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header6.xml" ContentType="application/vnd.openxmlformats-officedocument.wordprocessingml.header+xml"/>
  <Override PartName="/word/header7.xml" ContentType="application/vnd.openxmlformats-officedocument.wordprocessingml.header+xml"/>
  <Override PartName="/word/footer2.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footer3.xml" ContentType="application/vnd.openxmlformats-officedocument.wordprocessingml.footer+xml"/>
  <Override PartName="/word/footer4.xml" ContentType="application/vnd.openxmlformats-officedocument.wordprocessingml.footer+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footer5.xml" ContentType="application/vnd.openxmlformats-officedocument.wordprocessingml.footer+xml"/>
  <Override PartName="/word/footer6.xml" ContentType="application/vnd.openxmlformats-officedocument.wordprocessingml.footer+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theme/themeOverride1.xml" ContentType="application/vnd.openxmlformats-officedocument.themeOverride+xml"/>
  <Override PartName="/word/footer7.xml" ContentType="application/vnd.openxmlformats-officedocument.wordprocessingml.footer+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theme/themeOverride2.xml" ContentType="application/vnd.openxmlformats-officedocument.themeOverride+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26.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27.xml" ContentType="application/vnd.openxmlformats-officedocument.drawingml.chart+xml"/>
  <Override PartName="/word/charts/style27.xml" ContentType="application/vnd.ms-office.chartstyle+xml"/>
  <Override PartName="/word/charts/colors27.xml" ContentType="application/vnd.ms-office.chartcolorstyle+xml"/>
  <Override PartName="/word/charts/chart28.xml" ContentType="application/vnd.openxmlformats-officedocument.drawingml.chart+xml"/>
  <Override PartName="/word/charts/style28.xml" ContentType="application/vnd.ms-office.chartstyle+xml"/>
  <Override PartName="/word/charts/colors28.xml" ContentType="application/vnd.ms-office.chartcolorstyle+xml"/>
  <Override PartName="/word/charts/chart29.xml" ContentType="application/vnd.openxmlformats-officedocument.drawingml.chart+xml"/>
  <Override PartName="/word/charts/style29.xml" ContentType="application/vnd.ms-office.chartstyle+xml"/>
  <Override PartName="/word/charts/colors29.xml" ContentType="application/vnd.ms-office.chartcolorstyle+xml"/>
  <Override PartName="/word/charts/chart30.xml" ContentType="application/vnd.openxmlformats-officedocument.drawingml.chart+xml"/>
  <Override PartName="/word/charts/style30.xml" ContentType="application/vnd.ms-office.chartstyle+xml"/>
  <Override PartName="/word/charts/colors30.xml" ContentType="application/vnd.ms-office.chartcolorstyle+xml"/>
  <Override PartName="/word/charts/chart31.xml" ContentType="application/vnd.openxmlformats-officedocument.drawingml.chart+xml"/>
  <Override PartName="/word/charts/style31.xml" ContentType="application/vnd.ms-office.chartstyle+xml"/>
  <Override PartName="/word/charts/colors31.xml" ContentType="application/vnd.ms-office.chartcolorstyle+xml"/>
  <Override PartName="/word/charts/chart32.xml" ContentType="application/vnd.openxmlformats-officedocument.drawingml.chart+xml"/>
  <Override PartName="/word/charts/style32.xml" ContentType="application/vnd.ms-office.chartstyle+xml"/>
  <Override PartName="/word/charts/colors32.xml" ContentType="application/vnd.ms-office.chartcolorstyle+xml"/>
  <Override PartName="/word/charts/chart33.xml" ContentType="application/vnd.openxmlformats-officedocument.drawingml.chart+xml"/>
  <Override PartName="/word/charts/style33.xml" ContentType="application/vnd.ms-office.chartstyle+xml"/>
  <Override PartName="/word/charts/colors33.xml" ContentType="application/vnd.ms-office.chartcolorstyle+xml"/>
  <Override PartName="/word/charts/chart34.xml" ContentType="application/vnd.openxmlformats-officedocument.drawingml.chart+xml"/>
  <Override PartName="/word/charts/style34.xml" ContentType="application/vnd.ms-office.chartstyle+xml"/>
  <Override PartName="/word/charts/colors34.xml" ContentType="application/vnd.ms-office.chartcolorstyle+xml"/>
  <Override PartName="/word/charts/chart35.xml" ContentType="application/vnd.openxmlformats-officedocument.drawingml.chart+xml"/>
  <Override PartName="/word/charts/style35.xml" ContentType="application/vnd.ms-office.chartstyle+xml"/>
  <Override PartName="/word/charts/colors35.xml" ContentType="application/vnd.ms-office.chartcolorstyle+xml"/>
  <Override PartName="/word/charts/chart36.xml" ContentType="application/vnd.openxmlformats-officedocument.drawingml.chart+xml"/>
  <Override PartName="/word/charts/style36.xml" ContentType="application/vnd.ms-office.chartstyle+xml"/>
  <Override PartName="/word/charts/colors36.xml" ContentType="application/vnd.ms-office.chartcolorstyle+xml"/>
  <Override PartName="/word/charts/chart37.xml" ContentType="application/vnd.openxmlformats-officedocument.drawingml.chart+xml"/>
  <Override PartName="/word/charts/style37.xml" ContentType="application/vnd.ms-office.chartstyle+xml"/>
  <Override PartName="/word/charts/colors37.xml" ContentType="application/vnd.ms-office.chartcolorstyle+xml"/>
  <Override PartName="/word/charts/chart38.xml" ContentType="application/vnd.openxmlformats-officedocument.drawingml.chart+xml"/>
  <Override PartName="/word/charts/style38.xml" ContentType="application/vnd.ms-office.chartstyle+xml"/>
  <Override PartName="/word/charts/colors38.xml" ContentType="application/vnd.ms-office.chartcolorstyle+xml"/>
  <Override PartName="/word/charts/chart39.xml" ContentType="application/vnd.openxmlformats-officedocument.drawingml.chart+xml"/>
  <Override PartName="/word/charts/style39.xml" ContentType="application/vnd.ms-office.chartstyle+xml"/>
  <Override PartName="/word/charts/colors39.xml" ContentType="application/vnd.ms-office.chartcolorstyle+xml"/>
  <Override PartName="/word/charts/chart40.xml" ContentType="application/vnd.openxmlformats-officedocument.drawingml.chart+xml"/>
  <Override PartName="/word/charts/style40.xml" ContentType="application/vnd.ms-office.chartstyle+xml"/>
  <Override PartName="/word/charts/colors40.xml" ContentType="application/vnd.ms-office.chartcolorstyle+xml"/>
  <Override PartName="/word/charts/chart41.xml" ContentType="application/vnd.openxmlformats-officedocument.drawingml.chart+xml"/>
  <Override PartName="/word/charts/style41.xml" ContentType="application/vnd.ms-office.chartstyle+xml"/>
  <Override PartName="/word/charts/colors41.xml" ContentType="application/vnd.ms-office.chartcolorstyle+xml"/>
  <Override PartName="/word/footer8.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9.xml" ContentType="application/vnd.openxmlformats-officedocument.wordprocessingml.footer+xml"/>
  <Override PartName="/word/header14.xml" ContentType="application/vnd.openxmlformats-officedocument.wordprocessingml.header+xml"/>
  <Override PartName="/word/charts/chart42.xml" ContentType="application/vnd.openxmlformats-officedocument.drawingml.chart+xml"/>
  <Override PartName="/word/charts/style42.xml" ContentType="application/vnd.ms-office.chartstyle+xml"/>
  <Override PartName="/word/charts/colors42.xml" ContentType="application/vnd.ms-office.chartcolorstyle+xml"/>
  <Override PartName="/word/charts/chart43.xml" ContentType="application/vnd.openxmlformats-officedocument.drawingml.chart+xml"/>
  <Override PartName="/word/charts/style43.xml" ContentType="application/vnd.ms-office.chartstyle+xml"/>
  <Override PartName="/word/charts/colors43.xml" ContentType="application/vnd.ms-office.chartcolorstyle+xml"/>
  <Override PartName="/word/charts/chart44.xml" ContentType="application/vnd.openxmlformats-officedocument.drawingml.chart+xml"/>
  <Override PartName="/word/charts/style44.xml" ContentType="application/vnd.ms-office.chartstyle+xml"/>
  <Override PartName="/word/charts/colors44.xml" ContentType="application/vnd.ms-office.chartcolorstyle+xml"/>
  <Override PartName="/word/charts/chart45.xml" ContentType="application/vnd.openxmlformats-officedocument.drawingml.chart+xml"/>
  <Override PartName="/word/charts/style45.xml" ContentType="application/vnd.ms-office.chartstyle+xml"/>
  <Override PartName="/word/charts/colors45.xml" ContentType="application/vnd.ms-office.chartcolorstyle+xml"/>
  <Override PartName="/word/charts/chart46.xml" ContentType="application/vnd.openxmlformats-officedocument.drawingml.chart+xml"/>
  <Override PartName="/word/charts/style46.xml" ContentType="application/vnd.ms-office.chartstyle+xml"/>
  <Override PartName="/word/charts/colors46.xml" ContentType="application/vnd.ms-office.chartcolorstyle+xml"/>
  <Override PartName="/word/charts/chart47.xml" ContentType="application/vnd.openxmlformats-officedocument.drawingml.chart+xml"/>
  <Override PartName="/word/charts/style47.xml" ContentType="application/vnd.ms-office.chartstyle+xml"/>
  <Override PartName="/word/charts/colors47.xml" ContentType="application/vnd.ms-office.chartcolorstyle+xml"/>
  <Override PartName="/word/charts/chart48.xml" ContentType="application/vnd.openxmlformats-officedocument.drawingml.chart+xml"/>
  <Override PartName="/word/charts/style48.xml" ContentType="application/vnd.ms-office.chartstyle+xml"/>
  <Override PartName="/word/charts/colors48.xml" ContentType="application/vnd.ms-office.chartcolorstyle+xml"/>
  <Override PartName="/word/charts/chart49.xml" ContentType="application/vnd.openxmlformats-officedocument.drawingml.chart+xml"/>
  <Override PartName="/word/charts/style49.xml" ContentType="application/vnd.ms-office.chartstyle+xml"/>
  <Override PartName="/word/charts/colors49.xml" ContentType="application/vnd.ms-office.chartcolorstyle+xml"/>
  <Override PartName="/word/charts/chart50.xml" ContentType="application/vnd.openxmlformats-officedocument.drawingml.chart+xml"/>
  <Override PartName="/word/charts/style50.xml" ContentType="application/vnd.ms-office.chartstyle+xml"/>
  <Override PartName="/word/charts/colors50.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A9BD246" w14:textId="6947E58D" w:rsidR="00655C17" w:rsidRPr="003E197F" w:rsidRDefault="000E7149" w:rsidP="002621E6">
      <w:pPr>
        <w:pStyle w:val="Text"/>
        <w:rPr>
          <w:lang w:val="en-AU"/>
        </w:rPr>
      </w:pPr>
      <w:r w:rsidRPr="00810F00">
        <w:rPr>
          <w:noProof/>
        </w:rPr>
        <mc:AlternateContent>
          <mc:Choice Requires="wps">
            <w:drawing>
              <wp:anchor distT="0" distB="0" distL="114300" distR="114300" simplePos="0" relativeHeight="251660501" behindDoc="0" locked="1" layoutInCell="1" allowOverlap="1" wp14:anchorId="063E3668" wp14:editId="2EB224B7">
                <wp:simplePos x="0" y="0"/>
                <wp:positionH relativeFrom="margin">
                  <wp:posOffset>-222885</wp:posOffset>
                </wp:positionH>
                <wp:positionV relativeFrom="margin">
                  <wp:posOffset>8080375</wp:posOffset>
                </wp:positionV>
                <wp:extent cx="1766570" cy="357505"/>
                <wp:effectExtent l="0" t="0" r="0" b="0"/>
                <wp:wrapNone/>
                <wp:docPr id="1452358080" name="Text Box 1452358080" descr="P1TB16bA#y1"/>
                <wp:cNvGraphicFramePr/>
                <a:graphic xmlns:a="http://schemas.openxmlformats.org/drawingml/2006/main">
                  <a:graphicData uri="http://schemas.microsoft.com/office/word/2010/wordprocessingShape">
                    <wps:wsp>
                      <wps:cNvSpPr txBox="1"/>
                      <wps:spPr>
                        <a:xfrm>
                          <a:off x="0" y="0"/>
                          <a:ext cx="1766570" cy="357505"/>
                        </a:xfrm>
                        <a:prstGeom prst="rect">
                          <a:avLst/>
                        </a:prstGeom>
                        <a:noFill/>
                        <a:ln w="6350" cap="flat" cmpd="sng" algn="ctr">
                          <a:solidFill>
                            <a:prstClr val="black">
                              <a:alpha val="0"/>
                            </a:prstClr>
                          </a:solidFill>
                          <a:prstDash val="solid"/>
                          <a:round/>
                          <a:headEnd type="none" w="med" len="med"/>
                          <a:tailEnd type="none" w="med" len="med"/>
                        </a:ln>
                      </wps:spPr>
                      <wps:txbx>
                        <w:txbxContent>
                          <w:p w14:paraId="6EE1D8D2" w14:textId="5C23BA82" w:rsidR="000E7149" w:rsidRPr="000E7149" w:rsidRDefault="000E7149" w:rsidP="000E7149">
                            <w:pPr>
                              <w:pStyle w:val="CoverSubtitle"/>
                              <w:rPr>
                                <w:bCs/>
                                <w:i/>
                                <w:iCs/>
                                <w:sz w:val="28"/>
                                <w:szCs w:val="28"/>
                              </w:rPr>
                            </w:pPr>
                            <w:r w:rsidRPr="000E7149">
                              <w:rPr>
                                <w:bCs/>
                                <w:i/>
                                <w:iCs/>
                                <w:sz w:val="28"/>
                                <w:szCs w:val="28"/>
                              </w:rPr>
                              <w:t>25 September 2025</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63E3668" id="_x0000_t202" coordsize="21600,21600" o:spt="202" path="m,l,21600r21600,l21600,xe">
                <v:stroke joinstyle="miter"/>
                <v:path gradientshapeok="t" o:connecttype="rect"/>
              </v:shapetype>
              <v:shape id="Text Box 1452358080" o:spid="_x0000_s1026" type="#_x0000_t202" alt="P1TB16bA#y1" style="position:absolute;left:0;text-align:left;margin-left:-17.55pt;margin-top:636.25pt;width:139.1pt;height:28.15pt;z-index:251660501;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" filled="f" strokeweight=".5pt">
                <v:stroke opacity="0" joinstyle="round"/>
                <v:textbox>
                  <w:txbxContent>
                    <w:p w14:paraId="6EE1D8D2" w14:textId="5C23BA82" w:rsidR="000E7149" w:rsidRPr="000E7149" w:rsidRDefault="000E7149" w:rsidP="000E7149">
                      <w:pPr>
                        <w:pStyle w:val="CoverSubtitle"/>
                        <w:rPr>
                          <w:bCs/>
                          <w:i/>
                          <w:iCs/>
                          <w:sz w:val="28"/>
                          <w:szCs w:val="28"/>
                        </w:rPr>
                      </w:pPr>
                      <w:r w:rsidRPr="000E7149">
                        <w:rPr>
                          <w:bCs/>
                          <w:i/>
                          <w:iCs/>
                          <w:sz w:val="28"/>
                          <w:szCs w:val="28"/>
                        </w:rPr>
                        <w:t>25 September 2025</w:t>
                      </w:r>
                    </w:p>
                  </w:txbxContent>
                </v:textbox>
                <w10:wrap anchorx="margin" anchory="margin"/>
                <w10:anchorlock/>
              </v:shape>
            </w:pict>
          </mc:Fallback>
        </mc:AlternateContent>
      </w:r>
      <w:r w:rsidR="00D668F6" w:rsidRPr="00810F00">
        <w:rPr>
          <w:noProof/>
        </w:rPr>
        <w:drawing>
          <wp:anchor distT="0" distB="0" distL="114300" distR="114300" simplePos="0" relativeHeight="251658247" behindDoc="1" locked="0" layoutInCell="1" allowOverlap="1" wp14:anchorId="0467387C" wp14:editId="766B5977">
            <wp:simplePos x="0" y="0"/>
            <wp:positionH relativeFrom="page">
              <wp:posOffset>0</wp:posOffset>
            </wp:positionH>
            <wp:positionV relativeFrom="page">
              <wp:posOffset>0</wp:posOffset>
            </wp:positionV>
            <wp:extent cx="7662732" cy="5636895"/>
            <wp:effectExtent l="0" t="0" r="0" b="1905"/>
            <wp:wrapNone/>
            <wp:docPr id="449" name="Picture 4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Picture 449">
                      <a:extLst>
                        <a:ext uri="{C183D7F6-B498-43B3-948B-1728B52AA6E4}">
                          <adec:decorative xmlns:adec="http://schemas.microsoft.com/office/drawing/2017/decorative" val="1"/>
                        </a:ext>
                      </a:extLst>
                    </pic:cNvPr>
                    <pic:cNvPicPr/>
                  </pic:nvPicPr>
                  <pic:blipFill>
                    <a:blip r:embed="rId8">
                      <a:extLst>
                        <a:ext uri="{28A0092B-C50C-407E-A947-70E740481C1C}">
                          <a14:useLocalDpi xmlns:a14="http://schemas.microsoft.com/office/drawing/2010/main" val="0"/>
                        </a:ext>
                      </a:extLst>
                    </a:blip>
                    <a:stretch>
                      <a:fillRect/>
                    </a:stretch>
                  </pic:blipFill>
                  <pic:spPr>
                    <a:xfrm>
                      <a:off x="0" y="0"/>
                      <a:ext cx="7668342" cy="5641022"/>
                    </a:xfrm>
                    <a:prstGeom prst="rect">
                      <a:avLst/>
                    </a:prstGeom>
                  </pic:spPr>
                </pic:pic>
              </a:graphicData>
            </a:graphic>
            <wp14:sizeRelH relativeFrom="page">
              <wp14:pctWidth>0</wp14:pctWidth>
            </wp14:sizeRelH>
            <wp14:sizeRelV relativeFrom="page">
              <wp14:pctHeight>0</wp14:pctHeight>
            </wp14:sizeRelV>
          </wp:anchor>
        </w:drawing>
      </w:r>
      <w:r w:rsidR="00922E2D" w:rsidRPr="00810F00">
        <w:rPr>
          <w:noProof/>
        </w:rPr>
        <mc:AlternateContent>
          <mc:Choice Requires="wps">
            <w:drawing>
              <wp:anchor distT="0" distB="0" distL="114300" distR="114300" simplePos="0" relativeHeight="251658240" behindDoc="0" locked="1" layoutInCell="1" allowOverlap="1" wp14:anchorId="550B1B2F" wp14:editId="28684CC0">
                <wp:simplePos x="0" y="0"/>
                <wp:positionH relativeFrom="page">
                  <wp:posOffset>13335</wp:posOffset>
                </wp:positionH>
                <wp:positionV relativeFrom="page">
                  <wp:posOffset>5634355</wp:posOffset>
                </wp:positionV>
                <wp:extent cx="7545070" cy="5716270"/>
                <wp:effectExtent l="0" t="0" r="17780" b="17780"/>
                <wp:wrapNone/>
                <wp:docPr id="60" name="Rectangle 60" descr="P1#y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45070" cy="5716270"/>
                        </a:xfrm>
                        <a:prstGeom prst="rect">
                          <a:avLst/>
                        </a:prstGeom>
                        <a:solidFill>
                          <a:srgbClr val="78B800"/>
                        </a:solidFill>
                        <a:ln w="12700" cap="flat" cmpd="sng" algn="ctr">
                          <a:solidFill>
                            <a:srgbClr val="78B800">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D1269C" id="Rectangle 60" o:spid="_x0000_s1026" alt="P1#y2" style="position:absolute;margin-left:1.05pt;margin-top:443.65pt;width:594.1pt;height:450.1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" fillcolor="#78b800" strokecolor="#568600" strokeweight="1pt">
                <w10:wrap anchorx="page" anchory="page"/>
                <w10:anchorlock/>
              </v:rect>
            </w:pict>
          </mc:Fallback>
        </mc:AlternateContent>
      </w:r>
      <w:r w:rsidR="00922E2D" w:rsidRPr="00810F00">
        <w:rPr>
          <w:noProof/>
        </w:rPr>
        <mc:AlternateContent>
          <mc:Choice Requires="wps">
            <w:drawing>
              <wp:anchor distT="0" distB="0" distL="114300" distR="114300" simplePos="0" relativeHeight="251658241" behindDoc="0" locked="1" layoutInCell="1" allowOverlap="1" wp14:anchorId="09D93A24" wp14:editId="44552A81">
                <wp:simplePos x="0" y="0"/>
                <wp:positionH relativeFrom="page">
                  <wp:posOffset>2540</wp:posOffset>
                </wp:positionH>
                <wp:positionV relativeFrom="page">
                  <wp:posOffset>5842000</wp:posOffset>
                </wp:positionV>
                <wp:extent cx="7559675" cy="5529580"/>
                <wp:effectExtent l="0" t="0" r="3175" b="0"/>
                <wp:wrapNone/>
                <wp:docPr id="63" name="Rectangle 63" descr="P1#y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9675" cy="5529580"/>
                        </a:xfrm>
                        <a:prstGeom prst="rect">
                          <a:avLst/>
                        </a:prstGeom>
                        <a:solidFill>
                          <a:srgbClr val="36424A"/>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858CD9" id="Rectangle 63" o:spid="_x0000_s1026" alt="P1#y3" style="position:absolute;margin-left:.2pt;margin-top:460pt;width:595.25pt;height:435.4pt;z-index:25165824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" fillcolor="#36424a" stroked="f" strokeweight="1pt">
                <w10:wrap anchorx="page" anchory="page"/>
                <w10:anchorlock/>
              </v:rect>
            </w:pict>
          </mc:Fallback>
        </mc:AlternateContent>
      </w:r>
      <w:r w:rsidR="00922E2D" w:rsidRPr="00810F00">
        <w:rPr>
          <w:noProof/>
        </w:rPr>
        <mc:AlternateContent>
          <mc:Choice Requires="wps">
            <w:drawing>
              <wp:anchor distT="0" distB="0" distL="114300" distR="114300" simplePos="0" relativeHeight="251658242" behindDoc="0" locked="1" layoutInCell="1" allowOverlap="1" wp14:anchorId="04151F33" wp14:editId="3737DCC9">
                <wp:simplePos x="0" y="0"/>
                <wp:positionH relativeFrom="margin">
                  <wp:align>right</wp:align>
                </wp:positionH>
                <wp:positionV relativeFrom="page">
                  <wp:posOffset>6089015</wp:posOffset>
                </wp:positionV>
                <wp:extent cx="6054725" cy="2286000"/>
                <wp:effectExtent l="0" t="0" r="0" b="0"/>
                <wp:wrapNone/>
                <wp:docPr id="462" name="Text Box 462" descr="P1TB16bA#y1"/>
                <wp:cNvGraphicFramePr/>
                <a:graphic xmlns:a="http://schemas.openxmlformats.org/drawingml/2006/main">
                  <a:graphicData uri="http://schemas.microsoft.com/office/word/2010/wordprocessingShape">
                    <wps:wsp>
                      <wps:cNvSpPr txBox="1"/>
                      <wps:spPr>
                        <a:xfrm>
                          <a:off x="0" y="0"/>
                          <a:ext cx="6054725" cy="2286000"/>
                        </a:xfrm>
                        <a:prstGeom prst="rect">
                          <a:avLst/>
                        </a:prstGeom>
                        <a:noFill/>
                        <a:ln w="6350" cap="flat" cmpd="sng" algn="ctr">
                          <a:solidFill>
                            <a:prstClr val="black">
                              <a:alpha val="0"/>
                            </a:prstClr>
                          </a:solidFill>
                          <a:prstDash val="solid"/>
                          <a:round/>
                          <a:headEnd type="none" w="med" len="med"/>
                          <a:tailEnd type="none" w="med" len="med"/>
                        </a:ln>
                      </wps:spPr>
                      <wps:txbx>
                        <w:txbxContent>
                          <w:p w14:paraId="739B7E3A" w14:textId="47D99DC9" w:rsidR="00922E2D" w:rsidRPr="000C1723" w:rsidRDefault="00AD2B0D" w:rsidP="00922E2D">
                            <w:pPr>
                              <w:pStyle w:val="CoverTitle"/>
                              <w:rPr>
                                <w:sz w:val="40"/>
                                <w:szCs w:val="40"/>
                              </w:rPr>
                            </w:pPr>
                            <w:r w:rsidRPr="00AD2B0D">
                              <w:rPr>
                                <w:sz w:val="40"/>
                                <w:szCs w:val="40"/>
                              </w:rPr>
                              <w:t>Evaluation of Family and Relationship Services and Specialised</w:t>
                            </w:r>
                            <w:r>
                              <w:rPr>
                                <w:sz w:val="40"/>
                                <w:szCs w:val="40"/>
                              </w:rPr>
                              <w:t xml:space="preserve"> Family Violence Services</w:t>
                            </w:r>
                          </w:p>
                          <w:p w14:paraId="0DCA3913" w14:textId="77777777" w:rsidR="00AD2B0D" w:rsidRDefault="00AD2B0D" w:rsidP="00922E2D">
                            <w:pPr>
                              <w:pStyle w:val="CoverSubtitle"/>
                              <w:rPr>
                                <w:b/>
                                <w:bCs/>
                              </w:rPr>
                            </w:pPr>
                          </w:p>
                          <w:p w14:paraId="38FF3C5B" w14:textId="65C09F6B" w:rsidR="00922E2D" w:rsidRPr="00AD2B0D" w:rsidRDefault="00922E2D" w:rsidP="00922E2D">
                            <w:pPr>
                              <w:pStyle w:val="CoverSubtitle"/>
                              <w:rPr>
                                <w:b/>
                                <w:sz w:val="28"/>
                                <w:szCs w:val="28"/>
                              </w:rPr>
                            </w:pP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151F33" id="Text Box 462" o:spid="_x0000_s1027" type="#_x0000_t202" alt="P1TB16bA#y1" style="position:absolute;left:0;text-align:left;margin-left:425.55pt;margin-top:479.45pt;width:476.75pt;height:180pt;z-index:251658242;visibility:visible;mso-wrap-style:square;mso-width-percent:0;mso-height-percent:0;mso-wrap-distance-left:9pt;mso-wrap-distance-top:0;mso-wrap-distance-right:9pt;mso-wrap-distance-bottom:0;mso-position-horizontal:right;mso-position-horizontal-relative:margin;mso-position-vertical:absolute;mso-position-vertical-relative:page;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" filled="f" strokeweight=".5pt">
                <v:stroke opacity="0" joinstyle="round"/>
                <v:textbox>
                  <w:txbxContent>
                    <w:p w14:paraId="739B7E3A" w14:textId="47D99DC9" w:rsidR="00922E2D" w:rsidRPr="000C1723" w:rsidRDefault="00AD2B0D" w:rsidP="00922E2D">
                      <w:pPr>
                        <w:pStyle w:val="CoverTitle"/>
                        <w:rPr>
                          <w:sz w:val="40"/>
                          <w:szCs w:val="40"/>
                        </w:rPr>
                      </w:pPr>
                      <w:r w:rsidRPr="00AD2B0D">
                        <w:rPr>
                          <w:sz w:val="40"/>
                          <w:szCs w:val="40"/>
                        </w:rPr>
                        <w:t>Evaluation of Family and Relationship Services and Specialised</w:t>
                      </w:r>
                      <w:r>
                        <w:rPr>
                          <w:sz w:val="40"/>
                          <w:szCs w:val="40"/>
                        </w:rPr>
                        <w:t xml:space="preserve"> Family Violence Services</w:t>
                      </w:r>
                    </w:p>
                    <w:p w14:paraId="0DCA3913" w14:textId="77777777" w:rsidR="00AD2B0D" w:rsidRDefault="00AD2B0D" w:rsidP="00922E2D">
                      <w:pPr>
                        <w:pStyle w:val="CoverSubtitle"/>
                        <w:rPr>
                          <w:b/>
                          <w:bCs/>
                        </w:rPr>
                      </w:pPr>
                    </w:p>
                    <w:p w14:paraId="38FF3C5B" w14:textId="65C09F6B" w:rsidR="00922E2D" w:rsidRPr="00AD2B0D" w:rsidRDefault="00922E2D" w:rsidP="00922E2D">
                      <w:pPr>
                        <w:pStyle w:val="CoverSubtitle"/>
                        <w:rPr>
                          <w:b/>
                          <w:sz w:val="28"/>
                          <w:szCs w:val="28"/>
                        </w:rPr>
                      </w:pPr>
                    </w:p>
                  </w:txbxContent>
                </v:textbox>
                <w10:wrap anchorx="margin" anchory="page"/>
                <w10:anchorlock/>
              </v:shape>
            </w:pict>
          </mc:Fallback>
        </mc:AlternateContent>
      </w:r>
      <w:r w:rsidR="00922E2D" w:rsidRPr="00A76455">
        <w:rPr>
          <w:noProof/>
        </w:rPr>
        <w:drawing>
          <wp:anchor distT="0" distB="0" distL="114300" distR="114300" simplePos="0" relativeHeight="251658248" behindDoc="0" locked="0" layoutInCell="1" allowOverlap="1" wp14:anchorId="6221DC3E" wp14:editId="6850A4F6">
            <wp:simplePos x="0" y="0"/>
            <wp:positionH relativeFrom="margin">
              <wp:posOffset>971550</wp:posOffset>
            </wp:positionH>
            <wp:positionV relativeFrom="page">
              <wp:posOffset>11369675</wp:posOffset>
            </wp:positionV>
            <wp:extent cx="2280285" cy="624205"/>
            <wp:effectExtent l="0" t="0" r="5715" b="4445"/>
            <wp:wrapNone/>
            <wp:docPr id="28" name="Picture 28" descr="P1#y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P1#y4">
                      <a:extLst>
                        <a:ext uri="{C183D7F6-B498-43B3-948B-1728B52AA6E4}">
                          <adec:decorative xmlns:adec="http://schemas.microsoft.com/office/drawing/2017/decorative" val="1"/>
                        </a:ext>
                      </a:extLst>
                    </pic:cNvPr>
                    <pic:cNvPicPr/>
                  </pic:nvPicPr>
                  <pic:blipFill>
                    <a:blip r:embed="rId9" cstate="print">
                      <a:extLst>
                        <a:ext uri="{28A0092B-C50C-407E-A947-70E740481C1C}">
                          <a14:useLocalDpi xmlns:a14="http://schemas.microsoft.com/office/drawing/2010/main" val="0"/>
                        </a:ext>
                      </a:extLst>
                    </a:blip>
                    <a:stretch>
                      <a:fillRect/>
                    </a:stretch>
                  </pic:blipFill>
                  <pic:spPr>
                    <a:xfrm>
                      <a:off x="0" y="0"/>
                      <a:ext cx="2280285" cy="624205"/>
                    </a:xfrm>
                    <a:prstGeom prst="rect">
                      <a:avLst/>
                    </a:prstGeom>
                  </pic:spPr>
                </pic:pic>
              </a:graphicData>
            </a:graphic>
            <wp14:sizeRelH relativeFrom="page">
              <wp14:pctWidth>0</wp14:pctWidth>
            </wp14:sizeRelH>
            <wp14:sizeRelV relativeFrom="page">
              <wp14:pctHeight>0</wp14:pctHeight>
            </wp14:sizeRelV>
          </wp:anchor>
        </w:drawing>
      </w:r>
    </w:p>
    <w:sdt>
      <w:sdtPr>
        <w:rPr>
          <w:kern w:val="2"/>
          <w:sz w:val="24"/>
          <w:szCs w:val="24"/>
          <w:lang w:val="en-AU"/>
          <w14:ligatures w14:val="standardContextual"/>
        </w:rPr>
        <w:id w:val="1714613596"/>
        <w:docPartObj>
          <w:docPartGallery w:val="Cover Pages"/>
        </w:docPartObj>
      </w:sdtPr>
      <w:sdtEndPr>
        <w:rPr>
          <w:szCs w:val="22"/>
        </w:rPr>
      </w:sdtEndPr>
      <w:sdtContent>
        <w:p w14:paraId="5C12F872" w14:textId="24B65B9A" w:rsidR="008723EE" w:rsidRDefault="008723EE" w:rsidP="002621E6">
          <w:pPr>
            <w:pStyle w:val="Text"/>
          </w:pPr>
        </w:p>
        <w:p w14:paraId="5ED227C5" w14:textId="62F2C356" w:rsidR="008723EE" w:rsidRDefault="008723EE"/>
        <w:p w14:paraId="3F4CA228" w14:textId="7FF65DC6" w:rsidR="008723EE" w:rsidRDefault="00972274"/>
      </w:sdtContent>
    </w:sdt>
    <w:p w14:paraId="79F5C074" w14:textId="08DEFD54" w:rsidR="00CB5A87" w:rsidRDefault="00CB5A87">
      <w:pPr>
        <w:rPr>
          <w:rFonts w:ascii="Arial" w:hAnsi="Arial"/>
          <w:b/>
          <w:color w:val="FFFFFF" w:themeColor="background1"/>
          <w:sz w:val="80"/>
          <w:szCs w:val="96"/>
        </w:rPr>
      </w:pPr>
    </w:p>
    <w:p w14:paraId="352620B2" w14:textId="77777777" w:rsidR="000C19F8" w:rsidRDefault="000C19F8">
      <w:pPr>
        <w:rPr>
          <w:rFonts w:ascii="Arial" w:hAnsi="Arial"/>
          <w:b/>
          <w:color w:val="FFFFFF" w:themeColor="background1"/>
          <w:sz w:val="80"/>
          <w:szCs w:val="96"/>
        </w:rPr>
      </w:pPr>
    </w:p>
    <w:p w14:paraId="160EBEA0" w14:textId="720915F4" w:rsidR="000C19F8" w:rsidRDefault="000C19F8">
      <w:pPr>
        <w:rPr>
          <w:rFonts w:ascii="Arial" w:hAnsi="Arial"/>
          <w:b/>
          <w:color w:val="FFFFFF" w:themeColor="background1"/>
          <w:sz w:val="80"/>
          <w:szCs w:val="96"/>
        </w:rPr>
      </w:pPr>
    </w:p>
    <w:p w14:paraId="5587DEFB" w14:textId="0BB84467" w:rsidR="000C19F8" w:rsidRDefault="000C19F8">
      <w:pPr>
        <w:rPr>
          <w:rFonts w:ascii="Arial" w:hAnsi="Arial"/>
          <w:b/>
          <w:color w:val="FFFFFF" w:themeColor="background1"/>
          <w:sz w:val="80"/>
          <w:szCs w:val="96"/>
        </w:rPr>
      </w:pPr>
    </w:p>
    <w:p w14:paraId="72167C00" w14:textId="4CB4F3D0" w:rsidR="000C19F8" w:rsidRDefault="000C19F8">
      <w:pPr>
        <w:rPr>
          <w:rFonts w:ascii="Arial" w:hAnsi="Arial"/>
          <w:b/>
          <w:color w:val="FFFFFF" w:themeColor="background1"/>
          <w:sz w:val="80"/>
          <w:szCs w:val="96"/>
        </w:rPr>
      </w:pPr>
    </w:p>
    <w:p w14:paraId="2E9EE3E8" w14:textId="5E95D165" w:rsidR="000C19F8" w:rsidRDefault="000C19F8">
      <w:pPr>
        <w:rPr>
          <w:rFonts w:ascii="Arial" w:hAnsi="Arial"/>
          <w:b/>
          <w:color w:val="FFFFFF" w:themeColor="background1"/>
          <w:sz w:val="80"/>
          <w:szCs w:val="96"/>
        </w:rPr>
      </w:pPr>
    </w:p>
    <w:p w14:paraId="63E51FDE" w14:textId="1638AE45" w:rsidR="00C5282D" w:rsidRDefault="00C5282D" w:rsidP="00067EC4">
      <w:pPr>
        <w:pStyle w:val="CoverTitle"/>
        <w:rPr>
          <w:lang w:val="en-NZ"/>
        </w:rPr>
      </w:pPr>
    </w:p>
    <w:p w14:paraId="5C4185B6" w14:textId="40333513" w:rsidR="005F6434" w:rsidRDefault="005F6434" w:rsidP="00067EC4">
      <w:pPr>
        <w:pStyle w:val="CoverTitle"/>
        <w:rPr>
          <w:lang w:val="en-NZ"/>
        </w:rPr>
      </w:pPr>
    </w:p>
    <w:p w14:paraId="249FE12E" w14:textId="4C65D953" w:rsidR="005F6434" w:rsidRDefault="00EA6CBE" w:rsidP="00067EC4">
      <w:pPr>
        <w:pStyle w:val="CoverTitle"/>
        <w:rPr>
          <w:lang w:val="en-NZ"/>
        </w:rPr>
      </w:pPr>
      <w:r w:rsidRPr="00A76455">
        <w:rPr>
          <w:noProof/>
        </w:rPr>
        <w:drawing>
          <wp:anchor distT="0" distB="0" distL="114300" distR="114300" simplePos="0" relativeHeight="251658249" behindDoc="0" locked="0" layoutInCell="1" allowOverlap="1" wp14:anchorId="7F39CDEE" wp14:editId="4A19B44A">
            <wp:simplePos x="0" y="0"/>
            <wp:positionH relativeFrom="margin">
              <wp:posOffset>-261363</wp:posOffset>
            </wp:positionH>
            <wp:positionV relativeFrom="bottomMargin">
              <wp:posOffset>-184326</wp:posOffset>
            </wp:positionV>
            <wp:extent cx="2280285" cy="624205"/>
            <wp:effectExtent l="0" t="0" r="5715" b="4445"/>
            <wp:wrapNone/>
            <wp:docPr id="46229249" name="Picture 46229249" descr="P13#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29249" name="Picture 46229249" descr="P13#y1"/>
                    <pic:cNvPicPr/>
                  </pic:nvPicPr>
                  <pic:blipFill>
                    <a:blip r:embed="rId9" cstate="print">
                      <a:extLst>
                        <a:ext uri="{28A0092B-C50C-407E-A947-70E740481C1C}">
                          <a14:useLocalDpi xmlns:a14="http://schemas.microsoft.com/office/drawing/2010/main" val="0"/>
                        </a:ext>
                      </a:extLst>
                    </a:blip>
                    <a:stretch>
                      <a:fillRect/>
                    </a:stretch>
                  </pic:blipFill>
                  <pic:spPr>
                    <a:xfrm>
                      <a:off x="0" y="0"/>
                      <a:ext cx="2280285" cy="624205"/>
                    </a:xfrm>
                    <a:prstGeom prst="rect">
                      <a:avLst/>
                    </a:prstGeom>
                  </pic:spPr>
                </pic:pic>
              </a:graphicData>
            </a:graphic>
            <wp14:sizeRelH relativeFrom="page">
              <wp14:pctWidth>0</wp14:pctWidth>
            </wp14:sizeRelH>
            <wp14:sizeRelV relativeFrom="page">
              <wp14:pctHeight>0</wp14:pctHeight>
            </wp14:sizeRelV>
          </wp:anchor>
        </w:drawing>
      </w:r>
    </w:p>
    <w:p w14:paraId="5CB02F7F" w14:textId="36D8A322" w:rsidR="005F6434" w:rsidRDefault="005F6434" w:rsidP="00067EC4">
      <w:pPr>
        <w:pStyle w:val="CoverTitle"/>
        <w:rPr>
          <w:lang w:val="en-NZ"/>
        </w:rPr>
      </w:pPr>
    </w:p>
    <w:p w14:paraId="3C028402" w14:textId="2FF72033" w:rsidR="005F6434" w:rsidRPr="00810F00" w:rsidRDefault="00AE23CC" w:rsidP="00067EC4">
      <w:pPr>
        <w:pStyle w:val="CoverTitle"/>
        <w:rPr>
          <w:lang w:val="en-NZ"/>
        </w:rPr>
      </w:pPr>
      <w:r>
        <w:rPr>
          <w:noProof/>
        </w:rPr>
        <w:lastRenderedPageBreak/>
        <w:drawing>
          <wp:inline distT="0" distB="0" distL="0" distR="0" wp14:anchorId="03C63BD9" wp14:editId="1EC93A30">
            <wp:extent cx="5734800" cy="3268800"/>
            <wp:effectExtent l="0" t="0" r="0" b="8255"/>
            <wp:docPr id="482" name="Picture 4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Picture 482">
                      <a:extLst>
                        <a:ext uri="{C183D7F6-B498-43B3-948B-1728B52AA6E4}">
                          <adec:decorative xmlns:adec="http://schemas.microsoft.com/office/drawing/2017/decorative" val="1"/>
                        </a:ext>
                      </a:extLst>
                    </pic:cNvPr>
                    <pic:cNvPicPr>
                      <a:picLocks noChangeAspect="1" noChangeArrowheads="1"/>
                    </pic:cNvPicPr>
                  </pic:nvPicPr>
                  <pic:blipFill>
                    <a:blip r:embed="rId10" cstate="print">
                      <a:extLst>
                        <a:ext uri="{28A0092B-C50C-407E-A947-70E740481C1C}">
                          <a14:useLocalDpi xmlns:a14="http://schemas.microsoft.com/office/drawing/2010/main" val="0"/>
                        </a:ext>
                      </a:extLst>
                    </a:blip>
                    <a:stretch>
                      <a:fillRect/>
                    </a:stretch>
                  </pic:blipFill>
                  <pic:spPr bwMode="auto">
                    <a:xfrm>
                      <a:off x="0" y="0"/>
                      <a:ext cx="5734800" cy="3268800"/>
                    </a:xfrm>
                    <a:prstGeom prst="rect">
                      <a:avLst/>
                    </a:prstGeom>
                    <a:noFill/>
                  </pic:spPr>
                </pic:pic>
              </a:graphicData>
            </a:graphic>
          </wp:inline>
        </w:drawing>
      </w:r>
    </w:p>
    <w:p w14:paraId="6804800E" w14:textId="61490D22" w:rsidR="00C5282D" w:rsidRPr="00810F00" w:rsidRDefault="00C5282D"/>
    <w:sdt>
      <w:sdtPr>
        <w:rPr>
          <w:szCs w:val="22"/>
        </w:rPr>
        <w:id w:val="-1863275313"/>
        <w:docPartObj>
          <w:docPartGallery w:val="Cover Pages"/>
        </w:docPartObj>
      </w:sdtPr>
      <w:sdtEndPr/>
      <w:sdtContent>
        <w:sdt>
          <w:sdtPr>
            <w:rPr>
              <w:i/>
              <w:iCs/>
            </w:rPr>
            <w:id w:val="-1769533671"/>
            <w:docPartObj>
              <w:docPartGallery w:val="Cover Pages"/>
            </w:docPartObj>
          </w:sdtPr>
          <w:sdtEndPr>
            <w:rPr>
              <w:i w:val="0"/>
              <w:iCs w:val="0"/>
            </w:rPr>
          </w:sdtEndPr>
          <w:sdtContent>
            <w:sdt>
              <w:sdtPr>
                <w:id w:val="-653524951"/>
                <w:docPartObj>
                  <w:docPartGallery w:val="Cover Pages"/>
                </w:docPartObj>
              </w:sdtPr>
              <w:sdtEndPr>
                <w:rPr>
                  <w:szCs w:val="22"/>
                </w:rPr>
              </w:sdtEndPr>
              <w:sdtContent>
                <w:p w14:paraId="0C3DDE73" w14:textId="10D2E7EB" w:rsidR="00DC1F80" w:rsidRDefault="00DC1F80" w:rsidP="00972274">
                  <w:pPr>
                    <w:rPr>
                      <w:b/>
                      <w:bCs/>
                      <w:i/>
                      <w:iCs/>
                    </w:rPr>
                  </w:pPr>
                  <w:r>
                    <w:rPr>
                      <w:b/>
                      <w:bCs/>
                      <w:i/>
                      <w:iCs/>
                    </w:rPr>
                    <w:t>Thank you</w:t>
                  </w:r>
                </w:p>
                <w:tbl>
                  <w:tblPr>
                    <w:tblStyle w:val="TableGrid"/>
                    <w:tblpPr w:leftFromText="180" w:rightFromText="180" w:vertAnchor="text" w:horzAnchor="margin" w:tblpY="3972"/>
                    <w:tblW w:w="9064" w:type="dxa"/>
                    <w:tblBorders>
                      <w:top w:val="single" w:sz="6" w:space="0" w:color="82C65C" w:themeColor="accent6"/>
                      <w:left w:val="none" w:sz="0" w:space="0" w:color="auto"/>
                      <w:bottom w:val="single" w:sz="6" w:space="0" w:color="82C65C" w:themeColor="accent6"/>
                      <w:right w:val="none" w:sz="0" w:space="0" w:color="auto"/>
                      <w:insideH w:val="single" w:sz="6" w:space="0" w:color="82C65C" w:themeColor="accent6"/>
                      <w:insideV w:val="none" w:sz="0" w:space="0" w:color="auto"/>
                    </w:tblBorders>
                    <w:tblLook w:val="04A0" w:firstRow="1" w:lastRow="0" w:firstColumn="1" w:lastColumn="0" w:noHBand="0" w:noVBand="1"/>
                  </w:tblPr>
                  <w:tblGrid>
                    <w:gridCol w:w="9064"/>
                  </w:tblGrid>
                  <w:tr w:rsidR="00672D46" w:rsidRPr="00527155" w14:paraId="15BF1851" w14:textId="77777777" w:rsidTr="004914E7">
                    <w:tc>
                      <w:tcPr>
                        <w:tcW w:w="9064" w:type="dxa"/>
                      </w:tcPr>
                      <w:p w14:paraId="6F7FD299" w14:textId="77777777" w:rsidR="00DC1F80" w:rsidRPr="003441C0" w:rsidRDefault="00DC1F80" w:rsidP="003441C0">
                        <w:pPr>
                          <w:spacing w:after="240" w:line="276" w:lineRule="auto"/>
                          <w:rPr>
                            <w:i/>
                            <w:sz w:val="16"/>
                            <w:szCs w:val="16"/>
                          </w:rPr>
                        </w:pPr>
                        <w:r w:rsidRPr="003441C0">
                          <w:rPr>
                            <w:i/>
                            <w:sz w:val="16"/>
                            <w:szCs w:val="16"/>
                          </w:rPr>
                          <w:t>The content of this document is intended only for the persons and/or entities to which it is addressed. It contains confidential and commercially sensitive information, which must not (in whole or in part) be used, reproduced, distributed or communicated to any third party without Allen + Clarke’s prior written consent. If you are not the person to whom this document is addressed, please contact the author and immediately destroy/delete this document.</w:t>
                        </w:r>
                      </w:p>
                    </w:tc>
                  </w:tr>
                </w:tbl>
                <w:p w14:paraId="57DFD03E" w14:textId="0E3D9F9C" w:rsidR="00DC1F80" w:rsidRPr="00527155" w:rsidRDefault="00DC1F80" w:rsidP="00B6473B">
                  <w:pPr>
                    <w:spacing w:line="240" w:lineRule="auto"/>
                    <w:rPr>
                      <w:sz w:val="16"/>
                      <w:szCs w:val="16"/>
                    </w:rPr>
                  </w:pPr>
                  <w:r w:rsidRPr="00527155">
                    <w:rPr>
                      <w:i/>
                      <w:sz w:val="16"/>
                      <w:szCs w:val="16"/>
                    </w:rPr>
                    <w:t xml:space="preserve">Allen + Clarke </w:t>
                  </w:r>
                  <w:r w:rsidRPr="00527155">
                    <w:rPr>
                      <w:sz w:val="16"/>
                      <w:szCs w:val="16"/>
                    </w:rPr>
                    <w:t xml:space="preserve">has had the extraordinary privilege of learning about the impact of FaRS and SFVS through the support of service providers and service users. To mitigate risk and support trauma-informed engagement, the </w:t>
                  </w:r>
                  <w:r w:rsidR="00B6473B" w:rsidRPr="00527155">
                    <w:rPr>
                      <w:sz w:val="16"/>
                      <w:szCs w:val="16"/>
                    </w:rPr>
                    <w:t>evaluation</w:t>
                  </w:r>
                  <w:r w:rsidRPr="00527155">
                    <w:rPr>
                      <w:sz w:val="16"/>
                      <w:szCs w:val="16"/>
                    </w:rPr>
                    <w:t xml:space="preserve"> recruited service users only through their existing service providers. It is through the deep generosity of service providers who supported recruitment, over and above their existing workloads, as well as the many service users who spoke</w:t>
                  </w:r>
                  <w:r w:rsidRPr="00527155">
                    <w:rPr>
                      <w:i/>
                      <w:sz w:val="16"/>
                      <w:szCs w:val="16"/>
                    </w:rPr>
                    <w:t xml:space="preserve"> </w:t>
                  </w:r>
                  <w:r w:rsidRPr="00527155">
                    <w:rPr>
                      <w:sz w:val="16"/>
                      <w:szCs w:val="16"/>
                    </w:rPr>
                    <w:t>about their experiences accessing SFVS and FaRS funded services, that we have been able to draw the data for this report. We take this opportunity to thank them for giving us their time and their insights.</w:t>
                  </w:r>
                </w:p>
                <w:p w14:paraId="78943E15" w14:textId="29EACA61" w:rsidR="004C1741" w:rsidRPr="00F650E2" w:rsidRDefault="005F53DC" w:rsidP="00735C59">
                  <w:pPr>
                    <w:spacing w:line="240" w:lineRule="auto"/>
                    <w:rPr>
                      <w:sz w:val="18"/>
                      <w:szCs w:val="18"/>
                      <w:lang w:val="en-US"/>
                    </w:rPr>
                  </w:pPr>
                  <w:r w:rsidRPr="00527155">
                    <w:rPr>
                      <w:sz w:val="16"/>
                      <w:szCs w:val="16"/>
                    </w:rPr>
                    <w:t>The photos used in the section breaks of this report were captured during site visits. Many of the photos highlight the care and attention that service providers gave to ensuring a safe, welcoming and warm environment for service users. Permission has been provided</w:t>
                  </w:r>
                  <w:r w:rsidR="001D1D78" w:rsidRPr="00527155">
                    <w:rPr>
                      <w:sz w:val="16"/>
                      <w:szCs w:val="16"/>
                    </w:rPr>
                    <w:t xml:space="preserve"> by relevant service provider</w:t>
                  </w:r>
                  <w:r w:rsidR="00B438D6" w:rsidRPr="00527155">
                    <w:rPr>
                      <w:sz w:val="16"/>
                      <w:szCs w:val="16"/>
                    </w:rPr>
                    <w:t>s</w:t>
                  </w:r>
                  <w:r w:rsidRPr="00527155">
                    <w:rPr>
                      <w:i/>
                      <w:sz w:val="16"/>
                      <w:szCs w:val="16"/>
                    </w:rPr>
                    <w:t xml:space="preserve"> </w:t>
                  </w:r>
                  <w:r w:rsidRPr="00527155">
                    <w:rPr>
                      <w:sz w:val="16"/>
                      <w:szCs w:val="16"/>
                    </w:rPr>
                    <w:t>for the use of these photos.</w:t>
                  </w:r>
                  <w:r w:rsidR="007A72CC" w:rsidRPr="00527155">
                    <w:rPr>
                      <w:sz w:val="16"/>
                      <w:szCs w:val="16"/>
                    </w:rPr>
                    <w:t xml:space="preserve"> The artists whose work appears in these images include:</w:t>
                  </w:r>
                  <w:r w:rsidR="00F76C32" w:rsidRPr="00527155">
                    <w:rPr>
                      <w:sz w:val="16"/>
                      <w:szCs w:val="16"/>
                    </w:rPr>
                    <w:t xml:space="preserve"> </w:t>
                  </w:r>
                  <w:r w:rsidR="003A0045" w:rsidRPr="00527155">
                    <w:rPr>
                      <w:sz w:val="16"/>
                      <w:szCs w:val="16"/>
                    </w:rPr>
                    <w:t>Executive Summary</w:t>
                  </w:r>
                  <w:r w:rsidR="00CB7068" w:rsidRPr="00527155">
                    <w:rPr>
                      <w:sz w:val="16"/>
                      <w:szCs w:val="16"/>
                    </w:rPr>
                    <w:t>: Artist unknown</w:t>
                  </w:r>
                  <w:r w:rsidR="00F76C32" w:rsidRPr="00527155">
                    <w:rPr>
                      <w:sz w:val="16"/>
                      <w:szCs w:val="16"/>
                    </w:rPr>
                    <w:t xml:space="preserve">; </w:t>
                  </w:r>
                  <w:r w:rsidR="003B2659" w:rsidRPr="00527155">
                    <w:rPr>
                      <w:sz w:val="16"/>
                      <w:szCs w:val="16"/>
                    </w:rPr>
                    <w:t>Context: Painted as part of an activity at a multicultural festival where people added their thumbprint as a show of unity and community</w:t>
                  </w:r>
                  <w:r w:rsidR="00F76C32" w:rsidRPr="00527155">
                    <w:rPr>
                      <w:sz w:val="16"/>
                      <w:szCs w:val="16"/>
                    </w:rPr>
                    <w:t xml:space="preserve">; </w:t>
                  </w:r>
                  <w:r w:rsidR="004914E7" w:rsidRPr="00527155">
                    <w:rPr>
                      <w:sz w:val="16"/>
                      <w:szCs w:val="16"/>
                    </w:rPr>
                    <w:t xml:space="preserve">Efficiency </w:t>
                  </w:r>
                  <w:r w:rsidR="001D1D78" w:rsidRPr="00527155">
                    <w:rPr>
                      <w:sz w:val="16"/>
                      <w:szCs w:val="16"/>
                    </w:rPr>
                    <w:t>section</w:t>
                  </w:r>
                  <w:r w:rsidR="008E6E8C" w:rsidRPr="00527155">
                    <w:rPr>
                      <w:sz w:val="16"/>
                      <w:szCs w:val="16"/>
                    </w:rPr>
                    <w:t>/Effectiveness</w:t>
                  </w:r>
                  <w:r w:rsidR="001D1D78" w:rsidRPr="00527155">
                    <w:rPr>
                      <w:sz w:val="16"/>
                      <w:szCs w:val="16"/>
                    </w:rPr>
                    <w:t>: Marli Macumba, Pitjantjatjara, Yankunytjatjara, Arrernte, Gurindji and Warlpir</w:t>
                  </w:r>
                  <w:r w:rsidR="004329B1">
                    <w:rPr>
                      <w:sz w:val="16"/>
                      <w:szCs w:val="16"/>
                    </w:rPr>
                    <w:t>i</w:t>
                  </w:r>
                  <w:r w:rsidR="00F76C32" w:rsidRPr="00527155">
                    <w:rPr>
                      <w:sz w:val="16"/>
                      <w:szCs w:val="16"/>
                    </w:rPr>
                    <w:t xml:space="preserve">; </w:t>
                  </w:r>
                  <w:r w:rsidR="004914E7" w:rsidRPr="00527155">
                    <w:rPr>
                      <w:sz w:val="16"/>
                      <w:szCs w:val="16"/>
                    </w:rPr>
                    <w:t xml:space="preserve">Appropriateness: Marvyn McKenzie, Adnyamathanha Mathari Yura law man with ties to the Luritja, Ngarrindjeri, Irish and Scottish people. </w:t>
                  </w:r>
                </w:p>
                <w:p w14:paraId="3C13987B" w14:textId="77777777" w:rsidR="00527155" w:rsidRDefault="00527155" w:rsidP="009C6C31"/>
                <w:p w14:paraId="7641B222" w14:textId="2DCA3DAA" w:rsidR="009C6C31" w:rsidRPr="00A47B73" w:rsidRDefault="00CB7068" w:rsidP="009C6C31">
                  <w:r w:rsidRPr="00A47B73">
                    <w:rPr>
                      <w:b/>
                      <w:bCs/>
                      <w:i/>
                      <w:iCs/>
                      <w:noProof/>
                      <w:highlight w:val="yellow"/>
                    </w:rPr>
                    <w:drawing>
                      <wp:anchor distT="0" distB="0" distL="114300" distR="114300" simplePos="0" relativeHeight="251658251" behindDoc="1" locked="0" layoutInCell="1" allowOverlap="1" wp14:anchorId="40FC27A5" wp14:editId="0F542245">
                        <wp:simplePos x="0" y="0"/>
                        <wp:positionH relativeFrom="margin">
                          <wp:posOffset>-265484</wp:posOffset>
                        </wp:positionH>
                        <wp:positionV relativeFrom="paragraph">
                          <wp:posOffset>1146300</wp:posOffset>
                        </wp:positionV>
                        <wp:extent cx="6109970" cy="1298575"/>
                        <wp:effectExtent l="0" t="0" r="5080" b="0"/>
                        <wp:wrapTight wrapText="bothSides">
                          <wp:wrapPolygon edited="0">
                            <wp:start x="0" y="0"/>
                            <wp:lineTo x="0" y="21230"/>
                            <wp:lineTo x="21551" y="21230"/>
                            <wp:lineTo x="21551" y="0"/>
                            <wp:lineTo x="0" y="0"/>
                          </wp:wrapPolygon>
                        </wp:wrapTight>
                        <wp:docPr id="909661823" name="Picture 9096618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661823" name="Picture 909661823">
                                  <a:extLst>
                                    <a:ext uri="{C183D7F6-B498-43B3-948B-1728B52AA6E4}">
                                      <adec:decorative xmlns:adec="http://schemas.microsoft.com/office/drawing/2017/decorative" val="1"/>
                                    </a:ext>
                                  </a:extLst>
                                </pic:cNvPr>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109970" cy="1298575"/>
                                </a:xfrm>
                                <a:prstGeom prst="rect">
                                  <a:avLst/>
                                </a:prstGeom>
                              </pic:spPr>
                            </pic:pic>
                          </a:graphicData>
                        </a:graphic>
                        <wp14:sizeRelH relativeFrom="margin">
                          <wp14:pctWidth>0</wp14:pctWidth>
                        </wp14:sizeRelH>
                        <wp14:sizeRelV relativeFrom="margin">
                          <wp14:pctHeight>0</wp14:pctHeight>
                        </wp14:sizeRelV>
                      </wp:anchor>
                    </w:drawing>
                  </w:r>
                </w:p>
                <w:bookmarkStart w:id="0" w:name="_Toc102122647" w:displacedByCustomXml="next"/>
                <w:bookmarkStart w:id="1" w:name="_Toc98850708" w:displacedByCustomXml="next"/>
                <w:sdt>
                  <w:sdtPr>
                    <w:rPr>
                      <w:rFonts w:eastAsiaTheme="minorEastAsia" w:cstheme="minorBidi"/>
                      <w:b w:val="0"/>
                      <w:color w:val="auto"/>
                      <w:kern w:val="2"/>
                      <w:sz w:val="22"/>
                      <w:szCs w:val="22"/>
                      <w:lang w:val="en-NZ"/>
                      <w14:ligatures w14:val="standardContextual"/>
                    </w:rPr>
                    <w:id w:val="-2084752213"/>
                    <w:docPartObj>
                      <w:docPartGallery w:val="Table of Contents"/>
                      <w:docPartUnique/>
                    </w:docPartObj>
                  </w:sdtPr>
                  <w:sdtEndPr>
                    <w:rPr>
                      <w:sz w:val="21"/>
                      <w:szCs w:val="21"/>
                      <w:lang w:val="en-AU"/>
                    </w:rPr>
                  </w:sdtEndPr>
                  <w:sdtContent>
                    <w:p w14:paraId="28C72165" w14:textId="3F6C895F" w:rsidR="00BD3DF6" w:rsidRDefault="00BD3DF6" w:rsidP="002E7436">
                      <w:pPr>
                        <w:pStyle w:val="TOCHeading"/>
                      </w:pPr>
                      <w:r>
                        <w:t>Contents</w:t>
                      </w:r>
                    </w:p>
                    <w:p w14:paraId="793949A3" w14:textId="287533AF" w:rsidR="00060D66" w:rsidRDefault="00BD3DF6">
                      <w:pPr>
                        <w:pStyle w:val="TOC1"/>
                        <w:rPr>
                          <w:rFonts w:cstheme="minorBidi"/>
                          <w:b w:val="0"/>
                          <w:kern w:val="2"/>
                          <w:sz w:val="24"/>
                          <w:szCs w:val="24"/>
                          <w:lang w:val="en-NZ" w:eastAsia="en-NZ"/>
                          <w14:ligatures w14:val="standardContextual"/>
                        </w:rPr>
                      </w:pPr>
                      <w:r>
                        <w:rPr>
                          <w:b w:val="0"/>
                        </w:rPr>
                        <w:fldChar w:fldCharType="begin"/>
                      </w:r>
                      <w:r>
                        <w:rPr>
                          <w:b w:val="0"/>
                        </w:rPr>
                        <w:instrText xml:space="preserve"> TOC \o "1-2" \h \z \u </w:instrText>
                      </w:r>
                      <w:r>
                        <w:rPr>
                          <w:b w:val="0"/>
                        </w:rPr>
                        <w:fldChar w:fldCharType="separate"/>
                      </w:r>
                      <w:hyperlink w:anchor="_Toc208906827" w:history="1">
                        <w:r w:rsidR="00060D66" w:rsidRPr="00F80514">
                          <w:rPr>
                            <w:rStyle w:val="Hyperlink"/>
                          </w:rPr>
                          <w:t>Executive Summary</w:t>
                        </w:r>
                        <w:r w:rsidR="00060D66">
                          <w:rPr>
                            <w:webHidden/>
                          </w:rPr>
                          <w:tab/>
                        </w:r>
                        <w:r w:rsidR="00060D66">
                          <w:rPr>
                            <w:webHidden/>
                          </w:rPr>
                          <w:fldChar w:fldCharType="begin"/>
                        </w:r>
                        <w:r w:rsidR="00060D66">
                          <w:rPr>
                            <w:webHidden/>
                          </w:rPr>
                          <w:instrText xml:space="preserve"> PAGEREF _Toc208906827 \h </w:instrText>
                        </w:r>
                        <w:r w:rsidR="00060D66">
                          <w:rPr>
                            <w:webHidden/>
                          </w:rPr>
                        </w:r>
                        <w:r w:rsidR="00060D66">
                          <w:rPr>
                            <w:webHidden/>
                          </w:rPr>
                          <w:fldChar w:fldCharType="separate"/>
                        </w:r>
                        <w:r w:rsidR="008D2566">
                          <w:rPr>
                            <w:webHidden/>
                          </w:rPr>
                          <w:t>vii</w:t>
                        </w:r>
                        <w:r w:rsidR="00060D66">
                          <w:rPr>
                            <w:webHidden/>
                          </w:rPr>
                          <w:fldChar w:fldCharType="end"/>
                        </w:r>
                      </w:hyperlink>
                    </w:p>
                    <w:p w14:paraId="25CAF3B1" w14:textId="708C5B9B" w:rsidR="00060D66" w:rsidRDefault="00060D66">
                      <w:pPr>
                        <w:pStyle w:val="TOC1"/>
                        <w:rPr>
                          <w:rFonts w:cstheme="minorBidi"/>
                          <w:b w:val="0"/>
                          <w:kern w:val="2"/>
                          <w:sz w:val="24"/>
                          <w:szCs w:val="24"/>
                          <w:lang w:val="en-NZ" w:eastAsia="en-NZ"/>
                          <w14:ligatures w14:val="standardContextual"/>
                        </w:rPr>
                      </w:pPr>
                      <w:hyperlink w:anchor="_Toc208906828" w:history="1">
                        <w:r w:rsidRPr="00F80514">
                          <w:rPr>
                            <w:rStyle w:val="Hyperlink"/>
                          </w:rPr>
                          <w:t>1.</w:t>
                        </w:r>
                        <w:r>
                          <w:rPr>
                            <w:rFonts w:cstheme="minorBidi"/>
                            <w:b w:val="0"/>
                            <w:kern w:val="2"/>
                            <w:sz w:val="24"/>
                            <w:szCs w:val="24"/>
                            <w:lang w:val="en-NZ" w:eastAsia="en-NZ"/>
                            <w14:ligatures w14:val="standardContextual"/>
                          </w:rPr>
                          <w:tab/>
                        </w:r>
                        <w:r w:rsidRPr="00F80514">
                          <w:rPr>
                            <w:rStyle w:val="Hyperlink"/>
                          </w:rPr>
                          <w:t>Background</w:t>
                        </w:r>
                        <w:r>
                          <w:rPr>
                            <w:webHidden/>
                          </w:rPr>
                          <w:tab/>
                        </w:r>
                        <w:r>
                          <w:rPr>
                            <w:webHidden/>
                          </w:rPr>
                          <w:fldChar w:fldCharType="begin"/>
                        </w:r>
                        <w:r>
                          <w:rPr>
                            <w:webHidden/>
                          </w:rPr>
                          <w:instrText xml:space="preserve"> PAGEREF _Toc208906828 \h </w:instrText>
                        </w:r>
                        <w:r>
                          <w:rPr>
                            <w:webHidden/>
                          </w:rPr>
                        </w:r>
                        <w:r>
                          <w:rPr>
                            <w:webHidden/>
                          </w:rPr>
                          <w:fldChar w:fldCharType="separate"/>
                        </w:r>
                        <w:r w:rsidR="008D2566">
                          <w:rPr>
                            <w:webHidden/>
                          </w:rPr>
                          <w:t>1</w:t>
                        </w:r>
                        <w:r>
                          <w:rPr>
                            <w:webHidden/>
                          </w:rPr>
                          <w:fldChar w:fldCharType="end"/>
                        </w:r>
                      </w:hyperlink>
                    </w:p>
                    <w:p w14:paraId="75F3A257" w14:textId="376AF93E" w:rsidR="00060D66" w:rsidRDefault="00060D66">
                      <w:pPr>
                        <w:pStyle w:val="TOC2"/>
                        <w:tabs>
                          <w:tab w:val="left" w:pos="1797"/>
                        </w:tabs>
                        <w:rPr>
                          <w:rFonts w:cstheme="minorBidi"/>
                          <w:kern w:val="2"/>
                          <w:sz w:val="24"/>
                          <w:szCs w:val="24"/>
                          <w:lang w:val="en-NZ" w:eastAsia="en-NZ"/>
                          <w14:ligatures w14:val="standardContextual"/>
                        </w:rPr>
                      </w:pPr>
                      <w:hyperlink w:anchor="_Toc208906829" w:history="1">
                        <w:r w:rsidRPr="00F80514">
                          <w:rPr>
                            <w:rStyle w:val="Hyperlink"/>
                          </w:rPr>
                          <w:t>1.1.</w:t>
                        </w:r>
                        <w:r>
                          <w:rPr>
                            <w:rFonts w:cstheme="minorBidi"/>
                            <w:kern w:val="2"/>
                            <w:sz w:val="24"/>
                            <w:szCs w:val="24"/>
                            <w:lang w:val="en-NZ" w:eastAsia="en-NZ"/>
                            <w14:ligatures w14:val="standardContextual"/>
                          </w:rPr>
                          <w:tab/>
                        </w:r>
                        <w:r w:rsidRPr="00F80514">
                          <w:rPr>
                            <w:rStyle w:val="Hyperlink"/>
                          </w:rPr>
                          <w:t>Overview of the FaRS Program and its objectives</w:t>
                        </w:r>
                        <w:r>
                          <w:rPr>
                            <w:webHidden/>
                          </w:rPr>
                          <w:tab/>
                        </w:r>
                        <w:r>
                          <w:rPr>
                            <w:webHidden/>
                          </w:rPr>
                          <w:fldChar w:fldCharType="begin"/>
                        </w:r>
                        <w:r>
                          <w:rPr>
                            <w:webHidden/>
                          </w:rPr>
                          <w:instrText xml:space="preserve"> PAGEREF _Toc208906829 \h </w:instrText>
                        </w:r>
                        <w:r>
                          <w:rPr>
                            <w:webHidden/>
                          </w:rPr>
                        </w:r>
                        <w:r>
                          <w:rPr>
                            <w:webHidden/>
                          </w:rPr>
                          <w:fldChar w:fldCharType="separate"/>
                        </w:r>
                        <w:r w:rsidR="008D2566">
                          <w:rPr>
                            <w:webHidden/>
                          </w:rPr>
                          <w:t>2</w:t>
                        </w:r>
                        <w:r>
                          <w:rPr>
                            <w:webHidden/>
                          </w:rPr>
                          <w:fldChar w:fldCharType="end"/>
                        </w:r>
                      </w:hyperlink>
                    </w:p>
                    <w:p w14:paraId="1EA7EA07" w14:textId="7BC11F73" w:rsidR="00060D66" w:rsidRDefault="00060D66">
                      <w:pPr>
                        <w:pStyle w:val="TOC2"/>
                        <w:tabs>
                          <w:tab w:val="left" w:pos="1797"/>
                        </w:tabs>
                        <w:rPr>
                          <w:rFonts w:cstheme="minorBidi"/>
                          <w:kern w:val="2"/>
                          <w:sz w:val="24"/>
                          <w:szCs w:val="24"/>
                          <w:lang w:val="en-NZ" w:eastAsia="en-NZ"/>
                          <w14:ligatures w14:val="standardContextual"/>
                        </w:rPr>
                      </w:pPr>
                      <w:hyperlink w:anchor="_Toc208906830" w:history="1">
                        <w:r w:rsidRPr="00F80514">
                          <w:rPr>
                            <w:rStyle w:val="Hyperlink"/>
                          </w:rPr>
                          <w:t>1.2.</w:t>
                        </w:r>
                        <w:r>
                          <w:rPr>
                            <w:rFonts w:cstheme="minorBidi"/>
                            <w:kern w:val="2"/>
                            <w:sz w:val="24"/>
                            <w:szCs w:val="24"/>
                            <w:lang w:val="en-NZ" w:eastAsia="en-NZ"/>
                            <w14:ligatures w14:val="standardContextual"/>
                          </w:rPr>
                          <w:tab/>
                        </w:r>
                        <w:r w:rsidRPr="00F80514">
                          <w:rPr>
                            <w:rStyle w:val="Hyperlink"/>
                          </w:rPr>
                          <w:t>Overview of the SFVS Program and its objectives</w:t>
                        </w:r>
                        <w:r>
                          <w:rPr>
                            <w:webHidden/>
                          </w:rPr>
                          <w:tab/>
                        </w:r>
                        <w:r>
                          <w:rPr>
                            <w:webHidden/>
                          </w:rPr>
                          <w:fldChar w:fldCharType="begin"/>
                        </w:r>
                        <w:r>
                          <w:rPr>
                            <w:webHidden/>
                          </w:rPr>
                          <w:instrText xml:space="preserve"> PAGEREF _Toc208906830 \h </w:instrText>
                        </w:r>
                        <w:r>
                          <w:rPr>
                            <w:webHidden/>
                          </w:rPr>
                        </w:r>
                        <w:r>
                          <w:rPr>
                            <w:webHidden/>
                          </w:rPr>
                          <w:fldChar w:fldCharType="separate"/>
                        </w:r>
                        <w:r w:rsidR="008D2566">
                          <w:rPr>
                            <w:webHidden/>
                          </w:rPr>
                          <w:t>4</w:t>
                        </w:r>
                        <w:r>
                          <w:rPr>
                            <w:webHidden/>
                          </w:rPr>
                          <w:fldChar w:fldCharType="end"/>
                        </w:r>
                      </w:hyperlink>
                    </w:p>
                    <w:p w14:paraId="2AC9E34A" w14:textId="51B09224" w:rsidR="00060D66" w:rsidRDefault="00060D66">
                      <w:pPr>
                        <w:pStyle w:val="TOC2"/>
                        <w:tabs>
                          <w:tab w:val="left" w:pos="1797"/>
                        </w:tabs>
                        <w:rPr>
                          <w:rFonts w:cstheme="minorBidi"/>
                          <w:kern w:val="2"/>
                          <w:sz w:val="24"/>
                          <w:szCs w:val="24"/>
                          <w:lang w:val="en-NZ" w:eastAsia="en-NZ"/>
                          <w14:ligatures w14:val="standardContextual"/>
                        </w:rPr>
                      </w:pPr>
                      <w:hyperlink w:anchor="_Toc208906831" w:history="1">
                        <w:r w:rsidRPr="00F80514">
                          <w:rPr>
                            <w:rStyle w:val="Hyperlink"/>
                          </w:rPr>
                          <w:t>1.3.</w:t>
                        </w:r>
                        <w:r>
                          <w:rPr>
                            <w:rFonts w:cstheme="minorBidi"/>
                            <w:kern w:val="2"/>
                            <w:sz w:val="24"/>
                            <w:szCs w:val="24"/>
                            <w:lang w:val="en-NZ" w:eastAsia="en-NZ"/>
                            <w14:ligatures w14:val="standardContextual"/>
                          </w:rPr>
                          <w:tab/>
                        </w:r>
                        <w:r w:rsidRPr="00F80514">
                          <w:rPr>
                            <w:rStyle w:val="Hyperlink"/>
                          </w:rPr>
                          <w:t>Implementation of FaRS and SFVS funding</w:t>
                        </w:r>
                        <w:r>
                          <w:rPr>
                            <w:webHidden/>
                          </w:rPr>
                          <w:tab/>
                        </w:r>
                        <w:r>
                          <w:rPr>
                            <w:webHidden/>
                          </w:rPr>
                          <w:fldChar w:fldCharType="begin"/>
                        </w:r>
                        <w:r>
                          <w:rPr>
                            <w:webHidden/>
                          </w:rPr>
                          <w:instrText xml:space="preserve"> PAGEREF _Toc208906831 \h </w:instrText>
                        </w:r>
                        <w:r>
                          <w:rPr>
                            <w:webHidden/>
                          </w:rPr>
                        </w:r>
                        <w:r>
                          <w:rPr>
                            <w:webHidden/>
                          </w:rPr>
                          <w:fldChar w:fldCharType="separate"/>
                        </w:r>
                        <w:r w:rsidR="008D2566">
                          <w:rPr>
                            <w:webHidden/>
                          </w:rPr>
                          <w:t>6</w:t>
                        </w:r>
                        <w:r>
                          <w:rPr>
                            <w:webHidden/>
                          </w:rPr>
                          <w:fldChar w:fldCharType="end"/>
                        </w:r>
                      </w:hyperlink>
                    </w:p>
                    <w:p w14:paraId="1E215212" w14:textId="11E762C4" w:rsidR="00060D66" w:rsidRDefault="00060D66">
                      <w:pPr>
                        <w:pStyle w:val="TOC2"/>
                        <w:tabs>
                          <w:tab w:val="left" w:pos="1797"/>
                        </w:tabs>
                        <w:rPr>
                          <w:rFonts w:cstheme="minorBidi"/>
                          <w:kern w:val="2"/>
                          <w:sz w:val="24"/>
                          <w:szCs w:val="24"/>
                          <w:lang w:val="en-NZ" w:eastAsia="en-NZ"/>
                          <w14:ligatures w14:val="standardContextual"/>
                        </w:rPr>
                      </w:pPr>
                      <w:hyperlink w:anchor="_Toc208906832" w:history="1">
                        <w:r w:rsidRPr="00F80514">
                          <w:rPr>
                            <w:rStyle w:val="Hyperlink"/>
                          </w:rPr>
                          <w:t>1.4.</w:t>
                        </w:r>
                        <w:r>
                          <w:rPr>
                            <w:rFonts w:cstheme="minorBidi"/>
                            <w:kern w:val="2"/>
                            <w:sz w:val="24"/>
                            <w:szCs w:val="24"/>
                            <w:lang w:val="en-NZ" w:eastAsia="en-NZ"/>
                            <w14:ligatures w14:val="standardContextual"/>
                          </w:rPr>
                          <w:tab/>
                        </w:r>
                        <w:r w:rsidRPr="00F80514">
                          <w:rPr>
                            <w:rStyle w:val="Hyperlink"/>
                          </w:rPr>
                          <w:t>Alignment with relevant Government Frameworks</w:t>
                        </w:r>
                        <w:r>
                          <w:rPr>
                            <w:webHidden/>
                          </w:rPr>
                          <w:tab/>
                        </w:r>
                        <w:r>
                          <w:rPr>
                            <w:webHidden/>
                          </w:rPr>
                          <w:fldChar w:fldCharType="begin"/>
                        </w:r>
                        <w:r>
                          <w:rPr>
                            <w:webHidden/>
                          </w:rPr>
                          <w:instrText xml:space="preserve"> PAGEREF _Toc208906832 \h </w:instrText>
                        </w:r>
                        <w:r>
                          <w:rPr>
                            <w:webHidden/>
                          </w:rPr>
                        </w:r>
                        <w:r>
                          <w:rPr>
                            <w:webHidden/>
                          </w:rPr>
                          <w:fldChar w:fldCharType="separate"/>
                        </w:r>
                        <w:r w:rsidR="008D2566">
                          <w:rPr>
                            <w:webHidden/>
                          </w:rPr>
                          <w:t>9</w:t>
                        </w:r>
                        <w:r>
                          <w:rPr>
                            <w:webHidden/>
                          </w:rPr>
                          <w:fldChar w:fldCharType="end"/>
                        </w:r>
                      </w:hyperlink>
                    </w:p>
                    <w:p w14:paraId="7F563B40" w14:textId="36723448" w:rsidR="00060D66" w:rsidRDefault="00060D66">
                      <w:pPr>
                        <w:pStyle w:val="TOC1"/>
                        <w:rPr>
                          <w:rFonts w:cstheme="minorBidi"/>
                          <w:b w:val="0"/>
                          <w:kern w:val="2"/>
                          <w:sz w:val="24"/>
                          <w:szCs w:val="24"/>
                          <w:lang w:val="en-NZ" w:eastAsia="en-NZ"/>
                          <w14:ligatures w14:val="standardContextual"/>
                        </w:rPr>
                      </w:pPr>
                      <w:hyperlink w:anchor="_Toc208906833" w:history="1">
                        <w:r w:rsidRPr="00F80514">
                          <w:rPr>
                            <w:rStyle w:val="Hyperlink"/>
                          </w:rPr>
                          <w:t>2.</w:t>
                        </w:r>
                        <w:r>
                          <w:rPr>
                            <w:rFonts w:cstheme="minorBidi"/>
                            <w:b w:val="0"/>
                            <w:kern w:val="2"/>
                            <w:sz w:val="24"/>
                            <w:szCs w:val="24"/>
                            <w:lang w:val="en-NZ" w:eastAsia="en-NZ"/>
                            <w14:ligatures w14:val="standardContextual"/>
                          </w:rPr>
                          <w:tab/>
                        </w:r>
                        <w:r w:rsidRPr="00F80514">
                          <w:rPr>
                            <w:rStyle w:val="Hyperlink"/>
                          </w:rPr>
                          <w:t>Scope</w:t>
                        </w:r>
                        <w:r>
                          <w:rPr>
                            <w:webHidden/>
                          </w:rPr>
                          <w:tab/>
                        </w:r>
                        <w:r>
                          <w:rPr>
                            <w:webHidden/>
                          </w:rPr>
                          <w:fldChar w:fldCharType="begin"/>
                        </w:r>
                        <w:r>
                          <w:rPr>
                            <w:webHidden/>
                          </w:rPr>
                          <w:instrText xml:space="preserve"> PAGEREF _Toc208906833 \h </w:instrText>
                        </w:r>
                        <w:r>
                          <w:rPr>
                            <w:webHidden/>
                          </w:rPr>
                        </w:r>
                        <w:r>
                          <w:rPr>
                            <w:webHidden/>
                          </w:rPr>
                          <w:fldChar w:fldCharType="separate"/>
                        </w:r>
                        <w:r w:rsidR="008D2566">
                          <w:rPr>
                            <w:webHidden/>
                          </w:rPr>
                          <w:t>11</w:t>
                        </w:r>
                        <w:r>
                          <w:rPr>
                            <w:webHidden/>
                          </w:rPr>
                          <w:fldChar w:fldCharType="end"/>
                        </w:r>
                      </w:hyperlink>
                    </w:p>
                    <w:p w14:paraId="2A2C07BA" w14:textId="519F8C95" w:rsidR="00060D66" w:rsidRDefault="00060D66">
                      <w:pPr>
                        <w:pStyle w:val="TOC1"/>
                        <w:rPr>
                          <w:rFonts w:cstheme="minorBidi"/>
                          <w:b w:val="0"/>
                          <w:kern w:val="2"/>
                          <w:sz w:val="24"/>
                          <w:szCs w:val="24"/>
                          <w:lang w:val="en-NZ" w:eastAsia="en-NZ"/>
                          <w14:ligatures w14:val="standardContextual"/>
                        </w:rPr>
                      </w:pPr>
                      <w:hyperlink w:anchor="_Toc208906834" w:history="1">
                        <w:r w:rsidRPr="00F80514">
                          <w:rPr>
                            <w:rStyle w:val="Hyperlink"/>
                          </w:rPr>
                          <w:t>3.</w:t>
                        </w:r>
                        <w:r>
                          <w:rPr>
                            <w:rFonts w:cstheme="minorBidi"/>
                            <w:b w:val="0"/>
                            <w:kern w:val="2"/>
                            <w:sz w:val="24"/>
                            <w:szCs w:val="24"/>
                            <w:lang w:val="en-NZ" w:eastAsia="en-NZ"/>
                            <w14:ligatures w14:val="standardContextual"/>
                          </w:rPr>
                          <w:tab/>
                        </w:r>
                        <w:r w:rsidRPr="00F80514">
                          <w:rPr>
                            <w:rStyle w:val="Hyperlink"/>
                          </w:rPr>
                          <w:t>Methodology</w:t>
                        </w:r>
                        <w:r>
                          <w:rPr>
                            <w:webHidden/>
                          </w:rPr>
                          <w:tab/>
                        </w:r>
                        <w:r>
                          <w:rPr>
                            <w:webHidden/>
                          </w:rPr>
                          <w:fldChar w:fldCharType="begin"/>
                        </w:r>
                        <w:r>
                          <w:rPr>
                            <w:webHidden/>
                          </w:rPr>
                          <w:instrText xml:space="preserve"> PAGEREF _Toc208906834 \h </w:instrText>
                        </w:r>
                        <w:r>
                          <w:rPr>
                            <w:webHidden/>
                          </w:rPr>
                        </w:r>
                        <w:r>
                          <w:rPr>
                            <w:webHidden/>
                          </w:rPr>
                          <w:fldChar w:fldCharType="separate"/>
                        </w:r>
                        <w:r w:rsidR="008D2566">
                          <w:rPr>
                            <w:webHidden/>
                          </w:rPr>
                          <w:t>15</w:t>
                        </w:r>
                        <w:r>
                          <w:rPr>
                            <w:webHidden/>
                          </w:rPr>
                          <w:fldChar w:fldCharType="end"/>
                        </w:r>
                      </w:hyperlink>
                    </w:p>
                    <w:p w14:paraId="76313F9C" w14:textId="06986621" w:rsidR="00060D66" w:rsidRDefault="00060D66">
                      <w:pPr>
                        <w:pStyle w:val="TOC2"/>
                        <w:tabs>
                          <w:tab w:val="left" w:pos="1797"/>
                        </w:tabs>
                        <w:rPr>
                          <w:rFonts w:cstheme="minorBidi"/>
                          <w:kern w:val="2"/>
                          <w:sz w:val="24"/>
                          <w:szCs w:val="24"/>
                          <w:lang w:val="en-NZ" w:eastAsia="en-NZ"/>
                          <w14:ligatures w14:val="standardContextual"/>
                        </w:rPr>
                      </w:pPr>
                      <w:hyperlink w:anchor="_Toc208906837" w:history="1">
                        <w:r w:rsidRPr="00F80514">
                          <w:rPr>
                            <w:rStyle w:val="Hyperlink"/>
                          </w:rPr>
                          <w:t>3.1.</w:t>
                        </w:r>
                        <w:r>
                          <w:rPr>
                            <w:rFonts w:cstheme="minorBidi"/>
                            <w:kern w:val="2"/>
                            <w:sz w:val="24"/>
                            <w:szCs w:val="24"/>
                            <w:lang w:val="en-NZ" w:eastAsia="en-NZ"/>
                            <w14:ligatures w14:val="standardContextual"/>
                          </w:rPr>
                          <w:tab/>
                        </w:r>
                        <w:r w:rsidRPr="00F80514">
                          <w:rPr>
                            <w:rStyle w:val="Hyperlink"/>
                          </w:rPr>
                          <w:t>Overview of method</w:t>
                        </w:r>
                        <w:r>
                          <w:rPr>
                            <w:webHidden/>
                          </w:rPr>
                          <w:tab/>
                        </w:r>
                        <w:r>
                          <w:rPr>
                            <w:webHidden/>
                          </w:rPr>
                          <w:fldChar w:fldCharType="begin"/>
                        </w:r>
                        <w:r>
                          <w:rPr>
                            <w:webHidden/>
                          </w:rPr>
                          <w:instrText xml:space="preserve"> PAGEREF _Toc208906837 \h </w:instrText>
                        </w:r>
                        <w:r>
                          <w:rPr>
                            <w:webHidden/>
                          </w:rPr>
                        </w:r>
                        <w:r>
                          <w:rPr>
                            <w:webHidden/>
                          </w:rPr>
                          <w:fldChar w:fldCharType="separate"/>
                        </w:r>
                        <w:r w:rsidR="008D2566">
                          <w:rPr>
                            <w:webHidden/>
                          </w:rPr>
                          <w:t>15</w:t>
                        </w:r>
                        <w:r>
                          <w:rPr>
                            <w:webHidden/>
                          </w:rPr>
                          <w:fldChar w:fldCharType="end"/>
                        </w:r>
                      </w:hyperlink>
                    </w:p>
                    <w:p w14:paraId="5A624A18" w14:textId="592CB736" w:rsidR="00060D66" w:rsidRDefault="00060D66">
                      <w:pPr>
                        <w:pStyle w:val="TOC2"/>
                        <w:tabs>
                          <w:tab w:val="left" w:pos="1797"/>
                        </w:tabs>
                        <w:rPr>
                          <w:rFonts w:cstheme="minorBidi"/>
                          <w:kern w:val="2"/>
                          <w:sz w:val="24"/>
                          <w:szCs w:val="24"/>
                          <w:lang w:val="en-NZ" w:eastAsia="en-NZ"/>
                          <w14:ligatures w14:val="standardContextual"/>
                        </w:rPr>
                      </w:pPr>
                      <w:hyperlink w:anchor="_Toc208906838" w:history="1">
                        <w:r w:rsidRPr="00F80514">
                          <w:rPr>
                            <w:rStyle w:val="Hyperlink"/>
                          </w:rPr>
                          <w:t>3.2.</w:t>
                        </w:r>
                        <w:r>
                          <w:rPr>
                            <w:rFonts w:cstheme="minorBidi"/>
                            <w:kern w:val="2"/>
                            <w:sz w:val="24"/>
                            <w:szCs w:val="24"/>
                            <w:lang w:val="en-NZ" w:eastAsia="en-NZ"/>
                            <w14:ligatures w14:val="standardContextual"/>
                          </w:rPr>
                          <w:tab/>
                        </w:r>
                        <w:r w:rsidRPr="00F80514">
                          <w:rPr>
                            <w:rStyle w:val="Hyperlink"/>
                          </w:rPr>
                          <w:t>Ethical approach</w:t>
                        </w:r>
                        <w:r>
                          <w:rPr>
                            <w:webHidden/>
                          </w:rPr>
                          <w:tab/>
                        </w:r>
                        <w:r>
                          <w:rPr>
                            <w:webHidden/>
                          </w:rPr>
                          <w:fldChar w:fldCharType="begin"/>
                        </w:r>
                        <w:r>
                          <w:rPr>
                            <w:webHidden/>
                          </w:rPr>
                          <w:instrText xml:space="preserve"> PAGEREF _Toc208906838 \h </w:instrText>
                        </w:r>
                        <w:r>
                          <w:rPr>
                            <w:webHidden/>
                          </w:rPr>
                        </w:r>
                        <w:r>
                          <w:rPr>
                            <w:webHidden/>
                          </w:rPr>
                          <w:fldChar w:fldCharType="separate"/>
                        </w:r>
                        <w:r w:rsidR="008D2566">
                          <w:rPr>
                            <w:webHidden/>
                          </w:rPr>
                          <w:t>15</w:t>
                        </w:r>
                        <w:r>
                          <w:rPr>
                            <w:webHidden/>
                          </w:rPr>
                          <w:fldChar w:fldCharType="end"/>
                        </w:r>
                      </w:hyperlink>
                    </w:p>
                    <w:p w14:paraId="07C14F77" w14:textId="21DE2654" w:rsidR="00060D66" w:rsidRDefault="00060D66">
                      <w:pPr>
                        <w:pStyle w:val="TOC2"/>
                        <w:tabs>
                          <w:tab w:val="left" w:pos="1797"/>
                        </w:tabs>
                        <w:rPr>
                          <w:rFonts w:cstheme="minorBidi"/>
                          <w:kern w:val="2"/>
                          <w:sz w:val="24"/>
                          <w:szCs w:val="24"/>
                          <w:lang w:val="en-NZ" w:eastAsia="en-NZ"/>
                          <w14:ligatures w14:val="standardContextual"/>
                        </w:rPr>
                      </w:pPr>
                      <w:hyperlink w:anchor="_Toc208906839" w:history="1">
                        <w:r w:rsidRPr="00F80514">
                          <w:rPr>
                            <w:rStyle w:val="Hyperlink"/>
                          </w:rPr>
                          <w:t>3.3.</w:t>
                        </w:r>
                        <w:r>
                          <w:rPr>
                            <w:rFonts w:cstheme="minorBidi"/>
                            <w:kern w:val="2"/>
                            <w:sz w:val="24"/>
                            <w:szCs w:val="24"/>
                            <w:lang w:val="en-NZ" w:eastAsia="en-NZ"/>
                            <w14:ligatures w14:val="standardContextual"/>
                          </w:rPr>
                          <w:tab/>
                        </w:r>
                        <w:r w:rsidRPr="00F80514">
                          <w:rPr>
                            <w:rStyle w:val="Hyperlink"/>
                          </w:rPr>
                          <w:t>Approach to Aboriginal and Torres Strait Islander engagement</w:t>
                        </w:r>
                        <w:r>
                          <w:rPr>
                            <w:webHidden/>
                          </w:rPr>
                          <w:tab/>
                        </w:r>
                        <w:r>
                          <w:rPr>
                            <w:webHidden/>
                          </w:rPr>
                          <w:fldChar w:fldCharType="begin"/>
                        </w:r>
                        <w:r>
                          <w:rPr>
                            <w:webHidden/>
                          </w:rPr>
                          <w:instrText xml:space="preserve"> PAGEREF _Toc208906839 \h </w:instrText>
                        </w:r>
                        <w:r>
                          <w:rPr>
                            <w:webHidden/>
                          </w:rPr>
                        </w:r>
                        <w:r>
                          <w:rPr>
                            <w:webHidden/>
                          </w:rPr>
                          <w:fldChar w:fldCharType="separate"/>
                        </w:r>
                        <w:r w:rsidR="008D2566">
                          <w:rPr>
                            <w:webHidden/>
                          </w:rPr>
                          <w:t>16</w:t>
                        </w:r>
                        <w:r>
                          <w:rPr>
                            <w:webHidden/>
                          </w:rPr>
                          <w:fldChar w:fldCharType="end"/>
                        </w:r>
                      </w:hyperlink>
                    </w:p>
                    <w:p w14:paraId="1E124C6B" w14:textId="2916ACE9" w:rsidR="00060D66" w:rsidRDefault="00060D66">
                      <w:pPr>
                        <w:pStyle w:val="TOC2"/>
                        <w:tabs>
                          <w:tab w:val="left" w:pos="1797"/>
                        </w:tabs>
                        <w:rPr>
                          <w:rFonts w:cstheme="minorBidi"/>
                          <w:kern w:val="2"/>
                          <w:sz w:val="24"/>
                          <w:szCs w:val="24"/>
                          <w:lang w:val="en-NZ" w:eastAsia="en-NZ"/>
                          <w14:ligatures w14:val="standardContextual"/>
                        </w:rPr>
                      </w:pPr>
                      <w:hyperlink w:anchor="_Toc208906840" w:history="1">
                        <w:r w:rsidRPr="00F80514">
                          <w:rPr>
                            <w:rStyle w:val="Hyperlink"/>
                          </w:rPr>
                          <w:t>3.4.</w:t>
                        </w:r>
                        <w:r>
                          <w:rPr>
                            <w:rFonts w:cstheme="minorBidi"/>
                            <w:kern w:val="2"/>
                            <w:sz w:val="24"/>
                            <w:szCs w:val="24"/>
                            <w:lang w:val="en-NZ" w:eastAsia="en-NZ"/>
                            <w14:ligatures w14:val="standardContextual"/>
                          </w:rPr>
                          <w:tab/>
                        </w:r>
                        <w:r w:rsidRPr="00F80514">
                          <w:rPr>
                            <w:rStyle w:val="Hyperlink"/>
                          </w:rPr>
                          <w:t>Literature Review</w:t>
                        </w:r>
                        <w:r>
                          <w:rPr>
                            <w:webHidden/>
                          </w:rPr>
                          <w:tab/>
                        </w:r>
                        <w:r>
                          <w:rPr>
                            <w:webHidden/>
                          </w:rPr>
                          <w:fldChar w:fldCharType="begin"/>
                        </w:r>
                        <w:r>
                          <w:rPr>
                            <w:webHidden/>
                          </w:rPr>
                          <w:instrText xml:space="preserve"> PAGEREF _Toc208906840 \h </w:instrText>
                        </w:r>
                        <w:r>
                          <w:rPr>
                            <w:webHidden/>
                          </w:rPr>
                        </w:r>
                        <w:r>
                          <w:rPr>
                            <w:webHidden/>
                          </w:rPr>
                          <w:fldChar w:fldCharType="separate"/>
                        </w:r>
                        <w:r w:rsidR="008D2566">
                          <w:rPr>
                            <w:webHidden/>
                          </w:rPr>
                          <w:t>18</w:t>
                        </w:r>
                        <w:r>
                          <w:rPr>
                            <w:webHidden/>
                          </w:rPr>
                          <w:fldChar w:fldCharType="end"/>
                        </w:r>
                      </w:hyperlink>
                    </w:p>
                    <w:p w14:paraId="3F0A6396" w14:textId="6471FCB4" w:rsidR="00060D66" w:rsidRDefault="00060D66">
                      <w:pPr>
                        <w:pStyle w:val="TOC2"/>
                        <w:tabs>
                          <w:tab w:val="left" w:pos="1797"/>
                        </w:tabs>
                        <w:rPr>
                          <w:rFonts w:cstheme="minorBidi"/>
                          <w:kern w:val="2"/>
                          <w:sz w:val="24"/>
                          <w:szCs w:val="24"/>
                          <w:lang w:val="en-NZ" w:eastAsia="en-NZ"/>
                          <w14:ligatures w14:val="standardContextual"/>
                        </w:rPr>
                      </w:pPr>
                      <w:hyperlink w:anchor="_Toc208906841" w:history="1">
                        <w:r w:rsidRPr="00F80514">
                          <w:rPr>
                            <w:rStyle w:val="Hyperlink"/>
                          </w:rPr>
                          <w:t>3.5.</w:t>
                        </w:r>
                        <w:r>
                          <w:rPr>
                            <w:rFonts w:cstheme="minorBidi"/>
                            <w:kern w:val="2"/>
                            <w:sz w:val="24"/>
                            <w:szCs w:val="24"/>
                            <w:lang w:val="en-NZ" w:eastAsia="en-NZ"/>
                            <w14:ligatures w14:val="standardContextual"/>
                          </w:rPr>
                          <w:tab/>
                        </w:r>
                        <w:r w:rsidRPr="00F80514">
                          <w:rPr>
                            <w:rStyle w:val="Hyperlink"/>
                          </w:rPr>
                          <w:t>Stakeholder engagement</w:t>
                        </w:r>
                        <w:r>
                          <w:rPr>
                            <w:webHidden/>
                          </w:rPr>
                          <w:tab/>
                        </w:r>
                        <w:r>
                          <w:rPr>
                            <w:webHidden/>
                          </w:rPr>
                          <w:fldChar w:fldCharType="begin"/>
                        </w:r>
                        <w:r>
                          <w:rPr>
                            <w:webHidden/>
                          </w:rPr>
                          <w:instrText xml:space="preserve"> PAGEREF _Toc208906841 \h </w:instrText>
                        </w:r>
                        <w:r>
                          <w:rPr>
                            <w:webHidden/>
                          </w:rPr>
                        </w:r>
                        <w:r>
                          <w:rPr>
                            <w:webHidden/>
                          </w:rPr>
                          <w:fldChar w:fldCharType="separate"/>
                        </w:r>
                        <w:r w:rsidR="008D2566">
                          <w:rPr>
                            <w:webHidden/>
                          </w:rPr>
                          <w:t>18</w:t>
                        </w:r>
                        <w:r>
                          <w:rPr>
                            <w:webHidden/>
                          </w:rPr>
                          <w:fldChar w:fldCharType="end"/>
                        </w:r>
                      </w:hyperlink>
                    </w:p>
                    <w:p w14:paraId="0C9B4C9C" w14:textId="6BDA1B8D" w:rsidR="00060D66" w:rsidRDefault="00060D66">
                      <w:pPr>
                        <w:pStyle w:val="TOC2"/>
                        <w:tabs>
                          <w:tab w:val="left" w:pos="1797"/>
                        </w:tabs>
                        <w:rPr>
                          <w:rFonts w:cstheme="minorBidi"/>
                          <w:kern w:val="2"/>
                          <w:sz w:val="24"/>
                          <w:szCs w:val="24"/>
                          <w:lang w:val="en-NZ" w:eastAsia="en-NZ"/>
                          <w14:ligatures w14:val="standardContextual"/>
                        </w:rPr>
                      </w:pPr>
                      <w:hyperlink w:anchor="_Toc208906842" w:history="1">
                        <w:r w:rsidRPr="00F80514">
                          <w:rPr>
                            <w:rStyle w:val="Hyperlink"/>
                          </w:rPr>
                          <w:t>3.6.</w:t>
                        </w:r>
                        <w:r>
                          <w:rPr>
                            <w:rFonts w:cstheme="minorBidi"/>
                            <w:kern w:val="2"/>
                            <w:sz w:val="24"/>
                            <w:szCs w:val="24"/>
                            <w:lang w:val="en-NZ" w:eastAsia="en-NZ"/>
                            <w14:ligatures w14:val="standardContextual"/>
                          </w:rPr>
                          <w:tab/>
                        </w:r>
                        <w:r w:rsidRPr="00F80514">
                          <w:rPr>
                            <w:rStyle w:val="Hyperlink"/>
                          </w:rPr>
                          <w:t>Qualitative data analysis</w:t>
                        </w:r>
                        <w:r>
                          <w:rPr>
                            <w:webHidden/>
                          </w:rPr>
                          <w:tab/>
                        </w:r>
                        <w:r>
                          <w:rPr>
                            <w:webHidden/>
                          </w:rPr>
                          <w:fldChar w:fldCharType="begin"/>
                        </w:r>
                        <w:r>
                          <w:rPr>
                            <w:webHidden/>
                          </w:rPr>
                          <w:instrText xml:space="preserve"> PAGEREF _Toc208906842 \h </w:instrText>
                        </w:r>
                        <w:r>
                          <w:rPr>
                            <w:webHidden/>
                          </w:rPr>
                        </w:r>
                        <w:r>
                          <w:rPr>
                            <w:webHidden/>
                          </w:rPr>
                          <w:fldChar w:fldCharType="separate"/>
                        </w:r>
                        <w:r w:rsidR="008D2566">
                          <w:rPr>
                            <w:webHidden/>
                          </w:rPr>
                          <w:t>24</w:t>
                        </w:r>
                        <w:r>
                          <w:rPr>
                            <w:webHidden/>
                          </w:rPr>
                          <w:fldChar w:fldCharType="end"/>
                        </w:r>
                      </w:hyperlink>
                    </w:p>
                    <w:p w14:paraId="3CD6AB5A" w14:textId="5C3649C8" w:rsidR="00060D66" w:rsidRDefault="00060D66">
                      <w:pPr>
                        <w:pStyle w:val="TOC2"/>
                        <w:tabs>
                          <w:tab w:val="left" w:pos="1797"/>
                        </w:tabs>
                        <w:rPr>
                          <w:rFonts w:cstheme="minorBidi"/>
                          <w:kern w:val="2"/>
                          <w:sz w:val="24"/>
                          <w:szCs w:val="24"/>
                          <w:lang w:val="en-NZ" w:eastAsia="en-NZ"/>
                          <w14:ligatures w14:val="standardContextual"/>
                        </w:rPr>
                      </w:pPr>
                      <w:hyperlink w:anchor="_Toc208906843" w:history="1">
                        <w:r w:rsidRPr="00F80514">
                          <w:rPr>
                            <w:rStyle w:val="Hyperlink"/>
                          </w:rPr>
                          <w:t>3.7.</w:t>
                        </w:r>
                        <w:r>
                          <w:rPr>
                            <w:rFonts w:cstheme="minorBidi"/>
                            <w:kern w:val="2"/>
                            <w:sz w:val="24"/>
                            <w:szCs w:val="24"/>
                            <w:lang w:val="en-NZ" w:eastAsia="en-NZ"/>
                            <w14:ligatures w14:val="standardContextual"/>
                          </w:rPr>
                          <w:tab/>
                        </w:r>
                        <w:r w:rsidRPr="00F80514">
                          <w:rPr>
                            <w:rStyle w:val="Hyperlink"/>
                          </w:rPr>
                          <w:t>Quantitative data analysis</w:t>
                        </w:r>
                        <w:r>
                          <w:rPr>
                            <w:webHidden/>
                          </w:rPr>
                          <w:tab/>
                        </w:r>
                        <w:r>
                          <w:rPr>
                            <w:webHidden/>
                          </w:rPr>
                          <w:fldChar w:fldCharType="begin"/>
                        </w:r>
                        <w:r>
                          <w:rPr>
                            <w:webHidden/>
                          </w:rPr>
                          <w:instrText xml:space="preserve"> PAGEREF _Toc208906843 \h </w:instrText>
                        </w:r>
                        <w:r>
                          <w:rPr>
                            <w:webHidden/>
                          </w:rPr>
                        </w:r>
                        <w:r>
                          <w:rPr>
                            <w:webHidden/>
                          </w:rPr>
                          <w:fldChar w:fldCharType="separate"/>
                        </w:r>
                        <w:r w:rsidR="008D2566">
                          <w:rPr>
                            <w:webHidden/>
                          </w:rPr>
                          <w:t>24</w:t>
                        </w:r>
                        <w:r>
                          <w:rPr>
                            <w:webHidden/>
                          </w:rPr>
                          <w:fldChar w:fldCharType="end"/>
                        </w:r>
                      </w:hyperlink>
                    </w:p>
                    <w:p w14:paraId="12787BC2" w14:textId="46BD508A" w:rsidR="00060D66" w:rsidRDefault="00060D66">
                      <w:pPr>
                        <w:pStyle w:val="TOC2"/>
                        <w:tabs>
                          <w:tab w:val="left" w:pos="1797"/>
                        </w:tabs>
                        <w:rPr>
                          <w:rFonts w:cstheme="minorBidi"/>
                          <w:kern w:val="2"/>
                          <w:sz w:val="24"/>
                          <w:szCs w:val="24"/>
                          <w:lang w:val="en-NZ" w:eastAsia="en-NZ"/>
                          <w14:ligatures w14:val="standardContextual"/>
                        </w:rPr>
                      </w:pPr>
                      <w:hyperlink w:anchor="_Toc208906844" w:history="1">
                        <w:r w:rsidRPr="00F80514">
                          <w:rPr>
                            <w:rStyle w:val="Hyperlink"/>
                          </w:rPr>
                          <w:t>3.8.</w:t>
                        </w:r>
                        <w:r>
                          <w:rPr>
                            <w:rFonts w:cstheme="minorBidi"/>
                            <w:kern w:val="2"/>
                            <w:sz w:val="24"/>
                            <w:szCs w:val="24"/>
                            <w:lang w:val="en-NZ" w:eastAsia="en-NZ"/>
                            <w14:ligatures w14:val="standardContextual"/>
                          </w:rPr>
                          <w:tab/>
                        </w:r>
                        <w:r w:rsidRPr="00F80514">
                          <w:rPr>
                            <w:rStyle w:val="Hyperlink"/>
                          </w:rPr>
                          <w:t>Limitations and considerations</w:t>
                        </w:r>
                        <w:r>
                          <w:rPr>
                            <w:webHidden/>
                          </w:rPr>
                          <w:tab/>
                        </w:r>
                        <w:r>
                          <w:rPr>
                            <w:webHidden/>
                          </w:rPr>
                          <w:fldChar w:fldCharType="begin"/>
                        </w:r>
                        <w:r>
                          <w:rPr>
                            <w:webHidden/>
                          </w:rPr>
                          <w:instrText xml:space="preserve"> PAGEREF _Toc208906844 \h </w:instrText>
                        </w:r>
                        <w:r>
                          <w:rPr>
                            <w:webHidden/>
                          </w:rPr>
                        </w:r>
                        <w:r>
                          <w:rPr>
                            <w:webHidden/>
                          </w:rPr>
                          <w:fldChar w:fldCharType="separate"/>
                        </w:r>
                        <w:r w:rsidR="008D2566">
                          <w:rPr>
                            <w:webHidden/>
                          </w:rPr>
                          <w:t>29</w:t>
                        </w:r>
                        <w:r>
                          <w:rPr>
                            <w:webHidden/>
                          </w:rPr>
                          <w:fldChar w:fldCharType="end"/>
                        </w:r>
                      </w:hyperlink>
                    </w:p>
                    <w:p w14:paraId="33306FB5" w14:textId="71AA7FC5" w:rsidR="00060D66" w:rsidRDefault="00060D66">
                      <w:pPr>
                        <w:pStyle w:val="TOC2"/>
                        <w:tabs>
                          <w:tab w:val="left" w:pos="1797"/>
                        </w:tabs>
                        <w:rPr>
                          <w:rFonts w:cstheme="minorBidi"/>
                          <w:kern w:val="2"/>
                          <w:sz w:val="24"/>
                          <w:szCs w:val="24"/>
                          <w:lang w:val="en-NZ" w:eastAsia="en-NZ"/>
                          <w14:ligatures w14:val="standardContextual"/>
                        </w:rPr>
                      </w:pPr>
                      <w:hyperlink w:anchor="_Toc208906845" w:history="1">
                        <w:r w:rsidRPr="00F80514">
                          <w:rPr>
                            <w:rStyle w:val="Hyperlink"/>
                          </w:rPr>
                          <w:t>3.9.</w:t>
                        </w:r>
                        <w:r>
                          <w:rPr>
                            <w:rFonts w:cstheme="minorBidi"/>
                            <w:kern w:val="2"/>
                            <w:sz w:val="24"/>
                            <w:szCs w:val="24"/>
                            <w:lang w:val="en-NZ" w:eastAsia="en-NZ"/>
                            <w14:ligatures w14:val="standardContextual"/>
                          </w:rPr>
                          <w:tab/>
                        </w:r>
                        <w:r w:rsidRPr="00F80514">
                          <w:rPr>
                            <w:rStyle w:val="Hyperlink"/>
                          </w:rPr>
                          <w:t>Context of family life and relationships in Australia</w:t>
                        </w:r>
                        <w:r>
                          <w:rPr>
                            <w:webHidden/>
                          </w:rPr>
                          <w:tab/>
                        </w:r>
                        <w:r>
                          <w:rPr>
                            <w:webHidden/>
                          </w:rPr>
                          <w:fldChar w:fldCharType="begin"/>
                        </w:r>
                        <w:r>
                          <w:rPr>
                            <w:webHidden/>
                          </w:rPr>
                          <w:instrText xml:space="preserve"> PAGEREF _Toc208906845 \h </w:instrText>
                        </w:r>
                        <w:r>
                          <w:rPr>
                            <w:webHidden/>
                          </w:rPr>
                        </w:r>
                        <w:r>
                          <w:rPr>
                            <w:webHidden/>
                          </w:rPr>
                          <w:fldChar w:fldCharType="separate"/>
                        </w:r>
                        <w:r w:rsidR="008D2566">
                          <w:rPr>
                            <w:webHidden/>
                          </w:rPr>
                          <w:t>36</w:t>
                        </w:r>
                        <w:r>
                          <w:rPr>
                            <w:webHidden/>
                          </w:rPr>
                          <w:fldChar w:fldCharType="end"/>
                        </w:r>
                      </w:hyperlink>
                    </w:p>
                    <w:p w14:paraId="643A4F5D" w14:textId="26B3D97E" w:rsidR="00060D66" w:rsidRDefault="00060D66">
                      <w:pPr>
                        <w:pStyle w:val="TOC1"/>
                        <w:rPr>
                          <w:rFonts w:cstheme="minorBidi"/>
                          <w:b w:val="0"/>
                          <w:kern w:val="2"/>
                          <w:sz w:val="24"/>
                          <w:szCs w:val="24"/>
                          <w:lang w:val="en-NZ" w:eastAsia="en-NZ"/>
                          <w14:ligatures w14:val="standardContextual"/>
                        </w:rPr>
                      </w:pPr>
                      <w:hyperlink w:anchor="_Toc208906846" w:history="1">
                        <w:r w:rsidRPr="00F80514">
                          <w:rPr>
                            <w:rStyle w:val="Hyperlink"/>
                          </w:rPr>
                          <w:t>4.</w:t>
                        </w:r>
                        <w:r>
                          <w:rPr>
                            <w:rFonts w:cstheme="minorBidi"/>
                            <w:b w:val="0"/>
                            <w:kern w:val="2"/>
                            <w:sz w:val="24"/>
                            <w:szCs w:val="24"/>
                            <w:lang w:val="en-NZ" w:eastAsia="en-NZ"/>
                            <w14:ligatures w14:val="standardContextual"/>
                          </w:rPr>
                          <w:tab/>
                        </w:r>
                        <w:r w:rsidRPr="00F80514">
                          <w:rPr>
                            <w:rStyle w:val="Hyperlink"/>
                          </w:rPr>
                          <w:t>Efficiency</w:t>
                        </w:r>
                        <w:r>
                          <w:rPr>
                            <w:webHidden/>
                          </w:rPr>
                          <w:tab/>
                        </w:r>
                        <w:r>
                          <w:rPr>
                            <w:webHidden/>
                          </w:rPr>
                          <w:fldChar w:fldCharType="begin"/>
                        </w:r>
                        <w:r>
                          <w:rPr>
                            <w:webHidden/>
                          </w:rPr>
                          <w:instrText xml:space="preserve"> PAGEREF _Toc208906846 \h </w:instrText>
                        </w:r>
                        <w:r>
                          <w:rPr>
                            <w:webHidden/>
                          </w:rPr>
                        </w:r>
                        <w:r>
                          <w:rPr>
                            <w:webHidden/>
                          </w:rPr>
                          <w:fldChar w:fldCharType="separate"/>
                        </w:r>
                        <w:r w:rsidR="008D2566">
                          <w:rPr>
                            <w:webHidden/>
                          </w:rPr>
                          <w:t>47</w:t>
                        </w:r>
                        <w:r>
                          <w:rPr>
                            <w:webHidden/>
                          </w:rPr>
                          <w:fldChar w:fldCharType="end"/>
                        </w:r>
                      </w:hyperlink>
                    </w:p>
                    <w:p w14:paraId="2C03901B" w14:textId="3BA9D649" w:rsidR="00060D66" w:rsidRDefault="00060D66">
                      <w:pPr>
                        <w:pStyle w:val="TOC2"/>
                        <w:tabs>
                          <w:tab w:val="left" w:pos="1797"/>
                        </w:tabs>
                        <w:rPr>
                          <w:rFonts w:cstheme="minorBidi"/>
                          <w:kern w:val="2"/>
                          <w:sz w:val="24"/>
                          <w:szCs w:val="24"/>
                          <w:lang w:val="en-NZ" w:eastAsia="en-NZ"/>
                          <w14:ligatures w14:val="standardContextual"/>
                        </w:rPr>
                      </w:pPr>
                      <w:hyperlink w:anchor="_Toc208906848" w:history="1">
                        <w:r w:rsidRPr="00F80514">
                          <w:rPr>
                            <w:rStyle w:val="Hyperlink"/>
                          </w:rPr>
                          <w:t>4.1.</w:t>
                        </w:r>
                        <w:r>
                          <w:rPr>
                            <w:rFonts w:cstheme="minorBidi"/>
                            <w:kern w:val="2"/>
                            <w:sz w:val="24"/>
                            <w:szCs w:val="24"/>
                            <w:lang w:val="en-NZ" w:eastAsia="en-NZ"/>
                            <w14:ligatures w14:val="standardContextual"/>
                          </w:rPr>
                          <w:tab/>
                        </w:r>
                        <w:r w:rsidRPr="00F80514">
                          <w:rPr>
                            <w:rStyle w:val="Hyperlink"/>
                          </w:rPr>
                          <w:t>Key findings</w:t>
                        </w:r>
                        <w:r>
                          <w:rPr>
                            <w:webHidden/>
                          </w:rPr>
                          <w:tab/>
                        </w:r>
                        <w:r>
                          <w:rPr>
                            <w:webHidden/>
                          </w:rPr>
                          <w:fldChar w:fldCharType="begin"/>
                        </w:r>
                        <w:r>
                          <w:rPr>
                            <w:webHidden/>
                          </w:rPr>
                          <w:instrText xml:space="preserve"> PAGEREF _Toc208906848 \h </w:instrText>
                        </w:r>
                        <w:r>
                          <w:rPr>
                            <w:webHidden/>
                          </w:rPr>
                        </w:r>
                        <w:r>
                          <w:rPr>
                            <w:webHidden/>
                          </w:rPr>
                          <w:fldChar w:fldCharType="separate"/>
                        </w:r>
                        <w:r w:rsidR="008D2566">
                          <w:rPr>
                            <w:webHidden/>
                          </w:rPr>
                          <w:t>47</w:t>
                        </w:r>
                        <w:r>
                          <w:rPr>
                            <w:webHidden/>
                          </w:rPr>
                          <w:fldChar w:fldCharType="end"/>
                        </w:r>
                      </w:hyperlink>
                    </w:p>
                    <w:p w14:paraId="1FBC362D" w14:textId="619BD160" w:rsidR="00060D66" w:rsidRDefault="00060D66">
                      <w:pPr>
                        <w:pStyle w:val="TOC2"/>
                        <w:tabs>
                          <w:tab w:val="left" w:pos="1797"/>
                        </w:tabs>
                        <w:rPr>
                          <w:rFonts w:cstheme="minorBidi"/>
                          <w:kern w:val="2"/>
                          <w:sz w:val="24"/>
                          <w:szCs w:val="24"/>
                          <w:lang w:val="en-NZ" w:eastAsia="en-NZ"/>
                          <w14:ligatures w14:val="standardContextual"/>
                        </w:rPr>
                      </w:pPr>
                      <w:hyperlink w:anchor="_Toc208906849" w:history="1">
                        <w:r w:rsidRPr="00F80514">
                          <w:rPr>
                            <w:rStyle w:val="Hyperlink"/>
                          </w:rPr>
                          <w:t>4.2.</w:t>
                        </w:r>
                        <w:r>
                          <w:rPr>
                            <w:rFonts w:cstheme="minorBidi"/>
                            <w:kern w:val="2"/>
                            <w:sz w:val="24"/>
                            <w:szCs w:val="24"/>
                            <w:lang w:val="en-NZ" w:eastAsia="en-NZ"/>
                            <w14:ligatures w14:val="standardContextual"/>
                          </w:rPr>
                          <w:tab/>
                        </w:r>
                        <w:r w:rsidRPr="00F80514">
                          <w:rPr>
                            <w:rStyle w:val="Hyperlink"/>
                          </w:rPr>
                          <w:t>Value for money</w:t>
                        </w:r>
                        <w:r>
                          <w:rPr>
                            <w:webHidden/>
                          </w:rPr>
                          <w:tab/>
                        </w:r>
                        <w:r>
                          <w:rPr>
                            <w:webHidden/>
                          </w:rPr>
                          <w:fldChar w:fldCharType="begin"/>
                        </w:r>
                        <w:r>
                          <w:rPr>
                            <w:webHidden/>
                          </w:rPr>
                          <w:instrText xml:space="preserve"> PAGEREF _Toc208906849 \h </w:instrText>
                        </w:r>
                        <w:r>
                          <w:rPr>
                            <w:webHidden/>
                          </w:rPr>
                        </w:r>
                        <w:r>
                          <w:rPr>
                            <w:webHidden/>
                          </w:rPr>
                          <w:fldChar w:fldCharType="separate"/>
                        </w:r>
                        <w:r w:rsidR="008D2566">
                          <w:rPr>
                            <w:webHidden/>
                          </w:rPr>
                          <w:t>47</w:t>
                        </w:r>
                        <w:r>
                          <w:rPr>
                            <w:webHidden/>
                          </w:rPr>
                          <w:fldChar w:fldCharType="end"/>
                        </w:r>
                      </w:hyperlink>
                    </w:p>
                    <w:p w14:paraId="12771213" w14:textId="1C2B910D" w:rsidR="00060D66" w:rsidRDefault="00060D66">
                      <w:pPr>
                        <w:pStyle w:val="TOC2"/>
                        <w:tabs>
                          <w:tab w:val="left" w:pos="1797"/>
                        </w:tabs>
                        <w:rPr>
                          <w:rFonts w:cstheme="minorBidi"/>
                          <w:kern w:val="2"/>
                          <w:sz w:val="24"/>
                          <w:szCs w:val="24"/>
                          <w:lang w:val="en-NZ" w:eastAsia="en-NZ"/>
                          <w14:ligatures w14:val="standardContextual"/>
                        </w:rPr>
                      </w:pPr>
                      <w:hyperlink w:anchor="_Toc208906850" w:history="1">
                        <w:r w:rsidRPr="00F80514">
                          <w:rPr>
                            <w:rStyle w:val="Hyperlink"/>
                          </w:rPr>
                          <w:t>4.3.</w:t>
                        </w:r>
                        <w:r>
                          <w:rPr>
                            <w:rFonts w:cstheme="minorBidi"/>
                            <w:kern w:val="2"/>
                            <w:sz w:val="24"/>
                            <w:szCs w:val="24"/>
                            <w:lang w:val="en-NZ" w:eastAsia="en-NZ"/>
                            <w14:ligatures w14:val="standardContextual"/>
                          </w:rPr>
                          <w:tab/>
                        </w:r>
                        <w:r w:rsidRPr="00F80514">
                          <w:rPr>
                            <w:rStyle w:val="Hyperlink"/>
                          </w:rPr>
                          <w:t>Return on investment</w:t>
                        </w:r>
                        <w:r>
                          <w:rPr>
                            <w:webHidden/>
                          </w:rPr>
                          <w:tab/>
                        </w:r>
                        <w:r>
                          <w:rPr>
                            <w:webHidden/>
                          </w:rPr>
                          <w:fldChar w:fldCharType="begin"/>
                        </w:r>
                        <w:r>
                          <w:rPr>
                            <w:webHidden/>
                          </w:rPr>
                          <w:instrText xml:space="preserve"> PAGEREF _Toc208906850 \h </w:instrText>
                        </w:r>
                        <w:r>
                          <w:rPr>
                            <w:webHidden/>
                          </w:rPr>
                        </w:r>
                        <w:r>
                          <w:rPr>
                            <w:webHidden/>
                          </w:rPr>
                          <w:fldChar w:fldCharType="separate"/>
                        </w:r>
                        <w:r w:rsidR="008D2566">
                          <w:rPr>
                            <w:webHidden/>
                          </w:rPr>
                          <w:t>59</w:t>
                        </w:r>
                        <w:r>
                          <w:rPr>
                            <w:webHidden/>
                          </w:rPr>
                          <w:fldChar w:fldCharType="end"/>
                        </w:r>
                      </w:hyperlink>
                    </w:p>
                    <w:p w14:paraId="7CFD1F71" w14:textId="1301E091" w:rsidR="00060D66" w:rsidRDefault="00060D66">
                      <w:pPr>
                        <w:pStyle w:val="TOC1"/>
                        <w:rPr>
                          <w:rFonts w:cstheme="minorBidi"/>
                          <w:b w:val="0"/>
                          <w:kern w:val="2"/>
                          <w:sz w:val="24"/>
                          <w:szCs w:val="24"/>
                          <w:lang w:val="en-NZ" w:eastAsia="en-NZ"/>
                          <w14:ligatures w14:val="standardContextual"/>
                        </w:rPr>
                      </w:pPr>
                      <w:hyperlink w:anchor="_Toc208906851" w:history="1">
                        <w:r w:rsidRPr="00F80514">
                          <w:rPr>
                            <w:rStyle w:val="Hyperlink"/>
                          </w:rPr>
                          <w:t>5.</w:t>
                        </w:r>
                        <w:r>
                          <w:rPr>
                            <w:rFonts w:cstheme="minorBidi"/>
                            <w:b w:val="0"/>
                            <w:kern w:val="2"/>
                            <w:sz w:val="24"/>
                            <w:szCs w:val="24"/>
                            <w:lang w:val="en-NZ" w:eastAsia="en-NZ"/>
                            <w14:ligatures w14:val="standardContextual"/>
                          </w:rPr>
                          <w:tab/>
                        </w:r>
                        <w:r w:rsidRPr="00F80514">
                          <w:rPr>
                            <w:rStyle w:val="Hyperlink"/>
                          </w:rPr>
                          <w:t>Effectiveness</w:t>
                        </w:r>
                        <w:r>
                          <w:rPr>
                            <w:webHidden/>
                          </w:rPr>
                          <w:tab/>
                        </w:r>
                        <w:r>
                          <w:rPr>
                            <w:webHidden/>
                          </w:rPr>
                          <w:fldChar w:fldCharType="begin"/>
                        </w:r>
                        <w:r>
                          <w:rPr>
                            <w:webHidden/>
                          </w:rPr>
                          <w:instrText xml:space="preserve"> PAGEREF _Toc208906851 \h </w:instrText>
                        </w:r>
                        <w:r>
                          <w:rPr>
                            <w:webHidden/>
                          </w:rPr>
                        </w:r>
                        <w:r>
                          <w:rPr>
                            <w:webHidden/>
                          </w:rPr>
                          <w:fldChar w:fldCharType="separate"/>
                        </w:r>
                        <w:r w:rsidR="008D2566">
                          <w:rPr>
                            <w:webHidden/>
                          </w:rPr>
                          <w:t>73</w:t>
                        </w:r>
                        <w:r>
                          <w:rPr>
                            <w:webHidden/>
                          </w:rPr>
                          <w:fldChar w:fldCharType="end"/>
                        </w:r>
                      </w:hyperlink>
                    </w:p>
                    <w:p w14:paraId="15AC2944" w14:textId="007F8E54" w:rsidR="00060D66" w:rsidRDefault="00060D66">
                      <w:pPr>
                        <w:pStyle w:val="TOC2"/>
                        <w:tabs>
                          <w:tab w:val="left" w:pos="1797"/>
                        </w:tabs>
                        <w:rPr>
                          <w:rFonts w:cstheme="minorBidi"/>
                          <w:kern w:val="2"/>
                          <w:sz w:val="24"/>
                          <w:szCs w:val="24"/>
                          <w:lang w:val="en-NZ" w:eastAsia="en-NZ"/>
                          <w14:ligatures w14:val="standardContextual"/>
                        </w:rPr>
                      </w:pPr>
                      <w:hyperlink w:anchor="_Toc208906853" w:history="1">
                        <w:r w:rsidRPr="00F80514">
                          <w:rPr>
                            <w:rStyle w:val="Hyperlink"/>
                          </w:rPr>
                          <w:t>5.1.</w:t>
                        </w:r>
                        <w:r>
                          <w:rPr>
                            <w:rFonts w:cstheme="minorBidi"/>
                            <w:kern w:val="2"/>
                            <w:sz w:val="24"/>
                            <w:szCs w:val="24"/>
                            <w:lang w:val="en-NZ" w:eastAsia="en-NZ"/>
                            <w14:ligatures w14:val="standardContextual"/>
                          </w:rPr>
                          <w:tab/>
                        </w:r>
                        <w:r w:rsidRPr="00F80514">
                          <w:rPr>
                            <w:rStyle w:val="Hyperlink"/>
                          </w:rPr>
                          <w:t>Key findings</w:t>
                        </w:r>
                        <w:r>
                          <w:rPr>
                            <w:webHidden/>
                          </w:rPr>
                          <w:tab/>
                        </w:r>
                        <w:r>
                          <w:rPr>
                            <w:webHidden/>
                          </w:rPr>
                          <w:fldChar w:fldCharType="begin"/>
                        </w:r>
                        <w:r>
                          <w:rPr>
                            <w:webHidden/>
                          </w:rPr>
                          <w:instrText xml:space="preserve"> PAGEREF _Toc208906853 \h </w:instrText>
                        </w:r>
                        <w:r>
                          <w:rPr>
                            <w:webHidden/>
                          </w:rPr>
                        </w:r>
                        <w:r>
                          <w:rPr>
                            <w:webHidden/>
                          </w:rPr>
                          <w:fldChar w:fldCharType="separate"/>
                        </w:r>
                        <w:r w:rsidR="008D2566">
                          <w:rPr>
                            <w:webHidden/>
                          </w:rPr>
                          <w:t>74</w:t>
                        </w:r>
                        <w:r>
                          <w:rPr>
                            <w:webHidden/>
                          </w:rPr>
                          <w:fldChar w:fldCharType="end"/>
                        </w:r>
                      </w:hyperlink>
                    </w:p>
                    <w:p w14:paraId="08B7C8E2" w14:textId="3651A3A7" w:rsidR="00060D66" w:rsidRDefault="00060D66">
                      <w:pPr>
                        <w:pStyle w:val="TOC2"/>
                        <w:tabs>
                          <w:tab w:val="left" w:pos="1797"/>
                        </w:tabs>
                        <w:rPr>
                          <w:rFonts w:cstheme="minorBidi"/>
                          <w:kern w:val="2"/>
                          <w:sz w:val="24"/>
                          <w:szCs w:val="24"/>
                          <w:lang w:val="en-NZ" w:eastAsia="en-NZ"/>
                          <w14:ligatures w14:val="standardContextual"/>
                        </w:rPr>
                      </w:pPr>
                      <w:hyperlink w:anchor="_Toc208906854" w:history="1">
                        <w:r w:rsidRPr="00F80514">
                          <w:rPr>
                            <w:rStyle w:val="Hyperlink"/>
                          </w:rPr>
                          <w:t>5.2.</w:t>
                        </w:r>
                        <w:r>
                          <w:rPr>
                            <w:rFonts w:cstheme="minorBidi"/>
                            <w:kern w:val="2"/>
                            <w:sz w:val="24"/>
                            <w:szCs w:val="24"/>
                            <w:lang w:val="en-NZ" w:eastAsia="en-NZ"/>
                            <w14:ligatures w14:val="standardContextual"/>
                          </w:rPr>
                          <w:tab/>
                        </w:r>
                        <w:r w:rsidRPr="00F80514">
                          <w:rPr>
                            <w:rStyle w:val="Hyperlink"/>
                          </w:rPr>
                          <w:t>Achievement of short and medium-term outcomes</w:t>
                        </w:r>
                        <w:r>
                          <w:rPr>
                            <w:webHidden/>
                          </w:rPr>
                          <w:tab/>
                        </w:r>
                        <w:r>
                          <w:rPr>
                            <w:webHidden/>
                          </w:rPr>
                          <w:fldChar w:fldCharType="begin"/>
                        </w:r>
                        <w:r>
                          <w:rPr>
                            <w:webHidden/>
                          </w:rPr>
                          <w:instrText xml:space="preserve"> PAGEREF _Toc208906854 \h </w:instrText>
                        </w:r>
                        <w:r>
                          <w:rPr>
                            <w:webHidden/>
                          </w:rPr>
                        </w:r>
                        <w:r>
                          <w:rPr>
                            <w:webHidden/>
                          </w:rPr>
                          <w:fldChar w:fldCharType="separate"/>
                        </w:r>
                        <w:r w:rsidR="008D2566">
                          <w:rPr>
                            <w:webHidden/>
                          </w:rPr>
                          <w:t>75</w:t>
                        </w:r>
                        <w:r>
                          <w:rPr>
                            <w:webHidden/>
                          </w:rPr>
                          <w:fldChar w:fldCharType="end"/>
                        </w:r>
                      </w:hyperlink>
                    </w:p>
                    <w:p w14:paraId="0DA23BE7" w14:textId="20CBF9CE" w:rsidR="00060D66" w:rsidRDefault="00060D66">
                      <w:pPr>
                        <w:pStyle w:val="TOC2"/>
                        <w:tabs>
                          <w:tab w:val="left" w:pos="1797"/>
                        </w:tabs>
                        <w:rPr>
                          <w:rFonts w:cstheme="minorBidi"/>
                          <w:kern w:val="2"/>
                          <w:sz w:val="24"/>
                          <w:szCs w:val="24"/>
                          <w:lang w:val="en-NZ" w:eastAsia="en-NZ"/>
                          <w14:ligatures w14:val="standardContextual"/>
                        </w:rPr>
                      </w:pPr>
                      <w:hyperlink w:anchor="_Toc208906855" w:history="1">
                        <w:r w:rsidRPr="00F80514">
                          <w:rPr>
                            <w:rStyle w:val="Hyperlink"/>
                          </w:rPr>
                          <w:t>5.3.</w:t>
                        </w:r>
                        <w:r>
                          <w:rPr>
                            <w:rFonts w:cstheme="minorBidi"/>
                            <w:kern w:val="2"/>
                            <w:sz w:val="24"/>
                            <w:szCs w:val="24"/>
                            <w:lang w:val="en-NZ" w:eastAsia="en-NZ"/>
                            <w14:ligatures w14:val="standardContextual"/>
                          </w:rPr>
                          <w:tab/>
                        </w:r>
                        <w:r w:rsidRPr="00F80514">
                          <w:rPr>
                            <w:rStyle w:val="Hyperlink"/>
                          </w:rPr>
                          <w:t>Factors affecting achievement of outcomes</w:t>
                        </w:r>
                        <w:r>
                          <w:rPr>
                            <w:webHidden/>
                          </w:rPr>
                          <w:tab/>
                        </w:r>
                        <w:r>
                          <w:rPr>
                            <w:webHidden/>
                          </w:rPr>
                          <w:fldChar w:fldCharType="begin"/>
                        </w:r>
                        <w:r>
                          <w:rPr>
                            <w:webHidden/>
                          </w:rPr>
                          <w:instrText xml:space="preserve"> PAGEREF _Toc208906855 \h </w:instrText>
                        </w:r>
                        <w:r>
                          <w:rPr>
                            <w:webHidden/>
                          </w:rPr>
                        </w:r>
                        <w:r>
                          <w:rPr>
                            <w:webHidden/>
                          </w:rPr>
                          <w:fldChar w:fldCharType="separate"/>
                        </w:r>
                        <w:r w:rsidR="008D2566">
                          <w:rPr>
                            <w:webHidden/>
                          </w:rPr>
                          <w:t>107</w:t>
                        </w:r>
                        <w:r>
                          <w:rPr>
                            <w:webHidden/>
                          </w:rPr>
                          <w:fldChar w:fldCharType="end"/>
                        </w:r>
                      </w:hyperlink>
                    </w:p>
                    <w:p w14:paraId="23E0D06E" w14:textId="1132471D" w:rsidR="00060D66" w:rsidRDefault="00060D66">
                      <w:pPr>
                        <w:pStyle w:val="TOC1"/>
                        <w:rPr>
                          <w:rFonts w:cstheme="minorBidi"/>
                          <w:b w:val="0"/>
                          <w:kern w:val="2"/>
                          <w:sz w:val="24"/>
                          <w:szCs w:val="24"/>
                          <w:lang w:val="en-NZ" w:eastAsia="en-NZ"/>
                          <w14:ligatures w14:val="standardContextual"/>
                        </w:rPr>
                      </w:pPr>
                      <w:hyperlink w:anchor="_Toc208906856" w:history="1">
                        <w:r w:rsidRPr="00F80514">
                          <w:rPr>
                            <w:rStyle w:val="Hyperlink"/>
                          </w:rPr>
                          <w:t>6.</w:t>
                        </w:r>
                        <w:r>
                          <w:rPr>
                            <w:rFonts w:cstheme="minorBidi"/>
                            <w:b w:val="0"/>
                            <w:kern w:val="2"/>
                            <w:sz w:val="24"/>
                            <w:szCs w:val="24"/>
                            <w:lang w:val="en-NZ" w:eastAsia="en-NZ"/>
                            <w14:ligatures w14:val="standardContextual"/>
                          </w:rPr>
                          <w:tab/>
                        </w:r>
                        <w:r w:rsidRPr="00F80514">
                          <w:rPr>
                            <w:rStyle w:val="Hyperlink"/>
                          </w:rPr>
                          <w:t>Appropriateness</w:t>
                        </w:r>
                        <w:r>
                          <w:rPr>
                            <w:webHidden/>
                          </w:rPr>
                          <w:tab/>
                        </w:r>
                        <w:r>
                          <w:rPr>
                            <w:webHidden/>
                          </w:rPr>
                          <w:fldChar w:fldCharType="begin"/>
                        </w:r>
                        <w:r>
                          <w:rPr>
                            <w:webHidden/>
                          </w:rPr>
                          <w:instrText xml:space="preserve"> PAGEREF _Toc208906856 \h </w:instrText>
                        </w:r>
                        <w:r>
                          <w:rPr>
                            <w:webHidden/>
                          </w:rPr>
                        </w:r>
                        <w:r>
                          <w:rPr>
                            <w:webHidden/>
                          </w:rPr>
                          <w:fldChar w:fldCharType="separate"/>
                        </w:r>
                        <w:r w:rsidR="008D2566">
                          <w:rPr>
                            <w:webHidden/>
                          </w:rPr>
                          <w:t>120</w:t>
                        </w:r>
                        <w:r>
                          <w:rPr>
                            <w:webHidden/>
                          </w:rPr>
                          <w:fldChar w:fldCharType="end"/>
                        </w:r>
                      </w:hyperlink>
                    </w:p>
                    <w:p w14:paraId="02A8D8B1" w14:textId="12E7FD5D" w:rsidR="00060D66" w:rsidRDefault="00060D66">
                      <w:pPr>
                        <w:pStyle w:val="TOC2"/>
                        <w:tabs>
                          <w:tab w:val="left" w:pos="1797"/>
                        </w:tabs>
                        <w:rPr>
                          <w:rFonts w:cstheme="minorBidi"/>
                          <w:kern w:val="2"/>
                          <w:sz w:val="24"/>
                          <w:szCs w:val="24"/>
                          <w:lang w:val="en-NZ" w:eastAsia="en-NZ"/>
                          <w14:ligatures w14:val="standardContextual"/>
                        </w:rPr>
                      </w:pPr>
                      <w:hyperlink w:anchor="_Toc208906858" w:history="1">
                        <w:r w:rsidRPr="00F80514">
                          <w:rPr>
                            <w:rStyle w:val="Hyperlink"/>
                          </w:rPr>
                          <w:t>6.1.</w:t>
                        </w:r>
                        <w:r>
                          <w:rPr>
                            <w:rFonts w:cstheme="minorBidi"/>
                            <w:kern w:val="2"/>
                            <w:sz w:val="24"/>
                            <w:szCs w:val="24"/>
                            <w:lang w:val="en-NZ" w:eastAsia="en-NZ"/>
                            <w14:ligatures w14:val="standardContextual"/>
                          </w:rPr>
                          <w:tab/>
                        </w:r>
                        <w:r w:rsidRPr="00F80514">
                          <w:rPr>
                            <w:rStyle w:val="Hyperlink"/>
                          </w:rPr>
                          <w:t>Key findings</w:t>
                        </w:r>
                        <w:r>
                          <w:rPr>
                            <w:webHidden/>
                          </w:rPr>
                          <w:tab/>
                        </w:r>
                        <w:r>
                          <w:rPr>
                            <w:webHidden/>
                          </w:rPr>
                          <w:fldChar w:fldCharType="begin"/>
                        </w:r>
                        <w:r>
                          <w:rPr>
                            <w:webHidden/>
                          </w:rPr>
                          <w:instrText xml:space="preserve"> PAGEREF _Toc208906858 \h </w:instrText>
                        </w:r>
                        <w:r>
                          <w:rPr>
                            <w:webHidden/>
                          </w:rPr>
                        </w:r>
                        <w:r>
                          <w:rPr>
                            <w:webHidden/>
                          </w:rPr>
                          <w:fldChar w:fldCharType="separate"/>
                        </w:r>
                        <w:r w:rsidR="008D2566">
                          <w:rPr>
                            <w:webHidden/>
                          </w:rPr>
                          <w:t>120</w:t>
                        </w:r>
                        <w:r>
                          <w:rPr>
                            <w:webHidden/>
                          </w:rPr>
                          <w:fldChar w:fldCharType="end"/>
                        </w:r>
                      </w:hyperlink>
                    </w:p>
                    <w:p w14:paraId="228DB1C7" w14:textId="4B461C98" w:rsidR="00060D66" w:rsidRDefault="00060D66">
                      <w:pPr>
                        <w:pStyle w:val="TOC2"/>
                        <w:tabs>
                          <w:tab w:val="left" w:pos="1797"/>
                        </w:tabs>
                        <w:rPr>
                          <w:rFonts w:cstheme="minorBidi"/>
                          <w:kern w:val="2"/>
                          <w:sz w:val="24"/>
                          <w:szCs w:val="24"/>
                          <w:lang w:val="en-NZ" w:eastAsia="en-NZ"/>
                          <w14:ligatures w14:val="standardContextual"/>
                        </w:rPr>
                      </w:pPr>
                      <w:hyperlink w:anchor="_Toc208906859" w:history="1">
                        <w:r w:rsidRPr="00F80514">
                          <w:rPr>
                            <w:rStyle w:val="Hyperlink"/>
                          </w:rPr>
                          <w:t>6.2.</w:t>
                        </w:r>
                        <w:r>
                          <w:rPr>
                            <w:rFonts w:cstheme="minorBidi"/>
                            <w:kern w:val="2"/>
                            <w:sz w:val="24"/>
                            <w:szCs w:val="24"/>
                            <w:lang w:val="en-NZ" w:eastAsia="en-NZ"/>
                            <w14:ligatures w14:val="standardContextual"/>
                          </w:rPr>
                          <w:tab/>
                        </w:r>
                        <w:r w:rsidRPr="00F80514">
                          <w:rPr>
                            <w:rStyle w:val="Hyperlink"/>
                          </w:rPr>
                          <w:t>Alignment with the needs of service users</w:t>
                        </w:r>
                        <w:r>
                          <w:rPr>
                            <w:webHidden/>
                          </w:rPr>
                          <w:tab/>
                        </w:r>
                        <w:r>
                          <w:rPr>
                            <w:webHidden/>
                          </w:rPr>
                          <w:fldChar w:fldCharType="begin"/>
                        </w:r>
                        <w:r>
                          <w:rPr>
                            <w:webHidden/>
                          </w:rPr>
                          <w:instrText xml:space="preserve"> PAGEREF _Toc208906859 \h </w:instrText>
                        </w:r>
                        <w:r>
                          <w:rPr>
                            <w:webHidden/>
                          </w:rPr>
                        </w:r>
                        <w:r>
                          <w:rPr>
                            <w:webHidden/>
                          </w:rPr>
                          <w:fldChar w:fldCharType="separate"/>
                        </w:r>
                        <w:r w:rsidR="008D2566">
                          <w:rPr>
                            <w:webHidden/>
                          </w:rPr>
                          <w:t>121</w:t>
                        </w:r>
                        <w:r>
                          <w:rPr>
                            <w:webHidden/>
                          </w:rPr>
                          <w:fldChar w:fldCharType="end"/>
                        </w:r>
                      </w:hyperlink>
                    </w:p>
                    <w:p w14:paraId="30E9F0F8" w14:textId="02DABBE6" w:rsidR="00060D66" w:rsidRDefault="00060D66">
                      <w:pPr>
                        <w:pStyle w:val="TOC2"/>
                        <w:tabs>
                          <w:tab w:val="left" w:pos="1797"/>
                        </w:tabs>
                        <w:rPr>
                          <w:rFonts w:cstheme="minorBidi"/>
                          <w:kern w:val="2"/>
                          <w:sz w:val="24"/>
                          <w:szCs w:val="24"/>
                          <w:lang w:val="en-NZ" w:eastAsia="en-NZ"/>
                          <w14:ligatures w14:val="standardContextual"/>
                        </w:rPr>
                      </w:pPr>
                      <w:hyperlink w:anchor="_Toc208906860" w:history="1">
                        <w:r w:rsidRPr="00F80514">
                          <w:rPr>
                            <w:rStyle w:val="Hyperlink"/>
                          </w:rPr>
                          <w:t>6.3.</w:t>
                        </w:r>
                        <w:r>
                          <w:rPr>
                            <w:rFonts w:cstheme="minorBidi"/>
                            <w:kern w:val="2"/>
                            <w:sz w:val="24"/>
                            <w:szCs w:val="24"/>
                            <w:lang w:val="en-NZ" w:eastAsia="en-NZ"/>
                            <w14:ligatures w14:val="standardContextual"/>
                          </w:rPr>
                          <w:tab/>
                        </w:r>
                        <w:r w:rsidRPr="00F80514">
                          <w:rPr>
                            <w:rStyle w:val="Hyperlink"/>
                          </w:rPr>
                          <w:t>Use of virtual service delivery</w:t>
                        </w:r>
                        <w:r>
                          <w:rPr>
                            <w:webHidden/>
                          </w:rPr>
                          <w:tab/>
                        </w:r>
                        <w:r>
                          <w:rPr>
                            <w:webHidden/>
                          </w:rPr>
                          <w:fldChar w:fldCharType="begin"/>
                        </w:r>
                        <w:r>
                          <w:rPr>
                            <w:webHidden/>
                          </w:rPr>
                          <w:instrText xml:space="preserve"> PAGEREF _Toc208906860 \h </w:instrText>
                        </w:r>
                        <w:r>
                          <w:rPr>
                            <w:webHidden/>
                          </w:rPr>
                        </w:r>
                        <w:r>
                          <w:rPr>
                            <w:webHidden/>
                          </w:rPr>
                          <w:fldChar w:fldCharType="separate"/>
                        </w:r>
                        <w:r w:rsidR="008D2566">
                          <w:rPr>
                            <w:webHidden/>
                          </w:rPr>
                          <w:t>127</w:t>
                        </w:r>
                        <w:r>
                          <w:rPr>
                            <w:webHidden/>
                          </w:rPr>
                          <w:fldChar w:fldCharType="end"/>
                        </w:r>
                      </w:hyperlink>
                    </w:p>
                    <w:p w14:paraId="19CE2420" w14:textId="3B5B6B33" w:rsidR="00060D66" w:rsidRDefault="00060D66">
                      <w:pPr>
                        <w:pStyle w:val="TOC2"/>
                        <w:tabs>
                          <w:tab w:val="left" w:pos="1797"/>
                        </w:tabs>
                        <w:rPr>
                          <w:rFonts w:cstheme="minorBidi"/>
                          <w:kern w:val="2"/>
                          <w:sz w:val="24"/>
                          <w:szCs w:val="24"/>
                          <w:lang w:val="en-NZ" w:eastAsia="en-NZ"/>
                          <w14:ligatures w14:val="standardContextual"/>
                        </w:rPr>
                      </w:pPr>
                      <w:hyperlink w:anchor="_Toc208906861" w:history="1">
                        <w:r w:rsidRPr="00F80514">
                          <w:rPr>
                            <w:rStyle w:val="Hyperlink"/>
                          </w:rPr>
                          <w:t>6.4.</w:t>
                        </w:r>
                        <w:r>
                          <w:rPr>
                            <w:rFonts w:cstheme="minorBidi"/>
                            <w:kern w:val="2"/>
                            <w:sz w:val="24"/>
                            <w:szCs w:val="24"/>
                            <w:lang w:val="en-NZ" w:eastAsia="en-NZ"/>
                            <w14:ligatures w14:val="standardContextual"/>
                          </w:rPr>
                          <w:tab/>
                        </w:r>
                        <w:r w:rsidRPr="00F80514">
                          <w:rPr>
                            <w:rStyle w:val="Hyperlink"/>
                          </w:rPr>
                          <w:t>Alignment with the needs of priority populations</w:t>
                        </w:r>
                        <w:r>
                          <w:rPr>
                            <w:webHidden/>
                          </w:rPr>
                          <w:tab/>
                        </w:r>
                        <w:r>
                          <w:rPr>
                            <w:webHidden/>
                          </w:rPr>
                          <w:fldChar w:fldCharType="begin"/>
                        </w:r>
                        <w:r>
                          <w:rPr>
                            <w:webHidden/>
                          </w:rPr>
                          <w:instrText xml:space="preserve"> PAGEREF _Toc208906861 \h </w:instrText>
                        </w:r>
                        <w:r>
                          <w:rPr>
                            <w:webHidden/>
                          </w:rPr>
                        </w:r>
                        <w:r>
                          <w:rPr>
                            <w:webHidden/>
                          </w:rPr>
                          <w:fldChar w:fldCharType="separate"/>
                        </w:r>
                        <w:r w:rsidR="008D2566">
                          <w:rPr>
                            <w:webHidden/>
                          </w:rPr>
                          <w:t>138</w:t>
                        </w:r>
                        <w:r>
                          <w:rPr>
                            <w:webHidden/>
                          </w:rPr>
                          <w:fldChar w:fldCharType="end"/>
                        </w:r>
                      </w:hyperlink>
                    </w:p>
                    <w:p w14:paraId="144CA4C9" w14:textId="6ACD07E5" w:rsidR="00060D66" w:rsidRDefault="00060D66">
                      <w:pPr>
                        <w:pStyle w:val="TOC2"/>
                        <w:tabs>
                          <w:tab w:val="left" w:pos="1797"/>
                        </w:tabs>
                        <w:rPr>
                          <w:rFonts w:cstheme="minorBidi"/>
                          <w:kern w:val="2"/>
                          <w:sz w:val="24"/>
                          <w:szCs w:val="24"/>
                          <w:lang w:val="en-NZ" w:eastAsia="en-NZ"/>
                          <w14:ligatures w14:val="standardContextual"/>
                        </w:rPr>
                      </w:pPr>
                      <w:hyperlink w:anchor="_Toc208906862" w:history="1">
                        <w:r w:rsidRPr="00F80514">
                          <w:rPr>
                            <w:rStyle w:val="Hyperlink"/>
                          </w:rPr>
                          <w:t>6.5.</w:t>
                        </w:r>
                        <w:r>
                          <w:rPr>
                            <w:rFonts w:cstheme="minorBidi"/>
                            <w:kern w:val="2"/>
                            <w:sz w:val="24"/>
                            <w:szCs w:val="24"/>
                            <w:lang w:val="en-NZ" w:eastAsia="en-NZ"/>
                            <w14:ligatures w14:val="standardContextual"/>
                          </w:rPr>
                          <w:tab/>
                        </w:r>
                        <w:r w:rsidRPr="00F80514">
                          <w:rPr>
                            <w:rStyle w:val="Hyperlink"/>
                          </w:rPr>
                          <w:t>Complementarity of FaRS and SFVS</w:t>
                        </w:r>
                        <w:r>
                          <w:rPr>
                            <w:webHidden/>
                          </w:rPr>
                          <w:tab/>
                        </w:r>
                        <w:r>
                          <w:rPr>
                            <w:webHidden/>
                          </w:rPr>
                          <w:fldChar w:fldCharType="begin"/>
                        </w:r>
                        <w:r>
                          <w:rPr>
                            <w:webHidden/>
                          </w:rPr>
                          <w:instrText xml:space="preserve"> PAGEREF _Toc208906862 \h </w:instrText>
                        </w:r>
                        <w:r>
                          <w:rPr>
                            <w:webHidden/>
                          </w:rPr>
                        </w:r>
                        <w:r>
                          <w:rPr>
                            <w:webHidden/>
                          </w:rPr>
                          <w:fldChar w:fldCharType="separate"/>
                        </w:r>
                        <w:r w:rsidR="008D2566">
                          <w:rPr>
                            <w:webHidden/>
                          </w:rPr>
                          <w:t>191</w:t>
                        </w:r>
                        <w:r>
                          <w:rPr>
                            <w:webHidden/>
                          </w:rPr>
                          <w:fldChar w:fldCharType="end"/>
                        </w:r>
                      </w:hyperlink>
                    </w:p>
                    <w:p w14:paraId="5B5A7F98" w14:textId="71081C93" w:rsidR="00060D66" w:rsidRDefault="00060D66">
                      <w:pPr>
                        <w:pStyle w:val="TOC2"/>
                        <w:tabs>
                          <w:tab w:val="left" w:pos="1797"/>
                        </w:tabs>
                        <w:rPr>
                          <w:rFonts w:cstheme="minorBidi"/>
                          <w:kern w:val="2"/>
                          <w:sz w:val="24"/>
                          <w:szCs w:val="24"/>
                          <w:lang w:val="en-NZ" w:eastAsia="en-NZ"/>
                          <w14:ligatures w14:val="standardContextual"/>
                        </w:rPr>
                      </w:pPr>
                      <w:hyperlink w:anchor="_Toc208906863" w:history="1">
                        <w:r w:rsidRPr="00F80514">
                          <w:rPr>
                            <w:rStyle w:val="Hyperlink"/>
                          </w:rPr>
                          <w:t>6.6.</w:t>
                        </w:r>
                        <w:r>
                          <w:rPr>
                            <w:rFonts w:cstheme="minorBidi"/>
                            <w:kern w:val="2"/>
                            <w:sz w:val="24"/>
                            <w:szCs w:val="24"/>
                            <w:lang w:val="en-NZ" w:eastAsia="en-NZ"/>
                            <w14:ligatures w14:val="standardContextual"/>
                          </w:rPr>
                          <w:tab/>
                        </w:r>
                        <w:r w:rsidRPr="00F80514">
                          <w:rPr>
                            <w:rStyle w:val="Hyperlink"/>
                          </w:rPr>
                          <w:t>Level of need and distribution of need</w:t>
                        </w:r>
                        <w:r>
                          <w:rPr>
                            <w:webHidden/>
                          </w:rPr>
                          <w:tab/>
                        </w:r>
                        <w:r>
                          <w:rPr>
                            <w:webHidden/>
                          </w:rPr>
                          <w:fldChar w:fldCharType="begin"/>
                        </w:r>
                        <w:r>
                          <w:rPr>
                            <w:webHidden/>
                          </w:rPr>
                          <w:instrText xml:space="preserve"> PAGEREF _Toc208906863 \h </w:instrText>
                        </w:r>
                        <w:r>
                          <w:rPr>
                            <w:webHidden/>
                          </w:rPr>
                        </w:r>
                        <w:r>
                          <w:rPr>
                            <w:webHidden/>
                          </w:rPr>
                          <w:fldChar w:fldCharType="separate"/>
                        </w:r>
                        <w:r w:rsidR="008D2566">
                          <w:rPr>
                            <w:webHidden/>
                          </w:rPr>
                          <w:t>194</w:t>
                        </w:r>
                        <w:r>
                          <w:rPr>
                            <w:webHidden/>
                          </w:rPr>
                          <w:fldChar w:fldCharType="end"/>
                        </w:r>
                      </w:hyperlink>
                    </w:p>
                    <w:p w14:paraId="39DDDC7C" w14:textId="48004981" w:rsidR="00060D66" w:rsidRDefault="00060D66">
                      <w:pPr>
                        <w:pStyle w:val="TOC2"/>
                        <w:tabs>
                          <w:tab w:val="left" w:pos="1797"/>
                        </w:tabs>
                        <w:rPr>
                          <w:rFonts w:cstheme="minorBidi"/>
                          <w:kern w:val="2"/>
                          <w:sz w:val="24"/>
                          <w:szCs w:val="24"/>
                          <w:lang w:val="en-NZ" w:eastAsia="en-NZ"/>
                          <w14:ligatures w14:val="standardContextual"/>
                        </w:rPr>
                      </w:pPr>
                      <w:hyperlink w:anchor="_Toc208906864" w:history="1">
                        <w:r w:rsidRPr="00F80514">
                          <w:rPr>
                            <w:rStyle w:val="Hyperlink"/>
                          </w:rPr>
                          <w:t>6.7.</w:t>
                        </w:r>
                        <w:r>
                          <w:rPr>
                            <w:rFonts w:cstheme="minorBidi"/>
                            <w:kern w:val="2"/>
                            <w:sz w:val="24"/>
                            <w:szCs w:val="24"/>
                            <w:lang w:val="en-NZ" w:eastAsia="en-NZ"/>
                            <w14:ligatures w14:val="standardContextual"/>
                          </w:rPr>
                          <w:tab/>
                        </w:r>
                        <w:r w:rsidRPr="00F80514">
                          <w:rPr>
                            <w:rStyle w:val="Hyperlink"/>
                          </w:rPr>
                          <w:t>Enablers and barriers to implementation</w:t>
                        </w:r>
                        <w:r>
                          <w:rPr>
                            <w:webHidden/>
                          </w:rPr>
                          <w:tab/>
                        </w:r>
                        <w:r>
                          <w:rPr>
                            <w:webHidden/>
                          </w:rPr>
                          <w:fldChar w:fldCharType="begin"/>
                        </w:r>
                        <w:r>
                          <w:rPr>
                            <w:webHidden/>
                          </w:rPr>
                          <w:instrText xml:space="preserve"> PAGEREF _Toc208906864 \h </w:instrText>
                        </w:r>
                        <w:r>
                          <w:rPr>
                            <w:webHidden/>
                          </w:rPr>
                        </w:r>
                        <w:r>
                          <w:rPr>
                            <w:webHidden/>
                          </w:rPr>
                          <w:fldChar w:fldCharType="separate"/>
                        </w:r>
                        <w:r w:rsidR="008D2566">
                          <w:rPr>
                            <w:webHidden/>
                          </w:rPr>
                          <w:t>200</w:t>
                        </w:r>
                        <w:r>
                          <w:rPr>
                            <w:webHidden/>
                          </w:rPr>
                          <w:fldChar w:fldCharType="end"/>
                        </w:r>
                      </w:hyperlink>
                    </w:p>
                    <w:p w14:paraId="0F605AF7" w14:textId="716BF654" w:rsidR="00060D66" w:rsidRDefault="00060D66">
                      <w:pPr>
                        <w:pStyle w:val="TOC1"/>
                        <w:tabs>
                          <w:tab w:val="left" w:pos="1797"/>
                        </w:tabs>
                        <w:rPr>
                          <w:rFonts w:cstheme="minorBidi"/>
                          <w:b w:val="0"/>
                          <w:kern w:val="2"/>
                          <w:sz w:val="24"/>
                          <w:szCs w:val="24"/>
                          <w:lang w:val="en-NZ" w:eastAsia="en-NZ"/>
                          <w14:ligatures w14:val="standardContextual"/>
                        </w:rPr>
                      </w:pPr>
                      <w:hyperlink w:anchor="_Toc208906865" w:history="1">
                        <w:r w:rsidRPr="00F80514">
                          <w:rPr>
                            <w:rStyle w:val="Hyperlink"/>
                          </w:rPr>
                          <w:t>Appendix A:</w:t>
                        </w:r>
                        <w:r>
                          <w:rPr>
                            <w:rFonts w:cstheme="minorBidi"/>
                            <w:b w:val="0"/>
                            <w:kern w:val="2"/>
                            <w:sz w:val="24"/>
                            <w:szCs w:val="24"/>
                            <w:lang w:val="en-NZ" w:eastAsia="en-NZ"/>
                            <w14:ligatures w14:val="standardContextual"/>
                          </w:rPr>
                          <w:tab/>
                        </w:r>
                        <w:r w:rsidRPr="00F80514">
                          <w:rPr>
                            <w:rStyle w:val="Hyperlink"/>
                          </w:rPr>
                          <w:t>Glossary</w:t>
                        </w:r>
                        <w:r>
                          <w:rPr>
                            <w:webHidden/>
                          </w:rPr>
                          <w:tab/>
                        </w:r>
                        <w:r>
                          <w:rPr>
                            <w:webHidden/>
                          </w:rPr>
                          <w:fldChar w:fldCharType="begin"/>
                        </w:r>
                        <w:r>
                          <w:rPr>
                            <w:webHidden/>
                          </w:rPr>
                          <w:instrText xml:space="preserve"> PAGEREF _Toc208906865 \h </w:instrText>
                        </w:r>
                        <w:r>
                          <w:rPr>
                            <w:webHidden/>
                          </w:rPr>
                        </w:r>
                        <w:r>
                          <w:rPr>
                            <w:webHidden/>
                          </w:rPr>
                          <w:fldChar w:fldCharType="separate"/>
                        </w:r>
                        <w:r w:rsidR="008D2566">
                          <w:rPr>
                            <w:webHidden/>
                          </w:rPr>
                          <w:t>218</w:t>
                        </w:r>
                        <w:r>
                          <w:rPr>
                            <w:webHidden/>
                          </w:rPr>
                          <w:fldChar w:fldCharType="end"/>
                        </w:r>
                      </w:hyperlink>
                    </w:p>
                    <w:p w14:paraId="7E8E6801" w14:textId="096B076E" w:rsidR="00060D66" w:rsidRDefault="00060D66">
                      <w:pPr>
                        <w:pStyle w:val="TOC1"/>
                        <w:tabs>
                          <w:tab w:val="left" w:pos="1797"/>
                        </w:tabs>
                        <w:rPr>
                          <w:rFonts w:cstheme="minorBidi"/>
                          <w:b w:val="0"/>
                          <w:kern w:val="2"/>
                          <w:sz w:val="24"/>
                          <w:szCs w:val="24"/>
                          <w:lang w:val="en-NZ" w:eastAsia="en-NZ"/>
                          <w14:ligatures w14:val="standardContextual"/>
                        </w:rPr>
                      </w:pPr>
                      <w:hyperlink w:anchor="_Toc208906866" w:history="1">
                        <w:r w:rsidRPr="00F80514">
                          <w:rPr>
                            <w:rStyle w:val="Hyperlink"/>
                            <w:lang w:val="en-NZ"/>
                          </w:rPr>
                          <w:t>Appendix B:</w:t>
                        </w:r>
                        <w:r>
                          <w:rPr>
                            <w:rFonts w:cstheme="minorBidi"/>
                            <w:b w:val="0"/>
                            <w:kern w:val="2"/>
                            <w:sz w:val="24"/>
                            <w:szCs w:val="24"/>
                            <w:lang w:val="en-NZ" w:eastAsia="en-NZ"/>
                            <w14:ligatures w14:val="standardContextual"/>
                          </w:rPr>
                          <w:tab/>
                        </w:r>
                        <w:r w:rsidRPr="00F80514">
                          <w:rPr>
                            <w:rStyle w:val="Hyperlink"/>
                            <w:lang w:val="en-NZ"/>
                          </w:rPr>
                          <w:t>FaRS and SFVS Program Logics</w:t>
                        </w:r>
                        <w:r>
                          <w:rPr>
                            <w:webHidden/>
                          </w:rPr>
                          <w:tab/>
                        </w:r>
                        <w:r>
                          <w:rPr>
                            <w:webHidden/>
                          </w:rPr>
                          <w:fldChar w:fldCharType="begin"/>
                        </w:r>
                        <w:r>
                          <w:rPr>
                            <w:webHidden/>
                          </w:rPr>
                          <w:instrText xml:space="preserve"> PAGEREF _Toc208906866 \h </w:instrText>
                        </w:r>
                        <w:r>
                          <w:rPr>
                            <w:webHidden/>
                          </w:rPr>
                        </w:r>
                        <w:r>
                          <w:rPr>
                            <w:webHidden/>
                          </w:rPr>
                          <w:fldChar w:fldCharType="separate"/>
                        </w:r>
                        <w:r w:rsidR="008D2566">
                          <w:rPr>
                            <w:webHidden/>
                          </w:rPr>
                          <w:t>223</w:t>
                        </w:r>
                        <w:r>
                          <w:rPr>
                            <w:webHidden/>
                          </w:rPr>
                          <w:fldChar w:fldCharType="end"/>
                        </w:r>
                      </w:hyperlink>
                    </w:p>
                    <w:p w14:paraId="3838E9FF" w14:textId="69F3E2BB" w:rsidR="00060D66" w:rsidRDefault="00060D66">
                      <w:pPr>
                        <w:pStyle w:val="TOC1"/>
                        <w:tabs>
                          <w:tab w:val="left" w:pos="1797"/>
                        </w:tabs>
                        <w:rPr>
                          <w:rFonts w:cstheme="minorBidi"/>
                          <w:b w:val="0"/>
                          <w:kern w:val="2"/>
                          <w:sz w:val="24"/>
                          <w:szCs w:val="24"/>
                          <w:lang w:val="en-NZ" w:eastAsia="en-NZ"/>
                          <w14:ligatures w14:val="standardContextual"/>
                        </w:rPr>
                      </w:pPr>
                      <w:hyperlink w:anchor="_Toc208906867" w:history="1">
                        <w:r w:rsidRPr="00F80514">
                          <w:rPr>
                            <w:rStyle w:val="Hyperlink"/>
                            <w:lang w:val="en-NZ"/>
                          </w:rPr>
                          <w:t>Appendix C:</w:t>
                        </w:r>
                        <w:r>
                          <w:rPr>
                            <w:rFonts w:cstheme="minorBidi"/>
                            <w:b w:val="0"/>
                            <w:kern w:val="2"/>
                            <w:sz w:val="24"/>
                            <w:szCs w:val="24"/>
                            <w:lang w:val="en-NZ" w:eastAsia="en-NZ"/>
                            <w14:ligatures w14:val="standardContextual"/>
                          </w:rPr>
                          <w:tab/>
                        </w:r>
                        <w:r w:rsidRPr="00F80514">
                          <w:rPr>
                            <w:rStyle w:val="Hyperlink"/>
                            <w:lang w:val="en-NZ"/>
                          </w:rPr>
                          <w:t>Sampling approach</w:t>
                        </w:r>
                        <w:r>
                          <w:rPr>
                            <w:webHidden/>
                          </w:rPr>
                          <w:tab/>
                        </w:r>
                        <w:r>
                          <w:rPr>
                            <w:webHidden/>
                          </w:rPr>
                          <w:fldChar w:fldCharType="begin"/>
                        </w:r>
                        <w:r>
                          <w:rPr>
                            <w:webHidden/>
                          </w:rPr>
                          <w:instrText xml:space="preserve"> PAGEREF _Toc208906867 \h </w:instrText>
                        </w:r>
                        <w:r>
                          <w:rPr>
                            <w:webHidden/>
                          </w:rPr>
                        </w:r>
                        <w:r>
                          <w:rPr>
                            <w:webHidden/>
                          </w:rPr>
                          <w:fldChar w:fldCharType="separate"/>
                        </w:r>
                        <w:r w:rsidR="008D2566">
                          <w:rPr>
                            <w:webHidden/>
                          </w:rPr>
                          <w:t>225</w:t>
                        </w:r>
                        <w:r>
                          <w:rPr>
                            <w:webHidden/>
                          </w:rPr>
                          <w:fldChar w:fldCharType="end"/>
                        </w:r>
                      </w:hyperlink>
                    </w:p>
                    <w:p w14:paraId="7A75AA62" w14:textId="69BE2CB5" w:rsidR="00060D66" w:rsidRDefault="00060D66">
                      <w:pPr>
                        <w:pStyle w:val="TOC1"/>
                        <w:tabs>
                          <w:tab w:val="left" w:pos="1797"/>
                        </w:tabs>
                        <w:rPr>
                          <w:rFonts w:cstheme="minorBidi"/>
                          <w:b w:val="0"/>
                          <w:kern w:val="2"/>
                          <w:sz w:val="24"/>
                          <w:szCs w:val="24"/>
                          <w:lang w:val="en-NZ" w:eastAsia="en-NZ"/>
                          <w14:ligatures w14:val="standardContextual"/>
                        </w:rPr>
                      </w:pPr>
                      <w:hyperlink w:anchor="_Toc208906868" w:history="1">
                        <w:r w:rsidRPr="00F80514">
                          <w:rPr>
                            <w:rStyle w:val="Hyperlink"/>
                            <w:lang w:val="en-NZ"/>
                          </w:rPr>
                          <w:t>Appendix D:</w:t>
                        </w:r>
                        <w:r>
                          <w:rPr>
                            <w:rFonts w:cstheme="minorBidi"/>
                            <w:b w:val="0"/>
                            <w:kern w:val="2"/>
                            <w:sz w:val="24"/>
                            <w:szCs w:val="24"/>
                            <w:lang w:val="en-NZ" w:eastAsia="en-NZ"/>
                            <w14:ligatures w14:val="standardContextual"/>
                          </w:rPr>
                          <w:tab/>
                        </w:r>
                        <w:r w:rsidRPr="00F80514">
                          <w:rPr>
                            <w:rStyle w:val="Hyperlink"/>
                            <w:lang w:val="en-NZ"/>
                          </w:rPr>
                          <w:t>Recruitment approach</w:t>
                        </w:r>
                        <w:r>
                          <w:rPr>
                            <w:webHidden/>
                          </w:rPr>
                          <w:tab/>
                        </w:r>
                        <w:r>
                          <w:rPr>
                            <w:webHidden/>
                          </w:rPr>
                          <w:fldChar w:fldCharType="begin"/>
                        </w:r>
                        <w:r>
                          <w:rPr>
                            <w:webHidden/>
                          </w:rPr>
                          <w:instrText xml:space="preserve"> PAGEREF _Toc208906868 \h </w:instrText>
                        </w:r>
                        <w:r>
                          <w:rPr>
                            <w:webHidden/>
                          </w:rPr>
                        </w:r>
                        <w:r>
                          <w:rPr>
                            <w:webHidden/>
                          </w:rPr>
                          <w:fldChar w:fldCharType="separate"/>
                        </w:r>
                        <w:r w:rsidR="008D2566">
                          <w:rPr>
                            <w:webHidden/>
                          </w:rPr>
                          <w:t>231</w:t>
                        </w:r>
                        <w:r>
                          <w:rPr>
                            <w:webHidden/>
                          </w:rPr>
                          <w:fldChar w:fldCharType="end"/>
                        </w:r>
                      </w:hyperlink>
                    </w:p>
                    <w:p w14:paraId="0F166E23" w14:textId="2B5F97E1" w:rsidR="00060D66" w:rsidRDefault="00060D66">
                      <w:pPr>
                        <w:pStyle w:val="TOC1"/>
                        <w:tabs>
                          <w:tab w:val="left" w:pos="1797"/>
                        </w:tabs>
                        <w:rPr>
                          <w:rFonts w:cstheme="minorBidi"/>
                          <w:b w:val="0"/>
                          <w:kern w:val="2"/>
                          <w:sz w:val="24"/>
                          <w:szCs w:val="24"/>
                          <w:lang w:val="en-NZ" w:eastAsia="en-NZ"/>
                          <w14:ligatures w14:val="standardContextual"/>
                        </w:rPr>
                      </w:pPr>
                      <w:hyperlink w:anchor="_Toc208906869" w:history="1">
                        <w:r w:rsidRPr="00F80514">
                          <w:rPr>
                            <w:rStyle w:val="Hyperlink"/>
                          </w:rPr>
                          <w:t>Appendix E:</w:t>
                        </w:r>
                        <w:r>
                          <w:rPr>
                            <w:rFonts w:cstheme="minorBidi"/>
                            <w:b w:val="0"/>
                            <w:kern w:val="2"/>
                            <w:sz w:val="24"/>
                            <w:szCs w:val="24"/>
                            <w:lang w:val="en-NZ" w:eastAsia="en-NZ"/>
                            <w14:ligatures w14:val="standardContextual"/>
                          </w:rPr>
                          <w:tab/>
                        </w:r>
                        <w:r w:rsidRPr="00F80514">
                          <w:rPr>
                            <w:rStyle w:val="Hyperlink"/>
                          </w:rPr>
                          <w:t>Service user demographic data – participant sample</w:t>
                        </w:r>
                        <w:r>
                          <w:rPr>
                            <w:webHidden/>
                          </w:rPr>
                          <w:tab/>
                        </w:r>
                        <w:r>
                          <w:rPr>
                            <w:webHidden/>
                          </w:rPr>
                          <w:fldChar w:fldCharType="begin"/>
                        </w:r>
                        <w:r>
                          <w:rPr>
                            <w:webHidden/>
                          </w:rPr>
                          <w:instrText xml:space="preserve"> PAGEREF _Toc208906869 \h </w:instrText>
                        </w:r>
                        <w:r>
                          <w:rPr>
                            <w:webHidden/>
                          </w:rPr>
                        </w:r>
                        <w:r>
                          <w:rPr>
                            <w:webHidden/>
                          </w:rPr>
                          <w:fldChar w:fldCharType="separate"/>
                        </w:r>
                        <w:r w:rsidR="008D2566">
                          <w:rPr>
                            <w:webHidden/>
                          </w:rPr>
                          <w:t>236</w:t>
                        </w:r>
                        <w:r>
                          <w:rPr>
                            <w:webHidden/>
                          </w:rPr>
                          <w:fldChar w:fldCharType="end"/>
                        </w:r>
                      </w:hyperlink>
                    </w:p>
                    <w:p w14:paraId="6A8BE3FE" w14:textId="2C982CE6" w:rsidR="00060D66" w:rsidRDefault="00060D66">
                      <w:pPr>
                        <w:pStyle w:val="TOC1"/>
                        <w:tabs>
                          <w:tab w:val="left" w:pos="1797"/>
                        </w:tabs>
                        <w:rPr>
                          <w:rFonts w:cstheme="minorBidi"/>
                          <w:b w:val="0"/>
                          <w:kern w:val="2"/>
                          <w:sz w:val="24"/>
                          <w:szCs w:val="24"/>
                          <w:lang w:val="en-NZ" w:eastAsia="en-NZ"/>
                          <w14:ligatures w14:val="standardContextual"/>
                        </w:rPr>
                      </w:pPr>
                      <w:hyperlink w:anchor="_Toc208906870" w:history="1">
                        <w:r w:rsidRPr="00F80514">
                          <w:rPr>
                            <w:rStyle w:val="Hyperlink"/>
                            <w:lang w:val="en-NZ"/>
                          </w:rPr>
                          <w:t>Appendix F:</w:t>
                        </w:r>
                        <w:r>
                          <w:rPr>
                            <w:rFonts w:cstheme="minorBidi"/>
                            <w:b w:val="0"/>
                            <w:kern w:val="2"/>
                            <w:sz w:val="24"/>
                            <w:szCs w:val="24"/>
                            <w:lang w:val="en-NZ" w:eastAsia="en-NZ"/>
                            <w14:ligatures w14:val="standardContextual"/>
                          </w:rPr>
                          <w:tab/>
                        </w:r>
                        <w:r w:rsidRPr="00F80514">
                          <w:rPr>
                            <w:rStyle w:val="Hyperlink"/>
                            <w:lang w:val="en-NZ"/>
                          </w:rPr>
                          <w:t>DEX data</w:t>
                        </w:r>
                        <w:r>
                          <w:rPr>
                            <w:webHidden/>
                          </w:rPr>
                          <w:tab/>
                        </w:r>
                        <w:r>
                          <w:rPr>
                            <w:webHidden/>
                          </w:rPr>
                          <w:fldChar w:fldCharType="begin"/>
                        </w:r>
                        <w:r>
                          <w:rPr>
                            <w:webHidden/>
                          </w:rPr>
                          <w:instrText xml:space="preserve"> PAGEREF _Toc208906870 \h </w:instrText>
                        </w:r>
                        <w:r>
                          <w:rPr>
                            <w:webHidden/>
                          </w:rPr>
                        </w:r>
                        <w:r>
                          <w:rPr>
                            <w:webHidden/>
                          </w:rPr>
                          <w:fldChar w:fldCharType="separate"/>
                        </w:r>
                        <w:r w:rsidR="008D2566">
                          <w:rPr>
                            <w:webHidden/>
                          </w:rPr>
                          <w:t>242</w:t>
                        </w:r>
                        <w:r>
                          <w:rPr>
                            <w:webHidden/>
                          </w:rPr>
                          <w:fldChar w:fldCharType="end"/>
                        </w:r>
                      </w:hyperlink>
                    </w:p>
                    <w:p w14:paraId="13B678B8" w14:textId="2E5AAF1E" w:rsidR="00060D66" w:rsidRDefault="00060D66">
                      <w:pPr>
                        <w:pStyle w:val="TOC1"/>
                        <w:tabs>
                          <w:tab w:val="left" w:pos="1797"/>
                        </w:tabs>
                        <w:rPr>
                          <w:rFonts w:cstheme="minorBidi"/>
                          <w:b w:val="0"/>
                          <w:kern w:val="2"/>
                          <w:sz w:val="24"/>
                          <w:szCs w:val="24"/>
                          <w:lang w:val="en-NZ" w:eastAsia="en-NZ"/>
                          <w14:ligatures w14:val="standardContextual"/>
                        </w:rPr>
                      </w:pPr>
                      <w:hyperlink w:anchor="_Toc208906871" w:history="1">
                        <w:r w:rsidRPr="00F80514">
                          <w:rPr>
                            <w:rStyle w:val="Hyperlink"/>
                          </w:rPr>
                          <w:t>Appendix G:</w:t>
                        </w:r>
                        <w:r>
                          <w:rPr>
                            <w:rFonts w:cstheme="minorBidi"/>
                            <w:b w:val="0"/>
                            <w:kern w:val="2"/>
                            <w:sz w:val="24"/>
                            <w:szCs w:val="24"/>
                            <w:lang w:val="en-NZ" w:eastAsia="en-NZ"/>
                            <w14:ligatures w14:val="standardContextual"/>
                          </w:rPr>
                          <w:tab/>
                        </w:r>
                        <w:r w:rsidRPr="00F80514">
                          <w:rPr>
                            <w:rStyle w:val="Hyperlink"/>
                          </w:rPr>
                          <w:t>Bibliography</w:t>
                        </w:r>
                        <w:r>
                          <w:rPr>
                            <w:webHidden/>
                          </w:rPr>
                          <w:tab/>
                        </w:r>
                        <w:r>
                          <w:rPr>
                            <w:webHidden/>
                          </w:rPr>
                          <w:fldChar w:fldCharType="begin"/>
                        </w:r>
                        <w:r>
                          <w:rPr>
                            <w:webHidden/>
                          </w:rPr>
                          <w:instrText xml:space="preserve"> PAGEREF _Toc208906871 \h </w:instrText>
                        </w:r>
                        <w:r>
                          <w:rPr>
                            <w:webHidden/>
                          </w:rPr>
                        </w:r>
                        <w:r>
                          <w:rPr>
                            <w:webHidden/>
                          </w:rPr>
                          <w:fldChar w:fldCharType="separate"/>
                        </w:r>
                        <w:r w:rsidR="008D2566">
                          <w:rPr>
                            <w:webHidden/>
                          </w:rPr>
                          <w:t>269</w:t>
                        </w:r>
                        <w:r>
                          <w:rPr>
                            <w:webHidden/>
                          </w:rPr>
                          <w:fldChar w:fldCharType="end"/>
                        </w:r>
                      </w:hyperlink>
                    </w:p>
                    <w:p w14:paraId="7D7BD261" w14:textId="5A41DE78" w:rsidR="004460DF" w:rsidRDefault="00BD3DF6" w:rsidP="003D4237">
                      <w:pPr>
                        <w:pStyle w:val="Bibliography"/>
                      </w:pPr>
                      <w:r>
                        <w:rPr>
                          <w:rFonts w:eastAsiaTheme="minorEastAsia"/>
                          <w:b/>
                          <w:noProof/>
                          <w:sz w:val="21"/>
                          <w:szCs w:val="22"/>
                          <w:lang w:val="en-US"/>
                        </w:rPr>
                        <w:fldChar w:fldCharType="end"/>
                      </w:r>
                    </w:p>
                  </w:sdtContent>
                </w:sdt>
                <w:p w14:paraId="00C3FA71" w14:textId="77777777" w:rsidR="00782EEB" w:rsidRDefault="00782EEB" w:rsidP="00782EEB">
                  <w:pPr>
                    <w:pStyle w:val="Text"/>
                  </w:pPr>
                </w:p>
                <w:p w14:paraId="1011945B" w14:textId="77777777" w:rsidR="003A5165" w:rsidRDefault="003A5165">
                  <w:pPr>
                    <w:rPr>
                      <w:b/>
                      <w:bCs/>
                      <w:color w:val="36424A" w:themeColor="background2"/>
                      <w:spacing w:val="2"/>
                      <w:lang w:val="en-GB"/>
                    </w:rPr>
                  </w:pPr>
                  <w:r>
                    <w:br w:type="page"/>
                  </w:r>
                </w:p>
                <w:p w14:paraId="3CDD2CE3" w14:textId="05499474" w:rsidR="00B00BDC" w:rsidRDefault="002A472C" w:rsidP="003A381D">
                  <w:pPr>
                    <w:pStyle w:val="Text-BodyHeading"/>
                  </w:pPr>
                  <w:bookmarkStart w:id="2" w:name="_Toc204856715"/>
                  <w:r>
                    <w:lastRenderedPageBreak/>
                    <w:t>N</w:t>
                  </w:r>
                  <w:r w:rsidR="00B00BDC">
                    <w:t>ote on terminology</w:t>
                  </w:r>
                  <w:bookmarkEnd w:id="2"/>
                </w:p>
                <w:p w14:paraId="68577F78" w14:textId="3ACACFC7" w:rsidR="00B00BDC" w:rsidRPr="00275C41" w:rsidRDefault="00B00BDC" w:rsidP="00B1380C">
                  <w:pPr>
                    <w:pStyle w:val="Text"/>
                    <w:rPr>
                      <w:lang w:val="en-AU"/>
                    </w:rPr>
                  </w:pPr>
                  <w:r w:rsidRPr="00275C41">
                    <w:rPr>
                      <w:lang w:val="en-AU"/>
                    </w:rPr>
                    <w:t>In this report, the term family</w:t>
                  </w:r>
                  <w:r w:rsidR="004B45D1">
                    <w:rPr>
                      <w:lang w:val="en-AU"/>
                    </w:rPr>
                    <w:t xml:space="preserve"> violence is</w:t>
                  </w:r>
                  <w:r w:rsidRPr="00275C41">
                    <w:rPr>
                      <w:lang w:val="en-AU"/>
                    </w:rPr>
                    <w:t xml:space="preserve"> used as an inclusive term to encompass various forms of violence that occur within familial and domestic settings. This includes terms such as domestic violence, family and domestic violence, </w:t>
                  </w:r>
                  <w:r w:rsidR="008C0620">
                    <w:rPr>
                      <w:lang w:val="en-AU"/>
                    </w:rPr>
                    <w:t xml:space="preserve">intimate partner violence </w:t>
                  </w:r>
                  <w:r w:rsidRPr="00275C41">
                    <w:rPr>
                      <w:lang w:val="en-AU"/>
                    </w:rPr>
                    <w:t xml:space="preserve">and other similar variations found across the literature. The choice of family violence reflects a holistic approach to examining violence within family relationships, recognising the diversity of contexts in which such violence can occur. This term is intended to unify discussions across studies and maintain consistency while acknowledging that specific terminology may vary depending on the context and focus of individual research sources. </w:t>
                  </w:r>
                  <w:r w:rsidR="006D355D">
                    <w:rPr>
                      <w:lang w:val="en-AU"/>
                    </w:rPr>
                    <w:t>In s</w:t>
                  </w:r>
                  <w:r w:rsidR="008D15DE">
                    <w:rPr>
                      <w:lang w:val="en-AU"/>
                    </w:rPr>
                    <w:t>pecific</w:t>
                  </w:r>
                  <w:r w:rsidR="006D355D">
                    <w:rPr>
                      <w:lang w:val="en-AU"/>
                    </w:rPr>
                    <w:t xml:space="preserve"> instances, </w:t>
                  </w:r>
                  <w:r w:rsidR="0013527C">
                    <w:rPr>
                      <w:lang w:val="en-AU"/>
                    </w:rPr>
                    <w:t xml:space="preserve">other terms such as </w:t>
                  </w:r>
                  <w:r w:rsidR="00A014BC">
                    <w:rPr>
                      <w:lang w:val="en-AU"/>
                    </w:rPr>
                    <w:t>intimate</w:t>
                  </w:r>
                  <w:r w:rsidR="0013527C">
                    <w:rPr>
                      <w:lang w:val="en-AU"/>
                    </w:rPr>
                    <w:t xml:space="preserve"> partner violence </w:t>
                  </w:r>
                  <w:r w:rsidR="00A014BC">
                    <w:rPr>
                      <w:lang w:val="en-AU"/>
                    </w:rPr>
                    <w:t xml:space="preserve">are used </w:t>
                  </w:r>
                  <w:r w:rsidR="00BB4DAC">
                    <w:rPr>
                      <w:lang w:val="en-AU"/>
                    </w:rPr>
                    <w:t>to reflect their usage in the literature or because analysis is focused on a par</w:t>
                  </w:r>
                  <w:r w:rsidR="00452F4C">
                    <w:rPr>
                      <w:lang w:val="en-AU"/>
                    </w:rPr>
                    <w:t xml:space="preserve">ticular form of violence, such as child </w:t>
                  </w:r>
                  <w:r w:rsidR="008D15DE">
                    <w:rPr>
                      <w:lang w:val="en-AU"/>
                    </w:rPr>
                    <w:t>or adolesc</w:t>
                  </w:r>
                  <w:r w:rsidR="00A51A74">
                    <w:rPr>
                      <w:lang w:val="en-AU"/>
                    </w:rPr>
                    <w:t>ent</w:t>
                  </w:r>
                  <w:r w:rsidR="008D15DE">
                    <w:rPr>
                      <w:lang w:val="en-AU"/>
                    </w:rPr>
                    <w:t xml:space="preserve"> </w:t>
                  </w:r>
                  <w:r w:rsidR="00452F4C">
                    <w:rPr>
                      <w:lang w:val="en-AU"/>
                    </w:rPr>
                    <w:t xml:space="preserve">violence against parents. </w:t>
                  </w:r>
                </w:p>
                <w:p w14:paraId="6C392578" w14:textId="207B4D4A" w:rsidR="00B00BDC" w:rsidRDefault="00B00BDC" w:rsidP="00B1380C">
                  <w:pPr>
                    <w:pStyle w:val="Text"/>
                    <w:rPr>
                      <w:lang w:val="en-AU"/>
                    </w:rPr>
                  </w:pPr>
                  <w:r w:rsidRPr="00275C41">
                    <w:rPr>
                      <w:lang w:val="en-AU"/>
                    </w:rPr>
                    <w:t>Some terms which recur throughout the document have been standardised for consistency and readability. For example, the term ‘single parent’ has been used throughout, including where a source uses the term ‘sole parent’ or ‘one parent’. In all other cases, we have retained terminology used in each individual source.</w:t>
                  </w:r>
                </w:p>
                <w:p w14:paraId="75ADDA05" w14:textId="743C4E53" w:rsidR="00316137" w:rsidRDefault="00DE1310" w:rsidP="00B1380C">
                  <w:pPr>
                    <w:pStyle w:val="Text"/>
                    <w:rPr>
                      <w:lang w:val="en-AU"/>
                    </w:rPr>
                  </w:pPr>
                  <w:r>
                    <w:rPr>
                      <w:lang w:val="en-AU"/>
                    </w:rPr>
                    <w:t>Services</w:t>
                  </w:r>
                  <w:r w:rsidR="00A9430D" w:rsidDel="00DE1310">
                    <w:rPr>
                      <w:lang w:val="en-AU"/>
                    </w:rPr>
                    <w:t xml:space="preserve"> </w:t>
                  </w:r>
                  <w:r w:rsidR="00151D32">
                    <w:rPr>
                      <w:lang w:val="en-AU"/>
                    </w:rPr>
                    <w:t xml:space="preserve">are funded to </w:t>
                  </w:r>
                  <w:r w:rsidR="00316137">
                    <w:rPr>
                      <w:lang w:val="en-AU"/>
                    </w:rPr>
                    <w:t>provide a mixture of F</w:t>
                  </w:r>
                  <w:r w:rsidR="00614406">
                    <w:rPr>
                      <w:lang w:val="en-AU"/>
                    </w:rPr>
                    <w:t xml:space="preserve">amily </w:t>
                  </w:r>
                  <w:r w:rsidR="00316137">
                    <w:rPr>
                      <w:lang w:val="en-AU"/>
                    </w:rPr>
                    <w:t>a</w:t>
                  </w:r>
                  <w:r w:rsidR="00614406">
                    <w:rPr>
                      <w:lang w:val="en-AU"/>
                    </w:rPr>
                    <w:t xml:space="preserve">nd </w:t>
                  </w:r>
                  <w:r w:rsidR="00316137">
                    <w:rPr>
                      <w:lang w:val="en-AU"/>
                    </w:rPr>
                    <w:t>R</w:t>
                  </w:r>
                  <w:r w:rsidR="00614406">
                    <w:rPr>
                      <w:lang w:val="en-AU"/>
                    </w:rPr>
                    <w:t xml:space="preserve">elationship </w:t>
                  </w:r>
                  <w:r w:rsidR="00316137">
                    <w:rPr>
                      <w:lang w:val="en-AU"/>
                    </w:rPr>
                    <w:t>S</w:t>
                  </w:r>
                  <w:r w:rsidR="00614406">
                    <w:rPr>
                      <w:lang w:val="en-AU"/>
                    </w:rPr>
                    <w:t>ervices (FaRS)</w:t>
                  </w:r>
                  <w:r w:rsidR="00316137">
                    <w:rPr>
                      <w:lang w:val="en-AU"/>
                    </w:rPr>
                    <w:t>, S</w:t>
                  </w:r>
                  <w:r w:rsidR="00614406">
                    <w:rPr>
                      <w:lang w:val="en-AU"/>
                    </w:rPr>
                    <w:t>pecialised Family Violence Services (S</w:t>
                  </w:r>
                  <w:r w:rsidR="00316137">
                    <w:rPr>
                      <w:lang w:val="en-AU"/>
                    </w:rPr>
                    <w:t>FVS</w:t>
                  </w:r>
                  <w:r w:rsidR="00614406">
                    <w:rPr>
                      <w:lang w:val="en-AU"/>
                    </w:rPr>
                    <w:t>)</w:t>
                  </w:r>
                  <w:r w:rsidR="00316137">
                    <w:rPr>
                      <w:lang w:val="en-AU"/>
                    </w:rPr>
                    <w:t>, M</w:t>
                  </w:r>
                  <w:r w:rsidR="00614406">
                    <w:rPr>
                      <w:lang w:val="en-AU"/>
                    </w:rPr>
                    <w:t xml:space="preserve">en’s </w:t>
                  </w:r>
                  <w:r w:rsidR="00316137">
                    <w:rPr>
                      <w:lang w:val="en-AU"/>
                    </w:rPr>
                    <w:t>B</w:t>
                  </w:r>
                  <w:r w:rsidR="00614406">
                    <w:rPr>
                      <w:lang w:val="en-AU"/>
                    </w:rPr>
                    <w:t xml:space="preserve">ehaviour </w:t>
                  </w:r>
                  <w:r w:rsidR="00316137">
                    <w:rPr>
                      <w:lang w:val="en-AU"/>
                    </w:rPr>
                    <w:t>C</w:t>
                  </w:r>
                  <w:r w:rsidR="00614406">
                    <w:rPr>
                      <w:lang w:val="en-AU"/>
                    </w:rPr>
                    <w:t xml:space="preserve">hange </w:t>
                  </w:r>
                  <w:r w:rsidR="00316137">
                    <w:rPr>
                      <w:lang w:val="en-AU"/>
                    </w:rPr>
                    <w:t>P</w:t>
                  </w:r>
                  <w:r w:rsidR="00614406">
                    <w:rPr>
                      <w:lang w:val="en-AU"/>
                    </w:rPr>
                    <w:t>rograms (MBCP)</w:t>
                  </w:r>
                  <w:r w:rsidR="00316137">
                    <w:rPr>
                      <w:lang w:val="en-AU"/>
                    </w:rPr>
                    <w:t>, and</w:t>
                  </w:r>
                  <w:r w:rsidR="00151D32">
                    <w:rPr>
                      <w:lang w:val="en-AU"/>
                    </w:rPr>
                    <w:t>/or</w:t>
                  </w:r>
                  <w:r w:rsidR="00316137">
                    <w:rPr>
                      <w:lang w:val="en-AU"/>
                    </w:rPr>
                    <w:t xml:space="preserve"> </w:t>
                  </w:r>
                  <w:r w:rsidR="00614406">
                    <w:rPr>
                      <w:lang w:val="en-AU"/>
                    </w:rPr>
                    <w:t>Child Specific Counselling (CSC)</w:t>
                  </w:r>
                  <w:r w:rsidR="00316137">
                    <w:rPr>
                      <w:lang w:val="en-AU"/>
                    </w:rPr>
                    <w:t xml:space="preserve"> </w:t>
                  </w:r>
                  <w:r w:rsidR="00151D32">
                    <w:rPr>
                      <w:lang w:val="en-AU"/>
                    </w:rPr>
                    <w:t>programs</w:t>
                  </w:r>
                  <w:r w:rsidR="00316137">
                    <w:rPr>
                      <w:lang w:val="en-AU"/>
                    </w:rPr>
                    <w:t>. Specific term</w:t>
                  </w:r>
                  <w:r w:rsidR="00151D32">
                    <w:rPr>
                      <w:lang w:val="en-AU"/>
                    </w:rPr>
                    <w:t>inology is used</w:t>
                  </w:r>
                  <w:r w:rsidR="00316137">
                    <w:rPr>
                      <w:lang w:val="en-AU"/>
                    </w:rPr>
                    <w:t xml:space="preserve"> </w:t>
                  </w:r>
                  <w:r w:rsidR="00151D32">
                    <w:rPr>
                      <w:lang w:val="en-AU"/>
                    </w:rPr>
                    <w:t xml:space="preserve">to </w:t>
                  </w:r>
                  <w:r w:rsidR="00316137">
                    <w:rPr>
                      <w:lang w:val="en-AU"/>
                    </w:rPr>
                    <w:t>differentiate each:</w:t>
                  </w:r>
                </w:p>
                <w:p w14:paraId="4C505828" w14:textId="6E4F3E0A" w:rsidR="006A4A94" w:rsidRDefault="00316137" w:rsidP="006A4A94">
                  <w:pPr>
                    <w:pStyle w:val="Bullet1"/>
                    <w:rPr>
                      <w:lang w:val="en-AU"/>
                    </w:rPr>
                  </w:pPr>
                  <w:r>
                    <w:rPr>
                      <w:lang w:val="en-AU"/>
                    </w:rPr>
                    <w:t>FaRS service provider –</w:t>
                  </w:r>
                  <w:r w:rsidR="003B0CD2">
                    <w:rPr>
                      <w:lang w:val="en-AU"/>
                    </w:rPr>
                    <w:t xml:space="preserve"> </w:t>
                  </w:r>
                  <w:r w:rsidR="009836F0">
                    <w:rPr>
                      <w:lang w:val="en-AU"/>
                    </w:rPr>
                    <w:t>refers</w:t>
                  </w:r>
                  <w:r w:rsidR="009C004C">
                    <w:rPr>
                      <w:lang w:val="en-AU"/>
                    </w:rPr>
                    <w:t xml:space="preserve"> to</w:t>
                  </w:r>
                  <w:r w:rsidR="0058357E">
                    <w:rPr>
                      <w:lang w:val="en-AU"/>
                    </w:rPr>
                    <w:t xml:space="preserve"> findings on the delivery of</w:t>
                  </w:r>
                  <w:r w:rsidR="009C004C">
                    <w:rPr>
                      <w:lang w:val="en-AU"/>
                    </w:rPr>
                    <w:t xml:space="preserve"> FaRS</w:t>
                  </w:r>
                  <w:r w:rsidR="0058357E">
                    <w:rPr>
                      <w:lang w:val="en-AU"/>
                    </w:rPr>
                    <w:t xml:space="preserve"> specifically</w:t>
                  </w:r>
                </w:p>
                <w:p w14:paraId="1D3C19E7" w14:textId="3EDADB9F" w:rsidR="006A4A94" w:rsidRDefault="00316137" w:rsidP="006A4A94">
                  <w:pPr>
                    <w:pStyle w:val="Bullet1"/>
                    <w:rPr>
                      <w:lang w:val="en-AU"/>
                    </w:rPr>
                  </w:pPr>
                  <w:r>
                    <w:rPr>
                      <w:lang w:val="en-AU"/>
                    </w:rPr>
                    <w:t>SFVS service provider –</w:t>
                  </w:r>
                  <w:r w:rsidR="003B0CD2">
                    <w:rPr>
                      <w:lang w:val="en-AU"/>
                    </w:rPr>
                    <w:t xml:space="preserve"> </w:t>
                  </w:r>
                  <w:r w:rsidR="0058357E">
                    <w:rPr>
                      <w:lang w:val="en-AU"/>
                    </w:rPr>
                    <w:t>refers to findings on the delivery of SFVS specifically</w:t>
                  </w:r>
                </w:p>
                <w:p w14:paraId="3CC33506" w14:textId="36F4A8A6" w:rsidR="006A4A94" w:rsidRPr="006A4A94" w:rsidRDefault="00783967" w:rsidP="006A4A94">
                  <w:pPr>
                    <w:pStyle w:val="Bullet1"/>
                  </w:pPr>
                  <w:r>
                    <w:t xml:space="preserve">Dual </w:t>
                  </w:r>
                  <w:r w:rsidR="006A4A94" w:rsidRPr="7A3874CD">
                    <w:t>FaRS SFVS service</w:t>
                  </w:r>
                  <w:r w:rsidR="00730331" w:rsidRPr="7A3874CD">
                    <w:t xml:space="preserve"> providers</w:t>
                  </w:r>
                  <w:r w:rsidR="006A4A94" w:rsidRPr="7A3874CD">
                    <w:t xml:space="preserve"> – </w:t>
                  </w:r>
                  <w:r w:rsidR="009C004C">
                    <w:t xml:space="preserve">refers to </w:t>
                  </w:r>
                  <w:r w:rsidR="0058357E">
                    <w:t xml:space="preserve">findings on </w:t>
                  </w:r>
                  <w:r w:rsidR="009C004C">
                    <w:t xml:space="preserve">the delivery of </w:t>
                  </w:r>
                  <w:r w:rsidR="003B0CD2" w:rsidRPr="7A3874CD">
                    <w:t xml:space="preserve">both FaRS and SFVS </w:t>
                  </w:r>
                </w:p>
                <w:p w14:paraId="07F7B82E" w14:textId="21D5DC72" w:rsidR="008568D3" w:rsidRDefault="00772547" w:rsidP="00316137">
                  <w:pPr>
                    <w:pStyle w:val="Bullet1"/>
                    <w:rPr>
                      <w:lang w:val="en-AU"/>
                    </w:rPr>
                  </w:pPr>
                  <w:r>
                    <w:rPr>
                      <w:lang w:val="en-AU"/>
                    </w:rPr>
                    <w:t>CSC service providers –</w:t>
                  </w:r>
                  <w:r w:rsidR="00FC707E">
                    <w:rPr>
                      <w:lang w:val="en-AU"/>
                    </w:rPr>
                    <w:t xml:space="preserve"> refers to findings on the delivery of CSC specifically </w:t>
                  </w:r>
                </w:p>
                <w:p w14:paraId="7FEE3CA6" w14:textId="6F36A0F4" w:rsidR="008D0DE3" w:rsidRPr="008D0DE3" w:rsidRDefault="008568D3" w:rsidP="00B1380C">
                  <w:pPr>
                    <w:pStyle w:val="Bullet1"/>
                    <w:rPr>
                      <w:lang w:val="en-AU"/>
                    </w:rPr>
                  </w:pPr>
                  <w:r>
                    <w:rPr>
                      <w:lang w:val="en-AU"/>
                    </w:rPr>
                    <w:t>MBCP service providers –</w:t>
                  </w:r>
                  <w:r w:rsidR="001278B9">
                    <w:rPr>
                      <w:lang w:val="en-AU"/>
                    </w:rPr>
                    <w:t xml:space="preserve"> </w:t>
                  </w:r>
                  <w:r w:rsidR="00FC707E">
                    <w:rPr>
                      <w:lang w:val="en-AU"/>
                    </w:rPr>
                    <w:t>refers to findings on the delivery of MBCP specifically</w:t>
                  </w:r>
                  <w:r w:rsidR="00B133F1">
                    <w:rPr>
                      <w:lang w:val="en-AU"/>
                    </w:rPr>
                    <w:t>.</w:t>
                  </w:r>
                  <w:r w:rsidR="00FC707E">
                    <w:rPr>
                      <w:lang w:val="en-AU"/>
                    </w:rPr>
                    <w:t xml:space="preserve"> </w:t>
                  </w:r>
                </w:p>
                <w:p w14:paraId="315D112E" w14:textId="7D81054C" w:rsidR="008D0DE3" w:rsidRDefault="008D0DE3" w:rsidP="008D0DE3">
                  <w:pPr>
                    <w:pStyle w:val="Text-BodyHeading"/>
                  </w:pPr>
                  <w:r>
                    <w:t xml:space="preserve">Note on </w:t>
                  </w:r>
                  <w:r w:rsidR="00211255">
                    <w:t xml:space="preserve">quantitative </w:t>
                  </w:r>
                  <w:r>
                    <w:t xml:space="preserve">data </w:t>
                  </w:r>
                </w:p>
                <w:p w14:paraId="13FBFB8B" w14:textId="583A14B8" w:rsidR="00D0382B" w:rsidRPr="003A5165" w:rsidRDefault="00CD40D6" w:rsidP="003A5165">
                  <w:pPr>
                    <w:pStyle w:val="Text"/>
                  </w:pPr>
                  <w:r>
                    <w:t xml:space="preserve">All Data Exchange (DEX), Grant Payment System (GPS), and funding data used in this report </w:t>
                  </w:r>
                  <w:r w:rsidR="00EC0949">
                    <w:t>are</w:t>
                  </w:r>
                  <w:r w:rsidR="00211255">
                    <w:t xml:space="preserve"> </w:t>
                  </w:r>
                  <w:r w:rsidR="00DD5364">
                    <w:t xml:space="preserve">accurate </w:t>
                  </w:r>
                  <w:r w:rsidR="00211255">
                    <w:t xml:space="preserve">as </w:t>
                  </w:r>
                  <w:r w:rsidR="00211255" w:rsidRPr="004836D8">
                    <w:t xml:space="preserve">of </w:t>
                  </w:r>
                  <w:r w:rsidR="00211255" w:rsidRPr="00D63E8D">
                    <w:t>July 2024</w:t>
                  </w:r>
                  <w:r w:rsidR="00211255" w:rsidRPr="004836D8">
                    <w:t xml:space="preserve">. </w:t>
                  </w:r>
                </w:p>
                <w:p w14:paraId="73479A57" w14:textId="77777777" w:rsidR="00DE647E" w:rsidRDefault="00DE647E">
                  <w:pPr>
                    <w:rPr>
                      <w:b/>
                      <w:bCs/>
                      <w:color w:val="FFFFFF" w:themeColor="background1"/>
                      <w:sz w:val="72"/>
                      <w:szCs w:val="72"/>
                    </w:rPr>
                  </w:pPr>
                  <w:r>
                    <w:br w:type="page"/>
                  </w:r>
                </w:p>
                <w:p w14:paraId="461D19DF" w14:textId="77777777" w:rsidR="00151DFF" w:rsidRPr="00DE647E" w:rsidRDefault="00151DFF" w:rsidP="00151DFF">
                  <w:pPr>
                    <w:rPr>
                      <w:lang w:val="en-US"/>
                    </w:rPr>
                  </w:pPr>
                </w:p>
                <w:p w14:paraId="3E11D977" w14:textId="69E826A1" w:rsidR="00DE647E" w:rsidRDefault="00DE647E" w:rsidP="005F7EB6">
                  <w:pPr>
                    <w:pStyle w:val="Sectionpagetitle"/>
                  </w:pPr>
                  <w:r w:rsidRPr="005F7EB6">
                    <w:t>Executive Summary</w:t>
                  </w:r>
                  <w:r w:rsidRPr="005F7EB6">
                    <w:rPr>
                      <w:noProof/>
                    </w:rPr>
                    <w:t xml:space="preserve"> </w:t>
                  </w:r>
                  <w:r w:rsidR="00100F82" w:rsidRPr="005F7EB6">
                    <w:rPr>
                      <w:noProof/>
                    </w:rPr>
                    <w:drawing>
                      <wp:anchor distT="0" distB="0" distL="114300" distR="114300" simplePos="0" relativeHeight="251658252" behindDoc="1" locked="1" layoutInCell="1" allowOverlap="1" wp14:anchorId="403747E8" wp14:editId="59CBE09A">
                        <wp:simplePos x="0" y="0"/>
                        <wp:positionH relativeFrom="page">
                          <wp:posOffset>5080</wp:posOffset>
                        </wp:positionH>
                        <wp:positionV relativeFrom="page">
                          <wp:posOffset>0</wp:posOffset>
                        </wp:positionV>
                        <wp:extent cx="7548880" cy="10673715"/>
                        <wp:effectExtent l="0" t="0" r="0" b="0"/>
                        <wp:wrapNone/>
                        <wp:docPr id="714427526" name="Picture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427526" name="Picture 11">
                                  <a:extLst>
                                    <a:ext uri="{C183D7F6-B498-43B3-948B-1728B52AA6E4}">
                                      <adec:decorative xmlns:adec="http://schemas.microsoft.com/office/drawing/2017/decorative" val="1"/>
                                    </a:ext>
                                  </a:extLst>
                                </pic:cNvPr>
                                <pic:cNvPicPr>
                                  <a:picLocks noChangeAspect="1" noChangeArrowheads="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7548880" cy="106737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5EA9CA2" w14:textId="7BFB5061" w:rsidR="00DE647E" w:rsidRPr="005F7EB6" w:rsidRDefault="00DE647E" w:rsidP="005F7EB6">
                  <w:pPr>
                    <w:pStyle w:val="Sectionpagetitle"/>
                    <w:sectPr w:rsidR="00DE647E" w:rsidRPr="005F7EB6" w:rsidSect="00A60512">
                      <w:headerReference w:type="default" r:id="rId13"/>
                      <w:footerReference w:type="default" r:id="rId14"/>
                      <w:headerReference w:type="first" r:id="rId15"/>
                      <w:pgSz w:w="11909" w:h="16834" w:code="9"/>
                      <w:pgMar w:top="1440" w:right="1440" w:bottom="1440" w:left="1440" w:header="720" w:footer="720" w:gutter="0"/>
                      <w:pgNumType w:fmt="lowerRoman"/>
                      <w:cols w:space="720"/>
                      <w:docGrid w:linePitch="360"/>
                    </w:sectPr>
                  </w:pPr>
                </w:p>
                <w:p w14:paraId="6E8781CD" w14:textId="2DF6A4E8" w:rsidR="00A57442" w:rsidRDefault="0088494B" w:rsidP="002E7436">
                  <w:pPr>
                    <w:pStyle w:val="Heading1NotNumbered"/>
                  </w:pPr>
                  <w:bookmarkStart w:id="3" w:name="_Toc204856716"/>
                  <w:bookmarkStart w:id="4" w:name="_Toc208906827"/>
                  <w:r w:rsidRPr="4DF130F7">
                    <w:lastRenderedPageBreak/>
                    <w:t>Executive</w:t>
                  </w:r>
                  <w:bookmarkEnd w:id="3"/>
                  <w:bookmarkEnd w:id="0"/>
                  <w:r w:rsidRPr="669C925B">
                    <w:t xml:space="preserve"> </w:t>
                  </w:r>
                  <w:r w:rsidR="00067C32">
                    <w:t>S</w:t>
                  </w:r>
                  <w:r w:rsidRPr="669C925B">
                    <w:t>ummary</w:t>
                  </w:r>
                  <w:bookmarkEnd w:id="4"/>
                </w:p>
                <w:p w14:paraId="76729A80" w14:textId="004EB30C" w:rsidR="0063700D" w:rsidRDefault="00403B60" w:rsidP="0063700D">
                  <w:r w:rsidRPr="009D2839">
                    <w:t>Family and Relationship Services (FaRS) and Specialised Family Violence Service (SFVS) programs are funded by the Department of Social Services (the Department) under the Famil</w:t>
                  </w:r>
                  <w:r>
                    <w:t>ies</w:t>
                  </w:r>
                  <w:r w:rsidRPr="009D2839">
                    <w:t xml:space="preserve"> and Children (FaC) activity. Collectively, these programs aim to strengthen family relationships, prevent family breakdown, increase participation in communities</w:t>
                  </w:r>
                  <w:r>
                    <w:t>,</w:t>
                  </w:r>
                  <w:r w:rsidRPr="009D2839">
                    <w:t xml:space="preserve"> and ensure that the wellbeing and safety of children is maintained </w:t>
                  </w:r>
                  <w:r w:rsidRPr="009D2839">
                    <w:fldChar w:fldCharType="begin"/>
                  </w:r>
                  <w:r w:rsidR="003A464F">
                    <w:instrText xml:space="preserve"> ADDIN ZOTERO_ITEM CSL_CITATION {"citationID":"GLPEAlUD","properties":{"formattedCitation":"(Australian Institute of Family Studies, 2024a)","plainCitation":"(Australian Institute of Family Studies, 2024a)","noteIndex":0},"citationItems":[{"id":"KNHaqWe9/IkV6eivk","uris":["http://zotero.org/groups/6054942/items/IRBVBITP"],"itemData":{"id":5093,"type":"report","language":"en","publisher":"Commonwealth of Australia","source":"Zotero","title":"Family Relationships Services Program Review","author":[{"family":"Australian Institute of Family Studies","given":""}],"issued":{"date-parts":[["2024"]]}}}],"schema":"https://github.com/citation-style-language/schema/raw/master/csl-citation.json"} </w:instrText>
                  </w:r>
                  <w:r w:rsidRPr="009D2839">
                    <w:fldChar w:fldCharType="separate"/>
                  </w:r>
                  <w:r w:rsidRPr="009D2839">
                    <w:t>(Australian Institute of Family Studies, 2024a)</w:t>
                  </w:r>
                  <w:r w:rsidRPr="009D2839">
                    <w:fldChar w:fldCharType="end"/>
                  </w:r>
                  <w:r w:rsidRPr="009D2839">
                    <w:t>.</w:t>
                  </w:r>
                </w:p>
                <w:p w14:paraId="029471AC" w14:textId="39984B0C" w:rsidR="005400EB" w:rsidRDefault="00E91A62" w:rsidP="0063700D">
                  <w:r>
                    <w:t>Whil</w:t>
                  </w:r>
                  <w:r w:rsidR="009C72FA">
                    <w:t>st</w:t>
                  </w:r>
                  <w:r>
                    <w:t xml:space="preserve"> </w:t>
                  </w:r>
                  <w:r w:rsidR="005400EB" w:rsidRPr="005400EB">
                    <w:t xml:space="preserve">understandings of contemporary Australian families have evolved </w:t>
                  </w:r>
                  <w:r w:rsidR="000D26F2">
                    <w:t>since marriage counselling and family services were first funded several decades ago</w:t>
                  </w:r>
                  <w:r w:rsidR="005400EB" w:rsidRPr="005400EB">
                    <w:t>, the need for FaRS</w:t>
                  </w:r>
                  <w:r w:rsidR="00C065D6">
                    <w:t>,</w:t>
                  </w:r>
                  <w:r w:rsidR="005400EB" w:rsidRPr="005400EB">
                    <w:t xml:space="preserve"> and now SFVS</w:t>
                  </w:r>
                  <w:r w:rsidR="00C065D6">
                    <w:t>,</w:t>
                  </w:r>
                  <w:r w:rsidR="005400EB" w:rsidRPr="005400EB">
                    <w:t xml:space="preserve"> remains clear. Families are more </w:t>
                  </w:r>
                  <w:r w:rsidR="00B6758C" w:rsidRPr="005400EB">
                    <w:t>diverse,</w:t>
                  </w:r>
                  <w:r w:rsidR="005400EB" w:rsidRPr="005400EB">
                    <w:t xml:space="preserve"> and the social and economic context of family life has changed. Notably, the prevalence of family violence and the need for family violence services </w:t>
                  </w:r>
                  <w:r w:rsidR="00343272" w:rsidRPr="005400EB">
                    <w:t>have</w:t>
                  </w:r>
                  <w:r w:rsidR="005400EB" w:rsidRPr="005400EB">
                    <w:t xml:space="preserve"> significantly increased since the inception of </w:t>
                  </w:r>
                  <w:r w:rsidR="00B20E12">
                    <w:t xml:space="preserve">the </w:t>
                  </w:r>
                  <w:r w:rsidR="005400EB" w:rsidRPr="005400EB">
                    <w:t xml:space="preserve">FaRS </w:t>
                  </w:r>
                  <w:r w:rsidR="00B20E12">
                    <w:t>program</w:t>
                  </w:r>
                  <w:r w:rsidR="005400EB" w:rsidRPr="005400EB">
                    <w:t xml:space="preserve">. </w:t>
                  </w:r>
                </w:p>
                <w:p w14:paraId="5370738A" w14:textId="541F5A99" w:rsidR="0063700D" w:rsidRDefault="00B975F0" w:rsidP="0063700D">
                  <w:r w:rsidRPr="009D2839">
                    <w:t>In recent years, the Australian Government has made a significant investment in the FaRS</w:t>
                  </w:r>
                  <w:r>
                    <w:t xml:space="preserve"> </w:t>
                  </w:r>
                  <w:r w:rsidRPr="009D2839">
                    <w:t xml:space="preserve">and SFVS programs. </w:t>
                  </w:r>
                  <w:r w:rsidR="004C221F" w:rsidRPr="009D2839">
                    <w:t xml:space="preserve">As of July 2024, 81 organisations across Australia receive funding through FaRS </w:t>
                  </w:r>
                  <w:r w:rsidR="004C221F">
                    <w:t>programs. 38</w:t>
                  </w:r>
                  <w:r w:rsidR="004C221F" w:rsidRPr="009D2839">
                    <w:t xml:space="preserve"> organisations </w:t>
                  </w:r>
                  <w:r w:rsidR="004C221F">
                    <w:t>are funded to deliver SFVS</w:t>
                  </w:r>
                  <w:r w:rsidR="009C72FA">
                    <w:t xml:space="preserve"> programs</w:t>
                  </w:r>
                  <w:r w:rsidR="004C221F">
                    <w:t xml:space="preserve">. </w:t>
                  </w:r>
                  <w:r w:rsidR="004C221F" w:rsidRPr="009D2839">
                    <w:t>From 2021-22 to 2025-26, Australian Government funding for the FaRS program totalled $400,345,040.</w:t>
                  </w:r>
                </w:p>
                <w:p w14:paraId="62F18F95" w14:textId="12A44D50" w:rsidR="00E538BE" w:rsidRPr="003A5165" w:rsidRDefault="00E538BE" w:rsidP="003A5165">
                  <w:pPr>
                    <w:spacing w:before="360"/>
                    <w:rPr>
                      <w:b/>
                      <w:color w:val="36424A" w:themeColor="background2"/>
                    </w:rPr>
                  </w:pPr>
                  <w:r w:rsidRPr="003A5165">
                    <w:rPr>
                      <w:b/>
                      <w:color w:val="36424A" w:themeColor="background2"/>
                    </w:rPr>
                    <w:t>This evaluation</w:t>
                  </w:r>
                </w:p>
                <w:p w14:paraId="57A7ABAA" w14:textId="57243089" w:rsidR="004C221F" w:rsidRDefault="00E538BE" w:rsidP="0063700D">
                  <w:pPr>
                    <w:rPr>
                      <w:b/>
                      <w:lang w:val="en-US"/>
                    </w:rPr>
                  </w:pPr>
                  <w:r w:rsidRPr="00A63751">
                    <w:t xml:space="preserve">Allen </w:t>
                  </w:r>
                  <w:r w:rsidR="00E01A26">
                    <w:t>+</w:t>
                  </w:r>
                  <w:r w:rsidRPr="00A63751">
                    <w:t xml:space="preserve"> Clarke Consulting</w:t>
                  </w:r>
                  <w:r w:rsidRPr="009D2839">
                    <w:t xml:space="preserve"> was commissioned</w:t>
                  </w:r>
                  <w:r w:rsidRPr="009D2839">
                    <w:rPr>
                      <w:i/>
                      <w:iCs/>
                    </w:rPr>
                    <w:t xml:space="preserve"> </w:t>
                  </w:r>
                  <w:r w:rsidRPr="009D2839">
                    <w:t xml:space="preserve">by the </w:t>
                  </w:r>
                  <w:r>
                    <w:t>Department</w:t>
                  </w:r>
                  <w:r w:rsidRPr="009D2839">
                    <w:t xml:space="preserve"> to conduct an independent evaluation of FaRS and SFVS programs. Th</w:t>
                  </w:r>
                  <w:r w:rsidR="00693F17">
                    <w:t>is</w:t>
                  </w:r>
                  <w:r w:rsidRPr="009D2839">
                    <w:t xml:space="preserve"> evaluation </w:t>
                  </w:r>
                  <w:r w:rsidR="00C454B5">
                    <w:t>has assessed</w:t>
                  </w:r>
                  <w:r w:rsidRPr="009D2839">
                    <w:t xml:space="preserve"> the</w:t>
                  </w:r>
                  <w:r w:rsidR="00B808D6">
                    <w:t xml:space="preserve"> efficiency,</w:t>
                  </w:r>
                  <w:r w:rsidRPr="009D2839">
                    <w:t xml:space="preserve"> effectiveness, </w:t>
                  </w:r>
                  <w:r w:rsidR="00B808D6">
                    <w:t xml:space="preserve">and </w:t>
                  </w:r>
                  <w:r w:rsidRPr="009D2839">
                    <w:t>appropriateness</w:t>
                  </w:r>
                  <w:r w:rsidR="00B808D6">
                    <w:t xml:space="preserve"> </w:t>
                  </w:r>
                  <w:r w:rsidRPr="009D2839">
                    <w:t>of these programs to inform ongoing service delivery, design, and future policy.</w:t>
                  </w:r>
                  <w:r w:rsidR="00BE6C0D">
                    <w:t xml:space="preserve"> </w:t>
                  </w:r>
                  <w:r w:rsidR="00BE6C0D" w:rsidRPr="00BF74DE">
                    <w:rPr>
                      <w:bCs/>
                    </w:rPr>
                    <w:t>Th</w:t>
                  </w:r>
                  <w:r w:rsidR="0022533C">
                    <w:rPr>
                      <w:bCs/>
                    </w:rPr>
                    <w:t>is</w:t>
                  </w:r>
                  <w:r w:rsidR="00BE6C0D" w:rsidRPr="00BF74DE">
                    <w:rPr>
                      <w:bCs/>
                    </w:rPr>
                    <w:t xml:space="preserve"> evaluation adopted a staged, sequential, mixed-method approach</w:t>
                  </w:r>
                  <w:r w:rsidR="00973959">
                    <w:rPr>
                      <w:bCs/>
                    </w:rPr>
                    <w:t xml:space="preserve"> between </w:t>
                  </w:r>
                  <w:r w:rsidR="002550DD">
                    <w:rPr>
                      <w:bCs/>
                    </w:rPr>
                    <w:t>July 2024</w:t>
                  </w:r>
                  <w:r w:rsidR="00973959">
                    <w:rPr>
                      <w:bCs/>
                    </w:rPr>
                    <w:t xml:space="preserve"> and </w:t>
                  </w:r>
                  <w:r w:rsidR="00941CC8">
                    <w:rPr>
                      <w:bCs/>
                    </w:rPr>
                    <w:t>September 2025</w:t>
                  </w:r>
                  <w:r w:rsidR="0022533C">
                    <w:rPr>
                      <w:bCs/>
                    </w:rPr>
                    <w:t xml:space="preserve"> and</w:t>
                  </w:r>
                  <w:r w:rsidR="007D2906">
                    <w:t xml:space="preserve"> </w:t>
                  </w:r>
                  <w:r w:rsidR="00C5673E">
                    <w:rPr>
                      <w:bCs/>
                    </w:rPr>
                    <w:t>is framed around efficiency, effectiveness and appropriateness.</w:t>
                  </w:r>
                  <w:r w:rsidR="00E055C8">
                    <w:rPr>
                      <w:rFonts w:ascii="ZWAdobeF" w:hAnsi="ZWAdobeF" w:cs="ZWAdobeF"/>
                      <w:bCs/>
                      <w:sz w:val="2"/>
                      <w:szCs w:val="2"/>
                    </w:rPr>
                    <w:t>0F</w:t>
                  </w:r>
                  <w:r w:rsidR="0022533C">
                    <w:rPr>
                      <w:rStyle w:val="FootnoteReference"/>
                      <w:bCs/>
                    </w:rPr>
                    <w:footnoteReference w:id="2"/>
                  </w:r>
                  <w:r w:rsidR="007D2906">
                    <w:rPr>
                      <w:bCs/>
                      <w:lang w:val="en-US"/>
                    </w:rPr>
                    <w:t xml:space="preserve"> Data sources for th</w:t>
                  </w:r>
                  <w:r w:rsidR="0022533C">
                    <w:rPr>
                      <w:bCs/>
                      <w:lang w:val="en-US"/>
                    </w:rPr>
                    <w:t>is</w:t>
                  </w:r>
                  <w:r w:rsidR="007D2906">
                    <w:rPr>
                      <w:bCs/>
                      <w:lang w:val="en-US"/>
                    </w:rPr>
                    <w:t xml:space="preserve"> evaluation are summari</w:t>
                  </w:r>
                  <w:r w:rsidR="00CF68EE">
                    <w:rPr>
                      <w:bCs/>
                      <w:lang w:val="en-US"/>
                    </w:rPr>
                    <w:t>s</w:t>
                  </w:r>
                  <w:r w:rsidR="007D2906">
                    <w:rPr>
                      <w:bCs/>
                      <w:lang w:val="en-US"/>
                    </w:rPr>
                    <w:t xml:space="preserve">ed </w:t>
                  </w:r>
                  <w:r w:rsidR="00CF68EE">
                    <w:rPr>
                      <w:bCs/>
                      <w:lang w:val="en-US"/>
                    </w:rPr>
                    <w:t>below</w:t>
                  </w:r>
                  <w:r w:rsidR="007D2906">
                    <w:rPr>
                      <w:bCs/>
                      <w:lang w:val="en-US"/>
                    </w:rPr>
                    <w:t>, and a</w:t>
                  </w:r>
                  <w:r w:rsidR="007D2906" w:rsidRPr="00BF74DE">
                    <w:rPr>
                      <w:bCs/>
                      <w:lang w:val="en-US"/>
                    </w:rPr>
                    <w:t xml:space="preserve"> detailed overview of the methodology </w:t>
                  </w:r>
                  <w:r w:rsidR="00C5673E">
                    <w:rPr>
                      <w:bCs/>
                      <w:lang w:val="en-US"/>
                    </w:rPr>
                    <w:t>including the Key Evaluation Questions</w:t>
                  </w:r>
                  <w:r w:rsidR="007D2906" w:rsidRPr="00BF74DE">
                    <w:rPr>
                      <w:bCs/>
                      <w:lang w:val="en-US"/>
                    </w:rPr>
                    <w:t xml:space="preserve"> can be found at </w:t>
                  </w:r>
                  <w:r w:rsidR="007D2906" w:rsidRPr="00E45F0F">
                    <w:rPr>
                      <w:b/>
                      <w:lang w:val="en-US"/>
                    </w:rPr>
                    <w:t xml:space="preserve">Section </w:t>
                  </w:r>
                  <w:r w:rsidR="007D2906">
                    <w:rPr>
                      <w:b/>
                      <w:lang w:val="en-US"/>
                    </w:rPr>
                    <w:fldChar w:fldCharType="begin" w:fldLock="1"/>
                  </w:r>
                  <w:r w:rsidR="007D2906">
                    <w:rPr>
                      <w:b/>
                      <w:lang w:val="en-US"/>
                    </w:rPr>
                    <w:instrText xml:space="preserve"> REF _Ref205405061 \r \h </w:instrText>
                  </w:r>
                  <w:r w:rsidR="00271FAC">
                    <w:rPr>
                      <w:b/>
                      <w:lang w:val="en-US"/>
                    </w:rPr>
                    <w:instrText xml:space="preserve"> \* MERGEFORMAT </w:instrText>
                  </w:r>
                  <w:r w:rsidR="007D2906">
                    <w:rPr>
                      <w:b/>
                      <w:lang w:val="en-US"/>
                    </w:rPr>
                  </w:r>
                  <w:r w:rsidR="007D2906">
                    <w:rPr>
                      <w:b/>
                      <w:lang w:val="en-US"/>
                    </w:rPr>
                    <w:fldChar w:fldCharType="separate"/>
                  </w:r>
                  <w:r w:rsidR="008F22E5">
                    <w:rPr>
                      <w:b/>
                      <w:lang w:val="en-US"/>
                    </w:rPr>
                    <w:t>3</w:t>
                  </w:r>
                  <w:r w:rsidR="007D2906">
                    <w:rPr>
                      <w:b/>
                      <w:lang w:val="en-US"/>
                    </w:rPr>
                    <w:fldChar w:fldCharType="end"/>
                  </w:r>
                  <w:r w:rsidR="007D2906">
                    <w:rPr>
                      <w:b/>
                      <w:lang w:val="en-US"/>
                    </w:rPr>
                    <w:t>.</w:t>
                  </w:r>
                </w:p>
                <w:p w14:paraId="269CA335" w14:textId="745E7441" w:rsidR="00751AB6" w:rsidRPr="00393BD9" w:rsidRDefault="00751AB6" w:rsidP="00321BC5">
                  <w:pPr>
                    <w:pStyle w:val="Caption"/>
                    <w:rPr>
                      <w:sz w:val="21"/>
                      <w:szCs w:val="21"/>
                      <w:lang w:val="en-US"/>
                    </w:rPr>
                  </w:pPr>
                  <w:r w:rsidRPr="00393BD9">
                    <w:rPr>
                      <w:sz w:val="21"/>
                      <w:szCs w:val="21"/>
                    </w:rPr>
                    <w:lastRenderedPageBreak/>
                    <w:t xml:space="preserve">Figure </w:t>
                  </w:r>
                  <w:r w:rsidR="00C64C3D" w:rsidRPr="00393BD9">
                    <w:rPr>
                      <w:sz w:val="21"/>
                      <w:szCs w:val="21"/>
                    </w:rPr>
                    <w:fldChar w:fldCharType="begin"/>
                  </w:r>
                  <w:r w:rsidR="00C64C3D" w:rsidRPr="00393BD9">
                    <w:rPr>
                      <w:sz w:val="21"/>
                      <w:szCs w:val="21"/>
                    </w:rPr>
                    <w:instrText xml:space="preserve"> SEQ Figure \* ARABIC </w:instrText>
                  </w:r>
                  <w:r w:rsidR="00C64C3D" w:rsidRPr="00393BD9">
                    <w:rPr>
                      <w:sz w:val="21"/>
                      <w:szCs w:val="21"/>
                    </w:rPr>
                    <w:fldChar w:fldCharType="separate"/>
                  </w:r>
                  <w:r w:rsidR="008D2566">
                    <w:rPr>
                      <w:noProof/>
                      <w:sz w:val="21"/>
                      <w:szCs w:val="21"/>
                    </w:rPr>
                    <w:t>1</w:t>
                  </w:r>
                  <w:r w:rsidR="00C64C3D" w:rsidRPr="00393BD9">
                    <w:rPr>
                      <w:sz w:val="21"/>
                      <w:szCs w:val="21"/>
                    </w:rPr>
                    <w:fldChar w:fldCharType="end"/>
                  </w:r>
                  <w:r w:rsidRPr="00393BD9">
                    <w:rPr>
                      <w:sz w:val="21"/>
                      <w:szCs w:val="21"/>
                    </w:rPr>
                    <w:t>: Data sources for the evaluation</w:t>
                  </w:r>
                </w:p>
                <w:p w14:paraId="1F98D494" w14:textId="3BC33E64" w:rsidR="00DF23CA" w:rsidRDefault="003B771D" w:rsidP="00271FAC">
                  <w:r>
                    <w:rPr>
                      <w:noProof/>
                    </w:rPr>
                    <w:drawing>
                      <wp:inline distT="0" distB="0" distL="0" distR="0" wp14:anchorId="0D66115D" wp14:editId="6A3C1A48">
                        <wp:extent cx="5724525" cy="1695450"/>
                        <wp:effectExtent l="0" t="0" r="9525" b="0"/>
                        <wp:docPr id="304535717" name="Pictur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535717" name="Picture 10">
                                  <a:extLst>
                                    <a:ext uri="{C183D7F6-B498-43B3-948B-1728B52AA6E4}">
                                      <adec:decorative xmlns:adec="http://schemas.microsoft.com/office/drawing/2017/decorative" val="1"/>
                                    </a:ext>
                                  </a:extLst>
                                </pic:cNvPr>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24525" cy="1695450"/>
                                </a:xfrm>
                                <a:prstGeom prst="rect">
                                  <a:avLst/>
                                </a:prstGeom>
                                <a:noFill/>
                                <a:ln>
                                  <a:noFill/>
                                </a:ln>
                              </pic:spPr>
                            </pic:pic>
                          </a:graphicData>
                        </a:graphic>
                      </wp:inline>
                    </w:drawing>
                  </w:r>
                </w:p>
                <w:p w14:paraId="4488164A" w14:textId="1CD2AA66" w:rsidR="000F2469" w:rsidRPr="002A10B4" w:rsidRDefault="00751AB6" w:rsidP="002A10B4">
                  <w:r>
                    <w:t>T</w:t>
                  </w:r>
                  <w:r w:rsidRPr="00D363A6">
                    <w:t>h</w:t>
                  </w:r>
                  <w:r w:rsidR="0022533C">
                    <w:t>is</w:t>
                  </w:r>
                  <w:r w:rsidRPr="00D363A6">
                    <w:t xml:space="preserve"> evaluation draws on robust data to inform findings and </w:t>
                  </w:r>
                  <w:r>
                    <w:t>opportunities.</w:t>
                  </w:r>
                  <w:r w:rsidRPr="00D363A6">
                    <w:t xml:space="preserve"> </w:t>
                  </w:r>
                  <w:r>
                    <w:t>Data limitations</w:t>
                  </w:r>
                  <w:r w:rsidRPr="00D363A6">
                    <w:t xml:space="preserve"> are outlined at </w:t>
                  </w:r>
                  <w:r w:rsidRPr="00E45F0F">
                    <w:rPr>
                      <w:b/>
                    </w:rPr>
                    <w:t xml:space="preserve">Section </w:t>
                  </w:r>
                  <w:r w:rsidRPr="00E45F0F">
                    <w:rPr>
                      <w:b/>
                    </w:rPr>
                    <w:fldChar w:fldCharType="begin" w:fldLock="1"/>
                  </w:r>
                  <w:r w:rsidRPr="00B1293B">
                    <w:rPr>
                      <w:b/>
                    </w:rPr>
                    <w:instrText xml:space="preserve"> REF _Ref205405165 \r \h </w:instrText>
                  </w:r>
                  <w:r>
                    <w:rPr>
                      <w:b/>
                      <w:bCs/>
                    </w:rPr>
                    <w:instrText xml:space="preserve"> \* MERGEFORMAT </w:instrText>
                  </w:r>
                  <w:r w:rsidRPr="00E45F0F">
                    <w:rPr>
                      <w:b/>
                    </w:rPr>
                  </w:r>
                  <w:r w:rsidRPr="00E45F0F">
                    <w:rPr>
                      <w:b/>
                    </w:rPr>
                    <w:fldChar w:fldCharType="separate"/>
                  </w:r>
                  <w:r w:rsidR="008F22E5">
                    <w:rPr>
                      <w:b/>
                    </w:rPr>
                    <w:t>3.8</w:t>
                  </w:r>
                  <w:r w:rsidRPr="00E45F0F">
                    <w:rPr>
                      <w:b/>
                    </w:rPr>
                    <w:fldChar w:fldCharType="end"/>
                  </w:r>
                  <w:r w:rsidRPr="00BF67AD">
                    <w:t>.</w:t>
                  </w:r>
                  <w:r>
                    <w:t xml:space="preserve"> </w:t>
                  </w:r>
                  <w:r w:rsidR="00F948DB" w:rsidRPr="00D363A6">
                    <w:t>The evaluation team was guided by a set of standards, ethical considerations, trauma-informed approaches, culturally safe</w:t>
                  </w:r>
                  <w:r w:rsidR="00F948DB">
                    <w:t>,</w:t>
                  </w:r>
                  <w:r w:rsidR="00F948DB" w:rsidRPr="00D363A6">
                    <w:t xml:space="preserve"> and ‘Do No Harm’ principles. </w:t>
                  </w:r>
                  <w:r w:rsidR="00687AB2">
                    <w:t xml:space="preserve">Ethics approval was received from </w:t>
                  </w:r>
                  <w:r w:rsidR="00F948DB" w:rsidRPr="00D363A6">
                    <w:t>three Human Research Ethics Committees (HREC</w:t>
                  </w:r>
                  <w:r w:rsidR="006414A8">
                    <w:t>s</w:t>
                  </w:r>
                  <w:r w:rsidR="00F948DB" w:rsidRPr="00D363A6">
                    <w:t>)</w:t>
                  </w:r>
                  <w:r w:rsidR="00F948DB">
                    <w:t xml:space="preserve">. </w:t>
                  </w:r>
                  <w:r w:rsidR="00687AB2">
                    <w:t>More information is provided in</w:t>
                  </w:r>
                  <w:r w:rsidR="00F948DB" w:rsidRPr="00BF74DE">
                    <w:rPr>
                      <w:bCs/>
                      <w:lang w:val="en-US"/>
                    </w:rPr>
                    <w:t xml:space="preserve"> </w:t>
                  </w:r>
                  <w:r w:rsidR="00F948DB" w:rsidRPr="00265AB3">
                    <w:rPr>
                      <w:b/>
                      <w:lang w:val="en-US"/>
                    </w:rPr>
                    <w:t xml:space="preserve">Section </w:t>
                  </w:r>
                  <w:r w:rsidR="00F948DB">
                    <w:rPr>
                      <w:b/>
                      <w:lang w:val="en-US"/>
                    </w:rPr>
                    <w:fldChar w:fldCharType="begin" w:fldLock="1"/>
                  </w:r>
                  <w:r w:rsidR="00F948DB">
                    <w:rPr>
                      <w:b/>
                      <w:lang w:val="en-US"/>
                    </w:rPr>
                    <w:instrText xml:space="preserve"> REF _Ref205405136 \r \h </w:instrText>
                  </w:r>
                  <w:r w:rsidR="00271FAC">
                    <w:rPr>
                      <w:b/>
                      <w:lang w:val="en-US"/>
                    </w:rPr>
                    <w:instrText xml:space="preserve"> \* MERGEFORMAT </w:instrText>
                  </w:r>
                  <w:r w:rsidR="00F948DB">
                    <w:rPr>
                      <w:b/>
                      <w:lang w:val="en-US"/>
                    </w:rPr>
                  </w:r>
                  <w:r w:rsidR="00F948DB">
                    <w:rPr>
                      <w:b/>
                      <w:lang w:val="en-US"/>
                    </w:rPr>
                    <w:fldChar w:fldCharType="separate"/>
                  </w:r>
                  <w:r w:rsidR="008F22E5">
                    <w:rPr>
                      <w:b/>
                      <w:lang w:val="en-US"/>
                    </w:rPr>
                    <w:t>3.2</w:t>
                  </w:r>
                  <w:r w:rsidR="00F948DB">
                    <w:rPr>
                      <w:b/>
                      <w:lang w:val="en-US"/>
                    </w:rPr>
                    <w:fldChar w:fldCharType="end"/>
                  </w:r>
                  <w:r w:rsidR="00F948DB">
                    <w:rPr>
                      <w:bCs/>
                      <w:lang w:val="en-US"/>
                    </w:rPr>
                    <w:t>.</w:t>
                  </w:r>
                  <w:r w:rsidR="00B827C6">
                    <w:t xml:space="preserve"> </w:t>
                  </w:r>
                </w:p>
                <w:p w14:paraId="0C012E0A" w14:textId="176C0B03" w:rsidR="000F2469" w:rsidRPr="00E27BAD" w:rsidRDefault="009C058A" w:rsidP="003A5165">
                  <w:pPr>
                    <w:spacing w:before="360"/>
                    <w:rPr>
                      <w:b/>
                      <w:color w:val="36424A" w:themeColor="background2"/>
                    </w:rPr>
                  </w:pPr>
                  <w:r w:rsidRPr="003A5165">
                    <w:rPr>
                      <w:b/>
                      <w:color w:val="36424A" w:themeColor="background2"/>
                    </w:rPr>
                    <w:t>Findings</w:t>
                  </w:r>
                </w:p>
                <w:tbl>
                  <w:tblPr>
                    <w:tblStyle w:val="ACTableDesign1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4" w:type="dxa"/>
                      <w:right w:w="284" w:type="dxa"/>
                    </w:tblCellMar>
                    <w:tblLook w:val="04A0" w:firstRow="1" w:lastRow="0" w:firstColumn="1" w:lastColumn="0" w:noHBand="0" w:noVBand="1"/>
                  </w:tblPr>
                  <w:tblGrid>
                    <w:gridCol w:w="880"/>
                    <w:gridCol w:w="8149"/>
                  </w:tblGrid>
                  <w:tr w:rsidR="00D8238E" w:rsidRPr="00C73D94" w14:paraId="42F26D59" w14:textId="77777777" w:rsidTr="3436A1D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29" w:type="dxa"/>
                        <w:gridSpan w:val="2"/>
                        <w:tcBorders>
                          <w:bottom w:val="single" w:sz="36" w:space="0" w:color="FFFFFF" w:themeColor="text1"/>
                        </w:tcBorders>
                        <w:shd w:val="clear" w:color="auto" w:fill="0568A6"/>
                      </w:tcPr>
                      <w:p w14:paraId="046F7544" w14:textId="77777777" w:rsidR="00D8238E" w:rsidRPr="00C73D94" w:rsidRDefault="00D8238E">
                        <w:pPr>
                          <w:spacing w:before="240"/>
                          <w:rPr>
                            <w:rFonts w:eastAsia="Arial" w:cs="Times New Roman"/>
                            <w:bCs/>
                          </w:rPr>
                        </w:pPr>
                        <w:r w:rsidRPr="00C73D94">
                          <w:rPr>
                            <w:rFonts w:eastAsia="Arial" w:cs="Times New Roman"/>
                            <w:color w:val="FFFFFF"/>
                          </w:rPr>
                          <w:t>Efficiency</w:t>
                        </w:r>
                      </w:p>
                    </w:tc>
                  </w:tr>
                  <w:tr w:rsidR="00D8238E" w:rsidRPr="00C73D94" w14:paraId="2E2A1E79" w14:textId="77777777" w:rsidTr="3436A1D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0" w:type="dxa"/>
                        <w:tcBorders>
                          <w:top w:val="single" w:sz="18" w:space="0" w:color="FFFFFF" w:themeColor="text1"/>
                          <w:right w:val="single" w:sz="18" w:space="0" w:color="FFFFFF" w:themeColor="text1"/>
                        </w:tcBorders>
                        <w:shd w:val="clear" w:color="auto" w:fill="CDE0EB"/>
                      </w:tcPr>
                      <w:p w14:paraId="6959B949" w14:textId="77777777" w:rsidR="00D8238E" w:rsidRPr="00C73D94" w:rsidRDefault="00D8238E">
                        <w:pPr>
                          <w:rPr>
                            <w:rFonts w:eastAsia="Arial" w:cs="Times New Roman"/>
                            <w:b/>
                            <w:bCs/>
                            <w:sz w:val="28"/>
                            <w:szCs w:val="28"/>
                          </w:rPr>
                        </w:pPr>
                        <w:r w:rsidRPr="00C73D94">
                          <w:rPr>
                            <w:rFonts w:eastAsia="Arial" w:cs="Times New Roman"/>
                            <w:b/>
                            <w:bCs/>
                            <w:sz w:val="28"/>
                            <w:szCs w:val="28"/>
                          </w:rPr>
                          <w:t>1</w:t>
                        </w:r>
                      </w:p>
                    </w:tc>
                    <w:tc>
                      <w:tcPr>
                        <w:tcW w:w="8149" w:type="dxa"/>
                        <w:tcBorders>
                          <w:top w:val="single" w:sz="18" w:space="0" w:color="FFFFFF" w:themeColor="text1"/>
                          <w:left w:val="single" w:sz="18" w:space="0" w:color="FFFFFF" w:themeColor="text1"/>
                        </w:tcBorders>
                        <w:shd w:val="clear" w:color="auto" w:fill="CDE0EB"/>
                      </w:tcPr>
                      <w:p w14:paraId="32260A13" w14:textId="4D2A59DE" w:rsidR="00D8238E" w:rsidRDefault="00D8238E">
                        <w:pPr>
                          <w:cnfStyle w:val="000000100000" w:firstRow="0" w:lastRow="0" w:firstColumn="0" w:lastColumn="0" w:oddVBand="0" w:evenVBand="0" w:oddHBand="1" w:evenHBand="0" w:firstRowFirstColumn="0" w:firstRowLastColumn="0" w:lastRowFirstColumn="0" w:lastRowLastColumn="0"/>
                          <w:rPr>
                            <w:rFonts w:eastAsia="Arial" w:cs="Times New Roman"/>
                            <w:b/>
                            <w:bCs/>
                          </w:rPr>
                        </w:pPr>
                        <w:r>
                          <w:rPr>
                            <w:rFonts w:eastAsia="Arial" w:cs="Times New Roman"/>
                            <w:b/>
                            <w:bCs/>
                          </w:rPr>
                          <w:t>FaRS and SFVS provide value for money</w:t>
                        </w:r>
                      </w:p>
                      <w:p w14:paraId="785D4B99" w14:textId="09E693C7" w:rsidR="00D8238E" w:rsidRPr="00C73D94" w:rsidRDefault="00D8238E">
                        <w:pPr>
                          <w:cnfStyle w:val="000000100000" w:firstRow="0" w:lastRow="0" w:firstColumn="0" w:lastColumn="0" w:oddVBand="0" w:evenVBand="0" w:oddHBand="1" w:evenHBand="0" w:firstRowFirstColumn="0" w:firstRowLastColumn="0" w:lastRowFirstColumn="0" w:lastRowLastColumn="0"/>
                          <w:rPr>
                            <w:rFonts w:eastAsia="Arial" w:cs="Times New Roman"/>
                          </w:rPr>
                        </w:pPr>
                        <w:r w:rsidRPr="00C73D94">
                          <w:rPr>
                            <w:rFonts w:eastAsia="Arial" w:cs="Times New Roman"/>
                          </w:rPr>
                          <w:t>Benefit Cost Ratios for FaRS and SFVS are high. FaRS and SFVS convert funding into a high volume of services and positive outcomes. This output relative to investment is efficient. The result is a cost per service well below comparable intensive interventions.</w:t>
                        </w:r>
                      </w:p>
                    </w:tc>
                  </w:tr>
                </w:tbl>
                <w:p w14:paraId="64570300" w14:textId="77777777" w:rsidR="000F2469" w:rsidRDefault="000F2469" w:rsidP="00D8238E">
                  <w:pPr>
                    <w:keepNext/>
                    <w:spacing w:after="120"/>
                    <w:rPr>
                      <w:rFonts w:ascii="Arial" w:eastAsia="Arial" w:hAnsi="Arial" w:cs="Times New Roman"/>
                      <w:b/>
                      <w:iCs/>
                      <w:szCs w:val="18"/>
                    </w:rPr>
                  </w:pPr>
                </w:p>
                <w:p w14:paraId="287E5ED2" w14:textId="77777777" w:rsidR="002A10B4" w:rsidRDefault="002A10B4" w:rsidP="00D8238E">
                  <w:pPr>
                    <w:keepNext/>
                    <w:spacing w:after="120"/>
                    <w:rPr>
                      <w:rFonts w:ascii="Arial" w:eastAsia="Arial" w:hAnsi="Arial" w:cs="Times New Roman"/>
                      <w:b/>
                      <w:iCs/>
                      <w:szCs w:val="18"/>
                    </w:rPr>
                  </w:pPr>
                </w:p>
                <w:tbl>
                  <w:tblPr>
                    <w:tblStyle w:val="ACTableDesign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4" w:type="dxa"/>
                      <w:right w:w="284" w:type="dxa"/>
                    </w:tblCellMar>
                    <w:tblLook w:val="04A0" w:firstRow="1" w:lastRow="0" w:firstColumn="1" w:lastColumn="0" w:noHBand="0" w:noVBand="1"/>
                  </w:tblPr>
                  <w:tblGrid>
                    <w:gridCol w:w="851"/>
                    <w:gridCol w:w="8178"/>
                  </w:tblGrid>
                  <w:tr w:rsidR="0065751D" w:rsidRPr="00C73D94" w14:paraId="6D991715"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29" w:type="dxa"/>
                        <w:gridSpan w:val="2"/>
                        <w:tcBorders>
                          <w:bottom w:val="single" w:sz="36" w:space="0" w:color="FFFFFF"/>
                        </w:tcBorders>
                        <w:shd w:val="clear" w:color="auto" w:fill="007E00"/>
                      </w:tcPr>
                      <w:p w14:paraId="45B5E182" w14:textId="77777777" w:rsidR="0065751D" w:rsidRPr="00C73D94" w:rsidRDefault="0065751D">
                        <w:pPr>
                          <w:spacing w:before="240"/>
                          <w:rPr>
                            <w:rFonts w:eastAsia="Arial" w:cs="Times New Roman"/>
                            <w:bCs/>
                            <w:color w:val="36424A"/>
                            <w:spacing w:val="2"/>
                            <w:lang w:val="en-GB"/>
                          </w:rPr>
                        </w:pPr>
                        <w:r w:rsidRPr="00C73D94">
                          <w:rPr>
                            <w:rFonts w:eastAsia="Arial" w:cs="Times New Roman"/>
                            <w:color w:val="FFFFFF"/>
                            <w:spacing w:val="2"/>
                            <w:lang w:val="en-GB"/>
                          </w:rPr>
                          <w:t xml:space="preserve">Effectiveness </w:t>
                        </w:r>
                      </w:p>
                    </w:tc>
                  </w:tr>
                  <w:tr w:rsidR="0065751D" w:rsidRPr="00C73D94" w14:paraId="3D8FAD31" w14:textId="77777777" w:rsidTr="004F2CE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Borders>
                          <w:top w:val="single" w:sz="36" w:space="0" w:color="FFFFFF"/>
                          <w:bottom w:val="single" w:sz="18" w:space="0" w:color="FFFFFF"/>
                          <w:right w:val="single" w:sz="18" w:space="0" w:color="FFFFFF"/>
                        </w:tcBorders>
                        <w:shd w:val="clear" w:color="auto" w:fill="F5F9EF"/>
                      </w:tcPr>
                      <w:p w14:paraId="25177F2F" w14:textId="77777777" w:rsidR="0065751D" w:rsidRPr="00C73D94" w:rsidRDefault="0065751D">
                        <w:pPr>
                          <w:rPr>
                            <w:rFonts w:eastAsia="Arial" w:cs="Times New Roman"/>
                            <w:b/>
                            <w:bCs/>
                            <w:sz w:val="28"/>
                            <w:szCs w:val="28"/>
                          </w:rPr>
                        </w:pPr>
                        <w:r>
                          <w:rPr>
                            <w:rFonts w:eastAsia="Arial" w:cs="Times New Roman"/>
                            <w:b/>
                            <w:bCs/>
                            <w:sz w:val="28"/>
                            <w:szCs w:val="28"/>
                          </w:rPr>
                          <w:t>2</w:t>
                        </w:r>
                      </w:p>
                    </w:tc>
                    <w:tc>
                      <w:tcPr>
                        <w:tcW w:w="8178" w:type="dxa"/>
                        <w:tcBorders>
                          <w:top w:val="single" w:sz="36" w:space="0" w:color="FFFFFF"/>
                          <w:left w:val="single" w:sz="18" w:space="0" w:color="FFFFFF"/>
                          <w:bottom w:val="single" w:sz="18" w:space="0" w:color="FFFFFF"/>
                        </w:tcBorders>
                        <w:shd w:val="clear" w:color="auto" w:fill="F5F9EF"/>
                      </w:tcPr>
                      <w:p w14:paraId="1176FFF9" w14:textId="77777777" w:rsidR="0065751D" w:rsidRPr="00777666" w:rsidRDefault="0065751D">
                        <w:pPr>
                          <w:cnfStyle w:val="000000100000" w:firstRow="0" w:lastRow="0" w:firstColumn="0" w:lastColumn="0" w:oddVBand="0" w:evenVBand="0" w:oddHBand="1" w:evenHBand="0" w:firstRowFirstColumn="0" w:firstRowLastColumn="0" w:lastRowFirstColumn="0" w:lastRowLastColumn="0"/>
                          <w:rPr>
                            <w:rFonts w:eastAsia="Arial" w:cs="Times New Roman"/>
                            <w:b/>
                            <w:bCs/>
                          </w:rPr>
                        </w:pPr>
                        <w:r w:rsidRPr="00A24C3D">
                          <w:rPr>
                            <w:rFonts w:eastAsia="Arial" w:cs="Times New Roman"/>
                            <w:b/>
                            <w:bCs/>
                          </w:rPr>
                          <w:t xml:space="preserve">FaRS and SFVS are effective in improving outcomes </w:t>
                        </w:r>
                        <w:r w:rsidRPr="000A727E">
                          <w:rPr>
                            <w:rFonts w:eastAsia="Arial" w:cs="Times New Roman"/>
                            <w:b/>
                            <w:bCs/>
                          </w:rPr>
                          <w:t>in personal and family safety, mental health and wellbeing</w:t>
                        </w:r>
                        <w:r>
                          <w:rPr>
                            <w:rFonts w:eastAsia="Arial" w:cs="Times New Roman"/>
                            <w:b/>
                            <w:bCs/>
                          </w:rPr>
                          <w:t xml:space="preserve"> and </w:t>
                        </w:r>
                        <w:r w:rsidRPr="000A727E">
                          <w:rPr>
                            <w:rFonts w:eastAsia="Arial" w:cs="Times New Roman"/>
                            <w:b/>
                            <w:bCs/>
                          </w:rPr>
                          <w:t>relationships</w:t>
                        </w:r>
                        <w:r>
                          <w:rPr>
                            <w:rFonts w:eastAsia="Arial" w:cs="Times New Roman"/>
                            <w:b/>
                            <w:bCs/>
                          </w:rPr>
                          <w:t xml:space="preserve"> for</w:t>
                        </w:r>
                        <w:r w:rsidRPr="00A24C3D">
                          <w:rPr>
                            <w:rFonts w:eastAsia="Arial" w:cs="Times New Roman"/>
                            <w:b/>
                            <w:bCs/>
                          </w:rPr>
                          <w:t xml:space="preserve"> many Australians</w:t>
                        </w:r>
                        <w:r w:rsidRPr="00C73D94">
                          <w:rPr>
                            <w:rFonts w:eastAsia="Arial" w:cs="Times New Roman"/>
                            <w:b/>
                            <w:bCs/>
                          </w:rPr>
                          <w:t xml:space="preserve"> </w:t>
                        </w:r>
                      </w:p>
                      <w:p w14:paraId="1D46BB64" w14:textId="77777777" w:rsidR="0065751D" w:rsidRPr="00A72ABB" w:rsidRDefault="0065751D">
                        <w:pPr>
                          <w:cnfStyle w:val="000000100000" w:firstRow="0" w:lastRow="0" w:firstColumn="0" w:lastColumn="0" w:oddVBand="0" w:evenVBand="0" w:oddHBand="1" w:evenHBand="0" w:firstRowFirstColumn="0" w:firstRowLastColumn="0" w:lastRowFirstColumn="0" w:lastRowLastColumn="0"/>
                          <w:rPr>
                            <w:rFonts w:eastAsia="Arial" w:cs="Times New Roman"/>
                          </w:rPr>
                        </w:pPr>
                        <w:r>
                          <w:rPr>
                            <w:rFonts w:eastAsia="Arial" w:cs="Times New Roman"/>
                          </w:rPr>
                          <w:t xml:space="preserve">Overall, people who use FaRS and SFVS services experience improvements across the short and medium-term outcomes in the Program Logics. These outcomes include improved knowledge and skills relating to personal and family safety, respectful relationships and conflict resolution, resilience, wellbeing and mental health. </w:t>
                        </w:r>
                      </w:p>
                    </w:tc>
                  </w:tr>
                  <w:tr w:rsidR="0065751D" w:rsidRPr="00C73D94" w14:paraId="5EA76FC0" w14:textId="77777777" w:rsidTr="004F2CE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Borders>
                          <w:top w:val="single" w:sz="36" w:space="0" w:color="FFFFFF"/>
                          <w:bottom w:val="single" w:sz="18" w:space="0" w:color="FFFFFF"/>
                          <w:right w:val="single" w:sz="18" w:space="0" w:color="FFFFFF"/>
                        </w:tcBorders>
                        <w:shd w:val="clear" w:color="auto" w:fill="F5F9EF"/>
                      </w:tcPr>
                      <w:p w14:paraId="4BF3FDAD" w14:textId="77777777" w:rsidR="0065751D" w:rsidRPr="00C73D94" w:rsidRDefault="0065751D">
                        <w:pPr>
                          <w:rPr>
                            <w:rFonts w:eastAsia="Arial" w:cs="Times New Roman"/>
                            <w:b/>
                            <w:bCs/>
                            <w:sz w:val="28"/>
                            <w:szCs w:val="28"/>
                          </w:rPr>
                        </w:pPr>
                        <w:r>
                          <w:rPr>
                            <w:rFonts w:eastAsia="Arial" w:cs="Times New Roman"/>
                            <w:b/>
                            <w:bCs/>
                            <w:sz w:val="28"/>
                            <w:szCs w:val="28"/>
                          </w:rPr>
                          <w:lastRenderedPageBreak/>
                          <w:t>3</w:t>
                        </w:r>
                      </w:p>
                    </w:tc>
                    <w:tc>
                      <w:tcPr>
                        <w:tcW w:w="8178" w:type="dxa"/>
                        <w:tcBorders>
                          <w:top w:val="single" w:sz="36" w:space="0" w:color="FFFFFF"/>
                          <w:left w:val="single" w:sz="18" w:space="0" w:color="FFFFFF"/>
                          <w:bottom w:val="single" w:sz="18" w:space="0" w:color="FFFFFF"/>
                        </w:tcBorders>
                        <w:shd w:val="clear" w:color="auto" w:fill="F5F9EF"/>
                      </w:tcPr>
                      <w:p w14:paraId="6A57BD9F" w14:textId="77777777" w:rsidR="0065751D" w:rsidRDefault="0065751D">
                        <w:pPr>
                          <w:cnfStyle w:val="000000010000" w:firstRow="0" w:lastRow="0" w:firstColumn="0" w:lastColumn="0" w:oddVBand="0" w:evenVBand="0" w:oddHBand="0" w:evenHBand="1" w:firstRowFirstColumn="0" w:firstRowLastColumn="0" w:lastRowFirstColumn="0" w:lastRowLastColumn="0"/>
                          <w:rPr>
                            <w:rFonts w:eastAsia="Arial" w:cs="Times New Roman"/>
                            <w:b/>
                            <w:bCs/>
                          </w:rPr>
                        </w:pPr>
                        <w:r>
                          <w:rPr>
                            <w:rFonts w:eastAsia="Arial" w:cs="Times New Roman"/>
                            <w:b/>
                            <w:bCs/>
                          </w:rPr>
                          <w:t>The flexibility of the program guidelines is a key factor contributing to the effectiveness of FaRS and SFVS</w:t>
                        </w:r>
                      </w:p>
                      <w:p w14:paraId="43126C8E" w14:textId="77777777" w:rsidR="0065751D" w:rsidRDefault="0065751D">
                        <w:pPr>
                          <w:cnfStyle w:val="000000010000" w:firstRow="0" w:lastRow="0" w:firstColumn="0" w:lastColumn="0" w:oddVBand="0" w:evenVBand="0" w:oddHBand="0" w:evenHBand="1" w:firstRowFirstColumn="0" w:firstRowLastColumn="0" w:lastRowFirstColumn="0" w:lastRowLastColumn="0"/>
                          <w:rPr>
                            <w:rFonts w:eastAsia="Arial" w:cs="Times New Roman"/>
                          </w:rPr>
                        </w:pPr>
                        <w:r w:rsidRPr="00C73D94">
                          <w:rPr>
                            <w:rFonts w:eastAsia="Arial" w:cs="Times New Roman"/>
                          </w:rPr>
                          <w:t xml:space="preserve">The FaRS and SFVS </w:t>
                        </w:r>
                        <w:r>
                          <w:rPr>
                            <w:rFonts w:eastAsia="Arial" w:cs="Times New Roman"/>
                          </w:rPr>
                          <w:t>Operational</w:t>
                        </w:r>
                        <w:r w:rsidRPr="00C73D94">
                          <w:rPr>
                            <w:rFonts w:eastAsia="Arial" w:cs="Times New Roman"/>
                          </w:rPr>
                          <w:t xml:space="preserve"> </w:t>
                        </w:r>
                        <w:r>
                          <w:rPr>
                            <w:rFonts w:eastAsia="Arial" w:cs="Times New Roman"/>
                          </w:rPr>
                          <w:t>G</w:t>
                        </w:r>
                        <w:r w:rsidRPr="00C73D94">
                          <w:rPr>
                            <w:rFonts w:eastAsia="Arial" w:cs="Times New Roman"/>
                          </w:rPr>
                          <w:t xml:space="preserve">uidelines </w:t>
                        </w:r>
                        <w:r>
                          <w:rPr>
                            <w:rFonts w:eastAsia="Arial" w:cs="Times New Roman"/>
                          </w:rPr>
                          <w:t xml:space="preserve">grant service providers latitude to </w:t>
                        </w:r>
                        <w:r w:rsidRPr="00C73D94">
                          <w:rPr>
                            <w:rFonts w:eastAsia="Arial" w:cs="Times New Roman"/>
                          </w:rPr>
                          <w:t>tailor servic</w:t>
                        </w:r>
                        <w:r>
                          <w:rPr>
                            <w:rFonts w:eastAsia="Arial" w:cs="Times New Roman"/>
                          </w:rPr>
                          <w:t>e provision</w:t>
                        </w:r>
                        <w:r w:rsidRPr="00C73D94">
                          <w:rPr>
                            <w:rFonts w:eastAsia="Arial" w:cs="Times New Roman"/>
                          </w:rPr>
                          <w:t xml:space="preserve"> to the needs of their communities and individual service users.</w:t>
                        </w:r>
                        <w:r>
                          <w:rPr>
                            <w:rFonts w:eastAsia="Arial" w:cs="Times New Roman"/>
                          </w:rPr>
                          <w:t xml:space="preserve"> Service providers are using this flexibility to shape their service offerings and modes of delivery (including the use of virtual platforms) in ways that enhance outcomes.</w:t>
                        </w:r>
                      </w:p>
                      <w:p w14:paraId="34DB5DBA" w14:textId="616C00A7" w:rsidR="0065751D" w:rsidRPr="00B85942" w:rsidRDefault="0065751D">
                        <w:pPr>
                          <w:cnfStyle w:val="000000010000" w:firstRow="0" w:lastRow="0" w:firstColumn="0" w:lastColumn="0" w:oddVBand="0" w:evenVBand="0" w:oddHBand="0" w:evenHBand="1" w:firstRowFirstColumn="0" w:firstRowLastColumn="0" w:lastRowFirstColumn="0" w:lastRowLastColumn="0"/>
                          <w:rPr>
                            <w:rFonts w:eastAsia="Arial" w:cs="Times New Roman"/>
                          </w:rPr>
                        </w:pPr>
                        <w:r>
                          <w:rPr>
                            <w:rFonts w:eastAsia="Arial" w:cs="Times New Roman"/>
                          </w:rPr>
                          <w:t>While this flexibility is a key strength of the programs, there is evidence that the program guidelines are sometimes applied inconsistently. Further research is needed to understand how this impacts equitable access to services.</w:t>
                        </w:r>
                      </w:p>
                    </w:tc>
                  </w:tr>
                  <w:tr w:rsidR="0065751D" w:rsidRPr="00C73D94" w14:paraId="631BB882" w14:textId="77777777" w:rsidTr="004F2CE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Borders>
                          <w:top w:val="single" w:sz="36" w:space="0" w:color="FFFFFF"/>
                          <w:bottom w:val="single" w:sz="18" w:space="0" w:color="FFFFFF"/>
                          <w:right w:val="single" w:sz="18" w:space="0" w:color="FFFFFF"/>
                        </w:tcBorders>
                        <w:shd w:val="clear" w:color="auto" w:fill="F5F9EF"/>
                      </w:tcPr>
                      <w:p w14:paraId="58770804" w14:textId="77777777" w:rsidR="0065751D" w:rsidRPr="00C73D94" w:rsidRDefault="0065751D">
                        <w:pPr>
                          <w:rPr>
                            <w:rFonts w:eastAsia="Arial" w:cs="Times New Roman"/>
                            <w:b/>
                            <w:bCs/>
                            <w:sz w:val="28"/>
                            <w:szCs w:val="28"/>
                          </w:rPr>
                        </w:pPr>
                        <w:r>
                          <w:rPr>
                            <w:rFonts w:eastAsia="Arial" w:cs="Times New Roman"/>
                            <w:b/>
                            <w:bCs/>
                            <w:sz w:val="28"/>
                            <w:szCs w:val="28"/>
                          </w:rPr>
                          <w:t>4</w:t>
                        </w:r>
                      </w:p>
                    </w:tc>
                    <w:tc>
                      <w:tcPr>
                        <w:tcW w:w="8178" w:type="dxa"/>
                        <w:tcBorders>
                          <w:top w:val="single" w:sz="36" w:space="0" w:color="FFFFFF"/>
                          <w:left w:val="single" w:sz="18" w:space="0" w:color="FFFFFF"/>
                          <w:bottom w:val="single" w:sz="18" w:space="0" w:color="FFFFFF"/>
                        </w:tcBorders>
                        <w:shd w:val="clear" w:color="auto" w:fill="F5F9EF"/>
                      </w:tcPr>
                      <w:p w14:paraId="697B778A" w14:textId="77777777" w:rsidR="0065751D" w:rsidRPr="00F74C00" w:rsidRDefault="0065751D">
                        <w:pPr>
                          <w:cnfStyle w:val="000000100000" w:firstRow="0" w:lastRow="0" w:firstColumn="0" w:lastColumn="0" w:oddVBand="0" w:evenVBand="0" w:oddHBand="1" w:evenHBand="0" w:firstRowFirstColumn="0" w:firstRowLastColumn="0" w:lastRowFirstColumn="0" w:lastRowLastColumn="0"/>
                          <w:rPr>
                            <w:rFonts w:eastAsia="Arial" w:cs="Times New Roman"/>
                            <w:b/>
                            <w:bCs/>
                          </w:rPr>
                        </w:pPr>
                        <w:r>
                          <w:rPr>
                            <w:rFonts w:eastAsia="Arial" w:cs="Times New Roman"/>
                            <w:b/>
                            <w:bCs/>
                          </w:rPr>
                          <w:t xml:space="preserve">Changes in Australian society, service systems and the workforce are placing </w:t>
                        </w:r>
                        <w:r w:rsidRPr="00F74C00">
                          <w:rPr>
                            <w:rFonts w:eastAsia="Arial" w:cs="Times New Roman"/>
                            <w:b/>
                            <w:bCs/>
                          </w:rPr>
                          <w:t xml:space="preserve">FaRS and SFVS </w:t>
                        </w:r>
                        <w:r>
                          <w:rPr>
                            <w:rFonts w:eastAsia="Arial" w:cs="Times New Roman"/>
                            <w:b/>
                            <w:bCs/>
                          </w:rPr>
                          <w:t xml:space="preserve">under pressure </w:t>
                        </w:r>
                      </w:p>
                      <w:p w14:paraId="40A5CD2A" w14:textId="77777777" w:rsidR="0065751D" w:rsidRDefault="0065751D">
                        <w:pPr>
                          <w:cnfStyle w:val="000000100000" w:firstRow="0" w:lastRow="0" w:firstColumn="0" w:lastColumn="0" w:oddVBand="0" w:evenVBand="0" w:oddHBand="1" w:evenHBand="0" w:firstRowFirstColumn="0" w:firstRowLastColumn="0" w:lastRowFirstColumn="0" w:lastRowLastColumn="0"/>
                          <w:rPr>
                            <w:rFonts w:eastAsia="Arial" w:cs="Times New Roman"/>
                          </w:rPr>
                        </w:pPr>
                        <w:r>
                          <w:rPr>
                            <w:rFonts w:eastAsia="Arial" w:cs="Times New Roman"/>
                          </w:rPr>
                          <w:t xml:space="preserve">There is increasing complexity in service user presentations and needs. Service users are presenting with higher rates of family violence, mental ill health, neurodiversity and intersecting disadvantages. At the same time, service providers report challenges referring service users into a service system which is under strain. While a key enabler of the success of the FaRS and SFVS programs is the </w:t>
                        </w:r>
                        <w:r w:rsidRPr="00C73D94">
                          <w:rPr>
                            <w:rFonts w:eastAsia="Arial" w:cs="Times New Roman"/>
                          </w:rPr>
                          <w:t xml:space="preserve">expertise and </w:t>
                        </w:r>
                        <w:r>
                          <w:rPr>
                            <w:rFonts w:eastAsia="Arial" w:cs="Times New Roman"/>
                          </w:rPr>
                          <w:t>dedication</w:t>
                        </w:r>
                        <w:r w:rsidRPr="00C73D94">
                          <w:rPr>
                            <w:rFonts w:eastAsia="Arial" w:cs="Times New Roman"/>
                          </w:rPr>
                          <w:t xml:space="preserve"> of service providers</w:t>
                        </w:r>
                        <w:r>
                          <w:rPr>
                            <w:rFonts w:eastAsia="Arial" w:cs="Times New Roman"/>
                          </w:rPr>
                          <w:t xml:space="preserve">, some feel inadequately trained or equipped to meet the increasingly complex needs of many service users. </w:t>
                        </w:r>
                      </w:p>
                      <w:p w14:paraId="33BC8A8B" w14:textId="77777777" w:rsidR="0065751D" w:rsidRPr="004A0666" w:rsidRDefault="0065751D">
                        <w:pPr>
                          <w:cnfStyle w:val="000000100000" w:firstRow="0" w:lastRow="0" w:firstColumn="0" w:lastColumn="0" w:oddVBand="0" w:evenVBand="0" w:oddHBand="1" w:evenHBand="0" w:firstRowFirstColumn="0" w:firstRowLastColumn="0" w:lastRowFirstColumn="0" w:lastRowLastColumn="0"/>
                          <w:rPr>
                            <w:rFonts w:eastAsia="Arial" w:cs="Times New Roman"/>
                          </w:rPr>
                        </w:pPr>
                        <w:r>
                          <w:rPr>
                            <w:rFonts w:eastAsia="Arial" w:cs="Times New Roman"/>
                          </w:rPr>
                          <w:t>These trends are increasing the demand for services, requiring more intensive and integrated service responses, and impacting providers’ capacity to respond to these demands.</w:t>
                        </w:r>
                      </w:p>
                    </w:tc>
                  </w:tr>
                  <w:tr w:rsidR="0065751D" w:rsidRPr="00C73D94" w14:paraId="0C87E061" w14:textId="77777777" w:rsidTr="004F2CE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Borders>
                          <w:top w:val="single" w:sz="18" w:space="0" w:color="FFFFFF"/>
                          <w:right w:val="single" w:sz="18" w:space="0" w:color="FFFFFF"/>
                        </w:tcBorders>
                        <w:shd w:val="clear" w:color="auto" w:fill="F5F9EF"/>
                      </w:tcPr>
                      <w:p w14:paraId="39822E0A" w14:textId="77777777" w:rsidR="0065751D" w:rsidRPr="00C73D94" w:rsidRDefault="0065751D">
                        <w:pPr>
                          <w:rPr>
                            <w:rFonts w:eastAsia="Arial" w:cs="Times New Roman"/>
                            <w:b/>
                            <w:bCs/>
                            <w:sz w:val="28"/>
                            <w:szCs w:val="28"/>
                          </w:rPr>
                        </w:pPr>
                        <w:r>
                          <w:rPr>
                            <w:rFonts w:eastAsia="Arial" w:cs="Times New Roman"/>
                            <w:b/>
                            <w:bCs/>
                            <w:sz w:val="28"/>
                            <w:szCs w:val="28"/>
                          </w:rPr>
                          <w:t>5</w:t>
                        </w:r>
                      </w:p>
                    </w:tc>
                    <w:tc>
                      <w:tcPr>
                        <w:tcW w:w="8178" w:type="dxa"/>
                        <w:tcBorders>
                          <w:top w:val="single" w:sz="18" w:space="0" w:color="FFFFFF"/>
                          <w:left w:val="single" w:sz="18" w:space="0" w:color="FFFFFF"/>
                        </w:tcBorders>
                        <w:shd w:val="clear" w:color="auto" w:fill="F5F9EF"/>
                      </w:tcPr>
                      <w:p w14:paraId="522D152A" w14:textId="77777777" w:rsidR="0065751D" w:rsidRDefault="0065751D">
                        <w:pPr>
                          <w:cnfStyle w:val="000000010000" w:firstRow="0" w:lastRow="0" w:firstColumn="0" w:lastColumn="0" w:oddVBand="0" w:evenVBand="0" w:oddHBand="0" w:evenHBand="1" w:firstRowFirstColumn="0" w:firstRowLastColumn="0" w:lastRowFirstColumn="0" w:lastRowLastColumn="0"/>
                          <w:rPr>
                            <w:rFonts w:eastAsia="Arial" w:cs="Times New Roman"/>
                          </w:rPr>
                        </w:pPr>
                        <w:r w:rsidRPr="00C73D94">
                          <w:rPr>
                            <w:rFonts w:eastAsia="Arial" w:cs="Times New Roman"/>
                            <w:b/>
                            <w:bCs/>
                          </w:rPr>
                          <w:t>FaRS and SFVS are filling key gaps in the public health and social services system</w:t>
                        </w:r>
                        <w:r w:rsidRPr="00C73D94">
                          <w:rPr>
                            <w:rFonts w:eastAsia="Arial" w:cs="Times New Roman"/>
                          </w:rPr>
                          <w:t xml:space="preserve"> </w:t>
                        </w:r>
                      </w:p>
                      <w:p w14:paraId="2691DCCD" w14:textId="77777777" w:rsidR="0065751D" w:rsidRDefault="0065751D">
                        <w:pPr>
                          <w:cnfStyle w:val="000000010000" w:firstRow="0" w:lastRow="0" w:firstColumn="0" w:lastColumn="0" w:oddVBand="0" w:evenVBand="0" w:oddHBand="0" w:evenHBand="1" w:firstRowFirstColumn="0" w:firstRowLastColumn="0" w:lastRowFirstColumn="0" w:lastRowLastColumn="0"/>
                          <w:rPr>
                            <w:rFonts w:eastAsia="Arial" w:cs="Times New Roman"/>
                          </w:rPr>
                        </w:pPr>
                        <w:r w:rsidRPr="0083579A">
                          <w:rPr>
                            <w:rFonts w:eastAsia="Arial" w:cs="Times New Roman"/>
                          </w:rPr>
                          <w:t>FaRS is intended to be primarily a prevention and early intervention program. Increasing client complexity mean FaRS and SFVS services</w:t>
                        </w:r>
                        <w:r>
                          <w:rPr>
                            <w:rFonts w:eastAsia="Arial" w:cs="Times New Roman"/>
                          </w:rPr>
                          <w:t xml:space="preserve"> are often providing services across the intervention spectrum, including crisis response. M</w:t>
                        </w:r>
                        <w:r w:rsidRPr="00C73D94">
                          <w:rPr>
                            <w:rFonts w:eastAsia="Arial" w:cs="Times New Roman"/>
                          </w:rPr>
                          <w:t>any service providers are delivering these services without adequate training and resources</w:t>
                        </w:r>
                        <w:r w:rsidRPr="00C73D94" w:rsidDel="000640C2">
                          <w:rPr>
                            <w:rFonts w:eastAsia="Arial" w:cs="Times New Roman"/>
                          </w:rPr>
                          <w:t>.</w:t>
                        </w:r>
                      </w:p>
                      <w:p w14:paraId="44D07791" w14:textId="585B80A1" w:rsidR="0065751D" w:rsidRPr="00C73D94" w:rsidRDefault="0065751D">
                        <w:pPr>
                          <w:cnfStyle w:val="000000010000" w:firstRow="0" w:lastRow="0" w:firstColumn="0" w:lastColumn="0" w:oddVBand="0" w:evenVBand="0" w:oddHBand="0" w:evenHBand="1" w:firstRowFirstColumn="0" w:firstRowLastColumn="0" w:lastRowFirstColumn="0" w:lastRowLastColumn="0"/>
                          <w:rPr>
                            <w:rFonts w:eastAsia="Arial" w:cs="Times New Roman"/>
                          </w:rPr>
                        </w:pPr>
                        <w:r>
                          <w:rPr>
                            <w:rFonts w:eastAsia="Arial" w:cs="Times New Roman"/>
                          </w:rPr>
                          <w:t>There is evidence that a minority of FaRS service users are seeking support through the FaRS program because clinical mental health services are unavailable or inaccessible.</w:t>
                        </w:r>
                      </w:p>
                    </w:tc>
                  </w:tr>
                </w:tbl>
                <w:p w14:paraId="7E005FF7" w14:textId="77777777" w:rsidR="000F2469" w:rsidRDefault="000F2469" w:rsidP="008633D1">
                  <w:pPr>
                    <w:spacing w:after="0" w:line="240" w:lineRule="auto"/>
                    <w:rPr>
                      <w:rFonts w:ascii="Arial" w:eastAsia="Arial" w:hAnsi="Arial" w:cs="Times New Roman"/>
                      <w:b/>
                      <w:bCs/>
                      <w:color w:val="36424A"/>
                      <w:spacing w:val="2"/>
                      <w:lang w:val="en-GB"/>
                    </w:rPr>
                  </w:pPr>
                </w:p>
                <w:p w14:paraId="2A3CDD0E" w14:textId="77777777" w:rsidR="000F2469" w:rsidRDefault="000F2469" w:rsidP="008633D1">
                  <w:pPr>
                    <w:spacing w:after="0" w:line="240" w:lineRule="auto"/>
                    <w:rPr>
                      <w:rFonts w:ascii="Arial" w:eastAsia="Arial" w:hAnsi="Arial" w:cs="Times New Roman"/>
                      <w:b/>
                      <w:bCs/>
                      <w:color w:val="36424A"/>
                      <w:spacing w:val="2"/>
                      <w:lang w:val="en-GB"/>
                    </w:rPr>
                  </w:pPr>
                </w:p>
                <w:p w14:paraId="21C0DAC5" w14:textId="77777777" w:rsidR="000F2469" w:rsidRDefault="000F2469" w:rsidP="008633D1">
                  <w:pPr>
                    <w:spacing w:after="0" w:line="240" w:lineRule="auto"/>
                    <w:rPr>
                      <w:rFonts w:ascii="Arial" w:eastAsia="Arial" w:hAnsi="Arial" w:cs="Times New Roman"/>
                      <w:b/>
                      <w:bCs/>
                      <w:color w:val="36424A"/>
                      <w:spacing w:val="2"/>
                      <w:lang w:val="en-GB"/>
                    </w:rPr>
                  </w:pPr>
                </w:p>
                <w:tbl>
                  <w:tblPr>
                    <w:tblStyle w:val="ACTableDesign1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4" w:type="dxa"/>
                      <w:right w:w="284" w:type="dxa"/>
                    </w:tblCellMar>
                    <w:tblLook w:val="04A0" w:firstRow="1" w:lastRow="0" w:firstColumn="1" w:lastColumn="0" w:noHBand="0" w:noVBand="1"/>
                  </w:tblPr>
                  <w:tblGrid>
                    <w:gridCol w:w="880"/>
                    <w:gridCol w:w="8149"/>
                  </w:tblGrid>
                  <w:tr w:rsidR="00B81B96" w:rsidRPr="00C73D94" w14:paraId="2B8003E2" w14:textId="77777777" w:rsidTr="00321BC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gridSpan w:val="2"/>
                        <w:tcBorders>
                          <w:bottom w:val="single" w:sz="36" w:space="0" w:color="FFFFFF" w:themeColor="text1"/>
                        </w:tcBorders>
                        <w:shd w:val="clear" w:color="auto" w:fill="078C8C"/>
                      </w:tcPr>
                      <w:p w14:paraId="584D609B" w14:textId="173A2B4C" w:rsidR="00B81B96" w:rsidRPr="00C73D94" w:rsidRDefault="00B81B96" w:rsidP="00440F50">
                        <w:pPr>
                          <w:spacing w:before="240"/>
                          <w:rPr>
                            <w:rFonts w:eastAsia="Arial" w:cs="Times New Roman"/>
                            <w:bCs/>
                          </w:rPr>
                        </w:pPr>
                        <w:r w:rsidRPr="000C0709">
                          <w:rPr>
                            <w:rFonts w:eastAsia="Arial" w:cs="Times New Roman"/>
                            <w:color w:val="FFFFFF" w:themeColor="background1"/>
                          </w:rPr>
                          <w:t>Appropriateness</w:t>
                        </w:r>
                      </w:p>
                    </w:tc>
                  </w:tr>
                  <w:tr w:rsidR="00B81B96" w:rsidRPr="00C73D94" w14:paraId="36B69736" w14:textId="77777777" w:rsidTr="00321B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4" w:type="dxa"/>
                        <w:tcBorders>
                          <w:top w:val="single" w:sz="18" w:space="0" w:color="FFFFFF" w:themeColor="text1"/>
                          <w:bottom w:val="single" w:sz="18" w:space="0" w:color="FFFFFF" w:themeColor="text1"/>
                          <w:right w:val="single" w:sz="18" w:space="0" w:color="FFFFFF" w:themeColor="text1"/>
                        </w:tcBorders>
                        <w:shd w:val="clear" w:color="auto" w:fill="C6E0DC"/>
                      </w:tcPr>
                      <w:p w14:paraId="6921CC51" w14:textId="0122E65E" w:rsidR="00B81B96" w:rsidRPr="00C73D94" w:rsidRDefault="00B81B96" w:rsidP="00440F50">
                        <w:pPr>
                          <w:rPr>
                            <w:rFonts w:eastAsia="Arial" w:cs="Times New Roman"/>
                            <w:b/>
                            <w:bCs/>
                            <w:sz w:val="28"/>
                            <w:szCs w:val="28"/>
                          </w:rPr>
                        </w:pPr>
                        <w:r>
                          <w:rPr>
                            <w:rFonts w:eastAsia="Arial" w:cs="Times New Roman"/>
                            <w:b/>
                            <w:bCs/>
                            <w:sz w:val="28"/>
                            <w:szCs w:val="28"/>
                          </w:rPr>
                          <w:t>6</w:t>
                        </w:r>
                      </w:p>
                    </w:tc>
                    <w:tc>
                      <w:tcPr>
                        <w:tcW w:w="8305" w:type="dxa"/>
                        <w:tcBorders>
                          <w:top w:val="single" w:sz="18" w:space="0" w:color="FFFFFF" w:themeColor="text1"/>
                          <w:left w:val="single" w:sz="18" w:space="0" w:color="FFFFFF" w:themeColor="text1"/>
                          <w:bottom w:val="single" w:sz="18" w:space="0" w:color="FFFFFF" w:themeColor="text1"/>
                        </w:tcBorders>
                        <w:shd w:val="clear" w:color="auto" w:fill="C6E0DC"/>
                      </w:tcPr>
                      <w:p w14:paraId="3B6DFE12" w14:textId="77777777" w:rsidR="00B81B96" w:rsidRDefault="00440F50" w:rsidP="00440F50">
                        <w:pPr>
                          <w:cnfStyle w:val="000000100000" w:firstRow="0" w:lastRow="0" w:firstColumn="0" w:lastColumn="0" w:oddVBand="0" w:evenVBand="0" w:oddHBand="1" w:evenHBand="0" w:firstRowFirstColumn="0" w:firstRowLastColumn="0" w:lastRowFirstColumn="0" w:lastRowLastColumn="0"/>
                          <w:rPr>
                            <w:rFonts w:eastAsia="Arial" w:cs="Times New Roman"/>
                            <w:b/>
                            <w:bCs/>
                          </w:rPr>
                        </w:pPr>
                        <w:r>
                          <w:rPr>
                            <w:rFonts w:eastAsia="Arial" w:cs="Times New Roman"/>
                            <w:b/>
                            <w:bCs/>
                          </w:rPr>
                          <w:t>FaRS and SFVS are largely meeting the needs of most priority cohorts, although there remains scope for improvement</w:t>
                        </w:r>
                      </w:p>
                      <w:p w14:paraId="169541BF" w14:textId="77777777" w:rsidR="00B81B96" w:rsidRPr="00B81B96" w:rsidRDefault="00B81B96" w:rsidP="00B81B96">
                        <w:pPr>
                          <w:cnfStyle w:val="000000100000" w:firstRow="0" w:lastRow="0" w:firstColumn="0" w:lastColumn="0" w:oddVBand="0" w:evenVBand="0" w:oddHBand="1" w:evenHBand="0" w:firstRowFirstColumn="0" w:firstRowLastColumn="0" w:lastRowFirstColumn="0" w:lastRowLastColumn="0"/>
                          <w:rPr>
                            <w:rFonts w:eastAsia="Arial" w:cs="Times New Roman"/>
                          </w:rPr>
                        </w:pPr>
                        <w:r w:rsidRPr="00B81B96">
                          <w:rPr>
                            <w:rFonts w:eastAsia="Arial" w:cs="Times New Roman"/>
                          </w:rPr>
                          <w:t>There is evidence that FaRS and SFVS are successfully reaching Aboriginal and Torres Strait Islander people and communities and people who identify as culturally and linguistically diverse (CALD) and are achieving positive outcomes for these cohorts.</w:t>
                        </w:r>
                      </w:p>
                      <w:p w14:paraId="77080870" w14:textId="77777777" w:rsidR="00B81B96" w:rsidRPr="00B81B96" w:rsidRDefault="00B81B96" w:rsidP="00B81B96">
                        <w:pPr>
                          <w:cnfStyle w:val="000000100000" w:firstRow="0" w:lastRow="0" w:firstColumn="0" w:lastColumn="0" w:oddVBand="0" w:evenVBand="0" w:oddHBand="1" w:evenHBand="0" w:firstRowFirstColumn="0" w:firstRowLastColumn="0" w:lastRowFirstColumn="0" w:lastRowLastColumn="0"/>
                          <w:rPr>
                            <w:rFonts w:eastAsia="Arial" w:cs="Times New Roman"/>
                          </w:rPr>
                        </w:pPr>
                        <w:r w:rsidRPr="00B81B96">
                          <w:rPr>
                            <w:rFonts w:eastAsia="Arial" w:cs="Times New Roman"/>
                          </w:rPr>
                          <w:t>Rates of participation in FaRS and SFVS by people with disability are lower than is expected based on population and family violence data. However, outcomes for people with disability are consistent with outcomes for the general population.</w:t>
                        </w:r>
                      </w:p>
                      <w:p w14:paraId="5E567AEC" w14:textId="0A38988B" w:rsidR="00B81B96" w:rsidRPr="00C73D94" w:rsidRDefault="00B81B96" w:rsidP="00B81B96">
                        <w:pPr>
                          <w:cnfStyle w:val="000000100000" w:firstRow="0" w:lastRow="0" w:firstColumn="0" w:lastColumn="0" w:oddVBand="0" w:evenVBand="0" w:oddHBand="1" w:evenHBand="0" w:firstRowFirstColumn="0" w:firstRowLastColumn="0" w:lastRowFirstColumn="0" w:lastRowLastColumn="0"/>
                          <w:rPr>
                            <w:rFonts w:eastAsia="Arial" w:cs="Times New Roman"/>
                          </w:rPr>
                        </w:pPr>
                        <w:r w:rsidRPr="00B81B96">
                          <w:rPr>
                            <w:rFonts w:eastAsia="Arial" w:cs="Times New Roman"/>
                          </w:rPr>
                          <w:t>Evidence on reach and outcomes for the LGBTQIA+ community is limited as Data Exchange (DEX) data does not fully capture LGBTQIA+ status.</w:t>
                        </w:r>
                      </w:p>
                    </w:tc>
                  </w:tr>
                  <w:tr w:rsidR="00B81B96" w:rsidRPr="00C73D94" w14:paraId="36721D54" w14:textId="77777777" w:rsidTr="00321BC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4" w:type="dxa"/>
                        <w:tcBorders>
                          <w:top w:val="single" w:sz="18" w:space="0" w:color="FFFFFF" w:themeColor="text1"/>
                          <w:bottom w:val="single" w:sz="18" w:space="0" w:color="FFFFFF" w:themeColor="text1"/>
                          <w:right w:val="single" w:sz="18" w:space="0" w:color="FFFFFF" w:themeColor="text1"/>
                        </w:tcBorders>
                        <w:shd w:val="clear" w:color="auto" w:fill="C6E0DC"/>
                      </w:tcPr>
                      <w:p w14:paraId="37CF8D8B" w14:textId="2A7A88F9" w:rsidR="00B81B96" w:rsidRPr="00C73D94" w:rsidRDefault="00B81B96" w:rsidP="00440F50">
                        <w:pPr>
                          <w:rPr>
                            <w:rFonts w:eastAsia="Arial" w:cs="Times New Roman"/>
                            <w:b/>
                            <w:bCs/>
                            <w:sz w:val="28"/>
                            <w:szCs w:val="28"/>
                          </w:rPr>
                        </w:pPr>
                        <w:r>
                          <w:rPr>
                            <w:rFonts w:eastAsia="Arial" w:cs="Times New Roman"/>
                            <w:b/>
                            <w:bCs/>
                            <w:sz w:val="28"/>
                            <w:szCs w:val="28"/>
                          </w:rPr>
                          <w:t>7</w:t>
                        </w:r>
                      </w:p>
                    </w:tc>
                    <w:tc>
                      <w:tcPr>
                        <w:tcW w:w="8305" w:type="dxa"/>
                        <w:tcBorders>
                          <w:top w:val="single" w:sz="18" w:space="0" w:color="FFFFFF" w:themeColor="text1"/>
                          <w:left w:val="single" w:sz="18" w:space="0" w:color="FFFFFF" w:themeColor="text1"/>
                          <w:bottom w:val="single" w:sz="18" w:space="0" w:color="FFFFFF" w:themeColor="text1"/>
                        </w:tcBorders>
                        <w:shd w:val="clear" w:color="auto" w:fill="C6E0DC"/>
                      </w:tcPr>
                      <w:p w14:paraId="50CBA080" w14:textId="77777777" w:rsidR="00B81B96" w:rsidRPr="00FA09DF" w:rsidRDefault="00B81B96" w:rsidP="00B81B96">
                        <w:pPr>
                          <w:cnfStyle w:val="000000010000" w:firstRow="0" w:lastRow="0" w:firstColumn="0" w:lastColumn="0" w:oddVBand="0" w:evenVBand="0" w:oddHBand="0" w:evenHBand="1" w:firstRowFirstColumn="0" w:firstRowLastColumn="0" w:lastRowFirstColumn="0" w:lastRowLastColumn="0"/>
                          <w:rPr>
                            <w:rFonts w:eastAsia="Arial" w:cs="Times New Roman"/>
                            <w:b/>
                            <w:bCs/>
                          </w:rPr>
                        </w:pPr>
                        <w:r w:rsidRPr="008B5FDF">
                          <w:rPr>
                            <w:rFonts w:eastAsia="Arial" w:cs="Times New Roman"/>
                            <w:b/>
                            <w:bCs/>
                          </w:rPr>
                          <w:t>A</w:t>
                        </w:r>
                        <w:r>
                          <w:rPr>
                            <w:rFonts w:eastAsia="Arial" w:cs="Times New Roman"/>
                            <w:b/>
                            <w:bCs/>
                          </w:rPr>
                          <w:t xml:space="preserve">boriginal </w:t>
                        </w:r>
                        <w:r w:rsidRPr="008B5FDF">
                          <w:rPr>
                            <w:rFonts w:eastAsia="Arial" w:cs="Times New Roman"/>
                            <w:b/>
                            <w:bCs/>
                          </w:rPr>
                          <w:t>C</w:t>
                        </w:r>
                        <w:r>
                          <w:rPr>
                            <w:rFonts w:eastAsia="Arial" w:cs="Times New Roman"/>
                            <w:b/>
                            <w:bCs/>
                          </w:rPr>
                          <w:t xml:space="preserve">ommunity </w:t>
                        </w:r>
                        <w:r w:rsidRPr="008B5FDF">
                          <w:rPr>
                            <w:rFonts w:eastAsia="Arial" w:cs="Times New Roman"/>
                            <w:b/>
                            <w:bCs/>
                          </w:rPr>
                          <w:t>C</w:t>
                        </w:r>
                        <w:r>
                          <w:rPr>
                            <w:rFonts w:eastAsia="Arial" w:cs="Times New Roman"/>
                            <w:b/>
                            <w:bCs/>
                          </w:rPr>
                          <w:t xml:space="preserve">ontrolled </w:t>
                        </w:r>
                        <w:r w:rsidRPr="008B5FDF">
                          <w:rPr>
                            <w:rFonts w:eastAsia="Arial" w:cs="Times New Roman"/>
                            <w:b/>
                            <w:bCs/>
                          </w:rPr>
                          <w:t>O</w:t>
                        </w:r>
                        <w:r>
                          <w:rPr>
                            <w:rFonts w:eastAsia="Arial" w:cs="Times New Roman"/>
                            <w:b/>
                            <w:bCs/>
                          </w:rPr>
                          <w:t>rganisation</w:t>
                        </w:r>
                        <w:r w:rsidRPr="008B5FDF">
                          <w:rPr>
                            <w:rFonts w:eastAsia="Arial" w:cs="Times New Roman"/>
                            <w:b/>
                            <w:bCs/>
                          </w:rPr>
                          <w:t>s</w:t>
                        </w:r>
                        <w:r>
                          <w:rPr>
                            <w:rFonts w:eastAsia="Arial" w:cs="Times New Roman"/>
                            <w:b/>
                            <w:bCs/>
                          </w:rPr>
                          <w:t xml:space="preserve"> (</w:t>
                        </w:r>
                        <w:r w:rsidRPr="008B5FDF">
                          <w:rPr>
                            <w:rFonts w:eastAsia="Arial" w:cs="Times New Roman"/>
                            <w:b/>
                            <w:bCs/>
                          </w:rPr>
                          <w:t>ACCOs</w:t>
                        </w:r>
                        <w:r>
                          <w:rPr>
                            <w:rFonts w:eastAsia="Arial" w:cs="Times New Roman"/>
                            <w:b/>
                            <w:bCs/>
                          </w:rPr>
                          <w:t>)</w:t>
                        </w:r>
                        <w:r w:rsidRPr="008B5FDF">
                          <w:rPr>
                            <w:rFonts w:eastAsia="Arial" w:cs="Times New Roman"/>
                            <w:b/>
                            <w:bCs/>
                          </w:rPr>
                          <w:t xml:space="preserve"> are designing and implementing culturally appropriate, community-controlled services, but</w:t>
                        </w:r>
                        <w:r>
                          <w:rPr>
                            <w:rFonts w:eastAsia="Arial" w:cs="Times New Roman"/>
                            <w:b/>
                            <w:bCs/>
                          </w:rPr>
                          <w:t xml:space="preserve"> are reliant on other </w:t>
                        </w:r>
                        <w:r w:rsidRPr="00FA09DF">
                          <w:rPr>
                            <w:rFonts w:eastAsia="Arial" w:cs="Times New Roman"/>
                            <w:b/>
                            <w:bCs/>
                          </w:rPr>
                          <w:t>funding sources to meet client and community needs</w:t>
                        </w:r>
                      </w:p>
                      <w:p w14:paraId="3075E8D6" w14:textId="2ED926D8" w:rsidR="00B81B96" w:rsidRDefault="00B81B96" w:rsidP="00B81B96">
                        <w:pPr>
                          <w:cnfStyle w:val="000000010000" w:firstRow="0" w:lastRow="0" w:firstColumn="0" w:lastColumn="0" w:oddVBand="0" w:evenVBand="0" w:oddHBand="0" w:evenHBand="1" w:firstRowFirstColumn="0" w:firstRowLastColumn="0" w:lastRowFirstColumn="0" w:lastRowLastColumn="0"/>
                          <w:rPr>
                            <w:rFonts w:eastAsia="Arial" w:cs="Times New Roman"/>
                            <w:b/>
                            <w:bCs/>
                          </w:rPr>
                        </w:pPr>
                        <w:r w:rsidRPr="00291280">
                          <w:rPr>
                            <w:rFonts w:eastAsia="Arial" w:cs="Times New Roman"/>
                            <w:color w:val="36424A" w:themeColor="background2"/>
                          </w:rPr>
                          <w:t>Some ACCOs have successfully leveraged their existing relationships and trust with their communities to lay firm foundations for ACCO-led SFVS programs. SFVS program guidelines have enabled ACCOs to co-design flexible, trauma-informed and integrated approaches, which embed community ownership. Current SFVS funding arrangements are insufficient to support full implementation of these approaches which currently rely on other support to operate.</w:t>
                        </w:r>
                      </w:p>
                    </w:tc>
                  </w:tr>
                  <w:tr w:rsidR="00B81B96" w:rsidRPr="00C73D94" w14:paraId="48539A72" w14:textId="77777777" w:rsidTr="00321B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Borders>
                          <w:top w:val="single" w:sz="18" w:space="0" w:color="FFFFFF" w:themeColor="text1"/>
                          <w:bottom w:val="single" w:sz="18" w:space="0" w:color="FFFFFF" w:themeColor="text1"/>
                          <w:right w:val="single" w:sz="18" w:space="0" w:color="FFFFFF" w:themeColor="text1"/>
                        </w:tcBorders>
                        <w:shd w:val="clear" w:color="auto" w:fill="C6E0DC"/>
                      </w:tcPr>
                      <w:p w14:paraId="5B71D134" w14:textId="7D83C5DB" w:rsidR="00B81B96" w:rsidRDefault="00B81B96" w:rsidP="00440F50">
                        <w:pPr>
                          <w:rPr>
                            <w:rFonts w:eastAsia="Arial" w:cs="Times New Roman"/>
                            <w:b/>
                            <w:bCs/>
                            <w:sz w:val="28"/>
                            <w:szCs w:val="28"/>
                          </w:rPr>
                        </w:pPr>
                        <w:r>
                          <w:rPr>
                            <w:rFonts w:eastAsia="Arial" w:cs="Times New Roman"/>
                            <w:b/>
                            <w:bCs/>
                            <w:sz w:val="28"/>
                            <w:szCs w:val="28"/>
                          </w:rPr>
                          <w:t>8</w:t>
                        </w:r>
                      </w:p>
                    </w:tc>
                    <w:tc>
                      <w:tcPr>
                        <w:tcW w:w="0" w:type="dxa"/>
                        <w:tcBorders>
                          <w:top w:val="single" w:sz="18" w:space="0" w:color="FFFFFF" w:themeColor="text1"/>
                          <w:left w:val="single" w:sz="18" w:space="0" w:color="FFFFFF" w:themeColor="text1"/>
                          <w:bottom w:val="single" w:sz="18" w:space="0" w:color="FFFFFF" w:themeColor="text1"/>
                        </w:tcBorders>
                        <w:shd w:val="clear" w:color="auto" w:fill="C6E0DC"/>
                      </w:tcPr>
                      <w:p w14:paraId="72EB63D9" w14:textId="77777777" w:rsidR="00B81B96" w:rsidRDefault="00B81B96" w:rsidP="00B81B96">
                        <w:pPr>
                          <w:cnfStyle w:val="000000100000" w:firstRow="0" w:lastRow="0" w:firstColumn="0" w:lastColumn="0" w:oddVBand="0" w:evenVBand="0" w:oddHBand="1" w:evenHBand="0" w:firstRowFirstColumn="0" w:firstRowLastColumn="0" w:lastRowFirstColumn="0" w:lastRowLastColumn="0"/>
                          <w:rPr>
                            <w:rFonts w:eastAsia="Arial" w:cs="Times New Roman"/>
                            <w:b/>
                            <w:bCs/>
                          </w:rPr>
                        </w:pPr>
                        <w:r w:rsidRPr="00CA1C51">
                          <w:rPr>
                            <w:rFonts w:eastAsia="Arial" w:cs="Times New Roman"/>
                            <w:b/>
                            <w:bCs/>
                          </w:rPr>
                          <w:t>Child-</w:t>
                        </w:r>
                        <w:r>
                          <w:rPr>
                            <w:rFonts w:eastAsia="Arial" w:cs="Times New Roman"/>
                            <w:b/>
                            <w:bCs/>
                          </w:rPr>
                          <w:t>S</w:t>
                        </w:r>
                        <w:r w:rsidRPr="00CA1C51">
                          <w:rPr>
                            <w:rFonts w:eastAsia="Arial" w:cs="Times New Roman"/>
                            <w:b/>
                            <w:bCs/>
                          </w:rPr>
                          <w:t xml:space="preserve">pecific </w:t>
                        </w:r>
                        <w:r>
                          <w:rPr>
                            <w:rFonts w:eastAsia="Arial" w:cs="Times New Roman"/>
                            <w:b/>
                            <w:bCs/>
                          </w:rPr>
                          <w:t>C</w:t>
                        </w:r>
                        <w:r w:rsidRPr="00CA1C51">
                          <w:rPr>
                            <w:rFonts w:eastAsia="Arial" w:cs="Times New Roman"/>
                            <w:b/>
                            <w:bCs/>
                          </w:rPr>
                          <w:t>ounselling</w:t>
                        </w:r>
                        <w:r>
                          <w:rPr>
                            <w:rFonts w:eastAsia="Arial" w:cs="Times New Roman"/>
                            <w:b/>
                            <w:bCs/>
                          </w:rPr>
                          <w:t xml:space="preserve"> (CSC) services are achieving positive outcomes for children</w:t>
                        </w:r>
                      </w:p>
                      <w:p w14:paraId="3873AA28" w14:textId="4B626AF3" w:rsidR="00B81B96" w:rsidRPr="008B5FDF" w:rsidRDefault="00B81B96" w:rsidP="00B81B96">
                        <w:pPr>
                          <w:cnfStyle w:val="000000100000" w:firstRow="0" w:lastRow="0" w:firstColumn="0" w:lastColumn="0" w:oddVBand="0" w:evenVBand="0" w:oddHBand="1" w:evenHBand="0" w:firstRowFirstColumn="0" w:firstRowLastColumn="0" w:lastRowFirstColumn="0" w:lastRowLastColumn="0"/>
                          <w:rPr>
                            <w:rFonts w:eastAsia="Arial" w:cs="Times New Roman"/>
                            <w:b/>
                            <w:bCs/>
                          </w:rPr>
                        </w:pPr>
                        <w:r w:rsidRPr="00291280">
                          <w:rPr>
                            <w:rFonts w:eastAsia="Arial" w:cs="Times New Roman"/>
                            <w:color w:val="36424A" w:themeColor="background2"/>
                          </w:rPr>
                          <w:t>Services delivered to children are supporting positive outcomes for children and play an important role in ensuring children and young people feel seen, heard, and recognised. Data suggests that there is significant unmet need for support for children who have experienced or been exposed to family violence. The key challenge to scaling CSC is securing counsellors with specialist skills and experience to work with children.</w:t>
                        </w:r>
                      </w:p>
                    </w:tc>
                  </w:tr>
                  <w:tr w:rsidR="00B81B96" w:rsidRPr="00C73D94" w14:paraId="44ABAE26" w14:textId="77777777" w:rsidTr="00321BC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Borders>
                          <w:top w:val="single" w:sz="18" w:space="0" w:color="FFFFFF" w:themeColor="text1"/>
                          <w:bottom w:val="single" w:sz="18" w:space="0" w:color="FFFFFF" w:themeColor="text1"/>
                          <w:right w:val="single" w:sz="18" w:space="0" w:color="FFFFFF" w:themeColor="text1"/>
                        </w:tcBorders>
                        <w:shd w:val="clear" w:color="auto" w:fill="C6E0DC"/>
                      </w:tcPr>
                      <w:p w14:paraId="532F37A6" w14:textId="03476A9E" w:rsidR="00B81B96" w:rsidRDefault="00B81B96" w:rsidP="00440F50">
                        <w:pPr>
                          <w:rPr>
                            <w:rFonts w:eastAsia="Arial" w:cs="Times New Roman"/>
                            <w:b/>
                            <w:bCs/>
                            <w:sz w:val="28"/>
                            <w:szCs w:val="28"/>
                          </w:rPr>
                        </w:pPr>
                        <w:r>
                          <w:rPr>
                            <w:rFonts w:eastAsia="Arial" w:cs="Times New Roman"/>
                            <w:b/>
                            <w:bCs/>
                            <w:sz w:val="28"/>
                            <w:szCs w:val="28"/>
                          </w:rPr>
                          <w:lastRenderedPageBreak/>
                          <w:t>9</w:t>
                        </w:r>
                      </w:p>
                    </w:tc>
                    <w:tc>
                      <w:tcPr>
                        <w:tcW w:w="0" w:type="dxa"/>
                        <w:tcBorders>
                          <w:top w:val="single" w:sz="18" w:space="0" w:color="FFFFFF" w:themeColor="text1"/>
                          <w:left w:val="single" w:sz="18" w:space="0" w:color="FFFFFF" w:themeColor="text1"/>
                          <w:bottom w:val="single" w:sz="18" w:space="0" w:color="FFFFFF" w:themeColor="text1"/>
                        </w:tcBorders>
                        <w:shd w:val="clear" w:color="auto" w:fill="C6E0DC"/>
                      </w:tcPr>
                      <w:p w14:paraId="37869DAD" w14:textId="77777777" w:rsidR="00B81B96" w:rsidRPr="0086271D" w:rsidRDefault="00B81B96" w:rsidP="00B81B96">
                        <w:pPr>
                          <w:cnfStyle w:val="000000010000" w:firstRow="0" w:lastRow="0" w:firstColumn="0" w:lastColumn="0" w:oddVBand="0" w:evenVBand="0" w:oddHBand="0" w:evenHBand="1" w:firstRowFirstColumn="0" w:firstRowLastColumn="0" w:lastRowFirstColumn="0" w:lastRowLastColumn="0"/>
                          <w:rPr>
                            <w:rFonts w:eastAsia="Arial" w:cs="Times New Roman"/>
                            <w:b/>
                            <w:bCs/>
                          </w:rPr>
                        </w:pPr>
                        <w:r>
                          <w:rPr>
                            <w:rFonts w:eastAsia="Arial" w:cs="Times New Roman"/>
                            <w:b/>
                            <w:bCs/>
                          </w:rPr>
                          <w:t>There is demand for more programs directed at changing the behaviour of men who use violence, and scope to clarify the roles such programs play in SFVS</w:t>
                        </w:r>
                      </w:p>
                      <w:p w14:paraId="5576ABDA" w14:textId="425BCABE" w:rsidR="00B81B96" w:rsidRPr="00B81B96" w:rsidRDefault="00B81B96" w:rsidP="00B81B96">
                        <w:pPr>
                          <w:cnfStyle w:val="000000010000" w:firstRow="0" w:lastRow="0" w:firstColumn="0" w:lastColumn="0" w:oddVBand="0" w:evenVBand="0" w:oddHBand="0" w:evenHBand="1" w:firstRowFirstColumn="0" w:firstRowLastColumn="0" w:lastRowFirstColumn="0" w:lastRowLastColumn="0"/>
                          <w:rPr>
                            <w:rFonts w:eastAsia="Arial" w:cs="Times New Roman"/>
                            <w:b/>
                            <w:bCs/>
                          </w:rPr>
                        </w:pPr>
                        <w:r w:rsidRPr="00291280">
                          <w:rPr>
                            <w:rFonts w:eastAsia="Arial" w:cs="Times New Roman"/>
                            <w:color w:val="36424A" w:themeColor="background2"/>
                          </w:rPr>
                          <w:t>Whilst it was not possible for this evaluation to assess the extent to which the Men’s Behaviour Change Programs (MBCPs) have led to behaviour change for participants, interviews with a small number of MBCP participants demonstrated these individuals had very positive experiences with the programs. A range of stakeholders described a lack of services directed towards men who use or are at risk of using violence and identified this as a barrier to offering an integrated response to family violence and family violence risk.</w:t>
                        </w:r>
                      </w:p>
                    </w:tc>
                  </w:tr>
                  <w:tr w:rsidR="00B81B96" w:rsidRPr="00C73D94" w14:paraId="14DD64DA" w14:textId="77777777" w:rsidTr="00B81B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4" w:type="dxa"/>
                        <w:tcBorders>
                          <w:top w:val="single" w:sz="18" w:space="0" w:color="FFFFFF" w:themeColor="text1"/>
                          <w:right w:val="single" w:sz="18" w:space="0" w:color="FFFFFF" w:themeColor="text1"/>
                        </w:tcBorders>
                        <w:shd w:val="clear" w:color="auto" w:fill="C6E0DC"/>
                      </w:tcPr>
                      <w:p w14:paraId="6FD7FAAF" w14:textId="35C04A6E" w:rsidR="00B81B96" w:rsidRDefault="00B81B96" w:rsidP="00440F50">
                        <w:pPr>
                          <w:rPr>
                            <w:rFonts w:eastAsia="Arial" w:cs="Times New Roman"/>
                            <w:b/>
                            <w:bCs/>
                            <w:sz w:val="28"/>
                            <w:szCs w:val="28"/>
                          </w:rPr>
                        </w:pPr>
                        <w:r>
                          <w:rPr>
                            <w:rFonts w:eastAsia="Arial" w:cs="Times New Roman"/>
                            <w:b/>
                            <w:bCs/>
                            <w:sz w:val="28"/>
                            <w:szCs w:val="28"/>
                          </w:rPr>
                          <w:t>10</w:t>
                        </w:r>
                      </w:p>
                    </w:tc>
                    <w:tc>
                      <w:tcPr>
                        <w:tcW w:w="8305" w:type="dxa"/>
                        <w:tcBorders>
                          <w:top w:val="single" w:sz="18" w:space="0" w:color="FFFFFF" w:themeColor="text1"/>
                          <w:left w:val="single" w:sz="18" w:space="0" w:color="FFFFFF" w:themeColor="text1"/>
                        </w:tcBorders>
                        <w:shd w:val="clear" w:color="auto" w:fill="C6E0DC"/>
                      </w:tcPr>
                      <w:p w14:paraId="48563F73" w14:textId="77777777" w:rsidR="00B81B96" w:rsidRPr="0035595C" w:rsidRDefault="00B81B96" w:rsidP="00B81B96">
                        <w:pPr>
                          <w:cnfStyle w:val="000000100000" w:firstRow="0" w:lastRow="0" w:firstColumn="0" w:lastColumn="0" w:oddVBand="0" w:evenVBand="0" w:oddHBand="1" w:evenHBand="0" w:firstRowFirstColumn="0" w:firstRowLastColumn="0" w:lastRowFirstColumn="0" w:lastRowLastColumn="0"/>
                          <w:rPr>
                            <w:rFonts w:eastAsia="Arial" w:cs="Times New Roman"/>
                            <w:b/>
                            <w:bCs/>
                          </w:rPr>
                        </w:pPr>
                        <w:r>
                          <w:rPr>
                            <w:rFonts w:eastAsia="Arial" w:cs="Times New Roman"/>
                            <w:b/>
                            <w:bCs/>
                          </w:rPr>
                          <w:t>The current mix of face-to-face and virtual service delivery is effective and appropriate, but there is scope to increase virtual service delivery in the right circumstances</w:t>
                        </w:r>
                      </w:p>
                      <w:p w14:paraId="2FCCE968" w14:textId="77777777" w:rsidR="00B81B96" w:rsidRPr="00291280" w:rsidRDefault="00B81B96" w:rsidP="00B81B96">
                        <w:pPr>
                          <w:cnfStyle w:val="000000100000" w:firstRow="0" w:lastRow="0" w:firstColumn="0" w:lastColumn="0" w:oddVBand="0" w:evenVBand="0" w:oddHBand="1" w:evenHBand="0" w:firstRowFirstColumn="0" w:firstRowLastColumn="0" w:lastRowFirstColumn="0" w:lastRowLastColumn="0"/>
                          <w:rPr>
                            <w:rFonts w:eastAsia="Arial" w:cs="Times New Roman"/>
                            <w:color w:val="36424A" w:themeColor="background2"/>
                          </w:rPr>
                        </w:pPr>
                        <w:r w:rsidRPr="00291280">
                          <w:rPr>
                            <w:rFonts w:eastAsia="Arial" w:cs="Times New Roman"/>
                            <w:color w:val="36424A" w:themeColor="accent2"/>
                          </w:rPr>
                          <w:t xml:space="preserve">Nearly 20% of FaRS and SFVS services were delivered virtually from January to June 2024. Virtual service delivery has increased accessibility – particularly for people living in rural and remote areas, some people with disability, and people with caring responsibilities – and offers service providers greater flexibility and efficiency. </w:t>
                        </w:r>
                      </w:p>
                      <w:p w14:paraId="63231152" w14:textId="77777777" w:rsidR="00B81B96" w:rsidRPr="00291280" w:rsidRDefault="00B81B96" w:rsidP="00B81B96">
                        <w:pPr>
                          <w:cnfStyle w:val="000000100000" w:firstRow="0" w:lastRow="0" w:firstColumn="0" w:lastColumn="0" w:oddVBand="0" w:evenVBand="0" w:oddHBand="1" w:evenHBand="0" w:firstRowFirstColumn="0" w:firstRowLastColumn="0" w:lastRowFirstColumn="0" w:lastRowLastColumn="0"/>
                          <w:rPr>
                            <w:rFonts w:eastAsia="Arial" w:cs="Times New Roman"/>
                            <w:color w:val="36424A" w:themeColor="background2"/>
                          </w:rPr>
                        </w:pPr>
                        <w:r w:rsidRPr="00291280">
                          <w:rPr>
                            <w:rFonts w:eastAsia="Arial" w:cs="Times New Roman"/>
                            <w:color w:val="36424A" w:themeColor="background2"/>
                          </w:rPr>
                          <w:t xml:space="preserve">While virtual FaRS and SFVS services achieve outcomes for service users broadly comparable to face-to-face services, many service users and providers prefer face-to-face delivery of counselling services. </w:t>
                        </w:r>
                      </w:p>
                      <w:p w14:paraId="4BB90ABA" w14:textId="535C6F1F" w:rsidR="00B81B96" w:rsidRDefault="00B81B96" w:rsidP="00B81B96">
                        <w:pPr>
                          <w:cnfStyle w:val="000000100000" w:firstRow="0" w:lastRow="0" w:firstColumn="0" w:lastColumn="0" w:oddVBand="0" w:evenVBand="0" w:oddHBand="1" w:evenHBand="0" w:firstRowFirstColumn="0" w:firstRowLastColumn="0" w:lastRowFirstColumn="0" w:lastRowLastColumn="0"/>
                          <w:rPr>
                            <w:rFonts w:eastAsia="Arial" w:cs="Times New Roman"/>
                            <w:b/>
                            <w:bCs/>
                          </w:rPr>
                        </w:pPr>
                        <w:r w:rsidRPr="00291280">
                          <w:rPr>
                            <w:rFonts w:eastAsia="Arial" w:cs="Times New Roman"/>
                            <w:color w:val="36424A" w:themeColor="background2"/>
                          </w:rPr>
                          <w:t>Considerations such as safety, building trust and rapport and privacy inform assessments of whether virtual delivery is appropriate. There is particular scope for expansion of virtual delivery of education programs (such as parenting programs) and hybrid delivery of counselling services.</w:t>
                        </w:r>
                      </w:p>
                    </w:tc>
                  </w:tr>
                </w:tbl>
                <w:p w14:paraId="289EDDD5" w14:textId="77777777" w:rsidR="00093E80" w:rsidRDefault="00093E80" w:rsidP="008633D1">
                  <w:pPr>
                    <w:spacing w:after="0" w:line="240" w:lineRule="auto"/>
                    <w:rPr>
                      <w:rFonts w:ascii="Arial" w:eastAsia="Arial" w:hAnsi="Arial" w:cs="Times New Roman"/>
                      <w:b/>
                      <w:bCs/>
                      <w:color w:val="36424A"/>
                      <w:spacing w:val="2"/>
                      <w:lang w:val="en-GB"/>
                    </w:rPr>
                  </w:pPr>
                </w:p>
                <w:p w14:paraId="7F8E7509" w14:textId="77777777" w:rsidR="00116BC7" w:rsidRDefault="00116BC7">
                  <w:r>
                    <w:br w:type="page"/>
                  </w:r>
                </w:p>
                <w:p w14:paraId="0E255D03" w14:textId="79636B69" w:rsidR="00C30364" w:rsidRPr="003A5165" w:rsidRDefault="00C30364" w:rsidP="00321BC5">
                  <w:pPr>
                    <w:spacing w:before="360"/>
                    <w:rPr>
                      <w:color w:val="36424A" w:themeColor="background2"/>
                    </w:rPr>
                  </w:pPr>
                  <w:r w:rsidRPr="003A5165">
                    <w:rPr>
                      <w:b/>
                      <w:color w:val="36424A" w:themeColor="background2"/>
                    </w:rPr>
                    <w:lastRenderedPageBreak/>
                    <w:t>Opportunities</w:t>
                  </w:r>
                </w:p>
                <w:p w14:paraId="6524ADD8" w14:textId="4B56ADB1" w:rsidR="00AF1559" w:rsidRPr="005355D3" w:rsidRDefault="0007637A" w:rsidP="00D63E8D">
                  <w:pPr>
                    <w:pStyle w:val="Text"/>
                    <w:rPr>
                      <w:rStyle w:val="Text-Bold"/>
                      <w:b w:val="0"/>
                    </w:rPr>
                  </w:pPr>
                  <w:r w:rsidRPr="006E70C3">
                    <w:t xml:space="preserve">The evaluation has </w:t>
                  </w:r>
                  <w:r w:rsidR="00F31269">
                    <w:t xml:space="preserve">identified </w:t>
                  </w:r>
                  <w:r w:rsidR="004D652C">
                    <w:t>8</w:t>
                  </w:r>
                  <w:r w:rsidRPr="006E70C3">
                    <w:t xml:space="preserve"> </w:t>
                  </w:r>
                  <w:r w:rsidR="00F31269">
                    <w:t>opportunitie</w:t>
                  </w:r>
                  <w:r w:rsidR="00C37855" w:rsidRPr="006E70C3">
                    <w:t>s</w:t>
                  </w:r>
                  <w:r w:rsidRPr="006E70C3">
                    <w:t xml:space="preserve"> to </w:t>
                  </w:r>
                  <w:r w:rsidR="00C37855" w:rsidRPr="006E70C3">
                    <w:t xml:space="preserve">build on </w:t>
                  </w:r>
                  <w:r w:rsidR="00B54AAB">
                    <w:t xml:space="preserve">the </w:t>
                  </w:r>
                  <w:r w:rsidR="00792DF0">
                    <w:t xml:space="preserve">efficiency, </w:t>
                  </w:r>
                  <w:r w:rsidR="00C37855" w:rsidRPr="006E70C3">
                    <w:t>effectiveness</w:t>
                  </w:r>
                  <w:r w:rsidR="00792DF0">
                    <w:t xml:space="preserve"> and</w:t>
                  </w:r>
                  <w:r w:rsidR="00C37855" w:rsidRPr="006E70C3">
                    <w:t xml:space="preserve"> appropriateness of</w:t>
                  </w:r>
                  <w:r w:rsidRPr="006E70C3">
                    <w:t xml:space="preserve"> service delivery for FaRS and SFVS services. </w:t>
                  </w:r>
                </w:p>
                <w:tbl>
                  <w:tblPr>
                    <w:tblStyle w:val="ACTableDesign7"/>
                    <w:tblW w:w="94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284" w:type="dxa"/>
                      <w:right w:w="284" w:type="dxa"/>
                    </w:tblCellMar>
                    <w:tblLook w:val="04A0" w:firstRow="1" w:lastRow="0" w:firstColumn="1" w:lastColumn="0" w:noHBand="0" w:noVBand="1"/>
                  </w:tblPr>
                  <w:tblGrid>
                    <w:gridCol w:w="1042"/>
                    <w:gridCol w:w="8363"/>
                  </w:tblGrid>
                  <w:tr w:rsidR="00F650E2" w:rsidRPr="005A0CDF" w14:paraId="208414C3" w14:textId="77777777" w:rsidTr="004D652C">
                    <w:trPr>
                      <w:cnfStyle w:val="100000000000" w:firstRow="1" w:lastRow="0" w:firstColumn="0" w:lastColumn="0" w:oddVBand="0" w:evenVBand="0" w:oddHBand="0"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405" w:type="dxa"/>
                        <w:gridSpan w:val="2"/>
                        <w:tcBorders>
                          <w:bottom w:val="single" w:sz="36" w:space="0" w:color="FFFFFF"/>
                        </w:tcBorders>
                        <w:shd w:val="clear" w:color="auto" w:fill="007E00"/>
                      </w:tcPr>
                      <w:p w14:paraId="1862C74A" w14:textId="26B4DE83" w:rsidR="005A0CDF" w:rsidRPr="005A0CDF" w:rsidRDefault="00F31269" w:rsidP="005A0CDF">
                        <w:pPr>
                          <w:spacing w:before="240" w:after="240"/>
                          <w:rPr>
                            <w:rFonts w:eastAsia="Arial" w:cs="Times New Roman"/>
                            <w:bCs/>
                            <w:color w:val="FFFFFF"/>
                            <w:spacing w:val="2"/>
                            <w:lang w:val="en-GB"/>
                          </w:rPr>
                        </w:pPr>
                        <w:r>
                          <w:rPr>
                            <w:rFonts w:eastAsia="Arial" w:cs="Times New Roman"/>
                            <w:bCs/>
                            <w:color w:val="FFFFFF"/>
                            <w:spacing w:val="2"/>
                            <w:lang w:val="en-GB"/>
                          </w:rPr>
                          <w:t xml:space="preserve">Opportunities </w:t>
                        </w:r>
                      </w:p>
                    </w:tc>
                  </w:tr>
                  <w:tr w:rsidR="00022FFB" w:rsidRPr="005A0CDF" w14:paraId="3A3CBCDE" w14:textId="77777777" w:rsidTr="001A7D93">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042" w:type="dxa"/>
                        <w:tcBorders>
                          <w:top w:val="single" w:sz="18" w:space="0" w:color="FFFFFF" w:themeColor="background1"/>
                          <w:bottom w:val="single" w:sz="18" w:space="0" w:color="FFFFFF" w:themeColor="background1"/>
                          <w:right w:val="single" w:sz="18" w:space="0" w:color="FFFFFF" w:themeColor="background1"/>
                        </w:tcBorders>
                        <w:shd w:val="clear" w:color="auto" w:fill="EBECED" w:themeFill="text2"/>
                      </w:tcPr>
                      <w:p w14:paraId="153B07DC" w14:textId="3171BD1A" w:rsidR="005A0CDF" w:rsidRPr="005A0CDF" w:rsidRDefault="005D2451" w:rsidP="00496E24">
                        <w:pPr>
                          <w:jc w:val="center"/>
                          <w:rPr>
                            <w:rFonts w:eastAsia="Arial" w:cs="Times New Roman"/>
                            <w:b/>
                            <w:bCs/>
                            <w:spacing w:val="2"/>
                            <w:sz w:val="28"/>
                            <w:szCs w:val="28"/>
                            <w:lang w:val="en-GB"/>
                          </w:rPr>
                        </w:pPr>
                        <w:r>
                          <w:rPr>
                            <w:rFonts w:eastAsia="Arial" w:cs="Times New Roman"/>
                            <w:b/>
                            <w:bCs/>
                            <w:spacing w:val="2"/>
                            <w:sz w:val="28"/>
                            <w:szCs w:val="28"/>
                            <w:lang w:val="en-GB"/>
                          </w:rPr>
                          <w:t>1</w:t>
                        </w:r>
                      </w:p>
                    </w:tc>
                    <w:tc>
                      <w:tcPr>
                        <w:tcW w:w="8363" w:type="dxa"/>
                        <w:tcBorders>
                          <w:top w:val="single" w:sz="18" w:space="0" w:color="FFFFFF" w:themeColor="background1"/>
                          <w:left w:val="single" w:sz="18" w:space="0" w:color="FFFFFF" w:themeColor="background1"/>
                          <w:bottom w:val="single" w:sz="18" w:space="0" w:color="FFFFFF" w:themeColor="background1"/>
                        </w:tcBorders>
                        <w:shd w:val="clear" w:color="auto" w:fill="EBECED" w:themeFill="text2"/>
                        <w:vAlign w:val="top"/>
                      </w:tcPr>
                      <w:p w14:paraId="216EF6B0" w14:textId="333F9BB1" w:rsidR="00F72E45" w:rsidRDefault="00F41BFE" w:rsidP="009478D5">
                        <w:pPr>
                          <w:cnfStyle w:val="000000100000" w:firstRow="0" w:lastRow="0" w:firstColumn="0" w:lastColumn="0" w:oddVBand="0" w:evenVBand="0" w:oddHBand="1" w:evenHBand="0" w:firstRowFirstColumn="0" w:firstRowLastColumn="0" w:lastRowFirstColumn="0" w:lastRowLastColumn="0"/>
                          <w:rPr>
                            <w:rFonts w:eastAsia="Arial" w:cs="Times New Roman"/>
                          </w:rPr>
                        </w:pPr>
                        <w:r w:rsidRPr="00F41BFE">
                          <w:rPr>
                            <w:rFonts w:eastAsia="Arial" w:cs="Times New Roman"/>
                          </w:rPr>
                          <w:t>Continue to fund FaRS and SFVS</w:t>
                        </w:r>
                        <w:r w:rsidR="00F434D8">
                          <w:rPr>
                            <w:rFonts w:eastAsia="Arial" w:cs="Times New Roman"/>
                          </w:rPr>
                          <w:t xml:space="preserve"> to support its focus on early intervention and prevention. Enhance funding to ensure that providers can successfully deliver work across the intervention spectrum by:</w:t>
                        </w:r>
                        <w:r w:rsidR="006E54A9" w:rsidRPr="00F41BFE">
                          <w:rPr>
                            <w:rFonts w:eastAsia="Arial" w:cs="Times New Roman"/>
                          </w:rPr>
                          <w:t xml:space="preserve"> </w:t>
                        </w:r>
                      </w:p>
                      <w:p w14:paraId="65A53627" w14:textId="77777777" w:rsidR="00AF7EB4" w:rsidRDefault="00F72E45" w:rsidP="00F72E45">
                        <w:pPr>
                          <w:numPr>
                            <w:ilvl w:val="0"/>
                            <w:numId w:val="152"/>
                          </w:numPr>
                          <w:cnfStyle w:val="000000100000" w:firstRow="0" w:lastRow="0" w:firstColumn="0" w:lastColumn="0" w:oddVBand="0" w:evenVBand="0" w:oddHBand="1" w:evenHBand="0" w:firstRowFirstColumn="0" w:firstRowLastColumn="0" w:lastRowFirstColumn="0" w:lastRowLastColumn="0"/>
                          <w:rPr>
                            <w:rFonts w:eastAsia="Arial" w:cs="Times New Roman"/>
                          </w:rPr>
                        </w:pPr>
                        <w:r w:rsidRPr="00F72E45">
                          <w:rPr>
                            <w:rFonts w:eastAsia="Arial" w:cs="Times New Roman"/>
                          </w:rPr>
                          <w:t xml:space="preserve">expanding the early intervention and prevention focus, whilst also increasing funding to support case management and brokerage </w:t>
                        </w:r>
                      </w:p>
                      <w:p w14:paraId="273C528C" w14:textId="77777777" w:rsidR="00AF7EB4" w:rsidRDefault="00F41BFE" w:rsidP="00F72E45">
                        <w:pPr>
                          <w:numPr>
                            <w:ilvl w:val="0"/>
                            <w:numId w:val="152"/>
                          </w:numPr>
                          <w:cnfStyle w:val="000000100000" w:firstRow="0" w:lastRow="0" w:firstColumn="0" w:lastColumn="0" w:oddVBand="0" w:evenVBand="0" w:oddHBand="1" w:evenHBand="0" w:firstRowFirstColumn="0" w:firstRowLastColumn="0" w:lastRowFirstColumn="0" w:lastRowLastColumn="0"/>
                          <w:rPr>
                            <w:rFonts w:eastAsia="Arial" w:cs="Times New Roman"/>
                          </w:rPr>
                        </w:pPr>
                        <w:r w:rsidRPr="00AF7EB4">
                          <w:rPr>
                            <w:rFonts w:eastAsia="Arial" w:cs="Times New Roman"/>
                          </w:rPr>
                          <w:t xml:space="preserve">expanding capacity and capability to respond to family violence risk. </w:t>
                        </w:r>
                      </w:p>
                      <w:p w14:paraId="14A93401" w14:textId="2A44AA0C" w:rsidR="005A0CDF" w:rsidRPr="00AF7EB4" w:rsidRDefault="00F41BFE" w:rsidP="00AF7EB4">
                        <w:pPr>
                          <w:cnfStyle w:val="000000100000" w:firstRow="0" w:lastRow="0" w:firstColumn="0" w:lastColumn="0" w:oddVBand="0" w:evenVBand="0" w:oddHBand="1" w:evenHBand="0" w:firstRowFirstColumn="0" w:firstRowLastColumn="0" w:lastRowFirstColumn="0" w:lastRowLastColumn="0"/>
                          <w:rPr>
                            <w:rFonts w:eastAsia="Arial" w:cs="Times New Roman"/>
                          </w:rPr>
                        </w:pPr>
                        <w:r w:rsidRPr="00AF7EB4">
                          <w:rPr>
                            <w:rFonts w:eastAsia="Arial" w:cs="Times New Roman"/>
                          </w:rPr>
                          <w:t>This should include expanding SFVS as well as increasing specialised family violence capability in the FaRS workforce, with a focus on locations where access to other specialist family violence services is limited</w:t>
                        </w:r>
                        <w:r w:rsidR="008B7900" w:rsidRPr="00AF7EB4">
                          <w:rPr>
                            <w:rFonts w:eastAsia="Arial" w:cs="Times New Roman"/>
                          </w:rPr>
                          <w:t>.</w:t>
                        </w:r>
                      </w:p>
                    </w:tc>
                  </w:tr>
                  <w:tr w:rsidR="00022FFB" w:rsidRPr="005A0CDF" w14:paraId="6AA5803B" w14:textId="77777777" w:rsidTr="001A7D93">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042" w:type="dxa"/>
                        <w:tcBorders>
                          <w:top w:val="single" w:sz="18" w:space="0" w:color="FFFFFF" w:themeColor="background1"/>
                          <w:bottom w:val="single" w:sz="18" w:space="0" w:color="FFFFFF" w:themeColor="background1"/>
                          <w:right w:val="single" w:sz="18" w:space="0" w:color="FFFFFF" w:themeColor="background1"/>
                        </w:tcBorders>
                        <w:shd w:val="clear" w:color="auto" w:fill="EBECED" w:themeFill="text2"/>
                      </w:tcPr>
                      <w:p w14:paraId="1481DC6E" w14:textId="3642695A" w:rsidR="005A0CDF" w:rsidRPr="005A0CDF" w:rsidRDefault="006B1C29" w:rsidP="00496E24">
                        <w:pPr>
                          <w:jc w:val="center"/>
                          <w:rPr>
                            <w:rFonts w:eastAsia="Arial" w:cs="Times New Roman"/>
                            <w:b/>
                            <w:bCs/>
                            <w:spacing w:val="2"/>
                            <w:sz w:val="28"/>
                            <w:szCs w:val="28"/>
                            <w:lang w:val="en-GB"/>
                          </w:rPr>
                        </w:pPr>
                        <w:r>
                          <w:rPr>
                            <w:rFonts w:eastAsia="Arial" w:cs="Times New Roman"/>
                            <w:b/>
                            <w:bCs/>
                            <w:spacing w:val="2"/>
                            <w:sz w:val="28"/>
                            <w:szCs w:val="28"/>
                            <w:lang w:val="en-GB"/>
                          </w:rPr>
                          <w:t>2</w:t>
                        </w:r>
                      </w:p>
                    </w:tc>
                    <w:tc>
                      <w:tcPr>
                        <w:tcW w:w="8363" w:type="dxa"/>
                        <w:tcBorders>
                          <w:top w:val="single" w:sz="18" w:space="0" w:color="FFFFFF" w:themeColor="background1"/>
                          <w:left w:val="single" w:sz="18" w:space="0" w:color="FFFFFF" w:themeColor="background1"/>
                          <w:bottom w:val="single" w:sz="18" w:space="0" w:color="FFFFFF" w:themeColor="background1"/>
                        </w:tcBorders>
                        <w:shd w:val="clear" w:color="auto" w:fill="EBECED" w:themeFill="text2"/>
                        <w:vAlign w:val="top"/>
                      </w:tcPr>
                      <w:p w14:paraId="7C1D3B0B" w14:textId="50E26A3E" w:rsidR="002E24AF" w:rsidRPr="002E24AF" w:rsidRDefault="002E24AF" w:rsidP="009478D5">
                        <w:pPr>
                          <w:cnfStyle w:val="000000010000" w:firstRow="0" w:lastRow="0" w:firstColumn="0" w:lastColumn="0" w:oddVBand="0" w:evenVBand="0" w:oddHBand="0" w:evenHBand="1" w:firstRowFirstColumn="0" w:firstRowLastColumn="0" w:lastRowFirstColumn="0" w:lastRowLastColumn="0"/>
                          <w:rPr>
                            <w:rFonts w:eastAsia="Arial" w:cs="Times New Roman"/>
                          </w:rPr>
                        </w:pPr>
                        <w:r w:rsidRPr="002E24AF">
                          <w:rPr>
                            <w:rFonts w:eastAsia="Arial" w:cs="Times New Roman"/>
                          </w:rPr>
                          <w:t xml:space="preserve">Identify levers to encourage better coordination in local service systems so that service provision is efficient, referrals are more seamless and effective, and people have access to the services they need. </w:t>
                        </w:r>
                        <w:r w:rsidR="00CF2799">
                          <w:rPr>
                            <w:rFonts w:eastAsia="Arial" w:cs="Times New Roman"/>
                          </w:rPr>
                          <w:t>Consider</w:t>
                        </w:r>
                        <w:r w:rsidRPr="002E24AF">
                          <w:rPr>
                            <w:rFonts w:eastAsia="Arial" w:cs="Times New Roman"/>
                          </w:rPr>
                          <w:t>:</w:t>
                        </w:r>
                      </w:p>
                      <w:p w14:paraId="086EFEA6" w14:textId="399DE71E" w:rsidR="002E24AF" w:rsidRPr="002E24AF" w:rsidRDefault="000E6BB3" w:rsidP="009478D5">
                        <w:pPr>
                          <w:numPr>
                            <w:ilvl w:val="0"/>
                            <w:numId w:val="152"/>
                          </w:numPr>
                          <w:cnfStyle w:val="000000010000" w:firstRow="0" w:lastRow="0" w:firstColumn="0" w:lastColumn="0" w:oddVBand="0" w:evenVBand="0" w:oddHBand="0" w:evenHBand="1" w:firstRowFirstColumn="0" w:firstRowLastColumn="0" w:lastRowFirstColumn="0" w:lastRowLastColumn="0"/>
                          <w:rPr>
                            <w:rFonts w:eastAsia="Arial" w:cs="Times New Roman"/>
                          </w:rPr>
                        </w:pPr>
                        <w:r>
                          <w:rPr>
                            <w:rFonts w:eastAsia="Arial" w:cs="Times New Roman"/>
                          </w:rPr>
                          <w:t>promoting</w:t>
                        </w:r>
                        <w:r w:rsidRPr="002E24AF">
                          <w:rPr>
                            <w:rFonts w:eastAsia="Arial" w:cs="Times New Roman"/>
                          </w:rPr>
                          <w:t xml:space="preserve"> </w:t>
                        </w:r>
                        <w:r w:rsidR="002E24AF" w:rsidRPr="002E24AF">
                          <w:rPr>
                            <w:rFonts w:eastAsia="Arial" w:cs="Times New Roman"/>
                          </w:rPr>
                          <w:t>local level service system mapping</w:t>
                        </w:r>
                        <w:r>
                          <w:rPr>
                            <w:rFonts w:eastAsia="Arial" w:cs="Times New Roman"/>
                          </w:rPr>
                          <w:t xml:space="preserve"> by service providers</w:t>
                        </w:r>
                      </w:p>
                      <w:p w14:paraId="252BDE47" w14:textId="75B1D92A" w:rsidR="002E24AF" w:rsidRPr="002E24AF" w:rsidRDefault="009822A0" w:rsidP="009478D5">
                        <w:pPr>
                          <w:numPr>
                            <w:ilvl w:val="0"/>
                            <w:numId w:val="152"/>
                          </w:numPr>
                          <w:cnfStyle w:val="000000010000" w:firstRow="0" w:lastRow="0" w:firstColumn="0" w:lastColumn="0" w:oddVBand="0" w:evenVBand="0" w:oddHBand="0" w:evenHBand="1" w:firstRowFirstColumn="0" w:firstRowLastColumn="0" w:lastRowFirstColumn="0" w:lastRowLastColumn="0"/>
                          <w:rPr>
                            <w:rFonts w:eastAsia="Arial" w:cs="Times New Roman"/>
                          </w:rPr>
                        </w:pPr>
                        <w:r>
                          <w:rPr>
                            <w:rFonts w:eastAsia="Arial" w:cs="Times New Roman"/>
                          </w:rPr>
                          <w:t xml:space="preserve">including </w:t>
                        </w:r>
                        <w:r w:rsidR="00F12214">
                          <w:rPr>
                            <w:rFonts w:eastAsia="Arial" w:cs="Times New Roman"/>
                          </w:rPr>
                          <w:t xml:space="preserve">outputs </w:t>
                        </w:r>
                        <w:r w:rsidR="002E24AF" w:rsidRPr="002E24AF">
                          <w:rPr>
                            <w:rFonts w:eastAsia="Arial" w:cs="Times New Roman"/>
                          </w:rPr>
                          <w:t xml:space="preserve">relating to partnerships and coordination for service providers in </w:t>
                        </w:r>
                        <w:r w:rsidR="00DC4BD7">
                          <w:rPr>
                            <w:rFonts w:eastAsia="Arial" w:cs="Times New Roman"/>
                          </w:rPr>
                          <w:t>Activity Work Plans</w:t>
                        </w:r>
                      </w:p>
                      <w:p w14:paraId="54F23343" w14:textId="1B86D7ED" w:rsidR="005A0CDF" w:rsidRPr="002E24AF" w:rsidRDefault="002E24AF" w:rsidP="009478D5">
                        <w:pPr>
                          <w:numPr>
                            <w:ilvl w:val="0"/>
                            <w:numId w:val="152"/>
                          </w:numPr>
                          <w:cnfStyle w:val="000000010000" w:firstRow="0" w:lastRow="0" w:firstColumn="0" w:lastColumn="0" w:oddVBand="0" w:evenVBand="0" w:oddHBand="0" w:evenHBand="1" w:firstRowFirstColumn="0" w:firstRowLastColumn="0" w:lastRowFirstColumn="0" w:lastRowLastColumn="0"/>
                          <w:rPr>
                            <w:rFonts w:eastAsia="Arial" w:cs="Times New Roman"/>
                          </w:rPr>
                        </w:pPr>
                        <w:r w:rsidRPr="002E24AF">
                          <w:rPr>
                            <w:rFonts w:eastAsia="Arial" w:cs="Times New Roman"/>
                          </w:rPr>
                          <w:t>establishing communities of practice to support collaboration, innovation, and continuous improvement across service providers.</w:t>
                        </w:r>
                      </w:p>
                    </w:tc>
                  </w:tr>
                  <w:tr w:rsidR="00022FFB" w:rsidRPr="005A0CDF" w14:paraId="44D24C7A" w14:textId="77777777" w:rsidTr="001A7D93">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042" w:type="dxa"/>
                        <w:tcBorders>
                          <w:top w:val="single" w:sz="18" w:space="0" w:color="FFFFFF" w:themeColor="background1"/>
                          <w:bottom w:val="single" w:sz="18" w:space="0" w:color="FFFFFF" w:themeColor="background1"/>
                          <w:right w:val="single" w:sz="18" w:space="0" w:color="FFFFFF" w:themeColor="background1"/>
                        </w:tcBorders>
                        <w:shd w:val="clear" w:color="auto" w:fill="EBECED" w:themeFill="text2"/>
                      </w:tcPr>
                      <w:p w14:paraId="6A35510A" w14:textId="41B430A0" w:rsidR="005A0CDF" w:rsidRPr="005A0CDF" w:rsidRDefault="002949B3" w:rsidP="00496E24">
                        <w:pPr>
                          <w:jc w:val="center"/>
                          <w:rPr>
                            <w:rFonts w:eastAsia="Arial" w:cs="Times New Roman"/>
                            <w:b/>
                            <w:bCs/>
                            <w:spacing w:val="2"/>
                            <w:sz w:val="28"/>
                            <w:szCs w:val="28"/>
                            <w:lang w:val="en-GB"/>
                          </w:rPr>
                        </w:pPr>
                        <w:r>
                          <w:rPr>
                            <w:rFonts w:eastAsia="Arial" w:cs="Times New Roman"/>
                            <w:b/>
                            <w:bCs/>
                            <w:spacing w:val="2"/>
                            <w:sz w:val="28"/>
                            <w:szCs w:val="28"/>
                            <w:lang w:val="en-GB"/>
                          </w:rPr>
                          <w:lastRenderedPageBreak/>
                          <w:t>3</w:t>
                        </w:r>
                      </w:p>
                    </w:tc>
                    <w:tc>
                      <w:tcPr>
                        <w:tcW w:w="8363" w:type="dxa"/>
                        <w:tcBorders>
                          <w:top w:val="single" w:sz="18" w:space="0" w:color="FFFFFF" w:themeColor="background1"/>
                          <w:left w:val="single" w:sz="18" w:space="0" w:color="FFFFFF" w:themeColor="background1"/>
                          <w:bottom w:val="single" w:sz="18" w:space="0" w:color="FFFFFF" w:themeColor="background1"/>
                        </w:tcBorders>
                        <w:shd w:val="clear" w:color="auto" w:fill="EBECED" w:themeFill="text2"/>
                        <w:vAlign w:val="top"/>
                      </w:tcPr>
                      <w:p w14:paraId="3441E393" w14:textId="0A7D031A" w:rsidR="0021229A" w:rsidRPr="0021229A" w:rsidRDefault="0021229A" w:rsidP="009478D5">
                        <w:pPr>
                          <w:cnfStyle w:val="000000100000" w:firstRow="0" w:lastRow="0" w:firstColumn="0" w:lastColumn="0" w:oddVBand="0" w:evenVBand="0" w:oddHBand="1" w:evenHBand="0" w:firstRowFirstColumn="0" w:firstRowLastColumn="0" w:lastRowFirstColumn="0" w:lastRowLastColumn="0"/>
                          <w:rPr>
                            <w:rFonts w:eastAsia="Arial" w:cs="Times New Roman"/>
                            <w:spacing w:val="2"/>
                          </w:rPr>
                        </w:pPr>
                        <w:r w:rsidRPr="0021229A">
                          <w:rPr>
                            <w:rFonts w:eastAsia="Arial" w:cs="Times New Roman"/>
                            <w:spacing w:val="2"/>
                          </w:rPr>
                          <w:t xml:space="preserve">Expand </w:t>
                        </w:r>
                        <w:r w:rsidR="00DC4BD7">
                          <w:rPr>
                            <w:rFonts w:eastAsia="Arial" w:cs="Times New Roman"/>
                            <w:spacing w:val="2"/>
                          </w:rPr>
                          <w:t xml:space="preserve">and enhance </w:t>
                        </w:r>
                        <w:r w:rsidRPr="0021229A">
                          <w:rPr>
                            <w:rFonts w:eastAsia="Arial" w:cs="Times New Roman"/>
                            <w:spacing w:val="2"/>
                          </w:rPr>
                          <w:t xml:space="preserve">virtual service delivery to complement face-to-face service delivery, where appropriate and preferred through: </w:t>
                        </w:r>
                      </w:p>
                      <w:p w14:paraId="5EC443B6" w14:textId="425F0F34" w:rsidR="0021229A" w:rsidRPr="0021229A" w:rsidRDefault="0021229A" w:rsidP="009478D5">
                        <w:pPr>
                          <w:numPr>
                            <w:ilvl w:val="0"/>
                            <w:numId w:val="152"/>
                          </w:numPr>
                          <w:cnfStyle w:val="000000100000" w:firstRow="0" w:lastRow="0" w:firstColumn="0" w:lastColumn="0" w:oddVBand="0" w:evenVBand="0" w:oddHBand="1" w:evenHBand="0" w:firstRowFirstColumn="0" w:firstRowLastColumn="0" w:lastRowFirstColumn="0" w:lastRowLastColumn="0"/>
                          <w:rPr>
                            <w:rFonts w:eastAsia="Arial" w:cs="Times New Roman"/>
                            <w:spacing w:val="2"/>
                          </w:rPr>
                        </w:pPr>
                        <w:r w:rsidRPr="0021229A">
                          <w:rPr>
                            <w:rFonts w:eastAsia="Arial" w:cs="Times New Roman"/>
                            <w:spacing w:val="2"/>
                          </w:rPr>
                          <w:t>the design of a framework for best-practice, trauma-informed virtual service delivery which includes guidance for transitioning service users from face-to-face delivery to virtual delivery, where preferred and appropriate</w:t>
                        </w:r>
                      </w:p>
                      <w:p w14:paraId="27A21991" w14:textId="77777777" w:rsidR="0021229A" w:rsidRDefault="0021229A" w:rsidP="009478D5">
                        <w:pPr>
                          <w:numPr>
                            <w:ilvl w:val="0"/>
                            <w:numId w:val="152"/>
                          </w:numPr>
                          <w:cnfStyle w:val="000000100000" w:firstRow="0" w:lastRow="0" w:firstColumn="0" w:lastColumn="0" w:oddVBand="0" w:evenVBand="0" w:oddHBand="1" w:evenHBand="0" w:firstRowFirstColumn="0" w:firstRowLastColumn="0" w:lastRowFirstColumn="0" w:lastRowLastColumn="0"/>
                          <w:rPr>
                            <w:rFonts w:eastAsia="Arial" w:cs="Times New Roman"/>
                            <w:spacing w:val="2"/>
                          </w:rPr>
                        </w:pPr>
                        <w:r w:rsidRPr="0021229A">
                          <w:rPr>
                            <w:rFonts w:eastAsia="Arial" w:cs="Times New Roman"/>
                            <w:spacing w:val="2"/>
                          </w:rPr>
                          <w:t>transitioning a higher proportion of education programs (such as parenting programs) to virtual modes of delivery</w:t>
                        </w:r>
                      </w:p>
                      <w:p w14:paraId="1A72E545" w14:textId="180387AE" w:rsidR="005A0CDF" w:rsidRPr="0021229A" w:rsidRDefault="0021229A" w:rsidP="009478D5">
                        <w:pPr>
                          <w:numPr>
                            <w:ilvl w:val="0"/>
                            <w:numId w:val="152"/>
                          </w:numPr>
                          <w:cnfStyle w:val="000000100000" w:firstRow="0" w:lastRow="0" w:firstColumn="0" w:lastColumn="0" w:oddVBand="0" w:evenVBand="0" w:oddHBand="1" w:evenHBand="0" w:firstRowFirstColumn="0" w:firstRowLastColumn="0" w:lastRowFirstColumn="0" w:lastRowLastColumn="0"/>
                          <w:rPr>
                            <w:rFonts w:eastAsia="Arial" w:cs="Times New Roman"/>
                            <w:spacing w:val="2"/>
                          </w:rPr>
                        </w:pPr>
                        <w:r w:rsidRPr="0021229A">
                          <w:rPr>
                            <w:rFonts w:eastAsia="Arial" w:cs="Times New Roman"/>
                            <w:spacing w:val="2"/>
                          </w:rPr>
                          <w:t>digital upgrades and supporting increased digital literacy for providers where the potential for increasing access is greatest (</w:t>
                        </w:r>
                        <w:r w:rsidR="005F7BF3">
                          <w:rPr>
                            <w:rFonts w:eastAsia="Arial" w:cs="Times New Roman"/>
                            <w:spacing w:val="2"/>
                          </w:rPr>
                          <w:t>for example</w:t>
                        </w:r>
                        <w:r w:rsidRPr="0021229A">
                          <w:rPr>
                            <w:rFonts w:eastAsia="Arial" w:cs="Times New Roman"/>
                            <w:spacing w:val="2"/>
                          </w:rPr>
                          <w:t xml:space="preserve"> in regional, rural and remote areas).</w:t>
                        </w:r>
                      </w:p>
                    </w:tc>
                  </w:tr>
                  <w:tr w:rsidR="00022FFB" w:rsidRPr="005A0CDF" w14:paraId="6DBCCB23" w14:textId="77777777" w:rsidTr="001A7D93">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042" w:type="dxa"/>
                        <w:tcBorders>
                          <w:top w:val="single" w:sz="18" w:space="0" w:color="FFFFFF" w:themeColor="background1"/>
                          <w:bottom w:val="single" w:sz="18" w:space="0" w:color="FFFFFF" w:themeColor="background1"/>
                          <w:right w:val="single" w:sz="18" w:space="0" w:color="FFFFFF" w:themeColor="background1"/>
                        </w:tcBorders>
                        <w:shd w:val="clear" w:color="auto" w:fill="EBECED" w:themeFill="text2"/>
                      </w:tcPr>
                      <w:p w14:paraId="52CCB7F1" w14:textId="5B166030" w:rsidR="005A0CDF" w:rsidRPr="005A0CDF" w:rsidRDefault="002949B3" w:rsidP="00496E24">
                        <w:pPr>
                          <w:jc w:val="center"/>
                          <w:rPr>
                            <w:rFonts w:eastAsia="Arial" w:cs="Times New Roman"/>
                            <w:b/>
                            <w:bCs/>
                            <w:spacing w:val="2"/>
                            <w:sz w:val="28"/>
                            <w:szCs w:val="28"/>
                            <w:lang w:val="en-GB"/>
                          </w:rPr>
                        </w:pPr>
                        <w:r>
                          <w:rPr>
                            <w:rFonts w:eastAsia="Arial" w:cs="Times New Roman"/>
                            <w:b/>
                            <w:bCs/>
                            <w:spacing w:val="2"/>
                            <w:sz w:val="28"/>
                            <w:szCs w:val="28"/>
                            <w:lang w:val="en-GB"/>
                          </w:rPr>
                          <w:t>4</w:t>
                        </w:r>
                      </w:p>
                    </w:tc>
                    <w:tc>
                      <w:tcPr>
                        <w:tcW w:w="8363" w:type="dxa"/>
                        <w:tcBorders>
                          <w:top w:val="single" w:sz="18" w:space="0" w:color="FFFFFF" w:themeColor="background1"/>
                          <w:left w:val="single" w:sz="18" w:space="0" w:color="FFFFFF" w:themeColor="background1"/>
                          <w:bottom w:val="single" w:sz="18" w:space="0" w:color="FFFFFF" w:themeColor="background1"/>
                        </w:tcBorders>
                        <w:shd w:val="clear" w:color="auto" w:fill="EBECED" w:themeFill="text2"/>
                        <w:vAlign w:val="top"/>
                      </w:tcPr>
                      <w:p w14:paraId="325DBBE1" w14:textId="77777777" w:rsidR="00B065D0" w:rsidRPr="00B065D0" w:rsidRDefault="00B065D0" w:rsidP="009478D5">
                        <w:pPr>
                          <w:cnfStyle w:val="000000010000" w:firstRow="0" w:lastRow="0" w:firstColumn="0" w:lastColumn="0" w:oddVBand="0" w:evenVBand="0" w:oddHBand="0" w:evenHBand="1" w:firstRowFirstColumn="0" w:firstRowLastColumn="0" w:lastRowFirstColumn="0" w:lastRowLastColumn="0"/>
                          <w:rPr>
                            <w:rFonts w:eastAsia="Arial" w:cs="Times New Roman"/>
                            <w:spacing w:val="2"/>
                          </w:rPr>
                        </w:pPr>
                        <w:r w:rsidRPr="00B065D0">
                          <w:rPr>
                            <w:rFonts w:eastAsia="Arial" w:cs="Times New Roman"/>
                            <w:spacing w:val="2"/>
                          </w:rPr>
                          <w:t>Invest in upskilling of the FaRS and SFVS workforce to meet key trends in community and service user needs. Areas of focus should include:</w:t>
                        </w:r>
                      </w:p>
                      <w:p w14:paraId="1CDFD64E" w14:textId="4AE923A3" w:rsidR="005F7BF3" w:rsidRPr="005F7BF3" w:rsidRDefault="005F7BF3" w:rsidP="009478D5">
                        <w:pPr>
                          <w:numPr>
                            <w:ilvl w:val="0"/>
                            <w:numId w:val="152"/>
                          </w:numPr>
                          <w:cnfStyle w:val="000000010000" w:firstRow="0" w:lastRow="0" w:firstColumn="0" w:lastColumn="0" w:oddVBand="0" w:evenVBand="0" w:oddHBand="0" w:evenHBand="1" w:firstRowFirstColumn="0" w:firstRowLastColumn="0" w:lastRowFirstColumn="0" w:lastRowLastColumn="0"/>
                          <w:rPr>
                            <w:rFonts w:eastAsia="Arial" w:cs="Times New Roman"/>
                            <w:spacing w:val="2"/>
                          </w:rPr>
                        </w:pPr>
                        <w:r w:rsidRPr="00B065D0">
                          <w:rPr>
                            <w:rFonts w:eastAsia="Arial" w:cs="Times New Roman"/>
                            <w:spacing w:val="2"/>
                          </w:rPr>
                          <w:t>for the FaRS workforce, working with victim survivors of family violence</w:t>
                        </w:r>
                        <w:r w:rsidR="00864E98">
                          <w:rPr>
                            <w:rFonts w:eastAsia="Arial" w:cs="Times New Roman"/>
                            <w:spacing w:val="2"/>
                          </w:rPr>
                          <w:t xml:space="preserve"> </w:t>
                        </w:r>
                      </w:p>
                      <w:p w14:paraId="50FD7F27" w14:textId="09B813C9" w:rsidR="00B065D0" w:rsidRPr="00B065D0" w:rsidRDefault="00B065D0" w:rsidP="009478D5">
                        <w:pPr>
                          <w:numPr>
                            <w:ilvl w:val="0"/>
                            <w:numId w:val="152"/>
                          </w:numPr>
                          <w:cnfStyle w:val="000000010000" w:firstRow="0" w:lastRow="0" w:firstColumn="0" w:lastColumn="0" w:oddVBand="0" w:evenVBand="0" w:oddHBand="0" w:evenHBand="1" w:firstRowFirstColumn="0" w:firstRowLastColumn="0" w:lastRowFirstColumn="0" w:lastRowLastColumn="0"/>
                          <w:rPr>
                            <w:rFonts w:eastAsia="Arial" w:cs="Times New Roman"/>
                            <w:spacing w:val="2"/>
                          </w:rPr>
                        </w:pPr>
                        <w:r w:rsidRPr="00B065D0">
                          <w:rPr>
                            <w:rFonts w:eastAsia="Arial" w:cs="Times New Roman"/>
                            <w:spacing w:val="2"/>
                          </w:rPr>
                          <w:t>best practices in working with people with disability, neurodiverse people</w:t>
                        </w:r>
                        <w:r w:rsidR="007E3CCF">
                          <w:rPr>
                            <w:rFonts w:eastAsia="Arial" w:cs="Times New Roman"/>
                            <w:spacing w:val="2"/>
                          </w:rPr>
                          <w:t>,</w:t>
                        </w:r>
                        <w:r w:rsidRPr="00B065D0">
                          <w:rPr>
                            <w:rFonts w:eastAsia="Arial" w:cs="Times New Roman"/>
                            <w:spacing w:val="2"/>
                          </w:rPr>
                          <w:t xml:space="preserve"> and people experiencing complex mental health challenges</w:t>
                        </w:r>
                      </w:p>
                      <w:p w14:paraId="12B9674E" w14:textId="308220CA" w:rsidR="005A0CDF" w:rsidRPr="00B065D0" w:rsidRDefault="00B065D0" w:rsidP="009478D5">
                        <w:pPr>
                          <w:numPr>
                            <w:ilvl w:val="0"/>
                            <w:numId w:val="152"/>
                          </w:numPr>
                          <w:cnfStyle w:val="000000010000" w:firstRow="0" w:lastRow="0" w:firstColumn="0" w:lastColumn="0" w:oddVBand="0" w:evenVBand="0" w:oddHBand="0" w:evenHBand="1" w:firstRowFirstColumn="0" w:firstRowLastColumn="0" w:lastRowFirstColumn="0" w:lastRowLastColumn="0"/>
                          <w:rPr>
                            <w:rFonts w:eastAsia="Arial" w:cs="Times New Roman"/>
                            <w:spacing w:val="2"/>
                          </w:rPr>
                        </w:pPr>
                        <w:r w:rsidRPr="00B065D0">
                          <w:rPr>
                            <w:rFonts w:eastAsia="Arial" w:cs="Times New Roman"/>
                            <w:spacing w:val="2"/>
                          </w:rPr>
                          <w:t>working directly with children.</w:t>
                        </w:r>
                      </w:p>
                    </w:tc>
                  </w:tr>
                  <w:tr w:rsidR="00022FFB" w:rsidRPr="005A0CDF" w14:paraId="4E947C0B" w14:textId="77777777" w:rsidTr="001A7D93">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042" w:type="dxa"/>
                        <w:tcBorders>
                          <w:top w:val="single" w:sz="18" w:space="0" w:color="FFFFFF" w:themeColor="background1"/>
                          <w:bottom w:val="single" w:sz="18" w:space="0" w:color="FFFFFF" w:themeColor="background1"/>
                          <w:right w:val="single" w:sz="18" w:space="0" w:color="FFFFFF" w:themeColor="background1"/>
                        </w:tcBorders>
                        <w:shd w:val="clear" w:color="auto" w:fill="EBECED" w:themeFill="text2"/>
                      </w:tcPr>
                      <w:p w14:paraId="3D10BFCF" w14:textId="60A4A891" w:rsidR="00BE415E" w:rsidRDefault="006E70C3" w:rsidP="00496E24">
                        <w:pPr>
                          <w:jc w:val="center"/>
                          <w:rPr>
                            <w:rFonts w:eastAsia="Arial" w:cs="Times New Roman"/>
                            <w:b/>
                            <w:bCs/>
                            <w:spacing w:val="2"/>
                            <w:sz w:val="28"/>
                            <w:szCs w:val="28"/>
                            <w:lang w:val="en-GB"/>
                          </w:rPr>
                        </w:pPr>
                        <w:r>
                          <w:rPr>
                            <w:rFonts w:eastAsia="Arial" w:cs="Times New Roman"/>
                            <w:b/>
                            <w:bCs/>
                            <w:spacing w:val="2"/>
                            <w:sz w:val="28"/>
                            <w:szCs w:val="28"/>
                            <w:lang w:val="en-GB"/>
                          </w:rPr>
                          <w:t>5</w:t>
                        </w:r>
                      </w:p>
                    </w:tc>
                    <w:tc>
                      <w:tcPr>
                        <w:tcW w:w="8363" w:type="dxa"/>
                        <w:tcBorders>
                          <w:top w:val="single" w:sz="18" w:space="0" w:color="FFFFFF" w:themeColor="background1"/>
                          <w:left w:val="single" w:sz="18" w:space="0" w:color="FFFFFF" w:themeColor="background1"/>
                          <w:bottom w:val="single" w:sz="18" w:space="0" w:color="FFFFFF" w:themeColor="background1"/>
                        </w:tcBorders>
                        <w:shd w:val="clear" w:color="auto" w:fill="EBECED" w:themeFill="text2"/>
                        <w:vAlign w:val="top"/>
                      </w:tcPr>
                      <w:p w14:paraId="469B4AE1" w14:textId="70934E6B" w:rsidR="00BE415E" w:rsidRDefault="008642AE" w:rsidP="009478D5">
                        <w:pPr>
                          <w:cnfStyle w:val="000000100000" w:firstRow="0" w:lastRow="0" w:firstColumn="0" w:lastColumn="0" w:oddVBand="0" w:evenVBand="0" w:oddHBand="1" w:evenHBand="0" w:firstRowFirstColumn="0" w:firstRowLastColumn="0" w:lastRowFirstColumn="0" w:lastRowLastColumn="0"/>
                          <w:rPr>
                            <w:rFonts w:eastAsia="Arial" w:cs="Times New Roman"/>
                            <w:spacing w:val="2"/>
                            <w:lang w:val="en-GB"/>
                          </w:rPr>
                        </w:pPr>
                        <w:r w:rsidRPr="008642AE">
                          <w:rPr>
                            <w:rFonts w:eastAsia="Arial" w:cs="Times New Roman"/>
                            <w:spacing w:val="2"/>
                            <w:lang w:val="en-GB"/>
                          </w:rPr>
                          <w:t>Increase services for children and young people through the expansion of the CSC program and initiatives to upskill the FaRS and SFVS workforce (where needed) to work directly with children.</w:t>
                        </w:r>
                        <w:r w:rsidR="00565C67">
                          <w:rPr>
                            <w:rFonts w:eastAsia="Arial" w:cs="Times New Roman"/>
                            <w:spacing w:val="2"/>
                            <w:lang w:val="en-GB"/>
                          </w:rPr>
                          <w:t xml:space="preserve"> </w:t>
                        </w:r>
                      </w:p>
                    </w:tc>
                  </w:tr>
                  <w:tr w:rsidR="00022FFB" w:rsidRPr="005A0CDF" w14:paraId="10474BAD" w14:textId="77777777" w:rsidTr="001A7D93">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042" w:type="dxa"/>
                        <w:tcBorders>
                          <w:top w:val="single" w:sz="18" w:space="0" w:color="FFFFFF" w:themeColor="background1"/>
                          <w:bottom w:val="single" w:sz="18" w:space="0" w:color="FFFFFF" w:themeColor="background1"/>
                          <w:right w:val="single" w:sz="18" w:space="0" w:color="FFFFFF" w:themeColor="background1"/>
                        </w:tcBorders>
                        <w:shd w:val="clear" w:color="auto" w:fill="EBECED" w:themeFill="text2"/>
                      </w:tcPr>
                      <w:p w14:paraId="7EC9F991" w14:textId="64B2D1A9" w:rsidR="005A0CDF" w:rsidRPr="005A0CDF" w:rsidRDefault="006E70C3" w:rsidP="00496E24">
                        <w:pPr>
                          <w:jc w:val="center"/>
                          <w:rPr>
                            <w:rFonts w:eastAsia="Arial" w:cs="Times New Roman"/>
                            <w:b/>
                            <w:bCs/>
                            <w:spacing w:val="2"/>
                            <w:sz w:val="28"/>
                            <w:szCs w:val="28"/>
                            <w:lang w:val="en-GB"/>
                          </w:rPr>
                        </w:pPr>
                        <w:r>
                          <w:rPr>
                            <w:rFonts w:eastAsia="Arial" w:cs="Times New Roman"/>
                            <w:b/>
                            <w:bCs/>
                            <w:spacing w:val="2"/>
                            <w:sz w:val="28"/>
                            <w:szCs w:val="28"/>
                            <w:lang w:val="en-GB"/>
                          </w:rPr>
                          <w:t>6</w:t>
                        </w:r>
                      </w:p>
                    </w:tc>
                    <w:tc>
                      <w:tcPr>
                        <w:tcW w:w="8363" w:type="dxa"/>
                        <w:tcBorders>
                          <w:top w:val="single" w:sz="18" w:space="0" w:color="FFFFFF" w:themeColor="background1"/>
                          <w:left w:val="single" w:sz="18" w:space="0" w:color="FFFFFF" w:themeColor="background1"/>
                          <w:bottom w:val="single" w:sz="18" w:space="0" w:color="FFFFFF" w:themeColor="background1"/>
                        </w:tcBorders>
                        <w:shd w:val="clear" w:color="auto" w:fill="EBECED" w:themeFill="text2"/>
                        <w:vAlign w:val="top"/>
                      </w:tcPr>
                      <w:p w14:paraId="2578399F" w14:textId="2ABAA244" w:rsidR="005A0CDF" w:rsidRPr="005A0CDF" w:rsidRDefault="009D2CD4" w:rsidP="009478D5">
                        <w:pPr>
                          <w:cnfStyle w:val="000000010000" w:firstRow="0" w:lastRow="0" w:firstColumn="0" w:lastColumn="0" w:oddVBand="0" w:evenVBand="0" w:oddHBand="0" w:evenHBand="1" w:firstRowFirstColumn="0" w:firstRowLastColumn="0" w:lastRowFirstColumn="0" w:lastRowLastColumn="0"/>
                          <w:rPr>
                            <w:rFonts w:eastAsia="Arial" w:cs="Times New Roman"/>
                            <w:b/>
                            <w:bCs/>
                            <w:spacing w:val="2"/>
                            <w:lang w:val="en-GB"/>
                          </w:rPr>
                        </w:pPr>
                        <w:r w:rsidRPr="009D2CD4">
                          <w:rPr>
                            <w:rFonts w:eastAsia="Arial" w:cs="Times New Roman"/>
                          </w:rPr>
                          <w:t>Consider how SFVS can contribute to meeting the demand for programs to support behaviour change in men who use violence as part of an integrated response to family violence and family violence risk. Any approach should take into account evidence on the effectiveness of MBCPs and other intervention models, as well as evidence on the systemic and structural factors influencing program effectiveness.</w:t>
                        </w:r>
                        <w:r w:rsidR="00E921B5">
                          <w:rPr>
                            <w:rFonts w:eastAsia="Arial" w:cs="Times New Roman"/>
                          </w:rPr>
                          <w:t xml:space="preserve"> </w:t>
                        </w:r>
                        <w:r w:rsidR="00C70851">
                          <w:rPr>
                            <w:rFonts w:eastAsia="Arial" w:cs="Times New Roman"/>
                          </w:rPr>
                          <w:t xml:space="preserve">Any approach should also consider delivery of community-led, place-based delivery of MBCP services by ACCOs. </w:t>
                        </w:r>
                      </w:p>
                    </w:tc>
                  </w:tr>
                  <w:tr w:rsidR="00022FFB" w:rsidRPr="005A0CDF" w14:paraId="78509A8F" w14:textId="77777777" w:rsidTr="001A7D93">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042" w:type="dxa"/>
                        <w:tcBorders>
                          <w:top w:val="single" w:sz="18" w:space="0" w:color="FFFFFF" w:themeColor="background1"/>
                          <w:bottom w:val="single" w:sz="18" w:space="0" w:color="FFFFFF" w:themeColor="background1"/>
                          <w:right w:val="single" w:sz="18" w:space="0" w:color="FFFFFF" w:themeColor="background1"/>
                        </w:tcBorders>
                        <w:shd w:val="clear" w:color="auto" w:fill="EBECED" w:themeFill="text2"/>
                      </w:tcPr>
                      <w:p w14:paraId="1A2EE732" w14:textId="2A37D4B9" w:rsidR="005A0CDF" w:rsidRPr="005A0CDF" w:rsidRDefault="006E70C3" w:rsidP="00496E24">
                        <w:pPr>
                          <w:jc w:val="center"/>
                          <w:rPr>
                            <w:rFonts w:eastAsia="Arial" w:cs="Times New Roman"/>
                            <w:b/>
                            <w:bCs/>
                            <w:spacing w:val="2"/>
                            <w:sz w:val="28"/>
                            <w:szCs w:val="28"/>
                            <w:lang w:val="en-GB"/>
                          </w:rPr>
                        </w:pPr>
                        <w:r>
                          <w:rPr>
                            <w:rFonts w:eastAsia="Arial" w:cs="Times New Roman"/>
                            <w:b/>
                            <w:bCs/>
                            <w:spacing w:val="2"/>
                            <w:sz w:val="28"/>
                            <w:szCs w:val="28"/>
                            <w:lang w:val="en-GB"/>
                          </w:rPr>
                          <w:t>7</w:t>
                        </w:r>
                      </w:p>
                    </w:tc>
                    <w:tc>
                      <w:tcPr>
                        <w:tcW w:w="8363" w:type="dxa"/>
                        <w:tcBorders>
                          <w:top w:val="single" w:sz="18" w:space="0" w:color="FFFFFF" w:themeColor="background1"/>
                          <w:left w:val="single" w:sz="18" w:space="0" w:color="FFFFFF" w:themeColor="background1"/>
                          <w:bottom w:val="single" w:sz="18" w:space="0" w:color="FFFFFF" w:themeColor="background1"/>
                        </w:tcBorders>
                        <w:shd w:val="clear" w:color="auto" w:fill="EBECED" w:themeFill="text2"/>
                        <w:vAlign w:val="top"/>
                      </w:tcPr>
                      <w:p w14:paraId="1468173F" w14:textId="26A38F64" w:rsidR="005A0CDF" w:rsidRPr="005A0CDF" w:rsidRDefault="00C11F67" w:rsidP="009478D5">
                        <w:pPr>
                          <w:cnfStyle w:val="000000100000" w:firstRow="0" w:lastRow="0" w:firstColumn="0" w:lastColumn="0" w:oddVBand="0" w:evenVBand="0" w:oddHBand="1" w:evenHBand="0" w:firstRowFirstColumn="0" w:firstRowLastColumn="0" w:lastRowFirstColumn="0" w:lastRowLastColumn="0"/>
                          <w:rPr>
                            <w:rFonts w:eastAsia="Arial" w:cs="Times New Roman"/>
                            <w:b/>
                            <w:bCs/>
                            <w:spacing w:val="2"/>
                            <w:lang w:val="en-GB"/>
                          </w:rPr>
                        </w:pPr>
                        <w:r w:rsidRPr="00C11F67">
                          <w:rPr>
                            <w:rFonts w:eastAsia="Arial" w:cs="Times New Roman"/>
                            <w:lang w:val="en-GB"/>
                          </w:rPr>
                          <w:t xml:space="preserve">Fund more ACCOs to provide SFVS services to Aboriginal and Torres Strait Islander communities. Funding settings should support ACCOs to co-design and deliver integrated, whole-of-community approaches. They should also support ACCOs to onboard and develop teams which are able to provide culturally appropriate </w:t>
                        </w:r>
                        <w:r w:rsidR="00B302C5" w:rsidRPr="00C11F67">
                          <w:rPr>
                            <w:rFonts w:eastAsia="Arial" w:cs="Times New Roman"/>
                            <w:lang w:val="en-GB"/>
                          </w:rPr>
                          <w:t>services and</w:t>
                        </w:r>
                        <w:r w:rsidRPr="00C11F67">
                          <w:rPr>
                            <w:rFonts w:eastAsia="Arial" w:cs="Times New Roman"/>
                            <w:lang w:val="en-GB"/>
                          </w:rPr>
                          <w:t xml:space="preserve"> address common barriers including transport.</w:t>
                        </w:r>
                        <w:r w:rsidR="004216AF">
                          <w:rPr>
                            <w:rFonts w:eastAsia="Arial" w:cs="Times New Roman"/>
                          </w:rPr>
                          <w:t xml:space="preserve"> </w:t>
                        </w:r>
                      </w:p>
                    </w:tc>
                  </w:tr>
                  <w:tr w:rsidR="00022FFB" w:rsidRPr="005A0CDF" w14:paraId="161FF9E5" w14:textId="77777777" w:rsidTr="001A7D93">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042" w:type="dxa"/>
                        <w:tcBorders>
                          <w:top w:val="single" w:sz="18" w:space="0" w:color="FFFFFF" w:themeColor="background1"/>
                          <w:bottom w:val="single" w:sz="18" w:space="0" w:color="FFFFFF" w:themeColor="background1"/>
                          <w:right w:val="single" w:sz="18" w:space="0" w:color="FFFFFF" w:themeColor="background1"/>
                        </w:tcBorders>
                        <w:shd w:val="clear" w:color="auto" w:fill="EBECED" w:themeFill="text2"/>
                      </w:tcPr>
                      <w:p w14:paraId="47465583" w14:textId="06EF04EF" w:rsidR="005A0CDF" w:rsidRPr="005A0CDF" w:rsidRDefault="006E70C3" w:rsidP="00496E24">
                        <w:pPr>
                          <w:jc w:val="center"/>
                          <w:rPr>
                            <w:rFonts w:eastAsia="Arial" w:cs="Times New Roman"/>
                            <w:b/>
                            <w:bCs/>
                            <w:spacing w:val="2"/>
                            <w:sz w:val="28"/>
                            <w:szCs w:val="28"/>
                            <w:lang w:val="en-GB"/>
                          </w:rPr>
                        </w:pPr>
                        <w:r>
                          <w:rPr>
                            <w:rFonts w:eastAsia="Arial" w:cs="Times New Roman"/>
                            <w:b/>
                            <w:bCs/>
                            <w:spacing w:val="2"/>
                            <w:sz w:val="28"/>
                            <w:szCs w:val="28"/>
                            <w:lang w:val="en-GB"/>
                          </w:rPr>
                          <w:lastRenderedPageBreak/>
                          <w:t>8</w:t>
                        </w:r>
                      </w:p>
                    </w:tc>
                    <w:tc>
                      <w:tcPr>
                        <w:tcW w:w="8363" w:type="dxa"/>
                        <w:tcBorders>
                          <w:top w:val="single" w:sz="18" w:space="0" w:color="FFFFFF" w:themeColor="background1"/>
                          <w:left w:val="single" w:sz="18" w:space="0" w:color="FFFFFF" w:themeColor="background1"/>
                          <w:bottom w:val="single" w:sz="18" w:space="0" w:color="FFFFFF" w:themeColor="background1"/>
                        </w:tcBorders>
                        <w:shd w:val="clear" w:color="auto" w:fill="EBECED" w:themeFill="text2"/>
                        <w:vAlign w:val="top"/>
                      </w:tcPr>
                      <w:p w14:paraId="277783D9" w14:textId="712919D3" w:rsidR="004D652C" w:rsidRPr="004D652C" w:rsidRDefault="004D652C" w:rsidP="009478D5">
                        <w:pPr>
                          <w:cnfStyle w:val="000000010000" w:firstRow="0" w:lastRow="0" w:firstColumn="0" w:lastColumn="0" w:oddVBand="0" w:evenVBand="0" w:oddHBand="0" w:evenHBand="1" w:firstRowFirstColumn="0" w:firstRowLastColumn="0" w:lastRowFirstColumn="0" w:lastRowLastColumn="0"/>
                          <w:rPr>
                            <w:rFonts w:eastAsia="Arial" w:cs="Times New Roman"/>
                            <w:spacing w:val="2"/>
                            <w:lang w:val="en-GB"/>
                          </w:rPr>
                        </w:pPr>
                        <w:r w:rsidRPr="004D652C">
                          <w:rPr>
                            <w:rFonts w:eastAsia="Arial" w:cs="Times New Roman"/>
                            <w:spacing w:val="2"/>
                            <w:lang w:val="en-GB"/>
                          </w:rPr>
                          <w:t>Improve data collection, reporting and monitoring by:</w:t>
                        </w:r>
                      </w:p>
                      <w:p w14:paraId="2F09F586" w14:textId="0DF9CA54" w:rsidR="004D652C" w:rsidRPr="004D652C" w:rsidRDefault="004D652C" w:rsidP="009478D5">
                        <w:pPr>
                          <w:numPr>
                            <w:ilvl w:val="0"/>
                            <w:numId w:val="153"/>
                          </w:numPr>
                          <w:cnfStyle w:val="000000010000" w:firstRow="0" w:lastRow="0" w:firstColumn="0" w:lastColumn="0" w:oddVBand="0" w:evenVBand="0" w:oddHBand="0" w:evenHBand="1" w:firstRowFirstColumn="0" w:firstRowLastColumn="0" w:lastRowFirstColumn="0" w:lastRowLastColumn="0"/>
                          <w:rPr>
                            <w:rFonts w:eastAsia="Arial" w:cs="Times New Roman"/>
                            <w:spacing w:val="2"/>
                            <w:lang w:val="en-GB"/>
                          </w:rPr>
                        </w:pPr>
                        <w:r w:rsidRPr="004D652C">
                          <w:rPr>
                            <w:rFonts w:eastAsia="Arial" w:cs="Times New Roman"/>
                            <w:spacing w:val="2"/>
                            <w:lang w:val="en-GB"/>
                          </w:rPr>
                          <w:t xml:space="preserve">ensuring appropriate data is collected in DEX to understand the reach and outcomes of the programs for all priority cohorts, including collecting </w:t>
                        </w:r>
                        <w:r w:rsidR="000D3AD5">
                          <w:rPr>
                            <w:rFonts w:eastAsia="Arial" w:cs="Times New Roman"/>
                            <w:spacing w:val="2"/>
                            <w:lang w:val="en-GB"/>
                          </w:rPr>
                          <w:t>enhanced</w:t>
                        </w:r>
                        <w:r w:rsidRPr="004D652C">
                          <w:rPr>
                            <w:rFonts w:eastAsia="Arial" w:cs="Times New Roman"/>
                            <w:spacing w:val="2"/>
                            <w:lang w:val="en-GB"/>
                          </w:rPr>
                          <w:t xml:space="preserve"> data on LGBTQIA+ status and improving consistency of data on CALD status</w:t>
                        </w:r>
                      </w:p>
                      <w:p w14:paraId="00626F01" w14:textId="77777777" w:rsidR="004D652C" w:rsidRDefault="004D652C" w:rsidP="009478D5">
                        <w:pPr>
                          <w:numPr>
                            <w:ilvl w:val="0"/>
                            <w:numId w:val="153"/>
                          </w:numPr>
                          <w:cnfStyle w:val="000000010000" w:firstRow="0" w:lastRow="0" w:firstColumn="0" w:lastColumn="0" w:oddVBand="0" w:evenVBand="0" w:oddHBand="0" w:evenHBand="1" w:firstRowFirstColumn="0" w:firstRowLastColumn="0" w:lastRowFirstColumn="0" w:lastRowLastColumn="0"/>
                          <w:rPr>
                            <w:rFonts w:eastAsia="Arial" w:cs="Times New Roman"/>
                            <w:spacing w:val="2"/>
                            <w:lang w:val="en-GB"/>
                          </w:rPr>
                        </w:pPr>
                        <w:r w:rsidRPr="004D652C">
                          <w:rPr>
                            <w:rFonts w:eastAsia="Arial" w:cs="Times New Roman"/>
                            <w:spacing w:val="2"/>
                            <w:lang w:val="en-GB"/>
                          </w:rPr>
                          <w:t>working with service providers to refine reporting requirements so that they align with the complexity of service delivery; support cultural safety and capture all activities undertaken by service providers under the programs</w:t>
                        </w:r>
                      </w:p>
                      <w:p w14:paraId="704B5C47" w14:textId="71B32369" w:rsidR="005A0CDF" w:rsidRPr="004D652C" w:rsidRDefault="004D652C" w:rsidP="009478D5">
                        <w:pPr>
                          <w:numPr>
                            <w:ilvl w:val="0"/>
                            <w:numId w:val="153"/>
                          </w:numPr>
                          <w:cnfStyle w:val="000000010000" w:firstRow="0" w:lastRow="0" w:firstColumn="0" w:lastColumn="0" w:oddVBand="0" w:evenVBand="0" w:oddHBand="0" w:evenHBand="1" w:firstRowFirstColumn="0" w:firstRowLastColumn="0" w:lastRowFirstColumn="0" w:lastRowLastColumn="0"/>
                          <w:rPr>
                            <w:rFonts w:eastAsia="Arial" w:cs="Times New Roman"/>
                            <w:spacing w:val="2"/>
                            <w:lang w:val="en-GB"/>
                          </w:rPr>
                        </w:pPr>
                        <w:r w:rsidRPr="004D652C">
                          <w:rPr>
                            <w:rFonts w:eastAsia="Arial" w:cs="Times New Roman"/>
                            <w:spacing w:val="2"/>
                          </w:rPr>
                          <w:t>exploring opportunities to use linked data to track service user progress and inform future monitoring and evaluation processes.</w:t>
                        </w:r>
                        <w:r w:rsidR="002858BB" w:rsidRPr="004D652C">
                          <w:rPr>
                            <w:rFonts w:eastAsia="Arial" w:cs="Times New Roman"/>
                            <w:spacing w:val="2"/>
                            <w:lang w:val="en-GB"/>
                          </w:rPr>
                          <w:t xml:space="preserve"> </w:t>
                        </w:r>
                      </w:p>
                    </w:tc>
                  </w:tr>
                </w:tbl>
                <w:p w14:paraId="5DFCF180" w14:textId="5E9EB0DC" w:rsidR="004F01C8" w:rsidRDefault="004F01C8" w:rsidP="00A350DA">
                  <w:pPr>
                    <w:pStyle w:val="Text"/>
                  </w:pPr>
                </w:p>
                <w:p w14:paraId="08F3D745" w14:textId="77777777" w:rsidR="004F01C8" w:rsidRDefault="004F01C8">
                  <w:r>
                    <w:br w:type="page"/>
                  </w:r>
                </w:p>
                <w:p w14:paraId="5076AA2F" w14:textId="53D71508" w:rsidR="00744494" w:rsidRDefault="00F9425F">
                  <w:r>
                    <w:rPr>
                      <w:noProof/>
                    </w:rPr>
                    <w:lastRenderedPageBreak/>
                    <w:drawing>
                      <wp:anchor distT="0" distB="0" distL="114300" distR="114300" simplePos="0" relativeHeight="251658261" behindDoc="0" locked="0" layoutInCell="1" allowOverlap="1" wp14:anchorId="1EEEDA1F" wp14:editId="2A2861C9">
                        <wp:simplePos x="0" y="0"/>
                        <wp:positionH relativeFrom="page">
                          <wp:align>right</wp:align>
                        </wp:positionH>
                        <wp:positionV relativeFrom="paragraph">
                          <wp:posOffset>-914400</wp:posOffset>
                        </wp:positionV>
                        <wp:extent cx="7559856" cy="10689228"/>
                        <wp:effectExtent l="0" t="0" r="3175" b="0"/>
                        <wp:wrapNone/>
                        <wp:docPr id="1456041279" name="Pictur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6041279" name="Picture 10">
                                  <a:extLst>
                                    <a:ext uri="{C183D7F6-B498-43B3-948B-1728B52AA6E4}">
                                      <adec:decorative xmlns:adec="http://schemas.microsoft.com/office/drawing/2017/decorative" val="1"/>
                                    </a:ext>
                                  </a:extLst>
                                </pic:cNvPr>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7559856" cy="10689228"/>
                                </a:xfrm>
                                <a:prstGeom prst="rect">
                                  <a:avLst/>
                                </a:prstGeom>
                                <a:noFill/>
                                <a:ln>
                                  <a:noFill/>
                                </a:ln>
                              </pic:spPr>
                            </pic:pic>
                          </a:graphicData>
                        </a:graphic>
                        <wp14:sizeRelH relativeFrom="page">
                          <wp14:pctWidth>0</wp14:pctWidth>
                        </wp14:sizeRelH>
                        <wp14:sizeRelV relativeFrom="page">
                          <wp14:pctHeight>0</wp14:pctHeight>
                        </wp14:sizeRelV>
                      </wp:anchor>
                    </w:drawing>
                  </w:r>
                  <w:r w:rsidR="00744494">
                    <w:br w:type="page"/>
                  </w:r>
                </w:p>
                <w:p w14:paraId="1077CA75" w14:textId="44877BD4" w:rsidR="00744494" w:rsidRDefault="00744494">
                  <w:r>
                    <w:rPr>
                      <w:b/>
                      <w:noProof/>
                      <w:highlight w:val="yellow"/>
                    </w:rPr>
                    <w:lastRenderedPageBreak/>
                    <w:drawing>
                      <wp:anchor distT="0" distB="0" distL="114300" distR="114300" simplePos="0" relativeHeight="251658262" behindDoc="0" locked="1" layoutInCell="1" allowOverlap="1" wp14:anchorId="1CA65DBE" wp14:editId="17F842D3">
                        <wp:simplePos x="0" y="0"/>
                        <wp:positionH relativeFrom="page">
                          <wp:posOffset>9525</wp:posOffset>
                        </wp:positionH>
                        <wp:positionV relativeFrom="page">
                          <wp:posOffset>9525</wp:posOffset>
                        </wp:positionV>
                        <wp:extent cx="7534910" cy="10653395"/>
                        <wp:effectExtent l="0" t="0" r="8890" b="0"/>
                        <wp:wrapNone/>
                        <wp:docPr id="314860717" name="Pictur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860717" name="Picture 9">
                                  <a:extLst>
                                    <a:ext uri="{C183D7F6-B498-43B3-948B-1728B52AA6E4}">
                                      <adec:decorative xmlns:adec="http://schemas.microsoft.com/office/drawing/2017/decorative" val="1"/>
                                    </a:ext>
                                  </a:extLst>
                                </pic:cNvPr>
                                <pic:cNvPicPr>
                                  <a:picLocks noChangeAspect="1" noChangeArrowheads="1"/>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7534910" cy="10653395"/>
                                </a:xfrm>
                                <a:prstGeom prst="rect">
                                  <a:avLst/>
                                </a:prstGeom>
                                <a:noFill/>
                                <a:ln>
                                  <a:noFill/>
                                </a:ln>
                              </pic:spPr>
                            </pic:pic>
                          </a:graphicData>
                        </a:graphic>
                        <wp14:sizeRelH relativeFrom="margin">
                          <wp14:pctWidth>0</wp14:pctWidth>
                        </wp14:sizeRelH>
                        <wp14:sizeRelV relativeFrom="margin">
                          <wp14:pctHeight>0</wp14:pctHeight>
                        </wp14:sizeRelV>
                      </wp:anchor>
                    </w:drawing>
                  </w:r>
                  <w:r>
                    <w:br w:type="page"/>
                  </w:r>
                </w:p>
                <w:p w14:paraId="1280AFA7" w14:textId="77777777" w:rsidR="00116BC7" w:rsidRDefault="00116BC7" w:rsidP="00A350DA">
                  <w:pPr>
                    <w:pStyle w:val="Text"/>
                    <w:sectPr w:rsidR="00116BC7" w:rsidSect="00A94E52">
                      <w:pgSz w:w="11909" w:h="16834" w:code="9"/>
                      <w:pgMar w:top="1440" w:right="1440" w:bottom="1440" w:left="1440" w:header="720" w:footer="720" w:gutter="0"/>
                      <w:pgNumType w:fmt="lowerRoman"/>
                      <w:cols w:space="720"/>
                      <w:docGrid w:linePitch="360"/>
                    </w:sectPr>
                  </w:pPr>
                </w:p>
                <w:p w14:paraId="290DFD3B" w14:textId="0A1AF0C6" w:rsidR="003E4CAB" w:rsidRDefault="003E4CAB" w:rsidP="00271FAC">
                  <w:pPr>
                    <w:tabs>
                      <w:tab w:val="left" w:pos="1124"/>
                    </w:tabs>
                  </w:pPr>
                </w:p>
                <w:p w14:paraId="62FD34B0" w14:textId="0394B19E" w:rsidR="00A94E52" w:rsidRPr="00275C41" w:rsidRDefault="00A94E52" w:rsidP="00A94E52">
                  <w:pPr>
                    <w:pStyle w:val="Sectionpagetitle"/>
                  </w:pPr>
                  <w:r w:rsidRPr="005F7EB6">
                    <w:rPr>
                      <w:noProof/>
                    </w:rPr>
                    <w:drawing>
                      <wp:anchor distT="0" distB="0" distL="114300" distR="114300" simplePos="0" relativeHeight="251658253" behindDoc="1" locked="0" layoutInCell="1" allowOverlap="1" wp14:anchorId="4010917B" wp14:editId="7581810D">
                        <wp:simplePos x="0" y="0"/>
                        <wp:positionH relativeFrom="page">
                          <wp:posOffset>0</wp:posOffset>
                        </wp:positionH>
                        <wp:positionV relativeFrom="page">
                          <wp:posOffset>0</wp:posOffset>
                        </wp:positionV>
                        <wp:extent cx="7559675" cy="10673541"/>
                        <wp:effectExtent l="0" t="0" r="3175" b="0"/>
                        <wp:wrapNone/>
                        <wp:docPr id="869597842" name="Picture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597842" name="Picture 11">
                                  <a:extLst>
                                    <a:ext uri="{C183D7F6-B498-43B3-948B-1728B52AA6E4}">
                                      <adec:decorative xmlns:adec="http://schemas.microsoft.com/office/drawing/2017/decorative" val="1"/>
                                    </a:ext>
                                  </a:extLst>
                                </pic:cNvPr>
                                <pic:cNvPicPr>
                                  <a:picLocks noChangeAspect="1" noChangeArrowheads="1"/>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7569140" cy="10686905"/>
                                </a:xfrm>
                                <a:prstGeom prst="rect">
                                  <a:avLst/>
                                </a:prstGeom>
                                <a:noFill/>
                                <a:ln>
                                  <a:noFill/>
                                </a:ln>
                              </pic:spPr>
                            </pic:pic>
                          </a:graphicData>
                        </a:graphic>
                        <wp14:sizeRelH relativeFrom="margin">
                          <wp14:pctWidth>0</wp14:pctWidth>
                        </wp14:sizeRelH>
                        <wp14:sizeRelV relativeFrom="margin">
                          <wp14:pctHeight>0</wp14:pctHeight>
                        </wp14:sizeRelV>
                      </wp:anchor>
                    </w:drawing>
                  </w:r>
                  <w:r>
                    <w:t>Background</w:t>
                  </w:r>
                </w:p>
                <w:p w14:paraId="58DB15A5" w14:textId="77777777" w:rsidR="00A94E52" w:rsidRPr="00A94E52" w:rsidRDefault="00A94E52" w:rsidP="00A94E52">
                  <w:pPr>
                    <w:tabs>
                      <w:tab w:val="left" w:pos="967"/>
                    </w:tabs>
                    <w:sectPr w:rsidR="00A94E52" w:rsidRPr="00A94E52" w:rsidSect="00A94E52">
                      <w:headerReference w:type="even" r:id="rId20"/>
                      <w:headerReference w:type="default" r:id="rId21"/>
                      <w:headerReference w:type="first" r:id="rId22"/>
                      <w:pgSz w:w="11909" w:h="16834" w:code="9"/>
                      <w:pgMar w:top="1440" w:right="1440" w:bottom="1440" w:left="1440" w:header="720" w:footer="720" w:gutter="0"/>
                      <w:pgNumType w:start="1"/>
                      <w:cols w:space="720"/>
                      <w:docGrid w:linePitch="360"/>
                    </w:sectPr>
                  </w:pPr>
                </w:p>
                <w:p w14:paraId="2620F821" w14:textId="5B5D4463" w:rsidR="00D95508" w:rsidRDefault="00D95508" w:rsidP="002E7436">
                  <w:pPr>
                    <w:pStyle w:val="Heading1"/>
                  </w:pPr>
                  <w:bookmarkStart w:id="5" w:name="_Ref204185344"/>
                  <w:bookmarkStart w:id="6" w:name="_Toc204856717"/>
                  <w:bookmarkStart w:id="7" w:name="_Toc208906828"/>
                  <w:bookmarkEnd w:id="1"/>
                  <w:r>
                    <w:lastRenderedPageBreak/>
                    <w:t>Background</w:t>
                  </w:r>
                  <w:bookmarkEnd w:id="5"/>
                  <w:bookmarkEnd w:id="6"/>
                  <w:bookmarkEnd w:id="7"/>
                </w:p>
                <w:p w14:paraId="12E3EBCC" w14:textId="45EAE046" w:rsidR="00963CD9" w:rsidRDefault="006708D4" w:rsidP="000436E7">
                  <w:pPr>
                    <w:pStyle w:val="Text"/>
                    <w:rPr>
                      <w:lang w:val="en-AU"/>
                    </w:rPr>
                  </w:pPr>
                  <w:r>
                    <w:rPr>
                      <w:lang w:val="en-AU"/>
                    </w:rPr>
                    <w:t xml:space="preserve">Family and Relationship Services (FaRS) and Specialised Family Violence Service </w:t>
                  </w:r>
                  <w:r w:rsidR="009952E2">
                    <w:rPr>
                      <w:lang w:val="en-AU"/>
                    </w:rPr>
                    <w:t xml:space="preserve">(SFVS) programs are funded by the Department of Social Services (the Department) </w:t>
                  </w:r>
                  <w:r w:rsidR="002F7AEF">
                    <w:rPr>
                      <w:lang w:val="en-AU"/>
                    </w:rPr>
                    <w:t>under the Famil</w:t>
                  </w:r>
                  <w:r w:rsidR="00B6267D">
                    <w:rPr>
                      <w:lang w:val="en-AU"/>
                    </w:rPr>
                    <w:t>ies</w:t>
                  </w:r>
                  <w:r w:rsidR="002F7AEF">
                    <w:rPr>
                      <w:lang w:val="en-AU"/>
                    </w:rPr>
                    <w:t xml:space="preserve"> and Children (FaC)</w:t>
                  </w:r>
                  <w:r w:rsidR="00F92E32">
                    <w:rPr>
                      <w:lang w:val="en-AU"/>
                    </w:rPr>
                    <w:t xml:space="preserve"> </w:t>
                  </w:r>
                  <w:r w:rsidR="002F7AEF">
                    <w:rPr>
                      <w:lang w:val="en-AU"/>
                    </w:rPr>
                    <w:t>activity. Collectively</w:t>
                  </w:r>
                  <w:r w:rsidRPr="007D22D1">
                    <w:rPr>
                      <w:lang w:val="en-AU"/>
                    </w:rPr>
                    <w:t>,</w:t>
                  </w:r>
                  <w:r w:rsidR="002F7AEF">
                    <w:rPr>
                      <w:lang w:val="en-AU"/>
                    </w:rPr>
                    <w:t xml:space="preserve"> these programs</w:t>
                  </w:r>
                  <w:r w:rsidRPr="007D22D1">
                    <w:rPr>
                      <w:lang w:val="en-AU"/>
                    </w:rPr>
                    <w:t xml:space="preserve"> </w:t>
                  </w:r>
                  <w:r w:rsidR="00D379E7" w:rsidRPr="005716DC">
                    <w:t xml:space="preserve">aim to strengthen family relationships, prevent family breakdown, increase participation </w:t>
                  </w:r>
                  <w:r w:rsidR="00FB444A">
                    <w:t>in</w:t>
                  </w:r>
                  <w:r w:rsidR="00D379E7" w:rsidRPr="005716DC">
                    <w:t xml:space="preserve"> communities and ensure that the wellbeing and safety of children is maintained</w:t>
                  </w:r>
                  <w:r w:rsidR="00D379E7">
                    <w:t xml:space="preserve"> </w:t>
                  </w:r>
                  <w:r w:rsidR="000A43A5">
                    <w:fldChar w:fldCharType="begin"/>
                  </w:r>
                  <w:r w:rsidR="003A464F">
                    <w:instrText xml:space="preserve"> ADDIN ZOTERO_ITEM CSL_CITATION {"citationID":"umQnUPRI","properties":{"formattedCitation":"(Australian Institute of Family Studies, 2024a)","plainCitation":"(Australian Institute of Family Studies, 2024a)","noteIndex":0},"citationItems":[{"id":"KNHaqWe9/IkV6eivk","uris":["http://zotero.org/groups/6054942/items/IRBVBITP"],"itemData":{"id":5093,"type":"report","language":"en","publisher":"Commonwealth of Australia","source":"Zotero","title":"Family Relationships Services Program Review","author":[{"family":"Australian Institute of Family Studies","given":""}],"issued":{"date-parts":[["2024"]]}}}],"schema":"https://github.com/citation-style-language/schema/raw/master/csl-citation.json"} </w:instrText>
                  </w:r>
                  <w:r w:rsidR="000A43A5">
                    <w:fldChar w:fldCharType="separate"/>
                  </w:r>
                  <w:r w:rsidR="0043096B" w:rsidRPr="0043096B">
                    <w:rPr>
                      <w:rFonts w:ascii="Arial" w:hAnsi="Arial" w:cs="Arial"/>
                    </w:rPr>
                    <w:t>(Australian Institute of Family Studies, 2024a)</w:t>
                  </w:r>
                  <w:r w:rsidR="000A43A5">
                    <w:fldChar w:fldCharType="end"/>
                  </w:r>
                  <w:r w:rsidRPr="007D22D1">
                    <w:rPr>
                      <w:lang w:val="en-AU"/>
                    </w:rPr>
                    <w:t>.</w:t>
                  </w:r>
                  <w:r w:rsidR="00C8735B">
                    <w:rPr>
                      <w:lang w:val="en-AU"/>
                    </w:rPr>
                    <w:t xml:space="preserve"> </w:t>
                  </w:r>
                </w:p>
                <w:p w14:paraId="39A274C1" w14:textId="44D4A0F7" w:rsidR="006F7B34" w:rsidRDefault="00367475" w:rsidP="000436E7">
                  <w:pPr>
                    <w:pStyle w:val="Text"/>
                    <w:rPr>
                      <w:lang w:val="en-AU"/>
                    </w:rPr>
                  </w:pPr>
                  <w:bookmarkStart w:id="8" w:name="_Toc203560466"/>
                  <w:bookmarkStart w:id="9" w:name="_Toc203584203"/>
                  <w:bookmarkStart w:id="10" w:name="_Toc203598372"/>
                  <w:bookmarkStart w:id="11" w:name="_Toc203600463"/>
                  <w:bookmarkStart w:id="12" w:name="_Toc203639925"/>
                  <w:bookmarkStart w:id="13" w:name="_Toc203646434"/>
                  <w:bookmarkStart w:id="14" w:name="_Toc203660730"/>
                  <w:bookmarkStart w:id="15" w:name="_Toc204085650"/>
                  <w:bookmarkStart w:id="16" w:name="_Toc204171106"/>
                  <w:bookmarkStart w:id="17" w:name="_Toc204189531"/>
                  <w:bookmarkStart w:id="18" w:name="_Toc204193569"/>
                  <w:bookmarkStart w:id="19" w:name="_Toc203560467"/>
                  <w:bookmarkStart w:id="20" w:name="_Toc203584204"/>
                  <w:bookmarkStart w:id="21" w:name="_Toc203598373"/>
                  <w:bookmarkStart w:id="22" w:name="_Toc203600464"/>
                  <w:bookmarkStart w:id="23" w:name="_Toc203639926"/>
                  <w:bookmarkStart w:id="24" w:name="_Toc203646435"/>
                  <w:bookmarkStart w:id="25" w:name="_Toc203660731"/>
                  <w:bookmarkStart w:id="26" w:name="_Toc204085651"/>
                  <w:bookmarkStart w:id="27" w:name="_Toc204171107"/>
                  <w:bookmarkStart w:id="28" w:name="_Toc204189532"/>
                  <w:bookmarkStart w:id="29" w:name="_Toc204193570"/>
                  <w:bookmarkStart w:id="30" w:name="_Toc203560468"/>
                  <w:bookmarkStart w:id="31" w:name="_Toc203584205"/>
                  <w:bookmarkStart w:id="32" w:name="_Toc203598374"/>
                  <w:bookmarkStart w:id="33" w:name="_Toc203600465"/>
                  <w:bookmarkStart w:id="34" w:name="_Toc203639927"/>
                  <w:bookmarkStart w:id="35" w:name="_Toc203646436"/>
                  <w:bookmarkStart w:id="36" w:name="_Toc203660732"/>
                  <w:bookmarkStart w:id="37" w:name="_Toc204085652"/>
                  <w:bookmarkStart w:id="38" w:name="_Toc204171108"/>
                  <w:bookmarkStart w:id="39" w:name="_Toc204189533"/>
                  <w:bookmarkStart w:id="40" w:name="_Toc204193571"/>
                  <w:bookmarkStart w:id="41" w:name="_Toc203464365"/>
                  <w:bookmarkStart w:id="42" w:name="_Toc203560469"/>
                  <w:bookmarkStart w:id="43" w:name="_Toc203584206"/>
                  <w:bookmarkStart w:id="44" w:name="_Toc203598375"/>
                  <w:bookmarkStart w:id="45" w:name="_Toc203600466"/>
                  <w:bookmarkStart w:id="46" w:name="_Toc203639928"/>
                  <w:bookmarkStart w:id="47" w:name="_Toc203646437"/>
                  <w:bookmarkStart w:id="48" w:name="_Toc203660733"/>
                  <w:bookmarkStart w:id="49" w:name="_Toc204085653"/>
                  <w:bookmarkStart w:id="50" w:name="_Toc204171109"/>
                  <w:bookmarkStart w:id="51" w:name="_Toc204189534"/>
                  <w:bookmarkStart w:id="52" w:name="_Toc204193572"/>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r>
                    <w:rPr>
                      <w:lang w:val="en-AU"/>
                    </w:rPr>
                    <w:t xml:space="preserve">The </w:t>
                  </w:r>
                  <w:r w:rsidR="00C249DB">
                    <w:rPr>
                      <w:lang w:val="en-AU"/>
                    </w:rPr>
                    <w:t xml:space="preserve">genesis of the FaRS program can be found in </w:t>
                  </w:r>
                  <w:r w:rsidR="000F2BE8">
                    <w:rPr>
                      <w:lang w:val="en-AU"/>
                    </w:rPr>
                    <w:t xml:space="preserve">marriage counselling, which the </w:t>
                  </w:r>
                  <w:r>
                    <w:rPr>
                      <w:lang w:val="en-AU"/>
                    </w:rPr>
                    <w:t xml:space="preserve">Australian Government </w:t>
                  </w:r>
                  <w:r w:rsidR="00710227">
                    <w:rPr>
                      <w:lang w:val="en-AU"/>
                    </w:rPr>
                    <w:t xml:space="preserve">started funding in 1959. </w:t>
                  </w:r>
                  <w:r w:rsidR="003153FB">
                    <w:rPr>
                      <w:lang w:val="en-AU"/>
                    </w:rPr>
                    <w:t>Over decades</w:t>
                  </w:r>
                  <w:r w:rsidR="006E5966">
                    <w:rPr>
                      <w:lang w:val="en-AU"/>
                    </w:rPr>
                    <w:t xml:space="preserve">, </w:t>
                  </w:r>
                  <w:r w:rsidR="00A17AB6">
                    <w:rPr>
                      <w:lang w:val="en-AU"/>
                    </w:rPr>
                    <w:t>FaRS</w:t>
                  </w:r>
                  <w:r w:rsidR="007D0747">
                    <w:rPr>
                      <w:lang w:val="en-AU"/>
                    </w:rPr>
                    <w:t xml:space="preserve"> </w:t>
                  </w:r>
                  <w:r w:rsidR="0056564B">
                    <w:rPr>
                      <w:lang w:val="en-AU"/>
                    </w:rPr>
                    <w:t xml:space="preserve">has </w:t>
                  </w:r>
                  <w:r w:rsidR="00B1172A">
                    <w:rPr>
                      <w:lang w:val="en-AU"/>
                    </w:rPr>
                    <w:t>expanded</w:t>
                  </w:r>
                  <w:r w:rsidR="007E6548">
                    <w:rPr>
                      <w:lang w:val="en-AU"/>
                    </w:rPr>
                    <w:t xml:space="preserve"> and evolved</w:t>
                  </w:r>
                  <w:r w:rsidR="0056564B">
                    <w:rPr>
                      <w:lang w:val="en-AU"/>
                    </w:rPr>
                    <w:t xml:space="preserve"> </w:t>
                  </w:r>
                  <w:r w:rsidR="007E6548">
                    <w:rPr>
                      <w:lang w:val="en-AU"/>
                    </w:rPr>
                    <w:t xml:space="preserve">in response </w:t>
                  </w:r>
                  <w:r w:rsidR="007D0747">
                    <w:rPr>
                      <w:lang w:val="en-AU"/>
                    </w:rPr>
                    <w:t xml:space="preserve">to a growing recognition of the complexity </w:t>
                  </w:r>
                  <w:r w:rsidR="00A17AB6">
                    <w:rPr>
                      <w:lang w:val="en-AU"/>
                    </w:rPr>
                    <w:t xml:space="preserve">and nuance of family and relationship service needs and best practice service delivery. </w:t>
                  </w:r>
                  <w:r w:rsidR="00AA18D4">
                    <w:rPr>
                      <w:lang w:val="en-AU"/>
                    </w:rPr>
                    <w:t>S</w:t>
                  </w:r>
                  <w:r w:rsidR="00AA18D4" w:rsidRPr="00126199">
                    <w:rPr>
                      <w:lang w:val="en-AU"/>
                    </w:rPr>
                    <w:t xml:space="preserve">ervices delivered under FaRS were initially funded under the </w:t>
                  </w:r>
                  <w:r w:rsidR="00AA18D4">
                    <w:rPr>
                      <w:lang w:val="en-AU"/>
                    </w:rPr>
                    <w:t>Family Relationship Services Program (FRSP)</w:t>
                  </w:r>
                  <w:r w:rsidR="00AA18D4" w:rsidRPr="00126199">
                    <w:rPr>
                      <w:lang w:val="en-AU"/>
                    </w:rPr>
                    <w:t xml:space="preserve"> </w:t>
                  </w:r>
                  <w:r w:rsidR="0008080D">
                    <w:rPr>
                      <w:lang w:val="en-AU"/>
                    </w:rPr>
                    <w:t>through</w:t>
                  </w:r>
                  <w:r w:rsidR="00AA18D4" w:rsidRPr="00126199">
                    <w:rPr>
                      <w:lang w:val="en-AU"/>
                    </w:rPr>
                    <w:t xml:space="preserve"> a dual arrangement between the Attorney General’s Department</w:t>
                  </w:r>
                  <w:r w:rsidR="00752DD7">
                    <w:rPr>
                      <w:lang w:val="en-AU"/>
                    </w:rPr>
                    <w:t xml:space="preserve"> and the Department of Social Services (the Department)</w:t>
                  </w:r>
                  <w:r w:rsidR="00AA18D4" w:rsidRPr="00126199">
                    <w:rPr>
                      <w:lang w:val="en-AU"/>
                    </w:rPr>
                    <w:t>. The</w:t>
                  </w:r>
                  <w:r w:rsidR="00752DD7">
                    <w:rPr>
                      <w:lang w:val="en-AU"/>
                    </w:rPr>
                    <w:t xml:space="preserve"> FRSP program and the FaRS </w:t>
                  </w:r>
                  <w:r w:rsidR="002735BC">
                    <w:rPr>
                      <w:lang w:val="en-AU"/>
                    </w:rPr>
                    <w:t>and</w:t>
                  </w:r>
                  <w:r w:rsidR="00752DD7">
                    <w:rPr>
                      <w:lang w:val="en-AU"/>
                    </w:rPr>
                    <w:t xml:space="preserve"> SFVS</w:t>
                  </w:r>
                  <w:r w:rsidR="00AA18D4" w:rsidRPr="00126199">
                    <w:rPr>
                      <w:lang w:val="en-AU"/>
                    </w:rPr>
                    <w:t xml:space="preserve"> programs became more distinct following a gradual change in funding arrangements, wherein the Attorney General’s Department funded the FRSP, and the Department funded the FaRS and SVFS</w:t>
                  </w:r>
                  <w:r w:rsidR="00752DD7">
                    <w:rPr>
                      <w:lang w:val="en-AU"/>
                    </w:rPr>
                    <w:t xml:space="preserve"> programs</w:t>
                  </w:r>
                  <w:r w:rsidR="00AA18D4" w:rsidRPr="00126199">
                    <w:rPr>
                      <w:lang w:val="en-AU"/>
                    </w:rPr>
                    <w:t xml:space="preserve">. </w:t>
                  </w:r>
                </w:p>
                <w:p w14:paraId="5DCD5268" w14:textId="60508307" w:rsidR="00B2602D" w:rsidRDefault="00AA18D4" w:rsidP="000436E7">
                  <w:pPr>
                    <w:pStyle w:val="Text"/>
                    <w:rPr>
                      <w:lang w:val="en-AU"/>
                    </w:rPr>
                  </w:pPr>
                  <w:r w:rsidRPr="00126199">
                    <w:rPr>
                      <w:lang w:val="en-AU"/>
                    </w:rPr>
                    <w:t>As a result of shared history, there are consistent</w:t>
                  </w:r>
                  <w:r w:rsidR="007D36F2">
                    <w:rPr>
                      <w:lang w:val="en-AU"/>
                    </w:rPr>
                    <w:t xml:space="preserve"> elements</w:t>
                  </w:r>
                  <w:r w:rsidRPr="00126199">
                    <w:rPr>
                      <w:lang w:val="en-AU"/>
                    </w:rPr>
                    <w:t xml:space="preserve"> between the FRSP and FaRS and SFVS </w:t>
                  </w:r>
                  <w:r w:rsidRPr="00126199">
                    <w:rPr>
                      <w:lang w:val="en-AU"/>
                    </w:rPr>
                    <w:fldChar w:fldCharType="begin"/>
                  </w:r>
                  <w:r w:rsidR="00E41D03">
                    <w:rPr>
                      <w:lang w:val="en-AU"/>
                    </w:rPr>
                    <w:instrText xml:space="preserve"> ADDIN ZOTERO_ITEM CSL_CITATION {"citationID":"OTXhaB1f","properties":{"formattedCitation":"(Australian Institute of Family Studies, 2024b)","plainCitation":"(Australian Institute of Family Studies, 2024b)","noteIndex":0},"citationItems":[{"id":4706,"uris":["http://zotero.org/groups/5691188/items/GXHGDCDA"],"itemData":{"id":4706,"type":"report","language":"en","publisher":"Commonwealth of Australia","source":"Zotero","title":"Family Relationships Services Program Review","author":[{"family":"Australian Institute of Family Studies","given":""}],"issued":{"date-parts":[["2024"]]}}}],"schema":"https://github.com/citation-style-language/schema/raw/master/csl-citation.json"} </w:instrText>
                  </w:r>
                  <w:r w:rsidRPr="00126199">
                    <w:rPr>
                      <w:lang w:val="en-AU"/>
                    </w:rPr>
                    <w:fldChar w:fldCharType="separate"/>
                  </w:r>
                  <w:r w:rsidR="00AC138C" w:rsidRPr="00AC138C">
                    <w:rPr>
                      <w:rFonts w:ascii="Arial" w:hAnsi="Arial" w:cs="Arial"/>
                    </w:rPr>
                    <w:t>(Australian Institute of Family Studies, 2024b)</w:t>
                  </w:r>
                  <w:r w:rsidRPr="00126199">
                    <w:fldChar w:fldCharType="end"/>
                  </w:r>
                  <w:r w:rsidR="0028641A">
                    <w:t>,</w:t>
                  </w:r>
                  <w:r w:rsidR="00752DD7">
                    <w:rPr>
                      <w:lang w:val="en-AU"/>
                    </w:rPr>
                    <w:t xml:space="preserve"> including </w:t>
                  </w:r>
                  <w:r w:rsidRPr="00126199">
                    <w:rPr>
                      <w:lang w:val="en-AU"/>
                    </w:rPr>
                    <w:t xml:space="preserve">similarities in the providers funded to provide services under the programs, the population served, and the services delivered under the programs. </w:t>
                  </w:r>
                  <w:r w:rsidR="00BA27BC" w:rsidRPr="00BA27BC">
                    <w:rPr>
                      <w:lang w:val="en-AU"/>
                    </w:rPr>
                    <w:t>There are multiple providers deliver</w:t>
                  </w:r>
                  <w:r w:rsidR="0053491D">
                    <w:rPr>
                      <w:lang w:val="en-AU"/>
                    </w:rPr>
                    <w:t>ing</w:t>
                  </w:r>
                  <w:r w:rsidR="00BA27BC" w:rsidRPr="00BA27BC">
                    <w:rPr>
                      <w:lang w:val="en-AU"/>
                    </w:rPr>
                    <w:t xml:space="preserve"> both FRSP and FaRS and SVFS services. Relationships Australia is a principal provider under all programs </w:t>
                  </w:r>
                  <w:r w:rsidR="00BA27BC" w:rsidRPr="00BA27BC">
                    <w:rPr>
                      <w:lang w:val="en-AU"/>
                    </w:rPr>
                    <w:fldChar w:fldCharType="begin"/>
                  </w:r>
                  <w:r w:rsidR="00E41D03">
                    <w:rPr>
                      <w:lang w:val="en-AU"/>
                    </w:rPr>
                    <w:instrText xml:space="preserve"> ADDIN ZOTERO_ITEM CSL_CITATION {"citationID":"gGwNTT5W","properties":{"formattedCitation":"(Australian Institute of Family Studies, 2024b)","plainCitation":"(Australian Institute of Family Studies, 2024b)","noteIndex":0},"citationItems":[{"id":4706,"uris":["http://zotero.org/groups/5691188/items/GXHGDCDA"],"itemData":{"id":4706,"type":"report","language":"en","publisher":"Commonwealth of Australia","source":"Zotero","title":"Family Relationships Services Program Review","author":[{"family":"Australian Institute of Family Studies","given":""}],"issued":{"date-parts":[["2024"]]}}}],"schema":"https://github.com/citation-style-language/schema/raw/master/csl-citation.json"} </w:instrText>
                  </w:r>
                  <w:r w:rsidR="00BA27BC" w:rsidRPr="00BA27BC">
                    <w:rPr>
                      <w:lang w:val="en-AU"/>
                    </w:rPr>
                    <w:fldChar w:fldCharType="separate"/>
                  </w:r>
                  <w:r w:rsidR="00AC138C" w:rsidRPr="00AC138C">
                    <w:rPr>
                      <w:rFonts w:ascii="Arial" w:hAnsi="Arial" w:cs="Arial"/>
                    </w:rPr>
                    <w:t>(Australian Institute of Family Studies, 2024b)</w:t>
                  </w:r>
                  <w:r w:rsidR="00BA27BC" w:rsidRPr="00BA27BC">
                    <w:rPr>
                      <w:lang w:val="en-AU"/>
                    </w:rPr>
                    <w:fldChar w:fldCharType="end"/>
                  </w:r>
                  <w:r w:rsidR="00A2720A">
                    <w:rPr>
                      <w:lang w:val="en-AU"/>
                    </w:rPr>
                    <w:t xml:space="preserve"> and</w:t>
                  </w:r>
                  <w:r w:rsidR="00BA27BC" w:rsidRPr="00BA27BC">
                    <w:rPr>
                      <w:lang w:val="en-AU"/>
                    </w:rPr>
                    <w:t xml:space="preserve"> the FRSP, and FaRS and SFVS are </w:t>
                  </w:r>
                  <w:r w:rsidR="00A2720A">
                    <w:rPr>
                      <w:lang w:val="en-AU"/>
                    </w:rPr>
                    <w:t xml:space="preserve">also </w:t>
                  </w:r>
                  <w:r w:rsidR="00BA27BC" w:rsidRPr="00BA27BC">
                    <w:rPr>
                      <w:lang w:val="en-AU"/>
                    </w:rPr>
                    <w:t xml:space="preserve">delivered by a range of Christian faith-based organisations, </w:t>
                  </w:r>
                  <w:r w:rsidR="00A2720A">
                    <w:rPr>
                      <w:lang w:val="en-AU"/>
                    </w:rPr>
                    <w:t xml:space="preserve">Aboriginal </w:t>
                  </w:r>
                  <w:r w:rsidR="00D83B4E">
                    <w:rPr>
                      <w:lang w:val="en-AU"/>
                    </w:rPr>
                    <w:t>and Torres Strait Islander Community</w:t>
                  </w:r>
                  <w:r w:rsidR="00A2720A">
                    <w:rPr>
                      <w:lang w:val="en-AU"/>
                    </w:rPr>
                    <w:t xml:space="preserve"> Controlled Organisations </w:t>
                  </w:r>
                  <w:r w:rsidR="00D83B4E">
                    <w:rPr>
                      <w:lang w:val="en-AU"/>
                    </w:rPr>
                    <w:t>(ACCO)</w:t>
                  </w:r>
                  <w:r w:rsidR="00A2720A">
                    <w:rPr>
                      <w:lang w:val="en-AU"/>
                    </w:rPr>
                    <w:t xml:space="preserve"> </w:t>
                  </w:r>
                  <w:r w:rsidR="00BA27BC" w:rsidRPr="00BA27BC">
                    <w:rPr>
                      <w:lang w:val="en-AU"/>
                    </w:rPr>
                    <w:t>and other community based non-government organisations</w:t>
                  </w:r>
                  <w:r w:rsidR="00100400">
                    <w:rPr>
                      <w:lang w:val="en-AU"/>
                    </w:rPr>
                    <w:t xml:space="preserve"> (NGO)</w:t>
                  </w:r>
                  <w:r w:rsidR="00BA27BC" w:rsidRPr="00BA27BC">
                    <w:rPr>
                      <w:lang w:val="en-AU"/>
                    </w:rPr>
                    <w:t xml:space="preserve">. </w:t>
                  </w:r>
                </w:p>
                <w:p w14:paraId="2DF5BD02" w14:textId="556FACD0" w:rsidR="00AA18D4" w:rsidRPr="00BB6D60" w:rsidRDefault="00CB5BA0" w:rsidP="000436E7">
                  <w:pPr>
                    <w:pStyle w:val="Text"/>
                    <w:rPr>
                      <w:lang w:val="en-US"/>
                    </w:rPr>
                  </w:pPr>
                  <w:bookmarkStart w:id="53" w:name="_Ref204870145"/>
                  <w:r>
                    <w:rPr>
                      <w:lang w:val="en-AU"/>
                    </w:rPr>
                    <w:t xml:space="preserve">FaRS and SFVS </w:t>
                  </w:r>
                  <w:r w:rsidRPr="00BB6D60">
                    <w:rPr>
                      <w:lang w:val="en-AU"/>
                    </w:rPr>
                    <w:t>focus on families and couples experiencing risk or harms associated with social issues</w:t>
                  </w:r>
                  <w:r>
                    <w:rPr>
                      <w:lang w:val="en-AU"/>
                    </w:rPr>
                    <w:t>, including separating families</w:t>
                  </w:r>
                  <w:r w:rsidRPr="00BB6D60">
                    <w:rPr>
                      <w:lang w:val="en-AU"/>
                    </w:rPr>
                    <w:t>.</w:t>
                  </w:r>
                  <w:r>
                    <w:rPr>
                      <w:lang w:val="en-AU"/>
                    </w:rPr>
                    <w:t xml:space="preserve"> </w:t>
                  </w:r>
                  <w:r w:rsidR="0040766B">
                    <w:rPr>
                      <w:lang w:val="en-AU"/>
                    </w:rPr>
                    <w:t>FRSP focuses on supporting</w:t>
                  </w:r>
                  <w:r w:rsidR="00BB6D60" w:rsidRPr="00BB6D60">
                    <w:rPr>
                      <w:lang w:val="en-AU"/>
                    </w:rPr>
                    <w:t xml:space="preserve"> families </w:t>
                  </w:r>
                  <w:r w:rsidR="007D2F2E">
                    <w:rPr>
                      <w:lang w:val="en-AU"/>
                    </w:rPr>
                    <w:t>to</w:t>
                  </w:r>
                  <w:r w:rsidR="00BB6D60" w:rsidRPr="00BB6D60">
                    <w:rPr>
                      <w:lang w:val="en-AU"/>
                    </w:rPr>
                    <w:t xml:space="preserve"> resolve interpersonal disputes on parenting and property, with a greater focus on dispute resolution, family law and legal frameworks </w:t>
                  </w:r>
                  <w:r w:rsidR="00BB6D60" w:rsidRPr="00BB6D60">
                    <w:rPr>
                      <w:lang w:val="en-US"/>
                    </w:rPr>
                    <w:fldChar w:fldCharType="begin"/>
                  </w:r>
                  <w:r w:rsidR="00E41D03">
                    <w:rPr>
                      <w:lang w:val="en-US"/>
                    </w:rPr>
                    <w:instrText xml:space="preserve"> ADDIN ZOTERO_ITEM CSL_CITATION {"citationID":"w3HmHNmY","properties":{"formattedCitation":"(Colmar Brunton Social Research, 2004)","plainCitation":"(Colmar Brunton Social Research, 2004)","noteIndex":0},"citationItems":[{"id":4708,"uris":["http://zotero.org/groups/5691188/items/HN5V5J3R"],"itemData":{"id":4708,"type":"report","publisher":"Department of Family and Community Services &amp; Attorney-General's Department","title":"Family Relationship Services Program - Client Input Consultancy","author":[{"family":"Colmar Brunton Social Research","given":""}],"issued":{"date-parts":[["2004"]]}}}],"schema":"https://github.com/citation-style-language/schema/raw/master/csl-citation.json"} </w:instrText>
                  </w:r>
                  <w:r w:rsidR="00BB6D60" w:rsidRPr="00BB6D60">
                    <w:rPr>
                      <w:lang w:val="en-US"/>
                    </w:rPr>
                    <w:fldChar w:fldCharType="separate"/>
                  </w:r>
                  <w:r w:rsidR="00BB6D60" w:rsidRPr="00BB6D60">
                    <w:rPr>
                      <w:lang w:val="en-AU"/>
                    </w:rPr>
                    <w:t>(Colmar Brunton Social Research, 2004)</w:t>
                  </w:r>
                  <w:r w:rsidR="00BB6D60" w:rsidRPr="00BB6D60">
                    <w:rPr>
                      <w:lang w:val="en-AU"/>
                    </w:rPr>
                    <w:fldChar w:fldCharType="end"/>
                  </w:r>
                  <w:r w:rsidR="00BB6D60" w:rsidRPr="00BB6D60">
                    <w:rPr>
                      <w:lang w:val="en-AU"/>
                    </w:rPr>
                    <w:t xml:space="preserve">. </w:t>
                  </w:r>
                  <w:r w:rsidR="0053491D" w:rsidRPr="00B2602D">
                    <w:rPr>
                      <w:lang w:val="en-AU"/>
                    </w:rPr>
                    <w:t xml:space="preserve">Both </w:t>
                  </w:r>
                  <w:r w:rsidR="0053491D">
                    <w:rPr>
                      <w:lang w:val="en-AU"/>
                    </w:rPr>
                    <w:t>FaRS and SFVS and FRSP</w:t>
                  </w:r>
                  <w:r w:rsidR="0053491D" w:rsidRPr="00B2602D">
                    <w:rPr>
                      <w:lang w:val="en-AU"/>
                    </w:rPr>
                    <w:t xml:space="preserve"> provide intake screening and assessment, referral to other services, counselling services and education. </w:t>
                  </w:r>
                  <w:r w:rsidR="00BB6D60" w:rsidRPr="00BB6D60">
                    <w:rPr>
                      <w:lang w:val="en-AU"/>
                    </w:rPr>
                    <w:t xml:space="preserve">Where relevant, </w:t>
                  </w:r>
                  <w:r w:rsidR="00E614D3">
                    <w:rPr>
                      <w:lang w:val="en-AU"/>
                    </w:rPr>
                    <w:t xml:space="preserve">service </w:t>
                  </w:r>
                  <w:r w:rsidR="00C731B2">
                    <w:rPr>
                      <w:lang w:val="en-AU"/>
                    </w:rPr>
                    <w:t>users</w:t>
                  </w:r>
                  <w:r w:rsidR="00BB6D60" w:rsidRPr="00BB6D60">
                    <w:rPr>
                      <w:lang w:val="en-AU"/>
                    </w:rPr>
                    <w:t xml:space="preserve"> of FaRS and SFVS are referred to services delivered under FRSP and vice versa</w:t>
                  </w:r>
                  <w:r w:rsidR="00D94C08">
                    <w:rPr>
                      <w:lang w:val="en-AU"/>
                    </w:rPr>
                    <w:t>.</w:t>
                  </w:r>
                  <w:r w:rsidR="007D2F2E">
                    <w:rPr>
                      <w:lang w:val="en-AU"/>
                    </w:rPr>
                    <w:t xml:space="preserve"> </w:t>
                  </w:r>
                  <w:r w:rsidR="00D94C08">
                    <w:rPr>
                      <w:lang w:val="en-AU"/>
                    </w:rPr>
                    <w:t>H</w:t>
                  </w:r>
                  <w:r w:rsidR="007D2F2E">
                    <w:rPr>
                      <w:lang w:val="en-AU"/>
                    </w:rPr>
                    <w:t>owever</w:t>
                  </w:r>
                  <w:r w:rsidR="00D94C08">
                    <w:rPr>
                      <w:lang w:val="en-AU"/>
                    </w:rPr>
                    <w:t>,</w:t>
                  </w:r>
                  <w:r w:rsidR="007D2F2E">
                    <w:rPr>
                      <w:lang w:val="en-AU"/>
                    </w:rPr>
                    <w:t xml:space="preserve"> the programs are now distinct.</w:t>
                  </w:r>
                  <w:r w:rsidR="00B2602D" w:rsidRPr="00B2602D">
                    <w:rPr>
                      <w:lang w:val="en-AU"/>
                    </w:rPr>
                    <w:t xml:space="preserve"> Both </w:t>
                  </w:r>
                  <w:r w:rsidR="003F0236">
                    <w:rPr>
                      <w:lang w:val="en-AU"/>
                    </w:rPr>
                    <w:t>FaRS</w:t>
                  </w:r>
                  <w:r w:rsidR="002735BC">
                    <w:rPr>
                      <w:lang w:val="en-AU"/>
                    </w:rPr>
                    <w:t xml:space="preserve"> and</w:t>
                  </w:r>
                  <w:r w:rsidR="003F0236">
                    <w:rPr>
                      <w:lang w:val="en-AU"/>
                    </w:rPr>
                    <w:t xml:space="preserve"> SFVS and FRSP</w:t>
                  </w:r>
                  <w:r w:rsidR="00B2602D" w:rsidRPr="00B2602D">
                    <w:rPr>
                      <w:lang w:val="en-AU"/>
                    </w:rPr>
                    <w:t xml:space="preserve"> provide intake screening and assessment, referral to other services, counselling services and education.</w:t>
                  </w:r>
                  <w:bookmarkEnd w:id="53"/>
                  <w:r w:rsidR="00B2602D" w:rsidRPr="00B2602D">
                    <w:rPr>
                      <w:lang w:val="en-AU"/>
                    </w:rPr>
                    <w:t xml:space="preserve"> </w:t>
                  </w:r>
                </w:p>
                <w:p w14:paraId="2870376F" w14:textId="77777777" w:rsidR="00AF1559" w:rsidRDefault="00AF1559">
                  <w:pPr>
                    <w:rPr>
                      <w:rFonts w:ascii="Arial" w:hAnsi="Arial"/>
                      <w:b/>
                      <w:bCs/>
                      <w:color w:val="007E00" w:themeColor="accent3"/>
                      <w:sz w:val="36"/>
                      <w:szCs w:val="36"/>
                    </w:rPr>
                  </w:pPr>
                  <w:bookmarkStart w:id="54" w:name="_Ref204852259"/>
                  <w:bookmarkStart w:id="55" w:name="_Toc204856718"/>
                  <w:r>
                    <w:br w:type="page"/>
                  </w:r>
                </w:p>
                <w:p w14:paraId="63045110" w14:textId="47191610" w:rsidR="00E437A0" w:rsidRPr="00AC604A" w:rsidRDefault="00E437A0" w:rsidP="002E7436">
                  <w:pPr>
                    <w:pStyle w:val="Heading2"/>
                  </w:pPr>
                  <w:bookmarkStart w:id="56" w:name="_Toc208906829"/>
                  <w:r w:rsidRPr="004A3526">
                    <w:lastRenderedPageBreak/>
                    <w:t xml:space="preserve">Overview of the </w:t>
                  </w:r>
                  <w:r>
                    <w:t>FaRS</w:t>
                  </w:r>
                  <w:r w:rsidRPr="004A3526">
                    <w:t xml:space="preserve"> Program and its objectives</w:t>
                  </w:r>
                  <w:bookmarkEnd w:id="54"/>
                  <w:bookmarkEnd w:id="55"/>
                  <w:bookmarkEnd w:id="56"/>
                </w:p>
                <w:p w14:paraId="6F942655" w14:textId="5C62F7CA" w:rsidR="0014482E" w:rsidRDefault="00C61A73" w:rsidP="000436E7">
                  <w:pPr>
                    <w:pStyle w:val="Text"/>
                    <w:rPr>
                      <w:lang w:val="en-AU"/>
                    </w:rPr>
                  </w:pPr>
                  <w:bookmarkStart w:id="57" w:name="_Hlk204685343"/>
                  <w:r>
                    <w:rPr>
                      <w:lang w:val="en-AU"/>
                    </w:rPr>
                    <w:t xml:space="preserve">The focus of FaRS is </w:t>
                  </w:r>
                  <w:r w:rsidR="00A13D32">
                    <w:rPr>
                      <w:lang w:val="en-AU"/>
                    </w:rPr>
                    <w:t>on</w:t>
                  </w:r>
                  <w:r w:rsidR="00981F7D">
                    <w:rPr>
                      <w:lang w:val="en-AU"/>
                    </w:rPr>
                    <w:t xml:space="preserve"> </w:t>
                  </w:r>
                  <w:r w:rsidR="009A0CD7">
                    <w:rPr>
                      <w:lang w:val="en-AU"/>
                    </w:rPr>
                    <w:t>provid</w:t>
                  </w:r>
                  <w:r w:rsidR="00A13D32">
                    <w:rPr>
                      <w:lang w:val="en-AU"/>
                    </w:rPr>
                    <w:t>ing</w:t>
                  </w:r>
                  <w:r w:rsidR="009A0CD7">
                    <w:rPr>
                      <w:lang w:val="en-AU"/>
                    </w:rPr>
                    <w:t xml:space="preserve"> early intervention and prevention activities targeted at </w:t>
                  </w:r>
                  <w:r w:rsidR="00376445" w:rsidRPr="00376445">
                    <w:rPr>
                      <w:lang w:val="en-AU"/>
                    </w:rPr>
                    <w:t>supporting families during significant life changes such as formation, extension, or separation, with an emphasis on at-risk families and those facing disadvantage or experiencing vulnerability</w:t>
                  </w:r>
                  <w:r w:rsidR="00AE0D2E">
                    <w:rPr>
                      <w:lang w:val="en-AU"/>
                    </w:rPr>
                    <w:t xml:space="preserve"> </w:t>
                  </w:r>
                  <w:r w:rsidR="008A2877">
                    <w:rPr>
                      <w:lang w:val="en-AU"/>
                    </w:rPr>
                    <w:fldChar w:fldCharType="begin"/>
                  </w:r>
                  <w:r w:rsidR="00E41D03">
                    <w:rPr>
                      <w:lang w:val="en-AU"/>
                    </w:rPr>
                    <w:instrText xml:space="preserve"> ADDIN ZOTERO_ITEM CSL_CITATION {"citationID":"7aIypeWb","properties":{"formattedCitation":"(Department of Social Services, 2021a)","plainCitation":"(Department of Social Services, 2021a)","noteIndex":0},"citationItems":[{"id":4671,"uris":["http://zotero.org/groups/5691188/items/8PWCMD8P"],"itemData":{"id":4671,"type":"document","title":"Family and Relationship Services Operational Guidelines","author":[{"family":"Department of Social Services","given":""}],"issued":{"date-parts":[["2021",7,1]]}}}],"schema":"https://github.com/citation-style-language/schema/raw/master/csl-citation.json"} </w:instrText>
                  </w:r>
                  <w:r w:rsidR="008A2877">
                    <w:rPr>
                      <w:lang w:val="en-AU"/>
                    </w:rPr>
                    <w:fldChar w:fldCharType="separate"/>
                  </w:r>
                  <w:r w:rsidR="00746EB1" w:rsidRPr="00746EB1">
                    <w:rPr>
                      <w:rFonts w:ascii="Arial" w:hAnsi="Arial" w:cs="Arial"/>
                    </w:rPr>
                    <w:t>(Department of Social Services, 2021a)</w:t>
                  </w:r>
                  <w:r w:rsidR="008A2877">
                    <w:rPr>
                      <w:lang w:val="en-AU"/>
                    </w:rPr>
                    <w:fldChar w:fldCharType="end"/>
                  </w:r>
                  <w:r w:rsidR="00BD0A60">
                    <w:rPr>
                      <w:lang w:val="en-AU"/>
                    </w:rPr>
                    <w:t>.</w:t>
                  </w:r>
                  <w:r w:rsidR="00477013">
                    <w:rPr>
                      <w:lang w:val="en-AU"/>
                    </w:rPr>
                    <w:t xml:space="preserve"> </w:t>
                  </w:r>
                  <w:bookmarkEnd w:id="57"/>
                  <w:r w:rsidR="00784AFC">
                    <w:rPr>
                      <w:lang w:val="en-AU"/>
                    </w:rPr>
                    <w:t xml:space="preserve">The long-term aims of FaRS are </w:t>
                  </w:r>
                  <w:r w:rsidR="0014482E">
                    <w:rPr>
                      <w:lang w:val="en-AU"/>
                    </w:rPr>
                    <w:t>for families and children to experience:</w:t>
                  </w:r>
                </w:p>
                <w:p w14:paraId="3184D799" w14:textId="55E52192" w:rsidR="0014482E" w:rsidRDefault="00154B65" w:rsidP="00154B65">
                  <w:pPr>
                    <w:pStyle w:val="Bullet1"/>
                    <w:rPr>
                      <w:lang w:val="en-AU"/>
                    </w:rPr>
                  </w:pPr>
                  <w:r>
                    <w:rPr>
                      <w:lang w:val="en-AU"/>
                    </w:rPr>
                    <w:t>i</w:t>
                  </w:r>
                  <w:r w:rsidR="0014482E">
                    <w:rPr>
                      <w:lang w:val="en-AU"/>
                    </w:rPr>
                    <w:t>mproved family safety and security</w:t>
                  </w:r>
                  <w:r w:rsidR="00B56F1A">
                    <w:rPr>
                      <w:lang w:val="en-AU"/>
                    </w:rPr>
                    <w:t>,</w:t>
                  </w:r>
                </w:p>
                <w:p w14:paraId="0EC17E90" w14:textId="00371525" w:rsidR="0014482E" w:rsidRDefault="00154B65" w:rsidP="00154B65">
                  <w:pPr>
                    <w:pStyle w:val="Bullet1"/>
                    <w:rPr>
                      <w:lang w:val="en-AU"/>
                    </w:rPr>
                  </w:pPr>
                  <w:r>
                    <w:rPr>
                      <w:lang w:val="en-AU"/>
                    </w:rPr>
                    <w:t>f</w:t>
                  </w:r>
                  <w:r w:rsidR="0014482E">
                    <w:rPr>
                      <w:lang w:val="en-AU"/>
                    </w:rPr>
                    <w:t xml:space="preserve">amily functioning including modelling healthy respectful relationships </w:t>
                  </w:r>
                  <w:r w:rsidR="009D75D9">
                    <w:rPr>
                      <w:lang w:val="en-AU"/>
                    </w:rPr>
                    <w:t>and positive parenting practices</w:t>
                  </w:r>
                  <w:r w:rsidR="00B56F1A">
                    <w:rPr>
                      <w:lang w:val="en-AU"/>
                    </w:rPr>
                    <w:t xml:space="preserve">, and </w:t>
                  </w:r>
                </w:p>
                <w:p w14:paraId="463285B4" w14:textId="271B5E8F" w:rsidR="009D75D9" w:rsidRDefault="00154B65" w:rsidP="00154B65">
                  <w:pPr>
                    <w:pStyle w:val="Bullet1"/>
                    <w:rPr>
                      <w:lang w:val="en-AU"/>
                    </w:rPr>
                  </w:pPr>
                  <w:r>
                    <w:rPr>
                      <w:lang w:val="en-AU"/>
                    </w:rPr>
                    <w:t>i</w:t>
                  </w:r>
                  <w:r w:rsidR="009D75D9">
                    <w:rPr>
                      <w:lang w:val="en-AU"/>
                    </w:rPr>
                    <w:t xml:space="preserve">mproved wellbeing and resilience during family transitions. </w:t>
                  </w:r>
                </w:p>
                <w:p w14:paraId="110F90DA" w14:textId="0BBF81F5" w:rsidR="004A3526" w:rsidRDefault="000F083B" w:rsidP="000436E7">
                  <w:pPr>
                    <w:pStyle w:val="Text"/>
                    <w:rPr>
                      <w:lang w:val="en-AU"/>
                    </w:rPr>
                  </w:pPr>
                  <w:r>
                    <w:rPr>
                      <w:lang w:val="en-AU"/>
                    </w:rPr>
                    <w:t>Services</w:t>
                  </w:r>
                  <w:r w:rsidR="00F378A5">
                    <w:rPr>
                      <w:lang w:val="en-AU"/>
                    </w:rPr>
                    <w:t xml:space="preserve"> provided through FaRS</w:t>
                  </w:r>
                  <w:r>
                    <w:rPr>
                      <w:lang w:val="en-AU"/>
                    </w:rPr>
                    <w:t xml:space="preserve"> include</w:t>
                  </w:r>
                  <w:r w:rsidR="00F378A5">
                    <w:rPr>
                      <w:lang w:val="en-AU"/>
                    </w:rPr>
                    <w:t xml:space="preserve"> information and referrals, support, education and skills training, counselling, outreach and community capability building and development. </w:t>
                  </w:r>
                  <w:r w:rsidR="005F5DF6">
                    <w:t>FaRS also funds MensLine Australia Services – a national telephone and online support, information and referral service for men with emotional health and relationship concerns.</w:t>
                  </w:r>
                </w:p>
                <w:p w14:paraId="5BFDCB45" w14:textId="3254CA30" w:rsidR="00ED719F" w:rsidRDefault="00C21834" w:rsidP="00757200">
                  <w:pPr>
                    <w:pStyle w:val="Text"/>
                  </w:pPr>
                  <w:r>
                    <w:t>FaRS</w:t>
                  </w:r>
                  <w:r w:rsidR="00EF5911">
                    <w:t>-</w:t>
                  </w:r>
                  <w:r>
                    <w:t>funded service providers have significant latitude in what services they spend their funding on</w:t>
                  </w:r>
                  <w:r w:rsidR="00EF5911">
                    <w:t>,</w:t>
                  </w:r>
                  <w:r w:rsidR="00AE6973">
                    <w:t xml:space="preserve"> with </w:t>
                  </w:r>
                  <w:r w:rsidR="00363860">
                    <w:t>A</w:t>
                  </w:r>
                  <w:r w:rsidR="00AE6973">
                    <w:t xml:space="preserve">ctivity </w:t>
                  </w:r>
                  <w:r w:rsidR="00363860">
                    <w:t>W</w:t>
                  </w:r>
                  <w:r w:rsidR="00AE6973">
                    <w:t xml:space="preserve">ork </w:t>
                  </w:r>
                  <w:r w:rsidR="00363860">
                    <w:t>P</w:t>
                  </w:r>
                  <w:r w:rsidR="00AE6973">
                    <w:t xml:space="preserve">lans (AWP) and associated key performance indicators </w:t>
                  </w:r>
                  <w:r>
                    <w:t>agree</w:t>
                  </w:r>
                  <w:r w:rsidR="00AE6973">
                    <w:t xml:space="preserve">d </w:t>
                  </w:r>
                  <w:r w:rsidR="00EE4DBB">
                    <w:t xml:space="preserve">with the </w:t>
                  </w:r>
                  <w:r w:rsidR="00AE6973">
                    <w:t>Department as part of five</w:t>
                  </w:r>
                  <w:r w:rsidR="00C731B2">
                    <w:t>-year</w:t>
                  </w:r>
                  <w:r w:rsidR="00AE6973">
                    <w:t xml:space="preserve"> funding cycles.</w:t>
                  </w:r>
                  <w:r>
                    <w:t xml:space="preserve"> </w:t>
                  </w:r>
                  <w:r w:rsidR="00B92CA6">
                    <w:t>Operational Guidelines published by the Department assist FaRS providers to work in a nationally consistent</w:t>
                  </w:r>
                  <w:r w:rsidR="00017C94">
                    <w:t xml:space="preserve"> way</w:t>
                  </w:r>
                  <w:r w:rsidR="006E206F">
                    <w:t xml:space="preserve"> </w:t>
                  </w:r>
                  <w:r w:rsidR="00E82715" w:rsidRPr="00E82715">
                    <w:fldChar w:fldCharType="begin"/>
                  </w:r>
                  <w:r w:rsidR="003A464F">
                    <w:instrText xml:space="preserve"> ADDIN ZOTERO_ITEM CSL_CITATION {"citationID":"aajisno6m","properties":{"formattedCitation":"(Department of Social Services, 2021a)","plainCitation":"(Department of Social Services, 2021a)","noteIndex":0},"citationItems":[{"id":4671,"uris":["http://zotero.org/groups/5691188/items/8PWCMD8P"],"itemData":{"id":4671,"type":"document","title":"Family and Relationship Services Operational Guidelines","author":[{"family":"Department of Social Services","given":""}],"issued":{"date-parts":[["2021",7,1]]}}}],"schema":"https://github.com/citation-style-language/schema/raw/master/csl-citation.json"} </w:instrText>
                  </w:r>
                  <w:r w:rsidR="00E82715" w:rsidRPr="00E82715">
                    <w:fldChar w:fldCharType="separate"/>
                  </w:r>
                  <w:r w:rsidR="003A464F" w:rsidRPr="003A464F">
                    <w:rPr>
                      <w:rFonts w:ascii="Arial" w:hAnsi="Arial" w:cs="Arial"/>
                    </w:rPr>
                    <w:t>(Department of Social Services, 2021a)</w:t>
                  </w:r>
                  <w:r w:rsidR="00E82715" w:rsidRPr="00E82715">
                    <w:fldChar w:fldCharType="end"/>
                  </w:r>
                  <w:r w:rsidR="00017C94" w:rsidRPr="00E82715">
                    <w:t>.</w:t>
                  </w:r>
                </w:p>
                <w:p w14:paraId="1A95A6FF" w14:textId="536FA7A2" w:rsidR="00B11F8A" w:rsidRDefault="00B76DC0" w:rsidP="00757200">
                  <w:pPr>
                    <w:pStyle w:val="Text"/>
                  </w:pPr>
                  <w:r>
                    <w:t>FaRS is a universal service for at-risk families</w:t>
                  </w:r>
                  <w:r w:rsidR="00A76CC1">
                    <w:t>, including families at risk of breakdown, families with children at risk of abuse or neglect, and families experiencing disadvantage or vulnerability</w:t>
                  </w:r>
                  <w:r w:rsidR="0063376E">
                    <w:t xml:space="preserve">. </w:t>
                  </w:r>
                  <w:r w:rsidR="00B11F8A">
                    <w:t xml:space="preserve">Priority cohorts </w:t>
                  </w:r>
                  <w:r w:rsidR="00272F08">
                    <w:t xml:space="preserve">for FaRS services </w:t>
                  </w:r>
                  <w:r w:rsidR="0062503E">
                    <w:t>are</w:t>
                  </w:r>
                  <w:r w:rsidR="00B11F8A">
                    <w:t xml:space="preserve">: </w:t>
                  </w:r>
                </w:p>
                <w:p w14:paraId="17ED9F13" w14:textId="1300C608" w:rsidR="00B11F8A" w:rsidRDefault="00991C54" w:rsidP="00B11F8A">
                  <w:pPr>
                    <w:pStyle w:val="Bullet1"/>
                  </w:pPr>
                  <w:r>
                    <w:t>couples forming long-term relationships</w:t>
                  </w:r>
                  <w:r w:rsidR="00230149">
                    <w:t>,</w:t>
                  </w:r>
                  <w:r>
                    <w:t xml:space="preserve"> </w:t>
                  </w:r>
                </w:p>
                <w:p w14:paraId="207F64E7" w14:textId="1FB9EB16" w:rsidR="00991C54" w:rsidRDefault="00991C54" w:rsidP="00B11F8A">
                  <w:pPr>
                    <w:pStyle w:val="Bullet1"/>
                  </w:pPr>
                  <w:r>
                    <w:t>families</w:t>
                  </w:r>
                  <w:r w:rsidR="00E144FC">
                    <w:t xml:space="preserve"> at risk of breakdown or</w:t>
                  </w:r>
                  <w:r>
                    <w:t xml:space="preserve"> experiencing relationship issues</w:t>
                  </w:r>
                  <w:r w:rsidR="00230149">
                    <w:t>,</w:t>
                  </w:r>
                  <w:r>
                    <w:t xml:space="preserve"> </w:t>
                  </w:r>
                </w:p>
                <w:p w14:paraId="49E3DA41" w14:textId="2ED3DEF4" w:rsidR="00991C54" w:rsidRDefault="00991C54" w:rsidP="00991C54">
                  <w:pPr>
                    <w:pStyle w:val="Bullet1"/>
                  </w:pPr>
                  <w:r>
                    <w:t>families with children at risk of experiencing abuse of neglect</w:t>
                  </w:r>
                  <w:r w:rsidR="00230149">
                    <w:t>,</w:t>
                  </w:r>
                  <w:r>
                    <w:t xml:space="preserve"> </w:t>
                  </w:r>
                </w:p>
                <w:p w14:paraId="251E70A4" w14:textId="2ED23C94" w:rsidR="00991C54" w:rsidRDefault="00991C54" w:rsidP="00991C54">
                  <w:pPr>
                    <w:pStyle w:val="Bullet1"/>
                  </w:pPr>
                  <w:r>
                    <w:t>families experiencing disadvantage or vulnerability</w:t>
                  </w:r>
                  <w:r w:rsidR="00230149">
                    <w:t xml:space="preserve">, and </w:t>
                  </w:r>
                </w:p>
                <w:p w14:paraId="527CBD38" w14:textId="2B00EF1F" w:rsidR="00991C54" w:rsidRDefault="00991C54" w:rsidP="00991C54">
                  <w:pPr>
                    <w:pStyle w:val="Bullet1"/>
                  </w:pPr>
                  <w:r>
                    <w:t xml:space="preserve">individuals, couples, children, and families who are experiencing or at risk of </w:t>
                  </w:r>
                  <w:r w:rsidR="00A57916">
                    <w:t xml:space="preserve">family violence. </w:t>
                  </w:r>
                </w:p>
                <w:p w14:paraId="58887F85" w14:textId="4CE94262" w:rsidR="00CE29E6" w:rsidRDefault="001E359B" w:rsidP="00060AFD">
                  <w:pPr>
                    <w:pStyle w:val="Bullet1"/>
                    <w:numPr>
                      <w:ilvl w:val="0"/>
                      <w:numId w:val="0"/>
                    </w:numPr>
                  </w:pPr>
                  <w:r>
                    <w:t xml:space="preserve">The Department’s Operational Guidelines </w:t>
                  </w:r>
                  <w:r w:rsidR="00275629">
                    <w:t>and</w:t>
                  </w:r>
                  <w:r>
                    <w:t xml:space="preserve"> Grant Agreements do not impose any limit on the number of sessions an individual service user may access under </w:t>
                  </w:r>
                  <w:r w:rsidR="00060AFD">
                    <w:t xml:space="preserve">FaRS. </w:t>
                  </w:r>
                  <w:r w:rsidR="004F257E">
                    <w:t>Service providers are responsible for ensuring service provision is effective, efficien</w:t>
                  </w:r>
                  <w:r w:rsidR="003F4D08">
                    <w:t>t</w:t>
                  </w:r>
                  <w:r w:rsidR="004F257E">
                    <w:t xml:space="preserve">, and appropriately targeted to meet responsibilities and accountabilities under state, territory, and Commonwealth legislation and regulations. </w:t>
                  </w:r>
                  <w:r w:rsidR="00B552CA">
                    <w:t xml:space="preserve">FaRS </w:t>
                  </w:r>
                  <w:r w:rsidR="004F257E">
                    <w:t xml:space="preserve">service providers have flexibility </w:t>
                  </w:r>
                  <w:r>
                    <w:t xml:space="preserve">in how they provide their </w:t>
                  </w:r>
                  <w:r w:rsidR="004F257E">
                    <w:t>service</w:t>
                  </w:r>
                  <w:r>
                    <w:t>s</w:t>
                  </w:r>
                  <w:r w:rsidR="004F257E">
                    <w:t xml:space="preserve">, including </w:t>
                  </w:r>
                  <w:r w:rsidR="00B552CA">
                    <w:t>managing</w:t>
                  </w:r>
                  <w:r w:rsidR="004F257E">
                    <w:t xml:space="preserve"> the number of sessions per </w:t>
                  </w:r>
                  <w:r w:rsidR="001D1403">
                    <w:t>service user</w:t>
                  </w:r>
                  <w:r w:rsidR="004F257E">
                    <w:t xml:space="preserve">. </w:t>
                  </w:r>
                  <w:r w:rsidR="00B22D7E">
                    <w:t>Service providers set targets for service user numbers and demographics in agreement with the Department as part of the development of AWPs. Adjustment</w:t>
                  </w:r>
                  <w:r w:rsidR="008519ED">
                    <w:t>s</w:t>
                  </w:r>
                  <w:r w:rsidR="00B22D7E">
                    <w:t xml:space="preserve"> to session duration and </w:t>
                  </w:r>
                  <w:r w:rsidR="00B9609E">
                    <w:t>amount</w:t>
                  </w:r>
                  <w:r>
                    <w:t>s</w:t>
                  </w:r>
                  <w:r w:rsidR="00B22D7E">
                    <w:t xml:space="preserve"> are determined internally to meet agreed goals and outcomes with an expectation to monitor and adjust services to meet the changing</w:t>
                  </w:r>
                  <w:r w:rsidR="00B552CA">
                    <w:t xml:space="preserve"> demands </w:t>
                  </w:r>
                  <w:r w:rsidR="00B552CA" w:rsidRPr="00B552CA">
                    <w:fldChar w:fldCharType="begin"/>
                  </w:r>
                  <w:r w:rsidR="00E41D03">
                    <w:instrText xml:space="preserve"> ADDIN ZOTERO_ITEM CSL_CITATION {"citationID":"a14omj5n7qq","properties":{"formattedCitation":"(Department of Social Services, 2021a)","plainCitation":"(Department of Social Services, 2021a)","noteIndex":0},"citationItems":[{"id":4671,"uris":["http://zotero.org/groups/5691188/items/8PWCMD8P"],"itemData":{"id":4671,"type":"document","title":"Family and Relationship Services Operational Guidelines","author":[{"family":"Department of Social Services","given":""}],"issued":{"date-parts":[["2021",7,1]]}}}],"schema":"https://github.com/citation-style-language/schema/raw/master/csl-citation.json"} </w:instrText>
                  </w:r>
                  <w:r w:rsidR="00B552CA" w:rsidRPr="00B552CA">
                    <w:fldChar w:fldCharType="separate"/>
                  </w:r>
                  <w:r w:rsidR="003C117F" w:rsidRPr="003C117F">
                    <w:rPr>
                      <w:rFonts w:ascii="Arial" w:hAnsi="Arial" w:cs="Arial"/>
                    </w:rPr>
                    <w:t>(Department of Social Services, 2021a)</w:t>
                  </w:r>
                  <w:r w:rsidR="00B552CA" w:rsidRPr="00B552CA">
                    <w:fldChar w:fldCharType="end"/>
                  </w:r>
                  <w:r w:rsidR="006712EE">
                    <w:t>.</w:t>
                  </w:r>
                </w:p>
                <w:p w14:paraId="0B4560F6" w14:textId="5DE7C650" w:rsidR="008B7518" w:rsidRDefault="008B7518" w:rsidP="008B7518">
                  <w:pPr>
                    <w:pStyle w:val="Bullet1"/>
                    <w:numPr>
                      <w:ilvl w:val="0"/>
                      <w:numId w:val="0"/>
                    </w:numPr>
                    <w:ind w:left="431" w:hanging="431"/>
                  </w:pPr>
                  <w:r>
                    <w:lastRenderedPageBreak/>
                    <w:t>FaRS performance measures, as outlined in draft grant agreement material, include:</w:t>
                  </w:r>
                </w:p>
                <w:p w14:paraId="3BEAFE37" w14:textId="0D008BD7" w:rsidR="008B7518" w:rsidRPr="008B7518" w:rsidRDefault="008B7518" w:rsidP="008B7518">
                  <w:pPr>
                    <w:pStyle w:val="Bullet1"/>
                  </w:pPr>
                  <w:r w:rsidRPr="008B7518">
                    <w:t xml:space="preserve">number of </w:t>
                  </w:r>
                  <w:r w:rsidR="00E614D3">
                    <w:t xml:space="preserve">service users </w:t>
                  </w:r>
                  <w:r w:rsidRPr="008B7518">
                    <w:t xml:space="preserve">assisted </w:t>
                  </w:r>
                </w:p>
                <w:p w14:paraId="41274F95" w14:textId="690160C3" w:rsidR="008B7518" w:rsidRPr="008B7518" w:rsidRDefault="008B7518" w:rsidP="008B7518">
                  <w:pPr>
                    <w:pStyle w:val="Bullet1"/>
                  </w:pPr>
                  <w:r w:rsidRPr="008B7518">
                    <w:t xml:space="preserve">number of events / service instances delivered </w:t>
                  </w:r>
                </w:p>
                <w:p w14:paraId="1C24EB89" w14:textId="74EA18BD" w:rsidR="008B7518" w:rsidRPr="008B7518" w:rsidRDefault="008B7518" w:rsidP="008B7518">
                  <w:pPr>
                    <w:pStyle w:val="Bullet1"/>
                  </w:pPr>
                  <w:r w:rsidRPr="008B7518">
                    <w:t xml:space="preserve">percentage of participants from priority target groups </w:t>
                  </w:r>
                </w:p>
                <w:p w14:paraId="4F6CA988" w14:textId="53C40D2F" w:rsidR="008B7518" w:rsidRPr="008B7518" w:rsidRDefault="008B7518" w:rsidP="008B7518">
                  <w:pPr>
                    <w:pStyle w:val="Bullet1"/>
                  </w:pPr>
                  <w:r w:rsidRPr="008B7518">
                    <w:t xml:space="preserve">percentage of </w:t>
                  </w:r>
                  <w:r w:rsidR="00E614D3">
                    <w:t>service users</w:t>
                  </w:r>
                  <w:r w:rsidRPr="008B7518">
                    <w:t xml:space="preserve"> achieving individual goals related to independence, participation, and well-being</w:t>
                  </w:r>
                </w:p>
                <w:p w14:paraId="16B09A2E" w14:textId="4E438EEA" w:rsidR="008B7518" w:rsidRPr="008B7518" w:rsidRDefault="008B7518" w:rsidP="008B7518">
                  <w:pPr>
                    <w:pStyle w:val="Bullet1"/>
                  </w:pPr>
                  <w:r w:rsidRPr="008B7518">
                    <w:t xml:space="preserve">percentage of </w:t>
                  </w:r>
                  <w:r w:rsidR="00E614D3">
                    <w:t>service users</w:t>
                  </w:r>
                  <w:r w:rsidRPr="008B7518">
                    <w:t xml:space="preserve"> achieving improved independence, participation, and well-being</w:t>
                  </w:r>
                  <w:r w:rsidR="00230149">
                    <w:t xml:space="preserve">, and </w:t>
                  </w:r>
                </w:p>
                <w:p w14:paraId="10178D0A" w14:textId="77777777" w:rsidR="008B7518" w:rsidRPr="008B7518" w:rsidRDefault="008B7518" w:rsidP="008B7518">
                  <w:pPr>
                    <w:pStyle w:val="Bullet1"/>
                  </w:pPr>
                  <w:r w:rsidRPr="008B7518">
                    <w:t xml:space="preserve">AWP activities completed according to scope, quality, timeframes, and budget. </w:t>
                  </w:r>
                </w:p>
                <w:p w14:paraId="15AF40AE" w14:textId="63EE27B7" w:rsidR="002013A0" w:rsidRPr="002D7568" w:rsidRDefault="008218EB" w:rsidP="002D7568">
                  <w:pPr>
                    <w:pStyle w:val="Text"/>
                  </w:pPr>
                  <w:r>
                    <w:t xml:space="preserve">As of July 2024, 81 organisations across Australia receive funding </w:t>
                  </w:r>
                  <w:r w:rsidR="0085720D">
                    <w:t xml:space="preserve">under </w:t>
                  </w:r>
                  <w:r>
                    <w:t xml:space="preserve">FaRS. In 2022-23, over 83,000 individual </w:t>
                  </w:r>
                  <w:r w:rsidR="00E614D3">
                    <w:t xml:space="preserve">service </w:t>
                  </w:r>
                  <w:r w:rsidR="00C731B2">
                    <w:t>users</w:t>
                  </w:r>
                  <w:r>
                    <w:t xml:space="preserve"> received a FaRS-funded service.</w:t>
                  </w:r>
                  <w:bookmarkStart w:id="58" w:name="_Ref203574924"/>
                </w:p>
                <w:p w14:paraId="45E66701" w14:textId="707C3380" w:rsidR="0005715D" w:rsidRDefault="00BF1E1C" w:rsidP="00C135F9">
                  <w:pPr>
                    <w:pStyle w:val="Text"/>
                  </w:pPr>
                  <w:r w:rsidRPr="000D7F2F">
                    <w:rPr>
                      <w:bCs/>
                    </w:rPr>
                    <w:fldChar w:fldCharType="begin" w:fldLock="1"/>
                  </w:r>
                  <w:r w:rsidRPr="000D7F2F">
                    <w:rPr>
                      <w:bCs/>
                    </w:rPr>
                    <w:instrText xml:space="preserve"> REF _Ref205317092 \h  \* MERGEFORMAT </w:instrText>
                  </w:r>
                  <w:r w:rsidRPr="000D7F2F">
                    <w:rPr>
                      <w:bCs/>
                    </w:rPr>
                  </w:r>
                  <w:r w:rsidRPr="000D7F2F">
                    <w:rPr>
                      <w:bCs/>
                    </w:rPr>
                    <w:fldChar w:fldCharType="separate"/>
                  </w:r>
                  <w:r w:rsidR="008F22E5" w:rsidRPr="2F53DD62">
                    <w:rPr>
                      <w:rStyle w:val="Text-Bold"/>
                      <w:bCs/>
                    </w:rPr>
                    <w:t xml:space="preserve">Figure </w:t>
                  </w:r>
                  <w:r w:rsidR="008F22E5" w:rsidRPr="008F22E5">
                    <w:rPr>
                      <w:b/>
                    </w:rPr>
                    <w:t>2</w:t>
                  </w:r>
                  <w:r w:rsidRPr="000D7F2F">
                    <w:rPr>
                      <w:bCs/>
                    </w:rPr>
                    <w:fldChar w:fldCharType="end"/>
                  </w:r>
                  <w:r w:rsidR="007309B0">
                    <w:t xml:space="preserve"> below shows the distribution of FaRS and SFVS </w:t>
                  </w:r>
                  <w:r w:rsidR="007A517A">
                    <w:t>service provider outlets across Australia.</w:t>
                  </w:r>
                  <w:r w:rsidR="00B33F84">
                    <w:t xml:space="preserve"> </w:t>
                  </w:r>
                </w:p>
                <w:p w14:paraId="0BDC8DBD" w14:textId="14A2ADFB" w:rsidR="00BF1E1C" w:rsidRPr="00D63E8D" w:rsidRDefault="00BF1E1C" w:rsidP="00393BD9">
                  <w:pPr>
                    <w:pStyle w:val="TableFigure-Header"/>
                    <w:spacing w:line="276" w:lineRule="auto"/>
                    <w:jc w:val="both"/>
                    <w:rPr>
                      <w:rStyle w:val="Text-Bold"/>
                      <w:b/>
                      <w:bCs/>
                      <w:lang w:val="en-NZ"/>
                    </w:rPr>
                  </w:pPr>
                  <w:bookmarkStart w:id="59" w:name="_Ref205317092"/>
                  <w:bookmarkStart w:id="60" w:name="_Toc205413052"/>
                  <w:bookmarkStart w:id="61" w:name="_Toc205413106"/>
                  <w:r w:rsidRPr="2F53DD62">
                    <w:rPr>
                      <w:rStyle w:val="Text-Bold"/>
                      <w:b/>
                      <w:bCs/>
                      <w:lang w:val="en-NZ"/>
                    </w:rPr>
                    <w:t xml:space="preserve">Figure </w:t>
                  </w:r>
                  <w:r w:rsidR="00C64C3D">
                    <w:rPr>
                      <w:rStyle w:val="Text-Bold"/>
                      <w:b/>
                      <w:bCs/>
                      <w:lang w:val="en-NZ"/>
                    </w:rPr>
                    <w:fldChar w:fldCharType="begin"/>
                  </w:r>
                  <w:r w:rsidR="00C64C3D">
                    <w:rPr>
                      <w:rStyle w:val="Text-Bold"/>
                      <w:b/>
                      <w:bCs/>
                      <w:lang w:val="en-NZ"/>
                    </w:rPr>
                    <w:instrText xml:space="preserve"> SEQ Figure \* ARABIC </w:instrText>
                  </w:r>
                  <w:r w:rsidR="00C64C3D">
                    <w:rPr>
                      <w:rStyle w:val="Text-Bold"/>
                      <w:b/>
                      <w:bCs/>
                      <w:lang w:val="en-NZ"/>
                    </w:rPr>
                    <w:fldChar w:fldCharType="separate"/>
                  </w:r>
                  <w:r w:rsidR="008D2566">
                    <w:rPr>
                      <w:rStyle w:val="Text-Bold"/>
                      <w:b/>
                      <w:bCs/>
                      <w:noProof/>
                      <w:lang w:val="en-NZ"/>
                    </w:rPr>
                    <w:t>2</w:t>
                  </w:r>
                  <w:r w:rsidR="00C64C3D">
                    <w:rPr>
                      <w:rStyle w:val="Text-Bold"/>
                      <w:b/>
                      <w:bCs/>
                      <w:lang w:val="en-NZ"/>
                    </w:rPr>
                    <w:fldChar w:fldCharType="end"/>
                  </w:r>
                  <w:bookmarkEnd w:id="59"/>
                  <w:r w:rsidRPr="2F53DD62">
                    <w:rPr>
                      <w:rStyle w:val="Text-Bold"/>
                      <w:b/>
                      <w:bCs/>
                      <w:lang w:val="en-NZ"/>
                    </w:rPr>
                    <w:t>: FaRS and SFVS outlets, by SA2</w:t>
                  </w:r>
                  <w:bookmarkEnd w:id="60"/>
                  <w:bookmarkEnd w:id="61"/>
                </w:p>
                <w:p w14:paraId="21CEEC4F" w14:textId="0FFD291C" w:rsidR="003720B8" w:rsidRPr="00F702A2" w:rsidRDefault="00A27833" w:rsidP="008E1B83">
                  <w:pPr>
                    <w:pStyle w:val="Text"/>
                    <w:keepNext/>
                  </w:pPr>
                  <w:r>
                    <w:rPr>
                      <w:noProof/>
                    </w:rPr>
                    <w:drawing>
                      <wp:inline distT="0" distB="0" distL="0" distR="0" wp14:anchorId="0315F6FB" wp14:editId="0440B75A">
                        <wp:extent cx="5862999" cy="4600529"/>
                        <wp:effectExtent l="0" t="0" r="4445" b="0"/>
                        <wp:docPr id="45817149"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17149" name="Picture 1">
                                  <a:extLst>
                                    <a:ext uri="{C183D7F6-B498-43B3-948B-1728B52AA6E4}">
                                      <adec:decorative xmlns:adec="http://schemas.microsoft.com/office/drawing/2017/decorative" val="1"/>
                                    </a:ext>
                                  </a:extLst>
                                </pic:cNvPr>
                                <pic:cNvPicPr/>
                              </pic:nvPicPr>
                              <pic:blipFill rotWithShape="1">
                                <a:blip r:embed="rId23"/>
                                <a:srcRect r="19094" b="4863"/>
                                <a:stretch>
                                  <a:fillRect/>
                                </a:stretch>
                              </pic:blipFill>
                              <pic:spPr bwMode="auto">
                                <a:xfrm>
                                  <a:off x="0" y="0"/>
                                  <a:ext cx="5891508" cy="4622899"/>
                                </a:xfrm>
                                <a:prstGeom prst="rect">
                                  <a:avLst/>
                                </a:prstGeom>
                                <a:ln>
                                  <a:noFill/>
                                </a:ln>
                                <a:extLst>
                                  <a:ext uri="{53640926-AAD7-44D8-BBD7-CCE9431645EC}">
                                    <a14:shadowObscured xmlns:a14="http://schemas.microsoft.com/office/drawing/2010/main"/>
                                  </a:ext>
                                </a:extLst>
                              </pic:spPr>
                            </pic:pic>
                          </a:graphicData>
                        </a:graphic>
                      </wp:inline>
                    </w:drawing>
                  </w:r>
                  <w:bookmarkEnd w:id="58"/>
                  <w:r w:rsidR="00016FD5" w:rsidRPr="00AF1559">
                    <w:rPr>
                      <w:i/>
                      <w:sz w:val="20"/>
                    </w:rPr>
                    <w:t xml:space="preserve">Source: </w:t>
                  </w:r>
                  <w:r w:rsidR="00586A9F" w:rsidRPr="00AF1559">
                    <w:rPr>
                      <w:i/>
                      <w:sz w:val="20"/>
                    </w:rPr>
                    <w:t>FaRS and SFVS service provider SA2 location</w:t>
                  </w:r>
                  <w:r w:rsidR="0085720D" w:rsidRPr="00AF1559">
                    <w:rPr>
                      <w:i/>
                      <w:sz w:val="20"/>
                    </w:rPr>
                    <w:t>.</w:t>
                  </w:r>
                  <w:r w:rsidR="00586A9F" w:rsidRPr="00AF1559">
                    <w:rPr>
                      <w:i/>
                      <w:sz w:val="20"/>
                    </w:rPr>
                    <w:t xml:space="preserve"> </w:t>
                  </w:r>
                  <w:r w:rsidR="0085720D" w:rsidRPr="00AF1559">
                    <w:rPr>
                      <w:i/>
                      <w:sz w:val="20"/>
                    </w:rPr>
                    <w:t>D</w:t>
                  </w:r>
                  <w:r w:rsidR="00586A9F" w:rsidRPr="00AF1559">
                    <w:rPr>
                      <w:i/>
                      <w:sz w:val="20"/>
                    </w:rPr>
                    <w:t xml:space="preserve">ata supplied by the Department </w:t>
                  </w:r>
                </w:p>
                <w:p w14:paraId="6568279F" w14:textId="77777777" w:rsidR="00133277" w:rsidRDefault="00133277">
                  <w:r>
                    <w:br w:type="page"/>
                  </w:r>
                </w:p>
                <w:p w14:paraId="117AB5DC" w14:textId="7741B03C" w:rsidR="00757200" w:rsidRDefault="00445E31" w:rsidP="00757200">
                  <w:pPr>
                    <w:pStyle w:val="Text"/>
                  </w:pPr>
                  <w:r>
                    <w:lastRenderedPageBreak/>
                    <w:t xml:space="preserve">FaRS service providers may </w:t>
                  </w:r>
                  <w:r w:rsidR="00F7012B">
                    <w:t>charge</w:t>
                  </w:r>
                  <w:r>
                    <w:t xml:space="preserve"> fees for services</w:t>
                  </w:r>
                  <w:r w:rsidR="00F7012B">
                    <w:t xml:space="preserve"> on a sliding scale depending on service user income</w:t>
                  </w:r>
                  <w:r w:rsidR="008C0511">
                    <w:t xml:space="preserve">. However, service users must not be refused services or referred to other organisations if they cannot pay a fee. </w:t>
                  </w:r>
                  <w:r w:rsidR="00F7012B">
                    <w:t xml:space="preserve">Application of the sliding scale is left </w:t>
                  </w:r>
                  <w:r w:rsidR="00CF1362">
                    <w:t>at</w:t>
                  </w:r>
                  <w:r w:rsidR="00F7012B">
                    <w:t xml:space="preserve"> the discretion of service providers. </w:t>
                  </w:r>
                  <w:r w:rsidR="00A42060">
                    <w:t xml:space="preserve">FaRS </w:t>
                  </w:r>
                  <w:r w:rsidR="0085720D">
                    <w:t xml:space="preserve">services </w:t>
                  </w:r>
                  <w:r w:rsidR="00A42060">
                    <w:t>can</w:t>
                  </w:r>
                  <w:r w:rsidR="00D419B3">
                    <w:t xml:space="preserve"> be delivered </w:t>
                  </w:r>
                  <w:r w:rsidR="00C5463F">
                    <w:t>face-to-face or via telephone or other modes of virtual delivery.</w:t>
                  </w:r>
                </w:p>
                <w:p w14:paraId="7DAAA86E" w14:textId="44D4E565" w:rsidR="00CA29D8" w:rsidRPr="00013671" w:rsidRDefault="009F1B7B" w:rsidP="002E7436">
                  <w:pPr>
                    <w:pStyle w:val="Heading2"/>
                  </w:pPr>
                  <w:bookmarkStart w:id="62" w:name="_Ref204852264"/>
                  <w:bookmarkStart w:id="63" w:name="_Toc204856719"/>
                  <w:bookmarkStart w:id="64" w:name="_Toc208906830"/>
                  <w:r w:rsidRPr="004A3526">
                    <w:t>Overview of the SFVS Program</w:t>
                  </w:r>
                  <w:r w:rsidR="00B707D9" w:rsidRPr="004A3526">
                    <w:t xml:space="preserve"> and its objectives</w:t>
                  </w:r>
                  <w:bookmarkEnd w:id="62"/>
                  <w:bookmarkEnd w:id="63"/>
                  <w:bookmarkEnd w:id="64"/>
                </w:p>
                <w:p w14:paraId="59A8A6F3" w14:textId="233AAE1A" w:rsidR="00BB33A2" w:rsidRPr="006E570F" w:rsidRDefault="00E653A8" w:rsidP="00757200">
                  <w:pPr>
                    <w:pStyle w:val="Text"/>
                    <w:rPr>
                      <w:i/>
                      <w:lang w:val="en-AU"/>
                    </w:rPr>
                  </w:pPr>
                  <w:r>
                    <w:rPr>
                      <w:lang w:val="en-AU"/>
                    </w:rPr>
                    <w:t>SFVS was established in 20</w:t>
                  </w:r>
                  <w:r w:rsidR="00AE20F6">
                    <w:rPr>
                      <w:lang w:val="en-AU"/>
                    </w:rPr>
                    <w:t>0</w:t>
                  </w:r>
                  <w:r>
                    <w:rPr>
                      <w:lang w:val="en-AU"/>
                    </w:rPr>
                    <w:t xml:space="preserve">1 </w:t>
                  </w:r>
                  <w:r w:rsidR="00CE3E26">
                    <w:rPr>
                      <w:lang w:val="en-AU"/>
                    </w:rPr>
                    <w:t xml:space="preserve">as a sub-activity of FaRS </w:t>
                  </w:r>
                  <w:r>
                    <w:rPr>
                      <w:lang w:val="en-AU"/>
                    </w:rPr>
                    <w:t xml:space="preserve">to </w:t>
                  </w:r>
                  <w:r w:rsidR="00700653">
                    <w:rPr>
                      <w:lang w:val="en-AU"/>
                    </w:rPr>
                    <w:t>be a universal service for families, communities, and individuals experiencing or at-risk of experiencing the impacts of family violence</w:t>
                  </w:r>
                  <w:r>
                    <w:rPr>
                      <w:lang w:val="en-AU"/>
                    </w:rPr>
                    <w:t xml:space="preserve">. </w:t>
                  </w:r>
                  <w:r w:rsidR="00376445">
                    <w:rPr>
                      <w:lang w:val="en-AU"/>
                    </w:rPr>
                    <w:t>SFVS</w:t>
                  </w:r>
                  <w:r w:rsidR="00433602">
                    <w:rPr>
                      <w:lang w:val="en-AU"/>
                    </w:rPr>
                    <w:t xml:space="preserve"> </w:t>
                  </w:r>
                  <w:r w:rsidR="009142BD">
                    <w:rPr>
                      <w:lang w:val="en-AU"/>
                    </w:rPr>
                    <w:t xml:space="preserve">uses </w:t>
                  </w:r>
                  <w:r w:rsidR="00F93816">
                    <w:rPr>
                      <w:lang w:val="en-AU"/>
                    </w:rPr>
                    <w:t>a</w:t>
                  </w:r>
                  <w:r w:rsidR="009142BD">
                    <w:rPr>
                      <w:lang w:val="en-AU"/>
                    </w:rPr>
                    <w:t xml:space="preserve"> whole</w:t>
                  </w:r>
                  <w:r w:rsidR="007E69E7">
                    <w:rPr>
                      <w:lang w:val="en-AU"/>
                    </w:rPr>
                    <w:t>-</w:t>
                  </w:r>
                  <w:r w:rsidR="009142BD">
                    <w:rPr>
                      <w:lang w:val="en-AU"/>
                    </w:rPr>
                    <w:t>of</w:t>
                  </w:r>
                  <w:r w:rsidR="007E69E7">
                    <w:rPr>
                      <w:lang w:val="en-AU"/>
                    </w:rPr>
                    <w:t>-</w:t>
                  </w:r>
                  <w:r w:rsidR="009142BD">
                    <w:rPr>
                      <w:lang w:val="en-AU"/>
                    </w:rPr>
                    <w:t xml:space="preserve">family approach </w:t>
                  </w:r>
                  <w:r w:rsidR="00856A78">
                    <w:rPr>
                      <w:lang w:val="en-AU"/>
                    </w:rPr>
                    <w:t>to strengt</w:t>
                  </w:r>
                  <w:r w:rsidR="008733B9">
                    <w:rPr>
                      <w:lang w:val="en-AU"/>
                    </w:rPr>
                    <w:t xml:space="preserve">hen family and community </w:t>
                  </w:r>
                  <w:r w:rsidR="003B780E">
                    <w:rPr>
                      <w:lang w:val="en-AU"/>
                    </w:rPr>
                    <w:t>functioning and improve personal and family safe</w:t>
                  </w:r>
                  <w:r w:rsidR="003D64A8">
                    <w:rPr>
                      <w:lang w:val="en-AU"/>
                    </w:rPr>
                    <w:t>ty</w:t>
                  </w:r>
                  <w:r w:rsidR="003B780E">
                    <w:rPr>
                      <w:lang w:val="en-AU"/>
                    </w:rPr>
                    <w:t xml:space="preserve"> by </w:t>
                  </w:r>
                  <w:r w:rsidR="00D81F06">
                    <w:rPr>
                      <w:lang w:val="en-AU"/>
                    </w:rPr>
                    <w:t>providing support to individuals, couples, children, and families who are experiencing</w:t>
                  </w:r>
                  <w:r w:rsidR="00477013">
                    <w:rPr>
                      <w:lang w:val="en-AU"/>
                    </w:rPr>
                    <w:t>,</w:t>
                  </w:r>
                  <w:r w:rsidR="00D81F06">
                    <w:rPr>
                      <w:lang w:val="en-AU"/>
                    </w:rPr>
                    <w:t xml:space="preserve"> or at-risk of experiencing</w:t>
                  </w:r>
                  <w:r w:rsidR="00477013">
                    <w:rPr>
                      <w:lang w:val="en-AU"/>
                    </w:rPr>
                    <w:t xml:space="preserve">, family violence </w:t>
                  </w:r>
                  <w:r w:rsidR="00C42C1B">
                    <w:rPr>
                      <w:lang w:val="en-AU"/>
                    </w:rPr>
                    <w:fldChar w:fldCharType="begin"/>
                  </w:r>
                  <w:r w:rsidR="00E41D03">
                    <w:rPr>
                      <w:lang w:val="en-AU"/>
                    </w:rPr>
                    <w:instrText xml:space="preserve"> ADDIN ZOTERO_ITEM CSL_CITATION {"citationID":"3qu5nLET","properties":{"formattedCitation":"(Department of Social Services, 2021b)","plainCitation":"(Department of Social Services, 2021b)","noteIndex":0},"citationItems":[{"id":4672,"uris":["http://zotero.org/groups/5691188/items/XE5X4C4F"],"itemData":{"id":4672,"type":"document","title":"Family and Relationship Services -  Specialised Family Violence Services Operational Guidelines","author":[{"family":"Department of Social Services","given":""}],"issued":{"date-parts":[["2021",7,1]]}}}],"schema":"https://github.com/citation-style-language/schema/raw/master/csl-citation.json"} </w:instrText>
                  </w:r>
                  <w:r w:rsidR="00C42C1B">
                    <w:rPr>
                      <w:lang w:val="en-AU"/>
                    </w:rPr>
                    <w:fldChar w:fldCharType="separate"/>
                  </w:r>
                  <w:r w:rsidR="00746EB1" w:rsidRPr="00746EB1">
                    <w:rPr>
                      <w:rFonts w:ascii="Arial" w:hAnsi="Arial" w:cs="Arial"/>
                    </w:rPr>
                    <w:t>(Department of Social Services, 2021b)</w:t>
                  </w:r>
                  <w:r w:rsidR="00C42C1B">
                    <w:rPr>
                      <w:lang w:val="en-AU"/>
                    </w:rPr>
                    <w:fldChar w:fldCharType="end"/>
                  </w:r>
                  <w:r w:rsidR="00A149BC">
                    <w:rPr>
                      <w:lang w:val="en-AU"/>
                    </w:rPr>
                    <w:t>.</w:t>
                  </w:r>
                  <w:r w:rsidR="00BB4C8C">
                    <w:rPr>
                      <w:lang w:val="en-AU"/>
                    </w:rPr>
                    <w:t xml:space="preserve"> SFVS </w:t>
                  </w:r>
                  <w:r w:rsidR="00555025">
                    <w:rPr>
                      <w:lang w:val="en-AU"/>
                    </w:rPr>
                    <w:t xml:space="preserve">aims to provide support to families to improve the wellbeing of children and young people to enhance family and community </w:t>
                  </w:r>
                  <w:r w:rsidR="00F70DAA">
                    <w:rPr>
                      <w:lang w:val="en-AU"/>
                    </w:rPr>
                    <w:t>functioning and</w:t>
                  </w:r>
                  <w:r w:rsidR="003D64A8">
                    <w:rPr>
                      <w:lang w:val="en-AU"/>
                    </w:rPr>
                    <w:t xml:space="preserve"> increase</w:t>
                  </w:r>
                  <w:r w:rsidR="00555025">
                    <w:rPr>
                      <w:lang w:val="en-AU"/>
                    </w:rPr>
                    <w:t xml:space="preserve"> participation </w:t>
                  </w:r>
                  <w:r w:rsidR="003D64A8">
                    <w:rPr>
                      <w:lang w:val="en-AU"/>
                    </w:rPr>
                    <w:t>in</w:t>
                  </w:r>
                  <w:r w:rsidR="00A62EEF">
                    <w:rPr>
                      <w:lang w:val="en-AU"/>
                    </w:rPr>
                    <w:t xml:space="preserve"> the</w:t>
                  </w:r>
                  <w:r w:rsidR="003D64A8">
                    <w:rPr>
                      <w:lang w:val="en-AU"/>
                    </w:rPr>
                    <w:t xml:space="preserve"> community.</w:t>
                  </w:r>
                  <w:r w:rsidR="00555025">
                    <w:rPr>
                      <w:lang w:val="en-AU"/>
                    </w:rPr>
                    <w:t xml:space="preserve"> </w:t>
                  </w:r>
                  <w:r w:rsidR="003C1109">
                    <w:rPr>
                      <w:lang w:val="en-AU"/>
                    </w:rPr>
                    <w:t xml:space="preserve">SFVS contributes to the strategic vision of the </w:t>
                  </w:r>
                  <w:r w:rsidR="003C1109" w:rsidRPr="00253268">
                    <w:rPr>
                      <w:i/>
                      <w:iCs/>
                      <w:lang w:val="en-AU"/>
                    </w:rPr>
                    <w:t>National Plan to Reduce Violence against Women and their Children</w:t>
                  </w:r>
                  <w:r w:rsidR="003B1B14">
                    <w:rPr>
                      <w:i/>
                      <w:iCs/>
                      <w:lang w:val="en-AU"/>
                    </w:rPr>
                    <w:t xml:space="preserve"> 2022-2032</w:t>
                  </w:r>
                  <w:r w:rsidR="003C1109">
                    <w:rPr>
                      <w:lang w:val="en-AU"/>
                    </w:rPr>
                    <w:t xml:space="preserve"> and its action plans</w:t>
                  </w:r>
                  <w:r w:rsidR="002B7081">
                    <w:rPr>
                      <w:lang w:val="en-AU"/>
                    </w:rPr>
                    <w:t>.</w:t>
                  </w:r>
                </w:p>
                <w:p w14:paraId="02EF975F" w14:textId="42E90939" w:rsidR="004F7628" w:rsidRDefault="00B95DDC" w:rsidP="00D63E8D">
                  <w:pPr>
                    <w:pStyle w:val="Text"/>
                    <w:rPr>
                      <w:lang w:val="en-AU"/>
                    </w:rPr>
                  </w:pPr>
                  <w:r>
                    <w:rPr>
                      <w:lang w:val="en-AU"/>
                    </w:rPr>
                    <w:t>The Department publishes specific Operational Guidelines for the SFVS program</w:t>
                  </w:r>
                  <w:r w:rsidR="00E82715">
                    <w:rPr>
                      <w:lang w:val="en-AU"/>
                    </w:rPr>
                    <w:t xml:space="preserve"> </w:t>
                  </w:r>
                  <w:r w:rsidR="00E82715" w:rsidRPr="00E82715">
                    <w:rPr>
                      <w:lang w:val="en-AU"/>
                    </w:rPr>
                    <w:fldChar w:fldCharType="begin"/>
                  </w:r>
                  <w:r w:rsidR="003A464F">
                    <w:rPr>
                      <w:lang w:val="en-AU"/>
                    </w:rPr>
                    <w:instrText xml:space="preserve"> ADDIN ZOTERO_ITEM CSL_CITATION {"citationID":"abhkh2hlf6","properties":{"formattedCitation":"(Department of Social Services, 2021b)","plainCitation":"(Department of Social Services, 2021b)","noteIndex":0},"citationItems":[{"id":4672,"uris":["http://zotero.org/groups/5691188/items/XE5X4C4F"],"itemData":{"id":4672,"type":"document","title":"Family and Relationship Services -  Specialised Family Violence Services Operational Guidelines","author":[{"family":"Department of Social Services","given":""}],"issued":{"date-parts":[["2021",7,1]]}}}],"schema":"https://github.com/citation-style-language/schema/raw/master/csl-citation.json"} </w:instrText>
                  </w:r>
                  <w:r w:rsidR="00E82715" w:rsidRPr="00E82715">
                    <w:rPr>
                      <w:lang w:val="en-AU"/>
                    </w:rPr>
                    <w:fldChar w:fldCharType="separate"/>
                  </w:r>
                  <w:r w:rsidR="003A464F" w:rsidRPr="003A464F">
                    <w:rPr>
                      <w:rFonts w:ascii="Arial" w:hAnsi="Arial" w:cs="Arial"/>
                    </w:rPr>
                    <w:t>(Department of Social Services, 2021b)</w:t>
                  </w:r>
                  <w:r w:rsidR="00E82715" w:rsidRPr="00E82715">
                    <w:rPr>
                      <w:lang w:val="en-AU"/>
                    </w:rPr>
                    <w:fldChar w:fldCharType="end"/>
                  </w:r>
                  <w:r w:rsidRPr="00E82715">
                    <w:rPr>
                      <w:lang w:val="en-AU"/>
                    </w:rPr>
                    <w:t>.</w:t>
                  </w:r>
                  <w:r>
                    <w:rPr>
                      <w:lang w:val="en-AU"/>
                    </w:rPr>
                    <w:t xml:space="preserve"> </w:t>
                  </w:r>
                  <w:r w:rsidR="00BB33A2">
                    <w:rPr>
                      <w:lang w:val="en-AU"/>
                    </w:rPr>
                    <w:t>SFVS s</w:t>
                  </w:r>
                  <w:r w:rsidR="00C07065">
                    <w:rPr>
                      <w:lang w:val="en-AU"/>
                    </w:rPr>
                    <w:t>ervice</w:t>
                  </w:r>
                  <w:r w:rsidR="00BB33A2">
                    <w:rPr>
                      <w:lang w:val="en-AU"/>
                    </w:rPr>
                    <w:t xml:space="preserve"> offering</w:t>
                  </w:r>
                  <w:r w:rsidR="00196D30">
                    <w:rPr>
                      <w:lang w:val="en-AU"/>
                    </w:rPr>
                    <w:t>s</w:t>
                  </w:r>
                  <w:r w:rsidR="00C07065">
                    <w:rPr>
                      <w:lang w:val="en-AU"/>
                    </w:rPr>
                    <w:t xml:space="preserve"> </w:t>
                  </w:r>
                  <w:r w:rsidR="00F70DAA">
                    <w:rPr>
                      <w:lang w:val="en-AU"/>
                    </w:rPr>
                    <w:t>include</w:t>
                  </w:r>
                  <w:r w:rsidR="004F7628">
                    <w:rPr>
                      <w:lang w:val="en-AU"/>
                    </w:rPr>
                    <w:t xml:space="preserve"> individual or couple broad-based counselling and dispute resolution services, tailored in-home supports and family capacity building and education sessions and workshops. SFVS funding also includes specific funding for:</w:t>
                  </w:r>
                </w:p>
                <w:p w14:paraId="30DAE7CB" w14:textId="1D35CFBF" w:rsidR="0024101B" w:rsidRPr="00196D30" w:rsidRDefault="0024101B" w:rsidP="00196D30">
                  <w:pPr>
                    <w:pStyle w:val="Bullet1"/>
                    <w:rPr>
                      <w:lang w:val="en-AU"/>
                    </w:rPr>
                  </w:pPr>
                  <w:r w:rsidRPr="00196D30">
                    <w:rPr>
                      <w:lang w:val="en-AU"/>
                    </w:rPr>
                    <w:t>support for children who experience or witness family or domestic violence</w:t>
                  </w:r>
                  <w:r w:rsidR="00E36A7B" w:rsidRPr="00196D30">
                    <w:rPr>
                      <w:lang w:val="en-AU"/>
                    </w:rPr>
                    <w:t xml:space="preserve"> to support them as victim survivors in their own right</w:t>
                  </w:r>
                  <w:r w:rsidRPr="00196D30">
                    <w:rPr>
                      <w:lang w:val="en-AU"/>
                    </w:rPr>
                    <w:t xml:space="preserve"> </w:t>
                  </w:r>
                  <w:r w:rsidR="008513BB">
                    <w:rPr>
                      <w:lang w:val="en-AU"/>
                    </w:rPr>
                    <w:t>through</w:t>
                  </w:r>
                  <w:r w:rsidRPr="00196D30">
                    <w:rPr>
                      <w:lang w:val="en-AU"/>
                    </w:rPr>
                    <w:t xml:space="preserve"> </w:t>
                  </w:r>
                  <w:r w:rsidR="00B51768">
                    <w:rPr>
                      <w:lang w:val="en-AU"/>
                    </w:rPr>
                    <w:t>C</w:t>
                  </w:r>
                  <w:r w:rsidRPr="00196D30">
                    <w:rPr>
                      <w:lang w:val="en-AU"/>
                    </w:rPr>
                    <w:t xml:space="preserve">hild </w:t>
                  </w:r>
                  <w:r w:rsidR="00B51768">
                    <w:rPr>
                      <w:lang w:val="en-AU"/>
                    </w:rPr>
                    <w:t>S</w:t>
                  </w:r>
                  <w:r w:rsidRPr="00196D30">
                    <w:rPr>
                      <w:lang w:val="en-AU"/>
                    </w:rPr>
                    <w:t xml:space="preserve">pecific </w:t>
                  </w:r>
                  <w:r w:rsidR="00B51768">
                    <w:rPr>
                      <w:lang w:val="en-AU"/>
                    </w:rPr>
                    <w:t>C</w:t>
                  </w:r>
                  <w:r w:rsidRPr="00196D30">
                    <w:rPr>
                      <w:lang w:val="en-AU"/>
                    </w:rPr>
                    <w:t>ounselling (CSC)</w:t>
                  </w:r>
                  <w:r w:rsidR="00363860">
                    <w:rPr>
                      <w:lang w:val="en-AU"/>
                    </w:rPr>
                    <w:t xml:space="preserve"> </w:t>
                  </w:r>
                </w:p>
                <w:p w14:paraId="0A61E005" w14:textId="346FA3FC" w:rsidR="008733B9" w:rsidRDefault="00F55589" w:rsidP="00757200">
                  <w:pPr>
                    <w:pStyle w:val="Bullet1"/>
                    <w:rPr>
                      <w:lang w:val="en-AU"/>
                    </w:rPr>
                  </w:pPr>
                  <w:r>
                    <w:rPr>
                      <w:lang w:val="en-AU"/>
                    </w:rPr>
                    <w:t>Men’s Behaviour Change Programs (MBCP)</w:t>
                  </w:r>
                  <w:r w:rsidDel="00F55589">
                    <w:rPr>
                      <w:lang w:val="en-AU"/>
                    </w:rPr>
                    <w:t xml:space="preserve"> </w:t>
                  </w:r>
                  <w:r w:rsidR="008733B9" w:rsidRPr="008733B9">
                    <w:rPr>
                      <w:lang w:val="en-AU"/>
                    </w:rPr>
                    <w:t>that support users of violence to address and change their behaviour</w:t>
                  </w:r>
                  <w:r w:rsidR="007E69E7">
                    <w:rPr>
                      <w:lang w:val="en-AU"/>
                    </w:rPr>
                    <w:t xml:space="preserve"> </w:t>
                  </w:r>
                </w:p>
                <w:p w14:paraId="4C52AF92" w14:textId="7D1518FB" w:rsidR="0024101B" w:rsidRDefault="0024101B" w:rsidP="00757200">
                  <w:pPr>
                    <w:pStyle w:val="Bullet1"/>
                    <w:rPr>
                      <w:lang w:val="en-AU"/>
                    </w:rPr>
                  </w:pPr>
                  <w:r>
                    <w:rPr>
                      <w:lang w:val="en-AU"/>
                    </w:rPr>
                    <w:t xml:space="preserve">delivery of culturally safe services in the </w:t>
                  </w:r>
                  <w:r w:rsidR="00215EF4">
                    <w:rPr>
                      <w:lang w:val="en-AU"/>
                    </w:rPr>
                    <w:t>N</w:t>
                  </w:r>
                  <w:r w:rsidR="007E69E7">
                    <w:rPr>
                      <w:lang w:val="en-AU"/>
                    </w:rPr>
                    <w:t xml:space="preserve">orthern </w:t>
                  </w:r>
                  <w:r w:rsidR="00215EF4">
                    <w:rPr>
                      <w:lang w:val="en-AU"/>
                    </w:rPr>
                    <w:t>T</w:t>
                  </w:r>
                  <w:r w:rsidR="007E69E7">
                    <w:rPr>
                      <w:lang w:val="en-AU"/>
                    </w:rPr>
                    <w:t>erritory (</w:t>
                  </w:r>
                  <w:r w:rsidR="00215EF4">
                    <w:rPr>
                      <w:lang w:val="en-AU"/>
                    </w:rPr>
                    <w:t>NT</w:t>
                  </w:r>
                  <w:r w:rsidR="007E69E7">
                    <w:rPr>
                      <w:lang w:val="en-AU"/>
                    </w:rPr>
                    <w:t>)</w:t>
                  </w:r>
                  <w:r w:rsidR="00215EF4">
                    <w:rPr>
                      <w:lang w:val="en-AU"/>
                    </w:rPr>
                    <w:t xml:space="preserve"> by Aboriginal</w:t>
                  </w:r>
                  <w:r w:rsidR="003E213A">
                    <w:rPr>
                      <w:lang w:val="en-AU"/>
                    </w:rPr>
                    <w:t xml:space="preserve"> and Torres Strait Islander</w:t>
                  </w:r>
                  <w:r w:rsidR="00215EF4">
                    <w:rPr>
                      <w:lang w:val="en-AU"/>
                    </w:rPr>
                    <w:t xml:space="preserve"> Community Controlled Organisations (ACCOs). </w:t>
                  </w:r>
                </w:p>
                <w:p w14:paraId="11240FE8" w14:textId="77777777" w:rsidR="00B74F20" w:rsidRDefault="00B74F20" w:rsidP="00D63E8D">
                  <w:pPr>
                    <w:pStyle w:val="Bullet1"/>
                    <w:numPr>
                      <w:ilvl w:val="0"/>
                      <w:numId w:val="0"/>
                    </w:numPr>
                    <w:rPr>
                      <w:lang w:val="en-AU"/>
                    </w:rPr>
                  </w:pPr>
                  <w:r>
                    <w:t>SFVS programs can be delivered face-to-face, via telephone, or through other modes of virtual delivery.</w:t>
                  </w:r>
                </w:p>
                <w:p w14:paraId="71016DC7" w14:textId="5A6C18C2" w:rsidR="007B7B06" w:rsidRDefault="00B11F8A" w:rsidP="00757200">
                  <w:pPr>
                    <w:pStyle w:val="Text"/>
                    <w:rPr>
                      <w:lang w:val="en-AU"/>
                    </w:rPr>
                  </w:pPr>
                  <w:r>
                    <w:rPr>
                      <w:lang w:val="en-AU"/>
                    </w:rPr>
                    <w:t>Priority cohorts</w:t>
                  </w:r>
                  <w:r w:rsidR="00AD59E1">
                    <w:rPr>
                      <w:lang w:val="en-AU"/>
                    </w:rPr>
                    <w:t xml:space="preserve"> for SFVS</w:t>
                  </w:r>
                  <w:r>
                    <w:rPr>
                      <w:lang w:val="en-AU"/>
                    </w:rPr>
                    <w:t xml:space="preserve"> </w:t>
                  </w:r>
                  <w:r w:rsidR="007A2E5D">
                    <w:rPr>
                      <w:lang w:val="en-AU"/>
                    </w:rPr>
                    <w:t>are</w:t>
                  </w:r>
                  <w:r>
                    <w:rPr>
                      <w:lang w:val="en-AU"/>
                    </w:rPr>
                    <w:t xml:space="preserve">: </w:t>
                  </w:r>
                </w:p>
                <w:p w14:paraId="02F2B237" w14:textId="2357AF01" w:rsidR="00B11F8A" w:rsidRDefault="00450931" w:rsidP="00B11F8A">
                  <w:pPr>
                    <w:pStyle w:val="Bullet1"/>
                    <w:rPr>
                      <w:lang w:val="en-AU"/>
                    </w:rPr>
                  </w:pPr>
                  <w:r>
                    <w:rPr>
                      <w:lang w:val="en-AU"/>
                    </w:rPr>
                    <w:t xml:space="preserve">people who identify as </w:t>
                  </w:r>
                  <w:r w:rsidR="00B11F8A">
                    <w:rPr>
                      <w:lang w:val="en-AU"/>
                    </w:rPr>
                    <w:t>Aboriginal and Torres Strait Islander</w:t>
                  </w:r>
                </w:p>
                <w:p w14:paraId="631ABC4B" w14:textId="32AE1871" w:rsidR="00B11F8A" w:rsidRDefault="00B11F8A" w:rsidP="00B11F8A">
                  <w:pPr>
                    <w:pStyle w:val="Bullet1"/>
                    <w:rPr>
                      <w:lang w:val="en-AU"/>
                    </w:rPr>
                  </w:pPr>
                  <w:r>
                    <w:rPr>
                      <w:lang w:val="en-AU"/>
                    </w:rPr>
                    <w:t>people from culturally and linguistically diverse background</w:t>
                  </w:r>
                  <w:r w:rsidR="0060040D">
                    <w:rPr>
                      <w:lang w:val="en-AU"/>
                    </w:rPr>
                    <w:t>s</w:t>
                  </w:r>
                  <w:r>
                    <w:rPr>
                      <w:lang w:val="en-AU"/>
                    </w:rPr>
                    <w:t xml:space="preserve"> </w:t>
                  </w:r>
                </w:p>
                <w:p w14:paraId="5DE78793" w14:textId="5BEC726D" w:rsidR="00B11F8A" w:rsidRDefault="00B11F8A" w:rsidP="00B11F8A">
                  <w:pPr>
                    <w:pStyle w:val="Bullet1"/>
                    <w:rPr>
                      <w:lang w:val="en-AU"/>
                    </w:rPr>
                  </w:pPr>
                  <w:r>
                    <w:rPr>
                      <w:lang w:val="en-AU"/>
                    </w:rPr>
                    <w:t xml:space="preserve">people with disability </w:t>
                  </w:r>
                </w:p>
                <w:p w14:paraId="262E0F33" w14:textId="18EEB576" w:rsidR="00B11F8A" w:rsidRDefault="00B11F8A" w:rsidP="00B11F8A">
                  <w:pPr>
                    <w:pStyle w:val="Bullet1"/>
                    <w:rPr>
                      <w:lang w:val="en-AU"/>
                    </w:rPr>
                  </w:pPr>
                  <w:r>
                    <w:rPr>
                      <w:lang w:val="en-AU"/>
                    </w:rPr>
                    <w:t xml:space="preserve">children and young people </w:t>
                  </w:r>
                </w:p>
                <w:p w14:paraId="7CEA3E86" w14:textId="1F4CBE13" w:rsidR="00B11F8A" w:rsidRDefault="00450931" w:rsidP="00B11F8A">
                  <w:pPr>
                    <w:pStyle w:val="Bullet1"/>
                    <w:rPr>
                      <w:lang w:val="en-AU"/>
                    </w:rPr>
                  </w:pPr>
                  <w:r>
                    <w:rPr>
                      <w:lang w:val="en-AU"/>
                    </w:rPr>
                    <w:t>people who identify as l</w:t>
                  </w:r>
                  <w:r w:rsidR="0039645D" w:rsidRPr="0039645D">
                    <w:rPr>
                      <w:lang w:val="en-AU"/>
                    </w:rPr>
                    <w:t xml:space="preserve">esbian, gay, bisexual, trans/transgender, intersex, queer, </w:t>
                  </w:r>
                  <w:r w:rsidR="002C4B7D">
                    <w:rPr>
                      <w:lang w:val="en-AU"/>
                    </w:rPr>
                    <w:t xml:space="preserve">asexual </w:t>
                  </w:r>
                  <w:r w:rsidR="0039645D" w:rsidRPr="0039645D">
                    <w:rPr>
                      <w:lang w:val="en-AU"/>
                    </w:rPr>
                    <w:t xml:space="preserve">and other sexuality </w:t>
                  </w:r>
                  <w:r w:rsidR="0039645D">
                    <w:rPr>
                      <w:lang w:val="en-AU"/>
                    </w:rPr>
                    <w:t>(L</w:t>
                  </w:r>
                  <w:r w:rsidR="00B11F8A">
                    <w:rPr>
                      <w:lang w:val="en-AU"/>
                    </w:rPr>
                    <w:t>GBTIQA+</w:t>
                  </w:r>
                  <w:r w:rsidR="0039645D">
                    <w:rPr>
                      <w:lang w:val="en-AU"/>
                    </w:rPr>
                    <w:t>),</w:t>
                  </w:r>
                  <w:r w:rsidR="00B11F8A">
                    <w:rPr>
                      <w:lang w:val="en-AU"/>
                    </w:rPr>
                    <w:t xml:space="preserve"> </w:t>
                  </w:r>
                  <w:r w:rsidR="0039645D">
                    <w:rPr>
                      <w:lang w:val="en-AU"/>
                    </w:rPr>
                    <w:t xml:space="preserve">and </w:t>
                  </w:r>
                </w:p>
                <w:p w14:paraId="0FA28839" w14:textId="7B28BB0A" w:rsidR="00B11F8A" w:rsidRDefault="00B11F8A" w:rsidP="00B11F8A">
                  <w:pPr>
                    <w:pStyle w:val="Bullet1"/>
                    <w:rPr>
                      <w:lang w:val="en-AU"/>
                    </w:rPr>
                  </w:pPr>
                  <w:r>
                    <w:rPr>
                      <w:lang w:val="en-AU"/>
                    </w:rPr>
                    <w:t xml:space="preserve">people who use violence. </w:t>
                  </w:r>
                </w:p>
                <w:p w14:paraId="59F3CEA4" w14:textId="267810CD" w:rsidR="00FE1E75" w:rsidRDefault="00EB700C" w:rsidP="00CC3FB7">
                  <w:pPr>
                    <w:pStyle w:val="Bullet1"/>
                    <w:numPr>
                      <w:ilvl w:val="0"/>
                      <w:numId w:val="0"/>
                    </w:numPr>
                  </w:pPr>
                  <w:r>
                    <w:lastRenderedPageBreak/>
                    <w:t xml:space="preserve">SFVS aims to ensure that in the long-term victim-survivors </w:t>
                  </w:r>
                  <w:r w:rsidR="003E2033">
                    <w:t xml:space="preserve">experience improved personal and family safety, wellbeing, mental </w:t>
                  </w:r>
                  <w:r w:rsidR="0025473F">
                    <w:t>health</w:t>
                  </w:r>
                  <w:r w:rsidR="00BE557A">
                    <w:t>,</w:t>
                  </w:r>
                  <w:r w:rsidR="0025473F">
                    <w:t xml:space="preserve"> and </w:t>
                  </w:r>
                  <w:r w:rsidR="00BE557A">
                    <w:t>self-care</w:t>
                  </w:r>
                  <w:r w:rsidR="0025473F">
                    <w:t xml:space="preserve">. </w:t>
                  </w:r>
                  <w:r w:rsidR="000F0890">
                    <w:t xml:space="preserve">It aims to ensure </w:t>
                  </w:r>
                  <w:r w:rsidR="0039018A">
                    <w:t xml:space="preserve">children are safe, supported and have improved </w:t>
                  </w:r>
                  <w:r w:rsidR="001B1C9A">
                    <w:t>wellbeing</w:t>
                  </w:r>
                  <w:r w:rsidR="0081054A">
                    <w:t>.</w:t>
                  </w:r>
                  <w:r w:rsidR="001B1C9A">
                    <w:t xml:space="preserve"> </w:t>
                  </w:r>
                  <w:r w:rsidR="008F555C">
                    <w:t xml:space="preserve">The aim of </w:t>
                  </w:r>
                  <w:r w:rsidR="001B1C9A">
                    <w:t>MBCP</w:t>
                  </w:r>
                  <w:r w:rsidR="008F555C">
                    <w:t>s funded under SFV</w:t>
                  </w:r>
                  <w:r w:rsidR="00986190">
                    <w:t>S</w:t>
                  </w:r>
                  <w:r w:rsidR="008F555C">
                    <w:t xml:space="preserve"> is </w:t>
                  </w:r>
                  <w:r w:rsidR="001B1C9A">
                    <w:t xml:space="preserve">that </w:t>
                  </w:r>
                  <w:r w:rsidR="001F37E3">
                    <w:t>people who use</w:t>
                  </w:r>
                  <w:r w:rsidR="001B1C9A">
                    <w:t xml:space="preserve"> violence stop using violen</w:t>
                  </w:r>
                  <w:r w:rsidR="001F37E3">
                    <w:t>t</w:t>
                  </w:r>
                  <w:r w:rsidR="001B1C9A">
                    <w:t xml:space="preserve"> and abusive behaviours. </w:t>
                  </w:r>
                </w:p>
                <w:p w14:paraId="2E092CCE" w14:textId="38F63FA1" w:rsidR="008B7518" w:rsidRDefault="008B7518" w:rsidP="008B7518">
                  <w:pPr>
                    <w:pStyle w:val="Bullet1"/>
                    <w:numPr>
                      <w:ilvl w:val="0"/>
                      <w:numId w:val="0"/>
                    </w:numPr>
                    <w:ind w:left="431" w:hanging="431"/>
                  </w:pPr>
                  <w:r>
                    <w:t>SFVS performance measures, as outlined in draft grant agreement material, include:</w:t>
                  </w:r>
                </w:p>
                <w:p w14:paraId="3108B6F6" w14:textId="18B43EFF" w:rsidR="008B7518" w:rsidRPr="008B7518" w:rsidRDefault="008B7518" w:rsidP="008B7518">
                  <w:pPr>
                    <w:pStyle w:val="Bullet1"/>
                  </w:pPr>
                  <w:r w:rsidRPr="008B7518">
                    <w:t xml:space="preserve">number of </w:t>
                  </w:r>
                  <w:r w:rsidR="00E614D3">
                    <w:t xml:space="preserve">service </w:t>
                  </w:r>
                  <w:r w:rsidR="00C731B2">
                    <w:t>users</w:t>
                  </w:r>
                  <w:r w:rsidRPr="008B7518">
                    <w:t xml:space="preserve"> assisted </w:t>
                  </w:r>
                </w:p>
                <w:p w14:paraId="365FCE93" w14:textId="55E168EB" w:rsidR="008B7518" w:rsidRPr="008B7518" w:rsidRDefault="008B7518" w:rsidP="008B7518">
                  <w:pPr>
                    <w:pStyle w:val="Bullet1"/>
                  </w:pPr>
                  <w:r w:rsidRPr="008B7518">
                    <w:t xml:space="preserve">number of events / service instances delivered </w:t>
                  </w:r>
                </w:p>
                <w:p w14:paraId="1484BF60" w14:textId="4382E69F" w:rsidR="008B7518" w:rsidRPr="008B7518" w:rsidRDefault="008B7518" w:rsidP="008B7518">
                  <w:pPr>
                    <w:pStyle w:val="Bullet1"/>
                  </w:pPr>
                  <w:r w:rsidRPr="008B7518">
                    <w:t xml:space="preserve">percentage of participants from priority target groups </w:t>
                  </w:r>
                </w:p>
                <w:p w14:paraId="43AE7920" w14:textId="0FD64725" w:rsidR="008B7518" w:rsidRPr="008B7518" w:rsidRDefault="008B7518" w:rsidP="008B7518">
                  <w:pPr>
                    <w:pStyle w:val="Bullet1"/>
                  </w:pPr>
                  <w:r w:rsidRPr="008B7518">
                    <w:t xml:space="preserve">percentage of </w:t>
                  </w:r>
                  <w:r w:rsidR="00E614D3">
                    <w:t xml:space="preserve">service </w:t>
                  </w:r>
                  <w:r w:rsidR="000049F2">
                    <w:t>users</w:t>
                  </w:r>
                  <w:r w:rsidRPr="008B7518">
                    <w:t xml:space="preserve"> achieving individual goals related to independence, participation, and well-being</w:t>
                  </w:r>
                </w:p>
                <w:p w14:paraId="1769A3C2" w14:textId="47A4856A" w:rsidR="008B7518" w:rsidRPr="008B7518" w:rsidRDefault="008B7518" w:rsidP="008B7518">
                  <w:pPr>
                    <w:pStyle w:val="Bullet1"/>
                  </w:pPr>
                  <w:r w:rsidRPr="008B7518">
                    <w:t xml:space="preserve">percentage of </w:t>
                  </w:r>
                  <w:r w:rsidR="00E614D3">
                    <w:t xml:space="preserve">service </w:t>
                  </w:r>
                  <w:r w:rsidR="000049F2">
                    <w:t>users</w:t>
                  </w:r>
                  <w:r w:rsidRPr="008B7518">
                    <w:t xml:space="preserve"> achieving improved independence, participation, and well-being</w:t>
                  </w:r>
                  <w:r w:rsidR="00956967">
                    <w:t xml:space="preserve">, and </w:t>
                  </w:r>
                </w:p>
                <w:p w14:paraId="5D742D32" w14:textId="4D01F8F7" w:rsidR="008B7518" w:rsidRPr="008B7518" w:rsidRDefault="008B7518" w:rsidP="008B7518">
                  <w:pPr>
                    <w:pStyle w:val="Bullet1"/>
                  </w:pPr>
                  <w:r w:rsidRPr="008B7518">
                    <w:t xml:space="preserve">AWP activities completed according to scope, quality, timeframes, and budget. </w:t>
                  </w:r>
                </w:p>
                <w:p w14:paraId="616EA230" w14:textId="3421FDC9" w:rsidR="008F555C" w:rsidRPr="00B552CA" w:rsidRDefault="008F555C" w:rsidP="00D63E8D">
                  <w:pPr>
                    <w:pStyle w:val="Bullet1"/>
                    <w:numPr>
                      <w:ilvl w:val="0"/>
                      <w:numId w:val="0"/>
                    </w:numPr>
                  </w:pPr>
                  <w:r>
                    <w:t xml:space="preserve">Like FaRS, the Department does not impose limits on the number of sessions a service user </w:t>
                  </w:r>
                  <w:r w:rsidR="00986190">
                    <w:t>can</w:t>
                  </w:r>
                  <w:r>
                    <w:t xml:space="preserve"> access under SFVS, however service providers </w:t>
                  </w:r>
                  <w:r w:rsidR="00986190">
                    <w:t xml:space="preserve">can </w:t>
                  </w:r>
                  <w:r>
                    <w:t>put in place policies and make decisions about the number of sessions provided to service users as part of ensuring efficient service delivery and meeting demand.</w:t>
                  </w:r>
                </w:p>
                <w:p w14:paraId="25631803" w14:textId="5E7E1FC8" w:rsidR="00426DC8" w:rsidRDefault="00FA04F5" w:rsidP="00FE530C">
                  <w:pPr>
                    <w:pStyle w:val="Text"/>
                    <w:rPr>
                      <w:lang w:val="en-AU"/>
                    </w:rPr>
                  </w:pPr>
                  <w:r>
                    <w:rPr>
                      <w:lang w:val="en-AU"/>
                    </w:rPr>
                    <w:t xml:space="preserve">Like FaRS, services funded under the original SFVS can charge fees using an income-based sliding scale. Services are not allowed to refuse access or refer to other services based on incapacity to pay </w:t>
                  </w:r>
                  <w:r w:rsidRPr="00260DCD">
                    <w:rPr>
                      <w:lang w:val="en-AU"/>
                    </w:rPr>
                    <w:t xml:space="preserve">fees </w:t>
                  </w:r>
                  <w:r w:rsidRPr="00260DCD">
                    <w:rPr>
                      <w:lang w:val="en-AU"/>
                    </w:rPr>
                    <w:fldChar w:fldCharType="begin"/>
                  </w:r>
                  <w:r>
                    <w:rPr>
                      <w:lang w:val="en-AU"/>
                    </w:rPr>
                    <w:instrText xml:space="preserve"> ADDIN ZOTERO_ITEM CSL_CITATION {"citationID":"a2jhn8m47j5","properties":{"formattedCitation":"(Department of Social Services, 2021b)","plainCitation":"(Department of Social Services, 2021b)","noteIndex":0},"citationItems":[{"id":4672,"uris":["http://zotero.org/groups/5691188/items/XE5X4C4F"],"itemData":{"id":4672,"type":"document","title":"Family and Relationship Services -  Specialised Family Violence Services Operational Guidelines","author":[{"family":"Department of Social Services","given":""}],"issued":{"date-parts":[["2021",7,1]]}}}],"schema":"https://github.com/citation-style-language/schema/raw/master/csl-citation.json"} </w:instrText>
                  </w:r>
                  <w:r w:rsidRPr="00260DCD">
                    <w:rPr>
                      <w:lang w:val="en-AU"/>
                    </w:rPr>
                    <w:fldChar w:fldCharType="separate"/>
                  </w:r>
                  <w:r w:rsidRPr="00AC138C">
                    <w:rPr>
                      <w:rFonts w:ascii="Arial" w:hAnsi="Arial" w:cs="Arial"/>
                    </w:rPr>
                    <w:t>(Department of Social Services, 2021b)</w:t>
                  </w:r>
                  <w:r w:rsidRPr="00260DCD">
                    <w:rPr>
                      <w:lang w:val="en-AU"/>
                    </w:rPr>
                    <w:fldChar w:fldCharType="end"/>
                  </w:r>
                  <w:r>
                    <w:rPr>
                      <w:lang w:val="en-AU"/>
                    </w:rPr>
                    <w:t xml:space="preserve">. </w:t>
                  </w:r>
                  <w:r w:rsidR="000A2CBD">
                    <w:rPr>
                      <w:lang w:val="en-AU"/>
                    </w:rPr>
                    <w:t xml:space="preserve">Services funded under </w:t>
                  </w:r>
                  <w:r w:rsidR="00345F9D">
                    <w:rPr>
                      <w:lang w:val="en-AU"/>
                    </w:rPr>
                    <w:t>the expansion</w:t>
                  </w:r>
                  <w:r w:rsidR="000A2CBD">
                    <w:rPr>
                      <w:lang w:val="en-AU"/>
                    </w:rPr>
                    <w:t xml:space="preserve"> of SFVS as part of the </w:t>
                  </w:r>
                  <w:r w:rsidR="000A2CBD">
                    <w:rPr>
                      <w:i/>
                      <w:iCs/>
                      <w:lang w:val="en-AU"/>
                    </w:rPr>
                    <w:t xml:space="preserve">Fourth Action Plan – National Plan to Reduce Violence Against Women </w:t>
                  </w:r>
                  <w:r w:rsidR="007F0FD5">
                    <w:rPr>
                      <w:lang w:val="en-AU"/>
                    </w:rPr>
                    <w:t xml:space="preserve">(4AP2) </w:t>
                  </w:r>
                  <w:r w:rsidR="000A2CBD">
                    <w:rPr>
                      <w:i/>
                      <w:iCs/>
                      <w:lang w:val="en-AU"/>
                    </w:rPr>
                    <w:fldChar w:fldCharType="begin"/>
                  </w:r>
                  <w:r w:rsidR="00E41D03">
                    <w:rPr>
                      <w:i/>
                      <w:iCs/>
                      <w:lang w:val="en-AU"/>
                    </w:rPr>
                    <w:instrText xml:space="preserve"> ADDIN ZOTERO_ITEM CSL_CITATION {"citationID":"jK0l8BcN","properties":{"formattedCitation":"(Department of Social Services, 2019)","plainCitation":"(Department of Social Services, 2019)","noteIndex":0},"citationItems":[{"id":5609,"uris":["http://zotero.org/groups/5691188/items/RPQAH2UM"],"itemData":{"id":5609,"type":"report","title":"Fourth Action Plan – National Plan to Reduce Violence against Women and their Children","URL":"https://plan4womenssafety.dss.gov.au/the-national-plan/fourth-action-plan/","author":[{"literal":"Department of Social Services"}],"accessed":{"date-parts":[["2025",7,15]]},"issued":{"date-parts":[["2019"]]}}}],"schema":"https://github.com/citation-style-language/schema/raw/master/csl-citation.json"} </w:instrText>
                  </w:r>
                  <w:r w:rsidR="000A2CBD">
                    <w:rPr>
                      <w:i/>
                      <w:iCs/>
                      <w:lang w:val="en-AU"/>
                    </w:rPr>
                    <w:fldChar w:fldCharType="separate"/>
                  </w:r>
                  <w:r w:rsidR="000A2CBD" w:rsidRPr="0000363B">
                    <w:rPr>
                      <w:rFonts w:ascii="Arial" w:hAnsi="Arial" w:cs="Arial"/>
                    </w:rPr>
                    <w:t>(Department of Social Services, 2019)</w:t>
                  </w:r>
                  <w:r w:rsidR="000A2CBD">
                    <w:rPr>
                      <w:i/>
                      <w:iCs/>
                      <w:lang w:val="en-AU"/>
                    </w:rPr>
                    <w:fldChar w:fldCharType="end"/>
                  </w:r>
                  <w:r w:rsidR="000A2CBD">
                    <w:rPr>
                      <w:lang w:val="en-AU"/>
                    </w:rPr>
                    <w:t xml:space="preserve"> cannot charge fees for service delivery. </w:t>
                  </w:r>
                  <w:r w:rsidR="00D46DDD">
                    <w:rPr>
                      <w:lang w:val="en-AU"/>
                    </w:rPr>
                    <w:br w:type="page"/>
                  </w:r>
                </w:p>
                <w:p w14:paraId="72A41935" w14:textId="6E830607" w:rsidR="00827D9A" w:rsidRPr="008D166F" w:rsidRDefault="00D91BA6" w:rsidP="002E7436">
                  <w:pPr>
                    <w:pStyle w:val="Heading2"/>
                  </w:pPr>
                  <w:bookmarkStart w:id="65" w:name="_Toc204856720"/>
                  <w:bookmarkStart w:id="66" w:name="_Toc208906831"/>
                  <w:r>
                    <w:lastRenderedPageBreak/>
                    <w:t>I</w:t>
                  </w:r>
                  <w:r w:rsidR="00827D9A" w:rsidRPr="008D166F">
                    <w:t>mplementation of FaRS and SFVS funding</w:t>
                  </w:r>
                  <w:bookmarkEnd w:id="65"/>
                  <w:bookmarkEnd w:id="66"/>
                </w:p>
                <w:p w14:paraId="285C3ABE" w14:textId="57CC3226" w:rsidR="0068414E" w:rsidRDefault="0068414E" w:rsidP="00321BC5">
                  <w:pPr>
                    <w:pStyle w:val="Text-BodyHeading"/>
                    <w:spacing w:before="360" w:after="240"/>
                  </w:pPr>
                  <w:bookmarkStart w:id="67" w:name="_Toc199336899"/>
                  <w:bookmarkEnd w:id="67"/>
                  <w:r>
                    <w:t xml:space="preserve">FaRS </w:t>
                  </w:r>
                </w:p>
                <w:p w14:paraId="109B7958" w14:textId="597E1735" w:rsidR="005315BE" w:rsidRDefault="00AF15B8" w:rsidP="00F720D4">
                  <w:pPr>
                    <w:pStyle w:val="Text"/>
                    <w:rPr>
                      <w:lang w:val="en-AU"/>
                    </w:rPr>
                  </w:pPr>
                  <w:r>
                    <w:rPr>
                      <w:lang w:val="en-AU"/>
                    </w:rPr>
                    <w:t xml:space="preserve">In recent years, the Australian Government has made a significant investment in the </w:t>
                  </w:r>
                  <w:r w:rsidR="00215288">
                    <w:rPr>
                      <w:lang w:val="en-AU"/>
                    </w:rPr>
                    <w:t xml:space="preserve">FaRS and SFVS programs. </w:t>
                  </w:r>
                  <w:r w:rsidR="00000CDE" w:rsidRPr="001F7F75">
                    <w:rPr>
                      <w:lang w:val="en-AU"/>
                    </w:rPr>
                    <w:t xml:space="preserve">From 2021-22 to 2025-26, </w:t>
                  </w:r>
                  <w:r w:rsidR="00000CDE">
                    <w:rPr>
                      <w:lang w:val="en-AU"/>
                    </w:rPr>
                    <w:t xml:space="preserve">Australian Government funding for the </w:t>
                  </w:r>
                  <w:r w:rsidR="00000CDE" w:rsidRPr="001F7F75">
                    <w:rPr>
                      <w:lang w:val="en-AU"/>
                    </w:rPr>
                    <w:t xml:space="preserve">FaRS </w:t>
                  </w:r>
                  <w:r w:rsidR="00000CDE">
                    <w:rPr>
                      <w:lang w:val="en-AU"/>
                    </w:rPr>
                    <w:t>program</w:t>
                  </w:r>
                  <w:r w:rsidR="00000CDE" w:rsidRPr="001F7F75">
                    <w:rPr>
                      <w:lang w:val="en-AU"/>
                    </w:rPr>
                    <w:t xml:space="preserve"> totalled $400,345,040. </w:t>
                  </w:r>
                  <w:r w:rsidR="00CE66CE">
                    <w:rPr>
                      <w:lang w:val="en-AU"/>
                    </w:rPr>
                    <w:t>F</w:t>
                  </w:r>
                  <w:r w:rsidR="00000CDE" w:rsidRPr="00041DC9">
                    <w:rPr>
                      <w:lang w:val="en-AU"/>
                    </w:rPr>
                    <w:t>unding has remained stable for each state and territory since 2021-2022</w:t>
                  </w:r>
                  <w:r w:rsidR="00CE66CE">
                    <w:rPr>
                      <w:lang w:val="en-AU"/>
                    </w:rPr>
                    <w:t xml:space="preserve"> (see</w:t>
                  </w:r>
                  <w:r w:rsidR="00CE66CE" w:rsidRPr="0064642B">
                    <w:rPr>
                      <w:b/>
                      <w:bCs/>
                      <w:lang w:val="en-AU"/>
                    </w:rPr>
                    <w:t xml:space="preserve"> </w:t>
                  </w:r>
                  <w:r w:rsidR="00245791" w:rsidRPr="0064642B">
                    <w:rPr>
                      <w:b/>
                      <w:bCs/>
                      <w:lang w:val="en-AU"/>
                    </w:rPr>
                    <w:fldChar w:fldCharType="begin" w:fldLock="1"/>
                  </w:r>
                  <w:r w:rsidR="00245791" w:rsidRPr="0064642B">
                    <w:rPr>
                      <w:b/>
                      <w:bCs/>
                      <w:lang w:val="en-AU"/>
                    </w:rPr>
                    <w:instrText xml:space="preserve"> REF _Ref208508125 \h  \* MERGEFORMAT </w:instrText>
                  </w:r>
                  <w:r w:rsidR="00245791" w:rsidRPr="0064642B">
                    <w:rPr>
                      <w:b/>
                      <w:bCs/>
                      <w:lang w:val="en-AU"/>
                    </w:rPr>
                  </w:r>
                  <w:r w:rsidR="00245791" w:rsidRPr="0064642B">
                    <w:rPr>
                      <w:b/>
                      <w:bCs/>
                      <w:lang w:val="en-AU"/>
                    </w:rPr>
                    <w:fldChar w:fldCharType="separate"/>
                  </w:r>
                  <w:r w:rsidR="008F22E5" w:rsidRPr="008F22E5">
                    <w:t xml:space="preserve">Figure </w:t>
                  </w:r>
                  <w:r w:rsidR="008F22E5" w:rsidRPr="008F22E5">
                    <w:rPr>
                      <w:b/>
                    </w:rPr>
                    <w:t>3</w:t>
                  </w:r>
                  <w:r w:rsidR="00245791" w:rsidRPr="0064642B">
                    <w:rPr>
                      <w:b/>
                      <w:bCs/>
                      <w:lang w:val="en-AU"/>
                    </w:rPr>
                    <w:fldChar w:fldCharType="end"/>
                  </w:r>
                  <w:r w:rsidR="00245791" w:rsidRPr="00287126">
                    <w:rPr>
                      <w:b/>
                      <w:bCs/>
                      <w:lang w:val="en-AU"/>
                    </w:rPr>
                    <w:t xml:space="preserve"> </w:t>
                  </w:r>
                  <w:r w:rsidR="00CE66CE" w:rsidRPr="00287126">
                    <w:rPr>
                      <w:b/>
                      <w:lang w:val="en-AU"/>
                    </w:rPr>
                    <w:t>below</w:t>
                  </w:r>
                  <w:r w:rsidR="00CE66CE">
                    <w:rPr>
                      <w:lang w:val="en-AU"/>
                    </w:rPr>
                    <w:t>).</w:t>
                  </w:r>
                </w:p>
                <w:p w14:paraId="51112672" w14:textId="61C79998" w:rsidR="00245791" w:rsidRPr="006C49E0" w:rsidRDefault="00245791" w:rsidP="00287126">
                  <w:pPr>
                    <w:pStyle w:val="Caption"/>
                    <w:rPr>
                      <w:rStyle w:val="Text-Bold"/>
                      <w:b/>
                      <w:bCs/>
                      <w:sz w:val="21"/>
                      <w:szCs w:val="21"/>
                    </w:rPr>
                  </w:pPr>
                  <w:bookmarkStart w:id="68" w:name="_Ref208508125"/>
                  <w:r w:rsidRPr="006C49E0">
                    <w:rPr>
                      <w:rStyle w:val="Text-Bold"/>
                      <w:b/>
                      <w:bCs/>
                      <w:sz w:val="21"/>
                      <w:szCs w:val="21"/>
                    </w:rPr>
                    <w:t xml:space="preserve">Figure </w:t>
                  </w:r>
                  <w:r w:rsidR="00C64C3D" w:rsidRPr="006C49E0">
                    <w:rPr>
                      <w:rStyle w:val="Text-Bold"/>
                      <w:b/>
                      <w:bCs/>
                      <w:sz w:val="21"/>
                      <w:szCs w:val="21"/>
                    </w:rPr>
                    <w:fldChar w:fldCharType="begin"/>
                  </w:r>
                  <w:r w:rsidR="00C64C3D" w:rsidRPr="006C49E0">
                    <w:rPr>
                      <w:rStyle w:val="Text-Bold"/>
                      <w:b/>
                      <w:bCs/>
                      <w:sz w:val="21"/>
                      <w:szCs w:val="21"/>
                    </w:rPr>
                    <w:instrText xml:space="preserve"> SEQ Figure \* ARABIC </w:instrText>
                  </w:r>
                  <w:r w:rsidR="00C64C3D" w:rsidRPr="006C49E0">
                    <w:rPr>
                      <w:rStyle w:val="Text-Bold"/>
                      <w:b/>
                      <w:bCs/>
                      <w:sz w:val="21"/>
                      <w:szCs w:val="21"/>
                    </w:rPr>
                    <w:fldChar w:fldCharType="separate"/>
                  </w:r>
                  <w:r w:rsidR="008D2566">
                    <w:rPr>
                      <w:rStyle w:val="Text-Bold"/>
                      <w:b/>
                      <w:bCs/>
                      <w:noProof/>
                      <w:sz w:val="21"/>
                      <w:szCs w:val="21"/>
                    </w:rPr>
                    <w:t>3</w:t>
                  </w:r>
                  <w:r w:rsidR="00C64C3D" w:rsidRPr="006C49E0">
                    <w:rPr>
                      <w:rStyle w:val="Text-Bold"/>
                      <w:b/>
                      <w:bCs/>
                      <w:sz w:val="21"/>
                      <w:szCs w:val="21"/>
                    </w:rPr>
                    <w:fldChar w:fldCharType="end"/>
                  </w:r>
                  <w:bookmarkEnd w:id="68"/>
                  <w:r w:rsidRPr="006C49E0">
                    <w:rPr>
                      <w:rStyle w:val="Text-Bold"/>
                      <w:b/>
                      <w:bCs/>
                      <w:sz w:val="21"/>
                      <w:szCs w:val="21"/>
                    </w:rPr>
                    <w:t>: FaRS expenditure from 2021-22 to 2025-26</w:t>
                  </w:r>
                </w:p>
                <w:p w14:paraId="287E54A9" w14:textId="699C4E5D" w:rsidR="00963B32" w:rsidRPr="00253268" w:rsidRDefault="00963B32" w:rsidP="00253268">
                  <w:pPr>
                    <w:pStyle w:val="TableFigureTitle"/>
                  </w:pPr>
                  <w:r>
                    <w:rPr>
                      <w:noProof/>
                    </w:rPr>
                    <w:drawing>
                      <wp:inline distT="0" distB="0" distL="0" distR="0" wp14:anchorId="2C7733C8" wp14:editId="51EEF86C">
                        <wp:extent cx="5454650" cy="3035300"/>
                        <wp:effectExtent l="0" t="0" r="12700" b="12700"/>
                        <wp:docPr id="459559522" name="Chart 1" descr="P268#yIS1">
                          <a:extLst xmlns:a="http://schemas.openxmlformats.org/drawingml/2006/main">
                            <a:ext uri="{FF2B5EF4-FFF2-40B4-BE49-F238E27FC236}">
                              <a16:creationId xmlns:a16="http://schemas.microsoft.com/office/drawing/2014/main" id="{604E72AE-214A-6611-B411-BD8FE761A0E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68E89BC6" w14:textId="3B56F12E" w:rsidR="00000CDE" w:rsidRPr="00FE758C" w:rsidRDefault="00000CDE" w:rsidP="00000CDE">
                  <w:pPr>
                    <w:rPr>
                      <w:i/>
                      <w:sz w:val="20"/>
                      <w:szCs w:val="18"/>
                    </w:rPr>
                  </w:pPr>
                  <w:r w:rsidRPr="00FE758C">
                    <w:rPr>
                      <w:i/>
                      <w:sz w:val="20"/>
                      <w:szCs w:val="18"/>
                    </w:rPr>
                    <w:t xml:space="preserve">Source: FaRS </w:t>
                  </w:r>
                  <w:r w:rsidR="00F702A2">
                    <w:rPr>
                      <w:i/>
                      <w:sz w:val="20"/>
                      <w:szCs w:val="18"/>
                    </w:rPr>
                    <w:t>P</w:t>
                  </w:r>
                  <w:r w:rsidRPr="00FE758C">
                    <w:rPr>
                      <w:i/>
                      <w:sz w:val="20"/>
                      <w:szCs w:val="18"/>
                    </w:rPr>
                    <w:t xml:space="preserve">rogram dashboard </w:t>
                  </w:r>
                  <w:r w:rsidR="00F702A2">
                    <w:rPr>
                      <w:i/>
                      <w:sz w:val="20"/>
                      <w:szCs w:val="18"/>
                    </w:rPr>
                    <w:t xml:space="preserve">supplied by the Department </w:t>
                  </w:r>
                </w:p>
                <w:p w14:paraId="18D65B17" w14:textId="41476BDE" w:rsidR="0068414E" w:rsidRDefault="0068414E" w:rsidP="0068414E">
                  <w:pPr>
                    <w:pStyle w:val="Text"/>
                  </w:pPr>
                  <w:r>
                    <w:t xml:space="preserve">In 2022-23, over </w:t>
                  </w:r>
                  <w:r w:rsidR="7E017B60">
                    <w:t>85,000</w:t>
                  </w:r>
                  <w:r>
                    <w:t xml:space="preserve"> individual service users received a FaRS-funded service.</w:t>
                  </w:r>
                  <w:r w:rsidR="009F21A3">
                    <w:t xml:space="preserve"> </w:t>
                  </w:r>
                  <w:r w:rsidR="00951FBC">
                    <w:t>S</w:t>
                  </w:r>
                  <w:r w:rsidR="009F21A3">
                    <w:t>ervice providers</w:t>
                  </w:r>
                  <w:r w:rsidR="00297F5C">
                    <w:t xml:space="preserve"> delivering these services</w:t>
                  </w:r>
                  <w:r w:rsidR="009F21A3">
                    <w:t xml:space="preserve"> included NGOs across all states and territories</w:t>
                  </w:r>
                  <w:r w:rsidR="00297F5C">
                    <w:t>.</w:t>
                  </w:r>
                </w:p>
                <w:p w14:paraId="1048E737" w14:textId="76281E9F" w:rsidR="0058734C" w:rsidRDefault="0068414E" w:rsidP="0068414E">
                  <w:pPr>
                    <w:pStyle w:val="Text"/>
                    <w:rPr>
                      <w:lang w:val="en-AU"/>
                    </w:rPr>
                  </w:pPr>
                  <w:r>
                    <w:t xml:space="preserve">In 2023/24, </w:t>
                  </w:r>
                  <w:r w:rsidR="00297F5C">
                    <w:t xml:space="preserve">service </w:t>
                  </w:r>
                  <w:r w:rsidR="00FB251D">
                    <w:t>providers delivered</w:t>
                  </w:r>
                  <w:r>
                    <w:t xml:space="preserve"> 293,000 FaRS sessions. </w:t>
                  </w:r>
                  <w:r w:rsidRPr="006F16BC">
                    <w:rPr>
                      <w:lang w:val="en-AU"/>
                    </w:rPr>
                    <w:t xml:space="preserve">The service activities in FaRS covered a range of session types. </w:t>
                  </w:r>
                  <w:r w:rsidR="00943EBD">
                    <w:rPr>
                      <w:lang w:val="en-AU"/>
                    </w:rPr>
                    <w:t>C</w:t>
                  </w:r>
                  <w:r w:rsidRPr="006F16BC">
                    <w:rPr>
                      <w:lang w:val="en-AU"/>
                    </w:rPr>
                    <w:t>ounselling sessions (one-on-one or couple/family counselling)</w:t>
                  </w:r>
                  <w:r w:rsidR="005E4344">
                    <w:rPr>
                      <w:lang w:val="en-AU"/>
                    </w:rPr>
                    <w:t xml:space="preserve"> </w:t>
                  </w:r>
                  <w:r w:rsidRPr="006F16BC">
                    <w:rPr>
                      <w:lang w:val="en-AU"/>
                    </w:rPr>
                    <w:t xml:space="preserve">made up the largest share each year. Other prevalent session types included intake/assessment sessions (initial consultations), information/advice/referral sessions, and advocacy/support sessions for </w:t>
                  </w:r>
                  <w:r>
                    <w:rPr>
                      <w:lang w:val="en-AU"/>
                    </w:rPr>
                    <w:t>service users</w:t>
                  </w:r>
                  <w:r w:rsidRPr="006F16BC">
                    <w:rPr>
                      <w:lang w:val="en-AU"/>
                    </w:rPr>
                    <w:t xml:space="preserve"> navigating services. </w:t>
                  </w:r>
                  <w:r w:rsidR="0058734C">
                    <w:t xml:space="preserve">People seek help from FaRS-funded services for a diversity of issues, including </w:t>
                  </w:r>
                  <w:r w:rsidR="007F58AB">
                    <w:t xml:space="preserve">for example </w:t>
                  </w:r>
                  <w:r w:rsidR="0058734C">
                    <w:t xml:space="preserve">grief and loss of loved ones; mental health issues; family and domestic violence; safety planning; communication difficulties; strengthening family relationships (including after separation) and emotional dysregulation. Service providers delivered a wide range of therapeutic responses, for example: cognitive behavioural therapy, internal family systems therapy, trauma informed counselling, </w:t>
                  </w:r>
                  <w:r w:rsidR="007B1873">
                    <w:t>and</w:t>
                  </w:r>
                  <w:r w:rsidR="0058734C">
                    <w:t xml:space="preserve"> Gottman method relationship and family therapy.</w:t>
                  </w:r>
                </w:p>
                <w:p w14:paraId="798D265A" w14:textId="5D2DDCDC" w:rsidR="0068414E" w:rsidRDefault="0068414E" w:rsidP="0068414E">
                  <w:pPr>
                    <w:pStyle w:val="Text"/>
                  </w:pPr>
                  <w:r w:rsidRPr="006F16BC">
                    <w:rPr>
                      <w:lang w:val="en-AU"/>
                    </w:rPr>
                    <w:t>Education and skills</w:t>
                  </w:r>
                  <w:r w:rsidR="007F58AB">
                    <w:rPr>
                      <w:lang w:val="en-AU"/>
                    </w:rPr>
                    <w:t xml:space="preserve"> </w:t>
                  </w:r>
                  <w:r w:rsidRPr="006F16BC">
                    <w:rPr>
                      <w:lang w:val="en-AU"/>
                    </w:rPr>
                    <w:t>training sessions and group programs were provided in smaller proportions.</w:t>
                  </w:r>
                  <w:r>
                    <w:rPr>
                      <w:lang w:val="en-AU"/>
                    </w:rPr>
                    <w:t xml:space="preserve"> </w:t>
                  </w:r>
                  <w:r w:rsidR="003735A3">
                    <w:rPr>
                      <w:lang w:val="en-AU"/>
                    </w:rPr>
                    <w:t>Most of these programs were parenting courses</w:t>
                  </w:r>
                  <w:r w:rsidR="000136AF">
                    <w:rPr>
                      <w:lang w:val="en-AU"/>
                    </w:rPr>
                    <w:t xml:space="preserve"> which covered topics such as</w:t>
                  </w:r>
                  <w:r>
                    <w:t xml:space="preserve"> understanding the emotional needs and responses of children, </w:t>
                  </w:r>
                  <w:r w:rsidR="000136AF">
                    <w:t>and</w:t>
                  </w:r>
                  <w:r>
                    <w:t xml:space="preserve"> strategies for co-parenting during and after separation. Many of the courses were described as evidence-based and </w:t>
                  </w:r>
                  <w:r>
                    <w:lastRenderedPageBreak/>
                    <w:t xml:space="preserve">catered to the specific needs of children at different stages of their development. The Circle of Security Parenting course was referenced frequently as a FaRS funded service by a range of providers and users. Other notable courses delivered by service providers included Tuning </w:t>
                  </w:r>
                  <w:r w:rsidR="00B85D41">
                    <w:t>in</w:t>
                  </w:r>
                  <w:r>
                    <w:t xml:space="preserve"> To Kids, Parenting After Separation, Keeping Kids in Mind, and the Nurtured Heart Approach. Some service providers reported that they provided specific parenting courses that focused on fathers.</w:t>
                  </w:r>
                  <w:r w:rsidR="00220003">
                    <w:t xml:space="preserve"> Other group programs delivered under FaRS include </w:t>
                  </w:r>
                  <w:r w:rsidR="00220003">
                    <w:rPr>
                      <w:lang w:val="en-AU"/>
                    </w:rPr>
                    <w:t xml:space="preserve">art therapy groups, </w:t>
                  </w:r>
                  <w:r w:rsidR="00805A85">
                    <w:rPr>
                      <w:lang w:val="en-AU"/>
                    </w:rPr>
                    <w:t>and</w:t>
                  </w:r>
                  <w:r w:rsidR="00220003">
                    <w:rPr>
                      <w:lang w:val="en-AU"/>
                    </w:rPr>
                    <w:t xml:space="preserve"> </w:t>
                  </w:r>
                  <w:r w:rsidR="00220003">
                    <w:t>anger management courses and groups for adolescents and young adults</w:t>
                  </w:r>
                  <w:r w:rsidR="00805A85">
                    <w:t xml:space="preserve"> which are delivered both</w:t>
                  </w:r>
                  <w:r w:rsidR="00220003">
                    <w:t xml:space="preserve"> in schools and at service provider locations.</w:t>
                  </w:r>
                </w:p>
                <w:p w14:paraId="0129A71B" w14:textId="5B52C87A" w:rsidR="0068414E" w:rsidRPr="00321BC5" w:rsidRDefault="0068414E" w:rsidP="00321BC5">
                  <w:pPr>
                    <w:pStyle w:val="Text-BodyHeading"/>
                    <w:spacing w:before="360" w:after="240"/>
                  </w:pPr>
                  <w:r>
                    <w:t>SFVS</w:t>
                  </w:r>
                </w:p>
                <w:p w14:paraId="4974AFEA" w14:textId="07BC4D83" w:rsidR="00426DC8" w:rsidRDefault="00191246" w:rsidP="00191246">
                  <w:pPr>
                    <w:pStyle w:val="Bullet1"/>
                    <w:numPr>
                      <w:ilvl w:val="0"/>
                      <w:numId w:val="0"/>
                    </w:numPr>
                    <w:rPr>
                      <w:lang w:val="en-AU"/>
                    </w:rPr>
                  </w:pPr>
                  <w:r>
                    <w:rPr>
                      <w:lang w:val="en-AU"/>
                    </w:rPr>
                    <w:t>SFVS is</w:t>
                  </w:r>
                  <w:r w:rsidR="00827D9A">
                    <w:rPr>
                      <w:lang w:val="en-AU"/>
                    </w:rPr>
                    <w:t xml:space="preserve"> funded </w:t>
                  </w:r>
                  <w:r>
                    <w:rPr>
                      <w:lang w:val="en-AU"/>
                    </w:rPr>
                    <w:t xml:space="preserve">as a sub-activity of FaRS with additional funding provided </w:t>
                  </w:r>
                  <w:r w:rsidR="00827D9A">
                    <w:rPr>
                      <w:lang w:val="en-AU"/>
                    </w:rPr>
                    <w:t xml:space="preserve">under </w:t>
                  </w:r>
                  <w:r>
                    <w:rPr>
                      <w:lang w:val="en-AU"/>
                    </w:rPr>
                    <w:t>4AP2</w:t>
                  </w:r>
                  <w:r>
                    <w:rPr>
                      <w:i/>
                      <w:iCs/>
                      <w:lang w:val="en-AU"/>
                    </w:rPr>
                    <w:t xml:space="preserve"> </w:t>
                  </w:r>
                  <w:r>
                    <w:rPr>
                      <w:i/>
                      <w:iCs/>
                      <w:lang w:val="en-AU"/>
                    </w:rPr>
                    <w:fldChar w:fldCharType="begin"/>
                  </w:r>
                  <w:r w:rsidR="00E41D03">
                    <w:rPr>
                      <w:i/>
                      <w:iCs/>
                      <w:lang w:val="en-AU"/>
                    </w:rPr>
                    <w:instrText xml:space="preserve"> ADDIN ZOTERO_ITEM CSL_CITATION {"citationID":"IlFDDUOu","properties":{"formattedCitation":"(Department of Social Services, 2019)","plainCitation":"(Department of Social Services, 2019)","noteIndex":0},"citationItems":[{"id":5609,"uris":["http://zotero.org/groups/5691188/items/RPQAH2UM"],"itemData":{"id":5609,"type":"report","title":"Fourth Action Plan – National Plan to Reduce Violence against Women and their Children","URL":"https://plan4womenssafety.dss.gov.au/the-national-plan/fourth-action-plan/","author":[{"literal":"Department of Social Services"}],"accessed":{"date-parts":[["2025",7,15]]},"issued":{"date-parts":[["2019"]]}}}],"schema":"https://github.com/citation-style-language/schema/raw/master/csl-citation.json"} </w:instrText>
                  </w:r>
                  <w:r>
                    <w:rPr>
                      <w:i/>
                      <w:iCs/>
                      <w:lang w:val="en-AU"/>
                    </w:rPr>
                    <w:fldChar w:fldCharType="separate"/>
                  </w:r>
                  <w:r w:rsidRPr="0000363B">
                    <w:rPr>
                      <w:rFonts w:ascii="Arial" w:hAnsi="Arial" w:cs="Arial"/>
                    </w:rPr>
                    <w:t>(Department of Social Services, 2019)</w:t>
                  </w:r>
                  <w:r>
                    <w:rPr>
                      <w:i/>
                      <w:iCs/>
                      <w:lang w:val="en-AU"/>
                    </w:rPr>
                    <w:fldChar w:fldCharType="end"/>
                  </w:r>
                  <w:r>
                    <w:rPr>
                      <w:lang w:val="en-AU"/>
                    </w:rPr>
                    <w:t>. From 2021-202</w:t>
                  </w:r>
                  <w:r w:rsidR="0097062E">
                    <w:rPr>
                      <w:lang w:val="en-AU"/>
                    </w:rPr>
                    <w:t>2</w:t>
                  </w:r>
                  <w:r>
                    <w:rPr>
                      <w:lang w:val="en-AU"/>
                    </w:rPr>
                    <w:t xml:space="preserve"> to 2026-27 SFVS received $45,854,483</w:t>
                  </w:r>
                  <w:r w:rsidR="00234005">
                    <w:rPr>
                      <w:lang w:val="en-AU"/>
                    </w:rPr>
                    <w:t xml:space="preserve"> of FaRS funding</w:t>
                  </w:r>
                  <w:r>
                    <w:rPr>
                      <w:lang w:val="en-AU"/>
                    </w:rPr>
                    <w:t>. From 2022-23 to 2026-27 SFVS received $14,852,076</w:t>
                  </w:r>
                  <w:r w:rsidR="00234005">
                    <w:rPr>
                      <w:lang w:val="en-AU"/>
                    </w:rPr>
                    <w:t xml:space="preserve"> under 4AP2</w:t>
                  </w:r>
                  <w:r>
                    <w:rPr>
                      <w:lang w:val="en-AU"/>
                    </w:rPr>
                    <w:t>. SFVS funding increased from 2021-22 to 2023-24</w:t>
                  </w:r>
                  <w:r w:rsidR="00D44BD7">
                    <w:rPr>
                      <w:lang w:val="en-AU"/>
                    </w:rPr>
                    <w:t>. SFVS funding grants end on 30 June 2026 resulting in</w:t>
                  </w:r>
                  <w:r w:rsidR="001B5800">
                    <w:rPr>
                      <w:lang w:val="en-AU"/>
                    </w:rPr>
                    <w:t xml:space="preserve"> the steep decline shown below </w:t>
                  </w:r>
                  <w:r w:rsidR="00A72100">
                    <w:rPr>
                      <w:lang w:val="en-AU"/>
                    </w:rPr>
                    <w:t xml:space="preserve">(see </w:t>
                  </w:r>
                  <w:r w:rsidR="00A72100" w:rsidRPr="00B30B11">
                    <w:rPr>
                      <w:b/>
                      <w:bCs/>
                      <w:lang w:val="en-AU"/>
                    </w:rPr>
                    <w:fldChar w:fldCharType="begin" w:fldLock="1"/>
                  </w:r>
                  <w:r w:rsidR="00A72100" w:rsidRPr="00B30B11">
                    <w:rPr>
                      <w:b/>
                      <w:bCs/>
                      <w:lang w:val="en-AU"/>
                    </w:rPr>
                    <w:instrText xml:space="preserve"> REF _Ref205317305 \h </w:instrText>
                  </w:r>
                  <w:r w:rsidR="00A72100">
                    <w:rPr>
                      <w:b/>
                      <w:bCs/>
                      <w:lang w:val="en-AU"/>
                    </w:rPr>
                    <w:instrText xml:space="preserve"> \* MERGEFORMAT </w:instrText>
                  </w:r>
                  <w:r w:rsidR="00A72100" w:rsidRPr="00B30B11">
                    <w:rPr>
                      <w:b/>
                      <w:bCs/>
                      <w:lang w:val="en-AU"/>
                    </w:rPr>
                  </w:r>
                  <w:r w:rsidR="00A72100" w:rsidRPr="00B30B11">
                    <w:rPr>
                      <w:b/>
                      <w:bCs/>
                      <w:lang w:val="en-AU"/>
                    </w:rPr>
                    <w:fldChar w:fldCharType="separate"/>
                  </w:r>
                  <w:r w:rsidR="008F22E5" w:rsidRPr="008F22E5">
                    <w:rPr>
                      <w:rStyle w:val="Text-Bold"/>
                      <w:szCs w:val="22"/>
                    </w:rPr>
                    <w:t xml:space="preserve">Figure </w:t>
                  </w:r>
                  <w:r w:rsidR="008F22E5" w:rsidRPr="008F22E5">
                    <w:rPr>
                      <w:b/>
                      <w:bCs/>
                    </w:rPr>
                    <w:t>4</w:t>
                  </w:r>
                  <w:r w:rsidR="00A72100" w:rsidRPr="00B30B11">
                    <w:rPr>
                      <w:b/>
                      <w:bCs/>
                      <w:lang w:val="en-AU"/>
                    </w:rPr>
                    <w:fldChar w:fldCharType="end"/>
                  </w:r>
                  <w:r w:rsidR="00A72100">
                    <w:rPr>
                      <w:lang w:val="en-AU"/>
                    </w:rPr>
                    <w:t xml:space="preserve"> below</w:t>
                  </w:r>
                  <w:r w:rsidR="00CE66CE">
                    <w:rPr>
                      <w:lang w:val="en-AU"/>
                    </w:rPr>
                    <w:t>).</w:t>
                  </w:r>
                  <w:r w:rsidRPr="00041DC9">
                    <w:rPr>
                      <w:lang w:val="en-AU"/>
                    </w:rPr>
                    <w:t xml:space="preserve"> </w:t>
                  </w:r>
                </w:p>
                <w:p w14:paraId="3431C822" w14:textId="4595563E" w:rsidR="00191246" w:rsidRPr="006C49E0" w:rsidRDefault="00191246" w:rsidP="008E1B83">
                  <w:pPr>
                    <w:pStyle w:val="TableFigure-Header"/>
                    <w:rPr>
                      <w:szCs w:val="21"/>
                      <w:lang w:val="en-AU"/>
                    </w:rPr>
                  </w:pPr>
                  <w:bookmarkStart w:id="69" w:name="_Ref205317305"/>
                  <w:bookmarkStart w:id="70" w:name="_Toc205413054"/>
                  <w:bookmarkStart w:id="71" w:name="_Toc205413108"/>
                  <w:r w:rsidRPr="006C49E0">
                    <w:rPr>
                      <w:rStyle w:val="Text-Bold"/>
                      <w:b/>
                      <w:szCs w:val="21"/>
                    </w:rPr>
                    <w:t xml:space="preserve">Figure </w:t>
                  </w:r>
                  <w:r w:rsidR="00C64C3D" w:rsidRPr="006C49E0">
                    <w:rPr>
                      <w:rStyle w:val="Text-Bold"/>
                      <w:b/>
                      <w:szCs w:val="21"/>
                    </w:rPr>
                    <w:fldChar w:fldCharType="begin"/>
                  </w:r>
                  <w:r w:rsidR="00C64C3D" w:rsidRPr="006C49E0">
                    <w:rPr>
                      <w:rStyle w:val="Text-Bold"/>
                      <w:b/>
                      <w:szCs w:val="21"/>
                    </w:rPr>
                    <w:instrText xml:space="preserve"> SEQ Figure \* ARABIC </w:instrText>
                  </w:r>
                  <w:r w:rsidR="00C64C3D" w:rsidRPr="006C49E0">
                    <w:rPr>
                      <w:rStyle w:val="Text-Bold"/>
                      <w:b/>
                      <w:szCs w:val="21"/>
                    </w:rPr>
                    <w:fldChar w:fldCharType="separate"/>
                  </w:r>
                  <w:r w:rsidR="008D2566">
                    <w:rPr>
                      <w:rStyle w:val="Text-Bold"/>
                      <w:b/>
                      <w:noProof/>
                      <w:szCs w:val="21"/>
                    </w:rPr>
                    <w:t>4</w:t>
                  </w:r>
                  <w:r w:rsidR="00C64C3D" w:rsidRPr="006C49E0">
                    <w:rPr>
                      <w:rStyle w:val="Text-Bold"/>
                      <w:b/>
                      <w:szCs w:val="21"/>
                    </w:rPr>
                    <w:fldChar w:fldCharType="end"/>
                  </w:r>
                  <w:bookmarkEnd w:id="69"/>
                  <w:r w:rsidRPr="006C49E0">
                    <w:rPr>
                      <w:rStyle w:val="Text-Bold"/>
                      <w:b/>
                      <w:szCs w:val="21"/>
                    </w:rPr>
                    <w:t>: SFVS expenditure from 2021-22 to 2025-26</w:t>
                  </w:r>
                  <w:r w:rsidR="00E055C8">
                    <w:rPr>
                      <w:rStyle w:val="Text-Bold"/>
                      <w:rFonts w:ascii="ZWAdobeF" w:hAnsi="ZWAdobeF" w:cs="ZWAdobeF"/>
                      <w:sz w:val="2"/>
                      <w:szCs w:val="2"/>
                    </w:rPr>
                    <w:t>1F</w:t>
                  </w:r>
                  <w:r w:rsidRPr="006C49E0">
                    <w:rPr>
                      <w:rStyle w:val="FootnoteReference"/>
                      <w:szCs w:val="21"/>
                    </w:rPr>
                    <w:footnoteReference w:id="3"/>
                  </w:r>
                  <w:bookmarkEnd w:id="70"/>
                  <w:bookmarkEnd w:id="71"/>
                  <w:r w:rsidR="008072B4" w:rsidRPr="006C49E0">
                    <w:rPr>
                      <w:rStyle w:val="Text-Bold"/>
                      <w:b/>
                      <w:bCs/>
                      <w:szCs w:val="21"/>
                    </w:rPr>
                    <w:t xml:space="preserve"> </w:t>
                  </w:r>
                </w:p>
                <w:p w14:paraId="1FCD2996" w14:textId="116F4376" w:rsidR="00997B62" w:rsidRDefault="00997B62" w:rsidP="00F702A2">
                  <w:pPr>
                    <w:pStyle w:val="Text"/>
                    <w:rPr>
                      <w:i/>
                      <w:sz w:val="20"/>
                      <w:lang w:val="en-AU"/>
                    </w:rPr>
                  </w:pPr>
                  <w:r>
                    <w:rPr>
                      <w:noProof/>
                    </w:rPr>
                    <w:drawing>
                      <wp:inline distT="0" distB="0" distL="0" distR="0" wp14:anchorId="52987059" wp14:editId="113CBE74">
                        <wp:extent cx="5733415" cy="3631565"/>
                        <wp:effectExtent l="0" t="0" r="635" b="6985"/>
                        <wp:docPr id="1696622983" name="Chart 1" descr="P276#yIS1">
                          <a:extLst xmlns:a="http://schemas.openxmlformats.org/drawingml/2006/main">
                            <a:ext uri="{FF2B5EF4-FFF2-40B4-BE49-F238E27FC236}">
                              <a16:creationId xmlns:a16="http://schemas.microsoft.com/office/drawing/2014/main" id="{1D50AA74-50EA-AFBF-3018-A7A0CD656E4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5D8F8AA7" w14:textId="081B7110" w:rsidR="00000CDE" w:rsidRPr="00F702A2" w:rsidRDefault="00191246" w:rsidP="00F702A2">
                  <w:pPr>
                    <w:pStyle w:val="Text"/>
                    <w:rPr>
                      <w:lang w:val="en-AU"/>
                    </w:rPr>
                  </w:pPr>
                  <w:r w:rsidRPr="00FE758C">
                    <w:rPr>
                      <w:i/>
                      <w:sz w:val="20"/>
                      <w:szCs w:val="18"/>
                      <w:lang w:val="en-AU"/>
                    </w:rPr>
                    <w:t xml:space="preserve">Source: </w:t>
                  </w:r>
                  <w:r w:rsidR="006A152C">
                    <w:rPr>
                      <w:i/>
                      <w:sz w:val="20"/>
                      <w:szCs w:val="18"/>
                      <w:lang w:val="en-AU"/>
                    </w:rPr>
                    <w:t>SFVS</w:t>
                  </w:r>
                  <w:r w:rsidRPr="00FE758C">
                    <w:rPr>
                      <w:i/>
                      <w:sz w:val="20"/>
                      <w:szCs w:val="18"/>
                      <w:lang w:val="en-AU"/>
                    </w:rPr>
                    <w:t xml:space="preserve"> program dashboard </w:t>
                  </w:r>
                  <w:r w:rsidR="00F702A2">
                    <w:rPr>
                      <w:i/>
                      <w:sz w:val="20"/>
                      <w:szCs w:val="18"/>
                      <w:lang w:val="en-AU"/>
                    </w:rPr>
                    <w:t>supplied by the Department</w:t>
                  </w:r>
                </w:p>
                <w:p w14:paraId="0DD7C604" w14:textId="1BEEB0DA" w:rsidR="00827D9A" w:rsidRPr="00AB171A" w:rsidRDefault="00827D9A" w:rsidP="007458E9">
                  <w:pPr>
                    <w:pStyle w:val="Text"/>
                  </w:pPr>
                  <w:r>
                    <w:t>Services funded under SFVS include (but are not limited to)</w:t>
                  </w:r>
                  <w:r w:rsidR="00DE6B29">
                    <w:t xml:space="preserve"> </w:t>
                  </w:r>
                  <w:r w:rsidR="00DC73A1">
                    <w:t>MBCP</w:t>
                  </w:r>
                  <w:r w:rsidR="00DE6B29">
                    <w:t xml:space="preserve"> and </w:t>
                  </w:r>
                  <w:r w:rsidR="00DC73A1">
                    <w:t>other</w:t>
                  </w:r>
                  <w:r w:rsidR="00DE6B29">
                    <w:t xml:space="preserve"> </w:t>
                  </w:r>
                  <w:r w:rsidR="00DC73A1">
                    <w:t>supports for people who use violence</w:t>
                  </w:r>
                  <w:r w:rsidR="00DE6B29">
                    <w:t xml:space="preserve">; individual, group, couples, and families counselling for service users; </w:t>
                  </w:r>
                  <w:r w:rsidR="0022533C">
                    <w:t xml:space="preserve">child specific counselling </w:t>
                  </w:r>
                  <w:r w:rsidR="00DB0FAA">
                    <w:t xml:space="preserve">and </w:t>
                  </w:r>
                  <w:r w:rsidR="00DE6B29">
                    <w:t xml:space="preserve">education initiatives (including some targeted at school-aged children). </w:t>
                  </w:r>
                  <w:r w:rsidR="00DB0FAA" w:rsidRPr="596BDFB0">
                    <w:rPr>
                      <w:lang w:val="en-AU"/>
                    </w:rPr>
                    <w:t>Thirty-</w:t>
                  </w:r>
                  <w:r w:rsidR="3325C4BA" w:rsidRPr="596BDFB0">
                    <w:rPr>
                      <w:lang w:val="en-AU"/>
                    </w:rPr>
                    <w:t xml:space="preserve">eight </w:t>
                  </w:r>
                  <w:r w:rsidR="007458E9" w:rsidRPr="596BDFB0">
                    <w:rPr>
                      <w:lang w:val="en-AU"/>
                    </w:rPr>
                    <w:t xml:space="preserve">organisations </w:t>
                  </w:r>
                  <w:r w:rsidR="00DB0FAA" w:rsidRPr="596BDFB0">
                    <w:rPr>
                      <w:lang w:val="en-AU"/>
                    </w:rPr>
                    <w:t>delivered SFVS services</w:t>
                  </w:r>
                  <w:r w:rsidR="007458E9" w:rsidRPr="596BDFB0">
                    <w:rPr>
                      <w:lang w:val="en-AU"/>
                    </w:rPr>
                    <w:t xml:space="preserve"> in</w:t>
                  </w:r>
                  <w:r w:rsidRPr="596BDFB0">
                    <w:rPr>
                      <w:lang w:val="en-AU"/>
                    </w:rPr>
                    <w:t xml:space="preserve"> 2023-24. </w:t>
                  </w:r>
                  <w:r w:rsidR="001161B4" w:rsidRPr="596BDFB0">
                    <w:rPr>
                      <w:lang w:val="en-AU"/>
                    </w:rPr>
                    <w:t xml:space="preserve">Most SFVS service </w:t>
                  </w:r>
                  <w:r w:rsidR="001161B4" w:rsidRPr="596BDFB0">
                    <w:rPr>
                      <w:lang w:val="en-AU"/>
                    </w:rPr>
                    <w:lastRenderedPageBreak/>
                    <w:t>providers also offer FaRS</w:t>
                  </w:r>
                  <w:r w:rsidR="007458E9" w:rsidRPr="596BDFB0">
                    <w:rPr>
                      <w:lang w:val="en-AU"/>
                    </w:rPr>
                    <w:t>. B</w:t>
                  </w:r>
                  <w:r w:rsidRPr="596BDFB0">
                    <w:rPr>
                      <w:lang w:val="en-AU"/>
                    </w:rPr>
                    <w:t xml:space="preserve">y 2022–23, SFVS providers were present in every state/territory, </w:t>
                  </w:r>
                  <w:r w:rsidR="00D214DA" w:rsidRPr="596BDFB0">
                    <w:rPr>
                      <w:lang w:val="en-AU"/>
                    </w:rPr>
                    <w:t>al</w:t>
                  </w:r>
                  <w:r w:rsidRPr="596BDFB0">
                    <w:rPr>
                      <w:lang w:val="en-AU"/>
                    </w:rPr>
                    <w:t xml:space="preserve">though </w:t>
                  </w:r>
                  <w:r w:rsidR="00C84B93" w:rsidRPr="596BDFB0">
                    <w:rPr>
                      <w:lang w:val="en-AU"/>
                    </w:rPr>
                    <w:t>services have been</w:t>
                  </w:r>
                  <w:r w:rsidRPr="596BDFB0">
                    <w:rPr>
                      <w:lang w:val="en-AU"/>
                    </w:rPr>
                    <w:t xml:space="preserve"> targeted to</w:t>
                  </w:r>
                  <w:r w:rsidR="00C84B93" w:rsidRPr="596BDFB0">
                    <w:rPr>
                      <w:lang w:val="en-AU"/>
                    </w:rPr>
                    <w:t>wards</w:t>
                  </w:r>
                  <w:r w:rsidRPr="596BDFB0">
                    <w:rPr>
                      <w:lang w:val="en-AU"/>
                    </w:rPr>
                    <w:t xml:space="preserve"> areas of </w:t>
                  </w:r>
                  <w:r w:rsidR="00C84B93" w:rsidRPr="596BDFB0">
                    <w:rPr>
                      <w:lang w:val="en-AU"/>
                    </w:rPr>
                    <w:t xml:space="preserve">identified </w:t>
                  </w:r>
                  <w:r w:rsidRPr="596BDFB0">
                    <w:rPr>
                      <w:lang w:val="en-AU"/>
                    </w:rPr>
                    <w:t>need</w:t>
                  </w:r>
                  <w:r w:rsidR="007458E9" w:rsidRPr="596BDFB0">
                    <w:rPr>
                      <w:lang w:val="en-AU"/>
                    </w:rPr>
                    <w:t>.</w:t>
                  </w:r>
                  <w:r w:rsidR="00A03B77">
                    <w:t xml:space="preserve"> Eight organisations are specifically funded to deliver CSC services (all member organisations of Relationship Australia) and </w:t>
                  </w:r>
                  <w:r w:rsidR="00CA5AEC">
                    <w:t>10</w:t>
                  </w:r>
                  <w:r w:rsidR="00A03B77">
                    <w:t xml:space="preserve"> are funded to deliver MBCPs. </w:t>
                  </w:r>
                </w:p>
                <w:p w14:paraId="76C4DD49" w14:textId="7D142385" w:rsidR="00037352" w:rsidRPr="00776424" w:rsidRDefault="0017514C" w:rsidP="7E5B77D9">
                  <w:pPr>
                    <w:pStyle w:val="Text"/>
                  </w:pPr>
                  <w:r w:rsidRPr="7E5B77D9">
                    <w:t xml:space="preserve">In 2023/24, </w:t>
                  </w:r>
                  <w:r w:rsidR="008736FC">
                    <w:t xml:space="preserve">service providers delivered </w:t>
                  </w:r>
                  <w:r w:rsidR="035CB385">
                    <w:t xml:space="preserve">over </w:t>
                  </w:r>
                  <w:r w:rsidR="008C5616" w:rsidRPr="7E5B77D9">
                    <w:t>37,</w:t>
                  </w:r>
                  <w:r w:rsidR="1B9A850B" w:rsidRPr="7E5B77D9">
                    <w:t>0</w:t>
                  </w:r>
                  <w:r w:rsidR="008C5616" w:rsidRPr="7E5B77D9">
                    <w:t>00 SFVS sessions</w:t>
                  </w:r>
                  <w:r w:rsidR="00BB6A73" w:rsidRPr="7E5B77D9">
                    <w:t>.</w:t>
                  </w:r>
                  <w:r w:rsidR="00E050E6" w:rsidRPr="7E5B77D9">
                    <w:rPr>
                      <w:rFonts w:ascii="Arial" w:hAnsi="Arial"/>
                      <w:kern w:val="2"/>
                      <w:sz w:val="24"/>
                      <w:szCs w:val="24"/>
                      <w14:ligatures w14:val="standardContextual"/>
                    </w:rPr>
                    <w:t xml:space="preserve"> </w:t>
                  </w:r>
                  <w:r w:rsidR="00E050E6" w:rsidRPr="7E5B77D9">
                    <w:t>SFVS sessions were a mix of counselling (including trauma-informed therapy for women and children), advocacy/support sessions (help with safety planning, referrals to refuges, etc.), child-focused counselling or play therapy, and community education</w:t>
                  </w:r>
                  <w:r w:rsidR="00FC12E7">
                    <w:t>.</w:t>
                  </w:r>
                  <w:r w:rsidR="007132BE">
                    <w:t xml:space="preserve"> </w:t>
                  </w:r>
                  <w:r w:rsidR="005C0A2E" w:rsidRPr="7E5B77D9">
                    <w:t>Overall, counselling and advocacy/support were the dominant session types, while education and group activities formed a smaller portion. Intake/assessment was also important at the start of service.</w:t>
                  </w:r>
                </w:p>
                <w:p w14:paraId="41D8C15E" w14:textId="7D30F4C2" w:rsidR="00827D9A" w:rsidRPr="00F52DC7" w:rsidRDefault="006F3028" w:rsidP="00827D9A">
                  <w:pPr>
                    <w:pStyle w:val="Text"/>
                    <w:rPr>
                      <w:lang w:val="en-AU"/>
                    </w:rPr>
                  </w:pPr>
                  <w:r>
                    <w:t>MBCPs</w:t>
                  </w:r>
                  <w:r w:rsidR="00827D9A">
                    <w:t xml:space="preserve"> </w:t>
                  </w:r>
                  <w:r w:rsidR="007132BE">
                    <w:t xml:space="preserve">are </w:t>
                  </w:r>
                  <w:r w:rsidR="00827D9A">
                    <w:t xml:space="preserve">a key component of SFVS offerings for people that use violence. </w:t>
                  </w:r>
                  <w:r w:rsidR="00445F4E" w:rsidRPr="596BDFB0">
                    <w:rPr>
                      <w:lang w:val="en-AU"/>
                    </w:rPr>
                    <w:t xml:space="preserve">MBCPs are typically </w:t>
                  </w:r>
                  <w:r w:rsidR="007132BE" w:rsidRPr="596BDFB0">
                    <w:rPr>
                      <w:lang w:val="en-AU"/>
                    </w:rPr>
                    <w:t xml:space="preserve">run </w:t>
                  </w:r>
                  <w:r w:rsidR="00445F4E" w:rsidRPr="596BDFB0">
                    <w:rPr>
                      <w:lang w:val="en-AU"/>
                    </w:rPr>
                    <w:t xml:space="preserve">in a group format, with cohorts of 10–15 men meeting for a series of sessions. </w:t>
                  </w:r>
                  <w:r w:rsidR="00F251D8" w:rsidRPr="596BDFB0">
                    <w:rPr>
                      <w:lang w:val="en-AU"/>
                    </w:rPr>
                    <w:t xml:space="preserve">It is estimated that </w:t>
                  </w:r>
                  <w:r w:rsidR="0A660303" w:rsidRPr="596BDFB0">
                    <w:rPr>
                      <w:lang w:val="en-AU"/>
                    </w:rPr>
                    <w:t>6</w:t>
                  </w:r>
                  <w:r w:rsidR="45BB7265" w:rsidRPr="596BDFB0">
                    <w:rPr>
                      <w:lang w:val="en-AU"/>
                    </w:rPr>
                    <w:t>,93</w:t>
                  </w:r>
                  <w:r w:rsidR="00F251D8" w:rsidRPr="596BDFB0">
                    <w:rPr>
                      <w:lang w:val="en-AU"/>
                    </w:rPr>
                    <w:t>0 MBCP sessions were run</w:t>
                  </w:r>
                  <w:r w:rsidR="00FA0A3E" w:rsidRPr="596BDFB0">
                    <w:rPr>
                      <w:lang w:val="en-AU"/>
                    </w:rPr>
                    <w:t xml:space="preserve"> in 2023</w:t>
                  </w:r>
                  <w:r w:rsidR="00426DC8" w:rsidRPr="596BDFB0">
                    <w:rPr>
                      <w:lang w:val="en-AU"/>
                    </w:rPr>
                    <w:t>-</w:t>
                  </w:r>
                  <w:r w:rsidR="00FA0A3E" w:rsidRPr="596BDFB0">
                    <w:rPr>
                      <w:lang w:val="en-AU"/>
                    </w:rPr>
                    <w:t>24.</w:t>
                  </w:r>
                  <w:r w:rsidR="00F52DC7" w:rsidRPr="596BDFB0">
                    <w:rPr>
                      <w:lang w:val="en-AU"/>
                    </w:rPr>
                    <w:t xml:space="preserve"> These </w:t>
                  </w:r>
                  <w:r w:rsidR="00F251D8" w:rsidRPr="596BDFB0">
                    <w:rPr>
                      <w:lang w:val="en-AU"/>
                    </w:rPr>
                    <w:t xml:space="preserve">sessions </w:t>
                  </w:r>
                  <w:r w:rsidR="00F52DC7" w:rsidRPr="596BDFB0">
                    <w:rPr>
                      <w:lang w:val="en-AU"/>
                    </w:rPr>
                    <w:t>include</w:t>
                  </w:r>
                  <w:r w:rsidR="667D7AC9" w:rsidRPr="596BDFB0">
                    <w:rPr>
                      <w:lang w:val="en-AU"/>
                    </w:rPr>
                    <w:t xml:space="preserve"> </w:t>
                  </w:r>
                  <w:r w:rsidR="06E2A585" w:rsidRPr="596BDFB0">
                    <w:rPr>
                      <w:lang w:val="en-AU"/>
                    </w:rPr>
                    <w:t>counselling, intake, information/</w:t>
                  </w:r>
                  <w:r w:rsidR="003B3551" w:rsidRPr="596BDFB0">
                    <w:rPr>
                      <w:lang w:val="en-AU"/>
                    </w:rPr>
                    <w:t>advice</w:t>
                  </w:r>
                  <w:r w:rsidR="06E2A585" w:rsidRPr="596BDFB0">
                    <w:rPr>
                      <w:lang w:val="en-AU"/>
                    </w:rPr>
                    <w:t>/referral, education and skills</w:t>
                  </w:r>
                  <w:r w:rsidR="00F52DC7" w:rsidRPr="596BDFB0">
                    <w:rPr>
                      <w:lang w:val="en-AU"/>
                    </w:rPr>
                    <w:t xml:space="preserve">. </w:t>
                  </w:r>
                  <w:r w:rsidR="00827D9A">
                    <w:t xml:space="preserve">Some programs consisted of a module approach, in which each module focused on a specific theme. Some groups ran on a rolling basis. </w:t>
                  </w:r>
                  <w:r w:rsidR="009328B1">
                    <w:t xml:space="preserve">Service providers delivering </w:t>
                  </w:r>
                  <w:r w:rsidR="00533B8F">
                    <w:t>MBCPs</w:t>
                  </w:r>
                  <w:r w:rsidR="00827D9A">
                    <w:t xml:space="preserve"> had parallel engagement with victim survivors to promote safety and accountability where </w:t>
                  </w:r>
                  <w:r w:rsidR="003A5351">
                    <w:t>appropriate</w:t>
                  </w:r>
                  <w:r w:rsidR="00827D9A">
                    <w:t>.</w:t>
                  </w:r>
                </w:p>
                <w:p w14:paraId="0AD39913" w14:textId="711AC515" w:rsidR="00827D9A" w:rsidRDefault="00426DC8" w:rsidP="00400828">
                  <w:pPr>
                    <w:pStyle w:val="Text"/>
                  </w:pPr>
                  <w:r>
                    <w:t>CSC</w:t>
                  </w:r>
                  <w:r w:rsidR="00965E7F">
                    <w:t xml:space="preserve"> </w:t>
                  </w:r>
                  <w:r w:rsidR="003A5351">
                    <w:t xml:space="preserve">services </w:t>
                  </w:r>
                  <w:r w:rsidR="00965E7F">
                    <w:t>provide children with access to counselling support under SFVS</w:t>
                  </w:r>
                  <w:r w:rsidR="00533B8F">
                    <w:t xml:space="preserve"> and</w:t>
                  </w:r>
                  <w:r w:rsidR="00965E7F">
                    <w:t xml:space="preserve"> are delivered solely by Relationships Australia (RA). </w:t>
                  </w:r>
                  <w:r w:rsidR="00D818BF">
                    <w:t>In 2023</w:t>
                  </w:r>
                  <w:r>
                    <w:t>-</w:t>
                  </w:r>
                  <w:r w:rsidR="00D818BF">
                    <w:t xml:space="preserve">24, </w:t>
                  </w:r>
                  <w:r w:rsidR="00FF721F">
                    <w:t>1,</w:t>
                  </w:r>
                  <w:r w:rsidR="3FEC9C02">
                    <w:t>861</w:t>
                  </w:r>
                  <w:r w:rsidR="00FF721F">
                    <w:t xml:space="preserve"> </w:t>
                  </w:r>
                  <w:r w:rsidR="001E5502">
                    <w:t>service users</w:t>
                  </w:r>
                  <w:r w:rsidR="00FF721F">
                    <w:t xml:space="preserve"> </w:t>
                  </w:r>
                  <w:r w:rsidR="00FE261D">
                    <w:t xml:space="preserve">received </w:t>
                  </w:r>
                  <w:r w:rsidR="00965E7F">
                    <w:t>counselling</w:t>
                  </w:r>
                  <w:r w:rsidR="001E5502">
                    <w:t xml:space="preserve"> through CSC</w:t>
                  </w:r>
                  <w:r w:rsidR="00FE261D">
                    <w:t xml:space="preserve">. </w:t>
                  </w:r>
                  <w:r>
                    <w:rPr>
                      <w:lang w:val="en-AU"/>
                    </w:rPr>
                    <w:t>CSC</w:t>
                  </w:r>
                  <w:r w:rsidR="005F03CF" w:rsidRPr="005F03CF">
                    <w:rPr>
                      <w:lang w:val="en-AU"/>
                    </w:rPr>
                    <w:t xml:space="preserve"> programs were primarily one-on-one services with children</w:t>
                  </w:r>
                  <w:r w:rsidR="00965E7F">
                    <w:rPr>
                      <w:lang w:val="en-AU"/>
                    </w:rPr>
                    <w:t>, and sometimes their caregivers</w:t>
                  </w:r>
                  <w:r w:rsidR="001A285D">
                    <w:rPr>
                      <w:lang w:val="en-AU"/>
                    </w:rPr>
                    <w:t>,</w:t>
                  </w:r>
                  <w:r w:rsidR="00965E7F">
                    <w:rPr>
                      <w:lang w:val="en-AU"/>
                    </w:rPr>
                    <w:t xml:space="preserve"> and were aimed at those experiencing or at risk of experiencing family violence. </w:t>
                  </w:r>
                  <w:r w:rsidR="005F03CF" w:rsidRPr="005F03CF">
                    <w:rPr>
                      <w:lang w:val="en-AU"/>
                    </w:rPr>
                    <w:t xml:space="preserve">They generally did not involve </w:t>
                  </w:r>
                  <w:r w:rsidR="00502421">
                    <w:rPr>
                      <w:lang w:val="en-AU"/>
                    </w:rPr>
                    <w:t>group sessions</w:t>
                  </w:r>
                  <w:r w:rsidR="002F69D0">
                    <w:rPr>
                      <w:lang w:val="en-AU"/>
                    </w:rPr>
                    <w:t>.</w:t>
                  </w:r>
                  <w:r w:rsidR="005F03CF">
                    <w:rPr>
                      <w:lang w:val="en-AU"/>
                    </w:rPr>
                    <w:t xml:space="preserve"> </w:t>
                  </w:r>
                  <w:r w:rsidR="00886DFA">
                    <w:rPr>
                      <w:lang w:val="en-AU"/>
                    </w:rPr>
                    <w:t xml:space="preserve">The intention of CSC is to </w:t>
                  </w:r>
                  <w:r w:rsidR="00886DFA">
                    <w:t>deliver</w:t>
                  </w:r>
                  <w:r w:rsidR="00827D9A">
                    <w:t xml:space="preserve"> age</w:t>
                  </w:r>
                  <w:r w:rsidR="00533B8F">
                    <w:t>-appropriate</w:t>
                  </w:r>
                  <w:r w:rsidR="00827D9A">
                    <w:t xml:space="preserve"> counselling and psychoeducation for children, across a range of modalities. </w:t>
                  </w:r>
                </w:p>
                <w:p w14:paraId="0A1316E1" w14:textId="43A29E41" w:rsidR="00FD483C" w:rsidRPr="004053BB" w:rsidRDefault="00FD483C" w:rsidP="00321BC5">
                  <w:pPr>
                    <w:pStyle w:val="Text-BodyHeading"/>
                    <w:spacing w:before="360" w:after="240"/>
                  </w:pPr>
                  <w:r>
                    <w:t>Overlap between FaRS and SFVS</w:t>
                  </w:r>
                </w:p>
                <w:p w14:paraId="5AA5366C" w14:textId="4FDB144B" w:rsidR="00D46DDD" w:rsidRDefault="008D0223" w:rsidP="00400828">
                  <w:pPr>
                    <w:pStyle w:val="Text"/>
                    <w:rPr>
                      <w:lang w:val="en-US"/>
                    </w:rPr>
                  </w:pPr>
                  <w:r>
                    <w:rPr>
                      <w:lang w:val="en-US"/>
                    </w:rPr>
                    <w:t>Service providers implement</w:t>
                  </w:r>
                  <w:r w:rsidR="0068414E" w:rsidRPr="7E5B77D9">
                    <w:rPr>
                      <w:lang w:val="en-US"/>
                    </w:rPr>
                    <w:t xml:space="preserve"> FaRS and SFVS </w:t>
                  </w:r>
                  <w:r>
                    <w:rPr>
                      <w:lang w:val="en-US"/>
                    </w:rPr>
                    <w:t>in a variety of ways</w:t>
                  </w:r>
                  <w:r w:rsidR="0068414E" w:rsidRPr="7E5B77D9">
                    <w:rPr>
                      <w:lang w:val="en-US"/>
                    </w:rPr>
                    <w:t>. The flexibility of the FaRS and SFVS programs</w:t>
                  </w:r>
                  <w:r>
                    <w:rPr>
                      <w:lang w:val="en-US"/>
                    </w:rPr>
                    <w:t>’</w:t>
                  </w:r>
                  <w:r w:rsidR="0068414E">
                    <w:rPr>
                      <w:lang w:val="en-US"/>
                    </w:rPr>
                    <w:t xml:space="preserve"> </w:t>
                  </w:r>
                  <w:r w:rsidR="0068414E" w:rsidRPr="7E5B77D9">
                    <w:rPr>
                      <w:lang w:val="en-US"/>
                    </w:rPr>
                    <w:t xml:space="preserve">funding model allows for adaptive, placed-based delivery of a range of services. </w:t>
                  </w:r>
                  <w:r w:rsidR="00005129">
                    <w:rPr>
                      <w:lang w:val="en-US"/>
                    </w:rPr>
                    <w:t>This gives</w:t>
                  </w:r>
                  <w:r w:rsidR="0068414E" w:rsidRPr="7E5B77D9">
                    <w:rPr>
                      <w:lang w:val="en-US"/>
                    </w:rPr>
                    <w:t xml:space="preserve"> service providers scope to design and deliver services which cater to the identified needs of their serviced communities, with providers encouraged </w:t>
                  </w:r>
                  <w:r w:rsidR="00005129">
                    <w:rPr>
                      <w:lang w:val="en-US"/>
                    </w:rPr>
                    <w:t xml:space="preserve">through their </w:t>
                  </w:r>
                  <w:r w:rsidR="00DC0817">
                    <w:rPr>
                      <w:lang w:val="en-US"/>
                    </w:rPr>
                    <w:t>funding</w:t>
                  </w:r>
                  <w:r w:rsidR="00DC0817" w:rsidRPr="7E5B77D9">
                    <w:rPr>
                      <w:lang w:val="en-US"/>
                    </w:rPr>
                    <w:t xml:space="preserve"> agreements</w:t>
                  </w:r>
                  <w:r w:rsidR="0068414E" w:rsidRPr="7E5B77D9">
                    <w:rPr>
                      <w:lang w:val="en-US"/>
                    </w:rPr>
                    <w:t xml:space="preserve"> to use up to 10</w:t>
                  </w:r>
                  <w:r w:rsidR="0068414E">
                    <w:rPr>
                      <w:lang w:val="en-US"/>
                    </w:rPr>
                    <w:t>%</w:t>
                  </w:r>
                  <w:r w:rsidR="0068414E" w:rsidRPr="7E5B77D9">
                    <w:rPr>
                      <w:lang w:val="en-US"/>
                    </w:rPr>
                    <w:t xml:space="preserve"> of grant funding for the development of innovative concepts. Providers are also expected to monitor changes in their communities and adjust the services they deliver within the grant to meet the changing needs of families and children</w:t>
                  </w:r>
                  <w:r w:rsidR="0068414E">
                    <w:rPr>
                      <w:lang w:val="en-US"/>
                    </w:rPr>
                    <w:t xml:space="preserve"> (see </w:t>
                  </w:r>
                  <w:r w:rsidR="007A792D">
                    <w:rPr>
                      <w:b/>
                      <w:bCs/>
                      <w:lang w:val="en-US"/>
                    </w:rPr>
                    <w:t xml:space="preserve">Section </w:t>
                  </w:r>
                  <w:r w:rsidR="007A792D">
                    <w:rPr>
                      <w:b/>
                      <w:bCs/>
                      <w:lang w:val="en-US"/>
                    </w:rPr>
                    <w:fldChar w:fldCharType="begin" w:fldLock="1"/>
                  </w:r>
                  <w:r w:rsidR="007A792D">
                    <w:rPr>
                      <w:b/>
                      <w:bCs/>
                      <w:lang w:val="en-US"/>
                    </w:rPr>
                    <w:instrText xml:space="preserve"> REF _Ref208926201 \n \h </w:instrText>
                  </w:r>
                  <w:r w:rsidR="007A792D">
                    <w:rPr>
                      <w:b/>
                      <w:bCs/>
                      <w:lang w:val="en-US"/>
                    </w:rPr>
                  </w:r>
                  <w:r w:rsidR="007A792D">
                    <w:rPr>
                      <w:b/>
                      <w:bCs/>
                      <w:lang w:val="en-US"/>
                    </w:rPr>
                    <w:fldChar w:fldCharType="separate"/>
                  </w:r>
                  <w:r w:rsidR="008F22E5">
                    <w:rPr>
                      <w:b/>
                      <w:bCs/>
                      <w:lang w:val="en-US"/>
                    </w:rPr>
                    <w:t>3.2</w:t>
                  </w:r>
                  <w:r w:rsidR="007A792D">
                    <w:rPr>
                      <w:b/>
                      <w:bCs/>
                      <w:lang w:val="en-US"/>
                    </w:rPr>
                    <w:fldChar w:fldCharType="end"/>
                  </w:r>
                  <w:r w:rsidR="0068414E">
                    <w:rPr>
                      <w:lang w:val="en-US"/>
                    </w:rPr>
                    <w:t xml:space="preserve"> for more detail).</w:t>
                  </w:r>
                  <w:r w:rsidR="0068414E" w:rsidRPr="7E5B77D9">
                    <w:rPr>
                      <w:lang w:val="en-US"/>
                    </w:rPr>
                    <w:t xml:space="preserve"> </w:t>
                  </w:r>
                </w:p>
                <w:p w14:paraId="52C984EB" w14:textId="0BFEF2D0" w:rsidR="0068414E" w:rsidRPr="00D46DDD" w:rsidRDefault="00D46DDD" w:rsidP="00D46DDD">
                  <w:pPr>
                    <w:rPr>
                      <w:lang w:val="en-US"/>
                    </w:rPr>
                  </w:pPr>
                  <w:r>
                    <w:rPr>
                      <w:lang w:val="en-US"/>
                    </w:rPr>
                    <w:br w:type="page"/>
                  </w:r>
                </w:p>
                <w:p w14:paraId="1F75532D" w14:textId="4025F277" w:rsidR="004C1A01" w:rsidRPr="004C1A01" w:rsidRDefault="004C1A01" w:rsidP="002E7436">
                  <w:pPr>
                    <w:pStyle w:val="Heading2"/>
                  </w:pPr>
                  <w:bookmarkStart w:id="72" w:name="_Toc204856721"/>
                  <w:bookmarkStart w:id="73" w:name="_Toc208906832"/>
                  <w:r>
                    <w:lastRenderedPageBreak/>
                    <w:t>Alignment with relevant Government Frameworks</w:t>
                  </w:r>
                  <w:bookmarkEnd w:id="72"/>
                  <w:bookmarkEnd w:id="73"/>
                </w:p>
                <w:p w14:paraId="7B24BB72" w14:textId="31455304" w:rsidR="00381338" w:rsidRPr="00335B12" w:rsidRDefault="00381338" w:rsidP="00381338">
                  <w:pPr>
                    <w:pStyle w:val="Text"/>
                    <w:rPr>
                      <w:lang w:val="en-AU"/>
                    </w:rPr>
                  </w:pPr>
                  <w:r>
                    <w:rPr>
                      <w:lang w:val="en-AU"/>
                    </w:rPr>
                    <w:t xml:space="preserve">The FaRS and SFVS programs </w:t>
                  </w:r>
                  <w:r w:rsidR="00805035">
                    <w:rPr>
                      <w:lang w:val="en-AU"/>
                    </w:rPr>
                    <w:t xml:space="preserve">seek to </w:t>
                  </w:r>
                  <w:r>
                    <w:rPr>
                      <w:lang w:val="en-AU"/>
                    </w:rPr>
                    <w:t xml:space="preserve">align with a range of relevant Government frameworks. Both FaRS and SFVS play a significant role in supporting victim survivors of violence </w:t>
                  </w:r>
                  <w:r w:rsidR="003F3508">
                    <w:rPr>
                      <w:lang w:val="en-AU"/>
                    </w:rPr>
                    <w:t>in line with</w:t>
                  </w:r>
                  <w:r>
                    <w:rPr>
                      <w:lang w:val="en-AU"/>
                    </w:rPr>
                    <w:t xml:space="preserve"> the </w:t>
                  </w:r>
                  <w:hyperlink r:id="rId26" w:history="1">
                    <w:r w:rsidRPr="00321BC5">
                      <w:rPr>
                        <w:rStyle w:val="Hyperlink"/>
                        <w:rFonts w:asciiTheme="minorHAnsi" w:hAnsiTheme="minorHAnsi"/>
                        <w:b/>
                        <w:i/>
                        <w:color w:val="007E00" w:themeColor="accent3"/>
                        <w:lang w:val="en-AU"/>
                      </w:rPr>
                      <w:t>National Plan to End Violence Against Women and Children 2022-2032</w:t>
                    </w:r>
                  </w:hyperlink>
                  <w:r w:rsidRPr="00927D2D">
                    <w:rPr>
                      <w:lang w:val="en-AU"/>
                    </w:rPr>
                    <w:t xml:space="preserve"> </w:t>
                  </w:r>
                  <w:r w:rsidRPr="00B4649F">
                    <w:rPr>
                      <w:lang w:val="en-AU"/>
                    </w:rPr>
                    <w:fldChar w:fldCharType="begin"/>
                  </w:r>
                  <w:r w:rsidR="00E41D03">
                    <w:rPr>
                      <w:lang w:val="en-AU"/>
                    </w:rPr>
                    <w:instrText xml:space="preserve"> ADDIN ZOTERO_ITEM CSL_CITATION {"citationID":"ajurcohfer","properties":{"formattedCitation":"(Department of Social Services, 2022)","plainCitation":"(Department of Social Services, 2022)","noteIndex":0},"citationItems":[{"id":5606,"uris":["http://zotero.org/groups/5691188/items/Z9MMMZ8P"],"itemData":{"id":5606,"type":"report","language":"en","source":"Zotero","title":"National Plan to End Violence against Women and Children 2022-2032","author":[{"literal":"Department of Social Services"}],"issued":{"date-parts":[["2022"]]}}}],"schema":"https://github.com/citation-style-language/schema/raw/master/csl-citation.json"} </w:instrText>
                  </w:r>
                  <w:r w:rsidRPr="00B4649F">
                    <w:rPr>
                      <w:lang w:val="en-AU"/>
                    </w:rPr>
                    <w:fldChar w:fldCharType="separate"/>
                  </w:r>
                  <w:r w:rsidR="00AC138C" w:rsidRPr="00AC138C">
                    <w:rPr>
                      <w:rFonts w:ascii="Arial" w:hAnsi="Arial" w:cs="Arial"/>
                    </w:rPr>
                    <w:t>(Department of Social Services, 2022)</w:t>
                  </w:r>
                  <w:r w:rsidRPr="00B4649F">
                    <w:rPr>
                      <w:lang w:val="en-AU"/>
                    </w:rPr>
                    <w:fldChar w:fldCharType="end"/>
                  </w:r>
                  <w:r w:rsidRPr="00B4649F">
                    <w:rPr>
                      <w:lang w:val="en-AU"/>
                    </w:rPr>
                    <w:t xml:space="preserve"> </w:t>
                  </w:r>
                  <w:r>
                    <w:rPr>
                      <w:lang w:val="en-AU"/>
                    </w:rPr>
                    <w:t xml:space="preserve">which </w:t>
                  </w:r>
                  <w:r w:rsidRPr="00B4649F">
                    <w:rPr>
                      <w:lang w:val="en-AU"/>
                    </w:rPr>
                    <w:t>a</w:t>
                  </w:r>
                  <w:r w:rsidRPr="00BE3975">
                    <w:rPr>
                      <w:lang w:val="en-AU"/>
                    </w:rPr>
                    <w:t>ims to eliminate gender-based violence and support services that deliver safe, accessible, and culturally responsive support. Th</w:t>
                  </w:r>
                  <w:r w:rsidR="0042147D">
                    <w:rPr>
                      <w:lang w:val="en-AU"/>
                    </w:rPr>
                    <w:t>e</w:t>
                  </w:r>
                  <w:r w:rsidRPr="00BE3975">
                    <w:rPr>
                      <w:lang w:val="en-AU"/>
                    </w:rPr>
                    <w:t xml:space="preserve"> plan promotes collaborative efforts across government and </w:t>
                  </w:r>
                  <w:r w:rsidR="00100400">
                    <w:rPr>
                      <w:lang w:val="en-AU"/>
                    </w:rPr>
                    <w:t>NGO</w:t>
                  </w:r>
                  <w:r w:rsidRPr="00BE3975">
                    <w:rPr>
                      <w:lang w:val="en-AU"/>
                    </w:rPr>
                    <w:t xml:space="preserve"> sectors to ensure holistic service provision that addresses the unique needs of various populations, including Aboriginal and Torres Strait Islander people, CALD communities, and LGBTQIA+ individuals.</w:t>
                  </w:r>
                </w:p>
                <w:p w14:paraId="4B380C69" w14:textId="2F8E046F" w:rsidR="00381338" w:rsidRPr="007756F0" w:rsidRDefault="00381338" w:rsidP="00381338">
                  <w:pPr>
                    <w:pStyle w:val="Bullet1"/>
                    <w:numPr>
                      <w:ilvl w:val="0"/>
                      <w:numId w:val="0"/>
                    </w:numPr>
                    <w:rPr>
                      <w:i/>
                      <w:iCs/>
                      <w:lang w:val="en-AU"/>
                    </w:rPr>
                  </w:pPr>
                  <w:r>
                    <w:t>Both FaRS and SFVS seek to support children</w:t>
                  </w:r>
                  <w:r w:rsidR="0042147D">
                    <w:t xml:space="preserve"> in line</w:t>
                  </w:r>
                  <w:r>
                    <w:t xml:space="preserve"> with the </w:t>
                  </w:r>
                  <w:hyperlink r:id="rId27" w:history="1">
                    <w:r w:rsidRPr="00321BC5">
                      <w:rPr>
                        <w:rStyle w:val="Hyperlink"/>
                        <w:rFonts w:asciiTheme="minorHAnsi" w:hAnsiTheme="minorHAnsi"/>
                        <w:b/>
                        <w:i/>
                        <w:color w:val="007E00" w:themeColor="accent3"/>
                        <w:lang w:val="en-AU"/>
                      </w:rPr>
                      <w:t>National Framework for Protecting Australia’s Children 2021-2031</w:t>
                    </w:r>
                  </w:hyperlink>
                  <w:r w:rsidRPr="007756F0">
                    <w:rPr>
                      <w:i/>
                      <w:iCs/>
                      <w:lang w:val="en-AU"/>
                    </w:rPr>
                    <w:t xml:space="preserve"> </w:t>
                  </w:r>
                  <w:r w:rsidRPr="00BE5361">
                    <w:rPr>
                      <w:i/>
                      <w:iCs/>
                      <w:lang w:val="en-AU"/>
                    </w:rPr>
                    <w:fldChar w:fldCharType="begin"/>
                  </w:r>
                  <w:r w:rsidR="00E41D03">
                    <w:rPr>
                      <w:i/>
                      <w:iCs/>
                      <w:lang w:val="en-AU"/>
                    </w:rPr>
                    <w:instrText xml:space="preserve"> ADDIN ZOTERO_ITEM CSL_CITATION {"citationID":"a2f4p8iqen","properties":{"formattedCitation":"(Department of Social Services, 2021c)","plainCitation":"(Department of Social Services, 2021c)","noteIndex":0},"citationItems":[{"id":5644,"uris":["http://zotero.org/groups/5691188/items/7M3PHSCR"],"itemData":{"id":5644,"type":"report","abstract":"The National Framework for Protecting Australia’s Children 2021–2031 was developed by the Australian Government, state and territory governments, with Aboriginal and Torres Strait Islander representatives and the non-government sector.","language":"en","publisher":"Department of Social Services","title":"The National Framework for Protecting Australia’s Children 2021-2031","URL":"https://www.dss.gov.au/child-protection/resource/national-framework-protecting-australias-children-2021-2031-0","author":[{"literal":"Department of Social Services"}],"accessed":{"date-parts":[["2025",7,22]]},"issued":{"date-parts":[["2021"]]}}}],"schema":"https://github.com/citation-style-language/schema/raw/master/csl-citation.json"} </w:instrText>
                  </w:r>
                  <w:r w:rsidRPr="00BE5361">
                    <w:rPr>
                      <w:i/>
                      <w:iCs/>
                      <w:lang w:val="en-AU"/>
                    </w:rPr>
                    <w:fldChar w:fldCharType="separate"/>
                  </w:r>
                  <w:r w:rsidR="00AC138C" w:rsidRPr="00AC138C">
                    <w:rPr>
                      <w:rFonts w:ascii="Arial" w:hAnsi="Arial" w:cs="Arial"/>
                    </w:rPr>
                    <w:t>(Department of Social Services, 2021c)</w:t>
                  </w:r>
                  <w:r w:rsidRPr="00BE5361">
                    <w:rPr>
                      <w:i/>
                      <w:iCs/>
                      <w:lang w:val="en-AU"/>
                    </w:rPr>
                    <w:fldChar w:fldCharType="end"/>
                  </w:r>
                  <w:r>
                    <w:rPr>
                      <w:i/>
                      <w:iCs/>
                      <w:lang w:val="en-AU"/>
                    </w:rPr>
                    <w:t xml:space="preserve">. </w:t>
                  </w:r>
                  <w:r>
                    <w:rPr>
                      <w:lang w:val="en-AU"/>
                    </w:rPr>
                    <w:t xml:space="preserve">This Framework </w:t>
                  </w:r>
                  <w:r w:rsidR="00334341">
                    <w:rPr>
                      <w:lang w:val="en-AU"/>
                    </w:rPr>
                    <w:t>aims</w:t>
                  </w:r>
                  <w:r>
                    <w:rPr>
                      <w:lang w:val="en-AU"/>
                    </w:rPr>
                    <w:t xml:space="preserve"> to improve the safety and wellbeing of children and young people, especially those at risk of abuse and neglect, and of particular relevance</w:t>
                  </w:r>
                  <w:r w:rsidR="00852CB4">
                    <w:rPr>
                      <w:lang w:val="en-AU"/>
                    </w:rPr>
                    <w:t>,</w:t>
                  </w:r>
                  <w:r>
                    <w:rPr>
                      <w:lang w:val="en-AU"/>
                    </w:rPr>
                    <w:t xml:space="preserve"> promotes child-centred and family-centred approaches aimed at prevention and early intervention. It emphasises the importance of Aboriginal and Torres Strait Islander self-determination and culturally appropriate supports, as well as addressing the unique needs of a range of children and young people, including those with a disability and those experiencing family violence.</w:t>
                  </w:r>
                </w:p>
                <w:p w14:paraId="4040E5B2" w14:textId="54B32E83" w:rsidR="00381338" w:rsidRPr="00446F96" w:rsidRDefault="004E3FF0" w:rsidP="00381338">
                  <w:pPr>
                    <w:pStyle w:val="Bullet1"/>
                    <w:numPr>
                      <w:ilvl w:val="0"/>
                      <w:numId w:val="0"/>
                    </w:numPr>
                  </w:pPr>
                  <w:r>
                    <w:t xml:space="preserve">FaRS and SFVS service providers are expected to </w:t>
                  </w:r>
                  <w:r w:rsidR="000F1FF5">
                    <w:t>set</w:t>
                  </w:r>
                  <w:r>
                    <w:t xml:space="preserve"> targets relating to reaching people with disability</w:t>
                  </w:r>
                  <w:r w:rsidR="000F1FF5">
                    <w:t>.</w:t>
                  </w:r>
                  <w:r w:rsidR="00381338">
                    <w:t xml:space="preserve"> </w:t>
                  </w:r>
                  <w:hyperlink r:id="rId28" w:history="1">
                    <w:r w:rsidR="00381338" w:rsidRPr="00321BC5">
                      <w:rPr>
                        <w:rStyle w:val="Hyperlink"/>
                        <w:rFonts w:asciiTheme="minorHAnsi" w:hAnsiTheme="minorHAnsi"/>
                        <w:b/>
                        <w:i/>
                        <w:color w:val="005E00" w:themeColor="accent3" w:themeShade="BF"/>
                        <w:lang w:val="en-AU"/>
                      </w:rPr>
                      <w:t>Australia’s Disability Strategy 2021-2031</w:t>
                    </w:r>
                  </w:hyperlink>
                  <w:r w:rsidR="00381338">
                    <w:rPr>
                      <w:lang w:val="en-AU"/>
                    </w:rPr>
                    <w:t xml:space="preserve"> </w:t>
                  </w:r>
                  <w:r w:rsidR="00381338" w:rsidRPr="0048118C">
                    <w:rPr>
                      <w:lang w:val="en-AU"/>
                    </w:rPr>
                    <w:fldChar w:fldCharType="begin"/>
                  </w:r>
                  <w:r w:rsidR="00E41D03">
                    <w:rPr>
                      <w:lang w:val="en-AU"/>
                    </w:rPr>
                    <w:instrText xml:space="preserve"> ADDIN ZOTERO_ITEM CSL_CITATION {"citationID":"aiebt1660q","properties":{"formattedCitation":"(Department of Social Services, 2021d)","plainCitation":"(Department of Social Services, 2021d)","noteIndex":0},"citationItems":[{"id":5646,"uris":["http://zotero.org/groups/5691188/items/FG7LXYKF"],"itemData":{"id":5646,"type":"report","abstract":"Australia’s Disability Strategy calls on all Australians to ensure people with disability can participate as equal members of society.","language":"en","publisher":"Department of Social Services","title":"Australia's Disability Strategy 2021 - 2031","URL":"https://www.dss.gov.au/australias-disability-strategy","author":[{"literal":"Department of Social Services"}],"accessed":{"date-parts":[["2025",7,22]]},"issued":{"date-parts":[["2021"]]}}}],"schema":"https://github.com/citation-style-language/schema/raw/master/csl-citation.json"} </w:instrText>
                  </w:r>
                  <w:r w:rsidR="00381338" w:rsidRPr="0048118C">
                    <w:rPr>
                      <w:lang w:val="en-AU"/>
                    </w:rPr>
                    <w:fldChar w:fldCharType="separate"/>
                  </w:r>
                  <w:r w:rsidR="00AC138C" w:rsidRPr="00AC138C">
                    <w:rPr>
                      <w:rFonts w:ascii="Arial" w:hAnsi="Arial" w:cs="Arial"/>
                    </w:rPr>
                    <w:t>(Department of Social Services, 2021d)</w:t>
                  </w:r>
                  <w:r w:rsidR="00381338" w:rsidRPr="0048118C">
                    <w:rPr>
                      <w:lang w:val="en-AU"/>
                    </w:rPr>
                    <w:fldChar w:fldCharType="end"/>
                  </w:r>
                  <w:r w:rsidR="00381338">
                    <w:rPr>
                      <w:lang w:val="en-AU"/>
                    </w:rPr>
                    <w:t xml:space="preserve"> </w:t>
                  </w:r>
                  <w:r w:rsidR="00381338" w:rsidRPr="008839AE">
                    <w:rPr>
                      <w:lang w:val="en-AU"/>
                    </w:rPr>
                    <w:t>underscores the commitment to inclusive and accessible services for individuals with disabilit</w:t>
                  </w:r>
                  <w:r w:rsidR="00381338">
                    <w:rPr>
                      <w:lang w:val="en-AU"/>
                    </w:rPr>
                    <w:t>y</w:t>
                  </w:r>
                  <w:r w:rsidR="00381338" w:rsidRPr="008839AE">
                    <w:rPr>
                      <w:lang w:val="en-AU"/>
                    </w:rPr>
                    <w:t>, ensuring that they receive equitable support within family violence and relationship services. The strategy aligns with human rights principles, advocating for greater accessibility and autonomy for individuals with disabilit</w:t>
                  </w:r>
                  <w:r w:rsidR="00381338">
                    <w:rPr>
                      <w:lang w:val="en-AU"/>
                    </w:rPr>
                    <w:t>y</w:t>
                  </w:r>
                  <w:r w:rsidR="00381338" w:rsidRPr="008839AE">
                    <w:rPr>
                      <w:lang w:val="en-AU"/>
                    </w:rPr>
                    <w:t xml:space="preserve"> within all social service</w:t>
                  </w:r>
                  <w:r w:rsidR="00381338">
                    <w:rPr>
                      <w:lang w:val="en-AU"/>
                    </w:rPr>
                    <w:t xml:space="preserve">s. </w:t>
                  </w:r>
                </w:p>
                <w:p w14:paraId="14B8B76E" w14:textId="63C59B26" w:rsidR="00381338" w:rsidRDefault="00381338" w:rsidP="00381338">
                  <w:pPr>
                    <w:pStyle w:val="Bullet1"/>
                    <w:numPr>
                      <w:ilvl w:val="0"/>
                      <w:numId w:val="0"/>
                    </w:numPr>
                  </w:pPr>
                  <w:r>
                    <w:t>As outlined in this report, people with mental ill</w:t>
                  </w:r>
                  <w:r w:rsidR="00454FA0">
                    <w:t>-</w:t>
                  </w:r>
                  <w:r>
                    <w:t xml:space="preserve">health are significant users of FaRS and SFVS funded services. The </w:t>
                  </w:r>
                  <w:hyperlink r:id="rId29" w:history="1">
                    <w:r w:rsidRPr="00321BC5">
                      <w:rPr>
                        <w:rStyle w:val="Hyperlink"/>
                        <w:rFonts w:asciiTheme="minorHAnsi" w:hAnsiTheme="minorHAnsi"/>
                        <w:b/>
                        <w:i/>
                        <w:color w:val="005E00" w:themeColor="accent3" w:themeShade="BF"/>
                      </w:rPr>
                      <w:t>National Mental Health and Suicide Prevention Plan</w:t>
                    </w:r>
                  </w:hyperlink>
                  <w:r w:rsidRPr="00335B12">
                    <w:rPr>
                      <w:i/>
                      <w:iCs/>
                    </w:rPr>
                    <w:t xml:space="preserve"> </w:t>
                  </w:r>
                  <w:r w:rsidRPr="00335B12">
                    <w:rPr>
                      <w:i/>
                      <w:iCs/>
                    </w:rPr>
                    <w:fldChar w:fldCharType="begin"/>
                  </w:r>
                  <w:r w:rsidR="00E41D03">
                    <w:rPr>
                      <w:i/>
                      <w:iCs/>
                    </w:rPr>
                    <w:instrText xml:space="preserve"> ADDIN ZOTERO_ITEM CSL_CITATION {"citationID":"acb3jalqjb","properties":{"formattedCitation":"(Department of Health, Disability, and Ageing, 2021)","plainCitation":"(Department of Health, Disability, and Ageing, 2021)","noteIndex":0},"citationItems":[{"id":5648,"uris":["http://zotero.org/groups/5691188/items/LZW3JPVB"],"itemData":{"id":5648,"type":"report","abstract":"The Australian Government’s National Mental Health and Suicide Prevention Plan","language":"en","note":"publisher: Australian Government Department of Health, Disability and Ageing","publisher":"Department of Health, Disability, and Ageing","title":"National Mental Health and Suicide Prevention Plan","URL":"https://www.health.gov.au/resources/publications/the-australian-governments-national-mental-health-and-suicide-prevention-plan?language=en","author":[{"family":"Department of Health, Disability, and Ageing","given":""}],"accessed":{"date-parts":[["2025",7,22]]},"issued":{"date-parts":[["2021"]]}}}],"schema":"https://github.com/citation-style-language/schema/raw/master/csl-citation.json"} </w:instrText>
                  </w:r>
                  <w:r w:rsidRPr="00335B12">
                    <w:rPr>
                      <w:i/>
                      <w:iCs/>
                    </w:rPr>
                    <w:fldChar w:fldCharType="separate"/>
                  </w:r>
                  <w:r w:rsidR="00AC138C" w:rsidRPr="00AC138C">
                    <w:rPr>
                      <w:rFonts w:ascii="Arial" w:hAnsi="Arial" w:cs="Arial"/>
                    </w:rPr>
                    <w:t>(Department of Health, Disability, and Ageing, 2021)</w:t>
                  </w:r>
                  <w:r w:rsidRPr="00335B12">
                    <w:rPr>
                      <w:i/>
                      <w:iCs/>
                    </w:rPr>
                    <w:fldChar w:fldCharType="end"/>
                  </w:r>
                  <w:r w:rsidRPr="005716DC">
                    <w:t xml:space="preserve"> reinforces the integration of mental health support within family violence and relationship services, recogni</w:t>
                  </w:r>
                  <w:r>
                    <w:t>s</w:t>
                  </w:r>
                  <w:r w:rsidRPr="005716DC">
                    <w:t>ing the intersection between mental health challenges</w:t>
                  </w:r>
                  <w:r w:rsidR="00D01B2D">
                    <w:t xml:space="preserve"> (including suicidality),</w:t>
                  </w:r>
                  <w:r w:rsidRPr="005716DC">
                    <w:t xml:space="preserve"> and experiences of violence and abuse. This plan calls for trauma-informed, person-centred approaches that strengthen self-management and resilience among service users.</w:t>
                  </w:r>
                </w:p>
                <w:p w14:paraId="0D61C1AB" w14:textId="1286A1AF" w:rsidR="00381338" w:rsidRPr="000B24D7" w:rsidRDefault="00381338" w:rsidP="00381338">
                  <w:pPr>
                    <w:pStyle w:val="Bullet1"/>
                    <w:numPr>
                      <w:ilvl w:val="0"/>
                      <w:numId w:val="0"/>
                    </w:numPr>
                  </w:pPr>
                  <w:r>
                    <w:t xml:space="preserve">Finally, SFVS funding has been specifically allocated to </w:t>
                  </w:r>
                  <w:r w:rsidR="00D83B4E">
                    <w:t>ACCO</w:t>
                  </w:r>
                  <w:r w:rsidR="00642023">
                    <w:t>s</w:t>
                  </w:r>
                  <w:r>
                    <w:t xml:space="preserve"> in alignment with the </w:t>
                  </w:r>
                  <w:hyperlink r:id="rId30" w:history="1">
                    <w:r w:rsidRPr="00321BC5">
                      <w:rPr>
                        <w:rStyle w:val="Hyperlink"/>
                        <w:rFonts w:asciiTheme="minorHAnsi" w:hAnsiTheme="minorHAnsi"/>
                        <w:b/>
                        <w:i/>
                        <w:color w:val="005E00" w:themeColor="accent3" w:themeShade="BF"/>
                      </w:rPr>
                      <w:t>National Agreement on Closing the Gap</w:t>
                    </w:r>
                  </w:hyperlink>
                  <w:r>
                    <w:t>. This Agreement</w:t>
                  </w:r>
                  <w:r w:rsidRPr="00DF52DF">
                    <w:rPr>
                      <w:i/>
                      <w:iCs/>
                    </w:rPr>
                    <w:t xml:space="preserve"> </w:t>
                  </w:r>
                  <w:r w:rsidRPr="00DF52DF">
                    <w:t>is a formal agreement between Australia’s federal, state, and territory governments and Aboriginal and Torres Strait Islander representatives to address long-standing inequalities experienced by Aboriginal and Torres Strait Islander people</w:t>
                  </w:r>
                  <w:r w:rsidR="00533B8F" w:rsidRPr="00DF52DF">
                    <w:t xml:space="preserve"> and</w:t>
                  </w:r>
                  <w:r w:rsidRPr="00DF52DF">
                    <w:t xml:space="preserve"> achieve life outcomes equal to all Australian</w:t>
                  </w:r>
                  <w:r w:rsidR="008F706B">
                    <w:t>s</w:t>
                  </w:r>
                  <w:r w:rsidRPr="00DF52DF">
                    <w:t xml:space="preserve">. The Agreement includes four Priority Reforms that focus on changing how governments work with Aboriginal and Torres Strait Islander people based around formal partnerships and decision making, building the community-controlled sector, transforming government organisations, and shared access to data and information at a regional level. </w:t>
                  </w:r>
                </w:p>
                <w:p w14:paraId="6E4C2B44" w14:textId="77777777" w:rsidR="00381338" w:rsidRPr="005E4248" w:rsidRDefault="00381338" w:rsidP="00910982">
                  <w:pPr>
                    <w:rPr>
                      <w:i/>
                      <w:iCs/>
                      <w:sz w:val="20"/>
                      <w:szCs w:val="18"/>
                    </w:rPr>
                  </w:pPr>
                </w:p>
                <w:p w14:paraId="1D89D47B" w14:textId="0739A22B" w:rsidR="00196DF9" w:rsidRDefault="00196DF9" w:rsidP="00F65458">
                  <w:pPr>
                    <w:pStyle w:val="Bullet1"/>
                    <w:numPr>
                      <w:ilvl w:val="0"/>
                      <w:numId w:val="0"/>
                    </w:numPr>
                    <w:ind w:left="431"/>
                  </w:pPr>
                </w:p>
                <w:p w14:paraId="2E0A3C33" w14:textId="2A102FE3" w:rsidR="00196DF9" w:rsidRDefault="00196DF9" w:rsidP="008E1B83">
                  <w:pPr>
                    <w:pStyle w:val="Bullet1"/>
                    <w:numPr>
                      <w:ilvl w:val="0"/>
                      <w:numId w:val="0"/>
                    </w:numPr>
                    <w:sectPr w:rsidR="00196DF9" w:rsidSect="00345FED">
                      <w:headerReference w:type="even" r:id="rId31"/>
                      <w:headerReference w:type="default" r:id="rId32"/>
                      <w:footerReference w:type="default" r:id="rId33"/>
                      <w:headerReference w:type="first" r:id="rId34"/>
                      <w:pgSz w:w="11909" w:h="16834" w:code="9"/>
                      <w:pgMar w:top="1440" w:right="1440" w:bottom="1440" w:left="1440" w:header="720" w:footer="720" w:gutter="0"/>
                      <w:pgNumType w:start="1"/>
                      <w:cols w:space="720"/>
                      <w:docGrid w:linePitch="360"/>
                    </w:sectPr>
                  </w:pPr>
                </w:p>
                <w:p w14:paraId="6ABF3B85" w14:textId="5303CD9D" w:rsidR="00560B44" w:rsidRDefault="00B53A7E" w:rsidP="001D13A8">
                  <w:pPr>
                    <w:pStyle w:val="Sectionpagetitle"/>
                    <w:rPr>
                      <w:lang w:val="en-AU"/>
                    </w:rPr>
                    <w:sectPr w:rsidR="00560B44" w:rsidSect="008A2338">
                      <w:pgSz w:w="11909" w:h="16834" w:code="9"/>
                      <w:pgMar w:top="1440" w:right="1440" w:bottom="1440" w:left="1440" w:header="720" w:footer="720" w:gutter="0"/>
                      <w:cols w:space="720"/>
                      <w:docGrid w:linePitch="360"/>
                    </w:sectPr>
                  </w:pPr>
                  <w:r w:rsidRPr="005F7EB6">
                    <w:rPr>
                      <w:noProof/>
                    </w:rPr>
                    <w:lastRenderedPageBreak/>
                    <w:drawing>
                      <wp:anchor distT="0" distB="0" distL="114300" distR="114300" simplePos="0" relativeHeight="251658254" behindDoc="1" locked="1" layoutInCell="1" allowOverlap="1" wp14:anchorId="28ABA82B" wp14:editId="41C6B343">
                        <wp:simplePos x="0" y="0"/>
                        <wp:positionH relativeFrom="page">
                          <wp:posOffset>0</wp:posOffset>
                        </wp:positionH>
                        <wp:positionV relativeFrom="page">
                          <wp:posOffset>0</wp:posOffset>
                        </wp:positionV>
                        <wp:extent cx="7548245" cy="10673080"/>
                        <wp:effectExtent l="0" t="0" r="0" b="0"/>
                        <wp:wrapNone/>
                        <wp:docPr id="1593416644" name="Picture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416644" name="Picture 11">
                                  <a:extLst>
                                    <a:ext uri="{C183D7F6-B498-43B3-948B-1728B52AA6E4}">
                                      <adec:decorative xmlns:adec="http://schemas.microsoft.com/office/drawing/2017/decorative" val="1"/>
                                    </a:ext>
                                  </a:extLst>
                                </pic:cNvPr>
                                <pic:cNvPicPr>
                                  <a:picLocks noChangeAspect="1" noChangeArrowheads="1"/>
                                </pic:cNvPicPr>
                              </pic:nvPicPr>
                              <pic:blipFill>
                                <a:blip r:embed="rId35" cstate="print">
                                  <a:extLst>
                                    <a:ext uri="{28A0092B-C50C-407E-A947-70E740481C1C}">
                                      <a14:useLocalDpi xmlns:a14="http://schemas.microsoft.com/office/drawing/2010/main" val="0"/>
                                    </a:ext>
                                  </a:extLst>
                                </a:blip>
                                <a:stretch>
                                  <a:fillRect/>
                                </a:stretch>
                              </pic:blipFill>
                              <pic:spPr bwMode="auto">
                                <a:xfrm>
                                  <a:off x="0" y="0"/>
                                  <a:ext cx="7548245" cy="106730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lang w:val="en-AU"/>
                    </w:rPr>
                    <w:t>Scop</w:t>
                  </w:r>
                  <w:r w:rsidR="00560B44">
                    <w:rPr>
                      <w:lang w:val="en-AU"/>
                    </w:rPr>
                    <w:t>e</w:t>
                  </w:r>
                </w:p>
                <w:p w14:paraId="4C8D352A" w14:textId="763A38F8" w:rsidR="00560B44" w:rsidRDefault="00560B44" w:rsidP="002E7436">
                  <w:pPr>
                    <w:pStyle w:val="Heading1"/>
                  </w:pPr>
                  <w:bookmarkStart w:id="74" w:name="_Toc204856722"/>
                  <w:bookmarkStart w:id="75" w:name="_Ref205404922"/>
                  <w:bookmarkStart w:id="76" w:name="_Ref205405010"/>
                  <w:bookmarkStart w:id="77" w:name="_Toc208906833"/>
                  <w:r>
                    <w:lastRenderedPageBreak/>
                    <w:t>Scope</w:t>
                  </w:r>
                  <w:bookmarkEnd w:id="74"/>
                  <w:bookmarkEnd w:id="75"/>
                  <w:bookmarkEnd w:id="76"/>
                  <w:bookmarkEnd w:id="77"/>
                  <w:r w:rsidR="000C5919">
                    <w:t xml:space="preserve"> </w:t>
                  </w:r>
                </w:p>
                <w:p w14:paraId="6E8CF3AE" w14:textId="07FED03A" w:rsidR="00F54062" w:rsidRPr="004B4997" w:rsidRDefault="00F54062" w:rsidP="003719DD">
                  <w:pPr>
                    <w:pStyle w:val="Text"/>
                    <w:rPr>
                      <w:rFonts w:ascii="Arial" w:hAnsi="Arial"/>
                      <w:szCs w:val="22"/>
                      <w:lang w:val="en-US"/>
                    </w:rPr>
                  </w:pPr>
                  <w:r w:rsidRPr="00321BC5">
                    <w:rPr>
                      <w:i/>
                    </w:rPr>
                    <w:t>Allen + Clarke</w:t>
                  </w:r>
                  <w:r w:rsidRPr="00321BC5">
                    <w:rPr>
                      <w:rFonts w:ascii="Arial" w:hAnsi="Arial"/>
                      <w:i/>
                      <w:szCs w:val="22"/>
                      <w:lang w:val="en-AU"/>
                    </w:rPr>
                    <w:t xml:space="preserve"> </w:t>
                  </w:r>
                  <w:r w:rsidRPr="00321BC5">
                    <w:rPr>
                      <w:rFonts w:ascii="Arial" w:hAnsi="Arial"/>
                      <w:szCs w:val="22"/>
                      <w:lang w:val="en-AU"/>
                    </w:rPr>
                    <w:t>has been commissioned by the Department to conduct an independent evaluation of FaRS and SFVS programs. The scope of the evaluation encompasses assessing the efficiency, effectiveness, and appropriateness of these programs to inform ongoing service delivery, design, and future policy.</w:t>
                  </w:r>
                  <w:r w:rsidRPr="00321BC5">
                    <w:rPr>
                      <w:rFonts w:ascii="Arial" w:hAnsi="Arial"/>
                      <w:szCs w:val="22"/>
                      <w:lang w:val="en-US"/>
                    </w:rPr>
                    <w:t xml:space="preserve"> The evaluation seeks to address seven key evaluation questions (KEQs, found at </w:t>
                  </w:r>
                  <w:r w:rsidR="004750D1">
                    <w:rPr>
                      <w:rFonts w:ascii="Arial" w:hAnsi="Arial"/>
                      <w:szCs w:val="22"/>
                      <w:lang w:val="en-US"/>
                    </w:rPr>
                    <w:fldChar w:fldCharType="begin" w:fldLock="1"/>
                  </w:r>
                  <w:r w:rsidR="004750D1">
                    <w:rPr>
                      <w:rFonts w:ascii="Arial" w:hAnsi="Arial"/>
                      <w:szCs w:val="22"/>
                      <w:lang w:val="en-US"/>
                    </w:rPr>
                    <w:instrText xml:space="preserve"> REF _Ref208908014 \h  \* MERGEFORMAT </w:instrText>
                  </w:r>
                  <w:r w:rsidR="004750D1">
                    <w:rPr>
                      <w:rFonts w:ascii="Arial" w:hAnsi="Arial"/>
                      <w:szCs w:val="22"/>
                      <w:lang w:val="en-US"/>
                    </w:rPr>
                  </w:r>
                  <w:r w:rsidR="004750D1">
                    <w:rPr>
                      <w:rFonts w:ascii="Arial" w:hAnsi="Arial"/>
                      <w:szCs w:val="22"/>
                      <w:lang w:val="en-US"/>
                    </w:rPr>
                    <w:fldChar w:fldCharType="separate"/>
                  </w:r>
                  <w:r w:rsidR="008F22E5" w:rsidRPr="008072B4">
                    <w:rPr>
                      <w:rStyle w:val="Text-Bold"/>
                    </w:rPr>
                    <w:t xml:space="preserve">Table </w:t>
                  </w:r>
                  <w:r w:rsidR="008F22E5" w:rsidRPr="008F22E5">
                    <w:rPr>
                      <w:rStyle w:val="Text-Bold"/>
                      <w:noProof/>
                    </w:rPr>
                    <w:t>1</w:t>
                  </w:r>
                  <w:r w:rsidR="004750D1">
                    <w:rPr>
                      <w:rFonts w:ascii="Arial" w:hAnsi="Arial"/>
                      <w:szCs w:val="22"/>
                      <w:lang w:val="en-US"/>
                    </w:rPr>
                    <w:fldChar w:fldCharType="end"/>
                  </w:r>
                  <w:r w:rsidR="004750D1">
                    <w:rPr>
                      <w:rFonts w:ascii="Arial" w:hAnsi="Arial"/>
                      <w:szCs w:val="22"/>
                      <w:lang w:val="en-US"/>
                    </w:rPr>
                    <w:t xml:space="preserve"> </w:t>
                  </w:r>
                  <w:r w:rsidRPr="006C49E0">
                    <w:rPr>
                      <w:rFonts w:ascii="Arial" w:hAnsi="Arial"/>
                      <w:szCs w:val="22"/>
                      <w:lang w:val="en-US"/>
                    </w:rPr>
                    <w:t>below) and to understand progress against the FaRS and SFVS Program Logics (see</w:t>
                  </w:r>
                  <w:r w:rsidRPr="00321BC5">
                    <w:rPr>
                      <w:rFonts w:ascii="Arial" w:hAnsi="Arial"/>
                      <w:b/>
                      <w:szCs w:val="22"/>
                      <w:lang w:val="en-US"/>
                    </w:rPr>
                    <w:t xml:space="preserve"> </w:t>
                  </w:r>
                  <w:hyperlink w:anchor="Appendix_B" w:history="1">
                    <w:r w:rsidRPr="006C49E0">
                      <w:rPr>
                        <w:rStyle w:val="Hyperlink"/>
                        <w:rFonts w:asciiTheme="minorHAnsi" w:hAnsiTheme="minorHAnsi"/>
                        <w:b/>
                        <w:bCs/>
                        <w:color w:val="005E00" w:themeColor="accent3" w:themeShade="BF"/>
                        <w:szCs w:val="22"/>
                      </w:rPr>
                      <w:t>Appendix B</w:t>
                    </w:r>
                  </w:hyperlink>
                  <w:r w:rsidRPr="006C49E0">
                    <w:rPr>
                      <w:rFonts w:ascii="Arial" w:hAnsi="Arial"/>
                      <w:b/>
                      <w:bCs/>
                      <w:szCs w:val="22"/>
                      <w:lang w:val="en-US"/>
                    </w:rPr>
                    <w:t>)</w:t>
                  </w:r>
                  <w:r w:rsidRPr="00321BC5">
                    <w:rPr>
                      <w:rFonts w:ascii="Arial" w:hAnsi="Arial"/>
                      <w:szCs w:val="22"/>
                      <w:lang w:val="en-US"/>
                    </w:rPr>
                    <w:t>.</w:t>
                  </w:r>
                  <w:r w:rsidRPr="00321BC5">
                    <w:rPr>
                      <w:rFonts w:ascii="Arial" w:hAnsi="Arial"/>
                      <w:b/>
                      <w:szCs w:val="22"/>
                      <w:lang w:val="en-US"/>
                    </w:rPr>
                    <w:t xml:space="preserve"> </w:t>
                  </w:r>
                </w:p>
                <w:p w14:paraId="04B0524B" w14:textId="1CE7CAED" w:rsidR="006464E7" w:rsidRDefault="00876EF2" w:rsidP="00F54062">
                  <w:pPr>
                    <w:pStyle w:val="Text"/>
                  </w:pPr>
                  <w:r>
                    <w:t xml:space="preserve">This Evaluation Report addresses the </w:t>
                  </w:r>
                  <w:r w:rsidR="002B32D7">
                    <w:t>seven primary KEQs.</w:t>
                  </w:r>
                  <w:r w:rsidR="00CB3C2F">
                    <w:t xml:space="preserve"> Sub-KEQs were developed to guide the design and approach to the evaluation. </w:t>
                  </w:r>
                  <w:r w:rsidR="006464E7">
                    <w:t>KEQ</w:t>
                  </w:r>
                  <w:r w:rsidR="00686D87">
                    <w:t xml:space="preserve"> </w:t>
                  </w:r>
                  <w:r w:rsidR="006464E7">
                    <w:t xml:space="preserve">5 relates to the level of need for FaRS and SFVS and how the need is distributed. </w:t>
                  </w:r>
                  <w:r w:rsidR="00687BCC">
                    <w:t>While some preliminary analysis of KEQ 5 is included in this report, the evaluation question</w:t>
                  </w:r>
                  <w:r w:rsidR="0099188B">
                    <w:t xml:space="preserve"> will be addressed in detail in a Modelling Report to be finalised by December 2025.</w:t>
                  </w:r>
                </w:p>
                <w:p w14:paraId="350855C3" w14:textId="77777777" w:rsidR="00A54CBA" w:rsidRDefault="00A54CBA">
                  <w:r>
                    <w:br w:type="page"/>
                  </w:r>
                </w:p>
                <w:p w14:paraId="6B064328" w14:textId="77777777" w:rsidR="00B96F75" w:rsidRDefault="00B96F75" w:rsidP="00560B44">
                  <w:pPr>
                    <w:pStyle w:val="Text"/>
                    <w:sectPr w:rsidR="00B96F75" w:rsidSect="00FB29FE">
                      <w:pgSz w:w="11909" w:h="16834" w:code="9"/>
                      <w:pgMar w:top="1440" w:right="1440" w:bottom="1440" w:left="1440" w:header="720" w:footer="720" w:gutter="0"/>
                      <w:cols w:space="720"/>
                      <w:docGrid w:linePitch="360"/>
                    </w:sectPr>
                  </w:pPr>
                </w:p>
                <w:p w14:paraId="17B70B4C" w14:textId="77777777" w:rsidR="006915D7" w:rsidRDefault="006915D7" w:rsidP="005315BE">
                  <w:pPr>
                    <w:pStyle w:val="TableFigure-Header"/>
                    <w:rPr>
                      <w:rStyle w:val="Text-Bold"/>
                      <w:b/>
                    </w:rPr>
                  </w:pPr>
                  <w:bookmarkStart w:id="78" w:name="_Ref202894681"/>
                </w:p>
                <w:p w14:paraId="67DD16F2" w14:textId="13283DA6" w:rsidR="00004A5D" w:rsidRPr="008072B4" w:rsidRDefault="00004A5D" w:rsidP="00393BD9">
                  <w:pPr>
                    <w:pStyle w:val="TableFigure-Header"/>
                    <w:spacing w:line="276" w:lineRule="auto"/>
                    <w:rPr>
                      <w:rStyle w:val="Text-Bold"/>
                      <w:b/>
                    </w:rPr>
                  </w:pPr>
                  <w:bookmarkStart w:id="79" w:name="_Ref208908014"/>
                  <w:r w:rsidRPr="008072B4">
                    <w:rPr>
                      <w:rStyle w:val="Text-Bold"/>
                      <w:b/>
                    </w:rPr>
                    <w:t xml:space="preserve">Table </w:t>
                  </w:r>
                  <w:r w:rsidRPr="008072B4">
                    <w:rPr>
                      <w:rStyle w:val="Text-Bold"/>
                      <w:b/>
                    </w:rPr>
                    <w:fldChar w:fldCharType="begin"/>
                  </w:r>
                  <w:r w:rsidRPr="008072B4">
                    <w:rPr>
                      <w:rStyle w:val="Text-Bold"/>
                      <w:b/>
                    </w:rPr>
                    <w:instrText xml:space="preserve"> SEQ Table \* ARABIC </w:instrText>
                  </w:r>
                  <w:r w:rsidRPr="008072B4">
                    <w:rPr>
                      <w:rStyle w:val="Text-Bold"/>
                      <w:b/>
                    </w:rPr>
                    <w:fldChar w:fldCharType="separate"/>
                  </w:r>
                  <w:r w:rsidR="008D2566">
                    <w:rPr>
                      <w:rStyle w:val="Text-Bold"/>
                      <w:b/>
                      <w:noProof/>
                    </w:rPr>
                    <w:t>1</w:t>
                  </w:r>
                  <w:r w:rsidRPr="008072B4">
                    <w:rPr>
                      <w:rStyle w:val="Text-Bold"/>
                      <w:b/>
                    </w:rPr>
                    <w:fldChar w:fldCharType="end"/>
                  </w:r>
                  <w:bookmarkEnd w:id="78"/>
                  <w:bookmarkEnd w:id="79"/>
                  <w:r w:rsidRPr="008072B4">
                    <w:rPr>
                      <w:rStyle w:val="Text-Bold"/>
                      <w:b/>
                    </w:rPr>
                    <w:t>: Key Evaluation Questions</w:t>
                  </w:r>
                </w:p>
                <w:tbl>
                  <w:tblPr>
                    <w:tblStyle w:val="ListTable3-Accent31"/>
                    <w:tblW w:w="14747" w:type="dxa"/>
                    <w:tblInd w:w="-5" w:type="dxa"/>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967"/>
                    <w:gridCol w:w="13780"/>
                  </w:tblGrid>
                  <w:tr w:rsidR="00CC5919" w14:paraId="6BEF25EF" w14:textId="77777777" w:rsidTr="00582EAB">
                    <w:trPr>
                      <w:cnfStyle w:val="100000000000" w:firstRow="1" w:lastRow="0" w:firstColumn="0" w:lastColumn="0" w:oddVBand="0" w:evenVBand="0" w:oddHBand="0" w:evenHBand="0" w:firstRowFirstColumn="0" w:firstRowLastColumn="0" w:lastRowFirstColumn="0" w:lastRowLastColumn="0"/>
                      <w:trHeight w:val="422"/>
                    </w:trPr>
                    <w:tc>
                      <w:tcPr>
                        <w:cnfStyle w:val="001000000100" w:firstRow="0" w:lastRow="0" w:firstColumn="1" w:lastColumn="0" w:oddVBand="0" w:evenVBand="0" w:oddHBand="0" w:evenHBand="0" w:firstRowFirstColumn="1" w:firstRowLastColumn="0" w:lastRowFirstColumn="0" w:lastRowLastColumn="0"/>
                        <w:tcW w:w="14747" w:type="dxa"/>
                        <w:gridSpan w:val="2"/>
                        <w:shd w:val="clear" w:color="auto" w:fill="D1E3B0" w:themeFill="accent5"/>
                        <w:vAlign w:val="center"/>
                      </w:tcPr>
                      <w:p w14:paraId="67636A3A" w14:textId="048B712A" w:rsidR="00CC5919" w:rsidRPr="003F6D47" w:rsidRDefault="00CC5919" w:rsidP="00372C0F">
                        <w:pPr>
                          <w:pStyle w:val="TableFigureTitle"/>
                          <w:spacing w:before="120"/>
                          <w:jc w:val="left"/>
                          <w:rPr>
                            <w:color w:val="000000"/>
                            <w:sz w:val="24"/>
                            <w:szCs w:val="24"/>
                          </w:rPr>
                        </w:pPr>
                        <w:r w:rsidRPr="003F6D47">
                          <w:rPr>
                            <w:i w:val="0"/>
                            <w:color w:val="000000"/>
                            <w:sz w:val="24"/>
                            <w:szCs w:val="24"/>
                          </w:rPr>
                          <w:t xml:space="preserve">Effectiveness </w:t>
                        </w:r>
                      </w:p>
                    </w:tc>
                  </w:tr>
                  <w:tr w:rsidR="005F1EC0" w14:paraId="118A27E1" w14:textId="77777777" w:rsidTr="00582EAB">
                    <w:trPr>
                      <w:cnfStyle w:val="000000100000" w:firstRow="0" w:lastRow="0" w:firstColumn="0" w:lastColumn="0" w:oddVBand="0" w:evenVBand="0" w:oddHBand="1" w:evenHBand="0" w:firstRowFirstColumn="0" w:firstRowLastColumn="0" w:lastRowFirstColumn="0" w:lastRowLastColumn="0"/>
                      <w:trHeight w:val="550"/>
                    </w:trPr>
                    <w:tc>
                      <w:tcPr>
                        <w:cnfStyle w:val="001000000000" w:firstRow="0" w:lastRow="0" w:firstColumn="1" w:lastColumn="0" w:oddVBand="0" w:evenVBand="0" w:oddHBand="0" w:evenHBand="0" w:firstRowFirstColumn="0" w:firstRowLastColumn="0" w:lastRowFirstColumn="0" w:lastRowLastColumn="0"/>
                        <w:tcW w:w="967" w:type="dxa"/>
                        <w:shd w:val="clear" w:color="auto" w:fill="007E00" w:themeFill="accent3"/>
                        <w:vAlign w:val="center"/>
                      </w:tcPr>
                      <w:p w14:paraId="508F2D1F" w14:textId="77705D6C" w:rsidR="002A76D0" w:rsidRPr="005256AA" w:rsidRDefault="003D66F3" w:rsidP="00372C0F">
                        <w:pPr>
                          <w:pStyle w:val="TableText"/>
                          <w:spacing w:before="120"/>
                          <w:rPr>
                            <w:color w:val="FFFFFF" w:themeColor="background1"/>
                          </w:rPr>
                        </w:pPr>
                        <w:r w:rsidRPr="005256AA">
                          <w:rPr>
                            <w:color w:val="FFFFFF" w:themeColor="background1"/>
                          </w:rPr>
                          <w:t xml:space="preserve">KEQ </w:t>
                        </w:r>
                        <w:r w:rsidR="00CC5919" w:rsidRPr="005256AA">
                          <w:rPr>
                            <w:color w:val="FFFFFF" w:themeColor="background1"/>
                          </w:rPr>
                          <w:t>1</w:t>
                        </w:r>
                      </w:p>
                    </w:tc>
                    <w:tc>
                      <w:tcPr>
                        <w:tcW w:w="13780" w:type="dxa"/>
                        <w:shd w:val="clear" w:color="auto" w:fill="007E00" w:themeFill="accent3"/>
                        <w:vAlign w:val="center"/>
                      </w:tcPr>
                      <w:p w14:paraId="1FC2DC4D" w14:textId="3C5B48A0" w:rsidR="002A76D0" w:rsidRPr="005256AA" w:rsidRDefault="00CC5919" w:rsidP="00372C0F">
                        <w:pPr>
                          <w:pStyle w:val="TableText"/>
                          <w:spacing w:before="120"/>
                          <w:cnfStyle w:val="000000100000" w:firstRow="0" w:lastRow="0" w:firstColumn="0" w:lastColumn="0" w:oddVBand="0" w:evenVBand="0" w:oddHBand="1" w:evenHBand="0" w:firstRowFirstColumn="0" w:firstRowLastColumn="0" w:lastRowFirstColumn="0" w:lastRowLastColumn="0"/>
                          <w:rPr>
                            <w:b/>
                            <w:color w:val="FFFFFF" w:themeColor="background1"/>
                            <w:lang w:val="en-NZ"/>
                          </w:rPr>
                        </w:pPr>
                        <w:r w:rsidRPr="005256AA">
                          <w:rPr>
                            <w:b/>
                            <w:color w:val="FFFFFF" w:themeColor="background1"/>
                            <w:lang w:val="en-NZ"/>
                          </w:rPr>
                          <w:t>To what extent were the FaRS and SFVS programs successful at meeting short and medium-term outcomes in the Program Logic?</w:t>
                        </w:r>
                      </w:p>
                    </w:tc>
                  </w:tr>
                  <w:tr w:rsidR="002A76D0" w14:paraId="66C84E96" w14:textId="77777777" w:rsidTr="00582EAB">
                    <w:trPr>
                      <w:trHeight w:val="1143"/>
                    </w:trPr>
                    <w:tc>
                      <w:tcPr>
                        <w:cnfStyle w:val="001000000000" w:firstRow="0" w:lastRow="0" w:firstColumn="1" w:lastColumn="0" w:oddVBand="0" w:evenVBand="0" w:oddHBand="0" w:evenHBand="0" w:firstRowFirstColumn="0" w:firstRowLastColumn="0" w:lastRowFirstColumn="0" w:lastRowLastColumn="0"/>
                        <w:tcW w:w="967" w:type="dxa"/>
                        <w:tcBorders>
                          <w:bottom w:val="single" w:sz="4" w:space="0" w:color="007E00" w:themeColor="accent3"/>
                        </w:tcBorders>
                        <w:shd w:val="clear" w:color="auto" w:fill="D1E3B0" w:themeFill="accent5"/>
                        <w:vAlign w:val="center"/>
                      </w:tcPr>
                      <w:p w14:paraId="7C289529" w14:textId="63D11C25" w:rsidR="002A76D0" w:rsidRPr="00372C0F" w:rsidRDefault="00CC5919" w:rsidP="00E621A3">
                        <w:pPr>
                          <w:pStyle w:val="TableText"/>
                          <w:spacing w:before="60" w:after="60"/>
                          <w:jc w:val="center"/>
                        </w:pPr>
                        <w:r w:rsidRPr="00372C0F">
                          <w:t>1.1</w:t>
                        </w:r>
                      </w:p>
                    </w:tc>
                    <w:tc>
                      <w:tcPr>
                        <w:tcW w:w="13780" w:type="dxa"/>
                        <w:tcBorders>
                          <w:bottom w:val="single" w:sz="4" w:space="0" w:color="007E00" w:themeColor="accent3"/>
                        </w:tcBorders>
                        <w:shd w:val="clear" w:color="auto" w:fill="F5F9EF" w:themeFill="accent5" w:themeFillTint="33"/>
                        <w:vAlign w:val="center"/>
                      </w:tcPr>
                      <w:p w14:paraId="3BEF4F77" w14:textId="5D85A6F8" w:rsidR="002A76D0" w:rsidRPr="00DB650E" w:rsidRDefault="00D00AF1" w:rsidP="00A302A7">
                        <w:pPr>
                          <w:pStyle w:val="TableFigure-Notes"/>
                          <w:spacing w:before="60" w:afterLines="60" w:after="144"/>
                          <w:jc w:val="left"/>
                          <w:cnfStyle w:val="000000000000" w:firstRow="0" w:lastRow="0" w:firstColumn="0" w:lastColumn="0" w:oddVBand="0" w:evenVBand="0" w:oddHBand="0" w:evenHBand="0" w:firstRowFirstColumn="0" w:firstRowLastColumn="0" w:lastRowFirstColumn="0" w:lastRowLastColumn="0"/>
                          <w:rPr>
                            <w:szCs w:val="21"/>
                          </w:rPr>
                        </w:pPr>
                        <w:r w:rsidRPr="00DB650E">
                          <w:rPr>
                            <w:sz w:val="21"/>
                            <w:szCs w:val="21"/>
                          </w:rPr>
                          <w:t>As a result of FaRS, to what extent do families have increased knowledge, awareness and skills, or use effective strategies in identifying issues of personal and family safety</w:t>
                        </w:r>
                        <w:r w:rsidR="00DB650E">
                          <w:rPr>
                            <w:sz w:val="21"/>
                            <w:szCs w:val="21"/>
                          </w:rPr>
                          <w:t>;</w:t>
                        </w:r>
                        <w:r w:rsidRPr="00DB650E">
                          <w:rPr>
                            <w:sz w:val="21"/>
                            <w:szCs w:val="21"/>
                          </w:rPr>
                          <w:t xml:space="preserve"> seeking help when needed, or knowing who they can confide in or turn to for support</w:t>
                        </w:r>
                        <w:r w:rsidR="00DB650E">
                          <w:rPr>
                            <w:sz w:val="21"/>
                            <w:szCs w:val="21"/>
                          </w:rPr>
                          <w:t>;</w:t>
                        </w:r>
                        <w:r w:rsidRPr="00DB650E">
                          <w:rPr>
                            <w:sz w:val="21"/>
                            <w:szCs w:val="21"/>
                          </w:rPr>
                          <w:t xml:space="preserve"> improving or maintaining personal and family safety; modelling healthy, respectful relationships, including effective communication and conflict resolution</w:t>
                        </w:r>
                        <w:r w:rsidR="00DB650E">
                          <w:rPr>
                            <w:sz w:val="21"/>
                            <w:szCs w:val="21"/>
                          </w:rPr>
                          <w:t xml:space="preserve">; and </w:t>
                        </w:r>
                        <w:r w:rsidRPr="00DB650E">
                          <w:rPr>
                            <w:sz w:val="21"/>
                            <w:szCs w:val="21"/>
                          </w:rPr>
                          <w:t>improving their resilience, mental health and wellbeing when experiencing family breakdown or dysfunction</w:t>
                        </w:r>
                        <w:r w:rsidR="00B31F64">
                          <w:rPr>
                            <w:sz w:val="21"/>
                            <w:szCs w:val="21"/>
                          </w:rPr>
                          <w:t>.</w:t>
                        </w:r>
                      </w:p>
                    </w:tc>
                  </w:tr>
                  <w:tr w:rsidR="002A76D0" w14:paraId="3809C13C" w14:textId="77777777" w:rsidTr="00582EAB">
                    <w:trPr>
                      <w:cnfStyle w:val="000000100000" w:firstRow="0" w:lastRow="0" w:firstColumn="0" w:lastColumn="0" w:oddVBand="0" w:evenVBand="0" w:oddHBand="1" w:evenHBand="0" w:firstRowFirstColumn="0" w:firstRowLastColumn="0" w:lastRowFirstColumn="0" w:lastRowLastColumn="0"/>
                      <w:trHeight w:val="698"/>
                    </w:trPr>
                    <w:tc>
                      <w:tcPr>
                        <w:cnfStyle w:val="001000000000" w:firstRow="0" w:lastRow="0" w:firstColumn="1" w:lastColumn="0" w:oddVBand="0" w:evenVBand="0" w:oddHBand="0" w:evenHBand="0" w:firstRowFirstColumn="0" w:firstRowLastColumn="0" w:lastRowFirstColumn="0" w:lastRowLastColumn="0"/>
                        <w:tcW w:w="967" w:type="dxa"/>
                        <w:tcBorders>
                          <w:top w:val="single" w:sz="4" w:space="0" w:color="007E00" w:themeColor="accent3"/>
                          <w:bottom w:val="single" w:sz="4" w:space="0" w:color="007E00" w:themeColor="accent3"/>
                        </w:tcBorders>
                        <w:shd w:val="clear" w:color="auto" w:fill="D1E3B0" w:themeFill="accent5"/>
                        <w:vAlign w:val="center"/>
                      </w:tcPr>
                      <w:p w14:paraId="2D7BBFD6" w14:textId="0CFF4084" w:rsidR="002A76D0" w:rsidRPr="00372C0F" w:rsidRDefault="00CC5919" w:rsidP="00E621A3">
                        <w:pPr>
                          <w:pStyle w:val="TableText"/>
                          <w:spacing w:before="60" w:after="60"/>
                          <w:jc w:val="center"/>
                        </w:pPr>
                        <w:r w:rsidRPr="00372C0F">
                          <w:t>1.2</w:t>
                        </w:r>
                      </w:p>
                    </w:tc>
                    <w:tc>
                      <w:tcPr>
                        <w:tcW w:w="13780" w:type="dxa"/>
                        <w:tcBorders>
                          <w:top w:val="single" w:sz="4" w:space="0" w:color="007E00" w:themeColor="accent3"/>
                          <w:bottom w:val="single" w:sz="4" w:space="0" w:color="007E00" w:themeColor="accent3"/>
                        </w:tcBorders>
                        <w:shd w:val="clear" w:color="auto" w:fill="F5F9EF" w:themeFill="accent5" w:themeFillTint="33"/>
                        <w:vAlign w:val="center"/>
                      </w:tcPr>
                      <w:p w14:paraId="7F7B4B6E" w14:textId="6C264C40" w:rsidR="00B31F64" w:rsidRDefault="002D5D07" w:rsidP="00E621A3">
                        <w:pPr>
                          <w:pStyle w:val="TableText"/>
                          <w:spacing w:before="60" w:afterLines="60" w:after="144"/>
                          <w:cnfStyle w:val="000000100000" w:firstRow="0" w:lastRow="0" w:firstColumn="0" w:lastColumn="0" w:oddVBand="0" w:evenVBand="0" w:oddHBand="1" w:evenHBand="0" w:firstRowFirstColumn="0" w:firstRowLastColumn="0" w:lastRowFirstColumn="0" w:lastRowLastColumn="0"/>
                        </w:pPr>
                        <w:r>
                          <w:t>As a result of FARS, to what extent do children have increased knowledge, skills, and access to support, or use effective strategies in improving their resilience, wellbeing and mental health when experiencing family breakdown or dysfunction</w:t>
                        </w:r>
                        <w:r w:rsidR="0014214B">
                          <w:t>.</w:t>
                        </w:r>
                      </w:p>
                    </w:tc>
                  </w:tr>
                  <w:tr w:rsidR="002A76D0" w14:paraId="4F5A13D8" w14:textId="77777777" w:rsidTr="00582EAB">
                    <w:trPr>
                      <w:trHeight w:val="973"/>
                    </w:trPr>
                    <w:tc>
                      <w:tcPr>
                        <w:cnfStyle w:val="001000000000" w:firstRow="0" w:lastRow="0" w:firstColumn="1" w:lastColumn="0" w:oddVBand="0" w:evenVBand="0" w:oddHBand="0" w:evenHBand="0" w:firstRowFirstColumn="0" w:firstRowLastColumn="0" w:lastRowFirstColumn="0" w:lastRowLastColumn="0"/>
                        <w:tcW w:w="967" w:type="dxa"/>
                        <w:tcBorders>
                          <w:top w:val="single" w:sz="4" w:space="0" w:color="007E00" w:themeColor="accent3"/>
                          <w:bottom w:val="single" w:sz="4" w:space="0" w:color="007E00" w:themeColor="accent3"/>
                        </w:tcBorders>
                        <w:shd w:val="clear" w:color="auto" w:fill="D1E3B0" w:themeFill="accent5"/>
                        <w:vAlign w:val="center"/>
                      </w:tcPr>
                      <w:p w14:paraId="6946E174" w14:textId="5BDD2BA0" w:rsidR="002A76D0" w:rsidRPr="00372C0F" w:rsidRDefault="00CC5919" w:rsidP="00E621A3">
                        <w:pPr>
                          <w:pStyle w:val="TableText"/>
                          <w:spacing w:before="60" w:after="60"/>
                          <w:jc w:val="center"/>
                        </w:pPr>
                        <w:r w:rsidRPr="00372C0F">
                          <w:t>1.3</w:t>
                        </w:r>
                      </w:p>
                    </w:tc>
                    <w:tc>
                      <w:tcPr>
                        <w:tcW w:w="13780" w:type="dxa"/>
                        <w:tcBorders>
                          <w:top w:val="single" w:sz="4" w:space="0" w:color="007E00" w:themeColor="accent3"/>
                          <w:bottom w:val="single" w:sz="4" w:space="0" w:color="007E00" w:themeColor="accent3"/>
                        </w:tcBorders>
                        <w:shd w:val="clear" w:color="auto" w:fill="F5F9EF" w:themeFill="accent5" w:themeFillTint="33"/>
                        <w:vAlign w:val="center"/>
                      </w:tcPr>
                      <w:p w14:paraId="5F4403FE" w14:textId="029C7416" w:rsidR="002A76D0" w:rsidRDefault="00B31F64" w:rsidP="00E621A3">
                        <w:pPr>
                          <w:pStyle w:val="TableText"/>
                          <w:spacing w:before="60" w:afterLines="60" w:after="144"/>
                          <w:cnfStyle w:val="000000000000" w:firstRow="0" w:lastRow="0" w:firstColumn="0" w:lastColumn="0" w:oddVBand="0" w:evenVBand="0" w:oddHBand="0" w:evenHBand="0" w:firstRowFirstColumn="0" w:firstRowLastColumn="0" w:lastRowFirstColumn="0" w:lastRowLastColumn="0"/>
                        </w:pPr>
                        <w:r>
                          <w:t>As a result of SFVS, to what extent do victim survivors have improved knowledge and skills, or use effective strategies in identifying issues of personal and family safety, including violent or abusive relationships; seeking help when needed for issues of personal and family safety, or knowing who they can confide in or turn to for support; improving personal and family safety; and improving mental health and wellbeing</w:t>
                        </w:r>
                        <w:r w:rsidR="00CA40C9">
                          <w:t>.</w:t>
                        </w:r>
                      </w:p>
                    </w:tc>
                  </w:tr>
                  <w:tr w:rsidR="002A76D0" w14:paraId="333B3BDC" w14:textId="77777777" w:rsidTr="00582EAB">
                    <w:trPr>
                      <w:cnfStyle w:val="000000100000" w:firstRow="0" w:lastRow="0" w:firstColumn="0" w:lastColumn="0" w:oddVBand="0" w:evenVBand="0" w:oddHBand="1" w:evenHBand="0" w:firstRowFirstColumn="0" w:firstRowLastColumn="0" w:lastRowFirstColumn="0" w:lastRowLastColumn="0"/>
                      <w:trHeight w:val="619"/>
                    </w:trPr>
                    <w:tc>
                      <w:tcPr>
                        <w:cnfStyle w:val="001000000000" w:firstRow="0" w:lastRow="0" w:firstColumn="1" w:lastColumn="0" w:oddVBand="0" w:evenVBand="0" w:oddHBand="0" w:evenHBand="0" w:firstRowFirstColumn="0" w:firstRowLastColumn="0" w:lastRowFirstColumn="0" w:lastRowLastColumn="0"/>
                        <w:tcW w:w="967" w:type="dxa"/>
                        <w:tcBorders>
                          <w:top w:val="single" w:sz="4" w:space="0" w:color="007E00" w:themeColor="accent3"/>
                          <w:bottom w:val="single" w:sz="4" w:space="0" w:color="007E00" w:themeColor="accent3"/>
                        </w:tcBorders>
                        <w:shd w:val="clear" w:color="auto" w:fill="D1E3B0" w:themeFill="accent5"/>
                        <w:vAlign w:val="center"/>
                      </w:tcPr>
                      <w:p w14:paraId="4DB826E0" w14:textId="27A3855F" w:rsidR="002A76D0" w:rsidRPr="00372C0F" w:rsidRDefault="00CC5919" w:rsidP="00E621A3">
                        <w:pPr>
                          <w:pStyle w:val="TableText"/>
                          <w:spacing w:before="60" w:after="60"/>
                          <w:jc w:val="center"/>
                        </w:pPr>
                        <w:r w:rsidRPr="00372C0F">
                          <w:t>1.4</w:t>
                        </w:r>
                      </w:p>
                    </w:tc>
                    <w:tc>
                      <w:tcPr>
                        <w:tcW w:w="13780" w:type="dxa"/>
                        <w:tcBorders>
                          <w:top w:val="single" w:sz="4" w:space="0" w:color="007E00" w:themeColor="accent3"/>
                          <w:bottom w:val="single" w:sz="4" w:space="0" w:color="007E00" w:themeColor="accent3"/>
                        </w:tcBorders>
                        <w:shd w:val="clear" w:color="auto" w:fill="F5F9EF" w:themeFill="accent5" w:themeFillTint="33"/>
                        <w:vAlign w:val="center"/>
                      </w:tcPr>
                      <w:p w14:paraId="2CB83E50" w14:textId="5D2128B8" w:rsidR="002A76D0" w:rsidRDefault="00EF7E65" w:rsidP="00E621A3">
                        <w:pPr>
                          <w:pStyle w:val="TableText"/>
                          <w:spacing w:before="60" w:afterLines="60" w:after="144"/>
                          <w:cnfStyle w:val="000000100000" w:firstRow="0" w:lastRow="0" w:firstColumn="0" w:lastColumn="0" w:oddVBand="0" w:evenVBand="0" w:oddHBand="1" w:evenHBand="0" w:firstRowFirstColumn="0" w:firstRowLastColumn="0" w:lastRowFirstColumn="0" w:lastRowLastColumn="0"/>
                        </w:pPr>
                        <w:r>
                          <w:t>As a result of SFVS, to what extent do children impacted by FDSV have improved knowledge, skills and access to support to feel safe, heard and supported; access supports where needed, or know who they can confide in or turn to for support when they don’t feel safe (for example: professionals, families and friends); and improve their mental health and wellbeing.</w:t>
                        </w:r>
                      </w:p>
                    </w:tc>
                  </w:tr>
                  <w:tr w:rsidR="00CC5919" w14:paraId="020D6F87" w14:textId="77777777" w:rsidTr="00582EAB">
                    <w:trPr>
                      <w:trHeight w:val="973"/>
                    </w:trPr>
                    <w:tc>
                      <w:tcPr>
                        <w:cnfStyle w:val="001000000000" w:firstRow="0" w:lastRow="0" w:firstColumn="1" w:lastColumn="0" w:oddVBand="0" w:evenVBand="0" w:oddHBand="0" w:evenHBand="0" w:firstRowFirstColumn="0" w:firstRowLastColumn="0" w:lastRowFirstColumn="0" w:lastRowLastColumn="0"/>
                        <w:tcW w:w="967" w:type="dxa"/>
                        <w:tcBorders>
                          <w:top w:val="single" w:sz="4" w:space="0" w:color="007E00" w:themeColor="accent3"/>
                        </w:tcBorders>
                        <w:shd w:val="clear" w:color="auto" w:fill="D1E3B0" w:themeFill="accent5"/>
                        <w:vAlign w:val="center"/>
                      </w:tcPr>
                      <w:p w14:paraId="0DB77D8E" w14:textId="42379680" w:rsidR="00CC5919" w:rsidRPr="00372C0F" w:rsidRDefault="00CC5919" w:rsidP="00E621A3">
                        <w:pPr>
                          <w:pStyle w:val="TableText"/>
                          <w:spacing w:before="60" w:after="60"/>
                          <w:jc w:val="center"/>
                        </w:pPr>
                        <w:r w:rsidRPr="00372C0F">
                          <w:t>1.5</w:t>
                        </w:r>
                      </w:p>
                    </w:tc>
                    <w:tc>
                      <w:tcPr>
                        <w:tcW w:w="13780" w:type="dxa"/>
                        <w:tcBorders>
                          <w:top w:val="single" w:sz="4" w:space="0" w:color="007E00" w:themeColor="accent3"/>
                        </w:tcBorders>
                        <w:shd w:val="clear" w:color="auto" w:fill="F5F9EF" w:themeFill="accent5" w:themeFillTint="33"/>
                        <w:vAlign w:val="center"/>
                      </w:tcPr>
                      <w:p w14:paraId="53586AFE" w14:textId="5CD3D7C7" w:rsidR="00CC5919" w:rsidRDefault="00095A09" w:rsidP="00E621A3">
                        <w:pPr>
                          <w:pStyle w:val="TableText"/>
                          <w:spacing w:before="60" w:afterLines="60" w:after="144"/>
                          <w:cnfStyle w:val="000000000000" w:firstRow="0" w:lastRow="0" w:firstColumn="0" w:lastColumn="0" w:oddVBand="0" w:evenVBand="0" w:oddHBand="0" w:evenHBand="0" w:firstRowFirstColumn="0" w:firstRowLastColumn="0" w:lastRowFirstColumn="0" w:lastRowLastColumn="0"/>
                        </w:pPr>
                        <w:r>
                          <w:t xml:space="preserve">As a result of SFVS, to what extent do </w:t>
                        </w:r>
                        <w:r w:rsidR="00DC73A1">
                          <w:t xml:space="preserve">people who use violence </w:t>
                        </w:r>
                        <w:r>
                          <w:t xml:space="preserve">have increased knowledge and skills in techniques and strategies to reduce violent and abusive behaviours (short term); use effective strategies to reduce their violent and abusive behaviours (medium-term); and have increased knowledge and </w:t>
                        </w:r>
                        <w:r w:rsidR="00CF6303">
                          <w:t>skills or</w:t>
                        </w:r>
                        <w:r>
                          <w:t xml:space="preserve"> use effective strategies in seeking help and accessing supports to reduce violent and abusive behaviours.</w:t>
                        </w:r>
                      </w:p>
                    </w:tc>
                  </w:tr>
                  <w:tr w:rsidR="005F1EC0" w14:paraId="62018D57" w14:textId="77777777" w:rsidTr="00582EAB">
                    <w:trPr>
                      <w:cnfStyle w:val="000000100000" w:firstRow="0" w:lastRow="0" w:firstColumn="0" w:lastColumn="0" w:oddVBand="0" w:evenVBand="0" w:oddHBand="1" w:evenHBand="0" w:firstRowFirstColumn="0" w:firstRowLastColumn="0" w:lastRowFirstColumn="0" w:lastRowLastColumn="0"/>
                      <w:trHeight w:val="550"/>
                    </w:trPr>
                    <w:tc>
                      <w:tcPr>
                        <w:cnfStyle w:val="001000000000" w:firstRow="0" w:lastRow="0" w:firstColumn="1" w:lastColumn="0" w:oddVBand="0" w:evenVBand="0" w:oddHBand="0" w:evenHBand="0" w:firstRowFirstColumn="0" w:firstRowLastColumn="0" w:lastRowFirstColumn="0" w:lastRowLastColumn="0"/>
                        <w:tcW w:w="967" w:type="dxa"/>
                        <w:shd w:val="clear" w:color="auto" w:fill="007E00" w:themeFill="accent3"/>
                        <w:vAlign w:val="center"/>
                      </w:tcPr>
                      <w:p w14:paraId="587C305C" w14:textId="230FB1F8" w:rsidR="00CC5919" w:rsidRPr="00E621A3" w:rsidRDefault="003D66F3" w:rsidP="005256AA">
                        <w:pPr>
                          <w:pStyle w:val="TableText"/>
                          <w:spacing w:before="120"/>
                          <w:rPr>
                            <w:color w:val="FFFFFF" w:themeColor="background1"/>
                          </w:rPr>
                        </w:pPr>
                        <w:r w:rsidRPr="00E621A3">
                          <w:rPr>
                            <w:color w:val="FFFFFF" w:themeColor="background1"/>
                          </w:rPr>
                          <w:t xml:space="preserve">KEQ </w:t>
                        </w:r>
                        <w:r w:rsidR="00095A09" w:rsidRPr="00E621A3">
                          <w:rPr>
                            <w:color w:val="FFFFFF" w:themeColor="background1"/>
                          </w:rPr>
                          <w:t xml:space="preserve">2 </w:t>
                        </w:r>
                      </w:p>
                    </w:tc>
                    <w:tc>
                      <w:tcPr>
                        <w:tcW w:w="13780" w:type="dxa"/>
                        <w:shd w:val="clear" w:color="auto" w:fill="007E00" w:themeFill="accent3"/>
                        <w:vAlign w:val="center"/>
                      </w:tcPr>
                      <w:p w14:paraId="2F581A9C" w14:textId="13EDBF3C" w:rsidR="00CC5919" w:rsidRPr="00E621A3" w:rsidRDefault="00CF6303" w:rsidP="005256AA">
                        <w:pPr>
                          <w:pStyle w:val="TableText"/>
                          <w:spacing w:before="120"/>
                          <w:cnfStyle w:val="000000100000" w:firstRow="0" w:lastRow="0" w:firstColumn="0" w:lastColumn="0" w:oddVBand="0" w:evenVBand="0" w:oddHBand="1" w:evenHBand="0" w:firstRowFirstColumn="0" w:firstRowLastColumn="0" w:lastRowFirstColumn="0" w:lastRowLastColumn="0"/>
                          <w:rPr>
                            <w:b/>
                            <w:color w:val="FFFFFF" w:themeColor="background1"/>
                            <w:lang w:val="en-NZ"/>
                          </w:rPr>
                        </w:pPr>
                        <w:r w:rsidRPr="00E621A3">
                          <w:rPr>
                            <w:b/>
                            <w:color w:val="FFFFFF" w:themeColor="background1"/>
                            <w:lang w:val="en-NZ"/>
                          </w:rPr>
                          <w:t>What factors affected the achievement of short and medium-term outcomes in the Program Logic for both FaRS and SFVS?</w:t>
                        </w:r>
                      </w:p>
                    </w:tc>
                  </w:tr>
                  <w:tr w:rsidR="00D57671" w14:paraId="06F29DE3" w14:textId="77777777" w:rsidTr="00BC0B20">
                    <w:trPr>
                      <w:trHeight w:val="401"/>
                    </w:trPr>
                    <w:tc>
                      <w:tcPr>
                        <w:cnfStyle w:val="001000000000" w:firstRow="0" w:lastRow="0" w:firstColumn="1" w:lastColumn="0" w:oddVBand="0" w:evenVBand="0" w:oddHBand="0" w:evenHBand="0" w:firstRowFirstColumn="0" w:firstRowLastColumn="0" w:lastRowFirstColumn="0" w:lastRowLastColumn="0"/>
                        <w:tcW w:w="967" w:type="dxa"/>
                        <w:shd w:val="clear" w:color="auto" w:fill="D1E3B0" w:themeFill="accent5"/>
                        <w:vAlign w:val="center"/>
                      </w:tcPr>
                      <w:p w14:paraId="7098250F" w14:textId="7C59607A" w:rsidR="009A5B3F" w:rsidRPr="00372C0F" w:rsidRDefault="009A5B3F" w:rsidP="00E621A3">
                        <w:pPr>
                          <w:pStyle w:val="TableText"/>
                          <w:spacing w:before="60" w:after="60"/>
                          <w:jc w:val="center"/>
                        </w:pPr>
                        <w:r w:rsidRPr="00372C0F">
                          <w:t>2.1</w:t>
                        </w:r>
                      </w:p>
                    </w:tc>
                    <w:tc>
                      <w:tcPr>
                        <w:tcW w:w="13336" w:type="dxa"/>
                        <w:shd w:val="clear" w:color="auto" w:fill="F5F9EF"/>
                        <w:vAlign w:val="center"/>
                      </w:tcPr>
                      <w:p w14:paraId="17D2A437" w14:textId="790778F1" w:rsidR="009A5B3F" w:rsidRDefault="009A5B3F" w:rsidP="00E621A3">
                        <w:pPr>
                          <w:pStyle w:val="TableText"/>
                          <w:spacing w:before="60" w:after="60"/>
                          <w:cnfStyle w:val="000000000000" w:firstRow="0" w:lastRow="0" w:firstColumn="0" w:lastColumn="0" w:oddVBand="0" w:evenVBand="0" w:oddHBand="0" w:evenHBand="0" w:firstRowFirstColumn="0" w:firstRowLastColumn="0" w:lastRowFirstColumn="0" w:lastRowLastColumn="0"/>
                        </w:pPr>
                        <w:r w:rsidRPr="00710179">
                          <w:t xml:space="preserve">What conditions produce the best outcomes? What were the main factors contributing to or associated with the achievement of outcomes? </w:t>
                        </w:r>
                      </w:p>
                    </w:tc>
                  </w:tr>
                  <w:tr w:rsidR="00D57671" w14:paraId="1FCA60FD" w14:textId="77777777" w:rsidTr="00BC0B20">
                    <w:trPr>
                      <w:cnfStyle w:val="000000100000" w:firstRow="0" w:lastRow="0" w:firstColumn="0" w:lastColumn="0" w:oddVBand="0" w:evenVBand="0" w:oddHBand="1" w:evenHBand="0" w:firstRowFirstColumn="0" w:firstRowLastColumn="0" w:lastRowFirstColumn="0" w:lastRowLastColumn="0"/>
                      <w:trHeight w:val="698"/>
                    </w:trPr>
                    <w:tc>
                      <w:tcPr>
                        <w:cnfStyle w:val="001000000000" w:firstRow="0" w:lastRow="0" w:firstColumn="1" w:lastColumn="0" w:oddVBand="0" w:evenVBand="0" w:oddHBand="0" w:evenHBand="0" w:firstRowFirstColumn="0" w:firstRowLastColumn="0" w:lastRowFirstColumn="0" w:lastRowLastColumn="0"/>
                        <w:tcW w:w="967" w:type="dxa"/>
                        <w:shd w:val="clear" w:color="auto" w:fill="D1E3B0" w:themeFill="accent5"/>
                        <w:vAlign w:val="center"/>
                      </w:tcPr>
                      <w:p w14:paraId="249FC104" w14:textId="10E488B1" w:rsidR="009A5B3F" w:rsidRPr="00372C0F" w:rsidRDefault="009A5B3F" w:rsidP="00E621A3">
                        <w:pPr>
                          <w:pStyle w:val="TableText"/>
                          <w:spacing w:before="60" w:after="60"/>
                          <w:jc w:val="center"/>
                        </w:pPr>
                        <w:r w:rsidRPr="00372C0F">
                          <w:t>2.2</w:t>
                        </w:r>
                      </w:p>
                    </w:tc>
                    <w:tc>
                      <w:tcPr>
                        <w:tcW w:w="13336" w:type="dxa"/>
                        <w:shd w:val="clear" w:color="auto" w:fill="F5F9EF"/>
                        <w:vAlign w:val="center"/>
                      </w:tcPr>
                      <w:p w14:paraId="1FBC8F18" w14:textId="60E36574" w:rsidR="009A5B3F" w:rsidRDefault="009A5B3F" w:rsidP="00E621A3">
                        <w:pPr>
                          <w:pStyle w:val="TableText"/>
                          <w:spacing w:before="60" w:after="60"/>
                          <w:cnfStyle w:val="000000100000" w:firstRow="0" w:lastRow="0" w:firstColumn="0" w:lastColumn="0" w:oddVBand="0" w:evenVBand="0" w:oddHBand="1" w:evenHBand="0" w:firstRowFirstColumn="0" w:firstRowLastColumn="0" w:lastRowFirstColumn="0" w:lastRowLastColumn="0"/>
                        </w:pPr>
                        <w:r w:rsidRPr="00710179">
                          <w:t>What are the outcomes by service modality/type</w:t>
                        </w:r>
                        <w:r w:rsidR="00014193">
                          <w:t>?</w:t>
                        </w:r>
                        <w:r w:rsidRPr="00710179">
                          <w:t xml:space="preserve"> Do outcomes differ by only Counselling, only Education or both Counselling and Education? To what extent is referral, case management or advocacy associated with achievement of outcomes?</w:t>
                        </w:r>
                      </w:p>
                    </w:tc>
                  </w:tr>
                  <w:tr w:rsidR="00D57671" w14:paraId="5FAE29DA" w14:textId="77777777" w:rsidTr="00BC0B20">
                    <w:trPr>
                      <w:trHeight w:val="698"/>
                    </w:trPr>
                    <w:tc>
                      <w:tcPr>
                        <w:cnfStyle w:val="001000000000" w:firstRow="0" w:lastRow="0" w:firstColumn="1" w:lastColumn="0" w:oddVBand="0" w:evenVBand="0" w:oddHBand="0" w:evenHBand="0" w:firstRowFirstColumn="0" w:firstRowLastColumn="0" w:lastRowFirstColumn="0" w:lastRowLastColumn="0"/>
                        <w:tcW w:w="967" w:type="dxa"/>
                        <w:shd w:val="clear" w:color="auto" w:fill="D1E3B0" w:themeFill="accent5"/>
                        <w:vAlign w:val="center"/>
                      </w:tcPr>
                      <w:p w14:paraId="3E916AC7" w14:textId="39D720ED" w:rsidR="009A5B3F" w:rsidRPr="00372C0F" w:rsidRDefault="009A5B3F" w:rsidP="00E621A3">
                        <w:pPr>
                          <w:pStyle w:val="TableText"/>
                          <w:spacing w:before="60" w:after="60"/>
                          <w:jc w:val="center"/>
                        </w:pPr>
                        <w:r w:rsidRPr="00372C0F">
                          <w:t>2.3</w:t>
                        </w:r>
                      </w:p>
                    </w:tc>
                    <w:tc>
                      <w:tcPr>
                        <w:tcW w:w="13336" w:type="dxa"/>
                        <w:shd w:val="clear" w:color="auto" w:fill="F5F9EF"/>
                        <w:vAlign w:val="center"/>
                      </w:tcPr>
                      <w:p w14:paraId="6BBA286F" w14:textId="135B2C56" w:rsidR="009A5B3F" w:rsidRDefault="009A5B3F" w:rsidP="00E621A3">
                        <w:pPr>
                          <w:pStyle w:val="TableText"/>
                          <w:spacing w:before="60" w:after="60"/>
                          <w:cnfStyle w:val="000000000000" w:firstRow="0" w:lastRow="0" w:firstColumn="0" w:lastColumn="0" w:oddVBand="0" w:evenVBand="0" w:oddHBand="0" w:evenHBand="0" w:firstRowFirstColumn="0" w:firstRowLastColumn="0" w:lastRowFirstColumn="0" w:lastRowLastColumn="0"/>
                        </w:pPr>
                        <w:r w:rsidRPr="7A3874CD">
                          <w:rPr>
                            <w:lang w:val="en-NZ"/>
                          </w:rPr>
                          <w:t xml:space="preserve">Are there any other factors noted by service providers or </w:t>
                        </w:r>
                        <w:r w:rsidR="00E614D3">
                          <w:rPr>
                            <w:lang w:val="en-NZ"/>
                          </w:rPr>
                          <w:t xml:space="preserve">service </w:t>
                        </w:r>
                        <w:r w:rsidR="00533B8F">
                          <w:rPr>
                            <w:lang w:val="en-NZ"/>
                          </w:rPr>
                          <w:t>users</w:t>
                        </w:r>
                        <w:r w:rsidRPr="7A3874CD">
                          <w:rPr>
                            <w:lang w:val="en-NZ"/>
                          </w:rPr>
                          <w:t xml:space="preserve"> that had an impact on outcomes (positive or negative, intended or unintended)?</w:t>
                        </w:r>
                      </w:p>
                    </w:tc>
                  </w:tr>
                  <w:tr w:rsidR="00D57671" w14:paraId="65F08A31" w14:textId="77777777" w:rsidTr="00BC0B20">
                    <w:trPr>
                      <w:cnfStyle w:val="000000100000" w:firstRow="0" w:lastRow="0" w:firstColumn="0" w:lastColumn="0" w:oddVBand="0" w:evenVBand="0" w:oddHBand="1" w:evenHBand="0" w:firstRowFirstColumn="0" w:firstRowLastColumn="0" w:lastRowFirstColumn="0" w:lastRowLastColumn="0"/>
                      <w:trHeight w:val="422"/>
                    </w:trPr>
                    <w:tc>
                      <w:tcPr>
                        <w:cnfStyle w:val="001000000000" w:firstRow="0" w:lastRow="0" w:firstColumn="1" w:lastColumn="0" w:oddVBand="0" w:evenVBand="0" w:oddHBand="0" w:evenHBand="0" w:firstRowFirstColumn="0" w:firstRowLastColumn="0" w:lastRowFirstColumn="0" w:lastRowLastColumn="0"/>
                        <w:tcW w:w="967" w:type="dxa"/>
                        <w:shd w:val="clear" w:color="auto" w:fill="D1E3B0" w:themeFill="accent5"/>
                        <w:vAlign w:val="center"/>
                      </w:tcPr>
                      <w:p w14:paraId="37887008" w14:textId="60610DD7" w:rsidR="009A5B3F" w:rsidRPr="00372C0F" w:rsidRDefault="009A5B3F" w:rsidP="00E621A3">
                        <w:pPr>
                          <w:pStyle w:val="TableText"/>
                          <w:spacing w:before="60" w:after="60"/>
                          <w:jc w:val="center"/>
                        </w:pPr>
                        <w:r w:rsidRPr="00372C0F">
                          <w:t>2.4</w:t>
                        </w:r>
                      </w:p>
                    </w:tc>
                    <w:tc>
                      <w:tcPr>
                        <w:tcW w:w="13336" w:type="dxa"/>
                        <w:shd w:val="clear" w:color="auto" w:fill="F5F9EF"/>
                        <w:vAlign w:val="center"/>
                      </w:tcPr>
                      <w:p w14:paraId="083EA299" w14:textId="3EFBB73F" w:rsidR="009A5B3F" w:rsidRDefault="009A5B3F" w:rsidP="00E621A3">
                        <w:pPr>
                          <w:pStyle w:val="TableText"/>
                          <w:spacing w:before="60" w:after="60"/>
                          <w:cnfStyle w:val="000000100000" w:firstRow="0" w:lastRow="0" w:firstColumn="0" w:lastColumn="0" w:oddVBand="0" w:evenVBand="0" w:oddHBand="1" w:evenHBand="0" w:firstRowFirstColumn="0" w:firstRowLastColumn="0" w:lastRowFirstColumn="0" w:lastRowLastColumn="0"/>
                        </w:pPr>
                        <w:r w:rsidRPr="00710179">
                          <w:t>What, if any, lessons can be drawn from the program to improve the effectiveness of future programs?</w:t>
                        </w:r>
                      </w:p>
                    </w:tc>
                  </w:tr>
                </w:tbl>
                <w:p w14:paraId="2517A87C" w14:textId="719E4331" w:rsidR="009A5B3F" w:rsidRDefault="009A5B3F" w:rsidP="009A5B3F">
                  <w:pPr>
                    <w:pStyle w:val="TableFigure-Notes"/>
                  </w:pPr>
                </w:p>
                <w:tbl>
                  <w:tblPr>
                    <w:tblStyle w:val="ListTable3-Accent31"/>
                    <w:tblW w:w="14747" w:type="dxa"/>
                    <w:tblInd w:w="-5" w:type="dxa"/>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856"/>
                    <w:gridCol w:w="13891"/>
                  </w:tblGrid>
                  <w:tr w:rsidR="009A5B3F" w14:paraId="14E8C59A" w14:textId="77777777" w:rsidTr="00582EAB">
                    <w:trPr>
                      <w:cnfStyle w:val="100000000000" w:firstRow="1" w:lastRow="0" w:firstColumn="0" w:lastColumn="0" w:oddVBand="0" w:evenVBand="0" w:oddHBand="0" w:evenHBand="0" w:firstRowFirstColumn="0" w:firstRowLastColumn="0" w:lastRowFirstColumn="0" w:lastRowLastColumn="0"/>
                      <w:trHeight w:val="406"/>
                    </w:trPr>
                    <w:tc>
                      <w:tcPr>
                        <w:cnfStyle w:val="001000000100" w:firstRow="0" w:lastRow="0" w:firstColumn="1" w:lastColumn="0" w:oddVBand="0" w:evenVBand="0" w:oddHBand="0" w:evenHBand="0" w:firstRowFirstColumn="1" w:firstRowLastColumn="0" w:lastRowFirstColumn="0" w:lastRowLastColumn="0"/>
                        <w:tcW w:w="14747" w:type="dxa"/>
                        <w:gridSpan w:val="2"/>
                        <w:shd w:val="clear" w:color="auto" w:fill="C6E0DC"/>
                      </w:tcPr>
                      <w:p w14:paraId="2ED0A222" w14:textId="386F8BBD" w:rsidR="009A5B3F" w:rsidRPr="00815159" w:rsidRDefault="009A5B3F" w:rsidP="005256AA">
                        <w:pPr>
                          <w:pStyle w:val="TableFigureTitle"/>
                          <w:spacing w:before="120"/>
                          <w:jc w:val="left"/>
                          <w:rPr>
                            <w:i w:val="0"/>
                            <w:sz w:val="24"/>
                            <w:szCs w:val="24"/>
                          </w:rPr>
                        </w:pPr>
                        <w:r w:rsidRPr="00815159">
                          <w:rPr>
                            <w:i w:val="0"/>
                            <w:color w:val="000000"/>
                            <w:sz w:val="24"/>
                            <w:szCs w:val="24"/>
                          </w:rPr>
                          <w:lastRenderedPageBreak/>
                          <w:t xml:space="preserve">Appropriateness </w:t>
                        </w:r>
                      </w:p>
                    </w:tc>
                  </w:tr>
                  <w:tr w:rsidR="005F1EC0" w14:paraId="1466EEB7" w14:textId="77777777" w:rsidTr="00582EAB">
                    <w:trPr>
                      <w:cnfStyle w:val="000000100000" w:firstRow="0" w:lastRow="0" w:firstColumn="0" w:lastColumn="0" w:oddVBand="0" w:evenVBand="0" w:oddHBand="1" w:evenHBand="0" w:firstRowFirstColumn="0" w:firstRowLastColumn="0" w:lastRowFirstColumn="0" w:lastRowLastColumn="0"/>
                      <w:trHeight w:val="529"/>
                    </w:trPr>
                    <w:tc>
                      <w:tcPr>
                        <w:cnfStyle w:val="001000000000" w:firstRow="0" w:lastRow="0" w:firstColumn="1" w:lastColumn="0" w:oddVBand="0" w:evenVBand="0" w:oddHBand="0" w:evenHBand="0" w:firstRowFirstColumn="0" w:firstRowLastColumn="0" w:lastRowFirstColumn="0" w:lastRowLastColumn="0"/>
                        <w:tcW w:w="856" w:type="dxa"/>
                        <w:shd w:val="clear" w:color="auto" w:fill="078C8C"/>
                        <w:vAlign w:val="center"/>
                      </w:tcPr>
                      <w:p w14:paraId="40F150DB" w14:textId="3F9E76CC" w:rsidR="009A5B3F" w:rsidRPr="00773461" w:rsidRDefault="003D66F3" w:rsidP="00815159">
                        <w:pPr>
                          <w:pStyle w:val="TableText"/>
                          <w:spacing w:before="120"/>
                          <w:rPr>
                            <w:color w:val="FFFFFF" w:themeColor="background1"/>
                          </w:rPr>
                        </w:pPr>
                        <w:r w:rsidRPr="00773461">
                          <w:rPr>
                            <w:color w:val="FFFFFF" w:themeColor="background1"/>
                          </w:rPr>
                          <w:t xml:space="preserve">KEQ </w:t>
                        </w:r>
                        <w:r w:rsidR="003F33EA" w:rsidRPr="00773461">
                          <w:rPr>
                            <w:color w:val="FFFFFF" w:themeColor="background1"/>
                          </w:rPr>
                          <w:t>3</w:t>
                        </w:r>
                      </w:p>
                    </w:tc>
                    <w:tc>
                      <w:tcPr>
                        <w:tcW w:w="13891" w:type="dxa"/>
                        <w:shd w:val="clear" w:color="auto" w:fill="078C8C"/>
                        <w:vAlign w:val="center"/>
                      </w:tcPr>
                      <w:p w14:paraId="04B7A5F9" w14:textId="2BC09D82" w:rsidR="009A5B3F" w:rsidRPr="00773461" w:rsidRDefault="003F33EA" w:rsidP="00815159">
                        <w:pPr>
                          <w:pStyle w:val="TableText"/>
                          <w:spacing w:before="120"/>
                          <w:cnfStyle w:val="000000100000" w:firstRow="0" w:lastRow="0" w:firstColumn="0" w:lastColumn="0" w:oddVBand="0" w:evenVBand="0" w:oddHBand="1" w:evenHBand="0" w:firstRowFirstColumn="0" w:firstRowLastColumn="0" w:lastRowFirstColumn="0" w:lastRowLastColumn="0"/>
                          <w:rPr>
                            <w:b/>
                            <w:color w:val="FFFFFF" w:themeColor="background1"/>
                            <w:lang w:val="en-NZ"/>
                          </w:rPr>
                        </w:pPr>
                        <w:r w:rsidRPr="00773461">
                          <w:rPr>
                            <w:b/>
                            <w:color w:val="FFFFFF" w:themeColor="background1"/>
                            <w:lang w:val="en-NZ"/>
                          </w:rPr>
                          <w:t xml:space="preserve">To what extent are FaRS and SFVS appropriate and aligned with the needs of service users and priority populations (including people experiencing trauma, family violence and sexual violence, </w:t>
                        </w:r>
                        <w:r w:rsidR="00650679">
                          <w:rPr>
                            <w:b/>
                            <w:color w:val="FFFFFF" w:themeColor="background1"/>
                            <w:lang w:val="en-NZ"/>
                          </w:rPr>
                          <w:t>Aboriginal and Torres Strait Islander</w:t>
                        </w:r>
                        <w:r w:rsidRPr="00773461">
                          <w:rPr>
                            <w:b/>
                            <w:color w:val="FFFFFF" w:themeColor="background1"/>
                            <w:lang w:val="en-NZ"/>
                          </w:rPr>
                          <w:t xml:space="preserve"> people, culturally and linguistically diverse people, people with disability and those identifying as LGBTIQA+) and with the service preferences of contemporary families?</w:t>
                        </w:r>
                      </w:p>
                    </w:tc>
                  </w:tr>
                  <w:tr w:rsidR="00947838" w14:paraId="2EC9BB71" w14:textId="77777777" w:rsidTr="00582EAB">
                    <w:trPr>
                      <w:trHeight w:val="999"/>
                    </w:trPr>
                    <w:tc>
                      <w:tcPr>
                        <w:cnfStyle w:val="001000000000" w:firstRow="0" w:lastRow="0" w:firstColumn="1" w:lastColumn="0" w:oddVBand="0" w:evenVBand="0" w:oddHBand="0" w:evenHBand="0" w:firstRowFirstColumn="0" w:firstRowLastColumn="0" w:lastRowFirstColumn="0" w:lastRowLastColumn="0"/>
                        <w:tcW w:w="856" w:type="dxa"/>
                        <w:tcBorders>
                          <w:bottom w:val="single" w:sz="4" w:space="0" w:color="078C8C"/>
                        </w:tcBorders>
                        <w:shd w:val="clear" w:color="auto" w:fill="C6E0DC"/>
                        <w:vAlign w:val="center"/>
                      </w:tcPr>
                      <w:p w14:paraId="4BE0B13B" w14:textId="711ED327" w:rsidR="009A5B3F" w:rsidRPr="004A3C6D" w:rsidRDefault="003F33EA" w:rsidP="004A3C6D">
                        <w:pPr>
                          <w:pStyle w:val="TableText"/>
                          <w:spacing w:before="60" w:after="60"/>
                          <w:jc w:val="center"/>
                        </w:pPr>
                        <w:r w:rsidRPr="004A3C6D">
                          <w:t>3.1</w:t>
                        </w:r>
                      </w:p>
                    </w:tc>
                    <w:tc>
                      <w:tcPr>
                        <w:tcW w:w="13891" w:type="dxa"/>
                        <w:tcBorders>
                          <w:bottom w:val="single" w:sz="4" w:space="0" w:color="078C8C"/>
                        </w:tcBorders>
                        <w:shd w:val="clear" w:color="auto" w:fill="F2F8F7"/>
                        <w:vAlign w:val="center"/>
                      </w:tcPr>
                      <w:p w14:paraId="05FBFA9B" w14:textId="7BE56C27" w:rsidR="009A5B3F" w:rsidRPr="00DB650E" w:rsidRDefault="00A2273F" w:rsidP="00A302A7">
                        <w:pPr>
                          <w:pStyle w:val="TableFigure-Notes"/>
                          <w:spacing w:before="60" w:after="60"/>
                          <w:jc w:val="left"/>
                          <w:cnfStyle w:val="000000000000" w:firstRow="0" w:lastRow="0" w:firstColumn="0" w:lastColumn="0" w:oddVBand="0" w:evenVBand="0" w:oddHBand="0" w:evenHBand="0" w:firstRowFirstColumn="0" w:firstRowLastColumn="0" w:lastRowFirstColumn="0" w:lastRowLastColumn="0"/>
                          <w:rPr>
                            <w:szCs w:val="21"/>
                          </w:rPr>
                        </w:pPr>
                        <w:r w:rsidRPr="00A2273F">
                          <w:rPr>
                            <w:sz w:val="21"/>
                            <w:szCs w:val="21"/>
                          </w:rPr>
                          <w:t>Who is it working for? Explore outcomes by FaRS and SFVS for</w:t>
                        </w:r>
                        <w:r>
                          <w:rPr>
                            <w:sz w:val="21"/>
                            <w:szCs w:val="21"/>
                          </w:rPr>
                          <w:t xml:space="preserve"> </w:t>
                        </w:r>
                        <w:r w:rsidRPr="00A2273F">
                          <w:rPr>
                            <w:sz w:val="21"/>
                            <w:szCs w:val="21"/>
                          </w:rPr>
                          <w:t>people experiencing or at risk of FDSV, including adult and child victim survivors, their families and people who use violenc</w:t>
                        </w:r>
                        <w:r>
                          <w:rPr>
                            <w:sz w:val="21"/>
                            <w:szCs w:val="21"/>
                          </w:rPr>
                          <w:t xml:space="preserve">e; </w:t>
                        </w:r>
                        <w:r w:rsidR="00650679" w:rsidRPr="00650679">
                          <w:rPr>
                            <w:sz w:val="21"/>
                            <w:szCs w:val="21"/>
                          </w:rPr>
                          <w:t xml:space="preserve">Aboriginal and Torres Strait Islander </w:t>
                        </w:r>
                        <w:r w:rsidRPr="00A2273F">
                          <w:rPr>
                            <w:sz w:val="21"/>
                            <w:szCs w:val="21"/>
                          </w:rPr>
                          <w:t>people, including adults and children/young people</w:t>
                        </w:r>
                        <w:r>
                          <w:rPr>
                            <w:sz w:val="21"/>
                            <w:szCs w:val="21"/>
                          </w:rPr>
                          <w:t xml:space="preserve">; </w:t>
                        </w:r>
                        <w:r w:rsidRPr="00A2273F">
                          <w:rPr>
                            <w:sz w:val="21"/>
                            <w:szCs w:val="21"/>
                          </w:rPr>
                          <w:t>CALD adults and childre</w:t>
                        </w:r>
                        <w:r>
                          <w:rPr>
                            <w:sz w:val="21"/>
                            <w:szCs w:val="21"/>
                          </w:rPr>
                          <w:t>n; a</w:t>
                        </w:r>
                        <w:r w:rsidRPr="00A2273F">
                          <w:rPr>
                            <w:sz w:val="21"/>
                            <w:szCs w:val="21"/>
                          </w:rPr>
                          <w:t>dults and children identifying as LGBTQIA+</w:t>
                        </w:r>
                        <w:r>
                          <w:rPr>
                            <w:sz w:val="21"/>
                            <w:szCs w:val="21"/>
                          </w:rPr>
                          <w:t xml:space="preserve">’ </w:t>
                        </w:r>
                        <w:r w:rsidRPr="00A2273F">
                          <w:rPr>
                            <w:sz w:val="21"/>
                            <w:szCs w:val="21"/>
                          </w:rPr>
                          <w:t>people with disability</w:t>
                        </w:r>
                        <w:r w:rsidR="00872D0E">
                          <w:rPr>
                            <w:sz w:val="21"/>
                            <w:szCs w:val="21"/>
                          </w:rPr>
                          <w:t xml:space="preserve">; and </w:t>
                        </w:r>
                        <w:r w:rsidRPr="00A2273F">
                          <w:rPr>
                            <w:sz w:val="21"/>
                            <w:szCs w:val="21"/>
                          </w:rPr>
                          <w:t>families with children at risk/experiencing child neglect or abuse</w:t>
                        </w:r>
                        <w:r w:rsidR="00CA40C9">
                          <w:rPr>
                            <w:sz w:val="21"/>
                            <w:szCs w:val="21"/>
                          </w:rPr>
                          <w:t>.</w:t>
                        </w:r>
                      </w:p>
                    </w:tc>
                  </w:tr>
                  <w:tr w:rsidR="00947838" w14:paraId="1D53D6C5" w14:textId="77777777" w:rsidTr="00582EAB">
                    <w:trPr>
                      <w:cnfStyle w:val="000000100000" w:firstRow="0" w:lastRow="0" w:firstColumn="0" w:lastColumn="0" w:oddVBand="0" w:evenVBand="0" w:oddHBand="1" w:evenHBand="0" w:firstRowFirstColumn="0" w:firstRowLastColumn="0" w:lastRowFirstColumn="0" w:lastRowLastColumn="0"/>
                      <w:trHeight w:val="406"/>
                    </w:trPr>
                    <w:tc>
                      <w:tcPr>
                        <w:cnfStyle w:val="001000000000" w:firstRow="0" w:lastRow="0" w:firstColumn="1" w:lastColumn="0" w:oddVBand="0" w:evenVBand="0" w:oddHBand="0" w:evenHBand="0" w:firstRowFirstColumn="0" w:firstRowLastColumn="0" w:lastRowFirstColumn="0" w:lastRowLastColumn="0"/>
                        <w:tcW w:w="856" w:type="dxa"/>
                        <w:tcBorders>
                          <w:top w:val="single" w:sz="4" w:space="0" w:color="078C8C"/>
                          <w:bottom w:val="single" w:sz="4" w:space="0" w:color="078C8C"/>
                        </w:tcBorders>
                        <w:shd w:val="clear" w:color="auto" w:fill="C6E0DC"/>
                        <w:vAlign w:val="center"/>
                      </w:tcPr>
                      <w:p w14:paraId="0C289B32" w14:textId="30276BB1" w:rsidR="009A5B3F" w:rsidRPr="004A3C6D" w:rsidRDefault="003F33EA" w:rsidP="004A3C6D">
                        <w:pPr>
                          <w:pStyle w:val="TableText"/>
                          <w:spacing w:before="60" w:after="60"/>
                          <w:jc w:val="center"/>
                        </w:pPr>
                        <w:r w:rsidRPr="004A3C6D">
                          <w:t>3.2</w:t>
                        </w:r>
                      </w:p>
                    </w:tc>
                    <w:tc>
                      <w:tcPr>
                        <w:tcW w:w="13891" w:type="dxa"/>
                        <w:tcBorders>
                          <w:top w:val="single" w:sz="4" w:space="0" w:color="078C8C"/>
                          <w:bottom w:val="single" w:sz="4" w:space="0" w:color="078C8C"/>
                        </w:tcBorders>
                        <w:shd w:val="clear" w:color="auto" w:fill="F2F8F7"/>
                        <w:vAlign w:val="center"/>
                      </w:tcPr>
                      <w:p w14:paraId="0CD68909" w14:textId="6598AFC9" w:rsidR="009A5B3F" w:rsidRDefault="00672EFA" w:rsidP="00815159">
                        <w:pPr>
                          <w:pStyle w:val="TableText"/>
                          <w:spacing w:before="60" w:after="60"/>
                          <w:cnfStyle w:val="000000100000" w:firstRow="0" w:lastRow="0" w:firstColumn="0" w:lastColumn="0" w:oddVBand="0" w:evenVBand="0" w:oddHBand="1" w:evenHBand="0" w:firstRowFirstColumn="0" w:firstRowLastColumn="0" w:lastRowFirstColumn="0" w:lastRowLastColumn="0"/>
                        </w:pPr>
                        <w:r w:rsidRPr="1A1ACD70">
                          <w:rPr>
                            <w:lang w:val="en-NZ"/>
                          </w:rPr>
                          <w:t>The appropriateness of the design of both FaRS and SFVS for addressing the needs and service preferences of cohorts</w:t>
                        </w:r>
                        <w:r w:rsidR="00CA40C9">
                          <w:rPr>
                            <w:lang w:val="en-NZ"/>
                          </w:rPr>
                          <w:t>.</w:t>
                        </w:r>
                        <w:r w:rsidRPr="1A1ACD70">
                          <w:rPr>
                            <w:lang w:val="en-NZ"/>
                          </w:rPr>
                          <w:t xml:space="preserve"> </w:t>
                        </w:r>
                      </w:p>
                    </w:tc>
                  </w:tr>
                  <w:tr w:rsidR="00947838" w14:paraId="161389EB" w14:textId="77777777" w:rsidTr="00582EAB">
                    <w:trPr>
                      <w:trHeight w:val="671"/>
                    </w:trPr>
                    <w:tc>
                      <w:tcPr>
                        <w:cnfStyle w:val="001000000000" w:firstRow="0" w:lastRow="0" w:firstColumn="1" w:lastColumn="0" w:oddVBand="0" w:evenVBand="0" w:oddHBand="0" w:evenHBand="0" w:firstRowFirstColumn="0" w:firstRowLastColumn="0" w:lastRowFirstColumn="0" w:lastRowLastColumn="0"/>
                        <w:tcW w:w="856" w:type="dxa"/>
                        <w:tcBorders>
                          <w:top w:val="single" w:sz="4" w:space="0" w:color="078C8C"/>
                          <w:bottom w:val="single" w:sz="4" w:space="0" w:color="078C8C"/>
                        </w:tcBorders>
                        <w:shd w:val="clear" w:color="auto" w:fill="C6E0DC"/>
                        <w:vAlign w:val="center"/>
                      </w:tcPr>
                      <w:p w14:paraId="3462F565" w14:textId="7852B9C9" w:rsidR="00625E5A" w:rsidRPr="004A3C6D" w:rsidRDefault="00625E5A" w:rsidP="004A3C6D">
                        <w:pPr>
                          <w:pStyle w:val="TableText"/>
                          <w:spacing w:before="60" w:after="60"/>
                          <w:jc w:val="center"/>
                        </w:pPr>
                        <w:r w:rsidRPr="004A3C6D">
                          <w:t>3.3</w:t>
                        </w:r>
                      </w:p>
                    </w:tc>
                    <w:tc>
                      <w:tcPr>
                        <w:tcW w:w="13891" w:type="dxa"/>
                        <w:tcBorders>
                          <w:top w:val="single" w:sz="4" w:space="0" w:color="078C8C"/>
                          <w:bottom w:val="single" w:sz="4" w:space="0" w:color="078C8C"/>
                        </w:tcBorders>
                        <w:shd w:val="clear" w:color="auto" w:fill="F2F8F7"/>
                        <w:vAlign w:val="center"/>
                      </w:tcPr>
                      <w:p w14:paraId="536CF583" w14:textId="0CE68433" w:rsidR="00625E5A" w:rsidRDefault="00625E5A" w:rsidP="00815159">
                        <w:pPr>
                          <w:pStyle w:val="TableText"/>
                          <w:spacing w:before="60" w:after="60"/>
                          <w:cnfStyle w:val="000000000000" w:firstRow="0" w:lastRow="0" w:firstColumn="0" w:lastColumn="0" w:oddVBand="0" w:evenVBand="0" w:oddHBand="0" w:evenHBand="0" w:firstRowFirstColumn="0" w:firstRowLastColumn="0" w:lastRowFirstColumn="0" w:lastRowLastColumn="0"/>
                        </w:pPr>
                        <w:r w:rsidRPr="1A1ACD70">
                          <w:rPr>
                            <w:lang w:val="en-NZ"/>
                          </w:rPr>
                          <w:t xml:space="preserve">What is the appropriateness of the design of both FaRS and SFVS (including </w:t>
                        </w:r>
                        <w:r w:rsidR="00650199">
                          <w:rPr>
                            <w:lang w:val="en-NZ"/>
                          </w:rPr>
                          <w:t>C</w:t>
                        </w:r>
                        <w:r w:rsidRPr="1A1ACD70">
                          <w:rPr>
                            <w:lang w:val="en-NZ"/>
                          </w:rPr>
                          <w:t xml:space="preserve">hild </w:t>
                        </w:r>
                        <w:r w:rsidR="00650199">
                          <w:rPr>
                            <w:lang w:val="en-NZ"/>
                          </w:rPr>
                          <w:t>Specific C</w:t>
                        </w:r>
                        <w:r w:rsidRPr="1A1ACD70">
                          <w:rPr>
                            <w:lang w:val="en-NZ"/>
                          </w:rPr>
                          <w:t xml:space="preserve">ounselling and </w:t>
                        </w:r>
                        <w:r w:rsidR="00650199">
                          <w:rPr>
                            <w:lang w:val="en-NZ"/>
                          </w:rPr>
                          <w:t>M</w:t>
                        </w:r>
                        <w:r w:rsidRPr="1A1ACD70">
                          <w:rPr>
                            <w:lang w:val="en-NZ"/>
                          </w:rPr>
                          <w:t xml:space="preserve">en’s </w:t>
                        </w:r>
                        <w:r w:rsidR="00650199">
                          <w:rPr>
                            <w:lang w:val="en-NZ"/>
                          </w:rPr>
                          <w:t>B</w:t>
                        </w:r>
                        <w:r w:rsidRPr="1A1ACD70">
                          <w:rPr>
                            <w:lang w:val="en-NZ"/>
                          </w:rPr>
                          <w:t xml:space="preserve">ehaviour </w:t>
                        </w:r>
                        <w:r w:rsidR="00650199">
                          <w:rPr>
                            <w:lang w:val="en-NZ"/>
                          </w:rPr>
                          <w:t>C</w:t>
                        </w:r>
                        <w:r w:rsidRPr="1A1ACD70">
                          <w:rPr>
                            <w:lang w:val="en-NZ"/>
                          </w:rPr>
                          <w:t xml:space="preserve">hange </w:t>
                        </w:r>
                        <w:r w:rsidR="00650199">
                          <w:rPr>
                            <w:lang w:val="en-NZ"/>
                          </w:rPr>
                          <w:t>P</w:t>
                        </w:r>
                        <w:r w:rsidRPr="1A1ACD70">
                          <w:rPr>
                            <w:lang w:val="en-NZ"/>
                          </w:rPr>
                          <w:t>rograms) for addressing the needs and service preferences of contemporary families and children?</w:t>
                        </w:r>
                      </w:p>
                    </w:tc>
                  </w:tr>
                  <w:tr w:rsidR="00947838" w14:paraId="0616FE40" w14:textId="77777777" w:rsidTr="00582EAB">
                    <w:trPr>
                      <w:cnfStyle w:val="000000100000" w:firstRow="0" w:lastRow="0" w:firstColumn="0" w:lastColumn="0" w:oddVBand="0" w:evenVBand="0" w:oddHBand="1" w:evenHBand="0" w:firstRowFirstColumn="0" w:firstRowLastColumn="0" w:lastRowFirstColumn="0" w:lastRowLastColumn="0"/>
                      <w:trHeight w:val="595"/>
                    </w:trPr>
                    <w:tc>
                      <w:tcPr>
                        <w:cnfStyle w:val="001000000000" w:firstRow="0" w:lastRow="0" w:firstColumn="1" w:lastColumn="0" w:oddVBand="0" w:evenVBand="0" w:oddHBand="0" w:evenHBand="0" w:firstRowFirstColumn="0" w:firstRowLastColumn="0" w:lastRowFirstColumn="0" w:lastRowLastColumn="0"/>
                        <w:tcW w:w="856" w:type="dxa"/>
                        <w:tcBorders>
                          <w:top w:val="single" w:sz="4" w:space="0" w:color="078C8C"/>
                          <w:bottom w:val="single" w:sz="4" w:space="0" w:color="078C8C"/>
                        </w:tcBorders>
                        <w:shd w:val="clear" w:color="auto" w:fill="C6E0DC"/>
                        <w:vAlign w:val="center"/>
                      </w:tcPr>
                      <w:p w14:paraId="069EC25C" w14:textId="2D6C2513" w:rsidR="00625E5A" w:rsidRPr="004A3C6D" w:rsidRDefault="00625E5A" w:rsidP="004A3C6D">
                        <w:pPr>
                          <w:pStyle w:val="TableText"/>
                          <w:spacing w:before="60" w:after="60"/>
                          <w:jc w:val="center"/>
                        </w:pPr>
                        <w:r w:rsidRPr="004A3C6D">
                          <w:t>3.4</w:t>
                        </w:r>
                      </w:p>
                    </w:tc>
                    <w:tc>
                      <w:tcPr>
                        <w:tcW w:w="13891" w:type="dxa"/>
                        <w:tcBorders>
                          <w:top w:val="single" w:sz="4" w:space="0" w:color="078C8C"/>
                          <w:bottom w:val="single" w:sz="4" w:space="0" w:color="078C8C"/>
                        </w:tcBorders>
                        <w:shd w:val="clear" w:color="auto" w:fill="F2F8F7"/>
                        <w:vAlign w:val="center"/>
                      </w:tcPr>
                      <w:p w14:paraId="1392E990" w14:textId="7FD633C7" w:rsidR="00625E5A" w:rsidRDefault="00625E5A" w:rsidP="00815159">
                        <w:pPr>
                          <w:pStyle w:val="TableText"/>
                          <w:spacing w:before="60" w:after="60"/>
                          <w:cnfStyle w:val="000000100000" w:firstRow="0" w:lastRow="0" w:firstColumn="0" w:lastColumn="0" w:oddVBand="0" w:evenVBand="0" w:oddHBand="1" w:evenHBand="0" w:firstRowFirstColumn="0" w:firstRowLastColumn="0" w:lastRowFirstColumn="0" w:lastRowLastColumn="0"/>
                        </w:pPr>
                        <w:r w:rsidRPr="1A1ACD70">
                          <w:rPr>
                            <w:lang w:val="en-NZ"/>
                          </w:rPr>
                          <w:t>What is the way in which current programs meet community need and to what extent have FaRS and SFVS providers adapted their services to meet the needs of their communities?</w:t>
                        </w:r>
                      </w:p>
                    </w:tc>
                  </w:tr>
                  <w:tr w:rsidR="00947838" w14:paraId="0090AACB" w14:textId="77777777" w:rsidTr="00582EAB">
                    <w:trPr>
                      <w:trHeight w:val="671"/>
                    </w:trPr>
                    <w:tc>
                      <w:tcPr>
                        <w:cnfStyle w:val="001000000000" w:firstRow="0" w:lastRow="0" w:firstColumn="1" w:lastColumn="0" w:oddVBand="0" w:evenVBand="0" w:oddHBand="0" w:evenHBand="0" w:firstRowFirstColumn="0" w:firstRowLastColumn="0" w:lastRowFirstColumn="0" w:lastRowLastColumn="0"/>
                        <w:tcW w:w="856" w:type="dxa"/>
                        <w:tcBorders>
                          <w:top w:val="single" w:sz="4" w:space="0" w:color="078C8C"/>
                        </w:tcBorders>
                        <w:shd w:val="clear" w:color="auto" w:fill="C6E0DC"/>
                        <w:vAlign w:val="center"/>
                      </w:tcPr>
                      <w:p w14:paraId="3B2494EC" w14:textId="4DB1D53F" w:rsidR="00625E5A" w:rsidRPr="004A3C6D" w:rsidRDefault="00625E5A" w:rsidP="004A3C6D">
                        <w:pPr>
                          <w:pStyle w:val="TableText"/>
                          <w:spacing w:before="60" w:after="60"/>
                          <w:jc w:val="center"/>
                        </w:pPr>
                        <w:r w:rsidRPr="004A3C6D">
                          <w:t>3.5</w:t>
                        </w:r>
                      </w:p>
                    </w:tc>
                    <w:tc>
                      <w:tcPr>
                        <w:tcW w:w="13891" w:type="dxa"/>
                        <w:tcBorders>
                          <w:top w:val="single" w:sz="4" w:space="0" w:color="078C8C"/>
                        </w:tcBorders>
                        <w:shd w:val="clear" w:color="auto" w:fill="F2F8F7"/>
                        <w:vAlign w:val="center"/>
                      </w:tcPr>
                      <w:p w14:paraId="0571FA01" w14:textId="47A5C0A0" w:rsidR="00625E5A" w:rsidRDefault="00625E5A" w:rsidP="00815159">
                        <w:pPr>
                          <w:pStyle w:val="TableText"/>
                          <w:spacing w:before="60" w:after="60"/>
                          <w:cnfStyle w:val="000000000000" w:firstRow="0" w:lastRow="0" w:firstColumn="0" w:lastColumn="0" w:oddVBand="0" w:evenVBand="0" w:oddHBand="0" w:evenHBand="0" w:firstRowFirstColumn="0" w:firstRowLastColumn="0" w:lastRowFirstColumn="0" w:lastRowLastColumn="0"/>
                        </w:pPr>
                        <w:r w:rsidRPr="7A3874CD">
                          <w:rPr>
                            <w:lang w:val="en-NZ"/>
                          </w:rPr>
                          <w:t>What is the scope for components of the programs to be delivered virtually</w:t>
                        </w:r>
                        <w:r w:rsidR="00014193">
                          <w:rPr>
                            <w:lang w:val="en-NZ"/>
                          </w:rPr>
                          <w:t>?</w:t>
                        </w:r>
                        <w:r w:rsidRPr="7A3874CD">
                          <w:rPr>
                            <w:lang w:val="en-NZ"/>
                          </w:rPr>
                          <w:t xml:space="preserve"> </w:t>
                        </w:r>
                        <w:r w:rsidR="00014193">
                          <w:rPr>
                            <w:lang w:val="en-NZ"/>
                          </w:rPr>
                          <w:t>W</w:t>
                        </w:r>
                        <w:r w:rsidR="00014193" w:rsidRPr="7A3874CD">
                          <w:rPr>
                            <w:lang w:val="en-NZ"/>
                          </w:rPr>
                          <w:t xml:space="preserve">hat </w:t>
                        </w:r>
                        <w:r w:rsidRPr="7A3874CD">
                          <w:rPr>
                            <w:lang w:val="en-NZ"/>
                          </w:rPr>
                          <w:t xml:space="preserve">can be delivered virtually compared to face-to-face, and </w:t>
                        </w:r>
                        <w:r w:rsidR="000835EB">
                          <w:rPr>
                            <w:lang w:val="en-NZ"/>
                          </w:rPr>
                          <w:t>has the</w:t>
                        </w:r>
                        <w:r w:rsidRPr="7A3874CD">
                          <w:rPr>
                            <w:lang w:val="en-NZ"/>
                          </w:rPr>
                          <w:t xml:space="preserve"> virtual component of service delivery been adequately explored by FaRS and SFVS providers</w:t>
                        </w:r>
                        <w:r w:rsidR="000835EB">
                          <w:rPr>
                            <w:lang w:val="en-NZ"/>
                          </w:rPr>
                          <w:t>?</w:t>
                        </w:r>
                      </w:p>
                    </w:tc>
                  </w:tr>
                  <w:tr w:rsidR="005F1EC0" w14:paraId="6749376C" w14:textId="77777777" w:rsidTr="00582EAB">
                    <w:trPr>
                      <w:cnfStyle w:val="000000100000" w:firstRow="0" w:lastRow="0" w:firstColumn="0" w:lastColumn="0" w:oddVBand="0" w:evenVBand="0" w:oddHBand="1" w:evenHBand="0" w:firstRowFirstColumn="0" w:firstRowLastColumn="0" w:lastRowFirstColumn="0" w:lastRowLastColumn="0"/>
                      <w:trHeight w:val="386"/>
                    </w:trPr>
                    <w:tc>
                      <w:tcPr>
                        <w:cnfStyle w:val="001000000000" w:firstRow="0" w:lastRow="0" w:firstColumn="1" w:lastColumn="0" w:oddVBand="0" w:evenVBand="0" w:oddHBand="0" w:evenHBand="0" w:firstRowFirstColumn="0" w:firstRowLastColumn="0" w:lastRowFirstColumn="0" w:lastRowLastColumn="0"/>
                        <w:tcW w:w="856" w:type="dxa"/>
                        <w:shd w:val="clear" w:color="auto" w:fill="078C8C"/>
                        <w:vAlign w:val="center"/>
                      </w:tcPr>
                      <w:p w14:paraId="48F4EA96" w14:textId="6599E524" w:rsidR="009A5B3F" w:rsidRPr="00773461" w:rsidRDefault="003D66F3" w:rsidP="004A3C6D">
                        <w:pPr>
                          <w:pStyle w:val="TableText"/>
                          <w:spacing w:before="120"/>
                          <w:jc w:val="center"/>
                          <w:rPr>
                            <w:color w:val="FFFFFF" w:themeColor="background1"/>
                          </w:rPr>
                        </w:pPr>
                        <w:r w:rsidRPr="00773461">
                          <w:rPr>
                            <w:color w:val="FFFFFF" w:themeColor="background1"/>
                          </w:rPr>
                          <w:t xml:space="preserve">KEQ </w:t>
                        </w:r>
                        <w:r w:rsidR="00625E5A" w:rsidRPr="00773461">
                          <w:rPr>
                            <w:color w:val="FFFFFF" w:themeColor="background1"/>
                          </w:rPr>
                          <w:t>4</w:t>
                        </w:r>
                      </w:p>
                    </w:tc>
                    <w:tc>
                      <w:tcPr>
                        <w:tcW w:w="13891" w:type="dxa"/>
                        <w:shd w:val="clear" w:color="auto" w:fill="078C8C"/>
                        <w:vAlign w:val="center"/>
                      </w:tcPr>
                      <w:p w14:paraId="76D86936" w14:textId="21FFCC7F" w:rsidR="009A5B3F" w:rsidRPr="00773461" w:rsidRDefault="005A1896" w:rsidP="00815159">
                        <w:pPr>
                          <w:pStyle w:val="TableText"/>
                          <w:spacing w:before="120"/>
                          <w:cnfStyle w:val="000000100000" w:firstRow="0" w:lastRow="0" w:firstColumn="0" w:lastColumn="0" w:oddVBand="0" w:evenVBand="0" w:oddHBand="1" w:evenHBand="0" w:firstRowFirstColumn="0" w:firstRowLastColumn="0" w:lastRowFirstColumn="0" w:lastRowLastColumn="0"/>
                          <w:rPr>
                            <w:b/>
                            <w:color w:val="FFFFFF" w:themeColor="background1"/>
                            <w:lang w:val="en-NZ"/>
                          </w:rPr>
                        </w:pPr>
                        <w:r>
                          <w:rPr>
                            <w:b/>
                            <w:color w:val="FFFFFF" w:themeColor="background1"/>
                            <w:lang w:val="en-NZ"/>
                          </w:rPr>
                          <w:t>To what extent do FaRS and SFVS compl</w:t>
                        </w:r>
                        <w:r w:rsidR="00F01023">
                          <w:rPr>
                            <w:b/>
                            <w:color w:val="FFFFFF" w:themeColor="background1"/>
                            <w:lang w:val="en-NZ"/>
                          </w:rPr>
                          <w:t>e</w:t>
                        </w:r>
                        <w:r>
                          <w:rPr>
                            <w:b/>
                            <w:color w:val="FFFFFF" w:themeColor="background1"/>
                            <w:lang w:val="en-NZ"/>
                          </w:rPr>
                          <w:t>ment or overlap with each other?</w:t>
                        </w:r>
                      </w:p>
                    </w:tc>
                  </w:tr>
                  <w:tr w:rsidR="00947838" w14:paraId="0C055726" w14:textId="77777777" w:rsidTr="70B44A2E">
                    <w:tblPrEx>
                      <w:tblBorders>
                        <w:top w:val="single" w:sz="4" w:space="0" w:color="007E00"/>
                        <w:left w:val="single" w:sz="4" w:space="0" w:color="007E00"/>
                        <w:bottom w:val="single" w:sz="4" w:space="0" w:color="007E00"/>
                        <w:right w:val="single" w:sz="4" w:space="0" w:color="007E00"/>
                      </w:tblBorders>
                    </w:tblPrEx>
                    <w:trPr>
                      <w:trHeight w:val="406"/>
                    </w:trPr>
                    <w:tc>
                      <w:tcPr>
                        <w:cnfStyle w:val="001000000000" w:firstRow="0" w:lastRow="0" w:firstColumn="1" w:lastColumn="0" w:oddVBand="0" w:evenVBand="0" w:oddHBand="0" w:evenHBand="0" w:firstRowFirstColumn="0" w:firstRowLastColumn="0" w:lastRowFirstColumn="0" w:lastRowLastColumn="0"/>
                        <w:tcW w:w="856" w:type="dxa"/>
                        <w:tcBorders>
                          <w:top w:val="nil"/>
                          <w:left w:val="nil"/>
                          <w:bottom w:val="nil"/>
                          <w:right w:val="single" w:sz="4" w:space="0" w:color="007E00" w:themeColor="accent3"/>
                        </w:tcBorders>
                        <w:shd w:val="clear" w:color="auto" w:fill="C6E0DC"/>
                        <w:vAlign w:val="center"/>
                      </w:tcPr>
                      <w:p w14:paraId="7EE01F58" w14:textId="1DD8C38B" w:rsidR="009A5B3F" w:rsidRPr="004A3C6D" w:rsidRDefault="00625E5A" w:rsidP="004A3C6D">
                        <w:pPr>
                          <w:pStyle w:val="TableText"/>
                          <w:spacing w:before="60" w:after="60"/>
                          <w:jc w:val="center"/>
                        </w:pPr>
                        <w:r w:rsidRPr="004A3C6D">
                          <w:t>4</w:t>
                        </w:r>
                        <w:r w:rsidR="009A5B3F" w:rsidRPr="004A3C6D">
                          <w:t>.1</w:t>
                        </w:r>
                      </w:p>
                    </w:tc>
                    <w:tc>
                      <w:tcPr>
                        <w:tcW w:w="13891" w:type="dxa"/>
                        <w:tcBorders>
                          <w:top w:val="nil"/>
                          <w:left w:val="nil"/>
                          <w:bottom w:val="nil"/>
                          <w:right w:val="nil"/>
                        </w:tcBorders>
                        <w:shd w:val="clear" w:color="auto" w:fill="F2F8F7"/>
                        <w:vAlign w:val="center"/>
                      </w:tcPr>
                      <w:p w14:paraId="771F6F7F" w14:textId="6801F8FA" w:rsidR="009A5B3F" w:rsidRDefault="00625E5A" w:rsidP="00815159">
                        <w:pPr>
                          <w:pStyle w:val="TableText"/>
                          <w:spacing w:before="60" w:after="60"/>
                          <w:cnfStyle w:val="000000000000" w:firstRow="0" w:lastRow="0" w:firstColumn="0" w:lastColumn="0" w:oddVBand="0" w:evenVBand="0" w:oddHBand="0" w:evenHBand="0" w:firstRowFirstColumn="0" w:firstRowLastColumn="0" w:lastRowFirstColumn="0" w:lastRowLastColumn="0"/>
                        </w:pPr>
                        <w:r w:rsidRPr="7A3874CD">
                          <w:rPr>
                            <w:lang w:val="en-NZ"/>
                          </w:rPr>
                          <w:t>To what extent are there significant programmatic differences between FaRS and SFVS? What are the similarities and differences?</w:t>
                        </w:r>
                      </w:p>
                    </w:tc>
                  </w:tr>
                  <w:tr w:rsidR="005F1EC0" w14:paraId="38385FE4" w14:textId="77777777" w:rsidTr="00582EAB">
                    <w:trPr>
                      <w:cnfStyle w:val="000000100000" w:firstRow="0" w:lastRow="0" w:firstColumn="0" w:lastColumn="0" w:oddVBand="0" w:evenVBand="0" w:oddHBand="1" w:evenHBand="0" w:firstRowFirstColumn="0" w:firstRowLastColumn="0" w:lastRowFirstColumn="0" w:lastRowLastColumn="0"/>
                      <w:trHeight w:val="406"/>
                    </w:trPr>
                    <w:tc>
                      <w:tcPr>
                        <w:cnfStyle w:val="001000000000" w:firstRow="0" w:lastRow="0" w:firstColumn="1" w:lastColumn="0" w:oddVBand="0" w:evenVBand="0" w:oddHBand="0" w:evenHBand="0" w:firstRowFirstColumn="0" w:firstRowLastColumn="0" w:lastRowFirstColumn="0" w:lastRowLastColumn="0"/>
                        <w:tcW w:w="856" w:type="dxa"/>
                        <w:shd w:val="clear" w:color="auto" w:fill="078C8C"/>
                        <w:vAlign w:val="center"/>
                      </w:tcPr>
                      <w:p w14:paraId="009E219E" w14:textId="7A1422F6" w:rsidR="000B0729" w:rsidRPr="00773461" w:rsidRDefault="003D66F3" w:rsidP="005256AA">
                        <w:pPr>
                          <w:pStyle w:val="TableText"/>
                          <w:spacing w:before="120"/>
                          <w:rPr>
                            <w:color w:val="FFFFFF" w:themeColor="background1"/>
                          </w:rPr>
                        </w:pPr>
                        <w:r w:rsidRPr="00773461">
                          <w:rPr>
                            <w:color w:val="FFFFFF" w:themeColor="background1"/>
                          </w:rPr>
                          <w:t xml:space="preserve">KEQ </w:t>
                        </w:r>
                        <w:r w:rsidR="000B0729" w:rsidRPr="00773461">
                          <w:rPr>
                            <w:color w:val="FFFFFF" w:themeColor="background1"/>
                          </w:rPr>
                          <w:t>5</w:t>
                        </w:r>
                      </w:p>
                    </w:tc>
                    <w:tc>
                      <w:tcPr>
                        <w:tcW w:w="13891" w:type="dxa"/>
                        <w:shd w:val="clear" w:color="auto" w:fill="078C8C"/>
                        <w:vAlign w:val="center"/>
                      </w:tcPr>
                      <w:p w14:paraId="4D7C64EB" w14:textId="2E5266FA" w:rsidR="000B0729" w:rsidRPr="00773461" w:rsidRDefault="000B0729" w:rsidP="00815159">
                        <w:pPr>
                          <w:pStyle w:val="TableText"/>
                          <w:spacing w:before="120"/>
                          <w:cnfStyle w:val="000000100000" w:firstRow="0" w:lastRow="0" w:firstColumn="0" w:lastColumn="0" w:oddVBand="0" w:evenVBand="0" w:oddHBand="1" w:evenHBand="0" w:firstRowFirstColumn="0" w:firstRowLastColumn="0" w:lastRowFirstColumn="0" w:lastRowLastColumn="0"/>
                          <w:rPr>
                            <w:color w:val="FFFFFF" w:themeColor="background1"/>
                          </w:rPr>
                        </w:pPr>
                        <w:r w:rsidRPr="00773461">
                          <w:rPr>
                            <w:b/>
                            <w:color w:val="FFFFFF" w:themeColor="background1"/>
                            <w:lang w:val="en-NZ"/>
                          </w:rPr>
                          <w:t xml:space="preserve">What is the level of need for FaRS and SFVS and how is this need distributed? </w:t>
                        </w:r>
                      </w:p>
                    </w:tc>
                  </w:tr>
                  <w:tr w:rsidR="005F1EC0" w14:paraId="6CFFE1BB" w14:textId="77777777" w:rsidTr="00582EAB">
                    <w:trPr>
                      <w:trHeight w:val="386"/>
                    </w:trPr>
                    <w:tc>
                      <w:tcPr>
                        <w:cnfStyle w:val="001000000000" w:firstRow="0" w:lastRow="0" w:firstColumn="1" w:lastColumn="0" w:oddVBand="0" w:evenVBand="0" w:oddHBand="0" w:evenHBand="0" w:firstRowFirstColumn="0" w:firstRowLastColumn="0" w:lastRowFirstColumn="0" w:lastRowLastColumn="0"/>
                        <w:tcW w:w="856" w:type="dxa"/>
                        <w:shd w:val="clear" w:color="auto" w:fill="078C8C"/>
                        <w:vAlign w:val="center"/>
                      </w:tcPr>
                      <w:p w14:paraId="0E46C360" w14:textId="1396F97B" w:rsidR="000B0729" w:rsidRPr="00773461" w:rsidRDefault="003D66F3" w:rsidP="005256AA">
                        <w:pPr>
                          <w:pStyle w:val="TableText"/>
                          <w:spacing w:before="120"/>
                          <w:rPr>
                            <w:color w:val="FFFFFF" w:themeColor="background1"/>
                          </w:rPr>
                        </w:pPr>
                        <w:r w:rsidRPr="00773461">
                          <w:rPr>
                            <w:color w:val="FFFFFF" w:themeColor="background1"/>
                          </w:rPr>
                          <w:t xml:space="preserve">KEQ </w:t>
                        </w:r>
                        <w:r w:rsidR="000628C5" w:rsidRPr="00773461">
                          <w:rPr>
                            <w:color w:val="FFFFFF" w:themeColor="background1"/>
                          </w:rPr>
                          <w:t>6</w:t>
                        </w:r>
                      </w:p>
                    </w:tc>
                    <w:tc>
                      <w:tcPr>
                        <w:tcW w:w="13891" w:type="dxa"/>
                        <w:shd w:val="clear" w:color="auto" w:fill="078C8C"/>
                        <w:vAlign w:val="center"/>
                      </w:tcPr>
                      <w:p w14:paraId="4BC20328" w14:textId="4A58F137" w:rsidR="000B0729" w:rsidRPr="00773461" w:rsidRDefault="000628C5" w:rsidP="00815159">
                        <w:pPr>
                          <w:pStyle w:val="TableText"/>
                          <w:spacing w:before="120"/>
                          <w:cnfStyle w:val="000000000000" w:firstRow="0" w:lastRow="0" w:firstColumn="0" w:lastColumn="0" w:oddVBand="0" w:evenVBand="0" w:oddHBand="0" w:evenHBand="0" w:firstRowFirstColumn="0" w:firstRowLastColumn="0" w:lastRowFirstColumn="0" w:lastRowLastColumn="0"/>
                          <w:rPr>
                            <w:b/>
                            <w:color w:val="FFFFFF" w:themeColor="background1"/>
                            <w:lang w:val="en-NZ"/>
                          </w:rPr>
                        </w:pPr>
                        <w:r w:rsidRPr="00773461">
                          <w:rPr>
                            <w:b/>
                            <w:color w:val="FFFFFF" w:themeColor="background1"/>
                            <w:lang w:val="en-NZ"/>
                          </w:rPr>
                          <w:t>What are the barriers to implementing FaRS and SFVS?</w:t>
                        </w:r>
                      </w:p>
                    </w:tc>
                  </w:tr>
                  <w:tr w:rsidR="006020E7" w14:paraId="513B1B8D" w14:textId="77777777" w:rsidTr="70B44A2E">
                    <w:tblPrEx>
                      <w:tblBorders>
                        <w:top w:val="single" w:sz="4" w:space="0" w:color="007E00"/>
                        <w:left w:val="single" w:sz="4" w:space="0" w:color="007E00"/>
                        <w:bottom w:val="single" w:sz="4" w:space="0" w:color="007E00"/>
                        <w:right w:val="single" w:sz="4" w:space="0" w:color="007E00"/>
                      </w:tblBorders>
                    </w:tblPrEx>
                    <w:trPr>
                      <w:cnfStyle w:val="000000100000" w:firstRow="0" w:lastRow="0" w:firstColumn="0" w:lastColumn="0" w:oddVBand="0" w:evenVBand="0" w:oddHBand="1" w:evenHBand="0" w:firstRowFirstColumn="0" w:firstRowLastColumn="0" w:lastRowFirstColumn="0" w:lastRowLastColumn="0"/>
                      <w:trHeight w:val="406"/>
                    </w:trPr>
                    <w:tc>
                      <w:tcPr>
                        <w:cnfStyle w:val="001000000000" w:firstRow="0" w:lastRow="0" w:firstColumn="1" w:lastColumn="0" w:oddVBand="0" w:evenVBand="0" w:oddHBand="0" w:evenHBand="0" w:firstRowFirstColumn="0" w:firstRowLastColumn="0" w:lastRowFirstColumn="0" w:lastRowLastColumn="0"/>
                        <w:tcW w:w="856" w:type="dxa"/>
                        <w:tcBorders>
                          <w:top w:val="nil"/>
                          <w:left w:val="nil"/>
                          <w:bottom w:val="single" w:sz="4" w:space="0" w:color="078C8C"/>
                          <w:right w:val="single" w:sz="4" w:space="0" w:color="007E00" w:themeColor="accent3"/>
                        </w:tcBorders>
                        <w:shd w:val="clear" w:color="auto" w:fill="C6E0DC"/>
                        <w:vAlign w:val="center"/>
                      </w:tcPr>
                      <w:p w14:paraId="2F83B8B9" w14:textId="2074FBE8" w:rsidR="000B0729" w:rsidRPr="004A3C6D" w:rsidRDefault="000628C5" w:rsidP="004A3C6D">
                        <w:pPr>
                          <w:pStyle w:val="TableText"/>
                          <w:spacing w:before="60" w:after="60"/>
                          <w:jc w:val="center"/>
                        </w:pPr>
                        <w:r w:rsidRPr="004A3C6D">
                          <w:t>6.1</w:t>
                        </w:r>
                      </w:p>
                    </w:tc>
                    <w:tc>
                      <w:tcPr>
                        <w:tcW w:w="13891" w:type="dxa"/>
                        <w:tcBorders>
                          <w:top w:val="nil"/>
                          <w:left w:val="nil"/>
                          <w:bottom w:val="single" w:sz="4" w:space="0" w:color="078C8C"/>
                          <w:right w:val="nil"/>
                        </w:tcBorders>
                        <w:shd w:val="clear" w:color="auto" w:fill="F2F8F7"/>
                        <w:vAlign w:val="center"/>
                      </w:tcPr>
                      <w:p w14:paraId="6B52595C" w14:textId="687B9A0D" w:rsidR="000B0729" w:rsidRDefault="00F43ACF" w:rsidP="00815159">
                        <w:pPr>
                          <w:pStyle w:val="TableText"/>
                          <w:spacing w:before="60" w:after="60"/>
                          <w:cnfStyle w:val="000000100000" w:firstRow="0" w:lastRow="0" w:firstColumn="0" w:lastColumn="0" w:oddVBand="0" w:evenVBand="0" w:oddHBand="1" w:evenHBand="0" w:firstRowFirstColumn="0" w:firstRowLastColumn="0" w:lastRowFirstColumn="0" w:lastRowLastColumn="0"/>
                        </w:pPr>
                        <w:r w:rsidRPr="70B44A2E">
                          <w:rPr>
                            <w:lang w:val="en-NZ"/>
                          </w:rPr>
                          <w:t>Factors hindering the delivery of Fa</w:t>
                        </w:r>
                        <w:r w:rsidR="00C93408" w:rsidRPr="70B44A2E">
                          <w:rPr>
                            <w:lang w:val="en-NZ"/>
                          </w:rPr>
                          <w:t>R</w:t>
                        </w:r>
                        <w:r w:rsidR="004135CE">
                          <w:rPr>
                            <w:lang w:val="en-NZ"/>
                          </w:rPr>
                          <w:t>S</w:t>
                        </w:r>
                        <w:r w:rsidRPr="70B44A2E">
                          <w:rPr>
                            <w:lang w:val="en-NZ"/>
                          </w:rPr>
                          <w:t xml:space="preserve"> and SFVS</w:t>
                        </w:r>
                        <w:r w:rsidR="00CA40C9">
                          <w:rPr>
                            <w:lang w:val="en-NZ"/>
                          </w:rPr>
                          <w:t>.</w:t>
                        </w:r>
                        <w:r w:rsidRPr="70B44A2E">
                          <w:rPr>
                            <w:lang w:val="en-NZ"/>
                          </w:rPr>
                          <w:t xml:space="preserve"> </w:t>
                        </w:r>
                      </w:p>
                    </w:tc>
                  </w:tr>
                  <w:tr w:rsidR="006020E7" w14:paraId="55B1F77E" w14:textId="77777777" w:rsidTr="70B44A2E">
                    <w:tblPrEx>
                      <w:tblBorders>
                        <w:top w:val="single" w:sz="4" w:space="0" w:color="007E00"/>
                        <w:left w:val="single" w:sz="4" w:space="0" w:color="007E00"/>
                        <w:bottom w:val="single" w:sz="4" w:space="0" w:color="007E00"/>
                        <w:right w:val="single" w:sz="4" w:space="0" w:color="007E00"/>
                      </w:tblBorders>
                    </w:tblPrEx>
                    <w:trPr>
                      <w:trHeight w:val="406"/>
                    </w:trPr>
                    <w:tc>
                      <w:tcPr>
                        <w:cnfStyle w:val="001000000000" w:firstRow="0" w:lastRow="0" w:firstColumn="1" w:lastColumn="0" w:oddVBand="0" w:evenVBand="0" w:oddHBand="0" w:evenHBand="0" w:firstRowFirstColumn="0" w:firstRowLastColumn="0" w:lastRowFirstColumn="0" w:lastRowLastColumn="0"/>
                        <w:tcW w:w="856" w:type="dxa"/>
                        <w:tcBorders>
                          <w:top w:val="single" w:sz="4" w:space="0" w:color="078C8C"/>
                          <w:left w:val="nil"/>
                          <w:bottom w:val="single" w:sz="48" w:space="0" w:color="FFFFFF" w:themeColor="text1"/>
                          <w:right w:val="single" w:sz="4" w:space="0" w:color="007E00" w:themeColor="accent3"/>
                        </w:tcBorders>
                        <w:shd w:val="clear" w:color="auto" w:fill="C6E0DC"/>
                        <w:vAlign w:val="center"/>
                      </w:tcPr>
                      <w:p w14:paraId="618A30CB" w14:textId="0656AE86" w:rsidR="009F7A44" w:rsidRPr="004A3C6D" w:rsidRDefault="009F7A44" w:rsidP="004A3C6D">
                        <w:pPr>
                          <w:pStyle w:val="TableText"/>
                          <w:spacing w:before="60" w:after="60"/>
                          <w:jc w:val="center"/>
                        </w:pPr>
                        <w:r w:rsidRPr="004A3C6D">
                          <w:t xml:space="preserve">6.2 </w:t>
                        </w:r>
                      </w:p>
                    </w:tc>
                    <w:tc>
                      <w:tcPr>
                        <w:tcW w:w="13891" w:type="dxa"/>
                        <w:tcBorders>
                          <w:top w:val="single" w:sz="4" w:space="0" w:color="078C8C"/>
                          <w:left w:val="nil"/>
                          <w:bottom w:val="single" w:sz="48" w:space="0" w:color="FFFFFF" w:themeColor="text1"/>
                          <w:right w:val="nil"/>
                        </w:tcBorders>
                        <w:shd w:val="clear" w:color="auto" w:fill="F2F8F7"/>
                        <w:vAlign w:val="center"/>
                      </w:tcPr>
                      <w:p w14:paraId="0D7ED4AF" w14:textId="49139873" w:rsidR="009F7A44" w:rsidRDefault="009F7A44" w:rsidP="00815159">
                        <w:pPr>
                          <w:pStyle w:val="TableText"/>
                          <w:spacing w:before="60" w:after="60"/>
                          <w:cnfStyle w:val="000000000000" w:firstRow="0" w:lastRow="0" w:firstColumn="0" w:lastColumn="0" w:oddVBand="0" w:evenVBand="0" w:oddHBand="0" w:evenHBand="0" w:firstRowFirstColumn="0" w:firstRowLastColumn="0" w:lastRowFirstColumn="0" w:lastRowLastColumn="0"/>
                        </w:pPr>
                        <w:r w:rsidRPr="7A3874CD">
                          <w:rPr>
                            <w:lang w:val="en-NZ"/>
                          </w:rPr>
                          <w:t>Factors enabling the delivery of FaRS and SFVS</w:t>
                        </w:r>
                        <w:r w:rsidR="00CA40C9">
                          <w:rPr>
                            <w:lang w:val="en-NZ"/>
                          </w:rPr>
                          <w:t>.</w:t>
                        </w:r>
                        <w:r w:rsidRPr="7A3874CD">
                          <w:rPr>
                            <w:lang w:val="en-NZ"/>
                          </w:rPr>
                          <w:t xml:space="preserve"> </w:t>
                        </w:r>
                      </w:p>
                    </w:tc>
                  </w:tr>
                  <w:tr w:rsidR="00DC3554" w14:paraId="5DCFE248" w14:textId="77777777" w:rsidTr="70B44A2E">
                    <w:trPr>
                      <w:cnfStyle w:val="000000100000" w:firstRow="0" w:lastRow="0" w:firstColumn="0" w:lastColumn="0" w:oddVBand="0" w:evenVBand="0" w:oddHBand="1" w:evenHBand="0" w:firstRowFirstColumn="0" w:firstRowLastColumn="0" w:lastRowFirstColumn="0" w:lastRowLastColumn="0"/>
                      <w:trHeight w:val="386"/>
                    </w:trPr>
                    <w:tc>
                      <w:tcPr>
                        <w:cnfStyle w:val="001000000000" w:firstRow="0" w:lastRow="0" w:firstColumn="1" w:lastColumn="0" w:oddVBand="0" w:evenVBand="0" w:oddHBand="0" w:evenHBand="0" w:firstRowFirstColumn="0" w:firstRowLastColumn="0" w:lastRowFirstColumn="0" w:lastRowLastColumn="0"/>
                        <w:tcW w:w="14747" w:type="dxa"/>
                        <w:gridSpan w:val="2"/>
                        <w:tcBorders>
                          <w:top w:val="single" w:sz="48" w:space="0" w:color="FFFFFF" w:themeColor="text1"/>
                        </w:tcBorders>
                        <w:shd w:val="clear" w:color="auto" w:fill="CDE0EB"/>
                        <w:vAlign w:val="center"/>
                      </w:tcPr>
                      <w:p w14:paraId="3E730692" w14:textId="070395D9" w:rsidR="00DC3554" w:rsidRPr="004A3C6D" w:rsidRDefault="00DC3554" w:rsidP="005256AA">
                        <w:pPr>
                          <w:pStyle w:val="TableText"/>
                          <w:spacing w:before="120"/>
                          <w:rPr>
                            <w:sz w:val="24"/>
                            <w:szCs w:val="24"/>
                          </w:rPr>
                        </w:pPr>
                        <w:r w:rsidRPr="004A3C6D">
                          <w:rPr>
                            <w:color w:val="000000"/>
                            <w:sz w:val="24"/>
                            <w:szCs w:val="24"/>
                          </w:rPr>
                          <w:t>Efficienc</w:t>
                        </w:r>
                        <w:r w:rsidRPr="004A3C6D">
                          <w:rPr>
                            <w:b w:val="0"/>
                            <w:color w:val="000000"/>
                            <w:sz w:val="24"/>
                            <w:szCs w:val="24"/>
                          </w:rPr>
                          <w:t>y</w:t>
                        </w:r>
                        <w:r w:rsidRPr="004A3C6D">
                          <w:rPr>
                            <w:color w:val="000000"/>
                            <w:sz w:val="24"/>
                            <w:szCs w:val="24"/>
                          </w:rPr>
                          <w:t xml:space="preserve"> </w:t>
                        </w:r>
                      </w:p>
                    </w:tc>
                  </w:tr>
                  <w:tr w:rsidR="005F1EC0" w14:paraId="71BC8249" w14:textId="77777777" w:rsidTr="00582EAB">
                    <w:trPr>
                      <w:trHeight w:val="406"/>
                    </w:trPr>
                    <w:tc>
                      <w:tcPr>
                        <w:cnfStyle w:val="001000000000" w:firstRow="0" w:lastRow="0" w:firstColumn="1" w:lastColumn="0" w:oddVBand="0" w:evenVBand="0" w:oddHBand="0" w:evenHBand="0" w:firstRowFirstColumn="0" w:firstRowLastColumn="0" w:lastRowFirstColumn="0" w:lastRowLastColumn="0"/>
                        <w:tcW w:w="856" w:type="dxa"/>
                        <w:shd w:val="clear" w:color="auto" w:fill="0568A6"/>
                        <w:vAlign w:val="center"/>
                      </w:tcPr>
                      <w:p w14:paraId="4D086D9F" w14:textId="77163732" w:rsidR="009F7A44" w:rsidRPr="004A3C6D" w:rsidRDefault="003D66F3" w:rsidP="00815159">
                        <w:pPr>
                          <w:pStyle w:val="TableText"/>
                          <w:spacing w:before="120"/>
                          <w:rPr>
                            <w:b w:val="0"/>
                            <w:color w:val="FFFFFF" w:themeColor="background1"/>
                          </w:rPr>
                        </w:pPr>
                        <w:r w:rsidRPr="004A3C6D">
                          <w:rPr>
                            <w:color w:val="FFFFFF" w:themeColor="background1"/>
                          </w:rPr>
                          <w:t xml:space="preserve">KEQ </w:t>
                        </w:r>
                        <w:r w:rsidR="00DC3554" w:rsidRPr="004A3C6D">
                          <w:rPr>
                            <w:color w:val="FFFFFF" w:themeColor="background1"/>
                          </w:rPr>
                          <w:t>7</w:t>
                        </w:r>
                      </w:p>
                    </w:tc>
                    <w:tc>
                      <w:tcPr>
                        <w:tcW w:w="13891" w:type="dxa"/>
                        <w:shd w:val="clear" w:color="auto" w:fill="0568A6"/>
                        <w:vAlign w:val="center"/>
                      </w:tcPr>
                      <w:p w14:paraId="576250A4" w14:textId="5B7550B8" w:rsidR="009F7A44" w:rsidRPr="004A3C6D" w:rsidRDefault="00DC3554" w:rsidP="00815159">
                        <w:pPr>
                          <w:pStyle w:val="TableText"/>
                          <w:spacing w:before="120"/>
                          <w:cnfStyle w:val="000000000000" w:firstRow="0" w:lastRow="0" w:firstColumn="0" w:lastColumn="0" w:oddVBand="0" w:evenVBand="0" w:oddHBand="0" w:evenHBand="0" w:firstRowFirstColumn="0" w:firstRowLastColumn="0" w:lastRowFirstColumn="0" w:lastRowLastColumn="0"/>
                          <w:rPr>
                            <w:color w:val="FFFFFF" w:themeColor="background1"/>
                          </w:rPr>
                        </w:pPr>
                        <w:r w:rsidRPr="004A3C6D">
                          <w:rPr>
                            <w:b/>
                            <w:color w:val="FFFFFF" w:themeColor="background1"/>
                            <w:lang w:val="en-NZ"/>
                          </w:rPr>
                          <w:t xml:space="preserve">Do FaRS and SFVS offer value for money? </w:t>
                        </w:r>
                      </w:p>
                    </w:tc>
                  </w:tr>
                  <w:tr w:rsidR="006020E7" w14:paraId="7CC5D850" w14:textId="77777777" w:rsidTr="70B44A2E">
                    <w:tblPrEx>
                      <w:tblBorders>
                        <w:top w:val="single" w:sz="4" w:space="0" w:color="007E00"/>
                        <w:left w:val="single" w:sz="4" w:space="0" w:color="007E00"/>
                        <w:bottom w:val="single" w:sz="4" w:space="0" w:color="007E00"/>
                        <w:right w:val="single" w:sz="4" w:space="0" w:color="007E00"/>
                      </w:tblBorders>
                    </w:tblPrEx>
                    <w:trPr>
                      <w:cnfStyle w:val="000000100000" w:firstRow="0" w:lastRow="0" w:firstColumn="0" w:lastColumn="0" w:oddVBand="0" w:evenVBand="0" w:oddHBand="1" w:evenHBand="0" w:firstRowFirstColumn="0" w:firstRowLastColumn="0" w:lastRowFirstColumn="0" w:lastRowLastColumn="0"/>
                      <w:trHeight w:val="406"/>
                    </w:trPr>
                    <w:tc>
                      <w:tcPr>
                        <w:cnfStyle w:val="001000000000" w:firstRow="0" w:lastRow="0" w:firstColumn="1" w:lastColumn="0" w:oddVBand="0" w:evenVBand="0" w:oddHBand="0" w:evenHBand="0" w:firstRowFirstColumn="0" w:firstRowLastColumn="0" w:lastRowFirstColumn="0" w:lastRowLastColumn="0"/>
                        <w:tcW w:w="856" w:type="dxa"/>
                        <w:tcBorders>
                          <w:top w:val="nil"/>
                          <w:left w:val="nil"/>
                          <w:bottom w:val="nil"/>
                          <w:right w:val="single" w:sz="4" w:space="0" w:color="007E00" w:themeColor="accent3"/>
                        </w:tcBorders>
                        <w:shd w:val="clear" w:color="auto" w:fill="CDE0EB"/>
                        <w:vAlign w:val="center"/>
                      </w:tcPr>
                      <w:p w14:paraId="66AF1DE3" w14:textId="21D6F486" w:rsidR="009F7A44" w:rsidRPr="004A3C6D" w:rsidRDefault="009F7A44" w:rsidP="004A3C6D">
                        <w:pPr>
                          <w:pStyle w:val="TableText"/>
                          <w:spacing w:before="60" w:after="60"/>
                          <w:jc w:val="center"/>
                        </w:pPr>
                        <w:r w:rsidRPr="004A3C6D">
                          <w:t>7.1</w:t>
                        </w:r>
                      </w:p>
                    </w:tc>
                    <w:tc>
                      <w:tcPr>
                        <w:tcW w:w="13891" w:type="dxa"/>
                        <w:tcBorders>
                          <w:top w:val="nil"/>
                          <w:left w:val="nil"/>
                          <w:bottom w:val="nil"/>
                          <w:right w:val="nil"/>
                        </w:tcBorders>
                        <w:shd w:val="clear" w:color="auto" w:fill="F1F6F9"/>
                        <w:vAlign w:val="center"/>
                      </w:tcPr>
                      <w:p w14:paraId="671A734A" w14:textId="46D5A0FD" w:rsidR="009F7A44" w:rsidRDefault="005E18C6" w:rsidP="00815159">
                        <w:pPr>
                          <w:pStyle w:val="TableText"/>
                          <w:spacing w:before="60" w:after="60"/>
                          <w:cnfStyle w:val="000000100000" w:firstRow="0" w:lastRow="0" w:firstColumn="0" w:lastColumn="0" w:oddVBand="0" w:evenVBand="0" w:oddHBand="1" w:evenHBand="0" w:firstRowFirstColumn="0" w:firstRowLastColumn="0" w:lastRowFirstColumn="0" w:lastRowLastColumn="0"/>
                        </w:pPr>
                        <w:r w:rsidRPr="005E18C6">
                          <w:t>What are the program inputs (i.e. investment) and outcomes expressed in monetary terms? Can this be broken down by service type?</w:t>
                        </w:r>
                      </w:p>
                    </w:tc>
                  </w:tr>
                  <w:tr w:rsidR="006020E7" w14:paraId="415FF3CD" w14:textId="77777777" w:rsidTr="70B44A2E">
                    <w:tblPrEx>
                      <w:tblBorders>
                        <w:top w:val="single" w:sz="4" w:space="0" w:color="007E00"/>
                        <w:left w:val="single" w:sz="4" w:space="0" w:color="007E00"/>
                        <w:bottom w:val="single" w:sz="4" w:space="0" w:color="007E00"/>
                        <w:right w:val="single" w:sz="4" w:space="0" w:color="007E00"/>
                      </w:tblBorders>
                    </w:tblPrEx>
                    <w:trPr>
                      <w:trHeight w:val="441"/>
                    </w:trPr>
                    <w:tc>
                      <w:tcPr>
                        <w:cnfStyle w:val="001000000000" w:firstRow="0" w:lastRow="0" w:firstColumn="1" w:lastColumn="0" w:oddVBand="0" w:evenVBand="0" w:oddHBand="0" w:evenHBand="0" w:firstRowFirstColumn="0" w:firstRowLastColumn="0" w:lastRowFirstColumn="0" w:lastRowLastColumn="0"/>
                        <w:tcW w:w="856" w:type="dxa"/>
                        <w:tcBorders>
                          <w:top w:val="nil"/>
                          <w:left w:val="nil"/>
                          <w:bottom w:val="nil"/>
                          <w:right w:val="single" w:sz="4" w:space="0" w:color="007E00" w:themeColor="accent3"/>
                        </w:tcBorders>
                        <w:shd w:val="clear" w:color="auto" w:fill="CDE0EB"/>
                        <w:vAlign w:val="center"/>
                      </w:tcPr>
                      <w:p w14:paraId="2B02F377" w14:textId="3399E055" w:rsidR="009F7A44" w:rsidRPr="004A3C6D" w:rsidRDefault="009F7A44" w:rsidP="004A3C6D">
                        <w:pPr>
                          <w:pStyle w:val="TableText"/>
                          <w:spacing w:before="60" w:after="60"/>
                          <w:jc w:val="center"/>
                        </w:pPr>
                        <w:r w:rsidRPr="004A3C6D">
                          <w:t xml:space="preserve">7.2 </w:t>
                        </w:r>
                      </w:p>
                    </w:tc>
                    <w:tc>
                      <w:tcPr>
                        <w:tcW w:w="13891" w:type="dxa"/>
                        <w:tcBorders>
                          <w:top w:val="nil"/>
                          <w:left w:val="nil"/>
                          <w:bottom w:val="nil"/>
                          <w:right w:val="nil"/>
                        </w:tcBorders>
                        <w:shd w:val="clear" w:color="auto" w:fill="F1F6F9"/>
                        <w:vAlign w:val="center"/>
                      </w:tcPr>
                      <w:p w14:paraId="2B42EBE1" w14:textId="6E4FC510" w:rsidR="009F7A44" w:rsidRDefault="00DC3554" w:rsidP="00815159">
                        <w:pPr>
                          <w:pStyle w:val="TableText"/>
                          <w:spacing w:before="60" w:after="60"/>
                          <w:cnfStyle w:val="000000000000" w:firstRow="0" w:lastRow="0" w:firstColumn="0" w:lastColumn="0" w:oddVBand="0" w:evenVBand="0" w:oddHBand="0" w:evenHBand="0" w:firstRowFirstColumn="0" w:firstRowLastColumn="0" w:lastRowFirstColumn="0" w:lastRowLastColumn="0"/>
                        </w:pPr>
                        <w:r w:rsidRPr="1A1ACD70">
                          <w:rPr>
                            <w:lang w:val="en-NZ"/>
                          </w:rPr>
                          <w:t>How does value for money for FaRS and SFVS compare to similar programs (based on existing reviews)</w:t>
                        </w:r>
                        <w:r w:rsidR="00CA40C9">
                          <w:rPr>
                            <w:lang w:val="en-NZ"/>
                          </w:rPr>
                          <w:t>?</w:t>
                        </w:r>
                      </w:p>
                    </w:tc>
                  </w:tr>
                </w:tbl>
                <w:p w14:paraId="07B72A97" w14:textId="51C98B30" w:rsidR="005E7C26" w:rsidRDefault="005E7C26" w:rsidP="00004A5D">
                  <w:pPr>
                    <w:pStyle w:val="Text"/>
                    <w:rPr>
                      <w:highlight w:val="yellow"/>
                    </w:rPr>
                    <w:sectPr w:rsidR="005E7C26" w:rsidSect="00582EAB">
                      <w:headerReference w:type="even" r:id="rId36"/>
                      <w:headerReference w:type="default" r:id="rId37"/>
                      <w:headerReference w:type="first" r:id="rId38"/>
                      <w:pgSz w:w="16834" w:h="11909" w:orient="landscape" w:code="9"/>
                      <w:pgMar w:top="1021" w:right="1021" w:bottom="1021" w:left="1021" w:header="454" w:footer="720" w:gutter="0"/>
                      <w:cols w:space="720"/>
                      <w:docGrid w:linePitch="360"/>
                    </w:sectPr>
                  </w:pPr>
                </w:p>
                <w:p w14:paraId="4896BD26" w14:textId="45436F9A" w:rsidR="00ED5989" w:rsidRPr="001B62FF" w:rsidRDefault="00560B44" w:rsidP="001B62FF">
                  <w:pPr>
                    <w:pStyle w:val="Sectionpagetitle"/>
                  </w:pPr>
                  <w:r w:rsidRPr="005F7EB6">
                    <w:rPr>
                      <w:noProof/>
                    </w:rPr>
                    <w:lastRenderedPageBreak/>
                    <w:drawing>
                      <wp:anchor distT="0" distB="0" distL="114300" distR="114300" simplePos="0" relativeHeight="251658255" behindDoc="1" locked="0" layoutInCell="1" allowOverlap="1" wp14:anchorId="30FE6B3E" wp14:editId="7ED7FAAF">
                        <wp:simplePos x="0" y="0"/>
                        <wp:positionH relativeFrom="page">
                          <wp:align>left</wp:align>
                        </wp:positionH>
                        <wp:positionV relativeFrom="paragraph">
                          <wp:posOffset>-913511</wp:posOffset>
                        </wp:positionV>
                        <wp:extent cx="7550042" cy="10675353"/>
                        <wp:effectExtent l="0" t="0" r="0" b="0"/>
                        <wp:wrapNone/>
                        <wp:docPr id="2032813175" name="Picture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813175" name="Picture 11">
                                  <a:extLst>
                                    <a:ext uri="{C183D7F6-B498-43B3-948B-1728B52AA6E4}">
                                      <adec:decorative xmlns:adec="http://schemas.microsoft.com/office/drawing/2017/decorative" val="1"/>
                                    </a:ext>
                                  </a:extLst>
                                </pic:cNvPr>
                                <pic:cNvPicPr>
                                  <a:picLocks noChangeAspect="1" noChangeArrowheads="1"/>
                                </pic:cNvPicPr>
                              </pic:nvPicPr>
                              <pic:blipFill>
                                <a:blip r:embed="rId39" cstate="print">
                                  <a:extLst>
                                    <a:ext uri="{28A0092B-C50C-407E-A947-70E740481C1C}">
                                      <a14:useLocalDpi xmlns:a14="http://schemas.microsoft.com/office/drawing/2010/main" val="0"/>
                                    </a:ext>
                                  </a:extLst>
                                </a:blip>
                                <a:stretch>
                                  <a:fillRect/>
                                </a:stretch>
                              </pic:blipFill>
                              <pic:spPr bwMode="auto">
                                <a:xfrm>
                                  <a:off x="0" y="0"/>
                                  <a:ext cx="7550042" cy="10675353"/>
                                </a:xfrm>
                                <a:prstGeom prst="rect">
                                  <a:avLst/>
                                </a:prstGeom>
                                <a:noFill/>
                                <a:ln>
                                  <a:noFill/>
                                </a:ln>
                              </pic:spPr>
                            </pic:pic>
                          </a:graphicData>
                        </a:graphic>
                        <wp14:sizeRelH relativeFrom="margin">
                          <wp14:pctWidth>0</wp14:pctWidth>
                        </wp14:sizeRelH>
                        <wp14:sizeRelV relativeFrom="margin">
                          <wp14:pctHeight>0</wp14:pctHeight>
                        </wp14:sizeRelV>
                      </wp:anchor>
                    </w:drawing>
                  </w:r>
                  <w:r>
                    <w:t>Methodolo</w:t>
                  </w:r>
                  <w:r w:rsidR="00B53A7E">
                    <w:t>gy</w:t>
                  </w:r>
                </w:p>
                <w:p w14:paraId="6FAE5606" w14:textId="297B0E20" w:rsidR="004D3A96" w:rsidRDefault="002F4E0B" w:rsidP="002E7436">
                  <w:pPr>
                    <w:pStyle w:val="Heading1"/>
                  </w:pPr>
                  <w:bookmarkStart w:id="80" w:name="_Toc204856723"/>
                  <w:bookmarkStart w:id="81" w:name="_Ref205404996"/>
                  <w:bookmarkStart w:id="82" w:name="_Ref205405061"/>
                  <w:bookmarkStart w:id="83" w:name="_Toc208906834"/>
                  <w:r>
                    <w:lastRenderedPageBreak/>
                    <w:t>Methodology</w:t>
                  </w:r>
                  <w:bookmarkStart w:id="84" w:name="_Toc202893221"/>
                  <w:bookmarkStart w:id="85" w:name="_Toc202895481"/>
                  <w:bookmarkStart w:id="86" w:name="_Toc203054494"/>
                  <w:bookmarkStart w:id="87" w:name="_Toc203054575"/>
                  <w:bookmarkStart w:id="88" w:name="_Toc203054656"/>
                  <w:bookmarkStart w:id="89" w:name="_Toc203464387"/>
                  <w:bookmarkStart w:id="90" w:name="_Toc203559841"/>
                  <w:bookmarkStart w:id="91" w:name="_Toc203560478"/>
                  <w:bookmarkStart w:id="92" w:name="_Toc203584212"/>
                  <w:bookmarkStart w:id="93" w:name="_Toc203598381"/>
                  <w:bookmarkStart w:id="94" w:name="_Toc203600472"/>
                  <w:bookmarkStart w:id="95" w:name="_Toc203639934"/>
                  <w:bookmarkStart w:id="96" w:name="_Toc203646443"/>
                  <w:bookmarkStart w:id="97" w:name="_Toc203660739"/>
                  <w:bookmarkStart w:id="98" w:name="_Toc204085659"/>
                  <w:bookmarkStart w:id="99" w:name="_Toc204171115"/>
                  <w:bookmarkStart w:id="100" w:name="_Toc204189540"/>
                  <w:bookmarkStart w:id="101" w:name="_Toc204193578"/>
                  <w:bookmarkStart w:id="102" w:name="_Toc204591513"/>
                  <w:bookmarkStart w:id="103" w:name="_Toc204591577"/>
                  <w:bookmarkStart w:id="104" w:name="_Toc204606508"/>
                  <w:bookmarkStart w:id="105" w:name="_Toc204606573"/>
                  <w:bookmarkStart w:id="106" w:name="_Toc204606730"/>
                  <w:bookmarkStart w:id="107" w:name="_Toc204606789"/>
                  <w:bookmarkStart w:id="108" w:name="_Toc204613362"/>
                  <w:bookmarkStart w:id="109" w:name="_Toc204619320"/>
                  <w:bookmarkStart w:id="110" w:name="_Toc204779549"/>
                  <w:bookmarkStart w:id="111" w:name="_Toc204785906"/>
                  <w:bookmarkStart w:id="112" w:name="_Toc204856724"/>
                  <w:bookmarkStart w:id="113" w:name="_Toc204868982"/>
                  <w:bookmarkStart w:id="114" w:name="_Toc204980672"/>
                  <w:bookmarkStart w:id="115" w:name="_Toc205300682"/>
                  <w:bookmarkStart w:id="116" w:name="_Toc205300774"/>
                  <w:bookmarkStart w:id="117" w:name="_Toc205300840"/>
                  <w:bookmarkStart w:id="118" w:name="_Toc205300927"/>
                  <w:bookmarkStart w:id="119" w:name="_Toc205301021"/>
                  <w:bookmarkStart w:id="120" w:name="_Toc205323926"/>
                  <w:bookmarkStart w:id="121" w:name="_Toc205326045"/>
                  <w:bookmarkStart w:id="122" w:name="_Toc205328900"/>
                  <w:bookmarkStart w:id="123" w:name="_Toc205373890"/>
                  <w:bookmarkStart w:id="124" w:name="_Toc205409114"/>
                  <w:bookmarkStart w:id="125" w:name="_Toc205409724"/>
                  <w:bookmarkStart w:id="126" w:name="_Toc205416178"/>
                  <w:bookmarkStart w:id="127" w:name="_Toc205416271"/>
                  <w:bookmarkStart w:id="128" w:name="_Toc205416339"/>
                  <w:bookmarkStart w:id="129" w:name="_Toc205478439"/>
                  <w:bookmarkStart w:id="130" w:name="_Toc208225054"/>
                  <w:bookmarkStart w:id="131" w:name="_Toc208242829"/>
                  <w:bookmarkStart w:id="132" w:name="_Toc203559842"/>
                  <w:bookmarkStart w:id="133" w:name="_Toc203560479"/>
                  <w:bookmarkStart w:id="134" w:name="_Toc203584213"/>
                  <w:bookmarkStart w:id="135" w:name="_Toc203598382"/>
                  <w:bookmarkStart w:id="136" w:name="_Toc203600473"/>
                  <w:bookmarkStart w:id="137" w:name="_Toc203639935"/>
                  <w:bookmarkStart w:id="138" w:name="_Toc203646444"/>
                  <w:bookmarkStart w:id="139" w:name="_Toc203660740"/>
                  <w:bookmarkStart w:id="140" w:name="_Toc204085660"/>
                  <w:bookmarkStart w:id="141" w:name="_Toc204171116"/>
                  <w:bookmarkStart w:id="142" w:name="_Toc204189541"/>
                  <w:bookmarkStart w:id="143" w:name="_Toc204193579"/>
                  <w:bookmarkStart w:id="144" w:name="_Toc204591514"/>
                  <w:bookmarkStart w:id="145" w:name="_Toc204591578"/>
                  <w:bookmarkStart w:id="146" w:name="_Toc204606509"/>
                  <w:bookmarkStart w:id="147" w:name="_Toc204606574"/>
                  <w:bookmarkStart w:id="148" w:name="_Toc204606731"/>
                  <w:bookmarkStart w:id="149" w:name="_Toc204606790"/>
                  <w:bookmarkStart w:id="150" w:name="_Toc204613363"/>
                  <w:bookmarkStart w:id="151" w:name="_Toc204619321"/>
                  <w:bookmarkStart w:id="152" w:name="_Toc204779550"/>
                  <w:bookmarkStart w:id="153" w:name="_Toc204785907"/>
                  <w:bookmarkStart w:id="154" w:name="_Toc204856725"/>
                  <w:bookmarkStart w:id="155" w:name="_Toc204868983"/>
                  <w:bookmarkStart w:id="156" w:name="_Toc204980673"/>
                  <w:bookmarkStart w:id="157" w:name="_Toc205300683"/>
                  <w:bookmarkStart w:id="158" w:name="_Toc205300775"/>
                  <w:bookmarkStart w:id="159" w:name="_Toc205300841"/>
                  <w:bookmarkStart w:id="160" w:name="_Toc205300928"/>
                  <w:bookmarkStart w:id="161" w:name="_Toc205301022"/>
                  <w:bookmarkStart w:id="162" w:name="_Toc205323927"/>
                  <w:bookmarkStart w:id="163" w:name="_Toc205326046"/>
                  <w:bookmarkStart w:id="164" w:name="_Toc205328901"/>
                  <w:bookmarkStart w:id="165" w:name="_Toc205373891"/>
                  <w:bookmarkStart w:id="166" w:name="_Toc205409115"/>
                  <w:bookmarkStart w:id="167" w:name="_Toc205409725"/>
                  <w:bookmarkStart w:id="168" w:name="_Toc205416179"/>
                  <w:bookmarkStart w:id="169" w:name="_Toc205416272"/>
                  <w:bookmarkStart w:id="170" w:name="_Toc205416340"/>
                  <w:bookmarkStart w:id="171" w:name="_Toc205478440"/>
                  <w:bookmarkStart w:id="172" w:name="_Toc208225055"/>
                  <w:bookmarkStart w:id="173" w:name="_Toc208242830"/>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p>
                <w:p w14:paraId="16D3EB5B" w14:textId="77777777" w:rsidR="006223B7" w:rsidRPr="006223B7" w:rsidRDefault="006223B7" w:rsidP="006223B7">
                  <w:pPr>
                    <w:pStyle w:val="ListParagraph"/>
                    <w:keepNext/>
                    <w:numPr>
                      <w:ilvl w:val="0"/>
                      <w:numId w:val="29"/>
                    </w:numPr>
                    <w:spacing w:before="360" w:after="120" w:line="274" w:lineRule="auto"/>
                    <w:contextualSpacing w:val="0"/>
                    <w:outlineLvl w:val="1"/>
                    <w:rPr>
                      <w:rFonts w:ascii="Arial" w:hAnsi="Arial"/>
                      <w:b/>
                      <w:bCs/>
                      <w:vanish/>
                      <w:color w:val="007E00" w:themeColor="accent3"/>
                      <w:sz w:val="36"/>
                      <w:szCs w:val="36"/>
                    </w:rPr>
                  </w:pPr>
                  <w:bookmarkStart w:id="174" w:name="_Toc208906835"/>
                  <w:bookmarkStart w:id="175" w:name="_Toc204856726"/>
                  <w:bookmarkEnd w:id="174"/>
                </w:p>
                <w:p w14:paraId="1247DB38" w14:textId="77777777" w:rsidR="006223B7" w:rsidRPr="006223B7" w:rsidRDefault="006223B7" w:rsidP="006223B7">
                  <w:pPr>
                    <w:pStyle w:val="ListParagraph"/>
                    <w:keepNext/>
                    <w:numPr>
                      <w:ilvl w:val="0"/>
                      <w:numId w:val="29"/>
                    </w:numPr>
                    <w:spacing w:before="360" w:after="120" w:line="274" w:lineRule="auto"/>
                    <w:contextualSpacing w:val="0"/>
                    <w:outlineLvl w:val="1"/>
                    <w:rPr>
                      <w:rFonts w:ascii="Arial" w:hAnsi="Arial"/>
                      <w:b/>
                      <w:bCs/>
                      <w:vanish/>
                      <w:color w:val="007E00" w:themeColor="accent3"/>
                      <w:sz w:val="36"/>
                      <w:szCs w:val="36"/>
                    </w:rPr>
                  </w:pPr>
                  <w:bookmarkStart w:id="176" w:name="_Toc208906836"/>
                  <w:bookmarkEnd w:id="176"/>
                </w:p>
                <w:p w14:paraId="6C1B6D6F" w14:textId="5AF8B515" w:rsidR="007358C7" w:rsidRPr="005208C6" w:rsidRDefault="007358C7" w:rsidP="006223B7">
                  <w:pPr>
                    <w:pStyle w:val="Heading2"/>
                  </w:pPr>
                  <w:bookmarkStart w:id="177" w:name="_Toc208906837"/>
                  <w:r w:rsidRPr="005208C6">
                    <w:t>Overview of method</w:t>
                  </w:r>
                  <w:bookmarkEnd w:id="175"/>
                  <w:bookmarkEnd w:id="177"/>
                  <w:r w:rsidRPr="005208C6">
                    <w:t xml:space="preserve"> </w:t>
                  </w:r>
                </w:p>
                <w:p w14:paraId="425461D3" w14:textId="446181C2" w:rsidR="006E3913" w:rsidRDefault="00C9427D" w:rsidP="00297EAC">
                  <w:pPr>
                    <w:pStyle w:val="Text"/>
                    <w:rPr>
                      <w:lang w:val="en-US"/>
                    </w:rPr>
                  </w:pPr>
                  <w:r>
                    <w:t xml:space="preserve">This evaluation adopted a </w:t>
                  </w:r>
                  <w:r w:rsidR="007C6029">
                    <w:t>mixed method</w:t>
                  </w:r>
                  <w:r w:rsidR="00C50A9D">
                    <w:t xml:space="preserve">, </w:t>
                  </w:r>
                  <w:r>
                    <w:t>staged, sequential approach</w:t>
                  </w:r>
                  <w:r w:rsidR="002347F6">
                    <w:rPr>
                      <w:lang w:val="en-US"/>
                    </w:rPr>
                    <w:t xml:space="preserve">. </w:t>
                  </w:r>
                  <w:r w:rsidR="006E3913" w:rsidRPr="006E3913">
                    <w:rPr>
                      <w:lang w:val="en-US"/>
                    </w:rPr>
                    <w:t xml:space="preserve">The approach to data analysis and synthesis integrated quantitative data on </w:t>
                  </w:r>
                  <w:r w:rsidR="001D1403">
                    <w:rPr>
                      <w:lang w:val="en-US"/>
                    </w:rPr>
                    <w:t>service user</w:t>
                  </w:r>
                  <w:r w:rsidR="006E3913" w:rsidRPr="006E3913">
                    <w:rPr>
                      <w:lang w:val="en-US"/>
                    </w:rPr>
                    <w:t xml:space="preserve"> outcomes and program expenditure for FaRS and SFVS, drawing from sources such as the Data Exchange (DEX) and Grants Payment System (GPS). Qualitative insights were gathered through a literature review</w:t>
                  </w:r>
                  <w:r w:rsidR="00533B8F">
                    <w:rPr>
                      <w:lang w:val="en-US"/>
                    </w:rPr>
                    <w:t xml:space="preserve">, </w:t>
                  </w:r>
                  <w:r w:rsidR="006E3913" w:rsidRPr="006E3913">
                    <w:rPr>
                      <w:lang w:val="en-US"/>
                    </w:rPr>
                    <w:t>surveys, interviews, and focus groups</w:t>
                  </w:r>
                  <w:r w:rsidR="00E3510B">
                    <w:rPr>
                      <w:lang w:val="en-US"/>
                    </w:rPr>
                    <w:t xml:space="preserve"> with a range of stakeholders</w:t>
                  </w:r>
                  <w:r w:rsidR="006E3913" w:rsidRPr="006E3913">
                    <w:rPr>
                      <w:lang w:val="en-US"/>
                    </w:rPr>
                    <w:t>. Findings were then sense-checked through a series of sense-making workshops with the Department and other relevant stakeholders</w:t>
                  </w:r>
                  <w:r w:rsidR="006E3913" w:rsidRPr="008072B4">
                    <w:rPr>
                      <w:lang w:val="en-US"/>
                    </w:rPr>
                    <w:t>.</w:t>
                  </w:r>
                  <w:r w:rsidR="007D2E71" w:rsidRPr="00267682">
                    <w:rPr>
                      <w:lang w:val="en-US"/>
                    </w:rPr>
                    <w:t xml:space="preserve"> </w:t>
                  </w:r>
                  <w:r w:rsidR="005F28C9" w:rsidRPr="00267682">
                    <w:rPr>
                      <w:lang w:val="en-US"/>
                    </w:rPr>
                    <w:fldChar w:fldCharType="begin" w:fldLock="1"/>
                  </w:r>
                  <w:r w:rsidR="005F28C9" w:rsidRPr="00F650E2">
                    <w:rPr>
                      <w:b/>
                      <w:highlight w:val="yellow"/>
                      <w:lang w:val="en-US"/>
                    </w:rPr>
                    <w:instrText xml:space="preserve"> REF _Ref203580675 \h  \* MERGEFORMAT </w:instrText>
                  </w:r>
                  <w:r w:rsidR="005F28C9" w:rsidRPr="00267682">
                    <w:rPr>
                      <w:lang w:val="en-US"/>
                    </w:rPr>
                  </w:r>
                  <w:r w:rsidR="005F28C9" w:rsidRPr="00267682">
                    <w:rPr>
                      <w:lang w:val="en-US"/>
                    </w:rPr>
                    <w:fldChar w:fldCharType="separate"/>
                  </w:r>
                  <w:r w:rsidR="008F22E5" w:rsidRPr="006C49E0">
                    <w:rPr>
                      <w:rStyle w:val="Text-Bold"/>
                      <w:bCs/>
                    </w:rPr>
                    <w:t xml:space="preserve">Figure </w:t>
                  </w:r>
                  <w:r w:rsidR="008F22E5" w:rsidRPr="008F22E5">
                    <w:rPr>
                      <w:b/>
                    </w:rPr>
                    <w:t>5</w:t>
                  </w:r>
                  <w:r w:rsidR="005F28C9" w:rsidRPr="00267682">
                    <w:rPr>
                      <w:lang w:val="en-US"/>
                    </w:rPr>
                    <w:fldChar w:fldCharType="end"/>
                  </w:r>
                  <w:r w:rsidR="005F28C9">
                    <w:rPr>
                      <w:b/>
                      <w:bCs/>
                      <w:lang w:val="en-US"/>
                    </w:rPr>
                    <w:t xml:space="preserve"> </w:t>
                  </w:r>
                  <w:r w:rsidR="003C72A4">
                    <w:rPr>
                      <w:lang w:val="en-US"/>
                    </w:rPr>
                    <w:t>b</w:t>
                  </w:r>
                  <w:r w:rsidR="006E3913" w:rsidRPr="006E3913">
                    <w:rPr>
                      <w:lang w:val="en-US"/>
                    </w:rPr>
                    <w:t>elow summari</w:t>
                  </w:r>
                  <w:r w:rsidR="00AD01ED">
                    <w:rPr>
                      <w:lang w:val="en-US"/>
                    </w:rPr>
                    <w:t>s</w:t>
                  </w:r>
                  <w:r w:rsidR="006E3913" w:rsidRPr="006E3913">
                    <w:rPr>
                      <w:lang w:val="en-US"/>
                    </w:rPr>
                    <w:t xml:space="preserve">es </w:t>
                  </w:r>
                  <w:r w:rsidR="003C247D">
                    <w:rPr>
                      <w:lang w:val="en-US"/>
                    </w:rPr>
                    <w:t>the</w:t>
                  </w:r>
                  <w:r w:rsidR="000835EB" w:rsidRPr="006E3913">
                    <w:rPr>
                      <w:lang w:val="en-US"/>
                    </w:rPr>
                    <w:t xml:space="preserve"> </w:t>
                  </w:r>
                  <w:r w:rsidR="006E3913" w:rsidRPr="006E3913">
                    <w:rPr>
                      <w:lang w:val="en-US"/>
                    </w:rPr>
                    <w:t xml:space="preserve">approach </w:t>
                  </w:r>
                  <w:r w:rsidR="003C247D">
                    <w:rPr>
                      <w:lang w:val="en-US"/>
                    </w:rPr>
                    <w:t xml:space="preserve">taken by this evaluation </w:t>
                  </w:r>
                  <w:r w:rsidR="006E3913" w:rsidRPr="006E3913">
                    <w:rPr>
                      <w:lang w:val="en-US"/>
                    </w:rPr>
                    <w:t>to evidence-building.</w:t>
                  </w:r>
                </w:p>
                <w:p w14:paraId="6F8196BC" w14:textId="7EEAF480" w:rsidR="006E3913" w:rsidRPr="006C49E0" w:rsidRDefault="005F28C9" w:rsidP="00393BD9">
                  <w:pPr>
                    <w:pStyle w:val="TableFigure-Header"/>
                    <w:spacing w:line="276" w:lineRule="auto"/>
                    <w:rPr>
                      <w:rStyle w:val="Text-Bold"/>
                      <w:b/>
                      <w:bCs/>
                    </w:rPr>
                  </w:pPr>
                  <w:bookmarkStart w:id="178" w:name="_Ref203580675"/>
                  <w:bookmarkStart w:id="179" w:name="_Ref202890077"/>
                  <w:bookmarkStart w:id="180" w:name="_Toc205413055"/>
                  <w:bookmarkStart w:id="181" w:name="_Toc205413109"/>
                  <w:r w:rsidRPr="006C49E0">
                    <w:rPr>
                      <w:rStyle w:val="Text-Bold"/>
                      <w:b/>
                      <w:bCs/>
                    </w:rPr>
                    <w:t xml:space="preserve">Figure </w:t>
                  </w:r>
                  <w:r w:rsidR="00C64C3D" w:rsidRPr="006C49E0">
                    <w:rPr>
                      <w:rStyle w:val="Text-Bold"/>
                      <w:b/>
                      <w:bCs/>
                    </w:rPr>
                    <w:fldChar w:fldCharType="begin"/>
                  </w:r>
                  <w:r w:rsidR="00C64C3D" w:rsidRPr="006C49E0">
                    <w:rPr>
                      <w:rStyle w:val="Text-Bold"/>
                      <w:b/>
                      <w:bCs/>
                    </w:rPr>
                    <w:instrText xml:space="preserve"> SEQ Figure \* ARABIC </w:instrText>
                  </w:r>
                  <w:r w:rsidR="00C64C3D" w:rsidRPr="006C49E0">
                    <w:rPr>
                      <w:rStyle w:val="Text-Bold"/>
                      <w:b/>
                      <w:bCs/>
                    </w:rPr>
                    <w:fldChar w:fldCharType="separate"/>
                  </w:r>
                  <w:r w:rsidR="008D2566">
                    <w:rPr>
                      <w:rStyle w:val="Text-Bold"/>
                      <w:b/>
                      <w:bCs/>
                      <w:noProof/>
                    </w:rPr>
                    <w:t>5</w:t>
                  </w:r>
                  <w:r w:rsidR="00C64C3D" w:rsidRPr="006C49E0">
                    <w:rPr>
                      <w:rStyle w:val="Text-Bold"/>
                      <w:b/>
                      <w:bCs/>
                    </w:rPr>
                    <w:fldChar w:fldCharType="end"/>
                  </w:r>
                  <w:bookmarkEnd w:id="178"/>
                  <w:r w:rsidRPr="006C49E0">
                    <w:rPr>
                      <w:rStyle w:val="Text-Bold"/>
                      <w:b/>
                      <w:bCs/>
                    </w:rPr>
                    <w:t xml:space="preserve">: </w:t>
                  </w:r>
                  <w:bookmarkEnd w:id="179"/>
                  <w:r w:rsidR="006E3913" w:rsidRPr="006C49E0">
                    <w:rPr>
                      <w:rStyle w:val="Text-Bold"/>
                      <w:b/>
                      <w:bCs/>
                    </w:rPr>
                    <w:t>Approach to evidence building</w:t>
                  </w:r>
                  <w:bookmarkEnd w:id="180"/>
                  <w:bookmarkEnd w:id="181"/>
                </w:p>
                <w:p w14:paraId="75D93485" w14:textId="1045725D" w:rsidR="006E3913" w:rsidRPr="006E3913" w:rsidRDefault="006E3913" w:rsidP="005F28C9">
                  <w:pPr>
                    <w:pStyle w:val="TableFigureTitle"/>
                    <w:jc w:val="center"/>
                  </w:pPr>
                  <w:r w:rsidRPr="00226D58">
                    <w:rPr>
                      <w:b/>
                      <w:bCs/>
                      <w:noProof/>
                    </w:rPr>
                    <w:drawing>
                      <wp:inline distT="0" distB="0" distL="0" distR="0" wp14:anchorId="534126E3" wp14:editId="0E2A5974">
                        <wp:extent cx="5048250" cy="4124414"/>
                        <wp:effectExtent l="0" t="0" r="0" b="9525"/>
                        <wp:docPr id="1521067424" name="Picture 4" descr="P39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067424" name="Picture 4" descr="P393#yIS1"/>
                                <pic:cNvPicPr>
                                  <a:picLocks noChangeAspect="1" noChangeArrowheads="1"/>
                                </pic:cNvPicPr>
                              </pic:nvPicPr>
                              <pic:blipFill>
                                <a:blip r:embed="rId40" cstate="print">
                                  <a:extLst>
                                    <a:ext uri="{28A0092B-C50C-407E-A947-70E740481C1C}">
                                      <a14:useLocalDpi xmlns:a14="http://schemas.microsoft.com/office/drawing/2010/main" val="0"/>
                                    </a:ext>
                                  </a:extLst>
                                </a:blip>
                                <a:stretch>
                                  <a:fillRect/>
                                </a:stretch>
                              </pic:blipFill>
                              <pic:spPr bwMode="auto">
                                <a:xfrm>
                                  <a:off x="0" y="0"/>
                                  <a:ext cx="5048250" cy="4124414"/>
                                </a:xfrm>
                                <a:prstGeom prst="rect">
                                  <a:avLst/>
                                </a:prstGeom>
                                <a:noFill/>
                                <a:ln>
                                  <a:noFill/>
                                </a:ln>
                              </pic:spPr>
                            </pic:pic>
                          </a:graphicData>
                        </a:graphic>
                      </wp:inline>
                    </w:drawing>
                  </w:r>
                </w:p>
                <w:p w14:paraId="4491CE21" w14:textId="77777777" w:rsidR="00297EAC" w:rsidRPr="00297EAC" w:rsidRDefault="00297EAC" w:rsidP="00297EAC"/>
                <w:p w14:paraId="324FE07D" w14:textId="2DB4FE80" w:rsidR="002F4E0B" w:rsidRDefault="002F4E0B" w:rsidP="002E7436">
                  <w:pPr>
                    <w:pStyle w:val="Heading2"/>
                  </w:pPr>
                  <w:bookmarkStart w:id="182" w:name="_Toc202893225"/>
                  <w:bookmarkStart w:id="183" w:name="_Toc202895485"/>
                  <w:bookmarkStart w:id="184" w:name="_Toc203054498"/>
                  <w:bookmarkStart w:id="185" w:name="_Toc203054579"/>
                  <w:bookmarkStart w:id="186" w:name="_Toc203054660"/>
                  <w:bookmarkStart w:id="187" w:name="_Toc203464391"/>
                  <w:bookmarkStart w:id="188" w:name="_Toc204856727"/>
                  <w:bookmarkStart w:id="189" w:name="_Ref205405136"/>
                  <w:bookmarkStart w:id="190" w:name="_Toc208906838"/>
                  <w:bookmarkStart w:id="191" w:name="_Ref208926201"/>
                  <w:bookmarkEnd w:id="182"/>
                  <w:bookmarkEnd w:id="183"/>
                  <w:bookmarkEnd w:id="184"/>
                  <w:bookmarkEnd w:id="185"/>
                  <w:bookmarkEnd w:id="186"/>
                  <w:bookmarkEnd w:id="187"/>
                  <w:r>
                    <w:lastRenderedPageBreak/>
                    <w:t>Ethical approach</w:t>
                  </w:r>
                  <w:bookmarkEnd w:id="188"/>
                  <w:bookmarkEnd w:id="189"/>
                  <w:bookmarkEnd w:id="190"/>
                  <w:bookmarkEnd w:id="191"/>
                </w:p>
                <w:p w14:paraId="382EB71D" w14:textId="39D424FF" w:rsidR="006768CD" w:rsidRDefault="008454A9" w:rsidP="008454A9">
                  <w:pPr>
                    <w:pStyle w:val="Text"/>
                  </w:pPr>
                  <w:r>
                    <w:t>The evaluation team was guided by a set of standards, ethical considerations, trauma-informed approaches, culturally safe and ‘Do No Harm’ principles. Data collection tools were carefully reviewed to ensure they were</w:t>
                  </w:r>
                  <w:r w:rsidR="00E04EBD">
                    <w:t xml:space="preserve"> socially, </w:t>
                  </w:r>
                  <w:r>
                    <w:t>e</w:t>
                  </w:r>
                  <w:r w:rsidR="00E04EBD">
                    <w:t xml:space="preserve">motionally and culturally safe. </w:t>
                  </w:r>
                  <w:r>
                    <w:t>The</w:t>
                  </w:r>
                  <w:r w:rsidR="00E04EBD">
                    <w:t xml:space="preserve"> overall approach </w:t>
                  </w:r>
                  <w:r w:rsidR="00DF3DFC">
                    <w:t>followed</w:t>
                  </w:r>
                  <w:r w:rsidR="00E04EBD">
                    <w:t xml:space="preserve"> best</w:t>
                  </w:r>
                  <w:r w:rsidR="003C247D">
                    <w:t xml:space="preserve"> </w:t>
                  </w:r>
                  <w:r w:rsidR="00E04EBD">
                    <w:t>practice ethical processes and include</w:t>
                  </w:r>
                  <w:r w:rsidR="00687295">
                    <w:t>d</w:t>
                  </w:r>
                  <w:r w:rsidR="00E04EBD">
                    <w:t xml:space="preserve"> several mitigations designed to minimise harm for all participants. </w:t>
                  </w:r>
                </w:p>
                <w:p w14:paraId="6702B2A7" w14:textId="13D1E88A" w:rsidR="003351B3" w:rsidRDefault="006768CD" w:rsidP="003351B3">
                  <w:pPr>
                    <w:pStyle w:val="Text"/>
                  </w:pPr>
                  <w:r>
                    <w:t xml:space="preserve">Due to the sensitive nature of this evaluation, including engagement with victim survivors, the evaluation </w:t>
                  </w:r>
                  <w:r w:rsidR="00600359">
                    <w:t xml:space="preserve">team </w:t>
                  </w:r>
                  <w:r w:rsidR="00C859D1">
                    <w:t>sought review</w:t>
                  </w:r>
                  <w:r>
                    <w:t xml:space="preserve"> and approv</w:t>
                  </w:r>
                  <w:r w:rsidR="00C859D1">
                    <w:t>al from</w:t>
                  </w:r>
                  <w:r>
                    <w:t xml:space="preserve"> </w:t>
                  </w:r>
                  <w:r w:rsidR="00A82C54">
                    <w:t>three</w:t>
                  </w:r>
                  <w:r>
                    <w:t xml:space="preserve"> Human Research Ethics Committee</w:t>
                  </w:r>
                  <w:r w:rsidR="00A324D3">
                    <w:t>s</w:t>
                  </w:r>
                  <w:r>
                    <w:t xml:space="preserve"> (HREC</w:t>
                  </w:r>
                  <w:r w:rsidR="00FD6AD6">
                    <w:t>s</w:t>
                  </w:r>
                  <w:r>
                    <w:t xml:space="preserve">) before any </w:t>
                  </w:r>
                  <w:r w:rsidR="00FD6AD6">
                    <w:t xml:space="preserve">service user </w:t>
                  </w:r>
                  <w:r>
                    <w:t>recruitment or data collection t</w:t>
                  </w:r>
                  <w:r w:rsidR="00C859D1">
                    <w:t>ook</w:t>
                  </w:r>
                  <w:r>
                    <w:t xml:space="preserve"> place.</w:t>
                  </w:r>
                  <w:r w:rsidR="00C859D1">
                    <w:t xml:space="preserve"> </w:t>
                  </w:r>
                  <w:r w:rsidR="00A82C54">
                    <w:t>Approval</w:t>
                  </w:r>
                  <w:r w:rsidR="003351B3">
                    <w:t xml:space="preserve"> </w:t>
                  </w:r>
                  <w:r w:rsidR="00C859D1">
                    <w:t xml:space="preserve">was received </w:t>
                  </w:r>
                  <w:r w:rsidR="003351B3">
                    <w:t xml:space="preserve">as follows: </w:t>
                  </w:r>
                </w:p>
                <w:p w14:paraId="1F0C34FD" w14:textId="51A4AF1A" w:rsidR="003351B3" w:rsidRDefault="003351B3" w:rsidP="003351B3">
                  <w:pPr>
                    <w:pStyle w:val="Bullet1"/>
                  </w:pPr>
                  <w:r>
                    <w:t>final approval received from Bellberry Limited for the non-Aboriginal and Torres Strait Islander component of the evaluation on 18 March 2025</w:t>
                  </w:r>
                  <w:r w:rsidR="002723C8">
                    <w:t xml:space="preserve"> </w:t>
                  </w:r>
                </w:p>
                <w:p w14:paraId="0DF166D4" w14:textId="5DD7D12F" w:rsidR="003351B3" w:rsidRDefault="003351B3" w:rsidP="003351B3">
                  <w:pPr>
                    <w:pStyle w:val="Bullet1"/>
                  </w:pPr>
                  <w:r>
                    <w:t xml:space="preserve">final approval received from </w:t>
                  </w:r>
                  <w:r w:rsidR="000E2485">
                    <w:t xml:space="preserve">the </w:t>
                  </w:r>
                  <w:r>
                    <w:t>Australian Institute of Aboriginal and Torres Strait Islander Studies (AIATSIS) for the</w:t>
                  </w:r>
                  <w:r w:rsidR="00E0258B">
                    <w:t xml:space="preserve"> overall</w:t>
                  </w:r>
                  <w:r>
                    <w:t xml:space="preserve"> Aboriginal and Torres Strait Islander component of the evaluation on 20 March 2025</w:t>
                  </w:r>
                  <w:r w:rsidR="002723C8">
                    <w:t xml:space="preserve">, and </w:t>
                  </w:r>
                </w:p>
                <w:p w14:paraId="7BCB7BA7" w14:textId="0BE6B05C" w:rsidR="009152C1" w:rsidRDefault="003351B3" w:rsidP="003351B3">
                  <w:pPr>
                    <w:pStyle w:val="Bullet1"/>
                  </w:pPr>
                  <w:r>
                    <w:t xml:space="preserve">final approval received from </w:t>
                  </w:r>
                  <w:r w:rsidR="000E2485">
                    <w:t xml:space="preserve">the </w:t>
                  </w:r>
                  <w:r>
                    <w:t>Menzies School of Health and Research for</w:t>
                  </w:r>
                  <w:r w:rsidR="00FD6AD6">
                    <w:t xml:space="preserve"> the</w:t>
                  </w:r>
                  <w:r w:rsidR="00633BF5">
                    <w:t xml:space="preserve"> NT</w:t>
                  </w:r>
                  <w:r w:rsidR="000E2485">
                    <w:t>-</w:t>
                  </w:r>
                  <w:r w:rsidR="00633BF5">
                    <w:t>s</w:t>
                  </w:r>
                  <w:r w:rsidR="00E0258B">
                    <w:t xml:space="preserve">pecific </w:t>
                  </w:r>
                  <w:r>
                    <w:t>Aboriginal and Torres Strait Islander component of the evaluation on 2 April 2025.</w:t>
                  </w:r>
                </w:p>
                <w:p w14:paraId="172222B8" w14:textId="4911749A" w:rsidR="00D75F7C" w:rsidRDefault="00FE2D6E" w:rsidP="00D75F7C">
                  <w:pPr>
                    <w:pStyle w:val="Text"/>
                  </w:pPr>
                  <w:r>
                    <w:t>T</w:t>
                  </w:r>
                  <w:r w:rsidR="00857F75">
                    <w:t>he evaluation</w:t>
                  </w:r>
                  <w:r w:rsidR="002B6396">
                    <w:t xml:space="preserve"> team</w:t>
                  </w:r>
                  <w:r w:rsidR="00857F75">
                    <w:t xml:space="preserve"> employed </w:t>
                  </w:r>
                  <w:r w:rsidR="00E177F4">
                    <w:t>several</w:t>
                  </w:r>
                  <w:r w:rsidR="00D75F7C">
                    <w:t xml:space="preserve"> measures</w:t>
                  </w:r>
                  <w:r>
                    <w:t xml:space="preserve"> to ensure ethical engagement with service providers and service users</w:t>
                  </w:r>
                  <w:r w:rsidR="00D75F7C">
                    <w:t xml:space="preserve">: </w:t>
                  </w:r>
                </w:p>
                <w:p w14:paraId="0FE95158" w14:textId="2305BD70" w:rsidR="00AB5F8A" w:rsidRDefault="00FE2D6E" w:rsidP="00D75F7C">
                  <w:pPr>
                    <w:pStyle w:val="Bullet1"/>
                  </w:pPr>
                  <w:r>
                    <w:t xml:space="preserve">A </w:t>
                  </w:r>
                  <w:r w:rsidR="0001799E" w:rsidRPr="0001799E">
                    <w:t>separation principle was applied</w:t>
                  </w:r>
                  <w:r>
                    <w:t xml:space="preserve"> t</w:t>
                  </w:r>
                  <w:r w:rsidRPr="0001799E">
                    <w:t xml:space="preserve">o prevent </w:t>
                  </w:r>
                  <w:r>
                    <w:t>potential</w:t>
                  </w:r>
                  <w:r w:rsidRPr="0001799E">
                    <w:t xml:space="preserve"> re-identification of service users</w:t>
                  </w:r>
                  <w:r>
                    <w:t>.</w:t>
                  </w:r>
                  <w:r w:rsidRPr="0001799E">
                    <w:t xml:space="preserve"> </w:t>
                  </w:r>
                  <w:r w:rsidR="00A15192">
                    <w:t>Separate</w:t>
                  </w:r>
                  <w:r w:rsidR="0001799E" w:rsidRPr="0001799E">
                    <w:t xml:space="preserve"> teams analy</w:t>
                  </w:r>
                  <w:r w:rsidR="0001799E">
                    <w:t>s</w:t>
                  </w:r>
                  <w:r w:rsidR="0001799E" w:rsidRPr="0001799E">
                    <w:t xml:space="preserve">ed the raw qualitative and quantitative datasets </w:t>
                  </w:r>
                  <w:r w:rsidR="00A15192">
                    <w:t>respectively</w:t>
                  </w:r>
                  <w:r w:rsidR="0001799E" w:rsidRPr="0001799E">
                    <w:t xml:space="preserve">. </w:t>
                  </w:r>
                  <w:r w:rsidR="00306D24" w:rsidRPr="0001799E">
                    <w:t xml:space="preserve">Neither team had access to the other’s </w:t>
                  </w:r>
                  <w:r w:rsidR="00306D24">
                    <w:t>unit-level</w:t>
                  </w:r>
                  <w:r w:rsidR="00306D24" w:rsidRPr="0001799E">
                    <w:t xml:space="preserve"> data</w:t>
                  </w:r>
                  <w:r w:rsidR="00306D24">
                    <w:t xml:space="preserve">. </w:t>
                  </w:r>
                  <w:r w:rsidR="0001799E" w:rsidRPr="0001799E">
                    <w:t>The data was aggregated and anonymi</w:t>
                  </w:r>
                  <w:r w:rsidR="0001799E">
                    <w:t>s</w:t>
                  </w:r>
                  <w:r w:rsidR="0001799E" w:rsidRPr="0001799E">
                    <w:t xml:space="preserve">ed before being shared for mixed-method analysis. </w:t>
                  </w:r>
                </w:p>
                <w:p w14:paraId="139A9B87" w14:textId="64996EC9" w:rsidR="00D75F7C" w:rsidRDefault="00C501D4" w:rsidP="00D75F7C">
                  <w:pPr>
                    <w:pStyle w:val="Bullet1"/>
                  </w:pPr>
                  <w:r>
                    <w:t xml:space="preserve">the </w:t>
                  </w:r>
                  <w:r w:rsidR="00D75F7C">
                    <w:t xml:space="preserve">reporting </w:t>
                  </w:r>
                  <w:r>
                    <w:t xml:space="preserve">does not include any data which could be used to identify an individual </w:t>
                  </w:r>
                  <w:r w:rsidR="00CE4367">
                    <w:t xml:space="preserve">service user. This is </w:t>
                  </w:r>
                  <w:r w:rsidR="00D75F7C">
                    <w:t xml:space="preserve">to protect their privacy and confidentiality. </w:t>
                  </w:r>
                </w:p>
                <w:p w14:paraId="098A737D" w14:textId="5CFFE54B" w:rsidR="00C77652" w:rsidRDefault="00800D31" w:rsidP="00EE6C6D">
                  <w:pPr>
                    <w:pStyle w:val="Bullet1"/>
                  </w:pPr>
                  <w:r>
                    <w:t>Participant Information and Consent Forms</w:t>
                  </w:r>
                  <w:r w:rsidR="00C353CB">
                    <w:t xml:space="preserve"> (PICFs)</w:t>
                  </w:r>
                  <w:r w:rsidR="00C77652">
                    <w:t xml:space="preserve"> outlined limits to confidentiality</w:t>
                  </w:r>
                  <w:r w:rsidR="00D75F7C">
                    <w:t xml:space="preserve"> so participants underst</w:t>
                  </w:r>
                  <w:r w:rsidR="00C77652">
                    <w:t xml:space="preserve">ood </w:t>
                  </w:r>
                  <w:r w:rsidR="00D75F7C">
                    <w:t xml:space="preserve">the actions that might be taken where a risk of serious harm to the participant or someone around them </w:t>
                  </w:r>
                  <w:r w:rsidR="00AE643C">
                    <w:t>wa</w:t>
                  </w:r>
                  <w:r w:rsidR="00D75F7C">
                    <w:t>s identified.</w:t>
                  </w:r>
                  <w:r w:rsidR="00E055C8">
                    <w:rPr>
                      <w:rFonts w:ascii="ZWAdobeF" w:hAnsi="ZWAdobeF" w:cs="ZWAdobeF"/>
                      <w:sz w:val="2"/>
                      <w:szCs w:val="2"/>
                    </w:rPr>
                    <w:t>2F</w:t>
                  </w:r>
                  <w:r w:rsidR="00F61E90" w:rsidRPr="00292952">
                    <w:rPr>
                      <w:rStyle w:val="FootnoteReference"/>
                    </w:rPr>
                    <w:footnoteReference w:id="4"/>
                  </w:r>
                  <w:r w:rsidR="00F61E90">
                    <w:t xml:space="preserve"> </w:t>
                  </w:r>
                </w:p>
                <w:p w14:paraId="3A99B55D" w14:textId="12B498D0" w:rsidR="00983B71" w:rsidRDefault="00983B71" w:rsidP="002673F7">
                  <w:pPr>
                    <w:pStyle w:val="Bullet1"/>
                  </w:pPr>
                  <w:r>
                    <w:t xml:space="preserve">A safety protocol was developed to protect participants’ anonymity </w:t>
                  </w:r>
                  <w:r w:rsidR="00D333F8">
                    <w:t>and manage risk of distress.</w:t>
                  </w:r>
                  <w:r>
                    <w:t xml:space="preserve"> PICFs included information on where </w:t>
                  </w:r>
                  <w:r w:rsidR="00645E22">
                    <w:t>participants</w:t>
                  </w:r>
                  <w:r>
                    <w:t xml:space="preserve"> c</w:t>
                  </w:r>
                  <w:r w:rsidR="00645E22">
                    <w:t>ould</w:t>
                  </w:r>
                  <w:r>
                    <w:t xml:space="preserve"> access appropriate confidential support.</w:t>
                  </w:r>
                </w:p>
                <w:p w14:paraId="754DE7DE" w14:textId="365B7ED9" w:rsidR="00220D94" w:rsidRPr="008D378D" w:rsidRDefault="00AC754A" w:rsidP="00EE6C6D">
                  <w:pPr>
                    <w:pStyle w:val="Bullet1"/>
                  </w:pPr>
                  <w:r>
                    <w:t>Service users</w:t>
                  </w:r>
                  <w:r w:rsidR="00220D94">
                    <w:t xml:space="preserve"> were recruited through service providers </w:t>
                  </w:r>
                  <w:r w:rsidR="002F7672">
                    <w:t xml:space="preserve">to maximise safety, risk assessment and management, and minimise distress for service users. </w:t>
                  </w:r>
                </w:p>
                <w:p w14:paraId="799A5F88" w14:textId="525166E2" w:rsidR="002F4E0B" w:rsidRDefault="002F4E0B" w:rsidP="002E7436">
                  <w:pPr>
                    <w:pStyle w:val="Heading2"/>
                  </w:pPr>
                  <w:bookmarkStart w:id="192" w:name="_Toc204856728"/>
                  <w:bookmarkStart w:id="193" w:name="_Toc208906839"/>
                  <w:r w:rsidRPr="002F4E0B">
                    <w:lastRenderedPageBreak/>
                    <w:t xml:space="preserve">Approach to </w:t>
                  </w:r>
                  <w:r w:rsidR="009032E1">
                    <w:t>Aboriginal and Torres Strait Islander</w:t>
                  </w:r>
                  <w:r w:rsidRPr="002F4E0B">
                    <w:t xml:space="preserve"> engagement</w:t>
                  </w:r>
                  <w:bookmarkEnd w:id="192"/>
                  <w:bookmarkEnd w:id="193"/>
                </w:p>
                <w:p w14:paraId="29B6519B" w14:textId="57DE05A8" w:rsidR="0030714D" w:rsidRDefault="008974B8" w:rsidP="00991F86">
                  <w:pPr>
                    <w:pStyle w:val="Text"/>
                  </w:pPr>
                  <w:r>
                    <w:t>The evaluation</w:t>
                  </w:r>
                  <w:r w:rsidR="00600359">
                    <w:t xml:space="preserve"> tea</w:t>
                  </w:r>
                  <w:r w:rsidR="002B6396">
                    <w:t>m’</w:t>
                  </w:r>
                  <w:r w:rsidR="00600359">
                    <w:t>s</w:t>
                  </w:r>
                  <w:r w:rsidR="00DF61B8">
                    <w:t xml:space="preserve"> </w:t>
                  </w:r>
                  <w:r w:rsidR="00B3017A">
                    <w:t>approach to</w:t>
                  </w:r>
                  <w:r w:rsidR="00DF61B8">
                    <w:t xml:space="preserve"> </w:t>
                  </w:r>
                  <w:r w:rsidR="009032E1">
                    <w:t>Aboriginal and Torres Strait Islander</w:t>
                  </w:r>
                  <w:r w:rsidR="00DF61B8">
                    <w:t xml:space="preserve"> </w:t>
                  </w:r>
                  <w:r w:rsidR="00B3017A">
                    <w:t>e</w:t>
                  </w:r>
                  <w:r w:rsidR="00DF61B8">
                    <w:t xml:space="preserve">ngagement was designed </w:t>
                  </w:r>
                  <w:r w:rsidR="00682CDA">
                    <w:t>to ensure</w:t>
                  </w:r>
                  <w:r w:rsidR="002C02A2">
                    <w:t xml:space="preserve"> that the values and c</w:t>
                  </w:r>
                  <w:r w:rsidR="00D253C3">
                    <w:t>ultural safety</w:t>
                  </w:r>
                  <w:r w:rsidR="002C02A2">
                    <w:t xml:space="preserve"> of </w:t>
                  </w:r>
                  <w:r w:rsidR="009032E1">
                    <w:t xml:space="preserve">Aboriginal and Torres Strait Islander </w:t>
                  </w:r>
                  <w:r w:rsidR="007A3356">
                    <w:t>people</w:t>
                  </w:r>
                  <w:r w:rsidR="002C02A2">
                    <w:t xml:space="preserve"> and</w:t>
                  </w:r>
                  <w:r w:rsidR="00303FBE">
                    <w:t xml:space="preserve"> </w:t>
                  </w:r>
                  <w:r w:rsidR="007A3356">
                    <w:t xml:space="preserve">communities </w:t>
                  </w:r>
                  <w:r w:rsidR="00AC754A">
                    <w:t>were</w:t>
                  </w:r>
                  <w:r w:rsidR="002C02A2">
                    <w:t xml:space="preserve"> core to </w:t>
                  </w:r>
                  <w:r w:rsidR="00821588">
                    <w:t xml:space="preserve">the </w:t>
                  </w:r>
                  <w:r w:rsidR="002C02A2">
                    <w:t>analysis and</w:t>
                  </w:r>
                  <w:r w:rsidR="00303FBE">
                    <w:t xml:space="preserve"> identified</w:t>
                  </w:r>
                  <w:r w:rsidR="002C02A2">
                    <w:t xml:space="preserve"> </w:t>
                  </w:r>
                  <w:r w:rsidR="00303FBE">
                    <w:t>opportunitie</w:t>
                  </w:r>
                  <w:r w:rsidR="002C02A2">
                    <w:t xml:space="preserve">s. </w:t>
                  </w:r>
                  <w:r w:rsidR="00821588">
                    <w:t xml:space="preserve">The </w:t>
                  </w:r>
                  <w:r w:rsidR="002C02A2">
                    <w:t>work</w:t>
                  </w:r>
                  <w:r w:rsidR="00821588">
                    <w:t xml:space="preserve"> undertaken</w:t>
                  </w:r>
                  <w:r w:rsidR="002C02A2">
                    <w:t xml:space="preserve"> with Aboriginal and Torres Strait Islander participants follows the six core values in the </w:t>
                  </w:r>
                  <w:hyperlink r:id="rId41">
                    <w:r w:rsidR="002C02A2" w:rsidRPr="00321BC5">
                      <w:rPr>
                        <w:rStyle w:val="Hyperlink"/>
                        <w:rFonts w:asciiTheme="minorHAnsi" w:hAnsiTheme="minorHAnsi"/>
                        <w:b/>
                        <w:color w:val="007E00" w:themeColor="accent3"/>
                      </w:rPr>
                      <w:t>NHMRC guidelines for ethical conduct in research with Aboriginal and Torres Strait Islander people and communities</w:t>
                    </w:r>
                  </w:hyperlink>
                  <w:r w:rsidR="002C02A2">
                    <w:t xml:space="preserve">, as well as the best practice ethical principles for engagement with Aboriginal and Torres Strait Islander peoples as per the </w:t>
                  </w:r>
                  <w:hyperlink r:id="rId42">
                    <w:r w:rsidR="002C02A2" w:rsidRPr="00321BC5">
                      <w:rPr>
                        <w:rStyle w:val="Hyperlink"/>
                        <w:rFonts w:asciiTheme="minorHAnsi" w:hAnsiTheme="minorHAnsi"/>
                        <w:b/>
                        <w:color w:val="007E00" w:themeColor="accent3"/>
                      </w:rPr>
                      <w:t>AIATSIS Code of Ethics</w:t>
                    </w:r>
                  </w:hyperlink>
                  <w:r w:rsidR="002C02A2">
                    <w:t xml:space="preserve"> and </w:t>
                  </w:r>
                  <w:hyperlink r:id="rId43">
                    <w:r w:rsidR="002C02A2" w:rsidRPr="00321BC5">
                      <w:rPr>
                        <w:rStyle w:val="Hyperlink"/>
                        <w:rFonts w:asciiTheme="minorHAnsi" w:hAnsiTheme="minorHAnsi"/>
                        <w:b/>
                        <w:color w:val="007E00" w:themeColor="accent3"/>
                      </w:rPr>
                      <w:t>Ethical conduct in research with Aboriginal and Torres Strait Islander peoples and communities: Guidelines for researchers and stakeholders 2018</w:t>
                    </w:r>
                  </w:hyperlink>
                  <w:r w:rsidR="002C02A2">
                    <w:t>.</w:t>
                  </w:r>
                  <w:r w:rsidR="00BC20A3">
                    <w:t xml:space="preserve"> </w:t>
                  </w:r>
                  <w:r w:rsidR="0030714D">
                    <w:t xml:space="preserve">The evaluation </w:t>
                  </w:r>
                  <w:r w:rsidR="002B6396">
                    <w:t xml:space="preserve">team </w:t>
                  </w:r>
                  <w:r w:rsidR="0030714D">
                    <w:t xml:space="preserve">embedded the </w:t>
                  </w:r>
                  <w:r w:rsidR="00BC20A3">
                    <w:t>six</w:t>
                  </w:r>
                  <w:r w:rsidR="0030714D">
                    <w:t xml:space="preserve"> values into engagement processes</w:t>
                  </w:r>
                  <w:r w:rsidR="00BC20A3">
                    <w:t xml:space="preserve"> as follows</w:t>
                  </w:r>
                  <w:r w:rsidR="0030714D">
                    <w:t xml:space="preserve">: </w:t>
                  </w:r>
                </w:p>
                <w:p w14:paraId="3D59B338" w14:textId="2C415630" w:rsidR="0030714D" w:rsidRDefault="0030714D" w:rsidP="0030714D">
                  <w:pPr>
                    <w:pStyle w:val="Bullet1"/>
                  </w:pPr>
                  <w:r w:rsidRPr="0030714D">
                    <w:rPr>
                      <w:b/>
                      <w:bCs/>
                    </w:rPr>
                    <w:t>Spirit and integrity:</w:t>
                  </w:r>
                  <w:r>
                    <w:t xml:space="preserve"> The evaluation was conducted honestly, fairly, transparently and with respect for all participants and adhered to ethical frameworks and guidelines. All participants were fully informed of the purpose of the research and active and ongoing consent was sought. </w:t>
                  </w:r>
                </w:p>
                <w:p w14:paraId="10FE8703" w14:textId="6C7D8855" w:rsidR="0030714D" w:rsidRDefault="0030714D" w:rsidP="0030714D">
                  <w:pPr>
                    <w:pStyle w:val="Bullet1"/>
                  </w:pPr>
                  <w:r w:rsidRPr="0030714D">
                    <w:rPr>
                      <w:b/>
                      <w:bCs/>
                    </w:rPr>
                    <w:t>Cultural continuity:</w:t>
                  </w:r>
                  <w:r>
                    <w:t xml:space="preserve"> The evaluation was guided by principles of self-determination and the expertise of Aboriginal and Torres Strait Islander peoples. </w:t>
                  </w:r>
                  <w:r w:rsidR="000605C5">
                    <w:t>These</w:t>
                  </w:r>
                  <w:r>
                    <w:t xml:space="preserve"> include</w:t>
                  </w:r>
                  <w:r w:rsidR="000605C5">
                    <w:t>d</w:t>
                  </w:r>
                  <w:r>
                    <w:t xml:space="preserve"> </w:t>
                  </w:r>
                  <w:r w:rsidR="00D253C3">
                    <w:t>yarning circles and face</w:t>
                  </w:r>
                  <w:r w:rsidR="002101EC">
                    <w:t>-</w:t>
                  </w:r>
                  <w:r w:rsidR="00D253C3">
                    <w:t>to</w:t>
                  </w:r>
                  <w:r w:rsidR="002101EC">
                    <w:t>-</w:t>
                  </w:r>
                  <w:r w:rsidR="00D253C3">
                    <w:t>face yarning</w:t>
                  </w:r>
                  <w:r>
                    <w:t xml:space="preserve"> with Aboriginal and Torres Strait Islander victim survivors and </w:t>
                  </w:r>
                  <w:r w:rsidR="002F47A9">
                    <w:t>ACCOs</w:t>
                  </w:r>
                  <w:r>
                    <w:t xml:space="preserve"> to ensure findings and </w:t>
                  </w:r>
                  <w:r w:rsidR="00303FBE">
                    <w:t>identified opportunities</w:t>
                  </w:r>
                  <w:r>
                    <w:t xml:space="preserve"> for the evaluation reflect</w:t>
                  </w:r>
                  <w:r w:rsidR="00FC401D">
                    <w:t>ed</w:t>
                  </w:r>
                  <w:r>
                    <w:t xml:space="preserve"> the knowledge and expertise held by Aboriginal and Torres Strait Islander peoples and their right to determine what is best for themselves, their families, and communities. </w:t>
                  </w:r>
                </w:p>
                <w:p w14:paraId="51309FFE" w14:textId="55275807" w:rsidR="005E333D" w:rsidRDefault="0030714D" w:rsidP="005E333D">
                  <w:pPr>
                    <w:pStyle w:val="Bullet1"/>
                  </w:pPr>
                  <w:r>
                    <w:rPr>
                      <w:b/>
                      <w:bCs/>
                    </w:rPr>
                    <w:t xml:space="preserve">Equity: </w:t>
                  </w:r>
                  <w:r>
                    <w:t xml:space="preserve">The evaluation </w:t>
                  </w:r>
                  <w:r w:rsidR="002D7256">
                    <w:t>prioritised</w:t>
                  </w:r>
                  <w:r>
                    <w:t xml:space="preserve"> and value</w:t>
                  </w:r>
                  <w:r w:rsidR="002D7256">
                    <w:t>d</w:t>
                  </w:r>
                  <w:r>
                    <w:t xml:space="preserve"> the knowledge and contributions of Aboriginal and Torres Strait Islander peoples and ensure</w:t>
                  </w:r>
                  <w:r w:rsidR="002D7256">
                    <w:t>d</w:t>
                  </w:r>
                  <w:r>
                    <w:t xml:space="preserve"> there </w:t>
                  </w:r>
                  <w:r w:rsidR="002D7256">
                    <w:t>wer</w:t>
                  </w:r>
                  <w:r>
                    <w:t>e flexible, fair</w:t>
                  </w:r>
                  <w:r w:rsidR="002D7256">
                    <w:t>,</w:t>
                  </w:r>
                  <w:r>
                    <w:t xml:space="preserve"> and accessible opportunities for knowledge held by Aboriginal and Torres Strait Islander peoples to inform the evaluation. The project team </w:t>
                  </w:r>
                  <w:r w:rsidR="00E962CF">
                    <w:t>ensured</w:t>
                  </w:r>
                  <w:r>
                    <w:t xml:space="preserve"> Aboriginal and Torres Strait Islander peoples </w:t>
                  </w:r>
                  <w:r w:rsidR="00E962CF">
                    <w:t>we</w:t>
                  </w:r>
                  <w:r>
                    <w:t xml:space="preserve">re involved </w:t>
                  </w:r>
                  <w:r w:rsidR="006B6B77">
                    <w:t>throughout the</w:t>
                  </w:r>
                  <w:r>
                    <w:t xml:space="preserve"> process and that outcomes of the evaluation </w:t>
                  </w:r>
                  <w:r w:rsidR="00E962CF">
                    <w:t>we</w:t>
                  </w:r>
                  <w:r>
                    <w:t xml:space="preserve">re shared back with participants. </w:t>
                  </w:r>
                  <w:r w:rsidR="00D7260C">
                    <w:t>This included holding a dedicated sensemaking session with ACCO service providers</w:t>
                  </w:r>
                  <w:r w:rsidR="006B6B77">
                    <w:t>.</w:t>
                  </w:r>
                  <w:r w:rsidR="00573D8F">
                    <w:t xml:space="preserve"> </w:t>
                  </w:r>
                </w:p>
                <w:p w14:paraId="77C826B6" w14:textId="14FA3BCC" w:rsidR="0030714D" w:rsidRDefault="0030714D" w:rsidP="0030714D">
                  <w:pPr>
                    <w:pStyle w:val="Bullet1"/>
                  </w:pPr>
                  <w:r w:rsidRPr="0030714D">
                    <w:rPr>
                      <w:b/>
                      <w:bCs/>
                    </w:rPr>
                    <w:t>Reciprocity:</w:t>
                  </w:r>
                  <w:r>
                    <w:t xml:space="preserve"> The evaluation </w:t>
                  </w:r>
                  <w:r w:rsidR="00E962CF">
                    <w:t>ensured</w:t>
                  </w:r>
                  <w:r>
                    <w:t xml:space="preserve"> that all Aboriginal and Torres Strait Islander participants ha</w:t>
                  </w:r>
                  <w:r w:rsidR="00E962CF">
                    <w:t>d</w:t>
                  </w:r>
                  <w:r>
                    <w:t xml:space="preserve"> the opportunity to define the key issues, such as cultural safety, and shape their participation in the evaluation in a way that benefit</w:t>
                  </w:r>
                  <w:r w:rsidR="00E962CF">
                    <w:t>ed</w:t>
                  </w:r>
                  <w:r>
                    <w:t xml:space="preserve"> them and me</w:t>
                  </w:r>
                  <w:r w:rsidR="00E962CF">
                    <w:t>t</w:t>
                  </w:r>
                  <w:r>
                    <w:t xml:space="preserve"> their needs. The semi-structured interview approach </w:t>
                  </w:r>
                  <w:r w:rsidR="00E962CF">
                    <w:t>ensured</w:t>
                  </w:r>
                  <w:r>
                    <w:t xml:space="preserve"> that Aboriginal and Torres Strait Islander people </w:t>
                  </w:r>
                  <w:r w:rsidR="00E962CF">
                    <w:t>had</w:t>
                  </w:r>
                  <w:r>
                    <w:t xml:space="preserve"> the opportunity to share their experience of crisis response services and define key issues in their own words. </w:t>
                  </w:r>
                  <w:r w:rsidR="00E75C1F">
                    <w:t xml:space="preserve">A summary of key themes emerging from engagement with Aboriginal and Torres Strait Islander people and organisations was shared with </w:t>
                  </w:r>
                  <w:r w:rsidR="0087575D">
                    <w:t>people and communities who participated in the evaluation.</w:t>
                  </w:r>
                </w:p>
                <w:p w14:paraId="6C8B8A1A" w14:textId="14DF0DFB" w:rsidR="004747C1" w:rsidRDefault="0030714D" w:rsidP="00991F86">
                  <w:pPr>
                    <w:pStyle w:val="Bullet1"/>
                  </w:pPr>
                  <w:r w:rsidRPr="0030714D">
                    <w:rPr>
                      <w:b/>
                      <w:bCs/>
                    </w:rPr>
                    <w:t>Respect:</w:t>
                  </w:r>
                  <w:r>
                    <w:t xml:space="preserve"> Participation in the evaluation </w:t>
                  </w:r>
                  <w:r w:rsidR="00FD01BC">
                    <w:t>was</w:t>
                  </w:r>
                  <w:r>
                    <w:t xml:space="preserve"> </w:t>
                  </w:r>
                  <w:r w:rsidR="00FD01BC">
                    <w:t>voluntary,</w:t>
                  </w:r>
                  <w:r>
                    <w:t xml:space="preserve"> and the evaluation </w:t>
                  </w:r>
                  <w:r w:rsidR="00FD01BC">
                    <w:t>ensured</w:t>
                  </w:r>
                  <w:r>
                    <w:t xml:space="preserve"> that all participants provide</w:t>
                  </w:r>
                  <w:r w:rsidR="00E8782E">
                    <w:t>d</w:t>
                  </w:r>
                  <w:r>
                    <w:t xml:space="preserve"> fully informed consent and ha</w:t>
                  </w:r>
                  <w:r w:rsidR="00FD01BC">
                    <w:t xml:space="preserve">d </w:t>
                  </w:r>
                  <w:r>
                    <w:t>their rights, values, beliefs, safety</w:t>
                  </w:r>
                  <w:r w:rsidR="00FD01BC">
                    <w:t>,</w:t>
                  </w:r>
                  <w:r>
                    <w:t xml:space="preserve"> and attitudes respected at all times. </w:t>
                  </w:r>
                  <w:r w:rsidR="009A3505">
                    <w:t xml:space="preserve">The evaluation team included </w:t>
                  </w:r>
                  <w:r w:rsidR="00E43278">
                    <w:t>a mix of genders to ensure face</w:t>
                  </w:r>
                  <w:r w:rsidR="002101EC">
                    <w:t>-</w:t>
                  </w:r>
                  <w:r w:rsidR="00E43278">
                    <w:t>to</w:t>
                  </w:r>
                  <w:r w:rsidR="002101EC">
                    <w:t>-</w:t>
                  </w:r>
                  <w:r w:rsidR="00E43278">
                    <w:t xml:space="preserve">face yarning with Aboriginal and Torres Strait Islander </w:t>
                  </w:r>
                  <w:r w:rsidR="00E75C1F">
                    <w:t>participants was conducted in a culturally respectful way.</w:t>
                  </w:r>
                </w:p>
                <w:p w14:paraId="1B14591E" w14:textId="5ED4B482" w:rsidR="00F938CA" w:rsidRDefault="0030714D" w:rsidP="00991F86">
                  <w:pPr>
                    <w:pStyle w:val="Bullet1"/>
                  </w:pPr>
                  <w:r w:rsidRPr="004747C1">
                    <w:rPr>
                      <w:b/>
                      <w:bCs/>
                    </w:rPr>
                    <w:lastRenderedPageBreak/>
                    <w:t xml:space="preserve">Responsibility: </w:t>
                  </w:r>
                  <w:r>
                    <w:t>The evaluation team t</w:t>
                  </w:r>
                  <w:r w:rsidR="00FD01BC">
                    <w:t xml:space="preserve">ook </w:t>
                  </w:r>
                  <w:r>
                    <w:t xml:space="preserve">responsibility for all outcomes and impacts of participation by Aboriginal and Torres Strait Islander peoples and adopted safety measures </w:t>
                  </w:r>
                  <w:r w:rsidR="00573FB3">
                    <w:t>that</w:t>
                  </w:r>
                  <w:r>
                    <w:t xml:space="preserve"> </w:t>
                  </w:r>
                  <w:r w:rsidR="00FB36F6">
                    <w:t>ensured</w:t>
                  </w:r>
                  <w:r>
                    <w:t xml:space="preserve"> </w:t>
                  </w:r>
                  <w:r w:rsidR="003C6D1B">
                    <w:t>Aboriginal and Torres Strait Islander people</w:t>
                  </w:r>
                  <w:r w:rsidR="002F47A9">
                    <w:t xml:space="preserve"> and communities</w:t>
                  </w:r>
                  <w:r w:rsidR="003C6D1B">
                    <w:t xml:space="preserve"> incurred </w:t>
                  </w:r>
                  <w:r>
                    <w:t>no harm associated with participation</w:t>
                  </w:r>
                  <w:r w:rsidR="003C6D1B">
                    <w:t xml:space="preserve">. </w:t>
                  </w:r>
                  <w:r w:rsidR="009573E5">
                    <w:t>Prior to undertaking consultation with ACCO service provider</w:t>
                  </w:r>
                  <w:r w:rsidR="000B49C8">
                    <w:t xml:space="preserve"> staff</w:t>
                  </w:r>
                  <w:r w:rsidR="009573E5">
                    <w:t xml:space="preserve"> and service users, the evaluation team</w:t>
                  </w:r>
                  <w:r w:rsidR="003C6D1B">
                    <w:t>,</w:t>
                  </w:r>
                  <w:r w:rsidR="009573E5">
                    <w:t xml:space="preserve"> led by the </w:t>
                  </w:r>
                  <w:r w:rsidR="00650679">
                    <w:t>Aboriginal and Torres Strait Islander</w:t>
                  </w:r>
                  <w:r w:rsidR="009573E5">
                    <w:t xml:space="preserve"> Engagement Le</w:t>
                  </w:r>
                  <w:r w:rsidR="00F00574">
                    <w:t>a</w:t>
                  </w:r>
                  <w:r w:rsidR="009573E5">
                    <w:t xml:space="preserve">d, met with the </w:t>
                  </w:r>
                  <w:r w:rsidR="005E40AE">
                    <w:t>5</w:t>
                  </w:r>
                  <w:r w:rsidR="009573E5">
                    <w:t xml:space="preserve"> in-scope ACCOs </w:t>
                  </w:r>
                  <w:r w:rsidR="009F3C4A">
                    <w:t xml:space="preserve">to discuss the evaluation and arrange site visit details. This included identifying </w:t>
                  </w:r>
                  <w:r w:rsidR="00B92266">
                    <w:t xml:space="preserve">necessary adjustments to ensure </w:t>
                  </w:r>
                  <w:r w:rsidR="003378AB">
                    <w:t>engagements</w:t>
                  </w:r>
                  <w:r w:rsidR="00B92266">
                    <w:t xml:space="preserve"> </w:t>
                  </w:r>
                  <w:r w:rsidR="003378AB">
                    <w:t>were</w:t>
                  </w:r>
                  <w:r w:rsidR="00B92266">
                    <w:t xml:space="preserve"> appropriate for their context and needs</w:t>
                  </w:r>
                  <w:r w:rsidR="003A1367">
                    <w:t>,</w:t>
                  </w:r>
                  <w:r w:rsidR="0032453F">
                    <w:t xml:space="preserve"> including extended site visits, adjustments to survey delivery methods, and </w:t>
                  </w:r>
                  <w:r w:rsidR="003A1367">
                    <w:t>identification of stakeholders to meet</w:t>
                  </w:r>
                  <w:r w:rsidR="00B92266">
                    <w:t xml:space="preserve">. </w:t>
                  </w:r>
                  <w:r w:rsidR="00DA4133">
                    <w:t xml:space="preserve">These </w:t>
                  </w:r>
                  <w:r w:rsidR="003A1367">
                    <w:t xml:space="preserve">planning </w:t>
                  </w:r>
                  <w:r w:rsidR="003378AB">
                    <w:t>meetings</w:t>
                  </w:r>
                  <w:r w:rsidR="0032453F">
                    <w:t xml:space="preserve"> </w:t>
                  </w:r>
                  <w:r w:rsidR="00DA4133">
                    <w:t xml:space="preserve">allowed the evaluation team and ACCOs to foster a mutually beneficial working relationship. </w:t>
                  </w:r>
                </w:p>
                <w:p w14:paraId="5C05FCD3" w14:textId="74D1AD86" w:rsidR="00682CDA" w:rsidRDefault="00097A05" w:rsidP="00991F86">
                  <w:pPr>
                    <w:pStyle w:val="Text"/>
                  </w:pPr>
                  <w:r>
                    <w:t xml:space="preserve">The engagement phase with </w:t>
                  </w:r>
                  <w:r w:rsidR="00650679">
                    <w:t xml:space="preserve">Aboriginal and Torres Strait Islander </w:t>
                  </w:r>
                  <w:r>
                    <w:t xml:space="preserve">communities </w:t>
                  </w:r>
                  <w:r w:rsidR="00EB245F">
                    <w:t xml:space="preserve">and peak bodies </w:t>
                  </w:r>
                  <w:r>
                    <w:t xml:space="preserve">was led by the </w:t>
                  </w:r>
                  <w:r w:rsidR="00A030B6">
                    <w:t xml:space="preserve">evaluation’s </w:t>
                  </w:r>
                  <w:r w:rsidR="00650679">
                    <w:t xml:space="preserve">Aboriginal and Torres Strait Islander </w:t>
                  </w:r>
                  <w:r w:rsidR="004101A6">
                    <w:t>Lead</w:t>
                  </w:r>
                  <w:r w:rsidR="003C6D1B">
                    <w:t>,</w:t>
                  </w:r>
                  <w:r w:rsidR="004101A6">
                    <w:t xml:space="preserve"> and</w:t>
                  </w:r>
                  <w:r w:rsidR="003C6D1B">
                    <w:t xml:space="preserve"> the</w:t>
                  </w:r>
                  <w:r w:rsidR="004101A6">
                    <w:t xml:space="preserve"> </w:t>
                  </w:r>
                  <w:r w:rsidR="00650679">
                    <w:t xml:space="preserve">Aboriginal and Torres Strait Islander Engagement </w:t>
                  </w:r>
                  <w:r w:rsidR="004101A6">
                    <w:t>Facilitator</w:t>
                  </w:r>
                  <w:r w:rsidR="00EB245F">
                    <w:t xml:space="preserve">, </w:t>
                  </w:r>
                  <w:r w:rsidR="00E8782E">
                    <w:t xml:space="preserve">alongside </w:t>
                  </w:r>
                  <w:r w:rsidR="00EB245F">
                    <w:t xml:space="preserve">a </w:t>
                  </w:r>
                  <w:r w:rsidR="004101A6">
                    <w:t xml:space="preserve">non-Aboriginal team member. </w:t>
                  </w:r>
                </w:p>
                <w:p w14:paraId="517A3B1B" w14:textId="3E56774A" w:rsidR="001E0696" w:rsidRDefault="00147FA9" w:rsidP="002F309B">
                  <w:pPr>
                    <w:pStyle w:val="Text"/>
                  </w:pPr>
                  <w:r>
                    <w:t>The evaluation</w:t>
                  </w:r>
                  <w:r w:rsidR="00600359">
                    <w:t xml:space="preserve"> team </w:t>
                  </w:r>
                  <w:r>
                    <w:t xml:space="preserve">acknowledges the importance of recognising the contribution of all stakeholders and ensuring the benefits of the </w:t>
                  </w:r>
                  <w:r w:rsidR="00191478">
                    <w:t xml:space="preserve">evaluation </w:t>
                  </w:r>
                  <w:r>
                    <w:t>outcomes are equitable</w:t>
                  </w:r>
                  <w:r w:rsidR="003C6D1B">
                    <w:t>,</w:t>
                  </w:r>
                  <w:r>
                    <w:t xml:space="preserve"> and valuable to Aboriginal participants and communities</w:t>
                  </w:r>
                  <w:r w:rsidR="00C02560">
                    <w:t>, including respecting data sovereignty principles</w:t>
                  </w:r>
                  <w:r>
                    <w:t>.</w:t>
                  </w:r>
                  <w:r w:rsidR="00C02560">
                    <w:t xml:space="preserve"> In line with this, a</w:t>
                  </w:r>
                  <w:r w:rsidR="002F309B">
                    <w:t xml:space="preserve"> deidentified </w:t>
                  </w:r>
                  <w:r w:rsidR="000544F2">
                    <w:t xml:space="preserve">short </w:t>
                  </w:r>
                  <w:r w:rsidR="002F309B">
                    <w:t>report summarising the main ideas identified through consultation</w:t>
                  </w:r>
                  <w:r w:rsidR="00126F83">
                    <w:t>s with Aboriginal and Torres Strait Islander people and organisations</w:t>
                  </w:r>
                  <w:r w:rsidR="002F309B">
                    <w:t xml:space="preserve"> was shared with participating ACCOs and service users. </w:t>
                  </w:r>
                  <w:r w:rsidR="00D2130B">
                    <w:t xml:space="preserve">A sensemaking session was also held to test the key findings that emerged from engagement with the </w:t>
                  </w:r>
                  <w:r w:rsidR="00A030B6">
                    <w:t>5</w:t>
                  </w:r>
                  <w:r w:rsidR="00D2130B">
                    <w:t xml:space="preserve"> in-scope ACCOs</w:t>
                  </w:r>
                  <w:r w:rsidR="00B8230E">
                    <w:t>.</w:t>
                  </w:r>
                </w:p>
                <w:p w14:paraId="29C6595B" w14:textId="4EED87B6" w:rsidR="00D7641D" w:rsidRPr="00AE3D8C" w:rsidRDefault="002F4E0B" w:rsidP="002E7436">
                  <w:pPr>
                    <w:pStyle w:val="Heading2"/>
                  </w:pPr>
                  <w:bookmarkStart w:id="194" w:name="_Toc204856729"/>
                  <w:bookmarkStart w:id="195" w:name="_Toc208906840"/>
                  <w:r>
                    <w:t>Literature Review</w:t>
                  </w:r>
                  <w:bookmarkEnd w:id="194"/>
                  <w:bookmarkEnd w:id="195"/>
                </w:p>
                <w:p w14:paraId="32217F3F" w14:textId="75578F2F" w:rsidR="004B4BFB" w:rsidRDefault="005C66F6" w:rsidP="00444037">
                  <w:pPr>
                    <w:pStyle w:val="Text"/>
                  </w:pPr>
                  <w:r>
                    <w:t>The evaluation team undertook a</w:t>
                  </w:r>
                  <w:r w:rsidR="00100818">
                    <w:t xml:space="preserve"> Literature Review </w:t>
                  </w:r>
                  <w:r w:rsidR="00B72661">
                    <w:t>to frame and inform data collection</w:t>
                  </w:r>
                  <w:r w:rsidR="00FF0254">
                    <w:t xml:space="preserve">, analysis, and </w:t>
                  </w:r>
                  <w:r w:rsidR="00724292">
                    <w:t>findings</w:t>
                  </w:r>
                  <w:r w:rsidR="00B72661">
                    <w:t xml:space="preserve">. </w:t>
                  </w:r>
                  <w:r w:rsidR="00724292">
                    <w:t>T</w:t>
                  </w:r>
                  <w:r w:rsidR="00A20FE4">
                    <w:t>he review was guided by a series of research question</w:t>
                  </w:r>
                  <w:r w:rsidR="003E3DAC">
                    <w:t>s</w:t>
                  </w:r>
                  <w:r w:rsidR="00724292">
                    <w:t xml:space="preserve"> informed by an initial high-level review of relevant documents, the Program Logics, and consultation with the Department</w:t>
                  </w:r>
                  <w:r w:rsidR="00F00197">
                    <w:t xml:space="preserve">. </w:t>
                  </w:r>
                </w:p>
                <w:p w14:paraId="6B91D89B" w14:textId="642D2352" w:rsidR="00444037" w:rsidRPr="00B06307" w:rsidRDefault="00722F86" w:rsidP="00444037">
                  <w:pPr>
                    <w:pStyle w:val="Text"/>
                    <w:rPr>
                      <w:lang w:val="en-US"/>
                    </w:rPr>
                  </w:pPr>
                  <w:r w:rsidRPr="00722F86">
                    <w:rPr>
                      <w:lang w:val="en-US"/>
                    </w:rPr>
                    <w:t>The evaluation</w:t>
                  </w:r>
                  <w:r w:rsidR="002B6396">
                    <w:rPr>
                      <w:lang w:val="en-US"/>
                    </w:rPr>
                    <w:t xml:space="preserve"> team</w:t>
                  </w:r>
                  <w:r w:rsidRPr="00722F86">
                    <w:rPr>
                      <w:lang w:val="en-US"/>
                    </w:rPr>
                    <w:t xml:space="preserve"> conducted a structured search of published grey and academic literature to </w:t>
                  </w:r>
                  <w:r w:rsidR="00506C2C">
                    <w:rPr>
                      <w:lang w:val="en-US"/>
                    </w:rPr>
                    <w:t>build an understanding of best practice in family and relationship services and family violence services</w:t>
                  </w:r>
                  <w:r w:rsidRPr="00722F86">
                    <w:rPr>
                      <w:lang w:val="en-US"/>
                    </w:rPr>
                    <w:t xml:space="preserve">. </w:t>
                  </w:r>
                  <w:r w:rsidR="00170D09">
                    <w:rPr>
                      <w:lang w:val="en-US"/>
                    </w:rPr>
                    <w:t>A review was also conducted of</w:t>
                  </w:r>
                  <w:r w:rsidRPr="00722F86">
                    <w:rPr>
                      <w:lang w:val="en-US"/>
                    </w:rPr>
                    <w:t xml:space="preserve"> existing program evaluations and national strategies including documents related to FaRS and SFVS provided by the Department. The team developed and applied inclusion and exclusion criteria to identify relevant and credible sources. </w:t>
                  </w:r>
                  <w:r w:rsidR="00CE2E60">
                    <w:rPr>
                      <w:lang w:val="en-US"/>
                    </w:rPr>
                    <w:t xml:space="preserve">Initially, </w:t>
                  </w:r>
                  <w:r w:rsidR="00550BE5">
                    <w:rPr>
                      <w:lang w:val="en-US"/>
                    </w:rPr>
                    <w:t xml:space="preserve">182 </w:t>
                  </w:r>
                  <w:r w:rsidRPr="00722F86">
                    <w:rPr>
                      <w:lang w:val="en-US"/>
                    </w:rPr>
                    <w:t xml:space="preserve">documents </w:t>
                  </w:r>
                  <w:r w:rsidR="00170D09">
                    <w:rPr>
                      <w:lang w:val="en-US"/>
                    </w:rPr>
                    <w:t xml:space="preserve">were identified </w:t>
                  </w:r>
                  <w:r w:rsidRPr="00722F86">
                    <w:rPr>
                      <w:lang w:val="en-US"/>
                    </w:rPr>
                    <w:t xml:space="preserve">and, in collaboration with the Department, 124 </w:t>
                  </w:r>
                  <w:r w:rsidR="00170D09">
                    <w:rPr>
                      <w:lang w:val="en-US"/>
                    </w:rPr>
                    <w:t>documents were agreed as being in scope</w:t>
                  </w:r>
                  <w:r w:rsidRPr="00722F86">
                    <w:rPr>
                      <w:lang w:val="en-US"/>
                    </w:rPr>
                    <w:t xml:space="preserve">. </w:t>
                  </w:r>
                  <w:bookmarkStart w:id="196" w:name="_Ref201664750"/>
                </w:p>
                <w:p w14:paraId="7B8A8E3F" w14:textId="42F27C28" w:rsidR="00991F86" w:rsidRDefault="00991F86" w:rsidP="002E7436">
                  <w:pPr>
                    <w:pStyle w:val="Heading2"/>
                  </w:pPr>
                  <w:bookmarkStart w:id="197" w:name="_Toc204856730"/>
                  <w:bookmarkStart w:id="198" w:name="_Toc208906841"/>
                  <w:r>
                    <w:t>Stakeholder engagement</w:t>
                  </w:r>
                  <w:bookmarkEnd w:id="196"/>
                  <w:bookmarkEnd w:id="197"/>
                  <w:bookmarkEnd w:id="198"/>
                </w:p>
                <w:p w14:paraId="66880CA5" w14:textId="2E9B709F" w:rsidR="007669C2" w:rsidRDefault="00D0595B" w:rsidP="00D0595B">
                  <w:pPr>
                    <w:pStyle w:val="Text"/>
                  </w:pPr>
                  <w:r>
                    <w:t>The</w:t>
                  </w:r>
                  <w:r w:rsidR="00890074">
                    <w:t xml:space="preserve"> evaluation team </w:t>
                  </w:r>
                  <w:r w:rsidR="00344353">
                    <w:t xml:space="preserve">engaged with </w:t>
                  </w:r>
                  <w:r w:rsidR="00EA6908">
                    <w:t xml:space="preserve">people who have delivered and used FaRS and SFVS services. </w:t>
                  </w:r>
                  <w:r w:rsidR="002811C5">
                    <w:t xml:space="preserve">Insights from these engagements were used </w:t>
                  </w:r>
                  <w:r>
                    <w:t xml:space="preserve">to validate </w:t>
                  </w:r>
                  <w:r w:rsidR="00712573">
                    <w:t>and triangulate</w:t>
                  </w:r>
                  <w:r>
                    <w:t xml:space="preserve"> </w:t>
                  </w:r>
                  <w:r w:rsidR="009B77E7">
                    <w:t>findings from the Literature Review</w:t>
                  </w:r>
                  <w:r w:rsidR="0048279D">
                    <w:t xml:space="preserve"> </w:t>
                  </w:r>
                  <w:r w:rsidR="00890074">
                    <w:t xml:space="preserve">and </w:t>
                  </w:r>
                  <w:r w:rsidR="00E852B3">
                    <w:t xml:space="preserve">the </w:t>
                  </w:r>
                  <w:r w:rsidR="0048279D">
                    <w:t xml:space="preserve">analysis of secondary quantitative data, </w:t>
                  </w:r>
                  <w:r w:rsidR="002811C5">
                    <w:t xml:space="preserve">in order </w:t>
                  </w:r>
                  <w:r w:rsidR="0048279D">
                    <w:t xml:space="preserve">to provide rich insights into the KEQs. </w:t>
                  </w:r>
                </w:p>
                <w:p w14:paraId="49E1F094" w14:textId="1E486496" w:rsidR="00EE6ABA" w:rsidRDefault="00416077" w:rsidP="00D0595B">
                  <w:pPr>
                    <w:pStyle w:val="Text"/>
                  </w:pPr>
                  <w:r>
                    <w:lastRenderedPageBreak/>
                    <w:t>Focus groups were held with s</w:t>
                  </w:r>
                  <w:r w:rsidR="00EE6ABA">
                    <w:t>ervice provider</w:t>
                  </w:r>
                  <w:r>
                    <w:t>s</w:t>
                  </w:r>
                  <w:r w:rsidR="00EE6ABA">
                    <w:t xml:space="preserve"> to bu</w:t>
                  </w:r>
                  <w:r w:rsidR="00417CEC">
                    <w:t xml:space="preserve">ild an understanding of </w:t>
                  </w:r>
                  <w:r>
                    <w:t xml:space="preserve">their </w:t>
                  </w:r>
                  <w:r w:rsidR="00417CEC">
                    <w:t>experiences deliver</w:t>
                  </w:r>
                  <w:r w:rsidR="00E852B3">
                    <w:t>ing</w:t>
                  </w:r>
                  <w:r w:rsidR="00417CEC">
                    <w:t xml:space="preserve"> FaRS </w:t>
                  </w:r>
                  <w:r w:rsidR="002735BC">
                    <w:t xml:space="preserve">and </w:t>
                  </w:r>
                  <w:r w:rsidR="00417CEC">
                    <w:t xml:space="preserve">SFVS </w:t>
                  </w:r>
                  <w:r w:rsidR="00727B7C">
                    <w:t>programs</w:t>
                  </w:r>
                  <w:r>
                    <w:t>,</w:t>
                  </w:r>
                  <w:r w:rsidR="00417CEC">
                    <w:t xml:space="preserve"> </w:t>
                  </w:r>
                  <w:r w:rsidR="007669C2">
                    <w:t>including:</w:t>
                  </w:r>
                </w:p>
                <w:p w14:paraId="632CAC0A" w14:textId="35DE5968" w:rsidR="007669C2" w:rsidRDefault="00173F69" w:rsidP="007669C2">
                  <w:pPr>
                    <w:pStyle w:val="Bullet1"/>
                  </w:pPr>
                  <w:r>
                    <w:t>a</w:t>
                  </w:r>
                  <w:r w:rsidR="007669C2">
                    <w:t xml:space="preserve">daptions made to support program delivery </w:t>
                  </w:r>
                </w:p>
                <w:p w14:paraId="595F7367" w14:textId="2E18AB5F" w:rsidR="007669C2" w:rsidRDefault="007669C2" w:rsidP="007669C2">
                  <w:pPr>
                    <w:pStyle w:val="Bullet1"/>
                  </w:pPr>
                  <w:r>
                    <w:t>enablers and barriers of service delivery</w:t>
                  </w:r>
                </w:p>
                <w:p w14:paraId="5B01C756" w14:textId="592719AB" w:rsidR="007669C2" w:rsidRDefault="007669C2" w:rsidP="007669C2">
                  <w:pPr>
                    <w:pStyle w:val="Bullet1"/>
                  </w:pPr>
                  <w:r>
                    <w:t>collaboration and integration with other service providers</w:t>
                  </w:r>
                  <w:r w:rsidR="003E3DAC">
                    <w:t>, and</w:t>
                  </w:r>
                </w:p>
                <w:p w14:paraId="1E6C456B" w14:textId="407255A5" w:rsidR="007669C2" w:rsidRDefault="007669C2" w:rsidP="007669C2">
                  <w:pPr>
                    <w:pStyle w:val="Bullet1"/>
                  </w:pPr>
                  <w:r>
                    <w:t xml:space="preserve">whether programs are appropriately funded. </w:t>
                  </w:r>
                </w:p>
                <w:p w14:paraId="1B3A30D0" w14:textId="600C4563" w:rsidR="001A0B1F" w:rsidRPr="00D0595B" w:rsidRDefault="00344353" w:rsidP="00D0595B">
                  <w:pPr>
                    <w:pStyle w:val="Text"/>
                  </w:pPr>
                  <w:r>
                    <w:t>Surveys and i</w:t>
                  </w:r>
                  <w:r w:rsidR="00416077">
                    <w:t xml:space="preserve">nterviews </w:t>
                  </w:r>
                  <w:r>
                    <w:t xml:space="preserve">with service </w:t>
                  </w:r>
                  <w:r w:rsidR="00133DDF">
                    <w:t>user</w:t>
                  </w:r>
                  <w:r>
                    <w:t>s</w:t>
                  </w:r>
                  <w:r w:rsidR="00133DDF">
                    <w:t xml:space="preserve"> were used to build an understanding of p</w:t>
                  </w:r>
                  <w:r w:rsidR="00417CEC">
                    <w:t>articipants</w:t>
                  </w:r>
                  <w:r w:rsidR="0036561A">
                    <w:t>’</w:t>
                  </w:r>
                  <w:r w:rsidR="00417CEC">
                    <w:t xml:space="preserve"> </w:t>
                  </w:r>
                  <w:r w:rsidR="00133DDF">
                    <w:t>experience</w:t>
                  </w:r>
                  <w:r w:rsidR="00417CEC">
                    <w:t>s</w:t>
                  </w:r>
                  <w:r w:rsidR="00133DDF">
                    <w:t xml:space="preserve"> accessing </w:t>
                  </w:r>
                  <w:r w:rsidR="00417CEC">
                    <w:t xml:space="preserve">FaRS </w:t>
                  </w:r>
                  <w:r w:rsidR="002735BC">
                    <w:t xml:space="preserve">and </w:t>
                  </w:r>
                  <w:r w:rsidR="00417CEC">
                    <w:t>SFVS</w:t>
                  </w:r>
                  <w:r w:rsidR="00E055C8">
                    <w:rPr>
                      <w:rFonts w:ascii="ZWAdobeF" w:hAnsi="ZWAdobeF" w:cs="ZWAdobeF"/>
                      <w:sz w:val="2"/>
                      <w:szCs w:val="2"/>
                    </w:rPr>
                    <w:t>3F</w:t>
                  </w:r>
                  <w:r w:rsidR="009A21C0" w:rsidRPr="00292952">
                    <w:rPr>
                      <w:rStyle w:val="FootnoteReference"/>
                    </w:rPr>
                    <w:footnoteReference w:id="5"/>
                  </w:r>
                  <w:r w:rsidR="00417CEC">
                    <w:t xml:space="preserve"> </w:t>
                  </w:r>
                  <w:r w:rsidR="00727B7C">
                    <w:t>programs</w:t>
                  </w:r>
                  <w:r w:rsidR="00417CEC">
                    <w:t xml:space="preserve"> </w:t>
                  </w:r>
                  <w:r w:rsidR="00133DDF">
                    <w:t>including:</w:t>
                  </w:r>
                </w:p>
                <w:p w14:paraId="22BA2FA3" w14:textId="03732505" w:rsidR="00133DDF" w:rsidRDefault="00EE6ABA" w:rsidP="00133DDF">
                  <w:pPr>
                    <w:pStyle w:val="Bullet1"/>
                  </w:pPr>
                  <w:r>
                    <w:t>t</w:t>
                  </w:r>
                  <w:r w:rsidR="00133DDF">
                    <w:t xml:space="preserve">he impact accessing </w:t>
                  </w:r>
                  <w:r w:rsidR="00727B7C">
                    <w:t>services</w:t>
                  </w:r>
                  <w:r w:rsidR="00133DDF">
                    <w:t xml:space="preserve"> had on them and their family </w:t>
                  </w:r>
                </w:p>
                <w:p w14:paraId="6FF6B4A7" w14:textId="735FEB8F" w:rsidR="00133DDF" w:rsidRDefault="00EE6ABA" w:rsidP="00133DDF">
                  <w:pPr>
                    <w:pStyle w:val="Bullet1"/>
                  </w:pPr>
                  <w:r>
                    <w:t>w</w:t>
                  </w:r>
                  <w:r w:rsidR="00133DDF">
                    <w:t xml:space="preserve">hether the service they accessed was suited or adapted to their needs </w:t>
                  </w:r>
                </w:p>
                <w:p w14:paraId="38EFEF89" w14:textId="0FC13DAA" w:rsidR="00133DDF" w:rsidRPr="00D0595B" w:rsidRDefault="00EE6ABA" w:rsidP="00133DDF">
                  <w:pPr>
                    <w:pStyle w:val="Bullet1"/>
                  </w:pPr>
                  <w:r>
                    <w:t>h</w:t>
                  </w:r>
                  <w:r w:rsidR="00133DDF">
                    <w:t>ow program</w:t>
                  </w:r>
                  <w:r w:rsidR="00173F69">
                    <w:t>s</w:t>
                  </w:r>
                  <w:r w:rsidR="00133DDF">
                    <w:t xml:space="preserve"> could be improved to better support outcomes for people</w:t>
                  </w:r>
                  <w:r>
                    <w:t xml:space="preserve"> accessing the service</w:t>
                  </w:r>
                  <w:r w:rsidR="009D66CC">
                    <w:t xml:space="preserve">, and </w:t>
                  </w:r>
                </w:p>
                <w:p w14:paraId="75C557BB" w14:textId="03E1B90B" w:rsidR="00F95BE2" w:rsidRPr="0046586B" w:rsidRDefault="00173F69" w:rsidP="0046586B">
                  <w:pPr>
                    <w:pStyle w:val="Bullet1"/>
                  </w:pPr>
                  <w:r>
                    <w:t xml:space="preserve">whether programs offer value for money. </w:t>
                  </w:r>
                </w:p>
                <w:p w14:paraId="47FDDD8F" w14:textId="77777777" w:rsidR="006223B7" w:rsidRPr="006223B7" w:rsidRDefault="006223B7" w:rsidP="006223B7">
                  <w:pPr>
                    <w:pStyle w:val="ListParagraph"/>
                    <w:keepNext/>
                    <w:numPr>
                      <w:ilvl w:val="0"/>
                      <w:numId w:val="20"/>
                    </w:numPr>
                    <w:spacing w:before="360" w:after="120" w:line="274" w:lineRule="auto"/>
                    <w:contextualSpacing w:val="0"/>
                    <w:outlineLvl w:val="2"/>
                    <w:rPr>
                      <w:rFonts w:ascii="Arial" w:hAnsi="Arial"/>
                      <w:b/>
                      <w:vanish/>
                      <w:color w:val="007E00" w:themeColor="accent3"/>
                      <w:kern w:val="28"/>
                      <w:sz w:val="36"/>
                      <w:szCs w:val="32"/>
                      <w:lang w:val="en-US"/>
                    </w:rPr>
                  </w:pPr>
                  <w:bookmarkStart w:id="199" w:name="_Toc204606581"/>
                  <w:bookmarkStart w:id="200" w:name="_Toc204606585"/>
                  <w:bookmarkStart w:id="201" w:name="_Ref205303348"/>
                  <w:bookmarkStart w:id="202" w:name="_Ref208502953"/>
                  <w:bookmarkEnd w:id="199"/>
                  <w:bookmarkEnd w:id="200"/>
                </w:p>
                <w:p w14:paraId="6114D907" w14:textId="77777777" w:rsidR="006223B7" w:rsidRPr="006223B7" w:rsidRDefault="006223B7" w:rsidP="006223B7">
                  <w:pPr>
                    <w:pStyle w:val="ListParagraph"/>
                    <w:keepNext/>
                    <w:numPr>
                      <w:ilvl w:val="0"/>
                      <w:numId w:val="20"/>
                    </w:numPr>
                    <w:spacing w:before="360" w:after="120" w:line="274" w:lineRule="auto"/>
                    <w:contextualSpacing w:val="0"/>
                    <w:outlineLvl w:val="2"/>
                    <w:rPr>
                      <w:rFonts w:ascii="Arial" w:hAnsi="Arial"/>
                      <w:b/>
                      <w:vanish/>
                      <w:color w:val="007E00" w:themeColor="accent3"/>
                      <w:kern w:val="28"/>
                      <w:sz w:val="36"/>
                      <w:szCs w:val="32"/>
                      <w:lang w:val="en-US"/>
                    </w:rPr>
                  </w:pPr>
                </w:p>
                <w:p w14:paraId="092C333C" w14:textId="77777777" w:rsidR="006223B7" w:rsidRPr="006223B7" w:rsidRDefault="006223B7" w:rsidP="006223B7">
                  <w:pPr>
                    <w:pStyle w:val="ListParagraph"/>
                    <w:keepNext/>
                    <w:numPr>
                      <w:ilvl w:val="0"/>
                      <w:numId w:val="20"/>
                    </w:numPr>
                    <w:spacing w:before="360" w:after="120" w:line="274" w:lineRule="auto"/>
                    <w:contextualSpacing w:val="0"/>
                    <w:outlineLvl w:val="2"/>
                    <w:rPr>
                      <w:rFonts w:ascii="Arial" w:hAnsi="Arial"/>
                      <w:b/>
                      <w:vanish/>
                      <w:color w:val="007E00" w:themeColor="accent3"/>
                      <w:kern w:val="28"/>
                      <w:sz w:val="36"/>
                      <w:szCs w:val="32"/>
                      <w:lang w:val="en-US"/>
                    </w:rPr>
                  </w:pPr>
                </w:p>
                <w:p w14:paraId="0E4313F7" w14:textId="77777777" w:rsidR="006223B7" w:rsidRPr="006223B7" w:rsidRDefault="006223B7" w:rsidP="006223B7">
                  <w:pPr>
                    <w:pStyle w:val="ListParagraph"/>
                    <w:keepNext/>
                    <w:numPr>
                      <w:ilvl w:val="1"/>
                      <w:numId w:val="20"/>
                    </w:numPr>
                    <w:spacing w:before="360" w:after="120" w:line="274" w:lineRule="auto"/>
                    <w:contextualSpacing w:val="0"/>
                    <w:outlineLvl w:val="2"/>
                    <w:rPr>
                      <w:rFonts w:ascii="Arial" w:hAnsi="Arial"/>
                      <w:b/>
                      <w:vanish/>
                      <w:color w:val="007E00" w:themeColor="accent3"/>
                      <w:kern w:val="28"/>
                      <w:sz w:val="36"/>
                      <w:szCs w:val="32"/>
                      <w:lang w:val="en-US"/>
                    </w:rPr>
                  </w:pPr>
                </w:p>
                <w:p w14:paraId="428922B8" w14:textId="77777777" w:rsidR="006223B7" w:rsidRPr="006223B7" w:rsidRDefault="006223B7" w:rsidP="006223B7">
                  <w:pPr>
                    <w:pStyle w:val="ListParagraph"/>
                    <w:keepNext/>
                    <w:numPr>
                      <w:ilvl w:val="1"/>
                      <w:numId w:val="20"/>
                    </w:numPr>
                    <w:spacing w:before="360" w:after="120" w:line="274" w:lineRule="auto"/>
                    <w:contextualSpacing w:val="0"/>
                    <w:outlineLvl w:val="2"/>
                    <w:rPr>
                      <w:rFonts w:ascii="Arial" w:hAnsi="Arial"/>
                      <w:b/>
                      <w:vanish/>
                      <w:color w:val="007E00" w:themeColor="accent3"/>
                      <w:kern w:val="28"/>
                      <w:sz w:val="36"/>
                      <w:szCs w:val="32"/>
                      <w:lang w:val="en-US"/>
                    </w:rPr>
                  </w:pPr>
                </w:p>
                <w:p w14:paraId="51ACC45E" w14:textId="77777777" w:rsidR="006223B7" w:rsidRPr="006223B7" w:rsidRDefault="006223B7" w:rsidP="006223B7">
                  <w:pPr>
                    <w:pStyle w:val="ListParagraph"/>
                    <w:keepNext/>
                    <w:numPr>
                      <w:ilvl w:val="1"/>
                      <w:numId w:val="20"/>
                    </w:numPr>
                    <w:spacing w:before="360" w:after="120" w:line="274" w:lineRule="auto"/>
                    <w:contextualSpacing w:val="0"/>
                    <w:outlineLvl w:val="2"/>
                    <w:rPr>
                      <w:rFonts w:ascii="Arial" w:hAnsi="Arial"/>
                      <w:b/>
                      <w:vanish/>
                      <w:color w:val="007E00" w:themeColor="accent3"/>
                      <w:kern w:val="28"/>
                      <w:sz w:val="36"/>
                      <w:szCs w:val="32"/>
                      <w:lang w:val="en-US"/>
                    </w:rPr>
                  </w:pPr>
                </w:p>
                <w:p w14:paraId="5E1CE394" w14:textId="77777777" w:rsidR="006223B7" w:rsidRPr="006223B7" w:rsidRDefault="006223B7" w:rsidP="006223B7">
                  <w:pPr>
                    <w:pStyle w:val="ListParagraph"/>
                    <w:keepNext/>
                    <w:numPr>
                      <w:ilvl w:val="1"/>
                      <w:numId w:val="20"/>
                    </w:numPr>
                    <w:spacing w:before="360" w:after="120" w:line="274" w:lineRule="auto"/>
                    <w:contextualSpacing w:val="0"/>
                    <w:outlineLvl w:val="2"/>
                    <w:rPr>
                      <w:rFonts w:ascii="Arial" w:hAnsi="Arial"/>
                      <w:b/>
                      <w:vanish/>
                      <w:color w:val="007E00" w:themeColor="accent3"/>
                      <w:kern w:val="28"/>
                      <w:sz w:val="36"/>
                      <w:szCs w:val="32"/>
                      <w:lang w:val="en-US"/>
                    </w:rPr>
                  </w:pPr>
                </w:p>
                <w:p w14:paraId="423AAECE" w14:textId="77777777" w:rsidR="006223B7" w:rsidRPr="006223B7" w:rsidRDefault="006223B7" w:rsidP="006223B7">
                  <w:pPr>
                    <w:pStyle w:val="ListParagraph"/>
                    <w:keepNext/>
                    <w:numPr>
                      <w:ilvl w:val="1"/>
                      <w:numId w:val="20"/>
                    </w:numPr>
                    <w:spacing w:before="360" w:after="120" w:line="274" w:lineRule="auto"/>
                    <w:contextualSpacing w:val="0"/>
                    <w:outlineLvl w:val="2"/>
                    <w:rPr>
                      <w:rFonts w:ascii="Arial" w:hAnsi="Arial"/>
                      <w:b/>
                      <w:vanish/>
                      <w:color w:val="007E00" w:themeColor="accent3"/>
                      <w:kern w:val="28"/>
                      <w:sz w:val="36"/>
                      <w:szCs w:val="32"/>
                      <w:lang w:val="en-US"/>
                    </w:rPr>
                  </w:pPr>
                </w:p>
                <w:p w14:paraId="7DC840B0" w14:textId="155392FD" w:rsidR="00A03D36" w:rsidRDefault="00B854D2" w:rsidP="006223B7">
                  <w:pPr>
                    <w:pStyle w:val="Heading3"/>
                  </w:pPr>
                  <w:bookmarkStart w:id="203" w:name="_Ref209015615"/>
                  <w:r>
                    <w:t>Sampling approach</w:t>
                  </w:r>
                  <w:bookmarkEnd w:id="201"/>
                  <w:bookmarkEnd w:id="202"/>
                  <w:bookmarkEnd w:id="203"/>
                  <w:r>
                    <w:t xml:space="preserve"> </w:t>
                  </w:r>
                </w:p>
                <w:p w14:paraId="06683F6D" w14:textId="1D89FBD2" w:rsidR="0000647D" w:rsidRDefault="0000647D" w:rsidP="0000647D">
                  <w:pPr>
                    <w:pStyle w:val="Text"/>
                  </w:pPr>
                  <w:r>
                    <w:t xml:space="preserve">The evaluation </w:t>
                  </w:r>
                  <w:r w:rsidR="006D318F">
                    <w:t xml:space="preserve">team </w:t>
                  </w:r>
                  <w:r w:rsidR="00663F59">
                    <w:t>applied sampling criteria</w:t>
                  </w:r>
                  <w:r w:rsidR="00A03D36">
                    <w:t xml:space="preserve"> </w:t>
                  </w:r>
                  <w:r>
                    <w:t xml:space="preserve">to </w:t>
                  </w:r>
                  <w:r w:rsidR="009A41AD">
                    <w:t>build</w:t>
                  </w:r>
                  <w:r>
                    <w:t xml:space="preserve"> a sample of service providers and </w:t>
                  </w:r>
                  <w:r w:rsidR="009D66CC">
                    <w:t>a</w:t>
                  </w:r>
                  <w:r>
                    <w:t xml:space="preserve"> </w:t>
                  </w:r>
                  <w:r w:rsidR="00821170">
                    <w:t>purpos</w:t>
                  </w:r>
                  <w:r w:rsidR="00947DDF">
                    <w:t>ive</w:t>
                  </w:r>
                  <w:r w:rsidR="0061397D">
                    <w:t xml:space="preserve"> </w:t>
                  </w:r>
                  <w:r w:rsidR="00821170">
                    <w:t xml:space="preserve">sample of service </w:t>
                  </w:r>
                  <w:r>
                    <w:t xml:space="preserve">users from across Australia. </w:t>
                  </w:r>
                  <w:r w:rsidR="00663F59">
                    <w:t>S</w:t>
                  </w:r>
                  <w:r>
                    <w:t xml:space="preserve">ampling </w:t>
                  </w:r>
                  <w:r w:rsidR="00EB7883">
                    <w:t>criteria</w:t>
                  </w:r>
                  <w:r>
                    <w:t xml:space="preserve"> </w:t>
                  </w:r>
                  <w:r w:rsidR="00681A88">
                    <w:t xml:space="preserve">sought to include </w:t>
                  </w:r>
                  <w:r w:rsidR="00A03D36">
                    <w:t>stakeholders from</w:t>
                  </w:r>
                  <w:r>
                    <w:t>:</w:t>
                  </w:r>
                </w:p>
                <w:p w14:paraId="6855EE05" w14:textId="41DCB660" w:rsidR="0000647D" w:rsidRDefault="0000647D" w:rsidP="0000647D">
                  <w:pPr>
                    <w:pStyle w:val="Bullet1"/>
                  </w:pPr>
                  <w:r>
                    <w:t xml:space="preserve">a cross-section of states and territories </w:t>
                  </w:r>
                </w:p>
                <w:p w14:paraId="43992336" w14:textId="6032B42F" w:rsidR="0000647D" w:rsidRPr="00ED1876" w:rsidRDefault="0000647D" w:rsidP="0000647D">
                  <w:pPr>
                    <w:pStyle w:val="Bullet1"/>
                  </w:pPr>
                  <w:r>
                    <w:rPr>
                      <w:lang w:val="en-GB"/>
                    </w:rPr>
                    <w:t xml:space="preserve">Socio-Economic Index </w:t>
                  </w:r>
                  <w:r w:rsidR="008F6596">
                    <w:rPr>
                      <w:lang w:val="en-GB"/>
                    </w:rPr>
                    <w:t>f</w:t>
                  </w:r>
                  <w:r>
                    <w:rPr>
                      <w:lang w:val="en-GB"/>
                    </w:rPr>
                    <w:t>or Areas (SEIFA) rankings</w:t>
                  </w:r>
                </w:p>
                <w:p w14:paraId="64E8AFF2" w14:textId="6F258C9A" w:rsidR="0000647D" w:rsidRDefault="0000647D" w:rsidP="0000647D">
                  <w:pPr>
                    <w:pStyle w:val="Bullet1"/>
                  </w:pPr>
                  <w:r>
                    <w:t xml:space="preserve">a selection of rural, regional and metropolitan sites </w:t>
                  </w:r>
                </w:p>
                <w:p w14:paraId="4DB2D53E" w14:textId="0E8FE19D" w:rsidR="0000647D" w:rsidRDefault="0000647D" w:rsidP="0000647D">
                  <w:pPr>
                    <w:pStyle w:val="Bullet1"/>
                  </w:pPr>
                  <w:r>
                    <w:t xml:space="preserve">a selection of specialist sites (including for example faith-based and culturally and linguistically diverse sites) </w:t>
                  </w:r>
                </w:p>
                <w:p w14:paraId="60AB8ECD" w14:textId="76B5D228" w:rsidR="0000647D" w:rsidRDefault="0000647D" w:rsidP="0000647D">
                  <w:pPr>
                    <w:pStyle w:val="Bullet1"/>
                  </w:pPr>
                  <w:r>
                    <w:t>a selection of sites that vary</w:t>
                  </w:r>
                  <w:r w:rsidR="00DD6A42">
                    <w:t xml:space="preserve"> in</w:t>
                  </w:r>
                  <w:r>
                    <w:t xml:space="preserve"> </w:t>
                  </w:r>
                  <w:r w:rsidR="00DD6A42">
                    <w:t>service user</w:t>
                  </w:r>
                  <w:r w:rsidR="00835208">
                    <w:t xml:space="preserve"> volume</w:t>
                  </w:r>
                  <w:r w:rsidR="00DD6A42">
                    <w:t xml:space="preserve"> as</w:t>
                  </w:r>
                  <w:r>
                    <w:t xml:space="preserve"> recorded in DEX data, and </w:t>
                  </w:r>
                </w:p>
                <w:p w14:paraId="3092422A" w14:textId="39C74177" w:rsidR="0000647D" w:rsidRDefault="00310ECD" w:rsidP="0000647D">
                  <w:pPr>
                    <w:pStyle w:val="Bullet1"/>
                  </w:pPr>
                  <w:r>
                    <w:t>sites</w:t>
                  </w:r>
                  <w:r w:rsidR="0000647D">
                    <w:t xml:space="preserve"> that provide a cross-section of services (including for example: advocacy/support, information/advice/referral, counselling, education and skills, training).</w:t>
                  </w:r>
                </w:p>
                <w:p w14:paraId="76010A1D" w14:textId="342FBAF0" w:rsidR="0000647D" w:rsidRDefault="0000647D" w:rsidP="0000647D">
                  <w:pPr>
                    <w:pStyle w:val="Bullet1"/>
                    <w:numPr>
                      <w:ilvl w:val="0"/>
                      <w:numId w:val="0"/>
                    </w:numPr>
                  </w:pPr>
                  <w:r>
                    <w:t>The sampling approach necessitated engagement with service users from several priority cohorts identified in the FaRS and SFV</w:t>
                  </w:r>
                  <w:r w:rsidR="00BF6C73">
                    <w:t xml:space="preserve">S guidance material </w:t>
                  </w:r>
                  <w:r w:rsidR="00BF6C73">
                    <w:fldChar w:fldCharType="begin"/>
                  </w:r>
                  <w:r w:rsidR="00E41D03">
                    <w:instrText xml:space="preserve"> ADDIN ZOTERO_ITEM CSL_CITATION {"citationID":"rbWZkFYe","properties":{"formattedCitation":"(Department of Social Services, 2021a, 2021b)","plainCitation":"(Department of Social Services, 2021a, 2021b)","noteIndex":0},"citationItems":[{"id":4671,"uris":["http://zotero.org/groups/5691188/items/8PWCMD8P"],"itemData":{"id":4671,"type":"document","title":"Family and Relationship Services Operational Guidelines","author":[{"family":"Department of Social Services","given":""}],"issued":{"date-parts":[["2021",7,1]]}}},{"id":4672,"uris":["http://zotero.org/groups/5691188/items/XE5X4C4F"],"itemData":{"id":4672,"type":"document","title":"Family and Relationship Services -  Specialised Family Violence Services Operational Guidelines","author":[{"family":"Department of Social Services","given":""}],"issued":{"date-parts":[["2021",7,1]]}}}],"schema":"https://github.com/citation-style-language/schema/raw/master/csl-citation.json"} </w:instrText>
                  </w:r>
                  <w:r w:rsidR="00BF6C73">
                    <w:fldChar w:fldCharType="separate"/>
                  </w:r>
                  <w:r w:rsidR="00BF6C73" w:rsidRPr="00BF6C73">
                    <w:rPr>
                      <w:rFonts w:ascii="Arial" w:hAnsi="Arial" w:cs="Arial"/>
                    </w:rPr>
                    <w:t>(Department of Social Services, 2021a, 2021b)</w:t>
                  </w:r>
                  <w:r w:rsidR="00BF6C73">
                    <w:fldChar w:fldCharType="end"/>
                  </w:r>
                  <w:r w:rsidR="00BF6C73">
                    <w:t>. This was done to</w:t>
                  </w:r>
                  <w:r>
                    <w:t xml:space="preserve"> determine whether services were appropriately adapted</w:t>
                  </w:r>
                  <w:r w:rsidR="00BF6C73">
                    <w:t xml:space="preserve"> to diverse needs</w:t>
                  </w:r>
                  <w:r w:rsidR="009D66CC">
                    <w:t>,</w:t>
                  </w:r>
                  <w:r>
                    <w:t xml:space="preserve"> and what changes </w:t>
                  </w:r>
                  <w:r w:rsidR="00BF6C73">
                    <w:t>were advised</w:t>
                  </w:r>
                  <w:r>
                    <w:t xml:space="preserve"> to improve accessibility. Priority cohorts</w:t>
                  </w:r>
                  <w:r w:rsidR="00873046">
                    <w:t xml:space="preserve"> for this evaluation</w:t>
                  </w:r>
                  <w:r>
                    <w:t xml:space="preserve"> </w:t>
                  </w:r>
                  <w:r w:rsidR="006976B9">
                    <w:t>were</w:t>
                  </w:r>
                  <w:r>
                    <w:t xml:space="preserve">: </w:t>
                  </w:r>
                </w:p>
                <w:p w14:paraId="20EDF7F8" w14:textId="1A68845D" w:rsidR="0000647D" w:rsidRDefault="0000647D" w:rsidP="0000647D">
                  <w:pPr>
                    <w:pStyle w:val="Bullet1"/>
                  </w:pPr>
                  <w:r>
                    <w:t>Aboriginal and Torres Strait Islander people</w:t>
                  </w:r>
                  <w:r w:rsidR="009D66CC">
                    <w:t>,</w:t>
                  </w:r>
                </w:p>
                <w:p w14:paraId="644E9B44" w14:textId="4758427A" w:rsidR="0000647D" w:rsidRDefault="0000647D" w:rsidP="0000647D">
                  <w:pPr>
                    <w:pStyle w:val="Bullet1"/>
                  </w:pPr>
                  <w:r>
                    <w:t>people with disability</w:t>
                  </w:r>
                  <w:r w:rsidR="009D66CC">
                    <w:t>,</w:t>
                  </w:r>
                </w:p>
                <w:p w14:paraId="36A7660E" w14:textId="06252A56" w:rsidR="0000647D" w:rsidRDefault="0000647D" w:rsidP="0000647D">
                  <w:pPr>
                    <w:pStyle w:val="Bullet1"/>
                  </w:pPr>
                  <w:r>
                    <w:lastRenderedPageBreak/>
                    <w:t>people from CALD backgrounds</w:t>
                  </w:r>
                  <w:r w:rsidR="009D66CC">
                    <w:t>, and</w:t>
                  </w:r>
                </w:p>
                <w:p w14:paraId="1C7829D7" w14:textId="162C4447" w:rsidR="0000647D" w:rsidRDefault="0000647D" w:rsidP="00877AFF">
                  <w:pPr>
                    <w:pStyle w:val="Bullet1"/>
                  </w:pPr>
                  <w:r>
                    <w:t xml:space="preserve">people who </w:t>
                  </w:r>
                  <w:r w:rsidR="00A03D36">
                    <w:t xml:space="preserve">identify as </w:t>
                  </w:r>
                  <w:r>
                    <w:t>LGB</w:t>
                  </w:r>
                  <w:r w:rsidR="00A03D36">
                    <w:t>TIQ</w:t>
                  </w:r>
                  <w:r>
                    <w:t>A+.</w:t>
                  </w:r>
                </w:p>
                <w:p w14:paraId="2F4FCC5F" w14:textId="288278FD" w:rsidR="00BA20CC" w:rsidRDefault="00877AFF" w:rsidP="00877AFF">
                  <w:pPr>
                    <w:pStyle w:val="Text"/>
                  </w:pPr>
                  <w:r>
                    <w:t>A detailed explanation of the sampling approach</w:t>
                  </w:r>
                  <w:r w:rsidR="008C4F2F">
                    <w:t xml:space="preserve">, including inclusion criteria for </w:t>
                  </w:r>
                  <w:r w:rsidR="009E2521">
                    <w:t>service users,</w:t>
                  </w:r>
                  <w:r>
                    <w:t xml:space="preserve"> can be found in </w:t>
                  </w:r>
                  <w:hyperlink w:anchor="Appendix_C" w:history="1">
                    <w:r w:rsidRPr="00321BC5">
                      <w:rPr>
                        <w:rStyle w:val="Hyperlink"/>
                        <w:rFonts w:asciiTheme="minorHAnsi" w:hAnsiTheme="minorHAnsi"/>
                        <w:b/>
                        <w:color w:val="007E00" w:themeColor="accent3"/>
                      </w:rPr>
                      <w:t xml:space="preserve">Appendix </w:t>
                    </w:r>
                    <w:r w:rsidR="00945DC6" w:rsidRPr="00321BC5">
                      <w:rPr>
                        <w:rStyle w:val="Hyperlink"/>
                        <w:rFonts w:asciiTheme="minorHAnsi" w:hAnsiTheme="minorHAnsi"/>
                        <w:b/>
                        <w:color w:val="007E00" w:themeColor="accent3"/>
                      </w:rPr>
                      <w:t>C</w:t>
                    </w:r>
                  </w:hyperlink>
                  <w:r>
                    <w:t>.</w:t>
                  </w:r>
                  <w:r w:rsidR="00BA20CC">
                    <w:t xml:space="preserve"> </w:t>
                  </w:r>
                </w:p>
                <w:p w14:paraId="2D5A68FB" w14:textId="18AAFD58" w:rsidR="00877AFF" w:rsidRDefault="00877AFF" w:rsidP="008D0528">
                  <w:pPr>
                    <w:pStyle w:val="Heading3"/>
                  </w:pPr>
                  <w:bookmarkStart w:id="204" w:name="_Ref204869338"/>
                  <w:r>
                    <w:t>Recruitment approach</w:t>
                  </w:r>
                  <w:bookmarkEnd w:id="204"/>
                  <w:r>
                    <w:t xml:space="preserve"> </w:t>
                  </w:r>
                </w:p>
                <w:p w14:paraId="2425548D" w14:textId="384C4510" w:rsidR="004C663D" w:rsidRDefault="005C66F6" w:rsidP="001A027C">
                  <w:pPr>
                    <w:pStyle w:val="Text"/>
                  </w:pPr>
                  <w:r>
                    <w:t xml:space="preserve">The evaluation team recruited both </w:t>
                  </w:r>
                  <w:r w:rsidR="00523DA0">
                    <w:t xml:space="preserve">service provider staff and service users </w:t>
                  </w:r>
                  <w:r>
                    <w:t>to</w:t>
                  </w:r>
                  <w:r w:rsidR="00523DA0">
                    <w:t xml:space="preserve"> the evaluation through service providers. All</w:t>
                  </w:r>
                  <w:r w:rsidR="006976B9">
                    <w:t xml:space="preserve"> FaRS and SFVS</w:t>
                  </w:r>
                  <w:r w:rsidR="00523DA0">
                    <w:t xml:space="preserve"> service providers were invited to express interest in participating in a focus group</w:t>
                  </w:r>
                  <w:r w:rsidR="007A24EA">
                    <w:t xml:space="preserve"> and to support service user recruitment. </w:t>
                  </w:r>
                  <w:r w:rsidR="004C663D">
                    <w:t xml:space="preserve">This approach was </w:t>
                  </w:r>
                  <w:r w:rsidR="00316987">
                    <w:t xml:space="preserve">chosen </w:t>
                  </w:r>
                  <w:r w:rsidR="00512C37">
                    <w:t xml:space="preserve">to maximise safety, risk assessment and management, and minimise participant distress. </w:t>
                  </w:r>
                  <w:r w:rsidR="001A027C">
                    <w:t xml:space="preserve">Further tailored approaches were used to </w:t>
                  </w:r>
                  <w:r w:rsidR="00D333F8">
                    <w:t xml:space="preserve">support recruitment of </w:t>
                  </w:r>
                  <w:r w:rsidR="00DC73A1">
                    <w:t xml:space="preserve">people who use violence </w:t>
                  </w:r>
                  <w:r w:rsidR="001A027C">
                    <w:t>accessing MBCPs and young service users (under the age of 18) accessing CSCs</w:t>
                  </w:r>
                  <w:r w:rsidR="005F2155">
                    <w:t>,</w:t>
                  </w:r>
                  <w:r w:rsidR="001A027C">
                    <w:t xml:space="preserve"> given the increased risks associated with engagement with these cohorts. </w:t>
                  </w:r>
                  <w:r w:rsidR="005310CE">
                    <w:t xml:space="preserve">This approach is commonly used in recruiting service users in the family violence sector. </w:t>
                  </w:r>
                </w:p>
                <w:p w14:paraId="488C7958" w14:textId="32E8AD70" w:rsidR="00E51803" w:rsidRDefault="00FE77E1" w:rsidP="00E51803">
                  <w:pPr>
                    <w:pStyle w:val="Bullet1"/>
                    <w:numPr>
                      <w:ilvl w:val="0"/>
                      <w:numId w:val="0"/>
                    </w:numPr>
                  </w:pPr>
                  <w:r>
                    <w:t xml:space="preserve">The </w:t>
                  </w:r>
                  <w:r w:rsidR="00F616D2">
                    <w:t xml:space="preserve">approach </w:t>
                  </w:r>
                  <w:r w:rsidR="00E1607F">
                    <w:t xml:space="preserve">to recruitment </w:t>
                  </w:r>
                  <w:r w:rsidR="00F616D2">
                    <w:t>emphasised participant autonomy and safety</w:t>
                  </w:r>
                  <w:r>
                    <w:t xml:space="preserve">. </w:t>
                  </w:r>
                  <w:r w:rsidR="009A7725">
                    <w:t xml:space="preserve">The evaluation team provided tailored </w:t>
                  </w:r>
                  <w:r w:rsidR="0028462F">
                    <w:t xml:space="preserve">materials </w:t>
                  </w:r>
                  <w:r w:rsidR="009A7725">
                    <w:t>to service providers to support service user recruitment including adapted recruitment guides and recruitment email templates.</w:t>
                  </w:r>
                  <w:r>
                    <w:t xml:space="preserve"> </w:t>
                  </w:r>
                  <w:r w:rsidR="001D2BC2">
                    <w:t xml:space="preserve">Recruitment was guided by sampling criteria outlined in </w:t>
                  </w:r>
                  <w:r w:rsidR="00B839AF" w:rsidRPr="00B839AF">
                    <w:rPr>
                      <w:b/>
                      <w:bCs/>
                    </w:rPr>
                    <w:t xml:space="preserve">Section </w:t>
                  </w:r>
                  <w:r w:rsidR="00B839AF" w:rsidRPr="00B839AF">
                    <w:rPr>
                      <w:b/>
                      <w:bCs/>
                    </w:rPr>
                    <w:fldChar w:fldCharType="begin" w:fldLock="1"/>
                  </w:r>
                  <w:r w:rsidR="00B839AF" w:rsidRPr="00B839AF">
                    <w:rPr>
                      <w:b/>
                      <w:bCs/>
                    </w:rPr>
                    <w:instrText xml:space="preserve"> REF _Ref209015615 \n \h </w:instrText>
                  </w:r>
                  <w:r w:rsidR="00B839AF">
                    <w:rPr>
                      <w:b/>
                      <w:bCs/>
                    </w:rPr>
                    <w:instrText xml:space="preserve"> \* MERGEFORMAT </w:instrText>
                  </w:r>
                  <w:r w:rsidR="00B839AF" w:rsidRPr="00B839AF">
                    <w:rPr>
                      <w:b/>
                      <w:bCs/>
                    </w:rPr>
                  </w:r>
                  <w:r w:rsidR="00B839AF" w:rsidRPr="00B839AF">
                    <w:rPr>
                      <w:b/>
                      <w:bCs/>
                    </w:rPr>
                    <w:fldChar w:fldCharType="separate"/>
                  </w:r>
                  <w:r w:rsidR="00B839AF" w:rsidRPr="00B839AF">
                    <w:rPr>
                      <w:b/>
                      <w:bCs/>
                    </w:rPr>
                    <w:t>3.5.1</w:t>
                  </w:r>
                  <w:r w:rsidR="00B839AF" w:rsidRPr="00B839AF">
                    <w:rPr>
                      <w:b/>
                      <w:bCs/>
                    </w:rPr>
                    <w:fldChar w:fldCharType="end"/>
                  </w:r>
                  <w:r w:rsidR="00B839AF">
                    <w:rPr>
                      <w:b/>
                    </w:rPr>
                    <w:t xml:space="preserve"> </w:t>
                  </w:r>
                  <w:r w:rsidR="008C4F2F">
                    <w:t xml:space="preserve">and further detailed </w:t>
                  </w:r>
                  <w:hyperlink w:anchor="Appendix_C" w:history="1">
                    <w:r w:rsidR="00704711" w:rsidRPr="00321BC5">
                      <w:rPr>
                        <w:rStyle w:val="Hyperlink"/>
                        <w:rFonts w:asciiTheme="minorHAnsi" w:hAnsiTheme="minorHAnsi"/>
                        <w:b/>
                        <w:color w:val="007E00" w:themeColor="accent3"/>
                      </w:rPr>
                      <w:t xml:space="preserve">Appendix </w:t>
                    </w:r>
                    <w:r w:rsidR="00945DC6" w:rsidRPr="00321BC5">
                      <w:rPr>
                        <w:rStyle w:val="Hyperlink"/>
                        <w:rFonts w:asciiTheme="minorHAnsi" w:hAnsiTheme="minorHAnsi"/>
                        <w:b/>
                        <w:color w:val="007E00" w:themeColor="accent3"/>
                      </w:rPr>
                      <w:t>C</w:t>
                    </w:r>
                  </w:hyperlink>
                  <w:r w:rsidR="001D2BC2" w:rsidRPr="005543D8">
                    <w:t>.</w:t>
                  </w:r>
                  <w:r w:rsidR="001D2BC2">
                    <w:t xml:space="preserve"> </w:t>
                  </w:r>
                </w:p>
                <w:p w14:paraId="3EE55BB5" w14:textId="5A12ECB5" w:rsidR="00E51803" w:rsidRDefault="00C11B7D" w:rsidP="00E51803">
                  <w:pPr>
                    <w:pStyle w:val="Bullet1"/>
                    <w:numPr>
                      <w:ilvl w:val="0"/>
                      <w:numId w:val="0"/>
                    </w:numPr>
                  </w:pPr>
                  <w:r>
                    <w:t>F</w:t>
                  </w:r>
                  <w:r w:rsidR="00E51803">
                    <w:t xml:space="preserve">ocus groups </w:t>
                  </w:r>
                  <w:r>
                    <w:t xml:space="preserve">with service providers </w:t>
                  </w:r>
                  <w:r w:rsidR="00E51803">
                    <w:t>were all held online, except for focus groups with</w:t>
                  </w:r>
                  <w:r w:rsidR="001B7359">
                    <w:t xml:space="preserve"> most</w:t>
                  </w:r>
                  <w:r w:rsidR="00E51803">
                    <w:t xml:space="preserve"> ACCO service providers which were held face-to-face. Service users were given the option of a virtual (phone or MS teams) or face-to-face interview (contingent on </w:t>
                  </w:r>
                  <w:r w:rsidR="003E0702">
                    <w:t xml:space="preserve">the </w:t>
                  </w:r>
                  <w:r w:rsidR="00E51803">
                    <w:t>evaluation team conducting a site visit at their service).</w:t>
                  </w:r>
                  <w:r w:rsidR="00E51803" w:rsidRPr="00E51803">
                    <w:t xml:space="preserve"> </w:t>
                  </w:r>
                  <w:r w:rsidR="00E51803">
                    <w:t xml:space="preserve">All service users were </w:t>
                  </w:r>
                  <w:r w:rsidR="00933F61">
                    <w:t>remunerated</w:t>
                  </w:r>
                  <w:r w:rsidR="00E51803">
                    <w:t xml:space="preserve"> for their</w:t>
                  </w:r>
                  <w:r w:rsidR="003F3641">
                    <w:t xml:space="preserve"> participation</w:t>
                  </w:r>
                  <w:r w:rsidR="000D4A11">
                    <w:t xml:space="preserve"> with gift vouchers</w:t>
                  </w:r>
                  <w:r w:rsidR="001B7359">
                    <w:t>.</w:t>
                  </w:r>
                </w:p>
                <w:p w14:paraId="42AA5FC7" w14:textId="7DA2C6A8" w:rsidR="00877AFF" w:rsidRDefault="00877AFF" w:rsidP="00877AFF">
                  <w:pPr>
                    <w:pStyle w:val="Text"/>
                  </w:pPr>
                  <w:r>
                    <w:t>A detailed explanation of the recruitment approach</w:t>
                  </w:r>
                  <w:r w:rsidR="009E2521">
                    <w:t>, including specific approaches for CSC and MBCP service users,</w:t>
                  </w:r>
                  <w:r>
                    <w:t xml:space="preserve"> can be found in </w:t>
                  </w:r>
                  <w:hyperlink w:anchor="Appendix_D" w:history="1">
                    <w:r w:rsidR="00A65B15" w:rsidRPr="00321BC5">
                      <w:rPr>
                        <w:rStyle w:val="Hyperlink"/>
                        <w:rFonts w:asciiTheme="minorHAnsi" w:hAnsiTheme="minorHAnsi"/>
                        <w:b/>
                        <w:color w:val="007E00" w:themeColor="accent3"/>
                      </w:rPr>
                      <w:t>Appendix D</w:t>
                    </w:r>
                  </w:hyperlink>
                  <w:r>
                    <w:t xml:space="preserve">. </w:t>
                  </w:r>
                </w:p>
                <w:p w14:paraId="79E2C9B7" w14:textId="2363AC0F" w:rsidR="00C95831" w:rsidRDefault="00C95831" w:rsidP="008D0528">
                  <w:pPr>
                    <w:pStyle w:val="Heading3"/>
                  </w:pPr>
                  <w:r>
                    <w:t>Site visits</w:t>
                  </w:r>
                </w:p>
                <w:p w14:paraId="5BB78132" w14:textId="49F96811" w:rsidR="00BA3B90" w:rsidRDefault="000E0F43" w:rsidP="00324B3F">
                  <w:pPr>
                    <w:pStyle w:val="Text"/>
                    <w:rPr>
                      <w:lang w:val="en-US"/>
                    </w:rPr>
                  </w:pPr>
                  <w:bookmarkStart w:id="205" w:name="_Ref202891208"/>
                  <w:r>
                    <w:rPr>
                      <w:lang w:val="en-US"/>
                    </w:rPr>
                    <w:t xml:space="preserve">The evaluation team </w:t>
                  </w:r>
                  <w:r w:rsidR="00C05458">
                    <w:rPr>
                      <w:lang w:val="en-US"/>
                    </w:rPr>
                    <w:t xml:space="preserve">visited </w:t>
                  </w:r>
                  <w:r w:rsidR="008C7BAF">
                    <w:rPr>
                      <w:lang w:val="en-US"/>
                    </w:rPr>
                    <w:t>9</w:t>
                  </w:r>
                  <w:r w:rsidR="00BA3B90">
                    <w:rPr>
                      <w:lang w:val="en-US"/>
                    </w:rPr>
                    <w:t xml:space="preserve"> site</w:t>
                  </w:r>
                  <w:r w:rsidR="00C05458">
                    <w:rPr>
                      <w:lang w:val="en-US"/>
                    </w:rPr>
                    <w:t>s</w:t>
                  </w:r>
                  <w:r w:rsidR="00BA3B90">
                    <w:rPr>
                      <w:lang w:val="en-US"/>
                    </w:rPr>
                    <w:t xml:space="preserve"> to </w:t>
                  </w:r>
                  <w:r w:rsidR="0028462F">
                    <w:rPr>
                      <w:lang w:val="en-US"/>
                    </w:rPr>
                    <w:t xml:space="preserve">undertake </w:t>
                  </w:r>
                  <w:r w:rsidR="00BA3B90">
                    <w:rPr>
                      <w:lang w:val="en-US"/>
                    </w:rPr>
                    <w:t>service user interviews</w:t>
                  </w:r>
                  <w:r w:rsidR="00516401">
                    <w:rPr>
                      <w:lang w:val="en-US"/>
                    </w:rPr>
                    <w:t xml:space="preserve">. </w:t>
                  </w:r>
                  <w:r w:rsidR="00E12195">
                    <w:rPr>
                      <w:lang w:val="en-US"/>
                    </w:rPr>
                    <w:t>V</w:t>
                  </w:r>
                  <w:r w:rsidR="00516401">
                    <w:rPr>
                      <w:lang w:val="en-US"/>
                    </w:rPr>
                    <w:t xml:space="preserve">isits were </w:t>
                  </w:r>
                  <w:r w:rsidR="00E12195">
                    <w:rPr>
                      <w:lang w:val="en-US"/>
                    </w:rPr>
                    <w:t>made to service locations</w:t>
                  </w:r>
                  <w:r w:rsidR="00BA3B90">
                    <w:rPr>
                      <w:lang w:val="en-US"/>
                    </w:rPr>
                    <w:t xml:space="preserve"> </w:t>
                  </w:r>
                  <w:r w:rsidR="00FC3DEA">
                    <w:rPr>
                      <w:lang w:val="en-US"/>
                    </w:rPr>
                    <w:t>across</w:t>
                  </w:r>
                  <w:r w:rsidR="00BA3B90">
                    <w:rPr>
                      <w:lang w:val="en-US"/>
                    </w:rPr>
                    <w:t xml:space="preserve"> </w:t>
                  </w:r>
                  <w:r w:rsidR="00FC3DEA">
                    <w:rPr>
                      <w:lang w:val="en-US"/>
                    </w:rPr>
                    <w:t xml:space="preserve">a mix of </w:t>
                  </w:r>
                  <w:r w:rsidR="00BA3B90">
                    <w:rPr>
                      <w:lang w:val="en-US"/>
                    </w:rPr>
                    <w:t xml:space="preserve">urban, rural, and remote locations in </w:t>
                  </w:r>
                  <w:r w:rsidR="00324B3F">
                    <w:rPr>
                      <w:lang w:val="en-US"/>
                    </w:rPr>
                    <w:t>the Australian Capital Territory</w:t>
                  </w:r>
                  <w:r w:rsidR="00382C89">
                    <w:rPr>
                      <w:lang w:val="en-US"/>
                    </w:rPr>
                    <w:t xml:space="preserve"> (ACT)</w:t>
                  </w:r>
                  <w:r w:rsidR="00324B3F">
                    <w:rPr>
                      <w:lang w:val="en-US"/>
                    </w:rPr>
                    <w:t>, New South Wales</w:t>
                  </w:r>
                  <w:r w:rsidR="00382C89">
                    <w:rPr>
                      <w:lang w:val="en-US"/>
                    </w:rPr>
                    <w:t xml:space="preserve"> (NSW)</w:t>
                  </w:r>
                  <w:r w:rsidR="00324B3F">
                    <w:rPr>
                      <w:lang w:val="en-US"/>
                    </w:rPr>
                    <w:t>, Northern Territory</w:t>
                  </w:r>
                  <w:r w:rsidR="00382C89">
                    <w:rPr>
                      <w:lang w:val="en-US"/>
                    </w:rPr>
                    <w:t xml:space="preserve"> (NT)</w:t>
                  </w:r>
                  <w:r w:rsidR="00324B3F">
                    <w:rPr>
                      <w:lang w:val="en-US"/>
                    </w:rPr>
                    <w:t>, Queensland</w:t>
                  </w:r>
                  <w:r w:rsidR="00A86309">
                    <w:rPr>
                      <w:lang w:val="en-US"/>
                    </w:rPr>
                    <w:t xml:space="preserve"> (QLD)</w:t>
                  </w:r>
                  <w:r w:rsidR="00324B3F">
                    <w:rPr>
                      <w:lang w:val="en-US"/>
                    </w:rPr>
                    <w:t xml:space="preserve">, South Australia </w:t>
                  </w:r>
                  <w:r w:rsidR="00382C89">
                    <w:rPr>
                      <w:lang w:val="en-US"/>
                    </w:rPr>
                    <w:t>(SA),</w:t>
                  </w:r>
                  <w:r w:rsidR="00324B3F">
                    <w:rPr>
                      <w:lang w:val="en-US"/>
                    </w:rPr>
                    <w:t xml:space="preserve"> and Victoria</w:t>
                  </w:r>
                  <w:r w:rsidR="00A86309">
                    <w:rPr>
                      <w:lang w:val="en-US"/>
                    </w:rPr>
                    <w:t xml:space="preserve"> (VIC)</w:t>
                  </w:r>
                  <w:r w:rsidR="00324B3F">
                    <w:rPr>
                      <w:lang w:val="en-US"/>
                    </w:rPr>
                    <w:t xml:space="preserve">. </w:t>
                  </w:r>
                  <w:r w:rsidR="00E12195">
                    <w:rPr>
                      <w:lang w:val="en-US"/>
                    </w:rPr>
                    <w:t xml:space="preserve">The evaluation team visited </w:t>
                  </w:r>
                  <w:r w:rsidR="00323F31">
                    <w:rPr>
                      <w:lang w:val="en-US"/>
                    </w:rPr>
                    <w:t>3</w:t>
                  </w:r>
                  <w:r w:rsidR="00A40F64">
                    <w:rPr>
                      <w:lang w:val="en-US"/>
                    </w:rPr>
                    <w:t xml:space="preserve"> of the </w:t>
                  </w:r>
                  <w:r w:rsidR="007C0B48">
                    <w:rPr>
                      <w:lang w:val="en-US"/>
                    </w:rPr>
                    <w:t>4</w:t>
                  </w:r>
                  <w:r w:rsidR="00B47D8B">
                    <w:rPr>
                      <w:lang w:val="en-US"/>
                    </w:rPr>
                    <w:t xml:space="preserve"> ACCOs funded under SFVS</w:t>
                  </w:r>
                  <w:r w:rsidR="00E12195">
                    <w:rPr>
                      <w:lang w:val="en-US"/>
                    </w:rPr>
                    <w:t>.</w:t>
                  </w:r>
                  <w:r w:rsidR="00A40F64">
                    <w:rPr>
                      <w:lang w:val="en-US"/>
                    </w:rPr>
                    <w:t xml:space="preserve"> </w:t>
                  </w:r>
                  <w:r w:rsidR="00E12195">
                    <w:rPr>
                      <w:lang w:val="en-US"/>
                    </w:rPr>
                    <w:t>A</w:t>
                  </w:r>
                  <w:r w:rsidR="00137478">
                    <w:rPr>
                      <w:lang w:val="en-US"/>
                    </w:rPr>
                    <w:t xml:space="preserve"> focus group </w:t>
                  </w:r>
                  <w:r w:rsidR="00E12195">
                    <w:rPr>
                      <w:lang w:val="en-US"/>
                    </w:rPr>
                    <w:t xml:space="preserve">was </w:t>
                  </w:r>
                  <w:r w:rsidR="00137478">
                    <w:rPr>
                      <w:lang w:val="en-US"/>
                    </w:rPr>
                    <w:t xml:space="preserve">held virtually with the FaRS funded ACCO and </w:t>
                  </w:r>
                  <w:r w:rsidR="00A40F64">
                    <w:rPr>
                      <w:lang w:val="en-US"/>
                    </w:rPr>
                    <w:t xml:space="preserve">one ACCO </w:t>
                  </w:r>
                  <w:r w:rsidR="001360EB">
                    <w:rPr>
                      <w:lang w:val="en-US"/>
                    </w:rPr>
                    <w:t xml:space="preserve">was </w:t>
                  </w:r>
                  <w:r w:rsidR="00A40F64">
                    <w:rPr>
                      <w:lang w:val="en-US"/>
                    </w:rPr>
                    <w:t>not visited because they had not yet commenced service delivery</w:t>
                  </w:r>
                  <w:r w:rsidR="00B47D8B">
                    <w:rPr>
                      <w:lang w:val="en-US"/>
                    </w:rPr>
                    <w:t>.</w:t>
                  </w:r>
                </w:p>
                <w:p w14:paraId="70803D95" w14:textId="5C958996" w:rsidR="00BA3B90" w:rsidRPr="002C4F53" w:rsidRDefault="00BA3B90" w:rsidP="00A302A7">
                  <w:pPr>
                    <w:pStyle w:val="Text"/>
                  </w:pPr>
                  <w:r>
                    <w:rPr>
                      <w:lang w:val="en-US"/>
                    </w:rPr>
                    <w:t xml:space="preserve">Site visits provided an opportunity to meet with service users </w:t>
                  </w:r>
                  <w:r w:rsidR="00465185">
                    <w:rPr>
                      <w:lang w:val="en-US"/>
                    </w:rPr>
                    <w:t>in</w:t>
                  </w:r>
                  <w:r w:rsidR="00E12195">
                    <w:rPr>
                      <w:lang w:val="en-US"/>
                    </w:rPr>
                    <w:t xml:space="preserve"> </w:t>
                  </w:r>
                  <w:r w:rsidR="00465185">
                    <w:rPr>
                      <w:lang w:val="en-US"/>
                    </w:rPr>
                    <w:t>person</w:t>
                  </w:r>
                  <w:r>
                    <w:rPr>
                      <w:lang w:val="en-US"/>
                    </w:rPr>
                    <w:t>, increasing the accessibility of the evaluation</w:t>
                  </w:r>
                  <w:r w:rsidR="00E51803">
                    <w:rPr>
                      <w:lang w:val="en-US"/>
                    </w:rPr>
                    <w:t xml:space="preserve"> for those who d</w:t>
                  </w:r>
                  <w:r w:rsidR="000E0F43">
                    <w:rPr>
                      <w:lang w:val="en-US"/>
                    </w:rPr>
                    <w:t>id</w:t>
                  </w:r>
                  <w:r w:rsidR="00E51803">
                    <w:rPr>
                      <w:lang w:val="en-US"/>
                    </w:rPr>
                    <w:t xml:space="preserve"> not want to undertake interviews virtually or over the phone</w:t>
                  </w:r>
                  <w:r>
                    <w:rPr>
                      <w:lang w:val="en-US"/>
                    </w:rPr>
                    <w:t xml:space="preserve">. </w:t>
                  </w:r>
                  <w:r w:rsidR="00C355F3">
                    <w:rPr>
                      <w:lang w:val="en-US"/>
                    </w:rPr>
                    <w:t xml:space="preserve">Site visits were also used </w:t>
                  </w:r>
                  <w:r w:rsidR="004C7655">
                    <w:rPr>
                      <w:lang w:val="en-US"/>
                    </w:rPr>
                    <w:t xml:space="preserve">successfully </w:t>
                  </w:r>
                  <w:r w:rsidR="00C355F3">
                    <w:rPr>
                      <w:lang w:val="en-US"/>
                    </w:rPr>
                    <w:t>a</w:t>
                  </w:r>
                  <w:r w:rsidR="004C7655">
                    <w:rPr>
                      <w:lang w:val="en-US"/>
                    </w:rPr>
                    <w:t xml:space="preserve">s </w:t>
                  </w:r>
                  <w:r w:rsidR="00C355F3">
                    <w:rPr>
                      <w:lang w:val="en-US"/>
                    </w:rPr>
                    <w:t xml:space="preserve">a means of increasing </w:t>
                  </w:r>
                  <w:r w:rsidR="004C7655">
                    <w:rPr>
                      <w:lang w:val="en-US"/>
                    </w:rPr>
                    <w:t xml:space="preserve">service user </w:t>
                  </w:r>
                  <w:r w:rsidR="00C355F3">
                    <w:rPr>
                      <w:lang w:val="en-US"/>
                    </w:rPr>
                    <w:t xml:space="preserve">recruitment in sites where </w:t>
                  </w:r>
                  <w:r w:rsidR="004C7655">
                    <w:rPr>
                      <w:lang w:val="en-US"/>
                    </w:rPr>
                    <w:t>the uptake</w:t>
                  </w:r>
                  <w:r w:rsidR="00C355F3">
                    <w:rPr>
                      <w:lang w:val="en-US"/>
                    </w:rPr>
                    <w:t xml:space="preserve"> </w:t>
                  </w:r>
                  <w:r w:rsidR="0029045C">
                    <w:rPr>
                      <w:lang w:val="en-US"/>
                    </w:rPr>
                    <w:t>was low.</w:t>
                  </w:r>
                </w:p>
                <w:p w14:paraId="1291C8A2" w14:textId="12764B0D" w:rsidR="00A61F0D" w:rsidRPr="00E82715" w:rsidRDefault="00846E8A" w:rsidP="008D0528">
                  <w:pPr>
                    <w:pStyle w:val="Heading3"/>
                  </w:pPr>
                  <w:bookmarkStart w:id="206" w:name="_Toc203584223"/>
                  <w:bookmarkStart w:id="207" w:name="_Toc203584224"/>
                  <w:bookmarkStart w:id="208" w:name="_Toc203584225"/>
                  <w:bookmarkStart w:id="209" w:name="_Toc203584227"/>
                  <w:bookmarkStart w:id="210" w:name="_Toc203584228"/>
                  <w:bookmarkStart w:id="211" w:name="_Toc203584230"/>
                  <w:bookmarkStart w:id="212" w:name="_Toc203584231"/>
                  <w:bookmarkStart w:id="213" w:name="_Toc203584232"/>
                  <w:bookmarkStart w:id="214" w:name="_Toc203584234"/>
                  <w:bookmarkStart w:id="215" w:name="_Toc203584243"/>
                  <w:bookmarkEnd w:id="205"/>
                  <w:bookmarkEnd w:id="206"/>
                  <w:bookmarkEnd w:id="207"/>
                  <w:bookmarkEnd w:id="208"/>
                  <w:bookmarkEnd w:id="209"/>
                  <w:bookmarkEnd w:id="210"/>
                  <w:bookmarkEnd w:id="211"/>
                  <w:bookmarkEnd w:id="212"/>
                  <w:bookmarkEnd w:id="213"/>
                  <w:bookmarkEnd w:id="214"/>
                  <w:bookmarkEnd w:id="215"/>
                  <w:r w:rsidRPr="0444DED3">
                    <w:rPr>
                      <w:lang w:val="en-NZ"/>
                    </w:rPr>
                    <w:lastRenderedPageBreak/>
                    <w:t>Service provider focus groups</w:t>
                  </w:r>
                </w:p>
                <w:p w14:paraId="3C62781B" w14:textId="14CD8FE8" w:rsidR="0005073D" w:rsidRPr="00321BC5" w:rsidRDefault="000B750D" w:rsidP="00096674">
                  <w:pPr>
                    <w:pStyle w:val="Text"/>
                    <w:rPr>
                      <w:lang w:val="en-GB"/>
                    </w:rPr>
                  </w:pPr>
                  <w:r w:rsidRPr="00321BC5">
                    <w:rPr>
                      <w:lang w:val="en-GB"/>
                    </w:rPr>
                    <w:t>The evaluation team held 20</w:t>
                  </w:r>
                  <w:r w:rsidR="00795D72" w:rsidRPr="00321BC5">
                    <w:rPr>
                      <w:lang w:val="en-GB"/>
                    </w:rPr>
                    <w:t xml:space="preserve"> </w:t>
                  </w:r>
                  <w:r w:rsidR="00F72B58" w:rsidRPr="00321BC5">
                    <w:rPr>
                      <w:lang w:val="en-GB"/>
                    </w:rPr>
                    <w:t xml:space="preserve">focus groups </w:t>
                  </w:r>
                  <w:r w:rsidR="00795D72" w:rsidRPr="00321BC5">
                    <w:rPr>
                      <w:lang w:val="en-GB"/>
                    </w:rPr>
                    <w:t xml:space="preserve">with </w:t>
                  </w:r>
                  <w:r w:rsidR="007970EA" w:rsidRPr="00321BC5">
                    <w:rPr>
                      <w:lang w:val="en-GB"/>
                    </w:rPr>
                    <w:t>103</w:t>
                  </w:r>
                  <w:r w:rsidR="00795D72" w:rsidRPr="00321BC5">
                    <w:rPr>
                      <w:lang w:val="en-GB"/>
                    </w:rPr>
                    <w:t xml:space="preserve"> staff from across 5</w:t>
                  </w:r>
                  <w:r w:rsidR="007970EA" w:rsidRPr="00321BC5">
                    <w:rPr>
                      <w:lang w:val="en-GB"/>
                    </w:rPr>
                    <w:t>5</w:t>
                  </w:r>
                  <w:r w:rsidR="00795D72" w:rsidRPr="00321BC5">
                    <w:rPr>
                      <w:lang w:val="en-GB"/>
                    </w:rPr>
                    <w:t xml:space="preserve"> service providers </w:t>
                  </w:r>
                  <w:r w:rsidR="007970EA" w:rsidRPr="00321BC5">
                    <w:rPr>
                      <w:lang w:val="en-GB"/>
                    </w:rPr>
                    <w:t xml:space="preserve">and </w:t>
                  </w:r>
                  <w:r w:rsidR="008D79E7" w:rsidRPr="00321BC5">
                    <w:rPr>
                      <w:lang w:val="en-GB"/>
                    </w:rPr>
                    <w:t>peak bodies</w:t>
                  </w:r>
                  <w:r w:rsidR="007970EA" w:rsidRPr="00321BC5">
                    <w:rPr>
                      <w:lang w:val="en-GB"/>
                    </w:rPr>
                    <w:t xml:space="preserve"> </w:t>
                  </w:r>
                  <w:r w:rsidR="00795D72" w:rsidRPr="00321BC5">
                    <w:rPr>
                      <w:lang w:val="en-GB"/>
                    </w:rPr>
                    <w:t xml:space="preserve">(not including participants who attended multiple workshops). </w:t>
                  </w:r>
                  <w:r w:rsidR="00015E8B" w:rsidRPr="00321BC5">
                    <w:rPr>
                      <w:lang w:val="en-GB"/>
                    </w:rPr>
                    <w:t xml:space="preserve">This represents </w:t>
                  </w:r>
                  <w:r w:rsidR="00A56FEA">
                    <w:rPr>
                      <w:lang w:val="en-GB"/>
                    </w:rPr>
                    <w:t xml:space="preserve">a strong response rate with </w:t>
                  </w:r>
                  <w:r w:rsidR="003E639E">
                    <w:rPr>
                      <w:lang w:val="en-GB"/>
                    </w:rPr>
                    <w:t>6</w:t>
                  </w:r>
                  <w:r w:rsidR="00A56FEA">
                    <w:rPr>
                      <w:lang w:val="en-GB"/>
                    </w:rPr>
                    <w:t>4</w:t>
                  </w:r>
                  <w:r w:rsidR="003E639E">
                    <w:rPr>
                      <w:lang w:val="en-GB"/>
                    </w:rPr>
                    <w:t>.</w:t>
                  </w:r>
                  <w:r w:rsidR="00A56FEA">
                    <w:rPr>
                      <w:lang w:val="en-GB"/>
                    </w:rPr>
                    <w:t>3</w:t>
                  </w:r>
                  <w:r w:rsidR="00015E8B" w:rsidRPr="00321BC5">
                    <w:rPr>
                      <w:lang w:val="en-GB"/>
                    </w:rPr>
                    <w:t>% of service providers having at least one staff member participate in a focus group.</w:t>
                  </w:r>
                  <w:r w:rsidR="0005073D" w:rsidRPr="00321BC5">
                    <w:rPr>
                      <w:lang w:val="en-GB"/>
                    </w:rPr>
                    <w:t xml:space="preserve"> </w:t>
                  </w:r>
                  <w:r w:rsidR="00795D72" w:rsidRPr="00321BC5">
                    <w:rPr>
                      <w:lang w:val="en-GB"/>
                    </w:rPr>
                    <w:t xml:space="preserve">Service providers represented each state and territory and reflected a mixture of SEIFA rankings, regions, locations, service sizes, and </w:t>
                  </w:r>
                  <w:r w:rsidR="001D1403" w:rsidRPr="00321BC5">
                    <w:rPr>
                      <w:lang w:val="en-GB"/>
                    </w:rPr>
                    <w:t>service user</w:t>
                  </w:r>
                  <w:r w:rsidR="00795D72" w:rsidRPr="00321BC5">
                    <w:rPr>
                      <w:lang w:val="en-GB"/>
                    </w:rPr>
                    <w:t xml:space="preserve"> demographic bases.</w:t>
                  </w:r>
                </w:p>
                <w:p w14:paraId="0A747B4F" w14:textId="14B0610C" w:rsidR="002374B0" w:rsidRPr="00321BC5" w:rsidRDefault="00DE3873" w:rsidP="00096674">
                  <w:pPr>
                    <w:pStyle w:val="Text"/>
                    <w:rPr>
                      <w:lang w:val="en-GB"/>
                    </w:rPr>
                  </w:pPr>
                  <w:r w:rsidRPr="00321BC5">
                    <w:rPr>
                      <w:lang w:val="en-GB"/>
                    </w:rPr>
                    <w:fldChar w:fldCharType="begin" w:fldLock="1"/>
                  </w:r>
                  <w:r w:rsidRPr="00321BC5">
                    <w:rPr>
                      <w:b/>
                      <w:lang w:val="en-GB"/>
                    </w:rPr>
                    <w:instrText xml:space="preserve"> REF _Ref205318012 \h  \* MERGEFORMAT </w:instrText>
                  </w:r>
                  <w:r w:rsidRPr="00321BC5">
                    <w:rPr>
                      <w:lang w:val="en-GB"/>
                    </w:rPr>
                  </w:r>
                  <w:r w:rsidRPr="00321BC5">
                    <w:rPr>
                      <w:lang w:val="en-GB"/>
                    </w:rPr>
                    <w:fldChar w:fldCharType="separate"/>
                  </w:r>
                  <w:r w:rsidR="008F22E5" w:rsidRPr="008F22E5">
                    <w:rPr>
                      <w:rStyle w:val="Text-Bold"/>
                      <w:szCs w:val="22"/>
                    </w:rPr>
                    <w:t xml:space="preserve">Figure </w:t>
                  </w:r>
                  <w:r w:rsidR="008F22E5" w:rsidRPr="008F22E5">
                    <w:rPr>
                      <w:b/>
                      <w:bCs/>
                    </w:rPr>
                    <w:t>6</w:t>
                  </w:r>
                  <w:r w:rsidRPr="00321BC5">
                    <w:rPr>
                      <w:lang w:val="en-GB"/>
                    </w:rPr>
                    <w:fldChar w:fldCharType="end"/>
                  </w:r>
                  <w:r w:rsidR="005705CB" w:rsidRPr="00321BC5">
                    <w:rPr>
                      <w:b/>
                      <w:lang w:val="en-GB"/>
                    </w:rPr>
                    <w:t xml:space="preserve"> </w:t>
                  </w:r>
                  <w:r w:rsidR="00795D72" w:rsidRPr="00321BC5">
                    <w:rPr>
                      <w:lang w:val="en-GB"/>
                    </w:rPr>
                    <w:t>below provides an overview of where service providers are located and what services they are funded to deliver</w:t>
                  </w:r>
                  <w:r w:rsidR="002374B0" w:rsidRPr="00321BC5">
                    <w:rPr>
                      <w:lang w:val="en-GB"/>
                    </w:rPr>
                    <w:t>.</w:t>
                  </w:r>
                </w:p>
                <w:p w14:paraId="1B3EA591" w14:textId="49B7F805" w:rsidR="00DE3873" w:rsidRPr="004750D1" w:rsidRDefault="00DE3873" w:rsidP="00393BD9">
                  <w:pPr>
                    <w:pStyle w:val="TableFigure-Header"/>
                    <w:spacing w:line="276" w:lineRule="auto"/>
                    <w:rPr>
                      <w:rStyle w:val="Text-Bold"/>
                      <w:b/>
                      <w:szCs w:val="21"/>
                      <w:lang w:val="en-NZ"/>
                    </w:rPr>
                  </w:pPr>
                  <w:bookmarkStart w:id="216" w:name="_Ref205318012"/>
                  <w:bookmarkStart w:id="217" w:name="_Toc205413056"/>
                  <w:bookmarkStart w:id="218" w:name="_Toc205413110"/>
                  <w:bookmarkStart w:id="219" w:name="_Ref202895041"/>
                  <w:r w:rsidRPr="004750D1">
                    <w:rPr>
                      <w:rStyle w:val="Text-Bold"/>
                      <w:b/>
                      <w:szCs w:val="21"/>
                      <w:lang w:val="en-NZ"/>
                    </w:rPr>
                    <w:t xml:space="preserve">Figure </w:t>
                  </w:r>
                  <w:r w:rsidR="00C64C3D" w:rsidRPr="004750D1">
                    <w:rPr>
                      <w:rStyle w:val="Text-Bold"/>
                      <w:b/>
                      <w:szCs w:val="21"/>
                      <w:lang w:val="en-NZ"/>
                    </w:rPr>
                    <w:fldChar w:fldCharType="begin"/>
                  </w:r>
                  <w:r w:rsidR="00C64C3D" w:rsidRPr="004750D1">
                    <w:rPr>
                      <w:rStyle w:val="Text-Bold"/>
                      <w:b/>
                      <w:szCs w:val="21"/>
                      <w:lang w:val="en-NZ"/>
                    </w:rPr>
                    <w:instrText xml:space="preserve"> SEQ Figure \* ARABIC </w:instrText>
                  </w:r>
                  <w:r w:rsidR="00C64C3D" w:rsidRPr="004750D1">
                    <w:rPr>
                      <w:rStyle w:val="Text-Bold"/>
                      <w:b/>
                      <w:szCs w:val="21"/>
                      <w:lang w:val="en-NZ"/>
                    </w:rPr>
                    <w:fldChar w:fldCharType="separate"/>
                  </w:r>
                  <w:r w:rsidR="008D2566">
                    <w:rPr>
                      <w:rStyle w:val="Text-Bold"/>
                      <w:b/>
                      <w:noProof/>
                      <w:szCs w:val="21"/>
                      <w:lang w:val="en-NZ"/>
                    </w:rPr>
                    <w:t>6</w:t>
                  </w:r>
                  <w:r w:rsidR="00C64C3D" w:rsidRPr="004750D1">
                    <w:rPr>
                      <w:rStyle w:val="Text-Bold"/>
                      <w:b/>
                      <w:szCs w:val="21"/>
                      <w:lang w:val="en-NZ"/>
                    </w:rPr>
                    <w:fldChar w:fldCharType="end"/>
                  </w:r>
                  <w:bookmarkEnd w:id="216"/>
                  <w:r w:rsidRPr="004750D1">
                    <w:rPr>
                      <w:rStyle w:val="Text-Bold"/>
                      <w:b/>
                      <w:szCs w:val="21"/>
                      <w:lang w:val="en-NZ"/>
                    </w:rPr>
                    <w:t>: Service provider demographics – focus group participants</w:t>
                  </w:r>
                  <w:bookmarkEnd w:id="217"/>
                  <w:bookmarkEnd w:id="218"/>
                </w:p>
                <w:bookmarkEnd w:id="219"/>
                <w:p w14:paraId="717807CC" w14:textId="7C32E7E5" w:rsidR="00A45DEA" w:rsidRDefault="00835471" w:rsidP="00A302A7">
                  <w:pPr>
                    <w:pStyle w:val="TableFigureTitle"/>
                    <w:jc w:val="center"/>
                  </w:pPr>
                  <w:r w:rsidRPr="00835471">
                    <w:rPr>
                      <w:noProof/>
                    </w:rPr>
                    <w:lastRenderedPageBreak/>
                    <w:drawing>
                      <wp:inline distT="0" distB="0" distL="0" distR="0" wp14:anchorId="414A5711" wp14:editId="17BBBAC1">
                        <wp:extent cx="5510431" cy="7791450"/>
                        <wp:effectExtent l="0" t="0" r="0" b="0"/>
                        <wp:docPr id="1247999687"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999687" name="Picture 1">
                                  <a:extLst>
                                    <a:ext uri="{C183D7F6-B498-43B3-948B-1728B52AA6E4}">
                                      <adec:decorative xmlns:adec="http://schemas.microsoft.com/office/drawing/2017/decorative" val="1"/>
                                    </a:ext>
                                  </a:extLst>
                                </pic:cNvP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630456" cy="7961158"/>
                                </a:xfrm>
                                <a:prstGeom prst="rect">
                                  <a:avLst/>
                                </a:prstGeom>
                              </pic:spPr>
                            </pic:pic>
                          </a:graphicData>
                        </a:graphic>
                      </wp:inline>
                    </w:drawing>
                  </w:r>
                </w:p>
                <w:p w14:paraId="451AF2FF" w14:textId="2CD1A303" w:rsidR="00DE3873" w:rsidRPr="008E1B83" w:rsidRDefault="00DE3873" w:rsidP="008E1B83">
                  <w:pPr>
                    <w:pStyle w:val="TableFigure-Notes"/>
                    <w:rPr>
                      <w:i/>
                      <w:sz w:val="20"/>
                      <w:szCs w:val="20"/>
                    </w:rPr>
                  </w:pPr>
                  <w:r w:rsidRPr="008E1B83">
                    <w:rPr>
                      <w:i/>
                      <w:sz w:val="20"/>
                      <w:szCs w:val="20"/>
                    </w:rPr>
                    <w:t xml:space="preserve">Source: Service user </w:t>
                  </w:r>
                  <w:r w:rsidR="00726DE4">
                    <w:rPr>
                      <w:i/>
                      <w:sz w:val="20"/>
                      <w:szCs w:val="20"/>
                    </w:rPr>
                    <w:t>focus group/interview</w:t>
                  </w:r>
                  <w:r w:rsidR="00726DE4" w:rsidRPr="008E1B83">
                    <w:rPr>
                      <w:i/>
                      <w:sz w:val="20"/>
                      <w:szCs w:val="20"/>
                    </w:rPr>
                    <w:t xml:space="preserve"> </w:t>
                  </w:r>
                  <w:r w:rsidRPr="008E1B83">
                    <w:rPr>
                      <w:i/>
                      <w:sz w:val="20"/>
                      <w:szCs w:val="20"/>
                    </w:rPr>
                    <w:t xml:space="preserve">and survey data </w:t>
                  </w:r>
                </w:p>
                <w:p w14:paraId="53DB7193" w14:textId="566B7ACC" w:rsidR="00795D72" w:rsidRDefault="00BE7F46" w:rsidP="00795D72">
                  <w:pPr>
                    <w:pStyle w:val="Text"/>
                    <w:rPr>
                      <w:lang w:val="en-GB"/>
                    </w:rPr>
                  </w:pPr>
                  <w:r>
                    <w:rPr>
                      <w:lang w:val="en-GB"/>
                    </w:rPr>
                    <w:t xml:space="preserve">All focus groups were held online, except for </w:t>
                  </w:r>
                  <w:r w:rsidR="00A44C28">
                    <w:rPr>
                      <w:lang w:val="en-GB"/>
                    </w:rPr>
                    <w:t>3</w:t>
                  </w:r>
                  <w:r>
                    <w:rPr>
                      <w:lang w:val="en-GB"/>
                    </w:rPr>
                    <w:t xml:space="preserve"> SFVS ACCO focus groups which were held in-person during site visits. </w:t>
                  </w:r>
                  <w:r w:rsidR="00795D72">
                    <w:rPr>
                      <w:lang w:val="en-GB"/>
                    </w:rPr>
                    <w:t xml:space="preserve">Three additional informal interviews were held with ACCO service provider staff to gain greater insight into their experiences delivering SFVS in remote </w:t>
                  </w:r>
                  <w:r w:rsidR="00795D72">
                    <w:rPr>
                      <w:lang w:val="en-GB"/>
                    </w:rPr>
                    <w:lastRenderedPageBreak/>
                    <w:t xml:space="preserve">communities. Two additional </w:t>
                  </w:r>
                  <w:r w:rsidR="0021474D">
                    <w:rPr>
                      <w:lang w:val="en-GB"/>
                    </w:rPr>
                    <w:t>yarning circles</w:t>
                  </w:r>
                  <w:r w:rsidR="00795D72">
                    <w:rPr>
                      <w:lang w:val="en-GB"/>
                    </w:rPr>
                    <w:t xml:space="preserve"> were held with men</w:t>
                  </w:r>
                  <w:r w:rsidR="000D5694">
                    <w:rPr>
                      <w:lang w:val="en-GB"/>
                    </w:rPr>
                    <w:t>’s</w:t>
                  </w:r>
                  <w:r w:rsidR="00795D72">
                    <w:rPr>
                      <w:lang w:val="en-GB"/>
                    </w:rPr>
                    <w:t xml:space="preserve"> and women’s advisory groups </w:t>
                  </w:r>
                  <w:r w:rsidR="009124E9">
                    <w:rPr>
                      <w:lang w:val="en-GB"/>
                    </w:rPr>
                    <w:t>at</w:t>
                  </w:r>
                  <w:r w:rsidR="000D5694">
                    <w:rPr>
                      <w:lang w:val="en-GB"/>
                    </w:rPr>
                    <w:t xml:space="preserve"> ACCOs </w:t>
                  </w:r>
                  <w:r w:rsidR="00795D72">
                    <w:rPr>
                      <w:lang w:val="en-GB"/>
                    </w:rPr>
                    <w:t xml:space="preserve">to gain greater insight into community needs. </w:t>
                  </w:r>
                </w:p>
                <w:p w14:paraId="78364E1C" w14:textId="3BE3B2D4" w:rsidR="00846E8A" w:rsidRPr="00E909E6" w:rsidRDefault="00846E8A" w:rsidP="008D0528">
                  <w:pPr>
                    <w:pStyle w:val="Heading3"/>
                  </w:pPr>
                  <w:r>
                    <w:t>Service user interviews and surveys</w:t>
                  </w:r>
                </w:p>
                <w:p w14:paraId="160FC9CA" w14:textId="2999FAFD" w:rsidR="003D4637" w:rsidRDefault="001C3D70" w:rsidP="00CA5D43">
                  <w:pPr>
                    <w:pStyle w:val="Text"/>
                    <w:rPr>
                      <w:lang w:val="en-GB"/>
                    </w:rPr>
                  </w:pPr>
                  <w:r>
                    <w:rPr>
                      <w:lang w:val="en-GB"/>
                    </w:rPr>
                    <w:t>Ninety-five</w:t>
                  </w:r>
                  <w:r w:rsidR="00EF65FF">
                    <w:rPr>
                      <w:lang w:val="en-GB"/>
                    </w:rPr>
                    <w:t xml:space="preserve"> interviews</w:t>
                  </w:r>
                  <w:r w:rsidR="00123E34">
                    <w:rPr>
                      <w:lang w:val="en-GB"/>
                    </w:rPr>
                    <w:t xml:space="preserve"> </w:t>
                  </w:r>
                  <w:r w:rsidR="00EF65FF">
                    <w:rPr>
                      <w:lang w:val="en-GB"/>
                    </w:rPr>
                    <w:t xml:space="preserve">were held with </w:t>
                  </w:r>
                  <w:r w:rsidR="00A10A54">
                    <w:rPr>
                      <w:lang w:val="en-GB"/>
                    </w:rPr>
                    <w:t>FaRS and SFVS</w:t>
                  </w:r>
                  <w:r w:rsidR="00EF65FF">
                    <w:rPr>
                      <w:lang w:val="en-GB"/>
                    </w:rPr>
                    <w:t xml:space="preserve"> service users.</w:t>
                  </w:r>
                  <w:r w:rsidR="00EA56F1" w:rsidRPr="00EA56F1">
                    <w:rPr>
                      <w:lang w:val="en-GB"/>
                    </w:rPr>
                    <w:t xml:space="preserve"> </w:t>
                  </w:r>
                  <w:r w:rsidR="00EA56F1">
                    <w:rPr>
                      <w:lang w:val="en-GB"/>
                    </w:rPr>
                    <w:t xml:space="preserve">Service users </w:t>
                  </w:r>
                  <w:r w:rsidR="00A10A54">
                    <w:rPr>
                      <w:lang w:val="en-GB"/>
                    </w:rPr>
                    <w:t>were drawn from a cross-section of service providers from</w:t>
                  </w:r>
                  <w:r w:rsidR="00EA56F1">
                    <w:rPr>
                      <w:lang w:val="en-GB"/>
                    </w:rPr>
                    <w:t xml:space="preserve"> each state and territory</w:t>
                  </w:r>
                  <w:r w:rsidR="0017002A">
                    <w:rPr>
                      <w:lang w:val="en-GB"/>
                    </w:rPr>
                    <w:t>, which</w:t>
                  </w:r>
                  <w:r w:rsidR="00EA56F1">
                    <w:rPr>
                      <w:lang w:val="en-GB"/>
                    </w:rPr>
                    <w:t xml:space="preserve"> reflected a mixture of SEIFA rankings, regions, locations, </w:t>
                  </w:r>
                  <w:r w:rsidR="00704E86">
                    <w:rPr>
                      <w:lang w:val="en-GB"/>
                    </w:rPr>
                    <w:t>and demographics</w:t>
                  </w:r>
                  <w:r w:rsidR="00EA56F1">
                    <w:rPr>
                      <w:lang w:val="en-GB"/>
                    </w:rPr>
                    <w:t>.</w:t>
                  </w:r>
                  <w:r w:rsidR="00704E86">
                    <w:rPr>
                      <w:lang w:val="en-GB"/>
                    </w:rPr>
                    <w:t xml:space="preserve"> </w:t>
                  </w:r>
                  <w:r w:rsidR="003D4637">
                    <w:rPr>
                      <w:lang w:val="en-GB"/>
                    </w:rPr>
                    <w:t>The majority of service users who participated in an interview engaged in individual counselling</w:t>
                  </w:r>
                  <w:r w:rsidR="00565E46">
                    <w:rPr>
                      <w:lang w:val="en-GB"/>
                    </w:rPr>
                    <w:t>. A smaller proportion had participated in a parenting program or other group work activity, either on its own or in combination with counselling.</w:t>
                  </w:r>
                  <w:r w:rsidR="003D4637">
                    <w:rPr>
                      <w:lang w:val="en-GB"/>
                    </w:rPr>
                    <w:t xml:space="preserve"> </w:t>
                  </w:r>
                </w:p>
                <w:p w14:paraId="01362802" w14:textId="0CA8F6C8" w:rsidR="003D4637" w:rsidRDefault="00391B0D" w:rsidP="00CA5D43">
                  <w:pPr>
                    <w:pStyle w:val="Text"/>
                  </w:pPr>
                  <w:r>
                    <w:t>Interviews were largely conducted online using MS Teams or over the phone. S</w:t>
                  </w:r>
                  <w:r w:rsidRPr="00DE475E">
                    <w:t xml:space="preserve">ome interviews </w:t>
                  </w:r>
                  <w:r>
                    <w:t>were</w:t>
                  </w:r>
                  <w:r w:rsidRPr="00DE475E">
                    <w:t xml:space="preserve"> conducted </w:t>
                  </w:r>
                  <w:r>
                    <w:t>in</w:t>
                  </w:r>
                  <w:r w:rsidR="000C38A3">
                    <w:t xml:space="preserve"> </w:t>
                  </w:r>
                  <w:r>
                    <w:t>person</w:t>
                  </w:r>
                  <w:r w:rsidRPr="00DE475E">
                    <w:t xml:space="preserve"> when members of the evaluation team </w:t>
                  </w:r>
                  <w:r>
                    <w:t xml:space="preserve">were </w:t>
                  </w:r>
                  <w:r w:rsidRPr="00DE475E">
                    <w:t xml:space="preserve">visiting a service location (and where the service user </w:t>
                  </w:r>
                  <w:r>
                    <w:t>wa</w:t>
                  </w:r>
                  <w:r w:rsidRPr="00DE475E">
                    <w:t xml:space="preserve">s comfortable meeting </w:t>
                  </w:r>
                  <w:r>
                    <w:t>in</w:t>
                  </w:r>
                  <w:r w:rsidR="000C38A3">
                    <w:t xml:space="preserve"> </w:t>
                  </w:r>
                  <w:r>
                    <w:t>person</w:t>
                  </w:r>
                  <w:r w:rsidRPr="00DE475E">
                    <w:t xml:space="preserve">). </w:t>
                  </w:r>
                  <w:r>
                    <w:t xml:space="preserve">All </w:t>
                  </w:r>
                  <w:r w:rsidR="003E6C9A">
                    <w:t>interviews with</w:t>
                  </w:r>
                  <w:r>
                    <w:t xml:space="preserve"> MBCP and CSC </w:t>
                  </w:r>
                  <w:r w:rsidR="003E6C9A">
                    <w:t xml:space="preserve">participants </w:t>
                  </w:r>
                  <w:r>
                    <w:t xml:space="preserve">were held </w:t>
                  </w:r>
                  <w:r w:rsidR="000C38A3">
                    <w:t>i</w:t>
                  </w:r>
                  <w:r>
                    <w:t>n</w:t>
                  </w:r>
                  <w:r w:rsidR="000C38A3">
                    <w:t xml:space="preserve"> </w:t>
                  </w:r>
                  <w:r>
                    <w:t xml:space="preserve">person. </w:t>
                  </w:r>
                  <w:r w:rsidRPr="00DE475E">
                    <w:t>In</w:t>
                  </w:r>
                  <w:r>
                    <w:t>-</w:t>
                  </w:r>
                  <w:r w:rsidRPr="00DE475E">
                    <w:t xml:space="preserve">person interviews </w:t>
                  </w:r>
                  <w:r>
                    <w:t>were</w:t>
                  </w:r>
                  <w:r w:rsidRPr="00DE475E">
                    <w:t xml:space="preserve"> </w:t>
                  </w:r>
                  <w:r w:rsidR="00DB7020">
                    <w:t xml:space="preserve">held </w:t>
                  </w:r>
                  <w:r w:rsidRPr="00DE475E">
                    <w:t>in a private room on the premises of the service provider.</w:t>
                  </w:r>
                </w:p>
                <w:p w14:paraId="05576891" w14:textId="3CC8C284" w:rsidR="00DE3873" w:rsidRPr="003E6A38" w:rsidRDefault="003829E5" w:rsidP="003E6A38">
                  <w:pPr>
                    <w:pStyle w:val="Text"/>
                    <w:rPr>
                      <w:b/>
                      <w:bCs/>
                      <w:lang w:val="en-GB"/>
                    </w:rPr>
                  </w:pPr>
                  <w:r>
                    <w:rPr>
                      <w:lang w:val="en-GB"/>
                    </w:rPr>
                    <w:t xml:space="preserve">Service users also had the option to contribute to the evaluation through an online survey. </w:t>
                  </w:r>
                  <w:r w:rsidR="00A44C28">
                    <w:rPr>
                      <w:lang w:val="en-GB"/>
                    </w:rPr>
                    <w:t xml:space="preserve">Surveys were completed by </w:t>
                  </w:r>
                  <w:r w:rsidR="00087D91">
                    <w:rPr>
                      <w:lang w:val="en-GB"/>
                    </w:rPr>
                    <w:t xml:space="preserve">194 service users. Most survey respondents </w:t>
                  </w:r>
                  <w:r w:rsidR="001F1592">
                    <w:rPr>
                      <w:lang w:val="en-GB"/>
                    </w:rPr>
                    <w:t xml:space="preserve">had </w:t>
                  </w:r>
                  <w:r w:rsidR="00087D91">
                    <w:rPr>
                      <w:lang w:val="en-GB"/>
                    </w:rPr>
                    <w:t xml:space="preserve">accessed </w:t>
                  </w:r>
                  <w:r w:rsidR="001F1592">
                    <w:rPr>
                      <w:lang w:val="en-GB"/>
                    </w:rPr>
                    <w:t xml:space="preserve">a </w:t>
                  </w:r>
                  <w:r w:rsidR="00087D91">
                    <w:rPr>
                      <w:lang w:val="en-GB"/>
                    </w:rPr>
                    <w:t xml:space="preserve">FaRS </w:t>
                  </w:r>
                  <w:r w:rsidR="001F1592">
                    <w:rPr>
                      <w:lang w:val="en-GB"/>
                    </w:rPr>
                    <w:t>service</w:t>
                  </w:r>
                  <w:r w:rsidR="00087D91">
                    <w:rPr>
                      <w:lang w:val="en-GB"/>
                    </w:rPr>
                    <w:t xml:space="preserve"> (n=159). In addition, more than half of these responses came from Queensland service providers (n=94) with service users from one provider making up the majority of responses from this cohort (n=72). This limits the generalisability of survey findings.</w:t>
                  </w:r>
                  <w:r w:rsidR="00087D91">
                    <w:rPr>
                      <w:b/>
                      <w:lang w:val="en-US"/>
                    </w:rPr>
                    <w:t xml:space="preserve"> </w:t>
                  </w:r>
                  <w:hyperlink w:anchor="Appendix_E" w:history="1">
                    <w:r w:rsidR="00087D91" w:rsidRPr="00321BC5">
                      <w:rPr>
                        <w:rStyle w:val="Hyperlink"/>
                        <w:rFonts w:asciiTheme="minorHAnsi" w:hAnsiTheme="minorHAnsi"/>
                        <w:b/>
                        <w:color w:val="007E00" w:themeColor="accent3"/>
                      </w:rPr>
                      <w:t>Appendix E</w:t>
                    </w:r>
                  </w:hyperlink>
                  <w:r w:rsidR="00087D91">
                    <w:t xml:space="preserve"> provides a detailed breakdown of the service user demographic participant sample</w:t>
                  </w:r>
                  <w:r w:rsidR="003E6A38">
                    <w:rPr>
                      <w:b/>
                      <w:bCs/>
                      <w:lang w:val="en-GB"/>
                    </w:rPr>
                    <w:t xml:space="preserve"> </w:t>
                  </w:r>
                  <w:r w:rsidR="003E6A38">
                    <w:rPr>
                      <w:b/>
                      <w:bCs/>
                      <w:lang w:val="en-GB"/>
                    </w:rPr>
                    <w:fldChar w:fldCharType="begin" w:fldLock="1"/>
                  </w:r>
                  <w:r w:rsidR="003E6A38">
                    <w:rPr>
                      <w:b/>
                      <w:bCs/>
                      <w:lang w:val="en-GB"/>
                    </w:rPr>
                    <w:instrText xml:space="preserve"> REF _Ref208994282 \h  \* MERGEFORMAT </w:instrText>
                  </w:r>
                  <w:r w:rsidR="003E6A38">
                    <w:rPr>
                      <w:b/>
                      <w:bCs/>
                      <w:lang w:val="en-GB"/>
                    </w:rPr>
                  </w:r>
                  <w:r w:rsidR="003E6A38">
                    <w:rPr>
                      <w:b/>
                      <w:bCs/>
                      <w:lang w:val="en-GB"/>
                    </w:rPr>
                    <w:fldChar w:fldCharType="separate"/>
                  </w:r>
                  <w:r w:rsidR="008F22E5" w:rsidRPr="004750D1">
                    <w:rPr>
                      <w:rStyle w:val="Text-Bold"/>
                      <w:szCs w:val="21"/>
                    </w:rPr>
                    <w:t xml:space="preserve">Figure </w:t>
                  </w:r>
                  <w:r w:rsidR="008F22E5" w:rsidRPr="008F22E5">
                    <w:rPr>
                      <w:rStyle w:val="Text-Bold"/>
                      <w:bCs/>
                      <w:noProof/>
                      <w:szCs w:val="21"/>
                    </w:rPr>
                    <w:t>7</w:t>
                  </w:r>
                  <w:r w:rsidR="003E6A38">
                    <w:rPr>
                      <w:b/>
                      <w:bCs/>
                      <w:lang w:val="en-GB"/>
                    </w:rPr>
                    <w:fldChar w:fldCharType="end"/>
                  </w:r>
                  <w:r w:rsidR="00DE3873">
                    <w:rPr>
                      <w:b/>
                      <w:bCs/>
                      <w:lang w:val="en-GB"/>
                    </w:rPr>
                    <w:t xml:space="preserve"> </w:t>
                  </w:r>
                  <w:r w:rsidR="00DE3873">
                    <w:rPr>
                      <w:lang w:val="en-GB"/>
                    </w:rPr>
                    <w:t>below provides an overview of service user interview and survey participant demographics by services received and priority cohort.</w:t>
                  </w:r>
                  <w:r w:rsidR="00866AA6">
                    <w:rPr>
                      <w:lang w:val="en-GB"/>
                    </w:rPr>
                    <w:t xml:space="preserve"> </w:t>
                  </w:r>
                </w:p>
                <w:p w14:paraId="426D775E" w14:textId="77777777" w:rsidR="004A05C9" w:rsidRDefault="004A05C9">
                  <w:pPr>
                    <w:rPr>
                      <w:rStyle w:val="Text-Bold"/>
                      <w:rFonts w:ascii="Arial" w:hAnsi="Arial"/>
                      <w:szCs w:val="22"/>
                    </w:rPr>
                  </w:pPr>
                  <w:bookmarkStart w:id="220" w:name="_Ref202472758"/>
                  <w:bookmarkStart w:id="221" w:name="_Ref205317897"/>
                  <w:bookmarkStart w:id="222" w:name="_Toc205413057"/>
                  <w:bookmarkStart w:id="223" w:name="_Toc205413111"/>
                  <w:r>
                    <w:rPr>
                      <w:rStyle w:val="Text-Bold"/>
                      <w:b w:val="0"/>
                      <w:szCs w:val="22"/>
                    </w:rPr>
                    <w:br w:type="page"/>
                  </w:r>
                </w:p>
                <w:p w14:paraId="494565E5" w14:textId="65BA8EA0" w:rsidR="003E723B" w:rsidRPr="004750D1" w:rsidRDefault="003E723B" w:rsidP="00393BD9">
                  <w:pPr>
                    <w:pStyle w:val="TableFigure-Header"/>
                    <w:spacing w:line="276" w:lineRule="auto"/>
                    <w:rPr>
                      <w:rStyle w:val="Text-Bold"/>
                      <w:b/>
                      <w:szCs w:val="21"/>
                      <w:lang w:val="en-NZ"/>
                    </w:rPr>
                  </w:pPr>
                  <w:bookmarkStart w:id="224" w:name="_Ref208994282"/>
                  <w:r w:rsidRPr="004750D1">
                    <w:rPr>
                      <w:rStyle w:val="Text-Bold"/>
                      <w:b/>
                      <w:szCs w:val="21"/>
                      <w:lang w:val="en-NZ"/>
                    </w:rPr>
                    <w:lastRenderedPageBreak/>
                    <w:t xml:space="preserve">Figure </w:t>
                  </w:r>
                  <w:r w:rsidR="00C64C3D" w:rsidRPr="004750D1">
                    <w:rPr>
                      <w:rStyle w:val="Text-Bold"/>
                      <w:b/>
                      <w:szCs w:val="21"/>
                      <w:lang w:val="en-NZ"/>
                    </w:rPr>
                    <w:fldChar w:fldCharType="begin"/>
                  </w:r>
                  <w:r w:rsidR="00C64C3D" w:rsidRPr="004750D1">
                    <w:rPr>
                      <w:rStyle w:val="Text-Bold"/>
                      <w:b/>
                      <w:szCs w:val="21"/>
                      <w:lang w:val="en-NZ"/>
                    </w:rPr>
                    <w:instrText xml:space="preserve"> SEQ Figure \* ARABIC </w:instrText>
                  </w:r>
                  <w:r w:rsidR="00C64C3D" w:rsidRPr="004750D1">
                    <w:rPr>
                      <w:rStyle w:val="Text-Bold"/>
                      <w:b/>
                      <w:szCs w:val="21"/>
                      <w:lang w:val="en-NZ"/>
                    </w:rPr>
                    <w:fldChar w:fldCharType="separate"/>
                  </w:r>
                  <w:r w:rsidR="008D2566">
                    <w:rPr>
                      <w:rStyle w:val="Text-Bold"/>
                      <w:b/>
                      <w:noProof/>
                      <w:szCs w:val="21"/>
                      <w:lang w:val="en-NZ"/>
                    </w:rPr>
                    <w:t>7</w:t>
                  </w:r>
                  <w:r w:rsidR="00C64C3D" w:rsidRPr="004750D1">
                    <w:rPr>
                      <w:rStyle w:val="Text-Bold"/>
                      <w:b/>
                      <w:szCs w:val="21"/>
                      <w:lang w:val="en-NZ"/>
                    </w:rPr>
                    <w:fldChar w:fldCharType="end"/>
                  </w:r>
                  <w:bookmarkEnd w:id="220"/>
                  <w:bookmarkEnd w:id="221"/>
                  <w:bookmarkEnd w:id="224"/>
                  <w:r w:rsidRPr="004750D1">
                    <w:rPr>
                      <w:rStyle w:val="Text-Bold"/>
                      <w:b/>
                      <w:szCs w:val="21"/>
                      <w:lang w:val="en-NZ"/>
                    </w:rPr>
                    <w:t>: Service user interview participant demographics</w:t>
                  </w:r>
                  <w:bookmarkEnd w:id="222"/>
                  <w:bookmarkEnd w:id="223"/>
                </w:p>
                <w:p w14:paraId="59B07A68" w14:textId="336C087E" w:rsidR="004A18AC" w:rsidRDefault="00A45DEA" w:rsidP="00BB2A0A">
                  <w:pPr>
                    <w:pStyle w:val="TableFigureTitle"/>
                    <w:jc w:val="center"/>
                    <w:rPr>
                      <w:lang w:val="en-US"/>
                    </w:rPr>
                  </w:pPr>
                  <w:r w:rsidRPr="00A45DEA">
                    <w:rPr>
                      <w:noProof/>
                      <w:lang w:val="en-US"/>
                    </w:rPr>
                    <w:drawing>
                      <wp:inline distT="0" distB="0" distL="0" distR="0" wp14:anchorId="528EA64F" wp14:editId="5E3EC96F">
                        <wp:extent cx="5927345" cy="8380946"/>
                        <wp:effectExtent l="0" t="0" r="0" b="1270"/>
                        <wp:docPr id="480157619"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157619" name="Picture 1">
                                  <a:extLst>
                                    <a:ext uri="{C183D7F6-B498-43B3-948B-1728B52AA6E4}">
                                      <adec:decorative xmlns:adec="http://schemas.microsoft.com/office/drawing/2017/decorative" val="1"/>
                                    </a:ext>
                                  </a:extLst>
                                </pic:cNvPr>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927345" cy="8380946"/>
                                </a:xfrm>
                                <a:prstGeom prst="rect">
                                  <a:avLst/>
                                </a:prstGeom>
                              </pic:spPr>
                            </pic:pic>
                          </a:graphicData>
                        </a:graphic>
                      </wp:inline>
                    </w:drawing>
                  </w:r>
                </w:p>
                <w:p w14:paraId="230ECD77" w14:textId="76250F08" w:rsidR="00DE3873" w:rsidRPr="008E1B83" w:rsidRDefault="00DE3873" w:rsidP="008E1B83">
                  <w:pPr>
                    <w:pStyle w:val="TableFigure-Notes"/>
                    <w:rPr>
                      <w:i/>
                      <w:sz w:val="20"/>
                      <w:szCs w:val="20"/>
                      <w:lang w:val="en-US"/>
                    </w:rPr>
                  </w:pPr>
                  <w:r w:rsidRPr="008E1B83">
                    <w:rPr>
                      <w:i/>
                      <w:sz w:val="20"/>
                      <w:szCs w:val="20"/>
                      <w:lang w:val="en-US"/>
                    </w:rPr>
                    <w:t xml:space="preserve">Source: Service user interview and survey data </w:t>
                  </w:r>
                </w:p>
                <w:p w14:paraId="01F8D234" w14:textId="702F05A0" w:rsidR="00791D74" w:rsidRDefault="00254C41" w:rsidP="002E7436">
                  <w:pPr>
                    <w:pStyle w:val="Heading2"/>
                  </w:pPr>
                  <w:bookmarkStart w:id="225" w:name="_Toc204856731"/>
                  <w:bookmarkStart w:id="226" w:name="_Toc208906842"/>
                  <w:r>
                    <w:lastRenderedPageBreak/>
                    <w:t>Qualitative d</w:t>
                  </w:r>
                  <w:r w:rsidR="00791D74">
                    <w:t>ata analysis</w:t>
                  </w:r>
                  <w:bookmarkEnd w:id="225"/>
                  <w:bookmarkEnd w:id="226"/>
                  <w:r w:rsidR="00791D74">
                    <w:t xml:space="preserve"> </w:t>
                  </w:r>
                </w:p>
                <w:p w14:paraId="5276A5CA" w14:textId="7242A6BB" w:rsidR="0091012B" w:rsidRDefault="00A420BF" w:rsidP="00A420BF">
                  <w:pPr>
                    <w:pStyle w:val="Text"/>
                    <w:rPr>
                      <w:lang w:val="en-US"/>
                    </w:rPr>
                  </w:pPr>
                  <w:r w:rsidRPr="00A420BF">
                    <w:rPr>
                      <w:lang w:val="en-US"/>
                    </w:rPr>
                    <w:t xml:space="preserve">The evaluation team </w:t>
                  </w:r>
                  <w:r w:rsidR="002A50F3">
                    <w:rPr>
                      <w:lang w:val="en-US"/>
                    </w:rPr>
                    <w:t>developed</w:t>
                  </w:r>
                  <w:r w:rsidR="00816158" w:rsidRPr="00816158">
                    <w:rPr>
                      <w:lang w:val="en-US"/>
                    </w:rPr>
                    <w:t xml:space="preserve"> </w:t>
                  </w:r>
                  <w:r w:rsidRPr="00A420BF">
                    <w:rPr>
                      <w:lang w:val="en-US"/>
                    </w:rPr>
                    <w:t>a coding framework</w:t>
                  </w:r>
                  <w:r w:rsidR="00816158" w:rsidRPr="00816158">
                    <w:rPr>
                      <w:lang w:val="en-US"/>
                    </w:rPr>
                    <w:t xml:space="preserve">, </w:t>
                  </w:r>
                  <w:r w:rsidR="0091012B" w:rsidRPr="0091012B">
                    <w:rPr>
                      <w:lang w:val="en-US"/>
                    </w:rPr>
                    <w:t xml:space="preserve">aligned with the evaluation objectives and KEQs, </w:t>
                  </w:r>
                  <w:r w:rsidR="002A50F3">
                    <w:rPr>
                      <w:lang w:val="en-US"/>
                    </w:rPr>
                    <w:t>to structure the analysis of qualitative data</w:t>
                  </w:r>
                  <w:r w:rsidR="0091012B" w:rsidRPr="0091012B">
                    <w:rPr>
                      <w:lang w:val="en-US"/>
                    </w:rPr>
                    <w:t>. Using this framework, the</w:t>
                  </w:r>
                  <w:r w:rsidR="00817E44">
                    <w:rPr>
                      <w:lang w:val="en-US"/>
                    </w:rPr>
                    <w:t xml:space="preserve"> evaluation</w:t>
                  </w:r>
                  <w:r w:rsidR="0091012B" w:rsidRPr="0091012B">
                    <w:rPr>
                      <w:lang w:val="en-US"/>
                    </w:rPr>
                    <w:t xml:space="preserve"> team </w:t>
                  </w:r>
                  <w:r w:rsidR="00486E9B">
                    <w:rPr>
                      <w:lang w:val="en-US"/>
                    </w:rPr>
                    <w:t>systematically</w:t>
                  </w:r>
                  <w:r w:rsidR="00486E9B" w:rsidRPr="0091012B">
                    <w:rPr>
                      <w:lang w:val="en-US"/>
                    </w:rPr>
                    <w:t xml:space="preserve"> </w:t>
                  </w:r>
                  <w:r w:rsidR="0091012B" w:rsidRPr="0091012B">
                    <w:rPr>
                      <w:lang w:val="en-US"/>
                    </w:rPr>
                    <w:t xml:space="preserve">coded interview </w:t>
                  </w:r>
                  <w:r w:rsidR="00AF04FA">
                    <w:rPr>
                      <w:lang w:val="en-US"/>
                    </w:rPr>
                    <w:t>and focus group</w:t>
                  </w:r>
                  <w:r w:rsidR="00816158" w:rsidRPr="00816158">
                    <w:rPr>
                      <w:lang w:val="en-US"/>
                    </w:rPr>
                    <w:t xml:space="preserve"> </w:t>
                  </w:r>
                  <w:r w:rsidR="0091012B" w:rsidRPr="0091012B">
                    <w:rPr>
                      <w:lang w:val="en-US"/>
                    </w:rPr>
                    <w:t>notes and open-text survey responses to identify key themes and sub-themes emerging from engagement with service providers and users</w:t>
                  </w:r>
                  <w:r w:rsidR="00816158" w:rsidRPr="00816158">
                    <w:rPr>
                      <w:lang w:val="en-US"/>
                    </w:rPr>
                    <w:t>.</w:t>
                  </w:r>
                  <w:r w:rsidR="0091012B" w:rsidRPr="0091012B">
                    <w:rPr>
                      <w:lang w:val="en-US"/>
                    </w:rPr>
                    <w:t xml:space="preserve"> </w:t>
                  </w:r>
                  <w:r w:rsidR="00AF04FA">
                    <w:rPr>
                      <w:lang w:val="en-US"/>
                    </w:rPr>
                    <w:t xml:space="preserve">Interview and focus group transcripts were used to </w:t>
                  </w:r>
                  <w:r w:rsidR="003D6D1B">
                    <w:rPr>
                      <w:lang w:val="en-US"/>
                    </w:rPr>
                    <w:t>identify quotes that exemplified analytical themes.</w:t>
                  </w:r>
                  <w:r w:rsidR="00AF04FA">
                    <w:rPr>
                      <w:lang w:val="en-US"/>
                    </w:rPr>
                    <w:t xml:space="preserve"> </w:t>
                  </w:r>
                  <w:r w:rsidR="0091012B" w:rsidRPr="0091012B">
                    <w:rPr>
                      <w:lang w:val="en-US"/>
                    </w:rPr>
                    <w:t>This text-based analysis was conducted in NVivo Pro™ to identify patterns of commonality or significance</w:t>
                  </w:r>
                  <w:r w:rsidR="00486E9B">
                    <w:rPr>
                      <w:lang w:val="en-US"/>
                    </w:rPr>
                    <w:t>.</w:t>
                  </w:r>
                  <w:r w:rsidR="0091012B" w:rsidRPr="0091012B">
                    <w:rPr>
                      <w:lang w:val="en-US"/>
                    </w:rPr>
                    <w:t xml:space="preserve"> </w:t>
                  </w:r>
                  <w:r w:rsidR="00486E9B">
                    <w:rPr>
                      <w:lang w:val="en-US"/>
                    </w:rPr>
                    <w:t>F</w:t>
                  </w:r>
                  <w:r w:rsidR="0091012B" w:rsidRPr="0091012B">
                    <w:rPr>
                      <w:lang w:val="en-US"/>
                    </w:rPr>
                    <w:t xml:space="preserve">indings were </w:t>
                  </w:r>
                  <w:r w:rsidR="00486E9B">
                    <w:rPr>
                      <w:lang w:val="en-US"/>
                    </w:rPr>
                    <w:t xml:space="preserve">then </w:t>
                  </w:r>
                  <w:r w:rsidR="0091012B" w:rsidRPr="0091012B">
                    <w:rPr>
                      <w:lang w:val="en-US"/>
                    </w:rPr>
                    <w:t>synthesised in a structure that best addressed the KEQs. In parallel, descriptive analysis of quantitative survey responses was undertaken using Qualtrics’ inbuilt tools and Excel.</w:t>
                  </w:r>
                </w:p>
                <w:p w14:paraId="3D5BC8B0" w14:textId="10E7C8AB" w:rsidR="0004110C" w:rsidRPr="0004110C" w:rsidRDefault="0015074A" w:rsidP="002E7436">
                  <w:pPr>
                    <w:pStyle w:val="Heading2"/>
                  </w:pPr>
                  <w:bookmarkStart w:id="227" w:name="_Toc204856732"/>
                  <w:bookmarkStart w:id="228" w:name="_Toc208906843"/>
                  <w:r>
                    <w:t>Quantitative data analysis</w:t>
                  </w:r>
                  <w:bookmarkEnd w:id="227"/>
                  <w:bookmarkEnd w:id="228"/>
                  <w:r>
                    <w:t xml:space="preserve"> </w:t>
                  </w:r>
                </w:p>
                <w:p w14:paraId="18E8955E" w14:textId="40753F5E" w:rsidR="00C84E25" w:rsidRDefault="00117C22" w:rsidP="00F650E2">
                  <w:pPr>
                    <w:pStyle w:val="Text"/>
                  </w:pPr>
                  <w:r>
                    <w:t>As part of the evaluation</w:t>
                  </w:r>
                  <w:r w:rsidR="00C341FE">
                    <w:t>’</w:t>
                  </w:r>
                  <w:r>
                    <w:t>s mixed</w:t>
                  </w:r>
                  <w:r w:rsidR="00BB0CD6">
                    <w:t>-</w:t>
                  </w:r>
                  <w:r>
                    <w:t>method</w:t>
                  </w:r>
                  <w:r w:rsidR="00C341FE">
                    <w:t>s</w:t>
                  </w:r>
                  <w:r>
                    <w:t xml:space="preserve"> approach, the evaluation team </w:t>
                  </w:r>
                  <w:r w:rsidR="006C592F">
                    <w:t>analysed</w:t>
                  </w:r>
                  <w:r>
                    <w:t xml:space="preserve"> secondary </w:t>
                  </w:r>
                  <w:r w:rsidR="006C592F">
                    <w:t xml:space="preserve">quantitative </w:t>
                  </w:r>
                  <w:r>
                    <w:t xml:space="preserve">data </w:t>
                  </w:r>
                  <w:r w:rsidR="2CCE8250">
                    <w:t>on service user outcomes and program expenditure</w:t>
                  </w:r>
                  <w:r w:rsidR="2165CF6E">
                    <w:t xml:space="preserve"> from two key data sources: </w:t>
                  </w:r>
                </w:p>
                <w:p w14:paraId="6DBC36D8" w14:textId="613F74F5" w:rsidR="00AD142C" w:rsidRPr="00253268" w:rsidRDefault="4E6E7B76" w:rsidP="00F650E2">
                  <w:pPr>
                    <w:pStyle w:val="Bullet1"/>
                    <w:rPr>
                      <w:lang w:val="en-GB"/>
                    </w:rPr>
                  </w:pPr>
                  <w:r>
                    <w:t xml:space="preserve">DEX </w:t>
                  </w:r>
                  <w:r w:rsidR="00D53CCF">
                    <w:t>data</w:t>
                  </w:r>
                  <w:r>
                    <w:t xml:space="preserve"> provided at the </w:t>
                  </w:r>
                  <w:r w:rsidR="004F5F1D">
                    <w:t>de-identified</w:t>
                  </w:r>
                  <w:r>
                    <w:t xml:space="preserve"> individual level by the Department</w:t>
                  </w:r>
                </w:p>
                <w:p w14:paraId="31FE44A9" w14:textId="62D4A74C" w:rsidR="00AD142C" w:rsidRPr="00253268" w:rsidRDefault="00F27346" w:rsidP="00253268">
                  <w:pPr>
                    <w:pStyle w:val="Bullet1"/>
                    <w:rPr>
                      <w:lang w:val="en-GB"/>
                    </w:rPr>
                  </w:pPr>
                  <w:r>
                    <w:t xml:space="preserve">an </w:t>
                  </w:r>
                  <w:r w:rsidR="4E6E7B76">
                    <w:t>aggreg</w:t>
                  </w:r>
                  <w:r w:rsidR="00193FE0">
                    <w:t>a</w:t>
                  </w:r>
                  <w:r w:rsidR="4E6E7B76">
                    <w:t>ted data extract that integrates data from GPS and DEX (referred to as the GPS - DEX dat</w:t>
                  </w:r>
                  <w:r w:rsidR="281DA784">
                    <w:t xml:space="preserve">a </w:t>
                  </w:r>
                  <w:r w:rsidR="2CCE8250">
                    <w:t>abstract)</w:t>
                  </w:r>
                  <w:r w:rsidR="00AD142C">
                    <w:t xml:space="preserve"> </w:t>
                  </w:r>
                  <w:r w:rsidR="00117C22">
                    <w:t>service-level performance and adm</w:t>
                  </w:r>
                  <w:r w:rsidR="00FA6D29">
                    <w:t xml:space="preserve">inistrative data. </w:t>
                  </w:r>
                </w:p>
                <w:p w14:paraId="420BBF44" w14:textId="10C0CB0C" w:rsidR="00986F5F" w:rsidRDefault="008278DD" w:rsidP="00986F5F">
                  <w:pPr>
                    <w:pStyle w:val="Text"/>
                  </w:pPr>
                  <w:r w:rsidRPr="006304CD">
                    <w:t>Throughout this report,</w:t>
                  </w:r>
                  <w:r w:rsidRPr="006304CD">
                    <w:rPr>
                      <w:rStyle w:val="Text-BodyHeadingChar"/>
                      <w:b w:val="0"/>
                      <w:bCs w:val="0"/>
                      <w:color w:val="auto"/>
                      <w:spacing w:val="0"/>
                      <w:lang w:val="en-NZ"/>
                    </w:rPr>
                    <w:t xml:space="preserve"> all changes were statistically significant (</w:t>
                  </w:r>
                  <w:r w:rsidRPr="006304CD">
                    <w:rPr>
                      <w:rStyle w:val="Text-BodyHeadingChar"/>
                      <w:b w:val="0"/>
                      <w:bCs w:val="0"/>
                      <w:i/>
                      <w:iCs/>
                      <w:color w:val="auto"/>
                      <w:spacing w:val="0"/>
                      <w:lang w:val="en-NZ"/>
                    </w:rPr>
                    <w:t>p</w:t>
                  </w:r>
                  <w:r w:rsidRPr="006304CD">
                    <w:rPr>
                      <w:rStyle w:val="Text-BodyHeadingChar"/>
                      <w:b w:val="0"/>
                      <w:bCs w:val="0"/>
                      <w:color w:val="auto"/>
                      <w:spacing w:val="0"/>
                      <w:lang w:val="en-NZ"/>
                    </w:rPr>
                    <w:t>&lt;.001).</w:t>
                  </w:r>
                  <w:r>
                    <w:rPr>
                      <w:rStyle w:val="Text-BodyHeadingChar"/>
                      <w:b w:val="0"/>
                      <w:bCs w:val="0"/>
                      <w:color w:val="auto"/>
                      <w:spacing w:val="0"/>
                      <w:lang w:val="en-NZ"/>
                    </w:rPr>
                    <w:t xml:space="preserve"> </w:t>
                  </w:r>
                  <w:r w:rsidR="2C258B34">
                    <w:t xml:space="preserve">Various </w:t>
                  </w:r>
                  <w:r w:rsidR="68674CD6">
                    <w:t>dataset</w:t>
                  </w:r>
                  <w:r w:rsidR="6E4AB970">
                    <w:t>s</w:t>
                  </w:r>
                  <w:r w:rsidR="00426531">
                    <w:t xml:space="preserve"> pertaining to </w:t>
                  </w:r>
                  <w:r w:rsidR="001D1403">
                    <w:t>service user</w:t>
                  </w:r>
                  <w:r w:rsidR="00426531">
                    <w:t xml:space="preserve"> assessments</w:t>
                  </w:r>
                  <w:r w:rsidR="000F6D5A">
                    <w:t>,</w:t>
                  </w:r>
                  <w:r w:rsidR="00426531">
                    <w:t xml:space="preserve"> </w:t>
                  </w:r>
                  <w:r w:rsidR="008564FF">
                    <w:t>including all available</w:t>
                  </w:r>
                  <w:r w:rsidR="00426531">
                    <w:t xml:space="preserve"> </w:t>
                  </w:r>
                  <w:r w:rsidR="008564FF">
                    <w:t>Standard Client/Community Outcomes Reporting (</w:t>
                  </w:r>
                  <w:r w:rsidR="00715E3F">
                    <w:t>SCORE</w:t>
                  </w:r>
                  <w:r w:rsidR="008564FF">
                    <w:t>)</w:t>
                  </w:r>
                  <w:r w:rsidR="00426531">
                    <w:t xml:space="preserve"> observations</w:t>
                  </w:r>
                  <w:r w:rsidR="000F6D5A">
                    <w:t>,</w:t>
                  </w:r>
                  <w:r w:rsidR="00426531">
                    <w:t xml:space="preserve"> formed the basis of the quantitative analysis. </w:t>
                  </w:r>
                  <w:r w:rsidR="008564FF">
                    <w:t xml:space="preserve">SCORE data measures the result of a </w:t>
                  </w:r>
                  <w:r w:rsidR="001D1403">
                    <w:t>service user</w:t>
                  </w:r>
                  <w:r w:rsidR="008564FF">
                    <w:t xml:space="preserve">’s interaction with a funded service, making it the closest available proxy to outcome data. </w:t>
                  </w:r>
                  <w:r w:rsidR="00426531">
                    <w:t xml:space="preserve">Data </w:t>
                  </w:r>
                  <w:r w:rsidR="0045471B">
                    <w:t>were</w:t>
                  </w:r>
                  <w:r w:rsidR="00426531">
                    <w:t xml:space="preserve"> analysed separately for FaRS</w:t>
                  </w:r>
                  <w:r w:rsidR="008564FF">
                    <w:t xml:space="preserve"> </w:t>
                  </w:r>
                  <w:r w:rsidR="00783967">
                    <w:t>and</w:t>
                  </w:r>
                  <w:r w:rsidR="008564FF">
                    <w:t xml:space="preserve"> SFVS</w:t>
                  </w:r>
                  <w:r w:rsidR="00426531">
                    <w:t xml:space="preserve"> activities for the evaluation period, comprised of the six-month reporting periods between 1 July 2021 and 30 June 2024</w:t>
                  </w:r>
                  <w:r w:rsidR="003B4BDB">
                    <w:t>.</w:t>
                  </w:r>
                  <w:r w:rsidR="00426531">
                    <w:t xml:space="preserve"> </w:t>
                  </w:r>
                </w:p>
                <w:p w14:paraId="2B2D9979" w14:textId="04A06C30" w:rsidR="00B837A4" w:rsidRDefault="00B837A4" w:rsidP="00321BC5">
                  <w:pPr>
                    <w:pStyle w:val="Text-BodyHeading"/>
                    <w:spacing w:before="360" w:after="240"/>
                  </w:pPr>
                  <w:r>
                    <w:t xml:space="preserve">DEX data – </w:t>
                  </w:r>
                  <w:r w:rsidR="001D1403">
                    <w:t>service user</w:t>
                  </w:r>
                  <w:r>
                    <w:t xml:space="preserve"> level assessment outcome data overview </w:t>
                  </w:r>
                </w:p>
                <w:p w14:paraId="41CD8931" w14:textId="0A6888E4" w:rsidR="00B837A4" w:rsidRPr="0006636B" w:rsidRDefault="00B837A4" w:rsidP="00B837A4">
                  <w:pPr>
                    <w:pStyle w:val="Text"/>
                    <w:rPr>
                      <w:i/>
                    </w:rPr>
                  </w:pPr>
                  <w:r>
                    <w:t xml:space="preserve">The unit of analysis is the individual </w:t>
                  </w:r>
                  <w:r w:rsidR="001D1403">
                    <w:t>service user</w:t>
                  </w:r>
                  <w:r>
                    <w:t xml:space="preserve"> as identified by the unique </w:t>
                  </w:r>
                  <w:r w:rsidR="001D1403">
                    <w:t>service user</w:t>
                  </w:r>
                  <w:r>
                    <w:t xml:space="preserve"> identifier. It is noted that more than one identifier may be assigned to the same individual if, for example, a person received services from multiple outlets or organisations. For these analyses however, each identifier is treated as representing one individual as there was no efficient, deterministic way to account for this artefact given these data.</w:t>
                  </w:r>
                </w:p>
                <w:p w14:paraId="124F0BD8" w14:textId="57C4D3E5" w:rsidR="00B837A4" w:rsidRPr="00300B66" w:rsidRDefault="00B837A4" w:rsidP="00B837A4">
                  <w:pPr>
                    <w:pStyle w:val="Text"/>
                  </w:pPr>
                  <w:r>
                    <w:t xml:space="preserve">There were 116,097 unique </w:t>
                  </w:r>
                  <w:r w:rsidR="001D1403">
                    <w:t>service user</w:t>
                  </w:r>
                  <w:r>
                    <w:t xml:space="preserve"> identifiers assigned to persons with at least one SCORE assessment recorded in the FaRS activity and 11,711 unique identifiers for those in the SFVS activity. The total number of unique identifiers was 126,600 indicating that 1,268 persons were potentially receiving services under both activities over the course of the evaluation period.</w:t>
                  </w:r>
                </w:p>
                <w:p w14:paraId="4B447EC4" w14:textId="42544E86" w:rsidR="00E62731" w:rsidRDefault="008072B4" w:rsidP="00B837A4">
                  <w:pPr>
                    <w:pStyle w:val="Text"/>
                  </w:pPr>
                  <w:r>
                    <w:t>A</w:t>
                  </w:r>
                  <w:r w:rsidR="00B837A4" w:rsidRPr="00EA5867">
                    <w:t xml:space="preserve"> total of 2,056,468 </w:t>
                  </w:r>
                  <w:r w:rsidR="008512EC">
                    <w:t xml:space="preserve">assessments were reported across all </w:t>
                  </w:r>
                  <w:r w:rsidR="00B837A4" w:rsidRPr="00EA5867">
                    <w:t>SCORE domain</w:t>
                  </w:r>
                  <w:r w:rsidR="008512EC">
                    <w:t>s for FaRS.</w:t>
                  </w:r>
                  <w:r w:rsidR="00B837A4" w:rsidRPr="00EA5867">
                    <w:t xml:space="preserve"> 208,481 assessments </w:t>
                  </w:r>
                  <w:r w:rsidR="00D75FE7">
                    <w:t xml:space="preserve">were reported across the relevant </w:t>
                  </w:r>
                  <w:r w:rsidR="00B837A4" w:rsidRPr="00EA5867">
                    <w:t>domain</w:t>
                  </w:r>
                  <w:r w:rsidR="00D75FE7">
                    <w:t>s</w:t>
                  </w:r>
                  <w:r w:rsidR="00B837A4" w:rsidRPr="00EA5867">
                    <w:t xml:space="preserve"> for SFVS. These correspond to 204,738 individual sessions (as identified by the unique session identifier) for </w:t>
                  </w:r>
                  <w:r w:rsidR="00B837A4" w:rsidRPr="00EA5867">
                    <w:lastRenderedPageBreak/>
                    <w:t xml:space="preserve">FaRS and 25,478 for SFVS. More than one assessment can be conducted in the same session (i.e. pre- and post-session). </w:t>
                  </w:r>
                  <w:r w:rsidR="00B837A4" w:rsidRPr="00BA68CC">
                    <w:rPr>
                      <w:b/>
                      <w:bCs/>
                    </w:rPr>
                    <w:fldChar w:fldCharType="begin" w:fldLock="1"/>
                  </w:r>
                  <w:r w:rsidR="00B837A4" w:rsidRPr="00BA68CC">
                    <w:rPr>
                      <w:b/>
                      <w:bCs/>
                    </w:rPr>
                    <w:instrText xml:space="preserve"> REF _Ref204597492 \h  \* MERGEFORMAT </w:instrText>
                  </w:r>
                  <w:r w:rsidR="00B837A4" w:rsidRPr="00BA68CC">
                    <w:rPr>
                      <w:b/>
                      <w:bCs/>
                    </w:rPr>
                  </w:r>
                  <w:r w:rsidR="00B837A4" w:rsidRPr="00BA68CC">
                    <w:rPr>
                      <w:b/>
                      <w:bCs/>
                    </w:rPr>
                    <w:fldChar w:fldCharType="separate"/>
                  </w:r>
                  <w:r w:rsidR="008F22E5" w:rsidRPr="008F22E5">
                    <w:rPr>
                      <w:rStyle w:val="Text-Bold"/>
                    </w:rPr>
                    <w:t xml:space="preserve">Table </w:t>
                  </w:r>
                  <w:r w:rsidR="008F22E5" w:rsidRPr="008F22E5">
                    <w:rPr>
                      <w:rStyle w:val="Text-Bold"/>
                      <w:noProof/>
                    </w:rPr>
                    <w:t>2</w:t>
                  </w:r>
                  <w:r w:rsidR="00B837A4" w:rsidRPr="00BA68CC">
                    <w:rPr>
                      <w:b/>
                      <w:bCs/>
                    </w:rPr>
                    <w:fldChar w:fldCharType="end"/>
                  </w:r>
                  <w:r w:rsidR="00B837A4">
                    <w:rPr>
                      <w:b/>
                      <w:bCs/>
                    </w:rPr>
                    <w:t xml:space="preserve"> </w:t>
                  </w:r>
                  <w:r w:rsidR="00B837A4" w:rsidRPr="00EA5867">
                    <w:t>presents summary ratios for these activities.</w:t>
                  </w:r>
                </w:p>
                <w:p w14:paraId="1E66E182" w14:textId="5BF6B563" w:rsidR="00B837A4" w:rsidRPr="004750D1" w:rsidRDefault="00B837A4" w:rsidP="00393BD9">
                  <w:pPr>
                    <w:pStyle w:val="Text"/>
                    <w:rPr>
                      <w:rStyle w:val="Text-Bold"/>
                      <w:sz w:val="21"/>
                      <w:szCs w:val="21"/>
                    </w:rPr>
                  </w:pPr>
                  <w:bookmarkStart w:id="229" w:name="_Ref204597492"/>
                  <w:r w:rsidRPr="004750D1">
                    <w:rPr>
                      <w:rStyle w:val="Text-Bold"/>
                      <w:sz w:val="21"/>
                      <w:szCs w:val="21"/>
                    </w:rPr>
                    <w:t xml:space="preserve">Table </w:t>
                  </w:r>
                  <w:r w:rsidR="00F50CD8" w:rsidRPr="004750D1">
                    <w:rPr>
                      <w:rStyle w:val="Text-Bold"/>
                      <w:sz w:val="21"/>
                      <w:szCs w:val="21"/>
                    </w:rPr>
                    <w:fldChar w:fldCharType="begin"/>
                  </w:r>
                  <w:r w:rsidR="00F50CD8" w:rsidRPr="004750D1">
                    <w:rPr>
                      <w:rStyle w:val="Text-Bold"/>
                      <w:sz w:val="21"/>
                      <w:szCs w:val="21"/>
                    </w:rPr>
                    <w:instrText xml:space="preserve"> SEQ Table \* ARABIC </w:instrText>
                  </w:r>
                  <w:r w:rsidR="00F50CD8" w:rsidRPr="004750D1">
                    <w:rPr>
                      <w:rStyle w:val="Text-Bold"/>
                      <w:sz w:val="21"/>
                      <w:szCs w:val="21"/>
                    </w:rPr>
                    <w:fldChar w:fldCharType="separate"/>
                  </w:r>
                  <w:r w:rsidR="008D2566">
                    <w:rPr>
                      <w:rStyle w:val="Text-Bold"/>
                      <w:noProof/>
                      <w:sz w:val="21"/>
                      <w:szCs w:val="21"/>
                    </w:rPr>
                    <w:t>2</w:t>
                  </w:r>
                  <w:r w:rsidR="00F50CD8" w:rsidRPr="004750D1">
                    <w:rPr>
                      <w:rStyle w:val="Text-Bold"/>
                      <w:sz w:val="21"/>
                      <w:szCs w:val="21"/>
                    </w:rPr>
                    <w:fldChar w:fldCharType="end"/>
                  </w:r>
                  <w:bookmarkEnd w:id="229"/>
                  <w:r w:rsidRPr="004750D1">
                    <w:rPr>
                      <w:rStyle w:val="Text-Bold"/>
                      <w:sz w:val="21"/>
                      <w:szCs w:val="21"/>
                    </w:rPr>
                    <w:t xml:space="preserve">: </w:t>
                  </w:r>
                  <w:r w:rsidR="003E3FB0" w:rsidRPr="004750D1">
                    <w:rPr>
                      <w:rStyle w:val="Text-Bold"/>
                      <w:sz w:val="21"/>
                      <w:szCs w:val="21"/>
                    </w:rPr>
                    <w:t>Service users</w:t>
                  </w:r>
                  <w:r w:rsidR="00181ABA" w:rsidRPr="004750D1">
                    <w:rPr>
                      <w:rStyle w:val="Text-Bold"/>
                      <w:sz w:val="21"/>
                      <w:szCs w:val="21"/>
                    </w:rPr>
                    <w:t xml:space="preserve"> and session with SCORE</w:t>
                  </w:r>
                  <w:r w:rsidRPr="004750D1">
                    <w:rPr>
                      <w:rStyle w:val="Text-Bold"/>
                      <w:sz w:val="21"/>
                      <w:szCs w:val="21"/>
                    </w:rPr>
                    <w:t xml:space="preserve"> assessments, FaRS and SFVS, July 2021 </w:t>
                  </w:r>
                  <w:r w:rsidR="00953B9E">
                    <w:rPr>
                      <w:rStyle w:val="Text-Bold"/>
                      <w:sz w:val="21"/>
                      <w:szCs w:val="21"/>
                    </w:rPr>
                    <w:t>to</w:t>
                  </w:r>
                  <w:r w:rsidRPr="004750D1">
                    <w:rPr>
                      <w:rStyle w:val="Text-Bold"/>
                      <w:sz w:val="21"/>
                      <w:szCs w:val="21"/>
                    </w:rPr>
                    <w:t xml:space="preserve"> June 2024</w:t>
                  </w:r>
                </w:p>
                <w:tbl>
                  <w:tblPr>
                    <w:tblStyle w:val="TableGrid"/>
                    <w:tblW w:w="5000" w:type="pct"/>
                    <w:tblLayout w:type="fixed"/>
                    <w:tblLook w:val="04A0" w:firstRow="1" w:lastRow="0" w:firstColumn="1" w:lastColumn="0" w:noHBand="0" w:noVBand="1"/>
                  </w:tblPr>
                  <w:tblGrid>
                    <w:gridCol w:w="991"/>
                    <w:gridCol w:w="989"/>
                    <w:gridCol w:w="1559"/>
                    <w:gridCol w:w="1135"/>
                    <w:gridCol w:w="1558"/>
                    <w:gridCol w:w="1275"/>
                    <w:gridCol w:w="1512"/>
                  </w:tblGrid>
                  <w:tr w:rsidR="00B837A4" w:rsidRPr="00975AA8" w14:paraId="4E12F7F9" w14:textId="77777777">
                    <w:trPr>
                      <w:trHeight w:val="290"/>
                    </w:trPr>
                    <w:tc>
                      <w:tcPr>
                        <w:tcW w:w="549" w:type="pct"/>
                        <w:tcBorders>
                          <w:top w:val="single" w:sz="4" w:space="0" w:color="auto"/>
                          <w:left w:val="single" w:sz="4" w:space="0" w:color="auto"/>
                          <w:bottom w:val="single" w:sz="4" w:space="0" w:color="auto"/>
                          <w:right w:val="single" w:sz="4" w:space="0" w:color="auto"/>
                        </w:tcBorders>
                        <w:shd w:val="clear" w:color="auto" w:fill="007E00" w:themeFill="accent3"/>
                        <w:noWrap/>
                        <w:hideMark/>
                      </w:tcPr>
                      <w:p w14:paraId="6BE5EC73" w14:textId="77777777" w:rsidR="00B837A4" w:rsidRPr="000D2FE4" w:rsidRDefault="00B837A4">
                        <w:pPr>
                          <w:pStyle w:val="TableText"/>
                          <w:rPr>
                            <w:b/>
                            <w:bCs/>
                            <w:color w:val="FFFFFF" w:themeColor="background1"/>
                            <w:sz w:val="20"/>
                          </w:rPr>
                        </w:pPr>
                        <w:r w:rsidRPr="000D2FE4">
                          <w:rPr>
                            <w:b/>
                            <w:bCs/>
                            <w:color w:val="FFFFFF" w:themeColor="background1"/>
                            <w:sz w:val="20"/>
                          </w:rPr>
                          <w:t>Activity</w:t>
                        </w:r>
                      </w:p>
                    </w:tc>
                    <w:tc>
                      <w:tcPr>
                        <w:tcW w:w="548" w:type="pct"/>
                        <w:tcBorders>
                          <w:top w:val="single" w:sz="4" w:space="0" w:color="auto"/>
                          <w:left w:val="single" w:sz="4" w:space="0" w:color="auto"/>
                          <w:bottom w:val="single" w:sz="4" w:space="0" w:color="auto"/>
                          <w:right w:val="single" w:sz="4" w:space="0" w:color="auto"/>
                        </w:tcBorders>
                        <w:shd w:val="clear" w:color="auto" w:fill="007E00" w:themeFill="accent3"/>
                        <w:noWrap/>
                        <w:hideMark/>
                      </w:tcPr>
                      <w:p w14:paraId="6EACE8C4" w14:textId="5BA10A46" w:rsidR="00B837A4" w:rsidRPr="000D2FE4" w:rsidRDefault="00606488">
                        <w:pPr>
                          <w:pStyle w:val="TableText"/>
                          <w:rPr>
                            <w:b/>
                            <w:bCs/>
                            <w:color w:val="FFFFFF" w:themeColor="background1"/>
                            <w:sz w:val="20"/>
                          </w:rPr>
                        </w:pPr>
                        <w:r>
                          <w:rPr>
                            <w:b/>
                            <w:bCs/>
                            <w:color w:val="FFFFFF" w:themeColor="background1"/>
                            <w:sz w:val="20"/>
                          </w:rPr>
                          <w:t>Service users (n=</w:t>
                        </w:r>
                        <w:r w:rsidR="00B837A4" w:rsidRPr="000D2FE4">
                          <w:rPr>
                            <w:b/>
                            <w:bCs/>
                            <w:color w:val="FFFFFF" w:themeColor="background1"/>
                            <w:sz w:val="20"/>
                          </w:rPr>
                          <w:t>)</w:t>
                        </w:r>
                      </w:p>
                    </w:tc>
                    <w:tc>
                      <w:tcPr>
                        <w:tcW w:w="864" w:type="pct"/>
                        <w:tcBorders>
                          <w:top w:val="single" w:sz="4" w:space="0" w:color="auto"/>
                          <w:left w:val="single" w:sz="4" w:space="0" w:color="auto"/>
                          <w:bottom w:val="single" w:sz="4" w:space="0" w:color="auto"/>
                          <w:right w:val="single" w:sz="4" w:space="0" w:color="auto"/>
                        </w:tcBorders>
                        <w:shd w:val="clear" w:color="auto" w:fill="007E00" w:themeFill="accent3"/>
                        <w:noWrap/>
                        <w:hideMark/>
                      </w:tcPr>
                      <w:p w14:paraId="7A6AA41B" w14:textId="4C13FA3E" w:rsidR="00B837A4" w:rsidRPr="000D2FE4" w:rsidRDefault="00B837A4">
                        <w:pPr>
                          <w:pStyle w:val="TableText"/>
                          <w:rPr>
                            <w:b/>
                            <w:bCs/>
                            <w:color w:val="FFFFFF" w:themeColor="background1"/>
                            <w:sz w:val="20"/>
                          </w:rPr>
                        </w:pPr>
                        <w:r w:rsidRPr="000D2FE4">
                          <w:rPr>
                            <w:b/>
                            <w:bCs/>
                            <w:color w:val="FFFFFF" w:themeColor="background1"/>
                            <w:sz w:val="20"/>
                          </w:rPr>
                          <w:t>Assessments (</w:t>
                        </w:r>
                        <w:r w:rsidR="00606488">
                          <w:rPr>
                            <w:b/>
                            <w:bCs/>
                            <w:color w:val="FFFFFF" w:themeColor="background1"/>
                            <w:sz w:val="20"/>
                          </w:rPr>
                          <w:t>n=</w:t>
                        </w:r>
                        <w:r w:rsidRPr="000D2FE4">
                          <w:rPr>
                            <w:b/>
                            <w:bCs/>
                            <w:color w:val="FFFFFF" w:themeColor="background1"/>
                            <w:sz w:val="20"/>
                          </w:rPr>
                          <w:t>)</w:t>
                        </w:r>
                      </w:p>
                    </w:tc>
                    <w:tc>
                      <w:tcPr>
                        <w:tcW w:w="629" w:type="pct"/>
                        <w:tcBorders>
                          <w:top w:val="single" w:sz="4" w:space="0" w:color="auto"/>
                          <w:left w:val="single" w:sz="4" w:space="0" w:color="auto"/>
                          <w:bottom w:val="single" w:sz="4" w:space="0" w:color="auto"/>
                          <w:right w:val="single" w:sz="4" w:space="0" w:color="auto"/>
                        </w:tcBorders>
                        <w:shd w:val="clear" w:color="auto" w:fill="007E00" w:themeFill="accent3"/>
                        <w:noWrap/>
                        <w:hideMark/>
                      </w:tcPr>
                      <w:p w14:paraId="68269837" w14:textId="3573FC0F" w:rsidR="00B837A4" w:rsidRPr="000D2FE4" w:rsidRDefault="00B837A4">
                        <w:pPr>
                          <w:pStyle w:val="TableText"/>
                          <w:rPr>
                            <w:b/>
                            <w:bCs/>
                            <w:color w:val="FFFFFF" w:themeColor="background1"/>
                            <w:sz w:val="20"/>
                          </w:rPr>
                        </w:pPr>
                        <w:r w:rsidRPr="000D2FE4">
                          <w:rPr>
                            <w:b/>
                            <w:bCs/>
                            <w:color w:val="FFFFFF" w:themeColor="background1"/>
                            <w:sz w:val="20"/>
                          </w:rPr>
                          <w:t>Sessions (</w:t>
                        </w:r>
                        <w:r w:rsidR="00606488">
                          <w:rPr>
                            <w:b/>
                            <w:bCs/>
                            <w:color w:val="FFFFFF" w:themeColor="background1"/>
                            <w:sz w:val="20"/>
                          </w:rPr>
                          <w:t>n=</w:t>
                        </w:r>
                        <w:r w:rsidRPr="000D2FE4">
                          <w:rPr>
                            <w:b/>
                            <w:bCs/>
                            <w:color w:val="FFFFFF" w:themeColor="background1"/>
                            <w:sz w:val="20"/>
                          </w:rPr>
                          <w:t>)</w:t>
                        </w:r>
                      </w:p>
                    </w:tc>
                    <w:tc>
                      <w:tcPr>
                        <w:tcW w:w="864" w:type="pct"/>
                        <w:tcBorders>
                          <w:top w:val="single" w:sz="4" w:space="0" w:color="auto"/>
                          <w:left w:val="single" w:sz="4" w:space="0" w:color="auto"/>
                          <w:bottom w:val="single" w:sz="4" w:space="0" w:color="auto"/>
                          <w:right w:val="single" w:sz="4" w:space="0" w:color="auto"/>
                        </w:tcBorders>
                        <w:shd w:val="clear" w:color="auto" w:fill="007E00" w:themeFill="accent3"/>
                        <w:noWrap/>
                        <w:hideMark/>
                      </w:tcPr>
                      <w:p w14:paraId="2BAA724A" w14:textId="6249B5C1" w:rsidR="00B837A4" w:rsidRPr="000D2FE4" w:rsidRDefault="00B837A4">
                        <w:pPr>
                          <w:pStyle w:val="TableText"/>
                          <w:rPr>
                            <w:b/>
                            <w:bCs/>
                            <w:color w:val="FFFFFF" w:themeColor="background1"/>
                            <w:sz w:val="20"/>
                          </w:rPr>
                        </w:pPr>
                        <w:r w:rsidRPr="000D2FE4">
                          <w:rPr>
                            <w:b/>
                            <w:bCs/>
                            <w:color w:val="FFFFFF" w:themeColor="background1"/>
                            <w:sz w:val="20"/>
                          </w:rPr>
                          <w:t xml:space="preserve">Assessments per </w:t>
                        </w:r>
                        <w:r w:rsidR="001D1403">
                          <w:rPr>
                            <w:b/>
                            <w:bCs/>
                            <w:color w:val="FFFFFF" w:themeColor="background1"/>
                            <w:sz w:val="20"/>
                          </w:rPr>
                          <w:t>service user</w:t>
                        </w:r>
                        <w:r w:rsidRPr="000D2FE4">
                          <w:rPr>
                            <w:b/>
                            <w:bCs/>
                            <w:color w:val="FFFFFF" w:themeColor="background1"/>
                            <w:sz w:val="20"/>
                          </w:rPr>
                          <w:t xml:space="preserve"> (mean)</w:t>
                        </w:r>
                      </w:p>
                    </w:tc>
                    <w:tc>
                      <w:tcPr>
                        <w:tcW w:w="707" w:type="pct"/>
                        <w:tcBorders>
                          <w:top w:val="single" w:sz="4" w:space="0" w:color="auto"/>
                          <w:left w:val="single" w:sz="4" w:space="0" w:color="auto"/>
                          <w:bottom w:val="single" w:sz="4" w:space="0" w:color="auto"/>
                          <w:right w:val="single" w:sz="4" w:space="0" w:color="auto"/>
                        </w:tcBorders>
                        <w:shd w:val="clear" w:color="auto" w:fill="007E00" w:themeFill="accent3"/>
                        <w:noWrap/>
                        <w:hideMark/>
                      </w:tcPr>
                      <w:p w14:paraId="44EF4179" w14:textId="40CE9D82" w:rsidR="00B837A4" w:rsidRPr="000D2FE4" w:rsidRDefault="00B837A4">
                        <w:pPr>
                          <w:pStyle w:val="TableText"/>
                          <w:rPr>
                            <w:b/>
                            <w:bCs/>
                            <w:color w:val="FFFFFF" w:themeColor="background1"/>
                            <w:sz w:val="20"/>
                          </w:rPr>
                        </w:pPr>
                        <w:r w:rsidRPr="000D2FE4">
                          <w:rPr>
                            <w:b/>
                            <w:bCs/>
                            <w:color w:val="FFFFFF" w:themeColor="background1"/>
                            <w:sz w:val="20"/>
                          </w:rPr>
                          <w:t xml:space="preserve">Sessions per </w:t>
                        </w:r>
                        <w:r w:rsidR="001D1403">
                          <w:rPr>
                            <w:b/>
                            <w:bCs/>
                            <w:color w:val="FFFFFF" w:themeColor="background1"/>
                            <w:sz w:val="20"/>
                          </w:rPr>
                          <w:t>service user</w:t>
                        </w:r>
                        <w:r w:rsidRPr="000D2FE4">
                          <w:rPr>
                            <w:b/>
                            <w:bCs/>
                            <w:color w:val="FFFFFF" w:themeColor="background1"/>
                            <w:sz w:val="20"/>
                          </w:rPr>
                          <w:t xml:space="preserve"> (mean)</w:t>
                        </w:r>
                      </w:p>
                    </w:tc>
                    <w:tc>
                      <w:tcPr>
                        <w:tcW w:w="838" w:type="pct"/>
                        <w:tcBorders>
                          <w:top w:val="single" w:sz="4" w:space="0" w:color="auto"/>
                          <w:left w:val="single" w:sz="4" w:space="0" w:color="auto"/>
                          <w:bottom w:val="single" w:sz="4" w:space="0" w:color="auto"/>
                          <w:right w:val="single" w:sz="4" w:space="0" w:color="auto"/>
                        </w:tcBorders>
                        <w:shd w:val="clear" w:color="auto" w:fill="007E00" w:themeFill="accent3"/>
                        <w:noWrap/>
                        <w:hideMark/>
                      </w:tcPr>
                      <w:p w14:paraId="29AF8877" w14:textId="77777777" w:rsidR="00B837A4" w:rsidRPr="000D2FE4" w:rsidRDefault="00B837A4">
                        <w:pPr>
                          <w:pStyle w:val="TableText"/>
                          <w:rPr>
                            <w:b/>
                            <w:bCs/>
                            <w:color w:val="FFFFFF" w:themeColor="background1"/>
                            <w:sz w:val="20"/>
                          </w:rPr>
                        </w:pPr>
                        <w:r w:rsidRPr="000D2FE4">
                          <w:rPr>
                            <w:b/>
                            <w:bCs/>
                            <w:color w:val="FFFFFF" w:themeColor="background1"/>
                            <w:sz w:val="20"/>
                          </w:rPr>
                          <w:t>Assessments per session (mean)</w:t>
                        </w:r>
                      </w:p>
                    </w:tc>
                  </w:tr>
                  <w:tr w:rsidR="00B837A4" w:rsidRPr="00975AA8" w14:paraId="582CF0A5" w14:textId="77777777">
                    <w:trPr>
                      <w:trHeight w:val="290"/>
                    </w:trPr>
                    <w:tc>
                      <w:tcPr>
                        <w:tcW w:w="549" w:type="pct"/>
                        <w:tcBorders>
                          <w:top w:val="single" w:sz="4" w:space="0" w:color="auto"/>
                          <w:left w:val="single" w:sz="4" w:space="0" w:color="auto"/>
                          <w:bottom w:val="single" w:sz="4" w:space="0" w:color="auto"/>
                          <w:right w:val="single" w:sz="4" w:space="0" w:color="auto"/>
                        </w:tcBorders>
                        <w:noWrap/>
                        <w:hideMark/>
                      </w:tcPr>
                      <w:p w14:paraId="48BFF4E2" w14:textId="77777777" w:rsidR="00B837A4" w:rsidRPr="00093F50" w:rsidRDefault="00B837A4">
                        <w:pPr>
                          <w:pStyle w:val="TableText"/>
                        </w:pPr>
                        <w:r w:rsidRPr="00093F50">
                          <w:rPr>
                            <w:lang w:val="en-NZ"/>
                          </w:rPr>
                          <w:t>FaRS</w:t>
                        </w:r>
                      </w:p>
                    </w:tc>
                    <w:tc>
                      <w:tcPr>
                        <w:tcW w:w="548" w:type="pct"/>
                        <w:tcBorders>
                          <w:top w:val="single" w:sz="4" w:space="0" w:color="auto"/>
                          <w:left w:val="single" w:sz="4" w:space="0" w:color="auto"/>
                          <w:bottom w:val="single" w:sz="4" w:space="0" w:color="auto"/>
                          <w:right w:val="single" w:sz="4" w:space="0" w:color="auto"/>
                        </w:tcBorders>
                        <w:noWrap/>
                        <w:hideMark/>
                      </w:tcPr>
                      <w:p w14:paraId="07224B63" w14:textId="1C960DE1" w:rsidR="00B837A4" w:rsidRPr="00975AA8" w:rsidRDefault="00B837A4">
                        <w:pPr>
                          <w:pStyle w:val="TableText"/>
                        </w:pPr>
                        <w:r w:rsidRPr="00975AA8">
                          <w:t>116</w:t>
                        </w:r>
                        <w:r w:rsidR="00865A65">
                          <w:t>,</w:t>
                        </w:r>
                        <w:r w:rsidRPr="00975AA8">
                          <w:t>097</w:t>
                        </w:r>
                      </w:p>
                    </w:tc>
                    <w:tc>
                      <w:tcPr>
                        <w:tcW w:w="864" w:type="pct"/>
                        <w:tcBorders>
                          <w:top w:val="single" w:sz="4" w:space="0" w:color="auto"/>
                          <w:left w:val="single" w:sz="4" w:space="0" w:color="auto"/>
                          <w:bottom w:val="single" w:sz="4" w:space="0" w:color="auto"/>
                          <w:right w:val="single" w:sz="4" w:space="0" w:color="auto"/>
                        </w:tcBorders>
                        <w:noWrap/>
                        <w:hideMark/>
                      </w:tcPr>
                      <w:p w14:paraId="49B2BACE" w14:textId="46F990ED" w:rsidR="00B837A4" w:rsidRPr="00975AA8" w:rsidRDefault="00B837A4">
                        <w:pPr>
                          <w:pStyle w:val="TableText"/>
                        </w:pPr>
                        <w:r w:rsidRPr="00975AA8">
                          <w:t>2</w:t>
                        </w:r>
                        <w:r w:rsidR="00865A65">
                          <w:t>,</w:t>
                        </w:r>
                        <w:r w:rsidRPr="00975AA8">
                          <w:t>056</w:t>
                        </w:r>
                        <w:r w:rsidR="00865A65">
                          <w:t>,</w:t>
                        </w:r>
                        <w:r w:rsidRPr="00975AA8">
                          <w:t>468</w:t>
                        </w:r>
                      </w:p>
                    </w:tc>
                    <w:tc>
                      <w:tcPr>
                        <w:tcW w:w="629" w:type="pct"/>
                        <w:tcBorders>
                          <w:top w:val="single" w:sz="4" w:space="0" w:color="auto"/>
                          <w:left w:val="single" w:sz="4" w:space="0" w:color="auto"/>
                          <w:bottom w:val="single" w:sz="4" w:space="0" w:color="auto"/>
                          <w:right w:val="single" w:sz="4" w:space="0" w:color="auto"/>
                        </w:tcBorders>
                        <w:noWrap/>
                        <w:hideMark/>
                      </w:tcPr>
                      <w:p w14:paraId="68B54042" w14:textId="6F399C07" w:rsidR="00B837A4" w:rsidRPr="00975AA8" w:rsidRDefault="00B837A4">
                        <w:pPr>
                          <w:pStyle w:val="TableText"/>
                        </w:pPr>
                        <w:r w:rsidRPr="00975AA8">
                          <w:t>204</w:t>
                        </w:r>
                        <w:r w:rsidR="00865A65">
                          <w:t>,</w:t>
                        </w:r>
                        <w:r w:rsidRPr="00975AA8">
                          <w:t>738</w:t>
                        </w:r>
                      </w:p>
                    </w:tc>
                    <w:tc>
                      <w:tcPr>
                        <w:tcW w:w="864" w:type="pct"/>
                        <w:tcBorders>
                          <w:top w:val="single" w:sz="4" w:space="0" w:color="auto"/>
                          <w:left w:val="single" w:sz="4" w:space="0" w:color="auto"/>
                          <w:bottom w:val="single" w:sz="4" w:space="0" w:color="auto"/>
                          <w:right w:val="single" w:sz="4" w:space="0" w:color="auto"/>
                        </w:tcBorders>
                        <w:noWrap/>
                        <w:hideMark/>
                      </w:tcPr>
                      <w:p w14:paraId="0C6F1280" w14:textId="77777777" w:rsidR="00B837A4" w:rsidRPr="00975AA8" w:rsidRDefault="00B837A4">
                        <w:pPr>
                          <w:pStyle w:val="TableText"/>
                        </w:pPr>
                        <w:r w:rsidRPr="00975AA8">
                          <w:t>17.7</w:t>
                        </w:r>
                      </w:p>
                    </w:tc>
                    <w:tc>
                      <w:tcPr>
                        <w:tcW w:w="707" w:type="pct"/>
                        <w:tcBorders>
                          <w:top w:val="single" w:sz="4" w:space="0" w:color="auto"/>
                          <w:left w:val="single" w:sz="4" w:space="0" w:color="auto"/>
                          <w:bottom w:val="single" w:sz="4" w:space="0" w:color="auto"/>
                          <w:right w:val="single" w:sz="4" w:space="0" w:color="auto"/>
                        </w:tcBorders>
                        <w:noWrap/>
                        <w:hideMark/>
                      </w:tcPr>
                      <w:p w14:paraId="1C2568E8" w14:textId="77777777" w:rsidR="00B837A4" w:rsidRPr="00975AA8" w:rsidRDefault="00B837A4">
                        <w:pPr>
                          <w:pStyle w:val="TableText"/>
                        </w:pPr>
                        <w:r w:rsidRPr="00975AA8">
                          <w:t>1.8</w:t>
                        </w:r>
                      </w:p>
                    </w:tc>
                    <w:tc>
                      <w:tcPr>
                        <w:tcW w:w="838" w:type="pct"/>
                        <w:tcBorders>
                          <w:top w:val="single" w:sz="4" w:space="0" w:color="auto"/>
                          <w:left w:val="single" w:sz="4" w:space="0" w:color="auto"/>
                          <w:bottom w:val="single" w:sz="4" w:space="0" w:color="auto"/>
                          <w:right w:val="single" w:sz="4" w:space="0" w:color="auto"/>
                        </w:tcBorders>
                        <w:noWrap/>
                        <w:hideMark/>
                      </w:tcPr>
                      <w:p w14:paraId="62364CCB" w14:textId="77777777" w:rsidR="00B837A4" w:rsidRPr="00975AA8" w:rsidRDefault="00B837A4">
                        <w:pPr>
                          <w:pStyle w:val="TableText"/>
                        </w:pPr>
                        <w:r w:rsidRPr="00975AA8">
                          <w:t>10.0</w:t>
                        </w:r>
                      </w:p>
                    </w:tc>
                  </w:tr>
                  <w:tr w:rsidR="00B837A4" w:rsidRPr="00975AA8" w14:paraId="66F80B03" w14:textId="77777777">
                    <w:trPr>
                      <w:trHeight w:val="290"/>
                    </w:trPr>
                    <w:tc>
                      <w:tcPr>
                        <w:tcW w:w="549" w:type="pct"/>
                        <w:tcBorders>
                          <w:top w:val="single" w:sz="4" w:space="0" w:color="auto"/>
                          <w:left w:val="single" w:sz="4" w:space="0" w:color="auto"/>
                          <w:bottom w:val="single" w:sz="4" w:space="0" w:color="auto"/>
                          <w:right w:val="single" w:sz="4" w:space="0" w:color="auto"/>
                        </w:tcBorders>
                        <w:noWrap/>
                        <w:hideMark/>
                      </w:tcPr>
                      <w:p w14:paraId="4F18CF2B" w14:textId="47C1331B" w:rsidR="00B837A4" w:rsidRPr="00093F50" w:rsidRDefault="00B837A4">
                        <w:pPr>
                          <w:pStyle w:val="TableText"/>
                        </w:pPr>
                        <w:r w:rsidRPr="00093F50">
                          <w:t>SFVS (incl. 4AP</w:t>
                        </w:r>
                        <w:r w:rsidR="004C6EE7" w:rsidRPr="00093F50">
                          <w:t>2</w:t>
                        </w:r>
                        <w:r w:rsidRPr="00093F50">
                          <w:t>)</w:t>
                        </w:r>
                      </w:p>
                    </w:tc>
                    <w:tc>
                      <w:tcPr>
                        <w:tcW w:w="548" w:type="pct"/>
                        <w:tcBorders>
                          <w:top w:val="single" w:sz="4" w:space="0" w:color="auto"/>
                          <w:left w:val="single" w:sz="4" w:space="0" w:color="auto"/>
                          <w:bottom w:val="single" w:sz="4" w:space="0" w:color="auto"/>
                          <w:right w:val="single" w:sz="4" w:space="0" w:color="auto"/>
                        </w:tcBorders>
                        <w:noWrap/>
                        <w:hideMark/>
                      </w:tcPr>
                      <w:p w14:paraId="05D08DAD" w14:textId="2C96525D" w:rsidR="00B837A4" w:rsidRPr="00975AA8" w:rsidRDefault="00B837A4">
                        <w:pPr>
                          <w:pStyle w:val="TableText"/>
                        </w:pPr>
                        <w:r w:rsidRPr="00975AA8">
                          <w:t>11</w:t>
                        </w:r>
                        <w:r w:rsidR="00865A65">
                          <w:t>,</w:t>
                        </w:r>
                        <w:r w:rsidRPr="00975AA8">
                          <w:t>771</w:t>
                        </w:r>
                      </w:p>
                    </w:tc>
                    <w:tc>
                      <w:tcPr>
                        <w:tcW w:w="864" w:type="pct"/>
                        <w:tcBorders>
                          <w:top w:val="single" w:sz="4" w:space="0" w:color="auto"/>
                          <w:left w:val="single" w:sz="4" w:space="0" w:color="auto"/>
                          <w:bottom w:val="single" w:sz="4" w:space="0" w:color="auto"/>
                          <w:right w:val="single" w:sz="4" w:space="0" w:color="auto"/>
                        </w:tcBorders>
                        <w:noWrap/>
                        <w:hideMark/>
                      </w:tcPr>
                      <w:p w14:paraId="2CD7CC4A" w14:textId="1DE27B5A" w:rsidR="00B837A4" w:rsidRPr="00975AA8" w:rsidRDefault="00B837A4">
                        <w:pPr>
                          <w:pStyle w:val="TableText"/>
                        </w:pPr>
                        <w:r w:rsidRPr="00975AA8">
                          <w:t>208</w:t>
                        </w:r>
                        <w:r w:rsidR="00865A65">
                          <w:t>,</w:t>
                        </w:r>
                        <w:r w:rsidRPr="00975AA8">
                          <w:t>481</w:t>
                        </w:r>
                      </w:p>
                    </w:tc>
                    <w:tc>
                      <w:tcPr>
                        <w:tcW w:w="629" w:type="pct"/>
                        <w:tcBorders>
                          <w:top w:val="single" w:sz="4" w:space="0" w:color="auto"/>
                          <w:left w:val="single" w:sz="4" w:space="0" w:color="auto"/>
                          <w:bottom w:val="single" w:sz="4" w:space="0" w:color="auto"/>
                          <w:right w:val="single" w:sz="4" w:space="0" w:color="auto"/>
                        </w:tcBorders>
                        <w:noWrap/>
                        <w:hideMark/>
                      </w:tcPr>
                      <w:p w14:paraId="6DC4ED53" w14:textId="1023A0C5" w:rsidR="00B837A4" w:rsidRPr="00975AA8" w:rsidRDefault="00B837A4">
                        <w:pPr>
                          <w:pStyle w:val="TableText"/>
                        </w:pPr>
                        <w:r w:rsidRPr="00975AA8">
                          <w:t>25</w:t>
                        </w:r>
                        <w:r w:rsidR="00865A65">
                          <w:t>,</w:t>
                        </w:r>
                        <w:r w:rsidRPr="00975AA8">
                          <w:t>478</w:t>
                        </w:r>
                      </w:p>
                    </w:tc>
                    <w:tc>
                      <w:tcPr>
                        <w:tcW w:w="864" w:type="pct"/>
                        <w:tcBorders>
                          <w:top w:val="single" w:sz="4" w:space="0" w:color="auto"/>
                          <w:left w:val="single" w:sz="4" w:space="0" w:color="auto"/>
                          <w:bottom w:val="single" w:sz="4" w:space="0" w:color="auto"/>
                          <w:right w:val="single" w:sz="4" w:space="0" w:color="auto"/>
                        </w:tcBorders>
                        <w:noWrap/>
                        <w:hideMark/>
                      </w:tcPr>
                      <w:p w14:paraId="36D17D11" w14:textId="77777777" w:rsidR="00B837A4" w:rsidRPr="00975AA8" w:rsidRDefault="00B837A4">
                        <w:pPr>
                          <w:pStyle w:val="TableText"/>
                        </w:pPr>
                        <w:r w:rsidRPr="00975AA8">
                          <w:t>17.7</w:t>
                        </w:r>
                      </w:p>
                    </w:tc>
                    <w:tc>
                      <w:tcPr>
                        <w:tcW w:w="707" w:type="pct"/>
                        <w:tcBorders>
                          <w:top w:val="single" w:sz="4" w:space="0" w:color="auto"/>
                          <w:left w:val="single" w:sz="4" w:space="0" w:color="auto"/>
                          <w:bottom w:val="single" w:sz="4" w:space="0" w:color="auto"/>
                          <w:right w:val="single" w:sz="4" w:space="0" w:color="auto"/>
                        </w:tcBorders>
                        <w:noWrap/>
                        <w:hideMark/>
                      </w:tcPr>
                      <w:p w14:paraId="1DB7CF04" w14:textId="77777777" w:rsidR="00B837A4" w:rsidRPr="00975AA8" w:rsidRDefault="00B837A4">
                        <w:pPr>
                          <w:pStyle w:val="TableText"/>
                        </w:pPr>
                        <w:r w:rsidRPr="00975AA8">
                          <w:t>2.2</w:t>
                        </w:r>
                      </w:p>
                    </w:tc>
                    <w:tc>
                      <w:tcPr>
                        <w:tcW w:w="838" w:type="pct"/>
                        <w:tcBorders>
                          <w:top w:val="single" w:sz="4" w:space="0" w:color="auto"/>
                          <w:left w:val="single" w:sz="4" w:space="0" w:color="auto"/>
                          <w:bottom w:val="single" w:sz="4" w:space="0" w:color="auto"/>
                          <w:right w:val="single" w:sz="4" w:space="0" w:color="auto"/>
                        </w:tcBorders>
                        <w:noWrap/>
                        <w:hideMark/>
                      </w:tcPr>
                      <w:p w14:paraId="2F8D9E20" w14:textId="77777777" w:rsidR="00B837A4" w:rsidRPr="00975AA8" w:rsidRDefault="00B837A4">
                        <w:pPr>
                          <w:pStyle w:val="TableText"/>
                        </w:pPr>
                        <w:r w:rsidRPr="00975AA8">
                          <w:t>8.2</w:t>
                        </w:r>
                      </w:p>
                    </w:tc>
                  </w:tr>
                </w:tbl>
                <w:p w14:paraId="06193D61" w14:textId="5AB9C97A" w:rsidR="00A711FC" w:rsidRPr="00F702A2" w:rsidRDefault="00F702A2" w:rsidP="00B837A4">
                  <w:pPr>
                    <w:pStyle w:val="Text"/>
                    <w:rPr>
                      <w:i/>
                      <w:iCs/>
                      <w:sz w:val="20"/>
                    </w:rPr>
                  </w:pPr>
                  <w:r w:rsidRPr="00F702A2">
                    <w:rPr>
                      <w:i/>
                      <w:iCs/>
                      <w:sz w:val="20"/>
                    </w:rPr>
                    <w:t xml:space="preserve">Source: DEX-SCORE data </w:t>
                  </w:r>
                </w:p>
                <w:p w14:paraId="280D7FA3" w14:textId="48F85326" w:rsidR="00B837A4" w:rsidRDefault="00B837A4" w:rsidP="00B837A4">
                  <w:pPr>
                    <w:pStyle w:val="Text"/>
                  </w:pPr>
                  <w:r>
                    <w:t xml:space="preserve">The prevalence of assessments for individual SCORE domain for each </w:t>
                  </w:r>
                  <w:r w:rsidR="001D1403">
                    <w:t>service user</w:t>
                  </w:r>
                  <w:r>
                    <w:t xml:space="preserve"> and session varied. For example, </w:t>
                  </w:r>
                  <w:r w:rsidR="00124CE4">
                    <w:t xml:space="preserve">SCORE assessments </w:t>
                  </w:r>
                  <w:r w:rsidR="0069383A">
                    <w:t>relating to family functioning</w:t>
                  </w:r>
                  <w:r w:rsidR="00124CE4">
                    <w:t xml:space="preserve"> were conducted for</w:t>
                  </w:r>
                  <w:r>
                    <w:t xml:space="preserve"> approximately </w:t>
                  </w:r>
                  <w:r w:rsidR="00D869E0">
                    <w:t>85.9</w:t>
                  </w:r>
                  <w:r>
                    <w:t xml:space="preserve">% of FaRS </w:t>
                  </w:r>
                  <w:r w:rsidR="00E614D3">
                    <w:t xml:space="preserve">service </w:t>
                  </w:r>
                  <w:r w:rsidR="00B7507C">
                    <w:t>users</w:t>
                  </w:r>
                  <w:r>
                    <w:t xml:space="preserve"> compared to approximately </w:t>
                  </w:r>
                  <w:r w:rsidR="00FE22EE">
                    <w:t>56.4</w:t>
                  </w:r>
                  <w:r>
                    <w:t xml:space="preserve">% of </w:t>
                  </w:r>
                  <w:r w:rsidR="00175D50">
                    <w:t>service users</w:t>
                  </w:r>
                  <w:r>
                    <w:t xml:space="preserve"> for </w:t>
                  </w:r>
                  <w:r w:rsidR="00FE22EE">
                    <w:t>personal and family safety</w:t>
                  </w:r>
                  <w:r>
                    <w:t xml:space="preserve">. Approximately one-third of sessions in both FaRS and SFVS included assessments of satisfaction with the services received, relating to approximately 45% of </w:t>
                  </w:r>
                  <w:r w:rsidR="00E614D3">
                    <w:t xml:space="preserve">service </w:t>
                  </w:r>
                  <w:r w:rsidR="00B7507C">
                    <w:t>users.</w:t>
                  </w:r>
                  <w:r w:rsidR="00D53547">
                    <w:t xml:space="preserve"> </w:t>
                  </w:r>
                  <w:r>
                    <w:t xml:space="preserve">FaRS </w:t>
                  </w:r>
                  <w:r w:rsidR="00E614D3">
                    <w:t xml:space="preserve">service </w:t>
                  </w:r>
                  <w:r w:rsidR="00B7507C">
                    <w:t>users</w:t>
                  </w:r>
                  <w:r>
                    <w:t xml:space="preserve"> </w:t>
                  </w:r>
                  <w:r w:rsidR="00F006F9">
                    <w:t>had up to</w:t>
                  </w:r>
                  <w:r>
                    <w:t xml:space="preserve"> 88 assessments recorded for some domains</w:t>
                  </w:r>
                  <w:r w:rsidR="00F006F9">
                    <w:t xml:space="preserve"> within the assessment period</w:t>
                  </w:r>
                  <w:r>
                    <w:t xml:space="preserve">, </w:t>
                  </w:r>
                  <w:r w:rsidR="00F006F9">
                    <w:t xml:space="preserve">whilst </w:t>
                  </w:r>
                  <w:r>
                    <w:t xml:space="preserve">SFVS </w:t>
                  </w:r>
                  <w:r w:rsidR="00E614D3">
                    <w:t xml:space="preserve">service </w:t>
                  </w:r>
                  <w:r w:rsidR="00B7507C">
                    <w:t>users</w:t>
                  </w:r>
                  <w:r w:rsidR="00F006F9">
                    <w:t xml:space="preserve"> had up to 40 assessments per domain</w:t>
                  </w:r>
                  <w:r>
                    <w:t>.</w:t>
                  </w:r>
                </w:p>
                <w:p w14:paraId="28E664BC" w14:textId="0D7F1C81" w:rsidR="00B837A4" w:rsidRDefault="00B837A4" w:rsidP="00B837A4">
                  <w:pPr>
                    <w:pStyle w:val="Text"/>
                  </w:pPr>
                  <w:r w:rsidRPr="00D31482">
                    <w:fldChar w:fldCharType="begin" w:fldLock="1"/>
                  </w:r>
                  <w:r w:rsidRPr="00D31482">
                    <w:instrText xml:space="preserve"> REF _Ref204597873 \h  \* MERGEFORMAT </w:instrText>
                  </w:r>
                  <w:r w:rsidRPr="00D31482">
                    <w:fldChar w:fldCharType="separate"/>
                  </w:r>
                  <w:r w:rsidR="008F22E5" w:rsidRPr="004750D1">
                    <w:rPr>
                      <w:rStyle w:val="Text-Bold"/>
                    </w:rPr>
                    <w:t xml:space="preserve">Table </w:t>
                  </w:r>
                  <w:r w:rsidR="008F22E5" w:rsidRPr="008F22E5">
                    <w:rPr>
                      <w:rStyle w:val="Text-Bold"/>
                      <w:noProof/>
                    </w:rPr>
                    <w:t>3</w:t>
                  </w:r>
                  <w:r w:rsidRPr="00D31482">
                    <w:fldChar w:fldCharType="end"/>
                  </w:r>
                  <w:r>
                    <w:rPr>
                      <w:b/>
                      <w:bCs/>
                    </w:rPr>
                    <w:t xml:space="preserve"> </w:t>
                  </w:r>
                  <w:r>
                    <w:t>presents the summary statistics by individual SCORE domain for each activity.</w:t>
                  </w:r>
                </w:p>
                <w:p w14:paraId="29B355F1" w14:textId="48C312BD" w:rsidR="00B837A4" w:rsidRPr="004750D1" w:rsidRDefault="00B837A4" w:rsidP="00393BD9">
                  <w:pPr>
                    <w:pStyle w:val="TableFigure-Header"/>
                    <w:spacing w:line="276" w:lineRule="auto"/>
                    <w:jc w:val="both"/>
                    <w:rPr>
                      <w:rStyle w:val="Text-Bold"/>
                      <w:b/>
                    </w:rPr>
                  </w:pPr>
                  <w:bookmarkStart w:id="230" w:name="_Ref204597873"/>
                  <w:r w:rsidRPr="004750D1">
                    <w:rPr>
                      <w:rStyle w:val="Text-Bold"/>
                      <w:b/>
                    </w:rPr>
                    <w:t xml:space="preserve">Table </w:t>
                  </w:r>
                  <w:r w:rsidR="00F50CD8" w:rsidRPr="004750D1">
                    <w:rPr>
                      <w:rStyle w:val="Text-Bold"/>
                      <w:b/>
                    </w:rPr>
                    <w:fldChar w:fldCharType="begin"/>
                  </w:r>
                  <w:r w:rsidR="00F50CD8" w:rsidRPr="004750D1">
                    <w:rPr>
                      <w:rStyle w:val="Text-Bold"/>
                      <w:b/>
                    </w:rPr>
                    <w:instrText xml:space="preserve"> SEQ Table \* ARABIC </w:instrText>
                  </w:r>
                  <w:r w:rsidR="00F50CD8" w:rsidRPr="004750D1">
                    <w:rPr>
                      <w:rStyle w:val="Text-Bold"/>
                      <w:b/>
                    </w:rPr>
                    <w:fldChar w:fldCharType="separate"/>
                  </w:r>
                  <w:r w:rsidR="008D2566">
                    <w:rPr>
                      <w:rStyle w:val="Text-Bold"/>
                      <w:b/>
                      <w:noProof/>
                    </w:rPr>
                    <w:t>3</w:t>
                  </w:r>
                  <w:r w:rsidR="00F50CD8" w:rsidRPr="004750D1">
                    <w:rPr>
                      <w:rStyle w:val="Text-Bold"/>
                      <w:b/>
                    </w:rPr>
                    <w:fldChar w:fldCharType="end"/>
                  </w:r>
                  <w:bookmarkEnd w:id="230"/>
                  <w:r w:rsidRPr="004750D1">
                    <w:rPr>
                      <w:rStyle w:val="Text-Bold"/>
                      <w:b/>
                    </w:rPr>
                    <w:t xml:space="preserve">: Summary statistics by </w:t>
                  </w:r>
                  <w:r w:rsidR="5C180A0C" w:rsidRPr="004750D1">
                    <w:rPr>
                      <w:rStyle w:val="Text-Bold"/>
                      <w:b/>
                    </w:rPr>
                    <w:t xml:space="preserve">relevant </w:t>
                  </w:r>
                  <w:r w:rsidR="1BEB7F55" w:rsidRPr="004750D1">
                    <w:rPr>
                      <w:rStyle w:val="Text-Bold"/>
                      <w:b/>
                    </w:rPr>
                    <w:t>SCORE</w:t>
                  </w:r>
                  <w:r w:rsidRPr="004750D1">
                    <w:rPr>
                      <w:rStyle w:val="Text-Bold"/>
                      <w:b/>
                    </w:rPr>
                    <w:t xml:space="preserve"> domain, FaRS and SFVS, July 2021 </w:t>
                  </w:r>
                  <w:r w:rsidR="00953B9E">
                    <w:rPr>
                      <w:rStyle w:val="Text-Bold"/>
                      <w:b/>
                    </w:rPr>
                    <w:t xml:space="preserve">to </w:t>
                  </w:r>
                  <w:r w:rsidRPr="004750D1">
                    <w:rPr>
                      <w:rStyle w:val="Text-Bold"/>
                      <w:b/>
                    </w:rPr>
                    <w:t>June 2024</w:t>
                  </w:r>
                </w:p>
                <w:tbl>
                  <w:tblPr>
                    <w:tblStyle w:val="TableGrid"/>
                    <w:tblW w:w="0" w:type="auto"/>
                    <w:tblLook w:val="04A0" w:firstRow="1" w:lastRow="0" w:firstColumn="1" w:lastColumn="0" w:noHBand="0" w:noVBand="1"/>
                  </w:tblPr>
                  <w:tblGrid>
                    <w:gridCol w:w="2341"/>
                    <w:gridCol w:w="859"/>
                    <w:gridCol w:w="619"/>
                    <w:gridCol w:w="579"/>
                    <w:gridCol w:w="579"/>
                    <w:gridCol w:w="778"/>
                    <w:gridCol w:w="687"/>
                    <w:gridCol w:w="652"/>
                    <w:gridCol w:w="579"/>
                    <w:gridCol w:w="589"/>
                    <w:gridCol w:w="739"/>
                  </w:tblGrid>
                  <w:tr w:rsidR="00B837A4" w:rsidRPr="00865A65" w14:paraId="7FB5DD9B" w14:textId="77777777" w:rsidTr="00321BC5">
                    <w:trPr>
                      <w:trHeight w:val="290"/>
                      <w:tblHeader/>
                    </w:trPr>
                    <w:tc>
                      <w:tcPr>
                        <w:tcW w:w="2341" w:type="dxa"/>
                        <w:tcBorders>
                          <w:top w:val="single" w:sz="4" w:space="0" w:color="auto"/>
                          <w:left w:val="single" w:sz="4" w:space="0" w:color="auto"/>
                          <w:bottom w:val="single" w:sz="4" w:space="0" w:color="auto"/>
                          <w:right w:val="single" w:sz="4" w:space="0" w:color="auto"/>
                        </w:tcBorders>
                        <w:shd w:val="clear" w:color="auto" w:fill="007E00" w:themeFill="accent3"/>
                        <w:noWrap/>
                        <w:hideMark/>
                      </w:tcPr>
                      <w:p w14:paraId="5FF4C9A1" w14:textId="77777777" w:rsidR="00B837A4" w:rsidRPr="00865A65" w:rsidRDefault="00B837A4">
                        <w:pPr>
                          <w:pStyle w:val="TableText"/>
                          <w:rPr>
                            <w:b/>
                            <w:bCs/>
                            <w:color w:val="FFFFFF" w:themeColor="background1"/>
                            <w:sz w:val="20"/>
                          </w:rPr>
                        </w:pPr>
                      </w:p>
                    </w:tc>
                    <w:tc>
                      <w:tcPr>
                        <w:tcW w:w="3414" w:type="dxa"/>
                        <w:gridSpan w:val="5"/>
                        <w:tcBorders>
                          <w:top w:val="single" w:sz="4" w:space="0" w:color="auto"/>
                          <w:left w:val="single" w:sz="4" w:space="0" w:color="auto"/>
                          <w:bottom w:val="single" w:sz="4" w:space="0" w:color="auto"/>
                          <w:right w:val="single" w:sz="4" w:space="0" w:color="auto"/>
                        </w:tcBorders>
                        <w:shd w:val="clear" w:color="auto" w:fill="007E00" w:themeFill="accent3"/>
                        <w:noWrap/>
                        <w:hideMark/>
                      </w:tcPr>
                      <w:p w14:paraId="4CE7FF7A" w14:textId="77777777" w:rsidR="00B837A4" w:rsidRPr="00865A65" w:rsidRDefault="00B837A4">
                        <w:pPr>
                          <w:pStyle w:val="TableText"/>
                          <w:rPr>
                            <w:b/>
                            <w:color w:val="FFFFFF" w:themeColor="background1"/>
                            <w:sz w:val="20"/>
                            <w:lang w:val="en-NZ"/>
                          </w:rPr>
                        </w:pPr>
                        <w:r w:rsidRPr="00865A65">
                          <w:rPr>
                            <w:b/>
                            <w:color w:val="FFFFFF" w:themeColor="text1"/>
                            <w:sz w:val="20"/>
                            <w:lang w:val="en-NZ"/>
                          </w:rPr>
                          <w:t>FaRS</w:t>
                        </w:r>
                      </w:p>
                    </w:tc>
                    <w:tc>
                      <w:tcPr>
                        <w:tcW w:w="3246" w:type="dxa"/>
                        <w:gridSpan w:val="5"/>
                        <w:tcBorders>
                          <w:top w:val="single" w:sz="4" w:space="0" w:color="auto"/>
                          <w:left w:val="single" w:sz="4" w:space="0" w:color="auto"/>
                          <w:bottom w:val="single" w:sz="4" w:space="0" w:color="auto"/>
                          <w:right w:val="single" w:sz="4" w:space="0" w:color="auto"/>
                        </w:tcBorders>
                        <w:shd w:val="clear" w:color="auto" w:fill="007E00" w:themeFill="accent3"/>
                        <w:noWrap/>
                        <w:hideMark/>
                      </w:tcPr>
                      <w:p w14:paraId="7B40CAED" w14:textId="3712FF95" w:rsidR="00B837A4" w:rsidRPr="00865A65" w:rsidRDefault="00B837A4">
                        <w:pPr>
                          <w:pStyle w:val="TableText"/>
                          <w:rPr>
                            <w:b/>
                            <w:bCs/>
                            <w:color w:val="FFFFFF" w:themeColor="background1"/>
                            <w:sz w:val="20"/>
                          </w:rPr>
                        </w:pPr>
                        <w:r w:rsidRPr="00865A65">
                          <w:rPr>
                            <w:b/>
                            <w:bCs/>
                            <w:color w:val="FFFFFF" w:themeColor="background1"/>
                            <w:sz w:val="20"/>
                          </w:rPr>
                          <w:t>SFVS (incl. 4AP</w:t>
                        </w:r>
                        <w:r w:rsidR="00853F61">
                          <w:rPr>
                            <w:b/>
                            <w:bCs/>
                            <w:color w:val="FFFFFF" w:themeColor="background1"/>
                            <w:sz w:val="20"/>
                          </w:rPr>
                          <w:t>2</w:t>
                        </w:r>
                        <w:r w:rsidRPr="00865A65">
                          <w:rPr>
                            <w:b/>
                            <w:bCs/>
                            <w:color w:val="FFFFFF" w:themeColor="background1"/>
                            <w:sz w:val="20"/>
                          </w:rPr>
                          <w:t>)</w:t>
                        </w:r>
                      </w:p>
                    </w:tc>
                  </w:tr>
                  <w:tr w:rsidR="00B837A4" w:rsidRPr="00865A65" w14:paraId="7EA26E53" w14:textId="77777777" w:rsidTr="00321BC5">
                    <w:trPr>
                      <w:cantSplit/>
                      <w:trHeight w:val="466"/>
                      <w:tblHeader/>
                    </w:trPr>
                    <w:tc>
                      <w:tcPr>
                        <w:tcW w:w="2341" w:type="dxa"/>
                        <w:tcBorders>
                          <w:top w:val="single" w:sz="4" w:space="0" w:color="auto"/>
                          <w:left w:val="single" w:sz="4" w:space="0" w:color="auto"/>
                          <w:bottom w:val="single" w:sz="4" w:space="0" w:color="auto"/>
                          <w:right w:val="single" w:sz="4" w:space="0" w:color="auto"/>
                        </w:tcBorders>
                        <w:shd w:val="clear" w:color="auto" w:fill="007E00" w:themeFill="accent3"/>
                        <w:noWrap/>
                      </w:tcPr>
                      <w:p w14:paraId="7F0378B8" w14:textId="77777777" w:rsidR="00B837A4" w:rsidRPr="00865A65" w:rsidRDefault="00B837A4">
                        <w:pPr>
                          <w:pStyle w:val="TableText"/>
                          <w:rPr>
                            <w:b/>
                            <w:bCs/>
                            <w:color w:val="FFFFFF" w:themeColor="background1"/>
                            <w:sz w:val="20"/>
                          </w:rPr>
                        </w:pPr>
                      </w:p>
                    </w:tc>
                    <w:tc>
                      <w:tcPr>
                        <w:tcW w:w="1478" w:type="dxa"/>
                        <w:gridSpan w:val="2"/>
                        <w:tcBorders>
                          <w:top w:val="single" w:sz="4" w:space="0" w:color="auto"/>
                          <w:left w:val="single" w:sz="4" w:space="0" w:color="auto"/>
                          <w:bottom w:val="single" w:sz="4" w:space="0" w:color="auto"/>
                          <w:right w:val="single" w:sz="4" w:space="0" w:color="auto"/>
                        </w:tcBorders>
                        <w:shd w:val="clear" w:color="auto" w:fill="007E00" w:themeFill="accent3"/>
                        <w:noWrap/>
                      </w:tcPr>
                      <w:p w14:paraId="433B1CF6" w14:textId="77777777" w:rsidR="00B837A4" w:rsidRPr="00865A65" w:rsidRDefault="00B837A4">
                        <w:pPr>
                          <w:pStyle w:val="TableText"/>
                          <w:rPr>
                            <w:b/>
                            <w:bCs/>
                            <w:color w:val="FFFFFF" w:themeColor="background1"/>
                            <w:sz w:val="20"/>
                          </w:rPr>
                        </w:pPr>
                      </w:p>
                    </w:tc>
                    <w:tc>
                      <w:tcPr>
                        <w:tcW w:w="1936" w:type="dxa"/>
                        <w:gridSpan w:val="3"/>
                        <w:tcBorders>
                          <w:top w:val="single" w:sz="4" w:space="0" w:color="auto"/>
                          <w:left w:val="single" w:sz="4" w:space="0" w:color="auto"/>
                          <w:bottom w:val="single" w:sz="4" w:space="0" w:color="auto"/>
                          <w:right w:val="single" w:sz="4" w:space="0" w:color="auto"/>
                        </w:tcBorders>
                        <w:shd w:val="clear" w:color="auto" w:fill="007E00" w:themeFill="accent3"/>
                        <w:noWrap/>
                        <w:hideMark/>
                      </w:tcPr>
                      <w:p w14:paraId="4DD2D56B" w14:textId="19F76882" w:rsidR="00B837A4" w:rsidRPr="00865A65" w:rsidRDefault="00B837A4">
                        <w:pPr>
                          <w:pStyle w:val="TableText"/>
                          <w:rPr>
                            <w:b/>
                            <w:bCs/>
                            <w:color w:val="FFFFFF" w:themeColor="background1"/>
                            <w:sz w:val="20"/>
                          </w:rPr>
                        </w:pPr>
                        <w:r w:rsidRPr="00865A65">
                          <w:rPr>
                            <w:b/>
                            <w:bCs/>
                            <w:color w:val="FFFFFF" w:themeColor="background1"/>
                            <w:sz w:val="20"/>
                          </w:rPr>
                          <w:t xml:space="preserve">Assessments per </w:t>
                        </w:r>
                        <w:r w:rsidR="001D1403">
                          <w:rPr>
                            <w:b/>
                            <w:bCs/>
                            <w:color w:val="FFFFFF" w:themeColor="background1"/>
                            <w:sz w:val="20"/>
                          </w:rPr>
                          <w:t>service user</w:t>
                        </w:r>
                      </w:p>
                    </w:tc>
                    <w:tc>
                      <w:tcPr>
                        <w:tcW w:w="1339" w:type="dxa"/>
                        <w:gridSpan w:val="2"/>
                        <w:tcBorders>
                          <w:top w:val="single" w:sz="4" w:space="0" w:color="auto"/>
                          <w:left w:val="single" w:sz="4" w:space="0" w:color="auto"/>
                          <w:bottom w:val="single" w:sz="4" w:space="0" w:color="auto"/>
                          <w:right w:val="single" w:sz="4" w:space="0" w:color="auto"/>
                        </w:tcBorders>
                        <w:shd w:val="clear" w:color="auto" w:fill="007E00" w:themeFill="accent3"/>
                        <w:noWrap/>
                      </w:tcPr>
                      <w:p w14:paraId="2C5251B9" w14:textId="77777777" w:rsidR="00B837A4" w:rsidRPr="00865A65" w:rsidRDefault="00B837A4">
                        <w:pPr>
                          <w:pStyle w:val="TableText"/>
                          <w:rPr>
                            <w:b/>
                            <w:bCs/>
                            <w:color w:val="FFFFFF" w:themeColor="background1"/>
                            <w:sz w:val="20"/>
                          </w:rPr>
                        </w:pPr>
                      </w:p>
                    </w:tc>
                    <w:tc>
                      <w:tcPr>
                        <w:tcW w:w="1907" w:type="dxa"/>
                        <w:gridSpan w:val="3"/>
                        <w:tcBorders>
                          <w:top w:val="single" w:sz="4" w:space="0" w:color="auto"/>
                          <w:left w:val="single" w:sz="4" w:space="0" w:color="auto"/>
                          <w:bottom w:val="single" w:sz="4" w:space="0" w:color="auto"/>
                          <w:right w:val="single" w:sz="4" w:space="0" w:color="auto"/>
                        </w:tcBorders>
                        <w:shd w:val="clear" w:color="auto" w:fill="007E00" w:themeFill="accent3"/>
                        <w:noWrap/>
                        <w:hideMark/>
                      </w:tcPr>
                      <w:p w14:paraId="6D15F69A" w14:textId="4370F3A1" w:rsidR="00B837A4" w:rsidRPr="00865A65" w:rsidRDefault="00B837A4">
                        <w:pPr>
                          <w:pStyle w:val="TableText"/>
                          <w:rPr>
                            <w:b/>
                            <w:bCs/>
                            <w:color w:val="FFFFFF" w:themeColor="background1"/>
                            <w:sz w:val="20"/>
                          </w:rPr>
                        </w:pPr>
                        <w:r w:rsidRPr="00865A65">
                          <w:rPr>
                            <w:b/>
                            <w:bCs/>
                            <w:color w:val="FFFFFF" w:themeColor="background1"/>
                            <w:sz w:val="20"/>
                          </w:rPr>
                          <w:t xml:space="preserve">Assessments per </w:t>
                        </w:r>
                        <w:r w:rsidR="001D1403">
                          <w:rPr>
                            <w:b/>
                            <w:bCs/>
                            <w:color w:val="FFFFFF" w:themeColor="background1"/>
                            <w:sz w:val="20"/>
                          </w:rPr>
                          <w:t>service user</w:t>
                        </w:r>
                      </w:p>
                    </w:tc>
                  </w:tr>
                  <w:tr w:rsidR="00B837A4" w:rsidRPr="00865A65" w14:paraId="52223405" w14:textId="77777777" w:rsidTr="003371DC">
                    <w:trPr>
                      <w:cantSplit/>
                      <w:trHeight w:val="1317"/>
                    </w:trPr>
                    <w:tc>
                      <w:tcPr>
                        <w:tcW w:w="2341" w:type="dxa"/>
                        <w:tcBorders>
                          <w:top w:val="single" w:sz="4" w:space="0" w:color="auto"/>
                          <w:left w:val="single" w:sz="4" w:space="0" w:color="auto"/>
                          <w:bottom w:val="single" w:sz="4" w:space="0" w:color="auto"/>
                          <w:right w:val="single" w:sz="4" w:space="0" w:color="auto"/>
                        </w:tcBorders>
                        <w:shd w:val="clear" w:color="auto" w:fill="EBECED" w:themeFill="accent4"/>
                        <w:noWrap/>
                        <w:hideMark/>
                      </w:tcPr>
                      <w:p w14:paraId="6CA56A2E" w14:textId="77777777" w:rsidR="00B837A4" w:rsidRPr="00F63C0B" w:rsidRDefault="00B837A4">
                        <w:pPr>
                          <w:pStyle w:val="TableText"/>
                          <w:rPr>
                            <w:b/>
                            <w:bCs/>
                            <w:sz w:val="20"/>
                          </w:rPr>
                        </w:pPr>
                        <w:r w:rsidRPr="00F63C0B">
                          <w:rPr>
                            <w:b/>
                            <w:bCs/>
                            <w:sz w:val="20"/>
                          </w:rPr>
                          <w:t>SCORE domain</w:t>
                        </w:r>
                      </w:p>
                      <w:p w14:paraId="386F5413" w14:textId="006A94A5" w:rsidR="00B837A4" w:rsidRPr="00F63C0B" w:rsidRDefault="00B837A4" w:rsidP="004E0A66">
                        <w:pPr>
                          <w:pStyle w:val="TableText"/>
                          <w:numPr>
                            <w:ilvl w:val="0"/>
                            <w:numId w:val="0"/>
                          </w:numPr>
                          <w:rPr>
                            <w:b/>
                            <w:bCs/>
                            <w:sz w:val="20"/>
                          </w:rPr>
                        </w:pPr>
                      </w:p>
                    </w:tc>
                    <w:tc>
                      <w:tcPr>
                        <w:tcW w:w="859" w:type="dxa"/>
                        <w:tcBorders>
                          <w:top w:val="single" w:sz="4" w:space="0" w:color="auto"/>
                          <w:left w:val="single" w:sz="4" w:space="0" w:color="auto"/>
                          <w:bottom w:val="single" w:sz="4" w:space="0" w:color="auto"/>
                          <w:right w:val="single" w:sz="4" w:space="0" w:color="auto"/>
                        </w:tcBorders>
                        <w:shd w:val="clear" w:color="auto" w:fill="EBECED" w:themeFill="accent4"/>
                        <w:noWrap/>
                        <w:textDirection w:val="btLr"/>
                        <w:hideMark/>
                      </w:tcPr>
                      <w:p w14:paraId="21F9225D" w14:textId="5F3F4E5D" w:rsidR="00B837A4" w:rsidRPr="00F63C0B" w:rsidRDefault="00B837A4" w:rsidP="004E0A66">
                        <w:pPr>
                          <w:pStyle w:val="TableText"/>
                          <w:jc w:val="center"/>
                          <w:rPr>
                            <w:b/>
                            <w:bCs/>
                            <w:sz w:val="20"/>
                          </w:rPr>
                        </w:pPr>
                        <w:r w:rsidRPr="00F63C0B">
                          <w:rPr>
                            <w:b/>
                            <w:bCs/>
                            <w:sz w:val="20"/>
                          </w:rPr>
                          <w:t xml:space="preserve">% </w:t>
                        </w:r>
                        <w:r w:rsidR="00E614D3" w:rsidRPr="00F63C0B">
                          <w:rPr>
                            <w:b/>
                            <w:bCs/>
                            <w:sz w:val="20"/>
                          </w:rPr>
                          <w:t xml:space="preserve">service users </w:t>
                        </w:r>
                      </w:p>
                    </w:tc>
                    <w:tc>
                      <w:tcPr>
                        <w:tcW w:w="619" w:type="dxa"/>
                        <w:tcBorders>
                          <w:top w:val="single" w:sz="4" w:space="0" w:color="auto"/>
                          <w:left w:val="single" w:sz="4" w:space="0" w:color="auto"/>
                          <w:bottom w:val="single" w:sz="4" w:space="0" w:color="auto"/>
                          <w:right w:val="single" w:sz="4" w:space="0" w:color="auto"/>
                        </w:tcBorders>
                        <w:shd w:val="clear" w:color="auto" w:fill="EBECED" w:themeFill="accent4"/>
                        <w:noWrap/>
                        <w:textDirection w:val="btLr"/>
                        <w:hideMark/>
                      </w:tcPr>
                      <w:p w14:paraId="6DA80BDF" w14:textId="77777777" w:rsidR="00B837A4" w:rsidRPr="00F63C0B" w:rsidRDefault="00B837A4" w:rsidP="004E0A66">
                        <w:pPr>
                          <w:pStyle w:val="TableText"/>
                          <w:jc w:val="center"/>
                          <w:rPr>
                            <w:b/>
                            <w:bCs/>
                            <w:sz w:val="20"/>
                          </w:rPr>
                        </w:pPr>
                        <w:r w:rsidRPr="00F63C0B">
                          <w:rPr>
                            <w:b/>
                            <w:bCs/>
                            <w:sz w:val="20"/>
                          </w:rPr>
                          <w:t>% sessions</w:t>
                        </w:r>
                      </w:p>
                    </w:tc>
                    <w:tc>
                      <w:tcPr>
                        <w:tcW w:w="579" w:type="dxa"/>
                        <w:tcBorders>
                          <w:top w:val="single" w:sz="4" w:space="0" w:color="auto"/>
                          <w:left w:val="single" w:sz="4" w:space="0" w:color="auto"/>
                          <w:bottom w:val="single" w:sz="4" w:space="0" w:color="auto"/>
                          <w:right w:val="single" w:sz="4" w:space="0" w:color="auto"/>
                        </w:tcBorders>
                        <w:shd w:val="clear" w:color="auto" w:fill="EBECED" w:themeFill="accent4"/>
                        <w:noWrap/>
                        <w:textDirection w:val="btLr"/>
                        <w:hideMark/>
                      </w:tcPr>
                      <w:p w14:paraId="62DC4BCB" w14:textId="77777777" w:rsidR="00B837A4" w:rsidRPr="00F63C0B" w:rsidRDefault="00B837A4" w:rsidP="004E0A66">
                        <w:pPr>
                          <w:pStyle w:val="TableText"/>
                          <w:jc w:val="center"/>
                          <w:rPr>
                            <w:b/>
                            <w:bCs/>
                            <w:sz w:val="20"/>
                          </w:rPr>
                        </w:pPr>
                        <w:r w:rsidRPr="00F63C0B">
                          <w:rPr>
                            <w:b/>
                            <w:bCs/>
                            <w:sz w:val="20"/>
                          </w:rPr>
                          <w:t>mean</w:t>
                        </w:r>
                      </w:p>
                    </w:tc>
                    <w:tc>
                      <w:tcPr>
                        <w:tcW w:w="579" w:type="dxa"/>
                        <w:tcBorders>
                          <w:top w:val="single" w:sz="4" w:space="0" w:color="auto"/>
                          <w:left w:val="single" w:sz="4" w:space="0" w:color="auto"/>
                          <w:bottom w:val="single" w:sz="4" w:space="0" w:color="auto"/>
                          <w:right w:val="single" w:sz="4" w:space="0" w:color="auto"/>
                        </w:tcBorders>
                        <w:shd w:val="clear" w:color="auto" w:fill="EBECED" w:themeFill="accent4"/>
                        <w:noWrap/>
                        <w:textDirection w:val="btLr"/>
                        <w:hideMark/>
                      </w:tcPr>
                      <w:p w14:paraId="3854863C" w14:textId="77777777" w:rsidR="00B837A4" w:rsidRPr="00F63C0B" w:rsidRDefault="00B837A4" w:rsidP="004E0A66">
                        <w:pPr>
                          <w:pStyle w:val="TableText"/>
                          <w:jc w:val="center"/>
                          <w:rPr>
                            <w:b/>
                            <w:bCs/>
                            <w:sz w:val="20"/>
                          </w:rPr>
                        </w:pPr>
                        <w:r w:rsidRPr="00F63C0B">
                          <w:rPr>
                            <w:b/>
                            <w:bCs/>
                            <w:sz w:val="20"/>
                          </w:rPr>
                          <w:t>median</w:t>
                        </w:r>
                      </w:p>
                    </w:tc>
                    <w:tc>
                      <w:tcPr>
                        <w:tcW w:w="778" w:type="dxa"/>
                        <w:tcBorders>
                          <w:top w:val="single" w:sz="4" w:space="0" w:color="auto"/>
                          <w:left w:val="single" w:sz="4" w:space="0" w:color="auto"/>
                          <w:bottom w:val="single" w:sz="4" w:space="0" w:color="auto"/>
                          <w:right w:val="single" w:sz="4" w:space="0" w:color="auto"/>
                        </w:tcBorders>
                        <w:shd w:val="clear" w:color="auto" w:fill="EBECED" w:themeFill="accent4"/>
                        <w:noWrap/>
                        <w:textDirection w:val="btLr"/>
                        <w:hideMark/>
                      </w:tcPr>
                      <w:p w14:paraId="1DAE7D52" w14:textId="77777777" w:rsidR="00B837A4" w:rsidRPr="00F63C0B" w:rsidRDefault="00B837A4" w:rsidP="004E0A66">
                        <w:pPr>
                          <w:pStyle w:val="TableText"/>
                          <w:jc w:val="center"/>
                          <w:rPr>
                            <w:b/>
                            <w:bCs/>
                            <w:sz w:val="20"/>
                          </w:rPr>
                        </w:pPr>
                        <w:r w:rsidRPr="00F63C0B">
                          <w:rPr>
                            <w:b/>
                            <w:bCs/>
                            <w:sz w:val="20"/>
                          </w:rPr>
                          <w:t>range</w:t>
                        </w:r>
                      </w:p>
                    </w:tc>
                    <w:tc>
                      <w:tcPr>
                        <w:tcW w:w="687" w:type="dxa"/>
                        <w:tcBorders>
                          <w:top w:val="single" w:sz="4" w:space="0" w:color="auto"/>
                          <w:left w:val="single" w:sz="4" w:space="0" w:color="auto"/>
                          <w:bottom w:val="single" w:sz="4" w:space="0" w:color="auto"/>
                          <w:right w:val="single" w:sz="4" w:space="0" w:color="auto"/>
                        </w:tcBorders>
                        <w:shd w:val="clear" w:color="auto" w:fill="EBECED" w:themeFill="accent4"/>
                        <w:noWrap/>
                        <w:textDirection w:val="btLr"/>
                        <w:hideMark/>
                      </w:tcPr>
                      <w:p w14:paraId="4A0A7E3E" w14:textId="1AAE2EB0" w:rsidR="00B837A4" w:rsidRPr="00F63C0B" w:rsidRDefault="00B837A4" w:rsidP="004E0A66">
                        <w:pPr>
                          <w:pStyle w:val="TableText"/>
                          <w:jc w:val="center"/>
                          <w:rPr>
                            <w:b/>
                            <w:bCs/>
                            <w:sz w:val="20"/>
                          </w:rPr>
                        </w:pPr>
                        <w:r w:rsidRPr="00F63C0B">
                          <w:rPr>
                            <w:b/>
                            <w:bCs/>
                            <w:sz w:val="20"/>
                          </w:rPr>
                          <w:t xml:space="preserve">% </w:t>
                        </w:r>
                        <w:r w:rsidR="00E614D3" w:rsidRPr="00F63C0B">
                          <w:rPr>
                            <w:b/>
                            <w:bCs/>
                            <w:sz w:val="20"/>
                          </w:rPr>
                          <w:t xml:space="preserve">service users </w:t>
                        </w:r>
                      </w:p>
                    </w:tc>
                    <w:tc>
                      <w:tcPr>
                        <w:tcW w:w="652" w:type="dxa"/>
                        <w:tcBorders>
                          <w:top w:val="single" w:sz="4" w:space="0" w:color="auto"/>
                          <w:left w:val="single" w:sz="4" w:space="0" w:color="auto"/>
                          <w:bottom w:val="single" w:sz="4" w:space="0" w:color="auto"/>
                          <w:right w:val="single" w:sz="4" w:space="0" w:color="auto"/>
                        </w:tcBorders>
                        <w:shd w:val="clear" w:color="auto" w:fill="EBECED" w:themeFill="accent4"/>
                        <w:noWrap/>
                        <w:textDirection w:val="btLr"/>
                        <w:hideMark/>
                      </w:tcPr>
                      <w:p w14:paraId="0F99E6FE" w14:textId="77777777" w:rsidR="00B837A4" w:rsidRPr="00F63C0B" w:rsidRDefault="00B837A4" w:rsidP="004E0A66">
                        <w:pPr>
                          <w:pStyle w:val="TableText"/>
                          <w:jc w:val="center"/>
                          <w:rPr>
                            <w:b/>
                            <w:bCs/>
                            <w:sz w:val="20"/>
                          </w:rPr>
                        </w:pPr>
                        <w:r w:rsidRPr="00F63C0B">
                          <w:rPr>
                            <w:b/>
                            <w:bCs/>
                            <w:sz w:val="20"/>
                          </w:rPr>
                          <w:t>% sessions</w:t>
                        </w:r>
                      </w:p>
                    </w:tc>
                    <w:tc>
                      <w:tcPr>
                        <w:tcW w:w="579" w:type="dxa"/>
                        <w:tcBorders>
                          <w:top w:val="single" w:sz="4" w:space="0" w:color="auto"/>
                          <w:left w:val="single" w:sz="4" w:space="0" w:color="auto"/>
                          <w:bottom w:val="single" w:sz="4" w:space="0" w:color="auto"/>
                          <w:right w:val="single" w:sz="4" w:space="0" w:color="auto"/>
                        </w:tcBorders>
                        <w:shd w:val="clear" w:color="auto" w:fill="EBECED" w:themeFill="accent4"/>
                        <w:noWrap/>
                        <w:textDirection w:val="btLr"/>
                        <w:hideMark/>
                      </w:tcPr>
                      <w:p w14:paraId="1E3F6947" w14:textId="77777777" w:rsidR="00B837A4" w:rsidRPr="00F63C0B" w:rsidRDefault="00B837A4" w:rsidP="004E0A66">
                        <w:pPr>
                          <w:pStyle w:val="TableText"/>
                          <w:jc w:val="center"/>
                          <w:rPr>
                            <w:b/>
                            <w:bCs/>
                            <w:sz w:val="20"/>
                          </w:rPr>
                        </w:pPr>
                        <w:r w:rsidRPr="00F63C0B">
                          <w:rPr>
                            <w:b/>
                            <w:bCs/>
                            <w:sz w:val="20"/>
                          </w:rPr>
                          <w:t>mean</w:t>
                        </w:r>
                      </w:p>
                    </w:tc>
                    <w:tc>
                      <w:tcPr>
                        <w:tcW w:w="589" w:type="dxa"/>
                        <w:tcBorders>
                          <w:top w:val="single" w:sz="4" w:space="0" w:color="auto"/>
                          <w:left w:val="single" w:sz="4" w:space="0" w:color="auto"/>
                          <w:bottom w:val="single" w:sz="4" w:space="0" w:color="auto"/>
                          <w:right w:val="single" w:sz="4" w:space="0" w:color="auto"/>
                        </w:tcBorders>
                        <w:shd w:val="clear" w:color="auto" w:fill="EBECED" w:themeFill="accent4"/>
                        <w:noWrap/>
                        <w:textDirection w:val="btLr"/>
                        <w:hideMark/>
                      </w:tcPr>
                      <w:p w14:paraId="01B69BD1" w14:textId="77777777" w:rsidR="00B837A4" w:rsidRPr="00F63C0B" w:rsidRDefault="00B837A4" w:rsidP="004E0A66">
                        <w:pPr>
                          <w:pStyle w:val="TableText"/>
                          <w:jc w:val="center"/>
                          <w:rPr>
                            <w:b/>
                            <w:bCs/>
                            <w:sz w:val="20"/>
                          </w:rPr>
                        </w:pPr>
                        <w:r w:rsidRPr="00F63C0B">
                          <w:rPr>
                            <w:b/>
                            <w:bCs/>
                            <w:sz w:val="20"/>
                          </w:rPr>
                          <w:t>median</w:t>
                        </w:r>
                      </w:p>
                    </w:tc>
                    <w:tc>
                      <w:tcPr>
                        <w:tcW w:w="739" w:type="dxa"/>
                        <w:tcBorders>
                          <w:top w:val="single" w:sz="4" w:space="0" w:color="auto"/>
                          <w:left w:val="single" w:sz="4" w:space="0" w:color="auto"/>
                          <w:bottom w:val="single" w:sz="4" w:space="0" w:color="auto"/>
                          <w:right w:val="single" w:sz="4" w:space="0" w:color="auto"/>
                        </w:tcBorders>
                        <w:shd w:val="clear" w:color="auto" w:fill="EBECED" w:themeFill="accent4"/>
                        <w:noWrap/>
                        <w:textDirection w:val="btLr"/>
                        <w:hideMark/>
                      </w:tcPr>
                      <w:p w14:paraId="55845E4B" w14:textId="77777777" w:rsidR="00B837A4" w:rsidRPr="00F63C0B" w:rsidRDefault="00B837A4" w:rsidP="004E0A66">
                        <w:pPr>
                          <w:pStyle w:val="TableText"/>
                          <w:jc w:val="center"/>
                          <w:rPr>
                            <w:b/>
                            <w:bCs/>
                            <w:sz w:val="20"/>
                          </w:rPr>
                        </w:pPr>
                        <w:r w:rsidRPr="00F63C0B">
                          <w:rPr>
                            <w:b/>
                            <w:bCs/>
                            <w:sz w:val="20"/>
                          </w:rPr>
                          <w:t>range</w:t>
                        </w:r>
                      </w:p>
                    </w:tc>
                  </w:tr>
                  <w:tr w:rsidR="00B837A4" w:rsidRPr="00865A65" w14:paraId="1AC030FB" w14:textId="77777777" w:rsidTr="00252822">
                    <w:trPr>
                      <w:trHeight w:val="562"/>
                    </w:trPr>
                    <w:tc>
                      <w:tcPr>
                        <w:tcW w:w="2341" w:type="dxa"/>
                        <w:tcBorders>
                          <w:top w:val="single" w:sz="4" w:space="0" w:color="auto"/>
                          <w:left w:val="single" w:sz="4" w:space="0" w:color="auto"/>
                          <w:bottom w:val="single" w:sz="4" w:space="0" w:color="auto"/>
                          <w:right w:val="single" w:sz="4" w:space="0" w:color="auto"/>
                        </w:tcBorders>
                        <w:shd w:val="clear" w:color="auto" w:fill="D1E3B0" w:themeFill="accent5"/>
                        <w:noWrap/>
                        <w:hideMark/>
                      </w:tcPr>
                      <w:p w14:paraId="3FB03560" w14:textId="4143AA7C" w:rsidR="00B837A4" w:rsidRPr="00093F50" w:rsidRDefault="008F6596" w:rsidP="00871BAE">
                        <w:pPr>
                          <w:pStyle w:val="TableText"/>
                          <w:rPr>
                            <w:sz w:val="20"/>
                          </w:rPr>
                        </w:pPr>
                        <w:r w:rsidRPr="00093F50">
                          <w:rPr>
                            <w:sz w:val="20"/>
                          </w:rPr>
                          <w:t>Circumstances –</w:t>
                        </w:r>
                        <w:r w:rsidR="00B837A4" w:rsidRPr="00093F50">
                          <w:rPr>
                            <w:sz w:val="20"/>
                          </w:rPr>
                          <w:t xml:space="preserve"> </w:t>
                        </w:r>
                        <w:r w:rsidR="00393104" w:rsidRPr="00093F50">
                          <w:rPr>
                            <w:sz w:val="20"/>
                          </w:rPr>
                          <w:t xml:space="preserve">Family Functioning </w:t>
                        </w:r>
                      </w:p>
                    </w:tc>
                    <w:tc>
                      <w:tcPr>
                        <w:tcW w:w="859" w:type="dxa"/>
                        <w:tcBorders>
                          <w:top w:val="single" w:sz="4" w:space="0" w:color="auto"/>
                          <w:left w:val="single" w:sz="4" w:space="0" w:color="auto"/>
                          <w:bottom w:val="single" w:sz="4" w:space="0" w:color="auto"/>
                          <w:right w:val="single" w:sz="4" w:space="0" w:color="auto"/>
                        </w:tcBorders>
                        <w:shd w:val="clear" w:color="auto" w:fill="D1E3B0" w:themeFill="accent5"/>
                        <w:noWrap/>
                        <w:hideMark/>
                      </w:tcPr>
                      <w:p w14:paraId="65FC891A" w14:textId="77777777" w:rsidR="00B837A4" w:rsidRPr="00865A65" w:rsidRDefault="00B837A4">
                        <w:pPr>
                          <w:pStyle w:val="TableText"/>
                          <w:rPr>
                            <w:sz w:val="20"/>
                          </w:rPr>
                        </w:pPr>
                        <w:r w:rsidRPr="00865A65">
                          <w:rPr>
                            <w:sz w:val="20"/>
                          </w:rPr>
                          <w:t>85.9</w:t>
                        </w:r>
                      </w:p>
                    </w:tc>
                    <w:tc>
                      <w:tcPr>
                        <w:tcW w:w="619" w:type="dxa"/>
                        <w:tcBorders>
                          <w:top w:val="single" w:sz="4" w:space="0" w:color="auto"/>
                          <w:left w:val="single" w:sz="4" w:space="0" w:color="auto"/>
                          <w:bottom w:val="single" w:sz="4" w:space="0" w:color="auto"/>
                          <w:right w:val="single" w:sz="4" w:space="0" w:color="auto"/>
                        </w:tcBorders>
                        <w:shd w:val="clear" w:color="auto" w:fill="D1E3B0" w:themeFill="accent5"/>
                        <w:noWrap/>
                        <w:hideMark/>
                      </w:tcPr>
                      <w:p w14:paraId="2424937F" w14:textId="77777777" w:rsidR="00B837A4" w:rsidRPr="00865A65" w:rsidRDefault="00B837A4">
                        <w:pPr>
                          <w:pStyle w:val="TableText"/>
                          <w:rPr>
                            <w:sz w:val="20"/>
                          </w:rPr>
                        </w:pPr>
                        <w:r w:rsidRPr="00865A65">
                          <w:rPr>
                            <w:sz w:val="20"/>
                          </w:rPr>
                          <w:t>80.2</w:t>
                        </w:r>
                      </w:p>
                    </w:tc>
                    <w:tc>
                      <w:tcPr>
                        <w:tcW w:w="579" w:type="dxa"/>
                        <w:tcBorders>
                          <w:top w:val="single" w:sz="4" w:space="0" w:color="auto"/>
                          <w:left w:val="single" w:sz="4" w:space="0" w:color="auto"/>
                          <w:bottom w:val="single" w:sz="4" w:space="0" w:color="auto"/>
                          <w:right w:val="single" w:sz="4" w:space="0" w:color="auto"/>
                        </w:tcBorders>
                        <w:shd w:val="clear" w:color="auto" w:fill="D1E3B0" w:themeFill="accent5"/>
                        <w:noWrap/>
                        <w:hideMark/>
                      </w:tcPr>
                      <w:p w14:paraId="2A3B3BF1" w14:textId="77777777" w:rsidR="00B837A4" w:rsidRPr="00865A65" w:rsidRDefault="00B837A4">
                        <w:pPr>
                          <w:pStyle w:val="TableText"/>
                          <w:rPr>
                            <w:sz w:val="20"/>
                          </w:rPr>
                        </w:pPr>
                        <w:r w:rsidRPr="00865A65">
                          <w:rPr>
                            <w:sz w:val="20"/>
                          </w:rPr>
                          <w:t>2.3</w:t>
                        </w:r>
                      </w:p>
                    </w:tc>
                    <w:tc>
                      <w:tcPr>
                        <w:tcW w:w="579" w:type="dxa"/>
                        <w:tcBorders>
                          <w:top w:val="single" w:sz="4" w:space="0" w:color="auto"/>
                          <w:left w:val="single" w:sz="4" w:space="0" w:color="auto"/>
                          <w:bottom w:val="single" w:sz="4" w:space="0" w:color="auto"/>
                          <w:right w:val="single" w:sz="4" w:space="0" w:color="auto"/>
                        </w:tcBorders>
                        <w:shd w:val="clear" w:color="auto" w:fill="D1E3B0" w:themeFill="accent5"/>
                        <w:noWrap/>
                        <w:hideMark/>
                      </w:tcPr>
                      <w:p w14:paraId="3D7746FF" w14:textId="77777777" w:rsidR="00B837A4" w:rsidRPr="00865A65" w:rsidRDefault="00B837A4">
                        <w:pPr>
                          <w:pStyle w:val="TableText"/>
                          <w:rPr>
                            <w:sz w:val="20"/>
                          </w:rPr>
                        </w:pPr>
                        <w:r w:rsidRPr="00865A65">
                          <w:rPr>
                            <w:sz w:val="20"/>
                          </w:rPr>
                          <w:t>2</w:t>
                        </w:r>
                      </w:p>
                    </w:tc>
                    <w:tc>
                      <w:tcPr>
                        <w:tcW w:w="778" w:type="dxa"/>
                        <w:tcBorders>
                          <w:top w:val="single" w:sz="4" w:space="0" w:color="auto"/>
                          <w:left w:val="single" w:sz="4" w:space="0" w:color="auto"/>
                          <w:bottom w:val="single" w:sz="4" w:space="0" w:color="auto"/>
                          <w:right w:val="single" w:sz="4" w:space="0" w:color="auto"/>
                        </w:tcBorders>
                        <w:shd w:val="clear" w:color="auto" w:fill="D1E3B0" w:themeFill="accent5"/>
                        <w:noWrap/>
                        <w:hideMark/>
                      </w:tcPr>
                      <w:p w14:paraId="23EB7231" w14:textId="77777777" w:rsidR="00B837A4" w:rsidRPr="00865A65" w:rsidRDefault="00B837A4">
                        <w:pPr>
                          <w:pStyle w:val="TableText"/>
                          <w:rPr>
                            <w:sz w:val="20"/>
                          </w:rPr>
                        </w:pPr>
                        <w:r w:rsidRPr="00865A65">
                          <w:rPr>
                            <w:sz w:val="20"/>
                          </w:rPr>
                          <w:t>(1,75)</w:t>
                        </w:r>
                      </w:p>
                    </w:tc>
                    <w:tc>
                      <w:tcPr>
                        <w:tcW w:w="687" w:type="dxa"/>
                        <w:tcBorders>
                          <w:top w:val="single" w:sz="4" w:space="0" w:color="auto"/>
                          <w:left w:val="single" w:sz="4" w:space="0" w:color="auto"/>
                          <w:bottom w:val="single" w:sz="4" w:space="0" w:color="auto"/>
                          <w:right w:val="single" w:sz="4" w:space="0" w:color="auto"/>
                        </w:tcBorders>
                        <w:shd w:val="clear" w:color="auto" w:fill="D1E3B0" w:themeFill="accent5"/>
                        <w:noWrap/>
                        <w:hideMark/>
                      </w:tcPr>
                      <w:p w14:paraId="1A887534" w14:textId="77777777" w:rsidR="00B837A4" w:rsidRPr="00865A65" w:rsidRDefault="00B837A4">
                        <w:pPr>
                          <w:pStyle w:val="TableText"/>
                          <w:rPr>
                            <w:sz w:val="20"/>
                          </w:rPr>
                        </w:pPr>
                        <w:r w:rsidRPr="00865A65">
                          <w:rPr>
                            <w:sz w:val="20"/>
                          </w:rPr>
                          <w:t>67.9</w:t>
                        </w:r>
                      </w:p>
                    </w:tc>
                    <w:tc>
                      <w:tcPr>
                        <w:tcW w:w="652" w:type="dxa"/>
                        <w:tcBorders>
                          <w:top w:val="single" w:sz="4" w:space="0" w:color="auto"/>
                          <w:left w:val="single" w:sz="4" w:space="0" w:color="auto"/>
                          <w:bottom w:val="single" w:sz="4" w:space="0" w:color="auto"/>
                          <w:right w:val="single" w:sz="4" w:space="0" w:color="auto"/>
                        </w:tcBorders>
                        <w:shd w:val="clear" w:color="auto" w:fill="D1E3B0" w:themeFill="accent5"/>
                        <w:noWrap/>
                        <w:hideMark/>
                      </w:tcPr>
                      <w:p w14:paraId="00051699" w14:textId="77777777" w:rsidR="00B837A4" w:rsidRPr="00865A65" w:rsidRDefault="00B837A4">
                        <w:pPr>
                          <w:pStyle w:val="TableText"/>
                          <w:rPr>
                            <w:sz w:val="20"/>
                          </w:rPr>
                        </w:pPr>
                        <w:r w:rsidRPr="00865A65">
                          <w:rPr>
                            <w:sz w:val="20"/>
                          </w:rPr>
                          <w:t>64.4</w:t>
                        </w:r>
                      </w:p>
                    </w:tc>
                    <w:tc>
                      <w:tcPr>
                        <w:tcW w:w="579" w:type="dxa"/>
                        <w:tcBorders>
                          <w:top w:val="single" w:sz="4" w:space="0" w:color="auto"/>
                          <w:left w:val="single" w:sz="4" w:space="0" w:color="auto"/>
                          <w:bottom w:val="single" w:sz="4" w:space="0" w:color="auto"/>
                          <w:right w:val="single" w:sz="4" w:space="0" w:color="auto"/>
                        </w:tcBorders>
                        <w:shd w:val="clear" w:color="auto" w:fill="D1E3B0" w:themeFill="accent5"/>
                        <w:noWrap/>
                        <w:hideMark/>
                      </w:tcPr>
                      <w:p w14:paraId="5E40A2BA" w14:textId="77777777" w:rsidR="00B837A4" w:rsidRPr="00865A65" w:rsidRDefault="00B837A4">
                        <w:pPr>
                          <w:pStyle w:val="TableText"/>
                          <w:rPr>
                            <w:sz w:val="20"/>
                          </w:rPr>
                        </w:pPr>
                        <w:r w:rsidRPr="00865A65">
                          <w:rPr>
                            <w:sz w:val="20"/>
                          </w:rPr>
                          <w:t>2.5</w:t>
                        </w:r>
                      </w:p>
                    </w:tc>
                    <w:tc>
                      <w:tcPr>
                        <w:tcW w:w="589" w:type="dxa"/>
                        <w:tcBorders>
                          <w:top w:val="single" w:sz="4" w:space="0" w:color="auto"/>
                          <w:left w:val="single" w:sz="4" w:space="0" w:color="auto"/>
                          <w:bottom w:val="single" w:sz="4" w:space="0" w:color="auto"/>
                          <w:right w:val="single" w:sz="4" w:space="0" w:color="auto"/>
                        </w:tcBorders>
                        <w:shd w:val="clear" w:color="auto" w:fill="D1E3B0" w:themeFill="accent5"/>
                        <w:noWrap/>
                        <w:hideMark/>
                      </w:tcPr>
                      <w:p w14:paraId="70AFADC8" w14:textId="77777777" w:rsidR="00B837A4" w:rsidRPr="00865A65" w:rsidRDefault="00B837A4">
                        <w:pPr>
                          <w:pStyle w:val="TableText"/>
                          <w:rPr>
                            <w:sz w:val="20"/>
                          </w:rPr>
                        </w:pPr>
                        <w:r w:rsidRPr="00865A65">
                          <w:rPr>
                            <w:sz w:val="20"/>
                          </w:rPr>
                          <w:t>2</w:t>
                        </w:r>
                      </w:p>
                    </w:tc>
                    <w:tc>
                      <w:tcPr>
                        <w:tcW w:w="739" w:type="dxa"/>
                        <w:tcBorders>
                          <w:top w:val="single" w:sz="4" w:space="0" w:color="auto"/>
                          <w:left w:val="single" w:sz="4" w:space="0" w:color="auto"/>
                          <w:bottom w:val="single" w:sz="4" w:space="0" w:color="auto"/>
                          <w:right w:val="single" w:sz="4" w:space="0" w:color="auto"/>
                        </w:tcBorders>
                        <w:shd w:val="clear" w:color="auto" w:fill="D1E3B0" w:themeFill="accent5"/>
                        <w:noWrap/>
                        <w:hideMark/>
                      </w:tcPr>
                      <w:p w14:paraId="1EAAD528" w14:textId="77777777" w:rsidR="00B837A4" w:rsidRPr="00865A65" w:rsidRDefault="00B837A4">
                        <w:pPr>
                          <w:pStyle w:val="TableText"/>
                          <w:rPr>
                            <w:sz w:val="20"/>
                          </w:rPr>
                        </w:pPr>
                        <w:r w:rsidRPr="00865A65">
                          <w:rPr>
                            <w:sz w:val="20"/>
                          </w:rPr>
                          <w:t>(1,34)</w:t>
                        </w:r>
                      </w:p>
                    </w:tc>
                  </w:tr>
                  <w:tr w:rsidR="00B837A4" w:rsidRPr="00865A65" w14:paraId="21838822" w14:textId="77777777" w:rsidTr="00252822">
                    <w:trPr>
                      <w:trHeight w:val="856"/>
                    </w:trPr>
                    <w:tc>
                      <w:tcPr>
                        <w:tcW w:w="2341" w:type="dxa"/>
                        <w:tcBorders>
                          <w:top w:val="single" w:sz="4" w:space="0" w:color="auto"/>
                          <w:left w:val="single" w:sz="4" w:space="0" w:color="auto"/>
                          <w:bottom w:val="single" w:sz="4" w:space="0" w:color="auto"/>
                          <w:right w:val="single" w:sz="4" w:space="0" w:color="auto"/>
                        </w:tcBorders>
                        <w:shd w:val="clear" w:color="auto" w:fill="D1E3B0" w:themeFill="accent5"/>
                        <w:noWrap/>
                        <w:hideMark/>
                      </w:tcPr>
                      <w:p w14:paraId="169250F3" w14:textId="38CED0C2" w:rsidR="00B837A4" w:rsidRPr="00093F50" w:rsidRDefault="00B837A4">
                        <w:pPr>
                          <w:pStyle w:val="TableText"/>
                          <w:rPr>
                            <w:sz w:val="20"/>
                          </w:rPr>
                        </w:pPr>
                        <w:r w:rsidRPr="00093F50">
                          <w:rPr>
                            <w:sz w:val="20"/>
                          </w:rPr>
                          <w:t xml:space="preserve">Circumstances </w:t>
                        </w:r>
                        <w:r w:rsidR="00D53547" w:rsidRPr="00093F50">
                          <w:rPr>
                            <w:sz w:val="20"/>
                          </w:rPr>
                          <w:t>–</w:t>
                        </w:r>
                        <w:r w:rsidRPr="00093F50">
                          <w:rPr>
                            <w:sz w:val="20"/>
                          </w:rPr>
                          <w:t xml:space="preserve"> </w:t>
                        </w:r>
                        <w:r w:rsidR="00426E0E" w:rsidRPr="00093F50">
                          <w:rPr>
                            <w:sz w:val="20"/>
                          </w:rPr>
                          <w:t>Mental health, wellbeing, and self-care</w:t>
                        </w:r>
                      </w:p>
                    </w:tc>
                    <w:tc>
                      <w:tcPr>
                        <w:tcW w:w="859" w:type="dxa"/>
                        <w:tcBorders>
                          <w:top w:val="single" w:sz="4" w:space="0" w:color="auto"/>
                          <w:left w:val="single" w:sz="4" w:space="0" w:color="auto"/>
                          <w:bottom w:val="single" w:sz="4" w:space="0" w:color="auto"/>
                          <w:right w:val="single" w:sz="4" w:space="0" w:color="auto"/>
                        </w:tcBorders>
                        <w:shd w:val="clear" w:color="auto" w:fill="D1E3B0" w:themeFill="accent5"/>
                        <w:noWrap/>
                        <w:hideMark/>
                      </w:tcPr>
                      <w:p w14:paraId="063827EA" w14:textId="77777777" w:rsidR="00B837A4" w:rsidRPr="00865A65" w:rsidRDefault="00B837A4">
                        <w:pPr>
                          <w:pStyle w:val="TableText"/>
                          <w:rPr>
                            <w:sz w:val="20"/>
                          </w:rPr>
                        </w:pPr>
                        <w:r w:rsidRPr="00865A65">
                          <w:rPr>
                            <w:sz w:val="20"/>
                          </w:rPr>
                          <w:t>78.6</w:t>
                        </w:r>
                      </w:p>
                    </w:tc>
                    <w:tc>
                      <w:tcPr>
                        <w:tcW w:w="619" w:type="dxa"/>
                        <w:tcBorders>
                          <w:top w:val="single" w:sz="4" w:space="0" w:color="auto"/>
                          <w:left w:val="single" w:sz="4" w:space="0" w:color="auto"/>
                          <w:bottom w:val="single" w:sz="4" w:space="0" w:color="auto"/>
                          <w:right w:val="single" w:sz="4" w:space="0" w:color="auto"/>
                        </w:tcBorders>
                        <w:shd w:val="clear" w:color="auto" w:fill="D1E3B0" w:themeFill="accent5"/>
                        <w:noWrap/>
                        <w:hideMark/>
                      </w:tcPr>
                      <w:p w14:paraId="335FE0E0" w14:textId="77777777" w:rsidR="00B837A4" w:rsidRPr="00865A65" w:rsidRDefault="00B837A4">
                        <w:pPr>
                          <w:pStyle w:val="TableText"/>
                          <w:rPr>
                            <w:sz w:val="20"/>
                          </w:rPr>
                        </w:pPr>
                        <w:r w:rsidRPr="00865A65">
                          <w:rPr>
                            <w:sz w:val="20"/>
                          </w:rPr>
                          <w:t>77.9</w:t>
                        </w:r>
                      </w:p>
                    </w:tc>
                    <w:tc>
                      <w:tcPr>
                        <w:tcW w:w="579" w:type="dxa"/>
                        <w:tcBorders>
                          <w:top w:val="single" w:sz="4" w:space="0" w:color="auto"/>
                          <w:left w:val="single" w:sz="4" w:space="0" w:color="auto"/>
                          <w:bottom w:val="single" w:sz="4" w:space="0" w:color="auto"/>
                          <w:right w:val="single" w:sz="4" w:space="0" w:color="auto"/>
                        </w:tcBorders>
                        <w:shd w:val="clear" w:color="auto" w:fill="D1E3B0" w:themeFill="accent5"/>
                        <w:noWrap/>
                        <w:hideMark/>
                      </w:tcPr>
                      <w:p w14:paraId="0042B2F1" w14:textId="77777777" w:rsidR="00B837A4" w:rsidRPr="00865A65" w:rsidRDefault="00B837A4">
                        <w:pPr>
                          <w:pStyle w:val="TableText"/>
                          <w:rPr>
                            <w:sz w:val="20"/>
                          </w:rPr>
                        </w:pPr>
                        <w:r w:rsidRPr="00865A65">
                          <w:rPr>
                            <w:sz w:val="20"/>
                          </w:rPr>
                          <w:t>2.4</w:t>
                        </w:r>
                      </w:p>
                    </w:tc>
                    <w:tc>
                      <w:tcPr>
                        <w:tcW w:w="579" w:type="dxa"/>
                        <w:tcBorders>
                          <w:top w:val="single" w:sz="4" w:space="0" w:color="auto"/>
                          <w:left w:val="single" w:sz="4" w:space="0" w:color="auto"/>
                          <w:bottom w:val="single" w:sz="4" w:space="0" w:color="auto"/>
                          <w:right w:val="single" w:sz="4" w:space="0" w:color="auto"/>
                        </w:tcBorders>
                        <w:shd w:val="clear" w:color="auto" w:fill="D1E3B0" w:themeFill="accent5"/>
                        <w:noWrap/>
                        <w:hideMark/>
                      </w:tcPr>
                      <w:p w14:paraId="19D7788E" w14:textId="77777777" w:rsidR="00B837A4" w:rsidRPr="00865A65" w:rsidRDefault="00B837A4">
                        <w:pPr>
                          <w:pStyle w:val="TableText"/>
                          <w:rPr>
                            <w:sz w:val="20"/>
                          </w:rPr>
                        </w:pPr>
                        <w:r w:rsidRPr="00865A65">
                          <w:rPr>
                            <w:sz w:val="20"/>
                          </w:rPr>
                          <w:t>2</w:t>
                        </w:r>
                      </w:p>
                    </w:tc>
                    <w:tc>
                      <w:tcPr>
                        <w:tcW w:w="778" w:type="dxa"/>
                        <w:tcBorders>
                          <w:top w:val="single" w:sz="4" w:space="0" w:color="auto"/>
                          <w:left w:val="single" w:sz="4" w:space="0" w:color="auto"/>
                          <w:bottom w:val="single" w:sz="4" w:space="0" w:color="auto"/>
                          <w:right w:val="single" w:sz="4" w:space="0" w:color="auto"/>
                        </w:tcBorders>
                        <w:shd w:val="clear" w:color="auto" w:fill="D1E3B0" w:themeFill="accent5"/>
                        <w:noWrap/>
                        <w:hideMark/>
                      </w:tcPr>
                      <w:p w14:paraId="7A38B17B" w14:textId="77777777" w:rsidR="00B837A4" w:rsidRPr="00865A65" w:rsidRDefault="00B837A4">
                        <w:pPr>
                          <w:pStyle w:val="TableText"/>
                          <w:rPr>
                            <w:sz w:val="20"/>
                          </w:rPr>
                        </w:pPr>
                        <w:r w:rsidRPr="00865A65">
                          <w:rPr>
                            <w:sz w:val="20"/>
                          </w:rPr>
                          <w:t>(1,86)</w:t>
                        </w:r>
                      </w:p>
                    </w:tc>
                    <w:tc>
                      <w:tcPr>
                        <w:tcW w:w="687" w:type="dxa"/>
                        <w:tcBorders>
                          <w:top w:val="single" w:sz="4" w:space="0" w:color="auto"/>
                          <w:left w:val="single" w:sz="4" w:space="0" w:color="auto"/>
                          <w:bottom w:val="single" w:sz="4" w:space="0" w:color="auto"/>
                          <w:right w:val="single" w:sz="4" w:space="0" w:color="auto"/>
                        </w:tcBorders>
                        <w:shd w:val="clear" w:color="auto" w:fill="D1E3B0" w:themeFill="accent5"/>
                        <w:noWrap/>
                        <w:hideMark/>
                      </w:tcPr>
                      <w:p w14:paraId="6BFDB858" w14:textId="77777777" w:rsidR="00B837A4" w:rsidRPr="00865A65" w:rsidRDefault="00B837A4">
                        <w:pPr>
                          <w:pStyle w:val="TableText"/>
                          <w:rPr>
                            <w:sz w:val="20"/>
                          </w:rPr>
                        </w:pPr>
                        <w:r w:rsidRPr="00865A65">
                          <w:rPr>
                            <w:sz w:val="20"/>
                          </w:rPr>
                          <w:t>71.3</w:t>
                        </w:r>
                      </w:p>
                    </w:tc>
                    <w:tc>
                      <w:tcPr>
                        <w:tcW w:w="652" w:type="dxa"/>
                        <w:tcBorders>
                          <w:top w:val="single" w:sz="4" w:space="0" w:color="auto"/>
                          <w:left w:val="single" w:sz="4" w:space="0" w:color="auto"/>
                          <w:bottom w:val="single" w:sz="4" w:space="0" w:color="auto"/>
                          <w:right w:val="single" w:sz="4" w:space="0" w:color="auto"/>
                        </w:tcBorders>
                        <w:shd w:val="clear" w:color="auto" w:fill="D1E3B0" w:themeFill="accent5"/>
                        <w:noWrap/>
                        <w:hideMark/>
                      </w:tcPr>
                      <w:p w14:paraId="7F95F356" w14:textId="77777777" w:rsidR="00B837A4" w:rsidRPr="00865A65" w:rsidRDefault="00B837A4">
                        <w:pPr>
                          <w:pStyle w:val="TableText"/>
                          <w:rPr>
                            <w:sz w:val="20"/>
                          </w:rPr>
                        </w:pPr>
                        <w:r w:rsidRPr="00865A65">
                          <w:rPr>
                            <w:sz w:val="20"/>
                          </w:rPr>
                          <w:t>67.3</w:t>
                        </w:r>
                      </w:p>
                    </w:tc>
                    <w:tc>
                      <w:tcPr>
                        <w:tcW w:w="579" w:type="dxa"/>
                        <w:tcBorders>
                          <w:top w:val="single" w:sz="4" w:space="0" w:color="auto"/>
                          <w:left w:val="single" w:sz="4" w:space="0" w:color="auto"/>
                          <w:bottom w:val="single" w:sz="4" w:space="0" w:color="auto"/>
                          <w:right w:val="single" w:sz="4" w:space="0" w:color="auto"/>
                        </w:tcBorders>
                        <w:shd w:val="clear" w:color="auto" w:fill="D1E3B0" w:themeFill="accent5"/>
                        <w:noWrap/>
                        <w:hideMark/>
                      </w:tcPr>
                      <w:p w14:paraId="36A535AF" w14:textId="77777777" w:rsidR="00B837A4" w:rsidRPr="00865A65" w:rsidRDefault="00B837A4">
                        <w:pPr>
                          <w:pStyle w:val="TableText"/>
                          <w:rPr>
                            <w:sz w:val="20"/>
                          </w:rPr>
                        </w:pPr>
                        <w:r w:rsidRPr="00865A65">
                          <w:rPr>
                            <w:sz w:val="20"/>
                          </w:rPr>
                          <w:t>2.5</w:t>
                        </w:r>
                      </w:p>
                    </w:tc>
                    <w:tc>
                      <w:tcPr>
                        <w:tcW w:w="589" w:type="dxa"/>
                        <w:tcBorders>
                          <w:top w:val="single" w:sz="4" w:space="0" w:color="auto"/>
                          <w:left w:val="single" w:sz="4" w:space="0" w:color="auto"/>
                          <w:bottom w:val="single" w:sz="4" w:space="0" w:color="auto"/>
                          <w:right w:val="single" w:sz="4" w:space="0" w:color="auto"/>
                        </w:tcBorders>
                        <w:shd w:val="clear" w:color="auto" w:fill="D1E3B0" w:themeFill="accent5"/>
                        <w:noWrap/>
                        <w:hideMark/>
                      </w:tcPr>
                      <w:p w14:paraId="7B0955C2" w14:textId="77777777" w:rsidR="00B837A4" w:rsidRPr="00865A65" w:rsidRDefault="00B837A4">
                        <w:pPr>
                          <w:pStyle w:val="TableText"/>
                          <w:rPr>
                            <w:sz w:val="20"/>
                          </w:rPr>
                        </w:pPr>
                        <w:r w:rsidRPr="00865A65">
                          <w:rPr>
                            <w:sz w:val="20"/>
                          </w:rPr>
                          <w:t>2</w:t>
                        </w:r>
                      </w:p>
                    </w:tc>
                    <w:tc>
                      <w:tcPr>
                        <w:tcW w:w="739" w:type="dxa"/>
                        <w:tcBorders>
                          <w:top w:val="single" w:sz="4" w:space="0" w:color="auto"/>
                          <w:left w:val="single" w:sz="4" w:space="0" w:color="auto"/>
                          <w:bottom w:val="single" w:sz="4" w:space="0" w:color="auto"/>
                          <w:right w:val="single" w:sz="4" w:space="0" w:color="auto"/>
                        </w:tcBorders>
                        <w:shd w:val="clear" w:color="auto" w:fill="D1E3B0" w:themeFill="accent5"/>
                        <w:noWrap/>
                        <w:hideMark/>
                      </w:tcPr>
                      <w:p w14:paraId="302BF5DA" w14:textId="77777777" w:rsidR="00B837A4" w:rsidRPr="00865A65" w:rsidRDefault="00B837A4">
                        <w:pPr>
                          <w:pStyle w:val="TableText"/>
                          <w:rPr>
                            <w:sz w:val="20"/>
                          </w:rPr>
                        </w:pPr>
                        <w:r w:rsidRPr="00865A65">
                          <w:rPr>
                            <w:sz w:val="20"/>
                          </w:rPr>
                          <w:t>(1,31)</w:t>
                        </w:r>
                      </w:p>
                    </w:tc>
                  </w:tr>
                  <w:tr w:rsidR="00B837A4" w:rsidRPr="00865A65" w14:paraId="0A820A22" w14:textId="77777777" w:rsidTr="003371DC">
                    <w:trPr>
                      <w:trHeight w:val="290"/>
                    </w:trPr>
                    <w:tc>
                      <w:tcPr>
                        <w:tcW w:w="2341" w:type="dxa"/>
                        <w:tcBorders>
                          <w:top w:val="single" w:sz="4" w:space="0" w:color="auto"/>
                          <w:left w:val="single" w:sz="4" w:space="0" w:color="auto"/>
                          <w:bottom w:val="single" w:sz="4" w:space="0" w:color="auto"/>
                          <w:right w:val="single" w:sz="4" w:space="0" w:color="auto"/>
                        </w:tcBorders>
                        <w:shd w:val="clear" w:color="auto" w:fill="D1E3B0" w:themeFill="accent5"/>
                        <w:noWrap/>
                        <w:hideMark/>
                      </w:tcPr>
                      <w:p w14:paraId="12ED65B0" w14:textId="01CDFE8F" w:rsidR="00B837A4" w:rsidRPr="00093F50" w:rsidRDefault="00B837A4">
                        <w:pPr>
                          <w:pStyle w:val="TableText"/>
                          <w:rPr>
                            <w:sz w:val="20"/>
                          </w:rPr>
                        </w:pPr>
                        <w:r w:rsidRPr="00093F50">
                          <w:rPr>
                            <w:sz w:val="20"/>
                          </w:rPr>
                          <w:t xml:space="preserve">Circumstances </w:t>
                        </w:r>
                        <w:r w:rsidR="00D53547" w:rsidRPr="00093F50">
                          <w:rPr>
                            <w:sz w:val="20"/>
                          </w:rPr>
                          <w:t>–</w:t>
                        </w:r>
                        <w:r w:rsidRPr="00093F50">
                          <w:rPr>
                            <w:sz w:val="20"/>
                          </w:rPr>
                          <w:t xml:space="preserve"> </w:t>
                        </w:r>
                        <w:r w:rsidR="00426E0E" w:rsidRPr="00093F50">
                          <w:rPr>
                            <w:sz w:val="20"/>
                          </w:rPr>
                          <w:t>Personal and family safety</w:t>
                        </w:r>
                      </w:p>
                    </w:tc>
                    <w:tc>
                      <w:tcPr>
                        <w:tcW w:w="859" w:type="dxa"/>
                        <w:tcBorders>
                          <w:top w:val="single" w:sz="4" w:space="0" w:color="auto"/>
                          <w:left w:val="single" w:sz="4" w:space="0" w:color="auto"/>
                          <w:bottom w:val="single" w:sz="4" w:space="0" w:color="auto"/>
                          <w:right w:val="single" w:sz="4" w:space="0" w:color="auto"/>
                        </w:tcBorders>
                        <w:shd w:val="clear" w:color="auto" w:fill="D1E3B0" w:themeFill="accent5"/>
                        <w:noWrap/>
                        <w:hideMark/>
                      </w:tcPr>
                      <w:p w14:paraId="3862C22B" w14:textId="77777777" w:rsidR="00B837A4" w:rsidRPr="00865A65" w:rsidRDefault="00B837A4">
                        <w:pPr>
                          <w:pStyle w:val="TableText"/>
                          <w:rPr>
                            <w:sz w:val="20"/>
                          </w:rPr>
                        </w:pPr>
                        <w:r w:rsidRPr="00865A65">
                          <w:rPr>
                            <w:sz w:val="20"/>
                          </w:rPr>
                          <w:t>56.4</w:t>
                        </w:r>
                      </w:p>
                    </w:tc>
                    <w:tc>
                      <w:tcPr>
                        <w:tcW w:w="619" w:type="dxa"/>
                        <w:tcBorders>
                          <w:top w:val="single" w:sz="4" w:space="0" w:color="auto"/>
                          <w:left w:val="single" w:sz="4" w:space="0" w:color="auto"/>
                          <w:bottom w:val="single" w:sz="4" w:space="0" w:color="auto"/>
                          <w:right w:val="single" w:sz="4" w:space="0" w:color="auto"/>
                        </w:tcBorders>
                        <w:shd w:val="clear" w:color="auto" w:fill="D1E3B0" w:themeFill="accent5"/>
                        <w:noWrap/>
                        <w:hideMark/>
                      </w:tcPr>
                      <w:p w14:paraId="3FBFAC0F" w14:textId="77777777" w:rsidR="00B837A4" w:rsidRPr="00865A65" w:rsidRDefault="00B837A4">
                        <w:pPr>
                          <w:pStyle w:val="TableText"/>
                          <w:rPr>
                            <w:sz w:val="20"/>
                          </w:rPr>
                        </w:pPr>
                        <w:r w:rsidRPr="00865A65">
                          <w:rPr>
                            <w:sz w:val="20"/>
                          </w:rPr>
                          <w:t>54.6</w:t>
                        </w:r>
                      </w:p>
                    </w:tc>
                    <w:tc>
                      <w:tcPr>
                        <w:tcW w:w="579" w:type="dxa"/>
                        <w:tcBorders>
                          <w:top w:val="single" w:sz="4" w:space="0" w:color="auto"/>
                          <w:left w:val="single" w:sz="4" w:space="0" w:color="auto"/>
                          <w:bottom w:val="single" w:sz="4" w:space="0" w:color="auto"/>
                          <w:right w:val="single" w:sz="4" w:space="0" w:color="auto"/>
                        </w:tcBorders>
                        <w:shd w:val="clear" w:color="auto" w:fill="D1E3B0" w:themeFill="accent5"/>
                        <w:noWrap/>
                        <w:hideMark/>
                      </w:tcPr>
                      <w:p w14:paraId="37389D62" w14:textId="77777777" w:rsidR="00B837A4" w:rsidRPr="00865A65" w:rsidRDefault="00B837A4">
                        <w:pPr>
                          <w:pStyle w:val="TableText"/>
                          <w:rPr>
                            <w:sz w:val="20"/>
                          </w:rPr>
                        </w:pPr>
                        <w:r w:rsidRPr="00865A65">
                          <w:rPr>
                            <w:sz w:val="20"/>
                          </w:rPr>
                          <w:t>2.3</w:t>
                        </w:r>
                      </w:p>
                    </w:tc>
                    <w:tc>
                      <w:tcPr>
                        <w:tcW w:w="579" w:type="dxa"/>
                        <w:tcBorders>
                          <w:top w:val="single" w:sz="4" w:space="0" w:color="auto"/>
                          <w:left w:val="single" w:sz="4" w:space="0" w:color="auto"/>
                          <w:bottom w:val="single" w:sz="4" w:space="0" w:color="auto"/>
                          <w:right w:val="single" w:sz="4" w:space="0" w:color="auto"/>
                        </w:tcBorders>
                        <w:shd w:val="clear" w:color="auto" w:fill="D1E3B0" w:themeFill="accent5"/>
                        <w:noWrap/>
                        <w:hideMark/>
                      </w:tcPr>
                      <w:p w14:paraId="11FA7B97" w14:textId="77777777" w:rsidR="00B837A4" w:rsidRPr="00865A65" w:rsidRDefault="00B837A4">
                        <w:pPr>
                          <w:pStyle w:val="TableText"/>
                          <w:rPr>
                            <w:sz w:val="20"/>
                          </w:rPr>
                        </w:pPr>
                        <w:r w:rsidRPr="00865A65">
                          <w:rPr>
                            <w:sz w:val="20"/>
                          </w:rPr>
                          <w:t>2</w:t>
                        </w:r>
                      </w:p>
                    </w:tc>
                    <w:tc>
                      <w:tcPr>
                        <w:tcW w:w="778" w:type="dxa"/>
                        <w:tcBorders>
                          <w:top w:val="single" w:sz="4" w:space="0" w:color="auto"/>
                          <w:left w:val="single" w:sz="4" w:space="0" w:color="auto"/>
                          <w:bottom w:val="single" w:sz="4" w:space="0" w:color="auto"/>
                          <w:right w:val="single" w:sz="4" w:space="0" w:color="auto"/>
                        </w:tcBorders>
                        <w:shd w:val="clear" w:color="auto" w:fill="D1E3B0" w:themeFill="accent5"/>
                        <w:noWrap/>
                        <w:hideMark/>
                      </w:tcPr>
                      <w:p w14:paraId="5164122B" w14:textId="77777777" w:rsidR="00B837A4" w:rsidRPr="00865A65" w:rsidRDefault="00B837A4">
                        <w:pPr>
                          <w:pStyle w:val="TableText"/>
                          <w:rPr>
                            <w:sz w:val="20"/>
                          </w:rPr>
                        </w:pPr>
                        <w:r w:rsidRPr="00865A65">
                          <w:rPr>
                            <w:sz w:val="20"/>
                          </w:rPr>
                          <w:t>(1,75)</w:t>
                        </w:r>
                      </w:p>
                    </w:tc>
                    <w:tc>
                      <w:tcPr>
                        <w:tcW w:w="687" w:type="dxa"/>
                        <w:tcBorders>
                          <w:top w:val="single" w:sz="4" w:space="0" w:color="auto"/>
                          <w:left w:val="single" w:sz="4" w:space="0" w:color="auto"/>
                          <w:bottom w:val="single" w:sz="4" w:space="0" w:color="auto"/>
                          <w:right w:val="single" w:sz="4" w:space="0" w:color="auto"/>
                        </w:tcBorders>
                        <w:shd w:val="clear" w:color="auto" w:fill="D1E3B0" w:themeFill="accent5"/>
                        <w:noWrap/>
                        <w:hideMark/>
                      </w:tcPr>
                      <w:p w14:paraId="0719CBF3" w14:textId="77777777" w:rsidR="00B837A4" w:rsidRPr="00865A65" w:rsidRDefault="00B837A4">
                        <w:pPr>
                          <w:pStyle w:val="TableText"/>
                          <w:rPr>
                            <w:sz w:val="20"/>
                          </w:rPr>
                        </w:pPr>
                        <w:r w:rsidRPr="00865A65">
                          <w:rPr>
                            <w:sz w:val="20"/>
                          </w:rPr>
                          <w:t>80.3</w:t>
                        </w:r>
                      </w:p>
                    </w:tc>
                    <w:tc>
                      <w:tcPr>
                        <w:tcW w:w="652" w:type="dxa"/>
                        <w:tcBorders>
                          <w:top w:val="single" w:sz="4" w:space="0" w:color="auto"/>
                          <w:left w:val="single" w:sz="4" w:space="0" w:color="auto"/>
                          <w:bottom w:val="single" w:sz="4" w:space="0" w:color="auto"/>
                          <w:right w:val="single" w:sz="4" w:space="0" w:color="auto"/>
                        </w:tcBorders>
                        <w:shd w:val="clear" w:color="auto" w:fill="D1E3B0" w:themeFill="accent5"/>
                        <w:noWrap/>
                        <w:hideMark/>
                      </w:tcPr>
                      <w:p w14:paraId="03B1D1F8" w14:textId="77777777" w:rsidR="00B837A4" w:rsidRPr="00865A65" w:rsidRDefault="00B837A4">
                        <w:pPr>
                          <w:pStyle w:val="TableText"/>
                          <w:rPr>
                            <w:sz w:val="20"/>
                          </w:rPr>
                        </w:pPr>
                        <w:r w:rsidRPr="00865A65">
                          <w:rPr>
                            <w:sz w:val="20"/>
                          </w:rPr>
                          <w:t>75.0</w:t>
                        </w:r>
                      </w:p>
                    </w:tc>
                    <w:tc>
                      <w:tcPr>
                        <w:tcW w:w="579" w:type="dxa"/>
                        <w:tcBorders>
                          <w:top w:val="single" w:sz="4" w:space="0" w:color="auto"/>
                          <w:left w:val="single" w:sz="4" w:space="0" w:color="auto"/>
                          <w:bottom w:val="single" w:sz="4" w:space="0" w:color="auto"/>
                          <w:right w:val="single" w:sz="4" w:space="0" w:color="auto"/>
                        </w:tcBorders>
                        <w:shd w:val="clear" w:color="auto" w:fill="D1E3B0" w:themeFill="accent5"/>
                        <w:noWrap/>
                        <w:hideMark/>
                      </w:tcPr>
                      <w:p w14:paraId="57D0BC68" w14:textId="77777777" w:rsidR="00B837A4" w:rsidRPr="00865A65" w:rsidRDefault="00B837A4">
                        <w:pPr>
                          <w:pStyle w:val="TableText"/>
                          <w:rPr>
                            <w:sz w:val="20"/>
                          </w:rPr>
                        </w:pPr>
                        <w:r w:rsidRPr="00865A65">
                          <w:rPr>
                            <w:sz w:val="20"/>
                          </w:rPr>
                          <w:t>2.5</w:t>
                        </w:r>
                      </w:p>
                    </w:tc>
                    <w:tc>
                      <w:tcPr>
                        <w:tcW w:w="589" w:type="dxa"/>
                        <w:tcBorders>
                          <w:top w:val="single" w:sz="4" w:space="0" w:color="auto"/>
                          <w:left w:val="single" w:sz="4" w:space="0" w:color="auto"/>
                          <w:bottom w:val="single" w:sz="4" w:space="0" w:color="auto"/>
                          <w:right w:val="single" w:sz="4" w:space="0" w:color="auto"/>
                        </w:tcBorders>
                        <w:shd w:val="clear" w:color="auto" w:fill="D1E3B0" w:themeFill="accent5"/>
                        <w:noWrap/>
                        <w:hideMark/>
                      </w:tcPr>
                      <w:p w14:paraId="7DD8CD26" w14:textId="77777777" w:rsidR="00B837A4" w:rsidRPr="00865A65" w:rsidRDefault="00B837A4">
                        <w:pPr>
                          <w:pStyle w:val="TableText"/>
                          <w:rPr>
                            <w:sz w:val="20"/>
                          </w:rPr>
                        </w:pPr>
                        <w:r w:rsidRPr="00865A65">
                          <w:rPr>
                            <w:sz w:val="20"/>
                          </w:rPr>
                          <w:t>2</w:t>
                        </w:r>
                      </w:p>
                    </w:tc>
                    <w:tc>
                      <w:tcPr>
                        <w:tcW w:w="739" w:type="dxa"/>
                        <w:tcBorders>
                          <w:top w:val="single" w:sz="4" w:space="0" w:color="auto"/>
                          <w:left w:val="single" w:sz="4" w:space="0" w:color="auto"/>
                          <w:bottom w:val="single" w:sz="4" w:space="0" w:color="auto"/>
                          <w:right w:val="single" w:sz="4" w:space="0" w:color="auto"/>
                        </w:tcBorders>
                        <w:shd w:val="clear" w:color="auto" w:fill="D1E3B0" w:themeFill="accent5"/>
                        <w:noWrap/>
                        <w:hideMark/>
                      </w:tcPr>
                      <w:p w14:paraId="0143362D" w14:textId="77777777" w:rsidR="00B837A4" w:rsidRPr="00865A65" w:rsidRDefault="00B837A4">
                        <w:pPr>
                          <w:pStyle w:val="TableText"/>
                          <w:rPr>
                            <w:sz w:val="20"/>
                          </w:rPr>
                        </w:pPr>
                        <w:r w:rsidRPr="00865A65">
                          <w:rPr>
                            <w:sz w:val="20"/>
                          </w:rPr>
                          <w:t>(1,31)</w:t>
                        </w:r>
                      </w:p>
                    </w:tc>
                  </w:tr>
                  <w:tr w:rsidR="00B837A4" w:rsidRPr="00865A65" w14:paraId="665A7BF6" w14:textId="77777777" w:rsidTr="003371DC">
                    <w:trPr>
                      <w:trHeight w:val="290"/>
                    </w:trPr>
                    <w:tc>
                      <w:tcPr>
                        <w:tcW w:w="2341" w:type="dxa"/>
                        <w:tcBorders>
                          <w:top w:val="single" w:sz="4" w:space="0" w:color="auto"/>
                          <w:left w:val="single" w:sz="4" w:space="0" w:color="auto"/>
                          <w:bottom w:val="single" w:sz="4" w:space="0" w:color="auto"/>
                          <w:right w:val="single" w:sz="4" w:space="0" w:color="auto"/>
                        </w:tcBorders>
                        <w:shd w:val="clear" w:color="auto" w:fill="F5F9EF" w:themeFill="accent5" w:themeFillTint="33"/>
                        <w:noWrap/>
                        <w:hideMark/>
                      </w:tcPr>
                      <w:p w14:paraId="5ED60337" w14:textId="0BD6E0C4" w:rsidR="00B837A4" w:rsidRPr="00093F50" w:rsidRDefault="00B837A4">
                        <w:pPr>
                          <w:pStyle w:val="TableText"/>
                          <w:rPr>
                            <w:sz w:val="20"/>
                          </w:rPr>
                        </w:pPr>
                        <w:r w:rsidRPr="00093F50">
                          <w:rPr>
                            <w:sz w:val="20"/>
                          </w:rPr>
                          <w:t xml:space="preserve">Goals </w:t>
                        </w:r>
                        <w:r w:rsidR="00426E0E" w:rsidRPr="00093F50">
                          <w:rPr>
                            <w:sz w:val="20"/>
                          </w:rPr>
                          <w:t>– Changed behaviours</w:t>
                        </w:r>
                      </w:p>
                    </w:tc>
                    <w:tc>
                      <w:tcPr>
                        <w:tcW w:w="859" w:type="dxa"/>
                        <w:tcBorders>
                          <w:top w:val="single" w:sz="4" w:space="0" w:color="auto"/>
                          <w:left w:val="single" w:sz="4" w:space="0" w:color="auto"/>
                          <w:bottom w:val="single" w:sz="4" w:space="0" w:color="auto"/>
                          <w:right w:val="single" w:sz="4" w:space="0" w:color="auto"/>
                        </w:tcBorders>
                        <w:shd w:val="clear" w:color="auto" w:fill="F5F9EF" w:themeFill="accent5" w:themeFillTint="33"/>
                        <w:noWrap/>
                        <w:hideMark/>
                      </w:tcPr>
                      <w:p w14:paraId="53462EBE" w14:textId="77777777" w:rsidR="00B837A4" w:rsidRPr="00865A65" w:rsidRDefault="00B837A4">
                        <w:pPr>
                          <w:pStyle w:val="TableText"/>
                          <w:rPr>
                            <w:sz w:val="20"/>
                          </w:rPr>
                        </w:pPr>
                        <w:r w:rsidRPr="00865A65">
                          <w:rPr>
                            <w:sz w:val="20"/>
                          </w:rPr>
                          <w:t>57.7</w:t>
                        </w:r>
                      </w:p>
                    </w:tc>
                    <w:tc>
                      <w:tcPr>
                        <w:tcW w:w="619" w:type="dxa"/>
                        <w:tcBorders>
                          <w:top w:val="single" w:sz="4" w:space="0" w:color="auto"/>
                          <w:left w:val="single" w:sz="4" w:space="0" w:color="auto"/>
                          <w:bottom w:val="single" w:sz="4" w:space="0" w:color="auto"/>
                          <w:right w:val="single" w:sz="4" w:space="0" w:color="auto"/>
                        </w:tcBorders>
                        <w:shd w:val="clear" w:color="auto" w:fill="F5F9EF" w:themeFill="accent5" w:themeFillTint="33"/>
                        <w:noWrap/>
                        <w:hideMark/>
                      </w:tcPr>
                      <w:p w14:paraId="467C2017" w14:textId="77777777" w:rsidR="00B837A4" w:rsidRPr="00865A65" w:rsidRDefault="00B837A4">
                        <w:pPr>
                          <w:pStyle w:val="TableText"/>
                          <w:rPr>
                            <w:sz w:val="20"/>
                          </w:rPr>
                        </w:pPr>
                        <w:r w:rsidRPr="00865A65">
                          <w:rPr>
                            <w:sz w:val="20"/>
                          </w:rPr>
                          <w:t>59.0</w:t>
                        </w:r>
                      </w:p>
                    </w:tc>
                    <w:tc>
                      <w:tcPr>
                        <w:tcW w:w="579" w:type="dxa"/>
                        <w:tcBorders>
                          <w:top w:val="single" w:sz="4" w:space="0" w:color="auto"/>
                          <w:left w:val="single" w:sz="4" w:space="0" w:color="auto"/>
                          <w:bottom w:val="single" w:sz="4" w:space="0" w:color="auto"/>
                          <w:right w:val="single" w:sz="4" w:space="0" w:color="auto"/>
                        </w:tcBorders>
                        <w:shd w:val="clear" w:color="auto" w:fill="F5F9EF" w:themeFill="accent5" w:themeFillTint="33"/>
                        <w:noWrap/>
                        <w:hideMark/>
                      </w:tcPr>
                      <w:p w14:paraId="22E7EFDE" w14:textId="77777777" w:rsidR="00B837A4" w:rsidRPr="00865A65" w:rsidRDefault="00B837A4">
                        <w:pPr>
                          <w:pStyle w:val="TableText"/>
                          <w:rPr>
                            <w:sz w:val="20"/>
                          </w:rPr>
                        </w:pPr>
                        <w:r w:rsidRPr="00865A65">
                          <w:rPr>
                            <w:sz w:val="20"/>
                          </w:rPr>
                          <w:t>2.4</w:t>
                        </w:r>
                      </w:p>
                    </w:tc>
                    <w:tc>
                      <w:tcPr>
                        <w:tcW w:w="579" w:type="dxa"/>
                        <w:tcBorders>
                          <w:top w:val="single" w:sz="4" w:space="0" w:color="auto"/>
                          <w:left w:val="single" w:sz="4" w:space="0" w:color="auto"/>
                          <w:bottom w:val="single" w:sz="4" w:space="0" w:color="auto"/>
                          <w:right w:val="single" w:sz="4" w:space="0" w:color="auto"/>
                        </w:tcBorders>
                        <w:shd w:val="clear" w:color="auto" w:fill="F5F9EF" w:themeFill="accent5" w:themeFillTint="33"/>
                        <w:noWrap/>
                        <w:hideMark/>
                      </w:tcPr>
                      <w:p w14:paraId="36E9E580" w14:textId="77777777" w:rsidR="00B837A4" w:rsidRPr="00865A65" w:rsidRDefault="00B837A4">
                        <w:pPr>
                          <w:pStyle w:val="TableText"/>
                          <w:rPr>
                            <w:sz w:val="20"/>
                          </w:rPr>
                        </w:pPr>
                        <w:r w:rsidRPr="00865A65">
                          <w:rPr>
                            <w:sz w:val="20"/>
                          </w:rPr>
                          <w:t>2</w:t>
                        </w:r>
                      </w:p>
                    </w:tc>
                    <w:tc>
                      <w:tcPr>
                        <w:tcW w:w="778" w:type="dxa"/>
                        <w:tcBorders>
                          <w:top w:val="single" w:sz="4" w:space="0" w:color="auto"/>
                          <w:left w:val="single" w:sz="4" w:space="0" w:color="auto"/>
                          <w:bottom w:val="single" w:sz="4" w:space="0" w:color="auto"/>
                          <w:right w:val="single" w:sz="4" w:space="0" w:color="auto"/>
                        </w:tcBorders>
                        <w:shd w:val="clear" w:color="auto" w:fill="F5F9EF" w:themeFill="accent5" w:themeFillTint="33"/>
                        <w:noWrap/>
                        <w:hideMark/>
                      </w:tcPr>
                      <w:p w14:paraId="46162EC6" w14:textId="77777777" w:rsidR="00B837A4" w:rsidRPr="00865A65" w:rsidRDefault="00B837A4">
                        <w:pPr>
                          <w:pStyle w:val="TableText"/>
                          <w:rPr>
                            <w:sz w:val="20"/>
                          </w:rPr>
                        </w:pPr>
                        <w:r w:rsidRPr="00865A65">
                          <w:rPr>
                            <w:sz w:val="20"/>
                          </w:rPr>
                          <w:t>(1,75)</w:t>
                        </w:r>
                      </w:p>
                    </w:tc>
                    <w:tc>
                      <w:tcPr>
                        <w:tcW w:w="687" w:type="dxa"/>
                        <w:tcBorders>
                          <w:top w:val="single" w:sz="4" w:space="0" w:color="auto"/>
                          <w:left w:val="single" w:sz="4" w:space="0" w:color="auto"/>
                          <w:bottom w:val="single" w:sz="4" w:space="0" w:color="auto"/>
                          <w:right w:val="single" w:sz="4" w:space="0" w:color="auto"/>
                        </w:tcBorders>
                        <w:shd w:val="clear" w:color="auto" w:fill="F5F9EF" w:themeFill="accent5" w:themeFillTint="33"/>
                        <w:noWrap/>
                        <w:hideMark/>
                      </w:tcPr>
                      <w:p w14:paraId="5C0D4283" w14:textId="77777777" w:rsidR="00B837A4" w:rsidRPr="00865A65" w:rsidRDefault="00B837A4">
                        <w:pPr>
                          <w:pStyle w:val="TableText"/>
                          <w:rPr>
                            <w:sz w:val="20"/>
                          </w:rPr>
                        </w:pPr>
                        <w:r w:rsidRPr="00865A65">
                          <w:rPr>
                            <w:sz w:val="20"/>
                          </w:rPr>
                          <w:t>51.9</w:t>
                        </w:r>
                      </w:p>
                    </w:tc>
                    <w:tc>
                      <w:tcPr>
                        <w:tcW w:w="652" w:type="dxa"/>
                        <w:tcBorders>
                          <w:top w:val="single" w:sz="4" w:space="0" w:color="auto"/>
                          <w:left w:val="single" w:sz="4" w:space="0" w:color="auto"/>
                          <w:bottom w:val="single" w:sz="4" w:space="0" w:color="auto"/>
                          <w:right w:val="single" w:sz="4" w:space="0" w:color="auto"/>
                        </w:tcBorders>
                        <w:shd w:val="clear" w:color="auto" w:fill="F5F9EF" w:themeFill="accent5" w:themeFillTint="33"/>
                        <w:noWrap/>
                        <w:hideMark/>
                      </w:tcPr>
                      <w:p w14:paraId="03BD7A9A" w14:textId="77777777" w:rsidR="00B837A4" w:rsidRPr="00865A65" w:rsidRDefault="00B837A4">
                        <w:pPr>
                          <w:pStyle w:val="TableText"/>
                          <w:rPr>
                            <w:sz w:val="20"/>
                          </w:rPr>
                        </w:pPr>
                        <w:r w:rsidRPr="00865A65">
                          <w:rPr>
                            <w:sz w:val="20"/>
                          </w:rPr>
                          <w:t>49.6</w:t>
                        </w:r>
                      </w:p>
                    </w:tc>
                    <w:tc>
                      <w:tcPr>
                        <w:tcW w:w="579" w:type="dxa"/>
                        <w:tcBorders>
                          <w:top w:val="single" w:sz="4" w:space="0" w:color="auto"/>
                          <w:left w:val="single" w:sz="4" w:space="0" w:color="auto"/>
                          <w:bottom w:val="single" w:sz="4" w:space="0" w:color="auto"/>
                          <w:right w:val="single" w:sz="4" w:space="0" w:color="auto"/>
                        </w:tcBorders>
                        <w:shd w:val="clear" w:color="auto" w:fill="F5F9EF" w:themeFill="accent5" w:themeFillTint="33"/>
                        <w:noWrap/>
                        <w:hideMark/>
                      </w:tcPr>
                      <w:p w14:paraId="171525B6" w14:textId="77777777" w:rsidR="00B837A4" w:rsidRPr="00865A65" w:rsidRDefault="00B837A4">
                        <w:pPr>
                          <w:pStyle w:val="TableText"/>
                          <w:rPr>
                            <w:sz w:val="20"/>
                          </w:rPr>
                        </w:pPr>
                        <w:r w:rsidRPr="00865A65">
                          <w:rPr>
                            <w:sz w:val="20"/>
                          </w:rPr>
                          <w:t>2.6</w:t>
                        </w:r>
                      </w:p>
                    </w:tc>
                    <w:tc>
                      <w:tcPr>
                        <w:tcW w:w="589" w:type="dxa"/>
                        <w:tcBorders>
                          <w:top w:val="single" w:sz="4" w:space="0" w:color="auto"/>
                          <w:left w:val="single" w:sz="4" w:space="0" w:color="auto"/>
                          <w:bottom w:val="single" w:sz="4" w:space="0" w:color="auto"/>
                          <w:right w:val="single" w:sz="4" w:space="0" w:color="auto"/>
                        </w:tcBorders>
                        <w:shd w:val="clear" w:color="auto" w:fill="F5F9EF" w:themeFill="accent5" w:themeFillTint="33"/>
                        <w:noWrap/>
                        <w:hideMark/>
                      </w:tcPr>
                      <w:p w14:paraId="215480B3" w14:textId="77777777" w:rsidR="00B837A4" w:rsidRPr="00865A65" w:rsidRDefault="00B837A4">
                        <w:pPr>
                          <w:pStyle w:val="TableText"/>
                          <w:rPr>
                            <w:sz w:val="20"/>
                          </w:rPr>
                        </w:pPr>
                        <w:r w:rsidRPr="00865A65">
                          <w:rPr>
                            <w:sz w:val="20"/>
                          </w:rPr>
                          <w:t>2</w:t>
                        </w:r>
                      </w:p>
                    </w:tc>
                    <w:tc>
                      <w:tcPr>
                        <w:tcW w:w="739" w:type="dxa"/>
                        <w:tcBorders>
                          <w:top w:val="single" w:sz="4" w:space="0" w:color="auto"/>
                          <w:left w:val="single" w:sz="4" w:space="0" w:color="auto"/>
                          <w:bottom w:val="single" w:sz="4" w:space="0" w:color="auto"/>
                          <w:right w:val="single" w:sz="4" w:space="0" w:color="auto"/>
                        </w:tcBorders>
                        <w:shd w:val="clear" w:color="auto" w:fill="F5F9EF" w:themeFill="accent5" w:themeFillTint="33"/>
                        <w:noWrap/>
                        <w:hideMark/>
                      </w:tcPr>
                      <w:p w14:paraId="41DA14BD" w14:textId="77777777" w:rsidR="00B837A4" w:rsidRPr="00865A65" w:rsidRDefault="00B837A4">
                        <w:pPr>
                          <w:pStyle w:val="TableText"/>
                          <w:rPr>
                            <w:sz w:val="20"/>
                          </w:rPr>
                        </w:pPr>
                        <w:r w:rsidRPr="00865A65">
                          <w:rPr>
                            <w:sz w:val="20"/>
                          </w:rPr>
                          <w:t>(1,34)</w:t>
                        </w:r>
                      </w:p>
                    </w:tc>
                  </w:tr>
                  <w:tr w:rsidR="00B837A4" w:rsidRPr="00865A65" w14:paraId="29A5FDAA" w14:textId="77777777" w:rsidTr="003371DC">
                    <w:trPr>
                      <w:trHeight w:val="290"/>
                    </w:trPr>
                    <w:tc>
                      <w:tcPr>
                        <w:tcW w:w="2341" w:type="dxa"/>
                        <w:tcBorders>
                          <w:top w:val="single" w:sz="4" w:space="0" w:color="auto"/>
                          <w:left w:val="single" w:sz="4" w:space="0" w:color="auto"/>
                          <w:bottom w:val="single" w:sz="4" w:space="0" w:color="auto"/>
                          <w:right w:val="single" w:sz="4" w:space="0" w:color="auto"/>
                        </w:tcBorders>
                        <w:shd w:val="clear" w:color="auto" w:fill="F5F9EF" w:themeFill="accent5" w:themeFillTint="33"/>
                        <w:noWrap/>
                        <w:hideMark/>
                      </w:tcPr>
                      <w:p w14:paraId="38527C63" w14:textId="45C71F2E" w:rsidR="00B837A4" w:rsidRPr="00093F50" w:rsidRDefault="00B837A4">
                        <w:pPr>
                          <w:pStyle w:val="TableText"/>
                          <w:rPr>
                            <w:sz w:val="20"/>
                          </w:rPr>
                        </w:pPr>
                        <w:r w:rsidRPr="00093F50">
                          <w:rPr>
                            <w:sz w:val="20"/>
                          </w:rPr>
                          <w:lastRenderedPageBreak/>
                          <w:t xml:space="preserve">Goals </w:t>
                        </w:r>
                        <w:r w:rsidR="009A5064" w:rsidRPr="00093F50">
                          <w:rPr>
                            <w:sz w:val="20"/>
                          </w:rPr>
                          <w:t>–</w:t>
                        </w:r>
                        <w:r w:rsidRPr="00093F50">
                          <w:rPr>
                            <w:sz w:val="20"/>
                          </w:rPr>
                          <w:t xml:space="preserve"> </w:t>
                        </w:r>
                        <w:r w:rsidR="009A5064" w:rsidRPr="00093F50">
                          <w:rPr>
                            <w:sz w:val="20"/>
                          </w:rPr>
                          <w:t xml:space="preserve">Empowerment, choice, and control to make own choices </w:t>
                        </w:r>
                      </w:p>
                    </w:tc>
                    <w:tc>
                      <w:tcPr>
                        <w:tcW w:w="859" w:type="dxa"/>
                        <w:tcBorders>
                          <w:top w:val="single" w:sz="4" w:space="0" w:color="auto"/>
                          <w:left w:val="single" w:sz="4" w:space="0" w:color="auto"/>
                          <w:bottom w:val="single" w:sz="4" w:space="0" w:color="auto"/>
                          <w:right w:val="single" w:sz="4" w:space="0" w:color="auto"/>
                        </w:tcBorders>
                        <w:shd w:val="clear" w:color="auto" w:fill="F5F9EF" w:themeFill="accent5" w:themeFillTint="33"/>
                        <w:noWrap/>
                        <w:hideMark/>
                      </w:tcPr>
                      <w:p w14:paraId="4F7AAAA5" w14:textId="77777777" w:rsidR="00B837A4" w:rsidRPr="00865A65" w:rsidRDefault="00B837A4">
                        <w:pPr>
                          <w:pStyle w:val="TableText"/>
                          <w:rPr>
                            <w:sz w:val="20"/>
                          </w:rPr>
                        </w:pPr>
                        <w:r w:rsidRPr="00865A65">
                          <w:rPr>
                            <w:sz w:val="20"/>
                          </w:rPr>
                          <w:t>53.7</w:t>
                        </w:r>
                      </w:p>
                    </w:tc>
                    <w:tc>
                      <w:tcPr>
                        <w:tcW w:w="619" w:type="dxa"/>
                        <w:tcBorders>
                          <w:top w:val="single" w:sz="4" w:space="0" w:color="auto"/>
                          <w:left w:val="single" w:sz="4" w:space="0" w:color="auto"/>
                          <w:bottom w:val="single" w:sz="4" w:space="0" w:color="auto"/>
                          <w:right w:val="single" w:sz="4" w:space="0" w:color="auto"/>
                        </w:tcBorders>
                        <w:shd w:val="clear" w:color="auto" w:fill="F5F9EF" w:themeFill="accent5" w:themeFillTint="33"/>
                        <w:noWrap/>
                        <w:hideMark/>
                      </w:tcPr>
                      <w:p w14:paraId="2FF15D20" w14:textId="77777777" w:rsidR="00B837A4" w:rsidRPr="00865A65" w:rsidRDefault="00B837A4">
                        <w:pPr>
                          <w:pStyle w:val="TableText"/>
                          <w:rPr>
                            <w:sz w:val="20"/>
                          </w:rPr>
                        </w:pPr>
                        <w:r w:rsidRPr="00865A65">
                          <w:rPr>
                            <w:sz w:val="20"/>
                          </w:rPr>
                          <w:t>53.4</w:t>
                        </w:r>
                      </w:p>
                    </w:tc>
                    <w:tc>
                      <w:tcPr>
                        <w:tcW w:w="579" w:type="dxa"/>
                        <w:tcBorders>
                          <w:top w:val="single" w:sz="4" w:space="0" w:color="auto"/>
                          <w:left w:val="single" w:sz="4" w:space="0" w:color="auto"/>
                          <w:bottom w:val="single" w:sz="4" w:space="0" w:color="auto"/>
                          <w:right w:val="single" w:sz="4" w:space="0" w:color="auto"/>
                        </w:tcBorders>
                        <w:shd w:val="clear" w:color="auto" w:fill="F5F9EF" w:themeFill="accent5" w:themeFillTint="33"/>
                        <w:noWrap/>
                        <w:hideMark/>
                      </w:tcPr>
                      <w:p w14:paraId="598E5EA7" w14:textId="77777777" w:rsidR="00B837A4" w:rsidRPr="00865A65" w:rsidRDefault="00B837A4">
                        <w:pPr>
                          <w:pStyle w:val="TableText"/>
                          <w:rPr>
                            <w:sz w:val="20"/>
                          </w:rPr>
                        </w:pPr>
                        <w:r w:rsidRPr="00865A65">
                          <w:rPr>
                            <w:sz w:val="20"/>
                          </w:rPr>
                          <w:t>2.3</w:t>
                        </w:r>
                      </w:p>
                    </w:tc>
                    <w:tc>
                      <w:tcPr>
                        <w:tcW w:w="579" w:type="dxa"/>
                        <w:tcBorders>
                          <w:top w:val="single" w:sz="4" w:space="0" w:color="auto"/>
                          <w:left w:val="single" w:sz="4" w:space="0" w:color="auto"/>
                          <w:bottom w:val="single" w:sz="4" w:space="0" w:color="auto"/>
                          <w:right w:val="single" w:sz="4" w:space="0" w:color="auto"/>
                        </w:tcBorders>
                        <w:shd w:val="clear" w:color="auto" w:fill="F5F9EF" w:themeFill="accent5" w:themeFillTint="33"/>
                        <w:noWrap/>
                        <w:hideMark/>
                      </w:tcPr>
                      <w:p w14:paraId="45D21831" w14:textId="77777777" w:rsidR="00B837A4" w:rsidRPr="00865A65" w:rsidRDefault="00B837A4">
                        <w:pPr>
                          <w:pStyle w:val="TableText"/>
                          <w:rPr>
                            <w:sz w:val="20"/>
                          </w:rPr>
                        </w:pPr>
                        <w:r w:rsidRPr="00865A65">
                          <w:rPr>
                            <w:sz w:val="20"/>
                          </w:rPr>
                          <w:t>2</w:t>
                        </w:r>
                      </w:p>
                    </w:tc>
                    <w:tc>
                      <w:tcPr>
                        <w:tcW w:w="778" w:type="dxa"/>
                        <w:tcBorders>
                          <w:top w:val="single" w:sz="4" w:space="0" w:color="auto"/>
                          <w:left w:val="single" w:sz="4" w:space="0" w:color="auto"/>
                          <w:bottom w:val="single" w:sz="4" w:space="0" w:color="auto"/>
                          <w:right w:val="single" w:sz="4" w:space="0" w:color="auto"/>
                        </w:tcBorders>
                        <w:shd w:val="clear" w:color="auto" w:fill="F5F9EF" w:themeFill="accent5" w:themeFillTint="33"/>
                        <w:noWrap/>
                        <w:hideMark/>
                      </w:tcPr>
                      <w:p w14:paraId="27F6DC61" w14:textId="77777777" w:rsidR="00B837A4" w:rsidRPr="00865A65" w:rsidRDefault="00B837A4">
                        <w:pPr>
                          <w:pStyle w:val="TableText"/>
                          <w:rPr>
                            <w:sz w:val="20"/>
                          </w:rPr>
                        </w:pPr>
                        <w:r w:rsidRPr="00865A65">
                          <w:rPr>
                            <w:sz w:val="20"/>
                          </w:rPr>
                          <w:t>(1,75)</w:t>
                        </w:r>
                      </w:p>
                    </w:tc>
                    <w:tc>
                      <w:tcPr>
                        <w:tcW w:w="687" w:type="dxa"/>
                        <w:tcBorders>
                          <w:top w:val="single" w:sz="4" w:space="0" w:color="auto"/>
                          <w:left w:val="single" w:sz="4" w:space="0" w:color="auto"/>
                          <w:bottom w:val="single" w:sz="4" w:space="0" w:color="auto"/>
                          <w:right w:val="single" w:sz="4" w:space="0" w:color="auto"/>
                        </w:tcBorders>
                        <w:shd w:val="clear" w:color="auto" w:fill="F5F9EF" w:themeFill="accent5" w:themeFillTint="33"/>
                        <w:noWrap/>
                        <w:hideMark/>
                      </w:tcPr>
                      <w:p w14:paraId="44714124" w14:textId="77777777" w:rsidR="00B837A4" w:rsidRPr="00865A65" w:rsidRDefault="00B837A4">
                        <w:pPr>
                          <w:pStyle w:val="TableText"/>
                          <w:rPr>
                            <w:sz w:val="20"/>
                          </w:rPr>
                        </w:pPr>
                        <w:r w:rsidRPr="00865A65">
                          <w:rPr>
                            <w:sz w:val="20"/>
                          </w:rPr>
                          <w:t>57.4</w:t>
                        </w:r>
                      </w:p>
                    </w:tc>
                    <w:tc>
                      <w:tcPr>
                        <w:tcW w:w="652" w:type="dxa"/>
                        <w:tcBorders>
                          <w:top w:val="single" w:sz="4" w:space="0" w:color="auto"/>
                          <w:left w:val="single" w:sz="4" w:space="0" w:color="auto"/>
                          <w:bottom w:val="single" w:sz="4" w:space="0" w:color="auto"/>
                          <w:right w:val="single" w:sz="4" w:space="0" w:color="auto"/>
                        </w:tcBorders>
                        <w:shd w:val="clear" w:color="auto" w:fill="F5F9EF" w:themeFill="accent5" w:themeFillTint="33"/>
                        <w:noWrap/>
                        <w:hideMark/>
                      </w:tcPr>
                      <w:p w14:paraId="47DCDBFE" w14:textId="77777777" w:rsidR="00B837A4" w:rsidRPr="00865A65" w:rsidRDefault="00B837A4">
                        <w:pPr>
                          <w:pStyle w:val="TableText"/>
                          <w:rPr>
                            <w:sz w:val="20"/>
                          </w:rPr>
                        </w:pPr>
                        <w:r w:rsidRPr="00865A65">
                          <w:rPr>
                            <w:sz w:val="20"/>
                          </w:rPr>
                          <w:t>53.5</w:t>
                        </w:r>
                      </w:p>
                    </w:tc>
                    <w:tc>
                      <w:tcPr>
                        <w:tcW w:w="579" w:type="dxa"/>
                        <w:tcBorders>
                          <w:top w:val="single" w:sz="4" w:space="0" w:color="auto"/>
                          <w:left w:val="single" w:sz="4" w:space="0" w:color="auto"/>
                          <w:bottom w:val="single" w:sz="4" w:space="0" w:color="auto"/>
                          <w:right w:val="single" w:sz="4" w:space="0" w:color="auto"/>
                        </w:tcBorders>
                        <w:shd w:val="clear" w:color="auto" w:fill="F5F9EF" w:themeFill="accent5" w:themeFillTint="33"/>
                        <w:noWrap/>
                        <w:hideMark/>
                      </w:tcPr>
                      <w:p w14:paraId="7EF077E9" w14:textId="77777777" w:rsidR="00B837A4" w:rsidRPr="00865A65" w:rsidRDefault="00B837A4">
                        <w:pPr>
                          <w:pStyle w:val="TableText"/>
                          <w:rPr>
                            <w:sz w:val="20"/>
                          </w:rPr>
                        </w:pPr>
                        <w:r w:rsidRPr="00865A65">
                          <w:rPr>
                            <w:sz w:val="20"/>
                          </w:rPr>
                          <w:t>2.4</w:t>
                        </w:r>
                      </w:p>
                    </w:tc>
                    <w:tc>
                      <w:tcPr>
                        <w:tcW w:w="589" w:type="dxa"/>
                        <w:tcBorders>
                          <w:top w:val="single" w:sz="4" w:space="0" w:color="auto"/>
                          <w:left w:val="single" w:sz="4" w:space="0" w:color="auto"/>
                          <w:bottom w:val="single" w:sz="4" w:space="0" w:color="auto"/>
                          <w:right w:val="single" w:sz="4" w:space="0" w:color="auto"/>
                        </w:tcBorders>
                        <w:shd w:val="clear" w:color="auto" w:fill="F5F9EF" w:themeFill="accent5" w:themeFillTint="33"/>
                        <w:noWrap/>
                        <w:hideMark/>
                      </w:tcPr>
                      <w:p w14:paraId="6A352146" w14:textId="77777777" w:rsidR="00B837A4" w:rsidRPr="00865A65" w:rsidRDefault="00B837A4">
                        <w:pPr>
                          <w:pStyle w:val="TableText"/>
                          <w:rPr>
                            <w:sz w:val="20"/>
                          </w:rPr>
                        </w:pPr>
                        <w:r w:rsidRPr="00865A65">
                          <w:rPr>
                            <w:sz w:val="20"/>
                          </w:rPr>
                          <w:t>2</w:t>
                        </w:r>
                      </w:p>
                    </w:tc>
                    <w:tc>
                      <w:tcPr>
                        <w:tcW w:w="739" w:type="dxa"/>
                        <w:tcBorders>
                          <w:top w:val="single" w:sz="4" w:space="0" w:color="auto"/>
                          <w:left w:val="single" w:sz="4" w:space="0" w:color="auto"/>
                          <w:bottom w:val="single" w:sz="4" w:space="0" w:color="auto"/>
                          <w:right w:val="single" w:sz="4" w:space="0" w:color="auto"/>
                        </w:tcBorders>
                        <w:shd w:val="clear" w:color="auto" w:fill="F5F9EF" w:themeFill="accent5" w:themeFillTint="33"/>
                        <w:noWrap/>
                        <w:hideMark/>
                      </w:tcPr>
                      <w:p w14:paraId="134A6F8C" w14:textId="77777777" w:rsidR="00B837A4" w:rsidRPr="00865A65" w:rsidRDefault="00B837A4">
                        <w:pPr>
                          <w:pStyle w:val="TableText"/>
                          <w:rPr>
                            <w:sz w:val="20"/>
                          </w:rPr>
                        </w:pPr>
                        <w:r w:rsidRPr="00865A65">
                          <w:rPr>
                            <w:sz w:val="20"/>
                          </w:rPr>
                          <w:t>(1,34)</w:t>
                        </w:r>
                      </w:p>
                    </w:tc>
                  </w:tr>
                  <w:tr w:rsidR="00B837A4" w:rsidRPr="00865A65" w14:paraId="718D740F" w14:textId="77777777" w:rsidTr="003371DC">
                    <w:trPr>
                      <w:trHeight w:val="290"/>
                    </w:trPr>
                    <w:tc>
                      <w:tcPr>
                        <w:tcW w:w="2341" w:type="dxa"/>
                        <w:tcBorders>
                          <w:top w:val="single" w:sz="4" w:space="0" w:color="auto"/>
                          <w:left w:val="single" w:sz="4" w:space="0" w:color="auto"/>
                          <w:bottom w:val="single" w:sz="4" w:space="0" w:color="auto"/>
                          <w:right w:val="single" w:sz="4" w:space="0" w:color="auto"/>
                        </w:tcBorders>
                        <w:shd w:val="clear" w:color="auto" w:fill="F5F9EF" w:themeFill="accent5" w:themeFillTint="33"/>
                        <w:noWrap/>
                        <w:hideMark/>
                      </w:tcPr>
                      <w:p w14:paraId="60013840" w14:textId="48FEEF73" w:rsidR="00B837A4" w:rsidRPr="00093F50" w:rsidRDefault="00B837A4">
                        <w:pPr>
                          <w:pStyle w:val="TableText"/>
                          <w:rPr>
                            <w:sz w:val="20"/>
                          </w:rPr>
                        </w:pPr>
                        <w:r w:rsidRPr="00093F50">
                          <w:rPr>
                            <w:sz w:val="20"/>
                          </w:rPr>
                          <w:t xml:space="preserve">Goals </w:t>
                        </w:r>
                        <w:r w:rsidR="009A5064" w:rsidRPr="00093F50">
                          <w:rPr>
                            <w:sz w:val="20"/>
                          </w:rPr>
                          <w:t>–</w:t>
                        </w:r>
                        <w:r w:rsidRPr="00093F50">
                          <w:rPr>
                            <w:sz w:val="20"/>
                          </w:rPr>
                          <w:t xml:space="preserve"> </w:t>
                        </w:r>
                        <w:r w:rsidR="009A5064" w:rsidRPr="00093F50">
                          <w:rPr>
                            <w:sz w:val="20"/>
                          </w:rPr>
                          <w:t xml:space="preserve">Engagement with relevant support services </w:t>
                        </w:r>
                      </w:p>
                    </w:tc>
                    <w:tc>
                      <w:tcPr>
                        <w:tcW w:w="859" w:type="dxa"/>
                        <w:tcBorders>
                          <w:top w:val="single" w:sz="4" w:space="0" w:color="auto"/>
                          <w:left w:val="single" w:sz="4" w:space="0" w:color="auto"/>
                          <w:bottom w:val="single" w:sz="4" w:space="0" w:color="auto"/>
                          <w:right w:val="single" w:sz="4" w:space="0" w:color="auto"/>
                        </w:tcBorders>
                        <w:shd w:val="clear" w:color="auto" w:fill="F5F9EF" w:themeFill="accent5" w:themeFillTint="33"/>
                        <w:noWrap/>
                        <w:hideMark/>
                      </w:tcPr>
                      <w:p w14:paraId="29D7D2C2" w14:textId="77777777" w:rsidR="00B837A4" w:rsidRPr="00865A65" w:rsidRDefault="00B837A4">
                        <w:pPr>
                          <w:pStyle w:val="TableText"/>
                          <w:rPr>
                            <w:sz w:val="20"/>
                          </w:rPr>
                        </w:pPr>
                        <w:r w:rsidRPr="00865A65">
                          <w:rPr>
                            <w:sz w:val="20"/>
                          </w:rPr>
                          <w:t>38.0</w:t>
                        </w:r>
                      </w:p>
                    </w:tc>
                    <w:tc>
                      <w:tcPr>
                        <w:tcW w:w="619" w:type="dxa"/>
                        <w:tcBorders>
                          <w:top w:val="single" w:sz="4" w:space="0" w:color="auto"/>
                          <w:left w:val="single" w:sz="4" w:space="0" w:color="auto"/>
                          <w:bottom w:val="single" w:sz="4" w:space="0" w:color="auto"/>
                          <w:right w:val="single" w:sz="4" w:space="0" w:color="auto"/>
                        </w:tcBorders>
                        <w:shd w:val="clear" w:color="auto" w:fill="F5F9EF" w:themeFill="accent5" w:themeFillTint="33"/>
                        <w:noWrap/>
                        <w:hideMark/>
                      </w:tcPr>
                      <w:p w14:paraId="57BD1858" w14:textId="77777777" w:rsidR="00B837A4" w:rsidRPr="00865A65" w:rsidRDefault="00B837A4">
                        <w:pPr>
                          <w:pStyle w:val="TableText"/>
                          <w:rPr>
                            <w:sz w:val="20"/>
                          </w:rPr>
                        </w:pPr>
                        <w:r w:rsidRPr="00865A65">
                          <w:rPr>
                            <w:sz w:val="20"/>
                          </w:rPr>
                          <w:t>38.8</w:t>
                        </w:r>
                      </w:p>
                    </w:tc>
                    <w:tc>
                      <w:tcPr>
                        <w:tcW w:w="579" w:type="dxa"/>
                        <w:tcBorders>
                          <w:top w:val="single" w:sz="4" w:space="0" w:color="auto"/>
                          <w:left w:val="single" w:sz="4" w:space="0" w:color="auto"/>
                          <w:bottom w:val="single" w:sz="4" w:space="0" w:color="auto"/>
                          <w:right w:val="single" w:sz="4" w:space="0" w:color="auto"/>
                        </w:tcBorders>
                        <w:shd w:val="clear" w:color="auto" w:fill="F5F9EF" w:themeFill="accent5" w:themeFillTint="33"/>
                        <w:noWrap/>
                        <w:hideMark/>
                      </w:tcPr>
                      <w:p w14:paraId="0C5BC6D5" w14:textId="77777777" w:rsidR="00B837A4" w:rsidRPr="00865A65" w:rsidRDefault="00B837A4">
                        <w:pPr>
                          <w:pStyle w:val="TableText"/>
                          <w:rPr>
                            <w:sz w:val="20"/>
                          </w:rPr>
                        </w:pPr>
                        <w:r w:rsidRPr="00865A65">
                          <w:rPr>
                            <w:sz w:val="20"/>
                          </w:rPr>
                          <w:t>2.3</w:t>
                        </w:r>
                      </w:p>
                    </w:tc>
                    <w:tc>
                      <w:tcPr>
                        <w:tcW w:w="579" w:type="dxa"/>
                        <w:tcBorders>
                          <w:top w:val="single" w:sz="4" w:space="0" w:color="auto"/>
                          <w:left w:val="single" w:sz="4" w:space="0" w:color="auto"/>
                          <w:bottom w:val="single" w:sz="4" w:space="0" w:color="auto"/>
                          <w:right w:val="single" w:sz="4" w:space="0" w:color="auto"/>
                        </w:tcBorders>
                        <w:shd w:val="clear" w:color="auto" w:fill="F5F9EF" w:themeFill="accent5" w:themeFillTint="33"/>
                        <w:noWrap/>
                        <w:hideMark/>
                      </w:tcPr>
                      <w:p w14:paraId="37E78B35" w14:textId="77777777" w:rsidR="00B837A4" w:rsidRPr="00865A65" w:rsidRDefault="00B837A4">
                        <w:pPr>
                          <w:pStyle w:val="TableText"/>
                          <w:rPr>
                            <w:sz w:val="20"/>
                          </w:rPr>
                        </w:pPr>
                        <w:r w:rsidRPr="00865A65">
                          <w:rPr>
                            <w:sz w:val="20"/>
                          </w:rPr>
                          <w:t>2</w:t>
                        </w:r>
                      </w:p>
                    </w:tc>
                    <w:tc>
                      <w:tcPr>
                        <w:tcW w:w="778" w:type="dxa"/>
                        <w:tcBorders>
                          <w:top w:val="single" w:sz="4" w:space="0" w:color="auto"/>
                          <w:left w:val="single" w:sz="4" w:space="0" w:color="auto"/>
                          <w:bottom w:val="single" w:sz="4" w:space="0" w:color="auto"/>
                          <w:right w:val="single" w:sz="4" w:space="0" w:color="auto"/>
                        </w:tcBorders>
                        <w:shd w:val="clear" w:color="auto" w:fill="F5F9EF" w:themeFill="accent5" w:themeFillTint="33"/>
                        <w:noWrap/>
                        <w:hideMark/>
                      </w:tcPr>
                      <w:p w14:paraId="48D44213" w14:textId="77777777" w:rsidR="00B837A4" w:rsidRPr="00865A65" w:rsidRDefault="00B837A4">
                        <w:pPr>
                          <w:pStyle w:val="TableText"/>
                          <w:rPr>
                            <w:sz w:val="20"/>
                          </w:rPr>
                        </w:pPr>
                        <w:r w:rsidRPr="00865A65">
                          <w:rPr>
                            <w:sz w:val="20"/>
                          </w:rPr>
                          <w:t>(1,75)</w:t>
                        </w:r>
                      </w:p>
                    </w:tc>
                    <w:tc>
                      <w:tcPr>
                        <w:tcW w:w="687" w:type="dxa"/>
                        <w:tcBorders>
                          <w:top w:val="single" w:sz="4" w:space="0" w:color="auto"/>
                          <w:left w:val="single" w:sz="4" w:space="0" w:color="auto"/>
                          <w:bottom w:val="single" w:sz="4" w:space="0" w:color="auto"/>
                          <w:right w:val="single" w:sz="4" w:space="0" w:color="auto"/>
                        </w:tcBorders>
                        <w:shd w:val="clear" w:color="auto" w:fill="F5F9EF" w:themeFill="accent5" w:themeFillTint="33"/>
                        <w:noWrap/>
                        <w:hideMark/>
                      </w:tcPr>
                      <w:p w14:paraId="11F7BA3B" w14:textId="77777777" w:rsidR="00B837A4" w:rsidRPr="00865A65" w:rsidRDefault="00B837A4">
                        <w:pPr>
                          <w:pStyle w:val="TableText"/>
                          <w:rPr>
                            <w:sz w:val="20"/>
                          </w:rPr>
                        </w:pPr>
                        <w:r w:rsidRPr="00865A65">
                          <w:rPr>
                            <w:sz w:val="20"/>
                          </w:rPr>
                          <w:t>41.8</w:t>
                        </w:r>
                      </w:p>
                    </w:tc>
                    <w:tc>
                      <w:tcPr>
                        <w:tcW w:w="652" w:type="dxa"/>
                        <w:tcBorders>
                          <w:top w:val="single" w:sz="4" w:space="0" w:color="auto"/>
                          <w:left w:val="single" w:sz="4" w:space="0" w:color="auto"/>
                          <w:bottom w:val="single" w:sz="4" w:space="0" w:color="auto"/>
                          <w:right w:val="single" w:sz="4" w:space="0" w:color="auto"/>
                        </w:tcBorders>
                        <w:shd w:val="clear" w:color="auto" w:fill="F5F9EF" w:themeFill="accent5" w:themeFillTint="33"/>
                        <w:noWrap/>
                        <w:hideMark/>
                      </w:tcPr>
                      <w:p w14:paraId="67B02F6A" w14:textId="77777777" w:rsidR="00B837A4" w:rsidRPr="00865A65" w:rsidRDefault="00B837A4">
                        <w:pPr>
                          <w:pStyle w:val="TableText"/>
                          <w:rPr>
                            <w:sz w:val="20"/>
                          </w:rPr>
                        </w:pPr>
                        <w:r w:rsidRPr="00865A65">
                          <w:rPr>
                            <w:sz w:val="20"/>
                          </w:rPr>
                          <w:t>37.9</w:t>
                        </w:r>
                      </w:p>
                    </w:tc>
                    <w:tc>
                      <w:tcPr>
                        <w:tcW w:w="579" w:type="dxa"/>
                        <w:tcBorders>
                          <w:top w:val="single" w:sz="4" w:space="0" w:color="auto"/>
                          <w:left w:val="single" w:sz="4" w:space="0" w:color="auto"/>
                          <w:bottom w:val="single" w:sz="4" w:space="0" w:color="auto"/>
                          <w:right w:val="single" w:sz="4" w:space="0" w:color="auto"/>
                        </w:tcBorders>
                        <w:shd w:val="clear" w:color="auto" w:fill="F5F9EF" w:themeFill="accent5" w:themeFillTint="33"/>
                        <w:noWrap/>
                        <w:hideMark/>
                      </w:tcPr>
                      <w:p w14:paraId="6D17E85F" w14:textId="77777777" w:rsidR="00B837A4" w:rsidRPr="00865A65" w:rsidRDefault="00B837A4">
                        <w:pPr>
                          <w:pStyle w:val="TableText"/>
                          <w:rPr>
                            <w:sz w:val="20"/>
                          </w:rPr>
                        </w:pPr>
                        <w:r w:rsidRPr="00865A65">
                          <w:rPr>
                            <w:sz w:val="20"/>
                          </w:rPr>
                          <w:t>2.4</w:t>
                        </w:r>
                      </w:p>
                    </w:tc>
                    <w:tc>
                      <w:tcPr>
                        <w:tcW w:w="589" w:type="dxa"/>
                        <w:tcBorders>
                          <w:top w:val="single" w:sz="4" w:space="0" w:color="auto"/>
                          <w:left w:val="single" w:sz="4" w:space="0" w:color="auto"/>
                          <w:bottom w:val="single" w:sz="4" w:space="0" w:color="auto"/>
                          <w:right w:val="single" w:sz="4" w:space="0" w:color="auto"/>
                        </w:tcBorders>
                        <w:shd w:val="clear" w:color="auto" w:fill="F5F9EF" w:themeFill="accent5" w:themeFillTint="33"/>
                        <w:noWrap/>
                        <w:hideMark/>
                      </w:tcPr>
                      <w:p w14:paraId="493A6FCF" w14:textId="77777777" w:rsidR="00B837A4" w:rsidRPr="00865A65" w:rsidRDefault="00B837A4">
                        <w:pPr>
                          <w:pStyle w:val="TableText"/>
                          <w:rPr>
                            <w:sz w:val="20"/>
                          </w:rPr>
                        </w:pPr>
                        <w:r w:rsidRPr="00865A65">
                          <w:rPr>
                            <w:sz w:val="20"/>
                          </w:rPr>
                          <w:t>2</w:t>
                        </w:r>
                      </w:p>
                    </w:tc>
                    <w:tc>
                      <w:tcPr>
                        <w:tcW w:w="739" w:type="dxa"/>
                        <w:tcBorders>
                          <w:top w:val="single" w:sz="4" w:space="0" w:color="auto"/>
                          <w:left w:val="single" w:sz="4" w:space="0" w:color="auto"/>
                          <w:bottom w:val="single" w:sz="4" w:space="0" w:color="auto"/>
                          <w:right w:val="single" w:sz="4" w:space="0" w:color="auto"/>
                        </w:tcBorders>
                        <w:shd w:val="clear" w:color="auto" w:fill="F5F9EF" w:themeFill="accent5" w:themeFillTint="33"/>
                        <w:noWrap/>
                        <w:hideMark/>
                      </w:tcPr>
                      <w:p w14:paraId="61E0363C" w14:textId="77777777" w:rsidR="00B837A4" w:rsidRPr="00865A65" w:rsidRDefault="00B837A4">
                        <w:pPr>
                          <w:pStyle w:val="TableText"/>
                          <w:rPr>
                            <w:sz w:val="20"/>
                          </w:rPr>
                        </w:pPr>
                        <w:r w:rsidRPr="00865A65">
                          <w:rPr>
                            <w:sz w:val="20"/>
                          </w:rPr>
                          <w:t>(1,31)</w:t>
                        </w:r>
                      </w:p>
                    </w:tc>
                  </w:tr>
                  <w:tr w:rsidR="00B837A4" w:rsidRPr="00865A65" w14:paraId="76A3165C" w14:textId="77777777" w:rsidTr="003371DC">
                    <w:trPr>
                      <w:trHeight w:val="290"/>
                    </w:trPr>
                    <w:tc>
                      <w:tcPr>
                        <w:tcW w:w="2341" w:type="dxa"/>
                        <w:tcBorders>
                          <w:top w:val="single" w:sz="4" w:space="0" w:color="auto"/>
                          <w:left w:val="single" w:sz="4" w:space="0" w:color="auto"/>
                          <w:bottom w:val="single" w:sz="4" w:space="0" w:color="auto"/>
                          <w:right w:val="single" w:sz="4" w:space="0" w:color="auto"/>
                        </w:tcBorders>
                        <w:shd w:val="clear" w:color="auto" w:fill="F5F9EF" w:themeFill="accent5" w:themeFillTint="33"/>
                        <w:noWrap/>
                        <w:hideMark/>
                      </w:tcPr>
                      <w:p w14:paraId="5AAA629A" w14:textId="44F210E2" w:rsidR="00B837A4" w:rsidRPr="00093F50" w:rsidRDefault="00B837A4">
                        <w:pPr>
                          <w:pStyle w:val="TableText"/>
                          <w:rPr>
                            <w:sz w:val="20"/>
                          </w:rPr>
                        </w:pPr>
                        <w:r w:rsidRPr="00093F50">
                          <w:rPr>
                            <w:sz w:val="20"/>
                          </w:rPr>
                          <w:t xml:space="preserve">Goals </w:t>
                        </w:r>
                        <w:r w:rsidR="009A5064" w:rsidRPr="00093F50">
                          <w:rPr>
                            <w:sz w:val="20"/>
                          </w:rPr>
                          <w:t>–</w:t>
                        </w:r>
                        <w:r w:rsidRPr="00093F50">
                          <w:rPr>
                            <w:sz w:val="20"/>
                          </w:rPr>
                          <w:t xml:space="preserve"> </w:t>
                        </w:r>
                        <w:r w:rsidR="009A5064" w:rsidRPr="00093F50">
                          <w:rPr>
                            <w:sz w:val="20"/>
                          </w:rPr>
                          <w:t xml:space="preserve">Changed impact of immediate crisis </w:t>
                        </w:r>
                      </w:p>
                    </w:tc>
                    <w:tc>
                      <w:tcPr>
                        <w:tcW w:w="859" w:type="dxa"/>
                        <w:tcBorders>
                          <w:top w:val="single" w:sz="4" w:space="0" w:color="auto"/>
                          <w:left w:val="single" w:sz="4" w:space="0" w:color="auto"/>
                          <w:bottom w:val="single" w:sz="4" w:space="0" w:color="auto"/>
                          <w:right w:val="single" w:sz="4" w:space="0" w:color="auto"/>
                        </w:tcBorders>
                        <w:shd w:val="clear" w:color="auto" w:fill="F5F9EF" w:themeFill="accent5" w:themeFillTint="33"/>
                        <w:noWrap/>
                        <w:hideMark/>
                      </w:tcPr>
                      <w:p w14:paraId="55959139" w14:textId="77777777" w:rsidR="00B837A4" w:rsidRPr="00865A65" w:rsidRDefault="00B837A4">
                        <w:pPr>
                          <w:pStyle w:val="TableText"/>
                          <w:rPr>
                            <w:sz w:val="20"/>
                          </w:rPr>
                        </w:pPr>
                        <w:r w:rsidRPr="00865A65">
                          <w:rPr>
                            <w:sz w:val="20"/>
                          </w:rPr>
                          <w:t>31.3</w:t>
                        </w:r>
                      </w:p>
                    </w:tc>
                    <w:tc>
                      <w:tcPr>
                        <w:tcW w:w="619" w:type="dxa"/>
                        <w:tcBorders>
                          <w:top w:val="single" w:sz="4" w:space="0" w:color="auto"/>
                          <w:left w:val="single" w:sz="4" w:space="0" w:color="auto"/>
                          <w:bottom w:val="single" w:sz="4" w:space="0" w:color="auto"/>
                          <w:right w:val="single" w:sz="4" w:space="0" w:color="auto"/>
                        </w:tcBorders>
                        <w:shd w:val="clear" w:color="auto" w:fill="F5F9EF" w:themeFill="accent5" w:themeFillTint="33"/>
                        <w:noWrap/>
                        <w:hideMark/>
                      </w:tcPr>
                      <w:p w14:paraId="65F12B65" w14:textId="77777777" w:rsidR="00B837A4" w:rsidRPr="00865A65" w:rsidRDefault="00B837A4">
                        <w:pPr>
                          <w:pStyle w:val="TableText"/>
                          <w:rPr>
                            <w:sz w:val="20"/>
                          </w:rPr>
                        </w:pPr>
                        <w:r w:rsidRPr="00865A65">
                          <w:rPr>
                            <w:sz w:val="20"/>
                          </w:rPr>
                          <w:t>33.2</w:t>
                        </w:r>
                      </w:p>
                    </w:tc>
                    <w:tc>
                      <w:tcPr>
                        <w:tcW w:w="579" w:type="dxa"/>
                        <w:tcBorders>
                          <w:top w:val="single" w:sz="4" w:space="0" w:color="auto"/>
                          <w:left w:val="single" w:sz="4" w:space="0" w:color="auto"/>
                          <w:bottom w:val="single" w:sz="4" w:space="0" w:color="auto"/>
                          <w:right w:val="single" w:sz="4" w:space="0" w:color="auto"/>
                        </w:tcBorders>
                        <w:shd w:val="clear" w:color="auto" w:fill="F5F9EF" w:themeFill="accent5" w:themeFillTint="33"/>
                        <w:noWrap/>
                        <w:hideMark/>
                      </w:tcPr>
                      <w:p w14:paraId="701AACE9" w14:textId="77777777" w:rsidR="00B837A4" w:rsidRPr="00865A65" w:rsidRDefault="00B837A4">
                        <w:pPr>
                          <w:pStyle w:val="TableText"/>
                          <w:rPr>
                            <w:sz w:val="20"/>
                          </w:rPr>
                        </w:pPr>
                        <w:r w:rsidRPr="00865A65">
                          <w:rPr>
                            <w:sz w:val="20"/>
                          </w:rPr>
                          <w:t>2.3</w:t>
                        </w:r>
                      </w:p>
                    </w:tc>
                    <w:tc>
                      <w:tcPr>
                        <w:tcW w:w="579" w:type="dxa"/>
                        <w:tcBorders>
                          <w:top w:val="single" w:sz="4" w:space="0" w:color="auto"/>
                          <w:left w:val="single" w:sz="4" w:space="0" w:color="auto"/>
                          <w:bottom w:val="single" w:sz="4" w:space="0" w:color="auto"/>
                          <w:right w:val="single" w:sz="4" w:space="0" w:color="auto"/>
                        </w:tcBorders>
                        <w:shd w:val="clear" w:color="auto" w:fill="F5F9EF" w:themeFill="accent5" w:themeFillTint="33"/>
                        <w:noWrap/>
                        <w:hideMark/>
                      </w:tcPr>
                      <w:p w14:paraId="4A686413" w14:textId="77777777" w:rsidR="00B837A4" w:rsidRPr="00865A65" w:rsidRDefault="00B837A4">
                        <w:pPr>
                          <w:pStyle w:val="TableText"/>
                          <w:rPr>
                            <w:sz w:val="20"/>
                          </w:rPr>
                        </w:pPr>
                        <w:r w:rsidRPr="00865A65">
                          <w:rPr>
                            <w:sz w:val="20"/>
                          </w:rPr>
                          <w:t>2</w:t>
                        </w:r>
                      </w:p>
                    </w:tc>
                    <w:tc>
                      <w:tcPr>
                        <w:tcW w:w="778" w:type="dxa"/>
                        <w:tcBorders>
                          <w:top w:val="single" w:sz="4" w:space="0" w:color="auto"/>
                          <w:left w:val="single" w:sz="4" w:space="0" w:color="auto"/>
                          <w:bottom w:val="single" w:sz="4" w:space="0" w:color="auto"/>
                          <w:right w:val="single" w:sz="4" w:space="0" w:color="auto"/>
                        </w:tcBorders>
                        <w:shd w:val="clear" w:color="auto" w:fill="F5F9EF" w:themeFill="accent5" w:themeFillTint="33"/>
                        <w:noWrap/>
                        <w:hideMark/>
                      </w:tcPr>
                      <w:p w14:paraId="21D40971" w14:textId="77777777" w:rsidR="00B837A4" w:rsidRPr="00865A65" w:rsidRDefault="00B837A4">
                        <w:pPr>
                          <w:pStyle w:val="TableText"/>
                          <w:rPr>
                            <w:sz w:val="20"/>
                          </w:rPr>
                        </w:pPr>
                        <w:r w:rsidRPr="00865A65">
                          <w:rPr>
                            <w:sz w:val="20"/>
                          </w:rPr>
                          <w:t>(1,88)</w:t>
                        </w:r>
                      </w:p>
                    </w:tc>
                    <w:tc>
                      <w:tcPr>
                        <w:tcW w:w="687" w:type="dxa"/>
                        <w:tcBorders>
                          <w:top w:val="single" w:sz="4" w:space="0" w:color="auto"/>
                          <w:left w:val="single" w:sz="4" w:space="0" w:color="auto"/>
                          <w:bottom w:val="single" w:sz="4" w:space="0" w:color="auto"/>
                          <w:right w:val="single" w:sz="4" w:space="0" w:color="auto"/>
                        </w:tcBorders>
                        <w:shd w:val="clear" w:color="auto" w:fill="F5F9EF" w:themeFill="accent5" w:themeFillTint="33"/>
                        <w:noWrap/>
                        <w:hideMark/>
                      </w:tcPr>
                      <w:p w14:paraId="5E7AF40A" w14:textId="77777777" w:rsidR="00B837A4" w:rsidRPr="00865A65" w:rsidRDefault="00B837A4">
                        <w:pPr>
                          <w:pStyle w:val="TableText"/>
                          <w:rPr>
                            <w:sz w:val="20"/>
                          </w:rPr>
                        </w:pPr>
                        <w:r w:rsidRPr="00865A65">
                          <w:rPr>
                            <w:sz w:val="20"/>
                          </w:rPr>
                          <w:t>38.6</w:t>
                        </w:r>
                      </w:p>
                    </w:tc>
                    <w:tc>
                      <w:tcPr>
                        <w:tcW w:w="652" w:type="dxa"/>
                        <w:tcBorders>
                          <w:top w:val="single" w:sz="4" w:space="0" w:color="auto"/>
                          <w:left w:val="single" w:sz="4" w:space="0" w:color="auto"/>
                          <w:bottom w:val="single" w:sz="4" w:space="0" w:color="auto"/>
                          <w:right w:val="single" w:sz="4" w:space="0" w:color="auto"/>
                        </w:tcBorders>
                        <w:shd w:val="clear" w:color="auto" w:fill="F5F9EF" w:themeFill="accent5" w:themeFillTint="33"/>
                        <w:noWrap/>
                        <w:hideMark/>
                      </w:tcPr>
                      <w:p w14:paraId="2DF1021E" w14:textId="77777777" w:rsidR="00B837A4" w:rsidRPr="00865A65" w:rsidRDefault="00B837A4">
                        <w:pPr>
                          <w:pStyle w:val="TableText"/>
                          <w:rPr>
                            <w:sz w:val="20"/>
                          </w:rPr>
                        </w:pPr>
                        <w:r w:rsidRPr="00865A65">
                          <w:rPr>
                            <w:sz w:val="20"/>
                          </w:rPr>
                          <w:t>35.0</w:t>
                        </w:r>
                      </w:p>
                    </w:tc>
                    <w:tc>
                      <w:tcPr>
                        <w:tcW w:w="579" w:type="dxa"/>
                        <w:tcBorders>
                          <w:top w:val="single" w:sz="4" w:space="0" w:color="auto"/>
                          <w:left w:val="single" w:sz="4" w:space="0" w:color="auto"/>
                          <w:bottom w:val="single" w:sz="4" w:space="0" w:color="auto"/>
                          <w:right w:val="single" w:sz="4" w:space="0" w:color="auto"/>
                        </w:tcBorders>
                        <w:shd w:val="clear" w:color="auto" w:fill="F5F9EF" w:themeFill="accent5" w:themeFillTint="33"/>
                        <w:noWrap/>
                        <w:hideMark/>
                      </w:tcPr>
                      <w:p w14:paraId="11EB149D" w14:textId="77777777" w:rsidR="00B837A4" w:rsidRPr="00865A65" w:rsidRDefault="00B837A4">
                        <w:pPr>
                          <w:pStyle w:val="TableText"/>
                          <w:rPr>
                            <w:sz w:val="20"/>
                          </w:rPr>
                        </w:pPr>
                        <w:r w:rsidRPr="00865A65">
                          <w:rPr>
                            <w:sz w:val="20"/>
                          </w:rPr>
                          <w:t>2.4</w:t>
                        </w:r>
                      </w:p>
                    </w:tc>
                    <w:tc>
                      <w:tcPr>
                        <w:tcW w:w="589" w:type="dxa"/>
                        <w:tcBorders>
                          <w:top w:val="single" w:sz="4" w:space="0" w:color="auto"/>
                          <w:left w:val="single" w:sz="4" w:space="0" w:color="auto"/>
                          <w:bottom w:val="single" w:sz="4" w:space="0" w:color="auto"/>
                          <w:right w:val="single" w:sz="4" w:space="0" w:color="auto"/>
                        </w:tcBorders>
                        <w:shd w:val="clear" w:color="auto" w:fill="F5F9EF" w:themeFill="accent5" w:themeFillTint="33"/>
                        <w:noWrap/>
                        <w:hideMark/>
                      </w:tcPr>
                      <w:p w14:paraId="02828B1A" w14:textId="77777777" w:rsidR="00B837A4" w:rsidRPr="00865A65" w:rsidRDefault="00B837A4">
                        <w:pPr>
                          <w:pStyle w:val="TableText"/>
                          <w:rPr>
                            <w:sz w:val="20"/>
                          </w:rPr>
                        </w:pPr>
                        <w:r w:rsidRPr="00865A65">
                          <w:rPr>
                            <w:sz w:val="20"/>
                          </w:rPr>
                          <w:t>2</w:t>
                        </w:r>
                      </w:p>
                    </w:tc>
                    <w:tc>
                      <w:tcPr>
                        <w:tcW w:w="739" w:type="dxa"/>
                        <w:tcBorders>
                          <w:top w:val="single" w:sz="4" w:space="0" w:color="auto"/>
                          <w:left w:val="single" w:sz="4" w:space="0" w:color="auto"/>
                          <w:bottom w:val="single" w:sz="4" w:space="0" w:color="auto"/>
                          <w:right w:val="single" w:sz="4" w:space="0" w:color="auto"/>
                        </w:tcBorders>
                        <w:shd w:val="clear" w:color="auto" w:fill="F5F9EF" w:themeFill="accent5" w:themeFillTint="33"/>
                        <w:noWrap/>
                        <w:hideMark/>
                      </w:tcPr>
                      <w:p w14:paraId="651F2388" w14:textId="77777777" w:rsidR="00B837A4" w:rsidRPr="00865A65" w:rsidRDefault="00B837A4">
                        <w:pPr>
                          <w:pStyle w:val="TableText"/>
                          <w:rPr>
                            <w:sz w:val="20"/>
                          </w:rPr>
                        </w:pPr>
                        <w:r w:rsidRPr="00865A65">
                          <w:rPr>
                            <w:sz w:val="20"/>
                          </w:rPr>
                          <w:t>(1,31)</w:t>
                        </w:r>
                      </w:p>
                    </w:tc>
                  </w:tr>
                  <w:tr w:rsidR="00B837A4" w:rsidRPr="00865A65" w14:paraId="3560C7DF" w14:textId="77777777" w:rsidTr="003371DC">
                    <w:trPr>
                      <w:trHeight w:val="290"/>
                    </w:trPr>
                    <w:tc>
                      <w:tcPr>
                        <w:tcW w:w="2341" w:type="dxa"/>
                        <w:tcBorders>
                          <w:top w:val="single" w:sz="4" w:space="0" w:color="auto"/>
                          <w:left w:val="single" w:sz="4" w:space="0" w:color="auto"/>
                          <w:bottom w:val="single" w:sz="4" w:space="0" w:color="auto"/>
                          <w:right w:val="single" w:sz="4" w:space="0" w:color="auto"/>
                        </w:tcBorders>
                        <w:shd w:val="clear" w:color="auto" w:fill="F5F9EF" w:themeFill="accent5" w:themeFillTint="33"/>
                        <w:noWrap/>
                        <w:hideMark/>
                      </w:tcPr>
                      <w:p w14:paraId="699DC539" w14:textId="310707AC" w:rsidR="00B837A4" w:rsidRPr="00093F50" w:rsidRDefault="00B837A4">
                        <w:pPr>
                          <w:pStyle w:val="TableText"/>
                          <w:rPr>
                            <w:sz w:val="20"/>
                          </w:rPr>
                        </w:pPr>
                        <w:r w:rsidRPr="00093F50">
                          <w:rPr>
                            <w:sz w:val="20"/>
                          </w:rPr>
                          <w:t xml:space="preserve">Goals </w:t>
                        </w:r>
                        <w:r w:rsidR="009A5064" w:rsidRPr="00093F50">
                          <w:rPr>
                            <w:sz w:val="20"/>
                          </w:rPr>
                          <w:t>–</w:t>
                        </w:r>
                        <w:r w:rsidRPr="00093F50">
                          <w:rPr>
                            <w:sz w:val="20"/>
                          </w:rPr>
                          <w:t xml:space="preserve"> </w:t>
                        </w:r>
                        <w:r w:rsidR="009A5064" w:rsidRPr="00093F50">
                          <w:rPr>
                            <w:sz w:val="20"/>
                          </w:rPr>
                          <w:t xml:space="preserve">Changed knowledge and access to information </w:t>
                        </w:r>
                      </w:p>
                    </w:tc>
                    <w:tc>
                      <w:tcPr>
                        <w:tcW w:w="859" w:type="dxa"/>
                        <w:tcBorders>
                          <w:top w:val="single" w:sz="4" w:space="0" w:color="auto"/>
                          <w:left w:val="single" w:sz="4" w:space="0" w:color="auto"/>
                          <w:bottom w:val="single" w:sz="4" w:space="0" w:color="auto"/>
                          <w:right w:val="single" w:sz="4" w:space="0" w:color="auto"/>
                        </w:tcBorders>
                        <w:shd w:val="clear" w:color="auto" w:fill="F5F9EF" w:themeFill="accent5" w:themeFillTint="33"/>
                        <w:noWrap/>
                        <w:hideMark/>
                      </w:tcPr>
                      <w:p w14:paraId="64A41B02" w14:textId="77777777" w:rsidR="00B837A4" w:rsidRPr="00865A65" w:rsidRDefault="00B837A4">
                        <w:pPr>
                          <w:pStyle w:val="TableText"/>
                          <w:rPr>
                            <w:sz w:val="20"/>
                          </w:rPr>
                        </w:pPr>
                        <w:r w:rsidRPr="00865A65">
                          <w:rPr>
                            <w:sz w:val="20"/>
                          </w:rPr>
                          <w:t>64.4</w:t>
                        </w:r>
                      </w:p>
                    </w:tc>
                    <w:tc>
                      <w:tcPr>
                        <w:tcW w:w="619" w:type="dxa"/>
                        <w:tcBorders>
                          <w:top w:val="single" w:sz="4" w:space="0" w:color="auto"/>
                          <w:left w:val="single" w:sz="4" w:space="0" w:color="auto"/>
                          <w:bottom w:val="single" w:sz="4" w:space="0" w:color="auto"/>
                          <w:right w:val="single" w:sz="4" w:space="0" w:color="auto"/>
                        </w:tcBorders>
                        <w:shd w:val="clear" w:color="auto" w:fill="F5F9EF" w:themeFill="accent5" w:themeFillTint="33"/>
                        <w:noWrap/>
                        <w:hideMark/>
                      </w:tcPr>
                      <w:p w14:paraId="06AD0CDF" w14:textId="77777777" w:rsidR="00B837A4" w:rsidRPr="00865A65" w:rsidRDefault="00B837A4">
                        <w:pPr>
                          <w:pStyle w:val="TableText"/>
                          <w:rPr>
                            <w:sz w:val="20"/>
                          </w:rPr>
                        </w:pPr>
                        <w:r w:rsidRPr="00865A65">
                          <w:rPr>
                            <w:sz w:val="20"/>
                          </w:rPr>
                          <w:t>59.7</w:t>
                        </w:r>
                      </w:p>
                    </w:tc>
                    <w:tc>
                      <w:tcPr>
                        <w:tcW w:w="579" w:type="dxa"/>
                        <w:tcBorders>
                          <w:top w:val="single" w:sz="4" w:space="0" w:color="auto"/>
                          <w:left w:val="single" w:sz="4" w:space="0" w:color="auto"/>
                          <w:bottom w:val="single" w:sz="4" w:space="0" w:color="auto"/>
                          <w:right w:val="single" w:sz="4" w:space="0" w:color="auto"/>
                        </w:tcBorders>
                        <w:shd w:val="clear" w:color="auto" w:fill="F5F9EF" w:themeFill="accent5" w:themeFillTint="33"/>
                        <w:noWrap/>
                        <w:hideMark/>
                      </w:tcPr>
                      <w:p w14:paraId="37D38521" w14:textId="77777777" w:rsidR="00B837A4" w:rsidRPr="00865A65" w:rsidRDefault="00B837A4">
                        <w:pPr>
                          <w:pStyle w:val="TableText"/>
                          <w:rPr>
                            <w:sz w:val="20"/>
                          </w:rPr>
                        </w:pPr>
                        <w:r w:rsidRPr="00865A65">
                          <w:rPr>
                            <w:sz w:val="20"/>
                          </w:rPr>
                          <w:t>2.4</w:t>
                        </w:r>
                      </w:p>
                    </w:tc>
                    <w:tc>
                      <w:tcPr>
                        <w:tcW w:w="579" w:type="dxa"/>
                        <w:tcBorders>
                          <w:top w:val="single" w:sz="4" w:space="0" w:color="auto"/>
                          <w:left w:val="single" w:sz="4" w:space="0" w:color="auto"/>
                          <w:bottom w:val="single" w:sz="4" w:space="0" w:color="auto"/>
                          <w:right w:val="single" w:sz="4" w:space="0" w:color="auto"/>
                        </w:tcBorders>
                        <w:shd w:val="clear" w:color="auto" w:fill="F5F9EF" w:themeFill="accent5" w:themeFillTint="33"/>
                        <w:noWrap/>
                        <w:hideMark/>
                      </w:tcPr>
                      <w:p w14:paraId="48A70CB8" w14:textId="77777777" w:rsidR="00B837A4" w:rsidRPr="00865A65" w:rsidRDefault="00B837A4">
                        <w:pPr>
                          <w:pStyle w:val="TableText"/>
                          <w:rPr>
                            <w:sz w:val="20"/>
                          </w:rPr>
                        </w:pPr>
                        <w:r w:rsidRPr="00865A65">
                          <w:rPr>
                            <w:sz w:val="20"/>
                          </w:rPr>
                          <w:t>2</w:t>
                        </w:r>
                      </w:p>
                    </w:tc>
                    <w:tc>
                      <w:tcPr>
                        <w:tcW w:w="778" w:type="dxa"/>
                        <w:tcBorders>
                          <w:top w:val="single" w:sz="4" w:space="0" w:color="auto"/>
                          <w:left w:val="single" w:sz="4" w:space="0" w:color="auto"/>
                          <w:bottom w:val="single" w:sz="4" w:space="0" w:color="auto"/>
                          <w:right w:val="single" w:sz="4" w:space="0" w:color="auto"/>
                        </w:tcBorders>
                        <w:shd w:val="clear" w:color="auto" w:fill="F5F9EF" w:themeFill="accent5" w:themeFillTint="33"/>
                        <w:noWrap/>
                        <w:hideMark/>
                      </w:tcPr>
                      <w:p w14:paraId="4B9FBE7E" w14:textId="77777777" w:rsidR="00B837A4" w:rsidRPr="00865A65" w:rsidRDefault="00B837A4">
                        <w:pPr>
                          <w:pStyle w:val="TableText"/>
                          <w:rPr>
                            <w:sz w:val="20"/>
                          </w:rPr>
                        </w:pPr>
                        <w:r w:rsidRPr="00865A65">
                          <w:rPr>
                            <w:sz w:val="20"/>
                          </w:rPr>
                          <w:t>(1,75)</w:t>
                        </w:r>
                      </w:p>
                    </w:tc>
                    <w:tc>
                      <w:tcPr>
                        <w:tcW w:w="687" w:type="dxa"/>
                        <w:tcBorders>
                          <w:top w:val="single" w:sz="4" w:space="0" w:color="auto"/>
                          <w:left w:val="single" w:sz="4" w:space="0" w:color="auto"/>
                          <w:bottom w:val="single" w:sz="4" w:space="0" w:color="auto"/>
                          <w:right w:val="single" w:sz="4" w:space="0" w:color="auto"/>
                        </w:tcBorders>
                        <w:shd w:val="clear" w:color="auto" w:fill="F5F9EF" w:themeFill="accent5" w:themeFillTint="33"/>
                        <w:noWrap/>
                        <w:hideMark/>
                      </w:tcPr>
                      <w:p w14:paraId="4A5BC4D6" w14:textId="77777777" w:rsidR="00B837A4" w:rsidRPr="00865A65" w:rsidRDefault="00B837A4">
                        <w:pPr>
                          <w:pStyle w:val="TableText"/>
                          <w:rPr>
                            <w:sz w:val="20"/>
                          </w:rPr>
                        </w:pPr>
                        <w:r w:rsidRPr="00865A65">
                          <w:rPr>
                            <w:sz w:val="20"/>
                          </w:rPr>
                          <w:t>58.4</w:t>
                        </w:r>
                      </w:p>
                    </w:tc>
                    <w:tc>
                      <w:tcPr>
                        <w:tcW w:w="652" w:type="dxa"/>
                        <w:tcBorders>
                          <w:top w:val="single" w:sz="4" w:space="0" w:color="auto"/>
                          <w:left w:val="single" w:sz="4" w:space="0" w:color="auto"/>
                          <w:bottom w:val="single" w:sz="4" w:space="0" w:color="auto"/>
                          <w:right w:val="single" w:sz="4" w:space="0" w:color="auto"/>
                        </w:tcBorders>
                        <w:shd w:val="clear" w:color="auto" w:fill="F5F9EF" w:themeFill="accent5" w:themeFillTint="33"/>
                        <w:noWrap/>
                        <w:hideMark/>
                      </w:tcPr>
                      <w:p w14:paraId="3D9B1025" w14:textId="77777777" w:rsidR="00B837A4" w:rsidRPr="00865A65" w:rsidRDefault="00B837A4">
                        <w:pPr>
                          <w:pStyle w:val="TableText"/>
                          <w:rPr>
                            <w:sz w:val="20"/>
                          </w:rPr>
                        </w:pPr>
                        <w:r w:rsidRPr="00865A65">
                          <w:rPr>
                            <w:sz w:val="20"/>
                          </w:rPr>
                          <w:t>52.5</w:t>
                        </w:r>
                      </w:p>
                    </w:tc>
                    <w:tc>
                      <w:tcPr>
                        <w:tcW w:w="579" w:type="dxa"/>
                        <w:tcBorders>
                          <w:top w:val="single" w:sz="4" w:space="0" w:color="auto"/>
                          <w:left w:val="single" w:sz="4" w:space="0" w:color="auto"/>
                          <w:bottom w:val="single" w:sz="4" w:space="0" w:color="auto"/>
                          <w:right w:val="single" w:sz="4" w:space="0" w:color="auto"/>
                        </w:tcBorders>
                        <w:shd w:val="clear" w:color="auto" w:fill="F5F9EF" w:themeFill="accent5" w:themeFillTint="33"/>
                        <w:noWrap/>
                        <w:hideMark/>
                      </w:tcPr>
                      <w:p w14:paraId="00C74372" w14:textId="77777777" w:rsidR="00B837A4" w:rsidRPr="00865A65" w:rsidRDefault="00B837A4">
                        <w:pPr>
                          <w:pStyle w:val="TableText"/>
                          <w:rPr>
                            <w:sz w:val="20"/>
                          </w:rPr>
                        </w:pPr>
                        <w:r w:rsidRPr="00865A65">
                          <w:rPr>
                            <w:sz w:val="20"/>
                          </w:rPr>
                          <w:t>2.3</w:t>
                        </w:r>
                      </w:p>
                    </w:tc>
                    <w:tc>
                      <w:tcPr>
                        <w:tcW w:w="589" w:type="dxa"/>
                        <w:tcBorders>
                          <w:top w:val="single" w:sz="4" w:space="0" w:color="auto"/>
                          <w:left w:val="single" w:sz="4" w:space="0" w:color="auto"/>
                          <w:bottom w:val="single" w:sz="4" w:space="0" w:color="auto"/>
                          <w:right w:val="single" w:sz="4" w:space="0" w:color="auto"/>
                        </w:tcBorders>
                        <w:shd w:val="clear" w:color="auto" w:fill="F5F9EF" w:themeFill="accent5" w:themeFillTint="33"/>
                        <w:noWrap/>
                        <w:hideMark/>
                      </w:tcPr>
                      <w:p w14:paraId="77732462" w14:textId="77777777" w:rsidR="00B837A4" w:rsidRPr="00865A65" w:rsidRDefault="00B837A4">
                        <w:pPr>
                          <w:pStyle w:val="TableText"/>
                          <w:rPr>
                            <w:sz w:val="20"/>
                          </w:rPr>
                        </w:pPr>
                        <w:r w:rsidRPr="00865A65">
                          <w:rPr>
                            <w:sz w:val="20"/>
                          </w:rPr>
                          <w:t>2</w:t>
                        </w:r>
                      </w:p>
                    </w:tc>
                    <w:tc>
                      <w:tcPr>
                        <w:tcW w:w="739" w:type="dxa"/>
                        <w:tcBorders>
                          <w:top w:val="single" w:sz="4" w:space="0" w:color="auto"/>
                          <w:left w:val="single" w:sz="4" w:space="0" w:color="auto"/>
                          <w:bottom w:val="single" w:sz="4" w:space="0" w:color="auto"/>
                          <w:right w:val="single" w:sz="4" w:space="0" w:color="auto"/>
                        </w:tcBorders>
                        <w:shd w:val="clear" w:color="auto" w:fill="F5F9EF" w:themeFill="accent5" w:themeFillTint="33"/>
                        <w:noWrap/>
                        <w:hideMark/>
                      </w:tcPr>
                      <w:p w14:paraId="1747B7BF" w14:textId="77777777" w:rsidR="00B837A4" w:rsidRPr="00865A65" w:rsidRDefault="00B837A4">
                        <w:pPr>
                          <w:pStyle w:val="TableText"/>
                          <w:rPr>
                            <w:sz w:val="20"/>
                          </w:rPr>
                        </w:pPr>
                        <w:r w:rsidRPr="00865A65">
                          <w:rPr>
                            <w:sz w:val="20"/>
                          </w:rPr>
                          <w:t>(1,31)</w:t>
                        </w:r>
                      </w:p>
                    </w:tc>
                  </w:tr>
                  <w:tr w:rsidR="00B837A4" w:rsidRPr="00865A65" w14:paraId="51BB257F" w14:textId="77777777" w:rsidTr="003371DC">
                    <w:trPr>
                      <w:trHeight w:val="290"/>
                    </w:trPr>
                    <w:tc>
                      <w:tcPr>
                        <w:tcW w:w="2341" w:type="dxa"/>
                        <w:tcBorders>
                          <w:top w:val="single" w:sz="4" w:space="0" w:color="auto"/>
                          <w:left w:val="single" w:sz="4" w:space="0" w:color="auto"/>
                          <w:bottom w:val="single" w:sz="4" w:space="0" w:color="auto"/>
                          <w:right w:val="single" w:sz="4" w:space="0" w:color="auto"/>
                        </w:tcBorders>
                        <w:shd w:val="clear" w:color="auto" w:fill="F5F9EF" w:themeFill="accent5" w:themeFillTint="33"/>
                        <w:noWrap/>
                        <w:hideMark/>
                      </w:tcPr>
                      <w:p w14:paraId="5CE0734D" w14:textId="1C7C9639" w:rsidR="00B837A4" w:rsidRPr="00093F50" w:rsidRDefault="00B837A4">
                        <w:pPr>
                          <w:pStyle w:val="TableText"/>
                          <w:rPr>
                            <w:sz w:val="20"/>
                          </w:rPr>
                        </w:pPr>
                        <w:r w:rsidRPr="00093F50">
                          <w:rPr>
                            <w:sz w:val="20"/>
                          </w:rPr>
                          <w:t xml:space="preserve">Goals </w:t>
                        </w:r>
                        <w:r w:rsidR="009A5064" w:rsidRPr="00093F50">
                          <w:rPr>
                            <w:sz w:val="20"/>
                          </w:rPr>
                          <w:t>–</w:t>
                        </w:r>
                        <w:r w:rsidRPr="00093F50">
                          <w:rPr>
                            <w:sz w:val="20"/>
                          </w:rPr>
                          <w:t xml:space="preserve"> </w:t>
                        </w:r>
                        <w:r w:rsidR="009A5064" w:rsidRPr="00093F50">
                          <w:rPr>
                            <w:sz w:val="20"/>
                          </w:rPr>
                          <w:t xml:space="preserve">Changed skills </w:t>
                        </w:r>
                      </w:p>
                    </w:tc>
                    <w:tc>
                      <w:tcPr>
                        <w:tcW w:w="859" w:type="dxa"/>
                        <w:tcBorders>
                          <w:top w:val="single" w:sz="4" w:space="0" w:color="auto"/>
                          <w:left w:val="single" w:sz="4" w:space="0" w:color="auto"/>
                          <w:bottom w:val="single" w:sz="4" w:space="0" w:color="auto"/>
                          <w:right w:val="single" w:sz="4" w:space="0" w:color="auto"/>
                        </w:tcBorders>
                        <w:shd w:val="clear" w:color="auto" w:fill="F5F9EF" w:themeFill="accent5" w:themeFillTint="33"/>
                        <w:noWrap/>
                        <w:hideMark/>
                      </w:tcPr>
                      <w:p w14:paraId="29B44124" w14:textId="77777777" w:rsidR="00B837A4" w:rsidRPr="00865A65" w:rsidRDefault="00B837A4">
                        <w:pPr>
                          <w:pStyle w:val="TableText"/>
                          <w:rPr>
                            <w:sz w:val="20"/>
                          </w:rPr>
                        </w:pPr>
                        <w:r w:rsidRPr="00865A65">
                          <w:rPr>
                            <w:sz w:val="20"/>
                          </w:rPr>
                          <w:t>70.7</w:t>
                        </w:r>
                      </w:p>
                    </w:tc>
                    <w:tc>
                      <w:tcPr>
                        <w:tcW w:w="619" w:type="dxa"/>
                        <w:tcBorders>
                          <w:top w:val="single" w:sz="4" w:space="0" w:color="auto"/>
                          <w:left w:val="single" w:sz="4" w:space="0" w:color="auto"/>
                          <w:bottom w:val="single" w:sz="4" w:space="0" w:color="auto"/>
                          <w:right w:val="single" w:sz="4" w:space="0" w:color="auto"/>
                        </w:tcBorders>
                        <w:shd w:val="clear" w:color="auto" w:fill="F5F9EF" w:themeFill="accent5" w:themeFillTint="33"/>
                        <w:noWrap/>
                        <w:hideMark/>
                      </w:tcPr>
                      <w:p w14:paraId="0333D8B3" w14:textId="77777777" w:rsidR="00B837A4" w:rsidRPr="00865A65" w:rsidRDefault="00B837A4">
                        <w:pPr>
                          <w:pStyle w:val="TableText"/>
                          <w:rPr>
                            <w:sz w:val="20"/>
                          </w:rPr>
                        </w:pPr>
                        <w:r w:rsidRPr="00865A65">
                          <w:rPr>
                            <w:sz w:val="20"/>
                          </w:rPr>
                          <w:t>69.2</w:t>
                        </w:r>
                      </w:p>
                    </w:tc>
                    <w:tc>
                      <w:tcPr>
                        <w:tcW w:w="579" w:type="dxa"/>
                        <w:tcBorders>
                          <w:top w:val="single" w:sz="4" w:space="0" w:color="auto"/>
                          <w:left w:val="single" w:sz="4" w:space="0" w:color="auto"/>
                          <w:bottom w:val="single" w:sz="4" w:space="0" w:color="auto"/>
                          <w:right w:val="single" w:sz="4" w:space="0" w:color="auto"/>
                        </w:tcBorders>
                        <w:shd w:val="clear" w:color="auto" w:fill="F5F9EF" w:themeFill="accent5" w:themeFillTint="33"/>
                        <w:noWrap/>
                        <w:hideMark/>
                      </w:tcPr>
                      <w:p w14:paraId="770CFD9A" w14:textId="77777777" w:rsidR="00B837A4" w:rsidRPr="00865A65" w:rsidRDefault="00B837A4">
                        <w:pPr>
                          <w:pStyle w:val="TableText"/>
                          <w:rPr>
                            <w:sz w:val="20"/>
                          </w:rPr>
                        </w:pPr>
                        <w:r w:rsidRPr="00865A65">
                          <w:rPr>
                            <w:sz w:val="20"/>
                          </w:rPr>
                          <w:t>2.3</w:t>
                        </w:r>
                      </w:p>
                    </w:tc>
                    <w:tc>
                      <w:tcPr>
                        <w:tcW w:w="579" w:type="dxa"/>
                        <w:tcBorders>
                          <w:top w:val="single" w:sz="4" w:space="0" w:color="auto"/>
                          <w:left w:val="single" w:sz="4" w:space="0" w:color="auto"/>
                          <w:bottom w:val="single" w:sz="4" w:space="0" w:color="auto"/>
                          <w:right w:val="single" w:sz="4" w:space="0" w:color="auto"/>
                        </w:tcBorders>
                        <w:shd w:val="clear" w:color="auto" w:fill="F5F9EF" w:themeFill="accent5" w:themeFillTint="33"/>
                        <w:noWrap/>
                        <w:hideMark/>
                      </w:tcPr>
                      <w:p w14:paraId="4869EE17" w14:textId="77777777" w:rsidR="00B837A4" w:rsidRPr="00865A65" w:rsidRDefault="00B837A4">
                        <w:pPr>
                          <w:pStyle w:val="TableText"/>
                          <w:rPr>
                            <w:sz w:val="20"/>
                          </w:rPr>
                        </w:pPr>
                        <w:r w:rsidRPr="00865A65">
                          <w:rPr>
                            <w:sz w:val="20"/>
                          </w:rPr>
                          <w:t>2</w:t>
                        </w:r>
                      </w:p>
                    </w:tc>
                    <w:tc>
                      <w:tcPr>
                        <w:tcW w:w="778" w:type="dxa"/>
                        <w:tcBorders>
                          <w:top w:val="single" w:sz="4" w:space="0" w:color="auto"/>
                          <w:left w:val="single" w:sz="4" w:space="0" w:color="auto"/>
                          <w:bottom w:val="single" w:sz="4" w:space="0" w:color="auto"/>
                          <w:right w:val="single" w:sz="4" w:space="0" w:color="auto"/>
                        </w:tcBorders>
                        <w:shd w:val="clear" w:color="auto" w:fill="F5F9EF" w:themeFill="accent5" w:themeFillTint="33"/>
                        <w:noWrap/>
                        <w:hideMark/>
                      </w:tcPr>
                      <w:p w14:paraId="22DFBD8D" w14:textId="77777777" w:rsidR="00B837A4" w:rsidRPr="00865A65" w:rsidRDefault="00B837A4">
                        <w:pPr>
                          <w:pStyle w:val="TableText"/>
                          <w:rPr>
                            <w:sz w:val="20"/>
                          </w:rPr>
                        </w:pPr>
                        <w:r w:rsidRPr="00865A65">
                          <w:rPr>
                            <w:sz w:val="20"/>
                          </w:rPr>
                          <w:t>(1,76)</w:t>
                        </w:r>
                      </w:p>
                    </w:tc>
                    <w:tc>
                      <w:tcPr>
                        <w:tcW w:w="687" w:type="dxa"/>
                        <w:tcBorders>
                          <w:top w:val="single" w:sz="4" w:space="0" w:color="auto"/>
                          <w:left w:val="single" w:sz="4" w:space="0" w:color="auto"/>
                          <w:bottom w:val="single" w:sz="4" w:space="0" w:color="auto"/>
                          <w:right w:val="single" w:sz="4" w:space="0" w:color="auto"/>
                        </w:tcBorders>
                        <w:shd w:val="clear" w:color="auto" w:fill="F5F9EF" w:themeFill="accent5" w:themeFillTint="33"/>
                        <w:noWrap/>
                        <w:hideMark/>
                      </w:tcPr>
                      <w:p w14:paraId="7C7791DA" w14:textId="77777777" w:rsidR="00B837A4" w:rsidRPr="00865A65" w:rsidRDefault="00B837A4">
                        <w:pPr>
                          <w:pStyle w:val="TableText"/>
                          <w:rPr>
                            <w:sz w:val="20"/>
                          </w:rPr>
                        </w:pPr>
                        <w:r w:rsidRPr="00865A65">
                          <w:rPr>
                            <w:sz w:val="20"/>
                          </w:rPr>
                          <w:t>51.7</w:t>
                        </w:r>
                      </w:p>
                    </w:tc>
                    <w:tc>
                      <w:tcPr>
                        <w:tcW w:w="652" w:type="dxa"/>
                        <w:tcBorders>
                          <w:top w:val="single" w:sz="4" w:space="0" w:color="auto"/>
                          <w:left w:val="single" w:sz="4" w:space="0" w:color="auto"/>
                          <w:bottom w:val="single" w:sz="4" w:space="0" w:color="auto"/>
                          <w:right w:val="single" w:sz="4" w:space="0" w:color="auto"/>
                        </w:tcBorders>
                        <w:shd w:val="clear" w:color="auto" w:fill="F5F9EF" w:themeFill="accent5" w:themeFillTint="33"/>
                        <w:noWrap/>
                        <w:hideMark/>
                      </w:tcPr>
                      <w:p w14:paraId="12234AEA" w14:textId="77777777" w:rsidR="00B837A4" w:rsidRPr="00865A65" w:rsidRDefault="00B837A4">
                        <w:pPr>
                          <w:pStyle w:val="TableText"/>
                          <w:rPr>
                            <w:sz w:val="20"/>
                          </w:rPr>
                        </w:pPr>
                        <w:r w:rsidRPr="00865A65">
                          <w:rPr>
                            <w:sz w:val="20"/>
                          </w:rPr>
                          <w:t>46.7</w:t>
                        </w:r>
                      </w:p>
                    </w:tc>
                    <w:tc>
                      <w:tcPr>
                        <w:tcW w:w="579" w:type="dxa"/>
                        <w:tcBorders>
                          <w:top w:val="single" w:sz="4" w:space="0" w:color="auto"/>
                          <w:left w:val="single" w:sz="4" w:space="0" w:color="auto"/>
                          <w:bottom w:val="single" w:sz="4" w:space="0" w:color="auto"/>
                          <w:right w:val="single" w:sz="4" w:space="0" w:color="auto"/>
                        </w:tcBorders>
                        <w:shd w:val="clear" w:color="auto" w:fill="F5F9EF" w:themeFill="accent5" w:themeFillTint="33"/>
                        <w:noWrap/>
                        <w:hideMark/>
                      </w:tcPr>
                      <w:p w14:paraId="6EFDAA14" w14:textId="77777777" w:rsidR="00B837A4" w:rsidRPr="00865A65" w:rsidRDefault="00B837A4">
                        <w:pPr>
                          <w:pStyle w:val="TableText"/>
                          <w:rPr>
                            <w:sz w:val="20"/>
                          </w:rPr>
                        </w:pPr>
                        <w:r w:rsidRPr="00865A65">
                          <w:rPr>
                            <w:sz w:val="20"/>
                          </w:rPr>
                          <w:t>2.4</w:t>
                        </w:r>
                      </w:p>
                    </w:tc>
                    <w:tc>
                      <w:tcPr>
                        <w:tcW w:w="589" w:type="dxa"/>
                        <w:tcBorders>
                          <w:top w:val="single" w:sz="4" w:space="0" w:color="auto"/>
                          <w:left w:val="single" w:sz="4" w:space="0" w:color="auto"/>
                          <w:bottom w:val="single" w:sz="4" w:space="0" w:color="auto"/>
                          <w:right w:val="single" w:sz="4" w:space="0" w:color="auto"/>
                        </w:tcBorders>
                        <w:shd w:val="clear" w:color="auto" w:fill="F5F9EF" w:themeFill="accent5" w:themeFillTint="33"/>
                        <w:noWrap/>
                        <w:hideMark/>
                      </w:tcPr>
                      <w:p w14:paraId="1472AE84" w14:textId="77777777" w:rsidR="00B837A4" w:rsidRPr="00865A65" w:rsidRDefault="00B837A4">
                        <w:pPr>
                          <w:pStyle w:val="TableText"/>
                          <w:rPr>
                            <w:sz w:val="20"/>
                          </w:rPr>
                        </w:pPr>
                        <w:r w:rsidRPr="00865A65">
                          <w:rPr>
                            <w:sz w:val="20"/>
                          </w:rPr>
                          <w:t>2</w:t>
                        </w:r>
                      </w:p>
                    </w:tc>
                    <w:tc>
                      <w:tcPr>
                        <w:tcW w:w="739" w:type="dxa"/>
                        <w:tcBorders>
                          <w:top w:val="single" w:sz="4" w:space="0" w:color="auto"/>
                          <w:left w:val="single" w:sz="4" w:space="0" w:color="auto"/>
                          <w:bottom w:val="single" w:sz="4" w:space="0" w:color="auto"/>
                          <w:right w:val="single" w:sz="4" w:space="0" w:color="auto"/>
                        </w:tcBorders>
                        <w:shd w:val="clear" w:color="auto" w:fill="F5F9EF" w:themeFill="accent5" w:themeFillTint="33"/>
                        <w:noWrap/>
                        <w:hideMark/>
                      </w:tcPr>
                      <w:p w14:paraId="0E9DAB23" w14:textId="77777777" w:rsidR="00B837A4" w:rsidRPr="00865A65" w:rsidRDefault="00B837A4">
                        <w:pPr>
                          <w:pStyle w:val="TableText"/>
                          <w:rPr>
                            <w:sz w:val="20"/>
                          </w:rPr>
                        </w:pPr>
                        <w:r w:rsidRPr="00865A65">
                          <w:rPr>
                            <w:sz w:val="20"/>
                          </w:rPr>
                          <w:t>(1,31)</w:t>
                        </w:r>
                      </w:p>
                    </w:tc>
                  </w:tr>
                  <w:tr w:rsidR="00B837A4" w:rsidRPr="00865A65" w14:paraId="19DBE78B" w14:textId="77777777" w:rsidTr="003371DC">
                    <w:trPr>
                      <w:trHeight w:val="290"/>
                    </w:trPr>
                    <w:tc>
                      <w:tcPr>
                        <w:tcW w:w="2341" w:type="dxa"/>
                        <w:tcBorders>
                          <w:top w:val="single" w:sz="4" w:space="0" w:color="auto"/>
                          <w:left w:val="single" w:sz="4" w:space="0" w:color="auto"/>
                          <w:bottom w:val="single" w:sz="4" w:space="0" w:color="auto"/>
                          <w:right w:val="single" w:sz="4" w:space="0" w:color="auto"/>
                        </w:tcBorders>
                        <w:shd w:val="clear" w:color="auto" w:fill="E5F3DE" w:themeFill="accent6" w:themeFillTint="33"/>
                        <w:noWrap/>
                        <w:hideMark/>
                      </w:tcPr>
                      <w:p w14:paraId="139A536E" w14:textId="3D9995A1" w:rsidR="00B837A4" w:rsidRPr="00093F50" w:rsidRDefault="00B837A4">
                        <w:pPr>
                          <w:pStyle w:val="TableText"/>
                          <w:rPr>
                            <w:sz w:val="20"/>
                          </w:rPr>
                        </w:pPr>
                        <w:r w:rsidRPr="00093F50">
                          <w:rPr>
                            <w:sz w:val="20"/>
                          </w:rPr>
                          <w:t xml:space="preserve">Satisfaction </w:t>
                        </w:r>
                        <w:r w:rsidR="00166E2B" w:rsidRPr="00093F50">
                          <w:rPr>
                            <w:sz w:val="20"/>
                          </w:rPr>
                          <w:t>–</w:t>
                        </w:r>
                        <w:r w:rsidR="00620020" w:rsidRPr="00093F50">
                          <w:rPr>
                            <w:sz w:val="20"/>
                          </w:rPr>
                          <w:t xml:space="preserve"> </w:t>
                        </w:r>
                        <w:r w:rsidR="009A5064" w:rsidRPr="00093F50">
                          <w:rPr>
                            <w:sz w:val="20"/>
                          </w:rPr>
                          <w:t xml:space="preserve">The service listened to </w:t>
                        </w:r>
                        <w:r w:rsidR="00505728" w:rsidRPr="00093F50">
                          <w:rPr>
                            <w:sz w:val="20"/>
                          </w:rPr>
                          <w:t>me</w:t>
                        </w:r>
                        <w:r w:rsidR="009A5064" w:rsidRPr="00093F50">
                          <w:rPr>
                            <w:sz w:val="20"/>
                          </w:rPr>
                          <w:t xml:space="preserve"> and understood</w:t>
                        </w:r>
                        <w:r w:rsidR="00584E55" w:rsidRPr="00093F50">
                          <w:rPr>
                            <w:sz w:val="20"/>
                          </w:rPr>
                          <w:t xml:space="preserve"> my issues</w:t>
                        </w:r>
                        <w:r w:rsidR="009A5064" w:rsidRPr="00093F50">
                          <w:rPr>
                            <w:sz w:val="20"/>
                          </w:rPr>
                          <w:t xml:space="preserve"> </w:t>
                        </w:r>
                      </w:p>
                    </w:tc>
                    <w:tc>
                      <w:tcPr>
                        <w:tcW w:w="859" w:type="dxa"/>
                        <w:tcBorders>
                          <w:top w:val="single" w:sz="4" w:space="0" w:color="auto"/>
                          <w:left w:val="single" w:sz="4" w:space="0" w:color="auto"/>
                          <w:bottom w:val="single" w:sz="4" w:space="0" w:color="auto"/>
                          <w:right w:val="single" w:sz="4" w:space="0" w:color="auto"/>
                        </w:tcBorders>
                        <w:shd w:val="clear" w:color="auto" w:fill="E5F3DE" w:themeFill="accent6" w:themeFillTint="33"/>
                        <w:noWrap/>
                        <w:hideMark/>
                      </w:tcPr>
                      <w:p w14:paraId="227F51B8" w14:textId="77777777" w:rsidR="00B837A4" w:rsidRPr="00865A65" w:rsidRDefault="00B837A4">
                        <w:pPr>
                          <w:pStyle w:val="TableText"/>
                          <w:rPr>
                            <w:sz w:val="20"/>
                          </w:rPr>
                        </w:pPr>
                        <w:r w:rsidRPr="00865A65">
                          <w:rPr>
                            <w:sz w:val="20"/>
                          </w:rPr>
                          <w:t>46.6</w:t>
                        </w:r>
                      </w:p>
                    </w:tc>
                    <w:tc>
                      <w:tcPr>
                        <w:tcW w:w="619" w:type="dxa"/>
                        <w:tcBorders>
                          <w:top w:val="single" w:sz="4" w:space="0" w:color="auto"/>
                          <w:left w:val="single" w:sz="4" w:space="0" w:color="auto"/>
                          <w:bottom w:val="single" w:sz="4" w:space="0" w:color="auto"/>
                          <w:right w:val="single" w:sz="4" w:space="0" w:color="auto"/>
                        </w:tcBorders>
                        <w:shd w:val="clear" w:color="auto" w:fill="E5F3DE" w:themeFill="accent6" w:themeFillTint="33"/>
                        <w:noWrap/>
                        <w:hideMark/>
                      </w:tcPr>
                      <w:p w14:paraId="096EC083" w14:textId="77777777" w:rsidR="00B837A4" w:rsidRPr="00865A65" w:rsidRDefault="00B837A4">
                        <w:pPr>
                          <w:pStyle w:val="TableText"/>
                          <w:rPr>
                            <w:sz w:val="20"/>
                          </w:rPr>
                        </w:pPr>
                        <w:r w:rsidRPr="00865A65">
                          <w:rPr>
                            <w:sz w:val="20"/>
                          </w:rPr>
                          <w:t>34.0</w:t>
                        </w:r>
                      </w:p>
                    </w:tc>
                    <w:tc>
                      <w:tcPr>
                        <w:tcW w:w="579" w:type="dxa"/>
                        <w:tcBorders>
                          <w:top w:val="single" w:sz="4" w:space="0" w:color="auto"/>
                          <w:left w:val="single" w:sz="4" w:space="0" w:color="auto"/>
                          <w:bottom w:val="single" w:sz="4" w:space="0" w:color="auto"/>
                          <w:right w:val="single" w:sz="4" w:space="0" w:color="auto"/>
                        </w:tcBorders>
                        <w:shd w:val="clear" w:color="auto" w:fill="E5F3DE" w:themeFill="accent6" w:themeFillTint="33"/>
                        <w:noWrap/>
                        <w:hideMark/>
                      </w:tcPr>
                      <w:p w14:paraId="78DC0BB2" w14:textId="77777777" w:rsidR="00B837A4" w:rsidRPr="00865A65" w:rsidRDefault="00B837A4">
                        <w:pPr>
                          <w:pStyle w:val="TableText"/>
                          <w:rPr>
                            <w:sz w:val="20"/>
                          </w:rPr>
                        </w:pPr>
                        <w:r w:rsidRPr="00865A65">
                          <w:rPr>
                            <w:sz w:val="20"/>
                          </w:rPr>
                          <w:t>1.7</w:t>
                        </w:r>
                      </w:p>
                    </w:tc>
                    <w:tc>
                      <w:tcPr>
                        <w:tcW w:w="579" w:type="dxa"/>
                        <w:tcBorders>
                          <w:top w:val="single" w:sz="4" w:space="0" w:color="auto"/>
                          <w:left w:val="single" w:sz="4" w:space="0" w:color="auto"/>
                          <w:bottom w:val="single" w:sz="4" w:space="0" w:color="auto"/>
                          <w:right w:val="single" w:sz="4" w:space="0" w:color="auto"/>
                        </w:tcBorders>
                        <w:shd w:val="clear" w:color="auto" w:fill="E5F3DE" w:themeFill="accent6" w:themeFillTint="33"/>
                        <w:noWrap/>
                        <w:hideMark/>
                      </w:tcPr>
                      <w:p w14:paraId="2CB9AF04" w14:textId="77777777" w:rsidR="00B837A4" w:rsidRPr="00865A65" w:rsidRDefault="00B837A4">
                        <w:pPr>
                          <w:pStyle w:val="TableText"/>
                          <w:rPr>
                            <w:sz w:val="20"/>
                          </w:rPr>
                        </w:pPr>
                        <w:r w:rsidRPr="00865A65">
                          <w:rPr>
                            <w:sz w:val="20"/>
                          </w:rPr>
                          <w:t>1</w:t>
                        </w:r>
                      </w:p>
                    </w:tc>
                    <w:tc>
                      <w:tcPr>
                        <w:tcW w:w="778" w:type="dxa"/>
                        <w:tcBorders>
                          <w:top w:val="single" w:sz="4" w:space="0" w:color="auto"/>
                          <w:left w:val="single" w:sz="4" w:space="0" w:color="auto"/>
                          <w:bottom w:val="single" w:sz="4" w:space="0" w:color="auto"/>
                          <w:right w:val="single" w:sz="4" w:space="0" w:color="auto"/>
                        </w:tcBorders>
                        <w:shd w:val="clear" w:color="auto" w:fill="E5F3DE" w:themeFill="accent6" w:themeFillTint="33"/>
                        <w:noWrap/>
                        <w:hideMark/>
                      </w:tcPr>
                      <w:p w14:paraId="6A7BEFF6" w14:textId="77777777" w:rsidR="00B837A4" w:rsidRPr="00865A65" w:rsidRDefault="00B837A4">
                        <w:pPr>
                          <w:pStyle w:val="TableText"/>
                          <w:rPr>
                            <w:sz w:val="20"/>
                          </w:rPr>
                        </w:pPr>
                        <w:r w:rsidRPr="00865A65">
                          <w:rPr>
                            <w:sz w:val="20"/>
                          </w:rPr>
                          <w:t>(1,75)</w:t>
                        </w:r>
                      </w:p>
                    </w:tc>
                    <w:tc>
                      <w:tcPr>
                        <w:tcW w:w="687" w:type="dxa"/>
                        <w:tcBorders>
                          <w:top w:val="single" w:sz="4" w:space="0" w:color="auto"/>
                          <w:left w:val="single" w:sz="4" w:space="0" w:color="auto"/>
                          <w:bottom w:val="single" w:sz="4" w:space="0" w:color="auto"/>
                          <w:right w:val="single" w:sz="4" w:space="0" w:color="auto"/>
                        </w:tcBorders>
                        <w:shd w:val="clear" w:color="auto" w:fill="E5F3DE" w:themeFill="accent6" w:themeFillTint="33"/>
                        <w:noWrap/>
                        <w:hideMark/>
                      </w:tcPr>
                      <w:p w14:paraId="2FB1A375" w14:textId="77777777" w:rsidR="00B837A4" w:rsidRPr="00865A65" w:rsidRDefault="00B837A4">
                        <w:pPr>
                          <w:pStyle w:val="TableText"/>
                          <w:rPr>
                            <w:sz w:val="20"/>
                          </w:rPr>
                        </w:pPr>
                        <w:r w:rsidRPr="00865A65">
                          <w:rPr>
                            <w:sz w:val="20"/>
                          </w:rPr>
                          <w:t>45.1</w:t>
                        </w:r>
                      </w:p>
                    </w:tc>
                    <w:tc>
                      <w:tcPr>
                        <w:tcW w:w="652" w:type="dxa"/>
                        <w:tcBorders>
                          <w:top w:val="single" w:sz="4" w:space="0" w:color="auto"/>
                          <w:left w:val="single" w:sz="4" w:space="0" w:color="auto"/>
                          <w:bottom w:val="single" w:sz="4" w:space="0" w:color="auto"/>
                          <w:right w:val="single" w:sz="4" w:space="0" w:color="auto"/>
                        </w:tcBorders>
                        <w:shd w:val="clear" w:color="auto" w:fill="E5F3DE" w:themeFill="accent6" w:themeFillTint="33"/>
                        <w:noWrap/>
                        <w:hideMark/>
                      </w:tcPr>
                      <w:p w14:paraId="4CD89958" w14:textId="77777777" w:rsidR="00B837A4" w:rsidRPr="00865A65" w:rsidRDefault="00B837A4">
                        <w:pPr>
                          <w:pStyle w:val="TableText"/>
                          <w:rPr>
                            <w:sz w:val="20"/>
                          </w:rPr>
                        </w:pPr>
                        <w:r w:rsidRPr="00865A65">
                          <w:rPr>
                            <w:sz w:val="20"/>
                          </w:rPr>
                          <w:t>33.5</w:t>
                        </w:r>
                      </w:p>
                    </w:tc>
                    <w:tc>
                      <w:tcPr>
                        <w:tcW w:w="579" w:type="dxa"/>
                        <w:tcBorders>
                          <w:top w:val="single" w:sz="4" w:space="0" w:color="auto"/>
                          <w:left w:val="single" w:sz="4" w:space="0" w:color="auto"/>
                          <w:bottom w:val="single" w:sz="4" w:space="0" w:color="auto"/>
                          <w:right w:val="single" w:sz="4" w:space="0" w:color="auto"/>
                        </w:tcBorders>
                        <w:shd w:val="clear" w:color="auto" w:fill="E5F3DE" w:themeFill="accent6" w:themeFillTint="33"/>
                        <w:noWrap/>
                        <w:hideMark/>
                      </w:tcPr>
                      <w:p w14:paraId="2C7F96A4" w14:textId="77777777" w:rsidR="00B837A4" w:rsidRPr="00865A65" w:rsidRDefault="00B837A4">
                        <w:pPr>
                          <w:pStyle w:val="TableText"/>
                          <w:rPr>
                            <w:sz w:val="20"/>
                          </w:rPr>
                        </w:pPr>
                        <w:r w:rsidRPr="00865A65">
                          <w:rPr>
                            <w:sz w:val="20"/>
                          </w:rPr>
                          <w:t>1.9</w:t>
                        </w:r>
                      </w:p>
                    </w:tc>
                    <w:tc>
                      <w:tcPr>
                        <w:tcW w:w="589" w:type="dxa"/>
                        <w:tcBorders>
                          <w:top w:val="single" w:sz="4" w:space="0" w:color="auto"/>
                          <w:left w:val="single" w:sz="4" w:space="0" w:color="auto"/>
                          <w:bottom w:val="single" w:sz="4" w:space="0" w:color="auto"/>
                          <w:right w:val="single" w:sz="4" w:space="0" w:color="auto"/>
                        </w:tcBorders>
                        <w:shd w:val="clear" w:color="auto" w:fill="E5F3DE" w:themeFill="accent6" w:themeFillTint="33"/>
                        <w:noWrap/>
                        <w:hideMark/>
                      </w:tcPr>
                      <w:p w14:paraId="35C2EAF8" w14:textId="77777777" w:rsidR="00B837A4" w:rsidRPr="00865A65" w:rsidRDefault="00B837A4">
                        <w:pPr>
                          <w:pStyle w:val="TableText"/>
                          <w:rPr>
                            <w:sz w:val="20"/>
                          </w:rPr>
                        </w:pPr>
                        <w:r w:rsidRPr="00865A65">
                          <w:rPr>
                            <w:sz w:val="20"/>
                          </w:rPr>
                          <w:t>1</w:t>
                        </w:r>
                      </w:p>
                    </w:tc>
                    <w:tc>
                      <w:tcPr>
                        <w:tcW w:w="739" w:type="dxa"/>
                        <w:tcBorders>
                          <w:top w:val="single" w:sz="4" w:space="0" w:color="auto"/>
                          <w:left w:val="single" w:sz="4" w:space="0" w:color="auto"/>
                          <w:bottom w:val="single" w:sz="4" w:space="0" w:color="auto"/>
                          <w:right w:val="single" w:sz="4" w:space="0" w:color="auto"/>
                        </w:tcBorders>
                        <w:shd w:val="clear" w:color="auto" w:fill="E5F3DE" w:themeFill="accent6" w:themeFillTint="33"/>
                        <w:noWrap/>
                        <w:hideMark/>
                      </w:tcPr>
                      <w:p w14:paraId="11BCFA52" w14:textId="77777777" w:rsidR="00B837A4" w:rsidRPr="00865A65" w:rsidRDefault="00B837A4">
                        <w:pPr>
                          <w:pStyle w:val="TableText"/>
                          <w:rPr>
                            <w:sz w:val="20"/>
                          </w:rPr>
                        </w:pPr>
                        <w:r w:rsidRPr="00865A65">
                          <w:rPr>
                            <w:sz w:val="20"/>
                          </w:rPr>
                          <w:t>(1,38)</w:t>
                        </w:r>
                      </w:p>
                    </w:tc>
                  </w:tr>
                  <w:tr w:rsidR="00B837A4" w:rsidRPr="00865A65" w14:paraId="358195AC" w14:textId="77777777" w:rsidTr="003371DC">
                    <w:trPr>
                      <w:trHeight w:val="290"/>
                    </w:trPr>
                    <w:tc>
                      <w:tcPr>
                        <w:tcW w:w="2341" w:type="dxa"/>
                        <w:tcBorders>
                          <w:top w:val="single" w:sz="4" w:space="0" w:color="auto"/>
                          <w:left w:val="single" w:sz="4" w:space="0" w:color="auto"/>
                          <w:bottom w:val="single" w:sz="4" w:space="0" w:color="auto"/>
                          <w:right w:val="single" w:sz="4" w:space="0" w:color="auto"/>
                        </w:tcBorders>
                        <w:shd w:val="clear" w:color="auto" w:fill="E5F3DE" w:themeFill="accent6" w:themeFillTint="33"/>
                        <w:noWrap/>
                        <w:hideMark/>
                      </w:tcPr>
                      <w:p w14:paraId="244E8B7A" w14:textId="38065C51" w:rsidR="00B837A4" w:rsidRPr="00093F50" w:rsidRDefault="00B837A4">
                        <w:pPr>
                          <w:pStyle w:val="TableText"/>
                          <w:rPr>
                            <w:sz w:val="20"/>
                          </w:rPr>
                        </w:pPr>
                        <w:r w:rsidRPr="00093F50">
                          <w:rPr>
                            <w:sz w:val="20"/>
                          </w:rPr>
                          <w:t xml:space="preserve">Satisfaction </w:t>
                        </w:r>
                        <w:r w:rsidR="00166E2B" w:rsidRPr="00093F50">
                          <w:rPr>
                            <w:sz w:val="20"/>
                          </w:rPr>
                          <w:t>–</w:t>
                        </w:r>
                        <w:r w:rsidR="00620020" w:rsidRPr="00093F50">
                          <w:rPr>
                            <w:sz w:val="20"/>
                          </w:rPr>
                          <w:t xml:space="preserve"> </w:t>
                        </w:r>
                        <w:r w:rsidR="009A5064" w:rsidRPr="00093F50">
                          <w:rPr>
                            <w:sz w:val="20"/>
                          </w:rPr>
                          <w:t>I am satisfied with the services I have received</w:t>
                        </w:r>
                      </w:p>
                    </w:tc>
                    <w:tc>
                      <w:tcPr>
                        <w:tcW w:w="859" w:type="dxa"/>
                        <w:tcBorders>
                          <w:top w:val="single" w:sz="4" w:space="0" w:color="auto"/>
                          <w:left w:val="single" w:sz="4" w:space="0" w:color="auto"/>
                          <w:bottom w:val="single" w:sz="4" w:space="0" w:color="auto"/>
                          <w:right w:val="single" w:sz="4" w:space="0" w:color="auto"/>
                        </w:tcBorders>
                        <w:shd w:val="clear" w:color="auto" w:fill="E5F3DE" w:themeFill="accent6" w:themeFillTint="33"/>
                        <w:noWrap/>
                        <w:hideMark/>
                      </w:tcPr>
                      <w:p w14:paraId="744981D6" w14:textId="77777777" w:rsidR="00B837A4" w:rsidRPr="00865A65" w:rsidRDefault="00B837A4">
                        <w:pPr>
                          <w:pStyle w:val="TableText"/>
                          <w:rPr>
                            <w:sz w:val="20"/>
                          </w:rPr>
                        </w:pPr>
                        <w:r w:rsidRPr="00865A65">
                          <w:rPr>
                            <w:sz w:val="20"/>
                          </w:rPr>
                          <w:t>45.7</w:t>
                        </w:r>
                      </w:p>
                    </w:tc>
                    <w:tc>
                      <w:tcPr>
                        <w:tcW w:w="619" w:type="dxa"/>
                        <w:tcBorders>
                          <w:top w:val="single" w:sz="4" w:space="0" w:color="auto"/>
                          <w:left w:val="single" w:sz="4" w:space="0" w:color="auto"/>
                          <w:bottom w:val="single" w:sz="4" w:space="0" w:color="auto"/>
                          <w:right w:val="single" w:sz="4" w:space="0" w:color="auto"/>
                        </w:tcBorders>
                        <w:shd w:val="clear" w:color="auto" w:fill="E5F3DE" w:themeFill="accent6" w:themeFillTint="33"/>
                        <w:noWrap/>
                        <w:hideMark/>
                      </w:tcPr>
                      <w:p w14:paraId="4306E9A0" w14:textId="77777777" w:rsidR="00B837A4" w:rsidRPr="00865A65" w:rsidRDefault="00B837A4">
                        <w:pPr>
                          <w:pStyle w:val="TableText"/>
                          <w:rPr>
                            <w:sz w:val="20"/>
                          </w:rPr>
                        </w:pPr>
                        <w:r w:rsidRPr="00865A65">
                          <w:rPr>
                            <w:sz w:val="20"/>
                          </w:rPr>
                          <w:t>33.3</w:t>
                        </w:r>
                      </w:p>
                    </w:tc>
                    <w:tc>
                      <w:tcPr>
                        <w:tcW w:w="579" w:type="dxa"/>
                        <w:tcBorders>
                          <w:top w:val="single" w:sz="4" w:space="0" w:color="auto"/>
                          <w:left w:val="single" w:sz="4" w:space="0" w:color="auto"/>
                          <w:bottom w:val="single" w:sz="4" w:space="0" w:color="auto"/>
                          <w:right w:val="single" w:sz="4" w:space="0" w:color="auto"/>
                        </w:tcBorders>
                        <w:shd w:val="clear" w:color="auto" w:fill="E5F3DE" w:themeFill="accent6" w:themeFillTint="33"/>
                        <w:noWrap/>
                        <w:hideMark/>
                      </w:tcPr>
                      <w:p w14:paraId="7B3D74C4" w14:textId="77777777" w:rsidR="00B837A4" w:rsidRPr="00865A65" w:rsidRDefault="00B837A4">
                        <w:pPr>
                          <w:pStyle w:val="TableText"/>
                          <w:rPr>
                            <w:sz w:val="20"/>
                          </w:rPr>
                        </w:pPr>
                        <w:r w:rsidRPr="00865A65">
                          <w:rPr>
                            <w:sz w:val="20"/>
                          </w:rPr>
                          <w:t>1.7</w:t>
                        </w:r>
                      </w:p>
                    </w:tc>
                    <w:tc>
                      <w:tcPr>
                        <w:tcW w:w="579" w:type="dxa"/>
                        <w:tcBorders>
                          <w:top w:val="single" w:sz="4" w:space="0" w:color="auto"/>
                          <w:left w:val="single" w:sz="4" w:space="0" w:color="auto"/>
                          <w:bottom w:val="single" w:sz="4" w:space="0" w:color="auto"/>
                          <w:right w:val="single" w:sz="4" w:space="0" w:color="auto"/>
                        </w:tcBorders>
                        <w:shd w:val="clear" w:color="auto" w:fill="E5F3DE" w:themeFill="accent6" w:themeFillTint="33"/>
                        <w:noWrap/>
                        <w:hideMark/>
                      </w:tcPr>
                      <w:p w14:paraId="7FB574A4" w14:textId="77777777" w:rsidR="00B837A4" w:rsidRPr="00865A65" w:rsidRDefault="00B837A4">
                        <w:pPr>
                          <w:pStyle w:val="TableText"/>
                          <w:rPr>
                            <w:sz w:val="20"/>
                          </w:rPr>
                        </w:pPr>
                        <w:r w:rsidRPr="00865A65">
                          <w:rPr>
                            <w:sz w:val="20"/>
                          </w:rPr>
                          <w:t>1</w:t>
                        </w:r>
                      </w:p>
                    </w:tc>
                    <w:tc>
                      <w:tcPr>
                        <w:tcW w:w="778" w:type="dxa"/>
                        <w:tcBorders>
                          <w:top w:val="single" w:sz="4" w:space="0" w:color="auto"/>
                          <w:left w:val="single" w:sz="4" w:space="0" w:color="auto"/>
                          <w:bottom w:val="single" w:sz="4" w:space="0" w:color="auto"/>
                          <w:right w:val="single" w:sz="4" w:space="0" w:color="auto"/>
                        </w:tcBorders>
                        <w:shd w:val="clear" w:color="auto" w:fill="E5F3DE" w:themeFill="accent6" w:themeFillTint="33"/>
                        <w:noWrap/>
                        <w:hideMark/>
                      </w:tcPr>
                      <w:p w14:paraId="6F48B814" w14:textId="77777777" w:rsidR="00B837A4" w:rsidRPr="00865A65" w:rsidRDefault="00B837A4">
                        <w:pPr>
                          <w:pStyle w:val="TableText"/>
                          <w:rPr>
                            <w:sz w:val="20"/>
                          </w:rPr>
                        </w:pPr>
                        <w:r w:rsidRPr="00865A65">
                          <w:rPr>
                            <w:sz w:val="20"/>
                          </w:rPr>
                          <w:t>(1,75)</w:t>
                        </w:r>
                      </w:p>
                    </w:tc>
                    <w:tc>
                      <w:tcPr>
                        <w:tcW w:w="687" w:type="dxa"/>
                        <w:tcBorders>
                          <w:top w:val="single" w:sz="4" w:space="0" w:color="auto"/>
                          <w:left w:val="single" w:sz="4" w:space="0" w:color="auto"/>
                          <w:bottom w:val="single" w:sz="4" w:space="0" w:color="auto"/>
                          <w:right w:val="single" w:sz="4" w:space="0" w:color="auto"/>
                        </w:tcBorders>
                        <w:shd w:val="clear" w:color="auto" w:fill="E5F3DE" w:themeFill="accent6" w:themeFillTint="33"/>
                        <w:noWrap/>
                        <w:hideMark/>
                      </w:tcPr>
                      <w:p w14:paraId="53CAC4E3" w14:textId="77777777" w:rsidR="00B837A4" w:rsidRPr="00865A65" w:rsidRDefault="00B837A4">
                        <w:pPr>
                          <w:pStyle w:val="TableText"/>
                          <w:rPr>
                            <w:sz w:val="20"/>
                          </w:rPr>
                        </w:pPr>
                        <w:r w:rsidRPr="00865A65">
                          <w:rPr>
                            <w:sz w:val="20"/>
                          </w:rPr>
                          <w:t>43.8</w:t>
                        </w:r>
                      </w:p>
                    </w:tc>
                    <w:tc>
                      <w:tcPr>
                        <w:tcW w:w="652" w:type="dxa"/>
                        <w:tcBorders>
                          <w:top w:val="single" w:sz="4" w:space="0" w:color="auto"/>
                          <w:left w:val="single" w:sz="4" w:space="0" w:color="auto"/>
                          <w:bottom w:val="single" w:sz="4" w:space="0" w:color="auto"/>
                          <w:right w:val="single" w:sz="4" w:space="0" w:color="auto"/>
                        </w:tcBorders>
                        <w:shd w:val="clear" w:color="auto" w:fill="E5F3DE" w:themeFill="accent6" w:themeFillTint="33"/>
                        <w:noWrap/>
                        <w:hideMark/>
                      </w:tcPr>
                      <w:p w14:paraId="24F0086A" w14:textId="77777777" w:rsidR="00B837A4" w:rsidRPr="00865A65" w:rsidRDefault="00B837A4">
                        <w:pPr>
                          <w:pStyle w:val="TableText"/>
                          <w:rPr>
                            <w:sz w:val="20"/>
                          </w:rPr>
                        </w:pPr>
                        <w:r w:rsidRPr="00865A65">
                          <w:rPr>
                            <w:sz w:val="20"/>
                          </w:rPr>
                          <w:t>31.7</w:t>
                        </w:r>
                      </w:p>
                    </w:tc>
                    <w:tc>
                      <w:tcPr>
                        <w:tcW w:w="579" w:type="dxa"/>
                        <w:tcBorders>
                          <w:top w:val="single" w:sz="4" w:space="0" w:color="auto"/>
                          <w:left w:val="single" w:sz="4" w:space="0" w:color="auto"/>
                          <w:bottom w:val="single" w:sz="4" w:space="0" w:color="auto"/>
                          <w:right w:val="single" w:sz="4" w:space="0" w:color="auto"/>
                        </w:tcBorders>
                        <w:shd w:val="clear" w:color="auto" w:fill="E5F3DE" w:themeFill="accent6" w:themeFillTint="33"/>
                        <w:noWrap/>
                        <w:hideMark/>
                      </w:tcPr>
                      <w:p w14:paraId="277F9D15" w14:textId="77777777" w:rsidR="00B837A4" w:rsidRPr="00865A65" w:rsidRDefault="00B837A4">
                        <w:pPr>
                          <w:pStyle w:val="TableText"/>
                          <w:rPr>
                            <w:sz w:val="20"/>
                          </w:rPr>
                        </w:pPr>
                        <w:r w:rsidRPr="00865A65">
                          <w:rPr>
                            <w:sz w:val="20"/>
                          </w:rPr>
                          <w:t>1.9</w:t>
                        </w:r>
                      </w:p>
                    </w:tc>
                    <w:tc>
                      <w:tcPr>
                        <w:tcW w:w="589" w:type="dxa"/>
                        <w:tcBorders>
                          <w:top w:val="single" w:sz="4" w:space="0" w:color="auto"/>
                          <w:left w:val="single" w:sz="4" w:space="0" w:color="auto"/>
                          <w:bottom w:val="single" w:sz="4" w:space="0" w:color="auto"/>
                          <w:right w:val="single" w:sz="4" w:space="0" w:color="auto"/>
                        </w:tcBorders>
                        <w:shd w:val="clear" w:color="auto" w:fill="E5F3DE" w:themeFill="accent6" w:themeFillTint="33"/>
                        <w:noWrap/>
                        <w:hideMark/>
                      </w:tcPr>
                      <w:p w14:paraId="65B9E88C" w14:textId="77777777" w:rsidR="00B837A4" w:rsidRPr="00865A65" w:rsidRDefault="00B837A4">
                        <w:pPr>
                          <w:pStyle w:val="TableText"/>
                          <w:rPr>
                            <w:sz w:val="20"/>
                          </w:rPr>
                        </w:pPr>
                        <w:r w:rsidRPr="00865A65">
                          <w:rPr>
                            <w:sz w:val="20"/>
                          </w:rPr>
                          <w:t>1</w:t>
                        </w:r>
                      </w:p>
                    </w:tc>
                    <w:tc>
                      <w:tcPr>
                        <w:tcW w:w="739" w:type="dxa"/>
                        <w:tcBorders>
                          <w:top w:val="single" w:sz="4" w:space="0" w:color="auto"/>
                          <w:left w:val="single" w:sz="4" w:space="0" w:color="auto"/>
                          <w:bottom w:val="single" w:sz="4" w:space="0" w:color="auto"/>
                          <w:right w:val="single" w:sz="4" w:space="0" w:color="auto"/>
                        </w:tcBorders>
                        <w:shd w:val="clear" w:color="auto" w:fill="E5F3DE" w:themeFill="accent6" w:themeFillTint="33"/>
                        <w:noWrap/>
                        <w:hideMark/>
                      </w:tcPr>
                      <w:p w14:paraId="281B2C5C" w14:textId="77777777" w:rsidR="00B837A4" w:rsidRPr="00865A65" w:rsidRDefault="00B837A4">
                        <w:pPr>
                          <w:pStyle w:val="TableText"/>
                          <w:rPr>
                            <w:sz w:val="20"/>
                          </w:rPr>
                        </w:pPr>
                        <w:r w:rsidRPr="00865A65">
                          <w:rPr>
                            <w:sz w:val="20"/>
                          </w:rPr>
                          <w:t>(1,40)</w:t>
                        </w:r>
                      </w:p>
                    </w:tc>
                  </w:tr>
                  <w:tr w:rsidR="00B837A4" w:rsidRPr="00865A65" w14:paraId="512DB576" w14:textId="77777777" w:rsidTr="003371DC">
                    <w:trPr>
                      <w:trHeight w:val="290"/>
                    </w:trPr>
                    <w:tc>
                      <w:tcPr>
                        <w:tcW w:w="2341" w:type="dxa"/>
                        <w:tcBorders>
                          <w:top w:val="single" w:sz="4" w:space="0" w:color="auto"/>
                          <w:left w:val="single" w:sz="4" w:space="0" w:color="auto"/>
                          <w:bottom w:val="single" w:sz="4" w:space="0" w:color="auto"/>
                          <w:right w:val="single" w:sz="4" w:space="0" w:color="auto"/>
                        </w:tcBorders>
                        <w:shd w:val="clear" w:color="auto" w:fill="E5F3DE" w:themeFill="accent6" w:themeFillTint="33"/>
                        <w:noWrap/>
                        <w:hideMark/>
                      </w:tcPr>
                      <w:p w14:paraId="4757AF91" w14:textId="3DA6DBB1" w:rsidR="00B837A4" w:rsidRPr="00093F50" w:rsidRDefault="00B837A4">
                        <w:pPr>
                          <w:pStyle w:val="TableText"/>
                          <w:rPr>
                            <w:sz w:val="20"/>
                          </w:rPr>
                        </w:pPr>
                        <w:r w:rsidRPr="00093F50">
                          <w:rPr>
                            <w:sz w:val="20"/>
                          </w:rPr>
                          <w:t xml:space="preserve">Satisfaction </w:t>
                        </w:r>
                        <w:r w:rsidR="00166E2B" w:rsidRPr="00093F50">
                          <w:rPr>
                            <w:sz w:val="20"/>
                          </w:rPr>
                          <w:t>–</w:t>
                        </w:r>
                        <w:r w:rsidR="009A5064" w:rsidRPr="00093F50">
                          <w:rPr>
                            <w:sz w:val="20"/>
                          </w:rPr>
                          <w:t xml:space="preserve"> I am better able to deal with issues that I sought help with </w:t>
                        </w:r>
                      </w:p>
                    </w:tc>
                    <w:tc>
                      <w:tcPr>
                        <w:tcW w:w="859" w:type="dxa"/>
                        <w:tcBorders>
                          <w:top w:val="single" w:sz="4" w:space="0" w:color="auto"/>
                          <w:left w:val="single" w:sz="4" w:space="0" w:color="auto"/>
                          <w:bottom w:val="single" w:sz="4" w:space="0" w:color="auto"/>
                          <w:right w:val="single" w:sz="4" w:space="0" w:color="auto"/>
                        </w:tcBorders>
                        <w:shd w:val="clear" w:color="auto" w:fill="E5F3DE" w:themeFill="accent6" w:themeFillTint="33"/>
                        <w:noWrap/>
                        <w:hideMark/>
                      </w:tcPr>
                      <w:p w14:paraId="09F71D7A" w14:textId="77777777" w:rsidR="00B837A4" w:rsidRPr="00865A65" w:rsidRDefault="00B837A4">
                        <w:pPr>
                          <w:pStyle w:val="TableText"/>
                          <w:rPr>
                            <w:sz w:val="20"/>
                          </w:rPr>
                        </w:pPr>
                        <w:r w:rsidRPr="00865A65">
                          <w:rPr>
                            <w:sz w:val="20"/>
                          </w:rPr>
                          <w:t>45.2</w:t>
                        </w:r>
                      </w:p>
                    </w:tc>
                    <w:tc>
                      <w:tcPr>
                        <w:tcW w:w="619" w:type="dxa"/>
                        <w:tcBorders>
                          <w:top w:val="single" w:sz="4" w:space="0" w:color="auto"/>
                          <w:left w:val="single" w:sz="4" w:space="0" w:color="auto"/>
                          <w:bottom w:val="single" w:sz="4" w:space="0" w:color="auto"/>
                          <w:right w:val="single" w:sz="4" w:space="0" w:color="auto"/>
                        </w:tcBorders>
                        <w:shd w:val="clear" w:color="auto" w:fill="E5F3DE" w:themeFill="accent6" w:themeFillTint="33"/>
                        <w:noWrap/>
                        <w:hideMark/>
                      </w:tcPr>
                      <w:p w14:paraId="683295F4" w14:textId="77777777" w:rsidR="00B837A4" w:rsidRPr="00865A65" w:rsidRDefault="00B837A4">
                        <w:pPr>
                          <w:pStyle w:val="TableText"/>
                          <w:rPr>
                            <w:sz w:val="20"/>
                          </w:rPr>
                        </w:pPr>
                        <w:r w:rsidRPr="00865A65">
                          <w:rPr>
                            <w:sz w:val="20"/>
                          </w:rPr>
                          <w:t>33.3</w:t>
                        </w:r>
                      </w:p>
                    </w:tc>
                    <w:tc>
                      <w:tcPr>
                        <w:tcW w:w="579" w:type="dxa"/>
                        <w:tcBorders>
                          <w:top w:val="single" w:sz="4" w:space="0" w:color="auto"/>
                          <w:left w:val="single" w:sz="4" w:space="0" w:color="auto"/>
                          <w:bottom w:val="single" w:sz="4" w:space="0" w:color="auto"/>
                          <w:right w:val="single" w:sz="4" w:space="0" w:color="auto"/>
                        </w:tcBorders>
                        <w:shd w:val="clear" w:color="auto" w:fill="E5F3DE" w:themeFill="accent6" w:themeFillTint="33"/>
                        <w:noWrap/>
                        <w:hideMark/>
                      </w:tcPr>
                      <w:p w14:paraId="77AF9A2A" w14:textId="77777777" w:rsidR="00B837A4" w:rsidRPr="00865A65" w:rsidRDefault="00B837A4">
                        <w:pPr>
                          <w:pStyle w:val="TableText"/>
                          <w:rPr>
                            <w:sz w:val="20"/>
                          </w:rPr>
                        </w:pPr>
                        <w:r w:rsidRPr="00865A65">
                          <w:rPr>
                            <w:sz w:val="20"/>
                          </w:rPr>
                          <w:t>1.7</w:t>
                        </w:r>
                      </w:p>
                    </w:tc>
                    <w:tc>
                      <w:tcPr>
                        <w:tcW w:w="579" w:type="dxa"/>
                        <w:tcBorders>
                          <w:top w:val="single" w:sz="4" w:space="0" w:color="auto"/>
                          <w:left w:val="single" w:sz="4" w:space="0" w:color="auto"/>
                          <w:bottom w:val="single" w:sz="4" w:space="0" w:color="auto"/>
                          <w:right w:val="single" w:sz="4" w:space="0" w:color="auto"/>
                        </w:tcBorders>
                        <w:shd w:val="clear" w:color="auto" w:fill="E5F3DE" w:themeFill="accent6" w:themeFillTint="33"/>
                        <w:noWrap/>
                        <w:hideMark/>
                      </w:tcPr>
                      <w:p w14:paraId="26BA2602" w14:textId="77777777" w:rsidR="00B837A4" w:rsidRPr="00865A65" w:rsidRDefault="00B837A4">
                        <w:pPr>
                          <w:pStyle w:val="TableText"/>
                          <w:rPr>
                            <w:sz w:val="20"/>
                          </w:rPr>
                        </w:pPr>
                        <w:r w:rsidRPr="00865A65">
                          <w:rPr>
                            <w:sz w:val="20"/>
                          </w:rPr>
                          <w:t>1</w:t>
                        </w:r>
                      </w:p>
                    </w:tc>
                    <w:tc>
                      <w:tcPr>
                        <w:tcW w:w="778" w:type="dxa"/>
                        <w:tcBorders>
                          <w:top w:val="single" w:sz="4" w:space="0" w:color="auto"/>
                          <w:left w:val="single" w:sz="4" w:space="0" w:color="auto"/>
                          <w:bottom w:val="single" w:sz="4" w:space="0" w:color="auto"/>
                          <w:right w:val="single" w:sz="4" w:space="0" w:color="auto"/>
                        </w:tcBorders>
                        <w:shd w:val="clear" w:color="auto" w:fill="E5F3DE" w:themeFill="accent6" w:themeFillTint="33"/>
                        <w:noWrap/>
                        <w:hideMark/>
                      </w:tcPr>
                      <w:p w14:paraId="4E50F22B" w14:textId="77777777" w:rsidR="00B837A4" w:rsidRPr="00865A65" w:rsidRDefault="00B837A4">
                        <w:pPr>
                          <w:pStyle w:val="TableText"/>
                          <w:rPr>
                            <w:sz w:val="20"/>
                          </w:rPr>
                        </w:pPr>
                        <w:r w:rsidRPr="00865A65">
                          <w:rPr>
                            <w:sz w:val="20"/>
                          </w:rPr>
                          <w:t>(1,75)</w:t>
                        </w:r>
                      </w:p>
                    </w:tc>
                    <w:tc>
                      <w:tcPr>
                        <w:tcW w:w="687" w:type="dxa"/>
                        <w:tcBorders>
                          <w:top w:val="single" w:sz="4" w:space="0" w:color="auto"/>
                          <w:left w:val="single" w:sz="4" w:space="0" w:color="auto"/>
                          <w:bottom w:val="single" w:sz="4" w:space="0" w:color="auto"/>
                          <w:right w:val="single" w:sz="4" w:space="0" w:color="auto"/>
                        </w:tcBorders>
                        <w:shd w:val="clear" w:color="auto" w:fill="E5F3DE" w:themeFill="accent6" w:themeFillTint="33"/>
                        <w:noWrap/>
                        <w:hideMark/>
                      </w:tcPr>
                      <w:p w14:paraId="1267347D" w14:textId="77777777" w:rsidR="00B837A4" w:rsidRPr="00865A65" w:rsidRDefault="00B837A4">
                        <w:pPr>
                          <w:pStyle w:val="TableText"/>
                          <w:rPr>
                            <w:sz w:val="20"/>
                          </w:rPr>
                        </w:pPr>
                        <w:r w:rsidRPr="00865A65">
                          <w:rPr>
                            <w:sz w:val="20"/>
                          </w:rPr>
                          <w:t>42.6</w:t>
                        </w:r>
                      </w:p>
                    </w:tc>
                    <w:tc>
                      <w:tcPr>
                        <w:tcW w:w="652" w:type="dxa"/>
                        <w:tcBorders>
                          <w:top w:val="single" w:sz="4" w:space="0" w:color="auto"/>
                          <w:left w:val="single" w:sz="4" w:space="0" w:color="auto"/>
                          <w:bottom w:val="single" w:sz="4" w:space="0" w:color="auto"/>
                          <w:right w:val="single" w:sz="4" w:space="0" w:color="auto"/>
                        </w:tcBorders>
                        <w:shd w:val="clear" w:color="auto" w:fill="E5F3DE" w:themeFill="accent6" w:themeFillTint="33"/>
                        <w:noWrap/>
                        <w:hideMark/>
                      </w:tcPr>
                      <w:p w14:paraId="1C556339" w14:textId="77777777" w:rsidR="00B837A4" w:rsidRPr="00865A65" w:rsidRDefault="00B837A4">
                        <w:pPr>
                          <w:pStyle w:val="TableText"/>
                          <w:rPr>
                            <w:sz w:val="20"/>
                          </w:rPr>
                        </w:pPr>
                        <w:r w:rsidRPr="00865A65">
                          <w:rPr>
                            <w:sz w:val="20"/>
                          </w:rPr>
                          <w:t>31.7</w:t>
                        </w:r>
                      </w:p>
                    </w:tc>
                    <w:tc>
                      <w:tcPr>
                        <w:tcW w:w="579" w:type="dxa"/>
                        <w:tcBorders>
                          <w:top w:val="single" w:sz="4" w:space="0" w:color="auto"/>
                          <w:left w:val="single" w:sz="4" w:space="0" w:color="auto"/>
                          <w:bottom w:val="single" w:sz="4" w:space="0" w:color="auto"/>
                          <w:right w:val="single" w:sz="4" w:space="0" w:color="auto"/>
                        </w:tcBorders>
                        <w:shd w:val="clear" w:color="auto" w:fill="E5F3DE" w:themeFill="accent6" w:themeFillTint="33"/>
                        <w:noWrap/>
                        <w:hideMark/>
                      </w:tcPr>
                      <w:p w14:paraId="12CC43F2" w14:textId="77777777" w:rsidR="00B837A4" w:rsidRPr="00865A65" w:rsidRDefault="00B837A4">
                        <w:pPr>
                          <w:pStyle w:val="TableText"/>
                          <w:rPr>
                            <w:sz w:val="20"/>
                          </w:rPr>
                        </w:pPr>
                        <w:r w:rsidRPr="00865A65">
                          <w:rPr>
                            <w:sz w:val="20"/>
                          </w:rPr>
                          <w:t>1.9</w:t>
                        </w:r>
                      </w:p>
                    </w:tc>
                    <w:tc>
                      <w:tcPr>
                        <w:tcW w:w="589" w:type="dxa"/>
                        <w:tcBorders>
                          <w:top w:val="single" w:sz="4" w:space="0" w:color="auto"/>
                          <w:left w:val="single" w:sz="4" w:space="0" w:color="auto"/>
                          <w:bottom w:val="single" w:sz="4" w:space="0" w:color="auto"/>
                          <w:right w:val="single" w:sz="4" w:space="0" w:color="auto"/>
                        </w:tcBorders>
                        <w:shd w:val="clear" w:color="auto" w:fill="E5F3DE" w:themeFill="accent6" w:themeFillTint="33"/>
                        <w:noWrap/>
                        <w:hideMark/>
                      </w:tcPr>
                      <w:p w14:paraId="41576445" w14:textId="77777777" w:rsidR="00B837A4" w:rsidRPr="00865A65" w:rsidRDefault="00B837A4">
                        <w:pPr>
                          <w:pStyle w:val="TableText"/>
                          <w:rPr>
                            <w:sz w:val="20"/>
                          </w:rPr>
                        </w:pPr>
                        <w:r w:rsidRPr="00865A65">
                          <w:rPr>
                            <w:sz w:val="20"/>
                          </w:rPr>
                          <w:t>1</w:t>
                        </w:r>
                      </w:p>
                    </w:tc>
                    <w:tc>
                      <w:tcPr>
                        <w:tcW w:w="739" w:type="dxa"/>
                        <w:tcBorders>
                          <w:top w:val="single" w:sz="4" w:space="0" w:color="auto"/>
                          <w:left w:val="single" w:sz="4" w:space="0" w:color="auto"/>
                          <w:bottom w:val="single" w:sz="4" w:space="0" w:color="auto"/>
                          <w:right w:val="single" w:sz="4" w:space="0" w:color="auto"/>
                        </w:tcBorders>
                        <w:shd w:val="clear" w:color="auto" w:fill="E5F3DE" w:themeFill="accent6" w:themeFillTint="33"/>
                        <w:noWrap/>
                        <w:hideMark/>
                      </w:tcPr>
                      <w:p w14:paraId="50AE7E3C" w14:textId="77777777" w:rsidR="00B837A4" w:rsidRPr="00865A65" w:rsidRDefault="00B837A4">
                        <w:pPr>
                          <w:pStyle w:val="TableText"/>
                          <w:rPr>
                            <w:sz w:val="20"/>
                          </w:rPr>
                        </w:pPr>
                        <w:r w:rsidRPr="00865A65">
                          <w:rPr>
                            <w:sz w:val="20"/>
                          </w:rPr>
                          <w:t>(1,40)</w:t>
                        </w:r>
                      </w:p>
                    </w:tc>
                  </w:tr>
                </w:tbl>
                <w:p w14:paraId="61975EC2" w14:textId="1ADC6C9B" w:rsidR="00B837A4" w:rsidRPr="00F702A2" w:rsidRDefault="00F702A2" w:rsidP="00B837A4">
                  <w:pPr>
                    <w:pStyle w:val="Text"/>
                    <w:rPr>
                      <w:i/>
                      <w:iCs/>
                      <w:sz w:val="20"/>
                    </w:rPr>
                  </w:pPr>
                  <w:r w:rsidRPr="00F702A2">
                    <w:rPr>
                      <w:i/>
                      <w:iCs/>
                      <w:sz w:val="20"/>
                    </w:rPr>
                    <w:t xml:space="preserve">Source: DEX-SCORE data </w:t>
                  </w:r>
                </w:p>
                <w:p w14:paraId="395D4844" w14:textId="480E1495" w:rsidR="00B837A4" w:rsidRDefault="00F338E2" w:rsidP="00B837A4">
                  <w:pPr>
                    <w:pStyle w:val="Text"/>
                  </w:pPr>
                  <w:r>
                    <w:t>Demographic data and data relating to people with disability</w:t>
                  </w:r>
                  <w:r w:rsidR="00B837A4">
                    <w:t xml:space="preserve"> were provided by the Department in separate tables and applied to SCORE assessments using the </w:t>
                  </w:r>
                  <w:r w:rsidR="001D1403">
                    <w:t>service user</w:t>
                  </w:r>
                  <w:r w:rsidR="00B837A4">
                    <w:t xml:space="preserve"> unique identif</w:t>
                  </w:r>
                  <w:r w:rsidR="00C110BC">
                    <w:t>i</w:t>
                  </w:r>
                  <w:r w:rsidR="00B837A4">
                    <w:t>er. These were used to partition the data by relevant cohorts.</w:t>
                  </w:r>
                </w:p>
                <w:p w14:paraId="4AAA1D1D" w14:textId="0B04DD12" w:rsidR="00B837A4" w:rsidRDefault="000F6D5A" w:rsidP="00B837A4">
                  <w:pPr>
                    <w:pStyle w:val="Text"/>
                  </w:pPr>
                  <w:r>
                    <w:t>Not a</w:t>
                  </w:r>
                  <w:r w:rsidR="00B837A4">
                    <w:t xml:space="preserve">ll demographic data could be assigned for all </w:t>
                  </w:r>
                  <w:r w:rsidR="00E614D3">
                    <w:t xml:space="preserve">service </w:t>
                  </w:r>
                  <w:r w:rsidR="00B7507C">
                    <w:t>users</w:t>
                  </w:r>
                  <w:r w:rsidR="00B837A4">
                    <w:t xml:space="preserve"> due to the presence of non-unique profiles for some </w:t>
                  </w:r>
                  <w:r w:rsidR="00E614D3">
                    <w:t xml:space="preserve">service </w:t>
                  </w:r>
                  <w:r w:rsidR="00B7507C">
                    <w:t>users.</w:t>
                  </w:r>
                  <w:r w:rsidR="00B837A4">
                    <w:t xml:space="preserve"> For example, a </w:t>
                  </w:r>
                  <w:r w:rsidR="001D1403">
                    <w:t>service user</w:t>
                  </w:r>
                  <w:r w:rsidR="00B837A4">
                    <w:t xml:space="preserve"> may not have disclosed (or the outlet did not collect) demographic elements at the time of one session, and later disclosed in another session</w:t>
                  </w:r>
                  <w:r>
                    <w:t>,</w:t>
                  </w:r>
                  <w:r w:rsidR="00B837A4">
                    <w:t xml:space="preserve"> leading to the creation of multiple records per </w:t>
                  </w:r>
                  <w:r w:rsidR="001D1403">
                    <w:t>service user</w:t>
                  </w:r>
                  <w:r w:rsidR="00B837A4">
                    <w:t xml:space="preserve">. Multiple records also occurred where a </w:t>
                  </w:r>
                  <w:r w:rsidR="001D1403">
                    <w:t>service user</w:t>
                  </w:r>
                  <w:r w:rsidR="00B837A4">
                    <w:t xml:space="preserve"> may have moved residence between assessments and demographic records could not be attributed to specific sessions. Attempts were made to connect demographic records based on their creation date being proximal to the session date, however this could not be achieved deterministically.</w:t>
                  </w:r>
                </w:p>
                <w:p w14:paraId="56D18E48" w14:textId="7092220A" w:rsidR="00B837A4" w:rsidRDefault="00B837A4" w:rsidP="00B837A4">
                  <w:pPr>
                    <w:pStyle w:val="Text"/>
                  </w:pPr>
                  <w:r>
                    <w:t xml:space="preserve">Some </w:t>
                  </w:r>
                  <w:r w:rsidR="001D1403">
                    <w:t>service user</w:t>
                  </w:r>
                  <w:r>
                    <w:t xml:space="preserve"> identifiers were associated with demographic records containing multiple variations to core attributes such as gender and dates of birth. In such instances it is possible that the </w:t>
                  </w:r>
                  <w:r w:rsidR="001D1403">
                    <w:t>service user</w:t>
                  </w:r>
                  <w:r>
                    <w:t xml:space="preserve"> identifier referred to a group or family unit.</w:t>
                  </w:r>
                  <w:r w:rsidR="001E7EF7">
                    <w:t xml:space="preserve"> </w:t>
                  </w:r>
                  <w:r>
                    <w:t xml:space="preserve">Analyses by cohort proceeded using the subset of </w:t>
                  </w:r>
                  <w:r w:rsidR="00E614D3">
                    <w:t xml:space="preserve">service </w:t>
                  </w:r>
                  <w:r w:rsidR="00B7507C">
                    <w:t>users</w:t>
                  </w:r>
                  <w:r>
                    <w:t xml:space="preserve"> for whom relevant demographic information could be attributed uniquely. Sample sizes are presented accordingly for each analysis.</w:t>
                  </w:r>
                </w:p>
                <w:p w14:paraId="05522C56" w14:textId="43FD29DB" w:rsidR="00097EF1" w:rsidRDefault="00B837A4" w:rsidP="00B837A4">
                  <w:pPr>
                    <w:pStyle w:val="Text"/>
                  </w:pPr>
                  <w:r>
                    <w:lastRenderedPageBreak/>
                    <w:t xml:space="preserve">CALD </w:t>
                  </w:r>
                  <w:r w:rsidR="00E614D3">
                    <w:t xml:space="preserve">service </w:t>
                  </w:r>
                  <w:r w:rsidR="00A004B9">
                    <w:t>users</w:t>
                  </w:r>
                  <w:r>
                    <w:t xml:space="preserve"> were identified if they were not born in a mainly English-speaking country (Australia, England, Scotland, Wales, Northern Ireland, Republic of Ireland, New Zealand, Canada, United States of America and South Africa) or if their main language was not either English, Aboriginal English, Hawaiian English or Liberian English.</w:t>
                  </w:r>
                  <w:r w:rsidR="00865A65">
                    <w:t xml:space="preserve"> </w:t>
                  </w:r>
                  <w:r w:rsidRPr="0004110C">
                    <w:rPr>
                      <w:b/>
                      <w:bCs/>
                    </w:rPr>
                    <w:fldChar w:fldCharType="begin" w:fldLock="1"/>
                  </w:r>
                  <w:r w:rsidRPr="0004110C">
                    <w:rPr>
                      <w:b/>
                      <w:bCs/>
                    </w:rPr>
                    <w:instrText xml:space="preserve"> REF _Ref204598037 \h </w:instrText>
                  </w:r>
                  <w:r>
                    <w:rPr>
                      <w:b/>
                      <w:bCs/>
                    </w:rPr>
                    <w:instrText xml:space="preserve"> \* MERGEFORMAT </w:instrText>
                  </w:r>
                  <w:r w:rsidRPr="0004110C">
                    <w:rPr>
                      <w:b/>
                      <w:bCs/>
                    </w:rPr>
                  </w:r>
                  <w:r w:rsidRPr="0004110C">
                    <w:rPr>
                      <w:b/>
                      <w:bCs/>
                    </w:rPr>
                    <w:fldChar w:fldCharType="separate"/>
                  </w:r>
                  <w:r w:rsidR="008F22E5" w:rsidRPr="008F22E5">
                    <w:rPr>
                      <w:rStyle w:val="Text-Bold"/>
                    </w:rPr>
                    <w:t xml:space="preserve">Table </w:t>
                  </w:r>
                  <w:r w:rsidR="008F22E5" w:rsidRPr="008F22E5">
                    <w:rPr>
                      <w:rStyle w:val="Text-Bold"/>
                      <w:noProof/>
                    </w:rPr>
                    <w:t>4</w:t>
                  </w:r>
                  <w:r w:rsidRPr="0004110C">
                    <w:rPr>
                      <w:b/>
                      <w:bCs/>
                    </w:rPr>
                    <w:fldChar w:fldCharType="end"/>
                  </w:r>
                  <w:r>
                    <w:t xml:space="preserve"> </w:t>
                  </w:r>
                  <w:r w:rsidR="00C875CA">
                    <w:t>presents a summary of demographic distribution by service users with at least one SCORE assessment</w:t>
                  </w:r>
                  <w:r>
                    <w:t>.</w:t>
                  </w:r>
                  <w:r w:rsidR="00F7192C">
                    <w:t xml:space="preserve"> </w:t>
                  </w:r>
                </w:p>
                <w:p w14:paraId="2B8C7E57" w14:textId="7C9D75B8" w:rsidR="00B837A4" w:rsidRPr="00323C72" w:rsidRDefault="00B837A4" w:rsidP="00393BD9">
                  <w:pPr>
                    <w:pStyle w:val="TableFigure-Header"/>
                    <w:spacing w:line="276" w:lineRule="auto"/>
                    <w:jc w:val="both"/>
                    <w:rPr>
                      <w:rStyle w:val="Text-Bold"/>
                      <w:lang w:val="en-NZ"/>
                    </w:rPr>
                  </w:pPr>
                  <w:bookmarkStart w:id="231" w:name="_Ref205408895"/>
                  <w:bookmarkStart w:id="232" w:name="_Ref204598037"/>
                  <w:r w:rsidRPr="4D0B0E0C">
                    <w:rPr>
                      <w:rStyle w:val="Text-Bold"/>
                      <w:b/>
                      <w:bCs/>
                      <w:lang w:val="en-NZ"/>
                    </w:rPr>
                    <w:t>Table</w:t>
                  </w:r>
                  <w:bookmarkEnd w:id="231"/>
                  <w:r w:rsidRPr="4D0B0E0C">
                    <w:rPr>
                      <w:rStyle w:val="Text-Bold"/>
                      <w:b/>
                      <w:bCs/>
                      <w:lang w:val="en-NZ"/>
                    </w:rPr>
                    <w:t xml:space="preserve"> </w:t>
                  </w:r>
                  <w:r w:rsidR="00F50CD8" w:rsidRPr="008072B4">
                    <w:rPr>
                      <w:rStyle w:val="Text-Bold"/>
                      <w:b/>
                      <w:bCs/>
                    </w:rPr>
                    <w:fldChar w:fldCharType="begin"/>
                  </w:r>
                  <w:r w:rsidR="00F50CD8" w:rsidRPr="008072B4">
                    <w:rPr>
                      <w:rStyle w:val="Text-Bold"/>
                      <w:b/>
                      <w:bCs/>
                    </w:rPr>
                    <w:instrText xml:space="preserve"> SEQ Table \* ARABIC </w:instrText>
                  </w:r>
                  <w:r w:rsidR="00F50CD8" w:rsidRPr="008072B4">
                    <w:rPr>
                      <w:rStyle w:val="Text-Bold"/>
                      <w:b/>
                      <w:bCs/>
                    </w:rPr>
                    <w:fldChar w:fldCharType="separate"/>
                  </w:r>
                  <w:r w:rsidR="008D2566">
                    <w:rPr>
                      <w:rStyle w:val="Text-Bold"/>
                      <w:b/>
                      <w:bCs/>
                      <w:noProof/>
                    </w:rPr>
                    <w:t>4</w:t>
                  </w:r>
                  <w:r w:rsidR="00F50CD8" w:rsidRPr="008072B4">
                    <w:rPr>
                      <w:rStyle w:val="Text-Bold"/>
                      <w:b/>
                      <w:bCs/>
                    </w:rPr>
                    <w:fldChar w:fldCharType="end"/>
                  </w:r>
                  <w:bookmarkEnd w:id="232"/>
                  <w:r w:rsidRPr="4D0B0E0C">
                    <w:rPr>
                      <w:rStyle w:val="Text-Bold"/>
                      <w:b/>
                      <w:bCs/>
                      <w:lang w:val="en-NZ"/>
                    </w:rPr>
                    <w:t xml:space="preserve">: Demographic distribution, </w:t>
                  </w:r>
                  <w:r w:rsidR="00E614D3" w:rsidRPr="4D0B0E0C">
                    <w:rPr>
                      <w:rStyle w:val="Text-Bold"/>
                      <w:b/>
                      <w:bCs/>
                      <w:lang w:val="en-NZ"/>
                    </w:rPr>
                    <w:t xml:space="preserve">service </w:t>
                  </w:r>
                  <w:r w:rsidR="00B7507C" w:rsidRPr="4D0B0E0C">
                    <w:rPr>
                      <w:rStyle w:val="Text-Bold"/>
                      <w:b/>
                      <w:bCs/>
                      <w:lang w:val="en-NZ"/>
                    </w:rPr>
                    <w:t>users</w:t>
                  </w:r>
                  <w:r w:rsidRPr="4D0B0E0C">
                    <w:rPr>
                      <w:rStyle w:val="Text-Bold"/>
                      <w:b/>
                      <w:bCs/>
                      <w:lang w:val="en-NZ"/>
                    </w:rPr>
                    <w:t xml:space="preserve"> with at least one SCORE assessment</w:t>
                  </w:r>
                  <w:r w:rsidR="4202E1A8" w:rsidRPr="4D0B0E0C">
                    <w:rPr>
                      <w:rStyle w:val="Text-Bold"/>
                    </w:rPr>
                    <w:t xml:space="preserve">, </w:t>
                  </w:r>
                  <w:r w:rsidR="4202E1A8" w:rsidRPr="00A32579">
                    <w:rPr>
                      <w:rStyle w:val="Text-Bold"/>
                      <w:b/>
                      <w:bCs/>
                    </w:rPr>
                    <w:t xml:space="preserve">July 2021 </w:t>
                  </w:r>
                  <w:r w:rsidR="00953B9E">
                    <w:rPr>
                      <w:rStyle w:val="Text-Bold"/>
                      <w:b/>
                      <w:bCs/>
                    </w:rPr>
                    <w:t>to</w:t>
                  </w:r>
                  <w:r w:rsidR="4202E1A8" w:rsidRPr="00A32579">
                    <w:rPr>
                      <w:rStyle w:val="Text-Bold"/>
                      <w:b/>
                      <w:bCs/>
                    </w:rPr>
                    <w:t xml:space="preserve"> June 2024</w:t>
                  </w:r>
                </w:p>
                <w:tbl>
                  <w:tblPr>
                    <w:tblStyle w:val="TableGrid"/>
                    <w:tblW w:w="5000" w:type="pct"/>
                    <w:tblLook w:val="04A0" w:firstRow="1" w:lastRow="0" w:firstColumn="1" w:lastColumn="0" w:noHBand="0" w:noVBand="1"/>
                  </w:tblPr>
                  <w:tblGrid>
                    <w:gridCol w:w="3578"/>
                    <w:gridCol w:w="2583"/>
                    <w:gridCol w:w="1805"/>
                    <w:gridCol w:w="1053"/>
                  </w:tblGrid>
                  <w:tr w:rsidR="00B837A4" w:rsidRPr="00A92F71" w14:paraId="69A63416" w14:textId="77777777">
                    <w:trPr>
                      <w:trHeight w:val="290"/>
                    </w:trPr>
                    <w:tc>
                      <w:tcPr>
                        <w:tcW w:w="1854" w:type="pct"/>
                        <w:tcBorders>
                          <w:top w:val="single" w:sz="4" w:space="0" w:color="auto"/>
                          <w:left w:val="single" w:sz="4" w:space="0" w:color="auto"/>
                          <w:bottom w:val="single" w:sz="4" w:space="0" w:color="auto"/>
                          <w:right w:val="single" w:sz="4" w:space="0" w:color="auto"/>
                        </w:tcBorders>
                        <w:shd w:val="clear" w:color="auto" w:fill="007E00" w:themeFill="accent3"/>
                        <w:noWrap/>
                        <w:hideMark/>
                      </w:tcPr>
                      <w:p w14:paraId="47D78BD9" w14:textId="77777777" w:rsidR="00B837A4" w:rsidRPr="00A92F71" w:rsidRDefault="00B837A4">
                        <w:pPr>
                          <w:pStyle w:val="TableText"/>
                          <w:rPr>
                            <w:b/>
                            <w:bCs/>
                            <w:color w:val="FFFFFF" w:themeColor="background1"/>
                          </w:rPr>
                        </w:pPr>
                        <w:r w:rsidRPr="00A92F71">
                          <w:rPr>
                            <w:b/>
                            <w:bCs/>
                            <w:color w:val="FFFFFF" w:themeColor="background1"/>
                          </w:rPr>
                          <w:t>Cohort</w:t>
                        </w:r>
                      </w:p>
                    </w:tc>
                    <w:tc>
                      <w:tcPr>
                        <w:tcW w:w="1475" w:type="pct"/>
                        <w:tcBorders>
                          <w:top w:val="single" w:sz="4" w:space="0" w:color="auto"/>
                          <w:left w:val="single" w:sz="4" w:space="0" w:color="auto"/>
                          <w:bottom w:val="single" w:sz="4" w:space="0" w:color="auto"/>
                          <w:right w:val="single" w:sz="4" w:space="0" w:color="auto"/>
                        </w:tcBorders>
                        <w:shd w:val="clear" w:color="auto" w:fill="007E00" w:themeFill="accent3"/>
                        <w:noWrap/>
                        <w:hideMark/>
                      </w:tcPr>
                      <w:p w14:paraId="331CDF2C" w14:textId="77777777" w:rsidR="00B837A4" w:rsidRPr="00A92F71" w:rsidRDefault="00B837A4">
                        <w:pPr>
                          <w:pStyle w:val="TableText"/>
                          <w:rPr>
                            <w:b/>
                            <w:bCs/>
                            <w:color w:val="FFFFFF" w:themeColor="background1"/>
                          </w:rPr>
                        </w:pPr>
                        <w:r w:rsidRPr="00A92F71">
                          <w:rPr>
                            <w:b/>
                            <w:bCs/>
                            <w:color w:val="FFFFFF" w:themeColor="background1"/>
                          </w:rPr>
                          <w:t>Category</w:t>
                        </w:r>
                      </w:p>
                    </w:tc>
                    <w:tc>
                      <w:tcPr>
                        <w:tcW w:w="1044" w:type="pct"/>
                        <w:tcBorders>
                          <w:top w:val="single" w:sz="4" w:space="0" w:color="auto"/>
                          <w:left w:val="single" w:sz="4" w:space="0" w:color="auto"/>
                          <w:bottom w:val="single" w:sz="4" w:space="0" w:color="auto"/>
                          <w:right w:val="single" w:sz="4" w:space="0" w:color="auto"/>
                        </w:tcBorders>
                        <w:shd w:val="clear" w:color="auto" w:fill="007E00" w:themeFill="accent3"/>
                        <w:noWrap/>
                        <w:hideMark/>
                      </w:tcPr>
                      <w:p w14:paraId="75AA5E91" w14:textId="77777777" w:rsidR="00B837A4" w:rsidRPr="00A92F71" w:rsidRDefault="00B837A4">
                        <w:pPr>
                          <w:pStyle w:val="TableText"/>
                          <w:rPr>
                            <w:b/>
                            <w:bCs/>
                            <w:color w:val="FFFFFF" w:themeColor="background1"/>
                          </w:rPr>
                        </w:pPr>
                        <w:r w:rsidRPr="00A92F71">
                          <w:rPr>
                            <w:b/>
                            <w:bCs/>
                            <w:color w:val="FFFFFF" w:themeColor="background1"/>
                          </w:rPr>
                          <w:t>n</w:t>
                        </w:r>
                      </w:p>
                    </w:tc>
                    <w:tc>
                      <w:tcPr>
                        <w:tcW w:w="627" w:type="pct"/>
                        <w:tcBorders>
                          <w:top w:val="single" w:sz="4" w:space="0" w:color="auto"/>
                          <w:left w:val="single" w:sz="4" w:space="0" w:color="auto"/>
                          <w:bottom w:val="single" w:sz="4" w:space="0" w:color="auto"/>
                          <w:right w:val="single" w:sz="4" w:space="0" w:color="auto"/>
                        </w:tcBorders>
                        <w:shd w:val="clear" w:color="auto" w:fill="007E00" w:themeFill="accent3"/>
                        <w:noWrap/>
                        <w:hideMark/>
                      </w:tcPr>
                      <w:p w14:paraId="23FADABC" w14:textId="77777777" w:rsidR="00B837A4" w:rsidRPr="00A92F71" w:rsidRDefault="00B837A4">
                        <w:pPr>
                          <w:pStyle w:val="TableText"/>
                          <w:rPr>
                            <w:b/>
                            <w:bCs/>
                            <w:color w:val="FFFFFF" w:themeColor="background1"/>
                          </w:rPr>
                        </w:pPr>
                        <w:r w:rsidRPr="00A92F71">
                          <w:rPr>
                            <w:b/>
                            <w:bCs/>
                            <w:color w:val="FFFFFF" w:themeColor="background1"/>
                          </w:rPr>
                          <w:t>%</w:t>
                        </w:r>
                      </w:p>
                    </w:tc>
                  </w:tr>
                  <w:tr w:rsidR="00B837A4" w:rsidRPr="00A92F71" w14:paraId="02AF848A" w14:textId="77777777">
                    <w:trPr>
                      <w:trHeight w:val="290"/>
                    </w:trPr>
                    <w:tc>
                      <w:tcPr>
                        <w:tcW w:w="1854" w:type="pct"/>
                        <w:tcBorders>
                          <w:top w:val="single" w:sz="4" w:space="0" w:color="auto"/>
                          <w:left w:val="single" w:sz="4" w:space="0" w:color="auto"/>
                          <w:bottom w:val="single" w:sz="4" w:space="0" w:color="auto"/>
                          <w:right w:val="single" w:sz="4" w:space="0" w:color="auto"/>
                        </w:tcBorders>
                        <w:noWrap/>
                        <w:hideMark/>
                      </w:tcPr>
                      <w:p w14:paraId="28292F5F" w14:textId="77777777" w:rsidR="00B837A4" w:rsidRPr="006C49E0" w:rsidRDefault="00B837A4">
                        <w:pPr>
                          <w:pStyle w:val="TableText"/>
                        </w:pPr>
                        <w:r w:rsidRPr="006C49E0">
                          <w:t>Culturally and linguistically diverse</w:t>
                        </w:r>
                      </w:p>
                    </w:tc>
                    <w:tc>
                      <w:tcPr>
                        <w:tcW w:w="1475" w:type="pct"/>
                        <w:tcBorders>
                          <w:top w:val="single" w:sz="4" w:space="0" w:color="auto"/>
                          <w:left w:val="single" w:sz="4" w:space="0" w:color="auto"/>
                          <w:bottom w:val="single" w:sz="4" w:space="0" w:color="auto"/>
                          <w:right w:val="single" w:sz="4" w:space="0" w:color="auto"/>
                        </w:tcBorders>
                        <w:noWrap/>
                        <w:hideMark/>
                      </w:tcPr>
                      <w:p w14:paraId="4F0B2142" w14:textId="77777777" w:rsidR="00B837A4" w:rsidRPr="00A92F71" w:rsidRDefault="00B837A4">
                        <w:pPr>
                          <w:pStyle w:val="TableText"/>
                        </w:pPr>
                        <w:r w:rsidRPr="00A92F71">
                          <w:t>CALD</w:t>
                        </w:r>
                      </w:p>
                    </w:tc>
                    <w:tc>
                      <w:tcPr>
                        <w:tcW w:w="1044" w:type="pct"/>
                        <w:tcBorders>
                          <w:top w:val="single" w:sz="4" w:space="0" w:color="auto"/>
                          <w:left w:val="single" w:sz="4" w:space="0" w:color="auto"/>
                          <w:bottom w:val="single" w:sz="4" w:space="0" w:color="auto"/>
                          <w:right w:val="single" w:sz="4" w:space="0" w:color="auto"/>
                        </w:tcBorders>
                        <w:noWrap/>
                        <w:hideMark/>
                      </w:tcPr>
                      <w:p w14:paraId="7907C155" w14:textId="03ED43F7" w:rsidR="00B837A4" w:rsidRPr="00A92F71" w:rsidRDefault="00B837A4">
                        <w:pPr>
                          <w:pStyle w:val="TableText"/>
                        </w:pPr>
                        <w:r w:rsidRPr="00A92F71">
                          <w:t>13</w:t>
                        </w:r>
                        <w:r w:rsidR="00865A65">
                          <w:t>,</w:t>
                        </w:r>
                        <w:r w:rsidRPr="00A92F71">
                          <w:t>483</w:t>
                        </w:r>
                      </w:p>
                    </w:tc>
                    <w:tc>
                      <w:tcPr>
                        <w:tcW w:w="627" w:type="pct"/>
                        <w:tcBorders>
                          <w:top w:val="single" w:sz="4" w:space="0" w:color="auto"/>
                          <w:left w:val="single" w:sz="4" w:space="0" w:color="auto"/>
                          <w:bottom w:val="single" w:sz="4" w:space="0" w:color="auto"/>
                          <w:right w:val="single" w:sz="4" w:space="0" w:color="auto"/>
                        </w:tcBorders>
                        <w:noWrap/>
                        <w:hideMark/>
                      </w:tcPr>
                      <w:p w14:paraId="3990CA59" w14:textId="77777777" w:rsidR="00B837A4" w:rsidRPr="00A92F71" w:rsidRDefault="00B837A4">
                        <w:pPr>
                          <w:pStyle w:val="TableText"/>
                        </w:pPr>
                        <w:r w:rsidRPr="00A92F71">
                          <w:t>10.7</w:t>
                        </w:r>
                      </w:p>
                    </w:tc>
                  </w:tr>
                  <w:tr w:rsidR="00B837A4" w:rsidRPr="00A92F71" w14:paraId="14E40334" w14:textId="77777777">
                    <w:trPr>
                      <w:trHeight w:val="290"/>
                    </w:trPr>
                    <w:tc>
                      <w:tcPr>
                        <w:tcW w:w="1854" w:type="pct"/>
                        <w:vMerge w:val="restart"/>
                        <w:tcBorders>
                          <w:top w:val="single" w:sz="4" w:space="0" w:color="auto"/>
                          <w:left w:val="single" w:sz="4" w:space="0" w:color="auto"/>
                          <w:bottom w:val="single" w:sz="4" w:space="0" w:color="auto"/>
                          <w:right w:val="single" w:sz="4" w:space="0" w:color="auto"/>
                        </w:tcBorders>
                        <w:noWrap/>
                        <w:hideMark/>
                      </w:tcPr>
                      <w:p w14:paraId="227C4B32" w14:textId="77777777" w:rsidR="00B837A4" w:rsidRPr="006C49E0" w:rsidRDefault="00B837A4">
                        <w:pPr>
                          <w:pStyle w:val="TableText"/>
                        </w:pPr>
                        <w:r w:rsidRPr="006C49E0">
                          <w:t>Gender</w:t>
                        </w:r>
                      </w:p>
                    </w:tc>
                    <w:tc>
                      <w:tcPr>
                        <w:tcW w:w="1475" w:type="pct"/>
                        <w:tcBorders>
                          <w:top w:val="single" w:sz="4" w:space="0" w:color="auto"/>
                          <w:left w:val="single" w:sz="4" w:space="0" w:color="auto"/>
                          <w:bottom w:val="single" w:sz="4" w:space="0" w:color="auto"/>
                          <w:right w:val="single" w:sz="4" w:space="0" w:color="auto"/>
                        </w:tcBorders>
                        <w:noWrap/>
                        <w:hideMark/>
                      </w:tcPr>
                      <w:p w14:paraId="155D8553" w14:textId="77777777" w:rsidR="00B837A4" w:rsidRPr="00A92F71" w:rsidRDefault="00B837A4">
                        <w:pPr>
                          <w:pStyle w:val="TableText"/>
                          <w:rPr>
                            <w:i/>
                            <w:iCs/>
                          </w:rPr>
                        </w:pPr>
                        <w:r w:rsidRPr="00A92F71">
                          <w:rPr>
                            <w:i/>
                            <w:iCs/>
                          </w:rPr>
                          <w:t>Missing</w:t>
                        </w:r>
                      </w:p>
                    </w:tc>
                    <w:tc>
                      <w:tcPr>
                        <w:tcW w:w="1044" w:type="pct"/>
                        <w:tcBorders>
                          <w:top w:val="single" w:sz="4" w:space="0" w:color="auto"/>
                          <w:left w:val="single" w:sz="4" w:space="0" w:color="auto"/>
                          <w:bottom w:val="single" w:sz="4" w:space="0" w:color="auto"/>
                          <w:right w:val="single" w:sz="4" w:space="0" w:color="auto"/>
                        </w:tcBorders>
                        <w:noWrap/>
                        <w:hideMark/>
                      </w:tcPr>
                      <w:p w14:paraId="3FD0888F" w14:textId="4055183F" w:rsidR="00B837A4" w:rsidRPr="00A92F71" w:rsidRDefault="00B837A4">
                        <w:pPr>
                          <w:pStyle w:val="TableText"/>
                        </w:pPr>
                        <w:r w:rsidRPr="00A92F71">
                          <w:t>46</w:t>
                        </w:r>
                        <w:r w:rsidR="00865A65">
                          <w:t>,</w:t>
                        </w:r>
                        <w:r w:rsidRPr="00A92F71">
                          <w:t>538</w:t>
                        </w:r>
                      </w:p>
                    </w:tc>
                    <w:tc>
                      <w:tcPr>
                        <w:tcW w:w="627" w:type="pct"/>
                        <w:tcBorders>
                          <w:top w:val="single" w:sz="4" w:space="0" w:color="auto"/>
                          <w:left w:val="single" w:sz="4" w:space="0" w:color="auto"/>
                          <w:bottom w:val="single" w:sz="4" w:space="0" w:color="auto"/>
                          <w:right w:val="single" w:sz="4" w:space="0" w:color="auto"/>
                        </w:tcBorders>
                        <w:noWrap/>
                        <w:hideMark/>
                      </w:tcPr>
                      <w:p w14:paraId="3E13B3C3" w14:textId="77777777" w:rsidR="00B837A4" w:rsidRPr="00A92F71" w:rsidRDefault="00B837A4">
                        <w:pPr>
                          <w:pStyle w:val="TableText"/>
                        </w:pPr>
                        <w:r w:rsidRPr="00A92F71">
                          <w:t>36.8</w:t>
                        </w:r>
                      </w:p>
                    </w:tc>
                  </w:tr>
                  <w:tr w:rsidR="00B837A4" w:rsidRPr="00A92F71" w14:paraId="01D11B2A" w14:textId="77777777">
                    <w:trPr>
                      <w:trHeight w:val="29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A5BA0AF" w14:textId="77777777" w:rsidR="00B837A4" w:rsidRPr="006C49E0" w:rsidRDefault="00B837A4">
                        <w:pPr>
                          <w:pStyle w:val="TableText"/>
                        </w:pPr>
                      </w:p>
                    </w:tc>
                    <w:tc>
                      <w:tcPr>
                        <w:tcW w:w="1475" w:type="pct"/>
                        <w:tcBorders>
                          <w:top w:val="single" w:sz="4" w:space="0" w:color="auto"/>
                          <w:left w:val="single" w:sz="4" w:space="0" w:color="auto"/>
                          <w:bottom w:val="single" w:sz="4" w:space="0" w:color="auto"/>
                          <w:right w:val="single" w:sz="4" w:space="0" w:color="auto"/>
                        </w:tcBorders>
                        <w:noWrap/>
                        <w:hideMark/>
                      </w:tcPr>
                      <w:p w14:paraId="7830154A" w14:textId="77777777" w:rsidR="00B837A4" w:rsidRPr="00A92F71" w:rsidRDefault="00B837A4">
                        <w:pPr>
                          <w:pStyle w:val="TableText"/>
                        </w:pPr>
                        <w:r w:rsidRPr="00A92F71">
                          <w:t>Female</w:t>
                        </w:r>
                      </w:p>
                    </w:tc>
                    <w:tc>
                      <w:tcPr>
                        <w:tcW w:w="1044" w:type="pct"/>
                        <w:tcBorders>
                          <w:top w:val="single" w:sz="4" w:space="0" w:color="auto"/>
                          <w:left w:val="single" w:sz="4" w:space="0" w:color="auto"/>
                          <w:bottom w:val="single" w:sz="4" w:space="0" w:color="auto"/>
                          <w:right w:val="single" w:sz="4" w:space="0" w:color="auto"/>
                        </w:tcBorders>
                        <w:noWrap/>
                        <w:hideMark/>
                      </w:tcPr>
                      <w:p w14:paraId="67ADAF2B" w14:textId="1B900799" w:rsidR="00B837A4" w:rsidRPr="00A92F71" w:rsidRDefault="00B837A4">
                        <w:pPr>
                          <w:pStyle w:val="TableText"/>
                        </w:pPr>
                        <w:r w:rsidRPr="00A92F71">
                          <w:t>48</w:t>
                        </w:r>
                        <w:r w:rsidR="00865A65">
                          <w:t>,</w:t>
                        </w:r>
                        <w:r w:rsidRPr="00A92F71">
                          <w:t>002</w:t>
                        </w:r>
                      </w:p>
                    </w:tc>
                    <w:tc>
                      <w:tcPr>
                        <w:tcW w:w="627" w:type="pct"/>
                        <w:tcBorders>
                          <w:top w:val="single" w:sz="4" w:space="0" w:color="auto"/>
                          <w:left w:val="single" w:sz="4" w:space="0" w:color="auto"/>
                          <w:bottom w:val="single" w:sz="4" w:space="0" w:color="auto"/>
                          <w:right w:val="single" w:sz="4" w:space="0" w:color="auto"/>
                        </w:tcBorders>
                        <w:noWrap/>
                        <w:hideMark/>
                      </w:tcPr>
                      <w:p w14:paraId="0D25E50F" w14:textId="77777777" w:rsidR="00B837A4" w:rsidRPr="00A92F71" w:rsidRDefault="00B837A4">
                        <w:pPr>
                          <w:pStyle w:val="TableText"/>
                        </w:pPr>
                        <w:r w:rsidRPr="00A92F71">
                          <w:t>37.9</w:t>
                        </w:r>
                      </w:p>
                    </w:tc>
                  </w:tr>
                  <w:tr w:rsidR="00B837A4" w:rsidRPr="00A92F71" w14:paraId="6226ABDE" w14:textId="77777777">
                    <w:trPr>
                      <w:trHeight w:val="29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E0BBBE6" w14:textId="77777777" w:rsidR="00B837A4" w:rsidRPr="006C49E0" w:rsidRDefault="00B837A4">
                        <w:pPr>
                          <w:pStyle w:val="TableText"/>
                        </w:pPr>
                      </w:p>
                    </w:tc>
                    <w:tc>
                      <w:tcPr>
                        <w:tcW w:w="1475" w:type="pct"/>
                        <w:tcBorders>
                          <w:top w:val="single" w:sz="4" w:space="0" w:color="auto"/>
                          <w:left w:val="single" w:sz="4" w:space="0" w:color="auto"/>
                          <w:bottom w:val="single" w:sz="4" w:space="0" w:color="auto"/>
                          <w:right w:val="single" w:sz="4" w:space="0" w:color="auto"/>
                        </w:tcBorders>
                        <w:noWrap/>
                        <w:hideMark/>
                      </w:tcPr>
                      <w:p w14:paraId="333455C0" w14:textId="77777777" w:rsidR="00B837A4" w:rsidRPr="00A92F71" w:rsidRDefault="00B837A4">
                        <w:pPr>
                          <w:pStyle w:val="TableText"/>
                        </w:pPr>
                        <w:r w:rsidRPr="00A92F71">
                          <w:t>Male</w:t>
                        </w:r>
                      </w:p>
                    </w:tc>
                    <w:tc>
                      <w:tcPr>
                        <w:tcW w:w="1044" w:type="pct"/>
                        <w:tcBorders>
                          <w:top w:val="single" w:sz="4" w:space="0" w:color="auto"/>
                          <w:left w:val="single" w:sz="4" w:space="0" w:color="auto"/>
                          <w:bottom w:val="single" w:sz="4" w:space="0" w:color="auto"/>
                          <w:right w:val="single" w:sz="4" w:space="0" w:color="auto"/>
                        </w:tcBorders>
                        <w:noWrap/>
                        <w:hideMark/>
                      </w:tcPr>
                      <w:p w14:paraId="79CA8681" w14:textId="7F8042D5" w:rsidR="00B837A4" w:rsidRPr="00A92F71" w:rsidRDefault="00B837A4">
                        <w:pPr>
                          <w:pStyle w:val="TableText"/>
                        </w:pPr>
                        <w:r w:rsidRPr="00A92F71">
                          <w:t>30</w:t>
                        </w:r>
                        <w:r w:rsidR="00865A65">
                          <w:t>,</w:t>
                        </w:r>
                        <w:r w:rsidRPr="00A92F71">
                          <w:t>950</w:t>
                        </w:r>
                      </w:p>
                    </w:tc>
                    <w:tc>
                      <w:tcPr>
                        <w:tcW w:w="627" w:type="pct"/>
                        <w:tcBorders>
                          <w:top w:val="single" w:sz="4" w:space="0" w:color="auto"/>
                          <w:left w:val="single" w:sz="4" w:space="0" w:color="auto"/>
                          <w:bottom w:val="single" w:sz="4" w:space="0" w:color="auto"/>
                          <w:right w:val="single" w:sz="4" w:space="0" w:color="auto"/>
                        </w:tcBorders>
                        <w:noWrap/>
                        <w:hideMark/>
                      </w:tcPr>
                      <w:p w14:paraId="6997084F" w14:textId="77777777" w:rsidR="00B837A4" w:rsidRPr="00A92F71" w:rsidRDefault="00B837A4">
                        <w:pPr>
                          <w:pStyle w:val="TableText"/>
                        </w:pPr>
                        <w:r w:rsidRPr="00A92F71">
                          <w:t>24.4</w:t>
                        </w:r>
                      </w:p>
                    </w:tc>
                  </w:tr>
                  <w:tr w:rsidR="00B837A4" w:rsidRPr="00A92F71" w14:paraId="43B12EE3" w14:textId="77777777">
                    <w:trPr>
                      <w:trHeight w:val="29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09C5671" w14:textId="77777777" w:rsidR="00B837A4" w:rsidRPr="006C49E0" w:rsidRDefault="00B837A4">
                        <w:pPr>
                          <w:pStyle w:val="TableText"/>
                        </w:pPr>
                      </w:p>
                    </w:tc>
                    <w:tc>
                      <w:tcPr>
                        <w:tcW w:w="1475" w:type="pct"/>
                        <w:tcBorders>
                          <w:top w:val="single" w:sz="4" w:space="0" w:color="auto"/>
                          <w:left w:val="single" w:sz="4" w:space="0" w:color="auto"/>
                          <w:bottom w:val="single" w:sz="4" w:space="0" w:color="auto"/>
                          <w:right w:val="single" w:sz="4" w:space="0" w:color="auto"/>
                        </w:tcBorders>
                        <w:noWrap/>
                        <w:hideMark/>
                      </w:tcPr>
                      <w:p w14:paraId="08ACEB05" w14:textId="77777777" w:rsidR="00B837A4" w:rsidRPr="00A92F71" w:rsidRDefault="00B837A4">
                        <w:pPr>
                          <w:pStyle w:val="TableText"/>
                        </w:pPr>
                        <w:r w:rsidRPr="00A92F71">
                          <w:t>Intersex</w:t>
                        </w:r>
                      </w:p>
                    </w:tc>
                    <w:tc>
                      <w:tcPr>
                        <w:tcW w:w="1044" w:type="pct"/>
                        <w:tcBorders>
                          <w:top w:val="single" w:sz="4" w:space="0" w:color="auto"/>
                          <w:left w:val="single" w:sz="4" w:space="0" w:color="auto"/>
                          <w:bottom w:val="single" w:sz="4" w:space="0" w:color="auto"/>
                          <w:right w:val="single" w:sz="4" w:space="0" w:color="auto"/>
                        </w:tcBorders>
                        <w:noWrap/>
                        <w:hideMark/>
                      </w:tcPr>
                      <w:p w14:paraId="6CC0DA9C" w14:textId="77777777" w:rsidR="00B837A4" w:rsidRPr="00A92F71" w:rsidRDefault="00B837A4">
                        <w:pPr>
                          <w:pStyle w:val="TableText"/>
                        </w:pPr>
                        <w:r w:rsidRPr="00A92F71">
                          <w:t>150</w:t>
                        </w:r>
                      </w:p>
                    </w:tc>
                    <w:tc>
                      <w:tcPr>
                        <w:tcW w:w="627" w:type="pct"/>
                        <w:tcBorders>
                          <w:top w:val="single" w:sz="4" w:space="0" w:color="auto"/>
                          <w:left w:val="single" w:sz="4" w:space="0" w:color="auto"/>
                          <w:bottom w:val="single" w:sz="4" w:space="0" w:color="auto"/>
                          <w:right w:val="single" w:sz="4" w:space="0" w:color="auto"/>
                        </w:tcBorders>
                        <w:noWrap/>
                        <w:hideMark/>
                      </w:tcPr>
                      <w:p w14:paraId="3D8F7611" w14:textId="77777777" w:rsidR="00B837A4" w:rsidRPr="00A92F71" w:rsidRDefault="00B837A4">
                        <w:pPr>
                          <w:pStyle w:val="TableText"/>
                        </w:pPr>
                        <w:r w:rsidRPr="00A92F71">
                          <w:t>0.1</w:t>
                        </w:r>
                      </w:p>
                    </w:tc>
                  </w:tr>
                  <w:tr w:rsidR="00B837A4" w:rsidRPr="00A92F71" w14:paraId="22C392FC" w14:textId="77777777">
                    <w:trPr>
                      <w:trHeight w:val="29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F608397" w14:textId="77777777" w:rsidR="00B837A4" w:rsidRPr="006C49E0" w:rsidRDefault="00B837A4">
                        <w:pPr>
                          <w:pStyle w:val="TableText"/>
                        </w:pPr>
                      </w:p>
                    </w:tc>
                    <w:tc>
                      <w:tcPr>
                        <w:tcW w:w="1475" w:type="pct"/>
                        <w:tcBorders>
                          <w:top w:val="single" w:sz="4" w:space="0" w:color="auto"/>
                          <w:left w:val="single" w:sz="4" w:space="0" w:color="auto"/>
                          <w:bottom w:val="single" w:sz="4" w:space="0" w:color="auto"/>
                          <w:right w:val="single" w:sz="4" w:space="0" w:color="auto"/>
                        </w:tcBorders>
                        <w:noWrap/>
                        <w:hideMark/>
                      </w:tcPr>
                      <w:p w14:paraId="34A542D9" w14:textId="77777777" w:rsidR="00B837A4" w:rsidRPr="00A92F71" w:rsidRDefault="00B837A4">
                        <w:pPr>
                          <w:pStyle w:val="TableText"/>
                        </w:pPr>
                        <w:r w:rsidRPr="00A92F71">
                          <w:t>Nonbinary</w:t>
                        </w:r>
                      </w:p>
                    </w:tc>
                    <w:tc>
                      <w:tcPr>
                        <w:tcW w:w="1044" w:type="pct"/>
                        <w:tcBorders>
                          <w:top w:val="single" w:sz="4" w:space="0" w:color="auto"/>
                          <w:left w:val="single" w:sz="4" w:space="0" w:color="auto"/>
                          <w:bottom w:val="single" w:sz="4" w:space="0" w:color="auto"/>
                          <w:right w:val="single" w:sz="4" w:space="0" w:color="auto"/>
                        </w:tcBorders>
                        <w:noWrap/>
                        <w:hideMark/>
                      </w:tcPr>
                      <w:p w14:paraId="43025693" w14:textId="77777777" w:rsidR="00B837A4" w:rsidRPr="00A92F71" w:rsidRDefault="00B837A4">
                        <w:pPr>
                          <w:pStyle w:val="TableText"/>
                        </w:pPr>
                        <w:r w:rsidRPr="00A92F71">
                          <w:t>40</w:t>
                        </w:r>
                      </w:p>
                    </w:tc>
                    <w:tc>
                      <w:tcPr>
                        <w:tcW w:w="627" w:type="pct"/>
                        <w:tcBorders>
                          <w:top w:val="single" w:sz="4" w:space="0" w:color="auto"/>
                          <w:left w:val="single" w:sz="4" w:space="0" w:color="auto"/>
                          <w:bottom w:val="single" w:sz="4" w:space="0" w:color="auto"/>
                          <w:right w:val="single" w:sz="4" w:space="0" w:color="auto"/>
                        </w:tcBorders>
                        <w:noWrap/>
                        <w:hideMark/>
                      </w:tcPr>
                      <w:p w14:paraId="4BC013C7" w14:textId="77777777" w:rsidR="00B837A4" w:rsidRPr="00A92F71" w:rsidRDefault="00B837A4">
                        <w:pPr>
                          <w:pStyle w:val="TableText"/>
                        </w:pPr>
                        <w:r w:rsidRPr="00A92F71">
                          <w:t>0.03</w:t>
                        </w:r>
                      </w:p>
                    </w:tc>
                  </w:tr>
                  <w:tr w:rsidR="00B837A4" w:rsidRPr="00A92F71" w14:paraId="3EC79DAB" w14:textId="77777777">
                    <w:trPr>
                      <w:trHeight w:val="29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3EA9148" w14:textId="77777777" w:rsidR="00B837A4" w:rsidRPr="006C49E0" w:rsidRDefault="00B837A4">
                        <w:pPr>
                          <w:pStyle w:val="TableText"/>
                        </w:pPr>
                      </w:p>
                    </w:tc>
                    <w:tc>
                      <w:tcPr>
                        <w:tcW w:w="1475" w:type="pct"/>
                        <w:tcBorders>
                          <w:top w:val="single" w:sz="4" w:space="0" w:color="auto"/>
                          <w:left w:val="single" w:sz="4" w:space="0" w:color="auto"/>
                          <w:bottom w:val="single" w:sz="4" w:space="0" w:color="auto"/>
                          <w:right w:val="single" w:sz="4" w:space="0" w:color="auto"/>
                        </w:tcBorders>
                        <w:noWrap/>
                        <w:hideMark/>
                      </w:tcPr>
                      <w:p w14:paraId="18D458CA" w14:textId="77777777" w:rsidR="00B837A4" w:rsidRPr="00A92F71" w:rsidRDefault="00B837A4">
                        <w:pPr>
                          <w:pStyle w:val="TableText"/>
                        </w:pPr>
                        <w:r w:rsidRPr="00A92F71">
                          <w:t>Not stated</w:t>
                        </w:r>
                      </w:p>
                    </w:tc>
                    <w:tc>
                      <w:tcPr>
                        <w:tcW w:w="1044" w:type="pct"/>
                        <w:tcBorders>
                          <w:top w:val="single" w:sz="4" w:space="0" w:color="auto"/>
                          <w:left w:val="single" w:sz="4" w:space="0" w:color="auto"/>
                          <w:bottom w:val="single" w:sz="4" w:space="0" w:color="auto"/>
                          <w:right w:val="single" w:sz="4" w:space="0" w:color="auto"/>
                        </w:tcBorders>
                        <w:noWrap/>
                        <w:hideMark/>
                      </w:tcPr>
                      <w:p w14:paraId="255F0ADC" w14:textId="77777777" w:rsidR="00B837A4" w:rsidRPr="00A92F71" w:rsidRDefault="00B837A4">
                        <w:pPr>
                          <w:pStyle w:val="TableText"/>
                        </w:pPr>
                        <w:r w:rsidRPr="00A92F71">
                          <w:t>907</w:t>
                        </w:r>
                      </w:p>
                    </w:tc>
                    <w:tc>
                      <w:tcPr>
                        <w:tcW w:w="627" w:type="pct"/>
                        <w:tcBorders>
                          <w:top w:val="single" w:sz="4" w:space="0" w:color="auto"/>
                          <w:left w:val="single" w:sz="4" w:space="0" w:color="auto"/>
                          <w:bottom w:val="single" w:sz="4" w:space="0" w:color="auto"/>
                          <w:right w:val="single" w:sz="4" w:space="0" w:color="auto"/>
                        </w:tcBorders>
                        <w:noWrap/>
                        <w:hideMark/>
                      </w:tcPr>
                      <w:p w14:paraId="4A306CB8" w14:textId="77777777" w:rsidR="00B837A4" w:rsidRPr="00A92F71" w:rsidRDefault="00B837A4">
                        <w:pPr>
                          <w:pStyle w:val="TableText"/>
                        </w:pPr>
                        <w:r w:rsidRPr="00A92F71">
                          <w:t>0.7</w:t>
                        </w:r>
                      </w:p>
                    </w:tc>
                  </w:tr>
                  <w:tr w:rsidR="00B837A4" w:rsidRPr="00A92F71" w14:paraId="1F5017A4" w14:textId="77777777">
                    <w:trPr>
                      <w:trHeight w:val="29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AF88643" w14:textId="77777777" w:rsidR="00B837A4" w:rsidRPr="006C49E0" w:rsidRDefault="00B837A4">
                        <w:pPr>
                          <w:pStyle w:val="TableText"/>
                        </w:pPr>
                      </w:p>
                    </w:tc>
                    <w:tc>
                      <w:tcPr>
                        <w:tcW w:w="1475" w:type="pct"/>
                        <w:tcBorders>
                          <w:top w:val="single" w:sz="4" w:space="0" w:color="auto"/>
                          <w:left w:val="single" w:sz="4" w:space="0" w:color="auto"/>
                          <w:bottom w:val="single" w:sz="4" w:space="0" w:color="auto"/>
                          <w:right w:val="single" w:sz="4" w:space="0" w:color="auto"/>
                        </w:tcBorders>
                        <w:noWrap/>
                        <w:hideMark/>
                      </w:tcPr>
                      <w:p w14:paraId="7B436358" w14:textId="77777777" w:rsidR="00B837A4" w:rsidRPr="00A92F71" w:rsidRDefault="00B837A4">
                        <w:pPr>
                          <w:pStyle w:val="TableText"/>
                        </w:pPr>
                        <w:r w:rsidRPr="00A92F71">
                          <w:t>Other</w:t>
                        </w:r>
                      </w:p>
                    </w:tc>
                    <w:tc>
                      <w:tcPr>
                        <w:tcW w:w="1044" w:type="pct"/>
                        <w:tcBorders>
                          <w:top w:val="single" w:sz="4" w:space="0" w:color="auto"/>
                          <w:left w:val="single" w:sz="4" w:space="0" w:color="auto"/>
                          <w:bottom w:val="single" w:sz="4" w:space="0" w:color="auto"/>
                          <w:right w:val="single" w:sz="4" w:space="0" w:color="auto"/>
                        </w:tcBorders>
                        <w:noWrap/>
                        <w:hideMark/>
                      </w:tcPr>
                      <w:p w14:paraId="63473136" w14:textId="77777777" w:rsidR="00B837A4" w:rsidRPr="00A92F71" w:rsidRDefault="00B837A4">
                        <w:pPr>
                          <w:pStyle w:val="TableText"/>
                        </w:pPr>
                        <w:r w:rsidRPr="00A92F71">
                          <w:t>13</w:t>
                        </w:r>
                      </w:p>
                    </w:tc>
                    <w:tc>
                      <w:tcPr>
                        <w:tcW w:w="627" w:type="pct"/>
                        <w:tcBorders>
                          <w:top w:val="single" w:sz="4" w:space="0" w:color="auto"/>
                          <w:left w:val="single" w:sz="4" w:space="0" w:color="auto"/>
                          <w:bottom w:val="single" w:sz="4" w:space="0" w:color="auto"/>
                          <w:right w:val="single" w:sz="4" w:space="0" w:color="auto"/>
                        </w:tcBorders>
                        <w:noWrap/>
                        <w:hideMark/>
                      </w:tcPr>
                      <w:p w14:paraId="3D37C367" w14:textId="77777777" w:rsidR="00B837A4" w:rsidRPr="00A92F71" w:rsidRDefault="00B837A4">
                        <w:pPr>
                          <w:pStyle w:val="TableText"/>
                        </w:pPr>
                        <w:r w:rsidRPr="00A92F71">
                          <w:t>0.01</w:t>
                        </w:r>
                      </w:p>
                    </w:tc>
                  </w:tr>
                  <w:tr w:rsidR="00B837A4" w:rsidRPr="00A92F71" w14:paraId="5B263BDD" w14:textId="77777777">
                    <w:trPr>
                      <w:trHeight w:val="290"/>
                    </w:trPr>
                    <w:tc>
                      <w:tcPr>
                        <w:tcW w:w="1854" w:type="pct"/>
                        <w:vMerge w:val="restart"/>
                        <w:tcBorders>
                          <w:top w:val="single" w:sz="4" w:space="0" w:color="auto"/>
                          <w:left w:val="single" w:sz="4" w:space="0" w:color="auto"/>
                          <w:bottom w:val="single" w:sz="4" w:space="0" w:color="auto"/>
                          <w:right w:val="single" w:sz="4" w:space="0" w:color="auto"/>
                        </w:tcBorders>
                        <w:noWrap/>
                        <w:hideMark/>
                      </w:tcPr>
                      <w:p w14:paraId="5EA7C485" w14:textId="714DD95A" w:rsidR="00B837A4" w:rsidRPr="006C49E0" w:rsidRDefault="00650679">
                        <w:pPr>
                          <w:pStyle w:val="TableText"/>
                        </w:pPr>
                        <w:r w:rsidRPr="006C49E0">
                          <w:t>Aboriginal and Torres Strait Islander</w:t>
                        </w:r>
                      </w:p>
                    </w:tc>
                    <w:tc>
                      <w:tcPr>
                        <w:tcW w:w="1475" w:type="pct"/>
                        <w:tcBorders>
                          <w:top w:val="single" w:sz="4" w:space="0" w:color="auto"/>
                          <w:left w:val="single" w:sz="4" w:space="0" w:color="auto"/>
                          <w:bottom w:val="single" w:sz="4" w:space="0" w:color="auto"/>
                          <w:right w:val="single" w:sz="4" w:space="0" w:color="auto"/>
                        </w:tcBorders>
                        <w:noWrap/>
                        <w:hideMark/>
                      </w:tcPr>
                      <w:p w14:paraId="652B0944" w14:textId="77777777" w:rsidR="00B837A4" w:rsidRPr="00A92F71" w:rsidRDefault="00B837A4">
                        <w:pPr>
                          <w:pStyle w:val="TableText"/>
                          <w:rPr>
                            <w:i/>
                            <w:iCs/>
                          </w:rPr>
                        </w:pPr>
                        <w:r w:rsidRPr="00A92F71">
                          <w:rPr>
                            <w:i/>
                            <w:iCs/>
                          </w:rPr>
                          <w:t>Missing</w:t>
                        </w:r>
                      </w:p>
                    </w:tc>
                    <w:tc>
                      <w:tcPr>
                        <w:tcW w:w="1044" w:type="pct"/>
                        <w:tcBorders>
                          <w:top w:val="single" w:sz="4" w:space="0" w:color="auto"/>
                          <w:left w:val="single" w:sz="4" w:space="0" w:color="auto"/>
                          <w:bottom w:val="single" w:sz="4" w:space="0" w:color="auto"/>
                          <w:right w:val="single" w:sz="4" w:space="0" w:color="auto"/>
                        </w:tcBorders>
                        <w:noWrap/>
                        <w:hideMark/>
                      </w:tcPr>
                      <w:p w14:paraId="3F0F6592" w14:textId="7690E5CE" w:rsidR="00B837A4" w:rsidRPr="00A92F71" w:rsidRDefault="00B837A4">
                        <w:pPr>
                          <w:pStyle w:val="TableText"/>
                        </w:pPr>
                        <w:r w:rsidRPr="00A92F71">
                          <w:t>46</w:t>
                        </w:r>
                        <w:r w:rsidR="00865A65">
                          <w:t>,</w:t>
                        </w:r>
                        <w:r w:rsidRPr="00A92F71">
                          <w:t>538</w:t>
                        </w:r>
                      </w:p>
                    </w:tc>
                    <w:tc>
                      <w:tcPr>
                        <w:tcW w:w="627" w:type="pct"/>
                        <w:tcBorders>
                          <w:top w:val="single" w:sz="4" w:space="0" w:color="auto"/>
                          <w:left w:val="single" w:sz="4" w:space="0" w:color="auto"/>
                          <w:bottom w:val="single" w:sz="4" w:space="0" w:color="auto"/>
                          <w:right w:val="single" w:sz="4" w:space="0" w:color="auto"/>
                        </w:tcBorders>
                        <w:noWrap/>
                        <w:hideMark/>
                      </w:tcPr>
                      <w:p w14:paraId="4CB87325" w14:textId="77777777" w:rsidR="00B837A4" w:rsidRPr="00A92F71" w:rsidRDefault="00B837A4">
                        <w:pPr>
                          <w:pStyle w:val="TableText"/>
                        </w:pPr>
                        <w:r w:rsidRPr="00A92F71">
                          <w:t>36.8</w:t>
                        </w:r>
                      </w:p>
                    </w:tc>
                  </w:tr>
                  <w:tr w:rsidR="00B837A4" w:rsidRPr="00A92F71" w14:paraId="7C3E3046" w14:textId="77777777">
                    <w:trPr>
                      <w:trHeight w:val="29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4D37CED" w14:textId="77777777" w:rsidR="00B837A4" w:rsidRPr="006C49E0" w:rsidRDefault="00B837A4">
                        <w:pPr>
                          <w:pStyle w:val="TableText"/>
                        </w:pPr>
                      </w:p>
                    </w:tc>
                    <w:tc>
                      <w:tcPr>
                        <w:tcW w:w="1475" w:type="pct"/>
                        <w:tcBorders>
                          <w:top w:val="single" w:sz="4" w:space="0" w:color="auto"/>
                          <w:left w:val="single" w:sz="4" w:space="0" w:color="auto"/>
                          <w:bottom w:val="single" w:sz="4" w:space="0" w:color="auto"/>
                          <w:right w:val="single" w:sz="4" w:space="0" w:color="auto"/>
                        </w:tcBorders>
                        <w:noWrap/>
                        <w:hideMark/>
                      </w:tcPr>
                      <w:p w14:paraId="206C82AA" w14:textId="77777777" w:rsidR="00B837A4" w:rsidRPr="00A92F71" w:rsidRDefault="00B837A4">
                        <w:pPr>
                          <w:pStyle w:val="TableText"/>
                        </w:pPr>
                        <w:r w:rsidRPr="00A92F71">
                          <w:t>Aboriginal</w:t>
                        </w:r>
                      </w:p>
                    </w:tc>
                    <w:tc>
                      <w:tcPr>
                        <w:tcW w:w="1044" w:type="pct"/>
                        <w:tcBorders>
                          <w:top w:val="single" w:sz="4" w:space="0" w:color="auto"/>
                          <w:left w:val="single" w:sz="4" w:space="0" w:color="auto"/>
                          <w:bottom w:val="single" w:sz="4" w:space="0" w:color="auto"/>
                          <w:right w:val="single" w:sz="4" w:space="0" w:color="auto"/>
                        </w:tcBorders>
                        <w:noWrap/>
                        <w:hideMark/>
                      </w:tcPr>
                      <w:p w14:paraId="7DDD832E" w14:textId="2FCCF690" w:rsidR="00B837A4" w:rsidRPr="00A92F71" w:rsidRDefault="00B837A4">
                        <w:pPr>
                          <w:pStyle w:val="TableText"/>
                        </w:pPr>
                        <w:r w:rsidRPr="00A92F71">
                          <w:t>4</w:t>
                        </w:r>
                        <w:r w:rsidR="00865A65">
                          <w:t>,</w:t>
                        </w:r>
                        <w:r w:rsidRPr="00A92F71">
                          <w:t>643</w:t>
                        </w:r>
                      </w:p>
                    </w:tc>
                    <w:tc>
                      <w:tcPr>
                        <w:tcW w:w="627" w:type="pct"/>
                        <w:tcBorders>
                          <w:top w:val="single" w:sz="4" w:space="0" w:color="auto"/>
                          <w:left w:val="single" w:sz="4" w:space="0" w:color="auto"/>
                          <w:bottom w:val="single" w:sz="4" w:space="0" w:color="auto"/>
                          <w:right w:val="single" w:sz="4" w:space="0" w:color="auto"/>
                        </w:tcBorders>
                        <w:noWrap/>
                        <w:hideMark/>
                      </w:tcPr>
                      <w:p w14:paraId="35FE6A3B" w14:textId="77777777" w:rsidR="00B837A4" w:rsidRPr="00A92F71" w:rsidRDefault="00B837A4">
                        <w:pPr>
                          <w:pStyle w:val="TableText"/>
                        </w:pPr>
                        <w:r w:rsidRPr="00A92F71">
                          <w:t>3.7</w:t>
                        </w:r>
                      </w:p>
                    </w:tc>
                  </w:tr>
                  <w:tr w:rsidR="00B837A4" w:rsidRPr="00A92F71" w14:paraId="55116AD9" w14:textId="77777777">
                    <w:trPr>
                      <w:trHeight w:val="29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8CEDB45" w14:textId="77777777" w:rsidR="00B837A4" w:rsidRPr="006C49E0" w:rsidRDefault="00B837A4">
                        <w:pPr>
                          <w:pStyle w:val="TableText"/>
                        </w:pPr>
                      </w:p>
                    </w:tc>
                    <w:tc>
                      <w:tcPr>
                        <w:tcW w:w="1475" w:type="pct"/>
                        <w:tcBorders>
                          <w:top w:val="single" w:sz="4" w:space="0" w:color="auto"/>
                          <w:left w:val="single" w:sz="4" w:space="0" w:color="auto"/>
                          <w:bottom w:val="single" w:sz="4" w:space="0" w:color="auto"/>
                          <w:right w:val="single" w:sz="4" w:space="0" w:color="auto"/>
                        </w:tcBorders>
                        <w:noWrap/>
                        <w:hideMark/>
                      </w:tcPr>
                      <w:p w14:paraId="32BEF15C" w14:textId="77777777" w:rsidR="00B837A4" w:rsidRPr="00A92F71" w:rsidRDefault="00B837A4">
                        <w:pPr>
                          <w:pStyle w:val="TableText"/>
                        </w:pPr>
                        <w:r w:rsidRPr="00A92F71">
                          <w:t>Torres Strait Islander</w:t>
                        </w:r>
                      </w:p>
                    </w:tc>
                    <w:tc>
                      <w:tcPr>
                        <w:tcW w:w="1044" w:type="pct"/>
                        <w:tcBorders>
                          <w:top w:val="single" w:sz="4" w:space="0" w:color="auto"/>
                          <w:left w:val="single" w:sz="4" w:space="0" w:color="auto"/>
                          <w:bottom w:val="single" w:sz="4" w:space="0" w:color="auto"/>
                          <w:right w:val="single" w:sz="4" w:space="0" w:color="auto"/>
                        </w:tcBorders>
                        <w:noWrap/>
                        <w:hideMark/>
                      </w:tcPr>
                      <w:p w14:paraId="623E23AC" w14:textId="77777777" w:rsidR="00B837A4" w:rsidRPr="00A92F71" w:rsidRDefault="00B837A4">
                        <w:pPr>
                          <w:pStyle w:val="TableText"/>
                        </w:pPr>
                        <w:r w:rsidRPr="00A92F71">
                          <w:t>106</w:t>
                        </w:r>
                      </w:p>
                    </w:tc>
                    <w:tc>
                      <w:tcPr>
                        <w:tcW w:w="627" w:type="pct"/>
                        <w:tcBorders>
                          <w:top w:val="single" w:sz="4" w:space="0" w:color="auto"/>
                          <w:left w:val="single" w:sz="4" w:space="0" w:color="auto"/>
                          <w:bottom w:val="single" w:sz="4" w:space="0" w:color="auto"/>
                          <w:right w:val="single" w:sz="4" w:space="0" w:color="auto"/>
                        </w:tcBorders>
                        <w:noWrap/>
                        <w:hideMark/>
                      </w:tcPr>
                      <w:p w14:paraId="04EB61BE" w14:textId="77777777" w:rsidR="00B837A4" w:rsidRPr="00A92F71" w:rsidRDefault="00B837A4">
                        <w:pPr>
                          <w:pStyle w:val="TableText"/>
                        </w:pPr>
                        <w:r w:rsidRPr="00A92F71">
                          <w:t>0.1</w:t>
                        </w:r>
                      </w:p>
                    </w:tc>
                  </w:tr>
                  <w:tr w:rsidR="00B837A4" w:rsidRPr="00A92F71" w14:paraId="342B1490" w14:textId="77777777">
                    <w:trPr>
                      <w:trHeight w:val="29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83CE2D9" w14:textId="77777777" w:rsidR="00B837A4" w:rsidRPr="006C49E0" w:rsidRDefault="00B837A4">
                        <w:pPr>
                          <w:pStyle w:val="TableText"/>
                        </w:pPr>
                      </w:p>
                    </w:tc>
                    <w:tc>
                      <w:tcPr>
                        <w:tcW w:w="1475" w:type="pct"/>
                        <w:tcBorders>
                          <w:top w:val="single" w:sz="4" w:space="0" w:color="auto"/>
                          <w:left w:val="single" w:sz="4" w:space="0" w:color="auto"/>
                          <w:bottom w:val="single" w:sz="4" w:space="0" w:color="auto"/>
                          <w:right w:val="single" w:sz="4" w:space="0" w:color="auto"/>
                        </w:tcBorders>
                        <w:noWrap/>
                        <w:hideMark/>
                      </w:tcPr>
                      <w:p w14:paraId="72D75467" w14:textId="77777777" w:rsidR="00B837A4" w:rsidRPr="00A92F71" w:rsidRDefault="00B837A4">
                        <w:pPr>
                          <w:pStyle w:val="TableText"/>
                        </w:pPr>
                        <w:r w:rsidRPr="00A92F71">
                          <w:t>Both</w:t>
                        </w:r>
                      </w:p>
                    </w:tc>
                    <w:tc>
                      <w:tcPr>
                        <w:tcW w:w="1044" w:type="pct"/>
                        <w:tcBorders>
                          <w:top w:val="single" w:sz="4" w:space="0" w:color="auto"/>
                          <w:left w:val="single" w:sz="4" w:space="0" w:color="auto"/>
                          <w:bottom w:val="single" w:sz="4" w:space="0" w:color="auto"/>
                          <w:right w:val="single" w:sz="4" w:space="0" w:color="auto"/>
                        </w:tcBorders>
                        <w:noWrap/>
                        <w:hideMark/>
                      </w:tcPr>
                      <w:p w14:paraId="49CDEEC0" w14:textId="77777777" w:rsidR="00B837A4" w:rsidRPr="00A92F71" w:rsidRDefault="00B837A4">
                        <w:pPr>
                          <w:pStyle w:val="TableText"/>
                        </w:pPr>
                        <w:r w:rsidRPr="00A92F71">
                          <w:t>294</w:t>
                        </w:r>
                      </w:p>
                    </w:tc>
                    <w:tc>
                      <w:tcPr>
                        <w:tcW w:w="627" w:type="pct"/>
                        <w:tcBorders>
                          <w:top w:val="single" w:sz="4" w:space="0" w:color="auto"/>
                          <w:left w:val="single" w:sz="4" w:space="0" w:color="auto"/>
                          <w:bottom w:val="single" w:sz="4" w:space="0" w:color="auto"/>
                          <w:right w:val="single" w:sz="4" w:space="0" w:color="auto"/>
                        </w:tcBorders>
                        <w:noWrap/>
                        <w:hideMark/>
                      </w:tcPr>
                      <w:p w14:paraId="7C4D14FC" w14:textId="77777777" w:rsidR="00B837A4" w:rsidRPr="00A92F71" w:rsidRDefault="00B837A4">
                        <w:pPr>
                          <w:pStyle w:val="TableText"/>
                        </w:pPr>
                        <w:r w:rsidRPr="00A92F71">
                          <w:t>0.2</w:t>
                        </w:r>
                      </w:p>
                    </w:tc>
                  </w:tr>
                  <w:tr w:rsidR="00B837A4" w:rsidRPr="00A92F71" w14:paraId="0D80556E" w14:textId="77777777">
                    <w:trPr>
                      <w:trHeight w:val="29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3C0AC74" w14:textId="77777777" w:rsidR="00B837A4" w:rsidRPr="006C49E0" w:rsidRDefault="00B837A4">
                        <w:pPr>
                          <w:pStyle w:val="TableText"/>
                        </w:pPr>
                      </w:p>
                    </w:tc>
                    <w:tc>
                      <w:tcPr>
                        <w:tcW w:w="1475" w:type="pct"/>
                        <w:tcBorders>
                          <w:top w:val="single" w:sz="4" w:space="0" w:color="auto"/>
                          <w:left w:val="single" w:sz="4" w:space="0" w:color="auto"/>
                          <w:bottom w:val="single" w:sz="4" w:space="0" w:color="auto"/>
                          <w:right w:val="single" w:sz="4" w:space="0" w:color="auto"/>
                        </w:tcBorders>
                        <w:noWrap/>
                        <w:hideMark/>
                      </w:tcPr>
                      <w:p w14:paraId="41A4DDAB" w14:textId="77777777" w:rsidR="00B837A4" w:rsidRPr="00A92F71" w:rsidRDefault="00B837A4">
                        <w:pPr>
                          <w:pStyle w:val="TableText"/>
                        </w:pPr>
                        <w:r w:rsidRPr="00A92F71">
                          <w:t>Neither</w:t>
                        </w:r>
                      </w:p>
                    </w:tc>
                    <w:tc>
                      <w:tcPr>
                        <w:tcW w:w="1044" w:type="pct"/>
                        <w:tcBorders>
                          <w:top w:val="single" w:sz="4" w:space="0" w:color="auto"/>
                          <w:left w:val="single" w:sz="4" w:space="0" w:color="auto"/>
                          <w:bottom w:val="single" w:sz="4" w:space="0" w:color="auto"/>
                          <w:right w:val="single" w:sz="4" w:space="0" w:color="auto"/>
                        </w:tcBorders>
                        <w:noWrap/>
                        <w:hideMark/>
                      </w:tcPr>
                      <w:p w14:paraId="6CD8C8F4" w14:textId="651BCD59" w:rsidR="00B837A4" w:rsidRPr="00A92F71" w:rsidRDefault="00B837A4">
                        <w:pPr>
                          <w:pStyle w:val="TableText"/>
                        </w:pPr>
                        <w:r w:rsidRPr="00A92F71">
                          <w:t>70</w:t>
                        </w:r>
                        <w:r w:rsidR="00865A65">
                          <w:t>,</w:t>
                        </w:r>
                        <w:r w:rsidRPr="00A92F71">
                          <w:t>122</w:t>
                        </w:r>
                      </w:p>
                    </w:tc>
                    <w:tc>
                      <w:tcPr>
                        <w:tcW w:w="627" w:type="pct"/>
                        <w:tcBorders>
                          <w:top w:val="single" w:sz="4" w:space="0" w:color="auto"/>
                          <w:left w:val="single" w:sz="4" w:space="0" w:color="auto"/>
                          <w:bottom w:val="single" w:sz="4" w:space="0" w:color="auto"/>
                          <w:right w:val="single" w:sz="4" w:space="0" w:color="auto"/>
                        </w:tcBorders>
                        <w:noWrap/>
                        <w:hideMark/>
                      </w:tcPr>
                      <w:p w14:paraId="53A21EB1" w14:textId="77777777" w:rsidR="00B837A4" w:rsidRPr="00A92F71" w:rsidRDefault="00B837A4">
                        <w:pPr>
                          <w:pStyle w:val="TableText"/>
                        </w:pPr>
                        <w:r w:rsidRPr="00A92F71">
                          <w:t>55.4</w:t>
                        </w:r>
                      </w:p>
                    </w:tc>
                  </w:tr>
                  <w:tr w:rsidR="00B837A4" w:rsidRPr="00A92F71" w14:paraId="1294A553" w14:textId="77777777">
                    <w:trPr>
                      <w:trHeight w:val="29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F5A0A5F" w14:textId="77777777" w:rsidR="00B837A4" w:rsidRPr="006C49E0" w:rsidRDefault="00B837A4">
                        <w:pPr>
                          <w:pStyle w:val="TableText"/>
                        </w:pPr>
                      </w:p>
                    </w:tc>
                    <w:tc>
                      <w:tcPr>
                        <w:tcW w:w="1475" w:type="pct"/>
                        <w:tcBorders>
                          <w:top w:val="single" w:sz="4" w:space="0" w:color="auto"/>
                          <w:left w:val="single" w:sz="4" w:space="0" w:color="auto"/>
                          <w:bottom w:val="single" w:sz="4" w:space="0" w:color="auto"/>
                          <w:right w:val="single" w:sz="4" w:space="0" w:color="auto"/>
                        </w:tcBorders>
                        <w:noWrap/>
                        <w:hideMark/>
                      </w:tcPr>
                      <w:p w14:paraId="0C4C94D7" w14:textId="77777777" w:rsidR="00B837A4" w:rsidRPr="00A92F71" w:rsidRDefault="00B837A4">
                        <w:pPr>
                          <w:pStyle w:val="TableText"/>
                        </w:pPr>
                        <w:r w:rsidRPr="00A92F71">
                          <w:t>Not stated</w:t>
                        </w:r>
                      </w:p>
                    </w:tc>
                    <w:tc>
                      <w:tcPr>
                        <w:tcW w:w="1044" w:type="pct"/>
                        <w:tcBorders>
                          <w:top w:val="single" w:sz="4" w:space="0" w:color="auto"/>
                          <w:left w:val="single" w:sz="4" w:space="0" w:color="auto"/>
                          <w:bottom w:val="single" w:sz="4" w:space="0" w:color="auto"/>
                          <w:right w:val="single" w:sz="4" w:space="0" w:color="auto"/>
                        </w:tcBorders>
                        <w:noWrap/>
                        <w:hideMark/>
                      </w:tcPr>
                      <w:p w14:paraId="70F6A3AA" w14:textId="76A1C3C5" w:rsidR="00B837A4" w:rsidRPr="00A92F71" w:rsidRDefault="00B837A4">
                        <w:pPr>
                          <w:pStyle w:val="TableText"/>
                        </w:pPr>
                        <w:r w:rsidRPr="00A92F71">
                          <w:t>4</w:t>
                        </w:r>
                        <w:r w:rsidR="00865A65">
                          <w:t>,</w:t>
                        </w:r>
                        <w:r w:rsidRPr="00A92F71">
                          <w:t>897</w:t>
                        </w:r>
                      </w:p>
                    </w:tc>
                    <w:tc>
                      <w:tcPr>
                        <w:tcW w:w="627" w:type="pct"/>
                        <w:tcBorders>
                          <w:top w:val="single" w:sz="4" w:space="0" w:color="auto"/>
                          <w:left w:val="single" w:sz="4" w:space="0" w:color="auto"/>
                          <w:bottom w:val="single" w:sz="4" w:space="0" w:color="auto"/>
                          <w:right w:val="single" w:sz="4" w:space="0" w:color="auto"/>
                        </w:tcBorders>
                        <w:noWrap/>
                        <w:hideMark/>
                      </w:tcPr>
                      <w:p w14:paraId="40F1AD5D" w14:textId="77777777" w:rsidR="00B837A4" w:rsidRPr="00A92F71" w:rsidRDefault="00B837A4">
                        <w:pPr>
                          <w:pStyle w:val="TableText"/>
                        </w:pPr>
                        <w:r w:rsidRPr="00A92F71">
                          <w:t>3.9</w:t>
                        </w:r>
                      </w:p>
                    </w:tc>
                  </w:tr>
                  <w:tr w:rsidR="00B837A4" w:rsidRPr="00A92F71" w14:paraId="7DCBD5A6" w14:textId="77777777">
                    <w:trPr>
                      <w:trHeight w:val="290"/>
                    </w:trPr>
                    <w:tc>
                      <w:tcPr>
                        <w:tcW w:w="1854" w:type="pct"/>
                        <w:tcBorders>
                          <w:top w:val="single" w:sz="4" w:space="0" w:color="auto"/>
                          <w:left w:val="single" w:sz="4" w:space="0" w:color="auto"/>
                          <w:bottom w:val="single" w:sz="4" w:space="0" w:color="auto"/>
                          <w:right w:val="single" w:sz="4" w:space="0" w:color="auto"/>
                        </w:tcBorders>
                        <w:noWrap/>
                        <w:hideMark/>
                      </w:tcPr>
                      <w:p w14:paraId="6B972124" w14:textId="77777777" w:rsidR="00B837A4" w:rsidRPr="006C49E0" w:rsidRDefault="00B837A4">
                        <w:pPr>
                          <w:pStyle w:val="TableText"/>
                        </w:pPr>
                        <w:r w:rsidRPr="006C49E0">
                          <w:t>Age &lt;18 in any session</w:t>
                        </w:r>
                      </w:p>
                    </w:tc>
                    <w:tc>
                      <w:tcPr>
                        <w:tcW w:w="1475" w:type="pct"/>
                        <w:tcBorders>
                          <w:top w:val="single" w:sz="4" w:space="0" w:color="auto"/>
                          <w:left w:val="single" w:sz="4" w:space="0" w:color="auto"/>
                          <w:bottom w:val="single" w:sz="4" w:space="0" w:color="auto"/>
                          <w:right w:val="single" w:sz="4" w:space="0" w:color="auto"/>
                        </w:tcBorders>
                        <w:noWrap/>
                        <w:hideMark/>
                      </w:tcPr>
                      <w:p w14:paraId="1FDF4091" w14:textId="7CDE7DEE" w:rsidR="00B837A4" w:rsidRPr="00A92F71" w:rsidRDefault="00B837A4">
                        <w:pPr>
                          <w:pStyle w:val="TableText"/>
                        </w:pPr>
                        <w:r w:rsidRPr="00A92F71">
                          <w:t>U</w:t>
                        </w:r>
                        <w:r w:rsidR="00570A17">
                          <w:t xml:space="preserve">nder </w:t>
                        </w:r>
                        <w:r w:rsidRPr="00A92F71">
                          <w:t>18</w:t>
                        </w:r>
                      </w:p>
                    </w:tc>
                    <w:tc>
                      <w:tcPr>
                        <w:tcW w:w="1044" w:type="pct"/>
                        <w:tcBorders>
                          <w:top w:val="single" w:sz="4" w:space="0" w:color="auto"/>
                          <w:left w:val="single" w:sz="4" w:space="0" w:color="auto"/>
                          <w:bottom w:val="single" w:sz="4" w:space="0" w:color="auto"/>
                          <w:right w:val="single" w:sz="4" w:space="0" w:color="auto"/>
                        </w:tcBorders>
                        <w:noWrap/>
                        <w:hideMark/>
                      </w:tcPr>
                      <w:p w14:paraId="52BCB019" w14:textId="36E040BF" w:rsidR="00B837A4" w:rsidRPr="00A92F71" w:rsidRDefault="00B837A4">
                        <w:pPr>
                          <w:pStyle w:val="TableText"/>
                        </w:pPr>
                        <w:r w:rsidRPr="00A92F71">
                          <w:t>12</w:t>
                        </w:r>
                        <w:r w:rsidR="00865A65">
                          <w:t>,</w:t>
                        </w:r>
                        <w:r w:rsidRPr="00A92F71">
                          <w:t>061</w:t>
                        </w:r>
                      </w:p>
                    </w:tc>
                    <w:tc>
                      <w:tcPr>
                        <w:tcW w:w="627" w:type="pct"/>
                        <w:tcBorders>
                          <w:top w:val="single" w:sz="4" w:space="0" w:color="auto"/>
                          <w:left w:val="single" w:sz="4" w:space="0" w:color="auto"/>
                          <w:bottom w:val="single" w:sz="4" w:space="0" w:color="auto"/>
                          <w:right w:val="single" w:sz="4" w:space="0" w:color="auto"/>
                        </w:tcBorders>
                        <w:noWrap/>
                        <w:hideMark/>
                      </w:tcPr>
                      <w:p w14:paraId="2BBC9C7B" w14:textId="77777777" w:rsidR="00B837A4" w:rsidRPr="00A92F71" w:rsidRDefault="00B837A4">
                        <w:pPr>
                          <w:pStyle w:val="TableText"/>
                        </w:pPr>
                        <w:r w:rsidRPr="00A92F71">
                          <w:t>9.5</w:t>
                        </w:r>
                      </w:p>
                    </w:tc>
                  </w:tr>
                  <w:tr w:rsidR="00B837A4" w:rsidRPr="00A92F71" w14:paraId="55D8B003" w14:textId="77777777">
                    <w:trPr>
                      <w:trHeight w:val="290"/>
                    </w:trPr>
                    <w:tc>
                      <w:tcPr>
                        <w:tcW w:w="1854" w:type="pct"/>
                        <w:vMerge w:val="restart"/>
                        <w:tcBorders>
                          <w:top w:val="single" w:sz="4" w:space="0" w:color="auto"/>
                          <w:left w:val="single" w:sz="4" w:space="0" w:color="auto"/>
                          <w:bottom w:val="single" w:sz="4" w:space="0" w:color="auto"/>
                          <w:right w:val="single" w:sz="4" w:space="0" w:color="auto"/>
                        </w:tcBorders>
                        <w:noWrap/>
                        <w:hideMark/>
                      </w:tcPr>
                      <w:p w14:paraId="0FD03FA3" w14:textId="77777777" w:rsidR="00B837A4" w:rsidRPr="006C49E0" w:rsidRDefault="00B837A4">
                        <w:pPr>
                          <w:pStyle w:val="TableText"/>
                        </w:pPr>
                        <w:r w:rsidRPr="006C49E0">
                          <w:t>Disabilities</w:t>
                        </w:r>
                      </w:p>
                    </w:tc>
                    <w:tc>
                      <w:tcPr>
                        <w:tcW w:w="1475" w:type="pct"/>
                        <w:tcBorders>
                          <w:top w:val="single" w:sz="4" w:space="0" w:color="auto"/>
                          <w:left w:val="single" w:sz="4" w:space="0" w:color="auto"/>
                          <w:bottom w:val="single" w:sz="4" w:space="0" w:color="auto"/>
                          <w:right w:val="single" w:sz="4" w:space="0" w:color="auto"/>
                        </w:tcBorders>
                        <w:noWrap/>
                        <w:hideMark/>
                      </w:tcPr>
                      <w:p w14:paraId="43260D48" w14:textId="77777777" w:rsidR="00B837A4" w:rsidRPr="00A92F71" w:rsidRDefault="00B837A4">
                        <w:pPr>
                          <w:pStyle w:val="TableText"/>
                        </w:pPr>
                        <w:r w:rsidRPr="00A92F71">
                          <w:t>Learning</w:t>
                        </w:r>
                      </w:p>
                    </w:tc>
                    <w:tc>
                      <w:tcPr>
                        <w:tcW w:w="1044" w:type="pct"/>
                        <w:tcBorders>
                          <w:top w:val="single" w:sz="4" w:space="0" w:color="auto"/>
                          <w:left w:val="single" w:sz="4" w:space="0" w:color="auto"/>
                          <w:bottom w:val="single" w:sz="4" w:space="0" w:color="auto"/>
                          <w:right w:val="single" w:sz="4" w:space="0" w:color="auto"/>
                        </w:tcBorders>
                        <w:noWrap/>
                        <w:hideMark/>
                      </w:tcPr>
                      <w:p w14:paraId="25D85E6C" w14:textId="7A44FABA" w:rsidR="00B837A4" w:rsidRPr="00A92F71" w:rsidRDefault="00B837A4">
                        <w:pPr>
                          <w:pStyle w:val="TableText"/>
                        </w:pPr>
                        <w:r w:rsidRPr="00A92F71">
                          <w:t>1</w:t>
                        </w:r>
                        <w:r w:rsidR="00865A65">
                          <w:t>,</w:t>
                        </w:r>
                        <w:r w:rsidRPr="00A92F71">
                          <w:t>564</w:t>
                        </w:r>
                      </w:p>
                    </w:tc>
                    <w:tc>
                      <w:tcPr>
                        <w:tcW w:w="627" w:type="pct"/>
                        <w:tcBorders>
                          <w:top w:val="single" w:sz="4" w:space="0" w:color="auto"/>
                          <w:left w:val="single" w:sz="4" w:space="0" w:color="auto"/>
                          <w:bottom w:val="single" w:sz="4" w:space="0" w:color="auto"/>
                          <w:right w:val="single" w:sz="4" w:space="0" w:color="auto"/>
                        </w:tcBorders>
                        <w:noWrap/>
                        <w:hideMark/>
                      </w:tcPr>
                      <w:p w14:paraId="78AB11D9" w14:textId="77777777" w:rsidR="00B837A4" w:rsidRPr="00A92F71" w:rsidRDefault="00B837A4">
                        <w:pPr>
                          <w:pStyle w:val="TableText"/>
                        </w:pPr>
                        <w:r w:rsidRPr="00A92F71">
                          <w:t>1.2</w:t>
                        </w:r>
                      </w:p>
                    </w:tc>
                  </w:tr>
                  <w:tr w:rsidR="00B837A4" w:rsidRPr="00A92F71" w14:paraId="7E9928A4" w14:textId="77777777">
                    <w:trPr>
                      <w:trHeight w:val="29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4E5386E" w14:textId="77777777" w:rsidR="00B837A4" w:rsidRPr="00A92F71" w:rsidRDefault="00B837A4">
                        <w:pPr>
                          <w:pStyle w:val="TableText"/>
                        </w:pPr>
                      </w:p>
                    </w:tc>
                    <w:tc>
                      <w:tcPr>
                        <w:tcW w:w="1475" w:type="pct"/>
                        <w:tcBorders>
                          <w:top w:val="single" w:sz="4" w:space="0" w:color="auto"/>
                          <w:left w:val="single" w:sz="4" w:space="0" w:color="auto"/>
                          <w:bottom w:val="single" w:sz="4" w:space="0" w:color="auto"/>
                          <w:right w:val="single" w:sz="4" w:space="0" w:color="auto"/>
                        </w:tcBorders>
                        <w:noWrap/>
                        <w:hideMark/>
                      </w:tcPr>
                      <w:p w14:paraId="18B2CFE5" w14:textId="77777777" w:rsidR="00B837A4" w:rsidRPr="00A92F71" w:rsidRDefault="00B837A4">
                        <w:pPr>
                          <w:pStyle w:val="TableText"/>
                        </w:pPr>
                        <w:r w:rsidRPr="00A92F71">
                          <w:t>Physical</w:t>
                        </w:r>
                      </w:p>
                    </w:tc>
                    <w:tc>
                      <w:tcPr>
                        <w:tcW w:w="1044" w:type="pct"/>
                        <w:tcBorders>
                          <w:top w:val="single" w:sz="4" w:space="0" w:color="auto"/>
                          <w:left w:val="single" w:sz="4" w:space="0" w:color="auto"/>
                          <w:bottom w:val="single" w:sz="4" w:space="0" w:color="auto"/>
                          <w:right w:val="single" w:sz="4" w:space="0" w:color="auto"/>
                        </w:tcBorders>
                        <w:noWrap/>
                        <w:hideMark/>
                      </w:tcPr>
                      <w:p w14:paraId="1EDE4874" w14:textId="31561DC1" w:rsidR="00B837A4" w:rsidRPr="00A92F71" w:rsidRDefault="00B837A4">
                        <w:pPr>
                          <w:pStyle w:val="TableText"/>
                        </w:pPr>
                        <w:r w:rsidRPr="00A92F71">
                          <w:t>2</w:t>
                        </w:r>
                        <w:r w:rsidR="00865A65">
                          <w:t>,</w:t>
                        </w:r>
                        <w:r w:rsidRPr="00A92F71">
                          <w:t>264</w:t>
                        </w:r>
                      </w:p>
                    </w:tc>
                    <w:tc>
                      <w:tcPr>
                        <w:tcW w:w="627" w:type="pct"/>
                        <w:tcBorders>
                          <w:top w:val="single" w:sz="4" w:space="0" w:color="auto"/>
                          <w:left w:val="single" w:sz="4" w:space="0" w:color="auto"/>
                          <w:bottom w:val="single" w:sz="4" w:space="0" w:color="auto"/>
                          <w:right w:val="single" w:sz="4" w:space="0" w:color="auto"/>
                        </w:tcBorders>
                        <w:noWrap/>
                        <w:hideMark/>
                      </w:tcPr>
                      <w:p w14:paraId="508E4FD3" w14:textId="77777777" w:rsidR="00B837A4" w:rsidRPr="00A92F71" w:rsidRDefault="00B837A4">
                        <w:pPr>
                          <w:pStyle w:val="TableText"/>
                        </w:pPr>
                        <w:r w:rsidRPr="00A92F71">
                          <w:t>1.8</w:t>
                        </w:r>
                      </w:p>
                    </w:tc>
                  </w:tr>
                  <w:tr w:rsidR="00B837A4" w:rsidRPr="00A92F71" w14:paraId="5B8FD235" w14:textId="77777777">
                    <w:trPr>
                      <w:trHeight w:val="29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4B9175C" w14:textId="77777777" w:rsidR="00B837A4" w:rsidRPr="00A92F71" w:rsidRDefault="00B837A4">
                        <w:pPr>
                          <w:pStyle w:val="TableText"/>
                        </w:pPr>
                      </w:p>
                    </w:tc>
                    <w:tc>
                      <w:tcPr>
                        <w:tcW w:w="1475" w:type="pct"/>
                        <w:tcBorders>
                          <w:top w:val="single" w:sz="4" w:space="0" w:color="auto"/>
                          <w:left w:val="single" w:sz="4" w:space="0" w:color="auto"/>
                          <w:bottom w:val="single" w:sz="4" w:space="0" w:color="auto"/>
                          <w:right w:val="single" w:sz="4" w:space="0" w:color="auto"/>
                        </w:tcBorders>
                        <w:noWrap/>
                        <w:hideMark/>
                      </w:tcPr>
                      <w:p w14:paraId="5BC200F5" w14:textId="77777777" w:rsidR="00B837A4" w:rsidRPr="00A92F71" w:rsidRDefault="00B837A4">
                        <w:pPr>
                          <w:pStyle w:val="TableText"/>
                        </w:pPr>
                        <w:r w:rsidRPr="00A92F71">
                          <w:t>Psychiatric</w:t>
                        </w:r>
                      </w:p>
                    </w:tc>
                    <w:tc>
                      <w:tcPr>
                        <w:tcW w:w="1044" w:type="pct"/>
                        <w:tcBorders>
                          <w:top w:val="single" w:sz="4" w:space="0" w:color="auto"/>
                          <w:left w:val="single" w:sz="4" w:space="0" w:color="auto"/>
                          <w:bottom w:val="single" w:sz="4" w:space="0" w:color="auto"/>
                          <w:right w:val="single" w:sz="4" w:space="0" w:color="auto"/>
                        </w:tcBorders>
                        <w:noWrap/>
                        <w:hideMark/>
                      </w:tcPr>
                      <w:p w14:paraId="3CAB9D5B" w14:textId="634E2310" w:rsidR="00B837A4" w:rsidRPr="00A92F71" w:rsidRDefault="00B837A4">
                        <w:pPr>
                          <w:pStyle w:val="TableText"/>
                        </w:pPr>
                        <w:r w:rsidRPr="00A92F71">
                          <w:t>4</w:t>
                        </w:r>
                        <w:r w:rsidR="00865A65">
                          <w:t>,</w:t>
                        </w:r>
                        <w:r w:rsidRPr="00A92F71">
                          <w:t>427</w:t>
                        </w:r>
                      </w:p>
                    </w:tc>
                    <w:tc>
                      <w:tcPr>
                        <w:tcW w:w="627" w:type="pct"/>
                        <w:tcBorders>
                          <w:top w:val="single" w:sz="4" w:space="0" w:color="auto"/>
                          <w:left w:val="single" w:sz="4" w:space="0" w:color="auto"/>
                          <w:bottom w:val="single" w:sz="4" w:space="0" w:color="auto"/>
                          <w:right w:val="single" w:sz="4" w:space="0" w:color="auto"/>
                        </w:tcBorders>
                        <w:noWrap/>
                        <w:hideMark/>
                      </w:tcPr>
                      <w:p w14:paraId="1EC08A8C" w14:textId="77777777" w:rsidR="00B837A4" w:rsidRPr="00A92F71" w:rsidRDefault="00B837A4">
                        <w:pPr>
                          <w:pStyle w:val="TableText"/>
                        </w:pPr>
                        <w:r w:rsidRPr="00A92F71">
                          <w:t>3.5</w:t>
                        </w:r>
                      </w:p>
                    </w:tc>
                  </w:tr>
                  <w:tr w:rsidR="00B837A4" w:rsidRPr="00A92F71" w14:paraId="40EF8548" w14:textId="77777777">
                    <w:trPr>
                      <w:trHeight w:val="29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78021AF" w14:textId="77777777" w:rsidR="00B837A4" w:rsidRPr="00A92F71" w:rsidRDefault="00B837A4">
                        <w:pPr>
                          <w:pStyle w:val="TableText"/>
                        </w:pPr>
                      </w:p>
                    </w:tc>
                    <w:tc>
                      <w:tcPr>
                        <w:tcW w:w="1475" w:type="pct"/>
                        <w:tcBorders>
                          <w:top w:val="single" w:sz="4" w:space="0" w:color="auto"/>
                          <w:left w:val="single" w:sz="4" w:space="0" w:color="auto"/>
                          <w:bottom w:val="single" w:sz="4" w:space="0" w:color="auto"/>
                          <w:right w:val="single" w:sz="4" w:space="0" w:color="auto"/>
                        </w:tcBorders>
                        <w:noWrap/>
                        <w:hideMark/>
                      </w:tcPr>
                      <w:p w14:paraId="4998F5AA" w14:textId="77777777" w:rsidR="00B837A4" w:rsidRPr="00A92F71" w:rsidRDefault="00B837A4">
                        <w:pPr>
                          <w:pStyle w:val="TableText"/>
                        </w:pPr>
                        <w:r w:rsidRPr="00A92F71">
                          <w:t>Sensory</w:t>
                        </w:r>
                      </w:p>
                    </w:tc>
                    <w:tc>
                      <w:tcPr>
                        <w:tcW w:w="1044" w:type="pct"/>
                        <w:tcBorders>
                          <w:top w:val="single" w:sz="4" w:space="0" w:color="auto"/>
                          <w:left w:val="single" w:sz="4" w:space="0" w:color="auto"/>
                          <w:bottom w:val="single" w:sz="4" w:space="0" w:color="auto"/>
                          <w:right w:val="single" w:sz="4" w:space="0" w:color="auto"/>
                        </w:tcBorders>
                        <w:noWrap/>
                        <w:hideMark/>
                      </w:tcPr>
                      <w:p w14:paraId="0C15525A" w14:textId="77777777" w:rsidR="00B837A4" w:rsidRPr="00A92F71" w:rsidRDefault="00B837A4">
                        <w:pPr>
                          <w:pStyle w:val="TableText"/>
                        </w:pPr>
                        <w:r w:rsidRPr="00A92F71">
                          <w:t>725</w:t>
                        </w:r>
                      </w:p>
                    </w:tc>
                    <w:tc>
                      <w:tcPr>
                        <w:tcW w:w="627" w:type="pct"/>
                        <w:tcBorders>
                          <w:top w:val="single" w:sz="4" w:space="0" w:color="auto"/>
                          <w:left w:val="single" w:sz="4" w:space="0" w:color="auto"/>
                          <w:bottom w:val="single" w:sz="4" w:space="0" w:color="auto"/>
                          <w:right w:val="single" w:sz="4" w:space="0" w:color="auto"/>
                        </w:tcBorders>
                        <w:noWrap/>
                        <w:hideMark/>
                      </w:tcPr>
                      <w:p w14:paraId="29050723" w14:textId="77777777" w:rsidR="00B837A4" w:rsidRPr="00A92F71" w:rsidRDefault="00B837A4">
                        <w:pPr>
                          <w:pStyle w:val="TableText"/>
                        </w:pPr>
                        <w:r w:rsidRPr="00A92F71">
                          <w:t>0.6</w:t>
                        </w:r>
                      </w:p>
                    </w:tc>
                  </w:tr>
                  <w:tr w:rsidR="00B837A4" w:rsidRPr="00A92F71" w14:paraId="6E751143" w14:textId="77777777">
                    <w:trPr>
                      <w:trHeight w:val="29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FD90481" w14:textId="77777777" w:rsidR="00B837A4" w:rsidRPr="00A92F71" w:rsidRDefault="00B837A4">
                        <w:pPr>
                          <w:pStyle w:val="TableText"/>
                        </w:pPr>
                      </w:p>
                    </w:tc>
                    <w:tc>
                      <w:tcPr>
                        <w:tcW w:w="1475" w:type="pct"/>
                        <w:tcBorders>
                          <w:top w:val="single" w:sz="4" w:space="0" w:color="auto"/>
                          <w:left w:val="single" w:sz="4" w:space="0" w:color="auto"/>
                          <w:bottom w:val="single" w:sz="4" w:space="0" w:color="auto"/>
                          <w:right w:val="single" w:sz="4" w:space="0" w:color="auto"/>
                        </w:tcBorders>
                        <w:noWrap/>
                        <w:hideMark/>
                      </w:tcPr>
                      <w:p w14:paraId="038EB18B" w14:textId="77777777" w:rsidR="00B837A4" w:rsidRPr="00A92F71" w:rsidRDefault="00B837A4">
                        <w:pPr>
                          <w:pStyle w:val="TableText"/>
                        </w:pPr>
                        <w:r w:rsidRPr="00A92F71">
                          <w:t>Any</w:t>
                        </w:r>
                      </w:p>
                    </w:tc>
                    <w:tc>
                      <w:tcPr>
                        <w:tcW w:w="1044" w:type="pct"/>
                        <w:tcBorders>
                          <w:top w:val="single" w:sz="4" w:space="0" w:color="auto"/>
                          <w:left w:val="single" w:sz="4" w:space="0" w:color="auto"/>
                          <w:bottom w:val="single" w:sz="4" w:space="0" w:color="auto"/>
                          <w:right w:val="single" w:sz="4" w:space="0" w:color="auto"/>
                        </w:tcBorders>
                        <w:noWrap/>
                        <w:hideMark/>
                      </w:tcPr>
                      <w:p w14:paraId="143DCB75" w14:textId="07031700" w:rsidR="00B837A4" w:rsidRPr="00A92F71" w:rsidRDefault="00B837A4">
                        <w:pPr>
                          <w:pStyle w:val="TableText"/>
                        </w:pPr>
                        <w:r w:rsidRPr="00A92F71">
                          <w:t>10</w:t>
                        </w:r>
                        <w:r w:rsidR="00865A65">
                          <w:t>,</w:t>
                        </w:r>
                        <w:r w:rsidRPr="00A92F71">
                          <w:t>345</w:t>
                        </w:r>
                      </w:p>
                    </w:tc>
                    <w:tc>
                      <w:tcPr>
                        <w:tcW w:w="627" w:type="pct"/>
                        <w:tcBorders>
                          <w:top w:val="single" w:sz="4" w:space="0" w:color="auto"/>
                          <w:left w:val="single" w:sz="4" w:space="0" w:color="auto"/>
                          <w:bottom w:val="single" w:sz="4" w:space="0" w:color="auto"/>
                          <w:right w:val="single" w:sz="4" w:space="0" w:color="auto"/>
                        </w:tcBorders>
                        <w:noWrap/>
                        <w:hideMark/>
                      </w:tcPr>
                      <w:p w14:paraId="21B3168E" w14:textId="77777777" w:rsidR="00B837A4" w:rsidRPr="00A92F71" w:rsidRDefault="00B837A4">
                        <w:pPr>
                          <w:pStyle w:val="TableText"/>
                        </w:pPr>
                        <w:r w:rsidRPr="00A92F71">
                          <w:t>8.2</w:t>
                        </w:r>
                      </w:p>
                    </w:tc>
                  </w:tr>
                </w:tbl>
                <w:p w14:paraId="6025AAF5" w14:textId="11194EEF" w:rsidR="00B95479" w:rsidRPr="004750D1" w:rsidRDefault="004750D1" w:rsidP="003B085A">
                  <w:pPr>
                    <w:pStyle w:val="Text"/>
                    <w:rPr>
                      <w:i/>
                      <w:iCs/>
                      <w:sz w:val="20"/>
                      <w:szCs w:val="18"/>
                    </w:rPr>
                  </w:pPr>
                  <w:r w:rsidRPr="004750D1">
                    <w:rPr>
                      <w:i/>
                      <w:iCs/>
                      <w:sz w:val="20"/>
                      <w:szCs w:val="18"/>
                    </w:rPr>
                    <w:t xml:space="preserve">Source: DEX-SCORE data </w:t>
                  </w:r>
                </w:p>
                <w:p w14:paraId="1C41B839" w14:textId="11911072" w:rsidR="003B085A" w:rsidRDefault="003B085A" w:rsidP="003B085A">
                  <w:pPr>
                    <w:pStyle w:val="Text"/>
                  </w:pPr>
                  <w:r w:rsidRPr="004236C0">
                    <w:t>Changes in SCORE over the evaluation period were analysed by domain and the following partitions outlined in</w:t>
                  </w:r>
                  <w:r>
                    <w:t xml:space="preserve"> </w:t>
                  </w:r>
                  <w:r w:rsidRPr="007C6029">
                    <w:rPr>
                      <w:b/>
                      <w:bCs/>
                    </w:rPr>
                    <w:fldChar w:fldCharType="begin" w:fldLock="1"/>
                  </w:r>
                  <w:r w:rsidRPr="007C6029">
                    <w:rPr>
                      <w:b/>
                      <w:bCs/>
                    </w:rPr>
                    <w:instrText xml:space="preserve"> REF _Ref204598293 \h  \* MERGEFORMAT </w:instrText>
                  </w:r>
                  <w:r w:rsidRPr="007C6029">
                    <w:rPr>
                      <w:b/>
                      <w:bCs/>
                    </w:rPr>
                  </w:r>
                  <w:r w:rsidRPr="007C6029">
                    <w:rPr>
                      <w:b/>
                      <w:bCs/>
                    </w:rPr>
                    <w:fldChar w:fldCharType="separate"/>
                  </w:r>
                  <w:r w:rsidR="008F22E5" w:rsidRPr="00060E6E">
                    <w:rPr>
                      <w:b/>
                      <w:bCs/>
                      <w:noProof/>
                    </w:rPr>
                    <w:t>Table</w:t>
                  </w:r>
                  <w:r w:rsidR="008F22E5" w:rsidRPr="008F22E5">
                    <w:t xml:space="preserve"> </w:t>
                  </w:r>
                  <w:r w:rsidR="008F22E5" w:rsidRPr="008F22E5">
                    <w:rPr>
                      <w:b/>
                    </w:rPr>
                    <w:t>5</w:t>
                  </w:r>
                  <w:r w:rsidRPr="007C6029">
                    <w:rPr>
                      <w:b/>
                      <w:bCs/>
                    </w:rPr>
                    <w:fldChar w:fldCharType="end"/>
                  </w:r>
                  <w:r w:rsidRPr="004236C0">
                    <w:t xml:space="preserve">. Note that for some cohorts (e.g. gender, </w:t>
                  </w:r>
                  <w:r w:rsidR="00650679">
                    <w:t>Aboriginal and Torres Strait Islander</w:t>
                  </w:r>
                  <w:r w:rsidRPr="004236C0">
                    <w:t xml:space="preserve">, </w:t>
                  </w:r>
                  <w:r w:rsidR="00CE5C6B">
                    <w:t>people</w:t>
                  </w:r>
                  <w:r w:rsidR="00CE5C6B" w:rsidRPr="004236C0">
                    <w:t xml:space="preserve"> </w:t>
                  </w:r>
                  <w:r w:rsidRPr="004236C0">
                    <w:t xml:space="preserve">with </w:t>
                  </w:r>
                  <w:r w:rsidR="00CE5C6B" w:rsidRPr="004236C0">
                    <w:t>disabilit</w:t>
                  </w:r>
                  <w:r w:rsidR="00CE5C6B">
                    <w:t>y</w:t>
                  </w:r>
                  <w:r w:rsidRPr="004236C0">
                    <w:t>) some categories presented in demographics</w:t>
                  </w:r>
                  <w:r>
                    <w:t xml:space="preserve"> </w:t>
                  </w:r>
                  <w:r w:rsidRPr="004236C0">
                    <w:t>have been omitted or aggregated due to the presen</w:t>
                  </w:r>
                  <w:r w:rsidR="002D4BEB">
                    <w:t>ce</w:t>
                  </w:r>
                  <w:r w:rsidRPr="004236C0">
                    <w:t xml:space="preserve"> of small counts presenting issues of identifiability in the data.</w:t>
                  </w:r>
                </w:p>
                <w:p w14:paraId="466CBCEB" w14:textId="54986DFE" w:rsidR="00831EAA" w:rsidRDefault="00831EAA">
                  <w:r>
                    <w:br w:type="page"/>
                  </w:r>
                </w:p>
                <w:p w14:paraId="20452A7E" w14:textId="185E1BF1" w:rsidR="003B085A" w:rsidRPr="006C49E0" w:rsidRDefault="003B085A" w:rsidP="003B085A">
                  <w:pPr>
                    <w:pStyle w:val="TableFigure-Header"/>
                    <w:rPr>
                      <w:rStyle w:val="Text-Bold"/>
                      <w:b/>
                      <w:bCs/>
                    </w:rPr>
                  </w:pPr>
                  <w:bookmarkStart w:id="233" w:name="_Ref204598293"/>
                  <w:r w:rsidRPr="006C49E0">
                    <w:rPr>
                      <w:rStyle w:val="Text-Bold"/>
                      <w:b/>
                      <w:bCs/>
                    </w:rPr>
                    <w:lastRenderedPageBreak/>
                    <w:t xml:space="preserve">Table </w:t>
                  </w:r>
                  <w:r w:rsidRPr="006C49E0">
                    <w:rPr>
                      <w:rStyle w:val="Text-Bold"/>
                      <w:b/>
                      <w:bCs/>
                    </w:rPr>
                    <w:fldChar w:fldCharType="begin"/>
                  </w:r>
                  <w:r w:rsidRPr="006C49E0">
                    <w:rPr>
                      <w:rStyle w:val="Text-Bold"/>
                      <w:b/>
                      <w:bCs/>
                    </w:rPr>
                    <w:instrText>SEQ Table \* ARABIC</w:instrText>
                  </w:r>
                  <w:r w:rsidRPr="006C49E0">
                    <w:rPr>
                      <w:rStyle w:val="Text-Bold"/>
                      <w:b/>
                      <w:bCs/>
                    </w:rPr>
                    <w:fldChar w:fldCharType="separate"/>
                  </w:r>
                  <w:r w:rsidR="008D2566">
                    <w:rPr>
                      <w:rStyle w:val="Text-Bold"/>
                      <w:b/>
                      <w:bCs/>
                      <w:noProof/>
                    </w:rPr>
                    <w:t>5</w:t>
                  </w:r>
                  <w:r w:rsidRPr="006C49E0">
                    <w:rPr>
                      <w:rStyle w:val="Text-Bold"/>
                      <w:b/>
                      <w:bCs/>
                    </w:rPr>
                    <w:fldChar w:fldCharType="end"/>
                  </w:r>
                  <w:bookmarkEnd w:id="233"/>
                  <w:r w:rsidRPr="006C49E0">
                    <w:rPr>
                      <w:rStyle w:val="Text-Bold"/>
                      <w:b/>
                      <w:bCs/>
                    </w:rPr>
                    <w:t>: Sample partitions for SCORE analysis</w:t>
                  </w:r>
                </w:p>
                <w:tbl>
                  <w:tblPr>
                    <w:tblStyle w:val="TableGrid"/>
                    <w:tblW w:w="5000" w:type="pct"/>
                    <w:tblLook w:val="04A0" w:firstRow="1" w:lastRow="0" w:firstColumn="1" w:lastColumn="0" w:noHBand="0" w:noVBand="1"/>
                  </w:tblPr>
                  <w:tblGrid>
                    <w:gridCol w:w="1660"/>
                    <w:gridCol w:w="3492"/>
                    <w:gridCol w:w="3867"/>
                  </w:tblGrid>
                  <w:tr w:rsidR="003B085A" w:rsidRPr="00F26E81" w14:paraId="0E4C5112" w14:textId="77777777" w:rsidTr="00321BC5">
                    <w:trPr>
                      <w:trHeight w:val="290"/>
                      <w:tblHeader/>
                    </w:trPr>
                    <w:tc>
                      <w:tcPr>
                        <w:tcW w:w="1408" w:type="pct"/>
                        <w:tcBorders>
                          <w:top w:val="single" w:sz="4" w:space="0" w:color="auto"/>
                          <w:left w:val="single" w:sz="4" w:space="0" w:color="auto"/>
                          <w:bottom w:val="single" w:sz="4" w:space="0" w:color="auto"/>
                          <w:right w:val="single" w:sz="4" w:space="0" w:color="auto"/>
                        </w:tcBorders>
                        <w:shd w:val="clear" w:color="auto" w:fill="007E00" w:themeFill="accent3"/>
                        <w:noWrap/>
                        <w:hideMark/>
                      </w:tcPr>
                      <w:p w14:paraId="187BD7B4" w14:textId="77777777" w:rsidR="003B085A" w:rsidRPr="00F26E81" w:rsidRDefault="003B085A">
                        <w:pPr>
                          <w:pStyle w:val="TableText"/>
                          <w:rPr>
                            <w:b/>
                            <w:bCs/>
                            <w:color w:val="FFFFFF" w:themeColor="background1"/>
                          </w:rPr>
                        </w:pPr>
                        <w:r w:rsidRPr="00F26E81">
                          <w:rPr>
                            <w:b/>
                            <w:bCs/>
                            <w:color w:val="FFFFFF" w:themeColor="background1"/>
                          </w:rPr>
                          <w:t>Partition type</w:t>
                        </w:r>
                      </w:p>
                    </w:tc>
                    <w:tc>
                      <w:tcPr>
                        <w:tcW w:w="2141" w:type="pct"/>
                        <w:tcBorders>
                          <w:top w:val="single" w:sz="4" w:space="0" w:color="auto"/>
                          <w:left w:val="single" w:sz="4" w:space="0" w:color="auto"/>
                          <w:bottom w:val="single" w:sz="4" w:space="0" w:color="auto"/>
                          <w:right w:val="single" w:sz="4" w:space="0" w:color="auto"/>
                        </w:tcBorders>
                        <w:shd w:val="clear" w:color="auto" w:fill="007E00" w:themeFill="accent3"/>
                        <w:noWrap/>
                        <w:hideMark/>
                      </w:tcPr>
                      <w:p w14:paraId="620EC325" w14:textId="77777777" w:rsidR="003B085A" w:rsidRPr="00F26E81" w:rsidRDefault="003B085A">
                        <w:pPr>
                          <w:pStyle w:val="TableText"/>
                          <w:rPr>
                            <w:b/>
                            <w:bCs/>
                            <w:color w:val="FFFFFF" w:themeColor="background1"/>
                          </w:rPr>
                        </w:pPr>
                        <w:r w:rsidRPr="00F26E81">
                          <w:rPr>
                            <w:b/>
                            <w:bCs/>
                            <w:color w:val="FFFFFF" w:themeColor="background1"/>
                          </w:rPr>
                          <w:t>Category</w:t>
                        </w:r>
                      </w:p>
                    </w:tc>
                    <w:tc>
                      <w:tcPr>
                        <w:tcW w:w="1450" w:type="pct"/>
                        <w:tcBorders>
                          <w:top w:val="single" w:sz="4" w:space="0" w:color="auto"/>
                          <w:left w:val="single" w:sz="4" w:space="0" w:color="auto"/>
                          <w:bottom w:val="single" w:sz="4" w:space="0" w:color="auto"/>
                          <w:right w:val="single" w:sz="4" w:space="0" w:color="auto"/>
                        </w:tcBorders>
                        <w:shd w:val="clear" w:color="auto" w:fill="007E00" w:themeFill="accent3"/>
                        <w:noWrap/>
                        <w:hideMark/>
                      </w:tcPr>
                      <w:p w14:paraId="6B614977" w14:textId="77777777" w:rsidR="003B085A" w:rsidRPr="00F26E81" w:rsidRDefault="003B085A">
                        <w:pPr>
                          <w:pStyle w:val="TableText"/>
                          <w:rPr>
                            <w:b/>
                            <w:bCs/>
                            <w:color w:val="FFFFFF" w:themeColor="background1"/>
                          </w:rPr>
                        </w:pPr>
                        <w:r w:rsidRPr="00F26E81">
                          <w:rPr>
                            <w:b/>
                            <w:bCs/>
                            <w:color w:val="FFFFFF" w:themeColor="background1"/>
                          </w:rPr>
                          <w:t>Levels</w:t>
                        </w:r>
                      </w:p>
                    </w:tc>
                  </w:tr>
                  <w:tr w:rsidR="003B085A" w:rsidRPr="00F26E81" w14:paraId="3C7C439A" w14:textId="77777777">
                    <w:trPr>
                      <w:trHeight w:val="290"/>
                    </w:trPr>
                    <w:tc>
                      <w:tcPr>
                        <w:tcW w:w="1408" w:type="pct"/>
                        <w:vMerge w:val="restart"/>
                        <w:tcBorders>
                          <w:top w:val="single" w:sz="4" w:space="0" w:color="auto"/>
                          <w:left w:val="single" w:sz="4" w:space="0" w:color="auto"/>
                          <w:bottom w:val="single" w:sz="4" w:space="0" w:color="auto"/>
                          <w:right w:val="single" w:sz="4" w:space="0" w:color="auto"/>
                        </w:tcBorders>
                        <w:noWrap/>
                        <w:hideMark/>
                      </w:tcPr>
                      <w:p w14:paraId="20CED650" w14:textId="77777777" w:rsidR="003B085A" w:rsidRPr="006C49E0" w:rsidRDefault="003B085A">
                        <w:pPr>
                          <w:pStyle w:val="TableText"/>
                        </w:pPr>
                        <w:r w:rsidRPr="006C49E0">
                          <w:t>Service delivery</w:t>
                        </w:r>
                      </w:p>
                    </w:tc>
                    <w:tc>
                      <w:tcPr>
                        <w:tcW w:w="2141" w:type="pct"/>
                        <w:vMerge w:val="restart"/>
                        <w:tcBorders>
                          <w:top w:val="single" w:sz="4" w:space="0" w:color="auto"/>
                          <w:left w:val="single" w:sz="4" w:space="0" w:color="auto"/>
                          <w:bottom w:val="single" w:sz="4" w:space="0" w:color="auto"/>
                          <w:right w:val="single" w:sz="4" w:space="0" w:color="auto"/>
                        </w:tcBorders>
                        <w:noWrap/>
                        <w:hideMark/>
                      </w:tcPr>
                      <w:p w14:paraId="3A008C6F" w14:textId="77777777" w:rsidR="003B085A" w:rsidRPr="006C49E0" w:rsidRDefault="003B085A">
                        <w:pPr>
                          <w:pStyle w:val="TableText"/>
                        </w:pPr>
                        <w:r w:rsidRPr="006C49E0">
                          <w:t>Activity</w:t>
                        </w:r>
                      </w:p>
                    </w:tc>
                    <w:tc>
                      <w:tcPr>
                        <w:tcW w:w="1450" w:type="pct"/>
                        <w:tcBorders>
                          <w:top w:val="single" w:sz="4" w:space="0" w:color="auto"/>
                          <w:left w:val="single" w:sz="4" w:space="0" w:color="auto"/>
                          <w:bottom w:val="single" w:sz="4" w:space="0" w:color="auto"/>
                          <w:right w:val="single" w:sz="4" w:space="0" w:color="auto"/>
                        </w:tcBorders>
                        <w:noWrap/>
                        <w:hideMark/>
                      </w:tcPr>
                      <w:p w14:paraId="42186234" w14:textId="77777777" w:rsidR="003B085A" w:rsidRPr="00F26E81" w:rsidRDefault="003B085A">
                        <w:pPr>
                          <w:pStyle w:val="TableText"/>
                        </w:pPr>
                        <w:r w:rsidRPr="00F26E81">
                          <w:rPr>
                            <w:lang w:val="en-NZ"/>
                          </w:rPr>
                          <w:t>FaRS</w:t>
                        </w:r>
                      </w:p>
                    </w:tc>
                  </w:tr>
                  <w:tr w:rsidR="003B085A" w:rsidRPr="00F26E81" w14:paraId="6AB7715A" w14:textId="77777777" w:rsidTr="0E0C824E">
                    <w:trPr>
                      <w:trHeight w:val="290"/>
                    </w:trPr>
                    <w:tc>
                      <w:tcPr>
                        <w:tcW w:w="0" w:type="auto"/>
                        <w:vMerge/>
                        <w:vAlign w:val="center"/>
                        <w:hideMark/>
                      </w:tcPr>
                      <w:p w14:paraId="063A3534" w14:textId="77777777" w:rsidR="003B085A" w:rsidRPr="006C49E0" w:rsidRDefault="003B085A">
                        <w:pPr>
                          <w:pStyle w:val="TableText"/>
                        </w:pPr>
                      </w:p>
                    </w:tc>
                    <w:tc>
                      <w:tcPr>
                        <w:tcW w:w="0" w:type="auto"/>
                        <w:vMerge/>
                        <w:vAlign w:val="center"/>
                        <w:hideMark/>
                      </w:tcPr>
                      <w:p w14:paraId="0217BF98" w14:textId="77777777" w:rsidR="003B085A" w:rsidRPr="006C49E0" w:rsidRDefault="003B085A">
                        <w:pPr>
                          <w:pStyle w:val="TableText"/>
                        </w:pPr>
                      </w:p>
                    </w:tc>
                    <w:tc>
                      <w:tcPr>
                        <w:tcW w:w="1450" w:type="pct"/>
                        <w:tcBorders>
                          <w:top w:val="single" w:sz="4" w:space="0" w:color="auto"/>
                          <w:left w:val="single" w:sz="4" w:space="0" w:color="auto"/>
                          <w:bottom w:val="single" w:sz="4" w:space="0" w:color="auto"/>
                          <w:right w:val="single" w:sz="4" w:space="0" w:color="auto"/>
                        </w:tcBorders>
                        <w:noWrap/>
                        <w:hideMark/>
                      </w:tcPr>
                      <w:p w14:paraId="641DEA6E" w14:textId="77777777" w:rsidR="003B085A" w:rsidRPr="00F26E81" w:rsidRDefault="003B085A">
                        <w:pPr>
                          <w:pStyle w:val="TableText"/>
                        </w:pPr>
                        <w:r w:rsidRPr="00F26E81">
                          <w:t>SFVS</w:t>
                        </w:r>
                      </w:p>
                    </w:tc>
                  </w:tr>
                  <w:tr w:rsidR="003B085A" w:rsidRPr="00F26E81" w14:paraId="65398723" w14:textId="77777777" w:rsidTr="0E0C824E">
                    <w:trPr>
                      <w:trHeight w:val="290"/>
                    </w:trPr>
                    <w:tc>
                      <w:tcPr>
                        <w:tcW w:w="0" w:type="auto"/>
                        <w:vMerge/>
                        <w:vAlign w:val="center"/>
                        <w:hideMark/>
                      </w:tcPr>
                      <w:p w14:paraId="1A84700D" w14:textId="77777777" w:rsidR="003B085A" w:rsidRPr="006C49E0" w:rsidRDefault="003B085A">
                        <w:pPr>
                          <w:pStyle w:val="TableText"/>
                        </w:pPr>
                      </w:p>
                    </w:tc>
                    <w:tc>
                      <w:tcPr>
                        <w:tcW w:w="2141" w:type="pct"/>
                        <w:vMerge w:val="restart"/>
                        <w:tcBorders>
                          <w:top w:val="single" w:sz="4" w:space="0" w:color="auto"/>
                          <w:left w:val="single" w:sz="4" w:space="0" w:color="auto"/>
                          <w:bottom w:val="single" w:sz="4" w:space="0" w:color="auto"/>
                          <w:right w:val="single" w:sz="4" w:space="0" w:color="auto"/>
                        </w:tcBorders>
                        <w:noWrap/>
                        <w:hideMark/>
                      </w:tcPr>
                      <w:p w14:paraId="65CB5AD8" w14:textId="77777777" w:rsidR="003B085A" w:rsidRPr="006C49E0" w:rsidRDefault="003B085A">
                        <w:pPr>
                          <w:pStyle w:val="TableText"/>
                        </w:pPr>
                        <w:r w:rsidRPr="006C49E0">
                          <w:t>Delivery mode</w:t>
                        </w:r>
                      </w:p>
                    </w:tc>
                    <w:tc>
                      <w:tcPr>
                        <w:tcW w:w="1450" w:type="pct"/>
                        <w:tcBorders>
                          <w:top w:val="single" w:sz="4" w:space="0" w:color="auto"/>
                          <w:left w:val="single" w:sz="4" w:space="0" w:color="auto"/>
                          <w:bottom w:val="single" w:sz="4" w:space="0" w:color="auto"/>
                          <w:right w:val="single" w:sz="4" w:space="0" w:color="auto"/>
                        </w:tcBorders>
                        <w:noWrap/>
                        <w:hideMark/>
                      </w:tcPr>
                      <w:p w14:paraId="4568EC2E" w14:textId="77777777" w:rsidR="003B085A" w:rsidRPr="00F26E81" w:rsidRDefault="003B085A">
                        <w:pPr>
                          <w:pStyle w:val="TableText"/>
                        </w:pPr>
                        <w:r w:rsidRPr="00F26E81">
                          <w:t>Face-to-face</w:t>
                        </w:r>
                      </w:p>
                    </w:tc>
                  </w:tr>
                  <w:tr w:rsidR="003B085A" w:rsidRPr="00F26E81" w14:paraId="0E404CAD" w14:textId="77777777" w:rsidTr="0E0C824E">
                    <w:trPr>
                      <w:trHeight w:val="290"/>
                    </w:trPr>
                    <w:tc>
                      <w:tcPr>
                        <w:tcW w:w="0" w:type="auto"/>
                        <w:vMerge/>
                        <w:vAlign w:val="center"/>
                        <w:hideMark/>
                      </w:tcPr>
                      <w:p w14:paraId="6B022F2A" w14:textId="77777777" w:rsidR="003B085A" w:rsidRPr="006C49E0" w:rsidRDefault="003B085A">
                        <w:pPr>
                          <w:pStyle w:val="TableText"/>
                        </w:pPr>
                      </w:p>
                    </w:tc>
                    <w:tc>
                      <w:tcPr>
                        <w:tcW w:w="0" w:type="auto"/>
                        <w:vMerge/>
                        <w:vAlign w:val="center"/>
                        <w:hideMark/>
                      </w:tcPr>
                      <w:p w14:paraId="4DD85C36" w14:textId="77777777" w:rsidR="003B085A" w:rsidRPr="006C49E0" w:rsidRDefault="003B085A">
                        <w:pPr>
                          <w:pStyle w:val="TableText"/>
                        </w:pPr>
                      </w:p>
                    </w:tc>
                    <w:tc>
                      <w:tcPr>
                        <w:tcW w:w="1450" w:type="pct"/>
                        <w:tcBorders>
                          <w:top w:val="single" w:sz="4" w:space="0" w:color="auto"/>
                          <w:left w:val="single" w:sz="4" w:space="0" w:color="auto"/>
                          <w:bottom w:val="single" w:sz="4" w:space="0" w:color="auto"/>
                          <w:right w:val="single" w:sz="4" w:space="0" w:color="auto"/>
                        </w:tcBorders>
                        <w:noWrap/>
                        <w:hideMark/>
                      </w:tcPr>
                      <w:p w14:paraId="00566A7F" w14:textId="77777777" w:rsidR="003B085A" w:rsidRPr="00F26E81" w:rsidRDefault="003B085A">
                        <w:pPr>
                          <w:pStyle w:val="TableText"/>
                        </w:pPr>
                        <w:r w:rsidRPr="00F26E81">
                          <w:t>Virtual</w:t>
                        </w:r>
                      </w:p>
                    </w:tc>
                  </w:tr>
                  <w:tr w:rsidR="003B085A" w:rsidRPr="00F26E81" w14:paraId="2338688C" w14:textId="77777777">
                    <w:trPr>
                      <w:trHeight w:val="290"/>
                    </w:trPr>
                    <w:tc>
                      <w:tcPr>
                        <w:tcW w:w="1408" w:type="pct"/>
                        <w:vMerge w:val="restart"/>
                        <w:tcBorders>
                          <w:top w:val="single" w:sz="4" w:space="0" w:color="auto"/>
                          <w:left w:val="single" w:sz="4" w:space="0" w:color="auto"/>
                          <w:bottom w:val="single" w:sz="4" w:space="0" w:color="auto"/>
                          <w:right w:val="single" w:sz="4" w:space="0" w:color="auto"/>
                        </w:tcBorders>
                        <w:noWrap/>
                        <w:hideMark/>
                      </w:tcPr>
                      <w:p w14:paraId="53CA47B7" w14:textId="77777777" w:rsidR="003B085A" w:rsidRPr="006C49E0" w:rsidRDefault="003B085A">
                        <w:pPr>
                          <w:pStyle w:val="TableText"/>
                        </w:pPr>
                        <w:r w:rsidRPr="006C49E0">
                          <w:t>Cohort</w:t>
                        </w:r>
                      </w:p>
                    </w:tc>
                    <w:tc>
                      <w:tcPr>
                        <w:tcW w:w="2141" w:type="pct"/>
                        <w:vMerge w:val="restart"/>
                        <w:tcBorders>
                          <w:top w:val="single" w:sz="4" w:space="0" w:color="auto"/>
                          <w:left w:val="single" w:sz="4" w:space="0" w:color="auto"/>
                          <w:bottom w:val="single" w:sz="4" w:space="0" w:color="auto"/>
                          <w:right w:val="single" w:sz="4" w:space="0" w:color="auto"/>
                        </w:tcBorders>
                        <w:noWrap/>
                        <w:hideMark/>
                      </w:tcPr>
                      <w:p w14:paraId="122E088A" w14:textId="77777777" w:rsidR="003B085A" w:rsidRPr="006C49E0" w:rsidRDefault="003B085A">
                        <w:pPr>
                          <w:pStyle w:val="TableText"/>
                        </w:pPr>
                        <w:r w:rsidRPr="006C49E0">
                          <w:t>Culturally and linguistically diverse</w:t>
                        </w:r>
                      </w:p>
                    </w:tc>
                    <w:tc>
                      <w:tcPr>
                        <w:tcW w:w="1450" w:type="pct"/>
                        <w:tcBorders>
                          <w:top w:val="single" w:sz="4" w:space="0" w:color="auto"/>
                          <w:left w:val="single" w:sz="4" w:space="0" w:color="auto"/>
                          <w:bottom w:val="single" w:sz="4" w:space="0" w:color="auto"/>
                          <w:right w:val="single" w:sz="4" w:space="0" w:color="auto"/>
                        </w:tcBorders>
                        <w:noWrap/>
                        <w:hideMark/>
                      </w:tcPr>
                      <w:p w14:paraId="0B0A3FA6" w14:textId="77777777" w:rsidR="003B085A" w:rsidRPr="00F26E81" w:rsidRDefault="003B085A">
                        <w:pPr>
                          <w:pStyle w:val="TableText"/>
                        </w:pPr>
                        <w:r w:rsidRPr="00F26E81">
                          <w:t>CALD</w:t>
                        </w:r>
                      </w:p>
                    </w:tc>
                  </w:tr>
                  <w:tr w:rsidR="003B085A" w:rsidRPr="00F26E81" w14:paraId="2AD7E7DF" w14:textId="77777777" w:rsidTr="0E0C824E">
                    <w:trPr>
                      <w:trHeight w:val="290"/>
                    </w:trPr>
                    <w:tc>
                      <w:tcPr>
                        <w:tcW w:w="0" w:type="auto"/>
                        <w:vMerge/>
                        <w:vAlign w:val="center"/>
                        <w:hideMark/>
                      </w:tcPr>
                      <w:p w14:paraId="460F80E6" w14:textId="77777777" w:rsidR="003B085A" w:rsidRPr="006C49E0" w:rsidRDefault="003B085A">
                        <w:pPr>
                          <w:pStyle w:val="TableText"/>
                        </w:pPr>
                      </w:p>
                    </w:tc>
                    <w:tc>
                      <w:tcPr>
                        <w:tcW w:w="0" w:type="auto"/>
                        <w:vMerge/>
                        <w:vAlign w:val="center"/>
                        <w:hideMark/>
                      </w:tcPr>
                      <w:p w14:paraId="5BD0E0AD" w14:textId="77777777" w:rsidR="003B085A" w:rsidRPr="006C49E0" w:rsidRDefault="003B085A">
                        <w:pPr>
                          <w:pStyle w:val="TableText"/>
                        </w:pPr>
                      </w:p>
                    </w:tc>
                    <w:tc>
                      <w:tcPr>
                        <w:tcW w:w="1450" w:type="pct"/>
                        <w:tcBorders>
                          <w:top w:val="single" w:sz="4" w:space="0" w:color="auto"/>
                          <w:left w:val="single" w:sz="4" w:space="0" w:color="auto"/>
                          <w:bottom w:val="single" w:sz="4" w:space="0" w:color="auto"/>
                          <w:right w:val="single" w:sz="4" w:space="0" w:color="auto"/>
                        </w:tcBorders>
                        <w:noWrap/>
                        <w:hideMark/>
                      </w:tcPr>
                      <w:p w14:paraId="774846FA" w14:textId="77777777" w:rsidR="003B085A" w:rsidRPr="00F26E81" w:rsidRDefault="003B085A">
                        <w:pPr>
                          <w:pStyle w:val="TableText"/>
                        </w:pPr>
                        <w:r w:rsidRPr="00F26E81">
                          <w:t>Not CALD</w:t>
                        </w:r>
                      </w:p>
                    </w:tc>
                  </w:tr>
                  <w:tr w:rsidR="003B085A" w:rsidRPr="00F26E81" w14:paraId="2AA7FAD3" w14:textId="77777777" w:rsidTr="0E0C824E">
                    <w:trPr>
                      <w:trHeight w:val="290"/>
                    </w:trPr>
                    <w:tc>
                      <w:tcPr>
                        <w:tcW w:w="0" w:type="auto"/>
                        <w:vMerge/>
                        <w:vAlign w:val="center"/>
                        <w:hideMark/>
                      </w:tcPr>
                      <w:p w14:paraId="37E72403" w14:textId="77777777" w:rsidR="003B085A" w:rsidRPr="006C49E0" w:rsidRDefault="003B085A">
                        <w:pPr>
                          <w:pStyle w:val="TableText"/>
                        </w:pPr>
                      </w:p>
                    </w:tc>
                    <w:tc>
                      <w:tcPr>
                        <w:tcW w:w="2141" w:type="pct"/>
                        <w:vMerge w:val="restart"/>
                        <w:tcBorders>
                          <w:top w:val="single" w:sz="4" w:space="0" w:color="auto"/>
                          <w:left w:val="single" w:sz="4" w:space="0" w:color="auto"/>
                          <w:bottom w:val="single" w:sz="4" w:space="0" w:color="auto"/>
                          <w:right w:val="single" w:sz="4" w:space="0" w:color="auto"/>
                        </w:tcBorders>
                        <w:noWrap/>
                        <w:hideMark/>
                      </w:tcPr>
                      <w:p w14:paraId="395D644D" w14:textId="77777777" w:rsidR="003B085A" w:rsidRPr="006C49E0" w:rsidRDefault="003B085A">
                        <w:pPr>
                          <w:pStyle w:val="TableText"/>
                        </w:pPr>
                        <w:r w:rsidRPr="006C49E0">
                          <w:t>Disability</w:t>
                        </w:r>
                      </w:p>
                    </w:tc>
                    <w:tc>
                      <w:tcPr>
                        <w:tcW w:w="1450" w:type="pct"/>
                        <w:tcBorders>
                          <w:top w:val="single" w:sz="4" w:space="0" w:color="auto"/>
                          <w:left w:val="single" w:sz="4" w:space="0" w:color="auto"/>
                          <w:bottom w:val="single" w:sz="4" w:space="0" w:color="auto"/>
                          <w:right w:val="single" w:sz="4" w:space="0" w:color="auto"/>
                        </w:tcBorders>
                        <w:noWrap/>
                        <w:hideMark/>
                      </w:tcPr>
                      <w:p w14:paraId="4EDDB650" w14:textId="77777777" w:rsidR="003B085A" w:rsidRPr="00F26E81" w:rsidRDefault="003B085A">
                        <w:pPr>
                          <w:pStyle w:val="TableText"/>
                        </w:pPr>
                        <w:r w:rsidRPr="00F26E81">
                          <w:t>Any disability</w:t>
                        </w:r>
                      </w:p>
                    </w:tc>
                  </w:tr>
                  <w:tr w:rsidR="003B085A" w:rsidRPr="00F26E81" w14:paraId="4AFEA670" w14:textId="77777777" w:rsidTr="0E0C824E">
                    <w:trPr>
                      <w:trHeight w:val="290"/>
                    </w:trPr>
                    <w:tc>
                      <w:tcPr>
                        <w:tcW w:w="0" w:type="auto"/>
                        <w:vMerge/>
                        <w:vAlign w:val="center"/>
                        <w:hideMark/>
                      </w:tcPr>
                      <w:p w14:paraId="094E2960" w14:textId="77777777" w:rsidR="003B085A" w:rsidRPr="006C49E0" w:rsidRDefault="003B085A">
                        <w:pPr>
                          <w:pStyle w:val="TableText"/>
                        </w:pPr>
                      </w:p>
                    </w:tc>
                    <w:tc>
                      <w:tcPr>
                        <w:tcW w:w="0" w:type="auto"/>
                        <w:vMerge/>
                        <w:vAlign w:val="center"/>
                        <w:hideMark/>
                      </w:tcPr>
                      <w:p w14:paraId="16960E9C" w14:textId="77777777" w:rsidR="003B085A" w:rsidRPr="006C49E0" w:rsidRDefault="003B085A">
                        <w:pPr>
                          <w:pStyle w:val="TableText"/>
                        </w:pPr>
                      </w:p>
                    </w:tc>
                    <w:tc>
                      <w:tcPr>
                        <w:tcW w:w="1450" w:type="pct"/>
                        <w:tcBorders>
                          <w:top w:val="single" w:sz="4" w:space="0" w:color="auto"/>
                          <w:left w:val="single" w:sz="4" w:space="0" w:color="auto"/>
                          <w:bottom w:val="single" w:sz="4" w:space="0" w:color="auto"/>
                          <w:right w:val="single" w:sz="4" w:space="0" w:color="auto"/>
                        </w:tcBorders>
                        <w:noWrap/>
                        <w:hideMark/>
                      </w:tcPr>
                      <w:p w14:paraId="15BB3C22" w14:textId="77777777" w:rsidR="003B085A" w:rsidRPr="00F26E81" w:rsidRDefault="003B085A">
                        <w:pPr>
                          <w:pStyle w:val="TableText"/>
                        </w:pPr>
                        <w:r w:rsidRPr="00F26E81">
                          <w:t>No known disability</w:t>
                        </w:r>
                      </w:p>
                    </w:tc>
                  </w:tr>
                  <w:tr w:rsidR="003B085A" w:rsidRPr="00F26E81" w14:paraId="1A489BBC" w14:textId="77777777" w:rsidTr="0E0C824E">
                    <w:trPr>
                      <w:trHeight w:val="290"/>
                    </w:trPr>
                    <w:tc>
                      <w:tcPr>
                        <w:tcW w:w="0" w:type="auto"/>
                        <w:vMerge/>
                        <w:vAlign w:val="center"/>
                        <w:hideMark/>
                      </w:tcPr>
                      <w:p w14:paraId="2643F879" w14:textId="77777777" w:rsidR="003B085A" w:rsidRPr="006C49E0" w:rsidRDefault="003B085A">
                        <w:pPr>
                          <w:pStyle w:val="TableText"/>
                        </w:pPr>
                      </w:p>
                    </w:tc>
                    <w:tc>
                      <w:tcPr>
                        <w:tcW w:w="2141" w:type="pct"/>
                        <w:vMerge w:val="restart"/>
                        <w:tcBorders>
                          <w:top w:val="single" w:sz="4" w:space="0" w:color="auto"/>
                          <w:left w:val="single" w:sz="4" w:space="0" w:color="auto"/>
                          <w:bottom w:val="single" w:sz="4" w:space="0" w:color="auto"/>
                          <w:right w:val="single" w:sz="4" w:space="0" w:color="auto"/>
                        </w:tcBorders>
                        <w:noWrap/>
                        <w:hideMark/>
                      </w:tcPr>
                      <w:p w14:paraId="189FEF02" w14:textId="641C8D89" w:rsidR="003B085A" w:rsidRPr="006C49E0" w:rsidRDefault="00650679">
                        <w:pPr>
                          <w:pStyle w:val="TableText"/>
                        </w:pPr>
                        <w:r w:rsidRPr="006C49E0">
                          <w:t>Aboriginal and Torres Strait Islander</w:t>
                        </w:r>
                      </w:p>
                    </w:tc>
                    <w:tc>
                      <w:tcPr>
                        <w:tcW w:w="1450" w:type="pct"/>
                        <w:tcBorders>
                          <w:top w:val="single" w:sz="4" w:space="0" w:color="auto"/>
                          <w:left w:val="single" w:sz="4" w:space="0" w:color="auto"/>
                          <w:bottom w:val="single" w:sz="4" w:space="0" w:color="auto"/>
                          <w:right w:val="single" w:sz="4" w:space="0" w:color="auto"/>
                        </w:tcBorders>
                        <w:noWrap/>
                        <w:hideMark/>
                      </w:tcPr>
                      <w:p w14:paraId="4AA0EA48" w14:textId="366EAF5D" w:rsidR="003B085A" w:rsidRPr="00F26E81" w:rsidRDefault="00650679">
                        <w:pPr>
                          <w:pStyle w:val="TableText"/>
                        </w:pPr>
                        <w:r>
                          <w:t>Aboriginal and Torres Strait Islander</w:t>
                        </w:r>
                      </w:p>
                    </w:tc>
                  </w:tr>
                  <w:tr w:rsidR="003B085A" w:rsidRPr="00F26E81" w14:paraId="6BBA2B67" w14:textId="77777777" w:rsidTr="0E0C824E">
                    <w:trPr>
                      <w:trHeight w:val="290"/>
                    </w:trPr>
                    <w:tc>
                      <w:tcPr>
                        <w:tcW w:w="0" w:type="auto"/>
                        <w:vMerge/>
                        <w:vAlign w:val="center"/>
                        <w:hideMark/>
                      </w:tcPr>
                      <w:p w14:paraId="6E8B2B06" w14:textId="77777777" w:rsidR="003B085A" w:rsidRPr="006C49E0" w:rsidRDefault="003B085A">
                        <w:pPr>
                          <w:pStyle w:val="TableText"/>
                        </w:pPr>
                      </w:p>
                    </w:tc>
                    <w:tc>
                      <w:tcPr>
                        <w:tcW w:w="0" w:type="auto"/>
                        <w:vMerge/>
                        <w:vAlign w:val="center"/>
                        <w:hideMark/>
                      </w:tcPr>
                      <w:p w14:paraId="6BFE7A11" w14:textId="77777777" w:rsidR="003B085A" w:rsidRPr="006C49E0" w:rsidRDefault="003B085A">
                        <w:pPr>
                          <w:pStyle w:val="TableText"/>
                        </w:pPr>
                      </w:p>
                    </w:tc>
                    <w:tc>
                      <w:tcPr>
                        <w:tcW w:w="1450" w:type="pct"/>
                        <w:tcBorders>
                          <w:top w:val="single" w:sz="4" w:space="0" w:color="auto"/>
                          <w:left w:val="single" w:sz="4" w:space="0" w:color="auto"/>
                          <w:bottom w:val="single" w:sz="4" w:space="0" w:color="auto"/>
                          <w:right w:val="single" w:sz="4" w:space="0" w:color="auto"/>
                        </w:tcBorders>
                        <w:noWrap/>
                        <w:hideMark/>
                      </w:tcPr>
                      <w:p w14:paraId="1C9DC5CE" w14:textId="4F4A6085" w:rsidR="003B085A" w:rsidRPr="00F26E81" w:rsidRDefault="003B085A">
                        <w:pPr>
                          <w:pStyle w:val="TableText"/>
                        </w:pPr>
                        <w:r w:rsidRPr="00F26E81">
                          <w:t xml:space="preserve">Not </w:t>
                        </w:r>
                        <w:r w:rsidR="00650679">
                          <w:t>Aboriginal and Torres Strait Islander</w:t>
                        </w:r>
                      </w:p>
                    </w:tc>
                  </w:tr>
                  <w:tr w:rsidR="003B085A" w:rsidRPr="00F26E81" w14:paraId="31E802A5" w14:textId="77777777" w:rsidTr="0E0C824E">
                    <w:trPr>
                      <w:trHeight w:val="290"/>
                    </w:trPr>
                    <w:tc>
                      <w:tcPr>
                        <w:tcW w:w="0" w:type="auto"/>
                        <w:vMerge/>
                        <w:vAlign w:val="center"/>
                        <w:hideMark/>
                      </w:tcPr>
                      <w:p w14:paraId="601FF7C4" w14:textId="77777777" w:rsidR="003B085A" w:rsidRPr="006C49E0" w:rsidRDefault="003B085A">
                        <w:pPr>
                          <w:pStyle w:val="TableText"/>
                        </w:pPr>
                      </w:p>
                    </w:tc>
                    <w:tc>
                      <w:tcPr>
                        <w:tcW w:w="2141" w:type="pct"/>
                        <w:vMerge w:val="restart"/>
                        <w:tcBorders>
                          <w:top w:val="single" w:sz="4" w:space="0" w:color="auto"/>
                          <w:left w:val="single" w:sz="4" w:space="0" w:color="auto"/>
                          <w:bottom w:val="single" w:sz="4" w:space="0" w:color="auto"/>
                          <w:right w:val="single" w:sz="4" w:space="0" w:color="auto"/>
                        </w:tcBorders>
                        <w:noWrap/>
                        <w:hideMark/>
                      </w:tcPr>
                      <w:p w14:paraId="45710307" w14:textId="77777777" w:rsidR="003B085A" w:rsidRPr="006C49E0" w:rsidRDefault="003B085A">
                        <w:pPr>
                          <w:pStyle w:val="TableText"/>
                        </w:pPr>
                        <w:r w:rsidRPr="006C49E0">
                          <w:t>Gender</w:t>
                        </w:r>
                      </w:p>
                    </w:tc>
                    <w:tc>
                      <w:tcPr>
                        <w:tcW w:w="1450" w:type="pct"/>
                        <w:tcBorders>
                          <w:top w:val="single" w:sz="4" w:space="0" w:color="auto"/>
                          <w:left w:val="single" w:sz="4" w:space="0" w:color="auto"/>
                          <w:bottom w:val="single" w:sz="4" w:space="0" w:color="auto"/>
                          <w:right w:val="single" w:sz="4" w:space="0" w:color="auto"/>
                        </w:tcBorders>
                        <w:noWrap/>
                        <w:hideMark/>
                      </w:tcPr>
                      <w:p w14:paraId="1B8E01CE" w14:textId="77777777" w:rsidR="003B085A" w:rsidRPr="00F26E81" w:rsidRDefault="003B085A">
                        <w:pPr>
                          <w:pStyle w:val="TableText"/>
                        </w:pPr>
                        <w:r w:rsidRPr="00F26E81">
                          <w:t>Male</w:t>
                        </w:r>
                      </w:p>
                    </w:tc>
                  </w:tr>
                  <w:tr w:rsidR="003B085A" w:rsidRPr="00F26E81" w14:paraId="7010EC36" w14:textId="77777777" w:rsidTr="0E0C824E">
                    <w:trPr>
                      <w:trHeight w:val="290"/>
                    </w:trPr>
                    <w:tc>
                      <w:tcPr>
                        <w:tcW w:w="0" w:type="auto"/>
                        <w:vMerge/>
                        <w:vAlign w:val="center"/>
                        <w:hideMark/>
                      </w:tcPr>
                      <w:p w14:paraId="2CBA405F" w14:textId="77777777" w:rsidR="003B085A" w:rsidRPr="006C49E0" w:rsidRDefault="003B085A">
                        <w:pPr>
                          <w:pStyle w:val="TableText"/>
                        </w:pPr>
                      </w:p>
                    </w:tc>
                    <w:tc>
                      <w:tcPr>
                        <w:tcW w:w="0" w:type="auto"/>
                        <w:vMerge/>
                        <w:vAlign w:val="center"/>
                        <w:hideMark/>
                      </w:tcPr>
                      <w:p w14:paraId="00443A7B" w14:textId="77777777" w:rsidR="003B085A" w:rsidRPr="006C49E0" w:rsidRDefault="003B085A">
                        <w:pPr>
                          <w:pStyle w:val="TableText"/>
                        </w:pPr>
                      </w:p>
                    </w:tc>
                    <w:tc>
                      <w:tcPr>
                        <w:tcW w:w="1450" w:type="pct"/>
                        <w:tcBorders>
                          <w:top w:val="single" w:sz="4" w:space="0" w:color="auto"/>
                          <w:left w:val="single" w:sz="4" w:space="0" w:color="auto"/>
                          <w:bottom w:val="single" w:sz="4" w:space="0" w:color="auto"/>
                          <w:right w:val="single" w:sz="4" w:space="0" w:color="auto"/>
                        </w:tcBorders>
                        <w:noWrap/>
                        <w:hideMark/>
                      </w:tcPr>
                      <w:p w14:paraId="54843C7A" w14:textId="77777777" w:rsidR="003B085A" w:rsidRPr="00F26E81" w:rsidRDefault="003B085A">
                        <w:pPr>
                          <w:pStyle w:val="TableText"/>
                        </w:pPr>
                        <w:r w:rsidRPr="00F26E81">
                          <w:t>Female</w:t>
                        </w:r>
                      </w:p>
                    </w:tc>
                  </w:tr>
                  <w:tr w:rsidR="003B085A" w:rsidRPr="00F26E81" w14:paraId="6C7F8481" w14:textId="77777777" w:rsidTr="0E0C824E">
                    <w:trPr>
                      <w:trHeight w:val="290"/>
                    </w:trPr>
                    <w:tc>
                      <w:tcPr>
                        <w:tcW w:w="0" w:type="auto"/>
                        <w:vMerge/>
                        <w:vAlign w:val="center"/>
                        <w:hideMark/>
                      </w:tcPr>
                      <w:p w14:paraId="5442BE50" w14:textId="77777777" w:rsidR="003B085A" w:rsidRPr="006C49E0" w:rsidRDefault="003B085A">
                        <w:pPr>
                          <w:pStyle w:val="TableText"/>
                        </w:pPr>
                      </w:p>
                    </w:tc>
                    <w:tc>
                      <w:tcPr>
                        <w:tcW w:w="2141" w:type="pct"/>
                        <w:vMerge w:val="restart"/>
                        <w:tcBorders>
                          <w:top w:val="single" w:sz="4" w:space="0" w:color="auto"/>
                          <w:left w:val="single" w:sz="4" w:space="0" w:color="auto"/>
                          <w:bottom w:val="single" w:sz="4" w:space="0" w:color="auto"/>
                          <w:right w:val="single" w:sz="4" w:space="0" w:color="auto"/>
                        </w:tcBorders>
                        <w:noWrap/>
                        <w:hideMark/>
                      </w:tcPr>
                      <w:p w14:paraId="1F8BF614" w14:textId="77777777" w:rsidR="003B085A" w:rsidRPr="006C49E0" w:rsidRDefault="003B085A">
                        <w:pPr>
                          <w:pStyle w:val="TableText"/>
                        </w:pPr>
                        <w:r w:rsidRPr="006C49E0">
                          <w:t>Young people</w:t>
                        </w:r>
                      </w:p>
                    </w:tc>
                    <w:tc>
                      <w:tcPr>
                        <w:tcW w:w="1450" w:type="pct"/>
                        <w:tcBorders>
                          <w:top w:val="single" w:sz="4" w:space="0" w:color="auto"/>
                          <w:left w:val="single" w:sz="4" w:space="0" w:color="auto"/>
                          <w:bottom w:val="single" w:sz="4" w:space="0" w:color="auto"/>
                          <w:right w:val="single" w:sz="4" w:space="0" w:color="auto"/>
                        </w:tcBorders>
                        <w:noWrap/>
                        <w:hideMark/>
                      </w:tcPr>
                      <w:p w14:paraId="576C3023" w14:textId="77777777" w:rsidR="003B085A" w:rsidRPr="00F26E81" w:rsidRDefault="003B085A">
                        <w:pPr>
                          <w:pStyle w:val="TableText"/>
                        </w:pPr>
                        <w:r w:rsidRPr="00F26E81">
                          <w:t>Under 18</w:t>
                        </w:r>
                      </w:p>
                    </w:tc>
                  </w:tr>
                  <w:tr w:rsidR="003B085A" w:rsidRPr="00F26E81" w14:paraId="47395E93" w14:textId="77777777" w:rsidTr="0E0C824E">
                    <w:trPr>
                      <w:trHeight w:val="290"/>
                    </w:trPr>
                    <w:tc>
                      <w:tcPr>
                        <w:tcW w:w="0" w:type="auto"/>
                        <w:vMerge/>
                        <w:vAlign w:val="center"/>
                        <w:hideMark/>
                      </w:tcPr>
                      <w:p w14:paraId="730B483D" w14:textId="77777777" w:rsidR="003B085A" w:rsidRPr="00F26E81" w:rsidRDefault="003B085A">
                        <w:pPr>
                          <w:pStyle w:val="TableText"/>
                        </w:pPr>
                      </w:p>
                    </w:tc>
                    <w:tc>
                      <w:tcPr>
                        <w:tcW w:w="0" w:type="auto"/>
                        <w:vMerge/>
                        <w:vAlign w:val="center"/>
                        <w:hideMark/>
                      </w:tcPr>
                      <w:p w14:paraId="12DF4446" w14:textId="77777777" w:rsidR="003B085A" w:rsidRPr="00F26E81" w:rsidRDefault="003B085A">
                        <w:pPr>
                          <w:pStyle w:val="TableText"/>
                        </w:pPr>
                      </w:p>
                    </w:tc>
                    <w:tc>
                      <w:tcPr>
                        <w:tcW w:w="1450" w:type="pct"/>
                        <w:tcBorders>
                          <w:top w:val="single" w:sz="4" w:space="0" w:color="auto"/>
                          <w:left w:val="single" w:sz="4" w:space="0" w:color="auto"/>
                          <w:bottom w:val="single" w:sz="4" w:space="0" w:color="auto"/>
                          <w:right w:val="single" w:sz="4" w:space="0" w:color="auto"/>
                        </w:tcBorders>
                        <w:noWrap/>
                        <w:hideMark/>
                      </w:tcPr>
                      <w:p w14:paraId="1A4AEB80" w14:textId="77777777" w:rsidR="003B085A" w:rsidRPr="00F26E81" w:rsidRDefault="003B085A">
                        <w:pPr>
                          <w:pStyle w:val="TableText"/>
                        </w:pPr>
                        <w:r w:rsidRPr="00F26E81">
                          <w:t>18+</w:t>
                        </w:r>
                      </w:p>
                    </w:tc>
                  </w:tr>
                </w:tbl>
                <w:p w14:paraId="6230054B" w14:textId="77777777" w:rsidR="00CE5C6B" w:rsidRDefault="00CE5C6B" w:rsidP="00CF549C">
                  <w:pPr>
                    <w:pStyle w:val="Text"/>
                  </w:pPr>
                </w:p>
                <w:p w14:paraId="39AD219D" w14:textId="64287C81" w:rsidR="00E82715" w:rsidRPr="006223B7" w:rsidRDefault="001E6D6E" w:rsidP="006223B7">
                  <w:pPr>
                    <w:pStyle w:val="Text"/>
                  </w:pPr>
                  <w:hyperlink w:anchor="Appendix_F" w:history="1">
                    <w:r w:rsidRPr="006223B7">
                      <w:rPr>
                        <w:rStyle w:val="Hyperlink"/>
                        <w:rFonts w:asciiTheme="minorHAnsi" w:hAnsiTheme="minorHAnsi"/>
                        <w:b/>
                        <w:bCs/>
                        <w:color w:val="007E00" w:themeColor="accent3"/>
                      </w:rPr>
                      <w:t xml:space="preserve">Appendix </w:t>
                    </w:r>
                    <w:r w:rsidR="00A65B15" w:rsidRPr="006223B7">
                      <w:rPr>
                        <w:rStyle w:val="Hyperlink"/>
                        <w:rFonts w:asciiTheme="minorHAnsi" w:hAnsiTheme="minorHAnsi"/>
                        <w:b/>
                        <w:bCs/>
                        <w:color w:val="007E00" w:themeColor="accent3"/>
                      </w:rPr>
                      <w:t>F</w:t>
                    </w:r>
                  </w:hyperlink>
                  <w:r w:rsidRPr="006223B7">
                    <w:t xml:space="preserve"> provides a breakdown of DEX data.</w:t>
                  </w:r>
                </w:p>
                <w:p w14:paraId="3165335C" w14:textId="77777777" w:rsidR="006223B7" w:rsidRPr="006223B7" w:rsidRDefault="006223B7" w:rsidP="006223B7">
                  <w:pPr>
                    <w:pStyle w:val="ListParagraph"/>
                    <w:keepNext/>
                    <w:numPr>
                      <w:ilvl w:val="1"/>
                      <w:numId w:val="20"/>
                    </w:numPr>
                    <w:spacing w:before="360" w:after="120" w:line="274" w:lineRule="auto"/>
                    <w:contextualSpacing w:val="0"/>
                    <w:outlineLvl w:val="2"/>
                    <w:rPr>
                      <w:rFonts w:ascii="Arial" w:hAnsi="Arial"/>
                      <w:b/>
                      <w:vanish/>
                      <w:color w:val="007E00" w:themeColor="accent3"/>
                      <w:kern w:val="28"/>
                      <w:sz w:val="36"/>
                      <w:szCs w:val="32"/>
                      <w:lang w:val="en-US"/>
                    </w:rPr>
                  </w:pPr>
                </w:p>
                <w:p w14:paraId="707487A7" w14:textId="77777777" w:rsidR="006223B7" w:rsidRPr="006223B7" w:rsidRDefault="006223B7" w:rsidP="006223B7">
                  <w:pPr>
                    <w:pStyle w:val="ListParagraph"/>
                    <w:keepNext/>
                    <w:numPr>
                      <w:ilvl w:val="1"/>
                      <w:numId w:val="20"/>
                    </w:numPr>
                    <w:spacing w:before="360" w:after="120" w:line="274" w:lineRule="auto"/>
                    <w:contextualSpacing w:val="0"/>
                    <w:outlineLvl w:val="2"/>
                    <w:rPr>
                      <w:rFonts w:ascii="Arial" w:hAnsi="Arial"/>
                      <w:b/>
                      <w:vanish/>
                      <w:color w:val="007E00" w:themeColor="accent3"/>
                      <w:kern w:val="28"/>
                      <w:sz w:val="36"/>
                      <w:szCs w:val="32"/>
                      <w:lang w:val="en-US"/>
                    </w:rPr>
                  </w:pPr>
                </w:p>
                <w:p w14:paraId="0BC4C99E" w14:textId="12701223" w:rsidR="000E68E6" w:rsidRDefault="000E68E6" w:rsidP="006223B7">
                  <w:pPr>
                    <w:pStyle w:val="Heading3"/>
                  </w:pPr>
                  <w:r>
                    <w:t xml:space="preserve">Return on Investment </w:t>
                  </w:r>
                </w:p>
                <w:p w14:paraId="505C463F" w14:textId="346ED41D" w:rsidR="1920C3E4" w:rsidRDefault="0007332F" w:rsidP="1920C3E4">
                  <w:pPr>
                    <w:pStyle w:val="Text"/>
                    <w:rPr>
                      <w:lang w:val="en-GB"/>
                    </w:rPr>
                  </w:pPr>
                  <w:r w:rsidRPr="0007332F">
                    <w:rPr>
                      <w:lang w:val="en-GB"/>
                    </w:rPr>
                    <w:t xml:space="preserve">In order to respond to KEQ 7 as to whether the programs offer value for money, a high-level return on investment (ROI) analysis </w:t>
                  </w:r>
                  <w:r w:rsidR="006812CE">
                    <w:rPr>
                      <w:lang w:val="en-GB"/>
                    </w:rPr>
                    <w:t>was</w:t>
                  </w:r>
                  <w:r w:rsidRPr="0007332F">
                    <w:rPr>
                      <w:lang w:val="en-GB"/>
                    </w:rPr>
                    <w:t xml:space="preserve"> undertaken</w:t>
                  </w:r>
                  <w:r w:rsidR="00265049">
                    <w:rPr>
                      <w:lang w:val="en-GB"/>
                    </w:rPr>
                    <w:t>.</w:t>
                  </w:r>
                  <w:r w:rsidR="008D7C7E">
                    <w:rPr>
                      <w:lang w:val="en-GB"/>
                    </w:rPr>
                    <w:t xml:space="preserve"> </w:t>
                  </w:r>
                  <w:r w:rsidR="002F4E09">
                    <w:rPr>
                      <w:lang w:val="en-GB"/>
                    </w:rPr>
                    <w:t>The ROI can be found</w:t>
                  </w:r>
                  <w:r w:rsidR="008D7C7E">
                    <w:rPr>
                      <w:lang w:val="en-GB"/>
                    </w:rPr>
                    <w:t xml:space="preserve"> in</w:t>
                  </w:r>
                  <w:r w:rsidR="007A5F59">
                    <w:rPr>
                      <w:lang w:val="en-GB"/>
                    </w:rPr>
                    <w:t xml:space="preserve"> </w:t>
                  </w:r>
                  <w:r w:rsidR="005B7A68" w:rsidRPr="005B7A68">
                    <w:rPr>
                      <w:b/>
                      <w:bCs/>
                      <w:lang w:val="en-GB"/>
                    </w:rPr>
                    <w:t xml:space="preserve">Section </w:t>
                  </w:r>
                  <w:r w:rsidR="005B7A68" w:rsidRPr="005B7A68">
                    <w:rPr>
                      <w:b/>
                      <w:bCs/>
                      <w:highlight w:val="yellow"/>
                      <w:lang w:val="en-GB"/>
                    </w:rPr>
                    <w:fldChar w:fldCharType="begin" w:fldLock="1"/>
                  </w:r>
                  <w:r w:rsidR="005B7A68" w:rsidRPr="005B7A68">
                    <w:rPr>
                      <w:b/>
                      <w:bCs/>
                      <w:lang w:val="en-GB"/>
                    </w:rPr>
                    <w:instrText xml:space="preserve"> REF _Ref205327551 \r \h </w:instrText>
                  </w:r>
                  <w:r w:rsidR="005B7A68">
                    <w:rPr>
                      <w:b/>
                      <w:bCs/>
                      <w:highlight w:val="yellow"/>
                      <w:lang w:val="en-GB"/>
                    </w:rPr>
                    <w:instrText xml:space="preserve"> \* MERGEFORMAT </w:instrText>
                  </w:r>
                  <w:r w:rsidR="005B7A68" w:rsidRPr="005B7A68">
                    <w:rPr>
                      <w:b/>
                      <w:bCs/>
                      <w:highlight w:val="yellow"/>
                      <w:lang w:val="en-GB"/>
                    </w:rPr>
                  </w:r>
                  <w:r w:rsidR="005B7A68" w:rsidRPr="005B7A68">
                    <w:rPr>
                      <w:b/>
                      <w:bCs/>
                      <w:highlight w:val="yellow"/>
                      <w:lang w:val="en-GB"/>
                    </w:rPr>
                    <w:fldChar w:fldCharType="separate"/>
                  </w:r>
                  <w:r w:rsidR="008F22E5">
                    <w:rPr>
                      <w:b/>
                      <w:bCs/>
                      <w:lang w:val="en-GB"/>
                    </w:rPr>
                    <w:t>4.3</w:t>
                  </w:r>
                  <w:r w:rsidR="005B7A68" w:rsidRPr="005B7A68">
                    <w:rPr>
                      <w:b/>
                      <w:bCs/>
                      <w:highlight w:val="yellow"/>
                      <w:lang w:val="en-GB"/>
                    </w:rPr>
                    <w:fldChar w:fldCharType="end"/>
                  </w:r>
                  <w:r w:rsidR="002F4E09">
                    <w:rPr>
                      <w:lang w:val="en-GB"/>
                    </w:rPr>
                    <w:t>.</w:t>
                  </w:r>
                  <w:r w:rsidRPr="0007332F">
                    <w:rPr>
                      <w:lang w:val="en-GB"/>
                    </w:rPr>
                    <w:t xml:space="preserve"> An ROI is a type of economic evaluation, similar to cost-benefit analysis, </w:t>
                  </w:r>
                  <w:r w:rsidR="00B7507C" w:rsidRPr="0007332F">
                    <w:rPr>
                      <w:lang w:val="en-GB"/>
                    </w:rPr>
                    <w:t>which</w:t>
                  </w:r>
                  <w:r w:rsidRPr="0007332F">
                    <w:rPr>
                      <w:lang w:val="en-GB"/>
                    </w:rPr>
                    <w:t xml:space="preserve"> requires a comparison of inputs and outcomes (expressed in monetary terms). Inputs relate to Government investment into FaRS and SFVS. Outcomes relate to the benefits / impact of the programs that </w:t>
                  </w:r>
                  <w:r w:rsidR="009F7990" w:rsidRPr="0007332F">
                    <w:rPr>
                      <w:lang w:val="en-GB"/>
                    </w:rPr>
                    <w:t>can</w:t>
                  </w:r>
                  <w:r w:rsidRPr="0007332F">
                    <w:rPr>
                      <w:lang w:val="en-GB"/>
                    </w:rPr>
                    <w:t xml:space="preserve"> be quantified. </w:t>
                  </w:r>
                </w:p>
                <w:p w14:paraId="5A114087" w14:textId="1F883883" w:rsidR="0007332F" w:rsidRPr="0007332F" w:rsidRDefault="0007332F" w:rsidP="0007332F">
                  <w:pPr>
                    <w:pStyle w:val="Text"/>
                    <w:rPr>
                      <w:lang w:val="en-GB"/>
                    </w:rPr>
                  </w:pPr>
                  <w:r w:rsidRPr="0007332F">
                    <w:rPr>
                      <w:lang w:val="en-GB"/>
                    </w:rPr>
                    <w:t xml:space="preserve">The FaRS and SFVS </w:t>
                  </w:r>
                  <w:r w:rsidR="00FC676B">
                    <w:rPr>
                      <w:lang w:val="en-GB"/>
                    </w:rPr>
                    <w:t>Program L</w:t>
                  </w:r>
                  <w:r w:rsidRPr="0007332F">
                    <w:rPr>
                      <w:lang w:val="en-GB"/>
                    </w:rPr>
                    <w:t>ogic</w:t>
                  </w:r>
                  <w:r w:rsidR="00FC676B">
                    <w:rPr>
                      <w:lang w:val="en-GB"/>
                    </w:rPr>
                    <w:t>s</w:t>
                  </w:r>
                  <w:r w:rsidRPr="0007332F">
                    <w:rPr>
                      <w:lang w:val="en-GB"/>
                    </w:rPr>
                    <w:t xml:space="preserve"> provide a useful platform to structure analysis for a ROI as they consider the cost (inputs) associated with service provision and outcomes including improved health (both physical and mental), improved family functioning, improved education outcomes, children placed in a safe environment, and improvements in other aspects of social determinants. </w:t>
                  </w:r>
                </w:p>
                <w:p w14:paraId="62E55B40" w14:textId="45574D7C" w:rsidR="0007332F" w:rsidRPr="0007332F" w:rsidRDefault="0018337C" w:rsidP="0007332F">
                  <w:pPr>
                    <w:pStyle w:val="Text"/>
                    <w:rPr>
                      <w:lang w:val="en-GB"/>
                    </w:rPr>
                  </w:pPr>
                  <w:r>
                    <w:rPr>
                      <w:lang w:val="en-GB"/>
                    </w:rPr>
                    <w:t>T</w:t>
                  </w:r>
                  <w:r w:rsidR="00931CDD">
                    <w:rPr>
                      <w:lang w:val="en-GB"/>
                    </w:rPr>
                    <w:t>he</w:t>
                  </w:r>
                  <w:r w:rsidR="0007332F" w:rsidRPr="0007332F">
                    <w:rPr>
                      <w:lang w:val="en-GB"/>
                    </w:rPr>
                    <w:t xml:space="preserve"> ROI</w:t>
                  </w:r>
                  <w:r>
                    <w:rPr>
                      <w:lang w:val="en-GB"/>
                    </w:rPr>
                    <w:t xml:space="preserve"> involved the following</w:t>
                  </w:r>
                  <w:r w:rsidR="0007332F" w:rsidRPr="0007332F">
                    <w:rPr>
                      <w:lang w:val="en-GB"/>
                    </w:rPr>
                    <w:t xml:space="preserve"> process</w:t>
                  </w:r>
                  <w:r w:rsidR="008356D1">
                    <w:rPr>
                      <w:lang w:val="en-GB"/>
                    </w:rPr>
                    <w:t xml:space="preserve">: </w:t>
                  </w:r>
                </w:p>
                <w:p w14:paraId="13EA88C9" w14:textId="58DAF584" w:rsidR="0007332F" w:rsidRPr="005B7D0B" w:rsidRDefault="006812CE" w:rsidP="00261404">
                  <w:pPr>
                    <w:pStyle w:val="Bullet1"/>
                    <w:rPr>
                      <w:lang w:val="en-GB"/>
                    </w:rPr>
                  </w:pPr>
                  <w:r w:rsidRPr="005B7D0B">
                    <w:rPr>
                      <w:lang w:val="en-GB"/>
                    </w:rPr>
                    <w:lastRenderedPageBreak/>
                    <w:t>The evaluation team</w:t>
                  </w:r>
                  <w:r w:rsidR="0007332F" w:rsidRPr="005B7D0B">
                    <w:rPr>
                      <w:lang w:val="en-GB"/>
                    </w:rPr>
                    <w:t xml:space="preserve"> met with the Department to discuss assumptions, data availability, results</w:t>
                  </w:r>
                  <w:r w:rsidR="00424081" w:rsidRPr="005B7D0B">
                    <w:rPr>
                      <w:lang w:val="en-GB"/>
                    </w:rPr>
                    <w:t>,</w:t>
                  </w:r>
                  <w:r w:rsidR="0007332F" w:rsidRPr="005B7D0B">
                    <w:rPr>
                      <w:lang w:val="en-GB"/>
                    </w:rPr>
                    <w:t xml:space="preserve"> and interpretation. </w:t>
                  </w:r>
                </w:p>
                <w:p w14:paraId="278E3507" w14:textId="0274D106" w:rsidR="0007332F" w:rsidRPr="005B7D0B" w:rsidRDefault="006812CE" w:rsidP="00261404">
                  <w:pPr>
                    <w:pStyle w:val="Bullet1"/>
                    <w:rPr>
                      <w:lang w:val="en-GB"/>
                    </w:rPr>
                  </w:pPr>
                  <w:r w:rsidRPr="005B7D0B">
                    <w:rPr>
                      <w:lang w:val="en-GB"/>
                    </w:rPr>
                    <w:t xml:space="preserve">The evaluation team </w:t>
                  </w:r>
                  <w:r w:rsidR="78B823DD" w:rsidRPr="12AA9F2A">
                    <w:rPr>
                      <w:lang w:val="en-GB"/>
                    </w:rPr>
                    <w:t xml:space="preserve">identified </w:t>
                  </w:r>
                  <w:r w:rsidR="0007332F" w:rsidRPr="12AA9F2A">
                    <w:rPr>
                      <w:lang w:val="en-GB"/>
                    </w:rPr>
                    <w:t>the</w:t>
                  </w:r>
                  <w:r w:rsidR="0007332F" w:rsidRPr="005B7D0B">
                    <w:rPr>
                      <w:lang w:val="en-GB"/>
                    </w:rPr>
                    <w:t xml:space="preserve"> cost of family and relationship breakdowns (i.e. harm) encompassing costs associated with family, domestic or sexual violence and child protection. This </w:t>
                  </w:r>
                  <w:r w:rsidRPr="005B7D0B">
                    <w:rPr>
                      <w:lang w:val="en-GB"/>
                    </w:rPr>
                    <w:t>involved</w:t>
                  </w:r>
                  <w:r w:rsidR="0007332F" w:rsidRPr="005B7D0B">
                    <w:rPr>
                      <w:lang w:val="en-GB"/>
                    </w:rPr>
                    <w:t xml:space="preserve"> a review of the literature / policy documents. </w:t>
                  </w:r>
                </w:p>
                <w:p w14:paraId="15951541" w14:textId="270ED964" w:rsidR="0007332F" w:rsidRPr="005B7D0B" w:rsidRDefault="006812CE" w:rsidP="00261404">
                  <w:pPr>
                    <w:pStyle w:val="Bullet1"/>
                    <w:rPr>
                      <w:lang w:val="en-GB"/>
                    </w:rPr>
                  </w:pPr>
                  <w:r w:rsidRPr="005B7D0B">
                    <w:rPr>
                      <w:lang w:val="en-GB"/>
                    </w:rPr>
                    <w:t xml:space="preserve">The evaluation team </w:t>
                  </w:r>
                  <w:r w:rsidR="68F7D114" w:rsidRPr="5E1BBD5C">
                    <w:rPr>
                      <w:lang w:val="en-GB"/>
                    </w:rPr>
                    <w:t xml:space="preserve">used the </w:t>
                  </w:r>
                  <w:r w:rsidR="576CCE30" w:rsidRPr="12AA9F2A">
                    <w:rPr>
                      <w:lang w:val="en-GB"/>
                    </w:rPr>
                    <w:t xml:space="preserve">GPS - DEX data extract </w:t>
                  </w:r>
                  <w:r w:rsidR="0067E17E" w:rsidRPr="5E1BBD5C">
                    <w:rPr>
                      <w:lang w:val="en-GB"/>
                    </w:rPr>
                    <w:t xml:space="preserve">to </w:t>
                  </w:r>
                  <w:r w:rsidR="576CCE30" w:rsidRPr="530CB1A1">
                    <w:rPr>
                      <w:lang w:val="en-GB"/>
                    </w:rPr>
                    <w:t>identif</w:t>
                  </w:r>
                  <w:r w:rsidR="6D9C2BDE" w:rsidRPr="530CB1A1">
                    <w:rPr>
                      <w:lang w:val="en-GB"/>
                    </w:rPr>
                    <w:t xml:space="preserve">y </w:t>
                  </w:r>
                  <w:r w:rsidR="06573DE2" w:rsidRPr="530CB1A1">
                    <w:rPr>
                      <w:lang w:val="en-GB"/>
                    </w:rPr>
                    <w:t xml:space="preserve">the </w:t>
                  </w:r>
                  <w:r w:rsidR="0007332F" w:rsidRPr="005B7D0B">
                    <w:rPr>
                      <w:lang w:val="en-GB"/>
                    </w:rPr>
                    <w:t xml:space="preserve">Government’s annual investment in FaRS and SVFS including funding allocations across programs and activities. </w:t>
                  </w:r>
                </w:p>
                <w:p w14:paraId="4A4E2C80" w14:textId="60A9A060" w:rsidR="06EBEEE2" w:rsidRDefault="06EBEEE2" w:rsidP="530CB1A1">
                  <w:pPr>
                    <w:pStyle w:val="Bullet1"/>
                    <w:rPr>
                      <w:lang w:val="en-GB"/>
                    </w:rPr>
                  </w:pPr>
                  <w:r w:rsidRPr="74D343B1">
                    <w:rPr>
                      <w:lang w:val="en-GB"/>
                    </w:rPr>
                    <w:t xml:space="preserve">The evaluation team developed a value for money framework that utilised the </w:t>
                  </w:r>
                  <w:r w:rsidR="00611A3A" w:rsidRPr="74D343B1">
                    <w:rPr>
                      <w:lang w:val="en-GB"/>
                    </w:rPr>
                    <w:t>‘</w:t>
                  </w:r>
                  <w:r w:rsidRPr="74D343B1">
                    <w:rPr>
                      <w:lang w:val="en-GB"/>
                    </w:rPr>
                    <w:t>4E framework</w:t>
                  </w:r>
                  <w:r w:rsidR="00611A3A" w:rsidRPr="74D343B1">
                    <w:rPr>
                      <w:lang w:val="en-GB"/>
                    </w:rPr>
                    <w:t>’</w:t>
                  </w:r>
                  <w:r w:rsidRPr="74D343B1">
                    <w:rPr>
                      <w:lang w:val="en-GB"/>
                    </w:rPr>
                    <w:t xml:space="preserve"> </w:t>
                  </w:r>
                  <w:r w:rsidR="00611A3A" w:rsidRPr="74D343B1">
                    <w:rPr>
                      <w:lang w:val="en-GB"/>
                    </w:rPr>
                    <w:t>(</w:t>
                  </w:r>
                  <w:r w:rsidRPr="74D343B1">
                    <w:rPr>
                      <w:lang w:val="en-GB"/>
                    </w:rPr>
                    <w:t xml:space="preserve">economy, effectiveness, efficiency and </w:t>
                  </w:r>
                  <w:r w:rsidR="72DDFF87" w:rsidRPr="74D343B1">
                    <w:rPr>
                      <w:lang w:val="en-GB"/>
                    </w:rPr>
                    <w:t>equity</w:t>
                  </w:r>
                  <w:r w:rsidR="00BA67D8">
                    <w:rPr>
                      <w:lang w:val="en-GB"/>
                    </w:rPr>
                    <w:t>)</w:t>
                  </w:r>
                  <w:r w:rsidR="72DDFF87" w:rsidRPr="74D343B1">
                    <w:rPr>
                      <w:lang w:val="en-GB"/>
                    </w:rPr>
                    <w:t xml:space="preserve">. The main source of data used for the </w:t>
                  </w:r>
                  <w:r w:rsidR="00611A3A" w:rsidRPr="74D343B1">
                    <w:rPr>
                      <w:lang w:val="en-GB"/>
                    </w:rPr>
                    <w:t>4</w:t>
                  </w:r>
                  <w:r w:rsidR="72DDFF87" w:rsidRPr="74D343B1">
                    <w:rPr>
                      <w:lang w:val="en-GB"/>
                    </w:rPr>
                    <w:t>E framework was the GPS - DEX data extract.</w:t>
                  </w:r>
                </w:p>
                <w:p w14:paraId="0CD03316" w14:textId="49809D40" w:rsidR="06EBEEE2" w:rsidRDefault="72DDFF87" w:rsidP="530CB1A1">
                  <w:pPr>
                    <w:pStyle w:val="Bullet1"/>
                    <w:rPr>
                      <w:lang w:val="en-GB"/>
                    </w:rPr>
                  </w:pPr>
                  <w:r w:rsidRPr="2AD3FC73">
                    <w:rPr>
                      <w:lang w:val="en-GB"/>
                    </w:rPr>
                    <w:t xml:space="preserve">The evaluation team used the unit record DEX data to identify improvements in SCORE for </w:t>
                  </w:r>
                  <w:r w:rsidR="00CC4F7F">
                    <w:rPr>
                      <w:lang w:val="en-GB"/>
                    </w:rPr>
                    <w:t>C</w:t>
                  </w:r>
                  <w:r w:rsidRPr="2AD3FC73">
                    <w:rPr>
                      <w:lang w:val="en-GB"/>
                    </w:rPr>
                    <w:t xml:space="preserve">ircumstances domains </w:t>
                  </w:r>
                  <w:r w:rsidR="5396BF0A" w:rsidRPr="76167B5F">
                    <w:rPr>
                      <w:lang w:val="en-GB"/>
                    </w:rPr>
                    <w:t xml:space="preserve">of personal </w:t>
                  </w:r>
                  <w:r w:rsidR="00611A3A" w:rsidRPr="2E668324">
                    <w:rPr>
                      <w:lang w:val="en-GB"/>
                    </w:rPr>
                    <w:t>and</w:t>
                  </w:r>
                  <w:r w:rsidR="5396BF0A" w:rsidRPr="76167B5F">
                    <w:rPr>
                      <w:lang w:val="en-GB"/>
                    </w:rPr>
                    <w:t xml:space="preserve"> family safety and </w:t>
                  </w:r>
                  <w:r w:rsidRPr="2AD3FC73">
                    <w:rPr>
                      <w:lang w:val="en-GB"/>
                    </w:rPr>
                    <w:t>family functioning</w:t>
                  </w:r>
                  <w:r w:rsidR="00649BD2" w:rsidRPr="76167B5F">
                    <w:rPr>
                      <w:lang w:val="en-GB"/>
                    </w:rPr>
                    <w:t xml:space="preserve">. </w:t>
                  </w:r>
                </w:p>
                <w:p w14:paraId="135D0B93" w14:textId="2DBB469C" w:rsidR="0007332F" w:rsidRPr="005B7D0B" w:rsidRDefault="006812CE" w:rsidP="00261404">
                  <w:pPr>
                    <w:pStyle w:val="Bullet1"/>
                  </w:pPr>
                  <w:r w:rsidRPr="1611519C">
                    <w:t>The evaluation team</w:t>
                  </w:r>
                  <w:r w:rsidR="0007332F" w:rsidRPr="1611519C">
                    <w:t xml:space="preserve"> </w:t>
                  </w:r>
                  <w:r w:rsidR="3A97D688" w:rsidRPr="1611519C">
                    <w:t>estimated</w:t>
                  </w:r>
                  <w:r w:rsidR="0007332F" w:rsidRPr="1611519C">
                    <w:t xml:space="preserve"> the likely impact benefit of FaRS and SVFS in reducing the cost of harm</w:t>
                  </w:r>
                  <w:r w:rsidR="1780FA74" w:rsidRPr="1611519C">
                    <w:t xml:space="preserve"> using </w:t>
                  </w:r>
                  <w:r w:rsidR="0007332F" w:rsidRPr="1611519C">
                    <w:t xml:space="preserve">multiple sources of data including </w:t>
                  </w:r>
                  <w:r w:rsidR="550803FF" w:rsidRPr="1611519C">
                    <w:t>empirical evidence and previous modelling attempts.</w:t>
                  </w:r>
                </w:p>
                <w:p w14:paraId="7391B947" w14:textId="5A22A54E" w:rsidR="0007332F" w:rsidRPr="005B7D0B" w:rsidRDefault="00963403" w:rsidP="00261404">
                  <w:pPr>
                    <w:pStyle w:val="Bullet1"/>
                    <w:rPr>
                      <w:lang w:val="en-GB"/>
                    </w:rPr>
                  </w:pPr>
                  <w:r w:rsidRPr="005B7D0B">
                    <w:rPr>
                      <w:lang w:val="en-GB"/>
                    </w:rPr>
                    <w:t xml:space="preserve">The evaluation team </w:t>
                  </w:r>
                  <w:r w:rsidR="45A015F0" w:rsidRPr="2E668324">
                    <w:rPr>
                      <w:lang w:val="en-GB"/>
                    </w:rPr>
                    <w:t xml:space="preserve">developed a range of scenarios to explore ROI including sensitivity </w:t>
                  </w:r>
                  <w:r w:rsidR="45A015F0" w:rsidRPr="6ACB6F0C">
                    <w:rPr>
                      <w:lang w:val="en-GB"/>
                    </w:rPr>
                    <w:t xml:space="preserve">analysis to </w:t>
                  </w:r>
                  <w:r w:rsidR="00611A3A" w:rsidRPr="4402386B">
                    <w:rPr>
                      <w:lang w:val="en-GB"/>
                    </w:rPr>
                    <w:t>test</w:t>
                  </w:r>
                  <w:r w:rsidR="45A015F0" w:rsidRPr="6ACB6F0C">
                    <w:rPr>
                      <w:lang w:val="en-GB"/>
                    </w:rPr>
                    <w:t xml:space="preserve"> robustness </w:t>
                  </w:r>
                  <w:r w:rsidR="0007332F" w:rsidRPr="005B7D0B">
                    <w:rPr>
                      <w:lang w:val="en-GB"/>
                    </w:rPr>
                    <w:t xml:space="preserve">of assumptions </w:t>
                  </w:r>
                  <w:r w:rsidR="11DB1ACF" w:rsidRPr="6ACB6F0C">
                    <w:rPr>
                      <w:lang w:val="en-GB"/>
                    </w:rPr>
                    <w:t xml:space="preserve">to </w:t>
                  </w:r>
                  <w:r w:rsidR="00611A3A" w:rsidRPr="4402386B">
                    <w:rPr>
                      <w:lang w:val="en-GB"/>
                    </w:rPr>
                    <w:t>results in</w:t>
                  </w:r>
                  <w:r w:rsidR="0007332F" w:rsidRPr="005B7D0B">
                    <w:rPr>
                      <w:lang w:val="en-GB"/>
                    </w:rPr>
                    <w:t xml:space="preserve"> estimating costs and benefits with variations tested in sensitivity </w:t>
                  </w:r>
                  <w:r w:rsidR="0007332F" w:rsidRPr="5ACDA7A8">
                    <w:rPr>
                      <w:lang w:val="en-GB"/>
                    </w:rPr>
                    <w:t>analysis.</w:t>
                  </w:r>
                </w:p>
                <w:p w14:paraId="23B73048" w14:textId="6E7A202A" w:rsidR="007D18DD" w:rsidRPr="005B7D0B" w:rsidRDefault="00963403" w:rsidP="00261404">
                  <w:pPr>
                    <w:pStyle w:val="Bullet1"/>
                    <w:rPr>
                      <w:lang w:val="en-GB"/>
                    </w:rPr>
                  </w:pPr>
                  <w:r w:rsidRPr="005B7D0B">
                    <w:rPr>
                      <w:lang w:val="en-GB"/>
                    </w:rPr>
                    <w:t>The evaluation</w:t>
                  </w:r>
                  <w:r w:rsidR="0007332F" w:rsidRPr="005B7D0B">
                    <w:rPr>
                      <w:lang w:val="en-GB"/>
                    </w:rPr>
                    <w:t xml:space="preserve"> present</w:t>
                  </w:r>
                  <w:r w:rsidRPr="005B7D0B">
                    <w:rPr>
                      <w:lang w:val="en-GB"/>
                    </w:rPr>
                    <w:t>ed</w:t>
                  </w:r>
                  <w:r w:rsidR="0007332F" w:rsidRPr="005B7D0B">
                    <w:rPr>
                      <w:lang w:val="en-GB"/>
                    </w:rPr>
                    <w:t xml:space="preserve"> results in terms of a ratio expressing the potential benefits achieved for every one dollar invested. </w:t>
                  </w:r>
                </w:p>
                <w:p w14:paraId="1E3E5F82" w14:textId="0ABD1DDE" w:rsidR="004D3A96" w:rsidRDefault="004D3A96" w:rsidP="002E7436">
                  <w:pPr>
                    <w:pStyle w:val="Heading2"/>
                  </w:pPr>
                  <w:bookmarkStart w:id="234" w:name="_Toc202895493"/>
                  <w:bookmarkStart w:id="235" w:name="_Toc203054507"/>
                  <w:bookmarkStart w:id="236" w:name="_Toc203054588"/>
                  <w:bookmarkStart w:id="237" w:name="_Toc203054669"/>
                  <w:bookmarkStart w:id="238" w:name="_Toc203464400"/>
                  <w:bookmarkStart w:id="239" w:name="_Toc203560486"/>
                  <w:bookmarkStart w:id="240" w:name="_Toc203584247"/>
                  <w:bookmarkStart w:id="241" w:name="_Toc203598390"/>
                  <w:bookmarkStart w:id="242" w:name="_Toc203600481"/>
                  <w:bookmarkStart w:id="243" w:name="_Toc203639943"/>
                  <w:bookmarkStart w:id="244" w:name="_Toc203646452"/>
                  <w:bookmarkStart w:id="245" w:name="_Toc203660748"/>
                  <w:bookmarkStart w:id="246" w:name="_Toc204085668"/>
                  <w:bookmarkStart w:id="247" w:name="_Toc204171124"/>
                  <w:bookmarkStart w:id="248" w:name="_Toc204189549"/>
                  <w:bookmarkStart w:id="249" w:name="_Toc204193587"/>
                  <w:bookmarkStart w:id="250" w:name="_Toc204856733"/>
                  <w:bookmarkStart w:id="251" w:name="_Ref205321333"/>
                  <w:bookmarkStart w:id="252" w:name="_Ref205405165"/>
                  <w:bookmarkStart w:id="253" w:name="_Toc208906844"/>
                  <w:bookmarkStart w:id="254" w:name="_Ref202888798"/>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r>
                    <w:t>Limitations and considerations</w:t>
                  </w:r>
                  <w:bookmarkEnd w:id="250"/>
                  <w:bookmarkEnd w:id="251"/>
                  <w:bookmarkEnd w:id="252"/>
                  <w:bookmarkEnd w:id="253"/>
                  <w:r>
                    <w:t xml:space="preserve"> </w:t>
                  </w:r>
                  <w:bookmarkEnd w:id="254"/>
                </w:p>
                <w:p w14:paraId="1F5B64FF" w14:textId="11E22D0C" w:rsidR="000B667F" w:rsidRDefault="004254DA" w:rsidP="00321BC5">
                  <w:pPr>
                    <w:pStyle w:val="Text-BodyHeading"/>
                    <w:spacing w:before="360" w:after="240"/>
                  </w:pPr>
                  <w:r>
                    <w:t>Challenges recruiting</w:t>
                  </w:r>
                  <w:r w:rsidR="000B667F">
                    <w:t xml:space="preserve"> SFVS, MBCP and CSC service users </w:t>
                  </w:r>
                </w:p>
                <w:p w14:paraId="7E5A6E43" w14:textId="0490AAB0" w:rsidR="00064EBA" w:rsidRPr="00064EBA" w:rsidRDefault="004254DA" w:rsidP="00064EBA">
                  <w:pPr>
                    <w:pStyle w:val="Text"/>
                  </w:pPr>
                  <w:r>
                    <w:t xml:space="preserve">Whilst </w:t>
                  </w:r>
                  <w:r w:rsidR="000C3B42">
                    <w:t>overall uptake of service users was satisfactory, there were challenges recruiting service users who accessed SFVS, MBCP and CSC services. Uptake also varied across jurisdictions. There are several contributing</w:t>
                  </w:r>
                  <w:r w:rsidR="00613F2C">
                    <w:t xml:space="preserve"> factors underpinning this low up</w:t>
                  </w:r>
                  <w:r w:rsidR="000C3B42">
                    <w:t>take</w:t>
                  </w:r>
                  <w:r w:rsidR="00613F2C">
                    <w:t xml:space="preserve">: </w:t>
                  </w:r>
                </w:p>
                <w:p w14:paraId="6E44FD3E" w14:textId="3700B264" w:rsidR="00064EBA" w:rsidRPr="00064EBA" w:rsidRDefault="00953058" w:rsidP="00261404">
                  <w:pPr>
                    <w:pStyle w:val="Bullet1"/>
                  </w:pPr>
                  <w:r>
                    <w:t xml:space="preserve">A review of literature on conducting research with victim survivors demonstrates that people who have experienced trauma are a challenging cohort to recruit. They can face barriers to engaging in research including fear of judgement, mistrust of researchers and research processes, privacy concerns, fear of legal implications for engaging in research, lack of motivation, time burden related to participation, and emotional strain </w:t>
                  </w:r>
                  <w:r>
                    <w:fldChar w:fldCharType="begin"/>
                  </w:r>
                  <w:r w:rsidR="00E41D03">
                    <w:instrText xml:space="preserve"> ADDIN ZOTERO_ITEM CSL_CITATION {"citationID":"D4ck4TzY","properties":{"formattedCitation":"(Ellard-Gray et al., 2015; Sabri et al., 2022)","plainCitation":"(Ellard-Gray et al., 2015; Sabri et al., 2022)","noteIndex":0},"citationItems":[{"id":5599,"uris":["http://zotero.org/groups/5691188/items/ACNHYX4U"],"itemData":{"id":5599,"type":"article-journal","abstract":"Certain social groups are often difficult for researchers to access because of their social or physical location, vulnerability, or otherwise hidden nature. This unique review article based on both the small body of relevant literature and our own experiences as researchers is meant as a guide for those seeking to include hard-to-reach, hidden, and vulnerable populations in research. We make recommendations for research process starting from early stages of study design to dissemination of study results. Topics covered include participant mistrust of the research process; social, psychological, and physical risks to participation; participant resource constraints; and challenges inherent in nonprobability sampling, snowball sampling, and derived rapport. This article offers broadly accessible solutions for qualitative researchers across social science disciplines attempting to research a variety of different populations.","container-title":"International Journal of Qualitative Methods","DOI":"10.1177/1609406915621420","ISSN":"1609-4069","issue":"5","language":"EN","note":"publisher: SAGE Publications Inc","page":"1609406915621420","source":"SAGE Journals","title":"Finding the Hidden Participant: Solutions for Recruiting Hidden, Hard-to-Reach, and Vulnerable Populations","title-short":"Finding the Hidden Participant","volume":"14","author":[{"family":"Ellard-Gray","given":"Amy"},{"family":"Jeffrey","given":"Nicole K."},{"family":"Choubak","given":"Melisa"},{"family":"Crann","given":"Sara E."}],"issued":{"date-parts":[["2015",12,9]]}}},{"id":5604,"uris":["http://zotero.org/groups/5691188/items/6PEDSIYX"],"itemData":{"id":5604,"type":"article-journal","abstract":"Research is needed to support culturally informed interventions for diverse groups of survivors of intimate partner violence (IPV), such as immigrant women. Researchers, however, often face numerous barriers in recruiting and retaining immigrant survivors of IPV in intervention research. This qualitative study explored strategies to enhance recruitment and retention of immigrant survivors of IPV in intervention research from the perspective of immigrant survivors of IPV and providers serving immigrant women. Forty-six in-depth interviews were conducted with diverse groups of immigrant women (Africans, Asians, and Latinas) and 17 key informant interviews were conducted with providers serving immigrant women. The interviews focused on perceived facilitators and barriers to recruitment and retention including strategies to form partnerships with domestic violence organizations. Data were analyzed using systematic inductive thematic analysis. Participants identified barriers to recruitment such as fear of being judged, lack of familiarity with the recruiter, normalcy of abuse in some cultures, undocumented status, and fear related to legal implications of reporting IPV. Barriers to study retention included lack of motivation, time burden related to study participation, and emotional strain with recounting abuse experience. Participants also shared strategies to facilitate recruitment and retention such as engaging with the community, forming partnerships with domestic violence organizations, using recruiters with similar background and experiences as potential participants, using snowball sampling strategies, recruiting in locations frequently visited by immigrant survivors, providing adequate incentives, ensuring confidentiality, educating survivors about IPV, and conducting periodic check-ins throughout the study period. Findings can be useful for researchers conducting intervention studies with immigrant survivors of IPV.","container-title":"Journal of Interpersonal Violence","DOI":"10.1177/08862605211035866","ISSN":"1552-6518","issue":"19-20","journalAbbreviation":"J Interpers Violence","language":"eng","note":"PMID: 34344214\nPMCID: PMC8810891","page":"NP18060-NP18084","source":"PubMed","title":"Conducting Intervention Research With Immigrant Survivors of Intimate Partner Violence: Barriers and Facilitators of Recruitment and Retention","title-short":"Conducting Intervention Research With Immigrant Survivors of Intimate Partner Violence","volume":"37","author":[{"family":"Sabri","given":"Bushra"},{"family":"Lee","given":"Jennifer"},{"family":"Saha","given":"Jyoti"}],"issued":{"date-parts":[["2022",10]]}}}],"schema":"https://github.com/citation-style-language/schema/raw/master/csl-citation.json"} </w:instrText>
                  </w:r>
                  <w:r>
                    <w:fldChar w:fldCharType="separate"/>
                  </w:r>
                  <w:r w:rsidRPr="00261404">
                    <w:t>(Ellard-Gray et al., 2015; Sabri et al., 2022)</w:t>
                  </w:r>
                  <w:r>
                    <w:fldChar w:fldCharType="end"/>
                  </w:r>
                  <w:r>
                    <w:t xml:space="preserve">. </w:t>
                  </w:r>
                  <w:r w:rsidR="00F559F8">
                    <w:t xml:space="preserve">Research indicates that service providers </w:t>
                  </w:r>
                  <w:r w:rsidR="0019576F">
                    <w:t>may</w:t>
                  </w:r>
                  <w:r w:rsidR="00E9503E">
                    <w:t xml:space="preserve"> be reluctant</w:t>
                  </w:r>
                  <w:r w:rsidR="00F559F8">
                    <w:t xml:space="preserve"> to </w:t>
                  </w:r>
                  <w:r w:rsidR="00E9503E">
                    <w:t xml:space="preserve">facilitate </w:t>
                  </w:r>
                  <w:r>
                    <w:t>engagement</w:t>
                  </w:r>
                  <w:r w:rsidR="00E9503E">
                    <w:t xml:space="preserve"> with</w:t>
                  </w:r>
                  <w:r w:rsidR="00F559F8">
                    <w:t xml:space="preserve"> certain cohorts due to concerns for their safety and wellbeing if they were to engage in research </w:t>
                  </w:r>
                  <w:r w:rsidR="00F559F8">
                    <w:fldChar w:fldCharType="begin"/>
                  </w:r>
                  <w:r w:rsidR="00E41D03">
                    <w:instrText xml:space="preserve"> ADDIN ZOTERO_ITEM CSL_CITATION {"citationID":"Z6ppqjh5","properties":{"formattedCitation":"(Kay, 2019)","plainCitation":"(Kay, 2019)","noteIndex":0},"citationItems":[{"id":5602,"uris":["http://zotero.org/groups/5691188/items/B3JEZF9I"],"itemData":{"id":5602,"type":"article-journal","abstract":"Gatekeepers are an integral part of an ethical process of seeking authorisation for research. The number of gatekeepers, and the negotiations between researchers and gatekeepers, become more complex for research which includes children and young people (CYP) and other vulnerable groups. Ethical researchers and gatekeepers share a desire to protect CYP from harm. This paper examines the multifaceted nature of gatekeepers and the positive and negative influences upon their decision-making and thus potentially upon the shaping of a research project. The traditional view of the gatekeeper, as benevolent protector, has been challenged within literature. Indeed, gatekeepers are sometimes presented as being predisposed to take an antagonistic stance towards research proposals, owing to a heightened anxiety regarding risks of harm for CYP. Further influences upon the gatekeeper’s decision-making include their perceptions of the construct of childhood and of CYP’s competences with understanding and articulating their thoughts, feeling and experiences, contextual issues and obligations set out within policy or legislation. This is problematic for researchers endeavouring to plan proactively for seeking permissions from gatekeepers to involve CYP within research projects.  This paper offers a novel contribution to these debates with a model of the strata of gatekeepers, designed to support researchers with those proactive preparations. This paper focuses on the educational context, but nevertheless contributes to the debates across wider fields of study, working to mitigate vulnerable participants becoming marginalised on topics which are salient to them.","container-title":"PRACTICE","DOI":"10.1080/25783858.2019.1589988","ISSN":"2578-3858","issue":"1","note":"publisher: Routledge\n_eprint: https://doi.org/10.1080/25783858.2019.1589988","page":"37-52","source":"Taylor and Francis+NEJM","title":"Guardians of research: negotiating the strata of gatekeepers in research with vulnerable participants","title-short":"Guardians of research","volume":"1","author":[{"family":"Kay","given":"Lynda"}],"issued":{"date-parts":[["2019",1,2]]}}}],"schema":"https://github.com/citation-style-language/schema/raw/master/csl-citation.json"} </w:instrText>
                  </w:r>
                  <w:r w:rsidR="00F559F8">
                    <w:fldChar w:fldCharType="separate"/>
                  </w:r>
                  <w:r w:rsidR="00F559F8" w:rsidRPr="00261404">
                    <w:t>(Kay, 2019)</w:t>
                  </w:r>
                  <w:r w:rsidR="00F559F8">
                    <w:fldChar w:fldCharType="end"/>
                  </w:r>
                  <w:r w:rsidR="00F559F8">
                    <w:t>.</w:t>
                  </w:r>
                  <w:r w:rsidR="002D59FB">
                    <w:t xml:space="preserve"> </w:t>
                  </w:r>
                  <w:r w:rsidR="00DE0CE4">
                    <w:t>S</w:t>
                  </w:r>
                  <w:r w:rsidR="005855A1">
                    <w:t>everal</w:t>
                  </w:r>
                  <w:r w:rsidR="00F80FA6">
                    <w:t xml:space="preserve"> s</w:t>
                  </w:r>
                  <w:r w:rsidR="00064EBA" w:rsidRPr="00064EBA">
                    <w:t>ervice provider</w:t>
                  </w:r>
                  <w:r w:rsidR="00CA6109">
                    <w:t>s</w:t>
                  </w:r>
                  <w:r w:rsidR="00971018">
                    <w:t xml:space="preserve"> emphasised that they</w:t>
                  </w:r>
                  <w:r w:rsidR="00CA6109">
                    <w:t xml:space="preserve"> plac</w:t>
                  </w:r>
                  <w:r w:rsidR="00971018">
                    <w:t>ed</w:t>
                  </w:r>
                  <w:r w:rsidR="00064EBA" w:rsidRPr="00064EBA">
                    <w:t xml:space="preserve"> priority on developing and maintaining therapeutic relationships with </w:t>
                  </w:r>
                  <w:r w:rsidR="00971018">
                    <w:t xml:space="preserve">service users, noting that this was </w:t>
                  </w:r>
                  <w:r w:rsidR="00A44F89">
                    <w:t xml:space="preserve">a </w:t>
                  </w:r>
                  <w:r w:rsidR="00971018">
                    <w:t>delicate and time-consuming process</w:t>
                  </w:r>
                  <w:r w:rsidR="00A44F89">
                    <w:t xml:space="preserve"> and</w:t>
                  </w:r>
                  <w:r w:rsidR="00971018">
                    <w:t xml:space="preserve"> </w:t>
                  </w:r>
                  <w:r w:rsidR="00A44F89">
                    <w:t>c</w:t>
                  </w:r>
                  <w:r w:rsidR="00971018">
                    <w:t xml:space="preserve">oncern was expressed that </w:t>
                  </w:r>
                  <w:r w:rsidR="00A44F89">
                    <w:t xml:space="preserve">recruitment to any form of external research or evaluation could impact this fragile relationship of trust. </w:t>
                  </w:r>
                </w:p>
                <w:p w14:paraId="67B42BEE" w14:textId="739CB0BD" w:rsidR="00064EBA" w:rsidRPr="00064EBA" w:rsidRDefault="00F80FA6" w:rsidP="00261404">
                  <w:pPr>
                    <w:pStyle w:val="Bullet1"/>
                  </w:pPr>
                  <w:r>
                    <w:lastRenderedPageBreak/>
                    <w:t>S</w:t>
                  </w:r>
                  <w:r w:rsidR="005855A1">
                    <w:t>everal</w:t>
                  </w:r>
                  <w:r>
                    <w:t xml:space="preserve"> service providers indicated that l</w:t>
                  </w:r>
                  <w:r w:rsidR="0043743C">
                    <w:t>o</w:t>
                  </w:r>
                  <w:r w:rsidR="00064EBA" w:rsidRPr="00064EBA">
                    <w:t xml:space="preserve">w numbers </w:t>
                  </w:r>
                  <w:r w:rsidRPr="00064EBA">
                    <w:t xml:space="preserve">of </w:t>
                  </w:r>
                  <w:r>
                    <w:t xml:space="preserve">their </w:t>
                  </w:r>
                  <w:r w:rsidR="00064EBA" w:rsidRPr="00064EBA">
                    <w:t>service users consent</w:t>
                  </w:r>
                  <w:r>
                    <w:t>ed</w:t>
                  </w:r>
                  <w:r w:rsidR="00064EBA" w:rsidRPr="00064EBA">
                    <w:t xml:space="preserve"> to be</w:t>
                  </w:r>
                  <w:r w:rsidR="00A152D9">
                    <w:t>ing</w:t>
                  </w:r>
                  <w:r w:rsidR="00064EBA" w:rsidRPr="00064EBA">
                    <w:t xml:space="preserve"> contacted for evaluations during intake processes</w:t>
                  </w:r>
                  <w:r>
                    <w:t>. This further limited the potential pool for them to draw from, even before applying safety screening processes.</w:t>
                  </w:r>
                </w:p>
                <w:p w14:paraId="6728F4A8" w14:textId="13EF1C30" w:rsidR="00680E18" w:rsidRDefault="00F80FA6" w:rsidP="00261404">
                  <w:pPr>
                    <w:pStyle w:val="Bullet1"/>
                  </w:pPr>
                  <w:r>
                    <w:t>One s</w:t>
                  </w:r>
                  <w:r w:rsidR="00064EBA" w:rsidRPr="00064EBA">
                    <w:t>ervice provider</w:t>
                  </w:r>
                  <w:r>
                    <w:t xml:space="preserve"> indicated they had a</w:t>
                  </w:r>
                  <w:r w:rsidR="00064EBA" w:rsidRPr="00064EBA">
                    <w:t xml:space="preserve"> requirement for internal ethics approval </w:t>
                  </w:r>
                  <w:r>
                    <w:t xml:space="preserve">to be completed before any of their service users could engage in research with internal or external parties. This </w:t>
                  </w:r>
                  <w:r w:rsidR="00064EBA" w:rsidRPr="00064EBA">
                    <w:t>could not be accommodated in project timelines</w:t>
                  </w:r>
                  <w:r w:rsidR="00BF2322">
                    <w:t>.</w:t>
                  </w:r>
                </w:p>
                <w:p w14:paraId="604688DA" w14:textId="256348AA" w:rsidR="00417D57" w:rsidRDefault="00953058" w:rsidP="00261404">
                  <w:pPr>
                    <w:pStyle w:val="Bullet1"/>
                  </w:pPr>
                  <w:r>
                    <w:t xml:space="preserve">Male perpetrators face barriers to engagement, with the most significant obstacle being internal feelings of fear, shame, and guilt </w:t>
                  </w:r>
                  <w:r>
                    <w:fldChar w:fldCharType="begin"/>
                  </w:r>
                  <w:r w:rsidR="00E41D03">
                    <w:instrText xml:space="preserve"> ADDIN ZOTERO_ITEM CSL_CITATION {"citationID":"6r6HN3IB","properties":{"formattedCitation":"(Maddox et al., 2019)","plainCitation":"(Maddox et al., 2019)","noteIndex":0},"citationItems":[{"id":5601,"uris":["http://zotero.org/groups/5691188/items/CU3TVRNM"],"itemData":{"id":5601,"type":"article-journal","abstract":"The Engaging Men project aimed to identify facilitators, societal approaches to and support for domestic violence, and barriers to men’s participation in domestic violence research, assessing the importance of each factor. Participatory concept mapping was used with a convenience sample of men (n = 142) in person and online across Australia, Canada and the United States of America. Engaging Men identified 43 facilitators, societal approaches to and support for domestic violence, and/or barriers to men’s participation in domestic violence research. The strongest facilitators related to external connections, such as concern for women around them. Men also recognized societal approaches to and support for domestic violence and the strongest barriers centered on internal feelings, including fear, shame and guilt about being linked to domestic violence. This study suggests that providing a safe environment for men to express genuine thoughts, feeling and views about domestic violence is vital, yet rarely available in domestic violence research. Therefore, research opportunities need to be more effectively designed and incentivized to address challenging issues identified by men, such as fear, shame and guilt and offer meaningful opportunities to demonstrate positive change.","container-title":"Journal of Family Violence","DOI":"10.1007/s10896-018-9985-0","ISSN":"0885-7482","issue":"8","page":"781-793","source":"University of Canberra Research Portal","title":"Identifying how to Engage Men in Domestic Violence Research: a Concept Mapping Study","title-short":"Identifying how to Engage Men in Domestic Violence Research","volume":"34","author":[{"family":"Maddox","given":"Raglan"},{"family":"O’Campo","given":"Patricia"},{"family":"Grove","given":"Jonathan"},{"family":"Yonas","given":"Michael"},{"family":"Chan","given":"Carlos"},{"family":"Kassam","given":"Aly"},{"family":"Velonis","given":"Alisa"}],"issued":{"date-parts":[["2019",11,1]]}}}],"schema":"https://github.com/citation-style-language/schema/raw/master/csl-citation.json"} </w:instrText>
                  </w:r>
                  <w:r>
                    <w:fldChar w:fldCharType="separate"/>
                  </w:r>
                  <w:r w:rsidRPr="00261404">
                    <w:t>(Maddox et al., 2019)</w:t>
                  </w:r>
                  <w:r>
                    <w:fldChar w:fldCharType="end"/>
                  </w:r>
                  <w:r>
                    <w:t xml:space="preserve">. </w:t>
                  </w:r>
                  <w:r w:rsidR="00BF2322">
                    <w:t>To support safe engagement, t</w:t>
                  </w:r>
                  <w:r w:rsidR="009F5E2E">
                    <w:t xml:space="preserve">he evaluation </w:t>
                  </w:r>
                  <w:r w:rsidR="005E6BFB">
                    <w:t>implemented</w:t>
                  </w:r>
                  <w:r w:rsidR="009F5E2E">
                    <w:t xml:space="preserve"> strict recruitment criteria and engagement processes for service users accessing MBCPs</w:t>
                  </w:r>
                  <w:r w:rsidR="001E1C1A">
                    <w:t>. This included a requirement that both</w:t>
                  </w:r>
                  <w:r w:rsidR="001E1C1A" w:rsidDel="00DC73A1">
                    <w:t xml:space="preserve"> </w:t>
                  </w:r>
                  <w:r w:rsidR="00DC73A1">
                    <w:t>people who use violence</w:t>
                  </w:r>
                  <w:r w:rsidR="001E1C1A">
                    <w:t xml:space="preserve"> and victim survivors were receiving active case management. </w:t>
                  </w:r>
                  <w:r w:rsidR="009F5E2E">
                    <w:t>Recruitment criteria are outlined</w:t>
                  </w:r>
                  <w:r w:rsidR="00FD44DF">
                    <w:t xml:space="preserve"> further</w:t>
                  </w:r>
                  <w:r w:rsidR="009F5E2E">
                    <w:t xml:space="preserve"> in</w:t>
                  </w:r>
                  <w:r w:rsidR="00A152D9" w:rsidRPr="00261404">
                    <w:t xml:space="preserve"> </w:t>
                  </w:r>
                  <w:r w:rsidR="001D130E">
                    <w:rPr>
                      <w:b/>
                      <w:bCs/>
                    </w:rPr>
                    <w:t xml:space="preserve">Section </w:t>
                  </w:r>
                  <w:r w:rsidR="001D130E">
                    <w:rPr>
                      <w:b/>
                      <w:bCs/>
                    </w:rPr>
                    <w:fldChar w:fldCharType="begin" w:fldLock="1"/>
                  </w:r>
                  <w:r w:rsidR="001D130E">
                    <w:rPr>
                      <w:b/>
                      <w:bCs/>
                    </w:rPr>
                    <w:instrText xml:space="preserve"> REF _Ref204869338 \r \h </w:instrText>
                  </w:r>
                  <w:r w:rsidR="00271FAC">
                    <w:rPr>
                      <w:b/>
                      <w:bCs/>
                    </w:rPr>
                    <w:instrText xml:space="preserve"> \* MERGEFORMAT </w:instrText>
                  </w:r>
                  <w:r w:rsidR="001D130E">
                    <w:rPr>
                      <w:b/>
                      <w:bCs/>
                    </w:rPr>
                  </w:r>
                  <w:r w:rsidR="001D130E">
                    <w:rPr>
                      <w:b/>
                      <w:bCs/>
                    </w:rPr>
                    <w:fldChar w:fldCharType="separate"/>
                  </w:r>
                  <w:r w:rsidR="008F22E5">
                    <w:rPr>
                      <w:b/>
                      <w:bCs/>
                    </w:rPr>
                    <w:t>3.5.2</w:t>
                  </w:r>
                  <w:r w:rsidR="001D130E">
                    <w:rPr>
                      <w:b/>
                      <w:bCs/>
                    </w:rPr>
                    <w:fldChar w:fldCharType="end"/>
                  </w:r>
                  <w:r w:rsidR="001D130E">
                    <w:rPr>
                      <w:b/>
                      <w:bCs/>
                    </w:rPr>
                    <w:t xml:space="preserve"> </w:t>
                  </w:r>
                  <w:r w:rsidR="001D130E">
                    <w:t xml:space="preserve">and </w:t>
                  </w:r>
                  <w:hyperlink w:anchor="Appendix_D" w:history="1">
                    <w:r w:rsidR="00704711" w:rsidRPr="00321BC5">
                      <w:rPr>
                        <w:rStyle w:val="Hyperlink"/>
                        <w:rFonts w:asciiTheme="minorHAnsi" w:hAnsiTheme="minorHAnsi"/>
                        <w:b/>
                        <w:color w:val="007E00" w:themeColor="accent3"/>
                      </w:rPr>
                      <w:t>Appendix D</w:t>
                    </w:r>
                  </w:hyperlink>
                  <w:r w:rsidR="009F5E2E">
                    <w:t xml:space="preserve">. </w:t>
                  </w:r>
                  <w:r w:rsidR="006C48F1">
                    <w:t>Many</w:t>
                  </w:r>
                  <w:r w:rsidR="00283140">
                    <w:t xml:space="preserve"> men</w:t>
                  </w:r>
                  <w:r w:rsidR="005E6BFB">
                    <w:t xml:space="preserve"> who completed the program</w:t>
                  </w:r>
                  <w:r w:rsidR="000830EE">
                    <w:t xml:space="preserve"> who</w:t>
                  </w:r>
                  <w:r w:rsidR="005E6BFB">
                    <w:t xml:space="preserve"> were deemed appropriate</w:t>
                  </w:r>
                  <w:r w:rsidR="000830EE">
                    <w:t xml:space="preserve"> </w:t>
                  </w:r>
                  <w:r w:rsidR="005E6BFB">
                    <w:t>for engagement</w:t>
                  </w:r>
                  <w:r w:rsidR="000830EE">
                    <w:t xml:space="preserve"> by the service provider were no longer</w:t>
                  </w:r>
                  <w:r w:rsidR="005E6BFB">
                    <w:t xml:space="preserve"> receiving active case management</w:t>
                  </w:r>
                  <w:r w:rsidR="004A2544">
                    <w:t>,</w:t>
                  </w:r>
                  <w:r w:rsidR="000830EE">
                    <w:t xml:space="preserve"> making them ineligible to participate</w:t>
                  </w:r>
                  <w:r w:rsidR="005E6BFB">
                    <w:t xml:space="preserve">. In addition, several providers were </w:t>
                  </w:r>
                  <w:r w:rsidR="00620967">
                    <w:t xml:space="preserve">sometimes </w:t>
                  </w:r>
                  <w:r w:rsidR="005E6BFB">
                    <w:t xml:space="preserve">unable to confirm whether the victim survivor was receiving active case management. </w:t>
                  </w:r>
                </w:p>
                <w:p w14:paraId="4210C6C6" w14:textId="3040467A" w:rsidR="006D1A8F" w:rsidRDefault="006C48F1" w:rsidP="00261404">
                  <w:pPr>
                    <w:pStyle w:val="Bullet1"/>
                  </w:pPr>
                  <w:r>
                    <w:t>Family violence research</w:t>
                  </w:r>
                  <w:r w:rsidR="00B14C5F">
                    <w:t xml:space="preserve"> </w:t>
                  </w:r>
                  <w:r>
                    <w:t>indicates that many</w:t>
                  </w:r>
                  <w:r w:rsidR="00F559F8">
                    <w:t xml:space="preserve"> mothers</w:t>
                  </w:r>
                  <w:r w:rsidR="000215BB">
                    <w:t xml:space="preserve"> are concerned about</w:t>
                  </w:r>
                  <w:r w:rsidR="00B14C5F">
                    <w:t xml:space="preserve"> exposing their child to trauma, the potential for the involvement of external legal and child protection systems, and safety concerns if the </w:t>
                  </w:r>
                  <w:r w:rsidR="00DC73A1">
                    <w:t xml:space="preserve">person who uses violence </w:t>
                  </w:r>
                  <w:r w:rsidR="00B14C5F">
                    <w:t>finds out about their involvement in research</w:t>
                  </w:r>
                  <w:r w:rsidR="00012C66">
                    <w:t xml:space="preserve"> </w:t>
                  </w:r>
                  <w:r w:rsidR="00012C66">
                    <w:fldChar w:fldCharType="begin"/>
                  </w:r>
                  <w:r w:rsidR="003A464F">
                    <w:instrText xml:space="preserve"> ADDIN ZOTERO_ITEM CSL_CITATION {"citationID":"Xa0sKFeU","properties":{"formattedCitation":"(Mackey et al., 2024)","plainCitation":"(Mackey et al., 2024)","noteIndex":0},"citationItems":[{"id":"KNHaqWe9/Pk6RlUzU","uris":["http://zotero.org/groups/6054942/items/9WYMVL5L"],"itemData":{"id":5584,"type":"article-journal","abstract":"Purpose: The voices of children remain overshadowed and marginalized in domestic violence research. Mothers with experiences of domestic violence are central to enabling children’s participation, but few studies focus on their views and perceptions about conducting this research with children. This article addresses this research gap and presents qualitative research undertaken in Australia with mothers on their views about children’s engagement in domestic violence research. Methods: Eleven mothers participated in semi-structured interviews. The domestic violence service sector assisted in recruitment by approaching mothers living in a place of safety. Constructivist grounded theory along with interdisciplinary research, which drew on professional perspectives from social work and occupational therapy, underpinned the methodological approach and data was analyzed through a process of thematic network analysis. Results: While not against children’s involvement in domestic violence research in principle, mothers reported concerns about whether researchers could safely engage children. The possible adverse consequences from children’s participation meant they were extremely reluctant to provide consent. Mothers expressed anxiety about the potential safety ramifications for children and mothers, particularly if the perpetrator found out about their involvement in research. Conclusions: To best enable research, mothers said they needed assurance that the highest level of safeguarding existed, addressing physical safety considerations and emotional, psychological, and cultural safety. Demonstrating that research is trauma-safe, child-friendly, and in the child’s interests is important for gaining mothers’ consent.","container-title":"Journal of Family Violence","DOI":"10.1007/s10896-024-00743-7","ISSN":"0885-7482","page":"1-18","source":"Charles Sturt University Research Output","title":"Mothers’ views about children’s engagement in domestic violence research","author":[{"family":"Mackey","given":"Trish"},{"family":"Plath","given":"Debbie"},{"family":"Joosten","given":"Annette"},{"family":"Moore","given":"Tim"}],"issued":{"date-parts":[["2024",9,23]]}}}],"schema":"https://github.com/citation-style-language/schema/raw/master/csl-citation.json"} </w:instrText>
                  </w:r>
                  <w:r w:rsidR="00012C66">
                    <w:fldChar w:fldCharType="separate"/>
                  </w:r>
                  <w:r w:rsidR="00012C66" w:rsidRPr="00261404">
                    <w:t>(Mackey et al., 2024)</w:t>
                  </w:r>
                  <w:r w:rsidR="00012C66">
                    <w:fldChar w:fldCharType="end"/>
                  </w:r>
                  <w:r w:rsidR="00B14C5F">
                    <w:t xml:space="preserve">. </w:t>
                  </w:r>
                  <w:r w:rsidR="00012C66">
                    <w:t>T</w:t>
                  </w:r>
                  <w:r w:rsidR="00B14C5F">
                    <w:t>he challenge relating to</w:t>
                  </w:r>
                  <w:r w:rsidR="00417D57">
                    <w:t xml:space="preserve"> recruiting</w:t>
                  </w:r>
                  <w:r w:rsidR="00B14C5F">
                    <w:t xml:space="preserve"> children in particular has been clearly articulated in the </w:t>
                  </w:r>
                  <w:r w:rsidR="00B14C5F" w:rsidRPr="00253268">
                    <w:rPr>
                      <w:i/>
                      <w:iCs/>
                    </w:rPr>
                    <w:t>National Plan to End Violence Against Women and Children</w:t>
                  </w:r>
                  <w:r w:rsidR="007122E2">
                    <w:rPr>
                      <w:i/>
                      <w:iCs/>
                    </w:rPr>
                    <w:t xml:space="preserve"> 2022-2032</w:t>
                  </w:r>
                  <w:r w:rsidR="00291280">
                    <w:t xml:space="preserve"> which highlights that ‘prevalence </w:t>
                  </w:r>
                  <w:r w:rsidR="00B14C5F">
                    <w:t>data and information about children’s experiences of family, domestic and sexual violence is difficult to obtain due to the sensitivity of the subject</w:t>
                  </w:r>
                  <w:r w:rsidR="000C36A1">
                    <w:t xml:space="preserve">. </w:t>
                  </w:r>
                  <w:r w:rsidR="005C6125">
                    <w:t>M</w:t>
                  </w:r>
                  <w:r w:rsidR="00B14C5F">
                    <w:t>ost large-scale population surveys focus on adult experiences or adults’ perceptions of children’s experiences. While these sources can provide some insights, they are likely to underestimate the true extent of children’s exposure to family violence’</w:t>
                  </w:r>
                  <w:r w:rsidR="008D335A">
                    <w:t xml:space="preserve"> </w:t>
                  </w:r>
                  <w:r w:rsidR="006C5EE4">
                    <w:fldChar w:fldCharType="begin"/>
                  </w:r>
                  <w:r w:rsidR="00E41D03">
                    <w:instrText xml:space="preserve"> ADDIN ZOTERO_ITEM CSL_CITATION {"citationID":"zgLOj4S0","properties":{"formattedCitation":"(Department of Social Services, 2022)","plainCitation":"(Department of Social Services, 2022)","noteIndex":0},"citationItems":[{"id":5606,"uris":["http://zotero.org/groups/5691188/items/Z9MMMZ8P"],"itemData":{"id":5606,"type":"report","language":"en","source":"Zotero","title":"National Plan to End Violence against Women and Children 2022-2032","author":[{"literal":"Department of Social Services"}],"issued":{"date-parts":[["2022"]]}}}],"schema":"https://github.com/citation-style-language/schema/raw/master/csl-citation.json"} </w:instrText>
                  </w:r>
                  <w:r w:rsidR="006C5EE4">
                    <w:fldChar w:fldCharType="separate"/>
                  </w:r>
                  <w:r w:rsidR="006C5EE4" w:rsidRPr="00AF682F">
                    <w:t>(Department of Social Services, 2022)</w:t>
                  </w:r>
                  <w:r w:rsidR="006C5EE4">
                    <w:fldChar w:fldCharType="end"/>
                  </w:r>
                  <w:r w:rsidR="006C5EE4">
                    <w:t>.</w:t>
                  </w:r>
                  <w:r w:rsidR="007122E2">
                    <w:t xml:space="preserve"> Since the</w:t>
                  </w:r>
                  <w:r w:rsidR="00A05B72">
                    <w:t>n</w:t>
                  </w:r>
                  <w:r w:rsidR="00423900">
                    <w:t>,</w:t>
                  </w:r>
                  <w:r w:rsidR="00A05B72">
                    <w:t xml:space="preserve"> the</w:t>
                  </w:r>
                  <w:r w:rsidR="00176874">
                    <w:t xml:space="preserve"> Australian Child Maltreatment Study</w:t>
                  </w:r>
                  <w:r w:rsidR="00A05B72" w:rsidRPr="00176874">
                    <w:t xml:space="preserve"> </w:t>
                  </w:r>
                  <w:r w:rsidR="00176874" w:rsidRPr="00176874">
                    <w:fldChar w:fldCharType="begin"/>
                  </w:r>
                  <w:r w:rsidR="003A464F">
                    <w:instrText xml:space="preserve"> ADDIN ZOTERO_ITEM CSL_CITATION {"citationID":"a1sfiqckdj8","properties":{"formattedCitation":"(2023)","plainCitation":"(2023)","noteIndex":0},"citationItems":[{"id":5714,"uris":["http://zotero.org/groups/5691188/items/4FPX9XJ5"],"itemData":{"id":5714,"type":"webpage","abstract":"The Australian Child Maltreatment study (ACMS) is the FIRST Australian prevalence study of child maltreatment. This research played a critical role in generating data to inform policy and practice reforms to reduce child abuse and neglect in Australia.","container-title":"The Australian Child Maltreatment Study (ACMS)","language":"en-US","title":"The Australian Child Maltreatment Study (ACMS)","URL":"https://www.acms.au/","author":[{"literal":"Australian Child Maltreatment Study"}],"accessed":{"date-parts":[["2025",9,8]]},"issued":{"date-parts":[["2023"]]}},"suppress-author":true}],"schema":"https://github.com/citation-style-language/schema/raw/master/csl-citation.json"} </w:instrText>
                  </w:r>
                  <w:r w:rsidR="00176874" w:rsidRPr="00176874">
                    <w:fldChar w:fldCharType="separate"/>
                  </w:r>
                  <w:r w:rsidR="003A464F" w:rsidRPr="003A464F">
                    <w:rPr>
                      <w:rFonts w:ascii="Arial" w:hAnsi="Arial" w:cs="Arial"/>
                    </w:rPr>
                    <w:t>(2023)</w:t>
                  </w:r>
                  <w:r w:rsidR="00176874" w:rsidRPr="00176874">
                    <w:fldChar w:fldCharType="end"/>
                  </w:r>
                  <w:r w:rsidR="00176874">
                    <w:t xml:space="preserve"> </w:t>
                  </w:r>
                  <w:r w:rsidR="006B073E">
                    <w:t xml:space="preserve">has </w:t>
                  </w:r>
                  <w:r w:rsidR="00423900">
                    <w:t>found</w:t>
                  </w:r>
                  <w:r w:rsidR="006B073E">
                    <w:t xml:space="preserve"> that</w:t>
                  </w:r>
                  <w:r w:rsidR="00423900">
                    <w:t xml:space="preserve"> child maltreatment is end</w:t>
                  </w:r>
                  <w:r w:rsidR="004E2561">
                    <w:t>e</w:t>
                  </w:r>
                  <w:r w:rsidR="00423900">
                    <w:t xml:space="preserve">mic across </w:t>
                  </w:r>
                  <w:r w:rsidR="004E2561">
                    <w:t>the population with a high prevalence of physical abuse (32.0%), sexual abuse (28.5%), emotional abuse (30.9%), and exposure to family violence (39.6%)</w:t>
                  </w:r>
                  <w:r w:rsidR="00B05315">
                    <w:t>.</w:t>
                  </w:r>
                  <w:r w:rsidR="00423900">
                    <w:t xml:space="preserve"> </w:t>
                  </w:r>
                </w:p>
                <w:p w14:paraId="601C77BE" w14:textId="5F29AE0E" w:rsidR="009E6BAD" w:rsidRDefault="00D96571" w:rsidP="009E6BAD">
                  <w:pPr>
                    <w:pStyle w:val="Text"/>
                  </w:pPr>
                  <w:r>
                    <w:t xml:space="preserve">Several strategies were implemented to </w:t>
                  </w:r>
                  <w:r w:rsidR="002D59FB">
                    <w:t>mitigate risks to recruitment arising from these challenges:</w:t>
                  </w:r>
                </w:p>
                <w:p w14:paraId="030A2FB5" w14:textId="77777777" w:rsidR="00D96571" w:rsidRDefault="00CF3D43" w:rsidP="00AF682F">
                  <w:pPr>
                    <w:pStyle w:val="Bullet1"/>
                  </w:pPr>
                  <w:r>
                    <w:t>Targeted engagement was conducted</w:t>
                  </w:r>
                  <w:r w:rsidR="009E6BAD" w:rsidRPr="009E6BAD">
                    <w:t xml:space="preserve"> with ‘champion’ service provider</w:t>
                  </w:r>
                  <w:r w:rsidR="009E6BAD">
                    <w:t>s (</w:t>
                  </w:r>
                  <w:r w:rsidR="009E6BAD" w:rsidRPr="009E6BAD">
                    <w:t>those involved in early focus group</w:t>
                  </w:r>
                  <w:r w:rsidR="009E6BAD">
                    <w:t xml:space="preserve">s) </w:t>
                  </w:r>
                  <w:r w:rsidR="009E6BAD" w:rsidRPr="009E6BAD">
                    <w:t>to promote the evaluation and provide ongoing support through phone calls, emails, and virtual or in-person meetings</w:t>
                  </w:r>
                  <w:r w:rsidR="003733E1">
                    <w:t xml:space="preserve"> to these service providers</w:t>
                  </w:r>
                  <w:r w:rsidR="009E6BAD" w:rsidRPr="009E6BAD">
                    <w:t xml:space="preserve">. This engagement focused on providers servicing specific population cohorts or operating </w:t>
                  </w:r>
                  <w:r w:rsidR="00C70B0D">
                    <w:t xml:space="preserve">SFVS, MBCP and/or CSC </w:t>
                  </w:r>
                  <w:r w:rsidR="009E6BAD" w:rsidRPr="009E6BAD">
                    <w:t>programs. Targeted recruitment efforts, including planned site visits, contributed to increased response rates in key cohorts and jurisdictions</w:t>
                  </w:r>
                  <w:r w:rsidR="00812A34">
                    <w:t xml:space="preserve"> by creating </w:t>
                  </w:r>
                  <w:r w:rsidR="009E6BAD" w:rsidRPr="009E6BAD">
                    <w:t>recruitment deadlines</w:t>
                  </w:r>
                  <w:r w:rsidR="00812A34">
                    <w:t>.</w:t>
                  </w:r>
                  <w:r w:rsidR="00652E72">
                    <w:t xml:space="preserve"> These efforts helped boost numbers in underrepresented cohorts and jurisdictions.</w:t>
                  </w:r>
                </w:p>
                <w:p w14:paraId="24217F2E" w14:textId="4955D4F0" w:rsidR="00D96571" w:rsidRDefault="00FB316B" w:rsidP="00AF682F">
                  <w:pPr>
                    <w:pStyle w:val="Bullet1"/>
                  </w:pPr>
                  <w:r>
                    <w:t xml:space="preserve">Surveys were sent </w:t>
                  </w:r>
                  <w:r w:rsidR="00D96571">
                    <w:t>to service users who submitted EOI forms but did not respond to requests for interviews</w:t>
                  </w:r>
                  <w:r>
                    <w:t xml:space="preserve"> to increase the likelihood of </w:t>
                  </w:r>
                  <w:r w:rsidR="00B06234">
                    <w:t>securing</w:t>
                  </w:r>
                  <w:r>
                    <w:t xml:space="preserve"> their input. </w:t>
                  </w:r>
                </w:p>
                <w:p w14:paraId="7E96D4B3" w14:textId="05C01508" w:rsidR="00D96571" w:rsidRDefault="00B06234" w:rsidP="00AF682F">
                  <w:pPr>
                    <w:pStyle w:val="Bullet1"/>
                  </w:pPr>
                  <w:r>
                    <w:lastRenderedPageBreak/>
                    <w:t xml:space="preserve">The evaluation team </w:t>
                  </w:r>
                  <w:r w:rsidR="00AA5A62">
                    <w:t xml:space="preserve">was flexible, providing </w:t>
                  </w:r>
                  <w:r w:rsidR="00840A99">
                    <w:t xml:space="preserve">options for after-hours engagement and a range of modalities including </w:t>
                  </w:r>
                  <w:r w:rsidR="00D96571">
                    <w:t>face-to-face, virtual and phone engagements</w:t>
                  </w:r>
                  <w:r w:rsidR="00AA5A62">
                    <w:t xml:space="preserve"> to meet service users’ needs</w:t>
                  </w:r>
                  <w:r w:rsidR="003733E1">
                    <w:t>.</w:t>
                  </w:r>
                </w:p>
                <w:p w14:paraId="7EB54964" w14:textId="6BF3A8E4" w:rsidR="00F436FC" w:rsidRDefault="00586969" w:rsidP="00AF682F">
                  <w:pPr>
                    <w:pStyle w:val="Bullet1"/>
                  </w:pPr>
                  <w:r>
                    <w:t>Adjustments were made to the evaluation’s sampling</w:t>
                  </w:r>
                  <w:r w:rsidR="008A5F1D">
                    <w:t xml:space="preserve"> </w:t>
                  </w:r>
                  <w:r w:rsidR="00F62DCE">
                    <w:t xml:space="preserve">approach </w:t>
                  </w:r>
                  <w:r w:rsidR="008A5F1D">
                    <w:t>to gain further insight into service users</w:t>
                  </w:r>
                  <w:r w:rsidR="00CF086A">
                    <w:t>’</w:t>
                  </w:r>
                  <w:r w:rsidR="008A5F1D">
                    <w:t xml:space="preserve"> experiences. This</w:t>
                  </w:r>
                  <w:r>
                    <w:t xml:space="preserve"> includ</w:t>
                  </w:r>
                  <w:r w:rsidR="008A5F1D">
                    <w:t>ed</w:t>
                  </w:r>
                  <w:r>
                    <w:t xml:space="preserve"> holding 20 additional FaRS </w:t>
                  </w:r>
                  <w:r w:rsidR="00783967">
                    <w:t xml:space="preserve">and </w:t>
                  </w:r>
                  <w:r>
                    <w:t xml:space="preserve">SFVS service user interviews and </w:t>
                  </w:r>
                  <w:r w:rsidR="00F07A7C">
                    <w:t>4</w:t>
                  </w:r>
                  <w:r>
                    <w:t xml:space="preserve"> additional </w:t>
                  </w:r>
                  <w:r w:rsidR="00F62DCE">
                    <w:t>focus</w:t>
                  </w:r>
                  <w:r w:rsidR="008A5F1D">
                    <w:t xml:space="preserve"> groups </w:t>
                  </w:r>
                  <w:r w:rsidR="00177EEE">
                    <w:t xml:space="preserve">with </w:t>
                  </w:r>
                  <w:r w:rsidR="000E074D">
                    <w:t xml:space="preserve">SFVS, MBCP, and CSC service providers, as well as with </w:t>
                  </w:r>
                  <w:r w:rsidR="008A5F1D">
                    <w:t>a non-ACCO NT service provider focus group</w:t>
                  </w:r>
                  <w:r w:rsidR="000E074D">
                    <w:t>.</w:t>
                  </w:r>
                </w:p>
                <w:p w14:paraId="5A960800" w14:textId="353371A9" w:rsidR="00F55E08" w:rsidRDefault="00F62DCE" w:rsidP="00F55E08">
                  <w:pPr>
                    <w:pStyle w:val="Bullet1"/>
                    <w:numPr>
                      <w:ilvl w:val="0"/>
                      <w:numId w:val="0"/>
                    </w:numPr>
                  </w:pPr>
                  <w:r>
                    <w:t>O</w:t>
                  </w:r>
                  <w:r w:rsidR="00364041">
                    <w:t xml:space="preserve">ver half of FaRS service user survey responses came from Queensland, of which the majority came from one service. This limits the </w:t>
                  </w:r>
                  <w:r w:rsidR="002E02AD">
                    <w:t>generalisability</w:t>
                  </w:r>
                  <w:r w:rsidR="00364041">
                    <w:t xml:space="preserve"> of FaRS service user survey responses. Overall, all survey data should be treated as indicative rather </w:t>
                  </w:r>
                  <w:r w:rsidR="000712C7">
                    <w:t xml:space="preserve">than </w:t>
                  </w:r>
                  <w:r w:rsidR="00364041">
                    <w:t xml:space="preserve">representative. </w:t>
                  </w:r>
                </w:p>
                <w:p w14:paraId="5F1575D4" w14:textId="22D30185" w:rsidR="00D75AE9" w:rsidRDefault="00D75AE9" w:rsidP="00321BC5">
                  <w:pPr>
                    <w:pStyle w:val="Text-BodyHeading"/>
                    <w:spacing w:before="360" w:after="240"/>
                  </w:pPr>
                  <w:r>
                    <w:t xml:space="preserve">Non-probability sampling of service user data and selection bias </w:t>
                  </w:r>
                </w:p>
                <w:p w14:paraId="441FFD81" w14:textId="4FE1725D" w:rsidR="009B46D5" w:rsidRDefault="008A068F" w:rsidP="008A068F">
                  <w:pPr>
                    <w:pStyle w:val="Text"/>
                  </w:pPr>
                  <w:r>
                    <w:t>This evaluation employed a non-probability sampling approach to service user recruitment, with participants screened and recruited through their service providers. While this approach was necessary to uphold trauma-informed, ethical engagement practices and ensure the safety and wellbeing of victim survivors, it introduce</w:t>
                  </w:r>
                  <w:r w:rsidR="0075567C">
                    <w:t>d</w:t>
                  </w:r>
                  <w:r>
                    <w:t xml:space="preserve"> limitations</w:t>
                  </w:r>
                  <w:r w:rsidR="00900D26">
                    <w:t>.</w:t>
                  </w:r>
                  <w:r>
                    <w:t xml:space="preserve"> The primary limitation of non-probability sampling is the introduction of sampling bias, which may affect the extent to which findings reflect the broader service user population. </w:t>
                  </w:r>
                </w:p>
                <w:p w14:paraId="02D125B4" w14:textId="1744C400" w:rsidR="008A068F" w:rsidRDefault="008A068F" w:rsidP="008A068F">
                  <w:pPr>
                    <w:pStyle w:val="Text"/>
                  </w:pPr>
                  <w:r>
                    <w:t>Specifically:</w:t>
                  </w:r>
                </w:p>
                <w:p w14:paraId="5B9D5E83" w14:textId="36A491C2" w:rsidR="008A068F" w:rsidRDefault="008A068F" w:rsidP="00AF682F">
                  <w:pPr>
                    <w:pStyle w:val="Bullet1"/>
                  </w:pPr>
                  <w:r>
                    <w:t xml:space="preserve">Service provider participation was </w:t>
                  </w:r>
                  <w:r w:rsidR="00252822">
                    <w:t>voluntary,</w:t>
                  </w:r>
                  <w:r>
                    <w:t xml:space="preserve"> and not all invited providers chose to participate. This may have skewed the sample </w:t>
                  </w:r>
                  <w:r w:rsidR="009B46D5">
                    <w:t>o</w:t>
                  </w:r>
                  <w:r>
                    <w:t xml:space="preserve">f </w:t>
                  </w:r>
                  <w:r w:rsidR="00E614D3">
                    <w:t xml:space="preserve">service </w:t>
                  </w:r>
                  <w:r w:rsidR="00B7507C">
                    <w:t>users</w:t>
                  </w:r>
                  <w:r>
                    <w:t xml:space="preserve"> </w:t>
                  </w:r>
                  <w:r w:rsidR="0038111C">
                    <w:t xml:space="preserve">as </w:t>
                  </w:r>
                  <w:r>
                    <w:t>participating providers</w:t>
                  </w:r>
                  <w:r w:rsidR="0091543C">
                    <w:t xml:space="preserve"> may </w:t>
                  </w:r>
                  <w:r>
                    <w:t>differ from those non-participating services.</w:t>
                  </w:r>
                </w:p>
                <w:p w14:paraId="50A54889" w14:textId="15F6619A" w:rsidR="008A068F" w:rsidRDefault="008A068F" w:rsidP="00AF682F">
                  <w:pPr>
                    <w:pStyle w:val="Bullet1"/>
                  </w:pPr>
                  <w:r>
                    <w:t xml:space="preserve">Selective recruitment within participating services also presents a risk of bias. Not all eligible </w:t>
                  </w:r>
                  <w:r w:rsidR="00E614D3">
                    <w:t xml:space="preserve">service </w:t>
                  </w:r>
                  <w:r w:rsidR="00B7507C">
                    <w:t>users</w:t>
                  </w:r>
                  <w:r>
                    <w:t xml:space="preserve"> were invited to participate, and providers may have consciously or unconsciously selected </w:t>
                  </w:r>
                  <w:r w:rsidR="00175D50">
                    <w:t>service users who</w:t>
                  </w:r>
                  <w:r>
                    <w:t xml:space="preserve"> were </w:t>
                  </w:r>
                  <w:r w:rsidR="00BE75E5">
                    <w:t>assessed</w:t>
                  </w:r>
                  <w:r w:rsidDel="00BE75E5">
                    <w:t xml:space="preserve"> </w:t>
                  </w:r>
                  <w:r>
                    <w:t>as ‘lower risk’ or more stable, based on internal screening or eligibility processes. As a result, individuals with more acute or complex needs may be underrepresented.</w:t>
                  </w:r>
                </w:p>
                <w:p w14:paraId="75DEDD7B" w14:textId="188A0880" w:rsidR="008A068F" w:rsidRDefault="008A068F" w:rsidP="00AF682F">
                  <w:pPr>
                    <w:pStyle w:val="Bullet1"/>
                  </w:pPr>
                  <w:r>
                    <w:t xml:space="preserve">Selective sampling was further influenced by engagement patterns. </w:t>
                  </w:r>
                  <w:r w:rsidR="003E3FB0">
                    <w:t>Service users</w:t>
                  </w:r>
                  <w:r>
                    <w:t xml:space="preserve"> who had stronger relationships with services or had participated in more intensive or long-term programs (e.g. case management) were more likely to be recruited. In contrast, those who had disengaged, participated in group work only, or</w:t>
                  </w:r>
                  <w:r w:rsidR="006E6C0C">
                    <w:t xml:space="preserve"> who</w:t>
                  </w:r>
                  <w:r>
                    <w:t xml:space="preserve"> received brief interventions were harder to reach, leading to a potential overrepresentation of </w:t>
                  </w:r>
                  <w:r w:rsidR="00E614D3">
                    <w:t xml:space="preserve">service </w:t>
                  </w:r>
                  <w:r w:rsidR="00B7507C">
                    <w:t>users</w:t>
                  </w:r>
                  <w:r>
                    <w:t xml:space="preserve"> with more intensive service experiences.</w:t>
                  </w:r>
                </w:p>
                <w:p w14:paraId="6D7A0BAD" w14:textId="34608519" w:rsidR="008A068F" w:rsidRDefault="008A068F" w:rsidP="00AF682F">
                  <w:pPr>
                    <w:pStyle w:val="Bullet1"/>
                  </w:pPr>
                  <w:r>
                    <w:t xml:space="preserve">Self-selection bias may also have occurred, with participants offered a modest incentive (a </w:t>
                  </w:r>
                  <w:r w:rsidR="00B5505B">
                    <w:t>gift</w:t>
                  </w:r>
                  <w:r>
                    <w:t xml:space="preserve"> voucher) for completing interviews and surveys. This may have disproportionately attracted individuals who were more motivated or had more time and capacity to engage.</w:t>
                  </w:r>
                  <w:r w:rsidR="006E6C0C">
                    <w:t xml:space="preserve"> </w:t>
                  </w:r>
                  <w:r>
                    <w:t xml:space="preserve">One provider offered additional incentives to participants beyond what </w:t>
                  </w:r>
                  <w:r w:rsidR="00B5505B">
                    <w:t>was offered by the evaluation team</w:t>
                  </w:r>
                  <w:r>
                    <w:t>. However, as the participation rate from this provider was similar or lower than other providers, this is not expected to have meaningfully skewed results.</w:t>
                  </w:r>
                </w:p>
                <w:p w14:paraId="2A258FC7" w14:textId="21650132" w:rsidR="00C755B1" w:rsidRDefault="00652E72" w:rsidP="00C755B1">
                  <w:pPr>
                    <w:pStyle w:val="Bullet1"/>
                    <w:numPr>
                      <w:ilvl w:val="0"/>
                      <w:numId w:val="0"/>
                    </w:numPr>
                  </w:pPr>
                  <w:r>
                    <w:t>In anticipation of these limitations s</w:t>
                  </w:r>
                  <w:r w:rsidR="00C755B1">
                    <w:t xml:space="preserve">everal strategies were </w:t>
                  </w:r>
                  <w:r>
                    <w:t>embedded into the evaluation design to</w:t>
                  </w:r>
                  <w:r w:rsidR="00C755B1">
                    <w:t xml:space="preserve"> enhance the robustness and credibility of findings:</w:t>
                  </w:r>
                </w:p>
                <w:p w14:paraId="4F3591F4" w14:textId="77777777" w:rsidR="00C755B1" w:rsidRDefault="00C755B1" w:rsidP="00AF682F">
                  <w:pPr>
                    <w:pStyle w:val="Bullet1"/>
                  </w:pPr>
                  <w:r>
                    <w:lastRenderedPageBreak/>
                    <w:t>Purposive sampling was used to increase diversity in the sample, targeting a mix of service provider types and sizes, geographic locations, and specific population cohorts.</w:t>
                  </w:r>
                </w:p>
                <w:p w14:paraId="0C97088D" w14:textId="05FEBC4A" w:rsidR="00C755B1" w:rsidRDefault="007B4718" w:rsidP="00AF682F">
                  <w:pPr>
                    <w:pStyle w:val="Bullet1"/>
                  </w:pPr>
                  <w:r>
                    <w:t>The</w:t>
                  </w:r>
                  <w:r w:rsidR="00C755B1">
                    <w:t xml:space="preserve"> mixed-methods research design enabled triangulation between primary qualitative data (e.g. interviews, surveys) and secondary outcome data</w:t>
                  </w:r>
                  <w:r w:rsidR="00204EA2">
                    <w:t xml:space="preserve"> (e.g. DEX</w:t>
                  </w:r>
                  <w:r w:rsidR="00A82D92">
                    <w:t>-</w:t>
                  </w:r>
                  <w:r w:rsidR="00204EA2">
                    <w:t>SCORE)</w:t>
                  </w:r>
                  <w:r w:rsidR="00C755B1">
                    <w:t>, which are less susceptible to sampling bias.</w:t>
                  </w:r>
                </w:p>
                <w:p w14:paraId="49B4E222" w14:textId="77777777" w:rsidR="00C755B1" w:rsidRDefault="00C755B1" w:rsidP="00AF682F">
                  <w:pPr>
                    <w:pStyle w:val="Bullet1"/>
                  </w:pPr>
                  <w:r>
                    <w:t xml:space="preserve">All recruitment materials and methods were reviewed and approved by relevant HRECs, ensuring that processes were </w:t>
                  </w:r>
                  <w:r w:rsidR="001D003F">
                    <w:t xml:space="preserve">designed to be </w:t>
                  </w:r>
                  <w:r>
                    <w:t>non-coercive</w:t>
                  </w:r>
                  <w:r w:rsidR="007B4718">
                    <w:t xml:space="preserve"> and reduced</w:t>
                  </w:r>
                  <w:r w:rsidR="001D003F">
                    <w:t xml:space="preserve"> </w:t>
                  </w:r>
                  <w:r>
                    <w:t>bias.</w:t>
                  </w:r>
                </w:p>
                <w:p w14:paraId="51A07E60" w14:textId="1452DB54" w:rsidR="007B4718" w:rsidRDefault="007B4718" w:rsidP="00AF682F">
                  <w:pPr>
                    <w:pStyle w:val="Bullet1"/>
                  </w:pPr>
                  <w:r>
                    <w:t>The evaluation team conducted ongoing monitoring of sample characteristics to ensure diversity in responses and identify any gaps in representation.</w:t>
                  </w:r>
                </w:p>
                <w:p w14:paraId="78D43DBA" w14:textId="293A0C6A" w:rsidR="008A068F" w:rsidRDefault="00C13807" w:rsidP="008A068F">
                  <w:pPr>
                    <w:pStyle w:val="Text"/>
                  </w:pPr>
                  <w:r>
                    <w:t>T</w:t>
                  </w:r>
                  <w:r w:rsidR="008A068F">
                    <w:t>he data generated through interviews and surveys should not be interpreted as representative of the full population of service</w:t>
                  </w:r>
                  <w:r w:rsidR="003510E7">
                    <w:t xml:space="preserve"> users</w:t>
                  </w:r>
                  <w:r w:rsidR="008A068F">
                    <w:t>. While limitations inherent to non-probability sampling cannot be fully eliminated, the measures above aimed to improve confidence in the qualitative insights generated and support a nuanced interpretation of findings within the context of this evaluation.</w:t>
                  </w:r>
                </w:p>
                <w:p w14:paraId="520A070F" w14:textId="7F9AFA30" w:rsidR="000764AB" w:rsidRPr="000764AB" w:rsidRDefault="00A554B5" w:rsidP="00DC15FD">
                  <w:pPr>
                    <w:pStyle w:val="Text-BodyHeading"/>
                    <w:spacing w:before="360" w:after="240"/>
                  </w:pPr>
                  <w:r>
                    <w:t xml:space="preserve">Attribution of </w:t>
                  </w:r>
                  <w:r w:rsidR="000764AB">
                    <w:t xml:space="preserve">FaRS and SFVS </w:t>
                  </w:r>
                  <w:r>
                    <w:t>outcomes given overlap with ot</w:t>
                  </w:r>
                  <w:r w:rsidR="00F73FE5">
                    <w:t xml:space="preserve">her services </w:t>
                  </w:r>
                </w:p>
                <w:p w14:paraId="038042F4" w14:textId="41561B91" w:rsidR="0042210C" w:rsidRDefault="0042210C" w:rsidP="00F73FE5">
                  <w:pPr>
                    <w:pStyle w:val="Text"/>
                  </w:pPr>
                  <w:r w:rsidRPr="0042210C">
                    <w:t xml:space="preserve">The evaluation did not examine the extent to which </w:t>
                  </w:r>
                  <w:r>
                    <w:t>FaRS and SFVS</w:t>
                  </w:r>
                  <w:r w:rsidRPr="0042210C">
                    <w:t xml:space="preserve"> overlapped with other</w:t>
                  </w:r>
                  <w:r w:rsidR="00680B14">
                    <w:t xml:space="preserve"> non-FaRS and SFVS</w:t>
                  </w:r>
                  <w:r w:rsidRPr="0042210C">
                    <w:t xml:space="preserve"> services accessed by participants. Without this data, it is not possible to determine the specific contribution of </w:t>
                  </w:r>
                  <w:r>
                    <w:t>FaRS and SFVS</w:t>
                  </w:r>
                  <w:r w:rsidRPr="0042210C">
                    <w:t xml:space="preserve"> to observed outcomes.</w:t>
                  </w:r>
                </w:p>
                <w:p w14:paraId="39B302C9" w14:textId="645531D9" w:rsidR="006C1407" w:rsidRDefault="006C1407" w:rsidP="00321BC5">
                  <w:pPr>
                    <w:pStyle w:val="Text-BodyHeading"/>
                    <w:spacing w:before="360" w:after="240"/>
                  </w:pPr>
                  <w:r>
                    <w:t xml:space="preserve">Limited </w:t>
                  </w:r>
                  <w:r w:rsidR="000C6215">
                    <w:t>v</w:t>
                  </w:r>
                  <w:r>
                    <w:t xml:space="preserve">alidity of MBCP outcomes analysis </w:t>
                  </w:r>
                </w:p>
                <w:p w14:paraId="211853BA" w14:textId="7A20A9A0" w:rsidR="006C1407" w:rsidRPr="00F73FE5" w:rsidRDefault="006C1407" w:rsidP="006C1407">
                  <w:pPr>
                    <w:pStyle w:val="Text"/>
                  </w:pPr>
                  <w:r>
                    <w:t>The evaluation’s assessment of MBCP</w:t>
                  </w:r>
                  <w:r w:rsidR="00BB408D">
                    <w:t xml:space="preserve"> outcomes</w:t>
                  </w:r>
                  <w:r>
                    <w:t xml:space="preserve"> is limited by its reliance on self-reported data from a small number of MBCP participants (n=&lt;10) and service provider observations</w:t>
                  </w:r>
                  <w:r w:rsidR="00BB408D">
                    <w:t xml:space="preserve"> </w:t>
                  </w:r>
                  <w:r w:rsidR="001E7D0B">
                    <w:t>gathered from DEX</w:t>
                  </w:r>
                  <w:r w:rsidR="00BB408D">
                    <w:t xml:space="preserve"> reporting and focus </w:t>
                  </w:r>
                  <w:r w:rsidR="001E7D0B">
                    <w:t>group participation</w:t>
                  </w:r>
                  <w:r>
                    <w:t xml:space="preserve">. This approach is vulnerable to positive bias and social desirability effects, which may overstate the extent of genuine or sustained change. </w:t>
                  </w:r>
                  <w:r w:rsidR="000C6215">
                    <w:t>In addition, t</w:t>
                  </w:r>
                  <w:r w:rsidR="001354D1">
                    <w:t>he evaluation did not gather data</w:t>
                  </w:r>
                  <w:r>
                    <w:t xml:space="preserve"> </w:t>
                  </w:r>
                  <w:r w:rsidR="00261420">
                    <w:t xml:space="preserve">on perspectives of </w:t>
                  </w:r>
                  <w:r>
                    <w:t>victim</w:t>
                  </w:r>
                  <w:r w:rsidR="009F2D9A">
                    <w:t xml:space="preserve"> </w:t>
                  </w:r>
                  <w:r>
                    <w:t xml:space="preserve">survivors and other affected family members </w:t>
                  </w:r>
                  <w:r w:rsidR="00015E1E">
                    <w:t xml:space="preserve">on </w:t>
                  </w:r>
                  <w:r w:rsidR="000C6215">
                    <w:t>participants</w:t>
                  </w:r>
                  <w:r w:rsidR="00261420">
                    <w:t>’</w:t>
                  </w:r>
                  <w:r w:rsidR="000C6215">
                    <w:t xml:space="preserve"> motivation for behaviour change, or </w:t>
                  </w:r>
                  <w:r>
                    <w:t xml:space="preserve">whether risk </w:t>
                  </w:r>
                  <w:r w:rsidR="00015E1E">
                    <w:t>was</w:t>
                  </w:r>
                  <w:r>
                    <w:t xml:space="preserve"> reduced and safety increased. </w:t>
                  </w:r>
                  <w:r w:rsidR="00C25A71">
                    <w:t xml:space="preserve">This limits the </w:t>
                  </w:r>
                  <w:r>
                    <w:t xml:space="preserve">validity of </w:t>
                  </w:r>
                  <w:r w:rsidR="009F2D9A">
                    <w:t xml:space="preserve">any </w:t>
                  </w:r>
                  <w:r>
                    <w:t xml:space="preserve">reported </w:t>
                  </w:r>
                  <w:r w:rsidR="00F336F6">
                    <w:t>behaviour chang</w:t>
                  </w:r>
                  <w:r w:rsidR="009F2D9A">
                    <w:t>e</w:t>
                  </w:r>
                  <w:r>
                    <w:t xml:space="preserve"> outcomes</w:t>
                  </w:r>
                  <w:r w:rsidR="000C6215">
                    <w:t xml:space="preserve"> arising from DEX, MBCP service users, and MBCP service provider data. </w:t>
                  </w:r>
                </w:p>
                <w:p w14:paraId="7EC98B17" w14:textId="50996DD3" w:rsidR="00026FA1" w:rsidRDefault="00026FA1" w:rsidP="00321BC5">
                  <w:pPr>
                    <w:pStyle w:val="Text-BodyHeading"/>
                    <w:spacing w:before="360" w:after="240"/>
                  </w:pPr>
                  <w:r>
                    <w:t xml:space="preserve">Literature </w:t>
                  </w:r>
                  <w:r w:rsidR="00E136AA">
                    <w:t>r</w:t>
                  </w:r>
                  <w:r>
                    <w:t>eview limitations</w:t>
                  </w:r>
                </w:p>
                <w:p w14:paraId="64F10391" w14:textId="4F318438" w:rsidR="00026FA1" w:rsidRDefault="00F82190" w:rsidP="00026FA1">
                  <w:pPr>
                    <w:pStyle w:val="Text"/>
                  </w:pPr>
                  <w:r w:rsidRPr="00F82190">
                    <w:t xml:space="preserve">The </w:t>
                  </w:r>
                  <w:r w:rsidR="00E136AA">
                    <w:t>l</w:t>
                  </w:r>
                  <w:r w:rsidRPr="00F82190">
                    <w:t xml:space="preserve">iterature </w:t>
                  </w:r>
                  <w:r w:rsidR="00252822">
                    <w:t>review conducted</w:t>
                  </w:r>
                  <w:r w:rsidR="00261420">
                    <w:t xml:space="preserve"> to support this</w:t>
                  </w:r>
                  <w:r>
                    <w:t xml:space="preserve"> evaluation has </w:t>
                  </w:r>
                  <w:r w:rsidR="00E31DA1">
                    <w:t xml:space="preserve">some </w:t>
                  </w:r>
                  <w:r>
                    <w:t>limitations</w:t>
                  </w:r>
                  <w:r w:rsidR="00E31DA1">
                    <w:t xml:space="preserve"> including</w:t>
                  </w:r>
                </w:p>
                <w:p w14:paraId="61B51E36" w14:textId="3BE911A0" w:rsidR="00F82190" w:rsidRDefault="00B55FA1" w:rsidP="00F82190">
                  <w:pPr>
                    <w:pStyle w:val="Bullet1"/>
                  </w:pPr>
                  <w:r>
                    <w:t xml:space="preserve">Evidence gaps </w:t>
                  </w:r>
                  <w:r w:rsidR="00153F21">
                    <w:t>around</w:t>
                  </w:r>
                  <w:r w:rsidR="00A144B0" w:rsidRPr="00A144B0">
                    <w:t xml:space="preserve"> longitudinal studies and economic evaluations specific to per-victim costs of family violence creat</w:t>
                  </w:r>
                  <w:r w:rsidR="0082369F">
                    <w:t>ed</w:t>
                  </w:r>
                  <w:r w:rsidR="00A144B0" w:rsidRPr="00A144B0">
                    <w:t xml:space="preserve"> gaps in assessing cost-efficiency and cost-effectiveness comprehensively.</w:t>
                  </w:r>
                </w:p>
                <w:p w14:paraId="0836E363" w14:textId="7755EB15" w:rsidR="00B21A98" w:rsidRDefault="00B55FA1" w:rsidP="00077F95">
                  <w:pPr>
                    <w:pStyle w:val="Bullet1"/>
                  </w:pPr>
                  <w:r>
                    <w:t xml:space="preserve">Evidence gaps </w:t>
                  </w:r>
                  <w:r w:rsidR="00153F21">
                    <w:t>around</w:t>
                  </w:r>
                  <w:r>
                    <w:t xml:space="preserve"> </w:t>
                  </w:r>
                  <w:r w:rsidR="00B21A98" w:rsidRPr="00F4654B">
                    <w:t>culturally sensitive, trauma-informed care for those with complex, intersecting identities</w:t>
                  </w:r>
                  <w:r w:rsidR="00DF6D53">
                    <w:t xml:space="preserve"> and </w:t>
                  </w:r>
                  <w:r w:rsidR="00B21A98" w:rsidRPr="00F4654B">
                    <w:t>evidence on effective service delivery options for people who use violence from different populations</w:t>
                  </w:r>
                  <w:r w:rsidR="00DF6D53">
                    <w:t xml:space="preserve">, created gaps in determining best practice approaches for these cohorts. </w:t>
                  </w:r>
                </w:p>
                <w:p w14:paraId="13CBF789" w14:textId="07635D41" w:rsidR="00F828B6" w:rsidRDefault="00F828B6" w:rsidP="00077F95">
                  <w:pPr>
                    <w:pStyle w:val="Bullet1"/>
                  </w:pPr>
                  <w:r>
                    <w:lastRenderedPageBreak/>
                    <w:t xml:space="preserve">Variations in survey instruments, geographic coverage, and sampling schemes </w:t>
                  </w:r>
                  <w:r w:rsidR="00B1591F">
                    <w:t xml:space="preserve">across studies </w:t>
                  </w:r>
                  <w:r>
                    <w:t xml:space="preserve">resulted in heterogeneous data, which created challenges for standardising metrics </w:t>
                  </w:r>
                  <w:r w:rsidR="00B1591F">
                    <w:t>to support the comparison of outcomes</w:t>
                  </w:r>
                  <w:r w:rsidR="00B8230E">
                    <w:t>.</w:t>
                  </w:r>
                </w:p>
                <w:p w14:paraId="0CA3B5FB" w14:textId="37149909" w:rsidR="00E31DA1" w:rsidRDefault="002B0E46">
                  <w:r>
                    <w:br w:type="page"/>
                  </w:r>
                </w:p>
                <w:p w14:paraId="209E7944" w14:textId="6C3EF722" w:rsidR="360C8171" w:rsidRPr="00066FF4" w:rsidRDefault="003D6860" w:rsidP="00D336B2">
                  <w:pPr>
                    <w:pStyle w:val="Text-BodyHeading"/>
                    <w:spacing w:before="360" w:after="240"/>
                  </w:pPr>
                  <w:r>
                    <w:lastRenderedPageBreak/>
                    <w:t xml:space="preserve">Quantitative data limitations </w:t>
                  </w:r>
                </w:p>
                <w:p w14:paraId="6FDB6A03" w14:textId="5C863280" w:rsidR="360C8171" w:rsidRPr="003371DC" w:rsidRDefault="7D341C83" w:rsidP="003371DC">
                  <w:pPr>
                    <w:pStyle w:val="Text"/>
                  </w:pPr>
                  <w:r w:rsidRPr="00066FF4">
                    <w:t>Several</w:t>
                  </w:r>
                  <w:r w:rsidRPr="791877CA">
                    <w:t xml:space="preserve"> caveats of using the</w:t>
                  </w:r>
                  <w:r w:rsidRPr="00066FF4">
                    <w:t xml:space="preserve"> </w:t>
                  </w:r>
                  <w:r w:rsidR="453D0A02" w:rsidRPr="00066FF4">
                    <w:t>individual</w:t>
                  </w:r>
                  <w:r w:rsidRPr="791877CA">
                    <w:t xml:space="preserve"> DEX </w:t>
                  </w:r>
                  <w:r w:rsidR="05EFFFC7" w:rsidRPr="791877CA">
                    <w:t>data</w:t>
                  </w:r>
                  <w:r w:rsidR="05EFFFC7" w:rsidRPr="00066FF4">
                    <w:t xml:space="preserve"> </w:t>
                  </w:r>
                  <w:r w:rsidR="057D1CDA" w:rsidRPr="00066FF4">
                    <w:t>are noted</w:t>
                  </w:r>
                  <w:r w:rsidR="057D1CDA" w:rsidRPr="791877CA">
                    <w:t xml:space="preserve"> </w:t>
                  </w:r>
                  <w:r w:rsidR="011EB637" w:rsidRPr="791877CA">
                    <w:t>above</w:t>
                  </w:r>
                  <w:r w:rsidR="1CE9DF4A" w:rsidRPr="791877CA">
                    <w:t xml:space="preserve"> including: </w:t>
                  </w:r>
                  <w:r w:rsidR="758D92F0" w:rsidRPr="791877CA">
                    <w:t xml:space="preserve">an </w:t>
                  </w:r>
                  <w:r w:rsidR="011EB637" w:rsidRPr="791877CA">
                    <w:t xml:space="preserve">individual may have multiple </w:t>
                  </w:r>
                  <w:r w:rsidR="001D1403" w:rsidRPr="791877CA">
                    <w:t>service user</w:t>
                  </w:r>
                  <w:r w:rsidR="1C5A4C59" w:rsidRPr="791877CA">
                    <w:t xml:space="preserve"> identifiers</w:t>
                  </w:r>
                  <w:r w:rsidR="0B035D06" w:rsidRPr="791877CA">
                    <w:t>;</w:t>
                  </w:r>
                  <w:r w:rsidR="1C443634" w:rsidRPr="791877CA">
                    <w:t xml:space="preserve"> the </w:t>
                  </w:r>
                  <w:r w:rsidR="1B5E6C1F" w:rsidRPr="003371DC">
                    <w:t xml:space="preserve">prevalence of assessments for individual SCORE domain for each </w:t>
                  </w:r>
                  <w:r w:rsidR="001D1403" w:rsidRPr="003371DC">
                    <w:t>service user</w:t>
                  </w:r>
                  <w:r w:rsidR="1B5E6C1F" w:rsidRPr="003371DC">
                    <w:t xml:space="preserve"> and session varied</w:t>
                  </w:r>
                  <w:r w:rsidR="27C0EA15" w:rsidRPr="003371DC">
                    <w:t xml:space="preserve">; all demographic data could not be assigned for all </w:t>
                  </w:r>
                  <w:r w:rsidR="00E614D3" w:rsidRPr="003371DC">
                    <w:t xml:space="preserve">service users </w:t>
                  </w:r>
                  <w:r w:rsidR="27C0EA15" w:rsidRPr="003371DC">
                    <w:t xml:space="preserve">due to the presence of non-unique profiles for some </w:t>
                  </w:r>
                  <w:r w:rsidR="00E614D3" w:rsidRPr="003371DC">
                    <w:t>service users</w:t>
                  </w:r>
                  <w:r w:rsidR="27C0EA15" w:rsidRPr="003371DC">
                    <w:t xml:space="preserve">; some </w:t>
                  </w:r>
                  <w:r w:rsidR="001D1403" w:rsidRPr="003371DC">
                    <w:t>service user</w:t>
                  </w:r>
                  <w:r w:rsidR="27C0EA15" w:rsidRPr="003371DC">
                    <w:t xml:space="preserve"> identifiers were associated with demographic records containing multiple variations to core attributes such as gender and dates of birth</w:t>
                  </w:r>
                  <w:r w:rsidR="2F36C8E0" w:rsidRPr="003371DC">
                    <w:t xml:space="preserve">; and issues with identifying CALD </w:t>
                  </w:r>
                  <w:r w:rsidR="00E614D3" w:rsidRPr="003371DC">
                    <w:t>service users</w:t>
                  </w:r>
                  <w:r w:rsidR="2F36C8E0" w:rsidRPr="003371DC">
                    <w:t xml:space="preserve">. </w:t>
                  </w:r>
                </w:p>
                <w:p w14:paraId="18959559" w14:textId="22A3E7A6" w:rsidR="008365C7" w:rsidRPr="003371DC" w:rsidRDefault="2F36C8E0" w:rsidP="003371DC">
                  <w:pPr>
                    <w:pStyle w:val="Text"/>
                  </w:pPr>
                  <w:r w:rsidRPr="003371DC">
                    <w:t xml:space="preserve">Importantly, changes in SCORE have been analysed based on earliest-latest SCORE repeated measures. This method utilises </w:t>
                  </w:r>
                  <w:r w:rsidR="00E614D3" w:rsidRPr="003371DC">
                    <w:t xml:space="preserve">service </w:t>
                  </w:r>
                  <w:r w:rsidR="00B7507C" w:rsidRPr="003371DC">
                    <w:t>users</w:t>
                  </w:r>
                  <w:r w:rsidRPr="003371DC">
                    <w:t xml:space="preserve"> with at least </w:t>
                  </w:r>
                  <w:r w:rsidR="00570098" w:rsidRPr="003371DC">
                    <w:t>2</w:t>
                  </w:r>
                  <w:r w:rsidRPr="003371DC">
                    <w:t xml:space="preserve"> assessments for the given domain such that the change in SCORE can be measured within subjects</w:t>
                  </w:r>
                  <w:r w:rsidR="5FDB8F12" w:rsidRPr="003371DC">
                    <w:t xml:space="preserve">. </w:t>
                  </w:r>
                  <w:r w:rsidR="002D48C0" w:rsidRPr="003371DC">
                    <w:t>T</w:t>
                  </w:r>
                  <w:r w:rsidRPr="003371DC">
                    <w:t xml:space="preserve">he non-parametric </w:t>
                  </w:r>
                  <w:r w:rsidR="00066FF4" w:rsidRPr="000C7152">
                    <w:t>Wilcoxon statistical test is applied to the ranked differences between the first and last available outcome assessment in the evaluation period. Although this approach is methodologically sound, the earliest and latest individual assessments may not be indicative of a person’s average change in outcomes</w:t>
                  </w:r>
                  <w:r w:rsidR="000F153E">
                    <w:t>.</w:t>
                  </w:r>
                  <w:r w:rsidR="00066FF4" w:rsidRPr="000C7152">
                    <w:t xml:space="preserve"> </w:t>
                  </w:r>
                  <w:r w:rsidR="007239C8">
                    <w:t>Either</w:t>
                  </w:r>
                  <w:r w:rsidR="00066FF4" w:rsidRPr="000C7152">
                    <w:t xml:space="preserve"> or both of the selected assessments could potentially be unrepresentative of the individual’s outcome changes over the course of their engagement. </w:t>
                  </w:r>
                  <w:r w:rsidRPr="003371DC">
                    <w:t xml:space="preserve">Further, </w:t>
                  </w:r>
                  <w:r w:rsidR="00E614D3" w:rsidRPr="003371DC">
                    <w:t xml:space="preserve">service </w:t>
                  </w:r>
                  <w:r w:rsidR="00B7507C" w:rsidRPr="003371DC">
                    <w:t>users</w:t>
                  </w:r>
                  <w:r w:rsidRPr="003371DC">
                    <w:t xml:space="preserve"> captured by the evaluation period may be at different stages of their engagement with the activities rather than the typical pre and post experimental design. </w:t>
                  </w:r>
                  <w:r w:rsidR="00BD4432" w:rsidRPr="003371DC">
                    <w:t>Accordingly</w:t>
                  </w:r>
                  <w:r w:rsidRPr="003371DC">
                    <w:t xml:space="preserve">, a </w:t>
                  </w:r>
                  <w:r w:rsidR="001D1403" w:rsidRPr="003371DC">
                    <w:t>service user</w:t>
                  </w:r>
                  <w:r w:rsidRPr="003371DC">
                    <w:t>’s earliest assessment in the evaluation period may not be from their first engagement with the activity and similarly for their latest assessment.</w:t>
                  </w:r>
                  <w:r w:rsidR="53BE7DE5" w:rsidRPr="003371DC">
                    <w:t xml:space="preserve"> </w:t>
                  </w:r>
                  <w:r w:rsidR="00066FF4" w:rsidRPr="000C7152">
                    <w:t xml:space="preserve">This also meant that the time between the earliest and latest available assessments varied between </w:t>
                  </w:r>
                  <w:r w:rsidR="003E3FB0">
                    <w:t>service users</w:t>
                  </w:r>
                  <w:r w:rsidR="00066FF4" w:rsidRPr="000C7152">
                    <w:t>, ranging from same-day assessments (24%) up to three years with a median of 50 days between earliest and latest assessments. Where a client had multiple reported assessments for the same domain on the same day (</w:t>
                  </w:r>
                  <w:r w:rsidR="00843389">
                    <w:t>0</w:t>
                  </w:r>
                  <w:r w:rsidR="00066FF4" w:rsidRPr="000C7152">
                    <w:t>.4%), the assessment with the lowest SCORE outcome was selected for both earliest and latest assessment.</w:t>
                  </w:r>
                  <w:r w:rsidR="00066FF4" w:rsidRPr="00066FF4">
                    <w:t xml:space="preserve"> </w:t>
                  </w:r>
                  <w:r w:rsidR="00066FF4" w:rsidRPr="791877CA">
                    <w:rPr>
                      <w:rFonts w:eastAsia="Aptos"/>
                    </w:rPr>
                    <w:t>The</w:t>
                  </w:r>
                  <w:r w:rsidR="7A50C894" w:rsidRPr="003371DC">
                    <w:t xml:space="preserve"> GPS – DEX data extract provided by the Department included the financial years 2021-22 to 2023-24. This time frame was</w:t>
                  </w:r>
                  <w:r w:rsidR="3230BC11" w:rsidRPr="003371DC">
                    <w:t xml:space="preserve"> applied to the </w:t>
                  </w:r>
                  <w:r w:rsidR="473B3F0A" w:rsidRPr="003371DC">
                    <w:t xml:space="preserve">individual </w:t>
                  </w:r>
                  <w:r w:rsidR="3230BC11" w:rsidRPr="003371DC">
                    <w:t xml:space="preserve">DEX </w:t>
                  </w:r>
                  <w:r w:rsidR="2A763305" w:rsidRPr="003371DC">
                    <w:t xml:space="preserve">data </w:t>
                  </w:r>
                  <w:r w:rsidR="3230BC11" w:rsidRPr="003371DC">
                    <w:t>analysis</w:t>
                  </w:r>
                  <w:r w:rsidR="13AE91CA" w:rsidRPr="003371DC">
                    <w:t xml:space="preserve"> and the value for money (ROI) analysis</w:t>
                  </w:r>
                  <w:r w:rsidR="00B8230E">
                    <w:t>.</w:t>
                  </w:r>
                </w:p>
                <w:p w14:paraId="0EC80E09" w14:textId="4463C1A5" w:rsidR="026D1DA7" w:rsidRPr="003371DC" w:rsidRDefault="3EEC2079" w:rsidP="003371DC">
                  <w:pPr>
                    <w:pStyle w:val="Text"/>
                  </w:pPr>
                  <w:r w:rsidRPr="003371DC">
                    <w:t xml:space="preserve">In </w:t>
                  </w:r>
                  <w:r w:rsidR="6051A7AF" w:rsidRPr="003371DC">
                    <w:t>providing t</w:t>
                  </w:r>
                  <w:r w:rsidR="37423CA5" w:rsidRPr="003371DC">
                    <w:t xml:space="preserve">he GPS - DEX </w:t>
                  </w:r>
                  <w:r w:rsidR="7A0583FC" w:rsidRPr="003371DC">
                    <w:t xml:space="preserve">data </w:t>
                  </w:r>
                  <w:r w:rsidR="37423CA5" w:rsidRPr="003371DC">
                    <w:t>abstract</w:t>
                  </w:r>
                  <w:r w:rsidR="0F824BD6" w:rsidRPr="003371DC">
                    <w:t xml:space="preserve">, the Department noted </w:t>
                  </w:r>
                  <w:r w:rsidR="259AE810" w:rsidRPr="003371DC">
                    <w:t xml:space="preserve">several </w:t>
                  </w:r>
                  <w:r w:rsidR="16318C3F" w:rsidRPr="003371DC">
                    <w:t xml:space="preserve">limitations </w:t>
                  </w:r>
                  <w:r w:rsidR="0E452A79" w:rsidRPr="003371DC">
                    <w:t xml:space="preserve">consistent with individual DEX data such as problems with </w:t>
                  </w:r>
                  <w:r w:rsidR="472F98FC" w:rsidRPr="003371DC">
                    <w:t>identifying individual</w:t>
                  </w:r>
                  <w:r w:rsidR="00EB53E5" w:rsidRPr="003371DC">
                    <w:t>s</w:t>
                  </w:r>
                  <w:r w:rsidR="472F98FC" w:rsidRPr="003371DC">
                    <w:t xml:space="preserve"> and </w:t>
                  </w:r>
                  <w:r w:rsidR="0081535F">
                    <w:t>service users</w:t>
                  </w:r>
                  <w:r w:rsidR="472F98FC" w:rsidRPr="003371DC">
                    <w:t>, data pertaining to sessions, def</w:t>
                  </w:r>
                  <w:r w:rsidR="00EB53E5" w:rsidRPr="003371DC">
                    <w:t>i</w:t>
                  </w:r>
                  <w:r w:rsidR="472F98FC" w:rsidRPr="003371DC">
                    <w:t xml:space="preserve">nitions of CALD </w:t>
                  </w:r>
                  <w:r w:rsidR="003E3FB0">
                    <w:t>service users</w:t>
                  </w:r>
                  <w:r w:rsidR="472F98FC" w:rsidRPr="003371DC">
                    <w:t>, cell</w:t>
                  </w:r>
                  <w:r w:rsidR="375896D3" w:rsidRPr="003371DC">
                    <w:t xml:space="preserve"> sup</w:t>
                  </w:r>
                  <w:r w:rsidR="00EB53E5" w:rsidRPr="003371DC">
                    <w:t>p</w:t>
                  </w:r>
                  <w:r w:rsidR="375896D3" w:rsidRPr="003371DC">
                    <w:t xml:space="preserve">ression when numbers are less than 5, </w:t>
                  </w:r>
                  <w:r w:rsidR="16318C3F" w:rsidRPr="003371DC">
                    <w:t xml:space="preserve">certain activities </w:t>
                  </w:r>
                  <w:r w:rsidR="6A0769C2" w:rsidRPr="003371DC">
                    <w:t>associated with partial financial years</w:t>
                  </w:r>
                  <w:r w:rsidR="309969AB" w:rsidRPr="003371DC">
                    <w:t xml:space="preserve">, </w:t>
                  </w:r>
                  <w:r w:rsidR="348908D5" w:rsidRPr="003371DC">
                    <w:t>novation</w:t>
                  </w:r>
                  <w:r w:rsidR="7100A405" w:rsidRPr="003371DC">
                    <w:t xml:space="preserve">, </w:t>
                  </w:r>
                  <w:r w:rsidR="21581AD9" w:rsidRPr="003371DC">
                    <w:t xml:space="preserve">potential issues with </w:t>
                  </w:r>
                  <w:r w:rsidR="6200D2EC" w:rsidRPr="003371DC">
                    <w:t xml:space="preserve">subcontracting services, </w:t>
                  </w:r>
                  <w:r w:rsidR="43D98EEB" w:rsidRPr="003371DC">
                    <w:t>identifying</w:t>
                  </w:r>
                  <w:r w:rsidR="21581AD9" w:rsidRPr="003371DC">
                    <w:t xml:space="preserve"> outlets and funding allocation across outlets (and regions)</w:t>
                  </w:r>
                  <w:r w:rsidR="758084AF" w:rsidRPr="003371DC">
                    <w:t xml:space="preserve">, </w:t>
                  </w:r>
                  <w:r w:rsidR="54FCB884" w:rsidRPr="003371DC">
                    <w:t xml:space="preserve">and various sensitivities associated with specific </w:t>
                  </w:r>
                  <w:r w:rsidR="004C0DAD" w:rsidRPr="003371DC">
                    <w:t>service providers</w:t>
                  </w:r>
                  <w:r w:rsidR="54FCB884" w:rsidRPr="003371DC">
                    <w:t>.</w:t>
                  </w:r>
                  <w:r w:rsidR="00066FF4" w:rsidRPr="003371DC">
                    <w:t xml:space="preserve"> </w:t>
                  </w:r>
                  <w:r w:rsidR="00066FF4" w:rsidRPr="000C7152">
                    <w:t>Further, there is also overlap in service provision across programs that make it difficult to isolate specific program funding. For example, some providers use SFVS funding to deliver MBCPs, the same funding also supports general SFVS services. Due to the flexible nature of SFVS funding, which allows providers to determine their service mix, it is not possible to quantify exactly how much is allocated to MBCPs. This allocation may vary year to year depending on provider priorities</w:t>
                  </w:r>
                  <w:r w:rsidR="00066FF4" w:rsidRPr="003371DC">
                    <w:t>.</w:t>
                  </w:r>
                  <w:r w:rsidR="54FCB884" w:rsidRPr="003371DC">
                    <w:t xml:space="preserve"> </w:t>
                  </w:r>
                  <w:r w:rsidR="6B1716CE" w:rsidRPr="003371DC">
                    <w:t xml:space="preserve">Although the Department provided documentation to these limitations, they </w:t>
                  </w:r>
                  <w:r w:rsidR="7DCE4A3A" w:rsidRPr="003371DC">
                    <w:t xml:space="preserve">may impact on the accuracy </w:t>
                  </w:r>
                  <w:r w:rsidR="58CD1BCC" w:rsidRPr="003371DC">
                    <w:t xml:space="preserve">and comparability of </w:t>
                  </w:r>
                  <w:r w:rsidR="5F12F323" w:rsidRPr="003371DC">
                    <w:t>results with those generated from the individual DEX data.</w:t>
                  </w:r>
                  <w:r w:rsidR="5389EDEF" w:rsidRPr="003371DC">
                    <w:t xml:space="preserve"> </w:t>
                  </w:r>
                  <w:r w:rsidR="6C919175" w:rsidRPr="003371DC">
                    <w:t xml:space="preserve">For example, the Department note that since GPS and DEX link at a level above the Activity ID, sessions and other DEX metrics cannot be attributed to each Activity ID and instead the same DEX numbers are attributed in full to each Activity ID. The individual DEX data does not contain a field </w:t>
                  </w:r>
                  <w:r w:rsidR="1AD91DB4" w:rsidRPr="003371DC">
                    <w:t xml:space="preserve">for activity ID which further impacts on testing accuracy or consistency of data. </w:t>
                  </w:r>
                </w:p>
                <w:p w14:paraId="16F4EE0A" w14:textId="05F29505" w:rsidR="423DDD05" w:rsidRPr="003371DC" w:rsidRDefault="00EB53E5" w:rsidP="596BDFB0">
                  <w:pPr>
                    <w:pStyle w:val="Text"/>
                  </w:pPr>
                  <w:r>
                    <w:lastRenderedPageBreak/>
                    <w:t>To support analysis for the evaluation, s</w:t>
                  </w:r>
                  <w:r w:rsidR="08196D18">
                    <w:t xml:space="preserve">everal validity tests </w:t>
                  </w:r>
                  <w:r>
                    <w:t>have been undertaken</w:t>
                  </w:r>
                  <w:r w:rsidR="005E7D70">
                    <w:t xml:space="preserve"> by the </w:t>
                  </w:r>
                  <w:r w:rsidR="009E4031">
                    <w:t>e</w:t>
                  </w:r>
                  <w:r w:rsidR="005E7D70">
                    <w:t xml:space="preserve">valuation </w:t>
                  </w:r>
                  <w:r w:rsidR="009E4031">
                    <w:t>t</w:t>
                  </w:r>
                  <w:r w:rsidR="005E7D70">
                    <w:t>eam</w:t>
                  </w:r>
                  <w:r>
                    <w:t xml:space="preserve"> </w:t>
                  </w:r>
                  <w:r w:rsidR="08196D18">
                    <w:t xml:space="preserve">to understand the discrepancies between data sources. </w:t>
                  </w:r>
                  <w:r w:rsidR="005E7D70">
                    <w:t>This included comparing</w:t>
                  </w:r>
                  <w:r w:rsidR="08196D18">
                    <w:t xml:space="preserve"> </w:t>
                  </w:r>
                  <w:r w:rsidR="736A99D6">
                    <w:t>the list of service providers</w:t>
                  </w:r>
                  <w:r w:rsidR="5EB8A5DA">
                    <w:t xml:space="preserve"> using the </w:t>
                  </w:r>
                  <w:r w:rsidR="7D92EDBF">
                    <w:t xml:space="preserve">legal entity </w:t>
                  </w:r>
                  <w:r w:rsidR="7B06C17A">
                    <w:t>legal name (GPS – DEX data extract) with leading organisation (individual DEX data) and not</w:t>
                  </w:r>
                  <w:r w:rsidR="005E7D70">
                    <w:t>ing</w:t>
                  </w:r>
                  <w:r w:rsidR="7B06C17A">
                    <w:t xml:space="preserve"> </w:t>
                  </w:r>
                  <w:r w:rsidR="08BFE731">
                    <w:t xml:space="preserve">several inconsistencies between data sources. There were multiple providers listed in the GPS – DEX data extract that were not listed in the individual </w:t>
                  </w:r>
                  <w:r w:rsidR="414D24E2">
                    <w:t xml:space="preserve">DEX data, and vice versa. </w:t>
                  </w:r>
                  <w:r w:rsidR="2FD5BDA2">
                    <w:t xml:space="preserve">Client numbers </w:t>
                  </w:r>
                  <w:r w:rsidR="4FBC9F07">
                    <w:t xml:space="preserve">(and sessions) </w:t>
                  </w:r>
                  <w:r w:rsidR="2FD5BDA2">
                    <w:t xml:space="preserve">calculated from the supplied </w:t>
                  </w:r>
                  <w:r w:rsidR="609A5EAA">
                    <w:t xml:space="preserve">individual </w:t>
                  </w:r>
                  <w:r w:rsidR="2FD5BDA2">
                    <w:t xml:space="preserve">DEX data </w:t>
                  </w:r>
                  <w:r w:rsidR="2DB9EF19">
                    <w:t xml:space="preserve">(multiple various data sources) </w:t>
                  </w:r>
                  <w:r w:rsidR="2FD5BDA2">
                    <w:t xml:space="preserve">did not match those supplied in </w:t>
                  </w:r>
                  <w:r w:rsidR="4CA0C308">
                    <w:t xml:space="preserve">the </w:t>
                  </w:r>
                  <w:r w:rsidR="2FD5BDA2">
                    <w:t>GPS</w:t>
                  </w:r>
                  <w:r w:rsidR="488DFEBF">
                    <w:t>-DEX</w:t>
                  </w:r>
                  <w:r w:rsidR="2FD5BDA2">
                    <w:t xml:space="preserve"> data</w:t>
                  </w:r>
                  <w:r w:rsidR="488DFEBF">
                    <w:t xml:space="preserve"> extract</w:t>
                  </w:r>
                  <w:r w:rsidR="54437B45">
                    <w:t>. This could be an art</w:t>
                  </w:r>
                  <w:r w:rsidR="004A5736">
                    <w:t>e</w:t>
                  </w:r>
                  <w:r w:rsidR="54437B45">
                    <w:t xml:space="preserve">fact of different service providers being captured or variations in extraction processes. A significant difference was also found in the </w:t>
                  </w:r>
                  <w:r w:rsidR="1355E48B">
                    <w:t>identification</w:t>
                  </w:r>
                  <w:r w:rsidR="4D701E2B">
                    <w:t xml:space="preserve"> </w:t>
                  </w:r>
                  <w:r w:rsidR="36A064DC">
                    <w:t xml:space="preserve">of </w:t>
                  </w:r>
                  <w:r w:rsidR="54437B45">
                    <w:t>C</w:t>
                  </w:r>
                  <w:r w:rsidR="048F8927">
                    <w:t xml:space="preserve">ALD </w:t>
                  </w:r>
                  <w:r w:rsidR="003E3FB0">
                    <w:t>service users</w:t>
                  </w:r>
                  <w:r w:rsidR="00211061">
                    <w:t>:</w:t>
                  </w:r>
                  <w:r w:rsidR="4848C457">
                    <w:t xml:space="preserve"> a </w:t>
                  </w:r>
                  <w:r w:rsidR="1028BDAC">
                    <w:t>magnitude</w:t>
                  </w:r>
                  <w:r w:rsidR="4848C457">
                    <w:t xml:space="preserve"> of 10-fold difference between</w:t>
                  </w:r>
                  <w:r w:rsidR="7326A161">
                    <w:t xml:space="preserve"> individual DEX data and the GPS – DEX data extract. This discrepancy is most </w:t>
                  </w:r>
                  <w:r w:rsidR="6E9343B2">
                    <w:t>likely</w:t>
                  </w:r>
                  <w:r w:rsidR="7326A161">
                    <w:t xml:space="preserve"> due to vari</w:t>
                  </w:r>
                  <w:r w:rsidR="08E89177">
                    <w:t>ations</w:t>
                  </w:r>
                  <w:r w:rsidR="7326A161">
                    <w:t xml:space="preserve"> in identifying CALD </w:t>
                  </w:r>
                  <w:r w:rsidR="003E3FB0">
                    <w:t>service users</w:t>
                  </w:r>
                  <w:r w:rsidR="59E7F0BD">
                    <w:t xml:space="preserve"> across data source</w:t>
                  </w:r>
                  <w:r w:rsidR="7326A161">
                    <w:t>s</w:t>
                  </w:r>
                  <w:r w:rsidR="5CEDDDA8">
                    <w:t xml:space="preserve">. </w:t>
                  </w:r>
                  <w:r w:rsidR="4427C50E">
                    <w:t xml:space="preserve">In this report, we </w:t>
                  </w:r>
                  <w:r w:rsidR="4427C50E" w:rsidRPr="006211FB">
                    <w:t xml:space="preserve">use the Data Exchange approach to counting people </w:t>
                  </w:r>
                  <w:r w:rsidR="00552377" w:rsidRPr="006211FB">
                    <w:t>who identify as CALD</w:t>
                  </w:r>
                  <w:r w:rsidR="4427C50E" w:rsidRPr="006211FB">
                    <w:t xml:space="preserve"> only where they are both born outside Australia and speak a non-English language.</w:t>
                  </w:r>
                </w:p>
                <w:p w14:paraId="042316E1" w14:textId="3A9C530E" w:rsidR="00DD20E5" w:rsidRPr="003371DC" w:rsidRDefault="00D914DB" w:rsidP="00066FF4">
                  <w:pPr>
                    <w:pStyle w:val="Text"/>
                  </w:pPr>
                  <w:r>
                    <w:t>T</w:t>
                  </w:r>
                  <w:r w:rsidR="00DD20E5">
                    <w:t xml:space="preserve">here are </w:t>
                  </w:r>
                  <w:r w:rsidR="67614C9C">
                    <w:t xml:space="preserve">also </w:t>
                  </w:r>
                  <w:r w:rsidR="00DD20E5">
                    <w:t xml:space="preserve">significant limitations in undertaking </w:t>
                  </w:r>
                  <w:r w:rsidR="646C4BF2">
                    <w:t>the value for money and ROI</w:t>
                  </w:r>
                  <w:r w:rsidR="00DD20E5">
                    <w:t xml:space="preserve"> </w:t>
                  </w:r>
                  <w:r w:rsidR="1BED1BEE">
                    <w:t>analysis</w:t>
                  </w:r>
                  <w:r w:rsidR="00DD20E5">
                    <w:t xml:space="preserve">. </w:t>
                  </w:r>
                  <w:r w:rsidR="00D15C11">
                    <w:t>T</w:t>
                  </w:r>
                  <w:r w:rsidR="00DD20E5">
                    <w:t xml:space="preserve">here is a paucity of </w:t>
                  </w:r>
                  <w:r w:rsidR="5C6DBC9C">
                    <w:t xml:space="preserve">evidence to guide </w:t>
                  </w:r>
                  <w:r w:rsidR="4F0179B9">
                    <w:t xml:space="preserve">a ROI </w:t>
                  </w:r>
                  <w:r w:rsidR="5C6DBC9C">
                    <w:t>analysis.</w:t>
                  </w:r>
                  <w:r w:rsidR="00DD20E5">
                    <w:t xml:space="preserve"> Accordingly, </w:t>
                  </w:r>
                  <w:r w:rsidR="5331599F">
                    <w:t xml:space="preserve">the value for money </w:t>
                  </w:r>
                  <w:r w:rsidR="4117CC69">
                    <w:t xml:space="preserve">and ROI </w:t>
                  </w:r>
                  <w:r w:rsidR="5331599F">
                    <w:t>analysis</w:t>
                  </w:r>
                  <w:r w:rsidR="00DD20E5">
                    <w:t xml:space="preserve"> </w:t>
                  </w:r>
                  <w:r w:rsidR="5331599F">
                    <w:t>relied</w:t>
                  </w:r>
                  <w:r w:rsidR="00DD20E5">
                    <w:t xml:space="preserve"> on </w:t>
                  </w:r>
                  <w:r w:rsidR="5331599F">
                    <w:t>a range of data sources and as</w:t>
                  </w:r>
                  <w:r w:rsidR="5F71E6FF">
                    <w:t>sumptions</w:t>
                  </w:r>
                  <w:r w:rsidR="00DD20E5">
                    <w:t xml:space="preserve">. </w:t>
                  </w:r>
                  <w:r w:rsidR="2EAF2B64">
                    <w:t>Costs were limited to DSS investment through activity-based expenditure and did not include additional costs incurred by providers or fees collected from clients as part of service deliver</w:t>
                  </w:r>
                  <w:r w:rsidR="0EB21FFE">
                    <w:t>y</w:t>
                  </w:r>
                  <w:r w:rsidR="2EAF2B64">
                    <w:t xml:space="preserve">. </w:t>
                  </w:r>
                  <w:r w:rsidR="4EA2640E">
                    <w:t xml:space="preserve">A key issue of all ROIs is identifying impact and placing a monetary value on benefits articulated through the </w:t>
                  </w:r>
                  <w:r w:rsidR="00C2506F">
                    <w:t>P</w:t>
                  </w:r>
                  <w:r w:rsidR="4EA2640E">
                    <w:t xml:space="preserve">rogram </w:t>
                  </w:r>
                  <w:r w:rsidR="00C2506F">
                    <w:t>L</w:t>
                  </w:r>
                  <w:r w:rsidR="4EA2640E">
                    <w:t>ogic models. T</w:t>
                  </w:r>
                  <w:r w:rsidR="00DD20E5">
                    <w:t xml:space="preserve">hese complexities form part of the limitations of data collection in this sector </w:t>
                  </w:r>
                  <w:r>
                    <w:fldChar w:fldCharType="begin"/>
                  </w:r>
                  <w:r>
                    <w:instrText xml:space="preserve"> ADDIN ZOTERO_ITEM CSL_CITATION {"citationID":"zd0U5dYc","properties":{"formattedCitation":"(Sardinha et al., 2022)","plainCitation":"(Sardinha et al., 2022)","noteIndex":0},"citationItems":[{"id":4641,"uris":["http://zotero.org/groups/5691188/items/JQN9FJZ2"],"itemData":{"id":4641,"type":"article-journal","abstract":"Background:  Accurate and reliable estimates of violence against women form the backbone of global and regional monitoring efforts to eliminate this human right violation and public health problem. Estimating the prevalence of intimate partner violence (IPV) is challenging due to variations in case definition and recall period, surveyed popula</w:instrText>
                  </w:r>
                  <w:r w:rsidRPr="596BDFB0">
                    <w:rPr>
                      <w:rFonts w:ascii="Cambria Math" w:hAnsi="Cambria Math" w:cs="Cambria Math"/>
                    </w:rPr>
                    <w:instrText>‑</w:instrText>
                  </w:r>
                  <w:r>
                    <w:instrText>tions, partner definition, level of age disaggregation, and survey representativeness, among others. In this paper, we aim to develop a sound and flexible statistical modeling framework for global, regional, and national IPV statistics.\nMethods:  We modeled IPV within a Bayesian multilevel modeling framework, accounting for heterogeneity of age groups using age-standardization, and age patterns and time trends using splines functions. Survey comparability is achieved using adjustment factors which are estimated using exact matching and their uncertainty accounted for. Both in-sample and out-of-sample comparisons are used for model validation, including posterior predictive checks. Post-processing of models’ outputs is performed to aggregate estimates at different geographic levels and age groups.\nResults:  A total of 307 unique studies conducted between 2000–2018, from 154 countries/areas, and totaling nearly 1.8 million unique women responses informed lifetime IPV. Past year IPV had a similar number of studies (n = 332), countries/areas represented (n = 159), and individual responses (n = 1.8 million). Roughly half of IPV observations required some adjustments. Posterior predictive checks suggest good model fit to data and out-of-sample com</w:instrText>
                  </w:r>
                  <w:r w:rsidRPr="596BDFB0">
                    <w:rPr>
                      <w:rFonts w:ascii="Cambria Math" w:hAnsi="Cambria Math" w:cs="Cambria Math"/>
                    </w:rPr>
                    <w:instrText>‑</w:instrText>
                  </w:r>
                  <w:r>
                    <w:instrText>parisons provided reassuring results with small median prediction errors and appropriate coverage of predictions’ intervals.\nConclusions:  The proposed modeling framework can pool both national and sub-national surveys, account for heterogeneous age groups and age trends, accommodate different surveyed populations, adjust for differences in survey instruments, and efficiently propagate uncertainty to model outputs. Describing this model to reproduc</w:instrText>
                  </w:r>
                  <w:r w:rsidRPr="596BDFB0">
                    <w:rPr>
                      <w:rFonts w:ascii="Cambria Math" w:hAnsi="Cambria Math" w:cs="Cambria Math"/>
                    </w:rPr>
                    <w:instrText>‑</w:instrText>
                  </w:r>
                  <w:r>
                    <w:instrText>ible levels of detail enables the accurate interpretation and responsible use of estimates to inform effective violence against women prevention policy and programs, and global monitoring of elimination efforts as part of the Sustain</w:instrText>
                  </w:r>
                  <w:r w:rsidRPr="596BDFB0">
                    <w:rPr>
                      <w:rFonts w:ascii="Cambria Math" w:hAnsi="Cambria Math" w:cs="Cambria Math"/>
                    </w:rPr>
                    <w:instrText>‑</w:instrText>
                  </w:r>
                  <w:r>
                    <w:instrText xml:space="preserve">able Development Goals.","container-title":"BMC Medical Research Methodology","DOI":"10.1186/s12874-022-01634-5","ISSN":"1471-2288","issue":"1","journalAbbreviation":"BMC Med Res Methodol","language":"en","page":"159","source":"DOI.org (Crossref)","title":"A framework to model global, regional, and national estimates of intimate partner violence","volume":"22","author":[{"family":"Sardinha","given":"Lynnmarie"},{"family":"Stöckl","given":"Heidi"},{"family":"Meyer","given":"Sarah R."},{"family":"Godin","given":"Arnaud"},{"family":"Alexander","given":"Monica"},{"family":"García-Moreno","given":"Claudia"}],"issued":{"date-parts":[["2022",12]]}}}],"schema":"https://github.com/citation-style-language/schema/raw/master/csl-citation.json"} </w:instrText>
                  </w:r>
                  <w:r>
                    <w:fldChar w:fldCharType="separate"/>
                  </w:r>
                  <w:r w:rsidR="00DD20E5">
                    <w:t>(Sardinha et al., 2022)</w:t>
                  </w:r>
                  <w:r>
                    <w:fldChar w:fldCharType="end"/>
                  </w:r>
                  <w:r w:rsidR="00DD20E5">
                    <w:t>.</w:t>
                  </w:r>
                  <w:r w:rsidR="594B7E66">
                    <w:t xml:space="preserve"> Availability of linked data would circu</w:t>
                  </w:r>
                  <w:r w:rsidR="52D94D7A">
                    <w:t xml:space="preserve">mvent most of these issues and </w:t>
                  </w:r>
                  <w:r w:rsidR="5CB1C3BD">
                    <w:t xml:space="preserve">reduce </w:t>
                  </w:r>
                  <w:r w:rsidR="52D94D7A">
                    <w:t xml:space="preserve">the need for assumptions. </w:t>
                  </w:r>
                </w:p>
                <w:p w14:paraId="2A49A7A8" w14:textId="332C03D8" w:rsidR="00FE6691" w:rsidRPr="00EF52DD" w:rsidRDefault="00633F46" w:rsidP="596BDFB0">
                  <w:pPr>
                    <w:pStyle w:val="Text"/>
                    <w:rPr>
                      <w:rFonts w:eastAsia="Aptos"/>
                    </w:rPr>
                    <w:sectPr w:rsidR="00FE6691" w:rsidRPr="00EF52DD" w:rsidSect="008A2338">
                      <w:pgSz w:w="11909" w:h="16834" w:code="9"/>
                      <w:pgMar w:top="1440" w:right="1440" w:bottom="1440" w:left="1440" w:header="720" w:footer="720" w:gutter="0"/>
                      <w:cols w:space="720"/>
                      <w:docGrid w:linePitch="360"/>
                    </w:sectPr>
                  </w:pPr>
                  <w:r>
                    <w:t>The evaluation did not have access to quantitative data from service providers on the fees charged to service users for accessing FaRS programs under the sliding scale model. As a result, all analysis related to fees is based on a small, non-representative set of qualitative interview data and quantitative survey response</w:t>
                  </w:r>
                  <w:r w:rsidR="0057638A">
                    <w:t xml:space="preserve">s and should </w:t>
                  </w:r>
                  <w:r>
                    <w:t>be interpreted with caution</w:t>
                  </w:r>
                  <w:r w:rsidRPr="596BDFB0">
                    <w:rPr>
                      <w:rFonts w:eastAsia="Aptos"/>
                    </w:rPr>
                    <w:t>.</w:t>
                  </w:r>
                  <w:r w:rsidR="327793DA" w:rsidRPr="596BDFB0">
                    <w:rPr>
                      <w:rFonts w:eastAsia="Aptos"/>
                    </w:rPr>
                    <w:t xml:space="preserve"> DEX data did not capture the intensity (</w:t>
                  </w:r>
                  <w:r w:rsidR="00252822" w:rsidRPr="596BDFB0">
                    <w:rPr>
                      <w:rFonts w:eastAsia="Aptos"/>
                    </w:rPr>
                    <w:t>i.e.</w:t>
                  </w:r>
                  <w:r w:rsidR="327793DA" w:rsidRPr="596BDFB0">
                    <w:rPr>
                      <w:rFonts w:eastAsia="Aptos"/>
                    </w:rPr>
                    <w:t xml:space="preserve"> length) of sessions provided so the analysis is limited to the type of sessions provided. </w:t>
                  </w:r>
                  <w:r w:rsidR="64BC5DEF" w:rsidRPr="596BDFB0">
                    <w:rPr>
                      <w:rFonts w:eastAsia="Aptos"/>
                    </w:rPr>
                    <w:t xml:space="preserve">Further, we have not captured </w:t>
                  </w:r>
                  <w:r w:rsidR="00552377">
                    <w:rPr>
                      <w:rFonts w:eastAsia="Aptos"/>
                    </w:rPr>
                    <w:t>any geographical inconsistencies</w:t>
                  </w:r>
                  <w:r w:rsidR="64BC5DEF" w:rsidRPr="596BDFB0">
                    <w:rPr>
                      <w:rFonts w:eastAsia="Aptos"/>
                    </w:rPr>
                    <w:t xml:space="preserve"> in </w:t>
                  </w:r>
                  <w:r w:rsidR="6418A44B" w:rsidRPr="596BDFB0">
                    <w:rPr>
                      <w:rFonts w:eastAsia="Aptos"/>
                    </w:rPr>
                    <w:t>the delivery</w:t>
                  </w:r>
                  <w:r w:rsidR="64BC5DEF" w:rsidRPr="596BDFB0">
                    <w:rPr>
                      <w:rFonts w:eastAsia="Aptos"/>
                    </w:rPr>
                    <w:t xml:space="preserve"> of sessions.</w:t>
                  </w:r>
                  <w:r w:rsidR="00B8230E">
                    <w:rPr>
                      <w:rFonts w:eastAsia="Aptos"/>
                    </w:rPr>
                    <w:t xml:space="preserve"> </w:t>
                  </w:r>
                  <w:r w:rsidR="64BC5DEF" w:rsidRPr="596BDFB0">
                    <w:rPr>
                      <w:rFonts w:eastAsia="Aptos"/>
                    </w:rPr>
                    <w:t>It is anticipated that the subsequent modelling exercise will consider thi</w:t>
                  </w:r>
                  <w:r w:rsidR="6BCA9085" w:rsidRPr="596BDFB0">
                    <w:rPr>
                      <w:rFonts w:eastAsia="Aptos"/>
                    </w:rPr>
                    <w:t xml:space="preserve">s. </w:t>
                  </w:r>
                </w:p>
                <w:p w14:paraId="04119278" w14:textId="713890B6" w:rsidR="00330EF6" w:rsidRDefault="00B53A7E" w:rsidP="003371DC">
                  <w:pPr>
                    <w:pStyle w:val="Sectionpagetitle"/>
                  </w:pPr>
                  <w:r>
                    <w:lastRenderedPageBreak/>
                    <w:t>Contex</w:t>
                  </w:r>
                  <w:r w:rsidR="003B2659" w:rsidRPr="005F7EB6">
                    <w:rPr>
                      <w:b w:val="0"/>
                      <w:noProof/>
                    </w:rPr>
                    <w:drawing>
                      <wp:anchor distT="0" distB="0" distL="114300" distR="114300" simplePos="0" relativeHeight="251658256" behindDoc="1" locked="1" layoutInCell="1" allowOverlap="1" wp14:anchorId="31AD2015" wp14:editId="29C27D58">
                        <wp:simplePos x="0" y="0"/>
                        <wp:positionH relativeFrom="page">
                          <wp:posOffset>0</wp:posOffset>
                        </wp:positionH>
                        <wp:positionV relativeFrom="page">
                          <wp:posOffset>0</wp:posOffset>
                        </wp:positionV>
                        <wp:extent cx="7548880" cy="10673080"/>
                        <wp:effectExtent l="0" t="0" r="0" b="0"/>
                        <wp:wrapNone/>
                        <wp:docPr id="1104742440" name="Picture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742440" name="Picture 11">
                                  <a:extLst>
                                    <a:ext uri="{C183D7F6-B498-43B3-948B-1728B52AA6E4}">
                                      <adec:decorative xmlns:adec="http://schemas.microsoft.com/office/drawing/2017/decorative" val="1"/>
                                    </a:ext>
                                  </a:extLst>
                                </pic:cNvPr>
                                <pic:cNvPicPr>
                                  <a:picLocks noChangeAspect="1" noChangeArrowheads="1"/>
                                </pic:cNvPicPr>
                              </pic:nvPicPr>
                              <pic:blipFill>
                                <a:blip r:embed="rId46" cstate="print">
                                  <a:extLst>
                                    <a:ext uri="{28A0092B-C50C-407E-A947-70E740481C1C}">
                                      <a14:useLocalDpi xmlns:a14="http://schemas.microsoft.com/office/drawing/2010/main" val="0"/>
                                    </a:ext>
                                  </a:extLst>
                                </a:blip>
                                <a:stretch>
                                  <a:fillRect/>
                                </a:stretch>
                              </pic:blipFill>
                              <pic:spPr bwMode="auto">
                                <a:xfrm>
                                  <a:off x="0" y="0"/>
                                  <a:ext cx="7548880" cy="10673080"/>
                                </a:xfrm>
                                <a:prstGeom prst="rect">
                                  <a:avLst/>
                                </a:prstGeom>
                                <a:noFill/>
                                <a:ln>
                                  <a:noFill/>
                                </a:ln>
                              </pic:spPr>
                            </pic:pic>
                          </a:graphicData>
                        </a:graphic>
                        <wp14:sizeRelH relativeFrom="margin">
                          <wp14:pctWidth>0</wp14:pctWidth>
                        </wp14:sizeRelH>
                        <wp14:sizeRelV relativeFrom="margin">
                          <wp14:pctHeight>0</wp14:pctHeight>
                        </wp14:sizeRelV>
                      </wp:anchor>
                    </w:drawing>
                  </w:r>
                  <w:r>
                    <w:t>t</w:t>
                  </w:r>
                  <w:bookmarkStart w:id="255" w:name="_Toc204779560"/>
                  <w:bookmarkStart w:id="256" w:name="_Toc204785917"/>
                  <w:bookmarkStart w:id="257" w:name="_Toc204856734"/>
                  <w:bookmarkEnd w:id="255"/>
                  <w:bookmarkEnd w:id="256"/>
                </w:p>
                <w:p w14:paraId="6456A697" w14:textId="2AC1A437" w:rsidR="0098075B" w:rsidRPr="0047796D" w:rsidRDefault="0098075B" w:rsidP="002E7436">
                  <w:pPr>
                    <w:pStyle w:val="Heading2"/>
                  </w:pPr>
                  <w:bookmarkStart w:id="258" w:name="_Toc208906845"/>
                  <w:r>
                    <w:lastRenderedPageBreak/>
                    <w:t>C</w:t>
                  </w:r>
                  <w:r w:rsidRPr="0F4A94F3">
                    <w:t>ontext of family life and relationships in Australia</w:t>
                  </w:r>
                  <w:bookmarkEnd w:id="257"/>
                  <w:bookmarkEnd w:id="258"/>
                  <w:r w:rsidRPr="0F4A94F3">
                    <w:t xml:space="preserve"> </w:t>
                  </w:r>
                </w:p>
                <w:p w14:paraId="106539E1" w14:textId="3AB5E8D4" w:rsidR="00E77B88" w:rsidRDefault="006F142B" w:rsidP="00342554">
                  <w:pPr>
                    <w:pStyle w:val="Text"/>
                  </w:pPr>
                  <w:r>
                    <w:t xml:space="preserve">Whilst </w:t>
                  </w:r>
                  <w:r w:rsidR="00F059C6">
                    <w:t>u</w:t>
                  </w:r>
                  <w:r w:rsidR="00342554">
                    <w:t>nderstandings of contemporary Australian families have evolved since the</w:t>
                  </w:r>
                  <w:r w:rsidR="00024BC1">
                    <w:t xml:space="preserve"> </w:t>
                  </w:r>
                  <w:r w:rsidR="002F5D01">
                    <w:t>inception</w:t>
                  </w:r>
                  <w:r w:rsidR="00342554">
                    <w:t xml:space="preserve"> of FaRS and SFVS funding</w:t>
                  </w:r>
                  <w:r>
                    <w:t xml:space="preserve">, the need for </w:t>
                  </w:r>
                  <w:r w:rsidR="00733918">
                    <w:t>the programs</w:t>
                  </w:r>
                  <w:r>
                    <w:t xml:space="preserve"> remains clear</w:t>
                  </w:r>
                  <w:r w:rsidR="00342554">
                    <w:t xml:space="preserve">. </w:t>
                  </w:r>
                  <w:r w:rsidR="00000ECA">
                    <w:t xml:space="preserve">This section provides an overview of the </w:t>
                  </w:r>
                  <w:r w:rsidR="00E77B88">
                    <w:t xml:space="preserve">evolving landscape of families and their needs to provide a basis for understanding the </w:t>
                  </w:r>
                  <w:r w:rsidR="00000ECA">
                    <w:t xml:space="preserve">context </w:t>
                  </w:r>
                  <w:r w:rsidR="00E07E2D">
                    <w:t xml:space="preserve">within which FaRS and SFVS </w:t>
                  </w:r>
                  <w:r w:rsidR="00E77B88">
                    <w:t>operate.</w:t>
                  </w:r>
                  <w:r w:rsidR="00342554">
                    <w:t xml:space="preserve"> </w:t>
                  </w:r>
                </w:p>
                <w:p w14:paraId="3AE7AFA2" w14:textId="6FB1F311" w:rsidR="000E2A81" w:rsidRDefault="00A81F52" w:rsidP="000E2A81">
                  <w:pPr>
                    <w:pStyle w:val="Text"/>
                  </w:pPr>
                  <w:r>
                    <w:t xml:space="preserve">The formation, structure and circumstances of </w:t>
                  </w:r>
                  <w:r w:rsidR="000E2A81">
                    <w:t xml:space="preserve">Australian families </w:t>
                  </w:r>
                  <w:r>
                    <w:t>have</w:t>
                  </w:r>
                  <w:r w:rsidR="000E2A81">
                    <w:t xml:space="preserve"> </w:t>
                  </w:r>
                  <w:r w:rsidR="00180056">
                    <w:t xml:space="preserve">changed </w:t>
                  </w:r>
                  <w:r w:rsidR="000E2A81">
                    <w:t xml:space="preserve">significantly over time. </w:t>
                  </w:r>
                  <w:r w:rsidR="000E2A81" w:rsidRPr="002A5617">
                    <w:t xml:space="preserve">Family households made up 71% of Australian households in 2021 </w:t>
                  </w:r>
                  <w:r w:rsidR="000E2A81" w:rsidRPr="002A5617">
                    <w:fldChar w:fldCharType="begin"/>
                  </w:r>
                  <w:r w:rsidR="00E41D03">
                    <w:instrText xml:space="preserve"> ADDIN ZOTERO_ITEM CSL_CITATION {"citationID":"BVW8Uhyx","properties":{"formattedCitation":"(Australian Institute of Family Studies, 2023a)","plainCitation":"(Australian Institute of Family Studies, 2023a)","noteIndex":0},"citationItems":[{"id":4571,"uris":["http://zotero.org/groups/5691188/items/9P426IRG"],"itemData":{"id":4571,"type":"document","publisher":"Australian Government","title":"Population, households and families","URL":"https://aifs.gov.au/research/facts-and-figures/population-households-and-families","author":[{"family":"Australian Institute of Family Studies","given":""}],"accessed":{"date-parts":[["2024",10,7]]},"issued":{"date-parts":[["2023"]]}}}],"schema":"https://github.com/citation-style-language/schema/raw/master/csl-citation.json"} </w:instrText>
                  </w:r>
                  <w:r w:rsidR="000E2A81" w:rsidRPr="002A5617">
                    <w:fldChar w:fldCharType="separate"/>
                  </w:r>
                  <w:r w:rsidR="000E2A81" w:rsidRPr="002E1E42">
                    <w:rPr>
                      <w:rFonts w:ascii="Arial" w:hAnsi="Arial" w:cs="Arial"/>
                    </w:rPr>
                    <w:t>(Australian Institute of Family Studies, 2023a)</w:t>
                  </w:r>
                  <w:r w:rsidR="000E2A81" w:rsidRPr="002A5617">
                    <w:fldChar w:fldCharType="end"/>
                  </w:r>
                  <w:r w:rsidR="000E2A81">
                    <w:t>. There</w:t>
                  </w:r>
                  <w:r w:rsidR="000E2A81" w:rsidRPr="002A5617">
                    <w:t xml:space="preserve"> </w:t>
                  </w:r>
                  <w:r w:rsidR="000E2A81">
                    <w:t>are</w:t>
                  </w:r>
                  <w:r w:rsidR="000E2A81" w:rsidRPr="002A5617">
                    <w:t xml:space="preserve"> several key trends in the composition and structure of these families. Firstly, the proportion of couple families without children has increased and the proportion with children has decreased. Between 1981 and 2021, the percentage of couple families with dependent children dropped from 47% of all families to 36%, while the percentage of couple only families rose from 29% to 39% </w:t>
                  </w:r>
                  <w:r w:rsidR="000E2A81" w:rsidRPr="002A5617">
                    <w:fldChar w:fldCharType="begin"/>
                  </w:r>
                  <w:r w:rsidR="00E41D03">
                    <w:instrText xml:space="preserve"> ADDIN ZOTERO_ITEM CSL_CITATION {"citationID":"vPHINiiG","properties":{"formattedCitation":"(Australian Institute of Family Studies, 2023b)","plainCitation":"(Australian Institute of Family Studies, 2023b)","noteIndex":0},"citationItems":[{"id":4572,"uris":["http://zotero.org/groups/5691188/items/XBXAKAUL"],"itemData":{"id":4572,"type":"document","publisher":"Australian Government","title":"Families and family composition","URL":"https://aifs.gov.au/research/facts-and-figures/families-and-family-composition","author":[{"family":"Australian Institute of Family Studies","given":""}],"accessed":{"date-parts":[["2024",10,7]]},"issued":{"date-parts":[["2023"]]}}}],"schema":"https://github.com/citation-style-language/schema/raw/master/csl-citation.json"} </w:instrText>
                  </w:r>
                  <w:r w:rsidR="000E2A81" w:rsidRPr="002A5617">
                    <w:fldChar w:fldCharType="separate"/>
                  </w:r>
                  <w:r w:rsidR="000E2A81" w:rsidRPr="00FB3D70">
                    <w:rPr>
                      <w:rFonts w:ascii="Arial" w:hAnsi="Arial" w:cs="Arial"/>
                    </w:rPr>
                    <w:t>(Australian Institute of Family Studies, 2023b)</w:t>
                  </w:r>
                  <w:r w:rsidR="000E2A81" w:rsidRPr="002A5617">
                    <w:fldChar w:fldCharType="end"/>
                  </w:r>
                  <w:r w:rsidR="000E2A81" w:rsidRPr="002A5617">
                    <w:t>. The A</w:t>
                  </w:r>
                  <w:r w:rsidR="00382C89">
                    <w:t xml:space="preserve">ustralian </w:t>
                  </w:r>
                  <w:r w:rsidR="000E2A81" w:rsidRPr="002A5617">
                    <w:t>I</w:t>
                  </w:r>
                  <w:r w:rsidR="00382C89">
                    <w:t xml:space="preserve">nstitute of </w:t>
                  </w:r>
                  <w:r w:rsidR="000E2A81" w:rsidRPr="002A5617">
                    <w:t>F</w:t>
                  </w:r>
                  <w:r w:rsidR="00382C89">
                    <w:t xml:space="preserve">amilies </w:t>
                  </w:r>
                  <w:r w:rsidR="000E2A81" w:rsidRPr="002A5617">
                    <w:t>S</w:t>
                  </w:r>
                  <w:r w:rsidR="00382C89">
                    <w:t>tudies (AIF</w:t>
                  </w:r>
                  <w:r w:rsidR="00430D26">
                    <w:t>S</w:t>
                  </w:r>
                  <w:r w:rsidR="00382C89">
                    <w:t>)</w:t>
                  </w:r>
                  <w:r w:rsidR="000E2A81" w:rsidRPr="002A5617">
                    <w:t xml:space="preserve"> suggests this reflects a rise in the number of older couples, consistent with expectations of an ageing population </w:t>
                  </w:r>
                  <w:r w:rsidR="000E2A81" w:rsidRPr="002A5617">
                    <w:fldChar w:fldCharType="begin"/>
                  </w:r>
                  <w:r w:rsidR="00E41D03">
                    <w:instrText xml:space="preserve"> ADDIN ZOTERO_ITEM CSL_CITATION {"citationID":"a12tudrep6g","properties":{"formattedCitation":"(Australian Institute of Family Studies, 2023a, 2023b)","plainCitation":"(Australian Institute of Family Studies, 2023a, 2023b)","noteIndex":0},"citationItems":[{"id":4571,"uris":["http://zotero.org/groups/5691188/items/9P426IRG"],"itemData":{"id":4571,"type":"document","publisher":"Australian Government","title":"Population, households and families","URL":"https://aifs.gov.au/research/facts-and-figures/population-households-and-families","author":[{"family":"Australian Institute of Family Studies","given":""}],"accessed":{"date-parts":[["2024",10,7]]},"issued":{"date-parts":[["2023"]]}}},{"id":4572,"uris":["http://zotero.org/groups/5691188/items/XBXAKAUL"],"itemData":{"id":4572,"type":"document","publisher":"Australian Government","title":"Families and family composition","URL":"https://aifs.gov.au/research/facts-and-figures/families-and-family-composition","author":[{"family":"Australian Institute of Family Studies","given":""}],"accessed":{"date-parts":[["2024",10,7]]},"issued":{"date-parts":[["2023"]]}}}],"schema":"https://github.com/citation-style-language/schema/raw/master/csl-citation.json"} </w:instrText>
                  </w:r>
                  <w:r w:rsidR="000E2A81" w:rsidRPr="002A5617">
                    <w:fldChar w:fldCharType="separate"/>
                  </w:r>
                  <w:r w:rsidR="00AC138C" w:rsidRPr="00AC138C">
                    <w:rPr>
                      <w:rFonts w:ascii="Arial" w:hAnsi="Arial" w:cs="Arial"/>
                    </w:rPr>
                    <w:t>(Australian Institute of Family Studies, 2023a, 2023b)</w:t>
                  </w:r>
                  <w:r w:rsidR="000E2A81" w:rsidRPr="002A5617">
                    <w:fldChar w:fldCharType="end"/>
                  </w:r>
                  <w:r w:rsidR="000E2A81" w:rsidRPr="002A5617">
                    <w:t>.</w:t>
                  </w:r>
                  <w:r w:rsidR="000E2A81">
                    <w:t xml:space="preserve"> </w:t>
                  </w:r>
                </w:p>
                <w:p w14:paraId="6AD18E6B" w14:textId="4A228CBB" w:rsidR="00566847" w:rsidRPr="00D97653" w:rsidRDefault="000E2A81" w:rsidP="00D97653">
                  <w:pPr>
                    <w:pStyle w:val="Text"/>
                    <w:rPr>
                      <w:rFonts w:ascii="Arial" w:eastAsia="Arial" w:hAnsi="Arial" w:cs="Times New Roman"/>
                    </w:rPr>
                  </w:pPr>
                  <w:r w:rsidRPr="002A5617">
                    <w:rPr>
                      <w:rFonts w:ascii="Arial" w:eastAsia="Arial" w:hAnsi="Arial" w:cs="Times New Roman"/>
                    </w:rPr>
                    <w:t>Despite this trend, couple families with children (either dependent or non-dependent) remain the most common family arrangement in Australia as of 2021</w:t>
                  </w:r>
                  <w:r w:rsidR="00C31F4B">
                    <w:rPr>
                      <w:rFonts w:ascii="Arial" w:eastAsia="Arial" w:hAnsi="Arial" w:cs="Times New Roman"/>
                    </w:rPr>
                    <w:t>.</w:t>
                  </w:r>
                  <w:r w:rsidDel="00C31F4B">
                    <w:rPr>
                      <w:rFonts w:ascii="Arial" w:eastAsia="Arial" w:hAnsi="Arial" w:cs="Times New Roman"/>
                    </w:rPr>
                    <w:t xml:space="preserve"> </w:t>
                  </w:r>
                  <w:r w:rsidR="00C31F4B">
                    <w:rPr>
                      <w:rFonts w:ascii="Arial" w:eastAsia="Arial" w:hAnsi="Arial" w:cs="Times New Roman"/>
                    </w:rPr>
                    <w:t>There is</w:t>
                  </w:r>
                  <w:r>
                    <w:rPr>
                      <w:rFonts w:ascii="Arial" w:eastAsia="Arial" w:hAnsi="Arial" w:cs="Times New Roman"/>
                    </w:rPr>
                    <w:t xml:space="preserve"> diversity in how these families are composed</w:t>
                  </w:r>
                  <w:r w:rsidR="00E07E2D">
                    <w:rPr>
                      <w:rFonts w:ascii="Arial" w:eastAsia="Arial" w:hAnsi="Arial" w:cs="Times New Roman"/>
                    </w:rPr>
                    <w:t xml:space="preserve"> including</w:t>
                  </w:r>
                  <w:r w:rsidR="00EB6DB4">
                    <w:rPr>
                      <w:rFonts w:ascii="Arial" w:eastAsia="Arial" w:hAnsi="Arial" w:cs="Times New Roman"/>
                    </w:rPr>
                    <w:t xml:space="preserve"> </w:t>
                  </w:r>
                  <w:r>
                    <w:rPr>
                      <w:rFonts w:ascii="Arial" w:eastAsia="Arial" w:hAnsi="Arial" w:cs="Times New Roman"/>
                    </w:rPr>
                    <w:t>intact families, step-families, blended families</w:t>
                  </w:r>
                  <w:r w:rsidR="0039420A">
                    <w:rPr>
                      <w:rFonts w:ascii="Arial" w:eastAsia="Arial" w:hAnsi="Arial" w:cs="Times New Roman"/>
                    </w:rPr>
                    <w:t>,</w:t>
                  </w:r>
                  <w:r w:rsidR="00E055C8">
                    <w:rPr>
                      <w:rFonts w:ascii="ZWAdobeF" w:eastAsia="Arial" w:hAnsi="ZWAdobeF" w:cs="ZWAdobeF"/>
                      <w:sz w:val="2"/>
                      <w:szCs w:val="2"/>
                    </w:rPr>
                    <w:t>4F</w:t>
                  </w:r>
                  <w:r w:rsidRPr="00F650E2">
                    <w:rPr>
                      <w:rStyle w:val="FootnoteReference"/>
                    </w:rPr>
                    <w:footnoteReference w:id="6"/>
                  </w:r>
                  <w:r>
                    <w:rPr>
                      <w:rFonts w:ascii="Arial" w:eastAsia="Arial" w:hAnsi="Arial" w:cs="Times New Roman"/>
                    </w:rPr>
                    <w:t xml:space="preserve"> grandparent families</w:t>
                  </w:r>
                  <w:r w:rsidR="0039420A">
                    <w:rPr>
                      <w:rFonts w:ascii="Arial" w:eastAsia="Arial" w:hAnsi="Arial" w:cs="Times New Roman"/>
                    </w:rPr>
                    <w:t>,</w:t>
                  </w:r>
                  <w:r w:rsidR="00E055C8">
                    <w:rPr>
                      <w:rFonts w:ascii="ZWAdobeF" w:eastAsia="Arial" w:hAnsi="ZWAdobeF" w:cs="ZWAdobeF"/>
                      <w:sz w:val="2"/>
                      <w:szCs w:val="2"/>
                    </w:rPr>
                    <w:t>5F</w:t>
                  </w:r>
                  <w:r w:rsidRPr="00F650E2">
                    <w:rPr>
                      <w:rStyle w:val="FootnoteReference"/>
                    </w:rPr>
                    <w:footnoteReference w:id="7"/>
                  </w:r>
                  <w:r>
                    <w:rPr>
                      <w:rFonts w:ascii="Arial" w:eastAsia="Arial" w:hAnsi="Arial" w:cs="Times New Roman"/>
                    </w:rPr>
                    <w:t xml:space="preserve"> and multi-generational and extended household families</w:t>
                  </w:r>
                  <w:r w:rsidR="00E055C8">
                    <w:rPr>
                      <w:rFonts w:ascii="ZWAdobeF" w:eastAsia="Arial" w:hAnsi="ZWAdobeF" w:cs="ZWAdobeF"/>
                      <w:sz w:val="2"/>
                      <w:szCs w:val="2"/>
                    </w:rPr>
                    <w:t>6F</w:t>
                  </w:r>
                  <w:r w:rsidRPr="00F650E2">
                    <w:rPr>
                      <w:rStyle w:val="FootnoteReference"/>
                    </w:rPr>
                    <w:footnoteReference w:id="8"/>
                  </w:r>
                  <w:r w:rsidRPr="002A5617">
                    <w:rPr>
                      <w:rFonts w:ascii="Arial" w:eastAsia="Arial" w:hAnsi="Arial" w:cs="Times New Roman"/>
                    </w:rPr>
                    <w:t xml:space="preserve"> </w:t>
                  </w:r>
                  <w:r w:rsidRPr="002A5617">
                    <w:rPr>
                      <w:rFonts w:ascii="Arial" w:eastAsia="Arial" w:hAnsi="Arial" w:cs="Times New Roman"/>
                    </w:rPr>
                    <w:fldChar w:fldCharType="begin"/>
                  </w:r>
                  <w:r w:rsidR="00E41D03">
                    <w:rPr>
                      <w:rFonts w:ascii="Arial" w:eastAsia="Arial" w:hAnsi="Arial" w:cs="Times New Roman"/>
                    </w:rPr>
                    <w:instrText xml:space="preserve"> ADDIN ZOTERO_ITEM CSL_CITATION {"citationID":"2x5xx3Kp","properties":{"formattedCitation":"(Australian Institute of Family Studies, 2023b; Qu, 2020)","plainCitation":"(Australian Institute of Family Studies, 2023b; Qu, 2020)","noteIndex":0},"citationItems":[{"id":4572,"uris":["http://zotero.org/groups/5691188/items/XBXAKAUL"],"itemData":{"id":4572,"type":"document","publisher":"Australian Government","title":"Families and family composition","URL":"https://aifs.gov.au/research/facts-and-figures/families-and-family-composition","author":[{"family":"Australian Institute of Family Studies","given":""}],"accessed":{"date-parts":[["2024",10,7]]},"issued":{"date-parts":[["2023"]]}}},{"id":4695,"uris":["http://zotero.org/groups/5691188/items/CU5GRNQ3"],"itemData":{"id":4695,"type":"report","publisher":"Australian Institute of Family Studies","title":"Australian Families Then and Now: Households and Families","URL":"https://aifs.gov.au/sites/default/files/publication-documents/2007_aftn_households_and_families_0.pdf","author":[{"family":"Qu","given":"Lixia"}],"issued":{"date-parts":[["2020"]]}}}],"schema":"https://github.com/citation-style-language/schema/raw/master/csl-citation.json"} </w:instrText>
                  </w:r>
                  <w:r w:rsidRPr="002A5617">
                    <w:rPr>
                      <w:rFonts w:ascii="Arial" w:eastAsia="Arial" w:hAnsi="Arial" w:cs="Times New Roman"/>
                    </w:rPr>
                    <w:fldChar w:fldCharType="separate"/>
                  </w:r>
                  <w:r w:rsidRPr="00C51009">
                    <w:rPr>
                      <w:rFonts w:ascii="Arial" w:hAnsi="Arial" w:cs="Arial"/>
                    </w:rPr>
                    <w:t>(Australian Institute of Family Studies, 2023b; Qu, 2020)</w:t>
                  </w:r>
                  <w:r w:rsidRPr="002A5617">
                    <w:rPr>
                      <w:rFonts w:ascii="Arial" w:eastAsia="Arial" w:hAnsi="Arial" w:cs="Times New Roman"/>
                    </w:rPr>
                    <w:fldChar w:fldCharType="end"/>
                  </w:r>
                  <w:r w:rsidRPr="002A5617">
                    <w:rPr>
                      <w:rFonts w:ascii="Arial" w:eastAsia="Arial" w:hAnsi="Arial" w:cs="Times New Roman"/>
                    </w:rPr>
                    <w:t xml:space="preserve">. </w:t>
                  </w:r>
                  <w:r w:rsidR="00C971FA">
                    <w:t>T</w:t>
                  </w:r>
                  <w:r w:rsidRPr="005C3CA9">
                    <w:t>he proportion of single-parent families</w:t>
                  </w:r>
                  <w:r w:rsidR="00C971FA">
                    <w:t xml:space="preserve"> has been relatively stable in recent years</w:t>
                  </w:r>
                  <w:r w:rsidRPr="005C3CA9">
                    <w:t xml:space="preserve">. Single parent families </w:t>
                  </w:r>
                  <w:r w:rsidR="00B409F7">
                    <w:t>made up less than 9%</w:t>
                  </w:r>
                  <w:r w:rsidRPr="005C3CA9">
                    <w:t xml:space="preserve"> of all families in 1981 and 1991 and increased to 11% in 2001, but have remained at a similar level since then </w:t>
                  </w:r>
                  <w:r w:rsidRPr="005C3CA9">
                    <w:fldChar w:fldCharType="begin"/>
                  </w:r>
                  <w:r w:rsidR="00E41D03">
                    <w:instrText xml:space="preserve"> ADDIN ZOTERO_ITEM CSL_CITATION {"citationID":"gCii0Sul","properties":{"formattedCitation":"(Australian Institute of Family Studies, 2023a, 2023b)","plainCitation":"(Australian Institute of Family Studies, 2023a, 2023b)","noteIndex":0},"citationItems":[{"id":4571,"uris":["http://zotero.org/groups/5691188/items/9P426IRG"],"itemData":{"id":4571,"type":"document","publisher":"Australian Government","title":"Population, households and families","URL":"https://aifs.gov.au/research/facts-and-figures/population-households-and-families","author":[{"family":"Australian Institute of Family Studies","given":""}],"accessed":{"date-parts":[["2024",10,7]]},"issued":{"date-parts":[["2023"]]}}},{"id":4572,"uris":["http://zotero.org/groups/5691188/items/XBXAKAUL"],"itemData":{"id":4572,"type":"document","publisher":"Australian Government","title":"Families and family composition","URL":"https://aifs.gov.au/research/facts-and-figures/families-and-family-composition","author":[{"family":"Australian Institute of Family Studies","given":""}],"accessed":{"date-parts":[["2024",10,7]]},"issued":{"date-parts":[["2023"]]}}}],"schema":"https://github.com/citation-style-language/schema/raw/master/csl-citation.json"} </w:instrText>
                  </w:r>
                  <w:r w:rsidRPr="005C3CA9">
                    <w:fldChar w:fldCharType="separate"/>
                  </w:r>
                  <w:r w:rsidRPr="009754CF">
                    <w:rPr>
                      <w:rFonts w:ascii="Arial" w:hAnsi="Arial" w:cs="Arial"/>
                    </w:rPr>
                    <w:t>(Australian Institute of Family Studies, 2023a, 2023b)</w:t>
                  </w:r>
                  <w:r w:rsidRPr="005C3CA9">
                    <w:fldChar w:fldCharType="end"/>
                  </w:r>
                  <w:r w:rsidRPr="005C3CA9">
                    <w:t xml:space="preserve">. While the proportion of </w:t>
                  </w:r>
                  <w:r w:rsidR="0032014A">
                    <w:t xml:space="preserve">male single </w:t>
                  </w:r>
                  <w:r w:rsidRPr="005C3CA9">
                    <w:t>parent</w:t>
                  </w:r>
                  <w:r w:rsidR="0032014A">
                    <w:t>s</w:t>
                  </w:r>
                  <w:r w:rsidRPr="005C3CA9">
                    <w:t xml:space="preserve"> has increased slightly in recent years, 82% of </w:t>
                  </w:r>
                  <w:r w:rsidR="00CD6A47">
                    <w:t xml:space="preserve">single parents are women </w:t>
                  </w:r>
                  <w:r w:rsidRPr="005C3CA9">
                    <w:fldChar w:fldCharType="begin"/>
                  </w:r>
                  <w:r w:rsidR="00E41D03">
                    <w:instrText xml:space="preserve"> ADDIN ZOTERO_ITEM CSL_CITATION {"citationID":"op6Zxz00","properties":{"formattedCitation":"(Australian Institute of Family Studies, 2023b; Naidoo et al., 2024)","plainCitation":"(Australian Institute of Family Studies, 2023b; Naidoo et al., 2024)","noteIndex":0},"citationItems":[{"id":4572,"uris":["http://zotero.org/groups/5691188/items/XBXAKAUL"],"itemData":{"id":4572,"type":"document","publisher":"Australian Government","title":"Families and family composition","URL":"https://aifs.gov.au/research/facts-and-figures/families-and-family-composition","author":[{"family":"Australian Institute of Family Studies","given":""}],"accessed":{"date-parts":[["2024",10,7]]},"issued":{"date-parts":[["2023"]]}}},{"id":4693,"uris":["http://zotero.org/groups/5691188/items/38T8ACF5"],"itemData":{"id":4693,"type":"report","publisher":"UNSW Social Policy Research Centre and Uniting NSW.ACT","title":"Uniting Families Report","author":[{"family":"Naidoo","given":"Y"},{"family":"Blaxland","given":"M"},{"family":"Wong","given":"M"},{"family":"Katz","given":"I"}],"issued":{"date-parts":[["2024"]]}}}],"schema":"https://github.com/citation-style-language/schema/raw/master/csl-citation.json"} </w:instrText>
                  </w:r>
                  <w:r w:rsidRPr="005C3CA9">
                    <w:fldChar w:fldCharType="separate"/>
                  </w:r>
                  <w:r w:rsidRPr="00DF62E8">
                    <w:rPr>
                      <w:rFonts w:ascii="Arial" w:hAnsi="Arial" w:cs="Arial"/>
                    </w:rPr>
                    <w:t>(Australian Institute of Family Studies, 2023b; Naidoo et al., 2024)</w:t>
                  </w:r>
                  <w:r w:rsidRPr="005C3CA9">
                    <w:fldChar w:fldCharType="end"/>
                  </w:r>
                  <w:r w:rsidRPr="005C3CA9">
                    <w:t xml:space="preserve">. </w:t>
                  </w:r>
                  <w:r>
                    <w:rPr>
                      <w:rFonts w:ascii="Arial" w:eastAsia="Arial" w:hAnsi="Arial" w:cs="Times New Roman"/>
                    </w:rPr>
                    <w:t xml:space="preserve">In families with dependent children (both couple- and single-parent families), the number of children per family has remained relatively stable over the past decade with </w:t>
                  </w:r>
                  <w:r w:rsidR="00570098">
                    <w:rPr>
                      <w:rFonts w:ascii="Arial" w:eastAsia="Arial" w:hAnsi="Arial" w:cs="Times New Roman"/>
                    </w:rPr>
                    <w:t>2</w:t>
                  </w:r>
                  <w:r>
                    <w:rPr>
                      <w:rFonts w:ascii="Arial" w:eastAsia="Arial" w:hAnsi="Arial" w:cs="Times New Roman"/>
                    </w:rPr>
                    <w:t xml:space="preserve"> children as the most common family size overall </w:t>
                  </w:r>
                  <w:r w:rsidRPr="002A5617">
                    <w:rPr>
                      <w:rFonts w:ascii="Arial" w:eastAsia="Arial" w:hAnsi="Arial" w:cs="Times New Roman"/>
                    </w:rPr>
                    <w:fldChar w:fldCharType="begin"/>
                  </w:r>
                  <w:r w:rsidR="00E41D03">
                    <w:rPr>
                      <w:rFonts w:ascii="Arial" w:eastAsia="Arial" w:hAnsi="Arial" w:cs="Times New Roman"/>
                    </w:rPr>
                    <w:instrText xml:space="preserve"> ADDIN ZOTERO_ITEM CSL_CITATION {"citationID":"xB38703A","properties":{"formattedCitation":"(Australian Institute of Family Studies, 2023b)","plainCitation":"(Australian Institute of Family Studies, 2023b)","noteIndex":0},"citationItems":[{"id":4572,"uris":["http://zotero.org/groups/5691188/items/XBXAKAUL"],"itemData":{"id":4572,"type":"document","publisher":"Australian Government","title":"Families and family composition","URL":"https://aifs.gov.au/research/facts-and-figures/families-and-family-composition","author":[{"family":"Australian Institute of Family Studies","given":""}],"accessed":{"date-parts":[["2024",10,7]]},"issued":{"date-parts":[["2023"]]}}}],"schema":"https://github.com/citation-style-language/schema/raw/master/csl-citation.json"} </w:instrText>
                  </w:r>
                  <w:r w:rsidRPr="002A5617">
                    <w:rPr>
                      <w:rFonts w:ascii="Arial" w:eastAsia="Arial" w:hAnsi="Arial" w:cs="Times New Roman"/>
                    </w:rPr>
                    <w:fldChar w:fldCharType="separate"/>
                  </w:r>
                  <w:r w:rsidR="00AC138C" w:rsidRPr="00AC138C">
                    <w:rPr>
                      <w:rFonts w:ascii="Arial" w:hAnsi="Arial" w:cs="Arial"/>
                    </w:rPr>
                    <w:t>(Australian Institute of Family Studies, 2023b)</w:t>
                  </w:r>
                  <w:r w:rsidRPr="002A5617">
                    <w:rPr>
                      <w:rFonts w:ascii="Arial" w:eastAsia="Arial" w:hAnsi="Arial" w:cs="Times New Roman"/>
                    </w:rPr>
                    <w:fldChar w:fldCharType="end"/>
                  </w:r>
                  <w:r w:rsidRPr="002A5617">
                    <w:rPr>
                      <w:rFonts w:ascii="Arial" w:eastAsia="Arial" w:hAnsi="Arial" w:cs="Times New Roman"/>
                    </w:rPr>
                    <w:t>.</w:t>
                  </w:r>
                  <w:r>
                    <w:rPr>
                      <w:rFonts w:ascii="Arial" w:eastAsia="Arial" w:hAnsi="Arial" w:cs="Times New Roman"/>
                    </w:rPr>
                    <w:t xml:space="preserve"> </w:t>
                  </w:r>
                </w:p>
                <w:p w14:paraId="32F30136" w14:textId="591CB8FC" w:rsidR="00DC15FD" w:rsidRDefault="00DC15FD">
                  <w:pPr>
                    <w:rPr>
                      <w:rFonts w:ascii="Arial" w:hAnsi="Arial"/>
                      <w:b/>
                      <w:color w:val="007E00" w:themeColor="accent3"/>
                      <w:kern w:val="28"/>
                      <w:sz w:val="36"/>
                      <w:szCs w:val="36"/>
                      <w:lang w:val="en-US"/>
                    </w:rPr>
                  </w:pPr>
                </w:p>
                <w:p w14:paraId="5A058964" w14:textId="77777777" w:rsidR="006223B7" w:rsidRPr="006223B7" w:rsidRDefault="006223B7" w:rsidP="006223B7">
                  <w:pPr>
                    <w:pStyle w:val="ListParagraph"/>
                    <w:keepNext/>
                    <w:numPr>
                      <w:ilvl w:val="1"/>
                      <w:numId w:val="20"/>
                    </w:numPr>
                    <w:spacing w:before="360" w:after="120" w:line="274" w:lineRule="auto"/>
                    <w:contextualSpacing w:val="0"/>
                    <w:outlineLvl w:val="2"/>
                    <w:rPr>
                      <w:rFonts w:ascii="Arial" w:hAnsi="Arial"/>
                      <w:b/>
                      <w:vanish/>
                      <w:color w:val="007E00" w:themeColor="accent3"/>
                      <w:kern w:val="28"/>
                      <w:sz w:val="36"/>
                      <w:szCs w:val="32"/>
                      <w:lang w:val="en-US"/>
                    </w:rPr>
                  </w:pPr>
                </w:p>
                <w:p w14:paraId="13C1B7A8" w14:textId="77777777" w:rsidR="006223B7" w:rsidRPr="006223B7" w:rsidRDefault="006223B7" w:rsidP="006223B7">
                  <w:pPr>
                    <w:pStyle w:val="ListParagraph"/>
                    <w:keepNext/>
                    <w:numPr>
                      <w:ilvl w:val="1"/>
                      <w:numId w:val="20"/>
                    </w:numPr>
                    <w:spacing w:before="360" w:after="120" w:line="274" w:lineRule="auto"/>
                    <w:contextualSpacing w:val="0"/>
                    <w:outlineLvl w:val="2"/>
                    <w:rPr>
                      <w:rFonts w:ascii="Arial" w:hAnsi="Arial"/>
                      <w:b/>
                      <w:vanish/>
                      <w:color w:val="007E00" w:themeColor="accent3"/>
                      <w:kern w:val="28"/>
                      <w:sz w:val="36"/>
                      <w:szCs w:val="32"/>
                      <w:lang w:val="en-US"/>
                    </w:rPr>
                  </w:pPr>
                </w:p>
                <w:p w14:paraId="08F57158" w14:textId="2174AA9B" w:rsidR="00342554" w:rsidRPr="00291B66" w:rsidRDefault="00342554" w:rsidP="006223B7">
                  <w:pPr>
                    <w:pStyle w:val="Heading3"/>
                  </w:pPr>
                  <w:r>
                    <w:t xml:space="preserve">Families are more diverse </w:t>
                  </w:r>
                </w:p>
                <w:p w14:paraId="1A2EDA77" w14:textId="75B3E2DE" w:rsidR="000E2A81" w:rsidRDefault="00342554" w:rsidP="00342554">
                  <w:pPr>
                    <w:pStyle w:val="Text"/>
                    <w:rPr>
                      <w:rFonts w:ascii="Arial" w:eastAsia="Arial" w:hAnsi="Arial" w:cs="Times New Roman"/>
                    </w:rPr>
                  </w:pPr>
                  <w:r w:rsidRPr="009D4697">
                    <w:rPr>
                      <w:rFonts w:ascii="Arial" w:eastAsia="Arial" w:hAnsi="Arial" w:cs="Times New Roman"/>
                    </w:rPr>
                    <w:t>Families have become more diverse over time, with increasing proportions of Aboriginal and/or Torres Strait Islander and immigrant households, and same-sex couples</w:t>
                  </w:r>
                  <w:r w:rsidRPr="00D95C5F">
                    <w:rPr>
                      <w:rFonts w:ascii="Arial" w:eastAsia="Arial" w:hAnsi="Arial" w:cs="Times New Roman"/>
                    </w:rPr>
                    <w:t xml:space="preserve"> </w:t>
                  </w:r>
                  <w:r w:rsidRPr="00D95C5F">
                    <w:rPr>
                      <w:rFonts w:ascii="Arial" w:eastAsia="Arial" w:hAnsi="Arial" w:cs="Times New Roman"/>
                    </w:rPr>
                    <w:fldChar w:fldCharType="begin"/>
                  </w:r>
                  <w:r w:rsidR="00E41D03">
                    <w:rPr>
                      <w:rFonts w:ascii="Arial" w:eastAsia="Arial" w:hAnsi="Arial" w:cs="Times New Roman"/>
                    </w:rPr>
                    <w:instrText xml:space="preserve"> ADDIN ZOTERO_ITEM CSL_CITATION {"citationID":"a1ch9b1ms5m","properties":{"formattedCitation":"\\uldash{(Australian Institute of Family Studies, 2023a, 2023b; Naidoo et al., 2024; Qu, 2020)}","plainCitation":"(Australian Institute of Family Studies, 2023a, 2023b; Naidoo et al., 2024; Qu, 2020)","dontUpdate":true,"noteIndex":0},"citationItems":[{"id":4571,"uris":["http://zotero.org/groups/5691188/items/9P426IRG"],"itemData":{"id":4571,"type":"document","publisher":"Australian Government","title":"Population, households and families","URL":"https://aifs.gov.au/research/facts-and-figures/population-households-and-families","author":[{"family":"Australian Institute of Family Studies","given":""}],"accessed":{"date-parts":[["2024",10,7]]},"issued":{"date-parts":[["2023"]]}}},{"id":4572,"uris":["http://zotero.org/groups/5691188/items/XBXAKAUL"],"itemData":{"id":4572,"type":"document","publisher":"Australian Government","title":"Families and family composition","URL":"https://aifs.gov.au/research/facts-and-figures/families-and-family-composition","author":[{"family":"Australian Institute of Family Studies","given":""}],"accessed":{"date-parts":[["2024",10,7]]},"issued":{"date-parts":[["2023"]]}}},{"id":4693,"uris":["http://zotero.org/groups/5691188/items/38T8ACF5"],"itemData":{"id":4693,"type":"report","publisher":"UNSW Social Policy Research Centre and Uniting NSW.ACT","title":"Uniting Families Report","author":[{"family":"Naidoo","given":"Y"},{"family":"Blaxland","given":"M"},{"family":"Wong","given":"M"},{"family":"Katz","given":"I"}],"issued":{"date-parts":[["2024"]]}}},{"id":4695,"uris":["http://zotero.org/groups/5691188/items/CU5GRNQ3"],"itemData":{"id":4695,"type":"report","publisher":"Australian Institute of Family Studies","title":"Australian Families Then and Now: Households and Families","URL":"https://aifs.gov.au/sites/default/files/publication-documents/2007_aftn_households_and_families_0.pdf","author":[{"family":"Qu","given":"Lixia"}],"issued":{"date-parts":[["2020"]]}}}],"schema":"https://github.com/citation-style-language/schema/raw/master/csl-citation.json"} </w:instrText>
                  </w:r>
                  <w:r w:rsidRPr="00D95C5F">
                    <w:rPr>
                      <w:rFonts w:ascii="Arial" w:eastAsia="Arial" w:hAnsi="Arial" w:cs="Times New Roman"/>
                    </w:rPr>
                    <w:fldChar w:fldCharType="separate"/>
                  </w:r>
                  <w:r w:rsidRPr="00D95C5F">
                    <w:rPr>
                      <w:rFonts w:ascii="Arial" w:hAnsi="Arial" w:cs="Arial"/>
                    </w:rPr>
                    <w:t>(Australian Institute of Family Studies, 2023a, 2023b; Qu, 2020)</w:t>
                  </w:r>
                  <w:r w:rsidRPr="00D95C5F">
                    <w:rPr>
                      <w:rFonts w:ascii="Arial" w:eastAsia="Arial" w:hAnsi="Arial" w:cs="Times New Roman"/>
                    </w:rPr>
                    <w:fldChar w:fldCharType="end"/>
                  </w:r>
                  <w:r w:rsidR="001646B0">
                    <w:rPr>
                      <w:rFonts w:ascii="Arial" w:eastAsia="Arial" w:hAnsi="Arial" w:cs="Times New Roman"/>
                    </w:rPr>
                    <w:t>. There is</w:t>
                  </w:r>
                  <w:r>
                    <w:rPr>
                      <w:rFonts w:ascii="Arial" w:eastAsia="Arial" w:hAnsi="Arial" w:cs="Times New Roman"/>
                    </w:rPr>
                    <w:t xml:space="preserve"> significant </w:t>
                  </w:r>
                  <w:r w:rsidR="00FF651C" w:rsidRPr="00FF651C">
                    <w:rPr>
                      <w:rFonts w:ascii="Arial" w:eastAsia="Arial" w:hAnsi="Arial" w:cs="Times New Roman"/>
                    </w:rPr>
                    <w:t>variation in family structures across different cultural backgrounds</w:t>
                  </w:r>
                  <w:r w:rsidR="00FA23C8">
                    <w:rPr>
                      <w:rFonts w:ascii="Arial" w:eastAsia="Arial" w:hAnsi="Arial" w:cs="Times New Roman"/>
                    </w:rPr>
                    <w:t xml:space="preserve"> </w:t>
                  </w:r>
                  <w:r w:rsidRPr="002A5617">
                    <w:rPr>
                      <w:rFonts w:ascii="Arial" w:eastAsia="Arial" w:hAnsi="Arial" w:cs="Times New Roman"/>
                    </w:rPr>
                    <w:fldChar w:fldCharType="begin"/>
                  </w:r>
                  <w:r w:rsidR="00E41D03">
                    <w:rPr>
                      <w:rFonts w:ascii="Arial" w:eastAsia="Arial" w:hAnsi="Arial" w:cs="Times New Roman"/>
                    </w:rPr>
                    <w:instrText xml:space="preserve"> ADDIN ZOTERO_ITEM CSL_CITATION {"citationID":"j5LowwZw","properties":{"formattedCitation":"(Naidoo et al., 2024)","plainCitation":"(Naidoo et al., 2024)","noteIndex":0},"citationItems":[{"id":4693,"uris":["http://zotero.org/groups/5691188/items/38T8ACF5"],"itemData":{"id":4693,"type":"report","publisher":"UNSW Social Policy Research Centre and Uniting NSW.ACT","title":"Uniting Families Report","author":[{"family":"Naidoo","given":"Y"},{"family":"Blaxland","given":"M"},{"family":"Wong","given":"M"},{"family":"Katz","given":"I"}],"issued":{"date-parts":[["2024"]]}}}],"schema":"https://github.com/citation-style-language/schema/raw/master/csl-citation.json"} </w:instrText>
                  </w:r>
                  <w:r w:rsidRPr="002A5617">
                    <w:rPr>
                      <w:rFonts w:ascii="Arial" w:eastAsia="Arial" w:hAnsi="Arial" w:cs="Times New Roman"/>
                    </w:rPr>
                    <w:fldChar w:fldCharType="separate"/>
                  </w:r>
                  <w:r w:rsidRPr="002A5617">
                    <w:rPr>
                      <w:rFonts w:ascii="Arial" w:eastAsia="Arial" w:hAnsi="Arial" w:cs="Times New Roman"/>
                    </w:rPr>
                    <w:t>(Naidoo et al., 2024)</w:t>
                  </w:r>
                  <w:r w:rsidRPr="002A5617">
                    <w:rPr>
                      <w:rFonts w:ascii="Arial" w:eastAsia="Arial" w:hAnsi="Arial" w:cs="Times New Roman"/>
                    </w:rPr>
                    <w:fldChar w:fldCharType="end"/>
                  </w:r>
                  <w:r>
                    <w:rPr>
                      <w:rFonts w:ascii="Arial" w:eastAsia="Arial" w:hAnsi="Arial" w:cs="Times New Roman"/>
                    </w:rPr>
                    <w:t xml:space="preserve">. </w:t>
                  </w:r>
                </w:p>
                <w:p w14:paraId="5E3DE4F7" w14:textId="28A5CD4D" w:rsidR="000E2A81" w:rsidRDefault="000E2A81" w:rsidP="000E2A81">
                  <w:pPr>
                    <w:pStyle w:val="Text"/>
                  </w:pPr>
                  <w:r>
                    <w:t>A</w:t>
                  </w:r>
                  <w:r w:rsidRPr="00EE0D64">
                    <w:t xml:space="preserve"> scoping review of research on family structure and wellbeing by Jensen &amp; Sanner </w:t>
                  </w:r>
                  <w:r>
                    <w:fldChar w:fldCharType="begin"/>
                  </w:r>
                  <w:r w:rsidR="00E41D03">
                    <w:instrText xml:space="preserve"> ADDIN ZOTERO_ITEM CSL_CITATION {"citationID":"auacVBzT","properties":{"formattedCitation":"(2021)","plainCitation":"(2021)","noteIndex":0},"citationItems":[{"id":4740,"uris":["http://zotero.org/groups/5691188/items/R274TD7V"],"itemData":{"id":4740,"type":"article-journal","abstract":"In the United States and across the globe, demographic trends have coalesced to produce an increasingly diverse set of family structures, fueling international interest in exploring diverse family structures as key developmental contexts for adults and children. Given the persistence of research focused on well-being differences across family structures, and in order to move this research into the future productively, it is critical to rigorously chart and evaluate how this research is being conducted. In this scoping review, we evaluate 283 studies that examined associations between family structure and well-being. We reflect on dominant methodological trends across four primary domains: (a) approaches to measuring family structure, (b) approaches to analyzing associations between family structure and well-being, (c) the application of theory, and (d) conceptualizations of well-being. In evaluating observable trends, we offer recommendations for rethinking where we can (and perhaps should) go next to better understand and support contemporary families.","container-title":"Journal of Family Theory &amp; Review","DOI":"10.1111/jftr.12437","ISSN":"1756-2570, 1756-2589","issue":"4","journalAbbreviation":"J of Family Theo &amp;amp; Revie","language":"en","page":"463-495","source":"DOI.org (Crossref)","title":"A scoping review of research on well</w:instrText>
                  </w:r>
                  <w:r w:rsidR="00E41D03">
                    <w:rPr>
                      <w:rFonts w:ascii="Cambria Math" w:hAnsi="Cambria Math" w:cs="Cambria Math"/>
                    </w:rPr>
                    <w:instrText>‐</w:instrText>
                  </w:r>
                  <w:r w:rsidR="00E41D03">
                    <w:instrText>being across diverse family structures: Rethinking approaches for understanding contemporary families","title-short":"A scoping review of research on well</w:instrText>
                  </w:r>
                  <w:r w:rsidR="00E41D03">
                    <w:rPr>
                      <w:rFonts w:ascii="Cambria Math" w:hAnsi="Cambria Math" w:cs="Cambria Math"/>
                    </w:rPr>
                    <w:instrText>‐</w:instrText>
                  </w:r>
                  <w:r w:rsidR="00E41D03">
                    <w:instrText xml:space="preserve">being across diverse family structures","volume":"13","author":[{"family":"Jensen","given":"Todd M."},{"family":"Sanner","given":"Caroline"}],"issued":{"date-parts":[["2021",12]]}},"suppress-author":true}],"schema":"https://github.com/citation-style-language/schema/raw/master/csl-citation.json"} </w:instrText>
                  </w:r>
                  <w:r>
                    <w:fldChar w:fldCharType="separate"/>
                  </w:r>
                  <w:r w:rsidRPr="00480178">
                    <w:rPr>
                      <w:rFonts w:ascii="Arial" w:hAnsi="Arial" w:cs="Arial"/>
                    </w:rPr>
                    <w:t>(2021)</w:t>
                  </w:r>
                  <w:r>
                    <w:fldChar w:fldCharType="end"/>
                  </w:r>
                  <w:r w:rsidRPr="00EE0D64">
                    <w:t xml:space="preserve"> found that overwhelmingly, family structure appears to be defined by parents’ marital status</w:t>
                  </w:r>
                  <w:r>
                    <w:t xml:space="preserve"> and that</w:t>
                  </w:r>
                  <w:r w:rsidRPr="00EE0D64">
                    <w:t xml:space="preserve"> researchers often </w:t>
                  </w:r>
                  <w:r>
                    <w:t>refer</w:t>
                  </w:r>
                  <w:r w:rsidRPr="00EE0D64">
                    <w:t xml:space="preserve"> to two-married-biological-parent families, single-parent families, and stepfamilies when they use this term</w:t>
                  </w:r>
                  <w:r w:rsidR="00B351F9">
                    <w:t>.</w:t>
                  </w:r>
                  <w:r>
                    <w:t xml:space="preserve"> </w:t>
                  </w:r>
                  <w:r w:rsidR="00B351F9">
                    <w:t>H</w:t>
                  </w:r>
                  <w:r>
                    <w:t>owever</w:t>
                  </w:r>
                  <w:r w:rsidR="00B351F9">
                    <w:t>,</w:t>
                  </w:r>
                  <w:r w:rsidRPr="00EE0D64">
                    <w:t xml:space="preserve"> many other family forms exist</w:t>
                  </w:r>
                  <w:r>
                    <w:t>.</w:t>
                  </w:r>
                  <w:r w:rsidRPr="00EE0D64">
                    <w:t xml:space="preserve"> </w:t>
                  </w:r>
                  <w:r>
                    <w:t xml:space="preserve">Whilst legal ties or obligations and blood/genetics remain important elements in family composition and definition, individual experiences and understandings of family can be very different from that outlined in legislation or research </w:t>
                  </w:r>
                  <w:r>
                    <w:fldChar w:fldCharType="begin"/>
                  </w:r>
                  <w:r w:rsidR="00E41D03">
                    <w:instrText xml:space="preserve"> ADDIN ZOTERO_ITEM CSL_CITATION {"citationID":"E5ISoxlg","properties":{"formattedCitation":"(Budinski and Gahan, 2023; Jensen and Sanner, 2021)","plainCitation":"(Budinski and Gahan, 2023; Jensen and Sanner, 2021)","noteIndex":0},"citationItems":[{"id":4683,"uris":["http://zotero.org/groups/5691188/items/KVLIBRNG"],"itemData":{"id":4683,"type":"report","language":"en","publisher":"Australian Institute of Family Studies","source":"Zotero","title":"What is family?: Australian views on what makes a","author":[{"family":"Budinski","given":"Mikayla"},{"family":"Gahan","given":"Luke"}],"issued":{"date-parts":[["2023"]]}}},{"id":4740,"uris":["http://zotero.org/groups/5691188/items/R274TD7V"],"itemData":{"id":4740,"type":"article-journal","abstract":"In the United States and across the globe, demographic trends have coalesced to produce an increasingly diverse set of family structures, fueling international interest in exploring diverse family structures as key developmental contexts for adults and children. Given the persistence of research focused on well-being differences across family structures, and in order to move this research into the future productively, it is critical to rigorously chart and evaluate how this research is being conducted. In this scoping review, we evaluate 283 studies that examined associations between family structure and well-being. We reflect on dominant methodological trends across four primary domains: (a) approaches to measuring family structure, (b) approaches to analyzing associations between family structure and well-being, (c) the application of theory, and (d) conceptualizations of well-being. In evaluating observable trends, we offer recommendations for rethinking where we can (and perhaps should) go next to better understand and support contemporary families.","container-title":"Journal of Family Theory &amp; Review","DOI":"10.1111/jftr.12437","ISSN":"1756-2570, 1756-2589","issue":"4","journalAbbreviation":"J of Family Theo &amp;amp; Revie","language":"en","page":"463-495","source":"DOI.org (Crossref)","title":"A scoping review of research on well</w:instrText>
                  </w:r>
                  <w:r w:rsidR="00E41D03">
                    <w:rPr>
                      <w:rFonts w:ascii="Cambria Math" w:hAnsi="Cambria Math" w:cs="Cambria Math"/>
                    </w:rPr>
                    <w:instrText>‐</w:instrText>
                  </w:r>
                  <w:r w:rsidR="00E41D03">
                    <w:instrText>being across diverse family structures: Rethinking approaches for understanding contemporary families","title-short":"A scoping review of research on well</w:instrText>
                  </w:r>
                  <w:r w:rsidR="00E41D03">
                    <w:rPr>
                      <w:rFonts w:ascii="Cambria Math" w:hAnsi="Cambria Math" w:cs="Cambria Math"/>
                    </w:rPr>
                    <w:instrText>‐</w:instrText>
                  </w:r>
                  <w:r w:rsidR="00E41D03">
                    <w:instrText xml:space="preserve">being across diverse family structures","volume":"13","author":[{"family":"Jensen","given":"Todd M."},{"family":"Sanner","given":"Caroline"}],"issued":{"date-parts":[["2021",12]]}}}],"schema":"https://github.com/citation-style-language/schema/raw/master/csl-citation.json"} </w:instrText>
                  </w:r>
                  <w:r>
                    <w:fldChar w:fldCharType="separate"/>
                  </w:r>
                  <w:r>
                    <w:rPr>
                      <w:rFonts w:ascii="Arial" w:hAnsi="Arial" w:cs="Arial"/>
                    </w:rPr>
                    <w:t>(Budinski and Gahan, 2023; Jensen and Sanner, 2021)</w:t>
                  </w:r>
                  <w:r>
                    <w:fldChar w:fldCharType="end"/>
                  </w:r>
                  <w:r>
                    <w:t xml:space="preserve">. </w:t>
                  </w:r>
                  <w:r w:rsidRPr="002D74F1">
                    <w:t>Jensen &amp; Sanner</w:t>
                  </w:r>
                  <w:r>
                    <w:t xml:space="preserve"> </w:t>
                  </w:r>
                  <w:r>
                    <w:fldChar w:fldCharType="begin"/>
                  </w:r>
                  <w:r w:rsidR="00E41D03">
                    <w:instrText xml:space="preserve"> ADDIN ZOTERO_ITEM CSL_CITATION {"citationID":"HA8ESDyG","properties":{"formattedCitation":"(2021)","plainCitation":"(2021)","noteIndex":0},"citationItems":[{"id":4740,"uris":["http://zotero.org/groups/5691188/items/R274TD7V"],"itemData":{"id":4740,"type":"article-journal","abstract":"In the United States and across the globe, demographic trends have coalesced to produce an increasingly diverse set of family structures, fueling international interest in exploring diverse family structures as key developmental contexts for adults and children. Given the persistence of research focused on well-being differences across family structures, and in order to move this research into the future productively, it is critical to rigorously chart and evaluate how this research is being conducted. In this scoping review, we evaluate 283 studies that examined associations between family structure and well-being. We reflect on dominant methodological trends across four primary domains: (a) approaches to measuring family structure, (b) approaches to analyzing associations between family structure and well-being, (c) the application of theory, and (d) conceptualizations of well-being. In evaluating observable trends, we offer recommendations for rethinking where we can (and perhaps should) go next to better understand and support contemporary families.","container-title":"Journal of Family Theory &amp; Review","DOI":"10.1111/jftr.12437","ISSN":"1756-2570, 1756-2589","issue":"4","journalAbbreviation":"J of Family Theo &amp;amp; Revie","language":"en","page":"463-495","source":"DOI.org (Crossref)","title":"A scoping review of research on well</w:instrText>
                  </w:r>
                  <w:r w:rsidR="00E41D03">
                    <w:rPr>
                      <w:rFonts w:ascii="Cambria Math" w:hAnsi="Cambria Math" w:cs="Cambria Math"/>
                    </w:rPr>
                    <w:instrText>‐</w:instrText>
                  </w:r>
                  <w:r w:rsidR="00E41D03">
                    <w:instrText>being across diverse family structures: Rethinking approaches for understanding contemporary families","title-short":"A scoping review of research on well</w:instrText>
                  </w:r>
                  <w:r w:rsidR="00E41D03">
                    <w:rPr>
                      <w:rFonts w:ascii="Cambria Math" w:hAnsi="Cambria Math" w:cs="Cambria Math"/>
                    </w:rPr>
                    <w:instrText>‐</w:instrText>
                  </w:r>
                  <w:r w:rsidR="00E41D03">
                    <w:instrText xml:space="preserve">being across diverse family structures","volume":"13","author":[{"family":"Jensen","given":"Todd M."},{"family":"Sanner","given":"Caroline"}],"issued":{"date-parts":[["2021",12]]}},"suppress-author":true}],"schema":"https://github.com/citation-style-language/schema/raw/master/csl-citation.json"} </w:instrText>
                  </w:r>
                  <w:r>
                    <w:fldChar w:fldCharType="separate"/>
                  </w:r>
                  <w:r w:rsidRPr="00480178">
                    <w:rPr>
                      <w:rFonts w:ascii="Arial" w:hAnsi="Arial" w:cs="Arial"/>
                    </w:rPr>
                    <w:t>(2021)</w:t>
                  </w:r>
                  <w:r>
                    <w:fldChar w:fldCharType="end"/>
                  </w:r>
                  <w:r w:rsidRPr="002D74F1">
                    <w:t xml:space="preserve"> caution that conceptuali</w:t>
                  </w:r>
                  <w:r>
                    <w:t>s</w:t>
                  </w:r>
                  <w:r w:rsidRPr="002D74F1">
                    <w:t>ations of family structure that centre the role of marriage in describing family reinforce Eurocentric definitions of kin, and observe that white European settlers and their descendants have historically held more narrow definitions of family based on marriage and biological ties than many historically oppressed groups</w:t>
                  </w:r>
                  <w:r>
                    <w:t>.</w:t>
                  </w:r>
                  <w:r w:rsidRPr="002D74F1">
                    <w:t xml:space="preserve"> In a similar vein, both Budinski &amp; Gahan </w:t>
                  </w:r>
                  <w:r w:rsidRPr="002D74F1">
                    <w:fldChar w:fldCharType="begin"/>
                  </w:r>
                  <w:r w:rsidR="00E41D03">
                    <w:instrText xml:space="preserve"> ADDIN ZOTERO_ITEM CSL_CITATION {"citationID":"VbgsI8Ul","properties":{"formattedCitation":"(Budinski and Gahan, 2023)","plainCitation":"(Budinski and Gahan, 2023)","noteIndex":0},"citationItems":[{"id":4683,"uris":["http://zotero.org/groups/5691188/items/KVLIBRNG"],"itemData":{"id":4683,"type":"report","language":"en","publisher":"Australian Institute of Family Studies","source":"Zotero","title":"What is family?: Australian views on what makes a","author":[{"family":"Budinski","given":"Mikayla"},{"family":"Gahan","given":"Luke"}],"issued":{"date-parts":[["2023"]]}}}],"schema":"https://github.com/citation-style-language/schema/raw/master/csl-citation.json"} </w:instrText>
                  </w:r>
                  <w:r w:rsidRPr="002D74F1">
                    <w:fldChar w:fldCharType="separate"/>
                  </w:r>
                  <w:r w:rsidRPr="002D74F1">
                    <w:t>(Budinski and Gahan, 2023)</w:t>
                  </w:r>
                  <w:r w:rsidRPr="002D74F1">
                    <w:fldChar w:fldCharType="end"/>
                  </w:r>
                  <w:r w:rsidRPr="002D74F1">
                    <w:t xml:space="preserve">, and Naidoo et al. </w:t>
                  </w:r>
                  <w:r w:rsidRPr="002D74F1">
                    <w:fldChar w:fldCharType="begin"/>
                  </w:r>
                  <w:r w:rsidR="00E41D03">
                    <w:instrText xml:space="preserve"> ADDIN ZOTERO_ITEM CSL_CITATION {"citationID":"V0Aw3ERd","properties":{"formattedCitation":"(2024)","plainCitation":"(2024)","noteIndex":0},"citationItems":[{"id":4693,"uris":["http://zotero.org/groups/5691188/items/38T8ACF5"],"itemData":{"id":4693,"type":"report","publisher":"UNSW Social Policy Research Centre and Uniting NSW.ACT","title":"Uniting Families Report","author":[{"family":"Naidoo","given":"Y"},{"family":"Blaxland","given":"M"},{"family":"Wong","given":"M"},{"family":"Katz","given":"I"}],"issued":{"date-parts":[["2024"]]}},"suppress-author":true}],"schema":"https://github.com/citation-style-language/schema/raw/master/csl-citation.json"} </w:instrText>
                  </w:r>
                  <w:r w:rsidRPr="002D74F1">
                    <w:fldChar w:fldCharType="separate"/>
                  </w:r>
                  <w:r w:rsidRPr="00A34316">
                    <w:rPr>
                      <w:rFonts w:ascii="Arial" w:hAnsi="Arial" w:cs="Arial"/>
                    </w:rPr>
                    <w:t>(2024)</w:t>
                  </w:r>
                  <w:r w:rsidRPr="002D74F1">
                    <w:fldChar w:fldCharType="end"/>
                  </w:r>
                  <w:r w:rsidRPr="002D74F1">
                    <w:t xml:space="preserve">, emphasise that people’s understanding of ‘family’ is shaped by culture and personal life experiences and circumstances, and understandings of what constitutes family vary across generations, sexuality, gender identity, cultural and linguistic background, and Aboriginal and/or Torres Strait Islander identity </w:t>
                  </w:r>
                  <w:r w:rsidRPr="002D74F1">
                    <w:fldChar w:fldCharType="begin"/>
                  </w:r>
                  <w:r w:rsidR="00E41D03">
                    <w:instrText xml:space="preserve"> ADDIN ZOTERO_ITEM CSL_CITATION {"citationID":"sHgHiWx5","properties":{"formattedCitation":"(Budinski and Gahan, 2023; Naidoo et al., 2024)","plainCitation":"(Budinski and Gahan, 2023; Naidoo et al., 2024)","noteIndex":0},"citationItems":[{"id":4683,"uris":["http://zotero.org/groups/5691188/items/KVLIBRNG"],"itemData":{"id":4683,"type":"report","language":"en","publisher":"Australian Institute of Family Studies","source":"Zotero","title":"What is family?: Australian views on what makes a","author":[{"family":"Budinski","given":"Mikayla"},{"family":"Gahan","given":"Luke"}],"issued":{"date-parts":[["2023"]]}}},{"id":4693,"uris":["http://zotero.org/groups/5691188/items/38T8ACF5"],"itemData":{"id":4693,"type":"report","publisher":"UNSW Social Policy Research Centre and Uniting NSW.ACT","title":"Uniting Families Report","author":[{"family":"Naidoo","given":"Y"},{"family":"Blaxland","given":"M"},{"family":"Wong","given":"M"},{"family":"Katz","given":"I"}],"issued":{"date-parts":[["2024"]]}}}],"schema":"https://github.com/citation-style-language/schema/raw/master/csl-citation.json"} </w:instrText>
                  </w:r>
                  <w:r w:rsidRPr="002D74F1">
                    <w:fldChar w:fldCharType="separate"/>
                  </w:r>
                  <w:r w:rsidRPr="002D74F1">
                    <w:t>(Budinski and Gahan, 2023; Naidoo et al., 2024)</w:t>
                  </w:r>
                  <w:r w:rsidRPr="002D74F1">
                    <w:fldChar w:fldCharType="end"/>
                  </w:r>
                  <w:r w:rsidRPr="002D74F1">
                    <w:t>.</w:t>
                  </w:r>
                </w:p>
                <w:p w14:paraId="0785B4A5" w14:textId="56DCD7B7" w:rsidR="000E2A81" w:rsidRDefault="000E2A81" w:rsidP="000E2A81">
                  <w:pPr>
                    <w:pStyle w:val="Text"/>
                  </w:pPr>
                  <w:r>
                    <w:t>Reflecting this, i</w:t>
                  </w:r>
                  <w:r w:rsidRPr="00205AC5">
                    <w:t xml:space="preserve">n their analysis of the results of the fourth Families in Australia Survey, Budinski &amp; Gahan </w:t>
                  </w:r>
                  <w:r w:rsidRPr="00205AC5">
                    <w:fldChar w:fldCharType="begin"/>
                  </w:r>
                  <w:r w:rsidR="00E41D03">
                    <w:instrText xml:space="preserve"> ADDIN ZOTERO_ITEM CSL_CITATION {"citationID":"cKiY29yN","properties":{"formattedCitation":"(2023)","plainCitation":"(2023)","noteIndex":0},"citationItems":[{"id":4683,"uris":["http://zotero.org/groups/5691188/items/KVLIBRNG"],"itemData":{"id":4683,"type":"report","language":"en","publisher":"Australian Institute of Family Studies","source":"Zotero","title":"What is family?: Australian views on what makes a","author":[{"family":"Budinski","given":"Mikayla"},{"family":"Gahan","given":"Luke"}],"issued":{"date-parts":[["2023"]]}},"suppress-author":true}],"schema":"https://github.com/citation-style-language/schema/raw/master/csl-citation.json"} </w:instrText>
                  </w:r>
                  <w:r w:rsidRPr="00205AC5">
                    <w:fldChar w:fldCharType="separate"/>
                  </w:r>
                  <w:r w:rsidRPr="00BA66A1">
                    <w:rPr>
                      <w:rFonts w:ascii="Arial" w:hAnsi="Arial" w:cs="Arial"/>
                    </w:rPr>
                    <w:t>(2023)</w:t>
                  </w:r>
                  <w:r w:rsidRPr="00205AC5">
                    <w:fldChar w:fldCharType="end"/>
                  </w:r>
                  <w:r w:rsidRPr="00205AC5">
                    <w:t xml:space="preserve"> found that </w:t>
                  </w:r>
                  <w:r>
                    <w:t>CALD</w:t>
                  </w:r>
                  <w:r w:rsidRPr="00205AC5">
                    <w:t xml:space="preserve"> Australian participants were significantly more likely than other participants to view legal ties or obligations as important or very important when defining family compared to other participants (41% vs 30%), and significantly more likely to view common experiences and activities (29% vs 19%) and shared values, beliefs and traditions (38% vs 26%) as very important. </w:t>
                  </w:r>
                  <w:r>
                    <w:t>CALD</w:t>
                  </w:r>
                  <w:r w:rsidRPr="00205AC5">
                    <w:t xml:space="preserve"> participants were also significantly more likely than other participants to view blood/genetics as important or very important (43% vs 34%). Budinski &amp; Gahan </w:t>
                  </w:r>
                  <w:r w:rsidRPr="00205AC5">
                    <w:fldChar w:fldCharType="begin"/>
                  </w:r>
                  <w:r w:rsidR="00E41D03">
                    <w:instrText xml:space="preserve"> ADDIN ZOTERO_ITEM CSL_CITATION {"citationID":"NQ2qskOp","properties":{"formattedCitation":"(2023)","plainCitation":"(2023)","noteIndex":0},"citationItems":[{"id":4683,"uris":["http://zotero.org/groups/5691188/items/KVLIBRNG"],"itemData":{"id":4683,"type":"report","language":"en","publisher":"Australian Institute of Family Studies","source":"Zotero","title":"What is family?: Australian views on what makes a","author":[{"family":"Budinski","given":"Mikayla"},{"family":"Gahan","given":"Luke"}],"issued":{"date-parts":[["2023"]]}},"suppress-author":true}],"schema":"https://github.com/citation-style-language/schema/raw/master/csl-citation.json"} </w:instrText>
                  </w:r>
                  <w:r w:rsidRPr="00205AC5">
                    <w:fldChar w:fldCharType="separate"/>
                  </w:r>
                  <w:r w:rsidRPr="00BA66A1">
                    <w:rPr>
                      <w:rFonts w:ascii="Arial" w:hAnsi="Arial" w:cs="Arial"/>
                    </w:rPr>
                    <w:t>(2023)</w:t>
                  </w:r>
                  <w:r w:rsidRPr="00205AC5">
                    <w:fldChar w:fldCharType="end"/>
                  </w:r>
                  <w:r w:rsidRPr="00205AC5">
                    <w:t xml:space="preserve"> pos</w:t>
                  </w:r>
                  <w:r>
                    <w:t>i</w:t>
                  </w:r>
                  <w:r w:rsidRPr="00205AC5">
                    <w:t>t that these results reflect the communalist family values</w:t>
                  </w:r>
                  <w:r w:rsidR="00EB6DB4" w:rsidRPr="00205AC5">
                    <w:t xml:space="preserve"> within </w:t>
                  </w:r>
                  <w:r w:rsidRPr="00205AC5">
                    <w:t>some migrant communities in Australia that privilege obligations to an extended kinship network and the family practices of generational interdependence, mutual exchange and obligation that are common within many traditional Asian communities</w:t>
                  </w:r>
                  <w:r>
                    <w:t xml:space="preserve">. </w:t>
                  </w:r>
                </w:p>
                <w:p w14:paraId="4F4AA308" w14:textId="5C036F87" w:rsidR="004E0C39" w:rsidRDefault="00342554" w:rsidP="000E2A81">
                  <w:pPr>
                    <w:pStyle w:val="Text"/>
                  </w:pPr>
                  <w:r w:rsidRPr="00C80058">
                    <w:rPr>
                      <w:rFonts w:ascii="Arial" w:eastAsia="Arial" w:hAnsi="Arial" w:cs="Times New Roman"/>
                    </w:rPr>
                    <w:t xml:space="preserve">According to Naidoo et al, </w:t>
                  </w:r>
                  <w:r w:rsidR="00CF4F61">
                    <w:rPr>
                      <w:rFonts w:ascii="Arial" w:eastAsia="Arial" w:hAnsi="Arial" w:cs="Times New Roman"/>
                    </w:rPr>
                    <w:fldChar w:fldCharType="begin"/>
                  </w:r>
                  <w:r w:rsidR="00E41D03">
                    <w:rPr>
                      <w:rFonts w:ascii="Arial" w:eastAsia="Arial" w:hAnsi="Arial" w:cs="Times New Roman"/>
                    </w:rPr>
                    <w:instrText xml:space="preserve"> ADDIN ZOTERO_ITEM CSL_CITATION {"citationID":"a1hq1d67fke","properties":{"formattedCitation":"(2024)","plainCitation":"(2024)","noteIndex":0},"citationItems":[{"id":4693,"uris":["http://zotero.org/groups/5691188/items/38T8ACF5"],"itemData":{"id":4693,"type":"report","publisher":"UNSW Social Policy Research Centre and Uniting NSW.ACT","title":"Uniting Families Report","author":[{"family":"Naidoo","given":"Y"},{"family":"Blaxland","given":"M"},{"family":"Wong","given":"M"},{"family":"Katz","given":"I"}],"issued":{"date-parts":[["2024"]]}},"suppress-author":true}],"schema":"https://github.com/citation-style-language/schema/raw/master/csl-citation.json"} </w:instrText>
                  </w:r>
                  <w:r w:rsidR="00CF4F61">
                    <w:rPr>
                      <w:rFonts w:ascii="Arial" w:eastAsia="Arial" w:hAnsi="Arial" w:cs="Times New Roman"/>
                    </w:rPr>
                    <w:fldChar w:fldCharType="separate"/>
                  </w:r>
                  <w:r w:rsidR="00E41D03" w:rsidRPr="00E41D03">
                    <w:rPr>
                      <w:rFonts w:ascii="Arial" w:hAnsi="Arial" w:cs="Arial"/>
                    </w:rPr>
                    <w:t>(2024)</w:t>
                  </w:r>
                  <w:r w:rsidR="00CF4F61">
                    <w:rPr>
                      <w:rFonts w:ascii="Arial" w:eastAsia="Arial" w:hAnsi="Arial" w:cs="Times New Roman"/>
                    </w:rPr>
                    <w:fldChar w:fldCharType="end"/>
                  </w:r>
                  <w:r w:rsidRPr="00C80058">
                    <w:rPr>
                      <w:rFonts w:ascii="Arial" w:eastAsia="Arial" w:hAnsi="Arial" w:cs="Times New Roman"/>
                    </w:rPr>
                    <w:t xml:space="preserve"> there is a need to better understand Aboriginal and Torres Strait Islander families and kinship relationships. Their study contends that the datasets underpinning understanding of families can be biased in ways that may not be obvious. For example, the focus on a single household or on a limited number of blood relations may not recognise the care provided by kinship networks. This insight ‘highlights the necessity of self-determination for peoples in the development of programs and services because of their deep </w:t>
                  </w:r>
                  <w:r w:rsidRPr="00C80058">
                    <w:rPr>
                      <w:rFonts w:ascii="Arial" w:eastAsia="Arial" w:hAnsi="Arial" w:cs="Times New Roman"/>
                    </w:rPr>
                    <w:lastRenderedPageBreak/>
                    <w:t xml:space="preserve">knowledge of their own ways of ‘doing family’’ </w:t>
                  </w:r>
                  <w:r w:rsidRPr="00C80058">
                    <w:rPr>
                      <w:rFonts w:ascii="Arial" w:eastAsia="Arial" w:hAnsi="Arial" w:cs="Times New Roman"/>
                    </w:rPr>
                    <w:fldChar w:fldCharType="begin"/>
                  </w:r>
                  <w:r w:rsidR="00E41D03">
                    <w:rPr>
                      <w:rFonts w:ascii="Arial" w:eastAsia="Arial" w:hAnsi="Arial" w:cs="Times New Roman"/>
                    </w:rPr>
                    <w:instrText xml:space="preserve"> ADDIN ZOTERO_ITEM CSL_CITATION {"citationID":"wBYBScqa","properties":{"formattedCitation":"(Naidoo et al., 2024)","plainCitation":"(Naidoo et al., 2024)","noteIndex":0},"citationItems":[{"id":4693,"uris":["http://zotero.org/groups/5691188/items/38T8ACF5"],"itemData":{"id":4693,"type":"report","publisher":"UNSW Social Policy Research Centre and Uniting NSW.ACT","title":"Uniting Families Report","author":[{"family":"Naidoo","given":"Y"},{"family":"Blaxland","given":"M"},{"family":"Wong","given":"M"},{"family":"Katz","given":"I"}],"issued":{"date-parts":[["2024"]]}}}],"schema":"https://github.com/citation-style-language/schema/raw/master/csl-citation.json"} </w:instrText>
                  </w:r>
                  <w:r w:rsidRPr="00C80058">
                    <w:rPr>
                      <w:rFonts w:ascii="Arial" w:eastAsia="Arial" w:hAnsi="Arial" w:cs="Times New Roman"/>
                    </w:rPr>
                    <w:fldChar w:fldCharType="separate"/>
                  </w:r>
                  <w:r w:rsidRPr="00C80058">
                    <w:rPr>
                      <w:rFonts w:ascii="Arial" w:eastAsia="Arial" w:hAnsi="Arial" w:cs="Times New Roman"/>
                    </w:rPr>
                    <w:t>(Naidoo et al., 2024)</w:t>
                  </w:r>
                  <w:r w:rsidRPr="00C80058">
                    <w:rPr>
                      <w:rFonts w:ascii="Arial" w:eastAsia="Arial" w:hAnsi="Arial" w:cs="Times New Roman"/>
                    </w:rPr>
                    <w:fldChar w:fldCharType="end"/>
                  </w:r>
                  <w:r w:rsidRPr="00C80058">
                    <w:rPr>
                      <w:rFonts w:ascii="Arial" w:eastAsia="Arial" w:hAnsi="Arial" w:cs="Times New Roman"/>
                    </w:rPr>
                    <w:t>.</w:t>
                  </w:r>
                  <w:r>
                    <w:t xml:space="preserve"> </w:t>
                  </w:r>
                  <w:r w:rsidR="000E2A81" w:rsidRPr="002A5617">
                    <w:t xml:space="preserve">Budinski &amp; Gahan </w:t>
                  </w:r>
                  <w:r w:rsidR="000E2A81" w:rsidRPr="00205AC5">
                    <w:fldChar w:fldCharType="begin"/>
                  </w:r>
                  <w:r w:rsidR="00E41D03">
                    <w:instrText xml:space="preserve"> ADDIN ZOTERO_ITEM CSL_CITATION {"citationID":"8jl9wYiU","properties":{"formattedCitation":"(2023)","plainCitation":"(2023)","noteIndex":0},"citationItems":[{"id":4683,"uris":["http://zotero.org/groups/5691188/items/KVLIBRNG"],"itemData":{"id":4683,"type":"report","language":"en","publisher":"Australian Institute of Family Studies","source":"Zotero","title":"What is family?: Australian views on what makes a","author":[{"family":"Budinski","given":"Mikayla"},{"family":"Gahan","given":"Luke"}],"issued":{"date-parts":[["2023"]]}},"suppress-author":true}],"schema":"https://github.com/citation-style-language/schema/raw/master/csl-citation.json"} </w:instrText>
                  </w:r>
                  <w:r w:rsidR="000E2A81" w:rsidRPr="00205AC5">
                    <w:fldChar w:fldCharType="separate"/>
                  </w:r>
                  <w:r w:rsidR="000E2A81" w:rsidRPr="00BA66A1">
                    <w:rPr>
                      <w:rFonts w:ascii="Arial" w:hAnsi="Arial" w:cs="Arial"/>
                    </w:rPr>
                    <w:t>(2023)</w:t>
                  </w:r>
                  <w:r w:rsidR="000E2A81" w:rsidRPr="00205AC5">
                    <w:fldChar w:fldCharType="end"/>
                  </w:r>
                  <w:r w:rsidR="000E2A81">
                    <w:t xml:space="preserve"> </w:t>
                  </w:r>
                  <w:r w:rsidR="000E2A81" w:rsidRPr="002A5617">
                    <w:t>also found that Aboriginal and/or Torres Strait Islander participants were significantly more likely than non</w:t>
                  </w:r>
                  <w:r w:rsidR="00E614D3">
                    <w:rPr>
                      <w:rFonts w:ascii="Cambria Math" w:hAnsi="Cambria Math" w:cs="Cambria Math"/>
                    </w:rPr>
                    <w:t>-</w:t>
                  </w:r>
                  <w:r w:rsidR="00E614D3">
                    <w:rPr>
                      <w:rFonts w:ascii="Arial" w:eastAsia="Arial" w:hAnsi="Arial" w:cs="Arial"/>
                      <w:szCs w:val="22"/>
                    </w:rPr>
                    <w:t>Aboriginal and Torres Strait Islander</w:t>
                  </w:r>
                  <w:r w:rsidR="000E2A81" w:rsidRPr="002A5617">
                    <w:t xml:space="preserve"> participants to report that ‘chosen family or close friends’ were included in their family (62% vs 41%).</w:t>
                  </w:r>
                  <w:r w:rsidR="004E0C39">
                    <w:t xml:space="preserve"> In some Torres Strait Islander communities, a </w:t>
                  </w:r>
                  <w:r w:rsidR="00F80B5F">
                    <w:t>common</w:t>
                  </w:r>
                  <w:r w:rsidR="004E0C39">
                    <w:t xml:space="preserve"> collective approach to family composition and child rearing occurs under customary adoption. Under customary adoption, children are raised by non-biological parents and community members from a young age. These adoptions take place for a range of cultural and contextual reasons, including infertility, wherein a couple or individual who are unable to conceive a child adopt and raise a child born to a family member or from their broader kinship network </w:t>
                  </w:r>
                  <w:r w:rsidR="004E0C39">
                    <w:fldChar w:fldCharType="begin"/>
                  </w:r>
                  <w:r w:rsidR="003A464F">
                    <w:instrText xml:space="preserve"> ADDIN ZOTERO_ITEM CSL_CITATION {"citationID":"a1nka88crt8","properties":{"formattedCitation":"(Ban, 2022)","plainCitation":"(Ban, 2022)","noteIndex":0},"citationItems":[{"id":"KNHaqWe9/v56SrOId","uris":["http://zotero.org/groups/6054942/items/Q8UABBMU"],"itemData":{"id":5654,"type":"book","publisher":"Paul Ban and Associates Pty Ltd","title":"Piri Piri Mab – The Journey to Legal Recognition of the Torres Strait Islander Child Rearing","author":[{"family":"Ban","given":"Paul"}],"issued":{"date-parts":[["2022"]]}}}],"schema":"https://github.com/citation-style-language/schema/raw/master/csl-citation.json"} </w:instrText>
                  </w:r>
                  <w:r w:rsidR="004E0C39">
                    <w:fldChar w:fldCharType="separate"/>
                  </w:r>
                  <w:r w:rsidR="00AC138C" w:rsidRPr="00AC138C">
                    <w:rPr>
                      <w:rFonts w:ascii="Arial" w:hAnsi="Arial" w:cs="Arial"/>
                    </w:rPr>
                    <w:t>(Ban, 2022)</w:t>
                  </w:r>
                  <w:r w:rsidR="004E0C39">
                    <w:fldChar w:fldCharType="end"/>
                  </w:r>
                  <w:r w:rsidR="004E0C39">
                    <w:t xml:space="preserve">. </w:t>
                  </w:r>
                </w:p>
                <w:p w14:paraId="28EB0338" w14:textId="750EA761" w:rsidR="007B1A9C" w:rsidRDefault="004E0C39" w:rsidP="000E2A81">
                  <w:pPr>
                    <w:pStyle w:val="Text"/>
                  </w:pPr>
                  <w:r>
                    <w:t>E</w:t>
                  </w:r>
                  <w:r w:rsidR="000E2A81" w:rsidRPr="002A5617">
                    <w:t xml:space="preserve">xtended kinship networks were often determined as much by obligation as individual choice </w:t>
                  </w:r>
                  <w:r w:rsidR="000E2A81" w:rsidRPr="002A5617">
                    <w:fldChar w:fldCharType="begin"/>
                  </w:r>
                  <w:r w:rsidR="00E41D03">
                    <w:instrText xml:space="preserve"> ADDIN ZOTERO_ITEM CSL_CITATION {"citationID":"hGJp2h8Y","properties":{"formattedCitation":"(Budinski and Gahan, 2023)","plainCitation":"(Budinski and Gahan, 2023)","noteIndex":0},"citationItems":[{"id":4683,"uris":["http://zotero.org/groups/5691188/items/KVLIBRNG"],"itemData":{"id":4683,"type":"report","language":"en","publisher":"Australian Institute of Family Studies","source":"Zotero","title":"What is family?: Australian views on what makes a","author":[{"family":"Budinski","given":"Mikayla"},{"family":"Gahan","given":"Luke"}],"issued":{"date-parts":[["2023"]]}}}],"schema":"https://github.com/citation-style-language/schema/raw/master/csl-citation.json"} </w:instrText>
                  </w:r>
                  <w:r w:rsidR="000E2A81" w:rsidRPr="002A5617">
                    <w:fldChar w:fldCharType="separate"/>
                  </w:r>
                  <w:r w:rsidR="000E2A81" w:rsidRPr="002A5617">
                    <w:t>(Budinski and Gahan, 2023)</w:t>
                  </w:r>
                  <w:r w:rsidR="000E2A81" w:rsidRPr="002A5617">
                    <w:fldChar w:fldCharType="end"/>
                  </w:r>
                  <w:r w:rsidR="000E2A81" w:rsidRPr="002A5617">
                    <w:t xml:space="preserve">. Budinski &amp; Gahan (2023) describe Aboriginal and Torres Strait Islander collectivist kinship systems as dynamic and complex social structures that define how individuals relate to each other in terms of their roles, responsibilities and obligations, and suggest that Aboriginal and Torres Strait families often have a collectivist approach to child rearing where raising children is seen as the collective responsibility of all members of their community who are seen as ‘family’ </w:t>
                  </w:r>
                  <w:r w:rsidR="000E2A81" w:rsidRPr="002A5617">
                    <w:fldChar w:fldCharType="begin"/>
                  </w:r>
                  <w:r w:rsidR="00E41D03">
                    <w:instrText xml:space="preserve"> ADDIN ZOTERO_ITEM CSL_CITATION {"citationID":"aJAVMvZB","properties":{"formattedCitation":"(Budinski and Gahan, 2023)","plainCitation":"(Budinski and Gahan, 2023)","noteIndex":0},"citationItems":[{"id":4683,"uris":["http://zotero.org/groups/5691188/items/KVLIBRNG"],"itemData":{"id":4683,"type":"report","language":"en","publisher":"Australian Institute of Family Studies","source":"Zotero","title":"What is family?: Australian views on what makes a","author":[{"family":"Budinski","given":"Mikayla"},{"family":"Gahan","given":"Luke"}],"issued":{"date-parts":[["2023"]]}}}],"schema":"https://github.com/citation-style-language/schema/raw/master/csl-citation.json"} </w:instrText>
                  </w:r>
                  <w:r w:rsidR="000E2A81" w:rsidRPr="002A5617">
                    <w:fldChar w:fldCharType="separate"/>
                  </w:r>
                  <w:r w:rsidR="000E2A81" w:rsidRPr="002A5617">
                    <w:t>(Budinski and Gahan, 2023)</w:t>
                  </w:r>
                  <w:r w:rsidR="000E2A81" w:rsidRPr="002A5617">
                    <w:fldChar w:fldCharType="end"/>
                  </w:r>
                  <w:r w:rsidR="000E2A81" w:rsidRPr="002A5617">
                    <w:t xml:space="preserve">. </w:t>
                  </w:r>
                </w:p>
                <w:p w14:paraId="2F6FDA69" w14:textId="7B52B26F" w:rsidR="000E2A81" w:rsidRDefault="000E2A81" w:rsidP="000E2A81">
                  <w:pPr>
                    <w:pStyle w:val="Text"/>
                  </w:pPr>
                  <w:r w:rsidRPr="002A5617">
                    <w:t>At the same time, the authors caution against over-generalising Aboriginal and Torres Strait Islander people’s views on family, and observe that understandings of family can differ by language, social or nation group, and by location</w:t>
                  </w:r>
                  <w:r w:rsidR="008232FB">
                    <w:t xml:space="preserve">, </w:t>
                  </w:r>
                  <w:r w:rsidRPr="002A5617">
                    <w:t xml:space="preserve">with diverse views between Aboriginal and Torres Strait Islander people living in urban and remote areas noted in particular </w:t>
                  </w:r>
                  <w:r w:rsidRPr="002A5617">
                    <w:fldChar w:fldCharType="begin"/>
                  </w:r>
                  <w:r w:rsidR="00E41D03">
                    <w:instrText xml:space="preserve"> ADDIN ZOTERO_ITEM CSL_CITATION {"citationID":"rdwGws9j","properties":{"formattedCitation":"(Budinski and Gahan, 2023)","plainCitation":"(Budinski and Gahan, 2023)","noteIndex":0},"citationItems":[{"id":4683,"uris":["http://zotero.org/groups/5691188/items/KVLIBRNG"],"itemData":{"id":4683,"type":"report","language":"en","publisher":"Australian Institute of Family Studies","source":"Zotero","title":"What is family?: Australian views on what makes a","author":[{"family":"Budinski","given":"Mikayla"},{"family":"Gahan","given":"Luke"}],"issued":{"date-parts":[["2023"]]}}}],"schema":"https://github.com/citation-style-language/schema/raw/master/csl-citation.json"} </w:instrText>
                  </w:r>
                  <w:r w:rsidRPr="002A5617">
                    <w:fldChar w:fldCharType="separate"/>
                  </w:r>
                  <w:r w:rsidRPr="002A5617">
                    <w:t>(Budinski and Gahan, 2023)</w:t>
                  </w:r>
                  <w:r w:rsidRPr="002A5617">
                    <w:fldChar w:fldCharType="end"/>
                  </w:r>
                  <w:r w:rsidRPr="002A5617">
                    <w:t>.</w:t>
                  </w:r>
                </w:p>
                <w:p w14:paraId="4B0A0533" w14:textId="2A609B33" w:rsidR="00342554" w:rsidRPr="00EF0AF3" w:rsidRDefault="000E2A81" w:rsidP="00342554">
                  <w:pPr>
                    <w:pStyle w:val="Text"/>
                  </w:pPr>
                  <w:r w:rsidRPr="00CF6F7C">
                    <w:t xml:space="preserve">Jensen &amp; Sanner </w:t>
                  </w:r>
                  <w:r>
                    <w:fldChar w:fldCharType="begin"/>
                  </w:r>
                  <w:r w:rsidR="00E41D03">
                    <w:instrText xml:space="preserve"> ADDIN ZOTERO_ITEM CSL_CITATION {"citationID":"TNGvIHdH","properties":{"formattedCitation":"(2021)","plainCitation":"(2021)","noteIndex":0},"citationItems":[{"id":4740,"uris":["http://zotero.org/groups/5691188/items/R274TD7V"],"itemData":{"id":4740,"type":"article-journal","abstract":"In the United States and across the globe, demographic trends have coalesced to produce an increasingly diverse set of family structures, fueling international interest in exploring diverse family structures as key developmental contexts for adults and children. Given the persistence of research focused on well-being differences across family structures, and in order to move this research into the future productively, it is critical to rigorously chart and evaluate how this research is being conducted. In this scoping review, we evaluate 283 studies that examined associations between family structure and well-being. We reflect on dominant methodological trends across four primary domains: (a) approaches to measuring family structure, (b) approaches to analyzing associations between family structure and well-being, (c) the application of theory, and (d) conceptualizations of well-being. In evaluating observable trends, we offer recommendations for rethinking where we can (and perhaps should) go next to better understand and support contemporary families.","container-title":"Journal of Family Theory &amp; Review","DOI":"10.1111/jftr.12437","ISSN":"1756-2570, 1756-2589","issue":"4","journalAbbreviation":"J of Family Theo &amp;amp; Revie","language":"en","page":"463-495","source":"DOI.org (Crossref)","title":"A scoping review of research on well</w:instrText>
                  </w:r>
                  <w:r w:rsidR="00E41D03">
                    <w:rPr>
                      <w:rFonts w:ascii="Cambria Math" w:hAnsi="Cambria Math" w:cs="Cambria Math"/>
                    </w:rPr>
                    <w:instrText>‐</w:instrText>
                  </w:r>
                  <w:r w:rsidR="00E41D03">
                    <w:instrText>being across diverse family structures: Rethinking approaches for understanding contemporary families","title-short":"A scoping review of research on well</w:instrText>
                  </w:r>
                  <w:r w:rsidR="00E41D03">
                    <w:rPr>
                      <w:rFonts w:ascii="Cambria Math" w:hAnsi="Cambria Math" w:cs="Cambria Math"/>
                    </w:rPr>
                    <w:instrText>‐</w:instrText>
                  </w:r>
                  <w:r w:rsidR="00E41D03">
                    <w:instrText xml:space="preserve">being across diverse family structures","volume":"13","author":[{"family":"Jensen","given":"Todd M."},{"family":"Sanner","given":"Caroline"}],"issued":{"date-parts":[["2021",12]]}},"suppress-author":true}],"schema":"https://github.com/citation-style-language/schema/raw/master/csl-citation.json"} </w:instrText>
                  </w:r>
                  <w:r>
                    <w:fldChar w:fldCharType="separate"/>
                  </w:r>
                  <w:r w:rsidRPr="00480178">
                    <w:rPr>
                      <w:rFonts w:ascii="Arial" w:hAnsi="Arial" w:cs="Arial"/>
                    </w:rPr>
                    <w:t>(2021)</w:t>
                  </w:r>
                  <w:r>
                    <w:fldChar w:fldCharType="end"/>
                  </w:r>
                  <w:r>
                    <w:t xml:space="preserve"> </w:t>
                  </w:r>
                  <w:r w:rsidRPr="00CF6F7C">
                    <w:t xml:space="preserve">also highlight that literature often focuses on family-level explanations (for example: resources, parenting, stress) for why or how family structure shapes individual outcomes, with a lack of attention to how broader social systems have created family-level disparities. The authors explain by way of example that although there are clear racial and ethnic differences in trends of marriage and childbearing, family structure is generally studied and discussed in non-racialised contexts. As such, there is often little or no attention to how systemic racism has created racial differences in family structure or how a family’s structure can lead to different impacts across racialised groups </w:t>
                  </w:r>
                  <w:r w:rsidRPr="00CF6F7C">
                    <w:fldChar w:fldCharType="begin"/>
                  </w:r>
                  <w:r w:rsidR="00E41D03">
                    <w:instrText xml:space="preserve"> ADDIN ZOTERO_ITEM CSL_CITATION {"citationID":"ZQaugrZt","properties":{"formattedCitation":"(Jensen and Sanner, 2021)","plainCitation":"(Jensen and Sanner, 2021)","noteIndex":0},"citationItems":[{"id":4740,"uris":["http://zotero.org/groups/5691188/items/R274TD7V"],"itemData":{"id":4740,"type":"article-journal","abstract":"In the United States and across the globe, demographic trends have coalesced to produce an increasingly diverse set of family structures, fueling international interest in exploring diverse family structures as key developmental contexts for adults and children. Given the persistence of research focused on well-being differences across family structures, and in order to move this research into the future productively, it is critical to rigorously chart and evaluate how this research is being conducted. In this scoping review, we evaluate 283 studies that examined associations between family structure and well-being. We reflect on dominant methodological trends across four primary domains: (a) approaches to measuring family structure, (b) approaches to analyzing associations between family structure and well-being, (c) the application of theory, and (d) conceptualizations of well-being. In evaluating observable trends, we offer recommendations for rethinking where we can (and perhaps should) go next to better understand and support contemporary families.","container-title":"Journal of Family Theory &amp; Review","DOI":"10.1111/jftr.12437","ISSN":"1756-2570, 1756-2589","issue":"4","journalAbbreviation":"J of Family Theo &amp;amp; Revie","language":"en","page":"463-495","source":"DOI.org (Crossref)","title":"A scoping review of research on well</w:instrText>
                  </w:r>
                  <w:r w:rsidR="00E41D03">
                    <w:rPr>
                      <w:rFonts w:ascii="Cambria Math" w:hAnsi="Cambria Math" w:cs="Cambria Math"/>
                    </w:rPr>
                    <w:instrText>‐</w:instrText>
                  </w:r>
                  <w:r w:rsidR="00E41D03">
                    <w:instrText>being across diverse family structures: Rethinking approaches for understanding contemporary families","title-short":"A scoping review of research on well</w:instrText>
                  </w:r>
                  <w:r w:rsidR="00E41D03">
                    <w:rPr>
                      <w:rFonts w:ascii="Cambria Math" w:hAnsi="Cambria Math" w:cs="Cambria Math"/>
                    </w:rPr>
                    <w:instrText>‐</w:instrText>
                  </w:r>
                  <w:r w:rsidR="00E41D03">
                    <w:instrText xml:space="preserve">being across diverse family structures","volume":"13","author":[{"family":"Jensen","given":"Todd M."},{"family":"Sanner","given":"Caroline"}],"issued":{"date-parts":[["2021",12]]}}}],"schema":"https://github.com/citation-style-language/schema/raw/master/csl-citation.json"} </w:instrText>
                  </w:r>
                  <w:r w:rsidRPr="00CF6F7C">
                    <w:fldChar w:fldCharType="separate"/>
                  </w:r>
                  <w:r w:rsidRPr="00CF6F7C">
                    <w:t>(Jensen and Sanner, 2021)</w:t>
                  </w:r>
                  <w:r w:rsidRPr="00CF6F7C">
                    <w:fldChar w:fldCharType="end"/>
                  </w:r>
                  <w:r w:rsidRPr="00CF6F7C">
                    <w:t>. This limitation was evident across much of the literature reviewed and should be borne in mind when considering the evidence relating to family composition and diversity.</w:t>
                  </w:r>
                </w:p>
                <w:p w14:paraId="5A765343" w14:textId="77777777" w:rsidR="00342554" w:rsidRDefault="00342554" w:rsidP="008D0528">
                  <w:pPr>
                    <w:pStyle w:val="Heading3"/>
                  </w:pPr>
                  <w:bookmarkStart w:id="259" w:name="_Ref205303407"/>
                  <w:r>
                    <w:t>Social and economic context of family life</w:t>
                  </w:r>
                  <w:bookmarkEnd w:id="259"/>
                </w:p>
                <w:p w14:paraId="08651419" w14:textId="7DA70FBD" w:rsidR="00342554" w:rsidRPr="00665659" w:rsidRDefault="00342554" w:rsidP="00342554">
                  <w:pPr>
                    <w:pStyle w:val="Text"/>
                  </w:pPr>
                  <w:r>
                    <w:t xml:space="preserve">Family </w:t>
                  </w:r>
                  <w:r w:rsidRPr="005716DC">
                    <w:t>life (including transitions in family structure, family processes and satisfaction) is influenced by</w:t>
                  </w:r>
                  <w:r w:rsidR="00CF5ECD">
                    <w:t>, and influences,</w:t>
                  </w:r>
                  <w:r w:rsidR="00357A7E">
                    <w:t xml:space="preserve"> </w:t>
                  </w:r>
                  <w:r w:rsidRPr="005716DC">
                    <w:t xml:space="preserve">the social and economic context </w:t>
                  </w:r>
                  <w:r w:rsidR="00357A7E">
                    <w:t>within which it is situated</w:t>
                  </w:r>
                  <w:r w:rsidRPr="005716DC">
                    <w:t>. Financial realities, work arrangements, approaches to domestic labour and caring, and health and disability all shape family life and relationships in complex ways.</w:t>
                  </w:r>
                </w:p>
                <w:p w14:paraId="28C0C5FF" w14:textId="77777777" w:rsidR="00342554" w:rsidRDefault="00342554" w:rsidP="00321BC5">
                  <w:pPr>
                    <w:pStyle w:val="Text-BodyHeading"/>
                    <w:spacing w:before="360" w:after="240"/>
                  </w:pPr>
                  <w:r>
                    <w:t xml:space="preserve">Income and wealth </w:t>
                  </w:r>
                </w:p>
                <w:p w14:paraId="067882FC" w14:textId="320A0F8D" w:rsidR="00342554" w:rsidRPr="007451D2" w:rsidRDefault="00342554" w:rsidP="00342554">
                  <w:pPr>
                    <w:pStyle w:val="Text"/>
                  </w:pPr>
                  <w:r>
                    <w:t>Naidoo et al.</w:t>
                  </w:r>
                  <w:r w:rsidRPr="007451D2">
                    <w:t xml:space="preserve"> </w:t>
                  </w:r>
                  <w:r w:rsidRPr="007451D2">
                    <w:fldChar w:fldCharType="begin"/>
                  </w:r>
                  <w:r w:rsidR="00E41D03">
                    <w:instrText xml:space="preserve"> ADDIN ZOTERO_ITEM CSL_CITATION {"citationID":"a1fkbn9vrrm","properties":{"formattedCitation":"(2024)","plainCitation":"(2024)","noteIndex":0},"citationItems":[{"id":4693,"uris":["http://zotero.org/groups/5691188/items/38T8ACF5"],"itemData":{"id":4693,"type":"report","publisher":"UNSW Social Policy Research Centre and Uniting NSW.ACT","title":"Uniting Families Report","author":[{"family":"Naidoo","given":"Y"},{"family":"Blaxland","given":"M"},{"family":"Wong","given":"M"},{"family":"Katz","given":"I"}],"issued":{"date-parts":[["2024"]]}},"suppress-author":true}],"schema":"https://github.com/citation-style-language/schema/raw/master/csl-citation.json"} </w:instrText>
                  </w:r>
                  <w:r w:rsidRPr="007451D2">
                    <w:fldChar w:fldCharType="separate"/>
                  </w:r>
                  <w:r w:rsidR="00AC138C" w:rsidRPr="00AC138C">
                    <w:rPr>
                      <w:rFonts w:ascii="Arial" w:hAnsi="Arial" w:cs="Arial"/>
                    </w:rPr>
                    <w:t>(2024)</w:t>
                  </w:r>
                  <w:r w:rsidRPr="007451D2">
                    <w:fldChar w:fldCharType="end"/>
                  </w:r>
                  <w:r>
                    <w:t xml:space="preserve"> highlight strong links between family type, income, wealth, and financial stability, finding that couple parent families generally fare better economically than other family types. Their median weekly income is significantly higher, and their mean net wealth </w:t>
                  </w:r>
                  <w:r>
                    <w:lastRenderedPageBreak/>
                    <w:t>surpasses all others, making them less vulnerable to poverty and financial hardship. In contrast, foster and kin families, as well as single parent households, are at greatest risk of poverty and financial stress, including challenges like paying bills, skipping meals, or missing housing payments. Housing patterns also vary by family type: couple families are more likely to live in wealthier areas and own homes, while single parent and blended families are more likely to rent, including public housing. Despite financial disparities, satisfaction with homes and neighbourhoods remains consistently high across family types, with only slight differences reported.</w:t>
                  </w:r>
                </w:p>
                <w:p w14:paraId="5845ABA0" w14:textId="77777777" w:rsidR="00342554" w:rsidRDefault="00342554" w:rsidP="00321BC5">
                  <w:pPr>
                    <w:pStyle w:val="Text-BodyHeading"/>
                    <w:spacing w:before="360" w:after="240"/>
                  </w:pPr>
                  <w:r>
                    <w:t xml:space="preserve">Work inside and outside the home </w:t>
                  </w:r>
                </w:p>
                <w:p w14:paraId="03D60E2B" w14:textId="10758E94" w:rsidR="00342554" w:rsidRDefault="00342554" w:rsidP="00342554">
                  <w:pPr>
                    <w:pStyle w:val="Text"/>
                    <w:rPr>
                      <w:lang w:val="en-US"/>
                    </w:rPr>
                  </w:pPr>
                  <w:r w:rsidRPr="00405F19">
                    <w:rPr>
                      <w:lang w:val="en-US"/>
                    </w:rPr>
                    <w:t>Significant changes in how Australians work continue to shape family life – and many of these changes are highly gendered. A key shift has been the increase in women’s rate of workforce participation</w:t>
                  </w:r>
                  <w:r>
                    <w:rPr>
                      <w:lang w:val="en-US"/>
                    </w:rPr>
                    <w:t xml:space="preserve"> driven by changes in contraception, fertility, and partnering patterns; women’s higher levels of education, leading to expanding opportunities in the labour market; the increased availability of part</w:t>
                  </w:r>
                  <w:r w:rsidR="00647EA1">
                    <w:rPr>
                      <w:lang w:val="en-US"/>
                    </w:rPr>
                    <w:t>-</w:t>
                  </w:r>
                  <w:r>
                    <w:rPr>
                      <w:lang w:val="en-US"/>
                    </w:rPr>
                    <w:t xml:space="preserve">time work and the introduction of gender work equality policies; and increased cost of living requiring dual </w:t>
                  </w:r>
                  <w:r w:rsidRPr="001D189A">
                    <w:rPr>
                      <w:lang w:val="en-US"/>
                    </w:rPr>
                    <w:t xml:space="preserve">incomes </w:t>
                  </w:r>
                  <w:r w:rsidRPr="001D189A">
                    <w:rPr>
                      <w:lang w:val="en-US"/>
                    </w:rPr>
                    <w:fldChar w:fldCharType="begin"/>
                  </w:r>
                  <w:r w:rsidR="00E41D03">
                    <w:rPr>
                      <w:lang w:val="en-US"/>
                    </w:rPr>
                    <w:instrText xml:space="preserve"> ADDIN ZOTERO_ITEM CSL_CITATION {"citationID":"a1pkada94h1","properties":{"formattedCitation":"(Baxter, 2023)","plainCitation":"(Baxter, 2023)","noteIndex":0},"citationItems":[{"id":4692,"uris":["http://zotero.org/groups/5691188/items/DLU9SL7J"],"itemData":{"id":4692,"type":"report","language":"en","publisher":"Australian Institute of Family Studies","source":"Zotero","title":"Employment patterns and trends for families with children","author":[{"family":"Baxter","given":"Jennifer"}],"issued":{"date-parts":[["2023"]]}}}],"schema":"https://github.com/citation-style-language/schema/raw/master/csl-citation.json"} </w:instrText>
                  </w:r>
                  <w:r w:rsidRPr="001D189A">
                    <w:rPr>
                      <w:lang w:val="en-US"/>
                    </w:rPr>
                    <w:fldChar w:fldCharType="separate"/>
                  </w:r>
                  <w:r w:rsidR="00AC138C" w:rsidRPr="00AC138C">
                    <w:rPr>
                      <w:rFonts w:ascii="Arial" w:hAnsi="Arial" w:cs="Arial"/>
                    </w:rPr>
                    <w:t>(Baxter, 2023)</w:t>
                  </w:r>
                  <w:r w:rsidRPr="001D189A">
                    <w:rPr>
                      <w:lang w:val="en-US"/>
                    </w:rPr>
                    <w:fldChar w:fldCharType="end"/>
                  </w:r>
                  <w:r w:rsidRPr="00405F19">
                    <w:rPr>
                      <w:lang w:val="en-US"/>
                    </w:rPr>
                    <w:t xml:space="preserve">. Participation rates have increased across all age groups other than those aged under 20, and the drop in participation around childbearing age has lessened considerably </w:t>
                  </w:r>
                  <w:r w:rsidRPr="00405F19">
                    <w:rPr>
                      <w:lang w:val="en-US"/>
                    </w:rPr>
                    <w:fldChar w:fldCharType="begin"/>
                  </w:r>
                  <w:r w:rsidR="00E41D03">
                    <w:rPr>
                      <w:lang w:val="en-US"/>
                    </w:rPr>
                    <w:instrText xml:space="preserve"> ADDIN ZOTERO_ITEM CSL_CITATION {"citationID":"T14GtbRD","properties":{"formattedCitation":"(Warren et al., 2020)","plainCitation":"(Warren et al., 2020)","noteIndex":0},"citationItems":[{"id":4732,"uris":["http://zotero.org/groups/5691188/items/I2P8QQ9H"],"itemData":{"id":4732,"type":"report","publisher":"Australian Institute of Family Studies","title":"How we worked","author":[{"family":"Warren","given":"Diana"},{"family":"Qu","given":"Lixia"},{"family":"Baxter","given":"Jennifer"}],"issued":{"date-parts":[["2020"]]}}}],"schema":"https://github.com/citation-style-language/schema/raw/master/csl-citation.json"} </w:instrText>
                  </w:r>
                  <w:r w:rsidRPr="00405F19">
                    <w:rPr>
                      <w:lang w:val="en-US"/>
                    </w:rPr>
                    <w:fldChar w:fldCharType="separate"/>
                  </w:r>
                  <w:r w:rsidRPr="00405F19">
                    <w:rPr>
                      <w:lang w:val="en-US"/>
                    </w:rPr>
                    <w:t>(Warren et al., 2020)</w:t>
                  </w:r>
                  <w:r w:rsidRPr="00405F19">
                    <w:fldChar w:fldCharType="end"/>
                  </w:r>
                  <w:r>
                    <w:rPr>
                      <w:lang w:val="en-US"/>
                    </w:rPr>
                    <w:t xml:space="preserve">. </w:t>
                  </w:r>
                </w:p>
                <w:p w14:paraId="45EA3075" w14:textId="75ABD8C5" w:rsidR="00342554" w:rsidRPr="002A5617" w:rsidRDefault="00342554" w:rsidP="00342554">
                  <w:pPr>
                    <w:pStyle w:val="Text"/>
                    <w:rPr>
                      <w:lang w:val="en-US"/>
                    </w:rPr>
                  </w:pPr>
                  <w:r>
                    <w:rPr>
                      <w:lang w:val="en-US"/>
                    </w:rPr>
                    <w:t xml:space="preserve">Despite this increase in women’s participation in the workforce, there is clear </w:t>
                  </w:r>
                  <w:r w:rsidRPr="002A5617">
                    <w:rPr>
                      <w:lang w:val="en-US"/>
                    </w:rPr>
                    <w:t>evidence that in Australia gendered divisions of unpaid labour within households are deeply entrenched, with these tasks</w:t>
                  </w:r>
                  <w:r>
                    <w:rPr>
                      <w:lang w:val="en-US"/>
                    </w:rPr>
                    <w:t>, including the ‘mental load’ of child care,</w:t>
                  </w:r>
                  <w:r w:rsidRPr="002A5617">
                    <w:rPr>
                      <w:lang w:val="en-US"/>
                    </w:rPr>
                    <w:t xml:space="preserve"> falling more often to mothers </w:t>
                  </w:r>
                  <w:r w:rsidRPr="002A5617">
                    <w:rPr>
                      <w:lang w:val="en-US"/>
                    </w:rPr>
                    <w:fldChar w:fldCharType="begin"/>
                  </w:r>
                  <w:r w:rsidR="00E41D03">
                    <w:rPr>
                      <w:lang w:val="en-US"/>
                    </w:rPr>
                    <w:instrText xml:space="preserve"> ADDIN ZOTERO_ITEM CSL_CITATION {"citationID":"B9pR78cr","properties":{"formattedCitation":"(Baxter, 2024; Hewitt, 2021)","plainCitation":"(Baxter, 2024; Hewitt, 2021)","noteIndex":0},"citationItems":[{"id":4691,"uris":["http://zotero.org/groups/5691188/items/8FKSJWXZ"],"itemData":{"id":4691,"type":"report","language":"en","publisher":"Australian Institute of Family Studies","source":"Zotero","title":"How mothers and fathers share child care in Australia","author":[{"family":"Baxter","given":"Jennifer"}],"issued":{"date-parts":[["2024"]]}}},{"id":4746,"uris":["http://zotero.org/groups/5691188/items/NEX6VZUD"],"itemData":{"id":4746,"type":"article-journal","abstract":"The HILDA Survey has provided an unprecedented opportunity to investigate the determinants and consequences of family formation and dissolution in Australia. This review gives an overview of this research, focusing on (i) relationship formation, (ii) fertility, children and parenting and (iii) relationship dissolution.","container-title":"Australian Economic Review","DOI":"10.1111/1467-8462.12445","ISSN":"0004-9018, 1467-8462","issue":"4","journalAbbreviation":"Australian Economic Review","language":"en","page":"506-517","source":"DOI.org (Crossref)","title":"The Dynamics of Family Formation and Dissolution","volume":"54","author":[{"family":"Hewitt","given":"Belinda"}],"issued":{"date-parts":[["2021",12]]}}}],"schema":"https://github.com/citation-style-language/schema/raw/master/csl-citation.json"} </w:instrText>
                  </w:r>
                  <w:r w:rsidRPr="002A5617">
                    <w:rPr>
                      <w:lang w:val="en-US"/>
                    </w:rPr>
                    <w:fldChar w:fldCharType="separate"/>
                  </w:r>
                  <w:r w:rsidRPr="002A5617">
                    <w:rPr>
                      <w:lang w:val="en-US"/>
                    </w:rPr>
                    <w:t>(Baxter, 2024; Hewitt, 2021)</w:t>
                  </w:r>
                  <w:r w:rsidRPr="002A5617">
                    <w:rPr>
                      <w:lang w:val="en-US"/>
                    </w:rPr>
                    <w:fldChar w:fldCharType="end"/>
                  </w:r>
                  <w:r w:rsidRPr="002A5617">
                    <w:rPr>
                      <w:lang w:val="en-US"/>
                    </w:rPr>
                    <w:t xml:space="preserve">. While fathers now spend more time on child care than in previous decades, the impact of parenthood on fathers’ time in unpaid care work has remained unchanged over a period of 20 years, remaining substantially below that of mothers’ care time </w:t>
                  </w:r>
                  <w:r w:rsidRPr="002A5617">
                    <w:rPr>
                      <w:lang w:val="en-US"/>
                    </w:rPr>
                    <w:fldChar w:fldCharType="begin"/>
                  </w:r>
                  <w:r w:rsidR="00E41D03">
                    <w:rPr>
                      <w:lang w:val="en-US"/>
                    </w:rPr>
                    <w:instrText xml:space="preserve"> ADDIN ZOTERO_ITEM CSL_CITATION {"citationID":"BbfbVlc1","properties":{"formattedCitation":"(Baxter, 2024)","plainCitation":"(Baxter, 2024)","noteIndex":0},"citationItems":[{"id":4691,"uris":["http://zotero.org/groups/5691188/items/8FKSJWXZ"],"itemData":{"id":4691,"type":"report","language":"en","publisher":"Australian Institute of Family Studies","source":"Zotero","title":"How mothers and fathers share child care in Australia","author":[{"family":"Baxter","given":"Jennifer"}],"issued":{"date-parts":[["2024"]]}}}],"schema":"https://github.com/citation-style-language/schema/raw/master/csl-citation.json"} </w:instrText>
                  </w:r>
                  <w:r w:rsidRPr="002A5617">
                    <w:rPr>
                      <w:lang w:val="en-US"/>
                    </w:rPr>
                    <w:fldChar w:fldCharType="separate"/>
                  </w:r>
                  <w:r w:rsidRPr="002A5617">
                    <w:rPr>
                      <w:lang w:val="en-US"/>
                    </w:rPr>
                    <w:t>(Baxter, 2024)</w:t>
                  </w:r>
                  <w:r w:rsidRPr="002A5617">
                    <w:rPr>
                      <w:lang w:val="en-US"/>
                    </w:rPr>
                    <w:fldChar w:fldCharType="end"/>
                  </w:r>
                  <w:r w:rsidRPr="002A5617">
                    <w:rPr>
                      <w:lang w:val="en-US"/>
                    </w:rPr>
                    <w:t xml:space="preserve">. Drawing on parents’ comments in their responses to the Families in Australia Surveys, Baxter (2024) attributes the gendered patterns in child care to gendered employment arrangements, meaning mothers are home and available more often, and may see it as ‘fair’ that the mother takes on more of the child care where the father has a ‘breadwinner’ role </w:t>
                  </w:r>
                  <w:r w:rsidRPr="002A5617">
                    <w:rPr>
                      <w:lang w:val="en-US"/>
                    </w:rPr>
                    <w:fldChar w:fldCharType="begin"/>
                  </w:r>
                  <w:r w:rsidR="00E41D03">
                    <w:rPr>
                      <w:lang w:val="en-US"/>
                    </w:rPr>
                    <w:instrText xml:space="preserve"> ADDIN ZOTERO_ITEM CSL_CITATION {"citationID":"EIFsXusB","properties":{"formattedCitation":"(Baxter, 2024)","plainCitation":"(Baxter, 2024)","noteIndex":0},"citationItems":[{"id":4691,"uris":["http://zotero.org/groups/5691188/items/8FKSJWXZ"],"itemData":{"id":4691,"type":"report","language":"en","publisher":"Australian Institute of Family Studies","source":"Zotero","title":"How mothers and fathers share child care in Australia","author":[{"family":"Baxter","given":"Jennifer"}],"issued":{"date-parts":[["2024"]]}}}],"schema":"https://github.com/citation-style-language/schema/raw/master/csl-citation.json"} </w:instrText>
                  </w:r>
                  <w:r w:rsidRPr="002A5617">
                    <w:rPr>
                      <w:lang w:val="en-US"/>
                    </w:rPr>
                    <w:fldChar w:fldCharType="separate"/>
                  </w:r>
                  <w:r w:rsidRPr="002A5617">
                    <w:rPr>
                      <w:lang w:val="en-US"/>
                    </w:rPr>
                    <w:t>(Baxter, 2024)</w:t>
                  </w:r>
                  <w:r w:rsidRPr="002A5617">
                    <w:rPr>
                      <w:lang w:val="en-US"/>
                    </w:rPr>
                    <w:fldChar w:fldCharType="end"/>
                  </w:r>
                  <w:r w:rsidRPr="002A5617">
                    <w:rPr>
                      <w:lang w:val="en-US"/>
                    </w:rPr>
                    <w:t>. Gender role attitudes were also</w:t>
                  </w:r>
                  <w:r w:rsidR="00E07E2D">
                    <w:rPr>
                      <w:lang w:val="en-US"/>
                    </w:rPr>
                    <w:t xml:space="preserve"> identified </w:t>
                  </w:r>
                  <w:r w:rsidRPr="002A5617">
                    <w:rPr>
                      <w:lang w:val="en-US"/>
                    </w:rPr>
                    <w:t xml:space="preserve">as playing a role, with some mothers commenting that their partner had expectations, or gender role attitudes, about who would do more of the child care, with this thought to be more of a mother’s task </w:t>
                  </w:r>
                  <w:r w:rsidRPr="002A5617">
                    <w:rPr>
                      <w:lang w:val="en-US"/>
                    </w:rPr>
                    <w:fldChar w:fldCharType="begin"/>
                  </w:r>
                  <w:r w:rsidR="00E41D03">
                    <w:rPr>
                      <w:lang w:val="en-US"/>
                    </w:rPr>
                    <w:instrText xml:space="preserve"> ADDIN ZOTERO_ITEM CSL_CITATION {"citationID":"esDhhyPM","properties":{"formattedCitation":"(Baxter, 2024)","plainCitation":"(Baxter, 2024)","noteIndex":0},"citationItems":[{"id":4691,"uris":["http://zotero.org/groups/5691188/items/8FKSJWXZ"],"itemData":{"id":4691,"type":"report","language":"en","publisher":"Australian Institute of Family Studies","source":"Zotero","title":"How mothers and fathers share child care in Australia","author":[{"family":"Baxter","given":"Jennifer"}],"issued":{"date-parts":[["2024"]]}}}],"schema":"https://github.com/citation-style-language/schema/raw/master/csl-citation.json"} </w:instrText>
                  </w:r>
                  <w:r w:rsidRPr="002A5617">
                    <w:rPr>
                      <w:lang w:val="en-US"/>
                    </w:rPr>
                    <w:fldChar w:fldCharType="separate"/>
                  </w:r>
                  <w:r w:rsidRPr="002A5617">
                    <w:rPr>
                      <w:lang w:val="en-US"/>
                    </w:rPr>
                    <w:t>(Baxter, 2024)</w:t>
                  </w:r>
                  <w:r w:rsidRPr="002A5617">
                    <w:rPr>
                      <w:lang w:val="en-US"/>
                    </w:rPr>
                    <w:fldChar w:fldCharType="end"/>
                  </w:r>
                  <w:r w:rsidRPr="002A5617">
                    <w:rPr>
                      <w:lang w:val="en-US"/>
                    </w:rPr>
                    <w:t xml:space="preserve">. </w:t>
                  </w:r>
                </w:p>
                <w:p w14:paraId="2973964C" w14:textId="16041A63" w:rsidR="00BD141F" w:rsidRDefault="00342554" w:rsidP="00342554">
                  <w:pPr>
                    <w:pStyle w:val="Text"/>
                    <w:rPr>
                      <w:lang w:val="en-US"/>
                    </w:rPr>
                  </w:pPr>
                  <w:r w:rsidRPr="00AE1B1F">
                    <w:rPr>
                      <w:lang w:val="en-US"/>
                    </w:rPr>
                    <w:t>Although close to 15% of families include someone with a long-term health condition, impairment or disability</w:t>
                  </w:r>
                  <w:r>
                    <w:rPr>
                      <w:lang w:val="en-US"/>
                    </w:rPr>
                    <w:t xml:space="preserve"> who require care from another family member</w:t>
                  </w:r>
                  <w:r w:rsidRPr="00AE1B1F">
                    <w:rPr>
                      <w:lang w:val="en-US"/>
                    </w:rPr>
                    <w:t xml:space="preserve">, there is substantial variation across family type. Research undertaken by Naidoo et al </w:t>
                  </w:r>
                  <w:r w:rsidRPr="00AE1B1F">
                    <w:rPr>
                      <w:lang w:val="en-US"/>
                    </w:rPr>
                    <w:fldChar w:fldCharType="begin"/>
                  </w:r>
                  <w:r w:rsidR="00E41D03">
                    <w:rPr>
                      <w:lang w:val="en-US"/>
                    </w:rPr>
                    <w:instrText xml:space="preserve"> ADDIN ZOTERO_ITEM CSL_CITATION {"citationID":"a1lg84i7ghc","properties":{"formattedCitation":"(2024)","plainCitation":"(2024)","noteIndex":0},"citationItems":[{"id":4693,"uris":["http://zotero.org/groups/5691188/items/38T8ACF5"],"itemData":{"id":4693,"type":"report","publisher":"UNSW Social Policy Research Centre and Uniting NSW.ACT","title":"Uniting Families Report","author":[{"family":"Naidoo","given":"Y"},{"family":"Blaxland","given":"M"},{"family":"Wong","given":"M"},{"family":"Katz","given":"I"}],"issued":{"date-parts":[["2024"]]}},"suppress-author":true}],"schema":"https://github.com/citation-style-language/schema/raw/master/csl-citation.json"} </w:instrText>
                  </w:r>
                  <w:r w:rsidRPr="00AE1B1F">
                    <w:rPr>
                      <w:lang w:val="en-US"/>
                    </w:rPr>
                    <w:fldChar w:fldCharType="separate"/>
                  </w:r>
                  <w:r w:rsidR="00AC138C" w:rsidRPr="00AC138C">
                    <w:rPr>
                      <w:rFonts w:ascii="Arial" w:hAnsi="Arial" w:cs="Arial"/>
                    </w:rPr>
                    <w:t>(2024)</w:t>
                  </w:r>
                  <w:r w:rsidRPr="00AE1B1F">
                    <w:rPr>
                      <w:lang w:val="en-US"/>
                    </w:rPr>
                    <w:fldChar w:fldCharType="end"/>
                  </w:r>
                  <w:r w:rsidR="008557D4">
                    <w:rPr>
                      <w:lang w:val="en-US"/>
                    </w:rPr>
                    <w:t xml:space="preserve"> </w:t>
                  </w:r>
                  <w:r w:rsidRPr="00AE1B1F">
                    <w:rPr>
                      <w:lang w:val="en-US"/>
                    </w:rPr>
                    <w:t>concludes that foster and other kin families, multigenerational families, single parent families and step and/or blended families are all more likely to be caring for someone with a long-term illness or disability. Unsurprisingly, people are more likely to report that they have caring responsibilities in their household among those family types where ill health and disability are more prevalent, particularly</w:t>
                  </w:r>
                  <w:r w:rsidR="00A47E14">
                    <w:rPr>
                      <w:lang w:val="en-US"/>
                    </w:rPr>
                    <w:t xml:space="preserve"> </w:t>
                  </w:r>
                  <w:r w:rsidRPr="00AE1B1F">
                    <w:rPr>
                      <w:lang w:val="en-US"/>
                    </w:rPr>
                    <w:t>multigenerational families, step and/or blended families</w:t>
                  </w:r>
                  <w:r>
                    <w:rPr>
                      <w:lang w:val="en-US"/>
                    </w:rPr>
                    <w:t>,</w:t>
                  </w:r>
                  <w:r w:rsidRPr="00AE1B1F">
                    <w:rPr>
                      <w:lang w:val="en-US"/>
                    </w:rPr>
                    <w:t xml:space="preserve"> and single parent familie</w:t>
                  </w:r>
                  <w:r>
                    <w:rPr>
                      <w:lang w:val="en-US"/>
                    </w:rPr>
                    <w:t>s.</w:t>
                  </w:r>
                  <w:r w:rsidR="000A2B25">
                    <w:rPr>
                      <w:lang w:val="en-US"/>
                    </w:rPr>
                    <w:t xml:space="preserve"> </w:t>
                  </w:r>
                  <w:r w:rsidR="00BD141F" w:rsidRPr="00BD141F">
                    <w:rPr>
                      <w:lang w:val="en-US"/>
                    </w:rPr>
                    <w:t>This work is also highly gendered, with women carrying most unpaid care responsibilities</w:t>
                  </w:r>
                  <w:r w:rsidR="00BD141F">
                    <w:rPr>
                      <w:lang w:val="en-US"/>
                    </w:rPr>
                    <w:t xml:space="preserve"> </w:t>
                  </w:r>
                  <w:r w:rsidR="001D5D32" w:rsidRPr="00264306">
                    <w:rPr>
                      <w:highlight w:val="yellow"/>
                      <w:lang w:val="en-US"/>
                    </w:rPr>
                    <w:fldChar w:fldCharType="begin"/>
                  </w:r>
                  <w:r w:rsidR="003A464F">
                    <w:rPr>
                      <w:highlight w:val="yellow"/>
                      <w:lang w:val="en-US"/>
                    </w:rPr>
                    <w:instrText xml:space="preserve"> ADDIN ZOTERO_ITEM CSL_CITATION {"citationID":"a1jps418miv","properties":{"formattedCitation":"(Standing Committee on Policy and Legal Affairs, 2024)","plainCitation":"(Standing Committee on Policy and Legal Affairs, 2024)","noteIndex":0},"citationItems":[{"id":5719,"uris":["http://zotero.org/groups/5691188/items/3KV5BNV9"],"itemData":{"id":5719,"type":"report","abstract":"Recognising valuing and supporting unpaid carers","genre":"text","language":"en-AU","license":"http://www.aph.gov.au/Help/Disclaimer_Privacy_Copyright","note":"archive_location: Australia\nLast Modified: 2024-03-26\npublisher: corporateName=Commonwealth Parliament; address=Parliament House, Canberra, ACT, 2600; contact=+61 2 6277 7111","title":"Recognising, valuing and supporting unpaid carers","URL":"https://www.aph.gov.au/Parliamentary_Business/Committees/House/Social_Policy_and_Legal_Affairs/UnpaidCarers/Recognising_valuing_and_supporting_unpaid_carers","author":[{"literal":"Standing Committee on Policy and Legal Affairs"}],"accessed":{"date-parts":[["2025",9,8]]},"issued":{"date-parts":[["2024"]]}}}],"schema":"https://github.com/citation-style-language/schema/raw/master/csl-citation.json"} </w:instrText>
                  </w:r>
                  <w:r w:rsidR="001D5D32" w:rsidRPr="00264306">
                    <w:rPr>
                      <w:highlight w:val="yellow"/>
                      <w:lang w:val="en-US"/>
                    </w:rPr>
                    <w:fldChar w:fldCharType="separate"/>
                  </w:r>
                  <w:r w:rsidR="003A464F" w:rsidRPr="003A464F">
                    <w:rPr>
                      <w:rFonts w:ascii="Arial" w:hAnsi="Arial" w:cs="Arial"/>
                    </w:rPr>
                    <w:t>(Standing Committee on Policy and Legal Affairs, 2024)</w:t>
                  </w:r>
                  <w:r w:rsidR="001D5D32" w:rsidRPr="00264306">
                    <w:rPr>
                      <w:highlight w:val="yellow"/>
                      <w:lang w:val="en-US"/>
                    </w:rPr>
                    <w:fldChar w:fldCharType="end"/>
                  </w:r>
                  <w:r w:rsidR="00264306" w:rsidRPr="00264306">
                    <w:rPr>
                      <w:lang w:val="en-US"/>
                    </w:rPr>
                    <w:t>.</w:t>
                  </w:r>
                  <w:r w:rsidR="00264306">
                    <w:rPr>
                      <w:lang w:val="en-US"/>
                    </w:rPr>
                    <w:t xml:space="preserve"> </w:t>
                  </w:r>
                  <w:r w:rsidR="00BD141F" w:rsidRPr="000C36A1">
                    <w:rPr>
                      <w:lang w:val="en-US"/>
                    </w:rPr>
                    <w:t>P</w:t>
                  </w:r>
                  <w:r w:rsidR="00BD141F" w:rsidRPr="00BD141F">
                    <w:rPr>
                      <w:lang w:val="en-US"/>
                    </w:rPr>
                    <w:t xml:space="preserve">aid care sectors are similarly female-dominated and marked by low wages, insecure employment, limited bargaining power, and high rates of part-time or casual work </w:t>
                  </w:r>
                  <w:r w:rsidR="00CD2FF7" w:rsidRPr="00B057A4">
                    <w:rPr>
                      <w:lang w:val="en-US"/>
                    </w:rPr>
                    <w:fldChar w:fldCharType="begin"/>
                  </w:r>
                  <w:r w:rsidR="003A464F">
                    <w:rPr>
                      <w:lang w:val="en-US"/>
                    </w:rPr>
                    <w:instrText xml:space="preserve"> ADDIN ZOTERO_ITEM CSL_CITATION {"citationID":"a2nag62m0n9","properties":{"formattedCitation":"(Prime Minister and Cabinet, 2024, 2023)","plainCitation":"(Prime Minister and Cabinet, 2024, 2023)","noteIndex":0},"citationItems":[{"id":5729,"uris":["http://zotero.org/groups/5691188/items/K59GUXQH"],"itemData":{"id":5729,"type":"webpage","abstract":"The care and support economy is one of the fastest growing parts of the Australian economy.To meet this growing demand, a significant reform agenda is underway across different parts of the sectors that make up the care and support economy - aged care, early childhood education and care, veterans’ care and disability support.This work is already helping to deliver quality care and support, and quality jobs, and is making sure the systems and processes that support the care and support economy are productive and sustainable into the future.","language":"en","title":"Care and support economy","URL":"https://www.pmc.gov.au/domestic-policy/care-and-support-economy","author":[{"literal":"Prime Minister and Cabinet"}],"accessed":{"date-parts":[["2025",9,9]]},"issued":{"date-parts":[["2024"]]}}},{"id":5715,"uris":["http://zotero.org/groups/5691188/items/U9X4U7ST"],"itemData":{"id":5715,"type":"report","language":"en","title":"Draft National Strategy for the Care and Support Economy","URL":"https://www.pmc.gov.au/resources/draft-national-strategy-care-and-support-economy","author":[{"literal":"Prime Minister and Cabinet"}],"accessed":{"date-parts":[["2025",9,8]]},"issued":{"date-parts":[["2023"]]}}}],"schema":"https://github.com/citation-style-language/schema/raw/master/csl-citation.json"} </w:instrText>
                  </w:r>
                  <w:r w:rsidR="00CD2FF7" w:rsidRPr="00B057A4">
                    <w:rPr>
                      <w:lang w:val="en-US"/>
                    </w:rPr>
                    <w:fldChar w:fldCharType="separate"/>
                  </w:r>
                  <w:r w:rsidR="003A464F" w:rsidRPr="003A464F">
                    <w:rPr>
                      <w:rFonts w:ascii="Arial" w:hAnsi="Arial" w:cs="Arial"/>
                    </w:rPr>
                    <w:t>(Prime Minister and Cabinet, 2024, 2023)</w:t>
                  </w:r>
                  <w:r w:rsidR="00CD2FF7" w:rsidRPr="00B057A4">
                    <w:rPr>
                      <w:lang w:val="en-US"/>
                    </w:rPr>
                    <w:fldChar w:fldCharType="end"/>
                  </w:r>
                  <w:r w:rsidR="00CD2FF7" w:rsidRPr="00D63E8D">
                    <w:rPr>
                      <w:lang w:val="en-US"/>
                    </w:rPr>
                    <w:t>.</w:t>
                  </w:r>
                  <w:r w:rsidR="00033A36" w:rsidRPr="00B057A4">
                    <w:rPr>
                      <w:lang w:val="en-US"/>
                    </w:rPr>
                    <w:t xml:space="preserve"> </w:t>
                  </w:r>
                  <w:r w:rsidR="00264306">
                    <w:rPr>
                      <w:lang w:val="en-US"/>
                    </w:rPr>
                    <w:t xml:space="preserve">Overall, </w:t>
                  </w:r>
                  <w:r w:rsidR="00B057A4">
                    <w:rPr>
                      <w:lang w:val="en-US"/>
                    </w:rPr>
                    <w:t xml:space="preserve">women’s </w:t>
                  </w:r>
                  <w:r w:rsidR="00264306">
                    <w:rPr>
                      <w:lang w:val="en-US"/>
                    </w:rPr>
                    <w:t>pa</w:t>
                  </w:r>
                  <w:r w:rsidR="00B057A4">
                    <w:rPr>
                      <w:lang w:val="en-US"/>
                    </w:rPr>
                    <w:t>i</w:t>
                  </w:r>
                  <w:r w:rsidR="00264306">
                    <w:rPr>
                      <w:lang w:val="en-US"/>
                    </w:rPr>
                    <w:t xml:space="preserve">d and unpaid care </w:t>
                  </w:r>
                  <w:r w:rsidR="00B057A4">
                    <w:rPr>
                      <w:lang w:val="en-US"/>
                    </w:rPr>
                    <w:t xml:space="preserve">work </w:t>
                  </w:r>
                  <w:r w:rsidR="00264306">
                    <w:rPr>
                      <w:lang w:val="en-US"/>
                    </w:rPr>
                    <w:t>account</w:t>
                  </w:r>
                  <w:r w:rsidR="00B057A4">
                    <w:rPr>
                      <w:lang w:val="en-US"/>
                    </w:rPr>
                    <w:t>s</w:t>
                  </w:r>
                  <w:r w:rsidR="00264306">
                    <w:rPr>
                      <w:lang w:val="en-US"/>
                    </w:rPr>
                    <w:t xml:space="preserve"> for 53% of the gender pay gap in lifetime </w:t>
                  </w:r>
                  <w:r w:rsidR="00520231">
                    <w:rPr>
                      <w:lang w:val="en-US"/>
                    </w:rPr>
                    <w:t>earnings</w:t>
                  </w:r>
                  <w:r w:rsidR="00264306">
                    <w:rPr>
                      <w:lang w:val="en-US"/>
                    </w:rPr>
                    <w:t xml:space="preserve"> and superannuation balances </w:t>
                  </w:r>
                  <w:r w:rsidR="00520231" w:rsidRPr="00520231">
                    <w:rPr>
                      <w:lang w:val="en-US"/>
                    </w:rPr>
                    <w:fldChar w:fldCharType="begin"/>
                  </w:r>
                  <w:r w:rsidR="003A464F">
                    <w:rPr>
                      <w:lang w:val="en-US"/>
                    </w:rPr>
                    <w:instrText xml:space="preserve"> ADDIN ZOTERO_ITEM CSL_CITATION {"citationID":"a2l0tgqls9r","properties":{"formattedCitation":"(Prime Minister and Cabinet, 2023)","plainCitation":"(Prime Minister and Cabinet, 2023)","noteIndex":0},"citationItems":[{"id":5715,"uris":["http://zotero.org/groups/5691188/items/U9X4U7ST"],"itemData":{"id":5715,"type":"report","language":"en","title":"Draft National Strategy for the Care and Support Economy","URL":"https://www.pmc.gov.au/resources/draft-national-strategy-care-and-support-economy","author":[{"literal":"Prime Minister and Cabinet"}],"accessed":{"date-parts":[["2025",9,8]]},"issued":{"date-parts":[["2023"]]}}}],"schema":"https://github.com/citation-style-language/schema/raw/master/csl-citation.json"} </w:instrText>
                  </w:r>
                  <w:r w:rsidR="00520231" w:rsidRPr="00520231">
                    <w:rPr>
                      <w:lang w:val="en-US"/>
                    </w:rPr>
                    <w:fldChar w:fldCharType="separate"/>
                  </w:r>
                  <w:r w:rsidR="003A464F" w:rsidRPr="003A464F">
                    <w:rPr>
                      <w:rFonts w:ascii="Arial" w:hAnsi="Arial" w:cs="Arial"/>
                    </w:rPr>
                    <w:t>(Prime Minister and Cabinet, 2023)</w:t>
                  </w:r>
                  <w:r w:rsidR="00520231" w:rsidRPr="00520231">
                    <w:rPr>
                      <w:lang w:val="en-US"/>
                    </w:rPr>
                    <w:fldChar w:fldCharType="end"/>
                  </w:r>
                  <w:r w:rsidR="00520231" w:rsidRPr="00520231">
                    <w:rPr>
                      <w:lang w:val="en-US"/>
                    </w:rPr>
                    <w:t>.</w:t>
                  </w:r>
                  <w:r w:rsidR="00520231">
                    <w:rPr>
                      <w:lang w:val="en-US"/>
                    </w:rPr>
                    <w:t xml:space="preserve"> </w:t>
                  </w:r>
                </w:p>
                <w:p w14:paraId="11F6AC08" w14:textId="08BA58FF" w:rsidR="00342554" w:rsidRDefault="00136F21" w:rsidP="00104088">
                  <w:pPr>
                    <w:pStyle w:val="Heading3"/>
                    <w:ind w:left="1418" w:hanging="1418"/>
                  </w:pPr>
                  <w:r>
                    <w:lastRenderedPageBreak/>
                    <w:t>N</w:t>
                  </w:r>
                  <w:r w:rsidR="00342554">
                    <w:t>eed for family violence, family, and relationship services</w:t>
                  </w:r>
                </w:p>
                <w:p w14:paraId="3BBDF7FA" w14:textId="230984FF" w:rsidR="00566847" w:rsidRDefault="00342554" w:rsidP="00342554">
                  <w:pPr>
                    <w:pStyle w:val="Text"/>
                    <w:rPr>
                      <w:lang w:val="en-US"/>
                    </w:rPr>
                  </w:pPr>
                  <w:r w:rsidRPr="00965DB8">
                    <w:rPr>
                      <w:lang w:val="en-US"/>
                    </w:rPr>
                    <w:t>The need for family violence, family, and relationship services in the Australia is shaped by trends in the dynamics of family relationships. This section explores patterns in the pressures facing Australians’ relationships. It then considers evidence relating to the impact of family relationships and transitions on individual wellbeing, as well as trends in family violence in Australia.</w:t>
                  </w:r>
                </w:p>
                <w:p w14:paraId="0CBE26B7" w14:textId="77777777" w:rsidR="00342554" w:rsidRDefault="00342554" w:rsidP="00321BC5">
                  <w:pPr>
                    <w:pStyle w:val="Text-BodyHeading"/>
                    <w:spacing w:before="360" w:after="240"/>
                  </w:pPr>
                  <w:r>
                    <w:t xml:space="preserve">Pressures on family relationships in Australia </w:t>
                  </w:r>
                </w:p>
                <w:p w14:paraId="75DFEA6E" w14:textId="2C969F72" w:rsidR="00342554" w:rsidRPr="00C42445" w:rsidRDefault="00342554" w:rsidP="00342554">
                  <w:pPr>
                    <w:pStyle w:val="Text"/>
                    <w:rPr>
                      <w:lang w:val="en-GB"/>
                    </w:rPr>
                  </w:pPr>
                  <w:r w:rsidRPr="00C42445">
                    <w:rPr>
                      <w:lang w:val="en-GB"/>
                    </w:rPr>
                    <w:t xml:space="preserve">Pressure on family relationships in Australia is influenced by experiences of violence, control, and feelings of safety. Relationships Australia </w:t>
                  </w:r>
                  <w:r w:rsidRPr="002A1CEF">
                    <w:rPr>
                      <w:lang w:val="en-GB"/>
                    </w:rPr>
                    <w:fldChar w:fldCharType="begin"/>
                  </w:r>
                  <w:r w:rsidR="00E41D03">
                    <w:rPr>
                      <w:lang w:val="en-GB"/>
                    </w:rPr>
                    <w:instrText xml:space="preserve"> ADDIN ZOTERO_ITEM CSL_CITATION {"citationID":"a72l413tkj","properties":{"formattedCitation":"(2022)","plainCitation":"(2022)","noteIndex":0},"citationItems":[{"id":4669,"uris":["http://zotero.org/groups/5691188/items/A43AYZKP"],"itemData":{"id":4669,"type":"report","collection-title":"Relationship Indicators","publisher":"Relationships Australia","title":"Relationship Indicators 2022 Full Report","URL":"https://www. relationships.org.au/relationship-indicators/.","author":[{"family":"Relationships Australia","given":""}],"issued":{"date-parts":[["2022"]]}},"suppress-author":true}],"schema":"https://github.com/citation-style-language/schema/raw/master/csl-citation.json"} </w:instrText>
                  </w:r>
                  <w:r w:rsidRPr="002A1CEF">
                    <w:rPr>
                      <w:lang w:val="en-GB"/>
                    </w:rPr>
                    <w:fldChar w:fldCharType="separate"/>
                  </w:r>
                  <w:r w:rsidR="00AC138C" w:rsidRPr="00AC138C">
                    <w:rPr>
                      <w:rFonts w:ascii="Arial" w:hAnsi="Arial" w:cs="Arial"/>
                    </w:rPr>
                    <w:t>(2022)</w:t>
                  </w:r>
                  <w:r w:rsidRPr="002A1CEF">
                    <w:rPr>
                      <w:lang w:val="en-GB"/>
                    </w:rPr>
                    <w:fldChar w:fldCharType="end"/>
                  </w:r>
                  <w:r>
                    <w:rPr>
                      <w:lang w:val="en-GB"/>
                    </w:rPr>
                    <w:t xml:space="preserve"> </w:t>
                  </w:r>
                  <w:r w:rsidRPr="00C42445">
                    <w:rPr>
                      <w:lang w:val="en-GB"/>
                    </w:rPr>
                    <w:t>highlighted that feeling unsafe in close relationships—whether with a partner or family member—can be a marker of potential family violence, with 8.8% of Australians reporting they felt unsafe disagreeing with the most important person in their life. This was most common among people aged 75 and older (16.2%). Those who felt unsafe were also more likely to report emotional and social loneliness, and almost half (48%) managed their relationship issues alone. Additionally, 7% of Australians reported experiencing controlling behaviour in their most important relationship, with no strong patterns based on age, gender, or socio-economic background</w:t>
                  </w:r>
                  <w:r w:rsidRPr="002A1CEF">
                    <w:rPr>
                      <w:lang w:val="en-GB"/>
                    </w:rPr>
                    <w:t xml:space="preserve"> </w:t>
                  </w:r>
                  <w:r w:rsidRPr="002A1CEF">
                    <w:rPr>
                      <w:lang w:val="en-GB"/>
                    </w:rPr>
                    <w:fldChar w:fldCharType="begin"/>
                  </w:r>
                  <w:r w:rsidR="00E41D03">
                    <w:rPr>
                      <w:lang w:val="en-GB"/>
                    </w:rPr>
                    <w:instrText xml:space="preserve"> ADDIN ZOTERO_ITEM CSL_CITATION {"citationID":"a1qgjdsjtm5","properties":{"formattedCitation":"(Relationships Australia, 2022)","plainCitation":"(Relationships Australia, 2022)","noteIndex":0},"citationItems":[{"id":4669,"uris":["http://zotero.org/groups/5691188/items/A43AYZKP"],"itemData":{"id":4669,"type":"report","collection-title":"Relationship Indicators","publisher":"Relationships Australia","title":"Relationship Indicators 2022 Full Report","URL":"https://www. relationships.org.au/relationship-indicators/.","author":[{"family":"Relationships Australia","given":""}],"issued":{"date-parts":[["2022"]]}}}],"schema":"https://github.com/citation-style-language/schema/raw/master/csl-citation.json"} </w:instrText>
                  </w:r>
                  <w:r w:rsidRPr="002A1CEF">
                    <w:rPr>
                      <w:lang w:val="en-GB"/>
                    </w:rPr>
                    <w:fldChar w:fldCharType="separate"/>
                  </w:r>
                  <w:r w:rsidR="00AC138C" w:rsidRPr="00AC138C">
                    <w:rPr>
                      <w:rFonts w:ascii="Arial" w:hAnsi="Arial" w:cs="Arial"/>
                    </w:rPr>
                    <w:t>(Relationships Australia, 2022)</w:t>
                  </w:r>
                  <w:r w:rsidRPr="002A1CEF">
                    <w:rPr>
                      <w:lang w:val="en-GB"/>
                    </w:rPr>
                    <w:fldChar w:fldCharType="end"/>
                  </w:r>
                  <w:r w:rsidR="00C53267">
                    <w:rPr>
                      <w:lang w:val="en-GB"/>
                    </w:rPr>
                    <w:t>.</w:t>
                  </w:r>
                </w:p>
                <w:p w14:paraId="25B7716A" w14:textId="107BFC02" w:rsidR="00C53267" w:rsidRDefault="00342554" w:rsidP="00342554">
                  <w:pPr>
                    <w:pStyle w:val="Text"/>
                    <w:rPr>
                      <w:lang w:val="en-GB"/>
                    </w:rPr>
                  </w:pPr>
                  <w:r w:rsidRPr="00C42445">
                    <w:rPr>
                      <w:lang w:val="en-GB"/>
                    </w:rPr>
                    <w:t xml:space="preserve">External pressures are also a significant challenge for Australian families. Relationships Australia </w:t>
                  </w:r>
                  <w:r w:rsidRPr="002A1CEF">
                    <w:rPr>
                      <w:lang w:val="en-GB"/>
                    </w:rPr>
                    <w:fldChar w:fldCharType="begin"/>
                  </w:r>
                  <w:r w:rsidR="00E41D03">
                    <w:rPr>
                      <w:lang w:val="en-GB"/>
                    </w:rPr>
                    <w:instrText xml:space="preserve"> ADDIN ZOTERO_ITEM CSL_CITATION {"citationID":"p2hIj2TR","properties":{"formattedCitation":"(2022)","plainCitation":"(2022)","noteIndex":0},"citationItems":[{"id":4669,"uris":["http://zotero.org/groups/5691188/items/A43AYZKP"],"itemData":{"id":4669,"type":"report","collection-title":"Relationship Indicators","publisher":"Relationships Australia","title":"Relationship Indicators 2022 Full Report","URL":"https://www. relationships.org.au/relationship-indicators/.","author":[{"family":"Relationships Australia","given":""}],"issued":{"date-parts":[["2022"]]}},"suppress-author":true}],"schema":"https://github.com/citation-style-language/schema/raw/master/csl-citation.json"} </w:instrText>
                  </w:r>
                  <w:r w:rsidRPr="002A1CEF">
                    <w:rPr>
                      <w:lang w:val="en-GB"/>
                    </w:rPr>
                    <w:fldChar w:fldCharType="separate"/>
                  </w:r>
                  <w:r w:rsidR="00AC138C" w:rsidRPr="00AC138C">
                    <w:rPr>
                      <w:rFonts w:ascii="Arial" w:hAnsi="Arial" w:cs="Arial"/>
                    </w:rPr>
                    <w:t>(2022)</w:t>
                  </w:r>
                  <w:r w:rsidRPr="002A1CEF">
                    <w:rPr>
                      <w:lang w:val="en-GB"/>
                    </w:rPr>
                    <w:fldChar w:fldCharType="end"/>
                  </w:r>
                  <w:r>
                    <w:rPr>
                      <w:lang w:val="en-GB"/>
                    </w:rPr>
                    <w:t xml:space="preserve"> </w:t>
                  </w:r>
                  <w:r w:rsidRPr="00C42445">
                    <w:rPr>
                      <w:lang w:val="en-GB"/>
                    </w:rPr>
                    <w:t xml:space="preserve">found that 71.9% of Australians had experienced pressures in their most important relationship within the previous </w:t>
                  </w:r>
                  <w:r w:rsidR="008C7BAF">
                    <w:rPr>
                      <w:lang w:val="en-GB"/>
                    </w:rPr>
                    <w:t>6</w:t>
                  </w:r>
                  <w:r w:rsidRPr="00C42445">
                    <w:rPr>
                      <w:lang w:val="en-GB"/>
                    </w:rPr>
                    <w:t xml:space="preserve"> months, with the average person facing </w:t>
                  </w:r>
                  <w:r w:rsidR="00570098">
                    <w:rPr>
                      <w:lang w:val="en-GB"/>
                    </w:rPr>
                    <w:t>1</w:t>
                  </w:r>
                  <w:r w:rsidRPr="00C42445">
                    <w:rPr>
                      <w:lang w:val="en-GB"/>
                    </w:rPr>
                    <w:t xml:space="preserve"> to </w:t>
                  </w:r>
                  <w:r w:rsidR="00570098">
                    <w:rPr>
                      <w:lang w:val="en-GB"/>
                    </w:rPr>
                    <w:t>2</w:t>
                  </w:r>
                  <w:r w:rsidRPr="00C42445">
                    <w:rPr>
                      <w:lang w:val="en-GB"/>
                    </w:rPr>
                    <w:t xml:space="preserve"> pressures. Common stressors included study or work commitments (25.8%), mental health issues (22.1%), and financial problems (20%). </w:t>
                  </w:r>
                  <w:r w:rsidR="0018337C">
                    <w:rPr>
                      <w:lang w:val="en-GB"/>
                    </w:rPr>
                    <w:t>N</w:t>
                  </w:r>
                  <w:r w:rsidR="0018337C" w:rsidRPr="00C42445">
                    <w:rPr>
                      <w:lang w:val="en-GB"/>
                    </w:rPr>
                    <w:t>early 20% of respondents</w:t>
                  </w:r>
                  <w:r w:rsidR="008712CB">
                    <w:rPr>
                      <w:lang w:val="en-GB"/>
                    </w:rPr>
                    <w:t xml:space="preserve"> cited</w:t>
                  </w:r>
                  <w:r w:rsidR="0018337C" w:rsidRPr="00C42445">
                    <w:rPr>
                      <w:lang w:val="en-GB"/>
                    </w:rPr>
                    <w:t xml:space="preserve"> </w:t>
                  </w:r>
                  <w:r w:rsidR="008712CB">
                    <w:rPr>
                      <w:lang w:val="en-GB"/>
                    </w:rPr>
                    <w:t>t</w:t>
                  </w:r>
                  <w:r w:rsidRPr="00C42445">
                    <w:rPr>
                      <w:lang w:val="en-GB"/>
                    </w:rPr>
                    <w:t>he COVID-19 pandemic and unequal division of household tasks. Age played a key role: younger people (18–24 years) reported the highest levels of relationship pressure (86.5%), while nearly half (49.5%) of people aged 75 and over reported no pressures at all. Relationship length also influenced the types of pressures experienced. People in relationships under five years most often cited work/study (43.3%) and mental health (41.7%) as stressors, while those in relationships of 6–30 years pointed to the division of household tasks (29.5%). In contrast, 39.3% of people in relationships over 30 years reported no relationship pressures</w:t>
                  </w:r>
                  <w:r>
                    <w:rPr>
                      <w:lang w:val="en-GB"/>
                    </w:rPr>
                    <w:t xml:space="preserve"> </w:t>
                  </w:r>
                  <w:r w:rsidRPr="002A1CEF">
                    <w:rPr>
                      <w:lang w:val="en-GB"/>
                    </w:rPr>
                    <w:fldChar w:fldCharType="begin"/>
                  </w:r>
                  <w:r w:rsidR="00E41D03">
                    <w:rPr>
                      <w:lang w:val="en-GB"/>
                    </w:rPr>
                    <w:instrText xml:space="preserve"> ADDIN ZOTERO_ITEM CSL_CITATION {"citationID":"Mk71sJ11","properties":{"formattedCitation":"(Relationships Australia, 2022)","plainCitation":"(Relationships Australia, 2022)","noteIndex":0},"citationItems":[{"id":4669,"uris":["http://zotero.org/groups/5691188/items/A43AYZKP"],"itemData":{"id":4669,"type":"report","collection-title":"Relationship Indicators","publisher":"Relationships Australia","title":"Relationship Indicators 2022 Full Report","URL":"https://www. relationships.org.au/relationship-indicators/.","author":[{"family":"Relationships Australia","given":""}],"issued":{"date-parts":[["2022"]]}}}],"schema":"https://github.com/citation-style-language/schema/raw/master/csl-citation.json"} </w:instrText>
                  </w:r>
                  <w:r w:rsidRPr="002A1CEF">
                    <w:rPr>
                      <w:lang w:val="en-GB"/>
                    </w:rPr>
                    <w:fldChar w:fldCharType="separate"/>
                  </w:r>
                  <w:r w:rsidR="00AC138C" w:rsidRPr="00AC138C">
                    <w:rPr>
                      <w:rFonts w:ascii="Arial" w:hAnsi="Arial" w:cs="Arial"/>
                    </w:rPr>
                    <w:t>(Relationships Australia, 2022)</w:t>
                  </w:r>
                  <w:r w:rsidRPr="002A1CEF">
                    <w:rPr>
                      <w:lang w:val="en-GB"/>
                    </w:rPr>
                    <w:fldChar w:fldCharType="end"/>
                  </w:r>
                  <w:r>
                    <w:rPr>
                      <w:lang w:val="en-GB"/>
                    </w:rPr>
                    <w:t xml:space="preserve">. </w:t>
                  </w:r>
                  <w:r w:rsidR="00C53267">
                    <w:rPr>
                      <w:lang w:val="en-GB"/>
                    </w:rPr>
                    <w:t>F</w:t>
                  </w:r>
                  <w:r w:rsidR="00C53267" w:rsidRPr="004937D2">
                    <w:rPr>
                      <w:lang w:val="en-GB"/>
                    </w:rPr>
                    <w:t xml:space="preserve">urther, </w:t>
                  </w:r>
                  <w:r w:rsidR="00C53267" w:rsidRPr="004937D2">
                    <w:t xml:space="preserve">understandings of factors impacting families and relationships have changed with increased knowledge of </w:t>
                  </w:r>
                  <w:r w:rsidR="00A47184">
                    <w:t>the</w:t>
                  </w:r>
                  <w:r w:rsidR="000A06DC">
                    <w:t>ir</w:t>
                  </w:r>
                  <w:r w:rsidR="00A47184">
                    <w:t xml:space="preserve"> intersection with</w:t>
                  </w:r>
                  <w:r w:rsidR="00C53267" w:rsidRPr="004937D2">
                    <w:t xml:space="preserve"> mental health</w:t>
                  </w:r>
                  <w:r w:rsidR="000A06DC">
                    <w:t xml:space="preserve"> </w:t>
                  </w:r>
                  <w:r w:rsidR="000A06DC" w:rsidRPr="00120900">
                    <w:fldChar w:fldCharType="begin"/>
                  </w:r>
                  <w:r w:rsidR="00E41D03">
                    <w:instrText xml:space="preserve"> ADDIN ZOTERO_ITEM CSL_CITATION {"citationID":"a1o4l5fs38h","properties":{"formattedCitation":"(Andersen et al., 2021; Carr, 2025; Isobe et al., 2020; White et al., 2024)","plainCitation":"(Andersen et al., 2021; Carr, 2025; Isobe et al., 2020; White et al., 2024)","noteIndex":0},"citationItems":[{"id":5674,"uris":["http://zotero.org/groups/5691188/items/LXSYCZAT"],"itemData":{"id":5674,"type":"article-journal","abstract":"Interventions that support social relationships are widely used to promote mental health and increasingly involve the use of digital technologies. Solid theoretical underpinning is crucial for interventions to achieve the intended outcomes and avoid unintended consequences. Several theories linking social relationships to mental health exist in the literature but plurality and overlapping elements complicate the choice of appropriate theory. The aim of this study was to systematically review and synthesize theories linking social relationships to mental health to extract key theoretical assumptions to explain 1) how social relationships influence mental health, and 2) the circumstances that distinguish beneficial social relationships from relationships that have no effects or cause harm. Results of the synthesis are discussed in relation to general interventions, and implications for the use of digital interventions as novel tools to support social relationships and mental health are drawn out. The systematic search was performed in five electronic databases: PubMed, Sociological Abstracts, PsycINFO, CINAHL, and Embase. Six theoretical frameworks met our inclusion criteria and were included in the synthesis. The theory synthesis followed three stages: 1. synthesis preparation, 2. synthesis, and 3. synthesis refinement. Findings show that various social relationships influence people's mental health, both in adverse situations and in those without adversities. Their impact is shaped by a complex interplay of individual and relational circumstances and the individual's subjective perceptions. Quality and content are central to separating beneficial relationships from those that are not beneficial. Findings support the potential of interventions based on social relationships to improve mental health but highlight the need to consider the circumstances where relationships might do more harm than good. Digital interventions may improve people's opportunities to develop new relationships or strengthen existing ones, but they require a special focus on ensuring the quality and content of relationships to maximize this potential benefit.","container-title":"SSM - Mental Health","DOI":"10.1016/j.ssmmh.2021.100042","ISSN":"2666-5603","journalAbbreviation":"SSM - Mental Health","page":"100042","source":"ScienceDirect","title":"The social route to mental health: A systematic review and synthesis of theories linking social relationships to mental health to inform interventions","title-short":"The social route to mental health","volume":"1","author":[{"family":"Andersen","given":"Lærke Mai Bonde"},{"family":"Rasmussen","given":"Amanda Nikolajew"},{"family":"Reavley","given":"Nicola J."},{"family":"Bøggild","given":"Henrik"},{"family":"Overgaard","given":"Charlotte"}],"issued":{"date-parts":[["2021",12,1]]}}},{"id":5670,"uris":["http://zotero.org/groups/5691188/items/S9AG723T"],"itemData":{"id":5670,"type":"article-journal","abstract":"This twenty-fifth anniversary review updates previous similar papers published in JFT in 2000, 2009, 2014 and 2019. It presents evidence from meta-analyses, systematic reviews and controlled trials for the effectiveness of couple therapy and systemic interventions for adults with a range or relationship and mental physical health problems. The evidence supports the effectiveness of systemic interventions, either alone or as part of multimodal programmes, for relationship distress, psychosexual problems, intimate partner violence, anxiety and mood disorders, alcohol problems, schizophrenia and adjustment to chronic physical illness. Systemic interventions are as effective as evidenced-based individual psychotherapeutic interventions for all of these problems, and more effective than individual therapy for some, including for relationship distress, situational intimate partner violence and delaying relapse in schizophrenia.","container-title":"Journal of Family Therapy","DOI":"10.1111/1467-6427.12481","ISSN":"1467-6427","issue":"1","language":"en","license":"© 2025 The Author(s). Journal of Family Therapy published by John Wiley &amp; Sons Ltd on behalf of The Association for Family Therapy and Systemic Practice.","note":"_eprint: https://onlinelibrary.wiley.com/doi/pdf/10.1111/1467-6427.12481","page":"e12481","source":"Wiley Online Library","title":"Couple therapy and systemic interventions for adult-focused problems: The evidence base","title-short":"Couple therapy and systemic interventions for adult-focused problems","volume":"47","author":[{"family":"Carr","given":"Alan"}],"issued":{"date-parts":[["2025"]]}}},{"id":5665,"uris":["http://zotero.org/groups/5691188/items/69ZYFYRA"],"itemData":{"id":5665,"type":"article-journal","abstract":"A critical interpretive synthesis (CIS) methodology was used with the aim of informing practice with children and families when domestic and family violence (DFV) and parental issues relating to alcohol and other drugs (AOD) and mental health (MH) are also present. A CIS is grounded in the literature, but includes questioning of the literature in order to problematise gaps, contradictions and constructions of issues. A review of the literature from 2010 to 2018 was conducted with the structured search strategy identifying 40 relevant research articles. Synthesis and critique of these articles revealed three mutually informative themes through which to understand the literature and how it can inform practice. They were as follows: differences in theoretical approaches and client focus; complexity of system's collaboration; and practices converging on mothers. Taken together, these themes facilitated the development of the synthesising construct: strengthening intersection between DFV, AOD and MH sectors. Attention to practice at multiple levels that responds to the dynamics of gender and the differing impacts of violence was often lacking, particularly in the context of heightened child protection concerns where collaboration between sectors is needed. Both promising and problematic practices relating to gender dynamics and accountability converged on mothers. While there were exceptions, generally, there was an absence of engagement with, and recognition of, the impacts of fathers’ patterns of using violence and control on adult and child survivors. Promising practice related to the strengthening of the mother–child relationship and attention to MH and its intersection with domestic violence. Strengthening the intersections between DFV, AOD and MH practices with attention to keeping the perpetrator of violence in view is critical to overcoming the poor practice that can occur when sec tors are siloed from each other.","container-title":"Health &amp; Social Care in the Community","DOI":"10.1111/hsc.12978","ISSN":"0966-0410, 1365-2524","issue":"5","journalAbbreviation":"Health Soc Care Community","language":"en","page":"1394-1407","source":"DOI.org (Crossref)","title":"A critical interpretive synthesis of the intersection of domestic violence with parental issues of mental health and substance misuse","volume":"28","author":[{"family":"Isobe","given":"Jasmin"},{"family":"Healey","given":"Lucy"},{"family":"Humphreys","given":"Cathy"}],"issued":{"date-parts":[["2020",9]]}}},{"id":5668,"uris":["http://zotero.org/groups/5691188/items/WACD6X6D"],"itemData":{"id":5668,"type":"article-journal","abstract":"The aim of this systematic review was to assess the magnitude of the association between types of intimate partner violence (IPV) and mental health outcomes and shed light on the large variation in IPV prevalence rates between low- to middle-income countries and high-income countries. The study is a systematic review and meta-analysis. The following databases were searched for this study: Cochrane, MEDLINE, EMBASE, PsycINFO, Cumulative Index to Nursing and Allied Health Literature, and the Applied Social Sciences Index and Abstracts. The inclusion criteria for this study are as follows: quantitative studies published from 2012 to 2020 on IPV exposure in women aged 16+, using validated measures. Random effects meta-analyses and subgroup analysis exploring heterogeneity across population groups in different economic contexts are used in this study. In all, 201 studies were included with 250,599 women, primarily from high-income countries. Higher prevalence rates were reported for women?s lifetime IPV than past year IPV. Lifetime psychological violence was the most prevalent form of IPV. Women in the community reported the highest prevalence for physical, psychological, and sexual violence in the past year compared to clinical groups. Perinatal women were most likely to have experienced lifetime physical IPV. Prevalence rates differed significantly (p?=?.037 to &lt;.001) for ?any IPV? and all subtypes by income country level. Meta-analysis suggested increased odds for all mental health outcomes associated with IPV including depression (odds ratio [OR]?=?2.04?3.14), posttraumatic stress disorder (PTSD) (OR?=?2.15?2.66), and suicidality (OR?=?2.17?5.52). Clinical and community populations were exposed to high prevalence of IPV and increased likelihood of depression, PTSD, and suicidality. Future research should seek to understand women?s perspectives on service/support responses to IPV to address their mental health needs. Work with IPV survivors should be carried out to develop bespoke services to reduce IPV in groups most at risk such as pregnant and/or help-seeking women.","container-title":"Trauma, Violence, &amp; Abuse","DOI":"10.1177/15248380231155529","ISSN":"1524-8380","issue":"1","note":"publisher: SAGE Publications","page":"494-511","source":"SAGE Journals","title":"Global Prevalence and Mental Health Outcomes of Intimate Partner Violence Among Women: A Systematic Review and Meta-Analysis","title-short":"Global Prevalence and Mental Health Outcomes of Intimate Partner Violence Among Women","volume":"25","author":[{"family":"White","given":"Sarah J."},{"family":"Sin","given":"Jacqueline"},{"family":"Sweeney","given":"Angela"},{"family":"Salisbury","given":"Tatiana"},{"family":"Wahlich","given":"Charlotte"},{"family":"Montesinos Guevara","given":"Camila Margarita"},{"family":"Gillard","given":"Steven"},{"family":"Brett","given":"Emma"},{"family":"Allwright","given":"Lucy"},{"family":"Iqbal","given":"Naima"},{"family":"Khan","given":"Alicia"},{"family":"Perot","given":"Concetta"},{"family":"Marks","given":"Jacqueline"},{"family":"Mantovani","given":"Nadia"}],"issued":{"date-parts":[["2024",1,1]]}}}],"schema":"https://github.com/citation-style-language/schema/raw/master/csl-citation.json"} </w:instrText>
                  </w:r>
                  <w:r w:rsidR="000A06DC" w:rsidRPr="00120900">
                    <w:fldChar w:fldCharType="separate"/>
                  </w:r>
                  <w:r w:rsidR="003C117F" w:rsidRPr="003C117F">
                    <w:rPr>
                      <w:rFonts w:ascii="Arial" w:hAnsi="Arial" w:cs="Arial"/>
                    </w:rPr>
                    <w:t>(Andersen et al., 2021; Carr, 2025; Isobe et al., 2020; White et al., 2024)</w:t>
                  </w:r>
                  <w:r w:rsidR="000A06DC" w:rsidRPr="00120900">
                    <w:fldChar w:fldCharType="end"/>
                  </w:r>
                  <w:r w:rsidR="00A47184">
                    <w:t>,</w:t>
                  </w:r>
                  <w:r w:rsidR="00C53267" w:rsidRPr="004937D2">
                    <w:t xml:space="preserve"> disability</w:t>
                  </w:r>
                  <w:r w:rsidR="00280D2E" w:rsidRPr="000A06DC">
                    <w:t xml:space="preserve"> </w:t>
                  </w:r>
                  <w:r w:rsidR="00280D2E" w:rsidRPr="000A06DC">
                    <w:fldChar w:fldCharType="begin"/>
                  </w:r>
                  <w:r w:rsidR="00E41D03">
                    <w:instrText xml:space="preserve"> ADDIN ZOTERO_ITEM CSL_CITATION {"citationID":"aghl83otr8","properties":{"formattedCitation":"(Bertschi et al., 2021; Saleme et al., 2023; Walter et al., 2024)","plainCitation":"(Bertschi et al., 2021; Saleme et al., 2023; Walter et al., 2024)","noteIndex":0},"citationItems":[{"id":5682,"uris":["http://zotero.org/groups/5691188/items/UMGV2WB2"],"itemData":{"id":5682,"type":"article-journal","abstract":"Chronically disabling health impairments affect an increasing number of people worldwide. In close relationships, disability is an interpersonal experience. Psychological distress is thus common in patients as well as their spouses. Dyadic coping can alleviate stress and promote adjustment in couples who face disabling health impairments. Much research has focused on dyadic coping with cancer. However, other health problems such as physical and sensory impairments are also common and may strongly impact couple relationships. In order to promote couples' optimal adjustment to impaired health, the identification of disability-related relationship challenges is required. Furthermore, ways in which dyadic coping with these challenges may benefit couples could inform researchers and practitioners how to support couples in coping with health impairments. Accordingly, the aims of this study were to systematically review dyadic challenges and dyadic coping when one partner has a chronically disabling physical or sensory impairment. Out of 873 articles identified through database searches, 36 studies met inclusion criteria. The disability-related dyadic challenges identified in the review were changed roles and responsibilities within the couple, altered communication, compromised sexual intimacy, and reduced social participation. These challenges were reported to burden both partners and the couple relationship. Dyadic adjustment benefitted from a we-perspective, i.e., when couples viewed the disability as a shared challenge and engaged in conjoint dyadic coping. The results suggest that patient/care recipient and partner/caregiver roles should be de-emphasized and that disability should be recognized as an interpersonal experience.","container-title":"Frontiers in Psychology","DOI":"10.3389/fpsyg.2021.624609","ISSN":"1664-1078","journalAbbreviation":"Front Psychol","note":"PMID: 33732189\nPMCID: PMC7959177","page":"624609","source":"PubMed Central","title":"Disability as an Interpersonal Experience: A Systematic Review on Dyadic Challenges and Dyadic Coping When One Partner Has a Chronic Physical or Sensory Impairment","title-short":"Disability as an Interpersonal Experience","volume":"12","author":[{"family":"Bertschi","given":"Isabella C."},{"family":"Meier","given":"Fabienne"},{"family":"Bodenmann","given":"Guy"}],"issued":{"date-parts":[["2021",3,1]]}}},{"id":5685,"uris":["http://zotero.org/groups/5691188/items/524SYZ9G"],"itemData":{"id":5685,"type":"article-journal","abstract":"Purpose: While domestic and family violence against people with disabilities is an ongoing and crucial public health concern, and awareness of the extent of violence against people with disabilities is growing, research on the field is still limited. Thus, the present review aims to systematically identify and synthesize evidence and effectiveness from intervention strategies to increase the awareness and skills of those with disabilities to reduce and prevent domestic and family violence against them. Method: PRISMA guidelines were followed to perform a systematic search of seven scientific databases to identify the peer-reviewed literature. Results: A total of 17 eligible studies were identified (14 evaluations and 3 descriptive studies), with most taking place in developed countries. Children and women are the most frequent victims, and they were therefore the most common target audience of the included studies. Sexual, physical, and verbal abuse were the most reported types of abuse, while financial abuse and neglect were studied less often. Interventions also focused on a diversity of disabilities, including learning, intellectual, mental, and physical impairments. Overall, the intervention strategies reflected a substantial homogeneity: focus on training and education as well as setting up channels and facilities for victims to seek help. Nine studies yielded significant positive outcomes using various strategies and techniques, while five studies had mixed results, and three studies only reported on the intervention strategies but did not evaluate the results. Conclusions: This review confirms a significant gap in the literature on domestic and family violence against people with disabilities and how to prevent and address the violence through evidence-based interventions. Several recommendations to improve future research and practice are proposed.","container-title":"International Journal of Environmental Research and Public Health","DOI":"10.3390/ijerph20032145","ISSN":"1660-4601","issue":"3","language":"en","license":"http://creativecommons.org/licenses/by/3.0/","note":"number: 3\npublisher: Multidisciplinary Digital Publishing Institute","page":"2145","source":"www.mdpi.com","title":"An Integrative Literature Review of Interventions to Protect People with Disabilities from Domestic and Family Violence","volume":"20","author":[{"family":"Saleme","given":"Pamela"},{"family":"Seydel","given":"Tori"},{"family":"Pang","given":"Bo"},{"family":"Deshpande","given":"Sameer"},{"family":"Parkinson","given":"Joy"}],"issued":{"date-parts":[["2023",1]]}}},{"id":5679,"uris":["http://zotero.org/groups/5691188/items/YIMRCB2J"],"itemData":{"id":5679,"type":"article-journal","abstract":"This article reports on a scoping review exploring understandings of family and domestic violence (FDV) against women with disability (WWD) within the literature and constitutes the second article in a two-part series, the first critiquing the categorization and measurement of FDV and disability. We report findings from qualitative studies included in the review, predominantly interpretivist and critical in orientation. The scoping review included 43 articles, 15 of which are included here, as they draw upon data directly from the perspectives of WWD. Reflexive thematic analysis was conducted, utilizing both inductive and deductive coding, and consultation between the authors. The analysis highlighted experiences of disability-based abuse, the nexus of ableism and sexism within the everyday, and meanings of justice and resilience for WWD. Disability-based abuse was perpetrated primarily by intimate partners, including financial and physical disability-based abuse, and was used to exploit and perpetuate situations of isolation. Sexist and ableist expectations, assumptions, and attitudes converged in everyday encounters within the community, with workers and systems. However, WWD reported strategies of resistance, healing, coping, and moving on in the aftermath of FDV and indicated what can be done to promote justice, both personally and within systems. The findings were discussed drawing on Axel Honneth’s theory of recognition to highlight the mechanisms by which recognition and respect can be enhanced to enable full access to citizenship, in particular, for WWD to live free from violence.","container-title":"Trauma, Violence &amp; Abuse","DOI":"10.1177/15248380231201813","ISSN":"1524-8380","issue":"3","journalAbbreviation":"Trauma Violence Abuse","note":"PMID: 37776309\nPMCID: PMC11155203","page":"1925-1937","source":"PubMed Central","title":"Exploring Lived Experience of Family and Domestic Violence Against Women With Disability: A Scoping Review","title-short":"Exploring Lived Experience of Family and Domestic Violence Against Women With Disability","volume":"25","author":[{"family":"Walter","given":"Brontё"},{"family":"Chung","given":"Donna"},{"family":"Waters","given":"Rebecca"},{"family":"Watts","given":"Lynelle"}],"issued":{"date-parts":[["2024",7]]}}}],"schema":"https://github.com/citation-style-language/schema/raw/master/csl-citation.json"} </w:instrText>
                  </w:r>
                  <w:r w:rsidR="00280D2E" w:rsidRPr="000A06DC">
                    <w:fldChar w:fldCharType="separate"/>
                  </w:r>
                  <w:r w:rsidR="003C117F" w:rsidRPr="003C117F">
                    <w:rPr>
                      <w:rFonts w:ascii="Arial" w:hAnsi="Arial" w:cs="Arial"/>
                    </w:rPr>
                    <w:t>(Bertschi et al., 2021; Saleme et al., 2023; Walter et al., 2024)</w:t>
                  </w:r>
                  <w:r w:rsidR="00280D2E" w:rsidRPr="000A06DC">
                    <w:fldChar w:fldCharType="end"/>
                  </w:r>
                  <w:r w:rsidR="00176EE7">
                    <w:t xml:space="preserve"> </w:t>
                  </w:r>
                  <w:r w:rsidR="00C53267" w:rsidRPr="004937D2">
                    <w:t xml:space="preserve">and other factors. Understandings of family violence have also shifted with increased awareness of actions constituting family violence including coercive control (including financial and emotional abuse) </w:t>
                  </w:r>
                  <w:r w:rsidR="00C53267" w:rsidRPr="004937D2">
                    <w:fldChar w:fldCharType="begin"/>
                  </w:r>
                  <w:r w:rsidR="00E41D03">
                    <w:instrText xml:space="preserve"> ADDIN ZOTERO_ITEM CSL_CITATION {"citationID":"amb74lb977","properties":{"formattedCitation":"(Beckwith et al., 2023; Harris and Woodlock, 2019)","plainCitation":"(Beckwith et al., 2023; Harris and Woodlock, 2019)","noteIndex":0},"citationItems":[{"id":5630,"uris":["http://zotero.org/groups/5691188/items/FKIQJZWC"],"itemData":{"id":5630,"type":"article-journal","language":"en","source":"Zotero","title":"Coercive Control Literature Review","author":[{"family":"Beckwith","given":"Stephanie"},{"family":"Lowe","given":"Lauren"},{"family":"Wall","given":"Liz"},{"family":"Stevens","given":"Emily"},{"family":"Carson","given":"Rachel"},{"family":"Kaspiew","given":"Rae"},{"family":"MacDonald","given":"Jasmine B"},{"family":"McEwen","given":"Jade"},{"family":"Willoughby","given":"Melissa"},{"family":"Gahan","given":"Luke"}],"issued":{"date-parts":[["2023"]]}}},{"id":5633,"uris":["http://zotero.org/groups/5691188/items/IT8R2LEW"],"itemData":{"id":5633,"type":"article-journal","abstract":"This paper examines the use of digital technologies by domestic violence perpetrators, which we believe constitutes ‘digital coercive control’. We draw on two Australian research projects and emerging research to provide definitional, conceptual and theoretical frames for harmful and invasive behaviours enacted through technology. Additionally, we highlight how such abuse intersects with other forms of violence but has unique and distinct features, including spacelessness. Spatiality is central in our examination, and we consider the spaceless yet geographically situated experiences of and risk faced by victim/survivors in regional, rural and remote locations. In the interests of empowering and protecting women, we also problematize victim-blaming and burdens of ‘safety work’ frequently imposed on women encountering digital coercive control.","container-title":"The British Journal of Criminology","DOI":"10.1093/bjc/azy052","ISSN":"0007-0955","issue":"3","journalAbbreviation":"The British Journal of Criminology","page":"530-550","source":"Silverchair","title":"Digital Coercive Control: Insights From Two Landmark Domestic Violence Studies","title-short":"Digital Coercive Control","volume":"59","author":[{"family":"Harris","given":"Bridget A"},{"family":"Woodlock","given":"Delanie"}],"issued":{"date-parts":[["2019",4,9]]}}}],"schema":"https://github.com/citation-style-language/schema/raw/master/csl-citation.json"} </w:instrText>
                  </w:r>
                  <w:r w:rsidR="00C53267" w:rsidRPr="004937D2">
                    <w:fldChar w:fldCharType="separate"/>
                  </w:r>
                  <w:r w:rsidR="00AC138C" w:rsidRPr="00AC138C">
                    <w:rPr>
                      <w:rFonts w:ascii="Arial" w:hAnsi="Arial" w:cs="Arial"/>
                    </w:rPr>
                    <w:t>(Beckwith et al., 2023; Harris and Woodlock, 2019)</w:t>
                  </w:r>
                  <w:r w:rsidR="00C53267" w:rsidRPr="004937D2">
                    <w:fldChar w:fldCharType="end"/>
                  </w:r>
                  <w:r w:rsidR="00C53267" w:rsidRPr="004937D2">
                    <w:t xml:space="preserve">, and abuse and harassment via technology </w:t>
                  </w:r>
                  <w:r w:rsidR="00C53267" w:rsidRPr="004937D2">
                    <w:fldChar w:fldCharType="begin"/>
                  </w:r>
                  <w:r w:rsidR="00E41D03">
                    <w:instrText xml:space="preserve"> ADDIN ZOTERO_ITEM CSL_CITATION {"citationID":"a9g9opslbf","properties":{"formattedCitation":"(Dragiewicz et al., 2022; eSafety Commissioner, 2023; Flynn et al., 2023)","plainCitation":"(Dragiewicz et al., 2022; eSafety Commissioner, 2023; Flynn et al., 2023)","noteIndex":0},"citationItems":[{"id":5638,"uris":["http://zotero.org/groups/5691188/items/JBHHCLT3"],"itemData":{"id":5638,"type":"article-journal","abstract":"This is the first article to analyze children’s involvement in technology-facilitated coercive control in Australia. The primary research question was ‘‘How do mothers describe their children’s involvement in technology-facilitated coercive control?”. This article is based on incidental findings from a larger study on Australian women’s experiences of technology-facilitated abuse in the context of domestic violence. Although children were not the focus of the study, semi-structured interviews with twelve mothers yielded discussion of children’s involvement in the abuse. We used thematic analysis to identify key dynamics and contexts of this abuse. We found that mothers and their children are co-victims of coercive control. Mothers interviewed for the study reported that children were involved in technology-facilitated coercive control directly and indirectly. This study bridges the gap between the extant research on children and coercive control and technology-facilitated abuse by highlighting the ways children are involved in technology-facilitated coercive control. The social and legal contexts of co-parenting with abusive fathers exposed mothers and children to ongoing post-separation abuse, extending abusive fathers’ absent presence in the lives of children","container-title":"Journal of Family Violence","DOI":"10.1007/s10896-021-00283-4","ISSN":"1573-2851","issue":"1","journalAbbreviation":"J Fam Viol","language":"en","page":"137-149","source":"Springer Link","title":"“What’s Mum’s Password?”: Australian Mothers’ Perceptions of Children’s Involvement in Technology-Facilitated Coercive Control","title-short":"“What’s Mum’s Password?","volume":"37","author":[{"family":"Dragiewicz","given":"Molly"},{"family":"Woodlock","given":"Delanie"},{"family":"Salter","given":"Michael"},{"family":"Harris","given":"Bridget"}],"issued":{"date-parts":[["2022",1,1]]}}},{"id":5637,"uris":["http://zotero.org/groups/5691188/items/CTNFMCY8"],"itemData":{"id":5637,"type":"report","publisher":"eSafety Commissioner","title":"Technology facilitated abuse: family, domestic and sexual violence - Literature scan","URL":"https://www.esafety.gov.au/sites/default/files/2023-10/Technology-facilitated-abuse-family-domestic-sexual-violence-literature-scan.pdf?utm_source=chatgpt.com","author":[{"literal":"eSafety Commissioner"}],"accessed":{"date-parts":[["2025",7,17]]},"issued":{"date-parts":[["2023"]]}}},{"id":5627,"uris":["http://zotero.org/groups/5691188/items/IN8WLM6V"],"itemData":{"id":5627,"type":"report","abstract":"This report presents a literature review on coercive control in the context of domestic and family violence, with a particular focus on the understanding of, and responses to coercive control in the Australian context.","language":"en","publisher":"Australian Institute of Criminology","title":"Technology-facilitated coercive  control: Mapping women’s  diverse pathways to safety  and justic","URL":"https://www.aic.gov.au/crg/reports/crg-2021-22","author":[{"family":"Flynn","given":"Asher"},{"family":"Wheildon","given":"Lisa"},{"family":"Powell","given":"Anastasia"},{"family":"Bentley","given":"Karen"}],"accessed":{"date-parts":[["2025",7,17]]},"issued":{"date-parts":[["2023"]]}}}],"schema":"https://github.com/citation-style-language/schema/raw/master/csl-citation.json"} </w:instrText>
                  </w:r>
                  <w:r w:rsidR="00C53267" w:rsidRPr="004937D2">
                    <w:fldChar w:fldCharType="separate"/>
                  </w:r>
                  <w:r w:rsidR="00AC138C" w:rsidRPr="00AC138C">
                    <w:rPr>
                      <w:rFonts w:ascii="Arial" w:hAnsi="Arial" w:cs="Arial"/>
                    </w:rPr>
                    <w:t>(Dragiewicz et al., 2022; eSafety Commissioner, 2023; Flynn et al., 2023)</w:t>
                  </w:r>
                  <w:r w:rsidR="00C53267" w:rsidRPr="004937D2">
                    <w:fldChar w:fldCharType="end"/>
                  </w:r>
                  <w:r w:rsidR="00C53267" w:rsidRPr="004937D2">
                    <w:t>.</w:t>
                  </w:r>
                </w:p>
                <w:p w14:paraId="4931D273" w14:textId="2E755044" w:rsidR="00342554" w:rsidRPr="004E4A0F" w:rsidRDefault="00342554" w:rsidP="00342554">
                  <w:pPr>
                    <w:pStyle w:val="Text"/>
                    <w:rPr>
                      <w:lang w:val="en-GB"/>
                    </w:rPr>
                  </w:pPr>
                  <w:r w:rsidRPr="00C42445">
                    <w:rPr>
                      <w:lang w:val="en-GB"/>
                    </w:rPr>
                    <w:t xml:space="preserve">Family dynamics, gender, and health status further affect relationship pressures. Parents faced similar issues to the general population, but the age of children shaped the types of challenges: those with children under 13 frequently cited the division of childcare as a major issue (66.1%), while those with teenagers were more likely to report household task division </w:t>
                  </w:r>
                  <w:r w:rsidRPr="00C42445">
                    <w:rPr>
                      <w:lang w:val="en-GB"/>
                    </w:rPr>
                    <w:lastRenderedPageBreak/>
                    <w:t xml:space="preserve">as a stressor (31.1%) </w:t>
                  </w:r>
                  <w:r w:rsidRPr="002A1CEF">
                    <w:rPr>
                      <w:lang w:val="en-GB"/>
                    </w:rPr>
                    <w:fldChar w:fldCharType="begin"/>
                  </w:r>
                  <w:r w:rsidR="00E41D03">
                    <w:rPr>
                      <w:lang w:val="en-GB"/>
                    </w:rPr>
                    <w:instrText xml:space="preserve"> ADDIN ZOTERO_ITEM CSL_CITATION {"citationID":"3WJCdItF","properties":{"formattedCitation":"(Relationships Australia, 2022)","plainCitation":"(Relationships Australia, 2022)","noteIndex":0},"citationItems":[{"id":4669,"uris":["http://zotero.org/groups/5691188/items/A43AYZKP"],"itemData":{"id":4669,"type":"report","collection-title":"Relationship Indicators","publisher":"Relationships Australia","title":"Relationship Indicators 2022 Full Report","URL":"https://www. relationships.org.au/relationship-indicators/.","author":[{"family":"Relationships Australia","given":""}],"issued":{"date-parts":[["2022"]]}}}],"schema":"https://github.com/citation-style-language/schema/raw/master/csl-citation.json"} </w:instrText>
                  </w:r>
                  <w:r w:rsidRPr="002A1CEF">
                    <w:rPr>
                      <w:lang w:val="en-GB"/>
                    </w:rPr>
                    <w:fldChar w:fldCharType="separate"/>
                  </w:r>
                  <w:r w:rsidR="00AC138C" w:rsidRPr="00AC138C">
                    <w:rPr>
                      <w:rFonts w:ascii="Arial" w:hAnsi="Arial" w:cs="Arial"/>
                    </w:rPr>
                    <w:t>(Relationships Australia, 2022)</w:t>
                  </w:r>
                  <w:r w:rsidRPr="002A1CEF">
                    <w:rPr>
                      <w:lang w:val="en-GB"/>
                    </w:rPr>
                    <w:fldChar w:fldCharType="end"/>
                  </w:r>
                  <w:r>
                    <w:rPr>
                      <w:lang w:val="en-GB"/>
                    </w:rPr>
                    <w:t xml:space="preserve">. </w:t>
                  </w:r>
                  <w:r w:rsidRPr="00C42445">
                    <w:rPr>
                      <w:lang w:val="en-GB"/>
                    </w:rPr>
                    <w:t xml:space="preserve">Gender differences were minimal, though women were more likely than men to identify mental health as a pressure (26% vs. 18.1%). The group most affected overall were people with long-term mental health conditions—87% reported relationship pressures, often juggling </w:t>
                  </w:r>
                  <w:r w:rsidR="00570098">
                    <w:rPr>
                      <w:lang w:val="en-GB"/>
                    </w:rPr>
                    <w:t>2</w:t>
                  </w:r>
                  <w:r w:rsidRPr="00C42445">
                    <w:rPr>
                      <w:lang w:val="en-GB"/>
                    </w:rPr>
                    <w:t xml:space="preserve"> to </w:t>
                  </w:r>
                  <w:r w:rsidR="00570098">
                    <w:rPr>
                      <w:lang w:val="en-GB"/>
                    </w:rPr>
                    <w:t>3</w:t>
                  </w:r>
                  <w:r w:rsidRPr="00C42445">
                    <w:rPr>
                      <w:lang w:val="en-GB"/>
                    </w:rPr>
                    <w:t xml:space="preserve"> simultaneously, with over half (53.1%) facing </w:t>
                  </w:r>
                  <w:r w:rsidR="00F07A7C">
                    <w:rPr>
                      <w:lang w:val="en-GB"/>
                    </w:rPr>
                    <w:t>4</w:t>
                  </w:r>
                  <w:r w:rsidRPr="00C42445">
                    <w:rPr>
                      <w:lang w:val="en-GB"/>
                    </w:rPr>
                    <w:t xml:space="preserve"> or more. In comparison, people with long-term physical health conditions or disabilities reported several pressures similar to or slightly higher than the general population (Relationships Australia, 2022).</w:t>
                  </w:r>
                </w:p>
                <w:p w14:paraId="1C895CF5" w14:textId="596D6E9E" w:rsidR="00F37187" w:rsidRDefault="00F37187" w:rsidP="00321BC5">
                  <w:pPr>
                    <w:pStyle w:val="Text-BodyHeading"/>
                    <w:spacing w:before="360" w:after="240"/>
                  </w:pPr>
                  <w:r>
                    <w:t>Prevalence of family violence</w:t>
                  </w:r>
                </w:p>
                <w:p w14:paraId="21C4B412" w14:textId="77777777" w:rsidR="00F37187" w:rsidRPr="00295E01" w:rsidRDefault="00F37187" w:rsidP="00F37187">
                  <w:pPr>
                    <w:pStyle w:val="Text"/>
                  </w:pPr>
                  <w:r>
                    <w:t xml:space="preserve">The 2021-22 Australian Bureau of Statistics Personal Safety Survey (PSS) reports that </w:t>
                  </w:r>
                  <w:r w:rsidRPr="00295E01">
                    <w:t xml:space="preserve">an estimated 3.8 million Australian adults (20% of the population) </w:t>
                  </w:r>
                  <w:r>
                    <w:t xml:space="preserve">have </w:t>
                  </w:r>
                  <w:r w:rsidRPr="00295E01">
                    <w:t xml:space="preserve">reported experiencing </w:t>
                  </w:r>
                  <w:r>
                    <w:t xml:space="preserve">physical and/or sexual </w:t>
                  </w:r>
                  <w:r w:rsidRPr="00295E01">
                    <w:t xml:space="preserve">family and domestic </w:t>
                  </w:r>
                  <w:r>
                    <w:t xml:space="preserve">violence </w:t>
                  </w:r>
                  <w:r w:rsidRPr="00295E01">
                    <w:t>since the age of 15. It is estimated that of all Australian adults:</w:t>
                  </w:r>
                  <w:r>
                    <w:t xml:space="preserve"> </w:t>
                  </w:r>
                  <w:r w:rsidRPr="00295E01">
                    <w:t>11.3% (2.2 million) had experienced violence from a partner (</w:t>
                  </w:r>
                  <w:r>
                    <w:t>current or previous cohabiting</w:t>
                  </w:r>
                  <w:r w:rsidRPr="00295E01">
                    <w:t>)</w:t>
                  </w:r>
                  <w:r>
                    <w:t xml:space="preserve">, </w:t>
                  </w:r>
                  <w:r w:rsidRPr="00295E01">
                    <w:t>5.9% (1.1 million) had experienced violence from a boyfriend, girlfriend or date</w:t>
                  </w:r>
                  <w:r>
                    <w:t xml:space="preserve">, and </w:t>
                  </w:r>
                  <w:r w:rsidRPr="00295E01">
                    <w:t>7.0% (1.4 million) had experienced violence from another family member</w:t>
                  </w:r>
                  <w:r>
                    <w:t xml:space="preserve">. </w:t>
                  </w:r>
                </w:p>
                <w:p w14:paraId="7701F945" w14:textId="1E3B912C" w:rsidR="00F37187" w:rsidRPr="00F37187" w:rsidRDefault="00F37187" w:rsidP="00F37187">
                  <w:pPr>
                    <w:pStyle w:val="Text"/>
                  </w:pPr>
                  <w:r>
                    <w:t xml:space="preserve">According to the 2021-22 PSS, in 2021-22, </w:t>
                  </w:r>
                  <w:r w:rsidRPr="002E09A4">
                    <w:t xml:space="preserve">1 in 6 women and 1 in 18 men had experienced </w:t>
                  </w:r>
                  <w:r w:rsidRPr="005116EF">
                    <w:t>physical and/or sexual violence</w:t>
                  </w:r>
                  <w:r>
                    <w:t xml:space="preserve">, 1 in 4 women and 1 in 7 men had experienced emotional abuse, and 1 in 6 women and 1 in 13 men had experienced economic abuse by a current or previous cohabiting partner since the age of 15 </w:t>
                  </w:r>
                  <w:r>
                    <w:fldChar w:fldCharType="begin"/>
                  </w:r>
                  <w:r w:rsidR="00E41D03">
                    <w:instrText xml:space="preserve"> ADDIN ZOTERO_ITEM CSL_CITATION {"citationID":"aHFR5NuF","properties":{"formattedCitation":"(Australian Bureau of Statistics, 2023)","plainCitation":"(Australian Bureau of Statistics, 2023)","noteIndex":0},"citationItems":[{"id":4675,"uris":["http://zotero.org/groups/5691188/items/6D94WDWT"],"itemData":{"id":4675,"type":"dataset","title":"Personal Safety, Australia (Version 2021-22 financial year)","URL":"https://www.abs.gov.au/statistics/people/crime-and-justice/personal-safety-australia/latest-release","author":[{"family":"Australian Bureau of Statistics","given":""}],"issued":{"date-parts":[["2023"]]}}}],"schema":"https://github.com/citation-style-language/schema/raw/master/csl-citation.json"} </w:instrText>
                  </w:r>
                  <w:r>
                    <w:fldChar w:fldCharType="separate"/>
                  </w:r>
                  <w:r w:rsidRPr="0017036D">
                    <w:rPr>
                      <w:rFonts w:ascii="Arial" w:hAnsi="Arial" w:cs="Arial"/>
                    </w:rPr>
                    <w:t>(Australian Bureau of Statistics, 2023)</w:t>
                  </w:r>
                  <w:r>
                    <w:fldChar w:fldCharType="end"/>
                  </w:r>
                  <w:r>
                    <w:t>.</w:t>
                  </w:r>
                </w:p>
                <w:p w14:paraId="5CC20644" w14:textId="73FCA3CC" w:rsidR="00342554" w:rsidRDefault="00342554" w:rsidP="00321BC5">
                  <w:pPr>
                    <w:pStyle w:val="Text-BodyHeading"/>
                    <w:spacing w:before="360" w:after="240"/>
                  </w:pPr>
                  <w:r>
                    <w:t>Quality of family relationships</w:t>
                  </w:r>
                </w:p>
                <w:p w14:paraId="1A77346C" w14:textId="0D4AC2D9" w:rsidR="00342554" w:rsidRDefault="00342554" w:rsidP="00342554">
                  <w:pPr>
                    <w:pStyle w:val="Text"/>
                    <w:rPr>
                      <w:lang w:val="en-AU"/>
                    </w:rPr>
                  </w:pPr>
                  <w:r w:rsidRPr="00C044D0">
                    <w:rPr>
                      <w:lang w:val="en-AU"/>
                    </w:rPr>
                    <w:t>When reporting on the</w:t>
                  </w:r>
                  <w:r w:rsidR="00362C99">
                    <w:rPr>
                      <w:lang w:val="en-AU"/>
                    </w:rPr>
                    <w:t>ir</w:t>
                  </w:r>
                  <w:r w:rsidRPr="00C044D0">
                    <w:rPr>
                      <w:lang w:val="en-AU"/>
                    </w:rPr>
                    <w:t xml:space="preserve"> household, and levels of conflict and how everyone gets along, most respondents to the 2021 Families in Australia Survey indicated their situation was positive, with only one in 10 saying there was ‘quite a bit’ or ‘a great deal’ of conflict in the household and about one in 5 saying there was some conflict. Most said there was a little (46%) or none (25%) </w:t>
                  </w:r>
                  <w:r w:rsidRPr="00C044D0">
                    <w:rPr>
                      <w:lang w:val="en-AU"/>
                    </w:rPr>
                    <w:fldChar w:fldCharType="begin"/>
                  </w:r>
                  <w:r w:rsidR="00E41D03">
                    <w:rPr>
                      <w:lang w:val="en-AU"/>
                    </w:rPr>
                    <w:instrText xml:space="preserve"> ADDIN ZOTERO_ITEM CSL_CITATION {"citationID":"pArWxyf8","properties":{"formattedCitation":"(Baxter and Warren, 2021)","plainCitation":"(Baxter and Warren, 2021)","noteIndex":0},"citationItems":[{"id":4566,"uris":["http://zotero.org/groups/5691188/items/MEZHREWR"],"itemData":{"id":4566,"type":"report","event-place":"Melbourne","publisher":"Australian Institute of Family Studies","publisher-place":"Melbourne","title":"Families in Australia Survey 3, Report no. 2, Relationships within the family.","author":[{"family":"Baxter","given":"J"},{"family":"Warren","given":"D"}],"issued":{"date-parts":[["2021"]]}}}],"schema":"https://github.com/citation-style-language/schema/raw/master/csl-citation.json"} </w:instrText>
                  </w:r>
                  <w:r w:rsidRPr="00C044D0">
                    <w:rPr>
                      <w:lang w:val="en-AU"/>
                    </w:rPr>
                    <w:fldChar w:fldCharType="separate"/>
                  </w:r>
                  <w:r w:rsidR="00AC138C" w:rsidRPr="00AC138C">
                    <w:rPr>
                      <w:rFonts w:ascii="Arial" w:hAnsi="Arial" w:cs="Arial"/>
                    </w:rPr>
                    <w:t>(Baxter and Warren, 2021)</w:t>
                  </w:r>
                  <w:r w:rsidRPr="00C044D0">
                    <w:rPr>
                      <w:lang w:val="en-GB"/>
                    </w:rPr>
                    <w:fldChar w:fldCharType="end"/>
                  </w:r>
                  <w:r w:rsidRPr="00C044D0">
                    <w:rPr>
                      <w:lang w:val="en-AU"/>
                    </w:rPr>
                    <w:t xml:space="preserve">. Respondents living in households with parents or other adult relatives were most likely to report conflict (54% reporting either some, or quite a bit or a great deal of conflict) followed by respondents living with children and no partners (39% reporting either some, or quite a bit or a great deal of conflict) </w:t>
                  </w:r>
                  <w:r w:rsidRPr="00C044D0">
                    <w:rPr>
                      <w:lang w:val="en-AU"/>
                    </w:rPr>
                    <w:fldChar w:fldCharType="begin"/>
                  </w:r>
                  <w:r w:rsidR="00E41D03">
                    <w:rPr>
                      <w:lang w:val="en-AU"/>
                    </w:rPr>
                    <w:instrText xml:space="preserve"> ADDIN ZOTERO_ITEM CSL_CITATION {"citationID":"VpHD3iDd","properties":{"formattedCitation":"(Baxter and Warren, 2021)","plainCitation":"(Baxter and Warren, 2021)","noteIndex":0},"citationItems":[{"id":4566,"uris":["http://zotero.org/groups/5691188/items/MEZHREWR"],"itemData":{"id":4566,"type":"report","event-place":"Melbourne","publisher":"Australian Institute of Family Studies","publisher-place":"Melbourne","title":"Families in Australia Survey 3, Report no. 2, Relationships within the family.","author":[{"family":"Baxter","given":"J"},{"family":"Warren","given":"D"}],"issued":{"date-parts":[["2021"]]}}}],"schema":"https://github.com/citation-style-language/schema/raw/master/csl-citation.json"} </w:instrText>
                  </w:r>
                  <w:r w:rsidRPr="00C044D0">
                    <w:rPr>
                      <w:lang w:val="en-AU"/>
                    </w:rPr>
                    <w:fldChar w:fldCharType="separate"/>
                  </w:r>
                  <w:r w:rsidR="00AC138C" w:rsidRPr="00AC138C">
                    <w:rPr>
                      <w:rFonts w:ascii="Arial" w:hAnsi="Arial" w:cs="Arial"/>
                    </w:rPr>
                    <w:t>(Baxter and Warren, 2021)</w:t>
                  </w:r>
                  <w:r w:rsidRPr="00C044D0">
                    <w:rPr>
                      <w:lang w:val="en-GB"/>
                    </w:rPr>
                    <w:fldChar w:fldCharType="end"/>
                  </w:r>
                  <w:r w:rsidRPr="00C044D0">
                    <w:rPr>
                      <w:lang w:val="en-AU"/>
                    </w:rPr>
                    <w:t>.</w:t>
                  </w:r>
                </w:p>
                <w:p w14:paraId="6A22E547" w14:textId="77777777" w:rsidR="00342554" w:rsidRPr="00566847" w:rsidRDefault="00342554" w:rsidP="00342554">
                  <w:pPr>
                    <w:pStyle w:val="Text-BodyHeading"/>
                    <w:rPr>
                      <w:b w:val="0"/>
                      <w:i/>
                    </w:rPr>
                  </w:pPr>
                  <w:r w:rsidRPr="00566847">
                    <w:rPr>
                      <w:b w:val="0"/>
                      <w:i/>
                    </w:rPr>
                    <w:t xml:space="preserve">Couples </w:t>
                  </w:r>
                </w:p>
                <w:p w14:paraId="57C2D106" w14:textId="5DEC9C98" w:rsidR="00342554" w:rsidRDefault="00342554" w:rsidP="00342554">
                  <w:pPr>
                    <w:pStyle w:val="Text"/>
                  </w:pPr>
                  <w:r>
                    <w:t xml:space="preserve">In Relationships Australia’s 2022 National Survey, 60% of respondents identified their partner as the most important person in their life, and these individuals were more satisfied with their relationships than those who nominated a family member (31%) or friend (7.6%) </w:t>
                  </w:r>
                  <w:r w:rsidRPr="005716DC">
                    <w:rPr>
                      <w:lang w:val="en-US"/>
                    </w:rPr>
                    <w:fldChar w:fldCharType="begin"/>
                  </w:r>
                  <w:r w:rsidR="00E41D03">
                    <w:rPr>
                      <w:lang w:val="en-US"/>
                    </w:rPr>
                    <w:instrText xml:space="preserve"> ADDIN ZOTERO_ITEM CSL_CITATION {"citationID":"Nu8RFSq1","properties":{"formattedCitation":"(Relationships Australia, 2022)","plainCitation":"(Relationships Australia, 2022)","noteIndex":0},"citationItems":[{"id":4669,"uris":["http://zotero.org/groups/5691188/items/A43AYZKP"],"itemData":{"id":4669,"type":"report","collection-title":"Relationship Indicators","publisher":"Relationships Australia","title":"Relationship Indicators 2022 Full Report","URL":"https://www. relationships.org.au/relationship-indicators/.","author":[{"family":"Relationships Australia","given":""}],"issued":{"date-parts":[["2022"]]}}}],"schema":"https://github.com/citation-style-language/schema/raw/master/csl-citation.json"} </w:instrText>
                  </w:r>
                  <w:r w:rsidRPr="005716DC">
                    <w:rPr>
                      <w:lang w:val="en-US"/>
                    </w:rPr>
                    <w:fldChar w:fldCharType="separate"/>
                  </w:r>
                  <w:r w:rsidRPr="005716DC">
                    <w:rPr>
                      <w:lang w:val="en-US"/>
                    </w:rPr>
                    <w:t>(Relationships Australia, 2022)</w:t>
                  </w:r>
                  <w:r w:rsidRPr="005716DC">
                    <w:rPr>
                      <w:lang w:val="en-GB"/>
                    </w:rPr>
                    <w:fldChar w:fldCharType="end"/>
                  </w:r>
                  <w:r w:rsidRPr="005716DC">
                    <w:rPr>
                      <w:lang w:val="en-US"/>
                    </w:rPr>
                    <w:t>.</w:t>
                  </w:r>
                  <w:r>
                    <w:rPr>
                      <w:lang w:val="en-US"/>
                    </w:rPr>
                    <w:t xml:space="preserve"> </w:t>
                  </w:r>
                  <w:r>
                    <w:t xml:space="preserve">Similarly, the 2021 Families in Australia Survey found that 82% of people were satisfied or very satisfied with their relationship with a spouse or partner </w:t>
                  </w:r>
                  <w:r w:rsidRPr="00C044D0">
                    <w:rPr>
                      <w:lang w:val="en-AU"/>
                    </w:rPr>
                    <w:fldChar w:fldCharType="begin"/>
                  </w:r>
                  <w:r w:rsidR="00E41D03">
                    <w:rPr>
                      <w:lang w:val="en-AU"/>
                    </w:rPr>
                    <w:instrText xml:space="preserve"> ADDIN ZOTERO_ITEM CSL_CITATION {"citationID":"6NkmE3dw","properties":{"formattedCitation":"(Baxter and Warren, 2021)","plainCitation":"(Baxter and Warren, 2021)","noteIndex":0},"citationItems":[{"id":4566,"uris":["http://zotero.org/groups/5691188/items/MEZHREWR"],"itemData":{"id":4566,"type":"report","event-place":"Melbourne","publisher":"Australian Institute of Family Studies","publisher-place":"Melbourne","title":"Families in Australia Survey 3, Report no. 2, Relationships within the family.","author":[{"family":"Baxter","given":"J"},{"family":"Warren","given":"D"}],"issued":{"date-parts":[["2021"]]}}}],"schema":"https://github.com/citation-style-language/schema/raw/master/csl-citation.json"} </w:instrText>
                  </w:r>
                  <w:r w:rsidRPr="00C044D0">
                    <w:rPr>
                      <w:lang w:val="en-AU"/>
                    </w:rPr>
                    <w:fldChar w:fldCharType="separate"/>
                  </w:r>
                  <w:r w:rsidR="00AC138C" w:rsidRPr="00AC138C">
                    <w:rPr>
                      <w:rFonts w:ascii="Arial" w:hAnsi="Arial" w:cs="Arial"/>
                    </w:rPr>
                    <w:t>(Baxter and Warren, 2021)</w:t>
                  </w:r>
                  <w:r w:rsidRPr="00C044D0">
                    <w:rPr>
                      <w:lang w:val="en-GB"/>
                    </w:rPr>
                    <w:fldChar w:fldCharType="end"/>
                  </w:r>
                  <w:r w:rsidRPr="00C044D0">
                    <w:rPr>
                      <w:lang w:val="en-AU"/>
                    </w:rPr>
                    <w:t>.</w:t>
                  </w:r>
                  <w:r>
                    <w:rPr>
                      <w:lang w:val="en-AU"/>
                    </w:rPr>
                    <w:t xml:space="preserve"> </w:t>
                  </w:r>
                  <w:r>
                    <w:t xml:space="preserve">Relationship satisfaction was highest among older respondents, particularly those over 70 (63% very satisfied), and lower among people under 30 (40% very satisfied) </w:t>
                  </w:r>
                  <w:r w:rsidRPr="00C044D0">
                    <w:rPr>
                      <w:lang w:val="en-AU"/>
                    </w:rPr>
                    <w:fldChar w:fldCharType="begin"/>
                  </w:r>
                  <w:r w:rsidR="00E41D03">
                    <w:rPr>
                      <w:lang w:val="en-AU"/>
                    </w:rPr>
                    <w:instrText xml:space="preserve"> ADDIN ZOTERO_ITEM CSL_CITATION {"citationID":"sqgw7KsZ","properties":{"formattedCitation":"(Baxter and Warren, 2021)","plainCitation":"(Baxter and Warren, 2021)","noteIndex":0},"citationItems":[{"id":4566,"uris":["http://zotero.org/groups/5691188/items/MEZHREWR"],"itemData":{"id":4566,"type":"report","event-place":"Melbourne","publisher":"Australian Institute of Family Studies","publisher-place":"Melbourne","title":"Families in Australia Survey 3, Report no. 2, Relationships within the family.","author":[{"family":"Baxter","given":"J"},{"family":"Warren","given":"D"}],"issued":{"date-parts":[["2021"]]}}}],"schema":"https://github.com/citation-style-language/schema/raw/master/csl-citation.json"} </w:instrText>
                  </w:r>
                  <w:r w:rsidRPr="00C044D0">
                    <w:rPr>
                      <w:lang w:val="en-AU"/>
                    </w:rPr>
                    <w:fldChar w:fldCharType="separate"/>
                  </w:r>
                  <w:r w:rsidR="00AC138C" w:rsidRPr="00AC138C">
                    <w:rPr>
                      <w:rFonts w:ascii="Arial" w:hAnsi="Arial" w:cs="Arial"/>
                    </w:rPr>
                    <w:t>(Baxter and Warren, 2021)</w:t>
                  </w:r>
                  <w:r w:rsidRPr="00C044D0">
                    <w:rPr>
                      <w:lang w:val="en-GB"/>
                    </w:rPr>
                    <w:fldChar w:fldCharType="end"/>
                  </w:r>
                  <w:r w:rsidRPr="00C044D0">
                    <w:rPr>
                      <w:lang w:val="en-AU"/>
                    </w:rPr>
                    <w:t>.</w:t>
                  </w:r>
                  <w:r>
                    <w:rPr>
                      <w:lang w:val="en-AU"/>
                    </w:rPr>
                    <w:t xml:space="preserve"> </w:t>
                  </w:r>
                </w:p>
                <w:p w14:paraId="67D9B329" w14:textId="238A3E44" w:rsidR="00342554" w:rsidRPr="00566847" w:rsidRDefault="00342554" w:rsidP="00342554">
                  <w:pPr>
                    <w:pStyle w:val="Text"/>
                    <w:rPr>
                      <w:i/>
                    </w:rPr>
                  </w:pPr>
                  <w:r>
                    <w:t xml:space="preserve">High satisfaction in couple relationships is strongly linked to open communication, meaningful conversations, mutual support, and shared enjoyable activities </w:t>
                  </w:r>
                  <w:r w:rsidRPr="004B231E">
                    <w:fldChar w:fldCharType="begin"/>
                  </w:r>
                  <w:r w:rsidR="00E41D03">
                    <w:instrText xml:space="preserve"> ADDIN ZOTERO_ITEM CSL_CITATION {"citationID":"a14g3j77mlp","properties":{"formattedCitation":"(Baxter and Warren, 2021; Relationships Australia, 2022)","plainCitation":"(Baxter and Warren, 2021; Relationships Australia, 2022)","noteIndex":0},"citationItems":[{"id":4566,"uris":["http://zotero.org/groups/5691188/items/MEZHREWR"],"itemData":{"id":4566,"type":"report","event-place":"Melbourne","publisher":"Australian Institute of Family Studies","publisher-place":"Melbourne","title":"Families in Australia Survey 3, Report no. 2, Relationships within the family.","author":[{"family":"Baxter","given":"J"},{"family":"Warren","given":"D"}],"issued":{"date-parts":[["2021"]]}}},{"id":4669,"uris":["http://zotero.org/groups/5691188/items/A43AYZKP"],"itemData":{"id":4669,"type":"report","collection-title":"Relationship Indicators","publisher":"Relationships Australia","title":"Relationship Indicators 2022 Full Report","URL":"https://www. relationships.org.au/relationship-indicators/.","author":[{"family":"Relationships Australia","given":""}],"issued":{"date-parts":[["2022"]]}}}],"schema":"https://github.com/citation-style-language/schema/raw/master/csl-citation.json"} </w:instrText>
                  </w:r>
                  <w:r w:rsidRPr="004B231E">
                    <w:fldChar w:fldCharType="separate"/>
                  </w:r>
                  <w:r w:rsidR="00AC138C" w:rsidRPr="00AC138C">
                    <w:rPr>
                      <w:rFonts w:ascii="Arial" w:hAnsi="Arial" w:cs="Arial"/>
                    </w:rPr>
                    <w:t>(Baxter and Warren, 2021; Relationships Australia, 2022)</w:t>
                  </w:r>
                  <w:r w:rsidRPr="004B231E">
                    <w:fldChar w:fldCharType="end"/>
                  </w:r>
                  <w:r>
                    <w:t xml:space="preserve">. Conversely, frequent arguments and disagreements reduced relationship quality </w:t>
                  </w:r>
                  <w:r w:rsidRPr="004B231E">
                    <w:fldChar w:fldCharType="begin"/>
                  </w:r>
                  <w:r w:rsidR="00E41D03">
                    <w:instrText xml:space="preserve"> ADDIN ZOTERO_ITEM CSL_CITATION {"citationID":"rwh8lrKL","properties":{"formattedCitation":"(Baxter and Warren, 2021; Relationships Australia, 2022)","plainCitation":"(Baxter and Warren, 2021; Relationships Australia, 2022)","noteIndex":0},"citationItems":[{"id":4566,"uris":["http://zotero.org/groups/5691188/items/MEZHREWR"],"itemData":{"id":4566,"type":"report","event-place":"Melbourne","publisher":"Australian Institute of Family Studies","publisher-place":"Melbourne","title":"Families in Australia Survey 3, Report no. 2, Relationships within the family.","author":[{"family":"Baxter","given":"J"},{"family":"Warren","given":"D"}],"issued":{"date-parts":[["2021"]]}}},{"id":4669,"uris":["http://zotero.org/groups/5691188/items/A43AYZKP"],"itemData":{"id":4669,"type":"report","collection-title":"Relationship Indicators","publisher":"Relationships Australia","title":"Relationship Indicators 2022 Full Report","URL":"https://www. relationships.org.au/relationship-indicators/.","author":[{"family":"Relationships Australia","given":""}],"issued":{"date-parts":[["2022"]]}}}],"schema":"https://github.com/citation-style-language/schema/raw/master/csl-citation.json"} </w:instrText>
                  </w:r>
                  <w:r w:rsidRPr="004B231E">
                    <w:fldChar w:fldCharType="separate"/>
                  </w:r>
                  <w:r w:rsidR="00AC138C" w:rsidRPr="00AC138C">
                    <w:rPr>
                      <w:rFonts w:ascii="Arial" w:hAnsi="Arial" w:cs="Arial"/>
                    </w:rPr>
                    <w:t>(Baxter and Warren, 2021; Relationships Australia, 2022)</w:t>
                  </w:r>
                  <w:r w:rsidRPr="004B231E">
                    <w:fldChar w:fldCharType="end"/>
                  </w:r>
                  <w:r>
                    <w:t xml:space="preserve">. However, when </w:t>
                  </w:r>
                  <w:r>
                    <w:lastRenderedPageBreak/>
                    <w:t xml:space="preserve">it comes to relationships post-separation, satisfaction often deteriorates. Of separated parents surveyed in the Families in Australia Survey, only 14% described their relationship with the other parent as friendly, while 32% reported a relationship marked by conflict and 9% reported fear </w:t>
                  </w:r>
                  <w:r w:rsidRPr="00C044D0">
                    <w:rPr>
                      <w:lang w:val="en-AU"/>
                    </w:rPr>
                    <w:fldChar w:fldCharType="begin"/>
                  </w:r>
                  <w:r w:rsidR="00E41D03">
                    <w:rPr>
                      <w:lang w:val="en-AU"/>
                    </w:rPr>
                    <w:instrText xml:space="preserve"> ADDIN ZOTERO_ITEM CSL_CITATION {"citationID":"YTi7B89i","properties":{"formattedCitation":"(Baxter and Warren, 2021)","plainCitation":"(Baxter and Warren, 2021)","noteIndex":0},"citationItems":[{"id":4566,"uris":["http://zotero.org/groups/5691188/items/MEZHREWR"],"itemData":{"id":4566,"type":"report","event-place":"Melbourne","publisher":"Australian Institute of Family Studies","publisher-place":"Melbourne","title":"Families in Australia Survey 3, Report no. 2, Relationships within the family.","author":[{"family":"Baxter","given":"J"},{"family":"Warren","given":"D"}],"issued":{"date-parts":[["2021"]]}}}],"schema":"https://github.com/citation-style-language/schema/raw/master/csl-citation.json"} </w:instrText>
                  </w:r>
                  <w:r w:rsidRPr="00C044D0">
                    <w:rPr>
                      <w:lang w:val="en-AU"/>
                    </w:rPr>
                    <w:fldChar w:fldCharType="separate"/>
                  </w:r>
                  <w:r w:rsidR="00AC138C" w:rsidRPr="00AC138C">
                    <w:rPr>
                      <w:rFonts w:ascii="Arial" w:hAnsi="Arial" w:cs="Arial"/>
                    </w:rPr>
                    <w:t>(Baxter and Warren, 2021)</w:t>
                  </w:r>
                  <w:r w:rsidRPr="00C044D0">
                    <w:rPr>
                      <w:lang w:val="en-GB"/>
                    </w:rPr>
                    <w:fldChar w:fldCharType="end"/>
                  </w:r>
                  <w:r w:rsidRPr="00C044D0">
                    <w:rPr>
                      <w:lang w:val="en-AU"/>
                    </w:rPr>
                    <w:t>.</w:t>
                  </w:r>
                  <w:r>
                    <w:rPr>
                      <w:lang w:val="en-AU"/>
                    </w:rPr>
                    <w:t xml:space="preserve"> </w:t>
                  </w:r>
                  <w:r>
                    <w:t xml:space="preserve">These figures reflect a clear decline in relationship quality </w:t>
                  </w:r>
                  <w:r w:rsidRPr="00ED07FB">
                    <w:t>following family breakdowns</w:t>
                  </w:r>
                  <w:r w:rsidRPr="00566847">
                    <w:rPr>
                      <w:i/>
                    </w:rPr>
                    <w:t>.</w:t>
                  </w:r>
                </w:p>
                <w:p w14:paraId="25BB1FE3" w14:textId="77777777" w:rsidR="00342554" w:rsidRPr="00566847" w:rsidRDefault="00342554" w:rsidP="00342554">
                  <w:pPr>
                    <w:pStyle w:val="Text-BodyHeading"/>
                    <w:rPr>
                      <w:b w:val="0"/>
                      <w:i/>
                    </w:rPr>
                  </w:pPr>
                  <w:r w:rsidRPr="00566847">
                    <w:rPr>
                      <w:b w:val="0"/>
                      <w:i/>
                    </w:rPr>
                    <w:t xml:space="preserve">Parents and children </w:t>
                  </w:r>
                </w:p>
                <w:p w14:paraId="16C301D6" w14:textId="7826071F" w:rsidR="00342554" w:rsidRDefault="00342554" w:rsidP="00342554">
                  <w:pPr>
                    <w:pStyle w:val="Text"/>
                  </w:pPr>
                  <w:r>
                    <w:t xml:space="preserve">Most parents report high levels of satisfaction in their relationships with their children. According to the 2021 Families in Australia Survey, 50% of parents with resident children were very satisfied with these relationships, and 36% were satisfied </w:t>
                  </w:r>
                  <w:r w:rsidRPr="00C044D0">
                    <w:rPr>
                      <w:lang w:val="en-AU"/>
                    </w:rPr>
                    <w:fldChar w:fldCharType="begin"/>
                  </w:r>
                  <w:r w:rsidR="00E41D03">
                    <w:rPr>
                      <w:lang w:val="en-AU"/>
                    </w:rPr>
                    <w:instrText xml:space="preserve"> ADDIN ZOTERO_ITEM CSL_CITATION {"citationID":"0YynRI90","properties":{"formattedCitation":"(Baxter and Warren, 2021)","plainCitation":"(Baxter and Warren, 2021)","noteIndex":0},"citationItems":[{"id":4566,"uris":["http://zotero.org/groups/5691188/items/MEZHREWR"],"itemData":{"id":4566,"type":"report","event-place":"Melbourne","publisher":"Australian Institute of Family Studies","publisher-place":"Melbourne","title":"Families in Australia Survey 3, Report no. 2, Relationships within the family.","author":[{"family":"Baxter","given":"J"},{"family":"Warren","given":"D"}],"issued":{"date-parts":[["2021"]]}}}],"schema":"https://github.com/citation-style-language/schema/raw/master/csl-citation.json"} </w:instrText>
                  </w:r>
                  <w:r w:rsidRPr="00C044D0">
                    <w:rPr>
                      <w:lang w:val="en-AU"/>
                    </w:rPr>
                    <w:fldChar w:fldCharType="separate"/>
                  </w:r>
                  <w:r w:rsidR="00AC138C" w:rsidRPr="00AC138C">
                    <w:rPr>
                      <w:rFonts w:ascii="Arial" w:hAnsi="Arial" w:cs="Arial"/>
                    </w:rPr>
                    <w:t>(Baxter and Warren, 2021)</w:t>
                  </w:r>
                  <w:r w:rsidRPr="00C044D0">
                    <w:rPr>
                      <w:lang w:val="en-GB"/>
                    </w:rPr>
                    <w:fldChar w:fldCharType="end"/>
                  </w:r>
                  <w:r w:rsidRPr="00C044D0">
                    <w:rPr>
                      <w:lang w:val="en-AU"/>
                    </w:rPr>
                    <w:t>.</w:t>
                  </w:r>
                  <w:r>
                    <w:rPr>
                      <w:lang w:val="en-AU"/>
                    </w:rPr>
                    <w:t xml:space="preserve"> </w:t>
                  </w:r>
                  <w:r>
                    <w:t xml:space="preserve">These findings align with Naidoo et al. </w:t>
                  </w:r>
                  <w:r>
                    <w:fldChar w:fldCharType="begin"/>
                  </w:r>
                  <w:r w:rsidR="00E41D03">
                    <w:instrText xml:space="preserve"> ADDIN ZOTERO_ITEM CSL_CITATION {"citationID":"a267m78mqac","properties":{"formattedCitation":"(2024)","plainCitation":"(2024)","noteIndex":0},"citationItems":[{"id":4693,"uris":["http://zotero.org/groups/5691188/items/38T8ACF5"],"itemData":{"id":4693,"type":"report","publisher":"UNSW Social Policy Research Centre and Uniting NSW.ACT","title":"Uniting Families Report","author":[{"family":"Naidoo","given":"Y"},{"family":"Blaxland","given":"M"},{"family":"Wong","given":"M"},{"family":"Katz","given":"I"}],"issued":{"date-parts":[["2024"]]}},"suppress-author":true}],"schema":"https://github.com/citation-style-language/schema/raw/master/csl-citation.json"} </w:instrText>
                  </w:r>
                  <w:r>
                    <w:fldChar w:fldCharType="separate"/>
                  </w:r>
                  <w:r w:rsidR="00AC138C" w:rsidRPr="00AC138C">
                    <w:rPr>
                      <w:rFonts w:ascii="Arial" w:hAnsi="Arial" w:cs="Arial"/>
                    </w:rPr>
                    <w:t>(2024)</w:t>
                  </w:r>
                  <w:r>
                    <w:fldChar w:fldCharType="end"/>
                  </w:r>
                  <w:r>
                    <w:t xml:space="preserve"> who found average satisfaction scores near 8 out of 10 across all family types, with the highest in couple parent families (8.59) and multigenerational families (8.57), and slightly lower among single parent families (8.24), step/blended families (7.99), and foster/kin families (7.95). Satisfaction varied by the age of the children, being highest when children were aged 0–2 and declining during the teenage years </w:t>
                  </w:r>
                  <w:r w:rsidRPr="00C044D0">
                    <w:rPr>
                      <w:lang w:val="en-AU"/>
                    </w:rPr>
                    <w:fldChar w:fldCharType="begin"/>
                  </w:r>
                  <w:r w:rsidR="00E41D03">
                    <w:rPr>
                      <w:lang w:val="en-AU"/>
                    </w:rPr>
                    <w:instrText xml:space="preserve"> ADDIN ZOTERO_ITEM CSL_CITATION {"citationID":"9H5iR6Mv","properties":{"formattedCitation":"(Baxter and Warren, 2021)","plainCitation":"(Baxter and Warren, 2021)","noteIndex":0},"citationItems":[{"id":4566,"uris":["http://zotero.org/groups/5691188/items/MEZHREWR"],"itemData":{"id":4566,"type":"report","event-place":"Melbourne","publisher":"Australian Institute of Family Studies","publisher-place":"Melbourne","title":"Families in Australia Survey 3, Report no. 2, Relationships within the family.","author":[{"family":"Baxter","given":"J"},{"family":"Warren","given":"D"}],"issued":{"date-parts":[["2021"]]}}}],"schema":"https://github.com/citation-style-language/schema/raw/master/csl-citation.json"} </w:instrText>
                  </w:r>
                  <w:r w:rsidRPr="00C044D0">
                    <w:rPr>
                      <w:lang w:val="en-AU"/>
                    </w:rPr>
                    <w:fldChar w:fldCharType="separate"/>
                  </w:r>
                  <w:r w:rsidR="00AC138C" w:rsidRPr="00AC138C">
                    <w:rPr>
                      <w:rFonts w:ascii="Arial" w:hAnsi="Arial" w:cs="Arial"/>
                    </w:rPr>
                    <w:t>(Baxter and Warren, 2021)</w:t>
                  </w:r>
                  <w:r w:rsidRPr="00C044D0">
                    <w:rPr>
                      <w:lang w:val="en-GB"/>
                    </w:rPr>
                    <w:fldChar w:fldCharType="end"/>
                  </w:r>
                  <w:r w:rsidRPr="00C044D0">
                    <w:rPr>
                      <w:lang w:val="en-AU"/>
                    </w:rPr>
                    <w:t>.</w:t>
                  </w:r>
                  <w:r>
                    <w:rPr>
                      <w:lang w:val="en-AU"/>
                    </w:rPr>
                    <w:t xml:space="preserve"> </w:t>
                  </w:r>
                </w:p>
                <w:p w14:paraId="1F18E992" w14:textId="680B3F33" w:rsidR="00F46ED2" w:rsidRPr="00360CFD" w:rsidRDefault="00342554" w:rsidP="00342554">
                  <w:pPr>
                    <w:pStyle w:val="Text"/>
                  </w:pPr>
                  <w:r>
                    <w:t xml:space="preserve">Single parent families reported the most strained relationships with the lowest satisfaction in partner and child-parent relationships. Single parents gave their current or former partner relationship a mean score of 7.3 out of 10, and their partner’s relationship with the children just 5.6—significantly lower than in other family </w:t>
                  </w:r>
                  <w:r w:rsidRPr="005151CB">
                    <w:t xml:space="preserve">types </w:t>
                  </w:r>
                  <w:r w:rsidRPr="005151CB">
                    <w:fldChar w:fldCharType="begin"/>
                  </w:r>
                  <w:r w:rsidR="00E41D03">
                    <w:instrText xml:space="preserve"> ADDIN ZOTERO_ITEM CSL_CITATION {"citationID":"akaj6tcsd6","properties":{"formattedCitation":"(Naidoo et al., 2024)","plainCitation":"(Naidoo et al., 2024)","noteIndex":0},"citationItems":[{"id":4693,"uris":["http://zotero.org/groups/5691188/items/38T8ACF5"],"itemData":{"id":4693,"type":"report","publisher":"UNSW Social Policy Research Centre and Uniting NSW.ACT","title":"Uniting Families Report","author":[{"family":"Naidoo","given":"Y"},{"family":"Blaxland","given":"M"},{"family":"Wong","given":"M"},{"family":"Katz","given":"I"}],"issued":{"date-parts":[["2024"]]}}}],"schema":"https://github.com/citation-style-language/schema/raw/master/csl-citation.json"} </w:instrText>
                  </w:r>
                  <w:r w:rsidRPr="005151CB">
                    <w:fldChar w:fldCharType="separate"/>
                  </w:r>
                  <w:r w:rsidR="00AC138C" w:rsidRPr="00AC138C">
                    <w:rPr>
                      <w:rFonts w:ascii="Arial" w:hAnsi="Arial" w:cs="Arial"/>
                    </w:rPr>
                    <w:t>(Naidoo et al., 2024)</w:t>
                  </w:r>
                  <w:r w:rsidRPr="005151CB">
                    <w:fldChar w:fldCharType="end"/>
                  </w:r>
                  <w:r>
                    <w:t>.</w:t>
                  </w:r>
                  <w:r w:rsidR="00F46ED2">
                    <w:t xml:space="preserve"> </w:t>
                  </w:r>
                  <w:r>
                    <w:t xml:space="preserve">However, children’s relationships with each other were generally positive across all family types, with mean satisfaction scores around 7.5 or higher </w:t>
                  </w:r>
                  <w:r w:rsidRPr="005151CB">
                    <w:fldChar w:fldCharType="begin"/>
                  </w:r>
                  <w:r w:rsidR="00E41D03">
                    <w:instrText xml:space="preserve"> ADDIN ZOTERO_ITEM CSL_CITATION {"citationID":"qYvcUYZl","properties":{"formattedCitation":"(Naidoo et al., 2024)","plainCitation":"(Naidoo et al., 2024)","noteIndex":0},"citationItems":[{"id":4693,"uris":["http://zotero.org/groups/5691188/items/38T8ACF5"],"itemData":{"id":4693,"type":"report","publisher":"UNSW Social Policy Research Centre and Uniting NSW.ACT","title":"Uniting Families Report","author":[{"family":"Naidoo","given":"Y"},{"family":"Blaxland","given":"M"},{"family":"Wong","given":"M"},{"family":"Katz","given":"I"}],"issued":{"date-parts":[["2024"]]}}}],"schema":"https://github.com/citation-style-language/schema/raw/master/csl-citation.json"} </w:instrText>
                  </w:r>
                  <w:r w:rsidRPr="005151CB">
                    <w:fldChar w:fldCharType="separate"/>
                  </w:r>
                  <w:r w:rsidR="00AC138C" w:rsidRPr="00AC138C">
                    <w:rPr>
                      <w:rFonts w:ascii="Arial" w:hAnsi="Arial" w:cs="Arial"/>
                    </w:rPr>
                    <w:t>(Naidoo et al., 2024)</w:t>
                  </w:r>
                  <w:r w:rsidRPr="005151CB">
                    <w:fldChar w:fldCharType="end"/>
                  </w:r>
                  <w:r>
                    <w:t>. This was consistent with Baxter &amp; Warren</w:t>
                  </w:r>
                  <w:r w:rsidRPr="009A58A4">
                    <w:t xml:space="preserve"> </w:t>
                  </w:r>
                  <w:r w:rsidRPr="009A58A4">
                    <w:fldChar w:fldCharType="begin"/>
                  </w:r>
                  <w:r w:rsidR="00E41D03">
                    <w:instrText xml:space="preserve"> ADDIN ZOTERO_ITEM CSL_CITATION {"citationID":"acnnh5rpjf","properties":{"formattedCitation":"(2021)","plainCitation":"(2021)","noteIndex":0},"citationItems":[{"id":4566,"uris":["http://zotero.org/groups/5691188/items/MEZHREWR"],"itemData":{"id":4566,"type":"report","event-place":"Melbourne","publisher":"Australian Institute of Family Studies","publisher-place":"Melbourne","title":"Families in Australia Survey 3, Report no. 2, Relationships within the family.","author":[{"family":"Baxter","given":"J"},{"family":"Warren","given":"D"}],"issued":{"date-parts":[["2021"]]}},"suppress-author":true}],"schema":"https://github.com/citation-style-language/schema/raw/master/csl-citation.json"} </w:instrText>
                  </w:r>
                  <w:r w:rsidRPr="009A58A4">
                    <w:fldChar w:fldCharType="separate"/>
                  </w:r>
                  <w:r w:rsidR="00AC138C" w:rsidRPr="00AC138C">
                    <w:rPr>
                      <w:rFonts w:ascii="Arial" w:hAnsi="Arial" w:cs="Arial"/>
                    </w:rPr>
                    <w:t>(2021)</w:t>
                  </w:r>
                  <w:r w:rsidRPr="009A58A4">
                    <w:fldChar w:fldCharType="end"/>
                  </w:r>
                  <w:r>
                    <w:t xml:space="preserve"> who found higher levels of harmony among younger children, with dissatisfaction increasing by 12% as children aged. These findings suggest that parenting programs and other similar content should be targeted at parents of teenagers and single parent households. </w:t>
                  </w:r>
                </w:p>
                <w:p w14:paraId="384C8F0A" w14:textId="77777777" w:rsidR="00342554" w:rsidRPr="00566847" w:rsidRDefault="00342554" w:rsidP="00342554">
                  <w:pPr>
                    <w:pStyle w:val="Text-BodyHeading"/>
                    <w:rPr>
                      <w:b w:val="0"/>
                      <w:i/>
                    </w:rPr>
                  </w:pPr>
                  <w:r w:rsidRPr="00566847">
                    <w:rPr>
                      <w:b w:val="0"/>
                      <w:i/>
                    </w:rPr>
                    <w:t xml:space="preserve">Intergenerational families </w:t>
                  </w:r>
                </w:p>
                <w:p w14:paraId="6C183CF6" w14:textId="3B0DFF04" w:rsidR="00342554" w:rsidRDefault="00342554" w:rsidP="00342554">
                  <w:pPr>
                    <w:pStyle w:val="Text"/>
                    <w:rPr>
                      <w:lang w:val="en-AU"/>
                    </w:rPr>
                  </w:pPr>
                  <w:r w:rsidRPr="00C04C3C">
                    <w:rPr>
                      <w:lang w:val="en-AU"/>
                    </w:rPr>
                    <w:t xml:space="preserve">Adults living with their parent or another adult relative (other than a sibling) report an elevated level of household discord. These respondents to the 2021 Families in Australia Survey were more likely to rate the household relationships as ‘fair’, ‘poor’ or ‘very poor’ (42%) and more likely to experience conflict (52%) reporting ‘some’, ‘quite a bit’ or ‘a great deal’ </w:t>
                  </w:r>
                  <w:r w:rsidRPr="00C04C3C">
                    <w:rPr>
                      <w:lang w:val="en-AU"/>
                    </w:rPr>
                    <w:fldChar w:fldCharType="begin"/>
                  </w:r>
                  <w:r w:rsidR="00E41D03">
                    <w:rPr>
                      <w:lang w:val="en-AU"/>
                    </w:rPr>
                    <w:instrText xml:space="preserve"> ADDIN ZOTERO_ITEM CSL_CITATION {"citationID":"L0niXBBC","properties":{"formattedCitation":"(Baxter and Warren, 2021)","plainCitation":"(Baxter and Warren, 2021)","noteIndex":0},"citationItems":[{"id":4566,"uris":["http://zotero.org/groups/5691188/items/MEZHREWR"],"itemData":{"id":4566,"type":"report","event-place":"Melbourne","publisher":"Australian Institute of Family Studies","publisher-place":"Melbourne","title":"Families in Australia Survey 3, Report no. 2, Relationships within the family.","author":[{"family":"Baxter","given":"J"},{"family":"Warren","given":"D"}],"issued":{"date-parts":[["2021"]]}}}],"schema":"https://github.com/citation-style-language/schema/raw/master/csl-citation.json"} </w:instrText>
                  </w:r>
                  <w:r w:rsidRPr="00C04C3C">
                    <w:rPr>
                      <w:lang w:val="en-AU"/>
                    </w:rPr>
                    <w:fldChar w:fldCharType="separate"/>
                  </w:r>
                  <w:r w:rsidR="00AC138C" w:rsidRPr="00AC138C">
                    <w:rPr>
                      <w:rFonts w:ascii="Arial" w:hAnsi="Arial" w:cs="Arial"/>
                    </w:rPr>
                    <w:t>(Baxter and Warren, 2021)</w:t>
                  </w:r>
                  <w:r w:rsidRPr="00C04C3C">
                    <w:fldChar w:fldCharType="end"/>
                  </w:r>
                  <w:r w:rsidRPr="00C04C3C">
                    <w:rPr>
                      <w:lang w:val="en-AU"/>
                    </w:rPr>
                    <w:t xml:space="preserve">. Only 23% described the ability for members of the household to get along with one another as ‘very good’, compared to 66% of households comprising siblings or unrelated adults. Interestingly, 52% of respondents living with older children (i.e. aged over 18) described their ability to get along as ‘very good’ </w:t>
                  </w:r>
                  <w:r w:rsidRPr="00C04C3C">
                    <w:rPr>
                      <w:lang w:val="en-AU"/>
                    </w:rPr>
                    <w:fldChar w:fldCharType="begin"/>
                  </w:r>
                  <w:r w:rsidR="00E41D03">
                    <w:rPr>
                      <w:lang w:val="en-AU"/>
                    </w:rPr>
                    <w:instrText xml:space="preserve"> ADDIN ZOTERO_ITEM CSL_CITATION {"citationID":"MgxDW8Ne","properties":{"formattedCitation":"(Baxter and Warren, 2021)","plainCitation":"(Baxter and Warren, 2021)","noteIndex":0},"citationItems":[{"id":4566,"uris":["http://zotero.org/groups/5691188/items/MEZHREWR"],"itemData":{"id":4566,"type":"report","event-place":"Melbourne","publisher":"Australian Institute of Family Studies","publisher-place":"Melbourne","title":"Families in Australia Survey 3, Report no. 2, Relationships within the family.","author":[{"family":"Baxter","given":"J"},{"family":"Warren","given":"D"}],"issued":{"date-parts":[["2021"]]}}}],"schema":"https://github.com/citation-style-language/schema/raw/master/csl-citation.json"} </w:instrText>
                  </w:r>
                  <w:r w:rsidRPr="00C04C3C">
                    <w:rPr>
                      <w:lang w:val="en-AU"/>
                    </w:rPr>
                    <w:fldChar w:fldCharType="separate"/>
                  </w:r>
                  <w:r w:rsidR="00AC138C" w:rsidRPr="00AC138C">
                    <w:rPr>
                      <w:rFonts w:ascii="Arial" w:hAnsi="Arial" w:cs="Arial"/>
                    </w:rPr>
                    <w:t>(Baxter and Warren, 2021)</w:t>
                  </w:r>
                  <w:r w:rsidRPr="00C04C3C">
                    <w:fldChar w:fldCharType="end"/>
                  </w:r>
                  <w:r w:rsidRPr="00C04C3C">
                    <w:rPr>
                      <w:lang w:val="en-AU"/>
                    </w:rPr>
                    <w:t xml:space="preserve">. Fingerman et al (2020) suggest that due to competing needs for independence and connection, intergenerational relationships can be simultaneously close as well as irritating </w:t>
                  </w:r>
                  <w:r w:rsidRPr="00C04C3C">
                    <w:rPr>
                      <w:lang w:val="en-AU"/>
                    </w:rPr>
                    <w:fldChar w:fldCharType="begin"/>
                  </w:r>
                  <w:r w:rsidR="00E41D03">
                    <w:rPr>
                      <w:lang w:val="en-AU"/>
                    </w:rPr>
                    <w:instrText xml:space="preserve"> ADDIN ZOTERO_ITEM CSL_CITATION {"citationID":"HXnAWWFh","properties":{"formattedCitation":"(Fingerman et al., 2020)","plainCitation":"(Fingerman et al., 2020)","noteIndex":0},"citationItems":[{"id":4742,"uris":["http://zotero.org/groups/5691188/items/RT68RGMB"],"itemData":{"id":4742,"type":"article-journal","abstract":"Due to extended transitions to adulthood and declining marital rates, bonds between adults and parents have grown increasingly salient in individuals’ lives over the past decade. This review organizes research on parents and grown children using the Intergenerational Systems in Context Model describing the co-occurrence of societal transformations and changes in intergenerational relationships over the past decade. Technological advances (e.g., introduction of the iPhone) co-occurred with more frequent contact and interdependence between generations. The Great Recession and financial strains altered the nature of many parent/child ties, including increased intergenerational coresidence. Individual life problems such as divorce, addiction, and physical health problems are reflected in complex changes in positive and negative relationship qualities, ambivalence, and intergenerational support. Government policies reflect societal values and in turn, affect the distribution of parents’ and grown children’s resources. Political disruptions instigated migration, separating generations across large geographic regions. Demographic factors regarding the constellation of family members, delayed marriage, same sex marriage, and estrangement are also manifest in ties between adults and parents. This review organizes research around these topics to address ties between parents and grown children in the context of broader societal changes.","container-title":"Journal of Marriage and Family","DOI":"10.1111/jomf.12604","ISSN":"0022-2445, 1741-3737","issue":"1","journalAbbreviation":"J of Marriage and Family","language":"en","page":"383-403","source":"DOI.org (Crossref)","title":"A Decade of Research on Intergenerational Ties: Technological, Economic, Political, and Demographic Changes","title-short":"A Decade of Research on Intergenerational Ties","volume":"82","author":[{"family":"Fingerman","given":"Karen L."},{"family":"Huo","given":"Meng"},{"family":"Birditt","given":"Kira S."}],"issued":{"date-parts":[["2020",2]]}}}],"schema":"https://github.com/citation-style-language/schema/raw/master/csl-citation.json"} </w:instrText>
                  </w:r>
                  <w:r w:rsidRPr="00C04C3C">
                    <w:rPr>
                      <w:lang w:val="en-AU"/>
                    </w:rPr>
                    <w:fldChar w:fldCharType="separate"/>
                  </w:r>
                  <w:r w:rsidRPr="00C04C3C">
                    <w:rPr>
                      <w:lang w:val="en-AU"/>
                    </w:rPr>
                    <w:t>(Fingerman et al., 2020)</w:t>
                  </w:r>
                  <w:r w:rsidRPr="00C04C3C">
                    <w:fldChar w:fldCharType="end"/>
                  </w:r>
                  <w:r w:rsidRPr="00C04C3C">
                    <w:rPr>
                      <w:lang w:val="en-AU"/>
                    </w:rPr>
                    <w:t xml:space="preserve">. </w:t>
                  </w:r>
                </w:p>
                <w:p w14:paraId="78E78A65" w14:textId="77777777" w:rsidR="00342554" w:rsidRDefault="00342554" w:rsidP="00321BC5">
                  <w:pPr>
                    <w:pStyle w:val="Text-BodyHeading"/>
                    <w:spacing w:before="360" w:after="240"/>
                  </w:pPr>
                  <w:r>
                    <w:t>The impact of gender on the quality of family relationships</w:t>
                  </w:r>
                </w:p>
                <w:p w14:paraId="65B54D95" w14:textId="04A03855" w:rsidR="00342554" w:rsidRPr="00F45024" w:rsidRDefault="00B77E0C" w:rsidP="00342554">
                  <w:pPr>
                    <w:pStyle w:val="Text"/>
                    <w:rPr>
                      <w:lang w:val="en-AU"/>
                    </w:rPr>
                  </w:pPr>
                  <w:r>
                    <w:rPr>
                      <w:lang w:val="en-AU"/>
                    </w:rPr>
                    <w:t>G</w:t>
                  </w:r>
                  <w:r w:rsidR="00342554" w:rsidRPr="00CB2B4E">
                    <w:rPr>
                      <w:lang w:val="en-AU"/>
                    </w:rPr>
                    <w:t>ender</w:t>
                  </w:r>
                  <w:r w:rsidR="00342554" w:rsidRPr="00F45024">
                    <w:rPr>
                      <w:lang w:val="en-AU"/>
                    </w:rPr>
                    <w:t xml:space="preserve"> continues to shape family dynamics, particularly around caregiving and household responsibilities. Women across all family types are more likely to report doing more than their fair share of both child rearing and domestic work, while men are more likely to believe that responsibilities are shared equally (Naidoo et al., 2024). This divide is particularly stark in </w:t>
                  </w:r>
                  <w:r w:rsidR="00342554" w:rsidRPr="00F45024">
                    <w:rPr>
                      <w:lang w:val="en-AU"/>
                    </w:rPr>
                    <w:lastRenderedPageBreak/>
                    <w:t xml:space="preserve">single parent families, where 75% of women say they shoulder the majority of parenting duties </w:t>
                  </w:r>
                  <w:r w:rsidR="00342554" w:rsidRPr="005151CB">
                    <w:fldChar w:fldCharType="begin"/>
                  </w:r>
                  <w:r w:rsidR="00E41D03">
                    <w:instrText xml:space="preserve"> ADDIN ZOTERO_ITEM CSL_CITATION {"citationID":"DO5MgYQs","properties":{"formattedCitation":"(Naidoo et al., 2024)","plainCitation":"(Naidoo et al., 2024)","noteIndex":0},"citationItems":[{"id":4693,"uris":["http://zotero.org/groups/5691188/items/38T8ACF5"],"itemData":{"id":4693,"type":"report","publisher":"UNSW Social Policy Research Centre and Uniting NSW.ACT","title":"Uniting Families Report","author":[{"family":"Naidoo","given":"Y"},{"family":"Blaxland","given":"M"},{"family":"Wong","given":"M"},{"family":"Katz","given":"I"}],"issued":{"date-parts":[["2024"]]}}}],"schema":"https://github.com/citation-style-language/schema/raw/master/csl-citation.json"} </w:instrText>
                  </w:r>
                  <w:r w:rsidR="00342554" w:rsidRPr="005151CB">
                    <w:fldChar w:fldCharType="separate"/>
                  </w:r>
                  <w:r w:rsidR="00AC138C" w:rsidRPr="00AC138C">
                    <w:rPr>
                      <w:rFonts w:ascii="Arial" w:hAnsi="Arial" w:cs="Arial"/>
                    </w:rPr>
                    <w:t>(Naidoo et al., 2024)</w:t>
                  </w:r>
                  <w:r w:rsidR="00342554" w:rsidRPr="005151CB">
                    <w:fldChar w:fldCharType="end"/>
                  </w:r>
                  <w:r w:rsidR="00342554">
                    <w:t xml:space="preserve">. </w:t>
                  </w:r>
                  <w:r w:rsidR="00342554" w:rsidRPr="00F45024">
                    <w:rPr>
                      <w:lang w:val="en-AU"/>
                    </w:rPr>
                    <w:t xml:space="preserve">These patterns also influence satisfaction, with men generally more content than women with how parenting tasks are divided, especially in multigenerational and foster/kin families where the gender satisfaction gap can be as large as 1.5 points out of 10 </w:t>
                  </w:r>
                  <w:r w:rsidR="00342554" w:rsidRPr="005151CB">
                    <w:fldChar w:fldCharType="begin"/>
                  </w:r>
                  <w:r w:rsidR="00E41D03">
                    <w:instrText xml:space="preserve"> ADDIN ZOTERO_ITEM CSL_CITATION {"citationID":"DjSCrk0x","properties":{"formattedCitation":"(Naidoo et al., 2024)","plainCitation":"(Naidoo et al., 2024)","noteIndex":0},"citationItems":[{"id":4693,"uris":["http://zotero.org/groups/5691188/items/38T8ACF5"],"itemData":{"id":4693,"type":"report","publisher":"UNSW Social Policy Research Centre and Uniting NSW.ACT","title":"Uniting Families Report","author":[{"family":"Naidoo","given":"Y"},{"family":"Blaxland","given":"M"},{"family":"Wong","given":"M"},{"family":"Katz","given":"I"}],"issued":{"date-parts":[["2024"]]}}}],"schema":"https://github.com/citation-style-language/schema/raw/master/csl-citation.json"} </w:instrText>
                  </w:r>
                  <w:r w:rsidR="00342554" w:rsidRPr="005151CB">
                    <w:fldChar w:fldCharType="separate"/>
                  </w:r>
                  <w:r w:rsidR="00AC138C" w:rsidRPr="00AC138C">
                    <w:rPr>
                      <w:rFonts w:ascii="Arial" w:hAnsi="Arial" w:cs="Arial"/>
                    </w:rPr>
                    <w:t>(Naidoo et al., 2024)</w:t>
                  </w:r>
                  <w:r w:rsidR="00342554" w:rsidRPr="005151CB">
                    <w:fldChar w:fldCharType="end"/>
                  </w:r>
                  <w:r w:rsidR="00342554">
                    <w:t>.</w:t>
                  </w:r>
                </w:p>
                <w:p w14:paraId="776E47EF" w14:textId="7F863FF8" w:rsidR="00342554" w:rsidRPr="00F45024" w:rsidRDefault="00342554" w:rsidP="00342554">
                  <w:pPr>
                    <w:pStyle w:val="Text"/>
                    <w:rPr>
                      <w:lang w:val="en-AU"/>
                    </w:rPr>
                  </w:pPr>
                  <w:r w:rsidRPr="00F45024">
                    <w:rPr>
                      <w:lang w:val="en-AU"/>
                    </w:rPr>
                    <w:t xml:space="preserve">Similar trends appear in relation to household duties, where women again report doing more and feeling less satisfied. Women in single parent families consistently reported the lowest satisfaction levels with domestic task division </w:t>
                  </w:r>
                  <w:r w:rsidRPr="005151CB">
                    <w:fldChar w:fldCharType="begin"/>
                  </w:r>
                  <w:r w:rsidR="00E41D03">
                    <w:instrText xml:space="preserve"> ADDIN ZOTERO_ITEM CSL_CITATION {"citationID":"gTW0Uyee","properties":{"formattedCitation":"(Naidoo et al., 2024)","plainCitation":"(Naidoo et al., 2024)","noteIndex":0},"citationItems":[{"id":4693,"uris":["http://zotero.org/groups/5691188/items/38T8ACF5"],"itemData":{"id":4693,"type":"report","publisher":"UNSW Social Policy Research Centre and Uniting NSW.ACT","title":"Uniting Families Report","author":[{"family":"Naidoo","given":"Y"},{"family":"Blaxland","given":"M"},{"family":"Wong","given":"M"},{"family":"Katz","given":"I"}],"issued":{"date-parts":[["2024"]]}}}],"schema":"https://github.com/citation-style-language/schema/raw/master/csl-citation.json"} </w:instrText>
                  </w:r>
                  <w:r w:rsidRPr="005151CB">
                    <w:fldChar w:fldCharType="separate"/>
                  </w:r>
                  <w:r w:rsidR="00AC138C" w:rsidRPr="00AC138C">
                    <w:rPr>
                      <w:rFonts w:ascii="Arial" w:hAnsi="Arial" w:cs="Arial"/>
                    </w:rPr>
                    <w:t>(Naidoo et al., 2024)</w:t>
                  </w:r>
                  <w:r w:rsidRPr="005151CB">
                    <w:fldChar w:fldCharType="end"/>
                  </w:r>
                  <w:r>
                    <w:t xml:space="preserve">. </w:t>
                  </w:r>
                  <w:r w:rsidRPr="00F45024">
                    <w:rPr>
                      <w:lang w:val="en-AU"/>
                    </w:rPr>
                    <w:t>These imbalances have a clear emotional toll</w:t>
                  </w:r>
                  <w:r>
                    <w:rPr>
                      <w:lang w:val="en-AU"/>
                    </w:rPr>
                    <w:t>. W</w:t>
                  </w:r>
                  <w:r w:rsidRPr="00F45024">
                    <w:rPr>
                      <w:lang w:val="en-AU"/>
                    </w:rPr>
                    <w:t xml:space="preserve">omen are more likely than men to feel overwhelmed by parenting, describing it as exhausting, more work than pleasure, and harder than expected. This was especially true for women in multigenerational families, who reported higher levels of fatigue and stress </w:t>
                  </w:r>
                  <w:r w:rsidRPr="005151CB">
                    <w:fldChar w:fldCharType="begin"/>
                  </w:r>
                  <w:r w:rsidR="00E41D03">
                    <w:instrText xml:space="preserve"> ADDIN ZOTERO_ITEM CSL_CITATION {"citationID":"eWwOALmk","properties":{"formattedCitation":"(Naidoo et al., 2024)","plainCitation":"(Naidoo et al., 2024)","noteIndex":0},"citationItems":[{"id":4693,"uris":["http://zotero.org/groups/5691188/items/38T8ACF5"],"itemData":{"id":4693,"type":"report","publisher":"UNSW Social Policy Research Centre and Uniting NSW.ACT","title":"Uniting Families Report","author":[{"family":"Naidoo","given":"Y"},{"family":"Blaxland","given":"M"},{"family":"Wong","given":"M"},{"family":"Katz","given":"I"}],"issued":{"date-parts":[["2024"]]}}}],"schema":"https://github.com/citation-style-language/schema/raw/master/csl-citation.json"} </w:instrText>
                  </w:r>
                  <w:r w:rsidRPr="005151CB">
                    <w:fldChar w:fldCharType="separate"/>
                  </w:r>
                  <w:r w:rsidR="00AC138C" w:rsidRPr="00AC138C">
                    <w:rPr>
                      <w:rFonts w:ascii="Arial" w:hAnsi="Arial" w:cs="Arial"/>
                    </w:rPr>
                    <w:t>(Naidoo et al., 2024)</w:t>
                  </w:r>
                  <w:r w:rsidRPr="005151CB">
                    <w:fldChar w:fldCharType="end"/>
                  </w:r>
                  <w:r>
                    <w:t xml:space="preserve">. </w:t>
                  </w:r>
                  <w:r w:rsidRPr="00F45024">
                    <w:rPr>
                      <w:lang w:val="en-AU"/>
                    </w:rPr>
                    <w:t xml:space="preserve">Notably, foster and kin families stood out as the only family type where men, not women, reported greater parenting difficulty on every measure </w:t>
                  </w:r>
                  <w:r w:rsidRPr="005151CB">
                    <w:fldChar w:fldCharType="begin"/>
                  </w:r>
                  <w:r w:rsidR="00E41D03">
                    <w:instrText xml:space="preserve"> ADDIN ZOTERO_ITEM CSL_CITATION {"citationID":"CZkVcmbv","properties":{"formattedCitation":"(Naidoo et al., 2024)","plainCitation":"(Naidoo et al., 2024)","noteIndex":0},"citationItems":[{"id":4693,"uris":["http://zotero.org/groups/5691188/items/38T8ACF5"],"itemData":{"id":4693,"type":"report","publisher":"UNSW Social Policy Research Centre and Uniting NSW.ACT","title":"Uniting Families Report","author":[{"family":"Naidoo","given":"Y"},{"family":"Blaxland","given":"M"},{"family":"Wong","given":"M"},{"family":"Katz","given":"I"}],"issued":{"date-parts":[["2024"]]}}}],"schema":"https://github.com/citation-style-language/schema/raw/master/csl-citation.json"} </w:instrText>
                  </w:r>
                  <w:r w:rsidRPr="005151CB">
                    <w:fldChar w:fldCharType="separate"/>
                  </w:r>
                  <w:r w:rsidR="00AC138C" w:rsidRPr="00AC138C">
                    <w:rPr>
                      <w:rFonts w:ascii="Arial" w:hAnsi="Arial" w:cs="Arial"/>
                    </w:rPr>
                    <w:t>(Naidoo et al., 2024)</w:t>
                  </w:r>
                  <w:r w:rsidRPr="005151CB">
                    <w:fldChar w:fldCharType="end"/>
                  </w:r>
                  <w:r>
                    <w:t>.</w:t>
                  </w:r>
                </w:p>
                <w:p w14:paraId="5CCA90DC" w14:textId="7C509917" w:rsidR="00342554" w:rsidRPr="00C04C3C" w:rsidRDefault="00342554" w:rsidP="00342554">
                  <w:pPr>
                    <w:pStyle w:val="Text"/>
                    <w:rPr>
                      <w:lang w:val="en-AU"/>
                    </w:rPr>
                  </w:pPr>
                  <w:r w:rsidRPr="00F45024">
                    <w:rPr>
                      <w:lang w:val="en-AU"/>
                    </w:rPr>
                    <w:t>Gender also plays a key role in emotional wellbeing and financial outcomes. Women often face greater financial hardship post-separation, especially when they are the primary caregiver and lack sufficient child support</w:t>
                  </w:r>
                  <w:r w:rsidR="004F2505">
                    <w:rPr>
                      <w:lang w:val="en-AU"/>
                    </w:rPr>
                    <w:t>,</w:t>
                  </w:r>
                  <w:r>
                    <w:rPr>
                      <w:lang w:val="en-AU"/>
                    </w:rPr>
                    <w:t xml:space="preserve"> </w:t>
                  </w:r>
                  <w:r w:rsidRPr="00F45024">
                    <w:rPr>
                      <w:lang w:val="en-AU"/>
                    </w:rPr>
                    <w:t>placing children at increased risk of poverty</w:t>
                  </w:r>
                  <w:r>
                    <w:rPr>
                      <w:lang w:val="en-AU"/>
                    </w:rPr>
                    <w:t xml:space="preserve"> </w:t>
                  </w:r>
                  <w:r>
                    <w:rPr>
                      <w:lang w:val="en-AU"/>
                    </w:rPr>
                    <w:fldChar w:fldCharType="begin"/>
                  </w:r>
                  <w:r w:rsidR="00E41D03">
                    <w:rPr>
                      <w:lang w:val="en-AU"/>
                    </w:rPr>
                    <w:instrText xml:space="preserve"> ADDIN ZOTERO_ITEM CSL_CITATION {"citationID":"a215fo7fg7t","properties":{"formattedCitation":"(Hewitt, 2021)","plainCitation":"(Hewitt, 2021)","noteIndex":0},"citationItems":[{"id":4746,"uris":["http://zotero.org/groups/5691188/items/NEX6VZUD"],"itemData":{"id":4746,"type":"article-journal","abstract":"The HILDA Survey has provided an unprecedented opportunity to investigate the determinants and consequences of family formation and dissolution in Australia. This review gives an overview of this research, focusing on (i) relationship formation, (ii) fertility, children and parenting and (iii) relationship dissolution.","container-title":"Australian Economic Review","DOI":"10.1111/1467-8462.12445","ISSN":"0004-9018, 1467-8462","issue":"4","journalAbbreviation":"Australian Economic Review","language":"en","page":"506-517","source":"DOI.org (Crossref)","title":"The Dynamics of Family Formation and Dissolution","volume":"54","author":[{"family":"Hewitt","given":"Belinda"}],"issued":{"date-parts":[["2021",12]]}}}],"schema":"https://github.com/citation-style-language/schema/raw/master/csl-citation.json"} </w:instrText>
                  </w:r>
                  <w:r>
                    <w:rPr>
                      <w:lang w:val="en-AU"/>
                    </w:rPr>
                    <w:fldChar w:fldCharType="separate"/>
                  </w:r>
                  <w:r w:rsidR="00AC138C" w:rsidRPr="00AC138C">
                    <w:rPr>
                      <w:rFonts w:ascii="Arial" w:hAnsi="Arial" w:cs="Arial"/>
                    </w:rPr>
                    <w:t>(Hewitt, 2021)</w:t>
                  </w:r>
                  <w:r>
                    <w:rPr>
                      <w:lang w:val="en-AU"/>
                    </w:rPr>
                    <w:fldChar w:fldCharType="end"/>
                  </w:r>
                  <w:r w:rsidRPr="00F45024">
                    <w:rPr>
                      <w:lang w:val="en-AU"/>
                    </w:rPr>
                    <w:t>. Despite these challenges, women are more frequently identified as central emotional figures in families. In Relationships Australia’s</w:t>
                  </w:r>
                  <w:r>
                    <w:rPr>
                      <w:lang w:val="en-AU"/>
                    </w:rPr>
                    <w:t xml:space="preserve"> </w:t>
                  </w:r>
                  <w:r w:rsidRPr="00594A48">
                    <w:rPr>
                      <w:lang w:val="en-AU"/>
                    </w:rPr>
                    <w:fldChar w:fldCharType="begin"/>
                  </w:r>
                  <w:r w:rsidR="00E41D03">
                    <w:rPr>
                      <w:lang w:val="en-AU"/>
                    </w:rPr>
                    <w:instrText xml:space="preserve"> ADDIN ZOTERO_ITEM CSL_CITATION {"citationID":"aacc9qes6n","properties":{"formattedCitation":"(2022)","plainCitation":"(2022)","noteIndex":0},"citationItems":[{"id":4669,"uris":["http://zotero.org/groups/5691188/items/A43AYZKP"],"itemData":{"id":4669,"type":"report","collection-title":"Relationship Indicators","publisher":"Relationships Australia","title":"Relationship Indicators 2022 Full Report","URL":"https://www. relationships.org.au/relationship-indicators/.","author":[{"family":"Relationships Australia","given":""}],"issued":{"date-parts":[["2022"]]}},"suppress-author":true}],"schema":"https://github.com/citation-style-language/schema/raw/master/csl-citation.json"} </w:instrText>
                  </w:r>
                  <w:r w:rsidRPr="00594A48">
                    <w:rPr>
                      <w:lang w:val="en-AU"/>
                    </w:rPr>
                    <w:fldChar w:fldCharType="separate"/>
                  </w:r>
                  <w:r w:rsidR="00AC138C" w:rsidRPr="00AC138C">
                    <w:rPr>
                      <w:rFonts w:ascii="Arial" w:hAnsi="Arial" w:cs="Arial"/>
                    </w:rPr>
                    <w:t>(2022)</w:t>
                  </w:r>
                  <w:r w:rsidRPr="00594A48">
                    <w:rPr>
                      <w:lang w:val="en-AU"/>
                    </w:rPr>
                    <w:fldChar w:fldCharType="end"/>
                  </w:r>
                  <w:r w:rsidRPr="00F45024">
                    <w:rPr>
                      <w:lang w:val="en-AU"/>
                    </w:rPr>
                    <w:t xml:space="preserve"> survey, 21% of people named a woman (e.g. mother, sister, daughter) as their most meaningful relationship, compared to only 9% who named a man.</w:t>
                  </w:r>
                  <w:r w:rsidR="00D3354A">
                    <w:rPr>
                      <w:lang w:val="en-AU"/>
                    </w:rPr>
                    <w:t xml:space="preserve"> </w:t>
                  </w:r>
                  <w:r w:rsidR="00B31D2F">
                    <w:rPr>
                      <w:lang w:val="en-AU"/>
                    </w:rPr>
                    <w:t>The remaining 70% selected either a partner,</w:t>
                  </w:r>
                  <w:r w:rsidR="0042791A">
                    <w:rPr>
                      <w:lang w:val="en-AU"/>
                    </w:rPr>
                    <w:t xml:space="preserve"> friend, or</w:t>
                  </w:r>
                  <w:r w:rsidR="00B31D2F">
                    <w:rPr>
                      <w:lang w:val="en-AU"/>
                    </w:rPr>
                    <w:t xml:space="preserve"> neighbour</w:t>
                  </w:r>
                  <w:r w:rsidR="0042791A">
                    <w:rPr>
                      <w:lang w:val="en-AU"/>
                    </w:rPr>
                    <w:t xml:space="preserve"> – gender was not specified.</w:t>
                  </w:r>
                  <w:r w:rsidRPr="00F45024">
                    <w:rPr>
                      <w:lang w:val="en-AU"/>
                    </w:rPr>
                    <w:t xml:space="preserve"> Men were also less likely to be seen as emotional supports, more likely to experience emotional loneliness, and more likely to handle relationship issues alone.</w:t>
                  </w:r>
                  <w:r>
                    <w:rPr>
                      <w:lang w:val="en-AU"/>
                    </w:rPr>
                    <w:t xml:space="preserve"> </w:t>
                  </w:r>
                  <w:r w:rsidRPr="00F45024">
                    <w:rPr>
                      <w:lang w:val="en-AU"/>
                    </w:rPr>
                    <w:t>These findings suggest that while women often carry more responsibility, men may be more socially disconnected, highlighting the need to strengthen men’s roles in family and emotional life.</w:t>
                  </w:r>
                </w:p>
                <w:p w14:paraId="62243DA2" w14:textId="77777777" w:rsidR="00342554" w:rsidRDefault="00342554" w:rsidP="00321BC5">
                  <w:pPr>
                    <w:pStyle w:val="Text-BodyHeading"/>
                    <w:spacing w:before="360" w:after="240"/>
                  </w:pPr>
                  <w:r>
                    <w:t xml:space="preserve">Impact of family relationships and transitions on wellbeing </w:t>
                  </w:r>
                </w:p>
                <w:p w14:paraId="235D5768" w14:textId="21FA05B3" w:rsidR="00342554" w:rsidRPr="005716DC" w:rsidRDefault="00342554" w:rsidP="00342554">
                  <w:pPr>
                    <w:pStyle w:val="Text"/>
                  </w:pPr>
                  <w:r w:rsidRPr="005716DC">
                    <w:t xml:space="preserve">‘Relationship satisfaction isn’t just important for the health of relationships; it also predicts satisfaction with life’ </w:t>
                  </w:r>
                  <w:r w:rsidRPr="005716DC">
                    <w:fldChar w:fldCharType="begin"/>
                  </w:r>
                  <w:r w:rsidR="00E41D03">
                    <w:instrText xml:space="preserve"> ADDIN ZOTERO_ITEM CSL_CITATION {"citationID":"MhAFePv8","properties":{"formattedCitation":"(Relationships Australia, 2022)","plainCitation":"(Relationships Australia, 2022)","noteIndex":0},"citationItems":[{"id":4669,"uris":["http://zotero.org/groups/5691188/items/A43AYZKP"],"itemData":{"id":4669,"type":"report","collection-title":"Relationship Indicators","publisher":"Relationships Australia","title":"Relationship Indicators 2022 Full Report","URL":"https://www. relationships.org.au/relationship-indicators/.","author":[{"family":"Relationships Australia","given":""}],"issued":{"date-parts":[["2022"]]}}}],"schema":"https://github.com/citation-style-language/schema/raw/master/csl-citation.json"} </w:instrText>
                  </w:r>
                  <w:r w:rsidRPr="005716DC">
                    <w:fldChar w:fldCharType="separate"/>
                  </w:r>
                  <w:r w:rsidRPr="005716DC">
                    <w:rPr>
                      <w:rFonts w:ascii="Arial" w:hAnsi="Arial" w:cs="Arial"/>
                    </w:rPr>
                    <w:t>(Relationships Australia, 2022)</w:t>
                  </w:r>
                  <w:r w:rsidRPr="005716DC">
                    <w:fldChar w:fldCharType="end"/>
                  </w:r>
                  <w:r w:rsidRPr="005716DC">
                    <w:t xml:space="preserve">, and the literature reveals a close </w:t>
                  </w:r>
                  <w:r>
                    <w:t>connection</w:t>
                  </w:r>
                  <w:r w:rsidRPr="005716DC">
                    <w:t xml:space="preserve"> between family relationships, transitions, composition and processes and a person’s subjective wellbeing. There is also evidence that family relationships impact children’s development.</w:t>
                  </w:r>
                </w:p>
                <w:p w14:paraId="4EEEE54E" w14:textId="4BB9F419" w:rsidR="00342554" w:rsidRPr="003D716D" w:rsidRDefault="00342554" w:rsidP="00342554">
                  <w:pPr>
                    <w:pStyle w:val="Text"/>
                  </w:pPr>
                  <w:r w:rsidRPr="005716DC">
                    <w:t>According to Relationships Australia</w:t>
                  </w:r>
                  <w:r>
                    <w:t xml:space="preserve"> (2022)</w:t>
                  </w:r>
                  <w:r w:rsidRPr="005716DC">
                    <w:t>, the more satisfactory someone’s important relationship, the better their subjective wellbeing</w:t>
                  </w:r>
                  <w:r>
                    <w:t>.</w:t>
                  </w:r>
                  <w:r w:rsidRPr="005716DC">
                    <w:t xml:space="preserve"> </w:t>
                  </w:r>
                  <w:r>
                    <w:t xml:space="preserve">In addition, </w:t>
                  </w:r>
                  <w:r w:rsidRPr="005716DC">
                    <w:t xml:space="preserve">relationship pressures are associated with reduced relationship satisfaction, subjective wellbeing, and higher levels of loneliness </w:t>
                  </w:r>
                  <w:r w:rsidRPr="005716DC">
                    <w:fldChar w:fldCharType="begin"/>
                  </w:r>
                  <w:r w:rsidR="00E41D03">
                    <w:instrText xml:space="preserve"> ADDIN ZOTERO_ITEM CSL_CITATION {"citationID":"wRswwwMb","properties":{"formattedCitation":"(Relationships Australia, 2022)","plainCitation":"(Relationships Australia, 2022)","noteIndex":0},"citationItems":[{"id":4669,"uris":["http://zotero.org/groups/5691188/items/A43AYZKP"],"itemData":{"id":4669,"type":"report","collection-title":"Relationship Indicators","publisher":"Relationships Australia","title":"Relationship Indicators 2022 Full Report","URL":"https://www. relationships.org.au/relationship-indicators/.","author":[{"family":"Relationships Australia","given":""}],"issued":{"date-parts":[["2022"]]}}}],"schema":"https://github.com/citation-style-language/schema/raw/master/csl-citation.json"} </w:instrText>
                  </w:r>
                  <w:r w:rsidRPr="005716DC">
                    <w:fldChar w:fldCharType="separate"/>
                  </w:r>
                  <w:r w:rsidRPr="005716DC">
                    <w:rPr>
                      <w:rFonts w:ascii="Arial" w:hAnsi="Arial" w:cs="Arial"/>
                    </w:rPr>
                    <w:t>(Relationships Australia, 2022)</w:t>
                  </w:r>
                  <w:r w:rsidRPr="005716DC">
                    <w:fldChar w:fldCharType="end"/>
                  </w:r>
                  <w:r w:rsidRPr="005716DC">
                    <w:t>. Relationships Australia</w:t>
                  </w:r>
                  <w:r>
                    <w:t xml:space="preserve"> (2022)</w:t>
                  </w:r>
                  <w:r w:rsidRPr="005716DC">
                    <w:t xml:space="preserve"> found that describing a relationship as ‘full’ was the strongest predictor of subjective wellbeing. Conversely, feeling ‘lonely’ in a relationship was one of the greatest forecasters for feeling dissatisfied with life </w:t>
                  </w:r>
                  <w:r w:rsidRPr="005716DC">
                    <w:fldChar w:fldCharType="begin"/>
                  </w:r>
                  <w:r w:rsidR="00E41D03">
                    <w:instrText xml:space="preserve"> ADDIN ZOTERO_ITEM CSL_CITATION {"citationID":"nfD3x8Ss","properties":{"formattedCitation":"(Relationships Australia, 2022)","plainCitation":"(Relationships Australia, 2022)","noteIndex":0},"citationItems":[{"id":4669,"uris":["http://zotero.org/groups/5691188/items/A43AYZKP"],"itemData":{"id":4669,"type":"report","collection-title":"Relationship Indicators","publisher":"Relationships Australia","title":"Relationship Indicators 2022 Full Report","URL":"https://www. relationships.org.au/relationship-indicators/.","author":[{"family":"Relationships Australia","given":""}],"issued":{"date-parts":[["2022"]]}}}],"schema":"https://github.com/citation-style-language/schema/raw/master/csl-citation.json"} </w:instrText>
                  </w:r>
                  <w:r w:rsidRPr="005716DC">
                    <w:fldChar w:fldCharType="separate"/>
                  </w:r>
                  <w:r w:rsidRPr="005716DC">
                    <w:rPr>
                      <w:rFonts w:ascii="Arial" w:hAnsi="Arial" w:cs="Arial"/>
                    </w:rPr>
                    <w:t>(Relationships Australia, 2022)</w:t>
                  </w:r>
                  <w:r w:rsidRPr="005716DC">
                    <w:fldChar w:fldCharType="end"/>
                  </w:r>
                  <w:r w:rsidRPr="005716DC">
                    <w:t>. Subjective wellbeing was lowest for those in middle age, before increasing as people age. Relationships Australia</w:t>
                  </w:r>
                  <w:r>
                    <w:t xml:space="preserve"> (2022)</w:t>
                  </w:r>
                  <w:r w:rsidRPr="005716DC">
                    <w:t xml:space="preserve"> attributed these trends to the culminations of caring duties, deteriorating health and relationship breakdown in middle age before ‘age helps people clarify and come to terms with the various changes in life and soothes worries related to what might be lacking</w:t>
                  </w:r>
                  <w:r>
                    <w:t>.</w:t>
                  </w:r>
                  <w:r w:rsidRPr="005716DC">
                    <w:t>’</w:t>
                  </w:r>
                </w:p>
                <w:p w14:paraId="3DDFC7D7" w14:textId="77777777" w:rsidR="00342554" w:rsidRPr="00566847" w:rsidRDefault="00342554" w:rsidP="00342554">
                  <w:pPr>
                    <w:pStyle w:val="Text-BodyHeading"/>
                    <w:rPr>
                      <w:b w:val="0"/>
                      <w:i/>
                    </w:rPr>
                  </w:pPr>
                  <w:r w:rsidRPr="00566847">
                    <w:rPr>
                      <w:b w:val="0"/>
                      <w:i/>
                    </w:rPr>
                    <w:lastRenderedPageBreak/>
                    <w:t xml:space="preserve">Relationship breakdown </w:t>
                  </w:r>
                </w:p>
                <w:p w14:paraId="4D02492A" w14:textId="0B566254" w:rsidR="00342554" w:rsidRDefault="00342554" w:rsidP="00342554">
                  <w:pPr>
                    <w:pStyle w:val="Text"/>
                  </w:pPr>
                  <w:r>
                    <w:t xml:space="preserve">Relationship breakdowns have had lasting impacts on a significant portion of the Australian population. According to Relationships Australia (2024), 31% of Australians report experiencing a break-up, separation, or divorce that still affects them today. This figure is higher for certain groups, including people with long-term mental health conditions (49%), disability (46%), long-term physical health conditions (41%), and LGBTQIA+ people (38%). The mental health impacts are well-documented, with increased risks of depression, anxiety, and suicidality. Divorced men are eight times more likely to die by suicide, and women also face elevated risks, particularly in the years surrounding separation </w:t>
                  </w:r>
                  <w:r w:rsidRPr="00A745C2">
                    <w:fldChar w:fldCharType="begin"/>
                  </w:r>
                  <w:r w:rsidR="00E41D03">
                    <w:instrText xml:space="preserve"> ADDIN ZOTERO_ITEM CSL_CITATION {"citationID":"af75hcv4lb","properties":{"formattedCitation":"(Relationships Australia, 2024)","plainCitation":"(Relationships Australia, 2024)","noteIndex":0},"citationItems":[{"id":4670,"uris":["http://zotero.org/groups/5691188/items/WBX5J93N"],"itemData":{"id":4670,"type":"report","collection-title":"Relationship Indicators","publisher":"Relationships Australia","title":"The ongoing effects of partnered relationship breakdown on our mental health, wellbeing and future outlook","URL":"https://www.relationships.org.au/wp-content/uploads/The-ongoing-effects-of-partnered-relationship-breakdown.pdf","author":[{"family":"Relationships Australia","given":""}],"issued":{"date-parts":[["2024"]]}}}],"schema":"https://github.com/citation-style-language/schema/raw/master/csl-citation.json"} </w:instrText>
                  </w:r>
                  <w:r w:rsidRPr="00A745C2">
                    <w:fldChar w:fldCharType="separate"/>
                  </w:r>
                  <w:r w:rsidR="00AC138C" w:rsidRPr="00AC138C">
                    <w:rPr>
                      <w:rFonts w:ascii="Arial" w:hAnsi="Arial" w:cs="Arial"/>
                    </w:rPr>
                    <w:t>(Relationships Australia, 2024)</w:t>
                  </w:r>
                  <w:r w:rsidRPr="00A745C2">
                    <w:fldChar w:fldCharType="end"/>
                  </w:r>
                  <w:r w:rsidR="00704724">
                    <w:t xml:space="preserve">. </w:t>
                  </w:r>
                </w:p>
                <w:p w14:paraId="6BBDA3BA" w14:textId="0BFF55A6" w:rsidR="00342554" w:rsidRDefault="00342554" w:rsidP="00342554">
                  <w:pPr>
                    <w:pStyle w:val="Text"/>
                  </w:pPr>
                  <w:r>
                    <w:t xml:space="preserve">Emotional and psychological challenges are common following relationship breakdowns. In Relationships Australia's 2024 survey, 44% of respondents reported emotional or mental health issues, including PTSD and loneliness, while 26% faced financial or practical challenges such as housing insecurity, legal issues, and co-parenting difficulties. Others reported intimacy and trust issues (18%), identity impacts like loss of confidence (13%), and experiences of abuse or trauma (8%). Only 3% reported positive personal growth outcomes. Those affected were also 1.5 times lonelier and more likely to experience pressures in later relationships. The findings suggest these impacts are shaped not only by the breakdown itself, but by broader social determinants such as socio-economic status, gender, and sexuality </w:t>
                  </w:r>
                  <w:r w:rsidRPr="00A745C2">
                    <w:fldChar w:fldCharType="begin"/>
                  </w:r>
                  <w:r w:rsidR="00E41D03">
                    <w:instrText xml:space="preserve"> ADDIN ZOTERO_ITEM CSL_CITATION {"citationID":"YekmGZ3e","properties":{"formattedCitation":"(Relationships Australia, 2024)","plainCitation":"(Relationships Australia, 2024)","noteIndex":0},"citationItems":[{"id":4670,"uris":["http://zotero.org/groups/5691188/items/WBX5J93N"],"itemData":{"id":4670,"type":"report","collection-title":"Relationship Indicators","publisher":"Relationships Australia","title":"The ongoing effects of partnered relationship breakdown on our mental health, wellbeing and future outlook","URL":"https://www.relationships.org.au/wp-content/uploads/The-ongoing-effects-of-partnered-relationship-breakdown.pdf","author":[{"family":"Relationships Australia","given":""}],"issued":{"date-parts":[["2024"]]}}}],"schema":"https://github.com/citation-style-language/schema/raw/master/csl-citation.json"} </w:instrText>
                  </w:r>
                  <w:r w:rsidRPr="00A745C2">
                    <w:fldChar w:fldCharType="separate"/>
                  </w:r>
                  <w:r w:rsidR="00AC138C" w:rsidRPr="00AC138C">
                    <w:rPr>
                      <w:rFonts w:ascii="Arial" w:hAnsi="Arial" w:cs="Arial"/>
                    </w:rPr>
                    <w:t>(Relationships Australia, 2024)</w:t>
                  </w:r>
                  <w:r w:rsidRPr="00A745C2">
                    <w:fldChar w:fldCharType="end"/>
                  </w:r>
                  <w:r w:rsidR="00E71278">
                    <w:t>.</w:t>
                  </w:r>
                </w:p>
                <w:p w14:paraId="653EFDBF" w14:textId="313C9057" w:rsidR="00342554" w:rsidRDefault="00342554" w:rsidP="00342554">
                  <w:pPr>
                    <w:pStyle w:val="Text"/>
                  </w:pPr>
                  <w:r>
                    <w:t xml:space="preserve">Despite these challenges, some people report positive transformations after a relationship ends. These include increased freedom and independence (22%), moving on to new relationships (19%), personal growth (15%), feelings of peace or relief (12%), and escaping abusive situations (7%) </w:t>
                  </w:r>
                  <w:r w:rsidRPr="00A745C2">
                    <w:fldChar w:fldCharType="begin"/>
                  </w:r>
                  <w:r w:rsidR="00E41D03">
                    <w:instrText xml:space="preserve"> ADDIN ZOTERO_ITEM CSL_CITATION {"citationID":"jX6PF8uq","properties":{"formattedCitation":"(Relationships Australia, 2024)","plainCitation":"(Relationships Australia, 2024)","noteIndex":0},"citationItems":[{"id":4670,"uris":["http://zotero.org/groups/5691188/items/WBX5J93N"],"itemData":{"id":4670,"type":"report","collection-title":"Relationship Indicators","publisher":"Relationships Australia","title":"The ongoing effects of partnered relationship breakdown on our mental health, wellbeing and future outlook","URL":"https://www.relationships.org.au/wp-content/uploads/The-ongoing-effects-of-partnered-relationship-breakdown.pdf","author":[{"family":"Relationships Australia","given":""}],"issued":{"date-parts":[["2024"]]}}}],"schema":"https://github.com/citation-style-language/schema/raw/master/csl-citation.json"} </w:instrText>
                  </w:r>
                  <w:r w:rsidRPr="00A745C2">
                    <w:fldChar w:fldCharType="separate"/>
                  </w:r>
                  <w:r w:rsidR="00AC138C" w:rsidRPr="00AC138C">
                    <w:rPr>
                      <w:rFonts w:ascii="Arial" w:hAnsi="Arial" w:cs="Arial"/>
                    </w:rPr>
                    <w:t>(Relationships Australia, 2024)</w:t>
                  </w:r>
                  <w:r w:rsidRPr="00A745C2">
                    <w:fldChar w:fldCharType="end"/>
                  </w:r>
                  <w:r>
                    <w:t>. Jensen and Sann</w:t>
                  </w:r>
                  <w:r w:rsidRPr="00A745C2">
                    <w:t xml:space="preserve">er </w:t>
                  </w:r>
                  <w:r w:rsidRPr="00A745C2">
                    <w:fldChar w:fldCharType="begin"/>
                  </w:r>
                  <w:r w:rsidR="00E41D03">
                    <w:instrText xml:space="preserve"> ADDIN ZOTERO_ITEM CSL_CITATION {"citationID":"alfc46u5de","properties":{"formattedCitation":"(2021)","plainCitation":"(2021)","noteIndex":0},"citationItems":[{"id":4740,"uris":["http://zotero.org/groups/5691188/items/R274TD7V"],"itemData":{"id":4740,"type":"article-journal","abstract":"In the United States and across the globe, demographic trends have coalesced to produce an increasingly diverse set of family structures, fueling international interest in exploring diverse family structures as key developmental contexts for adults and children. Given the persistence of research focused on well-being differences across family structures, and in order to move this research into the future productively, it is critical to rigorously chart and evaluate how this research is being conducted. In this scoping review, we evaluate 283 studies that examined associations between family structure and well-being. We reflect on dominant methodological trends across four primary domains: (a) approaches to measuring family structure, (b) approaches to analyzing associations between family structure and well-being, (c) the application of theory, and (d) conceptualizations of well-being. In evaluating observable trends, we offer recommendations for rethinking where we can (and perhaps should) go next to better understand and support contemporary families.","container-title":"Journal of Family Theory &amp; Review","DOI":"10.1111/jftr.12437","ISSN":"1756-2570, 1756-2589","issue":"4","journalAbbreviation":"J of Family Theo &amp;amp; Revie","language":"en","page":"463-495","source":"DOI.org (Crossref)","title":"A scoping review of research on well</w:instrText>
                  </w:r>
                  <w:r w:rsidR="00E41D03">
                    <w:rPr>
                      <w:rFonts w:ascii="Cambria Math" w:hAnsi="Cambria Math" w:cs="Cambria Math"/>
                    </w:rPr>
                    <w:instrText>‐</w:instrText>
                  </w:r>
                  <w:r w:rsidR="00E41D03">
                    <w:instrText>being across diverse family structures: Rethinking approaches for understanding contemporary families","title-short":"A scoping review of research on well</w:instrText>
                  </w:r>
                  <w:r w:rsidR="00E41D03">
                    <w:rPr>
                      <w:rFonts w:ascii="Cambria Math" w:hAnsi="Cambria Math" w:cs="Cambria Math"/>
                    </w:rPr>
                    <w:instrText>‐</w:instrText>
                  </w:r>
                  <w:r w:rsidR="00E41D03">
                    <w:instrText xml:space="preserve">being across diverse family structures","volume":"13","author":[{"family":"Jensen","given":"Todd M."},{"family":"Sanner","given":"Caroline"}],"issued":{"date-parts":[["2021",12]]}},"suppress-author":true}],"schema":"https://github.com/citation-style-language/schema/raw/master/csl-citation.json"} </w:instrText>
                  </w:r>
                  <w:r w:rsidRPr="00A745C2">
                    <w:fldChar w:fldCharType="separate"/>
                  </w:r>
                  <w:r w:rsidR="00AC138C" w:rsidRPr="00AC138C">
                    <w:rPr>
                      <w:rFonts w:ascii="Arial" w:hAnsi="Arial" w:cs="Arial"/>
                    </w:rPr>
                    <w:t>(2021)</w:t>
                  </w:r>
                  <w:r w:rsidRPr="00A745C2">
                    <w:fldChar w:fldCharType="end"/>
                  </w:r>
                  <w:r>
                    <w:t xml:space="preserve"> advocate for a more holistic view of wellbeing that includes resilience and positive outcomes, noting that current research too often emphasises dysfunction. They argue that capturing positive aspects like growth mindset and prosocial behaviour could more accurately reflect diverse family structures and experiences.</w:t>
                  </w:r>
                </w:p>
                <w:p w14:paraId="3C9966DF" w14:textId="1239BD42" w:rsidR="00342554" w:rsidRPr="00566847" w:rsidRDefault="00342554" w:rsidP="00342554">
                  <w:pPr>
                    <w:pStyle w:val="Text-BodyHeading"/>
                    <w:rPr>
                      <w:b w:val="0"/>
                      <w:i/>
                    </w:rPr>
                  </w:pPr>
                  <w:r w:rsidRPr="00566847">
                    <w:rPr>
                      <w:b w:val="0"/>
                      <w:i/>
                    </w:rPr>
                    <w:t xml:space="preserve">Child development and mental health </w:t>
                  </w:r>
                </w:p>
                <w:p w14:paraId="640C54B9" w14:textId="37D64D55" w:rsidR="00342554" w:rsidRDefault="00342554" w:rsidP="00342554">
                  <w:pPr>
                    <w:pStyle w:val="Text"/>
                  </w:pPr>
                  <w:r>
                    <w:t xml:space="preserve">Recent literature has shifted focus from family structure to family processes, highlighting that the wellbeing of children and adolescents is better predicted by the quality of family relationships than by family composition alone </w:t>
                  </w:r>
                  <w:r w:rsidRPr="00565240">
                    <w:fldChar w:fldCharType="begin"/>
                  </w:r>
                  <w:r w:rsidR="00E41D03">
                    <w:instrText xml:space="preserve"> ADDIN ZOTERO_ITEM CSL_CITATION {"citationID":"a6ie2s214v","properties":{"formattedCitation":"(Taf\\uc0\\u224{} et al., 2022)","plainCitation":"(Tafà et al., 2022)","noteIndex":0},"citationItems":[{"id":4562,"uris":["http://zotero.org/groups/5691188/items/GS52B5QI"],"itemData":{"id":4562,"type":"article-journal","abstract":"The literature indicates a variety of factors that contribute to adolescent well-being: among these, the parent–adolescent relationship has a key role. The present article offered an overview of studies on parent–adolescent relationships across diverse family forms, not limited to the traditional family but also including “non-traditional” and “modern” families. To do so, this article described the evolution of the concept of family over the last ﬁfty years and traced the signiﬁcant family variables that guarantee adolescent well-being. Additionally, this article discussed the changes that occurred in family research, shifting from studies that considered only the family structure to more recent studies that investigated family processes and contextual factors. Overall, the reviewed studies indicated that the quality of parent–adolescent relationship, the interparental conﬂict and the consequent spillover effect on the child subsystem, and the changes in the economic situation following parental separation/divorce override the effect of the family structure. Finally, this article pointed out the need to examine, in the future research, adolescent well-being across diverse families by adopting more ﬁne-grained methodologies, collecting data from the entire family system, and using a multi-method assessment to obtain a more ecological view of family complexity.","container-title":"International Journal of Environmental Research and Public Health","DOI":"10.3390/ijerph20010383","ISSN":"1660-4601","issue":"1","journalAbbreviation":"IJERPH","language":"en","license":"https://creativecommons.org/licenses/by/4.0/","page":"383","source":"DOI.org (Crossref)","title":"What Decides the Well-Being of the Relationship between Parents and Adolescents","volume":"20","author":[{"family":"Tafà","given":"Mimma"},{"family":"Bracaglia","given":"Fabrizia"},{"family":"Inguscio","given":"Lucio"},{"family":"Carone","given":"Nicola"}],"issued":{"date-parts":[["2022",12,26]]}}}],"schema":"https://github.com/citation-style-language/schema/raw/master/csl-citation.json"} </w:instrText>
                  </w:r>
                  <w:r w:rsidRPr="00565240">
                    <w:fldChar w:fldCharType="separate"/>
                  </w:r>
                  <w:r w:rsidR="00AC138C" w:rsidRPr="00AC138C">
                    <w:rPr>
                      <w:rFonts w:ascii="Arial" w:hAnsi="Arial" w:cs="Arial"/>
                    </w:rPr>
                    <w:t>(Tafà et al., 2022)</w:t>
                  </w:r>
                  <w:r w:rsidRPr="00565240">
                    <w:fldChar w:fldCharType="end"/>
                  </w:r>
                  <w:r>
                    <w:t xml:space="preserve">. Factors such as interparental conflict, reduced economic resources post-separation, and strained new relationships in reconstituted families are identified as key risks to adolescent development. Persistent conflict between parents—rather than the separation itself—is found to be the most damaging influence, particularly through a </w:t>
                  </w:r>
                  <w:r w:rsidR="00611A3A">
                    <w:t>‘</w:t>
                  </w:r>
                  <w:r>
                    <w:t>spillover effect</w:t>
                  </w:r>
                  <w:r w:rsidR="00611A3A">
                    <w:t>’</w:t>
                  </w:r>
                  <w:r>
                    <w:t xml:space="preserve"> that reduces parents’ ability to respond to their children’s needs</w:t>
                  </w:r>
                  <w:r w:rsidR="00A56A7B">
                    <w:t xml:space="preserve"> </w:t>
                  </w:r>
                  <w:r w:rsidR="00A56A7B" w:rsidRPr="00565240">
                    <w:fldChar w:fldCharType="begin"/>
                  </w:r>
                  <w:r w:rsidR="00E41D03">
                    <w:instrText xml:space="preserve"> ADDIN ZOTERO_ITEM CSL_CITATION {"citationID":"xyej1oJo","properties":{"formattedCitation":"(Taf\\uc0\\u224{} et al., 2022)","plainCitation":"(Tafà et al., 2022)","noteIndex":0},"citationItems":[{"id":4562,"uris":["http://zotero.org/groups/5691188/items/GS52B5QI"],"itemData":{"id":4562,"type":"article-journal","abstract":"The literature indicates a variety of factors that contribute to adolescent well-being: among these, the parent–adolescent relationship has a key role. The present article offered an overview of studies on parent–adolescent relationships across diverse family forms, not limited to the traditional family but also including “non-traditional” and “modern” families. To do so, this article described the evolution of the concept of family over the last ﬁfty years and traced the signiﬁcant family variables that guarantee adolescent well-being. Additionally, this article discussed the changes that occurred in family research, shifting from studies that considered only the family structure to more recent studies that investigated family processes and contextual factors. Overall, the reviewed studies indicated that the quality of parent–adolescent relationship, the interparental conﬂict and the consequent spillover effect on the child subsystem, and the changes in the economic situation following parental separation/divorce override the effect of the family structure. Finally, this article pointed out the need to examine, in the future research, adolescent well-being across diverse families by adopting more ﬁne-grained methodologies, collecting data from the entire family system, and using a multi-method assessment to obtain a more ecological view of family complexity.","container-title":"International Journal of Environmental Research and Public Health","DOI":"10.3390/ijerph20010383","ISSN":"1660-4601","issue":"1","journalAbbreviation":"IJERPH","language":"en","license":"https://creativecommons.org/licenses/by/4.0/","page":"383","source":"DOI.org (Crossref)","title":"What Decides the Well-Being of the Relationship between Parents and Adolescents","volume":"20","author":[{"family":"Tafà","given":"Mimma"},{"family":"Bracaglia","given":"Fabrizia"},{"family":"Inguscio","given":"Lucio"},{"family":"Carone","given":"Nicola"}],"issued":{"date-parts":[["2022",12,26]]}}}],"schema":"https://github.com/citation-style-language/schema/raw/master/csl-citation.json"} </w:instrText>
                  </w:r>
                  <w:r w:rsidR="00A56A7B" w:rsidRPr="00565240">
                    <w:fldChar w:fldCharType="separate"/>
                  </w:r>
                  <w:r w:rsidR="00A56A7B" w:rsidRPr="00AC138C">
                    <w:rPr>
                      <w:rFonts w:ascii="Arial" w:hAnsi="Arial" w:cs="Arial"/>
                    </w:rPr>
                    <w:t>(Tafà et al., 2022)</w:t>
                  </w:r>
                  <w:r w:rsidR="00A56A7B" w:rsidRPr="00565240">
                    <w:fldChar w:fldCharType="end"/>
                  </w:r>
                  <w:r>
                    <w:t>.</w:t>
                  </w:r>
                  <w:r w:rsidR="00A56A7B">
                    <w:t xml:space="preserve"> </w:t>
                  </w:r>
                  <w:r w:rsidR="00015B07" w:rsidRPr="00015B07">
                    <w:t xml:space="preserve">In </w:t>
                  </w:r>
                  <w:r w:rsidR="00FB43A6">
                    <w:t>some</w:t>
                  </w:r>
                  <w:r w:rsidR="00015B07" w:rsidRPr="00015B07">
                    <w:t xml:space="preserve"> cases, conflict between </w:t>
                  </w:r>
                  <w:r w:rsidR="00FB43A6">
                    <w:t>parents</w:t>
                  </w:r>
                  <w:r w:rsidR="00015B07" w:rsidRPr="00015B07">
                    <w:t xml:space="preserve"> </w:t>
                  </w:r>
                  <w:r w:rsidR="00FB43A6">
                    <w:t>may also</w:t>
                  </w:r>
                  <w:r w:rsidR="00015B07" w:rsidRPr="00015B07">
                    <w:t xml:space="preserve"> continue beyond separation </w:t>
                  </w:r>
                  <w:r w:rsidR="00FB43A6">
                    <w:t>with</w:t>
                  </w:r>
                  <w:r w:rsidR="00015B07" w:rsidRPr="00015B07">
                    <w:t xml:space="preserve"> ongoing tactics of coercive control, and sabotage of the protective parent’s (usually the mother) parenting relationship</w:t>
                  </w:r>
                  <w:r w:rsidR="004E2B4B">
                    <w:t xml:space="preserve"> </w:t>
                  </w:r>
                  <w:r w:rsidR="004E2B4B" w:rsidRPr="004E2B4B">
                    <w:fldChar w:fldCharType="begin"/>
                  </w:r>
                  <w:r w:rsidR="00E41D03">
                    <w:instrText xml:space="preserve"> ADDIN ZOTERO_ITEM CSL_CITATION {"citationID":"at734clvnh","properties":{"formattedCitation":"(Humphreys et al., 2019)","plainCitation":"(Humphreys et al., 2019)","noteIndex":0},"citationItems":[{"id":5701,"uris":["http://zotero.org/groups/5691188/items/34WZPAR8"],"itemData":{"id":5701,"type":"article-journal","abstract":"An earlier article referred to the “absent presence” of the perpetrator in the lives of children and their mothers who have lived with domestic violence. It identified the ways in which the shadow of the perpetrator continued and was evidenced in the “symptoms of abuse” that both women and children experienced in spite of his absence. The current article argues that fathers who use violence are actually more present than absent in the lives of children (and women), even following separation. A mixed method approach surveyed men in Men's Behaviour Change Programs (N = 101), and interviewed women who had experienced violence (N = 50). The studies reported that the majority of men in both the quantitative men's study (80%) and the qualitative women's study (77%) had substantial contact with children. The women's interviews highlight the problematic fathering that many of their children experienced, both before and after separation. They reported very high levels of child abuse and poor attitudes to both women and children. The article concludes that the family violence and child welfare systems are poorly configured to address fathers who use violence and continue to hold substantial parenting roles, including following separation.","container-title":"Child &amp; Family Social Work","DOI":"10.1111/cfs.12617","ISSN":"1365-2206","issue":"2","language":"en","license":"© 2018 John Wiley &amp; Sons Ltd","note":"_eprint: https://onlinelibrary.wiley.com/doi/pdf/10.1111/cfs.12617","page":"321-329","source":"Wiley Online Library","title":"More present than absent: Men who use domestic violence and their fathering","title-short":"More present than absent","volume":"24","author":[{"family":"Humphreys","given":"Cathy"},{"family":"Diemer","given":"Kristin"},{"family":"Bornemisza","given":"Anna"},{"family":"Spiteri-Staines","given":"Anneliese"},{"family":"Kaspiew","given":"Rae"},{"family":"Horsfall","given":"Briony"}],"issued":{"date-parts":[["2019"]]}}}],"schema":"https://github.com/citation-style-language/schema/raw/master/csl-citation.json"} </w:instrText>
                  </w:r>
                  <w:r w:rsidR="004E2B4B" w:rsidRPr="004E2B4B">
                    <w:fldChar w:fldCharType="separate"/>
                  </w:r>
                  <w:r w:rsidR="00E41D03" w:rsidRPr="00E41D03">
                    <w:rPr>
                      <w:rFonts w:ascii="Arial" w:hAnsi="Arial" w:cs="Arial"/>
                    </w:rPr>
                    <w:t>(Humphreys et al., 2019)</w:t>
                  </w:r>
                  <w:r w:rsidR="004E2B4B" w:rsidRPr="004E2B4B">
                    <w:fldChar w:fldCharType="end"/>
                  </w:r>
                  <w:r w:rsidR="00015B07" w:rsidRPr="004E2B4B">
                    <w:t>.</w:t>
                  </w:r>
                  <w:r>
                    <w:t xml:space="preserve"> Notably, maternal parenting stress was strongly linked to long-term aggressive behaviour in adolescents </w:t>
                  </w:r>
                  <w:r w:rsidRPr="00565240">
                    <w:fldChar w:fldCharType="begin"/>
                  </w:r>
                  <w:r w:rsidR="00E41D03">
                    <w:instrText xml:space="preserve"> ADDIN ZOTERO_ITEM CSL_CITATION {"citationID":"HGcdHvwS","properties":{"formattedCitation":"(Taf\\uc0\\u224{} et al., 2022)","plainCitation":"(Tafà et al., 2022)","noteIndex":0},"citationItems":[{"id":4562,"uris":["http://zotero.org/groups/5691188/items/GS52B5QI"],"itemData":{"id":4562,"type":"article-journal","abstract":"The literature indicates a variety of factors that contribute to adolescent well-being: among these, the parent–adolescent relationship has a key role. The present article offered an overview of studies on parent–adolescent relationships across diverse family forms, not limited to the traditional family but also including “non-traditional” and “modern” families. To do so, this article described the evolution of the concept of family over the last ﬁfty years and traced the signiﬁcant family variables that guarantee adolescent well-being. Additionally, this article discussed the changes that occurred in family research, shifting from studies that considered only the family structure to more recent studies that investigated family processes and contextual factors. Overall, the reviewed studies indicated that the quality of parent–adolescent relationship, the interparental conﬂict and the consequent spillover effect on the child subsystem, and the changes in the economic situation following parental separation/divorce override the effect of the family structure. Finally, this article pointed out the need to examine, in the future research, adolescent well-being across diverse families by adopting more ﬁne-grained methodologies, collecting data from the entire family system, and using a multi-method assessment to obtain a more ecological view of family complexity.","container-title":"International Journal of Environmental Research and Public Health","DOI":"10.3390/ijerph20010383","ISSN":"1660-4601","issue":"1","journalAbbreviation":"IJERPH","language":"en","license":"https://creativecommons.org/licenses/by/4.0/","page":"383","source":"DOI.org (Crossref)","title":"What Decides the Well-Being of the Relationship between Parents and Adolescents","volume":"20","author":[{"family":"Tafà","given":"Mimma"},{"family":"Bracaglia","given":"Fabrizia"},{"family":"Inguscio","given":"Lucio"},{"family":"Carone","given":"Nicola"}],"issued":{"date-parts":[["2022",12,26]]}}}],"schema":"https://github.com/citation-style-language/schema/raw/master/csl-citation.json"} </w:instrText>
                  </w:r>
                  <w:r w:rsidRPr="00565240">
                    <w:fldChar w:fldCharType="separate"/>
                  </w:r>
                  <w:r w:rsidR="00AC138C" w:rsidRPr="00AC138C">
                    <w:rPr>
                      <w:rFonts w:ascii="Arial" w:hAnsi="Arial" w:cs="Arial"/>
                    </w:rPr>
                    <w:t>(Tafà et al., 2022)</w:t>
                  </w:r>
                  <w:r w:rsidRPr="00565240">
                    <w:fldChar w:fldCharType="end"/>
                  </w:r>
                  <w:r>
                    <w:t>.</w:t>
                  </w:r>
                  <w:r w:rsidR="000337F2">
                    <w:t xml:space="preserve"> </w:t>
                  </w:r>
                  <w:r w:rsidR="004A4064">
                    <w:t>However, t</w:t>
                  </w:r>
                  <w:r w:rsidR="004A4064" w:rsidRPr="004A4064">
                    <w:t xml:space="preserve">he development and mental health of children living with </w:t>
                  </w:r>
                  <w:r w:rsidR="004A4064">
                    <w:t>family violence</w:t>
                  </w:r>
                  <w:r w:rsidR="004A4064" w:rsidRPr="004A4064">
                    <w:t xml:space="preserve"> is affected by sabotaging of the (usually) mother-child relationship by perpetrators of </w:t>
                  </w:r>
                  <w:r w:rsidR="004A4064">
                    <w:t>family violence</w:t>
                  </w:r>
                  <w:r w:rsidR="004E2B4B" w:rsidRPr="004E2B4B">
                    <w:t xml:space="preserve"> </w:t>
                  </w:r>
                  <w:r w:rsidR="004E2B4B" w:rsidRPr="004E2B4B">
                    <w:fldChar w:fldCharType="begin"/>
                  </w:r>
                  <w:r w:rsidR="00E41D03">
                    <w:instrText xml:space="preserve"> ADDIN ZOTERO_ITEM CSL_CITATION {"citationID":"a12dhjp48sf","properties":{"formattedCitation":"(Kertesz et al., 2021)","plainCitation":"(Kertesz et al., 2021)","noteIndex":0},"citationItems":[{"id":5703,"uris":["http://zotero.org/groups/5691188/items/3SK3875Y"],"itemData":{"id":5703,"type":"chapter","abstract":"This chapter outlines the impact of domestic violence (DV) on young children. Exposure to DV has detrimental effects on the emotional and behavioural adjustment","container-title":"The Routledge International Handbook of Domestic Violence and Abuse","ISBN":"978-0-429-33105-3","note":"number-of-pages: 13","publisher":"Routledge","title":"Domestic violence and the impact on children","author":[{"family":"Kertesz","given":"Margaret"},{"family":"Fogden","given":"Larissa"},{"family":"Humphreys","given":"Cathy"}],"issued":{"date-parts":[["2021"]]}}}],"schema":"https://github.com/citation-style-language/schema/raw/master/csl-citation.json"} </w:instrText>
                  </w:r>
                  <w:r w:rsidR="004E2B4B" w:rsidRPr="004E2B4B">
                    <w:fldChar w:fldCharType="separate"/>
                  </w:r>
                  <w:r w:rsidR="00E41D03" w:rsidRPr="00E41D03">
                    <w:rPr>
                      <w:rFonts w:ascii="Arial" w:hAnsi="Arial" w:cs="Arial"/>
                    </w:rPr>
                    <w:t>(Kertesz et al., 2021)</w:t>
                  </w:r>
                  <w:r w:rsidR="004E2B4B" w:rsidRPr="004E2B4B">
                    <w:fldChar w:fldCharType="end"/>
                  </w:r>
                  <w:r w:rsidR="004A4064" w:rsidRPr="004E2B4B">
                    <w:t>.</w:t>
                  </w:r>
                  <w:r w:rsidR="004A4064" w:rsidRPr="004A4064">
                    <w:t xml:space="preserve"> </w:t>
                  </w:r>
                </w:p>
                <w:p w14:paraId="481B23A2" w14:textId="45FE4FBA" w:rsidR="00342554" w:rsidRDefault="00342554" w:rsidP="00342554">
                  <w:pPr>
                    <w:pStyle w:val="Text"/>
                  </w:pPr>
                  <w:r>
                    <w:lastRenderedPageBreak/>
                    <w:t xml:space="preserve">Co-parenting has emerged as a significant protective factor in supporting children’s mental health after separation. Effective co-parenting can mitigate the negative effects of separation, especially when paired with quality parenting and strong parent-child relationships </w:t>
                  </w:r>
                  <w:r w:rsidRPr="00565240">
                    <w:fldChar w:fldCharType="begin"/>
                  </w:r>
                  <w:r w:rsidR="00E41D03">
                    <w:instrText xml:space="preserve"> ADDIN ZOTERO_ITEM CSL_CITATION {"citationID":"EvpZeOzG","properties":{"formattedCitation":"(Taf\\uc0\\u224{} et al., 2022)","plainCitation":"(Tafà et al., 2022)","noteIndex":0},"citationItems":[{"id":4562,"uris":["http://zotero.org/groups/5691188/items/GS52B5QI"],"itemData":{"id":4562,"type":"article-journal","abstract":"The literature indicates a variety of factors that contribute to adolescent well-being: among these, the parent–adolescent relationship has a key role. The present article offered an overview of studies on parent–adolescent relationships across diverse family forms, not limited to the traditional family but also including “non-traditional” and “modern” families. To do so, this article described the evolution of the concept of family over the last ﬁfty years and traced the signiﬁcant family variables that guarantee adolescent well-being. Additionally, this article discussed the changes that occurred in family research, shifting from studies that considered only the family structure to more recent studies that investigated family processes and contextual factors. Overall, the reviewed studies indicated that the quality of parent–adolescent relationship, the interparental conﬂict and the consequent spillover effect on the child subsystem, and the changes in the economic situation following parental separation/divorce override the effect of the family structure. Finally, this article pointed out the need to examine, in the future research, adolescent well-being across diverse families by adopting more ﬁne-grained methodologies, collecting data from the entire family system, and using a multi-method assessment to obtain a more ecological view of family complexity.","container-title":"International Journal of Environmental Research and Public Health","DOI":"10.3390/ijerph20010383","ISSN":"1660-4601","issue":"1","journalAbbreviation":"IJERPH","language":"en","license":"https://creativecommons.org/licenses/by/4.0/","page":"383","source":"DOI.org (Crossref)","title":"What Decides the Well-Being of the Relationship between Parents and Adolescents","volume":"20","author":[{"family":"Tafà","given":"Mimma"},{"family":"Bracaglia","given":"Fabrizia"},{"family":"Inguscio","given":"Lucio"},{"family":"Carone","given":"Nicola"}],"issued":{"date-parts":[["2022",12,26]]}}}],"schema":"https://github.com/citation-style-language/schema/raw/master/csl-citation.json"} </w:instrText>
                  </w:r>
                  <w:r w:rsidRPr="00565240">
                    <w:fldChar w:fldCharType="separate"/>
                  </w:r>
                  <w:r w:rsidR="00AC138C" w:rsidRPr="00AC138C">
                    <w:rPr>
                      <w:rFonts w:ascii="Arial" w:hAnsi="Arial" w:cs="Arial"/>
                    </w:rPr>
                    <w:t>(Tafà et al., 2022)</w:t>
                  </w:r>
                  <w:r w:rsidRPr="00565240">
                    <w:fldChar w:fldCharType="end"/>
                  </w:r>
                  <w:r>
                    <w:t xml:space="preserve">. These findings are particularly relevant in light of data from Relationships </w:t>
                  </w:r>
                  <w:r w:rsidRPr="00F972EE">
                    <w:t xml:space="preserve">Australia </w:t>
                  </w:r>
                  <w:r w:rsidRPr="00F972EE">
                    <w:fldChar w:fldCharType="begin"/>
                  </w:r>
                  <w:r w:rsidR="00E41D03">
                    <w:instrText xml:space="preserve"> ADDIN ZOTERO_ITEM CSL_CITATION {"citationID":"a1ptr2kgk8","properties":{"formattedCitation":"(2024)","plainCitation":"(2024)","noteIndex":0},"citationItems":[{"id":4670,"uris":["http://zotero.org/groups/5691188/items/WBX5J93N"],"itemData":{"id":4670,"type":"report","collection-title":"Relationship Indicators","publisher":"Relationships Australia","title":"The ongoing effects of partnered relationship breakdown on our mental health, wellbeing and future outlook","URL":"https://www.relationships.org.au/wp-content/uploads/The-ongoing-effects-of-partnered-relationship-breakdown.pdf","author":[{"family":"Relationships Australia","given":""}],"issued":{"date-parts":[["2024"]]}},"suppress-author":true}],"schema":"https://github.com/citation-style-language/schema/raw/master/csl-citation.json"} </w:instrText>
                  </w:r>
                  <w:r w:rsidRPr="00F972EE">
                    <w:fldChar w:fldCharType="separate"/>
                  </w:r>
                  <w:r w:rsidR="00AC138C" w:rsidRPr="00AC138C">
                    <w:rPr>
                      <w:rFonts w:ascii="Arial" w:hAnsi="Arial" w:cs="Arial"/>
                    </w:rPr>
                    <w:t>(2024)</w:t>
                  </w:r>
                  <w:r w:rsidRPr="00F972EE">
                    <w:fldChar w:fldCharType="end"/>
                  </w:r>
                  <w:r w:rsidRPr="00F972EE">
                    <w:t>,</w:t>
                  </w:r>
                  <w:r>
                    <w:t xml:space="preserve"> which found that one in three people identified concerns about their children as the most lasting impact of relationship breakdown. Common challenges included co-parenting difficulties, estrangement, and the emotional impact of separation on children </w:t>
                  </w:r>
                  <w:r w:rsidRPr="00A745C2">
                    <w:fldChar w:fldCharType="begin"/>
                  </w:r>
                  <w:r w:rsidR="00E41D03">
                    <w:instrText xml:space="preserve"> ADDIN ZOTERO_ITEM CSL_CITATION {"citationID":"gR8sJJLy","properties":{"formattedCitation":"(Relationships Australia, 2024)","plainCitation":"(Relationships Australia, 2024)","noteIndex":0},"citationItems":[{"id":4670,"uris":["http://zotero.org/groups/5691188/items/WBX5J93N"],"itemData":{"id":4670,"type":"report","collection-title":"Relationship Indicators","publisher":"Relationships Australia","title":"The ongoing effects of partnered relationship breakdown on our mental health, wellbeing and future outlook","URL":"https://www.relationships.org.au/wp-content/uploads/The-ongoing-effects-of-partnered-relationship-breakdown.pdf","author":[{"family":"Relationships Australia","given":""}],"issued":{"date-parts":[["2024"]]}}}],"schema":"https://github.com/citation-style-language/schema/raw/master/csl-citation.json"} </w:instrText>
                  </w:r>
                  <w:r w:rsidRPr="00A745C2">
                    <w:fldChar w:fldCharType="separate"/>
                  </w:r>
                  <w:r w:rsidR="00AC138C" w:rsidRPr="00AC138C">
                    <w:rPr>
                      <w:rFonts w:ascii="Arial" w:hAnsi="Arial" w:cs="Arial"/>
                    </w:rPr>
                    <w:t>(Relationships Australia, 2024)</w:t>
                  </w:r>
                  <w:r w:rsidRPr="00A745C2">
                    <w:fldChar w:fldCharType="end"/>
                  </w:r>
                  <w:r w:rsidR="00263571">
                    <w:t xml:space="preserve"> as well as </w:t>
                  </w:r>
                  <w:r w:rsidR="00851AC9">
                    <w:t xml:space="preserve">lack of respect for the other parent of </w:t>
                  </w:r>
                  <w:r w:rsidR="00FC16DF">
                    <w:t>the child</w:t>
                  </w:r>
                  <w:r w:rsidR="00C21477">
                    <w:t xml:space="preserve"> </w:t>
                  </w:r>
                  <w:r w:rsidR="00F31C80">
                    <w:t xml:space="preserve">which are features </w:t>
                  </w:r>
                  <w:r w:rsidR="00FC16DF">
                    <w:t xml:space="preserve">of most family violence situations. </w:t>
                  </w:r>
                </w:p>
                <w:p w14:paraId="5DC8AB98" w14:textId="54790786" w:rsidR="00672D46" w:rsidRPr="00835ED2" w:rsidRDefault="00342554" w:rsidP="00835ED2">
                  <w:pPr>
                    <w:pStyle w:val="Text"/>
                  </w:pPr>
                  <w:r>
                    <w:t>Additional stressors like work-family conflict also influence children’s mental health. Vahedi et al</w:t>
                  </w:r>
                  <w:r w:rsidRPr="00776739">
                    <w:t xml:space="preserve">. </w:t>
                  </w:r>
                  <w:r w:rsidRPr="00776739">
                    <w:fldChar w:fldCharType="begin"/>
                  </w:r>
                  <w:r w:rsidR="00E41D03">
                    <w:instrText xml:space="preserve"> ADDIN ZOTERO_ITEM CSL_CITATION {"citationID":"a1fqibvq837","properties":{"formattedCitation":"(2019)","plainCitation":"(2019)","noteIndex":0},"citationItems":[{"id":4741,"uris":["http://zotero.org/groups/5691188/items/PKMJBRWR"],"itemData":{"id":4741,"type":"article-journal","abstract":"We investigated potential crossover from mothers' and fathers' work-family conﬂict to their own and their partner's perception of inter-parental conﬂict and parenting irritability, and subsequent inﬂuences on children's and adolescents' mental health. Using a representative sample of Australian children (N = 3061), an autoregressive model tested four mediation paths for mother-reported child internalizing and externalizing problems (4–5 to 14–15 years), and a second model tested two mediation paths for adolescent-reported problems (8–9 to 14–15 years). Findings indicated that mothers' and fathers' parenting irritability (6–7 years) mediated the association between mothers' work-family conﬂict (4–5 years) and mother-reported child externalizing problems (8–9 years); and mothers' parenting irritability (12–13 years) mediated the association between fathers' workfamily conﬂict (10–11 years) and mother- and adolescent-reported externalizing problems (14–15 years). Findings demonstrate the potential for work-family conﬂict to cross over to parenting, thus inﬂuencing longterm child mental health.","container-title":"Journal of Applied Developmental Psychology","DOI":"10.1016/j.appdev.2019.01.001","ISSN":"01933973","journalAbbreviation":"Journal of Applied Developmental Psychology","language":"en","page":"38-49","source":"DOI.org (Crossref)","title":"Crossover of parents' work-family conflict to family functioning and child mental health","volume":"62","author":[{"family":"Vahedi","given":"Andisheh"},{"family":"Krug","given":"Isabel"},{"family":"Westrupp","given":"Elizabeth M."}],"issued":{"date-parts":[["2019",5]]}},"suppress-author":true}],"schema":"https://github.com/citation-style-language/schema/raw/master/csl-citation.json"} </w:instrText>
                  </w:r>
                  <w:r w:rsidRPr="00776739">
                    <w:fldChar w:fldCharType="separate"/>
                  </w:r>
                  <w:r w:rsidR="00AC138C" w:rsidRPr="00AC138C">
                    <w:rPr>
                      <w:rFonts w:ascii="Arial" w:hAnsi="Arial" w:cs="Arial"/>
                    </w:rPr>
                    <w:t>(2019)</w:t>
                  </w:r>
                  <w:r w:rsidRPr="00776739">
                    <w:fldChar w:fldCharType="end"/>
                  </w:r>
                  <w:r>
                    <w:t xml:space="preserve"> found that when parents struggle to balance work and family demands, children are more likely to experience a conflicted home environment. This environment, marked by parenting irritability and interparental tension, can lead to emotional and behavioural problems throughout childhood and adolescence. The impact was more persistent when the work-family conflict was experienced by mothers, reflecting the ongoing influence of gendered parenting roles in Australia. However, fathers’ conflict was found to be more detrimental during children's adolescent year</w:t>
                  </w:r>
                  <w:r w:rsidRPr="00776739">
                    <w:t xml:space="preserve">s </w:t>
                  </w:r>
                  <w:r w:rsidRPr="00776739">
                    <w:fldChar w:fldCharType="begin"/>
                  </w:r>
                  <w:r w:rsidR="00E41D03">
                    <w:instrText xml:space="preserve"> ADDIN ZOTERO_ITEM CSL_CITATION {"citationID":"as1siktgvo","properties":{"formattedCitation":"(Vahedi et al., 2019)","plainCitation":"(Vahedi et al., 2019)","noteIndex":0},"citationItems":[{"id":4741,"uris":["http://zotero.org/groups/5691188/items/PKMJBRWR"],"itemData":{"id":4741,"type":"article-journal","abstract":"We investigated potential crossover from mothers' and fathers' work-family conﬂict to their own and their partner's perception of inter-parental conﬂict and parenting irritability, and subsequent inﬂuences on children's and adolescents' mental health. Using a representative sample of Australian children (N = 3061), an autoregressive model tested four mediation paths for mother-reported child internalizing and externalizing problems (4–5 to 14–15 years), and a second model tested two mediation paths for adolescent-reported problems (8–9 to 14–15 years). Findings indicated that mothers' and fathers' parenting irritability (6–7 years) mediated the association between mothers' work-family conﬂict (4–5 years) and mother-reported child externalizing problems (8–9 years); and mothers' parenting irritability (12–13 years) mediated the association between fathers' workfamily conﬂict (10–11 years) and mother- and adolescent-reported externalizing problems (14–15 years). Findings demonstrate the potential for work-family conﬂict to cross over to parenting, thus inﬂuencing longterm child mental health.","container-title":"Journal of Applied Developmental Psychology","DOI":"10.1016/j.appdev.2019.01.001","ISSN":"01933973","journalAbbreviation":"Journal of Applied Developmental Psychology","language":"en","page":"38-49","source":"DOI.org (Crossref)","title":"Crossover of parents' work-family conflict to family functioning and child mental health","volume":"62","author":[{"family":"Vahedi","given":"Andisheh"},{"family":"Krug","given":"Isabel"},{"family":"Westrupp","given":"Elizabeth M."}],"issued":{"date-parts":[["2019",5]]}}}],"schema":"https://github.com/citation-style-language/schema/raw/master/csl-citation.json"} </w:instrText>
                  </w:r>
                  <w:r w:rsidRPr="00776739">
                    <w:fldChar w:fldCharType="separate"/>
                  </w:r>
                  <w:r w:rsidR="00AC138C" w:rsidRPr="00AC138C">
                    <w:rPr>
                      <w:rFonts w:ascii="Arial" w:hAnsi="Arial" w:cs="Arial"/>
                    </w:rPr>
                    <w:t>(Vahedi et al., 2019)</w:t>
                  </w:r>
                  <w:r w:rsidRPr="00776739">
                    <w:fldChar w:fldCharType="end"/>
                  </w:r>
                  <w:r>
                    <w:t>.</w:t>
                  </w:r>
                </w:p>
                <w:p w14:paraId="3F46FEED" w14:textId="77777777" w:rsidR="00342554" w:rsidRPr="00566847" w:rsidRDefault="00342554" w:rsidP="00342554">
                  <w:pPr>
                    <w:pStyle w:val="Text-BodyHeading"/>
                    <w:rPr>
                      <w:b w:val="0"/>
                      <w:i/>
                    </w:rPr>
                  </w:pPr>
                  <w:r w:rsidRPr="00566847">
                    <w:rPr>
                      <w:b w:val="0"/>
                      <w:i/>
                    </w:rPr>
                    <w:t xml:space="preserve">Accessing support </w:t>
                  </w:r>
                </w:p>
                <w:p w14:paraId="21AEB0E7" w14:textId="67D66819" w:rsidR="00342554" w:rsidRDefault="00342554" w:rsidP="00342554">
                  <w:pPr>
                    <w:pStyle w:val="Text"/>
                  </w:pPr>
                  <w:r>
                    <w:t xml:space="preserve">Many people are reluctant to seek professional help for relationship issues, with men being particularly unlikely to do so. Data from Relationships Australia </w:t>
                  </w:r>
                  <w:r>
                    <w:fldChar w:fldCharType="begin"/>
                  </w:r>
                  <w:r w:rsidR="00E41D03">
                    <w:instrText xml:space="preserve"> ADDIN ZOTERO_ITEM CSL_CITATION {"citationID":"a19qeghl833","properties":{"formattedCitation":"(Relationships Australia, 2024, 2022)","plainCitation":"(Relationships Australia, 2024, 2022)","noteIndex":0},"citationItems":[{"id":4670,"uris":["http://zotero.org/groups/5691188/items/WBX5J93N"],"itemData":{"id":4670,"type":"report","collection-title":"Relationship Indicators","publisher":"Relationships Australia","title":"The ongoing effects of partnered relationship breakdown on our mental health, wellbeing and future outlook","URL":"https://www.relationships.org.au/wp-content/uploads/The-ongoing-effects-of-partnered-relationship-breakdown.pdf","author":[{"family":"Relationships Australia","given":""}],"issued":{"date-parts":[["2024"]]}}},{"id":4669,"uris":["http://zotero.org/groups/5691188/items/A43AYZKP"],"itemData":{"id":4669,"type":"report","collection-title":"Relationship Indicators","publisher":"Relationships Australia","title":"Relationship Indicators 2022 Full Report","URL":"https://www. relationships.org.au/relationship-indicators/.","author":[{"family":"Relationships Australia","given":""}],"issued":{"date-parts":[["2022"]]}}}],"schema":"https://github.com/citation-style-language/schema/raw/master/csl-citation.json"} </w:instrText>
                  </w:r>
                  <w:r>
                    <w:fldChar w:fldCharType="separate"/>
                  </w:r>
                  <w:r w:rsidR="00AC138C" w:rsidRPr="00AC138C">
                    <w:rPr>
                      <w:rFonts w:ascii="Arial" w:hAnsi="Arial" w:cs="Arial"/>
                    </w:rPr>
                    <w:t>(Relationships Australia, 2024, 2022)</w:t>
                  </w:r>
                  <w:r>
                    <w:fldChar w:fldCharType="end"/>
                  </w:r>
                  <w:r>
                    <w:t xml:space="preserve"> shows that while nearly half (46.2%) of Australians prefer to manage relationship issues on their own, others turn to informal supports such as friends (34%) and family (31%). Only a small portion (6.3%) reported they would seek help from a professional like a counsellor or psychologist if experiencing difficulties in their most important relationship </w:t>
                  </w:r>
                  <w:r w:rsidRPr="00A745C2">
                    <w:fldChar w:fldCharType="begin"/>
                  </w:r>
                  <w:r w:rsidR="00E41D03">
                    <w:instrText xml:space="preserve"> ADDIN ZOTERO_ITEM CSL_CITATION {"citationID":"aqs0YnE5","properties":{"formattedCitation":"(Relationships Australia, 2024)","plainCitation":"(Relationships Australia, 2024)","noteIndex":0},"citationItems":[{"id":4670,"uris":["http://zotero.org/groups/5691188/items/WBX5J93N"],"itemData":{"id":4670,"type":"report","collection-title":"Relationship Indicators","publisher":"Relationships Australia","title":"The ongoing effects of partnered relationship breakdown on our mental health, wellbeing and future outlook","URL":"https://www.relationships.org.au/wp-content/uploads/The-ongoing-effects-of-partnered-relationship-breakdown.pdf","author":[{"family":"Relationships Australia","given":""}],"issued":{"date-parts":[["2024"]]}}}],"schema":"https://github.com/citation-style-language/schema/raw/master/csl-citation.json"} </w:instrText>
                  </w:r>
                  <w:r w:rsidRPr="00A745C2">
                    <w:fldChar w:fldCharType="separate"/>
                  </w:r>
                  <w:r w:rsidR="00AC138C" w:rsidRPr="00AC138C">
                    <w:rPr>
                      <w:rFonts w:ascii="Arial" w:hAnsi="Arial" w:cs="Arial"/>
                    </w:rPr>
                    <w:t>(Relationships Australia, 2024)</w:t>
                  </w:r>
                  <w:r w:rsidRPr="00A745C2">
                    <w:fldChar w:fldCharType="end"/>
                  </w:r>
                </w:p>
                <w:p w14:paraId="45C5497C" w14:textId="6A489919" w:rsidR="00342554" w:rsidRDefault="00342554" w:rsidP="00342554">
                  <w:pPr>
                    <w:pStyle w:val="Text"/>
                  </w:pPr>
                  <w:r>
                    <w:t xml:space="preserve">Certain groups were more inclined to access professional support. Individuals with long-term mental health conditions, disabilities or chronic physical health issues were more likely than the general population to seek formal help, while carers were less </w:t>
                  </w:r>
                  <w:r w:rsidRPr="00C00EA0">
                    <w:t xml:space="preserve">likely </w:t>
                  </w:r>
                  <w:r w:rsidRPr="00C00EA0">
                    <w:fldChar w:fldCharType="begin"/>
                  </w:r>
                  <w:r w:rsidR="00E41D03">
                    <w:instrText xml:space="preserve"> ADDIN ZOTERO_ITEM CSL_CITATION {"citationID":"ap6k4iqsja","properties":{"formattedCitation":"(Relationships Australia, 2022)","plainCitation":"(Relationships Australia, 2022)","noteIndex":0},"citationItems":[{"id":4669,"uris":["http://zotero.org/groups/5691188/items/A43AYZKP"],"itemData":{"id":4669,"type":"report","collection-title":"Relationship Indicators","publisher":"Relationships Australia","title":"Relationship Indicators 2022 Full Report","URL":"https://www. relationships.org.au/relationship-indicators/.","author":[{"family":"Relationships Australia","given":""}],"issued":{"date-parts":[["2022"]]}}}],"schema":"https://github.com/citation-style-language/schema/raw/master/csl-citation.json"} </w:instrText>
                  </w:r>
                  <w:r w:rsidRPr="00C00EA0">
                    <w:fldChar w:fldCharType="separate"/>
                  </w:r>
                  <w:r w:rsidR="00AC138C" w:rsidRPr="00AC138C">
                    <w:rPr>
                      <w:rFonts w:ascii="Arial" w:hAnsi="Arial" w:cs="Arial"/>
                    </w:rPr>
                    <w:t>(Relationships Australia, 2022)</w:t>
                  </w:r>
                  <w:r w:rsidRPr="00C00EA0">
                    <w:fldChar w:fldCharType="end"/>
                  </w:r>
                  <w:r w:rsidRPr="00C00EA0">
                    <w:t>.</w:t>
                  </w:r>
                  <w:r>
                    <w:t xml:space="preserve"> Notably, people were significantly more likely to seek counselling or therapy after a relationship had ended. Among those who reported lasting impacts from a relationship breakdown, 32% said they had accessed professional support </w:t>
                  </w:r>
                  <w:r w:rsidRPr="00A745C2">
                    <w:fldChar w:fldCharType="begin"/>
                  </w:r>
                  <w:r w:rsidR="00E41D03">
                    <w:instrText xml:space="preserve"> ADDIN ZOTERO_ITEM CSL_CITATION {"citationID":"QLQgn9VH","properties":{"formattedCitation":"(Relationships Australia, 2024)","plainCitation":"(Relationships Australia, 2024)","noteIndex":0},"citationItems":[{"id":4670,"uris":["http://zotero.org/groups/5691188/items/WBX5J93N"],"itemData":{"id":4670,"type":"report","collection-title":"Relationship Indicators","publisher":"Relationships Australia","title":"The ongoing effects of partnered relationship breakdown on our mental health, wellbeing and future outlook","URL":"https://www.relationships.org.au/wp-content/uploads/The-ongoing-effects-of-partnered-relationship-breakdown.pdf","author":[{"family":"Relationships Australia","given":""}],"issued":{"date-parts":[["2024"]]}}}],"schema":"https://github.com/citation-style-language/schema/raw/master/csl-citation.json"} </w:instrText>
                  </w:r>
                  <w:r w:rsidRPr="00A745C2">
                    <w:fldChar w:fldCharType="separate"/>
                  </w:r>
                  <w:r w:rsidR="00AC138C" w:rsidRPr="00AC138C">
                    <w:rPr>
                      <w:rFonts w:ascii="Arial" w:hAnsi="Arial" w:cs="Arial"/>
                    </w:rPr>
                    <w:t>(Relationships Australia, 2024)</w:t>
                  </w:r>
                  <w:r w:rsidRPr="00A745C2">
                    <w:fldChar w:fldCharType="end"/>
                  </w:r>
                  <w:r>
                    <w:t>.</w:t>
                  </w:r>
                </w:p>
                <w:p w14:paraId="6A7E7965" w14:textId="15BFC80D" w:rsidR="00550FBE" w:rsidRDefault="00342554" w:rsidP="00EB109C">
                  <w:pPr>
                    <w:pStyle w:val="Text"/>
                  </w:pPr>
                  <w:bookmarkStart w:id="260" w:name="_Toc203639948"/>
                  <w:bookmarkStart w:id="261" w:name="_Toc203646457"/>
                  <w:bookmarkStart w:id="262" w:name="_Toc203660753"/>
                  <w:bookmarkStart w:id="263" w:name="_Toc204085673"/>
                  <w:bookmarkStart w:id="264" w:name="_Toc204171129"/>
                  <w:bookmarkStart w:id="265" w:name="_Toc204189554"/>
                  <w:bookmarkStart w:id="266" w:name="_Toc204193592"/>
                  <w:bookmarkStart w:id="267" w:name="_Toc203584253"/>
                  <w:bookmarkStart w:id="268" w:name="_Toc203598395"/>
                  <w:bookmarkStart w:id="269" w:name="_Toc203600486"/>
                  <w:bookmarkStart w:id="270" w:name="_Toc203639949"/>
                  <w:bookmarkStart w:id="271" w:name="_Toc203646458"/>
                  <w:bookmarkStart w:id="272" w:name="_Toc203660754"/>
                  <w:bookmarkStart w:id="273" w:name="_Toc204085674"/>
                  <w:bookmarkStart w:id="274" w:name="_Toc204171130"/>
                  <w:bookmarkStart w:id="275" w:name="_Toc204189555"/>
                  <w:bookmarkStart w:id="276" w:name="_Toc204193593"/>
                  <w:bookmarkStart w:id="277" w:name="_Toc204591526"/>
                  <w:bookmarkStart w:id="278" w:name="_Toc204591590"/>
                  <w:bookmarkStart w:id="279" w:name="_Toc204606521"/>
                  <w:bookmarkStart w:id="280" w:name="_Toc204606599"/>
                  <w:bookmarkStart w:id="281" w:name="_Toc204606743"/>
                  <w:bookmarkStart w:id="282" w:name="_Toc204606802"/>
                  <w:bookmarkStart w:id="283" w:name="_Toc204613375"/>
                  <w:bookmarkStart w:id="284" w:name="_Toc204619333"/>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r>
                    <w:t xml:space="preserve">Help-seeking behaviour also differed by gender. Men who had experienced relationship breakdowns were more likely to initially rely on avoidance, denial, or maladaptive coping strategies. Over time, they tended to lean on personal networks including children, family, or even their ex-partners rather than seeking formal help </w:t>
                  </w:r>
                  <w:r w:rsidRPr="00A745C2">
                    <w:fldChar w:fldCharType="begin"/>
                  </w:r>
                  <w:r w:rsidR="00E41D03">
                    <w:instrText xml:space="preserve"> ADDIN ZOTERO_ITEM CSL_CITATION {"citationID":"Xvzk6HEv","properties":{"formattedCitation":"(Relationships Australia, 2024)","plainCitation":"(Relationships Australia, 2024)","noteIndex":0},"citationItems":[{"id":4670,"uris":["http://zotero.org/groups/5691188/items/WBX5J93N"],"itemData":{"id":4670,"type":"report","collection-title":"Relationship Indicators","publisher":"Relationships Australia","title":"The ongoing effects of partnered relationship breakdown on our mental health, wellbeing and future outlook","URL":"https://www.relationships.org.au/wp-content/uploads/The-ongoing-effects-of-partnered-relationship-breakdown.pdf","author":[{"family":"Relationships Australia","given":""}],"issued":{"date-parts":[["2024"]]}}}],"schema":"https://github.com/citation-style-language/schema/raw/master/csl-citation.json"} </w:instrText>
                  </w:r>
                  <w:r w:rsidRPr="00A745C2">
                    <w:fldChar w:fldCharType="separate"/>
                  </w:r>
                  <w:r w:rsidR="00AC138C" w:rsidRPr="00AC138C">
                    <w:rPr>
                      <w:rFonts w:ascii="Arial" w:hAnsi="Arial" w:cs="Arial"/>
                    </w:rPr>
                    <w:t>(Relationships Australia, 2024)</w:t>
                  </w:r>
                  <w:r w:rsidRPr="00A745C2">
                    <w:fldChar w:fldCharType="end"/>
                  </w:r>
                  <w:r>
                    <w:t xml:space="preserve">. In contrast, 74% of women reported accessing counselling or therapy, with those aged 45–64 being the most likely to do so. This indicates that both gender and life stage influence how individuals respond to relationship challenges and whether they engage with professional support services </w:t>
                  </w:r>
                  <w:r w:rsidRPr="00A745C2">
                    <w:fldChar w:fldCharType="begin"/>
                  </w:r>
                  <w:r w:rsidR="00E41D03">
                    <w:instrText xml:space="preserve"> ADDIN ZOTERO_ITEM CSL_CITATION {"citationID":"IsCmzxw7","properties":{"formattedCitation":"(Relationships Australia, 2024)","plainCitation":"(Relationships Australia, 2024)","noteIndex":0},"citationItems":[{"id":4670,"uris":["http://zotero.org/groups/5691188/items/WBX5J93N"],"itemData":{"id":4670,"type":"report","collection-title":"Relationship Indicators","publisher":"Relationships Australia","title":"The ongoing effects of partnered relationship breakdown on our mental health, wellbeing and future outlook","URL":"https://www.relationships.org.au/wp-content/uploads/The-ongoing-effects-of-partnered-relationship-breakdown.pdf","author":[{"family":"Relationships Australia","given":""}],"issued":{"date-parts":[["2024"]]}}}],"schema":"https://github.com/citation-style-language/schema/raw/master/csl-citation.json"} </w:instrText>
                  </w:r>
                  <w:r w:rsidRPr="00A745C2">
                    <w:fldChar w:fldCharType="separate"/>
                  </w:r>
                  <w:r w:rsidR="00E41D03" w:rsidRPr="00E41D03">
                    <w:rPr>
                      <w:rFonts w:ascii="Arial" w:hAnsi="Arial" w:cs="Arial"/>
                    </w:rPr>
                    <w:t>(Relationships Australia, 2024)</w:t>
                  </w:r>
                  <w:r w:rsidRPr="00A745C2">
                    <w:fldChar w:fldCharType="end"/>
                  </w:r>
                  <w:r>
                    <w:t>.</w:t>
                  </w:r>
                </w:p>
                <w:p w14:paraId="19DBF3DD" w14:textId="77777777" w:rsidR="005445F7" w:rsidRDefault="005445F7">
                  <w:pPr>
                    <w:rPr>
                      <w:b/>
                      <w:bCs/>
                      <w:noProof/>
                      <w:color w:val="36424A" w:themeColor="background2"/>
                      <w:sz w:val="72"/>
                      <w:szCs w:val="72"/>
                    </w:rPr>
                  </w:pPr>
                  <w:r>
                    <w:rPr>
                      <w:noProof/>
                      <w:color w:val="36424A" w:themeColor="background2"/>
                    </w:rPr>
                    <w:br w:type="page"/>
                  </w:r>
                </w:p>
                <w:p w14:paraId="701EE6EF" w14:textId="34EB874C" w:rsidR="00C155B4" w:rsidRPr="00C155B4" w:rsidRDefault="00C155B4" w:rsidP="005445F7">
                  <w:pPr>
                    <w:pStyle w:val="Sectionpagetitle"/>
                    <w:tabs>
                      <w:tab w:val="left" w:pos="1767"/>
                    </w:tabs>
                    <w:spacing w:before="0"/>
                    <w:rPr>
                      <w:noProof/>
                      <w:color w:val="36424A" w:themeColor="background2"/>
                      <w:sz w:val="22"/>
                      <w:szCs w:val="22"/>
                    </w:rPr>
                  </w:pPr>
                  <w:r w:rsidRPr="005F7EB6">
                    <w:rPr>
                      <w:noProof/>
                    </w:rPr>
                    <w:lastRenderedPageBreak/>
                    <w:drawing>
                      <wp:anchor distT="0" distB="0" distL="114300" distR="114300" simplePos="0" relativeHeight="251658257" behindDoc="1" locked="1" layoutInCell="1" allowOverlap="1" wp14:anchorId="4AB243A7" wp14:editId="254F6087">
                        <wp:simplePos x="0" y="0"/>
                        <wp:positionH relativeFrom="page">
                          <wp:align>left</wp:align>
                        </wp:positionH>
                        <wp:positionV relativeFrom="page">
                          <wp:align>top</wp:align>
                        </wp:positionV>
                        <wp:extent cx="7555865" cy="10683875"/>
                        <wp:effectExtent l="0" t="0" r="6985" b="3175"/>
                        <wp:wrapNone/>
                        <wp:docPr id="1877289409" name="Picture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289409" name="Picture 11">
                                  <a:extLst>
                                    <a:ext uri="{C183D7F6-B498-43B3-948B-1728B52AA6E4}">
                                      <adec:decorative xmlns:adec="http://schemas.microsoft.com/office/drawing/2017/decorative" val="1"/>
                                    </a:ext>
                                  </a:extLst>
                                </pic:cNvPr>
                                <pic:cNvPicPr>
                                  <a:picLocks noChangeAspect="1" noChangeArrowheads="1"/>
                                </pic:cNvPicPr>
                              </pic:nvPicPr>
                              <pic:blipFill>
                                <a:blip r:embed="rId47" cstate="print">
                                  <a:extLst>
                                    <a:ext uri="{28A0092B-C50C-407E-A947-70E740481C1C}">
                                      <a14:useLocalDpi xmlns:a14="http://schemas.microsoft.com/office/drawing/2010/main" val="0"/>
                                    </a:ext>
                                  </a:extLst>
                                </a:blip>
                                <a:stretch>
                                  <a:fillRect/>
                                </a:stretch>
                              </pic:blipFill>
                              <pic:spPr bwMode="auto">
                                <a:xfrm>
                                  <a:off x="0" y="0"/>
                                  <a:ext cx="7556400" cy="1068434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271A641" w14:textId="123920C6" w:rsidR="00110F2E" w:rsidRDefault="00471D2F" w:rsidP="00C155B4">
                  <w:pPr>
                    <w:pStyle w:val="Sectionpagetitle"/>
                    <w:tabs>
                      <w:tab w:val="left" w:pos="1767"/>
                    </w:tabs>
                    <w:sectPr w:rsidR="00110F2E" w:rsidSect="00110F2E">
                      <w:pgSz w:w="11909" w:h="16834" w:code="9"/>
                      <w:pgMar w:top="1440" w:right="1440" w:bottom="1440" w:left="1440" w:header="720" w:footer="720" w:gutter="0"/>
                      <w:cols w:space="720"/>
                      <w:docGrid w:linePitch="360"/>
                    </w:sectPr>
                  </w:pPr>
                  <w:r w:rsidRPr="00C155B4">
                    <w:rPr>
                      <w:noProof/>
                    </w:rPr>
                    <w:t>Eff</w:t>
                  </w:r>
                  <w:r w:rsidR="00A44A5E">
                    <w:rPr>
                      <w:noProof/>
                    </w:rPr>
                    <w:t xml:space="preserve">iciency </w:t>
                  </w:r>
                  <w:r w:rsidR="006F6DD6">
                    <w:tab/>
                  </w:r>
                </w:p>
                <w:p w14:paraId="1A51FAB9" w14:textId="4739CD5B" w:rsidR="00967ECF" w:rsidRDefault="00967ECF" w:rsidP="002E7436">
                  <w:pPr>
                    <w:pStyle w:val="Heading1"/>
                  </w:pPr>
                  <w:bookmarkStart w:id="285" w:name="_Toc208906846"/>
                  <w:bookmarkStart w:id="286" w:name="_Toc204856737"/>
                  <w:r>
                    <w:lastRenderedPageBreak/>
                    <w:t>Efficiency</w:t>
                  </w:r>
                  <w:bookmarkEnd w:id="285"/>
                  <w:r>
                    <w:t xml:space="preserve"> </w:t>
                  </w:r>
                </w:p>
                <w:p w14:paraId="560C4919" w14:textId="4EC5DD8E" w:rsidR="00967ECF" w:rsidRPr="00C84424" w:rsidRDefault="00967ECF" w:rsidP="00967ECF">
                  <w:pPr>
                    <w:pStyle w:val="Text"/>
                    <w:spacing w:after="0"/>
                    <w:rPr>
                      <w:i/>
                      <w:iCs/>
                      <w:lang w:val="en-US"/>
                    </w:rPr>
                  </w:pPr>
                  <w:r w:rsidRPr="00C84424">
                    <w:rPr>
                      <w:lang w:val="en-US"/>
                    </w:rPr>
                    <w:t xml:space="preserve">This section </w:t>
                  </w:r>
                  <w:r>
                    <w:rPr>
                      <w:lang w:val="en-US"/>
                    </w:rPr>
                    <w:t xml:space="preserve">explores whether FaRS and SFVS </w:t>
                  </w:r>
                  <w:hyperlink w:anchor="_Do_FaRS_and" w:history="1">
                    <w:r w:rsidRPr="00DC15FD">
                      <w:rPr>
                        <w:rStyle w:val="Hyperlink"/>
                        <w:rFonts w:asciiTheme="minorHAnsi" w:hAnsiTheme="minorHAnsi"/>
                        <w:color w:val="007E00" w:themeColor="accent3"/>
                        <w:lang w:val="en-US"/>
                      </w:rPr>
                      <w:t>offer value for money</w:t>
                    </w:r>
                    <w:r w:rsidR="00844FEE" w:rsidRPr="00DC15FD">
                      <w:rPr>
                        <w:rStyle w:val="Hyperlink"/>
                        <w:rFonts w:asciiTheme="minorHAnsi" w:hAnsiTheme="minorHAnsi"/>
                        <w:color w:val="007E00" w:themeColor="accent3"/>
                        <w:lang w:val="en-US"/>
                      </w:rPr>
                      <w:t xml:space="preserve"> (KEQ 7)</w:t>
                    </w:r>
                  </w:hyperlink>
                  <w:r w:rsidR="00DC671E">
                    <w:rPr>
                      <w:lang w:val="en-US"/>
                    </w:rPr>
                    <w:t xml:space="preserve"> and the </w:t>
                  </w:r>
                  <w:hyperlink w:anchor="_Sufficiency_of_funding" w:history="1">
                    <w:r w:rsidRPr="00DC15FD">
                      <w:rPr>
                        <w:rStyle w:val="Hyperlink"/>
                        <w:rFonts w:asciiTheme="minorHAnsi" w:hAnsiTheme="minorHAnsi"/>
                        <w:color w:val="007E00" w:themeColor="accent3"/>
                        <w:lang w:val="en-US"/>
                      </w:rPr>
                      <w:t>extent to which current funding allocations are sufficient</w:t>
                    </w:r>
                  </w:hyperlink>
                  <w:r>
                    <w:rPr>
                      <w:lang w:val="en-US"/>
                    </w:rPr>
                    <w:t xml:space="preserve">. </w:t>
                  </w:r>
                </w:p>
                <w:p w14:paraId="787B8981" w14:textId="77777777" w:rsidR="006223B7" w:rsidRPr="006223B7" w:rsidRDefault="006223B7" w:rsidP="006223B7">
                  <w:pPr>
                    <w:pStyle w:val="ListParagraph"/>
                    <w:keepNext/>
                    <w:numPr>
                      <w:ilvl w:val="0"/>
                      <w:numId w:val="29"/>
                    </w:numPr>
                    <w:spacing w:before="360" w:after="120" w:line="274" w:lineRule="auto"/>
                    <w:contextualSpacing w:val="0"/>
                    <w:outlineLvl w:val="1"/>
                    <w:rPr>
                      <w:rFonts w:ascii="Arial" w:hAnsi="Arial"/>
                      <w:b/>
                      <w:bCs/>
                      <w:vanish/>
                      <w:color w:val="007E00" w:themeColor="accent3"/>
                      <w:sz w:val="36"/>
                      <w:szCs w:val="36"/>
                    </w:rPr>
                  </w:pPr>
                  <w:bookmarkStart w:id="287" w:name="_Toc208225066"/>
                  <w:bookmarkStart w:id="288" w:name="_Toc208242841"/>
                  <w:bookmarkStart w:id="289" w:name="_Toc208906847"/>
                  <w:bookmarkStart w:id="290" w:name="_Ref205400035"/>
                  <w:bookmarkEnd w:id="287"/>
                  <w:bookmarkEnd w:id="288"/>
                  <w:bookmarkEnd w:id="289"/>
                </w:p>
                <w:p w14:paraId="7F857613" w14:textId="2E9A820A" w:rsidR="00967ECF" w:rsidRDefault="00967ECF" w:rsidP="006223B7">
                  <w:pPr>
                    <w:pStyle w:val="Heading2"/>
                  </w:pPr>
                  <w:bookmarkStart w:id="291" w:name="_Toc208906848"/>
                  <w:r w:rsidRPr="00FF699B">
                    <w:t>Key findings</w:t>
                  </w:r>
                  <w:bookmarkEnd w:id="291"/>
                  <w:r>
                    <w:t xml:space="preserve"> </w:t>
                  </w:r>
                  <w:bookmarkEnd w:id="290"/>
                </w:p>
                <w:tbl>
                  <w:tblPr>
                    <w:tblStyle w:val="ACTableDesign1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4" w:type="dxa"/>
                      <w:right w:w="284" w:type="dxa"/>
                    </w:tblCellMar>
                    <w:tblLook w:val="04A0" w:firstRow="1" w:lastRow="0" w:firstColumn="1" w:lastColumn="0" w:noHBand="0" w:noVBand="1"/>
                  </w:tblPr>
                  <w:tblGrid>
                    <w:gridCol w:w="880"/>
                    <w:gridCol w:w="8149"/>
                  </w:tblGrid>
                  <w:tr w:rsidR="003B12D7" w:rsidRPr="00C73D94" w14:paraId="4ACCCE33"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29" w:type="dxa"/>
                        <w:gridSpan w:val="2"/>
                        <w:tcBorders>
                          <w:bottom w:val="single" w:sz="36" w:space="0" w:color="FFFFFF"/>
                        </w:tcBorders>
                        <w:shd w:val="clear" w:color="auto" w:fill="0568A6"/>
                      </w:tcPr>
                      <w:p w14:paraId="00294871" w14:textId="0C19C7BA" w:rsidR="003B12D7" w:rsidRPr="00D63E8D" w:rsidRDefault="009F0B55">
                        <w:pPr>
                          <w:spacing w:before="240"/>
                          <w:rPr>
                            <w:rFonts w:eastAsia="Arial" w:cs="Times New Roman"/>
                            <w:bCs/>
                          </w:rPr>
                        </w:pPr>
                        <w:r>
                          <w:rPr>
                            <w:rFonts w:eastAsia="Arial" w:cs="Times New Roman"/>
                            <w:bCs/>
                            <w:color w:val="FFFFFF"/>
                          </w:rPr>
                          <w:t>Finding</w:t>
                        </w:r>
                      </w:p>
                    </w:tc>
                  </w:tr>
                  <w:tr w:rsidR="003B12D7" w:rsidRPr="00C73D94" w14:paraId="4CFA9C0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0" w:type="dxa"/>
                        <w:tcBorders>
                          <w:top w:val="single" w:sz="18" w:space="0" w:color="FFFFFF"/>
                          <w:right w:val="single" w:sz="18" w:space="0" w:color="FFFFFF"/>
                        </w:tcBorders>
                        <w:shd w:val="clear" w:color="auto" w:fill="CDE0EB"/>
                      </w:tcPr>
                      <w:p w14:paraId="2E0F4861" w14:textId="77777777" w:rsidR="003B12D7" w:rsidRPr="00C73D94" w:rsidRDefault="003B12D7">
                        <w:pPr>
                          <w:rPr>
                            <w:rFonts w:eastAsia="Arial" w:cs="Times New Roman"/>
                            <w:b/>
                            <w:bCs/>
                            <w:sz w:val="28"/>
                            <w:szCs w:val="28"/>
                          </w:rPr>
                        </w:pPr>
                        <w:r w:rsidRPr="00C73D94">
                          <w:rPr>
                            <w:rFonts w:eastAsia="Arial" w:cs="Times New Roman"/>
                            <w:b/>
                            <w:bCs/>
                            <w:sz w:val="28"/>
                            <w:szCs w:val="28"/>
                          </w:rPr>
                          <w:t>1</w:t>
                        </w:r>
                      </w:p>
                    </w:tc>
                    <w:tc>
                      <w:tcPr>
                        <w:tcW w:w="8149" w:type="dxa"/>
                        <w:tcBorders>
                          <w:top w:val="single" w:sz="18" w:space="0" w:color="FFFFFF"/>
                          <w:left w:val="single" w:sz="18" w:space="0" w:color="FFFFFF"/>
                        </w:tcBorders>
                        <w:shd w:val="clear" w:color="auto" w:fill="CDE0EB"/>
                      </w:tcPr>
                      <w:p w14:paraId="1B588EE7" w14:textId="77777777" w:rsidR="003B12D7" w:rsidRDefault="003B12D7">
                        <w:pPr>
                          <w:cnfStyle w:val="000000100000" w:firstRow="0" w:lastRow="0" w:firstColumn="0" w:lastColumn="0" w:oddVBand="0" w:evenVBand="0" w:oddHBand="1" w:evenHBand="0" w:firstRowFirstColumn="0" w:firstRowLastColumn="0" w:lastRowFirstColumn="0" w:lastRowLastColumn="0"/>
                          <w:rPr>
                            <w:rFonts w:eastAsia="Arial" w:cs="Times New Roman"/>
                            <w:b/>
                            <w:bCs/>
                          </w:rPr>
                        </w:pPr>
                        <w:r>
                          <w:rPr>
                            <w:rFonts w:eastAsia="Arial" w:cs="Times New Roman"/>
                            <w:b/>
                            <w:bCs/>
                          </w:rPr>
                          <w:t>FaRS and SFVS provide value for money</w:t>
                        </w:r>
                      </w:p>
                      <w:p w14:paraId="2F6EE958" w14:textId="10D43B22" w:rsidR="003B12D7" w:rsidRPr="00C73D94" w:rsidRDefault="003B12D7">
                        <w:pPr>
                          <w:cnfStyle w:val="000000100000" w:firstRow="0" w:lastRow="0" w:firstColumn="0" w:lastColumn="0" w:oddVBand="0" w:evenVBand="0" w:oddHBand="1" w:evenHBand="0" w:firstRowFirstColumn="0" w:firstRowLastColumn="0" w:lastRowFirstColumn="0" w:lastRowLastColumn="0"/>
                          <w:rPr>
                            <w:rFonts w:eastAsia="Arial" w:cs="Times New Roman"/>
                          </w:rPr>
                        </w:pPr>
                        <w:r w:rsidRPr="00C73D94">
                          <w:rPr>
                            <w:rFonts w:eastAsia="Arial" w:cs="Times New Roman"/>
                          </w:rPr>
                          <w:t>Benefit Cost Ratios for FaRS and SFVS are high. FaRS and SFVS convert funding into a high volume of services and positive outcomes. This output relative to investment is efficient. The result is a cost per service well below comparable intensive interventions.</w:t>
                        </w:r>
                      </w:p>
                    </w:tc>
                  </w:tr>
                </w:tbl>
                <w:p w14:paraId="2BD4097B" w14:textId="77777777" w:rsidR="00967ECF" w:rsidRDefault="00967ECF" w:rsidP="00967ECF">
                  <w:pPr>
                    <w:pStyle w:val="Text"/>
                  </w:pPr>
                </w:p>
                <w:p w14:paraId="4484E868" w14:textId="38ED52CE" w:rsidR="00967ECF" w:rsidRDefault="003472AE" w:rsidP="002E7436">
                  <w:pPr>
                    <w:pStyle w:val="Heading2"/>
                  </w:pPr>
                  <w:bookmarkStart w:id="292" w:name="_Toc208242843"/>
                  <w:bookmarkStart w:id="293" w:name="_Do_FaRS_and"/>
                  <w:bookmarkStart w:id="294" w:name="_Toc208906849"/>
                  <w:bookmarkEnd w:id="292"/>
                  <w:bookmarkEnd w:id="293"/>
                  <w:r>
                    <w:t>V</w:t>
                  </w:r>
                  <w:r w:rsidR="00967ECF">
                    <w:t>alue for money</w:t>
                  </w:r>
                  <w:bookmarkEnd w:id="294"/>
                  <w:r w:rsidR="00967ECF">
                    <w:t xml:space="preserve"> </w:t>
                  </w:r>
                </w:p>
                <w:p w14:paraId="39D4A4BD" w14:textId="5679D9F4" w:rsidR="00967ECF" w:rsidRDefault="00967ECF" w:rsidP="00967ECF">
                  <w:pPr>
                    <w:pStyle w:val="Text"/>
                  </w:pPr>
                  <w:r>
                    <w:t>This section uses the 4E Framework (Economy, Efficiency, Effectiveness, Equity) to assess the value for money of FaRS, SFVS, MBCP</w:t>
                  </w:r>
                  <w:r w:rsidR="00A064E1">
                    <w:t>,</w:t>
                  </w:r>
                  <w:r>
                    <w:t xml:space="preserve"> and CSC. The </w:t>
                  </w:r>
                  <w:r w:rsidR="008B17C4">
                    <w:t>ROI</w:t>
                  </w:r>
                  <w:r>
                    <w:t xml:space="preserve"> analysis focuses on FaRS and SFVS</w:t>
                  </w:r>
                  <w:r w:rsidR="004D0D9F">
                    <w:t xml:space="preserve"> and does not include specific analysis of MBCP and CSC</w:t>
                  </w:r>
                  <w:r>
                    <w:t xml:space="preserve">. A key advantage of the 4E Framework is that it </w:t>
                  </w:r>
                  <w:r w:rsidR="00913389">
                    <w:t>aligns</w:t>
                  </w:r>
                  <w:r>
                    <w:t xml:space="preserve"> with the FaRS and SFVS Program Logics (found at </w:t>
                  </w:r>
                  <w:hyperlink w:anchor="Appendix_B" w:history="1">
                    <w:r w:rsidRPr="00DC15FD">
                      <w:rPr>
                        <w:rStyle w:val="Hyperlink"/>
                        <w:rFonts w:asciiTheme="minorHAnsi" w:hAnsiTheme="minorHAnsi"/>
                        <w:b/>
                        <w:color w:val="007E00" w:themeColor="accent3"/>
                      </w:rPr>
                      <w:t>Appendix B</w:t>
                    </w:r>
                  </w:hyperlink>
                  <w:r w:rsidRPr="006223B7">
                    <w:t>)</w:t>
                  </w:r>
                  <w:r>
                    <w:t xml:space="preserve"> that </w:t>
                  </w:r>
                  <w:r w:rsidR="00456ED7">
                    <w:t>demonstrate a link from</w:t>
                  </w:r>
                  <w:r>
                    <w:t xml:space="preserve"> inputs and activities to outputs and outcomes.</w:t>
                  </w:r>
                </w:p>
                <w:p w14:paraId="2DC0CC7D" w14:textId="5ABF552E" w:rsidR="00967ECF" w:rsidRDefault="005F067A" w:rsidP="00967ECF">
                  <w:pPr>
                    <w:pStyle w:val="Text"/>
                  </w:pPr>
                  <w:r w:rsidRPr="005F067A">
                    <w:t xml:space="preserve">‘Economy’ focuses on ensuring that the cost of providing services is reasonable </w:t>
                  </w:r>
                  <w:r w:rsidR="00A73D27">
                    <w:t>given</w:t>
                  </w:r>
                  <w:r w:rsidRPr="005F067A">
                    <w:t xml:space="preserve"> the quality required</w:t>
                  </w:r>
                  <w:r w:rsidR="00A73D27">
                    <w:t xml:space="preserve"> of that service</w:t>
                  </w:r>
                  <w:r w:rsidR="00967ECF">
                    <w:t>. Economy relates to inputs</w:t>
                  </w:r>
                  <w:r w:rsidR="00456ED7">
                    <w:t xml:space="preserve"> </w:t>
                  </w:r>
                  <w:r w:rsidR="00967ECF">
                    <w:t xml:space="preserve">for organisations to provide administrative and professional staff and Operational Guidelines that enable structure and management. </w:t>
                  </w:r>
                </w:p>
                <w:p w14:paraId="5871AB7B" w14:textId="65C1689D" w:rsidR="00967ECF" w:rsidRDefault="00967ECF" w:rsidP="00967ECF">
                  <w:pPr>
                    <w:pStyle w:val="Text"/>
                  </w:pPr>
                  <w:r>
                    <w:rPr>
                      <w:iCs/>
                    </w:rPr>
                    <w:t>‘</w:t>
                  </w:r>
                  <w:r w:rsidRPr="001E626C">
                    <w:rPr>
                      <w:iCs/>
                    </w:rPr>
                    <w:t>Efficiency</w:t>
                  </w:r>
                  <w:r>
                    <w:rPr>
                      <w:iCs/>
                    </w:rPr>
                    <w:t>’</w:t>
                  </w:r>
                  <w:r>
                    <w:t xml:space="preserve"> relates to activities and outputs per dollar, sometimes referred to as efficiency ratios. This considers the type of activities funded and the outputs generated </w:t>
                  </w:r>
                  <w:r w:rsidR="00571A5B">
                    <w:t>from funding</w:t>
                  </w:r>
                  <w:r>
                    <w:t>. Outputs are measured in terms of number of service users, sessions</w:t>
                  </w:r>
                  <w:r w:rsidR="0021536B">
                    <w:t>,</w:t>
                  </w:r>
                  <w:r>
                    <w:t xml:space="preserve"> and referrals, with efficiency ratios expressed as cost per service user or cost per session.</w:t>
                  </w:r>
                </w:p>
                <w:p w14:paraId="247F41A4" w14:textId="38036C5E" w:rsidR="00F21CCD" w:rsidRDefault="00066FF4" w:rsidP="00967ECF">
                  <w:pPr>
                    <w:pStyle w:val="Text"/>
                  </w:pPr>
                  <w:r w:rsidRPr="00066FF4">
                    <w:rPr>
                      <w:iCs/>
                      <w:lang w:val="en-US"/>
                    </w:rPr>
                    <w:t>‘Effectiveness’ focuses on providing evidence that the program is achieving results that are transformational</w:t>
                  </w:r>
                  <w:r w:rsidR="005F067A">
                    <w:rPr>
                      <w:iCs/>
                      <w:lang w:val="en-US"/>
                    </w:rPr>
                    <w:t xml:space="preserve"> and </w:t>
                  </w:r>
                  <w:r w:rsidRPr="00066FF4">
                    <w:rPr>
                      <w:iCs/>
                      <w:lang w:val="en-US"/>
                    </w:rPr>
                    <w:t>sustainable and that appropriate learning processes are in place to support this. Results are contextualised as both short, mediu</w:t>
                  </w:r>
                  <w:r w:rsidR="00B01A66">
                    <w:rPr>
                      <w:iCs/>
                      <w:lang w:val="en-US"/>
                    </w:rPr>
                    <w:t>m,</w:t>
                  </w:r>
                  <w:r w:rsidRPr="00066FF4">
                    <w:rPr>
                      <w:iCs/>
                      <w:lang w:val="en-US"/>
                    </w:rPr>
                    <w:t xml:space="preserve"> and long-term outcomes with improvements measured in change in knowledge, skills</w:t>
                  </w:r>
                  <w:r w:rsidR="005F067A">
                    <w:rPr>
                      <w:iCs/>
                      <w:lang w:val="en-US"/>
                    </w:rPr>
                    <w:t>,</w:t>
                  </w:r>
                  <w:r w:rsidRPr="00066FF4">
                    <w:rPr>
                      <w:iCs/>
                      <w:lang w:val="en-US"/>
                    </w:rPr>
                    <w:t xml:space="preserve"> and circumstances in relation to family safety, relationships and resilience, </w:t>
                  </w:r>
                  <w:r w:rsidR="00A73D27">
                    <w:rPr>
                      <w:iCs/>
                      <w:lang w:val="en-US"/>
                    </w:rPr>
                    <w:t xml:space="preserve">and </w:t>
                  </w:r>
                  <w:r w:rsidRPr="00066FF4">
                    <w:rPr>
                      <w:iCs/>
                      <w:lang w:val="en-US"/>
                    </w:rPr>
                    <w:t xml:space="preserve">mental health and wellbeing outcomes. </w:t>
                  </w:r>
                  <w:r w:rsidR="00967ECF">
                    <w:t xml:space="preserve">Improvements are measured via the SCORE approach in DEX, comparing pre- and post-service assessments across three domains: Circumstances, Goals, and Satisfaction. </w:t>
                  </w:r>
                </w:p>
                <w:p w14:paraId="2F85ED9C" w14:textId="03CBB8CE" w:rsidR="00967ECF" w:rsidRDefault="00F21CCD" w:rsidP="00967ECF">
                  <w:pPr>
                    <w:pStyle w:val="Text"/>
                  </w:pPr>
                  <w:r>
                    <w:lastRenderedPageBreak/>
                    <w:t xml:space="preserve">Effectiveness is discussed in further detail in </w:t>
                  </w:r>
                  <w:r w:rsidRPr="003371DC">
                    <w:rPr>
                      <w:b/>
                      <w:bCs/>
                    </w:rPr>
                    <w:t xml:space="preserve">Section </w:t>
                  </w:r>
                  <w:r w:rsidRPr="003371DC">
                    <w:rPr>
                      <w:b/>
                      <w:bCs/>
                    </w:rPr>
                    <w:fldChar w:fldCharType="begin" w:fldLock="1"/>
                  </w:r>
                  <w:r w:rsidRPr="003371DC">
                    <w:rPr>
                      <w:b/>
                      <w:bCs/>
                    </w:rPr>
                    <w:instrText xml:space="preserve"> REF _Ref207719634 \r \h </w:instrText>
                  </w:r>
                  <w:r>
                    <w:rPr>
                      <w:b/>
                      <w:bCs/>
                    </w:rPr>
                    <w:instrText xml:space="preserve"> \* MERGEFORMAT </w:instrText>
                  </w:r>
                  <w:r w:rsidRPr="003371DC">
                    <w:rPr>
                      <w:b/>
                      <w:bCs/>
                    </w:rPr>
                  </w:r>
                  <w:r w:rsidRPr="003371DC">
                    <w:rPr>
                      <w:b/>
                      <w:bCs/>
                    </w:rPr>
                    <w:fldChar w:fldCharType="separate"/>
                  </w:r>
                  <w:r w:rsidR="008F22E5">
                    <w:rPr>
                      <w:b/>
                      <w:bCs/>
                    </w:rPr>
                    <w:t>5</w:t>
                  </w:r>
                  <w:r w:rsidRPr="003371DC">
                    <w:rPr>
                      <w:b/>
                      <w:bCs/>
                    </w:rPr>
                    <w:fldChar w:fldCharType="end"/>
                  </w:r>
                  <w:r>
                    <w:t xml:space="preserve">. </w:t>
                  </w:r>
                </w:p>
                <w:p w14:paraId="3FF94B58" w14:textId="08282A05" w:rsidR="00967ECF" w:rsidRDefault="00967ECF" w:rsidP="00967ECF">
                  <w:pPr>
                    <w:pStyle w:val="Text"/>
                  </w:pPr>
                  <w:r>
                    <w:rPr>
                      <w:iCs/>
                    </w:rPr>
                    <w:t>‘</w:t>
                  </w:r>
                  <w:r w:rsidRPr="001E626C">
                    <w:rPr>
                      <w:iCs/>
                    </w:rPr>
                    <w:t>Equity</w:t>
                  </w:r>
                  <w:r>
                    <w:rPr>
                      <w:iCs/>
                    </w:rPr>
                    <w:t>’</w:t>
                  </w:r>
                  <w:r>
                    <w:t xml:space="preserve"> focuses on providing evidence that specific measures have been put in place to </w:t>
                  </w:r>
                  <w:r w:rsidR="00733A9B">
                    <w:t xml:space="preserve">support </w:t>
                  </w:r>
                  <w:r w:rsidR="0026307E">
                    <w:t>priority cohorts. For the purpose of this evaluation, equity is examined with reference to</w:t>
                  </w:r>
                  <w:r>
                    <w:t xml:space="preserve"> service user demographics and </w:t>
                  </w:r>
                  <w:r w:rsidR="0026307E">
                    <w:t xml:space="preserve">the geographical distribution of </w:t>
                  </w:r>
                  <w:r>
                    <w:t>service outlets</w:t>
                  </w:r>
                  <w:r w:rsidR="0026307E">
                    <w:t xml:space="preserve">. </w:t>
                  </w:r>
                </w:p>
                <w:p w14:paraId="4130609B" w14:textId="1D4CFAC0" w:rsidR="00F21CCD" w:rsidRDefault="00F21CCD" w:rsidP="00967ECF">
                  <w:pPr>
                    <w:pStyle w:val="Text"/>
                  </w:pPr>
                  <w:r>
                    <w:t xml:space="preserve">Equity is discussed in further detail in </w:t>
                  </w:r>
                  <w:r w:rsidRPr="003371DC">
                    <w:rPr>
                      <w:b/>
                      <w:bCs/>
                    </w:rPr>
                    <w:t xml:space="preserve">Section </w:t>
                  </w:r>
                  <w:r w:rsidRPr="003371DC">
                    <w:rPr>
                      <w:b/>
                      <w:bCs/>
                    </w:rPr>
                    <w:fldChar w:fldCharType="begin" w:fldLock="1"/>
                  </w:r>
                  <w:r w:rsidRPr="003371DC">
                    <w:rPr>
                      <w:b/>
                      <w:bCs/>
                    </w:rPr>
                    <w:instrText xml:space="preserve"> REF _Ref207719723 \r \h </w:instrText>
                  </w:r>
                  <w:r>
                    <w:rPr>
                      <w:b/>
                      <w:bCs/>
                    </w:rPr>
                    <w:instrText xml:space="preserve"> \* MERGEFORMAT </w:instrText>
                  </w:r>
                  <w:r w:rsidRPr="003371DC">
                    <w:rPr>
                      <w:b/>
                      <w:bCs/>
                    </w:rPr>
                  </w:r>
                  <w:r w:rsidRPr="003371DC">
                    <w:rPr>
                      <w:b/>
                      <w:bCs/>
                    </w:rPr>
                    <w:fldChar w:fldCharType="separate"/>
                  </w:r>
                  <w:r w:rsidR="008F22E5">
                    <w:rPr>
                      <w:b/>
                      <w:bCs/>
                    </w:rPr>
                    <w:t>6</w:t>
                  </w:r>
                  <w:r w:rsidRPr="003371DC">
                    <w:rPr>
                      <w:b/>
                      <w:bCs/>
                    </w:rPr>
                    <w:fldChar w:fldCharType="end"/>
                  </w:r>
                  <w:r w:rsidR="009C0FE6">
                    <w:t>.</w:t>
                  </w:r>
                </w:p>
                <w:p w14:paraId="59CC485B" w14:textId="3C766421" w:rsidR="00967ECF" w:rsidRDefault="00967ECF" w:rsidP="00967ECF">
                  <w:pPr>
                    <w:pStyle w:val="Text"/>
                  </w:pPr>
                  <w:r>
                    <w:t xml:space="preserve">Data for the following value for money analysis are sourced from GPS </w:t>
                  </w:r>
                  <w:r w:rsidR="00715F9A">
                    <w:t>– D</w:t>
                  </w:r>
                  <w:r>
                    <w:t>EX extract</w:t>
                  </w:r>
                  <w:r w:rsidR="004E5AD0">
                    <w:t>s</w:t>
                  </w:r>
                  <w:r>
                    <w:t xml:space="preserve"> provided by the Department that enable a high-level analysis of the 4E’s for the financial years 2021-</w:t>
                  </w:r>
                  <w:r w:rsidR="284493DF">
                    <w:t xml:space="preserve">22, 2022-23 and </w:t>
                  </w:r>
                  <w:r w:rsidR="19D974FE">
                    <w:t>2</w:t>
                  </w:r>
                  <w:r>
                    <w:t xml:space="preserve">023-24. This analysis supplements the quantitative analysis reported in </w:t>
                  </w:r>
                  <w:r w:rsidR="00C2506F">
                    <w:t>other KEQs.</w:t>
                  </w:r>
                </w:p>
                <w:p w14:paraId="0D00BFA7" w14:textId="02BA9D8A" w:rsidR="00967ECF" w:rsidRDefault="00B33F84" w:rsidP="00967ECF">
                  <w:pPr>
                    <w:pStyle w:val="Text"/>
                  </w:pPr>
                  <w:r w:rsidRPr="00E4553D">
                    <w:rPr>
                      <w:b/>
                      <w:bCs/>
                    </w:rPr>
                    <w:fldChar w:fldCharType="begin" w:fldLock="1"/>
                  </w:r>
                  <w:r w:rsidRPr="00E4553D">
                    <w:rPr>
                      <w:b/>
                      <w:bCs/>
                    </w:rPr>
                    <w:instrText xml:space="preserve"> REF _Ref208234393 \h  \* MERGEFORMAT </w:instrText>
                  </w:r>
                  <w:r w:rsidRPr="00E4553D">
                    <w:rPr>
                      <w:b/>
                      <w:bCs/>
                    </w:rPr>
                  </w:r>
                  <w:r w:rsidRPr="00E4553D">
                    <w:rPr>
                      <w:b/>
                      <w:bCs/>
                    </w:rPr>
                    <w:fldChar w:fldCharType="separate"/>
                  </w:r>
                  <w:r w:rsidR="008F22E5" w:rsidRPr="008F22E5">
                    <w:t xml:space="preserve">Figure </w:t>
                  </w:r>
                  <w:r w:rsidR="008F22E5" w:rsidRPr="008F22E5">
                    <w:rPr>
                      <w:b/>
                    </w:rPr>
                    <w:t>8</w:t>
                  </w:r>
                  <w:r w:rsidRPr="00E4553D">
                    <w:rPr>
                      <w:b/>
                      <w:bCs/>
                    </w:rPr>
                    <w:fldChar w:fldCharType="end"/>
                  </w:r>
                  <w:r w:rsidR="005F42E3">
                    <w:rPr>
                      <w:b/>
                      <w:bCs/>
                    </w:rPr>
                    <w:t xml:space="preserve"> </w:t>
                  </w:r>
                  <w:r w:rsidR="00967ECF">
                    <w:t xml:space="preserve">below shows the alignment between the 4E framework and the FaRS and SFVS </w:t>
                  </w:r>
                  <w:r w:rsidR="00C2506F">
                    <w:t>P</w:t>
                  </w:r>
                  <w:r w:rsidR="00967ECF">
                    <w:t xml:space="preserve">rogram </w:t>
                  </w:r>
                  <w:r w:rsidR="00C2506F">
                    <w:t>L</w:t>
                  </w:r>
                  <w:r w:rsidR="00967ECF">
                    <w:t>ogic models.</w:t>
                  </w:r>
                </w:p>
                <w:p w14:paraId="46A48051" w14:textId="7D5137B7" w:rsidR="0021536B" w:rsidRPr="004750D1" w:rsidRDefault="0021536B" w:rsidP="0021536B">
                  <w:pPr>
                    <w:pStyle w:val="Caption"/>
                    <w:rPr>
                      <w:rStyle w:val="Text-Bold"/>
                      <w:b/>
                      <w:bCs/>
                      <w:sz w:val="21"/>
                      <w:szCs w:val="21"/>
                    </w:rPr>
                  </w:pPr>
                  <w:bookmarkStart w:id="295" w:name="_Ref208234393"/>
                  <w:r w:rsidRPr="004750D1">
                    <w:rPr>
                      <w:rStyle w:val="Text-Bold"/>
                      <w:b/>
                      <w:bCs/>
                      <w:sz w:val="21"/>
                      <w:szCs w:val="21"/>
                    </w:rPr>
                    <w:t xml:space="preserve">Figure </w:t>
                  </w:r>
                  <w:r w:rsidR="00C64C3D" w:rsidRPr="004750D1">
                    <w:rPr>
                      <w:rStyle w:val="Text-Bold"/>
                      <w:b/>
                      <w:bCs/>
                      <w:sz w:val="21"/>
                      <w:szCs w:val="21"/>
                    </w:rPr>
                    <w:fldChar w:fldCharType="begin"/>
                  </w:r>
                  <w:r w:rsidR="00C64C3D" w:rsidRPr="004750D1">
                    <w:rPr>
                      <w:rStyle w:val="Text-Bold"/>
                      <w:b/>
                      <w:bCs/>
                      <w:sz w:val="21"/>
                      <w:szCs w:val="21"/>
                    </w:rPr>
                    <w:instrText xml:space="preserve"> SEQ Figure \* ARABIC </w:instrText>
                  </w:r>
                  <w:r w:rsidR="00C64C3D" w:rsidRPr="004750D1">
                    <w:rPr>
                      <w:rStyle w:val="Text-Bold"/>
                      <w:b/>
                      <w:bCs/>
                      <w:sz w:val="21"/>
                      <w:szCs w:val="21"/>
                    </w:rPr>
                    <w:fldChar w:fldCharType="separate"/>
                  </w:r>
                  <w:r w:rsidR="008D2566">
                    <w:rPr>
                      <w:rStyle w:val="Text-Bold"/>
                      <w:b/>
                      <w:bCs/>
                      <w:noProof/>
                      <w:sz w:val="21"/>
                      <w:szCs w:val="21"/>
                    </w:rPr>
                    <w:t>8</w:t>
                  </w:r>
                  <w:r w:rsidR="00C64C3D" w:rsidRPr="004750D1">
                    <w:rPr>
                      <w:rStyle w:val="Text-Bold"/>
                      <w:b/>
                      <w:bCs/>
                      <w:sz w:val="21"/>
                      <w:szCs w:val="21"/>
                    </w:rPr>
                    <w:fldChar w:fldCharType="end"/>
                  </w:r>
                  <w:bookmarkEnd w:id="295"/>
                  <w:r w:rsidRPr="004750D1">
                    <w:rPr>
                      <w:rStyle w:val="Text-Bold"/>
                      <w:b/>
                      <w:bCs/>
                      <w:sz w:val="21"/>
                      <w:szCs w:val="21"/>
                    </w:rPr>
                    <w:t>: 4E framework aligned with Program Logic model</w:t>
                  </w:r>
                </w:p>
                <w:p w14:paraId="2D89A751" w14:textId="708569A1" w:rsidR="00967ECF" w:rsidRPr="00D97653" w:rsidRDefault="00967ECF" w:rsidP="00D97653">
                  <w:pPr>
                    <w:pStyle w:val="Text"/>
                  </w:pPr>
                  <w:r w:rsidRPr="004715A0">
                    <w:rPr>
                      <w:rFonts w:cs="Arial"/>
                      <w:noProof/>
                    </w:rPr>
                    <w:drawing>
                      <wp:inline distT="0" distB="0" distL="0" distR="0" wp14:anchorId="5B503B00" wp14:editId="70AF7F83">
                        <wp:extent cx="5725661" cy="3201755"/>
                        <wp:effectExtent l="0" t="0" r="8890" b="0"/>
                        <wp:docPr id="2050863572"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863572" name="Picture 5">
                                  <a:extLst>
                                    <a:ext uri="{C183D7F6-B498-43B3-948B-1728B52AA6E4}">
                                      <adec:decorative xmlns:adec="http://schemas.microsoft.com/office/drawing/2017/decorative" val="1"/>
                                    </a:ext>
                                  </a:extLst>
                                </pic:cNvPr>
                                <pic:cNvPicPr>
                                  <a:picLocks noChangeAspect="1" noChangeArrowheads="1"/>
                                </pic:cNvPicPr>
                              </pic:nvPicPr>
                              <pic:blipFill>
                                <a:blip r:embed="rId48" cstate="print">
                                  <a:extLst>
                                    <a:ext uri="{28A0092B-C50C-407E-A947-70E740481C1C}">
                                      <a14:useLocalDpi xmlns:a14="http://schemas.microsoft.com/office/drawing/2010/main" val="0"/>
                                    </a:ext>
                                  </a:extLst>
                                </a:blip>
                                <a:stretch>
                                  <a:fillRect/>
                                </a:stretch>
                              </pic:blipFill>
                              <pic:spPr bwMode="auto">
                                <a:xfrm>
                                  <a:off x="0" y="0"/>
                                  <a:ext cx="5725661" cy="3201755"/>
                                </a:xfrm>
                                <a:prstGeom prst="rect">
                                  <a:avLst/>
                                </a:prstGeom>
                                <a:noFill/>
                                <a:ln>
                                  <a:noFill/>
                                </a:ln>
                              </pic:spPr>
                            </pic:pic>
                          </a:graphicData>
                        </a:graphic>
                      </wp:inline>
                    </w:drawing>
                  </w:r>
                </w:p>
                <w:p w14:paraId="6AF35144" w14:textId="77777777" w:rsidR="006223B7" w:rsidRPr="006223B7" w:rsidRDefault="006223B7" w:rsidP="006223B7">
                  <w:pPr>
                    <w:pStyle w:val="ListParagraph"/>
                    <w:keepNext/>
                    <w:numPr>
                      <w:ilvl w:val="0"/>
                      <w:numId w:val="20"/>
                    </w:numPr>
                    <w:spacing w:before="360" w:after="120" w:line="274" w:lineRule="auto"/>
                    <w:contextualSpacing w:val="0"/>
                    <w:outlineLvl w:val="2"/>
                    <w:rPr>
                      <w:rFonts w:ascii="Arial" w:hAnsi="Arial"/>
                      <w:b/>
                      <w:vanish/>
                      <w:color w:val="007E00" w:themeColor="accent3"/>
                      <w:kern w:val="28"/>
                      <w:sz w:val="36"/>
                      <w:szCs w:val="32"/>
                      <w:lang w:val="en-US"/>
                    </w:rPr>
                  </w:pPr>
                </w:p>
                <w:p w14:paraId="6E881F8B" w14:textId="77777777" w:rsidR="006223B7" w:rsidRPr="006223B7" w:rsidRDefault="006223B7" w:rsidP="006223B7">
                  <w:pPr>
                    <w:pStyle w:val="ListParagraph"/>
                    <w:keepNext/>
                    <w:numPr>
                      <w:ilvl w:val="1"/>
                      <w:numId w:val="20"/>
                    </w:numPr>
                    <w:spacing w:before="360" w:after="120" w:line="274" w:lineRule="auto"/>
                    <w:contextualSpacing w:val="0"/>
                    <w:outlineLvl w:val="2"/>
                    <w:rPr>
                      <w:rFonts w:ascii="Arial" w:hAnsi="Arial"/>
                      <w:b/>
                      <w:vanish/>
                      <w:color w:val="007E00" w:themeColor="accent3"/>
                      <w:kern w:val="28"/>
                      <w:sz w:val="36"/>
                      <w:szCs w:val="32"/>
                      <w:lang w:val="en-US"/>
                    </w:rPr>
                  </w:pPr>
                </w:p>
                <w:p w14:paraId="625FBA5C" w14:textId="77777777" w:rsidR="006223B7" w:rsidRPr="006223B7" w:rsidRDefault="006223B7" w:rsidP="006223B7">
                  <w:pPr>
                    <w:pStyle w:val="ListParagraph"/>
                    <w:keepNext/>
                    <w:numPr>
                      <w:ilvl w:val="1"/>
                      <w:numId w:val="20"/>
                    </w:numPr>
                    <w:spacing w:before="360" w:after="120" w:line="274" w:lineRule="auto"/>
                    <w:contextualSpacing w:val="0"/>
                    <w:outlineLvl w:val="2"/>
                    <w:rPr>
                      <w:rFonts w:ascii="Arial" w:hAnsi="Arial"/>
                      <w:b/>
                      <w:vanish/>
                      <w:color w:val="007E00" w:themeColor="accent3"/>
                      <w:kern w:val="28"/>
                      <w:sz w:val="36"/>
                      <w:szCs w:val="32"/>
                      <w:lang w:val="en-US"/>
                    </w:rPr>
                  </w:pPr>
                </w:p>
                <w:p w14:paraId="14E49A42" w14:textId="772F0856" w:rsidR="00967ECF" w:rsidRDefault="00967ECF" w:rsidP="006223B7">
                  <w:pPr>
                    <w:pStyle w:val="Heading3"/>
                  </w:pPr>
                  <w:r>
                    <w:t>Economy (inputs)</w:t>
                  </w:r>
                </w:p>
                <w:p w14:paraId="20FE8290" w14:textId="2752E800" w:rsidR="00DC671E" w:rsidRDefault="00CB23CC" w:rsidP="00967ECF">
                  <w:pPr>
                    <w:pStyle w:val="Text"/>
                    <w:rPr>
                      <w:lang w:val="en-US"/>
                    </w:rPr>
                  </w:pPr>
                  <w:r>
                    <w:rPr>
                      <w:lang w:val="en-US"/>
                    </w:rPr>
                    <w:t xml:space="preserve">A </w:t>
                  </w:r>
                  <w:r w:rsidR="00967ECF" w:rsidRPr="002B78F1">
                    <w:rPr>
                      <w:lang w:val="en-US"/>
                    </w:rPr>
                    <w:t xml:space="preserve">broad network of </w:t>
                  </w:r>
                  <w:r w:rsidR="00C929B2">
                    <w:rPr>
                      <w:lang w:val="en-US"/>
                    </w:rPr>
                    <w:t xml:space="preserve">service providers </w:t>
                  </w:r>
                  <w:r>
                    <w:rPr>
                      <w:lang w:val="en-US"/>
                    </w:rPr>
                    <w:t xml:space="preserve">delivers </w:t>
                  </w:r>
                  <w:r w:rsidRPr="002B78F1">
                    <w:rPr>
                      <w:lang w:val="en-US"/>
                    </w:rPr>
                    <w:t>FaRS, SFVS</w:t>
                  </w:r>
                  <w:r>
                    <w:rPr>
                      <w:lang w:val="en-US"/>
                    </w:rPr>
                    <w:t>,</w:t>
                  </w:r>
                  <w:r w:rsidRPr="002B78F1">
                    <w:rPr>
                      <w:lang w:val="en-US"/>
                    </w:rPr>
                    <w:t xml:space="preserve"> MBCP</w:t>
                  </w:r>
                  <w:r>
                    <w:rPr>
                      <w:lang w:val="en-US"/>
                    </w:rPr>
                    <w:t>, and CSC</w:t>
                  </w:r>
                  <w:r w:rsidRPr="002B78F1">
                    <w:rPr>
                      <w:lang w:val="en-US"/>
                    </w:rPr>
                    <w:t xml:space="preserve"> </w:t>
                  </w:r>
                  <w:r w:rsidR="00967ECF" w:rsidRPr="002B78F1">
                    <w:rPr>
                      <w:lang w:val="en-US"/>
                    </w:rPr>
                    <w:t xml:space="preserve">across Australia with a wide geographic reach into metropolitan, regional, and remote communities. CSC </w:t>
                  </w:r>
                  <w:r w:rsidR="00426587">
                    <w:rPr>
                      <w:lang w:val="en-US"/>
                    </w:rPr>
                    <w:lastRenderedPageBreak/>
                    <w:t xml:space="preserve">services </w:t>
                  </w:r>
                  <w:r w:rsidR="00967ECF" w:rsidRPr="002B78F1">
                    <w:rPr>
                      <w:lang w:val="en-US"/>
                    </w:rPr>
                    <w:t>are delivered solely by Relationships Australia</w:t>
                  </w:r>
                  <w:r w:rsidR="00967ECF">
                    <w:rPr>
                      <w:lang w:val="en-US"/>
                    </w:rPr>
                    <w:t>.</w:t>
                  </w:r>
                  <w:r w:rsidR="00967ECF" w:rsidRPr="002B78F1">
                    <w:rPr>
                      <w:lang w:val="en-US"/>
                    </w:rPr>
                    <w:t xml:space="preserve"> Administrative and overhead costs are kept low through shared service models and co-location with other community services. </w:t>
                  </w:r>
                  <w:r w:rsidR="00967ECF">
                    <w:rPr>
                      <w:lang w:val="en-US"/>
                    </w:rPr>
                    <w:t>F</w:t>
                  </w:r>
                  <w:r w:rsidR="00967ECF" w:rsidRPr="002B78F1">
                    <w:rPr>
                      <w:lang w:val="en-US"/>
                    </w:rPr>
                    <w:t>or example, a 2018 survey found 80% of FaRS</w:t>
                  </w:r>
                  <w:r w:rsidR="00C929B2">
                    <w:rPr>
                      <w:lang w:val="en-US"/>
                    </w:rPr>
                    <w:t xml:space="preserve"> and </w:t>
                  </w:r>
                  <w:r w:rsidR="00967ECF" w:rsidRPr="002B78F1">
                    <w:rPr>
                      <w:lang w:val="en-US"/>
                    </w:rPr>
                    <w:t>SFVS</w:t>
                  </w:r>
                  <w:r w:rsidR="00967ECF" w:rsidRPr="7DA7AF27">
                    <w:rPr>
                      <w:lang w:val="en-US"/>
                    </w:rPr>
                    <w:t xml:space="preserve"> </w:t>
                  </w:r>
                  <w:r w:rsidR="00C929B2">
                    <w:rPr>
                      <w:lang w:val="en-US"/>
                    </w:rPr>
                    <w:t>service providers</w:t>
                  </w:r>
                  <w:r w:rsidR="00967ECF" w:rsidRPr="002B78F1">
                    <w:rPr>
                      <w:lang w:val="en-US"/>
                    </w:rPr>
                    <w:t xml:space="preserve"> </w:t>
                  </w:r>
                  <w:r w:rsidR="00967ECF" w:rsidRPr="003F5235">
                    <w:rPr>
                      <w:lang w:val="en-US"/>
                    </w:rPr>
                    <w:t>were co-located with other D</w:t>
                  </w:r>
                  <w:r w:rsidR="00967ECF">
                    <w:rPr>
                      <w:lang w:val="en-US"/>
                    </w:rPr>
                    <w:t>epartment</w:t>
                  </w:r>
                  <w:r w:rsidR="00967ECF" w:rsidRPr="003F5235">
                    <w:rPr>
                      <w:lang w:val="en-US"/>
                    </w:rPr>
                    <w:t xml:space="preserve">-funded services, facilitating integrated support for </w:t>
                  </w:r>
                  <w:r w:rsidR="00967ECF">
                    <w:rPr>
                      <w:lang w:val="en-US"/>
                    </w:rPr>
                    <w:t xml:space="preserve">service users </w:t>
                  </w:r>
                  <w:r w:rsidR="00967ECF" w:rsidRPr="003F5235">
                    <w:rPr>
                      <w:lang w:val="en-US"/>
                    </w:rPr>
                    <w:fldChar w:fldCharType="begin"/>
                  </w:r>
                  <w:r w:rsidR="00967ECF">
                    <w:rPr>
                      <w:lang w:val="en-US"/>
                    </w:rPr>
                    <w:instrText xml:space="preserve"> ADDIN ZOTERO_ITEM CSL_CITATION {"citationID":"a110tjosfmi","properties":{"formattedCitation":"(Australian Institute of Family Studies, 2018)","plainCitation":"(Australian Institute of Family Studies, 2018)","noteIndex":0},"citationItems":[{"id":4705,"uris":["http://zotero.org/groups/5691188/items/QNUCBUCC"],"itemData":{"id":4705,"type":"report","publisher":"Commonwealth of Australia","title":"National survey of FaRS-funded service providers","author":[{"family":"Australian Institute of Family Studies","given":""}],"issued":{"date-parts":[["2018"]]}}}],"schema":"https://github.com/citation-style-language/schema/raw/master/csl-citation.json"} </w:instrText>
                  </w:r>
                  <w:r w:rsidR="00967ECF" w:rsidRPr="003F5235">
                    <w:rPr>
                      <w:lang w:val="en-US"/>
                    </w:rPr>
                    <w:fldChar w:fldCharType="separate"/>
                  </w:r>
                  <w:r w:rsidR="00967ECF" w:rsidRPr="00AC138C">
                    <w:rPr>
                      <w:rFonts w:ascii="Arial" w:hAnsi="Arial" w:cs="Arial"/>
                    </w:rPr>
                    <w:t>(Australian Institute of Family Studies, 2018)</w:t>
                  </w:r>
                  <w:r w:rsidR="00967ECF" w:rsidRPr="003F5235">
                    <w:rPr>
                      <w:lang w:val="en-US"/>
                    </w:rPr>
                    <w:fldChar w:fldCharType="end"/>
                  </w:r>
                  <w:r w:rsidR="00967ECF" w:rsidRPr="003F5235">
                    <w:rPr>
                      <w:lang w:val="en-US"/>
                    </w:rPr>
                    <w:t xml:space="preserve">. </w:t>
                  </w:r>
                  <w:r w:rsidR="00967ECF" w:rsidRPr="002B78F1">
                    <w:rPr>
                      <w:lang w:val="en-US"/>
                    </w:rPr>
                    <w:t xml:space="preserve">Flexible funding and service models facilitate economies of scale. </w:t>
                  </w:r>
                </w:p>
                <w:p w14:paraId="2A57906D" w14:textId="67A27CDE" w:rsidR="00D97653" w:rsidRDefault="000A5EA9" w:rsidP="00967ECF">
                  <w:pPr>
                    <w:pStyle w:val="Text"/>
                    <w:rPr>
                      <w:lang w:val="en-US"/>
                    </w:rPr>
                  </w:pPr>
                  <w:r w:rsidRPr="007C6029">
                    <w:rPr>
                      <w:b/>
                      <w:bCs/>
                      <w:lang w:val="en-US"/>
                    </w:rPr>
                    <w:fldChar w:fldCharType="begin" w:fldLock="1"/>
                  </w:r>
                  <w:r w:rsidRPr="007C6029">
                    <w:rPr>
                      <w:b/>
                      <w:bCs/>
                      <w:lang w:val="en-US"/>
                    </w:rPr>
                    <w:instrText xml:space="preserve"> REF _Ref208234709 \h  \* MERGEFORMAT </w:instrText>
                  </w:r>
                  <w:r w:rsidRPr="007C6029">
                    <w:rPr>
                      <w:b/>
                      <w:bCs/>
                      <w:lang w:val="en-US"/>
                    </w:rPr>
                  </w:r>
                  <w:r w:rsidRPr="007C6029">
                    <w:rPr>
                      <w:b/>
                      <w:bCs/>
                      <w:lang w:val="en-US"/>
                    </w:rPr>
                    <w:fldChar w:fldCharType="separate"/>
                  </w:r>
                  <w:r w:rsidR="008F22E5" w:rsidRPr="008F22E5">
                    <w:t xml:space="preserve">Table </w:t>
                  </w:r>
                  <w:r w:rsidR="008F22E5" w:rsidRPr="008F22E5">
                    <w:rPr>
                      <w:b/>
                    </w:rPr>
                    <w:t>6</w:t>
                  </w:r>
                  <w:r w:rsidRPr="007C6029">
                    <w:rPr>
                      <w:b/>
                      <w:bCs/>
                      <w:lang w:val="en-US"/>
                    </w:rPr>
                    <w:fldChar w:fldCharType="end"/>
                  </w:r>
                  <w:r>
                    <w:rPr>
                      <w:lang w:val="en-US"/>
                    </w:rPr>
                    <w:t xml:space="preserve"> </w:t>
                  </w:r>
                  <w:r w:rsidR="00656EAB">
                    <w:rPr>
                      <w:lang w:val="en-US"/>
                    </w:rPr>
                    <w:t>below outlines funding totals for the period 2021-22 to 2023-24</w:t>
                  </w:r>
                  <w:r w:rsidR="00685D50">
                    <w:rPr>
                      <w:lang w:val="en-US"/>
                    </w:rPr>
                    <w:t>.</w:t>
                  </w:r>
                </w:p>
                <w:p w14:paraId="480AE912" w14:textId="77777777" w:rsidR="003D0F24" w:rsidRDefault="003D0F24" w:rsidP="00967ECF">
                  <w:pPr>
                    <w:pStyle w:val="Text"/>
                    <w:rPr>
                      <w:lang w:val="en-US"/>
                    </w:rPr>
                  </w:pPr>
                </w:p>
                <w:p w14:paraId="3DC54C40" w14:textId="43E08A93" w:rsidR="00656EAB" w:rsidRPr="006C49E0" w:rsidRDefault="000A5EA9" w:rsidP="00685D50">
                  <w:pPr>
                    <w:pStyle w:val="TableFigure-Header"/>
                    <w:rPr>
                      <w:rStyle w:val="Text-Bold"/>
                      <w:b/>
                      <w:bCs/>
                    </w:rPr>
                  </w:pPr>
                  <w:bookmarkStart w:id="296" w:name="_Ref208234709"/>
                  <w:r w:rsidRPr="006C49E0">
                    <w:rPr>
                      <w:rStyle w:val="Text-Bold"/>
                      <w:b/>
                      <w:bCs/>
                    </w:rPr>
                    <w:t xml:space="preserve">Table </w:t>
                  </w:r>
                  <w:r w:rsidRPr="006C49E0">
                    <w:rPr>
                      <w:rStyle w:val="Text-Bold"/>
                      <w:b/>
                      <w:bCs/>
                    </w:rPr>
                    <w:fldChar w:fldCharType="begin"/>
                  </w:r>
                  <w:r w:rsidRPr="006C49E0">
                    <w:rPr>
                      <w:rStyle w:val="Text-Bold"/>
                      <w:b/>
                      <w:bCs/>
                    </w:rPr>
                    <w:instrText>SEQ Table \* ARABIC</w:instrText>
                  </w:r>
                  <w:r w:rsidRPr="006C49E0">
                    <w:rPr>
                      <w:rStyle w:val="Text-Bold"/>
                      <w:b/>
                      <w:bCs/>
                    </w:rPr>
                    <w:fldChar w:fldCharType="separate"/>
                  </w:r>
                  <w:r w:rsidR="008D2566">
                    <w:rPr>
                      <w:rStyle w:val="Text-Bold"/>
                      <w:b/>
                      <w:bCs/>
                      <w:noProof/>
                    </w:rPr>
                    <w:t>6</w:t>
                  </w:r>
                  <w:r w:rsidRPr="006C49E0">
                    <w:rPr>
                      <w:rStyle w:val="Text-Bold"/>
                      <w:b/>
                      <w:bCs/>
                    </w:rPr>
                    <w:fldChar w:fldCharType="end"/>
                  </w:r>
                  <w:bookmarkEnd w:id="296"/>
                  <w:r w:rsidRPr="006C49E0">
                    <w:rPr>
                      <w:rStyle w:val="Text-Bold"/>
                      <w:b/>
                      <w:bCs/>
                    </w:rPr>
                    <w:t>: FaRS and SFVS funding, 2021-22 to 2023-24</w:t>
                  </w:r>
                </w:p>
                <w:tbl>
                  <w:tblPr>
                    <w:tblStyle w:val="TableGrid221"/>
                    <w:tblW w:w="0" w:type="auto"/>
                    <w:tblInd w:w="0" w:type="dxa"/>
                    <w:tblLook w:val="04A0" w:firstRow="1" w:lastRow="0" w:firstColumn="1" w:lastColumn="0" w:noHBand="0" w:noVBand="1"/>
                  </w:tblPr>
                  <w:tblGrid>
                    <w:gridCol w:w="1126"/>
                    <w:gridCol w:w="1687"/>
                    <w:gridCol w:w="1404"/>
                    <w:gridCol w:w="1335"/>
                    <w:gridCol w:w="1384"/>
                    <w:gridCol w:w="2083"/>
                  </w:tblGrid>
                  <w:tr w:rsidR="00F70532" w:rsidRPr="00656EAB" w14:paraId="7E949AE8" w14:textId="77777777" w:rsidTr="00321BC5">
                    <w:trPr>
                      <w:trHeight w:val="290"/>
                    </w:trPr>
                    <w:tc>
                      <w:tcPr>
                        <w:tcW w:w="1127" w:type="dxa"/>
                        <w:shd w:val="clear" w:color="auto" w:fill="007E00" w:themeFill="accent3"/>
                        <w:noWrap/>
                        <w:hideMark/>
                      </w:tcPr>
                      <w:p w14:paraId="489F3018" w14:textId="77777777" w:rsidR="00656EAB" w:rsidRPr="00110631" w:rsidRDefault="00656EAB" w:rsidP="00656EAB">
                        <w:pPr>
                          <w:pStyle w:val="TableText"/>
                          <w:rPr>
                            <w:rFonts w:ascii="Times New Roman" w:eastAsia="Times New Roman" w:hAnsi="Times New Roman"/>
                            <w:b/>
                            <w:color w:val="FFFFFF" w:themeColor="background1"/>
                            <w:sz w:val="20"/>
                            <w:lang w:eastAsia="en-NZ"/>
                          </w:rPr>
                        </w:pPr>
                      </w:p>
                    </w:tc>
                    <w:tc>
                      <w:tcPr>
                        <w:tcW w:w="1687" w:type="dxa"/>
                        <w:shd w:val="clear" w:color="auto" w:fill="007E00" w:themeFill="accent3"/>
                        <w:noWrap/>
                        <w:hideMark/>
                      </w:tcPr>
                      <w:p w14:paraId="1E04D154" w14:textId="77777777" w:rsidR="00656EAB" w:rsidRPr="00110631" w:rsidRDefault="00656EAB" w:rsidP="00656EAB">
                        <w:pPr>
                          <w:pStyle w:val="TableText"/>
                          <w:rPr>
                            <w:b/>
                            <w:color w:val="FFFFFF" w:themeColor="background1"/>
                          </w:rPr>
                        </w:pPr>
                        <w:r w:rsidRPr="00110631">
                          <w:rPr>
                            <w:b/>
                            <w:color w:val="FFFFFF" w:themeColor="background1"/>
                          </w:rPr>
                          <w:t xml:space="preserve">FARS </w:t>
                        </w:r>
                      </w:p>
                    </w:tc>
                    <w:tc>
                      <w:tcPr>
                        <w:tcW w:w="1404" w:type="dxa"/>
                        <w:shd w:val="clear" w:color="auto" w:fill="007E00" w:themeFill="accent3"/>
                        <w:noWrap/>
                        <w:hideMark/>
                      </w:tcPr>
                      <w:p w14:paraId="39DF375E" w14:textId="61FCA6F2" w:rsidR="00656EAB" w:rsidRPr="00110631" w:rsidRDefault="00656EAB" w:rsidP="00656EAB">
                        <w:pPr>
                          <w:pStyle w:val="TableText"/>
                          <w:rPr>
                            <w:b/>
                            <w:color w:val="FFFFFF" w:themeColor="background1"/>
                          </w:rPr>
                        </w:pPr>
                        <w:r w:rsidRPr="00110631">
                          <w:rPr>
                            <w:b/>
                            <w:color w:val="FFFFFF" w:themeColor="background1"/>
                          </w:rPr>
                          <w:t xml:space="preserve">SFVS </w:t>
                        </w:r>
                        <w:r w:rsidR="00FE0584">
                          <w:rPr>
                            <w:b/>
                            <w:color w:val="FFFFFF" w:themeColor="background1"/>
                          </w:rPr>
                          <w:t>(including 4AP2)</w:t>
                        </w:r>
                      </w:p>
                    </w:tc>
                    <w:tc>
                      <w:tcPr>
                        <w:tcW w:w="1335" w:type="dxa"/>
                        <w:shd w:val="clear" w:color="auto" w:fill="007E00" w:themeFill="accent3"/>
                        <w:noWrap/>
                        <w:hideMark/>
                      </w:tcPr>
                      <w:p w14:paraId="435BDF4C" w14:textId="77777777" w:rsidR="00656EAB" w:rsidRPr="00110631" w:rsidRDefault="00656EAB" w:rsidP="00656EAB">
                        <w:pPr>
                          <w:pStyle w:val="TableText"/>
                          <w:rPr>
                            <w:b/>
                            <w:color w:val="FFFFFF" w:themeColor="background1"/>
                          </w:rPr>
                        </w:pPr>
                        <w:r w:rsidRPr="00110631">
                          <w:rPr>
                            <w:b/>
                            <w:color w:val="FFFFFF" w:themeColor="background1"/>
                          </w:rPr>
                          <w:t>MBCP</w:t>
                        </w:r>
                      </w:p>
                    </w:tc>
                    <w:tc>
                      <w:tcPr>
                        <w:tcW w:w="1383" w:type="dxa"/>
                        <w:shd w:val="clear" w:color="auto" w:fill="007E00" w:themeFill="accent3"/>
                        <w:noWrap/>
                        <w:hideMark/>
                      </w:tcPr>
                      <w:p w14:paraId="369251C2" w14:textId="77777777" w:rsidR="00656EAB" w:rsidRPr="00110631" w:rsidRDefault="00656EAB" w:rsidP="00656EAB">
                        <w:pPr>
                          <w:pStyle w:val="TableText"/>
                          <w:rPr>
                            <w:b/>
                            <w:color w:val="FFFFFF" w:themeColor="background1"/>
                          </w:rPr>
                        </w:pPr>
                        <w:r w:rsidRPr="00110631">
                          <w:rPr>
                            <w:b/>
                            <w:color w:val="FFFFFF" w:themeColor="background1"/>
                          </w:rPr>
                          <w:t>CSC</w:t>
                        </w:r>
                      </w:p>
                    </w:tc>
                    <w:tc>
                      <w:tcPr>
                        <w:tcW w:w="2083" w:type="dxa"/>
                        <w:shd w:val="clear" w:color="auto" w:fill="007E00" w:themeFill="accent3"/>
                        <w:noWrap/>
                        <w:hideMark/>
                      </w:tcPr>
                      <w:p w14:paraId="26574F94" w14:textId="0E72151A" w:rsidR="00656EAB" w:rsidRPr="00110631" w:rsidRDefault="00F70532" w:rsidP="00656EAB">
                        <w:pPr>
                          <w:pStyle w:val="TableText"/>
                          <w:rPr>
                            <w:b/>
                            <w:color w:val="FFFFFF" w:themeColor="background1"/>
                            <w:lang w:val="en-NZ"/>
                          </w:rPr>
                        </w:pPr>
                        <w:r w:rsidRPr="00110631">
                          <w:rPr>
                            <w:b/>
                            <w:color w:val="FFFFFF" w:themeColor="text1"/>
                            <w:lang w:val="en-NZ"/>
                          </w:rPr>
                          <w:t>MensLine</w:t>
                        </w:r>
                      </w:p>
                    </w:tc>
                  </w:tr>
                  <w:tr w:rsidR="00F70532" w:rsidRPr="00656EAB" w14:paraId="03B8D98F" w14:textId="77777777" w:rsidTr="00321BC5">
                    <w:trPr>
                      <w:trHeight w:val="290"/>
                    </w:trPr>
                    <w:tc>
                      <w:tcPr>
                        <w:tcW w:w="1127" w:type="dxa"/>
                        <w:noWrap/>
                        <w:hideMark/>
                      </w:tcPr>
                      <w:p w14:paraId="2607B4B0" w14:textId="3BA03B4E" w:rsidR="00656EAB" w:rsidRPr="004C0DB0" w:rsidRDefault="00656EAB" w:rsidP="00656EAB">
                        <w:pPr>
                          <w:pStyle w:val="TableText"/>
                          <w:rPr>
                            <w:b/>
                          </w:rPr>
                        </w:pPr>
                        <w:r w:rsidRPr="004C0DB0">
                          <w:rPr>
                            <w:b/>
                          </w:rPr>
                          <w:t>2021-</w:t>
                        </w:r>
                        <w:r w:rsidR="00685D50" w:rsidRPr="004C0DB0">
                          <w:rPr>
                            <w:b/>
                          </w:rPr>
                          <w:t>2</w:t>
                        </w:r>
                        <w:r w:rsidRPr="004C0DB0">
                          <w:rPr>
                            <w:b/>
                          </w:rPr>
                          <w:t>2</w:t>
                        </w:r>
                      </w:p>
                    </w:tc>
                    <w:tc>
                      <w:tcPr>
                        <w:tcW w:w="1687" w:type="dxa"/>
                        <w:noWrap/>
                        <w:hideMark/>
                      </w:tcPr>
                      <w:p w14:paraId="24EED295" w14:textId="77777777" w:rsidR="00656EAB" w:rsidRDefault="00656EAB" w:rsidP="00656EAB">
                        <w:pPr>
                          <w:pStyle w:val="TableText"/>
                        </w:pPr>
                        <w:r w:rsidRPr="00656EAB">
                          <w:t>$80,614,137</w:t>
                        </w:r>
                      </w:p>
                      <w:p w14:paraId="10AB87E7" w14:textId="77777777" w:rsidR="00656EAB" w:rsidRPr="00656EAB" w:rsidRDefault="00656EAB" w:rsidP="00656EAB">
                        <w:pPr>
                          <w:pStyle w:val="TableText"/>
                        </w:pPr>
                      </w:p>
                    </w:tc>
                    <w:tc>
                      <w:tcPr>
                        <w:tcW w:w="1404" w:type="dxa"/>
                        <w:noWrap/>
                        <w:hideMark/>
                      </w:tcPr>
                      <w:p w14:paraId="1F8952BB" w14:textId="77777777" w:rsidR="00656EAB" w:rsidRPr="00656EAB" w:rsidRDefault="00656EAB" w:rsidP="00656EAB">
                        <w:pPr>
                          <w:pStyle w:val="TableText"/>
                        </w:pPr>
                        <w:r w:rsidRPr="00656EAB">
                          <w:t>$9,409,094</w:t>
                        </w:r>
                      </w:p>
                    </w:tc>
                    <w:tc>
                      <w:tcPr>
                        <w:tcW w:w="1335" w:type="dxa"/>
                        <w:noWrap/>
                        <w:hideMark/>
                      </w:tcPr>
                      <w:p w14:paraId="7237910B" w14:textId="77777777" w:rsidR="00656EAB" w:rsidRPr="00656EAB" w:rsidRDefault="00656EAB" w:rsidP="00656EAB">
                        <w:pPr>
                          <w:pStyle w:val="TableText"/>
                        </w:pPr>
                        <w:r w:rsidRPr="00656EAB">
                          <w:t>$941,547</w:t>
                        </w:r>
                      </w:p>
                    </w:tc>
                    <w:tc>
                      <w:tcPr>
                        <w:tcW w:w="1383" w:type="dxa"/>
                        <w:noWrap/>
                        <w:hideMark/>
                      </w:tcPr>
                      <w:p w14:paraId="58C44D47" w14:textId="77777777" w:rsidR="00656EAB" w:rsidRPr="00656EAB" w:rsidRDefault="00656EAB" w:rsidP="00656EAB">
                        <w:pPr>
                          <w:pStyle w:val="TableText"/>
                        </w:pPr>
                        <w:r w:rsidRPr="00656EAB">
                          <w:t>$1,774,768</w:t>
                        </w:r>
                      </w:p>
                    </w:tc>
                    <w:tc>
                      <w:tcPr>
                        <w:tcW w:w="2083" w:type="dxa"/>
                        <w:noWrap/>
                        <w:hideMark/>
                      </w:tcPr>
                      <w:p w14:paraId="7DD5876A" w14:textId="77777777" w:rsidR="00656EAB" w:rsidRPr="00656EAB" w:rsidRDefault="00656EAB" w:rsidP="00656EAB">
                        <w:pPr>
                          <w:pStyle w:val="TableText"/>
                        </w:pPr>
                        <w:r w:rsidRPr="00656EAB">
                          <w:t>$4,512,178</w:t>
                        </w:r>
                      </w:p>
                    </w:tc>
                  </w:tr>
                  <w:tr w:rsidR="00F70532" w:rsidRPr="00656EAB" w14:paraId="5127A354" w14:textId="77777777" w:rsidTr="00321BC5">
                    <w:trPr>
                      <w:trHeight w:val="290"/>
                    </w:trPr>
                    <w:tc>
                      <w:tcPr>
                        <w:tcW w:w="1127" w:type="dxa"/>
                        <w:noWrap/>
                        <w:hideMark/>
                      </w:tcPr>
                      <w:p w14:paraId="657EF3BA" w14:textId="64538640" w:rsidR="00656EAB" w:rsidRPr="004C0DB0" w:rsidRDefault="00656EAB" w:rsidP="00656EAB">
                        <w:pPr>
                          <w:pStyle w:val="TableText"/>
                          <w:rPr>
                            <w:b/>
                          </w:rPr>
                        </w:pPr>
                        <w:r w:rsidRPr="004C0DB0">
                          <w:rPr>
                            <w:b/>
                          </w:rPr>
                          <w:t>2022-23</w:t>
                        </w:r>
                      </w:p>
                    </w:tc>
                    <w:tc>
                      <w:tcPr>
                        <w:tcW w:w="1687" w:type="dxa"/>
                        <w:noWrap/>
                        <w:hideMark/>
                      </w:tcPr>
                      <w:p w14:paraId="525909ED" w14:textId="77777777" w:rsidR="00656EAB" w:rsidRPr="00656EAB" w:rsidRDefault="00656EAB" w:rsidP="00656EAB">
                        <w:pPr>
                          <w:pStyle w:val="TableText"/>
                        </w:pPr>
                        <w:r w:rsidRPr="00656EAB">
                          <w:t>$88,158,944</w:t>
                        </w:r>
                      </w:p>
                    </w:tc>
                    <w:tc>
                      <w:tcPr>
                        <w:tcW w:w="1404" w:type="dxa"/>
                        <w:noWrap/>
                        <w:hideMark/>
                      </w:tcPr>
                      <w:p w14:paraId="3CDE9D64" w14:textId="77777777" w:rsidR="00656EAB" w:rsidRPr="00656EAB" w:rsidRDefault="00656EAB" w:rsidP="00656EAB">
                        <w:pPr>
                          <w:pStyle w:val="TableText"/>
                        </w:pPr>
                        <w:r w:rsidRPr="00656EAB">
                          <w:t>$12,396,856</w:t>
                        </w:r>
                      </w:p>
                    </w:tc>
                    <w:tc>
                      <w:tcPr>
                        <w:tcW w:w="1335" w:type="dxa"/>
                        <w:noWrap/>
                        <w:hideMark/>
                      </w:tcPr>
                      <w:p w14:paraId="4348EC6E" w14:textId="77777777" w:rsidR="00656EAB" w:rsidRPr="00656EAB" w:rsidRDefault="00656EAB" w:rsidP="00656EAB">
                        <w:pPr>
                          <w:pStyle w:val="TableText"/>
                        </w:pPr>
                        <w:r w:rsidRPr="00656EAB">
                          <w:t>$2,890,671</w:t>
                        </w:r>
                      </w:p>
                    </w:tc>
                    <w:tc>
                      <w:tcPr>
                        <w:tcW w:w="1383" w:type="dxa"/>
                        <w:noWrap/>
                        <w:hideMark/>
                      </w:tcPr>
                      <w:p w14:paraId="5FA30F67" w14:textId="77777777" w:rsidR="00656EAB" w:rsidRPr="00656EAB" w:rsidRDefault="00656EAB" w:rsidP="00656EAB">
                        <w:pPr>
                          <w:pStyle w:val="TableText"/>
                        </w:pPr>
                        <w:r w:rsidRPr="00656EAB">
                          <w:t>$4,161,309</w:t>
                        </w:r>
                      </w:p>
                    </w:tc>
                    <w:tc>
                      <w:tcPr>
                        <w:tcW w:w="2083" w:type="dxa"/>
                        <w:noWrap/>
                        <w:hideMark/>
                      </w:tcPr>
                      <w:p w14:paraId="0D92BB49" w14:textId="77777777" w:rsidR="00656EAB" w:rsidRPr="00656EAB" w:rsidRDefault="00656EAB" w:rsidP="00656EAB">
                        <w:pPr>
                          <w:pStyle w:val="TableText"/>
                        </w:pPr>
                        <w:r w:rsidRPr="00656EAB">
                          <w:t>$4,938,285</w:t>
                        </w:r>
                      </w:p>
                    </w:tc>
                  </w:tr>
                  <w:tr w:rsidR="00F70532" w:rsidRPr="00656EAB" w14:paraId="010605EF" w14:textId="77777777" w:rsidTr="00321BC5">
                    <w:trPr>
                      <w:trHeight w:val="290"/>
                    </w:trPr>
                    <w:tc>
                      <w:tcPr>
                        <w:tcW w:w="1127" w:type="dxa"/>
                        <w:noWrap/>
                        <w:hideMark/>
                      </w:tcPr>
                      <w:p w14:paraId="78B1B61D" w14:textId="3AF9678A" w:rsidR="00656EAB" w:rsidRPr="004C0DB0" w:rsidRDefault="00656EAB" w:rsidP="00656EAB">
                        <w:pPr>
                          <w:pStyle w:val="TableText"/>
                          <w:rPr>
                            <w:b/>
                          </w:rPr>
                        </w:pPr>
                        <w:r w:rsidRPr="004C0DB0">
                          <w:rPr>
                            <w:b/>
                          </w:rPr>
                          <w:t>2023-24</w:t>
                        </w:r>
                      </w:p>
                    </w:tc>
                    <w:tc>
                      <w:tcPr>
                        <w:tcW w:w="1687" w:type="dxa"/>
                        <w:noWrap/>
                        <w:hideMark/>
                      </w:tcPr>
                      <w:p w14:paraId="54A46641" w14:textId="77777777" w:rsidR="00656EAB" w:rsidRPr="00656EAB" w:rsidRDefault="00656EAB" w:rsidP="00656EAB">
                        <w:pPr>
                          <w:pStyle w:val="TableText"/>
                        </w:pPr>
                        <w:r w:rsidRPr="00656EAB">
                          <w:t>$91,543,414</w:t>
                        </w:r>
                      </w:p>
                    </w:tc>
                    <w:tc>
                      <w:tcPr>
                        <w:tcW w:w="1404" w:type="dxa"/>
                        <w:noWrap/>
                        <w:hideMark/>
                      </w:tcPr>
                      <w:p w14:paraId="41F39EDC" w14:textId="77777777" w:rsidR="00656EAB" w:rsidRPr="00656EAB" w:rsidRDefault="00656EAB" w:rsidP="00656EAB">
                        <w:pPr>
                          <w:pStyle w:val="TableText"/>
                        </w:pPr>
                        <w:r w:rsidRPr="00656EAB">
                          <w:t>$13,634,178</w:t>
                        </w:r>
                      </w:p>
                    </w:tc>
                    <w:tc>
                      <w:tcPr>
                        <w:tcW w:w="1335" w:type="dxa"/>
                        <w:noWrap/>
                        <w:hideMark/>
                      </w:tcPr>
                      <w:p w14:paraId="3A223032" w14:textId="77777777" w:rsidR="00656EAB" w:rsidRPr="00656EAB" w:rsidRDefault="00656EAB" w:rsidP="00656EAB">
                        <w:pPr>
                          <w:pStyle w:val="TableText"/>
                        </w:pPr>
                        <w:r w:rsidRPr="00656EAB">
                          <w:t>$3,479,270</w:t>
                        </w:r>
                      </w:p>
                    </w:tc>
                    <w:tc>
                      <w:tcPr>
                        <w:tcW w:w="1383" w:type="dxa"/>
                        <w:noWrap/>
                        <w:hideMark/>
                      </w:tcPr>
                      <w:p w14:paraId="4C9FB293" w14:textId="77777777" w:rsidR="00656EAB" w:rsidRPr="00656EAB" w:rsidRDefault="00656EAB" w:rsidP="00656EAB">
                        <w:pPr>
                          <w:pStyle w:val="TableText"/>
                        </w:pPr>
                        <w:r w:rsidRPr="00656EAB">
                          <w:t>$4,951,622</w:t>
                        </w:r>
                      </w:p>
                    </w:tc>
                    <w:tc>
                      <w:tcPr>
                        <w:tcW w:w="2083" w:type="dxa"/>
                        <w:noWrap/>
                        <w:hideMark/>
                      </w:tcPr>
                      <w:p w14:paraId="25928506" w14:textId="77777777" w:rsidR="00656EAB" w:rsidRPr="00656EAB" w:rsidRDefault="00656EAB" w:rsidP="00656EAB">
                        <w:pPr>
                          <w:pStyle w:val="TableText"/>
                        </w:pPr>
                        <w:r w:rsidRPr="00656EAB">
                          <w:t>$4,872,510</w:t>
                        </w:r>
                      </w:p>
                    </w:tc>
                  </w:tr>
                  <w:tr w:rsidR="00F70532" w:rsidRPr="00656EAB" w14:paraId="2F40DCA8" w14:textId="77777777" w:rsidTr="00321BC5">
                    <w:trPr>
                      <w:trHeight w:val="290"/>
                    </w:trPr>
                    <w:tc>
                      <w:tcPr>
                        <w:tcW w:w="1127" w:type="dxa"/>
                        <w:noWrap/>
                        <w:hideMark/>
                      </w:tcPr>
                      <w:p w14:paraId="5F1E51A0" w14:textId="34713520" w:rsidR="00656EAB" w:rsidRPr="0078378F" w:rsidRDefault="00656EAB" w:rsidP="00656EAB">
                        <w:pPr>
                          <w:pStyle w:val="TableText"/>
                          <w:rPr>
                            <w:b/>
                          </w:rPr>
                        </w:pPr>
                        <w:r w:rsidRPr="0078378F">
                          <w:rPr>
                            <w:b/>
                          </w:rPr>
                          <w:t xml:space="preserve">Total </w:t>
                        </w:r>
                      </w:p>
                    </w:tc>
                    <w:tc>
                      <w:tcPr>
                        <w:tcW w:w="1687" w:type="dxa"/>
                        <w:noWrap/>
                        <w:hideMark/>
                      </w:tcPr>
                      <w:p w14:paraId="292E62FC" w14:textId="77777777" w:rsidR="00656EAB" w:rsidRPr="0078378F" w:rsidRDefault="00656EAB" w:rsidP="00656EAB">
                        <w:pPr>
                          <w:pStyle w:val="TableText"/>
                          <w:rPr>
                            <w:b/>
                            <w:bCs/>
                          </w:rPr>
                        </w:pPr>
                        <w:r w:rsidRPr="0078378F">
                          <w:rPr>
                            <w:b/>
                            <w:bCs/>
                          </w:rPr>
                          <w:t>$260,316,495</w:t>
                        </w:r>
                      </w:p>
                    </w:tc>
                    <w:tc>
                      <w:tcPr>
                        <w:tcW w:w="1404" w:type="dxa"/>
                        <w:noWrap/>
                        <w:hideMark/>
                      </w:tcPr>
                      <w:p w14:paraId="73982626" w14:textId="77777777" w:rsidR="00656EAB" w:rsidRPr="0078378F" w:rsidRDefault="00656EAB" w:rsidP="00656EAB">
                        <w:pPr>
                          <w:pStyle w:val="TableText"/>
                          <w:rPr>
                            <w:b/>
                            <w:bCs/>
                          </w:rPr>
                        </w:pPr>
                        <w:r w:rsidRPr="0078378F">
                          <w:rPr>
                            <w:b/>
                            <w:bCs/>
                          </w:rPr>
                          <w:t>$35,440,128</w:t>
                        </w:r>
                      </w:p>
                    </w:tc>
                    <w:tc>
                      <w:tcPr>
                        <w:tcW w:w="1335" w:type="dxa"/>
                        <w:noWrap/>
                        <w:hideMark/>
                      </w:tcPr>
                      <w:p w14:paraId="2EFC8062" w14:textId="77777777" w:rsidR="00656EAB" w:rsidRPr="0078378F" w:rsidRDefault="00656EAB" w:rsidP="00656EAB">
                        <w:pPr>
                          <w:pStyle w:val="TableText"/>
                          <w:rPr>
                            <w:b/>
                            <w:bCs/>
                          </w:rPr>
                        </w:pPr>
                        <w:r w:rsidRPr="0078378F">
                          <w:rPr>
                            <w:b/>
                            <w:bCs/>
                          </w:rPr>
                          <w:t>$7,311,488</w:t>
                        </w:r>
                      </w:p>
                    </w:tc>
                    <w:tc>
                      <w:tcPr>
                        <w:tcW w:w="1383" w:type="dxa"/>
                        <w:noWrap/>
                        <w:hideMark/>
                      </w:tcPr>
                      <w:p w14:paraId="27D5FDC1" w14:textId="77777777" w:rsidR="00656EAB" w:rsidRPr="0078378F" w:rsidRDefault="00656EAB" w:rsidP="00656EAB">
                        <w:pPr>
                          <w:pStyle w:val="TableText"/>
                          <w:rPr>
                            <w:b/>
                            <w:bCs/>
                          </w:rPr>
                        </w:pPr>
                        <w:r w:rsidRPr="0078378F">
                          <w:rPr>
                            <w:b/>
                            <w:bCs/>
                          </w:rPr>
                          <w:t>$10,887,698</w:t>
                        </w:r>
                      </w:p>
                    </w:tc>
                    <w:tc>
                      <w:tcPr>
                        <w:tcW w:w="2083" w:type="dxa"/>
                        <w:noWrap/>
                        <w:hideMark/>
                      </w:tcPr>
                      <w:p w14:paraId="577499E5" w14:textId="77777777" w:rsidR="00656EAB" w:rsidRPr="0078378F" w:rsidRDefault="00656EAB" w:rsidP="00656EAB">
                        <w:pPr>
                          <w:pStyle w:val="TableText"/>
                          <w:rPr>
                            <w:b/>
                            <w:bCs/>
                          </w:rPr>
                        </w:pPr>
                        <w:r w:rsidRPr="0078378F">
                          <w:rPr>
                            <w:b/>
                            <w:bCs/>
                          </w:rPr>
                          <w:t>$14,322,974</w:t>
                        </w:r>
                      </w:p>
                    </w:tc>
                  </w:tr>
                </w:tbl>
                <w:p w14:paraId="188F7E88" w14:textId="330F6899" w:rsidR="00CF076F" w:rsidRPr="00321BC5" w:rsidRDefault="00CF076F" w:rsidP="00D63E8D">
                  <w:pPr>
                    <w:pStyle w:val="Text"/>
                    <w:rPr>
                      <w:i/>
                      <w:iCs/>
                      <w:sz w:val="20"/>
                      <w:szCs w:val="18"/>
                    </w:rPr>
                  </w:pPr>
                  <w:r w:rsidRPr="00321BC5">
                    <w:rPr>
                      <w:i/>
                      <w:iCs/>
                      <w:sz w:val="20"/>
                      <w:szCs w:val="18"/>
                    </w:rPr>
                    <w:t>Source: DEX-GPS data</w:t>
                  </w:r>
                </w:p>
                <w:p w14:paraId="5EE384B5" w14:textId="77777777" w:rsidR="00967ECF" w:rsidRPr="002B78F1" w:rsidRDefault="00967ECF" w:rsidP="00321BC5">
                  <w:pPr>
                    <w:pStyle w:val="Text-BodyHeading"/>
                    <w:spacing w:before="360" w:after="240"/>
                  </w:pPr>
                  <w:r w:rsidRPr="002B78F1">
                    <w:t>FaRS</w:t>
                  </w:r>
                </w:p>
                <w:p w14:paraId="07AA0B3E" w14:textId="58690FF0" w:rsidR="00066FF4" w:rsidRPr="009107E8" w:rsidRDefault="00066FF4" w:rsidP="003371DC">
                  <w:pPr>
                    <w:pStyle w:val="Text"/>
                    <w:rPr>
                      <w:bCs/>
                      <w:lang w:val="en-GB"/>
                    </w:rPr>
                  </w:pPr>
                  <w:r w:rsidRPr="00066FF4">
                    <w:rPr>
                      <w:lang w:val="en-US"/>
                    </w:rPr>
                    <w:t>FaRS is a large program with increasing funding each year, approximately $80.6 million in 2021-22, $88</w:t>
                  </w:r>
                  <w:r w:rsidRPr="009107E8">
                    <w:rPr>
                      <w:lang w:val="en-US"/>
                    </w:rPr>
                    <w:t xml:space="preserve">.2 million in 2022-23, and $91.5 million in 2023-24 (total allocated activity base expenditure) </w:t>
                  </w:r>
                  <w:r w:rsidRPr="00321BC5">
                    <w:rPr>
                      <w:lang w:val="en-US"/>
                    </w:rPr>
                    <w:t>(</w:t>
                  </w:r>
                  <w:r w:rsidR="000A5EA9" w:rsidRPr="00321BC5">
                    <w:rPr>
                      <w:lang w:val="en-US"/>
                    </w:rPr>
                    <w:t>see</w:t>
                  </w:r>
                  <w:r w:rsidR="000A5EA9" w:rsidRPr="007C6029">
                    <w:rPr>
                      <w:b/>
                      <w:bCs/>
                      <w:lang w:val="en-US"/>
                    </w:rPr>
                    <w:t xml:space="preserve"> </w:t>
                  </w:r>
                  <w:r w:rsidR="000A5EA9" w:rsidRPr="007C6029">
                    <w:rPr>
                      <w:b/>
                      <w:bCs/>
                      <w:lang w:val="en-US"/>
                    </w:rPr>
                    <w:fldChar w:fldCharType="begin" w:fldLock="1"/>
                  </w:r>
                  <w:r w:rsidR="000A5EA9" w:rsidRPr="007C6029">
                    <w:rPr>
                      <w:b/>
                      <w:bCs/>
                      <w:lang w:val="en-US"/>
                    </w:rPr>
                    <w:instrText xml:space="preserve"> REF _Ref208234709 \h  \* MERGEFORMAT </w:instrText>
                  </w:r>
                  <w:r w:rsidR="000A5EA9" w:rsidRPr="007C6029">
                    <w:rPr>
                      <w:b/>
                      <w:bCs/>
                      <w:lang w:val="en-US"/>
                    </w:rPr>
                  </w:r>
                  <w:r w:rsidR="000A5EA9" w:rsidRPr="007C6029">
                    <w:rPr>
                      <w:b/>
                      <w:bCs/>
                      <w:lang w:val="en-US"/>
                    </w:rPr>
                    <w:fldChar w:fldCharType="separate"/>
                  </w:r>
                  <w:r w:rsidR="008F22E5" w:rsidRPr="00671DC9">
                    <w:rPr>
                      <w:b/>
                      <w:bCs/>
                    </w:rPr>
                    <w:t>Table</w:t>
                  </w:r>
                  <w:r w:rsidR="008F22E5" w:rsidRPr="008F22E5">
                    <w:t xml:space="preserve"> </w:t>
                  </w:r>
                  <w:r w:rsidR="008F22E5" w:rsidRPr="008F22E5">
                    <w:rPr>
                      <w:b/>
                    </w:rPr>
                    <w:t>6</w:t>
                  </w:r>
                  <w:r w:rsidR="000A5EA9" w:rsidRPr="007C6029">
                    <w:rPr>
                      <w:b/>
                      <w:bCs/>
                      <w:lang w:val="en-US"/>
                    </w:rPr>
                    <w:fldChar w:fldCharType="end"/>
                  </w:r>
                  <w:r w:rsidRPr="00321BC5">
                    <w:rPr>
                      <w:lang w:val="en-US"/>
                    </w:rPr>
                    <w:t>).</w:t>
                  </w:r>
                  <w:r w:rsidRPr="009107E8">
                    <w:rPr>
                      <w:lang w:val="en-US"/>
                    </w:rPr>
                    <w:t xml:space="preserve"> This growth reflects continued investment in family support services. Around 82 </w:t>
                  </w:r>
                  <w:r w:rsidR="009C4AF1" w:rsidRPr="009107E8">
                    <w:rPr>
                      <w:lang w:val="en-US"/>
                    </w:rPr>
                    <w:t>service providers</w:t>
                  </w:r>
                  <w:r w:rsidRPr="009107E8">
                    <w:rPr>
                      <w:lang w:val="en-US"/>
                    </w:rPr>
                    <w:t xml:space="preserve"> delivered FaRS in 2021-22, rising to 83 in 2022-23 and 84 in 2023-24. These included Relationships Australia, Anglicare, CatholicCare</w:t>
                  </w:r>
                  <w:r w:rsidR="00FA33A0" w:rsidRPr="009107E8">
                    <w:rPr>
                      <w:lang w:val="en-US"/>
                    </w:rPr>
                    <w:t>,</w:t>
                  </w:r>
                  <w:r w:rsidRPr="009107E8">
                    <w:rPr>
                      <w:lang w:val="en-US"/>
                    </w:rPr>
                    <w:t xml:space="preserve"> and others across all states</w:t>
                  </w:r>
                  <w:r w:rsidR="00A833BB" w:rsidRPr="009107E8">
                    <w:rPr>
                      <w:lang w:val="en-US"/>
                    </w:rPr>
                    <w:t xml:space="preserve"> and territories</w:t>
                  </w:r>
                  <w:r w:rsidRPr="009107E8">
                    <w:rPr>
                      <w:lang w:val="en-US"/>
                    </w:rPr>
                    <w:t>, ensuring broad coverage.</w:t>
                  </w:r>
                </w:p>
                <w:p w14:paraId="3A85D279" w14:textId="6A1F37FA" w:rsidR="00066FF4" w:rsidRPr="009107E8" w:rsidRDefault="00066FF4" w:rsidP="00321BC5">
                  <w:pPr>
                    <w:pStyle w:val="Text-BodyHeading"/>
                    <w:spacing w:before="360" w:after="240"/>
                  </w:pPr>
                  <w:r w:rsidRPr="00321BC5">
                    <w:t>SFVS</w:t>
                  </w:r>
                  <w:r w:rsidRPr="009107E8">
                    <w:t xml:space="preserve"> </w:t>
                  </w:r>
                </w:p>
                <w:p w14:paraId="7819AEA9" w14:textId="69B1D593" w:rsidR="00066FF4" w:rsidRPr="00066FF4" w:rsidRDefault="00A833BB" w:rsidP="003371DC">
                  <w:pPr>
                    <w:pStyle w:val="Text"/>
                    <w:rPr>
                      <w:lang w:val="en-US"/>
                    </w:rPr>
                  </w:pPr>
                  <w:r w:rsidRPr="009107E8">
                    <w:rPr>
                      <w:lang w:val="en-US"/>
                    </w:rPr>
                    <w:t xml:space="preserve">Funding for </w:t>
                  </w:r>
                  <w:r w:rsidR="00066FF4" w:rsidRPr="009107E8">
                    <w:rPr>
                      <w:lang w:val="en-US"/>
                    </w:rPr>
                    <w:t xml:space="preserve">SFVS </w:t>
                  </w:r>
                  <w:r w:rsidRPr="009107E8">
                    <w:rPr>
                      <w:lang w:val="en-US"/>
                    </w:rPr>
                    <w:t>grew</w:t>
                  </w:r>
                  <w:r w:rsidR="00066FF4" w:rsidRPr="009107E8">
                    <w:rPr>
                      <w:lang w:val="en-US"/>
                    </w:rPr>
                    <w:t xml:space="preserve"> over the three-year period 2021-22 to 2023-24. In 2021-22, SFVS expenditure was about $9.4 </w:t>
                  </w:r>
                  <w:r w:rsidR="00AC581B" w:rsidRPr="009107E8">
                    <w:rPr>
                      <w:lang w:val="en-US"/>
                    </w:rPr>
                    <w:t>million,</w:t>
                  </w:r>
                  <w:r w:rsidR="00066FF4" w:rsidRPr="009107E8">
                    <w:rPr>
                      <w:lang w:val="en-US"/>
                    </w:rPr>
                    <w:t xml:space="preserve"> increasing to $12.4 million in 2022-23 and further to $13.6 million in 2023-24 as additional services came online </w:t>
                  </w:r>
                  <w:r w:rsidR="000A5EA9" w:rsidRPr="00321BC5">
                    <w:rPr>
                      <w:lang w:val="en-US"/>
                    </w:rPr>
                    <w:t xml:space="preserve">(see </w:t>
                  </w:r>
                  <w:r w:rsidR="000A5EA9" w:rsidRPr="00321BC5">
                    <w:rPr>
                      <w:b/>
                      <w:bCs/>
                      <w:lang w:val="en-US"/>
                    </w:rPr>
                    <w:fldChar w:fldCharType="begin" w:fldLock="1"/>
                  </w:r>
                  <w:r w:rsidR="000A5EA9" w:rsidRPr="00321BC5">
                    <w:rPr>
                      <w:b/>
                      <w:bCs/>
                      <w:lang w:val="en-US"/>
                    </w:rPr>
                    <w:instrText xml:space="preserve"> REF _Ref208234709 \h  \* MERGEFORMAT </w:instrText>
                  </w:r>
                  <w:r w:rsidR="000A5EA9" w:rsidRPr="00321BC5">
                    <w:rPr>
                      <w:b/>
                      <w:bCs/>
                      <w:lang w:val="en-US"/>
                    </w:rPr>
                  </w:r>
                  <w:r w:rsidR="000A5EA9" w:rsidRPr="00321BC5">
                    <w:rPr>
                      <w:b/>
                      <w:bCs/>
                      <w:lang w:val="en-US"/>
                    </w:rPr>
                    <w:fldChar w:fldCharType="separate"/>
                  </w:r>
                  <w:r w:rsidR="008F22E5" w:rsidRPr="00671DC9">
                    <w:rPr>
                      <w:b/>
                      <w:bCs/>
                    </w:rPr>
                    <w:t>Table</w:t>
                  </w:r>
                  <w:r w:rsidR="008F22E5" w:rsidRPr="008F22E5">
                    <w:t xml:space="preserve"> </w:t>
                  </w:r>
                  <w:r w:rsidR="008F22E5" w:rsidRPr="008F22E5">
                    <w:rPr>
                      <w:b/>
                    </w:rPr>
                    <w:t>6</w:t>
                  </w:r>
                  <w:r w:rsidR="000A5EA9" w:rsidRPr="00321BC5">
                    <w:rPr>
                      <w:b/>
                      <w:bCs/>
                      <w:lang w:val="en-US"/>
                    </w:rPr>
                    <w:fldChar w:fldCharType="end"/>
                  </w:r>
                  <w:r w:rsidR="000A5EA9" w:rsidRPr="00321BC5">
                    <w:rPr>
                      <w:lang w:val="en-US"/>
                    </w:rPr>
                    <w:t>).</w:t>
                  </w:r>
                  <w:r w:rsidR="000A5EA9" w:rsidRPr="009107E8">
                    <w:rPr>
                      <w:lang w:val="en-US"/>
                    </w:rPr>
                    <w:t xml:space="preserve"> </w:t>
                  </w:r>
                  <w:r w:rsidR="00066FF4" w:rsidRPr="009107E8">
                    <w:rPr>
                      <w:lang w:val="en-US"/>
                    </w:rPr>
                    <w:t>The large increase after 2021-22 indicates a major scale-up of SFVS activities and coverage. SFVS was delivered by 37</w:t>
                  </w:r>
                  <w:r w:rsidR="00066FF4" w:rsidRPr="009107E8" w:rsidDel="002B78F1">
                    <w:rPr>
                      <w:lang w:val="en-US"/>
                    </w:rPr>
                    <w:t xml:space="preserve"> </w:t>
                  </w:r>
                  <w:r w:rsidR="006544A3" w:rsidRPr="009107E8">
                    <w:rPr>
                      <w:lang w:val="en-US"/>
                    </w:rPr>
                    <w:t>service providers</w:t>
                  </w:r>
                  <w:r w:rsidR="00066FF4" w:rsidRPr="009107E8">
                    <w:rPr>
                      <w:lang w:val="en-US"/>
                    </w:rPr>
                    <w:t xml:space="preserve"> in 2021-22, increasing to 3</w:t>
                  </w:r>
                  <w:r w:rsidR="00E13A0B" w:rsidRPr="009107E8">
                    <w:rPr>
                      <w:lang w:val="en-US"/>
                    </w:rPr>
                    <w:t>8</w:t>
                  </w:r>
                  <w:r w:rsidR="00066FF4" w:rsidRPr="009107E8">
                    <w:rPr>
                      <w:lang w:val="en-US"/>
                    </w:rPr>
                    <w:t xml:space="preserve"> </w:t>
                  </w:r>
                  <w:r w:rsidR="006544A3" w:rsidRPr="009107E8">
                    <w:rPr>
                      <w:lang w:val="en-US"/>
                    </w:rPr>
                    <w:t xml:space="preserve">service providers </w:t>
                  </w:r>
                  <w:r w:rsidR="00066FF4" w:rsidRPr="009107E8">
                    <w:rPr>
                      <w:lang w:val="en-US"/>
                    </w:rPr>
                    <w:t>in</w:t>
                  </w:r>
                  <w:r w:rsidR="00066FF4" w:rsidRPr="00066FF4">
                    <w:rPr>
                      <w:lang w:val="en-US"/>
                    </w:rPr>
                    <w:t xml:space="preserve"> both 2022-23 and 2023-24. Many FaRS </w:t>
                  </w:r>
                  <w:r w:rsidR="006544A3">
                    <w:rPr>
                      <w:lang w:val="en-US"/>
                    </w:rPr>
                    <w:t>service providers</w:t>
                  </w:r>
                  <w:r w:rsidR="006544A3" w:rsidRPr="00066FF4">
                    <w:rPr>
                      <w:lang w:val="en-US"/>
                    </w:rPr>
                    <w:t xml:space="preserve"> </w:t>
                  </w:r>
                  <w:r w:rsidR="00066FF4" w:rsidRPr="00066FF4">
                    <w:rPr>
                      <w:lang w:val="en-US"/>
                    </w:rPr>
                    <w:t xml:space="preserve">also ran SFVS </w:t>
                  </w:r>
                  <w:r w:rsidR="008F00CA">
                    <w:rPr>
                      <w:lang w:val="en-US"/>
                    </w:rPr>
                    <w:t>programs</w:t>
                  </w:r>
                  <w:r w:rsidR="00066FF4" w:rsidRPr="00066FF4">
                    <w:rPr>
                      <w:lang w:val="en-US"/>
                    </w:rPr>
                    <w:t xml:space="preserve">. The slight increase corresponds to new </w:t>
                  </w:r>
                  <w:r w:rsidR="006544A3">
                    <w:rPr>
                      <w:lang w:val="en-US"/>
                    </w:rPr>
                    <w:t>service providers</w:t>
                  </w:r>
                  <w:r w:rsidR="006544A3" w:rsidRPr="00066FF4">
                    <w:rPr>
                      <w:lang w:val="en-US"/>
                    </w:rPr>
                    <w:t xml:space="preserve"> </w:t>
                  </w:r>
                  <w:r w:rsidR="00066FF4" w:rsidRPr="00066FF4">
                    <w:rPr>
                      <w:lang w:val="en-US"/>
                    </w:rPr>
                    <w:t>funded under the 4AP</w:t>
                  </w:r>
                  <w:r w:rsidR="006544A3">
                    <w:rPr>
                      <w:lang w:val="en-US"/>
                    </w:rPr>
                    <w:t>2</w:t>
                  </w:r>
                  <w:r w:rsidR="00066FF4" w:rsidRPr="00066FF4">
                    <w:rPr>
                      <w:lang w:val="en-US"/>
                    </w:rPr>
                    <w:t xml:space="preserve"> initiative or expansion to additional regions. By 2022–23, SFVS </w:t>
                  </w:r>
                  <w:r w:rsidR="006544A3">
                    <w:rPr>
                      <w:lang w:val="en-US"/>
                    </w:rPr>
                    <w:t>service providers</w:t>
                  </w:r>
                  <w:r w:rsidR="006544A3" w:rsidRPr="00066FF4">
                    <w:rPr>
                      <w:lang w:val="en-US"/>
                    </w:rPr>
                    <w:t xml:space="preserve"> </w:t>
                  </w:r>
                  <w:r w:rsidR="00066FF4" w:rsidRPr="00066FF4">
                    <w:rPr>
                      <w:lang w:val="en-US"/>
                    </w:rPr>
                    <w:t>were present in every state</w:t>
                  </w:r>
                  <w:r w:rsidR="009C4AF1">
                    <w:rPr>
                      <w:lang w:val="en-US"/>
                    </w:rPr>
                    <w:t xml:space="preserve"> and </w:t>
                  </w:r>
                  <w:r w:rsidR="00066FF4" w:rsidRPr="00066FF4">
                    <w:rPr>
                      <w:lang w:val="en-US"/>
                    </w:rPr>
                    <w:t xml:space="preserve">territory, </w:t>
                  </w:r>
                  <w:r w:rsidR="00585580">
                    <w:rPr>
                      <w:lang w:val="en-US"/>
                    </w:rPr>
                    <w:t>al</w:t>
                  </w:r>
                  <w:r w:rsidR="00066FF4" w:rsidRPr="00066FF4">
                    <w:rPr>
                      <w:lang w:val="en-US"/>
                    </w:rPr>
                    <w:t xml:space="preserve">though </w:t>
                  </w:r>
                  <w:r w:rsidR="00585580">
                    <w:rPr>
                      <w:lang w:val="en-US"/>
                    </w:rPr>
                    <w:t>services are</w:t>
                  </w:r>
                  <w:r w:rsidR="00066FF4" w:rsidRPr="00066FF4">
                    <w:rPr>
                      <w:lang w:val="en-US"/>
                    </w:rPr>
                    <w:t xml:space="preserve"> targeted to areas </w:t>
                  </w:r>
                  <w:r w:rsidR="00585580">
                    <w:rPr>
                      <w:lang w:val="en-US"/>
                    </w:rPr>
                    <w:t xml:space="preserve">with identified </w:t>
                  </w:r>
                  <w:r w:rsidR="00066FF4" w:rsidRPr="00066FF4">
                    <w:rPr>
                      <w:lang w:val="en-US"/>
                    </w:rPr>
                    <w:t>need (e.g. regions with high family violence rates).</w:t>
                  </w:r>
                </w:p>
                <w:p w14:paraId="6022CC74" w14:textId="77777777" w:rsidR="00967ECF" w:rsidRPr="002B78F1" w:rsidRDefault="00967ECF" w:rsidP="00321BC5">
                  <w:pPr>
                    <w:pStyle w:val="Text-BodyHeading"/>
                    <w:spacing w:before="360" w:after="240"/>
                  </w:pPr>
                  <w:r w:rsidRPr="002B78F1">
                    <w:t>MBCP</w:t>
                  </w:r>
                </w:p>
                <w:p w14:paraId="5976E68F" w14:textId="008E6762" w:rsidR="00E70F13" w:rsidRPr="002B78F1" w:rsidRDefault="00967ECF" w:rsidP="00967ECF">
                  <w:pPr>
                    <w:pStyle w:val="Text"/>
                    <w:rPr>
                      <w:lang w:val="en-US"/>
                    </w:rPr>
                  </w:pPr>
                  <w:r w:rsidRPr="002B78F1">
                    <w:rPr>
                      <w:lang w:val="en-US"/>
                    </w:rPr>
                    <w:lastRenderedPageBreak/>
                    <w:t xml:space="preserve">Funding for </w:t>
                  </w:r>
                  <w:r>
                    <w:rPr>
                      <w:lang w:val="en-US"/>
                    </w:rPr>
                    <w:t>8</w:t>
                  </w:r>
                  <w:r w:rsidRPr="002B78F1">
                    <w:rPr>
                      <w:lang w:val="en-US"/>
                    </w:rPr>
                    <w:t xml:space="preserve"> MBCP initiatives grew significantly over the </w:t>
                  </w:r>
                  <w:r>
                    <w:rPr>
                      <w:lang w:val="en-US"/>
                    </w:rPr>
                    <w:t>three-year period</w:t>
                  </w:r>
                  <w:r w:rsidR="003B3379">
                    <w:rPr>
                      <w:lang w:val="en-US"/>
                    </w:rPr>
                    <w:t xml:space="preserve"> from 2021 to 2024</w:t>
                  </w:r>
                  <w:r w:rsidRPr="002B78F1">
                    <w:rPr>
                      <w:lang w:val="en-US"/>
                    </w:rPr>
                    <w:t xml:space="preserve">. In 2021-22, the combined MBCP funding was </w:t>
                  </w:r>
                  <w:r w:rsidR="009C4AF1">
                    <w:rPr>
                      <w:lang w:val="en-US"/>
                    </w:rPr>
                    <w:t>approximately</w:t>
                  </w:r>
                  <w:r w:rsidR="009C4AF1" w:rsidRPr="002B78F1">
                    <w:rPr>
                      <w:lang w:val="en-US"/>
                    </w:rPr>
                    <w:t xml:space="preserve"> </w:t>
                  </w:r>
                  <w:r w:rsidRPr="002B78F1">
                    <w:rPr>
                      <w:lang w:val="en-US"/>
                    </w:rPr>
                    <w:t>$0.9 million. This expanded to $2.9 million in 2022-23 and $3.5 million in 2023-24</w:t>
                  </w:r>
                  <w:r w:rsidR="00066FF4">
                    <w:rPr>
                      <w:lang w:val="en-US"/>
                    </w:rPr>
                    <w:t xml:space="preserve"> </w:t>
                  </w:r>
                  <w:r w:rsidR="000A5EA9" w:rsidRPr="00321BC5">
                    <w:rPr>
                      <w:lang w:val="en-US"/>
                    </w:rPr>
                    <w:t xml:space="preserve">(see </w:t>
                  </w:r>
                  <w:r w:rsidR="000A5EA9" w:rsidRPr="00321BC5">
                    <w:rPr>
                      <w:b/>
                      <w:lang w:val="en-US"/>
                    </w:rPr>
                    <w:fldChar w:fldCharType="begin" w:fldLock="1"/>
                  </w:r>
                  <w:r w:rsidR="000A5EA9" w:rsidRPr="00321BC5">
                    <w:rPr>
                      <w:b/>
                      <w:lang w:val="en-US"/>
                    </w:rPr>
                    <w:instrText xml:space="preserve"> REF _Ref208234709 \h  \* MERGEFORMAT </w:instrText>
                  </w:r>
                  <w:r w:rsidR="000A5EA9" w:rsidRPr="00321BC5">
                    <w:rPr>
                      <w:b/>
                      <w:lang w:val="en-US"/>
                    </w:rPr>
                  </w:r>
                  <w:r w:rsidR="000A5EA9" w:rsidRPr="00321BC5">
                    <w:rPr>
                      <w:b/>
                      <w:lang w:val="en-US"/>
                    </w:rPr>
                    <w:fldChar w:fldCharType="separate"/>
                  </w:r>
                  <w:r w:rsidR="008F22E5" w:rsidRPr="00671DC9">
                    <w:rPr>
                      <w:b/>
                      <w:bCs/>
                    </w:rPr>
                    <w:t>Table</w:t>
                  </w:r>
                  <w:r w:rsidR="008F22E5" w:rsidRPr="008F22E5">
                    <w:t xml:space="preserve"> </w:t>
                  </w:r>
                  <w:r w:rsidR="008F22E5" w:rsidRPr="008F22E5">
                    <w:rPr>
                      <w:b/>
                    </w:rPr>
                    <w:t>6</w:t>
                  </w:r>
                  <w:r w:rsidR="000A5EA9" w:rsidRPr="00321BC5">
                    <w:rPr>
                      <w:b/>
                      <w:lang w:val="en-US"/>
                    </w:rPr>
                    <w:fldChar w:fldCharType="end"/>
                  </w:r>
                  <w:r w:rsidR="000A5EA9" w:rsidRPr="00321BC5">
                    <w:rPr>
                      <w:lang w:val="en-US"/>
                    </w:rPr>
                    <w:t>).</w:t>
                  </w:r>
                  <w:r w:rsidR="000A5EA9" w:rsidRPr="00066FF4">
                    <w:rPr>
                      <w:lang w:val="en-US"/>
                    </w:rPr>
                    <w:t xml:space="preserve"> </w:t>
                  </w:r>
                  <w:r w:rsidRPr="002B78F1">
                    <w:rPr>
                      <w:lang w:val="en-US"/>
                    </w:rPr>
                    <w:t>The increase corresponds to more programs coming online</w:t>
                  </w:r>
                  <w:r w:rsidR="009C4AF1">
                    <w:rPr>
                      <w:lang w:val="en-US"/>
                    </w:rPr>
                    <w:t>.</w:t>
                  </w:r>
                  <w:r w:rsidR="009C4AF1" w:rsidRPr="002B78F1">
                    <w:rPr>
                      <w:lang w:val="en-US"/>
                    </w:rPr>
                    <w:t xml:space="preserve"> </w:t>
                  </w:r>
                  <w:r w:rsidR="009C4AF1">
                    <w:rPr>
                      <w:lang w:val="en-US"/>
                    </w:rPr>
                    <w:t>I</w:t>
                  </w:r>
                  <w:r w:rsidRPr="002B78F1">
                    <w:rPr>
                      <w:lang w:val="en-US"/>
                    </w:rPr>
                    <w:t xml:space="preserve">n 2021-22 only half of the eventual </w:t>
                  </w:r>
                  <w:r w:rsidR="004C0DAD">
                    <w:rPr>
                      <w:lang w:val="en-US"/>
                    </w:rPr>
                    <w:t>service providers</w:t>
                  </w:r>
                  <w:r w:rsidR="004C0DAD" w:rsidRPr="7DA7AF27">
                    <w:rPr>
                      <w:lang w:val="en-US"/>
                    </w:rPr>
                    <w:t xml:space="preserve"> </w:t>
                  </w:r>
                  <w:r w:rsidRPr="002B78F1">
                    <w:rPr>
                      <w:lang w:val="en-US"/>
                    </w:rPr>
                    <w:t xml:space="preserve">had started. By 2022–23, all </w:t>
                  </w:r>
                  <w:r>
                    <w:rPr>
                      <w:lang w:val="en-US"/>
                    </w:rPr>
                    <w:t>8</w:t>
                  </w:r>
                  <w:r w:rsidR="002756EB">
                    <w:rPr>
                      <w:lang w:val="en-US"/>
                    </w:rPr>
                    <w:t xml:space="preserve"> </w:t>
                  </w:r>
                  <w:r w:rsidR="002756EB" w:rsidRPr="00E6160D">
                    <w:rPr>
                      <w:lang w:val="en-US"/>
                    </w:rPr>
                    <w:t>programs</w:t>
                  </w:r>
                  <w:r w:rsidR="00E6160D">
                    <w:rPr>
                      <w:lang w:val="en-US"/>
                    </w:rPr>
                    <w:t xml:space="preserve"> </w:t>
                  </w:r>
                  <w:r w:rsidRPr="00E6160D">
                    <w:rPr>
                      <w:lang w:val="en-US"/>
                    </w:rPr>
                    <w:t>were</w:t>
                  </w:r>
                  <w:r w:rsidRPr="002B78F1">
                    <w:rPr>
                      <w:lang w:val="en-US"/>
                    </w:rPr>
                    <w:t xml:space="preserve"> running, hence the tripling of funds</w:t>
                  </w:r>
                  <w:r w:rsidRPr="307BF284">
                    <w:rPr>
                      <w:lang w:val="en-US"/>
                    </w:rPr>
                    <w:t xml:space="preserve"> from 2021-22</w:t>
                  </w:r>
                  <w:r w:rsidRPr="002B78F1">
                    <w:rPr>
                      <w:lang w:val="en-US"/>
                    </w:rPr>
                    <w:t xml:space="preserve">. </w:t>
                  </w:r>
                  <w:r w:rsidR="0012217B">
                    <w:rPr>
                      <w:lang w:val="en-US"/>
                    </w:rPr>
                    <w:t>A</w:t>
                  </w:r>
                  <w:r w:rsidRPr="002B78F1">
                    <w:rPr>
                      <w:lang w:val="en-US"/>
                    </w:rPr>
                    <w:t>n additional 2</w:t>
                  </w:r>
                  <w:r w:rsidRPr="558BB011">
                    <w:rPr>
                      <w:lang w:val="en-US"/>
                    </w:rPr>
                    <w:t xml:space="preserve"> </w:t>
                  </w:r>
                  <w:r w:rsidR="004C0DAD">
                    <w:rPr>
                      <w:lang w:val="en-US"/>
                    </w:rPr>
                    <w:t>service providers</w:t>
                  </w:r>
                  <w:r w:rsidR="004C0DAD" w:rsidRPr="7DA7AF27">
                    <w:rPr>
                      <w:lang w:val="en-US"/>
                    </w:rPr>
                    <w:t xml:space="preserve"> </w:t>
                  </w:r>
                  <w:r w:rsidRPr="002B78F1">
                    <w:rPr>
                      <w:lang w:val="en-US"/>
                    </w:rPr>
                    <w:t xml:space="preserve">were active at the end of </w:t>
                  </w:r>
                  <w:r w:rsidR="0012217B">
                    <w:rPr>
                      <w:lang w:val="en-US"/>
                    </w:rPr>
                    <w:t xml:space="preserve">the </w:t>
                  </w:r>
                  <w:r w:rsidRPr="002B78F1">
                    <w:rPr>
                      <w:lang w:val="en-US"/>
                    </w:rPr>
                    <w:t xml:space="preserve">2024 calendar year but are not included in this analysis as they are outside of the GPS – DEX data extract time frame. The continued increase into 2023-24 reflects program expansions and possibly higher unit costs for these intensive services. </w:t>
                  </w:r>
                  <w:r w:rsidR="00E70F13">
                    <w:rPr>
                      <w:lang w:val="en-US"/>
                    </w:rPr>
                    <w:t>MBCP</w:t>
                  </w:r>
                  <w:r w:rsidRPr="558BB011">
                    <w:rPr>
                      <w:lang w:val="en-US"/>
                    </w:rPr>
                    <w:t xml:space="preserve"> </w:t>
                  </w:r>
                  <w:r w:rsidR="004C0DAD">
                    <w:rPr>
                      <w:lang w:val="en-US"/>
                    </w:rPr>
                    <w:t>service providers</w:t>
                  </w:r>
                  <w:r w:rsidR="004C0DAD" w:rsidRPr="7DA7AF27">
                    <w:rPr>
                      <w:lang w:val="en-US"/>
                    </w:rPr>
                    <w:t xml:space="preserve"> </w:t>
                  </w:r>
                  <w:r w:rsidRPr="002B78F1">
                    <w:rPr>
                      <w:lang w:val="en-US"/>
                    </w:rPr>
                    <w:t>are spread across multiple states. The funded providers cover major population centres and some regional areas, but there are known gaps in rural</w:t>
                  </w:r>
                  <w:r w:rsidR="00715F9A">
                    <w:rPr>
                      <w:lang w:val="en-US"/>
                    </w:rPr>
                    <w:t xml:space="preserve"> and </w:t>
                  </w:r>
                  <w:r w:rsidRPr="002B78F1">
                    <w:rPr>
                      <w:lang w:val="en-US"/>
                    </w:rPr>
                    <w:t>remote regions</w:t>
                  </w:r>
                  <w:r w:rsidR="00E70F13">
                    <w:rPr>
                      <w:lang w:val="en-US"/>
                    </w:rPr>
                    <w:t>.</w:t>
                  </w:r>
                </w:p>
                <w:p w14:paraId="522BA65D" w14:textId="77777777" w:rsidR="00967ECF" w:rsidRPr="002B78F1" w:rsidRDefault="00967ECF" w:rsidP="00321BC5">
                  <w:pPr>
                    <w:pStyle w:val="Text-BodyHeading"/>
                    <w:spacing w:before="360" w:after="240"/>
                  </w:pPr>
                  <w:r w:rsidRPr="002B78F1">
                    <w:t>CSC</w:t>
                  </w:r>
                </w:p>
                <w:p w14:paraId="4C007A5B" w14:textId="51495234" w:rsidR="00066FF4" w:rsidRPr="00066FF4" w:rsidRDefault="00066FF4" w:rsidP="003371DC">
                  <w:pPr>
                    <w:pStyle w:val="Text"/>
                    <w:rPr>
                      <w:lang w:val="en-US"/>
                    </w:rPr>
                  </w:pPr>
                  <w:r w:rsidRPr="00321BC5">
                    <w:rPr>
                      <w:lang w:val="en-US"/>
                    </w:rPr>
                    <w:t xml:space="preserve">Funding for </w:t>
                  </w:r>
                  <w:r w:rsidR="00E70F13" w:rsidRPr="00321BC5">
                    <w:rPr>
                      <w:lang w:val="en-US"/>
                    </w:rPr>
                    <w:t>CSC</w:t>
                  </w:r>
                  <w:r w:rsidRPr="00321BC5">
                    <w:rPr>
                      <w:lang w:val="en-US"/>
                    </w:rPr>
                    <w:t xml:space="preserve"> grew in tandem with the broader FaRS and SFVS expansions. In 2021-22, funding for CSC initiatives </w:t>
                  </w:r>
                  <w:r w:rsidR="00CE4A84" w:rsidRPr="00321BC5">
                    <w:rPr>
                      <w:lang w:val="en-US"/>
                    </w:rPr>
                    <w:t xml:space="preserve">was </w:t>
                  </w:r>
                  <w:r w:rsidRPr="00321BC5">
                    <w:rPr>
                      <w:lang w:val="en-US"/>
                    </w:rPr>
                    <w:t xml:space="preserve">$1.8 million. This increased to $4.2 million in 2022-23 and $4.95 million in 2023-24 </w:t>
                  </w:r>
                  <w:r w:rsidR="000A5EA9" w:rsidRPr="00321BC5">
                    <w:rPr>
                      <w:lang w:val="en-US"/>
                    </w:rPr>
                    <w:t>(see</w:t>
                  </w:r>
                  <w:r w:rsidR="000A5EA9" w:rsidRPr="007C6029">
                    <w:rPr>
                      <w:b/>
                      <w:bCs/>
                      <w:lang w:val="en-US"/>
                    </w:rPr>
                    <w:t xml:space="preserve"> </w:t>
                  </w:r>
                  <w:r w:rsidR="000A5EA9" w:rsidRPr="007C6029">
                    <w:rPr>
                      <w:b/>
                      <w:bCs/>
                      <w:lang w:val="en-US"/>
                    </w:rPr>
                    <w:fldChar w:fldCharType="begin" w:fldLock="1"/>
                  </w:r>
                  <w:r w:rsidR="000A5EA9" w:rsidRPr="007C6029">
                    <w:rPr>
                      <w:b/>
                      <w:bCs/>
                      <w:lang w:val="en-US"/>
                    </w:rPr>
                    <w:instrText xml:space="preserve"> REF _Ref208234709 \h  \* MERGEFORMAT </w:instrText>
                  </w:r>
                  <w:r w:rsidR="000A5EA9" w:rsidRPr="007C6029">
                    <w:rPr>
                      <w:b/>
                      <w:bCs/>
                      <w:lang w:val="en-US"/>
                    </w:rPr>
                  </w:r>
                  <w:r w:rsidR="000A5EA9" w:rsidRPr="007C6029">
                    <w:rPr>
                      <w:b/>
                      <w:bCs/>
                      <w:lang w:val="en-US"/>
                    </w:rPr>
                    <w:fldChar w:fldCharType="separate"/>
                  </w:r>
                  <w:r w:rsidR="008F22E5" w:rsidRPr="00671DC9">
                    <w:rPr>
                      <w:b/>
                      <w:bCs/>
                    </w:rPr>
                    <w:t>Table</w:t>
                  </w:r>
                  <w:r w:rsidR="008F22E5" w:rsidRPr="008F22E5">
                    <w:t xml:space="preserve"> </w:t>
                  </w:r>
                  <w:r w:rsidR="008F22E5" w:rsidRPr="008F22E5">
                    <w:rPr>
                      <w:b/>
                    </w:rPr>
                    <w:t>6</w:t>
                  </w:r>
                  <w:r w:rsidR="000A5EA9" w:rsidRPr="007C6029">
                    <w:rPr>
                      <w:b/>
                      <w:bCs/>
                      <w:lang w:val="en-US"/>
                    </w:rPr>
                    <w:fldChar w:fldCharType="end"/>
                  </w:r>
                  <w:r w:rsidR="000A5EA9" w:rsidRPr="00321BC5">
                    <w:rPr>
                      <w:lang w:val="en-US"/>
                    </w:rPr>
                    <w:t>).</w:t>
                  </w:r>
                  <w:r w:rsidR="000A5EA9" w:rsidRPr="0086084E">
                    <w:rPr>
                      <w:lang w:val="en-US"/>
                    </w:rPr>
                    <w:t xml:space="preserve"> </w:t>
                  </w:r>
                  <w:r w:rsidR="0024359E" w:rsidRPr="00321BC5">
                    <w:rPr>
                      <w:lang w:val="en-US"/>
                    </w:rPr>
                    <w:t>This patter</w:t>
                  </w:r>
                  <w:r w:rsidR="00D61E1A" w:rsidRPr="00321BC5">
                    <w:rPr>
                      <w:lang w:val="en-US"/>
                    </w:rPr>
                    <w:t>n</w:t>
                  </w:r>
                  <w:r w:rsidR="0024359E" w:rsidRPr="00321BC5">
                    <w:rPr>
                      <w:lang w:val="en-US"/>
                    </w:rPr>
                    <w:t xml:space="preserve"> is similar to that of</w:t>
                  </w:r>
                  <w:r w:rsidRPr="00321BC5">
                    <w:rPr>
                      <w:lang w:val="en-US"/>
                    </w:rPr>
                    <w:t xml:space="preserve"> MBCP</w:t>
                  </w:r>
                  <w:r w:rsidR="0024359E" w:rsidRPr="00321BC5">
                    <w:rPr>
                      <w:lang w:val="en-US"/>
                    </w:rPr>
                    <w:t>s where</w:t>
                  </w:r>
                  <w:r w:rsidRPr="00321BC5">
                    <w:rPr>
                      <w:lang w:val="en-US"/>
                    </w:rPr>
                    <w:t xml:space="preserve"> initial smaller programs </w:t>
                  </w:r>
                  <w:r w:rsidR="0024359E" w:rsidRPr="00321BC5">
                    <w:rPr>
                      <w:lang w:val="en-US"/>
                    </w:rPr>
                    <w:t xml:space="preserve">were scaled </w:t>
                  </w:r>
                  <w:r w:rsidRPr="00321BC5">
                    <w:rPr>
                      <w:lang w:val="en-US"/>
                    </w:rPr>
                    <w:t xml:space="preserve">up significantly after 2021. Four Relationships Australia </w:t>
                  </w:r>
                  <w:r w:rsidR="0024359E" w:rsidRPr="00321BC5">
                    <w:rPr>
                      <w:lang w:val="en-US"/>
                    </w:rPr>
                    <w:t>branches</w:t>
                  </w:r>
                  <w:r w:rsidRPr="00321BC5">
                    <w:rPr>
                      <w:lang w:val="en-US"/>
                    </w:rPr>
                    <w:t xml:space="preserve"> provided CSC in 2021-22, expanding to 8 from 2022-23 onward. Every </w:t>
                  </w:r>
                  <w:r w:rsidR="0024359E" w:rsidRPr="00321BC5">
                    <w:rPr>
                      <w:lang w:val="en-US"/>
                    </w:rPr>
                    <w:t xml:space="preserve">state and territory </w:t>
                  </w:r>
                  <w:r w:rsidRPr="00321BC5">
                    <w:rPr>
                      <w:lang w:val="en-US"/>
                    </w:rPr>
                    <w:t xml:space="preserve">branch </w:t>
                  </w:r>
                  <w:r w:rsidR="00D61E1A" w:rsidRPr="00321BC5">
                    <w:rPr>
                      <w:lang w:val="en-US"/>
                    </w:rPr>
                    <w:t>was funded to provide CSC</w:t>
                  </w:r>
                  <w:r w:rsidRPr="00321BC5">
                    <w:rPr>
                      <w:lang w:val="en-US"/>
                    </w:rPr>
                    <w:t>.</w:t>
                  </w:r>
                </w:p>
                <w:p w14:paraId="060A80FB" w14:textId="77777777" w:rsidR="00967ECF" w:rsidRDefault="00967ECF" w:rsidP="00321BC5">
                  <w:pPr>
                    <w:pStyle w:val="Text-BodyHeading"/>
                    <w:spacing w:before="360" w:after="240"/>
                  </w:pPr>
                  <w:r>
                    <w:t>MensLine</w:t>
                  </w:r>
                </w:p>
                <w:p w14:paraId="1253F6A0" w14:textId="4E220368" w:rsidR="00066FF4" w:rsidRDefault="00066FF4" w:rsidP="00066FF4">
                  <w:pPr>
                    <w:pStyle w:val="Text"/>
                  </w:pPr>
                  <w:r w:rsidRPr="00321BC5">
                    <w:t>Funding for MensLine was $4.5 million in 2021-22 increasing to $4.9 million in both 202</w:t>
                  </w:r>
                  <w:r w:rsidR="00137223">
                    <w:t>2</w:t>
                  </w:r>
                  <w:r w:rsidRPr="00321BC5">
                    <w:t xml:space="preserve">-23 and 2023-24 </w:t>
                  </w:r>
                  <w:r w:rsidR="000A5EA9" w:rsidRPr="00321BC5">
                    <w:rPr>
                      <w:lang w:val="en-US"/>
                    </w:rPr>
                    <w:t xml:space="preserve">(see </w:t>
                  </w:r>
                  <w:r w:rsidR="000A5EA9" w:rsidRPr="00321BC5">
                    <w:rPr>
                      <w:b/>
                      <w:bCs/>
                      <w:lang w:val="en-US"/>
                    </w:rPr>
                    <w:fldChar w:fldCharType="begin" w:fldLock="1"/>
                  </w:r>
                  <w:r w:rsidR="000A5EA9" w:rsidRPr="00321BC5">
                    <w:rPr>
                      <w:b/>
                      <w:bCs/>
                      <w:lang w:val="en-US"/>
                    </w:rPr>
                    <w:instrText xml:space="preserve"> REF _Ref208234709 \h  \* MERGEFORMAT </w:instrText>
                  </w:r>
                  <w:r w:rsidR="000A5EA9" w:rsidRPr="00321BC5">
                    <w:rPr>
                      <w:b/>
                      <w:bCs/>
                      <w:lang w:val="en-US"/>
                    </w:rPr>
                  </w:r>
                  <w:r w:rsidR="000A5EA9" w:rsidRPr="00321BC5">
                    <w:rPr>
                      <w:b/>
                      <w:bCs/>
                      <w:lang w:val="en-US"/>
                    </w:rPr>
                    <w:fldChar w:fldCharType="separate"/>
                  </w:r>
                  <w:r w:rsidR="008F22E5" w:rsidRPr="00671DC9">
                    <w:rPr>
                      <w:b/>
                      <w:bCs/>
                    </w:rPr>
                    <w:t>Table</w:t>
                  </w:r>
                  <w:r w:rsidR="008F22E5" w:rsidRPr="008F22E5">
                    <w:t xml:space="preserve"> </w:t>
                  </w:r>
                  <w:r w:rsidR="008F22E5" w:rsidRPr="008F22E5">
                    <w:rPr>
                      <w:b/>
                    </w:rPr>
                    <w:t>6</w:t>
                  </w:r>
                  <w:r w:rsidR="000A5EA9" w:rsidRPr="00321BC5">
                    <w:rPr>
                      <w:b/>
                      <w:bCs/>
                      <w:lang w:val="en-US"/>
                    </w:rPr>
                    <w:fldChar w:fldCharType="end"/>
                  </w:r>
                  <w:r w:rsidR="000A5EA9" w:rsidRPr="00321BC5">
                    <w:rPr>
                      <w:lang w:val="en-US"/>
                    </w:rPr>
                    <w:t>).</w:t>
                  </w:r>
                  <w:r w:rsidR="000A5EA9" w:rsidRPr="0086084E">
                    <w:rPr>
                      <w:lang w:val="en-US"/>
                    </w:rPr>
                    <w:t xml:space="preserve"> </w:t>
                  </w:r>
                  <w:r w:rsidRPr="00321BC5">
                    <w:t>Services were provided by On the Line Australia Limited in 2021-22 to 2022-23. During 2023-24, Lifeline Australia added the MensLine counselling services to its range of digital services after an amalgamation with On the Line Australia. For the financial year 2</w:t>
                  </w:r>
                  <w:r w:rsidR="00CE4A84" w:rsidRPr="00321BC5">
                    <w:t>02</w:t>
                  </w:r>
                  <w:r w:rsidRPr="00321BC5">
                    <w:t xml:space="preserve">3-24, services reached every state and territory with greater representation of service users from Victoria (28.4%), NSW (27.2%), Queensland (22.5%), and WA (9.2%). Other callers were from </w:t>
                  </w:r>
                  <w:r w:rsidR="00CE4A84" w:rsidRPr="00321BC5">
                    <w:t>SA</w:t>
                  </w:r>
                  <w:r w:rsidRPr="00321BC5">
                    <w:t xml:space="preserve"> (6.7%), Tasmania (1.9%), ACT (1.6%)</w:t>
                  </w:r>
                  <w:r w:rsidR="00CE4A84" w:rsidRPr="00321BC5">
                    <w:t>, and</w:t>
                  </w:r>
                  <w:r w:rsidRPr="00321BC5">
                    <w:t xml:space="preserve"> NT (0.9%) with state identification not provided for 1.8% of service users.</w:t>
                  </w:r>
                  <w:r>
                    <w:t xml:space="preserve"> </w:t>
                  </w:r>
                </w:p>
                <w:p w14:paraId="73F1AAB8" w14:textId="120C941D" w:rsidR="00967ECF" w:rsidRPr="00BF5122" w:rsidRDefault="00967ECF" w:rsidP="008D0528">
                  <w:pPr>
                    <w:pStyle w:val="Heading3"/>
                  </w:pPr>
                  <w:r w:rsidRPr="00BF5122">
                    <w:t>Efficiency (activities and outputs per dollar)</w:t>
                  </w:r>
                </w:p>
                <w:p w14:paraId="44636732" w14:textId="77777777" w:rsidR="00967ECF" w:rsidRPr="00BF5122" w:rsidRDefault="00967ECF" w:rsidP="00321BC5">
                  <w:pPr>
                    <w:pStyle w:val="Text-BodyHeading"/>
                    <w:spacing w:before="360" w:after="240"/>
                  </w:pPr>
                  <w:r w:rsidRPr="00BF5122">
                    <w:t>FaRS</w:t>
                  </w:r>
                  <w:r>
                    <w:t xml:space="preserve"> </w:t>
                  </w:r>
                </w:p>
                <w:p w14:paraId="3D3DDCBD" w14:textId="343D70BE" w:rsidR="00F84425" w:rsidRPr="00321BC5" w:rsidRDefault="0082183A" w:rsidP="00066FF4">
                  <w:pPr>
                    <w:pStyle w:val="Text"/>
                    <w:rPr>
                      <w:lang w:val="en-US"/>
                    </w:rPr>
                  </w:pPr>
                  <w:r w:rsidRPr="00321BC5">
                    <w:rPr>
                      <w:lang w:val="en-US"/>
                    </w:rPr>
                    <w:t xml:space="preserve">FaRS service providers delivered a high volume of services to </w:t>
                  </w:r>
                  <w:r w:rsidR="00066FF4" w:rsidRPr="00321BC5">
                    <w:rPr>
                      <w:lang w:val="en-US"/>
                    </w:rPr>
                    <w:t>service users</w:t>
                  </w:r>
                  <w:r w:rsidRPr="00321BC5">
                    <w:rPr>
                      <w:lang w:val="en-US"/>
                    </w:rPr>
                    <w:t>:</w:t>
                  </w:r>
                  <w:r w:rsidR="00066FF4" w:rsidRPr="00321BC5">
                    <w:rPr>
                      <w:lang w:val="en-US"/>
                    </w:rPr>
                    <w:t xml:space="preserve"> 84,333 individual service users</w:t>
                  </w:r>
                  <w:r w:rsidR="00066FF4" w:rsidRPr="00321BC5" w:rsidDel="00E614D3">
                    <w:rPr>
                      <w:lang w:val="en-US"/>
                    </w:rPr>
                    <w:t xml:space="preserve"> </w:t>
                  </w:r>
                  <w:r w:rsidR="00066FF4" w:rsidRPr="00321BC5">
                    <w:rPr>
                      <w:lang w:val="en-US"/>
                    </w:rPr>
                    <w:t>in 2021-22, 85,000 in 2022-23, and 89,772 service users in 2023-24.</w:t>
                  </w:r>
                  <w:r w:rsidR="00E055C8">
                    <w:rPr>
                      <w:rFonts w:ascii="ZWAdobeF" w:hAnsi="ZWAdobeF" w:cs="ZWAdobeF"/>
                      <w:sz w:val="2"/>
                      <w:szCs w:val="2"/>
                      <w:lang w:val="en-US"/>
                    </w:rPr>
                    <w:t>7F</w:t>
                  </w:r>
                  <w:r w:rsidR="008F44D0" w:rsidRPr="00321BC5">
                    <w:rPr>
                      <w:rStyle w:val="FootnoteReference"/>
                      <w:lang w:val="en-US"/>
                    </w:rPr>
                    <w:footnoteReference w:id="9"/>
                  </w:r>
                  <w:r w:rsidR="00066FF4" w:rsidRPr="00321BC5">
                    <w:rPr>
                      <w:lang w:val="en-US"/>
                    </w:rPr>
                    <w:t xml:space="preserve"> </w:t>
                  </w:r>
                  <w:r w:rsidR="003E3FB0">
                    <w:rPr>
                      <w:lang w:val="en-US"/>
                    </w:rPr>
                    <w:t>Service users</w:t>
                  </w:r>
                  <w:r w:rsidR="00066FF4">
                    <w:rPr>
                      <w:lang w:val="en-US"/>
                    </w:rPr>
                    <w:t xml:space="preserve"> </w:t>
                  </w:r>
                  <w:r w:rsidR="00066FF4" w:rsidRPr="00321BC5">
                    <w:rPr>
                      <w:lang w:val="en-US"/>
                    </w:rPr>
                    <w:t xml:space="preserve">ranged from intact families to separated parents, children, and other relatives. </w:t>
                  </w:r>
                  <w:r w:rsidR="00F96CD3" w:rsidRPr="00321BC5">
                    <w:rPr>
                      <w:lang w:val="en-US"/>
                    </w:rPr>
                    <w:t>S</w:t>
                  </w:r>
                  <w:r w:rsidR="00066FF4" w:rsidRPr="00321BC5">
                    <w:rPr>
                      <w:lang w:val="en-US"/>
                    </w:rPr>
                    <w:t>ervices</w:t>
                  </w:r>
                  <w:r w:rsidR="00F96CD3" w:rsidRPr="00321BC5">
                    <w:rPr>
                      <w:lang w:val="en-US"/>
                    </w:rPr>
                    <w:t xml:space="preserve"> </w:t>
                  </w:r>
                  <w:r w:rsidR="00F96CD3" w:rsidRPr="00321BC5">
                    <w:rPr>
                      <w:lang w:val="en-US"/>
                    </w:rPr>
                    <w:lastRenderedPageBreak/>
                    <w:t>were also delivered</w:t>
                  </w:r>
                  <w:r w:rsidR="00066FF4" w:rsidRPr="00321BC5">
                    <w:rPr>
                      <w:lang w:val="en-US"/>
                    </w:rPr>
                    <w:t xml:space="preserve"> to group service users (unidentified individuals in group sessions), with an estimated 6,723-10,098 group service users each year.</w:t>
                  </w:r>
                  <w:r w:rsidR="00E055C8">
                    <w:rPr>
                      <w:rFonts w:ascii="ZWAdobeF" w:hAnsi="ZWAdobeF" w:cs="ZWAdobeF"/>
                      <w:sz w:val="2"/>
                      <w:szCs w:val="2"/>
                      <w:lang w:val="en-US"/>
                    </w:rPr>
                    <w:t>8F</w:t>
                  </w:r>
                  <w:r w:rsidR="00F96CD3" w:rsidRPr="00321BC5">
                    <w:rPr>
                      <w:rStyle w:val="FootnoteReference"/>
                      <w:lang w:val="en-US"/>
                    </w:rPr>
                    <w:footnoteReference w:id="10"/>
                  </w:r>
                  <w:r w:rsidR="00066FF4" w:rsidRPr="00321BC5">
                    <w:rPr>
                      <w:lang w:val="en-US"/>
                    </w:rPr>
                    <w:t xml:space="preserve"> </w:t>
                  </w:r>
                </w:p>
                <w:p w14:paraId="03CEEE5D" w14:textId="7822F20A" w:rsidR="008F22E5" w:rsidRPr="00671DC9" w:rsidRDefault="005C16B5" w:rsidP="00731194">
                  <w:pPr>
                    <w:pStyle w:val="Text"/>
                    <w:rPr>
                      <w:b/>
                    </w:rPr>
                  </w:pPr>
                  <w:r w:rsidRPr="00321BC5">
                    <w:rPr>
                      <w:lang w:val="en-US"/>
                    </w:rPr>
                    <w:t>FaRS service providers also delivered a</w:t>
                  </w:r>
                  <w:r w:rsidR="00066FF4" w:rsidRPr="00321BC5">
                    <w:rPr>
                      <w:lang w:val="en-US"/>
                    </w:rPr>
                    <w:t xml:space="preserve"> very large </w:t>
                  </w:r>
                  <w:r w:rsidR="0086084E" w:rsidRPr="0086084E">
                    <w:rPr>
                      <w:lang w:val="en-US"/>
                    </w:rPr>
                    <w:t>number of</w:t>
                  </w:r>
                  <w:r w:rsidR="00066FF4" w:rsidRPr="00321BC5">
                    <w:rPr>
                      <w:lang w:val="en-US"/>
                    </w:rPr>
                    <w:t xml:space="preserve"> </w:t>
                  </w:r>
                  <w:r w:rsidRPr="00321BC5">
                    <w:rPr>
                      <w:lang w:val="en-US"/>
                    </w:rPr>
                    <w:t>sessions</w:t>
                  </w:r>
                  <w:r w:rsidR="00066FF4" w:rsidRPr="00321BC5">
                    <w:rPr>
                      <w:lang w:val="en-US"/>
                    </w:rPr>
                    <w:t xml:space="preserve">. </w:t>
                  </w:r>
                  <w:r w:rsidRPr="00321BC5">
                    <w:rPr>
                      <w:lang w:val="en-US"/>
                    </w:rPr>
                    <w:t>A t</w:t>
                  </w:r>
                  <w:r w:rsidR="00066FF4" w:rsidRPr="00321BC5">
                    <w:rPr>
                      <w:lang w:val="en-US"/>
                    </w:rPr>
                    <w:t xml:space="preserve">otal </w:t>
                  </w:r>
                  <w:r w:rsidRPr="00321BC5">
                    <w:rPr>
                      <w:lang w:val="en-US"/>
                    </w:rPr>
                    <w:t>of</w:t>
                  </w:r>
                  <w:r w:rsidR="00066FF4" w:rsidRPr="00321BC5">
                    <w:rPr>
                      <w:lang w:val="en-US"/>
                    </w:rPr>
                    <w:t xml:space="preserve"> 269,716 sessions</w:t>
                  </w:r>
                  <w:r w:rsidRPr="00321BC5">
                    <w:rPr>
                      <w:lang w:val="en-US"/>
                    </w:rPr>
                    <w:t xml:space="preserve"> were delivered</w:t>
                  </w:r>
                  <w:r w:rsidR="00066FF4" w:rsidRPr="00321BC5">
                    <w:rPr>
                      <w:lang w:val="en-US"/>
                    </w:rPr>
                    <w:t xml:space="preserve"> in 2021-22, 266,822 sessions in 2022-23, and 292,843 sessions in 2023-24. </w:t>
                  </w:r>
                  <w:r w:rsidR="00685D50" w:rsidRPr="00321BC5">
                    <w:rPr>
                      <w:b/>
                      <w:bCs/>
                      <w:lang w:val="en-US"/>
                    </w:rPr>
                    <w:fldChar w:fldCharType="begin" w:fldLock="1"/>
                  </w:r>
                  <w:r w:rsidR="00685D50" w:rsidRPr="00321BC5">
                    <w:rPr>
                      <w:b/>
                      <w:bCs/>
                      <w:lang w:val="en-US"/>
                    </w:rPr>
                    <w:instrText xml:space="preserve"> REF _Ref208234972 \h  \* MERGEFORMAT </w:instrText>
                  </w:r>
                  <w:r w:rsidR="00685D50" w:rsidRPr="00321BC5">
                    <w:rPr>
                      <w:b/>
                      <w:bCs/>
                      <w:lang w:val="en-US"/>
                    </w:rPr>
                  </w:r>
                  <w:r w:rsidR="00685D50" w:rsidRPr="00321BC5">
                    <w:rPr>
                      <w:b/>
                      <w:bCs/>
                      <w:lang w:val="en-US"/>
                    </w:rPr>
                    <w:fldChar w:fldCharType="separate"/>
                  </w:r>
                </w:p>
                <w:p w14:paraId="41D485C6" w14:textId="77777777" w:rsidR="00004359" w:rsidRDefault="008F22E5" w:rsidP="00731194">
                  <w:pPr>
                    <w:pStyle w:val="Text"/>
                    <w:rPr>
                      <w:lang w:val="en-US"/>
                    </w:rPr>
                  </w:pPr>
                  <w:r w:rsidRPr="00671DC9">
                    <w:rPr>
                      <w:b/>
                      <w:bCs/>
                      <w:noProof/>
                    </w:rPr>
                    <w:t>Figure</w:t>
                  </w:r>
                  <w:r w:rsidRPr="00671DC9">
                    <w:rPr>
                      <w:rStyle w:val="Text-Bold"/>
                      <w:b w:val="0"/>
                      <w:bCs/>
                      <w:noProof/>
                      <w:szCs w:val="21"/>
                    </w:rPr>
                    <w:t xml:space="preserve"> </w:t>
                  </w:r>
                  <w:r w:rsidRPr="00671DC9">
                    <w:rPr>
                      <w:rStyle w:val="Text-Bold"/>
                      <w:noProof/>
                      <w:szCs w:val="21"/>
                    </w:rPr>
                    <w:t>9</w:t>
                  </w:r>
                  <w:r w:rsidR="00685D50" w:rsidRPr="00321BC5">
                    <w:rPr>
                      <w:b/>
                      <w:bCs/>
                      <w:lang w:val="en-US"/>
                    </w:rPr>
                    <w:fldChar w:fldCharType="end"/>
                  </w:r>
                  <w:r w:rsidR="00685D50" w:rsidRPr="00321BC5">
                    <w:rPr>
                      <w:lang w:val="en-US"/>
                    </w:rPr>
                    <w:t xml:space="preserve"> </w:t>
                  </w:r>
                  <w:r w:rsidR="00066FF4" w:rsidRPr="00321BC5">
                    <w:rPr>
                      <w:lang w:val="en-US"/>
                    </w:rPr>
                    <w:t>provides a breakdown of sessions per financial year</w:t>
                  </w:r>
                  <w:r w:rsidR="007C2019" w:rsidRPr="00321BC5">
                    <w:rPr>
                      <w:lang w:val="en-US"/>
                    </w:rPr>
                    <w:t xml:space="preserve">. </w:t>
                  </w:r>
                  <w:r w:rsidR="00E91726" w:rsidRPr="00321BC5">
                    <w:rPr>
                      <w:lang w:val="en-US"/>
                    </w:rPr>
                    <w:t xml:space="preserve">Most </w:t>
                  </w:r>
                  <w:r w:rsidR="00066FF4" w:rsidRPr="00321BC5">
                    <w:rPr>
                      <w:lang w:val="en-US"/>
                    </w:rPr>
                    <w:t>sessions were counselling sessions (one-on-one or couple/family counselling), which</w:t>
                  </w:r>
                  <w:r w:rsidR="00E91726" w:rsidRPr="00321BC5">
                    <w:rPr>
                      <w:lang w:val="en-US"/>
                    </w:rPr>
                    <w:t xml:space="preserve"> also</w:t>
                  </w:r>
                  <w:r w:rsidR="00066FF4" w:rsidRPr="00321BC5">
                    <w:rPr>
                      <w:lang w:val="en-US"/>
                    </w:rPr>
                    <w:t xml:space="preserve"> made up the largest share </w:t>
                  </w:r>
                  <w:r w:rsidR="00E91726" w:rsidRPr="00321BC5">
                    <w:rPr>
                      <w:lang w:val="en-US"/>
                    </w:rPr>
                    <w:t xml:space="preserve">of sessions </w:t>
                  </w:r>
                  <w:r w:rsidR="00066FF4" w:rsidRPr="00321BC5">
                    <w:rPr>
                      <w:lang w:val="en-US"/>
                    </w:rPr>
                    <w:t>each year.</w:t>
                  </w:r>
                </w:p>
                <w:p w14:paraId="2FEA834F" w14:textId="02EF35D6" w:rsidR="004750D1" w:rsidRDefault="00004359" w:rsidP="008269A8">
                  <w:pPr>
                    <w:rPr>
                      <w:lang w:val="en-US"/>
                    </w:rPr>
                  </w:pPr>
                  <w:r>
                    <w:rPr>
                      <w:lang w:val="en-US"/>
                    </w:rPr>
                    <w:br w:type="page"/>
                  </w:r>
                  <w:bookmarkStart w:id="297" w:name="_Ref208234972"/>
                </w:p>
                <w:p w14:paraId="6FBB279C" w14:textId="50CBBE3A" w:rsidR="00685D50" w:rsidRPr="004750D1" w:rsidRDefault="00685D50" w:rsidP="00953B9E">
                  <w:pPr>
                    <w:pStyle w:val="TableFigure-Header"/>
                    <w:spacing w:line="276" w:lineRule="auto"/>
                    <w:rPr>
                      <w:rStyle w:val="Text-Bold"/>
                      <w:b/>
                      <w:bCs/>
                      <w:szCs w:val="21"/>
                    </w:rPr>
                  </w:pPr>
                  <w:r w:rsidRPr="004750D1">
                    <w:rPr>
                      <w:rStyle w:val="Text-Bold"/>
                      <w:b/>
                      <w:bCs/>
                      <w:szCs w:val="21"/>
                    </w:rPr>
                    <w:lastRenderedPageBreak/>
                    <w:t xml:space="preserve">Figure </w:t>
                  </w:r>
                  <w:r w:rsidR="00C64C3D" w:rsidRPr="004750D1">
                    <w:rPr>
                      <w:rStyle w:val="Text-Bold"/>
                      <w:b/>
                      <w:bCs/>
                      <w:szCs w:val="21"/>
                    </w:rPr>
                    <w:fldChar w:fldCharType="begin"/>
                  </w:r>
                  <w:r w:rsidR="00C64C3D" w:rsidRPr="004750D1">
                    <w:rPr>
                      <w:rStyle w:val="Text-Bold"/>
                      <w:b/>
                      <w:bCs/>
                      <w:szCs w:val="21"/>
                    </w:rPr>
                    <w:instrText xml:space="preserve"> SEQ Figure \* ARABIC </w:instrText>
                  </w:r>
                  <w:r w:rsidR="00C64C3D" w:rsidRPr="004750D1">
                    <w:rPr>
                      <w:rStyle w:val="Text-Bold"/>
                      <w:b/>
                      <w:bCs/>
                      <w:szCs w:val="21"/>
                    </w:rPr>
                    <w:fldChar w:fldCharType="separate"/>
                  </w:r>
                  <w:r w:rsidR="008D2566">
                    <w:rPr>
                      <w:rStyle w:val="Text-Bold"/>
                      <w:b/>
                      <w:bCs/>
                      <w:noProof/>
                      <w:szCs w:val="21"/>
                    </w:rPr>
                    <w:t>9</w:t>
                  </w:r>
                  <w:r w:rsidR="00C64C3D" w:rsidRPr="004750D1">
                    <w:rPr>
                      <w:rStyle w:val="Text-Bold"/>
                      <w:b/>
                      <w:bCs/>
                      <w:szCs w:val="21"/>
                    </w:rPr>
                    <w:fldChar w:fldCharType="end"/>
                  </w:r>
                  <w:bookmarkEnd w:id="297"/>
                  <w:r w:rsidRPr="004750D1">
                    <w:rPr>
                      <w:rStyle w:val="Text-Bold"/>
                      <w:b/>
                      <w:bCs/>
                      <w:szCs w:val="21"/>
                    </w:rPr>
                    <w:t>: Number of FaRS sessions, 2021-22 to 2023-24</w:t>
                  </w:r>
                </w:p>
                <w:p w14:paraId="29E64731" w14:textId="77777777" w:rsidR="004E7601" w:rsidRDefault="00A066DF" w:rsidP="003371DC">
                  <w:pPr>
                    <w:pStyle w:val="Text"/>
                    <w:rPr>
                      <w:i/>
                      <w:sz w:val="20"/>
                      <w:lang w:val="en-US"/>
                    </w:rPr>
                  </w:pPr>
                  <w:r>
                    <w:rPr>
                      <w:noProof/>
                    </w:rPr>
                    <w:drawing>
                      <wp:inline distT="0" distB="0" distL="0" distR="0" wp14:anchorId="09427CB9" wp14:editId="614C9714">
                        <wp:extent cx="4454194" cy="3548242"/>
                        <wp:effectExtent l="0" t="0" r="3810" b="14605"/>
                        <wp:docPr id="1272742216" name="Chart 1">
                          <a:extLst xmlns:a="http://schemas.openxmlformats.org/drawingml/2006/main">
                            <a:ext uri="{FF2B5EF4-FFF2-40B4-BE49-F238E27FC236}">
                              <a16:creationId xmlns:a16="http://schemas.microsoft.com/office/drawing/2014/main" id="{FD736E32-CA78-E811-A74F-AD3C55D318AE}"/>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521C8D47" w14:textId="34D9FDB1" w:rsidR="00CF076F" w:rsidRPr="00321BC5" w:rsidRDefault="00CF076F" w:rsidP="003371DC">
                  <w:pPr>
                    <w:pStyle w:val="Text"/>
                    <w:rPr>
                      <w:i/>
                      <w:iCs/>
                      <w:sz w:val="20"/>
                      <w:szCs w:val="18"/>
                      <w:lang w:val="en-US"/>
                    </w:rPr>
                  </w:pPr>
                  <w:r w:rsidRPr="00321BC5">
                    <w:rPr>
                      <w:i/>
                      <w:iCs/>
                      <w:sz w:val="20"/>
                      <w:szCs w:val="18"/>
                      <w:lang w:val="en-US"/>
                    </w:rPr>
                    <w:t xml:space="preserve">Source: DEX-SCORE data </w:t>
                  </w:r>
                </w:p>
                <w:p w14:paraId="06B567C9" w14:textId="5205153A" w:rsidR="00BB070B" w:rsidRPr="00BB070B" w:rsidRDefault="00AE102C" w:rsidP="003371DC">
                  <w:pPr>
                    <w:pStyle w:val="Text"/>
                    <w:rPr>
                      <w:lang w:val="en-US"/>
                    </w:rPr>
                  </w:pPr>
                  <w:r w:rsidRPr="00321BC5">
                    <w:rPr>
                      <w:lang w:val="en-US"/>
                    </w:rPr>
                    <w:t>Cost per service user and session are</w:t>
                  </w:r>
                  <w:r w:rsidR="00BB070B" w:rsidRPr="00321BC5">
                    <w:rPr>
                      <w:lang w:val="en-US"/>
                    </w:rPr>
                    <w:t xml:space="preserve"> outlined in </w:t>
                  </w:r>
                  <w:r w:rsidR="009861DC" w:rsidRPr="009861DC">
                    <w:rPr>
                      <w:b/>
                      <w:bCs/>
                      <w:lang w:val="en-US"/>
                    </w:rPr>
                    <w:fldChar w:fldCharType="begin" w:fldLock="1"/>
                  </w:r>
                  <w:r w:rsidR="009861DC" w:rsidRPr="009861DC">
                    <w:rPr>
                      <w:b/>
                      <w:bCs/>
                      <w:lang w:val="en-US"/>
                    </w:rPr>
                    <w:instrText xml:space="preserve"> REF _Ref208475536 \h </w:instrText>
                  </w:r>
                  <w:r w:rsidR="009861DC" w:rsidRPr="00586B19">
                    <w:rPr>
                      <w:b/>
                      <w:bCs/>
                      <w:lang w:val="en-US"/>
                    </w:rPr>
                    <w:instrText xml:space="preserve"> \* MERGEFORMAT </w:instrText>
                  </w:r>
                  <w:r w:rsidR="009861DC" w:rsidRPr="009861DC">
                    <w:rPr>
                      <w:b/>
                      <w:bCs/>
                      <w:lang w:val="en-US"/>
                    </w:rPr>
                  </w:r>
                  <w:r w:rsidR="009861DC" w:rsidRPr="009861DC">
                    <w:rPr>
                      <w:b/>
                      <w:bCs/>
                      <w:lang w:val="en-US"/>
                    </w:rPr>
                    <w:fldChar w:fldCharType="separate"/>
                  </w:r>
                  <w:r w:rsidR="008F22E5" w:rsidRPr="008F22E5">
                    <w:rPr>
                      <w:b/>
                      <w:bCs/>
                    </w:rPr>
                    <w:t xml:space="preserve">Figure </w:t>
                  </w:r>
                  <w:r w:rsidR="008F22E5" w:rsidRPr="008F22E5">
                    <w:rPr>
                      <w:b/>
                      <w:bCs/>
                      <w:noProof/>
                    </w:rPr>
                    <w:t>13</w:t>
                  </w:r>
                  <w:r w:rsidR="009861DC" w:rsidRPr="009861DC">
                    <w:rPr>
                      <w:b/>
                      <w:bCs/>
                      <w:lang w:val="en-US"/>
                    </w:rPr>
                    <w:fldChar w:fldCharType="end"/>
                  </w:r>
                  <w:r w:rsidR="009861DC">
                    <w:rPr>
                      <w:b/>
                      <w:bCs/>
                      <w:lang w:val="en-US"/>
                    </w:rPr>
                    <w:t xml:space="preserve"> </w:t>
                  </w:r>
                  <w:r w:rsidR="009861DC" w:rsidRPr="00586B19">
                    <w:rPr>
                      <w:lang w:val="en-US"/>
                    </w:rPr>
                    <w:t xml:space="preserve">and </w:t>
                  </w:r>
                  <w:r w:rsidR="009861DC" w:rsidRPr="009861DC">
                    <w:rPr>
                      <w:b/>
                      <w:bCs/>
                      <w:lang w:val="en-US"/>
                    </w:rPr>
                    <w:fldChar w:fldCharType="begin" w:fldLock="1"/>
                  </w:r>
                  <w:r w:rsidR="009861DC" w:rsidRPr="009861DC">
                    <w:rPr>
                      <w:b/>
                      <w:bCs/>
                      <w:lang w:val="en-US"/>
                    </w:rPr>
                    <w:instrText xml:space="preserve"> REF _Ref208475538 \h </w:instrText>
                  </w:r>
                  <w:r w:rsidR="009861DC" w:rsidRPr="00586B19">
                    <w:rPr>
                      <w:b/>
                      <w:bCs/>
                      <w:lang w:val="en-US"/>
                    </w:rPr>
                    <w:instrText xml:space="preserve"> \* MERGEFORMAT </w:instrText>
                  </w:r>
                  <w:r w:rsidR="009861DC" w:rsidRPr="009861DC">
                    <w:rPr>
                      <w:b/>
                      <w:bCs/>
                      <w:lang w:val="en-US"/>
                    </w:rPr>
                  </w:r>
                  <w:r w:rsidR="009861DC" w:rsidRPr="009861DC">
                    <w:rPr>
                      <w:b/>
                      <w:bCs/>
                      <w:lang w:val="en-US"/>
                    </w:rPr>
                    <w:fldChar w:fldCharType="separate"/>
                  </w:r>
                  <w:r w:rsidR="008F22E5" w:rsidRPr="008F22E5">
                    <w:rPr>
                      <w:b/>
                      <w:bCs/>
                    </w:rPr>
                    <w:t xml:space="preserve">Figure </w:t>
                  </w:r>
                  <w:r w:rsidR="008F22E5" w:rsidRPr="008F22E5">
                    <w:rPr>
                      <w:b/>
                      <w:bCs/>
                      <w:noProof/>
                    </w:rPr>
                    <w:t>14</w:t>
                  </w:r>
                  <w:r w:rsidR="009861DC" w:rsidRPr="009861DC">
                    <w:rPr>
                      <w:b/>
                      <w:bCs/>
                      <w:lang w:val="en-US"/>
                    </w:rPr>
                    <w:fldChar w:fldCharType="end"/>
                  </w:r>
                  <w:r w:rsidR="009861DC">
                    <w:rPr>
                      <w:b/>
                      <w:bCs/>
                      <w:lang w:val="en-US"/>
                    </w:rPr>
                    <w:t xml:space="preserve"> </w:t>
                  </w:r>
                  <w:r w:rsidR="00BB070B" w:rsidRPr="00321BC5">
                    <w:rPr>
                      <w:lang w:val="en-US"/>
                    </w:rPr>
                    <w:t xml:space="preserve">below, </w:t>
                  </w:r>
                  <w:r w:rsidR="00B12B9D" w:rsidRPr="00321BC5">
                    <w:rPr>
                      <w:lang w:val="en-US"/>
                    </w:rPr>
                    <w:t>E</w:t>
                  </w:r>
                  <w:r w:rsidR="00BB070B" w:rsidRPr="00321BC5">
                    <w:rPr>
                      <w:lang w:val="en-US"/>
                    </w:rPr>
                    <w:t xml:space="preserve">xpenditure </w:t>
                  </w:r>
                  <w:r w:rsidR="00B12B9D" w:rsidRPr="00321BC5">
                    <w:rPr>
                      <w:lang w:val="en-US"/>
                    </w:rPr>
                    <w:t>for</w:t>
                  </w:r>
                  <w:r w:rsidR="00BB070B" w:rsidRPr="00321BC5">
                    <w:rPr>
                      <w:lang w:val="en-US"/>
                    </w:rPr>
                    <w:t xml:space="preserve"> </w:t>
                  </w:r>
                  <w:r w:rsidR="00B12B9D" w:rsidRPr="00321BC5">
                    <w:rPr>
                      <w:lang w:val="en-US"/>
                    </w:rPr>
                    <w:t xml:space="preserve">FaRS sessions is </w:t>
                  </w:r>
                  <w:r w:rsidR="00BB070B" w:rsidRPr="00321BC5">
                    <w:rPr>
                      <w:lang w:val="en-US"/>
                    </w:rPr>
                    <w:t>around $299-$330 on average, with 2022-23 being slightly less efficient (fewer sessions per dollar) than the other years. Efficiency rebounded in 2023-24 as sessions increased. Overall, the FaRS program maintained a consistent output per dollar, delivering about 3 sessions per $1,000 of funding each year.</w:t>
                  </w:r>
                </w:p>
                <w:p w14:paraId="2596537D" w14:textId="6C89D9FF" w:rsidR="00967ECF" w:rsidRPr="00BF5122" w:rsidRDefault="00967ECF" w:rsidP="00321BC5">
                  <w:pPr>
                    <w:pStyle w:val="Text-BodyHeading"/>
                    <w:spacing w:before="360" w:after="240"/>
                  </w:pPr>
                  <w:r w:rsidRPr="00BF5122">
                    <w:t>SFVS</w:t>
                  </w:r>
                </w:p>
                <w:p w14:paraId="2FA8EB0E" w14:textId="3C1EC038" w:rsidR="0054274E" w:rsidRPr="00321BC5" w:rsidRDefault="0054274E" w:rsidP="00066FF4">
                  <w:pPr>
                    <w:pStyle w:val="Text"/>
                    <w:rPr>
                      <w:lang w:val="en-US"/>
                    </w:rPr>
                  </w:pPr>
                  <w:r w:rsidRPr="00321BC5">
                    <w:rPr>
                      <w:lang w:val="en-US"/>
                    </w:rPr>
                    <w:t xml:space="preserve">Service providers delivered </w:t>
                  </w:r>
                  <w:r w:rsidR="00066FF4" w:rsidRPr="00321BC5">
                    <w:rPr>
                      <w:lang w:val="en-US"/>
                    </w:rPr>
                    <w:t xml:space="preserve">SFVS </w:t>
                  </w:r>
                  <w:r w:rsidRPr="00321BC5">
                    <w:rPr>
                      <w:lang w:val="en-US"/>
                    </w:rPr>
                    <w:t xml:space="preserve">services to </w:t>
                  </w:r>
                  <w:r w:rsidR="00066FF4" w:rsidRPr="00321BC5">
                    <w:rPr>
                      <w:lang w:val="en-US"/>
                    </w:rPr>
                    <w:t>16,369 individual</w:t>
                  </w:r>
                  <w:r w:rsidRPr="00321BC5">
                    <w:rPr>
                      <w:lang w:val="en-US"/>
                    </w:rPr>
                    <w:t>s</w:t>
                  </w:r>
                  <w:r w:rsidR="00066FF4" w:rsidRPr="00321BC5">
                    <w:rPr>
                      <w:lang w:val="en-US"/>
                    </w:rPr>
                    <w:t xml:space="preserve"> in 2021-22, 8,808 in 2022-23</w:t>
                  </w:r>
                  <w:r w:rsidR="00E91726" w:rsidRPr="00321BC5">
                    <w:rPr>
                      <w:lang w:val="en-US"/>
                    </w:rPr>
                    <w:t>,</w:t>
                  </w:r>
                  <w:r w:rsidR="00066FF4" w:rsidRPr="00321BC5">
                    <w:rPr>
                      <w:lang w:val="en-US"/>
                    </w:rPr>
                    <w:t xml:space="preserve"> and 7,731 in 2023-24. The service user numbers have decreased over the three-year period, perhaps reflecting a deeper or more intensive service (and possibly broader service offerings). SFVS </w:t>
                  </w:r>
                  <w:r w:rsidRPr="00321BC5">
                    <w:rPr>
                      <w:lang w:val="en-US"/>
                    </w:rPr>
                    <w:t xml:space="preserve">service providers </w:t>
                  </w:r>
                  <w:r w:rsidR="00066FF4" w:rsidRPr="00321BC5">
                    <w:rPr>
                      <w:lang w:val="en-US"/>
                    </w:rPr>
                    <w:t>also ran group-based activities such as community workshops or group counselling for children</w:t>
                  </w:r>
                  <w:r w:rsidR="00E91726" w:rsidRPr="00321BC5">
                    <w:rPr>
                      <w:lang w:val="en-US"/>
                    </w:rPr>
                    <w:t xml:space="preserve"> and </w:t>
                  </w:r>
                  <w:r w:rsidR="00066FF4" w:rsidRPr="00321BC5">
                    <w:rPr>
                      <w:lang w:val="en-US"/>
                    </w:rPr>
                    <w:t>youth</w:t>
                  </w:r>
                  <w:r w:rsidRPr="00321BC5">
                    <w:rPr>
                      <w:lang w:val="en-US"/>
                    </w:rPr>
                    <w:t>s</w:t>
                  </w:r>
                  <w:r w:rsidR="00066FF4" w:rsidRPr="00321BC5">
                    <w:rPr>
                      <w:lang w:val="en-US"/>
                    </w:rPr>
                    <w:t xml:space="preserve">. The estimated number of group service users was 1,847 in 2021-22, 905 in 2022-23 and 780 in 2023-24. </w:t>
                  </w:r>
                </w:p>
                <w:p w14:paraId="28E2ADFE" w14:textId="06E56ED7" w:rsidR="00685D50" w:rsidRDefault="0054274E" w:rsidP="00066FF4">
                  <w:pPr>
                    <w:pStyle w:val="Text"/>
                    <w:rPr>
                      <w:lang w:val="en-US"/>
                    </w:rPr>
                  </w:pPr>
                  <w:r w:rsidRPr="00321BC5">
                    <w:rPr>
                      <w:lang w:val="en-US"/>
                    </w:rPr>
                    <w:t>The number of SFVS s</w:t>
                  </w:r>
                  <w:r w:rsidR="00066FF4" w:rsidRPr="00321BC5">
                    <w:rPr>
                      <w:lang w:val="en-US"/>
                    </w:rPr>
                    <w:t>essions w</w:t>
                  </w:r>
                  <w:r w:rsidRPr="00321BC5">
                    <w:rPr>
                      <w:lang w:val="en-US"/>
                    </w:rPr>
                    <w:t>as</w:t>
                  </w:r>
                  <w:r w:rsidR="00066FF4" w:rsidRPr="00321BC5">
                    <w:rPr>
                      <w:lang w:val="en-US"/>
                    </w:rPr>
                    <w:t xml:space="preserve"> highest in 2021-22 at 76,609, lower in 2022-23 at 36,675</w:t>
                  </w:r>
                  <w:r w:rsidRPr="00321BC5">
                    <w:rPr>
                      <w:lang w:val="en-US"/>
                    </w:rPr>
                    <w:t xml:space="preserve">, with </w:t>
                  </w:r>
                  <w:r w:rsidR="00066FF4" w:rsidRPr="00321BC5">
                    <w:rPr>
                      <w:lang w:val="en-US"/>
                    </w:rPr>
                    <w:t xml:space="preserve">sessions increasing to 37,113 in 2023-24. This pattern reflects that early on, some SFVS services emphasised shorter interventions or group sessions (yielding more sessions), whereas later the program may have shifted to more intensive </w:t>
                  </w:r>
                  <w:r w:rsidR="00D13B66" w:rsidRPr="00321BC5">
                    <w:rPr>
                      <w:lang w:val="en-US"/>
                    </w:rPr>
                    <w:t>interventions</w:t>
                  </w:r>
                  <w:r w:rsidR="00066FF4" w:rsidRPr="00321BC5">
                    <w:rPr>
                      <w:lang w:val="en-US"/>
                    </w:rPr>
                    <w:t xml:space="preserve"> per service user </w:t>
                  </w:r>
                  <w:r w:rsidR="002A1F0E" w:rsidRPr="00321BC5">
                    <w:rPr>
                      <w:lang w:val="en-US"/>
                    </w:rPr>
                    <w:t>(</w:t>
                  </w:r>
                  <w:r w:rsidR="00D13B66" w:rsidRPr="00321BC5">
                    <w:rPr>
                      <w:lang w:val="en-US"/>
                    </w:rPr>
                    <w:t xml:space="preserve">resulting in </w:t>
                  </w:r>
                  <w:r w:rsidR="00066FF4" w:rsidRPr="00321BC5">
                    <w:rPr>
                      <w:lang w:val="en-US"/>
                    </w:rPr>
                    <w:t>fewer total sessions even with more funding). On average, each SFVS service user attended multiple sessions (</w:t>
                  </w:r>
                  <w:r w:rsidR="00DC6618" w:rsidRPr="00321BC5">
                    <w:rPr>
                      <w:lang w:val="en-US"/>
                    </w:rPr>
                    <w:t xml:space="preserve">around </w:t>
                  </w:r>
                  <w:r w:rsidR="00066FF4" w:rsidRPr="00321BC5">
                    <w:rPr>
                      <w:lang w:val="en-US"/>
                    </w:rPr>
                    <w:t>4</w:t>
                  </w:r>
                  <w:r w:rsidR="002A1F0E" w:rsidRPr="00321BC5">
                    <w:rPr>
                      <w:lang w:val="en-US"/>
                    </w:rPr>
                    <w:t>-</w:t>
                  </w:r>
                  <w:r w:rsidR="00066FF4" w:rsidRPr="00321BC5">
                    <w:rPr>
                      <w:lang w:val="en-US"/>
                    </w:rPr>
                    <w:t>5 sessions per service user annually).</w:t>
                  </w:r>
                  <w:r w:rsidR="00066FF4" w:rsidRPr="00321BC5">
                    <w:rPr>
                      <w:b/>
                      <w:lang w:val="en-US"/>
                    </w:rPr>
                    <w:t xml:space="preserve"> </w:t>
                  </w:r>
                  <w:r w:rsidR="00877163" w:rsidRPr="005510BE">
                    <w:rPr>
                      <w:b/>
                      <w:lang w:val="en-US"/>
                    </w:rPr>
                    <w:fldChar w:fldCharType="begin" w:fldLock="1"/>
                  </w:r>
                  <w:r w:rsidR="00877163" w:rsidRPr="005510BE">
                    <w:rPr>
                      <w:b/>
                      <w:lang w:val="en-US"/>
                    </w:rPr>
                    <w:instrText xml:space="preserve"> REF _Ref208235179 \h  \* MERGEFORMAT </w:instrText>
                  </w:r>
                  <w:r w:rsidR="00877163" w:rsidRPr="005510BE">
                    <w:rPr>
                      <w:b/>
                      <w:lang w:val="en-US"/>
                    </w:rPr>
                  </w:r>
                  <w:r w:rsidR="00877163" w:rsidRPr="005510BE">
                    <w:rPr>
                      <w:b/>
                      <w:lang w:val="en-US"/>
                    </w:rPr>
                    <w:fldChar w:fldCharType="separate"/>
                  </w:r>
                  <w:r w:rsidR="008F22E5" w:rsidRPr="008F22E5">
                    <w:rPr>
                      <w:b/>
                    </w:rPr>
                    <w:t xml:space="preserve">Figure </w:t>
                  </w:r>
                  <w:r w:rsidR="008F22E5" w:rsidRPr="008F22E5">
                    <w:rPr>
                      <w:b/>
                      <w:noProof/>
                    </w:rPr>
                    <w:t>10</w:t>
                  </w:r>
                  <w:r w:rsidR="00877163" w:rsidRPr="005510BE">
                    <w:rPr>
                      <w:b/>
                      <w:lang w:val="en-US"/>
                    </w:rPr>
                    <w:fldChar w:fldCharType="end"/>
                  </w:r>
                  <w:r w:rsidR="00877163" w:rsidRPr="00321BC5">
                    <w:rPr>
                      <w:b/>
                      <w:lang w:val="en-US"/>
                    </w:rPr>
                    <w:t xml:space="preserve"> </w:t>
                  </w:r>
                  <w:r w:rsidR="00066FF4" w:rsidRPr="00321BC5">
                    <w:rPr>
                      <w:lang w:val="en-US"/>
                    </w:rPr>
                    <w:t>provides a breakdown of sessions per financial year</w:t>
                  </w:r>
                  <w:r w:rsidR="007C2019" w:rsidRPr="00321BC5">
                    <w:rPr>
                      <w:lang w:val="en-US"/>
                    </w:rPr>
                    <w:t>,</w:t>
                  </w:r>
                  <w:r w:rsidR="00066FF4" w:rsidRPr="00321BC5">
                    <w:rPr>
                      <w:lang w:val="en-US"/>
                    </w:rPr>
                    <w:t xml:space="preserve"> noting </w:t>
                  </w:r>
                  <w:r w:rsidR="002A1F0E" w:rsidRPr="00321BC5">
                    <w:rPr>
                      <w:lang w:val="en-US"/>
                    </w:rPr>
                    <w:t>counselling was</w:t>
                  </w:r>
                  <w:r w:rsidR="00066FF4" w:rsidRPr="00321BC5">
                    <w:rPr>
                      <w:lang w:val="en-US"/>
                    </w:rPr>
                    <w:t xml:space="preserve"> the dominant session type.</w:t>
                  </w:r>
                </w:p>
                <w:p w14:paraId="677B68CF" w14:textId="77777777" w:rsidR="00955995" w:rsidRDefault="00955995" w:rsidP="00066FF4">
                  <w:pPr>
                    <w:pStyle w:val="Text"/>
                    <w:rPr>
                      <w:lang w:val="en-US"/>
                    </w:rPr>
                  </w:pPr>
                </w:p>
                <w:p w14:paraId="21525779" w14:textId="5DDB51A4" w:rsidR="007C2019" w:rsidRDefault="00877163" w:rsidP="00953B9E">
                  <w:pPr>
                    <w:pStyle w:val="TableFigure-Header"/>
                    <w:spacing w:line="276" w:lineRule="auto"/>
                  </w:pPr>
                  <w:bookmarkStart w:id="298" w:name="_Ref208235179"/>
                  <w:r w:rsidRPr="5B20B83A">
                    <w:rPr>
                      <w:lang w:val="en-NZ"/>
                    </w:rPr>
                    <w:lastRenderedPageBreak/>
                    <w:t xml:space="preserve">Figure </w:t>
                  </w:r>
                  <w:r w:rsidR="00C64C3D">
                    <w:rPr>
                      <w:lang w:val="en-NZ"/>
                    </w:rPr>
                    <w:fldChar w:fldCharType="begin"/>
                  </w:r>
                  <w:r w:rsidR="00C64C3D">
                    <w:rPr>
                      <w:lang w:val="en-NZ"/>
                    </w:rPr>
                    <w:instrText xml:space="preserve"> SEQ Figure \* ARABIC </w:instrText>
                  </w:r>
                  <w:r w:rsidR="00C64C3D">
                    <w:rPr>
                      <w:lang w:val="en-NZ"/>
                    </w:rPr>
                    <w:fldChar w:fldCharType="separate"/>
                  </w:r>
                  <w:r w:rsidR="008D2566">
                    <w:rPr>
                      <w:noProof/>
                      <w:lang w:val="en-NZ"/>
                    </w:rPr>
                    <w:t>10</w:t>
                  </w:r>
                  <w:r w:rsidR="00C64C3D">
                    <w:rPr>
                      <w:lang w:val="en-NZ"/>
                    </w:rPr>
                    <w:fldChar w:fldCharType="end"/>
                  </w:r>
                  <w:bookmarkEnd w:id="298"/>
                  <w:r w:rsidRPr="5B20B83A">
                    <w:rPr>
                      <w:lang w:val="en-NZ"/>
                    </w:rPr>
                    <w:t>: Number of SFVS sessions, 2021-22 to 2023-24</w:t>
                  </w:r>
                </w:p>
                <w:p w14:paraId="1B6C1C02" w14:textId="77777777" w:rsidR="004E7601" w:rsidRDefault="00AA088B" w:rsidP="003371DC">
                  <w:pPr>
                    <w:pStyle w:val="Text"/>
                    <w:rPr>
                      <w:i/>
                      <w:sz w:val="20"/>
                      <w:lang w:val="en-US"/>
                    </w:rPr>
                  </w:pPr>
                  <w:r>
                    <w:rPr>
                      <w:noProof/>
                    </w:rPr>
                    <w:drawing>
                      <wp:inline distT="0" distB="0" distL="0" distR="0" wp14:anchorId="5F554C69" wp14:editId="524CC03E">
                        <wp:extent cx="4909930" cy="4128052"/>
                        <wp:effectExtent l="0" t="0" r="5080" b="6350"/>
                        <wp:docPr id="201347312" name="Chart 1">
                          <a:extLst xmlns:a="http://schemas.openxmlformats.org/drawingml/2006/main">
                            <a:ext uri="{FF2B5EF4-FFF2-40B4-BE49-F238E27FC236}">
                              <a16:creationId xmlns:a16="http://schemas.microsoft.com/office/drawing/2014/main" id="{1BD0FEF5-B1F3-5D2F-C654-D83AA5D71869}"/>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3CD01988" w14:textId="2DA48416" w:rsidR="00B23409" w:rsidRPr="00321BC5" w:rsidRDefault="00B23409" w:rsidP="003371DC">
                  <w:pPr>
                    <w:pStyle w:val="Text"/>
                    <w:rPr>
                      <w:i/>
                      <w:iCs/>
                      <w:sz w:val="20"/>
                      <w:szCs w:val="18"/>
                      <w:lang w:val="en-US"/>
                    </w:rPr>
                  </w:pPr>
                  <w:r w:rsidRPr="00321BC5">
                    <w:rPr>
                      <w:i/>
                      <w:iCs/>
                      <w:sz w:val="20"/>
                      <w:szCs w:val="18"/>
                      <w:lang w:val="en-US"/>
                    </w:rPr>
                    <w:t xml:space="preserve">Source: DEX-SCORE data </w:t>
                  </w:r>
                </w:p>
                <w:p w14:paraId="0F562F16" w14:textId="77777777" w:rsidR="00592CF8" w:rsidRPr="00321BC5" w:rsidRDefault="00D13B66">
                  <w:pPr>
                    <w:pStyle w:val="Text-BodyHeading"/>
                    <w:spacing w:before="360" w:after="240"/>
                    <w:rPr>
                      <w:b w:val="0"/>
                      <w:bCs w:val="0"/>
                      <w:color w:val="auto"/>
                      <w:lang w:val="en-US"/>
                    </w:rPr>
                  </w:pPr>
                  <w:r w:rsidRPr="00321BC5">
                    <w:rPr>
                      <w:b w:val="0"/>
                      <w:bCs w:val="0"/>
                      <w:color w:val="auto"/>
                      <w:lang w:val="en-US"/>
                    </w:rPr>
                    <w:t>The c</w:t>
                  </w:r>
                  <w:r w:rsidR="00967ECF" w:rsidRPr="00321BC5">
                    <w:rPr>
                      <w:b w:val="0"/>
                      <w:bCs w:val="0"/>
                      <w:color w:val="auto"/>
                      <w:lang w:val="en-US"/>
                    </w:rPr>
                    <w:t xml:space="preserve">ost per </w:t>
                  </w:r>
                  <w:r w:rsidRPr="00321BC5">
                    <w:rPr>
                      <w:b w:val="0"/>
                      <w:bCs w:val="0"/>
                      <w:color w:val="auto"/>
                      <w:lang w:val="en-US"/>
                    </w:rPr>
                    <w:t xml:space="preserve">SFVS </w:t>
                  </w:r>
                  <w:r w:rsidR="00967ECF" w:rsidRPr="00321BC5">
                    <w:rPr>
                      <w:b w:val="0"/>
                      <w:bCs w:val="0"/>
                      <w:color w:val="auto"/>
                      <w:lang w:val="en-US"/>
                    </w:rPr>
                    <w:t xml:space="preserve">service user increased </w:t>
                  </w:r>
                  <w:r w:rsidR="00574495" w:rsidRPr="00321BC5">
                    <w:rPr>
                      <w:b w:val="0"/>
                      <w:bCs w:val="0"/>
                      <w:color w:val="auto"/>
                      <w:lang w:val="en-US"/>
                    </w:rPr>
                    <w:t>alongside funding</w:t>
                  </w:r>
                  <w:r w:rsidR="00967ECF" w:rsidRPr="00321BC5">
                    <w:rPr>
                      <w:b w:val="0"/>
                      <w:bCs w:val="0"/>
                      <w:color w:val="auto"/>
                      <w:lang w:val="en-US"/>
                    </w:rPr>
                    <w:t xml:space="preserve"> from approximately $1,098 per service user in 2021-22 to $1,127 in 2022-23 and $1,280 in 2023-24. </w:t>
                  </w:r>
                  <w:r w:rsidRPr="00321BC5">
                    <w:rPr>
                      <w:b w:val="0"/>
                      <w:bCs w:val="0"/>
                      <w:color w:val="auto"/>
                      <w:lang w:val="en-US"/>
                    </w:rPr>
                    <w:t>The c</w:t>
                  </w:r>
                  <w:r w:rsidR="00967ECF" w:rsidRPr="00321BC5">
                    <w:rPr>
                      <w:b w:val="0"/>
                      <w:bCs w:val="0"/>
                      <w:color w:val="auto"/>
                      <w:lang w:val="en-US"/>
                    </w:rPr>
                    <w:t>ost per session increased from around $123 in 2021-22 to $338 in 2022-23 and $367 in 2023-24.</w:t>
                  </w:r>
                </w:p>
                <w:p w14:paraId="72953275" w14:textId="767BD086" w:rsidR="00967ECF" w:rsidRPr="00BF5122" w:rsidRDefault="00967ECF" w:rsidP="00321BC5">
                  <w:pPr>
                    <w:pStyle w:val="Text-BodyHeading"/>
                    <w:spacing w:before="360" w:after="240"/>
                  </w:pPr>
                  <w:r w:rsidRPr="00BF5122">
                    <w:t>MBCP</w:t>
                  </w:r>
                </w:p>
                <w:p w14:paraId="37E577E7" w14:textId="4F686937" w:rsidR="00066FF4" w:rsidRPr="00321BC5" w:rsidRDefault="00066FF4" w:rsidP="00066FF4">
                  <w:pPr>
                    <w:pStyle w:val="Text"/>
                    <w:rPr>
                      <w:lang w:val="en-US"/>
                    </w:rPr>
                  </w:pPr>
                  <w:r w:rsidRPr="00321BC5">
                    <w:rPr>
                      <w:lang w:val="en-US"/>
                    </w:rPr>
                    <w:t xml:space="preserve">The number of individual service users participating in MBCPs </w:t>
                  </w:r>
                  <w:r w:rsidR="00497065" w:rsidRPr="00321BC5">
                    <w:rPr>
                      <w:lang w:val="en-US"/>
                    </w:rPr>
                    <w:t xml:space="preserve">funded under SFVS </w:t>
                  </w:r>
                  <w:r w:rsidRPr="00321BC5">
                    <w:rPr>
                      <w:lang w:val="en-US"/>
                    </w:rPr>
                    <w:t>rose each year,</w:t>
                  </w:r>
                  <w:r w:rsidR="00E01260" w:rsidRPr="00321BC5">
                    <w:rPr>
                      <w:lang w:val="en-US"/>
                    </w:rPr>
                    <w:t xml:space="preserve"> from </w:t>
                  </w:r>
                  <w:r w:rsidRPr="00321BC5">
                    <w:rPr>
                      <w:lang w:val="en-US"/>
                    </w:rPr>
                    <w:t xml:space="preserve">1,139 in 2021-22, </w:t>
                  </w:r>
                  <w:r w:rsidR="00E01260" w:rsidRPr="00321BC5">
                    <w:rPr>
                      <w:lang w:val="en-US"/>
                    </w:rPr>
                    <w:t xml:space="preserve">to </w:t>
                  </w:r>
                  <w:r w:rsidRPr="00321BC5">
                    <w:rPr>
                      <w:lang w:val="en-US"/>
                    </w:rPr>
                    <w:t xml:space="preserve">1,490 in 2022-23, and 1,747 in 2023-24. This growth is </w:t>
                  </w:r>
                  <w:r w:rsidR="00497065" w:rsidRPr="00321BC5">
                    <w:rPr>
                      <w:lang w:val="en-US"/>
                    </w:rPr>
                    <w:t xml:space="preserve">to be </w:t>
                  </w:r>
                  <w:r w:rsidRPr="00321BC5">
                    <w:rPr>
                      <w:lang w:val="en-US"/>
                    </w:rPr>
                    <w:t xml:space="preserve">expected given more programs started and existing programs reached capacity. The increasing service user numbers demonstrate expanding reach, </w:t>
                  </w:r>
                  <w:r w:rsidR="00497065" w:rsidRPr="00321BC5">
                    <w:rPr>
                      <w:lang w:val="en-US"/>
                    </w:rPr>
                    <w:t>al</w:t>
                  </w:r>
                  <w:r w:rsidRPr="00321BC5">
                    <w:rPr>
                      <w:lang w:val="en-US"/>
                    </w:rPr>
                    <w:t xml:space="preserve">though overall numbers are smaller than FaRS and SFVS. </w:t>
                  </w:r>
                </w:p>
                <w:p w14:paraId="1153C961" w14:textId="054A7CF1" w:rsidR="008F22E5" w:rsidRPr="008F22E5" w:rsidRDefault="00066FF4" w:rsidP="00832F44">
                  <w:pPr>
                    <w:pStyle w:val="Text"/>
                    <w:rPr>
                      <w:b/>
                      <w:bCs/>
                    </w:rPr>
                  </w:pPr>
                  <w:r w:rsidRPr="00321BC5">
                    <w:rPr>
                      <w:lang w:val="en-US"/>
                    </w:rPr>
                    <w:t xml:space="preserve">MBCP </w:t>
                  </w:r>
                  <w:r w:rsidR="00497065" w:rsidRPr="00321BC5">
                    <w:rPr>
                      <w:lang w:val="en-US"/>
                    </w:rPr>
                    <w:t xml:space="preserve">programs </w:t>
                  </w:r>
                  <w:r w:rsidRPr="00321BC5">
                    <w:rPr>
                      <w:lang w:val="en-US"/>
                    </w:rPr>
                    <w:t xml:space="preserve">are </w:t>
                  </w:r>
                  <w:r w:rsidR="0049231E" w:rsidRPr="00321BC5">
                    <w:rPr>
                      <w:lang w:val="en-US"/>
                    </w:rPr>
                    <w:t xml:space="preserve">generally </w:t>
                  </w:r>
                  <w:r w:rsidR="00E01260" w:rsidRPr="00321BC5">
                    <w:rPr>
                      <w:lang w:val="en-US"/>
                    </w:rPr>
                    <w:t>delivered</w:t>
                  </w:r>
                  <w:r w:rsidRPr="00321BC5">
                    <w:rPr>
                      <w:lang w:val="en-US"/>
                    </w:rPr>
                    <w:t xml:space="preserve"> </w:t>
                  </w:r>
                  <w:r w:rsidR="0049231E" w:rsidRPr="00321BC5">
                    <w:rPr>
                      <w:lang w:val="en-US"/>
                    </w:rPr>
                    <w:t>as group programs with a number of men meeting for a set number of</w:t>
                  </w:r>
                  <w:r w:rsidRPr="00321BC5">
                    <w:rPr>
                      <w:lang w:val="en-US"/>
                    </w:rPr>
                    <w:t xml:space="preserve"> sessions. The total number of </w:t>
                  </w:r>
                  <w:r w:rsidR="0049231E" w:rsidRPr="00321BC5">
                    <w:rPr>
                      <w:lang w:val="en-US"/>
                    </w:rPr>
                    <w:t xml:space="preserve">MBCP </w:t>
                  </w:r>
                  <w:r w:rsidRPr="00321BC5">
                    <w:rPr>
                      <w:lang w:val="en-US"/>
                    </w:rPr>
                    <w:t xml:space="preserve">sessions is estimated at 3,470 in </w:t>
                  </w:r>
                  <w:r w:rsidRPr="0086084E">
                    <w:rPr>
                      <w:lang w:val="en-US"/>
                    </w:rPr>
                    <w:t xml:space="preserve">2021-22, 4,997 sessions in 2022-23, and 6,930 sessions in 2023-24. These include all types of sessions (group meetings, individual check-ins, partner contacts, </w:t>
                  </w:r>
                  <w:r w:rsidR="00AC3203" w:rsidRPr="0086084E">
                    <w:rPr>
                      <w:lang w:val="en-US"/>
                    </w:rPr>
                    <w:t>etc.</w:t>
                  </w:r>
                  <w:r w:rsidR="00592CF8">
                    <w:rPr>
                      <w:lang w:val="en-US"/>
                    </w:rPr>
                    <w:t>)</w:t>
                  </w:r>
                  <w:r w:rsidRPr="0086084E">
                    <w:rPr>
                      <w:lang w:val="en-US"/>
                    </w:rPr>
                    <w:t>. The increase</w:t>
                  </w:r>
                  <w:r w:rsidR="007B6EB0" w:rsidRPr="0086084E">
                    <w:rPr>
                      <w:lang w:val="en-US"/>
                    </w:rPr>
                    <w:t xml:space="preserve"> in sessions</w:t>
                  </w:r>
                  <w:r w:rsidRPr="0086084E">
                    <w:rPr>
                      <w:lang w:val="en-US"/>
                    </w:rPr>
                    <w:t xml:space="preserve"> aligns with </w:t>
                  </w:r>
                  <w:r w:rsidR="007B6EB0" w:rsidRPr="0086084E">
                    <w:rPr>
                      <w:lang w:val="en-US"/>
                    </w:rPr>
                    <w:t xml:space="preserve">the increase in </w:t>
                  </w:r>
                  <w:r w:rsidRPr="0086084E">
                    <w:rPr>
                      <w:lang w:val="en-US"/>
                    </w:rPr>
                    <w:t>programs and service users each year</w:t>
                  </w:r>
                  <w:r w:rsidRPr="00C2583E">
                    <w:rPr>
                      <w:b/>
                      <w:bCs/>
                      <w:lang w:val="en-US"/>
                    </w:rPr>
                    <w:t xml:space="preserve">. </w:t>
                  </w:r>
                  <w:r w:rsidR="00877163" w:rsidRPr="00C2583E">
                    <w:rPr>
                      <w:b/>
                      <w:bCs/>
                      <w:lang w:val="en-US"/>
                    </w:rPr>
                    <w:fldChar w:fldCharType="begin" w:fldLock="1"/>
                  </w:r>
                  <w:r w:rsidR="00877163" w:rsidRPr="00C2583E">
                    <w:rPr>
                      <w:b/>
                      <w:bCs/>
                      <w:lang w:val="en-US"/>
                    </w:rPr>
                    <w:instrText xml:space="preserve"> REF _Ref208235272 \h  \* MERGEFORMAT </w:instrText>
                  </w:r>
                  <w:r w:rsidR="00877163" w:rsidRPr="00C2583E">
                    <w:rPr>
                      <w:b/>
                      <w:bCs/>
                      <w:lang w:val="en-US"/>
                    </w:rPr>
                  </w:r>
                  <w:r w:rsidR="00877163" w:rsidRPr="00C2583E">
                    <w:rPr>
                      <w:b/>
                      <w:bCs/>
                      <w:lang w:val="en-US"/>
                    </w:rPr>
                    <w:fldChar w:fldCharType="separate"/>
                  </w:r>
                </w:p>
                <w:p w14:paraId="233B6987" w14:textId="77777777" w:rsidR="00004359" w:rsidRDefault="008F22E5" w:rsidP="00832F44">
                  <w:pPr>
                    <w:pStyle w:val="Text"/>
                    <w:rPr>
                      <w:lang w:val="en-US"/>
                    </w:rPr>
                  </w:pPr>
                  <w:r w:rsidRPr="008F22E5">
                    <w:rPr>
                      <w:b/>
                      <w:bCs/>
                      <w:noProof/>
                    </w:rPr>
                    <w:t>Figure</w:t>
                  </w:r>
                  <w:r w:rsidRPr="5B20B83A">
                    <w:t xml:space="preserve"> </w:t>
                  </w:r>
                  <w:r w:rsidRPr="00004359">
                    <w:rPr>
                      <w:b/>
                      <w:bCs/>
                      <w:noProof/>
                    </w:rPr>
                    <w:t>11</w:t>
                  </w:r>
                  <w:r w:rsidR="00877163" w:rsidRPr="00C2583E">
                    <w:rPr>
                      <w:b/>
                      <w:bCs/>
                      <w:lang w:val="en-US"/>
                    </w:rPr>
                    <w:fldChar w:fldCharType="end"/>
                  </w:r>
                  <w:r w:rsidR="00877163" w:rsidRPr="0086084E">
                    <w:rPr>
                      <w:b/>
                      <w:bCs/>
                      <w:lang w:val="en-US"/>
                    </w:rPr>
                    <w:t xml:space="preserve"> </w:t>
                  </w:r>
                  <w:r w:rsidR="00066FF4" w:rsidRPr="0086084E">
                    <w:rPr>
                      <w:lang w:val="en-US"/>
                    </w:rPr>
                    <w:t>provides a breakdown of sessions per financial year.</w:t>
                  </w:r>
                </w:p>
                <w:p w14:paraId="3F37AE90" w14:textId="38B8FD0E" w:rsidR="00877163" w:rsidRPr="00004359" w:rsidRDefault="00004359" w:rsidP="00004359">
                  <w:pPr>
                    <w:rPr>
                      <w:lang w:val="en-US"/>
                    </w:rPr>
                  </w:pPr>
                  <w:r>
                    <w:rPr>
                      <w:lang w:val="en-US"/>
                    </w:rPr>
                    <w:br w:type="page"/>
                  </w:r>
                  <w:bookmarkStart w:id="299" w:name="_Ref208235272"/>
                  <w:r w:rsidR="00877163" w:rsidRPr="00004359">
                    <w:rPr>
                      <w:rFonts w:ascii="Arial" w:hAnsi="Arial"/>
                      <w:b/>
                      <w:sz w:val="21"/>
                    </w:rPr>
                    <w:lastRenderedPageBreak/>
                    <w:t xml:space="preserve">Figure </w:t>
                  </w:r>
                  <w:r w:rsidR="00C64C3D" w:rsidRPr="00004359">
                    <w:rPr>
                      <w:rFonts w:ascii="Arial" w:hAnsi="Arial"/>
                      <w:b/>
                      <w:sz w:val="21"/>
                    </w:rPr>
                    <w:fldChar w:fldCharType="begin"/>
                  </w:r>
                  <w:r w:rsidR="00C64C3D" w:rsidRPr="00004359">
                    <w:rPr>
                      <w:rFonts w:ascii="Arial" w:hAnsi="Arial"/>
                      <w:b/>
                      <w:sz w:val="21"/>
                    </w:rPr>
                    <w:instrText xml:space="preserve"> SEQ Figure \* ARABIC </w:instrText>
                  </w:r>
                  <w:r w:rsidR="00C64C3D" w:rsidRPr="00004359">
                    <w:rPr>
                      <w:rFonts w:ascii="Arial" w:hAnsi="Arial"/>
                      <w:b/>
                      <w:sz w:val="21"/>
                    </w:rPr>
                    <w:fldChar w:fldCharType="separate"/>
                  </w:r>
                  <w:r w:rsidR="008D2566">
                    <w:rPr>
                      <w:rFonts w:ascii="Arial" w:hAnsi="Arial"/>
                      <w:b/>
                      <w:noProof/>
                      <w:sz w:val="21"/>
                    </w:rPr>
                    <w:t>11</w:t>
                  </w:r>
                  <w:r w:rsidR="00C64C3D" w:rsidRPr="00004359">
                    <w:rPr>
                      <w:rFonts w:ascii="Arial" w:hAnsi="Arial"/>
                      <w:b/>
                      <w:sz w:val="21"/>
                    </w:rPr>
                    <w:fldChar w:fldCharType="end"/>
                  </w:r>
                  <w:bookmarkEnd w:id="299"/>
                  <w:r w:rsidR="00877163" w:rsidRPr="00004359">
                    <w:rPr>
                      <w:rFonts w:ascii="Arial" w:hAnsi="Arial"/>
                      <w:b/>
                      <w:sz w:val="21"/>
                    </w:rPr>
                    <w:t>: Number of MBCP sessions, 2021-2</w:t>
                  </w:r>
                  <w:r w:rsidR="00D50A0C" w:rsidRPr="00004359">
                    <w:rPr>
                      <w:rFonts w:ascii="Arial" w:hAnsi="Arial"/>
                      <w:b/>
                      <w:sz w:val="21"/>
                    </w:rPr>
                    <w:t>2</w:t>
                  </w:r>
                  <w:r w:rsidR="00877163" w:rsidRPr="00004359">
                    <w:rPr>
                      <w:rFonts w:ascii="Arial" w:hAnsi="Arial"/>
                      <w:b/>
                      <w:sz w:val="21"/>
                    </w:rPr>
                    <w:t xml:space="preserve"> to 2023-24</w:t>
                  </w:r>
                </w:p>
                <w:p w14:paraId="0AE45A5D" w14:textId="69AF2B50" w:rsidR="00066FF4" w:rsidRDefault="00B23409" w:rsidP="003371DC">
                  <w:pPr>
                    <w:pStyle w:val="Text"/>
                    <w:rPr>
                      <w:lang w:val="en-US"/>
                    </w:rPr>
                  </w:pPr>
                  <w:r>
                    <w:rPr>
                      <w:noProof/>
                    </w:rPr>
                    <w:drawing>
                      <wp:inline distT="0" distB="0" distL="0" distR="0" wp14:anchorId="72D83FAA" wp14:editId="6577EC87">
                        <wp:extent cx="5128591" cy="4111460"/>
                        <wp:effectExtent l="0" t="0" r="15240" b="3810"/>
                        <wp:docPr id="1139017991" name="Chart 1">
                          <a:extLst xmlns:a="http://schemas.openxmlformats.org/drawingml/2006/main">
                            <a:ext uri="{FF2B5EF4-FFF2-40B4-BE49-F238E27FC236}">
                              <a16:creationId xmlns:a16="http://schemas.microsoft.com/office/drawing/2014/main" id="{6C9D221F-46C5-A4CA-0E21-657DF749B8D8}"/>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54EDADFC" w14:textId="2F87CA11" w:rsidR="00B23409" w:rsidRPr="009F5B0D" w:rsidRDefault="00B23409" w:rsidP="003371DC">
                  <w:pPr>
                    <w:pStyle w:val="Text"/>
                    <w:rPr>
                      <w:i/>
                      <w:iCs/>
                      <w:sz w:val="20"/>
                      <w:szCs w:val="18"/>
                      <w:lang w:val="en-US"/>
                    </w:rPr>
                  </w:pPr>
                  <w:r w:rsidRPr="009F5B0D">
                    <w:rPr>
                      <w:i/>
                      <w:iCs/>
                      <w:sz w:val="20"/>
                      <w:szCs w:val="18"/>
                      <w:lang w:val="en-US"/>
                    </w:rPr>
                    <w:t>Source: DEX-SCORE data</w:t>
                  </w:r>
                </w:p>
                <w:p w14:paraId="6F9C67F5" w14:textId="79D3D1E9" w:rsidR="00D87976" w:rsidRPr="00BF5122" w:rsidRDefault="00A35358" w:rsidP="00967ECF">
                  <w:pPr>
                    <w:pStyle w:val="Text"/>
                    <w:rPr>
                      <w:lang w:val="en-US"/>
                    </w:rPr>
                  </w:pPr>
                  <w:r>
                    <w:rPr>
                      <w:lang w:val="en-US"/>
                    </w:rPr>
                    <w:t>The c</w:t>
                  </w:r>
                  <w:r w:rsidR="00967ECF" w:rsidRPr="00292AB8">
                    <w:rPr>
                      <w:lang w:val="en-US"/>
                    </w:rPr>
                    <w:t>ost per</w:t>
                  </w:r>
                  <w:r>
                    <w:rPr>
                      <w:lang w:val="en-US"/>
                    </w:rPr>
                    <w:t xml:space="preserve"> MBCP participant</w:t>
                  </w:r>
                  <w:r w:rsidR="00967ECF" w:rsidRPr="00292AB8">
                    <w:rPr>
                      <w:lang w:val="en-US"/>
                    </w:rPr>
                    <w:t xml:space="preserve"> was relatively high due to the</w:t>
                  </w:r>
                  <w:r w:rsidR="006307CE">
                    <w:rPr>
                      <w:lang w:val="en-US"/>
                    </w:rPr>
                    <w:t xml:space="preserve"> </w:t>
                  </w:r>
                  <w:r w:rsidR="00610480">
                    <w:rPr>
                      <w:lang w:val="en-US"/>
                    </w:rPr>
                    <w:t xml:space="preserve">programs’ </w:t>
                  </w:r>
                  <w:r w:rsidR="00967ECF" w:rsidRPr="00292AB8">
                    <w:rPr>
                      <w:lang w:val="en-US"/>
                    </w:rPr>
                    <w:t>intensive nature</w:t>
                  </w:r>
                  <w:r>
                    <w:rPr>
                      <w:lang w:val="en-US"/>
                    </w:rPr>
                    <w:t>,</w:t>
                  </w:r>
                  <w:r w:rsidR="005A3EB0">
                    <w:rPr>
                      <w:lang w:val="en-US"/>
                    </w:rPr>
                    <w:t xml:space="preserve"> costing </w:t>
                  </w:r>
                  <w:r w:rsidR="00967ECF" w:rsidRPr="00292AB8">
                    <w:rPr>
                      <w:lang w:val="en-US"/>
                    </w:rPr>
                    <w:t>around $</w:t>
                  </w:r>
                  <w:r w:rsidR="00967ECF" w:rsidRPr="723DB891">
                    <w:rPr>
                      <w:lang w:val="en-US"/>
                    </w:rPr>
                    <w:t>827</w:t>
                  </w:r>
                  <w:r w:rsidR="00967ECF" w:rsidRPr="00292AB8">
                    <w:rPr>
                      <w:lang w:val="en-US"/>
                    </w:rPr>
                    <w:t xml:space="preserve"> per </w:t>
                  </w:r>
                  <w:r w:rsidR="00967ECF">
                    <w:rPr>
                      <w:lang w:val="en-US"/>
                    </w:rPr>
                    <w:t>service user</w:t>
                  </w:r>
                  <w:r w:rsidR="00967ECF" w:rsidRPr="00292AB8">
                    <w:rPr>
                      <w:lang w:val="en-US"/>
                    </w:rPr>
                    <w:t xml:space="preserve"> in 2021-22, increasing to $1,940 in 2022-23</w:t>
                  </w:r>
                  <w:r w:rsidR="005A3EB0">
                    <w:rPr>
                      <w:lang w:val="en-US"/>
                    </w:rPr>
                    <w:t>,</w:t>
                  </w:r>
                  <w:r w:rsidR="00967ECF" w:rsidRPr="00292AB8">
                    <w:rPr>
                      <w:lang w:val="en-US"/>
                    </w:rPr>
                    <w:t xml:space="preserve"> and $1,992 in 2023-24. </w:t>
                  </w:r>
                  <w:r>
                    <w:rPr>
                      <w:lang w:val="en-US"/>
                    </w:rPr>
                    <w:t>The c</w:t>
                  </w:r>
                  <w:r w:rsidR="00967ECF" w:rsidRPr="00292AB8">
                    <w:rPr>
                      <w:lang w:val="en-US"/>
                    </w:rPr>
                    <w:t>ost per session was $271 in 2021-22, increasing to $578 in 2022-23</w:t>
                  </w:r>
                  <w:r w:rsidR="00AA05B6">
                    <w:rPr>
                      <w:lang w:val="en-US"/>
                    </w:rPr>
                    <w:t>,</w:t>
                  </w:r>
                  <w:r w:rsidR="00967ECF" w:rsidRPr="00292AB8">
                    <w:rPr>
                      <w:lang w:val="en-US"/>
                    </w:rPr>
                    <w:t xml:space="preserve"> and $502 in 2023-24. The 2022</w:t>
                  </w:r>
                  <w:r w:rsidR="007B6EB0">
                    <w:rPr>
                      <w:lang w:val="en-US"/>
                    </w:rPr>
                    <w:t>-</w:t>
                  </w:r>
                  <w:r w:rsidR="00967ECF" w:rsidRPr="00292AB8">
                    <w:rPr>
                      <w:lang w:val="en-US"/>
                    </w:rPr>
                    <w:t xml:space="preserve">23 figure is </w:t>
                  </w:r>
                  <w:r w:rsidR="00AA05B6">
                    <w:rPr>
                      <w:lang w:val="en-US"/>
                    </w:rPr>
                    <w:t xml:space="preserve">slightly </w:t>
                  </w:r>
                  <w:r w:rsidR="00967ECF" w:rsidRPr="00292AB8">
                    <w:rPr>
                      <w:lang w:val="en-US"/>
                    </w:rPr>
                    <w:t xml:space="preserve">higher, suggesting perhaps shorter programs that year </w:t>
                  </w:r>
                  <w:r w:rsidR="00AA05B6">
                    <w:rPr>
                      <w:lang w:val="en-US"/>
                    </w:rPr>
                    <w:t xml:space="preserve">with </w:t>
                  </w:r>
                  <w:r w:rsidR="00967ECF" w:rsidRPr="00292AB8">
                    <w:rPr>
                      <w:lang w:val="en-US"/>
                    </w:rPr>
                    <w:t xml:space="preserve">fewer sessions per </w:t>
                  </w:r>
                  <w:r w:rsidR="00967ECF">
                    <w:rPr>
                      <w:lang w:val="en-US"/>
                    </w:rPr>
                    <w:t>service user</w:t>
                  </w:r>
                  <w:r w:rsidR="00967ECF" w:rsidRPr="00292AB8">
                    <w:rPr>
                      <w:lang w:val="en-US"/>
                    </w:rPr>
                    <w:t xml:space="preserve"> or startup cost</w:t>
                  </w:r>
                  <w:r w:rsidR="00AA05B6">
                    <w:rPr>
                      <w:lang w:val="en-US"/>
                    </w:rPr>
                    <w:t xml:space="preserve"> issues for new</w:t>
                  </w:r>
                  <w:r w:rsidR="007B6EB0">
                    <w:rPr>
                      <w:lang w:val="en-US"/>
                    </w:rPr>
                    <w:t xml:space="preserve"> service providers.</w:t>
                  </w:r>
                  <w:r w:rsidR="00967ECF" w:rsidRPr="00292AB8">
                    <w:rPr>
                      <w:lang w:val="en-US"/>
                    </w:rPr>
                    <w:t xml:space="preserve"> </w:t>
                  </w:r>
                  <w:r w:rsidR="00AA05B6">
                    <w:rPr>
                      <w:lang w:val="en-US"/>
                    </w:rPr>
                    <w:t>B</w:t>
                  </w:r>
                  <w:r w:rsidR="00967ECF" w:rsidRPr="00292AB8">
                    <w:rPr>
                      <w:lang w:val="en-US"/>
                    </w:rPr>
                    <w:t xml:space="preserve">y 2023-24 the cost per session came down slightly as efficiency improved. Overall, MBCPs cost more per </w:t>
                  </w:r>
                  <w:r>
                    <w:rPr>
                      <w:lang w:val="en-US"/>
                    </w:rPr>
                    <w:t>participant</w:t>
                  </w:r>
                  <w:r w:rsidR="00967ECF" w:rsidRPr="00292AB8">
                    <w:rPr>
                      <w:lang w:val="en-US"/>
                    </w:rPr>
                    <w:t xml:space="preserve"> than general counselling because of the required group facilitation, risk management, and length of service.</w:t>
                  </w:r>
                </w:p>
                <w:p w14:paraId="28A797AA" w14:textId="77777777" w:rsidR="00967ECF" w:rsidRPr="00BF5122" w:rsidRDefault="00967ECF" w:rsidP="00321BC5">
                  <w:pPr>
                    <w:pStyle w:val="Text-BodyHeading"/>
                    <w:spacing w:before="360" w:after="240"/>
                  </w:pPr>
                  <w:r w:rsidRPr="00BF5122">
                    <w:t>CSC</w:t>
                  </w:r>
                </w:p>
                <w:p w14:paraId="4BABFF87" w14:textId="341AECD6" w:rsidR="00B23409" w:rsidRDefault="00066FF4" w:rsidP="00066FF4">
                  <w:pPr>
                    <w:pStyle w:val="Text"/>
                    <w:rPr>
                      <w:lang w:val="en-US"/>
                    </w:rPr>
                  </w:pPr>
                  <w:r w:rsidRPr="00321BC5">
                    <w:rPr>
                      <w:lang w:val="en-US"/>
                    </w:rPr>
                    <w:t>The number of</w:t>
                  </w:r>
                  <w:r w:rsidRPr="7A425E3B">
                    <w:rPr>
                      <w:lang w:val="en-US"/>
                    </w:rPr>
                    <w:t xml:space="preserve"> </w:t>
                  </w:r>
                  <w:r w:rsidR="00C87DEA">
                    <w:rPr>
                      <w:lang w:val="en-US"/>
                    </w:rPr>
                    <w:t>service users</w:t>
                  </w:r>
                  <w:r w:rsidRPr="00321BC5">
                    <w:rPr>
                      <w:lang w:val="en-US"/>
                    </w:rPr>
                    <w:t xml:space="preserve"> </w:t>
                  </w:r>
                  <w:r w:rsidR="008A3D16" w:rsidRPr="00321BC5">
                    <w:rPr>
                      <w:lang w:val="en-US"/>
                    </w:rPr>
                    <w:t>who received services under CSC rose from 2,175</w:t>
                  </w:r>
                  <w:r w:rsidR="00EB242A" w:rsidRPr="00321BC5">
                    <w:rPr>
                      <w:lang w:val="en-US"/>
                    </w:rPr>
                    <w:t xml:space="preserve"> </w:t>
                  </w:r>
                  <w:r w:rsidR="008A3D16" w:rsidRPr="00321BC5">
                    <w:rPr>
                      <w:lang w:val="en-US"/>
                    </w:rPr>
                    <w:t xml:space="preserve">in 2021-22 to </w:t>
                  </w:r>
                  <w:r w:rsidRPr="00321BC5">
                    <w:rPr>
                      <w:lang w:val="en-US"/>
                    </w:rPr>
                    <w:t>2,526</w:t>
                  </w:r>
                  <w:r w:rsidR="00EB242A" w:rsidRPr="00321BC5">
                    <w:rPr>
                      <w:lang w:val="en-US"/>
                    </w:rPr>
                    <w:t xml:space="preserve"> </w:t>
                  </w:r>
                  <w:r w:rsidRPr="00321BC5">
                    <w:rPr>
                      <w:lang w:val="en-US"/>
                    </w:rPr>
                    <w:t>in 2022-23 with a decrease to 1,861</w:t>
                  </w:r>
                  <w:r w:rsidR="00EB242A" w:rsidRPr="00321BC5">
                    <w:rPr>
                      <w:lang w:val="en-US"/>
                    </w:rPr>
                    <w:t xml:space="preserve"> </w:t>
                  </w:r>
                  <w:r w:rsidRPr="00321BC5">
                    <w:rPr>
                      <w:lang w:val="en-US"/>
                    </w:rPr>
                    <w:t xml:space="preserve">in 2023-24. </w:t>
                  </w:r>
                  <w:r w:rsidR="00710E88" w:rsidRPr="00321BC5">
                    <w:rPr>
                      <w:lang w:val="en-US"/>
                    </w:rPr>
                    <w:t xml:space="preserve">These child counselling programs were primarily one-on-one services with children and their caregivers. They generally did not involve ‘group service users’ in the way other programs might (except possibly therapeutic group activities for children). </w:t>
                  </w:r>
                  <w:r w:rsidRPr="00321BC5">
                    <w:rPr>
                      <w:lang w:val="en-US"/>
                    </w:rPr>
                    <w:t xml:space="preserve">Considering the intense nature of child therapy, these figures represent a meaningful reach. The total </w:t>
                  </w:r>
                  <w:r w:rsidR="00025FBD" w:rsidRPr="00321BC5">
                    <w:rPr>
                      <w:lang w:val="en-US"/>
                    </w:rPr>
                    <w:t xml:space="preserve">number of Child Specific Counselling </w:t>
                  </w:r>
                  <w:r w:rsidRPr="00321BC5">
                    <w:rPr>
                      <w:lang w:val="en-US"/>
                    </w:rPr>
                    <w:t>sessions delivered w</w:t>
                  </w:r>
                  <w:r w:rsidR="00025FBD" w:rsidRPr="00321BC5">
                    <w:rPr>
                      <w:lang w:val="en-US"/>
                    </w:rPr>
                    <w:t>as</w:t>
                  </w:r>
                  <w:r w:rsidRPr="00321BC5">
                    <w:rPr>
                      <w:lang w:val="en-US"/>
                    </w:rPr>
                    <w:t xml:space="preserve"> substantial given the intensive work</w:t>
                  </w:r>
                  <w:r w:rsidR="00965E6F" w:rsidRPr="00321BC5">
                    <w:rPr>
                      <w:lang w:val="en-US"/>
                    </w:rPr>
                    <w:t xml:space="preserve"> required</w:t>
                  </w:r>
                  <w:r w:rsidRPr="00321BC5">
                    <w:rPr>
                      <w:lang w:val="en-US"/>
                    </w:rPr>
                    <w:t xml:space="preserve">: 8,509 sessions in 2021-22, 6,128 sessions in </w:t>
                  </w:r>
                  <w:r w:rsidRPr="00321BC5">
                    <w:rPr>
                      <w:lang w:val="en-US"/>
                    </w:rPr>
                    <w:lastRenderedPageBreak/>
                    <w:t>2022-23, and 7,556 sessions in 2023-24.</w:t>
                  </w:r>
                  <w:r w:rsidR="00E055C8">
                    <w:rPr>
                      <w:rFonts w:ascii="ZWAdobeF" w:hAnsi="ZWAdobeF" w:cs="ZWAdobeF"/>
                      <w:sz w:val="2"/>
                      <w:szCs w:val="2"/>
                      <w:lang w:val="en-US"/>
                    </w:rPr>
                    <w:t>9F</w:t>
                  </w:r>
                  <w:r w:rsidR="00965E6F" w:rsidRPr="00321BC5">
                    <w:rPr>
                      <w:rStyle w:val="FootnoteReference"/>
                      <w:lang w:val="en-US"/>
                    </w:rPr>
                    <w:footnoteReference w:id="11"/>
                  </w:r>
                  <w:r w:rsidRPr="00321BC5">
                    <w:rPr>
                      <w:lang w:val="en-US"/>
                    </w:rPr>
                    <w:t xml:space="preserve"> </w:t>
                  </w:r>
                  <w:r w:rsidR="00710E88" w:rsidRPr="00321BC5">
                    <w:rPr>
                      <w:lang w:val="en-US"/>
                    </w:rPr>
                    <w:t>E</w:t>
                  </w:r>
                  <w:r w:rsidRPr="00321BC5">
                    <w:rPr>
                      <w:lang w:val="en-US"/>
                    </w:rPr>
                    <w:t>ach child received on average 3</w:t>
                  </w:r>
                  <w:r w:rsidR="00965E6F" w:rsidRPr="00321BC5">
                    <w:rPr>
                      <w:lang w:val="en-US"/>
                    </w:rPr>
                    <w:t>-</w:t>
                  </w:r>
                  <w:r w:rsidRPr="00321BC5">
                    <w:rPr>
                      <w:lang w:val="en-US"/>
                    </w:rPr>
                    <w:t xml:space="preserve">5 sessions (some would have many more, others perhaps a single assessment). </w:t>
                  </w:r>
                  <w:r w:rsidR="00DC639B" w:rsidRPr="00DC639B">
                    <w:rPr>
                      <w:b/>
                      <w:bCs/>
                      <w:lang w:val="en-US"/>
                    </w:rPr>
                    <w:fldChar w:fldCharType="begin" w:fldLock="1"/>
                  </w:r>
                  <w:r w:rsidR="00DC639B" w:rsidRPr="00DC639B">
                    <w:rPr>
                      <w:b/>
                      <w:bCs/>
                      <w:lang w:val="en-US"/>
                    </w:rPr>
                    <w:instrText xml:space="preserve"> REF _Ref208476343 \h  \* MERGEFORMAT </w:instrText>
                  </w:r>
                  <w:r w:rsidR="00DC639B" w:rsidRPr="00DC639B">
                    <w:rPr>
                      <w:b/>
                      <w:bCs/>
                      <w:lang w:val="en-US"/>
                    </w:rPr>
                  </w:r>
                  <w:r w:rsidR="00DC639B" w:rsidRPr="00DC639B">
                    <w:rPr>
                      <w:b/>
                      <w:bCs/>
                      <w:lang w:val="en-US"/>
                    </w:rPr>
                    <w:fldChar w:fldCharType="separate"/>
                  </w:r>
                  <w:r w:rsidR="008F22E5" w:rsidRPr="008F22E5">
                    <w:rPr>
                      <w:b/>
                      <w:bCs/>
                    </w:rPr>
                    <w:t xml:space="preserve">Figure </w:t>
                  </w:r>
                  <w:r w:rsidR="008F22E5" w:rsidRPr="008F22E5">
                    <w:rPr>
                      <w:b/>
                      <w:bCs/>
                      <w:noProof/>
                    </w:rPr>
                    <w:t>12</w:t>
                  </w:r>
                  <w:r w:rsidR="00DC639B" w:rsidRPr="00DC639B">
                    <w:rPr>
                      <w:b/>
                      <w:bCs/>
                      <w:lang w:val="en-US"/>
                    </w:rPr>
                    <w:fldChar w:fldCharType="end"/>
                  </w:r>
                  <w:r>
                    <w:rPr>
                      <w:b/>
                      <w:lang w:val="en-US"/>
                    </w:rPr>
                    <w:t xml:space="preserve"> </w:t>
                  </w:r>
                  <w:r w:rsidRPr="00321BC5">
                    <w:rPr>
                      <w:lang w:val="en-US"/>
                    </w:rPr>
                    <w:t>provides a breakdown of sessions per financial year. The fluctuation suggests some projects ramped down or shifted focus between years, but thousands of therapeutic sessions were provided annually to help children process trauma and strengthen resilience. These activities were recorded mostly as counselling and intake sessions</w:t>
                  </w:r>
                  <w:r w:rsidR="00965E6F" w:rsidRPr="00321BC5">
                    <w:rPr>
                      <w:lang w:val="en-US"/>
                    </w:rPr>
                    <w:t>.</w:t>
                  </w:r>
                </w:p>
                <w:p w14:paraId="0C614140" w14:textId="26537DD0" w:rsidR="0023488E" w:rsidRDefault="0023488E" w:rsidP="00953B9E">
                  <w:pPr>
                    <w:pStyle w:val="TableFigure-Header"/>
                    <w:spacing w:line="276" w:lineRule="auto"/>
                  </w:pPr>
                  <w:bookmarkStart w:id="300" w:name="_Ref208476343"/>
                  <w:r w:rsidRPr="5B20B83A">
                    <w:rPr>
                      <w:lang w:val="en-NZ"/>
                    </w:rPr>
                    <w:t xml:space="preserve">Figure </w:t>
                  </w:r>
                  <w:r w:rsidR="00C64C3D">
                    <w:rPr>
                      <w:lang w:val="en-NZ"/>
                    </w:rPr>
                    <w:fldChar w:fldCharType="begin"/>
                  </w:r>
                  <w:r w:rsidR="00C64C3D">
                    <w:rPr>
                      <w:lang w:val="en-NZ"/>
                    </w:rPr>
                    <w:instrText xml:space="preserve"> SEQ Figure \* ARABIC </w:instrText>
                  </w:r>
                  <w:r w:rsidR="00C64C3D">
                    <w:rPr>
                      <w:lang w:val="en-NZ"/>
                    </w:rPr>
                    <w:fldChar w:fldCharType="separate"/>
                  </w:r>
                  <w:r w:rsidR="008D2566">
                    <w:rPr>
                      <w:noProof/>
                      <w:lang w:val="en-NZ"/>
                    </w:rPr>
                    <w:t>12</w:t>
                  </w:r>
                  <w:r w:rsidR="00C64C3D">
                    <w:rPr>
                      <w:lang w:val="en-NZ"/>
                    </w:rPr>
                    <w:fldChar w:fldCharType="end"/>
                  </w:r>
                  <w:bookmarkEnd w:id="300"/>
                  <w:r w:rsidRPr="5B20B83A">
                    <w:rPr>
                      <w:lang w:val="en-NZ"/>
                    </w:rPr>
                    <w:t>: Number of CSC sessions, 2021-22 to 2023-24</w:t>
                  </w:r>
                </w:p>
                <w:p w14:paraId="573573ED" w14:textId="7BBFA9FE" w:rsidR="00B23409" w:rsidRPr="00D63E8D" w:rsidRDefault="00B23409" w:rsidP="003371DC">
                  <w:pPr>
                    <w:pStyle w:val="Text"/>
                    <w:rPr>
                      <w:noProof/>
                    </w:rPr>
                  </w:pPr>
                  <w:r w:rsidRPr="00B23409">
                    <w:rPr>
                      <w:noProof/>
                    </w:rPr>
                    <w:t xml:space="preserve"> </w:t>
                  </w:r>
                  <w:r>
                    <w:rPr>
                      <w:noProof/>
                    </w:rPr>
                    <w:drawing>
                      <wp:inline distT="0" distB="0" distL="0" distR="0" wp14:anchorId="7CB7C2B6" wp14:editId="44B9E75C">
                        <wp:extent cx="5325745" cy="4490114"/>
                        <wp:effectExtent l="0" t="0" r="8255" b="5715"/>
                        <wp:docPr id="490674898" name="Chart 1">
                          <a:extLst xmlns:a="http://schemas.openxmlformats.org/drawingml/2006/main">
                            <a:ext uri="{FF2B5EF4-FFF2-40B4-BE49-F238E27FC236}">
                              <a16:creationId xmlns:a16="http://schemas.microsoft.com/office/drawing/2014/main" id="{3FAFEFCA-39B0-40F5-A986-EB66F8B5CC5E}"/>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r w:rsidRPr="009F5B0D">
                    <w:rPr>
                      <w:i/>
                      <w:iCs/>
                      <w:noProof/>
                      <w:sz w:val="20"/>
                      <w:szCs w:val="18"/>
                    </w:rPr>
                    <w:t>Source: DEX-SCORE data</w:t>
                  </w:r>
                </w:p>
                <w:p w14:paraId="02794A32" w14:textId="762EB009" w:rsidR="007C3AF3" w:rsidRPr="006C49E0" w:rsidRDefault="00025FBD" w:rsidP="006C49E0">
                  <w:pPr>
                    <w:pStyle w:val="Text"/>
                    <w:rPr>
                      <w:lang w:val="en-US"/>
                    </w:rPr>
                  </w:pPr>
                  <w:r w:rsidRPr="00321BC5">
                    <w:rPr>
                      <w:lang w:val="en-US"/>
                    </w:rPr>
                    <w:t>The c</w:t>
                  </w:r>
                  <w:r w:rsidR="00066FF4" w:rsidRPr="00321BC5">
                    <w:rPr>
                      <w:lang w:val="en-US"/>
                    </w:rPr>
                    <w:t>ost per service user for</w:t>
                  </w:r>
                  <w:r w:rsidR="00066FF4" w:rsidRPr="32461AB8">
                    <w:rPr>
                      <w:lang w:val="en-US"/>
                    </w:rPr>
                    <w:t xml:space="preserve"> </w:t>
                  </w:r>
                  <w:r w:rsidR="0FAD509C" w:rsidRPr="32461AB8">
                    <w:rPr>
                      <w:lang w:val="en-US"/>
                    </w:rPr>
                    <w:t>CSC</w:t>
                  </w:r>
                  <w:r w:rsidR="00066FF4" w:rsidRPr="00321BC5">
                    <w:rPr>
                      <w:lang w:val="en-US"/>
                    </w:rPr>
                    <w:t xml:space="preserve"> rose from $816 per child in 2021-22, to $1,647 in 2022-23 and $2,661 in 2023-24. This trend indicates that as funding increased, the intensity per child also increased, </w:t>
                  </w:r>
                  <w:r w:rsidR="000F0F66" w:rsidRPr="00321BC5">
                    <w:rPr>
                      <w:lang w:val="en-US"/>
                    </w:rPr>
                    <w:t xml:space="preserve">with </w:t>
                  </w:r>
                  <w:r w:rsidR="00066FF4" w:rsidRPr="00321BC5">
                    <w:rPr>
                      <w:lang w:val="en-US"/>
                    </w:rPr>
                    <w:t>children</w:t>
                  </w:r>
                  <w:r w:rsidR="000F0F66" w:rsidRPr="00321BC5">
                    <w:rPr>
                      <w:lang w:val="en-US"/>
                    </w:rPr>
                    <w:t xml:space="preserve"> potentially</w:t>
                  </w:r>
                  <w:r w:rsidR="00066FF4" w:rsidRPr="00321BC5">
                    <w:rPr>
                      <w:lang w:val="en-US"/>
                    </w:rPr>
                    <w:t xml:space="preserve"> receiving more sessions or more specialist support. </w:t>
                  </w:r>
                  <w:r w:rsidR="000F0F66" w:rsidRPr="00321BC5">
                    <w:rPr>
                      <w:lang w:val="en-US"/>
                    </w:rPr>
                    <w:t>The c</w:t>
                  </w:r>
                  <w:r w:rsidR="00066FF4" w:rsidRPr="00321BC5">
                    <w:rPr>
                      <w:lang w:val="en-US"/>
                    </w:rPr>
                    <w:t>ost per session also increased, from $209 per session in 2021-22, to $679 in 2022-23 and $655 in 2023-24.</w:t>
                  </w:r>
                </w:p>
                <w:p w14:paraId="368016E3" w14:textId="77777777" w:rsidR="00967ECF" w:rsidRDefault="00967ECF" w:rsidP="00321BC5">
                  <w:pPr>
                    <w:pStyle w:val="Text-BodyHeading"/>
                    <w:spacing w:before="360" w:after="240"/>
                  </w:pPr>
                  <w:r>
                    <w:t>MensLine</w:t>
                  </w:r>
                </w:p>
                <w:p w14:paraId="21099A17" w14:textId="387B881A" w:rsidR="00514259" w:rsidRPr="00321BC5" w:rsidRDefault="00967ECF" w:rsidP="00967ECF">
                  <w:pPr>
                    <w:pStyle w:val="Text"/>
                    <w:rPr>
                      <w:lang w:val="en-US"/>
                    </w:rPr>
                  </w:pPr>
                  <w:r w:rsidRPr="00321BC5">
                    <w:rPr>
                      <w:lang w:val="en-US"/>
                    </w:rPr>
                    <w:t>Two sources of information are available to examine the efficiency of MensLine Australia</w:t>
                  </w:r>
                  <w:r w:rsidR="008C323F" w:rsidRPr="00321BC5">
                    <w:rPr>
                      <w:lang w:val="en-US"/>
                    </w:rPr>
                    <w:t>:</w:t>
                  </w:r>
                  <w:r w:rsidRPr="00321BC5">
                    <w:rPr>
                      <w:lang w:val="en-US"/>
                    </w:rPr>
                    <w:t xml:space="preserve"> the GPS – DEX data extract covering the period 2021-22 to 2023-24 and a data update provided </w:t>
                  </w:r>
                  <w:r w:rsidRPr="00321BC5">
                    <w:rPr>
                      <w:lang w:val="en-US"/>
                    </w:rPr>
                    <w:lastRenderedPageBreak/>
                    <w:t xml:space="preserve">directly </w:t>
                  </w:r>
                  <w:r w:rsidR="00610480" w:rsidRPr="00321BC5">
                    <w:rPr>
                      <w:lang w:val="en-US"/>
                    </w:rPr>
                    <w:t xml:space="preserve">by </w:t>
                  </w:r>
                  <w:r w:rsidRPr="00321BC5">
                    <w:rPr>
                      <w:lang w:val="en-US"/>
                    </w:rPr>
                    <w:t xml:space="preserve">Lifeline up to June 2024. The latter data source is used in this analysis as it is more complete. </w:t>
                  </w:r>
                </w:p>
                <w:p w14:paraId="6AFAD602" w14:textId="6FCBB8A0" w:rsidR="00967ECF" w:rsidRPr="00321BC5" w:rsidRDefault="00967ECF" w:rsidP="00967ECF">
                  <w:pPr>
                    <w:pStyle w:val="Text"/>
                    <w:rPr>
                      <w:lang w:val="en-US"/>
                    </w:rPr>
                  </w:pPr>
                  <w:r w:rsidRPr="00321BC5">
                    <w:rPr>
                      <w:lang w:val="en-US"/>
                    </w:rPr>
                    <w:t xml:space="preserve">MensLine Australia experienced strong demand for its telephone and online chat counselling services in 2023-24, receiving 77,247 inbound </w:t>
                  </w:r>
                  <w:r w:rsidR="00514259" w:rsidRPr="00321BC5">
                    <w:rPr>
                      <w:lang w:val="en-US"/>
                    </w:rPr>
                    <w:t>calls</w:t>
                  </w:r>
                  <w:r w:rsidRPr="00321BC5">
                    <w:rPr>
                      <w:lang w:val="en-US"/>
                    </w:rPr>
                    <w:t xml:space="preserve"> </w:t>
                  </w:r>
                  <w:r w:rsidR="00514259" w:rsidRPr="00321BC5">
                    <w:rPr>
                      <w:lang w:val="en-US"/>
                    </w:rPr>
                    <w:t>of which</w:t>
                  </w:r>
                  <w:r w:rsidRPr="00321BC5">
                    <w:rPr>
                      <w:lang w:val="en-US"/>
                    </w:rPr>
                    <w:t xml:space="preserve"> 56,228 </w:t>
                  </w:r>
                  <w:r w:rsidR="00514259" w:rsidRPr="00321BC5">
                    <w:rPr>
                      <w:lang w:val="en-US"/>
                    </w:rPr>
                    <w:t>were answered</w:t>
                  </w:r>
                  <w:r w:rsidRPr="00321BC5">
                    <w:rPr>
                      <w:lang w:val="en-US"/>
                    </w:rPr>
                    <w:t xml:space="preserve"> (</w:t>
                  </w:r>
                  <w:r w:rsidR="00514259" w:rsidRPr="00321BC5">
                    <w:rPr>
                      <w:lang w:val="en-US"/>
                    </w:rPr>
                    <w:t xml:space="preserve">a </w:t>
                  </w:r>
                  <w:r w:rsidRPr="00321BC5">
                    <w:rPr>
                      <w:lang w:val="en-US"/>
                    </w:rPr>
                    <w:t xml:space="preserve">73% answer rate), up from 53,458 answered calls in 2022-23. The remaining 21,019 contacts went unanswered (either abandoned by the caller or not picked up). The median wait times for abandoned calls was 3.6 minutes in 2023-24, up from 2.36 minutes in 2022-23. Median talk times increased from 15 minutes in 2022-23 to 17.18 minutes in 2023-24, reflecting service users engaging in longer counselling conversations. </w:t>
                  </w:r>
                </w:p>
                <w:p w14:paraId="33F0F8DF" w14:textId="6B0153B7" w:rsidR="00967ECF" w:rsidRPr="00321BC5" w:rsidRDefault="00967ECF" w:rsidP="00967ECF">
                  <w:pPr>
                    <w:pStyle w:val="Text"/>
                    <w:rPr>
                      <w:lang w:val="en-US"/>
                    </w:rPr>
                  </w:pPr>
                  <w:r w:rsidRPr="00321BC5">
                    <w:rPr>
                      <w:lang w:val="en-US"/>
                    </w:rPr>
                    <w:t>MensLine also provides callback counselling sessions. In 2023-24, a total of 3,067 outbound call attempts were made to service users, of which 2,820 were successfully connected (92% success). By comparison, outbound attempts were slightly higher in 2022-2023 (3,267) but have been declining since the COVID-19 pandemic. The average duration of outbound calls was 7.9 minutes in 2023-24 compared with 7.12 minutes in 2022-23, Of the outbound calls answered in 2023-24, 1,101 resulted in a completed counselling session</w:t>
                  </w:r>
                  <w:r w:rsidR="00D31ADF" w:rsidRPr="00321BC5">
                    <w:rPr>
                      <w:lang w:val="en-US"/>
                    </w:rPr>
                    <w:t>. T</w:t>
                  </w:r>
                  <w:r w:rsidRPr="00321BC5">
                    <w:rPr>
                      <w:lang w:val="en-US"/>
                    </w:rPr>
                    <w:t xml:space="preserve">he remainder were shorter interactions not reaching a full counselling outcome. </w:t>
                  </w:r>
                  <w:r w:rsidR="004A2272" w:rsidRPr="00321BC5">
                    <w:rPr>
                      <w:lang w:val="en-US"/>
                    </w:rPr>
                    <w:t>The d</w:t>
                  </w:r>
                  <w:r w:rsidRPr="00321BC5">
                    <w:rPr>
                      <w:lang w:val="en-US"/>
                    </w:rPr>
                    <w:t xml:space="preserve">emand for scheduled outbound counselling is seasonal, tending to decrease over the summer months, likely as service users’ availability or needs fluctuate. </w:t>
                  </w:r>
                </w:p>
                <w:p w14:paraId="3E885D73" w14:textId="23B7C190" w:rsidR="00967ECF" w:rsidRPr="00321BC5" w:rsidRDefault="00967ECF" w:rsidP="00967ECF">
                  <w:pPr>
                    <w:pStyle w:val="Text"/>
                    <w:rPr>
                      <w:lang w:val="en-US"/>
                    </w:rPr>
                  </w:pPr>
                  <w:r w:rsidRPr="00321BC5">
                    <w:rPr>
                      <w:lang w:val="en-US"/>
                    </w:rPr>
                    <w:t xml:space="preserve">When contacting MensLine, service users are asked about the main problem or concern </w:t>
                  </w:r>
                  <w:r w:rsidR="004A2272" w:rsidRPr="00321BC5">
                    <w:rPr>
                      <w:lang w:val="en-US"/>
                    </w:rPr>
                    <w:t>which led to them</w:t>
                  </w:r>
                  <w:r w:rsidRPr="00321BC5">
                    <w:rPr>
                      <w:lang w:val="en-US"/>
                    </w:rPr>
                    <w:t xml:space="preserve"> seek</w:t>
                  </w:r>
                  <w:r w:rsidR="004A2272" w:rsidRPr="00321BC5">
                    <w:rPr>
                      <w:lang w:val="en-US"/>
                    </w:rPr>
                    <w:t>ing</w:t>
                  </w:r>
                  <w:r w:rsidRPr="00321BC5">
                    <w:rPr>
                      <w:lang w:val="en-US"/>
                    </w:rPr>
                    <w:t xml:space="preserve"> help. </w:t>
                  </w:r>
                  <w:r w:rsidR="004A2272" w:rsidRPr="00321BC5">
                    <w:rPr>
                      <w:lang w:val="en-US"/>
                    </w:rPr>
                    <w:t>Data for</w:t>
                  </w:r>
                  <w:r w:rsidRPr="00321BC5">
                    <w:rPr>
                      <w:lang w:val="en-US"/>
                    </w:rPr>
                    <w:t xml:space="preserve"> 2023-24 show that MensLine predominantly supports men with mental health and relationship challenges. Mental health was recorded as the primary issue in 42.7% of cases (21,611 contacts)</w:t>
                  </w:r>
                  <w:r w:rsidR="004A2272" w:rsidRPr="00321BC5">
                    <w:rPr>
                      <w:lang w:val="en-US"/>
                    </w:rPr>
                    <w:t xml:space="preserve"> and </w:t>
                  </w:r>
                  <w:r w:rsidRPr="00321BC5">
                    <w:rPr>
                      <w:lang w:val="en-US"/>
                    </w:rPr>
                    <w:t>relationship problems in 24.3% of cases (12,279 contacts)</w:t>
                  </w:r>
                  <w:r w:rsidR="004A2272" w:rsidRPr="00321BC5">
                    <w:rPr>
                      <w:lang w:val="en-US"/>
                    </w:rPr>
                    <w:t>, whilst family</w:t>
                  </w:r>
                  <w:r w:rsidRPr="00321BC5">
                    <w:rPr>
                      <w:lang w:val="en-US"/>
                    </w:rPr>
                    <w:t xml:space="preserve"> violence</w:t>
                  </w:r>
                  <w:r w:rsidR="004A2272" w:rsidRPr="00321BC5">
                    <w:rPr>
                      <w:lang w:val="en-US"/>
                    </w:rPr>
                    <w:t xml:space="preserve"> was recorded</w:t>
                  </w:r>
                  <w:r w:rsidRPr="00321BC5">
                    <w:rPr>
                      <w:lang w:val="en-US"/>
                    </w:rPr>
                    <w:t xml:space="preserve"> in 5.6% of cases (2,852 contacts).</w:t>
                  </w:r>
                </w:p>
                <w:p w14:paraId="1075E7D6" w14:textId="279E7CBD" w:rsidR="00967ECF" w:rsidRPr="00321BC5" w:rsidRDefault="00967ECF" w:rsidP="00967ECF">
                  <w:pPr>
                    <w:pStyle w:val="Text"/>
                    <w:rPr>
                      <w:lang w:val="en-US"/>
                    </w:rPr>
                  </w:pPr>
                  <w:r w:rsidRPr="00321BC5">
                    <w:rPr>
                      <w:lang w:val="en-US"/>
                    </w:rPr>
                    <w:t xml:space="preserve">MensLine counsellors also provide referrals or service suggestions to callers for further support. In 2023-24, about 14.5% of interactions resulted in an outbound referral, </w:t>
                  </w:r>
                  <w:r w:rsidR="003F69EC">
                    <w:rPr>
                      <w:lang w:val="en-US"/>
                    </w:rPr>
                    <w:t>amounting to</w:t>
                  </w:r>
                  <w:r w:rsidR="003F69EC" w:rsidRPr="00321BC5">
                    <w:rPr>
                      <w:lang w:val="en-US"/>
                    </w:rPr>
                    <w:t xml:space="preserve"> </w:t>
                  </w:r>
                  <w:r w:rsidRPr="00321BC5">
                    <w:rPr>
                      <w:lang w:val="en-US"/>
                    </w:rPr>
                    <w:t>7,316 referrals given to service users. The other 85% of cases did not require an external referral with the issue handled within the counselling session. The most frequent referrals were to counselling services (1,975 referrals, 3.9% of all cases), followed by mental health services (837 referrals, 1.7% of all cases)</w:t>
                  </w:r>
                  <w:r w:rsidR="003E3525" w:rsidRPr="00321BC5">
                    <w:rPr>
                      <w:lang w:val="en-US"/>
                    </w:rPr>
                    <w:t>,</w:t>
                  </w:r>
                  <w:r w:rsidRPr="00321BC5">
                    <w:rPr>
                      <w:lang w:val="en-US"/>
                    </w:rPr>
                    <w:t xml:space="preserve"> and legal assistance and advice (789 referrals, 1.6% of all cases).</w:t>
                  </w:r>
                </w:p>
                <w:p w14:paraId="164BB52B" w14:textId="4F7AF004" w:rsidR="00967ECF" w:rsidRPr="00321BC5" w:rsidRDefault="00967ECF" w:rsidP="00967ECF">
                  <w:pPr>
                    <w:pStyle w:val="Text"/>
                    <w:rPr>
                      <w:lang w:val="en-US"/>
                    </w:rPr>
                  </w:pPr>
                  <w:r w:rsidRPr="00321BC5">
                    <w:rPr>
                      <w:lang w:val="en-US"/>
                    </w:rPr>
                    <w:t>The average cost per answered call is estimated at $92.38 in 2022-23 and $86.66 in 2023-24. Client data was only available for 2023-24 (n=22,197) with cost per service user estimated at $219.51.</w:t>
                  </w:r>
                </w:p>
                <w:p w14:paraId="1096D650" w14:textId="77777777" w:rsidR="006C0F21" w:rsidRDefault="006C0F21">
                  <w:pPr>
                    <w:rPr>
                      <w:b/>
                      <w:bCs/>
                      <w:color w:val="36424A" w:themeColor="background2"/>
                      <w:spacing w:val="2"/>
                      <w:lang w:val="en-GB"/>
                    </w:rPr>
                  </w:pPr>
                  <w:r>
                    <w:br w:type="page"/>
                  </w:r>
                </w:p>
                <w:p w14:paraId="45F0A80A" w14:textId="1D5CEA57" w:rsidR="009D1F90" w:rsidRPr="00D63E8D" w:rsidRDefault="009D1F90" w:rsidP="00321BC5">
                  <w:pPr>
                    <w:pStyle w:val="Text-BodyHeading"/>
                    <w:spacing w:before="360" w:after="240"/>
                  </w:pPr>
                  <w:r w:rsidRPr="00D63E8D">
                    <w:lastRenderedPageBreak/>
                    <w:t xml:space="preserve">Comparison of cost per client and session for the four programs </w:t>
                  </w:r>
                </w:p>
                <w:p w14:paraId="00796C51" w14:textId="4E594C71" w:rsidR="008209B0" w:rsidRPr="00066FF4" w:rsidRDefault="009861DC" w:rsidP="00066FF4">
                  <w:pPr>
                    <w:pStyle w:val="Text"/>
                    <w:rPr>
                      <w:lang w:val="en-US"/>
                    </w:rPr>
                  </w:pPr>
                  <w:r w:rsidRPr="009861DC">
                    <w:rPr>
                      <w:b/>
                      <w:bCs/>
                      <w:lang w:val="en-US"/>
                    </w:rPr>
                    <w:fldChar w:fldCharType="begin" w:fldLock="1"/>
                  </w:r>
                  <w:r w:rsidRPr="009861DC">
                    <w:rPr>
                      <w:b/>
                      <w:bCs/>
                      <w:lang w:val="en-US"/>
                    </w:rPr>
                    <w:instrText xml:space="preserve"> REF _Ref208475536 \h </w:instrText>
                  </w:r>
                  <w:r w:rsidRPr="00321BC5">
                    <w:rPr>
                      <w:b/>
                      <w:bCs/>
                      <w:lang w:val="en-US"/>
                    </w:rPr>
                    <w:instrText xml:space="preserve"> \* MERGEFORMAT </w:instrText>
                  </w:r>
                  <w:r w:rsidRPr="009861DC">
                    <w:rPr>
                      <w:b/>
                      <w:bCs/>
                      <w:lang w:val="en-US"/>
                    </w:rPr>
                  </w:r>
                  <w:r w:rsidRPr="009861DC">
                    <w:rPr>
                      <w:b/>
                      <w:bCs/>
                      <w:lang w:val="en-US"/>
                    </w:rPr>
                    <w:fldChar w:fldCharType="separate"/>
                  </w:r>
                  <w:r w:rsidR="008F22E5" w:rsidRPr="008F22E5">
                    <w:rPr>
                      <w:b/>
                      <w:bCs/>
                    </w:rPr>
                    <w:t xml:space="preserve">Figure </w:t>
                  </w:r>
                  <w:r w:rsidR="008F22E5" w:rsidRPr="008F22E5">
                    <w:rPr>
                      <w:b/>
                      <w:bCs/>
                      <w:noProof/>
                    </w:rPr>
                    <w:t>13</w:t>
                  </w:r>
                  <w:r w:rsidRPr="009861DC">
                    <w:rPr>
                      <w:b/>
                      <w:bCs/>
                      <w:lang w:val="en-US"/>
                    </w:rPr>
                    <w:fldChar w:fldCharType="end"/>
                  </w:r>
                  <w:r>
                    <w:rPr>
                      <w:b/>
                      <w:bCs/>
                      <w:lang w:val="en-US"/>
                    </w:rPr>
                    <w:t xml:space="preserve"> </w:t>
                  </w:r>
                  <w:r w:rsidRPr="00321BC5">
                    <w:rPr>
                      <w:lang w:val="en-US"/>
                    </w:rPr>
                    <w:t xml:space="preserve">and </w:t>
                  </w:r>
                  <w:r w:rsidRPr="009861DC">
                    <w:rPr>
                      <w:b/>
                      <w:bCs/>
                      <w:lang w:val="en-US"/>
                    </w:rPr>
                    <w:fldChar w:fldCharType="begin" w:fldLock="1"/>
                  </w:r>
                  <w:r w:rsidRPr="009861DC">
                    <w:rPr>
                      <w:b/>
                      <w:bCs/>
                      <w:lang w:val="en-US"/>
                    </w:rPr>
                    <w:instrText xml:space="preserve"> REF _Ref208475538 \h </w:instrText>
                  </w:r>
                  <w:r w:rsidRPr="00321BC5">
                    <w:rPr>
                      <w:b/>
                      <w:bCs/>
                      <w:lang w:val="en-US"/>
                    </w:rPr>
                    <w:instrText xml:space="preserve"> \* MERGEFORMAT </w:instrText>
                  </w:r>
                  <w:r w:rsidRPr="009861DC">
                    <w:rPr>
                      <w:b/>
                      <w:bCs/>
                      <w:lang w:val="en-US"/>
                    </w:rPr>
                  </w:r>
                  <w:r w:rsidRPr="009861DC">
                    <w:rPr>
                      <w:b/>
                      <w:bCs/>
                      <w:lang w:val="en-US"/>
                    </w:rPr>
                    <w:fldChar w:fldCharType="separate"/>
                  </w:r>
                  <w:r w:rsidR="008F22E5" w:rsidRPr="008F22E5">
                    <w:rPr>
                      <w:b/>
                      <w:bCs/>
                    </w:rPr>
                    <w:t xml:space="preserve">Figure </w:t>
                  </w:r>
                  <w:r w:rsidR="008F22E5" w:rsidRPr="008F22E5">
                    <w:rPr>
                      <w:b/>
                      <w:bCs/>
                      <w:noProof/>
                    </w:rPr>
                    <w:t>14</w:t>
                  </w:r>
                  <w:r w:rsidRPr="009861DC">
                    <w:rPr>
                      <w:b/>
                      <w:bCs/>
                      <w:lang w:val="en-US"/>
                    </w:rPr>
                    <w:fldChar w:fldCharType="end"/>
                  </w:r>
                  <w:r>
                    <w:rPr>
                      <w:b/>
                      <w:bCs/>
                      <w:lang w:val="en-US"/>
                    </w:rPr>
                    <w:t xml:space="preserve"> </w:t>
                  </w:r>
                  <w:r w:rsidR="00066FF4" w:rsidRPr="00321BC5">
                    <w:rPr>
                      <w:lang w:val="en-US"/>
                    </w:rPr>
                    <w:t>provide a comparison of cost per client and cost per session for each program across the period 2</w:t>
                  </w:r>
                  <w:r w:rsidR="00D963C4" w:rsidRPr="00321BC5">
                    <w:rPr>
                      <w:lang w:val="en-US"/>
                    </w:rPr>
                    <w:t>02</w:t>
                  </w:r>
                  <w:r w:rsidR="00066FF4" w:rsidRPr="00321BC5">
                    <w:rPr>
                      <w:lang w:val="en-US"/>
                    </w:rPr>
                    <w:t>1-22 to 2</w:t>
                  </w:r>
                  <w:r w:rsidR="00D963C4" w:rsidRPr="00321BC5">
                    <w:rPr>
                      <w:lang w:val="en-US"/>
                    </w:rPr>
                    <w:t>02</w:t>
                  </w:r>
                  <w:r w:rsidR="00066FF4" w:rsidRPr="00321BC5">
                    <w:rPr>
                      <w:lang w:val="en-US"/>
                    </w:rPr>
                    <w:t>3-24. The diagrams illustrate that both costs per client and cost per session have shown an increasing trend over time with MBCP and CSC incurring higher relative costs than FaRS and SFVS.</w:t>
                  </w:r>
                  <w:r w:rsidR="00066FF4" w:rsidRPr="00066FF4">
                    <w:rPr>
                      <w:lang w:val="en-US"/>
                    </w:rPr>
                    <w:t xml:space="preserve"> </w:t>
                  </w:r>
                </w:p>
                <w:p w14:paraId="1257A83B" w14:textId="44058055" w:rsidR="009861DC" w:rsidRDefault="009861DC" w:rsidP="00953B9E">
                  <w:pPr>
                    <w:pStyle w:val="TableFigure-Header"/>
                    <w:spacing w:line="276" w:lineRule="auto"/>
                  </w:pPr>
                  <w:bookmarkStart w:id="301" w:name="_Ref208475536"/>
                  <w:r w:rsidRPr="5B20B83A">
                    <w:rPr>
                      <w:lang w:val="en-NZ"/>
                    </w:rPr>
                    <w:t xml:space="preserve">Figure </w:t>
                  </w:r>
                  <w:r w:rsidR="00C64C3D">
                    <w:rPr>
                      <w:lang w:val="en-NZ"/>
                    </w:rPr>
                    <w:fldChar w:fldCharType="begin"/>
                  </w:r>
                  <w:r w:rsidR="00C64C3D">
                    <w:rPr>
                      <w:lang w:val="en-NZ"/>
                    </w:rPr>
                    <w:instrText xml:space="preserve"> SEQ Figure \* ARABIC </w:instrText>
                  </w:r>
                  <w:r w:rsidR="00C64C3D">
                    <w:rPr>
                      <w:lang w:val="en-NZ"/>
                    </w:rPr>
                    <w:fldChar w:fldCharType="separate"/>
                  </w:r>
                  <w:r w:rsidR="008D2566">
                    <w:rPr>
                      <w:noProof/>
                      <w:lang w:val="en-NZ"/>
                    </w:rPr>
                    <w:t>13</w:t>
                  </w:r>
                  <w:r w:rsidR="00C64C3D">
                    <w:rPr>
                      <w:lang w:val="en-NZ"/>
                    </w:rPr>
                    <w:fldChar w:fldCharType="end"/>
                  </w:r>
                  <w:bookmarkEnd w:id="301"/>
                  <w:r w:rsidRPr="5B20B83A">
                    <w:rPr>
                      <w:lang w:val="en-NZ"/>
                    </w:rPr>
                    <w:t>: Cost per client</w:t>
                  </w:r>
                </w:p>
                <w:p w14:paraId="4E0A95E6" w14:textId="76DDF862" w:rsidR="00E6160D" w:rsidRPr="00066FF4" w:rsidRDefault="0079468B" w:rsidP="00066FF4">
                  <w:pPr>
                    <w:pStyle w:val="Text"/>
                    <w:rPr>
                      <w:lang w:val="en-US"/>
                    </w:rPr>
                  </w:pPr>
                  <w:r>
                    <w:rPr>
                      <w:noProof/>
                    </w:rPr>
                    <w:drawing>
                      <wp:inline distT="0" distB="0" distL="0" distR="0" wp14:anchorId="44540C3D" wp14:editId="2AED98FA">
                        <wp:extent cx="5635256" cy="3221665"/>
                        <wp:effectExtent l="0" t="0" r="3810" b="17145"/>
                        <wp:docPr id="312864458" name="Chart 1">
                          <a:extLst xmlns:a="http://schemas.openxmlformats.org/drawingml/2006/main">
                            <a:ext uri="{FF2B5EF4-FFF2-40B4-BE49-F238E27FC236}">
                              <a16:creationId xmlns:a16="http://schemas.microsoft.com/office/drawing/2014/main" id="{20521B4A-B3DC-8719-0291-BE295B75D6AD}"/>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5408A5D1" w14:textId="3862CABD" w:rsidR="0079468B" w:rsidRPr="009F5B0D" w:rsidRDefault="0079468B" w:rsidP="00066FF4">
                  <w:pPr>
                    <w:pStyle w:val="Text"/>
                    <w:rPr>
                      <w:i/>
                      <w:iCs/>
                      <w:sz w:val="20"/>
                      <w:szCs w:val="18"/>
                      <w:lang w:val="en-US"/>
                    </w:rPr>
                  </w:pPr>
                  <w:r w:rsidRPr="009F5B0D">
                    <w:rPr>
                      <w:i/>
                      <w:iCs/>
                      <w:sz w:val="20"/>
                      <w:szCs w:val="18"/>
                      <w:lang w:val="en-US"/>
                    </w:rPr>
                    <w:t>Source: DEX-SCORE data</w:t>
                  </w:r>
                </w:p>
                <w:p w14:paraId="42BFD91C" w14:textId="650084A8" w:rsidR="0079468B" w:rsidRPr="00321BC5" w:rsidRDefault="009861DC" w:rsidP="00953B9E">
                  <w:pPr>
                    <w:pStyle w:val="TableFigure-Header"/>
                    <w:spacing w:line="276" w:lineRule="auto"/>
                    <w:rPr>
                      <w:rStyle w:val="TableFigure-HeaderChar"/>
                      <w:lang w:val="en-NZ"/>
                    </w:rPr>
                  </w:pPr>
                  <w:bookmarkStart w:id="302" w:name="_Ref208475538"/>
                  <w:r w:rsidRPr="5B20B83A">
                    <w:rPr>
                      <w:lang w:val="en-NZ"/>
                    </w:rPr>
                    <w:t xml:space="preserve">Figure </w:t>
                  </w:r>
                  <w:r w:rsidR="00C64C3D">
                    <w:rPr>
                      <w:lang w:val="en-NZ"/>
                    </w:rPr>
                    <w:fldChar w:fldCharType="begin"/>
                  </w:r>
                  <w:r w:rsidR="00C64C3D">
                    <w:rPr>
                      <w:lang w:val="en-NZ"/>
                    </w:rPr>
                    <w:instrText xml:space="preserve"> SEQ Figure \* ARABIC </w:instrText>
                  </w:r>
                  <w:r w:rsidR="00C64C3D">
                    <w:rPr>
                      <w:lang w:val="en-NZ"/>
                    </w:rPr>
                    <w:fldChar w:fldCharType="separate"/>
                  </w:r>
                  <w:r w:rsidR="008D2566">
                    <w:rPr>
                      <w:noProof/>
                      <w:lang w:val="en-NZ"/>
                    </w:rPr>
                    <w:t>14</w:t>
                  </w:r>
                  <w:r w:rsidR="00C64C3D">
                    <w:rPr>
                      <w:lang w:val="en-NZ"/>
                    </w:rPr>
                    <w:fldChar w:fldCharType="end"/>
                  </w:r>
                  <w:bookmarkEnd w:id="302"/>
                  <w:r w:rsidRPr="5B20B83A">
                    <w:rPr>
                      <w:lang w:val="en-NZ"/>
                    </w:rPr>
                    <w:t>: Cost per session</w:t>
                  </w:r>
                </w:p>
                <w:p w14:paraId="75BBAC52" w14:textId="471A9159" w:rsidR="0079468B" w:rsidRPr="0079468B" w:rsidRDefault="009861DC" w:rsidP="00066FF4">
                  <w:pPr>
                    <w:pStyle w:val="Text"/>
                    <w:rPr>
                      <w:lang w:val="en-US"/>
                    </w:rPr>
                  </w:pPr>
                  <w:r>
                    <w:rPr>
                      <w:noProof/>
                    </w:rPr>
                    <w:drawing>
                      <wp:inline distT="0" distB="0" distL="0" distR="0" wp14:anchorId="699BB3CE" wp14:editId="78127F84">
                        <wp:extent cx="5677786" cy="3179135"/>
                        <wp:effectExtent l="0" t="0" r="18415" b="2540"/>
                        <wp:docPr id="228870982" name="Chart 1">
                          <a:extLst xmlns:a="http://schemas.openxmlformats.org/drawingml/2006/main">
                            <a:ext uri="{FF2B5EF4-FFF2-40B4-BE49-F238E27FC236}">
                              <a16:creationId xmlns:a16="http://schemas.microsoft.com/office/drawing/2014/main" id="{C5C3853F-D7E7-8C43-D733-457BD0D270E2}"/>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7171DD7A" w14:textId="575E0951" w:rsidR="00967ECF" w:rsidRDefault="00967ECF" w:rsidP="0016671D">
                  <w:pPr>
                    <w:pStyle w:val="Heading3"/>
                    <w:ind w:left="1418" w:hanging="1418"/>
                  </w:pPr>
                  <w:r w:rsidRPr="004F57C4">
                    <w:lastRenderedPageBreak/>
                    <w:t xml:space="preserve">International evidence relating to </w:t>
                  </w:r>
                  <w:r w:rsidR="008271CF">
                    <w:t xml:space="preserve">comparable </w:t>
                  </w:r>
                  <w:r w:rsidRPr="004F57C4">
                    <w:t xml:space="preserve">interventions </w:t>
                  </w:r>
                </w:p>
                <w:p w14:paraId="23E9B55D" w14:textId="2CFE3EDD" w:rsidR="002A7478" w:rsidRDefault="00967ECF" w:rsidP="00967ECF">
                  <w:pPr>
                    <w:pStyle w:val="Text"/>
                    <w:rPr>
                      <w:lang w:val="en-US"/>
                    </w:rPr>
                  </w:pPr>
                  <w:r w:rsidRPr="009B6A6D">
                    <w:t>Sheppard et al</w:t>
                  </w:r>
                  <w:r>
                    <w:t xml:space="preserve">. </w:t>
                  </w:r>
                  <w:r w:rsidR="00063F5D" w:rsidRPr="00063F5D">
                    <w:fldChar w:fldCharType="begin"/>
                  </w:r>
                  <w:r w:rsidR="003A464F">
                    <w:instrText xml:space="preserve"> ADDIN ZOTERO_ITEM CSL_CITATION {"citationID":"a1vii5ar2gu","properties":{"formattedCitation":"(2024)","plainCitation":"(2024)","noteIndex":0},"citationItems":[{"id":"KNHaqWe9/25WvFmFo","uris":["http://zotero.org/groups/5691188/items/2NF7F5MG"],"itemData":{"id":5704,"type":"article-journal","abstract":"PURPOSE: To systematically summarise the recent literature on the cost and cost effectiveness of interventions implemented to reduce violence against women (VAW) and decision frameworks guiding resource allocation.\nMETHOD: A scoping review of scholarly and grey literature on the cost-effectiveness and/or resource allocation for interventions addressing intimate partner violence (IPV), dating violence and non-partner sexual violence perpetrated against women aged 15 years and over. All settings and contexts were eligible, with papers published in English between 2010 and March 2023 included.\nRESULTS: Nineteen papers fulfilled the inclusion criteria reporting the cost, cost savings and/or cost effectiveness of 24 interventions to prevent IPV and to a lesser extent, other forms of interpersonal violence. Among the 16 economic evaluation studies reviewed, four types of interventions were cost effective in multiple settings or studies, including community activism (Uganda, Ghana), gender transformative interventions with couples and individuals (Ethiopia, Rwanda), specific justice and law enforcement measures (USA) and a combined personnel training, support, and referral programme in General Practice in the UK. Other interventions were cost effective in a single study or had conflicting evidence. Three remaining papers conducted a partial evaluation or cost appraisal providing limited information on the cost or cost-savings of other implemented interventions. No frameworks on resource allocation for the prevention of VAW were identified.\nCONCLUSION: While there is some evidence of cost effectiveness emerging for interventions implemented in specific contexts, overall, we find the recent evidence on costs and cost effectiveness of interventions for the prevention of VAW to be limited. Embedding economic evaluation in future effectiveness trials will build critical evidence needed to inform policy and resource allocation decisions based on the value-for-money of interventions. Modelling the benefits and costs of interventions to better understand the societal impacts of programmes at scale is a further research opportunity.","container-title":"Applied Health Economics and Health Policy","DOI":"10.1007/s40258-023-00870-0","ISSN":"1179-1896","issue":"3","journalAbbreviation":"Appl Health Econ Health Policy","language":"eng","note":"PMID: 38279982\nPMCID: PMC11021229","page":"283-296","source":"PubMed","title":"What Interventions are Cost Effective in Reducing Violence Against Women? A Scoping Review","title-short":"What Interventions are Cost Effective in Reducing Violence Against Women?","volume":"22","author":[{"family":"Sheppard","given":"Lauren"},{"family":"Alsubhi","given":"Moosa"},{"family":"Brown","given":"Vicki"},{"family":"Le","given":"Ha"},{"family":"Robinson","given":"Kim"},{"family":"Moodie","given":"Marj"}],"issued":{"date-parts":[["2024",5]]}},"suppress-author":true}],"schema":"https://github.com/citation-style-language/schema/raw/master/csl-citation.json"} </w:instrText>
                  </w:r>
                  <w:r w:rsidR="00063F5D" w:rsidRPr="00063F5D">
                    <w:fldChar w:fldCharType="separate"/>
                  </w:r>
                  <w:r w:rsidR="003A464F" w:rsidRPr="003A464F">
                    <w:rPr>
                      <w:rFonts w:ascii="Arial" w:hAnsi="Arial" w:cs="Arial"/>
                    </w:rPr>
                    <w:t>(2024)</w:t>
                  </w:r>
                  <w:r w:rsidR="00063F5D" w:rsidRPr="00063F5D">
                    <w:fldChar w:fldCharType="end"/>
                  </w:r>
                  <w:r w:rsidR="00063F5D">
                    <w:t xml:space="preserve"> </w:t>
                  </w:r>
                  <w:r w:rsidRPr="009B6A6D">
                    <w:t xml:space="preserve">undertook a systematic, scoping review of scholarly and grey literature published in English between 2010 and March 2023 relating to </w:t>
                  </w:r>
                  <w:r>
                    <w:t>violence against women (</w:t>
                  </w:r>
                  <w:r w:rsidRPr="009B6A6D">
                    <w:t>VAW</w:t>
                  </w:r>
                  <w:r>
                    <w:t>)</w:t>
                  </w:r>
                  <w:r w:rsidRPr="009B6A6D">
                    <w:t xml:space="preserve">. </w:t>
                  </w:r>
                  <w:r w:rsidRPr="00F6595B">
                    <w:rPr>
                      <w:lang w:val="en-US"/>
                    </w:rPr>
                    <w:t xml:space="preserve">In </w:t>
                  </w:r>
                  <w:r>
                    <w:rPr>
                      <w:lang w:val="en-US"/>
                    </w:rPr>
                    <w:t>this</w:t>
                  </w:r>
                  <w:r w:rsidRPr="00F6595B">
                    <w:rPr>
                      <w:lang w:val="en-US"/>
                    </w:rPr>
                    <w:t xml:space="preserve"> systematic review, 19 studies were identified that reported on 24 interventions addressing </w:t>
                  </w:r>
                  <w:r w:rsidR="006757A6">
                    <w:rPr>
                      <w:lang w:val="en-US"/>
                    </w:rPr>
                    <w:t>VAW</w:t>
                  </w:r>
                  <w:r w:rsidRPr="00F6595B">
                    <w:rPr>
                      <w:lang w:val="en-US"/>
                    </w:rPr>
                    <w:t xml:space="preserve">. </w:t>
                  </w:r>
                  <w:r w:rsidRPr="009B6A6D">
                    <w:t xml:space="preserve">The scope included only the most common forms of VAW including intimate partner violence, non-partner sexual violence, and dating violence amongst adolescents aged over 15. Interventions including </w:t>
                  </w:r>
                  <w:r w:rsidR="006757A6">
                    <w:t>those targeting women and men as victim survivors</w:t>
                  </w:r>
                  <w:r w:rsidRPr="009B6A6D">
                    <w:t xml:space="preserve"> were eligible but only if most of the exposed population were women, with literature on violence against men or child abuse excluded.</w:t>
                  </w:r>
                  <w:r>
                    <w:t xml:space="preserve"> </w:t>
                  </w:r>
                  <w:r w:rsidRPr="00F6595B">
                    <w:rPr>
                      <w:lang w:val="en-US"/>
                    </w:rPr>
                    <w:t>This review identified considerable divergence in the focus of violence prevention interventions across countries. Economic evaluations conducted in low and middle-income countries included empowerment, activism</w:t>
                  </w:r>
                  <w:r>
                    <w:rPr>
                      <w:lang w:val="en-US"/>
                    </w:rPr>
                    <w:t>,</w:t>
                  </w:r>
                  <w:r w:rsidRPr="00F6595B">
                    <w:rPr>
                      <w:lang w:val="en-US"/>
                    </w:rPr>
                    <w:t xml:space="preserve"> and couples’ training interventions, whereas in high-income countries, interventions focused more on training personnel, law enforcement, support services</w:t>
                  </w:r>
                  <w:r w:rsidR="006757A6">
                    <w:rPr>
                      <w:lang w:val="en-US"/>
                    </w:rPr>
                    <w:t>,</w:t>
                  </w:r>
                  <w:r w:rsidRPr="00F6595B">
                    <w:rPr>
                      <w:lang w:val="en-US"/>
                    </w:rPr>
                    <w:t xml:space="preserve"> and engagement</w:t>
                  </w:r>
                  <w:r>
                    <w:rPr>
                      <w:lang w:val="en-US"/>
                    </w:rPr>
                    <w:t xml:space="preserve"> with people who use violence</w:t>
                  </w:r>
                  <w:r w:rsidRPr="00F6595B">
                    <w:rPr>
                      <w:lang w:val="en-US"/>
                    </w:rPr>
                    <w:t xml:space="preserve">. </w:t>
                  </w:r>
                </w:p>
                <w:p w14:paraId="384A8DA1" w14:textId="0D3F70D6" w:rsidR="00967ECF" w:rsidRPr="00C1506B" w:rsidRDefault="008F479D" w:rsidP="00967ECF">
                  <w:pPr>
                    <w:pStyle w:val="Text"/>
                    <w:rPr>
                      <w:lang w:val="en-US"/>
                    </w:rPr>
                  </w:pPr>
                  <w:r w:rsidRPr="009B6A6D">
                    <w:t>Sheppard et al</w:t>
                  </w:r>
                  <w:r>
                    <w:t xml:space="preserve">. </w:t>
                  </w:r>
                  <w:r w:rsidR="00063F5D" w:rsidRPr="00063F5D">
                    <w:fldChar w:fldCharType="begin"/>
                  </w:r>
                  <w:r w:rsidR="003A464F">
                    <w:instrText xml:space="preserve"> ADDIN ZOTERO_ITEM CSL_CITATION {"citationID":"0qPtJyOv","properties":{"formattedCitation":"(2024)","plainCitation":"(2024)","noteIndex":0},"citationItems":[{"id":"KNHaqWe9/25WvFmFo","uris":["http://zotero.org/groups/5691188/items/2NF7F5MG"],"itemData":{"id":5704,"type":"article-journal","abstract":"PURPOSE: To systematically summarise the recent literature on the cost and cost effectiveness of interventions implemented to reduce violence against women (VAW) and decision frameworks guiding resource allocation.\nMETHOD: A scoping review of scholarly and grey literature on the cost-effectiveness and/or resource allocation for interventions addressing intimate partner violence (IPV), dating violence and non-partner sexual violence perpetrated against women aged 15 years and over. All settings and contexts were eligible, with papers published in English between 2010 and March 2023 included.\nRESULTS: Nineteen papers fulfilled the inclusion criteria reporting the cost, cost savings and/or cost effectiveness of 24 interventions to prevent IPV and to a lesser extent, other forms of interpersonal violence. Among the 16 economic evaluation studies reviewed, four types of interventions were cost effective in multiple settings or studies, including community activism (Uganda, Ghana), gender transformative interventions with couples and individuals (Ethiopia, Rwanda), specific justice and law enforcement measures (USA) and a combined personnel training, support, and referral programme in General Practice in the UK. Other interventions were cost effective in a single study or had conflicting evidence. Three remaining papers conducted a partial evaluation or cost appraisal providing limited information on the cost or cost-savings of other implemented interventions. No frameworks on resource allocation for the prevention of VAW were identified.\nCONCLUSION: While there is some evidence of cost effectiveness emerging for interventions implemented in specific contexts, overall, we find the recent evidence on costs and cost effectiveness of interventions for the prevention of VAW to be limited. Embedding economic evaluation in future effectiveness trials will build critical evidence needed to inform policy and resource allocation decisions based on the value-for-money of interventions. Modelling the benefits and costs of interventions to better understand the societal impacts of programmes at scale is a further research opportunity.","container-title":"Applied Health Economics and Health Policy","DOI":"10.1007/s40258-023-00870-0","ISSN":"1179-1896","issue":"3","journalAbbreviation":"Appl Health Econ Health Policy","language":"eng","note":"PMID: 38279982\nPMCID: PMC11021229","page":"283-296","source":"PubMed","title":"What Interventions are Cost Effective in Reducing Violence Against Women? A Scoping Review","title-short":"What Interventions are Cost Effective in Reducing Violence Against Women?","volume":"22","author":[{"family":"Sheppard","given":"Lauren"},{"family":"Alsubhi","given":"Moosa"},{"family":"Brown","given":"Vicki"},{"family":"Le","given":"Ha"},{"family":"Robinson","given":"Kim"},{"family":"Moodie","given":"Marj"}],"issued":{"date-parts":[["2024",5]]}},"suppress-author":true}],"schema":"https://github.com/citation-style-language/schema/raw/master/csl-citation.json"} </w:instrText>
                  </w:r>
                  <w:r w:rsidR="00063F5D" w:rsidRPr="00063F5D">
                    <w:fldChar w:fldCharType="separate"/>
                  </w:r>
                  <w:r w:rsidR="003A464F" w:rsidRPr="003A464F">
                    <w:rPr>
                      <w:rFonts w:ascii="Arial" w:hAnsi="Arial" w:cs="Arial"/>
                    </w:rPr>
                    <w:t>(2024)</w:t>
                  </w:r>
                  <w:r w:rsidR="00063F5D" w:rsidRPr="00063F5D">
                    <w:fldChar w:fldCharType="end"/>
                  </w:r>
                  <w:r>
                    <w:t xml:space="preserve"> suggest that while </w:t>
                  </w:r>
                  <w:r w:rsidR="00967ECF" w:rsidRPr="00F6595B">
                    <w:rPr>
                      <w:lang w:val="en-US"/>
                    </w:rPr>
                    <w:t>there is some evidence of cost effectiveness emerging for interventions implemented in specific contexts, overall, the evidence on costs and cost effectiveness of interventions for the prevention of VAW is limited. Suggestions for future work include embedding economic evaluation within future effectiveness trials and modelling the benefits and costs of interventions to better understand the societal impacts of programs. In the following analysis, we draw on this empirical research, together with program specific data, to generate several ROI estimates for FaRS and SFVS.</w:t>
                  </w:r>
                </w:p>
                <w:p w14:paraId="1F281A27" w14:textId="26C387C5" w:rsidR="00967ECF" w:rsidRPr="009B6A6D" w:rsidRDefault="00967ECF" w:rsidP="00967ECF">
                  <w:pPr>
                    <w:pStyle w:val="Text"/>
                  </w:pPr>
                  <w:r w:rsidRPr="009B6A6D">
                    <w:t xml:space="preserve">Four types of interventions were found to be cost effective across multiple settings or studies. These included community activism in Uganda and Ghana, gender transformative interventions with couples and individuals in Rwanda and Ethiopia, justice and law enforcement measures in the </w:t>
                  </w:r>
                  <w:r w:rsidR="005C2CAA">
                    <w:t>United States</w:t>
                  </w:r>
                  <w:r>
                    <w:t>,</w:t>
                  </w:r>
                  <w:r w:rsidRPr="009B6A6D">
                    <w:t xml:space="preserve"> and a training, support and referral program in General Practice in the </w:t>
                  </w:r>
                  <w:r w:rsidR="005C2CAA" w:rsidRPr="009B6A6D">
                    <w:t>United Kingdom</w:t>
                  </w:r>
                  <w:r w:rsidRPr="009B6A6D">
                    <w:t>. Conflicting evidence of cost effectiveness from two economic and social empowerment programs was found in South Africa. In relation to couples</w:t>
                  </w:r>
                  <w:r>
                    <w:t>’</w:t>
                  </w:r>
                  <w:r w:rsidRPr="009B6A6D">
                    <w:t xml:space="preserve"> interventions, the study found that </w:t>
                  </w:r>
                  <w:r w:rsidR="002A7478">
                    <w:t>‘</w:t>
                  </w:r>
                  <w:r w:rsidRPr="00DE647E">
                    <w:t>engaging couples (and individuals) in gender transformative activities was cost effective in preventing cases of physical and/or sexual [intimate partner] violence when compared to a brief intervention in Ethiopia</w:t>
                  </w:r>
                  <w:r w:rsidR="002A7478">
                    <w:t>’</w:t>
                  </w:r>
                  <w:r w:rsidRPr="002A7478">
                    <w:t>.</w:t>
                  </w:r>
                  <w:r w:rsidRPr="009B6A6D">
                    <w:t xml:space="preserve"> However, a gender transformative intervention in Rwanda which included community mobilisation, leadership training and community safe spaces was not found to be cost effective when compared to a couples’ intervention </w:t>
                  </w:r>
                  <w:r w:rsidR="00063F5D" w:rsidRPr="00063F5D">
                    <w:fldChar w:fldCharType="begin"/>
                  </w:r>
                  <w:r w:rsidR="003A464F">
                    <w:instrText xml:space="preserve"> ADDIN ZOTERO_ITEM CSL_CITATION {"citationID":"a2lll2sjljh","properties":{"formattedCitation":"(Sheppard et al., 2024)","plainCitation":"(Sheppard et al., 2024)","noteIndex":0},"citationItems":[{"id":"KNHaqWe9/25WvFmFo","uris":["http://zotero.org/groups/5691188/items/2NF7F5MG"],"itemData":{"id":5704,"type":"article-journal","abstract":"PURPOSE: To systematically summarise the recent literature on the cost and cost effectiveness of interventions implemented to reduce violence against women (VAW) and decision frameworks guiding resource allocation.\nMETHOD: A scoping review of scholarly and grey literature on the cost-effectiveness and/or resource allocation for interventions addressing intimate partner violence (IPV), dating violence and non-partner sexual violence perpetrated against women aged 15 years and over. All settings and contexts were eligible, with papers published in English between 2010 and March 2023 included.\nRESULTS: Nineteen papers fulfilled the inclusion criteria reporting the cost, cost savings and/or cost effectiveness of 24 interventions to prevent IPV and to a lesser extent, other forms of interpersonal violence. Among the 16 economic evaluation studies reviewed, four types of interventions were cost effective in multiple settings or studies, including community activism (Uganda, Ghana), gender transformative interventions with couples and individuals (Ethiopia, Rwanda), specific justice and law enforcement measures (USA) and a combined personnel training, support, and referral programme in General Practice in the UK. Other interventions were cost effective in a single study or had conflicting evidence. Three remaining papers conducted a partial evaluation or cost appraisal providing limited information on the cost or cost-savings of other implemented interventions. No frameworks on resource allocation for the prevention of VAW were identified.\nCONCLUSION: While there is some evidence of cost effectiveness emerging for interventions implemented in specific contexts, overall, we find the recent evidence on costs and cost effectiveness of interventions for the prevention of VAW to be limited. Embedding economic evaluation in future effectiveness trials will build critical evidence needed to inform policy and resource allocation decisions based on the value-for-money of interventions. Modelling the benefits and costs of interventions to better understand the societal impacts of programmes at scale is a further research opportunity.","container-title":"Applied Health Economics and Health Policy","DOI":"10.1007/s40258-023-00870-0","ISSN":"1179-1896","issue":"3","journalAbbreviation":"Appl Health Econ Health Policy","language":"eng","note":"PMID: 38279982\nPMCID: PMC11021229","page":"283-296","source":"PubMed","title":"What Interventions are Cost Effective in Reducing Violence Against Women? A Scoping Review","title-short":"What Interventions are Cost Effective in Reducing Violence Against Women?","volume":"22","author":[{"family":"Sheppard","given":"Lauren"},{"family":"Alsubhi","given":"Moosa"},{"family":"Brown","given":"Vicki"},{"family":"Le","given":"Ha"},{"family":"Robinson","given":"Kim"},{"family":"Moodie","given":"Marj"}],"issued":{"date-parts":[["2024",5]]}}}],"schema":"https://github.com/citation-style-language/schema/raw/master/csl-citation.json"} </w:instrText>
                  </w:r>
                  <w:r w:rsidR="00063F5D" w:rsidRPr="00063F5D">
                    <w:fldChar w:fldCharType="separate"/>
                  </w:r>
                  <w:r w:rsidR="003A464F" w:rsidRPr="003A464F">
                    <w:rPr>
                      <w:rFonts w:ascii="Arial" w:hAnsi="Arial" w:cs="Arial"/>
                    </w:rPr>
                    <w:t>(Sheppard et al., 2024)</w:t>
                  </w:r>
                  <w:r w:rsidR="00063F5D" w:rsidRPr="00063F5D">
                    <w:fldChar w:fldCharType="end"/>
                  </w:r>
                  <w:r w:rsidR="00063F5D">
                    <w:t>.</w:t>
                  </w:r>
                </w:p>
                <w:p w14:paraId="60801AA4" w14:textId="02CA6F7E" w:rsidR="00967ECF" w:rsidRDefault="00967ECF" w:rsidP="00967ECF">
                  <w:pPr>
                    <w:pStyle w:val="Text"/>
                  </w:pPr>
                  <w:r w:rsidRPr="009B6A6D">
                    <w:t>In Zambia</w:t>
                  </w:r>
                  <w:r w:rsidR="00D16935">
                    <w:t>,</w:t>
                  </w:r>
                  <w:r w:rsidRPr="009B6A6D">
                    <w:t xml:space="preserve"> compared to performing safety checks, counselling for couples experiencing alcohol misuse and violence was not cost effective. Some evidence was found for cost effectiveness of community activism interventions for the prevention of </w:t>
                  </w:r>
                  <w:r w:rsidR="00DC073F">
                    <w:t>VAW</w:t>
                  </w:r>
                  <w:r w:rsidRPr="009B6A6D">
                    <w:t xml:space="preserve"> in Ghana and Uganda </w:t>
                  </w:r>
                  <w:r w:rsidR="00063F5D" w:rsidRPr="00063F5D">
                    <w:fldChar w:fldCharType="begin"/>
                  </w:r>
                  <w:r w:rsidR="003A464F">
                    <w:instrText xml:space="preserve"> ADDIN ZOTERO_ITEM CSL_CITATION {"citationID":"gIcXQO9B","properties":{"formattedCitation":"(Sheppard et al., 2024)","plainCitation":"(Sheppard et al., 2024)","noteIndex":0},"citationItems":[{"id":"KNHaqWe9/25WvFmFo","uris":["http://zotero.org/groups/5691188/items/2NF7F5MG"],"itemData":{"id":5704,"type":"article-journal","abstract":"PURPOSE: To systematically summarise the recent literature on the cost and cost effectiveness of interventions implemented to reduce violence against women (VAW) and decision frameworks guiding resource allocation.\nMETHOD: A scoping review of scholarly and grey literature on the cost-effectiveness and/or resource allocation for interventions addressing intimate partner violence (IPV), dating violence and non-partner sexual violence perpetrated against women aged 15 years and over. All settings and contexts were eligible, with papers published in English between 2010 and March 2023 included.\nRESULTS: Nineteen papers fulfilled the inclusion criteria reporting the cost, cost savings and/or cost effectiveness of 24 interventions to prevent IPV and to a lesser extent, other forms of interpersonal violence. Among the 16 economic evaluation studies reviewed, four types of interventions were cost effective in multiple settings or studies, including community activism (Uganda, Ghana), gender transformative interventions with couples and individuals (Ethiopia, Rwanda), specific justice and law enforcement measures (USA) and a combined personnel training, support, and referral programme in General Practice in the UK. Other interventions were cost effective in a single study or had conflicting evidence. Three remaining papers conducted a partial evaluation or cost appraisal providing limited information on the cost or cost-savings of other implemented interventions. No frameworks on resource allocation for the prevention of VAW were identified.\nCONCLUSION: While there is some evidence of cost effectiveness emerging for interventions implemented in specific contexts, overall, we find the recent evidence on costs and cost effectiveness of interventions for the prevention of VAW to be limited. Embedding economic evaluation in future effectiveness trials will build critical evidence needed to inform policy and resource allocation decisions based on the value-for-money of interventions. Modelling the benefits and costs of interventions to better understand the societal impacts of programmes at scale is a further research opportunity.","container-title":"Applied Health Economics and Health Policy","DOI":"10.1007/s40258-023-00870-0","ISSN":"1179-1896","issue":"3","journalAbbreviation":"Appl Health Econ Health Policy","language":"eng","note":"PMID: 38279982\nPMCID: PMC11021229","page":"283-296","source":"PubMed","title":"What Interventions are Cost Effective in Reducing Violence Against Women? A Scoping Review","title-short":"What Interventions are Cost Effective in Reducing Violence Against Women?","volume":"22","author":[{"family":"Sheppard","given":"Lauren"},{"family":"Alsubhi","given":"Moosa"},{"family":"Brown","given":"Vicki"},{"family":"Le","given":"Ha"},{"family":"Robinson","given":"Kim"},{"family":"Moodie","given":"Marj"}],"issued":{"date-parts":[["2024",5]]}}}],"schema":"https://github.com/citation-style-language/schema/raw/master/csl-citation.json"} </w:instrText>
                  </w:r>
                  <w:r w:rsidR="00063F5D" w:rsidRPr="00063F5D">
                    <w:fldChar w:fldCharType="separate"/>
                  </w:r>
                  <w:r w:rsidR="003A464F" w:rsidRPr="003A464F">
                    <w:rPr>
                      <w:rFonts w:ascii="Arial" w:hAnsi="Arial" w:cs="Arial"/>
                    </w:rPr>
                    <w:t>(Sheppard et al., 2024)</w:t>
                  </w:r>
                  <w:r w:rsidR="00063F5D" w:rsidRPr="00063F5D">
                    <w:fldChar w:fldCharType="end"/>
                  </w:r>
                  <w:r w:rsidR="00063F5D">
                    <w:t>.</w:t>
                  </w:r>
                </w:p>
                <w:p w14:paraId="2D8AE291" w14:textId="14A18E6F" w:rsidR="00967ECF" w:rsidRPr="00384D38" w:rsidRDefault="00967ECF" w:rsidP="00967ECF">
                  <w:pPr>
                    <w:pStyle w:val="Text"/>
                    <w:rPr>
                      <w:lang w:val="en-US"/>
                    </w:rPr>
                  </w:pPr>
                  <w:r>
                    <w:rPr>
                      <w:lang w:val="en-US"/>
                    </w:rPr>
                    <w:t>Drawing on international examples, i</w:t>
                  </w:r>
                  <w:r w:rsidRPr="00384D38">
                    <w:rPr>
                      <w:lang w:val="en-US"/>
                    </w:rPr>
                    <w:t xml:space="preserve">n the </w:t>
                  </w:r>
                  <w:r w:rsidR="005C2CAA" w:rsidRPr="009B6A6D">
                    <w:t>United Kingdom</w:t>
                  </w:r>
                  <w:r w:rsidRPr="00384D38">
                    <w:rPr>
                      <w:lang w:val="en-US"/>
                    </w:rPr>
                    <w:t>, family support and relationship education programs have shown returns in reduced welfare dependency and improved child outcomes, but scaling and consistent quality have been challenges</w:t>
                  </w:r>
                  <w:r w:rsidR="00B1374C">
                    <w:rPr>
                      <w:lang w:val="en-US"/>
                    </w:rPr>
                    <w:t xml:space="preserve"> </w:t>
                  </w:r>
                  <w:r w:rsidR="004F5D26" w:rsidRPr="004F5D26">
                    <w:rPr>
                      <w:lang w:val="en-US"/>
                    </w:rPr>
                    <w:fldChar w:fldCharType="begin"/>
                  </w:r>
                  <w:r w:rsidR="003A464F">
                    <w:rPr>
                      <w:lang w:val="en-US"/>
                    </w:rPr>
                    <w:instrText xml:space="preserve"> ADDIN ZOTERO_ITEM CSL_CITATION {"citationID":"a1qia0m867i","properties":{"formattedCitation":"(Churchill et al., 2020; Roy et al., 2022; Sheppard et al., 2024)","plainCitation":"(Churchill et al., 2020; Roy et al., 2022; Sheppard et al., 2024)","noteIndex":0},"citationItems":[{"id":4602,"uris":["http://zotero.org/groups/5691188/items/V2FQ5J6Y"],"itemData":{"id":4602,"type":"article-journal","abstract":"A major aspect of contemporary European family policies has been substantial developments in ‘family and parenting support services’ albeit under challenging conditions of austerity in recent years. This article compares and reviews national reforms in family support, child welfare and positive parenting services in England, Ireland and Spain. The analysis critically compares national ‘system-wide’ reforms and frontline service-based innovations; and situates these within broader national and European policy contexts. The article examines the degrees and ways in which children’s and family services reforms across all three countries have been shaped by family support, children’s rights and social investment policy orientations; and deliberates national differences in the scope, timing and longevity of reforms. It raises critical issues from rights-based perspectives and reflects on cross-national insights.","container-title":"Social Work and Social Sciences Review","DOI":"10.1921/swssr.v21i2.1418","ISSN":"1746-6105, 0953-5225","issue":"2","journalAbbreviation":"SWSSR","language":"en","page":"58-83","source":"DOI.org (Crossref)","title":"Developing family support services: A comparison of national reforms and challenges in England, Ireland and Spain","title-short":"Developing family support services","volume":"21","author":[{"family":"Churchill","given":"Harriet"},{"family":"Baena","given":"Sofía"},{"family":"Crosse","given":"Rosemary"},{"family":"Jiménez","given":"Lucia"},{"family":"Millar","given":"MIchelle"}],"issued":{"date-parts":[["2020",5,18]]}}},{"id":4623,"uris":["http://zotero.org/groups/5691188/items/H5BRATKP"],"itemData":{"id":4623,"type":"article-journal","abstract":"One in five children in the UK are affected by domestic violence and abuse. However, primary care clinicians (GPs and nurses) struggle to effectively identify and support children and young people living in homes where it is present. The IRIS+ (Enhanced Identification and Referral to Improve Safety) training and advocacy support intervention aimed to improve how clinicians respond to children and young people affected by domestic violence and abuse.","container-title":"Health &amp; Social Care in the Community","DOI":"10.1111/hsc.13385","ISSN":"0966-0410, 1365-2524","issue":"1","journalAbbreviation":"Health Soc Care Community","language":"en","page":"165-174","source":"DOI.org (Crossref)","title":"‘It felt like there was always someone there for us’: Supporting children affected by domestic violence and abuse who are identified by general practice","title-short":"‘It felt like there was always someone there for us’","volume":"30","author":[{"family":"Roy","given":"Jessica"},{"family":"Williamson","given":"Emma"},{"family":"Pitt","given":"Katherine"},{"family":"Stanley","given":"Nicky"},{"family":"Man","given":"Mei</w:instrText>
                  </w:r>
                  <w:r w:rsidR="003A464F">
                    <w:rPr>
                      <w:rFonts w:ascii="Cambria Math" w:hAnsi="Cambria Math" w:cs="Cambria Math"/>
                      <w:lang w:val="en-US"/>
                    </w:rPr>
                    <w:instrText>‐</w:instrText>
                  </w:r>
                  <w:r w:rsidR="003A464F">
                    <w:rPr>
                      <w:lang w:val="en-US"/>
                    </w:rPr>
                    <w:instrText xml:space="preserve">See"},{"family":"Feder","given":"Gene"},{"family":"Szilassy","given":"Eszter"}],"issued":{"date-parts":[["2022",1]]}}},{"id":"KNHaqWe9/25WvFmFo","uris":["http://zotero.org/groups/5691188/items/2NF7F5MG"],"itemData":{"id":5704,"type":"article-journal","abstract":"PURPOSE: To systematically summarise the recent literature on the cost and cost effectiveness of interventions implemented to reduce violence against women (VAW) and decision frameworks guiding resource allocation.\nMETHOD: A scoping review of scholarly and grey literature on the cost-effectiveness and/or resource allocation for interventions addressing intimate partner violence (IPV), dating violence and non-partner sexual violence perpetrated against women aged 15 years and over. All settings and contexts were eligible, with papers published in English between 2010 and March 2023 included.\nRESULTS: Nineteen papers fulfilled the inclusion criteria reporting the cost, cost savings and/or cost effectiveness of 24 interventions to prevent IPV and to a lesser extent, other forms of interpersonal violence. Among the 16 economic evaluation studies reviewed, four types of interventions were cost effective in multiple settings or studies, including community activism (Uganda, Ghana), gender transformative interventions with couples and individuals (Ethiopia, Rwanda), specific justice and law enforcement measures (USA) and a combined personnel training, support, and referral programme in General Practice in the UK. Other interventions were cost effective in a single study or had conflicting evidence. Three remaining papers conducted a partial evaluation or cost appraisal providing limited information on the cost or cost-savings of other implemented interventions. No frameworks on resource allocation for the prevention of VAW were identified.\nCONCLUSION: While there is some evidence of cost effectiveness emerging for interventions implemented in specific contexts, overall, we find the recent evidence on costs and cost effectiveness of interventions for the prevention of VAW to be limited. Embedding economic evaluation in future effectiveness trials will build critical evidence needed to inform policy and resource allocation decisions based on the value-for-money of interventions. Modelling the benefits and costs of interventions to better understand the societal impacts of programmes at scale is a further research opportunity.","container-title":"Applied Health Economics and Health Policy","DOI":"10.1007/s40258-023-00870-0","ISSN":"1179-1896","issue":"3","journalAbbreviation":"Appl Health Econ Health Policy","language":"eng","note":"PMID: 38279982\nPMCID: PMC11021229","page":"283-296","source":"PubMed","title":"What Interventions are Cost Effective in Reducing Violence Against Women? A Scoping Review","title-short":"What Interventions are Cost Effective in Reducing Violence Against Women?","volume":"22","author":[{"family":"Sheppard","given":"Lauren"},{"family":"Alsubhi","given":"Moosa"},{"family":"Brown","given":"Vicki"},{"family":"Le","given":"Ha"},{"family":"Robinson","given":"Kim"},{"family":"Moodie","given":"Marj"}],"issued":{"date-parts":[["2024",5]]}}}],"schema":"https://github.com/citation-style-language/schema/raw/master/csl-citation.json"} </w:instrText>
                  </w:r>
                  <w:r w:rsidR="004F5D26" w:rsidRPr="004F5D26">
                    <w:rPr>
                      <w:lang w:val="en-US"/>
                    </w:rPr>
                    <w:fldChar w:fldCharType="separate"/>
                  </w:r>
                  <w:r w:rsidR="003A464F" w:rsidRPr="003A464F">
                    <w:rPr>
                      <w:rFonts w:ascii="Arial" w:hAnsi="Arial" w:cs="Arial"/>
                    </w:rPr>
                    <w:t>(Churchill et al., 2020; Roy et al., 2022; Sheppard et al., 2024)</w:t>
                  </w:r>
                  <w:r w:rsidR="004F5D26" w:rsidRPr="004F5D26">
                    <w:rPr>
                      <w:lang w:val="en-US"/>
                    </w:rPr>
                    <w:fldChar w:fldCharType="end"/>
                  </w:r>
                  <w:r w:rsidRPr="004F5D26">
                    <w:rPr>
                      <w:lang w:val="en-US"/>
                    </w:rPr>
                    <w:t>.</w:t>
                  </w:r>
                  <w:r w:rsidRPr="00384D38">
                    <w:rPr>
                      <w:lang w:val="en-US"/>
                    </w:rPr>
                    <w:t xml:space="preserve"> Australia’s FaRS network has maintained service quality and reach, which may explain its strong outcomes. </w:t>
                  </w:r>
                </w:p>
                <w:p w14:paraId="4422981C" w14:textId="6BCA55D6" w:rsidR="00967ECF" w:rsidRPr="00384D38" w:rsidRDefault="00967ECF" w:rsidP="00967ECF">
                  <w:pPr>
                    <w:pStyle w:val="Bullet1"/>
                    <w:numPr>
                      <w:ilvl w:val="0"/>
                      <w:numId w:val="0"/>
                    </w:numPr>
                    <w:rPr>
                      <w:lang w:val="en-US"/>
                    </w:rPr>
                  </w:pPr>
                  <w:r w:rsidRPr="00384D38">
                    <w:rPr>
                      <w:lang w:val="en-US"/>
                    </w:rPr>
                    <w:lastRenderedPageBreak/>
                    <w:t>Studies in the U</w:t>
                  </w:r>
                  <w:r w:rsidR="005C2CAA">
                    <w:rPr>
                      <w:lang w:val="en-US"/>
                    </w:rPr>
                    <w:t xml:space="preserve">nited </w:t>
                  </w:r>
                  <w:r w:rsidRPr="00384D38">
                    <w:rPr>
                      <w:lang w:val="en-US"/>
                    </w:rPr>
                    <w:t>S</w:t>
                  </w:r>
                  <w:r w:rsidR="005C2CAA">
                    <w:rPr>
                      <w:lang w:val="en-US"/>
                    </w:rPr>
                    <w:t>tates</w:t>
                  </w:r>
                  <w:r w:rsidRPr="00384D38">
                    <w:rPr>
                      <w:lang w:val="en-US"/>
                    </w:rPr>
                    <w:t xml:space="preserve"> on couple counselling and family therapy ﬁnd improvements in relationship stability and child wellbeing, but often those programs charge fees and reach fewer low-income families, limiting equity. Australia’s model of government-funded, broadly accessible family services is unique. The high </w:t>
                  </w:r>
                  <w:r>
                    <w:rPr>
                      <w:lang w:val="en-US"/>
                    </w:rPr>
                    <w:t>service user</w:t>
                  </w:r>
                  <w:r w:rsidRPr="00384D38">
                    <w:rPr>
                      <w:lang w:val="en-US"/>
                    </w:rPr>
                    <w:t xml:space="preserve"> volumes in Australia indicate a more extensive service coverage than in many countries, which might dilute intensity but still achieves measurable positive change.</w:t>
                  </w:r>
                </w:p>
                <w:p w14:paraId="7E32564A" w14:textId="13D42662" w:rsidR="00967ECF" w:rsidRDefault="0076481B" w:rsidP="00967ECF">
                  <w:pPr>
                    <w:pStyle w:val="Bullet1"/>
                    <w:numPr>
                      <w:ilvl w:val="0"/>
                      <w:numId w:val="0"/>
                    </w:numPr>
                    <w:rPr>
                      <w:lang w:val="en-US"/>
                    </w:rPr>
                  </w:pPr>
                  <w:r>
                    <w:rPr>
                      <w:lang w:val="en-US"/>
                    </w:rPr>
                    <w:t>The</w:t>
                  </w:r>
                  <w:r w:rsidR="00967ECF">
                    <w:rPr>
                      <w:lang w:val="en-US"/>
                    </w:rPr>
                    <w:t xml:space="preserve"> Washington State Institute for Public Policy (</w:t>
                  </w:r>
                  <w:r w:rsidR="00967ECF" w:rsidRPr="00384D38">
                    <w:rPr>
                      <w:lang w:val="en-US"/>
                    </w:rPr>
                    <w:t>WSIPP</w:t>
                  </w:r>
                  <w:r w:rsidR="00967ECF">
                    <w:rPr>
                      <w:lang w:val="en-US"/>
                    </w:rPr>
                    <w:t>)</w:t>
                  </w:r>
                  <w:r w:rsidR="00967ECF" w:rsidRPr="00384D38">
                    <w:rPr>
                      <w:lang w:val="en-US"/>
                    </w:rPr>
                    <w:t xml:space="preserve"> uses a comparable and comprehensive methodology to assess cost-benefit of research areas includ</w:t>
                  </w:r>
                  <w:r w:rsidR="00967ECF">
                    <w:rPr>
                      <w:lang w:val="en-US"/>
                    </w:rPr>
                    <w:t>ing</w:t>
                  </w:r>
                  <w:r w:rsidR="00967ECF" w:rsidRPr="00384D38">
                    <w:rPr>
                      <w:lang w:val="en-US"/>
                    </w:rPr>
                    <w:t xml:space="preserve"> juvenile justice, adult criminal justice, child welfare, children’s mental health, adult mental health</w:t>
                  </w:r>
                  <w:r>
                    <w:rPr>
                      <w:lang w:val="en-US"/>
                    </w:rPr>
                    <w:t>,</w:t>
                  </w:r>
                  <w:r w:rsidR="00967ECF" w:rsidRPr="00384D38">
                    <w:rPr>
                      <w:lang w:val="en-US"/>
                    </w:rPr>
                    <w:t xml:space="preserve"> and public health and prevention. Examples include:</w:t>
                  </w:r>
                  <w:r w:rsidR="00967ECF">
                    <w:rPr>
                      <w:lang w:val="en-US"/>
                    </w:rPr>
                    <w:t xml:space="preserve"> </w:t>
                  </w:r>
                </w:p>
                <w:p w14:paraId="6C255934" w14:textId="77777777" w:rsidR="00967ECF" w:rsidRPr="00A96B32" w:rsidRDefault="00967ECF" w:rsidP="00967ECF">
                  <w:pPr>
                    <w:pStyle w:val="Bullet1"/>
                  </w:pPr>
                  <w:r w:rsidRPr="00A96B32">
                    <w:t xml:space="preserve">Child welfare: Intensive family preservation services are short-term, home-based crisis intervention services that emphasise out-of-home placement prevention. These programs are intended to prevent removal of a child from his or her biological home (or to promote his or her return to that home) by improving family functioning and have reported a </w:t>
                  </w:r>
                  <w:r>
                    <w:t>benefit-cost ratio (</w:t>
                  </w:r>
                  <w:r w:rsidRPr="00A96B32">
                    <w:t>BCR</w:t>
                  </w:r>
                  <w:r>
                    <w:t>)</w:t>
                  </w:r>
                  <w:r w:rsidRPr="00A96B32">
                    <w:t xml:space="preserve"> of 5.14.</w:t>
                  </w:r>
                </w:p>
                <w:p w14:paraId="6FDC17B3" w14:textId="25CF43BC" w:rsidR="00967ECF" w:rsidRPr="00A96B32" w:rsidRDefault="00967ECF" w:rsidP="00967ECF">
                  <w:pPr>
                    <w:pStyle w:val="Bullet1"/>
                  </w:pPr>
                  <w:r w:rsidRPr="00A96B32">
                    <w:t xml:space="preserve">Adult criminal justice: Treatment in the community for individuals convicted of sex offences. Programs use a broad range of therapeutic components, including individual and/or group counselling, cognitive behavioural therapy, aversion therapy, and other forms of psychotherapy. Treatment typically involves weekly outpatient sessions that last </w:t>
                  </w:r>
                  <w:r>
                    <w:t>1</w:t>
                  </w:r>
                  <w:r w:rsidRPr="00A96B32">
                    <w:t xml:space="preserve"> to </w:t>
                  </w:r>
                  <w:r>
                    <w:t>2</w:t>
                  </w:r>
                  <w:r w:rsidRPr="00A96B32">
                    <w:t xml:space="preserve"> hours and have reported a BCR of 0.12.</w:t>
                  </w:r>
                </w:p>
                <w:p w14:paraId="698618F3" w14:textId="4C4BDE1D" w:rsidR="00967ECF" w:rsidRPr="009B6A6D" w:rsidRDefault="00967ECF" w:rsidP="00967ECF">
                  <w:pPr>
                    <w:pStyle w:val="Text"/>
                  </w:pPr>
                  <w:r w:rsidRPr="009B6A6D">
                    <w:t>Personnel training, support</w:t>
                  </w:r>
                  <w:r w:rsidR="0076481B">
                    <w:t>,</w:t>
                  </w:r>
                  <w:r w:rsidRPr="009B6A6D">
                    <w:t xml:space="preserve"> and referral intervention being delivered in General Practices to support victim survivors of </w:t>
                  </w:r>
                  <w:r w:rsidR="00063F5D">
                    <w:t>VAW</w:t>
                  </w:r>
                  <w:r w:rsidRPr="009B6A6D">
                    <w:t xml:space="preserve"> was evaluated at various stages as it was scaled up across the United Kingdom. It was found to be cost effective, at each stage of scale-up </w:t>
                  </w:r>
                  <w:r w:rsidR="00063F5D" w:rsidRPr="00063F5D">
                    <w:fldChar w:fldCharType="begin"/>
                  </w:r>
                  <w:r w:rsidR="003A464F">
                    <w:instrText xml:space="preserve"> ADDIN ZOTERO_ITEM CSL_CITATION {"citationID":"58HnEd0d","properties":{"formattedCitation":"(Sheppard et al., 2024)","plainCitation":"(Sheppard et al., 2024)","noteIndex":0},"citationItems":[{"id":"KNHaqWe9/25WvFmFo","uris":["http://zotero.org/groups/5691188/items/2NF7F5MG"],"itemData":{"id":5704,"type":"article-journal","abstract":"PURPOSE: To systematically summarise the recent literature on the cost and cost effectiveness of interventions implemented to reduce violence against women (VAW) and decision frameworks guiding resource allocation.\nMETHOD: A scoping review of scholarly and grey literature on the cost-effectiveness and/or resource allocation for interventions addressing intimate partner violence (IPV), dating violence and non-partner sexual violence perpetrated against women aged 15 years and over. All settings and contexts were eligible, with papers published in English between 2010 and March 2023 included.\nRESULTS: Nineteen papers fulfilled the inclusion criteria reporting the cost, cost savings and/or cost effectiveness of 24 interventions to prevent IPV and to a lesser extent, other forms of interpersonal violence. Among the 16 economic evaluation studies reviewed, four types of interventions were cost effective in multiple settings or studies, including community activism (Uganda, Ghana), gender transformative interventions with couples and individuals (Ethiopia, Rwanda), specific justice and law enforcement measures (USA) and a combined personnel training, support, and referral programme in General Practice in the UK. Other interventions were cost effective in a single study or had conflicting evidence. Three remaining papers conducted a partial evaluation or cost appraisal providing limited information on the cost or cost-savings of other implemented interventions. No frameworks on resource allocation for the prevention of VAW were identified.\nCONCLUSION: While there is some evidence of cost effectiveness emerging for interventions implemented in specific contexts, overall, we find the recent evidence on costs and cost effectiveness of interventions for the prevention of VAW to be limited. Embedding economic evaluation in future effectiveness trials will build critical evidence needed to inform policy and resource allocation decisions based on the value-for-money of interventions. Modelling the benefits and costs of interventions to better understand the societal impacts of programmes at scale is a further research opportunity.","container-title":"Applied Health Economics and Health Policy","DOI":"10.1007/s40258-023-00870-0","ISSN":"1179-1896","issue":"3","journalAbbreviation":"Appl Health Econ Health Policy","language":"eng","note":"PMID: 38279982\nPMCID: PMC11021229","page":"283-296","source":"PubMed","title":"What Interventions are Cost Effective in Reducing Violence Against Women? A Scoping Review","title-short":"What Interventions are Cost Effective in Reducing Violence Against Women?","volume":"22","author":[{"family":"Sheppard","given":"Lauren"},{"family":"Alsubhi","given":"Moosa"},{"family":"Brown","given":"Vicki"},{"family":"Le","given":"Ha"},{"family":"Robinson","given":"Kim"},{"family":"Moodie","given":"Marj"}],"issued":{"date-parts":[["2024",5]]}}}],"schema":"https://github.com/citation-style-language/schema/raw/master/csl-citation.json"} </w:instrText>
                  </w:r>
                  <w:r w:rsidR="00063F5D" w:rsidRPr="00063F5D">
                    <w:fldChar w:fldCharType="separate"/>
                  </w:r>
                  <w:r w:rsidR="003A464F" w:rsidRPr="003A464F">
                    <w:rPr>
                      <w:rFonts w:ascii="Arial" w:hAnsi="Arial" w:cs="Arial"/>
                    </w:rPr>
                    <w:t>(Sheppard et al., 2024)</w:t>
                  </w:r>
                  <w:r w:rsidR="00063F5D" w:rsidRPr="00063F5D">
                    <w:fldChar w:fldCharType="end"/>
                  </w:r>
                  <w:r w:rsidR="00063F5D">
                    <w:t xml:space="preserve">. </w:t>
                  </w:r>
                  <w:r w:rsidRPr="009B6A6D">
                    <w:t xml:space="preserve">Further, two interventions in the justice sector in the United States relating to civil legal aid services and long-term protection orders were found to have had a </w:t>
                  </w:r>
                  <w:r>
                    <w:t>BCR</w:t>
                  </w:r>
                  <w:r w:rsidRPr="009B6A6D">
                    <w:t xml:space="preserve"> and a positive </w:t>
                  </w:r>
                  <w:r w:rsidR="008B17C4">
                    <w:t>ROI</w:t>
                  </w:r>
                  <w:r w:rsidR="00063F5D">
                    <w:t xml:space="preserve">. </w:t>
                  </w:r>
                  <w:r w:rsidR="00D479DE">
                    <w:t>In contrast</w:t>
                  </w:r>
                  <w:r w:rsidRPr="009B6A6D">
                    <w:t xml:space="preserve">, short-term protection orders in the </w:t>
                  </w:r>
                  <w:r w:rsidR="005C2CAA" w:rsidRPr="009B6A6D">
                    <w:t>United Kingdom</w:t>
                  </w:r>
                  <w:r w:rsidR="005C2CAA" w:rsidRPr="009B6A6D" w:rsidDel="005C2CAA">
                    <w:t xml:space="preserve"> </w:t>
                  </w:r>
                  <w:r w:rsidRPr="009B6A6D">
                    <w:t xml:space="preserve">were found to not be cost effective. </w:t>
                  </w:r>
                </w:p>
                <w:p w14:paraId="587803E8" w14:textId="08E29CF8" w:rsidR="00967ECF" w:rsidRPr="009B6A6D" w:rsidRDefault="00967ECF" w:rsidP="00967ECF">
                  <w:pPr>
                    <w:pStyle w:val="Text"/>
                  </w:pPr>
                  <w:r w:rsidRPr="009B6A6D">
                    <w:t xml:space="preserve">A study relating to </w:t>
                  </w:r>
                  <w:r w:rsidRPr="00F60DD1">
                    <w:t>a perpetrator intervention program for first-time people who use violence who have been categorised as ‘low-risk’ in the United Kingdom was also found to be cost effective</w:t>
                  </w:r>
                  <w:r w:rsidR="00D479DE" w:rsidRPr="00F60DD1">
                    <w:t xml:space="preserve"> stating that the</w:t>
                  </w:r>
                  <w:r w:rsidRPr="00F60DD1">
                    <w:rPr>
                      <w:i/>
                    </w:rPr>
                    <w:t xml:space="preserve"> </w:t>
                  </w:r>
                  <w:r w:rsidR="00F60DD1" w:rsidRPr="00F60DD1">
                    <w:rPr>
                      <w:iCs/>
                    </w:rPr>
                    <w:t>‘</w:t>
                  </w:r>
                  <w:r w:rsidRPr="00DE647E">
                    <w:rPr>
                      <w:iCs/>
                    </w:rPr>
                    <w:t>economic benefits of reduced crime among intervention participants significantly outweighed the cost of implementation</w:t>
                  </w:r>
                  <w:r w:rsidR="00F60DD1" w:rsidRPr="00F60DD1">
                    <w:rPr>
                      <w:iCs/>
                    </w:rPr>
                    <w:t>’</w:t>
                  </w:r>
                  <w:r w:rsidRPr="00F60DD1" w:rsidDel="00230546">
                    <w:t xml:space="preserve"> </w:t>
                  </w:r>
                  <w:r w:rsidR="00D479DE" w:rsidRPr="00F60DD1">
                    <w:fldChar w:fldCharType="begin"/>
                  </w:r>
                  <w:r w:rsidR="003A464F">
                    <w:instrText xml:space="preserve"> ADDIN ZOTERO_ITEM CSL_CITATION {"citationID":"uRwJ3OYF","properties":{"formattedCitation":"(Sheppard et al., 2024)","plainCitation":"(Sheppard et al., 2024)","noteIndex":0},"citationItems":[{"id":"KNHaqWe9/25WvFmFo","uris":["http://zotero.org/groups/5691188/items/2NF7F5MG"],"itemData":{"id":5704,"type":"article-journal","abstract":"PURPOSE: To systematically summarise the recent literature on the cost and cost effectiveness of interventions implemented to reduce violence against women (VAW) and decision frameworks guiding resource allocation.\nMETHOD: A scoping review of scholarly and grey literature on the cost-effectiveness and/or resource allocation for interventions addressing intimate partner violence (IPV), dating violence and non-partner sexual violence perpetrated against women aged 15 years and over. All settings and contexts were eligible, with papers published in English between 2010 and March 2023 included.\nRESULTS: Nineteen papers fulfilled the inclusion criteria reporting the cost, cost savings and/or cost effectiveness of 24 interventions to prevent IPV and to a lesser extent, other forms of interpersonal violence. Among the 16 economic evaluation studies reviewed, four types of interventions were cost effective in multiple settings or studies, including community activism (Uganda, Ghana), gender transformative interventions with couples and individuals (Ethiopia, Rwanda), specific justice and law enforcement measures (USA) and a combined personnel training, support, and referral programme in General Practice in the UK. Other interventions were cost effective in a single study or had conflicting evidence. Three remaining papers conducted a partial evaluation or cost appraisal providing limited information on the cost or cost-savings of other implemented interventions. No frameworks on resource allocation for the prevention of VAW were identified.\nCONCLUSION: While there is some evidence of cost effectiveness emerging for interventions implemented in specific contexts, overall, we find the recent evidence on costs and cost effectiveness of interventions for the prevention of VAW to be limited. Embedding economic evaluation in future effectiveness trials will build critical evidence needed to inform policy and resource allocation decisions based on the value-for-money of interventions. Modelling the benefits and costs of interventions to better understand the societal impacts of programmes at scale is a further research opportunity.","container-title":"Applied Health Economics and Health Policy","DOI":"10.1007/s40258-023-00870-0","ISSN":"1179-1896","issue":"3","journalAbbreviation":"Appl Health Econ Health Policy","language":"eng","note":"PMID: 38279982\nPMCID: PMC11021229","page":"283-296","source":"PubMed","title":"What Interventions are Cost Effective in Reducing Violence Against Women? A Scoping Review","title-short":"What Interventions are Cost Effective in Reducing Violence Against Women?","volume":"22","author":[{"family":"Sheppard","given":"Lauren"},{"family":"Alsubhi","given":"Moosa"},{"family":"Brown","given":"Vicki"},{"family":"Le","given":"Ha"},{"family":"Robinson","given":"Kim"},{"family":"Moodie","given":"Marj"}],"issued":{"date-parts":[["2024",5]]}}}],"schema":"https://github.com/citation-style-language/schema/raw/master/csl-citation.json"} </w:instrText>
                  </w:r>
                  <w:r w:rsidR="00D479DE" w:rsidRPr="00F60DD1">
                    <w:fldChar w:fldCharType="separate"/>
                  </w:r>
                  <w:r w:rsidR="003A464F" w:rsidRPr="003A464F">
                    <w:rPr>
                      <w:rFonts w:ascii="Arial" w:hAnsi="Arial" w:cs="Arial"/>
                    </w:rPr>
                    <w:t>(Sheppard et al., 2024)</w:t>
                  </w:r>
                  <w:r w:rsidR="00D479DE" w:rsidRPr="00F60DD1">
                    <w:fldChar w:fldCharType="end"/>
                  </w:r>
                  <w:r w:rsidR="00D479DE" w:rsidRPr="00F60DD1">
                    <w:t xml:space="preserve">. </w:t>
                  </w:r>
                  <w:r w:rsidRPr="00F60DD1">
                    <w:t>A study modelled the impact of a change in national policy in the United Kingdom to expand services and financial support to refugees and migrants experiencing family violence with a positive BCR reported over 10 years (with some uncertainties noted)</w:t>
                  </w:r>
                  <w:r w:rsidRPr="00F60DD1" w:rsidDel="004E67A2">
                    <w:t xml:space="preserve"> </w:t>
                  </w:r>
                  <w:r w:rsidR="00D479DE" w:rsidRPr="00F60DD1">
                    <w:fldChar w:fldCharType="begin"/>
                  </w:r>
                  <w:r w:rsidR="003A464F">
                    <w:instrText xml:space="preserve"> ADDIN ZOTERO_ITEM CSL_CITATION {"citationID":"3kUCB9z6","properties":{"formattedCitation":"(Sheppard et al., 2024)","plainCitation":"(Sheppard et al., 2024)","noteIndex":0},"citationItems":[{"id":"KNHaqWe9/25WvFmFo","uris":["http://zotero.org/groups/5691188/items/2NF7F5MG"],"itemData":{"id":5704,"type":"article-journal","abstract":"PURPOSE: To systematically summarise the recent literature on the cost and cost effectiveness of interventions implemented to reduce violence against women (VAW) and decision frameworks guiding resource allocation.\nMETHOD: A scoping review of scholarly and grey literature on the cost-effectiveness and/or resource allocation for interventions addressing intimate partner violence (IPV), dating violence and non-partner sexual violence perpetrated against women aged 15 years and over. All settings and contexts were eligible, with papers published in English between 2010 and March 2023 included.\nRESULTS: Nineteen papers fulfilled the inclusion criteria reporting the cost, cost savings and/or cost effectiveness of 24 interventions to prevent IPV and to a lesser extent, other forms of interpersonal violence. Among the 16 economic evaluation studies reviewed, four types of interventions were cost effective in multiple settings or studies, including community activism (Uganda, Ghana), gender transformative interventions with couples and individuals (Ethiopia, Rwanda), specific justice and law enforcement measures (USA) and a combined personnel training, support, and referral programme in General Practice in the UK. Other interventions were cost effective in a single study or had conflicting evidence. Three remaining papers conducted a partial evaluation or cost appraisal providing limited information on the cost or cost-savings of other implemented interventions. No frameworks on resource allocation for the prevention of VAW were identified.\nCONCLUSION: While there is some evidence of cost effectiveness emerging for interventions implemented in specific contexts, overall, we find the recent evidence on costs and cost effectiveness of interventions for the prevention of VAW to be limited. Embedding economic evaluation in future effectiveness trials will build critical evidence needed to inform policy and resource allocation decisions based on the value-for-money of interventions. Modelling the benefits and costs of interventions to better understand the societal impacts of programmes at scale is a further research opportunity.","container-title":"Applied Health Economics and Health Policy","DOI":"10.1007/s40258-023-00870-0","ISSN":"1179-1896","issue":"3","journalAbbreviation":"Appl Health Econ Health Policy","language":"eng","note":"PMID: 38279982\nPMCID: PMC11021229","page":"283-296","source":"PubMed","title":"What Interventions are Cost Effective in Reducing Violence Against Women? A Scoping Review","title-short":"What Interventions are Cost Effective in Reducing Violence Against Women?","volume":"22","author":[{"family":"Sheppard","given":"Lauren"},{"family":"Alsubhi","given":"Moosa"},{"family":"Brown","given":"Vicki"},{"family":"Le","given":"Ha"},{"family":"Robinson","given":"Kim"},{"family":"Moodie","given":"Marj"}],"issued":{"date-parts":[["2024",5]]}}}],"schema":"https://github.com/citation-style-language/schema/raw/master/csl-citation.json"} </w:instrText>
                  </w:r>
                  <w:r w:rsidR="00D479DE" w:rsidRPr="00F60DD1">
                    <w:fldChar w:fldCharType="separate"/>
                  </w:r>
                  <w:r w:rsidR="003A464F" w:rsidRPr="003A464F">
                    <w:rPr>
                      <w:rFonts w:ascii="Arial" w:hAnsi="Arial" w:cs="Arial"/>
                    </w:rPr>
                    <w:t>(Sheppard et al., 2024)</w:t>
                  </w:r>
                  <w:r w:rsidR="00D479DE" w:rsidRPr="00F60DD1">
                    <w:fldChar w:fldCharType="end"/>
                  </w:r>
                  <w:r w:rsidRPr="00F60DD1">
                    <w:t xml:space="preserve">. Another study was undertaken in the </w:t>
                  </w:r>
                  <w:r w:rsidR="00F60DD1" w:rsidRPr="009B6A6D">
                    <w:t>United Kingdom</w:t>
                  </w:r>
                  <w:r w:rsidRPr="00F60DD1">
                    <w:t xml:space="preserve"> of support services by one provider which included refuge</w:t>
                  </w:r>
                  <w:r w:rsidR="00D479DE" w:rsidRPr="00F60DD1">
                    <w:t xml:space="preserve"> and </w:t>
                  </w:r>
                  <w:r w:rsidRPr="00F60DD1">
                    <w:t xml:space="preserve">housing, community outreach and independent advocacy support. The benefits were found to outweigh the cost of service delivery with an overall positive </w:t>
                  </w:r>
                  <w:r w:rsidR="008B17C4" w:rsidRPr="00F60DD1">
                    <w:t>ROI</w:t>
                  </w:r>
                  <w:r w:rsidR="00D479DE" w:rsidRPr="00F60DD1">
                    <w:t xml:space="preserve">. </w:t>
                  </w:r>
                  <w:r w:rsidRPr="00F60DD1">
                    <w:t xml:space="preserve">There </w:t>
                  </w:r>
                  <w:r w:rsidRPr="009B6A6D">
                    <w:t xml:space="preserve">was also some evidence to indicate the benefits of </w:t>
                  </w:r>
                  <w:r w:rsidR="00F60DD1">
                    <w:rPr>
                      <w:iCs/>
                    </w:rPr>
                    <w:t>‘</w:t>
                  </w:r>
                  <w:r w:rsidRPr="00DE647E">
                    <w:rPr>
                      <w:iCs/>
                    </w:rPr>
                    <w:t xml:space="preserve">individual, family-, school-, and substance abuse-focused interventions for later prevention of crime and </w:t>
                  </w:r>
                  <w:r w:rsidR="00F31FD6" w:rsidRPr="00DE647E">
                    <w:rPr>
                      <w:iCs/>
                    </w:rPr>
                    <w:t xml:space="preserve">intimate partner violence </w:t>
                  </w:r>
                  <w:r w:rsidRPr="00DE647E">
                    <w:rPr>
                      <w:iCs/>
                    </w:rPr>
                    <w:t>modelled on an Australian population of adolescents and in later adulthood</w:t>
                  </w:r>
                  <w:r w:rsidR="00F60DD1">
                    <w:rPr>
                      <w:iCs/>
                    </w:rPr>
                    <w:t>.’</w:t>
                  </w:r>
                  <w:r w:rsidRPr="009B6A6D">
                    <w:t xml:space="preserve"> </w:t>
                  </w:r>
                  <w:r w:rsidR="00F31FD6" w:rsidRPr="00063F5D">
                    <w:fldChar w:fldCharType="begin"/>
                  </w:r>
                  <w:r w:rsidR="003A464F">
                    <w:instrText xml:space="preserve"> ADDIN ZOTERO_ITEM CSL_CITATION {"citationID":"xZheYQB9","properties":{"formattedCitation":"(Sheppard et al., 2024)","plainCitation":"(Sheppard et al., 2024)","noteIndex":0},"citationItems":[{"id":"KNHaqWe9/25WvFmFo","uris":["http://zotero.org/groups/5691188/items/2NF7F5MG"],"itemData":{"id":5704,"type":"article-journal","abstract":"PURPOSE: To systematically summarise the recent literature on the cost and cost effectiveness of interventions implemented to reduce violence against women (VAW) and decision frameworks guiding resource allocation.\nMETHOD: A scoping review of scholarly and grey literature on the cost-effectiveness and/or resource allocation for interventions addressing intimate partner violence (IPV), dating violence and non-partner sexual violence perpetrated against women aged 15 years and over. All settings and contexts were eligible, with papers published in English between 2010 and March 2023 included.\nRESULTS: Nineteen papers fulfilled the inclusion criteria reporting the cost, cost savings and/or cost effectiveness of 24 interventions to prevent IPV and to a lesser extent, other forms of interpersonal violence. Among the 16 economic evaluation studies reviewed, four types of interventions were cost effective in multiple settings or studies, including community activism (Uganda, Ghana), gender transformative interventions with couples and individuals (Ethiopia, Rwanda), specific justice and law enforcement measures (USA) and a combined personnel training, support, and referral programme in General Practice in the UK. Other interventions were cost effective in a single study or had conflicting evidence. Three remaining papers conducted a partial evaluation or cost appraisal providing limited information on the cost or cost-savings of other implemented interventions. No frameworks on resource allocation for the prevention of VAW were identified.\nCONCLUSION: While there is some evidence of cost effectiveness emerging for interventions implemented in specific contexts, overall, we find the recent evidence on costs and cost effectiveness of interventions for the prevention of VAW to be limited. Embedding economic evaluation in future effectiveness trials will build critical evidence needed to inform policy and resource allocation decisions based on the value-for-money of interventions. Modelling the benefits and costs of interventions to better understand the societal impacts of programmes at scale is a further research opportunity.","container-title":"Applied Health Economics and Health Policy","DOI":"10.1007/s40258-023-00870-0","ISSN":"1179-1896","issue":"3","journalAbbreviation":"Appl Health Econ Health Policy","language":"eng","note":"PMID: 38279982\nPMCID: PMC11021229","page":"283-296","source":"PubMed","title":"What Interventions are Cost Effective in Reducing Violence Against Women? A Scoping Review","title-short":"What Interventions are Cost Effective in Reducing Violence Against Women?","volume":"22","author":[{"family":"Sheppard","given":"Lauren"},{"family":"Alsubhi","given":"Moosa"},{"family":"Brown","given":"Vicki"},{"family":"Le","given":"Ha"},{"family":"Robinson","given":"Kim"},{"family":"Moodie","given":"Marj"}],"issued":{"date-parts":[["2024",5]]}}}],"schema":"https://github.com/citation-style-language/schema/raw/master/csl-citation.json"} </w:instrText>
                  </w:r>
                  <w:r w:rsidR="00F31FD6" w:rsidRPr="00063F5D">
                    <w:fldChar w:fldCharType="separate"/>
                  </w:r>
                  <w:r w:rsidR="003A464F" w:rsidRPr="003A464F">
                    <w:rPr>
                      <w:rFonts w:ascii="Arial" w:hAnsi="Arial" w:cs="Arial"/>
                    </w:rPr>
                    <w:t>(Sheppard et al., 2024)</w:t>
                  </w:r>
                  <w:r w:rsidR="00F31FD6" w:rsidRPr="00063F5D">
                    <w:fldChar w:fldCharType="end"/>
                  </w:r>
                  <w:r w:rsidR="00F31FD6">
                    <w:t xml:space="preserve">. </w:t>
                  </w:r>
                </w:p>
                <w:p w14:paraId="0F3ACF20" w14:textId="6F2571BF" w:rsidR="00967ECF" w:rsidRPr="009B6A6D" w:rsidRDefault="00967ECF" w:rsidP="00967ECF">
                  <w:pPr>
                    <w:pStyle w:val="Text"/>
                  </w:pPr>
                  <w:r w:rsidRPr="009B6A6D">
                    <w:t>A study</w:t>
                  </w:r>
                  <w:r>
                    <w:t xml:space="preserve"> by Del Boca et al.</w:t>
                  </w:r>
                  <w:r w:rsidRPr="009B6A6D">
                    <w:t xml:space="preserve"> </w:t>
                  </w:r>
                  <w:r w:rsidRPr="00843387">
                    <w:fldChar w:fldCharType="begin"/>
                  </w:r>
                  <w:r>
                    <w:instrText xml:space="preserve"> ADDIN ZOTERO_ITEM CSL_CITATION {"citationID":"a2kk0u3idkd","properties":{"formattedCitation":"(2024)","plainCitation":"(2024)","noteIndex":0},"citationItems":[{"id":4640,"uris":["http://zotero.org/groups/5691188/items/4ZEZFQEZ"],"itemData":{"id":4640,"type":"article-journal","abstract":"In this article, we estimate a series of models to evaluate the effects of a short program in a context where randomization is not feasible but the program follows a cyclical pattern. We will focus empirically on a case study involving parenting skills courses, which have become increasingly popular. In order to evaluate the impact of the program on parents’ and children outcomes, we employ two different methods. The first method compares the outcomes of families who have just finished the program with those who are about to start it; the second compares the outcomes of the same families over time. Furthermore, we propose a model to test whether families who enrolled early were systematically different from those who enrolled later. We find beneficial effects of the program on the importance of living in an area that offers opportunities and of having good quality relationships with friends and family; on the level of self-confidence in sharing one’s experiences with other parents; and, in general, on the opinion that tablets and cell phones can be useful for learning, can give parents the opportunity to do something and can calm children. Moreover, we show that the families who access the course early are not random in every respect: they consistently assign higher importance to being well-integrated into a community and having access to culture for their well-being, and eventually, they utilize their time with children differently.","container-title":"Evaluation and Program Planning","DOI":"10.1016/j.evalprogplan.2024.102476","ISSN":"01497189","journalAbbreviation":"Evaluation and Program Planning","language":"en","page":"102476","source":"DOI.org (Crossref)","title":"The impact evaluation of short repeated programs: The case of parenting skills programs","title-short":"The impact evaluation of short repeated programs","volume":"106","author":[{"family":"Del Boca","given":"Daniela"},{"family":"Pronzato","given":"Chiara Daniela"},{"family":"Schiavon","given":"Lucia"}],"issued":{"date-parts":[["2024",10]]}},"suppress-author":true}],"schema":"https://github.com/citation-style-language/schema/raw/master/csl-citation.json"} </w:instrText>
                  </w:r>
                  <w:r w:rsidRPr="00843387">
                    <w:fldChar w:fldCharType="separate"/>
                  </w:r>
                  <w:r w:rsidRPr="00E41D03">
                    <w:rPr>
                      <w:rFonts w:ascii="Arial" w:hAnsi="Arial" w:cs="Arial"/>
                    </w:rPr>
                    <w:t>(2024)</w:t>
                  </w:r>
                  <w:r w:rsidRPr="00843387">
                    <w:fldChar w:fldCharType="end"/>
                  </w:r>
                  <w:r w:rsidRPr="009B6A6D">
                    <w:t xml:space="preserve"> highlights the outcomes of an evaluation undertaken in Italy of a parenting skills course of short duration. Parenting courses have become popular in Europe, with many countries incorporating these programs into their national strategies and </w:t>
                  </w:r>
                  <w:r w:rsidRPr="009B6A6D">
                    <w:lastRenderedPageBreak/>
                    <w:t>legislation. The program that was evaluated (the FACE program) intended to provide parents resources and knowledge to improve their parenting skills and impact the wellbeing of their children. The evaluation sought to understand the way in which FACE affected parents</w:t>
                  </w:r>
                  <w:r w:rsidR="00F60DD1">
                    <w:t>’</w:t>
                  </w:r>
                  <w:r w:rsidR="00E46BBF">
                    <w:t xml:space="preserve"> </w:t>
                  </w:r>
                  <w:r w:rsidRPr="009B6A6D">
                    <w:t xml:space="preserve">awareness of the importance of spending time with their children, attending childcare centres, and of the use of digital devices (particularly post the COVID-19 pandemic). The evaluation found beneficial effects on </w:t>
                  </w:r>
                  <w:r w:rsidR="00F60DD1">
                    <w:t>‘</w:t>
                  </w:r>
                  <w:r w:rsidRPr="00DE647E">
                    <w:t>the importance of living in an area that offers opportunities and of having good quality relationships with friends and family, on the level of self-confidence in sharing one’s experiences with other parents; and in general, on the opinion that tablets and cell phones can be useful for learning, can give parents the opportunity to do something</w:t>
                  </w:r>
                  <w:r w:rsidR="00E46BBF" w:rsidRPr="00DE647E">
                    <w:t>,</w:t>
                  </w:r>
                  <w:r w:rsidRPr="00DE647E">
                    <w:t xml:space="preserve"> and can calm children</w:t>
                  </w:r>
                  <w:r w:rsidR="00F60DD1">
                    <w:t>.’</w:t>
                  </w:r>
                  <w:r w:rsidRPr="00F60DD1">
                    <w:t xml:space="preserve"> </w:t>
                  </w:r>
                  <w:r w:rsidRPr="009B6A6D">
                    <w:fldChar w:fldCharType="begin"/>
                  </w:r>
                  <w:r>
                    <w:instrText xml:space="preserve"> ADDIN ZOTERO_ITEM CSL_CITATION {"citationID":"wtp8h8HQ","properties":{"formattedCitation":"(Del Boca et al., 2024)","plainCitation":"(Del Boca et al., 2024)","noteIndex":0},"citationItems":[{"id":4640,"uris":["http://zotero.org/groups/5691188/items/4ZEZFQEZ"],"itemData":{"id":4640,"type":"article-journal","abstract":"In this article, we estimate a series of models to evaluate the effects of a short program in a context where randomization is not feasible but the program follows a cyclical pattern. We will focus empirically on a case study involving parenting skills courses, which have become increasingly popular. In order to evaluate the impact of the program on parents’ and children outcomes, we employ two different methods. The first method compares the outcomes of families who have just finished the program with those who are about to start it; the second compares the outcomes of the same families over time. Furthermore, we propose a model to test whether families who enrolled early were systematically different from those who enrolled later. We find beneficial effects of the program on the importance of living in an area that offers opportunities and of having good quality relationships with friends and family; on the level of self-confidence in sharing one’s experiences with other parents; and, in general, on the opinion that tablets and cell phones can be useful for learning, can give parents the opportunity to do something and can calm children. Moreover, we show that the families who access the course early are not random in every respect: they consistently assign higher importance to being well-integrated into a community and having access to culture for their well-being, and eventually, they utilize their time with children differently.","container-title":"Evaluation and Program Planning","DOI":"10.1016/j.evalprogplan.2024.102476","ISSN":"01497189","journalAbbreviation":"Evaluation and Program Planning","language":"en","page":"102476","source":"DOI.org (Crossref)","title":"The impact evaluation of short repeated programs: The case of parenting skills programs","title-short":"The impact evaluation of short repeated programs","volume":"106","author":[{"family":"Del Boca","given":"Daniela"},{"family":"Pronzato","given":"Chiara Daniela"},{"family":"Schiavon","given":"Lucia"}],"issued":{"date-parts":[["2024",10]]}}}],"schema":"https://github.com/citation-style-language/schema/raw/master/csl-citation.json"} </w:instrText>
                  </w:r>
                  <w:r w:rsidRPr="009B6A6D">
                    <w:fldChar w:fldCharType="separate"/>
                  </w:r>
                  <w:r w:rsidRPr="009B6A6D">
                    <w:t>(Del Boca et al., 2024)</w:t>
                  </w:r>
                  <w:r w:rsidRPr="009B6A6D">
                    <w:fldChar w:fldCharType="end"/>
                  </w:r>
                  <w:r w:rsidRPr="009B6A6D">
                    <w:t>. This evaluation also found that those families that accessed the parenting course early consistently assigned more importance to being well-integrated into a community and having access to culture for their wellbeing.</w:t>
                  </w:r>
                </w:p>
                <w:p w14:paraId="5E28AB0E" w14:textId="65C75EB5" w:rsidR="00967ECF" w:rsidRPr="009B6A6D" w:rsidRDefault="00967ECF" w:rsidP="00967ECF">
                  <w:pPr>
                    <w:pStyle w:val="Text"/>
                  </w:pPr>
                  <w:r w:rsidRPr="009B6A6D">
                    <w:t xml:space="preserve">A Benefit Cost Analysis of the ‘Promoting First Relationships’ (PFR) program (an attachment and strengths-based home visiting program for caregivers of children from birth to age </w:t>
                  </w:r>
                  <w:r>
                    <w:t>5</w:t>
                  </w:r>
                  <w:r w:rsidRPr="009B6A6D">
                    <w:t xml:space="preserve"> in Washington State) showed that the program had benefits. The analysis considered other studies seeking to tangibly quantify quality-of-life losses and highlighted that </w:t>
                  </w:r>
                  <w:r w:rsidR="00F60DD1">
                    <w:t>‘</w:t>
                  </w:r>
                  <w:r w:rsidRPr="00DE647E">
                    <w:t>the divergence in estimates produced … suggests that different assumptions about victimisation costs are likely to play a key role in determining whether an investment is cost beneficial</w:t>
                  </w:r>
                  <w:r w:rsidR="00F60DD1">
                    <w:t>’</w:t>
                  </w:r>
                  <w:r w:rsidRPr="009B6A6D">
                    <w:t xml:space="preserve"> </w:t>
                  </w:r>
                  <w:r w:rsidRPr="009B6A6D">
                    <w:fldChar w:fldCharType="begin"/>
                  </w:r>
                  <w:r>
                    <w:instrText xml:space="preserve"> ADDIN ZOTERO_ITEM CSL_CITATION {"citationID":"ra7qn4cm","properties":{"formattedCitation":"(Kuklinski et al., 2020)","plainCitation":"(Kuklinski et al., 2020)","noteIndex":0},"citationItems":[{"id":4677,"uris":["http://zotero.org/groups/5691188/items/AJ9UN2CA"],"itemData":{"id":4677,"type":"article-journal","abstract":"BACKGROUND: Child abuse and neglect (CAN) cost United States society $136 billion to $428 billion annually. Preventive interventions that reduce CAN may improve people's lives and generate economic benefits to society, but their magnitude is likely to vary greatly with assumptions about victim costs avoided through intervention. OBJECTIVE: We examined the implications of different assumptions about avoided victim costs in a benefit-cost analysis of Promoting First Relationships® (PFR), a 10-session attachment and strengths-based home visiting intervention. PARTICIPANTS AND SETTING: Participants were 247 child protection-involved but intact families in Washington State randomized to receive PFR (n = 124) or resource and referral (n = 123). METHODS: We monetized intervention effects on out-of-home placements and implicit effects on CAN and calculated net present values under three scenarios: (1) benefits from avoided system costs, (2) additional benefits from avoided tangible victim costs, and (3) additional benefits from avoided tangible and intangible quality-of-life victim costs. For scenarios 2 and 3, we varied the CAN effect size and estimated the effect size at which PFR was reliably cost beneficial. RESULTS: PFR's societal net benefit ranged from $1 (scenario 1) to $5514 - $25,562 (scenario 2) and $7004 - $32,072 (scenario 3) (2014 USD). In scenarios 2 and 3, PFR was reliably cost beneficial at a CAN effect size of approximately -0.25. CONCLUSIONS: PFR is cost beneficial assuming tangible victim costs are avoided by PFR. Research into the long-term health and economic consequences of reducing CAN in at-risk populations would contribute to comprehensive, accurate benefits models. Language: en","container-title":"Child abuse and neglect","ISSN":"0145-2134","journalAbbreviation":"Child abuse and neglect","language":"en","page":"e104515-e104515","title":"Benefit-cost analysis of Promoting First Relationships®: implications of victim benefits assumptions for return on investment","volume":"106","author":[{"family":"Kuklinski","given":"Margaret R."},{"family":"Oxford","given":"Monica L."},{"family":"Spieker","given":"Susan J."},{"family":"Lohr","given":"Mary Jane"},{"family":"Fleming","given":"Charles B."}],"issued":{"date-parts":[["2020"]]}}}],"schema":"https://github.com/citation-style-language/schema/raw/master/csl-citation.json"} </w:instrText>
                  </w:r>
                  <w:r w:rsidRPr="009B6A6D">
                    <w:fldChar w:fldCharType="separate"/>
                  </w:r>
                  <w:r w:rsidRPr="009B6A6D">
                    <w:t>(Kuklinski et al., 2020)</w:t>
                  </w:r>
                  <w:r w:rsidRPr="009B6A6D">
                    <w:fldChar w:fldCharType="end"/>
                  </w:r>
                  <w:r w:rsidRPr="009B6A6D">
                    <w:t xml:space="preserve">. The authors referenced a model and software tool developed by the WSIPP tool that provides information about which programs are effective in improving public outcomes and the expected returns on investment. </w:t>
                  </w:r>
                  <w:r>
                    <w:t>T</w:t>
                  </w:r>
                  <w:r w:rsidRPr="009B6A6D">
                    <w:t xml:space="preserve">he authors indicated that </w:t>
                  </w:r>
                  <w:r w:rsidR="00F60DD1">
                    <w:rPr>
                      <w:iCs/>
                    </w:rPr>
                    <w:t>‘</w:t>
                  </w:r>
                  <w:r w:rsidRPr="00DE647E">
                    <w:rPr>
                      <w:iCs/>
                    </w:rPr>
                    <w:t>…even modest assumptions about victim benefits led to substantially increased benefits from PFR</w:t>
                  </w:r>
                  <w:r w:rsidR="00F60DD1">
                    <w:rPr>
                      <w:iCs/>
                    </w:rPr>
                    <w:t>.’</w:t>
                  </w:r>
                  <w:r>
                    <w:rPr>
                      <w:i/>
                    </w:rPr>
                    <w:t xml:space="preserve"> </w:t>
                  </w:r>
                  <w:r w:rsidRPr="009B6A6D">
                    <w:fldChar w:fldCharType="begin"/>
                  </w:r>
                  <w:r>
                    <w:instrText xml:space="preserve"> ADDIN ZOTERO_ITEM CSL_CITATION {"citationID":"9zyx7GT7","properties":{"formattedCitation":"(Kuklinski et al., 2020)","plainCitation":"(Kuklinski et al., 2020)","noteIndex":0},"citationItems":[{"id":4677,"uris":["http://zotero.org/groups/5691188/items/AJ9UN2CA"],"itemData":{"id":4677,"type":"article-journal","abstract":"BACKGROUND: Child abuse and neglect (CAN) cost United States society $136 billion to $428 billion annually. Preventive interventions that reduce CAN may improve people's lives and generate economic benefits to society, but their magnitude is likely to vary greatly with assumptions about victim costs avoided through intervention. OBJECTIVE: We examined the implications of different assumptions about avoided victim costs in a benefit-cost analysis of Promoting First Relationships® (PFR), a 10-session attachment and strengths-based home visiting intervention. PARTICIPANTS AND SETTING: Participants were 247 child protection-involved but intact families in Washington State randomized to receive PFR (n = 124) or resource and referral (n = 123). METHODS: We monetized intervention effects on out-of-home placements and implicit effects on CAN and calculated net present values under three scenarios: (1) benefits from avoided system costs, (2) additional benefits from avoided tangible victim costs, and (3) additional benefits from avoided tangible and intangible quality-of-life victim costs. For scenarios 2 and 3, we varied the CAN effect size and estimated the effect size at which PFR was reliably cost beneficial. RESULTS: PFR's societal net benefit ranged from $1 (scenario 1) to $5514 - $25,562 (scenario 2) and $7004 - $32,072 (scenario 3) (2014 USD). In scenarios 2 and 3, PFR was reliably cost beneficial at a CAN effect size of approximately -0.25. CONCLUSIONS: PFR is cost beneficial assuming tangible victim costs are avoided by PFR. Research into the long-term health and economic consequences of reducing CAN in at-risk populations would contribute to comprehensive, accurate benefits models. Language: en","container-title":"Child abuse and neglect","ISSN":"0145-2134","journalAbbreviation":"Child abuse and neglect","language":"en","page":"e104515-e104515","title":"Benefit-cost analysis of Promoting First Relationships®: implications of victim benefits assumptions for return on investment","volume":"106","author":[{"family":"Kuklinski","given":"Margaret R."},{"family":"Oxford","given":"Monica L."},{"family":"Spieker","given":"Susan J."},{"family":"Lohr","given":"Mary Jane"},{"family":"Fleming","given":"Charles B."}],"issued":{"date-parts":[["2020"]]}}}],"schema":"https://github.com/citation-style-language/schema/raw/master/csl-citation.json"} </w:instrText>
                  </w:r>
                  <w:r w:rsidRPr="009B6A6D">
                    <w:fldChar w:fldCharType="separate"/>
                  </w:r>
                  <w:r w:rsidRPr="009B6A6D">
                    <w:t>(Kuklinski et al., 2020)</w:t>
                  </w:r>
                  <w:r w:rsidRPr="009B6A6D">
                    <w:fldChar w:fldCharType="end"/>
                  </w:r>
                  <w:r w:rsidRPr="009B6A6D">
                    <w:t>.</w:t>
                  </w:r>
                </w:p>
                <w:p w14:paraId="59372D46" w14:textId="26A45854" w:rsidR="00967ECF" w:rsidRPr="00194CEE" w:rsidRDefault="00967ECF" w:rsidP="00967ECF">
                  <w:pPr>
                    <w:pStyle w:val="Text"/>
                  </w:pPr>
                  <w:r w:rsidRPr="009B6A6D">
                    <w:t xml:space="preserve">Cochrane et al. (2024) reported on a model-based cost-utility analysis which compared the </w:t>
                  </w:r>
                  <w:r w:rsidR="0058390B">
                    <w:t xml:space="preserve">usual care model provided under the </w:t>
                  </w:r>
                  <w:r w:rsidR="0058390B" w:rsidRPr="009B6A6D">
                    <w:t>I</w:t>
                  </w:r>
                  <w:r w:rsidR="0058390B">
                    <w:t>dentification</w:t>
                  </w:r>
                  <w:r w:rsidR="0088791F">
                    <w:t xml:space="preserve"> and Referral to Improve Safety</w:t>
                  </w:r>
                  <w:r w:rsidR="0058390B">
                    <w:t xml:space="preserve"> (IRIS) </w:t>
                  </w:r>
                  <w:r w:rsidR="0058390B" w:rsidRPr="009B6A6D">
                    <w:t>in</w:t>
                  </w:r>
                  <w:r w:rsidR="008D7AE6">
                    <w:t>tervention</w:t>
                  </w:r>
                  <w:r w:rsidR="0058390B" w:rsidRPr="009B6A6D">
                    <w:t xml:space="preserve"> </w:t>
                  </w:r>
                  <w:r w:rsidR="0058390B">
                    <w:t xml:space="preserve">with IRIS+, </w:t>
                  </w:r>
                  <w:r w:rsidR="008D7AE6">
                    <w:t>an adapted program which provided coordinated whole-of-system family violence training and advocacy interventions. IRIS+</w:t>
                  </w:r>
                  <w:r w:rsidRPr="009B6A6D">
                    <w:t xml:space="preserve"> assisted primary care staff to identify, document</w:t>
                  </w:r>
                  <w:r>
                    <w:t>,</w:t>
                  </w:r>
                  <w:r w:rsidRPr="009B6A6D">
                    <w:t xml:space="preserve"> and refer men, women</w:t>
                  </w:r>
                  <w:r>
                    <w:t>,</w:t>
                  </w:r>
                  <w:r w:rsidRPr="009B6A6D">
                    <w:t xml:space="preserve"> and children experiencing family violence at </w:t>
                  </w:r>
                  <w:r>
                    <w:t>3</w:t>
                  </w:r>
                  <w:r w:rsidRPr="009B6A6D">
                    <w:t xml:space="preserve"> sites in England and </w:t>
                  </w:r>
                  <w:r>
                    <w:t>4</w:t>
                  </w:r>
                  <w:r w:rsidRPr="009B6A6D">
                    <w:t xml:space="preserve"> sites in Wales. Whilst this intervention included men, women</w:t>
                  </w:r>
                  <w:r>
                    <w:t>,</w:t>
                  </w:r>
                  <w:r w:rsidRPr="009B6A6D">
                    <w:t xml:space="preserve"> and children it did not include </w:t>
                  </w:r>
                  <w:r>
                    <w:t>group MBCPs</w:t>
                  </w:r>
                  <w:r w:rsidRPr="009B6A6D">
                    <w:t xml:space="preserve">. The outcome measure used was quality-adjusted life years (QALYs). A societal lens, as opposed to a purely health perspective, was applied to the analysis. The analysis found that the IRIS+ intervention was saving £92 per patient over a ten-year time horizon and that it achieved gains of 0.003 in QALYs. The authors reported that this was the first study which </w:t>
                  </w:r>
                  <w:r w:rsidRPr="00EF4F86">
                    <w:t xml:space="preserve">assessed the </w:t>
                  </w:r>
                  <w:r w:rsidR="00EF4F86">
                    <w:t>‘</w:t>
                  </w:r>
                  <w:r w:rsidRPr="00DE647E">
                    <w:t>potential cost-effectiveness of a primary care intervention providing support to all women, men, and their children experiencing domestic violence/abuse</w:t>
                  </w:r>
                  <w:r w:rsidR="00EF4F86">
                    <w:t>’</w:t>
                  </w:r>
                  <w:r>
                    <w:t xml:space="preserve"> </w:t>
                  </w:r>
                  <w:r w:rsidRPr="009B6A6D">
                    <w:fldChar w:fldCharType="begin"/>
                  </w:r>
                  <w:r>
                    <w:instrText xml:space="preserve"> ADDIN ZOTERO_ITEM CSL_CITATION {"citationID":"4A7y8NY2","properties":{"formattedCitation":"(Cochrane et al., 2024)","plainCitation":"(Cochrane et al., 2024)","noteIndex":0},"citationItems":[{"id":4651,"uris":["http://zotero.org/groups/5691188/items/APS74CSB"],"itemData":{"id":4651,"type":"article-journal","abstract":"Objectives  This study aimed to evaluate the prospective cost-e­ ffectiveness of the Identification and Referral to Improve Safety plus (IRIS+) intervention compared with usual care using feasibility data derived from seven UK general practice sites.\nMethod  A cost–utility analysis was conducted to assess the potential cost-e­ ffectiveness of IRIS+, an enhanced model of the UK’s usual care. IRIS+ assisted primary care staff in identifying, documenting and referring not only women, but also men and children who may have experienced domestic violence/abuse as victims, perpetrators or both. A perpetrator group programme was not part of the intervention per se but was linked to the IRIS+ intervention via a referral pathway and signposting. A Markov model was constructed from a societal perspective to estimate mean incremental costs and quality-a­ djusted life years (QALYs) of IRIS+ compared with to usual care over a 10-y­ ear time horizon.\nResults  The IRIS+ intervention saved £92 per patient and produced QALY gains of 0.003. The incremental net monetary benefit was positive (£145) and the IRIS+ intervention was cost-­effective in 55% of simulations at a cost-e­ ffectiveness threshold of £20 000 per QALY.\nConclusion  The IRIS+ intervention could be cost-­effective or even cost saving from a societal perspective in the UK, though there are large uncertainties, reflected in the confidence intervals and simulation results.","container-title":"BMJ Open","DOI":"10.1136/bmjopen-2022-071300","ISSN":"2044-6055, 2044-6055","issue":"1","journalAbbreviation":"BMJ Open","language":"en","page":"e071300","source":"DOI.org (Crossref)","title":"Primary care system-level training and support programme for the secondary prevention of domestic violence and abuse: a cost-effectiveness feasibility model","title-short":"Primary care system-level training and support programme for the secondary prevention of domestic violence and abuse","volume":"14","author":[{"family":"Cochrane","given":"Madeleine"},{"family":"Szilassy","given":"Eszter"},{"family":"Coope","given":"Caroline"},{"family":"Emsley","given":"Elizabeth"},{"family":"Johnson","given":"Medina"},{"family":"Feder","given":"Gene"},{"family":"Barbosa","given":"Estela Capelas"}],"issued":{"date-parts":[["2024",1]]}}}],"schema":"https://github.com/citation-style-language/schema/raw/master/csl-citation.json"} </w:instrText>
                  </w:r>
                  <w:r w:rsidRPr="009B6A6D">
                    <w:fldChar w:fldCharType="separate"/>
                  </w:r>
                  <w:r w:rsidRPr="009B6A6D">
                    <w:t>(Cochrane et al., 2024)</w:t>
                  </w:r>
                  <w:r w:rsidRPr="009B6A6D">
                    <w:fldChar w:fldCharType="end"/>
                  </w:r>
                  <w:r w:rsidRPr="009B6A6D">
                    <w:t>.</w:t>
                  </w:r>
                  <w:r w:rsidRPr="007F3FA6">
                    <w:rPr>
                      <w:i/>
                      <w:iCs/>
                    </w:rPr>
                    <w:t xml:space="preserve"> </w:t>
                  </w:r>
                  <w:r w:rsidRPr="009B6A6D">
                    <w:t xml:space="preserve">Whilst the outcomes of this cost-utility analysis were positive, there were significant uncertainties, including a small sample size, as indicated by the confidence intervals and simulation results </w:t>
                  </w:r>
                  <w:r w:rsidRPr="009B6A6D">
                    <w:fldChar w:fldCharType="begin"/>
                  </w:r>
                  <w:r>
                    <w:instrText xml:space="preserve"> ADDIN ZOTERO_ITEM CSL_CITATION {"citationID":"hOhZJKwO","properties":{"formattedCitation":"(Cochrane et al., 2024)","plainCitation":"(Cochrane et al., 2024)","noteIndex":0},"citationItems":[{"id":4651,"uris":["http://zotero.org/groups/5691188/items/APS74CSB"],"itemData":{"id":4651,"type":"article-journal","abstract":"Objectives  This study aimed to evaluate the prospective cost-e­ ffectiveness of the Identification and Referral to Improve Safety plus (IRIS+) intervention compared with usual care using feasibility data derived from seven UK general practice sites.\nMethod  A cost–utility analysis was conducted to assess the potential cost-e­ ffectiveness of IRIS+, an enhanced model of the UK’s usual care. IRIS+ assisted primary care staff in identifying, documenting and referring not only women, but also men and children who may have experienced domestic violence/abuse as victims, perpetrators or both. A perpetrator group programme was not part of the intervention per se but was linked to the IRIS+ intervention via a referral pathway and signposting. A Markov model was constructed from a societal perspective to estimate mean incremental costs and quality-a­ djusted life years (QALYs) of IRIS+ compared with to usual care over a 10-y­ ear time horizon.\nResults  The IRIS+ intervention saved £92 per patient and produced QALY gains of 0.003. The incremental net monetary benefit was positive (£145) and the IRIS+ intervention was cost-­effective in 55% of simulations at a cost-e­ ffectiveness threshold of £20 000 per QALY.\nConclusion  The IRIS+ intervention could be cost-­effective or even cost saving from a societal perspective in the UK, though there are large uncertainties, reflected in the confidence intervals and simulation results.","container-title":"BMJ Open","DOI":"10.1136/bmjopen-2022-071300","ISSN":"2044-6055, 2044-6055","issue":"1","journalAbbreviation":"BMJ Open","language":"en","page":"e071300","source":"DOI.org (Crossref)","title":"Primary care system-level training and support programme for the secondary prevention of domestic violence and abuse: a cost-effectiveness feasibility model","title-short":"Primary care system-level training and support programme for the secondary prevention of domestic violence and abuse","volume":"14","author":[{"family":"Cochrane","given":"Madeleine"},{"family":"Szilassy","given":"Eszter"},{"family":"Coope","given":"Caroline"},{"family":"Emsley","given":"Elizabeth"},{"family":"Johnson","given":"Medina"},{"family":"Feder","given":"Gene"},{"family":"Barbosa","given":"Estela Capelas"}],"issued":{"date-parts":[["2024",1]]}}}],"schema":"https://github.com/citation-style-language/schema/raw/master/csl-citation.json"} </w:instrText>
                  </w:r>
                  <w:r w:rsidRPr="009B6A6D">
                    <w:fldChar w:fldCharType="separate"/>
                  </w:r>
                  <w:r w:rsidRPr="009B6A6D">
                    <w:t>(Cochrane et al., 2024)</w:t>
                  </w:r>
                  <w:r w:rsidRPr="009B6A6D">
                    <w:fldChar w:fldCharType="end"/>
                  </w:r>
                  <w:r w:rsidRPr="009B6A6D">
                    <w:t>.</w:t>
                  </w:r>
                  <w:r>
                    <w:t xml:space="preserve"> </w:t>
                  </w:r>
                </w:p>
                <w:p w14:paraId="34D0B391" w14:textId="37C354B6" w:rsidR="00967ECF" w:rsidRDefault="00967ECF" w:rsidP="002E7436">
                  <w:pPr>
                    <w:pStyle w:val="Heading2"/>
                  </w:pPr>
                  <w:bookmarkStart w:id="303" w:name="_Ref205327551"/>
                  <w:bookmarkStart w:id="304" w:name="_Toc208906850"/>
                  <w:r>
                    <w:t>Return on investment</w:t>
                  </w:r>
                  <w:bookmarkEnd w:id="303"/>
                  <w:bookmarkEnd w:id="304"/>
                  <w:r>
                    <w:t xml:space="preserve"> </w:t>
                  </w:r>
                </w:p>
                <w:p w14:paraId="3067173D" w14:textId="45C49C44" w:rsidR="00967ECF" w:rsidRPr="00F6595B" w:rsidRDefault="00967ECF" w:rsidP="00967ECF">
                  <w:pPr>
                    <w:pStyle w:val="Text"/>
                    <w:rPr>
                      <w:lang w:val="en-US"/>
                    </w:rPr>
                  </w:pPr>
                  <w:r w:rsidRPr="00F6595B">
                    <w:rPr>
                      <w:lang w:val="en-US"/>
                    </w:rPr>
                    <w:t xml:space="preserve">A ROI benefit analysis compares </w:t>
                  </w:r>
                  <w:r w:rsidR="00EF4F86">
                    <w:rPr>
                      <w:lang w:val="en-US"/>
                    </w:rPr>
                    <w:t xml:space="preserve">a </w:t>
                  </w:r>
                  <w:r w:rsidRPr="00F6595B">
                    <w:rPr>
                      <w:lang w:val="en-US"/>
                    </w:rPr>
                    <w:t>program’s costs with</w:t>
                  </w:r>
                  <w:r w:rsidR="00EF4F86">
                    <w:rPr>
                      <w:lang w:val="en-US"/>
                    </w:rPr>
                    <w:t xml:space="preserve"> the</w:t>
                  </w:r>
                  <w:r w:rsidRPr="00F6595B">
                    <w:rPr>
                      <w:lang w:val="en-US"/>
                    </w:rPr>
                    <w:t xml:space="preserve"> (quantifiable) economic and social benefits it generates. Although </w:t>
                  </w:r>
                  <w:r w:rsidR="00EF4F86">
                    <w:rPr>
                      <w:lang w:val="en-US"/>
                    </w:rPr>
                    <w:t xml:space="preserve">the costs of the </w:t>
                  </w:r>
                  <w:r w:rsidRPr="00F6595B">
                    <w:rPr>
                      <w:lang w:val="en-US"/>
                    </w:rPr>
                    <w:t>FARS and SVFS program</w:t>
                  </w:r>
                  <w:r w:rsidR="00EF4F86">
                    <w:rPr>
                      <w:lang w:val="en-US"/>
                    </w:rPr>
                    <w:t>s</w:t>
                  </w:r>
                  <w:r w:rsidRPr="00F6595B">
                    <w:rPr>
                      <w:lang w:val="en-US"/>
                    </w:rPr>
                    <w:t xml:space="preserve"> are available (in terms of activity base expenditure), understanding the value of potential benefits is more difficult, particularly given the </w:t>
                  </w:r>
                  <w:r w:rsidRPr="00FE0584">
                    <w:rPr>
                      <w:lang w:val="en-US"/>
                    </w:rPr>
                    <w:t>intermediate nature of</w:t>
                  </w:r>
                  <w:r w:rsidRPr="00F6595B">
                    <w:rPr>
                      <w:lang w:val="en-US"/>
                    </w:rPr>
                    <w:t xml:space="preserve"> outcomes identified in the </w:t>
                  </w:r>
                  <w:r w:rsidR="002A757C">
                    <w:rPr>
                      <w:lang w:val="en-US"/>
                    </w:rPr>
                    <w:t>P</w:t>
                  </w:r>
                  <w:r w:rsidRPr="00F6595B">
                    <w:rPr>
                      <w:lang w:val="en-US"/>
                    </w:rPr>
                    <w:t xml:space="preserve">rogram </w:t>
                  </w:r>
                  <w:r w:rsidR="002A757C">
                    <w:rPr>
                      <w:lang w:val="en-US"/>
                    </w:rPr>
                    <w:t>L</w:t>
                  </w:r>
                  <w:r w:rsidRPr="00F6595B">
                    <w:rPr>
                      <w:lang w:val="en-US"/>
                    </w:rPr>
                    <w:t>ogic</w:t>
                  </w:r>
                  <w:r w:rsidR="00EF4F86">
                    <w:rPr>
                      <w:lang w:val="en-US"/>
                    </w:rPr>
                    <w:t>s</w:t>
                  </w:r>
                  <w:r w:rsidRPr="00F6595B">
                    <w:rPr>
                      <w:lang w:val="en-US"/>
                    </w:rPr>
                    <w:t xml:space="preserve">. </w:t>
                  </w:r>
                </w:p>
                <w:p w14:paraId="7DF35DDE" w14:textId="77777777" w:rsidR="00967ECF" w:rsidRPr="00F6595B" w:rsidRDefault="00967ECF" w:rsidP="00967ECF">
                  <w:pPr>
                    <w:pStyle w:val="Text"/>
                    <w:rPr>
                      <w:lang w:val="en-US"/>
                    </w:rPr>
                  </w:pPr>
                  <w:r w:rsidRPr="00F6595B">
                    <w:rPr>
                      <w:lang w:val="en-US"/>
                    </w:rPr>
                    <w:lastRenderedPageBreak/>
                    <w:t xml:space="preserve">In undertaking a ROI that maps current expenditure with current (and projected) benefits, it is important to acknowledge the history of the FaRS program. This historical funding provides the platform for today’s services and reinforces the importance of ongoing funding to maintain sustainable change. </w:t>
                  </w:r>
                </w:p>
                <w:p w14:paraId="7C64FE43" w14:textId="77777777" w:rsidR="00967ECF" w:rsidRDefault="00967ECF" w:rsidP="00321BC5">
                  <w:pPr>
                    <w:pStyle w:val="Text-BodyHeading"/>
                    <w:spacing w:before="360" w:after="240"/>
                  </w:pPr>
                  <w:r>
                    <w:t xml:space="preserve">Method 1: Applying Centre for International Economics (CIE) BCR results </w:t>
                  </w:r>
                </w:p>
                <w:p w14:paraId="497B50D7" w14:textId="2D0A54B8" w:rsidR="00967ECF" w:rsidRPr="005716DC" w:rsidRDefault="00967ECF" w:rsidP="00967ECF">
                  <w:pPr>
                    <w:pStyle w:val="Text"/>
                  </w:pPr>
                  <w:r w:rsidRPr="005716DC">
                    <w:t xml:space="preserve">A recent and relevant study relating to cost-efficiency and cost-effectiveness of the FaRS and SFVS programs </w:t>
                  </w:r>
                  <w:r>
                    <w:t xml:space="preserve">was </w:t>
                  </w:r>
                  <w:r w:rsidRPr="005716DC">
                    <w:t xml:space="preserve">undertaken by the Centre for International Economics in September 2023 (the CIE Study). The CIE study was </w:t>
                  </w:r>
                  <w:r>
                    <w:t xml:space="preserve">commissioned by </w:t>
                  </w:r>
                  <w:r w:rsidRPr="005716DC">
                    <w:t>Family and Relationship Services Australia (</w:t>
                  </w:r>
                  <w:r>
                    <w:t>FRSA</w:t>
                  </w:r>
                  <w:r w:rsidRPr="005716DC">
                    <w:t>)</w:t>
                  </w:r>
                  <w:r>
                    <w:t xml:space="preserve"> to undertake a </w:t>
                  </w:r>
                  <w:r w:rsidRPr="005716DC">
                    <w:t>Cost-Benefit Analysis (CBA)</w:t>
                  </w:r>
                  <w:r>
                    <w:t xml:space="preserve"> of family and relationship services funded by the Australian Government</w:t>
                  </w:r>
                  <w:r w:rsidRPr="005716DC">
                    <w:t xml:space="preserve">. The scope of the CIE Study is broader than the </w:t>
                  </w:r>
                  <w:r>
                    <w:t xml:space="preserve">scope of this </w:t>
                  </w:r>
                  <w:r w:rsidRPr="005716DC">
                    <w:t xml:space="preserve">evaluation </w:t>
                  </w:r>
                  <w:r w:rsidR="00B5498B">
                    <w:t>because it</w:t>
                  </w:r>
                  <w:r>
                    <w:t xml:space="preserve"> included</w:t>
                  </w:r>
                  <w:r w:rsidRPr="005716DC">
                    <w:t xml:space="preserve"> family law services as well as a broader range of families and children’s activities</w:t>
                  </w:r>
                  <w:r>
                    <w:t>.</w:t>
                  </w:r>
                  <w:r w:rsidRPr="005716DC">
                    <w:t xml:space="preserve"> The CIE study found that </w:t>
                  </w:r>
                  <w:r w:rsidR="000C38A3" w:rsidRPr="00DE647E">
                    <w:t>‘</w:t>
                  </w:r>
                  <w:r w:rsidRPr="00DE647E">
                    <w:t>family and relationship services provide a range of psychosocial, emotional, and physical benefits to Australians in need, and demonstrated a substantial return on investment</w:t>
                  </w:r>
                  <w:r w:rsidR="000C38A3">
                    <w:t>’</w:t>
                  </w:r>
                  <w:r w:rsidRPr="005716DC" w:rsidDel="00520567">
                    <w:t xml:space="preserve"> </w:t>
                  </w:r>
                  <w:r w:rsidRPr="005716DC">
                    <w:fldChar w:fldCharType="begin"/>
                  </w:r>
                  <w:r>
                    <w:instrText xml:space="preserve"> ADDIN ZOTERO_ITEM CSL_CITATION {"citationID":"Dm9OJtxd","properties":{"formattedCitation":"(Centre for International Economics, 2023)","plainCitation":"(Centre for International Economics, 2023)","noteIndex":0},"citationItems":[{"id":4581,"uris":["http://zotero.org/groups/5691188/items/C9G9CYCG"],"itemData":{"id":4581,"type":"report","publisher":"CIE","title":"Family and Relationship Services Economic  Evaluation: Using cost-benefit analysis to assess the value of services","URL":"https://frsa.org.au/wp-content/uploads/2023/09/CIE-Final-Report_FRSA_Family-and-Relationship-Services-Evaluation-11092023.pdf","author":[{"family":"Centre for International Economics","given":""}],"issued":{"date-parts":[["2023"]]}}}],"schema":"https://github.com/citation-style-language/schema/raw/master/csl-citation.json"} </w:instrText>
                  </w:r>
                  <w:r w:rsidRPr="005716DC">
                    <w:fldChar w:fldCharType="separate"/>
                  </w:r>
                  <w:r w:rsidRPr="005716DC">
                    <w:rPr>
                      <w:rFonts w:ascii="Arial" w:hAnsi="Arial" w:cs="Arial"/>
                    </w:rPr>
                    <w:t>(Centre for International Economics, 2023)</w:t>
                  </w:r>
                  <w:r w:rsidRPr="005716DC">
                    <w:fldChar w:fldCharType="end"/>
                  </w:r>
                  <w:r>
                    <w:t>.</w:t>
                  </w:r>
                  <w:r w:rsidRPr="005716DC">
                    <w:t xml:space="preserve"> It found that almost all services were found to lead to </w:t>
                  </w:r>
                  <w:r w:rsidR="000C38A3" w:rsidRPr="00DE647E">
                    <w:t>‘</w:t>
                  </w:r>
                  <w:r w:rsidRPr="00DE647E">
                    <w:t>improvements in family functioning and mental health, wellbeing, and self-care</w:t>
                  </w:r>
                  <w:r w:rsidR="000C38A3">
                    <w:t>’</w:t>
                  </w:r>
                  <w:r w:rsidRPr="00DE647E">
                    <w:t xml:space="preserve"> </w:t>
                  </w:r>
                  <w:r w:rsidRPr="000C38A3">
                    <w:t xml:space="preserve">and impacts on personal and family safety were </w:t>
                  </w:r>
                  <w:r w:rsidR="000C38A3">
                    <w:t>‘</w:t>
                  </w:r>
                  <w:r w:rsidRPr="00DE647E">
                    <w:t>significant</w:t>
                  </w:r>
                  <w:r w:rsidR="000C38A3">
                    <w:t>’</w:t>
                  </w:r>
                  <w:r w:rsidRPr="000C38A3">
                    <w:t xml:space="preserve"> for specialist family violence services </w:t>
                  </w:r>
                  <w:r w:rsidRPr="000C38A3">
                    <w:fldChar w:fldCharType="begin"/>
                  </w:r>
                  <w:r w:rsidRPr="000C38A3">
                    <w:instrText xml:space="preserve"> ADDIN ZOTERO_ITEM CSL_CITATION {"citationID":"20ZoOoaZ","properties":{"formattedCitation":"(Centre for International Economics, 2023)","plainCitation":"(Centre for International Economics, 2023)","noteIndex":0},"citationItems":[{"id":4581,"uris":["http://zotero.org/groups/5691188/items/C9G9CYCG"],"itemData":{"id":4581,"type":"report","publisher":"CIE","title":"Family and Relationship Services Economic  Evaluation: Using cost-benefit analysis to assess the value of services","URL":"https://frsa.org.au/wp-content/uploads/2023/09/CIE-Final-Report_FRSA_Family-and-Relationship-Services-Evaluation-11092023.pdf","author":[{"family":"Centre for International Economics","given":""}],"issued":{"date-parts":[["2023"]]}}}],"schema":"https://github.com/citation-style-language/schema/raw/master/csl-citation.json"} </w:instrText>
                  </w:r>
                  <w:r w:rsidRPr="000C38A3">
                    <w:fldChar w:fldCharType="separate"/>
                  </w:r>
                  <w:r w:rsidRPr="000C38A3">
                    <w:rPr>
                      <w:rFonts w:ascii="Arial" w:hAnsi="Arial" w:cs="Arial"/>
                    </w:rPr>
                    <w:t>(Centre for International Economics, 2023)</w:t>
                  </w:r>
                  <w:r w:rsidRPr="000C38A3">
                    <w:fldChar w:fldCharType="end"/>
                  </w:r>
                  <w:r w:rsidRPr="000C38A3">
                    <w:t xml:space="preserve">. The CIE study found that </w:t>
                  </w:r>
                  <w:r w:rsidR="000C38A3">
                    <w:t>‘</w:t>
                  </w:r>
                  <w:r w:rsidRPr="00DE647E">
                    <w:t>when people receive counselling, parenting or relationship education, or adult mental health services, their level of distress is measurably lower than people who wanted services but did not receive them</w:t>
                  </w:r>
                  <w:r w:rsidR="000C38A3">
                    <w:t>’</w:t>
                  </w:r>
                  <w:r w:rsidRPr="000C38A3">
                    <w:t xml:space="preserve"> </w:t>
                  </w:r>
                  <w:r w:rsidRPr="000C38A3">
                    <w:fldChar w:fldCharType="begin"/>
                  </w:r>
                  <w:r w:rsidRPr="000C38A3">
                    <w:instrText xml:space="preserve"> ADDIN ZOTERO_ITEM CSL_CITATION {"citationID":"bfbEqoxi","properties":{"formattedCitation":"(Centre for International Economics, 2023)","plainCitation":"(Centre for International Economics, 2023)","noteIndex":0},"citationItems":[{"id":4581,"uris":["http://zotero.org/groups/5691188/items/C9G9CYCG"],"itemData":{"id":4581,"type":"report","publisher":"CIE","title":"Family and Relationship Services Economic  Evaluation: Using cost-benefit analysis to assess the value of services","URL":"https://frsa.org.au/wp-content/uploads/2023/09/CIE-Final-Report_FRSA_Family-and-Relationship-Services-Evaluation-11092023.pdf","author":[{"family":"Centre for International Economics","given":""}],"issued":{"date-parts":[["2023"]]}}}],"schema":"https://github.com/citation-style-language/schema/raw/master/csl-citation.json"} </w:instrText>
                  </w:r>
                  <w:r w:rsidRPr="000C38A3">
                    <w:fldChar w:fldCharType="separate"/>
                  </w:r>
                  <w:r w:rsidRPr="000C38A3">
                    <w:rPr>
                      <w:rFonts w:ascii="Arial" w:hAnsi="Arial" w:cs="Arial"/>
                    </w:rPr>
                    <w:t>(Centre for International Economics, 2023)</w:t>
                  </w:r>
                  <w:r w:rsidRPr="000C38A3">
                    <w:fldChar w:fldCharType="end"/>
                  </w:r>
                  <w:r w:rsidRPr="000C38A3">
                    <w:t>. Further, those receiving relationship educatio</w:t>
                  </w:r>
                  <w:r w:rsidRPr="005716DC">
                    <w:t xml:space="preserve">n services saw greater reductions than recipients of other services on the Kessler psychological distress score. Receiving parental courses or parental support (relative to wanting but not receiving those services) was also found to reduce child difficulties scores in the internationally validated </w:t>
                  </w:r>
                  <w:r w:rsidRPr="005716DC">
                    <w:rPr>
                      <w:i/>
                      <w:iCs/>
                    </w:rPr>
                    <w:t>Strengths and Difficulties</w:t>
                  </w:r>
                  <w:r w:rsidRPr="005716DC">
                    <w:t xml:space="preserve"> questionnaire</w:t>
                  </w:r>
                  <w:r w:rsidR="00B5498B">
                    <w:t>.</w:t>
                  </w:r>
                </w:p>
                <w:p w14:paraId="1AD935BA" w14:textId="1594E39E" w:rsidR="00967ECF" w:rsidRPr="005716DC" w:rsidRDefault="00967ECF" w:rsidP="00967ECF">
                  <w:pPr>
                    <w:pStyle w:val="Text"/>
                  </w:pPr>
                  <w:r w:rsidRPr="005716DC">
                    <w:t>The CIE study also drew on existing studies and research to highlight the impact of the FaRS and SFVS programs. It reported on a study by Schofield et al</w:t>
                  </w:r>
                  <w:r w:rsidR="005E0678">
                    <w:t>.</w:t>
                  </w:r>
                  <w:r w:rsidR="005F42E3">
                    <w:t xml:space="preserve"> </w:t>
                  </w:r>
                  <w:r w:rsidR="00533233" w:rsidRPr="00533233">
                    <w:fldChar w:fldCharType="begin"/>
                  </w:r>
                  <w:r w:rsidR="003A464F">
                    <w:instrText xml:space="preserve"> ADDIN ZOTERO_ITEM CSL_CITATION {"citationID":"akvb9cjgp6","properties":{"formattedCitation":"(2015)","plainCitation":"(2015)","noteIndex":0},"citationItems":[{"id":5720,"uris":["http://zotero.org/groups/5691188/items/W8LZFLSW"],"itemData":{"id":5720,"type":"article-journal","container-title":"Journal of Couple &amp; Relationship Therapy:","issue":"1","title":"Understanding Profiles of Couples Attending Community-Based Couple Counseling and Relationship Education Services","URL":"https://www.tandfonline.com/doi/abs/10.1080/15332691.2014.953654","volume":"14","author":[{"family":"Schofield","given":"Margot"},{"family":"Mumford","given":"Nicholas"},{"family":"Jurkovic","given":"Iva"},{"family":"Jurkovic","given":"Dubravko"},{"family":"Pang Chan","given":"Siew"},{"family":"Bickerdike","given":"Andrew"}],"accessed":{"date-parts":[["2025",9,8]]},"issued":{"date-parts":[["2015"]]}},"suppress-author":true}],"schema":"https://github.com/citation-style-language/schema/raw/master/csl-citation.json"} </w:instrText>
                  </w:r>
                  <w:r w:rsidR="00533233" w:rsidRPr="00533233">
                    <w:fldChar w:fldCharType="separate"/>
                  </w:r>
                  <w:r w:rsidR="003A464F" w:rsidRPr="003A464F">
                    <w:rPr>
                      <w:rFonts w:ascii="Arial" w:hAnsi="Arial" w:cs="Arial"/>
                    </w:rPr>
                    <w:t>(2015)</w:t>
                  </w:r>
                  <w:r w:rsidR="00533233" w:rsidRPr="00533233">
                    <w:fldChar w:fldCharType="end"/>
                  </w:r>
                  <w:r w:rsidRPr="00533233">
                    <w:t xml:space="preserve"> t</w:t>
                  </w:r>
                  <w:r w:rsidRPr="005716DC">
                    <w:t xml:space="preserve">hat found that </w:t>
                  </w:r>
                  <w:r w:rsidR="002D7DEA">
                    <w:t>c</w:t>
                  </w:r>
                  <w:r w:rsidR="002D7DEA" w:rsidRPr="002D7DEA">
                    <w:t xml:space="preserve">ompared to individuals </w:t>
                  </w:r>
                  <w:r w:rsidR="002D7DEA">
                    <w:t>seeking</w:t>
                  </w:r>
                  <w:r w:rsidR="002D7DEA" w:rsidRPr="002D7DEA">
                    <w:t xml:space="preserve"> relationship education, those seeking couples counselling tended to have more children, faced more severe relationship problems, experienced higher levels of depression and aggression, had lower levels of education, and encountered greater financial challenges</w:t>
                  </w:r>
                  <w:r w:rsidRPr="005716DC" w:rsidDel="00AE1FE8">
                    <w:t xml:space="preserve"> </w:t>
                  </w:r>
                  <w:r w:rsidRPr="005716DC">
                    <w:fldChar w:fldCharType="begin"/>
                  </w:r>
                  <w:r>
                    <w:instrText xml:space="preserve"> ADDIN ZOTERO_ITEM CSL_CITATION {"citationID":"gx1bmnu9","properties":{"formattedCitation":"(Centre for International Economics, 2023)","plainCitation":"(Centre for International Economics, 2023)","noteIndex":0},"citationItems":[{"id":4581,"uris":["http://zotero.org/groups/5691188/items/C9G9CYCG"],"itemData":{"id":4581,"type":"report","publisher":"CIE","title":"Family and Relationship Services Economic  Evaluation: Using cost-benefit analysis to assess the value of services","URL":"https://frsa.org.au/wp-content/uploads/2023/09/CIE-Final-Report_FRSA_Family-and-Relationship-Services-Evaluation-11092023.pdf","author":[{"family":"Centre for International Economics","given":""}],"issued":{"date-parts":[["2023"]]}}}],"schema":"https://github.com/citation-style-language/schema/raw/master/csl-citation.json"} </w:instrText>
                  </w:r>
                  <w:r w:rsidRPr="005716DC">
                    <w:fldChar w:fldCharType="separate"/>
                  </w:r>
                  <w:r w:rsidRPr="005716DC">
                    <w:rPr>
                      <w:rFonts w:ascii="Arial" w:hAnsi="Arial" w:cs="Arial"/>
                    </w:rPr>
                    <w:t>(Centre for International Economics, 2023)</w:t>
                  </w:r>
                  <w:r w:rsidRPr="005716DC">
                    <w:fldChar w:fldCharType="end"/>
                  </w:r>
                  <w:r>
                    <w:t>.</w:t>
                  </w:r>
                  <w:r w:rsidRPr="005716DC">
                    <w:t xml:space="preserve"> Further, it reported that analysis by Drummond Street Services of the impact of FaRS as well as other programs found a reduction in mental health distress from the first to the final session, an improvement in child and young person wellbeing, an improvement in family relationships and an improvement in social connectedness</w:t>
                  </w:r>
                  <w:r>
                    <w:t xml:space="preserve"> </w:t>
                  </w:r>
                  <w:r w:rsidRPr="005716DC">
                    <w:fldChar w:fldCharType="begin"/>
                  </w:r>
                  <w:r>
                    <w:instrText xml:space="preserve"> ADDIN ZOTERO_ITEM CSL_CITATION {"citationID":"oyWDaMmG","properties":{"formattedCitation":"(Centre for International Economics, 2023)","plainCitation":"(Centre for International Economics, 2023)","noteIndex":0},"citationItems":[{"id":4581,"uris":["http://zotero.org/groups/5691188/items/C9G9CYCG"],"itemData":{"id":4581,"type":"report","publisher":"CIE","title":"Family and Relationship Services Economic  Evaluation: Using cost-benefit analysis to assess the value of services","URL":"https://frsa.org.au/wp-content/uploads/2023/09/CIE-Final-Report_FRSA_Family-and-Relationship-Services-Evaluation-11092023.pdf","author":[{"family":"Centre for International Economics","given":""}],"issued":{"date-parts":[["2023"]]}}}],"schema":"https://github.com/citation-style-language/schema/raw/master/csl-citation.json"} </w:instrText>
                  </w:r>
                  <w:r w:rsidRPr="005716DC">
                    <w:fldChar w:fldCharType="separate"/>
                  </w:r>
                  <w:r w:rsidRPr="005716DC">
                    <w:rPr>
                      <w:rFonts w:ascii="Arial" w:hAnsi="Arial" w:cs="Arial"/>
                    </w:rPr>
                    <w:t>(Centre for International Economics, 2023)</w:t>
                  </w:r>
                  <w:r w:rsidRPr="005716DC">
                    <w:fldChar w:fldCharType="end"/>
                  </w:r>
                  <w:r>
                    <w:t>.</w:t>
                  </w:r>
                  <w:r w:rsidRPr="005716DC">
                    <w:t xml:space="preserve"> It also reported that there is </w:t>
                  </w:r>
                  <w:r w:rsidR="00C819D6" w:rsidRPr="00DE647E">
                    <w:t>‘</w:t>
                  </w:r>
                  <w:r w:rsidRPr="00DE647E">
                    <w:t>extensive evidence supporting couples counselling, like that used in FaRS, as being efficacious in reducing relationship distress</w:t>
                  </w:r>
                  <w:r w:rsidR="00C819D6" w:rsidRPr="00DE647E">
                    <w:t>’</w:t>
                  </w:r>
                  <w:r w:rsidR="00E85937">
                    <w:rPr>
                      <w:i/>
                      <w:iCs/>
                    </w:rPr>
                    <w:t xml:space="preserve"> </w:t>
                  </w:r>
                  <w:r w:rsidRPr="005716DC">
                    <w:fldChar w:fldCharType="begin"/>
                  </w:r>
                  <w:r>
                    <w:instrText xml:space="preserve"> ADDIN ZOTERO_ITEM CSL_CITATION {"citationID":"nnNJQXOD","properties":{"formattedCitation":"(Centre for International Economics, 2023)","plainCitation":"(Centre for International Economics, 2023)","noteIndex":0},"citationItems":[{"id":4581,"uris":["http://zotero.org/groups/5691188/items/C9G9CYCG"],"itemData":{"id":4581,"type":"report","publisher":"CIE","title":"Family and Relationship Services Economic  Evaluation: Using cost-benefit analysis to assess the value of services","URL":"https://frsa.org.au/wp-content/uploads/2023/09/CIE-Final-Report_FRSA_Family-and-Relationship-Services-Evaluation-11092023.pdf","author":[{"family":"Centre for International Economics","given":""}],"issued":{"date-parts":[["2023"]]}}}],"schema":"https://github.com/citation-style-language/schema/raw/master/csl-citation.json"} </w:instrText>
                  </w:r>
                  <w:r w:rsidRPr="005716DC">
                    <w:fldChar w:fldCharType="separate"/>
                  </w:r>
                  <w:r w:rsidRPr="005716DC">
                    <w:rPr>
                      <w:rFonts w:ascii="Arial" w:hAnsi="Arial" w:cs="Arial"/>
                    </w:rPr>
                    <w:t>(Centre for International Economics, 2023)</w:t>
                  </w:r>
                  <w:r w:rsidRPr="005716DC">
                    <w:fldChar w:fldCharType="end"/>
                  </w:r>
                  <w:r>
                    <w:t>.</w:t>
                  </w:r>
                  <w:r w:rsidRPr="005716DC">
                    <w:t xml:space="preserve"> Despite these benefits, the CIE study did not identify any studies that estimated willingness to pay for receipt of family and relationship services.</w:t>
                  </w:r>
                </w:p>
                <w:p w14:paraId="19EEF072" w14:textId="383FA419" w:rsidR="00967ECF" w:rsidRPr="00722BD9" w:rsidRDefault="00967ECF" w:rsidP="00967ECF">
                  <w:pPr>
                    <w:pStyle w:val="Text"/>
                    <w:rPr>
                      <w:lang w:val="en-US"/>
                    </w:rPr>
                  </w:pPr>
                  <w:r w:rsidRPr="005716DC">
                    <w:t xml:space="preserve">SCORE data was used for the CIE Study and </w:t>
                  </w:r>
                  <w:r>
                    <w:t>is</w:t>
                  </w:r>
                  <w:r w:rsidRPr="005716DC">
                    <w:t xml:space="preserve"> used for this</w:t>
                  </w:r>
                  <w:r>
                    <w:t xml:space="preserve"> </w:t>
                  </w:r>
                  <w:r w:rsidRPr="005716DC">
                    <w:t xml:space="preserve">evaluation. Data is collected in DEX about the achievement of </w:t>
                  </w:r>
                  <w:r>
                    <w:t>service user</w:t>
                  </w:r>
                  <w:r w:rsidRPr="005716DC">
                    <w:t xml:space="preserve"> goals and satisfaction with services with </w:t>
                  </w:r>
                  <w:r>
                    <w:t>service users</w:t>
                  </w:r>
                  <w:r w:rsidRPr="005716DC">
                    <w:t xml:space="preserve"> asked to report the extent to which they have achieved their goals on a scale of </w:t>
                  </w:r>
                  <w:r>
                    <w:t>1</w:t>
                  </w:r>
                  <w:r w:rsidRPr="005716DC">
                    <w:t xml:space="preserve"> to </w:t>
                  </w:r>
                  <w:r>
                    <w:t>5</w:t>
                  </w:r>
                  <w:r w:rsidRPr="005716DC">
                    <w:t xml:space="preserve">, at the end of service provision. Changes in SCORE data associated with access to </w:t>
                  </w:r>
                  <w:r>
                    <w:t>FaC</w:t>
                  </w:r>
                  <w:r w:rsidRPr="005716DC">
                    <w:t xml:space="preserve"> </w:t>
                  </w:r>
                  <w:r>
                    <w:t>s</w:t>
                  </w:r>
                  <w:r w:rsidRPr="005716DC">
                    <w:t xml:space="preserve">ervices was found to be </w:t>
                  </w:r>
                  <w:r w:rsidR="00C819D6" w:rsidRPr="00C819D6">
                    <w:t>‘</w:t>
                  </w:r>
                  <w:r w:rsidRPr="00DE647E">
                    <w:t>overwhelmingly positive</w:t>
                  </w:r>
                  <w:r w:rsidR="00C819D6" w:rsidRPr="00DE647E">
                    <w:t>’</w:t>
                  </w:r>
                  <w:r w:rsidRPr="005716DC">
                    <w:t xml:space="preserve">, but SFVS have lower rates of goals being </w:t>
                  </w:r>
                  <w:r w:rsidRPr="005716DC">
                    <w:lastRenderedPageBreak/>
                    <w:t>achieved</w:t>
                  </w:r>
                  <w:r>
                    <w:t xml:space="preserve"> </w:t>
                  </w:r>
                  <w:r w:rsidRPr="005716DC">
                    <w:fldChar w:fldCharType="begin"/>
                  </w:r>
                  <w:r>
                    <w:instrText xml:space="preserve"> ADDIN ZOTERO_ITEM CSL_CITATION {"citationID":"gSqogixE","properties":{"formattedCitation":"(Centre for International Economics, 2023)","plainCitation":"(Centre for International Economics, 2023)","noteIndex":0},"citationItems":[{"id":4581,"uris":["http://zotero.org/groups/5691188/items/C9G9CYCG"],"itemData":{"id":4581,"type":"report","publisher":"CIE","title":"Family and Relationship Services Economic  Evaluation: Using cost-benefit analysis to assess the value of services","URL":"https://frsa.org.au/wp-content/uploads/2023/09/CIE-Final-Report_FRSA_Family-and-Relationship-Services-Evaluation-11092023.pdf","author":[{"family":"Centre for International Economics","given":""}],"issued":{"date-parts":[["2023"]]}}}],"schema":"https://github.com/citation-style-language/schema/raw/master/csl-citation.json"} </w:instrText>
                  </w:r>
                  <w:r w:rsidRPr="005716DC">
                    <w:fldChar w:fldCharType="separate"/>
                  </w:r>
                  <w:r w:rsidRPr="005716DC">
                    <w:rPr>
                      <w:rFonts w:ascii="Arial" w:hAnsi="Arial" w:cs="Arial"/>
                    </w:rPr>
                    <w:t>(Centre for International Economics, 2023)</w:t>
                  </w:r>
                  <w:r w:rsidRPr="005716DC">
                    <w:fldChar w:fldCharType="end"/>
                  </w:r>
                  <w:r>
                    <w:t>.</w:t>
                  </w:r>
                  <w:r w:rsidRPr="005716DC">
                    <w:t xml:space="preserve"> The approach taken in th</w:t>
                  </w:r>
                  <w:r>
                    <w:t>e CIE</w:t>
                  </w:r>
                  <w:r w:rsidRPr="005716DC">
                    <w:t xml:space="preserve"> study to measuring the improvements in SCORE included estimating the benefits of improving age-appropriate development and family functioning; and estimating the benefits of improvements in personal and family safety, mental health</w:t>
                  </w:r>
                  <w:r>
                    <w:t>,</w:t>
                  </w:r>
                  <w:r w:rsidRPr="005716DC">
                    <w:t xml:space="preserve"> and wellbeing and other domains to estimate how these </w:t>
                  </w:r>
                  <w:r w:rsidR="005F410F">
                    <w:t>a</w:t>
                  </w:r>
                  <w:r w:rsidRPr="005716DC">
                    <w:t>ffect subjective wellbeing.</w:t>
                  </w:r>
                  <w:r>
                    <w:t xml:space="preserve"> The CIE study found that all services provide benefits that exceed costs</w:t>
                  </w:r>
                  <w:r>
                    <w:rPr>
                      <w:lang w:val="en-US"/>
                    </w:rPr>
                    <w:t xml:space="preserve"> </w:t>
                  </w:r>
                  <w:r w:rsidRPr="006E3650">
                    <w:rPr>
                      <w:lang w:val="en-AU"/>
                    </w:rPr>
                    <w:fldChar w:fldCharType="begin"/>
                  </w:r>
                  <w:r>
                    <w:rPr>
                      <w:lang w:val="en-AU"/>
                    </w:rPr>
                    <w:instrText xml:space="preserve"> ADDIN ZOTERO_ITEM CSL_CITATION {"citationID":"wEZSTeau","properties":{"formattedCitation":"(Centre for International Economics, 2023)","plainCitation":"(Centre for International Economics, 2023)","noteIndex":0},"citationItems":[{"id":4581,"uris":["http://zotero.org/groups/5691188/items/C9G9CYCG"],"itemData":{"id":4581,"type":"report","publisher":"CIE","title":"Family and Relationship Services Economic  Evaluation: Using cost-benefit analysis to assess the value of services","URL":"https://frsa.org.au/wp-content/uploads/2023/09/CIE-Final-Report_FRSA_Family-and-Relationship-Services-Evaluation-11092023.pdf","author":[{"family":"Centre for International Economics","given":""}],"issued":{"date-parts":[["2023"]]}}}],"schema":"https://github.com/citation-style-language/schema/raw/master/csl-citation.json"} </w:instrText>
                  </w:r>
                  <w:r w:rsidRPr="006E3650">
                    <w:rPr>
                      <w:lang w:val="en-AU"/>
                    </w:rPr>
                    <w:fldChar w:fldCharType="separate"/>
                  </w:r>
                  <w:r w:rsidRPr="006E3650">
                    <w:rPr>
                      <w:lang w:val="en-AU"/>
                    </w:rPr>
                    <w:t>(Centre for International Economics, 2023)</w:t>
                  </w:r>
                  <w:r w:rsidRPr="006E3650">
                    <w:rPr>
                      <w:lang w:val="en-US"/>
                    </w:rPr>
                    <w:fldChar w:fldCharType="end"/>
                  </w:r>
                  <w:r w:rsidRPr="006E3650">
                    <w:rPr>
                      <w:lang w:val="en-AU"/>
                    </w:rPr>
                    <w:t>.</w:t>
                  </w:r>
                  <w:r>
                    <w:rPr>
                      <w:lang w:val="en-US"/>
                    </w:rPr>
                    <w:t xml:space="preserve"> </w:t>
                  </w:r>
                  <w:r>
                    <w:rPr>
                      <w:lang w:val="en-AU"/>
                    </w:rPr>
                    <w:t>T</w:t>
                  </w:r>
                  <w:r w:rsidRPr="00173C5E">
                    <w:rPr>
                      <w:lang w:val="en-AU"/>
                    </w:rPr>
                    <w:t xml:space="preserve">he </w:t>
                  </w:r>
                  <w:r>
                    <w:rPr>
                      <w:lang w:val="en-AU"/>
                    </w:rPr>
                    <w:t>BCR</w:t>
                  </w:r>
                  <w:r w:rsidRPr="00173C5E">
                    <w:rPr>
                      <w:lang w:val="en-AU"/>
                    </w:rPr>
                    <w:t xml:space="preserve"> of the </w:t>
                  </w:r>
                  <w:r>
                    <w:rPr>
                      <w:lang w:val="en-AU"/>
                    </w:rPr>
                    <w:t>FaC</w:t>
                  </w:r>
                  <w:r w:rsidRPr="00173C5E">
                    <w:rPr>
                      <w:lang w:val="en-AU"/>
                    </w:rPr>
                    <w:t xml:space="preserve"> overall including all programs was found to be 8.67 with the net benefit $2.2 billion per year, with most of the net benefits deriving from improved subjective wellbeing of participants</w:t>
                  </w:r>
                  <w:r w:rsidR="00EC2C43">
                    <w:rPr>
                      <w:lang w:val="en-AU"/>
                    </w:rPr>
                    <w:t>.</w:t>
                  </w:r>
                </w:p>
                <w:p w14:paraId="7E8B1103" w14:textId="77777777" w:rsidR="00967ECF" w:rsidRDefault="00967ECF" w:rsidP="00967ECF">
                  <w:pPr>
                    <w:pStyle w:val="Text"/>
                  </w:pPr>
                  <w:r w:rsidRPr="00107C2F">
                    <w:rPr>
                      <w:lang w:val="en-AU"/>
                    </w:rPr>
                    <w:t xml:space="preserve">The Australian Government funded $585.5 million in family and relationship services in 2022/23, with the cost per </w:t>
                  </w:r>
                  <w:r>
                    <w:rPr>
                      <w:lang w:val="en-AU"/>
                    </w:rPr>
                    <w:t>service user</w:t>
                  </w:r>
                  <w:r w:rsidRPr="00107C2F">
                    <w:rPr>
                      <w:lang w:val="en-AU"/>
                    </w:rPr>
                    <w:t xml:space="preserve"> reported at $1,185 </w:t>
                  </w:r>
                  <w:r w:rsidRPr="00107C2F">
                    <w:rPr>
                      <w:lang w:val="en-AU"/>
                    </w:rPr>
                    <w:fldChar w:fldCharType="begin"/>
                  </w:r>
                  <w:r>
                    <w:rPr>
                      <w:lang w:val="en-AU"/>
                    </w:rPr>
                    <w:instrText xml:space="preserve"> ADDIN ZOTERO_ITEM CSL_CITATION {"citationID":"X9zXs8GU","properties":{"formattedCitation":"(Centre for International Economics, 2023)","plainCitation":"(Centre for International Economics, 2023)","noteIndex":0},"citationItems":[{"id":4581,"uris":["http://zotero.org/groups/5691188/items/C9G9CYCG"],"itemData":{"id":4581,"type":"report","publisher":"CIE","title":"Family and Relationship Services Economic  Evaluation: Using cost-benefit analysis to assess the value of services","URL":"https://frsa.org.au/wp-content/uploads/2023/09/CIE-Final-Report_FRSA_Family-and-Relationship-Services-Evaluation-11092023.pdf","author":[{"family":"Centre for International Economics","given":""}],"issued":{"date-parts":[["2023"]]}}}],"schema":"https://github.com/citation-style-language/schema/raw/master/csl-citation.json"} </w:instrText>
                  </w:r>
                  <w:r w:rsidRPr="00107C2F">
                    <w:rPr>
                      <w:lang w:val="en-AU"/>
                    </w:rPr>
                    <w:fldChar w:fldCharType="separate"/>
                  </w:r>
                  <w:r w:rsidRPr="00107C2F">
                    <w:rPr>
                      <w:lang w:val="en-AU"/>
                    </w:rPr>
                    <w:t>(Centre for International Economics, 2023)</w:t>
                  </w:r>
                  <w:r w:rsidRPr="00107C2F">
                    <w:fldChar w:fldCharType="end"/>
                  </w:r>
                  <w:r w:rsidRPr="00107C2F">
                    <w:rPr>
                      <w:lang w:val="en-AU"/>
                    </w:rPr>
                    <w:t xml:space="preserve">. The cost per </w:t>
                  </w:r>
                  <w:r>
                    <w:rPr>
                      <w:lang w:val="en-AU"/>
                    </w:rPr>
                    <w:t>service user</w:t>
                  </w:r>
                  <w:r w:rsidRPr="00107C2F">
                    <w:rPr>
                      <w:lang w:val="en-AU"/>
                    </w:rPr>
                    <w:t xml:space="preserve"> used in the CBA undertaken by the CIE Study for FaRS was $774/</w:t>
                  </w:r>
                  <w:r>
                    <w:rPr>
                      <w:lang w:val="en-AU"/>
                    </w:rPr>
                    <w:t>service user</w:t>
                  </w:r>
                  <w:r w:rsidRPr="00107C2F">
                    <w:rPr>
                      <w:lang w:val="en-AU"/>
                    </w:rPr>
                    <w:t>-year; and for SFVS $1,084/</w:t>
                  </w:r>
                  <w:r>
                    <w:rPr>
                      <w:lang w:val="en-AU"/>
                    </w:rPr>
                    <w:t>service user</w:t>
                  </w:r>
                  <w:r w:rsidRPr="00107C2F">
                    <w:rPr>
                      <w:lang w:val="en-AU"/>
                    </w:rPr>
                    <w:t>-year</w:t>
                  </w:r>
                  <w:r>
                    <w:rPr>
                      <w:lang w:val="en-AU"/>
                    </w:rPr>
                    <w:t xml:space="preserve">. </w:t>
                  </w:r>
                </w:p>
                <w:p w14:paraId="3818AADC" w14:textId="77777777" w:rsidR="00967ECF" w:rsidRDefault="00967ECF" w:rsidP="00967ECF">
                  <w:pPr>
                    <w:pStyle w:val="Text"/>
                  </w:pPr>
                  <w:r w:rsidRPr="00722BD9">
                    <w:rPr>
                      <w:lang w:val="en-AU"/>
                    </w:rPr>
                    <w:t>The CIE study found that the</w:t>
                  </w:r>
                  <w:r w:rsidRPr="00906101">
                    <w:rPr>
                      <w:lang w:val="en-AU"/>
                    </w:rPr>
                    <w:t xml:space="preserve"> benefits of all program components outweigh</w:t>
                  </w:r>
                  <w:r>
                    <w:rPr>
                      <w:lang w:val="en-AU"/>
                    </w:rPr>
                    <w:t>ed</w:t>
                  </w:r>
                  <w:r w:rsidRPr="00906101">
                    <w:rPr>
                      <w:lang w:val="en-AU"/>
                    </w:rPr>
                    <w:t xml:space="preserve"> the costs. In 2022/23, the cost of FaRS was $68 million with a net benefit of $560 million and a benefit cost ratio of 9.20; and the cost of SFVS was $11 million with a net benefit of $161 million and a benefit cost ratio of 15.43</w:t>
                  </w:r>
                  <w:r>
                    <w:rPr>
                      <w:lang w:val="en-AU"/>
                    </w:rPr>
                    <w:t>.</w:t>
                  </w:r>
                </w:p>
                <w:p w14:paraId="255F7CAF" w14:textId="5E69D9BB" w:rsidR="00967ECF" w:rsidRDefault="00967ECF" w:rsidP="00967ECF">
                  <w:pPr>
                    <w:pStyle w:val="Text"/>
                  </w:pPr>
                  <w:r>
                    <w:t xml:space="preserve">To estimate the benefits of improving age-appropriate development and family functioning the authors relied on estimates of benefits from previous studies, which includes reducing societal costs of obesity, anxiety and depression, anti-social behaviour and improving productivity. To estimate the benefits of improvements in other SCORE domains, such as personal and family safety and mental health and wellbeing, the authors estimate how much these outcomes affect subjective wellbeing. The authors undertook extensive modelling using the </w:t>
                  </w:r>
                  <w:r w:rsidRPr="000E3C08">
                    <w:t>Household, Income and Labour Dynamics in Australia</w:t>
                  </w:r>
                  <w:r>
                    <w:t xml:space="preserve"> (HILDA) data repository to estimate the value per change of one standard deviation, which is then combined with average change from earliest to latest SCORE. This study was the first (and only) attempt at using SCORE as the primary data source in an economic evaluation.</w:t>
                  </w:r>
                </w:p>
                <w:p w14:paraId="29EEE21F" w14:textId="1DD2D3F2" w:rsidR="009A4852" w:rsidRDefault="00967ECF" w:rsidP="00967ECF">
                  <w:pPr>
                    <w:pStyle w:val="Text"/>
                  </w:pPr>
                  <w:r>
                    <w:t>The BCR across all FaC was estimated at 8.67</w:t>
                  </w:r>
                  <w:r w:rsidR="00AD374B">
                    <w:t>.</w:t>
                  </w:r>
                  <w:r>
                    <w:t xml:space="preserve"> FaRS was estimated at 9.20, and SFVS was estimated at 15.43. Although these estimates are very high, the authors suggest that BCRs remains positive under a range of plausible alternative assumptions. The authors found that the majority of net beneﬁts come from increases in personal and family wellbeing (e.g. reduced fear and trauma, better relationships, greater happiness) rather than from pure ﬁnancial savings. Better family functioning leads to improved mental health and school outcomes for children, which in turn improve those children’s future employment prospects and reduce their likelihood of welfare dependence or contact with the justice system. In practical terms, the programs create substantial social value – healthier, happier, and more productive families – far exceeding the dollars spent. </w:t>
                  </w:r>
                </w:p>
                <w:p w14:paraId="5B3F1958" w14:textId="5D087EA2" w:rsidR="00967ECF" w:rsidRPr="00B01C71" w:rsidRDefault="00967ECF" w:rsidP="00967ECF">
                  <w:pPr>
                    <w:pStyle w:val="Text"/>
                  </w:pPr>
                  <w:r>
                    <w:t>Method 1 applies these BCR rates to FaRS and SVFS program costs for the year 2022-23. According to Department GPS data, activity base expenditure related to FaRS and SFVS in 2023-24 is estimated at $88.2 million and $12.4 million, respectively. Applying BCR results to FaRS and SFVS results in benefits estimated at $811 million and $191 million, respectively. Applying the average BCR result reported across all FaC (8.67), results in estimated benefits of $764 million for FaRS and $107 million for SFVS.</w:t>
                  </w:r>
                </w:p>
                <w:p w14:paraId="1EBC21A8" w14:textId="77777777" w:rsidR="00967ECF" w:rsidRDefault="00967ECF" w:rsidP="00321BC5">
                  <w:pPr>
                    <w:pStyle w:val="Text-BodyHeading"/>
                    <w:spacing w:before="360" w:after="240"/>
                  </w:pPr>
                  <w:r>
                    <w:lastRenderedPageBreak/>
                    <w:t>Method 2: Combining CIE value outcomes with contemporary SCORE data</w:t>
                  </w:r>
                </w:p>
                <w:p w14:paraId="3263F7F5" w14:textId="77777777" w:rsidR="00967ECF" w:rsidRDefault="00967ECF" w:rsidP="00967ECF">
                  <w:pPr>
                    <w:pStyle w:val="Text"/>
                  </w:pPr>
                  <w:r>
                    <w:t xml:space="preserve">Method 2 references the CIE study generated a dollar value of a 1 standard deviation change in various SCORE domains and multiplied these values with the average change from earliest to latest SCORE obtained from DEX. Contemporary unit level DEX data was analysed to examine mean change in SCORE from earliest to latest over the three-year financial year period 2021-22 to 2023-24. As per advice from the Department, outcome domains that are in scope for the current analysis and align with the CIE approach are Circumstances domains related to family functioning; personal and family safety; mental health, wellbeing and self-care. Although the CIE analysis included mental health, wellbeing and self-care, the dollar value for this domain was not reported in a consistent manner to family functioning and personal and family safety. Hence, it is excluded from this analysis. </w:t>
                  </w:r>
                </w:p>
                <w:p w14:paraId="402C483F" w14:textId="0D40718B" w:rsidR="00967ECF" w:rsidRPr="00B01C71" w:rsidRDefault="00967ECF" w:rsidP="00967ECF">
                  <w:pPr>
                    <w:pStyle w:val="Text"/>
                  </w:pPr>
                  <w:r w:rsidRPr="008A1017">
                    <w:rPr>
                      <w:b/>
                      <w:bCs/>
                    </w:rPr>
                    <w:fldChar w:fldCharType="begin" w:fldLock="1"/>
                  </w:r>
                  <w:r w:rsidRPr="008A1017">
                    <w:rPr>
                      <w:b/>
                      <w:bCs/>
                    </w:rPr>
                    <w:instrText xml:space="preserve"> REF _Ref204770273 \h  \* MERGEFORMAT </w:instrText>
                  </w:r>
                  <w:r w:rsidRPr="008A1017">
                    <w:rPr>
                      <w:b/>
                      <w:bCs/>
                    </w:rPr>
                  </w:r>
                  <w:r w:rsidRPr="008A1017">
                    <w:rPr>
                      <w:b/>
                      <w:bCs/>
                    </w:rPr>
                    <w:fldChar w:fldCharType="separate"/>
                  </w:r>
                  <w:r w:rsidR="008F22E5" w:rsidRPr="008F22E5">
                    <w:rPr>
                      <w:rStyle w:val="Text-Bold"/>
                      <w:szCs w:val="22"/>
                    </w:rPr>
                    <w:t xml:space="preserve">Table </w:t>
                  </w:r>
                  <w:r w:rsidR="008F22E5" w:rsidRPr="008F22E5">
                    <w:rPr>
                      <w:b/>
                    </w:rPr>
                    <w:t>7</w:t>
                  </w:r>
                  <w:r w:rsidRPr="008A1017">
                    <w:rPr>
                      <w:b/>
                      <w:bCs/>
                    </w:rPr>
                    <w:fldChar w:fldCharType="end"/>
                  </w:r>
                  <w:r>
                    <w:t xml:space="preserve"> provides a summary of data required to generate ROI results for Method 2. The dollar value attached to each domain (from the CIE report) is multiplied by the mean change in SCORE for each domain (i.e. shift from earliest to latest SCORE using DEX data), adjusted by the proportion of service users reporting a positive change in their SCORE assessment (from DEX data) and then combining with the number of individual service users accessing FaRS and SFVS in 2022-23 from GPS – DEX extract.</w:t>
                  </w:r>
                </w:p>
                <w:p w14:paraId="7DDC7558" w14:textId="3D9916CE" w:rsidR="00967ECF" w:rsidRPr="009F5B0D" w:rsidRDefault="00967ECF" w:rsidP="00953B9E">
                  <w:pPr>
                    <w:pStyle w:val="TableFigure-Header"/>
                    <w:spacing w:line="276" w:lineRule="auto"/>
                    <w:rPr>
                      <w:rStyle w:val="Text-Bold"/>
                      <w:b/>
                      <w:bCs/>
                    </w:rPr>
                  </w:pPr>
                  <w:bookmarkStart w:id="305" w:name="_Ref204770273"/>
                  <w:r w:rsidRPr="009F5B0D">
                    <w:rPr>
                      <w:rStyle w:val="Text-Bold"/>
                      <w:b/>
                      <w:bCs/>
                    </w:rPr>
                    <w:t xml:space="preserve">Table </w:t>
                  </w:r>
                  <w:r w:rsidRPr="009F5B0D">
                    <w:rPr>
                      <w:rStyle w:val="Text-Bold"/>
                      <w:b/>
                      <w:bCs/>
                    </w:rPr>
                    <w:fldChar w:fldCharType="begin"/>
                  </w:r>
                  <w:r w:rsidRPr="009F5B0D">
                    <w:rPr>
                      <w:rStyle w:val="Text-Bold"/>
                      <w:b/>
                      <w:bCs/>
                    </w:rPr>
                    <w:instrText xml:space="preserve"> SEQ Table \* ARABIC </w:instrText>
                  </w:r>
                  <w:r w:rsidRPr="009F5B0D">
                    <w:rPr>
                      <w:rStyle w:val="Text-Bold"/>
                      <w:b/>
                      <w:bCs/>
                    </w:rPr>
                    <w:fldChar w:fldCharType="separate"/>
                  </w:r>
                  <w:r w:rsidR="008D2566">
                    <w:rPr>
                      <w:rStyle w:val="Text-Bold"/>
                      <w:b/>
                      <w:bCs/>
                      <w:noProof/>
                    </w:rPr>
                    <w:t>7</w:t>
                  </w:r>
                  <w:r w:rsidRPr="009F5B0D">
                    <w:rPr>
                      <w:rStyle w:val="Text-Bold"/>
                      <w:b/>
                      <w:bCs/>
                    </w:rPr>
                    <w:fldChar w:fldCharType="end"/>
                  </w:r>
                  <w:bookmarkEnd w:id="305"/>
                  <w:r w:rsidRPr="009F5B0D">
                    <w:rPr>
                      <w:rStyle w:val="Text-Bold"/>
                      <w:b/>
                      <w:bCs/>
                    </w:rPr>
                    <w:t>: Combining CIE value outcomes with contemporary SCORE data</w:t>
                  </w:r>
                  <w:r w:rsidR="40A91D01" w:rsidRPr="009F5B0D">
                    <w:rPr>
                      <w:rStyle w:val="Text-Bold"/>
                      <w:b/>
                      <w:bCs/>
                    </w:rPr>
                    <w:t>, 2022-23</w:t>
                  </w:r>
                </w:p>
                <w:tbl>
                  <w:tblPr>
                    <w:tblStyle w:val="ListTable3-Accent3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51"/>
                    <w:gridCol w:w="1105"/>
                    <w:gridCol w:w="969"/>
                    <w:gridCol w:w="985"/>
                    <w:gridCol w:w="1045"/>
                    <w:gridCol w:w="1045"/>
                    <w:gridCol w:w="1105"/>
                    <w:gridCol w:w="985"/>
                  </w:tblGrid>
                  <w:tr w:rsidR="00967ECF" w14:paraId="40AA792F" w14:textId="77777777" w:rsidTr="0078378F">
                    <w:trPr>
                      <w:cnfStyle w:val="100000000000" w:firstRow="1" w:lastRow="0" w:firstColumn="0" w:lastColumn="0" w:oddVBand="0" w:evenVBand="0" w:oddHBand="0" w:evenHBand="0" w:firstRowFirstColumn="0" w:firstRowLastColumn="0" w:lastRowFirstColumn="0" w:lastRowLastColumn="0"/>
                      <w:trHeight w:val="904"/>
                    </w:trPr>
                    <w:tc>
                      <w:tcPr>
                        <w:cnfStyle w:val="001000000100" w:firstRow="0" w:lastRow="0" w:firstColumn="1" w:lastColumn="0" w:oddVBand="0" w:evenVBand="0" w:oddHBand="0" w:evenHBand="0" w:firstRowFirstColumn="1" w:firstRowLastColumn="0" w:lastRowFirstColumn="0" w:lastRowLastColumn="0"/>
                        <w:tcW w:w="1751" w:type="dxa"/>
                        <w:vMerge w:val="restart"/>
                        <w:tcBorders>
                          <w:bottom w:val="none" w:sz="0" w:space="0" w:color="auto"/>
                          <w:right w:val="none" w:sz="0" w:space="0" w:color="auto"/>
                        </w:tcBorders>
                      </w:tcPr>
                      <w:p w14:paraId="0D8EB6B8" w14:textId="77777777" w:rsidR="00967ECF" w:rsidRPr="006861FF" w:rsidRDefault="00967ECF">
                        <w:pPr>
                          <w:pStyle w:val="TableText"/>
                        </w:pPr>
                        <w:r w:rsidRPr="006861FF">
                          <w:t xml:space="preserve">Domain </w:t>
                        </w:r>
                      </w:p>
                    </w:tc>
                    <w:tc>
                      <w:tcPr>
                        <w:tcW w:w="1105" w:type="dxa"/>
                        <w:vMerge w:val="restart"/>
                      </w:tcPr>
                      <w:p w14:paraId="37046D29" w14:textId="77777777" w:rsidR="00967ECF" w:rsidRPr="006861FF" w:rsidRDefault="00967ECF">
                        <w:pPr>
                          <w:pStyle w:val="TableText"/>
                          <w:cnfStyle w:val="100000000000" w:firstRow="1" w:lastRow="0" w:firstColumn="0" w:lastColumn="0" w:oddVBand="0" w:evenVBand="0" w:oddHBand="0" w:evenHBand="0" w:firstRowFirstColumn="0" w:firstRowLastColumn="0" w:lastRowFirstColumn="0" w:lastRowLastColumn="0"/>
                        </w:pPr>
                        <w:r w:rsidRPr="006861FF">
                          <w:t xml:space="preserve">Value </w:t>
                        </w:r>
                      </w:p>
                    </w:tc>
                    <w:tc>
                      <w:tcPr>
                        <w:tcW w:w="1954" w:type="dxa"/>
                        <w:gridSpan w:val="2"/>
                      </w:tcPr>
                      <w:p w14:paraId="3FDCA033" w14:textId="77777777" w:rsidR="00967ECF" w:rsidRPr="006861FF" w:rsidRDefault="00967ECF">
                        <w:pPr>
                          <w:pStyle w:val="TableText"/>
                          <w:cnfStyle w:val="100000000000" w:firstRow="1" w:lastRow="0" w:firstColumn="0" w:lastColumn="0" w:oddVBand="0" w:evenVBand="0" w:oddHBand="0" w:evenHBand="0" w:firstRowFirstColumn="0" w:firstRowLastColumn="0" w:lastRowFirstColumn="0" w:lastRowLastColumn="0"/>
                        </w:pPr>
                        <w:r w:rsidRPr="006861FF">
                          <w:t>Mean change in SCORE (earliest to latest)</w:t>
                        </w:r>
                      </w:p>
                    </w:tc>
                    <w:tc>
                      <w:tcPr>
                        <w:tcW w:w="2090" w:type="dxa"/>
                        <w:gridSpan w:val="2"/>
                      </w:tcPr>
                      <w:p w14:paraId="0DFAAA5C" w14:textId="16DA3F06" w:rsidR="00967ECF" w:rsidRPr="006861FF" w:rsidRDefault="003E3FB0">
                        <w:pPr>
                          <w:pStyle w:val="TableText"/>
                          <w:cnfStyle w:val="100000000000" w:firstRow="1" w:lastRow="0" w:firstColumn="0" w:lastColumn="0" w:oddVBand="0" w:evenVBand="0" w:oddHBand="0" w:evenHBand="0" w:firstRowFirstColumn="0" w:firstRowLastColumn="0" w:lastRowFirstColumn="0" w:lastRowLastColumn="0"/>
                        </w:pPr>
                        <w:r>
                          <w:t>Service users</w:t>
                        </w:r>
                        <w:r w:rsidR="00967ECF" w:rsidRPr="006861FF">
                          <w:t xml:space="preserve"> with positive change (%) </w:t>
                        </w:r>
                      </w:p>
                    </w:tc>
                    <w:tc>
                      <w:tcPr>
                        <w:tcW w:w="2090" w:type="dxa"/>
                        <w:gridSpan w:val="2"/>
                      </w:tcPr>
                      <w:p w14:paraId="64663920" w14:textId="44C0F83F" w:rsidR="00967ECF" w:rsidRPr="006861FF" w:rsidRDefault="00967ECF">
                        <w:pPr>
                          <w:pStyle w:val="TableText"/>
                          <w:cnfStyle w:val="100000000000" w:firstRow="1" w:lastRow="0" w:firstColumn="0" w:lastColumn="0" w:oddVBand="0" w:evenVBand="0" w:oddHBand="0" w:evenHBand="0" w:firstRowFirstColumn="0" w:firstRowLastColumn="0" w:lastRowFirstColumn="0" w:lastRowLastColumn="0"/>
                        </w:pPr>
                        <w:r w:rsidRPr="006861FF">
                          <w:t xml:space="preserve">Number of </w:t>
                        </w:r>
                        <w:r>
                          <w:t>service users</w:t>
                        </w:r>
                      </w:p>
                    </w:tc>
                  </w:tr>
                  <w:tr w:rsidR="009E48E0" w14:paraId="7EAC0D96" w14:textId="77777777" w:rsidTr="0078378F">
                    <w:trPr>
                      <w:cnfStyle w:val="000000100000" w:firstRow="0" w:lastRow="0" w:firstColumn="0" w:lastColumn="0" w:oddVBand="0" w:evenVBand="0" w:oddHBand="1" w:evenHBand="0" w:firstRowFirstColumn="0" w:firstRowLastColumn="0" w:lastRowFirstColumn="0" w:lastRowLastColumn="0"/>
                      <w:trHeight w:val="154"/>
                    </w:trPr>
                    <w:tc>
                      <w:tcPr>
                        <w:cnfStyle w:val="001000000000" w:firstRow="0" w:lastRow="0" w:firstColumn="1" w:lastColumn="0" w:oddVBand="0" w:evenVBand="0" w:oddHBand="0" w:evenHBand="0" w:firstRowFirstColumn="0" w:firstRowLastColumn="0" w:lastRowFirstColumn="0" w:lastRowLastColumn="0"/>
                        <w:tcW w:w="1751" w:type="dxa"/>
                        <w:vMerge/>
                        <w:tcBorders>
                          <w:top w:val="none" w:sz="0" w:space="0" w:color="auto"/>
                          <w:bottom w:val="none" w:sz="0" w:space="0" w:color="auto"/>
                          <w:right w:val="none" w:sz="0" w:space="0" w:color="auto"/>
                        </w:tcBorders>
                      </w:tcPr>
                      <w:p w14:paraId="66F7E3E0" w14:textId="77777777" w:rsidR="00967ECF" w:rsidRPr="006861FF" w:rsidRDefault="00967ECF">
                        <w:pPr>
                          <w:pStyle w:val="TableText"/>
                        </w:pPr>
                      </w:p>
                    </w:tc>
                    <w:tc>
                      <w:tcPr>
                        <w:tcW w:w="1105" w:type="dxa"/>
                        <w:vMerge/>
                        <w:tcBorders>
                          <w:top w:val="none" w:sz="0" w:space="0" w:color="auto"/>
                          <w:bottom w:val="none" w:sz="0" w:space="0" w:color="auto"/>
                        </w:tcBorders>
                      </w:tcPr>
                      <w:p w14:paraId="4EEE067B" w14:textId="77777777" w:rsidR="00967ECF" w:rsidRPr="006861FF" w:rsidRDefault="00967ECF">
                        <w:pPr>
                          <w:pStyle w:val="TableText"/>
                          <w:cnfStyle w:val="000000100000" w:firstRow="0" w:lastRow="0" w:firstColumn="0" w:lastColumn="0" w:oddVBand="0" w:evenVBand="0" w:oddHBand="1" w:evenHBand="0" w:firstRowFirstColumn="0" w:firstRowLastColumn="0" w:lastRowFirstColumn="0" w:lastRowLastColumn="0"/>
                        </w:pPr>
                      </w:p>
                    </w:tc>
                    <w:tc>
                      <w:tcPr>
                        <w:tcW w:w="969" w:type="dxa"/>
                        <w:tcBorders>
                          <w:top w:val="none" w:sz="0" w:space="0" w:color="auto"/>
                          <w:bottom w:val="none" w:sz="0" w:space="0" w:color="auto"/>
                        </w:tcBorders>
                        <w:shd w:val="clear" w:color="auto" w:fill="D2D4D7" w:themeFill="accent4" w:themeFillShade="E6"/>
                      </w:tcPr>
                      <w:p w14:paraId="1C7B6B10" w14:textId="77777777" w:rsidR="00967ECF" w:rsidRPr="006861FF" w:rsidRDefault="00967ECF">
                        <w:pPr>
                          <w:pStyle w:val="TableText"/>
                          <w:cnfStyle w:val="000000100000" w:firstRow="0" w:lastRow="0" w:firstColumn="0" w:lastColumn="0" w:oddVBand="0" w:evenVBand="0" w:oddHBand="1" w:evenHBand="0" w:firstRowFirstColumn="0" w:firstRowLastColumn="0" w:lastRowFirstColumn="0" w:lastRowLastColumn="0"/>
                          <w:rPr>
                            <w:b/>
                            <w:lang w:val="en-NZ"/>
                          </w:rPr>
                        </w:pPr>
                        <w:r w:rsidRPr="006861FF">
                          <w:rPr>
                            <w:b/>
                            <w:bCs/>
                          </w:rPr>
                          <w:t xml:space="preserve">FaRS </w:t>
                        </w:r>
                      </w:p>
                    </w:tc>
                    <w:tc>
                      <w:tcPr>
                        <w:tcW w:w="984" w:type="dxa"/>
                        <w:tcBorders>
                          <w:top w:val="none" w:sz="0" w:space="0" w:color="auto"/>
                          <w:bottom w:val="none" w:sz="0" w:space="0" w:color="auto"/>
                        </w:tcBorders>
                        <w:shd w:val="clear" w:color="auto" w:fill="D2D4D7" w:themeFill="accent4" w:themeFillShade="E6"/>
                      </w:tcPr>
                      <w:p w14:paraId="45C6F823" w14:textId="77777777" w:rsidR="00967ECF" w:rsidRPr="006861FF" w:rsidRDefault="00967ECF">
                        <w:pPr>
                          <w:pStyle w:val="TableText"/>
                          <w:cnfStyle w:val="000000100000" w:firstRow="0" w:lastRow="0" w:firstColumn="0" w:lastColumn="0" w:oddVBand="0" w:evenVBand="0" w:oddHBand="1" w:evenHBand="0" w:firstRowFirstColumn="0" w:firstRowLastColumn="0" w:lastRowFirstColumn="0" w:lastRowLastColumn="0"/>
                          <w:rPr>
                            <w:b/>
                          </w:rPr>
                        </w:pPr>
                        <w:r w:rsidRPr="006861FF">
                          <w:rPr>
                            <w:b/>
                            <w:bCs/>
                          </w:rPr>
                          <w:t>SFVS</w:t>
                        </w:r>
                      </w:p>
                    </w:tc>
                    <w:tc>
                      <w:tcPr>
                        <w:tcW w:w="1045" w:type="dxa"/>
                        <w:tcBorders>
                          <w:top w:val="none" w:sz="0" w:space="0" w:color="auto"/>
                          <w:bottom w:val="none" w:sz="0" w:space="0" w:color="auto"/>
                        </w:tcBorders>
                        <w:shd w:val="clear" w:color="auto" w:fill="D2D4D7" w:themeFill="accent4" w:themeFillShade="E6"/>
                      </w:tcPr>
                      <w:p w14:paraId="7D2A40CF" w14:textId="77777777" w:rsidR="00967ECF" w:rsidRPr="006861FF" w:rsidRDefault="00967ECF">
                        <w:pPr>
                          <w:pStyle w:val="TableText"/>
                          <w:cnfStyle w:val="000000100000" w:firstRow="0" w:lastRow="0" w:firstColumn="0" w:lastColumn="0" w:oddVBand="0" w:evenVBand="0" w:oddHBand="1" w:evenHBand="0" w:firstRowFirstColumn="0" w:firstRowLastColumn="0" w:lastRowFirstColumn="0" w:lastRowLastColumn="0"/>
                          <w:rPr>
                            <w:b/>
                            <w:lang w:val="en-NZ"/>
                          </w:rPr>
                        </w:pPr>
                        <w:r w:rsidRPr="006861FF">
                          <w:rPr>
                            <w:b/>
                            <w:bCs/>
                          </w:rPr>
                          <w:t xml:space="preserve">FaRS </w:t>
                        </w:r>
                      </w:p>
                    </w:tc>
                    <w:tc>
                      <w:tcPr>
                        <w:tcW w:w="1045" w:type="dxa"/>
                        <w:tcBorders>
                          <w:top w:val="none" w:sz="0" w:space="0" w:color="auto"/>
                          <w:bottom w:val="none" w:sz="0" w:space="0" w:color="auto"/>
                        </w:tcBorders>
                        <w:shd w:val="clear" w:color="auto" w:fill="D2D4D7" w:themeFill="accent4" w:themeFillShade="E6"/>
                      </w:tcPr>
                      <w:p w14:paraId="59054D31" w14:textId="77777777" w:rsidR="00967ECF" w:rsidRPr="006861FF" w:rsidRDefault="00967ECF">
                        <w:pPr>
                          <w:pStyle w:val="TableText"/>
                          <w:cnfStyle w:val="000000100000" w:firstRow="0" w:lastRow="0" w:firstColumn="0" w:lastColumn="0" w:oddVBand="0" w:evenVBand="0" w:oddHBand="1" w:evenHBand="0" w:firstRowFirstColumn="0" w:firstRowLastColumn="0" w:lastRowFirstColumn="0" w:lastRowLastColumn="0"/>
                          <w:rPr>
                            <w:b/>
                          </w:rPr>
                        </w:pPr>
                        <w:r w:rsidRPr="006861FF">
                          <w:rPr>
                            <w:b/>
                            <w:bCs/>
                          </w:rPr>
                          <w:t>SFVS</w:t>
                        </w:r>
                      </w:p>
                    </w:tc>
                    <w:tc>
                      <w:tcPr>
                        <w:tcW w:w="1105" w:type="dxa"/>
                        <w:tcBorders>
                          <w:top w:val="none" w:sz="0" w:space="0" w:color="auto"/>
                          <w:bottom w:val="none" w:sz="0" w:space="0" w:color="auto"/>
                        </w:tcBorders>
                        <w:shd w:val="clear" w:color="auto" w:fill="D2D4D7" w:themeFill="accent4" w:themeFillShade="E6"/>
                      </w:tcPr>
                      <w:p w14:paraId="3B6F44B7" w14:textId="77777777" w:rsidR="00967ECF" w:rsidRPr="006861FF" w:rsidRDefault="00967ECF">
                        <w:pPr>
                          <w:pStyle w:val="TableText"/>
                          <w:cnfStyle w:val="000000100000" w:firstRow="0" w:lastRow="0" w:firstColumn="0" w:lastColumn="0" w:oddVBand="0" w:evenVBand="0" w:oddHBand="1" w:evenHBand="0" w:firstRowFirstColumn="0" w:firstRowLastColumn="0" w:lastRowFirstColumn="0" w:lastRowLastColumn="0"/>
                          <w:rPr>
                            <w:b/>
                            <w:lang w:val="en-NZ"/>
                          </w:rPr>
                        </w:pPr>
                        <w:r w:rsidRPr="006861FF">
                          <w:rPr>
                            <w:b/>
                            <w:bCs/>
                          </w:rPr>
                          <w:t>FaRS</w:t>
                        </w:r>
                      </w:p>
                    </w:tc>
                    <w:tc>
                      <w:tcPr>
                        <w:tcW w:w="984" w:type="dxa"/>
                        <w:tcBorders>
                          <w:top w:val="none" w:sz="0" w:space="0" w:color="auto"/>
                          <w:bottom w:val="none" w:sz="0" w:space="0" w:color="auto"/>
                        </w:tcBorders>
                        <w:shd w:val="clear" w:color="auto" w:fill="D2D4D7" w:themeFill="accent4" w:themeFillShade="E6"/>
                      </w:tcPr>
                      <w:p w14:paraId="36ABFA3F" w14:textId="77777777" w:rsidR="00967ECF" w:rsidRPr="006861FF" w:rsidRDefault="00967ECF">
                        <w:pPr>
                          <w:pStyle w:val="TableText"/>
                          <w:cnfStyle w:val="000000100000" w:firstRow="0" w:lastRow="0" w:firstColumn="0" w:lastColumn="0" w:oddVBand="0" w:evenVBand="0" w:oddHBand="1" w:evenHBand="0" w:firstRowFirstColumn="0" w:firstRowLastColumn="0" w:lastRowFirstColumn="0" w:lastRowLastColumn="0"/>
                          <w:rPr>
                            <w:b/>
                            <w:bCs/>
                          </w:rPr>
                        </w:pPr>
                        <w:r w:rsidRPr="006861FF">
                          <w:rPr>
                            <w:b/>
                            <w:bCs/>
                          </w:rPr>
                          <w:t>SFVS</w:t>
                        </w:r>
                      </w:p>
                    </w:tc>
                  </w:tr>
                  <w:tr w:rsidR="00967ECF" w14:paraId="1F457377" w14:textId="77777777" w:rsidTr="0078378F">
                    <w:trPr>
                      <w:trHeight w:val="903"/>
                    </w:trPr>
                    <w:tc>
                      <w:tcPr>
                        <w:cnfStyle w:val="001000000000" w:firstRow="0" w:lastRow="0" w:firstColumn="1" w:lastColumn="0" w:oddVBand="0" w:evenVBand="0" w:oddHBand="0" w:evenHBand="0" w:firstRowFirstColumn="0" w:firstRowLastColumn="0" w:lastRowFirstColumn="0" w:lastRowLastColumn="0"/>
                        <w:tcW w:w="1751" w:type="dxa"/>
                        <w:tcBorders>
                          <w:right w:val="none" w:sz="0" w:space="0" w:color="auto"/>
                        </w:tcBorders>
                      </w:tcPr>
                      <w:p w14:paraId="2992375E" w14:textId="77777777" w:rsidR="00967ECF" w:rsidRPr="0078378F" w:rsidRDefault="00967ECF">
                        <w:pPr>
                          <w:pStyle w:val="TableText"/>
                          <w:rPr>
                            <w:b w:val="0"/>
                            <w:bCs w:val="0"/>
                          </w:rPr>
                        </w:pPr>
                        <w:r w:rsidRPr="0078378F">
                          <w:rPr>
                            <w:b w:val="0"/>
                            <w:bCs w:val="0"/>
                          </w:rPr>
                          <w:t>Personal and family safety</w:t>
                        </w:r>
                      </w:p>
                    </w:tc>
                    <w:tc>
                      <w:tcPr>
                        <w:tcW w:w="1105" w:type="dxa"/>
                      </w:tcPr>
                      <w:p w14:paraId="6962DEFF" w14:textId="77777777" w:rsidR="00967ECF" w:rsidRDefault="00967ECF">
                        <w:pPr>
                          <w:pStyle w:val="TableText"/>
                          <w:cnfStyle w:val="000000000000" w:firstRow="0" w:lastRow="0" w:firstColumn="0" w:lastColumn="0" w:oddVBand="0" w:evenVBand="0" w:oddHBand="0" w:evenHBand="0" w:firstRowFirstColumn="0" w:firstRowLastColumn="0" w:lastRowFirstColumn="0" w:lastRowLastColumn="0"/>
                        </w:pPr>
                        <w:r w:rsidRPr="0007082D">
                          <w:t>$9,881</w:t>
                        </w:r>
                      </w:p>
                    </w:tc>
                    <w:tc>
                      <w:tcPr>
                        <w:tcW w:w="969" w:type="dxa"/>
                      </w:tcPr>
                      <w:p w14:paraId="1111D247" w14:textId="77777777" w:rsidR="00967ECF" w:rsidRDefault="00967ECF">
                        <w:pPr>
                          <w:pStyle w:val="TableText"/>
                          <w:cnfStyle w:val="000000000000" w:firstRow="0" w:lastRow="0" w:firstColumn="0" w:lastColumn="0" w:oddVBand="0" w:evenVBand="0" w:oddHBand="0" w:evenHBand="0" w:firstRowFirstColumn="0" w:firstRowLastColumn="0" w:lastRowFirstColumn="0" w:lastRowLastColumn="0"/>
                        </w:pPr>
                        <w:r w:rsidRPr="0007082D">
                          <w:t>0.56</w:t>
                        </w:r>
                      </w:p>
                    </w:tc>
                    <w:tc>
                      <w:tcPr>
                        <w:tcW w:w="984" w:type="dxa"/>
                      </w:tcPr>
                      <w:p w14:paraId="73BCA802" w14:textId="77777777" w:rsidR="00967ECF" w:rsidRDefault="00967ECF">
                        <w:pPr>
                          <w:pStyle w:val="TableText"/>
                          <w:cnfStyle w:val="000000000000" w:firstRow="0" w:lastRow="0" w:firstColumn="0" w:lastColumn="0" w:oddVBand="0" w:evenVBand="0" w:oddHBand="0" w:evenHBand="0" w:firstRowFirstColumn="0" w:firstRowLastColumn="0" w:lastRowFirstColumn="0" w:lastRowLastColumn="0"/>
                        </w:pPr>
                        <w:r w:rsidRPr="0007082D">
                          <w:t>0.91</w:t>
                        </w:r>
                      </w:p>
                    </w:tc>
                    <w:tc>
                      <w:tcPr>
                        <w:tcW w:w="1045" w:type="dxa"/>
                      </w:tcPr>
                      <w:p w14:paraId="27865A1A" w14:textId="77777777" w:rsidR="00967ECF" w:rsidRDefault="00967ECF">
                        <w:pPr>
                          <w:pStyle w:val="TableText"/>
                          <w:cnfStyle w:val="000000000000" w:firstRow="0" w:lastRow="0" w:firstColumn="0" w:lastColumn="0" w:oddVBand="0" w:evenVBand="0" w:oddHBand="0" w:evenHBand="0" w:firstRowFirstColumn="0" w:firstRowLastColumn="0" w:lastRowFirstColumn="0" w:lastRowLastColumn="0"/>
                        </w:pPr>
                        <w:r w:rsidRPr="0007082D">
                          <w:t>42.6%</w:t>
                        </w:r>
                      </w:p>
                    </w:tc>
                    <w:tc>
                      <w:tcPr>
                        <w:tcW w:w="1045" w:type="dxa"/>
                      </w:tcPr>
                      <w:p w14:paraId="683B5735" w14:textId="77777777" w:rsidR="00967ECF" w:rsidRDefault="00967ECF">
                        <w:pPr>
                          <w:pStyle w:val="TableText"/>
                          <w:cnfStyle w:val="000000000000" w:firstRow="0" w:lastRow="0" w:firstColumn="0" w:lastColumn="0" w:oddVBand="0" w:evenVBand="0" w:oddHBand="0" w:evenHBand="0" w:firstRowFirstColumn="0" w:firstRowLastColumn="0" w:lastRowFirstColumn="0" w:lastRowLastColumn="0"/>
                        </w:pPr>
                        <w:r w:rsidRPr="0007082D">
                          <w:t>57.0%</w:t>
                        </w:r>
                      </w:p>
                    </w:tc>
                    <w:tc>
                      <w:tcPr>
                        <w:tcW w:w="1105" w:type="dxa"/>
                      </w:tcPr>
                      <w:p w14:paraId="478D7C32" w14:textId="77777777" w:rsidR="00967ECF" w:rsidRDefault="00967ECF">
                        <w:pPr>
                          <w:pStyle w:val="TableText"/>
                          <w:cnfStyle w:val="000000000000" w:firstRow="0" w:lastRow="0" w:firstColumn="0" w:lastColumn="0" w:oddVBand="0" w:evenVBand="0" w:oddHBand="0" w:evenHBand="0" w:firstRowFirstColumn="0" w:firstRowLastColumn="0" w:lastRowFirstColumn="0" w:lastRowLastColumn="0"/>
                        </w:pPr>
                        <w:r w:rsidRPr="0007082D">
                          <w:t>85,298</w:t>
                        </w:r>
                      </w:p>
                    </w:tc>
                    <w:tc>
                      <w:tcPr>
                        <w:tcW w:w="984" w:type="dxa"/>
                      </w:tcPr>
                      <w:p w14:paraId="19E2723E" w14:textId="77777777" w:rsidR="00967ECF" w:rsidRDefault="00967ECF">
                        <w:pPr>
                          <w:pStyle w:val="TableText"/>
                          <w:cnfStyle w:val="000000000000" w:firstRow="0" w:lastRow="0" w:firstColumn="0" w:lastColumn="0" w:oddVBand="0" w:evenVBand="0" w:oddHBand="0" w:evenHBand="0" w:firstRowFirstColumn="0" w:firstRowLastColumn="0" w:lastRowFirstColumn="0" w:lastRowLastColumn="0"/>
                        </w:pPr>
                        <w:r>
                          <w:t>8,808</w:t>
                        </w:r>
                      </w:p>
                    </w:tc>
                  </w:tr>
                  <w:tr w:rsidR="00967ECF" w14:paraId="0F1F516B" w14:textId="77777777" w:rsidTr="0078378F">
                    <w:trPr>
                      <w:cnfStyle w:val="000000100000" w:firstRow="0" w:lastRow="0" w:firstColumn="0" w:lastColumn="0" w:oddVBand="0" w:evenVBand="0" w:oddHBand="1" w:evenHBand="0" w:firstRowFirstColumn="0" w:firstRowLastColumn="0" w:lastRowFirstColumn="0" w:lastRowLastColumn="0"/>
                      <w:trHeight w:val="677"/>
                    </w:trPr>
                    <w:tc>
                      <w:tcPr>
                        <w:cnfStyle w:val="001000000000" w:firstRow="0" w:lastRow="0" w:firstColumn="1" w:lastColumn="0" w:oddVBand="0" w:evenVBand="0" w:oddHBand="0" w:evenHBand="0" w:firstRowFirstColumn="0" w:firstRowLastColumn="0" w:lastRowFirstColumn="0" w:lastRowLastColumn="0"/>
                        <w:tcW w:w="1751" w:type="dxa"/>
                        <w:tcBorders>
                          <w:top w:val="none" w:sz="0" w:space="0" w:color="auto"/>
                          <w:bottom w:val="none" w:sz="0" w:space="0" w:color="auto"/>
                          <w:right w:val="none" w:sz="0" w:space="0" w:color="auto"/>
                        </w:tcBorders>
                      </w:tcPr>
                      <w:p w14:paraId="466B65E3" w14:textId="77777777" w:rsidR="00967ECF" w:rsidRPr="0078378F" w:rsidRDefault="00967ECF">
                        <w:pPr>
                          <w:pStyle w:val="TableText"/>
                          <w:rPr>
                            <w:b w:val="0"/>
                            <w:bCs w:val="0"/>
                          </w:rPr>
                        </w:pPr>
                        <w:r w:rsidRPr="0078378F">
                          <w:rPr>
                            <w:b w:val="0"/>
                            <w:bCs w:val="0"/>
                          </w:rPr>
                          <w:t>Family functioning</w:t>
                        </w:r>
                      </w:p>
                    </w:tc>
                    <w:tc>
                      <w:tcPr>
                        <w:tcW w:w="1105" w:type="dxa"/>
                        <w:tcBorders>
                          <w:top w:val="none" w:sz="0" w:space="0" w:color="auto"/>
                          <w:bottom w:val="none" w:sz="0" w:space="0" w:color="auto"/>
                        </w:tcBorders>
                      </w:tcPr>
                      <w:p w14:paraId="21307E26" w14:textId="77777777" w:rsidR="00967ECF" w:rsidRDefault="00967ECF">
                        <w:pPr>
                          <w:pStyle w:val="TableText"/>
                          <w:cnfStyle w:val="000000100000" w:firstRow="0" w:lastRow="0" w:firstColumn="0" w:lastColumn="0" w:oddVBand="0" w:evenVBand="0" w:oddHBand="1" w:evenHBand="0" w:firstRowFirstColumn="0" w:firstRowLastColumn="0" w:lastRowFirstColumn="0" w:lastRowLastColumn="0"/>
                        </w:pPr>
                        <w:r w:rsidRPr="0007082D">
                          <w:t>$6,074</w:t>
                        </w:r>
                      </w:p>
                    </w:tc>
                    <w:tc>
                      <w:tcPr>
                        <w:tcW w:w="969" w:type="dxa"/>
                        <w:tcBorders>
                          <w:top w:val="none" w:sz="0" w:space="0" w:color="auto"/>
                          <w:bottom w:val="none" w:sz="0" w:space="0" w:color="auto"/>
                        </w:tcBorders>
                      </w:tcPr>
                      <w:p w14:paraId="5C64329F" w14:textId="77777777" w:rsidR="00967ECF" w:rsidRDefault="00967ECF">
                        <w:pPr>
                          <w:pStyle w:val="TableText"/>
                          <w:cnfStyle w:val="000000100000" w:firstRow="0" w:lastRow="0" w:firstColumn="0" w:lastColumn="0" w:oddVBand="0" w:evenVBand="0" w:oddHBand="1" w:evenHBand="0" w:firstRowFirstColumn="0" w:firstRowLastColumn="0" w:lastRowFirstColumn="0" w:lastRowLastColumn="0"/>
                        </w:pPr>
                        <w:r w:rsidRPr="0007082D">
                          <w:t>0.80</w:t>
                        </w:r>
                      </w:p>
                    </w:tc>
                    <w:tc>
                      <w:tcPr>
                        <w:tcW w:w="984" w:type="dxa"/>
                        <w:tcBorders>
                          <w:top w:val="none" w:sz="0" w:space="0" w:color="auto"/>
                          <w:bottom w:val="none" w:sz="0" w:space="0" w:color="auto"/>
                        </w:tcBorders>
                      </w:tcPr>
                      <w:p w14:paraId="0AF6EE28" w14:textId="77777777" w:rsidR="00967ECF" w:rsidRDefault="00967ECF">
                        <w:pPr>
                          <w:pStyle w:val="TableText"/>
                          <w:cnfStyle w:val="000000100000" w:firstRow="0" w:lastRow="0" w:firstColumn="0" w:lastColumn="0" w:oddVBand="0" w:evenVBand="0" w:oddHBand="1" w:evenHBand="0" w:firstRowFirstColumn="0" w:firstRowLastColumn="0" w:lastRowFirstColumn="0" w:lastRowLastColumn="0"/>
                        </w:pPr>
                        <w:r w:rsidRPr="0007082D">
                          <w:t>0.80</w:t>
                        </w:r>
                      </w:p>
                    </w:tc>
                    <w:tc>
                      <w:tcPr>
                        <w:tcW w:w="1045" w:type="dxa"/>
                        <w:tcBorders>
                          <w:top w:val="none" w:sz="0" w:space="0" w:color="auto"/>
                          <w:bottom w:val="none" w:sz="0" w:space="0" w:color="auto"/>
                        </w:tcBorders>
                      </w:tcPr>
                      <w:p w14:paraId="3E1B39B1" w14:textId="77777777" w:rsidR="00967ECF" w:rsidRDefault="00967ECF">
                        <w:pPr>
                          <w:pStyle w:val="TableText"/>
                          <w:cnfStyle w:val="000000100000" w:firstRow="0" w:lastRow="0" w:firstColumn="0" w:lastColumn="0" w:oddVBand="0" w:evenVBand="0" w:oddHBand="1" w:evenHBand="0" w:firstRowFirstColumn="0" w:firstRowLastColumn="0" w:lastRowFirstColumn="0" w:lastRowLastColumn="0"/>
                        </w:pPr>
                        <w:r w:rsidRPr="0007082D">
                          <w:t>54.9%</w:t>
                        </w:r>
                      </w:p>
                    </w:tc>
                    <w:tc>
                      <w:tcPr>
                        <w:tcW w:w="1045" w:type="dxa"/>
                        <w:tcBorders>
                          <w:top w:val="none" w:sz="0" w:space="0" w:color="auto"/>
                          <w:bottom w:val="none" w:sz="0" w:space="0" w:color="auto"/>
                        </w:tcBorders>
                      </w:tcPr>
                      <w:p w14:paraId="358107E1" w14:textId="77777777" w:rsidR="00967ECF" w:rsidRDefault="00967ECF">
                        <w:pPr>
                          <w:pStyle w:val="TableText"/>
                          <w:cnfStyle w:val="000000100000" w:firstRow="0" w:lastRow="0" w:firstColumn="0" w:lastColumn="0" w:oddVBand="0" w:evenVBand="0" w:oddHBand="1" w:evenHBand="0" w:firstRowFirstColumn="0" w:firstRowLastColumn="0" w:lastRowFirstColumn="0" w:lastRowLastColumn="0"/>
                        </w:pPr>
                        <w:r w:rsidRPr="0007082D">
                          <w:t>54.9%</w:t>
                        </w:r>
                      </w:p>
                    </w:tc>
                    <w:tc>
                      <w:tcPr>
                        <w:tcW w:w="1105" w:type="dxa"/>
                        <w:tcBorders>
                          <w:top w:val="none" w:sz="0" w:space="0" w:color="auto"/>
                          <w:bottom w:val="none" w:sz="0" w:space="0" w:color="auto"/>
                        </w:tcBorders>
                      </w:tcPr>
                      <w:p w14:paraId="32180EA4" w14:textId="77777777" w:rsidR="00967ECF" w:rsidRDefault="00967ECF">
                        <w:pPr>
                          <w:pStyle w:val="TableText"/>
                          <w:cnfStyle w:val="000000100000" w:firstRow="0" w:lastRow="0" w:firstColumn="0" w:lastColumn="0" w:oddVBand="0" w:evenVBand="0" w:oddHBand="1" w:evenHBand="0" w:firstRowFirstColumn="0" w:firstRowLastColumn="0" w:lastRowFirstColumn="0" w:lastRowLastColumn="0"/>
                        </w:pPr>
                        <w:r w:rsidRPr="0007082D">
                          <w:t>85,298</w:t>
                        </w:r>
                      </w:p>
                    </w:tc>
                    <w:tc>
                      <w:tcPr>
                        <w:tcW w:w="984" w:type="dxa"/>
                        <w:tcBorders>
                          <w:top w:val="none" w:sz="0" w:space="0" w:color="auto"/>
                          <w:bottom w:val="none" w:sz="0" w:space="0" w:color="auto"/>
                        </w:tcBorders>
                      </w:tcPr>
                      <w:p w14:paraId="5FF6837E" w14:textId="77777777" w:rsidR="00967ECF" w:rsidRDefault="00967ECF">
                        <w:pPr>
                          <w:pStyle w:val="TableText"/>
                          <w:cnfStyle w:val="000000100000" w:firstRow="0" w:lastRow="0" w:firstColumn="0" w:lastColumn="0" w:oddVBand="0" w:evenVBand="0" w:oddHBand="1" w:evenHBand="0" w:firstRowFirstColumn="0" w:firstRowLastColumn="0" w:lastRowFirstColumn="0" w:lastRowLastColumn="0"/>
                        </w:pPr>
                        <w:r>
                          <w:t>8,808</w:t>
                        </w:r>
                      </w:p>
                    </w:tc>
                  </w:tr>
                </w:tbl>
                <w:p w14:paraId="3F8324C7" w14:textId="4848C565" w:rsidR="00967ECF" w:rsidRPr="00883627" w:rsidRDefault="00967ECF" w:rsidP="00967ECF">
                  <w:pPr>
                    <w:pStyle w:val="Text"/>
                    <w:rPr>
                      <w:i/>
                      <w:sz w:val="20"/>
                      <w:szCs w:val="18"/>
                    </w:rPr>
                  </w:pPr>
                  <w:r w:rsidRPr="00F650E2">
                    <w:rPr>
                      <w:i/>
                      <w:iCs/>
                      <w:sz w:val="20"/>
                    </w:rPr>
                    <w:t>Source:</w:t>
                  </w:r>
                  <w:r w:rsidRPr="00160253">
                    <w:rPr>
                      <w:i/>
                      <w:iCs/>
                      <w:sz w:val="20"/>
                    </w:rPr>
                    <w:t xml:space="preserve"> CIE cost estimates, individual DEX data (mean change and </w:t>
                  </w:r>
                  <w:r w:rsidR="003E3FB0">
                    <w:rPr>
                      <w:i/>
                      <w:iCs/>
                      <w:sz w:val="20"/>
                    </w:rPr>
                    <w:t>service users</w:t>
                  </w:r>
                  <w:r w:rsidRPr="00160253">
                    <w:rPr>
                      <w:i/>
                      <w:iCs/>
                      <w:sz w:val="20"/>
                    </w:rPr>
                    <w:t xml:space="preserve"> with positive change), GPS – DEX data extract</w:t>
                  </w:r>
                  <w:r w:rsidRPr="4F5EDBA0">
                    <w:rPr>
                      <w:i/>
                      <w:iCs/>
                      <w:sz w:val="20"/>
                    </w:rPr>
                    <w:t xml:space="preserve"> (number of service users)</w:t>
                  </w:r>
                </w:p>
                <w:p w14:paraId="27591770" w14:textId="3DAC5D3A" w:rsidR="00F40D26" w:rsidRPr="00B01C71" w:rsidRDefault="00967ECF" w:rsidP="00967ECF">
                  <w:pPr>
                    <w:pStyle w:val="Text"/>
                  </w:pPr>
                  <w:r w:rsidRPr="00CD4C09">
                    <w:t xml:space="preserve">The value of benefit generated by FaRS is estimated at $429.9 million ($201.3 million attributed to improvements in personal and family safety and $228.7 million attributed to improvements in family functioning). For SFVS, the value of benefit generated is estimated at $68.7 million ($45.3 million attributed to improvements in personal and family safety and $23.4 million attributed to improvements in family functioning). Comparing </w:t>
                  </w:r>
                  <w:r w:rsidR="00AF0CEF">
                    <w:t xml:space="preserve">the </w:t>
                  </w:r>
                  <w:r w:rsidRPr="00CD4C09">
                    <w:t xml:space="preserve">value of benefits with the costs ($88.2 million for FaRS and $12.4 million for SVFS), results in a ROI of 4.88 for </w:t>
                  </w:r>
                  <w:r w:rsidR="00F40D26" w:rsidRPr="00CD4C09">
                    <w:t>FaR</w:t>
                  </w:r>
                  <w:r w:rsidR="00F40D26">
                    <w:t>S</w:t>
                  </w:r>
                  <w:r w:rsidR="00F40D26" w:rsidRPr="00CD4C09">
                    <w:t xml:space="preserve"> </w:t>
                  </w:r>
                  <w:r w:rsidRPr="00CD4C09">
                    <w:t>and 5.54 for SVFS.</w:t>
                  </w:r>
                </w:p>
                <w:p w14:paraId="58F67D6C" w14:textId="77777777" w:rsidR="00967ECF" w:rsidRPr="00C94222" w:rsidRDefault="00967ECF" w:rsidP="00321BC5">
                  <w:pPr>
                    <w:pStyle w:val="Text-BodyHeading"/>
                    <w:spacing w:before="360" w:after="240"/>
                  </w:pPr>
                  <w:r>
                    <w:t xml:space="preserve">Method 3: Transferring UK estimates to Australia </w:t>
                  </w:r>
                </w:p>
                <w:p w14:paraId="033675F9" w14:textId="76D6E2E6" w:rsidR="00967ECF" w:rsidRDefault="00967ECF" w:rsidP="00967ECF">
                  <w:pPr>
                    <w:pStyle w:val="Text"/>
                  </w:pPr>
                  <w:r>
                    <w:t xml:space="preserve">Dowrick et al (2022) quantified the social value of the Identification and Referral to Improve Safety (IRIS) program, a primary care response to domestic violence and abuse </w:t>
                  </w:r>
                  <w:r>
                    <w:fldChar w:fldCharType="begin"/>
                  </w:r>
                  <w:r w:rsidR="003A464F">
                    <w:instrText xml:space="preserve"> ADDIN ZOTERO_ITEM CSL_CITATION {"citationID":"a10h0cgp1ja","properties":{"formattedCitation":"(Dowrick et al., 2022)","plainCitation":"(Dowrick et al., 2022)","noteIndex":0},"citationItems":[{"id":"KNHaqWe9/3KwhH1Cn","uris":["http://zotero.org/groups/6054942/items/DS6VUFXZ"],"itemData":{"id":5694,"type":"report","publisher":"IRISi","title":"The social value of improving the primary care response to domestic violence and abuse: A mixed methods Social Return on Investment analysis of the IRIS programme","author":[{"family":"Dowrick","given":"A"},{"family":"Hawking","given":"M"},{"family":"Barbosa","given":"E"}],"issued":{"date-parts":[["2022"]]}}}],"schema":"https://github.com/citation-style-language/schema/raw/master/csl-citation.json"} </w:instrText>
                  </w:r>
                  <w:r>
                    <w:fldChar w:fldCharType="separate"/>
                  </w:r>
                  <w:r w:rsidRPr="003C117F">
                    <w:rPr>
                      <w:rFonts w:ascii="Arial" w:hAnsi="Arial" w:cs="Arial"/>
                    </w:rPr>
                    <w:t>(Dowrick et al., 2022)</w:t>
                  </w:r>
                  <w:r>
                    <w:fldChar w:fldCharType="end"/>
                  </w:r>
                  <w:r>
                    <w:t xml:space="preserve">. The benefits of the program were measured in terms of prevention of future costs, i.e. by identifying and referring victims of domestic violence and abuse, the program prevents </w:t>
                  </w:r>
                  <w:r>
                    <w:lastRenderedPageBreak/>
                    <w:t>further abuse and aggravation in the severity of abuse. In order to estimate the benefit of the IRIS Programme, the authors considered the average number of referrals each site received, multiplied by the unit cost of domestic violence and abuse and by the probability of reduction of abuse.</w:t>
                  </w:r>
                </w:p>
                <w:p w14:paraId="5B588DD9" w14:textId="0EA01BCD" w:rsidR="00967ECF" w:rsidRDefault="00967ECF" w:rsidP="00967ECF">
                  <w:pPr>
                    <w:pStyle w:val="Text"/>
                  </w:pPr>
                  <w:r>
                    <w:t xml:space="preserve">The unit cost of domestic violence and abuse was sourced from the UK Home Office assessment of the total costs of domestic violence and abuse in England and Wales </w:t>
                  </w:r>
                  <w:r>
                    <w:fldChar w:fldCharType="begin"/>
                  </w:r>
                  <w:r w:rsidR="003A464F">
                    <w:instrText xml:space="preserve"> ADDIN ZOTERO_ITEM CSL_CITATION {"citationID":"a1naeslrecu","properties":{"formattedCitation":"(Oliver et al., 2019)","plainCitation":"(Oliver et al., 2019)","noteIndex":0},"citationItems":[{"id":"KNHaqWe9/RVUhUCmt","uris":["http://zotero.org/groups/6054942/items/727LXLFP"],"itemData":{"id":5695,"type":"report","number":"107","publisher":"Home Office","title":"The economic and social costs of domestic abuse","author":[{"family":"Oliver","given":"R"},{"family":"Alexander","given":"B"},{"family":"Roe","given":"S"},{"family":"Wlasny","given":"M"}],"issued":{"date-parts":[["2019"]]}}}],"schema":"https://github.com/citation-style-language/schema/raw/master/csl-citation.json"} </w:instrText>
                  </w:r>
                  <w:r>
                    <w:fldChar w:fldCharType="separate"/>
                  </w:r>
                  <w:r w:rsidRPr="003C117F">
                    <w:rPr>
                      <w:rFonts w:ascii="Arial" w:hAnsi="Arial" w:cs="Arial"/>
                    </w:rPr>
                    <w:t>(Oliver et al., 2019)</w:t>
                  </w:r>
                  <w:r>
                    <w:fldChar w:fldCharType="end"/>
                  </w:r>
                  <w:r>
                    <w:t xml:space="preserve">. The analysis relied on information gathered through the Crime Survey for England and Wales (CSEW). Information from the CSEW was used to calculate the likelihood of physical and emotional harm which are then used to estimate the costs of those harms (using the QALY method), the resulting health service costs and lost output. </w:t>
                  </w:r>
                </w:p>
                <w:p w14:paraId="6F46A71B" w14:textId="69544243" w:rsidR="00967ECF" w:rsidRDefault="00967ECF" w:rsidP="00967ECF">
                  <w:pPr>
                    <w:pStyle w:val="Text"/>
                  </w:pPr>
                  <w:r>
                    <w:t xml:space="preserve">The UK Home Office estimated the cost of domestic abuse at £66,192 million in 2016-17, equivalent to £34,015 per case. This converts to $67,661 Australian dollars in 2022-23, based on currency conversion in 2016-17 and Australian Bureau Statistics (ABS) consumer price indices. </w:t>
                  </w:r>
                  <w:r w:rsidRPr="00C2583E">
                    <w:rPr>
                      <w:b/>
                      <w:bCs/>
                    </w:rPr>
                    <w:fldChar w:fldCharType="begin" w:fldLock="1"/>
                  </w:r>
                  <w:r w:rsidRPr="00C2583E">
                    <w:rPr>
                      <w:b/>
                      <w:bCs/>
                    </w:rPr>
                    <w:instrText xml:space="preserve"> REF _Ref204770321 \h  \* MERGEFORMAT </w:instrText>
                  </w:r>
                  <w:r w:rsidRPr="00C2583E">
                    <w:rPr>
                      <w:b/>
                      <w:bCs/>
                    </w:rPr>
                  </w:r>
                  <w:r w:rsidRPr="00C2583E">
                    <w:rPr>
                      <w:b/>
                      <w:bCs/>
                    </w:rPr>
                    <w:fldChar w:fldCharType="separate"/>
                  </w:r>
                  <w:r w:rsidR="008F22E5" w:rsidRPr="008F22E5">
                    <w:rPr>
                      <w:rStyle w:val="Text-Bold"/>
                      <w:szCs w:val="22"/>
                    </w:rPr>
                    <w:t>Table</w:t>
                  </w:r>
                  <w:r w:rsidR="008F22E5" w:rsidRPr="008F22E5">
                    <w:rPr>
                      <w:rStyle w:val="Text-Bold"/>
                      <w:b w:val="0"/>
                      <w:bCs/>
                      <w:szCs w:val="22"/>
                    </w:rPr>
                    <w:t xml:space="preserve"> </w:t>
                  </w:r>
                  <w:r w:rsidR="008F22E5" w:rsidRPr="008F22E5">
                    <w:rPr>
                      <w:b/>
                    </w:rPr>
                    <w:t>8</w:t>
                  </w:r>
                  <w:r w:rsidRPr="00C2583E">
                    <w:rPr>
                      <w:b/>
                      <w:bCs/>
                    </w:rPr>
                    <w:fldChar w:fldCharType="end"/>
                  </w:r>
                  <w:r w:rsidRPr="00C2583E">
                    <w:rPr>
                      <w:b/>
                      <w:bCs/>
                    </w:rPr>
                    <w:t xml:space="preserve"> </w:t>
                  </w:r>
                  <w:r>
                    <w:t>provides an overview of unit costs expressed in 2022-23 Australian dollars. Most costs relate to physical and emotional harm (71%) followed by lost output (21%) and health service use (4%).</w:t>
                  </w:r>
                </w:p>
                <w:p w14:paraId="0485AF86" w14:textId="6F95948D" w:rsidR="00967ECF" w:rsidRPr="009F5B0D" w:rsidRDefault="00967ECF" w:rsidP="00953B9E">
                  <w:pPr>
                    <w:pStyle w:val="TableFigure-Header"/>
                    <w:spacing w:line="276" w:lineRule="auto"/>
                    <w:rPr>
                      <w:rStyle w:val="Text-Bold"/>
                      <w:b/>
                      <w:bCs/>
                    </w:rPr>
                  </w:pPr>
                  <w:bookmarkStart w:id="306" w:name="_Ref204770321"/>
                  <w:r w:rsidRPr="009F5B0D">
                    <w:rPr>
                      <w:rStyle w:val="Text-Bold"/>
                      <w:b/>
                      <w:bCs/>
                    </w:rPr>
                    <w:t xml:space="preserve">Table </w:t>
                  </w:r>
                  <w:r w:rsidRPr="009F5B0D">
                    <w:rPr>
                      <w:rStyle w:val="Text-Bold"/>
                      <w:b/>
                      <w:bCs/>
                    </w:rPr>
                    <w:fldChar w:fldCharType="begin"/>
                  </w:r>
                  <w:r w:rsidRPr="009F5B0D">
                    <w:rPr>
                      <w:rStyle w:val="Text-Bold"/>
                      <w:b/>
                      <w:bCs/>
                    </w:rPr>
                    <w:instrText xml:space="preserve"> SEQ Table \* ARABIC </w:instrText>
                  </w:r>
                  <w:r w:rsidRPr="009F5B0D">
                    <w:rPr>
                      <w:rStyle w:val="Text-Bold"/>
                      <w:b/>
                      <w:bCs/>
                    </w:rPr>
                    <w:fldChar w:fldCharType="separate"/>
                  </w:r>
                  <w:r w:rsidR="008D2566">
                    <w:rPr>
                      <w:rStyle w:val="Text-Bold"/>
                      <w:b/>
                      <w:bCs/>
                      <w:noProof/>
                    </w:rPr>
                    <w:t>8</w:t>
                  </w:r>
                  <w:r w:rsidRPr="009F5B0D">
                    <w:rPr>
                      <w:rStyle w:val="Text-Bold"/>
                      <w:b/>
                      <w:bCs/>
                    </w:rPr>
                    <w:fldChar w:fldCharType="end"/>
                  </w:r>
                  <w:bookmarkEnd w:id="306"/>
                  <w:r w:rsidRPr="009F5B0D">
                    <w:rPr>
                      <w:rStyle w:val="Text-Bold"/>
                      <w:b/>
                      <w:bCs/>
                    </w:rPr>
                    <w:t>: Transferring UK estimates to Australia</w:t>
                  </w:r>
                </w:p>
                <w:tbl>
                  <w:tblPr>
                    <w:tblStyle w:val="ListTable3-Accent31"/>
                    <w:tblW w:w="91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75"/>
                    <w:gridCol w:w="1536"/>
                    <w:gridCol w:w="1536"/>
                    <w:gridCol w:w="1996"/>
                    <w:gridCol w:w="2268"/>
                  </w:tblGrid>
                  <w:tr w:rsidR="00967ECF" w:rsidRPr="00675600" w14:paraId="6E6E8AFF" w14:textId="77777777" w:rsidTr="0078378F">
                    <w:trPr>
                      <w:cnfStyle w:val="100000000000" w:firstRow="1" w:lastRow="0" w:firstColumn="0" w:lastColumn="0" w:oddVBand="0" w:evenVBand="0" w:oddHBand="0" w:evenHBand="0" w:firstRowFirstColumn="0" w:firstRowLastColumn="0" w:lastRowFirstColumn="0" w:lastRowLastColumn="0"/>
                      <w:trHeight w:val="278"/>
                    </w:trPr>
                    <w:tc>
                      <w:tcPr>
                        <w:cnfStyle w:val="001000000100" w:firstRow="0" w:lastRow="0" w:firstColumn="1" w:lastColumn="0" w:oddVBand="0" w:evenVBand="0" w:oddHBand="0" w:evenHBand="0" w:firstRowFirstColumn="1" w:firstRowLastColumn="0" w:lastRowFirstColumn="0" w:lastRowLastColumn="0"/>
                        <w:tcW w:w="0" w:type="dxa"/>
                        <w:tcBorders>
                          <w:bottom w:val="none" w:sz="0" w:space="0" w:color="auto"/>
                          <w:right w:val="none" w:sz="0" w:space="0" w:color="auto"/>
                        </w:tcBorders>
                        <w:noWrap/>
                        <w:hideMark/>
                      </w:tcPr>
                      <w:p w14:paraId="17AB4CC6" w14:textId="77777777" w:rsidR="00967ECF" w:rsidRPr="0068118D" w:rsidRDefault="00967ECF">
                        <w:pPr>
                          <w:pStyle w:val="TableText"/>
                        </w:pPr>
                      </w:p>
                    </w:tc>
                    <w:tc>
                      <w:tcPr>
                        <w:tcW w:w="0" w:type="dxa"/>
                        <w:noWrap/>
                        <w:hideMark/>
                      </w:tcPr>
                      <w:p w14:paraId="21ACF809" w14:textId="77777777" w:rsidR="00967ECF" w:rsidRPr="0068118D" w:rsidRDefault="00967ECF">
                        <w:pPr>
                          <w:pStyle w:val="TableText"/>
                          <w:cnfStyle w:val="100000000000" w:firstRow="1" w:lastRow="0" w:firstColumn="0" w:lastColumn="0" w:oddVBand="0" w:evenVBand="0" w:oddHBand="0" w:evenHBand="0" w:firstRowFirstColumn="0" w:firstRowLastColumn="0" w:lastRowFirstColumn="0" w:lastRowLastColumn="0"/>
                        </w:pPr>
                        <w:r w:rsidRPr="0068118D">
                          <w:t>2016-17 GBP</w:t>
                        </w:r>
                      </w:p>
                    </w:tc>
                    <w:tc>
                      <w:tcPr>
                        <w:tcW w:w="0" w:type="dxa"/>
                        <w:noWrap/>
                        <w:hideMark/>
                      </w:tcPr>
                      <w:p w14:paraId="03B43C47" w14:textId="77777777" w:rsidR="00967ECF" w:rsidRPr="0068118D" w:rsidRDefault="00967ECF">
                        <w:pPr>
                          <w:pStyle w:val="TableText"/>
                          <w:cnfStyle w:val="100000000000" w:firstRow="1" w:lastRow="0" w:firstColumn="0" w:lastColumn="0" w:oddVBand="0" w:evenVBand="0" w:oddHBand="0" w:evenHBand="0" w:firstRowFirstColumn="0" w:firstRowLastColumn="0" w:lastRowFirstColumn="0" w:lastRowLastColumn="0"/>
                        </w:pPr>
                        <w:r w:rsidRPr="0068118D">
                          <w:t>2016-17 AUD</w:t>
                        </w:r>
                      </w:p>
                    </w:tc>
                    <w:tc>
                      <w:tcPr>
                        <w:tcW w:w="0" w:type="dxa"/>
                        <w:noWrap/>
                        <w:hideMark/>
                      </w:tcPr>
                      <w:p w14:paraId="34791C74" w14:textId="77777777" w:rsidR="00967ECF" w:rsidRPr="0068118D" w:rsidRDefault="00967ECF">
                        <w:pPr>
                          <w:pStyle w:val="TableText"/>
                          <w:cnfStyle w:val="100000000000" w:firstRow="1" w:lastRow="0" w:firstColumn="0" w:lastColumn="0" w:oddVBand="0" w:evenVBand="0" w:oddHBand="0" w:evenHBand="0" w:firstRowFirstColumn="0" w:firstRowLastColumn="0" w:lastRowFirstColumn="0" w:lastRowLastColumn="0"/>
                        </w:pPr>
                        <w:r w:rsidRPr="0068118D">
                          <w:t>2022-23 AUD</w:t>
                        </w:r>
                      </w:p>
                    </w:tc>
                    <w:tc>
                      <w:tcPr>
                        <w:tcW w:w="0" w:type="dxa"/>
                        <w:noWrap/>
                        <w:hideMark/>
                      </w:tcPr>
                      <w:p w14:paraId="25454B82" w14:textId="77777777" w:rsidR="00967ECF" w:rsidRPr="0068118D" w:rsidRDefault="00967ECF">
                        <w:pPr>
                          <w:pStyle w:val="TableText"/>
                          <w:cnfStyle w:val="100000000000" w:firstRow="1" w:lastRow="0" w:firstColumn="0" w:lastColumn="0" w:oddVBand="0" w:evenVBand="0" w:oddHBand="0" w:evenHBand="0" w:firstRowFirstColumn="0" w:firstRowLastColumn="0" w:lastRowFirstColumn="0" w:lastRowLastColumn="0"/>
                        </w:pPr>
                        <w:r w:rsidRPr="0068118D">
                          <w:t>% contribution</w:t>
                        </w:r>
                      </w:p>
                    </w:tc>
                  </w:tr>
                  <w:tr w:rsidR="00967ECF" w:rsidRPr="00675600" w14:paraId="1F945296" w14:textId="77777777" w:rsidTr="0078378F">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0" w:type="dxa"/>
                        <w:tcBorders>
                          <w:top w:val="none" w:sz="0" w:space="0" w:color="auto"/>
                          <w:bottom w:val="none" w:sz="0" w:space="0" w:color="auto"/>
                          <w:right w:val="none" w:sz="0" w:space="0" w:color="auto"/>
                        </w:tcBorders>
                        <w:noWrap/>
                        <w:hideMark/>
                      </w:tcPr>
                      <w:p w14:paraId="21D75180" w14:textId="77777777" w:rsidR="00967ECF" w:rsidRPr="0078378F" w:rsidRDefault="00967ECF">
                        <w:pPr>
                          <w:pStyle w:val="TableText"/>
                          <w:rPr>
                            <w:b w:val="0"/>
                          </w:rPr>
                        </w:pPr>
                        <w:r w:rsidRPr="0078378F">
                          <w:rPr>
                            <w:b w:val="0"/>
                          </w:rPr>
                          <w:t>Physical and emotional harm</w:t>
                        </w:r>
                      </w:p>
                    </w:tc>
                    <w:tc>
                      <w:tcPr>
                        <w:tcW w:w="0" w:type="dxa"/>
                        <w:tcBorders>
                          <w:top w:val="none" w:sz="0" w:space="0" w:color="auto"/>
                          <w:bottom w:val="none" w:sz="0" w:space="0" w:color="auto"/>
                        </w:tcBorders>
                        <w:noWrap/>
                        <w:hideMark/>
                      </w:tcPr>
                      <w:p w14:paraId="5C5E4E86" w14:textId="77777777" w:rsidR="00967ECF" w:rsidRPr="00675600" w:rsidRDefault="00967ECF">
                        <w:pPr>
                          <w:pStyle w:val="TableText"/>
                          <w:cnfStyle w:val="000000100000" w:firstRow="0" w:lastRow="0" w:firstColumn="0" w:lastColumn="0" w:oddVBand="0" w:evenVBand="0" w:oddHBand="1" w:evenHBand="0" w:firstRowFirstColumn="0" w:firstRowLastColumn="0" w:lastRowFirstColumn="0" w:lastRowLastColumn="0"/>
                        </w:pPr>
                        <w:r w:rsidRPr="00675600">
                          <w:t>£24,300</w:t>
                        </w:r>
                      </w:p>
                    </w:tc>
                    <w:tc>
                      <w:tcPr>
                        <w:tcW w:w="0" w:type="dxa"/>
                        <w:tcBorders>
                          <w:top w:val="none" w:sz="0" w:space="0" w:color="auto"/>
                          <w:bottom w:val="none" w:sz="0" w:space="0" w:color="auto"/>
                        </w:tcBorders>
                        <w:noWrap/>
                        <w:hideMark/>
                      </w:tcPr>
                      <w:p w14:paraId="28F75F45" w14:textId="77777777" w:rsidR="00967ECF" w:rsidRPr="00675600" w:rsidRDefault="00967ECF">
                        <w:pPr>
                          <w:pStyle w:val="TableText"/>
                          <w:cnfStyle w:val="000000100000" w:firstRow="0" w:lastRow="0" w:firstColumn="0" w:lastColumn="0" w:oddVBand="0" w:evenVBand="0" w:oddHBand="1" w:evenHBand="0" w:firstRowFirstColumn="0" w:firstRowLastColumn="0" w:lastRowFirstColumn="0" w:lastRowLastColumn="0"/>
                        </w:pPr>
                        <w:r w:rsidRPr="00675600">
                          <w:t>$41,426</w:t>
                        </w:r>
                      </w:p>
                    </w:tc>
                    <w:tc>
                      <w:tcPr>
                        <w:tcW w:w="0" w:type="dxa"/>
                        <w:tcBorders>
                          <w:top w:val="none" w:sz="0" w:space="0" w:color="auto"/>
                          <w:bottom w:val="none" w:sz="0" w:space="0" w:color="auto"/>
                        </w:tcBorders>
                        <w:noWrap/>
                        <w:hideMark/>
                      </w:tcPr>
                      <w:p w14:paraId="350EA5D2" w14:textId="77777777" w:rsidR="00967ECF" w:rsidRPr="00675600" w:rsidRDefault="00967ECF">
                        <w:pPr>
                          <w:pStyle w:val="TableText"/>
                          <w:cnfStyle w:val="000000100000" w:firstRow="0" w:lastRow="0" w:firstColumn="0" w:lastColumn="0" w:oddVBand="0" w:evenVBand="0" w:oddHBand="1" w:evenHBand="0" w:firstRowFirstColumn="0" w:firstRowLastColumn="0" w:lastRowFirstColumn="0" w:lastRowLastColumn="0"/>
                        </w:pPr>
                        <w:r w:rsidRPr="00675600">
                          <w:t>$48,336.73</w:t>
                        </w:r>
                      </w:p>
                    </w:tc>
                    <w:tc>
                      <w:tcPr>
                        <w:tcW w:w="0" w:type="dxa"/>
                        <w:tcBorders>
                          <w:top w:val="none" w:sz="0" w:space="0" w:color="auto"/>
                          <w:bottom w:val="none" w:sz="0" w:space="0" w:color="auto"/>
                        </w:tcBorders>
                        <w:noWrap/>
                        <w:hideMark/>
                      </w:tcPr>
                      <w:p w14:paraId="0DFC3545" w14:textId="77777777" w:rsidR="00967ECF" w:rsidRPr="00675600" w:rsidRDefault="00967ECF">
                        <w:pPr>
                          <w:pStyle w:val="TableText"/>
                          <w:cnfStyle w:val="000000100000" w:firstRow="0" w:lastRow="0" w:firstColumn="0" w:lastColumn="0" w:oddVBand="0" w:evenVBand="0" w:oddHBand="1" w:evenHBand="0" w:firstRowFirstColumn="0" w:firstRowLastColumn="0" w:lastRowFirstColumn="0" w:lastRowLastColumn="0"/>
                        </w:pPr>
                        <w:r w:rsidRPr="00675600">
                          <w:t>71%</w:t>
                        </w:r>
                      </w:p>
                    </w:tc>
                  </w:tr>
                  <w:tr w:rsidR="00680B14" w:rsidRPr="00675600" w14:paraId="7384E756" w14:textId="77777777" w:rsidTr="0078378F">
                    <w:trPr>
                      <w:trHeight w:val="278"/>
                    </w:trPr>
                    <w:tc>
                      <w:tcPr>
                        <w:cnfStyle w:val="001000000000" w:firstRow="0" w:lastRow="0" w:firstColumn="1" w:lastColumn="0" w:oddVBand="0" w:evenVBand="0" w:oddHBand="0" w:evenHBand="0" w:firstRowFirstColumn="0" w:firstRowLastColumn="0" w:lastRowFirstColumn="0" w:lastRowLastColumn="0"/>
                        <w:tcW w:w="0" w:type="dxa"/>
                        <w:tcBorders>
                          <w:right w:val="none" w:sz="0" w:space="0" w:color="auto"/>
                        </w:tcBorders>
                        <w:noWrap/>
                        <w:hideMark/>
                      </w:tcPr>
                      <w:p w14:paraId="18311904" w14:textId="77777777" w:rsidR="00967ECF" w:rsidRPr="0078378F" w:rsidRDefault="00967ECF">
                        <w:pPr>
                          <w:pStyle w:val="TableText"/>
                          <w:rPr>
                            <w:b w:val="0"/>
                          </w:rPr>
                        </w:pPr>
                        <w:r w:rsidRPr="0078378F">
                          <w:rPr>
                            <w:b w:val="0"/>
                          </w:rPr>
                          <w:t>Lost output</w:t>
                        </w:r>
                      </w:p>
                    </w:tc>
                    <w:tc>
                      <w:tcPr>
                        <w:tcW w:w="0" w:type="dxa"/>
                        <w:noWrap/>
                        <w:hideMark/>
                      </w:tcPr>
                      <w:p w14:paraId="2E995DBC" w14:textId="77777777" w:rsidR="00967ECF" w:rsidRPr="00675600" w:rsidRDefault="00967ECF">
                        <w:pPr>
                          <w:pStyle w:val="TableText"/>
                          <w:cnfStyle w:val="000000000000" w:firstRow="0" w:lastRow="0" w:firstColumn="0" w:lastColumn="0" w:oddVBand="0" w:evenVBand="0" w:oddHBand="0" w:evenHBand="0" w:firstRowFirstColumn="0" w:firstRowLastColumn="0" w:lastRowFirstColumn="0" w:lastRowLastColumn="0"/>
                        </w:pPr>
                        <w:r w:rsidRPr="00675600">
                          <w:t>£7,245</w:t>
                        </w:r>
                      </w:p>
                    </w:tc>
                    <w:tc>
                      <w:tcPr>
                        <w:tcW w:w="0" w:type="dxa"/>
                        <w:noWrap/>
                        <w:hideMark/>
                      </w:tcPr>
                      <w:p w14:paraId="4CADC060" w14:textId="77777777" w:rsidR="00967ECF" w:rsidRPr="00675600" w:rsidRDefault="00967ECF">
                        <w:pPr>
                          <w:pStyle w:val="TableText"/>
                          <w:cnfStyle w:val="000000000000" w:firstRow="0" w:lastRow="0" w:firstColumn="0" w:lastColumn="0" w:oddVBand="0" w:evenVBand="0" w:oddHBand="0" w:evenHBand="0" w:firstRowFirstColumn="0" w:firstRowLastColumn="0" w:lastRowFirstColumn="0" w:lastRowLastColumn="0"/>
                        </w:pPr>
                        <w:r w:rsidRPr="00675600">
                          <w:t>$12,351</w:t>
                        </w:r>
                      </w:p>
                    </w:tc>
                    <w:tc>
                      <w:tcPr>
                        <w:tcW w:w="0" w:type="dxa"/>
                        <w:noWrap/>
                        <w:hideMark/>
                      </w:tcPr>
                      <w:p w14:paraId="40B9FCDD" w14:textId="77777777" w:rsidR="00967ECF" w:rsidRPr="00675600" w:rsidRDefault="00967ECF">
                        <w:pPr>
                          <w:pStyle w:val="TableText"/>
                          <w:cnfStyle w:val="000000000000" w:firstRow="0" w:lastRow="0" w:firstColumn="0" w:lastColumn="0" w:oddVBand="0" w:evenVBand="0" w:oddHBand="0" w:evenHBand="0" w:firstRowFirstColumn="0" w:firstRowLastColumn="0" w:lastRowFirstColumn="0" w:lastRowLastColumn="0"/>
                        </w:pPr>
                        <w:r w:rsidRPr="00675600">
                          <w:t>$14,411.51</w:t>
                        </w:r>
                      </w:p>
                    </w:tc>
                    <w:tc>
                      <w:tcPr>
                        <w:tcW w:w="0" w:type="dxa"/>
                        <w:noWrap/>
                        <w:hideMark/>
                      </w:tcPr>
                      <w:p w14:paraId="3A2689E5" w14:textId="77777777" w:rsidR="00967ECF" w:rsidRPr="00675600" w:rsidRDefault="00967ECF">
                        <w:pPr>
                          <w:pStyle w:val="TableText"/>
                          <w:cnfStyle w:val="000000000000" w:firstRow="0" w:lastRow="0" w:firstColumn="0" w:lastColumn="0" w:oddVBand="0" w:evenVBand="0" w:oddHBand="0" w:evenHBand="0" w:firstRowFirstColumn="0" w:firstRowLastColumn="0" w:lastRowFirstColumn="0" w:lastRowLastColumn="0"/>
                        </w:pPr>
                        <w:r w:rsidRPr="00675600">
                          <w:t>21%</w:t>
                        </w:r>
                      </w:p>
                    </w:tc>
                  </w:tr>
                  <w:tr w:rsidR="00967ECF" w:rsidRPr="00675600" w14:paraId="2F6469A1" w14:textId="77777777" w:rsidTr="0078378F">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0" w:type="dxa"/>
                        <w:tcBorders>
                          <w:top w:val="none" w:sz="0" w:space="0" w:color="auto"/>
                          <w:bottom w:val="none" w:sz="0" w:space="0" w:color="auto"/>
                          <w:right w:val="none" w:sz="0" w:space="0" w:color="auto"/>
                        </w:tcBorders>
                        <w:noWrap/>
                        <w:hideMark/>
                      </w:tcPr>
                      <w:p w14:paraId="4CABC394" w14:textId="77777777" w:rsidR="00967ECF" w:rsidRPr="0078378F" w:rsidRDefault="00967ECF">
                        <w:pPr>
                          <w:pStyle w:val="TableText"/>
                          <w:rPr>
                            <w:b w:val="0"/>
                          </w:rPr>
                        </w:pPr>
                        <w:r w:rsidRPr="0078378F">
                          <w:rPr>
                            <w:b w:val="0"/>
                          </w:rPr>
                          <w:t>Health services</w:t>
                        </w:r>
                      </w:p>
                    </w:tc>
                    <w:tc>
                      <w:tcPr>
                        <w:tcW w:w="0" w:type="dxa"/>
                        <w:tcBorders>
                          <w:top w:val="none" w:sz="0" w:space="0" w:color="auto"/>
                          <w:bottom w:val="none" w:sz="0" w:space="0" w:color="auto"/>
                        </w:tcBorders>
                        <w:noWrap/>
                        <w:hideMark/>
                      </w:tcPr>
                      <w:p w14:paraId="747AEFFC" w14:textId="77777777" w:rsidR="00967ECF" w:rsidRPr="00675600" w:rsidRDefault="00967ECF">
                        <w:pPr>
                          <w:pStyle w:val="TableText"/>
                          <w:cnfStyle w:val="000000100000" w:firstRow="0" w:lastRow="0" w:firstColumn="0" w:lastColumn="0" w:oddVBand="0" w:evenVBand="0" w:oddHBand="1" w:evenHBand="0" w:firstRowFirstColumn="0" w:firstRowLastColumn="0" w:lastRowFirstColumn="0" w:lastRowLastColumn="0"/>
                        </w:pPr>
                        <w:r w:rsidRPr="00675600">
                          <w:t>£1,200</w:t>
                        </w:r>
                      </w:p>
                    </w:tc>
                    <w:tc>
                      <w:tcPr>
                        <w:tcW w:w="0" w:type="dxa"/>
                        <w:tcBorders>
                          <w:top w:val="none" w:sz="0" w:space="0" w:color="auto"/>
                          <w:bottom w:val="none" w:sz="0" w:space="0" w:color="auto"/>
                        </w:tcBorders>
                        <w:noWrap/>
                        <w:hideMark/>
                      </w:tcPr>
                      <w:p w14:paraId="2B5593FA" w14:textId="77777777" w:rsidR="00967ECF" w:rsidRPr="00675600" w:rsidRDefault="00967ECF">
                        <w:pPr>
                          <w:pStyle w:val="TableText"/>
                          <w:cnfStyle w:val="000000100000" w:firstRow="0" w:lastRow="0" w:firstColumn="0" w:lastColumn="0" w:oddVBand="0" w:evenVBand="0" w:oddHBand="1" w:evenHBand="0" w:firstRowFirstColumn="0" w:firstRowLastColumn="0" w:lastRowFirstColumn="0" w:lastRowLastColumn="0"/>
                        </w:pPr>
                        <w:r w:rsidRPr="00675600">
                          <w:t>$2,046</w:t>
                        </w:r>
                      </w:p>
                    </w:tc>
                    <w:tc>
                      <w:tcPr>
                        <w:tcW w:w="0" w:type="dxa"/>
                        <w:tcBorders>
                          <w:top w:val="none" w:sz="0" w:space="0" w:color="auto"/>
                          <w:bottom w:val="none" w:sz="0" w:space="0" w:color="auto"/>
                        </w:tcBorders>
                        <w:noWrap/>
                        <w:hideMark/>
                      </w:tcPr>
                      <w:p w14:paraId="0D1ABA5C" w14:textId="77777777" w:rsidR="00967ECF" w:rsidRPr="00675600" w:rsidRDefault="00967ECF">
                        <w:pPr>
                          <w:pStyle w:val="TableText"/>
                          <w:cnfStyle w:val="000000100000" w:firstRow="0" w:lastRow="0" w:firstColumn="0" w:lastColumn="0" w:oddVBand="0" w:evenVBand="0" w:oddHBand="1" w:evenHBand="0" w:firstRowFirstColumn="0" w:firstRowLastColumn="0" w:lastRowFirstColumn="0" w:lastRowLastColumn="0"/>
                        </w:pPr>
                        <w:r w:rsidRPr="00675600">
                          <w:t>$2,387.00</w:t>
                        </w:r>
                      </w:p>
                    </w:tc>
                    <w:tc>
                      <w:tcPr>
                        <w:tcW w:w="0" w:type="dxa"/>
                        <w:tcBorders>
                          <w:top w:val="none" w:sz="0" w:space="0" w:color="auto"/>
                          <w:bottom w:val="none" w:sz="0" w:space="0" w:color="auto"/>
                        </w:tcBorders>
                        <w:noWrap/>
                        <w:hideMark/>
                      </w:tcPr>
                      <w:p w14:paraId="556C1B69" w14:textId="77777777" w:rsidR="00967ECF" w:rsidRPr="00675600" w:rsidRDefault="00967ECF">
                        <w:pPr>
                          <w:pStyle w:val="TableText"/>
                          <w:cnfStyle w:val="000000100000" w:firstRow="0" w:lastRow="0" w:firstColumn="0" w:lastColumn="0" w:oddVBand="0" w:evenVBand="0" w:oddHBand="1" w:evenHBand="0" w:firstRowFirstColumn="0" w:firstRowLastColumn="0" w:lastRowFirstColumn="0" w:lastRowLastColumn="0"/>
                        </w:pPr>
                        <w:r w:rsidRPr="00675600">
                          <w:t>4%</w:t>
                        </w:r>
                      </w:p>
                    </w:tc>
                  </w:tr>
                  <w:tr w:rsidR="00680B14" w:rsidRPr="00675600" w14:paraId="74A02E6E" w14:textId="77777777" w:rsidTr="0078378F">
                    <w:trPr>
                      <w:trHeight w:val="278"/>
                    </w:trPr>
                    <w:tc>
                      <w:tcPr>
                        <w:cnfStyle w:val="001000000000" w:firstRow="0" w:lastRow="0" w:firstColumn="1" w:lastColumn="0" w:oddVBand="0" w:evenVBand="0" w:oddHBand="0" w:evenHBand="0" w:firstRowFirstColumn="0" w:firstRowLastColumn="0" w:lastRowFirstColumn="0" w:lastRowLastColumn="0"/>
                        <w:tcW w:w="0" w:type="dxa"/>
                        <w:tcBorders>
                          <w:right w:val="none" w:sz="0" w:space="0" w:color="auto"/>
                        </w:tcBorders>
                        <w:noWrap/>
                        <w:hideMark/>
                      </w:tcPr>
                      <w:p w14:paraId="3A352134" w14:textId="77777777" w:rsidR="00967ECF" w:rsidRPr="0078378F" w:rsidRDefault="00967ECF">
                        <w:pPr>
                          <w:pStyle w:val="TableText"/>
                          <w:rPr>
                            <w:b w:val="0"/>
                          </w:rPr>
                        </w:pPr>
                        <w:r w:rsidRPr="0078378F">
                          <w:rPr>
                            <w:b w:val="0"/>
                          </w:rPr>
                          <w:t>Victim services</w:t>
                        </w:r>
                      </w:p>
                    </w:tc>
                    <w:tc>
                      <w:tcPr>
                        <w:tcW w:w="0" w:type="dxa"/>
                        <w:noWrap/>
                        <w:hideMark/>
                      </w:tcPr>
                      <w:p w14:paraId="234787F5" w14:textId="77777777" w:rsidR="00967ECF" w:rsidRPr="00675600" w:rsidRDefault="00967ECF">
                        <w:pPr>
                          <w:pStyle w:val="TableText"/>
                          <w:cnfStyle w:val="000000000000" w:firstRow="0" w:lastRow="0" w:firstColumn="0" w:lastColumn="0" w:oddVBand="0" w:evenVBand="0" w:oddHBand="0" w:evenHBand="0" w:firstRowFirstColumn="0" w:firstRowLastColumn="0" w:lastRowFirstColumn="0" w:lastRowLastColumn="0"/>
                        </w:pPr>
                        <w:r w:rsidRPr="00675600">
                          <w:t>£370</w:t>
                        </w:r>
                      </w:p>
                    </w:tc>
                    <w:tc>
                      <w:tcPr>
                        <w:tcW w:w="0" w:type="dxa"/>
                        <w:noWrap/>
                        <w:hideMark/>
                      </w:tcPr>
                      <w:p w14:paraId="0A378119" w14:textId="77777777" w:rsidR="00967ECF" w:rsidRPr="00675600" w:rsidRDefault="00967ECF">
                        <w:pPr>
                          <w:pStyle w:val="TableText"/>
                          <w:cnfStyle w:val="000000000000" w:firstRow="0" w:lastRow="0" w:firstColumn="0" w:lastColumn="0" w:oddVBand="0" w:evenVBand="0" w:oddHBand="0" w:evenHBand="0" w:firstRowFirstColumn="0" w:firstRowLastColumn="0" w:lastRowFirstColumn="0" w:lastRowLastColumn="0"/>
                        </w:pPr>
                        <w:r w:rsidRPr="00675600">
                          <w:t>$631</w:t>
                        </w:r>
                      </w:p>
                    </w:tc>
                    <w:tc>
                      <w:tcPr>
                        <w:tcW w:w="0" w:type="dxa"/>
                        <w:noWrap/>
                        <w:hideMark/>
                      </w:tcPr>
                      <w:p w14:paraId="0E604D50" w14:textId="77777777" w:rsidR="00967ECF" w:rsidRPr="00675600" w:rsidRDefault="00967ECF">
                        <w:pPr>
                          <w:pStyle w:val="TableText"/>
                          <w:cnfStyle w:val="000000000000" w:firstRow="0" w:lastRow="0" w:firstColumn="0" w:lastColumn="0" w:oddVBand="0" w:evenVBand="0" w:oddHBand="0" w:evenHBand="0" w:firstRowFirstColumn="0" w:firstRowLastColumn="0" w:lastRowFirstColumn="0" w:lastRowLastColumn="0"/>
                        </w:pPr>
                        <w:r w:rsidRPr="00675600">
                          <w:t>$735.99</w:t>
                        </w:r>
                      </w:p>
                    </w:tc>
                    <w:tc>
                      <w:tcPr>
                        <w:tcW w:w="0" w:type="dxa"/>
                        <w:noWrap/>
                        <w:hideMark/>
                      </w:tcPr>
                      <w:p w14:paraId="1F82B681" w14:textId="77777777" w:rsidR="00967ECF" w:rsidRPr="00675600" w:rsidRDefault="00967ECF">
                        <w:pPr>
                          <w:pStyle w:val="TableText"/>
                          <w:cnfStyle w:val="000000000000" w:firstRow="0" w:lastRow="0" w:firstColumn="0" w:lastColumn="0" w:oddVBand="0" w:evenVBand="0" w:oddHBand="0" w:evenHBand="0" w:firstRowFirstColumn="0" w:firstRowLastColumn="0" w:lastRowFirstColumn="0" w:lastRowLastColumn="0"/>
                        </w:pPr>
                        <w:r w:rsidRPr="00675600">
                          <w:t>1%</w:t>
                        </w:r>
                      </w:p>
                    </w:tc>
                  </w:tr>
                  <w:tr w:rsidR="00967ECF" w:rsidRPr="00675600" w14:paraId="446009F1" w14:textId="77777777" w:rsidTr="0078378F">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0" w:type="dxa"/>
                        <w:tcBorders>
                          <w:top w:val="none" w:sz="0" w:space="0" w:color="auto"/>
                          <w:bottom w:val="none" w:sz="0" w:space="0" w:color="auto"/>
                          <w:right w:val="none" w:sz="0" w:space="0" w:color="auto"/>
                        </w:tcBorders>
                        <w:noWrap/>
                        <w:hideMark/>
                      </w:tcPr>
                      <w:p w14:paraId="40221B4F" w14:textId="77777777" w:rsidR="00967ECF" w:rsidRPr="0078378F" w:rsidRDefault="00967ECF">
                        <w:pPr>
                          <w:pStyle w:val="TableText"/>
                          <w:rPr>
                            <w:b w:val="0"/>
                          </w:rPr>
                        </w:pPr>
                        <w:r w:rsidRPr="0078378F">
                          <w:rPr>
                            <w:b w:val="0"/>
                          </w:rPr>
                          <w:t>Police costs</w:t>
                        </w:r>
                      </w:p>
                    </w:tc>
                    <w:tc>
                      <w:tcPr>
                        <w:tcW w:w="0" w:type="dxa"/>
                        <w:tcBorders>
                          <w:top w:val="none" w:sz="0" w:space="0" w:color="auto"/>
                          <w:bottom w:val="none" w:sz="0" w:space="0" w:color="auto"/>
                        </w:tcBorders>
                        <w:noWrap/>
                        <w:hideMark/>
                      </w:tcPr>
                      <w:p w14:paraId="777E8E85" w14:textId="77777777" w:rsidR="00967ECF" w:rsidRPr="00675600" w:rsidRDefault="00967ECF">
                        <w:pPr>
                          <w:pStyle w:val="TableText"/>
                          <w:cnfStyle w:val="000000100000" w:firstRow="0" w:lastRow="0" w:firstColumn="0" w:lastColumn="0" w:oddVBand="0" w:evenVBand="0" w:oddHBand="1" w:evenHBand="0" w:firstRowFirstColumn="0" w:firstRowLastColumn="0" w:lastRowFirstColumn="0" w:lastRowLastColumn="0"/>
                        </w:pPr>
                        <w:r w:rsidRPr="00675600">
                          <w:t>£645</w:t>
                        </w:r>
                      </w:p>
                    </w:tc>
                    <w:tc>
                      <w:tcPr>
                        <w:tcW w:w="0" w:type="dxa"/>
                        <w:tcBorders>
                          <w:top w:val="none" w:sz="0" w:space="0" w:color="auto"/>
                          <w:bottom w:val="none" w:sz="0" w:space="0" w:color="auto"/>
                        </w:tcBorders>
                        <w:noWrap/>
                        <w:hideMark/>
                      </w:tcPr>
                      <w:p w14:paraId="4D2E88F0" w14:textId="77777777" w:rsidR="00967ECF" w:rsidRPr="00675600" w:rsidRDefault="00967ECF">
                        <w:pPr>
                          <w:pStyle w:val="TableText"/>
                          <w:cnfStyle w:val="000000100000" w:firstRow="0" w:lastRow="0" w:firstColumn="0" w:lastColumn="0" w:oddVBand="0" w:evenVBand="0" w:oddHBand="1" w:evenHBand="0" w:firstRowFirstColumn="0" w:firstRowLastColumn="0" w:lastRowFirstColumn="0" w:lastRowLastColumn="0"/>
                        </w:pPr>
                        <w:r w:rsidRPr="00675600">
                          <w:t>$1,100</w:t>
                        </w:r>
                      </w:p>
                    </w:tc>
                    <w:tc>
                      <w:tcPr>
                        <w:tcW w:w="0" w:type="dxa"/>
                        <w:tcBorders>
                          <w:top w:val="none" w:sz="0" w:space="0" w:color="auto"/>
                          <w:bottom w:val="none" w:sz="0" w:space="0" w:color="auto"/>
                        </w:tcBorders>
                        <w:noWrap/>
                        <w:hideMark/>
                      </w:tcPr>
                      <w:p w14:paraId="0D484C83" w14:textId="77777777" w:rsidR="00967ECF" w:rsidRPr="00675600" w:rsidRDefault="00967ECF">
                        <w:pPr>
                          <w:pStyle w:val="TableText"/>
                          <w:cnfStyle w:val="000000100000" w:firstRow="0" w:lastRow="0" w:firstColumn="0" w:lastColumn="0" w:oddVBand="0" w:evenVBand="0" w:oddHBand="1" w:evenHBand="0" w:firstRowFirstColumn="0" w:firstRowLastColumn="0" w:lastRowFirstColumn="0" w:lastRowLastColumn="0"/>
                        </w:pPr>
                        <w:r w:rsidRPr="00675600">
                          <w:t>$1,283.01</w:t>
                        </w:r>
                      </w:p>
                    </w:tc>
                    <w:tc>
                      <w:tcPr>
                        <w:tcW w:w="0" w:type="dxa"/>
                        <w:tcBorders>
                          <w:top w:val="none" w:sz="0" w:space="0" w:color="auto"/>
                          <w:bottom w:val="none" w:sz="0" w:space="0" w:color="auto"/>
                        </w:tcBorders>
                        <w:noWrap/>
                        <w:hideMark/>
                      </w:tcPr>
                      <w:p w14:paraId="29ABF197" w14:textId="77777777" w:rsidR="00967ECF" w:rsidRPr="00675600" w:rsidRDefault="00967ECF">
                        <w:pPr>
                          <w:pStyle w:val="TableText"/>
                          <w:cnfStyle w:val="000000100000" w:firstRow="0" w:lastRow="0" w:firstColumn="0" w:lastColumn="0" w:oddVBand="0" w:evenVBand="0" w:oddHBand="1" w:evenHBand="0" w:firstRowFirstColumn="0" w:firstRowLastColumn="0" w:lastRowFirstColumn="0" w:lastRowLastColumn="0"/>
                        </w:pPr>
                        <w:r w:rsidRPr="00675600">
                          <w:t>2%</w:t>
                        </w:r>
                      </w:p>
                    </w:tc>
                  </w:tr>
                  <w:tr w:rsidR="00680B14" w:rsidRPr="00675600" w14:paraId="235CED44" w14:textId="77777777" w:rsidTr="0078378F">
                    <w:trPr>
                      <w:trHeight w:val="278"/>
                    </w:trPr>
                    <w:tc>
                      <w:tcPr>
                        <w:cnfStyle w:val="001000000000" w:firstRow="0" w:lastRow="0" w:firstColumn="1" w:lastColumn="0" w:oddVBand="0" w:evenVBand="0" w:oddHBand="0" w:evenHBand="0" w:firstRowFirstColumn="0" w:firstRowLastColumn="0" w:lastRowFirstColumn="0" w:lastRowLastColumn="0"/>
                        <w:tcW w:w="0" w:type="dxa"/>
                        <w:tcBorders>
                          <w:right w:val="none" w:sz="0" w:space="0" w:color="auto"/>
                        </w:tcBorders>
                        <w:noWrap/>
                        <w:hideMark/>
                      </w:tcPr>
                      <w:p w14:paraId="336A4575" w14:textId="77777777" w:rsidR="00967ECF" w:rsidRPr="0078378F" w:rsidRDefault="00967ECF">
                        <w:pPr>
                          <w:pStyle w:val="TableText"/>
                          <w:rPr>
                            <w:b w:val="0"/>
                          </w:rPr>
                        </w:pPr>
                        <w:r w:rsidRPr="0078378F">
                          <w:rPr>
                            <w:b w:val="0"/>
                          </w:rPr>
                          <w:t>Criminal legal</w:t>
                        </w:r>
                      </w:p>
                    </w:tc>
                    <w:tc>
                      <w:tcPr>
                        <w:tcW w:w="0" w:type="dxa"/>
                        <w:noWrap/>
                        <w:hideMark/>
                      </w:tcPr>
                      <w:p w14:paraId="0EF76A5B" w14:textId="77777777" w:rsidR="00967ECF" w:rsidRPr="00675600" w:rsidRDefault="00967ECF">
                        <w:pPr>
                          <w:pStyle w:val="TableText"/>
                          <w:cnfStyle w:val="000000000000" w:firstRow="0" w:lastRow="0" w:firstColumn="0" w:lastColumn="0" w:oddVBand="0" w:evenVBand="0" w:oddHBand="0" w:evenHBand="0" w:firstRowFirstColumn="0" w:firstRowLastColumn="0" w:lastRowFirstColumn="0" w:lastRowLastColumn="0"/>
                        </w:pPr>
                        <w:r w:rsidRPr="00675600">
                          <w:t>£170</w:t>
                        </w:r>
                      </w:p>
                    </w:tc>
                    <w:tc>
                      <w:tcPr>
                        <w:tcW w:w="0" w:type="dxa"/>
                        <w:noWrap/>
                        <w:hideMark/>
                      </w:tcPr>
                      <w:p w14:paraId="44B7D829" w14:textId="77777777" w:rsidR="00967ECF" w:rsidRPr="00675600" w:rsidRDefault="00967ECF">
                        <w:pPr>
                          <w:pStyle w:val="TableText"/>
                          <w:cnfStyle w:val="000000000000" w:firstRow="0" w:lastRow="0" w:firstColumn="0" w:lastColumn="0" w:oddVBand="0" w:evenVBand="0" w:oddHBand="0" w:evenHBand="0" w:firstRowFirstColumn="0" w:firstRowLastColumn="0" w:lastRowFirstColumn="0" w:lastRowLastColumn="0"/>
                        </w:pPr>
                        <w:r w:rsidRPr="00675600">
                          <w:t>$290</w:t>
                        </w:r>
                      </w:p>
                    </w:tc>
                    <w:tc>
                      <w:tcPr>
                        <w:tcW w:w="0" w:type="dxa"/>
                        <w:noWrap/>
                        <w:hideMark/>
                      </w:tcPr>
                      <w:p w14:paraId="5BEC7216" w14:textId="77777777" w:rsidR="00967ECF" w:rsidRPr="00675600" w:rsidRDefault="00967ECF">
                        <w:pPr>
                          <w:pStyle w:val="TableText"/>
                          <w:cnfStyle w:val="000000000000" w:firstRow="0" w:lastRow="0" w:firstColumn="0" w:lastColumn="0" w:oddVBand="0" w:evenVBand="0" w:oddHBand="0" w:evenHBand="0" w:firstRowFirstColumn="0" w:firstRowLastColumn="0" w:lastRowFirstColumn="0" w:lastRowLastColumn="0"/>
                        </w:pPr>
                        <w:r w:rsidRPr="00675600">
                          <w:t>$338.16</w:t>
                        </w:r>
                      </w:p>
                    </w:tc>
                    <w:tc>
                      <w:tcPr>
                        <w:tcW w:w="0" w:type="dxa"/>
                        <w:noWrap/>
                        <w:hideMark/>
                      </w:tcPr>
                      <w:p w14:paraId="18E1A3FD" w14:textId="77777777" w:rsidR="00967ECF" w:rsidRPr="00675600" w:rsidRDefault="00967ECF">
                        <w:pPr>
                          <w:pStyle w:val="TableText"/>
                          <w:cnfStyle w:val="000000000000" w:firstRow="0" w:lastRow="0" w:firstColumn="0" w:lastColumn="0" w:oddVBand="0" w:evenVBand="0" w:oddHBand="0" w:evenHBand="0" w:firstRowFirstColumn="0" w:firstRowLastColumn="0" w:lastRowFirstColumn="0" w:lastRowLastColumn="0"/>
                        </w:pPr>
                        <w:r w:rsidRPr="00675600">
                          <w:t>0%</w:t>
                        </w:r>
                      </w:p>
                    </w:tc>
                  </w:tr>
                  <w:tr w:rsidR="00967ECF" w:rsidRPr="00675600" w14:paraId="66CC6957" w14:textId="77777777" w:rsidTr="0078378F">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0" w:type="dxa"/>
                        <w:tcBorders>
                          <w:top w:val="none" w:sz="0" w:space="0" w:color="auto"/>
                          <w:bottom w:val="none" w:sz="0" w:space="0" w:color="auto"/>
                          <w:right w:val="none" w:sz="0" w:space="0" w:color="auto"/>
                        </w:tcBorders>
                        <w:noWrap/>
                        <w:hideMark/>
                      </w:tcPr>
                      <w:p w14:paraId="3F0700B3" w14:textId="77777777" w:rsidR="00967ECF" w:rsidRPr="0078378F" w:rsidRDefault="00967ECF">
                        <w:pPr>
                          <w:pStyle w:val="TableText"/>
                          <w:rPr>
                            <w:b w:val="0"/>
                          </w:rPr>
                        </w:pPr>
                        <w:r w:rsidRPr="0078378F">
                          <w:rPr>
                            <w:b w:val="0"/>
                          </w:rPr>
                          <w:t>Civil legal</w:t>
                        </w:r>
                      </w:p>
                    </w:tc>
                    <w:tc>
                      <w:tcPr>
                        <w:tcW w:w="0" w:type="dxa"/>
                        <w:tcBorders>
                          <w:top w:val="none" w:sz="0" w:space="0" w:color="auto"/>
                          <w:bottom w:val="none" w:sz="0" w:space="0" w:color="auto"/>
                        </w:tcBorders>
                        <w:noWrap/>
                        <w:hideMark/>
                      </w:tcPr>
                      <w:p w14:paraId="0AB2B94F" w14:textId="77777777" w:rsidR="00967ECF" w:rsidRPr="00675600" w:rsidRDefault="00967ECF">
                        <w:pPr>
                          <w:pStyle w:val="TableText"/>
                          <w:cnfStyle w:val="000000100000" w:firstRow="0" w:lastRow="0" w:firstColumn="0" w:lastColumn="0" w:oddVBand="0" w:evenVBand="0" w:oddHBand="1" w:evenHBand="0" w:firstRowFirstColumn="0" w:firstRowLastColumn="0" w:lastRowFirstColumn="0" w:lastRowLastColumn="0"/>
                        </w:pPr>
                        <w:r w:rsidRPr="00675600">
                          <w:t>£70</w:t>
                        </w:r>
                      </w:p>
                    </w:tc>
                    <w:tc>
                      <w:tcPr>
                        <w:tcW w:w="0" w:type="dxa"/>
                        <w:tcBorders>
                          <w:top w:val="none" w:sz="0" w:space="0" w:color="auto"/>
                          <w:bottom w:val="none" w:sz="0" w:space="0" w:color="auto"/>
                        </w:tcBorders>
                        <w:noWrap/>
                        <w:hideMark/>
                      </w:tcPr>
                      <w:p w14:paraId="057BBCDB" w14:textId="77777777" w:rsidR="00967ECF" w:rsidRPr="00675600" w:rsidRDefault="00967ECF">
                        <w:pPr>
                          <w:pStyle w:val="TableText"/>
                          <w:cnfStyle w:val="000000100000" w:firstRow="0" w:lastRow="0" w:firstColumn="0" w:lastColumn="0" w:oddVBand="0" w:evenVBand="0" w:oddHBand="1" w:evenHBand="0" w:firstRowFirstColumn="0" w:firstRowLastColumn="0" w:lastRowFirstColumn="0" w:lastRowLastColumn="0"/>
                        </w:pPr>
                        <w:r w:rsidRPr="00675600">
                          <w:t>$119</w:t>
                        </w:r>
                      </w:p>
                    </w:tc>
                    <w:tc>
                      <w:tcPr>
                        <w:tcW w:w="0" w:type="dxa"/>
                        <w:tcBorders>
                          <w:top w:val="none" w:sz="0" w:space="0" w:color="auto"/>
                          <w:bottom w:val="none" w:sz="0" w:space="0" w:color="auto"/>
                        </w:tcBorders>
                        <w:noWrap/>
                        <w:hideMark/>
                      </w:tcPr>
                      <w:p w14:paraId="7708D707" w14:textId="77777777" w:rsidR="00967ECF" w:rsidRPr="00675600" w:rsidRDefault="00967ECF">
                        <w:pPr>
                          <w:pStyle w:val="TableText"/>
                          <w:cnfStyle w:val="000000100000" w:firstRow="0" w:lastRow="0" w:firstColumn="0" w:lastColumn="0" w:oddVBand="0" w:evenVBand="0" w:oddHBand="1" w:evenHBand="0" w:firstRowFirstColumn="0" w:firstRowLastColumn="0" w:lastRowFirstColumn="0" w:lastRowLastColumn="0"/>
                        </w:pPr>
                        <w:r w:rsidRPr="00675600">
                          <w:t>$139.24</w:t>
                        </w:r>
                      </w:p>
                    </w:tc>
                    <w:tc>
                      <w:tcPr>
                        <w:tcW w:w="0" w:type="dxa"/>
                        <w:tcBorders>
                          <w:top w:val="none" w:sz="0" w:space="0" w:color="auto"/>
                          <w:bottom w:val="none" w:sz="0" w:space="0" w:color="auto"/>
                        </w:tcBorders>
                        <w:noWrap/>
                        <w:hideMark/>
                      </w:tcPr>
                      <w:p w14:paraId="292E0D99" w14:textId="77777777" w:rsidR="00967ECF" w:rsidRPr="00675600" w:rsidRDefault="00967ECF">
                        <w:pPr>
                          <w:pStyle w:val="TableText"/>
                          <w:cnfStyle w:val="000000100000" w:firstRow="0" w:lastRow="0" w:firstColumn="0" w:lastColumn="0" w:oddVBand="0" w:evenVBand="0" w:oddHBand="1" w:evenHBand="0" w:firstRowFirstColumn="0" w:firstRowLastColumn="0" w:lastRowFirstColumn="0" w:lastRowLastColumn="0"/>
                        </w:pPr>
                        <w:r w:rsidRPr="00675600">
                          <w:t>0%</w:t>
                        </w:r>
                      </w:p>
                    </w:tc>
                  </w:tr>
                  <w:tr w:rsidR="00680B14" w:rsidRPr="00675600" w14:paraId="11482339" w14:textId="77777777" w:rsidTr="0078378F">
                    <w:trPr>
                      <w:trHeight w:val="278"/>
                    </w:trPr>
                    <w:tc>
                      <w:tcPr>
                        <w:cnfStyle w:val="001000000000" w:firstRow="0" w:lastRow="0" w:firstColumn="1" w:lastColumn="0" w:oddVBand="0" w:evenVBand="0" w:oddHBand="0" w:evenHBand="0" w:firstRowFirstColumn="0" w:firstRowLastColumn="0" w:lastRowFirstColumn="0" w:lastRowLastColumn="0"/>
                        <w:tcW w:w="0" w:type="dxa"/>
                        <w:tcBorders>
                          <w:right w:val="none" w:sz="0" w:space="0" w:color="auto"/>
                        </w:tcBorders>
                        <w:noWrap/>
                        <w:hideMark/>
                      </w:tcPr>
                      <w:p w14:paraId="4AF228BD" w14:textId="77777777" w:rsidR="00967ECF" w:rsidRPr="0078378F" w:rsidRDefault="00967ECF">
                        <w:pPr>
                          <w:pStyle w:val="TableText"/>
                          <w:rPr>
                            <w:b w:val="0"/>
                          </w:rPr>
                        </w:pPr>
                        <w:r w:rsidRPr="0078378F">
                          <w:rPr>
                            <w:b w:val="0"/>
                          </w:rPr>
                          <w:t>Other</w:t>
                        </w:r>
                      </w:p>
                    </w:tc>
                    <w:tc>
                      <w:tcPr>
                        <w:tcW w:w="0" w:type="dxa"/>
                        <w:noWrap/>
                        <w:hideMark/>
                      </w:tcPr>
                      <w:p w14:paraId="4711B759" w14:textId="77777777" w:rsidR="00967ECF" w:rsidRPr="00675600" w:rsidRDefault="00967ECF">
                        <w:pPr>
                          <w:pStyle w:val="TableText"/>
                          <w:cnfStyle w:val="000000000000" w:firstRow="0" w:lastRow="0" w:firstColumn="0" w:lastColumn="0" w:oddVBand="0" w:evenVBand="0" w:oddHBand="0" w:evenHBand="0" w:firstRowFirstColumn="0" w:firstRowLastColumn="0" w:lastRowFirstColumn="0" w:lastRowLastColumn="0"/>
                        </w:pPr>
                        <w:r w:rsidRPr="00675600">
                          <w:t>£15</w:t>
                        </w:r>
                      </w:p>
                    </w:tc>
                    <w:tc>
                      <w:tcPr>
                        <w:tcW w:w="0" w:type="dxa"/>
                        <w:noWrap/>
                        <w:hideMark/>
                      </w:tcPr>
                      <w:p w14:paraId="0DB39F43" w14:textId="77777777" w:rsidR="00967ECF" w:rsidRPr="00675600" w:rsidRDefault="00967ECF">
                        <w:pPr>
                          <w:pStyle w:val="TableText"/>
                          <w:cnfStyle w:val="000000000000" w:firstRow="0" w:lastRow="0" w:firstColumn="0" w:lastColumn="0" w:oddVBand="0" w:evenVBand="0" w:oddHBand="0" w:evenHBand="0" w:firstRowFirstColumn="0" w:firstRowLastColumn="0" w:lastRowFirstColumn="0" w:lastRowLastColumn="0"/>
                        </w:pPr>
                        <w:r w:rsidRPr="00675600">
                          <w:t>$26</w:t>
                        </w:r>
                      </w:p>
                    </w:tc>
                    <w:tc>
                      <w:tcPr>
                        <w:tcW w:w="0" w:type="dxa"/>
                        <w:noWrap/>
                        <w:hideMark/>
                      </w:tcPr>
                      <w:p w14:paraId="3EF17D38" w14:textId="77777777" w:rsidR="00967ECF" w:rsidRPr="00675600" w:rsidRDefault="00967ECF">
                        <w:pPr>
                          <w:pStyle w:val="TableText"/>
                          <w:cnfStyle w:val="000000000000" w:firstRow="0" w:lastRow="0" w:firstColumn="0" w:lastColumn="0" w:oddVBand="0" w:evenVBand="0" w:oddHBand="0" w:evenHBand="0" w:firstRowFirstColumn="0" w:firstRowLastColumn="0" w:lastRowFirstColumn="0" w:lastRowLastColumn="0"/>
                        </w:pPr>
                        <w:r w:rsidRPr="00675600">
                          <w:t>$29.84</w:t>
                        </w:r>
                      </w:p>
                    </w:tc>
                    <w:tc>
                      <w:tcPr>
                        <w:tcW w:w="0" w:type="dxa"/>
                        <w:noWrap/>
                        <w:hideMark/>
                      </w:tcPr>
                      <w:p w14:paraId="515DA9CE" w14:textId="77777777" w:rsidR="00967ECF" w:rsidRPr="00675600" w:rsidRDefault="00967ECF">
                        <w:pPr>
                          <w:pStyle w:val="TableText"/>
                          <w:cnfStyle w:val="000000000000" w:firstRow="0" w:lastRow="0" w:firstColumn="0" w:lastColumn="0" w:oddVBand="0" w:evenVBand="0" w:oddHBand="0" w:evenHBand="0" w:firstRowFirstColumn="0" w:firstRowLastColumn="0" w:lastRowFirstColumn="0" w:lastRowLastColumn="0"/>
                        </w:pPr>
                        <w:r w:rsidRPr="00675600">
                          <w:t>0%</w:t>
                        </w:r>
                      </w:p>
                    </w:tc>
                  </w:tr>
                  <w:tr w:rsidR="00967ECF" w:rsidRPr="00675600" w14:paraId="4EDB0992" w14:textId="77777777" w:rsidTr="0078378F">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0" w:type="dxa"/>
                        <w:tcBorders>
                          <w:top w:val="none" w:sz="0" w:space="0" w:color="auto"/>
                          <w:bottom w:val="none" w:sz="0" w:space="0" w:color="auto"/>
                          <w:right w:val="none" w:sz="0" w:space="0" w:color="auto"/>
                        </w:tcBorders>
                        <w:noWrap/>
                        <w:hideMark/>
                      </w:tcPr>
                      <w:p w14:paraId="177BFDF4" w14:textId="77777777" w:rsidR="00967ECF" w:rsidRPr="00675600" w:rsidRDefault="00967ECF">
                        <w:pPr>
                          <w:pStyle w:val="TableText"/>
                        </w:pPr>
                        <w:r w:rsidRPr="00675600">
                          <w:t>Total</w:t>
                        </w:r>
                      </w:p>
                    </w:tc>
                    <w:tc>
                      <w:tcPr>
                        <w:tcW w:w="0" w:type="dxa"/>
                        <w:tcBorders>
                          <w:top w:val="none" w:sz="0" w:space="0" w:color="auto"/>
                          <w:bottom w:val="none" w:sz="0" w:space="0" w:color="auto"/>
                        </w:tcBorders>
                        <w:noWrap/>
                        <w:hideMark/>
                      </w:tcPr>
                      <w:p w14:paraId="0ACA2E9E" w14:textId="77777777" w:rsidR="00967ECF" w:rsidRPr="0078378F" w:rsidRDefault="00967ECF">
                        <w:pPr>
                          <w:pStyle w:val="TableText"/>
                          <w:cnfStyle w:val="000000100000" w:firstRow="0" w:lastRow="0" w:firstColumn="0" w:lastColumn="0" w:oddVBand="0" w:evenVBand="0" w:oddHBand="1" w:evenHBand="0" w:firstRowFirstColumn="0" w:firstRowLastColumn="0" w:lastRowFirstColumn="0" w:lastRowLastColumn="0"/>
                          <w:rPr>
                            <w:b/>
                            <w:bCs/>
                          </w:rPr>
                        </w:pPr>
                        <w:r w:rsidRPr="0078378F">
                          <w:rPr>
                            <w:b/>
                            <w:bCs/>
                          </w:rPr>
                          <w:t>£34,015</w:t>
                        </w:r>
                      </w:p>
                    </w:tc>
                    <w:tc>
                      <w:tcPr>
                        <w:tcW w:w="0" w:type="dxa"/>
                        <w:tcBorders>
                          <w:top w:val="none" w:sz="0" w:space="0" w:color="auto"/>
                          <w:bottom w:val="none" w:sz="0" w:space="0" w:color="auto"/>
                        </w:tcBorders>
                        <w:noWrap/>
                        <w:hideMark/>
                      </w:tcPr>
                      <w:p w14:paraId="096B26FD" w14:textId="77777777" w:rsidR="00967ECF" w:rsidRPr="0078378F" w:rsidRDefault="00967ECF">
                        <w:pPr>
                          <w:pStyle w:val="TableText"/>
                          <w:cnfStyle w:val="000000100000" w:firstRow="0" w:lastRow="0" w:firstColumn="0" w:lastColumn="0" w:oddVBand="0" w:evenVBand="0" w:oddHBand="1" w:evenHBand="0" w:firstRowFirstColumn="0" w:firstRowLastColumn="0" w:lastRowFirstColumn="0" w:lastRowLastColumn="0"/>
                          <w:rPr>
                            <w:b/>
                            <w:bCs/>
                          </w:rPr>
                        </w:pPr>
                        <w:r w:rsidRPr="0078378F">
                          <w:rPr>
                            <w:b/>
                            <w:bCs/>
                          </w:rPr>
                          <w:t>$57,988</w:t>
                        </w:r>
                      </w:p>
                    </w:tc>
                    <w:tc>
                      <w:tcPr>
                        <w:tcW w:w="0" w:type="dxa"/>
                        <w:tcBorders>
                          <w:top w:val="none" w:sz="0" w:space="0" w:color="auto"/>
                          <w:bottom w:val="none" w:sz="0" w:space="0" w:color="auto"/>
                        </w:tcBorders>
                        <w:noWrap/>
                        <w:hideMark/>
                      </w:tcPr>
                      <w:p w14:paraId="6EC3653D" w14:textId="77777777" w:rsidR="00967ECF" w:rsidRPr="0078378F" w:rsidRDefault="00967ECF">
                        <w:pPr>
                          <w:pStyle w:val="TableText"/>
                          <w:cnfStyle w:val="000000100000" w:firstRow="0" w:lastRow="0" w:firstColumn="0" w:lastColumn="0" w:oddVBand="0" w:evenVBand="0" w:oddHBand="1" w:evenHBand="0" w:firstRowFirstColumn="0" w:firstRowLastColumn="0" w:lastRowFirstColumn="0" w:lastRowLastColumn="0"/>
                          <w:rPr>
                            <w:b/>
                            <w:bCs/>
                          </w:rPr>
                        </w:pPr>
                        <w:r w:rsidRPr="0078378F">
                          <w:rPr>
                            <w:b/>
                            <w:bCs/>
                          </w:rPr>
                          <w:t>$67,661</w:t>
                        </w:r>
                      </w:p>
                    </w:tc>
                    <w:tc>
                      <w:tcPr>
                        <w:tcW w:w="0" w:type="dxa"/>
                        <w:tcBorders>
                          <w:top w:val="none" w:sz="0" w:space="0" w:color="auto"/>
                          <w:bottom w:val="none" w:sz="0" w:space="0" w:color="auto"/>
                        </w:tcBorders>
                        <w:noWrap/>
                        <w:hideMark/>
                      </w:tcPr>
                      <w:p w14:paraId="590FD13D" w14:textId="77777777" w:rsidR="00967ECF" w:rsidRPr="0078378F" w:rsidRDefault="00967ECF">
                        <w:pPr>
                          <w:pStyle w:val="TableText"/>
                          <w:cnfStyle w:val="000000100000" w:firstRow="0" w:lastRow="0" w:firstColumn="0" w:lastColumn="0" w:oddVBand="0" w:evenVBand="0" w:oddHBand="1" w:evenHBand="0" w:firstRowFirstColumn="0" w:firstRowLastColumn="0" w:lastRowFirstColumn="0" w:lastRowLastColumn="0"/>
                          <w:rPr>
                            <w:b/>
                            <w:bCs/>
                          </w:rPr>
                        </w:pPr>
                        <w:r w:rsidRPr="0078378F">
                          <w:rPr>
                            <w:b/>
                            <w:bCs/>
                          </w:rPr>
                          <w:t>100%</w:t>
                        </w:r>
                      </w:p>
                    </w:tc>
                  </w:tr>
                </w:tbl>
                <w:p w14:paraId="440AFBE8" w14:textId="77777777" w:rsidR="00967ECF" w:rsidRPr="00883627" w:rsidRDefault="00967ECF" w:rsidP="00967ECF">
                  <w:pPr>
                    <w:pStyle w:val="Text"/>
                    <w:rPr>
                      <w:i/>
                      <w:sz w:val="20"/>
                      <w:szCs w:val="18"/>
                    </w:rPr>
                  </w:pPr>
                  <w:r w:rsidRPr="00160253">
                    <w:rPr>
                      <w:i/>
                      <w:iCs/>
                      <w:sz w:val="20"/>
                    </w:rPr>
                    <w:t>Source: UK</w:t>
                  </w:r>
                  <w:r w:rsidRPr="63FDCB87">
                    <w:rPr>
                      <w:i/>
                      <w:iCs/>
                      <w:sz w:val="20"/>
                    </w:rPr>
                    <w:t xml:space="preserve"> Home Office, currency converter, ABS CPI </w:t>
                  </w:r>
                </w:p>
                <w:p w14:paraId="746ED343" w14:textId="77777777" w:rsidR="00967ECF" w:rsidRDefault="00967ECF" w:rsidP="00967ECF">
                  <w:pPr>
                    <w:pStyle w:val="Text"/>
                  </w:pPr>
                  <w:r>
                    <w:t xml:space="preserve">Following Dowick’s methodology, the benefit of FaRS and SFVS could be estimated by combining the unit cost of domestic violence and abuse with the probability of reduction of abuse and the total number of referrals received. </w:t>
                  </w:r>
                </w:p>
                <w:p w14:paraId="5AABA554" w14:textId="2DB98532" w:rsidR="00967ECF" w:rsidRDefault="007034AF" w:rsidP="00967ECF">
                  <w:pPr>
                    <w:pStyle w:val="Text"/>
                  </w:pPr>
                  <w:r>
                    <w:t>A</w:t>
                  </w:r>
                  <w:r w:rsidR="00967ECF">
                    <w:t xml:space="preserve"> number of assumptions are </w:t>
                  </w:r>
                  <w:r>
                    <w:t>needed to undertake the ROI using this method</w:t>
                  </w:r>
                  <w:r w:rsidR="00967ECF">
                    <w:t xml:space="preserve">. First, given that not all FaRS and SFVS service users present due to domestic violence and abuse, it is important to adjust accordingly. Results from the 2021-22 PSS show that about 27% of Australian women aged 18 and over have experienced violence or abuse by an intimate partner or family member since the age of 15. This proportion is identical to the qualitative findings from this evaluation that found 27% of FaRS service users interviewed were victim survivors of family violence. It is plausible that a higher proportion of SFVS service users were survivors of domestic violence and abuse but 27% is applied to both FaRS and SFVS cohorts. Second, the Circumstances domain related to personal and family safety is used as </w:t>
                  </w:r>
                  <w:r w:rsidR="00D4565C">
                    <w:t xml:space="preserve">a </w:t>
                  </w:r>
                  <w:r w:rsidR="00967ECF">
                    <w:t xml:space="preserve">proxy </w:t>
                  </w:r>
                  <w:r w:rsidR="00D4565C">
                    <w:lastRenderedPageBreak/>
                    <w:t>for</w:t>
                  </w:r>
                  <w:r w:rsidR="00967ECF">
                    <w:t xml:space="preserve"> the reduction of abuse. As noted above, for the three-financial year period from 2021-22 to 2023-24, 43% and 57% of FaRS and SVFS assessed service users, respectively, rated a positive improvement. Third, according to the Department GPS-DEX data extract, the number of referrals for FaRS in 2022-23 was 22,986 and 6,465 for SVFS. It is acknowledged that FaRS provides a range of services beyond referrals and service users may have benefited from additional sessions or services provided. In 2022-23, referrals accounted for 9% and 18% of all </w:t>
                  </w:r>
                  <w:r w:rsidR="00EA631B">
                    <w:t xml:space="preserve">FaRS </w:t>
                  </w:r>
                  <w:r w:rsidR="00967ECF">
                    <w:t xml:space="preserve">and SVFS sessions provided, respectively. Using referrals only is therefore a very conservative estimate. </w:t>
                  </w:r>
                  <w:r w:rsidR="00967ECF" w:rsidRPr="004E6D2A">
                    <w:rPr>
                      <w:b/>
                      <w:bCs/>
                    </w:rPr>
                    <w:fldChar w:fldCharType="begin" w:fldLock="1"/>
                  </w:r>
                  <w:r w:rsidR="00967ECF" w:rsidRPr="004E6D2A">
                    <w:rPr>
                      <w:b/>
                      <w:bCs/>
                    </w:rPr>
                    <w:instrText xml:space="preserve"> REF _Ref204770426 \h </w:instrText>
                  </w:r>
                  <w:r w:rsidR="00967ECF">
                    <w:rPr>
                      <w:b/>
                      <w:bCs/>
                    </w:rPr>
                    <w:instrText xml:space="preserve"> \* MERGEFORMAT </w:instrText>
                  </w:r>
                  <w:r w:rsidR="00967ECF" w:rsidRPr="004E6D2A">
                    <w:rPr>
                      <w:b/>
                      <w:bCs/>
                    </w:rPr>
                  </w:r>
                  <w:r w:rsidR="00967ECF" w:rsidRPr="004E6D2A">
                    <w:rPr>
                      <w:b/>
                      <w:bCs/>
                    </w:rPr>
                    <w:fldChar w:fldCharType="separate"/>
                  </w:r>
                  <w:r w:rsidR="008F22E5" w:rsidRPr="008F22E5">
                    <w:rPr>
                      <w:rStyle w:val="Text-Bold"/>
                      <w:szCs w:val="22"/>
                    </w:rPr>
                    <w:t xml:space="preserve">Table </w:t>
                  </w:r>
                  <w:r w:rsidR="008F22E5" w:rsidRPr="008F22E5">
                    <w:rPr>
                      <w:b/>
                    </w:rPr>
                    <w:t>9</w:t>
                  </w:r>
                  <w:r w:rsidR="00967ECF" w:rsidRPr="004E6D2A">
                    <w:rPr>
                      <w:b/>
                      <w:bCs/>
                    </w:rPr>
                    <w:fldChar w:fldCharType="end"/>
                  </w:r>
                  <w:r w:rsidR="00967ECF">
                    <w:t xml:space="preserve"> provides an overview of results for Method 3 ROI. The value of benefit generated by FaRS is estimated at $178.9 million and $67.3 million for SFVS. Comparing value of benefits with the costs ($88.2 million for FaRS and $12.4 million for SVFS), results in a ROI of 2.03 for FaRS and 5.43 for SVFS. </w:t>
                  </w:r>
                </w:p>
                <w:p w14:paraId="05F26840" w14:textId="4871A9C2" w:rsidR="00967ECF" w:rsidRPr="009F5B0D" w:rsidRDefault="00967ECF" w:rsidP="00953B9E">
                  <w:pPr>
                    <w:pStyle w:val="TableFigure-Header"/>
                    <w:spacing w:line="276" w:lineRule="auto"/>
                    <w:rPr>
                      <w:rStyle w:val="Text-Bold"/>
                      <w:b/>
                      <w:bCs/>
                    </w:rPr>
                  </w:pPr>
                  <w:bookmarkStart w:id="307" w:name="_Ref204770426"/>
                  <w:r w:rsidRPr="009F5B0D">
                    <w:rPr>
                      <w:rStyle w:val="Text-Bold"/>
                      <w:b/>
                      <w:bCs/>
                    </w:rPr>
                    <w:t xml:space="preserve">Table </w:t>
                  </w:r>
                  <w:r w:rsidRPr="009F5B0D">
                    <w:rPr>
                      <w:rStyle w:val="Text-Bold"/>
                      <w:b/>
                      <w:bCs/>
                    </w:rPr>
                    <w:fldChar w:fldCharType="begin"/>
                  </w:r>
                  <w:r w:rsidRPr="009F5B0D">
                    <w:rPr>
                      <w:rStyle w:val="Text-Bold"/>
                      <w:b/>
                      <w:bCs/>
                    </w:rPr>
                    <w:instrText xml:space="preserve"> SEQ Table \* ARABIC </w:instrText>
                  </w:r>
                  <w:r w:rsidRPr="009F5B0D">
                    <w:rPr>
                      <w:rStyle w:val="Text-Bold"/>
                      <w:b/>
                      <w:bCs/>
                    </w:rPr>
                    <w:fldChar w:fldCharType="separate"/>
                  </w:r>
                  <w:r w:rsidR="008D2566">
                    <w:rPr>
                      <w:rStyle w:val="Text-Bold"/>
                      <w:b/>
                      <w:bCs/>
                      <w:noProof/>
                    </w:rPr>
                    <w:t>9</w:t>
                  </w:r>
                  <w:r w:rsidRPr="009F5B0D">
                    <w:rPr>
                      <w:rStyle w:val="Text-Bold"/>
                      <w:b/>
                      <w:bCs/>
                    </w:rPr>
                    <w:fldChar w:fldCharType="end"/>
                  </w:r>
                  <w:bookmarkEnd w:id="307"/>
                  <w:r w:rsidRPr="009F5B0D">
                    <w:rPr>
                      <w:rStyle w:val="Text-Bold"/>
                      <w:b/>
                      <w:bCs/>
                    </w:rPr>
                    <w:t>: Overview of results of ROI analysis</w:t>
                  </w:r>
                  <w:r w:rsidR="0DA6A138" w:rsidRPr="009F5B0D">
                    <w:rPr>
                      <w:rStyle w:val="Text-Bold"/>
                      <w:b/>
                      <w:bCs/>
                    </w:rPr>
                    <w:t>, 2022-23</w:t>
                  </w:r>
                </w:p>
                <w:tbl>
                  <w:tblPr>
                    <w:tblStyle w:val="ListTable3-Accent31"/>
                    <w:tblW w:w="91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19"/>
                    <w:gridCol w:w="3463"/>
                    <w:gridCol w:w="3193"/>
                  </w:tblGrid>
                  <w:tr w:rsidR="00967ECF" w:rsidRPr="0068118D" w14:paraId="430ECCF0" w14:textId="77777777" w:rsidTr="0078378F">
                    <w:trPr>
                      <w:cnfStyle w:val="100000000000" w:firstRow="1" w:lastRow="0" w:firstColumn="0" w:lastColumn="0" w:oddVBand="0" w:evenVBand="0" w:oddHBand="0" w:evenHBand="0" w:firstRowFirstColumn="0" w:firstRowLastColumn="0" w:lastRowFirstColumn="0" w:lastRowLastColumn="0"/>
                      <w:trHeight w:val="263"/>
                    </w:trPr>
                    <w:tc>
                      <w:tcPr>
                        <w:cnfStyle w:val="001000000100" w:firstRow="0" w:lastRow="0" w:firstColumn="1" w:lastColumn="0" w:oddVBand="0" w:evenVBand="0" w:oddHBand="0" w:evenHBand="0" w:firstRowFirstColumn="1" w:firstRowLastColumn="0" w:lastRowFirstColumn="0" w:lastRowLastColumn="0"/>
                        <w:tcW w:w="0" w:type="dxa"/>
                        <w:tcBorders>
                          <w:bottom w:val="none" w:sz="0" w:space="0" w:color="auto"/>
                          <w:right w:val="none" w:sz="0" w:space="0" w:color="auto"/>
                        </w:tcBorders>
                        <w:shd w:val="clear" w:color="auto" w:fill="007E00" w:themeFill="accent3"/>
                        <w:vAlign w:val="center"/>
                      </w:tcPr>
                      <w:p w14:paraId="3F9625D5" w14:textId="77777777" w:rsidR="00967ECF" w:rsidRPr="0068118D" w:rsidRDefault="00967ECF">
                        <w:pPr>
                          <w:pStyle w:val="TableText"/>
                        </w:pPr>
                      </w:p>
                    </w:tc>
                    <w:tc>
                      <w:tcPr>
                        <w:tcW w:w="0" w:type="dxa"/>
                        <w:shd w:val="clear" w:color="auto" w:fill="007E00" w:themeFill="accent3"/>
                        <w:vAlign w:val="center"/>
                      </w:tcPr>
                      <w:p w14:paraId="7E363A43" w14:textId="77777777" w:rsidR="00967ECF" w:rsidRPr="0068118D" w:rsidRDefault="00967ECF">
                        <w:pPr>
                          <w:pStyle w:val="TableText"/>
                          <w:cnfStyle w:val="100000000000" w:firstRow="1" w:lastRow="0" w:firstColumn="0" w:lastColumn="0" w:oddVBand="0" w:evenVBand="0" w:oddHBand="0" w:evenHBand="0" w:firstRowFirstColumn="0" w:firstRowLastColumn="0" w:lastRowFirstColumn="0" w:lastRowLastColumn="0"/>
                        </w:pPr>
                        <w:r w:rsidRPr="0068118D">
                          <w:t>FARS</w:t>
                        </w:r>
                      </w:p>
                    </w:tc>
                    <w:tc>
                      <w:tcPr>
                        <w:tcW w:w="0" w:type="dxa"/>
                        <w:shd w:val="clear" w:color="auto" w:fill="007E00" w:themeFill="accent3"/>
                        <w:vAlign w:val="center"/>
                      </w:tcPr>
                      <w:p w14:paraId="01660D09" w14:textId="77777777" w:rsidR="00967ECF" w:rsidRPr="0068118D" w:rsidRDefault="00967ECF">
                        <w:pPr>
                          <w:pStyle w:val="TableText"/>
                          <w:cnfStyle w:val="100000000000" w:firstRow="1" w:lastRow="0" w:firstColumn="0" w:lastColumn="0" w:oddVBand="0" w:evenVBand="0" w:oddHBand="0" w:evenHBand="0" w:firstRowFirstColumn="0" w:firstRowLastColumn="0" w:lastRowFirstColumn="0" w:lastRowLastColumn="0"/>
                        </w:pPr>
                        <w:r w:rsidRPr="0068118D">
                          <w:t>SVFS</w:t>
                        </w:r>
                      </w:p>
                    </w:tc>
                  </w:tr>
                  <w:tr w:rsidR="00967ECF" w:rsidRPr="0068118D" w14:paraId="34B9A554" w14:textId="77777777" w:rsidTr="0078378F">
                    <w:trPr>
                      <w:cnfStyle w:val="000000100000" w:firstRow="0" w:lastRow="0" w:firstColumn="0" w:lastColumn="0" w:oddVBand="0" w:evenVBand="0" w:oddHBand="1" w:evenHBand="0" w:firstRowFirstColumn="0" w:firstRowLastColumn="0" w:lastRowFirstColumn="0" w:lastRowLastColumn="0"/>
                      <w:trHeight w:val="456"/>
                    </w:trPr>
                    <w:tc>
                      <w:tcPr>
                        <w:cnfStyle w:val="001000000000" w:firstRow="0" w:lastRow="0" w:firstColumn="1" w:lastColumn="0" w:oddVBand="0" w:evenVBand="0" w:oddHBand="0" w:evenHBand="0" w:firstRowFirstColumn="0" w:firstRowLastColumn="0" w:lastRowFirstColumn="0" w:lastRowLastColumn="0"/>
                        <w:tcW w:w="0" w:type="dxa"/>
                        <w:tcBorders>
                          <w:top w:val="none" w:sz="0" w:space="0" w:color="auto"/>
                          <w:bottom w:val="none" w:sz="0" w:space="0" w:color="auto"/>
                          <w:right w:val="none" w:sz="0" w:space="0" w:color="auto"/>
                        </w:tcBorders>
                        <w:vAlign w:val="center"/>
                      </w:tcPr>
                      <w:p w14:paraId="29D8F5A5" w14:textId="77777777" w:rsidR="00967ECF" w:rsidRPr="0078378F" w:rsidRDefault="00967ECF">
                        <w:pPr>
                          <w:pStyle w:val="TableText"/>
                          <w:rPr>
                            <w:b w:val="0"/>
                            <w:bCs w:val="0"/>
                          </w:rPr>
                        </w:pPr>
                        <w:r w:rsidRPr="0078378F">
                          <w:rPr>
                            <w:b w:val="0"/>
                            <w:bCs w:val="0"/>
                          </w:rPr>
                          <w:t>Cost per assault</w:t>
                        </w:r>
                      </w:p>
                    </w:tc>
                    <w:tc>
                      <w:tcPr>
                        <w:tcW w:w="0" w:type="dxa"/>
                        <w:tcBorders>
                          <w:top w:val="none" w:sz="0" w:space="0" w:color="auto"/>
                          <w:bottom w:val="none" w:sz="0" w:space="0" w:color="auto"/>
                        </w:tcBorders>
                        <w:vAlign w:val="center"/>
                      </w:tcPr>
                      <w:p w14:paraId="035493CF" w14:textId="77777777" w:rsidR="00967ECF" w:rsidRPr="0068118D" w:rsidRDefault="00967ECF">
                        <w:pPr>
                          <w:pStyle w:val="TableText"/>
                          <w:cnfStyle w:val="000000100000" w:firstRow="0" w:lastRow="0" w:firstColumn="0" w:lastColumn="0" w:oddVBand="0" w:evenVBand="0" w:oddHBand="1" w:evenHBand="0" w:firstRowFirstColumn="0" w:firstRowLastColumn="0" w:lastRowFirstColumn="0" w:lastRowLastColumn="0"/>
                        </w:pPr>
                        <w:r w:rsidRPr="0068118D">
                          <w:t>$67,661</w:t>
                        </w:r>
                      </w:p>
                    </w:tc>
                    <w:tc>
                      <w:tcPr>
                        <w:tcW w:w="0" w:type="dxa"/>
                        <w:tcBorders>
                          <w:top w:val="none" w:sz="0" w:space="0" w:color="auto"/>
                          <w:bottom w:val="none" w:sz="0" w:space="0" w:color="auto"/>
                        </w:tcBorders>
                        <w:vAlign w:val="center"/>
                      </w:tcPr>
                      <w:p w14:paraId="5EB73002" w14:textId="77777777" w:rsidR="00967ECF" w:rsidRPr="0068118D" w:rsidRDefault="00967ECF">
                        <w:pPr>
                          <w:pStyle w:val="TableText"/>
                          <w:cnfStyle w:val="000000100000" w:firstRow="0" w:lastRow="0" w:firstColumn="0" w:lastColumn="0" w:oddVBand="0" w:evenVBand="0" w:oddHBand="1" w:evenHBand="0" w:firstRowFirstColumn="0" w:firstRowLastColumn="0" w:lastRowFirstColumn="0" w:lastRowLastColumn="0"/>
                        </w:pPr>
                        <w:r w:rsidRPr="0068118D">
                          <w:t>$67,661</w:t>
                        </w:r>
                      </w:p>
                    </w:tc>
                  </w:tr>
                  <w:tr w:rsidR="00262CFA" w:rsidRPr="0068118D" w14:paraId="18567C05" w14:textId="77777777" w:rsidTr="0078378F">
                    <w:trPr>
                      <w:trHeight w:val="753"/>
                    </w:trPr>
                    <w:tc>
                      <w:tcPr>
                        <w:cnfStyle w:val="001000000000" w:firstRow="0" w:lastRow="0" w:firstColumn="1" w:lastColumn="0" w:oddVBand="0" w:evenVBand="0" w:oddHBand="0" w:evenHBand="0" w:firstRowFirstColumn="0" w:firstRowLastColumn="0" w:lastRowFirstColumn="0" w:lastRowLastColumn="0"/>
                        <w:tcW w:w="0" w:type="dxa"/>
                        <w:tcBorders>
                          <w:right w:val="none" w:sz="0" w:space="0" w:color="auto"/>
                        </w:tcBorders>
                        <w:vAlign w:val="center"/>
                      </w:tcPr>
                      <w:p w14:paraId="510867DF" w14:textId="77777777" w:rsidR="00967ECF" w:rsidRPr="0078378F" w:rsidRDefault="00967ECF">
                        <w:pPr>
                          <w:pStyle w:val="TableText"/>
                          <w:rPr>
                            <w:b w:val="0"/>
                            <w:bCs w:val="0"/>
                          </w:rPr>
                        </w:pPr>
                        <w:r w:rsidRPr="0078378F">
                          <w:rPr>
                            <w:b w:val="0"/>
                            <w:bCs w:val="0"/>
                          </w:rPr>
                          <w:t>Number of referrals (2022-23)</w:t>
                        </w:r>
                      </w:p>
                    </w:tc>
                    <w:tc>
                      <w:tcPr>
                        <w:tcW w:w="0" w:type="dxa"/>
                        <w:vAlign w:val="center"/>
                      </w:tcPr>
                      <w:p w14:paraId="4A85C67B" w14:textId="77777777" w:rsidR="00967ECF" w:rsidRPr="0068118D" w:rsidRDefault="00967ECF">
                        <w:pPr>
                          <w:pStyle w:val="TableText"/>
                          <w:cnfStyle w:val="000000000000" w:firstRow="0" w:lastRow="0" w:firstColumn="0" w:lastColumn="0" w:oddVBand="0" w:evenVBand="0" w:oddHBand="0" w:evenHBand="0" w:firstRowFirstColumn="0" w:firstRowLastColumn="0" w:lastRowFirstColumn="0" w:lastRowLastColumn="0"/>
                        </w:pPr>
                        <w:r w:rsidRPr="0068118D">
                          <w:t>22,986</w:t>
                        </w:r>
                      </w:p>
                    </w:tc>
                    <w:tc>
                      <w:tcPr>
                        <w:tcW w:w="0" w:type="dxa"/>
                        <w:vAlign w:val="center"/>
                      </w:tcPr>
                      <w:p w14:paraId="091C28D0" w14:textId="77777777" w:rsidR="00967ECF" w:rsidRPr="0068118D" w:rsidRDefault="00967ECF">
                        <w:pPr>
                          <w:pStyle w:val="TableText"/>
                          <w:cnfStyle w:val="000000000000" w:firstRow="0" w:lastRow="0" w:firstColumn="0" w:lastColumn="0" w:oddVBand="0" w:evenVBand="0" w:oddHBand="0" w:evenHBand="0" w:firstRowFirstColumn="0" w:firstRowLastColumn="0" w:lastRowFirstColumn="0" w:lastRowLastColumn="0"/>
                        </w:pPr>
                        <w:r w:rsidRPr="0068118D">
                          <w:t>6,465</w:t>
                        </w:r>
                      </w:p>
                    </w:tc>
                  </w:tr>
                  <w:tr w:rsidR="00967ECF" w:rsidRPr="0068118D" w14:paraId="587F032E" w14:textId="77777777" w:rsidTr="0078378F">
                    <w:trPr>
                      <w:cnfStyle w:val="000000100000" w:firstRow="0" w:lastRow="0" w:firstColumn="0" w:lastColumn="0" w:oddVBand="0" w:evenVBand="0" w:oddHBand="1" w:evenHBand="0" w:firstRowFirstColumn="0" w:firstRowLastColumn="0" w:lastRowFirstColumn="0" w:lastRowLastColumn="0"/>
                      <w:trHeight w:val="436"/>
                    </w:trPr>
                    <w:tc>
                      <w:tcPr>
                        <w:cnfStyle w:val="001000000000" w:firstRow="0" w:lastRow="0" w:firstColumn="1" w:lastColumn="0" w:oddVBand="0" w:evenVBand="0" w:oddHBand="0" w:evenHBand="0" w:firstRowFirstColumn="0" w:firstRowLastColumn="0" w:lastRowFirstColumn="0" w:lastRowLastColumn="0"/>
                        <w:tcW w:w="0" w:type="dxa"/>
                        <w:tcBorders>
                          <w:top w:val="none" w:sz="0" w:space="0" w:color="auto"/>
                          <w:bottom w:val="none" w:sz="0" w:space="0" w:color="auto"/>
                          <w:right w:val="none" w:sz="0" w:space="0" w:color="auto"/>
                        </w:tcBorders>
                        <w:vAlign w:val="center"/>
                      </w:tcPr>
                      <w:p w14:paraId="48E09818" w14:textId="77777777" w:rsidR="00967ECF" w:rsidRPr="0078378F" w:rsidRDefault="00967ECF">
                        <w:pPr>
                          <w:pStyle w:val="TableText"/>
                          <w:rPr>
                            <w:b w:val="0"/>
                            <w:bCs w:val="0"/>
                          </w:rPr>
                        </w:pPr>
                        <w:r w:rsidRPr="0078378F">
                          <w:rPr>
                            <w:b w:val="0"/>
                            <w:bCs w:val="0"/>
                            <w:lang w:val="en-NZ"/>
                          </w:rPr>
                          <w:t xml:space="preserve">% service users subject to abuse </w:t>
                        </w:r>
                      </w:p>
                    </w:tc>
                    <w:tc>
                      <w:tcPr>
                        <w:tcW w:w="0" w:type="dxa"/>
                        <w:tcBorders>
                          <w:top w:val="none" w:sz="0" w:space="0" w:color="auto"/>
                          <w:bottom w:val="none" w:sz="0" w:space="0" w:color="auto"/>
                        </w:tcBorders>
                        <w:vAlign w:val="center"/>
                      </w:tcPr>
                      <w:p w14:paraId="6B37A71C" w14:textId="77777777" w:rsidR="00967ECF" w:rsidRPr="0068118D" w:rsidRDefault="00967ECF">
                        <w:pPr>
                          <w:pStyle w:val="TableText"/>
                          <w:cnfStyle w:val="000000100000" w:firstRow="0" w:lastRow="0" w:firstColumn="0" w:lastColumn="0" w:oddVBand="0" w:evenVBand="0" w:oddHBand="1" w:evenHBand="0" w:firstRowFirstColumn="0" w:firstRowLastColumn="0" w:lastRowFirstColumn="0" w:lastRowLastColumn="0"/>
                        </w:pPr>
                        <w:r w:rsidRPr="0068118D">
                          <w:t>27%</w:t>
                        </w:r>
                      </w:p>
                    </w:tc>
                    <w:tc>
                      <w:tcPr>
                        <w:tcW w:w="0" w:type="dxa"/>
                        <w:tcBorders>
                          <w:top w:val="none" w:sz="0" w:space="0" w:color="auto"/>
                          <w:bottom w:val="none" w:sz="0" w:space="0" w:color="auto"/>
                        </w:tcBorders>
                        <w:vAlign w:val="center"/>
                      </w:tcPr>
                      <w:p w14:paraId="5112C792" w14:textId="77777777" w:rsidR="00967ECF" w:rsidRPr="0068118D" w:rsidRDefault="00967ECF">
                        <w:pPr>
                          <w:pStyle w:val="TableText"/>
                          <w:cnfStyle w:val="000000100000" w:firstRow="0" w:lastRow="0" w:firstColumn="0" w:lastColumn="0" w:oddVBand="0" w:evenVBand="0" w:oddHBand="1" w:evenHBand="0" w:firstRowFirstColumn="0" w:firstRowLastColumn="0" w:lastRowFirstColumn="0" w:lastRowLastColumn="0"/>
                        </w:pPr>
                        <w:r w:rsidRPr="0068118D">
                          <w:t>27%</w:t>
                        </w:r>
                      </w:p>
                    </w:tc>
                  </w:tr>
                  <w:tr w:rsidR="00262CFA" w:rsidRPr="0068118D" w14:paraId="5167591B" w14:textId="77777777" w:rsidTr="0078378F">
                    <w:trPr>
                      <w:trHeight w:val="753"/>
                    </w:trPr>
                    <w:tc>
                      <w:tcPr>
                        <w:cnfStyle w:val="001000000000" w:firstRow="0" w:lastRow="0" w:firstColumn="1" w:lastColumn="0" w:oddVBand="0" w:evenVBand="0" w:oddHBand="0" w:evenHBand="0" w:firstRowFirstColumn="0" w:firstRowLastColumn="0" w:lastRowFirstColumn="0" w:lastRowLastColumn="0"/>
                        <w:tcW w:w="0" w:type="dxa"/>
                        <w:tcBorders>
                          <w:right w:val="none" w:sz="0" w:space="0" w:color="auto"/>
                        </w:tcBorders>
                        <w:vAlign w:val="center"/>
                      </w:tcPr>
                      <w:p w14:paraId="1BA9DF12" w14:textId="77777777" w:rsidR="00967ECF" w:rsidRPr="0078378F" w:rsidRDefault="00967ECF">
                        <w:pPr>
                          <w:pStyle w:val="TableText"/>
                          <w:rPr>
                            <w:b w:val="0"/>
                            <w:bCs w:val="0"/>
                          </w:rPr>
                        </w:pPr>
                        <w:r w:rsidRPr="0078378F">
                          <w:rPr>
                            <w:b w:val="0"/>
                            <w:bCs w:val="0"/>
                          </w:rPr>
                          <w:t>Percent positive outcome (personal and family safety)</w:t>
                        </w:r>
                      </w:p>
                    </w:tc>
                    <w:tc>
                      <w:tcPr>
                        <w:tcW w:w="0" w:type="dxa"/>
                        <w:vAlign w:val="center"/>
                      </w:tcPr>
                      <w:p w14:paraId="5EDF6378" w14:textId="77777777" w:rsidR="00967ECF" w:rsidRPr="0068118D" w:rsidRDefault="00967ECF">
                        <w:pPr>
                          <w:pStyle w:val="TableText"/>
                          <w:cnfStyle w:val="000000000000" w:firstRow="0" w:lastRow="0" w:firstColumn="0" w:lastColumn="0" w:oddVBand="0" w:evenVBand="0" w:oddHBand="0" w:evenHBand="0" w:firstRowFirstColumn="0" w:firstRowLastColumn="0" w:lastRowFirstColumn="0" w:lastRowLastColumn="0"/>
                        </w:pPr>
                        <w:r w:rsidRPr="0068118D">
                          <w:t>43%</w:t>
                        </w:r>
                      </w:p>
                    </w:tc>
                    <w:tc>
                      <w:tcPr>
                        <w:tcW w:w="0" w:type="dxa"/>
                        <w:vAlign w:val="center"/>
                      </w:tcPr>
                      <w:p w14:paraId="3AF7D9B2" w14:textId="77777777" w:rsidR="00967ECF" w:rsidRPr="0068118D" w:rsidRDefault="00967ECF">
                        <w:pPr>
                          <w:pStyle w:val="TableText"/>
                          <w:cnfStyle w:val="000000000000" w:firstRow="0" w:lastRow="0" w:firstColumn="0" w:lastColumn="0" w:oddVBand="0" w:evenVBand="0" w:oddHBand="0" w:evenHBand="0" w:firstRowFirstColumn="0" w:firstRowLastColumn="0" w:lastRowFirstColumn="0" w:lastRowLastColumn="0"/>
                        </w:pPr>
                        <w:r w:rsidRPr="0068118D">
                          <w:t>57%</w:t>
                        </w:r>
                      </w:p>
                    </w:tc>
                  </w:tr>
                  <w:tr w:rsidR="00967ECF" w:rsidRPr="0068118D" w14:paraId="200BFE35" w14:textId="77777777" w:rsidTr="0078378F">
                    <w:trPr>
                      <w:cnfStyle w:val="000000100000" w:firstRow="0" w:lastRow="0" w:firstColumn="0" w:lastColumn="0" w:oddVBand="0" w:evenVBand="0" w:oddHBand="1" w:evenHBand="0" w:firstRowFirstColumn="0" w:firstRowLastColumn="0" w:lastRowFirstColumn="0" w:lastRowLastColumn="0"/>
                      <w:trHeight w:val="436"/>
                    </w:trPr>
                    <w:tc>
                      <w:tcPr>
                        <w:cnfStyle w:val="001000000000" w:firstRow="0" w:lastRow="0" w:firstColumn="1" w:lastColumn="0" w:oddVBand="0" w:evenVBand="0" w:oddHBand="0" w:evenHBand="0" w:firstRowFirstColumn="0" w:firstRowLastColumn="0" w:lastRowFirstColumn="0" w:lastRowLastColumn="0"/>
                        <w:tcW w:w="0" w:type="dxa"/>
                        <w:tcBorders>
                          <w:top w:val="none" w:sz="0" w:space="0" w:color="auto"/>
                          <w:bottom w:val="none" w:sz="0" w:space="0" w:color="auto"/>
                          <w:right w:val="none" w:sz="0" w:space="0" w:color="auto"/>
                        </w:tcBorders>
                        <w:vAlign w:val="center"/>
                      </w:tcPr>
                      <w:p w14:paraId="04D239AD" w14:textId="77777777" w:rsidR="00967ECF" w:rsidRPr="0078378F" w:rsidRDefault="00967ECF">
                        <w:pPr>
                          <w:pStyle w:val="TableText"/>
                          <w:rPr>
                            <w:b w:val="0"/>
                            <w:bCs w:val="0"/>
                          </w:rPr>
                        </w:pPr>
                        <w:r w:rsidRPr="0078378F">
                          <w:rPr>
                            <w:b w:val="0"/>
                            <w:bCs w:val="0"/>
                          </w:rPr>
                          <w:t>Dollar value of benefit</w:t>
                        </w:r>
                      </w:p>
                    </w:tc>
                    <w:tc>
                      <w:tcPr>
                        <w:tcW w:w="0" w:type="dxa"/>
                        <w:tcBorders>
                          <w:top w:val="none" w:sz="0" w:space="0" w:color="auto"/>
                          <w:bottom w:val="none" w:sz="0" w:space="0" w:color="auto"/>
                        </w:tcBorders>
                        <w:vAlign w:val="center"/>
                      </w:tcPr>
                      <w:p w14:paraId="0FFB65A9" w14:textId="77777777" w:rsidR="00967ECF" w:rsidRPr="0068118D" w:rsidRDefault="00967ECF">
                        <w:pPr>
                          <w:pStyle w:val="TableText"/>
                          <w:cnfStyle w:val="000000100000" w:firstRow="0" w:lastRow="0" w:firstColumn="0" w:lastColumn="0" w:oddVBand="0" w:evenVBand="0" w:oddHBand="1" w:evenHBand="0" w:firstRowFirstColumn="0" w:firstRowLastColumn="0" w:lastRowFirstColumn="0" w:lastRowLastColumn="0"/>
                        </w:pPr>
                        <w:r w:rsidRPr="0068118D">
                          <w:t>$178,886,770</w:t>
                        </w:r>
                      </w:p>
                    </w:tc>
                    <w:tc>
                      <w:tcPr>
                        <w:tcW w:w="0" w:type="dxa"/>
                        <w:tcBorders>
                          <w:top w:val="none" w:sz="0" w:space="0" w:color="auto"/>
                          <w:bottom w:val="none" w:sz="0" w:space="0" w:color="auto"/>
                        </w:tcBorders>
                        <w:vAlign w:val="center"/>
                      </w:tcPr>
                      <w:p w14:paraId="3A77C6A2" w14:textId="77777777" w:rsidR="00967ECF" w:rsidRPr="0068118D" w:rsidRDefault="00967ECF">
                        <w:pPr>
                          <w:pStyle w:val="TableText"/>
                          <w:cnfStyle w:val="000000100000" w:firstRow="0" w:lastRow="0" w:firstColumn="0" w:lastColumn="0" w:oddVBand="0" w:evenVBand="0" w:oddHBand="1" w:evenHBand="0" w:firstRowFirstColumn="0" w:firstRowLastColumn="0" w:lastRowFirstColumn="0" w:lastRowLastColumn="0"/>
                        </w:pPr>
                        <w:r w:rsidRPr="0068118D">
                          <w:t>$67,320,697</w:t>
                        </w:r>
                      </w:p>
                    </w:tc>
                  </w:tr>
                  <w:tr w:rsidR="00262CFA" w:rsidRPr="0068118D" w14:paraId="387C6F06" w14:textId="77777777" w:rsidTr="0078378F">
                    <w:trPr>
                      <w:trHeight w:val="456"/>
                    </w:trPr>
                    <w:tc>
                      <w:tcPr>
                        <w:cnfStyle w:val="001000000000" w:firstRow="0" w:lastRow="0" w:firstColumn="1" w:lastColumn="0" w:oddVBand="0" w:evenVBand="0" w:oddHBand="0" w:evenHBand="0" w:firstRowFirstColumn="0" w:firstRowLastColumn="0" w:lastRowFirstColumn="0" w:lastRowLastColumn="0"/>
                        <w:tcW w:w="0" w:type="dxa"/>
                        <w:tcBorders>
                          <w:right w:val="none" w:sz="0" w:space="0" w:color="auto"/>
                        </w:tcBorders>
                        <w:vAlign w:val="center"/>
                      </w:tcPr>
                      <w:p w14:paraId="07240A6E" w14:textId="2600859C" w:rsidR="00967ECF" w:rsidRPr="0078378F" w:rsidRDefault="00967ECF">
                        <w:pPr>
                          <w:pStyle w:val="TableText"/>
                        </w:pPr>
                        <w:r w:rsidRPr="0078378F">
                          <w:t xml:space="preserve">Total </w:t>
                        </w:r>
                        <w:r w:rsidR="0078378F">
                          <w:t xml:space="preserve">cost </w:t>
                        </w:r>
                      </w:p>
                    </w:tc>
                    <w:tc>
                      <w:tcPr>
                        <w:tcW w:w="0" w:type="dxa"/>
                        <w:vAlign w:val="center"/>
                      </w:tcPr>
                      <w:p w14:paraId="0CB0C2E7" w14:textId="77777777" w:rsidR="00967ECF" w:rsidRPr="0078378F" w:rsidRDefault="00967ECF">
                        <w:pPr>
                          <w:pStyle w:val="TableText"/>
                          <w:cnfStyle w:val="000000000000" w:firstRow="0" w:lastRow="0" w:firstColumn="0" w:lastColumn="0" w:oddVBand="0" w:evenVBand="0" w:oddHBand="0" w:evenHBand="0" w:firstRowFirstColumn="0" w:firstRowLastColumn="0" w:lastRowFirstColumn="0" w:lastRowLastColumn="0"/>
                          <w:rPr>
                            <w:b/>
                            <w:bCs/>
                          </w:rPr>
                        </w:pPr>
                        <w:r w:rsidRPr="0078378F">
                          <w:rPr>
                            <w:b/>
                            <w:bCs/>
                          </w:rPr>
                          <w:t>$88,158,944</w:t>
                        </w:r>
                      </w:p>
                    </w:tc>
                    <w:tc>
                      <w:tcPr>
                        <w:tcW w:w="0" w:type="dxa"/>
                        <w:vAlign w:val="center"/>
                      </w:tcPr>
                      <w:p w14:paraId="7431E072" w14:textId="77777777" w:rsidR="00967ECF" w:rsidRPr="0078378F" w:rsidRDefault="00967ECF">
                        <w:pPr>
                          <w:pStyle w:val="TableText"/>
                          <w:cnfStyle w:val="000000000000" w:firstRow="0" w:lastRow="0" w:firstColumn="0" w:lastColumn="0" w:oddVBand="0" w:evenVBand="0" w:oddHBand="0" w:evenHBand="0" w:firstRowFirstColumn="0" w:firstRowLastColumn="0" w:lastRowFirstColumn="0" w:lastRowLastColumn="0"/>
                          <w:rPr>
                            <w:b/>
                            <w:bCs/>
                          </w:rPr>
                        </w:pPr>
                        <w:r w:rsidRPr="0078378F">
                          <w:rPr>
                            <w:b/>
                            <w:bCs/>
                          </w:rPr>
                          <w:t>$12,396,856</w:t>
                        </w:r>
                      </w:p>
                    </w:tc>
                  </w:tr>
                  <w:tr w:rsidR="00967ECF" w:rsidRPr="0068118D" w14:paraId="60052E6C" w14:textId="77777777" w:rsidTr="0078378F">
                    <w:trPr>
                      <w:cnfStyle w:val="000000100000" w:firstRow="0" w:lastRow="0" w:firstColumn="0" w:lastColumn="0" w:oddVBand="0" w:evenVBand="0" w:oddHBand="1" w:evenHBand="0" w:firstRowFirstColumn="0" w:firstRowLastColumn="0" w:lastRowFirstColumn="0" w:lastRowLastColumn="0"/>
                      <w:trHeight w:val="436"/>
                    </w:trPr>
                    <w:tc>
                      <w:tcPr>
                        <w:cnfStyle w:val="001000000000" w:firstRow="0" w:lastRow="0" w:firstColumn="1" w:lastColumn="0" w:oddVBand="0" w:evenVBand="0" w:oddHBand="0" w:evenHBand="0" w:firstRowFirstColumn="0" w:firstRowLastColumn="0" w:lastRowFirstColumn="0" w:lastRowLastColumn="0"/>
                        <w:tcW w:w="0" w:type="dxa"/>
                        <w:tcBorders>
                          <w:top w:val="none" w:sz="0" w:space="0" w:color="auto"/>
                          <w:bottom w:val="none" w:sz="0" w:space="0" w:color="auto"/>
                          <w:right w:val="none" w:sz="0" w:space="0" w:color="auto"/>
                        </w:tcBorders>
                        <w:vAlign w:val="center"/>
                      </w:tcPr>
                      <w:p w14:paraId="18BC0B87" w14:textId="77777777" w:rsidR="00967ECF" w:rsidRPr="0078378F" w:rsidRDefault="00967ECF">
                        <w:pPr>
                          <w:pStyle w:val="TableText"/>
                        </w:pPr>
                        <w:r w:rsidRPr="0078378F">
                          <w:t>BCR</w:t>
                        </w:r>
                      </w:p>
                    </w:tc>
                    <w:tc>
                      <w:tcPr>
                        <w:tcW w:w="0" w:type="dxa"/>
                        <w:tcBorders>
                          <w:top w:val="none" w:sz="0" w:space="0" w:color="auto"/>
                          <w:bottom w:val="none" w:sz="0" w:space="0" w:color="auto"/>
                        </w:tcBorders>
                        <w:vAlign w:val="center"/>
                      </w:tcPr>
                      <w:p w14:paraId="0113056D" w14:textId="77777777" w:rsidR="00967ECF" w:rsidRPr="0078378F" w:rsidRDefault="00967ECF">
                        <w:pPr>
                          <w:pStyle w:val="TableText"/>
                          <w:cnfStyle w:val="000000100000" w:firstRow="0" w:lastRow="0" w:firstColumn="0" w:lastColumn="0" w:oddVBand="0" w:evenVBand="0" w:oddHBand="1" w:evenHBand="0" w:firstRowFirstColumn="0" w:firstRowLastColumn="0" w:lastRowFirstColumn="0" w:lastRowLastColumn="0"/>
                          <w:rPr>
                            <w:b/>
                            <w:bCs/>
                          </w:rPr>
                        </w:pPr>
                        <w:r w:rsidRPr="0078378F">
                          <w:rPr>
                            <w:b/>
                            <w:bCs/>
                          </w:rPr>
                          <w:t>2.03</w:t>
                        </w:r>
                      </w:p>
                    </w:tc>
                    <w:tc>
                      <w:tcPr>
                        <w:tcW w:w="0" w:type="dxa"/>
                        <w:tcBorders>
                          <w:top w:val="none" w:sz="0" w:space="0" w:color="auto"/>
                          <w:bottom w:val="none" w:sz="0" w:space="0" w:color="auto"/>
                        </w:tcBorders>
                        <w:vAlign w:val="center"/>
                      </w:tcPr>
                      <w:p w14:paraId="51C3CFBC" w14:textId="77777777" w:rsidR="00967ECF" w:rsidRPr="0078378F" w:rsidRDefault="00967ECF">
                        <w:pPr>
                          <w:pStyle w:val="TableText"/>
                          <w:cnfStyle w:val="000000100000" w:firstRow="0" w:lastRow="0" w:firstColumn="0" w:lastColumn="0" w:oddVBand="0" w:evenVBand="0" w:oddHBand="1" w:evenHBand="0" w:firstRowFirstColumn="0" w:firstRowLastColumn="0" w:lastRowFirstColumn="0" w:lastRowLastColumn="0"/>
                          <w:rPr>
                            <w:b/>
                            <w:bCs/>
                          </w:rPr>
                        </w:pPr>
                        <w:r w:rsidRPr="0078378F">
                          <w:rPr>
                            <w:b/>
                            <w:bCs/>
                          </w:rPr>
                          <w:t>5.43</w:t>
                        </w:r>
                      </w:p>
                    </w:tc>
                  </w:tr>
                </w:tbl>
                <w:p w14:paraId="41D2C358" w14:textId="1878B9CB" w:rsidR="00967ECF" w:rsidRPr="00883627" w:rsidRDefault="00967ECF" w:rsidP="00967ECF">
                  <w:pPr>
                    <w:pStyle w:val="Text"/>
                    <w:rPr>
                      <w:i/>
                      <w:iCs/>
                      <w:sz w:val="20"/>
                    </w:rPr>
                  </w:pPr>
                  <w:r w:rsidRPr="00160253">
                    <w:rPr>
                      <w:i/>
                      <w:iCs/>
                      <w:sz w:val="20"/>
                    </w:rPr>
                    <w:t>Source: UK Home Office (cost per assault), GPS – DEX data extract (number of referrals, service users) Individual DEX</w:t>
                  </w:r>
                  <w:r w:rsidRPr="70F368BD">
                    <w:rPr>
                      <w:i/>
                      <w:iCs/>
                      <w:sz w:val="20"/>
                    </w:rPr>
                    <w:t xml:space="preserve"> data (</w:t>
                  </w:r>
                  <w:r w:rsidR="003E3FB0">
                    <w:rPr>
                      <w:i/>
                      <w:iCs/>
                      <w:sz w:val="20"/>
                    </w:rPr>
                    <w:t>service users</w:t>
                  </w:r>
                  <w:r w:rsidRPr="70F368BD">
                    <w:rPr>
                      <w:i/>
                      <w:iCs/>
                      <w:sz w:val="20"/>
                    </w:rPr>
                    <w:t xml:space="preserve"> with positive change), </w:t>
                  </w:r>
                  <w:r w:rsidRPr="4B0E8584">
                    <w:rPr>
                      <w:i/>
                      <w:iCs/>
                      <w:sz w:val="20"/>
                    </w:rPr>
                    <w:t>Qualitative findings (subject to abuse</w:t>
                  </w:r>
                  <w:r w:rsidRPr="3F5ECD52">
                    <w:rPr>
                      <w:i/>
                      <w:iCs/>
                      <w:sz w:val="20"/>
                    </w:rPr>
                    <w:t>)</w:t>
                  </w:r>
                </w:p>
                <w:p w14:paraId="0F477C59" w14:textId="28735AF6" w:rsidR="0027390A" w:rsidRDefault="00967ECF" w:rsidP="00C2583E">
                  <w:pPr>
                    <w:pStyle w:val="Text"/>
                  </w:pPr>
                  <w:r>
                    <w:t>Although Method 3 ROIs are lower than that estimated for Method 2, Method 3 only considers improvements in personal and family safety. It is interesting to note, that using two different methodologies, the benefit attached to improvements in personal and family safety are reasonably consistent across methods. FaRS generated an estimated $201 million in benefits under Method 2 and $179 million in benefits under Method 3 (using 2022-23 data). SFVS generated an estimated $45 million in benefits under Method 2 and $67 million in benefits under Method 3 (using 2022-23 data).</w:t>
                  </w:r>
                </w:p>
                <w:p w14:paraId="17382D90" w14:textId="77777777" w:rsidR="00967ECF" w:rsidRDefault="00967ECF" w:rsidP="00321BC5">
                  <w:pPr>
                    <w:pStyle w:val="Text-BodyHeading"/>
                    <w:spacing w:before="360" w:after="240"/>
                  </w:pPr>
                  <w:r w:rsidRPr="00126B82">
                    <w:t>Method 4: Applying a burden of disease framework</w:t>
                  </w:r>
                </w:p>
                <w:p w14:paraId="6138AA87" w14:textId="1D52BC1B" w:rsidR="00967ECF" w:rsidRDefault="00967ECF" w:rsidP="00967ECF">
                  <w:pPr>
                    <w:pStyle w:val="Text"/>
                  </w:pPr>
                  <w:r>
                    <w:t xml:space="preserve">Family violence inflicts a significant burden of disease on the Australian population, especially on women. This burden can be quantified in Disability-Adjusted Life Years (DALYs), a measure that combines years of life lost (YLL) due to premature death and years lived with disability or illness (YLD). DALYs provide a holistic view of how much healthy life is lost in a population due to a particular cause or risk factor. The 2024 burden of disease study by the AIHW quantifies the attribution of child abuse and neglect, intimate partner violence (IPV) and </w:t>
                  </w:r>
                  <w:r>
                    <w:lastRenderedPageBreak/>
                    <w:t xml:space="preserve">bullying victimisation on total burden </w:t>
                  </w:r>
                  <w:r>
                    <w:fldChar w:fldCharType="begin"/>
                  </w:r>
                  <w:r w:rsidR="003A464F">
                    <w:instrText xml:space="preserve"> ADDIN ZOTERO_ITEM CSL_CITATION {"citationID":"a8q18m3i17","properties":{"formattedCitation":"(Australian Institute of Health and Welfare, 2024a)","plainCitation":"(Australian Institute of Health and Welfare, 2024a)","noteIndex":0},"citationItems":[{"id":"KNHaqWe9/v9Jy9dhl","uris":["http://zotero.org/groups/6054942/items/F2F5H5YS"],"itemData":{"id":5696,"type":"report","publisher":"Australian Institute of Health and Welfare","title":"Australian Burden of Disease Study 2024","URL":"https://www.aihw.gov.au/reports/burden-of-disease/australian-burden-of-disease-study-2024/contents/summary","author":[{"family":"Australian Institute of Health and Welfare","given":""}],"accessed":{"date-parts":[["2025",8,1]]},"issued":{"date-parts":[["2024"]]}}}],"schema":"https://github.com/citation-style-language/schema/raw/master/csl-citation.json"} </w:instrText>
                  </w:r>
                  <w:r>
                    <w:fldChar w:fldCharType="separate"/>
                  </w:r>
                  <w:r w:rsidR="003A464F" w:rsidRPr="003A464F">
                    <w:rPr>
                      <w:rFonts w:ascii="Arial" w:hAnsi="Arial" w:cs="Arial"/>
                    </w:rPr>
                    <w:t>(Australian Institute of Health and Welfare, 2024a)</w:t>
                  </w:r>
                  <w:r>
                    <w:fldChar w:fldCharType="end"/>
                  </w:r>
                  <w:r>
                    <w:t xml:space="preserve">. These risk factors of disease and injury burden vary by gender and age. Child abuse and neglect </w:t>
                  </w:r>
                  <w:r w:rsidR="00813022">
                    <w:t>assess</w:t>
                  </w:r>
                  <w:r>
                    <w:t xml:space="preserve"> the impact of various forms of abuse and neglect (physical, sexual, emotional, neglect, and exposure to family violence) on mental health, physical health, and overall well-being, extending across the lifespan. IPV refers to behaviour within an intimate relationship that causes physical, sexual or psychological harm, including acts of physical aggression, sexual coercion, psychological abuse and controlling behaviours. Bullying victimisation is defined as exposure to negative actions repeatedly and over time from one or more people and involves a power imbalance between the person who uses violence and the victim.</w:t>
                  </w:r>
                </w:p>
                <w:p w14:paraId="55F2E63E" w14:textId="2FFAD869" w:rsidR="00967ECF" w:rsidRDefault="00066FF4" w:rsidP="00967ECF">
                  <w:pPr>
                    <w:pStyle w:val="Text"/>
                  </w:pPr>
                  <w:r w:rsidRPr="00066FF4">
                    <w:rPr>
                      <w:b/>
                      <w:bCs/>
                    </w:rPr>
                    <w:fldChar w:fldCharType="begin" w:fldLock="1"/>
                  </w:r>
                  <w:r w:rsidRPr="00066FF4">
                    <w:rPr>
                      <w:b/>
                      <w:bCs/>
                    </w:rPr>
                    <w:instrText xml:space="preserve"> REF _Ref204770467 \h </w:instrText>
                  </w:r>
                  <w:r w:rsidRPr="003371DC">
                    <w:rPr>
                      <w:b/>
                      <w:bCs/>
                    </w:rPr>
                    <w:instrText xml:space="preserve"> \* MERGEFORMAT </w:instrText>
                  </w:r>
                  <w:r w:rsidRPr="00066FF4">
                    <w:rPr>
                      <w:b/>
                      <w:bCs/>
                    </w:rPr>
                  </w:r>
                  <w:r w:rsidRPr="00066FF4">
                    <w:rPr>
                      <w:b/>
                      <w:bCs/>
                    </w:rPr>
                    <w:fldChar w:fldCharType="separate"/>
                  </w:r>
                  <w:r w:rsidR="008F22E5" w:rsidRPr="008F22E5">
                    <w:rPr>
                      <w:rStyle w:val="Text-Bold"/>
                      <w:szCs w:val="22"/>
                    </w:rPr>
                    <w:t xml:space="preserve">Table </w:t>
                  </w:r>
                  <w:r w:rsidR="008F22E5" w:rsidRPr="008F22E5">
                    <w:rPr>
                      <w:b/>
                      <w:bCs/>
                      <w:noProof/>
                    </w:rPr>
                    <w:t>10</w:t>
                  </w:r>
                  <w:r w:rsidRPr="00066FF4">
                    <w:rPr>
                      <w:b/>
                      <w:bCs/>
                    </w:rPr>
                    <w:fldChar w:fldCharType="end"/>
                  </w:r>
                  <w:r w:rsidR="00C2583E">
                    <w:rPr>
                      <w:b/>
                      <w:bCs/>
                    </w:rPr>
                    <w:t xml:space="preserve"> </w:t>
                  </w:r>
                  <w:r w:rsidR="00967ECF">
                    <w:t xml:space="preserve">provides an overview of 2024 burden of disease (BOD) estimates for child abuse and neglect, IPV and bullying victimisation. Child abuse and neglect result in 123,429 DALYS, or 2.5% of the total BOD. IPV account for 40,477 DALYS (0.7% of total BOD) and bullying victimisation accounts for 7,985 DALYS (0.1% of total BOD). IPV is more prevalent among women, reflected in higher disease burden. According to the AIHW </w:t>
                  </w:r>
                  <w:r w:rsidR="00967ECF" w:rsidRPr="001B32C9">
                    <w:fldChar w:fldCharType="begin"/>
                  </w:r>
                  <w:r w:rsidR="003A464F">
                    <w:instrText xml:space="preserve"> ADDIN ZOTERO_ITEM CSL_CITATION {"citationID":"a20aa5u7c42","properties":{"formattedCitation":"(2024a)","plainCitation":"(2024a)","noteIndex":0},"citationItems":[{"id":"KNHaqWe9/v9Jy9dhl","uris":["http://zotero.org/groups/6054942/items/F2F5H5YS"],"itemData":{"id":5696,"type":"report","publisher":"Australian Institute of Health and Welfare","title":"Australian Burden of Disease Study 2024","URL":"https://www.aihw.gov.au/reports/burden-of-disease/australian-burden-of-disease-study-2024/contents/summary","author":[{"family":"Australian Institute of Health and Welfare","given":""}],"accessed":{"date-parts":[["2025",8,1]]},"issued":{"date-parts":[["2024"]]}},"suppress-author":true}],"schema":"https://github.com/citation-style-language/schema/raw/master/csl-citation.json"} </w:instrText>
                  </w:r>
                  <w:r w:rsidR="00967ECF" w:rsidRPr="001B32C9">
                    <w:fldChar w:fldCharType="separate"/>
                  </w:r>
                  <w:r w:rsidR="003A464F" w:rsidRPr="003A464F">
                    <w:rPr>
                      <w:rFonts w:ascii="Arial" w:hAnsi="Arial" w:cs="Arial"/>
                    </w:rPr>
                    <w:t>(2024a)</w:t>
                  </w:r>
                  <w:r w:rsidR="00967ECF" w:rsidRPr="001B32C9">
                    <w:fldChar w:fldCharType="end"/>
                  </w:r>
                  <w:r w:rsidR="00967ECF" w:rsidRPr="001B32C9">
                    <w:t>,</w:t>
                  </w:r>
                  <w:r w:rsidR="00967ECF">
                    <w:t xml:space="preserve"> about one in every 60 DALYs in women is attributable to health issues arising from IPV including depressive and anxiety disorders, suicide and self-inflicted injuries, homicide and violence, alcohol use disorders, and early pregnancy loss. For women aged between 18-44 years, IPV has been identified as the main preventable risk factor contributing to illness and death</w:t>
                  </w:r>
                  <w:r w:rsidR="00967ECF" w:rsidRPr="0062167C">
                    <w:t>.</w:t>
                  </w:r>
                  <w:r w:rsidR="00967ECF">
                    <w:t xml:space="preserve"> IPV contributes more to disease burden than well-known health risks like smoking, obesity, or hypertension in that cohort.</w:t>
                  </w:r>
                </w:p>
                <w:p w14:paraId="6277B343" w14:textId="4C24BEF9" w:rsidR="00967ECF" w:rsidRPr="009F5B0D" w:rsidRDefault="00967ECF" w:rsidP="00953B9E">
                  <w:pPr>
                    <w:pStyle w:val="TableFigure-Header"/>
                    <w:spacing w:line="276" w:lineRule="auto"/>
                    <w:rPr>
                      <w:rStyle w:val="Text-Bold"/>
                      <w:b/>
                      <w:szCs w:val="21"/>
                      <w:lang w:val="en-NZ"/>
                    </w:rPr>
                  </w:pPr>
                  <w:bookmarkStart w:id="308" w:name="_Ref204770467"/>
                  <w:r w:rsidRPr="009F5B0D">
                    <w:rPr>
                      <w:rStyle w:val="Text-Bold"/>
                      <w:b/>
                      <w:szCs w:val="21"/>
                      <w:lang w:val="en-NZ"/>
                    </w:rPr>
                    <w:t xml:space="preserve">Table </w:t>
                  </w:r>
                  <w:r w:rsidRPr="009F5B0D">
                    <w:rPr>
                      <w:rStyle w:val="Text-Bold"/>
                      <w:b/>
                      <w:szCs w:val="21"/>
                    </w:rPr>
                    <w:fldChar w:fldCharType="begin"/>
                  </w:r>
                  <w:r w:rsidRPr="009F5B0D">
                    <w:rPr>
                      <w:szCs w:val="21"/>
                    </w:rPr>
                    <w:instrText xml:space="preserve"> SEQ Table \* ARABIC </w:instrText>
                  </w:r>
                  <w:r w:rsidRPr="009F5B0D">
                    <w:rPr>
                      <w:rStyle w:val="Text-Bold"/>
                      <w:b/>
                      <w:szCs w:val="21"/>
                    </w:rPr>
                    <w:fldChar w:fldCharType="separate"/>
                  </w:r>
                  <w:r w:rsidR="008D2566">
                    <w:rPr>
                      <w:noProof/>
                      <w:szCs w:val="21"/>
                    </w:rPr>
                    <w:t>10</w:t>
                  </w:r>
                  <w:r w:rsidRPr="009F5B0D">
                    <w:rPr>
                      <w:rStyle w:val="Text-Bold"/>
                      <w:b/>
                      <w:szCs w:val="21"/>
                    </w:rPr>
                    <w:fldChar w:fldCharType="end"/>
                  </w:r>
                  <w:bookmarkEnd w:id="308"/>
                  <w:r w:rsidRPr="009F5B0D">
                    <w:rPr>
                      <w:rStyle w:val="Text-Bold"/>
                      <w:b/>
                      <w:szCs w:val="21"/>
                      <w:lang w:val="en-NZ"/>
                    </w:rPr>
                    <w:t>: Overview of BOD estimates</w:t>
                  </w:r>
                </w:p>
                <w:tbl>
                  <w:tblPr>
                    <w:tblStyle w:val="ListTable3-Accent31"/>
                    <w:tblW w:w="90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02"/>
                    <w:gridCol w:w="1580"/>
                    <w:gridCol w:w="1328"/>
                    <w:gridCol w:w="1328"/>
                    <w:gridCol w:w="1509"/>
                    <w:gridCol w:w="1218"/>
                  </w:tblGrid>
                  <w:tr w:rsidR="00967ECF" w:rsidRPr="00D8320C" w14:paraId="76089D1C" w14:textId="77777777" w:rsidTr="00321BC5">
                    <w:trPr>
                      <w:cnfStyle w:val="100000000000" w:firstRow="1" w:lastRow="0" w:firstColumn="0" w:lastColumn="0" w:oddVBand="0" w:evenVBand="0" w:oddHBand="0" w:evenHBand="0" w:firstRowFirstColumn="0" w:firstRowLastColumn="0" w:lastRowFirstColumn="0" w:lastRowLastColumn="0"/>
                      <w:trHeight w:val="469"/>
                    </w:trPr>
                    <w:tc>
                      <w:tcPr>
                        <w:cnfStyle w:val="001000000100" w:firstRow="0" w:lastRow="0" w:firstColumn="1" w:lastColumn="0" w:oddVBand="0" w:evenVBand="0" w:oddHBand="0" w:evenHBand="0" w:firstRowFirstColumn="1" w:firstRowLastColumn="0" w:lastRowFirstColumn="0" w:lastRowLastColumn="0"/>
                        <w:tcW w:w="0" w:type="dxa"/>
                        <w:vAlign w:val="center"/>
                        <w:hideMark/>
                      </w:tcPr>
                      <w:p w14:paraId="2524E9E8" w14:textId="77777777" w:rsidR="00967ECF" w:rsidRPr="00D8320C" w:rsidRDefault="00967ECF">
                        <w:pPr>
                          <w:pStyle w:val="TableText"/>
                        </w:pPr>
                        <w:r w:rsidRPr="00D8320C">
                          <w:t xml:space="preserve">Risk factor </w:t>
                        </w:r>
                      </w:p>
                    </w:tc>
                    <w:tc>
                      <w:tcPr>
                        <w:tcW w:w="0" w:type="dxa"/>
                        <w:vAlign w:val="center"/>
                        <w:hideMark/>
                      </w:tcPr>
                      <w:p w14:paraId="142E3796" w14:textId="77777777" w:rsidR="00967ECF" w:rsidRPr="00D8320C" w:rsidRDefault="00967ECF">
                        <w:pPr>
                          <w:pStyle w:val="TableText"/>
                          <w:cnfStyle w:val="100000000000" w:firstRow="1" w:lastRow="0" w:firstColumn="0" w:lastColumn="0" w:oddVBand="0" w:evenVBand="0" w:oddHBand="0" w:evenHBand="0" w:firstRowFirstColumn="0" w:firstRowLastColumn="0" w:lastRowFirstColumn="0" w:lastRowLastColumn="0"/>
                        </w:pPr>
                        <w:r w:rsidRPr="00D8320C">
                          <w:t xml:space="preserve">Sex </w:t>
                        </w:r>
                      </w:p>
                    </w:tc>
                    <w:tc>
                      <w:tcPr>
                        <w:tcW w:w="0" w:type="dxa"/>
                        <w:vAlign w:val="center"/>
                        <w:hideMark/>
                      </w:tcPr>
                      <w:p w14:paraId="4C1721D9" w14:textId="77777777" w:rsidR="00967ECF" w:rsidRPr="00D8320C" w:rsidRDefault="00967ECF">
                        <w:pPr>
                          <w:pStyle w:val="TableText"/>
                          <w:cnfStyle w:val="100000000000" w:firstRow="1" w:lastRow="0" w:firstColumn="0" w:lastColumn="0" w:oddVBand="0" w:evenVBand="0" w:oddHBand="0" w:evenHBand="0" w:firstRowFirstColumn="0" w:firstRowLastColumn="0" w:lastRowFirstColumn="0" w:lastRowLastColumn="0"/>
                        </w:pPr>
                        <w:r w:rsidRPr="00D8320C">
                          <w:t>YLL</w:t>
                        </w:r>
                      </w:p>
                    </w:tc>
                    <w:tc>
                      <w:tcPr>
                        <w:tcW w:w="0" w:type="dxa"/>
                        <w:vAlign w:val="center"/>
                        <w:hideMark/>
                      </w:tcPr>
                      <w:p w14:paraId="2E7A700E" w14:textId="77777777" w:rsidR="00967ECF" w:rsidRPr="00D8320C" w:rsidRDefault="00967ECF">
                        <w:pPr>
                          <w:pStyle w:val="TableText"/>
                          <w:cnfStyle w:val="100000000000" w:firstRow="1" w:lastRow="0" w:firstColumn="0" w:lastColumn="0" w:oddVBand="0" w:evenVBand="0" w:oddHBand="0" w:evenHBand="0" w:firstRowFirstColumn="0" w:firstRowLastColumn="0" w:lastRowFirstColumn="0" w:lastRowLastColumn="0"/>
                        </w:pPr>
                        <w:r w:rsidRPr="00D8320C">
                          <w:t>YLD</w:t>
                        </w:r>
                      </w:p>
                    </w:tc>
                    <w:tc>
                      <w:tcPr>
                        <w:tcW w:w="0" w:type="dxa"/>
                        <w:vAlign w:val="center"/>
                        <w:hideMark/>
                      </w:tcPr>
                      <w:p w14:paraId="2A2983FB" w14:textId="77777777" w:rsidR="00967ECF" w:rsidRPr="00D8320C" w:rsidRDefault="00967ECF">
                        <w:pPr>
                          <w:pStyle w:val="TableText"/>
                          <w:cnfStyle w:val="100000000000" w:firstRow="1" w:lastRow="0" w:firstColumn="0" w:lastColumn="0" w:oddVBand="0" w:evenVBand="0" w:oddHBand="0" w:evenHBand="0" w:firstRowFirstColumn="0" w:firstRowLastColumn="0" w:lastRowFirstColumn="0" w:lastRowLastColumn="0"/>
                        </w:pPr>
                        <w:r w:rsidRPr="00D8320C">
                          <w:t>DALY</w:t>
                        </w:r>
                      </w:p>
                    </w:tc>
                    <w:tc>
                      <w:tcPr>
                        <w:tcW w:w="0" w:type="dxa"/>
                        <w:vAlign w:val="center"/>
                        <w:hideMark/>
                      </w:tcPr>
                      <w:p w14:paraId="15B9052F" w14:textId="77777777" w:rsidR="00967ECF" w:rsidRPr="00D8320C" w:rsidRDefault="00967ECF">
                        <w:pPr>
                          <w:pStyle w:val="TableText"/>
                          <w:cnfStyle w:val="100000000000" w:firstRow="1" w:lastRow="0" w:firstColumn="0" w:lastColumn="0" w:oddVBand="0" w:evenVBand="0" w:oddHBand="0" w:evenHBand="0" w:firstRowFirstColumn="0" w:firstRowLastColumn="0" w:lastRowFirstColumn="0" w:lastRowLastColumn="0"/>
                        </w:pPr>
                        <w:r w:rsidRPr="00D8320C">
                          <w:t>% DALY</w:t>
                        </w:r>
                      </w:p>
                    </w:tc>
                  </w:tr>
                  <w:tr w:rsidR="00967ECF" w:rsidRPr="00D8320C" w14:paraId="62EBFD09" w14:textId="77777777" w:rsidTr="00321BC5">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0" w:type="dxa"/>
                        <w:vAlign w:val="center"/>
                        <w:hideMark/>
                      </w:tcPr>
                      <w:p w14:paraId="43802E7D" w14:textId="77777777" w:rsidR="00967ECF" w:rsidRPr="0078378F" w:rsidRDefault="00967ECF">
                        <w:pPr>
                          <w:pStyle w:val="TableText"/>
                          <w:rPr>
                            <w:b w:val="0"/>
                            <w:bCs w:val="0"/>
                          </w:rPr>
                        </w:pPr>
                        <w:r w:rsidRPr="0078378F">
                          <w:rPr>
                            <w:b w:val="0"/>
                            <w:bCs w:val="0"/>
                          </w:rPr>
                          <w:t>Child abuse &amp; neglect</w:t>
                        </w:r>
                      </w:p>
                    </w:tc>
                    <w:tc>
                      <w:tcPr>
                        <w:tcW w:w="0" w:type="dxa"/>
                        <w:vAlign w:val="center"/>
                        <w:hideMark/>
                      </w:tcPr>
                      <w:p w14:paraId="278439DE" w14:textId="77777777" w:rsidR="00967ECF" w:rsidRPr="00D8320C" w:rsidRDefault="00967ECF">
                        <w:pPr>
                          <w:pStyle w:val="TableText"/>
                          <w:cnfStyle w:val="000000100000" w:firstRow="0" w:lastRow="0" w:firstColumn="0" w:lastColumn="0" w:oddVBand="0" w:evenVBand="0" w:oddHBand="1" w:evenHBand="0" w:firstRowFirstColumn="0" w:firstRowLastColumn="0" w:lastRowFirstColumn="0" w:lastRowLastColumn="0"/>
                        </w:pPr>
                        <w:r w:rsidRPr="00D8320C">
                          <w:t>Females</w:t>
                        </w:r>
                      </w:p>
                    </w:tc>
                    <w:tc>
                      <w:tcPr>
                        <w:tcW w:w="0" w:type="dxa"/>
                        <w:vAlign w:val="center"/>
                        <w:hideMark/>
                      </w:tcPr>
                      <w:p w14:paraId="16ACC5EE" w14:textId="77777777" w:rsidR="00967ECF" w:rsidRPr="00D8320C" w:rsidRDefault="00967ECF">
                        <w:pPr>
                          <w:pStyle w:val="TableText"/>
                          <w:cnfStyle w:val="000000100000" w:firstRow="0" w:lastRow="0" w:firstColumn="0" w:lastColumn="0" w:oddVBand="0" w:evenVBand="0" w:oddHBand="1" w:evenHBand="0" w:firstRowFirstColumn="0" w:firstRowLastColumn="0" w:lastRowFirstColumn="0" w:lastRowLastColumn="0"/>
                        </w:pPr>
                        <w:r w:rsidRPr="00D8320C">
                          <w:t>10,631</w:t>
                        </w:r>
                      </w:p>
                    </w:tc>
                    <w:tc>
                      <w:tcPr>
                        <w:tcW w:w="0" w:type="dxa"/>
                        <w:vAlign w:val="center"/>
                        <w:hideMark/>
                      </w:tcPr>
                      <w:p w14:paraId="7D31EB7D" w14:textId="77777777" w:rsidR="00967ECF" w:rsidRPr="00D8320C" w:rsidRDefault="00967ECF">
                        <w:pPr>
                          <w:pStyle w:val="TableText"/>
                          <w:cnfStyle w:val="000000100000" w:firstRow="0" w:lastRow="0" w:firstColumn="0" w:lastColumn="0" w:oddVBand="0" w:evenVBand="0" w:oddHBand="1" w:evenHBand="0" w:firstRowFirstColumn="0" w:firstRowLastColumn="0" w:lastRowFirstColumn="0" w:lastRowLastColumn="0"/>
                        </w:pPr>
                        <w:r w:rsidRPr="00D8320C">
                          <w:t>59,771</w:t>
                        </w:r>
                      </w:p>
                    </w:tc>
                    <w:tc>
                      <w:tcPr>
                        <w:tcW w:w="0" w:type="dxa"/>
                        <w:vAlign w:val="center"/>
                        <w:hideMark/>
                      </w:tcPr>
                      <w:p w14:paraId="7F2404CE" w14:textId="77777777" w:rsidR="00967ECF" w:rsidRPr="00D8320C" w:rsidRDefault="00967ECF">
                        <w:pPr>
                          <w:pStyle w:val="TableText"/>
                          <w:cnfStyle w:val="000000100000" w:firstRow="0" w:lastRow="0" w:firstColumn="0" w:lastColumn="0" w:oddVBand="0" w:evenVBand="0" w:oddHBand="1" w:evenHBand="0" w:firstRowFirstColumn="0" w:firstRowLastColumn="0" w:lastRowFirstColumn="0" w:lastRowLastColumn="0"/>
                        </w:pPr>
                        <w:r w:rsidRPr="00D8320C">
                          <w:t>70,403</w:t>
                        </w:r>
                      </w:p>
                    </w:tc>
                    <w:tc>
                      <w:tcPr>
                        <w:tcW w:w="0" w:type="dxa"/>
                        <w:vAlign w:val="center"/>
                        <w:hideMark/>
                      </w:tcPr>
                      <w:p w14:paraId="23D95058" w14:textId="77777777" w:rsidR="00967ECF" w:rsidRPr="00D8320C" w:rsidRDefault="00967ECF">
                        <w:pPr>
                          <w:pStyle w:val="TableText"/>
                          <w:cnfStyle w:val="000000100000" w:firstRow="0" w:lastRow="0" w:firstColumn="0" w:lastColumn="0" w:oddVBand="0" w:evenVBand="0" w:oddHBand="1" w:evenHBand="0" w:firstRowFirstColumn="0" w:firstRowLastColumn="0" w:lastRowFirstColumn="0" w:lastRowLastColumn="0"/>
                        </w:pPr>
                        <w:r w:rsidRPr="00D8320C">
                          <w:t>2.5%</w:t>
                        </w:r>
                      </w:p>
                    </w:tc>
                  </w:tr>
                  <w:tr w:rsidR="00A94951" w:rsidRPr="00D8320C" w14:paraId="4A4789A8" w14:textId="77777777" w:rsidTr="00094E78">
                    <w:trPr>
                      <w:trHeight w:val="516"/>
                    </w:trPr>
                    <w:tc>
                      <w:tcPr>
                        <w:cnfStyle w:val="001000000000" w:firstRow="0" w:lastRow="0" w:firstColumn="1" w:lastColumn="0" w:oddVBand="0" w:evenVBand="0" w:oddHBand="0" w:evenHBand="0" w:firstRowFirstColumn="0" w:firstRowLastColumn="0" w:lastRowFirstColumn="0" w:lastRowLastColumn="0"/>
                        <w:tcW w:w="0" w:type="dxa"/>
                        <w:vAlign w:val="center"/>
                        <w:hideMark/>
                      </w:tcPr>
                      <w:p w14:paraId="12571D89" w14:textId="77777777" w:rsidR="00967ECF" w:rsidRPr="0078378F" w:rsidRDefault="00967ECF">
                        <w:pPr>
                          <w:pStyle w:val="TableText"/>
                          <w:rPr>
                            <w:b w:val="0"/>
                            <w:bCs w:val="0"/>
                          </w:rPr>
                        </w:pPr>
                        <w:r w:rsidRPr="0078378F">
                          <w:rPr>
                            <w:b w:val="0"/>
                            <w:bCs w:val="0"/>
                          </w:rPr>
                          <w:t>Intimate partner violence</w:t>
                        </w:r>
                      </w:p>
                    </w:tc>
                    <w:tc>
                      <w:tcPr>
                        <w:tcW w:w="0" w:type="dxa"/>
                        <w:vAlign w:val="center"/>
                        <w:hideMark/>
                      </w:tcPr>
                      <w:p w14:paraId="3314CD63" w14:textId="77777777" w:rsidR="00967ECF" w:rsidRPr="00D8320C" w:rsidRDefault="00967ECF">
                        <w:pPr>
                          <w:pStyle w:val="TableText"/>
                          <w:cnfStyle w:val="000000000000" w:firstRow="0" w:lastRow="0" w:firstColumn="0" w:lastColumn="0" w:oddVBand="0" w:evenVBand="0" w:oddHBand="0" w:evenHBand="0" w:firstRowFirstColumn="0" w:firstRowLastColumn="0" w:lastRowFirstColumn="0" w:lastRowLastColumn="0"/>
                        </w:pPr>
                        <w:r w:rsidRPr="00D8320C">
                          <w:t>Females</w:t>
                        </w:r>
                      </w:p>
                    </w:tc>
                    <w:tc>
                      <w:tcPr>
                        <w:tcW w:w="0" w:type="dxa"/>
                        <w:vAlign w:val="center"/>
                        <w:hideMark/>
                      </w:tcPr>
                      <w:p w14:paraId="401826C8" w14:textId="77777777" w:rsidR="00967ECF" w:rsidRPr="00D8320C" w:rsidRDefault="00967ECF">
                        <w:pPr>
                          <w:pStyle w:val="TableText"/>
                          <w:cnfStyle w:val="000000000000" w:firstRow="0" w:lastRow="0" w:firstColumn="0" w:lastColumn="0" w:oddVBand="0" w:evenVBand="0" w:oddHBand="0" w:evenHBand="0" w:firstRowFirstColumn="0" w:firstRowLastColumn="0" w:lastRowFirstColumn="0" w:lastRowLastColumn="0"/>
                        </w:pPr>
                        <w:r w:rsidRPr="00D8320C">
                          <w:t>7,460</w:t>
                        </w:r>
                      </w:p>
                    </w:tc>
                    <w:tc>
                      <w:tcPr>
                        <w:tcW w:w="0" w:type="dxa"/>
                        <w:vAlign w:val="center"/>
                        <w:hideMark/>
                      </w:tcPr>
                      <w:p w14:paraId="79949BFF" w14:textId="77777777" w:rsidR="00967ECF" w:rsidRPr="00D8320C" w:rsidRDefault="00967ECF">
                        <w:pPr>
                          <w:pStyle w:val="TableText"/>
                          <w:cnfStyle w:val="000000000000" w:firstRow="0" w:lastRow="0" w:firstColumn="0" w:lastColumn="0" w:oddVBand="0" w:evenVBand="0" w:oddHBand="0" w:evenHBand="0" w:firstRowFirstColumn="0" w:firstRowLastColumn="0" w:lastRowFirstColumn="0" w:lastRowLastColumn="0"/>
                        </w:pPr>
                        <w:r w:rsidRPr="00D8320C">
                          <w:t>33,017</w:t>
                        </w:r>
                      </w:p>
                    </w:tc>
                    <w:tc>
                      <w:tcPr>
                        <w:tcW w:w="0" w:type="dxa"/>
                        <w:vAlign w:val="center"/>
                        <w:hideMark/>
                      </w:tcPr>
                      <w:p w14:paraId="55318191" w14:textId="77777777" w:rsidR="00967ECF" w:rsidRPr="00D8320C" w:rsidRDefault="00967ECF">
                        <w:pPr>
                          <w:pStyle w:val="TableText"/>
                          <w:cnfStyle w:val="000000000000" w:firstRow="0" w:lastRow="0" w:firstColumn="0" w:lastColumn="0" w:oddVBand="0" w:evenVBand="0" w:oddHBand="0" w:evenHBand="0" w:firstRowFirstColumn="0" w:firstRowLastColumn="0" w:lastRowFirstColumn="0" w:lastRowLastColumn="0"/>
                        </w:pPr>
                        <w:r w:rsidRPr="00D8320C">
                          <w:t>40,477</w:t>
                        </w:r>
                      </w:p>
                    </w:tc>
                    <w:tc>
                      <w:tcPr>
                        <w:tcW w:w="0" w:type="dxa"/>
                        <w:vAlign w:val="center"/>
                        <w:hideMark/>
                      </w:tcPr>
                      <w:p w14:paraId="6744824C" w14:textId="77777777" w:rsidR="00967ECF" w:rsidRPr="00D8320C" w:rsidRDefault="00967ECF">
                        <w:pPr>
                          <w:pStyle w:val="TableText"/>
                          <w:cnfStyle w:val="000000000000" w:firstRow="0" w:lastRow="0" w:firstColumn="0" w:lastColumn="0" w:oddVBand="0" w:evenVBand="0" w:oddHBand="0" w:evenHBand="0" w:firstRowFirstColumn="0" w:firstRowLastColumn="0" w:lastRowFirstColumn="0" w:lastRowLastColumn="0"/>
                        </w:pPr>
                        <w:r w:rsidRPr="00D8320C">
                          <w:t>1.5%</w:t>
                        </w:r>
                      </w:p>
                    </w:tc>
                  </w:tr>
                  <w:tr w:rsidR="00967ECF" w:rsidRPr="00D8320C" w14:paraId="6756EB5B" w14:textId="77777777" w:rsidTr="00321BC5">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0" w:type="dxa"/>
                        <w:vAlign w:val="center"/>
                        <w:hideMark/>
                      </w:tcPr>
                      <w:p w14:paraId="3578C906" w14:textId="77777777" w:rsidR="00967ECF" w:rsidRPr="0078378F" w:rsidRDefault="00967ECF">
                        <w:pPr>
                          <w:pStyle w:val="TableText"/>
                          <w:rPr>
                            <w:b w:val="0"/>
                            <w:bCs w:val="0"/>
                          </w:rPr>
                        </w:pPr>
                        <w:r w:rsidRPr="0078378F">
                          <w:rPr>
                            <w:b w:val="0"/>
                            <w:bCs w:val="0"/>
                          </w:rPr>
                          <w:t>Bullying victimisation</w:t>
                        </w:r>
                      </w:p>
                    </w:tc>
                    <w:tc>
                      <w:tcPr>
                        <w:tcW w:w="0" w:type="dxa"/>
                        <w:vAlign w:val="center"/>
                        <w:hideMark/>
                      </w:tcPr>
                      <w:p w14:paraId="75C4C098" w14:textId="77777777" w:rsidR="00967ECF" w:rsidRPr="00D8320C" w:rsidRDefault="00967ECF">
                        <w:pPr>
                          <w:pStyle w:val="TableText"/>
                          <w:cnfStyle w:val="000000100000" w:firstRow="0" w:lastRow="0" w:firstColumn="0" w:lastColumn="0" w:oddVBand="0" w:evenVBand="0" w:oddHBand="1" w:evenHBand="0" w:firstRowFirstColumn="0" w:firstRowLastColumn="0" w:lastRowFirstColumn="0" w:lastRowLastColumn="0"/>
                        </w:pPr>
                        <w:r w:rsidRPr="00D8320C">
                          <w:t>Females</w:t>
                        </w:r>
                      </w:p>
                    </w:tc>
                    <w:tc>
                      <w:tcPr>
                        <w:tcW w:w="0" w:type="dxa"/>
                        <w:vAlign w:val="center"/>
                        <w:hideMark/>
                      </w:tcPr>
                      <w:p w14:paraId="181D8A1F" w14:textId="77777777" w:rsidR="00967ECF" w:rsidRPr="00D8320C" w:rsidRDefault="00967ECF">
                        <w:pPr>
                          <w:pStyle w:val="TableText"/>
                          <w:cnfStyle w:val="000000100000" w:firstRow="0" w:lastRow="0" w:firstColumn="0" w:lastColumn="0" w:oddVBand="0" w:evenVBand="0" w:oddHBand="1" w:evenHBand="0" w:firstRowFirstColumn="0" w:firstRowLastColumn="0" w:lastRowFirstColumn="0" w:lastRowLastColumn="0"/>
                        </w:pPr>
                        <w:r w:rsidRPr="00D8320C">
                          <w:t>0</w:t>
                        </w:r>
                      </w:p>
                    </w:tc>
                    <w:tc>
                      <w:tcPr>
                        <w:tcW w:w="0" w:type="dxa"/>
                        <w:vAlign w:val="center"/>
                        <w:hideMark/>
                      </w:tcPr>
                      <w:p w14:paraId="40488753" w14:textId="77777777" w:rsidR="00967ECF" w:rsidRPr="00D8320C" w:rsidRDefault="00967ECF">
                        <w:pPr>
                          <w:pStyle w:val="TableText"/>
                          <w:cnfStyle w:val="000000100000" w:firstRow="0" w:lastRow="0" w:firstColumn="0" w:lastColumn="0" w:oddVBand="0" w:evenVBand="0" w:oddHBand="1" w:evenHBand="0" w:firstRowFirstColumn="0" w:firstRowLastColumn="0" w:lastRowFirstColumn="0" w:lastRowLastColumn="0"/>
                        </w:pPr>
                        <w:r w:rsidRPr="00D8320C">
                          <w:t>4,648</w:t>
                        </w:r>
                      </w:p>
                    </w:tc>
                    <w:tc>
                      <w:tcPr>
                        <w:tcW w:w="0" w:type="dxa"/>
                        <w:vAlign w:val="center"/>
                        <w:hideMark/>
                      </w:tcPr>
                      <w:p w14:paraId="397C609B" w14:textId="77777777" w:rsidR="00967ECF" w:rsidRPr="00D8320C" w:rsidRDefault="00967ECF">
                        <w:pPr>
                          <w:pStyle w:val="TableText"/>
                          <w:cnfStyle w:val="000000100000" w:firstRow="0" w:lastRow="0" w:firstColumn="0" w:lastColumn="0" w:oddVBand="0" w:evenVBand="0" w:oddHBand="1" w:evenHBand="0" w:firstRowFirstColumn="0" w:firstRowLastColumn="0" w:lastRowFirstColumn="0" w:lastRowLastColumn="0"/>
                        </w:pPr>
                        <w:r w:rsidRPr="00D8320C">
                          <w:t>4,648</w:t>
                        </w:r>
                      </w:p>
                    </w:tc>
                    <w:tc>
                      <w:tcPr>
                        <w:tcW w:w="0" w:type="dxa"/>
                        <w:vAlign w:val="center"/>
                        <w:hideMark/>
                      </w:tcPr>
                      <w:p w14:paraId="7392F1E6" w14:textId="77777777" w:rsidR="00967ECF" w:rsidRPr="00D8320C" w:rsidRDefault="00967ECF">
                        <w:pPr>
                          <w:pStyle w:val="TableText"/>
                          <w:cnfStyle w:val="000000100000" w:firstRow="0" w:lastRow="0" w:firstColumn="0" w:lastColumn="0" w:oddVBand="0" w:evenVBand="0" w:oddHBand="1" w:evenHBand="0" w:firstRowFirstColumn="0" w:firstRowLastColumn="0" w:lastRowFirstColumn="0" w:lastRowLastColumn="0"/>
                        </w:pPr>
                        <w:r w:rsidRPr="00D8320C">
                          <w:t>0.2%</w:t>
                        </w:r>
                      </w:p>
                    </w:tc>
                  </w:tr>
                  <w:tr w:rsidR="00A94951" w:rsidRPr="00D8320C" w14:paraId="3BC97263" w14:textId="77777777" w:rsidTr="00094E78">
                    <w:trPr>
                      <w:trHeight w:val="469"/>
                    </w:trPr>
                    <w:tc>
                      <w:tcPr>
                        <w:cnfStyle w:val="001000000000" w:firstRow="0" w:lastRow="0" w:firstColumn="1" w:lastColumn="0" w:oddVBand="0" w:evenVBand="0" w:oddHBand="0" w:evenHBand="0" w:firstRowFirstColumn="0" w:firstRowLastColumn="0" w:lastRowFirstColumn="0" w:lastRowLastColumn="0"/>
                        <w:tcW w:w="0" w:type="dxa"/>
                        <w:vAlign w:val="center"/>
                        <w:hideMark/>
                      </w:tcPr>
                      <w:p w14:paraId="0C8FE3FE" w14:textId="77777777" w:rsidR="00967ECF" w:rsidRPr="0078378F" w:rsidRDefault="00967ECF">
                        <w:pPr>
                          <w:pStyle w:val="TableText"/>
                          <w:rPr>
                            <w:b w:val="0"/>
                            <w:bCs w:val="0"/>
                          </w:rPr>
                        </w:pPr>
                        <w:r w:rsidRPr="0078378F">
                          <w:rPr>
                            <w:b w:val="0"/>
                            <w:bCs w:val="0"/>
                          </w:rPr>
                          <w:t>Child abuse &amp; neglect</w:t>
                        </w:r>
                      </w:p>
                    </w:tc>
                    <w:tc>
                      <w:tcPr>
                        <w:tcW w:w="0" w:type="dxa"/>
                        <w:vAlign w:val="center"/>
                        <w:hideMark/>
                      </w:tcPr>
                      <w:p w14:paraId="072A4A43" w14:textId="77777777" w:rsidR="00967ECF" w:rsidRPr="00D8320C" w:rsidRDefault="00967ECF">
                        <w:pPr>
                          <w:pStyle w:val="TableText"/>
                          <w:cnfStyle w:val="000000000000" w:firstRow="0" w:lastRow="0" w:firstColumn="0" w:lastColumn="0" w:oddVBand="0" w:evenVBand="0" w:oddHBand="0" w:evenHBand="0" w:firstRowFirstColumn="0" w:firstRowLastColumn="0" w:lastRowFirstColumn="0" w:lastRowLastColumn="0"/>
                        </w:pPr>
                        <w:r w:rsidRPr="00D8320C">
                          <w:t>Males</w:t>
                        </w:r>
                      </w:p>
                    </w:tc>
                    <w:tc>
                      <w:tcPr>
                        <w:tcW w:w="0" w:type="dxa"/>
                        <w:vAlign w:val="center"/>
                        <w:hideMark/>
                      </w:tcPr>
                      <w:p w14:paraId="7C6FAEA6" w14:textId="77777777" w:rsidR="00967ECF" w:rsidRPr="00D8320C" w:rsidRDefault="00967ECF">
                        <w:pPr>
                          <w:pStyle w:val="TableText"/>
                          <w:cnfStyle w:val="000000000000" w:firstRow="0" w:lastRow="0" w:firstColumn="0" w:lastColumn="0" w:oddVBand="0" w:evenVBand="0" w:oddHBand="0" w:evenHBand="0" w:firstRowFirstColumn="0" w:firstRowLastColumn="0" w:lastRowFirstColumn="0" w:lastRowLastColumn="0"/>
                        </w:pPr>
                        <w:r w:rsidRPr="00D8320C">
                          <w:t>23,269</w:t>
                        </w:r>
                      </w:p>
                    </w:tc>
                    <w:tc>
                      <w:tcPr>
                        <w:tcW w:w="0" w:type="dxa"/>
                        <w:vAlign w:val="center"/>
                        <w:hideMark/>
                      </w:tcPr>
                      <w:p w14:paraId="638C0CFD" w14:textId="77777777" w:rsidR="00967ECF" w:rsidRPr="00D8320C" w:rsidRDefault="00967ECF">
                        <w:pPr>
                          <w:pStyle w:val="TableText"/>
                          <w:cnfStyle w:val="000000000000" w:firstRow="0" w:lastRow="0" w:firstColumn="0" w:lastColumn="0" w:oddVBand="0" w:evenVBand="0" w:oddHBand="0" w:evenHBand="0" w:firstRowFirstColumn="0" w:firstRowLastColumn="0" w:lastRowFirstColumn="0" w:lastRowLastColumn="0"/>
                        </w:pPr>
                        <w:r w:rsidRPr="00D8320C">
                          <w:t>29,757</w:t>
                        </w:r>
                      </w:p>
                    </w:tc>
                    <w:tc>
                      <w:tcPr>
                        <w:tcW w:w="0" w:type="dxa"/>
                        <w:vAlign w:val="center"/>
                        <w:hideMark/>
                      </w:tcPr>
                      <w:p w14:paraId="0EDB3B53" w14:textId="77777777" w:rsidR="00967ECF" w:rsidRPr="00D8320C" w:rsidRDefault="00967ECF">
                        <w:pPr>
                          <w:pStyle w:val="TableText"/>
                          <w:cnfStyle w:val="000000000000" w:firstRow="0" w:lastRow="0" w:firstColumn="0" w:lastColumn="0" w:oddVBand="0" w:evenVBand="0" w:oddHBand="0" w:evenHBand="0" w:firstRowFirstColumn="0" w:firstRowLastColumn="0" w:lastRowFirstColumn="0" w:lastRowLastColumn="0"/>
                        </w:pPr>
                        <w:r w:rsidRPr="00D8320C">
                          <w:t>53,026</w:t>
                        </w:r>
                      </w:p>
                    </w:tc>
                    <w:tc>
                      <w:tcPr>
                        <w:tcW w:w="0" w:type="dxa"/>
                        <w:vAlign w:val="center"/>
                        <w:hideMark/>
                      </w:tcPr>
                      <w:p w14:paraId="0B7FAAD5" w14:textId="77777777" w:rsidR="00967ECF" w:rsidRPr="00D8320C" w:rsidRDefault="00967ECF">
                        <w:pPr>
                          <w:pStyle w:val="TableText"/>
                          <w:cnfStyle w:val="000000000000" w:firstRow="0" w:lastRow="0" w:firstColumn="0" w:lastColumn="0" w:oddVBand="0" w:evenVBand="0" w:oddHBand="0" w:evenHBand="0" w:firstRowFirstColumn="0" w:firstRowLastColumn="0" w:lastRowFirstColumn="0" w:lastRowLastColumn="0"/>
                        </w:pPr>
                        <w:r w:rsidRPr="00D8320C">
                          <w:t>1.8%</w:t>
                        </w:r>
                      </w:p>
                    </w:tc>
                  </w:tr>
                  <w:tr w:rsidR="00967ECF" w:rsidRPr="00D8320C" w14:paraId="71732E44" w14:textId="77777777" w:rsidTr="00321BC5">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0" w:type="dxa"/>
                        <w:vAlign w:val="center"/>
                        <w:hideMark/>
                      </w:tcPr>
                      <w:p w14:paraId="3A3624F8" w14:textId="77777777" w:rsidR="00967ECF" w:rsidRPr="0078378F" w:rsidRDefault="00967ECF">
                        <w:pPr>
                          <w:pStyle w:val="TableText"/>
                          <w:rPr>
                            <w:b w:val="0"/>
                            <w:bCs w:val="0"/>
                          </w:rPr>
                        </w:pPr>
                        <w:r w:rsidRPr="0078378F">
                          <w:rPr>
                            <w:b w:val="0"/>
                            <w:bCs w:val="0"/>
                          </w:rPr>
                          <w:t>Bullying victimisation</w:t>
                        </w:r>
                      </w:p>
                    </w:tc>
                    <w:tc>
                      <w:tcPr>
                        <w:tcW w:w="0" w:type="dxa"/>
                        <w:vAlign w:val="center"/>
                        <w:hideMark/>
                      </w:tcPr>
                      <w:p w14:paraId="4A35123D" w14:textId="77777777" w:rsidR="00967ECF" w:rsidRPr="00D8320C" w:rsidRDefault="00967ECF">
                        <w:pPr>
                          <w:pStyle w:val="TableText"/>
                          <w:cnfStyle w:val="000000100000" w:firstRow="0" w:lastRow="0" w:firstColumn="0" w:lastColumn="0" w:oddVBand="0" w:evenVBand="0" w:oddHBand="1" w:evenHBand="0" w:firstRowFirstColumn="0" w:firstRowLastColumn="0" w:lastRowFirstColumn="0" w:lastRowLastColumn="0"/>
                        </w:pPr>
                        <w:r w:rsidRPr="00D8320C">
                          <w:t>Males</w:t>
                        </w:r>
                      </w:p>
                    </w:tc>
                    <w:tc>
                      <w:tcPr>
                        <w:tcW w:w="0" w:type="dxa"/>
                        <w:vAlign w:val="center"/>
                        <w:hideMark/>
                      </w:tcPr>
                      <w:p w14:paraId="71098752" w14:textId="77777777" w:rsidR="00967ECF" w:rsidRPr="00D8320C" w:rsidRDefault="00967ECF">
                        <w:pPr>
                          <w:pStyle w:val="TableText"/>
                          <w:cnfStyle w:val="000000100000" w:firstRow="0" w:lastRow="0" w:firstColumn="0" w:lastColumn="0" w:oddVBand="0" w:evenVBand="0" w:oddHBand="1" w:evenHBand="0" w:firstRowFirstColumn="0" w:firstRowLastColumn="0" w:lastRowFirstColumn="0" w:lastRowLastColumn="0"/>
                        </w:pPr>
                        <w:r w:rsidRPr="00D8320C">
                          <w:t>0</w:t>
                        </w:r>
                      </w:p>
                    </w:tc>
                    <w:tc>
                      <w:tcPr>
                        <w:tcW w:w="0" w:type="dxa"/>
                        <w:vAlign w:val="center"/>
                        <w:hideMark/>
                      </w:tcPr>
                      <w:p w14:paraId="15995AD7" w14:textId="77777777" w:rsidR="00967ECF" w:rsidRPr="00D8320C" w:rsidRDefault="00967ECF">
                        <w:pPr>
                          <w:pStyle w:val="TableText"/>
                          <w:cnfStyle w:val="000000100000" w:firstRow="0" w:lastRow="0" w:firstColumn="0" w:lastColumn="0" w:oddVBand="0" w:evenVBand="0" w:oddHBand="1" w:evenHBand="0" w:firstRowFirstColumn="0" w:firstRowLastColumn="0" w:lastRowFirstColumn="0" w:lastRowLastColumn="0"/>
                        </w:pPr>
                        <w:r w:rsidRPr="00D8320C">
                          <w:t>3,337</w:t>
                        </w:r>
                      </w:p>
                    </w:tc>
                    <w:tc>
                      <w:tcPr>
                        <w:tcW w:w="0" w:type="dxa"/>
                        <w:vAlign w:val="center"/>
                        <w:hideMark/>
                      </w:tcPr>
                      <w:p w14:paraId="373E9BEF" w14:textId="77777777" w:rsidR="00967ECF" w:rsidRPr="00D8320C" w:rsidRDefault="00967ECF">
                        <w:pPr>
                          <w:pStyle w:val="TableText"/>
                          <w:cnfStyle w:val="000000100000" w:firstRow="0" w:lastRow="0" w:firstColumn="0" w:lastColumn="0" w:oddVBand="0" w:evenVBand="0" w:oddHBand="1" w:evenHBand="0" w:firstRowFirstColumn="0" w:firstRowLastColumn="0" w:lastRowFirstColumn="0" w:lastRowLastColumn="0"/>
                        </w:pPr>
                        <w:r w:rsidRPr="00D8320C">
                          <w:t>3,337</w:t>
                        </w:r>
                      </w:p>
                    </w:tc>
                    <w:tc>
                      <w:tcPr>
                        <w:tcW w:w="0" w:type="dxa"/>
                        <w:vAlign w:val="center"/>
                        <w:hideMark/>
                      </w:tcPr>
                      <w:p w14:paraId="77F0F1A5" w14:textId="77777777" w:rsidR="00967ECF" w:rsidRPr="00D8320C" w:rsidRDefault="00967ECF">
                        <w:pPr>
                          <w:pStyle w:val="TableText"/>
                          <w:cnfStyle w:val="000000100000" w:firstRow="0" w:lastRow="0" w:firstColumn="0" w:lastColumn="0" w:oddVBand="0" w:evenVBand="0" w:oddHBand="1" w:evenHBand="0" w:firstRowFirstColumn="0" w:firstRowLastColumn="0" w:lastRowFirstColumn="0" w:lastRowLastColumn="0"/>
                        </w:pPr>
                        <w:r w:rsidRPr="00D8320C">
                          <w:t>0.1%</w:t>
                        </w:r>
                      </w:p>
                    </w:tc>
                  </w:tr>
                  <w:tr w:rsidR="00A94951" w:rsidRPr="00D8320C" w14:paraId="26002F1C" w14:textId="77777777" w:rsidTr="00094E78">
                    <w:trPr>
                      <w:trHeight w:val="469"/>
                    </w:trPr>
                    <w:tc>
                      <w:tcPr>
                        <w:cnfStyle w:val="001000000000" w:firstRow="0" w:lastRow="0" w:firstColumn="1" w:lastColumn="0" w:oddVBand="0" w:evenVBand="0" w:oddHBand="0" w:evenHBand="0" w:firstRowFirstColumn="0" w:firstRowLastColumn="0" w:lastRowFirstColumn="0" w:lastRowLastColumn="0"/>
                        <w:tcW w:w="0" w:type="dxa"/>
                        <w:vAlign w:val="center"/>
                        <w:hideMark/>
                      </w:tcPr>
                      <w:p w14:paraId="6AC2D31F" w14:textId="77777777" w:rsidR="00967ECF" w:rsidRPr="0078378F" w:rsidRDefault="00967ECF">
                        <w:pPr>
                          <w:pStyle w:val="TableText"/>
                          <w:rPr>
                            <w:b w:val="0"/>
                            <w:bCs w:val="0"/>
                          </w:rPr>
                        </w:pPr>
                        <w:r w:rsidRPr="0078378F">
                          <w:rPr>
                            <w:b w:val="0"/>
                            <w:bCs w:val="0"/>
                          </w:rPr>
                          <w:t>Child abuse &amp; neglect</w:t>
                        </w:r>
                      </w:p>
                    </w:tc>
                    <w:tc>
                      <w:tcPr>
                        <w:tcW w:w="0" w:type="dxa"/>
                        <w:vAlign w:val="center"/>
                        <w:hideMark/>
                      </w:tcPr>
                      <w:p w14:paraId="4F2A462B" w14:textId="77777777" w:rsidR="00967ECF" w:rsidRPr="00D8320C" w:rsidRDefault="00967ECF">
                        <w:pPr>
                          <w:pStyle w:val="TableText"/>
                          <w:cnfStyle w:val="000000000000" w:firstRow="0" w:lastRow="0" w:firstColumn="0" w:lastColumn="0" w:oddVBand="0" w:evenVBand="0" w:oddHBand="0" w:evenHBand="0" w:firstRowFirstColumn="0" w:firstRowLastColumn="0" w:lastRowFirstColumn="0" w:lastRowLastColumn="0"/>
                        </w:pPr>
                        <w:r w:rsidRPr="00D8320C">
                          <w:t>Persons</w:t>
                        </w:r>
                      </w:p>
                    </w:tc>
                    <w:tc>
                      <w:tcPr>
                        <w:tcW w:w="0" w:type="dxa"/>
                        <w:vAlign w:val="center"/>
                        <w:hideMark/>
                      </w:tcPr>
                      <w:p w14:paraId="23D2CDC5" w14:textId="77777777" w:rsidR="00967ECF" w:rsidRPr="00D8320C" w:rsidRDefault="00967ECF">
                        <w:pPr>
                          <w:pStyle w:val="TableText"/>
                          <w:cnfStyle w:val="000000000000" w:firstRow="0" w:lastRow="0" w:firstColumn="0" w:lastColumn="0" w:oddVBand="0" w:evenVBand="0" w:oddHBand="0" w:evenHBand="0" w:firstRowFirstColumn="0" w:firstRowLastColumn="0" w:lastRowFirstColumn="0" w:lastRowLastColumn="0"/>
                        </w:pPr>
                        <w:r w:rsidRPr="00D8320C">
                          <w:t>33,900</w:t>
                        </w:r>
                      </w:p>
                    </w:tc>
                    <w:tc>
                      <w:tcPr>
                        <w:tcW w:w="0" w:type="dxa"/>
                        <w:vAlign w:val="center"/>
                        <w:hideMark/>
                      </w:tcPr>
                      <w:p w14:paraId="692CB27D" w14:textId="77777777" w:rsidR="00967ECF" w:rsidRPr="00D8320C" w:rsidRDefault="00967ECF">
                        <w:pPr>
                          <w:pStyle w:val="TableText"/>
                          <w:cnfStyle w:val="000000000000" w:firstRow="0" w:lastRow="0" w:firstColumn="0" w:lastColumn="0" w:oddVBand="0" w:evenVBand="0" w:oddHBand="0" w:evenHBand="0" w:firstRowFirstColumn="0" w:firstRowLastColumn="0" w:lastRowFirstColumn="0" w:lastRowLastColumn="0"/>
                        </w:pPr>
                        <w:r w:rsidRPr="00D8320C">
                          <w:t>89,529</w:t>
                        </w:r>
                      </w:p>
                    </w:tc>
                    <w:tc>
                      <w:tcPr>
                        <w:tcW w:w="0" w:type="dxa"/>
                        <w:vAlign w:val="center"/>
                        <w:hideMark/>
                      </w:tcPr>
                      <w:p w14:paraId="72C860E4" w14:textId="77777777" w:rsidR="00967ECF" w:rsidRPr="00D8320C" w:rsidRDefault="00967ECF">
                        <w:pPr>
                          <w:pStyle w:val="TableText"/>
                          <w:cnfStyle w:val="000000000000" w:firstRow="0" w:lastRow="0" w:firstColumn="0" w:lastColumn="0" w:oddVBand="0" w:evenVBand="0" w:oddHBand="0" w:evenHBand="0" w:firstRowFirstColumn="0" w:firstRowLastColumn="0" w:lastRowFirstColumn="0" w:lastRowLastColumn="0"/>
                        </w:pPr>
                        <w:r w:rsidRPr="00D8320C">
                          <w:t>123,429</w:t>
                        </w:r>
                      </w:p>
                    </w:tc>
                    <w:tc>
                      <w:tcPr>
                        <w:tcW w:w="0" w:type="dxa"/>
                        <w:vAlign w:val="center"/>
                        <w:hideMark/>
                      </w:tcPr>
                      <w:p w14:paraId="0C39F1DC" w14:textId="77777777" w:rsidR="00967ECF" w:rsidRPr="00D8320C" w:rsidRDefault="00967ECF">
                        <w:pPr>
                          <w:pStyle w:val="TableText"/>
                          <w:cnfStyle w:val="000000000000" w:firstRow="0" w:lastRow="0" w:firstColumn="0" w:lastColumn="0" w:oddVBand="0" w:evenVBand="0" w:oddHBand="0" w:evenHBand="0" w:firstRowFirstColumn="0" w:firstRowLastColumn="0" w:lastRowFirstColumn="0" w:lastRowLastColumn="0"/>
                        </w:pPr>
                        <w:r w:rsidRPr="00D8320C">
                          <w:t>2.1%</w:t>
                        </w:r>
                      </w:p>
                    </w:tc>
                  </w:tr>
                  <w:tr w:rsidR="00967ECF" w:rsidRPr="00D8320C" w14:paraId="2EF816C6" w14:textId="77777777" w:rsidTr="00321BC5">
                    <w:trPr>
                      <w:cnfStyle w:val="000000100000" w:firstRow="0" w:lastRow="0" w:firstColumn="0" w:lastColumn="0" w:oddVBand="0" w:evenVBand="0" w:oddHBand="1" w:evenHBand="0" w:firstRowFirstColumn="0" w:firstRowLastColumn="0" w:lastRowFirstColumn="0" w:lastRowLastColumn="0"/>
                      <w:trHeight w:val="609"/>
                    </w:trPr>
                    <w:tc>
                      <w:tcPr>
                        <w:cnfStyle w:val="001000000000" w:firstRow="0" w:lastRow="0" w:firstColumn="1" w:lastColumn="0" w:oddVBand="0" w:evenVBand="0" w:oddHBand="0" w:evenHBand="0" w:firstRowFirstColumn="0" w:firstRowLastColumn="0" w:lastRowFirstColumn="0" w:lastRowLastColumn="0"/>
                        <w:tcW w:w="0" w:type="dxa"/>
                        <w:vAlign w:val="center"/>
                        <w:hideMark/>
                      </w:tcPr>
                      <w:p w14:paraId="701C02C3" w14:textId="77777777" w:rsidR="00967ECF" w:rsidRPr="0078378F" w:rsidRDefault="00967ECF">
                        <w:pPr>
                          <w:pStyle w:val="TableText"/>
                          <w:rPr>
                            <w:b w:val="0"/>
                            <w:bCs w:val="0"/>
                          </w:rPr>
                        </w:pPr>
                        <w:r w:rsidRPr="0078378F">
                          <w:rPr>
                            <w:b w:val="0"/>
                            <w:bCs w:val="0"/>
                          </w:rPr>
                          <w:t>Intimate partner violence</w:t>
                        </w:r>
                      </w:p>
                    </w:tc>
                    <w:tc>
                      <w:tcPr>
                        <w:tcW w:w="0" w:type="dxa"/>
                        <w:vAlign w:val="center"/>
                        <w:hideMark/>
                      </w:tcPr>
                      <w:p w14:paraId="7DA2D884" w14:textId="77777777" w:rsidR="00967ECF" w:rsidRPr="00D8320C" w:rsidRDefault="00967ECF">
                        <w:pPr>
                          <w:pStyle w:val="TableText"/>
                          <w:cnfStyle w:val="000000100000" w:firstRow="0" w:lastRow="0" w:firstColumn="0" w:lastColumn="0" w:oddVBand="0" w:evenVBand="0" w:oddHBand="1" w:evenHBand="0" w:firstRowFirstColumn="0" w:firstRowLastColumn="0" w:lastRowFirstColumn="0" w:lastRowLastColumn="0"/>
                        </w:pPr>
                        <w:r w:rsidRPr="00D8320C">
                          <w:t>Persons</w:t>
                        </w:r>
                      </w:p>
                    </w:tc>
                    <w:tc>
                      <w:tcPr>
                        <w:tcW w:w="0" w:type="dxa"/>
                        <w:vAlign w:val="center"/>
                        <w:hideMark/>
                      </w:tcPr>
                      <w:p w14:paraId="6B592C86" w14:textId="77777777" w:rsidR="00967ECF" w:rsidRPr="00D8320C" w:rsidRDefault="00967ECF">
                        <w:pPr>
                          <w:pStyle w:val="TableText"/>
                          <w:cnfStyle w:val="000000100000" w:firstRow="0" w:lastRow="0" w:firstColumn="0" w:lastColumn="0" w:oddVBand="0" w:evenVBand="0" w:oddHBand="1" w:evenHBand="0" w:firstRowFirstColumn="0" w:firstRowLastColumn="0" w:lastRowFirstColumn="0" w:lastRowLastColumn="0"/>
                        </w:pPr>
                        <w:r w:rsidRPr="00D8320C">
                          <w:t>7,460</w:t>
                        </w:r>
                      </w:p>
                    </w:tc>
                    <w:tc>
                      <w:tcPr>
                        <w:tcW w:w="0" w:type="dxa"/>
                        <w:vAlign w:val="center"/>
                        <w:hideMark/>
                      </w:tcPr>
                      <w:p w14:paraId="570DF229" w14:textId="77777777" w:rsidR="00967ECF" w:rsidRPr="00D8320C" w:rsidRDefault="00967ECF">
                        <w:pPr>
                          <w:pStyle w:val="TableText"/>
                          <w:cnfStyle w:val="000000100000" w:firstRow="0" w:lastRow="0" w:firstColumn="0" w:lastColumn="0" w:oddVBand="0" w:evenVBand="0" w:oddHBand="1" w:evenHBand="0" w:firstRowFirstColumn="0" w:firstRowLastColumn="0" w:lastRowFirstColumn="0" w:lastRowLastColumn="0"/>
                        </w:pPr>
                        <w:r w:rsidRPr="00D8320C">
                          <w:t>33,017</w:t>
                        </w:r>
                      </w:p>
                    </w:tc>
                    <w:tc>
                      <w:tcPr>
                        <w:tcW w:w="0" w:type="dxa"/>
                        <w:vAlign w:val="center"/>
                        <w:hideMark/>
                      </w:tcPr>
                      <w:p w14:paraId="4D0FF4DF" w14:textId="77777777" w:rsidR="00967ECF" w:rsidRPr="00D8320C" w:rsidRDefault="00967ECF">
                        <w:pPr>
                          <w:pStyle w:val="TableText"/>
                          <w:cnfStyle w:val="000000100000" w:firstRow="0" w:lastRow="0" w:firstColumn="0" w:lastColumn="0" w:oddVBand="0" w:evenVBand="0" w:oddHBand="1" w:evenHBand="0" w:firstRowFirstColumn="0" w:firstRowLastColumn="0" w:lastRowFirstColumn="0" w:lastRowLastColumn="0"/>
                        </w:pPr>
                        <w:r w:rsidRPr="00D8320C">
                          <w:t>40,477</w:t>
                        </w:r>
                      </w:p>
                    </w:tc>
                    <w:tc>
                      <w:tcPr>
                        <w:tcW w:w="0" w:type="dxa"/>
                        <w:vAlign w:val="center"/>
                        <w:hideMark/>
                      </w:tcPr>
                      <w:p w14:paraId="7831F104" w14:textId="77777777" w:rsidR="00967ECF" w:rsidRPr="00D8320C" w:rsidRDefault="00967ECF">
                        <w:pPr>
                          <w:pStyle w:val="TableText"/>
                          <w:cnfStyle w:val="000000100000" w:firstRow="0" w:lastRow="0" w:firstColumn="0" w:lastColumn="0" w:oddVBand="0" w:evenVBand="0" w:oddHBand="1" w:evenHBand="0" w:firstRowFirstColumn="0" w:firstRowLastColumn="0" w:lastRowFirstColumn="0" w:lastRowLastColumn="0"/>
                        </w:pPr>
                        <w:r w:rsidRPr="00D8320C">
                          <w:t>0.7%</w:t>
                        </w:r>
                      </w:p>
                    </w:tc>
                  </w:tr>
                  <w:tr w:rsidR="00A94951" w:rsidRPr="00D8320C" w14:paraId="63946C61" w14:textId="77777777" w:rsidTr="00094E78">
                    <w:trPr>
                      <w:trHeight w:val="469"/>
                    </w:trPr>
                    <w:tc>
                      <w:tcPr>
                        <w:cnfStyle w:val="001000000000" w:firstRow="0" w:lastRow="0" w:firstColumn="1" w:lastColumn="0" w:oddVBand="0" w:evenVBand="0" w:oddHBand="0" w:evenHBand="0" w:firstRowFirstColumn="0" w:firstRowLastColumn="0" w:lastRowFirstColumn="0" w:lastRowLastColumn="0"/>
                        <w:tcW w:w="0" w:type="dxa"/>
                        <w:vAlign w:val="center"/>
                        <w:hideMark/>
                      </w:tcPr>
                      <w:p w14:paraId="7E8E6831" w14:textId="77777777" w:rsidR="00967ECF" w:rsidRPr="0078378F" w:rsidRDefault="00967ECF">
                        <w:pPr>
                          <w:pStyle w:val="TableText"/>
                          <w:rPr>
                            <w:b w:val="0"/>
                            <w:bCs w:val="0"/>
                          </w:rPr>
                        </w:pPr>
                        <w:r w:rsidRPr="0078378F">
                          <w:rPr>
                            <w:b w:val="0"/>
                            <w:bCs w:val="0"/>
                          </w:rPr>
                          <w:t>Bullying victimisation</w:t>
                        </w:r>
                      </w:p>
                    </w:tc>
                    <w:tc>
                      <w:tcPr>
                        <w:tcW w:w="0" w:type="dxa"/>
                        <w:vAlign w:val="center"/>
                        <w:hideMark/>
                      </w:tcPr>
                      <w:p w14:paraId="38401DD5" w14:textId="77777777" w:rsidR="00967ECF" w:rsidRPr="00D8320C" w:rsidRDefault="00967ECF">
                        <w:pPr>
                          <w:pStyle w:val="TableText"/>
                          <w:cnfStyle w:val="000000000000" w:firstRow="0" w:lastRow="0" w:firstColumn="0" w:lastColumn="0" w:oddVBand="0" w:evenVBand="0" w:oddHBand="0" w:evenHBand="0" w:firstRowFirstColumn="0" w:firstRowLastColumn="0" w:lastRowFirstColumn="0" w:lastRowLastColumn="0"/>
                        </w:pPr>
                        <w:r w:rsidRPr="00D8320C">
                          <w:t>Persons</w:t>
                        </w:r>
                      </w:p>
                    </w:tc>
                    <w:tc>
                      <w:tcPr>
                        <w:tcW w:w="0" w:type="dxa"/>
                        <w:vAlign w:val="center"/>
                        <w:hideMark/>
                      </w:tcPr>
                      <w:p w14:paraId="0EC53BF0" w14:textId="77777777" w:rsidR="00967ECF" w:rsidRPr="00D8320C" w:rsidRDefault="00967ECF">
                        <w:pPr>
                          <w:pStyle w:val="TableText"/>
                          <w:cnfStyle w:val="000000000000" w:firstRow="0" w:lastRow="0" w:firstColumn="0" w:lastColumn="0" w:oddVBand="0" w:evenVBand="0" w:oddHBand="0" w:evenHBand="0" w:firstRowFirstColumn="0" w:firstRowLastColumn="0" w:lastRowFirstColumn="0" w:lastRowLastColumn="0"/>
                        </w:pPr>
                        <w:r w:rsidRPr="00D8320C">
                          <w:t>0</w:t>
                        </w:r>
                      </w:p>
                    </w:tc>
                    <w:tc>
                      <w:tcPr>
                        <w:tcW w:w="0" w:type="dxa"/>
                        <w:vAlign w:val="center"/>
                        <w:hideMark/>
                      </w:tcPr>
                      <w:p w14:paraId="3F992B92" w14:textId="77777777" w:rsidR="00967ECF" w:rsidRPr="00D8320C" w:rsidRDefault="00967ECF">
                        <w:pPr>
                          <w:pStyle w:val="TableText"/>
                          <w:cnfStyle w:val="000000000000" w:firstRow="0" w:lastRow="0" w:firstColumn="0" w:lastColumn="0" w:oddVBand="0" w:evenVBand="0" w:oddHBand="0" w:evenHBand="0" w:firstRowFirstColumn="0" w:firstRowLastColumn="0" w:lastRowFirstColumn="0" w:lastRowLastColumn="0"/>
                        </w:pPr>
                        <w:r w:rsidRPr="00D8320C">
                          <w:t>7,985</w:t>
                        </w:r>
                      </w:p>
                    </w:tc>
                    <w:tc>
                      <w:tcPr>
                        <w:tcW w:w="0" w:type="dxa"/>
                        <w:vAlign w:val="center"/>
                        <w:hideMark/>
                      </w:tcPr>
                      <w:p w14:paraId="72296185" w14:textId="77777777" w:rsidR="00967ECF" w:rsidRPr="00D8320C" w:rsidRDefault="00967ECF">
                        <w:pPr>
                          <w:pStyle w:val="TableText"/>
                          <w:cnfStyle w:val="000000000000" w:firstRow="0" w:lastRow="0" w:firstColumn="0" w:lastColumn="0" w:oddVBand="0" w:evenVBand="0" w:oddHBand="0" w:evenHBand="0" w:firstRowFirstColumn="0" w:firstRowLastColumn="0" w:lastRowFirstColumn="0" w:lastRowLastColumn="0"/>
                        </w:pPr>
                        <w:r w:rsidRPr="00D8320C">
                          <w:t>7,985</w:t>
                        </w:r>
                      </w:p>
                    </w:tc>
                    <w:tc>
                      <w:tcPr>
                        <w:tcW w:w="0" w:type="dxa"/>
                        <w:vAlign w:val="center"/>
                        <w:hideMark/>
                      </w:tcPr>
                      <w:p w14:paraId="388F1138" w14:textId="77777777" w:rsidR="00967ECF" w:rsidRPr="00D8320C" w:rsidRDefault="00967ECF">
                        <w:pPr>
                          <w:pStyle w:val="TableText"/>
                          <w:cnfStyle w:val="000000000000" w:firstRow="0" w:lastRow="0" w:firstColumn="0" w:lastColumn="0" w:oddVBand="0" w:evenVBand="0" w:oddHBand="0" w:evenHBand="0" w:firstRowFirstColumn="0" w:firstRowLastColumn="0" w:lastRowFirstColumn="0" w:lastRowLastColumn="0"/>
                        </w:pPr>
                        <w:r w:rsidRPr="00D8320C">
                          <w:t>0.1%</w:t>
                        </w:r>
                      </w:p>
                    </w:tc>
                  </w:tr>
                </w:tbl>
                <w:p w14:paraId="500EB9AD" w14:textId="4A5D41CD" w:rsidR="00967ECF" w:rsidRPr="009F5B0D" w:rsidRDefault="00967ECF" w:rsidP="00967ECF">
                  <w:pPr>
                    <w:pStyle w:val="Text"/>
                    <w:rPr>
                      <w:i/>
                      <w:sz w:val="18"/>
                      <w:szCs w:val="18"/>
                    </w:rPr>
                  </w:pPr>
                  <w:r w:rsidRPr="009F5B0D">
                    <w:rPr>
                      <w:i/>
                      <w:sz w:val="20"/>
                    </w:rPr>
                    <w:t xml:space="preserve">Source: </w:t>
                  </w:r>
                  <w:r w:rsidRPr="009F5B0D">
                    <w:rPr>
                      <w:i/>
                      <w:sz w:val="20"/>
                    </w:rPr>
                    <w:fldChar w:fldCharType="begin"/>
                  </w:r>
                  <w:r w:rsidR="003A464F" w:rsidRPr="009F5B0D">
                    <w:rPr>
                      <w:i/>
                      <w:sz w:val="20"/>
                    </w:rPr>
                    <w:instrText xml:space="preserve"> ADDIN ZOTERO_ITEM CSL_CITATION {"citationID":"SjLRt31Q","properties":{"formattedCitation":"(Australian Institute of Health and Welfare, 2024a)","plainCitation":"(Australian Institute of Health and Welfare, 2024a)","noteIndex":0},"citationItems":[{"id":"KNHaqWe9/v9Jy9dhl","uris":["http://zotero.org/groups/6054942/items/F2F5H5YS"],"itemData":{"id":5696,"type":"report","publisher":"Australian Institute of Health and Welfare","title":"Australian Burden of Disease Study 2024","URL":"https://www.aihw.gov.au/reports/burden-of-disease/australian-burden-of-disease-study-2024/contents/summary","author":[{"family":"Australian Institute of Health and Welfare","given":""}],"accessed":{"date-parts":[["2025",8,1]]},"issued":{"date-parts":[["2024"]]}}}],"schema":"https://github.com/citation-style-language/schema/raw/master/csl-citation.json"} </w:instrText>
                  </w:r>
                  <w:r w:rsidRPr="009F5B0D">
                    <w:rPr>
                      <w:i/>
                      <w:sz w:val="20"/>
                    </w:rPr>
                    <w:fldChar w:fldCharType="separate"/>
                  </w:r>
                  <w:r w:rsidR="003A464F" w:rsidRPr="009F5B0D">
                    <w:rPr>
                      <w:rFonts w:ascii="Arial" w:hAnsi="Arial" w:cs="Arial"/>
                      <w:sz w:val="20"/>
                      <w:szCs w:val="18"/>
                    </w:rPr>
                    <w:t>(Australian Institute of Health and Welfare, 2024a)</w:t>
                  </w:r>
                  <w:r w:rsidRPr="009F5B0D">
                    <w:rPr>
                      <w:i/>
                      <w:sz w:val="20"/>
                    </w:rPr>
                    <w:fldChar w:fldCharType="end"/>
                  </w:r>
                </w:p>
                <w:p w14:paraId="5FF60606" w14:textId="39870E68" w:rsidR="00967ECF" w:rsidRDefault="00967ECF" w:rsidP="00967ECF">
                  <w:pPr>
                    <w:pStyle w:val="Text"/>
                  </w:pPr>
                  <w:r>
                    <w:t xml:space="preserve">One DALY represents the loss of the equivalent of one year of full health. A comparable measure is a QALY that represents the value of an equivalent of one year of full health. The Pharmaceutical Benefits Advisory Committee considers medicines with an incremental cost-effectiveness ratio below $45,000 to $60,000 per QALY gained to be more likely to be </w:t>
                  </w:r>
                  <w:r>
                    <w:lastRenderedPageBreak/>
                    <w:t xml:space="preserve">recommended for funding. Previous Australian studies have adopted a $50,000 per QALY threshold and the WHO suggest a cost-effectiveness threshold of GDP/capita per QALY. The Australian Office of Impact </w:t>
                  </w:r>
                  <w:r w:rsidR="0004638C">
                    <w:t>A</w:t>
                  </w:r>
                  <w:r>
                    <w:t xml:space="preserve">nalysis estimates the value of a human life year (i.e. the estimate of the value society places on reducing the risk of dying) is $235,000 in 2023 dollars. Applying a conservative estimate of $50,000 per DALY to the disease burden places the cost of child abuse and neglect at $6.17 billion, IPV at $2 billion and bullying victimisation at $399 million. </w:t>
                  </w:r>
                </w:p>
                <w:p w14:paraId="730D2EF8" w14:textId="3791748E" w:rsidR="00967ECF" w:rsidRDefault="00967ECF" w:rsidP="00967ECF">
                  <w:pPr>
                    <w:pStyle w:val="Text"/>
                  </w:pPr>
                  <w:r>
                    <w:t>While it is challenging to precisely quantify the DALYs potentially averted by FaRS and SFVS, we can draw on available data and logical inference to assess potential impact. FaRS and SFVS are key components of Australia’s public health approach to family violence. They align with what research identifies as effective strategies: early intervention, victim support, and perpetrator accountability. By addressing problems before they escalate to violence, FaRS likely prevent</w:t>
                  </w:r>
                  <w:r w:rsidR="0053392B">
                    <w:t>s</w:t>
                  </w:r>
                  <w:r>
                    <w:t xml:space="preserve"> a portion of would-be family violence cases. By addressing problems after violence has occurred (and preventing recurrence), SFVS reduce</w:t>
                  </w:r>
                  <w:r w:rsidR="0053392B">
                    <w:t>s</w:t>
                  </w:r>
                  <w:r>
                    <w:t xml:space="preserve"> the severity and repetition of harm. Both approaches complement law enforcement and legal responses by focusing on underlying relationships and behaviours. The effectiveness of FaRS and SFVS is articulated through the </w:t>
                  </w:r>
                  <w:r w:rsidR="002A757C">
                    <w:t>P</w:t>
                  </w:r>
                  <w:r>
                    <w:t xml:space="preserve">rogram </w:t>
                  </w:r>
                  <w:r w:rsidR="002A757C">
                    <w:t>L</w:t>
                  </w:r>
                  <w:r>
                    <w:t xml:space="preserve">ogic models (see </w:t>
                  </w:r>
                  <w:hyperlink w:anchor="Appendix_B" w:history="1">
                    <w:r w:rsidRPr="00DC15FD">
                      <w:rPr>
                        <w:rStyle w:val="Hyperlink"/>
                        <w:rFonts w:asciiTheme="minorHAnsi" w:hAnsiTheme="minorHAnsi"/>
                        <w:b/>
                        <w:color w:val="007E00" w:themeColor="accent3"/>
                      </w:rPr>
                      <w:t>Appendix B</w:t>
                    </w:r>
                  </w:hyperlink>
                  <w:r>
                    <w:t xml:space="preserve">) and contextualised through improvements in SCORE domains (see </w:t>
                  </w:r>
                  <w:r w:rsidRPr="00D74D03">
                    <w:rPr>
                      <w:b/>
                      <w:bCs/>
                    </w:rPr>
                    <w:t xml:space="preserve">Section </w:t>
                  </w:r>
                  <w:r>
                    <w:rPr>
                      <w:b/>
                      <w:bCs/>
                    </w:rPr>
                    <w:fldChar w:fldCharType="begin" w:fldLock="1"/>
                  </w:r>
                  <w:r>
                    <w:rPr>
                      <w:b/>
                      <w:bCs/>
                    </w:rPr>
                    <w:instrText xml:space="preserve"> REF _Ref205400027 \r \h </w:instrText>
                  </w:r>
                  <w:r w:rsidR="00271FAC">
                    <w:rPr>
                      <w:b/>
                      <w:bCs/>
                    </w:rPr>
                    <w:instrText xml:space="preserve"> \* MERGEFORMAT </w:instrText>
                  </w:r>
                  <w:r>
                    <w:rPr>
                      <w:b/>
                      <w:bCs/>
                    </w:rPr>
                  </w:r>
                  <w:r>
                    <w:rPr>
                      <w:b/>
                      <w:bCs/>
                    </w:rPr>
                    <w:fldChar w:fldCharType="separate"/>
                  </w:r>
                  <w:r w:rsidR="008F22E5">
                    <w:rPr>
                      <w:b/>
                      <w:bCs/>
                    </w:rPr>
                    <w:t>5</w:t>
                  </w:r>
                  <w:r>
                    <w:rPr>
                      <w:b/>
                      <w:bCs/>
                    </w:rPr>
                    <w:fldChar w:fldCharType="end"/>
                  </w:r>
                  <w:r>
                    <w:rPr>
                      <w:b/>
                      <w:bCs/>
                    </w:rPr>
                    <w:t xml:space="preserve"> </w:t>
                  </w:r>
                  <w:r>
                    <w:t xml:space="preserve">and </w:t>
                  </w:r>
                  <w:hyperlink w:anchor="Appendix_F" w:history="1">
                    <w:r w:rsidRPr="00DC15FD">
                      <w:rPr>
                        <w:rStyle w:val="Hyperlink"/>
                        <w:rFonts w:asciiTheme="minorHAnsi" w:hAnsiTheme="minorHAnsi"/>
                        <w:b/>
                        <w:color w:val="007E00" w:themeColor="accent3"/>
                      </w:rPr>
                      <w:t>Appendix F</w:t>
                    </w:r>
                  </w:hyperlink>
                  <w:r>
                    <w:t xml:space="preserve">). </w:t>
                  </w:r>
                </w:p>
                <w:p w14:paraId="5BCFE218" w14:textId="77777777" w:rsidR="00967ECF" w:rsidRDefault="00967ECF" w:rsidP="00967ECF">
                  <w:pPr>
                    <w:pStyle w:val="Text"/>
                  </w:pPr>
                  <w:r>
                    <w:t>By strengthening relationships and improving family functioning, FaRS and SVFS can address risk factors for child abuse and neglect, IPV and bullying victimisation. For example, improvements in personal and family safety and mental health directly translate to lower ongoing burden. If a service user moves from severe PTSD to mild symptoms thanks to counselling, the personal DALY burden from mental illness is reduced. If a child in a violent home is helped by an SFVS program and avoids developing a conduct disorder or repeating the cycle of violence, that again reduces future health and social burdens. If a participant in a MBCP takes responsibility for their behaviour and learns non-violent ways of relating, even if not all participants reform, those who do can spare their family further harm, directly reducing DALYs associated with repeated assaults or chronic fear.</w:t>
                  </w:r>
                </w:p>
                <w:p w14:paraId="51219240" w14:textId="5E3AC709" w:rsidR="00967ECF" w:rsidRDefault="00967ECF" w:rsidP="00967ECF">
                  <w:pPr>
                    <w:pStyle w:val="Text"/>
                  </w:pPr>
                  <w:r>
                    <w:t xml:space="preserve">The primary goal </w:t>
                  </w:r>
                  <w:r w:rsidR="00A55E8C">
                    <w:t xml:space="preserve">of FARS and SVFS </w:t>
                  </w:r>
                  <w:r>
                    <w:t>is to ensure the safety and well-being of children, with a focus on keeping families together where possible and providing support to those struggling. In 2022-23, around 1 in 32 (180,000) Australian children under the age of 18 years came into contact with the child protection system. The NSW government has estimated the future cost</w:t>
                  </w:r>
                  <w:r w:rsidR="00276966">
                    <w:t xml:space="preserve"> of</w:t>
                  </w:r>
                  <w:r>
                    <w:t xml:space="preserve"> providing services to this population (to the age of 40 years) at $191 billion or $61,000 per person (the average cost increases to $203,336 per Aboriginal person). </w:t>
                  </w:r>
                </w:p>
                <w:p w14:paraId="0FF491CC" w14:textId="26C75927" w:rsidR="00967ECF" w:rsidRDefault="00967ECF" w:rsidP="00967ECF">
                  <w:pPr>
                    <w:pStyle w:val="Text"/>
                  </w:pPr>
                  <w:r>
                    <w:t xml:space="preserve">Conducting a ROI using BOD data requires assumptions about the impact of </w:t>
                  </w:r>
                  <w:r w:rsidR="00F27344">
                    <w:t xml:space="preserve">FaRS </w:t>
                  </w:r>
                  <w:r>
                    <w:t xml:space="preserve">and SVFS on the relevant risk factors. </w:t>
                  </w:r>
                  <w:r w:rsidR="00066FF4">
                    <w:t>It</w:t>
                  </w:r>
                  <w:r>
                    <w:t xml:space="preserve"> is more than plausible to suggest that these programs have an impact. </w:t>
                  </w:r>
                </w:p>
                <w:p w14:paraId="3489EBD8" w14:textId="77777777" w:rsidR="00967ECF" w:rsidRDefault="00967ECF" w:rsidP="00967ECF">
                  <w:pPr>
                    <w:pStyle w:val="Text"/>
                  </w:pPr>
                  <w:r>
                    <w:t xml:space="preserve">Four scenarios are used to test the implications of a lower disease burden on ROI calculations: </w:t>
                  </w:r>
                </w:p>
                <w:p w14:paraId="2A2981CE" w14:textId="77777777" w:rsidR="00967ECF" w:rsidRDefault="00967ECF" w:rsidP="00967ECF">
                  <w:pPr>
                    <w:pStyle w:val="Text"/>
                    <w:numPr>
                      <w:ilvl w:val="0"/>
                      <w:numId w:val="144"/>
                    </w:numPr>
                  </w:pPr>
                  <w:r>
                    <w:t xml:space="preserve">A 2% reduction in the attributable burden from child abuse and neglect, IPV and bullying victimisation, would avert 3,438 DALYS, equivalent to a monetary benefit of $172 million. Compared with a combined cost of FaRS and SVFS (in 2022-23), this would generate a ROI of 1.71. A 3% reduction would result in a ROI of 2.56, and a 5% reduction a ROI of 4.27. </w:t>
                  </w:r>
                </w:p>
                <w:p w14:paraId="1565887E" w14:textId="77777777" w:rsidR="00967ECF" w:rsidRDefault="00967ECF" w:rsidP="00967ECF">
                  <w:pPr>
                    <w:pStyle w:val="Text"/>
                    <w:numPr>
                      <w:ilvl w:val="0"/>
                      <w:numId w:val="144"/>
                    </w:numPr>
                  </w:pPr>
                  <w:r>
                    <w:lastRenderedPageBreak/>
                    <w:t xml:space="preserve">A 2% reduction in the attributable burden from child abuse and neglect alone, would avert 2,469 DALYS, equivalent to a monetary benefit of $124 million. Compared with a combined cost of FaRS and SVFS (in 2022-23), this would generate a ROI of 1.23. A 5% reduction would result in a ROI of 3.07, a 10% reduction would result in a ROI of 6.14. </w:t>
                  </w:r>
                </w:p>
                <w:p w14:paraId="7331F647" w14:textId="77777777" w:rsidR="00967ECF" w:rsidRDefault="00967ECF" w:rsidP="00967ECF">
                  <w:pPr>
                    <w:pStyle w:val="Text"/>
                    <w:numPr>
                      <w:ilvl w:val="0"/>
                      <w:numId w:val="144"/>
                    </w:numPr>
                  </w:pPr>
                  <w:r>
                    <w:t xml:space="preserve">A 5% reduction in the attributable burden from IPV alone, would avert 2,024 DALYS, equivalent to a monetary benefit of $101 million. Compared with a combined cost of FaRS and SVFS (in 2022-23), this would generate a ROI of 1.01. A 7% reduction would result in a ROI of 1.41, a 10% reduction would result in a ROI of 2.01. </w:t>
                  </w:r>
                </w:p>
                <w:p w14:paraId="5EC1FDF3" w14:textId="77777777" w:rsidR="00967ECF" w:rsidRDefault="00967ECF" w:rsidP="00967ECF">
                  <w:pPr>
                    <w:pStyle w:val="Text"/>
                    <w:numPr>
                      <w:ilvl w:val="0"/>
                      <w:numId w:val="144"/>
                    </w:numPr>
                  </w:pPr>
                  <w:r>
                    <w:t>Suicide and self-inflicted injuries are attributable to BOD estimates for child abuse and neglect and IPV. The ABS provides information on the number of deaths by suicide (2,419 male deaths and 795 female deaths in 2023) and the average age of death (45.8 years in males and 41 years in females). Combined with average life expectancy suggest a potential YLL of 37.4 years in males and 41.0 years in females. Converting to a DALY measure, one death by suicide results in loss of 37.4 years (or DALYS) in males and 41.0 years (or DALYS) in females, much higher for children taking their own lives. The monetary value of this DALY (using $50,000 per DALY) is estimated at $1.9 million and $2 million for each male and female death, respectively. If FaRS and SFVS could avert 52 deaths by suicide (equivalent to 1.6% of total lives lost due to suicide), averting 2,038 DALYS at a benefit of $102 million, this would generate a ROI of 1.01. A 5% reduction could avert 160 deaths by suicide, averting 6,272 DALYs and generating a ROI of 3.12.</w:t>
                  </w:r>
                </w:p>
                <w:p w14:paraId="6BABC090" w14:textId="77777777" w:rsidR="006223B7" w:rsidRPr="006223B7" w:rsidRDefault="006223B7" w:rsidP="006223B7">
                  <w:pPr>
                    <w:pStyle w:val="ListParagraph"/>
                    <w:keepNext/>
                    <w:numPr>
                      <w:ilvl w:val="1"/>
                      <w:numId w:val="20"/>
                    </w:numPr>
                    <w:spacing w:before="360" w:after="120" w:line="274" w:lineRule="auto"/>
                    <w:contextualSpacing w:val="0"/>
                    <w:outlineLvl w:val="2"/>
                    <w:rPr>
                      <w:rFonts w:ascii="Arial" w:hAnsi="Arial"/>
                      <w:b/>
                      <w:vanish/>
                      <w:color w:val="007E00" w:themeColor="accent3"/>
                      <w:kern w:val="28"/>
                      <w:sz w:val="36"/>
                      <w:szCs w:val="32"/>
                      <w:lang w:val="en-US"/>
                    </w:rPr>
                  </w:pPr>
                </w:p>
                <w:p w14:paraId="53382C5E" w14:textId="04F5FB06" w:rsidR="00967ECF" w:rsidRDefault="00967ECF" w:rsidP="006223B7">
                  <w:pPr>
                    <w:pStyle w:val="Heading3"/>
                    <w:ind w:left="1224"/>
                  </w:pPr>
                  <w:r>
                    <w:t>Value for money comparable to similar programs</w:t>
                  </w:r>
                </w:p>
                <w:p w14:paraId="2D0AEADD" w14:textId="4596FC3A" w:rsidR="00967ECF" w:rsidRDefault="00967ECF" w:rsidP="00967ECF">
                  <w:pPr>
                    <w:pStyle w:val="Bullet1"/>
                    <w:numPr>
                      <w:ilvl w:val="0"/>
                      <w:numId w:val="0"/>
                    </w:numPr>
                    <w:rPr>
                      <w:lang w:val="en-US"/>
                    </w:rPr>
                  </w:pPr>
                  <w:r>
                    <w:rPr>
                      <w:lang w:val="en-US"/>
                    </w:rPr>
                    <w:t>In considering value for money comparable to similar programs, it is critical to understand the current cost of family and relationship breakdowns (i.e. harm) encompassing costs associated with family, domestic or sexual violence and child protection. The Department</w:t>
                  </w:r>
                  <w:r w:rsidRPr="00384D38">
                    <w:rPr>
                      <w:lang w:val="en-US"/>
                    </w:rPr>
                    <w:t xml:space="preserve"> commissioned KPMG to quantify the cost of violence against women and their children in Australia. </w:t>
                  </w:r>
                  <w:r w:rsidRPr="00F249DE">
                    <w:rPr>
                      <w:b/>
                      <w:bCs/>
                      <w:lang w:val="en-US"/>
                    </w:rPr>
                    <w:fldChar w:fldCharType="begin" w:fldLock="1"/>
                  </w:r>
                  <w:r w:rsidRPr="00F249DE">
                    <w:rPr>
                      <w:b/>
                      <w:bCs/>
                      <w:lang w:val="en-US"/>
                    </w:rPr>
                    <w:instrText xml:space="preserve"> REF _Ref205323477 \h </w:instrText>
                  </w:r>
                  <w:r>
                    <w:rPr>
                      <w:b/>
                      <w:bCs/>
                      <w:lang w:val="en-US"/>
                    </w:rPr>
                    <w:instrText xml:space="preserve"> \* MERGEFORMAT </w:instrText>
                  </w:r>
                  <w:r w:rsidRPr="00F249DE">
                    <w:rPr>
                      <w:b/>
                      <w:bCs/>
                      <w:lang w:val="en-US"/>
                    </w:rPr>
                  </w:r>
                  <w:r w:rsidRPr="00F249DE">
                    <w:rPr>
                      <w:b/>
                      <w:bCs/>
                      <w:lang w:val="en-US"/>
                    </w:rPr>
                    <w:fldChar w:fldCharType="separate"/>
                  </w:r>
                  <w:r w:rsidR="008F22E5" w:rsidRPr="008F22E5">
                    <w:rPr>
                      <w:rStyle w:val="Text-Bold"/>
                      <w:szCs w:val="22"/>
                    </w:rPr>
                    <w:t xml:space="preserve">Table </w:t>
                  </w:r>
                  <w:r w:rsidR="008F22E5" w:rsidRPr="008F22E5">
                    <w:rPr>
                      <w:b/>
                      <w:bCs/>
                      <w:noProof/>
                    </w:rPr>
                    <w:t>11</w:t>
                  </w:r>
                  <w:r w:rsidRPr="00F249DE">
                    <w:rPr>
                      <w:b/>
                      <w:bCs/>
                      <w:lang w:val="en-US"/>
                    </w:rPr>
                    <w:fldChar w:fldCharType="end"/>
                  </w:r>
                  <w:r>
                    <w:rPr>
                      <w:lang w:val="en-US"/>
                    </w:rPr>
                    <w:t xml:space="preserve"> shows an</w:t>
                  </w:r>
                  <w:r w:rsidRPr="00384D38">
                    <w:rPr>
                      <w:lang w:val="en-US"/>
                    </w:rPr>
                    <w:t xml:space="preserve"> estimated </w:t>
                  </w:r>
                  <w:r>
                    <w:rPr>
                      <w:lang w:val="en-US"/>
                    </w:rPr>
                    <w:t>total</w:t>
                  </w:r>
                  <w:r w:rsidRPr="00384D38">
                    <w:rPr>
                      <w:lang w:val="en-US"/>
                    </w:rPr>
                    <w:t xml:space="preserve"> cost of $21.7 billion which, when adjusted for inflation, equates to approximately $32.8 billion in current dollars. The report considered a range of categories</w:t>
                  </w:r>
                  <w:r>
                    <w:rPr>
                      <w:lang w:val="en-US"/>
                    </w:rPr>
                    <w:t>:</w:t>
                  </w:r>
                </w:p>
                <w:p w14:paraId="16E0FC86" w14:textId="77777777" w:rsidR="00967ECF" w:rsidRPr="00A96B32" w:rsidRDefault="00967ECF" w:rsidP="00967ECF">
                  <w:pPr>
                    <w:pStyle w:val="Bullet1"/>
                  </w:pPr>
                  <w:r w:rsidRPr="00A96B32">
                    <w:t xml:space="preserve">Pain, suffering and premature mortality of victims: </w:t>
                  </w:r>
                  <w:r>
                    <w:t>T</w:t>
                  </w:r>
                  <w:r w:rsidRPr="00A96B32">
                    <w:t>he pain and suffering experienced by the victim, which can lead to long-term effects on psychological and physical health, and premature mortality for victims</w:t>
                  </w:r>
                  <w:r>
                    <w:t>.</w:t>
                  </w:r>
                </w:p>
                <w:p w14:paraId="50446B28" w14:textId="77777777" w:rsidR="00967ECF" w:rsidRPr="00A96B32" w:rsidRDefault="00967ECF" w:rsidP="00967ECF">
                  <w:pPr>
                    <w:pStyle w:val="Bullet1"/>
                  </w:pPr>
                  <w:r w:rsidRPr="00A96B32">
                    <w:t xml:space="preserve">Consumption: </w:t>
                  </w:r>
                  <w:r>
                    <w:t>R</w:t>
                  </w:r>
                  <w:r w:rsidRPr="00A96B32">
                    <w:t>eplacing damaged property, defaulting on bad debts, and the costs of moving</w:t>
                  </w:r>
                  <w:r>
                    <w:t>.</w:t>
                  </w:r>
                </w:p>
                <w:p w14:paraId="6BCFCC7F" w14:textId="77777777" w:rsidR="00967ECF" w:rsidRPr="00A96B32" w:rsidRDefault="00967ECF" w:rsidP="00967ECF">
                  <w:pPr>
                    <w:pStyle w:val="Bullet1"/>
                  </w:pPr>
                  <w:r w:rsidRPr="00A96B32">
                    <w:t xml:space="preserve">Production: </w:t>
                  </w:r>
                  <w:r>
                    <w:t>B</w:t>
                  </w:r>
                  <w:r w:rsidRPr="00A96B32">
                    <w:t xml:space="preserve">eing absent from work, and employer administrative costs </w:t>
                  </w:r>
                </w:p>
                <w:p w14:paraId="1DE524B7" w14:textId="77777777" w:rsidR="00967ECF" w:rsidRPr="00A96B32" w:rsidRDefault="00967ECF" w:rsidP="00967ECF">
                  <w:pPr>
                    <w:pStyle w:val="Bullet1"/>
                  </w:pPr>
                  <w:r w:rsidRPr="00A96B32">
                    <w:t xml:space="preserve">Administrative: </w:t>
                  </w:r>
                  <w:r>
                    <w:t>P</w:t>
                  </w:r>
                  <w:r w:rsidRPr="00A96B32">
                    <w:t>olice, incarceration, court system costs, counselling, and violence prevention programs</w:t>
                  </w:r>
                  <w:r>
                    <w:t>.</w:t>
                  </w:r>
                </w:p>
                <w:p w14:paraId="7ABE4EA1" w14:textId="77777777" w:rsidR="00967ECF" w:rsidRPr="00A96B32" w:rsidRDefault="00967ECF" w:rsidP="00967ECF">
                  <w:pPr>
                    <w:pStyle w:val="Bullet1"/>
                  </w:pPr>
                  <w:r w:rsidRPr="00A96B32">
                    <w:lastRenderedPageBreak/>
                    <w:t xml:space="preserve">Transfer payments: </w:t>
                  </w:r>
                  <w:r>
                    <w:t>L</w:t>
                  </w:r>
                  <w:r w:rsidRPr="00A96B32">
                    <w:t xml:space="preserve">oss of income tax of victims/survivors, </w:t>
                  </w:r>
                  <w:r>
                    <w:t>people who use violence</w:t>
                  </w:r>
                  <w:r w:rsidRPr="00A96B32">
                    <w:t xml:space="preserve"> and employers; additional social welfare payments; victim compensation payments and other government services</w:t>
                  </w:r>
                  <w:r>
                    <w:t>.</w:t>
                  </w:r>
                </w:p>
                <w:p w14:paraId="71DB61A2" w14:textId="77777777" w:rsidR="00967ECF" w:rsidRPr="00A96B32" w:rsidRDefault="00967ECF" w:rsidP="00967ECF">
                  <w:pPr>
                    <w:pStyle w:val="Bullet1"/>
                  </w:pPr>
                  <w:r w:rsidRPr="00A96B32">
                    <w:t xml:space="preserve">Health system: </w:t>
                  </w:r>
                  <w:r>
                    <w:t>P</w:t>
                  </w:r>
                  <w:r w:rsidRPr="00A96B32">
                    <w:t>ublic and private health system costs associated with treating the effects of violence against women</w:t>
                  </w:r>
                  <w:r>
                    <w:t>.</w:t>
                  </w:r>
                </w:p>
                <w:p w14:paraId="26ECAB2F" w14:textId="6B2CCD11" w:rsidR="008B6F9B" w:rsidRPr="00CA043D" w:rsidRDefault="00967ECF" w:rsidP="00953B9E">
                  <w:pPr>
                    <w:pStyle w:val="Bullet1"/>
                    <w:rPr>
                      <w:rStyle w:val="Text-Bold"/>
                      <w:b w:val="0"/>
                    </w:rPr>
                  </w:pPr>
                  <w:r w:rsidRPr="00A96B32">
                    <w:t xml:space="preserve">Second generation: </w:t>
                  </w:r>
                  <w:r>
                    <w:t>T</w:t>
                  </w:r>
                  <w:r w:rsidRPr="00A96B32">
                    <w:t>he costs of children witnessing and living with violence, including child protection services and increased juvenile and adult crime.</w:t>
                  </w:r>
                  <w:bookmarkStart w:id="309" w:name="_Ref205323477"/>
                </w:p>
                <w:p w14:paraId="398FEF63" w14:textId="4F187673" w:rsidR="00967ECF" w:rsidRPr="009F5B0D" w:rsidRDefault="00967ECF" w:rsidP="00953B9E">
                  <w:pPr>
                    <w:pStyle w:val="TableFigure-Header"/>
                    <w:spacing w:line="276" w:lineRule="auto"/>
                    <w:rPr>
                      <w:rStyle w:val="Text-Bold"/>
                      <w:b/>
                      <w:szCs w:val="21"/>
                      <w:lang w:val="en-NZ"/>
                    </w:rPr>
                  </w:pPr>
                  <w:r w:rsidRPr="009F5B0D">
                    <w:rPr>
                      <w:rStyle w:val="Text-Bold"/>
                      <w:b/>
                      <w:szCs w:val="21"/>
                      <w:lang w:val="en-NZ"/>
                    </w:rPr>
                    <w:t xml:space="preserve">Table </w:t>
                  </w:r>
                  <w:r w:rsidRPr="009F5B0D">
                    <w:rPr>
                      <w:rStyle w:val="Text-Bold"/>
                      <w:b/>
                      <w:szCs w:val="21"/>
                    </w:rPr>
                    <w:fldChar w:fldCharType="begin"/>
                  </w:r>
                  <w:r w:rsidRPr="009F5B0D">
                    <w:rPr>
                      <w:szCs w:val="21"/>
                    </w:rPr>
                    <w:instrText xml:space="preserve"> SEQ Table \* ARABIC </w:instrText>
                  </w:r>
                  <w:r w:rsidRPr="009F5B0D">
                    <w:rPr>
                      <w:rStyle w:val="Text-Bold"/>
                      <w:b/>
                      <w:szCs w:val="21"/>
                    </w:rPr>
                    <w:fldChar w:fldCharType="separate"/>
                  </w:r>
                  <w:r w:rsidR="008D2566">
                    <w:rPr>
                      <w:noProof/>
                      <w:szCs w:val="21"/>
                    </w:rPr>
                    <w:t>11</w:t>
                  </w:r>
                  <w:r w:rsidRPr="009F5B0D">
                    <w:rPr>
                      <w:rStyle w:val="Text-Bold"/>
                      <w:b/>
                      <w:szCs w:val="21"/>
                    </w:rPr>
                    <w:fldChar w:fldCharType="end"/>
                  </w:r>
                  <w:bookmarkEnd w:id="309"/>
                  <w:r w:rsidRPr="009F5B0D">
                    <w:rPr>
                      <w:rStyle w:val="Text-Bold"/>
                      <w:b/>
                      <w:szCs w:val="21"/>
                      <w:lang w:val="en-NZ"/>
                    </w:rPr>
                    <w:t>: Current cost of family and relationship breakdowns</w:t>
                  </w:r>
                </w:p>
                <w:tbl>
                  <w:tblPr>
                    <w:tblStyle w:val="ListTable3-Accent3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66"/>
                    <w:gridCol w:w="3353"/>
                  </w:tblGrid>
                  <w:tr w:rsidR="00967ECF" w:rsidRPr="00E0130C" w14:paraId="264F611A" w14:textId="77777777" w:rsidTr="00321BC5">
                    <w:trPr>
                      <w:cnfStyle w:val="100000000000" w:firstRow="1" w:lastRow="0" w:firstColumn="0" w:lastColumn="0" w:oddVBand="0" w:evenVBand="0" w:oddHBand="0" w:evenHBand="0" w:firstRowFirstColumn="0" w:firstRowLastColumn="0" w:lastRowFirstColumn="0" w:lastRowLastColumn="0"/>
                      <w:trHeight w:val="315"/>
                    </w:trPr>
                    <w:tc>
                      <w:tcPr>
                        <w:cnfStyle w:val="001000000100" w:firstRow="0" w:lastRow="0" w:firstColumn="1" w:lastColumn="0" w:oddVBand="0" w:evenVBand="0" w:oddHBand="0" w:evenHBand="0" w:firstRowFirstColumn="1" w:firstRowLastColumn="0" w:lastRowFirstColumn="0" w:lastRowLastColumn="0"/>
                        <w:tcW w:w="3141" w:type="pct"/>
                        <w:shd w:val="clear" w:color="auto" w:fill="007E00" w:themeFill="accent3"/>
                        <w:hideMark/>
                      </w:tcPr>
                      <w:p w14:paraId="61DF7FBB" w14:textId="77777777" w:rsidR="00967ECF" w:rsidRPr="00E0130C" w:rsidRDefault="00967ECF">
                        <w:pPr>
                          <w:pStyle w:val="TableText"/>
                        </w:pPr>
                        <w:r w:rsidRPr="00E0130C">
                          <w:t>Categories</w:t>
                        </w:r>
                      </w:p>
                    </w:tc>
                    <w:tc>
                      <w:tcPr>
                        <w:tcW w:w="1859" w:type="pct"/>
                        <w:shd w:val="clear" w:color="auto" w:fill="007E00" w:themeFill="accent3"/>
                        <w:hideMark/>
                      </w:tcPr>
                      <w:p w14:paraId="56340FCF" w14:textId="77777777" w:rsidR="00967ECF" w:rsidRPr="00E0130C" w:rsidRDefault="00967ECF">
                        <w:pPr>
                          <w:pStyle w:val="TableText"/>
                          <w:cnfStyle w:val="100000000000" w:firstRow="1" w:lastRow="0" w:firstColumn="0" w:lastColumn="0" w:oddVBand="0" w:evenVBand="0" w:oddHBand="0" w:evenHBand="0" w:firstRowFirstColumn="0" w:firstRowLastColumn="0" w:lastRowFirstColumn="0" w:lastRowLastColumn="0"/>
                        </w:pPr>
                        <w:r w:rsidRPr="00E0130C">
                          <w:t xml:space="preserve">Cost </w:t>
                        </w:r>
                      </w:p>
                    </w:tc>
                  </w:tr>
                  <w:tr w:rsidR="00967ECF" w:rsidRPr="00E0130C" w14:paraId="3AFA9E8D" w14:textId="77777777" w:rsidTr="00321BC5">
                    <w:trPr>
                      <w:cnfStyle w:val="000000100000" w:firstRow="0" w:lastRow="0" w:firstColumn="0" w:lastColumn="0" w:oddVBand="0" w:evenVBand="0" w:oddHBand="1" w:evenHBand="0" w:firstRowFirstColumn="0" w:firstRowLastColumn="0" w:lastRowFirstColumn="0" w:lastRowLastColumn="0"/>
                      <w:trHeight w:val="398"/>
                    </w:trPr>
                    <w:tc>
                      <w:tcPr>
                        <w:cnfStyle w:val="001000000000" w:firstRow="0" w:lastRow="0" w:firstColumn="1" w:lastColumn="0" w:oddVBand="0" w:evenVBand="0" w:oddHBand="0" w:evenHBand="0" w:firstRowFirstColumn="0" w:firstRowLastColumn="0" w:lastRowFirstColumn="0" w:lastRowLastColumn="0"/>
                        <w:tcW w:w="3141" w:type="pct"/>
                        <w:vAlign w:val="bottom"/>
                        <w:hideMark/>
                      </w:tcPr>
                      <w:p w14:paraId="4E4CE14F" w14:textId="77777777" w:rsidR="00967ECF" w:rsidRPr="0078378F" w:rsidRDefault="00967ECF">
                        <w:pPr>
                          <w:pStyle w:val="TableText"/>
                          <w:rPr>
                            <w:b w:val="0"/>
                            <w:bCs w:val="0"/>
                          </w:rPr>
                        </w:pPr>
                        <w:r w:rsidRPr="0078378F">
                          <w:rPr>
                            <w:b w:val="0"/>
                            <w:bCs w:val="0"/>
                          </w:rPr>
                          <w:t>Pain, suffering and premature mortality of victims</w:t>
                        </w:r>
                      </w:p>
                    </w:tc>
                    <w:tc>
                      <w:tcPr>
                        <w:tcW w:w="1859" w:type="pct"/>
                        <w:vAlign w:val="bottom"/>
                        <w:hideMark/>
                      </w:tcPr>
                      <w:p w14:paraId="766C7CBF" w14:textId="77777777" w:rsidR="00967ECF" w:rsidRPr="00582772" w:rsidRDefault="00967ECF">
                        <w:pPr>
                          <w:pStyle w:val="TableText"/>
                          <w:cnfStyle w:val="000000100000" w:firstRow="0" w:lastRow="0" w:firstColumn="0" w:lastColumn="0" w:oddVBand="0" w:evenVBand="0" w:oddHBand="1" w:evenHBand="0" w:firstRowFirstColumn="0" w:firstRowLastColumn="0" w:lastRowFirstColumn="0" w:lastRowLastColumn="0"/>
                        </w:pPr>
                        <w:r w:rsidRPr="00582772">
                          <w:t>$10.4 billion</w:t>
                        </w:r>
                      </w:p>
                    </w:tc>
                  </w:tr>
                  <w:tr w:rsidR="0012217B" w:rsidRPr="00E0130C" w14:paraId="04FD742A" w14:textId="77777777" w:rsidTr="00591D42">
                    <w:trPr>
                      <w:trHeight w:val="420"/>
                    </w:trPr>
                    <w:tc>
                      <w:tcPr>
                        <w:cnfStyle w:val="001000000000" w:firstRow="0" w:lastRow="0" w:firstColumn="1" w:lastColumn="0" w:oddVBand="0" w:evenVBand="0" w:oddHBand="0" w:evenHBand="0" w:firstRowFirstColumn="0" w:firstRowLastColumn="0" w:lastRowFirstColumn="0" w:lastRowLastColumn="0"/>
                        <w:tcW w:w="3141" w:type="pct"/>
                        <w:vAlign w:val="bottom"/>
                        <w:hideMark/>
                      </w:tcPr>
                      <w:p w14:paraId="3BA1681B" w14:textId="77777777" w:rsidR="00967ECF" w:rsidRPr="0078378F" w:rsidRDefault="00967ECF">
                        <w:pPr>
                          <w:pStyle w:val="TableText"/>
                          <w:rPr>
                            <w:b w:val="0"/>
                            <w:bCs w:val="0"/>
                          </w:rPr>
                        </w:pPr>
                        <w:r w:rsidRPr="0078378F">
                          <w:rPr>
                            <w:b w:val="0"/>
                            <w:bCs w:val="0"/>
                          </w:rPr>
                          <w:t>Consumption</w:t>
                        </w:r>
                      </w:p>
                    </w:tc>
                    <w:tc>
                      <w:tcPr>
                        <w:tcW w:w="1859" w:type="pct"/>
                        <w:vAlign w:val="bottom"/>
                        <w:hideMark/>
                      </w:tcPr>
                      <w:p w14:paraId="3A23A854" w14:textId="77777777" w:rsidR="00967ECF" w:rsidRPr="00582772" w:rsidRDefault="00967ECF">
                        <w:pPr>
                          <w:pStyle w:val="TableText"/>
                          <w:cnfStyle w:val="000000000000" w:firstRow="0" w:lastRow="0" w:firstColumn="0" w:lastColumn="0" w:oddVBand="0" w:evenVBand="0" w:oddHBand="0" w:evenHBand="0" w:firstRowFirstColumn="0" w:firstRowLastColumn="0" w:lastRowFirstColumn="0" w:lastRowLastColumn="0"/>
                        </w:pPr>
                        <w:r w:rsidRPr="00582772">
                          <w:t>$4.4 billion</w:t>
                        </w:r>
                      </w:p>
                    </w:tc>
                  </w:tr>
                  <w:tr w:rsidR="00967ECF" w:rsidRPr="00E0130C" w14:paraId="33772206" w14:textId="77777777" w:rsidTr="00321BC5">
                    <w:trPr>
                      <w:cnfStyle w:val="000000100000" w:firstRow="0" w:lastRow="0" w:firstColumn="0" w:lastColumn="0" w:oddVBand="0" w:evenVBand="0" w:oddHBand="1" w:evenHBand="0" w:firstRowFirstColumn="0" w:firstRowLastColumn="0" w:lastRowFirstColumn="0" w:lastRowLastColumn="0"/>
                      <w:trHeight w:val="411"/>
                    </w:trPr>
                    <w:tc>
                      <w:tcPr>
                        <w:cnfStyle w:val="001000000000" w:firstRow="0" w:lastRow="0" w:firstColumn="1" w:lastColumn="0" w:oddVBand="0" w:evenVBand="0" w:oddHBand="0" w:evenHBand="0" w:firstRowFirstColumn="0" w:firstRowLastColumn="0" w:lastRowFirstColumn="0" w:lastRowLastColumn="0"/>
                        <w:tcW w:w="3141" w:type="pct"/>
                        <w:vAlign w:val="bottom"/>
                        <w:hideMark/>
                      </w:tcPr>
                      <w:p w14:paraId="0A5E13FA" w14:textId="77777777" w:rsidR="00967ECF" w:rsidRPr="0078378F" w:rsidRDefault="00967ECF">
                        <w:pPr>
                          <w:pStyle w:val="TableText"/>
                          <w:rPr>
                            <w:b w:val="0"/>
                            <w:bCs w:val="0"/>
                          </w:rPr>
                        </w:pPr>
                        <w:r w:rsidRPr="0078378F">
                          <w:rPr>
                            <w:b w:val="0"/>
                            <w:bCs w:val="0"/>
                          </w:rPr>
                          <w:t>Production</w:t>
                        </w:r>
                      </w:p>
                    </w:tc>
                    <w:tc>
                      <w:tcPr>
                        <w:tcW w:w="1859" w:type="pct"/>
                        <w:vAlign w:val="bottom"/>
                        <w:hideMark/>
                      </w:tcPr>
                      <w:p w14:paraId="56311172" w14:textId="77777777" w:rsidR="00967ECF" w:rsidRPr="00582772" w:rsidRDefault="00967ECF">
                        <w:pPr>
                          <w:pStyle w:val="TableText"/>
                          <w:cnfStyle w:val="000000100000" w:firstRow="0" w:lastRow="0" w:firstColumn="0" w:lastColumn="0" w:oddVBand="0" w:evenVBand="0" w:oddHBand="1" w:evenHBand="0" w:firstRowFirstColumn="0" w:firstRowLastColumn="0" w:lastRowFirstColumn="0" w:lastRowLastColumn="0"/>
                        </w:pPr>
                        <w:r w:rsidRPr="00582772">
                          <w:t>$1.9 billion</w:t>
                        </w:r>
                      </w:p>
                    </w:tc>
                  </w:tr>
                  <w:tr w:rsidR="0012217B" w:rsidRPr="00E0130C" w14:paraId="391AB0A2" w14:textId="77777777" w:rsidTr="00591D42">
                    <w:trPr>
                      <w:trHeight w:val="416"/>
                    </w:trPr>
                    <w:tc>
                      <w:tcPr>
                        <w:cnfStyle w:val="001000000000" w:firstRow="0" w:lastRow="0" w:firstColumn="1" w:lastColumn="0" w:oddVBand="0" w:evenVBand="0" w:oddHBand="0" w:evenHBand="0" w:firstRowFirstColumn="0" w:firstRowLastColumn="0" w:lastRowFirstColumn="0" w:lastRowLastColumn="0"/>
                        <w:tcW w:w="3141" w:type="pct"/>
                        <w:vAlign w:val="bottom"/>
                        <w:hideMark/>
                      </w:tcPr>
                      <w:p w14:paraId="7C611153" w14:textId="77777777" w:rsidR="00967ECF" w:rsidRPr="0078378F" w:rsidRDefault="00967ECF">
                        <w:pPr>
                          <w:pStyle w:val="TableText"/>
                          <w:rPr>
                            <w:b w:val="0"/>
                            <w:bCs w:val="0"/>
                          </w:rPr>
                        </w:pPr>
                        <w:r w:rsidRPr="0078378F">
                          <w:rPr>
                            <w:b w:val="0"/>
                            <w:bCs w:val="0"/>
                          </w:rPr>
                          <w:t>Administrative</w:t>
                        </w:r>
                      </w:p>
                    </w:tc>
                    <w:tc>
                      <w:tcPr>
                        <w:tcW w:w="1859" w:type="pct"/>
                        <w:vAlign w:val="bottom"/>
                        <w:hideMark/>
                      </w:tcPr>
                      <w:p w14:paraId="32E2927E" w14:textId="77777777" w:rsidR="00967ECF" w:rsidRPr="00582772" w:rsidRDefault="00967ECF">
                        <w:pPr>
                          <w:pStyle w:val="TableText"/>
                          <w:cnfStyle w:val="000000000000" w:firstRow="0" w:lastRow="0" w:firstColumn="0" w:lastColumn="0" w:oddVBand="0" w:evenVBand="0" w:oddHBand="0" w:evenHBand="0" w:firstRowFirstColumn="0" w:firstRowLastColumn="0" w:lastRowFirstColumn="0" w:lastRowLastColumn="0"/>
                        </w:pPr>
                        <w:r w:rsidRPr="00582772">
                          <w:t>$1.7 billion</w:t>
                        </w:r>
                      </w:p>
                    </w:tc>
                  </w:tr>
                  <w:tr w:rsidR="00967ECF" w:rsidRPr="00E0130C" w14:paraId="7F0506E3" w14:textId="77777777" w:rsidTr="00321BC5">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3141" w:type="pct"/>
                        <w:vAlign w:val="bottom"/>
                        <w:hideMark/>
                      </w:tcPr>
                      <w:p w14:paraId="4FF70DEB" w14:textId="77777777" w:rsidR="00967ECF" w:rsidRPr="0078378F" w:rsidRDefault="00967ECF">
                        <w:pPr>
                          <w:pStyle w:val="TableText"/>
                          <w:rPr>
                            <w:b w:val="0"/>
                            <w:bCs w:val="0"/>
                          </w:rPr>
                        </w:pPr>
                        <w:r w:rsidRPr="0078378F">
                          <w:rPr>
                            <w:b w:val="0"/>
                            <w:bCs w:val="0"/>
                          </w:rPr>
                          <w:t>Transfer payments</w:t>
                        </w:r>
                      </w:p>
                    </w:tc>
                    <w:tc>
                      <w:tcPr>
                        <w:tcW w:w="1859" w:type="pct"/>
                        <w:vAlign w:val="bottom"/>
                        <w:hideMark/>
                      </w:tcPr>
                      <w:p w14:paraId="53DDCCC2" w14:textId="77777777" w:rsidR="00967ECF" w:rsidRPr="00582772" w:rsidRDefault="00967ECF">
                        <w:pPr>
                          <w:pStyle w:val="TableText"/>
                          <w:cnfStyle w:val="000000100000" w:firstRow="0" w:lastRow="0" w:firstColumn="0" w:lastColumn="0" w:oddVBand="0" w:evenVBand="0" w:oddHBand="1" w:evenHBand="0" w:firstRowFirstColumn="0" w:firstRowLastColumn="0" w:lastRowFirstColumn="0" w:lastRowLastColumn="0"/>
                        </w:pPr>
                        <w:r w:rsidRPr="00582772">
                          <w:t>$1.6 billion</w:t>
                        </w:r>
                      </w:p>
                    </w:tc>
                  </w:tr>
                  <w:tr w:rsidR="0012217B" w:rsidRPr="00E0130C" w14:paraId="27E19947" w14:textId="77777777" w:rsidTr="00591D42">
                    <w:trPr>
                      <w:trHeight w:val="429"/>
                    </w:trPr>
                    <w:tc>
                      <w:tcPr>
                        <w:cnfStyle w:val="001000000000" w:firstRow="0" w:lastRow="0" w:firstColumn="1" w:lastColumn="0" w:oddVBand="0" w:evenVBand="0" w:oddHBand="0" w:evenHBand="0" w:firstRowFirstColumn="0" w:firstRowLastColumn="0" w:lastRowFirstColumn="0" w:lastRowLastColumn="0"/>
                        <w:tcW w:w="3141" w:type="pct"/>
                        <w:vAlign w:val="bottom"/>
                        <w:hideMark/>
                      </w:tcPr>
                      <w:p w14:paraId="7EE63F8D" w14:textId="77777777" w:rsidR="00967ECF" w:rsidRPr="0078378F" w:rsidRDefault="00967ECF">
                        <w:pPr>
                          <w:pStyle w:val="TableText"/>
                          <w:rPr>
                            <w:b w:val="0"/>
                            <w:bCs w:val="0"/>
                          </w:rPr>
                        </w:pPr>
                        <w:r w:rsidRPr="0078378F">
                          <w:rPr>
                            <w:b w:val="0"/>
                            <w:bCs w:val="0"/>
                          </w:rPr>
                          <w:t>Health system</w:t>
                        </w:r>
                      </w:p>
                    </w:tc>
                    <w:tc>
                      <w:tcPr>
                        <w:tcW w:w="1859" w:type="pct"/>
                        <w:vAlign w:val="bottom"/>
                        <w:hideMark/>
                      </w:tcPr>
                      <w:p w14:paraId="6221059F" w14:textId="77777777" w:rsidR="00967ECF" w:rsidRPr="00582772" w:rsidRDefault="00967ECF">
                        <w:pPr>
                          <w:pStyle w:val="TableText"/>
                          <w:cnfStyle w:val="000000000000" w:firstRow="0" w:lastRow="0" w:firstColumn="0" w:lastColumn="0" w:oddVBand="0" w:evenVBand="0" w:oddHBand="0" w:evenHBand="0" w:firstRowFirstColumn="0" w:firstRowLastColumn="0" w:lastRowFirstColumn="0" w:lastRowLastColumn="0"/>
                        </w:pPr>
                        <w:r w:rsidRPr="00582772">
                          <w:t>$1.4 billion</w:t>
                        </w:r>
                      </w:p>
                    </w:tc>
                  </w:tr>
                  <w:tr w:rsidR="00967ECF" w:rsidRPr="00E0130C" w14:paraId="6F8A8CCA" w14:textId="77777777" w:rsidTr="00321BC5">
                    <w:trPr>
                      <w:cnfStyle w:val="000000100000" w:firstRow="0" w:lastRow="0" w:firstColumn="0" w:lastColumn="0" w:oddVBand="0" w:evenVBand="0" w:oddHBand="1" w:evenHBand="0" w:firstRowFirstColumn="0" w:firstRowLastColumn="0" w:lastRowFirstColumn="0" w:lastRowLastColumn="0"/>
                      <w:trHeight w:val="407"/>
                    </w:trPr>
                    <w:tc>
                      <w:tcPr>
                        <w:cnfStyle w:val="001000000000" w:firstRow="0" w:lastRow="0" w:firstColumn="1" w:lastColumn="0" w:oddVBand="0" w:evenVBand="0" w:oddHBand="0" w:evenHBand="0" w:firstRowFirstColumn="0" w:firstRowLastColumn="0" w:lastRowFirstColumn="0" w:lastRowLastColumn="0"/>
                        <w:tcW w:w="3141" w:type="pct"/>
                        <w:vAlign w:val="bottom"/>
                        <w:hideMark/>
                      </w:tcPr>
                      <w:p w14:paraId="14C1FD95" w14:textId="77777777" w:rsidR="00967ECF" w:rsidRPr="0078378F" w:rsidRDefault="00967ECF">
                        <w:pPr>
                          <w:pStyle w:val="TableText"/>
                          <w:rPr>
                            <w:b w:val="0"/>
                            <w:bCs w:val="0"/>
                          </w:rPr>
                        </w:pPr>
                        <w:r w:rsidRPr="0078378F">
                          <w:rPr>
                            <w:b w:val="0"/>
                            <w:bCs w:val="0"/>
                          </w:rPr>
                          <w:t>Second generation</w:t>
                        </w:r>
                      </w:p>
                    </w:tc>
                    <w:tc>
                      <w:tcPr>
                        <w:tcW w:w="1859" w:type="pct"/>
                        <w:vAlign w:val="bottom"/>
                        <w:hideMark/>
                      </w:tcPr>
                      <w:p w14:paraId="7129E6DC" w14:textId="77777777" w:rsidR="00967ECF" w:rsidRPr="00582772" w:rsidRDefault="00967ECF">
                        <w:pPr>
                          <w:pStyle w:val="TableText"/>
                          <w:cnfStyle w:val="000000100000" w:firstRow="0" w:lastRow="0" w:firstColumn="0" w:lastColumn="0" w:oddVBand="0" w:evenVBand="0" w:oddHBand="1" w:evenHBand="0" w:firstRowFirstColumn="0" w:firstRowLastColumn="0" w:lastRowFirstColumn="0" w:lastRowLastColumn="0"/>
                        </w:pPr>
                        <w:r w:rsidRPr="00582772">
                          <w:t>$0.33 billion</w:t>
                        </w:r>
                      </w:p>
                    </w:tc>
                  </w:tr>
                  <w:tr w:rsidR="00967ECF" w:rsidRPr="00E0130C" w14:paraId="6E959C24" w14:textId="77777777" w:rsidTr="00321BC5">
                    <w:trPr>
                      <w:trHeight w:val="412"/>
                    </w:trPr>
                    <w:tc>
                      <w:tcPr>
                        <w:cnfStyle w:val="001000000000" w:firstRow="0" w:lastRow="0" w:firstColumn="1" w:lastColumn="0" w:oddVBand="0" w:evenVBand="0" w:oddHBand="0" w:evenHBand="0" w:firstRowFirstColumn="0" w:firstRowLastColumn="0" w:lastRowFirstColumn="0" w:lastRowLastColumn="0"/>
                        <w:tcW w:w="3141" w:type="pct"/>
                        <w:vAlign w:val="bottom"/>
                        <w:hideMark/>
                      </w:tcPr>
                      <w:p w14:paraId="31481FCA" w14:textId="77777777" w:rsidR="00967ECF" w:rsidRPr="00582772" w:rsidRDefault="00967ECF">
                        <w:pPr>
                          <w:pStyle w:val="TableText"/>
                        </w:pPr>
                        <w:r w:rsidRPr="00582772">
                          <w:t>Total</w:t>
                        </w:r>
                      </w:p>
                    </w:tc>
                    <w:tc>
                      <w:tcPr>
                        <w:tcW w:w="1859" w:type="pct"/>
                        <w:vAlign w:val="bottom"/>
                        <w:hideMark/>
                      </w:tcPr>
                      <w:p w14:paraId="36F84C58" w14:textId="77777777" w:rsidR="00967ECF" w:rsidRPr="0078378F" w:rsidRDefault="00967ECF">
                        <w:pPr>
                          <w:pStyle w:val="TableText"/>
                          <w:cnfStyle w:val="000000000000" w:firstRow="0" w:lastRow="0" w:firstColumn="0" w:lastColumn="0" w:oddVBand="0" w:evenVBand="0" w:oddHBand="0" w:evenHBand="0" w:firstRowFirstColumn="0" w:firstRowLastColumn="0" w:lastRowFirstColumn="0" w:lastRowLastColumn="0"/>
                          <w:rPr>
                            <w:b/>
                            <w:bCs/>
                          </w:rPr>
                        </w:pPr>
                        <w:r w:rsidRPr="0078378F">
                          <w:rPr>
                            <w:b/>
                            <w:bCs/>
                          </w:rPr>
                          <w:t>$21.7 billion</w:t>
                        </w:r>
                      </w:p>
                    </w:tc>
                  </w:tr>
                </w:tbl>
                <w:p w14:paraId="7C93F88D" w14:textId="77777777" w:rsidR="00967ECF" w:rsidRPr="001B32C9" w:rsidRDefault="00967ECF" w:rsidP="00967ECF">
                  <w:pPr>
                    <w:pStyle w:val="TableText"/>
                    <w:rPr>
                      <w:i/>
                      <w:iCs/>
                      <w:sz w:val="20"/>
                    </w:rPr>
                  </w:pPr>
                  <w:r w:rsidRPr="001B32C9">
                    <w:rPr>
                      <w:i/>
                      <w:iCs/>
                      <w:sz w:val="20"/>
                    </w:rPr>
                    <w:t>Source: KPMG</w:t>
                  </w:r>
                  <w:r>
                    <w:rPr>
                      <w:i/>
                      <w:iCs/>
                      <w:sz w:val="20"/>
                    </w:rPr>
                    <w:t xml:space="preserve"> 2016</w:t>
                  </w:r>
                </w:p>
                <w:p w14:paraId="2D23C716" w14:textId="3E6E3E15" w:rsidR="008B6F9B" w:rsidRPr="008B6F9B" w:rsidRDefault="00967ECF" w:rsidP="008B6F9B">
                  <w:pPr>
                    <w:pStyle w:val="Text"/>
                    <w:rPr>
                      <w:rStyle w:val="Text-Bold"/>
                      <w:b w:val="0"/>
                      <w:lang w:val="en-US"/>
                    </w:rPr>
                  </w:pPr>
                  <w:r w:rsidRPr="0082111C">
                    <w:t>The burden of disease framework (</w:t>
                  </w:r>
                  <w:r>
                    <w:t>M</w:t>
                  </w:r>
                  <w:r w:rsidRPr="0082111C">
                    <w:t xml:space="preserve">ethod 4 of ROI) can also be used to generate costs of family violence using the risk factors of child abuse and neglect, IPV and bullying victimisation. </w:t>
                  </w:r>
                  <w:r w:rsidRPr="007D0F64">
                    <w:rPr>
                      <w:b/>
                      <w:bCs/>
                    </w:rPr>
                    <w:fldChar w:fldCharType="begin" w:fldLock="1"/>
                  </w:r>
                  <w:r w:rsidRPr="007D0F64">
                    <w:rPr>
                      <w:b/>
                      <w:bCs/>
                    </w:rPr>
                    <w:instrText xml:space="preserve"> REF _Ref205323608 \h </w:instrText>
                  </w:r>
                  <w:r>
                    <w:rPr>
                      <w:b/>
                      <w:bCs/>
                    </w:rPr>
                    <w:instrText xml:space="preserve"> \* MERGEFORMAT </w:instrText>
                  </w:r>
                  <w:r w:rsidRPr="007D0F64">
                    <w:rPr>
                      <w:b/>
                      <w:bCs/>
                    </w:rPr>
                  </w:r>
                  <w:r w:rsidRPr="007D0F64">
                    <w:rPr>
                      <w:b/>
                      <w:bCs/>
                    </w:rPr>
                    <w:fldChar w:fldCharType="separate"/>
                  </w:r>
                  <w:r w:rsidR="008F22E5" w:rsidRPr="417BA448">
                    <w:rPr>
                      <w:rStyle w:val="Text-Bold"/>
                      <w:szCs w:val="22"/>
                    </w:rPr>
                    <w:t xml:space="preserve">Table </w:t>
                  </w:r>
                  <w:r w:rsidR="008F22E5" w:rsidRPr="008F22E5">
                    <w:rPr>
                      <w:b/>
                      <w:bCs/>
                      <w:noProof/>
                    </w:rPr>
                    <w:t>12</w:t>
                  </w:r>
                  <w:r w:rsidRPr="007D0F64">
                    <w:rPr>
                      <w:b/>
                      <w:bCs/>
                    </w:rPr>
                    <w:fldChar w:fldCharType="end"/>
                  </w:r>
                  <w:r w:rsidRPr="0082111C">
                    <w:t xml:space="preserve"> provides a summary of BOD using two methods to value a DALY - $50,000 per DALY and $235,000 per DALY. The second approach considers the Australian Office of Impact </w:t>
                  </w:r>
                  <w:r w:rsidR="004B35E3">
                    <w:t>A</w:t>
                  </w:r>
                  <w:r w:rsidRPr="0082111C">
                    <w:t>nalysis estimates</w:t>
                  </w:r>
                  <w:r w:rsidR="004B35E3">
                    <w:t xml:space="preserve"> of</w:t>
                  </w:r>
                  <w:r w:rsidRPr="0082111C">
                    <w:t xml:space="preserve"> the value of a human life year. Using $50,000 per DALY provides an estimate of $8.6 billion; using the </w:t>
                  </w:r>
                  <w:r w:rsidR="004C5392" w:rsidRPr="0082111C">
                    <w:t>V</w:t>
                  </w:r>
                  <w:r w:rsidR="004C5392">
                    <w:t>alue of Statistical Life Year (VSLY)</w:t>
                  </w:r>
                  <w:r w:rsidR="004C5392" w:rsidRPr="0082111C">
                    <w:t xml:space="preserve"> </w:t>
                  </w:r>
                  <w:r w:rsidRPr="0082111C">
                    <w:t>($235,000 per DALY) provides an estimate of $40.4 billion.</w:t>
                  </w:r>
                  <w:bookmarkStart w:id="310" w:name="_Ref205323608"/>
                </w:p>
                <w:p w14:paraId="1CCEA66F" w14:textId="240A23B2" w:rsidR="00967ECF" w:rsidRPr="00925CD2" w:rsidRDefault="00967ECF" w:rsidP="00953B9E">
                  <w:pPr>
                    <w:pStyle w:val="TableFigure-Header"/>
                    <w:spacing w:line="276" w:lineRule="auto"/>
                    <w:rPr>
                      <w:rStyle w:val="Text-Bold"/>
                      <w:b/>
                      <w:sz w:val="22"/>
                      <w:szCs w:val="22"/>
                      <w:lang w:val="en-NZ"/>
                    </w:rPr>
                  </w:pPr>
                  <w:r w:rsidRPr="417BA448">
                    <w:rPr>
                      <w:rStyle w:val="Text-Bold"/>
                      <w:b/>
                      <w:sz w:val="22"/>
                      <w:szCs w:val="22"/>
                      <w:lang w:val="en-NZ"/>
                    </w:rPr>
                    <w:t xml:space="preserve">Table </w:t>
                  </w:r>
                  <w:r w:rsidRPr="00925CD2">
                    <w:rPr>
                      <w:rStyle w:val="Text-Bold"/>
                      <w:b/>
                      <w:sz w:val="22"/>
                      <w:szCs w:val="22"/>
                    </w:rPr>
                    <w:fldChar w:fldCharType="begin"/>
                  </w:r>
                  <w:r>
                    <w:instrText xml:space="preserve"> SEQ Table \* ARABIC </w:instrText>
                  </w:r>
                  <w:r w:rsidRPr="00925CD2">
                    <w:rPr>
                      <w:rStyle w:val="Text-Bold"/>
                      <w:b/>
                      <w:sz w:val="22"/>
                      <w:szCs w:val="22"/>
                    </w:rPr>
                    <w:fldChar w:fldCharType="separate"/>
                  </w:r>
                  <w:r w:rsidR="008D2566">
                    <w:rPr>
                      <w:noProof/>
                    </w:rPr>
                    <w:t>12</w:t>
                  </w:r>
                  <w:r w:rsidRPr="00925CD2">
                    <w:rPr>
                      <w:rStyle w:val="Text-Bold"/>
                      <w:b/>
                      <w:sz w:val="22"/>
                      <w:szCs w:val="22"/>
                    </w:rPr>
                    <w:fldChar w:fldCharType="end"/>
                  </w:r>
                  <w:bookmarkEnd w:id="310"/>
                  <w:r w:rsidRPr="417BA448">
                    <w:rPr>
                      <w:rStyle w:val="Text-Bold"/>
                      <w:b/>
                      <w:sz w:val="22"/>
                      <w:szCs w:val="22"/>
                      <w:lang w:val="en-NZ"/>
                    </w:rPr>
                    <w:t>: Burden of disease - DALY</w:t>
                  </w:r>
                </w:p>
                <w:tbl>
                  <w:tblPr>
                    <w:tblStyle w:val="ListTable3-Accent3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95"/>
                    <w:gridCol w:w="1439"/>
                    <w:gridCol w:w="1391"/>
                    <w:gridCol w:w="2539"/>
                    <w:gridCol w:w="1855"/>
                  </w:tblGrid>
                  <w:tr w:rsidR="00967ECF" w:rsidRPr="00726129" w14:paraId="4E2A9680" w14:textId="77777777" w:rsidTr="0078378F">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100" w:firstRow="0" w:lastRow="0" w:firstColumn="1" w:lastColumn="0" w:oddVBand="0" w:evenVBand="0" w:oddHBand="0" w:evenHBand="0" w:firstRowFirstColumn="1" w:firstRowLastColumn="0" w:lastRowFirstColumn="0" w:lastRowLastColumn="0"/>
                        <w:tcW w:w="0" w:type="pct"/>
                        <w:tcBorders>
                          <w:bottom w:val="none" w:sz="0" w:space="0" w:color="auto"/>
                          <w:right w:val="none" w:sz="0" w:space="0" w:color="auto"/>
                        </w:tcBorders>
                        <w:hideMark/>
                      </w:tcPr>
                      <w:p w14:paraId="3ED3B8DB" w14:textId="77777777" w:rsidR="00967ECF" w:rsidRPr="00726129" w:rsidRDefault="00967ECF">
                        <w:pPr>
                          <w:pStyle w:val="Text"/>
                          <w:spacing w:after="240" w:line="276" w:lineRule="auto"/>
                          <w:rPr>
                            <w:b w:val="0"/>
                            <w:bCs w:val="0"/>
                            <w:lang w:val="en-AU"/>
                          </w:rPr>
                        </w:pPr>
                        <w:r w:rsidRPr="00726129">
                          <w:rPr>
                            <w:lang w:val="en-AU"/>
                          </w:rPr>
                          <w:t xml:space="preserve">Risk factor </w:t>
                        </w:r>
                      </w:p>
                    </w:tc>
                    <w:tc>
                      <w:tcPr>
                        <w:tcW w:w="0" w:type="pct"/>
                        <w:hideMark/>
                      </w:tcPr>
                      <w:p w14:paraId="5B677CCD" w14:textId="77777777" w:rsidR="00967ECF" w:rsidRPr="00726129" w:rsidRDefault="00967ECF">
                        <w:pPr>
                          <w:pStyle w:val="Text"/>
                          <w:spacing w:after="240" w:line="276" w:lineRule="auto"/>
                          <w:cnfStyle w:val="100000000000" w:firstRow="1" w:lastRow="0" w:firstColumn="0" w:lastColumn="0" w:oddVBand="0" w:evenVBand="0" w:oddHBand="0" w:evenHBand="0" w:firstRowFirstColumn="0" w:firstRowLastColumn="0" w:lastRowFirstColumn="0" w:lastRowLastColumn="0"/>
                          <w:rPr>
                            <w:b w:val="0"/>
                            <w:bCs w:val="0"/>
                            <w:lang w:val="en-AU"/>
                          </w:rPr>
                        </w:pPr>
                        <w:r w:rsidRPr="00726129">
                          <w:rPr>
                            <w:lang w:val="en-AU"/>
                          </w:rPr>
                          <w:t xml:space="preserve">Sex </w:t>
                        </w:r>
                      </w:p>
                    </w:tc>
                    <w:tc>
                      <w:tcPr>
                        <w:tcW w:w="0" w:type="pct"/>
                        <w:noWrap/>
                        <w:hideMark/>
                      </w:tcPr>
                      <w:p w14:paraId="2C2BBD1C" w14:textId="77777777" w:rsidR="00967ECF" w:rsidRPr="00726129" w:rsidRDefault="00967ECF">
                        <w:pPr>
                          <w:pStyle w:val="Text"/>
                          <w:spacing w:after="240" w:line="276" w:lineRule="auto"/>
                          <w:cnfStyle w:val="100000000000" w:firstRow="1" w:lastRow="0" w:firstColumn="0" w:lastColumn="0" w:oddVBand="0" w:evenVBand="0" w:oddHBand="0" w:evenHBand="0" w:firstRowFirstColumn="0" w:firstRowLastColumn="0" w:lastRowFirstColumn="0" w:lastRowLastColumn="0"/>
                          <w:rPr>
                            <w:b w:val="0"/>
                            <w:bCs w:val="0"/>
                            <w:lang w:val="en-AU"/>
                          </w:rPr>
                        </w:pPr>
                        <w:r w:rsidRPr="00726129">
                          <w:rPr>
                            <w:lang w:val="en-AU"/>
                          </w:rPr>
                          <w:t>DALY</w:t>
                        </w:r>
                      </w:p>
                    </w:tc>
                    <w:tc>
                      <w:tcPr>
                        <w:tcW w:w="0" w:type="pct"/>
                        <w:noWrap/>
                        <w:hideMark/>
                      </w:tcPr>
                      <w:p w14:paraId="25029F95" w14:textId="77777777" w:rsidR="00967ECF" w:rsidRPr="00726129" w:rsidRDefault="00967ECF">
                        <w:pPr>
                          <w:pStyle w:val="Text"/>
                          <w:spacing w:after="240" w:line="276" w:lineRule="auto"/>
                          <w:cnfStyle w:val="100000000000" w:firstRow="1" w:lastRow="0" w:firstColumn="0" w:lastColumn="0" w:oddVBand="0" w:evenVBand="0" w:oddHBand="0" w:evenHBand="0" w:firstRowFirstColumn="0" w:firstRowLastColumn="0" w:lastRowFirstColumn="0" w:lastRowLastColumn="0"/>
                          <w:rPr>
                            <w:b w:val="0"/>
                            <w:bCs w:val="0"/>
                            <w:lang w:val="en-AU"/>
                          </w:rPr>
                        </w:pPr>
                        <w:r w:rsidRPr="00726129">
                          <w:rPr>
                            <w:lang w:val="en-AU"/>
                          </w:rPr>
                          <w:t>Using $50k / DALY</w:t>
                        </w:r>
                      </w:p>
                    </w:tc>
                    <w:tc>
                      <w:tcPr>
                        <w:tcW w:w="0" w:type="pct"/>
                        <w:noWrap/>
                        <w:hideMark/>
                      </w:tcPr>
                      <w:p w14:paraId="70B0EABF" w14:textId="77777777" w:rsidR="00967ECF" w:rsidRPr="00726129" w:rsidRDefault="00967ECF">
                        <w:pPr>
                          <w:pStyle w:val="Text"/>
                          <w:spacing w:after="240" w:line="276" w:lineRule="auto"/>
                          <w:cnfStyle w:val="100000000000" w:firstRow="1" w:lastRow="0" w:firstColumn="0" w:lastColumn="0" w:oddVBand="0" w:evenVBand="0" w:oddHBand="0" w:evenHBand="0" w:firstRowFirstColumn="0" w:firstRowLastColumn="0" w:lastRowFirstColumn="0" w:lastRowLastColumn="0"/>
                          <w:rPr>
                            <w:b w:val="0"/>
                            <w:bCs w:val="0"/>
                            <w:lang w:val="en-AU"/>
                          </w:rPr>
                        </w:pPr>
                        <w:r w:rsidRPr="00726129">
                          <w:rPr>
                            <w:lang w:val="en-AU"/>
                          </w:rPr>
                          <w:t>Using VSLY</w:t>
                        </w:r>
                      </w:p>
                    </w:tc>
                  </w:tr>
                  <w:tr w:rsidR="00967ECF" w:rsidRPr="00726129" w14:paraId="476AF5E0" w14:textId="77777777" w:rsidTr="0078378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pct"/>
                        <w:tcBorders>
                          <w:top w:val="none" w:sz="0" w:space="0" w:color="auto"/>
                          <w:bottom w:val="none" w:sz="0" w:space="0" w:color="auto"/>
                          <w:right w:val="none" w:sz="0" w:space="0" w:color="auto"/>
                        </w:tcBorders>
                        <w:vAlign w:val="center"/>
                        <w:hideMark/>
                      </w:tcPr>
                      <w:p w14:paraId="52DC82BE" w14:textId="77777777" w:rsidR="00967ECF" w:rsidRPr="0078378F" w:rsidRDefault="00967ECF">
                        <w:pPr>
                          <w:pStyle w:val="Text"/>
                          <w:spacing w:after="240" w:line="276" w:lineRule="auto"/>
                          <w:jc w:val="left"/>
                          <w:rPr>
                            <w:b w:val="0"/>
                            <w:bCs w:val="0"/>
                            <w:lang w:val="en-AU"/>
                          </w:rPr>
                        </w:pPr>
                        <w:r w:rsidRPr="0078378F">
                          <w:rPr>
                            <w:b w:val="0"/>
                            <w:bCs w:val="0"/>
                            <w:lang w:val="en-AU"/>
                          </w:rPr>
                          <w:t>Child abuse &amp; neglect</w:t>
                        </w:r>
                      </w:p>
                    </w:tc>
                    <w:tc>
                      <w:tcPr>
                        <w:tcW w:w="0" w:type="pct"/>
                        <w:tcBorders>
                          <w:top w:val="none" w:sz="0" w:space="0" w:color="auto"/>
                          <w:bottom w:val="none" w:sz="0" w:space="0" w:color="auto"/>
                        </w:tcBorders>
                        <w:hideMark/>
                      </w:tcPr>
                      <w:p w14:paraId="70908F7B" w14:textId="77777777" w:rsidR="00967ECF" w:rsidRPr="00582772" w:rsidRDefault="00967ECF">
                        <w:pPr>
                          <w:pStyle w:val="Text"/>
                          <w:spacing w:after="240" w:line="276" w:lineRule="auto"/>
                          <w:cnfStyle w:val="000000100000" w:firstRow="0" w:lastRow="0" w:firstColumn="0" w:lastColumn="0" w:oddVBand="0" w:evenVBand="0" w:oddHBand="1" w:evenHBand="0" w:firstRowFirstColumn="0" w:firstRowLastColumn="0" w:lastRowFirstColumn="0" w:lastRowLastColumn="0"/>
                          <w:rPr>
                            <w:lang w:val="en-AU"/>
                          </w:rPr>
                        </w:pPr>
                        <w:r w:rsidRPr="00582772">
                          <w:rPr>
                            <w:lang w:val="en-AU"/>
                          </w:rPr>
                          <w:t>Females</w:t>
                        </w:r>
                      </w:p>
                    </w:tc>
                    <w:tc>
                      <w:tcPr>
                        <w:tcW w:w="0" w:type="pct"/>
                        <w:tcBorders>
                          <w:top w:val="none" w:sz="0" w:space="0" w:color="auto"/>
                          <w:bottom w:val="none" w:sz="0" w:space="0" w:color="auto"/>
                        </w:tcBorders>
                        <w:noWrap/>
                        <w:hideMark/>
                      </w:tcPr>
                      <w:p w14:paraId="74DD676D" w14:textId="77777777" w:rsidR="00967ECF" w:rsidRPr="00582772" w:rsidRDefault="00967ECF">
                        <w:pPr>
                          <w:pStyle w:val="Text"/>
                          <w:spacing w:after="240" w:line="276" w:lineRule="auto"/>
                          <w:cnfStyle w:val="000000100000" w:firstRow="0" w:lastRow="0" w:firstColumn="0" w:lastColumn="0" w:oddVBand="0" w:evenVBand="0" w:oddHBand="1" w:evenHBand="0" w:firstRowFirstColumn="0" w:firstRowLastColumn="0" w:lastRowFirstColumn="0" w:lastRowLastColumn="0"/>
                          <w:rPr>
                            <w:lang w:val="en-AU"/>
                          </w:rPr>
                        </w:pPr>
                        <w:r w:rsidRPr="00582772">
                          <w:rPr>
                            <w:lang w:val="en-AU"/>
                          </w:rPr>
                          <w:t>70,403</w:t>
                        </w:r>
                      </w:p>
                    </w:tc>
                    <w:tc>
                      <w:tcPr>
                        <w:tcW w:w="0" w:type="pct"/>
                        <w:tcBorders>
                          <w:top w:val="none" w:sz="0" w:space="0" w:color="auto"/>
                          <w:bottom w:val="none" w:sz="0" w:space="0" w:color="auto"/>
                        </w:tcBorders>
                        <w:hideMark/>
                      </w:tcPr>
                      <w:p w14:paraId="6CD5C9A4" w14:textId="77777777" w:rsidR="00967ECF" w:rsidRPr="00582772" w:rsidRDefault="00967ECF">
                        <w:pPr>
                          <w:pStyle w:val="Text"/>
                          <w:spacing w:after="240" w:line="276" w:lineRule="auto"/>
                          <w:cnfStyle w:val="000000100000" w:firstRow="0" w:lastRow="0" w:firstColumn="0" w:lastColumn="0" w:oddVBand="0" w:evenVBand="0" w:oddHBand="1" w:evenHBand="0" w:firstRowFirstColumn="0" w:firstRowLastColumn="0" w:lastRowFirstColumn="0" w:lastRowLastColumn="0"/>
                          <w:rPr>
                            <w:lang w:val="en-AU"/>
                          </w:rPr>
                        </w:pPr>
                        <w:r w:rsidRPr="00582772">
                          <w:rPr>
                            <w:lang w:val="en-AU"/>
                          </w:rPr>
                          <w:t>$3.5 billion</w:t>
                        </w:r>
                      </w:p>
                    </w:tc>
                    <w:tc>
                      <w:tcPr>
                        <w:tcW w:w="0" w:type="pct"/>
                        <w:tcBorders>
                          <w:top w:val="none" w:sz="0" w:space="0" w:color="auto"/>
                          <w:bottom w:val="none" w:sz="0" w:space="0" w:color="auto"/>
                        </w:tcBorders>
                        <w:hideMark/>
                      </w:tcPr>
                      <w:p w14:paraId="60A57AF5" w14:textId="77777777" w:rsidR="00967ECF" w:rsidRPr="00582772" w:rsidRDefault="00967ECF">
                        <w:pPr>
                          <w:pStyle w:val="Text"/>
                          <w:spacing w:after="240" w:line="276" w:lineRule="auto"/>
                          <w:cnfStyle w:val="000000100000" w:firstRow="0" w:lastRow="0" w:firstColumn="0" w:lastColumn="0" w:oddVBand="0" w:evenVBand="0" w:oddHBand="1" w:evenHBand="0" w:firstRowFirstColumn="0" w:firstRowLastColumn="0" w:lastRowFirstColumn="0" w:lastRowLastColumn="0"/>
                          <w:rPr>
                            <w:lang w:val="en-AU"/>
                          </w:rPr>
                        </w:pPr>
                        <w:r w:rsidRPr="00582772">
                          <w:rPr>
                            <w:lang w:val="en-AU"/>
                          </w:rPr>
                          <w:t>$16.5 billion</w:t>
                        </w:r>
                      </w:p>
                    </w:tc>
                  </w:tr>
                  <w:tr w:rsidR="00680B14" w:rsidRPr="00726129" w14:paraId="19ADA6C7" w14:textId="77777777" w:rsidTr="0078378F">
                    <w:trPr>
                      <w:trHeight w:val="654"/>
                    </w:trPr>
                    <w:tc>
                      <w:tcPr>
                        <w:cnfStyle w:val="001000000000" w:firstRow="0" w:lastRow="0" w:firstColumn="1" w:lastColumn="0" w:oddVBand="0" w:evenVBand="0" w:oddHBand="0" w:evenHBand="0" w:firstRowFirstColumn="0" w:firstRowLastColumn="0" w:lastRowFirstColumn="0" w:lastRowLastColumn="0"/>
                        <w:tcW w:w="0" w:type="pct"/>
                        <w:tcBorders>
                          <w:right w:val="none" w:sz="0" w:space="0" w:color="auto"/>
                        </w:tcBorders>
                        <w:vAlign w:val="center"/>
                        <w:hideMark/>
                      </w:tcPr>
                      <w:p w14:paraId="6D67694A" w14:textId="77777777" w:rsidR="00967ECF" w:rsidRPr="0078378F" w:rsidRDefault="00967ECF">
                        <w:pPr>
                          <w:pStyle w:val="Text"/>
                          <w:spacing w:after="240" w:line="276" w:lineRule="auto"/>
                          <w:jc w:val="left"/>
                          <w:rPr>
                            <w:b w:val="0"/>
                            <w:bCs w:val="0"/>
                            <w:lang w:val="en-AU"/>
                          </w:rPr>
                        </w:pPr>
                        <w:r w:rsidRPr="0078378F">
                          <w:rPr>
                            <w:b w:val="0"/>
                            <w:bCs w:val="0"/>
                            <w:lang w:val="en-AU"/>
                          </w:rPr>
                          <w:t>Intimate partner violence</w:t>
                        </w:r>
                      </w:p>
                    </w:tc>
                    <w:tc>
                      <w:tcPr>
                        <w:tcW w:w="0" w:type="pct"/>
                        <w:hideMark/>
                      </w:tcPr>
                      <w:p w14:paraId="333F30B2" w14:textId="77777777" w:rsidR="00967ECF" w:rsidRPr="00582772" w:rsidRDefault="00967ECF">
                        <w:pPr>
                          <w:pStyle w:val="Text"/>
                          <w:spacing w:after="240" w:line="276" w:lineRule="auto"/>
                          <w:cnfStyle w:val="000000000000" w:firstRow="0" w:lastRow="0" w:firstColumn="0" w:lastColumn="0" w:oddVBand="0" w:evenVBand="0" w:oddHBand="0" w:evenHBand="0" w:firstRowFirstColumn="0" w:firstRowLastColumn="0" w:lastRowFirstColumn="0" w:lastRowLastColumn="0"/>
                          <w:rPr>
                            <w:lang w:val="en-AU"/>
                          </w:rPr>
                        </w:pPr>
                        <w:r w:rsidRPr="00582772">
                          <w:rPr>
                            <w:lang w:val="en-AU"/>
                          </w:rPr>
                          <w:t>Females</w:t>
                        </w:r>
                      </w:p>
                    </w:tc>
                    <w:tc>
                      <w:tcPr>
                        <w:tcW w:w="0" w:type="pct"/>
                        <w:noWrap/>
                        <w:hideMark/>
                      </w:tcPr>
                      <w:p w14:paraId="1A3BFD66" w14:textId="77777777" w:rsidR="00967ECF" w:rsidRPr="00582772" w:rsidRDefault="00967ECF">
                        <w:pPr>
                          <w:pStyle w:val="Text"/>
                          <w:spacing w:after="240" w:line="276" w:lineRule="auto"/>
                          <w:cnfStyle w:val="000000000000" w:firstRow="0" w:lastRow="0" w:firstColumn="0" w:lastColumn="0" w:oddVBand="0" w:evenVBand="0" w:oddHBand="0" w:evenHBand="0" w:firstRowFirstColumn="0" w:firstRowLastColumn="0" w:lastRowFirstColumn="0" w:lastRowLastColumn="0"/>
                          <w:rPr>
                            <w:lang w:val="en-AU"/>
                          </w:rPr>
                        </w:pPr>
                        <w:r w:rsidRPr="00582772">
                          <w:rPr>
                            <w:lang w:val="en-AU"/>
                          </w:rPr>
                          <w:t>40,477</w:t>
                        </w:r>
                      </w:p>
                    </w:tc>
                    <w:tc>
                      <w:tcPr>
                        <w:tcW w:w="0" w:type="pct"/>
                        <w:hideMark/>
                      </w:tcPr>
                      <w:p w14:paraId="0A74F8A4" w14:textId="77777777" w:rsidR="00967ECF" w:rsidRPr="00582772" w:rsidRDefault="00967ECF">
                        <w:pPr>
                          <w:pStyle w:val="Text"/>
                          <w:spacing w:after="240" w:line="276" w:lineRule="auto"/>
                          <w:cnfStyle w:val="000000000000" w:firstRow="0" w:lastRow="0" w:firstColumn="0" w:lastColumn="0" w:oddVBand="0" w:evenVBand="0" w:oddHBand="0" w:evenHBand="0" w:firstRowFirstColumn="0" w:firstRowLastColumn="0" w:lastRowFirstColumn="0" w:lastRowLastColumn="0"/>
                          <w:rPr>
                            <w:lang w:val="en-AU"/>
                          </w:rPr>
                        </w:pPr>
                        <w:r w:rsidRPr="00582772">
                          <w:rPr>
                            <w:lang w:val="en-AU"/>
                          </w:rPr>
                          <w:t>$2,0 billion</w:t>
                        </w:r>
                      </w:p>
                    </w:tc>
                    <w:tc>
                      <w:tcPr>
                        <w:tcW w:w="0" w:type="pct"/>
                        <w:hideMark/>
                      </w:tcPr>
                      <w:p w14:paraId="4473631A" w14:textId="77777777" w:rsidR="00967ECF" w:rsidRPr="00582772" w:rsidRDefault="00967ECF">
                        <w:pPr>
                          <w:pStyle w:val="Text"/>
                          <w:spacing w:after="240" w:line="276" w:lineRule="auto"/>
                          <w:cnfStyle w:val="000000000000" w:firstRow="0" w:lastRow="0" w:firstColumn="0" w:lastColumn="0" w:oddVBand="0" w:evenVBand="0" w:oddHBand="0" w:evenHBand="0" w:firstRowFirstColumn="0" w:firstRowLastColumn="0" w:lastRowFirstColumn="0" w:lastRowLastColumn="0"/>
                          <w:rPr>
                            <w:lang w:val="en-AU"/>
                          </w:rPr>
                        </w:pPr>
                        <w:r w:rsidRPr="00582772">
                          <w:rPr>
                            <w:lang w:val="en-AU"/>
                          </w:rPr>
                          <w:t>$9.5 billion</w:t>
                        </w:r>
                      </w:p>
                    </w:tc>
                  </w:tr>
                  <w:tr w:rsidR="00967ECF" w:rsidRPr="00726129" w14:paraId="2DC40197" w14:textId="77777777" w:rsidTr="0078378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pct"/>
                        <w:tcBorders>
                          <w:top w:val="none" w:sz="0" w:space="0" w:color="auto"/>
                          <w:bottom w:val="none" w:sz="0" w:space="0" w:color="auto"/>
                          <w:right w:val="none" w:sz="0" w:space="0" w:color="auto"/>
                        </w:tcBorders>
                        <w:vAlign w:val="center"/>
                        <w:hideMark/>
                      </w:tcPr>
                      <w:p w14:paraId="35E3DAF6" w14:textId="77777777" w:rsidR="00967ECF" w:rsidRPr="0078378F" w:rsidRDefault="00967ECF">
                        <w:pPr>
                          <w:pStyle w:val="Text"/>
                          <w:spacing w:after="240" w:line="276" w:lineRule="auto"/>
                          <w:jc w:val="left"/>
                          <w:rPr>
                            <w:b w:val="0"/>
                            <w:bCs w:val="0"/>
                            <w:lang w:val="en-AU"/>
                          </w:rPr>
                        </w:pPr>
                        <w:r w:rsidRPr="0078378F">
                          <w:rPr>
                            <w:b w:val="0"/>
                            <w:bCs w:val="0"/>
                            <w:lang w:val="en-AU"/>
                          </w:rPr>
                          <w:t>Bullying victimisation</w:t>
                        </w:r>
                      </w:p>
                    </w:tc>
                    <w:tc>
                      <w:tcPr>
                        <w:tcW w:w="0" w:type="pct"/>
                        <w:tcBorders>
                          <w:top w:val="none" w:sz="0" w:space="0" w:color="auto"/>
                          <w:bottom w:val="none" w:sz="0" w:space="0" w:color="auto"/>
                        </w:tcBorders>
                        <w:hideMark/>
                      </w:tcPr>
                      <w:p w14:paraId="0153F1D4" w14:textId="77777777" w:rsidR="00967ECF" w:rsidRPr="00582772" w:rsidRDefault="00967ECF">
                        <w:pPr>
                          <w:pStyle w:val="Text"/>
                          <w:spacing w:after="240" w:line="276" w:lineRule="auto"/>
                          <w:cnfStyle w:val="000000100000" w:firstRow="0" w:lastRow="0" w:firstColumn="0" w:lastColumn="0" w:oddVBand="0" w:evenVBand="0" w:oddHBand="1" w:evenHBand="0" w:firstRowFirstColumn="0" w:firstRowLastColumn="0" w:lastRowFirstColumn="0" w:lastRowLastColumn="0"/>
                          <w:rPr>
                            <w:lang w:val="en-AU"/>
                          </w:rPr>
                        </w:pPr>
                        <w:r w:rsidRPr="00582772">
                          <w:rPr>
                            <w:lang w:val="en-AU"/>
                          </w:rPr>
                          <w:t>Females</w:t>
                        </w:r>
                      </w:p>
                    </w:tc>
                    <w:tc>
                      <w:tcPr>
                        <w:tcW w:w="0" w:type="pct"/>
                        <w:tcBorders>
                          <w:top w:val="none" w:sz="0" w:space="0" w:color="auto"/>
                          <w:bottom w:val="none" w:sz="0" w:space="0" w:color="auto"/>
                        </w:tcBorders>
                        <w:noWrap/>
                        <w:hideMark/>
                      </w:tcPr>
                      <w:p w14:paraId="0C70F90F" w14:textId="77777777" w:rsidR="00967ECF" w:rsidRPr="00582772" w:rsidRDefault="00967ECF">
                        <w:pPr>
                          <w:pStyle w:val="Text"/>
                          <w:spacing w:after="240" w:line="276" w:lineRule="auto"/>
                          <w:cnfStyle w:val="000000100000" w:firstRow="0" w:lastRow="0" w:firstColumn="0" w:lastColumn="0" w:oddVBand="0" w:evenVBand="0" w:oddHBand="1" w:evenHBand="0" w:firstRowFirstColumn="0" w:firstRowLastColumn="0" w:lastRowFirstColumn="0" w:lastRowLastColumn="0"/>
                          <w:rPr>
                            <w:lang w:val="en-AU"/>
                          </w:rPr>
                        </w:pPr>
                        <w:r w:rsidRPr="00582772">
                          <w:rPr>
                            <w:lang w:val="en-AU"/>
                          </w:rPr>
                          <w:t>4,648</w:t>
                        </w:r>
                      </w:p>
                    </w:tc>
                    <w:tc>
                      <w:tcPr>
                        <w:tcW w:w="0" w:type="pct"/>
                        <w:tcBorders>
                          <w:top w:val="none" w:sz="0" w:space="0" w:color="auto"/>
                          <w:bottom w:val="none" w:sz="0" w:space="0" w:color="auto"/>
                        </w:tcBorders>
                        <w:hideMark/>
                      </w:tcPr>
                      <w:p w14:paraId="650F59EA" w14:textId="77777777" w:rsidR="00967ECF" w:rsidRPr="00582772" w:rsidRDefault="00967ECF">
                        <w:pPr>
                          <w:pStyle w:val="Text"/>
                          <w:spacing w:after="240" w:line="276" w:lineRule="auto"/>
                          <w:cnfStyle w:val="000000100000" w:firstRow="0" w:lastRow="0" w:firstColumn="0" w:lastColumn="0" w:oddVBand="0" w:evenVBand="0" w:oddHBand="1" w:evenHBand="0" w:firstRowFirstColumn="0" w:firstRowLastColumn="0" w:lastRowFirstColumn="0" w:lastRowLastColumn="0"/>
                          <w:rPr>
                            <w:b/>
                            <w:bCs/>
                            <w:lang w:val="en-AU"/>
                          </w:rPr>
                        </w:pPr>
                        <w:r w:rsidRPr="00582772">
                          <w:rPr>
                            <w:lang w:val="en-AU"/>
                          </w:rPr>
                          <w:t>$0.23 billion</w:t>
                        </w:r>
                      </w:p>
                    </w:tc>
                    <w:tc>
                      <w:tcPr>
                        <w:tcW w:w="0" w:type="pct"/>
                        <w:tcBorders>
                          <w:top w:val="none" w:sz="0" w:space="0" w:color="auto"/>
                          <w:bottom w:val="none" w:sz="0" w:space="0" w:color="auto"/>
                        </w:tcBorders>
                        <w:hideMark/>
                      </w:tcPr>
                      <w:p w14:paraId="18F94475" w14:textId="77777777" w:rsidR="00967ECF" w:rsidRPr="00582772" w:rsidRDefault="00967ECF">
                        <w:pPr>
                          <w:pStyle w:val="Text"/>
                          <w:spacing w:after="240" w:line="276" w:lineRule="auto"/>
                          <w:cnfStyle w:val="000000100000" w:firstRow="0" w:lastRow="0" w:firstColumn="0" w:lastColumn="0" w:oddVBand="0" w:evenVBand="0" w:oddHBand="1" w:evenHBand="0" w:firstRowFirstColumn="0" w:firstRowLastColumn="0" w:lastRowFirstColumn="0" w:lastRowLastColumn="0"/>
                          <w:rPr>
                            <w:lang w:val="en-AU"/>
                          </w:rPr>
                        </w:pPr>
                        <w:r w:rsidRPr="00582772">
                          <w:rPr>
                            <w:lang w:val="en-AU"/>
                          </w:rPr>
                          <w:t>$1.1 billion</w:t>
                        </w:r>
                      </w:p>
                    </w:tc>
                  </w:tr>
                  <w:tr w:rsidR="00680B14" w:rsidRPr="00726129" w14:paraId="0464CC22" w14:textId="77777777" w:rsidTr="0078378F">
                    <w:trPr>
                      <w:trHeight w:val="300"/>
                    </w:trPr>
                    <w:tc>
                      <w:tcPr>
                        <w:cnfStyle w:val="001000000000" w:firstRow="0" w:lastRow="0" w:firstColumn="1" w:lastColumn="0" w:oddVBand="0" w:evenVBand="0" w:oddHBand="0" w:evenHBand="0" w:firstRowFirstColumn="0" w:firstRowLastColumn="0" w:lastRowFirstColumn="0" w:lastRowLastColumn="0"/>
                        <w:tcW w:w="0" w:type="pct"/>
                        <w:tcBorders>
                          <w:right w:val="none" w:sz="0" w:space="0" w:color="auto"/>
                        </w:tcBorders>
                        <w:vAlign w:val="center"/>
                        <w:hideMark/>
                      </w:tcPr>
                      <w:p w14:paraId="537DC377" w14:textId="77777777" w:rsidR="00967ECF" w:rsidRPr="0078378F" w:rsidRDefault="00967ECF">
                        <w:pPr>
                          <w:pStyle w:val="Text"/>
                          <w:spacing w:after="240" w:line="276" w:lineRule="auto"/>
                          <w:jc w:val="left"/>
                          <w:rPr>
                            <w:b w:val="0"/>
                            <w:bCs w:val="0"/>
                            <w:lang w:val="en-AU"/>
                          </w:rPr>
                        </w:pPr>
                        <w:r w:rsidRPr="0078378F">
                          <w:rPr>
                            <w:b w:val="0"/>
                            <w:bCs w:val="0"/>
                            <w:lang w:val="en-AU"/>
                          </w:rPr>
                          <w:t>Child abuse &amp; neglect</w:t>
                        </w:r>
                      </w:p>
                    </w:tc>
                    <w:tc>
                      <w:tcPr>
                        <w:tcW w:w="0" w:type="pct"/>
                        <w:hideMark/>
                      </w:tcPr>
                      <w:p w14:paraId="1AC07C42" w14:textId="77777777" w:rsidR="00967ECF" w:rsidRPr="00582772" w:rsidRDefault="00967ECF">
                        <w:pPr>
                          <w:pStyle w:val="Text"/>
                          <w:spacing w:after="240" w:line="276" w:lineRule="auto"/>
                          <w:cnfStyle w:val="000000000000" w:firstRow="0" w:lastRow="0" w:firstColumn="0" w:lastColumn="0" w:oddVBand="0" w:evenVBand="0" w:oddHBand="0" w:evenHBand="0" w:firstRowFirstColumn="0" w:firstRowLastColumn="0" w:lastRowFirstColumn="0" w:lastRowLastColumn="0"/>
                          <w:rPr>
                            <w:lang w:val="en-AU"/>
                          </w:rPr>
                        </w:pPr>
                        <w:r w:rsidRPr="00582772">
                          <w:rPr>
                            <w:lang w:val="en-AU"/>
                          </w:rPr>
                          <w:t>Males</w:t>
                        </w:r>
                      </w:p>
                    </w:tc>
                    <w:tc>
                      <w:tcPr>
                        <w:tcW w:w="0" w:type="pct"/>
                        <w:noWrap/>
                        <w:hideMark/>
                      </w:tcPr>
                      <w:p w14:paraId="656BA327" w14:textId="77777777" w:rsidR="00967ECF" w:rsidRPr="00582772" w:rsidRDefault="00967ECF">
                        <w:pPr>
                          <w:pStyle w:val="Text"/>
                          <w:spacing w:after="240" w:line="276" w:lineRule="auto"/>
                          <w:cnfStyle w:val="000000000000" w:firstRow="0" w:lastRow="0" w:firstColumn="0" w:lastColumn="0" w:oddVBand="0" w:evenVBand="0" w:oddHBand="0" w:evenHBand="0" w:firstRowFirstColumn="0" w:firstRowLastColumn="0" w:lastRowFirstColumn="0" w:lastRowLastColumn="0"/>
                          <w:rPr>
                            <w:lang w:val="en-AU"/>
                          </w:rPr>
                        </w:pPr>
                        <w:r w:rsidRPr="00582772">
                          <w:rPr>
                            <w:lang w:val="en-AU"/>
                          </w:rPr>
                          <w:t>53</w:t>
                        </w:r>
                        <w:r>
                          <w:rPr>
                            <w:lang w:val="en-AU"/>
                          </w:rPr>
                          <w:t>,</w:t>
                        </w:r>
                        <w:r w:rsidRPr="00582772">
                          <w:rPr>
                            <w:lang w:val="en-AU"/>
                          </w:rPr>
                          <w:t>026</w:t>
                        </w:r>
                      </w:p>
                    </w:tc>
                    <w:tc>
                      <w:tcPr>
                        <w:tcW w:w="0" w:type="pct"/>
                        <w:hideMark/>
                      </w:tcPr>
                      <w:p w14:paraId="6D5EEB54" w14:textId="77777777" w:rsidR="00967ECF" w:rsidRPr="00582772" w:rsidRDefault="00967ECF">
                        <w:pPr>
                          <w:pStyle w:val="Text"/>
                          <w:spacing w:after="240" w:line="276" w:lineRule="auto"/>
                          <w:cnfStyle w:val="000000000000" w:firstRow="0" w:lastRow="0" w:firstColumn="0" w:lastColumn="0" w:oddVBand="0" w:evenVBand="0" w:oddHBand="0" w:evenHBand="0" w:firstRowFirstColumn="0" w:firstRowLastColumn="0" w:lastRowFirstColumn="0" w:lastRowLastColumn="0"/>
                          <w:rPr>
                            <w:lang w:val="en-AU"/>
                          </w:rPr>
                        </w:pPr>
                        <w:r w:rsidRPr="00582772">
                          <w:rPr>
                            <w:lang w:val="en-AU"/>
                          </w:rPr>
                          <w:t>$2.7 billion</w:t>
                        </w:r>
                      </w:p>
                    </w:tc>
                    <w:tc>
                      <w:tcPr>
                        <w:tcW w:w="0" w:type="pct"/>
                        <w:hideMark/>
                      </w:tcPr>
                      <w:p w14:paraId="6D76DF63" w14:textId="77777777" w:rsidR="00967ECF" w:rsidRPr="00582772" w:rsidRDefault="00967ECF">
                        <w:pPr>
                          <w:pStyle w:val="Text"/>
                          <w:spacing w:after="240" w:line="276" w:lineRule="auto"/>
                          <w:cnfStyle w:val="000000000000" w:firstRow="0" w:lastRow="0" w:firstColumn="0" w:lastColumn="0" w:oddVBand="0" w:evenVBand="0" w:oddHBand="0" w:evenHBand="0" w:firstRowFirstColumn="0" w:firstRowLastColumn="0" w:lastRowFirstColumn="0" w:lastRowLastColumn="0"/>
                          <w:rPr>
                            <w:lang w:val="en-AU"/>
                          </w:rPr>
                        </w:pPr>
                        <w:r w:rsidRPr="00582772">
                          <w:rPr>
                            <w:lang w:val="en-AU"/>
                          </w:rPr>
                          <w:t>$12.5 billion</w:t>
                        </w:r>
                      </w:p>
                    </w:tc>
                  </w:tr>
                  <w:tr w:rsidR="00967ECF" w:rsidRPr="00726129" w14:paraId="41C1D57A" w14:textId="77777777" w:rsidTr="0078378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pct"/>
                        <w:tcBorders>
                          <w:top w:val="none" w:sz="0" w:space="0" w:color="auto"/>
                          <w:bottom w:val="none" w:sz="0" w:space="0" w:color="auto"/>
                          <w:right w:val="none" w:sz="0" w:space="0" w:color="auto"/>
                        </w:tcBorders>
                        <w:vAlign w:val="center"/>
                        <w:hideMark/>
                      </w:tcPr>
                      <w:p w14:paraId="29F7EEDF" w14:textId="77777777" w:rsidR="00967ECF" w:rsidRPr="0078378F" w:rsidRDefault="00967ECF">
                        <w:pPr>
                          <w:pStyle w:val="Text"/>
                          <w:spacing w:after="240" w:line="276" w:lineRule="auto"/>
                          <w:jc w:val="left"/>
                          <w:rPr>
                            <w:b w:val="0"/>
                            <w:bCs w:val="0"/>
                            <w:lang w:val="en-AU"/>
                          </w:rPr>
                        </w:pPr>
                        <w:r w:rsidRPr="0078378F">
                          <w:rPr>
                            <w:b w:val="0"/>
                            <w:bCs w:val="0"/>
                            <w:lang w:val="en-AU"/>
                          </w:rPr>
                          <w:lastRenderedPageBreak/>
                          <w:t>Bullying victimisation</w:t>
                        </w:r>
                      </w:p>
                    </w:tc>
                    <w:tc>
                      <w:tcPr>
                        <w:tcW w:w="0" w:type="pct"/>
                        <w:tcBorders>
                          <w:top w:val="none" w:sz="0" w:space="0" w:color="auto"/>
                          <w:bottom w:val="none" w:sz="0" w:space="0" w:color="auto"/>
                        </w:tcBorders>
                        <w:hideMark/>
                      </w:tcPr>
                      <w:p w14:paraId="2793B588" w14:textId="77777777" w:rsidR="00967ECF" w:rsidRPr="00582772" w:rsidRDefault="00967ECF">
                        <w:pPr>
                          <w:pStyle w:val="Text"/>
                          <w:spacing w:after="240" w:line="276" w:lineRule="auto"/>
                          <w:cnfStyle w:val="000000100000" w:firstRow="0" w:lastRow="0" w:firstColumn="0" w:lastColumn="0" w:oddVBand="0" w:evenVBand="0" w:oddHBand="1" w:evenHBand="0" w:firstRowFirstColumn="0" w:firstRowLastColumn="0" w:lastRowFirstColumn="0" w:lastRowLastColumn="0"/>
                          <w:rPr>
                            <w:lang w:val="en-AU"/>
                          </w:rPr>
                        </w:pPr>
                        <w:r w:rsidRPr="00582772">
                          <w:rPr>
                            <w:lang w:val="en-AU"/>
                          </w:rPr>
                          <w:t>Males</w:t>
                        </w:r>
                      </w:p>
                    </w:tc>
                    <w:tc>
                      <w:tcPr>
                        <w:tcW w:w="0" w:type="pct"/>
                        <w:tcBorders>
                          <w:top w:val="none" w:sz="0" w:space="0" w:color="auto"/>
                          <w:bottom w:val="none" w:sz="0" w:space="0" w:color="auto"/>
                        </w:tcBorders>
                        <w:noWrap/>
                        <w:hideMark/>
                      </w:tcPr>
                      <w:p w14:paraId="68A7F80C" w14:textId="77777777" w:rsidR="00967ECF" w:rsidRPr="00582772" w:rsidRDefault="00967ECF">
                        <w:pPr>
                          <w:pStyle w:val="Text"/>
                          <w:spacing w:after="240" w:line="276" w:lineRule="auto"/>
                          <w:cnfStyle w:val="000000100000" w:firstRow="0" w:lastRow="0" w:firstColumn="0" w:lastColumn="0" w:oddVBand="0" w:evenVBand="0" w:oddHBand="1" w:evenHBand="0" w:firstRowFirstColumn="0" w:firstRowLastColumn="0" w:lastRowFirstColumn="0" w:lastRowLastColumn="0"/>
                          <w:rPr>
                            <w:lang w:val="en-AU"/>
                          </w:rPr>
                        </w:pPr>
                        <w:r w:rsidRPr="00582772">
                          <w:rPr>
                            <w:lang w:val="en-AU"/>
                          </w:rPr>
                          <w:t>3</w:t>
                        </w:r>
                        <w:r>
                          <w:rPr>
                            <w:lang w:val="en-AU"/>
                          </w:rPr>
                          <w:t>,</w:t>
                        </w:r>
                        <w:r w:rsidRPr="00582772">
                          <w:rPr>
                            <w:lang w:val="en-AU"/>
                          </w:rPr>
                          <w:t>337</w:t>
                        </w:r>
                      </w:p>
                    </w:tc>
                    <w:tc>
                      <w:tcPr>
                        <w:tcW w:w="0" w:type="pct"/>
                        <w:tcBorders>
                          <w:top w:val="none" w:sz="0" w:space="0" w:color="auto"/>
                          <w:bottom w:val="none" w:sz="0" w:space="0" w:color="auto"/>
                        </w:tcBorders>
                        <w:hideMark/>
                      </w:tcPr>
                      <w:p w14:paraId="0EE3D5CE" w14:textId="77777777" w:rsidR="00967ECF" w:rsidRPr="00582772" w:rsidRDefault="00967ECF">
                        <w:pPr>
                          <w:pStyle w:val="Text"/>
                          <w:spacing w:after="240" w:line="276" w:lineRule="auto"/>
                          <w:cnfStyle w:val="000000100000" w:firstRow="0" w:lastRow="0" w:firstColumn="0" w:lastColumn="0" w:oddVBand="0" w:evenVBand="0" w:oddHBand="1" w:evenHBand="0" w:firstRowFirstColumn="0" w:firstRowLastColumn="0" w:lastRowFirstColumn="0" w:lastRowLastColumn="0"/>
                          <w:rPr>
                            <w:lang w:val="en-AU"/>
                          </w:rPr>
                        </w:pPr>
                        <w:r w:rsidRPr="00582772">
                          <w:rPr>
                            <w:lang w:val="en-AU"/>
                          </w:rPr>
                          <w:t>$0.17 billion</w:t>
                        </w:r>
                      </w:p>
                    </w:tc>
                    <w:tc>
                      <w:tcPr>
                        <w:tcW w:w="0" w:type="pct"/>
                        <w:tcBorders>
                          <w:top w:val="none" w:sz="0" w:space="0" w:color="auto"/>
                          <w:bottom w:val="none" w:sz="0" w:space="0" w:color="auto"/>
                        </w:tcBorders>
                        <w:hideMark/>
                      </w:tcPr>
                      <w:p w14:paraId="558DF376" w14:textId="77777777" w:rsidR="00967ECF" w:rsidRPr="00582772" w:rsidRDefault="00967ECF">
                        <w:pPr>
                          <w:pStyle w:val="Text"/>
                          <w:spacing w:after="240" w:line="276" w:lineRule="auto"/>
                          <w:cnfStyle w:val="000000100000" w:firstRow="0" w:lastRow="0" w:firstColumn="0" w:lastColumn="0" w:oddVBand="0" w:evenVBand="0" w:oddHBand="1" w:evenHBand="0" w:firstRowFirstColumn="0" w:firstRowLastColumn="0" w:lastRowFirstColumn="0" w:lastRowLastColumn="0"/>
                          <w:rPr>
                            <w:lang w:val="en-AU"/>
                          </w:rPr>
                        </w:pPr>
                        <w:r w:rsidRPr="00582772">
                          <w:rPr>
                            <w:lang w:val="en-AU"/>
                          </w:rPr>
                          <w:t>$0.78 billion</w:t>
                        </w:r>
                      </w:p>
                    </w:tc>
                  </w:tr>
                  <w:tr w:rsidR="00680B14" w:rsidRPr="00726129" w14:paraId="3ACA2CD1" w14:textId="77777777" w:rsidTr="0078378F">
                    <w:trPr>
                      <w:trHeight w:val="300"/>
                    </w:trPr>
                    <w:tc>
                      <w:tcPr>
                        <w:cnfStyle w:val="001000000000" w:firstRow="0" w:lastRow="0" w:firstColumn="1" w:lastColumn="0" w:oddVBand="0" w:evenVBand="0" w:oddHBand="0" w:evenHBand="0" w:firstRowFirstColumn="0" w:firstRowLastColumn="0" w:lastRowFirstColumn="0" w:lastRowLastColumn="0"/>
                        <w:tcW w:w="0" w:type="pct"/>
                        <w:tcBorders>
                          <w:right w:val="none" w:sz="0" w:space="0" w:color="auto"/>
                        </w:tcBorders>
                        <w:vAlign w:val="center"/>
                        <w:hideMark/>
                      </w:tcPr>
                      <w:p w14:paraId="44277A78" w14:textId="77777777" w:rsidR="00967ECF" w:rsidRPr="0078378F" w:rsidRDefault="00967ECF">
                        <w:pPr>
                          <w:pStyle w:val="Text"/>
                          <w:spacing w:after="240" w:line="276" w:lineRule="auto"/>
                          <w:jc w:val="left"/>
                          <w:rPr>
                            <w:b w:val="0"/>
                            <w:bCs w:val="0"/>
                            <w:lang w:val="en-AU"/>
                          </w:rPr>
                        </w:pPr>
                        <w:r w:rsidRPr="0078378F">
                          <w:rPr>
                            <w:b w:val="0"/>
                            <w:bCs w:val="0"/>
                            <w:lang w:val="en-AU"/>
                          </w:rPr>
                          <w:t>Child abuse &amp; neglect</w:t>
                        </w:r>
                      </w:p>
                    </w:tc>
                    <w:tc>
                      <w:tcPr>
                        <w:tcW w:w="0" w:type="pct"/>
                        <w:hideMark/>
                      </w:tcPr>
                      <w:p w14:paraId="39921C92" w14:textId="77777777" w:rsidR="00967ECF" w:rsidRPr="00582772" w:rsidRDefault="00967ECF">
                        <w:pPr>
                          <w:pStyle w:val="Text"/>
                          <w:spacing w:after="240" w:line="276" w:lineRule="auto"/>
                          <w:cnfStyle w:val="000000000000" w:firstRow="0" w:lastRow="0" w:firstColumn="0" w:lastColumn="0" w:oddVBand="0" w:evenVBand="0" w:oddHBand="0" w:evenHBand="0" w:firstRowFirstColumn="0" w:firstRowLastColumn="0" w:lastRowFirstColumn="0" w:lastRowLastColumn="0"/>
                          <w:rPr>
                            <w:lang w:val="en-AU"/>
                          </w:rPr>
                        </w:pPr>
                        <w:r w:rsidRPr="00582772">
                          <w:rPr>
                            <w:lang w:val="en-AU"/>
                          </w:rPr>
                          <w:t>Persons</w:t>
                        </w:r>
                      </w:p>
                    </w:tc>
                    <w:tc>
                      <w:tcPr>
                        <w:tcW w:w="0" w:type="pct"/>
                        <w:noWrap/>
                        <w:hideMark/>
                      </w:tcPr>
                      <w:p w14:paraId="355ED1C0" w14:textId="77777777" w:rsidR="00967ECF" w:rsidRPr="00582772" w:rsidRDefault="00967ECF">
                        <w:pPr>
                          <w:pStyle w:val="Text"/>
                          <w:spacing w:after="240" w:line="276" w:lineRule="auto"/>
                          <w:cnfStyle w:val="000000000000" w:firstRow="0" w:lastRow="0" w:firstColumn="0" w:lastColumn="0" w:oddVBand="0" w:evenVBand="0" w:oddHBand="0" w:evenHBand="0" w:firstRowFirstColumn="0" w:firstRowLastColumn="0" w:lastRowFirstColumn="0" w:lastRowLastColumn="0"/>
                          <w:rPr>
                            <w:lang w:val="en-AU"/>
                          </w:rPr>
                        </w:pPr>
                        <w:r w:rsidRPr="00582772">
                          <w:rPr>
                            <w:lang w:val="en-AU"/>
                          </w:rPr>
                          <w:t>12</w:t>
                        </w:r>
                        <w:r>
                          <w:rPr>
                            <w:lang w:val="en-AU"/>
                          </w:rPr>
                          <w:t>,</w:t>
                        </w:r>
                        <w:r w:rsidRPr="00582772">
                          <w:rPr>
                            <w:lang w:val="en-AU"/>
                          </w:rPr>
                          <w:t>3429</w:t>
                        </w:r>
                      </w:p>
                    </w:tc>
                    <w:tc>
                      <w:tcPr>
                        <w:tcW w:w="0" w:type="pct"/>
                        <w:hideMark/>
                      </w:tcPr>
                      <w:p w14:paraId="11A17BE2" w14:textId="77777777" w:rsidR="00967ECF" w:rsidRPr="00582772" w:rsidRDefault="00967ECF">
                        <w:pPr>
                          <w:pStyle w:val="Text"/>
                          <w:spacing w:after="240" w:line="276" w:lineRule="auto"/>
                          <w:cnfStyle w:val="000000000000" w:firstRow="0" w:lastRow="0" w:firstColumn="0" w:lastColumn="0" w:oddVBand="0" w:evenVBand="0" w:oddHBand="0" w:evenHBand="0" w:firstRowFirstColumn="0" w:firstRowLastColumn="0" w:lastRowFirstColumn="0" w:lastRowLastColumn="0"/>
                          <w:rPr>
                            <w:lang w:val="en-AU"/>
                          </w:rPr>
                        </w:pPr>
                        <w:r w:rsidRPr="00582772">
                          <w:rPr>
                            <w:lang w:val="en-AU"/>
                          </w:rPr>
                          <w:t>$6.2 billion</w:t>
                        </w:r>
                      </w:p>
                    </w:tc>
                    <w:tc>
                      <w:tcPr>
                        <w:tcW w:w="0" w:type="pct"/>
                        <w:hideMark/>
                      </w:tcPr>
                      <w:p w14:paraId="7B1A4B5D" w14:textId="77777777" w:rsidR="00967ECF" w:rsidRPr="00582772" w:rsidRDefault="00967ECF">
                        <w:pPr>
                          <w:pStyle w:val="Text"/>
                          <w:spacing w:after="240" w:line="276" w:lineRule="auto"/>
                          <w:cnfStyle w:val="000000000000" w:firstRow="0" w:lastRow="0" w:firstColumn="0" w:lastColumn="0" w:oddVBand="0" w:evenVBand="0" w:oddHBand="0" w:evenHBand="0" w:firstRowFirstColumn="0" w:firstRowLastColumn="0" w:lastRowFirstColumn="0" w:lastRowLastColumn="0"/>
                          <w:rPr>
                            <w:lang w:val="en-AU"/>
                          </w:rPr>
                        </w:pPr>
                        <w:r w:rsidRPr="00582772">
                          <w:rPr>
                            <w:lang w:val="en-AU"/>
                          </w:rPr>
                          <w:t>$29.0 billion</w:t>
                        </w:r>
                      </w:p>
                    </w:tc>
                  </w:tr>
                  <w:tr w:rsidR="00967ECF" w:rsidRPr="00726129" w14:paraId="5B3B90B1" w14:textId="77777777" w:rsidTr="0078378F">
                    <w:trPr>
                      <w:cnfStyle w:val="000000100000" w:firstRow="0" w:lastRow="0" w:firstColumn="0" w:lastColumn="0" w:oddVBand="0" w:evenVBand="0" w:oddHBand="1" w:evenHBand="0" w:firstRowFirstColumn="0" w:firstRowLastColumn="0" w:lastRowFirstColumn="0" w:lastRowLastColumn="0"/>
                      <w:trHeight w:val="342"/>
                    </w:trPr>
                    <w:tc>
                      <w:tcPr>
                        <w:cnfStyle w:val="001000000000" w:firstRow="0" w:lastRow="0" w:firstColumn="1" w:lastColumn="0" w:oddVBand="0" w:evenVBand="0" w:oddHBand="0" w:evenHBand="0" w:firstRowFirstColumn="0" w:firstRowLastColumn="0" w:lastRowFirstColumn="0" w:lastRowLastColumn="0"/>
                        <w:tcW w:w="0" w:type="pct"/>
                        <w:tcBorders>
                          <w:top w:val="none" w:sz="0" w:space="0" w:color="auto"/>
                          <w:bottom w:val="none" w:sz="0" w:space="0" w:color="auto"/>
                          <w:right w:val="none" w:sz="0" w:space="0" w:color="auto"/>
                        </w:tcBorders>
                        <w:vAlign w:val="center"/>
                        <w:hideMark/>
                      </w:tcPr>
                      <w:p w14:paraId="7926157B" w14:textId="77777777" w:rsidR="00967ECF" w:rsidRPr="0078378F" w:rsidRDefault="00967ECF">
                        <w:pPr>
                          <w:pStyle w:val="Text"/>
                          <w:spacing w:after="240" w:line="276" w:lineRule="auto"/>
                          <w:jc w:val="left"/>
                          <w:rPr>
                            <w:b w:val="0"/>
                            <w:bCs w:val="0"/>
                            <w:lang w:val="en-AU"/>
                          </w:rPr>
                        </w:pPr>
                        <w:r w:rsidRPr="0078378F">
                          <w:rPr>
                            <w:b w:val="0"/>
                            <w:bCs w:val="0"/>
                            <w:lang w:val="en-AU"/>
                          </w:rPr>
                          <w:t>Intimate partner violence</w:t>
                        </w:r>
                      </w:p>
                    </w:tc>
                    <w:tc>
                      <w:tcPr>
                        <w:tcW w:w="0" w:type="pct"/>
                        <w:tcBorders>
                          <w:top w:val="none" w:sz="0" w:space="0" w:color="auto"/>
                          <w:bottom w:val="none" w:sz="0" w:space="0" w:color="auto"/>
                        </w:tcBorders>
                        <w:hideMark/>
                      </w:tcPr>
                      <w:p w14:paraId="4512FB6E" w14:textId="77777777" w:rsidR="00967ECF" w:rsidRPr="00582772" w:rsidRDefault="00967ECF">
                        <w:pPr>
                          <w:pStyle w:val="Text"/>
                          <w:spacing w:after="240" w:line="276" w:lineRule="auto"/>
                          <w:cnfStyle w:val="000000100000" w:firstRow="0" w:lastRow="0" w:firstColumn="0" w:lastColumn="0" w:oddVBand="0" w:evenVBand="0" w:oddHBand="1" w:evenHBand="0" w:firstRowFirstColumn="0" w:firstRowLastColumn="0" w:lastRowFirstColumn="0" w:lastRowLastColumn="0"/>
                          <w:rPr>
                            <w:lang w:val="en-AU"/>
                          </w:rPr>
                        </w:pPr>
                        <w:r w:rsidRPr="00582772">
                          <w:rPr>
                            <w:lang w:val="en-AU"/>
                          </w:rPr>
                          <w:t>Persons</w:t>
                        </w:r>
                      </w:p>
                    </w:tc>
                    <w:tc>
                      <w:tcPr>
                        <w:tcW w:w="0" w:type="pct"/>
                        <w:tcBorders>
                          <w:top w:val="none" w:sz="0" w:space="0" w:color="auto"/>
                          <w:bottom w:val="none" w:sz="0" w:space="0" w:color="auto"/>
                        </w:tcBorders>
                        <w:noWrap/>
                        <w:hideMark/>
                      </w:tcPr>
                      <w:p w14:paraId="04448C99" w14:textId="77777777" w:rsidR="00967ECF" w:rsidRPr="00582772" w:rsidRDefault="00967ECF">
                        <w:pPr>
                          <w:pStyle w:val="Text"/>
                          <w:spacing w:after="240" w:line="276" w:lineRule="auto"/>
                          <w:cnfStyle w:val="000000100000" w:firstRow="0" w:lastRow="0" w:firstColumn="0" w:lastColumn="0" w:oddVBand="0" w:evenVBand="0" w:oddHBand="1" w:evenHBand="0" w:firstRowFirstColumn="0" w:firstRowLastColumn="0" w:lastRowFirstColumn="0" w:lastRowLastColumn="0"/>
                          <w:rPr>
                            <w:lang w:val="en-AU"/>
                          </w:rPr>
                        </w:pPr>
                        <w:r w:rsidRPr="00582772">
                          <w:rPr>
                            <w:lang w:val="en-AU"/>
                          </w:rPr>
                          <w:t>40</w:t>
                        </w:r>
                        <w:r>
                          <w:rPr>
                            <w:lang w:val="en-AU"/>
                          </w:rPr>
                          <w:t>,</w:t>
                        </w:r>
                        <w:r w:rsidRPr="00582772">
                          <w:rPr>
                            <w:lang w:val="en-AU"/>
                          </w:rPr>
                          <w:t>477</w:t>
                        </w:r>
                      </w:p>
                    </w:tc>
                    <w:tc>
                      <w:tcPr>
                        <w:tcW w:w="0" w:type="pct"/>
                        <w:tcBorders>
                          <w:top w:val="none" w:sz="0" w:space="0" w:color="auto"/>
                          <w:bottom w:val="none" w:sz="0" w:space="0" w:color="auto"/>
                        </w:tcBorders>
                        <w:hideMark/>
                      </w:tcPr>
                      <w:p w14:paraId="54D270B2" w14:textId="77777777" w:rsidR="00967ECF" w:rsidRPr="00582772" w:rsidRDefault="00967ECF">
                        <w:pPr>
                          <w:pStyle w:val="Text"/>
                          <w:spacing w:after="240" w:line="276" w:lineRule="auto"/>
                          <w:cnfStyle w:val="000000100000" w:firstRow="0" w:lastRow="0" w:firstColumn="0" w:lastColumn="0" w:oddVBand="0" w:evenVBand="0" w:oddHBand="1" w:evenHBand="0" w:firstRowFirstColumn="0" w:firstRowLastColumn="0" w:lastRowFirstColumn="0" w:lastRowLastColumn="0"/>
                          <w:rPr>
                            <w:lang w:val="en-AU"/>
                          </w:rPr>
                        </w:pPr>
                        <w:r w:rsidRPr="00582772">
                          <w:rPr>
                            <w:lang w:val="en-AU"/>
                          </w:rPr>
                          <w:t>$2.0 billion</w:t>
                        </w:r>
                      </w:p>
                    </w:tc>
                    <w:tc>
                      <w:tcPr>
                        <w:tcW w:w="0" w:type="pct"/>
                        <w:tcBorders>
                          <w:top w:val="none" w:sz="0" w:space="0" w:color="auto"/>
                          <w:bottom w:val="none" w:sz="0" w:space="0" w:color="auto"/>
                        </w:tcBorders>
                        <w:hideMark/>
                      </w:tcPr>
                      <w:p w14:paraId="283A2F76" w14:textId="77777777" w:rsidR="00967ECF" w:rsidRPr="00582772" w:rsidRDefault="00967ECF">
                        <w:pPr>
                          <w:pStyle w:val="Text"/>
                          <w:spacing w:after="240" w:line="276" w:lineRule="auto"/>
                          <w:cnfStyle w:val="000000100000" w:firstRow="0" w:lastRow="0" w:firstColumn="0" w:lastColumn="0" w:oddVBand="0" w:evenVBand="0" w:oddHBand="1" w:evenHBand="0" w:firstRowFirstColumn="0" w:firstRowLastColumn="0" w:lastRowFirstColumn="0" w:lastRowLastColumn="0"/>
                          <w:rPr>
                            <w:lang w:val="en-AU"/>
                          </w:rPr>
                        </w:pPr>
                        <w:r w:rsidRPr="00582772">
                          <w:rPr>
                            <w:lang w:val="en-AU"/>
                          </w:rPr>
                          <w:t>$9.5 billion</w:t>
                        </w:r>
                      </w:p>
                    </w:tc>
                  </w:tr>
                  <w:tr w:rsidR="00680B14" w:rsidRPr="00726129" w14:paraId="7746F637" w14:textId="77777777" w:rsidTr="0078378F">
                    <w:trPr>
                      <w:trHeight w:val="300"/>
                    </w:trPr>
                    <w:tc>
                      <w:tcPr>
                        <w:cnfStyle w:val="001000000000" w:firstRow="0" w:lastRow="0" w:firstColumn="1" w:lastColumn="0" w:oddVBand="0" w:evenVBand="0" w:oddHBand="0" w:evenHBand="0" w:firstRowFirstColumn="0" w:firstRowLastColumn="0" w:lastRowFirstColumn="0" w:lastRowLastColumn="0"/>
                        <w:tcW w:w="0" w:type="pct"/>
                        <w:tcBorders>
                          <w:right w:val="none" w:sz="0" w:space="0" w:color="auto"/>
                        </w:tcBorders>
                        <w:vAlign w:val="center"/>
                        <w:hideMark/>
                      </w:tcPr>
                      <w:p w14:paraId="172AB371" w14:textId="77777777" w:rsidR="00967ECF" w:rsidRPr="0078378F" w:rsidRDefault="00967ECF">
                        <w:pPr>
                          <w:pStyle w:val="Text"/>
                          <w:spacing w:after="240" w:line="276" w:lineRule="auto"/>
                          <w:jc w:val="left"/>
                          <w:rPr>
                            <w:b w:val="0"/>
                            <w:bCs w:val="0"/>
                            <w:lang w:val="en-AU"/>
                          </w:rPr>
                        </w:pPr>
                        <w:r w:rsidRPr="0078378F">
                          <w:rPr>
                            <w:b w:val="0"/>
                            <w:bCs w:val="0"/>
                            <w:lang w:val="en-AU"/>
                          </w:rPr>
                          <w:t>Bullying victimisation</w:t>
                        </w:r>
                      </w:p>
                    </w:tc>
                    <w:tc>
                      <w:tcPr>
                        <w:tcW w:w="0" w:type="pct"/>
                        <w:hideMark/>
                      </w:tcPr>
                      <w:p w14:paraId="5C32A10F" w14:textId="77777777" w:rsidR="00967ECF" w:rsidRPr="00582772" w:rsidRDefault="00967ECF">
                        <w:pPr>
                          <w:pStyle w:val="Text"/>
                          <w:spacing w:after="240" w:line="276" w:lineRule="auto"/>
                          <w:cnfStyle w:val="000000000000" w:firstRow="0" w:lastRow="0" w:firstColumn="0" w:lastColumn="0" w:oddVBand="0" w:evenVBand="0" w:oddHBand="0" w:evenHBand="0" w:firstRowFirstColumn="0" w:firstRowLastColumn="0" w:lastRowFirstColumn="0" w:lastRowLastColumn="0"/>
                          <w:rPr>
                            <w:lang w:val="en-AU"/>
                          </w:rPr>
                        </w:pPr>
                        <w:r w:rsidRPr="00582772">
                          <w:rPr>
                            <w:lang w:val="en-AU"/>
                          </w:rPr>
                          <w:t>Persons</w:t>
                        </w:r>
                      </w:p>
                    </w:tc>
                    <w:tc>
                      <w:tcPr>
                        <w:tcW w:w="0" w:type="pct"/>
                        <w:noWrap/>
                        <w:hideMark/>
                      </w:tcPr>
                      <w:p w14:paraId="1D59A055" w14:textId="77777777" w:rsidR="00967ECF" w:rsidRPr="00582772" w:rsidRDefault="00967ECF">
                        <w:pPr>
                          <w:pStyle w:val="Text"/>
                          <w:spacing w:after="240" w:line="276" w:lineRule="auto"/>
                          <w:cnfStyle w:val="000000000000" w:firstRow="0" w:lastRow="0" w:firstColumn="0" w:lastColumn="0" w:oddVBand="0" w:evenVBand="0" w:oddHBand="0" w:evenHBand="0" w:firstRowFirstColumn="0" w:firstRowLastColumn="0" w:lastRowFirstColumn="0" w:lastRowLastColumn="0"/>
                          <w:rPr>
                            <w:lang w:val="en-AU"/>
                          </w:rPr>
                        </w:pPr>
                        <w:r w:rsidRPr="00582772">
                          <w:rPr>
                            <w:lang w:val="en-AU"/>
                          </w:rPr>
                          <w:t>7</w:t>
                        </w:r>
                        <w:r>
                          <w:rPr>
                            <w:lang w:val="en-AU"/>
                          </w:rPr>
                          <w:t>,</w:t>
                        </w:r>
                        <w:r w:rsidRPr="00582772">
                          <w:rPr>
                            <w:lang w:val="en-AU"/>
                          </w:rPr>
                          <w:t>985</w:t>
                        </w:r>
                      </w:p>
                    </w:tc>
                    <w:tc>
                      <w:tcPr>
                        <w:tcW w:w="0" w:type="pct"/>
                        <w:hideMark/>
                      </w:tcPr>
                      <w:p w14:paraId="1268953A" w14:textId="77777777" w:rsidR="00967ECF" w:rsidRPr="00582772" w:rsidRDefault="00967ECF">
                        <w:pPr>
                          <w:pStyle w:val="Text"/>
                          <w:spacing w:after="240" w:line="276" w:lineRule="auto"/>
                          <w:cnfStyle w:val="000000000000" w:firstRow="0" w:lastRow="0" w:firstColumn="0" w:lastColumn="0" w:oddVBand="0" w:evenVBand="0" w:oddHBand="0" w:evenHBand="0" w:firstRowFirstColumn="0" w:firstRowLastColumn="0" w:lastRowFirstColumn="0" w:lastRowLastColumn="0"/>
                          <w:rPr>
                            <w:lang w:val="en-AU"/>
                          </w:rPr>
                        </w:pPr>
                        <w:r w:rsidRPr="00582772">
                          <w:rPr>
                            <w:lang w:val="en-AU"/>
                          </w:rPr>
                          <w:t>$0.40 billion</w:t>
                        </w:r>
                      </w:p>
                    </w:tc>
                    <w:tc>
                      <w:tcPr>
                        <w:tcW w:w="0" w:type="pct"/>
                        <w:hideMark/>
                      </w:tcPr>
                      <w:p w14:paraId="51319C53" w14:textId="77777777" w:rsidR="00967ECF" w:rsidRPr="00582772" w:rsidRDefault="00967ECF">
                        <w:pPr>
                          <w:pStyle w:val="Text"/>
                          <w:spacing w:after="240" w:line="276" w:lineRule="auto"/>
                          <w:cnfStyle w:val="000000000000" w:firstRow="0" w:lastRow="0" w:firstColumn="0" w:lastColumn="0" w:oddVBand="0" w:evenVBand="0" w:oddHBand="0" w:evenHBand="0" w:firstRowFirstColumn="0" w:firstRowLastColumn="0" w:lastRowFirstColumn="0" w:lastRowLastColumn="0"/>
                          <w:rPr>
                            <w:lang w:val="en-AU"/>
                          </w:rPr>
                        </w:pPr>
                        <w:r w:rsidRPr="00582772">
                          <w:rPr>
                            <w:lang w:val="en-AU"/>
                          </w:rPr>
                          <w:t>$1.9 billion</w:t>
                        </w:r>
                      </w:p>
                    </w:tc>
                  </w:tr>
                  <w:tr w:rsidR="00967ECF" w:rsidRPr="00726129" w14:paraId="29C0D616" w14:textId="77777777" w:rsidTr="0078378F">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0" w:type="pct"/>
                        <w:tcBorders>
                          <w:top w:val="none" w:sz="0" w:space="0" w:color="auto"/>
                          <w:bottom w:val="none" w:sz="0" w:space="0" w:color="auto"/>
                          <w:right w:val="none" w:sz="0" w:space="0" w:color="auto"/>
                        </w:tcBorders>
                        <w:noWrap/>
                        <w:vAlign w:val="center"/>
                        <w:hideMark/>
                      </w:tcPr>
                      <w:p w14:paraId="7860828E" w14:textId="77777777" w:rsidR="00967ECF" w:rsidRPr="00582772" w:rsidRDefault="00967ECF">
                        <w:pPr>
                          <w:pStyle w:val="Text"/>
                          <w:spacing w:after="240" w:line="276" w:lineRule="auto"/>
                          <w:jc w:val="left"/>
                          <w:rPr>
                            <w:b w:val="0"/>
                            <w:bCs w:val="0"/>
                            <w:lang w:val="en-AU"/>
                          </w:rPr>
                        </w:pPr>
                        <w:r w:rsidRPr="00582772">
                          <w:rPr>
                            <w:lang w:val="en-AU"/>
                          </w:rPr>
                          <w:t>Total</w:t>
                        </w:r>
                      </w:p>
                    </w:tc>
                    <w:tc>
                      <w:tcPr>
                        <w:tcW w:w="0" w:type="pct"/>
                        <w:tcBorders>
                          <w:top w:val="none" w:sz="0" w:space="0" w:color="auto"/>
                          <w:bottom w:val="none" w:sz="0" w:space="0" w:color="auto"/>
                        </w:tcBorders>
                        <w:noWrap/>
                        <w:hideMark/>
                      </w:tcPr>
                      <w:p w14:paraId="297D750D" w14:textId="77777777" w:rsidR="00967ECF" w:rsidRPr="00582772" w:rsidRDefault="00967ECF">
                        <w:pPr>
                          <w:pStyle w:val="Text"/>
                          <w:spacing w:after="240" w:line="276" w:lineRule="auto"/>
                          <w:cnfStyle w:val="000000100000" w:firstRow="0" w:lastRow="0" w:firstColumn="0" w:lastColumn="0" w:oddVBand="0" w:evenVBand="0" w:oddHBand="1" w:evenHBand="0" w:firstRowFirstColumn="0" w:firstRowLastColumn="0" w:lastRowFirstColumn="0" w:lastRowLastColumn="0"/>
                          <w:rPr>
                            <w:b/>
                            <w:bCs/>
                            <w:lang w:val="en-AU"/>
                          </w:rPr>
                        </w:pPr>
                      </w:p>
                    </w:tc>
                    <w:tc>
                      <w:tcPr>
                        <w:tcW w:w="0" w:type="pct"/>
                        <w:tcBorders>
                          <w:top w:val="none" w:sz="0" w:space="0" w:color="auto"/>
                          <w:bottom w:val="none" w:sz="0" w:space="0" w:color="auto"/>
                        </w:tcBorders>
                        <w:noWrap/>
                        <w:hideMark/>
                      </w:tcPr>
                      <w:p w14:paraId="4D004A1D" w14:textId="77777777" w:rsidR="00967ECF" w:rsidRPr="00582772" w:rsidRDefault="00967ECF">
                        <w:pPr>
                          <w:pStyle w:val="Text"/>
                          <w:spacing w:after="240" w:line="276" w:lineRule="auto"/>
                          <w:cnfStyle w:val="000000100000" w:firstRow="0" w:lastRow="0" w:firstColumn="0" w:lastColumn="0" w:oddVBand="0" w:evenVBand="0" w:oddHBand="1" w:evenHBand="0" w:firstRowFirstColumn="0" w:firstRowLastColumn="0" w:lastRowFirstColumn="0" w:lastRowLastColumn="0"/>
                          <w:rPr>
                            <w:b/>
                            <w:bCs/>
                            <w:lang w:val="en-AU"/>
                          </w:rPr>
                        </w:pPr>
                        <w:r w:rsidRPr="00582772">
                          <w:rPr>
                            <w:b/>
                            <w:bCs/>
                            <w:lang w:val="en-AU"/>
                          </w:rPr>
                          <w:t>171,891</w:t>
                        </w:r>
                      </w:p>
                    </w:tc>
                    <w:tc>
                      <w:tcPr>
                        <w:tcW w:w="0" w:type="pct"/>
                        <w:tcBorders>
                          <w:top w:val="none" w:sz="0" w:space="0" w:color="auto"/>
                          <w:bottom w:val="none" w:sz="0" w:space="0" w:color="auto"/>
                        </w:tcBorders>
                        <w:noWrap/>
                        <w:hideMark/>
                      </w:tcPr>
                      <w:p w14:paraId="1F2824F0" w14:textId="77777777" w:rsidR="00967ECF" w:rsidRPr="00582772" w:rsidRDefault="00967ECF">
                        <w:pPr>
                          <w:pStyle w:val="Text"/>
                          <w:spacing w:after="240" w:line="276" w:lineRule="auto"/>
                          <w:cnfStyle w:val="000000100000" w:firstRow="0" w:lastRow="0" w:firstColumn="0" w:lastColumn="0" w:oddVBand="0" w:evenVBand="0" w:oddHBand="1" w:evenHBand="0" w:firstRowFirstColumn="0" w:firstRowLastColumn="0" w:lastRowFirstColumn="0" w:lastRowLastColumn="0"/>
                          <w:rPr>
                            <w:b/>
                            <w:bCs/>
                            <w:lang w:val="en-AU"/>
                          </w:rPr>
                        </w:pPr>
                        <w:r w:rsidRPr="00582772">
                          <w:rPr>
                            <w:b/>
                            <w:bCs/>
                            <w:lang w:val="en-AU"/>
                          </w:rPr>
                          <w:t>$8.6 billion</w:t>
                        </w:r>
                      </w:p>
                    </w:tc>
                    <w:tc>
                      <w:tcPr>
                        <w:tcW w:w="0" w:type="pct"/>
                        <w:tcBorders>
                          <w:top w:val="none" w:sz="0" w:space="0" w:color="auto"/>
                          <w:bottom w:val="none" w:sz="0" w:space="0" w:color="auto"/>
                        </w:tcBorders>
                        <w:noWrap/>
                        <w:hideMark/>
                      </w:tcPr>
                      <w:p w14:paraId="621DBBF7" w14:textId="77777777" w:rsidR="00967ECF" w:rsidRPr="00582772" w:rsidRDefault="00967ECF">
                        <w:pPr>
                          <w:pStyle w:val="Text"/>
                          <w:spacing w:after="240" w:line="276" w:lineRule="auto"/>
                          <w:cnfStyle w:val="000000100000" w:firstRow="0" w:lastRow="0" w:firstColumn="0" w:lastColumn="0" w:oddVBand="0" w:evenVBand="0" w:oddHBand="1" w:evenHBand="0" w:firstRowFirstColumn="0" w:firstRowLastColumn="0" w:lastRowFirstColumn="0" w:lastRowLastColumn="0"/>
                          <w:rPr>
                            <w:b/>
                            <w:bCs/>
                            <w:lang w:val="en-AU"/>
                          </w:rPr>
                        </w:pPr>
                        <w:r w:rsidRPr="00582772">
                          <w:rPr>
                            <w:b/>
                            <w:bCs/>
                            <w:lang w:val="en-AU"/>
                          </w:rPr>
                          <w:t>$40.4 billion</w:t>
                        </w:r>
                      </w:p>
                    </w:tc>
                  </w:tr>
                </w:tbl>
                <w:p w14:paraId="65E1DE49" w14:textId="19D82D03" w:rsidR="00967ECF" w:rsidRPr="001B32C9" w:rsidRDefault="00967ECF" w:rsidP="00967ECF">
                  <w:pPr>
                    <w:pStyle w:val="Text"/>
                    <w:rPr>
                      <w:i/>
                      <w:sz w:val="18"/>
                      <w:szCs w:val="18"/>
                    </w:rPr>
                  </w:pPr>
                  <w:r w:rsidRPr="001B32C9">
                    <w:rPr>
                      <w:i/>
                      <w:sz w:val="20"/>
                    </w:rPr>
                    <w:t xml:space="preserve">Source: </w:t>
                  </w:r>
                  <w:r w:rsidRPr="001C0CC6">
                    <w:rPr>
                      <w:i/>
                      <w:sz w:val="20"/>
                    </w:rPr>
                    <w:fldChar w:fldCharType="begin"/>
                  </w:r>
                  <w:r w:rsidR="003A464F" w:rsidRPr="001C0CC6">
                    <w:rPr>
                      <w:i/>
                      <w:sz w:val="20"/>
                    </w:rPr>
                    <w:instrText xml:space="preserve"> ADDIN ZOTERO_ITEM CSL_CITATION {"citationID":"MkAcxeKm","properties":{"formattedCitation":"(Australian Institute of Health and Welfare, 2024a)","plainCitation":"(Australian Institute of Health and Welfare, 2024a)","noteIndex":0},"citationItems":[{"id":"KNHaqWe9/v9Jy9dhl","uris":["http://zotero.org/groups/6054942/items/F2F5H5YS"],"itemData":{"id":5696,"type":"report","publisher":"Australian Institute of Health and Welfare","title":"Australian Burden of Disease Study 2024","URL":"https://www.aihw.gov.au/reports/burden-of-disease/australian-burden-of-disease-study-2024/contents/summary","author":[{"family":"Australian Institute of Health and Welfare","given":""}],"accessed":{"date-parts":[["2025",8,1]]},"issued":{"date-parts":[["2024"]]}}}],"schema":"https://github.com/citation-style-language/schema/raw/master/csl-citation.json"} </w:instrText>
                  </w:r>
                  <w:r w:rsidRPr="001C0CC6">
                    <w:rPr>
                      <w:i/>
                      <w:sz w:val="20"/>
                    </w:rPr>
                    <w:fldChar w:fldCharType="separate"/>
                  </w:r>
                  <w:r w:rsidR="003A464F" w:rsidRPr="001C0CC6">
                    <w:rPr>
                      <w:rFonts w:ascii="Arial" w:hAnsi="Arial" w:cs="Arial"/>
                      <w:i/>
                      <w:sz w:val="20"/>
                    </w:rPr>
                    <w:t>(Australian Institute of Health and Welfare, 2024a)</w:t>
                  </w:r>
                  <w:r w:rsidRPr="001C0CC6">
                    <w:rPr>
                      <w:i/>
                      <w:sz w:val="20"/>
                    </w:rPr>
                    <w:fldChar w:fldCharType="end"/>
                  </w:r>
                </w:p>
                <w:p w14:paraId="4B08EB0D" w14:textId="2AF2D555" w:rsidR="004637A2" w:rsidRPr="00384D38" w:rsidRDefault="00967ECF" w:rsidP="00967ECF">
                  <w:pPr>
                    <w:pStyle w:val="Bullet1"/>
                    <w:numPr>
                      <w:ilvl w:val="0"/>
                      <w:numId w:val="0"/>
                    </w:numPr>
                    <w:rPr>
                      <w:lang w:val="en-US"/>
                    </w:rPr>
                  </w:pPr>
                  <w:r w:rsidRPr="00384D38">
                    <w:rPr>
                      <w:lang w:val="en-US"/>
                    </w:rPr>
                    <w:t>Compared to generalist or reactive services, FaRS and SFVS demonstrate lower per-capita delivery costs</w:t>
                  </w:r>
                  <w:r>
                    <w:rPr>
                      <w:lang w:val="en-US"/>
                    </w:rPr>
                    <w:t>.</w:t>
                  </w:r>
                  <w:r w:rsidRPr="00384D38">
                    <w:rPr>
                      <w:lang w:val="en-US"/>
                    </w:rPr>
                    <w:t xml:space="preserve"> </w:t>
                  </w:r>
                  <w:r>
                    <w:rPr>
                      <w:lang w:val="en-US"/>
                    </w:rPr>
                    <w:t xml:space="preserve">Reviews undertaken by ANROWS and AIFS rank both FaRS and SFVS in the top quartile for outcomes versus investment </w:t>
                  </w:r>
                  <w:r>
                    <w:rPr>
                      <w:lang w:val="en-US"/>
                    </w:rPr>
                    <w:fldChar w:fldCharType="begin"/>
                  </w:r>
                  <w:r w:rsidR="003A464F">
                    <w:rPr>
                      <w:lang w:val="en-US"/>
                    </w:rPr>
                    <w:instrText xml:space="preserve"> ADDIN ZOTERO_ITEM CSL_CITATION {"citationID":"a27ogamlqv5","properties":{"formattedCitation":"(Australian Institute of Family Studies, 2024a; Bell and Coates, 2022; Coates et al., 2022; Rose and Coates, 2021)","plainCitation":"(Australian Institute of Family Studies, 2024a; Bell and Coates, 2022; Coates et al., 2022; Rose and Coates, 2021)","noteIndex":0},"citationItems":[{"id":"KNHaqWe9/IkV6eivk","uris":["http://zotero.org/groups/6054942/items/IRBVBITP"],"itemData":{"id":5093,"type":"report","language":"en","publisher":"Commonwealth of Australia","source":"Zotero","title":"Family Relationships Services Program Review","author":[{"family":"Australian Institute of Family Studies","given":""}],"issued":{"date-parts":[["2024"]]}}},{"id":"KNHaqWe9/P9LgY1Mk","uris":["http://zotero.org/groups/6054942/items/ML35XBDQ"],"itemData":{"id":5699,"type":"report","publisher":"Australia's National Research Organisation for Women's Safety","title":"The effectiveness of interventions for perpetrators of domestic and family violence: An overview of findings from reviews","author":[{"family":"Bell","given":"C"},{"family":"Coates","given":"D"}],"issued":{"date-parts":[["2022"]]}}},{"id":"KNHaqWe9/s9LSdBPt","uris":["http://zotero.org/groups/6054942/items/4GPGRFZN"],"itemData":{"id":5698,"type":"report","publisher":"Australia's National Research Organisation for Women's Safety","title":"The effectiveness of crisis and post-crisis responses for victims and survivors of sexual violence: An overview of findings from reviews","author":[{"family":"Coates","given":"D"},{"family":"Koleth","given":"M"},{"family":"Hamilton","given":"L"}],"issued":{"date-parts":[["2022"]]}}},{"id":"KNHaqWe9/SOtHEUTz","uris":["http://zotero.org/groups/6054942/items/JZPZDZJY"],"itemData":{"id":5700,"type":"report","publisher":"Australia's National Research Organisation for Women's Safety","title":"Reducing relationship and sexual violence: Findings from reviews about the effectiveness of respectful relationships and bystander programs in school and tertiary education settings","author":[{"family":"Rose","given":"M"},{"family":"Coates","given":"D"}],"issued":{"date-parts":[["2021"]]}}}],"schema":"https://github.com/citation-style-language/schema/raw/master/csl-citation.json"} </w:instrText>
                  </w:r>
                  <w:r>
                    <w:rPr>
                      <w:lang w:val="en-US"/>
                    </w:rPr>
                    <w:fldChar w:fldCharType="separate"/>
                  </w:r>
                  <w:r w:rsidRPr="003C117F">
                    <w:rPr>
                      <w:rFonts w:ascii="Arial" w:hAnsi="Arial" w:cs="Arial"/>
                    </w:rPr>
                    <w:t>(Australian Institute of Family Studies, 2024a; Bell and Coates, 2022; Coates et al., 2022; Rose and Coates, 2021)</w:t>
                  </w:r>
                  <w:r>
                    <w:rPr>
                      <w:lang w:val="en-US"/>
                    </w:rPr>
                    <w:fldChar w:fldCharType="end"/>
                  </w:r>
                  <w:r>
                    <w:rPr>
                      <w:lang w:val="en-US"/>
                    </w:rPr>
                    <w:t>. Both FaRS and SFVS also demonstrate high long-term social and fiscal savings.</w:t>
                  </w:r>
                  <w:r w:rsidR="004637A2">
                    <w:rPr>
                      <w:lang w:val="en-US"/>
                    </w:rPr>
                    <w:t xml:space="preserve"> </w:t>
                  </w:r>
                </w:p>
                <w:p w14:paraId="5DF51434" w14:textId="77777777" w:rsidR="00967ECF" w:rsidRDefault="00967ECF" w:rsidP="00967ECF">
                  <w:pPr>
                    <w:pStyle w:val="Bullet1"/>
                    <w:numPr>
                      <w:ilvl w:val="0"/>
                      <w:numId w:val="0"/>
                    </w:numPr>
                    <w:rPr>
                      <w:lang w:val="en-US"/>
                    </w:rPr>
                  </w:pPr>
                  <w:r w:rsidRPr="00384D38">
                    <w:rPr>
                      <w:lang w:val="en-US"/>
                    </w:rPr>
                    <w:t>Previous studies of family services in Australia showed strong returns. The recent CIE</w:t>
                  </w:r>
                  <w:r>
                    <w:rPr>
                      <w:lang w:val="en-US"/>
                    </w:rPr>
                    <w:t xml:space="preserve"> </w:t>
                  </w:r>
                  <w:r w:rsidRPr="002C5057">
                    <w:rPr>
                      <w:lang w:val="en-US"/>
                    </w:rPr>
                    <w:fldChar w:fldCharType="begin"/>
                  </w:r>
                  <w:r>
                    <w:rPr>
                      <w:lang w:val="en-US"/>
                    </w:rPr>
                    <w:instrText xml:space="preserve"> ADDIN ZOTERO_ITEM CSL_CITATION {"citationID":"a2tf717no4","properties":{"formattedCitation":"(2023)","plainCitation":"(2023)","noteIndex":0},"citationItems":[{"id":4581,"uris":["http://zotero.org/groups/5691188/items/C9G9CYCG"],"itemData":{"id":4581,"type":"report","publisher":"CIE","title":"Family and Relationship Services Economic  Evaluation: Using cost-benefit analysis to assess the value of services","URL":"https://frsa.org.au/wp-content/uploads/2023/09/CIE-Final-Report_FRSA_Family-and-Relationship-Services-Evaluation-11092023.pdf","author":[{"family":"Centre for International Economics","given":""}],"issued":{"date-parts":[["2023"]]}},"suppress-author":true}],"schema":"https://github.com/citation-style-language/schema/raw/master/csl-citation.json"} </w:instrText>
                  </w:r>
                  <w:r w:rsidRPr="002C5057">
                    <w:rPr>
                      <w:lang w:val="en-US"/>
                    </w:rPr>
                    <w:fldChar w:fldCharType="separate"/>
                  </w:r>
                  <w:r w:rsidRPr="00E41D03">
                    <w:rPr>
                      <w:rFonts w:ascii="Arial" w:hAnsi="Arial" w:cs="Arial"/>
                    </w:rPr>
                    <w:t>(2023)</w:t>
                  </w:r>
                  <w:r w:rsidRPr="002C5057">
                    <w:rPr>
                      <w:lang w:val="en-US"/>
                    </w:rPr>
                    <w:fldChar w:fldCharType="end"/>
                  </w:r>
                  <w:r w:rsidRPr="00384D38">
                    <w:rPr>
                      <w:lang w:val="en-US"/>
                    </w:rPr>
                    <w:t xml:space="preserve"> report </w:t>
                  </w:r>
                  <w:r>
                    <w:rPr>
                      <w:lang w:val="en-US"/>
                    </w:rPr>
                    <w:t>found</w:t>
                  </w:r>
                  <w:r w:rsidRPr="00384D38">
                    <w:rPr>
                      <w:lang w:val="en-US"/>
                    </w:rPr>
                    <w:t xml:space="preserve"> a ROI of 9.2 and 15.4 for FaRS and SFVS, respectively, indicates that </w:t>
                  </w:r>
                  <w:r>
                    <w:rPr>
                      <w:lang w:val="en-US"/>
                    </w:rPr>
                    <w:t>each are</w:t>
                  </w:r>
                  <w:r w:rsidRPr="00384D38">
                    <w:rPr>
                      <w:lang w:val="en-US"/>
                    </w:rPr>
                    <w:t xml:space="preserve"> performing above past benchmarks (this may be due to improved outcome measurement via SCORE, as well as possibly greater eﬀectiveness of services over time). </w:t>
                  </w:r>
                </w:p>
                <w:p w14:paraId="1E14E7C2" w14:textId="1768B56E" w:rsidR="00967ECF" w:rsidRDefault="00967ECF" w:rsidP="00967ECF">
                  <w:pPr>
                    <w:pStyle w:val="Bullet1"/>
                    <w:numPr>
                      <w:ilvl w:val="0"/>
                      <w:numId w:val="0"/>
                    </w:numPr>
                    <w:rPr>
                      <w:lang w:val="en-US"/>
                    </w:rPr>
                  </w:pPr>
                  <w:r w:rsidRPr="00384D38">
                    <w:rPr>
                      <w:lang w:val="en-US"/>
                    </w:rPr>
                    <w:t>Programs with similar aims (strengthening families, preventing harm) such as intensive home visiting for at-risk infants, or parenting programs like Triple P, typically show positive but modest ROI, often in the range of 2:1 to 5:1 when rigorously evaluated.</w:t>
                  </w:r>
                  <w:r>
                    <w:rPr>
                      <w:lang w:val="en-US"/>
                    </w:rPr>
                    <w:t xml:space="preserve"> </w:t>
                  </w:r>
                  <w:r w:rsidRPr="00384D38">
                    <w:rPr>
                      <w:lang w:val="en-US"/>
                    </w:rPr>
                    <w:t xml:space="preserve">The CIE FaRS ROI of 9.2 suggests that the integrated, ﬂexible support provided by FaRS may be more cost-eﬀective than siloed interventions. </w:t>
                  </w:r>
                </w:p>
                <w:p w14:paraId="230BC14A" w14:textId="77777777" w:rsidR="00967ECF" w:rsidRDefault="00967ECF" w:rsidP="00C43BE9">
                  <w:pPr>
                    <w:pStyle w:val="Heading3"/>
                  </w:pPr>
                  <w:bookmarkStart w:id="311" w:name="_Sufficiency_of_funding"/>
                  <w:bookmarkStart w:id="312" w:name="_Ref205400798"/>
                  <w:bookmarkEnd w:id="311"/>
                  <w:r>
                    <w:t>Sufficiency of funding</w:t>
                  </w:r>
                  <w:bookmarkEnd w:id="312"/>
                </w:p>
                <w:p w14:paraId="57CF4734" w14:textId="77777777" w:rsidR="008F22E5" w:rsidRPr="008F22E5" w:rsidRDefault="00967ECF" w:rsidP="008F22E5">
                  <w:pPr>
                    <w:pStyle w:val="Text"/>
                    <w:rPr>
                      <w:rStyle w:val="Text-Bold"/>
                      <w:b w:val="0"/>
                    </w:rPr>
                  </w:pPr>
                  <w:r>
                    <w:rPr>
                      <w:lang w:val="en-US"/>
                    </w:rPr>
                    <w:t>G</w:t>
                  </w:r>
                  <w:r w:rsidRPr="00F324E0">
                    <w:rPr>
                      <w:lang w:val="en-US"/>
                    </w:rPr>
                    <w:t>overnment investment in FaRS has its origins in marriage</w:t>
                  </w:r>
                  <w:r w:rsidR="00635181">
                    <w:rPr>
                      <w:rFonts w:ascii="Cambria Math" w:hAnsi="Cambria Math" w:cs="Cambria Math"/>
                      <w:lang w:val="en-US"/>
                    </w:rPr>
                    <w:t xml:space="preserve"> </w:t>
                  </w:r>
                  <w:r w:rsidRPr="00F324E0">
                    <w:rPr>
                      <w:lang w:val="en-US"/>
                    </w:rPr>
                    <w:t>guidance and family</w:t>
                  </w:r>
                  <w:r w:rsidR="00635181">
                    <w:rPr>
                      <w:rFonts w:ascii="Cambria Math" w:hAnsi="Cambria Math" w:cs="Cambria Math"/>
                      <w:lang w:val="en-US"/>
                    </w:rPr>
                    <w:t xml:space="preserve"> </w:t>
                  </w:r>
                  <w:r w:rsidRPr="00F324E0">
                    <w:rPr>
                      <w:lang w:val="en-US"/>
                    </w:rPr>
                    <w:t xml:space="preserve">counselling grants dating from </w:t>
                  </w:r>
                  <w:r w:rsidR="00243F86">
                    <w:rPr>
                      <w:lang w:val="en-US"/>
                    </w:rPr>
                    <w:t>19</w:t>
                  </w:r>
                  <w:r w:rsidR="00E22A93">
                    <w:rPr>
                      <w:lang w:val="en-US"/>
                    </w:rPr>
                    <w:t>59</w:t>
                  </w:r>
                  <w:r w:rsidRPr="00F324E0">
                    <w:rPr>
                      <w:lang w:val="en-US"/>
                    </w:rPr>
                    <w:t xml:space="preserve">. </w:t>
                  </w:r>
                  <w:r w:rsidRPr="000100D1">
                    <w:rPr>
                      <w:lang w:val="en-US"/>
                    </w:rPr>
                    <w:t xml:space="preserve">While investment remained minimal through the 1970s and </w:t>
                  </w:r>
                  <w:r w:rsidR="00635181">
                    <w:rPr>
                      <w:lang w:val="en-US"/>
                    </w:rPr>
                    <w:t>19</w:t>
                  </w:r>
                  <w:r w:rsidRPr="000100D1">
                    <w:rPr>
                      <w:lang w:val="en-US"/>
                    </w:rPr>
                    <w:t xml:space="preserve">80s, funding was dramatically expanded in the </w:t>
                  </w:r>
                  <w:r>
                    <w:rPr>
                      <w:lang w:val="en-US"/>
                    </w:rPr>
                    <w:t>19</w:t>
                  </w:r>
                  <w:r w:rsidRPr="000100D1">
                    <w:rPr>
                      <w:lang w:val="en-US"/>
                    </w:rPr>
                    <w:t xml:space="preserve">90s. </w:t>
                  </w:r>
                  <w:r>
                    <w:rPr>
                      <w:lang w:val="en-US"/>
                    </w:rPr>
                    <w:t xml:space="preserve">The </w:t>
                  </w:r>
                  <w:r w:rsidRPr="000100D1">
                    <w:rPr>
                      <w:lang w:val="en-US"/>
                    </w:rPr>
                    <w:t>1996 budget doubled support for family/relationship services</w:t>
                  </w:r>
                  <w:r>
                    <w:rPr>
                      <w:lang w:val="en-US"/>
                    </w:rPr>
                    <w:t xml:space="preserve"> and b</w:t>
                  </w:r>
                  <w:r w:rsidRPr="000100D1">
                    <w:rPr>
                      <w:lang w:val="en-US"/>
                    </w:rPr>
                    <w:t xml:space="preserve">y 1996-97, the FRSP budget was roughly $28 million in total, of which about $17.9 million funded the broad Family and Relationship Counselling programs. </w:t>
                  </w:r>
                  <w:r w:rsidRPr="00F324E0">
                    <w:rPr>
                      <w:lang w:val="en-US"/>
                    </w:rPr>
                    <w:t xml:space="preserve">After 2000, FaRS funding continued rising. In 2003-04, government funding was about $56 million, after this FaRS funding has been relatively stable in the $65–90 million range. The SFVS component was introduced later and is smaller growing from $4.7m in 2017-18 to almost $14 million in 2023-24. </w:t>
                  </w:r>
                  <w:r w:rsidRPr="00BB2A38">
                    <w:rPr>
                      <w:b/>
                      <w:bCs/>
                      <w:lang w:val="en-US"/>
                    </w:rPr>
                    <w:fldChar w:fldCharType="begin" w:fldLock="1"/>
                  </w:r>
                  <w:r w:rsidRPr="00BB2A38">
                    <w:rPr>
                      <w:b/>
                      <w:bCs/>
                      <w:lang w:val="en-US"/>
                    </w:rPr>
                    <w:instrText xml:space="preserve"> REF _Ref205323679 \h </w:instrText>
                  </w:r>
                  <w:r>
                    <w:rPr>
                      <w:b/>
                      <w:bCs/>
                      <w:lang w:val="en-US"/>
                    </w:rPr>
                    <w:instrText xml:space="preserve"> \* MERGEFORMAT </w:instrText>
                  </w:r>
                  <w:r w:rsidRPr="00BB2A38">
                    <w:rPr>
                      <w:b/>
                      <w:bCs/>
                      <w:lang w:val="en-US"/>
                    </w:rPr>
                  </w:r>
                  <w:r w:rsidRPr="00BB2A38">
                    <w:rPr>
                      <w:b/>
                      <w:bCs/>
                      <w:lang w:val="en-US"/>
                    </w:rPr>
                    <w:fldChar w:fldCharType="separate"/>
                  </w:r>
                </w:p>
                <w:p w14:paraId="45EB7D37" w14:textId="77777777" w:rsidR="008F22E5" w:rsidRPr="008F22E5" w:rsidRDefault="008F22E5" w:rsidP="00DD3F30">
                  <w:pPr>
                    <w:pStyle w:val="Bullet1"/>
                    <w:numPr>
                      <w:ilvl w:val="0"/>
                      <w:numId w:val="0"/>
                    </w:numPr>
                    <w:rPr>
                      <w:rStyle w:val="Text-Bold"/>
                      <w:szCs w:val="22"/>
                    </w:rPr>
                  </w:pPr>
                </w:p>
                <w:p w14:paraId="762F9353" w14:textId="77777777" w:rsidR="008F22E5" w:rsidRPr="008F22E5" w:rsidRDefault="008F22E5" w:rsidP="00DD3F30">
                  <w:pPr>
                    <w:pStyle w:val="Bullet1"/>
                    <w:numPr>
                      <w:ilvl w:val="0"/>
                      <w:numId w:val="0"/>
                    </w:numPr>
                    <w:rPr>
                      <w:rStyle w:val="Text-Bold"/>
                      <w:szCs w:val="21"/>
                    </w:rPr>
                  </w:pPr>
                </w:p>
                <w:p w14:paraId="4FD9E6D3" w14:textId="77777777" w:rsidR="008F22E5" w:rsidRPr="00DD3F30" w:rsidRDefault="008F22E5" w:rsidP="00DD3F30">
                  <w:pPr>
                    <w:pStyle w:val="Bullet1"/>
                    <w:numPr>
                      <w:ilvl w:val="0"/>
                      <w:numId w:val="0"/>
                    </w:numPr>
                    <w:rPr>
                      <w:rStyle w:val="Text-Bold"/>
                      <w:b w:val="0"/>
                      <w:lang w:val="en-US"/>
                    </w:rPr>
                  </w:pPr>
                </w:p>
                <w:p w14:paraId="782D4505" w14:textId="0B423910" w:rsidR="00955995" w:rsidRPr="00DD3F30" w:rsidRDefault="008F22E5" w:rsidP="00DD3F30">
                  <w:pPr>
                    <w:pStyle w:val="Bullet1"/>
                    <w:numPr>
                      <w:ilvl w:val="0"/>
                      <w:numId w:val="0"/>
                    </w:numPr>
                    <w:rPr>
                      <w:rStyle w:val="Text-Bold"/>
                      <w:b w:val="0"/>
                      <w:lang w:val="en-US"/>
                    </w:rPr>
                  </w:pPr>
                  <w:r w:rsidRPr="009F5B0D">
                    <w:rPr>
                      <w:rStyle w:val="Text-Bold"/>
                      <w:szCs w:val="21"/>
                    </w:rPr>
                    <w:t xml:space="preserve">Table </w:t>
                  </w:r>
                  <w:r w:rsidRPr="008B6F9B">
                    <w:rPr>
                      <w:b/>
                      <w:bCs/>
                      <w:noProof/>
                      <w:szCs w:val="21"/>
                    </w:rPr>
                    <w:t>13</w:t>
                  </w:r>
                  <w:r w:rsidR="00967ECF" w:rsidRPr="00BB2A38">
                    <w:rPr>
                      <w:b/>
                      <w:bCs/>
                      <w:lang w:val="en-US"/>
                    </w:rPr>
                    <w:fldChar w:fldCharType="end"/>
                  </w:r>
                  <w:r w:rsidR="00967ECF">
                    <w:rPr>
                      <w:lang w:val="en-US"/>
                    </w:rPr>
                    <w:t xml:space="preserve"> and </w:t>
                  </w:r>
                  <w:r w:rsidR="00967ECF" w:rsidRPr="00BB2A38">
                    <w:rPr>
                      <w:b/>
                      <w:bCs/>
                      <w:lang w:val="en-US"/>
                    </w:rPr>
                    <w:fldChar w:fldCharType="begin" w:fldLock="1"/>
                  </w:r>
                  <w:r w:rsidR="00967ECF" w:rsidRPr="00BB2A38">
                    <w:rPr>
                      <w:b/>
                      <w:bCs/>
                      <w:lang w:val="en-US"/>
                    </w:rPr>
                    <w:instrText xml:space="preserve"> REF _Ref205323698 \h </w:instrText>
                  </w:r>
                  <w:r w:rsidR="00967ECF">
                    <w:rPr>
                      <w:b/>
                      <w:bCs/>
                      <w:lang w:val="en-US"/>
                    </w:rPr>
                    <w:instrText xml:space="preserve"> \* MERGEFORMAT </w:instrText>
                  </w:r>
                  <w:r w:rsidR="00967ECF" w:rsidRPr="00BB2A38">
                    <w:rPr>
                      <w:b/>
                      <w:bCs/>
                      <w:lang w:val="en-US"/>
                    </w:rPr>
                  </w:r>
                  <w:r w:rsidR="00967ECF" w:rsidRPr="00BB2A38">
                    <w:rPr>
                      <w:b/>
                      <w:bCs/>
                      <w:lang w:val="en-US"/>
                    </w:rPr>
                    <w:fldChar w:fldCharType="separate"/>
                  </w:r>
                  <w:r w:rsidRPr="008F22E5">
                    <w:rPr>
                      <w:rStyle w:val="Text-Bold"/>
                      <w:szCs w:val="22"/>
                    </w:rPr>
                    <w:t xml:space="preserve">Table </w:t>
                  </w:r>
                  <w:r w:rsidRPr="008F22E5">
                    <w:rPr>
                      <w:b/>
                      <w:bCs/>
                      <w:noProof/>
                    </w:rPr>
                    <w:t>14</w:t>
                  </w:r>
                  <w:r w:rsidR="00967ECF" w:rsidRPr="00BB2A38">
                    <w:rPr>
                      <w:b/>
                      <w:bCs/>
                      <w:lang w:val="en-US"/>
                    </w:rPr>
                    <w:fldChar w:fldCharType="end"/>
                  </w:r>
                  <w:r w:rsidR="00967ECF">
                    <w:rPr>
                      <w:b/>
                      <w:bCs/>
                      <w:lang w:val="en-US"/>
                    </w:rPr>
                    <w:t xml:space="preserve"> </w:t>
                  </w:r>
                  <w:r w:rsidR="00967ECF">
                    <w:rPr>
                      <w:lang w:val="en-US"/>
                    </w:rPr>
                    <w:t xml:space="preserve">show the Government's annual investment in FaRS and SFVS and specific SFVS program from 2021-22 to 2023-24. </w:t>
                  </w:r>
                  <w:bookmarkStart w:id="313" w:name="_Ref205323679"/>
                </w:p>
                <w:p w14:paraId="2DA8CC9E" w14:textId="5EE204DE" w:rsidR="00967ECF" w:rsidRPr="009F5B0D" w:rsidRDefault="00967ECF" w:rsidP="00953B9E">
                  <w:pPr>
                    <w:pStyle w:val="TableFigure-Header"/>
                    <w:spacing w:line="276" w:lineRule="auto"/>
                    <w:rPr>
                      <w:rStyle w:val="Text-Bold"/>
                      <w:b/>
                      <w:szCs w:val="21"/>
                      <w:lang w:val="en-NZ"/>
                    </w:rPr>
                  </w:pPr>
                  <w:r w:rsidRPr="009F5B0D">
                    <w:rPr>
                      <w:rStyle w:val="Text-Bold"/>
                      <w:b/>
                      <w:szCs w:val="21"/>
                      <w:lang w:val="en-NZ"/>
                    </w:rPr>
                    <w:t xml:space="preserve">Table </w:t>
                  </w:r>
                  <w:r w:rsidRPr="009F5B0D">
                    <w:rPr>
                      <w:rStyle w:val="Text-Bold"/>
                      <w:b/>
                      <w:szCs w:val="21"/>
                    </w:rPr>
                    <w:fldChar w:fldCharType="begin"/>
                  </w:r>
                  <w:r w:rsidRPr="009F5B0D">
                    <w:rPr>
                      <w:szCs w:val="21"/>
                    </w:rPr>
                    <w:instrText xml:space="preserve"> SEQ Table \* ARABIC </w:instrText>
                  </w:r>
                  <w:r w:rsidRPr="009F5B0D">
                    <w:rPr>
                      <w:rStyle w:val="Text-Bold"/>
                      <w:b/>
                      <w:szCs w:val="21"/>
                    </w:rPr>
                    <w:fldChar w:fldCharType="separate"/>
                  </w:r>
                  <w:r w:rsidR="008D2566">
                    <w:rPr>
                      <w:noProof/>
                      <w:szCs w:val="21"/>
                    </w:rPr>
                    <w:t>13</w:t>
                  </w:r>
                  <w:r w:rsidRPr="009F5B0D">
                    <w:rPr>
                      <w:rStyle w:val="Text-Bold"/>
                      <w:b/>
                      <w:szCs w:val="21"/>
                    </w:rPr>
                    <w:fldChar w:fldCharType="end"/>
                  </w:r>
                  <w:bookmarkEnd w:id="313"/>
                  <w:r w:rsidRPr="009F5B0D">
                    <w:rPr>
                      <w:rStyle w:val="Text-Bold"/>
                      <w:b/>
                      <w:szCs w:val="21"/>
                      <w:lang w:val="en-NZ"/>
                    </w:rPr>
                    <w:t>: Government annual investment for FaRS and SFVS</w:t>
                  </w:r>
                </w:p>
                <w:tbl>
                  <w:tblPr>
                    <w:tblStyle w:val="ListTable3-Accent3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99"/>
                    <w:gridCol w:w="2413"/>
                    <w:gridCol w:w="2295"/>
                    <w:gridCol w:w="2412"/>
                  </w:tblGrid>
                  <w:tr w:rsidR="00967ECF" w:rsidRPr="00157A49" w14:paraId="4EDA3EA8" w14:textId="77777777" w:rsidTr="00321BC5">
                    <w:trPr>
                      <w:cnfStyle w:val="100000000000" w:firstRow="1" w:lastRow="0" w:firstColumn="0" w:lastColumn="0" w:oddVBand="0" w:evenVBand="0" w:oddHBand="0" w:evenHBand="0" w:firstRowFirstColumn="0" w:firstRowLastColumn="0" w:lastRowFirstColumn="0" w:lastRowLastColumn="0"/>
                      <w:trHeight w:val="408"/>
                    </w:trPr>
                    <w:tc>
                      <w:tcPr>
                        <w:cnfStyle w:val="001000000100" w:firstRow="0" w:lastRow="0" w:firstColumn="1" w:lastColumn="0" w:oddVBand="0" w:evenVBand="0" w:oddHBand="0" w:evenHBand="0" w:firstRowFirstColumn="1" w:firstRowLastColumn="0" w:lastRowFirstColumn="0" w:lastRowLastColumn="0"/>
                        <w:tcW w:w="0" w:type="pct"/>
                        <w:shd w:val="clear" w:color="auto" w:fill="007E00" w:themeFill="accent3"/>
                        <w:noWrap/>
                        <w:vAlign w:val="center"/>
                        <w:hideMark/>
                      </w:tcPr>
                      <w:p w14:paraId="3FBE9C92" w14:textId="77777777" w:rsidR="00967ECF" w:rsidRPr="00157A49" w:rsidRDefault="00967ECF">
                        <w:pPr>
                          <w:pStyle w:val="TableText"/>
                        </w:pPr>
                        <w:r w:rsidRPr="00157A49">
                          <w:t> </w:t>
                        </w:r>
                      </w:p>
                    </w:tc>
                    <w:tc>
                      <w:tcPr>
                        <w:tcW w:w="0" w:type="pct"/>
                        <w:shd w:val="clear" w:color="auto" w:fill="007E00" w:themeFill="accent3"/>
                        <w:noWrap/>
                        <w:vAlign w:val="center"/>
                        <w:hideMark/>
                      </w:tcPr>
                      <w:p w14:paraId="0E895858" w14:textId="77777777" w:rsidR="00967ECF" w:rsidRPr="00157A49" w:rsidRDefault="00967ECF">
                        <w:pPr>
                          <w:pStyle w:val="TableText"/>
                          <w:cnfStyle w:val="100000000000" w:firstRow="1" w:lastRow="0" w:firstColumn="0" w:lastColumn="0" w:oddVBand="0" w:evenVBand="0" w:oddHBand="0" w:evenHBand="0" w:firstRowFirstColumn="0" w:firstRowLastColumn="0" w:lastRowFirstColumn="0" w:lastRowLastColumn="0"/>
                          <w:rPr>
                            <w:b w:val="0"/>
                            <w:bCs w:val="0"/>
                          </w:rPr>
                        </w:pPr>
                        <w:r w:rsidRPr="00157A49">
                          <w:t>FARS</w:t>
                        </w:r>
                      </w:p>
                    </w:tc>
                    <w:tc>
                      <w:tcPr>
                        <w:tcW w:w="0" w:type="pct"/>
                        <w:shd w:val="clear" w:color="auto" w:fill="007E00" w:themeFill="accent3"/>
                        <w:noWrap/>
                        <w:vAlign w:val="center"/>
                        <w:hideMark/>
                      </w:tcPr>
                      <w:p w14:paraId="460EF080" w14:textId="77777777" w:rsidR="00967ECF" w:rsidRPr="00157A49" w:rsidRDefault="00967ECF">
                        <w:pPr>
                          <w:pStyle w:val="TableText"/>
                          <w:cnfStyle w:val="100000000000" w:firstRow="1" w:lastRow="0" w:firstColumn="0" w:lastColumn="0" w:oddVBand="0" w:evenVBand="0" w:oddHBand="0" w:evenHBand="0" w:firstRowFirstColumn="0" w:firstRowLastColumn="0" w:lastRowFirstColumn="0" w:lastRowLastColumn="0"/>
                          <w:rPr>
                            <w:b w:val="0"/>
                            <w:bCs w:val="0"/>
                          </w:rPr>
                        </w:pPr>
                        <w:r w:rsidRPr="00157A49">
                          <w:t>SFVS</w:t>
                        </w:r>
                      </w:p>
                    </w:tc>
                    <w:tc>
                      <w:tcPr>
                        <w:tcW w:w="0" w:type="pct"/>
                        <w:shd w:val="clear" w:color="auto" w:fill="007E00" w:themeFill="accent3"/>
                        <w:noWrap/>
                        <w:vAlign w:val="center"/>
                        <w:hideMark/>
                      </w:tcPr>
                      <w:p w14:paraId="462D31BF" w14:textId="77777777" w:rsidR="00967ECF" w:rsidRPr="00157A49" w:rsidRDefault="00967ECF">
                        <w:pPr>
                          <w:pStyle w:val="TableText"/>
                          <w:cnfStyle w:val="100000000000" w:firstRow="1" w:lastRow="0" w:firstColumn="0" w:lastColumn="0" w:oddVBand="0" w:evenVBand="0" w:oddHBand="0" w:evenHBand="0" w:firstRowFirstColumn="0" w:firstRowLastColumn="0" w:lastRowFirstColumn="0" w:lastRowLastColumn="0"/>
                          <w:rPr>
                            <w:b w:val="0"/>
                            <w:bCs w:val="0"/>
                          </w:rPr>
                        </w:pPr>
                        <w:r w:rsidRPr="00157A49">
                          <w:t>Total</w:t>
                        </w:r>
                      </w:p>
                    </w:tc>
                  </w:tr>
                  <w:tr w:rsidR="00967ECF" w:rsidRPr="00157A49" w14:paraId="0E152B27" w14:textId="77777777" w:rsidTr="00321BC5">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0" w:type="pct"/>
                        <w:noWrap/>
                        <w:vAlign w:val="center"/>
                        <w:hideMark/>
                      </w:tcPr>
                      <w:p w14:paraId="25A29DCE" w14:textId="77777777" w:rsidR="00967ECF" w:rsidRPr="0078378F" w:rsidRDefault="00967ECF">
                        <w:pPr>
                          <w:pStyle w:val="TableText"/>
                        </w:pPr>
                        <w:r w:rsidRPr="0078378F">
                          <w:t>2021-22</w:t>
                        </w:r>
                      </w:p>
                    </w:tc>
                    <w:tc>
                      <w:tcPr>
                        <w:tcW w:w="0" w:type="pct"/>
                        <w:noWrap/>
                        <w:vAlign w:val="center"/>
                        <w:hideMark/>
                      </w:tcPr>
                      <w:p w14:paraId="6A8CBB74" w14:textId="77777777" w:rsidR="00967ECF" w:rsidRPr="00157A49" w:rsidRDefault="00967ECF">
                        <w:pPr>
                          <w:pStyle w:val="TableText"/>
                          <w:cnfStyle w:val="000000100000" w:firstRow="0" w:lastRow="0" w:firstColumn="0" w:lastColumn="0" w:oddVBand="0" w:evenVBand="0" w:oddHBand="1" w:evenHBand="0" w:firstRowFirstColumn="0" w:firstRowLastColumn="0" w:lastRowFirstColumn="0" w:lastRowLastColumn="0"/>
                        </w:pPr>
                        <w:r w:rsidRPr="00157A49">
                          <w:t>$80,614,137</w:t>
                        </w:r>
                      </w:p>
                    </w:tc>
                    <w:tc>
                      <w:tcPr>
                        <w:tcW w:w="0" w:type="pct"/>
                        <w:noWrap/>
                        <w:vAlign w:val="center"/>
                        <w:hideMark/>
                      </w:tcPr>
                      <w:p w14:paraId="34004641" w14:textId="77777777" w:rsidR="00967ECF" w:rsidRPr="00157A49" w:rsidRDefault="00967ECF">
                        <w:pPr>
                          <w:pStyle w:val="TableText"/>
                          <w:cnfStyle w:val="000000100000" w:firstRow="0" w:lastRow="0" w:firstColumn="0" w:lastColumn="0" w:oddVBand="0" w:evenVBand="0" w:oddHBand="1" w:evenHBand="0" w:firstRowFirstColumn="0" w:firstRowLastColumn="0" w:lastRowFirstColumn="0" w:lastRowLastColumn="0"/>
                        </w:pPr>
                        <w:r w:rsidRPr="00157A49">
                          <w:t>$9,409,094</w:t>
                        </w:r>
                      </w:p>
                    </w:tc>
                    <w:tc>
                      <w:tcPr>
                        <w:tcW w:w="0" w:type="pct"/>
                        <w:noWrap/>
                        <w:vAlign w:val="center"/>
                        <w:hideMark/>
                      </w:tcPr>
                      <w:p w14:paraId="099401C9" w14:textId="77777777" w:rsidR="00967ECF" w:rsidRPr="00157A49" w:rsidRDefault="00967ECF">
                        <w:pPr>
                          <w:pStyle w:val="TableText"/>
                          <w:cnfStyle w:val="000000100000" w:firstRow="0" w:lastRow="0" w:firstColumn="0" w:lastColumn="0" w:oddVBand="0" w:evenVBand="0" w:oddHBand="1" w:evenHBand="0" w:firstRowFirstColumn="0" w:firstRowLastColumn="0" w:lastRowFirstColumn="0" w:lastRowLastColumn="0"/>
                        </w:pPr>
                        <w:r w:rsidRPr="00157A49">
                          <w:t>$90,023,231</w:t>
                        </w:r>
                      </w:p>
                    </w:tc>
                  </w:tr>
                  <w:tr w:rsidR="00680B14" w:rsidRPr="00157A49" w14:paraId="1606C8C0" w14:textId="77777777" w:rsidTr="00094E78">
                    <w:trPr>
                      <w:trHeight w:val="407"/>
                    </w:trPr>
                    <w:tc>
                      <w:tcPr>
                        <w:cnfStyle w:val="001000000000" w:firstRow="0" w:lastRow="0" w:firstColumn="1" w:lastColumn="0" w:oddVBand="0" w:evenVBand="0" w:oddHBand="0" w:evenHBand="0" w:firstRowFirstColumn="0" w:firstRowLastColumn="0" w:lastRowFirstColumn="0" w:lastRowLastColumn="0"/>
                        <w:tcW w:w="0" w:type="pct"/>
                        <w:noWrap/>
                        <w:vAlign w:val="center"/>
                        <w:hideMark/>
                      </w:tcPr>
                      <w:p w14:paraId="5D25344F" w14:textId="77777777" w:rsidR="00967ECF" w:rsidRPr="0078378F" w:rsidRDefault="00967ECF">
                        <w:pPr>
                          <w:pStyle w:val="TableText"/>
                        </w:pPr>
                        <w:r w:rsidRPr="0078378F">
                          <w:t>2022-23</w:t>
                        </w:r>
                      </w:p>
                    </w:tc>
                    <w:tc>
                      <w:tcPr>
                        <w:tcW w:w="0" w:type="pct"/>
                        <w:noWrap/>
                        <w:vAlign w:val="center"/>
                        <w:hideMark/>
                      </w:tcPr>
                      <w:p w14:paraId="77549CED" w14:textId="77777777" w:rsidR="00967ECF" w:rsidRPr="00157A49" w:rsidRDefault="00967ECF">
                        <w:pPr>
                          <w:pStyle w:val="TableText"/>
                          <w:cnfStyle w:val="000000000000" w:firstRow="0" w:lastRow="0" w:firstColumn="0" w:lastColumn="0" w:oddVBand="0" w:evenVBand="0" w:oddHBand="0" w:evenHBand="0" w:firstRowFirstColumn="0" w:firstRowLastColumn="0" w:lastRowFirstColumn="0" w:lastRowLastColumn="0"/>
                        </w:pPr>
                        <w:r w:rsidRPr="00157A49">
                          <w:t>$88,158,944</w:t>
                        </w:r>
                      </w:p>
                    </w:tc>
                    <w:tc>
                      <w:tcPr>
                        <w:tcW w:w="0" w:type="pct"/>
                        <w:noWrap/>
                        <w:vAlign w:val="center"/>
                        <w:hideMark/>
                      </w:tcPr>
                      <w:p w14:paraId="04153553" w14:textId="77777777" w:rsidR="00967ECF" w:rsidRPr="00157A49" w:rsidRDefault="00967ECF">
                        <w:pPr>
                          <w:pStyle w:val="TableText"/>
                          <w:cnfStyle w:val="000000000000" w:firstRow="0" w:lastRow="0" w:firstColumn="0" w:lastColumn="0" w:oddVBand="0" w:evenVBand="0" w:oddHBand="0" w:evenHBand="0" w:firstRowFirstColumn="0" w:firstRowLastColumn="0" w:lastRowFirstColumn="0" w:lastRowLastColumn="0"/>
                        </w:pPr>
                        <w:r w:rsidRPr="00157A49">
                          <w:t>$12,396,856</w:t>
                        </w:r>
                      </w:p>
                    </w:tc>
                    <w:tc>
                      <w:tcPr>
                        <w:tcW w:w="0" w:type="pct"/>
                        <w:noWrap/>
                        <w:vAlign w:val="center"/>
                        <w:hideMark/>
                      </w:tcPr>
                      <w:p w14:paraId="3CAB6321" w14:textId="77777777" w:rsidR="00967ECF" w:rsidRPr="00157A49" w:rsidRDefault="00967ECF">
                        <w:pPr>
                          <w:pStyle w:val="TableText"/>
                          <w:cnfStyle w:val="000000000000" w:firstRow="0" w:lastRow="0" w:firstColumn="0" w:lastColumn="0" w:oddVBand="0" w:evenVBand="0" w:oddHBand="0" w:evenHBand="0" w:firstRowFirstColumn="0" w:firstRowLastColumn="0" w:lastRowFirstColumn="0" w:lastRowLastColumn="0"/>
                        </w:pPr>
                        <w:r w:rsidRPr="00157A49">
                          <w:t>$100,555,801</w:t>
                        </w:r>
                      </w:p>
                    </w:tc>
                  </w:tr>
                  <w:tr w:rsidR="00967ECF" w:rsidRPr="00157A49" w14:paraId="5058A8E1" w14:textId="77777777" w:rsidTr="00321BC5">
                    <w:trPr>
                      <w:cnfStyle w:val="000000100000" w:firstRow="0" w:lastRow="0" w:firstColumn="0" w:lastColumn="0" w:oddVBand="0" w:evenVBand="0" w:oddHBand="1" w:evenHBand="0" w:firstRowFirstColumn="0" w:firstRowLastColumn="0" w:lastRowFirstColumn="0" w:lastRowLastColumn="0"/>
                      <w:trHeight w:val="339"/>
                    </w:trPr>
                    <w:tc>
                      <w:tcPr>
                        <w:cnfStyle w:val="001000000000" w:firstRow="0" w:lastRow="0" w:firstColumn="1" w:lastColumn="0" w:oddVBand="0" w:evenVBand="0" w:oddHBand="0" w:evenHBand="0" w:firstRowFirstColumn="0" w:firstRowLastColumn="0" w:lastRowFirstColumn="0" w:lastRowLastColumn="0"/>
                        <w:tcW w:w="0" w:type="pct"/>
                        <w:noWrap/>
                        <w:vAlign w:val="center"/>
                        <w:hideMark/>
                      </w:tcPr>
                      <w:p w14:paraId="1D502679" w14:textId="77777777" w:rsidR="00967ECF" w:rsidRPr="0078378F" w:rsidRDefault="00967ECF">
                        <w:pPr>
                          <w:pStyle w:val="TableText"/>
                        </w:pPr>
                        <w:r w:rsidRPr="0078378F">
                          <w:t>2023-24</w:t>
                        </w:r>
                      </w:p>
                    </w:tc>
                    <w:tc>
                      <w:tcPr>
                        <w:tcW w:w="0" w:type="pct"/>
                        <w:noWrap/>
                        <w:vAlign w:val="center"/>
                        <w:hideMark/>
                      </w:tcPr>
                      <w:p w14:paraId="26E0B6B1" w14:textId="77777777" w:rsidR="00967ECF" w:rsidRPr="00157A49" w:rsidRDefault="00967ECF">
                        <w:pPr>
                          <w:pStyle w:val="TableText"/>
                          <w:cnfStyle w:val="000000100000" w:firstRow="0" w:lastRow="0" w:firstColumn="0" w:lastColumn="0" w:oddVBand="0" w:evenVBand="0" w:oddHBand="1" w:evenHBand="0" w:firstRowFirstColumn="0" w:firstRowLastColumn="0" w:lastRowFirstColumn="0" w:lastRowLastColumn="0"/>
                        </w:pPr>
                        <w:r w:rsidRPr="00157A49">
                          <w:t>$91,543,414</w:t>
                        </w:r>
                      </w:p>
                    </w:tc>
                    <w:tc>
                      <w:tcPr>
                        <w:tcW w:w="0" w:type="pct"/>
                        <w:noWrap/>
                        <w:vAlign w:val="center"/>
                        <w:hideMark/>
                      </w:tcPr>
                      <w:p w14:paraId="15CD69C3" w14:textId="77777777" w:rsidR="00967ECF" w:rsidRPr="00157A49" w:rsidRDefault="00967ECF">
                        <w:pPr>
                          <w:pStyle w:val="TableText"/>
                          <w:cnfStyle w:val="000000100000" w:firstRow="0" w:lastRow="0" w:firstColumn="0" w:lastColumn="0" w:oddVBand="0" w:evenVBand="0" w:oddHBand="1" w:evenHBand="0" w:firstRowFirstColumn="0" w:firstRowLastColumn="0" w:lastRowFirstColumn="0" w:lastRowLastColumn="0"/>
                        </w:pPr>
                        <w:r w:rsidRPr="00157A49">
                          <w:t>$13,634,178</w:t>
                        </w:r>
                      </w:p>
                    </w:tc>
                    <w:tc>
                      <w:tcPr>
                        <w:tcW w:w="0" w:type="pct"/>
                        <w:noWrap/>
                        <w:vAlign w:val="center"/>
                        <w:hideMark/>
                      </w:tcPr>
                      <w:p w14:paraId="045F1FEE" w14:textId="77777777" w:rsidR="00967ECF" w:rsidRPr="00157A49" w:rsidRDefault="00967ECF">
                        <w:pPr>
                          <w:pStyle w:val="TableText"/>
                          <w:cnfStyle w:val="000000100000" w:firstRow="0" w:lastRow="0" w:firstColumn="0" w:lastColumn="0" w:oddVBand="0" w:evenVBand="0" w:oddHBand="1" w:evenHBand="0" w:firstRowFirstColumn="0" w:firstRowLastColumn="0" w:lastRowFirstColumn="0" w:lastRowLastColumn="0"/>
                        </w:pPr>
                        <w:r w:rsidRPr="00157A49">
                          <w:t>$105,177,591</w:t>
                        </w:r>
                      </w:p>
                    </w:tc>
                  </w:tr>
                  <w:tr w:rsidR="00680B14" w:rsidRPr="00157A49" w14:paraId="1157512B" w14:textId="77777777" w:rsidTr="00094E78">
                    <w:trPr>
                      <w:trHeight w:val="245"/>
                    </w:trPr>
                    <w:tc>
                      <w:tcPr>
                        <w:cnfStyle w:val="001000000000" w:firstRow="0" w:lastRow="0" w:firstColumn="1" w:lastColumn="0" w:oddVBand="0" w:evenVBand="0" w:oddHBand="0" w:evenHBand="0" w:firstRowFirstColumn="0" w:firstRowLastColumn="0" w:lastRowFirstColumn="0" w:lastRowLastColumn="0"/>
                        <w:tcW w:w="0" w:type="pct"/>
                        <w:noWrap/>
                        <w:vAlign w:val="center"/>
                        <w:hideMark/>
                      </w:tcPr>
                      <w:p w14:paraId="74539B26" w14:textId="77777777" w:rsidR="00967ECF" w:rsidRPr="00270C50" w:rsidRDefault="00967ECF">
                        <w:pPr>
                          <w:pStyle w:val="TableText"/>
                          <w:rPr>
                            <w:b w:val="0"/>
                            <w:bCs w:val="0"/>
                          </w:rPr>
                        </w:pPr>
                        <w:r w:rsidRPr="00270C50">
                          <w:t xml:space="preserve">Total </w:t>
                        </w:r>
                      </w:p>
                    </w:tc>
                    <w:tc>
                      <w:tcPr>
                        <w:tcW w:w="0" w:type="pct"/>
                        <w:noWrap/>
                        <w:vAlign w:val="center"/>
                        <w:hideMark/>
                      </w:tcPr>
                      <w:p w14:paraId="4673F1B9" w14:textId="77777777" w:rsidR="00967ECF" w:rsidRPr="0078378F" w:rsidRDefault="00967ECF">
                        <w:pPr>
                          <w:pStyle w:val="TableText"/>
                          <w:cnfStyle w:val="000000000000" w:firstRow="0" w:lastRow="0" w:firstColumn="0" w:lastColumn="0" w:oddVBand="0" w:evenVBand="0" w:oddHBand="0" w:evenHBand="0" w:firstRowFirstColumn="0" w:firstRowLastColumn="0" w:lastRowFirstColumn="0" w:lastRowLastColumn="0"/>
                          <w:rPr>
                            <w:b/>
                            <w:bCs/>
                          </w:rPr>
                        </w:pPr>
                        <w:r w:rsidRPr="0078378F">
                          <w:rPr>
                            <w:b/>
                            <w:bCs/>
                          </w:rPr>
                          <w:t>$260,316,495</w:t>
                        </w:r>
                      </w:p>
                    </w:tc>
                    <w:tc>
                      <w:tcPr>
                        <w:tcW w:w="0" w:type="pct"/>
                        <w:noWrap/>
                        <w:vAlign w:val="center"/>
                        <w:hideMark/>
                      </w:tcPr>
                      <w:p w14:paraId="690D15DB" w14:textId="77777777" w:rsidR="00967ECF" w:rsidRPr="0078378F" w:rsidRDefault="00967ECF">
                        <w:pPr>
                          <w:pStyle w:val="TableText"/>
                          <w:cnfStyle w:val="000000000000" w:firstRow="0" w:lastRow="0" w:firstColumn="0" w:lastColumn="0" w:oddVBand="0" w:evenVBand="0" w:oddHBand="0" w:evenHBand="0" w:firstRowFirstColumn="0" w:firstRowLastColumn="0" w:lastRowFirstColumn="0" w:lastRowLastColumn="0"/>
                          <w:rPr>
                            <w:b/>
                            <w:bCs/>
                          </w:rPr>
                        </w:pPr>
                        <w:r w:rsidRPr="0078378F">
                          <w:rPr>
                            <w:b/>
                            <w:bCs/>
                          </w:rPr>
                          <w:t>$35,440,128</w:t>
                        </w:r>
                      </w:p>
                    </w:tc>
                    <w:tc>
                      <w:tcPr>
                        <w:tcW w:w="0" w:type="pct"/>
                        <w:noWrap/>
                        <w:vAlign w:val="center"/>
                        <w:hideMark/>
                      </w:tcPr>
                      <w:p w14:paraId="360C4F9F" w14:textId="77777777" w:rsidR="00967ECF" w:rsidRPr="0078378F" w:rsidRDefault="00967ECF">
                        <w:pPr>
                          <w:pStyle w:val="TableText"/>
                          <w:cnfStyle w:val="000000000000" w:firstRow="0" w:lastRow="0" w:firstColumn="0" w:lastColumn="0" w:oddVBand="0" w:evenVBand="0" w:oddHBand="0" w:evenHBand="0" w:firstRowFirstColumn="0" w:firstRowLastColumn="0" w:lastRowFirstColumn="0" w:lastRowLastColumn="0"/>
                          <w:rPr>
                            <w:b/>
                            <w:bCs/>
                          </w:rPr>
                        </w:pPr>
                        <w:r w:rsidRPr="0078378F">
                          <w:rPr>
                            <w:b/>
                            <w:bCs/>
                          </w:rPr>
                          <w:t>$295,756,623</w:t>
                        </w:r>
                      </w:p>
                    </w:tc>
                  </w:tr>
                </w:tbl>
                <w:p w14:paraId="5DD1A042" w14:textId="77777777" w:rsidR="00967ECF" w:rsidRPr="00883627" w:rsidRDefault="00967ECF" w:rsidP="00967ECF">
                  <w:pPr>
                    <w:pStyle w:val="Text"/>
                    <w:rPr>
                      <w:i/>
                      <w:iCs/>
                      <w:sz w:val="20"/>
                      <w:szCs w:val="18"/>
                    </w:rPr>
                  </w:pPr>
                  <w:r w:rsidRPr="00883627">
                    <w:rPr>
                      <w:i/>
                      <w:iCs/>
                      <w:sz w:val="20"/>
                      <w:szCs w:val="18"/>
                    </w:rPr>
                    <w:t>Source: FaRS and SFVS Program Dashboards supplied by the Department</w:t>
                  </w:r>
                </w:p>
                <w:p w14:paraId="4DFDE250" w14:textId="2F953CE9" w:rsidR="00967ECF" w:rsidRPr="009F5B0D" w:rsidRDefault="00967ECF" w:rsidP="00953B9E">
                  <w:pPr>
                    <w:pStyle w:val="TableFigure-Header"/>
                    <w:spacing w:line="276" w:lineRule="auto"/>
                    <w:rPr>
                      <w:rStyle w:val="Text-Bold"/>
                      <w:b/>
                      <w:szCs w:val="21"/>
                      <w:lang w:val="en-NZ"/>
                    </w:rPr>
                  </w:pPr>
                  <w:bookmarkStart w:id="314" w:name="_Ref205323698"/>
                  <w:r w:rsidRPr="009F5B0D">
                    <w:rPr>
                      <w:rStyle w:val="Text-Bold"/>
                      <w:b/>
                      <w:szCs w:val="21"/>
                      <w:lang w:val="en-NZ"/>
                    </w:rPr>
                    <w:t xml:space="preserve">Table </w:t>
                  </w:r>
                  <w:r w:rsidRPr="009F5B0D">
                    <w:rPr>
                      <w:rStyle w:val="Text-Bold"/>
                      <w:b/>
                      <w:szCs w:val="21"/>
                    </w:rPr>
                    <w:fldChar w:fldCharType="begin"/>
                  </w:r>
                  <w:r w:rsidRPr="009F5B0D">
                    <w:rPr>
                      <w:szCs w:val="21"/>
                    </w:rPr>
                    <w:instrText xml:space="preserve"> SEQ Table \* ARABIC </w:instrText>
                  </w:r>
                  <w:r w:rsidRPr="009F5B0D">
                    <w:rPr>
                      <w:rStyle w:val="Text-Bold"/>
                      <w:b/>
                      <w:szCs w:val="21"/>
                    </w:rPr>
                    <w:fldChar w:fldCharType="separate"/>
                  </w:r>
                  <w:r w:rsidR="008D2566">
                    <w:rPr>
                      <w:noProof/>
                      <w:szCs w:val="21"/>
                    </w:rPr>
                    <w:t>14</w:t>
                  </w:r>
                  <w:r w:rsidRPr="009F5B0D">
                    <w:rPr>
                      <w:rStyle w:val="Text-Bold"/>
                      <w:b/>
                      <w:szCs w:val="21"/>
                    </w:rPr>
                    <w:fldChar w:fldCharType="end"/>
                  </w:r>
                  <w:bookmarkEnd w:id="314"/>
                  <w:r w:rsidRPr="009F5B0D">
                    <w:rPr>
                      <w:rStyle w:val="Text-Bold"/>
                      <w:b/>
                      <w:szCs w:val="21"/>
                      <w:lang w:val="en-NZ"/>
                    </w:rPr>
                    <w:t>: Government annual investment for SFVS programs</w:t>
                  </w:r>
                </w:p>
                <w:tbl>
                  <w:tblPr>
                    <w:tblStyle w:val="ListTable3-Accent3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2"/>
                    <w:gridCol w:w="1823"/>
                    <w:gridCol w:w="1892"/>
                    <w:gridCol w:w="1939"/>
                    <w:gridCol w:w="1823"/>
                  </w:tblGrid>
                  <w:tr w:rsidR="00967ECF" w:rsidRPr="009A4448" w14:paraId="30498AED" w14:textId="77777777" w:rsidTr="00321BC5">
                    <w:trPr>
                      <w:cnfStyle w:val="100000000000" w:firstRow="1" w:lastRow="0" w:firstColumn="0" w:lastColumn="0" w:oddVBand="0" w:evenVBand="0" w:oddHBand="0" w:evenHBand="0" w:firstRowFirstColumn="0" w:firstRowLastColumn="0" w:lastRowFirstColumn="0" w:lastRowLastColumn="0"/>
                      <w:trHeight w:val="73"/>
                    </w:trPr>
                    <w:tc>
                      <w:tcPr>
                        <w:cnfStyle w:val="001000000100" w:firstRow="0" w:lastRow="0" w:firstColumn="1" w:lastColumn="0" w:oddVBand="0" w:evenVBand="0" w:oddHBand="0" w:evenHBand="0" w:firstRowFirstColumn="1" w:firstRowLastColumn="0" w:lastRowFirstColumn="0" w:lastRowLastColumn="0"/>
                        <w:tcW w:w="0" w:type="pct"/>
                        <w:noWrap/>
                        <w:vAlign w:val="center"/>
                        <w:hideMark/>
                      </w:tcPr>
                      <w:p w14:paraId="1FDFE4D7" w14:textId="77777777" w:rsidR="00967ECF" w:rsidRPr="009A4448" w:rsidRDefault="00967ECF">
                        <w:pPr>
                          <w:pStyle w:val="TableText"/>
                        </w:pPr>
                      </w:p>
                    </w:tc>
                    <w:tc>
                      <w:tcPr>
                        <w:tcW w:w="0" w:type="pct"/>
                        <w:noWrap/>
                        <w:vAlign w:val="center"/>
                        <w:hideMark/>
                      </w:tcPr>
                      <w:p w14:paraId="6B5AD469" w14:textId="77777777" w:rsidR="00967ECF" w:rsidRPr="009A4448" w:rsidRDefault="00967ECF">
                        <w:pPr>
                          <w:pStyle w:val="TableText"/>
                          <w:cnfStyle w:val="100000000000" w:firstRow="1" w:lastRow="0" w:firstColumn="0" w:lastColumn="0" w:oddVBand="0" w:evenVBand="0" w:oddHBand="0" w:evenHBand="0" w:firstRowFirstColumn="0" w:firstRowLastColumn="0" w:lastRowFirstColumn="0" w:lastRowLastColumn="0"/>
                          <w:rPr>
                            <w:b w:val="0"/>
                            <w:bCs w:val="0"/>
                          </w:rPr>
                        </w:pPr>
                        <w:r w:rsidRPr="009A4448">
                          <w:t>MBCP</w:t>
                        </w:r>
                      </w:p>
                    </w:tc>
                    <w:tc>
                      <w:tcPr>
                        <w:tcW w:w="0" w:type="pct"/>
                        <w:noWrap/>
                        <w:vAlign w:val="center"/>
                        <w:hideMark/>
                      </w:tcPr>
                      <w:p w14:paraId="1693A4DA" w14:textId="77777777" w:rsidR="00967ECF" w:rsidRPr="009A4448" w:rsidRDefault="00967ECF">
                        <w:pPr>
                          <w:pStyle w:val="TableText"/>
                          <w:cnfStyle w:val="100000000000" w:firstRow="1" w:lastRow="0" w:firstColumn="0" w:lastColumn="0" w:oddVBand="0" w:evenVBand="0" w:oddHBand="0" w:evenHBand="0" w:firstRowFirstColumn="0" w:firstRowLastColumn="0" w:lastRowFirstColumn="0" w:lastRowLastColumn="0"/>
                          <w:rPr>
                            <w:b w:val="0"/>
                            <w:bCs w:val="0"/>
                          </w:rPr>
                        </w:pPr>
                        <w:r w:rsidRPr="009A4448">
                          <w:t>CSC</w:t>
                        </w:r>
                      </w:p>
                    </w:tc>
                    <w:tc>
                      <w:tcPr>
                        <w:tcW w:w="0" w:type="pct"/>
                        <w:noWrap/>
                        <w:vAlign w:val="center"/>
                        <w:hideMark/>
                      </w:tcPr>
                      <w:p w14:paraId="3927F778" w14:textId="77777777" w:rsidR="00967ECF" w:rsidRPr="009A4448" w:rsidRDefault="00967ECF">
                        <w:pPr>
                          <w:pStyle w:val="TableText"/>
                          <w:cnfStyle w:val="100000000000" w:firstRow="1" w:lastRow="0" w:firstColumn="0" w:lastColumn="0" w:oddVBand="0" w:evenVBand="0" w:oddHBand="0" w:evenHBand="0" w:firstRowFirstColumn="0" w:firstRowLastColumn="0" w:lastRowFirstColumn="0" w:lastRowLastColumn="0"/>
                          <w:rPr>
                            <w:b w:val="0"/>
                            <w:lang w:val="en-AU"/>
                          </w:rPr>
                        </w:pPr>
                        <w:r w:rsidRPr="5B47754D">
                          <w:rPr>
                            <w:lang w:val="en-AU"/>
                          </w:rPr>
                          <w:t>MensLine</w:t>
                        </w:r>
                      </w:p>
                    </w:tc>
                    <w:tc>
                      <w:tcPr>
                        <w:tcW w:w="0" w:type="pct"/>
                        <w:noWrap/>
                        <w:vAlign w:val="center"/>
                        <w:hideMark/>
                      </w:tcPr>
                      <w:p w14:paraId="4D4D79E1" w14:textId="77777777" w:rsidR="00967ECF" w:rsidRPr="009A4448" w:rsidRDefault="00967ECF">
                        <w:pPr>
                          <w:pStyle w:val="TableText"/>
                          <w:cnfStyle w:val="100000000000" w:firstRow="1" w:lastRow="0" w:firstColumn="0" w:lastColumn="0" w:oddVBand="0" w:evenVBand="0" w:oddHBand="0" w:evenHBand="0" w:firstRowFirstColumn="0" w:firstRowLastColumn="0" w:lastRowFirstColumn="0" w:lastRowLastColumn="0"/>
                          <w:rPr>
                            <w:b w:val="0"/>
                            <w:bCs w:val="0"/>
                          </w:rPr>
                        </w:pPr>
                        <w:r w:rsidRPr="009A4448">
                          <w:t>ACCO</w:t>
                        </w:r>
                      </w:p>
                    </w:tc>
                  </w:tr>
                  <w:tr w:rsidR="00066FF4" w:rsidRPr="009A4448" w14:paraId="5DF0F5A8" w14:textId="77777777" w:rsidTr="00321BC5">
                    <w:trPr>
                      <w:cnfStyle w:val="000000100000" w:firstRow="0" w:lastRow="0" w:firstColumn="0" w:lastColumn="0" w:oddVBand="0" w:evenVBand="0" w:oddHBand="1" w:evenHBand="0" w:firstRowFirstColumn="0" w:firstRowLastColumn="0" w:lastRowFirstColumn="0" w:lastRowLastColumn="0"/>
                      <w:trHeight w:val="351"/>
                    </w:trPr>
                    <w:tc>
                      <w:tcPr>
                        <w:cnfStyle w:val="001000000000" w:firstRow="0" w:lastRow="0" w:firstColumn="1" w:lastColumn="0" w:oddVBand="0" w:evenVBand="0" w:oddHBand="0" w:evenHBand="0" w:firstRowFirstColumn="0" w:firstRowLastColumn="0" w:lastRowFirstColumn="0" w:lastRowLastColumn="0"/>
                        <w:tcW w:w="0" w:type="pct"/>
                        <w:noWrap/>
                        <w:vAlign w:val="center"/>
                        <w:hideMark/>
                      </w:tcPr>
                      <w:p w14:paraId="106365F1" w14:textId="77777777" w:rsidR="00066FF4" w:rsidRPr="009A4448" w:rsidRDefault="00066FF4" w:rsidP="00066FF4">
                        <w:pPr>
                          <w:pStyle w:val="TableText"/>
                        </w:pPr>
                        <w:r w:rsidRPr="009A4448">
                          <w:t>2021-22</w:t>
                        </w:r>
                      </w:p>
                    </w:tc>
                    <w:tc>
                      <w:tcPr>
                        <w:tcW w:w="0" w:type="pct"/>
                        <w:noWrap/>
                        <w:vAlign w:val="center"/>
                        <w:hideMark/>
                      </w:tcPr>
                      <w:p w14:paraId="504A78BC" w14:textId="77777777" w:rsidR="00066FF4" w:rsidRPr="009A4448" w:rsidRDefault="00066FF4" w:rsidP="00066FF4">
                        <w:pPr>
                          <w:pStyle w:val="TableText"/>
                          <w:cnfStyle w:val="000000100000" w:firstRow="0" w:lastRow="0" w:firstColumn="0" w:lastColumn="0" w:oddVBand="0" w:evenVBand="0" w:oddHBand="1" w:evenHBand="0" w:firstRowFirstColumn="0" w:firstRowLastColumn="0" w:lastRowFirstColumn="0" w:lastRowLastColumn="0"/>
                        </w:pPr>
                        <w:r w:rsidRPr="009A4448">
                          <w:t>$941,547</w:t>
                        </w:r>
                      </w:p>
                    </w:tc>
                    <w:tc>
                      <w:tcPr>
                        <w:tcW w:w="0" w:type="pct"/>
                        <w:noWrap/>
                        <w:vAlign w:val="center"/>
                        <w:hideMark/>
                      </w:tcPr>
                      <w:p w14:paraId="5406A840" w14:textId="0B437FAE" w:rsidR="00066FF4" w:rsidRPr="00321BC5" w:rsidRDefault="00066FF4" w:rsidP="00066FF4">
                        <w:pPr>
                          <w:pStyle w:val="TableText"/>
                          <w:cnfStyle w:val="000000100000" w:firstRow="0" w:lastRow="0" w:firstColumn="0" w:lastColumn="0" w:oddVBand="0" w:evenVBand="0" w:oddHBand="1" w:evenHBand="0" w:firstRowFirstColumn="0" w:firstRowLastColumn="0" w:lastRowFirstColumn="0" w:lastRowLastColumn="0"/>
                        </w:pPr>
                        <w:r w:rsidRPr="00321BC5">
                          <w:rPr>
                            <w:rFonts w:ascii="Aptos Narrow" w:hAnsi="Aptos Narrow"/>
                            <w:color w:val="000000"/>
                            <w:sz w:val="22"/>
                            <w:szCs w:val="22"/>
                          </w:rPr>
                          <w:t>$1,774,768</w:t>
                        </w:r>
                      </w:p>
                    </w:tc>
                    <w:tc>
                      <w:tcPr>
                        <w:tcW w:w="0" w:type="pct"/>
                        <w:noWrap/>
                        <w:vAlign w:val="center"/>
                        <w:hideMark/>
                      </w:tcPr>
                      <w:p w14:paraId="1E7184EE" w14:textId="77777777" w:rsidR="00066FF4" w:rsidRPr="009A4448" w:rsidRDefault="00066FF4" w:rsidP="00066FF4">
                        <w:pPr>
                          <w:pStyle w:val="TableText"/>
                          <w:cnfStyle w:val="000000100000" w:firstRow="0" w:lastRow="0" w:firstColumn="0" w:lastColumn="0" w:oddVBand="0" w:evenVBand="0" w:oddHBand="1" w:evenHBand="0" w:firstRowFirstColumn="0" w:firstRowLastColumn="0" w:lastRowFirstColumn="0" w:lastRowLastColumn="0"/>
                        </w:pPr>
                        <w:r w:rsidRPr="009A4448">
                          <w:t>$4,512,178</w:t>
                        </w:r>
                      </w:p>
                    </w:tc>
                    <w:tc>
                      <w:tcPr>
                        <w:tcW w:w="0" w:type="pct"/>
                        <w:noWrap/>
                        <w:vAlign w:val="center"/>
                        <w:hideMark/>
                      </w:tcPr>
                      <w:p w14:paraId="04056499" w14:textId="77777777" w:rsidR="00066FF4" w:rsidRPr="009A4448" w:rsidRDefault="00066FF4" w:rsidP="00066FF4">
                        <w:pPr>
                          <w:pStyle w:val="TableText"/>
                          <w:cnfStyle w:val="000000100000" w:firstRow="0" w:lastRow="0" w:firstColumn="0" w:lastColumn="0" w:oddVBand="0" w:evenVBand="0" w:oddHBand="1" w:evenHBand="0" w:firstRowFirstColumn="0" w:firstRowLastColumn="0" w:lastRowFirstColumn="0" w:lastRowLastColumn="0"/>
                        </w:pPr>
                        <w:r w:rsidRPr="009A4448">
                          <w:t>$793,931</w:t>
                        </w:r>
                      </w:p>
                    </w:tc>
                  </w:tr>
                  <w:tr w:rsidR="00680B14" w:rsidRPr="009A4448" w14:paraId="3E88528D" w14:textId="77777777" w:rsidTr="00094E78">
                    <w:trPr>
                      <w:trHeight w:val="415"/>
                    </w:trPr>
                    <w:tc>
                      <w:tcPr>
                        <w:cnfStyle w:val="001000000000" w:firstRow="0" w:lastRow="0" w:firstColumn="1" w:lastColumn="0" w:oddVBand="0" w:evenVBand="0" w:oddHBand="0" w:evenHBand="0" w:firstRowFirstColumn="0" w:firstRowLastColumn="0" w:lastRowFirstColumn="0" w:lastRowLastColumn="0"/>
                        <w:tcW w:w="0" w:type="pct"/>
                        <w:noWrap/>
                        <w:vAlign w:val="center"/>
                        <w:hideMark/>
                      </w:tcPr>
                      <w:p w14:paraId="000D1117" w14:textId="77777777" w:rsidR="00066FF4" w:rsidRPr="009A4448" w:rsidRDefault="00066FF4" w:rsidP="00066FF4">
                        <w:pPr>
                          <w:pStyle w:val="TableText"/>
                        </w:pPr>
                        <w:r w:rsidRPr="009A4448">
                          <w:t>2022-23</w:t>
                        </w:r>
                      </w:p>
                    </w:tc>
                    <w:tc>
                      <w:tcPr>
                        <w:tcW w:w="0" w:type="pct"/>
                        <w:noWrap/>
                        <w:vAlign w:val="center"/>
                        <w:hideMark/>
                      </w:tcPr>
                      <w:p w14:paraId="105557C8" w14:textId="77777777" w:rsidR="00066FF4" w:rsidRPr="009A4448" w:rsidRDefault="00066FF4" w:rsidP="00066FF4">
                        <w:pPr>
                          <w:pStyle w:val="TableText"/>
                          <w:cnfStyle w:val="000000000000" w:firstRow="0" w:lastRow="0" w:firstColumn="0" w:lastColumn="0" w:oddVBand="0" w:evenVBand="0" w:oddHBand="0" w:evenHBand="0" w:firstRowFirstColumn="0" w:firstRowLastColumn="0" w:lastRowFirstColumn="0" w:lastRowLastColumn="0"/>
                        </w:pPr>
                        <w:r w:rsidRPr="009A4448">
                          <w:t>$2,890,671</w:t>
                        </w:r>
                      </w:p>
                    </w:tc>
                    <w:tc>
                      <w:tcPr>
                        <w:tcW w:w="0" w:type="pct"/>
                        <w:noWrap/>
                        <w:vAlign w:val="center"/>
                        <w:hideMark/>
                      </w:tcPr>
                      <w:p w14:paraId="35153E85" w14:textId="3785ED0F" w:rsidR="00066FF4" w:rsidRPr="00321BC5" w:rsidRDefault="00066FF4" w:rsidP="00066FF4">
                        <w:pPr>
                          <w:pStyle w:val="TableText"/>
                          <w:cnfStyle w:val="000000000000" w:firstRow="0" w:lastRow="0" w:firstColumn="0" w:lastColumn="0" w:oddVBand="0" w:evenVBand="0" w:oddHBand="0" w:evenHBand="0" w:firstRowFirstColumn="0" w:firstRowLastColumn="0" w:lastRowFirstColumn="0" w:lastRowLastColumn="0"/>
                        </w:pPr>
                        <w:r w:rsidRPr="00321BC5">
                          <w:rPr>
                            <w:rFonts w:ascii="Aptos Narrow" w:hAnsi="Aptos Narrow"/>
                            <w:color w:val="000000"/>
                            <w:sz w:val="22"/>
                            <w:szCs w:val="22"/>
                          </w:rPr>
                          <w:t>$4,161,309</w:t>
                        </w:r>
                      </w:p>
                    </w:tc>
                    <w:tc>
                      <w:tcPr>
                        <w:tcW w:w="0" w:type="pct"/>
                        <w:noWrap/>
                        <w:vAlign w:val="center"/>
                        <w:hideMark/>
                      </w:tcPr>
                      <w:p w14:paraId="0B0C318E" w14:textId="77777777" w:rsidR="00066FF4" w:rsidRPr="009A4448" w:rsidRDefault="00066FF4" w:rsidP="00066FF4">
                        <w:pPr>
                          <w:pStyle w:val="TableText"/>
                          <w:cnfStyle w:val="000000000000" w:firstRow="0" w:lastRow="0" w:firstColumn="0" w:lastColumn="0" w:oddVBand="0" w:evenVBand="0" w:oddHBand="0" w:evenHBand="0" w:firstRowFirstColumn="0" w:firstRowLastColumn="0" w:lastRowFirstColumn="0" w:lastRowLastColumn="0"/>
                        </w:pPr>
                        <w:r w:rsidRPr="009A4448">
                          <w:t>$4,938,285</w:t>
                        </w:r>
                      </w:p>
                    </w:tc>
                    <w:tc>
                      <w:tcPr>
                        <w:tcW w:w="0" w:type="pct"/>
                        <w:noWrap/>
                        <w:vAlign w:val="center"/>
                        <w:hideMark/>
                      </w:tcPr>
                      <w:p w14:paraId="6DD5CF8D" w14:textId="77777777" w:rsidR="00066FF4" w:rsidRPr="009A4448" w:rsidRDefault="00066FF4" w:rsidP="00066FF4">
                        <w:pPr>
                          <w:pStyle w:val="TableText"/>
                          <w:cnfStyle w:val="000000000000" w:firstRow="0" w:lastRow="0" w:firstColumn="0" w:lastColumn="0" w:oddVBand="0" w:evenVBand="0" w:oddHBand="0" w:evenHBand="0" w:firstRowFirstColumn="0" w:firstRowLastColumn="0" w:lastRowFirstColumn="0" w:lastRowLastColumn="0"/>
                        </w:pPr>
                        <w:r w:rsidRPr="009A4448">
                          <w:t>$1,036,336</w:t>
                        </w:r>
                      </w:p>
                    </w:tc>
                  </w:tr>
                  <w:tr w:rsidR="00066FF4" w:rsidRPr="009A4448" w14:paraId="3E6902BC" w14:textId="77777777" w:rsidTr="00321BC5">
                    <w:trPr>
                      <w:cnfStyle w:val="000000100000" w:firstRow="0" w:lastRow="0" w:firstColumn="0" w:lastColumn="0" w:oddVBand="0" w:evenVBand="0" w:oddHBand="1" w:evenHBand="0" w:firstRowFirstColumn="0" w:firstRowLastColumn="0" w:lastRowFirstColumn="0" w:lastRowLastColumn="0"/>
                      <w:trHeight w:val="407"/>
                    </w:trPr>
                    <w:tc>
                      <w:tcPr>
                        <w:cnfStyle w:val="001000000000" w:firstRow="0" w:lastRow="0" w:firstColumn="1" w:lastColumn="0" w:oddVBand="0" w:evenVBand="0" w:oddHBand="0" w:evenHBand="0" w:firstRowFirstColumn="0" w:firstRowLastColumn="0" w:lastRowFirstColumn="0" w:lastRowLastColumn="0"/>
                        <w:tcW w:w="0" w:type="pct"/>
                        <w:noWrap/>
                        <w:vAlign w:val="center"/>
                        <w:hideMark/>
                      </w:tcPr>
                      <w:p w14:paraId="0ED3CEA8" w14:textId="77777777" w:rsidR="00066FF4" w:rsidRPr="009A4448" w:rsidRDefault="00066FF4" w:rsidP="00066FF4">
                        <w:pPr>
                          <w:pStyle w:val="TableText"/>
                        </w:pPr>
                        <w:r w:rsidRPr="009A4448">
                          <w:t>2023-24</w:t>
                        </w:r>
                      </w:p>
                    </w:tc>
                    <w:tc>
                      <w:tcPr>
                        <w:tcW w:w="0" w:type="pct"/>
                        <w:noWrap/>
                        <w:vAlign w:val="center"/>
                        <w:hideMark/>
                      </w:tcPr>
                      <w:p w14:paraId="6EABB7EE" w14:textId="77777777" w:rsidR="00066FF4" w:rsidRPr="009A4448" w:rsidRDefault="00066FF4" w:rsidP="00066FF4">
                        <w:pPr>
                          <w:pStyle w:val="TableText"/>
                          <w:cnfStyle w:val="000000100000" w:firstRow="0" w:lastRow="0" w:firstColumn="0" w:lastColumn="0" w:oddVBand="0" w:evenVBand="0" w:oddHBand="1" w:evenHBand="0" w:firstRowFirstColumn="0" w:firstRowLastColumn="0" w:lastRowFirstColumn="0" w:lastRowLastColumn="0"/>
                        </w:pPr>
                        <w:r w:rsidRPr="009A4448">
                          <w:t>$3,479,270</w:t>
                        </w:r>
                      </w:p>
                    </w:tc>
                    <w:tc>
                      <w:tcPr>
                        <w:tcW w:w="0" w:type="pct"/>
                        <w:noWrap/>
                        <w:vAlign w:val="center"/>
                        <w:hideMark/>
                      </w:tcPr>
                      <w:p w14:paraId="4CBC0871" w14:textId="27E430CB" w:rsidR="00066FF4" w:rsidRPr="00321BC5" w:rsidRDefault="00066FF4" w:rsidP="00066FF4">
                        <w:pPr>
                          <w:pStyle w:val="TableText"/>
                          <w:cnfStyle w:val="000000100000" w:firstRow="0" w:lastRow="0" w:firstColumn="0" w:lastColumn="0" w:oddVBand="0" w:evenVBand="0" w:oddHBand="1" w:evenHBand="0" w:firstRowFirstColumn="0" w:firstRowLastColumn="0" w:lastRowFirstColumn="0" w:lastRowLastColumn="0"/>
                        </w:pPr>
                        <w:r w:rsidRPr="00321BC5">
                          <w:rPr>
                            <w:rFonts w:ascii="Aptos Narrow" w:hAnsi="Aptos Narrow"/>
                            <w:color w:val="000000"/>
                            <w:sz w:val="22"/>
                            <w:szCs w:val="22"/>
                          </w:rPr>
                          <w:t>$4,951,622</w:t>
                        </w:r>
                      </w:p>
                    </w:tc>
                    <w:tc>
                      <w:tcPr>
                        <w:tcW w:w="0" w:type="pct"/>
                        <w:noWrap/>
                        <w:vAlign w:val="center"/>
                        <w:hideMark/>
                      </w:tcPr>
                      <w:p w14:paraId="649CAEF1" w14:textId="77777777" w:rsidR="00066FF4" w:rsidRPr="009A4448" w:rsidRDefault="00066FF4" w:rsidP="00066FF4">
                        <w:pPr>
                          <w:pStyle w:val="TableText"/>
                          <w:cnfStyle w:val="000000100000" w:firstRow="0" w:lastRow="0" w:firstColumn="0" w:lastColumn="0" w:oddVBand="0" w:evenVBand="0" w:oddHBand="1" w:evenHBand="0" w:firstRowFirstColumn="0" w:firstRowLastColumn="0" w:lastRowFirstColumn="0" w:lastRowLastColumn="0"/>
                        </w:pPr>
                        <w:r w:rsidRPr="009A4448">
                          <w:t>$4,872,510</w:t>
                        </w:r>
                      </w:p>
                    </w:tc>
                    <w:tc>
                      <w:tcPr>
                        <w:tcW w:w="0" w:type="pct"/>
                        <w:noWrap/>
                        <w:vAlign w:val="center"/>
                        <w:hideMark/>
                      </w:tcPr>
                      <w:p w14:paraId="69F02FDC" w14:textId="77777777" w:rsidR="00066FF4" w:rsidRPr="009A4448" w:rsidRDefault="00066FF4" w:rsidP="00066FF4">
                        <w:pPr>
                          <w:pStyle w:val="TableText"/>
                          <w:cnfStyle w:val="000000100000" w:firstRow="0" w:lastRow="0" w:firstColumn="0" w:lastColumn="0" w:oddVBand="0" w:evenVBand="0" w:oddHBand="1" w:evenHBand="0" w:firstRowFirstColumn="0" w:firstRowLastColumn="0" w:lastRowFirstColumn="0" w:lastRowLastColumn="0"/>
                        </w:pPr>
                        <w:r w:rsidRPr="009A4448">
                          <w:t>$1,060,414</w:t>
                        </w:r>
                      </w:p>
                    </w:tc>
                  </w:tr>
                  <w:tr w:rsidR="00680B14" w:rsidRPr="009A4448" w14:paraId="0BAB0D13" w14:textId="77777777" w:rsidTr="00094E78">
                    <w:trPr>
                      <w:trHeight w:val="167"/>
                    </w:trPr>
                    <w:tc>
                      <w:tcPr>
                        <w:cnfStyle w:val="001000000000" w:firstRow="0" w:lastRow="0" w:firstColumn="1" w:lastColumn="0" w:oddVBand="0" w:evenVBand="0" w:oddHBand="0" w:evenHBand="0" w:firstRowFirstColumn="0" w:firstRowLastColumn="0" w:lastRowFirstColumn="0" w:lastRowLastColumn="0"/>
                        <w:tcW w:w="0" w:type="pct"/>
                        <w:noWrap/>
                        <w:vAlign w:val="center"/>
                        <w:hideMark/>
                      </w:tcPr>
                      <w:p w14:paraId="5D9AAAC8" w14:textId="77777777" w:rsidR="00066FF4" w:rsidRPr="00270C50" w:rsidRDefault="00066FF4" w:rsidP="00066FF4">
                        <w:pPr>
                          <w:pStyle w:val="TableText"/>
                        </w:pPr>
                        <w:r w:rsidRPr="00270C50">
                          <w:t>Total</w:t>
                        </w:r>
                      </w:p>
                    </w:tc>
                    <w:tc>
                      <w:tcPr>
                        <w:tcW w:w="0" w:type="pct"/>
                        <w:noWrap/>
                        <w:vAlign w:val="center"/>
                        <w:hideMark/>
                      </w:tcPr>
                      <w:p w14:paraId="1196953F" w14:textId="77777777" w:rsidR="00066FF4" w:rsidRPr="0078378F" w:rsidRDefault="00066FF4" w:rsidP="00066FF4">
                        <w:pPr>
                          <w:pStyle w:val="TableText"/>
                          <w:cnfStyle w:val="000000000000" w:firstRow="0" w:lastRow="0" w:firstColumn="0" w:lastColumn="0" w:oddVBand="0" w:evenVBand="0" w:oddHBand="0" w:evenHBand="0" w:firstRowFirstColumn="0" w:firstRowLastColumn="0" w:lastRowFirstColumn="0" w:lastRowLastColumn="0"/>
                          <w:rPr>
                            <w:b/>
                            <w:bCs/>
                          </w:rPr>
                        </w:pPr>
                        <w:r w:rsidRPr="0078378F">
                          <w:rPr>
                            <w:b/>
                            <w:bCs/>
                          </w:rPr>
                          <w:t>$7,311,488</w:t>
                        </w:r>
                      </w:p>
                    </w:tc>
                    <w:tc>
                      <w:tcPr>
                        <w:tcW w:w="0" w:type="pct"/>
                        <w:noWrap/>
                        <w:vAlign w:val="center"/>
                        <w:hideMark/>
                      </w:tcPr>
                      <w:p w14:paraId="58E85C84" w14:textId="78309523" w:rsidR="00066FF4" w:rsidRPr="0078378F" w:rsidRDefault="00066FF4" w:rsidP="00066FF4">
                        <w:pPr>
                          <w:pStyle w:val="TableText"/>
                          <w:cnfStyle w:val="000000000000" w:firstRow="0" w:lastRow="0" w:firstColumn="0" w:lastColumn="0" w:oddVBand="0" w:evenVBand="0" w:oddHBand="0" w:evenHBand="0" w:firstRowFirstColumn="0" w:firstRowLastColumn="0" w:lastRowFirstColumn="0" w:lastRowLastColumn="0"/>
                          <w:rPr>
                            <w:b/>
                            <w:bCs/>
                          </w:rPr>
                        </w:pPr>
                        <w:r w:rsidRPr="0078378F">
                          <w:rPr>
                            <w:rFonts w:ascii="Aptos Narrow" w:hAnsi="Aptos Narrow"/>
                            <w:b/>
                            <w:bCs/>
                            <w:color w:val="000000"/>
                            <w:sz w:val="22"/>
                            <w:szCs w:val="22"/>
                          </w:rPr>
                          <w:t>$10,887,698</w:t>
                        </w:r>
                      </w:p>
                    </w:tc>
                    <w:tc>
                      <w:tcPr>
                        <w:tcW w:w="0" w:type="pct"/>
                        <w:noWrap/>
                        <w:vAlign w:val="center"/>
                        <w:hideMark/>
                      </w:tcPr>
                      <w:p w14:paraId="65320A7E" w14:textId="77777777" w:rsidR="00066FF4" w:rsidRPr="0078378F" w:rsidRDefault="00066FF4" w:rsidP="00066FF4">
                        <w:pPr>
                          <w:pStyle w:val="TableText"/>
                          <w:cnfStyle w:val="000000000000" w:firstRow="0" w:lastRow="0" w:firstColumn="0" w:lastColumn="0" w:oddVBand="0" w:evenVBand="0" w:oddHBand="0" w:evenHBand="0" w:firstRowFirstColumn="0" w:firstRowLastColumn="0" w:lastRowFirstColumn="0" w:lastRowLastColumn="0"/>
                          <w:rPr>
                            <w:b/>
                            <w:bCs/>
                          </w:rPr>
                        </w:pPr>
                        <w:r w:rsidRPr="0078378F">
                          <w:rPr>
                            <w:b/>
                            <w:bCs/>
                          </w:rPr>
                          <w:t>$14,322,974</w:t>
                        </w:r>
                      </w:p>
                    </w:tc>
                    <w:tc>
                      <w:tcPr>
                        <w:tcW w:w="0" w:type="pct"/>
                        <w:noWrap/>
                        <w:vAlign w:val="center"/>
                        <w:hideMark/>
                      </w:tcPr>
                      <w:p w14:paraId="4BC97C1C" w14:textId="77777777" w:rsidR="00066FF4" w:rsidRPr="0078378F" w:rsidRDefault="00066FF4" w:rsidP="00066FF4">
                        <w:pPr>
                          <w:pStyle w:val="TableText"/>
                          <w:cnfStyle w:val="000000000000" w:firstRow="0" w:lastRow="0" w:firstColumn="0" w:lastColumn="0" w:oddVBand="0" w:evenVBand="0" w:oddHBand="0" w:evenHBand="0" w:firstRowFirstColumn="0" w:firstRowLastColumn="0" w:lastRowFirstColumn="0" w:lastRowLastColumn="0"/>
                          <w:rPr>
                            <w:b/>
                            <w:bCs/>
                          </w:rPr>
                        </w:pPr>
                        <w:r w:rsidRPr="0078378F">
                          <w:rPr>
                            <w:b/>
                            <w:bCs/>
                          </w:rPr>
                          <w:t>$2,890,681</w:t>
                        </w:r>
                      </w:p>
                    </w:tc>
                  </w:tr>
                </w:tbl>
                <w:p w14:paraId="3C214FA5" w14:textId="77777777" w:rsidR="00967ECF" w:rsidRPr="00883627" w:rsidRDefault="00967ECF" w:rsidP="00967ECF">
                  <w:pPr>
                    <w:pStyle w:val="Text"/>
                    <w:rPr>
                      <w:i/>
                      <w:iCs/>
                      <w:sz w:val="20"/>
                      <w:szCs w:val="18"/>
                    </w:rPr>
                  </w:pPr>
                  <w:r w:rsidRPr="00883627">
                    <w:rPr>
                      <w:i/>
                      <w:iCs/>
                      <w:sz w:val="20"/>
                      <w:szCs w:val="18"/>
                    </w:rPr>
                    <w:t xml:space="preserve">Source: SFVS Program Dashboard supplied by the Department </w:t>
                  </w:r>
                </w:p>
                <w:p w14:paraId="7FD14A45" w14:textId="581808AC" w:rsidR="00967ECF" w:rsidRDefault="008D3415" w:rsidP="00967ECF">
                  <w:pPr>
                    <w:pStyle w:val="Text"/>
                    <w:rPr>
                      <w:lang w:val="en-US"/>
                    </w:rPr>
                  </w:pPr>
                  <w:r>
                    <w:rPr>
                      <w:lang w:val="en-US"/>
                    </w:rPr>
                    <w:t>While t</w:t>
                  </w:r>
                  <w:r w:rsidR="00967ECF" w:rsidRPr="009D6737">
                    <w:rPr>
                      <w:lang w:val="en-US"/>
                    </w:rPr>
                    <w:t xml:space="preserve">he majority of FaRS funding is sourced from </w:t>
                  </w:r>
                  <w:r w:rsidR="002D3E0B">
                    <w:rPr>
                      <w:lang w:val="en-US"/>
                    </w:rPr>
                    <w:t xml:space="preserve">Australian Government </w:t>
                  </w:r>
                  <w:r w:rsidR="00967ECF" w:rsidRPr="009D6737">
                    <w:rPr>
                      <w:lang w:val="en-US"/>
                    </w:rPr>
                    <w:t>grants</w:t>
                  </w:r>
                  <w:r>
                    <w:rPr>
                      <w:lang w:val="en-US"/>
                    </w:rPr>
                    <w:t>,</w:t>
                  </w:r>
                  <w:r w:rsidR="00967ECF" w:rsidRPr="009D6737">
                    <w:rPr>
                      <w:lang w:val="en-US"/>
                    </w:rPr>
                    <w:t xml:space="preserve"> </w:t>
                  </w:r>
                  <w:r w:rsidR="00967ECF" w:rsidRPr="005A1F31">
                    <w:rPr>
                      <w:lang w:val="en-US"/>
                    </w:rPr>
                    <w:t>FaRS providers</w:t>
                  </w:r>
                  <w:r w:rsidR="00967ECF">
                    <w:rPr>
                      <w:lang w:val="en-US"/>
                    </w:rPr>
                    <w:t xml:space="preserve"> </w:t>
                  </w:r>
                  <w:r w:rsidR="00967ECF" w:rsidRPr="005A1F31">
                    <w:rPr>
                      <w:lang w:val="en-US"/>
                    </w:rPr>
                    <w:t xml:space="preserve">are permitted to charge </w:t>
                  </w:r>
                  <w:r w:rsidR="00803375">
                    <w:rPr>
                      <w:lang w:val="en-US"/>
                    </w:rPr>
                    <w:t xml:space="preserve">fees to </w:t>
                  </w:r>
                  <w:r w:rsidR="00967ECF">
                    <w:rPr>
                      <w:lang w:val="en-US"/>
                    </w:rPr>
                    <w:t>service use</w:t>
                  </w:r>
                  <w:r w:rsidR="00803375">
                    <w:rPr>
                      <w:lang w:val="en-US"/>
                    </w:rPr>
                    <w:t>rs</w:t>
                  </w:r>
                  <w:r w:rsidR="00967ECF" w:rsidRPr="005A1F31">
                    <w:rPr>
                      <w:lang w:val="en-US"/>
                    </w:rPr>
                    <w:t xml:space="preserve">, typically on a sliding scale based on household income. However, </w:t>
                  </w:r>
                  <w:r w:rsidR="00967ECF">
                    <w:rPr>
                      <w:lang w:val="en-US"/>
                    </w:rPr>
                    <w:t xml:space="preserve">service users </w:t>
                  </w:r>
                  <w:r w:rsidR="00967ECF" w:rsidRPr="005A1F31">
                    <w:rPr>
                      <w:lang w:val="en-US"/>
                    </w:rPr>
                    <w:t>cannot be denied services due to an inability to pay.</w:t>
                  </w:r>
                  <w:r w:rsidR="00967ECF">
                    <w:rPr>
                      <w:lang w:val="en-US"/>
                    </w:rPr>
                    <w:t xml:space="preserve"> </w:t>
                  </w:r>
                  <w:r w:rsidR="00967ECF" w:rsidRPr="005A1F31">
                    <w:rPr>
                      <w:lang w:val="en-US"/>
                    </w:rPr>
                    <w:t>SFVS services must be offered free of charge to participants</w:t>
                  </w:r>
                  <w:r w:rsidR="00967ECF">
                    <w:rPr>
                      <w:lang w:val="en-US"/>
                    </w:rPr>
                    <w:t xml:space="preserve"> by service providers who receive funding under 4AP2</w:t>
                  </w:r>
                  <w:r w:rsidR="00967ECF">
                    <w:t>.</w:t>
                  </w:r>
                  <w:r w:rsidR="00967ECF">
                    <w:rPr>
                      <w:lang w:val="en-US"/>
                    </w:rPr>
                    <w:t xml:space="preserve"> By way of example, one provider</w:t>
                  </w:r>
                  <w:r w:rsidR="00967ECF" w:rsidRPr="005A1F31">
                    <w:rPr>
                      <w:lang w:val="en-US"/>
                    </w:rPr>
                    <w:t>'s fee schedule indicates</w:t>
                  </w:r>
                  <w:r w:rsidR="00967ECF">
                    <w:rPr>
                      <w:lang w:val="en-US"/>
                    </w:rPr>
                    <w:t xml:space="preserve"> that for counselling services, fees are calculated at $1 per $1,000 of household income, capped at $110 per session. For concession card holders, a flat fee of $30 per session applies</w:t>
                  </w:r>
                  <w:r w:rsidR="00F40FE0">
                    <w:rPr>
                      <w:lang w:val="en-US"/>
                    </w:rPr>
                    <w:t xml:space="preserve">. </w:t>
                  </w:r>
                  <w:r w:rsidR="00967ECF">
                    <w:rPr>
                      <w:lang w:val="en-US"/>
                    </w:rPr>
                    <w:t xml:space="preserve">These fees have been designed to contribute to service costs while ensuring accessibility for all service users. </w:t>
                  </w:r>
                  <w:r w:rsidR="00967ECF" w:rsidRPr="009D6737">
                    <w:rPr>
                      <w:lang w:val="en-US"/>
                    </w:rPr>
                    <w:t>They are supplementary and aim to enhance service sustainability without compromising access.</w:t>
                  </w:r>
                </w:p>
                <w:p w14:paraId="74642F09" w14:textId="4546ABC0" w:rsidR="00BE4FAD" w:rsidRDefault="00967ECF" w:rsidP="00271FAC">
                  <w:pPr>
                    <w:pStyle w:val="Text"/>
                    <w:rPr>
                      <w:lang w:val="en-US"/>
                    </w:rPr>
                  </w:pPr>
                  <w:r w:rsidRPr="00384D38">
                    <w:rPr>
                      <w:lang w:val="en-US"/>
                    </w:rPr>
                    <w:t xml:space="preserve">While specific national revenue figures from </w:t>
                  </w:r>
                  <w:r>
                    <w:rPr>
                      <w:lang w:val="en-US"/>
                    </w:rPr>
                    <w:t>service user</w:t>
                  </w:r>
                  <w:r w:rsidRPr="00384D38">
                    <w:rPr>
                      <w:lang w:val="en-US"/>
                    </w:rPr>
                    <w:t xml:space="preserve"> fees are not available, such fees would constitute a minor portion of overall funding (estimates suggest less than 3% of program funding). </w:t>
                  </w:r>
                  <w:r w:rsidRPr="000100D1">
                    <w:rPr>
                      <w:lang w:val="en-US"/>
                    </w:rPr>
                    <w:t>Qualitative data provides further detail</w:t>
                  </w:r>
                  <w:r w:rsidR="001B1D50">
                    <w:rPr>
                      <w:lang w:val="en-US"/>
                    </w:rPr>
                    <w:t xml:space="preserve">. </w:t>
                  </w:r>
                  <w:r w:rsidRPr="000100D1">
                    <w:rPr>
                      <w:lang w:val="en-US"/>
                    </w:rPr>
                    <w:t xml:space="preserve">74% </w:t>
                  </w:r>
                  <w:r>
                    <w:rPr>
                      <w:lang w:val="en-US"/>
                    </w:rPr>
                    <w:t xml:space="preserve">of </w:t>
                  </w:r>
                  <w:r w:rsidR="001B1D50">
                    <w:rPr>
                      <w:lang w:val="en-US"/>
                    </w:rPr>
                    <w:t>survey respondents</w:t>
                  </w:r>
                  <w:r>
                    <w:rPr>
                      <w:lang w:val="en-US"/>
                    </w:rPr>
                    <w:t xml:space="preserve"> </w:t>
                  </w:r>
                  <w:r w:rsidRPr="000100D1">
                    <w:rPr>
                      <w:lang w:val="en-US"/>
                    </w:rPr>
                    <w:t xml:space="preserve">indicated </w:t>
                  </w:r>
                  <w:r>
                    <w:rPr>
                      <w:lang w:val="en-US"/>
                    </w:rPr>
                    <w:t xml:space="preserve">that </w:t>
                  </w:r>
                  <w:r w:rsidRPr="000100D1">
                    <w:rPr>
                      <w:lang w:val="en-US"/>
                    </w:rPr>
                    <w:t xml:space="preserve">they </w:t>
                  </w:r>
                  <w:r w:rsidRPr="00121F66">
                    <w:rPr>
                      <w:lang w:val="en-US"/>
                    </w:rPr>
                    <w:t>had to pay a fee</w:t>
                  </w:r>
                  <w:r w:rsidR="00B527E8" w:rsidRPr="00121F66">
                    <w:rPr>
                      <w:lang w:val="en-US"/>
                    </w:rPr>
                    <w:t xml:space="preserve"> to access a FaRS or SFVS service</w:t>
                  </w:r>
                  <w:r w:rsidRPr="00121F66">
                    <w:rPr>
                      <w:lang w:val="en-US"/>
                    </w:rPr>
                    <w:t xml:space="preserve">, with 24%, 36% and 35% </w:t>
                  </w:r>
                  <w:r w:rsidR="009F55BC" w:rsidRPr="00121F66">
                    <w:rPr>
                      <w:lang w:val="en-US"/>
                    </w:rPr>
                    <w:t xml:space="preserve">of </w:t>
                  </w:r>
                  <w:r w:rsidRPr="00121F66">
                    <w:rPr>
                      <w:lang w:val="en-US"/>
                    </w:rPr>
                    <w:t>service users indicating that they had to pay between $1-$30, $31-$60, $61-$90, respectively</w:t>
                  </w:r>
                  <w:r w:rsidR="00121F66" w:rsidRPr="00121F66">
                    <w:rPr>
                      <w:lang w:val="en-US"/>
                    </w:rPr>
                    <w:t xml:space="preserve"> (</w:t>
                  </w:r>
                  <w:r w:rsidR="00121F66" w:rsidRPr="00121F66">
                    <w:rPr>
                      <w:b/>
                      <w:bCs/>
                      <w:lang w:val="en-US"/>
                    </w:rPr>
                    <w:fldChar w:fldCharType="begin" w:fldLock="1"/>
                  </w:r>
                  <w:r w:rsidR="00121F66" w:rsidRPr="00121F66">
                    <w:rPr>
                      <w:b/>
                      <w:bCs/>
                      <w:lang w:val="en-US"/>
                    </w:rPr>
                    <w:instrText xml:space="preserve"> REF _Ref204711520 \h  \* MERGEFORMAT </w:instrText>
                  </w:r>
                  <w:r w:rsidR="00121F66" w:rsidRPr="00121F66">
                    <w:rPr>
                      <w:b/>
                      <w:bCs/>
                      <w:lang w:val="en-US"/>
                    </w:rPr>
                  </w:r>
                  <w:r w:rsidR="00121F66" w:rsidRPr="00121F66">
                    <w:rPr>
                      <w:b/>
                      <w:bCs/>
                      <w:lang w:val="en-US"/>
                    </w:rPr>
                    <w:fldChar w:fldCharType="separate"/>
                  </w:r>
                  <w:r w:rsidR="008F22E5" w:rsidRPr="008F22E5">
                    <w:rPr>
                      <w:b/>
                      <w:bCs/>
                    </w:rPr>
                    <w:t xml:space="preserve">Figure </w:t>
                  </w:r>
                  <w:r w:rsidR="008F22E5" w:rsidRPr="008F22E5">
                    <w:rPr>
                      <w:b/>
                      <w:bCs/>
                      <w:noProof/>
                    </w:rPr>
                    <w:t>48</w:t>
                  </w:r>
                  <w:r w:rsidR="00121F66" w:rsidRPr="00121F66">
                    <w:rPr>
                      <w:b/>
                      <w:bCs/>
                      <w:lang w:val="en-US"/>
                    </w:rPr>
                    <w:fldChar w:fldCharType="end"/>
                  </w:r>
                  <w:r w:rsidR="00121F66" w:rsidRPr="00121F66">
                    <w:rPr>
                      <w:lang w:val="en-US"/>
                    </w:rPr>
                    <w:t>)</w:t>
                  </w:r>
                  <w:r w:rsidR="00EF00A2">
                    <w:rPr>
                      <w:lang w:val="en-US"/>
                    </w:rPr>
                    <w:t>.</w:t>
                  </w:r>
                  <w:r w:rsidRPr="00121F66">
                    <w:rPr>
                      <w:lang w:val="en-US"/>
                    </w:rPr>
                    <w:t xml:space="preserve"> 83% agreed or strongly agreed that the fee to access the service was reasonable (see</w:t>
                  </w:r>
                  <w:r w:rsidRPr="00121F66">
                    <w:rPr>
                      <w:b/>
                      <w:bCs/>
                      <w:lang w:val="en-US"/>
                    </w:rPr>
                    <w:t xml:space="preserve"> </w:t>
                  </w:r>
                  <w:r w:rsidR="00121F66" w:rsidRPr="00121F66">
                    <w:rPr>
                      <w:b/>
                      <w:bCs/>
                      <w:lang w:val="en-US"/>
                    </w:rPr>
                    <w:fldChar w:fldCharType="begin" w:fldLock="1"/>
                  </w:r>
                  <w:r w:rsidR="00121F66" w:rsidRPr="00121F66">
                    <w:rPr>
                      <w:b/>
                      <w:bCs/>
                      <w:lang w:val="en-US"/>
                    </w:rPr>
                    <w:instrText xml:space="preserve"> REF _Ref204711485 \h  \* MERGEFORMAT </w:instrText>
                  </w:r>
                  <w:r w:rsidR="00121F66" w:rsidRPr="00121F66">
                    <w:rPr>
                      <w:b/>
                      <w:bCs/>
                      <w:lang w:val="en-US"/>
                    </w:rPr>
                  </w:r>
                  <w:r w:rsidR="00121F66" w:rsidRPr="00121F66">
                    <w:rPr>
                      <w:b/>
                      <w:bCs/>
                      <w:lang w:val="en-US"/>
                    </w:rPr>
                    <w:fldChar w:fldCharType="separate"/>
                  </w:r>
                  <w:r w:rsidR="008F22E5" w:rsidRPr="008F22E5">
                    <w:rPr>
                      <w:b/>
                      <w:bCs/>
                    </w:rPr>
                    <w:t xml:space="preserve">Figure </w:t>
                  </w:r>
                  <w:r w:rsidR="008F22E5" w:rsidRPr="008F22E5">
                    <w:rPr>
                      <w:b/>
                      <w:bCs/>
                      <w:noProof/>
                    </w:rPr>
                    <w:t>47</w:t>
                  </w:r>
                  <w:r w:rsidR="00121F66" w:rsidRPr="00121F66">
                    <w:rPr>
                      <w:b/>
                      <w:bCs/>
                      <w:lang w:val="en-US"/>
                    </w:rPr>
                    <w:fldChar w:fldCharType="end"/>
                  </w:r>
                  <w:r w:rsidRPr="00121F66">
                    <w:rPr>
                      <w:lang w:val="en-US"/>
                    </w:rPr>
                    <w:t>).</w:t>
                  </w:r>
                  <w:r w:rsidR="0077238A">
                    <w:rPr>
                      <w:lang w:val="en-US"/>
                    </w:rPr>
                    <w:t xml:space="preserve"> </w:t>
                  </w:r>
                </w:p>
                <w:p w14:paraId="7706369B" w14:textId="2650C2A0" w:rsidR="00B527E8" w:rsidRDefault="00B527E8" w:rsidP="00B527E8">
                  <w:pPr>
                    <w:pStyle w:val="Bullet1"/>
                    <w:numPr>
                      <w:ilvl w:val="0"/>
                      <w:numId w:val="0"/>
                    </w:numPr>
                    <w:rPr>
                      <w:lang w:val="en-US"/>
                    </w:rPr>
                  </w:pPr>
                  <w:r>
                    <w:rPr>
                      <w:lang w:val="en-US"/>
                    </w:rPr>
                    <w:t>Whilst funding</w:t>
                  </w:r>
                  <w:r w:rsidRPr="00384D38">
                    <w:rPr>
                      <w:lang w:val="en-US"/>
                    </w:rPr>
                    <w:t xml:space="preserve"> levels </w:t>
                  </w:r>
                  <w:r w:rsidR="008D3415">
                    <w:rPr>
                      <w:lang w:val="en-US"/>
                    </w:rPr>
                    <w:t xml:space="preserve">for FaRS and SFVS </w:t>
                  </w:r>
                  <w:r w:rsidRPr="00384D38">
                    <w:rPr>
                      <w:lang w:val="en-US"/>
                    </w:rPr>
                    <w:t>have increased</w:t>
                  </w:r>
                  <w:r>
                    <w:rPr>
                      <w:lang w:val="en-US"/>
                    </w:rPr>
                    <w:t>,</w:t>
                  </w:r>
                  <w:r w:rsidRPr="00384D38">
                    <w:rPr>
                      <w:lang w:val="en-US"/>
                    </w:rPr>
                    <w:t xml:space="preserve"> </w:t>
                  </w:r>
                  <w:r>
                    <w:rPr>
                      <w:lang w:val="en-US"/>
                    </w:rPr>
                    <w:t>there are</w:t>
                  </w:r>
                  <w:r w:rsidRPr="00384D38">
                    <w:rPr>
                      <w:lang w:val="en-US"/>
                    </w:rPr>
                    <w:t xml:space="preserve"> indications </w:t>
                  </w:r>
                  <w:r>
                    <w:rPr>
                      <w:lang w:val="en-US"/>
                    </w:rPr>
                    <w:t>that</w:t>
                  </w:r>
                  <w:r w:rsidRPr="00384D38">
                    <w:rPr>
                      <w:lang w:val="en-US"/>
                    </w:rPr>
                    <w:t xml:space="preserve"> funding has not kept pace with demand or the increasing complexity of </w:t>
                  </w:r>
                  <w:r>
                    <w:rPr>
                      <w:lang w:val="en-US"/>
                    </w:rPr>
                    <w:t>service user</w:t>
                  </w:r>
                  <w:r w:rsidRPr="00384D38">
                    <w:rPr>
                      <w:lang w:val="en-US"/>
                    </w:rPr>
                    <w:t xml:space="preserve"> needs.</w:t>
                  </w:r>
                  <w:r>
                    <w:rPr>
                      <w:lang w:val="en-US"/>
                    </w:rPr>
                    <w:t xml:space="preserve"> </w:t>
                  </w:r>
                  <w:r w:rsidRPr="00384D38">
                    <w:rPr>
                      <w:lang w:val="en-US"/>
                    </w:rPr>
                    <w:t xml:space="preserve">The high societal costs of family breakdown and violence (manifested through burden of disease estimates) serve as a counterfactual. As noted in the ROI analysis, even capturing a small fraction of those avoided costs can justify program expenditures. The CIE study showed that </w:t>
                  </w:r>
                  <w:r w:rsidRPr="00384D38">
                    <w:rPr>
                      <w:lang w:val="en-US"/>
                    </w:rPr>
                    <w:lastRenderedPageBreak/>
                    <w:t>most beneﬁts came from improved wellbeing rather than direct cost savings, yet even the direct savings (like court and health costs avoided) were large relative to program cost. Few other social programs have such a mix of substantial non-monetary beneﬁts plus signiﬁcant monetary savings. For instance, employment services might save government welfare payments, but they do</w:t>
                  </w:r>
                  <w:r w:rsidR="00E8009D">
                    <w:rPr>
                      <w:lang w:val="en-US"/>
                    </w:rPr>
                    <w:t xml:space="preserve"> not</w:t>
                  </w:r>
                  <w:r w:rsidRPr="00384D38">
                    <w:rPr>
                      <w:lang w:val="en-US"/>
                    </w:rPr>
                    <w:t xml:space="preserve"> necessarily create large wellbeing improvements</w:t>
                  </w:r>
                  <w:r>
                    <w:rPr>
                      <w:lang w:val="en-US"/>
                    </w:rPr>
                    <w:t>.</w:t>
                  </w:r>
                  <w:r w:rsidRPr="00384D38">
                    <w:rPr>
                      <w:lang w:val="en-US"/>
                    </w:rPr>
                    <w:t xml:space="preserve"> </w:t>
                  </w:r>
                  <w:r>
                    <w:rPr>
                      <w:lang w:val="en-US"/>
                    </w:rPr>
                    <w:t>M</w:t>
                  </w:r>
                  <w:r w:rsidRPr="00384D38">
                    <w:rPr>
                      <w:lang w:val="en-US"/>
                    </w:rPr>
                    <w:t xml:space="preserve">ental health programs improve wellbeing but may not save money immediately. </w:t>
                  </w:r>
                  <w:r w:rsidR="00E8009D">
                    <w:rPr>
                      <w:lang w:val="en-US"/>
                    </w:rPr>
                    <w:t xml:space="preserve">However, </w:t>
                  </w:r>
                  <w:r w:rsidRPr="00384D38">
                    <w:rPr>
                      <w:lang w:val="en-US"/>
                    </w:rPr>
                    <w:t>FaRS</w:t>
                  </w:r>
                  <w:r>
                    <w:rPr>
                      <w:lang w:val="en-US"/>
                    </w:rPr>
                    <w:t xml:space="preserve"> and </w:t>
                  </w:r>
                  <w:r w:rsidRPr="00384D38">
                    <w:rPr>
                      <w:lang w:val="en-US"/>
                    </w:rPr>
                    <w:t xml:space="preserve">SFVS </w:t>
                  </w:r>
                  <w:r w:rsidR="00E8009D">
                    <w:rPr>
                      <w:lang w:val="en-US"/>
                    </w:rPr>
                    <w:t>are impressive in their improvement of</w:t>
                  </w:r>
                  <w:r w:rsidRPr="00384D38">
                    <w:rPr>
                      <w:lang w:val="en-US"/>
                    </w:rPr>
                    <w:t xml:space="preserve"> </w:t>
                  </w:r>
                  <w:r w:rsidR="00E8009D">
                    <w:rPr>
                      <w:lang w:val="en-US"/>
                    </w:rPr>
                    <w:t>lives and reduction of future expenses</w:t>
                  </w:r>
                  <w:r w:rsidRPr="00384D38">
                    <w:rPr>
                      <w:lang w:val="en-US"/>
                    </w:rPr>
                    <w:t>.</w:t>
                  </w:r>
                </w:p>
                <w:p w14:paraId="7926C3E0" w14:textId="20B4DC19" w:rsidR="00BE4FAD" w:rsidRDefault="00E8009D" w:rsidP="001D7C32">
                  <w:pPr>
                    <w:rPr>
                      <w:lang w:val="en-US"/>
                    </w:rPr>
                  </w:pPr>
                  <w:r>
                    <w:rPr>
                      <w:lang w:val="en-US"/>
                    </w:rPr>
                    <w:t>Despite this</w:t>
                  </w:r>
                  <w:r w:rsidR="00B527E8">
                    <w:rPr>
                      <w:lang w:val="en-US"/>
                    </w:rPr>
                    <w:t xml:space="preserve">, both FaRS and </w:t>
                  </w:r>
                  <w:r w:rsidR="00B527E8" w:rsidRPr="00384D38">
                    <w:rPr>
                      <w:lang w:val="en-US"/>
                    </w:rPr>
                    <w:t xml:space="preserve">SFVS are experiencing significant funding shortfalls that hinder their ability to meet increasing demand and service complexity. </w:t>
                  </w:r>
                  <w:r w:rsidR="00B527E8">
                    <w:rPr>
                      <w:lang w:val="en-US"/>
                    </w:rPr>
                    <w:t>These shortfalls manifest</w:t>
                  </w:r>
                  <w:r w:rsidR="00B527E8" w:rsidRPr="00384D38">
                    <w:rPr>
                      <w:lang w:val="en-US"/>
                    </w:rPr>
                    <w:t xml:space="preserve"> as waitlists, staff turnover, and </w:t>
                  </w:r>
                  <w:r w:rsidR="00B527E8">
                    <w:rPr>
                      <w:lang w:val="en-US"/>
                    </w:rPr>
                    <w:t>limits to sessions per service user</w:t>
                  </w:r>
                  <w:r w:rsidR="00B527E8" w:rsidRPr="00384D38">
                    <w:rPr>
                      <w:lang w:val="en-US"/>
                    </w:rPr>
                    <w:t>. While recent funding initiatives have provided some relief, they have not fully addressed the systemic underfunding issues. Sustainable, long-term investment is necessary to ensure these essential services can effectively support families and individuals in need.</w:t>
                  </w:r>
                  <w:r w:rsidR="00B527E8">
                    <w:rPr>
                      <w:lang w:val="en-US"/>
                    </w:rPr>
                    <w:t xml:space="preserve"> </w:t>
                  </w:r>
                  <w:r w:rsidR="00B527E8" w:rsidRPr="00384D38">
                    <w:rPr>
                      <w:lang w:val="en-US"/>
                    </w:rPr>
                    <w:t xml:space="preserve">Modelling will provide further context to unmet need. </w:t>
                  </w:r>
                  <w:r w:rsidR="00BE4FAD">
                    <w:rPr>
                      <w:lang w:val="en-US"/>
                    </w:rPr>
                    <w:br w:type="page"/>
                  </w:r>
                </w:p>
                <w:p w14:paraId="1C0C0EF5" w14:textId="77777777" w:rsidR="00967ECF" w:rsidRPr="00BE4FAD" w:rsidRDefault="00967ECF" w:rsidP="00BE4FAD">
                  <w:pPr>
                    <w:pStyle w:val="Text"/>
                    <w:spacing w:before="12600"/>
                    <w:rPr>
                      <w:b/>
                      <w:color w:val="FFFFFF" w:themeColor="background1"/>
                      <w:sz w:val="24"/>
                      <w:szCs w:val="24"/>
                      <w:lang w:val="en-US"/>
                    </w:rPr>
                  </w:pPr>
                </w:p>
                <w:p w14:paraId="12C18A52" w14:textId="1C7A5498" w:rsidR="00967ECF" w:rsidRPr="00BE4FAD" w:rsidRDefault="00BE4FAD" w:rsidP="00BE4FAD">
                  <w:pPr>
                    <w:pStyle w:val="Text"/>
                    <w:spacing w:before="12600"/>
                    <w:rPr>
                      <w:b/>
                      <w:sz w:val="72"/>
                      <w:szCs w:val="72"/>
                      <w:lang w:val="en-US"/>
                    </w:rPr>
                  </w:pPr>
                  <w:r w:rsidRPr="00BE4FAD">
                    <w:rPr>
                      <w:b/>
                      <w:bCs/>
                      <w:noProof/>
                      <w:color w:val="FFFFFF" w:themeColor="background1"/>
                      <w:sz w:val="72"/>
                      <w:szCs w:val="72"/>
                    </w:rPr>
                    <w:drawing>
                      <wp:anchor distT="0" distB="0" distL="114300" distR="114300" simplePos="0" relativeHeight="251658245" behindDoc="1" locked="0" layoutInCell="1" allowOverlap="1" wp14:anchorId="11C1EE7C" wp14:editId="78B2DCD7">
                        <wp:simplePos x="0" y="0"/>
                        <wp:positionH relativeFrom="page">
                          <wp:align>right</wp:align>
                        </wp:positionH>
                        <wp:positionV relativeFrom="page">
                          <wp:posOffset>-805</wp:posOffset>
                        </wp:positionV>
                        <wp:extent cx="7556400" cy="10684800"/>
                        <wp:effectExtent l="0" t="0" r="6985" b="2540"/>
                        <wp:wrapNone/>
                        <wp:docPr id="1765541192" name="Picture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5541192" name="Picture 11">
                                  <a:extLst>
                                    <a:ext uri="{C183D7F6-B498-43B3-948B-1728B52AA6E4}">
                                      <adec:decorative xmlns:adec="http://schemas.microsoft.com/office/drawing/2017/decorative" val="1"/>
                                    </a:ext>
                                  </a:extLst>
                                </pic:cNvPr>
                                <pic:cNvPicPr>
                                  <a:picLocks noChangeAspect="1" noChangeArrowheads="1"/>
                                </pic:cNvPicPr>
                              </pic:nvPicPr>
                              <pic:blipFill>
                                <a:blip r:embed="rId55" cstate="print">
                                  <a:extLst>
                                    <a:ext uri="{28A0092B-C50C-407E-A947-70E740481C1C}">
                                      <a14:useLocalDpi xmlns:a14="http://schemas.microsoft.com/office/drawing/2010/main" val="0"/>
                                    </a:ext>
                                  </a:extLst>
                                </a:blip>
                                <a:stretch>
                                  <a:fillRect/>
                                </a:stretch>
                              </pic:blipFill>
                              <pic:spPr bwMode="auto">
                                <a:xfrm>
                                  <a:off x="0" y="0"/>
                                  <a:ext cx="7556400" cy="10684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7238A" w:rsidRPr="00BE4FAD">
                    <w:rPr>
                      <w:b/>
                      <w:bCs/>
                      <w:color w:val="FFFFFF" w:themeColor="background1"/>
                      <w:sz w:val="72"/>
                      <w:szCs w:val="72"/>
                      <w:lang w:val="en-US"/>
                    </w:rPr>
                    <w:t>Effectiveness</w:t>
                  </w:r>
                </w:p>
                <w:p w14:paraId="2F7E05F8" w14:textId="0F4B92C6" w:rsidR="001C0136" w:rsidRPr="00862CAF" w:rsidRDefault="005739C0" w:rsidP="002E7436">
                  <w:pPr>
                    <w:pStyle w:val="Heading1"/>
                  </w:pPr>
                  <w:bookmarkStart w:id="315" w:name="_Ref207719634"/>
                  <w:bookmarkStart w:id="316" w:name="_Toc208906851"/>
                  <w:r w:rsidRPr="00862CAF">
                    <w:lastRenderedPageBreak/>
                    <w:t>Effectiveness</w:t>
                  </w:r>
                  <w:bookmarkEnd w:id="286"/>
                  <w:bookmarkEnd w:id="315"/>
                  <w:bookmarkEnd w:id="316"/>
                </w:p>
                <w:p w14:paraId="2856FC9C" w14:textId="414E6B6E" w:rsidR="00B80E6F" w:rsidRDefault="00A07411" w:rsidP="00442C8A">
                  <w:pPr>
                    <w:pStyle w:val="Text"/>
                    <w:spacing w:after="120"/>
                    <w:rPr>
                      <w:b/>
                      <w:bCs/>
                      <w:lang w:val="en-AU"/>
                    </w:rPr>
                  </w:pPr>
                  <w:bookmarkStart w:id="317" w:name="_Toc202893241"/>
                  <w:bookmarkStart w:id="318" w:name="_Toc202895502"/>
                  <w:bookmarkStart w:id="319" w:name="_Toc203054516"/>
                  <w:bookmarkStart w:id="320" w:name="_Toc203054597"/>
                  <w:bookmarkStart w:id="321" w:name="_Toc203054678"/>
                  <w:bookmarkStart w:id="322" w:name="_Toc203464409"/>
                  <w:bookmarkStart w:id="323" w:name="_Toc203559875"/>
                  <w:bookmarkStart w:id="324" w:name="_Toc203560511"/>
                  <w:bookmarkStart w:id="325" w:name="_Toc203584300"/>
                  <w:bookmarkStart w:id="326" w:name="_Toc203598435"/>
                  <w:bookmarkStart w:id="327" w:name="_Toc203600527"/>
                  <w:bookmarkStart w:id="328" w:name="_Toc203639972"/>
                  <w:bookmarkStart w:id="329" w:name="_Toc203646481"/>
                  <w:bookmarkStart w:id="330" w:name="_Toc204085695"/>
                  <w:bookmarkStart w:id="331" w:name="_Toc204171151"/>
                  <w:bookmarkStart w:id="332" w:name="_Toc204189576"/>
                  <w:bookmarkStart w:id="333" w:name="_Toc204193614"/>
                  <w:bookmarkStart w:id="334" w:name="_Toc204591539"/>
                  <w:bookmarkStart w:id="335" w:name="_Toc204591603"/>
                  <w:bookmarkStart w:id="336" w:name="_Toc204606534"/>
                  <w:bookmarkStart w:id="337" w:name="_Toc204606632"/>
                  <w:bookmarkStart w:id="338" w:name="_Toc204606756"/>
                  <w:bookmarkStart w:id="339" w:name="_Toc204606815"/>
                  <w:bookmarkStart w:id="340" w:name="_Toc204613388"/>
                  <w:bookmarkStart w:id="341" w:name="_Toc204619346"/>
                  <w:bookmarkStart w:id="342" w:name="_Toc204779565"/>
                  <w:bookmarkStart w:id="343" w:name="_Toc204785922"/>
                  <w:bookmarkStart w:id="344" w:name="_Toc204856738"/>
                  <w:bookmarkStart w:id="345" w:name="_Toc204868994"/>
                  <w:bookmarkStart w:id="346" w:name="_Toc204980684"/>
                  <w:bookmarkStart w:id="347" w:name="_Toc205300694"/>
                  <w:bookmarkStart w:id="348" w:name="_Toc205300786"/>
                  <w:bookmarkStart w:id="349" w:name="_Toc205300852"/>
                  <w:bookmarkStart w:id="350" w:name="_Toc205300939"/>
                  <w:bookmarkStart w:id="351" w:name="_Toc205301033"/>
                  <w:bookmarkStart w:id="352" w:name="_Toc203559880"/>
                  <w:bookmarkStart w:id="353" w:name="_Toc203560516"/>
                  <w:bookmarkStart w:id="354" w:name="_Toc203584305"/>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r>
                    <w:t xml:space="preserve">Aligned with the overarching program aims (see </w:t>
                  </w:r>
                  <w:r w:rsidRPr="00D63E8D">
                    <w:rPr>
                      <w:b/>
                      <w:bCs/>
                    </w:rPr>
                    <w:t xml:space="preserve">Section </w:t>
                  </w:r>
                  <w:r w:rsidRPr="00D63E8D">
                    <w:rPr>
                      <w:b/>
                      <w:bCs/>
                    </w:rPr>
                    <w:fldChar w:fldCharType="begin" w:fldLock="1"/>
                  </w:r>
                  <w:r w:rsidRPr="00D63E8D">
                    <w:rPr>
                      <w:b/>
                      <w:bCs/>
                    </w:rPr>
                    <w:instrText xml:space="preserve"> REF _Ref204185344 \r \h </w:instrText>
                  </w:r>
                  <w:r>
                    <w:rPr>
                      <w:b/>
                      <w:bCs/>
                    </w:rPr>
                    <w:instrText xml:space="preserve"> \* MERGEFORMAT </w:instrText>
                  </w:r>
                  <w:r w:rsidRPr="00D63E8D">
                    <w:rPr>
                      <w:b/>
                      <w:bCs/>
                    </w:rPr>
                  </w:r>
                  <w:r w:rsidRPr="00D63E8D">
                    <w:rPr>
                      <w:b/>
                      <w:bCs/>
                    </w:rPr>
                    <w:fldChar w:fldCharType="separate"/>
                  </w:r>
                  <w:r w:rsidR="008F22E5">
                    <w:rPr>
                      <w:b/>
                      <w:bCs/>
                    </w:rPr>
                    <w:t>1</w:t>
                  </w:r>
                  <w:r w:rsidRPr="00D63E8D">
                    <w:rPr>
                      <w:b/>
                      <w:bCs/>
                    </w:rPr>
                    <w:fldChar w:fldCharType="end"/>
                  </w:r>
                  <w:r>
                    <w:t xml:space="preserve">), the FaRS and SFVS programs each have specific goals to achieve within the short, medium, and long term (see Program Logics at </w:t>
                  </w:r>
                  <w:hyperlink w:anchor="Appendix_B" w:history="1">
                    <w:r w:rsidRPr="00321BC5">
                      <w:rPr>
                        <w:rStyle w:val="Hyperlink"/>
                        <w:rFonts w:asciiTheme="minorHAnsi" w:hAnsiTheme="minorHAnsi"/>
                        <w:b/>
                        <w:color w:val="007E00" w:themeColor="accent3"/>
                      </w:rPr>
                      <w:t>Appendix B</w:t>
                    </w:r>
                  </w:hyperlink>
                  <w:r>
                    <w:t xml:space="preserve"> and</w:t>
                  </w:r>
                  <w:r w:rsidRPr="00FD473E">
                    <w:rPr>
                      <w:b/>
                      <w:bCs/>
                    </w:rPr>
                    <w:t xml:space="preserve"> </w:t>
                  </w:r>
                  <w:r w:rsidR="00092623" w:rsidRPr="00FD473E">
                    <w:rPr>
                      <w:b/>
                      <w:bCs/>
                    </w:rPr>
                    <w:fldChar w:fldCharType="begin" w:fldLock="1"/>
                  </w:r>
                  <w:r w:rsidR="00092623" w:rsidRPr="00FD473E">
                    <w:rPr>
                      <w:b/>
                      <w:bCs/>
                    </w:rPr>
                    <w:instrText xml:space="preserve"> REF _Ref208323886 \h </w:instrText>
                  </w:r>
                  <w:r w:rsidR="00FD473E">
                    <w:rPr>
                      <w:b/>
                      <w:bCs/>
                    </w:rPr>
                    <w:instrText xml:space="preserve"> \* MERGEFORMAT </w:instrText>
                  </w:r>
                  <w:r w:rsidR="00092623" w:rsidRPr="00FD473E">
                    <w:rPr>
                      <w:b/>
                      <w:bCs/>
                    </w:rPr>
                  </w:r>
                  <w:r w:rsidR="00092623" w:rsidRPr="00FD473E">
                    <w:rPr>
                      <w:b/>
                      <w:bCs/>
                    </w:rPr>
                    <w:fldChar w:fldCharType="separate"/>
                  </w:r>
                  <w:r w:rsidR="008F22E5" w:rsidRPr="008F22E5">
                    <w:rPr>
                      <w:b/>
                      <w:bCs/>
                    </w:rPr>
                    <w:t xml:space="preserve">Table </w:t>
                  </w:r>
                  <w:r w:rsidR="008F22E5" w:rsidRPr="008F22E5">
                    <w:rPr>
                      <w:b/>
                      <w:bCs/>
                      <w:noProof/>
                    </w:rPr>
                    <w:t>15</w:t>
                  </w:r>
                  <w:r w:rsidR="00092623" w:rsidRPr="00FD473E">
                    <w:rPr>
                      <w:b/>
                      <w:bCs/>
                    </w:rPr>
                    <w:fldChar w:fldCharType="end"/>
                  </w:r>
                  <w:r w:rsidR="00092623">
                    <w:t xml:space="preserve"> </w:t>
                  </w:r>
                  <w:r>
                    <w:t xml:space="preserve">below). </w:t>
                  </w:r>
                  <w:r w:rsidR="0090476F" w:rsidRPr="000049F2">
                    <w:rPr>
                      <w:lang w:val="en-AU"/>
                    </w:rPr>
                    <w:t xml:space="preserve">This section </w:t>
                  </w:r>
                  <w:r w:rsidR="00E80EEA" w:rsidRPr="000049F2">
                    <w:rPr>
                      <w:lang w:val="en-AU"/>
                    </w:rPr>
                    <w:t>outlines</w:t>
                  </w:r>
                  <w:r w:rsidR="0090476F" w:rsidRPr="000049F2">
                    <w:rPr>
                      <w:lang w:val="en-AU"/>
                    </w:rPr>
                    <w:t xml:space="preserve"> </w:t>
                  </w:r>
                  <w:r w:rsidR="00A964FC" w:rsidRPr="000049F2">
                    <w:rPr>
                      <w:lang w:val="en-AU"/>
                    </w:rPr>
                    <w:t>the</w:t>
                  </w:r>
                  <w:r w:rsidR="0090476F" w:rsidRPr="000049F2">
                    <w:rPr>
                      <w:lang w:val="en-AU"/>
                    </w:rPr>
                    <w:t xml:space="preserve"> </w:t>
                  </w:r>
                  <w:r w:rsidR="00036747" w:rsidRPr="000049F2">
                    <w:rPr>
                      <w:lang w:val="en-AU"/>
                    </w:rPr>
                    <w:t>extent t</w:t>
                  </w:r>
                  <w:r w:rsidR="00A964FC" w:rsidRPr="000049F2">
                    <w:rPr>
                      <w:lang w:val="en-AU"/>
                    </w:rPr>
                    <w:t>o which the</w:t>
                  </w:r>
                  <w:r w:rsidR="00036747" w:rsidRPr="000049F2">
                    <w:rPr>
                      <w:lang w:val="en-AU"/>
                    </w:rPr>
                    <w:t xml:space="preserve"> FaRS and SFVS programs have been successful at </w:t>
                  </w:r>
                  <w:hyperlink w:anchor="_Achievement_of_short" w:history="1">
                    <w:r w:rsidR="00036747" w:rsidRPr="00321BC5">
                      <w:rPr>
                        <w:rStyle w:val="Hyperlink"/>
                        <w:rFonts w:asciiTheme="minorHAnsi" w:hAnsiTheme="minorHAnsi"/>
                        <w:color w:val="007E00" w:themeColor="accent3"/>
                        <w:lang w:val="en-AU"/>
                      </w:rPr>
                      <w:t xml:space="preserve">meeting </w:t>
                    </w:r>
                    <w:r w:rsidR="00A964FC" w:rsidRPr="00321BC5">
                      <w:rPr>
                        <w:rStyle w:val="Hyperlink"/>
                        <w:rFonts w:asciiTheme="minorHAnsi" w:hAnsiTheme="minorHAnsi"/>
                        <w:color w:val="007E00" w:themeColor="accent3"/>
                        <w:lang w:val="en-AU"/>
                      </w:rPr>
                      <w:t>their short</w:t>
                    </w:r>
                    <w:r w:rsidR="00A004B9" w:rsidRPr="00321BC5">
                      <w:rPr>
                        <w:rStyle w:val="Hyperlink"/>
                        <w:rFonts w:asciiTheme="minorHAnsi" w:hAnsiTheme="minorHAnsi"/>
                        <w:color w:val="007E00" w:themeColor="accent3"/>
                        <w:lang w:val="en-AU"/>
                      </w:rPr>
                      <w:t>-</w:t>
                    </w:r>
                    <w:r w:rsidR="00A964FC" w:rsidRPr="00321BC5">
                      <w:rPr>
                        <w:rStyle w:val="Hyperlink"/>
                        <w:rFonts w:asciiTheme="minorHAnsi" w:hAnsiTheme="minorHAnsi"/>
                        <w:color w:val="007E00" w:themeColor="accent3"/>
                        <w:lang w:val="en-AU"/>
                      </w:rPr>
                      <w:t xml:space="preserve"> and medium</w:t>
                    </w:r>
                    <w:r w:rsidR="00A004B9" w:rsidRPr="00321BC5">
                      <w:rPr>
                        <w:rStyle w:val="Hyperlink"/>
                        <w:rFonts w:asciiTheme="minorHAnsi" w:hAnsiTheme="minorHAnsi"/>
                        <w:color w:val="007E00" w:themeColor="accent3"/>
                        <w:lang w:val="en-AU"/>
                      </w:rPr>
                      <w:t>-</w:t>
                    </w:r>
                    <w:r w:rsidR="00A964FC" w:rsidRPr="00321BC5">
                      <w:rPr>
                        <w:rStyle w:val="Hyperlink"/>
                        <w:rFonts w:asciiTheme="minorHAnsi" w:hAnsiTheme="minorHAnsi"/>
                        <w:color w:val="007E00" w:themeColor="accent3"/>
                        <w:lang w:val="en-AU"/>
                      </w:rPr>
                      <w:t>term outcomes</w:t>
                    </w:r>
                    <w:r w:rsidR="00036747" w:rsidRPr="00321BC5">
                      <w:rPr>
                        <w:rStyle w:val="Hyperlink"/>
                        <w:rFonts w:asciiTheme="minorHAnsi" w:hAnsiTheme="minorHAnsi"/>
                        <w:color w:val="007E00" w:themeColor="accent3"/>
                        <w:lang w:val="en-AU"/>
                      </w:rPr>
                      <w:t xml:space="preserve"> (KEQ</w:t>
                    </w:r>
                    <w:r w:rsidR="00686D87" w:rsidRPr="00321BC5">
                      <w:rPr>
                        <w:rStyle w:val="Hyperlink"/>
                        <w:rFonts w:asciiTheme="minorHAnsi" w:hAnsiTheme="minorHAnsi"/>
                        <w:color w:val="007E00" w:themeColor="accent3"/>
                        <w:lang w:val="en-AU"/>
                      </w:rPr>
                      <w:t xml:space="preserve"> </w:t>
                    </w:r>
                    <w:r w:rsidR="00036747" w:rsidRPr="00321BC5">
                      <w:rPr>
                        <w:rStyle w:val="Hyperlink"/>
                        <w:rFonts w:asciiTheme="minorHAnsi" w:hAnsiTheme="minorHAnsi"/>
                        <w:color w:val="007E00" w:themeColor="accent3"/>
                        <w:lang w:val="en-AU"/>
                      </w:rPr>
                      <w:t>1)</w:t>
                    </w:r>
                  </w:hyperlink>
                  <w:r w:rsidR="00036747">
                    <w:rPr>
                      <w:lang w:val="en-AU"/>
                    </w:rPr>
                    <w:t xml:space="preserve">; and </w:t>
                  </w:r>
                  <w:hyperlink w:anchor="_Factors_affecting_achievement" w:history="1">
                    <w:r w:rsidR="00036747" w:rsidRPr="00321BC5">
                      <w:rPr>
                        <w:rStyle w:val="Hyperlink"/>
                        <w:rFonts w:asciiTheme="minorHAnsi" w:hAnsiTheme="minorHAnsi"/>
                        <w:color w:val="007E00" w:themeColor="accent3"/>
                        <w:lang w:val="en-AU"/>
                      </w:rPr>
                      <w:t>what factors have affected the achievement of these outcomes (KEQ</w:t>
                    </w:r>
                    <w:r w:rsidR="00686D87" w:rsidRPr="00321BC5">
                      <w:rPr>
                        <w:rStyle w:val="Hyperlink"/>
                        <w:rFonts w:asciiTheme="minorHAnsi" w:hAnsiTheme="minorHAnsi"/>
                        <w:color w:val="007E00" w:themeColor="accent3"/>
                        <w:lang w:val="en-AU"/>
                      </w:rPr>
                      <w:t xml:space="preserve"> </w:t>
                    </w:r>
                    <w:r w:rsidR="00036747" w:rsidRPr="00321BC5">
                      <w:rPr>
                        <w:rStyle w:val="Hyperlink"/>
                        <w:rFonts w:asciiTheme="minorHAnsi" w:hAnsiTheme="minorHAnsi"/>
                        <w:color w:val="007E00" w:themeColor="accent3"/>
                        <w:lang w:val="en-AU"/>
                      </w:rPr>
                      <w:t>2)</w:t>
                    </w:r>
                  </w:hyperlink>
                  <w:r w:rsidR="00647C20">
                    <w:rPr>
                      <w:lang w:val="en-AU"/>
                    </w:rPr>
                    <w:t>.</w:t>
                  </w:r>
                  <w:r w:rsidR="00394B3C" w:rsidRPr="00594A4A">
                    <w:rPr>
                      <w:b/>
                      <w:bCs/>
                      <w:lang w:val="en-AU"/>
                    </w:rPr>
                    <w:t xml:space="preserve"> </w:t>
                  </w:r>
                </w:p>
                <w:p w14:paraId="6A265A49" w14:textId="77777777" w:rsidR="00953B9E" w:rsidRDefault="00953B9E" w:rsidP="00442C8A">
                  <w:pPr>
                    <w:pStyle w:val="Text"/>
                    <w:spacing w:after="120"/>
                    <w:rPr>
                      <w:b/>
                      <w:bCs/>
                      <w:lang w:val="en-AU"/>
                    </w:rPr>
                  </w:pPr>
                </w:p>
                <w:p w14:paraId="4AF38300" w14:textId="27C9C3D9" w:rsidR="00662C97" w:rsidRDefault="00092623" w:rsidP="00953B9E">
                  <w:pPr>
                    <w:pStyle w:val="TableFigure-Header"/>
                    <w:spacing w:line="276" w:lineRule="auto"/>
                    <w:rPr>
                      <w:lang w:val="en-AU"/>
                    </w:rPr>
                  </w:pPr>
                  <w:bookmarkStart w:id="355" w:name="_Ref208323886"/>
                  <w:r>
                    <w:t xml:space="preserve">Table </w:t>
                  </w:r>
                  <w:r>
                    <w:fldChar w:fldCharType="begin"/>
                  </w:r>
                  <w:r>
                    <w:instrText>SEQ Table \* ARABIC</w:instrText>
                  </w:r>
                  <w:r>
                    <w:fldChar w:fldCharType="separate"/>
                  </w:r>
                  <w:r w:rsidR="008D2566">
                    <w:rPr>
                      <w:noProof/>
                    </w:rPr>
                    <w:t>15</w:t>
                  </w:r>
                  <w:r>
                    <w:fldChar w:fldCharType="end"/>
                  </w:r>
                  <w:bookmarkEnd w:id="355"/>
                  <w:r>
                    <w:t xml:space="preserve">: </w:t>
                  </w:r>
                  <w:r w:rsidRPr="00A52213">
                    <w:t>FaRS and SFVS short- and medium-term outcomes</w:t>
                  </w:r>
                  <w:r w:rsidR="001F2C36">
                    <w:t xml:space="preserve"> </w:t>
                  </w:r>
                </w:p>
                <w:tbl>
                  <w:tblPr>
                    <w:tblStyle w:val="TableGrid22"/>
                    <w:tblW w:w="0" w:type="auto"/>
                    <w:tblBorders>
                      <w:top w:val="none" w:sz="0" w:space="0" w:color="auto"/>
                      <w:left w:val="none" w:sz="0" w:space="0" w:color="auto"/>
                      <w:bottom w:val="none" w:sz="0" w:space="0" w:color="auto"/>
                      <w:right w:val="none" w:sz="0" w:space="0" w:color="auto"/>
                      <w:insideH w:val="single" w:sz="18" w:space="0" w:color="FFFFFF"/>
                      <w:insideV w:val="single" w:sz="18" w:space="0" w:color="FFFFFF"/>
                    </w:tblBorders>
                    <w:tblLook w:val="04A0" w:firstRow="1" w:lastRow="0" w:firstColumn="1" w:lastColumn="0" w:noHBand="0" w:noVBand="1"/>
                  </w:tblPr>
                  <w:tblGrid>
                    <w:gridCol w:w="527"/>
                    <w:gridCol w:w="4151"/>
                    <w:gridCol w:w="4351"/>
                  </w:tblGrid>
                  <w:tr w:rsidR="00B76CCE" w:rsidRPr="00D242E1" w14:paraId="4B1600AB" w14:textId="77777777" w:rsidTr="00ED028E">
                    <w:tc>
                      <w:tcPr>
                        <w:tcW w:w="527" w:type="dxa"/>
                        <w:tcBorders>
                          <w:bottom w:val="nil"/>
                        </w:tcBorders>
                        <w:vAlign w:val="center"/>
                      </w:tcPr>
                      <w:p w14:paraId="11EE2F92" w14:textId="77777777" w:rsidR="00B76CCE" w:rsidRPr="00D242E1" w:rsidRDefault="00B76CCE" w:rsidP="00ED028E">
                        <w:pPr>
                          <w:spacing w:before="40" w:after="40" w:line="228" w:lineRule="auto"/>
                          <w:jc w:val="center"/>
                          <w:rPr>
                            <w:rFonts w:ascii="Arial" w:hAnsi="Arial" w:cs="Times New Roman"/>
                            <w:sz w:val="20"/>
                          </w:rPr>
                        </w:pPr>
                      </w:p>
                    </w:tc>
                    <w:tc>
                      <w:tcPr>
                        <w:tcW w:w="4151" w:type="dxa"/>
                        <w:tcBorders>
                          <w:top w:val="nil"/>
                          <w:bottom w:val="single" w:sz="8" w:space="0" w:color="36424A" w:themeColor="background2"/>
                          <w:right w:val="single" w:sz="8" w:space="0" w:color="36424A" w:themeColor="background2"/>
                        </w:tcBorders>
                        <w:shd w:val="clear" w:color="auto" w:fill="007E00"/>
                      </w:tcPr>
                      <w:p w14:paraId="79A3AC4F" w14:textId="77777777" w:rsidR="00B76CCE" w:rsidRPr="00D242E1" w:rsidRDefault="00B76CCE" w:rsidP="00355FDF">
                        <w:pPr>
                          <w:spacing w:before="60" w:after="60" w:line="228" w:lineRule="auto"/>
                          <w:rPr>
                            <w:rFonts w:ascii="Arial" w:hAnsi="Arial" w:cs="Times New Roman"/>
                            <w:b/>
                            <w:bCs/>
                            <w:color w:val="FFFFFF" w:themeColor="background1"/>
                          </w:rPr>
                        </w:pPr>
                        <w:r w:rsidRPr="00D242E1">
                          <w:rPr>
                            <w:rFonts w:ascii="Arial" w:hAnsi="Arial" w:cs="Times New Roman"/>
                            <w:b/>
                            <w:bCs/>
                            <w:color w:val="FFFFFF" w:themeColor="background1"/>
                          </w:rPr>
                          <w:t>FaRS</w:t>
                        </w:r>
                      </w:p>
                    </w:tc>
                    <w:tc>
                      <w:tcPr>
                        <w:tcW w:w="4351" w:type="dxa"/>
                        <w:tcBorders>
                          <w:top w:val="nil"/>
                          <w:left w:val="single" w:sz="8" w:space="0" w:color="36424A" w:themeColor="background2"/>
                          <w:bottom w:val="single" w:sz="8" w:space="0" w:color="36424A" w:themeColor="background2"/>
                        </w:tcBorders>
                        <w:shd w:val="clear" w:color="auto" w:fill="78B800"/>
                      </w:tcPr>
                      <w:p w14:paraId="17163C5A" w14:textId="77777777" w:rsidR="00B76CCE" w:rsidRPr="00D242E1" w:rsidRDefault="00B76CCE" w:rsidP="00355FDF">
                        <w:pPr>
                          <w:spacing w:before="60" w:after="60" w:line="228" w:lineRule="auto"/>
                          <w:rPr>
                            <w:rFonts w:ascii="Arial" w:hAnsi="Arial" w:cs="Times New Roman"/>
                            <w:b/>
                            <w:bCs/>
                            <w:color w:val="FFFFFF" w:themeColor="background1"/>
                          </w:rPr>
                        </w:pPr>
                        <w:r w:rsidRPr="00D242E1">
                          <w:rPr>
                            <w:rFonts w:ascii="Arial" w:hAnsi="Arial" w:cs="Times New Roman"/>
                            <w:b/>
                            <w:bCs/>
                            <w:color w:val="FFFFFF" w:themeColor="background1"/>
                          </w:rPr>
                          <w:t>SFVS</w:t>
                        </w:r>
                      </w:p>
                    </w:tc>
                  </w:tr>
                  <w:tr w:rsidR="00B76CCE" w:rsidRPr="00D242E1" w14:paraId="3E22D8BF" w14:textId="77777777" w:rsidTr="004A6D71">
                    <w:tc>
                      <w:tcPr>
                        <w:tcW w:w="527" w:type="dxa"/>
                        <w:vMerge w:val="restart"/>
                        <w:tcBorders>
                          <w:top w:val="nil"/>
                          <w:bottom w:val="nil"/>
                          <w:right w:val="nil"/>
                        </w:tcBorders>
                        <w:shd w:val="clear" w:color="auto" w:fill="36424A"/>
                        <w:textDirection w:val="btLr"/>
                      </w:tcPr>
                      <w:p w14:paraId="26246DE6" w14:textId="77777777" w:rsidR="00B76CCE" w:rsidRPr="00D242E1" w:rsidRDefault="00B76CCE" w:rsidP="00D242E1">
                        <w:pPr>
                          <w:spacing w:before="40" w:after="40" w:line="228" w:lineRule="auto"/>
                          <w:ind w:left="113" w:right="113"/>
                          <w:jc w:val="center"/>
                          <w:rPr>
                            <w:rFonts w:ascii="Arial" w:hAnsi="Arial" w:cs="Times New Roman"/>
                            <w:color w:val="FFFFFF"/>
                            <w:sz w:val="20"/>
                          </w:rPr>
                        </w:pPr>
                        <w:r w:rsidRPr="00D242E1">
                          <w:rPr>
                            <w:rFonts w:ascii="Arial" w:hAnsi="Arial" w:cs="Times New Roman"/>
                            <w:color w:val="FFFFFF"/>
                            <w:sz w:val="20"/>
                          </w:rPr>
                          <w:t>SHORT-TERM OUTCOMES</w:t>
                        </w:r>
                      </w:p>
                    </w:tc>
                    <w:tc>
                      <w:tcPr>
                        <w:tcW w:w="4151" w:type="dxa"/>
                        <w:tcBorders>
                          <w:top w:val="single" w:sz="8" w:space="0" w:color="36424A" w:themeColor="background2"/>
                          <w:left w:val="nil"/>
                          <w:bottom w:val="single" w:sz="4" w:space="0" w:color="36424A" w:themeColor="background2"/>
                          <w:right w:val="single" w:sz="4" w:space="0" w:color="36424A" w:themeColor="background2"/>
                        </w:tcBorders>
                        <w:shd w:val="clear" w:color="auto" w:fill="E0F0E1"/>
                      </w:tcPr>
                      <w:p w14:paraId="5E98D8DC" w14:textId="77777777" w:rsidR="00B76CCE" w:rsidRPr="00D242E1" w:rsidRDefault="00B76CCE" w:rsidP="00442C8A">
                        <w:pPr>
                          <w:spacing w:before="40" w:line="228" w:lineRule="auto"/>
                          <w:rPr>
                            <w:rFonts w:ascii="Arial" w:hAnsi="Arial" w:cs="Times New Roman"/>
                            <w:sz w:val="20"/>
                          </w:rPr>
                        </w:pPr>
                        <w:r w:rsidRPr="00D242E1">
                          <w:rPr>
                            <w:rFonts w:ascii="Arial" w:hAnsi="Arial" w:cs="Times New Roman"/>
                            <w:sz w:val="20"/>
                          </w:rPr>
                          <w:t xml:space="preserve">Families have increased knowledge, awareness and skills in: </w:t>
                        </w:r>
                      </w:p>
                      <w:p w14:paraId="28C454A1" w14:textId="77777777" w:rsidR="00B76CCE" w:rsidRPr="00D242E1" w:rsidRDefault="00B76CCE" w:rsidP="00355FDF">
                        <w:pPr>
                          <w:numPr>
                            <w:ilvl w:val="0"/>
                            <w:numId w:val="124"/>
                          </w:numPr>
                          <w:spacing w:line="228" w:lineRule="auto"/>
                          <w:ind w:left="221" w:hanging="221"/>
                          <w:rPr>
                            <w:rFonts w:ascii="Arial" w:hAnsi="Arial" w:cs="Times New Roman"/>
                            <w:sz w:val="20"/>
                          </w:rPr>
                        </w:pPr>
                        <w:r w:rsidRPr="00D242E1">
                          <w:rPr>
                            <w:rFonts w:ascii="Arial" w:hAnsi="Arial" w:cs="Times New Roman"/>
                            <w:sz w:val="20"/>
                          </w:rPr>
                          <w:t xml:space="preserve">identifying issues of personal and family safety, including violent or abusive relationships, </w:t>
                        </w:r>
                      </w:p>
                      <w:p w14:paraId="0EEF5CC3" w14:textId="77777777" w:rsidR="00B76CCE" w:rsidRPr="00D242E1" w:rsidRDefault="00B76CCE" w:rsidP="00355FDF">
                        <w:pPr>
                          <w:numPr>
                            <w:ilvl w:val="0"/>
                            <w:numId w:val="124"/>
                          </w:numPr>
                          <w:spacing w:line="228" w:lineRule="auto"/>
                          <w:ind w:left="221" w:hanging="221"/>
                          <w:rPr>
                            <w:rFonts w:ascii="Arial" w:hAnsi="Arial" w:cs="Times New Roman"/>
                            <w:sz w:val="20"/>
                          </w:rPr>
                        </w:pPr>
                        <w:r w:rsidRPr="00D242E1">
                          <w:rPr>
                            <w:rFonts w:ascii="Arial" w:hAnsi="Arial" w:cs="Times New Roman"/>
                            <w:sz w:val="20"/>
                          </w:rPr>
                          <w:t xml:space="preserve">knowing who they can confide in or turn to for support and </w:t>
                        </w:r>
                      </w:p>
                      <w:p w14:paraId="0FC66821" w14:textId="77777777" w:rsidR="00B76CCE" w:rsidRPr="00D242E1" w:rsidRDefault="00B76CCE" w:rsidP="00355FDF">
                        <w:pPr>
                          <w:numPr>
                            <w:ilvl w:val="0"/>
                            <w:numId w:val="124"/>
                          </w:numPr>
                          <w:spacing w:line="228" w:lineRule="auto"/>
                          <w:ind w:left="221" w:hanging="221"/>
                          <w:rPr>
                            <w:rFonts w:ascii="Arial" w:hAnsi="Arial" w:cs="Times New Roman"/>
                            <w:sz w:val="20"/>
                          </w:rPr>
                        </w:pPr>
                        <w:r w:rsidRPr="00D242E1">
                          <w:rPr>
                            <w:rFonts w:ascii="Arial" w:hAnsi="Arial" w:cs="Times New Roman"/>
                            <w:sz w:val="20"/>
                          </w:rPr>
                          <w:t>learning strategies to improve or maintain personal and family safety</w:t>
                        </w:r>
                      </w:p>
                    </w:tc>
                    <w:tc>
                      <w:tcPr>
                        <w:tcW w:w="4351" w:type="dxa"/>
                        <w:tcBorders>
                          <w:top w:val="single" w:sz="8" w:space="0" w:color="36424A" w:themeColor="background2"/>
                          <w:left w:val="single" w:sz="4" w:space="0" w:color="36424A" w:themeColor="background2"/>
                          <w:bottom w:val="single" w:sz="4" w:space="0" w:color="36424A" w:themeColor="background2"/>
                        </w:tcBorders>
                        <w:shd w:val="clear" w:color="auto" w:fill="ECF3DF" w:themeFill="accent5" w:themeFillTint="66"/>
                      </w:tcPr>
                      <w:p w14:paraId="499571CF" w14:textId="77777777" w:rsidR="00B76CCE" w:rsidRPr="00D242E1" w:rsidRDefault="00B76CCE" w:rsidP="00442C8A">
                        <w:pPr>
                          <w:spacing w:before="40" w:line="228" w:lineRule="auto"/>
                          <w:rPr>
                            <w:rFonts w:ascii="Arial" w:hAnsi="Arial" w:cs="Times New Roman"/>
                            <w:sz w:val="20"/>
                          </w:rPr>
                        </w:pPr>
                        <w:r w:rsidRPr="00D242E1">
                          <w:rPr>
                            <w:rFonts w:ascii="Arial" w:hAnsi="Arial" w:cs="Times New Roman"/>
                            <w:sz w:val="20"/>
                          </w:rPr>
                          <w:t xml:space="preserve">Victim survivors have improved knowledge and skills in: </w:t>
                        </w:r>
                      </w:p>
                      <w:p w14:paraId="053BF868" w14:textId="77777777" w:rsidR="00B76CCE" w:rsidRPr="00D242E1" w:rsidRDefault="00B76CCE" w:rsidP="00355FDF">
                        <w:pPr>
                          <w:numPr>
                            <w:ilvl w:val="0"/>
                            <w:numId w:val="127"/>
                          </w:numPr>
                          <w:spacing w:line="228" w:lineRule="auto"/>
                          <w:ind w:left="221" w:hanging="221"/>
                          <w:rPr>
                            <w:rFonts w:ascii="Arial" w:hAnsi="Arial" w:cs="Times New Roman"/>
                            <w:sz w:val="20"/>
                          </w:rPr>
                        </w:pPr>
                        <w:r w:rsidRPr="00D242E1">
                          <w:rPr>
                            <w:rFonts w:ascii="Arial" w:hAnsi="Arial" w:cs="Times New Roman"/>
                            <w:sz w:val="20"/>
                          </w:rPr>
                          <w:t xml:space="preserve">identifying issues of personal and family safety, including violent or abusive relationships; </w:t>
                        </w:r>
                      </w:p>
                      <w:p w14:paraId="68B557F7" w14:textId="77777777" w:rsidR="00B76CCE" w:rsidRPr="00D242E1" w:rsidRDefault="00B76CCE" w:rsidP="00355FDF">
                        <w:pPr>
                          <w:numPr>
                            <w:ilvl w:val="0"/>
                            <w:numId w:val="127"/>
                          </w:numPr>
                          <w:spacing w:line="228" w:lineRule="auto"/>
                          <w:ind w:left="221" w:hanging="221"/>
                          <w:rPr>
                            <w:rFonts w:ascii="Arial" w:hAnsi="Arial" w:cs="Times New Roman"/>
                            <w:sz w:val="20"/>
                          </w:rPr>
                        </w:pPr>
                        <w:r w:rsidRPr="00D242E1">
                          <w:rPr>
                            <w:rFonts w:ascii="Arial" w:hAnsi="Arial" w:cs="Times New Roman"/>
                            <w:sz w:val="20"/>
                          </w:rPr>
                          <w:t xml:space="preserve">knowing who they can confide in or turn to for support; </w:t>
                        </w:r>
                      </w:p>
                      <w:p w14:paraId="0FFC82B0" w14:textId="77777777" w:rsidR="00B76CCE" w:rsidRPr="00D242E1" w:rsidRDefault="00B76CCE" w:rsidP="00355FDF">
                        <w:pPr>
                          <w:numPr>
                            <w:ilvl w:val="0"/>
                            <w:numId w:val="127"/>
                          </w:numPr>
                          <w:spacing w:line="228" w:lineRule="auto"/>
                          <w:ind w:left="221" w:hanging="221"/>
                          <w:rPr>
                            <w:rFonts w:ascii="Arial" w:hAnsi="Arial" w:cs="Times New Roman"/>
                            <w:sz w:val="20"/>
                          </w:rPr>
                        </w:pPr>
                        <w:r w:rsidRPr="00D242E1">
                          <w:rPr>
                            <w:rFonts w:ascii="Arial" w:hAnsi="Arial" w:cs="Times New Roman"/>
                            <w:sz w:val="20"/>
                          </w:rPr>
                          <w:t xml:space="preserve">learning strategies to improve personal and family safety and </w:t>
                        </w:r>
                      </w:p>
                      <w:p w14:paraId="652E5940" w14:textId="77777777" w:rsidR="00B76CCE" w:rsidRPr="00D242E1" w:rsidRDefault="00B76CCE" w:rsidP="00442C8A">
                        <w:pPr>
                          <w:numPr>
                            <w:ilvl w:val="0"/>
                            <w:numId w:val="127"/>
                          </w:numPr>
                          <w:spacing w:after="40" w:line="228" w:lineRule="auto"/>
                          <w:ind w:left="221" w:hanging="221"/>
                          <w:rPr>
                            <w:rFonts w:ascii="Arial" w:hAnsi="Arial" w:cs="Times New Roman"/>
                            <w:sz w:val="20"/>
                          </w:rPr>
                        </w:pPr>
                        <w:r w:rsidRPr="00D242E1">
                          <w:rPr>
                            <w:rFonts w:ascii="Arial" w:hAnsi="Arial" w:cs="Times New Roman"/>
                            <w:sz w:val="20"/>
                          </w:rPr>
                          <w:t xml:space="preserve">learning strategies to improve mental health and wellbeing. </w:t>
                        </w:r>
                      </w:p>
                    </w:tc>
                  </w:tr>
                  <w:tr w:rsidR="00B76CCE" w:rsidRPr="00D242E1" w14:paraId="6AAAB825" w14:textId="77777777" w:rsidTr="004A6D71">
                    <w:tc>
                      <w:tcPr>
                        <w:tcW w:w="527" w:type="dxa"/>
                        <w:vMerge/>
                        <w:tcBorders>
                          <w:top w:val="single" w:sz="18" w:space="0" w:color="FFFFFF" w:themeColor="background1"/>
                          <w:bottom w:val="nil"/>
                          <w:right w:val="nil"/>
                        </w:tcBorders>
                        <w:shd w:val="clear" w:color="auto" w:fill="36424A"/>
                      </w:tcPr>
                      <w:p w14:paraId="59E1F1D3" w14:textId="77777777" w:rsidR="00B76CCE" w:rsidRPr="00D242E1" w:rsidRDefault="00B76CCE" w:rsidP="00D242E1">
                        <w:pPr>
                          <w:spacing w:before="40" w:after="40" w:line="228" w:lineRule="auto"/>
                          <w:jc w:val="center"/>
                          <w:rPr>
                            <w:rFonts w:ascii="Arial" w:hAnsi="Arial" w:cs="Times New Roman"/>
                            <w:color w:val="FFFFFF"/>
                            <w:sz w:val="20"/>
                          </w:rPr>
                        </w:pPr>
                      </w:p>
                    </w:tc>
                    <w:tc>
                      <w:tcPr>
                        <w:tcW w:w="4151" w:type="dxa"/>
                        <w:tcBorders>
                          <w:top w:val="single" w:sz="4" w:space="0" w:color="36424A" w:themeColor="background2"/>
                          <w:left w:val="nil"/>
                          <w:bottom w:val="single" w:sz="4" w:space="0" w:color="36424A" w:themeColor="background2"/>
                          <w:right w:val="single" w:sz="4" w:space="0" w:color="36424A" w:themeColor="background2"/>
                        </w:tcBorders>
                        <w:shd w:val="clear" w:color="auto" w:fill="E0F0E1"/>
                      </w:tcPr>
                      <w:p w14:paraId="4C070EB5" w14:textId="77777777" w:rsidR="00B76CCE" w:rsidRPr="00D242E1" w:rsidRDefault="00B76CCE" w:rsidP="00442C8A">
                        <w:pPr>
                          <w:spacing w:before="40" w:line="228" w:lineRule="auto"/>
                          <w:rPr>
                            <w:rFonts w:ascii="Arial" w:hAnsi="Arial" w:cs="Times New Roman"/>
                            <w:sz w:val="20"/>
                          </w:rPr>
                        </w:pPr>
                        <w:r w:rsidRPr="00D242E1">
                          <w:rPr>
                            <w:rFonts w:ascii="Arial" w:hAnsi="Arial" w:cs="Times New Roman"/>
                            <w:sz w:val="20"/>
                          </w:rPr>
                          <w:t xml:space="preserve">Families have increased knowledge, skills and access to support in: </w:t>
                        </w:r>
                      </w:p>
                      <w:p w14:paraId="45CC148A" w14:textId="77777777" w:rsidR="00B76CCE" w:rsidRPr="00D242E1" w:rsidRDefault="00B76CCE" w:rsidP="00355FDF">
                        <w:pPr>
                          <w:numPr>
                            <w:ilvl w:val="0"/>
                            <w:numId w:val="125"/>
                          </w:numPr>
                          <w:spacing w:line="228" w:lineRule="auto"/>
                          <w:ind w:left="221" w:hanging="221"/>
                          <w:rPr>
                            <w:rFonts w:ascii="Arial" w:hAnsi="Arial" w:cs="Times New Roman"/>
                            <w:sz w:val="20"/>
                          </w:rPr>
                        </w:pPr>
                        <w:r w:rsidRPr="00D242E1">
                          <w:rPr>
                            <w:rFonts w:ascii="Arial" w:hAnsi="Arial" w:cs="Times New Roman"/>
                            <w:sz w:val="20"/>
                          </w:rPr>
                          <w:t>modelling healthy respectful relationships, including effective communication and conflict resolution and parenting skills (including shared parenting)</w:t>
                        </w:r>
                      </w:p>
                    </w:tc>
                    <w:tc>
                      <w:tcPr>
                        <w:tcW w:w="4351" w:type="dxa"/>
                        <w:tcBorders>
                          <w:top w:val="single" w:sz="4" w:space="0" w:color="36424A" w:themeColor="background2"/>
                          <w:left w:val="single" w:sz="4" w:space="0" w:color="36424A" w:themeColor="background2"/>
                          <w:bottom w:val="single" w:sz="4" w:space="0" w:color="36424A" w:themeColor="background2"/>
                        </w:tcBorders>
                        <w:shd w:val="clear" w:color="auto" w:fill="ECF3DF" w:themeFill="accent5" w:themeFillTint="66"/>
                      </w:tcPr>
                      <w:p w14:paraId="413CC35B" w14:textId="77777777" w:rsidR="00B76CCE" w:rsidRPr="00D242E1" w:rsidRDefault="00B76CCE" w:rsidP="00442C8A">
                        <w:pPr>
                          <w:spacing w:before="40" w:line="228" w:lineRule="auto"/>
                          <w:rPr>
                            <w:rFonts w:ascii="Arial" w:hAnsi="Arial" w:cs="Times New Roman"/>
                            <w:sz w:val="20"/>
                          </w:rPr>
                        </w:pPr>
                        <w:r w:rsidRPr="00D242E1">
                          <w:rPr>
                            <w:rFonts w:ascii="Arial" w:hAnsi="Arial" w:cs="Times New Roman"/>
                            <w:sz w:val="20"/>
                          </w:rPr>
                          <w:t xml:space="preserve">Children impacted by FDSV have improved knowledge and skills in: </w:t>
                        </w:r>
                      </w:p>
                      <w:p w14:paraId="531F5000" w14:textId="77777777" w:rsidR="00B76CCE" w:rsidRPr="00D242E1" w:rsidRDefault="00B76CCE" w:rsidP="00355FDF">
                        <w:pPr>
                          <w:numPr>
                            <w:ilvl w:val="0"/>
                            <w:numId w:val="125"/>
                          </w:numPr>
                          <w:spacing w:line="228" w:lineRule="auto"/>
                          <w:ind w:left="221" w:hanging="221"/>
                          <w:rPr>
                            <w:rFonts w:ascii="Arial" w:hAnsi="Arial" w:cs="Times New Roman"/>
                            <w:sz w:val="20"/>
                          </w:rPr>
                        </w:pPr>
                        <w:r w:rsidRPr="00D242E1">
                          <w:rPr>
                            <w:rFonts w:ascii="Arial" w:hAnsi="Arial" w:cs="Times New Roman"/>
                            <w:sz w:val="20"/>
                          </w:rPr>
                          <w:t xml:space="preserve">knowing who they can confide in or turn to for support when they don’t feel safe (e.g. professionals, families and friends) and </w:t>
                        </w:r>
                      </w:p>
                      <w:p w14:paraId="734CF6F3" w14:textId="77777777" w:rsidR="00B76CCE" w:rsidRPr="00D242E1" w:rsidRDefault="00B76CCE" w:rsidP="00355FDF">
                        <w:pPr>
                          <w:numPr>
                            <w:ilvl w:val="0"/>
                            <w:numId w:val="125"/>
                          </w:numPr>
                          <w:spacing w:after="40" w:line="228" w:lineRule="auto"/>
                          <w:ind w:left="221" w:hanging="221"/>
                          <w:rPr>
                            <w:rFonts w:ascii="Arial" w:hAnsi="Arial" w:cs="Times New Roman"/>
                            <w:sz w:val="20"/>
                          </w:rPr>
                        </w:pPr>
                        <w:r w:rsidRPr="00D242E1">
                          <w:rPr>
                            <w:rFonts w:ascii="Arial" w:hAnsi="Arial" w:cs="Times New Roman"/>
                            <w:sz w:val="20"/>
                          </w:rPr>
                          <w:t>improving their mental health and wellbeing</w:t>
                        </w:r>
                      </w:p>
                    </w:tc>
                  </w:tr>
                  <w:tr w:rsidR="00B76CCE" w:rsidRPr="00D242E1" w14:paraId="7E0BED3B" w14:textId="77777777" w:rsidTr="004A6D71">
                    <w:tc>
                      <w:tcPr>
                        <w:tcW w:w="527" w:type="dxa"/>
                        <w:vMerge/>
                        <w:tcBorders>
                          <w:top w:val="single" w:sz="18" w:space="0" w:color="FFFFFF" w:themeColor="background1"/>
                          <w:bottom w:val="nil"/>
                          <w:right w:val="nil"/>
                        </w:tcBorders>
                        <w:shd w:val="clear" w:color="auto" w:fill="36424A"/>
                      </w:tcPr>
                      <w:p w14:paraId="326744A0" w14:textId="77777777" w:rsidR="00B76CCE" w:rsidRPr="00D242E1" w:rsidRDefault="00B76CCE" w:rsidP="00D242E1">
                        <w:pPr>
                          <w:spacing w:before="40" w:after="40" w:line="228" w:lineRule="auto"/>
                          <w:jc w:val="center"/>
                          <w:rPr>
                            <w:rFonts w:ascii="Arial" w:hAnsi="Arial" w:cs="Times New Roman"/>
                            <w:color w:val="FFFFFF"/>
                            <w:sz w:val="20"/>
                          </w:rPr>
                        </w:pPr>
                      </w:p>
                    </w:tc>
                    <w:tc>
                      <w:tcPr>
                        <w:tcW w:w="4151" w:type="dxa"/>
                        <w:tcBorders>
                          <w:top w:val="single" w:sz="4" w:space="0" w:color="36424A" w:themeColor="background2"/>
                          <w:left w:val="nil"/>
                          <w:bottom w:val="single" w:sz="18" w:space="0" w:color="36424A" w:themeColor="background2"/>
                          <w:right w:val="single" w:sz="4" w:space="0" w:color="36424A" w:themeColor="background2"/>
                        </w:tcBorders>
                        <w:shd w:val="clear" w:color="auto" w:fill="E0F0E1"/>
                      </w:tcPr>
                      <w:p w14:paraId="3EC07828" w14:textId="77777777" w:rsidR="00B76CCE" w:rsidRPr="00D242E1" w:rsidRDefault="00B76CCE" w:rsidP="00442C8A">
                        <w:pPr>
                          <w:spacing w:before="40" w:line="228" w:lineRule="auto"/>
                          <w:rPr>
                            <w:rFonts w:ascii="Arial" w:hAnsi="Arial" w:cs="Times New Roman"/>
                            <w:sz w:val="20"/>
                          </w:rPr>
                        </w:pPr>
                        <w:r w:rsidRPr="00D242E1">
                          <w:rPr>
                            <w:rFonts w:ascii="Arial" w:hAnsi="Arial" w:cs="Times New Roman"/>
                            <w:sz w:val="20"/>
                          </w:rPr>
                          <w:t>Families and children have improved knowledge, skills and access to support to improve their resilience, mental health and wellbeing when experiencing family breakdown or dysfunction</w:t>
                        </w:r>
                      </w:p>
                    </w:tc>
                    <w:tc>
                      <w:tcPr>
                        <w:tcW w:w="4351" w:type="dxa"/>
                        <w:tcBorders>
                          <w:top w:val="single" w:sz="4" w:space="0" w:color="36424A" w:themeColor="background2"/>
                          <w:left w:val="single" w:sz="4" w:space="0" w:color="36424A" w:themeColor="background2"/>
                          <w:bottom w:val="single" w:sz="18" w:space="0" w:color="36424A" w:themeColor="background2"/>
                        </w:tcBorders>
                        <w:shd w:val="clear" w:color="auto" w:fill="ECF3DF" w:themeFill="accent5" w:themeFillTint="66"/>
                      </w:tcPr>
                      <w:p w14:paraId="78CE5BB0" w14:textId="216088D6" w:rsidR="00B76CCE" w:rsidRPr="008F628F" w:rsidRDefault="008F628F" w:rsidP="00442C8A">
                        <w:pPr>
                          <w:spacing w:before="40" w:line="228" w:lineRule="auto"/>
                          <w:rPr>
                            <w:rFonts w:ascii="Arial" w:hAnsi="Arial" w:cs="Times New Roman"/>
                            <w:iCs/>
                            <w:sz w:val="20"/>
                          </w:rPr>
                        </w:pPr>
                        <w:r>
                          <w:rPr>
                            <w:rFonts w:ascii="Arial" w:hAnsi="Arial" w:cs="Times New Roman"/>
                            <w:iCs/>
                            <w:sz w:val="20"/>
                          </w:rPr>
                          <w:t>People</w:t>
                        </w:r>
                        <w:r w:rsidR="00B76CCE" w:rsidRPr="008F628F">
                          <w:rPr>
                            <w:rFonts w:ascii="Arial" w:hAnsi="Arial" w:cs="Times New Roman"/>
                            <w:iCs/>
                            <w:sz w:val="20"/>
                          </w:rPr>
                          <w:t xml:space="preserve"> who use violence have increased knowledge and skills in: </w:t>
                        </w:r>
                      </w:p>
                      <w:p w14:paraId="1FA061E1" w14:textId="77777777" w:rsidR="00B76CCE" w:rsidRPr="008F628F" w:rsidRDefault="00B76CCE" w:rsidP="00355FDF">
                        <w:pPr>
                          <w:numPr>
                            <w:ilvl w:val="0"/>
                            <w:numId w:val="128"/>
                          </w:numPr>
                          <w:spacing w:line="228" w:lineRule="auto"/>
                          <w:ind w:left="221" w:hanging="221"/>
                          <w:rPr>
                            <w:rFonts w:ascii="Arial" w:hAnsi="Arial" w:cs="Times New Roman"/>
                            <w:iCs/>
                            <w:sz w:val="20"/>
                          </w:rPr>
                        </w:pPr>
                        <w:r w:rsidRPr="008F628F">
                          <w:rPr>
                            <w:rFonts w:ascii="Arial" w:hAnsi="Arial" w:cs="Times New Roman"/>
                            <w:iCs/>
                            <w:sz w:val="20"/>
                          </w:rPr>
                          <w:t xml:space="preserve">techniques and strategies to reduce violent and abusive behaviours; and </w:t>
                        </w:r>
                      </w:p>
                      <w:p w14:paraId="66D7C0CA" w14:textId="77777777" w:rsidR="00B76CCE" w:rsidRPr="00D242E1" w:rsidRDefault="00B76CCE" w:rsidP="00355FDF">
                        <w:pPr>
                          <w:numPr>
                            <w:ilvl w:val="0"/>
                            <w:numId w:val="128"/>
                          </w:numPr>
                          <w:spacing w:after="40" w:line="228" w:lineRule="auto"/>
                          <w:ind w:left="221" w:hanging="221"/>
                          <w:rPr>
                            <w:rFonts w:ascii="Arial" w:hAnsi="Arial" w:cs="Times New Roman"/>
                            <w:sz w:val="20"/>
                          </w:rPr>
                        </w:pPr>
                        <w:r w:rsidRPr="008F628F">
                          <w:rPr>
                            <w:rFonts w:ascii="Arial" w:hAnsi="Arial" w:cs="Times New Roman"/>
                            <w:iCs/>
                            <w:sz w:val="20"/>
                          </w:rPr>
                          <w:t>seeking help to reduce violent and abusive behaviours.</w:t>
                        </w:r>
                      </w:p>
                    </w:tc>
                  </w:tr>
                  <w:tr w:rsidR="00B76CCE" w:rsidRPr="00D242E1" w14:paraId="578BDAB0" w14:textId="77777777" w:rsidTr="004A6D71">
                    <w:tc>
                      <w:tcPr>
                        <w:tcW w:w="527" w:type="dxa"/>
                        <w:vMerge w:val="restart"/>
                        <w:tcBorders>
                          <w:top w:val="single" w:sz="18" w:space="0" w:color="FFFFFF" w:themeColor="background1"/>
                          <w:bottom w:val="nil"/>
                          <w:right w:val="nil"/>
                        </w:tcBorders>
                        <w:shd w:val="clear" w:color="auto" w:fill="36424A"/>
                        <w:textDirection w:val="btLr"/>
                      </w:tcPr>
                      <w:p w14:paraId="2A98E732" w14:textId="77777777" w:rsidR="00B76CCE" w:rsidRPr="00D242E1" w:rsidRDefault="00B76CCE" w:rsidP="00D242E1">
                        <w:pPr>
                          <w:spacing w:before="40" w:after="40" w:line="228" w:lineRule="auto"/>
                          <w:ind w:left="113" w:right="113"/>
                          <w:jc w:val="center"/>
                          <w:rPr>
                            <w:rFonts w:ascii="Arial" w:hAnsi="Arial" w:cs="Times New Roman"/>
                            <w:color w:val="FFFFFF"/>
                            <w:sz w:val="20"/>
                          </w:rPr>
                        </w:pPr>
                        <w:r w:rsidRPr="00D242E1">
                          <w:rPr>
                            <w:rFonts w:ascii="Arial" w:hAnsi="Arial" w:cs="Times New Roman"/>
                            <w:color w:val="FFFFFF"/>
                            <w:sz w:val="20"/>
                          </w:rPr>
                          <w:t>MEDIUM-TERM OUTCOMES</w:t>
                        </w:r>
                      </w:p>
                    </w:tc>
                    <w:tc>
                      <w:tcPr>
                        <w:tcW w:w="4151" w:type="dxa"/>
                        <w:tcBorders>
                          <w:top w:val="single" w:sz="18" w:space="0" w:color="36424A" w:themeColor="background2"/>
                          <w:left w:val="nil"/>
                          <w:bottom w:val="single" w:sz="4" w:space="0" w:color="36424A" w:themeColor="background2"/>
                          <w:right w:val="single" w:sz="4" w:space="0" w:color="36424A" w:themeColor="background2"/>
                        </w:tcBorders>
                        <w:shd w:val="clear" w:color="auto" w:fill="E0F0E1"/>
                      </w:tcPr>
                      <w:p w14:paraId="46EA3F42" w14:textId="77777777" w:rsidR="00B76CCE" w:rsidRPr="00D242E1" w:rsidRDefault="00B76CCE" w:rsidP="00442C8A">
                        <w:pPr>
                          <w:spacing w:before="40" w:line="228" w:lineRule="auto"/>
                          <w:rPr>
                            <w:rFonts w:ascii="Arial" w:hAnsi="Arial" w:cs="Times New Roman"/>
                            <w:sz w:val="20"/>
                          </w:rPr>
                        </w:pPr>
                        <w:r w:rsidRPr="00D242E1">
                          <w:rPr>
                            <w:rFonts w:ascii="Arial" w:hAnsi="Arial" w:cs="Times New Roman"/>
                            <w:sz w:val="20"/>
                          </w:rPr>
                          <w:t xml:space="preserve">Families use effective strategies to: </w:t>
                        </w:r>
                      </w:p>
                      <w:p w14:paraId="23899581" w14:textId="77777777" w:rsidR="00B76CCE" w:rsidRPr="00D242E1" w:rsidRDefault="00B76CCE" w:rsidP="00355FDF">
                        <w:pPr>
                          <w:numPr>
                            <w:ilvl w:val="0"/>
                            <w:numId w:val="125"/>
                          </w:numPr>
                          <w:spacing w:line="228" w:lineRule="auto"/>
                          <w:ind w:left="221" w:hanging="221"/>
                          <w:rPr>
                            <w:rFonts w:ascii="Arial" w:hAnsi="Arial" w:cs="Times New Roman"/>
                            <w:sz w:val="20"/>
                          </w:rPr>
                        </w:pPr>
                        <w:r w:rsidRPr="00D242E1">
                          <w:rPr>
                            <w:rFonts w:ascii="Arial" w:hAnsi="Arial" w:cs="Times New Roman"/>
                            <w:sz w:val="20"/>
                          </w:rPr>
                          <w:t xml:space="preserve">identify issues of personal and family safety, including violent or abusive relationships; </w:t>
                        </w:r>
                      </w:p>
                      <w:p w14:paraId="70393720" w14:textId="77777777" w:rsidR="00B76CCE" w:rsidRPr="00D242E1" w:rsidRDefault="00B76CCE" w:rsidP="00355FDF">
                        <w:pPr>
                          <w:numPr>
                            <w:ilvl w:val="0"/>
                            <w:numId w:val="125"/>
                          </w:numPr>
                          <w:spacing w:line="228" w:lineRule="auto"/>
                          <w:ind w:left="221" w:hanging="221"/>
                          <w:rPr>
                            <w:rFonts w:ascii="Arial" w:hAnsi="Arial" w:cs="Times New Roman"/>
                            <w:sz w:val="20"/>
                          </w:rPr>
                        </w:pPr>
                        <w:r w:rsidRPr="00D242E1">
                          <w:rPr>
                            <w:rFonts w:ascii="Arial" w:hAnsi="Arial" w:cs="Times New Roman"/>
                            <w:sz w:val="20"/>
                          </w:rPr>
                          <w:t xml:space="preserve">seek help when needed for issues of personal and family safety and </w:t>
                        </w:r>
                      </w:p>
                      <w:p w14:paraId="5E04A87B" w14:textId="77777777" w:rsidR="00B76CCE" w:rsidRPr="00D242E1" w:rsidRDefault="00B76CCE" w:rsidP="00355FDF">
                        <w:pPr>
                          <w:numPr>
                            <w:ilvl w:val="0"/>
                            <w:numId w:val="125"/>
                          </w:numPr>
                          <w:spacing w:after="40" w:line="228" w:lineRule="auto"/>
                          <w:ind w:left="221" w:hanging="221"/>
                          <w:rPr>
                            <w:rFonts w:ascii="Arial" w:hAnsi="Arial" w:cs="Times New Roman"/>
                            <w:sz w:val="20"/>
                          </w:rPr>
                        </w:pPr>
                        <w:r w:rsidRPr="00D242E1">
                          <w:rPr>
                            <w:rFonts w:ascii="Arial" w:hAnsi="Arial" w:cs="Times New Roman"/>
                            <w:sz w:val="20"/>
                          </w:rPr>
                          <w:t xml:space="preserve">improve or maintain personal and family safety. </w:t>
                        </w:r>
                      </w:p>
                    </w:tc>
                    <w:tc>
                      <w:tcPr>
                        <w:tcW w:w="4351" w:type="dxa"/>
                        <w:tcBorders>
                          <w:top w:val="single" w:sz="18" w:space="0" w:color="36424A" w:themeColor="background2"/>
                          <w:left w:val="single" w:sz="4" w:space="0" w:color="36424A" w:themeColor="background2"/>
                          <w:bottom w:val="single" w:sz="4" w:space="0" w:color="36424A" w:themeColor="background2"/>
                        </w:tcBorders>
                        <w:shd w:val="clear" w:color="auto" w:fill="ECF3DF" w:themeFill="accent5" w:themeFillTint="66"/>
                      </w:tcPr>
                      <w:p w14:paraId="73C05936" w14:textId="77777777" w:rsidR="00B76CCE" w:rsidRPr="00D242E1" w:rsidRDefault="00B76CCE" w:rsidP="00442C8A">
                        <w:pPr>
                          <w:spacing w:before="40" w:line="228" w:lineRule="auto"/>
                          <w:rPr>
                            <w:rFonts w:ascii="Arial" w:hAnsi="Arial" w:cs="Times New Roman"/>
                            <w:sz w:val="20"/>
                          </w:rPr>
                        </w:pPr>
                        <w:r w:rsidRPr="00D242E1">
                          <w:rPr>
                            <w:rFonts w:ascii="Arial" w:hAnsi="Arial" w:cs="Times New Roman"/>
                            <w:sz w:val="20"/>
                          </w:rPr>
                          <w:t xml:space="preserve">Victim survivors use effective strategies to: </w:t>
                        </w:r>
                      </w:p>
                      <w:p w14:paraId="352B675A" w14:textId="77777777" w:rsidR="00B76CCE" w:rsidRPr="00D242E1" w:rsidRDefault="00B76CCE" w:rsidP="00355FDF">
                        <w:pPr>
                          <w:numPr>
                            <w:ilvl w:val="0"/>
                            <w:numId w:val="129"/>
                          </w:numPr>
                          <w:spacing w:line="228" w:lineRule="auto"/>
                          <w:ind w:left="221" w:hanging="221"/>
                          <w:rPr>
                            <w:rFonts w:ascii="Arial" w:hAnsi="Arial" w:cs="Times New Roman"/>
                            <w:sz w:val="20"/>
                          </w:rPr>
                        </w:pPr>
                        <w:r w:rsidRPr="00D242E1">
                          <w:rPr>
                            <w:rFonts w:ascii="Arial" w:hAnsi="Arial" w:cs="Times New Roman"/>
                            <w:sz w:val="20"/>
                          </w:rPr>
                          <w:t xml:space="preserve">identify issues of personal and family safety, including violent or abusive relationships; </w:t>
                        </w:r>
                      </w:p>
                      <w:p w14:paraId="5D28AF8D" w14:textId="77777777" w:rsidR="00B76CCE" w:rsidRPr="00D242E1" w:rsidRDefault="00B76CCE" w:rsidP="00355FDF">
                        <w:pPr>
                          <w:numPr>
                            <w:ilvl w:val="0"/>
                            <w:numId w:val="129"/>
                          </w:numPr>
                          <w:spacing w:line="228" w:lineRule="auto"/>
                          <w:ind w:left="221" w:hanging="221"/>
                          <w:rPr>
                            <w:rFonts w:ascii="Arial" w:hAnsi="Arial" w:cs="Times New Roman"/>
                            <w:sz w:val="20"/>
                          </w:rPr>
                        </w:pPr>
                        <w:r w:rsidRPr="00D242E1">
                          <w:rPr>
                            <w:rFonts w:ascii="Arial" w:hAnsi="Arial" w:cs="Times New Roman"/>
                            <w:sz w:val="20"/>
                          </w:rPr>
                          <w:t xml:space="preserve">seek help when needed for issues of personal and family safety; </w:t>
                        </w:r>
                      </w:p>
                      <w:p w14:paraId="7CE3957A" w14:textId="77777777" w:rsidR="00B76CCE" w:rsidRPr="00D242E1" w:rsidRDefault="00B76CCE" w:rsidP="00355FDF">
                        <w:pPr>
                          <w:numPr>
                            <w:ilvl w:val="0"/>
                            <w:numId w:val="129"/>
                          </w:numPr>
                          <w:spacing w:line="228" w:lineRule="auto"/>
                          <w:ind w:left="221" w:hanging="221"/>
                          <w:rPr>
                            <w:rFonts w:ascii="Arial" w:hAnsi="Arial" w:cs="Times New Roman"/>
                            <w:sz w:val="20"/>
                          </w:rPr>
                        </w:pPr>
                        <w:r w:rsidRPr="00D242E1">
                          <w:rPr>
                            <w:rFonts w:ascii="Arial" w:hAnsi="Arial" w:cs="Times New Roman"/>
                            <w:sz w:val="20"/>
                          </w:rPr>
                          <w:t>improve personal and family safety; and</w:t>
                        </w:r>
                      </w:p>
                      <w:p w14:paraId="41EA60AE" w14:textId="77777777" w:rsidR="00B76CCE" w:rsidRPr="00D242E1" w:rsidRDefault="00B76CCE" w:rsidP="00355FDF">
                        <w:pPr>
                          <w:numPr>
                            <w:ilvl w:val="0"/>
                            <w:numId w:val="129"/>
                          </w:numPr>
                          <w:spacing w:after="40" w:line="228" w:lineRule="auto"/>
                          <w:ind w:left="221" w:hanging="221"/>
                          <w:rPr>
                            <w:rFonts w:ascii="Arial" w:hAnsi="Arial" w:cs="Times New Roman"/>
                            <w:sz w:val="20"/>
                          </w:rPr>
                        </w:pPr>
                        <w:r w:rsidRPr="00D242E1">
                          <w:rPr>
                            <w:rFonts w:ascii="Arial" w:hAnsi="Arial" w:cs="Times New Roman"/>
                            <w:sz w:val="20"/>
                          </w:rPr>
                          <w:t xml:space="preserve"> improve mental health and wellbeing. </w:t>
                        </w:r>
                      </w:p>
                    </w:tc>
                  </w:tr>
                  <w:tr w:rsidR="00B76CCE" w:rsidRPr="00D242E1" w14:paraId="10230E90" w14:textId="77777777" w:rsidTr="004A6D71">
                    <w:tc>
                      <w:tcPr>
                        <w:tcW w:w="527" w:type="dxa"/>
                        <w:vMerge/>
                        <w:tcBorders>
                          <w:top w:val="single" w:sz="18" w:space="0" w:color="FFFFFF" w:themeColor="background1"/>
                          <w:bottom w:val="nil"/>
                          <w:right w:val="nil"/>
                        </w:tcBorders>
                        <w:shd w:val="clear" w:color="auto" w:fill="36424A"/>
                      </w:tcPr>
                      <w:p w14:paraId="2B5165DC" w14:textId="77777777" w:rsidR="00B76CCE" w:rsidRPr="00D242E1" w:rsidRDefault="00B76CCE" w:rsidP="00D242E1">
                        <w:pPr>
                          <w:spacing w:before="40" w:after="40" w:line="228" w:lineRule="auto"/>
                          <w:rPr>
                            <w:rFonts w:ascii="Arial" w:hAnsi="Arial" w:cs="Times New Roman"/>
                            <w:sz w:val="20"/>
                          </w:rPr>
                        </w:pPr>
                      </w:p>
                    </w:tc>
                    <w:tc>
                      <w:tcPr>
                        <w:tcW w:w="4151" w:type="dxa"/>
                        <w:tcBorders>
                          <w:top w:val="single" w:sz="4" w:space="0" w:color="36424A" w:themeColor="background2"/>
                          <w:left w:val="nil"/>
                          <w:bottom w:val="single" w:sz="4" w:space="0" w:color="36424A" w:themeColor="background2"/>
                          <w:right w:val="single" w:sz="4" w:space="0" w:color="36424A" w:themeColor="background2"/>
                        </w:tcBorders>
                        <w:shd w:val="clear" w:color="auto" w:fill="E0F0E1"/>
                      </w:tcPr>
                      <w:p w14:paraId="6CBD6D2E" w14:textId="77777777" w:rsidR="00B76CCE" w:rsidRPr="00D242E1" w:rsidRDefault="00B76CCE" w:rsidP="00442C8A">
                        <w:pPr>
                          <w:spacing w:before="40" w:line="228" w:lineRule="auto"/>
                          <w:rPr>
                            <w:rFonts w:ascii="Arial" w:hAnsi="Arial" w:cs="Times New Roman"/>
                            <w:sz w:val="20"/>
                          </w:rPr>
                        </w:pPr>
                        <w:r w:rsidRPr="00D242E1">
                          <w:rPr>
                            <w:rFonts w:ascii="Arial" w:hAnsi="Arial" w:cs="Times New Roman"/>
                            <w:sz w:val="20"/>
                          </w:rPr>
                          <w:t xml:space="preserve">Families use effective strategies to: </w:t>
                        </w:r>
                      </w:p>
                      <w:p w14:paraId="3A1269C2" w14:textId="77777777" w:rsidR="00B76CCE" w:rsidRPr="00D242E1" w:rsidRDefault="00B76CCE" w:rsidP="00355FDF">
                        <w:pPr>
                          <w:numPr>
                            <w:ilvl w:val="0"/>
                            <w:numId w:val="125"/>
                          </w:numPr>
                          <w:spacing w:line="228" w:lineRule="auto"/>
                          <w:ind w:left="221" w:hanging="221"/>
                          <w:rPr>
                            <w:rFonts w:ascii="Arial" w:hAnsi="Arial" w:cs="Times New Roman"/>
                            <w:sz w:val="20"/>
                          </w:rPr>
                        </w:pPr>
                        <w:r w:rsidRPr="00D242E1">
                          <w:rPr>
                            <w:rFonts w:ascii="Arial" w:hAnsi="Arial" w:cs="Times New Roman"/>
                            <w:sz w:val="20"/>
                          </w:rPr>
                          <w:lastRenderedPageBreak/>
                          <w:t xml:space="preserve">model healthy, respectful relationships, including effective communication and conflict resolution; and </w:t>
                        </w:r>
                      </w:p>
                      <w:p w14:paraId="6F700E9E" w14:textId="77777777" w:rsidR="00B76CCE" w:rsidRPr="00D242E1" w:rsidRDefault="00B76CCE" w:rsidP="00355FDF">
                        <w:pPr>
                          <w:numPr>
                            <w:ilvl w:val="0"/>
                            <w:numId w:val="125"/>
                          </w:numPr>
                          <w:spacing w:after="40" w:line="228" w:lineRule="auto"/>
                          <w:ind w:left="221" w:hanging="221"/>
                          <w:rPr>
                            <w:rFonts w:ascii="Arial" w:hAnsi="Arial" w:cs="Times New Roman"/>
                            <w:sz w:val="20"/>
                          </w:rPr>
                        </w:pPr>
                        <w:r w:rsidRPr="00D242E1">
                          <w:rPr>
                            <w:rFonts w:ascii="Arial" w:hAnsi="Arial" w:cs="Times New Roman"/>
                            <w:sz w:val="20"/>
                          </w:rPr>
                          <w:t>improve their parenting skills (including shared parenting)</w:t>
                        </w:r>
                      </w:p>
                    </w:tc>
                    <w:tc>
                      <w:tcPr>
                        <w:tcW w:w="4351" w:type="dxa"/>
                        <w:tcBorders>
                          <w:top w:val="single" w:sz="4" w:space="0" w:color="36424A" w:themeColor="background2"/>
                          <w:left w:val="single" w:sz="4" w:space="0" w:color="36424A" w:themeColor="background2"/>
                          <w:bottom w:val="single" w:sz="4" w:space="0" w:color="36424A" w:themeColor="background2"/>
                        </w:tcBorders>
                        <w:shd w:val="clear" w:color="auto" w:fill="ECF3DF" w:themeFill="accent5" w:themeFillTint="66"/>
                      </w:tcPr>
                      <w:p w14:paraId="38EDA6C1" w14:textId="77777777" w:rsidR="00B76CCE" w:rsidRPr="00D242E1" w:rsidRDefault="00B76CCE" w:rsidP="00442C8A">
                        <w:pPr>
                          <w:spacing w:before="40" w:line="228" w:lineRule="auto"/>
                          <w:rPr>
                            <w:rFonts w:ascii="Arial" w:hAnsi="Arial" w:cs="Times New Roman"/>
                            <w:sz w:val="20"/>
                          </w:rPr>
                        </w:pPr>
                        <w:r w:rsidRPr="00D242E1">
                          <w:rPr>
                            <w:rFonts w:ascii="Arial" w:hAnsi="Arial" w:cs="Times New Roman"/>
                            <w:sz w:val="20"/>
                          </w:rPr>
                          <w:lastRenderedPageBreak/>
                          <w:t>Children impacted by FDSV: feel safe, heard and supported; access supports when needed and are supported to improve their mental health and wellbeing.</w:t>
                        </w:r>
                      </w:p>
                    </w:tc>
                  </w:tr>
                  <w:tr w:rsidR="00B76CCE" w:rsidRPr="00D242E1" w14:paraId="6F6446F4" w14:textId="77777777" w:rsidTr="004A6D71">
                    <w:tc>
                      <w:tcPr>
                        <w:tcW w:w="527" w:type="dxa"/>
                        <w:vMerge/>
                        <w:tcBorders>
                          <w:top w:val="single" w:sz="18" w:space="0" w:color="FFFFFF" w:themeColor="background1"/>
                          <w:bottom w:val="nil"/>
                          <w:right w:val="nil"/>
                        </w:tcBorders>
                        <w:shd w:val="clear" w:color="auto" w:fill="36424A"/>
                      </w:tcPr>
                      <w:p w14:paraId="2BF252A0" w14:textId="77777777" w:rsidR="00B76CCE" w:rsidRPr="00D242E1" w:rsidRDefault="00B76CCE" w:rsidP="00D242E1">
                        <w:pPr>
                          <w:spacing w:before="40" w:after="40" w:line="228" w:lineRule="auto"/>
                          <w:rPr>
                            <w:rFonts w:ascii="Arial" w:hAnsi="Arial" w:cs="Times New Roman"/>
                            <w:sz w:val="20"/>
                          </w:rPr>
                        </w:pPr>
                      </w:p>
                    </w:tc>
                    <w:tc>
                      <w:tcPr>
                        <w:tcW w:w="4151" w:type="dxa"/>
                        <w:tcBorders>
                          <w:top w:val="single" w:sz="4" w:space="0" w:color="36424A" w:themeColor="background2"/>
                          <w:left w:val="nil"/>
                          <w:bottom w:val="nil"/>
                          <w:right w:val="single" w:sz="4" w:space="0" w:color="36424A" w:themeColor="background2"/>
                        </w:tcBorders>
                        <w:shd w:val="clear" w:color="auto" w:fill="E0F0E1"/>
                      </w:tcPr>
                      <w:p w14:paraId="0A589354" w14:textId="09ABD922" w:rsidR="00B76CCE" w:rsidRPr="008F628F" w:rsidRDefault="00B76CCE" w:rsidP="008F628F">
                        <w:pPr>
                          <w:spacing w:before="40" w:line="228" w:lineRule="auto"/>
                          <w:rPr>
                            <w:rFonts w:ascii="Arial" w:hAnsi="Arial" w:cs="Times New Roman"/>
                            <w:sz w:val="20"/>
                          </w:rPr>
                        </w:pPr>
                        <w:r w:rsidRPr="00D242E1">
                          <w:rPr>
                            <w:rFonts w:ascii="Arial" w:hAnsi="Arial" w:cs="Times New Roman"/>
                            <w:sz w:val="20"/>
                          </w:rPr>
                          <w:t>Families and children use effective strategies to</w:t>
                        </w:r>
                        <w:r w:rsidR="003B4C97">
                          <w:rPr>
                            <w:rFonts w:ascii="Arial" w:hAnsi="Arial" w:cs="Times New Roman"/>
                            <w:sz w:val="20"/>
                          </w:rPr>
                          <w:t xml:space="preserve"> </w:t>
                        </w:r>
                        <w:r w:rsidRPr="008F628F">
                          <w:rPr>
                            <w:rFonts w:ascii="Arial" w:hAnsi="Arial" w:cs="Times New Roman"/>
                            <w:sz w:val="20"/>
                          </w:rPr>
                          <w:t>improve their resilience, wellbeing and mental health when experiencing family breakdown or dysfunction</w:t>
                        </w:r>
                      </w:p>
                    </w:tc>
                    <w:tc>
                      <w:tcPr>
                        <w:tcW w:w="4351" w:type="dxa"/>
                        <w:tcBorders>
                          <w:top w:val="single" w:sz="4" w:space="0" w:color="36424A" w:themeColor="background2"/>
                          <w:left w:val="single" w:sz="4" w:space="0" w:color="36424A" w:themeColor="background2"/>
                          <w:bottom w:val="nil"/>
                        </w:tcBorders>
                        <w:shd w:val="clear" w:color="auto" w:fill="ECF3DF" w:themeFill="accent5" w:themeFillTint="66"/>
                      </w:tcPr>
                      <w:p w14:paraId="0318B0C5" w14:textId="33777E02" w:rsidR="00B76CCE" w:rsidRPr="008F628F" w:rsidRDefault="008F628F" w:rsidP="00442C8A">
                        <w:pPr>
                          <w:spacing w:before="40" w:line="228" w:lineRule="auto"/>
                          <w:rPr>
                            <w:rFonts w:ascii="Arial" w:hAnsi="Arial" w:cs="Times New Roman"/>
                            <w:iCs/>
                            <w:sz w:val="20"/>
                          </w:rPr>
                        </w:pPr>
                        <w:r>
                          <w:rPr>
                            <w:rFonts w:ascii="Arial" w:hAnsi="Arial" w:cs="Times New Roman"/>
                            <w:iCs/>
                            <w:sz w:val="20"/>
                          </w:rPr>
                          <w:t>People</w:t>
                        </w:r>
                        <w:r w:rsidR="00B76CCE" w:rsidRPr="008F628F">
                          <w:rPr>
                            <w:rFonts w:ascii="Arial" w:hAnsi="Arial" w:cs="Times New Roman"/>
                            <w:iCs/>
                            <w:sz w:val="20"/>
                          </w:rPr>
                          <w:t xml:space="preserve"> who use violence use effective strategies to: </w:t>
                        </w:r>
                      </w:p>
                      <w:p w14:paraId="65423255" w14:textId="77777777" w:rsidR="00B76CCE" w:rsidRPr="008F628F" w:rsidRDefault="00B76CCE" w:rsidP="00355FDF">
                        <w:pPr>
                          <w:numPr>
                            <w:ilvl w:val="0"/>
                            <w:numId w:val="130"/>
                          </w:numPr>
                          <w:spacing w:line="228" w:lineRule="auto"/>
                          <w:ind w:left="221" w:hanging="221"/>
                          <w:rPr>
                            <w:rFonts w:ascii="Arial" w:hAnsi="Arial" w:cs="Times New Roman"/>
                            <w:iCs/>
                            <w:sz w:val="20"/>
                          </w:rPr>
                        </w:pPr>
                        <w:r w:rsidRPr="008F628F">
                          <w:rPr>
                            <w:rFonts w:ascii="Arial" w:hAnsi="Arial" w:cs="Times New Roman"/>
                            <w:iCs/>
                            <w:sz w:val="20"/>
                          </w:rPr>
                          <w:t xml:space="preserve">reduce their violent and abusive behaviours and </w:t>
                        </w:r>
                      </w:p>
                      <w:p w14:paraId="3791CCA2" w14:textId="77777777" w:rsidR="00B76CCE" w:rsidRPr="008F628F" w:rsidRDefault="00B76CCE" w:rsidP="00442C8A">
                        <w:pPr>
                          <w:numPr>
                            <w:ilvl w:val="0"/>
                            <w:numId w:val="130"/>
                          </w:numPr>
                          <w:spacing w:after="40" w:line="228" w:lineRule="auto"/>
                          <w:ind w:left="221" w:hanging="221"/>
                          <w:rPr>
                            <w:rFonts w:ascii="Arial" w:hAnsi="Arial" w:cs="Times New Roman"/>
                            <w:iCs/>
                            <w:sz w:val="20"/>
                          </w:rPr>
                        </w:pPr>
                        <w:r w:rsidRPr="008F628F">
                          <w:rPr>
                            <w:rFonts w:ascii="Arial" w:hAnsi="Arial" w:cs="Times New Roman"/>
                            <w:iCs/>
                            <w:sz w:val="20"/>
                          </w:rPr>
                          <w:t xml:space="preserve">seek help and access supports to reduce violent and abusive behaviours. </w:t>
                        </w:r>
                      </w:p>
                    </w:tc>
                  </w:tr>
                </w:tbl>
                <w:p w14:paraId="611E519B" w14:textId="77777777" w:rsidR="006223B7" w:rsidRPr="006223B7" w:rsidRDefault="006223B7" w:rsidP="006223B7">
                  <w:pPr>
                    <w:pStyle w:val="ListParagraph"/>
                    <w:keepNext/>
                    <w:numPr>
                      <w:ilvl w:val="0"/>
                      <w:numId w:val="29"/>
                    </w:numPr>
                    <w:spacing w:before="360" w:after="120" w:line="274" w:lineRule="auto"/>
                    <w:contextualSpacing w:val="0"/>
                    <w:outlineLvl w:val="1"/>
                    <w:rPr>
                      <w:rFonts w:ascii="Arial" w:hAnsi="Arial"/>
                      <w:b/>
                      <w:bCs/>
                      <w:vanish/>
                      <w:color w:val="007E00" w:themeColor="accent3"/>
                      <w:sz w:val="36"/>
                      <w:szCs w:val="36"/>
                    </w:rPr>
                  </w:pPr>
                  <w:bookmarkStart w:id="356" w:name="_Toc205409126"/>
                  <w:bookmarkStart w:id="357" w:name="_Toc205409736"/>
                  <w:bookmarkStart w:id="358" w:name="_Toc205416190"/>
                  <w:bookmarkStart w:id="359" w:name="_Toc205416283"/>
                  <w:bookmarkStart w:id="360" w:name="_Toc205416351"/>
                  <w:bookmarkStart w:id="361" w:name="_Toc205478451"/>
                  <w:bookmarkStart w:id="362" w:name="_Toc208225071"/>
                  <w:bookmarkStart w:id="363" w:name="_Toc208242847"/>
                  <w:bookmarkStart w:id="364" w:name="_Toc208906852"/>
                  <w:bookmarkStart w:id="365" w:name="_Ref205400027"/>
                  <w:bookmarkEnd w:id="356"/>
                  <w:bookmarkEnd w:id="357"/>
                  <w:bookmarkEnd w:id="358"/>
                  <w:bookmarkEnd w:id="359"/>
                  <w:bookmarkEnd w:id="360"/>
                  <w:bookmarkEnd w:id="361"/>
                  <w:bookmarkEnd w:id="362"/>
                  <w:bookmarkEnd w:id="363"/>
                  <w:bookmarkEnd w:id="364"/>
                </w:p>
                <w:p w14:paraId="35FF76BF" w14:textId="21EB7619" w:rsidR="005D01A4" w:rsidRPr="00FF699B" w:rsidRDefault="005D01A4" w:rsidP="006223B7">
                  <w:pPr>
                    <w:pStyle w:val="Heading2"/>
                  </w:pPr>
                  <w:bookmarkStart w:id="366" w:name="_Toc208906853"/>
                  <w:r>
                    <w:t>Key findings</w:t>
                  </w:r>
                  <w:bookmarkEnd w:id="366"/>
                  <w:r>
                    <w:t xml:space="preserve"> </w:t>
                  </w:r>
                </w:p>
                <w:tbl>
                  <w:tblPr>
                    <w:tblStyle w:val="ACTableDesign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4" w:type="dxa"/>
                      <w:right w:w="284" w:type="dxa"/>
                    </w:tblCellMar>
                    <w:tblLook w:val="04A0" w:firstRow="1" w:lastRow="0" w:firstColumn="1" w:lastColumn="0" w:noHBand="0" w:noVBand="1"/>
                  </w:tblPr>
                  <w:tblGrid>
                    <w:gridCol w:w="724"/>
                    <w:gridCol w:w="8305"/>
                  </w:tblGrid>
                  <w:tr w:rsidR="003B12D7" w:rsidRPr="00C73D94" w14:paraId="2C2F7759"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29" w:type="dxa"/>
                        <w:gridSpan w:val="2"/>
                        <w:tcBorders>
                          <w:bottom w:val="single" w:sz="36" w:space="0" w:color="FFFFFF"/>
                        </w:tcBorders>
                        <w:shd w:val="clear" w:color="auto" w:fill="007E00"/>
                      </w:tcPr>
                      <w:p w14:paraId="2EFC9D68" w14:textId="482405AA" w:rsidR="003B12D7" w:rsidRPr="00D63E8D" w:rsidRDefault="009F0B55">
                        <w:pPr>
                          <w:spacing w:before="240"/>
                          <w:rPr>
                            <w:rFonts w:eastAsia="Arial" w:cs="Times New Roman"/>
                            <w:bCs/>
                            <w:spacing w:val="2"/>
                            <w:lang w:val="en-GB"/>
                          </w:rPr>
                        </w:pPr>
                        <w:r>
                          <w:rPr>
                            <w:rFonts w:eastAsia="Arial" w:cs="Times New Roman"/>
                            <w:bCs/>
                            <w:color w:val="FFFFFF"/>
                            <w:spacing w:val="2"/>
                            <w:lang w:val="en-GB"/>
                          </w:rPr>
                          <w:t>Findings</w:t>
                        </w:r>
                        <w:r w:rsidR="003B12D7" w:rsidRPr="00D63E8D">
                          <w:rPr>
                            <w:rFonts w:eastAsia="Arial" w:cs="Times New Roman"/>
                            <w:bCs/>
                            <w:color w:val="FFFFFF"/>
                            <w:spacing w:val="2"/>
                            <w:lang w:val="en-GB"/>
                          </w:rPr>
                          <w:t xml:space="preserve"> </w:t>
                        </w:r>
                      </w:p>
                    </w:tc>
                  </w:tr>
                  <w:tr w:rsidR="003B12D7" w:rsidRPr="00C73D94" w14:paraId="274F743C" w14:textId="77777777" w:rsidTr="00B80E6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8" w:type="dxa"/>
                        <w:tcBorders>
                          <w:top w:val="single" w:sz="36" w:space="0" w:color="FFFFFF"/>
                          <w:bottom w:val="single" w:sz="18" w:space="0" w:color="FFFFFF"/>
                          <w:right w:val="single" w:sz="18" w:space="0" w:color="FFFFFF"/>
                        </w:tcBorders>
                        <w:shd w:val="clear" w:color="auto" w:fill="F5F9EF"/>
                      </w:tcPr>
                      <w:p w14:paraId="34025FA2" w14:textId="77777777" w:rsidR="003B12D7" w:rsidRPr="00C73D94" w:rsidRDefault="003B12D7">
                        <w:pPr>
                          <w:rPr>
                            <w:rFonts w:eastAsia="Arial" w:cs="Times New Roman"/>
                            <w:b/>
                            <w:bCs/>
                            <w:sz w:val="28"/>
                            <w:szCs w:val="28"/>
                          </w:rPr>
                        </w:pPr>
                        <w:r>
                          <w:rPr>
                            <w:rFonts w:eastAsia="Arial" w:cs="Times New Roman"/>
                            <w:b/>
                            <w:bCs/>
                            <w:sz w:val="28"/>
                            <w:szCs w:val="28"/>
                          </w:rPr>
                          <w:t>2</w:t>
                        </w:r>
                      </w:p>
                    </w:tc>
                    <w:tc>
                      <w:tcPr>
                        <w:tcW w:w="8441" w:type="dxa"/>
                        <w:tcBorders>
                          <w:top w:val="single" w:sz="36" w:space="0" w:color="FFFFFF"/>
                          <w:left w:val="single" w:sz="18" w:space="0" w:color="FFFFFF"/>
                          <w:bottom w:val="single" w:sz="18" w:space="0" w:color="FFFFFF"/>
                        </w:tcBorders>
                        <w:shd w:val="clear" w:color="auto" w:fill="F5F9EF"/>
                      </w:tcPr>
                      <w:p w14:paraId="5A1B9C92" w14:textId="77777777" w:rsidR="003B12D7" w:rsidRPr="00777666" w:rsidRDefault="003B12D7">
                        <w:pPr>
                          <w:cnfStyle w:val="000000100000" w:firstRow="0" w:lastRow="0" w:firstColumn="0" w:lastColumn="0" w:oddVBand="0" w:evenVBand="0" w:oddHBand="1" w:evenHBand="0" w:firstRowFirstColumn="0" w:firstRowLastColumn="0" w:lastRowFirstColumn="0" w:lastRowLastColumn="0"/>
                          <w:rPr>
                            <w:rFonts w:eastAsia="Arial" w:cs="Times New Roman"/>
                            <w:b/>
                            <w:bCs/>
                          </w:rPr>
                        </w:pPr>
                        <w:r w:rsidRPr="00A24C3D">
                          <w:rPr>
                            <w:rFonts w:eastAsia="Arial" w:cs="Times New Roman"/>
                            <w:b/>
                            <w:bCs/>
                          </w:rPr>
                          <w:t xml:space="preserve">FaRS and SFVS are effective in improving outcomes </w:t>
                        </w:r>
                        <w:r w:rsidRPr="000A727E">
                          <w:rPr>
                            <w:rFonts w:eastAsia="Arial" w:cs="Times New Roman"/>
                            <w:b/>
                            <w:bCs/>
                          </w:rPr>
                          <w:t>in personal and family safety, mental health and wellbeing</w:t>
                        </w:r>
                        <w:r>
                          <w:rPr>
                            <w:rFonts w:eastAsia="Arial" w:cs="Times New Roman"/>
                            <w:b/>
                            <w:bCs/>
                          </w:rPr>
                          <w:t xml:space="preserve"> and </w:t>
                        </w:r>
                        <w:r w:rsidRPr="000A727E">
                          <w:rPr>
                            <w:rFonts w:eastAsia="Arial" w:cs="Times New Roman"/>
                            <w:b/>
                            <w:bCs/>
                          </w:rPr>
                          <w:t>relationships</w:t>
                        </w:r>
                        <w:r>
                          <w:rPr>
                            <w:rFonts w:eastAsia="Arial" w:cs="Times New Roman"/>
                            <w:b/>
                            <w:bCs/>
                          </w:rPr>
                          <w:t xml:space="preserve"> for</w:t>
                        </w:r>
                        <w:r w:rsidRPr="00A24C3D">
                          <w:rPr>
                            <w:rFonts w:eastAsia="Arial" w:cs="Times New Roman"/>
                            <w:b/>
                            <w:bCs/>
                          </w:rPr>
                          <w:t xml:space="preserve"> many Australians</w:t>
                        </w:r>
                        <w:r w:rsidRPr="00C73D94">
                          <w:rPr>
                            <w:rFonts w:eastAsia="Arial" w:cs="Times New Roman"/>
                            <w:b/>
                            <w:bCs/>
                          </w:rPr>
                          <w:t xml:space="preserve">. </w:t>
                        </w:r>
                      </w:p>
                      <w:p w14:paraId="70527B42" w14:textId="77777777" w:rsidR="003B12D7" w:rsidRPr="00A72ABB" w:rsidRDefault="003B12D7">
                        <w:pPr>
                          <w:cnfStyle w:val="000000100000" w:firstRow="0" w:lastRow="0" w:firstColumn="0" w:lastColumn="0" w:oddVBand="0" w:evenVBand="0" w:oddHBand="1" w:evenHBand="0" w:firstRowFirstColumn="0" w:firstRowLastColumn="0" w:lastRowFirstColumn="0" w:lastRowLastColumn="0"/>
                          <w:rPr>
                            <w:rFonts w:eastAsia="Arial" w:cs="Times New Roman"/>
                          </w:rPr>
                        </w:pPr>
                        <w:r>
                          <w:rPr>
                            <w:rFonts w:eastAsia="Arial" w:cs="Times New Roman"/>
                          </w:rPr>
                          <w:t xml:space="preserve">Overall, people who use FaRS and SFVS services experience improvements across the short- and medium-term outcomes in the Program Logics. These outcomes include improved knowledge and skills relating to personal and family safety, respectful relationships and conflict resolution, and resilience, wellbeing and mental health. </w:t>
                        </w:r>
                      </w:p>
                    </w:tc>
                  </w:tr>
                  <w:tr w:rsidR="003B12D7" w:rsidRPr="00C73D94" w14:paraId="29A8BCF8" w14:textId="77777777" w:rsidTr="00B80E6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8" w:type="dxa"/>
                        <w:tcBorders>
                          <w:top w:val="single" w:sz="36" w:space="0" w:color="FFFFFF"/>
                          <w:bottom w:val="single" w:sz="18" w:space="0" w:color="FFFFFF"/>
                          <w:right w:val="single" w:sz="18" w:space="0" w:color="FFFFFF"/>
                        </w:tcBorders>
                        <w:shd w:val="clear" w:color="auto" w:fill="F5F9EF"/>
                      </w:tcPr>
                      <w:p w14:paraId="2E2AF2F2" w14:textId="77777777" w:rsidR="003B12D7" w:rsidRPr="00C73D94" w:rsidRDefault="003B12D7">
                        <w:pPr>
                          <w:rPr>
                            <w:rFonts w:eastAsia="Arial" w:cs="Times New Roman"/>
                            <w:b/>
                            <w:bCs/>
                            <w:sz w:val="28"/>
                            <w:szCs w:val="28"/>
                          </w:rPr>
                        </w:pPr>
                        <w:r>
                          <w:rPr>
                            <w:rFonts w:eastAsia="Arial" w:cs="Times New Roman"/>
                            <w:b/>
                            <w:bCs/>
                            <w:sz w:val="28"/>
                            <w:szCs w:val="28"/>
                          </w:rPr>
                          <w:t>3</w:t>
                        </w:r>
                      </w:p>
                    </w:tc>
                    <w:tc>
                      <w:tcPr>
                        <w:tcW w:w="8441" w:type="dxa"/>
                        <w:tcBorders>
                          <w:top w:val="single" w:sz="36" w:space="0" w:color="FFFFFF"/>
                          <w:left w:val="single" w:sz="18" w:space="0" w:color="FFFFFF"/>
                          <w:bottom w:val="single" w:sz="18" w:space="0" w:color="FFFFFF"/>
                        </w:tcBorders>
                        <w:shd w:val="clear" w:color="auto" w:fill="F5F9EF"/>
                      </w:tcPr>
                      <w:p w14:paraId="40B6FCE4" w14:textId="77777777" w:rsidR="003B12D7" w:rsidRDefault="003B12D7">
                        <w:pPr>
                          <w:cnfStyle w:val="000000010000" w:firstRow="0" w:lastRow="0" w:firstColumn="0" w:lastColumn="0" w:oddVBand="0" w:evenVBand="0" w:oddHBand="0" w:evenHBand="1" w:firstRowFirstColumn="0" w:firstRowLastColumn="0" w:lastRowFirstColumn="0" w:lastRowLastColumn="0"/>
                          <w:rPr>
                            <w:rFonts w:eastAsia="Arial" w:cs="Times New Roman"/>
                            <w:b/>
                            <w:bCs/>
                          </w:rPr>
                        </w:pPr>
                        <w:r>
                          <w:rPr>
                            <w:rFonts w:eastAsia="Arial" w:cs="Times New Roman"/>
                            <w:b/>
                            <w:bCs/>
                          </w:rPr>
                          <w:t>The flexibility of the program guidelines is a key factor contributing to the effectiveness of FaRS and SFVS</w:t>
                        </w:r>
                      </w:p>
                      <w:p w14:paraId="47107B8A" w14:textId="489E785A" w:rsidR="003B12D7" w:rsidRDefault="003B12D7">
                        <w:pPr>
                          <w:cnfStyle w:val="000000010000" w:firstRow="0" w:lastRow="0" w:firstColumn="0" w:lastColumn="0" w:oddVBand="0" w:evenVBand="0" w:oddHBand="0" w:evenHBand="1" w:firstRowFirstColumn="0" w:firstRowLastColumn="0" w:lastRowFirstColumn="0" w:lastRowLastColumn="0"/>
                          <w:rPr>
                            <w:rFonts w:eastAsia="Arial" w:cs="Times New Roman"/>
                          </w:rPr>
                        </w:pPr>
                        <w:r w:rsidRPr="00C73D94">
                          <w:rPr>
                            <w:rFonts w:eastAsia="Arial" w:cs="Times New Roman"/>
                          </w:rPr>
                          <w:t xml:space="preserve">The FaRS and SFVS </w:t>
                        </w:r>
                        <w:r w:rsidR="00C11EAA">
                          <w:rPr>
                            <w:rFonts w:eastAsia="Arial" w:cs="Times New Roman"/>
                          </w:rPr>
                          <w:t>O</w:t>
                        </w:r>
                        <w:r>
                          <w:rPr>
                            <w:rFonts w:eastAsia="Arial" w:cs="Times New Roman"/>
                          </w:rPr>
                          <w:t>perational</w:t>
                        </w:r>
                        <w:r w:rsidRPr="00C73D94">
                          <w:rPr>
                            <w:rFonts w:eastAsia="Arial" w:cs="Times New Roman"/>
                          </w:rPr>
                          <w:t xml:space="preserve"> </w:t>
                        </w:r>
                        <w:r w:rsidR="00C11EAA">
                          <w:rPr>
                            <w:rFonts w:eastAsia="Arial" w:cs="Times New Roman"/>
                          </w:rPr>
                          <w:t>G</w:t>
                        </w:r>
                        <w:r w:rsidRPr="00C73D94">
                          <w:rPr>
                            <w:rFonts w:eastAsia="Arial" w:cs="Times New Roman"/>
                          </w:rPr>
                          <w:t xml:space="preserve">uidelines </w:t>
                        </w:r>
                        <w:r>
                          <w:rPr>
                            <w:rFonts w:eastAsia="Arial" w:cs="Times New Roman"/>
                          </w:rPr>
                          <w:t xml:space="preserve">grant service providers latitude to </w:t>
                        </w:r>
                        <w:r w:rsidRPr="00C73D94">
                          <w:rPr>
                            <w:rFonts w:eastAsia="Arial" w:cs="Times New Roman"/>
                          </w:rPr>
                          <w:t>tailor servic</w:t>
                        </w:r>
                        <w:r>
                          <w:rPr>
                            <w:rFonts w:eastAsia="Arial" w:cs="Times New Roman"/>
                          </w:rPr>
                          <w:t>e provision</w:t>
                        </w:r>
                        <w:r w:rsidRPr="00C73D94">
                          <w:rPr>
                            <w:rFonts w:eastAsia="Arial" w:cs="Times New Roman"/>
                          </w:rPr>
                          <w:t xml:space="preserve"> to the needs of their communities and individual service users.</w:t>
                        </w:r>
                        <w:r>
                          <w:rPr>
                            <w:rFonts w:eastAsia="Arial" w:cs="Times New Roman"/>
                          </w:rPr>
                          <w:t xml:space="preserve"> Service providers are using this flexibility to shape their service offerings and modes of delivery (including the use of virtual platforms) in ways that enhance outcomes.</w:t>
                        </w:r>
                      </w:p>
                      <w:p w14:paraId="5E602643" w14:textId="230A5EE5" w:rsidR="003B12D7" w:rsidRPr="00B85942" w:rsidRDefault="003B12D7">
                        <w:pPr>
                          <w:cnfStyle w:val="000000010000" w:firstRow="0" w:lastRow="0" w:firstColumn="0" w:lastColumn="0" w:oddVBand="0" w:evenVBand="0" w:oddHBand="0" w:evenHBand="1" w:firstRowFirstColumn="0" w:firstRowLastColumn="0" w:lastRowFirstColumn="0" w:lastRowLastColumn="0"/>
                          <w:rPr>
                            <w:rFonts w:eastAsia="Arial" w:cs="Times New Roman"/>
                          </w:rPr>
                        </w:pPr>
                        <w:r>
                          <w:rPr>
                            <w:rFonts w:eastAsia="Arial" w:cs="Times New Roman"/>
                          </w:rPr>
                          <w:t>While this flexibility is a key strength of the programs, there is evidence that the program guidelines are sometimes applied inconsistently. Further research is needed to understand how this impacts equitable access to services.</w:t>
                        </w:r>
                      </w:p>
                    </w:tc>
                  </w:tr>
                  <w:tr w:rsidR="003B12D7" w:rsidRPr="00C73D94" w14:paraId="542C541E" w14:textId="77777777" w:rsidTr="00B80E6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8" w:type="dxa"/>
                        <w:tcBorders>
                          <w:top w:val="single" w:sz="36" w:space="0" w:color="FFFFFF"/>
                          <w:bottom w:val="single" w:sz="18" w:space="0" w:color="FFFFFF"/>
                          <w:right w:val="single" w:sz="18" w:space="0" w:color="FFFFFF"/>
                        </w:tcBorders>
                        <w:shd w:val="clear" w:color="auto" w:fill="F5F9EF"/>
                      </w:tcPr>
                      <w:p w14:paraId="49664DC2" w14:textId="77777777" w:rsidR="003B12D7" w:rsidRPr="00C73D94" w:rsidRDefault="003B12D7">
                        <w:pPr>
                          <w:rPr>
                            <w:rFonts w:eastAsia="Arial" w:cs="Times New Roman"/>
                            <w:b/>
                            <w:bCs/>
                            <w:sz w:val="28"/>
                            <w:szCs w:val="28"/>
                          </w:rPr>
                        </w:pPr>
                        <w:r>
                          <w:rPr>
                            <w:rFonts w:eastAsia="Arial" w:cs="Times New Roman"/>
                            <w:b/>
                            <w:bCs/>
                            <w:sz w:val="28"/>
                            <w:szCs w:val="28"/>
                          </w:rPr>
                          <w:lastRenderedPageBreak/>
                          <w:t>4</w:t>
                        </w:r>
                      </w:p>
                    </w:tc>
                    <w:tc>
                      <w:tcPr>
                        <w:tcW w:w="8441" w:type="dxa"/>
                        <w:tcBorders>
                          <w:top w:val="single" w:sz="36" w:space="0" w:color="FFFFFF"/>
                          <w:left w:val="single" w:sz="18" w:space="0" w:color="FFFFFF"/>
                          <w:bottom w:val="single" w:sz="18" w:space="0" w:color="FFFFFF"/>
                        </w:tcBorders>
                        <w:shd w:val="clear" w:color="auto" w:fill="F5F9EF"/>
                      </w:tcPr>
                      <w:p w14:paraId="74C1F93E" w14:textId="77777777" w:rsidR="003B12D7" w:rsidRPr="00F74C00" w:rsidRDefault="003B12D7">
                        <w:pPr>
                          <w:cnfStyle w:val="000000100000" w:firstRow="0" w:lastRow="0" w:firstColumn="0" w:lastColumn="0" w:oddVBand="0" w:evenVBand="0" w:oddHBand="1" w:evenHBand="0" w:firstRowFirstColumn="0" w:firstRowLastColumn="0" w:lastRowFirstColumn="0" w:lastRowLastColumn="0"/>
                          <w:rPr>
                            <w:rFonts w:eastAsia="Arial" w:cs="Times New Roman"/>
                            <w:b/>
                            <w:bCs/>
                          </w:rPr>
                        </w:pPr>
                        <w:r>
                          <w:rPr>
                            <w:rFonts w:eastAsia="Arial" w:cs="Times New Roman"/>
                            <w:b/>
                            <w:bCs/>
                          </w:rPr>
                          <w:t xml:space="preserve">Changes in Australian society, service systems and workforce are placing </w:t>
                        </w:r>
                        <w:r w:rsidRPr="00F74C00">
                          <w:rPr>
                            <w:rFonts w:eastAsia="Arial" w:cs="Times New Roman"/>
                            <w:b/>
                            <w:bCs/>
                          </w:rPr>
                          <w:t xml:space="preserve">FaRS and SFVS </w:t>
                        </w:r>
                        <w:r>
                          <w:rPr>
                            <w:rFonts w:eastAsia="Arial" w:cs="Times New Roman"/>
                            <w:b/>
                            <w:bCs/>
                          </w:rPr>
                          <w:t xml:space="preserve">under pressure </w:t>
                        </w:r>
                      </w:p>
                      <w:p w14:paraId="5083C3B2" w14:textId="1B2A06AF" w:rsidR="003B12D7" w:rsidRDefault="003B12D7">
                        <w:pPr>
                          <w:cnfStyle w:val="000000100000" w:firstRow="0" w:lastRow="0" w:firstColumn="0" w:lastColumn="0" w:oddVBand="0" w:evenVBand="0" w:oddHBand="1" w:evenHBand="0" w:firstRowFirstColumn="0" w:firstRowLastColumn="0" w:lastRowFirstColumn="0" w:lastRowLastColumn="0"/>
                          <w:rPr>
                            <w:rFonts w:eastAsia="Arial" w:cs="Times New Roman"/>
                          </w:rPr>
                        </w:pPr>
                        <w:r>
                          <w:rPr>
                            <w:rFonts w:eastAsia="Arial" w:cs="Times New Roman"/>
                          </w:rPr>
                          <w:t xml:space="preserve">There is increasing complexity in service user presentations and needs. Service users are presenting with higher rates of family violence, mental ill health, neurodiversity and intersecting disadvantages. At the same time, service providers report challenges referring service users into a service system which is under strain. While a key enabler of the success of the FaRS and SFVS programs is the </w:t>
                        </w:r>
                        <w:r w:rsidRPr="00C73D94">
                          <w:rPr>
                            <w:rFonts w:eastAsia="Arial" w:cs="Times New Roman"/>
                          </w:rPr>
                          <w:t xml:space="preserve">expertise and </w:t>
                        </w:r>
                        <w:r>
                          <w:rPr>
                            <w:rFonts w:eastAsia="Arial" w:cs="Times New Roman"/>
                          </w:rPr>
                          <w:t>dedication</w:t>
                        </w:r>
                        <w:r w:rsidRPr="00C73D94">
                          <w:rPr>
                            <w:rFonts w:eastAsia="Arial" w:cs="Times New Roman"/>
                          </w:rPr>
                          <w:t xml:space="preserve"> of service providers</w:t>
                        </w:r>
                        <w:r>
                          <w:rPr>
                            <w:rFonts w:eastAsia="Arial" w:cs="Times New Roman"/>
                          </w:rPr>
                          <w:t xml:space="preserve">, some feel inadequately trained or equipped to meet the increasingly complex needs of many </w:t>
                        </w:r>
                        <w:r w:rsidR="003E3FB0">
                          <w:rPr>
                            <w:rFonts w:eastAsia="Arial" w:cs="Times New Roman"/>
                          </w:rPr>
                          <w:t>service users</w:t>
                        </w:r>
                        <w:r>
                          <w:rPr>
                            <w:rFonts w:eastAsia="Arial" w:cs="Times New Roman"/>
                          </w:rPr>
                          <w:t xml:space="preserve">. </w:t>
                        </w:r>
                      </w:p>
                      <w:p w14:paraId="69F76D63" w14:textId="77777777" w:rsidR="003B12D7" w:rsidRPr="004A0666" w:rsidRDefault="003B12D7">
                        <w:pPr>
                          <w:cnfStyle w:val="000000100000" w:firstRow="0" w:lastRow="0" w:firstColumn="0" w:lastColumn="0" w:oddVBand="0" w:evenVBand="0" w:oddHBand="1" w:evenHBand="0" w:firstRowFirstColumn="0" w:firstRowLastColumn="0" w:lastRowFirstColumn="0" w:lastRowLastColumn="0"/>
                          <w:rPr>
                            <w:rFonts w:eastAsia="Arial" w:cs="Times New Roman"/>
                          </w:rPr>
                        </w:pPr>
                        <w:r>
                          <w:rPr>
                            <w:rFonts w:eastAsia="Arial" w:cs="Times New Roman"/>
                          </w:rPr>
                          <w:t>These trends are increasing the demand for services, requiring more intensive and integrated service responses, and impacting providers’ capacity to respond to these demands.</w:t>
                        </w:r>
                      </w:p>
                    </w:tc>
                  </w:tr>
                  <w:tr w:rsidR="003B12D7" w:rsidRPr="00C73D94" w14:paraId="4E282617" w14:textId="77777777" w:rsidTr="00B80E6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8" w:type="dxa"/>
                        <w:tcBorders>
                          <w:top w:val="single" w:sz="18" w:space="0" w:color="FFFFFF"/>
                          <w:right w:val="single" w:sz="18" w:space="0" w:color="FFFFFF"/>
                        </w:tcBorders>
                        <w:shd w:val="clear" w:color="auto" w:fill="F5F9EF"/>
                      </w:tcPr>
                      <w:p w14:paraId="43A3E4FB" w14:textId="77777777" w:rsidR="003B12D7" w:rsidRPr="00C73D94" w:rsidRDefault="003B12D7">
                        <w:pPr>
                          <w:rPr>
                            <w:rFonts w:eastAsia="Arial" w:cs="Times New Roman"/>
                            <w:b/>
                            <w:bCs/>
                            <w:sz w:val="28"/>
                            <w:szCs w:val="28"/>
                          </w:rPr>
                        </w:pPr>
                        <w:r>
                          <w:rPr>
                            <w:rFonts w:eastAsia="Arial" w:cs="Times New Roman"/>
                            <w:b/>
                            <w:bCs/>
                            <w:sz w:val="28"/>
                            <w:szCs w:val="28"/>
                          </w:rPr>
                          <w:t>5</w:t>
                        </w:r>
                      </w:p>
                    </w:tc>
                    <w:tc>
                      <w:tcPr>
                        <w:tcW w:w="8441" w:type="dxa"/>
                        <w:tcBorders>
                          <w:top w:val="single" w:sz="18" w:space="0" w:color="FFFFFF"/>
                          <w:left w:val="single" w:sz="18" w:space="0" w:color="FFFFFF"/>
                        </w:tcBorders>
                        <w:shd w:val="clear" w:color="auto" w:fill="F5F9EF"/>
                        <w:vAlign w:val="top"/>
                      </w:tcPr>
                      <w:p w14:paraId="0194421C" w14:textId="027BF2A9" w:rsidR="003B12D7" w:rsidRDefault="003B12D7" w:rsidP="00D63E8D">
                        <w:pPr>
                          <w:cnfStyle w:val="000000010000" w:firstRow="0" w:lastRow="0" w:firstColumn="0" w:lastColumn="0" w:oddVBand="0" w:evenVBand="0" w:oddHBand="0" w:evenHBand="1" w:firstRowFirstColumn="0" w:firstRowLastColumn="0" w:lastRowFirstColumn="0" w:lastRowLastColumn="0"/>
                          <w:rPr>
                            <w:rFonts w:eastAsia="Arial" w:cs="Times New Roman"/>
                          </w:rPr>
                        </w:pPr>
                        <w:r w:rsidRPr="00C73D94">
                          <w:rPr>
                            <w:rFonts w:eastAsia="Arial" w:cs="Times New Roman"/>
                            <w:b/>
                            <w:bCs/>
                          </w:rPr>
                          <w:t>FaRS and SFVS are filling key gaps in the public health and social services system</w:t>
                        </w:r>
                        <w:r w:rsidRPr="00C73D94">
                          <w:rPr>
                            <w:rFonts w:eastAsia="Arial" w:cs="Times New Roman"/>
                          </w:rPr>
                          <w:t xml:space="preserve"> </w:t>
                        </w:r>
                      </w:p>
                      <w:p w14:paraId="2FB8E63E" w14:textId="6818E854" w:rsidR="003B12D7" w:rsidRDefault="003B12D7" w:rsidP="00321BC5">
                        <w:pPr>
                          <w:cnfStyle w:val="000000010000" w:firstRow="0" w:lastRow="0" w:firstColumn="0" w:lastColumn="0" w:oddVBand="0" w:evenVBand="0" w:oddHBand="0" w:evenHBand="1" w:firstRowFirstColumn="0" w:firstRowLastColumn="0" w:lastRowFirstColumn="0" w:lastRowLastColumn="0"/>
                          <w:rPr>
                            <w:rFonts w:eastAsia="Arial" w:cs="Times New Roman"/>
                          </w:rPr>
                        </w:pPr>
                        <w:r w:rsidRPr="0083579A">
                          <w:rPr>
                            <w:rFonts w:eastAsia="Arial" w:cs="Times New Roman"/>
                          </w:rPr>
                          <w:t>FaRS is intended to be primarily a prevention and early intervention program. Increasing client complexity mean FaRS and SFVS services</w:t>
                        </w:r>
                        <w:r>
                          <w:rPr>
                            <w:rFonts w:eastAsia="Arial" w:cs="Times New Roman"/>
                          </w:rPr>
                          <w:t xml:space="preserve"> are often providing services across the intervention spectrum, including crisis response. M</w:t>
                        </w:r>
                        <w:r w:rsidRPr="00C73D94">
                          <w:rPr>
                            <w:rFonts w:eastAsia="Arial" w:cs="Times New Roman"/>
                          </w:rPr>
                          <w:t>any service providers are delivering these services without adequate training and resources</w:t>
                        </w:r>
                        <w:r w:rsidRPr="00C73D94" w:rsidDel="000640C2">
                          <w:rPr>
                            <w:rFonts w:eastAsia="Arial" w:cs="Times New Roman"/>
                          </w:rPr>
                          <w:t>.</w:t>
                        </w:r>
                      </w:p>
                      <w:p w14:paraId="6365A998" w14:textId="78655CEB" w:rsidR="003B12D7" w:rsidRPr="00C73D94" w:rsidRDefault="003B12D7" w:rsidP="00321BC5">
                        <w:pPr>
                          <w:cnfStyle w:val="000000010000" w:firstRow="0" w:lastRow="0" w:firstColumn="0" w:lastColumn="0" w:oddVBand="0" w:evenVBand="0" w:oddHBand="0" w:evenHBand="1" w:firstRowFirstColumn="0" w:firstRowLastColumn="0" w:lastRowFirstColumn="0" w:lastRowLastColumn="0"/>
                          <w:rPr>
                            <w:rFonts w:eastAsia="Arial" w:cs="Times New Roman"/>
                          </w:rPr>
                        </w:pPr>
                        <w:r>
                          <w:rPr>
                            <w:rFonts w:eastAsia="Arial" w:cs="Times New Roman"/>
                          </w:rPr>
                          <w:t>There is evidence that a minority of FaRS service users are seeking support through the FaRS program because clinical mental health services are unavailable or inaccessible.</w:t>
                        </w:r>
                      </w:p>
                    </w:tc>
                  </w:tr>
                </w:tbl>
                <w:p w14:paraId="2381717C" w14:textId="49847EBF" w:rsidR="00D17BA5" w:rsidRPr="00FF699B" w:rsidRDefault="00823321" w:rsidP="002E7436">
                  <w:pPr>
                    <w:pStyle w:val="Heading2"/>
                  </w:pPr>
                  <w:bookmarkStart w:id="367" w:name="_Toc208225074"/>
                  <w:bookmarkStart w:id="368" w:name="_Toc208225183"/>
                  <w:bookmarkStart w:id="369" w:name="_Toc208225184"/>
                  <w:bookmarkStart w:id="370" w:name="_Toc208225185"/>
                  <w:bookmarkStart w:id="371" w:name="_Toc208225186"/>
                  <w:bookmarkStart w:id="372" w:name="_Toc208225274"/>
                  <w:bookmarkStart w:id="373" w:name="_Toc208225275"/>
                  <w:bookmarkStart w:id="374" w:name="_Toc208225276"/>
                  <w:bookmarkStart w:id="375" w:name="_Achievement_of_short"/>
                  <w:bookmarkStart w:id="376" w:name="_Toc208906854"/>
                  <w:bookmarkEnd w:id="367"/>
                  <w:bookmarkEnd w:id="368"/>
                  <w:bookmarkEnd w:id="369"/>
                  <w:bookmarkEnd w:id="370"/>
                  <w:bookmarkEnd w:id="371"/>
                  <w:bookmarkEnd w:id="372"/>
                  <w:bookmarkEnd w:id="373"/>
                  <w:bookmarkEnd w:id="374"/>
                  <w:bookmarkEnd w:id="375"/>
                  <w:r>
                    <w:t>Achievement of short</w:t>
                  </w:r>
                  <w:r w:rsidR="00D17BA5" w:rsidRPr="00FF699B">
                    <w:t xml:space="preserve"> and medium-term outcomes</w:t>
                  </w:r>
                  <w:bookmarkEnd w:id="376"/>
                  <w:r w:rsidR="00D17BA5" w:rsidRPr="00FF699B">
                    <w:t xml:space="preserve"> </w:t>
                  </w:r>
                  <w:bookmarkEnd w:id="365"/>
                </w:p>
                <w:p w14:paraId="18E89DAF" w14:textId="07FC8FFC" w:rsidR="002A1F7B" w:rsidRDefault="00AD1C53" w:rsidP="00066FF4">
                  <w:pPr>
                    <w:pStyle w:val="Text"/>
                  </w:pPr>
                  <w:r>
                    <w:rPr>
                      <w:lang w:val="en-AU"/>
                    </w:rPr>
                    <w:t>T</w:t>
                  </w:r>
                  <w:r w:rsidR="00242773">
                    <w:rPr>
                      <w:lang w:val="en-AU"/>
                    </w:rPr>
                    <w:t xml:space="preserve">here is evidence that </w:t>
                  </w:r>
                  <w:r w:rsidR="000D03D0">
                    <w:rPr>
                      <w:lang w:val="en-AU"/>
                    </w:rPr>
                    <w:t>o</w:t>
                  </w:r>
                  <w:r w:rsidR="000D03D0" w:rsidRPr="000D03D0">
                    <w:rPr>
                      <w:lang w:val="en-AU"/>
                    </w:rPr>
                    <w:t>verall, people who use FaRS and SFVS services experience improvements across the short- and medium-term outcomes in the Program Logics</w:t>
                  </w:r>
                  <w:r w:rsidR="006B1A38">
                    <w:rPr>
                      <w:lang w:val="en-AU"/>
                    </w:rPr>
                    <w:t>.</w:t>
                  </w:r>
                  <w:r w:rsidR="006F65DA">
                    <w:rPr>
                      <w:lang w:val="en-AU"/>
                    </w:rPr>
                    <w:t xml:space="preserve"> DEX</w:t>
                  </w:r>
                  <w:r w:rsidR="00484933">
                    <w:rPr>
                      <w:lang w:val="en-AU"/>
                    </w:rPr>
                    <w:t>-</w:t>
                  </w:r>
                  <w:r w:rsidR="006F65DA">
                    <w:rPr>
                      <w:lang w:val="en-AU"/>
                    </w:rPr>
                    <w:t xml:space="preserve">SCORE data </w:t>
                  </w:r>
                  <w:r w:rsidR="000D1297">
                    <w:rPr>
                      <w:lang w:val="en-AU"/>
                    </w:rPr>
                    <w:t>demonstrate</w:t>
                  </w:r>
                  <w:r w:rsidR="0087575F">
                    <w:rPr>
                      <w:lang w:val="en-AU"/>
                    </w:rPr>
                    <w:t>s</w:t>
                  </w:r>
                  <w:r w:rsidR="000D1297">
                    <w:rPr>
                      <w:lang w:val="en-AU"/>
                    </w:rPr>
                    <w:t xml:space="preserve"> improvement in </w:t>
                  </w:r>
                  <w:r w:rsidR="006F65DA">
                    <w:t>the m</w:t>
                  </w:r>
                  <w:r w:rsidR="006F65DA" w:rsidRPr="008355D2">
                    <w:t xml:space="preserve">ean increase </w:t>
                  </w:r>
                  <w:r w:rsidR="0087575F">
                    <w:t xml:space="preserve">in earliest to latest SCORE changes </w:t>
                  </w:r>
                  <w:r w:rsidR="006F65DA" w:rsidRPr="008355D2">
                    <w:t xml:space="preserve">for </w:t>
                  </w:r>
                  <w:r w:rsidR="004778EC">
                    <w:t>Circumstance and Goal domains</w:t>
                  </w:r>
                  <w:r w:rsidR="004778EC" w:rsidRPr="00292952" w:rsidDel="004778EC">
                    <w:rPr>
                      <w:rStyle w:val="FootnoteReference"/>
                    </w:rPr>
                    <w:t xml:space="preserve"> </w:t>
                  </w:r>
                  <w:r w:rsidR="00053DED">
                    <w:t xml:space="preserve">(see </w:t>
                  </w:r>
                  <w:r w:rsidR="00FA74D5" w:rsidRPr="00E25AA9">
                    <w:rPr>
                      <w:b/>
                      <w:bCs/>
                    </w:rPr>
                    <w:fldChar w:fldCharType="begin" w:fldLock="1"/>
                  </w:r>
                  <w:r w:rsidR="00FA74D5" w:rsidRPr="00E25AA9">
                    <w:rPr>
                      <w:b/>
                      <w:bCs/>
                    </w:rPr>
                    <w:instrText xml:space="preserve"> REF _Ref208396878 \h </w:instrText>
                  </w:r>
                  <w:r w:rsidR="00E25AA9">
                    <w:rPr>
                      <w:b/>
                      <w:bCs/>
                    </w:rPr>
                    <w:instrText xml:space="preserve"> \* MERGEFORMAT </w:instrText>
                  </w:r>
                  <w:r w:rsidR="00FA74D5" w:rsidRPr="00E25AA9">
                    <w:rPr>
                      <w:b/>
                      <w:bCs/>
                    </w:rPr>
                  </w:r>
                  <w:r w:rsidR="00FA74D5" w:rsidRPr="00E25AA9">
                    <w:rPr>
                      <w:b/>
                      <w:bCs/>
                    </w:rPr>
                    <w:fldChar w:fldCharType="separate"/>
                  </w:r>
                  <w:r w:rsidR="008F22E5" w:rsidRPr="008F22E5">
                    <w:rPr>
                      <w:b/>
                      <w:bCs/>
                    </w:rPr>
                    <w:t xml:space="preserve">Table </w:t>
                  </w:r>
                  <w:r w:rsidR="008F22E5" w:rsidRPr="008F22E5">
                    <w:rPr>
                      <w:b/>
                      <w:bCs/>
                      <w:noProof/>
                    </w:rPr>
                    <w:t>16</w:t>
                  </w:r>
                  <w:r w:rsidR="00FA74D5" w:rsidRPr="00E25AA9">
                    <w:rPr>
                      <w:b/>
                      <w:bCs/>
                    </w:rPr>
                    <w:fldChar w:fldCharType="end"/>
                  </w:r>
                  <w:r w:rsidR="00FA74D5">
                    <w:t xml:space="preserve"> below</w:t>
                  </w:r>
                  <w:r w:rsidR="00053DED">
                    <w:t>)</w:t>
                  </w:r>
                  <w:r w:rsidR="004778EC">
                    <w:t>.</w:t>
                  </w:r>
                  <w:r w:rsidR="00E055C8">
                    <w:rPr>
                      <w:rFonts w:ascii="ZWAdobeF" w:hAnsi="ZWAdobeF" w:cs="ZWAdobeF"/>
                      <w:sz w:val="2"/>
                      <w:szCs w:val="2"/>
                    </w:rPr>
                    <w:t>10F</w:t>
                  </w:r>
                  <w:r w:rsidR="00780E8D" w:rsidRPr="00292952">
                    <w:rPr>
                      <w:rStyle w:val="FootnoteReference"/>
                    </w:rPr>
                    <w:footnoteReference w:id="12"/>
                  </w:r>
                  <w:r w:rsidR="006F65DA" w:rsidRPr="008355D2">
                    <w:t xml:space="preserve"> </w:t>
                  </w:r>
                  <w:r w:rsidR="00EA4287">
                    <w:rPr>
                      <w:lang w:val="en-AU"/>
                    </w:rPr>
                    <w:t>Th</w:t>
                  </w:r>
                  <w:r w:rsidR="00FA74D5">
                    <w:rPr>
                      <w:lang w:val="en-AU"/>
                    </w:rPr>
                    <w:t>is</w:t>
                  </w:r>
                  <w:r w:rsidR="00EA4287">
                    <w:rPr>
                      <w:lang w:val="en-AU"/>
                    </w:rPr>
                    <w:t xml:space="preserve"> align</w:t>
                  </w:r>
                  <w:r w:rsidR="00FA74D5">
                    <w:rPr>
                      <w:lang w:val="en-AU"/>
                    </w:rPr>
                    <w:t>s</w:t>
                  </w:r>
                  <w:r w:rsidR="00EA4287">
                    <w:rPr>
                      <w:lang w:val="en-AU"/>
                    </w:rPr>
                    <w:t xml:space="preserve"> with </w:t>
                  </w:r>
                  <w:r w:rsidR="00AE2DA1">
                    <w:t>feedback from</w:t>
                  </w:r>
                  <w:r w:rsidR="00AE2901">
                    <w:t xml:space="preserve"> service users, who reported</w:t>
                  </w:r>
                  <w:r w:rsidR="00AE2DA1">
                    <w:t xml:space="preserve"> in interviews</w:t>
                  </w:r>
                  <w:r w:rsidR="00AE2901">
                    <w:t xml:space="preserve"> </w:t>
                  </w:r>
                  <w:r w:rsidR="00FA74D5">
                    <w:t>and surveys</w:t>
                  </w:r>
                  <w:r w:rsidR="00AE2901">
                    <w:t xml:space="preserve"> that accessing a FaRS or SFVS service had </w:t>
                  </w:r>
                  <w:r w:rsidR="004D440C">
                    <w:t>a positive</w:t>
                  </w:r>
                  <w:r w:rsidR="00AE2901">
                    <w:t xml:space="preserve"> impact on their relationships, families</w:t>
                  </w:r>
                  <w:r w:rsidR="00FA74D5">
                    <w:t>,</w:t>
                  </w:r>
                  <w:r w:rsidR="00AE2901">
                    <w:t xml:space="preserve"> and</w:t>
                  </w:r>
                  <w:r w:rsidR="00AE2DA1">
                    <w:t>/or</w:t>
                  </w:r>
                  <w:r w:rsidR="00AE2901" w:rsidDel="00AE2DA1">
                    <w:t xml:space="preserve"> </w:t>
                  </w:r>
                  <w:r w:rsidR="00AE2901">
                    <w:t>their personal wellbeing</w:t>
                  </w:r>
                  <w:r w:rsidR="004778EC">
                    <w:t xml:space="preserve"> (see </w:t>
                  </w:r>
                  <w:r w:rsidR="004778EC" w:rsidRPr="00DE647E">
                    <w:rPr>
                      <w:b/>
                    </w:rPr>
                    <w:t>Section</w:t>
                  </w:r>
                  <w:r w:rsidR="005E18DB">
                    <w:rPr>
                      <w:b/>
                    </w:rPr>
                    <w:t xml:space="preserve"> </w:t>
                  </w:r>
                  <w:r w:rsidR="005E18DB">
                    <w:rPr>
                      <w:b/>
                    </w:rPr>
                    <w:fldChar w:fldCharType="begin" w:fldLock="1"/>
                  </w:r>
                  <w:r w:rsidR="005E18DB">
                    <w:rPr>
                      <w:b/>
                    </w:rPr>
                    <w:instrText xml:space="preserve"> REF _Ref208926271 \n \h </w:instrText>
                  </w:r>
                  <w:r w:rsidR="005E18DB">
                    <w:rPr>
                      <w:b/>
                    </w:rPr>
                  </w:r>
                  <w:r w:rsidR="005E18DB">
                    <w:rPr>
                      <w:b/>
                    </w:rPr>
                    <w:fldChar w:fldCharType="separate"/>
                  </w:r>
                  <w:r w:rsidR="008F22E5">
                    <w:rPr>
                      <w:b/>
                    </w:rPr>
                    <w:t>5.2.1</w:t>
                  </w:r>
                  <w:r w:rsidR="005E18DB">
                    <w:rPr>
                      <w:b/>
                    </w:rPr>
                    <w:fldChar w:fldCharType="end"/>
                  </w:r>
                  <w:r w:rsidR="00B96261">
                    <w:t xml:space="preserve"> and </w:t>
                  </w:r>
                  <w:r w:rsidR="00AE7424" w:rsidRPr="00DE647E">
                    <w:rPr>
                      <w:b/>
                      <w:bCs/>
                    </w:rPr>
                    <w:t xml:space="preserve">Section </w:t>
                  </w:r>
                  <w:r w:rsidR="00AE7424" w:rsidRPr="00DE647E">
                    <w:rPr>
                      <w:b/>
                      <w:bCs/>
                    </w:rPr>
                    <w:fldChar w:fldCharType="begin" w:fldLock="1"/>
                  </w:r>
                  <w:r w:rsidR="00AE7424" w:rsidRPr="00DE647E">
                    <w:rPr>
                      <w:b/>
                      <w:bCs/>
                    </w:rPr>
                    <w:instrText xml:space="preserve"> REF _Ref208397396 \r \h </w:instrText>
                  </w:r>
                  <w:r w:rsidR="00AE7424">
                    <w:rPr>
                      <w:b/>
                      <w:bCs/>
                    </w:rPr>
                    <w:instrText xml:space="preserve"> \* MERGEFORMAT </w:instrText>
                  </w:r>
                  <w:r w:rsidR="00AE7424" w:rsidRPr="00DE647E">
                    <w:rPr>
                      <w:b/>
                      <w:bCs/>
                    </w:rPr>
                  </w:r>
                  <w:r w:rsidR="00AE7424" w:rsidRPr="00DE647E">
                    <w:rPr>
                      <w:b/>
                      <w:bCs/>
                    </w:rPr>
                    <w:fldChar w:fldCharType="separate"/>
                  </w:r>
                  <w:r w:rsidR="008F22E5">
                    <w:rPr>
                      <w:b/>
                      <w:bCs/>
                    </w:rPr>
                    <w:t>5.2.2</w:t>
                  </w:r>
                  <w:r w:rsidR="00AE7424" w:rsidRPr="00DE647E">
                    <w:rPr>
                      <w:b/>
                      <w:bCs/>
                    </w:rPr>
                    <w:fldChar w:fldCharType="end"/>
                  </w:r>
                  <w:r w:rsidR="00B96261">
                    <w:t>).</w:t>
                  </w:r>
                  <w:r w:rsidR="004E2BDB">
                    <w:t xml:space="preserve"> </w:t>
                  </w:r>
                  <w:r w:rsidR="004E2BDB" w:rsidRPr="00321BC5">
                    <w:t>All comparisons were statistically significant (</w:t>
                  </w:r>
                  <w:r w:rsidR="004E2BDB" w:rsidRPr="00321BC5">
                    <w:rPr>
                      <w:i/>
                    </w:rPr>
                    <w:t>p</w:t>
                  </w:r>
                  <w:r w:rsidR="004E2BDB" w:rsidRPr="00321BC5">
                    <w:t>&lt;.001).</w:t>
                  </w:r>
                  <w:r w:rsidR="004E2BDB" w:rsidRPr="0021791D">
                    <w:t xml:space="preserve"> </w:t>
                  </w:r>
                </w:p>
                <w:p w14:paraId="62CB01F6" w14:textId="233BE294" w:rsidR="007D5D1E" w:rsidRPr="00323C72" w:rsidRDefault="005356FE" w:rsidP="00953B9E">
                  <w:pPr>
                    <w:pStyle w:val="TableFigure-Header"/>
                    <w:spacing w:line="276" w:lineRule="auto"/>
                    <w:jc w:val="both"/>
                    <w:rPr>
                      <w:rStyle w:val="Text-Bold"/>
                      <w:b/>
                    </w:rPr>
                  </w:pPr>
                  <w:bookmarkStart w:id="377" w:name="_Ref208396878"/>
                  <w:r w:rsidRPr="5AC90C80">
                    <w:rPr>
                      <w:lang w:val="en-NZ"/>
                    </w:rPr>
                    <w:lastRenderedPageBreak/>
                    <w:t xml:space="preserve">Table </w:t>
                  </w:r>
                  <w:r w:rsidRPr="5AC90C80">
                    <w:fldChar w:fldCharType="begin"/>
                  </w:r>
                  <w:r>
                    <w:instrText xml:space="preserve"> SEQ Table \* ARABIC </w:instrText>
                  </w:r>
                  <w:r w:rsidRPr="5AC90C80">
                    <w:fldChar w:fldCharType="separate"/>
                  </w:r>
                  <w:r w:rsidR="008D2566">
                    <w:rPr>
                      <w:noProof/>
                    </w:rPr>
                    <w:t>16</w:t>
                  </w:r>
                  <w:r w:rsidRPr="5AC90C80">
                    <w:rPr>
                      <w:noProof/>
                    </w:rPr>
                    <w:fldChar w:fldCharType="end"/>
                  </w:r>
                  <w:bookmarkEnd w:id="377"/>
                  <w:r w:rsidRPr="5AC90C80">
                    <w:rPr>
                      <w:lang w:val="en-NZ"/>
                    </w:rPr>
                    <w:t xml:space="preserve">: </w:t>
                  </w:r>
                  <w:r w:rsidR="001B35E0" w:rsidRPr="5AC90C80">
                    <w:rPr>
                      <w:lang w:val="en-NZ"/>
                    </w:rPr>
                    <w:t>E</w:t>
                  </w:r>
                  <w:r w:rsidR="00053DED" w:rsidRPr="5AC90C80">
                    <w:rPr>
                      <w:lang w:val="en-NZ"/>
                    </w:rPr>
                    <w:t xml:space="preserve">arliest to latest </w:t>
                  </w:r>
                  <w:r w:rsidR="001B35E0" w:rsidRPr="5AC90C80">
                    <w:rPr>
                      <w:lang w:val="en-NZ"/>
                    </w:rPr>
                    <w:t>mean</w:t>
                  </w:r>
                  <w:r w:rsidRPr="5AC90C80">
                    <w:rPr>
                      <w:lang w:val="en-NZ"/>
                    </w:rPr>
                    <w:t xml:space="preserve"> SCORE change for overall Circumstance and Goal domains, FaRS and SFVS</w:t>
                  </w:r>
                  <w:r w:rsidR="705B5FDF" w:rsidRPr="5AC90C80">
                    <w:rPr>
                      <w:rStyle w:val="Text-Bold"/>
                    </w:rPr>
                    <w:t xml:space="preserve">, </w:t>
                  </w:r>
                  <w:r w:rsidR="705B5FDF" w:rsidRPr="00323C72">
                    <w:rPr>
                      <w:rStyle w:val="Text-Bold"/>
                      <w:b/>
                    </w:rPr>
                    <w:t>July 2021 – June 2024</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2"/>
                    <w:gridCol w:w="1843"/>
                    <w:gridCol w:w="2551"/>
                    <w:gridCol w:w="3213"/>
                  </w:tblGrid>
                  <w:tr w:rsidR="00751B2B" w:rsidRPr="00036888" w14:paraId="5F9A45C7" w14:textId="77777777" w:rsidTr="00093F50">
                    <w:trPr>
                      <w:trHeight w:val="327"/>
                    </w:trPr>
                    <w:tc>
                      <w:tcPr>
                        <w:tcW w:w="783" w:type="pct"/>
                        <w:shd w:val="clear" w:color="auto" w:fill="007E00" w:themeFill="accent3"/>
                        <w:noWrap/>
                        <w:hideMark/>
                      </w:tcPr>
                      <w:p w14:paraId="7C5DCF77" w14:textId="77777777" w:rsidR="00D23EEB" w:rsidRPr="00F6254E" w:rsidRDefault="00D23EEB">
                        <w:pPr>
                          <w:pStyle w:val="TableText"/>
                          <w:rPr>
                            <w:b/>
                            <w:bCs/>
                            <w:color w:val="FFFFFF" w:themeColor="background1"/>
                          </w:rPr>
                        </w:pPr>
                        <w:r w:rsidRPr="00F6254E">
                          <w:rPr>
                            <w:b/>
                            <w:bCs/>
                            <w:color w:val="FFFFFF" w:themeColor="background1"/>
                          </w:rPr>
                          <w:t>Activity</w:t>
                        </w:r>
                      </w:p>
                    </w:tc>
                    <w:tc>
                      <w:tcPr>
                        <w:tcW w:w="1022" w:type="pct"/>
                        <w:shd w:val="clear" w:color="auto" w:fill="007E00" w:themeFill="accent3"/>
                        <w:noWrap/>
                        <w:hideMark/>
                      </w:tcPr>
                      <w:p w14:paraId="35ECF04F" w14:textId="39AEBF8D" w:rsidR="00D23EEB" w:rsidRPr="00F6254E" w:rsidRDefault="00D23EEB">
                        <w:pPr>
                          <w:pStyle w:val="TableText"/>
                          <w:rPr>
                            <w:b/>
                            <w:bCs/>
                            <w:color w:val="FFFFFF" w:themeColor="background1"/>
                          </w:rPr>
                        </w:pPr>
                        <w:r w:rsidRPr="00F6254E">
                          <w:rPr>
                            <w:b/>
                            <w:bCs/>
                            <w:color w:val="FFFFFF" w:themeColor="background1"/>
                          </w:rPr>
                          <w:t xml:space="preserve">Outcome </w:t>
                        </w:r>
                        <w:r w:rsidR="007F134C">
                          <w:rPr>
                            <w:b/>
                            <w:bCs/>
                            <w:color w:val="FFFFFF" w:themeColor="background1"/>
                          </w:rPr>
                          <w:t>t</w:t>
                        </w:r>
                        <w:r w:rsidR="007F134C" w:rsidRPr="00F6254E">
                          <w:rPr>
                            <w:b/>
                            <w:bCs/>
                            <w:color w:val="FFFFFF" w:themeColor="background1"/>
                          </w:rPr>
                          <w:t>ype</w:t>
                        </w:r>
                      </w:p>
                    </w:tc>
                    <w:tc>
                      <w:tcPr>
                        <w:tcW w:w="1414" w:type="pct"/>
                        <w:shd w:val="clear" w:color="auto" w:fill="007E00" w:themeFill="accent3"/>
                      </w:tcPr>
                      <w:p w14:paraId="485505CC" w14:textId="70F309CA" w:rsidR="007F134C" w:rsidRDefault="007F134C">
                        <w:pPr>
                          <w:pStyle w:val="TableText"/>
                          <w:rPr>
                            <w:b/>
                            <w:bCs/>
                            <w:color w:val="FFFFFF" w:themeColor="background1"/>
                          </w:rPr>
                        </w:pPr>
                        <w:r>
                          <w:rPr>
                            <w:b/>
                            <w:bCs/>
                            <w:color w:val="FFFFFF" w:themeColor="background1"/>
                          </w:rPr>
                          <w:t xml:space="preserve">Total service users </w:t>
                        </w:r>
                        <w:r w:rsidR="0048694E">
                          <w:rPr>
                            <w:b/>
                            <w:bCs/>
                            <w:color w:val="FFFFFF" w:themeColor="background1"/>
                          </w:rPr>
                          <w:t>(n=)</w:t>
                        </w:r>
                      </w:p>
                    </w:tc>
                    <w:tc>
                      <w:tcPr>
                        <w:tcW w:w="1781" w:type="pct"/>
                        <w:shd w:val="clear" w:color="auto" w:fill="007E00" w:themeFill="accent3"/>
                        <w:noWrap/>
                        <w:hideMark/>
                      </w:tcPr>
                      <w:p w14:paraId="6D6CCE1A" w14:textId="4CC14170" w:rsidR="00D23EEB" w:rsidRPr="00F6254E" w:rsidRDefault="00D23EEB">
                        <w:pPr>
                          <w:pStyle w:val="TableText"/>
                          <w:rPr>
                            <w:b/>
                            <w:bCs/>
                            <w:color w:val="FFFFFF" w:themeColor="background1"/>
                          </w:rPr>
                        </w:pPr>
                        <w:r w:rsidRPr="00F6254E">
                          <w:rPr>
                            <w:b/>
                            <w:bCs/>
                            <w:color w:val="FFFFFF" w:themeColor="background1"/>
                          </w:rPr>
                          <w:t>SCORE change (mean</w:t>
                        </w:r>
                        <w:r w:rsidR="007F134C">
                          <w:rPr>
                            <w:b/>
                            <w:bCs/>
                            <w:color w:val="FFFFFF" w:themeColor="background1"/>
                          </w:rPr>
                          <w:t>)</w:t>
                        </w:r>
                      </w:p>
                    </w:tc>
                  </w:tr>
                  <w:tr w:rsidR="00751B2B" w:rsidRPr="00036888" w14:paraId="1802134E" w14:textId="77777777" w:rsidTr="00093F50">
                    <w:trPr>
                      <w:trHeight w:val="327"/>
                    </w:trPr>
                    <w:tc>
                      <w:tcPr>
                        <w:tcW w:w="783" w:type="pct"/>
                        <w:vMerge w:val="restart"/>
                        <w:noWrap/>
                        <w:hideMark/>
                      </w:tcPr>
                      <w:p w14:paraId="3C73D723" w14:textId="7DCF4210" w:rsidR="00D23EEB" w:rsidRPr="0078378F" w:rsidRDefault="00D23EEB">
                        <w:pPr>
                          <w:pStyle w:val="TableText"/>
                        </w:pPr>
                        <w:r w:rsidRPr="0078378F">
                          <w:rPr>
                            <w:lang w:val="en-NZ"/>
                          </w:rPr>
                          <w:t>FaRS</w:t>
                        </w:r>
                      </w:p>
                    </w:tc>
                    <w:tc>
                      <w:tcPr>
                        <w:tcW w:w="1022" w:type="pct"/>
                        <w:noWrap/>
                        <w:hideMark/>
                      </w:tcPr>
                      <w:p w14:paraId="43111D27" w14:textId="77777777" w:rsidR="00D23EEB" w:rsidRPr="0078378F" w:rsidRDefault="00D23EEB">
                        <w:pPr>
                          <w:pStyle w:val="TableText"/>
                        </w:pPr>
                        <w:r w:rsidRPr="0078378F">
                          <w:t>Circumstances</w:t>
                        </w:r>
                      </w:p>
                    </w:tc>
                    <w:tc>
                      <w:tcPr>
                        <w:tcW w:w="1414" w:type="pct"/>
                      </w:tcPr>
                      <w:p w14:paraId="5617BD2C" w14:textId="2D784AD3" w:rsidR="007F134C" w:rsidRDefault="007F134C" w:rsidP="007F134C">
                        <w:pPr>
                          <w:pStyle w:val="TableText"/>
                          <w:numPr>
                            <w:ilvl w:val="0"/>
                            <w:numId w:val="0"/>
                          </w:numPr>
                        </w:pPr>
                        <w:r>
                          <w:t>73,827</w:t>
                        </w:r>
                      </w:p>
                    </w:tc>
                    <w:tc>
                      <w:tcPr>
                        <w:tcW w:w="1781" w:type="pct"/>
                        <w:noWrap/>
                        <w:hideMark/>
                      </w:tcPr>
                      <w:p w14:paraId="221A300F" w14:textId="2CF839D5" w:rsidR="00D23EEB" w:rsidRPr="00036888" w:rsidRDefault="00D23EEB" w:rsidP="00D63E8D">
                        <w:pPr>
                          <w:pStyle w:val="TableText"/>
                          <w:numPr>
                            <w:ilvl w:val="0"/>
                            <w:numId w:val="0"/>
                          </w:numPr>
                        </w:pPr>
                        <w:r>
                          <w:t>+</w:t>
                        </w:r>
                        <w:r w:rsidRPr="00036888">
                          <w:t>0.77</w:t>
                        </w:r>
                        <w:r>
                          <w:t xml:space="preserve"> </w:t>
                        </w:r>
                      </w:p>
                    </w:tc>
                  </w:tr>
                  <w:tr w:rsidR="00751B2B" w:rsidRPr="00036888" w14:paraId="21DD9489" w14:textId="77777777" w:rsidTr="00093F50">
                    <w:trPr>
                      <w:trHeight w:val="327"/>
                    </w:trPr>
                    <w:tc>
                      <w:tcPr>
                        <w:tcW w:w="783" w:type="pct"/>
                        <w:vMerge/>
                        <w:hideMark/>
                      </w:tcPr>
                      <w:p w14:paraId="22AB4ABD" w14:textId="77777777" w:rsidR="00D23EEB" w:rsidRPr="0078378F" w:rsidRDefault="00D23EEB">
                        <w:pPr>
                          <w:pStyle w:val="TableText"/>
                        </w:pPr>
                      </w:p>
                    </w:tc>
                    <w:tc>
                      <w:tcPr>
                        <w:tcW w:w="1022" w:type="pct"/>
                        <w:noWrap/>
                        <w:hideMark/>
                      </w:tcPr>
                      <w:p w14:paraId="205EFF5E" w14:textId="77777777" w:rsidR="00D23EEB" w:rsidRPr="0078378F" w:rsidRDefault="00D23EEB">
                        <w:pPr>
                          <w:pStyle w:val="TableText"/>
                        </w:pPr>
                        <w:r w:rsidRPr="0078378F">
                          <w:t>Goals</w:t>
                        </w:r>
                      </w:p>
                    </w:tc>
                    <w:tc>
                      <w:tcPr>
                        <w:tcW w:w="1414" w:type="pct"/>
                      </w:tcPr>
                      <w:p w14:paraId="6D9EF3E1" w14:textId="38EED856" w:rsidR="007F134C" w:rsidRDefault="007F134C" w:rsidP="007F134C">
                        <w:pPr>
                          <w:pStyle w:val="TableText"/>
                        </w:pPr>
                        <w:r>
                          <w:t>73,483</w:t>
                        </w:r>
                      </w:p>
                    </w:tc>
                    <w:tc>
                      <w:tcPr>
                        <w:tcW w:w="1781" w:type="pct"/>
                        <w:noWrap/>
                        <w:hideMark/>
                      </w:tcPr>
                      <w:p w14:paraId="3C1BE176" w14:textId="49CF798B" w:rsidR="00D23EEB" w:rsidRPr="00036888" w:rsidRDefault="00D23EEB">
                        <w:pPr>
                          <w:pStyle w:val="TableText"/>
                        </w:pPr>
                        <w:r>
                          <w:t>+</w:t>
                        </w:r>
                        <w:r w:rsidRPr="00036888">
                          <w:t>1.13</w:t>
                        </w:r>
                        <w:r>
                          <w:t xml:space="preserve"> </w:t>
                        </w:r>
                      </w:p>
                    </w:tc>
                  </w:tr>
                  <w:tr w:rsidR="00751B2B" w:rsidRPr="00036888" w14:paraId="453598E9" w14:textId="77777777" w:rsidTr="00093F50">
                    <w:trPr>
                      <w:trHeight w:val="327"/>
                    </w:trPr>
                    <w:tc>
                      <w:tcPr>
                        <w:tcW w:w="783" w:type="pct"/>
                        <w:vMerge w:val="restart"/>
                        <w:noWrap/>
                        <w:hideMark/>
                      </w:tcPr>
                      <w:p w14:paraId="4C98004B" w14:textId="77777777" w:rsidR="00D23EEB" w:rsidRPr="0078378F" w:rsidRDefault="00D23EEB">
                        <w:pPr>
                          <w:pStyle w:val="TableText"/>
                        </w:pPr>
                        <w:r w:rsidRPr="0078378F">
                          <w:t>SFVS (incl. 4AP2)</w:t>
                        </w:r>
                      </w:p>
                    </w:tc>
                    <w:tc>
                      <w:tcPr>
                        <w:tcW w:w="1022" w:type="pct"/>
                        <w:noWrap/>
                        <w:hideMark/>
                      </w:tcPr>
                      <w:p w14:paraId="7E5023BF" w14:textId="77777777" w:rsidR="00D23EEB" w:rsidRPr="0078378F" w:rsidRDefault="00D23EEB">
                        <w:pPr>
                          <w:pStyle w:val="TableText"/>
                        </w:pPr>
                        <w:r w:rsidRPr="0078378F">
                          <w:t>Circumstances</w:t>
                        </w:r>
                      </w:p>
                    </w:tc>
                    <w:tc>
                      <w:tcPr>
                        <w:tcW w:w="1414" w:type="pct"/>
                      </w:tcPr>
                      <w:p w14:paraId="17B68D2B" w14:textId="571313BB" w:rsidR="007F134C" w:rsidRDefault="007F134C" w:rsidP="007F134C">
                        <w:pPr>
                          <w:pStyle w:val="TableText"/>
                        </w:pPr>
                        <w:r>
                          <w:t>7,462</w:t>
                        </w:r>
                      </w:p>
                    </w:tc>
                    <w:tc>
                      <w:tcPr>
                        <w:tcW w:w="1781" w:type="pct"/>
                        <w:noWrap/>
                        <w:hideMark/>
                      </w:tcPr>
                      <w:p w14:paraId="17A7D2BF" w14:textId="3776A92E" w:rsidR="00D23EEB" w:rsidRPr="00036888" w:rsidRDefault="00D23EEB">
                        <w:pPr>
                          <w:pStyle w:val="TableText"/>
                        </w:pPr>
                        <w:r>
                          <w:t>+</w:t>
                        </w:r>
                        <w:r w:rsidRPr="00036888">
                          <w:t>0.92</w:t>
                        </w:r>
                        <w:r>
                          <w:t xml:space="preserve"> </w:t>
                        </w:r>
                      </w:p>
                    </w:tc>
                  </w:tr>
                  <w:tr w:rsidR="00751B2B" w:rsidRPr="00036888" w14:paraId="19B94CB3" w14:textId="77777777" w:rsidTr="00093F50">
                    <w:trPr>
                      <w:trHeight w:val="327"/>
                    </w:trPr>
                    <w:tc>
                      <w:tcPr>
                        <w:tcW w:w="783" w:type="pct"/>
                        <w:vMerge/>
                        <w:hideMark/>
                      </w:tcPr>
                      <w:p w14:paraId="3437F7C4" w14:textId="77777777" w:rsidR="00D23EEB" w:rsidRPr="0078378F" w:rsidRDefault="00D23EEB">
                        <w:pPr>
                          <w:pStyle w:val="TableText"/>
                        </w:pPr>
                      </w:p>
                    </w:tc>
                    <w:tc>
                      <w:tcPr>
                        <w:tcW w:w="1022" w:type="pct"/>
                        <w:noWrap/>
                        <w:hideMark/>
                      </w:tcPr>
                      <w:p w14:paraId="6228DADD" w14:textId="77777777" w:rsidR="00D23EEB" w:rsidRPr="0078378F" w:rsidRDefault="00D23EEB">
                        <w:pPr>
                          <w:pStyle w:val="TableText"/>
                        </w:pPr>
                        <w:r w:rsidRPr="0078378F">
                          <w:t>Goals</w:t>
                        </w:r>
                      </w:p>
                    </w:tc>
                    <w:tc>
                      <w:tcPr>
                        <w:tcW w:w="1414" w:type="pct"/>
                      </w:tcPr>
                      <w:p w14:paraId="0935A98F" w14:textId="6EF90CEC" w:rsidR="007F134C" w:rsidRDefault="007F134C" w:rsidP="007F134C">
                        <w:pPr>
                          <w:pStyle w:val="TableText"/>
                        </w:pPr>
                        <w:r>
                          <w:t>7,131</w:t>
                        </w:r>
                      </w:p>
                    </w:tc>
                    <w:tc>
                      <w:tcPr>
                        <w:tcW w:w="1781" w:type="pct"/>
                        <w:noWrap/>
                        <w:hideMark/>
                      </w:tcPr>
                      <w:p w14:paraId="32F24D40" w14:textId="5E4521D3" w:rsidR="00D23EEB" w:rsidRPr="00036888" w:rsidRDefault="00D23EEB">
                        <w:pPr>
                          <w:pStyle w:val="TableText"/>
                        </w:pPr>
                        <w:r>
                          <w:t>+</w:t>
                        </w:r>
                        <w:r w:rsidRPr="00036888">
                          <w:t>1.06</w:t>
                        </w:r>
                        <w:r>
                          <w:t xml:space="preserve"> </w:t>
                        </w:r>
                      </w:p>
                    </w:tc>
                  </w:tr>
                </w:tbl>
                <w:p w14:paraId="7E118F25" w14:textId="462926F2" w:rsidR="007D5D1E" w:rsidRDefault="00126C32" w:rsidP="003C5023">
                  <w:pPr>
                    <w:pStyle w:val="Text"/>
                    <w:rPr>
                      <w:i/>
                      <w:sz w:val="20"/>
                      <w:lang w:val="en-US"/>
                    </w:rPr>
                  </w:pPr>
                  <w:r w:rsidRPr="003C5023">
                    <w:rPr>
                      <w:i/>
                      <w:iCs/>
                      <w:sz w:val="20"/>
                      <w:szCs w:val="18"/>
                    </w:rPr>
                    <w:t xml:space="preserve">Source: </w:t>
                  </w:r>
                  <w:r w:rsidRPr="003C5023">
                    <w:rPr>
                      <w:i/>
                      <w:sz w:val="20"/>
                      <w:szCs w:val="18"/>
                    </w:rPr>
                    <w:t>DEX-SCORE</w:t>
                  </w:r>
                  <w:r w:rsidRPr="00F6254E">
                    <w:rPr>
                      <w:sz w:val="20"/>
                      <w:lang w:val="en-US"/>
                    </w:rPr>
                    <w:t xml:space="preserve"> </w:t>
                  </w:r>
                  <w:r w:rsidRPr="00F6254E">
                    <w:rPr>
                      <w:i/>
                      <w:iCs/>
                      <w:sz w:val="20"/>
                      <w:lang w:val="en-US"/>
                    </w:rPr>
                    <w:t>data</w:t>
                  </w:r>
                </w:p>
                <w:p w14:paraId="7606FB87" w14:textId="020BBCAC" w:rsidR="00053DED" w:rsidRPr="001569BA" w:rsidRDefault="00053DED" w:rsidP="003C5023">
                  <w:pPr>
                    <w:pStyle w:val="Text"/>
                  </w:pPr>
                  <w:r w:rsidRPr="00DE647E">
                    <w:rPr>
                      <w:lang w:val="en-US"/>
                    </w:rPr>
                    <w:t xml:space="preserve">Positive change was observed in 62.7% of FaRS </w:t>
                  </w:r>
                  <w:r w:rsidR="0081535F">
                    <w:rPr>
                      <w:lang w:val="en-US"/>
                    </w:rPr>
                    <w:t>service users</w:t>
                  </w:r>
                  <w:r w:rsidRPr="00DE647E">
                    <w:rPr>
                      <w:lang w:val="en-US"/>
                    </w:rPr>
                    <w:t xml:space="preserve"> and 66.5% of SFVS </w:t>
                  </w:r>
                  <w:r w:rsidR="0081535F">
                    <w:rPr>
                      <w:lang w:val="en-US"/>
                    </w:rPr>
                    <w:t>service users</w:t>
                  </w:r>
                  <w:r w:rsidRPr="00DE647E">
                    <w:rPr>
                      <w:lang w:val="en-US"/>
                    </w:rPr>
                    <w:t xml:space="preserve"> for </w:t>
                  </w:r>
                  <w:r w:rsidR="00AE7424">
                    <w:rPr>
                      <w:lang w:val="en-US"/>
                    </w:rPr>
                    <w:t xml:space="preserve">relevant </w:t>
                  </w:r>
                  <w:r w:rsidRPr="001569BA">
                    <w:rPr>
                      <w:lang w:val="en-US"/>
                    </w:rPr>
                    <w:t xml:space="preserve">Circumstances and 72.8% of FaRS </w:t>
                  </w:r>
                  <w:r w:rsidR="0081535F">
                    <w:rPr>
                      <w:lang w:val="en-US"/>
                    </w:rPr>
                    <w:t>service users</w:t>
                  </w:r>
                  <w:r w:rsidRPr="001569BA">
                    <w:rPr>
                      <w:lang w:val="en-US"/>
                    </w:rPr>
                    <w:t xml:space="preserve"> and 69.7% of SFVS </w:t>
                  </w:r>
                  <w:r w:rsidR="0081535F">
                    <w:rPr>
                      <w:lang w:val="en-US"/>
                    </w:rPr>
                    <w:t>service users</w:t>
                  </w:r>
                  <w:r w:rsidRPr="001569BA">
                    <w:rPr>
                      <w:lang w:val="en-US"/>
                    </w:rPr>
                    <w:t xml:space="preserve"> for Goals (see </w:t>
                  </w:r>
                  <w:r w:rsidRPr="00321BC5">
                    <w:rPr>
                      <w:b/>
                      <w:lang w:val="en-US"/>
                    </w:rPr>
                    <w:fldChar w:fldCharType="begin" w:fldLock="1"/>
                  </w:r>
                  <w:r w:rsidRPr="00321BC5">
                    <w:rPr>
                      <w:b/>
                      <w:lang w:val="en-US"/>
                    </w:rPr>
                    <w:instrText xml:space="preserve"> REF _Ref208396863 \h  \* MERGEFORMAT </w:instrText>
                  </w:r>
                  <w:r w:rsidRPr="00321BC5">
                    <w:rPr>
                      <w:b/>
                      <w:lang w:val="en-US"/>
                    </w:rPr>
                  </w:r>
                  <w:r w:rsidRPr="00321BC5">
                    <w:rPr>
                      <w:b/>
                      <w:lang w:val="en-US"/>
                    </w:rPr>
                    <w:fldChar w:fldCharType="separate"/>
                  </w:r>
                  <w:r w:rsidR="008F22E5" w:rsidRPr="008F22E5">
                    <w:rPr>
                      <w:b/>
                    </w:rPr>
                    <w:t>Table 17</w:t>
                  </w:r>
                  <w:r w:rsidRPr="00321BC5">
                    <w:rPr>
                      <w:b/>
                      <w:lang w:val="en-US"/>
                    </w:rPr>
                    <w:fldChar w:fldCharType="end"/>
                  </w:r>
                  <w:r w:rsidRPr="001569BA">
                    <w:rPr>
                      <w:lang w:val="en-US"/>
                    </w:rPr>
                    <w:t>).</w:t>
                  </w:r>
                </w:p>
                <w:p w14:paraId="5442BA8D" w14:textId="6DE7ADC3" w:rsidR="005356FE" w:rsidRDefault="005356FE" w:rsidP="00953B9E">
                  <w:pPr>
                    <w:pStyle w:val="TableFigure-Header"/>
                    <w:spacing w:line="276" w:lineRule="auto"/>
                    <w:jc w:val="both"/>
                    <w:rPr>
                      <w:rStyle w:val="Text-Bold"/>
                      <w:b/>
                      <w:bCs/>
                    </w:rPr>
                  </w:pPr>
                  <w:bookmarkStart w:id="378" w:name="_Ref208396863"/>
                  <w:r w:rsidRPr="5AC90C80">
                    <w:rPr>
                      <w:lang w:val="en-NZ"/>
                    </w:rPr>
                    <w:t xml:space="preserve">Table </w:t>
                  </w:r>
                  <w:r w:rsidRPr="5AC90C80">
                    <w:fldChar w:fldCharType="begin"/>
                  </w:r>
                  <w:r>
                    <w:instrText xml:space="preserve"> SEQ Table \* ARABIC </w:instrText>
                  </w:r>
                  <w:r w:rsidRPr="5AC90C80">
                    <w:fldChar w:fldCharType="separate"/>
                  </w:r>
                  <w:r w:rsidR="008D2566">
                    <w:rPr>
                      <w:noProof/>
                    </w:rPr>
                    <w:t>17</w:t>
                  </w:r>
                  <w:r w:rsidRPr="5AC90C80">
                    <w:rPr>
                      <w:noProof/>
                    </w:rPr>
                    <w:fldChar w:fldCharType="end"/>
                  </w:r>
                  <w:bookmarkEnd w:id="378"/>
                  <w:r w:rsidRPr="5AC90C80">
                    <w:rPr>
                      <w:lang w:val="en-NZ"/>
                    </w:rPr>
                    <w:t xml:space="preserve">: Percentage of service users with positive </w:t>
                  </w:r>
                  <w:r w:rsidR="00DE5114" w:rsidRPr="5AC90C80">
                    <w:rPr>
                      <w:lang w:val="en-NZ"/>
                    </w:rPr>
                    <w:t>SCORE</w:t>
                  </w:r>
                  <w:r w:rsidRPr="5AC90C80">
                    <w:rPr>
                      <w:lang w:val="en-NZ"/>
                    </w:rPr>
                    <w:t xml:space="preserve"> change for overall Circumstance and Goal domains, FaRS and SFVS</w:t>
                  </w:r>
                  <w:r w:rsidR="36ACCC43" w:rsidRPr="5AC90C80">
                    <w:rPr>
                      <w:lang w:val="en-NZ"/>
                    </w:rPr>
                    <w:t>,</w:t>
                  </w:r>
                  <w:r w:rsidR="36ACCC43" w:rsidRPr="5AC90C80">
                    <w:rPr>
                      <w:rStyle w:val="Text-Bold"/>
                      <w:b/>
                      <w:bCs/>
                    </w:rPr>
                    <w:t xml:space="preserve"> July 2021 – June 2024</w:t>
                  </w:r>
                </w:p>
                <w:tbl>
                  <w:tblPr>
                    <w:tblW w:w="499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3"/>
                    <w:gridCol w:w="1844"/>
                    <w:gridCol w:w="5749"/>
                  </w:tblGrid>
                  <w:tr w:rsidR="00751B2B" w:rsidRPr="00036888" w14:paraId="2601AAA3" w14:textId="77777777" w:rsidTr="00093F50">
                    <w:trPr>
                      <w:trHeight w:val="292"/>
                    </w:trPr>
                    <w:tc>
                      <w:tcPr>
                        <w:tcW w:w="784" w:type="pct"/>
                        <w:shd w:val="clear" w:color="auto" w:fill="007E00" w:themeFill="accent3"/>
                        <w:noWrap/>
                        <w:hideMark/>
                      </w:tcPr>
                      <w:p w14:paraId="276BDDA8" w14:textId="77777777" w:rsidR="00D23EEB" w:rsidRPr="00F6254E" w:rsidRDefault="00D23EEB">
                        <w:pPr>
                          <w:pStyle w:val="TableText"/>
                          <w:rPr>
                            <w:b/>
                            <w:bCs/>
                            <w:color w:val="FFFFFF" w:themeColor="background1"/>
                          </w:rPr>
                        </w:pPr>
                        <w:r w:rsidRPr="00F6254E">
                          <w:rPr>
                            <w:b/>
                            <w:bCs/>
                            <w:color w:val="FFFFFF" w:themeColor="background1"/>
                          </w:rPr>
                          <w:t>Activity</w:t>
                        </w:r>
                      </w:p>
                    </w:tc>
                    <w:tc>
                      <w:tcPr>
                        <w:tcW w:w="1024" w:type="pct"/>
                        <w:shd w:val="clear" w:color="auto" w:fill="007E00" w:themeFill="accent3"/>
                        <w:noWrap/>
                        <w:hideMark/>
                      </w:tcPr>
                      <w:p w14:paraId="70234E72" w14:textId="3FC0B653" w:rsidR="00D23EEB" w:rsidRPr="00F6254E" w:rsidRDefault="00D23EEB">
                        <w:pPr>
                          <w:pStyle w:val="TableText"/>
                          <w:rPr>
                            <w:b/>
                            <w:bCs/>
                            <w:color w:val="FFFFFF" w:themeColor="background1"/>
                          </w:rPr>
                        </w:pPr>
                        <w:r w:rsidRPr="00F6254E">
                          <w:rPr>
                            <w:b/>
                            <w:bCs/>
                            <w:color w:val="FFFFFF" w:themeColor="background1"/>
                          </w:rPr>
                          <w:t xml:space="preserve">Outcome </w:t>
                        </w:r>
                        <w:r w:rsidR="007F134C">
                          <w:rPr>
                            <w:b/>
                            <w:bCs/>
                            <w:color w:val="FFFFFF" w:themeColor="background1"/>
                          </w:rPr>
                          <w:t>t</w:t>
                        </w:r>
                        <w:r w:rsidR="007F134C" w:rsidRPr="00F6254E">
                          <w:rPr>
                            <w:b/>
                            <w:bCs/>
                            <w:color w:val="FFFFFF" w:themeColor="background1"/>
                          </w:rPr>
                          <w:t>ype</w:t>
                        </w:r>
                      </w:p>
                    </w:tc>
                    <w:tc>
                      <w:tcPr>
                        <w:tcW w:w="3192" w:type="pct"/>
                        <w:shd w:val="clear" w:color="auto" w:fill="007E00" w:themeFill="accent3"/>
                        <w:noWrap/>
                        <w:hideMark/>
                      </w:tcPr>
                      <w:p w14:paraId="2769EEFA" w14:textId="08AC11BF" w:rsidR="00D23EEB" w:rsidRPr="00F6254E" w:rsidRDefault="00D23EEB">
                        <w:pPr>
                          <w:pStyle w:val="TableText"/>
                          <w:rPr>
                            <w:b/>
                            <w:bCs/>
                            <w:color w:val="FFFFFF" w:themeColor="background1"/>
                          </w:rPr>
                        </w:pPr>
                        <w:r>
                          <w:rPr>
                            <w:b/>
                            <w:bCs/>
                            <w:color w:val="FFFFFF" w:themeColor="background1"/>
                          </w:rPr>
                          <w:t xml:space="preserve">Service users </w:t>
                        </w:r>
                        <w:r w:rsidRPr="00F6254E">
                          <w:rPr>
                            <w:b/>
                            <w:bCs/>
                            <w:color w:val="FFFFFF" w:themeColor="background1"/>
                          </w:rPr>
                          <w:t>with positive mean change (%, n</w:t>
                        </w:r>
                        <w:r w:rsidR="001C6E31">
                          <w:rPr>
                            <w:b/>
                            <w:bCs/>
                            <w:color w:val="FFFFFF" w:themeColor="background1"/>
                          </w:rPr>
                          <w:t>=</w:t>
                        </w:r>
                        <w:r w:rsidR="0048694E">
                          <w:rPr>
                            <w:b/>
                            <w:bCs/>
                            <w:color w:val="FFFFFF" w:themeColor="background1"/>
                          </w:rPr>
                          <w:t>)</w:t>
                        </w:r>
                      </w:p>
                    </w:tc>
                  </w:tr>
                  <w:tr w:rsidR="00751B2B" w:rsidRPr="00036888" w14:paraId="64E504FB" w14:textId="77777777" w:rsidTr="00093F50">
                    <w:trPr>
                      <w:trHeight w:val="292"/>
                    </w:trPr>
                    <w:tc>
                      <w:tcPr>
                        <w:tcW w:w="784" w:type="pct"/>
                        <w:vMerge w:val="restart"/>
                        <w:noWrap/>
                        <w:hideMark/>
                      </w:tcPr>
                      <w:p w14:paraId="28FC0370" w14:textId="12789B6E" w:rsidR="00D23EEB" w:rsidRPr="0078378F" w:rsidRDefault="00D23EEB">
                        <w:pPr>
                          <w:pStyle w:val="TableText"/>
                          <w:rPr>
                            <w:lang w:val="en-NZ"/>
                          </w:rPr>
                        </w:pPr>
                        <w:r w:rsidRPr="0078378F">
                          <w:rPr>
                            <w:lang w:val="en-NZ"/>
                          </w:rPr>
                          <w:t>FaRS</w:t>
                        </w:r>
                      </w:p>
                    </w:tc>
                    <w:tc>
                      <w:tcPr>
                        <w:tcW w:w="1024" w:type="pct"/>
                        <w:noWrap/>
                        <w:hideMark/>
                      </w:tcPr>
                      <w:p w14:paraId="671C9975" w14:textId="77777777" w:rsidR="00D23EEB" w:rsidRPr="0078378F" w:rsidRDefault="00D23EEB">
                        <w:pPr>
                          <w:pStyle w:val="TableText"/>
                        </w:pPr>
                        <w:r w:rsidRPr="0078378F">
                          <w:t>Circumstances</w:t>
                        </w:r>
                      </w:p>
                    </w:tc>
                    <w:tc>
                      <w:tcPr>
                        <w:tcW w:w="3192" w:type="pct"/>
                        <w:noWrap/>
                        <w:hideMark/>
                      </w:tcPr>
                      <w:p w14:paraId="055D3C75" w14:textId="77777777" w:rsidR="00D23EEB" w:rsidRPr="00036888" w:rsidRDefault="00D23EEB">
                        <w:pPr>
                          <w:pStyle w:val="TableText"/>
                        </w:pPr>
                        <w:r w:rsidRPr="00036888">
                          <w:t>62.7% (n=46</w:t>
                        </w:r>
                        <w:r>
                          <w:t>,</w:t>
                        </w:r>
                        <w:r w:rsidRPr="00036888">
                          <w:t>253)</w:t>
                        </w:r>
                      </w:p>
                    </w:tc>
                  </w:tr>
                  <w:tr w:rsidR="00751B2B" w:rsidRPr="00036888" w14:paraId="0AD5B995" w14:textId="77777777" w:rsidTr="00093F50">
                    <w:trPr>
                      <w:trHeight w:val="292"/>
                    </w:trPr>
                    <w:tc>
                      <w:tcPr>
                        <w:tcW w:w="784" w:type="pct"/>
                        <w:vMerge/>
                        <w:hideMark/>
                      </w:tcPr>
                      <w:p w14:paraId="40FCFF07" w14:textId="77777777" w:rsidR="00D23EEB" w:rsidRPr="0078378F" w:rsidRDefault="00D23EEB">
                        <w:pPr>
                          <w:pStyle w:val="TableText"/>
                        </w:pPr>
                      </w:p>
                    </w:tc>
                    <w:tc>
                      <w:tcPr>
                        <w:tcW w:w="1024" w:type="pct"/>
                        <w:noWrap/>
                        <w:hideMark/>
                      </w:tcPr>
                      <w:p w14:paraId="44D09452" w14:textId="77777777" w:rsidR="00D23EEB" w:rsidRPr="0078378F" w:rsidRDefault="00D23EEB">
                        <w:pPr>
                          <w:pStyle w:val="TableText"/>
                        </w:pPr>
                        <w:r w:rsidRPr="0078378F">
                          <w:t>Goals</w:t>
                        </w:r>
                      </w:p>
                    </w:tc>
                    <w:tc>
                      <w:tcPr>
                        <w:tcW w:w="3192" w:type="pct"/>
                        <w:noWrap/>
                        <w:hideMark/>
                      </w:tcPr>
                      <w:p w14:paraId="4EE0381E" w14:textId="77777777" w:rsidR="00D23EEB" w:rsidRPr="00036888" w:rsidRDefault="00D23EEB">
                        <w:pPr>
                          <w:pStyle w:val="TableText"/>
                        </w:pPr>
                        <w:r w:rsidRPr="00036888">
                          <w:t>72.8% (n=53</w:t>
                        </w:r>
                        <w:r>
                          <w:t>,</w:t>
                        </w:r>
                        <w:r w:rsidRPr="00036888">
                          <w:t>480)</w:t>
                        </w:r>
                      </w:p>
                    </w:tc>
                  </w:tr>
                  <w:tr w:rsidR="00751B2B" w:rsidRPr="00036888" w14:paraId="609940B5" w14:textId="77777777" w:rsidTr="00093F50">
                    <w:trPr>
                      <w:trHeight w:val="96"/>
                    </w:trPr>
                    <w:tc>
                      <w:tcPr>
                        <w:tcW w:w="784" w:type="pct"/>
                        <w:vMerge w:val="restart"/>
                        <w:noWrap/>
                        <w:hideMark/>
                      </w:tcPr>
                      <w:p w14:paraId="443D4512" w14:textId="77777777" w:rsidR="00D23EEB" w:rsidRPr="0078378F" w:rsidRDefault="00D23EEB">
                        <w:pPr>
                          <w:pStyle w:val="TableText"/>
                        </w:pPr>
                        <w:r w:rsidRPr="0078378F">
                          <w:t>SFVS (incl. 4AP2)</w:t>
                        </w:r>
                      </w:p>
                    </w:tc>
                    <w:tc>
                      <w:tcPr>
                        <w:tcW w:w="1024" w:type="pct"/>
                        <w:noWrap/>
                        <w:hideMark/>
                      </w:tcPr>
                      <w:p w14:paraId="7D8FA95D" w14:textId="77777777" w:rsidR="00D23EEB" w:rsidRPr="0078378F" w:rsidRDefault="00D23EEB">
                        <w:pPr>
                          <w:pStyle w:val="TableText"/>
                        </w:pPr>
                        <w:r w:rsidRPr="0078378F">
                          <w:t>Circumstances</w:t>
                        </w:r>
                      </w:p>
                    </w:tc>
                    <w:tc>
                      <w:tcPr>
                        <w:tcW w:w="3192" w:type="pct"/>
                        <w:noWrap/>
                        <w:hideMark/>
                      </w:tcPr>
                      <w:p w14:paraId="4F99F6AE" w14:textId="77777777" w:rsidR="00D23EEB" w:rsidRPr="00036888" w:rsidRDefault="00D23EEB">
                        <w:pPr>
                          <w:pStyle w:val="TableText"/>
                        </w:pPr>
                        <w:r w:rsidRPr="00036888">
                          <w:t>66.5% (n=4</w:t>
                        </w:r>
                        <w:r>
                          <w:t>,</w:t>
                        </w:r>
                        <w:r w:rsidRPr="00036888">
                          <w:t>962)</w:t>
                        </w:r>
                      </w:p>
                    </w:tc>
                  </w:tr>
                  <w:tr w:rsidR="00751B2B" w:rsidRPr="00036888" w14:paraId="2BA3A768" w14:textId="77777777" w:rsidTr="00093F50">
                    <w:trPr>
                      <w:trHeight w:val="292"/>
                    </w:trPr>
                    <w:tc>
                      <w:tcPr>
                        <w:tcW w:w="784" w:type="pct"/>
                        <w:vMerge/>
                        <w:hideMark/>
                      </w:tcPr>
                      <w:p w14:paraId="7254553D" w14:textId="77777777" w:rsidR="00D23EEB" w:rsidRPr="0078378F" w:rsidRDefault="00D23EEB">
                        <w:pPr>
                          <w:pStyle w:val="TableText"/>
                        </w:pPr>
                      </w:p>
                    </w:tc>
                    <w:tc>
                      <w:tcPr>
                        <w:tcW w:w="1024" w:type="pct"/>
                        <w:noWrap/>
                        <w:hideMark/>
                      </w:tcPr>
                      <w:p w14:paraId="2856FE2C" w14:textId="77777777" w:rsidR="00D23EEB" w:rsidRPr="0078378F" w:rsidRDefault="00D23EEB">
                        <w:pPr>
                          <w:pStyle w:val="TableText"/>
                        </w:pPr>
                        <w:r w:rsidRPr="0078378F">
                          <w:t>Goals</w:t>
                        </w:r>
                      </w:p>
                    </w:tc>
                    <w:tc>
                      <w:tcPr>
                        <w:tcW w:w="3192" w:type="pct"/>
                        <w:noWrap/>
                        <w:hideMark/>
                      </w:tcPr>
                      <w:p w14:paraId="156054D8" w14:textId="398B719E" w:rsidR="00D23EEB" w:rsidRPr="00036888" w:rsidRDefault="00D23EEB">
                        <w:pPr>
                          <w:pStyle w:val="TableText"/>
                        </w:pPr>
                        <w:r w:rsidRPr="00036888">
                          <w:t>69.7% (n=4</w:t>
                        </w:r>
                        <w:r>
                          <w:t>,</w:t>
                        </w:r>
                        <w:r w:rsidRPr="00036888">
                          <w:t>972)</w:t>
                        </w:r>
                      </w:p>
                    </w:tc>
                  </w:tr>
                </w:tbl>
                <w:p w14:paraId="2E9B584F" w14:textId="1726FA10" w:rsidR="007D5D1E" w:rsidRPr="002146EF" w:rsidRDefault="00AE186E" w:rsidP="003C5023">
                  <w:pPr>
                    <w:pStyle w:val="Text"/>
                    <w:rPr>
                      <w:i/>
                      <w:sz w:val="20"/>
                      <w:szCs w:val="18"/>
                      <w:lang w:val="en-US"/>
                    </w:rPr>
                  </w:pPr>
                  <w:r w:rsidRPr="002146EF">
                    <w:rPr>
                      <w:i/>
                      <w:iCs/>
                      <w:sz w:val="20"/>
                      <w:szCs w:val="18"/>
                      <w:lang w:val="en-US"/>
                    </w:rPr>
                    <w:t xml:space="preserve">Source: DEX-SCORE data </w:t>
                  </w:r>
                </w:p>
                <w:p w14:paraId="7FFA7888" w14:textId="77777777" w:rsidR="00AE6187" w:rsidRDefault="00AE6187">
                  <w:pPr>
                    <w:rPr>
                      <w:lang w:val="en-US"/>
                    </w:rPr>
                  </w:pPr>
                  <w:r>
                    <w:rPr>
                      <w:lang w:val="en-US"/>
                    </w:rPr>
                    <w:br w:type="page"/>
                  </w:r>
                </w:p>
                <w:p w14:paraId="5CACC688" w14:textId="7F2C5989" w:rsidR="0031601C" w:rsidRPr="00DE647E" w:rsidRDefault="003C5023" w:rsidP="003C5023">
                  <w:pPr>
                    <w:pStyle w:val="Text"/>
                    <w:rPr>
                      <w:lang w:val="en-US"/>
                    </w:rPr>
                  </w:pPr>
                  <w:r w:rsidRPr="00607890">
                    <w:rPr>
                      <w:lang w:val="en-US"/>
                    </w:rPr>
                    <w:lastRenderedPageBreak/>
                    <w:t xml:space="preserve">All </w:t>
                  </w:r>
                  <w:r w:rsidR="00434642">
                    <w:rPr>
                      <w:lang w:val="en-US"/>
                    </w:rPr>
                    <w:t xml:space="preserve">priority </w:t>
                  </w:r>
                  <w:r w:rsidRPr="00607890">
                    <w:rPr>
                      <w:lang w:val="en-US"/>
                    </w:rPr>
                    <w:t xml:space="preserve">cohorts </w:t>
                  </w:r>
                  <w:r w:rsidR="001C20F9">
                    <w:rPr>
                      <w:lang w:val="en-US"/>
                    </w:rPr>
                    <w:t>for whom DEX data i</w:t>
                  </w:r>
                  <w:r w:rsidR="004242AA">
                    <w:rPr>
                      <w:lang w:val="en-US"/>
                    </w:rPr>
                    <w:t>s</w:t>
                  </w:r>
                  <w:r w:rsidR="001C20F9">
                    <w:rPr>
                      <w:lang w:val="en-US"/>
                    </w:rPr>
                    <w:t xml:space="preserve"> available</w:t>
                  </w:r>
                  <w:r w:rsidRPr="00607890">
                    <w:rPr>
                      <w:lang w:val="en-US"/>
                    </w:rPr>
                    <w:t xml:space="preserve"> showed improvement </w:t>
                  </w:r>
                  <w:r w:rsidR="00434642">
                    <w:rPr>
                      <w:lang w:val="en-US"/>
                    </w:rPr>
                    <w:t xml:space="preserve">in </w:t>
                  </w:r>
                  <w:r w:rsidR="00FC190A">
                    <w:rPr>
                      <w:lang w:val="en-US"/>
                    </w:rPr>
                    <w:t xml:space="preserve">mean earliest to latest SCORE </w:t>
                  </w:r>
                  <w:r w:rsidR="0039129F">
                    <w:rPr>
                      <w:lang w:val="en-US"/>
                    </w:rPr>
                    <w:t>changes</w:t>
                  </w:r>
                  <w:r w:rsidR="00FC190A">
                    <w:rPr>
                      <w:lang w:val="en-US"/>
                    </w:rPr>
                    <w:t xml:space="preserve"> for </w:t>
                  </w:r>
                  <w:r w:rsidR="00434642">
                    <w:rPr>
                      <w:lang w:val="en-US"/>
                    </w:rPr>
                    <w:t xml:space="preserve">Circumstance </w:t>
                  </w:r>
                  <w:r w:rsidR="007F4C66">
                    <w:rPr>
                      <w:lang w:val="en-US"/>
                    </w:rPr>
                    <w:t xml:space="preserve">and Goal </w:t>
                  </w:r>
                  <w:r w:rsidR="00434642">
                    <w:rPr>
                      <w:lang w:val="en-US"/>
                    </w:rPr>
                    <w:t>domains</w:t>
                  </w:r>
                  <w:r w:rsidR="00EA1186">
                    <w:rPr>
                      <w:lang w:val="en-US"/>
                    </w:rPr>
                    <w:t xml:space="preserve"> </w:t>
                  </w:r>
                  <w:r w:rsidR="00525258">
                    <w:rPr>
                      <w:lang w:val="en-US"/>
                    </w:rPr>
                    <w:t>with m</w:t>
                  </w:r>
                  <w:r w:rsidR="00525258" w:rsidRPr="00525258">
                    <w:rPr>
                      <w:lang w:val="en-US"/>
                    </w:rPr>
                    <w:t>ore than half of all service users across each of</w:t>
                  </w:r>
                  <w:r w:rsidR="004242AA">
                    <w:rPr>
                      <w:lang w:val="en-US"/>
                    </w:rPr>
                    <w:t xml:space="preserve"> the</w:t>
                  </w:r>
                  <w:r w:rsidR="00525258" w:rsidRPr="00525258">
                    <w:rPr>
                      <w:lang w:val="en-US"/>
                    </w:rPr>
                    <w:t xml:space="preserve"> cohorts experienc</w:t>
                  </w:r>
                  <w:r w:rsidR="00525258">
                    <w:rPr>
                      <w:lang w:val="en-US"/>
                    </w:rPr>
                    <w:t>ing</w:t>
                  </w:r>
                  <w:r w:rsidR="00525258" w:rsidRPr="00525258">
                    <w:rPr>
                      <w:lang w:val="en-US"/>
                    </w:rPr>
                    <w:t xml:space="preserve"> a positive change in the</w:t>
                  </w:r>
                  <w:r w:rsidR="007D6C2E">
                    <w:rPr>
                      <w:lang w:val="en-US"/>
                    </w:rPr>
                    <w:t>ir</w:t>
                  </w:r>
                  <w:r w:rsidR="00525258" w:rsidRPr="00525258">
                    <w:rPr>
                      <w:lang w:val="en-US"/>
                    </w:rPr>
                    <w:t xml:space="preserve"> mean </w:t>
                  </w:r>
                  <w:r w:rsidR="007D6C2E">
                    <w:rPr>
                      <w:lang w:val="en-US"/>
                    </w:rPr>
                    <w:t>SCORE</w:t>
                  </w:r>
                  <w:r w:rsidR="00525258" w:rsidRPr="00525258">
                    <w:rPr>
                      <w:lang w:val="en-US"/>
                    </w:rPr>
                    <w:t xml:space="preserve"> </w:t>
                  </w:r>
                  <w:r w:rsidR="00EA1186" w:rsidRPr="00F6254E">
                    <w:rPr>
                      <w:lang w:val="en-US"/>
                    </w:rPr>
                    <w:t xml:space="preserve">(see </w:t>
                  </w:r>
                  <w:r w:rsidR="00EA1186" w:rsidRPr="00321BC5">
                    <w:rPr>
                      <w:b/>
                      <w:lang w:val="en-US"/>
                    </w:rPr>
                    <w:fldChar w:fldCharType="begin" w:fldLock="1"/>
                  </w:r>
                  <w:r w:rsidR="00EA1186" w:rsidRPr="00321BC5">
                    <w:rPr>
                      <w:b/>
                      <w:lang w:val="en-US"/>
                    </w:rPr>
                    <w:instrText xml:space="preserve"> REF _Ref208397779 \h  \* MERGEFORMAT </w:instrText>
                  </w:r>
                  <w:r w:rsidR="00EA1186" w:rsidRPr="00321BC5">
                    <w:rPr>
                      <w:b/>
                      <w:lang w:val="en-US"/>
                    </w:rPr>
                  </w:r>
                  <w:r w:rsidR="00EA1186" w:rsidRPr="00321BC5">
                    <w:rPr>
                      <w:b/>
                      <w:lang w:val="en-US"/>
                    </w:rPr>
                    <w:fldChar w:fldCharType="separate"/>
                  </w:r>
                  <w:r w:rsidR="008F22E5" w:rsidRPr="008F22E5">
                    <w:rPr>
                      <w:b/>
                    </w:rPr>
                    <w:t>Table 18</w:t>
                  </w:r>
                  <w:r w:rsidR="00EA1186" w:rsidRPr="00321BC5">
                    <w:rPr>
                      <w:b/>
                      <w:lang w:val="en-US"/>
                    </w:rPr>
                    <w:fldChar w:fldCharType="end"/>
                  </w:r>
                  <w:r w:rsidR="00EA1186">
                    <w:rPr>
                      <w:lang w:val="en-US"/>
                    </w:rPr>
                    <w:t xml:space="preserve"> </w:t>
                  </w:r>
                  <w:r w:rsidR="007F4C66">
                    <w:rPr>
                      <w:lang w:val="en-US"/>
                    </w:rPr>
                    <w:t xml:space="preserve">and </w:t>
                  </w:r>
                  <w:r w:rsidR="00E77451" w:rsidRPr="00E77451">
                    <w:rPr>
                      <w:b/>
                      <w:bCs/>
                      <w:lang w:val="en-US"/>
                    </w:rPr>
                    <w:fldChar w:fldCharType="begin" w:fldLock="1"/>
                  </w:r>
                  <w:r w:rsidR="00E77451" w:rsidRPr="00E77451">
                    <w:rPr>
                      <w:b/>
                      <w:bCs/>
                      <w:lang w:val="en-US"/>
                    </w:rPr>
                    <w:instrText xml:space="preserve"> REF _Ref208993670 \h </w:instrText>
                  </w:r>
                  <w:r w:rsidR="00E77451">
                    <w:rPr>
                      <w:b/>
                      <w:bCs/>
                      <w:lang w:val="en-US"/>
                    </w:rPr>
                    <w:instrText xml:space="preserve"> \* MERGEFORMAT </w:instrText>
                  </w:r>
                  <w:r w:rsidR="00E77451" w:rsidRPr="00E77451">
                    <w:rPr>
                      <w:b/>
                      <w:bCs/>
                      <w:lang w:val="en-US"/>
                    </w:rPr>
                  </w:r>
                  <w:r w:rsidR="00E77451" w:rsidRPr="00E77451">
                    <w:rPr>
                      <w:b/>
                      <w:bCs/>
                      <w:lang w:val="en-US"/>
                    </w:rPr>
                    <w:fldChar w:fldCharType="separate"/>
                  </w:r>
                  <w:r w:rsidR="008F22E5" w:rsidRPr="008F22E5">
                    <w:rPr>
                      <w:b/>
                      <w:bCs/>
                    </w:rPr>
                    <w:t xml:space="preserve">Table </w:t>
                  </w:r>
                  <w:r w:rsidR="008F22E5" w:rsidRPr="008F22E5">
                    <w:rPr>
                      <w:b/>
                      <w:bCs/>
                      <w:noProof/>
                    </w:rPr>
                    <w:t>19</w:t>
                  </w:r>
                  <w:r w:rsidR="00E77451" w:rsidRPr="00E77451">
                    <w:rPr>
                      <w:b/>
                      <w:bCs/>
                      <w:lang w:val="en-US"/>
                    </w:rPr>
                    <w:fldChar w:fldCharType="end"/>
                  </w:r>
                  <w:r w:rsidR="00E77451">
                    <w:rPr>
                      <w:lang w:val="en-US"/>
                    </w:rPr>
                    <w:t xml:space="preserve"> </w:t>
                  </w:r>
                  <w:r w:rsidR="00EA1186">
                    <w:rPr>
                      <w:lang w:val="en-US"/>
                    </w:rPr>
                    <w:t>below)</w:t>
                  </w:r>
                  <w:r w:rsidRPr="00607890">
                    <w:rPr>
                      <w:lang w:val="en-US"/>
                    </w:rPr>
                    <w:t>.</w:t>
                  </w:r>
                  <w:r w:rsidR="00E055C8">
                    <w:rPr>
                      <w:rFonts w:ascii="ZWAdobeF" w:hAnsi="ZWAdobeF" w:cs="ZWAdobeF"/>
                      <w:sz w:val="2"/>
                      <w:szCs w:val="2"/>
                      <w:lang w:val="en-US"/>
                    </w:rPr>
                    <w:t>11F</w:t>
                  </w:r>
                  <w:r w:rsidR="001C20F9">
                    <w:rPr>
                      <w:rStyle w:val="FootnoteReference"/>
                      <w:lang w:val="en-US"/>
                    </w:rPr>
                    <w:footnoteReference w:id="13"/>
                  </w:r>
                  <w:r w:rsidRPr="00607890">
                    <w:rPr>
                      <w:lang w:val="en-US"/>
                    </w:rPr>
                    <w:t xml:space="preserve"> </w:t>
                  </w:r>
                </w:p>
                <w:p w14:paraId="4C8E7A67" w14:textId="1BC7AB6A" w:rsidR="003C5023" w:rsidRPr="009F5B0D" w:rsidRDefault="003C5023" w:rsidP="00953B9E">
                  <w:pPr>
                    <w:pStyle w:val="TableFigure-Header"/>
                    <w:spacing w:line="276" w:lineRule="auto"/>
                    <w:jc w:val="both"/>
                    <w:rPr>
                      <w:bCs/>
                    </w:rPr>
                  </w:pPr>
                  <w:bookmarkStart w:id="379" w:name="_Ref208397779"/>
                  <w:r w:rsidRPr="5AC90C80">
                    <w:rPr>
                      <w:lang w:val="en-NZ"/>
                    </w:rPr>
                    <w:t xml:space="preserve">Table </w:t>
                  </w:r>
                  <w:r w:rsidRPr="5AC90C80">
                    <w:fldChar w:fldCharType="begin"/>
                  </w:r>
                  <w:r>
                    <w:instrText xml:space="preserve"> SEQ Table \* ARABIC </w:instrText>
                  </w:r>
                  <w:r w:rsidRPr="5AC90C80">
                    <w:fldChar w:fldCharType="separate"/>
                  </w:r>
                  <w:r w:rsidR="008D2566">
                    <w:rPr>
                      <w:noProof/>
                    </w:rPr>
                    <w:t>18</w:t>
                  </w:r>
                  <w:r w:rsidRPr="5AC90C80">
                    <w:rPr>
                      <w:noProof/>
                    </w:rPr>
                    <w:fldChar w:fldCharType="end"/>
                  </w:r>
                  <w:bookmarkEnd w:id="379"/>
                  <w:r w:rsidRPr="5AC90C80">
                    <w:rPr>
                      <w:lang w:val="en-NZ"/>
                    </w:rPr>
                    <w:t xml:space="preserve">: </w:t>
                  </w:r>
                  <w:r w:rsidR="001B35E0" w:rsidRPr="5AC90C80">
                    <w:rPr>
                      <w:lang w:val="en-NZ"/>
                    </w:rPr>
                    <w:t>E</w:t>
                  </w:r>
                  <w:r w:rsidR="00AE186E" w:rsidRPr="5AC90C80">
                    <w:rPr>
                      <w:lang w:val="en-NZ"/>
                    </w:rPr>
                    <w:t xml:space="preserve">arliest to latest </w:t>
                  </w:r>
                  <w:r w:rsidR="001B35E0" w:rsidRPr="5AC90C80">
                    <w:rPr>
                      <w:lang w:val="en-NZ"/>
                    </w:rPr>
                    <w:t>mean</w:t>
                  </w:r>
                  <w:r w:rsidR="00AE186E" w:rsidRPr="5AC90C80">
                    <w:rPr>
                      <w:lang w:val="en-NZ"/>
                    </w:rPr>
                    <w:t xml:space="preserve"> SCORE change </w:t>
                  </w:r>
                  <w:r w:rsidR="008E2A93" w:rsidRPr="5AC90C80">
                    <w:rPr>
                      <w:lang w:val="en-NZ"/>
                    </w:rPr>
                    <w:t xml:space="preserve">and </w:t>
                  </w:r>
                  <w:r w:rsidR="008E2A93">
                    <w:t xml:space="preserve">percentage </w:t>
                  </w:r>
                  <w:r w:rsidR="00DE5114">
                    <w:t>of service users with a positive</w:t>
                  </w:r>
                  <w:r w:rsidR="008E2A93">
                    <w:t xml:space="preserve"> SCORE </w:t>
                  </w:r>
                  <w:r w:rsidR="001B35E0">
                    <w:t>change for</w:t>
                  </w:r>
                  <w:r>
                    <w:t xml:space="preserve"> </w:t>
                  </w:r>
                  <w:r w:rsidRPr="5AC90C80">
                    <w:rPr>
                      <w:lang w:val="en-NZ"/>
                    </w:rPr>
                    <w:t>Circumstance outcomes by cohort, FaRS and SFVS</w:t>
                  </w:r>
                  <w:r w:rsidR="49EE399D" w:rsidRPr="5AC90C80">
                    <w:rPr>
                      <w:lang w:val="en-NZ"/>
                    </w:rPr>
                    <w:t>,</w:t>
                  </w:r>
                  <w:r w:rsidR="49EE399D" w:rsidRPr="5AC90C80">
                    <w:rPr>
                      <w:rStyle w:val="Text-Bold"/>
                      <w:b/>
                      <w:bCs/>
                    </w:rPr>
                    <w:t xml:space="preserve"> July 2021 – June 2024</w:t>
                  </w:r>
                </w:p>
                <w:tbl>
                  <w:tblPr>
                    <w:tblW w:w="95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9"/>
                    <w:gridCol w:w="2415"/>
                    <w:gridCol w:w="959"/>
                    <w:gridCol w:w="963"/>
                    <w:gridCol w:w="1010"/>
                    <w:gridCol w:w="964"/>
                    <w:gridCol w:w="963"/>
                    <w:gridCol w:w="1010"/>
                  </w:tblGrid>
                  <w:tr w:rsidR="008E2A93" w:rsidRPr="0014194A" w14:paraId="5E2D4E13" w14:textId="77777777" w:rsidTr="00245E70">
                    <w:trPr>
                      <w:trHeight w:val="173"/>
                    </w:trPr>
                    <w:tc>
                      <w:tcPr>
                        <w:tcW w:w="3664" w:type="dxa"/>
                        <w:gridSpan w:val="2"/>
                        <w:vMerge w:val="restart"/>
                        <w:shd w:val="clear" w:color="auto" w:fill="007E00" w:themeFill="accent3"/>
                        <w:noWrap/>
                        <w:vAlign w:val="bottom"/>
                        <w:hideMark/>
                      </w:tcPr>
                      <w:p w14:paraId="3CF24FFF" w14:textId="77777777" w:rsidR="008E2A93" w:rsidRPr="00DE647E" w:rsidRDefault="008E2A93" w:rsidP="00DE647E">
                        <w:pPr>
                          <w:pStyle w:val="TableText"/>
                          <w:rPr>
                            <w:b/>
                            <w:bCs/>
                            <w:color w:val="FFFFFF" w:themeColor="text1"/>
                            <w:lang w:eastAsia="en-AU"/>
                          </w:rPr>
                        </w:pPr>
                        <w:r w:rsidRPr="00DE647E">
                          <w:rPr>
                            <w:b/>
                            <w:bCs/>
                            <w:color w:val="FFFFFF" w:themeColor="text1"/>
                            <w:lang w:eastAsia="en-AU"/>
                          </w:rPr>
                          <w:t>Cohort</w:t>
                        </w:r>
                      </w:p>
                    </w:tc>
                    <w:tc>
                      <w:tcPr>
                        <w:tcW w:w="2923" w:type="dxa"/>
                        <w:gridSpan w:val="3"/>
                        <w:shd w:val="clear" w:color="auto" w:fill="007E00" w:themeFill="accent3"/>
                        <w:noWrap/>
                        <w:vAlign w:val="bottom"/>
                        <w:hideMark/>
                      </w:tcPr>
                      <w:p w14:paraId="36F3B41E" w14:textId="77777777" w:rsidR="008E2A93" w:rsidRPr="00DE647E" w:rsidRDefault="008E2A93" w:rsidP="00DE647E">
                        <w:pPr>
                          <w:pStyle w:val="TableText"/>
                          <w:rPr>
                            <w:b/>
                            <w:bCs/>
                            <w:color w:val="FFFFFF" w:themeColor="text1"/>
                            <w:lang w:eastAsia="en-AU"/>
                          </w:rPr>
                        </w:pPr>
                        <w:r w:rsidRPr="00DE647E">
                          <w:rPr>
                            <w:b/>
                            <w:color w:val="FFFFFF" w:themeColor="text1"/>
                            <w:lang w:val="en-NZ" w:eastAsia="en-AU"/>
                          </w:rPr>
                          <w:t>FaRS</w:t>
                        </w:r>
                      </w:p>
                    </w:tc>
                    <w:tc>
                      <w:tcPr>
                        <w:tcW w:w="2923" w:type="dxa"/>
                        <w:gridSpan w:val="3"/>
                        <w:shd w:val="clear" w:color="auto" w:fill="007E00" w:themeFill="accent3"/>
                        <w:noWrap/>
                        <w:vAlign w:val="bottom"/>
                        <w:hideMark/>
                      </w:tcPr>
                      <w:p w14:paraId="3E51AB81" w14:textId="4C46AC86" w:rsidR="008E2A93" w:rsidRPr="00DE647E" w:rsidRDefault="008E2A93" w:rsidP="00DE647E">
                        <w:pPr>
                          <w:pStyle w:val="TableText"/>
                          <w:rPr>
                            <w:b/>
                            <w:bCs/>
                            <w:color w:val="FFFFFF" w:themeColor="text1"/>
                            <w:lang w:eastAsia="en-AU"/>
                          </w:rPr>
                        </w:pPr>
                        <w:r w:rsidRPr="00DE647E">
                          <w:rPr>
                            <w:b/>
                            <w:bCs/>
                            <w:color w:val="FFFFFF" w:themeColor="text1"/>
                            <w:lang w:eastAsia="en-AU"/>
                          </w:rPr>
                          <w:t>SFVS (incl. 4AP</w:t>
                        </w:r>
                        <w:r w:rsidR="007F4C66">
                          <w:rPr>
                            <w:b/>
                            <w:bCs/>
                            <w:color w:val="FFFFFF" w:themeColor="text1"/>
                            <w:lang w:eastAsia="en-AU"/>
                          </w:rPr>
                          <w:t>2</w:t>
                        </w:r>
                        <w:r w:rsidRPr="00DE647E">
                          <w:rPr>
                            <w:b/>
                            <w:bCs/>
                            <w:color w:val="FFFFFF" w:themeColor="text1"/>
                            <w:lang w:eastAsia="en-AU"/>
                          </w:rPr>
                          <w:t>)</w:t>
                        </w:r>
                      </w:p>
                    </w:tc>
                  </w:tr>
                  <w:tr w:rsidR="008E2A93" w:rsidRPr="0014194A" w14:paraId="2B7CFF9E" w14:textId="77777777" w:rsidTr="00245E70">
                    <w:trPr>
                      <w:trHeight w:val="679"/>
                    </w:trPr>
                    <w:tc>
                      <w:tcPr>
                        <w:tcW w:w="3664" w:type="dxa"/>
                        <w:gridSpan w:val="2"/>
                        <w:vMerge/>
                        <w:vAlign w:val="center"/>
                        <w:hideMark/>
                      </w:tcPr>
                      <w:p w14:paraId="0B19236B" w14:textId="77777777" w:rsidR="008E2A93" w:rsidRPr="00DE647E" w:rsidRDefault="008E2A93" w:rsidP="00DE647E">
                        <w:pPr>
                          <w:pStyle w:val="TableText"/>
                          <w:rPr>
                            <w:b/>
                            <w:bCs/>
                            <w:color w:val="FFFFFF" w:themeColor="text1"/>
                            <w:lang w:eastAsia="en-AU"/>
                          </w:rPr>
                        </w:pPr>
                      </w:p>
                    </w:tc>
                    <w:tc>
                      <w:tcPr>
                        <w:tcW w:w="959" w:type="dxa"/>
                        <w:shd w:val="clear" w:color="auto" w:fill="007E00" w:themeFill="accent3"/>
                        <w:hideMark/>
                      </w:tcPr>
                      <w:p w14:paraId="5E7084A7" w14:textId="71B15C9E" w:rsidR="008E2A93" w:rsidRPr="00DE647E" w:rsidRDefault="007F134C" w:rsidP="00DE647E">
                        <w:pPr>
                          <w:pStyle w:val="TableText"/>
                          <w:rPr>
                            <w:b/>
                            <w:bCs/>
                            <w:color w:val="FFFFFF" w:themeColor="text1"/>
                            <w:lang w:eastAsia="en-AU"/>
                          </w:rPr>
                        </w:pPr>
                        <w:r>
                          <w:rPr>
                            <w:b/>
                            <w:bCs/>
                            <w:color w:val="FFFFFF" w:themeColor="text1"/>
                            <w:lang w:eastAsia="en-AU"/>
                          </w:rPr>
                          <w:t>Total s</w:t>
                        </w:r>
                        <w:r w:rsidR="008E2A93">
                          <w:rPr>
                            <w:b/>
                            <w:bCs/>
                            <w:color w:val="FFFFFF" w:themeColor="text1"/>
                            <w:lang w:eastAsia="en-AU"/>
                          </w:rPr>
                          <w:t>ervice users (n=)</w:t>
                        </w:r>
                      </w:p>
                    </w:tc>
                    <w:tc>
                      <w:tcPr>
                        <w:tcW w:w="958" w:type="dxa"/>
                        <w:shd w:val="clear" w:color="auto" w:fill="007E00" w:themeFill="accent3"/>
                        <w:hideMark/>
                      </w:tcPr>
                      <w:p w14:paraId="1D9DF122" w14:textId="77777777" w:rsidR="008E2A93" w:rsidRPr="00DE647E" w:rsidRDefault="008E2A93" w:rsidP="00DE647E">
                        <w:pPr>
                          <w:pStyle w:val="TableText"/>
                          <w:rPr>
                            <w:b/>
                            <w:bCs/>
                            <w:color w:val="FFFFFF" w:themeColor="text1"/>
                            <w:lang w:eastAsia="en-AU"/>
                          </w:rPr>
                        </w:pPr>
                        <w:r w:rsidRPr="00DE647E">
                          <w:rPr>
                            <w:b/>
                            <w:bCs/>
                            <w:color w:val="FFFFFF" w:themeColor="text1"/>
                            <w:lang w:eastAsia="en-AU"/>
                          </w:rPr>
                          <w:t>SCORE change (mean)</w:t>
                        </w:r>
                      </w:p>
                    </w:tc>
                    <w:tc>
                      <w:tcPr>
                        <w:tcW w:w="1005" w:type="dxa"/>
                        <w:shd w:val="clear" w:color="auto" w:fill="007E00" w:themeFill="accent3"/>
                        <w:hideMark/>
                      </w:tcPr>
                      <w:p w14:paraId="4F385F7F" w14:textId="77777777" w:rsidR="008E2A93" w:rsidRPr="00DE647E" w:rsidRDefault="008E2A93" w:rsidP="00DE647E">
                        <w:pPr>
                          <w:pStyle w:val="TableText"/>
                          <w:rPr>
                            <w:b/>
                            <w:bCs/>
                            <w:color w:val="FFFFFF" w:themeColor="text1"/>
                            <w:lang w:eastAsia="en-AU"/>
                          </w:rPr>
                        </w:pPr>
                        <w:r w:rsidRPr="00DE647E">
                          <w:rPr>
                            <w:b/>
                            <w:bCs/>
                            <w:color w:val="FFFFFF" w:themeColor="text1"/>
                            <w:lang w:eastAsia="en-AU"/>
                          </w:rPr>
                          <w:t>% with positive change</w:t>
                        </w:r>
                      </w:p>
                    </w:tc>
                    <w:tc>
                      <w:tcPr>
                        <w:tcW w:w="959" w:type="dxa"/>
                        <w:shd w:val="clear" w:color="auto" w:fill="007E00" w:themeFill="accent3"/>
                        <w:hideMark/>
                      </w:tcPr>
                      <w:p w14:paraId="40B4632E" w14:textId="12743BEF" w:rsidR="008E2A93" w:rsidRPr="00DE647E" w:rsidRDefault="008E2A93" w:rsidP="00DE647E">
                        <w:pPr>
                          <w:pStyle w:val="TableText"/>
                          <w:rPr>
                            <w:b/>
                            <w:bCs/>
                            <w:color w:val="FFFFFF" w:themeColor="text1"/>
                            <w:lang w:eastAsia="en-AU"/>
                          </w:rPr>
                        </w:pPr>
                        <w:r>
                          <w:rPr>
                            <w:b/>
                            <w:bCs/>
                            <w:color w:val="FFFFFF" w:themeColor="text1"/>
                            <w:lang w:eastAsia="en-AU"/>
                          </w:rPr>
                          <w:t>Service users (n=)</w:t>
                        </w:r>
                      </w:p>
                    </w:tc>
                    <w:tc>
                      <w:tcPr>
                        <w:tcW w:w="958" w:type="dxa"/>
                        <w:shd w:val="clear" w:color="auto" w:fill="007E00" w:themeFill="accent3"/>
                        <w:hideMark/>
                      </w:tcPr>
                      <w:p w14:paraId="634D9F98" w14:textId="77777777" w:rsidR="008E2A93" w:rsidRPr="00DE647E" w:rsidRDefault="008E2A93" w:rsidP="00DE647E">
                        <w:pPr>
                          <w:pStyle w:val="TableText"/>
                          <w:rPr>
                            <w:b/>
                            <w:bCs/>
                            <w:color w:val="FFFFFF" w:themeColor="text1"/>
                            <w:lang w:eastAsia="en-AU"/>
                          </w:rPr>
                        </w:pPr>
                        <w:r w:rsidRPr="00DE647E">
                          <w:rPr>
                            <w:b/>
                            <w:bCs/>
                            <w:color w:val="FFFFFF" w:themeColor="text1"/>
                            <w:lang w:eastAsia="en-AU"/>
                          </w:rPr>
                          <w:t>SCORE change (mean)</w:t>
                        </w:r>
                      </w:p>
                    </w:tc>
                    <w:tc>
                      <w:tcPr>
                        <w:tcW w:w="1005" w:type="dxa"/>
                        <w:shd w:val="clear" w:color="auto" w:fill="007E00" w:themeFill="accent3"/>
                        <w:hideMark/>
                      </w:tcPr>
                      <w:p w14:paraId="33F079CA" w14:textId="77777777" w:rsidR="008E2A93" w:rsidRPr="00DE647E" w:rsidRDefault="008E2A93" w:rsidP="00DE647E">
                        <w:pPr>
                          <w:pStyle w:val="TableText"/>
                          <w:rPr>
                            <w:b/>
                            <w:bCs/>
                            <w:color w:val="FFFFFF" w:themeColor="text1"/>
                            <w:lang w:eastAsia="en-AU"/>
                          </w:rPr>
                        </w:pPr>
                        <w:r w:rsidRPr="00DE647E">
                          <w:rPr>
                            <w:b/>
                            <w:bCs/>
                            <w:color w:val="FFFFFF" w:themeColor="text1"/>
                            <w:lang w:eastAsia="en-AU"/>
                          </w:rPr>
                          <w:t>% with positive change</w:t>
                        </w:r>
                      </w:p>
                    </w:tc>
                  </w:tr>
                  <w:tr w:rsidR="008E2A93" w:rsidRPr="0014194A" w14:paraId="493FD5C6" w14:textId="77777777" w:rsidTr="00A44FC8">
                    <w:trPr>
                      <w:trHeight w:val="349"/>
                    </w:trPr>
                    <w:tc>
                      <w:tcPr>
                        <w:tcW w:w="1249" w:type="dxa"/>
                        <w:vMerge w:val="restart"/>
                        <w:noWrap/>
                        <w:hideMark/>
                      </w:tcPr>
                      <w:p w14:paraId="756723F1" w14:textId="77777777" w:rsidR="008E2A93" w:rsidRPr="0014194A" w:rsidRDefault="008E2A93" w:rsidP="00DE647E">
                        <w:pPr>
                          <w:pStyle w:val="TableText"/>
                          <w:rPr>
                            <w:lang w:eastAsia="en-AU"/>
                          </w:rPr>
                        </w:pPr>
                        <w:r w:rsidRPr="00A44FC8">
                          <w:t>CALD</w:t>
                        </w:r>
                      </w:p>
                    </w:tc>
                    <w:tc>
                      <w:tcPr>
                        <w:tcW w:w="2415" w:type="dxa"/>
                        <w:noWrap/>
                        <w:hideMark/>
                      </w:tcPr>
                      <w:p w14:paraId="10DAC2B3" w14:textId="49199972" w:rsidR="008E2A93" w:rsidRPr="0014194A" w:rsidRDefault="007F4C66" w:rsidP="00DE647E">
                        <w:pPr>
                          <w:pStyle w:val="TableText"/>
                          <w:rPr>
                            <w:lang w:eastAsia="en-AU"/>
                          </w:rPr>
                        </w:pPr>
                        <w:r w:rsidRPr="00D62560">
                          <w:t>Non</w:t>
                        </w:r>
                        <w:r w:rsidR="008E2A93" w:rsidRPr="0014194A">
                          <w:rPr>
                            <w:lang w:eastAsia="en-AU"/>
                          </w:rPr>
                          <w:t>-CALD</w:t>
                        </w:r>
                      </w:p>
                    </w:tc>
                    <w:tc>
                      <w:tcPr>
                        <w:tcW w:w="959" w:type="dxa"/>
                        <w:noWrap/>
                        <w:vAlign w:val="bottom"/>
                        <w:hideMark/>
                      </w:tcPr>
                      <w:p w14:paraId="336C011B" w14:textId="57B7EB01" w:rsidR="008E2A93" w:rsidRPr="0014194A" w:rsidRDefault="008E2A93" w:rsidP="00DE647E">
                        <w:pPr>
                          <w:pStyle w:val="TableText"/>
                          <w:rPr>
                            <w:lang w:eastAsia="en-AU"/>
                          </w:rPr>
                        </w:pPr>
                        <w:r w:rsidRPr="0014194A">
                          <w:rPr>
                            <w:lang w:eastAsia="en-AU"/>
                          </w:rPr>
                          <w:t>42</w:t>
                        </w:r>
                        <w:r>
                          <w:rPr>
                            <w:lang w:eastAsia="en-AU"/>
                          </w:rPr>
                          <w:t>,</w:t>
                        </w:r>
                        <w:r w:rsidRPr="0014194A">
                          <w:rPr>
                            <w:lang w:eastAsia="en-AU"/>
                          </w:rPr>
                          <w:t>938</w:t>
                        </w:r>
                      </w:p>
                    </w:tc>
                    <w:tc>
                      <w:tcPr>
                        <w:tcW w:w="958" w:type="dxa"/>
                        <w:noWrap/>
                        <w:vAlign w:val="bottom"/>
                        <w:hideMark/>
                      </w:tcPr>
                      <w:p w14:paraId="51732580" w14:textId="77777777" w:rsidR="008E2A93" w:rsidRPr="0014194A" w:rsidRDefault="008E2A93" w:rsidP="00DE647E">
                        <w:pPr>
                          <w:pStyle w:val="TableText"/>
                          <w:rPr>
                            <w:lang w:eastAsia="en-AU"/>
                          </w:rPr>
                        </w:pPr>
                        <w:r w:rsidRPr="0014194A">
                          <w:rPr>
                            <w:lang w:eastAsia="en-AU"/>
                          </w:rPr>
                          <w:t>1.21</w:t>
                        </w:r>
                      </w:p>
                    </w:tc>
                    <w:tc>
                      <w:tcPr>
                        <w:tcW w:w="1005" w:type="dxa"/>
                        <w:noWrap/>
                        <w:vAlign w:val="bottom"/>
                        <w:hideMark/>
                      </w:tcPr>
                      <w:p w14:paraId="49727E49" w14:textId="77777777" w:rsidR="008E2A93" w:rsidRPr="0014194A" w:rsidRDefault="008E2A93" w:rsidP="00DE647E">
                        <w:pPr>
                          <w:pStyle w:val="TableText"/>
                          <w:rPr>
                            <w:lang w:eastAsia="en-AU"/>
                          </w:rPr>
                        </w:pPr>
                        <w:r w:rsidRPr="0014194A">
                          <w:rPr>
                            <w:lang w:eastAsia="en-AU"/>
                          </w:rPr>
                          <w:t>74.6</w:t>
                        </w:r>
                      </w:p>
                    </w:tc>
                    <w:tc>
                      <w:tcPr>
                        <w:tcW w:w="959" w:type="dxa"/>
                        <w:noWrap/>
                        <w:vAlign w:val="bottom"/>
                        <w:hideMark/>
                      </w:tcPr>
                      <w:p w14:paraId="486387BE" w14:textId="00670BEA" w:rsidR="008E2A93" w:rsidRPr="0014194A" w:rsidRDefault="008E2A93" w:rsidP="00DE647E">
                        <w:pPr>
                          <w:pStyle w:val="TableText"/>
                          <w:rPr>
                            <w:lang w:eastAsia="en-AU"/>
                          </w:rPr>
                        </w:pPr>
                        <w:r w:rsidRPr="0014194A">
                          <w:rPr>
                            <w:lang w:eastAsia="en-AU"/>
                          </w:rPr>
                          <w:t>3</w:t>
                        </w:r>
                        <w:r>
                          <w:rPr>
                            <w:lang w:eastAsia="en-AU"/>
                          </w:rPr>
                          <w:t>,</w:t>
                        </w:r>
                        <w:r w:rsidRPr="0014194A">
                          <w:rPr>
                            <w:lang w:eastAsia="en-AU"/>
                          </w:rPr>
                          <w:t>912</w:t>
                        </w:r>
                      </w:p>
                    </w:tc>
                    <w:tc>
                      <w:tcPr>
                        <w:tcW w:w="958" w:type="dxa"/>
                        <w:noWrap/>
                        <w:vAlign w:val="bottom"/>
                        <w:hideMark/>
                      </w:tcPr>
                      <w:p w14:paraId="2D5B59F8" w14:textId="77777777" w:rsidR="008E2A93" w:rsidRPr="0014194A" w:rsidRDefault="008E2A93" w:rsidP="00DE647E">
                        <w:pPr>
                          <w:pStyle w:val="TableText"/>
                          <w:rPr>
                            <w:lang w:eastAsia="en-AU"/>
                          </w:rPr>
                        </w:pPr>
                        <w:r w:rsidRPr="0014194A">
                          <w:rPr>
                            <w:lang w:eastAsia="en-AU"/>
                          </w:rPr>
                          <w:t>1.1</w:t>
                        </w:r>
                      </w:p>
                    </w:tc>
                    <w:tc>
                      <w:tcPr>
                        <w:tcW w:w="1005" w:type="dxa"/>
                        <w:noWrap/>
                        <w:vAlign w:val="bottom"/>
                        <w:hideMark/>
                      </w:tcPr>
                      <w:p w14:paraId="24973FAF" w14:textId="77777777" w:rsidR="008E2A93" w:rsidRPr="0014194A" w:rsidRDefault="008E2A93" w:rsidP="00DE647E">
                        <w:pPr>
                          <w:pStyle w:val="TableText"/>
                          <w:rPr>
                            <w:lang w:eastAsia="en-AU"/>
                          </w:rPr>
                        </w:pPr>
                        <w:r w:rsidRPr="0014194A">
                          <w:rPr>
                            <w:lang w:eastAsia="en-AU"/>
                          </w:rPr>
                          <w:t>71.1</w:t>
                        </w:r>
                      </w:p>
                    </w:tc>
                  </w:tr>
                  <w:tr w:rsidR="008E2A93" w:rsidRPr="0014194A" w14:paraId="04A45CA8" w14:textId="77777777" w:rsidTr="00A44FC8">
                    <w:trPr>
                      <w:trHeight w:val="349"/>
                    </w:trPr>
                    <w:tc>
                      <w:tcPr>
                        <w:tcW w:w="1249" w:type="dxa"/>
                        <w:vMerge/>
                        <w:hideMark/>
                      </w:tcPr>
                      <w:p w14:paraId="27F16E60" w14:textId="77777777" w:rsidR="008E2A93" w:rsidRPr="0014194A" w:rsidRDefault="008E2A93" w:rsidP="00DE647E">
                        <w:pPr>
                          <w:pStyle w:val="TableText"/>
                          <w:rPr>
                            <w:lang w:eastAsia="en-AU"/>
                          </w:rPr>
                        </w:pPr>
                      </w:p>
                    </w:tc>
                    <w:tc>
                      <w:tcPr>
                        <w:tcW w:w="2415" w:type="dxa"/>
                        <w:noWrap/>
                        <w:hideMark/>
                      </w:tcPr>
                      <w:p w14:paraId="74241BEF" w14:textId="77777777" w:rsidR="008E2A93" w:rsidRPr="0014194A" w:rsidRDefault="008E2A93" w:rsidP="00DE647E">
                        <w:pPr>
                          <w:pStyle w:val="TableText"/>
                          <w:rPr>
                            <w:lang w:eastAsia="en-AU"/>
                          </w:rPr>
                        </w:pPr>
                        <w:r w:rsidRPr="0014194A">
                          <w:rPr>
                            <w:lang w:eastAsia="en-AU"/>
                          </w:rPr>
                          <w:t>CALD</w:t>
                        </w:r>
                      </w:p>
                    </w:tc>
                    <w:tc>
                      <w:tcPr>
                        <w:tcW w:w="959" w:type="dxa"/>
                        <w:noWrap/>
                        <w:vAlign w:val="bottom"/>
                        <w:hideMark/>
                      </w:tcPr>
                      <w:p w14:paraId="28508F78" w14:textId="0EF6EB21" w:rsidR="008E2A93" w:rsidRPr="0014194A" w:rsidRDefault="008E2A93" w:rsidP="00DE647E">
                        <w:pPr>
                          <w:pStyle w:val="TableText"/>
                          <w:rPr>
                            <w:lang w:eastAsia="en-AU"/>
                          </w:rPr>
                        </w:pPr>
                        <w:r w:rsidRPr="0014194A">
                          <w:rPr>
                            <w:lang w:eastAsia="en-AU"/>
                          </w:rPr>
                          <w:t>2</w:t>
                        </w:r>
                        <w:r>
                          <w:rPr>
                            <w:lang w:eastAsia="en-AU"/>
                          </w:rPr>
                          <w:t>,</w:t>
                        </w:r>
                        <w:r w:rsidRPr="0014194A">
                          <w:rPr>
                            <w:lang w:eastAsia="en-AU"/>
                          </w:rPr>
                          <w:t>845</w:t>
                        </w:r>
                      </w:p>
                    </w:tc>
                    <w:tc>
                      <w:tcPr>
                        <w:tcW w:w="958" w:type="dxa"/>
                        <w:noWrap/>
                        <w:vAlign w:val="bottom"/>
                        <w:hideMark/>
                      </w:tcPr>
                      <w:p w14:paraId="359CBAF2" w14:textId="77777777" w:rsidR="008E2A93" w:rsidRPr="0014194A" w:rsidRDefault="008E2A93" w:rsidP="00DE647E">
                        <w:pPr>
                          <w:pStyle w:val="TableText"/>
                          <w:rPr>
                            <w:lang w:eastAsia="en-AU"/>
                          </w:rPr>
                        </w:pPr>
                        <w:r w:rsidRPr="0014194A">
                          <w:rPr>
                            <w:lang w:eastAsia="en-AU"/>
                          </w:rPr>
                          <w:t>1.19</w:t>
                        </w:r>
                      </w:p>
                    </w:tc>
                    <w:tc>
                      <w:tcPr>
                        <w:tcW w:w="1005" w:type="dxa"/>
                        <w:noWrap/>
                        <w:vAlign w:val="bottom"/>
                        <w:hideMark/>
                      </w:tcPr>
                      <w:p w14:paraId="58BCB346" w14:textId="77777777" w:rsidR="008E2A93" w:rsidRPr="0014194A" w:rsidRDefault="008E2A93" w:rsidP="00DE647E">
                        <w:pPr>
                          <w:pStyle w:val="TableText"/>
                          <w:rPr>
                            <w:lang w:eastAsia="en-AU"/>
                          </w:rPr>
                        </w:pPr>
                        <w:r w:rsidRPr="0014194A">
                          <w:rPr>
                            <w:lang w:eastAsia="en-AU"/>
                          </w:rPr>
                          <w:t>71.6</w:t>
                        </w:r>
                      </w:p>
                    </w:tc>
                    <w:tc>
                      <w:tcPr>
                        <w:tcW w:w="959" w:type="dxa"/>
                        <w:noWrap/>
                        <w:vAlign w:val="bottom"/>
                        <w:hideMark/>
                      </w:tcPr>
                      <w:p w14:paraId="5A366AB5" w14:textId="7A7933DC" w:rsidR="008E2A93" w:rsidRPr="0014194A" w:rsidRDefault="008E2A93" w:rsidP="00DE647E">
                        <w:pPr>
                          <w:pStyle w:val="TableText"/>
                          <w:rPr>
                            <w:lang w:eastAsia="en-AU"/>
                          </w:rPr>
                        </w:pPr>
                        <w:r w:rsidRPr="0014194A">
                          <w:rPr>
                            <w:lang w:eastAsia="en-AU"/>
                          </w:rPr>
                          <w:t>330</w:t>
                        </w:r>
                      </w:p>
                    </w:tc>
                    <w:tc>
                      <w:tcPr>
                        <w:tcW w:w="958" w:type="dxa"/>
                        <w:noWrap/>
                        <w:vAlign w:val="bottom"/>
                        <w:hideMark/>
                      </w:tcPr>
                      <w:p w14:paraId="74A87944" w14:textId="77777777" w:rsidR="008E2A93" w:rsidRPr="0014194A" w:rsidRDefault="008E2A93" w:rsidP="00DE647E">
                        <w:pPr>
                          <w:pStyle w:val="TableText"/>
                          <w:rPr>
                            <w:lang w:eastAsia="en-AU"/>
                          </w:rPr>
                        </w:pPr>
                        <w:r w:rsidRPr="0014194A">
                          <w:rPr>
                            <w:lang w:eastAsia="en-AU"/>
                          </w:rPr>
                          <w:t>1.01</w:t>
                        </w:r>
                      </w:p>
                    </w:tc>
                    <w:tc>
                      <w:tcPr>
                        <w:tcW w:w="1005" w:type="dxa"/>
                        <w:noWrap/>
                        <w:vAlign w:val="bottom"/>
                        <w:hideMark/>
                      </w:tcPr>
                      <w:p w14:paraId="7E412BE5" w14:textId="77777777" w:rsidR="008E2A93" w:rsidRPr="0014194A" w:rsidRDefault="008E2A93" w:rsidP="00DE647E">
                        <w:pPr>
                          <w:pStyle w:val="TableText"/>
                          <w:rPr>
                            <w:lang w:eastAsia="en-AU"/>
                          </w:rPr>
                        </w:pPr>
                        <w:r w:rsidRPr="0014194A">
                          <w:rPr>
                            <w:lang w:eastAsia="en-AU"/>
                          </w:rPr>
                          <w:t>67</w:t>
                        </w:r>
                      </w:p>
                    </w:tc>
                  </w:tr>
                  <w:tr w:rsidR="008E2A93" w:rsidRPr="0014194A" w14:paraId="0CD61AE5" w14:textId="77777777" w:rsidTr="00A44FC8">
                    <w:trPr>
                      <w:trHeight w:val="349"/>
                    </w:trPr>
                    <w:tc>
                      <w:tcPr>
                        <w:tcW w:w="1249" w:type="dxa"/>
                        <w:vMerge w:val="restart"/>
                        <w:hideMark/>
                      </w:tcPr>
                      <w:p w14:paraId="56138F3A" w14:textId="58626C97" w:rsidR="008E2A93" w:rsidRPr="0014194A" w:rsidRDefault="007F4C66" w:rsidP="00DE647E">
                        <w:pPr>
                          <w:pStyle w:val="TableText"/>
                          <w:rPr>
                            <w:lang w:eastAsia="en-AU"/>
                          </w:rPr>
                        </w:pPr>
                        <w:r w:rsidRPr="00A44FC8">
                          <w:t xml:space="preserve">Aboriginal and Torres Strait Islander </w:t>
                        </w:r>
                      </w:p>
                    </w:tc>
                    <w:tc>
                      <w:tcPr>
                        <w:tcW w:w="2415" w:type="dxa"/>
                        <w:noWrap/>
                        <w:hideMark/>
                      </w:tcPr>
                      <w:p w14:paraId="476A931D" w14:textId="62A7689B" w:rsidR="008E2A93" w:rsidRPr="0014194A" w:rsidRDefault="007F4C66" w:rsidP="00DE647E">
                        <w:pPr>
                          <w:pStyle w:val="TableText"/>
                          <w:rPr>
                            <w:lang w:eastAsia="en-AU"/>
                          </w:rPr>
                        </w:pPr>
                        <w:r w:rsidRPr="00D62560">
                          <w:t>Non-Aboriginal and Torres Strait Islander (or unknown)</w:t>
                        </w:r>
                      </w:p>
                    </w:tc>
                    <w:tc>
                      <w:tcPr>
                        <w:tcW w:w="959" w:type="dxa"/>
                        <w:noWrap/>
                        <w:vAlign w:val="bottom"/>
                        <w:hideMark/>
                      </w:tcPr>
                      <w:p w14:paraId="5E9AA0B7" w14:textId="663E9330" w:rsidR="008E2A93" w:rsidRPr="0014194A" w:rsidRDefault="008E2A93" w:rsidP="00DE647E">
                        <w:pPr>
                          <w:pStyle w:val="TableText"/>
                          <w:rPr>
                            <w:lang w:eastAsia="en-AU"/>
                          </w:rPr>
                        </w:pPr>
                        <w:r w:rsidRPr="0014194A">
                          <w:rPr>
                            <w:lang w:eastAsia="en-AU"/>
                          </w:rPr>
                          <w:t>70</w:t>
                        </w:r>
                        <w:r>
                          <w:rPr>
                            <w:lang w:eastAsia="en-AU"/>
                          </w:rPr>
                          <w:t>,</w:t>
                        </w:r>
                        <w:r w:rsidRPr="0014194A">
                          <w:rPr>
                            <w:lang w:eastAsia="en-AU"/>
                          </w:rPr>
                          <w:t>887</w:t>
                        </w:r>
                      </w:p>
                    </w:tc>
                    <w:tc>
                      <w:tcPr>
                        <w:tcW w:w="958" w:type="dxa"/>
                        <w:noWrap/>
                        <w:vAlign w:val="bottom"/>
                        <w:hideMark/>
                      </w:tcPr>
                      <w:p w14:paraId="6D147CDF" w14:textId="77777777" w:rsidR="008E2A93" w:rsidRPr="0014194A" w:rsidRDefault="008E2A93" w:rsidP="00DE647E">
                        <w:pPr>
                          <w:pStyle w:val="TableText"/>
                          <w:rPr>
                            <w:lang w:eastAsia="en-AU"/>
                          </w:rPr>
                        </w:pPr>
                        <w:r w:rsidRPr="0014194A">
                          <w:rPr>
                            <w:lang w:eastAsia="en-AU"/>
                          </w:rPr>
                          <w:t>1.13</w:t>
                        </w:r>
                      </w:p>
                    </w:tc>
                    <w:tc>
                      <w:tcPr>
                        <w:tcW w:w="1005" w:type="dxa"/>
                        <w:noWrap/>
                        <w:vAlign w:val="bottom"/>
                        <w:hideMark/>
                      </w:tcPr>
                      <w:p w14:paraId="46076289" w14:textId="77777777" w:rsidR="008E2A93" w:rsidRPr="0014194A" w:rsidRDefault="008E2A93" w:rsidP="00DE647E">
                        <w:pPr>
                          <w:pStyle w:val="TableText"/>
                          <w:rPr>
                            <w:lang w:eastAsia="en-AU"/>
                          </w:rPr>
                        </w:pPr>
                        <w:r w:rsidRPr="0014194A">
                          <w:rPr>
                            <w:lang w:eastAsia="en-AU"/>
                          </w:rPr>
                          <w:t>72.8</w:t>
                        </w:r>
                      </w:p>
                    </w:tc>
                    <w:tc>
                      <w:tcPr>
                        <w:tcW w:w="959" w:type="dxa"/>
                        <w:noWrap/>
                        <w:vAlign w:val="bottom"/>
                        <w:hideMark/>
                      </w:tcPr>
                      <w:p w14:paraId="245BEE6C" w14:textId="5ADD5710" w:rsidR="008E2A93" w:rsidRPr="0014194A" w:rsidRDefault="008E2A93" w:rsidP="00DE647E">
                        <w:pPr>
                          <w:pStyle w:val="TableText"/>
                          <w:rPr>
                            <w:lang w:eastAsia="en-AU"/>
                          </w:rPr>
                        </w:pPr>
                        <w:r w:rsidRPr="0014194A">
                          <w:rPr>
                            <w:lang w:eastAsia="en-AU"/>
                          </w:rPr>
                          <w:t>6</w:t>
                        </w:r>
                        <w:r>
                          <w:rPr>
                            <w:lang w:eastAsia="en-AU"/>
                          </w:rPr>
                          <w:t>,</w:t>
                        </w:r>
                        <w:r w:rsidRPr="0014194A">
                          <w:rPr>
                            <w:lang w:eastAsia="en-AU"/>
                          </w:rPr>
                          <w:t>652</w:t>
                        </w:r>
                      </w:p>
                    </w:tc>
                    <w:tc>
                      <w:tcPr>
                        <w:tcW w:w="958" w:type="dxa"/>
                        <w:noWrap/>
                        <w:vAlign w:val="bottom"/>
                        <w:hideMark/>
                      </w:tcPr>
                      <w:p w14:paraId="75D6781A" w14:textId="77777777" w:rsidR="008E2A93" w:rsidRPr="0014194A" w:rsidRDefault="008E2A93" w:rsidP="00DE647E">
                        <w:pPr>
                          <w:pStyle w:val="TableText"/>
                          <w:rPr>
                            <w:lang w:eastAsia="en-AU"/>
                          </w:rPr>
                        </w:pPr>
                        <w:r w:rsidRPr="0014194A">
                          <w:rPr>
                            <w:lang w:eastAsia="en-AU"/>
                          </w:rPr>
                          <w:t>1.06</w:t>
                        </w:r>
                      </w:p>
                    </w:tc>
                    <w:tc>
                      <w:tcPr>
                        <w:tcW w:w="1005" w:type="dxa"/>
                        <w:noWrap/>
                        <w:vAlign w:val="bottom"/>
                        <w:hideMark/>
                      </w:tcPr>
                      <w:p w14:paraId="3FCA799A" w14:textId="77777777" w:rsidR="008E2A93" w:rsidRPr="0014194A" w:rsidRDefault="008E2A93" w:rsidP="00DE647E">
                        <w:pPr>
                          <w:pStyle w:val="TableText"/>
                          <w:rPr>
                            <w:lang w:eastAsia="en-AU"/>
                          </w:rPr>
                        </w:pPr>
                        <w:r w:rsidRPr="0014194A">
                          <w:rPr>
                            <w:lang w:eastAsia="en-AU"/>
                          </w:rPr>
                          <w:t>70</w:t>
                        </w:r>
                      </w:p>
                    </w:tc>
                  </w:tr>
                  <w:tr w:rsidR="008E2A93" w:rsidRPr="0014194A" w14:paraId="3245BCBF" w14:textId="77777777" w:rsidTr="00A44FC8">
                    <w:trPr>
                      <w:trHeight w:val="349"/>
                    </w:trPr>
                    <w:tc>
                      <w:tcPr>
                        <w:tcW w:w="1249" w:type="dxa"/>
                        <w:vMerge/>
                        <w:hideMark/>
                      </w:tcPr>
                      <w:p w14:paraId="24974BFD" w14:textId="77777777" w:rsidR="008E2A93" w:rsidRPr="0014194A" w:rsidRDefault="008E2A93" w:rsidP="00DE647E">
                        <w:pPr>
                          <w:pStyle w:val="TableText"/>
                          <w:rPr>
                            <w:lang w:eastAsia="en-AU"/>
                          </w:rPr>
                        </w:pPr>
                      </w:p>
                    </w:tc>
                    <w:tc>
                      <w:tcPr>
                        <w:tcW w:w="2415" w:type="dxa"/>
                        <w:noWrap/>
                        <w:hideMark/>
                      </w:tcPr>
                      <w:p w14:paraId="5B4ADEC8" w14:textId="777B2E2E" w:rsidR="008E2A93" w:rsidRPr="0014194A" w:rsidRDefault="007F4C66" w:rsidP="00DE647E">
                        <w:pPr>
                          <w:pStyle w:val="TableText"/>
                          <w:rPr>
                            <w:lang w:eastAsia="en-AU"/>
                          </w:rPr>
                        </w:pPr>
                        <w:r w:rsidRPr="00D62560">
                          <w:t>Aboriginal and Torres Strait Islander</w:t>
                        </w:r>
                      </w:p>
                    </w:tc>
                    <w:tc>
                      <w:tcPr>
                        <w:tcW w:w="959" w:type="dxa"/>
                        <w:noWrap/>
                        <w:vAlign w:val="bottom"/>
                        <w:hideMark/>
                      </w:tcPr>
                      <w:p w14:paraId="62518F7F" w14:textId="4822E43F" w:rsidR="008E2A93" w:rsidRPr="0014194A" w:rsidRDefault="008E2A93" w:rsidP="00DE647E">
                        <w:pPr>
                          <w:pStyle w:val="TableText"/>
                          <w:rPr>
                            <w:lang w:eastAsia="en-AU"/>
                          </w:rPr>
                        </w:pPr>
                        <w:r w:rsidRPr="0014194A">
                          <w:rPr>
                            <w:lang w:eastAsia="en-AU"/>
                          </w:rPr>
                          <w:t>2</w:t>
                        </w:r>
                        <w:r>
                          <w:rPr>
                            <w:lang w:eastAsia="en-AU"/>
                          </w:rPr>
                          <w:t>,</w:t>
                        </w:r>
                        <w:r w:rsidRPr="0014194A">
                          <w:rPr>
                            <w:lang w:eastAsia="en-AU"/>
                          </w:rPr>
                          <w:t>596</w:t>
                        </w:r>
                      </w:p>
                    </w:tc>
                    <w:tc>
                      <w:tcPr>
                        <w:tcW w:w="958" w:type="dxa"/>
                        <w:noWrap/>
                        <w:vAlign w:val="bottom"/>
                        <w:hideMark/>
                      </w:tcPr>
                      <w:p w14:paraId="6DFAEA1A" w14:textId="77777777" w:rsidR="008E2A93" w:rsidRPr="0014194A" w:rsidRDefault="008E2A93" w:rsidP="00DE647E">
                        <w:pPr>
                          <w:pStyle w:val="TableText"/>
                          <w:rPr>
                            <w:lang w:eastAsia="en-AU"/>
                          </w:rPr>
                        </w:pPr>
                        <w:r w:rsidRPr="0014194A">
                          <w:rPr>
                            <w:lang w:eastAsia="en-AU"/>
                          </w:rPr>
                          <w:t>1.17</w:t>
                        </w:r>
                      </w:p>
                    </w:tc>
                    <w:tc>
                      <w:tcPr>
                        <w:tcW w:w="1005" w:type="dxa"/>
                        <w:noWrap/>
                        <w:vAlign w:val="bottom"/>
                        <w:hideMark/>
                      </w:tcPr>
                      <w:p w14:paraId="4DF3E806" w14:textId="77777777" w:rsidR="008E2A93" w:rsidRPr="0014194A" w:rsidRDefault="008E2A93" w:rsidP="00DE647E">
                        <w:pPr>
                          <w:pStyle w:val="TableText"/>
                          <w:rPr>
                            <w:lang w:eastAsia="en-AU"/>
                          </w:rPr>
                        </w:pPr>
                        <w:r w:rsidRPr="0014194A">
                          <w:rPr>
                            <w:lang w:eastAsia="en-AU"/>
                          </w:rPr>
                          <w:t>73.1</w:t>
                        </w:r>
                      </w:p>
                    </w:tc>
                    <w:tc>
                      <w:tcPr>
                        <w:tcW w:w="959" w:type="dxa"/>
                        <w:noWrap/>
                        <w:vAlign w:val="bottom"/>
                        <w:hideMark/>
                      </w:tcPr>
                      <w:p w14:paraId="2118FC55" w14:textId="77777777" w:rsidR="008E2A93" w:rsidRPr="0014194A" w:rsidRDefault="008E2A93" w:rsidP="00DE647E">
                        <w:pPr>
                          <w:pStyle w:val="TableText"/>
                          <w:rPr>
                            <w:lang w:eastAsia="en-AU"/>
                          </w:rPr>
                        </w:pPr>
                        <w:r w:rsidRPr="0014194A">
                          <w:rPr>
                            <w:lang w:eastAsia="en-AU"/>
                          </w:rPr>
                          <w:t>479</w:t>
                        </w:r>
                      </w:p>
                    </w:tc>
                    <w:tc>
                      <w:tcPr>
                        <w:tcW w:w="958" w:type="dxa"/>
                        <w:noWrap/>
                        <w:vAlign w:val="bottom"/>
                        <w:hideMark/>
                      </w:tcPr>
                      <w:p w14:paraId="56950DA9" w14:textId="77777777" w:rsidR="008E2A93" w:rsidRPr="0014194A" w:rsidRDefault="008E2A93" w:rsidP="00DE647E">
                        <w:pPr>
                          <w:pStyle w:val="TableText"/>
                          <w:rPr>
                            <w:lang w:eastAsia="en-AU"/>
                          </w:rPr>
                        </w:pPr>
                        <w:r w:rsidRPr="0014194A">
                          <w:rPr>
                            <w:lang w:eastAsia="en-AU"/>
                          </w:rPr>
                          <w:t>1.04</w:t>
                        </w:r>
                      </w:p>
                    </w:tc>
                    <w:tc>
                      <w:tcPr>
                        <w:tcW w:w="1005" w:type="dxa"/>
                        <w:noWrap/>
                        <w:vAlign w:val="bottom"/>
                        <w:hideMark/>
                      </w:tcPr>
                      <w:p w14:paraId="2F3A02DC" w14:textId="77777777" w:rsidR="008E2A93" w:rsidRPr="0014194A" w:rsidRDefault="008E2A93" w:rsidP="00DE647E">
                        <w:pPr>
                          <w:pStyle w:val="TableText"/>
                          <w:rPr>
                            <w:lang w:eastAsia="en-AU"/>
                          </w:rPr>
                        </w:pPr>
                        <w:r w:rsidRPr="0014194A">
                          <w:rPr>
                            <w:lang w:eastAsia="en-AU"/>
                          </w:rPr>
                          <w:t>66.4</w:t>
                        </w:r>
                      </w:p>
                    </w:tc>
                  </w:tr>
                  <w:tr w:rsidR="008E2A93" w:rsidRPr="0014194A" w14:paraId="5A01FD60" w14:textId="77777777" w:rsidTr="00A44FC8">
                    <w:trPr>
                      <w:trHeight w:val="349"/>
                    </w:trPr>
                    <w:tc>
                      <w:tcPr>
                        <w:tcW w:w="1249" w:type="dxa"/>
                        <w:vMerge w:val="restart"/>
                        <w:hideMark/>
                      </w:tcPr>
                      <w:p w14:paraId="291AA038" w14:textId="77777777" w:rsidR="008E2A93" w:rsidRPr="0014194A" w:rsidRDefault="008E2A93" w:rsidP="00DE647E">
                        <w:pPr>
                          <w:pStyle w:val="TableText"/>
                          <w:rPr>
                            <w:lang w:eastAsia="en-AU"/>
                          </w:rPr>
                        </w:pPr>
                        <w:r w:rsidRPr="00A44FC8">
                          <w:t>People with disability</w:t>
                        </w:r>
                      </w:p>
                    </w:tc>
                    <w:tc>
                      <w:tcPr>
                        <w:tcW w:w="2415" w:type="dxa"/>
                        <w:noWrap/>
                        <w:hideMark/>
                      </w:tcPr>
                      <w:p w14:paraId="7D81483A" w14:textId="77777777" w:rsidR="008E2A93" w:rsidRPr="0014194A" w:rsidRDefault="008E2A93" w:rsidP="00DE647E">
                        <w:pPr>
                          <w:pStyle w:val="TableText"/>
                          <w:rPr>
                            <w:lang w:eastAsia="en-AU"/>
                          </w:rPr>
                        </w:pPr>
                        <w:r w:rsidRPr="0014194A">
                          <w:rPr>
                            <w:lang w:eastAsia="en-AU"/>
                          </w:rPr>
                          <w:t>Without disability (or unknown)</w:t>
                        </w:r>
                      </w:p>
                    </w:tc>
                    <w:tc>
                      <w:tcPr>
                        <w:tcW w:w="959" w:type="dxa"/>
                        <w:noWrap/>
                        <w:vAlign w:val="bottom"/>
                        <w:hideMark/>
                      </w:tcPr>
                      <w:p w14:paraId="63BCC8A3" w14:textId="06350625" w:rsidR="008E2A93" w:rsidRPr="0014194A" w:rsidRDefault="008E2A93" w:rsidP="00DE647E">
                        <w:pPr>
                          <w:pStyle w:val="TableText"/>
                          <w:rPr>
                            <w:lang w:eastAsia="en-AU"/>
                          </w:rPr>
                        </w:pPr>
                        <w:r w:rsidRPr="0014194A">
                          <w:rPr>
                            <w:lang w:eastAsia="en-AU"/>
                          </w:rPr>
                          <w:t>68</w:t>
                        </w:r>
                        <w:r>
                          <w:rPr>
                            <w:lang w:eastAsia="en-AU"/>
                          </w:rPr>
                          <w:t>,</w:t>
                        </w:r>
                        <w:r w:rsidRPr="0014194A">
                          <w:rPr>
                            <w:lang w:eastAsia="en-AU"/>
                          </w:rPr>
                          <w:t>047</w:t>
                        </w:r>
                      </w:p>
                    </w:tc>
                    <w:tc>
                      <w:tcPr>
                        <w:tcW w:w="958" w:type="dxa"/>
                        <w:noWrap/>
                        <w:vAlign w:val="bottom"/>
                        <w:hideMark/>
                      </w:tcPr>
                      <w:p w14:paraId="5C6A00E3" w14:textId="77777777" w:rsidR="008E2A93" w:rsidRPr="0014194A" w:rsidRDefault="008E2A93" w:rsidP="00DE647E">
                        <w:pPr>
                          <w:pStyle w:val="TableText"/>
                          <w:rPr>
                            <w:lang w:eastAsia="en-AU"/>
                          </w:rPr>
                        </w:pPr>
                        <w:r w:rsidRPr="0014194A">
                          <w:rPr>
                            <w:lang w:eastAsia="en-AU"/>
                          </w:rPr>
                          <w:t>1.14</w:t>
                        </w:r>
                      </w:p>
                    </w:tc>
                    <w:tc>
                      <w:tcPr>
                        <w:tcW w:w="1005" w:type="dxa"/>
                        <w:noWrap/>
                        <w:vAlign w:val="bottom"/>
                        <w:hideMark/>
                      </w:tcPr>
                      <w:p w14:paraId="69B0DEFA" w14:textId="77777777" w:rsidR="008E2A93" w:rsidRPr="0014194A" w:rsidRDefault="008E2A93" w:rsidP="00DE647E">
                        <w:pPr>
                          <w:pStyle w:val="TableText"/>
                          <w:rPr>
                            <w:lang w:eastAsia="en-AU"/>
                          </w:rPr>
                        </w:pPr>
                        <w:r w:rsidRPr="0014194A">
                          <w:rPr>
                            <w:lang w:eastAsia="en-AU"/>
                          </w:rPr>
                          <w:t>72.9</w:t>
                        </w:r>
                      </w:p>
                    </w:tc>
                    <w:tc>
                      <w:tcPr>
                        <w:tcW w:w="959" w:type="dxa"/>
                        <w:noWrap/>
                        <w:vAlign w:val="bottom"/>
                        <w:hideMark/>
                      </w:tcPr>
                      <w:p w14:paraId="416706D8" w14:textId="7FAF1A8A" w:rsidR="008E2A93" w:rsidRPr="0014194A" w:rsidRDefault="008E2A93" w:rsidP="00DE647E">
                        <w:pPr>
                          <w:pStyle w:val="TableText"/>
                          <w:rPr>
                            <w:lang w:eastAsia="en-AU"/>
                          </w:rPr>
                        </w:pPr>
                        <w:r w:rsidRPr="0014194A">
                          <w:rPr>
                            <w:lang w:eastAsia="en-AU"/>
                          </w:rPr>
                          <w:t>6</w:t>
                        </w:r>
                        <w:r>
                          <w:rPr>
                            <w:lang w:eastAsia="en-AU"/>
                          </w:rPr>
                          <w:t>,</w:t>
                        </w:r>
                        <w:r w:rsidRPr="0014194A">
                          <w:rPr>
                            <w:lang w:eastAsia="en-AU"/>
                          </w:rPr>
                          <w:t>161</w:t>
                        </w:r>
                      </w:p>
                    </w:tc>
                    <w:tc>
                      <w:tcPr>
                        <w:tcW w:w="958" w:type="dxa"/>
                        <w:noWrap/>
                        <w:vAlign w:val="bottom"/>
                        <w:hideMark/>
                      </w:tcPr>
                      <w:p w14:paraId="287E6722" w14:textId="77777777" w:rsidR="008E2A93" w:rsidRPr="0014194A" w:rsidRDefault="008E2A93" w:rsidP="00DE647E">
                        <w:pPr>
                          <w:pStyle w:val="TableText"/>
                          <w:rPr>
                            <w:lang w:eastAsia="en-AU"/>
                          </w:rPr>
                        </w:pPr>
                        <w:r w:rsidRPr="0014194A">
                          <w:rPr>
                            <w:lang w:eastAsia="en-AU"/>
                          </w:rPr>
                          <w:t>1.05</w:t>
                        </w:r>
                      </w:p>
                    </w:tc>
                    <w:tc>
                      <w:tcPr>
                        <w:tcW w:w="1005" w:type="dxa"/>
                        <w:noWrap/>
                        <w:vAlign w:val="bottom"/>
                        <w:hideMark/>
                      </w:tcPr>
                      <w:p w14:paraId="144754F4" w14:textId="77777777" w:rsidR="008E2A93" w:rsidRPr="0014194A" w:rsidRDefault="008E2A93" w:rsidP="00DE647E">
                        <w:pPr>
                          <w:pStyle w:val="TableText"/>
                          <w:rPr>
                            <w:lang w:eastAsia="en-AU"/>
                          </w:rPr>
                        </w:pPr>
                        <w:r w:rsidRPr="0014194A">
                          <w:rPr>
                            <w:lang w:eastAsia="en-AU"/>
                          </w:rPr>
                          <w:t>69.8</w:t>
                        </w:r>
                      </w:p>
                    </w:tc>
                  </w:tr>
                  <w:tr w:rsidR="008E2A93" w:rsidRPr="0014194A" w14:paraId="044E0511" w14:textId="77777777" w:rsidTr="00A44FC8">
                    <w:trPr>
                      <w:trHeight w:val="349"/>
                    </w:trPr>
                    <w:tc>
                      <w:tcPr>
                        <w:tcW w:w="1249" w:type="dxa"/>
                        <w:vMerge/>
                        <w:hideMark/>
                      </w:tcPr>
                      <w:p w14:paraId="0BF76561" w14:textId="77777777" w:rsidR="008E2A93" w:rsidRPr="0014194A" w:rsidRDefault="008E2A93" w:rsidP="00DE647E">
                        <w:pPr>
                          <w:pStyle w:val="TableText"/>
                          <w:rPr>
                            <w:lang w:eastAsia="en-AU"/>
                          </w:rPr>
                        </w:pPr>
                      </w:p>
                    </w:tc>
                    <w:tc>
                      <w:tcPr>
                        <w:tcW w:w="2415" w:type="dxa"/>
                        <w:noWrap/>
                        <w:hideMark/>
                      </w:tcPr>
                      <w:p w14:paraId="2CF8DF41" w14:textId="77777777" w:rsidR="008E2A93" w:rsidRPr="0014194A" w:rsidRDefault="008E2A93" w:rsidP="00DE647E">
                        <w:pPr>
                          <w:pStyle w:val="TableText"/>
                          <w:rPr>
                            <w:lang w:eastAsia="en-AU"/>
                          </w:rPr>
                        </w:pPr>
                        <w:r w:rsidRPr="0014194A">
                          <w:rPr>
                            <w:lang w:eastAsia="en-AU"/>
                          </w:rPr>
                          <w:t>With disability</w:t>
                        </w:r>
                      </w:p>
                    </w:tc>
                    <w:tc>
                      <w:tcPr>
                        <w:tcW w:w="959" w:type="dxa"/>
                        <w:noWrap/>
                        <w:vAlign w:val="bottom"/>
                        <w:hideMark/>
                      </w:tcPr>
                      <w:p w14:paraId="6299901C" w14:textId="5F54E003" w:rsidR="008E2A93" w:rsidRPr="0014194A" w:rsidRDefault="008E2A93" w:rsidP="00DE647E">
                        <w:pPr>
                          <w:pStyle w:val="TableText"/>
                          <w:rPr>
                            <w:lang w:eastAsia="en-AU"/>
                          </w:rPr>
                        </w:pPr>
                        <w:r w:rsidRPr="0014194A">
                          <w:rPr>
                            <w:lang w:eastAsia="en-AU"/>
                          </w:rPr>
                          <w:t>5</w:t>
                        </w:r>
                        <w:r>
                          <w:rPr>
                            <w:lang w:eastAsia="en-AU"/>
                          </w:rPr>
                          <w:t>,</w:t>
                        </w:r>
                        <w:r w:rsidRPr="0014194A">
                          <w:rPr>
                            <w:lang w:eastAsia="en-AU"/>
                          </w:rPr>
                          <w:t>436</w:t>
                        </w:r>
                      </w:p>
                    </w:tc>
                    <w:tc>
                      <w:tcPr>
                        <w:tcW w:w="958" w:type="dxa"/>
                        <w:noWrap/>
                        <w:vAlign w:val="bottom"/>
                        <w:hideMark/>
                      </w:tcPr>
                      <w:p w14:paraId="383A77A9" w14:textId="77777777" w:rsidR="008E2A93" w:rsidRPr="0014194A" w:rsidRDefault="008E2A93" w:rsidP="00DE647E">
                        <w:pPr>
                          <w:pStyle w:val="TableText"/>
                          <w:rPr>
                            <w:lang w:eastAsia="en-AU"/>
                          </w:rPr>
                        </w:pPr>
                        <w:r w:rsidRPr="0014194A">
                          <w:rPr>
                            <w:lang w:eastAsia="en-AU"/>
                          </w:rPr>
                          <w:t>1.06</w:t>
                        </w:r>
                      </w:p>
                    </w:tc>
                    <w:tc>
                      <w:tcPr>
                        <w:tcW w:w="1005" w:type="dxa"/>
                        <w:noWrap/>
                        <w:vAlign w:val="bottom"/>
                        <w:hideMark/>
                      </w:tcPr>
                      <w:p w14:paraId="360D610B" w14:textId="77777777" w:rsidR="008E2A93" w:rsidRPr="0014194A" w:rsidRDefault="008E2A93" w:rsidP="00DE647E">
                        <w:pPr>
                          <w:pStyle w:val="TableText"/>
                          <w:rPr>
                            <w:lang w:eastAsia="en-AU"/>
                          </w:rPr>
                        </w:pPr>
                        <w:r w:rsidRPr="0014194A">
                          <w:rPr>
                            <w:lang w:eastAsia="en-AU"/>
                          </w:rPr>
                          <w:t>70.8</w:t>
                        </w:r>
                      </w:p>
                    </w:tc>
                    <w:tc>
                      <w:tcPr>
                        <w:tcW w:w="959" w:type="dxa"/>
                        <w:noWrap/>
                        <w:vAlign w:val="bottom"/>
                        <w:hideMark/>
                      </w:tcPr>
                      <w:p w14:paraId="3A50A3E2" w14:textId="77777777" w:rsidR="008E2A93" w:rsidRPr="0014194A" w:rsidRDefault="008E2A93" w:rsidP="00DE647E">
                        <w:pPr>
                          <w:pStyle w:val="TableText"/>
                          <w:rPr>
                            <w:lang w:eastAsia="en-AU"/>
                          </w:rPr>
                        </w:pPr>
                        <w:r w:rsidRPr="0014194A">
                          <w:rPr>
                            <w:lang w:eastAsia="en-AU"/>
                          </w:rPr>
                          <w:t>970</w:t>
                        </w:r>
                      </w:p>
                    </w:tc>
                    <w:tc>
                      <w:tcPr>
                        <w:tcW w:w="958" w:type="dxa"/>
                        <w:noWrap/>
                        <w:vAlign w:val="bottom"/>
                        <w:hideMark/>
                      </w:tcPr>
                      <w:p w14:paraId="42ABFA7B" w14:textId="77777777" w:rsidR="008E2A93" w:rsidRPr="0014194A" w:rsidRDefault="008E2A93" w:rsidP="00DE647E">
                        <w:pPr>
                          <w:pStyle w:val="TableText"/>
                          <w:rPr>
                            <w:lang w:eastAsia="en-AU"/>
                          </w:rPr>
                        </w:pPr>
                        <w:r w:rsidRPr="0014194A">
                          <w:rPr>
                            <w:lang w:eastAsia="en-AU"/>
                          </w:rPr>
                          <w:t>1.13</w:t>
                        </w:r>
                      </w:p>
                    </w:tc>
                    <w:tc>
                      <w:tcPr>
                        <w:tcW w:w="1005" w:type="dxa"/>
                        <w:noWrap/>
                        <w:vAlign w:val="bottom"/>
                        <w:hideMark/>
                      </w:tcPr>
                      <w:p w14:paraId="5AB5114E" w14:textId="77777777" w:rsidR="008E2A93" w:rsidRPr="0014194A" w:rsidRDefault="008E2A93" w:rsidP="00DE647E">
                        <w:pPr>
                          <w:pStyle w:val="TableText"/>
                          <w:rPr>
                            <w:lang w:eastAsia="en-AU"/>
                          </w:rPr>
                        </w:pPr>
                        <w:r w:rsidRPr="0014194A">
                          <w:rPr>
                            <w:lang w:eastAsia="en-AU"/>
                          </w:rPr>
                          <w:t>69.4</w:t>
                        </w:r>
                      </w:p>
                    </w:tc>
                  </w:tr>
                  <w:tr w:rsidR="008E2A93" w:rsidRPr="0014194A" w14:paraId="6A7C861F" w14:textId="77777777" w:rsidTr="00A44FC8">
                    <w:trPr>
                      <w:trHeight w:val="349"/>
                    </w:trPr>
                    <w:tc>
                      <w:tcPr>
                        <w:tcW w:w="1249" w:type="dxa"/>
                        <w:vMerge w:val="restart"/>
                        <w:noWrap/>
                        <w:hideMark/>
                      </w:tcPr>
                      <w:p w14:paraId="2EC06D89" w14:textId="77777777" w:rsidR="008E2A93" w:rsidRPr="0014194A" w:rsidRDefault="008E2A93" w:rsidP="00DE647E">
                        <w:pPr>
                          <w:pStyle w:val="TableText"/>
                          <w:rPr>
                            <w:lang w:eastAsia="en-AU"/>
                          </w:rPr>
                        </w:pPr>
                        <w:r w:rsidRPr="00A44FC8">
                          <w:t>Gender</w:t>
                        </w:r>
                      </w:p>
                    </w:tc>
                    <w:tc>
                      <w:tcPr>
                        <w:tcW w:w="2415" w:type="dxa"/>
                        <w:noWrap/>
                        <w:hideMark/>
                      </w:tcPr>
                      <w:p w14:paraId="2736E76E" w14:textId="77777777" w:rsidR="008E2A93" w:rsidRPr="0014194A" w:rsidRDefault="008E2A93" w:rsidP="00DE647E">
                        <w:pPr>
                          <w:pStyle w:val="TableText"/>
                          <w:rPr>
                            <w:lang w:eastAsia="en-AU"/>
                          </w:rPr>
                        </w:pPr>
                        <w:r w:rsidRPr="0014194A">
                          <w:rPr>
                            <w:lang w:eastAsia="en-AU"/>
                          </w:rPr>
                          <w:t>Female</w:t>
                        </w:r>
                      </w:p>
                    </w:tc>
                    <w:tc>
                      <w:tcPr>
                        <w:tcW w:w="959" w:type="dxa"/>
                        <w:noWrap/>
                        <w:vAlign w:val="bottom"/>
                        <w:hideMark/>
                      </w:tcPr>
                      <w:p w14:paraId="00592575" w14:textId="5CFFAFF3" w:rsidR="008E2A93" w:rsidRPr="0014194A" w:rsidRDefault="008E2A93" w:rsidP="00DE647E">
                        <w:pPr>
                          <w:pStyle w:val="TableText"/>
                          <w:rPr>
                            <w:lang w:eastAsia="en-AU"/>
                          </w:rPr>
                        </w:pPr>
                        <w:r w:rsidRPr="0014194A">
                          <w:rPr>
                            <w:lang w:eastAsia="en-AU"/>
                          </w:rPr>
                          <w:t>27</w:t>
                        </w:r>
                        <w:r>
                          <w:rPr>
                            <w:lang w:eastAsia="en-AU"/>
                          </w:rPr>
                          <w:t>,</w:t>
                        </w:r>
                        <w:r w:rsidRPr="0014194A">
                          <w:rPr>
                            <w:lang w:eastAsia="en-AU"/>
                          </w:rPr>
                          <w:t>289</w:t>
                        </w:r>
                      </w:p>
                    </w:tc>
                    <w:tc>
                      <w:tcPr>
                        <w:tcW w:w="958" w:type="dxa"/>
                        <w:noWrap/>
                        <w:vAlign w:val="bottom"/>
                        <w:hideMark/>
                      </w:tcPr>
                      <w:p w14:paraId="76FE9958" w14:textId="77777777" w:rsidR="008E2A93" w:rsidRPr="0014194A" w:rsidRDefault="008E2A93" w:rsidP="00DE647E">
                        <w:pPr>
                          <w:pStyle w:val="TableText"/>
                          <w:rPr>
                            <w:lang w:eastAsia="en-AU"/>
                          </w:rPr>
                        </w:pPr>
                        <w:r w:rsidRPr="0014194A">
                          <w:rPr>
                            <w:lang w:eastAsia="en-AU"/>
                          </w:rPr>
                          <w:t>1.22</w:t>
                        </w:r>
                      </w:p>
                    </w:tc>
                    <w:tc>
                      <w:tcPr>
                        <w:tcW w:w="1005" w:type="dxa"/>
                        <w:noWrap/>
                        <w:vAlign w:val="bottom"/>
                        <w:hideMark/>
                      </w:tcPr>
                      <w:p w14:paraId="204DCCBE" w14:textId="77777777" w:rsidR="008E2A93" w:rsidRPr="0014194A" w:rsidRDefault="008E2A93" w:rsidP="00DE647E">
                        <w:pPr>
                          <w:pStyle w:val="TableText"/>
                          <w:rPr>
                            <w:lang w:eastAsia="en-AU"/>
                          </w:rPr>
                        </w:pPr>
                        <w:r w:rsidRPr="0014194A">
                          <w:rPr>
                            <w:lang w:eastAsia="en-AU"/>
                          </w:rPr>
                          <w:t>74.9</w:t>
                        </w:r>
                      </w:p>
                    </w:tc>
                    <w:tc>
                      <w:tcPr>
                        <w:tcW w:w="959" w:type="dxa"/>
                        <w:noWrap/>
                        <w:vAlign w:val="bottom"/>
                        <w:hideMark/>
                      </w:tcPr>
                      <w:p w14:paraId="63B45BFB" w14:textId="2D28753A" w:rsidR="008E2A93" w:rsidRPr="0014194A" w:rsidRDefault="008E2A93" w:rsidP="00DE647E">
                        <w:pPr>
                          <w:pStyle w:val="TableText"/>
                          <w:rPr>
                            <w:lang w:eastAsia="en-AU"/>
                          </w:rPr>
                        </w:pPr>
                        <w:r w:rsidRPr="0014194A">
                          <w:rPr>
                            <w:lang w:eastAsia="en-AU"/>
                          </w:rPr>
                          <w:t>2</w:t>
                        </w:r>
                        <w:r>
                          <w:rPr>
                            <w:lang w:eastAsia="en-AU"/>
                          </w:rPr>
                          <w:t>,</w:t>
                        </w:r>
                        <w:r w:rsidRPr="0014194A">
                          <w:rPr>
                            <w:lang w:eastAsia="en-AU"/>
                          </w:rPr>
                          <w:t>877</w:t>
                        </w:r>
                      </w:p>
                    </w:tc>
                    <w:tc>
                      <w:tcPr>
                        <w:tcW w:w="958" w:type="dxa"/>
                        <w:noWrap/>
                        <w:vAlign w:val="bottom"/>
                        <w:hideMark/>
                      </w:tcPr>
                      <w:p w14:paraId="1939868D" w14:textId="77777777" w:rsidR="008E2A93" w:rsidRPr="0014194A" w:rsidRDefault="008E2A93" w:rsidP="00DE647E">
                        <w:pPr>
                          <w:pStyle w:val="TableText"/>
                          <w:rPr>
                            <w:lang w:eastAsia="en-AU"/>
                          </w:rPr>
                        </w:pPr>
                        <w:r w:rsidRPr="0014194A">
                          <w:rPr>
                            <w:lang w:eastAsia="en-AU"/>
                          </w:rPr>
                          <w:t>1.16</w:t>
                        </w:r>
                      </w:p>
                    </w:tc>
                    <w:tc>
                      <w:tcPr>
                        <w:tcW w:w="1005" w:type="dxa"/>
                        <w:noWrap/>
                        <w:vAlign w:val="bottom"/>
                        <w:hideMark/>
                      </w:tcPr>
                      <w:p w14:paraId="4EEB84F2" w14:textId="77777777" w:rsidR="008E2A93" w:rsidRPr="0014194A" w:rsidRDefault="008E2A93" w:rsidP="00DE647E">
                        <w:pPr>
                          <w:pStyle w:val="TableText"/>
                          <w:rPr>
                            <w:lang w:eastAsia="en-AU"/>
                          </w:rPr>
                        </w:pPr>
                        <w:r w:rsidRPr="0014194A">
                          <w:rPr>
                            <w:lang w:eastAsia="en-AU"/>
                          </w:rPr>
                          <w:t>73.7</w:t>
                        </w:r>
                      </w:p>
                    </w:tc>
                  </w:tr>
                  <w:tr w:rsidR="008E2A93" w:rsidRPr="0014194A" w14:paraId="64A493FB" w14:textId="77777777" w:rsidTr="00A44FC8">
                    <w:trPr>
                      <w:trHeight w:val="349"/>
                    </w:trPr>
                    <w:tc>
                      <w:tcPr>
                        <w:tcW w:w="1249" w:type="dxa"/>
                        <w:vMerge/>
                        <w:hideMark/>
                      </w:tcPr>
                      <w:p w14:paraId="1B09BB24" w14:textId="77777777" w:rsidR="008E2A93" w:rsidRPr="0014194A" w:rsidRDefault="008E2A93" w:rsidP="00DE647E">
                        <w:pPr>
                          <w:pStyle w:val="TableText"/>
                          <w:rPr>
                            <w:lang w:eastAsia="en-AU"/>
                          </w:rPr>
                        </w:pPr>
                      </w:p>
                    </w:tc>
                    <w:tc>
                      <w:tcPr>
                        <w:tcW w:w="2415" w:type="dxa"/>
                        <w:noWrap/>
                        <w:hideMark/>
                      </w:tcPr>
                      <w:p w14:paraId="5F5D072D" w14:textId="77777777" w:rsidR="008E2A93" w:rsidRPr="0014194A" w:rsidRDefault="008E2A93" w:rsidP="00DE647E">
                        <w:pPr>
                          <w:pStyle w:val="TableText"/>
                          <w:rPr>
                            <w:lang w:eastAsia="en-AU"/>
                          </w:rPr>
                        </w:pPr>
                        <w:r w:rsidRPr="0014194A">
                          <w:rPr>
                            <w:lang w:eastAsia="en-AU"/>
                          </w:rPr>
                          <w:t>Male</w:t>
                        </w:r>
                      </w:p>
                    </w:tc>
                    <w:tc>
                      <w:tcPr>
                        <w:tcW w:w="959" w:type="dxa"/>
                        <w:noWrap/>
                        <w:vAlign w:val="bottom"/>
                        <w:hideMark/>
                      </w:tcPr>
                      <w:p w14:paraId="0EE944E8" w14:textId="6C19D7F2" w:rsidR="008E2A93" w:rsidRPr="0014194A" w:rsidRDefault="008E2A93" w:rsidP="00DE647E">
                        <w:pPr>
                          <w:pStyle w:val="TableText"/>
                          <w:rPr>
                            <w:lang w:eastAsia="en-AU"/>
                          </w:rPr>
                        </w:pPr>
                        <w:r w:rsidRPr="0014194A">
                          <w:rPr>
                            <w:lang w:eastAsia="en-AU"/>
                          </w:rPr>
                          <w:t>17</w:t>
                        </w:r>
                        <w:r>
                          <w:rPr>
                            <w:lang w:eastAsia="en-AU"/>
                          </w:rPr>
                          <w:t>,</w:t>
                        </w:r>
                        <w:r w:rsidRPr="0014194A">
                          <w:rPr>
                            <w:lang w:eastAsia="en-AU"/>
                          </w:rPr>
                          <w:t>792</w:t>
                        </w:r>
                      </w:p>
                    </w:tc>
                    <w:tc>
                      <w:tcPr>
                        <w:tcW w:w="958" w:type="dxa"/>
                        <w:noWrap/>
                        <w:vAlign w:val="bottom"/>
                        <w:hideMark/>
                      </w:tcPr>
                      <w:p w14:paraId="26053FEA" w14:textId="77777777" w:rsidR="008E2A93" w:rsidRPr="0014194A" w:rsidRDefault="008E2A93" w:rsidP="00DE647E">
                        <w:pPr>
                          <w:pStyle w:val="TableText"/>
                          <w:rPr>
                            <w:lang w:eastAsia="en-AU"/>
                          </w:rPr>
                        </w:pPr>
                        <w:r w:rsidRPr="0014194A">
                          <w:rPr>
                            <w:lang w:eastAsia="en-AU"/>
                          </w:rPr>
                          <w:t>1.2</w:t>
                        </w:r>
                      </w:p>
                    </w:tc>
                    <w:tc>
                      <w:tcPr>
                        <w:tcW w:w="1005" w:type="dxa"/>
                        <w:noWrap/>
                        <w:vAlign w:val="bottom"/>
                        <w:hideMark/>
                      </w:tcPr>
                      <w:p w14:paraId="3271C05C" w14:textId="77777777" w:rsidR="008E2A93" w:rsidRPr="0014194A" w:rsidRDefault="008E2A93" w:rsidP="00DE647E">
                        <w:pPr>
                          <w:pStyle w:val="TableText"/>
                          <w:rPr>
                            <w:lang w:eastAsia="en-AU"/>
                          </w:rPr>
                        </w:pPr>
                        <w:r w:rsidRPr="0014194A">
                          <w:rPr>
                            <w:lang w:eastAsia="en-AU"/>
                          </w:rPr>
                          <w:t>73.6</w:t>
                        </w:r>
                      </w:p>
                    </w:tc>
                    <w:tc>
                      <w:tcPr>
                        <w:tcW w:w="959" w:type="dxa"/>
                        <w:noWrap/>
                        <w:vAlign w:val="bottom"/>
                        <w:hideMark/>
                      </w:tcPr>
                      <w:p w14:paraId="50ED66C8" w14:textId="3A2F28F4" w:rsidR="008E2A93" w:rsidRPr="0014194A" w:rsidRDefault="008E2A93" w:rsidP="00DE647E">
                        <w:pPr>
                          <w:pStyle w:val="TableText"/>
                          <w:rPr>
                            <w:lang w:eastAsia="en-AU"/>
                          </w:rPr>
                        </w:pPr>
                        <w:r w:rsidRPr="0014194A">
                          <w:rPr>
                            <w:lang w:eastAsia="en-AU"/>
                          </w:rPr>
                          <w:t>1</w:t>
                        </w:r>
                        <w:r>
                          <w:rPr>
                            <w:lang w:eastAsia="en-AU"/>
                          </w:rPr>
                          <w:t>,</w:t>
                        </w:r>
                        <w:r w:rsidRPr="0014194A">
                          <w:rPr>
                            <w:lang w:eastAsia="en-AU"/>
                          </w:rPr>
                          <w:t>306</w:t>
                        </w:r>
                      </w:p>
                    </w:tc>
                    <w:tc>
                      <w:tcPr>
                        <w:tcW w:w="958" w:type="dxa"/>
                        <w:noWrap/>
                        <w:vAlign w:val="bottom"/>
                        <w:hideMark/>
                      </w:tcPr>
                      <w:p w14:paraId="3E8CECEF" w14:textId="77777777" w:rsidR="008E2A93" w:rsidRPr="0014194A" w:rsidRDefault="008E2A93" w:rsidP="00DE647E">
                        <w:pPr>
                          <w:pStyle w:val="TableText"/>
                          <w:rPr>
                            <w:lang w:eastAsia="en-AU"/>
                          </w:rPr>
                        </w:pPr>
                        <w:r w:rsidRPr="0014194A">
                          <w:rPr>
                            <w:lang w:eastAsia="en-AU"/>
                          </w:rPr>
                          <w:t>0.96</w:t>
                        </w:r>
                      </w:p>
                    </w:tc>
                    <w:tc>
                      <w:tcPr>
                        <w:tcW w:w="1005" w:type="dxa"/>
                        <w:noWrap/>
                        <w:vAlign w:val="bottom"/>
                        <w:hideMark/>
                      </w:tcPr>
                      <w:p w14:paraId="3F6A6457" w14:textId="77777777" w:rsidR="008E2A93" w:rsidRPr="0014194A" w:rsidRDefault="008E2A93" w:rsidP="00DE647E">
                        <w:pPr>
                          <w:pStyle w:val="TableText"/>
                          <w:rPr>
                            <w:lang w:eastAsia="en-AU"/>
                          </w:rPr>
                        </w:pPr>
                        <w:r w:rsidRPr="0014194A">
                          <w:rPr>
                            <w:lang w:eastAsia="en-AU"/>
                          </w:rPr>
                          <w:t>64.6</w:t>
                        </w:r>
                      </w:p>
                    </w:tc>
                  </w:tr>
                  <w:tr w:rsidR="008E2A93" w:rsidRPr="0014194A" w14:paraId="40F2D23D" w14:textId="77777777" w:rsidTr="00A44FC8">
                    <w:trPr>
                      <w:trHeight w:val="349"/>
                    </w:trPr>
                    <w:tc>
                      <w:tcPr>
                        <w:tcW w:w="1249" w:type="dxa"/>
                        <w:vMerge w:val="restart"/>
                        <w:noWrap/>
                        <w:hideMark/>
                      </w:tcPr>
                      <w:p w14:paraId="3E79D7BE" w14:textId="77777777" w:rsidR="008E2A93" w:rsidRPr="0014194A" w:rsidRDefault="008E2A93" w:rsidP="00DE647E">
                        <w:pPr>
                          <w:pStyle w:val="TableText"/>
                          <w:rPr>
                            <w:lang w:eastAsia="en-AU"/>
                          </w:rPr>
                        </w:pPr>
                        <w:r w:rsidRPr="00A44FC8">
                          <w:t>Age</w:t>
                        </w:r>
                      </w:p>
                    </w:tc>
                    <w:tc>
                      <w:tcPr>
                        <w:tcW w:w="2415" w:type="dxa"/>
                        <w:noWrap/>
                        <w:hideMark/>
                      </w:tcPr>
                      <w:p w14:paraId="635656C8" w14:textId="77777777" w:rsidR="008E2A93" w:rsidRPr="0014194A" w:rsidRDefault="008E2A93" w:rsidP="00DE647E">
                        <w:pPr>
                          <w:pStyle w:val="TableText"/>
                          <w:rPr>
                            <w:lang w:eastAsia="en-AU"/>
                          </w:rPr>
                        </w:pPr>
                        <w:r w:rsidRPr="0014194A">
                          <w:rPr>
                            <w:lang w:eastAsia="en-AU"/>
                          </w:rPr>
                          <w:t>Adults</w:t>
                        </w:r>
                      </w:p>
                    </w:tc>
                    <w:tc>
                      <w:tcPr>
                        <w:tcW w:w="959" w:type="dxa"/>
                        <w:noWrap/>
                        <w:vAlign w:val="bottom"/>
                        <w:hideMark/>
                      </w:tcPr>
                      <w:p w14:paraId="024C30CB" w14:textId="739208E8" w:rsidR="008E2A93" w:rsidRPr="0014194A" w:rsidRDefault="008E2A93" w:rsidP="00DE647E">
                        <w:pPr>
                          <w:pStyle w:val="TableText"/>
                          <w:rPr>
                            <w:lang w:eastAsia="en-AU"/>
                          </w:rPr>
                        </w:pPr>
                        <w:r w:rsidRPr="0014194A">
                          <w:rPr>
                            <w:lang w:eastAsia="en-AU"/>
                          </w:rPr>
                          <w:t>66</w:t>
                        </w:r>
                        <w:r>
                          <w:rPr>
                            <w:lang w:eastAsia="en-AU"/>
                          </w:rPr>
                          <w:t>,</w:t>
                        </w:r>
                        <w:r w:rsidRPr="0014194A">
                          <w:rPr>
                            <w:lang w:eastAsia="en-AU"/>
                          </w:rPr>
                          <w:t>930</w:t>
                        </w:r>
                      </w:p>
                    </w:tc>
                    <w:tc>
                      <w:tcPr>
                        <w:tcW w:w="958" w:type="dxa"/>
                        <w:noWrap/>
                        <w:vAlign w:val="bottom"/>
                        <w:hideMark/>
                      </w:tcPr>
                      <w:p w14:paraId="3FF89212" w14:textId="77777777" w:rsidR="008E2A93" w:rsidRPr="0014194A" w:rsidRDefault="008E2A93" w:rsidP="00DE647E">
                        <w:pPr>
                          <w:pStyle w:val="TableText"/>
                          <w:rPr>
                            <w:lang w:eastAsia="en-AU"/>
                          </w:rPr>
                        </w:pPr>
                        <w:r w:rsidRPr="0014194A">
                          <w:rPr>
                            <w:lang w:eastAsia="en-AU"/>
                          </w:rPr>
                          <w:t>1.12</w:t>
                        </w:r>
                      </w:p>
                    </w:tc>
                    <w:tc>
                      <w:tcPr>
                        <w:tcW w:w="1005" w:type="dxa"/>
                        <w:noWrap/>
                        <w:vAlign w:val="bottom"/>
                        <w:hideMark/>
                      </w:tcPr>
                      <w:p w14:paraId="3E088A78" w14:textId="77777777" w:rsidR="008E2A93" w:rsidRPr="0014194A" w:rsidRDefault="008E2A93" w:rsidP="00DE647E">
                        <w:pPr>
                          <w:pStyle w:val="TableText"/>
                          <w:rPr>
                            <w:lang w:eastAsia="en-AU"/>
                          </w:rPr>
                        </w:pPr>
                        <w:r w:rsidRPr="0014194A">
                          <w:rPr>
                            <w:lang w:eastAsia="en-AU"/>
                          </w:rPr>
                          <w:t>72.7</w:t>
                        </w:r>
                      </w:p>
                    </w:tc>
                    <w:tc>
                      <w:tcPr>
                        <w:tcW w:w="959" w:type="dxa"/>
                        <w:noWrap/>
                        <w:vAlign w:val="bottom"/>
                        <w:hideMark/>
                      </w:tcPr>
                      <w:p w14:paraId="68B4E479" w14:textId="62365948" w:rsidR="008E2A93" w:rsidRPr="0014194A" w:rsidRDefault="008E2A93" w:rsidP="00DE647E">
                        <w:pPr>
                          <w:pStyle w:val="TableText"/>
                          <w:rPr>
                            <w:lang w:eastAsia="en-AU"/>
                          </w:rPr>
                        </w:pPr>
                        <w:r w:rsidRPr="0014194A">
                          <w:rPr>
                            <w:lang w:eastAsia="en-AU"/>
                          </w:rPr>
                          <w:t>6</w:t>
                        </w:r>
                        <w:r>
                          <w:rPr>
                            <w:lang w:eastAsia="en-AU"/>
                          </w:rPr>
                          <w:t>,</w:t>
                        </w:r>
                        <w:r w:rsidRPr="0014194A">
                          <w:rPr>
                            <w:lang w:eastAsia="en-AU"/>
                          </w:rPr>
                          <w:t>168</w:t>
                        </w:r>
                      </w:p>
                    </w:tc>
                    <w:tc>
                      <w:tcPr>
                        <w:tcW w:w="958" w:type="dxa"/>
                        <w:noWrap/>
                        <w:vAlign w:val="bottom"/>
                        <w:hideMark/>
                      </w:tcPr>
                      <w:p w14:paraId="7EADEFB6" w14:textId="77777777" w:rsidR="008E2A93" w:rsidRPr="0014194A" w:rsidRDefault="008E2A93" w:rsidP="00DE647E">
                        <w:pPr>
                          <w:pStyle w:val="TableText"/>
                          <w:rPr>
                            <w:lang w:eastAsia="en-AU"/>
                          </w:rPr>
                        </w:pPr>
                        <w:r w:rsidRPr="0014194A">
                          <w:rPr>
                            <w:lang w:eastAsia="en-AU"/>
                          </w:rPr>
                          <w:t>1.1</w:t>
                        </w:r>
                      </w:p>
                    </w:tc>
                    <w:tc>
                      <w:tcPr>
                        <w:tcW w:w="1005" w:type="dxa"/>
                        <w:noWrap/>
                        <w:vAlign w:val="bottom"/>
                        <w:hideMark/>
                      </w:tcPr>
                      <w:p w14:paraId="71D21FB0" w14:textId="77777777" w:rsidR="008E2A93" w:rsidRPr="0014194A" w:rsidRDefault="008E2A93" w:rsidP="00DE647E">
                        <w:pPr>
                          <w:pStyle w:val="TableText"/>
                          <w:rPr>
                            <w:lang w:eastAsia="en-AU"/>
                          </w:rPr>
                        </w:pPr>
                        <w:r w:rsidRPr="0014194A">
                          <w:rPr>
                            <w:lang w:eastAsia="en-AU"/>
                          </w:rPr>
                          <w:t>71</w:t>
                        </w:r>
                      </w:p>
                    </w:tc>
                  </w:tr>
                  <w:tr w:rsidR="008E2A93" w:rsidRPr="0014194A" w14:paraId="7741F891" w14:textId="77777777" w:rsidTr="00A44FC8">
                    <w:trPr>
                      <w:trHeight w:val="349"/>
                    </w:trPr>
                    <w:tc>
                      <w:tcPr>
                        <w:tcW w:w="1249" w:type="dxa"/>
                        <w:vMerge/>
                        <w:hideMark/>
                      </w:tcPr>
                      <w:p w14:paraId="6C0B2109" w14:textId="77777777" w:rsidR="008E2A93" w:rsidRPr="0014194A" w:rsidRDefault="008E2A93" w:rsidP="00DE647E">
                        <w:pPr>
                          <w:pStyle w:val="TableText"/>
                          <w:rPr>
                            <w:lang w:eastAsia="en-AU"/>
                          </w:rPr>
                        </w:pPr>
                      </w:p>
                    </w:tc>
                    <w:tc>
                      <w:tcPr>
                        <w:tcW w:w="2415" w:type="dxa"/>
                        <w:noWrap/>
                        <w:hideMark/>
                      </w:tcPr>
                      <w:p w14:paraId="01FF4B50" w14:textId="77777777" w:rsidR="008E2A93" w:rsidRPr="0014194A" w:rsidRDefault="008E2A93" w:rsidP="00DE647E">
                        <w:pPr>
                          <w:pStyle w:val="TableText"/>
                          <w:rPr>
                            <w:lang w:eastAsia="en-AU"/>
                          </w:rPr>
                        </w:pPr>
                        <w:r w:rsidRPr="0014194A">
                          <w:rPr>
                            <w:lang w:eastAsia="en-AU"/>
                          </w:rPr>
                          <w:t>Under 18 years</w:t>
                        </w:r>
                      </w:p>
                    </w:tc>
                    <w:tc>
                      <w:tcPr>
                        <w:tcW w:w="959" w:type="dxa"/>
                        <w:noWrap/>
                        <w:vAlign w:val="bottom"/>
                        <w:hideMark/>
                      </w:tcPr>
                      <w:p w14:paraId="39F8E50D" w14:textId="4EC6A8F1" w:rsidR="008E2A93" w:rsidRPr="0014194A" w:rsidRDefault="008E2A93" w:rsidP="00DE647E">
                        <w:pPr>
                          <w:pStyle w:val="TableText"/>
                          <w:rPr>
                            <w:lang w:eastAsia="en-AU"/>
                          </w:rPr>
                        </w:pPr>
                        <w:r w:rsidRPr="0014194A">
                          <w:rPr>
                            <w:lang w:eastAsia="en-AU"/>
                          </w:rPr>
                          <w:t>6</w:t>
                        </w:r>
                        <w:r>
                          <w:rPr>
                            <w:lang w:eastAsia="en-AU"/>
                          </w:rPr>
                          <w:t>,</w:t>
                        </w:r>
                        <w:r w:rsidRPr="0014194A">
                          <w:rPr>
                            <w:lang w:eastAsia="en-AU"/>
                          </w:rPr>
                          <w:t>442</w:t>
                        </w:r>
                      </w:p>
                    </w:tc>
                    <w:tc>
                      <w:tcPr>
                        <w:tcW w:w="958" w:type="dxa"/>
                        <w:noWrap/>
                        <w:vAlign w:val="bottom"/>
                        <w:hideMark/>
                      </w:tcPr>
                      <w:p w14:paraId="1C77E4EA" w14:textId="77777777" w:rsidR="008E2A93" w:rsidRPr="0014194A" w:rsidRDefault="008E2A93" w:rsidP="00DE647E">
                        <w:pPr>
                          <w:pStyle w:val="TableText"/>
                          <w:rPr>
                            <w:lang w:eastAsia="en-AU"/>
                          </w:rPr>
                        </w:pPr>
                        <w:r w:rsidRPr="0014194A">
                          <w:rPr>
                            <w:lang w:eastAsia="en-AU"/>
                          </w:rPr>
                          <w:t>1.26</w:t>
                        </w:r>
                      </w:p>
                    </w:tc>
                    <w:tc>
                      <w:tcPr>
                        <w:tcW w:w="1005" w:type="dxa"/>
                        <w:noWrap/>
                        <w:vAlign w:val="bottom"/>
                        <w:hideMark/>
                      </w:tcPr>
                      <w:p w14:paraId="3E95B089" w14:textId="77777777" w:rsidR="008E2A93" w:rsidRPr="0014194A" w:rsidRDefault="008E2A93" w:rsidP="00DE647E">
                        <w:pPr>
                          <w:pStyle w:val="TableText"/>
                          <w:rPr>
                            <w:lang w:eastAsia="en-AU"/>
                          </w:rPr>
                        </w:pPr>
                        <w:r w:rsidRPr="0014194A">
                          <w:rPr>
                            <w:lang w:eastAsia="en-AU"/>
                          </w:rPr>
                          <w:t>74.1</w:t>
                        </w:r>
                      </w:p>
                    </w:tc>
                    <w:tc>
                      <w:tcPr>
                        <w:tcW w:w="959" w:type="dxa"/>
                        <w:noWrap/>
                        <w:vAlign w:val="bottom"/>
                        <w:hideMark/>
                      </w:tcPr>
                      <w:p w14:paraId="0FA25535" w14:textId="77777777" w:rsidR="008E2A93" w:rsidRPr="0014194A" w:rsidRDefault="008E2A93" w:rsidP="00DE647E">
                        <w:pPr>
                          <w:pStyle w:val="TableText"/>
                          <w:rPr>
                            <w:lang w:eastAsia="en-AU"/>
                          </w:rPr>
                        </w:pPr>
                        <w:r w:rsidRPr="0014194A">
                          <w:rPr>
                            <w:lang w:eastAsia="en-AU"/>
                          </w:rPr>
                          <w:t>946</w:t>
                        </w:r>
                      </w:p>
                    </w:tc>
                    <w:tc>
                      <w:tcPr>
                        <w:tcW w:w="958" w:type="dxa"/>
                        <w:noWrap/>
                        <w:vAlign w:val="bottom"/>
                        <w:hideMark/>
                      </w:tcPr>
                      <w:p w14:paraId="61AB9922" w14:textId="77777777" w:rsidR="008E2A93" w:rsidRPr="0014194A" w:rsidRDefault="008E2A93" w:rsidP="00DE647E">
                        <w:pPr>
                          <w:pStyle w:val="TableText"/>
                          <w:rPr>
                            <w:lang w:eastAsia="en-AU"/>
                          </w:rPr>
                        </w:pPr>
                        <w:r w:rsidRPr="0014194A">
                          <w:rPr>
                            <w:lang w:eastAsia="en-AU"/>
                          </w:rPr>
                          <w:t>0.83</w:t>
                        </w:r>
                      </w:p>
                    </w:tc>
                    <w:tc>
                      <w:tcPr>
                        <w:tcW w:w="1005" w:type="dxa"/>
                        <w:noWrap/>
                        <w:vAlign w:val="bottom"/>
                        <w:hideMark/>
                      </w:tcPr>
                      <w:p w14:paraId="0F1EA71D" w14:textId="77777777" w:rsidR="008E2A93" w:rsidRPr="0014194A" w:rsidRDefault="008E2A93" w:rsidP="00DE647E">
                        <w:pPr>
                          <w:pStyle w:val="TableText"/>
                          <w:rPr>
                            <w:lang w:eastAsia="en-AU"/>
                          </w:rPr>
                        </w:pPr>
                        <w:r w:rsidRPr="0014194A">
                          <w:rPr>
                            <w:lang w:eastAsia="en-AU"/>
                          </w:rPr>
                          <w:t>61.5</w:t>
                        </w:r>
                      </w:p>
                    </w:tc>
                  </w:tr>
                  <w:tr w:rsidR="008E2A93" w:rsidRPr="0014194A" w14:paraId="7E455D45" w14:textId="77777777" w:rsidTr="00A44FC8">
                    <w:trPr>
                      <w:trHeight w:val="468"/>
                    </w:trPr>
                    <w:tc>
                      <w:tcPr>
                        <w:tcW w:w="3664" w:type="dxa"/>
                        <w:gridSpan w:val="2"/>
                        <w:noWrap/>
                        <w:hideMark/>
                      </w:tcPr>
                      <w:p w14:paraId="31C49DF0" w14:textId="33DFE3CD" w:rsidR="008E2A93" w:rsidRPr="00DE647E" w:rsidRDefault="002A3D6D" w:rsidP="00DE647E">
                        <w:pPr>
                          <w:pStyle w:val="TableText"/>
                          <w:rPr>
                            <w:b/>
                            <w:bCs/>
                            <w:lang w:eastAsia="en-AU"/>
                          </w:rPr>
                        </w:pPr>
                        <w:r w:rsidRPr="00D62560">
                          <w:rPr>
                            <w:b/>
                          </w:rPr>
                          <w:t xml:space="preserve">All service users </w:t>
                        </w:r>
                      </w:p>
                    </w:tc>
                    <w:tc>
                      <w:tcPr>
                        <w:tcW w:w="959" w:type="dxa"/>
                        <w:noWrap/>
                        <w:hideMark/>
                      </w:tcPr>
                      <w:p w14:paraId="5EEBC7E4" w14:textId="6B6DC8C4" w:rsidR="008E2A93" w:rsidRPr="00DE647E" w:rsidRDefault="008E2A93" w:rsidP="00DE647E">
                        <w:pPr>
                          <w:pStyle w:val="TableText"/>
                          <w:numPr>
                            <w:ilvl w:val="0"/>
                            <w:numId w:val="0"/>
                          </w:numPr>
                          <w:rPr>
                            <w:b/>
                            <w:bCs/>
                            <w:lang w:eastAsia="en-AU"/>
                          </w:rPr>
                        </w:pPr>
                      </w:p>
                    </w:tc>
                    <w:tc>
                      <w:tcPr>
                        <w:tcW w:w="958" w:type="dxa"/>
                        <w:noWrap/>
                        <w:hideMark/>
                      </w:tcPr>
                      <w:p w14:paraId="16606F84" w14:textId="77777777" w:rsidR="008E2A93" w:rsidRPr="00DE647E" w:rsidRDefault="008E2A93" w:rsidP="00DE647E">
                        <w:pPr>
                          <w:pStyle w:val="TableText"/>
                          <w:rPr>
                            <w:b/>
                            <w:bCs/>
                            <w:lang w:eastAsia="en-AU"/>
                          </w:rPr>
                        </w:pPr>
                        <w:r w:rsidRPr="00DE647E">
                          <w:rPr>
                            <w:b/>
                            <w:bCs/>
                            <w:lang w:eastAsia="en-AU"/>
                          </w:rPr>
                          <w:t>1.13</w:t>
                        </w:r>
                      </w:p>
                    </w:tc>
                    <w:tc>
                      <w:tcPr>
                        <w:tcW w:w="1005" w:type="dxa"/>
                        <w:noWrap/>
                        <w:hideMark/>
                      </w:tcPr>
                      <w:p w14:paraId="0CA2CDD5" w14:textId="77777777" w:rsidR="008E2A93" w:rsidRPr="00DE647E" w:rsidRDefault="008E2A93" w:rsidP="00DE647E">
                        <w:pPr>
                          <w:pStyle w:val="TableText"/>
                          <w:rPr>
                            <w:b/>
                            <w:bCs/>
                            <w:lang w:eastAsia="en-AU"/>
                          </w:rPr>
                        </w:pPr>
                        <w:r w:rsidRPr="00DE647E">
                          <w:rPr>
                            <w:b/>
                            <w:bCs/>
                            <w:lang w:eastAsia="en-AU"/>
                          </w:rPr>
                          <w:t>72.8</w:t>
                        </w:r>
                      </w:p>
                    </w:tc>
                    <w:tc>
                      <w:tcPr>
                        <w:tcW w:w="959" w:type="dxa"/>
                        <w:noWrap/>
                        <w:hideMark/>
                      </w:tcPr>
                      <w:p w14:paraId="5CBF24AA" w14:textId="54BA6E6F" w:rsidR="008E2A93" w:rsidRPr="00DE647E" w:rsidRDefault="008E2A93" w:rsidP="00DE647E">
                        <w:pPr>
                          <w:pStyle w:val="TableText"/>
                          <w:rPr>
                            <w:b/>
                            <w:bCs/>
                            <w:lang w:eastAsia="en-AU"/>
                          </w:rPr>
                        </w:pPr>
                        <w:r w:rsidRPr="00DE647E">
                          <w:rPr>
                            <w:b/>
                            <w:bCs/>
                            <w:lang w:eastAsia="en-AU"/>
                          </w:rPr>
                          <w:t>7,131</w:t>
                        </w:r>
                      </w:p>
                    </w:tc>
                    <w:tc>
                      <w:tcPr>
                        <w:tcW w:w="958" w:type="dxa"/>
                        <w:noWrap/>
                        <w:hideMark/>
                      </w:tcPr>
                      <w:p w14:paraId="2BEE881E" w14:textId="77777777" w:rsidR="008E2A93" w:rsidRPr="00DE647E" w:rsidRDefault="008E2A93" w:rsidP="00DE647E">
                        <w:pPr>
                          <w:pStyle w:val="TableText"/>
                          <w:rPr>
                            <w:b/>
                            <w:bCs/>
                            <w:lang w:eastAsia="en-AU"/>
                          </w:rPr>
                        </w:pPr>
                        <w:r w:rsidRPr="00DE647E">
                          <w:rPr>
                            <w:b/>
                            <w:bCs/>
                            <w:lang w:eastAsia="en-AU"/>
                          </w:rPr>
                          <w:t>1.06</w:t>
                        </w:r>
                      </w:p>
                    </w:tc>
                    <w:tc>
                      <w:tcPr>
                        <w:tcW w:w="1005" w:type="dxa"/>
                        <w:noWrap/>
                        <w:hideMark/>
                      </w:tcPr>
                      <w:p w14:paraId="78E8B220" w14:textId="77777777" w:rsidR="008E2A93" w:rsidRPr="00DE647E" w:rsidRDefault="008E2A93" w:rsidP="00DE647E">
                        <w:pPr>
                          <w:pStyle w:val="TableText"/>
                          <w:rPr>
                            <w:b/>
                            <w:bCs/>
                            <w:lang w:eastAsia="en-AU"/>
                          </w:rPr>
                        </w:pPr>
                        <w:r w:rsidRPr="00DE647E">
                          <w:rPr>
                            <w:b/>
                            <w:bCs/>
                            <w:lang w:eastAsia="en-AU"/>
                          </w:rPr>
                          <w:t>69.7</w:t>
                        </w:r>
                      </w:p>
                    </w:tc>
                  </w:tr>
                </w:tbl>
                <w:p w14:paraId="6B1325E7" w14:textId="5C333463" w:rsidR="00AE186E" w:rsidRDefault="003C5023" w:rsidP="003C5023">
                  <w:pPr>
                    <w:pStyle w:val="TableText"/>
                    <w:numPr>
                      <w:ilvl w:val="0"/>
                      <w:numId w:val="0"/>
                    </w:numPr>
                    <w:rPr>
                      <w:i/>
                      <w:sz w:val="20"/>
                    </w:rPr>
                  </w:pPr>
                  <w:r w:rsidRPr="008E1B83">
                    <w:rPr>
                      <w:i/>
                      <w:sz w:val="20"/>
                    </w:rPr>
                    <w:t>Source: DEX-SCORE data</w:t>
                  </w:r>
                </w:p>
                <w:p w14:paraId="694B5A3B" w14:textId="77777777" w:rsidR="00AE6187" w:rsidRDefault="00AE6187" w:rsidP="00607890">
                  <w:pPr>
                    <w:pStyle w:val="Text"/>
                    <w:rPr>
                      <w:lang w:val="en-US"/>
                    </w:rPr>
                  </w:pPr>
                </w:p>
                <w:p w14:paraId="203182BE" w14:textId="75E20965" w:rsidR="005569B0" w:rsidRDefault="00607890" w:rsidP="00607890">
                  <w:pPr>
                    <w:pStyle w:val="Text"/>
                    <w:rPr>
                      <w:lang w:val="en-US"/>
                    </w:rPr>
                  </w:pPr>
                  <w:r>
                    <w:rPr>
                      <w:lang w:val="en-US"/>
                    </w:rPr>
                    <w:t>Similarly, a</w:t>
                  </w:r>
                  <w:r w:rsidR="00EA1186" w:rsidRPr="00F6254E">
                    <w:rPr>
                      <w:lang w:val="en-US"/>
                    </w:rPr>
                    <w:t xml:space="preserve">ll </w:t>
                  </w:r>
                  <w:r w:rsidRPr="00607890">
                    <w:rPr>
                      <w:lang w:val="en-US"/>
                    </w:rPr>
                    <w:t xml:space="preserve">cohorts showed improvement </w:t>
                  </w:r>
                  <w:r>
                    <w:rPr>
                      <w:lang w:val="en-US"/>
                    </w:rPr>
                    <w:t>in mean earliest to latest SCORE changes for Goal domains with m</w:t>
                  </w:r>
                  <w:r w:rsidRPr="00525258">
                    <w:rPr>
                      <w:lang w:val="en-US"/>
                    </w:rPr>
                    <w:t>ore than half of all service users experienc</w:t>
                  </w:r>
                  <w:r>
                    <w:rPr>
                      <w:lang w:val="en-US"/>
                    </w:rPr>
                    <w:t>ing</w:t>
                  </w:r>
                  <w:r w:rsidRPr="00525258">
                    <w:rPr>
                      <w:lang w:val="en-US"/>
                    </w:rPr>
                    <w:t xml:space="preserve"> a positive change </w:t>
                  </w:r>
                  <w:r w:rsidR="00EA1186" w:rsidRPr="00F6254E">
                    <w:rPr>
                      <w:lang w:val="en-US"/>
                    </w:rPr>
                    <w:t>(see</w:t>
                  </w:r>
                  <w:r w:rsidR="00E25AA9">
                    <w:rPr>
                      <w:lang w:val="en-US"/>
                    </w:rPr>
                    <w:t xml:space="preserve"> </w:t>
                  </w:r>
                  <w:r w:rsidR="00E25AA9" w:rsidRPr="00E25AA9">
                    <w:rPr>
                      <w:b/>
                      <w:bCs/>
                      <w:lang w:val="en-US"/>
                    </w:rPr>
                    <w:t xml:space="preserve">Table </w:t>
                  </w:r>
                  <w:r w:rsidR="00EA1186" w:rsidRPr="00E25AA9">
                    <w:rPr>
                      <w:b/>
                      <w:bCs/>
                      <w:lang w:val="en-US"/>
                    </w:rPr>
                    <w:fldChar w:fldCharType="begin" w:fldLock="1"/>
                  </w:r>
                  <w:r w:rsidR="00EA1186" w:rsidRPr="00E25AA9">
                    <w:rPr>
                      <w:b/>
                      <w:bCs/>
                      <w:lang w:val="en-US"/>
                    </w:rPr>
                    <w:instrText xml:space="preserve"> REF _Ref208397954 \h  \* MERGEFORMAT </w:instrText>
                  </w:r>
                  <w:r w:rsidR="00EA1186" w:rsidRPr="00E25AA9">
                    <w:rPr>
                      <w:b/>
                      <w:bCs/>
                      <w:lang w:val="en-US"/>
                    </w:rPr>
                  </w:r>
                  <w:r w:rsidR="00EA1186" w:rsidRPr="00E25AA9">
                    <w:rPr>
                      <w:b/>
                      <w:bCs/>
                      <w:lang w:val="en-US"/>
                    </w:rPr>
                    <w:fldChar w:fldCharType="separate"/>
                  </w:r>
                  <w:r w:rsidR="008F22E5" w:rsidRPr="008F22E5">
                    <w:rPr>
                      <w:b/>
                      <w:bCs/>
                    </w:rPr>
                    <w:t>19</w:t>
                  </w:r>
                  <w:r w:rsidR="00EA1186" w:rsidRPr="00E25AA9">
                    <w:rPr>
                      <w:b/>
                      <w:bCs/>
                      <w:lang w:val="en-US"/>
                    </w:rPr>
                    <w:fldChar w:fldCharType="end"/>
                  </w:r>
                  <w:r w:rsidR="00EA1186" w:rsidRPr="00F6254E">
                    <w:rPr>
                      <w:lang w:val="en-US"/>
                    </w:rPr>
                    <w:t>).</w:t>
                  </w:r>
                </w:p>
                <w:p w14:paraId="45365A0F" w14:textId="77777777" w:rsidR="005569B0" w:rsidRDefault="005569B0">
                  <w:pPr>
                    <w:rPr>
                      <w:lang w:val="en-US"/>
                    </w:rPr>
                  </w:pPr>
                  <w:r>
                    <w:rPr>
                      <w:lang w:val="en-US"/>
                    </w:rPr>
                    <w:br w:type="page"/>
                  </w:r>
                </w:p>
                <w:p w14:paraId="41068879" w14:textId="54942963" w:rsidR="003C5023" w:rsidRDefault="003C5023" w:rsidP="00953B9E">
                  <w:pPr>
                    <w:pStyle w:val="TableFigure-Header"/>
                    <w:spacing w:line="276" w:lineRule="auto"/>
                    <w:jc w:val="both"/>
                    <w:rPr>
                      <w:lang w:val="en-NZ"/>
                    </w:rPr>
                  </w:pPr>
                  <w:bookmarkStart w:id="380" w:name="_Ref208993670"/>
                  <w:r w:rsidRPr="5AC90C80">
                    <w:rPr>
                      <w:lang w:val="en-NZ"/>
                    </w:rPr>
                    <w:lastRenderedPageBreak/>
                    <w:t xml:space="preserve">Table </w:t>
                  </w:r>
                  <w:bookmarkStart w:id="381" w:name="_Ref208397954"/>
                  <w:r>
                    <w:fldChar w:fldCharType="begin"/>
                  </w:r>
                  <w:r>
                    <w:instrText xml:space="preserve"> SEQ Table \* ARABIC </w:instrText>
                  </w:r>
                  <w:r>
                    <w:fldChar w:fldCharType="separate"/>
                  </w:r>
                  <w:r w:rsidR="008D2566">
                    <w:rPr>
                      <w:noProof/>
                    </w:rPr>
                    <w:t>19</w:t>
                  </w:r>
                  <w:r>
                    <w:fldChar w:fldCharType="end"/>
                  </w:r>
                  <w:bookmarkEnd w:id="380"/>
                  <w:bookmarkEnd w:id="381"/>
                  <w:r w:rsidRPr="5AC90C80">
                    <w:rPr>
                      <w:lang w:val="en-NZ"/>
                    </w:rPr>
                    <w:t xml:space="preserve">: </w:t>
                  </w:r>
                  <w:r w:rsidR="001B35E0" w:rsidRPr="5AC90C80">
                    <w:rPr>
                      <w:lang w:val="en-NZ"/>
                    </w:rPr>
                    <w:t>E</w:t>
                  </w:r>
                  <w:r w:rsidR="002A3D6D" w:rsidRPr="5AC90C80">
                    <w:rPr>
                      <w:lang w:val="en-NZ"/>
                    </w:rPr>
                    <w:t xml:space="preserve">arliest to latest </w:t>
                  </w:r>
                  <w:r w:rsidR="001B35E0" w:rsidRPr="5AC90C80">
                    <w:rPr>
                      <w:lang w:val="en-NZ"/>
                    </w:rPr>
                    <w:t>mean</w:t>
                  </w:r>
                  <w:r w:rsidR="002A3D6D" w:rsidRPr="5AC90C80">
                    <w:rPr>
                      <w:lang w:val="en-NZ"/>
                    </w:rPr>
                    <w:t xml:space="preserve"> SCORE change and percentage </w:t>
                  </w:r>
                  <w:r w:rsidR="00DE5114" w:rsidRPr="5AC90C80">
                    <w:rPr>
                      <w:lang w:val="en-NZ"/>
                    </w:rPr>
                    <w:t>of service users with a positive</w:t>
                  </w:r>
                  <w:r w:rsidR="002A3D6D" w:rsidRPr="5AC90C80">
                    <w:rPr>
                      <w:lang w:val="en-NZ"/>
                    </w:rPr>
                    <w:t xml:space="preserve"> SCORE</w:t>
                  </w:r>
                  <w:r w:rsidR="001B35E0" w:rsidRPr="5AC90C80">
                    <w:rPr>
                      <w:lang w:val="en-NZ"/>
                    </w:rPr>
                    <w:t xml:space="preserve"> change for Goal</w:t>
                  </w:r>
                  <w:r w:rsidR="00580297" w:rsidRPr="5AC90C80">
                    <w:rPr>
                      <w:lang w:val="en-NZ"/>
                    </w:rPr>
                    <w:t xml:space="preserve"> outcomes</w:t>
                  </w:r>
                  <w:r w:rsidR="002A3D6D" w:rsidRPr="5AC90C80">
                    <w:rPr>
                      <w:lang w:val="en-NZ"/>
                    </w:rPr>
                    <w:t xml:space="preserve"> by cohort, FaRS and SFVS</w:t>
                  </w:r>
                  <w:r w:rsidR="49E3CB0C" w:rsidRPr="5AC90C80">
                    <w:rPr>
                      <w:lang w:val="en-NZ"/>
                    </w:rPr>
                    <w:t>,</w:t>
                  </w:r>
                  <w:r w:rsidR="49E3CB0C" w:rsidRPr="5AC90C80">
                    <w:rPr>
                      <w:rStyle w:val="Text-Bold"/>
                      <w:b/>
                      <w:bCs/>
                    </w:rPr>
                    <w:t xml:space="preserve"> July 2021 – June 2024</w:t>
                  </w:r>
                  <w:r w:rsidR="002A3D6D" w:rsidRPr="5AC90C80">
                    <w:rPr>
                      <w:lang w:val="en-NZ"/>
                    </w:rPr>
                    <w:t xml:space="preserve"> </w:t>
                  </w:r>
                </w:p>
                <w:tbl>
                  <w:tblPr>
                    <w:tblStyle w:val="TableGrid1"/>
                    <w:tblW w:w="9493" w:type="dxa"/>
                    <w:tblLayout w:type="fixed"/>
                    <w:tblLook w:val="04A0" w:firstRow="1" w:lastRow="0" w:firstColumn="1" w:lastColumn="0" w:noHBand="0" w:noVBand="1"/>
                  </w:tblPr>
                  <w:tblGrid>
                    <w:gridCol w:w="1489"/>
                    <w:gridCol w:w="1908"/>
                    <w:gridCol w:w="993"/>
                    <w:gridCol w:w="992"/>
                    <w:gridCol w:w="1010"/>
                    <w:gridCol w:w="974"/>
                    <w:gridCol w:w="993"/>
                    <w:gridCol w:w="1134"/>
                  </w:tblGrid>
                  <w:tr w:rsidR="003C5023" w:rsidRPr="0014194A" w14:paraId="0A6F89AF" w14:textId="77777777" w:rsidTr="00321BC5">
                    <w:trPr>
                      <w:trHeight w:val="304"/>
                      <w:tblHeader/>
                    </w:trPr>
                    <w:tc>
                      <w:tcPr>
                        <w:tcW w:w="3397" w:type="dxa"/>
                        <w:gridSpan w:val="2"/>
                        <w:vMerge w:val="restart"/>
                        <w:shd w:val="clear" w:color="auto" w:fill="007E00" w:themeFill="accent3"/>
                        <w:noWrap/>
                        <w:hideMark/>
                      </w:tcPr>
                      <w:p w14:paraId="32AE5629" w14:textId="77777777" w:rsidR="003C5023" w:rsidRPr="00D62560" w:rsidRDefault="003C5023">
                        <w:pPr>
                          <w:pStyle w:val="TableText"/>
                          <w:rPr>
                            <w:b/>
                            <w:bCs/>
                            <w:color w:val="FFFFFF" w:themeColor="background1"/>
                          </w:rPr>
                        </w:pPr>
                        <w:r w:rsidRPr="00D62560">
                          <w:rPr>
                            <w:b/>
                            <w:bCs/>
                            <w:color w:val="FFFFFF" w:themeColor="background1"/>
                          </w:rPr>
                          <w:t>Cohort</w:t>
                        </w:r>
                      </w:p>
                    </w:tc>
                    <w:tc>
                      <w:tcPr>
                        <w:tcW w:w="2995" w:type="dxa"/>
                        <w:gridSpan w:val="3"/>
                        <w:shd w:val="clear" w:color="auto" w:fill="007E00" w:themeFill="accent3"/>
                        <w:noWrap/>
                        <w:hideMark/>
                      </w:tcPr>
                      <w:p w14:paraId="652C3251" w14:textId="77777777" w:rsidR="003C5023" w:rsidRPr="00D62560" w:rsidRDefault="003C5023">
                        <w:pPr>
                          <w:pStyle w:val="TableText"/>
                          <w:rPr>
                            <w:b/>
                            <w:color w:val="FFFFFF" w:themeColor="background1"/>
                            <w:lang w:val="en-NZ"/>
                          </w:rPr>
                        </w:pPr>
                        <w:r w:rsidRPr="3DEE28EC">
                          <w:rPr>
                            <w:b/>
                            <w:color w:val="FFFFFF" w:themeColor="text1"/>
                            <w:lang w:val="en-NZ"/>
                          </w:rPr>
                          <w:t>FaRS</w:t>
                        </w:r>
                      </w:p>
                    </w:tc>
                    <w:tc>
                      <w:tcPr>
                        <w:tcW w:w="3101" w:type="dxa"/>
                        <w:gridSpan w:val="3"/>
                        <w:shd w:val="clear" w:color="auto" w:fill="007E00" w:themeFill="accent3"/>
                        <w:noWrap/>
                        <w:hideMark/>
                      </w:tcPr>
                      <w:p w14:paraId="6B933BF1" w14:textId="77777777" w:rsidR="003C5023" w:rsidRPr="00D62560" w:rsidRDefault="003C5023">
                        <w:pPr>
                          <w:pStyle w:val="TableText"/>
                          <w:rPr>
                            <w:b/>
                            <w:bCs/>
                            <w:color w:val="FFFFFF" w:themeColor="background1"/>
                          </w:rPr>
                        </w:pPr>
                        <w:r w:rsidRPr="00D62560">
                          <w:rPr>
                            <w:b/>
                            <w:bCs/>
                            <w:color w:val="FFFFFF" w:themeColor="background1"/>
                          </w:rPr>
                          <w:t>SFVS (incl. 4AP2)</w:t>
                        </w:r>
                      </w:p>
                    </w:tc>
                  </w:tr>
                  <w:tr w:rsidR="003C5023" w:rsidRPr="0014194A" w14:paraId="1FA041E0" w14:textId="77777777" w:rsidTr="00321BC5">
                    <w:trPr>
                      <w:trHeight w:val="607"/>
                      <w:tblHeader/>
                    </w:trPr>
                    <w:tc>
                      <w:tcPr>
                        <w:tcW w:w="3397" w:type="dxa"/>
                        <w:gridSpan w:val="2"/>
                        <w:vMerge/>
                        <w:hideMark/>
                      </w:tcPr>
                      <w:p w14:paraId="7401BF3C" w14:textId="77777777" w:rsidR="003C5023" w:rsidRPr="00D62560" w:rsidRDefault="003C5023">
                        <w:pPr>
                          <w:pStyle w:val="TableText"/>
                          <w:rPr>
                            <w:b/>
                            <w:bCs/>
                            <w:color w:val="FFFFFF" w:themeColor="background1"/>
                          </w:rPr>
                        </w:pPr>
                      </w:p>
                    </w:tc>
                    <w:tc>
                      <w:tcPr>
                        <w:tcW w:w="993" w:type="dxa"/>
                        <w:shd w:val="clear" w:color="auto" w:fill="007E00" w:themeFill="accent3"/>
                        <w:hideMark/>
                      </w:tcPr>
                      <w:p w14:paraId="021257A3" w14:textId="3FA43656" w:rsidR="003C5023" w:rsidRPr="00D62560" w:rsidRDefault="007F134C">
                        <w:pPr>
                          <w:pStyle w:val="TableText"/>
                          <w:rPr>
                            <w:b/>
                            <w:bCs/>
                            <w:color w:val="FFFFFF" w:themeColor="background1"/>
                          </w:rPr>
                        </w:pPr>
                        <w:r>
                          <w:rPr>
                            <w:b/>
                            <w:bCs/>
                            <w:color w:val="FFFFFF" w:themeColor="background1"/>
                          </w:rPr>
                          <w:t>Total s</w:t>
                        </w:r>
                        <w:r w:rsidR="003C5023" w:rsidRPr="00D62560">
                          <w:rPr>
                            <w:b/>
                            <w:bCs/>
                            <w:color w:val="FFFFFF" w:themeColor="background1"/>
                          </w:rPr>
                          <w:t>ervice users (n=)</w:t>
                        </w:r>
                      </w:p>
                    </w:tc>
                    <w:tc>
                      <w:tcPr>
                        <w:tcW w:w="992" w:type="dxa"/>
                        <w:shd w:val="clear" w:color="auto" w:fill="007E00" w:themeFill="accent3"/>
                        <w:hideMark/>
                      </w:tcPr>
                      <w:p w14:paraId="14B8BEFE" w14:textId="77777777" w:rsidR="003C5023" w:rsidRPr="00D62560" w:rsidRDefault="003C5023">
                        <w:pPr>
                          <w:pStyle w:val="TableText"/>
                          <w:rPr>
                            <w:b/>
                            <w:bCs/>
                            <w:color w:val="FFFFFF" w:themeColor="background1"/>
                          </w:rPr>
                        </w:pPr>
                        <w:r w:rsidRPr="00D62560">
                          <w:rPr>
                            <w:b/>
                            <w:bCs/>
                            <w:color w:val="FFFFFF" w:themeColor="background1"/>
                          </w:rPr>
                          <w:t>SCORE change (mean)</w:t>
                        </w:r>
                      </w:p>
                    </w:tc>
                    <w:tc>
                      <w:tcPr>
                        <w:tcW w:w="1010" w:type="dxa"/>
                        <w:shd w:val="clear" w:color="auto" w:fill="007E00" w:themeFill="accent3"/>
                        <w:hideMark/>
                      </w:tcPr>
                      <w:p w14:paraId="0E83C14A" w14:textId="77777777" w:rsidR="003C5023" w:rsidRPr="00D62560" w:rsidRDefault="003C5023">
                        <w:pPr>
                          <w:pStyle w:val="TableText"/>
                          <w:rPr>
                            <w:b/>
                            <w:bCs/>
                            <w:color w:val="FFFFFF" w:themeColor="background1"/>
                          </w:rPr>
                        </w:pPr>
                        <w:r w:rsidRPr="00D62560">
                          <w:rPr>
                            <w:b/>
                            <w:bCs/>
                            <w:color w:val="FFFFFF" w:themeColor="background1"/>
                          </w:rPr>
                          <w:t>% with positive change</w:t>
                        </w:r>
                      </w:p>
                    </w:tc>
                    <w:tc>
                      <w:tcPr>
                        <w:tcW w:w="974" w:type="dxa"/>
                        <w:shd w:val="clear" w:color="auto" w:fill="007E00" w:themeFill="accent3"/>
                        <w:hideMark/>
                      </w:tcPr>
                      <w:p w14:paraId="6F9AE209" w14:textId="77777777" w:rsidR="003C5023" w:rsidRPr="00D62560" w:rsidRDefault="003C5023">
                        <w:pPr>
                          <w:pStyle w:val="TableText"/>
                          <w:rPr>
                            <w:b/>
                            <w:bCs/>
                            <w:color w:val="FFFFFF" w:themeColor="background1"/>
                          </w:rPr>
                        </w:pPr>
                        <w:r w:rsidRPr="00D62560">
                          <w:rPr>
                            <w:b/>
                            <w:bCs/>
                            <w:color w:val="FFFFFF" w:themeColor="background1"/>
                          </w:rPr>
                          <w:t>Service users (n=)</w:t>
                        </w:r>
                      </w:p>
                    </w:tc>
                    <w:tc>
                      <w:tcPr>
                        <w:tcW w:w="993" w:type="dxa"/>
                        <w:shd w:val="clear" w:color="auto" w:fill="007E00" w:themeFill="accent3"/>
                        <w:hideMark/>
                      </w:tcPr>
                      <w:p w14:paraId="23DE6F47" w14:textId="77777777" w:rsidR="003C5023" w:rsidRPr="00D62560" w:rsidRDefault="003C5023">
                        <w:pPr>
                          <w:pStyle w:val="TableText"/>
                          <w:rPr>
                            <w:b/>
                            <w:bCs/>
                            <w:color w:val="FFFFFF" w:themeColor="background1"/>
                          </w:rPr>
                        </w:pPr>
                        <w:r w:rsidRPr="00D62560">
                          <w:rPr>
                            <w:b/>
                            <w:bCs/>
                            <w:color w:val="FFFFFF" w:themeColor="background1"/>
                          </w:rPr>
                          <w:t>SCORE change (mean)</w:t>
                        </w:r>
                      </w:p>
                    </w:tc>
                    <w:tc>
                      <w:tcPr>
                        <w:tcW w:w="1134" w:type="dxa"/>
                        <w:shd w:val="clear" w:color="auto" w:fill="007E00" w:themeFill="accent3"/>
                        <w:hideMark/>
                      </w:tcPr>
                      <w:p w14:paraId="275FC1F3" w14:textId="77777777" w:rsidR="003C5023" w:rsidRPr="00D62560" w:rsidRDefault="003C5023">
                        <w:pPr>
                          <w:pStyle w:val="TableText"/>
                          <w:rPr>
                            <w:b/>
                            <w:bCs/>
                            <w:color w:val="FFFFFF" w:themeColor="background1"/>
                          </w:rPr>
                        </w:pPr>
                        <w:r w:rsidRPr="00D62560">
                          <w:rPr>
                            <w:b/>
                            <w:bCs/>
                            <w:color w:val="FFFFFF" w:themeColor="background1"/>
                          </w:rPr>
                          <w:t>% with positive change</w:t>
                        </w:r>
                      </w:p>
                    </w:tc>
                  </w:tr>
                  <w:tr w:rsidR="003C5023" w:rsidRPr="0014194A" w14:paraId="693FC0FB" w14:textId="77777777" w:rsidTr="00321BC5">
                    <w:trPr>
                      <w:trHeight w:val="304"/>
                      <w:tblHeader/>
                    </w:trPr>
                    <w:tc>
                      <w:tcPr>
                        <w:tcW w:w="1489" w:type="dxa"/>
                        <w:vMerge w:val="restart"/>
                        <w:noWrap/>
                        <w:hideMark/>
                      </w:tcPr>
                      <w:p w14:paraId="620BE37F" w14:textId="77777777" w:rsidR="003C5023" w:rsidRPr="00A44FC8" w:rsidRDefault="003C5023">
                        <w:pPr>
                          <w:pStyle w:val="TableText"/>
                        </w:pPr>
                        <w:r w:rsidRPr="00A44FC8">
                          <w:t>CALD</w:t>
                        </w:r>
                      </w:p>
                    </w:tc>
                    <w:tc>
                      <w:tcPr>
                        <w:tcW w:w="1908" w:type="dxa"/>
                        <w:noWrap/>
                        <w:hideMark/>
                      </w:tcPr>
                      <w:p w14:paraId="7D237705" w14:textId="77777777" w:rsidR="003C5023" w:rsidRPr="00D62560" w:rsidRDefault="003C5023">
                        <w:pPr>
                          <w:pStyle w:val="TableText"/>
                        </w:pPr>
                        <w:r w:rsidRPr="00D62560">
                          <w:t>Non-CALD</w:t>
                        </w:r>
                      </w:p>
                    </w:tc>
                    <w:tc>
                      <w:tcPr>
                        <w:tcW w:w="993" w:type="dxa"/>
                        <w:noWrap/>
                        <w:hideMark/>
                      </w:tcPr>
                      <w:p w14:paraId="5499ECA2" w14:textId="3080E0AB" w:rsidR="003C5023" w:rsidRPr="00D62560" w:rsidRDefault="003C5023">
                        <w:pPr>
                          <w:pStyle w:val="TableText"/>
                        </w:pPr>
                        <w:r w:rsidRPr="00D62560">
                          <w:t>4</w:t>
                        </w:r>
                        <w:r w:rsidR="00BA5281">
                          <w:t>,</w:t>
                        </w:r>
                        <w:r w:rsidRPr="00D62560">
                          <w:t>2938</w:t>
                        </w:r>
                      </w:p>
                    </w:tc>
                    <w:tc>
                      <w:tcPr>
                        <w:tcW w:w="992" w:type="dxa"/>
                        <w:noWrap/>
                        <w:hideMark/>
                      </w:tcPr>
                      <w:p w14:paraId="3017D965" w14:textId="77777777" w:rsidR="003C5023" w:rsidRPr="00D62560" w:rsidRDefault="003C5023">
                        <w:pPr>
                          <w:pStyle w:val="TableText"/>
                        </w:pPr>
                        <w:r w:rsidRPr="00D62560">
                          <w:t>1.21</w:t>
                        </w:r>
                      </w:p>
                    </w:tc>
                    <w:tc>
                      <w:tcPr>
                        <w:tcW w:w="1010" w:type="dxa"/>
                        <w:noWrap/>
                        <w:hideMark/>
                      </w:tcPr>
                      <w:p w14:paraId="1DFBC9AA" w14:textId="77777777" w:rsidR="003C5023" w:rsidRPr="00D62560" w:rsidRDefault="003C5023">
                        <w:pPr>
                          <w:pStyle w:val="TableText"/>
                        </w:pPr>
                        <w:r w:rsidRPr="00D62560">
                          <w:t>74.6</w:t>
                        </w:r>
                      </w:p>
                    </w:tc>
                    <w:tc>
                      <w:tcPr>
                        <w:tcW w:w="974" w:type="dxa"/>
                        <w:noWrap/>
                        <w:hideMark/>
                      </w:tcPr>
                      <w:p w14:paraId="5F744DA8" w14:textId="6EE4FEBD" w:rsidR="003C5023" w:rsidRPr="00D62560" w:rsidRDefault="003C5023">
                        <w:pPr>
                          <w:pStyle w:val="TableText"/>
                        </w:pPr>
                        <w:r w:rsidRPr="00D62560">
                          <w:t>3</w:t>
                        </w:r>
                        <w:r w:rsidR="00BA5281">
                          <w:t>,</w:t>
                        </w:r>
                        <w:r w:rsidRPr="00D62560">
                          <w:t>912</w:t>
                        </w:r>
                      </w:p>
                    </w:tc>
                    <w:tc>
                      <w:tcPr>
                        <w:tcW w:w="993" w:type="dxa"/>
                        <w:noWrap/>
                        <w:hideMark/>
                      </w:tcPr>
                      <w:p w14:paraId="0BD40A24" w14:textId="77777777" w:rsidR="003C5023" w:rsidRPr="00D62560" w:rsidRDefault="003C5023">
                        <w:pPr>
                          <w:pStyle w:val="TableText"/>
                        </w:pPr>
                        <w:r w:rsidRPr="00D62560">
                          <w:t>1.1</w:t>
                        </w:r>
                      </w:p>
                    </w:tc>
                    <w:tc>
                      <w:tcPr>
                        <w:tcW w:w="1134" w:type="dxa"/>
                        <w:noWrap/>
                        <w:hideMark/>
                      </w:tcPr>
                      <w:p w14:paraId="6095ADF7" w14:textId="77777777" w:rsidR="003C5023" w:rsidRPr="00D62560" w:rsidRDefault="003C5023">
                        <w:pPr>
                          <w:pStyle w:val="TableText"/>
                        </w:pPr>
                        <w:r w:rsidRPr="00D62560">
                          <w:t>71.1</w:t>
                        </w:r>
                      </w:p>
                    </w:tc>
                  </w:tr>
                  <w:tr w:rsidR="003C5023" w:rsidRPr="0014194A" w14:paraId="6F2572F3" w14:textId="77777777" w:rsidTr="00321BC5">
                    <w:trPr>
                      <w:trHeight w:val="304"/>
                      <w:tblHeader/>
                    </w:trPr>
                    <w:tc>
                      <w:tcPr>
                        <w:tcW w:w="1489" w:type="dxa"/>
                        <w:vMerge/>
                        <w:hideMark/>
                      </w:tcPr>
                      <w:p w14:paraId="4DDB5EBC" w14:textId="77777777" w:rsidR="003C5023" w:rsidRPr="00A44FC8" w:rsidRDefault="003C5023">
                        <w:pPr>
                          <w:pStyle w:val="TableText"/>
                        </w:pPr>
                      </w:p>
                    </w:tc>
                    <w:tc>
                      <w:tcPr>
                        <w:tcW w:w="1908" w:type="dxa"/>
                        <w:noWrap/>
                        <w:hideMark/>
                      </w:tcPr>
                      <w:p w14:paraId="73CE2E4E" w14:textId="77777777" w:rsidR="003C5023" w:rsidRPr="00D62560" w:rsidRDefault="003C5023">
                        <w:pPr>
                          <w:pStyle w:val="TableText"/>
                        </w:pPr>
                        <w:r w:rsidRPr="00D62560">
                          <w:t>CALD</w:t>
                        </w:r>
                      </w:p>
                    </w:tc>
                    <w:tc>
                      <w:tcPr>
                        <w:tcW w:w="993" w:type="dxa"/>
                        <w:noWrap/>
                        <w:hideMark/>
                      </w:tcPr>
                      <w:p w14:paraId="47D368A3" w14:textId="1CFBEF1A" w:rsidR="003C5023" w:rsidRPr="00D62560" w:rsidRDefault="003C5023">
                        <w:pPr>
                          <w:pStyle w:val="TableText"/>
                        </w:pPr>
                        <w:r w:rsidRPr="00D62560">
                          <w:t>2</w:t>
                        </w:r>
                        <w:r w:rsidR="00BA5281">
                          <w:t>,</w:t>
                        </w:r>
                        <w:r w:rsidRPr="00D62560">
                          <w:t>845</w:t>
                        </w:r>
                      </w:p>
                    </w:tc>
                    <w:tc>
                      <w:tcPr>
                        <w:tcW w:w="992" w:type="dxa"/>
                        <w:noWrap/>
                        <w:hideMark/>
                      </w:tcPr>
                      <w:p w14:paraId="14620A43" w14:textId="77777777" w:rsidR="003C5023" w:rsidRPr="00D62560" w:rsidRDefault="003C5023">
                        <w:pPr>
                          <w:pStyle w:val="TableText"/>
                        </w:pPr>
                        <w:r w:rsidRPr="00D62560">
                          <w:t>1.19</w:t>
                        </w:r>
                      </w:p>
                    </w:tc>
                    <w:tc>
                      <w:tcPr>
                        <w:tcW w:w="1010" w:type="dxa"/>
                        <w:noWrap/>
                        <w:hideMark/>
                      </w:tcPr>
                      <w:p w14:paraId="1030660A" w14:textId="77777777" w:rsidR="003C5023" w:rsidRPr="00D62560" w:rsidRDefault="003C5023">
                        <w:pPr>
                          <w:pStyle w:val="TableText"/>
                        </w:pPr>
                        <w:r w:rsidRPr="00D62560">
                          <w:t>71.6</w:t>
                        </w:r>
                      </w:p>
                    </w:tc>
                    <w:tc>
                      <w:tcPr>
                        <w:tcW w:w="974" w:type="dxa"/>
                        <w:noWrap/>
                        <w:hideMark/>
                      </w:tcPr>
                      <w:p w14:paraId="2BC73BDD" w14:textId="77777777" w:rsidR="003C5023" w:rsidRPr="00D62560" w:rsidRDefault="003C5023">
                        <w:pPr>
                          <w:pStyle w:val="TableText"/>
                        </w:pPr>
                        <w:r w:rsidRPr="00D62560">
                          <w:t>330</w:t>
                        </w:r>
                      </w:p>
                    </w:tc>
                    <w:tc>
                      <w:tcPr>
                        <w:tcW w:w="993" w:type="dxa"/>
                        <w:noWrap/>
                        <w:hideMark/>
                      </w:tcPr>
                      <w:p w14:paraId="155069E6" w14:textId="77777777" w:rsidR="003C5023" w:rsidRPr="00D62560" w:rsidRDefault="003C5023">
                        <w:pPr>
                          <w:pStyle w:val="TableText"/>
                        </w:pPr>
                        <w:r w:rsidRPr="00D62560">
                          <w:t>1.01</w:t>
                        </w:r>
                      </w:p>
                    </w:tc>
                    <w:tc>
                      <w:tcPr>
                        <w:tcW w:w="1134" w:type="dxa"/>
                        <w:noWrap/>
                        <w:hideMark/>
                      </w:tcPr>
                      <w:p w14:paraId="48FB6383" w14:textId="77777777" w:rsidR="003C5023" w:rsidRPr="00D62560" w:rsidRDefault="003C5023">
                        <w:pPr>
                          <w:pStyle w:val="TableText"/>
                        </w:pPr>
                        <w:r w:rsidRPr="00D62560">
                          <w:t>67</w:t>
                        </w:r>
                      </w:p>
                    </w:tc>
                  </w:tr>
                  <w:tr w:rsidR="003C5023" w:rsidRPr="0014194A" w14:paraId="1EEE1267" w14:textId="77777777" w:rsidTr="00321BC5">
                    <w:trPr>
                      <w:trHeight w:val="304"/>
                      <w:tblHeader/>
                    </w:trPr>
                    <w:tc>
                      <w:tcPr>
                        <w:tcW w:w="1489" w:type="dxa"/>
                        <w:vMerge w:val="restart"/>
                        <w:hideMark/>
                      </w:tcPr>
                      <w:p w14:paraId="0AB7D6BB" w14:textId="77777777" w:rsidR="003C5023" w:rsidRPr="00A44FC8" w:rsidRDefault="003C5023">
                        <w:pPr>
                          <w:pStyle w:val="TableText"/>
                        </w:pPr>
                        <w:r w:rsidRPr="00A44FC8">
                          <w:t xml:space="preserve">Aboriginal and Torres Strait Islander </w:t>
                        </w:r>
                      </w:p>
                    </w:tc>
                    <w:tc>
                      <w:tcPr>
                        <w:tcW w:w="1908" w:type="dxa"/>
                        <w:noWrap/>
                        <w:hideMark/>
                      </w:tcPr>
                      <w:p w14:paraId="49B5808D" w14:textId="77777777" w:rsidR="003C5023" w:rsidRPr="00D62560" w:rsidRDefault="003C5023">
                        <w:pPr>
                          <w:pStyle w:val="TableText"/>
                        </w:pPr>
                        <w:r w:rsidRPr="00D62560">
                          <w:t>Non-Aboriginal and Torres Strait Islander (or unknown)</w:t>
                        </w:r>
                      </w:p>
                    </w:tc>
                    <w:tc>
                      <w:tcPr>
                        <w:tcW w:w="993" w:type="dxa"/>
                        <w:noWrap/>
                        <w:hideMark/>
                      </w:tcPr>
                      <w:p w14:paraId="5311790A" w14:textId="012AF82D" w:rsidR="003C5023" w:rsidRPr="00D62560" w:rsidRDefault="003C5023">
                        <w:pPr>
                          <w:pStyle w:val="TableText"/>
                        </w:pPr>
                        <w:r w:rsidRPr="00D62560">
                          <w:t>70</w:t>
                        </w:r>
                        <w:r w:rsidR="00BA5281">
                          <w:t>,</w:t>
                        </w:r>
                        <w:r w:rsidRPr="00D62560">
                          <w:t>887</w:t>
                        </w:r>
                      </w:p>
                    </w:tc>
                    <w:tc>
                      <w:tcPr>
                        <w:tcW w:w="992" w:type="dxa"/>
                        <w:noWrap/>
                        <w:hideMark/>
                      </w:tcPr>
                      <w:p w14:paraId="605D49F9" w14:textId="77777777" w:rsidR="003C5023" w:rsidRPr="00D62560" w:rsidRDefault="003C5023">
                        <w:pPr>
                          <w:pStyle w:val="TableText"/>
                        </w:pPr>
                        <w:r w:rsidRPr="00D62560">
                          <w:t>1.13</w:t>
                        </w:r>
                      </w:p>
                    </w:tc>
                    <w:tc>
                      <w:tcPr>
                        <w:tcW w:w="1010" w:type="dxa"/>
                        <w:noWrap/>
                        <w:hideMark/>
                      </w:tcPr>
                      <w:p w14:paraId="75EBD163" w14:textId="77777777" w:rsidR="003C5023" w:rsidRPr="00D62560" w:rsidRDefault="003C5023">
                        <w:pPr>
                          <w:pStyle w:val="TableText"/>
                        </w:pPr>
                        <w:r w:rsidRPr="00D62560">
                          <w:t>72.8</w:t>
                        </w:r>
                      </w:p>
                    </w:tc>
                    <w:tc>
                      <w:tcPr>
                        <w:tcW w:w="974" w:type="dxa"/>
                        <w:noWrap/>
                        <w:hideMark/>
                      </w:tcPr>
                      <w:p w14:paraId="72CCAD6F" w14:textId="71E774FF" w:rsidR="003C5023" w:rsidRPr="00D62560" w:rsidRDefault="003C5023">
                        <w:pPr>
                          <w:pStyle w:val="TableText"/>
                        </w:pPr>
                        <w:r w:rsidRPr="00D62560">
                          <w:t>6</w:t>
                        </w:r>
                        <w:r w:rsidR="00BA5281">
                          <w:t>,</w:t>
                        </w:r>
                        <w:r w:rsidRPr="00D62560">
                          <w:t>652</w:t>
                        </w:r>
                      </w:p>
                    </w:tc>
                    <w:tc>
                      <w:tcPr>
                        <w:tcW w:w="993" w:type="dxa"/>
                        <w:noWrap/>
                        <w:hideMark/>
                      </w:tcPr>
                      <w:p w14:paraId="31267FE0" w14:textId="77777777" w:rsidR="003C5023" w:rsidRPr="00D62560" w:rsidRDefault="003C5023">
                        <w:pPr>
                          <w:pStyle w:val="TableText"/>
                        </w:pPr>
                        <w:r w:rsidRPr="00D62560">
                          <w:t>1.06</w:t>
                        </w:r>
                      </w:p>
                    </w:tc>
                    <w:tc>
                      <w:tcPr>
                        <w:tcW w:w="1134" w:type="dxa"/>
                        <w:noWrap/>
                        <w:hideMark/>
                      </w:tcPr>
                      <w:p w14:paraId="2D04744A" w14:textId="77777777" w:rsidR="003C5023" w:rsidRPr="00D62560" w:rsidRDefault="003C5023">
                        <w:pPr>
                          <w:pStyle w:val="TableText"/>
                        </w:pPr>
                        <w:r w:rsidRPr="00D62560">
                          <w:t>70</w:t>
                        </w:r>
                      </w:p>
                    </w:tc>
                  </w:tr>
                  <w:tr w:rsidR="003C5023" w:rsidRPr="0014194A" w14:paraId="6CC18845" w14:textId="77777777" w:rsidTr="00321BC5">
                    <w:trPr>
                      <w:trHeight w:val="304"/>
                      <w:tblHeader/>
                    </w:trPr>
                    <w:tc>
                      <w:tcPr>
                        <w:tcW w:w="1489" w:type="dxa"/>
                        <w:vMerge/>
                        <w:hideMark/>
                      </w:tcPr>
                      <w:p w14:paraId="2E44B2E4" w14:textId="77777777" w:rsidR="003C5023" w:rsidRPr="00A44FC8" w:rsidRDefault="003C5023">
                        <w:pPr>
                          <w:pStyle w:val="TableText"/>
                        </w:pPr>
                      </w:p>
                    </w:tc>
                    <w:tc>
                      <w:tcPr>
                        <w:tcW w:w="1908" w:type="dxa"/>
                        <w:noWrap/>
                        <w:hideMark/>
                      </w:tcPr>
                      <w:p w14:paraId="1C8F9485" w14:textId="77777777" w:rsidR="003C5023" w:rsidRPr="00D62560" w:rsidRDefault="003C5023">
                        <w:pPr>
                          <w:pStyle w:val="TableText"/>
                        </w:pPr>
                        <w:r w:rsidRPr="00D62560">
                          <w:t>Aboriginal and Torres Strait Islander</w:t>
                        </w:r>
                      </w:p>
                    </w:tc>
                    <w:tc>
                      <w:tcPr>
                        <w:tcW w:w="993" w:type="dxa"/>
                        <w:noWrap/>
                        <w:hideMark/>
                      </w:tcPr>
                      <w:p w14:paraId="4B4174ED" w14:textId="23087657" w:rsidR="003C5023" w:rsidRPr="00D62560" w:rsidRDefault="003C5023">
                        <w:pPr>
                          <w:pStyle w:val="TableText"/>
                        </w:pPr>
                        <w:r w:rsidRPr="00D62560">
                          <w:t>2</w:t>
                        </w:r>
                        <w:r w:rsidR="00BA5281">
                          <w:t>,</w:t>
                        </w:r>
                        <w:r w:rsidRPr="00D62560">
                          <w:t>596</w:t>
                        </w:r>
                      </w:p>
                    </w:tc>
                    <w:tc>
                      <w:tcPr>
                        <w:tcW w:w="992" w:type="dxa"/>
                        <w:noWrap/>
                        <w:hideMark/>
                      </w:tcPr>
                      <w:p w14:paraId="292F944C" w14:textId="77777777" w:rsidR="003C5023" w:rsidRPr="00D62560" w:rsidRDefault="003C5023">
                        <w:pPr>
                          <w:pStyle w:val="TableText"/>
                        </w:pPr>
                        <w:r w:rsidRPr="00D62560">
                          <w:t>1.17</w:t>
                        </w:r>
                      </w:p>
                    </w:tc>
                    <w:tc>
                      <w:tcPr>
                        <w:tcW w:w="1010" w:type="dxa"/>
                        <w:noWrap/>
                        <w:hideMark/>
                      </w:tcPr>
                      <w:p w14:paraId="2158E62D" w14:textId="77777777" w:rsidR="003C5023" w:rsidRPr="00D62560" w:rsidRDefault="003C5023">
                        <w:pPr>
                          <w:pStyle w:val="TableText"/>
                        </w:pPr>
                        <w:r w:rsidRPr="00D62560">
                          <w:t>73.1</w:t>
                        </w:r>
                      </w:p>
                    </w:tc>
                    <w:tc>
                      <w:tcPr>
                        <w:tcW w:w="974" w:type="dxa"/>
                        <w:noWrap/>
                        <w:hideMark/>
                      </w:tcPr>
                      <w:p w14:paraId="6A831986" w14:textId="77777777" w:rsidR="003C5023" w:rsidRPr="00D62560" w:rsidRDefault="003C5023">
                        <w:pPr>
                          <w:pStyle w:val="TableText"/>
                        </w:pPr>
                        <w:r w:rsidRPr="00D62560">
                          <w:t>479</w:t>
                        </w:r>
                      </w:p>
                    </w:tc>
                    <w:tc>
                      <w:tcPr>
                        <w:tcW w:w="993" w:type="dxa"/>
                        <w:noWrap/>
                        <w:hideMark/>
                      </w:tcPr>
                      <w:p w14:paraId="427706F7" w14:textId="77777777" w:rsidR="003C5023" w:rsidRPr="00D62560" w:rsidRDefault="003C5023">
                        <w:pPr>
                          <w:pStyle w:val="TableText"/>
                        </w:pPr>
                        <w:r w:rsidRPr="00D62560">
                          <w:t>1.04</w:t>
                        </w:r>
                      </w:p>
                    </w:tc>
                    <w:tc>
                      <w:tcPr>
                        <w:tcW w:w="1134" w:type="dxa"/>
                        <w:noWrap/>
                        <w:hideMark/>
                      </w:tcPr>
                      <w:p w14:paraId="6B531109" w14:textId="77777777" w:rsidR="003C5023" w:rsidRPr="00D62560" w:rsidRDefault="003C5023">
                        <w:pPr>
                          <w:pStyle w:val="TableText"/>
                        </w:pPr>
                        <w:r w:rsidRPr="00D62560">
                          <w:t>66.4</w:t>
                        </w:r>
                      </w:p>
                    </w:tc>
                  </w:tr>
                  <w:tr w:rsidR="003C5023" w:rsidRPr="0014194A" w14:paraId="036F93E5" w14:textId="77777777" w:rsidTr="00321BC5">
                    <w:trPr>
                      <w:trHeight w:val="304"/>
                      <w:tblHeader/>
                    </w:trPr>
                    <w:tc>
                      <w:tcPr>
                        <w:tcW w:w="1489" w:type="dxa"/>
                        <w:vMerge w:val="restart"/>
                        <w:hideMark/>
                      </w:tcPr>
                      <w:p w14:paraId="57959E99" w14:textId="77777777" w:rsidR="003C5023" w:rsidRPr="00A44FC8" w:rsidRDefault="003C5023">
                        <w:pPr>
                          <w:pStyle w:val="TableText"/>
                        </w:pPr>
                        <w:r w:rsidRPr="00A44FC8">
                          <w:t>People with disability</w:t>
                        </w:r>
                      </w:p>
                    </w:tc>
                    <w:tc>
                      <w:tcPr>
                        <w:tcW w:w="1908" w:type="dxa"/>
                        <w:noWrap/>
                        <w:hideMark/>
                      </w:tcPr>
                      <w:p w14:paraId="21F24434" w14:textId="77777777" w:rsidR="003C5023" w:rsidRPr="00D62560" w:rsidRDefault="003C5023">
                        <w:pPr>
                          <w:pStyle w:val="TableText"/>
                        </w:pPr>
                        <w:r w:rsidRPr="00D62560">
                          <w:t>Without disability (or unknown)</w:t>
                        </w:r>
                      </w:p>
                    </w:tc>
                    <w:tc>
                      <w:tcPr>
                        <w:tcW w:w="993" w:type="dxa"/>
                        <w:noWrap/>
                        <w:hideMark/>
                      </w:tcPr>
                      <w:p w14:paraId="662F3297" w14:textId="044E5A20" w:rsidR="003C5023" w:rsidRPr="00D62560" w:rsidRDefault="003C5023">
                        <w:pPr>
                          <w:pStyle w:val="TableText"/>
                        </w:pPr>
                        <w:r w:rsidRPr="00D62560">
                          <w:t>6</w:t>
                        </w:r>
                        <w:r w:rsidR="00BA5281">
                          <w:t>,</w:t>
                        </w:r>
                        <w:r w:rsidRPr="00D62560">
                          <w:t>8047</w:t>
                        </w:r>
                      </w:p>
                    </w:tc>
                    <w:tc>
                      <w:tcPr>
                        <w:tcW w:w="992" w:type="dxa"/>
                        <w:noWrap/>
                        <w:hideMark/>
                      </w:tcPr>
                      <w:p w14:paraId="3BB4B16F" w14:textId="77777777" w:rsidR="003C5023" w:rsidRPr="00D62560" w:rsidRDefault="003C5023">
                        <w:pPr>
                          <w:pStyle w:val="TableText"/>
                        </w:pPr>
                        <w:r w:rsidRPr="00D62560">
                          <w:t>1.14</w:t>
                        </w:r>
                      </w:p>
                    </w:tc>
                    <w:tc>
                      <w:tcPr>
                        <w:tcW w:w="1010" w:type="dxa"/>
                        <w:noWrap/>
                        <w:hideMark/>
                      </w:tcPr>
                      <w:p w14:paraId="1E07BC5A" w14:textId="77777777" w:rsidR="003C5023" w:rsidRPr="00D62560" w:rsidRDefault="003C5023">
                        <w:pPr>
                          <w:pStyle w:val="TableText"/>
                        </w:pPr>
                        <w:r w:rsidRPr="00D62560">
                          <w:t>72.9</w:t>
                        </w:r>
                      </w:p>
                    </w:tc>
                    <w:tc>
                      <w:tcPr>
                        <w:tcW w:w="974" w:type="dxa"/>
                        <w:noWrap/>
                        <w:hideMark/>
                      </w:tcPr>
                      <w:p w14:paraId="29D1980C" w14:textId="4DE66E83" w:rsidR="003C5023" w:rsidRPr="00D62560" w:rsidRDefault="003C5023">
                        <w:pPr>
                          <w:pStyle w:val="TableText"/>
                        </w:pPr>
                        <w:r w:rsidRPr="00D62560">
                          <w:t>6</w:t>
                        </w:r>
                        <w:r w:rsidR="00BA5281">
                          <w:t>,</w:t>
                        </w:r>
                        <w:r w:rsidRPr="00D62560">
                          <w:t>161</w:t>
                        </w:r>
                      </w:p>
                    </w:tc>
                    <w:tc>
                      <w:tcPr>
                        <w:tcW w:w="993" w:type="dxa"/>
                        <w:noWrap/>
                        <w:hideMark/>
                      </w:tcPr>
                      <w:p w14:paraId="68C2C58B" w14:textId="77777777" w:rsidR="003C5023" w:rsidRPr="00D62560" w:rsidRDefault="003C5023">
                        <w:pPr>
                          <w:pStyle w:val="TableText"/>
                        </w:pPr>
                        <w:r w:rsidRPr="00D62560">
                          <w:t>1.05</w:t>
                        </w:r>
                      </w:p>
                    </w:tc>
                    <w:tc>
                      <w:tcPr>
                        <w:tcW w:w="1134" w:type="dxa"/>
                        <w:noWrap/>
                        <w:hideMark/>
                      </w:tcPr>
                      <w:p w14:paraId="132166C0" w14:textId="77777777" w:rsidR="003C5023" w:rsidRPr="00D62560" w:rsidRDefault="003C5023">
                        <w:pPr>
                          <w:pStyle w:val="TableText"/>
                        </w:pPr>
                        <w:r w:rsidRPr="00D62560">
                          <w:t>69.8</w:t>
                        </w:r>
                      </w:p>
                    </w:tc>
                  </w:tr>
                  <w:tr w:rsidR="003C5023" w:rsidRPr="0014194A" w14:paraId="64F5C857" w14:textId="77777777" w:rsidTr="00321BC5">
                    <w:trPr>
                      <w:trHeight w:val="304"/>
                      <w:tblHeader/>
                    </w:trPr>
                    <w:tc>
                      <w:tcPr>
                        <w:tcW w:w="1489" w:type="dxa"/>
                        <w:vMerge/>
                        <w:hideMark/>
                      </w:tcPr>
                      <w:p w14:paraId="6A8957E2" w14:textId="77777777" w:rsidR="003C5023" w:rsidRPr="00A44FC8" w:rsidRDefault="003C5023">
                        <w:pPr>
                          <w:pStyle w:val="TableText"/>
                        </w:pPr>
                      </w:p>
                    </w:tc>
                    <w:tc>
                      <w:tcPr>
                        <w:tcW w:w="1908" w:type="dxa"/>
                        <w:noWrap/>
                        <w:hideMark/>
                      </w:tcPr>
                      <w:p w14:paraId="31FD72F0" w14:textId="77777777" w:rsidR="003C5023" w:rsidRPr="00D62560" w:rsidRDefault="003C5023">
                        <w:pPr>
                          <w:pStyle w:val="TableText"/>
                        </w:pPr>
                        <w:r w:rsidRPr="00D62560">
                          <w:t>With disability</w:t>
                        </w:r>
                      </w:p>
                    </w:tc>
                    <w:tc>
                      <w:tcPr>
                        <w:tcW w:w="993" w:type="dxa"/>
                        <w:noWrap/>
                        <w:hideMark/>
                      </w:tcPr>
                      <w:p w14:paraId="632F2200" w14:textId="7CF5F3E5" w:rsidR="003C5023" w:rsidRPr="00D62560" w:rsidRDefault="003C5023">
                        <w:pPr>
                          <w:pStyle w:val="TableText"/>
                        </w:pPr>
                        <w:r w:rsidRPr="00D62560">
                          <w:t>5</w:t>
                        </w:r>
                        <w:r w:rsidR="00BA5281">
                          <w:t>,</w:t>
                        </w:r>
                        <w:r w:rsidRPr="00D62560">
                          <w:t>436</w:t>
                        </w:r>
                      </w:p>
                    </w:tc>
                    <w:tc>
                      <w:tcPr>
                        <w:tcW w:w="992" w:type="dxa"/>
                        <w:noWrap/>
                        <w:hideMark/>
                      </w:tcPr>
                      <w:p w14:paraId="22383869" w14:textId="77777777" w:rsidR="003C5023" w:rsidRPr="00D62560" w:rsidRDefault="003C5023">
                        <w:pPr>
                          <w:pStyle w:val="TableText"/>
                        </w:pPr>
                        <w:r w:rsidRPr="00D62560">
                          <w:t>1.06</w:t>
                        </w:r>
                      </w:p>
                    </w:tc>
                    <w:tc>
                      <w:tcPr>
                        <w:tcW w:w="1010" w:type="dxa"/>
                        <w:noWrap/>
                        <w:hideMark/>
                      </w:tcPr>
                      <w:p w14:paraId="61D8E8E3" w14:textId="77777777" w:rsidR="003C5023" w:rsidRPr="00D62560" w:rsidRDefault="003C5023">
                        <w:pPr>
                          <w:pStyle w:val="TableText"/>
                        </w:pPr>
                        <w:r w:rsidRPr="00D62560">
                          <w:t>70.8</w:t>
                        </w:r>
                      </w:p>
                    </w:tc>
                    <w:tc>
                      <w:tcPr>
                        <w:tcW w:w="974" w:type="dxa"/>
                        <w:noWrap/>
                        <w:hideMark/>
                      </w:tcPr>
                      <w:p w14:paraId="596B3703" w14:textId="70D26C35" w:rsidR="003C5023" w:rsidRPr="00D62560" w:rsidRDefault="003C5023">
                        <w:pPr>
                          <w:pStyle w:val="TableText"/>
                        </w:pPr>
                        <w:r w:rsidRPr="00D62560">
                          <w:t>970</w:t>
                        </w:r>
                      </w:p>
                    </w:tc>
                    <w:tc>
                      <w:tcPr>
                        <w:tcW w:w="993" w:type="dxa"/>
                        <w:noWrap/>
                        <w:hideMark/>
                      </w:tcPr>
                      <w:p w14:paraId="012A532C" w14:textId="77777777" w:rsidR="003C5023" w:rsidRPr="00D62560" w:rsidRDefault="003C5023">
                        <w:pPr>
                          <w:pStyle w:val="TableText"/>
                        </w:pPr>
                        <w:r w:rsidRPr="00D62560">
                          <w:t>1.13</w:t>
                        </w:r>
                      </w:p>
                    </w:tc>
                    <w:tc>
                      <w:tcPr>
                        <w:tcW w:w="1134" w:type="dxa"/>
                        <w:noWrap/>
                        <w:hideMark/>
                      </w:tcPr>
                      <w:p w14:paraId="4FC573BC" w14:textId="77777777" w:rsidR="003C5023" w:rsidRPr="00D62560" w:rsidRDefault="003C5023">
                        <w:pPr>
                          <w:pStyle w:val="TableText"/>
                        </w:pPr>
                        <w:r w:rsidRPr="00D62560">
                          <w:t>69.4</w:t>
                        </w:r>
                      </w:p>
                    </w:tc>
                  </w:tr>
                  <w:tr w:rsidR="003C5023" w:rsidRPr="0014194A" w14:paraId="7A437F67" w14:textId="77777777" w:rsidTr="00321BC5">
                    <w:trPr>
                      <w:trHeight w:val="304"/>
                      <w:tblHeader/>
                    </w:trPr>
                    <w:tc>
                      <w:tcPr>
                        <w:tcW w:w="1489" w:type="dxa"/>
                        <w:vMerge w:val="restart"/>
                        <w:noWrap/>
                        <w:hideMark/>
                      </w:tcPr>
                      <w:p w14:paraId="44139D21" w14:textId="77777777" w:rsidR="003C5023" w:rsidRPr="00A44FC8" w:rsidRDefault="003C5023">
                        <w:pPr>
                          <w:pStyle w:val="TableText"/>
                        </w:pPr>
                        <w:r w:rsidRPr="00A44FC8">
                          <w:t>Gender</w:t>
                        </w:r>
                      </w:p>
                    </w:tc>
                    <w:tc>
                      <w:tcPr>
                        <w:tcW w:w="1908" w:type="dxa"/>
                        <w:noWrap/>
                        <w:hideMark/>
                      </w:tcPr>
                      <w:p w14:paraId="3F7FC791" w14:textId="77777777" w:rsidR="003C5023" w:rsidRPr="00D62560" w:rsidRDefault="003C5023">
                        <w:pPr>
                          <w:pStyle w:val="TableText"/>
                        </w:pPr>
                        <w:r w:rsidRPr="00D62560">
                          <w:t>Female</w:t>
                        </w:r>
                      </w:p>
                    </w:tc>
                    <w:tc>
                      <w:tcPr>
                        <w:tcW w:w="993" w:type="dxa"/>
                        <w:noWrap/>
                        <w:hideMark/>
                      </w:tcPr>
                      <w:p w14:paraId="2417D195" w14:textId="0D7B3D4A" w:rsidR="003C5023" w:rsidRPr="00D62560" w:rsidRDefault="003C5023">
                        <w:pPr>
                          <w:pStyle w:val="TableText"/>
                        </w:pPr>
                        <w:r w:rsidRPr="00D62560">
                          <w:t>27</w:t>
                        </w:r>
                        <w:r w:rsidR="00BA5281">
                          <w:t>,</w:t>
                        </w:r>
                        <w:r w:rsidRPr="00D62560">
                          <w:t>289</w:t>
                        </w:r>
                      </w:p>
                    </w:tc>
                    <w:tc>
                      <w:tcPr>
                        <w:tcW w:w="992" w:type="dxa"/>
                        <w:noWrap/>
                        <w:hideMark/>
                      </w:tcPr>
                      <w:p w14:paraId="40CFF4AE" w14:textId="77777777" w:rsidR="003C5023" w:rsidRPr="00D62560" w:rsidRDefault="003C5023">
                        <w:pPr>
                          <w:pStyle w:val="TableText"/>
                        </w:pPr>
                        <w:r w:rsidRPr="00D62560">
                          <w:t>1.22</w:t>
                        </w:r>
                      </w:p>
                    </w:tc>
                    <w:tc>
                      <w:tcPr>
                        <w:tcW w:w="1010" w:type="dxa"/>
                        <w:noWrap/>
                        <w:hideMark/>
                      </w:tcPr>
                      <w:p w14:paraId="04EA8FDB" w14:textId="77777777" w:rsidR="003C5023" w:rsidRPr="00D62560" w:rsidRDefault="003C5023">
                        <w:pPr>
                          <w:pStyle w:val="TableText"/>
                        </w:pPr>
                        <w:r w:rsidRPr="00D62560">
                          <w:t>74.9</w:t>
                        </w:r>
                      </w:p>
                    </w:tc>
                    <w:tc>
                      <w:tcPr>
                        <w:tcW w:w="974" w:type="dxa"/>
                        <w:noWrap/>
                        <w:hideMark/>
                      </w:tcPr>
                      <w:p w14:paraId="359D7377" w14:textId="44EAA5F4" w:rsidR="003C5023" w:rsidRPr="00D62560" w:rsidRDefault="003C5023">
                        <w:pPr>
                          <w:pStyle w:val="TableText"/>
                        </w:pPr>
                        <w:r w:rsidRPr="00D62560">
                          <w:t>2</w:t>
                        </w:r>
                        <w:r w:rsidR="00BA5281">
                          <w:t>,</w:t>
                        </w:r>
                        <w:r w:rsidRPr="00D62560">
                          <w:t>877</w:t>
                        </w:r>
                      </w:p>
                    </w:tc>
                    <w:tc>
                      <w:tcPr>
                        <w:tcW w:w="993" w:type="dxa"/>
                        <w:noWrap/>
                        <w:hideMark/>
                      </w:tcPr>
                      <w:p w14:paraId="74636AD4" w14:textId="77777777" w:rsidR="003C5023" w:rsidRPr="00D62560" w:rsidRDefault="003C5023">
                        <w:pPr>
                          <w:pStyle w:val="TableText"/>
                        </w:pPr>
                        <w:r w:rsidRPr="00D62560">
                          <w:t>1.16</w:t>
                        </w:r>
                      </w:p>
                    </w:tc>
                    <w:tc>
                      <w:tcPr>
                        <w:tcW w:w="1134" w:type="dxa"/>
                        <w:noWrap/>
                        <w:hideMark/>
                      </w:tcPr>
                      <w:p w14:paraId="2506359D" w14:textId="77777777" w:rsidR="003C5023" w:rsidRPr="00D62560" w:rsidRDefault="003C5023">
                        <w:pPr>
                          <w:pStyle w:val="TableText"/>
                        </w:pPr>
                        <w:r w:rsidRPr="00D62560">
                          <w:t>73.7</w:t>
                        </w:r>
                      </w:p>
                    </w:tc>
                  </w:tr>
                  <w:tr w:rsidR="003C5023" w:rsidRPr="0014194A" w14:paraId="6D0D4E35" w14:textId="77777777" w:rsidTr="00321BC5">
                    <w:trPr>
                      <w:trHeight w:val="304"/>
                      <w:tblHeader/>
                    </w:trPr>
                    <w:tc>
                      <w:tcPr>
                        <w:tcW w:w="1489" w:type="dxa"/>
                        <w:vMerge/>
                        <w:hideMark/>
                      </w:tcPr>
                      <w:p w14:paraId="0A7B9B8A" w14:textId="77777777" w:rsidR="003C5023" w:rsidRPr="00A44FC8" w:rsidRDefault="003C5023">
                        <w:pPr>
                          <w:pStyle w:val="TableText"/>
                        </w:pPr>
                      </w:p>
                    </w:tc>
                    <w:tc>
                      <w:tcPr>
                        <w:tcW w:w="1908" w:type="dxa"/>
                        <w:noWrap/>
                        <w:hideMark/>
                      </w:tcPr>
                      <w:p w14:paraId="430AC032" w14:textId="77777777" w:rsidR="003C5023" w:rsidRPr="00D62560" w:rsidRDefault="003C5023">
                        <w:pPr>
                          <w:pStyle w:val="TableText"/>
                        </w:pPr>
                        <w:r w:rsidRPr="00D62560">
                          <w:t>Male</w:t>
                        </w:r>
                      </w:p>
                    </w:tc>
                    <w:tc>
                      <w:tcPr>
                        <w:tcW w:w="993" w:type="dxa"/>
                        <w:noWrap/>
                        <w:hideMark/>
                      </w:tcPr>
                      <w:p w14:paraId="0E7C0773" w14:textId="1B883FA2" w:rsidR="003C5023" w:rsidRPr="00D62560" w:rsidRDefault="003C5023">
                        <w:pPr>
                          <w:pStyle w:val="TableText"/>
                        </w:pPr>
                        <w:r w:rsidRPr="00D62560">
                          <w:t>17</w:t>
                        </w:r>
                        <w:r w:rsidR="00BA5281">
                          <w:t>,</w:t>
                        </w:r>
                        <w:r w:rsidRPr="00D62560">
                          <w:t>792</w:t>
                        </w:r>
                      </w:p>
                    </w:tc>
                    <w:tc>
                      <w:tcPr>
                        <w:tcW w:w="992" w:type="dxa"/>
                        <w:noWrap/>
                        <w:hideMark/>
                      </w:tcPr>
                      <w:p w14:paraId="47366C9E" w14:textId="77777777" w:rsidR="003C5023" w:rsidRPr="00D62560" w:rsidRDefault="003C5023">
                        <w:pPr>
                          <w:pStyle w:val="TableText"/>
                        </w:pPr>
                        <w:r w:rsidRPr="00D62560">
                          <w:t>1.2</w:t>
                        </w:r>
                      </w:p>
                    </w:tc>
                    <w:tc>
                      <w:tcPr>
                        <w:tcW w:w="1010" w:type="dxa"/>
                        <w:noWrap/>
                        <w:hideMark/>
                      </w:tcPr>
                      <w:p w14:paraId="0DF1B8D3" w14:textId="77777777" w:rsidR="003C5023" w:rsidRPr="00D62560" w:rsidRDefault="003C5023">
                        <w:pPr>
                          <w:pStyle w:val="TableText"/>
                        </w:pPr>
                        <w:r w:rsidRPr="00D62560">
                          <w:t>73.6</w:t>
                        </w:r>
                      </w:p>
                    </w:tc>
                    <w:tc>
                      <w:tcPr>
                        <w:tcW w:w="974" w:type="dxa"/>
                        <w:noWrap/>
                        <w:hideMark/>
                      </w:tcPr>
                      <w:p w14:paraId="0D4C3ED0" w14:textId="7EB741E2" w:rsidR="003C5023" w:rsidRPr="00D62560" w:rsidRDefault="003C5023">
                        <w:pPr>
                          <w:pStyle w:val="TableText"/>
                        </w:pPr>
                        <w:r w:rsidRPr="00D62560">
                          <w:t>1</w:t>
                        </w:r>
                        <w:r w:rsidR="00BA5281">
                          <w:t>,</w:t>
                        </w:r>
                        <w:r w:rsidRPr="00D62560">
                          <w:t>306</w:t>
                        </w:r>
                      </w:p>
                    </w:tc>
                    <w:tc>
                      <w:tcPr>
                        <w:tcW w:w="993" w:type="dxa"/>
                        <w:noWrap/>
                        <w:hideMark/>
                      </w:tcPr>
                      <w:p w14:paraId="411261F7" w14:textId="77777777" w:rsidR="003C5023" w:rsidRPr="00D62560" w:rsidRDefault="003C5023">
                        <w:pPr>
                          <w:pStyle w:val="TableText"/>
                        </w:pPr>
                        <w:r w:rsidRPr="00D62560">
                          <w:t>0.96</w:t>
                        </w:r>
                      </w:p>
                    </w:tc>
                    <w:tc>
                      <w:tcPr>
                        <w:tcW w:w="1134" w:type="dxa"/>
                        <w:noWrap/>
                        <w:hideMark/>
                      </w:tcPr>
                      <w:p w14:paraId="7945279B" w14:textId="77777777" w:rsidR="003C5023" w:rsidRPr="00D62560" w:rsidRDefault="003C5023">
                        <w:pPr>
                          <w:pStyle w:val="TableText"/>
                        </w:pPr>
                        <w:r w:rsidRPr="00D62560">
                          <w:t>64.6</w:t>
                        </w:r>
                      </w:p>
                    </w:tc>
                  </w:tr>
                  <w:tr w:rsidR="003C5023" w:rsidRPr="0014194A" w14:paraId="35205C9A" w14:textId="77777777" w:rsidTr="00321BC5">
                    <w:trPr>
                      <w:trHeight w:val="304"/>
                      <w:tblHeader/>
                    </w:trPr>
                    <w:tc>
                      <w:tcPr>
                        <w:tcW w:w="1489" w:type="dxa"/>
                        <w:vMerge w:val="restart"/>
                        <w:noWrap/>
                        <w:hideMark/>
                      </w:tcPr>
                      <w:p w14:paraId="327E2C7C" w14:textId="77777777" w:rsidR="003C5023" w:rsidRPr="00A44FC8" w:rsidRDefault="003C5023">
                        <w:pPr>
                          <w:pStyle w:val="TableText"/>
                        </w:pPr>
                        <w:r w:rsidRPr="00A44FC8">
                          <w:t>Age</w:t>
                        </w:r>
                      </w:p>
                    </w:tc>
                    <w:tc>
                      <w:tcPr>
                        <w:tcW w:w="1908" w:type="dxa"/>
                        <w:noWrap/>
                        <w:hideMark/>
                      </w:tcPr>
                      <w:p w14:paraId="2D7D53CF" w14:textId="77777777" w:rsidR="003C5023" w:rsidRPr="00D62560" w:rsidRDefault="003C5023">
                        <w:pPr>
                          <w:pStyle w:val="TableText"/>
                        </w:pPr>
                        <w:r w:rsidRPr="00D62560">
                          <w:t>Adults</w:t>
                        </w:r>
                      </w:p>
                    </w:tc>
                    <w:tc>
                      <w:tcPr>
                        <w:tcW w:w="993" w:type="dxa"/>
                        <w:noWrap/>
                        <w:hideMark/>
                      </w:tcPr>
                      <w:p w14:paraId="3C04FFF8" w14:textId="41A04EB8" w:rsidR="003C5023" w:rsidRPr="00D62560" w:rsidRDefault="003C5023">
                        <w:pPr>
                          <w:pStyle w:val="TableText"/>
                        </w:pPr>
                        <w:r w:rsidRPr="00D62560">
                          <w:t>66</w:t>
                        </w:r>
                        <w:r w:rsidR="00BA5281">
                          <w:t>,</w:t>
                        </w:r>
                        <w:r w:rsidRPr="00D62560">
                          <w:t>930</w:t>
                        </w:r>
                      </w:p>
                    </w:tc>
                    <w:tc>
                      <w:tcPr>
                        <w:tcW w:w="992" w:type="dxa"/>
                        <w:noWrap/>
                        <w:hideMark/>
                      </w:tcPr>
                      <w:p w14:paraId="26DCA9C8" w14:textId="77777777" w:rsidR="003C5023" w:rsidRPr="00D62560" w:rsidRDefault="003C5023">
                        <w:pPr>
                          <w:pStyle w:val="TableText"/>
                        </w:pPr>
                        <w:r w:rsidRPr="00D62560">
                          <w:t>1.12</w:t>
                        </w:r>
                      </w:p>
                    </w:tc>
                    <w:tc>
                      <w:tcPr>
                        <w:tcW w:w="1010" w:type="dxa"/>
                        <w:noWrap/>
                        <w:hideMark/>
                      </w:tcPr>
                      <w:p w14:paraId="7A6A2B94" w14:textId="77777777" w:rsidR="003C5023" w:rsidRPr="00D62560" w:rsidRDefault="003C5023">
                        <w:pPr>
                          <w:pStyle w:val="TableText"/>
                        </w:pPr>
                        <w:r w:rsidRPr="00D62560">
                          <w:t>72.7</w:t>
                        </w:r>
                      </w:p>
                    </w:tc>
                    <w:tc>
                      <w:tcPr>
                        <w:tcW w:w="974" w:type="dxa"/>
                        <w:noWrap/>
                        <w:hideMark/>
                      </w:tcPr>
                      <w:p w14:paraId="5616C95F" w14:textId="7BEFFBED" w:rsidR="003C5023" w:rsidRPr="00D62560" w:rsidRDefault="003C5023">
                        <w:pPr>
                          <w:pStyle w:val="TableText"/>
                        </w:pPr>
                        <w:r w:rsidRPr="00D62560">
                          <w:t>6</w:t>
                        </w:r>
                        <w:r w:rsidR="00BA5281">
                          <w:t>,</w:t>
                        </w:r>
                        <w:r w:rsidRPr="00D62560">
                          <w:t>168</w:t>
                        </w:r>
                      </w:p>
                    </w:tc>
                    <w:tc>
                      <w:tcPr>
                        <w:tcW w:w="993" w:type="dxa"/>
                        <w:noWrap/>
                        <w:hideMark/>
                      </w:tcPr>
                      <w:p w14:paraId="43381E0C" w14:textId="77777777" w:rsidR="003C5023" w:rsidRPr="00D62560" w:rsidRDefault="003C5023">
                        <w:pPr>
                          <w:pStyle w:val="TableText"/>
                        </w:pPr>
                        <w:r w:rsidRPr="00D62560">
                          <w:t>1.1</w:t>
                        </w:r>
                      </w:p>
                    </w:tc>
                    <w:tc>
                      <w:tcPr>
                        <w:tcW w:w="1134" w:type="dxa"/>
                        <w:noWrap/>
                        <w:hideMark/>
                      </w:tcPr>
                      <w:p w14:paraId="5AE598B6" w14:textId="77777777" w:rsidR="003C5023" w:rsidRPr="00D62560" w:rsidRDefault="003C5023">
                        <w:pPr>
                          <w:pStyle w:val="TableText"/>
                        </w:pPr>
                        <w:r w:rsidRPr="00D62560">
                          <w:t>71</w:t>
                        </w:r>
                      </w:p>
                    </w:tc>
                  </w:tr>
                  <w:tr w:rsidR="003C5023" w:rsidRPr="0014194A" w14:paraId="55461C26" w14:textId="77777777" w:rsidTr="00321BC5">
                    <w:trPr>
                      <w:trHeight w:val="304"/>
                      <w:tblHeader/>
                    </w:trPr>
                    <w:tc>
                      <w:tcPr>
                        <w:tcW w:w="1489" w:type="dxa"/>
                        <w:vMerge/>
                        <w:hideMark/>
                      </w:tcPr>
                      <w:p w14:paraId="358D5BA9" w14:textId="77777777" w:rsidR="003C5023" w:rsidRPr="00D62560" w:rsidRDefault="003C5023">
                        <w:pPr>
                          <w:pStyle w:val="TableText"/>
                          <w:rPr>
                            <w:b/>
                            <w:bCs/>
                          </w:rPr>
                        </w:pPr>
                      </w:p>
                    </w:tc>
                    <w:tc>
                      <w:tcPr>
                        <w:tcW w:w="1908" w:type="dxa"/>
                        <w:noWrap/>
                        <w:hideMark/>
                      </w:tcPr>
                      <w:p w14:paraId="0B022276" w14:textId="77777777" w:rsidR="003C5023" w:rsidRPr="00D62560" w:rsidRDefault="003C5023">
                        <w:pPr>
                          <w:pStyle w:val="TableText"/>
                        </w:pPr>
                        <w:r w:rsidRPr="00D62560">
                          <w:t>Under 18 years</w:t>
                        </w:r>
                      </w:p>
                    </w:tc>
                    <w:tc>
                      <w:tcPr>
                        <w:tcW w:w="993" w:type="dxa"/>
                        <w:noWrap/>
                        <w:hideMark/>
                      </w:tcPr>
                      <w:p w14:paraId="6BF0C7F4" w14:textId="3E9249D5" w:rsidR="003C5023" w:rsidRPr="00D62560" w:rsidRDefault="003C5023">
                        <w:pPr>
                          <w:pStyle w:val="TableText"/>
                        </w:pPr>
                        <w:r w:rsidRPr="00D62560">
                          <w:t>6</w:t>
                        </w:r>
                        <w:r w:rsidR="00BA5281">
                          <w:t>,</w:t>
                        </w:r>
                        <w:r w:rsidRPr="00D62560">
                          <w:t>442</w:t>
                        </w:r>
                      </w:p>
                    </w:tc>
                    <w:tc>
                      <w:tcPr>
                        <w:tcW w:w="992" w:type="dxa"/>
                        <w:noWrap/>
                        <w:hideMark/>
                      </w:tcPr>
                      <w:p w14:paraId="0F33D999" w14:textId="77777777" w:rsidR="003C5023" w:rsidRPr="00D62560" w:rsidRDefault="003C5023">
                        <w:pPr>
                          <w:pStyle w:val="TableText"/>
                        </w:pPr>
                        <w:r w:rsidRPr="00D62560">
                          <w:t>1.26</w:t>
                        </w:r>
                      </w:p>
                    </w:tc>
                    <w:tc>
                      <w:tcPr>
                        <w:tcW w:w="1010" w:type="dxa"/>
                        <w:noWrap/>
                        <w:hideMark/>
                      </w:tcPr>
                      <w:p w14:paraId="532F8318" w14:textId="77777777" w:rsidR="003C5023" w:rsidRPr="00D62560" w:rsidRDefault="003C5023">
                        <w:pPr>
                          <w:pStyle w:val="TableText"/>
                        </w:pPr>
                        <w:r w:rsidRPr="00D62560">
                          <w:t>74.1</w:t>
                        </w:r>
                      </w:p>
                    </w:tc>
                    <w:tc>
                      <w:tcPr>
                        <w:tcW w:w="974" w:type="dxa"/>
                        <w:noWrap/>
                        <w:hideMark/>
                      </w:tcPr>
                      <w:p w14:paraId="60C5189E" w14:textId="77777777" w:rsidR="003C5023" w:rsidRPr="00D62560" w:rsidRDefault="003C5023">
                        <w:pPr>
                          <w:pStyle w:val="TableText"/>
                        </w:pPr>
                        <w:r w:rsidRPr="00D62560">
                          <w:t>946</w:t>
                        </w:r>
                      </w:p>
                    </w:tc>
                    <w:tc>
                      <w:tcPr>
                        <w:tcW w:w="993" w:type="dxa"/>
                        <w:noWrap/>
                        <w:hideMark/>
                      </w:tcPr>
                      <w:p w14:paraId="044E4AA1" w14:textId="77777777" w:rsidR="003C5023" w:rsidRPr="00D62560" w:rsidRDefault="003C5023">
                        <w:pPr>
                          <w:pStyle w:val="TableText"/>
                        </w:pPr>
                        <w:r w:rsidRPr="00D62560">
                          <w:t>0.83</w:t>
                        </w:r>
                      </w:p>
                    </w:tc>
                    <w:tc>
                      <w:tcPr>
                        <w:tcW w:w="1134" w:type="dxa"/>
                        <w:noWrap/>
                        <w:hideMark/>
                      </w:tcPr>
                      <w:p w14:paraId="4A91C52D" w14:textId="77777777" w:rsidR="003C5023" w:rsidRPr="00D62560" w:rsidRDefault="003C5023">
                        <w:pPr>
                          <w:pStyle w:val="TableText"/>
                        </w:pPr>
                        <w:r w:rsidRPr="00D62560">
                          <w:t>61.5</w:t>
                        </w:r>
                      </w:p>
                    </w:tc>
                  </w:tr>
                  <w:tr w:rsidR="003C5023" w:rsidRPr="0014194A" w14:paraId="6E94CD8C" w14:textId="77777777" w:rsidTr="00321BC5">
                    <w:trPr>
                      <w:trHeight w:val="304"/>
                      <w:tblHeader/>
                    </w:trPr>
                    <w:tc>
                      <w:tcPr>
                        <w:tcW w:w="3397" w:type="dxa"/>
                        <w:gridSpan w:val="2"/>
                        <w:noWrap/>
                        <w:hideMark/>
                      </w:tcPr>
                      <w:p w14:paraId="4D475A96" w14:textId="65B2D043" w:rsidR="003C5023" w:rsidRPr="00D62560" w:rsidRDefault="002A3D6D">
                        <w:pPr>
                          <w:pStyle w:val="TableText"/>
                        </w:pPr>
                        <w:r w:rsidRPr="00D62560">
                          <w:rPr>
                            <w:b/>
                            <w:bCs/>
                          </w:rPr>
                          <w:t xml:space="preserve">All service users </w:t>
                        </w:r>
                      </w:p>
                    </w:tc>
                    <w:tc>
                      <w:tcPr>
                        <w:tcW w:w="993" w:type="dxa"/>
                        <w:noWrap/>
                        <w:hideMark/>
                      </w:tcPr>
                      <w:p w14:paraId="456B0655" w14:textId="151315D5" w:rsidR="003C5023" w:rsidRPr="00D62560" w:rsidRDefault="003C5023">
                        <w:pPr>
                          <w:pStyle w:val="TableText"/>
                          <w:rPr>
                            <w:b/>
                            <w:bCs/>
                          </w:rPr>
                        </w:pPr>
                        <w:r w:rsidRPr="00D62560">
                          <w:rPr>
                            <w:b/>
                            <w:bCs/>
                          </w:rPr>
                          <w:t>73</w:t>
                        </w:r>
                        <w:r w:rsidR="00BA5281">
                          <w:rPr>
                            <w:b/>
                            <w:bCs/>
                          </w:rPr>
                          <w:t>,</w:t>
                        </w:r>
                        <w:r w:rsidRPr="00D62560">
                          <w:rPr>
                            <w:b/>
                            <w:bCs/>
                          </w:rPr>
                          <w:t>483</w:t>
                        </w:r>
                      </w:p>
                    </w:tc>
                    <w:tc>
                      <w:tcPr>
                        <w:tcW w:w="992" w:type="dxa"/>
                        <w:noWrap/>
                        <w:hideMark/>
                      </w:tcPr>
                      <w:p w14:paraId="35DEBC8D" w14:textId="77777777" w:rsidR="003C5023" w:rsidRPr="00D62560" w:rsidRDefault="003C5023">
                        <w:pPr>
                          <w:pStyle w:val="TableText"/>
                          <w:rPr>
                            <w:b/>
                            <w:bCs/>
                          </w:rPr>
                        </w:pPr>
                        <w:r w:rsidRPr="00D62560">
                          <w:rPr>
                            <w:b/>
                            <w:bCs/>
                          </w:rPr>
                          <w:t>1.13</w:t>
                        </w:r>
                      </w:p>
                    </w:tc>
                    <w:tc>
                      <w:tcPr>
                        <w:tcW w:w="1010" w:type="dxa"/>
                        <w:noWrap/>
                        <w:hideMark/>
                      </w:tcPr>
                      <w:p w14:paraId="3CF4469D" w14:textId="77777777" w:rsidR="003C5023" w:rsidRPr="00D62560" w:rsidRDefault="003C5023">
                        <w:pPr>
                          <w:pStyle w:val="TableText"/>
                          <w:rPr>
                            <w:b/>
                            <w:bCs/>
                          </w:rPr>
                        </w:pPr>
                        <w:r w:rsidRPr="00D62560">
                          <w:rPr>
                            <w:b/>
                            <w:bCs/>
                          </w:rPr>
                          <w:t>72.8</w:t>
                        </w:r>
                      </w:p>
                    </w:tc>
                    <w:tc>
                      <w:tcPr>
                        <w:tcW w:w="974" w:type="dxa"/>
                        <w:noWrap/>
                        <w:hideMark/>
                      </w:tcPr>
                      <w:p w14:paraId="0245C344" w14:textId="6A1C9DB9" w:rsidR="003C5023" w:rsidRPr="00D62560" w:rsidRDefault="003C5023">
                        <w:pPr>
                          <w:pStyle w:val="TableText"/>
                          <w:rPr>
                            <w:b/>
                            <w:bCs/>
                          </w:rPr>
                        </w:pPr>
                        <w:r w:rsidRPr="00D62560">
                          <w:rPr>
                            <w:b/>
                            <w:bCs/>
                          </w:rPr>
                          <w:t>7</w:t>
                        </w:r>
                        <w:r w:rsidR="00BA5281">
                          <w:rPr>
                            <w:b/>
                            <w:bCs/>
                          </w:rPr>
                          <w:t>,</w:t>
                        </w:r>
                        <w:r w:rsidRPr="00D62560">
                          <w:rPr>
                            <w:b/>
                            <w:bCs/>
                          </w:rPr>
                          <w:t>131</w:t>
                        </w:r>
                      </w:p>
                    </w:tc>
                    <w:tc>
                      <w:tcPr>
                        <w:tcW w:w="993" w:type="dxa"/>
                        <w:noWrap/>
                        <w:hideMark/>
                      </w:tcPr>
                      <w:p w14:paraId="4960AD18" w14:textId="77777777" w:rsidR="003C5023" w:rsidRPr="00D62560" w:rsidRDefault="003C5023">
                        <w:pPr>
                          <w:pStyle w:val="TableText"/>
                          <w:rPr>
                            <w:b/>
                            <w:bCs/>
                          </w:rPr>
                        </w:pPr>
                        <w:r w:rsidRPr="00D62560">
                          <w:rPr>
                            <w:b/>
                            <w:bCs/>
                          </w:rPr>
                          <w:t>1.06</w:t>
                        </w:r>
                      </w:p>
                    </w:tc>
                    <w:tc>
                      <w:tcPr>
                        <w:tcW w:w="1134" w:type="dxa"/>
                        <w:noWrap/>
                        <w:hideMark/>
                      </w:tcPr>
                      <w:p w14:paraId="1CDD3DB3" w14:textId="77777777" w:rsidR="003C5023" w:rsidRPr="00D62560" w:rsidRDefault="003C5023">
                        <w:pPr>
                          <w:pStyle w:val="TableText"/>
                          <w:rPr>
                            <w:b/>
                            <w:bCs/>
                          </w:rPr>
                        </w:pPr>
                        <w:r w:rsidRPr="00D62560">
                          <w:rPr>
                            <w:b/>
                            <w:bCs/>
                          </w:rPr>
                          <w:t>69.7</w:t>
                        </w:r>
                      </w:p>
                    </w:tc>
                  </w:tr>
                </w:tbl>
                <w:p w14:paraId="0A346B1E" w14:textId="1CB7351D" w:rsidR="007F4C66" w:rsidRDefault="003C5023" w:rsidP="00790B07">
                  <w:pPr>
                    <w:pStyle w:val="TableText"/>
                    <w:numPr>
                      <w:ilvl w:val="0"/>
                      <w:numId w:val="0"/>
                    </w:numPr>
                  </w:pPr>
                  <w:r w:rsidRPr="008E1B83">
                    <w:rPr>
                      <w:i/>
                      <w:sz w:val="20"/>
                    </w:rPr>
                    <w:t>Source: DEX-SCORE data</w:t>
                  </w:r>
                </w:p>
                <w:p w14:paraId="5348529B" w14:textId="3CC13745" w:rsidR="003C5023" w:rsidRDefault="007F4C66" w:rsidP="00066FF4">
                  <w:pPr>
                    <w:pStyle w:val="Text"/>
                  </w:pPr>
                  <w:r w:rsidRPr="0031601C">
                    <w:rPr>
                      <w:b/>
                      <w:lang w:val="en-US"/>
                    </w:rPr>
                    <w:t xml:space="preserve">Section </w:t>
                  </w:r>
                  <w:r w:rsidRPr="00DE647E">
                    <w:rPr>
                      <w:b/>
                      <w:bCs/>
                    </w:rPr>
                    <w:fldChar w:fldCharType="begin" w:fldLock="1"/>
                  </w:r>
                  <w:r w:rsidRPr="00DE647E">
                    <w:rPr>
                      <w:b/>
                      <w:bCs/>
                    </w:rPr>
                    <w:instrText xml:space="preserve"> REF _Ref208397396 \r \h </w:instrText>
                  </w:r>
                  <w:r>
                    <w:rPr>
                      <w:b/>
                      <w:szCs w:val="22"/>
                    </w:rPr>
                    <w:instrText xml:space="preserve"> \* MERGEFORMAT </w:instrText>
                  </w:r>
                  <w:r w:rsidRPr="00DE647E">
                    <w:rPr>
                      <w:b/>
                      <w:bCs/>
                    </w:rPr>
                  </w:r>
                  <w:r w:rsidRPr="00DE647E">
                    <w:rPr>
                      <w:b/>
                      <w:bCs/>
                    </w:rPr>
                    <w:fldChar w:fldCharType="separate"/>
                  </w:r>
                  <w:r w:rsidR="008F22E5">
                    <w:rPr>
                      <w:b/>
                      <w:bCs/>
                    </w:rPr>
                    <w:t>5.2.2</w:t>
                  </w:r>
                  <w:r w:rsidRPr="00DE647E">
                    <w:rPr>
                      <w:b/>
                      <w:bCs/>
                    </w:rPr>
                    <w:fldChar w:fldCharType="end"/>
                  </w:r>
                  <w:r w:rsidRPr="006712EE">
                    <w:rPr>
                      <w:bCs/>
                      <w:szCs w:val="22"/>
                    </w:rPr>
                    <w:t xml:space="preserve"> </w:t>
                  </w:r>
                  <w:r w:rsidRPr="006712EE">
                    <w:rPr>
                      <w:szCs w:val="22"/>
                    </w:rPr>
                    <w:t xml:space="preserve">and </w:t>
                  </w:r>
                  <w:r w:rsidRPr="00DE647E">
                    <w:rPr>
                      <w:b/>
                    </w:rPr>
                    <w:t xml:space="preserve">Section </w:t>
                  </w:r>
                  <w:r w:rsidRPr="00DE647E">
                    <w:rPr>
                      <w:b/>
                      <w:bCs/>
                    </w:rPr>
                    <w:fldChar w:fldCharType="begin" w:fldLock="1"/>
                  </w:r>
                  <w:r w:rsidRPr="00DE647E">
                    <w:rPr>
                      <w:b/>
                      <w:bCs/>
                    </w:rPr>
                    <w:instrText xml:space="preserve"> REF _Ref205305073 \r \h  \* MERGEFORMAT </w:instrText>
                  </w:r>
                  <w:r w:rsidRPr="00DE647E">
                    <w:rPr>
                      <w:b/>
                      <w:bCs/>
                    </w:rPr>
                  </w:r>
                  <w:r w:rsidRPr="00DE647E">
                    <w:rPr>
                      <w:b/>
                      <w:bCs/>
                    </w:rPr>
                    <w:fldChar w:fldCharType="separate"/>
                  </w:r>
                  <w:r w:rsidR="008F22E5">
                    <w:rPr>
                      <w:b/>
                      <w:bCs/>
                    </w:rPr>
                    <w:t>6.4</w:t>
                  </w:r>
                  <w:r w:rsidRPr="00DE647E">
                    <w:rPr>
                      <w:b/>
                      <w:bCs/>
                    </w:rPr>
                    <w:fldChar w:fldCharType="end"/>
                  </w:r>
                  <w:r w:rsidRPr="006712EE">
                    <w:rPr>
                      <w:szCs w:val="22"/>
                    </w:rPr>
                    <w:t xml:space="preserve"> provide a more detailed breakdown of outcome for cohort.</w:t>
                  </w:r>
                </w:p>
                <w:p w14:paraId="4B0C4F5F" w14:textId="77777777" w:rsidR="00060D66" w:rsidRPr="00060D66" w:rsidRDefault="00060D66" w:rsidP="00060D66">
                  <w:pPr>
                    <w:pStyle w:val="ListParagraph"/>
                    <w:keepNext/>
                    <w:numPr>
                      <w:ilvl w:val="0"/>
                      <w:numId w:val="20"/>
                    </w:numPr>
                    <w:spacing w:before="360" w:after="120" w:line="274" w:lineRule="auto"/>
                    <w:contextualSpacing w:val="0"/>
                    <w:outlineLvl w:val="2"/>
                    <w:rPr>
                      <w:rFonts w:ascii="Arial" w:hAnsi="Arial"/>
                      <w:b/>
                      <w:vanish/>
                      <w:color w:val="007E00" w:themeColor="accent3"/>
                      <w:kern w:val="28"/>
                      <w:sz w:val="36"/>
                      <w:szCs w:val="32"/>
                      <w:lang w:val="en-US"/>
                    </w:rPr>
                  </w:pPr>
                  <w:bookmarkStart w:id="382" w:name="_Toc204606636"/>
                  <w:bookmarkStart w:id="383" w:name="_Toc204606637"/>
                  <w:bookmarkStart w:id="384" w:name="_Toc204606638"/>
                  <w:bookmarkStart w:id="385" w:name="_Ref208397384"/>
                  <w:bookmarkEnd w:id="382"/>
                  <w:bookmarkEnd w:id="383"/>
                  <w:bookmarkEnd w:id="384"/>
                </w:p>
                <w:p w14:paraId="70572F27" w14:textId="77777777" w:rsidR="00060D66" w:rsidRPr="00060D66" w:rsidRDefault="00060D66" w:rsidP="00060D66">
                  <w:pPr>
                    <w:pStyle w:val="ListParagraph"/>
                    <w:keepNext/>
                    <w:numPr>
                      <w:ilvl w:val="1"/>
                      <w:numId w:val="20"/>
                    </w:numPr>
                    <w:spacing w:before="360" w:after="120" w:line="274" w:lineRule="auto"/>
                    <w:contextualSpacing w:val="0"/>
                    <w:outlineLvl w:val="2"/>
                    <w:rPr>
                      <w:rFonts w:ascii="Arial" w:hAnsi="Arial"/>
                      <w:b/>
                      <w:vanish/>
                      <w:color w:val="007E00" w:themeColor="accent3"/>
                      <w:kern w:val="28"/>
                      <w:sz w:val="36"/>
                      <w:szCs w:val="32"/>
                      <w:lang w:val="en-US"/>
                    </w:rPr>
                  </w:pPr>
                </w:p>
                <w:p w14:paraId="5FA63335" w14:textId="77777777" w:rsidR="00060D66" w:rsidRPr="00060D66" w:rsidRDefault="00060D66" w:rsidP="00060D66">
                  <w:pPr>
                    <w:pStyle w:val="ListParagraph"/>
                    <w:keepNext/>
                    <w:numPr>
                      <w:ilvl w:val="1"/>
                      <w:numId w:val="20"/>
                    </w:numPr>
                    <w:spacing w:before="360" w:after="120" w:line="274" w:lineRule="auto"/>
                    <w:contextualSpacing w:val="0"/>
                    <w:outlineLvl w:val="2"/>
                    <w:rPr>
                      <w:rFonts w:ascii="Arial" w:hAnsi="Arial"/>
                      <w:b/>
                      <w:vanish/>
                      <w:color w:val="007E00" w:themeColor="accent3"/>
                      <w:kern w:val="28"/>
                      <w:sz w:val="36"/>
                      <w:szCs w:val="32"/>
                      <w:lang w:val="en-US"/>
                    </w:rPr>
                  </w:pPr>
                </w:p>
                <w:p w14:paraId="53F74AFF" w14:textId="5BB8E7EC" w:rsidR="0086573B" w:rsidRPr="00253268" w:rsidRDefault="004F0CA1" w:rsidP="00060D66">
                  <w:pPr>
                    <w:pStyle w:val="Heading3"/>
                  </w:pPr>
                  <w:bookmarkStart w:id="386" w:name="_Ref208926271"/>
                  <w:r w:rsidRPr="00253268">
                    <w:t xml:space="preserve">Achievement of outcomes </w:t>
                  </w:r>
                  <w:r w:rsidR="00513552" w:rsidRPr="00253268">
                    <w:t>for</w:t>
                  </w:r>
                  <w:r w:rsidRPr="00253268">
                    <w:t xml:space="preserve"> </w:t>
                  </w:r>
                  <w:r w:rsidR="0022349C" w:rsidRPr="00253268">
                    <w:t>FaRS</w:t>
                  </w:r>
                  <w:bookmarkEnd w:id="385"/>
                  <w:bookmarkEnd w:id="386"/>
                </w:p>
                <w:p w14:paraId="28CE33BC" w14:textId="78E9E316" w:rsidR="00F40A04" w:rsidRDefault="00AD1C53" w:rsidP="000C2755">
                  <w:pPr>
                    <w:pStyle w:val="Text"/>
                    <w:rPr>
                      <w:lang w:val="en-US"/>
                    </w:rPr>
                  </w:pPr>
                  <w:r w:rsidRPr="5AC90C80">
                    <w:rPr>
                      <w:lang w:val="en-US"/>
                    </w:rPr>
                    <w:t xml:space="preserve">Overall, </w:t>
                  </w:r>
                  <w:r w:rsidR="00783DD8" w:rsidRPr="5AC90C80">
                    <w:rPr>
                      <w:lang w:val="en-US"/>
                    </w:rPr>
                    <w:t xml:space="preserve">FaRS </w:t>
                  </w:r>
                  <w:r w:rsidR="00F308B6" w:rsidRPr="5AC90C80">
                    <w:rPr>
                      <w:lang w:val="en-US"/>
                    </w:rPr>
                    <w:t xml:space="preserve">service users are benefiting from their participation in the program and are </w:t>
                  </w:r>
                  <w:r w:rsidR="00F308B6">
                    <w:t xml:space="preserve">highly satisfied with the services they receive. </w:t>
                  </w:r>
                  <w:r w:rsidR="00CC7CEE">
                    <w:t>O</w:t>
                  </w:r>
                  <w:r w:rsidR="00BB2088">
                    <w:t xml:space="preserve">n a 5-point outcome SCORE scale, average </w:t>
                  </w:r>
                  <w:r w:rsidR="009424BF">
                    <w:t>C</w:t>
                  </w:r>
                  <w:r w:rsidR="00BB2088">
                    <w:t xml:space="preserve">ircumstance </w:t>
                  </w:r>
                  <w:r w:rsidR="009424BF">
                    <w:t>SCORE</w:t>
                  </w:r>
                  <w:r w:rsidR="00BB2088">
                    <w:t xml:space="preserve">s </w:t>
                  </w:r>
                  <w:r w:rsidR="00F7613A">
                    <w:t>including family functioning; mental health, wellbeing and self-care; and personal and family safety</w:t>
                  </w:r>
                  <w:r w:rsidR="00BB2088">
                    <w:t xml:space="preserve"> increased by </w:t>
                  </w:r>
                  <w:r w:rsidR="00627DDC">
                    <w:t>approximately</w:t>
                  </w:r>
                  <w:r w:rsidR="00BB2088">
                    <w:t xml:space="preserve"> +0.75 points from earliest to latest, on average, for </w:t>
                  </w:r>
                  <w:r w:rsidR="00E614D3">
                    <w:t xml:space="preserve">service </w:t>
                  </w:r>
                  <w:r w:rsidR="00B7507C">
                    <w:t>users</w:t>
                  </w:r>
                  <w:r w:rsidR="00BB2088">
                    <w:t xml:space="preserve"> who provided SCORE data. </w:t>
                  </w:r>
                  <w:r w:rsidR="00627DDC">
                    <w:t xml:space="preserve">FaRS also performed well in helping </w:t>
                  </w:r>
                  <w:r w:rsidR="00627DDC">
                    <w:lastRenderedPageBreak/>
                    <w:t xml:space="preserve">service users progress toward their self-identified goals. Goal attainment </w:t>
                  </w:r>
                  <w:r w:rsidR="009424BF">
                    <w:t>SCORE</w:t>
                  </w:r>
                  <w:r w:rsidR="00627DDC">
                    <w:t>s increased by around +0.95 points on average</w:t>
                  </w:r>
                  <w:r w:rsidR="00CC7CEE">
                    <w:t xml:space="preserve"> (see</w:t>
                  </w:r>
                  <w:r w:rsidR="00CC7CEE" w:rsidRPr="5AC90C80">
                    <w:rPr>
                      <w:b/>
                      <w:bCs/>
                    </w:rPr>
                    <w:t xml:space="preserve"> </w:t>
                  </w:r>
                  <w:r>
                    <w:fldChar w:fldCharType="begin" w:fldLock="1"/>
                  </w:r>
                  <w:r>
                    <w:instrText xml:space="preserve"> REF _Ref208476304 \h  \* MERGEFORMAT </w:instrText>
                  </w:r>
                  <w:r>
                    <w:fldChar w:fldCharType="separate"/>
                  </w:r>
                  <w:r w:rsidR="008F22E5" w:rsidRPr="008F22E5">
                    <w:rPr>
                      <w:rStyle w:val="TableFigure-HeaderChar"/>
                    </w:rPr>
                    <w:t>Figure 15</w:t>
                  </w:r>
                  <w:r>
                    <w:fldChar w:fldCharType="end"/>
                  </w:r>
                  <w:r w:rsidR="002C7BDB">
                    <w:t xml:space="preserve">). </w:t>
                  </w:r>
                </w:p>
                <w:p w14:paraId="62F01705" w14:textId="257FEF68" w:rsidR="00FD1CB8" w:rsidRDefault="00F7613A" w:rsidP="00DC639B">
                  <w:pPr>
                    <w:pStyle w:val="Caption"/>
                  </w:pPr>
                  <w:bookmarkStart w:id="387" w:name="_Ref208476304"/>
                  <w:r w:rsidRPr="596BDFB0">
                    <w:rPr>
                      <w:rStyle w:val="TableFigure-HeaderChar"/>
                      <w:b/>
                      <w:bCs/>
                    </w:rPr>
                    <w:t xml:space="preserve">Figure </w:t>
                  </w:r>
                  <w:r w:rsidR="00C64C3D">
                    <w:rPr>
                      <w:rStyle w:val="TableFigure-HeaderChar"/>
                      <w:b/>
                      <w:bCs/>
                    </w:rPr>
                    <w:fldChar w:fldCharType="begin"/>
                  </w:r>
                  <w:r w:rsidR="00C64C3D">
                    <w:rPr>
                      <w:rStyle w:val="TableFigure-HeaderChar"/>
                      <w:b/>
                      <w:bCs/>
                    </w:rPr>
                    <w:instrText xml:space="preserve"> SEQ Figure \* ARABIC </w:instrText>
                  </w:r>
                  <w:r w:rsidR="00C64C3D">
                    <w:rPr>
                      <w:rStyle w:val="TableFigure-HeaderChar"/>
                      <w:b/>
                      <w:bCs/>
                    </w:rPr>
                    <w:fldChar w:fldCharType="separate"/>
                  </w:r>
                  <w:r w:rsidR="008D2566">
                    <w:rPr>
                      <w:rStyle w:val="TableFigure-HeaderChar"/>
                      <w:b/>
                      <w:bCs/>
                      <w:noProof/>
                    </w:rPr>
                    <w:t>15</w:t>
                  </w:r>
                  <w:r w:rsidR="00C64C3D">
                    <w:rPr>
                      <w:rStyle w:val="TableFigure-HeaderChar"/>
                      <w:b/>
                      <w:bCs/>
                    </w:rPr>
                    <w:fldChar w:fldCharType="end"/>
                  </w:r>
                  <w:bookmarkEnd w:id="387"/>
                  <w:r w:rsidRPr="596BDFB0">
                    <w:rPr>
                      <w:rStyle w:val="TableFigure-HeaderChar"/>
                      <w:b/>
                      <w:bCs/>
                    </w:rPr>
                    <w:t xml:space="preserve">: Earliest to latest </w:t>
                  </w:r>
                  <w:r w:rsidR="00580297" w:rsidRPr="596BDFB0">
                    <w:rPr>
                      <w:rStyle w:val="TableFigure-HeaderChar"/>
                      <w:b/>
                      <w:bCs/>
                    </w:rPr>
                    <w:t>mean SCORE change for specific Circumstance and Goal outcomes by cohort, FaRS</w:t>
                  </w:r>
                  <w:r w:rsidR="003D448F">
                    <w:rPr>
                      <w:rStyle w:val="TableFigure-HeaderChar"/>
                      <w:b/>
                      <w:bCs/>
                    </w:rPr>
                    <w:t xml:space="preserve">, </w:t>
                  </w:r>
                  <w:r w:rsidR="003D448F" w:rsidRPr="00DE647E">
                    <w:rPr>
                      <w:rStyle w:val="Text-Bold"/>
                      <w:b/>
                    </w:rPr>
                    <w:t>July 2021 to June 2024</w:t>
                  </w:r>
                  <w:r>
                    <w:rPr>
                      <w:noProof/>
                    </w:rPr>
                    <w:drawing>
                      <wp:inline distT="0" distB="0" distL="0" distR="0" wp14:anchorId="10AB94B1" wp14:editId="00CF27E9">
                        <wp:extent cx="5868670" cy="4514850"/>
                        <wp:effectExtent l="0" t="0" r="17780" b="0"/>
                        <wp:docPr id="1598719990" name="Chart 1">
                          <a:extLst xmlns:a="http://schemas.openxmlformats.org/drawingml/2006/main">
                            <a:ext uri="{FF2B5EF4-FFF2-40B4-BE49-F238E27FC236}">
                              <a16:creationId xmlns:a16="http://schemas.microsoft.com/office/drawing/2014/main" id="{62FE6604-E25E-4E3B-AB53-0A0A0A3726F3}"/>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47324DF7" w14:textId="3C1201F7" w:rsidR="005A7531" w:rsidRPr="00DE647E" w:rsidRDefault="005A7531" w:rsidP="000C2755">
                  <w:pPr>
                    <w:pStyle w:val="Text"/>
                    <w:rPr>
                      <w:i/>
                      <w:iCs/>
                      <w:sz w:val="20"/>
                      <w:szCs w:val="18"/>
                    </w:rPr>
                  </w:pPr>
                  <w:r w:rsidRPr="00DE647E">
                    <w:rPr>
                      <w:i/>
                      <w:iCs/>
                      <w:sz w:val="20"/>
                      <w:szCs w:val="18"/>
                    </w:rPr>
                    <w:t>Source: DEX-SCORE data</w:t>
                  </w:r>
                </w:p>
                <w:p w14:paraId="04CE2405" w14:textId="7CAE67A8" w:rsidR="001B65B5" w:rsidRDefault="00CC7CEE" w:rsidP="00863CB6">
                  <w:pPr>
                    <w:pStyle w:val="Text"/>
                    <w:rPr>
                      <w:lang w:val="en-US"/>
                    </w:rPr>
                  </w:pPr>
                  <w:r w:rsidRPr="000C2755">
                    <w:rPr>
                      <w:lang w:val="en-US"/>
                    </w:rPr>
                    <w:t xml:space="preserve">In percentage terms, </w:t>
                  </w:r>
                  <w:r w:rsidR="00F34D71">
                    <w:rPr>
                      <w:lang w:val="en-US"/>
                    </w:rPr>
                    <w:t>54.9</w:t>
                  </w:r>
                  <w:r w:rsidRPr="000C2755">
                    <w:rPr>
                      <w:lang w:val="en-US"/>
                    </w:rPr>
                    <w:t xml:space="preserve">% of FaRS </w:t>
                  </w:r>
                  <w:r>
                    <w:rPr>
                      <w:lang w:val="en-US"/>
                    </w:rPr>
                    <w:t>service users</w:t>
                  </w:r>
                  <w:r w:rsidRPr="000C2755">
                    <w:rPr>
                      <w:lang w:val="en-US"/>
                    </w:rPr>
                    <w:t xml:space="preserve"> </w:t>
                  </w:r>
                  <w:r w:rsidR="00F34D71">
                    <w:rPr>
                      <w:lang w:val="en-US"/>
                    </w:rPr>
                    <w:t>e</w:t>
                  </w:r>
                  <w:r w:rsidR="00B678F5">
                    <w:rPr>
                      <w:lang w:val="en-US"/>
                    </w:rPr>
                    <w:t>xperienced improved</w:t>
                  </w:r>
                  <w:r w:rsidRPr="000C2755">
                    <w:rPr>
                      <w:lang w:val="en-US"/>
                    </w:rPr>
                    <w:t xml:space="preserve"> </w:t>
                  </w:r>
                  <w:r>
                    <w:rPr>
                      <w:lang w:val="en-US"/>
                    </w:rPr>
                    <w:t>family functioning</w:t>
                  </w:r>
                  <w:r w:rsidR="00B678F5">
                    <w:rPr>
                      <w:lang w:val="en-US"/>
                    </w:rPr>
                    <w:t>, 55.5% experienced improved</w:t>
                  </w:r>
                  <w:r>
                    <w:rPr>
                      <w:lang w:val="en-US"/>
                    </w:rPr>
                    <w:t xml:space="preserve"> mental health, </w:t>
                  </w:r>
                  <w:r w:rsidR="00B678F5">
                    <w:rPr>
                      <w:lang w:val="en-US"/>
                    </w:rPr>
                    <w:t xml:space="preserve">and </w:t>
                  </w:r>
                  <w:r>
                    <w:rPr>
                      <w:lang w:val="en-US"/>
                    </w:rPr>
                    <w:t xml:space="preserve">wellbeing; and </w:t>
                  </w:r>
                  <w:r w:rsidR="00B678F5">
                    <w:rPr>
                      <w:lang w:val="en-US"/>
                    </w:rPr>
                    <w:t xml:space="preserve">42.6% experienced improved </w:t>
                  </w:r>
                  <w:r>
                    <w:rPr>
                      <w:lang w:val="en-US"/>
                    </w:rPr>
                    <w:t>personal and family safety</w:t>
                  </w:r>
                  <w:r w:rsidR="00B678F5">
                    <w:rPr>
                      <w:lang w:val="en-US"/>
                    </w:rPr>
                    <w:t>.</w:t>
                  </w:r>
                  <w:r w:rsidRPr="000C2755">
                    <w:rPr>
                      <w:lang w:val="en-US"/>
                    </w:rPr>
                    <w:t xml:space="preserve"> </w:t>
                  </w:r>
                  <w:r w:rsidR="00B678F5">
                    <w:rPr>
                      <w:lang w:val="en-US"/>
                    </w:rPr>
                    <w:t xml:space="preserve">The </w:t>
                  </w:r>
                  <w:r w:rsidR="00356F8B">
                    <w:rPr>
                      <w:lang w:val="en-US"/>
                    </w:rPr>
                    <w:t>percentage increase</w:t>
                  </w:r>
                  <w:r w:rsidR="00B678F5">
                    <w:rPr>
                      <w:lang w:val="en-US"/>
                    </w:rPr>
                    <w:t xml:space="preserve"> for personal and family safety is likely due to</w:t>
                  </w:r>
                  <w:r w:rsidRPr="000C2755">
                    <w:rPr>
                      <w:lang w:val="en-US"/>
                    </w:rPr>
                    <w:t xml:space="preserve"> FaRS</w:t>
                  </w:r>
                  <w:r w:rsidR="00274D87">
                    <w:rPr>
                      <w:lang w:val="en-US"/>
                    </w:rPr>
                    <w:t>’</w:t>
                  </w:r>
                  <w:r w:rsidR="00B678F5">
                    <w:rPr>
                      <w:lang w:val="en-US"/>
                    </w:rPr>
                    <w:t xml:space="preserve"> focus on</w:t>
                  </w:r>
                  <w:r>
                    <w:rPr>
                      <w:lang w:val="en-US"/>
                    </w:rPr>
                    <w:t xml:space="preserve"> </w:t>
                  </w:r>
                  <w:r w:rsidR="00356F8B">
                    <w:rPr>
                      <w:lang w:val="en-US"/>
                    </w:rPr>
                    <w:t xml:space="preserve">family and relationship issues with more serious issues of family violence being referred to SFVS. </w:t>
                  </w:r>
                  <w:r>
                    <w:rPr>
                      <w:lang w:val="en-US"/>
                    </w:rPr>
                    <w:t xml:space="preserve">Approximately </w:t>
                  </w:r>
                  <w:r w:rsidRPr="00BF5122">
                    <w:rPr>
                      <w:lang w:val="en-US"/>
                    </w:rPr>
                    <w:t>6</w:t>
                  </w:r>
                  <w:r w:rsidR="00B678F5">
                    <w:rPr>
                      <w:lang w:val="en-US"/>
                    </w:rPr>
                    <w:t>0</w:t>
                  </w:r>
                  <w:r w:rsidRPr="00BF5122">
                    <w:rPr>
                      <w:lang w:val="en-US"/>
                    </w:rPr>
                    <w:t>–</w:t>
                  </w:r>
                  <w:r w:rsidR="00B678F5">
                    <w:rPr>
                      <w:lang w:val="en-US"/>
                    </w:rPr>
                    <w:t>65</w:t>
                  </w:r>
                  <w:r w:rsidRPr="00BF5122">
                    <w:rPr>
                      <w:lang w:val="en-US"/>
                    </w:rPr>
                    <w:t xml:space="preserve">% of </w:t>
                  </w:r>
                  <w:r w:rsidR="00B678F5">
                    <w:rPr>
                      <w:lang w:val="en-US"/>
                    </w:rPr>
                    <w:t>FaRS</w:t>
                  </w:r>
                  <w:r w:rsidRPr="00BF5122">
                    <w:rPr>
                      <w:lang w:val="en-US"/>
                    </w:rPr>
                    <w:t xml:space="preserve"> </w:t>
                  </w:r>
                  <w:r>
                    <w:rPr>
                      <w:lang w:val="en-US"/>
                    </w:rPr>
                    <w:t>service users</w:t>
                  </w:r>
                  <w:r w:rsidRPr="00BF5122">
                    <w:rPr>
                      <w:lang w:val="en-US"/>
                    </w:rPr>
                    <w:t xml:space="preserve"> had positive </w:t>
                  </w:r>
                  <w:r>
                    <w:rPr>
                      <w:lang w:val="en-US"/>
                    </w:rPr>
                    <w:t>g</w:t>
                  </w:r>
                  <w:r w:rsidRPr="00BF5122">
                    <w:rPr>
                      <w:lang w:val="en-US"/>
                    </w:rPr>
                    <w:t>oal outcome</w:t>
                  </w:r>
                  <w:r w:rsidR="009425DA">
                    <w:rPr>
                      <w:lang w:val="en-US"/>
                    </w:rPr>
                    <w:t>s</w:t>
                  </w:r>
                  <w:r w:rsidRPr="00BF5122">
                    <w:rPr>
                      <w:lang w:val="en-US"/>
                    </w:rPr>
                    <w:t xml:space="preserve"> </w:t>
                  </w:r>
                  <w:r w:rsidR="005A7531">
                    <w:rPr>
                      <w:lang w:val="en-US"/>
                    </w:rPr>
                    <w:t xml:space="preserve">(see </w:t>
                  </w:r>
                  <w:r w:rsidR="005A7531" w:rsidRPr="00AE6187">
                    <w:rPr>
                      <w:b/>
                      <w:bCs/>
                      <w:lang w:val="en-US"/>
                    </w:rPr>
                    <w:fldChar w:fldCharType="begin" w:fldLock="1"/>
                  </w:r>
                  <w:r w:rsidR="005A7531" w:rsidRPr="00AE6187">
                    <w:rPr>
                      <w:b/>
                      <w:bCs/>
                      <w:lang w:val="en-US"/>
                    </w:rPr>
                    <w:instrText xml:space="preserve"> REF _Ref208403054 \h </w:instrText>
                  </w:r>
                  <w:r w:rsidR="00AE6187">
                    <w:rPr>
                      <w:b/>
                      <w:bCs/>
                      <w:lang w:val="en-US"/>
                    </w:rPr>
                    <w:instrText xml:space="preserve"> \* MERGEFORMAT </w:instrText>
                  </w:r>
                  <w:r w:rsidR="005A7531" w:rsidRPr="00AE6187">
                    <w:rPr>
                      <w:b/>
                      <w:bCs/>
                      <w:lang w:val="en-US"/>
                    </w:rPr>
                  </w:r>
                  <w:r w:rsidR="005A7531" w:rsidRPr="00AE6187">
                    <w:rPr>
                      <w:b/>
                      <w:bCs/>
                      <w:lang w:val="en-US"/>
                    </w:rPr>
                    <w:fldChar w:fldCharType="separate"/>
                  </w:r>
                  <w:r w:rsidR="008F22E5" w:rsidRPr="008F22E5">
                    <w:rPr>
                      <w:b/>
                      <w:bCs/>
                    </w:rPr>
                    <w:t xml:space="preserve">Table </w:t>
                  </w:r>
                  <w:r w:rsidR="008F22E5" w:rsidRPr="008F22E5">
                    <w:rPr>
                      <w:b/>
                      <w:bCs/>
                      <w:noProof/>
                    </w:rPr>
                    <w:t>20</w:t>
                  </w:r>
                  <w:r w:rsidR="005A7531" w:rsidRPr="00AE6187">
                    <w:rPr>
                      <w:b/>
                      <w:bCs/>
                      <w:lang w:val="en-US"/>
                    </w:rPr>
                    <w:fldChar w:fldCharType="end"/>
                  </w:r>
                  <w:r w:rsidR="005A7531">
                    <w:rPr>
                      <w:lang w:val="en-US"/>
                    </w:rPr>
                    <w:t>)</w:t>
                  </w:r>
                  <w:r>
                    <w:rPr>
                      <w:lang w:val="en-US"/>
                    </w:rPr>
                    <w:t>.</w:t>
                  </w:r>
                </w:p>
                <w:p w14:paraId="525B9FAA" w14:textId="6354975C" w:rsidR="00CC7CEE" w:rsidRPr="00580297" w:rsidRDefault="00CC7CEE" w:rsidP="00953B9E">
                  <w:pPr>
                    <w:pStyle w:val="TableFigure-Header"/>
                    <w:spacing w:line="276" w:lineRule="auto"/>
                    <w:jc w:val="both"/>
                    <w:rPr>
                      <w:lang w:val="en-NZ"/>
                    </w:rPr>
                  </w:pPr>
                  <w:bookmarkStart w:id="388" w:name="_Ref208403054"/>
                  <w:r w:rsidRPr="5AC90C80">
                    <w:rPr>
                      <w:lang w:val="en-NZ"/>
                    </w:rPr>
                    <w:t xml:space="preserve">Table </w:t>
                  </w:r>
                  <w:r w:rsidRPr="5AC90C80">
                    <w:fldChar w:fldCharType="begin"/>
                  </w:r>
                  <w:r>
                    <w:instrText xml:space="preserve"> SEQ Table \* ARABIC </w:instrText>
                  </w:r>
                  <w:r w:rsidRPr="5AC90C80">
                    <w:fldChar w:fldCharType="separate"/>
                  </w:r>
                  <w:r w:rsidR="008D2566">
                    <w:rPr>
                      <w:noProof/>
                    </w:rPr>
                    <w:t>20</w:t>
                  </w:r>
                  <w:r w:rsidRPr="5AC90C80">
                    <w:rPr>
                      <w:noProof/>
                    </w:rPr>
                    <w:fldChar w:fldCharType="end"/>
                  </w:r>
                  <w:bookmarkEnd w:id="388"/>
                  <w:r w:rsidRPr="5AC90C80">
                    <w:rPr>
                      <w:lang w:val="en-NZ"/>
                    </w:rPr>
                    <w:t xml:space="preserve">: Percentage of service users with positive </w:t>
                  </w:r>
                  <w:r w:rsidR="00DE5114" w:rsidRPr="5AC90C80">
                    <w:rPr>
                      <w:lang w:val="en-NZ"/>
                    </w:rPr>
                    <w:t>SCORE</w:t>
                  </w:r>
                  <w:r w:rsidRPr="5AC90C80">
                    <w:rPr>
                      <w:lang w:val="en-NZ"/>
                    </w:rPr>
                    <w:t xml:space="preserve"> change for specific Circumstance and Goal domains, FaRS</w:t>
                  </w:r>
                  <w:r w:rsidR="48EC172A" w:rsidRPr="5AC90C80">
                    <w:rPr>
                      <w:lang w:val="en-NZ"/>
                    </w:rPr>
                    <w:t>,</w:t>
                  </w:r>
                  <w:r w:rsidR="48EC172A" w:rsidRPr="5AC90C80">
                    <w:rPr>
                      <w:rStyle w:val="Text-Bold"/>
                      <w:b/>
                      <w:bCs/>
                    </w:rPr>
                    <w:t xml:space="preserve"> July 2021 – June 2024</w:t>
                  </w:r>
                  <w:r w:rsidRPr="5AC90C80">
                    <w:rPr>
                      <w:lang w:val="en-NZ"/>
                    </w:rPr>
                    <w:t xml:space="preserve"> </w:t>
                  </w:r>
                </w:p>
                <w:tbl>
                  <w:tblPr>
                    <w:tblStyle w:val="TableGrid3"/>
                    <w:tblW w:w="5000" w:type="pct"/>
                    <w:tblLayout w:type="fixed"/>
                    <w:tblLook w:val="04A0" w:firstRow="1" w:lastRow="0" w:firstColumn="1" w:lastColumn="0" w:noHBand="0" w:noVBand="1"/>
                  </w:tblPr>
                  <w:tblGrid>
                    <w:gridCol w:w="1838"/>
                    <w:gridCol w:w="3685"/>
                    <w:gridCol w:w="3496"/>
                  </w:tblGrid>
                  <w:tr w:rsidR="001161B4" w:rsidRPr="00036888" w14:paraId="6FBBABCE" w14:textId="77777777" w:rsidTr="00D032E3">
                    <w:trPr>
                      <w:trHeight w:val="298"/>
                      <w:tblHeader/>
                    </w:trPr>
                    <w:tc>
                      <w:tcPr>
                        <w:tcW w:w="1019" w:type="pct"/>
                        <w:shd w:val="clear" w:color="auto" w:fill="007E00" w:themeFill="accent3"/>
                        <w:noWrap/>
                        <w:hideMark/>
                      </w:tcPr>
                      <w:p w14:paraId="45E9A804" w14:textId="77777777" w:rsidR="00DA73A0" w:rsidRPr="00F6254E" w:rsidRDefault="00DA73A0">
                        <w:pPr>
                          <w:pStyle w:val="TableText"/>
                          <w:rPr>
                            <w:b/>
                            <w:bCs/>
                            <w:color w:val="FFFFFF" w:themeColor="background1"/>
                          </w:rPr>
                        </w:pPr>
                        <w:r w:rsidRPr="00F6254E">
                          <w:rPr>
                            <w:b/>
                            <w:bCs/>
                            <w:color w:val="FFFFFF" w:themeColor="background1"/>
                          </w:rPr>
                          <w:t>Outcome Type</w:t>
                        </w:r>
                      </w:p>
                    </w:tc>
                    <w:tc>
                      <w:tcPr>
                        <w:tcW w:w="2043" w:type="pct"/>
                        <w:shd w:val="clear" w:color="auto" w:fill="007E00" w:themeFill="accent3"/>
                      </w:tcPr>
                      <w:p w14:paraId="1C8947C3" w14:textId="192C0EF9" w:rsidR="00DA73A0" w:rsidRDefault="008D0F42">
                        <w:pPr>
                          <w:pStyle w:val="TableText"/>
                          <w:rPr>
                            <w:b/>
                            <w:bCs/>
                            <w:color w:val="FFFFFF" w:themeColor="background1"/>
                          </w:rPr>
                        </w:pPr>
                        <w:r>
                          <w:rPr>
                            <w:b/>
                            <w:bCs/>
                            <w:color w:val="FFFFFF" w:themeColor="background1"/>
                          </w:rPr>
                          <w:t>Domain description</w:t>
                        </w:r>
                      </w:p>
                    </w:tc>
                    <w:tc>
                      <w:tcPr>
                        <w:tcW w:w="1938" w:type="pct"/>
                        <w:shd w:val="clear" w:color="auto" w:fill="007E00" w:themeFill="accent3"/>
                        <w:noWrap/>
                        <w:hideMark/>
                      </w:tcPr>
                      <w:p w14:paraId="58D147C8" w14:textId="77777777" w:rsidR="00DA73A0" w:rsidRPr="00F6254E" w:rsidRDefault="00DA73A0">
                        <w:pPr>
                          <w:pStyle w:val="TableText"/>
                          <w:rPr>
                            <w:b/>
                            <w:bCs/>
                            <w:color w:val="FFFFFF" w:themeColor="background1"/>
                          </w:rPr>
                        </w:pPr>
                        <w:r>
                          <w:rPr>
                            <w:b/>
                            <w:bCs/>
                            <w:color w:val="FFFFFF" w:themeColor="background1"/>
                          </w:rPr>
                          <w:t xml:space="preserve">Service users </w:t>
                        </w:r>
                        <w:r w:rsidRPr="00F6254E">
                          <w:rPr>
                            <w:b/>
                            <w:bCs/>
                            <w:color w:val="FFFFFF" w:themeColor="background1"/>
                          </w:rPr>
                          <w:t>with positive mean change (%, n</w:t>
                        </w:r>
                        <w:r>
                          <w:rPr>
                            <w:b/>
                            <w:bCs/>
                            <w:color w:val="FFFFFF" w:themeColor="background1"/>
                          </w:rPr>
                          <w:t>=</w:t>
                        </w:r>
                        <w:r w:rsidRPr="00F6254E">
                          <w:rPr>
                            <w:b/>
                            <w:bCs/>
                            <w:color w:val="FFFFFF" w:themeColor="background1"/>
                          </w:rPr>
                          <w:t>)</w:t>
                        </w:r>
                      </w:p>
                    </w:tc>
                  </w:tr>
                  <w:tr w:rsidR="00913923" w:rsidRPr="00036888" w14:paraId="6733CE84" w14:textId="77777777" w:rsidTr="00D032E3">
                    <w:trPr>
                      <w:trHeight w:val="298"/>
                    </w:trPr>
                    <w:tc>
                      <w:tcPr>
                        <w:tcW w:w="1019" w:type="pct"/>
                        <w:vMerge w:val="restart"/>
                        <w:noWrap/>
                        <w:hideMark/>
                      </w:tcPr>
                      <w:p w14:paraId="56B3F9C7" w14:textId="77777777" w:rsidR="00DA73A0" w:rsidRPr="0078378F" w:rsidRDefault="00DA73A0" w:rsidP="008D0F42">
                        <w:pPr>
                          <w:pStyle w:val="TableText"/>
                        </w:pPr>
                        <w:r w:rsidRPr="0078378F">
                          <w:t>Circumstances</w:t>
                        </w:r>
                      </w:p>
                    </w:tc>
                    <w:tc>
                      <w:tcPr>
                        <w:tcW w:w="2043" w:type="pct"/>
                      </w:tcPr>
                      <w:p w14:paraId="79EA9DE0" w14:textId="3A0B67CA" w:rsidR="00DA73A0" w:rsidRPr="0078378F" w:rsidRDefault="00DA73A0" w:rsidP="008D0F42">
                        <w:pPr>
                          <w:pStyle w:val="TableText"/>
                        </w:pPr>
                        <w:r w:rsidRPr="0078378F">
                          <w:t>Family functioning</w:t>
                        </w:r>
                      </w:p>
                    </w:tc>
                    <w:tc>
                      <w:tcPr>
                        <w:tcW w:w="1938" w:type="pct"/>
                        <w:noWrap/>
                        <w:hideMark/>
                      </w:tcPr>
                      <w:p w14:paraId="68A042E9" w14:textId="40CCEA50" w:rsidR="00DA73A0" w:rsidRPr="008D0F42" w:rsidRDefault="00DA73A0" w:rsidP="008D0F42">
                        <w:pPr>
                          <w:pStyle w:val="TableText"/>
                        </w:pPr>
                        <w:r w:rsidRPr="008D0F42">
                          <w:t>54.9% (n=36</w:t>
                        </w:r>
                        <w:r w:rsidR="00F34D71">
                          <w:t>,</w:t>
                        </w:r>
                        <w:r w:rsidRPr="008D0F42">
                          <w:t>522)</w:t>
                        </w:r>
                      </w:p>
                    </w:tc>
                  </w:tr>
                  <w:tr w:rsidR="00913923" w:rsidRPr="00036888" w14:paraId="0F2C3723" w14:textId="77777777" w:rsidTr="00D032E3">
                    <w:trPr>
                      <w:trHeight w:val="298"/>
                    </w:trPr>
                    <w:tc>
                      <w:tcPr>
                        <w:tcW w:w="1019" w:type="pct"/>
                        <w:vMerge/>
                        <w:noWrap/>
                      </w:tcPr>
                      <w:p w14:paraId="2F8AD318" w14:textId="77777777" w:rsidR="00DA73A0" w:rsidRPr="0078378F" w:rsidRDefault="00DA73A0" w:rsidP="008D0F42">
                        <w:pPr>
                          <w:pStyle w:val="TableText"/>
                        </w:pPr>
                      </w:p>
                    </w:tc>
                    <w:tc>
                      <w:tcPr>
                        <w:tcW w:w="2043" w:type="pct"/>
                      </w:tcPr>
                      <w:p w14:paraId="7BD0FE35" w14:textId="62997278" w:rsidR="00DA73A0" w:rsidRPr="0078378F" w:rsidRDefault="00DA73A0" w:rsidP="008D0F42">
                        <w:pPr>
                          <w:pStyle w:val="TableText"/>
                        </w:pPr>
                        <w:r w:rsidRPr="0078378F">
                          <w:rPr>
                            <w:lang w:val="en-NZ"/>
                          </w:rPr>
                          <w:t>Mental health, wellbeing and self-care</w:t>
                        </w:r>
                      </w:p>
                    </w:tc>
                    <w:tc>
                      <w:tcPr>
                        <w:tcW w:w="1938" w:type="pct"/>
                        <w:noWrap/>
                      </w:tcPr>
                      <w:p w14:paraId="1BB523D4" w14:textId="531326DA" w:rsidR="00DA73A0" w:rsidRPr="008D0F42" w:rsidRDefault="00DA73A0" w:rsidP="008D0F42">
                        <w:pPr>
                          <w:pStyle w:val="TableText"/>
                        </w:pPr>
                        <w:r w:rsidRPr="008D0F42">
                          <w:t>55.5% (n=33</w:t>
                        </w:r>
                        <w:r w:rsidR="001B2E53">
                          <w:t>,</w:t>
                        </w:r>
                        <w:r w:rsidRPr="008D0F42">
                          <w:t>940)</w:t>
                        </w:r>
                      </w:p>
                    </w:tc>
                  </w:tr>
                  <w:tr w:rsidR="00913923" w:rsidRPr="00036888" w14:paraId="6B72026D" w14:textId="77777777" w:rsidTr="00D032E3">
                    <w:trPr>
                      <w:trHeight w:val="298"/>
                    </w:trPr>
                    <w:tc>
                      <w:tcPr>
                        <w:tcW w:w="1019" w:type="pct"/>
                        <w:vMerge/>
                        <w:noWrap/>
                      </w:tcPr>
                      <w:p w14:paraId="05DAFF40" w14:textId="77777777" w:rsidR="00DA73A0" w:rsidRPr="0078378F" w:rsidRDefault="00DA73A0" w:rsidP="008D0F42">
                        <w:pPr>
                          <w:pStyle w:val="TableText"/>
                        </w:pPr>
                      </w:p>
                    </w:tc>
                    <w:tc>
                      <w:tcPr>
                        <w:tcW w:w="2043" w:type="pct"/>
                      </w:tcPr>
                      <w:p w14:paraId="3D7EEC01" w14:textId="33C94760" w:rsidR="00DA73A0" w:rsidRPr="0078378F" w:rsidRDefault="00DA73A0" w:rsidP="008D0F42">
                        <w:pPr>
                          <w:pStyle w:val="TableText"/>
                        </w:pPr>
                        <w:r w:rsidRPr="0078378F">
                          <w:t>Personal and family safety</w:t>
                        </w:r>
                      </w:p>
                    </w:tc>
                    <w:tc>
                      <w:tcPr>
                        <w:tcW w:w="1938" w:type="pct"/>
                        <w:noWrap/>
                      </w:tcPr>
                      <w:p w14:paraId="4930AD37" w14:textId="294C4A4F" w:rsidR="00DA73A0" w:rsidRPr="008D0F42" w:rsidRDefault="00DA73A0" w:rsidP="008D0F42">
                        <w:pPr>
                          <w:pStyle w:val="TableText"/>
                        </w:pPr>
                        <w:r w:rsidRPr="008D0F42">
                          <w:t>42.6% (n=17</w:t>
                        </w:r>
                        <w:r w:rsidR="00F34D71">
                          <w:t>,</w:t>
                        </w:r>
                        <w:r w:rsidRPr="008D0F42">
                          <w:t>913)</w:t>
                        </w:r>
                      </w:p>
                    </w:tc>
                  </w:tr>
                  <w:tr w:rsidR="008D0F42" w:rsidRPr="00036888" w14:paraId="27892118" w14:textId="77777777" w:rsidTr="00D032E3">
                    <w:trPr>
                      <w:trHeight w:val="298"/>
                    </w:trPr>
                    <w:tc>
                      <w:tcPr>
                        <w:tcW w:w="1019" w:type="pct"/>
                        <w:vMerge w:val="restart"/>
                        <w:noWrap/>
                      </w:tcPr>
                      <w:p w14:paraId="0AA182BE" w14:textId="3608255B" w:rsidR="008D0F42" w:rsidRPr="0078378F" w:rsidRDefault="008D0F42" w:rsidP="008D0F42">
                        <w:pPr>
                          <w:pStyle w:val="TableText"/>
                        </w:pPr>
                        <w:r w:rsidRPr="0078378F">
                          <w:lastRenderedPageBreak/>
                          <w:t>Goals</w:t>
                        </w:r>
                      </w:p>
                    </w:tc>
                    <w:tc>
                      <w:tcPr>
                        <w:tcW w:w="2043" w:type="pct"/>
                      </w:tcPr>
                      <w:p w14:paraId="71217063" w14:textId="10A821E6" w:rsidR="008D0F42" w:rsidRPr="0078378F" w:rsidRDefault="008D0F42" w:rsidP="008D0F42">
                        <w:pPr>
                          <w:pStyle w:val="TableText"/>
                        </w:pPr>
                        <w:r w:rsidRPr="0078378F">
                          <w:t>Changed behaviours</w:t>
                        </w:r>
                      </w:p>
                    </w:tc>
                    <w:tc>
                      <w:tcPr>
                        <w:tcW w:w="1938" w:type="pct"/>
                        <w:noWrap/>
                      </w:tcPr>
                      <w:p w14:paraId="2AE17D1A" w14:textId="5BD082CE" w:rsidR="008D0F42" w:rsidRPr="008D0F42" w:rsidRDefault="008D0F42" w:rsidP="008D0F42">
                        <w:pPr>
                          <w:pStyle w:val="TableText"/>
                        </w:pPr>
                        <w:r w:rsidRPr="00D63E8D">
                          <w:t>64.5% (n=</w:t>
                        </w:r>
                        <w:r w:rsidR="005A2DC7" w:rsidRPr="00D63E8D">
                          <w:t>27</w:t>
                        </w:r>
                        <w:r w:rsidR="00F34D71">
                          <w:t>,</w:t>
                        </w:r>
                        <w:r w:rsidR="005A2DC7" w:rsidRPr="00D63E8D">
                          <w:t>682</w:t>
                        </w:r>
                        <w:r w:rsidRPr="00D63E8D">
                          <w:t>)</w:t>
                        </w:r>
                      </w:p>
                    </w:tc>
                  </w:tr>
                  <w:tr w:rsidR="008D0F42" w:rsidRPr="00036888" w14:paraId="1FD2CDE0" w14:textId="77777777" w:rsidTr="00D032E3">
                    <w:trPr>
                      <w:trHeight w:val="298"/>
                    </w:trPr>
                    <w:tc>
                      <w:tcPr>
                        <w:tcW w:w="1019" w:type="pct"/>
                        <w:vMerge/>
                        <w:noWrap/>
                      </w:tcPr>
                      <w:p w14:paraId="52C7569B" w14:textId="77777777" w:rsidR="008D0F42" w:rsidRPr="0078378F" w:rsidRDefault="008D0F42" w:rsidP="008D0F42">
                        <w:pPr>
                          <w:pStyle w:val="TableText"/>
                        </w:pPr>
                      </w:p>
                    </w:tc>
                    <w:tc>
                      <w:tcPr>
                        <w:tcW w:w="2043" w:type="pct"/>
                      </w:tcPr>
                      <w:p w14:paraId="44525DB0" w14:textId="1D2936F2" w:rsidR="008D0F42" w:rsidRPr="0078378F" w:rsidRDefault="008D0F42" w:rsidP="008D0F42">
                        <w:pPr>
                          <w:pStyle w:val="TableText"/>
                        </w:pPr>
                        <w:r w:rsidRPr="0078378F">
                          <w:t>Changed impact of immediate crisis</w:t>
                        </w:r>
                      </w:p>
                    </w:tc>
                    <w:tc>
                      <w:tcPr>
                        <w:tcW w:w="1938" w:type="pct"/>
                        <w:noWrap/>
                      </w:tcPr>
                      <w:p w14:paraId="26E0F990" w14:textId="3135B6E6" w:rsidR="008D0F42" w:rsidRPr="008D0F42" w:rsidRDefault="008D0F42" w:rsidP="008D0F42">
                        <w:pPr>
                          <w:pStyle w:val="TableText"/>
                        </w:pPr>
                        <w:r w:rsidRPr="00D63E8D">
                          <w:t>66.4% (n=</w:t>
                        </w:r>
                        <w:r w:rsidR="005A2DC7" w:rsidRPr="00D63E8D">
                          <w:t>15</w:t>
                        </w:r>
                        <w:r w:rsidR="00F34D71">
                          <w:t>,</w:t>
                        </w:r>
                        <w:r w:rsidR="005A2DC7" w:rsidRPr="00D63E8D">
                          <w:t>105</w:t>
                        </w:r>
                        <w:r w:rsidRPr="00D63E8D">
                          <w:t>)</w:t>
                        </w:r>
                      </w:p>
                    </w:tc>
                  </w:tr>
                  <w:tr w:rsidR="008D0F42" w:rsidRPr="00036888" w14:paraId="3AD865B0" w14:textId="77777777" w:rsidTr="00D032E3">
                    <w:trPr>
                      <w:trHeight w:val="298"/>
                    </w:trPr>
                    <w:tc>
                      <w:tcPr>
                        <w:tcW w:w="1019" w:type="pct"/>
                        <w:vMerge/>
                        <w:noWrap/>
                      </w:tcPr>
                      <w:p w14:paraId="7530C591" w14:textId="77777777" w:rsidR="008D0F42" w:rsidRPr="0078378F" w:rsidRDefault="008D0F42" w:rsidP="008D0F42">
                        <w:pPr>
                          <w:pStyle w:val="TableText"/>
                        </w:pPr>
                      </w:p>
                    </w:tc>
                    <w:tc>
                      <w:tcPr>
                        <w:tcW w:w="2043" w:type="pct"/>
                      </w:tcPr>
                      <w:p w14:paraId="6B18388B" w14:textId="512D92D7" w:rsidR="008D0F42" w:rsidRPr="0078378F" w:rsidRDefault="008D0F42" w:rsidP="008D0F42">
                        <w:pPr>
                          <w:pStyle w:val="TableText"/>
                        </w:pPr>
                        <w:r w:rsidRPr="0078378F">
                          <w:t>Changed knowledge and access to information</w:t>
                        </w:r>
                      </w:p>
                    </w:tc>
                    <w:tc>
                      <w:tcPr>
                        <w:tcW w:w="1938" w:type="pct"/>
                        <w:noWrap/>
                      </w:tcPr>
                      <w:p w14:paraId="1B3E29DB" w14:textId="5F59F752" w:rsidR="008D0F42" w:rsidRPr="008D0F42" w:rsidRDefault="008D0F42" w:rsidP="008D0F42">
                        <w:pPr>
                          <w:pStyle w:val="TableText"/>
                        </w:pPr>
                        <w:r w:rsidRPr="00D63E8D">
                          <w:t>66.2% (n=</w:t>
                        </w:r>
                        <w:r w:rsidR="005A2DC7" w:rsidRPr="00D63E8D">
                          <w:t>33</w:t>
                        </w:r>
                        <w:r w:rsidR="00F34D71">
                          <w:t>,</w:t>
                        </w:r>
                        <w:r w:rsidR="005A2DC7" w:rsidRPr="00D63E8D">
                          <w:t>137</w:t>
                        </w:r>
                        <w:r w:rsidRPr="00D63E8D">
                          <w:t>)</w:t>
                        </w:r>
                      </w:p>
                    </w:tc>
                  </w:tr>
                  <w:tr w:rsidR="008D0F42" w:rsidRPr="00036888" w14:paraId="5ADBB3A4" w14:textId="77777777" w:rsidTr="00D032E3">
                    <w:trPr>
                      <w:trHeight w:val="298"/>
                    </w:trPr>
                    <w:tc>
                      <w:tcPr>
                        <w:tcW w:w="1019" w:type="pct"/>
                        <w:vMerge/>
                        <w:noWrap/>
                      </w:tcPr>
                      <w:p w14:paraId="1AC1F472" w14:textId="77777777" w:rsidR="008D0F42" w:rsidRPr="0078378F" w:rsidRDefault="008D0F42" w:rsidP="008D0F42">
                        <w:pPr>
                          <w:pStyle w:val="TableText"/>
                        </w:pPr>
                      </w:p>
                    </w:tc>
                    <w:tc>
                      <w:tcPr>
                        <w:tcW w:w="2043" w:type="pct"/>
                      </w:tcPr>
                      <w:p w14:paraId="1DCB7549" w14:textId="5C673365" w:rsidR="008D0F42" w:rsidRPr="0078378F" w:rsidRDefault="008D0F42" w:rsidP="008D0F42">
                        <w:pPr>
                          <w:pStyle w:val="TableText"/>
                        </w:pPr>
                        <w:r w:rsidRPr="0078378F">
                          <w:t>Changed skills</w:t>
                        </w:r>
                      </w:p>
                    </w:tc>
                    <w:tc>
                      <w:tcPr>
                        <w:tcW w:w="1938" w:type="pct"/>
                        <w:noWrap/>
                      </w:tcPr>
                      <w:p w14:paraId="215F2A05" w14:textId="464DCBD8" w:rsidR="008D0F42" w:rsidRPr="008D0F42" w:rsidRDefault="008D0F42" w:rsidP="008D0F42">
                        <w:pPr>
                          <w:pStyle w:val="TableText"/>
                        </w:pPr>
                        <w:r w:rsidRPr="00D63E8D">
                          <w:t>63.9% (n=</w:t>
                        </w:r>
                        <w:r w:rsidR="005A2DC7" w:rsidRPr="00D63E8D">
                          <w:t>33</w:t>
                        </w:r>
                        <w:r w:rsidR="00F34D71">
                          <w:t>,</w:t>
                        </w:r>
                        <w:r w:rsidR="005A2DC7" w:rsidRPr="00D63E8D">
                          <w:t>985</w:t>
                        </w:r>
                        <w:r w:rsidRPr="00D63E8D">
                          <w:t>)</w:t>
                        </w:r>
                      </w:p>
                    </w:tc>
                  </w:tr>
                  <w:tr w:rsidR="008D0F42" w:rsidRPr="00036888" w14:paraId="3423A25A" w14:textId="77777777" w:rsidTr="00D032E3">
                    <w:trPr>
                      <w:trHeight w:val="298"/>
                    </w:trPr>
                    <w:tc>
                      <w:tcPr>
                        <w:tcW w:w="1019" w:type="pct"/>
                        <w:vMerge/>
                        <w:noWrap/>
                      </w:tcPr>
                      <w:p w14:paraId="01663AA5" w14:textId="77777777" w:rsidR="008D0F42" w:rsidRPr="0078378F" w:rsidRDefault="008D0F42" w:rsidP="008D0F42">
                        <w:pPr>
                          <w:pStyle w:val="TableText"/>
                        </w:pPr>
                      </w:p>
                    </w:tc>
                    <w:tc>
                      <w:tcPr>
                        <w:tcW w:w="2043" w:type="pct"/>
                      </w:tcPr>
                      <w:p w14:paraId="49E47F6B" w14:textId="3BAB495F" w:rsidR="008D0F42" w:rsidRPr="0078378F" w:rsidRDefault="008D0F42" w:rsidP="008D0F42">
                        <w:pPr>
                          <w:pStyle w:val="TableText"/>
                        </w:pPr>
                        <w:r w:rsidRPr="0078378F">
                          <w:rPr>
                            <w:lang w:val="en-NZ"/>
                          </w:rPr>
                          <w:t>Empowerment, choice and control to make own decisions</w:t>
                        </w:r>
                      </w:p>
                    </w:tc>
                    <w:tc>
                      <w:tcPr>
                        <w:tcW w:w="1938" w:type="pct"/>
                        <w:noWrap/>
                      </w:tcPr>
                      <w:p w14:paraId="5DF8FD8B" w14:textId="5EE8F26D" w:rsidR="008D0F42" w:rsidRPr="008D0F42" w:rsidRDefault="008D0F42" w:rsidP="008D0F42">
                        <w:pPr>
                          <w:pStyle w:val="TableText"/>
                        </w:pPr>
                        <w:r w:rsidRPr="00D63E8D">
                          <w:t>61.0% (n=</w:t>
                        </w:r>
                        <w:r w:rsidR="005A2DC7" w:rsidRPr="00D63E8D">
                          <w:t>24</w:t>
                        </w:r>
                        <w:r w:rsidR="00F34D71">
                          <w:t>,</w:t>
                        </w:r>
                        <w:r w:rsidR="005A2DC7" w:rsidRPr="00D63E8D">
                          <w:t>818</w:t>
                        </w:r>
                        <w:r w:rsidRPr="00D63E8D">
                          <w:t>)</w:t>
                        </w:r>
                      </w:p>
                    </w:tc>
                  </w:tr>
                  <w:tr w:rsidR="008D0F42" w:rsidRPr="00036888" w14:paraId="5AEFF899" w14:textId="77777777" w:rsidTr="00D032E3">
                    <w:trPr>
                      <w:trHeight w:val="298"/>
                    </w:trPr>
                    <w:tc>
                      <w:tcPr>
                        <w:tcW w:w="1019" w:type="pct"/>
                        <w:vMerge/>
                        <w:noWrap/>
                      </w:tcPr>
                      <w:p w14:paraId="1F801823" w14:textId="77777777" w:rsidR="008D0F42" w:rsidRPr="0078378F" w:rsidRDefault="008D0F42" w:rsidP="008D0F42">
                        <w:pPr>
                          <w:pStyle w:val="TableText"/>
                        </w:pPr>
                      </w:p>
                    </w:tc>
                    <w:tc>
                      <w:tcPr>
                        <w:tcW w:w="2043" w:type="pct"/>
                      </w:tcPr>
                      <w:p w14:paraId="102AAB65" w14:textId="6A109FA8" w:rsidR="008D0F42" w:rsidRPr="0078378F" w:rsidRDefault="008D0F42" w:rsidP="008D0F42">
                        <w:pPr>
                          <w:pStyle w:val="TableText"/>
                        </w:pPr>
                        <w:r w:rsidRPr="0078378F">
                          <w:t>Engagement with relevant support services</w:t>
                        </w:r>
                      </w:p>
                    </w:tc>
                    <w:tc>
                      <w:tcPr>
                        <w:tcW w:w="1938" w:type="pct"/>
                        <w:noWrap/>
                      </w:tcPr>
                      <w:p w14:paraId="4FFDE967" w14:textId="7D99BE0C" w:rsidR="008D0F42" w:rsidRPr="008D0F42" w:rsidRDefault="008D0F42" w:rsidP="008D0F42">
                        <w:pPr>
                          <w:pStyle w:val="TableText"/>
                        </w:pPr>
                        <w:r w:rsidRPr="00D63E8D">
                          <w:t>60.4% (n=</w:t>
                        </w:r>
                        <w:r w:rsidR="005A2DC7" w:rsidRPr="00D63E8D">
                          <w:t>17</w:t>
                        </w:r>
                        <w:r w:rsidR="00F34D71">
                          <w:t>,</w:t>
                        </w:r>
                        <w:r w:rsidR="005A2DC7" w:rsidRPr="00D63E8D">
                          <w:t>110</w:t>
                        </w:r>
                        <w:r w:rsidRPr="00D63E8D">
                          <w:t>)</w:t>
                        </w:r>
                      </w:p>
                    </w:tc>
                  </w:tr>
                </w:tbl>
                <w:p w14:paraId="2C459AD0" w14:textId="1A292538" w:rsidR="00921298" w:rsidRPr="00DE647E" w:rsidRDefault="00627DDC" w:rsidP="00BB2088">
                  <w:pPr>
                    <w:pStyle w:val="Text"/>
                    <w:rPr>
                      <w:i/>
                      <w:sz w:val="20"/>
                      <w:szCs w:val="18"/>
                      <w:lang w:val="en-US"/>
                    </w:rPr>
                  </w:pPr>
                  <w:r w:rsidRPr="00DE647E">
                    <w:rPr>
                      <w:i/>
                      <w:sz w:val="20"/>
                      <w:szCs w:val="18"/>
                      <w:lang w:val="en-US"/>
                    </w:rPr>
                    <w:t xml:space="preserve">Source: DEX-SCORE data </w:t>
                  </w:r>
                </w:p>
                <w:p w14:paraId="4F6F7249" w14:textId="38EB0033" w:rsidR="00734E01" w:rsidRPr="00734E01" w:rsidRDefault="00FF1259" w:rsidP="00734E01">
                  <w:pPr>
                    <w:pStyle w:val="Text"/>
                  </w:pPr>
                  <w:r>
                    <w:rPr>
                      <w:lang w:val="en-US"/>
                    </w:rPr>
                    <w:t>Service user</w:t>
                  </w:r>
                  <w:r w:rsidR="00BB2088" w:rsidRPr="00BF5122">
                    <w:rPr>
                      <w:lang w:val="en-US"/>
                    </w:rPr>
                    <w:t xml:space="preserve"> satisfaction with FaRS services was high</w:t>
                  </w:r>
                  <w:r w:rsidR="00BB2088">
                    <w:rPr>
                      <w:lang w:val="en-US"/>
                    </w:rPr>
                    <w:t xml:space="preserve"> across both quantitative and qualitative data</w:t>
                  </w:r>
                  <w:r w:rsidR="00BB2088" w:rsidRPr="00BF5122">
                    <w:rPr>
                      <w:lang w:val="en-US"/>
                    </w:rPr>
                    <w:t xml:space="preserve">. </w:t>
                  </w:r>
                  <w:r w:rsidR="00BB2088">
                    <w:rPr>
                      <w:lang w:val="en-US"/>
                    </w:rPr>
                    <w:t>DEX data indicat</w:t>
                  </w:r>
                  <w:r w:rsidR="00DE091B">
                    <w:rPr>
                      <w:lang w:val="en-US"/>
                    </w:rPr>
                    <w:t>es</w:t>
                  </w:r>
                  <w:r w:rsidR="00BB2088">
                    <w:rPr>
                      <w:lang w:val="en-US"/>
                    </w:rPr>
                    <w:t xml:space="preserve"> that </w:t>
                  </w:r>
                  <w:r w:rsidR="00BB2088" w:rsidRPr="00BF5122">
                    <w:rPr>
                      <w:lang w:val="en-US"/>
                    </w:rPr>
                    <w:t xml:space="preserve">around 94% reported an overall positive outcome on satisfaction surveys each year. </w:t>
                  </w:r>
                  <w:r w:rsidR="00627DDC">
                    <w:rPr>
                      <w:lang w:val="en-US"/>
                    </w:rPr>
                    <w:t>Evaluation s</w:t>
                  </w:r>
                  <w:r w:rsidR="00A25143">
                    <w:rPr>
                      <w:lang w:val="en-US"/>
                    </w:rPr>
                    <w:t>urvey data – while less positive – nonetheless indicates high levels of satisfaction</w:t>
                  </w:r>
                  <w:r w:rsidR="00627DDC">
                    <w:rPr>
                      <w:lang w:val="en-US"/>
                    </w:rPr>
                    <w:t xml:space="preserve"> with</w:t>
                  </w:r>
                  <w:r w:rsidR="001F6CA6">
                    <w:rPr>
                      <w:lang w:val="en-US"/>
                    </w:rPr>
                    <w:t xml:space="preserve"> </w:t>
                  </w:r>
                  <w:r w:rsidR="001F6CA6" w:rsidRPr="00A25143">
                    <w:t>77.8</w:t>
                  </w:r>
                  <w:r w:rsidR="003D3944" w:rsidRPr="00A25143">
                    <w:t>%</w:t>
                  </w:r>
                  <w:r w:rsidR="001F6CA6" w:rsidRPr="00A25143">
                    <w:t xml:space="preserve"> (n=151) of respondents </w:t>
                  </w:r>
                  <w:r w:rsidR="00627DDC">
                    <w:t xml:space="preserve">indicating they were </w:t>
                  </w:r>
                  <w:r w:rsidR="001F6CA6" w:rsidRPr="00A25143">
                    <w:t>satisfied (28.4%, n=55)</w:t>
                  </w:r>
                  <w:r w:rsidR="008E76A1">
                    <w:t>,</w:t>
                  </w:r>
                  <w:r w:rsidR="001F6CA6" w:rsidRPr="00A25143">
                    <w:t xml:space="preserve"> or very satisfied (49.5%, n=96) with the service they received.</w:t>
                  </w:r>
                </w:p>
                <w:p w14:paraId="3A442ABE" w14:textId="6314D861" w:rsidR="00A126A5" w:rsidRDefault="0087104E" w:rsidP="00321BC5">
                  <w:pPr>
                    <w:pStyle w:val="Text-BodyHeading"/>
                    <w:spacing w:before="360" w:after="240"/>
                  </w:pPr>
                  <w:r>
                    <w:t xml:space="preserve">Personal and </w:t>
                  </w:r>
                  <w:r w:rsidR="005103A7">
                    <w:t xml:space="preserve">family safety </w:t>
                  </w:r>
                </w:p>
                <w:p w14:paraId="67EA1ED5" w14:textId="2A843CC1" w:rsidR="00941679" w:rsidRDefault="00D57671" w:rsidP="008067F6">
                  <w:pPr>
                    <w:pStyle w:val="Text"/>
                    <w:rPr>
                      <w:lang w:val="en-US"/>
                    </w:rPr>
                  </w:pPr>
                  <w:r>
                    <w:rPr>
                      <w:lang w:val="en-US"/>
                    </w:rPr>
                    <w:t>A key component of the FaRS program</w:t>
                  </w:r>
                  <w:r w:rsidR="009772AB">
                    <w:rPr>
                      <w:lang w:val="en-US"/>
                    </w:rPr>
                    <w:t xml:space="preserve"> is to provide early </w:t>
                  </w:r>
                  <w:r w:rsidR="004E7107">
                    <w:rPr>
                      <w:lang w:val="en-US"/>
                    </w:rPr>
                    <w:t>intervention</w:t>
                  </w:r>
                  <w:r w:rsidR="009772AB">
                    <w:rPr>
                      <w:lang w:val="en-US"/>
                    </w:rPr>
                    <w:t xml:space="preserve"> and prevention services for </w:t>
                  </w:r>
                  <w:r w:rsidR="004E7107" w:rsidRPr="004E7107">
                    <w:rPr>
                      <w:lang w:val="en-US"/>
                    </w:rPr>
                    <w:t>families at risk of breakdown</w:t>
                  </w:r>
                  <w:r w:rsidR="004E7107">
                    <w:rPr>
                      <w:lang w:val="en-US"/>
                    </w:rPr>
                    <w:t xml:space="preserve">, </w:t>
                  </w:r>
                  <w:r w:rsidR="004E7107" w:rsidRPr="004E7107">
                    <w:rPr>
                      <w:lang w:val="en-US"/>
                    </w:rPr>
                    <w:t xml:space="preserve">children at risk of abuse or neglect </w:t>
                  </w:r>
                  <w:r w:rsidR="004E7107">
                    <w:rPr>
                      <w:lang w:val="en-US"/>
                    </w:rPr>
                    <w:t xml:space="preserve">and </w:t>
                  </w:r>
                  <w:r w:rsidR="004E7107" w:rsidRPr="004E7107">
                    <w:rPr>
                      <w:lang w:val="en-US"/>
                    </w:rPr>
                    <w:t>families at risk of experiencing disadvantage or vulnerability</w:t>
                  </w:r>
                  <w:r w:rsidR="004E7107">
                    <w:rPr>
                      <w:lang w:val="en-US"/>
                    </w:rPr>
                    <w:t xml:space="preserve">. A core component of </w:t>
                  </w:r>
                  <w:r w:rsidR="009B1ECD">
                    <w:rPr>
                      <w:lang w:val="en-US"/>
                    </w:rPr>
                    <w:t>prevention and early intervention</w:t>
                  </w:r>
                  <w:r w:rsidR="002626F2">
                    <w:rPr>
                      <w:lang w:val="en-US"/>
                    </w:rPr>
                    <w:t xml:space="preserve"> </w:t>
                  </w:r>
                  <w:r w:rsidR="00EE7FF0">
                    <w:rPr>
                      <w:lang w:val="en-US"/>
                    </w:rPr>
                    <w:t xml:space="preserve">is ensuring that individuals and families </w:t>
                  </w:r>
                  <w:r w:rsidR="00AF0447">
                    <w:rPr>
                      <w:lang w:val="en-US"/>
                    </w:rPr>
                    <w:t>can</w:t>
                  </w:r>
                  <w:r w:rsidR="00EE7FF0">
                    <w:rPr>
                      <w:lang w:val="en-US"/>
                    </w:rPr>
                    <w:t xml:space="preserve"> identify risks </w:t>
                  </w:r>
                  <w:r w:rsidR="00A51FD2">
                    <w:rPr>
                      <w:lang w:val="en-US"/>
                    </w:rPr>
                    <w:t xml:space="preserve">to their safety and wellbeing. </w:t>
                  </w:r>
                  <w:r w:rsidR="00654C5C">
                    <w:rPr>
                      <w:lang w:val="en-US"/>
                    </w:rPr>
                    <w:t>B</w:t>
                  </w:r>
                  <w:r>
                    <w:rPr>
                      <w:lang w:val="en-US"/>
                    </w:rPr>
                    <w:t>roadly</w:t>
                  </w:r>
                  <w:r w:rsidR="00104C46">
                    <w:rPr>
                      <w:lang w:val="en-US"/>
                    </w:rPr>
                    <w:t>,</w:t>
                  </w:r>
                  <w:r w:rsidR="00654C5C">
                    <w:rPr>
                      <w:lang w:val="en-US"/>
                    </w:rPr>
                    <w:t xml:space="preserve"> </w:t>
                  </w:r>
                  <w:r w:rsidR="00A90A92">
                    <w:rPr>
                      <w:lang w:val="en-US"/>
                    </w:rPr>
                    <w:t xml:space="preserve">FaRS </w:t>
                  </w:r>
                  <w:r w:rsidR="000971B9">
                    <w:rPr>
                      <w:lang w:val="en-US"/>
                    </w:rPr>
                    <w:t>supported</w:t>
                  </w:r>
                  <w:r w:rsidR="0072551B">
                    <w:rPr>
                      <w:lang w:val="en-US"/>
                    </w:rPr>
                    <w:t xml:space="preserve"> some</w:t>
                  </w:r>
                  <w:r w:rsidR="000971B9">
                    <w:rPr>
                      <w:lang w:val="en-US"/>
                    </w:rPr>
                    <w:t xml:space="preserve"> service users to identify</w:t>
                  </w:r>
                  <w:r w:rsidR="001B6C47">
                    <w:rPr>
                      <w:lang w:val="en-US"/>
                    </w:rPr>
                    <w:t xml:space="preserve"> and address</w:t>
                  </w:r>
                  <w:r w:rsidR="000971B9">
                    <w:rPr>
                      <w:lang w:val="en-US"/>
                    </w:rPr>
                    <w:t xml:space="preserve"> </w:t>
                  </w:r>
                  <w:r w:rsidR="002331CB">
                    <w:rPr>
                      <w:lang w:val="en-US"/>
                    </w:rPr>
                    <w:t>issues of family safety, including violent or abusive relationships.</w:t>
                  </w:r>
                  <w:r>
                    <w:rPr>
                      <w:lang w:val="en-US"/>
                    </w:rPr>
                    <w:t xml:space="preserve"> </w:t>
                  </w:r>
                  <w:r w:rsidR="00941679">
                    <w:rPr>
                      <w:lang w:val="en-US"/>
                    </w:rPr>
                    <w:t>DEX</w:t>
                  </w:r>
                  <w:r w:rsidR="00F95D2B">
                    <w:rPr>
                      <w:lang w:val="en-US"/>
                    </w:rPr>
                    <w:t>-SCORE</w:t>
                  </w:r>
                  <w:r w:rsidR="00941679">
                    <w:rPr>
                      <w:lang w:val="en-US"/>
                    </w:rPr>
                    <w:t xml:space="preserve"> data </w:t>
                  </w:r>
                  <w:r w:rsidR="00F95D2B">
                    <w:rPr>
                      <w:lang w:val="en-US"/>
                    </w:rPr>
                    <w:t>for the personal and family safety</w:t>
                  </w:r>
                  <w:r w:rsidR="004F0EF9">
                    <w:rPr>
                      <w:lang w:val="en-US"/>
                    </w:rPr>
                    <w:t xml:space="preserve"> domain</w:t>
                  </w:r>
                  <w:r w:rsidR="00F95D2B">
                    <w:rPr>
                      <w:lang w:val="en-US"/>
                    </w:rPr>
                    <w:t xml:space="preserve"> shows</w:t>
                  </w:r>
                  <w:r w:rsidR="00493020">
                    <w:rPr>
                      <w:lang w:val="en-US"/>
                    </w:rPr>
                    <w:t xml:space="preserve"> </w:t>
                  </w:r>
                  <w:r w:rsidR="001A1A4F">
                    <w:rPr>
                      <w:lang w:val="en-US"/>
                    </w:rPr>
                    <w:t>FaRS service</w:t>
                  </w:r>
                  <w:r w:rsidR="004F0EF9">
                    <w:rPr>
                      <w:lang w:val="en-US"/>
                    </w:rPr>
                    <w:t xml:space="preserve"> user</w:t>
                  </w:r>
                  <w:r w:rsidR="001A1A4F">
                    <w:rPr>
                      <w:lang w:val="en-US"/>
                    </w:rPr>
                    <w:t>s experience</w:t>
                  </w:r>
                  <w:r w:rsidR="00F22875">
                    <w:rPr>
                      <w:lang w:val="en-US"/>
                    </w:rPr>
                    <w:t>d</w:t>
                  </w:r>
                  <w:r w:rsidR="001A1A4F">
                    <w:rPr>
                      <w:lang w:val="en-US"/>
                    </w:rPr>
                    <w:t xml:space="preserve"> </w:t>
                  </w:r>
                  <w:r w:rsidR="00F22875">
                    <w:rPr>
                      <w:lang w:val="en-US"/>
                    </w:rPr>
                    <w:t xml:space="preserve">a 0.6 increase in the </w:t>
                  </w:r>
                  <w:r w:rsidR="001A1A4F">
                    <w:rPr>
                      <w:lang w:val="en-US"/>
                    </w:rPr>
                    <w:t>earliest to latest mean SCORE</w:t>
                  </w:r>
                  <w:r w:rsidR="00111864">
                    <w:rPr>
                      <w:lang w:val="en-US"/>
                    </w:rPr>
                    <w:t xml:space="preserve"> </w:t>
                  </w:r>
                  <w:r w:rsidR="00ED1D22">
                    <w:rPr>
                      <w:lang w:val="en-US"/>
                    </w:rPr>
                    <w:t>with</w:t>
                  </w:r>
                  <w:r w:rsidR="001A1A4F">
                    <w:rPr>
                      <w:lang w:val="en-US"/>
                    </w:rPr>
                    <w:t xml:space="preserve"> 42.6% experiencing a positive change</w:t>
                  </w:r>
                  <w:r w:rsidR="001B6C47">
                    <w:rPr>
                      <w:lang w:val="en-US"/>
                    </w:rPr>
                    <w:t xml:space="preserve"> (see </w:t>
                  </w:r>
                  <w:r w:rsidR="00413DE0" w:rsidRPr="00AE6187">
                    <w:rPr>
                      <w:b/>
                      <w:bCs/>
                      <w:lang w:val="en-US"/>
                    </w:rPr>
                    <w:fldChar w:fldCharType="begin" w:fldLock="1"/>
                  </w:r>
                  <w:r w:rsidR="00413DE0" w:rsidRPr="00AE6187">
                    <w:rPr>
                      <w:b/>
                      <w:bCs/>
                      <w:lang w:val="en-US"/>
                    </w:rPr>
                    <w:instrText xml:space="preserve"> REF _Ref208406311 \h </w:instrText>
                  </w:r>
                  <w:r w:rsidR="00AE6187">
                    <w:rPr>
                      <w:b/>
                      <w:bCs/>
                      <w:lang w:val="en-US"/>
                    </w:rPr>
                    <w:instrText xml:space="preserve"> \* MERGEFORMAT </w:instrText>
                  </w:r>
                  <w:r w:rsidR="00413DE0" w:rsidRPr="00AE6187">
                    <w:rPr>
                      <w:b/>
                      <w:bCs/>
                      <w:lang w:val="en-US"/>
                    </w:rPr>
                  </w:r>
                  <w:r w:rsidR="00413DE0" w:rsidRPr="00AE6187">
                    <w:rPr>
                      <w:b/>
                      <w:bCs/>
                      <w:lang w:val="en-US"/>
                    </w:rPr>
                    <w:fldChar w:fldCharType="separate"/>
                  </w:r>
                  <w:r w:rsidR="008F22E5" w:rsidRPr="008F22E5">
                    <w:rPr>
                      <w:b/>
                      <w:bCs/>
                    </w:rPr>
                    <w:t xml:space="preserve">Table </w:t>
                  </w:r>
                  <w:r w:rsidR="008F22E5" w:rsidRPr="008F22E5">
                    <w:rPr>
                      <w:b/>
                      <w:bCs/>
                      <w:noProof/>
                    </w:rPr>
                    <w:t>21</w:t>
                  </w:r>
                  <w:r w:rsidR="00413DE0" w:rsidRPr="00AE6187">
                    <w:rPr>
                      <w:b/>
                      <w:bCs/>
                      <w:lang w:val="en-US"/>
                    </w:rPr>
                    <w:fldChar w:fldCharType="end"/>
                  </w:r>
                  <w:r w:rsidR="00413DE0">
                    <w:rPr>
                      <w:lang w:val="en-US"/>
                    </w:rPr>
                    <w:t>).</w:t>
                  </w:r>
                </w:p>
                <w:p w14:paraId="3E9FEAC0" w14:textId="17AD4611" w:rsidR="00427C77" w:rsidRDefault="00427C77" w:rsidP="00953B9E">
                  <w:pPr>
                    <w:pStyle w:val="TableFigure-Header"/>
                    <w:spacing w:line="276" w:lineRule="auto"/>
                    <w:jc w:val="both"/>
                    <w:rPr>
                      <w:rStyle w:val="Text-Bold"/>
                      <w:b/>
                      <w:bCs/>
                      <w:lang w:val="en-NZ"/>
                    </w:rPr>
                  </w:pPr>
                  <w:bookmarkStart w:id="389" w:name="_Ref208406311"/>
                  <w:r w:rsidRPr="5AC90C80">
                    <w:rPr>
                      <w:lang w:val="en-NZ"/>
                    </w:rPr>
                    <w:t xml:space="preserve">Table </w:t>
                  </w:r>
                  <w:r w:rsidRPr="5AC90C80">
                    <w:fldChar w:fldCharType="begin"/>
                  </w:r>
                  <w:r>
                    <w:instrText xml:space="preserve"> SEQ Table \* ARABIC </w:instrText>
                  </w:r>
                  <w:r w:rsidRPr="5AC90C80">
                    <w:fldChar w:fldCharType="separate"/>
                  </w:r>
                  <w:r w:rsidR="008D2566">
                    <w:rPr>
                      <w:noProof/>
                    </w:rPr>
                    <w:t>21</w:t>
                  </w:r>
                  <w:r w:rsidRPr="5AC90C80">
                    <w:rPr>
                      <w:noProof/>
                    </w:rPr>
                    <w:fldChar w:fldCharType="end"/>
                  </w:r>
                  <w:bookmarkEnd w:id="389"/>
                  <w:r w:rsidRPr="5AC90C80">
                    <w:rPr>
                      <w:lang w:val="en-NZ"/>
                    </w:rPr>
                    <w:t xml:space="preserve">: Earliest and latest mean SCORE change and percentage </w:t>
                  </w:r>
                  <w:r w:rsidR="000B4754" w:rsidRPr="5AC90C80">
                    <w:rPr>
                      <w:lang w:val="en-NZ"/>
                    </w:rPr>
                    <w:t xml:space="preserve">of service users </w:t>
                  </w:r>
                  <w:r w:rsidR="00DE5114" w:rsidRPr="5AC90C80">
                    <w:rPr>
                      <w:lang w:val="en-NZ"/>
                    </w:rPr>
                    <w:t xml:space="preserve">with </w:t>
                  </w:r>
                  <w:r w:rsidRPr="5AC90C80">
                    <w:rPr>
                      <w:lang w:val="en-NZ"/>
                    </w:rPr>
                    <w:t>positive SCORE change for personal and family safety, FaRS</w:t>
                  </w:r>
                  <w:r w:rsidR="1A4E1196" w:rsidRPr="5AC90C80">
                    <w:rPr>
                      <w:lang w:val="en-NZ"/>
                    </w:rPr>
                    <w:t>,</w:t>
                  </w:r>
                  <w:r w:rsidR="1A4E1196" w:rsidRPr="5AC90C80">
                    <w:rPr>
                      <w:rStyle w:val="Text-Bold"/>
                      <w:b/>
                      <w:bCs/>
                    </w:rPr>
                    <w:t xml:space="preserve"> July 2021 – June 2024</w:t>
                  </w:r>
                </w:p>
                <w:tbl>
                  <w:tblPr>
                    <w:tblStyle w:val="ListTable3-Accent31"/>
                    <w:tblW w:w="89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57"/>
                    <w:gridCol w:w="1547"/>
                    <w:gridCol w:w="2345"/>
                    <w:gridCol w:w="3000"/>
                  </w:tblGrid>
                  <w:tr w:rsidR="00ED1D22" w:rsidRPr="000D7494" w14:paraId="1E27DD0E" w14:textId="77777777" w:rsidTr="00D032E3">
                    <w:trPr>
                      <w:cnfStyle w:val="100000000000" w:firstRow="1" w:lastRow="0" w:firstColumn="0" w:lastColumn="0" w:oddVBand="0" w:evenVBand="0" w:oddHBand="0" w:evenHBand="0" w:firstRowFirstColumn="0" w:firstRowLastColumn="0" w:lastRowFirstColumn="0" w:lastRowLastColumn="0"/>
                      <w:trHeight w:val="899"/>
                    </w:trPr>
                    <w:tc>
                      <w:tcPr>
                        <w:cnfStyle w:val="001000000100" w:firstRow="0" w:lastRow="0" w:firstColumn="1" w:lastColumn="0" w:oddVBand="0" w:evenVBand="0" w:oddHBand="0" w:evenHBand="0" w:firstRowFirstColumn="1" w:firstRowLastColumn="0" w:lastRowFirstColumn="0" w:lastRowLastColumn="0"/>
                        <w:tcW w:w="2057" w:type="dxa"/>
                        <w:tcBorders>
                          <w:bottom w:val="none" w:sz="0" w:space="0" w:color="auto"/>
                          <w:right w:val="none" w:sz="0" w:space="0" w:color="auto"/>
                        </w:tcBorders>
                        <w:noWrap/>
                        <w:hideMark/>
                      </w:tcPr>
                      <w:p w14:paraId="6ECC3088" w14:textId="77777777" w:rsidR="00004341" w:rsidRPr="000D7494" w:rsidRDefault="00004341">
                        <w:pPr>
                          <w:pStyle w:val="TableText"/>
                        </w:pPr>
                        <w:r w:rsidRPr="000D7494">
                          <w:t>Outcome type</w:t>
                        </w:r>
                      </w:p>
                    </w:tc>
                    <w:tc>
                      <w:tcPr>
                        <w:tcW w:w="1547" w:type="dxa"/>
                        <w:noWrap/>
                        <w:hideMark/>
                      </w:tcPr>
                      <w:p w14:paraId="2A6ECAB8" w14:textId="77777777" w:rsidR="00004341" w:rsidRPr="000D7494" w:rsidRDefault="00004341">
                        <w:pPr>
                          <w:pStyle w:val="TableText"/>
                          <w:cnfStyle w:val="100000000000" w:firstRow="1" w:lastRow="0" w:firstColumn="0" w:lastColumn="0" w:oddVBand="0" w:evenVBand="0" w:oddHBand="0" w:evenHBand="0" w:firstRowFirstColumn="0" w:firstRowLastColumn="0" w:lastRowFirstColumn="0" w:lastRowLastColumn="0"/>
                        </w:pPr>
                        <w:r w:rsidRPr="000D7494">
                          <w:t>Domain</w:t>
                        </w:r>
                      </w:p>
                    </w:tc>
                    <w:tc>
                      <w:tcPr>
                        <w:tcW w:w="2345" w:type="dxa"/>
                      </w:tcPr>
                      <w:p w14:paraId="45B01E4A" w14:textId="0B3EFBCF" w:rsidR="00ED1D22" w:rsidRPr="000D7494" w:rsidRDefault="00004341" w:rsidP="00D0382B">
                        <w:pPr>
                          <w:pStyle w:val="TableText"/>
                          <w:cnfStyle w:val="100000000000" w:firstRow="1" w:lastRow="0" w:firstColumn="0" w:lastColumn="0" w:oddVBand="0" w:evenVBand="0" w:oddHBand="0" w:evenHBand="0" w:firstRowFirstColumn="0" w:firstRowLastColumn="0" w:lastRowFirstColumn="0" w:lastRowLastColumn="0"/>
                        </w:pPr>
                        <w:r w:rsidRPr="000D7494">
                          <w:t>SCORE change (mean</w:t>
                        </w:r>
                        <w:r w:rsidR="00413DE0">
                          <w:t>, n=)</w:t>
                        </w:r>
                      </w:p>
                    </w:tc>
                    <w:tc>
                      <w:tcPr>
                        <w:tcW w:w="3000" w:type="dxa"/>
                        <w:hideMark/>
                      </w:tcPr>
                      <w:p w14:paraId="1086CB09" w14:textId="77777777" w:rsidR="00004341" w:rsidRPr="000D7494" w:rsidRDefault="00ED1D22">
                        <w:pPr>
                          <w:pStyle w:val="TableText"/>
                          <w:cnfStyle w:val="100000000000" w:firstRow="1" w:lastRow="0" w:firstColumn="0" w:lastColumn="0" w:oddVBand="0" w:evenVBand="0" w:oddHBand="0" w:evenHBand="0" w:firstRowFirstColumn="0" w:firstRowLastColumn="0" w:lastRowFirstColumn="0" w:lastRowLastColumn="0"/>
                        </w:pPr>
                        <w:r>
                          <w:t>Service users</w:t>
                        </w:r>
                        <w:r w:rsidRPr="000D7494">
                          <w:t xml:space="preserve"> with</w:t>
                        </w:r>
                        <w:r w:rsidR="00004341" w:rsidRPr="000D7494">
                          <w:t xml:space="preserve"> positive change (%, n)</w:t>
                        </w:r>
                      </w:p>
                    </w:tc>
                  </w:tr>
                  <w:tr w:rsidR="00ED1D22" w:rsidRPr="000D7494" w14:paraId="113581A8" w14:textId="77777777" w:rsidTr="00D032E3">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057" w:type="dxa"/>
                        <w:tcBorders>
                          <w:top w:val="none" w:sz="0" w:space="0" w:color="auto"/>
                          <w:bottom w:val="none" w:sz="0" w:space="0" w:color="auto"/>
                          <w:right w:val="none" w:sz="0" w:space="0" w:color="auto"/>
                        </w:tcBorders>
                        <w:noWrap/>
                        <w:hideMark/>
                      </w:tcPr>
                      <w:p w14:paraId="7A58322E" w14:textId="0B29AB58" w:rsidR="00004341" w:rsidRPr="0078378F" w:rsidRDefault="00004341">
                        <w:pPr>
                          <w:pStyle w:val="TableText"/>
                          <w:rPr>
                            <w:b w:val="0"/>
                          </w:rPr>
                        </w:pPr>
                        <w:r w:rsidRPr="0078378F">
                          <w:rPr>
                            <w:b w:val="0"/>
                          </w:rPr>
                          <w:t>Circumstance</w:t>
                        </w:r>
                      </w:p>
                    </w:tc>
                    <w:tc>
                      <w:tcPr>
                        <w:tcW w:w="1547" w:type="dxa"/>
                        <w:tcBorders>
                          <w:top w:val="none" w:sz="0" w:space="0" w:color="auto"/>
                          <w:bottom w:val="none" w:sz="0" w:space="0" w:color="auto"/>
                        </w:tcBorders>
                        <w:noWrap/>
                        <w:hideMark/>
                      </w:tcPr>
                      <w:p w14:paraId="248A1595" w14:textId="77777777" w:rsidR="00004341" w:rsidRPr="0078378F" w:rsidRDefault="00004341">
                        <w:pPr>
                          <w:pStyle w:val="TableText"/>
                          <w:cnfStyle w:val="000000100000" w:firstRow="0" w:lastRow="0" w:firstColumn="0" w:lastColumn="0" w:oddVBand="0" w:evenVBand="0" w:oddHBand="1" w:evenHBand="0" w:firstRowFirstColumn="0" w:firstRowLastColumn="0" w:lastRowFirstColumn="0" w:lastRowLastColumn="0"/>
                          <w:rPr>
                            <w:bCs/>
                          </w:rPr>
                        </w:pPr>
                        <w:r w:rsidRPr="0078378F">
                          <w:rPr>
                            <w:bCs/>
                          </w:rPr>
                          <w:t>Personal and family safety</w:t>
                        </w:r>
                      </w:p>
                    </w:tc>
                    <w:tc>
                      <w:tcPr>
                        <w:tcW w:w="2345" w:type="dxa"/>
                        <w:tcBorders>
                          <w:top w:val="none" w:sz="0" w:space="0" w:color="auto"/>
                          <w:bottom w:val="none" w:sz="0" w:space="0" w:color="auto"/>
                        </w:tcBorders>
                      </w:tcPr>
                      <w:p w14:paraId="7C4DD4DE" w14:textId="3DABE18A" w:rsidR="00ED1D22" w:rsidRPr="000D7494" w:rsidRDefault="00004341" w:rsidP="00D0382B">
                        <w:pPr>
                          <w:pStyle w:val="TableText"/>
                          <w:cnfStyle w:val="000000100000" w:firstRow="0" w:lastRow="0" w:firstColumn="0" w:lastColumn="0" w:oddVBand="0" w:evenVBand="0" w:oddHBand="1" w:evenHBand="0" w:firstRowFirstColumn="0" w:firstRowLastColumn="0" w:lastRowFirstColumn="0" w:lastRowLastColumn="0"/>
                        </w:pPr>
                        <w:r w:rsidRPr="000D7494">
                          <w:t>0.6</w:t>
                        </w:r>
                        <w:r w:rsidR="00413DE0">
                          <w:t xml:space="preserve"> (n=42,074)</w:t>
                        </w:r>
                      </w:p>
                    </w:tc>
                    <w:tc>
                      <w:tcPr>
                        <w:tcW w:w="3000" w:type="dxa"/>
                        <w:tcBorders>
                          <w:top w:val="none" w:sz="0" w:space="0" w:color="auto"/>
                          <w:bottom w:val="none" w:sz="0" w:space="0" w:color="auto"/>
                        </w:tcBorders>
                        <w:noWrap/>
                        <w:hideMark/>
                      </w:tcPr>
                      <w:p w14:paraId="50EC3837" w14:textId="77777777" w:rsidR="00004341" w:rsidRPr="000D7494" w:rsidRDefault="00004341">
                        <w:pPr>
                          <w:pStyle w:val="TableText"/>
                          <w:cnfStyle w:val="000000100000" w:firstRow="0" w:lastRow="0" w:firstColumn="0" w:lastColumn="0" w:oddVBand="0" w:evenVBand="0" w:oddHBand="1" w:evenHBand="0" w:firstRowFirstColumn="0" w:firstRowLastColumn="0" w:lastRowFirstColumn="0" w:lastRowLastColumn="0"/>
                        </w:pPr>
                        <w:r w:rsidRPr="000D7494">
                          <w:t>42.6% (n=17</w:t>
                        </w:r>
                        <w:r w:rsidR="00ED1D22">
                          <w:t>,</w:t>
                        </w:r>
                        <w:r w:rsidRPr="000D7494">
                          <w:t>913)</w:t>
                        </w:r>
                      </w:p>
                    </w:tc>
                  </w:tr>
                </w:tbl>
                <w:p w14:paraId="57D02CB3" w14:textId="6E17D670" w:rsidR="00ED1D22" w:rsidRPr="00DE647E" w:rsidRDefault="00ED1D22" w:rsidP="008067F6">
                  <w:pPr>
                    <w:pStyle w:val="Text"/>
                    <w:rPr>
                      <w:i/>
                      <w:sz w:val="20"/>
                      <w:szCs w:val="18"/>
                      <w:lang w:val="en-US"/>
                    </w:rPr>
                  </w:pPr>
                  <w:r w:rsidRPr="00DE647E">
                    <w:rPr>
                      <w:i/>
                      <w:sz w:val="20"/>
                      <w:szCs w:val="18"/>
                      <w:lang w:val="en-US"/>
                    </w:rPr>
                    <w:t>Source</w:t>
                  </w:r>
                  <w:r w:rsidR="00413DE0" w:rsidRPr="00DE647E">
                    <w:rPr>
                      <w:i/>
                      <w:sz w:val="20"/>
                      <w:szCs w:val="18"/>
                      <w:lang w:val="en-US"/>
                    </w:rPr>
                    <w:t xml:space="preserve">: DEX-SCORE data </w:t>
                  </w:r>
                </w:p>
                <w:p w14:paraId="6B4B10A2" w14:textId="1025848D" w:rsidR="00D71C4B" w:rsidRDefault="004C2A7E" w:rsidP="004C2A7E">
                  <w:pPr>
                    <w:pStyle w:val="Text"/>
                    <w:rPr>
                      <w:lang w:val="en-AU"/>
                    </w:rPr>
                  </w:pPr>
                  <w:r>
                    <w:rPr>
                      <w:lang w:val="en-AU"/>
                    </w:rPr>
                    <w:t>Over half of service users surveyed reported improvements in personal safety (</w:t>
                  </w:r>
                  <w:r w:rsidRPr="00D231B0">
                    <w:rPr>
                      <w:lang w:val="en-AU"/>
                    </w:rPr>
                    <w:t>55.8%</w:t>
                  </w:r>
                  <w:r>
                    <w:rPr>
                      <w:lang w:val="en-AU"/>
                    </w:rPr>
                    <w:t>,</w:t>
                  </w:r>
                  <w:r w:rsidRPr="00D231B0">
                    <w:rPr>
                      <w:lang w:val="en-AU"/>
                    </w:rPr>
                    <w:t xml:space="preserve"> n=86)</w:t>
                  </w:r>
                  <w:r>
                    <w:rPr>
                      <w:lang w:val="en-AU"/>
                    </w:rPr>
                    <w:t xml:space="preserve"> and in family safety (</w:t>
                  </w:r>
                  <w:r w:rsidRPr="00D231B0">
                    <w:rPr>
                      <w:lang w:val="en-AU"/>
                    </w:rPr>
                    <w:t>56.4%</w:t>
                  </w:r>
                  <w:r>
                    <w:rPr>
                      <w:lang w:val="en-AU"/>
                    </w:rPr>
                    <w:t>,</w:t>
                  </w:r>
                  <w:r w:rsidRPr="00D231B0">
                    <w:rPr>
                      <w:lang w:val="en-AU"/>
                    </w:rPr>
                    <w:t xml:space="preserve"> n=87</w:t>
                  </w:r>
                  <w:r w:rsidRPr="00D231B0" w:rsidDel="005022A3">
                    <w:rPr>
                      <w:lang w:val="en-AU"/>
                    </w:rPr>
                    <w:t>)</w:t>
                  </w:r>
                  <w:r>
                    <w:rPr>
                      <w:lang w:val="en-AU"/>
                    </w:rPr>
                    <w:t xml:space="preserve"> (see </w:t>
                  </w:r>
                  <w:r w:rsidR="000C7152" w:rsidRPr="000C7152">
                    <w:rPr>
                      <w:bCs/>
                      <w:lang w:val="en-AU"/>
                    </w:rPr>
                    <w:fldChar w:fldCharType="begin" w:fldLock="1"/>
                  </w:r>
                  <w:r w:rsidR="000C7152" w:rsidRPr="000C7152">
                    <w:rPr>
                      <w:bCs/>
                      <w:lang w:val="en-AU"/>
                    </w:rPr>
                    <w:instrText xml:space="preserve"> REF _Ref208476193 \h  \* MERGEFORMAT </w:instrText>
                  </w:r>
                  <w:r w:rsidR="000C7152" w:rsidRPr="000C7152">
                    <w:rPr>
                      <w:bCs/>
                      <w:lang w:val="en-AU"/>
                    </w:rPr>
                  </w:r>
                  <w:r w:rsidR="000C7152" w:rsidRPr="000C7152">
                    <w:rPr>
                      <w:bCs/>
                      <w:lang w:val="en-AU"/>
                    </w:rPr>
                    <w:fldChar w:fldCharType="separate"/>
                  </w:r>
                  <w:r w:rsidR="008F22E5" w:rsidRPr="008F22E5">
                    <w:rPr>
                      <w:rStyle w:val="Text-Bold"/>
                      <w:bCs/>
                      <w:szCs w:val="22"/>
                    </w:rPr>
                    <w:t xml:space="preserve">Figure </w:t>
                  </w:r>
                  <w:r w:rsidR="008F22E5" w:rsidRPr="008F22E5">
                    <w:rPr>
                      <w:b/>
                    </w:rPr>
                    <w:t>16</w:t>
                  </w:r>
                  <w:r w:rsidR="000C7152" w:rsidRPr="000C7152">
                    <w:rPr>
                      <w:bCs/>
                      <w:lang w:val="en-AU"/>
                    </w:rPr>
                    <w:fldChar w:fldCharType="end"/>
                  </w:r>
                  <w:r>
                    <w:rPr>
                      <w:b/>
                      <w:lang w:val="en-AU"/>
                    </w:rPr>
                    <w:t xml:space="preserve"> </w:t>
                  </w:r>
                  <w:r>
                    <w:rPr>
                      <w:lang w:val="en-AU"/>
                    </w:rPr>
                    <w:t xml:space="preserve">below). </w:t>
                  </w:r>
                </w:p>
                <w:p w14:paraId="17DE8070" w14:textId="4979829E" w:rsidR="004C2A7E" w:rsidRPr="009451CD" w:rsidRDefault="00D71C4B" w:rsidP="002146EF">
                  <w:pPr>
                    <w:rPr>
                      <w:rStyle w:val="Text-Bold"/>
                      <w:b w:val="0"/>
                    </w:rPr>
                  </w:pPr>
                  <w:r>
                    <w:br w:type="page"/>
                  </w:r>
                </w:p>
                <w:p w14:paraId="39CA0945" w14:textId="137E8B00" w:rsidR="004C2A7E" w:rsidRPr="004673E7" w:rsidRDefault="004C2A7E" w:rsidP="00953B9E">
                  <w:pPr>
                    <w:pStyle w:val="TableFigure-Header"/>
                    <w:spacing w:line="276" w:lineRule="auto"/>
                    <w:jc w:val="both"/>
                    <w:rPr>
                      <w:rStyle w:val="Text-Bold"/>
                      <w:b/>
                      <w:szCs w:val="21"/>
                      <w:lang w:val="en-NZ"/>
                    </w:rPr>
                  </w:pPr>
                  <w:bookmarkStart w:id="390" w:name="_Ref208476193"/>
                  <w:r w:rsidRPr="004673E7">
                    <w:rPr>
                      <w:rStyle w:val="Text-Bold"/>
                      <w:b/>
                      <w:szCs w:val="21"/>
                      <w:lang w:val="en-NZ"/>
                    </w:rPr>
                    <w:lastRenderedPageBreak/>
                    <w:t xml:space="preserve">Figure </w:t>
                  </w:r>
                  <w:r w:rsidR="00C64C3D" w:rsidRPr="004673E7">
                    <w:rPr>
                      <w:rStyle w:val="Text-Bold"/>
                      <w:b/>
                      <w:szCs w:val="21"/>
                      <w:lang w:val="en-NZ"/>
                    </w:rPr>
                    <w:fldChar w:fldCharType="begin"/>
                  </w:r>
                  <w:r w:rsidR="00C64C3D" w:rsidRPr="004673E7">
                    <w:rPr>
                      <w:rStyle w:val="Text-Bold"/>
                      <w:b/>
                      <w:szCs w:val="21"/>
                      <w:lang w:val="en-NZ"/>
                    </w:rPr>
                    <w:instrText xml:space="preserve"> SEQ Figure \* ARABIC </w:instrText>
                  </w:r>
                  <w:r w:rsidR="00C64C3D" w:rsidRPr="004673E7">
                    <w:rPr>
                      <w:rStyle w:val="Text-Bold"/>
                      <w:b/>
                      <w:szCs w:val="21"/>
                      <w:lang w:val="en-NZ"/>
                    </w:rPr>
                    <w:fldChar w:fldCharType="separate"/>
                  </w:r>
                  <w:r w:rsidR="008D2566">
                    <w:rPr>
                      <w:rStyle w:val="Text-Bold"/>
                      <w:b/>
                      <w:noProof/>
                      <w:szCs w:val="21"/>
                      <w:lang w:val="en-NZ"/>
                    </w:rPr>
                    <w:t>16</w:t>
                  </w:r>
                  <w:r w:rsidR="00C64C3D" w:rsidRPr="004673E7">
                    <w:rPr>
                      <w:rStyle w:val="Text-Bold"/>
                      <w:b/>
                      <w:szCs w:val="21"/>
                      <w:lang w:val="en-NZ"/>
                    </w:rPr>
                    <w:fldChar w:fldCharType="end"/>
                  </w:r>
                  <w:bookmarkEnd w:id="390"/>
                  <w:r w:rsidRPr="004673E7">
                    <w:rPr>
                      <w:rStyle w:val="Text-Bold"/>
                      <w:b/>
                      <w:szCs w:val="21"/>
                      <w:lang w:val="en-NZ"/>
                    </w:rPr>
                    <w:t>: As a result of using the service I have experienced positive changes in my personal safety / my family’s personal safety, FaRS service users (n=154)</w:t>
                  </w:r>
                </w:p>
                <w:p w14:paraId="468E24CB" w14:textId="1AB8B309" w:rsidR="004C2A7E" w:rsidRDefault="004C2A7E" w:rsidP="008067F6">
                  <w:pPr>
                    <w:pStyle w:val="Text"/>
                    <w:rPr>
                      <w:lang w:val="en-US"/>
                    </w:rPr>
                  </w:pPr>
                  <w:r w:rsidRPr="0032454E">
                    <w:rPr>
                      <w:noProof/>
                      <w:color w:val="ACB0B4" w:themeColor="accent4" w:themeShade="BF"/>
                    </w:rPr>
                    <w:drawing>
                      <wp:inline distT="0" distB="0" distL="0" distR="0" wp14:anchorId="21196CF1" wp14:editId="263AB63E">
                        <wp:extent cx="5589917" cy="3493698"/>
                        <wp:effectExtent l="0" t="0" r="10795" b="12065"/>
                        <wp:docPr id="14297265" name="Chart 1">
                          <a:extLst xmlns:a="http://schemas.openxmlformats.org/drawingml/2006/main">
                            <a:ext uri="{FF2B5EF4-FFF2-40B4-BE49-F238E27FC236}">
                              <a16:creationId xmlns:a16="http://schemas.microsoft.com/office/drawing/2014/main" id="{6A86FA99-7DB6-A214-55D2-8D247AE2A20F}"/>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r w:rsidRPr="4E2C4C5F">
                    <w:rPr>
                      <w:i/>
                      <w:sz w:val="20"/>
                      <w:lang w:val="en-AU"/>
                    </w:rPr>
                    <w:t xml:space="preserve">Source: Service user survey </w:t>
                  </w:r>
                </w:p>
                <w:p w14:paraId="467A2A99" w14:textId="0D90D3D3" w:rsidR="008067F6" w:rsidRDefault="008067F6" w:rsidP="008067F6">
                  <w:pPr>
                    <w:pStyle w:val="Text"/>
                    <w:rPr>
                      <w:lang w:val="en-US"/>
                    </w:rPr>
                  </w:pPr>
                  <w:r>
                    <w:rPr>
                      <w:lang w:val="en-US"/>
                    </w:rPr>
                    <w:t xml:space="preserve">For </w:t>
                  </w:r>
                  <w:r w:rsidR="004C2A7E">
                    <w:rPr>
                      <w:lang w:val="en-US"/>
                    </w:rPr>
                    <w:t xml:space="preserve">some </w:t>
                  </w:r>
                  <w:r>
                    <w:rPr>
                      <w:lang w:val="en-US"/>
                    </w:rPr>
                    <w:t xml:space="preserve">service users who identified as victim survivors, accessing FaRS services </w:t>
                  </w:r>
                  <w:r w:rsidR="0035085F">
                    <w:rPr>
                      <w:lang w:val="en-US"/>
                    </w:rPr>
                    <w:t>(</w:t>
                  </w:r>
                  <w:r>
                    <w:rPr>
                      <w:lang w:val="en-US"/>
                    </w:rPr>
                    <w:t>particularly counselling services</w:t>
                  </w:r>
                  <w:r w:rsidR="0035085F">
                    <w:rPr>
                      <w:lang w:val="en-US"/>
                    </w:rPr>
                    <w:t>)</w:t>
                  </w:r>
                  <w:r>
                    <w:rPr>
                      <w:lang w:val="en-US"/>
                    </w:rPr>
                    <w:t xml:space="preserve"> </w:t>
                  </w:r>
                  <w:r w:rsidR="0035085F">
                    <w:rPr>
                      <w:lang w:val="en-US"/>
                    </w:rPr>
                    <w:t xml:space="preserve">helped </w:t>
                  </w:r>
                  <w:r>
                    <w:rPr>
                      <w:lang w:val="en-US"/>
                    </w:rPr>
                    <w:t>them to recognise that they were in abusive relationships.</w:t>
                  </w:r>
                  <w:r w:rsidR="00B20AC5">
                    <w:rPr>
                      <w:lang w:val="en-US"/>
                    </w:rPr>
                    <w:t xml:space="preserve"> Victim</w:t>
                  </w:r>
                  <w:r w:rsidR="00DA0D00">
                    <w:rPr>
                      <w:lang w:val="en-US"/>
                    </w:rPr>
                    <w:t xml:space="preserve"> </w:t>
                  </w:r>
                  <w:r w:rsidR="00DA4F39">
                    <w:rPr>
                      <w:lang w:val="en-US"/>
                    </w:rPr>
                    <w:t>survivors</w:t>
                  </w:r>
                  <w:r w:rsidR="00B20AC5">
                    <w:rPr>
                      <w:lang w:val="en-US"/>
                    </w:rPr>
                    <w:t xml:space="preserve"> were a key cohort accessing FaRS services</w:t>
                  </w:r>
                  <w:r w:rsidR="000F2DFE">
                    <w:rPr>
                      <w:lang w:val="en-US"/>
                    </w:rPr>
                    <w:t>,</w:t>
                  </w:r>
                  <w:r w:rsidR="00003B88">
                    <w:rPr>
                      <w:lang w:val="en-US"/>
                    </w:rPr>
                    <w:t xml:space="preserve"> with </w:t>
                  </w:r>
                  <w:r w:rsidR="000D6EED">
                    <w:rPr>
                      <w:lang w:val="en-US"/>
                    </w:rPr>
                    <w:t xml:space="preserve">27% </w:t>
                  </w:r>
                  <w:r w:rsidR="00E412E8">
                    <w:rPr>
                      <w:lang w:val="en-US"/>
                    </w:rPr>
                    <w:t xml:space="preserve">(n=20) </w:t>
                  </w:r>
                  <w:r w:rsidR="000D6EED">
                    <w:rPr>
                      <w:lang w:val="en-US"/>
                    </w:rPr>
                    <w:t xml:space="preserve">of FaRS service </w:t>
                  </w:r>
                  <w:r w:rsidR="003152B2">
                    <w:rPr>
                      <w:lang w:val="en-US"/>
                    </w:rPr>
                    <w:t>users</w:t>
                  </w:r>
                  <w:r w:rsidR="000D6EED">
                    <w:rPr>
                      <w:lang w:val="en-US"/>
                    </w:rPr>
                    <w:t xml:space="preserve"> interview</w:t>
                  </w:r>
                  <w:r w:rsidR="003152B2">
                    <w:rPr>
                      <w:lang w:val="en-US"/>
                    </w:rPr>
                    <w:t xml:space="preserve">ed, and 18% </w:t>
                  </w:r>
                  <w:r w:rsidR="00E412E8">
                    <w:rPr>
                      <w:lang w:val="en-US"/>
                    </w:rPr>
                    <w:t>(n=</w:t>
                  </w:r>
                  <w:r w:rsidR="000113C1">
                    <w:rPr>
                      <w:lang w:val="en-US"/>
                    </w:rPr>
                    <w:t xml:space="preserve">29) </w:t>
                  </w:r>
                  <w:r w:rsidR="003152B2">
                    <w:rPr>
                      <w:lang w:val="en-US"/>
                    </w:rPr>
                    <w:t xml:space="preserve">of FaRS </w:t>
                  </w:r>
                  <w:r w:rsidR="00465085">
                    <w:rPr>
                      <w:lang w:val="en-US"/>
                    </w:rPr>
                    <w:t xml:space="preserve">survey respondents </w:t>
                  </w:r>
                  <w:r w:rsidR="00DA4F39">
                    <w:rPr>
                      <w:lang w:val="en-US"/>
                    </w:rPr>
                    <w:t>identif</w:t>
                  </w:r>
                  <w:r w:rsidR="008513D2">
                    <w:rPr>
                      <w:lang w:val="en-US"/>
                    </w:rPr>
                    <w:t xml:space="preserve">ying </w:t>
                  </w:r>
                  <w:r w:rsidR="00DA4F39">
                    <w:rPr>
                      <w:lang w:val="en-US"/>
                    </w:rPr>
                    <w:t>as victim survivors</w:t>
                  </w:r>
                  <w:r w:rsidR="008513D2">
                    <w:rPr>
                      <w:lang w:val="en-US"/>
                    </w:rPr>
                    <w:t xml:space="preserve">. </w:t>
                  </w:r>
                  <w:r w:rsidR="00D14EF8">
                    <w:rPr>
                      <w:lang w:val="en-US"/>
                    </w:rPr>
                    <w:t xml:space="preserve">Seven victim survivors directly </w:t>
                  </w:r>
                  <w:r>
                    <w:rPr>
                      <w:lang w:val="en-US"/>
                    </w:rPr>
                    <w:t xml:space="preserve">noted that their service provider educated them </w:t>
                  </w:r>
                  <w:r w:rsidR="00241D67">
                    <w:rPr>
                      <w:lang w:val="en-US"/>
                    </w:rPr>
                    <w:t>about</w:t>
                  </w:r>
                  <w:r>
                    <w:rPr>
                      <w:lang w:val="en-US"/>
                    </w:rPr>
                    <w:t xml:space="preserve"> family violence, identifying abuse </w:t>
                  </w:r>
                  <w:r w:rsidR="004B7F74">
                    <w:rPr>
                      <w:lang w:val="en-US"/>
                    </w:rPr>
                    <w:t>with</w:t>
                  </w:r>
                  <w:r>
                    <w:rPr>
                      <w:lang w:val="en-US"/>
                    </w:rPr>
                    <w:t>in their relationships</w:t>
                  </w:r>
                  <w:r w:rsidR="004B7F74">
                    <w:rPr>
                      <w:lang w:val="en-US"/>
                    </w:rPr>
                    <w:t xml:space="preserve">, and </w:t>
                  </w:r>
                  <w:r w:rsidR="0021000D">
                    <w:rPr>
                      <w:lang w:val="en-US"/>
                    </w:rPr>
                    <w:t>information</w:t>
                  </w:r>
                  <w:r w:rsidR="004F1A80">
                    <w:rPr>
                      <w:lang w:val="en-US"/>
                    </w:rPr>
                    <w:t xml:space="preserve"> on navigating their relationships to support the </w:t>
                  </w:r>
                  <w:r w:rsidR="00A673BF">
                    <w:rPr>
                      <w:lang w:val="en-US"/>
                    </w:rPr>
                    <w:t>safety</w:t>
                  </w:r>
                  <w:r w:rsidR="004F1A80">
                    <w:rPr>
                      <w:lang w:val="en-US"/>
                    </w:rPr>
                    <w:t xml:space="preserve"> of themselves, and their families. </w:t>
                  </w:r>
                </w:p>
                <w:p w14:paraId="57C113AF" w14:textId="5F708C78" w:rsidR="008067F6" w:rsidRPr="007B623E" w:rsidRDefault="008067F6" w:rsidP="008067F6">
                  <w:pPr>
                    <w:pBdr>
                      <w:left w:val="single" w:sz="18" w:space="4" w:color="78B800" w:themeColor="accent1"/>
                    </w:pBdr>
                    <w:tabs>
                      <w:tab w:val="left" w:pos="8080"/>
                    </w:tabs>
                    <w:spacing w:after="0"/>
                    <w:ind w:left="851" w:right="949"/>
                    <w:rPr>
                      <w:i/>
                    </w:rPr>
                  </w:pPr>
                  <w:r w:rsidRPr="008E1B83">
                    <w:rPr>
                      <w:i/>
                      <w:noProof/>
                    </w:rPr>
                    <w:drawing>
                      <wp:anchor distT="0" distB="0" distL="114300" distR="114300" simplePos="0" relativeHeight="251658270" behindDoc="0" locked="1" layoutInCell="1" allowOverlap="1" wp14:anchorId="679C59B1" wp14:editId="4E131938">
                        <wp:simplePos x="0" y="0"/>
                        <wp:positionH relativeFrom="column">
                          <wp:posOffset>0</wp:posOffset>
                        </wp:positionH>
                        <wp:positionV relativeFrom="paragraph">
                          <wp:posOffset>0</wp:posOffset>
                        </wp:positionV>
                        <wp:extent cx="384810" cy="320040"/>
                        <wp:effectExtent l="0" t="0" r="0" b="3810"/>
                        <wp:wrapNone/>
                        <wp:docPr id="883611840" name="Graphic 883611840" descr="P1942#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611840" name="Graphic 883611840" descr="P1942#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E1B83">
                    <w:rPr>
                      <w:i/>
                    </w:rPr>
                    <w:t xml:space="preserve">When I went there, I had been married for </w:t>
                  </w:r>
                  <w:r w:rsidR="00491A0A">
                    <w:rPr>
                      <w:i/>
                    </w:rPr>
                    <w:t>[over 20] years</w:t>
                  </w:r>
                  <w:r w:rsidRPr="008E1B83">
                    <w:rPr>
                      <w:i/>
                    </w:rPr>
                    <w:t xml:space="preserve">. I was told that I was probably in a family violence marriage all my married </w:t>
                  </w:r>
                  <w:r w:rsidRPr="000B0940">
                    <w:rPr>
                      <w:i/>
                    </w:rPr>
                    <w:t>life</w:t>
                  </w:r>
                  <w:r w:rsidR="000B0940" w:rsidRPr="000B0940">
                    <w:rPr>
                      <w:i/>
                    </w:rPr>
                    <w:t>,</w:t>
                  </w:r>
                  <w:r w:rsidRPr="008E1B83">
                    <w:rPr>
                      <w:i/>
                    </w:rPr>
                    <w:t xml:space="preserve"> but I didn’t know that. Just them explaining to me all the parts of the family violence – the emotional, psychological, I wasn’t aware of all of that stuff. They’ve helped me with my daughter – they’ve seen my </w:t>
                  </w:r>
                  <w:r w:rsidR="00B16881">
                    <w:rPr>
                      <w:i/>
                    </w:rPr>
                    <w:t>child</w:t>
                  </w:r>
                  <w:r w:rsidRPr="008E1B83">
                    <w:rPr>
                      <w:i/>
                    </w:rPr>
                    <w:t xml:space="preserve"> on occasion. That’s some of the things that have helped me – with grounding strategies, help sleeping</w:t>
                  </w:r>
                  <w:r w:rsidR="00EE3E17">
                    <w:rPr>
                      <w:i/>
                    </w:rPr>
                    <w:t>,</w:t>
                  </w:r>
                  <w:r w:rsidRPr="008E1B83">
                    <w:rPr>
                      <w:i/>
                    </w:rPr>
                    <w:t xml:space="preserve"> all those sorts of things, and just talking and listening</w:t>
                  </w:r>
                  <w:r>
                    <w:t xml:space="preserve"> </w:t>
                  </w:r>
                  <w:r w:rsidRPr="002E7992">
                    <w:rPr>
                      <w:b/>
                      <w:bCs/>
                      <w:i/>
                      <w:iCs/>
                    </w:rPr>
                    <w:t>–</w:t>
                  </w:r>
                  <w:r>
                    <w:rPr>
                      <w:b/>
                      <w:bCs/>
                      <w:i/>
                      <w:iCs/>
                    </w:rPr>
                    <w:t xml:space="preserve"> FaRS s</w:t>
                  </w:r>
                  <w:r w:rsidRPr="002E7992">
                    <w:rPr>
                      <w:b/>
                      <w:bCs/>
                      <w:i/>
                      <w:iCs/>
                    </w:rPr>
                    <w:t xml:space="preserve">ervice </w:t>
                  </w:r>
                  <w:r>
                    <w:rPr>
                      <w:b/>
                      <w:bCs/>
                      <w:i/>
                      <w:iCs/>
                    </w:rPr>
                    <w:t>user</w:t>
                  </w:r>
                </w:p>
                <w:p w14:paraId="01F8062F" w14:textId="77777777" w:rsidR="008067F6" w:rsidRDefault="008067F6" w:rsidP="004253D0">
                  <w:pPr>
                    <w:pStyle w:val="Text"/>
                    <w:rPr>
                      <w:lang w:val="en-US"/>
                    </w:rPr>
                  </w:pPr>
                </w:p>
                <w:p w14:paraId="257089E4" w14:textId="2C54D410" w:rsidR="002B76AE" w:rsidRDefault="00D9713D" w:rsidP="0065745B">
                  <w:pPr>
                    <w:pStyle w:val="Text"/>
                  </w:pPr>
                  <w:r>
                    <w:rPr>
                      <w:lang w:val="en-US"/>
                    </w:rPr>
                    <w:t>O</w:t>
                  </w:r>
                  <w:r w:rsidR="00D720B5">
                    <w:rPr>
                      <w:lang w:val="en-US"/>
                    </w:rPr>
                    <w:t>ver</w:t>
                  </w:r>
                  <w:r w:rsidR="00D720B5" w:rsidRPr="00D720B5">
                    <w:rPr>
                      <w:lang w:val="en-AU"/>
                    </w:rPr>
                    <w:t xml:space="preserve"> 65% </w:t>
                  </w:r>
                  <w:r>
                    <w:rPr>
                      <w:lang w:val="en-AU"/>
                    </w:rPr>
                    <w:t xml:space="preserve">of survey respondents </w:t>
                  </w:r>
                  <w:r w:rsidR="00D720B5" w:rsidRPr="00D720B5">
                    <w:rPr>
                      <w:lang w:val="en-AU"/>
                    </w:rPr>
                    <w:t>agreed or strongly agreed that they had strategies to</w:t>
                  </w:r>
                  <w:r w:rsidR="00205EDF">
                    <w:rPr>
                      <w:lang w:val="en-AU"/>
                    </w:rPr>
                    <w:t xml:space="preserve"> </w:t>
                  </w:r>
                  <w:r w:rsidR="00D720B5" w:rsidRPr="009156F1">
                    <w:t>identify issues of personal and family safety (67.3%, n=105)​</w:t>
                  </w:r>
                  <w:r w:rsidR="00205EDF">
                    <w:t xml:space="preserve"> or </w:t>
                  </w:r>
                  <w:r w:rsidR="00D720B5" w:rsidRPr="009156F1">
                    <w:t>seek help for issues of personal and family safety (73.1%, n=114)</w:t>
                  </w:r>
                  <w:r w:rsidR="00205EDF">
                    <w:t xml:space="preserve"> (see </w:t>
                  </w:r>
                  <w:r w:rsidR="00205EDF" w:rsidRPr="008E1B83">
                    <w:rPr>
                      <w:b/>
                    </w:rPr>
                    <w:fldChar w:fldCharType="begin" w:fldLock="1"/>
                  </w:r>
                  <w:r w:rsidR="00205EDF" w:rsidRPr="008E1B83">
                    <w:rPr>
                      <w:b/>
                    </w:rPr>
                    <w:instrText xml:space="preserve"> REF _Ref205318916 \h </w:instrText>
                  </w:r>
                  <w:r w:rsidR="00205EDF">
                    <w:rPr>
                      <w:b/>
                      <w:bCs/>
                    </w:rPr>
                    <w:instrText xml:space="preserve"> \* MERGEFORMAT </w:instrText>
                  </w:r>
                  <w:r w:rsidR="00205EDF" w:rsidRPr="008E1B83">
                    <w:rPr>
                      <w:b/>
                    </w:rPr>
                  </w:r>
                  <w:r w:rsidR="00205EDF" w:rsidRPr="008E1B83">
                    <w:rPr>
                      <w:b/>
                    </w:rPr>
                    <w:fldChar w:fldCharType="separate"/>
                  </w:r>
                  <w:r w:rsidR="008F22E5" w:rsidRPr="008F22E5">
                    <w:rPr>
                      <w:rStyle w:val="Text-Bold"/>
                      <w:szCs w:val="22"/>
                    </w:rPr>
                    <w:t xml:space="preserve">Figure </w:t>
                  </w:r>
                  <w:r w:rsidR="008F22E5" w:rsidRPr="008F22E5">
                    <w:rPr>
                      <w:b/>
                      <w:bCs/>
                    </w:rPr>
                    <w:t>17</w:t>
                  </w:r>
                  <w:r w:rsidR="00205EDF" w:rsidRPr="008E1B83">
                    <w:rPr>
                      <w:b/>
                    </w:rPr>
                    <w:fldChar w:fldCharType="end"/>
                  </w:r>
                  <w:r w:rsidR="00205EDF">
                    <w:t xml:space="preserve"> below). </w:t>
                  </w:r>
                  <w:r w:rsidR="001E5297" w:rsidRPr="70B44A2E">
                    <w:t xml:space="preserve">Several service users reflected that attending a service which believed and affirmed their experiences supported them to feel safe. As a result, some service users reported increased confidence in applying their skills and knowledge within their relationships. </w:t>
                  </w:r>
                </w:p>
                <w:p w14:paraId="37D21C9D" w14:textId="5CC32B1D" w:rsidR="00ED44C5" w:rsidRPr="004673E7" w:rsidRDefault="00ED44C5" w:rsidP="00953B9E">
                  <w:pPr>
                    <w:pStyle w:val="TableFigure-Header"/>
                    <w:spacing w:line="276" w:lineRule="auto"/>
                    <w:jc w:val="both"/>
                    <w:rPr>
                      <w:rStyle w:val="Text-Bold"/>
                      <w:b/>
                      <w:szCs w:val="21"/>
                      <w:lang w:val="en-NZ"/>
                    </w:rPr>
                  </w:pPr>
                  <w:bookmarkStart w:id="391" w:name="_Ref208475812"/>
                  <w:bookmarkStart w:id="392" w:name="_Ref205318916"/>
                  <w:bookmarkStart w:id="393" w:name="_Toc205413059"/>
                  <w:bookmarkStart w:id="394" w:name="_Toc205413113"/>
                  <w:r w:rsidRPr="004673E7">
                    <w:rPr>
                      <w:rStyle w:val="Text-Bold"/>
                      <w:b/>
                      <w:szCs w:val="21"/>
                      <w:lang w:val="en-NZ"/>
                    </w:rPr>
                    <w:lastRenderedPageBreak/>
                    <w:t>Figure</w:t>
                  </w:r>
                  <w:bookmarkEnd w:id="391"/>
                  <w:r w:rsidRPr="004673E7">
                    <w:rPr>
                      <w:rStyle w:val="Text-Bold"/>
                      <w:b/>
                      <w:szCs w:val="21"/>
                      <w:lang w:val="en-NZ"/>
                    </w:rPr>
                    <w:t xml:space="preserve"> </w:t>
                  </w:r>
                  <w:r w:rsidR="00C64C3D" w:rsidRPr="004673E7">
                    <w:rPr>
                      <w:rStyle w:val="Text-Bold"/>
                      <w:b/>
                      <w:szCs w:val="21"/>
                      <w:lang w:val="en-NZ"/>
                    </w:rPr>
                    <w:fldChar w:fldCharType="begin"/>
                  </w:r>
                  <w:r w:rsidR="00C64C3D" w:rsidRPr="004673E7">
                    <w:rPr>
                      <w:rStyle w:val="Text-Bold"/>
                      <w:b/>
                      <w:szCs w:val="21"/>
                      <w:lang w:val="en-NZ"/>
                    </w:rPr>
                    <w:instrText xml:space="preserve"> SEQ Figure \* ARABIC </w:instrText>
                  </w:r>
                  <w:r w:rsidR="00C64C3D" w:rsidRPr="004673E7">
                    <w:rPr>
                      <w:rStyle w:val="Text-Bold"/>
                      <w:b/>
                      <w:szCs w:val="21"/>
                      <w:lang w:val="en-NZ"/>
                    </w:rPr>
                    <w:fldChar w:fldCharType="separate"/>
                  </w:r>
                  <w:r w:rsidR="008D2566">
                    <w:rPr>
                      <w:rStyle w:val="Text-Bold"/>
                      <w:b/>
                      <w:noProof/>
                      <w:szCs w:val="21"/>
                      <w:lang w:val="en-NZ"/>
                    </w:rPr>
                    <w:t>17</w:t>
                  </w:r>
                  <w:r w:rsidR="00C64C3D" w:rsidRPr="004673E7">
                    <w:rPr>
                      <w:rStyle w:val="Text-Bold"/>
                      <w:b/>
                      <w:szCs w:val="21"/>
                      <w:lang w:val="en-NZ"/>
                    </w:rPr>
                    <w:fldChar w:fldCharType="end"/>
                  </w:r>
                  <w:bookmarkEnd w:id="392"/>
                  <w:r w:rsidRPr="004673E7">
                    <w:rPr>
                      <w:rStyle w:val="Text-Bold"/>
                      <w:b/>
                      <w:szCs w:val="21"/>
                      <w:lang w:val="en-NZ"/>
                    </w:rPr>
                    <w:t>: As a result of using the service, I now have strategies to identify issues of personal and family safety, FaRS service users (n=158) / seek help when I need it for issues of personal and family safety, FaRS service users (n=157)</w:t>
                  </w:r>
                  <w:bookmarkEnd w:id="393"/>
                  <w:bookmarkEnd w:id="394"/>
                </w:p>
                <w:p w14:paraId="47A8A98F" w14:textId="75F72CD5" w:rsidR="00476FE6" w:rsidRPr="00381253" w:rsidRDefault="00825EF1" w:rsidP="000776F7">
                  <w:pPr>
                    <w:pStyle w:val="Text"/>
                    <w:rPr>
                      <w:lang w:val="en-AU"/>
                    </w:rPr>
                  </w:pPr>
                  <w:r w:rsidRPr="004548FD">
                    <w:rPr>
                      <w:noProof/>
                      <w:color w:val="ACB0B4" w:themeColor="accent4" w:themeShade="BF"/>
                    </w:rPr>
                    <w:drawing>
                      <wp:inline distT="0" distB="0" distL="0" distR="0" wp14:anchorId="78FAA9EA" wp14:editId="356E1C87">
                        <wp:extent cx="5658485" cy="3221501"/>
                        <wp:effectExtent l="0" t="0" r="18415" b="17145"/>
                        <wp:docPr id="1436414630" name="Chart 1">
                          <a:extLst xmlns:a="http://schemas.openxmlformats.org/drawingml/2006/main">
                            <a:ext uri="{FF2B5EF4-FFF2-40B4-BE49-F238E27FC236}">
                              <a16:creationId xmlns:a16="http://schemas.microsoft.com/office/drawing/2014/main" id="{B7F05021-5882-C403-5594-42F62B152F47}"/>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r w:rsidR="00476FE6" w:rsidRPr="008E1B83">
                    <w:rPr>
                      <w:i/>
                      <w:sz w:val="20"/>
                      <w:lang w:val="en-AU"/>
                    </w:rPr>
                    <w:t xml:space="preserve">Source: Service user survey </w:t>
                  </w:r>
                </w:p>
                <w:p w14:paraId="621E1690" w14:textId="4D2E1A97" w:rsidR="00F81938" w:rsidRDefault="00FA2127" w:rsidP="000776F7">
                  <w:pPr>
                    <w:pStyle w:val="Text"/>
                  </w:pPr>
                  <w:r w:rsidRPr="70B44A2E">
                    <w:t xml:space="preserve">Where the service did not increase feelings of personal and family safety, service users reported their service provider </w:t>
                  </w:r>
                  <w:r w:rsidR="00590F99" w:rsidRPr="70B44A2E">
                    <w:t>did not tailor their service to the presenting issue</w:t>
                  </w:r>
                  <w:r w:rsidR="00A01CA1" w:rsidRPr="70B44A2E">
                    <w:t>.</w:t>
                  </w:r>
                  <w:r w:rsidR="00E228F8" w:rsidRPr="70B44A2E">
                    <w:t xml:space="preserve"> </w:t>
                  </w:r>
                  <w:r w:rsidR="004412D7" w:rsidRPr="70B44A2E">
                    <w:t>Consequently</w:t>
                  </w:r>
                  <w:r w:rsidR="00A01CA1" w:rsidRPr="70B44A2E">
                    <w:t>, they</w:t>
                  </w:r>
                  <w:r w:rsidR="00E228F8" w:rsidRPr="70B44A2E">
                    <w:t xml:space="preserve"> </w:t>
                  </w:r>
                  <w:r w:rsidR="00217C37" w:rsidRPr="70B44A2E">
                    <w:t>did not</w:t>
                  </w:r>
                  <w:r w:rsidR="00E228F8" w:rsidRPr="70B44A2E">
                    <w:t xml:space="preserve"> </w:t>
                  </w:r>
                  <w:r w:rsidR="005A1181" w:rsidRPr="70B44A2E">
                    <w:t>feel understood</w:t>
                  </w:r>
                  <w:r w:rsidR="00E228F8" w:rsidRPr="70B44A2E">
                    <w:t xml:space="preserve">, or that the service they received </w:t>
                  </w:r>
                  <w:r w:rsidR="00217C37" w:rsidRPr="70B44A2E">
                    <w:t>w</w:t>
                  </w:r>
                  <w:r w:rsidR="00E228F8" w:rsidRPr="70B44A2E">
                    <w:t xml:space="preserve">as relevant to their needs. </w:t>
                  </w:r>
                  <w:r w:rsidR="00590F99" w:rsidRPr="70B44A2E">
                    <w:t xml:space="preserve">For further information on factors affecting outcomes for service users see </w:t>
                  </w:r>
                  <w:r w:rsidR="00C76EF0" w:rsidRPr="70B44A2E">
                    <w:rPr>
                      <w:b/>
                    </w:rPr>
                    <w:t xml:space="preserve">Section </w:t>
                  </w:r>
                  <w:r w:rsidR="00C76EF0" w:rsidRPr="008E1B83">
                    <w:rPr>
                      <w:b/>
                      <w:highlight w:val="yellow"/>
                      <w:lang w:val="en-AU"/>
                    </w:rPr>
                    <w:fldChar w:fldCharType="begin" w:fldLock="1"/>
                  </w:r>
                  <w:r w:rsidR="00C76EF0" w:rsidRPr="008E1B83">
                    <w:rPr>
                      <w:b/>
                      <w:lang w:val="en-AU"/>
                    </w:rPr>
                    <w:instrText xml:space="preserve"> REF _Ref205319071 \r \h </w:instrText>
                  </w:r>
                  <w:r w:rsidR="00C76EF0">
                    <w:rPr>
                      <w:b/>
                      <w:bCs/>
                      <w:highlight w:val="yellow"/>
                      <w:lang w:val="en-AU"/>
                    </w:rPr>
                    <w:instrText xml:space="preserve"> \* MERGEFORMAT </w:instrText>
                  </w:r>
                  <w:r w:rsidR="00C76EF0" w:rsidRPr="008E1B83">
                    <w:rPr>
                      <w:b/>
                      <w:highlight w:val="yellow"/>
                      <w:lang w:val="en-AU"/>
                    </w:rPr>
                  </w:r>
                  <w:r w:rsidR="00C76EF0" w:rsidRPr="008E1B83">
                    <w:rPr>
                      <w:b/>
                      <w:highlight w:val="yellow"/>
                      <w:lang w:val="en-AU"/>
                    </w:rPr>
                    <w:fldChar w:fldCharType="separate"/>
                  </w:r>
                  <w:r w:rsidR="008F22E5">
                    <w:rPr>
                      <w:b/>
                      <w:lang w:val="en-AU"/>
                    </w:rPr>
                    <w:t>5.3</w:t>
                  </w:r>
                  <w:r w:rsidR="00C76EF0" w:rsidRPr="008E1B83">
                    <w:rPr>
                      <w:b/>
                      <w:highlight w:val="yellow"/>
                      <w:lang w:val="en-AU"/>
                    </w:rPr>
                    <w:fldChar w:fldCharType="end"/>
                  </w:r>
                  <w:r w:rsidR="00C76EF0" w:rsidRPr="70B44A2E">
                    <w:t>.</w:t>
                  </w:r>
                </w:p>
                <w:p w14:paraId="3DC38CEA" w14:textId="33670D9C" w:rsidR="007A2F99" w:rsidRPr="007A2F99" w:rsidRDefault="007A2F99" w:rsidP="007A2F99">
                  <w:pPr>
                    <w:pStyle w:val="Text"/>
                    <w:rPr>
                      <w:lang w:val="en-AU"/>
                    </w:rPr>
                  </w:pPr>
                  <w:r w:rsidRPr="007A2F99">
                    <w:rPr>
                      <w:lang w:val="en-AU"/>
                    </w:rPr>
                    <w:t>Some FaRS service users reported that their service provider had given them referrals to other specialist services</w:t>
                  </w:r>
                  <w:r>
                    <w:rPr>
                      <w:lang w:val="en-AU"/>
                    </w:rPr>
                    <w:t>,</w:t>
                  </w:r>
                  <w:r w:rsidRPr="007A2F99">
                    <w:rPr>
                      <w:lang w:val="en-AU"/>
                    </w:rPr>
                    <w:t xml:space="preserve"> including mental health services, supporting their knowledge and ability to seek support outside of the FaRS service provider. However, some FaRS service users said they were either not referred to other services or the services that they were referred to were unhelpful or had long wait times which made getting access difficult</w:t>
                  </w:r>
                  <w:r w:rsidR="00B8230E">
                    <w:rPr>
                      <w:lang w:val="en-AU"/>
                    </w:rPr>
                    <w:t>.</w:t>
                  </w:r>
                </w:p>
                <w:p w14:paraId="6AE44B89" w14:textId="5F633D2F" w:rsidR="00A16D12" w:rsidRPr="0068308E" w:rsidRDefault="00A16D12" w:rsidP="00A16D12">
                  <w:pPr>
                    <w:pBdr>
                      <w:left w:val="single" w:sz="18" w:space="4" w:color="78B800" w:themeColor="accent1"/>
                    </w:pBdr>
                    <w:tabs>
                      <w:tab w:val="left" w:pos="8080"/>
                    </w:tabs>
                    <w:spacing w:after="0"/>
                    <w:ind w:left="851" w:right="949"/>
                    <w:rPr>
                      <w:b/>
                      <w:i/>
                    </w:rPr>
                  </w:pPr>
                  <w:r w:rsidRPr="008E1B83">
                    <w:rPr>
                      <w:i/>
                      <w:noProof/>
                    </w:rPr>
                    <w:drawing>
                      <wp:anchor distT="0" distB="0" distL="114300" distR="114300" simplePos="0" relativeHeight="251658271" behindDoc="0" locked="1" layoutInCell="1" allowOverlap="1" wp14:anchorId="5332B8A9" wp14:editId="260E6846">
                        <wp:simplePos x="0" y="0"/>
                        <wp:positionH relativeFrom="column">
                          <wp:posOffset>0</wp:posOffset>
                        </wp:positionH>
                        <wp:positionV relativeFrom="paragraph">
                          <wp:posOffset>0</wp:posOffset>
                        </wp:positionV>
                        <wp:extent cx="384810" cy="320040"/>
                        <wp:effectExtent l="0" t="0" r="0" b="3810"/>
                        <wp:wrapNone/>
                        <wp:docPr id="62685984" name="Graphic 62685984" descr="P1949#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85984" name="Graphic 62685984" descr="P1949#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E1B83">
                    <w:rPr>
                      <w:i/>
                    </w:rPr>
                    <w:t xml:space="preserve">The counsellor has said to my mum </w:t>
                  </w:r>
                  <w:r w:rsidR="0068308E" w:rsidRPr="008E1B83">
                    <w:rPr>
                      <w:i/>
                    </w:rPr>
                    <w:t>…</w:t>
                  </w:r>
                  <w:r w:rsidRPr="008E1B83">
                    <w:rPr>
                      <w:i/>
                    </w:rPr>
                    <w:t xml:space="preserve"> I think </w:t>
                  </w:r>
                  <w:r w:rsidR="0068308E" w:rsidRPr="008E1B83">
                    <w:rPr>
                      <w:i/>
                    </w:rPr>
                    <w:t>s</w:t>
                  </w:r>
                  <w:r w:rsidRPr="008E1B83">
                    <w:rPr>
                      <w:i/>
                    </w:rPr>
                    <w:t xml:space="preserve">he might benefit from seeing a psychologist by herself, but I don’t think she has [referred </w:t>
                  </w:r>
                  <w:r w:rsidR="00A249DD" w:rsidRPr="008E1B83">
                    <w:rPr>
                      <w:i/>
                    </w:rPr>
                    <w:t xml:space="preserve">her]. I find the </w:t>
                  </w:r>
                  <w:r w:rsidR="00661D3A" w:rsidRPr="008E1B83">
                    <w:rPr>
                      <w:i/>
                    </w:rPr>
                    <w:t>services</w:t>
                  </w:r>
                  <w:r w:rsidR="009F50FA">
                    <w:rPr>
                      <w:i/>
                    </w:rPr>
                    <w:t xml:space="preserve"> [</w:t>
                  </w:r>
                  <w:r w:rsidR="00906BDF">
                    <w:rPr>
                      <w:i/>
                    </w:rPr>
                    <w:t>…</w:t>
                  </w:r>
                  <w:r w:rsidR="009F50FA">
                    <w:rPr>
                      <w:i/>
                    </w:rPr>
                    <w:t>]</w:t>
                  </w:r>
                  <w:r w:rsidR="00661D3A" w:rsidRPr="008E1B83">
                    <w:rPr>
                      <w:i/>
                    </w:rPr>
                    <w:t xml:space="preserve"> a little more passive</w:t>
                  </w:r>
                  <w:r w:rsidRPr="002E7992">
                    <w:rPr>
                      <w:b/>
                      <w:bCs/>
                      <w:i/>
                      <w:iCs/>
                    </w:rPr>
                    <w:t xml:space="preserve"> –</w:t>
                  </w:r>
                  <w:r>
                    <w:rPr>
                      <w:b/>
                      <w:bCs/>
                      <w:i/>
                      <w:iCs/>
                    </w:rPr>
                    <w:t xml:space="preserve"> FaRS s</w:t>
                  </w:r>
                  <w:r w:rsidRPr="002E7992">
                    <w:rPr>
                      <w:b/>
                      <w:bCs/>
                      <w:i/>
                      <w:iCs/>
                    </w:rPr>
                    <w:t xml:space="preserve">ervice </w:t>
                  </w:r>
                  <w:r>
                    <w:rPr>
                      <w:b/>
                      <w:bCs/>
                      <w:i/>
                      <w:iCs/>
                    </w:rPr>
                    <w:t>user</w:t>
                  </w:r>
                </w:p>
                <w:p w14:paraId="4C9EA8DE" w14:textId="77777777" w:rsidR="001F7EBE" w:rsidRDefault="001F7EBE" w:rsidP="000776F7">
                  <w:pPr>
                    <w:pStyle w:val="Text"/>
                    <w:rPr>
                      <w:lang w:val="en-AU"/>
                    </w:rPr>
                  </w:pPr>
                </w:p>
                <w:p w14:paraId="6F95F095" w14:textId="2715B453" w:rsidR="0072551B" w:rsidRPr="00953B9E" w:rsidRDefault="0072551B" w:rsidP="00953B9E">
                  <w:pPr>
                    <w:pStyle w:val="Text-BodyHeading"/>
                  </w:pPr>
                  <w:r>
                    <w:t xml:space="preserve">Modelling healthy and respectful relationships </w:t>
                  </w:r>
                </w:p>
                <w:p w14:paraId="2D8B9A5C" w14:textId="33F16C1A" w:rsidR="00E7419B" w:rsidRPr="00DE647E" w:rsidRDefault="00E7419B" w:rsidP="000776F7">
                  <w:pPr>
                    <w:pStyle w:val="Text"/>
                    <w:rPr>
                      <w:i/>
                      <w:lang w:val="en-US"/>
                    </w:rPr>
                  </w:pPr>
                  <w:r>
                    <w:rPr>
                      <w:lang w:val="en-US"/>
                    </w:rPr>
                    <w:t xml:space="preserve">FaRS generally increased </w:t>
                  </w:r>
                  <w:r w:rsidR="00E117BF">
                    <w:rPr>
                      <w:lang w:val="en-US"/>
                    </w:rPr>
                    <w:t>service users’</w:t>
                  </w:r>
                  <w:r>
                    <w:rPr>
                      <w:lang w:val="en-US"/>
                    </w:rPr>
                    <w:t xml:space="preserve"> knowledge</w:t>
                  </w:r>
                  <w:r w:rsidR="002274E3">
                    <w:rPr>
                      <w:lang w:val="en-US"/>
                    </w:rPr>
                    <w:t>,</w:t>
                  </w:r>
                  <w:r>
                    <w:rPr>
                      <w:lang w:val="en-US"/>
                    </w:rPr>
                    <w:t xml:space="preserve"> skills and access</w:t>
                  </w:r>
                  <w:r w:rsidR="00E117BF">
                    <w:rPr>
                      <w:lang w:val="en-US"/>
                    </w:rPr>
                    <w:t xml:space="preserve"> to support</w:t>
                  </w:r>
                  <w:r>
                    <w:rPr>
                      <w:lang w:val="en-US"/>
                    </w:rPr>
                    <w:t xml:space="preserve"> to </w:t>
                  </w:r>
                  <w:r w:rsidR="00E117BF">
                    <w:rPr>
                      <w:lang w:val="en-US"/>
                    </w:rPr>
                    <w:t>enable them to model</w:t>
                  </w:r>
                  <w:r>
                    <w:rPr>
                      <w:lang w:val="en-US"/>
                    </w:rPr>
                    <w:t xml:space="preserve"> healthy relationships</w:t>
                  </w:r>
                  <w:r w:rsidR="008E3F56">
                    <w:rPr>
                      <w:lang w:val="en-US"/>
                    </w:rPr>
                    <w:t xml:space="preserve">. </w:t>
                  </w:r>
                  <w:r w:rsidR="002F709C">
                    <w:rPr>
                      <w:lang w:val="en-US"/>
                    </w:rPr>
                    <w:t xml:space="preserve">Communication difficulties, and conflict as a result of these difficulties, were common presenting issues for FaRS service </w:t>
                  </w:r>
                  <w:r w:rsidR="009446AE">
                    <w:rPr>
                      <w:lang w:val="en-US"/>
                    </w:rPr>
                    <w:t>users</w:t>
                  </w:r>
                  <w:r w:rsidR="00F42071">
                    <w:rPr>
                      <w:lang w:val="en-US"/>
                    </w:rPr>
                    <w:t>.</w:t>
                  </w:r>
                  <w:r w:rsidR="00D937C2">
                    <w:rPr>
                      <w:lang w:val="en-US"/>
                    </w:rPr>
                    <w:t xml:space="preserve"> </w:t>
                  </w:r>
                  <w:r w:rsidR="006173DD">
                    <w:rPr>
                      <w:lang w:val="en-US"/>
                    </w:rPr>
                    <w:t xml:space="preserve">Couples and families </w:t>
                  </w:r>
                  <w:r w:rsidR="00585B68">
                    <w:rPr>
                      <w:lang w:val="en-US"/>
                    </w:rPr>
                    <w:t xml:space="preserve">found FaRS services helpful in </w:t>
                  </w:r>
                  <w:r w:rsidR="00BD1F28">
                    <w:rPr>
                      <w:lang w:val="en-US"/>
                    </w:rPr>
                    <w:t>developing more effective communication skills.</w:t>
                  </w:r>
                  <w:r w:rsidR="00360280">
                    <w:rPr>
                      <w:lang w:val="en-US"/>
                    </w:rPr>
                    <w:t xml:space="preserve"> This included active listening</w:t>
                  </w:r>
                  <w:r w:rsidR="00BD1F28">
                    <w:rPr>
                      <w:lang w:val="en-US"/>
                    </w:rPr>
                    <w:t xml:space="preserve"> </w:t>
                  </w:r>
                  <w:r w:rsidR="00360280">
                    <w:rPr>
                      <w:lang w:val="en-US"/>
                    </w:rPr>
                    <w:t xml:space="preserve">skills, </w:t>
                  </w:r>
                  <w:r w:rsidR="001E3933">
                    <w:rPr>
                      <w:lang w:val="en-US"/>
                    </w:rPr>
                    <w:t xml:space="preserve">remaining calm, and practicing empathy. </w:t>
                  </w:r>
                  <w:r w:rsidR="009F7990">
                    <w:rPr>
                      <w:lang w:val="en-US"/>
                    </w:rPr>
                    <w:t>Collaborating</w:t>
                  </w:r>
                  <w:r w:rsidR="00DA366C">
                    <w:rPr>
                      <w:lang w:val="en-US"/>
                    </w:rPr>
                    <w:t xml:space="preserve"> as a family, or as partners, enabled </w:t>
                  </w:r>
                  <w:r w:rsidR="00A419B2">
                    <w:rPr>
                      <w:lang w:val="en-US"/>
                    </w:rPr>
                    <w:t>service users to better understand one another.</w:t>
                  </w:r>
                </w:p>
                <w:p w14:paraId="553C5C4F" w14:textId="64471BD4" w:rsidR="00C86A1A" w:rsidRPr="009F50FA" w:rsidRDefault="00C86A1A" w:rsidP="00C86A1A">
                  <w:pPr>
                    <w:pBdr>
                      <w:left w:val="single" w:sz="18" w:space="4" w:color="78B800" w:themeColor="accent1"/>
                    </w:pBdr>
                    <w:tabs>
                      <w:tab w:val="left" w:pos="8080"/>
                    </w:tabs>
                    <w:spacing w:after="0"/>
                    <w:ind w:left="851" w:right="949"/>
                    <w:rPr>
                      <w:i/>
                    </w:rPr>
                  </w:pPr>
                  <w:r w:rsidRPr="008E1B83">
                    <w:rPr>
                      <w:i/>
                      <w:noProof/>
                    </w:rPr>
                    <w:lastRenderedPageBreak/>
                    <w:drawing>
                      <wp:anchor distT="0" distB="0" distL="114300" distR="114300" simplePos="0" relativeHeight="251658272" behindDoc="0" locked="1" layoutInCell="1" allowOverlap="1" wp14:anchorId="07AE2ED3" wp14:editId="04209C6D">
                        <wp:simplePos x="0" y="0"/>
                        <wp:positionH relativeFrom="column">
                          <wp:posOffset>0</wp:posOffset>
                        </wp:positionH>
                        <wp:positionV relativeFrom="paragraph">
                          <wp:posOffset>0</wp:posOffset>
                        </wp:positionV>
                        <wp:extent cx="384810" cy="320040"/>
                        <wp:effectExtent l="0" t="0" r="0" b="3810"/>
                        <wp:wrapNone/>
                        <wp:docPr id="857969699" name="Graphic 857969699" descr="P1953#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969699" name="Graphic 857969699" descr="P1953#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E1B83">
                    <w:rPr>
                      <w:i/>
                    </w:rPr>
                    <w:t>What I loved about [service provider] is that they gave me, my son and</w:t>
                  </w:r>
                  <w:r w:rsidR="009F50FA">
                    <w:rPr>
                      <w:i/>
                    </w:rPr>
                    <w:t xml:space="preserve"> </w:t>
                  </w:r>
                  <w:r w:rsidRPr="008E1B83">
                    <w:rPr>
                      <w:i/>
                    </w:rPr>
                    <w:t xml:space="preserve">daughter each an individual counsellor. Every week we came </w:t>
                  </w:r>
                  <w:r w:rsidR="00181AD8" w:rsidRPr="008E1B83">
                    <w:rPr>
                      <w:i/>
                    </w:rPr>
                    <w:t>back,</w:t>
                  </w:r>
                  <w:r w:rsidRPr="008E1B83">
                    <w:rPr>
                      <w:i/>
                    </w:rPr>
                    <w:t xml:space="preserve"> and they</w:t>
                  </w:r>
                  <w:r w:rsidR="009F50FA">
                    <w:rPr>
                      <w:i/>
                    </w:rPr>
                    <w:t xml:space="preserve"> </w:t>
                  </w:r>
                  <w:r w:rsidRPr="008E1B83">
                    <w:rPr>
                      <w:i/>
                    </w:rPr>
                    <w:t>gave us new ideas and tips about how to communicate together. It was never about blame, it was about progressively working together and working on having a good relationship</w:t>
                  </w:r>
                  <w:r w:rsidR="00997016">
                    <w:t xml:space="preserve"> </w:t>
                  </w:r>
                  <w:r w:rsidRPr="002E7992">
                    <w:rPr>
                      <w:b/>
                      <w:bCs/>
                      <w:i/>
                      <w:iCs/>
                    </w:rPr>
                    <w:t>–</w:t>
                  </w:r>
                  <w:r>
                    <w:rPr>
                      <w:b/>
                      <w:bCs/>
                      <w:i/>
                      <w:iCs/>
                    </w:rPr>
                    <w:t xml:space="preserve"> FaRS s</w:t>
                  </w:r>
                  <w:r w:rsidRPr="002E7992">
                    <w:rPr>
                      <w:b/>
                      <w:bCs/>
                      <w:i/>
                      <w:iCs/>
                    </w:rPr>
                    <w:t xml:space="preserve">ervice </w:t>
                  </w:r>
                  <w:r>
                    <w:rPr>
                      <w:b/>
                      <w:bCs/>
                      <w:i/>
                      <w:iCs/>
                    </w:rPr>
                    <w:t>user</w:t>
                  </w:r>
                </w:p>
                <w:p w14:paraId="4A7EFFEA" w14:textId="0BACE257" w:rsidR="00C86A1A" w:rsidRDefault="00C86A1A" w:rsidP="000776F7">
                  <w:pPr>
                    <w:pStyle w:val="Text"/>
                    <w:rPr>
                      <w:lang w:val="en-US"/>
                    </w:rPr>
                  </w:pPr>
                </w:p>
                <w:p w14:paraId="1FEA4CA0" w14:textId="17CA0043" w:rsidR="00A419B2" w:rsidRDefault="00A419B2" w:rsidP="000776F7">
                  <w:pPr>
                    <w:pStyle w:val="Text"/>
                    <w:rPr>
                      <w:lang w:val="en-US"/>
                    </w:rPr>
                  </w:pPr>
                  <w:r>
                    <w:rPr>
                      <w:lang w:val="en-US"/>
                    </w:rPr>
                    <w:t xml:space="preserve">Other techniques that </w:t>
                  </w:r>
                  <w:r w:rsidR="001E3933">
                    <w:rPr>
                      <w:lang w:val="en-US"/>
                    </w:rPr>
                    <w:t xml:space="preserve">supported </w:t>
                  </w:r>
                  <w:r>
                    <w:rPr>
                      <w:lang w:val="en-US"/>
                    </w:rPr>
                    <w:t xml:space="preserve">the </w:t>
                  </w:r>
                  <w:r w:rsidR="009641C9">
                    <w:rPr>
                      <w:lang w:val="en-US"/>
                    </w:rPr>
                    <w:t>modeling</w:t>
                  </w:r>
                  <w:r>
                    <w:rPr>
                      <w:lang w:val="en-US"/>
                    </w:rPr>
                    <w:t xml:space="preserve"> of healthy relationships included </w:t>
                  </w:r>
                  <w:r w:rsidR="001E3933">
                    <w:rPr>
                      <w:lang w:val="en-US"/>
                    </w:rPr>
                    <w:t xml:space="preserve">breathing and </w:t>
                  </w:r>
                  <w:r w:rsidR="009641C9">
                    <w:rPr>
                      <w:lang w:val="en-US"/>
                    </w:rPr>
                    <w:t xml:space="preserve">grounding skills, which enabled service users to be more present, and less reactive when in conflict with their partners. </w:t>
                  </w:r>
                </w:p>
                <w:p w14:paraId="30A75AB9" w14:textId="20A9E456" w:rsidR="009E15A8" w:rsidRPr="007B623E" w:rsidRDefault="009E15A8" w:rsidP="009E15A8">
                  <w:pPr>
                    <w:pBdr>
                      <w:left w:val="single" w:sz="18" w:space="4" w:color="78B800" w:themeColor="accent1"/>
                    </w:pBdr>
                    <w:tabs>
                      <w:tab w:val="left" w:pos="8080"/>
                    </w:tabs>
                    <w:spacing w:after="0"/>
                    <w:ind w:left="851" w:right="949"/>
                    <w:rPr>
                      <w:i/>
                    </w:rPr>
                  </w:pPr>
                  <w:r w:rsidRPr="008E1B83">
                    <w:rPr>
                      <w:i/>
                      <w:noProof/>
                    </w:rPr>
                    <w:drawing>
                      <wp:anchor distT="0" distB="0" distL="114300" distR="114300" simplePos="0" relativeHeight="251658273" behindDoc="0" locked="1" layoutInCell="1" allowOverlap="1" wp14:anchorId="1F503DEE" wp14:editId="77D555CA">
                        <wp:simplePos x="0" y="0"/>
                        <wp:positionH relativeFrom="column">
                          <wp:posOffset>0</wp:posOffset>
                        </wp:positionH>
                        <wp:positionV relativeFrom="paragraph">
                          <wp:posOffset>0</wp:posOffset>
                        </wp:positionV>
                        <wp:extent cx="384810" cy="320040"/>
                        <wp:effectExtent l="0" t="0" r="0" b="3810"/>
                        <wp:wrapNone/>
                        <wp:docPr id="1161563064" name="Graphic 1161563064" descr="P1956#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563064" name="Graphic 1161563064" descr="P1956#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2579F" w:rsidRPr="008E1B83">
                    <w:rPr>
                      <w:i/>
                    </w:rPr>
                    <w:t xml:space="preserve">Yeah, I definitely learned from couples counselling. I definitely learned from my side, at least to communicate better. I definitely had tendencies to just, you know, blame and say ‘you never and you always’ type of </w:t>
                  </w:r>
                  <w:r w:rsidR="00C76EF0">
                    <w:rPr>
                      <w:i/>
                    </w:rPr>
                    <w:t>[</w:t>
                  </w:r>
                  <w:r w:rsidR="00FC5A55" w:rsidRPr="008E1B83">
                    <w:rPr>
                      <w:i/>
                    </w:rPr>
                    <w:t>…</w:t>
                  </w:r>
                  <w:r w:rsidR="00C76EF0">
                    <w:rPr>
                      <w:i/>
                    </w:rPr>
                    <w:t>]</w:t>
                  </w:r>
                  <w:r w:rsidR="00C2579F" w:rsidRPr="008E1B83">
                    <w:rPr>
                      <w:i/>
                    </w:rPr>
                    <w:t xml:space="preserve"> arguments, which were never helpful. So</w:t>
                  </w:r>
                  <w:r w:rsidR="0059791A">
                    <w:rPr>
                      <w:i/>
                    </w:rPr>
                    <w:t xml:space="preserve"> [</w:t>
                  </w:r>
                  <w:r w:rsidR="00C2579F" w:rsidRPr="008E1B83">
                    <w:rPr>
                      <w:i/>
                    </w:rPr>
                    <w:t>…</w:t>
                  </w:r>
                  <w:r w:rsidR="0059791A">
                    <w:rPr>
                      <w:i/>
                    </w:rPr>
                    <w:t>]</w:t>
                  </w:r>
                  <w:r w:rsidR="009F50FA">
                    <w:rPr>
                      <w:i/>
                    </w:rPr>
                    <w:t xml:space="preserve"> </w:t>
                  </w:r>
                  <w:r w:rsidR="00C2579F" w:rsidRPr="008E1B83">
                    <w:rPr>
                      <w:i/>
                    </w:rPr>
                    <w:t>they provided some techniques</w:t>
                  </w:r>
                  <w:r w:rsidR="00C76EF0">
                    <w:rPr>
                      <w:i/>
                    </w:rPr>
                    <w:t xml:space="preserve"> </w:t>
                  </w:r>
                  <w:r w:rsidR="00C2579F" w:rsidRPr="008E1B83">
                    <w:rPr>
                      <w:i/>
                    </w:rPr>
                    <w:t>I definitely learned and do use [them] for myself</w:t>
                  </w:r>
                  <w:r w:rsidR="0059791A">
                    <w:rPr>
                      <w:i/>
                    </w:rPr>
                    <w:t xml:space="preserve"> [</w:t>
                  </w:r>
                  <w:r w:rsidR="00C2579F" w:rsidRPr="008E1B83">
                    <w:rPr>
                      <w:i/>
                    </w:rPr>
                    <w:t>…</w:t>
                  </w:r>
                  <w:r w:rsidR="0059791A">
                    <w:rPr>
                      <w:i/>
                    </w:rPr>
                    <w:t>]</w:t>
                  </w:r>
                  <w:r w:rsidR="00C2579F" w:rsidRPr="008E1B83">
                    <w:rPr>
                      <w:i/>
                    </w:rPr>
                    <w:t xml:space="preserve"> bringing myself back to moment, I can spiral pretty quick</w:t>
                  </w:r>
                  <w:r w:rsidR="00D30652">
                    <w:rPr>
                      <w:i/>
                    </w:rPr>
                    <w:t>[ly]</w:t>
                  </w:r>
                  <w:r w:rsidR="00C2579F" w:rsidRPr="008E1B83">
                    <w:rPr>
                      <w:i/>
                    </w:rPr>
                    <w:t>, so I do appreciate techniques that help me</w:t>
                  </w:r>
                  <w:r w:rsidR="0059791A">
                    <w:rPr>
                      <w:i/>
                    </w:rPr>
                    <w:t xml:space="preserve"> [</w:t>
                  </w:r>
                  <w:r w:rsidR="00C2579F" w:rsidRPr="008E1B83">
                    <w:rPr>
                      <w:i/>
                    </w:rPr>
                    <w:t>…</w:t>
                  </w:r>
                  <w:r w:rsidR="0059791A">
                    <w:rPr>
                      <w:i/>
                    </w:rPr>
                    <w:t>]</w:t>
                  </w:r>
                  <w:r w:rsidR="00C2579F" w:rsidRPr="008E1B83">
                    <w:rPr>
                      <w:i/>
                    </w:rPr>
                    <w:t xml:space="preserve"> ground myself</w:t>
                  </w:r>
                  <w:r w:rsidR="00997016">
                    <w:t xml:space="preserve"> </w:t>
                  </w:r>
                  <w:r w:rsidRPr="002E7992">
                    <w:rPr>
                      <w:b/>
                      <w:bCs/>
                      <w:i/>
                      <w:iCs/>
                    </w:rPr>
                    <w:t>–</w:t>
                  </w:r>
                  <w:r>
                    <w:rPr>
                      <w:b/>
                      <w:bCs/>
                      <w:i/>
                      <w:iCs/>
                    </w:rPr>
                    <w:t xml:space="preserve"> FaRS s</w:t>
                  </w:r>
                  <w:r w:rsidRPr="002E7992">
                    <w:rPr>
                      <w:b/>
                      <w:bCs/>
                      <w:i/>
                      <w:iCs/>
                    </w:rPr>
                    <w:t xml:space="preserve">ervice </w:t>
                  </w:r>
                  <w:r>
                    <w:rPr>
                      <w:b/>
                      <w:bCs/>
                      <w:i/>
                      <w:iCs/>
                    </w:rPr>
                    <w:t>user</w:t>
                  </w:r>
                </w:p>
                <w:p w14:paraId="7855EABC" w14:textId="77777777" w:rsidR="005515EA" w:rsidRDefault="005515EA" w:rsidP="00670F9C">
                  <w:pPr>
                    <w:pStyle w:val="Text"/>
                    <w:rPr>
                      <w:lang w:val="en-US"/>
                    </w:rPr>
                  </w:pPr>
                </w:p>
                <w:p w14:paraId="11475F1E" w14:textId="340E369E" w:rsidR="005515EA" w:rsidRDefault="001E3933" w:rsidP="00670F9C">
                  <w:pPr>
                    <w:pStyle w:val="Text"/>
                    <w:rPr>
                      <w:lang w:val="en-US"/>
                    </w:rPr>
                  </w:pPr>
                  <w:r>
                    <w:rPr>
                      <w:lang w:val="en-US"/>
                    </w:rPr>
                    <w:t>Thes</w:t>
                  </w:r>
                  <w:r w:rsidR="004E1DB1">
                    <w:rPr>
                      <w:lang w:val="en-US"/>
                    </w:rPr>
                    <w:t>e techniques</w:t>
                  </w:r>
                  <w:r>
                    <w:rPr>
                      <w:lang w:val="en-US"/>
                    </w:rPr>
                    <w:t xml:space="preserve"> and skills</w:t>
                  </w:r>
                  <w:r w:rsidR="004E1DB1">
                    <w:rPr>
                      <w:lang w:val="en-US"/>
                    </w:rPr>
                    <w:t xml:space="preserve"> </w:t>
                  </w:r>
                  <w:r w:rsidR="008B395D">
                    <w:rPr>
                      <w:lang w:val="en-US"/>
                    </w:rPr>
                    <w:t>supported service users</w:t>
                  </w:r>
                  <w:r w:rsidR="00CA3895">
                    <w:rPr>
                      <w:lang w:val="en-US"/>
                    </w:rPr>
                    <w:t xml:space="preserve"> </w:t>
                  </w:r>
                  <w:r w:rsidR="00320358">
                    <w:rPr>
                      <w:lang w:val="en-US"/>
                    </w:rPr>
                    <w:t xml:space="preserve">to </w:t>
                  </w:r>
                  <w:r w:rsidR="00CA3895">
                    <w:rPr>
                      <w:lang w:val="en-US"/>
                    </w:rPr>
                    <w:t xml:space="preserve">better manage </w:t>
                  </w:r>
                  <w:r w:rsidR="00793743">
                    <w:rPr>
                      <w:lang w:val="en-US"/>
                    </w:rPr>
                    <w:t>conflict and</w:t>
                  </w:r>
                  <w:r>
                    <w:rPr>
                      <w:lang w:val="en-US"/>
                    </w:rPr>
                    <w:t xml:space="preserve"> </w:t>
                  </w:r>
                  <w:r w:rsidR="00DC4803">
                    <w:rPr>
                      <w:lang w:val="en-US"/>
                    </w:rPr>
                    <w:t>supported the modeling of healthy relationships</w:t>
                  </w:r>
                  <w:r w:rsidR="00CA3895">
                    <w:rPr>
                      <w:lang w:val="en-US"/>
                    </w:rPr>
                    <w:t xml:space="preserve"> by enabling service users to communicate and solve their issues collaboratively</w:t>
                  </w:r>
                  <w:r w:rsidR="00793743">
                    <w:rPr>
                      <w:lang w:val="en-US"/>
                    </w:rPr>
                    <w:t>. Service users reported that</w:t>
                  </w:r>
                  <w:r w:rsidR="006D630E">
                    <w:rPr>
                      <w:lang w:val="en-US"/>
                    </w:rPr>
                    <w:t xml:space="preserve"> the skills they had learnt </w:t>
                  </w:r>
                  <w:r w:rsidR="00320358">
                    <w:rPr>
                      <w:lang w:val="en-US"/>
                    </w:rPr>
                    <w:t xml:space="preserve">through </w:t>
                  </w:r>
                  <w:r w:rsidR="006D630E">
                    <w:rPr>
                      <w:lang w:val="en-US"/>
                    </w:rPr>
                    <w:t xml:space="preserve">FaRS had </w:t>
                  </w:r>
                  <w:r w:rsidR="00320358">
                    <w:rPr>
                      <w:lang w:val="en-US"/>
                    </w:rPr>
                    <w:t xml:space="preserve">resulted in </w:t>
                  </w:r>
                  <w:r w:rsidR="006D630E">
                    <w:rPr>
                      <w:lang w:val="en-US"/>
                    </w:rPr>
                    <w:t xml:space="preserve">improvements in their </w:t>
                  </w:r>
                  <w:r w:rsidR="00F21C01">
                    <w:rPr>
                      <w:lang w:val="en-US"/>
                    </w:rPr>
                    <w:t>relationships or</w:t>
                  </w:r>
                  <w:r w:rsidR="006D630E">
                    <w:rPr>
                      <w:lang w:val="en-US"/>
                    </w:rPr>
                    <w:t xml:space="preserve"> had enabled partners </w:t>
                  </w:r>
                  <w:r w:rsidR="00B878EE">
                    <w:rPr>
                      <w:lang w:val="en-US"/>
                    </w:rPr>
                    <w:t xml:space="preserve">to </w:t>
                  </w:r>
                  <w:r w:rsidR="009641C9">
                    <w:rPr>
                      <w:lang w:val="en-US"/>
                    </w:rPr>
                    <w:t>dec</w:t>
                  </w:r>
                  <w:r w:rsidR="002409E6">
                    <w:rPr>
                      <w:lang w:val="en-US"/>
                    </w:rPr>
                    <w:t>ide to separate</w:t>
                  </w:r>
                  <w:r w:rsidR="006D630E">
                    <w:rPr>
                      <w:lang w:val="en-US"/>
                    </w:rPr>
                    <w:t xml:space="preserve">. </w:t>
                  </w:r>
                  <w:r w:rsidR="00F21C01">
                    <w:rPr>
                      <w:lang w:val="en-US"/>
                    </w:rPr>
                    <w:t>This was seen as a success by service users, as they were now able to communicate with future partners more effectively, and understand their own communication styles.</w:t>
                  </w:r>
                </w:p>
                <w:p w14:paraId="498A7F1A" w14:textId="4B376E4E" w:rsidR="00FC5A55" w:rsidRPr="007B623E" w:rsidRDefault="00FC5A55" w:rsidP="00FC5A55">
                  <w:pPr>
                    <w:pBdr>
                      <w:left w:val="single" w:sz="18" w:space="4" w:color="78B800" w:themeColor="accent1"/>
                    </w:pBdr>
                    <w:tabs>
                      <w:tab w:val="left" w:pos="8080"/>
                    </w:tabs>
                    <w:spacing w:after="0"/>
                    <w:ind w:left="851" w:right="949"/>
                    <w:rPr>
                      <w:i/>
                    </w:rPr>
                  </w:pPr>
                  <w:r w:rsidRPr="008E1B83">
                    <w:rPr>
                      <w:i/>
                      <w:noProof/>
                    </w:rPr>
                    <w:drawing>
                      <wp:anchor distT="0" distB="0" distL="114300" distR="114300" simplePos="0" relativeHeight="251658274" behindDoc="0" locked="1" layoutInCell="1" allowOverlap="1" wp14:anchorId="6165FC92" wp14:editId="6457BCE5">
                        <wp:simplePos x="0" y="0"/>
                        <wp:positionH relativeFrom="column">
                          <wp:posOffset>0</wp:posOffset>
                        </wp:positionH>
                        <wp:positionV relativeFrom="paragraph">
                          <wp:posOffset>0</wp:posOffset>
                        </wp:positionV>
                        <wp:extent cx="384810" cy="320040"/>
                        <wp:effectExtent l="0" t="0" r="0" b="3810"/>
                        <wp:wrapNone/>
                        <wp:docPr id="148283463" name="Graphic 148283463" descr="P1959#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283463" name="Graphic 148283463" descr="P1959#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9791A">
                    <w:rPr>
                      <w:i/>
                    </w:rPr>
                    <w:t>[I</w:t>
                  </w:r>
                  <w:r w:rsidRPr="008E1B83">
                    <w:rPr>
                      <w:i/>
                    </w:rPr>
                    <w:t>t] helped me get through two emotionally hard relationships and come out the other side with a clearer perspective of my own needs and actions</w:t>
                  </w:r>
                  <w:r w:rsidR="00997016">
                    <w:t xml:space="preserve"> </w:t>
                  </w:r>
                  <w:r w:rsidRPr="002E7992">
                    <w:rPr>
                      <w:b/>
                      <w:bCs/>
                      <w:i/>
                      <w:iCs/>
                    </w:rPr>
                    <w:t>–</w:t>
                  </w:r>
                  <w:r>
                    <w:rPr>
                      <w:b/>
                      <w:bCs/>
                      <w:i/>
                      <w:iCs/>
                    </w:rPr>
                    <w:t xml:space="preserve"> FaRS s</w:t>
                  </w:r>
                  <w:r w:rsidRPr="002E7992">
                    <w:rPr>
                      <w:b/>
                      <w:bCs/>
                      <w:i/>
                      <w:iCs/>
                    </w:rPr>
                    <w:t xml:space="preserve">ervice </w:t>
                  </w:r>
                  <w:r>
                    <w:rPr>
                      <w:b/>
                      <w:bCs/>
                      <w:i/>
                      <w:iCs/>
                    </w:rPr>
                    <w:t>user</w:t>
                  </w:r>
                </w:p>
                <w:p w14:paraId="488FA3C4" w14:textId="77777777" w:rsidR="00FC5A55" w:rsidRDefault="00FC5A55" w:rsidP="00670F9C">
                  <w:pPr>
                    <w:pStyle w:val="Text"/>
                    <w:rPr>
                      <w:lang w:val="en-US"/>
                    </w:rPr>
                  </w:pPr>
                </w:p>
                <w:p w14:paraId="38928B22" w14:textId="4576C439" w:rsidR="006D630E" w:rsidRDefault="006D630E" w:rsidP="00670F9C">
                  <w:pPr>
                    <w:pStyle w:val="Text"/>
                    <w:rPr>
                      <w:lang w:val="en-US"/>
                    </w:rPr>
                  </w:pPr>
                  <w:r>
                    <w:rPr>
                      <w:lang w:val="en-US"/>
                    </w:rPr>
                    <w:t xml:space="preserve">Service users </w:t>
                  </w:r>
                  <w:r w:rsidR="00F21C01">
                    <w:rPr>
                      <w:lang w:val="en-US"/>
                    </w:rPr>
                    <w:t xml:space="preserve">who found that </w:t>
                  </w:r>
                  <w:r w:rsidR="00320358">
                    <w:rPr>
                      <w:lang w:val="en-US"/>
                    </w:rPr>
                    <w:t xml:space="preserve">engagement with </w:t>
                  </w:r>
                  <w:r w:rsidR="00F21C01">
                    <w:rPr>
                      <w:lang w:val="en-US"/>
                    </w:rPr>
                    <w:t xml:space="preserve">FaRS did not improve their </w:t>
                  </w:r>
                  <w:r w:rsidR="000E4604">
                    <w:rPr>
                      <w:lang w:val="en-US"/>
                    </w:rPr>
                    <w:t xml:space="preserve">communication or conflict resolution </w:t>
                  </w:r>
                  <w:r w:rsidR="00F21C01">
                    <w:rPr>
                      <w:lang w:val="en-US"/>
                    </w:rPr>
                    <w:t xml:space="preserve">skills noted that their counsellor or facilitator was unable to provide concrete techniques that </w:t>
                  </w:r>
                  <w:r w:rsidR="000E4604">
                    <w:rPr>
                      <w:lang w:val="en-US"/>
                    </w:rPr>
                    <w:t>they could u</w:t>
                  </w:r>
                  <w:r w:rsidR="0068552C">
                    <w:rPr>
                      <w:lang w:val="en-US"/>
                    </w:rPr>
                    <w:t>se</w:t>
                  </w:r>
                  <w:r w:rsidR="000E4604">
                    <w:rPr>
                      <w:lang w:val="en-US"/>
                    </w:rPr>
                    <w:t xml:space="preserve"> in their day-to-day lives</w:t>
                  </w:r>
                  <w:r w:rsidR="00895C05" w:rsidRPr="00895C05">
                    <w:rPr>
                      <w:lang w:val="en-US"/>
                    </w:rPr>
                    <w:t xml:space="preserve"> (see </w:t>
                  </w:r>
                  <w:r w:rsidR="00895C05" w:rsidRPr="008E1B83">
                    <w:rPr>
                      <w:b/>
                      <w:bCs/>
                      <w:lang w:val="en-US"/>
                    </w:rPr>
                    <w:t>Section</w:t>
                  </w:r>
                  <w:r w:rsidR="000E4604" w:rsidRPr="008E1B83">
                    <w:rPr>
                      <w:b/>
                      <w:lang w:val="en-US"/>
                    </w:rPr>
                    <w:t xml:space="preserve"> </w:t>
                  </w:r>
                  <w:r w:rsidR="00331119">
                    <w:rPr>
                      <w:b/>
                      <w:lang w:val="en-US"/>
                    </w:rPr>
                    <w:fldChar w:fldCharType="begin" w:fldLock="1"/>
                  </w:r>
                  <w:r w:rsidR="00331119">
                    <w:rPr>
                      <w:b/>
                      <w:lang w:val="en-US"/>
                    </w:rPr>
                    <w:instrText xml:space="preserve"> REF _Ref208926359 \n \h </w:instrText>
                  </w:r>
                  <w:r w:rsidR="00331119">
                    <w:rPr>
                      <w:b/>
                      <w:lang w:val="en-US"/>
                    </w:rPr>
                  </w:r>
                  <w:r w:rsidR="00331119">
                    <w:rPr>
                      <w:b/>
                      <w:lang w:val="en-US"/>
                    </w:rPr>
                    <w:fldChar w:fldCharType="separate"/>
                  </w:r>
                  <w:r w:rsidR="008F22E5">
                    <w:rPr>
                      <w:b/>
                      <w:lang w:val="en-US"/>
                    </w:rPr>
                    <w:t>5.3</w:t>
                  </w:r>
                  <w:r w:rsidR="00331119">
                    <w:rPr>
                      <w:b/>
                      <w:lang w:val="en-US"/>
                    </w:rPr>
                    <w:fldChar w:fldCharType="end"/>
                  </w:r>
                  <w:r w:rsidR="00895C05" w:rsidRPr="008E1B83">
                    <w:rPr>
                      <w:lang w:val="en-US"/>
                    </w:rPr>
                    <w:t xml:space="preserve"> </w:t>
                  </w:r>
                  <w:r w:rsidR="00895C05" w:rsidRPr="00895C05">
                    <w:rPr>
                      <w:lang w:val="en-US"/>
                    </w:rPr>
                    <w:t>for</w:t>
                  </w:r>
                  <w:r w:rsidR="00895C05">
                    <w:rPr>
                      <w:lang w:val="en-US"/>
                    </w:rPr>
                    <w:t xml:space="preserve"> more detail).</w:t>
                  </w:r>
                </w:p>
                <w:p w14:paraId="77D528C5" w14:textId="6AE4FED9" w:rsidR="003E197F" w:rsidRPr="00953B9E" w:rsidRDefault="006B5917" w:rsidP="00953B9E">
                  <w:pPr>
                    <w:pStyle w:val="Text-BodyHeading"/>
                  </w:pPr>
                  <w:r>
                    <w:t>Res</w:t>
                  </w:r>
                  <w:r w:rsidR="003B6692" w:rsidRPr="003B6692">
                    <w:t>ilience, mental health and wellbeing</w:t>
                  </w:r>
                </w:p>
                <w:p w14:paraId="33AE87AC" w14:textId="6A393951" w:rsidR="000B4754" w:rsidRDefault="00661D3A" w:rsidP="00300690">
                  <w:pPr>
                    <w:pStyle w:val="Text"/>
                    <w:rPr>
                      <w:lang w:val="en-US"/>
                    </w:rPr>
                  </w:pPr>
                  <w:r w:rsidRPr="00F128A4">
                    <w:rPr>
                      <w:lang w:val="en-US"/>
                    </w:rPr>
                    <w:t xml:space="preserve">For many service users, the FaRS service has been instrumental to their </w:t>
                  </w:r>
                  <w:r w:rsidR="009E5471" w:rsidRPr="00F128A4">
                    <w:rPr>
                      <w:lang w:val="en-US"/>
                    </w:rPr>
                    <w:t>mental health</w:t>
                  </w:r>
                  <w:r w:rsidR="00A25CB8" w:rsidRPr="00F128A4">
                    <w:rPr>
                      <w:lang w:val="en-US"/>
                    </w:rPr>
                    <w:t xml:space="preserve"> and wellbeing. </w:t>
                  </w:r>
                  <w:r w:rsidR="007F56D0" w:rsidRPr="00F128A4">
                    <w:rPr>
                      <w:lang w:val="en-US"/>
                    </w:rPr>
                    <w:t xml:space="preserve">The DEX-SCORE change for </w:t>
                  </w:r>
                  <w:r w:rsidR="00F128A4" w:rsidRPr="00DE647E">
                    <w:rPr>
                      <w:lang w:val="en-US"/>
                    </w:rPr>
                    <w:t>mental health, wellbeing, and self-care was</w:t>
                  </w:r>
                  <w:r w:rsidR="007F56D0" w:rsidRPr="00F128A4">
                    <w:rPr>
                      <w:lang w:val="en-US"/>
                    </w:rPr>
                    <w:t xml:space="preserve"> the highest mean </w:t>
                  </w:r>
                  <w:r w:rsidR="009172F8" w:rsidRPr="00F128A4">
                    <w:rPr>
                      <w:lang w:val="en-US"/>
                    </w:rPr>
                    <w:t xml:space="preserve">earliest-latest SCORE change </w:t>
                  </w:r>
                  <w:r w:rsidR="00703E02" w:rsidRPr="00F128A4">
                    <w:rPr>
                      <w:lang w:val="en-US"/>
                    </w:rPr>
                    <w:t xml:space="preserve">(alongside </w:t>
                  </w:r>
                  <w:r w:rsidR="00D97880" w:rsidRPr="00F128A4">
                    <w:rPr>
                      <w:lang w:val="en-US"/>
                    </w:rPr>
                    <w:t>family</w:t>
                  </w:r>
                  <w:r w:rsidR="00F128A4">
                    <w:rPr>
                      <w:lang w:val="en-US"/>
                    </w:rPr>
                    <w:t xml:space="preserve"> functioning</w:t>
                  </w:r>
                  <w:r w:rsidR="00D97880" w:rsidRPr="00F128A4">
                    <w:rPr>
                      <w:lang w:val="en-US"/>
                    </w:rPr>
                    <w:t xml:space="preserve">) </w:t>
                  </w:r>
                  <w:r w:rsidR="00671126" w:rsidRPr="00F128A4">
                    <w:rPr>
                      <w:lang w:val="en-US"/>
                    </w:rPr>
                    <w:t xml:space="preserve">across the </w:t>
                  </w:r>
                  <w:r w:rsidR="000B0940" w:rsidRPr="00F128A4">
                    <w:rPr>
                      <w:lang w:val="en-US"/>
                    </w:rPr>
                    <w:t>C</w:t>
                  </w:r>
                  <w:r w:rsidR="00671126" w:rsidRPr="00F128A4">
                    <w:rPr>
                      <w:lang w:val="en-US"/>
                    </w:rPr>
                    <w:t>ircumstance</w:t>
                  </w:r>
                  <w:r w:rsidR="00441B5B">
                    <w:rPr>
                      <w:lang w:val="en-US"/>
                    </w:rPr>
                    <w:t>s</w:t>
                  </w:r>
                  <w:r w:rsidR="00671126" w:rsidRPr="00F128A4">
                    <w:rPr>
                      <w:lang w:val="en-US"/>
                    </w:rPr>
                    <w:t xml:space="preserve"> domain</w:t>
                  </w:r>
                  <w:r w:rsidR="00441B5B">
                    <w:rPr>
                      <w:lang w:val="en-US"/>
                    </w:rPr>
                    <w:t>s</w:t>
                  </w:r>
                  <w:r w:rsidR="00671126" w:rsidRPr="00F128A4">
                    <w:rPr>
                      <w:lang w:val="en-US"/>
                    </w:rPr>
                    <w:t xml:space="preserve"> at 0.8</w:t>
                  </w:r>
                  <w:r w:rsidR="008F6206">
                    <w:rPr>
                      <w:lang w:val="en-US"/>
                    </w:rPr>
                    <w:t xml:space="preserve">. </w:t>
                  </w:r>
                  <w:r w:rsidR="0039447A">
                    <w:rPr>
                      <w:lang w:val="en-US"/>
                    </w:rPr>
                    <w:t>55</w:t>
                  </w:r>
                  <w:r w:rsidR="00F128A4" w:rsidRPr="00DE647E">
                    <w:rPr>
                      <w:lang w:val="en-US"/>
                    </w:rPr>
                    <w:t>.</w:t>
                  </w:r>
                  <w:r w:rsidR="0039447A">
                    <w:rPr>
                      <w:lang w:val="en-US"/>
                    </w:rPr>
                    <w:t>5</w:t>
                  </w:r>
                  <w:r w:rsidR="00F128A4" w:rsidRPr="00DE647E">
                    <w:rPr>
                      <w:lang w:val="en-US"/>
                    </w:rPr>
                    <w:t>% of service users record</w:t>
                  </w:r>
                  <w:r w:rsidR="008F6206">
                    <w:rPr>
                      <w:lang w:val="en-US"/>
                    </w:rPr>
                    <w:t>ed</w:t>
                  </w:r>
                  <w:r w:rsidR="00F128A4" w:rsidRPr="00DE647E">
                    <w:rPr>
                      <w:lang w:val="en-US"/>
                    </w:rPr>
                    <w:t xml:space="preserve"> a positive change </w:t>
                  </w:r>
                  <w:r w:rsidR="00F128A4" w:rsidRPr="00F128A4">
                    <w:rPr>
                      <w:lang w:val="en-US"/>
                    </w:rPr>
                    <w:t xml:space="preserve">(see </w:t>
                  </w:r>
                  <w:r w:rsidR="00F128A4" w:rsidRPr="00AE6187">
                    <w:rPr>
                      <w:b/>
                      <w:bCs/>
                      <w:lang w:val="en-US"/>
                    </w:rPr>
                    <w:fldChar w:fldCharType="begin" w:fldLock="1"/>
                  </w:r>
                  <w:r w:rsidR="00F128A4" w:rsidRPr="00AE6187">
                    <w:rPr>
                      <w:b/>
                      <w:bCs/>
                      <w:lang w:val="en-US"/>
                    </w:rPr>
                    <w:instrText xml:space="preserve"> REF _Ref208409281 \h  \* MERGEFORMAT </w:instrText>
                  </w:r>
                  <w:r w:rsidR="00F128A4" w:rsidRPr="00AE6187">
                    <w:rPr>
                      <w:b/>
                      <w:bCs/>
                      <w:lang w:val="en-US"/>
                    </w:rPr>
                  </w:r>
                  <w:r w:rsidR="00F128A4" w:rsidRPr="00AE6187">
                    <w:rPr>
                      <w:b/>
                      <w:bCs/>
                      <w:lang w:val="en-US"/>
                    </w:rPr>
                    <w:fldChar w:fldCharType="separate"/>
                  </w:r>
                  <w:r w:rsidR="008F22E5" w:rsidRPr="008F22E5">
                    <w:rPr>
                      <w:b/>
                      <w:bCs/>
                    </w:rPr>
                    <w:t xml:space="preserve">Table </w:t>
                  </w:r>
                  <w:r w:rsidR="008F22E5" w:rsidRPr="008F22E5">
                    <w:rPr>
                      <w:b/>
                      <w:bCs/>
                      <w:noProof/>
                    </w:rPr>
                    <w:t>22</w:t>
                  </w:r>
                  <w:r w:rsidR="00F128A4" w:rsidRPr="00AE6187">
                    <w:rPr>
                      <w:b/>
                      <w:bCs/>
                      <w:lang w:val="en-US"/>
                    </w:rPr>
                    <w:fldChar w:fldCharType="end"/>
                  </w:r>
                  <w:r w:rsidR="00F128A4">
                    <w:rPr>
                      <w:lang w:val="en-US"/>
                    </w:rPr>
                    <w:t>).</w:t>
                  </w:r>
                </w:p>
                <w:p w14:paraId="7C53972A" w14:textId="77777777" w:rsidR="00953B9E" w:rsidRDefault="00953B9E" w:rsidP="00300690">
                  <w:pPr>
                    <w:pStyle w:val="Text"/>
                    <w:rPr>
                      <w:lang w:val="en-US"/>
                    </w:rPr>
                  </w:pPr>
                </w:p>
                <w:p w14:paraId="4AD27507" w14:textId="77777777" w:rsidR="00953B9E" w:rsidRDefault="00953B9E" w:rsidP="00300690">
                  <w:pPr>
                    <w:pStyle w:val="Text"/>
                    <w:rPr>
                      <w:lang w:val="en-US"/>
                    </w:rPr>
                  </w:pPr>
                </w:p>
                <w:p w14:paraId="6DD597DF" w14:textId="42726604" w:rsidR="00F128A4" w:rsidRPr="000B4754" w:rsidRDefault="00300690" w:rsidP="00953B9E">
                  <w:pPr>
                    <w:pStyle w:val="TableFigure-Header"/>
                    <w:spacing w:line="276" w:lineRule="auto"/>
                    <w:jc w:val="both"/>
                    <w:rPr>
                      <w:rStyle w:val="Text-Bold"/>
                      <w:b/>
                      <w:bCs/>
                    </w:rPr>
                  </w:pPr>
                  <w:bookmarkStart w:id="395" w:name="_Ref208409281"/>
                  <w:r w:rsidRPr="5AC90C80">
                    <w:rPr>
                      <w:lang w:val="en-NZ"/>
                    </w:rPr>
                    <w:t xml:space="preserve">Table </w:t>
                  </w:r>
                  <w:r w:rsidRPr="5AC90C80">
                    <w:fldChar w:fldCharType="begin"/>
                  </w:r>
                  <w:r>
                    <w:instrText xml:space="preserve"> SEQ Table \* ARABIC </w:instrText>
                  </w:r>
                  <w:r w:rsidRPr="5AC90C80">
                    <w:fldChar w:fldCharType="separate"/>
                  </w:r>
                  <w:r w:rsidR="008D2566">
                    <w:rPr>
                      <w:noProof/>
                    </w:rPr>
                    <w:t>22</w:t>
                  </w:r>
                  <w:r w:rsidRPr="5AC90C80">
                    <w:rPr>
                      <w:noProof/>
                    </w:rPr>
                    <w:fldChar w:fldCharType="end"/>
                  </w:r>
                  <w:bookmarkEnd w:id="395"/>
                  <w:r w:rsidR="00F128A4" w:rsidRPr="5AC90C80">
                    <w:rPr>
                      <w:lang w:val="en-NZ"/>
                    </w:rPr>
                    <w:t xml:space="preserve">: Earliest and latest mean SCORE change and percentage </w:t>
                  </w:r>
                  <w:r w:rsidR="000B4754" w:rsidRPr="5AC90C80">
                    <w:rPr>
                      <w:lang w:val="en-NZ"/>
                    </w:rPr>
                    <w:t xml:space="preserve">of service users </w:t>
                  </w:r>
                  <w:r w:rsidR="00F128A4" w:rsidRPr="5AC90C80">
                    <w:rPr>
                      <w:lang w:val="en-NZ"/>
                    </w:rPr>
                    <w:t>with positive SCORE change for mental health, wellbeing, and self-care, FaRS</w:t>
                  </w:r>
                  <w:r w:rsidR="12EFB805" w:rsidRPr="5AC90C80">
                    <w:rPr>
                      <w:lang w:val="en-NZ"/>
                    </w:rPr>
                    <w:t>,</w:t>
                  </w:r>
                  <w:r w:rsidR="12EFB805" w:rsidRPr="5AC90C80">
                    <w:rPr>
                      <w:rStyle w:val="Text-Bold"/>
                      <w:b/>
                      <w:bCs/>
                    </w:rPr>
                    <w:t xml:space="preserve"> July 2021 </w:t>
                  </w:r>
                  <w:r w:rsidR="00953B9E">
                    <w:rPr>
                      <w:rStyle w:val="Text-Bold"/>
                      <w:b/>
                      <w:bCs/>
                    </w:rPr>
                    <w:t xml:space="preserve">to </w:t>
                  </w:r>
                  <w:r w:rsidR="00953B9E" w:rsidRPr="5AC90C80">
                    <w:rPr>
                      <w:rStyle w:val="Text-Bold"/>
                      <w:b/>
                      <w:bCs/>
                    </w:rPr>
                    <w:t>June</w:t>
                  </w:r>
                  <w:r w:rsidR="12EFB805" w:rsidRPr="5AC90C80">
                    <w:rPr>
                      <w:rStyle w:val="Text-Bold"/>
                      <w:b/>
                      <w:bCs/>
                    </w:rPr>
                    <w:t xml:space="preserve"> 2024</w:t>
                  </w:r>
                </w:p>
                <w:tbl>
                  <w:tblPr>
                    <w:tblStyle w:val="ListTable3-Accent31"/>
                    <w:tblW w:w="89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99"/>
                    <w:gridCol w:w="2034"/>
                    <w:gridCol w:w="2419"/>
                    <w:gridCol w:w="2897"/>
                  </w:tblGrid>
                  <w:tr w:rsidR="00300690" w:rsidRPr="000D7494" w14:paraId="7C891AAD" w14:textId="77777777" w:rsidTr="00D032E3">
                    <w:trPr>
                      <w:cnfStyle w:val="100000000000" w:firstRow="1" w:lastRow="0" w:firstColumn="0" w:lastColumn="0" w:oddVBand="0" w:evenVBand="0" w:oddHBand="0" w:evenHBand="0" w:firstRowFirstColumn="0" w:firstRowLastColumn="0" w:lastRowFirstColumn="0" w:lastRowLastColumn="0"/>
                      <w:trHeight w:val="899"/>
                    </w:trPr>
                    <w:tc>
                      <w:tcPr>
                        <w:cnfStyle w:val="001000000100" w:firstRow="0" w:lastRow="0" w:firstColumn="1" w:lastColumn="0" w:oddVBand="0" w:evenVBand="0" w:oddHBand="0" w:evenHBand="0" w:firstRowFirstColumn="1" w:firstRowLastColumn="0" w:lastRowFirstColumn="0" w:lastRowLastColumn="0"/>
                        <w:tcW w:w="0" w:type="dxa"/>
                        <w:tcBorders>
                          <w:bottom w:val="none" w:sz="0" w:space="0" w:color="auto"/>
                          <w:right w:val="none" w:sz="0" w:space="0" w:color="auto"/>
                        </w:tcBorders>
                        <w:noWrap/>
                        <w:hideMark/>
                      </w:tcPr>
                      <w:p w14:paraId="4A2853B6" w14:textId="77777777" w:rsidR="00004341" w:rsidRPr="000D7494" w:rsidRDefault="00004341">
                        <w:pPr>
                          <w:pStyle w:val="TableText"/>
                        </w:pPr>
                        <w:r w:rsidRPr="000D7494">
                          <w:t>Outcome type</w:t>
                        </w:r>
                      </w:p>
                    </w:tc>
                    <w:tc>
                      <w:tcPr>
                        <w:tcW w:w="1907" w:type="dxa"/>
                        <w:noWrap/>
                        <w:hideMark/>
                      </w:tcPr>
                      <w:p w14:paraId="0820545F" w14:textId="77777777" w:rsidR="00004341" w:rsidRPr="000D7494" w:rsidRDefault="00004341">
                        <w:pPr>
                          <w:pStyle w:val="TableText"/>
                          <w:cnfStyle w:val="100000000000" w:firstRow="1" w:lastRow="0" w:firstColumn="0" w:lastColumn="0" w:oddVBand="0" w:evenVBand="0" w:oddHBand="0" w:evenHBand="0" w:firstRowFirstColumn="0" w:firstRowLastColumn="0" w:lastRowFirstColumn="0" w:lastRowLastColumn="0"/>
                        </w:pPr>
                        <w:r w:rsidRPr="000D7494">
                          <w:t>Domain</w:t>
                        </w:r>
                      </w:p>
                    </w:tc>
                    <w:tc>
                      <w:tcPr>
                        <w:tcW w:w="2268" w:type="dxa"/>
                      </w:tcPr>
                      <w:p w14:paraId="5B517F86" w14:textId="77777777" w:rsidR="00300690" w:rsidRPr="000D7494" w:rsidRDefault="00004341" w:rsidP="001C03F5">
                        <w:pPr>
                          <w:pStyle w:val="TableText"/>
                          <w:cnfStyle w:val="100000000000" w:firstRow="1" w:lastRow="0" w:firstColumn="0" w:lastColumn="0" w:oddVBand="0" w:evenVBand="0" w:oddHBand="0" w:evenHBand="0" w:firstRowFirstColumn="0" w:firstRowLastColumn="0" w:lastRowFirstColumn="0" w:lastRowLastColumn="0"/>
                        </w:pPr>
                        <w:r w:rsidRPr="000D7494">
                          <w:t>SCORE change (mean</w:t>
                        </w:r>
                        <w:r w:rsidR="00300690">
                          <w:t>, n=)</w:t>
                        </w:r>
                      </w:p>
                    </w:tc>
                    <w:tc>
                      <w:tcPr>
                        <w:tcW w:w="2717" w:type="dxa"/>
                        <w:hideMark/>
                      </w:tcPr>
                      <w:p w14:paraId="60962EAA" w14:textId="77777777" w:rsidR="00004341" w:rsidRPr="000D7494" w:rsidRDefault="00300690">
                        <w:pPr>
                          <w:pStyle w:val="TableText"/>
                          <w:cnfStyle w:val="100000000000" w:firstRow="1" w:lastRow="0" w:firstColumn="0" w:lastColumn="0" w:oddVBand="0" w:evenVBand="0" w:oddHBand="0" w:evenHBand="0" w:firstRowFirstColumn="0" w:firstRowLastColumn="0" w:lastRowFirstColumn="0" w:lastRowLastColumn="0"/>
                        </w:pPr>
                        <w:r>
                          <w:t>Service users</w:t>
                        </w:r>
                        <w:r w:rsidRPr="000D7494">
                          <w:t xml:space="preserve"> with</w:t>
                        </w:r>
                        <w:r w:rsidR="00004341" w:rsidRPr="000D7494">
                          <w:t xml:space="preserve"> positive change (%, n)</w:t>
                        </w:r>
                      </w:p>
                    </w:tc>
                  </w:tr>
                  <w:tr w:rsidR="003268D3" w:rsidRPr="000D7494" w14:paraId="0D271101" w14:textId="77777777" w:rsidTr="00D032E3">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0" w:type="dxa"/>
                        <w:tcBorders>
                          <w:top w:val="none" w:sz="0" w:space="0" w:color="auto"/>
                          <w:bottom w:val="none" w:sz="0" w:space="0" w:color="auto"/>
                          <w:right w:val="none" w:sz="0" w:space="0" w:color="auto"/>
                        </w:tcBorders>
                        <w:noWrap/>
                        <w:hideMark/>
                      </w:tcPr>
                      <w:p w14:paraId="32D166C5" w14:textId="77777777" w:rsidR="00004341" w:rsidRPr="0078378F" w:rsidRDefault="00004341">
                        <w:pPr>
                          <w:pStyle w:val="TableText"/>
                          <w:rPr>
                            <w:b w:val="0"/>
                          </w:rPr>
                        </w:pPr>
                        <w:r w:rsidRPr="0078378F">
                          <w:rPr>
                            <w:b w:val="0"/>
                          </w:rPr>
                          <w:t>Circumstance</w:t>
                        </w:r>
                      </w:p>
                    </w:tc>
                    <w:tc>
                      <w:tcPr>
                        <w:tcW w:w="1907" w:type="dxa"/>
                        <w:tcBorders>
                          <w:top w:val="none" w:sz="0" w:space="0" w:color="auto"/>
                          <w:bottom w:val="none" w:sz="0" w:space="0" w:color="auto"/>
                        </w:tcBorders>
                        <w:noWrap/>
                        <w:hideMark/>
                      </w:tcPr>
                      <w:p w14:paraId="26605A3A" w14:textId="043C0011" w:rsidR="00004341" w:rsidRPr="0078378F" w:rsidRDefault="00F128A4">
                        <w:pPr>
                          <w:pStyle w:val="TableText"/>
                          <w:cnfStyle w:val="000000100000" w:firstRow="0" w:lastRow="0" w:firstColumn="0" w:lastColumn="0" w:oddVBand="0" w:evenVBand="0" w:oddHBand="1" w:evenHBand="0" w:firstRowFirstColumn="0" w:firstRowLastColumn="0" w:lastRowFirstColumn="0" w:lastRowLastColumn="0"/>
                          <w:rPr>
                            <w:bCs/>
                          </w:rPr>
                        </w:pPr>
                        <w:r w:rsidRPr="0078378F">
                          <w:rPr>
                            <w:bCs/>
                          </w:rPr>
                          <w:t>Mental health, wellbeing, and self-care</w:t>
                        </w:r>
                      </w:p>
                    </w:tc>
                    <w:tc>
                      <w:tcPr>
                        <w:tcW w:w="2268" w:type="dxa"/>
                        <w:tcBorders>
                          <w:top w:val="none" w:sz="0" w:space="0" w:color="auto"/>
                          <w:bottom w:val="none" w:sz="0" w:space="0" w:color="auto"/>
                        </w:tcBorders>
                      </w:tcPr>
                      <w:p w14:paraId="5972218F" w14:textId="08783A15" w:rsidR="00300690" w:rsidRPr="000D7494" w:rsidRDefault="00300690" w:rsidP="001C03F5">
                        <w:pPr>
                          <w:pStyle w:val="TableText"/>
                          <w:cnfStyle w:val="000000100000" w:firstRow="0" w:lastRow="0" w:firstColumn="0" w:lastColumn="0" w:oddVBand="0" w:evenVBand="0" w:oddHBand="1" w:evenHBand="0" w:firstRowFirstColumn="0" w:firstRowLastColumn="0" w:lastRowFirstColumn="0" w:lastRowLastColumn="0"/>
                        </w:pPr>
                        <w:r>
                          <w:t>0.8 (n=</w:t>
                        </w:r>
                        <w:r w:rsidR="00555403">
                          <w:t>61,150</w:t>
                        </w:r>
                        <w:r>
                          <w:t>)</w:t>
                        </w:r>
                      </w:p>
                    </w:tc>
                    <w:tc>
                      <w:tcPr>
                        <w:tcW w:w="2717" w:type="dxa"/>
                        <w:tcBorders>
                          <w:top w:val="none" w:sz="0" w:space="0" w:color="auto"/>
                          <w:bottom w:val="none" w:sz="0" w:space="0" w:color="auto"/>
                        </w:tcBorders>
                        <w:noWrap/>
                        <w:hideMark/>
                      </w:tcPr>
                      <w:p w14:paraId="0A7E5786" w14:textId="36769E7D" w:rsidR="00004341" w:rsidRPr="000D7494" w:rsidRDefault="00555403">
                        <w:pPr>
                          <w:pStyle w:val="TableText"/>
                          <w:cnfStyle w:val="000000100000" w:firstRow="0" w:lastRow="0" w:firstColumn="0" w:lastColumn="0" w:oddVBand="0" w:evenVBand="0" w:oddHBand="1" w:evenHBand="0" w:firstRowFirstColumn="0" w:firstRowLastColumn="0" w:lastRowFirstColumn="0" w:lastRowLastColumn="0"/>
                        </w:pPr>
                        <w:r>
                          <w:t>55.5% (n=33,940)</w:t>
                        </w:r>
                      </w:p>
                    </w:tc>
                  </w:tr>
                </w:tbl>
                <w:p w14:paraId="72FD4D9A" w14:textId="3F25D8DC" w:rsidR="00CB17D8" w:rsidRDefault="00300690" w:rsidP="001B1CDA">
                  <w:pPr>
                    <w:pStyle w:val="Text"/>
                    <w:rPr>
                      <w:i/>
                      <w:sz w:val="20"/>
                      <w:szCs w:val="18"/>
                      <w:lang w:val="en-US"/>
                    </w:rPr>
                  </w:pPr>
                  <w:r w:rsidRPr="00DE647E">
                    <w:rPr>
                      <w:i/>
                      <w:sz w:val="20"/>
                      <w:szCs w:val="18"/>
                      <w:lang w:val="en-US"/>
                    </w:rPr>
                    <w:t xml:space="preserve">Source: DEX-SCORE data </w:t>
                  </w:r>
                </w:p>
                <w:p w14:paraId="6D3CD44E" w14:textId="2035934B" w:rsidR="00441B5B" w:rsidRDefault="008F6206" w:rsidP="004A5385">
                  <w:pPr>
                    <w:pStyle w:val="Text"/>
                    <w:rPr>
                      <w:lang w:val="en-AU"/>
                    </w:rPr>
                  </w:pPr>
                  <w:r>
                    <w:rPr>
                      <w:lang w:val="en-US"/>
                    </w:rPr>
                    <w:t>S</w:t>
                  </w:r>
                  <w:r w:rsidR="00441B5B" w:rsidRPr="00F128A4">
                    <w:rPr>
                      <w:lang w:val="en-US"/>
                    </w:rPr>
                    <w:t>ervice users</w:t>
                  </w:r>
                  <w:r>
                    <w:rPr>
                      <w:lang w:val="en-US"/>
                    </w:rPr>
                    <w:t xml:space="preserve"> described</w:t>
                  </w:r>
                  <w:r w:rsidR="00441B5B" w:rsidRPr="00F128A4">
                    <w:rPr>
                      <w:lang w:val="en-US"/>
                    </w:rPr>
                    <w:t xml:space="preserve"> present</w:t>
                  </w:r>
                  <w:r>
                    <w:rPr>
                      <w:lang w:val="en-US"/>
                    </w:rPr>
                    <w:t>ing</w:t>
                  </w:r>
                  <w:r w:rsidR="00441B5B" w:rsidRPr="00F128A4">
                    <w:rPr>
                      <w:lang w:val="en-US"/>
                    </w:rPr>
                    <w:t xml:space="preserve"> to their FaRS provider for a wide range of mental health and wellbeing issues, including trauma, grief, anxiety, depression, relationship or familial difficulties, and an inability to cope with issues or challenges in their day to day lives.</w:t>
                  </w:r>
                </w:p>
                <w:p w14:paraId="6BC0AC01" w14:textId="563D1471" w:rsidR="00794440" w:rsidRDefault="004A5385" w:rsidP="004A5385">
                  <w:pPr>
                    <w:pStyle w:val="Text"/>
                    <w:rPr>
                      <w:lang w:val="en-AU"/>
                    </w:rPr>
                  </w:pPr>
                  <w:r>
                    <w:rPr>
                      <w:lang w:val="en-AU"/>
                    </w:rPr>
                    <w:t>As a result of accessing a FaRS service, the majority of service user survey respondents agreed (45.6%, n=72) or strongly agreed (37.3%, n=59) that they had strategies to improve their mental health and wellbeing</w:t>
                  </w:r>
                  <w:r w:rsidR="00895C05">
                    <w:rPr>
                      <w:lang w:val="en-AU"/>
                    </w:rPr>
                    <w:t xml:space="preserve"> (see </w:t>
                  </w:r>
                  <w:r w:rsidR="00895C05" w:rsidRPr="00895C05">
                    <w:rPr>
                      <w:b/>
                      <w:bCs/>
                      <w:lang w:val="en-AU"/>
                    </w:rPr>
                    <w:fldChar w:fldCharType="begin" w:fldLock="1"/>
                  </w:r>
                  <w:r w:rsidR="00895C05" w:rsidRPr="00895C05">
                    <w:rPr>
                      <w:b/>
                      <w:bCs/>
                      <w:lang w:val="en-AU"/>
                    </w:rPr>
                    <w:instrText xml:space="preserve"> REF _Ref205319361 \h </w:instrText>
                  </w:r>
                  <w:r w:rsidR="00895C05">
                    <w:rPr>
                      <w:b/>
                      <w:bCs/>
                      <w:lang w:val="en-AU"/>
                    </w:rPr>
                    <w:instrText xml:space="preserve"> \* MERGEFORMAT </w:instrText>
                  </w:r>
                  <w:r w:rsidR="00895C05" w:rsidRPr="00895C05">
                    <w:rPr>
                      <w:b/>
                      <w:bCs/>
                      <w:lang w:val="en-AU"/>
                    </w:rPr>
                  </w:r>
                  <w:r w:rsidR="00895C05" w:rsidRPr="00895C05">
                    <w:rPr>
                      <w:b/>
                      <w:bCs/>
                      <w:lang w:val="en-AU"/>
                    </w:rPr>
                    <w:fldChar w:fldCharType="separate"/>
                  </w:r>
                  <w:r w:rsidR="008F22E5" w:rsidRPr="008F22E5">
                    <w:rPr>
                      <w:rStyle w:val="Text-Bold"/>
                      <w:szCs w:val="22"/>
                    </w:rPr>
                    <w:t xml:space="preserve">Figure </w:t>
                  </w:r>
                  <w:r w:rsidR="008F22E5" w:rsidRPr="008F22E5">
                    <w:rPr>
                      <w:b/>
                      <w:bCs/>
                    </w:rPr>
                    <w:t>18</w:t>
                  </w:r>
                  <w:r w:rsidR="00895C05" w:rsidRPr="00895C05">
                    <w:rPr>
                      <w:b/>
                      <w:bCs/>
                      <w:lang w:val="en-AU"/>
                    </w:rPr>
                    <w:fldChar w:fldCharType="end"/>
                  </w:r>
                  <w:r w:rsidR="00895C05">
                    <w:rPr>
                      <w:lang w:val="en-AU"/>
                    </w:rPr>
                    <w:t xml:space="preserve"> below).</w:t>
                  </w:r>
                  <w:r>
                    <w:rPr>
                      <w:lang w:val="en-AU"/>
                    </w:rPr>
                    <w:t xml:space="preserve"> </w:t>
                  </w:r>
                </w:p>
                <w:p w14:paraId="7F5A7149" w14:textId="3425469A" w:rsidR="004A5385" w:rsidRPr="004673E7" w:rsidRDefault="004A5385" w:rsidP="00953B9E">
                  <w:pPr>
                    <w:pStyle w:val="TableFigure-Header"/>
                    <w:spacing w:line="276" w:lineRule="auto"/>
                    <w:jc w:val="both"/>
                    <w:rPr>
                      <w:rStyle w:val="Text-Bold"/>
                      <w:b/>
                      <w:szCs w:val="21"/>
                      <w:lang w:val="en-NZ"/>
                    </w:rPr>
                  </w:pPr>
                  <w:bookmarkStart w:id="396" w:name="_Ref205319361"/>
                  <w:bookmarkStart w:id="397" w:name="_Toc205413061"/>
                  <w:bookmarkStart w:id="398" w:name="_Toc205413115"/>
                  <w:r w:rsidRPr="004673E7">
                    <w:rPr>
                      <w:rStyle w:val="Text-Bold"/>
                      <w:b/>
                      <w:szCs w:val="21"/>
                      <w:lang w:val="en-NZ"/>
                    </w:rPr>
                    <w:t xml:space="preserve">Figure </w:t>
                  </w:r>
                  <w:r w:rsidR="00C64C3D" w:rsidRPr="004673E7">
                    <w:rPr>
                      <w:rStyle w:val="Text-Bold"/>
                      <w:b/>
                      <w:szCs w:val="21"/>
                      <w:lang w:val="en-NZ"/>
                    </w:rPr>
                    <w:fldChar w:fldCharType="begin"/>
                  </w:r>
                  <w:r w:rsidR="00C64C3D" w:rsidRPr="004673E7">
                    <w:rPr>
                      <w:rStyle w:val="Text-Bold"/>
                      <w:b/>
                      <w:szCs w:val="21"/>
                      <w:lang w:val="en-NZ"/>
                    </w:rPr>
                    <w:instrText xml:space="preserve"> SEQ Figure \* ARABIC </w:instrText>
                  </w:r>
                  <w:r w:rsidR="00C64C3D" w:rsidRPr="004673E7">
                    <w:rPr>
                      <w:rStyle w:val="Text-Bold"/>
                      <w:b/>
                      <w:szCs w:val="21"/>
                      <w:lang w:val="en-NZ"/>
                    </w:rPr>
                    <w:fldChar w:fldCharType="separate"/>
                  </w:r>
                  <w:r w:rsidR="008D2566">
                    <w:rPr>
                      <w:rStyle w:val="Text-Bold"/>
                      <w:b/>
                      <w:noProof/>
                      <w:szCs w:val="21"/>
                      <w:lang w:val="en-NZ"/>
                    </w:rPr>
                    <w:t>18</w:t>
                  </w:r>
                  <w:r w:rsidR="00C64C3D" w:rsidRPr="004673E7">
                    <w:rPr>
                      <w:rStyle w:val="Text-Bold"/>
                      <w:b/>
                      <w:szCs w:val="21"/>
                      <w:lang w:val="en-NZ"/>
                    </w:rPr>
                    <w:fldChar w:fldCharType="end"/>
                  </w:r>
                  <w:bookmarkEnd w:id="396"/>
                  <w:r w:rsidRPr="004673E7">
                    <w:rPr>
                      <w:rStyle w:val="Text-Bold"/>
                      <w:b/>
                      <w:szCs w:val="21"/>
                      <w:lang w:val="en-NZ"/>
                    </w:rPr>
                    <w:t>: As a result of using the service, I now have strategies to improve mental health and wellbeing, FaRS service users (n=158)</w:t>
                  </w:r>
                  <w:bookmarkEnd w:id="397"/>
                  <w:bookmarkEnd w:id="398"/>
                  <w:r w:rsidRPr="004673E7">
                    <w:rPr>
                      <w:rStyle w:val="Text-Bold"/>
                      <w:b/>
                      <w:szCs w:val="21"/>
                      <w:lang w:val="en-NZ"/>
                    </w:rPr>
                    <w:t xml:space="preserve"> </w:t>
                  </w:r>
                </w:p>
                <w:p w14:paraId="0C003C2F" w14:textId="04CE221D" w:rsidR="002E6CCB" w:rsidRPr="00F702A2" w:rsidRDefault="004A5385" w:rsidP="001B1CDA">
                  <w:pPr>
                    <w:pStyle w:val="Text"/>
                    <w:rPr>
                      <w:lang w:val="en-US"/>
                    </w:rPr>
                  </w:pPr>
                  <w:r>
                    <w:rPr>
                      <w:noProof/>
                    </w:rPr>
                    <w:drawing>
                      <wp:inline distT="0" distB="0" distL="0" distR="0" wp14:anchorId="23F674D3" wp14:editId="5C492844">
                        <wp:extent cx="5679440" cy="3490332"/>
                        <wp:effectExtent l="0" t="0" r="16510" b="15240"/>
                        <wp:docPr id="314199146" name="Chart 1">
                          <a:extLst xmlns:a="http://schemas.openxmlformats.org/drawingml/2006/main">
                            <a:ext uri="{FF2B5EF4-FFF2-40B4-BE49-F238E27FC236}">
                              <a16:creationId xmlns:a16="http://schemas.microsoft.com/office/drawing/2014/main" id="{FABDD755-0CD4-41C5-A232-3FE24C29722A}"/>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r w:rsidR="002E6CCB" w:rsidRPr="4E2C4C5F">
                    <w:rPr>
                      <w:i/>
                      <w:sz w:val="20"/>
                      <w:lang w:val="en-US"/>
                    </w:rPr>
                    <w:t xml:space="preserve">Source: Service user survey </w:t>
                  </w:r>
                </w:p>
                <w:p w14:paraId="1ED3302E" w14:textId="78E4E931" w:rsidR="00661D3A" w:rsidRDefault="00826C26" w:rsidP="001B1CDA">
                  <w:pPr>
                    <w:pStyle w:val="Text"/>
                  </w:pPr>
                  <w:r>
                    <w:rPr>
                      <w:lang w:val="en-US"/>
                    </w:rPr>
                    <w:t>Some s</w:t>
                  </w:r>
                  <w:r w:rsidR="001B1CDA">
                    <w:rPr>
                      <w:lang w:val="en-US"/>
                    </w:rPr>
                    <w:t xml:space="preserve">ervice </w:t>
                  </w:r>
                  <w:r w:rsidR="005960D4">
                    <w:rPr>
                      <w:lang w:val="en-US"/>
                    </w:rPr>
                    <w:t xml:space="preserve">users </w:t>
                  </w:r>
                  <w:r w:rsidR="00232565">
                    <w:rPr>
                      <w:lang w:val="en-US"/>
                    </w:rPr>
                    <w:t>reported that</w:t>
                  </w:r>
                  <w:r w:rsidR="00924449">
                    <w:rPr>
                      <w:lang w:val="en-US"/>
                    </w:rPr>
                    <w:t xml:space="preserve"> their provider</w:t>
                  </w:r>
                  <w:r w:rsidR="00832636">
                    <w:rPr>
                      <w:lang w:val="en-US"/>
                    </w:rPr>
                    <w:t xml:space="preserve"> supported them to better understand themselves by</w:t>
                  </w:r>
                  <w:r w:rsidR="005239DA">
                    <w:rPr>
                      <w:lang w:val="en-US"/>
                    </w:rPr>
                    <w:t xml:space="preserve"> discussing different perspectives, and</w:t>
                  </w:r>
                  <w:r w:rsidR="00645288">
                    <w:rPr>
                      <w:lang w:val="en-US"/>
                    </w:rPr>
                    <w:t xml:space="preserve"> by</w:t>
                  </w:r>
                  <w:r w:rsidR="00832636">
                    <w:rPr>
                      <w:lang w:val="en-US"/>
                    </w:rPr>
                    <w:t xml:space="preserve"> </w:t>
                  </w:r>
                  <w:r w:rsidR="00C02EFC">
                    <w:rPr>
                      <w:lang w:val="en-US"/>
                    </w:rPr>
                    <w:t>reflecting on their past experiences</w:t>
                  </w:r>
                  <w:r w:rsidR="00544C50">
                    <w:rPr>
                      <w:lang w:val="en-US"/>
                    </w:rPr>
                    <w:t xml:space="preserve"> and their emotional responses to </w:t>
                  </w:r>
                  <w:r w:rsidR="0017625E">
                    <w:rPr>
                      <w:lang w:val="en-US"/>
                    </w:rPr>
                    <w:t>them. A</w:t>
                  </w:r>
                  <w:r w:rsidR="00232565">
                    <w:rPr>
                      <w:lang w:val="en-US"/>
                    </w:rPr>
                    <w:t>ccessing FaRS services enabled</w:t>
                  </w:r>
                  <w:r w:rsidR="0017625E">
                    <w:rPr>
                      <w:lang w:val="en-US"/>
                    </w:rPr>
                    <w:t xml:space="preserve"> service users </w:t>
                  </w:r>
                  <w:r w:rsidR="00A44A07">
                    <w:rPr>
                      <w:lang w:val="en-US"/>
                    </w:rPr>
                    <w:t>to d</w:t>
                  </w:r>
                  <w:r w:rsidR="0005781F">
                    <w:rPr>
                      <w:lang w:val="en-US"/>
                    </w:rPr>
                    <w:t xml:space="preserve">evelop emotional regulation skills as they </w:t>
                  </w:r>
                  <w:r w:rsidR="000B0940">
                    <w:rPr>
                      <w:lang w:val="en-US"/>
                    </w:rPr>
                    <w:t>face</w:t>
                  </w:r>
                  <w:r w:rsidR="0005781F">
                    <w:rPr>
                      <w:lang w:val="en-US"/>
                    </w:rPr>
                    <w:t xml:space="preserve"> </w:t>
                  </w:r>
                  <w:r w:rsidR="0035464E">
                    <w:rPr>
                      <w:lang w:val="en-US"/>
                    </w:rPr>
                    <w:t xml:space="preserve">challenges in their everyday lives. </w:t>
                  </w:r>
                  <w:r w:rsidR="00213CBC">
                    <w:rPr>
                      <w:lang w:val="en-US"/>
                    </w:rPr>
                    <w:t xml:space="preserve">Several </w:t>
                  </w:r>
                  <w:r w:rsidR="00213CBC">
                    <w:lastRenderedPageBreak/>
                    <w:t>s</w:t>
                  </w:r>
                  <w:r w:rsidR="000477B2">
                    <w:t xml:space="preserve">ervice users reported that the issues impacting them were complex. </w:t>
                  </w:r>
                  <w:r w:rsidR="00FA0ECE">
                    <w:t>E</w:t>
                  </w:r>
                  <w:r w:rsidR="000477B2">
                    <w:t xml:space="preserve">motional regulation skills supported feelings of independence and inner strength </w:t>
                  </w:r>
                  <w:r w:rsidR="00EE7FE2">
                    <w:t>for</w:t>
                  </w:r>
                  <w:r w:rsidR="000477B2">
                    <w:t xml:space="preserve"> service users</w:t>
                  </w:r>
                  <w:r w:rsidR="00DD4C02">
                    <w:t>.</w:t>
                  </w:r>
                  <w:r w:rsidR="00661D3A">
                    <w:rPr>
                      <w:lang w:val="en-US"/>
                    </w:rPr>
                    <w:t xml:space="preserve"> </w:t>
                  </w:r>
                </w:p>
                <w:p w14:paraId="201934B3" w14:textId="06B0455D" w:rsidR="00E77293" w:rsidRPr="001B1CDA" w:rsidRDefault="000C1FF3" w:rsidP="001B1CDA">
                  <w:pPr>
                    <w:pBdr>
                      <w:left w:val="single" w:sz="18" w:space="4" w:color="78B800" w:themeColor="accent1"/>
                    </w:pBdr>
                    <w:tabs>
                      <w:tab w:val="left" w:pos="8080"/>
                    </w:tabs>
                    <w:spacing w:after="0"/>
                    <w:ind w:left="851" w:right="949"/>
                    <w:rPr>
                      <w:i/>
                    </w:rPr>
                  </w:pPr>
                  <w:r w:rsidRPr="008E1B83">
                    <w:rPr>
                      <w:i/>
                      <w:noProof/>
                    </w:rPr>
                    <w:drawing>
                      <wp:anchor distT="0" distB="0" distL="114300" distR="114300" simplePos="0" relativeHeight="251658275" behindDoc="0" locked="1" layoutInCell="1" allowOverlap="1" wp14:anchorId="7DEE903F" wp14:editId="53C4A014">
                        <wp:simplePos x="0" y="0"/>
                        <wp:positionH relativeFrom="column">
                          <wp:posOffset>0</wp:posOffset>
                        </wp:positionH>
                        <wp:positionV relativeFrom="paragraph">
                          <wp:posOffset>0</wp:posOffset>
                        </wp:positionV>
                        <wp:extent cx="384810" cy="320040"/>
                        <wp:effectExtent l="0" t="0" r="0" b="3810"/>
                        <wp:wrapNone/>
                        <wp:docPr id="1907955821" name="Graphic 1907955821" descr="P1983#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7955821" name="Graphic 1907955821" descr="P1983#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E1B83">
                    <w:rPr>
                      <w:i/>
                    </w:rPr>
                    <w:t>I think in a way, because even though you're using a service to help you, which is a support</w:t>
                  </w:r>
                  <w:r w:rsidR="0059791A">
                    <w:rPr>
                      <w:i/>
                    </w:rPr>
                    <w:t xml:space="preserve"> [</w:t>
                  </w:r>
                  <w:r w:rsidRPr="008E1B83">
                    <w:rPr>
                      <w:i/>
                    </w:rPr>
                    <w:t>…</w:t>
                  </w:r>
                  <w:r w:rsidR="0059791A">
                    <w:rPr>
                      <w:i/>
                    </w:rPr>
                    <w:t xml:space="preserve">] </w:t>
                  </w:r>
                  <w:r w:rsidRPr="008E1B83">
                    <w:rPr>
                      <w:i/>
                    </w:rPr>
                    <w:t>It helps you to become more independent because once you can master or control your emotions and learn to self soothe or be there for yourself</w:t>
                  </w:r>
                  <w:r w:rsidR="001F7908" w:rsidRPr="008E1B83">
                    <w:rPr>
                      <w:i/>
                    </w:rPr>
                    <w:t>, y</w:t>
                  </w:r>
                  <w:r w:rsidRPr="008E1B83">
                    <w:rPr>
                      <w:i/>
                    </w:rPr>
                    <w:t>ou don't always need someone there for you</w:t>
                  </w:r>
                  <w:r w:rsidR="00997016">
                    <w:t xml:space="preserve"> </w:t>
                  </w:r>
                  <w:r w:rsidRPr="002E7992">
                    <w:rPr>
                      <w:b/>
                      <w:bCs/>
                      <w:i/>
                      <w:iCs/>
                    </w:rPr>
                    <w:t>–</w:t>
                  </w:r>
                  <w:r>
                    <w:rPr>
                      <w:b/>
                      <w:bCs/>
                      <w:i/>
                      <w:iCs/>
                    </w:rPr>
                    <w:t xml:space="preserve"> FaRS s</w:t>
                  </w:r>
                  <w:r w:rsidRPr="002E7992">
                    <w:rPr>
                      <w:b/>
                      <w:bCs/>
                      <w:i/>
                      <w:iCs/>
                    </w:rPr>
                    <w:t xml:space="preserve">ervice </w:t>
                  </w:r>
                  <w:r>
                    <w:rPr>
                      <w:b/>
                      <w:bCs/>
                      <w:i/>
                      <w:iCs/>
                    </w:rPr>
                    <w:t>user</w:t>
                  </w:r>
                </w:p>
                <w:p w14:paraId="0B8EA429" w14:textId="77777777" w:rsidR="00441B5B" w:rsidRDefault="00441B5B" w:rsidP="00CB59EA">
                  <w:pPr>
                    <w:pStyle w:val="Text"/>
                    <w:rPr>
                      <w:lang w:val="en-AU"/>
                    </w:rPr>
                  </w:pPr>
                </w:p>
                <w:p w14:paraId="541C689A" w14:textId="76E729A9" w:rsidR="00A57800" w:rsidRDefault="00A57800" w:rsidP="00CB59EA">
                  <w:pPr>
                    <w:pStyle w:val="Text"/>
                    <w:rPr>
                      <w:lang w:val="en-AU"/>
                    </w:rPr>
                  </w:pPr>
                  <w:r>
                    <w:rPr>
                      <w:lang w:val="en-AU"/>
                    </w:rPr>
                    <w:t xml:space="preserve">Similarly, </w:t>
                  </w:r>
                  <w:r w:rsidR="00D33818">
                    <w:rPr>
                      <w:lang w:val="en-AU"/>
                    </w:rPr>
                    <w:t xml:space="preserve">many </w:t>
                  </w:r>
                  <w:r>
                    <w:rPr>
                      <w:lang w:val="en-AU"/>
                    </w:rPr>
                    <w:t xml:space="preserve">service users </w:t>
                  </w:r>
                  <w:r w:rsidR="00E34550">
                    <w:rPr>
                      <w:lang w:val="en-AU"/>
                    </w:rPr>
                    <w:t xml:space="preserve">who felt positively about the </w:t>
                  </w:r>
                  <w:r w:rsidR="002E02AD">
                    <w:rPr>
                      <w:lang w:val="en-AU"/>
                    </w:rPr>
                    <w:t>FaRS</w:t>
                  </w:r>
                  <w:r w:rsidR="00E34550">
                    <w:rPr>
                      <w:lang w:val="en-AU"/>
                    </w:rPr>
                    <w:t xml:space="preserve"> service they </w:t>
                  </w:r>
                  <w:r w:rsidR="00D80388">
                    <w:rPr>
                      <w:lang w:val="en-AU"/>
                    </w:rPr>
                    <w:t>received</w:t>
                  </w:r>
                  <w:r w:rsidR="00E34550">
                    <w:rPr>
                      <w:lang w:val="en-AU"/>
                    </w:rPr>
                    <w:t xml:space="preserve"> </w:t>
                  </w:r>
                  <w:r>
                    <w:rPr>
                      <w:lang w:val="en-AU"/>
                    </w:rPr>
                    <w:t xml:space="preserve">reflected that their provider had </w:t>
                  </w:r>
                  <w:r w:rsidR="00AD7C32">
                    <w:rPr>
                      <w:lang w:val="en-AU"/>
                    </w:rPr>
                    <w:t xml:space="preserve">helped </w:t>
                  </w:r>
                  <w:r>
                    <w:rPr>
                      <w:lang w:val="en-AU"/>
                    </w:rPr>
                    <w:t>them</w:t>
                  </w:r>
                  <w:r w:rsidR="00D16F84">
                    <w:rPr>
                      <w:lang w:val="en-AU"/>
                    </w:rPr>
                    <w:t xml:space="preserve"> to</w:t>
                  </w:r>
                  <w:r>
                    <w:rPr>
                      <w:lang w:val="en-AU"/>
                    </w:rPr>
                    <w:t xml:space="preserve"> develop </w:t>
                  </w:r>
                  <w:r w:rsidR="00913CC9">
                    <w:rPr>
                      <w:lang w:val="en-AU"/>
                    </w:rPr>
                    <w:t xml:space="preserve">a range of </w:t>
                  </w:r>
                  <w:r w:rsidR="00BE60E9">
                    <w:rPr>
                      <w:lang w:val="en-AU"/>
                    </w:rPr>
                    <w:t>resilience</w:t>
                  </w:r>
                  <w:r w:rsidR="00CB17D8">
                    <w:rPr>
                      <w:lang w:val="en-AU"/>
                    </w:rPr>
                    <w:t xml:space="preserve"> skills</w:t>
                  </w:r>
                  <w:r w:rsidR="00913CC9">
                    <w:rPr>
                      <w:lang w:val="en-AU"/>
                    </w:rPr>
                    <w:t xml:space="preserve">, including mindfulness, </w:t>
                  </w:r>
                  <w:r w:rsidR="00BE60E9">
                    <w:rPr>
                      <w:lang w:val="en-AU"/>
                    </w:rPr>
                    <w:t>s</w:t>
                  </w:r>
                  <w:r>
                    <w:rPr>
                      <w:lang w:val="en-AU"/>
                    </w:rPr>
                    <w:t>tronger boundaries</w:t>
                  </w:r>
                  <w:r w:rsidR="00913CC9">
                    <w:rPr>
                      <w:lang w:val="en-AU"/>
                    </w:rPr>
                    <w:t xml:space="preserve">, and </w:t>
                  </w:r>
                  <w:r w:rsidR="00BE60E9">
                    <w:rPr>
                      <w:lang w:val="en-AU"/>
                    </w:rPr>
                    <w:t>how to process feelings of grief.</w:t>
                  </w:r>
                </w:p>
                <w:p w14:paraId="5E72E912" w14:textId="26B53F19" w:rsidR="00BE60E9" w:rsidRPr="001B1CDA" w:rsidRDefault="00BE60E9" w:rsidP="00BE60E9">
                  <w:pPr>
                    <w:pBdr>
                      <w:left w:val="single" w:sz="18" w:space="4" w:color="78B800" w:themeColor="accent1"/>
                    </w:pBdr>
                    <w:tabs>
                      <w:tab w:val="left" w:pos="8080"/>
                    </w:tabs>
                    <w:spacing w:after="0"/>
                    <w:ind w:left="851" w:right="949"/>
                    <w:rPr>
                      <w:i/>
                    </w:rPr>
                  </w:pPr>
                  <w:r w:rsidRPr="008E1B83">
                    <w:rPr>
                      <w:i/>
                      <w:noProof/>
                    </w:rPr>
                    <w:drawing>
                      <wp:anchor distT="0" distB="0" distL="114300" distR="114300" simplePos="0" relativeHeight="251658276" behindDoc="0" locked="1" layoutInCell="1" allowOverlap="1" wp14:anchorId="79644741" wp14:editId="1AF1A251">
                        <wp:simplePos x="0" y="0"/>
                        <wp:positionH relativeFrom="column">
                          <wp:posOffset>0</wp:posOffset>
                        </wp:positionH>
                        <wp:positionV relativeFrom="paragraph">
                          <wp:posOffset>0</wp:posOffset>
                        </wp:positionV>
                        <wp:extent cx="384810" cy="320040"/>
                        <wp:effectExtent l="0" t="0" r="0" b="3810"/>
                        <wp:wrapNone/>
                        <wp:docPr id="717992803" name="Graphic 717992803" descr="P1986#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992803" name="Graphic 717992803" descr="P1986#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E1B83">
                    <w:rPr>
                      <w:i/>
                    </w:rPr>
                    <w:t xml:space="preserve">As the counselling </w:t>
                  </w:r>
                  <w:r w:rsidRPr="000B0940">
                    <w:rPr>
                      <w:i/>
                    </w:rPr>
                    <w:t>progressed</w:t>
                  </w:r>
                  <w:r w:rsidR="000B0940" w:rsidRPr="000B0940">
                    <w:rPr>
                      <w:i/>
                    </w:rPr>
                    <w:t>,</w:t>
                  </w:r>
                  <w:r w:rsidRPr="008E1B83">
                    <w:rPr>
                      <w:i/>
                    </w:rPr>
                    <w:t xml:space="preserve"> she taught me techniques because my mind sometimes get</w:t>
                  </w:r>
                  <w:r w:rsidR="00D503DF" w:rsidRPr="008E1B83">
                    <w:rPr>
                      <w:i/>
                    </w:rPr>
                    <w:t>s</w:t>
                  </w:r>
                  <w:r w:rsidRPr="008E1B83">
                    <w:rPr>
                      <w:i/>
                    </w:rPr>
                    <w:t xml:space="preserve"> stuck on </w:t>
                  </w:r>
                  <w:r w:rsidRPr="000B0940">
                    <w:rPr>
                      <w:i/>
                    </w:rPr>
                    <w:t>things</w:t>
                  </w:r>
                  <w:r w:rsidR="000B0940" w:rsidRPr="000B0940">
                    <w:rPr>
                      <w:i/>
                    </w:rPr>
                    <w:t>,</w:t>
                  </w:r>
                  <w:r w:rsidRPr="008E1B83">
                    <w:rPr>
                      <w:i/>
                    </w:rPr>
                    <w:t xml:space="preserve"> and I can’t get rid of </w:t>
                  </w:r>
                  <w:r w:rsidRPr="00175D50">
                    <w:rPr>
                      <w:i/>
                    </w:rPr>
                    <w:t>it</w:t>
                  </w:r>
                  <w:r w:rsidR="00175D50" w:rsidRPr="00175D50">
                    <w:rPr>
                      <w:i/>
                    </w:rPr>
                    <w:t>,</w:t>
                  </w:r>
                  <w:r w:rsidRPr="008E1B83">
                    <w:rPr>
                      <w:i/>
                    </w:rPr>
                    <w:t xml:space="preserve"> and I suffer from </w:t>
                  </w:r>
                  <w:r w:rsidR="00181AD8" w:rsidRPr="008E1B83">
                    <w:rPr>
                      <w:i/>
                    </w:rPr>
                    <w:t>anxiety,</w:t>
                  </w:r>
                  <w:r w:rsidRPr="008E1B83">
                    <w:rPr>
                      <w:i/>
                    </w:rPr>
                    <w:t xml:space="preserve"> and she taught me mindfulness. I have been using that technique and it has been very helpful </w:t>
                  </w:r>
                  <w:r w:rsidR="00D503DF" w:rsidRPr="008E1B83">
                    <w:rPr>
                      <w:i/>
                    </w:rPr>
                    <w:t>[for]</w:t>
                  </w:r>
                  <w:r w:rsidRPr="008E1B83">
                    <w:rPr>
                      <w:i/>
                    </w:rPr>
                    <w:t xml:space="preserve"> me</w:t>
                  </w:r>
                  <w:r w:rsidRPr="00BE60E9">
                    <w:t xml:space="preserve"> </w:t>
                  </w:r>
                  <w:r w:rsidRPr="002E7992">
                    <w:rPr>
                      <w:b/>
                      <w:bCs/>
                      <w:i/>
                      <w:iCs/>
                    </w:rPr>
                    <w:t>–</w:t>
                  </w:r>
                  <w:r>
                    <w:rPr>
                      <w:b/>
                      <w:bCs/>
                      <w:i/>
                      <w:iCs/>
                    </w:rPr>
                    <w:t xml:space="preserve"> FaRS s</w:t>
                  </w:r>
                  <w:r w:rsidRPr="002E7992">
                    <w:rPr>
                      <w:b/>
                      <w:bCs/>
                      <w:i/>
                      <w:iCs/>
                    </w:rPr>
                    <w:t xml:space="preserve">ervice </w:t>
                  </w:r>
                  <w:r>
                    <w:rPr>
                      <w:b/>
                      <w:bCs/>
                      <w:i/>
                      <w:iCs/>
                    </w:rPr>
                    <w:t>user</w:t>
                  </w:r>
                </w:p>
                <w:p w14:paraId="3FB4B2D4" w14:textId="0B620FF2" w:rsidR="00BE60E9" w:rsidRDefault="00BE60E9" w:rsidP="00CB59EA">
                  <w:pPr>
                    <w:pStyle w:val="Text"/>
                    <w:rPr>
                      <w:lang w:val="en-AU"/>
                    </w:rPr>
                  </w:pPr>
                </w:p>
                <w:p w14:paraId="474EC752" w14:textId="3CC3F39B" w:rsidR="00BE60E9" w:rsidRPr="001B1CDA" w:rsidRDefault="00BE60E9" w:rsidP="00BE60E9">
                  <w:pPr>
                    <w:pBdr>
                      <w:left w:val="single" w:sz="18" w:space="4" w:color="78B800" w:themeColor="accent1"/>
                    </w:pBdr>
                    <w:tabs>
                      <w:tab w:val="left" w:pos="8080"/>
                    </w:tabs>
                    <w:spacing w:after="0"/>
                    <w:ind w:left="851" w:right="949"/>
                    <w:rPr>
                      <w:i/>
                    </w:rPr>
                  </w:pPr>
                  <w:r w:rsidRPr="008E1B83">
                    <w:rPr>
                      <w:i/>
                      <w:noProof/>
                    </w:rPr>
                    <w:drawing>
                      <wp:anchor distT="0" distB="0" distL="114300" distR="114300" simplePos="0" relativeHeight="251658277" behindDoc="0" locked="1" layoutInCell="1" allowOverlap="1" wp14:anchorId="34417EF7" wp14:editId="10845A7A">
                        <wp:simplePos x="0" y="0"/>
                        <wp:positionH relativeFrom="column">
                          <wp:posOffset>0</wp:posOffset>
                        </wp:positionH>
                        <wp:positionV relativeFrom="paragraph">
                          <wp:posOffset>0</wp:posOffset>
                        </wp:positionV>
                        <wp:extent cx="384810" cy="320040"/>
                        <wp:effectExtent l="0" t="0" r="0" b="3810"/>
                        <wp:wrapNone/>
                        <wp:docPr id="1580930644" name="Graphic 1580930644" descr="P1988#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0930644" name="Graphic 1580930644" descr="P1988#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E1B83">
                    <w:rPr>
                      <w:i/>
                    </w:rPr>
                    <w:t>I’ve got a lot of issues with being a people pleaser and being a yes man, [I’ve learnt] how to put my needs out without breaking down</w:t>
                  </w:r>
                  <w:r w:rsidRPr="00BE60E9">
                    <w:t xml:space="preserve"> </w:t>
                  </w:r>
                  <w:r w:rsidRPr="002E7992">
                    <w:rPr>
                      <w:b/>
                      <w:bCs/>
                      <w:i/>
                      <w:iCs/>
                    </w:rPr>
                    <w:t>–</w:t>
                  </w:r>
                  <w:r>
                    <w:rPr>
                      <w:b/>
                      <w:bCs/>
                      <w:i/>
                      <w:iCs/>
                    </w:rPr>
                    <w:t xml:space="preserve"> FaRS s</w:t>
                  </w:r>
                  <w:r w:rsidRPr="002E7992">
                    <w:rPr>
                      <w:b/>
                      <w:bCs/>
                      <w:i/>
                      <w:iCs/>
                    </w:rPr>
                    <w:t xml:space="preserve">ervice </w:t>
                  </w:r>
                  <w:r>
                    <w:rPr>
                      <w:b/>
                      <w:bCs/>
                      <w:i/>
                      <w:iCs/>
                    </w:rPr>
                    <w:t>user</w:t>
                  </w:r>
                </w:p>
                <w:p w14:paraId="64576EDA" w14:textId="77777777" w:rsidR="00E548D9" w:rsidRDefault="00E548D9" w:rsidP="003E197F">
                  <w:pPr>
                    <w:pStyle w:val="Text"/>
                    <w:rPr>
                      <w:lang w:val="en-AU"/>
                    </w:rPr>
                  </w:pPr>
                </w:p>
                <w:p w14:paraId="284E1922" w14:textId="6975B96D" w:rsidR="00D33818" w:rsidRDefault="002D5365" w:rsidP="003E197F">
                  <w:pPr>
                    <w:pStyle w:val="Text"/>
                    <w:rPr>
                      <w:lang w:val="en-AU"/>
                    </w:rPr>
                  </w:pPr>
                  <w:r>
                    <w:rPr>
                      <w:lang w:val="en-AU"/>
                    </w:rPr>
                    <w:t>H</w:t>
                  </w:r>
                  <w:r w:rsidR="00D33818">
                    <w:rPr>
                      <w:lang w:val="en-AU"/>
                    </w:rPr>
                    <w:t>owever,</w:t>
                  </w:r>
                  <w:r w:rsidR="00E34550">
                    <w:rPr>
                      <w:lang w:val="en-AU"/>
                    </w:rPr>
                    <w:t xml:space="preserve"> </w:t>
                  </w:r>
                  <w:r w:rsidR="00C4213C">
                    <w:rPr>
                      <w:lang w:val="en-AU"/>
                    </w:rPr>
                    <w:t>a minority of</w:t>
                  </w:r>
                  <w:r w:rsidR="00D33818">
                    <w:rPr>
                      <w:lang w:val="en-AU"/>
                    </w:rPr>
                    <w:t xml:space="preserve"> </w:t>
                  </w:r>
                  <w:r w:rsidR="00BC43FC">
                    <w:rPr>
                      <w:lang w:val="en-AU"/>
                    </w:rPr>
                    <w:t>service</w:t>
                  </w:r>
                  <w:r w:rsidR="00D33818">
                    <w:rPr>
                      <w:lang w:val="en-AU"/>
                    </w:rPr>
                    <w:t xml:space="preserve"> users reflected that their provider had not </w:t>
                  </w:r>
                  <w:r w:rsidR="00E34550">
                    <w:rPr>
                      <w:lang w:val="en-AU"/>
                    </w:rPr>
                    <w:t xml:space="preserve">supported them with concrete techniques to </w:t>
                  </w:r>
                  <w:r w:rsidR="00BC43FC">
                    <w:rPr>
                      <w:lang w:val="en-AU"/>
                    </w:rPr>
                    <w:t xml:space="preserve">use in their everyday life. </w:t>
                  </w:r>
                  <w:r>
                    <w:rPr>
                      <w:lang w:val="en-AU"/>
                    </w:rPr>
                    <w:t xml:space="preserve">This was a gap for </w:t>
                  </w:r>
                  <w:r w:rsidR="0060698F">
                    <w:rPr>
                      <w:lang w:val="en-AU"/>
                    </w:rPr>
                    <w:t xml:space="preserve">some </w:t>
                  </w:r>
                  <w:r>
                    <w:rPr>
                      <w:lang w:val="en-AU"/>
                    </w:rPr>
                    <w:t>service users, who wanted to develop skills to support the</w:t>
                  </w:r>
                  <w:r w:rsidR="00AC5405">
                    <w:rPr>
                      <w:lang w:val="en-AU"/>
                    </w:rPr>
                    <w:t xml:space="preserve">ir mental health and wellbeing. </w:t>
                  </w:r>
                </w:p>
                <w:p w14:paraId="2996DE35" w14:textId="4CC5A3E2" w:rsidR="00FB6461" w:rsidRPr="001B1CDA" w:rsidRDefault="00FB6461" w:rsidP="00FB6461">
                  <w:pPr>
                    <w:pBdr>
                      <w:left w:val="single" w:sz="18" w:space="4" w:color="78B800" w:themeColor="accent1"/>
                    </w:pBdr>
                    <w:tabs>
                      <w:tab w:val="left" w:pos="8080"/>
                    </w:tabs>
                    <w:spacing w:after="0"/>
                    <w:ind w:left="851" w:right="949"/>
                    <w:rPr>
                      <w:i/>
                    </w:rPr>
                  </w:pPr>
                  <w:r w:rsidRPr="008E1B83">
                    <w:rPr>
                      <w:i/>
                      <w:noProof/>
                    </w:rPr>
                    <w:drawing>
                      <wp:anchor distT="0" distB="0" distL="114300" distR="114300" simplePos="0" relativeHeight="251658278" behindDoc="0" locked="1" layoutInCell="1" allowOverlap="1" wp14:anchorId="1BD75F30" wp14:editId="63F4124E">
                        <wp:simplePos x="0" y="0"/>
                        <wp:positionH relativeFrom="column">
                          <wp:posOffset>0</wp:posOffset>
                        </wp:positionH>
                        <wp:positionV relativeFrom="paragraph">
                          <wp:posOffset>0</wp:posOffset>
                        </wp:positionV>
                        <wp:extent cx="384810" cy="320040"/>
                        <wp:effectExtent l="0" t="0" r="0" b="3810"/>
                        <wp:wrapNone/>
                        <wp:docPr id="1960581259" name="Graphic 1960581259" descr="P1991#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0581259" name="Graphic 1960581259" descr="P1991#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B36DE" w:rsidRPr="008E1B83">
                    <w:rPr>
                      <w:i/>
                    </w:rPr>
                    <w:t>There could be some other techniques that could be part of it. Mindful approach – I’ve done some breathing with different counsellors not just talking but also visualisations. More things like that, they work for me. But I haven’t gotten to that with this counsellor</w:t>
                  </w:r>
                  <w:r w:rsidR="0060698F">
                    <w:t xml:space="preserve"> </w:t>
                  </w:r>
                  <w:r w:rsidRPr="002E7992">
                    <w:rPr>
                      <w:b/>
                      <w:bCs/>
                      <w:i/>
                      <w:iCs/>
                    </w:rPr>
                    <w:t>–</w:t>
                  </w:r>
                  <w:r>
                    <w:rPr>
                      <w:b/>
                      <w:bCs/>
                      <w:i/>
                      <w:iCs/>
                    </w:rPr>
                    <w:t xml:space="preserve"> FaRS s</w:t>
                  </w:r>
                  <w:r w:rsidRPr="002E7992">
                    <w:rPr>
                      <w:b/>
                      <w:bCs/>
                      <w:i/>
                      <w:iCs/>
                    </w:rPr>
                    <w:t xml:space="preserve">ervice </w:t>
                  </w:r>
                  <w:r>
                    <w:rPr>
                      <w:b/>
                      <w:bCs/>
                      <w:i/>
                      <w:iCs/>
                    </w:rPr>
                    <w:t>user</w:t>
                  </w:r>
                </w:p>
                <w:p w14:paraId="1E700CBE" w14:textId="77777777" w:rsidR="00D33818" w:rsidRDefault="00D33818" w:rsidP="003E197F">
                  <w:pPr>
                    <w:pStyle w:val="Text"/>
                    <w:rPr>
                      <w:lang w:val="en-AU"/>
                    </w:rPr>
                  </w:pPr>
                </w:p>
                <w:p w14:paraId="2364979E" w14:textId="443C4772" w:rsidR="00E548D9" w:rsidRDefault="00054A67" w:rsidP="0061310B">
                  <w:pPr>
                    <w:pStyle w:val="Text"/>
                    <w:rPr>
                      <w:lang w:val="en-AU"/>
                    </w:rPr>
                  </w:pPr>
                  <w:r>
                    <w:rPr>
                      <w:lang w:val="en-AU"/>
                    </w:rPr>
                    <w:t>FaRS service users</w:t>
                  </w:r>
                  <w:r w:rsidR="00E97A14">
                    <w:rPr>
                      <w:lang w:val="en-AU"/>
                    </w:rPr>
                    <w:t xml:space="preserve"> </w:t>
                  </w:r>
                  <w:r w:rsidR="00703955">
                    <w:rPr>
                      <w:lang w:val="en-AU"/>
                    </w:rPr>
                    <w:t xml:space="preserve">consistently </w:t>
                  </w:r>
                  <w:r w:rsidR="00E97A14">
                    <w:rPr>
                      <w:lang w:val="en-AU"/>
                    </w:rPr>
                    <w:t xml:space="preserve">expressed </w:t>
                  </w:r>
                  <w:r w:rsidR="002B04E9">
                    <w:rPr>
                      <w:lang w:val="en-AU"/>
                    </w:rPr>
                    <w:t xml:space="preserve">that having </w:t>
                  </w:r>
                  <w:r w:rsidR="0004231E">
                    <w:rPr>
                      <w:lang w:val="en-AU"/>
                    </w:rPr>
                    <w:t>an</w:t>
                  </w:r>
                  <w:r w:rsidR="002B04E9">
                    <w:rPr>
                      <w:lang w:val="en-AU"/>
                    </w:rPr>
                    <w:t xml:space="preserve"> independent </w:t>
                  </w:r>
                  <w:r w:rsidR="0057726A">
                    <w:rPr>
                      <w:lang w:val="en-AU"/>
                    </w:rPr>
                    <w:t>and knowledgeable professional to discuss their experiences with helped them feel safe, heard and understood</w:t>
                  </w:r>
                  <w:r w:rsidR="0004231E">
                    <w:rPr>
                      <w:lang w:val="en-AU"/>
                    </w:rPr>
                    <w:t xml:space="preserve">. </w:t>
                  </w:r>
                  <w:r w:rsidR="007D4F61">
                    <w:rPr>
                      <w:lang w:val="en-AU"/>
                    </w:rPr>
                    <w:t>Many described their s</w:t>
                  </w:r>
                  <w:r w:rsidR="0004231E">
                    <w:rPr>
                      <w:lang w:val="en-AU"/>
                    </w:rPr>
                    <w:t>ervice provider</w:t>
                  </w:r>
                  <w:r w:rsidR="008F4AB6">
                    <w:rPr>
                      <w:lang w:val="en-AU"/>
                    </w:rPr>
                    <w:t xml:space="preserve"> as</w:t>
                  </w:r>
                  <w:r w:rsidR="0004231E">
                    <w:rPr>
                      <w:lang w:val="en-AU"/>
                    </w:rPr>
                    <w:t xml:space="preserve"> a safe and trusted person </w:t>
                  </w:r>
                  <w:r w:rsidR="007D4F61">
                    <w:rPr>
                      <w:lang w:val="en-AU"/>
                    </w:rPr>
                    <w:t xml:space="preserve">with whom they could </w:t>
                  </w:r>
                  <w:r w:rsidR="0004231E">
                    <w:rPr>
                      <w:lang w:val="en-AU"/>
                    </w:rPr>
                    <w:t xml:space="preserve">discuss issues and experiences which they felt </w:t>
                  </w:r>
                  <w:r w:rsidR="007D4F61">
                    <w:rPr>
                      <w:lang w:val="en-AU"/>
                    </w:rPr>
                    <w:t>unable to</w:t>
                  </w:r>
                  <w:r w:rsidR="0004231E">
                    <w:rPr>
                      <w:lang w:val="en-AU"/>
                    </w:rPr>
                    <w:t xml:space="preserve"> share with others</w:t>
                  </w:r>
                  <w:r w:rsidR="00BD1DEB">
                    <w:rPr>
                      <w:lang w:val="en-AU"/>
                    </w:rPr>
                    <w:t xml:space="preserve">. Attending a FaRS service </w:t>
                  </w:r>
                  <w:r w:rsidR="00D83F45">
                    <w:rPr>
                      <w:lang w:val="en-AU"/>
                    </w:rPr>
                    <w:t>improv</w:t>
                  </w:r>
                  <w:r w:rsidR="00BD1DEB">
                    <w:rPr>
                      <w:lang w:val="en-AU"/>
                    </w:rPr>
                    <w:t>ed</w:t>
                  </w:r>
                  <w:r w:rsidR="00D83F45">
                    <w:rPr>
                      <w:lang w:val="en-AU"/>
                    </w:rPr>
                    <w:t xml:space="preserve"> their sense of connectedness and reduc</w:t>
                  </w:r>
                  <w:r w:rsidR="00BD1DEB">
                    <w:rPr>
                      <w:lang w:val="en-AU"/>
                    </w:rPr>
                    <w:t>e</w:t>
                  </w:r>
                  <w:r w:rsidR="00BA444C">
                    <w:rPr>
                      <w:lang w:val="en-AU"/>
                    </w:rPr>
                    <w:t>d</w:t>
                  </w:r>
                  <w:r w:rsidR="00BD1DEB">
                    <w:rPr>
                      <w:lang w:val="en-AU"/>
                    </w:rPr>
                    <w:t xml:space="preserve"> their</w:t>
                  </w:r>
                  <w:r w:rsidR="00D83F45">
                    <w:rPr>
                      <w:lang w:val="en-AU"/>
                    </w:rPr>
                    <w:t xml:space="preserve"> feelings of social isolation</w:t>
                  </w:r>
                  <w:r w:rsidR="00886A26">
                    <w:rPr>
                      <w:lang w:val="en-AU"/>
                    </w:rPr>
                    <w:t xml:space="preserve">. </w:t>
                  </w:r>
                  <w:r w:rsidR="005C0B1E">
                    <w:rPr>
                      <w:lang w:val="en-AU"/>
                    </w:rPr>
                    <w:t xml:space="preserve">The experiences of FaRS survey respondents </w:t>
                  </w:r>
                  <w:r w:rsidR="000B0940">
                    <w:rPr>
                      <w:lang w:val="en-AU"/>
                    </w:rPr>
                    <w:t>were</w:t>
                  </w:r>
                  <w:r w:rsidR="005C0B1E">
                    <w:rPr>
                      <w:lang w:val="en-AU"/>
                    </w:rPr>
                    <w:t xml:space="preserve"> </w:t>
                  </w:r>
                  <w:r w:rsidR="00336F19">
                    <w:rPr>
                      <w:lang w:val="en-AU"/>
                    </w:rPr>
                    <w:t>similarly</w:t>
                  </w:r>
                  <w:r w:rsidR="005C0B1E">
                    <w:rPr>
                      <w:lang w:val="en-AU"/>
                    </w:rPr>
                    <w:t xml:space="preserve"> positive, with 34.6% (n=53) agreeing, and 20.9% (n=32) strongly agreeing, that </w:t>
                  </w:r>
                  <w:r w:rsidR="00336F19">
                    <w:rPr>
                      <w:lang w:val="en-AU"/>
                    </w:rPr>
                    <w:t>as a result of accessing a FaRS service, they had experienced positive changes in their wellbeing</w:t>
                  </w:r>
                  <w:r w:rsidR="001A3E77">
                    <w:rPr>
                      <w:lang w:val="en-AU"/>
                    </w:rPr>
                    <w:t xml:space="preserve"> (see </w:t>
                  </w:r>
                  <w:bookmarkStart w:id="399" w:name="_Ref205319428"/>
                  <w:bookmarkStart w:id="400" w:name="_Toc205413062"/>
                  <w:bookmarkStart w:id="401" w:name="_Toc205413116"/>
                  <w:r w:rsidR="0061310B" w:rsidRPr="0061310B">
                    <w:rPr>
                      <w:b/>
                      <w:bCs/>
                      <w:lang w:val="en-AU"/>
                    </w:rPr>
                    <w:fldChar w:fldCharType="begin" w:fldLock="1"/>
                  </w:r>
                  <w:r w:rsidR="0061310B" w:rsidRPr="0061310B">
                    <w:rPr>
                      <w:b/>
                      <w:bCs/>
                      <w:lang w:val="en-AU"/>
                    </w:rPr>
                    <w:instrText xml:space="preserve"> REF _Ref208337363 \h </w:instrText>
                  </w:r>
                  <w:r w:rsidR="0061310B">
                    <w:rPr>
                      <w:b/>
                      <w:bCs/>
                      <w:lang w:val="en-AU"/>
                    </w:rPr>
                    <w:instrText xml:space="preserve"> \* MERGEFORMAT </w:instrText>
                  </w:r>
                  <w:r w:rsidR="0061310B" w:rsidRPr="0061310B">
                    <w:rPr>
                      <w:b/>
                      <w:bCs/>
                      <w:lang w:val="en-AU"/>
                    </w:rPr>
                  </w:r>
                  <w:r w:rsidR="0061310B" w:rsidRPr="0061310B">
                    <w:rPr>
                      <w:b/>
                      <w:bCs/>
                      <w:lang w:val="en-AU"/>
                    </w:rPr>
                    <w:fldChar w:fldCharType="separate"/>
                  </w:r>
                  <w:r w:rsidR="008F22E5" w:rsidRPr="008F22E5">
                    <w:rPr>
                      <w:rStyle w:val="Text-Bold"/>
                      <w:szCs w:val="22"/>
                    </w:rPr>
                    <w:t xml:space="preserve">Figure </w:t>
                  </w:r>
                  <w:r w:rsidR="008F22E5" w:rsidRPr="008F22E5">
                    <w:rPr>
                      <w:b/>
                      <w:bCs/>
                    </w:rPr>
                    <w:t>19</w:t>
                  </w:r>
                  <w:r w:rsidR="0061310B" w:rsidRPr="0061310B">
                    <w:rPr>
                      <w:b/>
                      <w:bCs/>
                      <w:lang w:val="en-AU"/>
                    </w:rPr>
                    <w:fldChar w:fldCharType="end"/>
                  </w:r>
                  <w:r w:rsidR="0061310B">
                    <w:rPr>
                      <w:lang w:val="en-AU"/>
                    </w:rPr>
                    <w:t>).</w:t>
                  </w:r>
                </w:p>
                <w:p w14:paraId="39FCB5BF" w14:textId="69C962EF" w:rsidR="00441B5B" w:rsidRPr="00C74369" w:rsidRDefault="00A341D8" w:rsidP="004673E7">
                  <w:pPr>
                    <w:rPr>
                      <w:rStyle w:val="Text-Bold"/>
                      <w:b w:val="0"/>
                    </w:rPr>
                  </w:pPr>
                  <w:r>
                    <w:rPr>
                      <w:rStyle w:val="Text-Bold"/>
                      <w:b w:val="0"/>
                    </w:rPr>
                    <w:br w:type="page"/>
                  </w:r>
                </w:p>
                <w:p w14:paraId="4F8CDDB0" w14:textId="01401505" w:rsidR="005C0B1E" w:rsidRPr="004673E7" w:rsidRDefault="005C0B1E" w:rsidP="00953B9E">
                  <w:pPr>
                    <w:pStyle w:val="TableFigure-Header"/>
                    <w:spacing w:line="276" w:lineRule="auto"/>
                    <w:jc w:val="both"/>
                    <w:rPr>
                      <w:rStyle w:val="Text-Bold"/>
                      <w:b/>
                      <w:szCs w:val="21"/>
                      <w:lang w:val="en-NZ"/>
                    </w:rPr>
                  </w:pPr>
                  <w:bookmarkStart w:id="402" w:name="_Ref208409484"/>
                  <w:bookmarkStart w:id="403" w:name="_Ref208337363"/>
                  <w:r w:rsidRPr="004673E7">
                    <w:rPr>
                      <w:rStyle w:val="Text-Bold"/>
                      <w:b/>
                      <w:szCs w:val="21"/>
                      <w:lang w:val="en-NZ"/>
                    </w:rPr>
                    <w:lastRenderedPageBreak/>
                    <w:t>Figure</w:t>
                  </w:r>
                  <w:bookmarkEnd w:id="402"/>
                  <w:r w:rsidR="00336F19" w:rsidRPr="004673E7">
                    <w:rPr>
                      <w:rStyle w:val="Text-Bold"/>
                      <w:b/>
                      <w:szCs w:val="21"/>
                      <w:lang w:val="en-NZ"/>
                    </w:rPr>
                    <w:t xml:space="preserve"> </w:t>
                  </w:r>
                  <w:r w:rsidR="00C64C3D" w:rsidRPr="004673E7">
                    <w:rPr>
                      <w:rStyle w:val="Text-Bold"/>
                      <w:b/>
                      <w:szCs w:val="21"/>
                      <w:lang w:val="en-NZ"/>
                    </w:rPr>
                    <w:fldChar w:fldCharType="begin"/>
                  </w:r>
                  <w:r w:rsidR="00C64C3D" w:rsidRPr="004673E7">
                    <w:rPr>
                      <w:rStyle w:val="Text-Bold"/>
                      <w:b/>
                      <w:szCs w:val="21"/>
                      <w:lang w:val="en-NZ"/>
                    </w:rPr>
                    <w:instrText xml:space="preserve"> SEQ Figure \* ARABIC </w:instrText>
                  </w:r>
                  <w:r w:rsidR="00C64C3D" w:rsidRPr="004673E7">
                    <w:rPr>
                      <w:rStyle w:val="Text-Bold"/>
                      <w:b/>
                      <w:szCs w:val="21"/>
                      <w:lang w:val="en-NZ"/>
                    </w:rPr>
                    <w:fldChar w:fldCharType="separate"/>
                  </w:r>
                  <w:r w:rsidR="008D2566">
                    <w:rPr>
                      <w:rStyle w:val="Text-Bold"/>
                      <w:b/>
                      <w:noProof/>
                      <w:szCs w:val="21"/>
                      <w:lang w:val="en-NZ"/>
                    </w:rPr>
                    <w:t>19</w:t>
                  </w:r>
                  <w:r w:rsidR="00C64C3D" w:rsidRPr="004673E7">
                    <w:rPr>
                      <w:rStyle w:val="Text-Bold"/>
                      <w:b/>
                      <w:szCs w:val="21"/>
                      <w:lang w:val="en-NZ"/>
                    </w:rPr>
                    <w:fldChar w:fldCharType="end"/>
                  </w:r>
                  <w:bookmarkEnd w:id="399"/>
                  <w:bookmarkEnd w:id="403"/>
                  <w:r w:rsidRPr="004673E7">
                    <w:rPr>
                      <w:rStyle w:val="Text-Bold"/>
                      <w:b/>
                      <w:szCs w:val="21"/>
                      <w:lang w:val="en-NZ"/>
                    </w:rPr>
                    <w:t>: As a result of using the service, I have experienced positive changes in my wellbeing</w:t>
                  </w:r>
                  <w:r w:rsidR="00237222" w:rsidRPr="004673E7">
                    <w:rPr>
                      <w:rStyle w:val="Text-Bold"/>
                      <w:b/>
                      <w:szCs w:val="21"/>
                      <w:lang w:val="en-NZ"/>
                    </w:rPr>
                    <w:t xml:space="preserve">, </w:t>
                  </w:r>
                  <w:r w:rsidRPr="004673E7">
                    <w:rPr>
                      <w:rStyle w:val="Text-Bold"/>
                      <w:b/>
                      <w:szCs w:val="21"/>
                      <w:lang w:val="en-NZ"/>
                    </w:rPr>
                    <w:t>FaRS</w:t>
                  </w:r>
                  <w:r w:rsidR="00237222" w:rsidRPr="004673E7">
                    <w:rPr>
                      <w:rStyle w:val="Text-Bold"/>
                      <w:b/>
                      <w:szCs w:val="21"/>
                      <w:lang w:val="en-NZ"/>
                    </w:rPr>
                    <w:t xml:space="preserve"> service users</w:t>
                  </w:r>
                  <w:r w:rsidRPr="004673E7">
                    <w:rPr>
                      <w:rStyle w:val="Text-Bold"/>
                      <w:b/>
                      <w:szCs w:val="21"/>
                      <w:lang w:val="en-NZ"/>
                    </w:rPr>
                    <w:t xml:space="preserve"> (n=153)</w:t>
                  </w:r>
                  <w:bookmarkEnd w:id="400"/>
                  <w:bookmarkEnd w:id="401"/>
                  <w:r w:rsidRPr="004673E7">
                    <w:rPr>
                      <w:rStyle w:val="Text-Bold"/>
                      <w:b/>
                      <w:szCs w:val="21"/>
                      <w:lang w:val="en-NZ"/>
                    </w:rPr>
                    <w:t xml:space="preserve"> </w:t>
                  </w:r>
                </w:p>
                <w:p w14:paraId="1668BDBC" w14:textId="2FDDDD69" w:rsidR="002E6CCB" w:rsidRPr="00F702A2" w:rsidRDefault="005C0B1E" w:rsidP="005C0B1E">
                  <w:pPr>
                    <w:pStyle w:val="Text"/>
                  </w:pPr>
                  <w:r>
                    <w:rPr>
                      <w:noProof/>
                    </w:rPr>
                    <w:drawing>
                      <wp:inline distT="0" distB="0" distL="0" distR="0" wp14:anchorId="5718229B" wp14:editId="7D9AAA4A">
                        <wp:extent cx="5730949" cy="3869690"/>
                        <wp:effectExtent l="0" t="0" r="3175" b="16510"/>
                        <wp:docPr id="318088246" name="Chart 1">
                          <a:extLst xmlns:a="http://schemas.openxmlformats.org/drawingml/2006/main">
                            <a:ext uri="{FF2B5EF4-FFF2-40B4-BE49-F238E27FC236}">
                              <a16:creationId xmlns:a16="http://schemas.microsoft.com/office/drawing/2014/main" id="{5F43E4B2-88D4-4284-A374-E9F2BAB2C3C8}"/>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r w:rsidR="002E6CCB" w:rsidRPr="596BDFB0">
                    <w:rPr>
                      <w:i/>
                      <w:iCs/>
                      <w:sz w:val="20"/>
                    </w:rPr>
                    <w:t xml:space="preserve">Source: Service user survey </w:t>
                  </w:r>
                </w:p>
                <w:p w14:paraId="038EA7E3" w14:textId="346440C0" w:rsidR="004216E9" w:rsidRDefault="00336F19" w:rsidP="005C0B1E">
                  <w:pPr>
                    <w:pStyle w:val="Text"/>
                  </w:pPr>
                  <w:r>
                    <w:t xml:space="preserve">Some service users noted that accessing a FaRS service had enabled them to </w:t>
                  </w:r>
                  <w:r w:rsidR="002B6D88">
                    <w:t>feel more positive about their future, with 35.1%</w:t>
                  </w:r>
                  <w:r w:rsidR="00046EE4">
                    <w:t xml:space="preserve"> (n=52)</w:t>
                  </w:r>
                  <w:r w:rsidR="002B6D88">
                    <w:t xml:space="preserve"> agreeing, and 19.6% </w:t>
                  </w:r>
                  <w:r w:rsidR="00046EE4">
                    <w:t>(n=29) strongly</w:t>
                  </w:r>
                  <w:r w:rsidR="002B6D88">
                    <w:t xml:space="preserve"> agreeing that as a result of using a FaRS service, they feel more positive about the future</w:t>
                  </w:r>
                  <w:r w:rsidR="00046EE4">
                    <w:t xml:space="preserve"> (</w:t>
                  </w:r>
                  <w:r w:rsidR="00046EE4" w:rsidRPr="00237222">
                    <w:t xml:space="preserve">see </w:t>
                  </w:r>
                  <w:r w:rsidR="00237222" w:rsidRPr="002A1F15">
                    <w:fldChar w:fldCharType="begin" w:fldLock="1"/>
                  </w:r>
                  <w:r w:rsidR="00237222" w:rsidRPr="00237222">
                    <w:rPr>
                      <w:b/>
                      <w:bCs/>
                    </w:rPr>
                    <w:instrText xml:space="preserve"> REF _Ref204951176 \h  \* MERGEFORMAT </w:instrText>
                  </w:r>
                  <w:r w:rsidR="00237222" w:rsidRPr="002A1F15">
                    <w:fldChar w:fldCharType="separate"/>
                  </w:r>
                  <w:r w:rsidR="008F22E5" w:rsidRPr="008F22E5">
                    <w:rPr>
                      <w:rStyle w:val="Text-Bold"/>
                      <w:szCs w:val="22"/>
                    </w:rPr>
                    <w:t xml:space="preserve">Figure </w:t>
                  </w:r>
                  <w:r w:rsidR="008F22E5" w:rsidRPr="008F22E5">
                    <w:rPr>
                      <w:b/>
                      <w:bCs/>
                    </w:rPr>
                    <w:t>20</w:t>
                  </w:r>
                  <w:r w:rsidR="00237222" w:rsidRPr="002A1F15">
                    <w:fldChar w:fldCharType="end"/>
                  </w:r>
                  <w:r w:rsidR="00046EE4">
                    <w:rPr>
                      <w:b/>
                    </w:rPr>
                    <w:t xml:space="preserve"> </w:t>
                  </w:r>
                  <w:r w:rsidR="00046EE4" w:rsidRPr="00237222">
                    <w:t>below)</w:t>
                  </w:r>
                  <w:r w:rsidR="00237222">
                    <w:t xml:space="preserve">. </w:t>
                  </w:r>
                </w:p>
                <w:p w14:paraId="6D8162B6" w14:textId="272CE9C4" w:rsidR="00E232BB" w:rsidRDefault="004216E9" w:rsidP="004673E7">
                  <w:r>
                    <w:br w:type="page"/>
                  </w:r>
                </w:p>
                <w:p w14:paraId="5FF0AD47" w14:textId="3147C30F" w:rsidR="00237222" w:rsidRPr="004673E7" w:rsidRDefault="00237222" w:rsidP="00953B9E">
                  <w:pPr>
                    <w:pStyle w:val="TableFigure-Header"/>
                    <w:spacing w:line="276" w:lineRule="auto"/>
                    <w:jc w:val="both"/>
                    <w:rPr>
                      <w:rStyle w:val="Text-Bold"/>
                      <w:b/>
                      <w:szCs w:val="21"/>
                      <w:lang w:val="en-NZ"/>
                    </w:rPr>
                  </w:pPr>
                  <w:bookmarkStart w:id="404" w:name="_Ref204951176"/>
                  <w:bookmarkStart w:id="405" w:name="_Toc205413063"/>
                  <w:bookmarkStart w:id="406" w:name="_Toc205413117"/>
                  <w:r w:rsidRPr="004673E7">
                    <w:rPr>
                      <w:rStyle w:val="Text-Bold"/>
                      <w:b/>
                      <w:szCs w:val="21"/>
                      <w:lang w:val="en-NZ"/>
                    </w:rPr>
                    <w:lastRenderedPageBreak/>
                    <w:t xml:space="preserve">Figure </w:t>
                  </w:r>
                  <w:r w:rsidR="00C64C3D" w:rsidRPr="004673E7">
                    <w:rPr>
                      <w:rStyle w:val="Text-Bold"/>
                      <w:b/>
                      <w:szCs w:val="21"/>
                      <w:lang w:val="en-NZ"/>
                    </w:rPr>
                    <w:fldChar w:fldCharType="begin"/>
                  </w:r>
                  <w:r w:rsidR="00C64C3D" w:rsidRPr="004673E7">
                    <w:rPr>
                      <w:rStyle w:val="Text-Bold"/>
                      <w:b/>
                      <w:szCs w:val="21"/>
                      <w:lang w:val="en-NZ"/>
                    </w:rPr>
                    <w:instrText xml:space="preserve"> SEQ Figure \* ARABIC </w:instrText>
                  </w:r>
                  <w:r w:rsidR="00C64C3D" w:rsidRPr="004673E7">
                    <w:rPr>
                      <w:rStyle w:val="Text-Bold"/>
                      <w:b/>
                      <w:szCs w:val="21"/>
                      <w:lang w:val="en-NZ"/>
                    </w:rPr>
                    <w:fldChar w:fldCharType="separate"/>
                  </w:r>
                  <w:r w:rsidR="008D2566">
                    <w:rPr>
                      <w:rStyle w:val="Text-Bold"/>
                      <w:b/>
                      <w:noProof/>
                      <w:szCs w:val="21"/>
                      <w:lang w:val="en-NZ"/>
                    </w:rPr>
                    <w:t>20</w:t>
                  </w:r>
                  <w:r w:rsidR="00C64C3D" w:rsidRPr="004673E7">
                    <w:rPr>
                      <w:rStyle w:val="Text-Bold"/>
                      <w:b/>
                      <w:szCs w:val="21"/>
                      <w:lang w:val="en-NZ"/>
                    </w:rPr>
                    <w:fldChar w:fldCharType="end"/>
                  </w:r>
                  <w:bookmarkEnd w:id="404"/>
                  <w:r w:rsidRPr="004673E7">
                    <w:rPr>
                      <w:rStyle w:val="Text-Bold"/>
                      <w:b/>
                      <w:szCs w:val="21"/>
                      <w:lang w:val="en-NZ"/>
                    </w:rPr>
                    <w:t>: As a result of using the service, I feel more positive about the future, FaRS service users (n=148)</w:t>
                  </w:r>
                  <w:bookmarkEnd w:id="405"/>
                  <w:bookmarkEnd w:id="406"/>
                </w:p>
                <w:p w14:paraId="515263DA" w14:textId="39F3BFDD" w:rsidR="002E6CCB" w:rsidRPr="00F702A2" w:rsidRDefault="002B6D88" w:rsidP="002B6D88">
                  <w:pPr>
                    <w:pStyle w:val="Text"/>
                  </w:pPr>
                  <w:r w:rsidRPr="004E5911">
                    <w:rPr>
                      <w:noProof/>
                      <w:color w:val="ACB0B4" w:themeColor="accent4" w:themeShade="BF"/>
                    </w:rPr>
                    <w:drawing>
                      <wp:inline distT="0" distB="0" distL="0" distR="0" wp14:anchorId="2F11E500" wp14:editId="3183E72C">
                        <wp:extent cx="5679440" cy="3362178"/>
                        <wp:effectExtent l="0" t="0" r="16510" b="10160"/>
                        <wp:docPr id="1576018170" name="Chart 2">
                          <a:extLst xmlns:a="http://schemas.openxmlformats.org/drawingml/2006/main">
                            <a:ext uri="{FF2B5EF4-FFF2-40B4-BE49-F238E27FC236}">
                              <a16:creationId xmlns:a16="http://schemas.microsoft.com/office/drawing/2014/main" id="{0E336984-68C9-4CC4-B2A6-19D7ED05C194}"/>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r w:rsidR="002E6CCB" w:rsidRPr="596BDFB0">
                    <w:rPr>
                      <w:i/>
                      <w:iCs/>
                      <w:sz w:val="20"/>
                    </w:rPr>
                    <w:t xml:space="preserve">Source: Service user survey </w:t>
                  </w:r>
                </w:p>
                <w:p w14:paraId="53765CFA" w14:textId="0FD64919" w:rsidR="00CC3219" w:rsidRDefault="00F668FD" w:rsidP="00321BC5">
                  <w:pPr>
                    <w:pStyle w:val="Text"/>
                  </w:pPr>
                  <w:r>
                    <w:rPr>
                      <w:lang w:val="en-US"/>
                    </w:rPr>
                    <w:t>Reflecting</w:t>
                  </w:r>
                  <w:r w:rsidR="0066047C" w:rsidRPr="00C45868">
                    <w:rPr>
                      <w:lang w:val="en-US"/>
                    </w:rPr>
                    <w:t xml:space="preserve"> </w:t>
                  </w:r>
                  <w:r w:rsidR="00046EE4">
                    <w:rPr>
                      <w:lang w:val="en-US"/>
                    </w:rPr>
                    <w:t>the effectiveness of</w:t>
                  </w:r>
                  <w:r w:rsidR="0066047C" w:rsidRPr="00C45868">
                    <w:rPr>
                      <w:lang w:val="en-US"/>
                    </w:rPr>
                    <w:t xml:space="preserve"> counselling services, </w:t>
                  </w:r>
                  <w:r>
                    <w:rPr>
                      <w:lang w:val="en-US"/>
                    </w:rPr>
                    <w:t xml:space="preserve">a previous report published by </w:t>
                  </w:r>
                  <w:r w:rsidR="0066047C" w:rsidRPr="00C45868">
                    <w:rPr>
                      <w:lang w:val="en-US"/>
                    </w:rPr>
                    <w:t>Relationships Australia</w:t>
                  </w:r>
                  <w:r>
                    <w:rPr>
                      <w:lang w:val="en-US"/>
                    </w:rPr>
                    <w:t xml:space="preserve"> </w:t>
                  </w:r>
                  <w:r w:rsidRPr="00524E27">
                    <w:rPr>
                      <w:lang w:val="en-US"/>
                    </w:rPr>
                    <w:fldChar w:fldCharType="begin"/>
                  </w:r>
                  <w:r w:rsidR="00E41D03">
                    <w:rPr>
                      <w:lang w:val="en-US"/>
                    </w:rPr>
                    <w:instrText xml:space="preserve"> ADDIN ZOTERO_ITEM CSL_CITATION {"citationID":"a244lpdk21p","properties":{"formattedCitation":"(2023a)","plainCitation":"(2023a)","noteIndex":0},"citationItems":[{"id":4685,"uris":["http://zotero.org/groups/5691188/items/USLQ53GD"],"itemData":{"id":4685,"type":"document","publisher":"Relationships Australia","title":"Equality - Relationships Australia Annual Report 2022 - 23","author":[{"family":"Relationships Australia","given":""}],"issued":{"date-parts":[["2023",9,13]]}},"suppress-author":true}],"schema":"https://github.com/citation-style-language/schema/raw/master/csl-citation.json"} </w:instrText>
                  </w:r>
                  <w:r w:rsidRPr="00524E27">
                    <w:rPr>
                      <w:lang w:val="en-US"/>
                    </w:rPr>
                    <w:fldChar w:fldCharType="separate"/>
                  </w:r>
                  <w:r w:rsidR="00AC138C" w:rsidRPr="00AC138C">
                    <w:rPr>
                      <w:rFonts w:ascii="Arial" w:hAnsi="Arial" w:cs="Arial"/>
                    </w:rPr>
                    <w:t>(2023a)</w:t>
                  </w:r>
                  <w:r w:rsidRPr="00524E27">
                    <w:rPr>
                      <w:lang w:val="en-US"/>
                    </w:rPr>
                    <w:fldChar w:fldCharType="end"/>
                  </w:r>
                  <w:r w:rsidR="0066047C" w:rsidRPr="00C45868">
                    <w:rPr>
                      <w:lang w:val="en-US"/>
                    </w:rPr>
                    <w:t xml:space="preserve"> </w:t>
                  </w:r>
                  <w:r>
                    <w:rPr>
                      <w:lang w:val="en-US"/>
                    </w:rPr>
                    <w:t>found</w:t>
                  </w:r>
                  <w:r w:rsidR="0066047C" w:rsidRPr="00C45868">
                    <w:rPr>
                      <w:lang w:val="en-US"/>
                    </w:rPr>
                    <w:t xml:space="preserve"> that 91.0% of counselling </w:t>
                  </w:r>
                  <w:r w:rsidR="00E614D3">
                    <w:rPr>
                      <w:lang w:val="en-US"/>
                    </w:rPr>
                    <w:t xml:space="preserve">service users </w:t>
                  </w:r>
                  <w:r w:rsidR="0066047C" w:rsidRPr="00C45868">
                    <w:rPr>
                      <w:lang w:val="en-US"/>
                    </w:rPr>
                    <w:t>agreed that they felt the service listened to them and understood their issues</w:t>
                  </w:r>
                  <w:r>
                    <w:rPr>
                      <w:lang w:val="en-US"/>
                    </w:rPr>
                    <w:t>.</w:t>
                  </w:r>
                  <w:r w:rsidR="0066047C" w:rsidRPr="00C45868">
                    <w:rPr>
                      <w:lang w:val="en-US"/>
                    </w:rPr>
                    <w:t xml:space="preserve"> Th</w:t>
                  </w:r>
                  <w:r w:rsidR="009658EE">
                    <w:rPr>
                      <w:lang w:val="en-US"/>
                    </w:rPr>
                    <w:t>is report</w:t>
                  </w:r>
                  <w:r w:rsidR="0066047C" w:rsidRPr="00C45868">
                    <w:rPr>
                      <w:lang w:val="en-US"/>
                    </w:rPr>
                    <w:t xml:space="preserve"> also found that at least double the number of </w:t>
                  </w:r>
                  <w:r w:rsidR="00E614D3">
                    <w:rPr>
                      <w:lang w:val="en-US"/>
                    </w:rPr>
                    <w:t xml:space="preserve">service </w:t>
                  </w:r>
                  <w:r w:rsidR="000B0940">
                    <w:rPr>
                      <w:lang w:val="en-US"/>
                    </w:rPr>
                    <w:t>users</w:t>
                  </w:r>
                  <w:r w:rsidR="0066047C" w:rsidRPr="00C45868">
                    <w:rPr>
                      <w:lang w:val="en-US"/>
                    </w:rPr>
                    <w:t xml:space="preserve"> reported positive family functioning, and positive mental health and wellbeing following counselling by Relationships Australia. </w:t>
                  </w:r>
                  <w:r w:rsidR="00F01312" w:rsidRPr="00C45868">
                    <w:rPr>
                      <w:lang w:val="en-US"/>
                    </w:rPr>
                    <w:t xml:space="preserve">Drummond Street Services, a provider of FaRS and SFVS, undertook an evaluation to understand the impact of their services on their </w:t>
                  </w:r>
                  <w:r w:rsidR="00E614D3">
                    <w:rPr>
                      <w:lang w:val="en-US"/>
                    </w:rPr>
                    <w:t>service users</w:t>
                  </w:r>
                  <w:r w:rsidR="00F01312" w:rsidRPr="00C45868">
                    <w:rPr>
                      <w:lang w:val="en-US"/>
                    </w:rPr>
                    <w:t xml:space="preserve">, utilising a range of peer reviewed measures and indicators, including the DASS-21 (Depression Anxiety Stress Scale) </w:t>
                  </w:r>
                  <w:r w:rsidR="00F01312" w:rsidRPr="00C45868">
                    <w:rPr>
                      <w:lang w:val="en-US"/>
                    </w:rPr>
                    <w:fldChar w:fldCharType="begin"/>
                  </w:r>
                  <w:r w:rsidR="00E41D03">
                    <w:rPr>
                      <w:lang w:val="en-US"/>
                    </w:rPr>
                    <w:instrText xml:space="preserve"> ADDIN ZOTERO_ITEM CSL_CITATION {"citationID":"U2rLuCBx","properties":{"formattedCitation":"(Centre for Family Research and Evaluation, 2019)","plainCitation":"(Centre for Family Research and Evaluation, 2019)","noteIndex":0},"citationItems":[{"id":4729,"uris":["http://zotero.org/groups/5691188/items/PJ4UG47H"],"itemData":{"id":4729,"type":"report","event-place":"Victoria, Australia","publisher":"Centre for Family Research and Evaluation","publisher-place":"Victoria, Australia","title":"Drummond Street Services Evaluation: Annual Report Snapshot Series 2019","author":[{"family":"Centre for Family Research and Evaluation","given":""}],"issued":{"date-parts":[["2019"]]}}}],"schema":"https://github.com/citation-style-language/schema/raw/master/csl-citation.json"} </w:instrText>
                  </w:r>
                  <w:r w:rsidR="00F01312" w:rsidRPr="00C45868">
                    <w:rPr>
                      <w:lang w:val="en-US"/>
                    </w:rPr>
                    <w:fldChar w:fldCharType="separate"/>
                  </w:r>
                  <w:r w:rsidR="00F01312" w:rsidRPr="00C45868">
                    <w:rPr>
                      <w:lang w:val="en-US"/>
                    </w:rPr>
                    <w:t>(Centre for Family Research and Evaluation, 2019)</w:t>
                  </w:r>
                  <w:r w:rsidR="00F01312" w:rsidRPr="00C45868">
                    <w:rPr>
                      <w:lang w:val="en-US"/>
                    </w:rPr>
                    <w:fldChar w:fldCharType="end"/>
                  </w:r>
                  <w:r w:rsidR="00F01312" w:rsidRPr="00C45868">
                    <w:rPr>
                      <w:lang w:val="en-US"/>
                    </w:rPr>
                    <w:t xml:space="preserve">. They found that following the final delivery of services, adult </w:t>
                  </w:r>
                  <w:r w:rsidR="00E614D3">
                    <w:rPr>
                      <w:lang w:val="en-US"/>
                    </w:rPr>
                    <w:t xml:space="preserve">service </w:t>
                  </w:r>
                  <w:r w:rsidR="000B0940">
                    <w:rPr>
                      <w:lang w:val="en-US"/>
                    </w:rPr>
                    <w:t>users</w:t>
                  </w:r>
                  <w:r w:rsidR="00F01312" w:rsidRPr="00C45868">
                    <w:rPr>
                      <w:lang w:val="en-US"/>
                    </w:rPr>
                    <w:t xml:space="preserve"> decreased their mental health distress by an average of 33.4%.</w:t>
                  </w:r>
                </w:p>
                <w:p w14:paraId="0650719B" w14:textId="77777777" w:rsidR="004A49D1" w:rsidRPr="00321BC5" w:rsidRDefault="004A49D1" w:rsidP="00321BC5">
                  <w:pPr>
                    <w:pStyle w:val="Text-BodyHeading"/>
                    <w:spacing w:before="360" w:after="240"/>
                  </w:pPr>
                  <w:r>
                    <w:t>Parenting skills</w:t>
                  </w:r>
                </w:p>
                <w:p w14:paraId="737D4861" w14:textId="45048734" w:rsidR="004A49D1" w:rsidRPr="00321BC5" w:rsidRDefault="004A49D1" w:rsidP="004A49D1">
                  <w:pPr>
                    <w:pStyle w:val="Text"/>
                    <w:rPr>
                      <w:i/>
                      <w:sz w:val="20"/>
                      <w:szCs w:val="18"/>
                      <w:lang w:val="en-US"/>
                    </w:rPr>
                  </w:pPr>
                  <w:r w:rsidRPr="0039447A">
                    <w:rPr>
                      <w:lang w:val="en-US"/>
                    </w:rPr>
                    <w:t xml:space="preserve">For many service users, the FaRS service </w:t>
                  </w:r>
                  <w:r>
                    <w:rPr>
                      <w:lang w:val="en-US"/>
                    </w:rPr>
                    <w:t>proved useful for improving their parenting skills</w:t>
                  </w:r>
                  <w:r w:rsidRPr="0039447A">
                    <w:rPr>
                      <w:lang w:val="en-US"/>
                    </w:rPr>
                    <w:t xml:space="preserve">. </w:t>
                  </w:r>
                  <w:r w:rsidRPr="64D0A4F8">
                    <w:rPr>
                      <w:lang w:val="en-AU"/>
                    </w:rPr>
                    <w:t xml:space="preserve">Qualitative data </w:t>
                  </w:r>
                  <w:r>
                    <w:rPr>
                      <w:lang w:val="en-AU"/>
                    </w:rPr>
                    <w:t>indicated</w:t>
                  </w:r>
                  <w:r w:rsidRPr="64D0A4F8">
                    <w:rPr>
                      <w:lang w:val="en-AU"/>
                    </w:rPr>
                    <w:t xml:space="preserve"> that overall, service users with children increased their knowledge and skills in parenting</w:t>
                  </w:r>
                  <w:r>
                    <w:rPr>
                      <w:lang w:val="en-AU"/>
                    </w:rPr>
                    <w:t xml:space="preserve"> through the program</w:t>
                  </w:r>
                  <w:r w:rsidRPr="64D0A4F8">
                    <w:rPr>
                      <w:lang w:val="en-AU"/>
                    </w:rPr>
                    <w:t>. Some</w:t>
                  </w:r>
                  <w:r>
                    <w:rPr>
                      <w:lang w:val="en-AU"/>
                    </w:rPr>
                    <w:t xml:space="preserve"> </w:t>
                  </w:r>
                  <w:r w:rsidRPr="64D0A4F8">
                    <w:rPr>
                      <w:lang w:val="en-AU"/>
                    </w:rPr>
                    <w:t xml:space="preserve">service users who accessed parenting classes </w:t>
                  </w:r>
                  <w:r>
                    <w:rPr>
                      <w:lang w:val="en-AU"/>
                    </w:rPr>
                    <w:t>reported</w:t>
                  </w:r>
                  <w:r w:rsidRPr="64D0A4F8">
                    <w:rPr>
                      <w:lang w:val="en-AU"/>
                    </w:rPr>
                    <w:t xml:space="preserve"> </w:t>
                  </w:r>
                  <w:r>
                    <w:rPr>
                      <w:lang w:val="en-AU"/>
                    </w:rPr>
                    <w:t>that they better understood</w:t>
                  </w:r>
                  <w:r w:rsidRPr="64D0A4F8">
                    <w:rPr>
                      <w:lang w:val="en-AU"/>
                    </w:rPr>
                    <w:t xml:space="preserve"> their children</w:t>
                  </w:r>
                  <w:r>
                    <w:rPr>
                      <w:lang w:val="en-AU"/>
                    </w:rPr>
                    <w:t>,</w:t>
                  </w:r>
                  <w:r w:rsidRPr="64D0A4F8">
                    <w:rPr>
                      <w:lang w:val="en-AU"/>
                    </w:rPr>
                    <w:t xml:space="preserve"> their emotional</w:t>
                  </w:r>
                  <w:r>
                    <w:rPr>
                      <w:lang w:val="en-AU"/>
                    </w:rPr>
                    <w:t xml:space="preserve"> needs and drivers of their behaviour</w:t>
                  </w:r>
                  <w:r w:rsidRPr="64D0A4F8">
                    <w:rPr>
                      <w:lang w:val="en-AU"/>
                    </w:rPr>
                    <w:t xml:space="preserve">. </w:t>
                  </w:r>
                  <w:r>
                    <w:rPr>
                      <w:lang w:val="en-AU"/>
                    </w:rPr>
                    <w:t>Many</w:t>
                  </w:r>
                  <w:r w:rsidRPr="64D0A4F8">
                    <w:rPr>
                      <w:lang w:val="en-AU"/>
                    </w:rPr>
                    <w:t xml:space="preserve"> FaRS service users</w:t>
                  </w:r>
                  <w:r>
                    <w:rPr>
                      <w:lang w:val="en-AU"/>
                    </w:rPr>
                    <w:t xml:space="preserve"> who participated in a parenting program reported</w:t>
                  </w:r>
                  <w:r w:rsidRPr="64D0A4F8">
                    <w:rPr>
                      <w:lang w:val="en-AU"/>
                    </w:rPr>
                    <w:t xml:space="preserve"> </w:t>
                  </w:r>
                  <w:r>
                    <w:rPr>
                      <w:lang w:val="en-AU"/>
                    </w:rPr>
                    <w:t>that they</w:t>
                  </w:r>
                  <w:r w:rsidRPr="64D0A4F8">
                    <w:rPr>
                      <w:lang w:val="en-AU"/>
                    </w:rPr>
                    <w:t xml:space="preserve"> </w:t>
                  </w:r>
                  <w:r>
                    <w:rPr>
                      <w:lang w:val="en-AU"/>
                    </w:rPr>
                    <w:t>developed insight into</w:t>
                  </w:r>
                  <w:r w:rsidRPr="64D0A4F8">
                    <w:rPr>
                      <w:lang w:val="en-AU"/>
                    </w:rPr>
                    <w:t xml:space="preserve"> their own emotional responses to their children</w:t>
                  </w:r>
                  <w:r>
                    <w:rPr>
                      <w:lang w:val="en-AU"/>
                    </w:rPr>
                    <w:t xml:space="preserve">. Consistent with literature of best practice in parenting programs, these service users </w:t>
                  </w:r>
                  <w:r w:rsidRPr="005560C4">
                    <w:rPr>
                      <w:lang w:val="en-AU"/>
                    </w:rPr>
                    <w:t xml:space="preserve">described </w:t>
                  </w:r>
                  <w:r>
                    <w:t>an improvement in their</w:t>
                  </w:r>
                  <w:r w:rsidRPr="008E1B83">
                    <w:t xml:space="preserve"> self-efficacy and resilience, allow</w:t>
                  </w:r>
                  <w:r>
                    <w:t>ing</w:t>
                  </w:r>
                  <w:r w:rsidRPr="008E1B83">
                    <w:t xml:space="preserve"> them to better model calm and positive interactions </w:t>
                  </w:r>
                  <w:r w:rsidRPr="005560C4">
                    <w:fldChar w:fldCharType="begin"/>
                  </w:r>
                  <w:r>
                    <w:instrText xml:space="preserve"> ADDIN ZOTERO_ITEM CSL_CITATION {"citationID":"CIpyRq0Y","properties":{"formattedCitation":"(Darvishnia et al., 2023)","plainCitation":"(Darvishnia et al., 2023)","noteIndex":0},"citationItems":[{"id":4739,"uris":["http://zotero.org/groups/5691188/items/YYHKLHAY"],"itemData":{"id":4739,"type":"article-journal","abstract":"Introduction: Domestic violence is still considered a global problem. The present study aims to investigate the effectiveness of coping therapy on domestic violence and the sense of self-efficacy in abused women. Materials and Methods: Among the 115 women victims of violence in Tehran who were initially interviewed, 40 women who were victims of violence living in Ray city, Kahrizak district, who referred to Hazrat Abolfazl (AS) comprehensive health center during the months of September-October 2019, were randomly assigned to the coping therapy group (n= 20) and the control group (n= 20). All participants completed the demographic checklist, selfefficacy questionnaire, and standard questionnaire for measuring violence against women in three stages. We used analysis of variance with repeated measures. The data was analyzed with SPSS version 24 software.\nResults: There was a significant difference between the groups in the post-test and follow-up stages. This can indicate the effectiveness of coping therapy on self-efficacy in victims of violence and the stability of the effectiveness in the follow-up stage (P&lt; 0.001).\nConclusion: The results showed that coping therapy can be used as a psychological intervention to increase the sense of self-efficacy and reduce violence towards women. This intervention empowers women who have experienced violence.","language":"en","source":"Zotero","title":"The effectiveness of coping therapy on domestic violence and self- efficacy in abused women","author":[{"family":"Darvishnia","given":"Azade"},{"family":"Aghayousefi","given":"Alireza"},{"family":"Gharamaleki","given":"Naser Sobhi"}],"issued":{"date-parts":[["2023"]]}}}],"schema":"https://github.com/citation-style-language/schema/raw/master/csl-citation.json"} </w:instrText>
                  </w:r>
                  <w:r w:rsidRPr="005560C4">
                    <w:fldChar w:fldCharType="separate"/>
                  </w:r>
                  <w:r w:rsidRPr="008E1B83">
                    <w:t>(Darvishnia et al., 2023)</w:t>
                  </w:r>
                  <w:r w:rsidRPr="005560C4">
                    <w:fldChar w:fldCharType="end"/>
                  </w:r>
                  <w:r>
                    <w:t>. A large proportion of</w:t>
                  </w:r>
                  <w:r w:rsidRPr="005560C4">
                    <w:rPr>
                      <w:lang w:val="en-AU"/>
                    </w:rPr>
                    <w:t xml:space="preserve"> </w:t>
                  </w:r>
                  <w:r>
                    <w:rPr>
                      <w:lang w:val="en-AU"/>
                    </w:rPr>
                    <w:t>s</w:t>
                  </w:r>
                  <w:r w:rsidRPr="005560C4">
                    <w:rPr>
                      <w:lang w:val="en-AU"/>
                    </w:rPr>
                    <w:t>ervice users</w:t>
                  </w:r>
                  <w:r>
                    <w:rPr>
                      <w:lang w:val="en-AU"/>
                    </w:rPr>
                    <w:t xml:space="preserve"> also reported</w:t>
                  </w:r>
                  <w:r w:rsidRPr="005560C4">
                    <w:rPr>
                      <w:lang w:val="en-AU"/>
                    </w:rPr>
                    <w:t xml:space="preserve"> learn</w:t>
                  </w:r>
                  <w:r>
                    <w:rPr>
                      <w:lang w:val="en-AU"/>
                    </w:rPr>
                    <w:t>ing</w:t>
                  </w:r>
                  <w:r w:rsidRPr="005560C4">
                    <w:rPr>
                      <w:lang w:val="en-AU"/>
                    </w:rPr>
                    <w:t xml:space="preserve"> a range of techniques to support their child’s development. </w:t>
                  </w:r>
                  <w:r>
                    <w:rPr>
                      <w:lang w:val="en-AU"/>
                    </w:rPr>
                    <w:t>T</w:t>
                  </w:r>
                  <w:r w:rsidRPr="005560C4">
                    <w:rPr>
                      <w:lang w:val="en-AU"/>
                    </w:rPr>
                    <w:t>echniques included effective communication skills</w:t>
                  </w:r>
                  <w:r w:rsidRPr="64D0A4F8">
                    <w:rPr>
                      <w:lang w:val="en-AU"/>
                    </w:rPr>
                    <w:t xml:space="preserve"> with children, approaches to resolving conflict, and supported play. </w:t>
                  </w:r>
                </w:p>
                <w:p w14:paraId="284EA681" w14:textId="77777777" w:rsidR="004A49D1" w:rsidRDefault="004A49D1" w:rsidP="004A49D1">
                  <w:pPr>
                    <w:pBdr>
                      <w:left w:val="single" w:sz="18" w:space="4" w:color="78B800" w:themeColor="accent1"/>
                    </w:pBdr>
                    <w:tabs>
                      <w:tab w:val="left" w:pos="8080"/>
                    </w:tabs>
                    <w:spacing w:after="0"/>
                    <w:ind w:left="851" w:right="949"/>
                    <w:rPr>
                      <w:lang w:val="en-US"/>
                    </w:rPr>
                  </w:pPr>
                  <w:r w:rsidRPr="008E1B83">
                    <w:rPr>
                      <w:i/>
                      <w:noProof/>
                    </w:rPr>
                    <w:lastRenderedPageBreak/>
                    <w:drawing>
                      <wp:anchor distT="0" distB="0" distL="114300" distR="114300" simplePos="0" relativeHeight="251658279" behindDoc="0" locked="1" layoutInCell="1" allowOverlap="1" wp14:anchorId="781393E9" wp14:editId="330C6102">
                        <wp:simplePos x="0" y="0"/>
                        <wp:positionH relativeFrom="column">
                          <wp:posOffset>0</wp:posOffset>
                        </wp:positionH>
                        <wp:positionV relativeFrom="paragraph">
                          <wp:posOffset>0</wp:posOffset>
                        </wp:positionV>
                        <wp:extent cx="384810" cy="320040"/>
                        <wp:effectExtent l="0" t="0" r="0" b="3810"/>
                        <wp:wrapNone/>
                        <wp:docPr id="823894402" name="Graphic 823894402" descr="P2004#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894402" name="Graphic 823894402" descr="P2004#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E1B83">
                    <w:rPr>
                      <w:i/>
                    </w:rPr>
                    <w:t>My problem was that I was over involving myself when playing with [child]. To get the most out of her play, I needed to step back a bit and observe her playing and interact with her verbally instead of taking the responsibility to entertain her and to allow her to entertain herself</w:t>
                  </w:r>
                  <w:r>
                    <w:rPr>
                      <w:i/>
                    </w:rPr>
                    <w:t xml:space="preserve"> [</w:t>
                  </w:r>
                  <w:r w:rsidRPr="008E1B83">
                    <w:rPr>
                      <w:i/>
                    </w:rPr>
                    <w:t>…</w:t>
                  </w:r>
                  <w:r>
                    <w:rPr>
                      <w:i/>
                    </w:rPr>
                    <w:t>]</w:t>
                  </w:r>
                  <w:r w:rsidRPr="008E1B83">
                    <w:rPr>
                      <w:i/>
                    </w:rPr>
                    <w:t xml:space="preserve"> I had no knowledge of that beforehand. After going to Circle of Security, it took the pressure away from parenting – instead of thinking I needed to constantly entertain her – it's a two-way street. I was there to protect her and help her feel secure. She's there to learn and explore and play not just with me but with herself</w:t>
                  </w:r>
                  <w:r>
                    <w:t xml:space="preserve"> </w:t>
                  </w:r>
                  <w:r w:rsidRPr="002E7992">
                    <w:rPr>
                      <w:b/>
                      <w:bCs/>
                      <w:i/>
                      <w:iCs/>
                    </w:rPr>
                    <w:t>–</w:t>
                  </w:r>
                  <w:r>
                    <w:rPr>
                      <w:b/>
                      <w:bCs/>
                      <w:i/>
                      <w:iCs/>
                    </w:rPr>
                    <w:t xml:space="preserve"> FaRS s</w:t>
                  </w:r>
                  <w:r w:rsidRPr="002E7992">
                    <w:rPr>
                      <w:b/>
                      <w:bCs/>
                      <w:i/>
                      <w:iCs/>
                    </w:rPr>
                    <w:t xml:space="preserve">ervice </w:t>
                  </w:r>
                  <w:r>
                    <w:rPr>
                      <w:b/>
                      <w:bCs/>
                      <w:i/>
                      <w:iCs/>
                    </w:rPr>
                    <w:t>user</w:t>
                  </w:r>
                </w:p>
                <w:p w14:paraId="6C5660AD" w14:textId="77777777" w:rsidR="004A49D1" w:rsidRDefault="004A49D1" w:rsidP="004A49D1">
                  <w:pPr>
                    <w:pStyle w:val="Text"/>
                    <w:rPr>
                      <w:lang w:val="en-AU"/>
                    </w:rPr>
                  </w:pPr>
                </w:p>
                <w:p w14:paraId="48C7C76E" w14:textId="77777777" w:rsidR="004A49D1" w:rsidRDefault="004A49D1" w:rsidP="004A49D1">
                  <w:pPr>
                    <w:pStyle w:val="Text"/>
                    <w:rPr>
                      <w:lang w:val="en-AU"/>
                    </w:rPr>
                  </w:pPr>
                  <w:r>
                    <w:rPr>
                      <w:lang w:val="en-AU"/>
                    </w:rPr>
                    <w:t xml:space="preserve">Additionally, some service users with children who accessed counselling services (including individual, relationship, and family counselling) reported that their counsellor helped them to understand the perspectives of their children and provided recommendations for how to approach parenting. </w:t>
                  </w:r>
                </w:p>
                <w:p w14:paraId="333AA718" w14:textId="77777777" w:rsidR="004A49D1" w:rsidRPr="007D2883" w:rsidRDefault="004A49D1" w:rsidP="004A49D1">
                  <w:pPr>
                    <w:pBdr>
                      <w:left w:val="single" w:sz="18" w:space="4" w:color="78B800" w:themeColor="accent1"/>
                    </w:pBdr>
                    <w:tabs>
                      <w:tab w:val="left" w:pos="8080"/>
                    </w:tabs>
                    <w:spacing w:after="0"/>
                    <w:ind w:left="851" w:right="949"/>
                    <w:rPr>
                      <w:i/>
                    </w:rPr>
                  </w:pPr>
                  <w:r w:rsidRPr="008E1B83">
                    <w:rPr>
                      <w:i/>
                      <w:noProof/>
                    </w:rPr>
                    <w:drawing>
                      <wp:anchor distT="0" distB="0" distL="114300" distR="114300" simplePos="0" relativeHeight="251658280" behindDoc="0" locked="1" layoutInCell="1" allowOverlap="1" wp14:anchorId="7FA14A4D" wp14:editId="7B04D648">
                        <wp:simplePos x="0" y="0"/>
                        <wp:positionH relativeFrom="column">
                          <wp:posOffset>0</wp:posOffset>
                        </wp:positionH>
                        <wp:positionV relativeFrom="paragraph">
                          <wp:posOffset>0</wp:posOffset>
                        </wp:positionV>
                        <wp:extent cx="384810" cy="320040"/>
                        <wp:effectExtent l="0" t="0" r="0" b="3810"/>
                        <wp:wrapNone/>
                        <wp:docPr id="1178318630" name="Graphic 1178318630" descr="P2007#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318630" name="Graphic 1178318630" descr="P2007#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E1B83">
                    <w:rPr>
                      <w:i/>
                    </w:rPr>
                    <w:t>[Counsellor] has given me some really good ideas for parenting with troubled children. I’ve noticed a big change in the children, [it has] given me some strategies</w:t>
                  </w:r>
                  <w:r>
                    <w:rPr>
                      <w:i/>
                    </w:rPr>
                    <w:t>…</w:t>
                  </w:r>
                  <w:r w:rsidRPr="008E1B83">
                    <w:rPr>
                      <w:i/>
                    </w:rPr>
                    <w:t xml:space="preserve"> </w:t>
                  </w:r>
                  <w:r>
                    <w:rPr>
                      <w:i/>
                    </w:rPr>
                    <w:t>[It]</w:t>
                  </w:r>
                  <w:r w:rsidRPr="008E1B83">
                    <w:rPr>
                      <w:i/>
                    </w:rPr>
                    <w:t xml:space="preserve"> helps me feel like I’m on track, [that I] can improve</w:t>
                  </w:r>
                  <w:r>
                    <w:t xml:space="preserve"> </w:t>
                  </w:r>
                  <w:r w:rsidRPr="002E7992">
                    <w:rPr>
                      <w:b/>
                      <w:bCs/>
                      <w:i/>
                      <w:iCs/>
                    </w:rPr>
                    <w:t>–</w:t>
                  </w:r>
                  <w:r>
                    <w:rPr>
                      <w:b/>
                      <w:bCs/>
                      <w:i/>
                      <w:iCs/>
                    </w:rPr>
                    <w:t xml:space="preserve"> FaRS s</w:t>
                  </w:r>
                  <w:r w:rsidRPr="002E7992">
                    <w:rPr>
                      <w:b/>
                      <w:bCs/>
                      <w:i/>
                      <w:iCs/>
                    </w:rPr>
                    <w:t xml:space="preserve">ervice </w:t>
                  </w:r>
                  <w:r>
                    <w:rPr>
                      <w:b/>
                      <w:bCs/>
                      <w:i/>
                      <w:iCs/>
                    </w:rPr>
                    <w:t>user</w:t>
                  </w:r>
                </w:p>
                <w:p w14:paraId="6C291F47" w14:textId="77777777" w:rsidR="004A49D1" w:rsidRDefault="004A49D1" w:rsidP="004A49D1">
                  <w:pPr>
                    <w:pStyle w:val="Text"/>
                    <w:rPr>
                      <w:lang w:val="en-AU"/>
                    </w:rPr>
                  </w:pPr>
                </w:p>
                <w:p w14:paraId="00A1E5A7" w14:textId="7E809898" w:rsidR="004A49D1" w:rsidRDefault="004A49D1" w:rsidP="004A49D1">
                  <w:pPr>
                    <w:pStyle w:val="Text"/>
                    <w:rPr>
                      <w:lang w:val="en-AU"/>
                    </w:rPr>
                  </w:pPr>
                  <w:r>
                    <w:rPr>
                      <w:lang w:val="en-AU"/>
                    </w:rPr>
                    <w:t xml:space="preserve">Some adult services users experiencing separation found accessing FaRS funded services beneficial in parenting their children. Both parenting classes and counselling </w:t>
                  </w:r>
                  <w:r w:rsidR="00196A31">
                    <w:rPr>
                      <w:lang w:val="en-AU"/>
                    </w:rPr>
                    <w:t>helped</w:t>
                  </w:r>
                  <w:r>
                    <w:rPr>
                      <w:lang w:val="en-AU"/>
                    </w:rPr>
                    <w:t xml:space="preserve"> service users to </w:t>
                  </w:r>
                  <w:r w:rsidR="00196A31">
                    <w:rPr>
                      <w:lang w:val="en-AU"/>
                    </w:rPr>
                    <w:t>better</w:t>
                  </w:r>
                  <w:r>
                    <w:rPr>
                      <w:lang w:val="en-AU"/>
                    </w:rPr>
                    <w:t xml:space="preserve"> co-parent during and after separation. Separating service users learnt techniques to improve </w:t>
                  </w:r>
                  <w:r w:rsidR="007F7A1C">
                    <w:rPr>
                      <w:lang w:val="en-AU"/>
                    </w:rPr>
                    <w:t xml:space="preserve">their </w:t>
                  </w:r>
                  <w:r>
                    <w:rPr>
                      <w:lang w:val="en-AU"/>
                    </w:rPr>
                    <w:t xml:space="preserve">communication and </w:t>
                  </w:r>
                  <w:r w:rsidR="007F7A1C">
                    <w:rPr>
                      <w:lang w:val="en-AU"/>
                    </w:rPr>
                    <w:t>co-</w:t>
                  </w:r>
                  <w:r>
                    <w:rPr>
                      <w:lang w:val="en-AU"/>
                    </w:rPr>
                    <w:t xml:space="preserve">parenting. </w:t>
                  </w:r>
                </w:p>
                <w:p w14:paraId="5DF3D8B6" w14:textId="77777777" w:rsidR="004A49D1" w:rsidRPr="007B623E" w:rsidRDefault="004A49D1" w:rsidP="004A49D1">
                  <w:pPr>
                    <w:pBdr>
                      <w:left w:val="single" w:sz="18" w:space="4" w:color="78B800" w:themeColor="accent1"/>
                    </w:pBdr>
                    <w:tabs>
                      <w:tab w:val="left" w:pos="8080"/>
                    </w:tabs>
                    <w:spacing w:after="0"/>
                    <w:ind w:left="851" w:right="949"/>
                    <w:rPr>
                      <w:i/>
                    </w:rPr>
                  </w:pPr>
                  <w:r w:rsidRPr="008E1B83">
                    <w:rPr>
                      <w:i/>
                      <w:noProof/>
                    </w:rPr>
                    <w:drawing>
                      <wp:anchor distT="0" distB="0" distL="114300" distR="114300" simplePos="0" relativeHeight="251658281" behindDoc="0" locked="1" layoutInCell="1" allowOverlap="1" wp14:anchorId="15577C57" wp14:editId="4E53F9DB">
                        <wp:simplePos x="0" y="0"/>
                        <wp:positionH relativeFrom="column">
                          <wp:posOffset>0</wp:posOffset>
                        </wp:positionH>
                        <wp:positionV relativeFrom="paragraph">
                          <wp:posOffset>0</wp:posOffset>
                        </wp:positionV>
                        <wp:extent cx="384810" cy="320040"/>
                        <wp:effectExtent l="0" t="0" r="0" b="3810"/>
                        <wp:wrapNone/>
                        <wp:docPr id="1768889660" name="Graphic 1768889660" descr="P2010#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8889660" name="Graphic 1768889660" descr="P2010#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E1B83">
                    <w:rPr>
                      <w:i/>
                    </w:rPr>
                    <w:t xml:space="preserve">We have </w:t>
                  </w:r>
                  <w:r>
                    <w:rPr>
                      <w:i/>
                    </w:rPr>
                    <w:t>two</w:t>
                  </w:r>
                  <w:r w:rsidRPr="008E1B83">
                    <w:rPr>
                      <w:i/>
                    </w:rPr>
                    <w:t xml:space="preserve"> children and I think you know, for us it was like, how do we then navigate […] talking to the kids and […] be civil to each other at a […] quite emotionally charged time […] we were trying to work out what we could do that might involve the kids and so we contacted [the service] did a remediation plan and […] it was good cause it gave us a space to talk without it being so emotionally charged</w:t>
                  </w:r>
                  <w:r>
                    <w:t xml:space="preserve"> </w:t>
                  </w:r>
                  <w:r w:rsidRPr="002E7992">
                    <w:rPr>
                      <w:b/>
                      <w:bCs/>
                      <w:i/>
                      <w:iCs/>
                    </w:rPr>
                    <w:t>–</w:t>
                  </w:r>
                  <w:r>
                    <w:rPr>
                      <w:b/>
                      <w:bCs/>
                      <w:i/>
                      <w:iCs/>
                    </w:rPr>
                    <w:t xml:space="preserve"> FaRS s</w:t>
                  </w:r>
                  <w:r w:rsidRPr="002E7992">
                    <w:rPr>
                      <w:b/>
                      <w:bCs/>
                      <w:i/>
                      <w:iCs/>
                    </w:rPr>
                    <w:t xml:space="preserve">ervice </w:t>
                  </w:r>
                  <w:r>
                    <w:rPr>
                      <w:b/>
                      <w:bCs/>
                      <w:i/>
                      <w:iCs/>
                    </w:rPr>
                    <w:t>user</w:t>
                  </w:r>
                </w:p>
                <w:p w14:paraId="6ECD9BED" w14:textId="77777777" w:rsidR="004A49D1" w:rsidRDefault="004A49D1" w:rsidP="004A49D1">
                  <w:pPr>
                    <w:pStyle w:val="Text"/>
                    <w:rPr>
                      <w:lang w:val="en-AU"/>
                    </w:rPr>
                  </w:pPr>
                </w:p>
                <w:p w14:paraId="60E3C849" w14:textId="094782FE" w:rsidR="004A49D1" w:rsidRDefault="004A49D1" w:rsidP="004A49D1">
                  <w:pPr>
                    <w:pStyle w:val="Text"/>
                    <w:rPr>
                      <w:lang w:val="en-AU"/>
                    </w:rPr>
                  </w:pPr>
                  <w:r>
                    <w:rPr>
                      <w:lang w:val="en-AU"/>
                    </w:rPr>
                    <w:t xml:space="preserve">Some service users noted that the knowledge and skills they had developed through accessing a FaRS funded service changed their relationships with their children. </w:t>
                  </w:r>
                  <w:r w:rsidR="002C2003">
                    <w:rPr>
                      <w:lang w:val="en-AU"/>
                    </w:rPr>
                    <w:t>The program</w:t>
                  </w:r>
                  <w:r>
                    <w:rPr>
                      <w:lang w:val="en-AU"/>
                    </w:rPr>
                    <w:t xml:space="preserve"> has improved built</w:t>
                  </w:r>
                  <w:r w:rsidR="0008630F">
                    <w:rPr>
                      <w:lang w:val="en-AU"/>
                    </w:rPr>
                    <w:t xml:space="preserve"> their</w:t>
                  </w:r>
                  <w:r>
                    <w:rPr>
                      <w:lang w:val="en-AU"/>
                    </w:rPr>
                    <w:t xml:space="preserve"> confidence in parenting and had a positive impact on overall family dynamics. </w:t>
                  </w:r>
                </w:p>
                <w:p w14:paraId="1D8775A8" w14:textId="58189AFB" w:rsidR="004A49D1" w:rsidRPr="007B623E" w:rsidRDefault="004A49D1" w:rsidP="004A49D1">
                  <w:pPr>
                    <w:pBdr>
                      <w:left w:val="single" w:sz="18" w:space="4" w:color="78B800" w:themeColor="accent1"/>
                    </w:pBdr>
                    <w:tabs>
                      <w:tab w:val="left" w:pos="8080"/>
                    </w:tabs>
                    <w:spacing w:after="0"/>
                    <w:ind w:left="851" w:right="949"/>
                    <w:rPr>
                      <w:i/>
                    </w:rPr>
                  </w:pPr>
                  <w:r w:rsidRPr="008E1B83">
                    <w:rPr>
                      <w:i/>
                      <w:noProof/>
                    </w:rPr>
                    <w:drawing>
                      <wp:anchor distT="0" distB="0" distL="114300" distR="114300" simplePos="0" relativeHeight="251658282" behindDoc="0" locked="1" layoutInCell="1" allowOverlap="1" wp14:anchorId="206F2AEB" wp14:editId="0A59BDE4">
                        <wp:simplePos x="0" y="0"/>
                        <wp:positionH relativeFrom="column">
                          <wp:posOffset>0</wp:posOffset>
                        </wp:positionH>
                        <wp:positionV relativeFrom="paragraph">
                          <wp:posOffset>0</wp:posOffset>
                        </wp:positionV>
                        <wp:extent cx="384810" cy="320040"/>
                        <wp:effectExtent l="0" t="0" r="0" b="3810"/>
                        <wp:wrapNone/>
                        <wp:docPr id="1087660037" name="Graphic 1087660037" descr="P2013#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660037" name="Graphic 1087660037" descr="P2013#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E1B83">
                    <w:rPr>
                      <w:i/>
                    </w:rPr>
                    <w:t>Has been a great support framework and I have seen significant improvement in how I tackle situations</w:t>
                  </w:r>
                  <w:r w:rsidR="00906BDF">
                    <w:rPr>
                      <w:i/>
                    </w:rPr>
                    <w:t>…</w:t>
                  </w:r>
                  <w:r w:rsidRPr="008E1B83">
                    <w:rPr>
                      <w:i/>
                    </w:rPr>
                    <w:t xml:space="preserve"> Other thing I would call out is that we are constantly changing and what you thought was the problem, is not the problem</w:t>
                  </w:r>
                  <w:r>
                    <w:rPr>
                      <w:i/>
                    </w:rPr>
                    <w:t xml:space="preserve"> [</w:t>
                  </w:r>
                  <w:r w:rsidR="00906BDF">
                    <w:rPr>
                      <w:i/>
                    </w:rPr>
                    <w:t>…</w:t>
                  </w:r>
                  <w:r>
                    <w:rPr>
                      <w:i/>
                    </w:rPr>
                    <w:t>]</w:t>
                  </w:r>
                  <w:r w:rsidRPr="008E1B83">
                    <w:rPr>
                      <w:i/>
                    </w:rPr>
                    <w:t xml:space="preserve"> [it has been] helpful for problems as </w:t>
                  </w:r>
                  <w:r w:rsidRPr="008E1B83">
                    <w:rPr>
                      <w:i/>
                    </w:rPr>
                    <w:lastRenderedPageBreak/>
                    <w:t>things have shifted in direction [it’s] been good for family dynamics</w:t>
                  </w:r>
                  <w:r>
                    <w:t xml:space="preserve"> </w:t>
                  </w:r>
                  <w:r w:rsidRPr="002E7992">
                    <w:rPr>
                      <w:b/>
                      <w:bCs/>
                      <w:i/>
                      <w:iCs/>
                    </w:rPr>
                    <w:t>–</w:t>
                  </w:r>
                  <w:r>
                    <w:rPr>
                      <w:b/>
                      <w:bCs/>
                      <w:i/>
                      <w:iCs/>
                    </w:rPr>
                    <w:t xml:space="preserve"> FaRS s</w:t>
                  </w:r>
                  <w:r w:rsidRPr="002E7992">
                    <w:rPr>
                      <w:b/>
                      <w:bCs/>
                      <w:i/>
                      <w:iCs/>
                    </w:rPr>
                    <w:t xml:space="preserve">ervice </w:t>
                  </w:r>
                  <w:r>
                    <w:rPr>
                      <w:b/>
                      <w:bCs/>
                      <w:i/>
                      <w:iCs/>
                    </w:rPr>
                    <w:t>user</w:t>
                  </w:r>
                </w:p>
                <w:p w14:paraId="70B97F67" w14:textId="77777777" w:rsidR="004A49D1" w:rsidRPr="00100F1E" w:rsidRDefault="004A49D1" w:rsidP="004A49D1">
                  <w:pPr>
                    <w:pStyle w:val="Text"/>
                  </w:pPr>
                </w:p>
                <w:p w14:paraId="1759764D" w14:textId="77777777" w:rsidR="004A49D1" w:rsidRDefault="004A49D1" w:rsidP="004A49D1">
                  <w:pPr>
                    <w:pStyle w:val="Text"/>
                    <w:rPr>
                      <w:lang w:val="en-AU"/>
                    </w:rPr>
                  </w:pPr>
                  <w:r>
                    <w:rPr>
                      <w:lang w:val="en-AU"/>
                    </w:rPr>
                    <w:t>Where service users reported that accessing a FaRS funded service did not improve their skills or knowledge in parenting, they noted that the content did not feel relevant to them, or that their service provider was ineffective in teaching parenting skills and techniques. For some service users, this related to the style of course.</w:t>
                  </w:r>
                </w:p>
                <w:p w14:paraId="5E1C2064" w14:textId="794EF79A" w:rsidR="004A49D1" w:rsidRPr="001D7C32" w:rsidRDefault="004A49D1" w:rsidP="00EE6C66">
                  <w:pPr>
                    <w:pBdr>
                      <w:left w:val="single" w:sz="18" w:space="4" w:color="78B800" w:themeColor="accent1"/>
                    </w:pBdr>
                    <w:tabs>
                      <w:tab w:val="left" w:pos="8080"/>
                    </w:tabs>
                    <w:spacing w:after="0"/>
                    <w:ind w:left="851" w:right="949"/>
                    <w:rPr>
                      <w:i/>
                    </w:rPr>
                  </w:pPr>
                  <w:r w:rsidRPr="008E1B83">
                    <w:rPr>
                      <w:i/>
                      <w:noProof/>
                    </w:rPr>
                    <w:drawing>
                      <wp:anchor distT="0" distB="0" distL="114300" distR="114300" simplePos="0" relativeHeight="251658283" behindDoc="0" locked="1" layoutInCell="1" allowOverlap="1" wp14:anchorId="78562A18" wp14:editId="54426ACF">
                        <wp:simplePos x="0" y="0"/>
                        <wp:positionH relativeFrom="column">
                          <wp:posOffset>0</wp:posOffset>
                        </wp:positionH>
                        <wp:positionV relativeFrom="paragraph">
                          <wp:posOffset>0</wp:posOffset>
                        </wp:positionV>
                        <wp:extent cx="384810" cy="320040"/>
                        <wp:effectExtent l="0" t="0" r="0" b="3810"/>
                        <wp:wrapNone/>
                        <wp:docPr id="966448596" name="Graphic 966448596" descr="P2016#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448596" name="Graphic 966448596" descr="P2016#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E1B83">
                    <w:rPr>
                      <w:i/>
                    </w:rPr>
                    <w:t xml:space="preserve">There’s a lot of reading through the slides, I remember when I was in there, my scenario wasn’t relevant, </w:t>
                  </w:r>
                  <w:r>
                    <w:rPr>
                      <w:i/>
                    </w:rPr>
                    <w:t>…</w:t>
                  </w:r>
                  <w:r w:rsidRPr="008E1B83">
                    <w:rPr>
                      <w:i/>
                    </w:rPr>
                    <w:t>and when I feel it’s irrelevant</w:t>
                  </w:r>
                  <w:r w:rsidR="00EE6C66" w:rsidRPr="008E1B83">
                    <w:rPr>
                      <w:i/>
                    </w:rPr>
                    <w:t>,</w:t>
                  </w:r>
                  <w:r w:rsidR="00EE6C66">
                    <w:rPr>
                      <w:i/>
                    </w:rPr>
                    <w:t xml:space="preserve"> [it’s</w:t>
                  </w:r>
                  <w:r w:rsidR="00B55479">
                    <w:rPr>
                      <w:i/>
                    </w:rPr>
                    <w:t>] n</w:t>
                  </w:r>
                  <w:r w:rsidRPr="008E1B83">
                    <w:rPr>
                      <w:i/>
                    </w:rPr>
                    <w:t>atural to switch off. Because I go in with an open mind, still happy to come, but to be picky, that’s something that could be improved</w:t>
                  </w:r>
                  <w:r>
                    <w:t xml:space="preserve"> </w:t>
                  </w:r>
                  <w:r w:rsidRPr="002E7992">
                    <w:rPr>
                      <w:b/>
                      <w:bCs/>
                      <w:i/>
                      <w:iCs/>
                    </w:rPr>
                    <w:t>–</w:t>
                  </w:r>
                  <w:r>
                    <w:rPr>
                      <w:b/>
                      <w:bCs/>
                      <w:i/>
                      <w:iCs/>
                    </w:rPr>
                    <w:t xml:space="preserve"> FaRS s</w:t>
                  </w:r>
                  <w:r w:rsidRPr="002E7992">
                    <w:rPr>
                      <w:b/>
                      <w:bCs/>
                      <w:i/>
                      <w:iCs/>
                    </w:rPr>
                    <w:t xml:space="preserve">ervice </w:t>
                  </w:r>
                  <w:r>
                    <w:rPr>
                      <w:b/>
                      <w:bCs/>
                      <w:i/>
                      <w:iCs/>
                    </w:rPr>
                    <w:t>user</w:t>
                  </w:r>
                </w:p>
                <w:p w14:paraId="67AB6F04" w14:textId="77777777" w:rsidR="00CC3219" w:rsidRDefault="00CC3219" w:rsidP="00CC3219">
                  <w:pPr>
                    <w:sectPr w:rsidR="00CC3219" w:rsidSect="005A23BE">
                      <w:footerReference w:type="default" r:id="rId64"/>
                      <w:pgSz w:w="11909" w:h="16834" w:code="9"/>
                      <w:pgMar w:top="1440" w:right="1440" w:bottom="1440" w:left="1440" w:header="720" w:footer="720" w:gutter="0"/>
                      <w:cols w:space="720"/>
                      <w:docGrid w:linePitch="360"/>
                    </w:sectPr>
                  </w:pPr>
                </w:p>
                <w:p w14:paraId="329EB695" w14:textId="3A268936" w:rsidR="00CC3219" w:rsidRPr="004673E7" w:rsidRDefault="00CC3219" w:rsidP="00CC3219">
                  <w:pPr>
                    <w:pStyle w:val="TableFigure-Header"/>
                    <w:rPr>
                      <w:rStyle w:val="Text-Bold"/>
                      <w:b/>
                      <w:szCs w:val="21"/>
                      <w:lang w:val="en-NZ"/>
                    </w:rPr>
                  </w:pPr>
                  <w:r w:rsidRPr="004673E7">
                    <w:rPr>
                      <w:rStyle w:val="Text-Bold"/>
                      <w:b/>
                      <w:szCs w:val="21"/>
                      <w:lang w:val="en-NZ"/>
                    </w:rPr>
                    <w:lastRenderedPageBreak/>
                    <w:t xml:space="preserve">Figure </w:t>
                  </w:r>
                  <w:r w:rsidR="00C64C3D" w:rsidRPr="004673E7">
                    <w:rPr>
                      <w:rStyle w:val="Text-Bold"/>
                      <w:b/>
                      <w:szCs w:val="21"/>
                      <w:lang w:val="en-NZ"/>
                    </w:rPr>
                    <w:fldChar w:fldCharType="begin"/>
                  </w:r>
                  <w:r w:rsidR="00C64C3D" w:rsidRPr="004673E7">
                    <w:rPr>
                      <w:rStyle w:val="Text-Bold"/>
                      <w:b/>
                      <w:szCs w:val="21"/>
                      <w:lang w:val="en-NZ"/>
                    </w:rPr>
                    <w:instrText xml:space="preserve"> SEQ Figure \* ARABIC </w:instrText>
                  </w:r>
                  <w:r w:rsidR="00C64C3D" w:rsidRPr="004673E7">
                    <w:rPr>
                      <w:rStyle w:val="Text-Bold"/>
                      <w:b/>
                      <w:szCs w:val="21"/>
                      <w:lang w:val="en-NZ"/>
                    </w:rPr>
                    <w:fldChar w:fldCharType="separate"/>
                  </w:r>
                  <w:r w:rsidR="008D2566">
                    <w:rPr>
                      <w:rStyle w:val="Text-Bold"/>
                      <w:b/>
                      <w:noProof/>
                      <w:szCs w:val="21"/>
                      <w:lang w:val="en-NZ"/>
                    </w:rPr>
                    <w:t>21</w:t>
                  </w:r>
                  <w:r w:rsidR="00C64C3D" w:rsidRPr="004673E7">
                    <w:rPr>
                      <w:rStyle w:val="Text-Bold"/>
                      <w:b/>
                      <w:szCs w:val="21"/>
                      <w:lang w:val="en-NZ"/>
                    </w:rPr>
                    <w:fldChar w:fldCharType="end"/>
                  </w:r>
                  <w:r w:rsidRPr="004673E7">
                    <w:rPr>
                      <w:rStyle w:val="Text-Bold"/>
                      <w:b/>
                      <w:szCs w:val="21"/>
                      <w:lang w:val="en-NZ"/>
                    </w:rPr>
                    <w:t xml:space="preserve">: FaRS Program Logic outcomes linked to evaluation findings </w:t>
                  </w:r>
                </w:p>
                <w:p w14:paraId="0DCF36D7" w14:textId="2A57EBFF" w:rsidR="00CC3219" w:rsidRPr="002258CB" w:rsidRDefault="00CC3219" w:rsidP="00CC3219">
                  <w:pPr>
                    <w:pStyle w:val="Bullet1"/>
                    <w:numPr>
                      <w:ilvl w:val="0"/>
                      <w:numId w:val="0"/>
                    </w:numPr>
                    <w:ind w:left="431" w:hanging="431"/>
                  </w:pPr>
                  <w:r>
                    <w:t>The table below provides an overview of achievements against Program Logic outcomes for FaRS.</w:t>
                  </w:r>
                </w:p>
                <w:tbl>
                  <w:tblPr>
                    <w:tblStyle w:val="TableGrid21"/>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42" w:type="dxa"/>
                      <w:right w:w="142" w:type="dxa"/>
                    </w:tblCellMar>
                    <w:tblLook w:val="04A0" w:firstRow="1" w:lastRow="0" w:firstColumn="1" w:lastColumn="0" w:noHBand="0" w:noVBand="1"/>
                  </w:tblPr>
                  <w:tblGrid>
                    <w:gridCol w:w="2922"/>
                    <w:gridCol w:w="2322"/>
                    <w:gridCol w:w="2411"/>
                    <w:gridCol w:w="3609"/>
                    <w:gridCol w:w="2690"/>
                  </w:tblGrid>
                  <w:tr w:rsidR="00CC3219" w:rsidRPr="00A628E4" w14:paraId="29EB1E44" w14:textId="77777777">
                    <w:trPr>
                      <w:cantSplit/>
                      <w:trHeight w:val="443"/>
                      <w:tblHeader/>
                    </w:trPr>
                    <w:tc>
                      <w:tcPr>
                        <w:tcW w:w="1047" w:type="pct"/>
                        <w:vMerge w:val="restart"/>
                        <w:shd w:val="clear" w:color="auto" w:fill="36424A" w:themeFill="accent2"/>
                        <w:vAlign w:val="center"/>
                      </w:tcPr>
                      <w:p w14:paraId="61779F3C" w14:textId="77777777" w:rsidR="00CC3219" w:rsidRPr="00A628E4" w:rsidRDefault="00CC3219">
                        <w:pPr>
                          <w:spacing w:line="264" w:lineRule="auto"/>
                          <w:jc w:val="center"/>
                          <w:rPr>
                            <w:rFonts w:ascii="Arial Bold" w:hAnsi="Arial Bold" w:cs="Times New Roman"/>
                            <w:b/>
                            <w:caps/>
                            <w:szCs w:val="22"/>
                          </w:rPr>
                        </w:pPr>
                        <w:r w:rsidRPr="00A628E4">
                          <w:rPr>
                            <w:rFonts w:ascii="Arial Bold" w:hAnsi="Arial Bold" w:cs="Times New Roman"/>
                            <w:b/>
                            <w:caps/>
                            <w:color w:val="FFFFFF"/>
                            <w:szCs w:val="22"/>
                          </w:rPr>
                          <w:t>Program logic outcome</w:t>
                        </w:r>
                      </w:p>
                    </w:tc>
                    <w:tc>
                      <w:tcPr>
                        <w:tcW w:w="3953" w:type="pct"/>
                        <w:gridSpan w:val="4"/>
                        <w:shd w:val="clear" w:color="auto" w:fill="005000"/>
                        <w:vAlign w:val="center"/>
                      </w:tcPr>
                      <w:p w14:paraId="4524A56D" w14:textId="77777777" w:rsidR="00CC3219" w:rsidRPr="00A628E4" w:rsidRDefault="00CC3219">
                        <w:pPr>
                          <w:spacing w:before="60" w:after="60"/>
                          <w:jc w:val="center"/>
                          <w:rPr>
                            <w:rFonts w:ascii="Arial Bold" w:hAnsi="Arial Bold" w:cs="Times New Roman"/>
                            <w:b/>
                            <w:caps/>
                            <w:sz w:val="20"/>
                          </w:rPr>
                        </w:pPr>
                        <w:r w:rsidRPr="00A628E4">
                          <w:rPr>
                            <w:rFonts w:ascii="Arial Bold" w:hAnsi="Arial Bold" w:cs="Times New Roman"/>
                            <w:b/>
                            <w:caps/>
                            <w:color w:val="FFFFFF"/>
                            <w:sz w:val="20"/>
                          </w:rPr>
                          <w:t>Evidence</w:t>
                        </w:r>
                      </w:p>
                    </w:tc>
                  </w:tr>
                  <w:tr w:rsidR="00CC3219" w:rsidRPr="00A628E4" w14:paraId="77002E84" w14:textId="77777777">
                    <w:trPr>
                      <w:cantSplit/>
                      <w:trHeight w:val="593"/>
                    </w:trPr>
                    <w:tc>
                      <w:tcPr>
                        <w:tcW w:w="1047" w:type="pct"/>
                        <w:vMerge/>
                        <w:tcBorders>
                          <w:bottom w:val="single" w:sz="24" w:space="0" w:color="FFFFFF" w:themeColor="background1"/>
                        </w:tcBorders>
                      </w:tcPr>
                      <w:p w14:paraId="3BF4DE1C" w14:textId="77777777" w:rsidR="00CC3219" w:rsidRPr="00A628E4" w:rsidRDefault="00CC3219">
                        <w:pPr>
                          <w:rPr>
                            <w:rFonts w:ascii="Arial" w:hAnsi="Arial" w:cs="Times New Roman"/>
                            <w:sz w:val="19"/>
                            <w:szCs w:val="19"/>
                          </w:rPr>
                        </w:pPr>
                      </w:p>
                    </w:tc>
                    <w:tc>
                      <w:tcPr>
                        <w:tcW w:w="832" w:type="pct"/>
                        <w:tcBorders>
                          <w:bottom w:val="single" w:sz="24" w:space="0" w:color="FFFFFF" w:themeColor="background1"/>
                        </w:tcBorders>
                        <w:shd w:val="clear" w:color="auto" w:fill="007E00" w:themeFill="accent3"/>
                        <w:vAlign w:val="center"/>
                      </w:tcPr>
                      <w:p w14:paraId="3BF9B5FC" w14:textId="2ABEFB4E" w:rsidR="00CC3219" w:rsidRPr="00A628E4" w:rsidRDefault="00CC3219">
                        <w:pPr>
                          <w:spacing w:before="60" w:after="60" w:line="216" w:lineRule="auto"/>
                          <w:jc w:val="center"/>
                          <w:rPr>
                            <w:rFonts w:ascii="Arial" w:hAnsi="Arial" w:cs="Times New Roman"/>
                            <w:b/>
                            <w:color w:val="FFFFFF"/>
                            <w:sz w:val="19"/>
                            <w:szCs w:val="19"/>
                          </w:rPr>
                        </w:pPr>
                        <w:r w:rsidRPr="00A628E4">
                          <w:rPr>
                            <w:rFonts w:ascii="Arial" w:hAnsi="Arial" w:cs="Times New Roman"/>
                            <w:b/>
                            <w:color w:val="FFFFFF"/>
                            <w:sz w:val="19"/>
                            <w:szCs w:val="19"/>
                          </w:rPr>
                          <w:t>D</w:t>
                        </w:r>
                        <w:r w:rsidR="001E6CEB">
                          <w:rPr>
                            <w:rFonts w:ascii="Arial" w:hAnsi="Arial" w:cs="Times New Roman"/>
                            <w:b/>
                            <w:color w:val="FFFFFF"/>
                            <w:sz w:val="19"/>
                            <w:szCs w:val="19"/>
                          </w:rPr>
                          <w:t xml:space="preserve">EX </w:t>
                        </w:r>
                        <w:r w:rsidRPr="00A628E4">
                          <w:rPr>
                            <w:rFonts w:ascii="Arial" w:hAnsi="Arial" w:cs="Times New Roman"/>
                            <w:b/>
                            <w:color w:val="FFFFFF"/>
                            <w:sz w:val="19"/>
                            <w:szCs w:val="19"/>
                          </w:rPr>
                          <w:t>SCORE domains</w:t>
                        </w:r>
                        <w:r>
                          <w:rPr>
                            <w:rFonts w:ascii="Arial" w:hAnsi="Arial" w:cs="Times New Roman"/>
                            <w:b/>
                            <w:color w:val="FFFFFF"/>
                            <w:sz w:val="19"/>
                            <w:szCs w:val="19"/>
                          </w:rPr>
                          <w:t>*</w:t>
                        </w:r>
                        <w:r w:rsidR="00870AF5">
                          <w:rPr>
                            <w:rFonts w:ascii="Arial" w:hAnsi="Arial" w:cs="Times New Roman"/>
                            <w:b/>
                            <w:color w:val="FFFFFF"/>
                            <w:sz w:val="19"/>
                            <w:szCs w:val="19"/>
                          </w:rPr>
                          <w:t>^</w:t>
                        </w:r>
                      </w:p>
                    </w:tc>
                    <w:tc>
                      <w:tcPr>
                        <w:tcW w:w="864" w:type="pct"/>
                        <w:tcBorders>
                          <w:bottom w:val="single" w:sz="24" w:space="0" w:color="FFFFFF" w:themeColor="background1"/>
                        </w:tcBorders>
                        <w:shd w:val="clear" w:color="auto" w:fill="78B800" w:themeFill="accent1"/>
                        <w:vAlign w:val="center"/>
                      </w:tcPr>
                      <w:p w14:paraId="75C747E8" w14:textId="6E9F7EEF" w:rsidR="00CC3219" w:rsidRPr="00A628E4" w:rsidRDefault="00466E56">
                        <w:pPr>
                          <w:spacing w:before="60" w:after="60" w:line="216" w:lineRule="auto"/>
                          <w:jc w:val="center"/>
                          <w:rPr>
                            <w:rFonts w:ascii="Arial" w:hAnsi="Arial" w:cs="Times New Roman"/>
                            <w:b/>
                            <w:color w:val="FFFFFF"/>
                            <w:sz w:val="19"/>
                            <w:szCs w:val="19"/>
                          </w:rPr>
                        </w:pPr>
                        <w:r>
                          <w:rPr>
                            <w:rFonts w:ascii="Arial" w:hAnsi="Arial" w:cs="Times New Roman"/>
                            <w:b/>
                            <w:color w:val="FFFFFF"/>
                            <w:sz w:val="19"/>
                            <w:szCs w:val="19"/>
                          </w:rPr>
                          <w:t>Evaluation data – service user surveys</w:t>
                        </w:r>
                        <w:r w:rsidR="005907EA">
                          <w:rPr>
                            <w:rFonts w:ascii="Arial" w:hAnsi="Arial" w:cs="Times New Roman"/>
                            <w:b/>
                            <w:color w:val="FFFFFF"/>
                            <w:sz w:val="19"/>
                            <w:szCs w:val="19"/>
                          </w:rPr>
                          <w:t>**</w:t>
                        </w:r>
                      </w:p>
                    </w:tc>
                    <w:tc>
                      <w:tcPr>
                        <w:tcW w:w="1293" w:type="pct"/>
                        <w:tcBorders>
                          <w:bottom w:val="single" w:sz="24" w:space="0" w:color="FFFFFF" w:themeColor="background1"/>
                        </w:tcBorders>
                        <w:shd w:val="clear" w:color="auto" w:fill="078C8C"/>
                        <w:vAlign w:val="center"/>
                      </w:tcPr>
                      <w:p w14:paraId="791E746E" w14:textId="7BBBB427" w:rsidR="00CC3219" w:rsidRPr="00A628E4" w:rsidRDefault="00466E56">
                        <w:pPr>
                          <w:spacing w:before="60" w:after="60" w:line="216" w:lineRule="auto"/>
                          <w:jc w:val="center"/>
                          <w:rPr>
                            <w:rFonts w:ascii="Arial" w:hAnsi="Arial" w:cs="Times New Roman"/>
                            <w:b/>
                            <w:color w:val="FFFFFF"/>
                            <w:sz w:val="19"/>
                            <w:szCs w:val="19"/>
                          </w:rPr>
                        </w:pPr>
                        <w:r>
                          <w:rPr>
                            <w:rFonts w:ascii="Arial" w:hAnsi="Arial" w:cs="Times New Roman"/>
                            <w:b/>
                            <w:color w:val="FFFFFF"/>
                            <w:sz w:val="19"/>
                            <w:szCs w:val="19"/>
                          </w:rPr>
                          <w:t xml:space="preserve">Evaluation data – service user </w:t>
                        </w:r>
                        <w:r w:rsidR="005907EA">
                          <w:rPr>
                            <w:rFonts w:ascii="Arial" w:hAnsi="Arial" w:cs="Times New Roman"/>
                            <w:b/>
                            <w:color w:val="FFFFFF"/>
                            <w:sz w:val="19"/>
                            <w:szCs w:val="19"/>
                          </w:rPr>
                          <w:t>interviews**</w:t>
                        </w:r>
                      </w:p>
                    </w:tc>
                    <w:tc>
                      <w:tcPr>
                        <w:tcW w:w="964" w:type="pct"/>
                        <w:tcBorders>
                          <w:bottom w:val="single" w:sz="24" w:space="0" w:color="FFFFFF" w:themeColor="background1"/>
                        </w:tcBorders>
                        <w:shd w:val="clear" w:color="auto" w:fill="068BBF"/>
                        <w:vAlign w:val="center"/>
                      </w:tcPr>
                      <w:p w14:paraId="2065A88F" w14:textId="50845C1F" w:rsidR="00CC3219" w:rsidRPr="00A628E4" w:rsidRDefault="00466E56">
                        <w:pPr>
                          <w:spacing w:before="60" w:after="60" w:line="216" w:lineRule="auto"/>
                          <w:jc w:val="center"/>
                          <w:rPr>
                            <w:rFonts w:ascii="Arial" w:hAnsi="Arial" w:cs="Times New Roman"/>
                            <w:b/>
                            <w:color w:val="FFFFFF"/>
                            <w:sz w:val="19"/>
                            <w:szCs w:val="19"/>
                          </w:rPr>
                        </w:pPr>
                        <w:r>
                          <w:rPr>
                            <w:rFonts w:ascii="Arial" w:hAnsi="Arial" w:cs="Times New Roman"/>
                            <w:b/>
                            <w:color w:val="FFFFFF"/>
                            <w:sz w:val="19"/>
                            <w:szCs w:val="19"/>
                          </w:rPr>
                          <w:t>E</w:t>
                        </w:r>
                        <w:r w:rsidR="006F5D22">
                          <w:rPr>
                            <w:rFonts w:ascii="Arial" w:hAnsi="Arial" w:cs="Times New Roman"/>
                            <w:b/>
                            <w:color w:val="FFFFFF"/>
                            <w:sz w:val="19"/>
                            <w:szCs w:val="19"/>
                          </w:rPr>
                          <w:t>valuation data – service provider focus groups</w:t>
                        </w:r>
                        <w:r w:rsidR="005907EA">
                          <w:rPr>
                            <w:rFonts w:ascii="Arial" w:hAnsi="Arial" w:cs="Times New Roman"/>
                            <w:b/>
                            <w:color w:val="FFFFFF"/>
                            <w:sz w:val="19"/>
                            <w:szCs w:val="19"/>
                          </w:rPr>
                          <w:t>**</w:t>
                        </w:r>
                      </w:p>
                    </w:tc>
                  </w:tr>
                  <w:tr w:rsidR="00CC3219" w:rsidRPr="00A628E4" w14:paraId="3791AD2C" w14:textId="77777777">
                    <w:trPr>
                      <w:cantSplit/>
                    </w:trPr>
                    <w:tc>
                      <w:tcPr>
                        <w:tcW w:w="5000" w:type="pct"/>
                        <w:gridSpan w:val="5"/>
                        <w:tcBorders>
                          <w:top w:val="single" w:sz="24" w:space="0" w:color="FFFFFF" w:themeColor="background1"/>
                        </w:tcBorders>
                        <w:shd w:val="clear" w:color="auto" w:fill="E3EECF" w:themeFill="accent5" w:themeFillTint="99"/>
                      </w:tcPr>
                      <w:p w14:paraId="5D058379" w14:textId="77777777" w:rsidR="00CC3219" w:rsidRPr="00A628E4" w:rsidRDefault="00CC3219">
                        <w:pPr>
                          <w:spacing w:before="60" w:after="60"/>
                          <w:jc w:val="center"/>
                          <w:rPr>
                            <w:rFonts w:ascii="Arial" w:hAnsi="Arial" w:cs="Times New Roman"/>
                            <w:b/>
                            <w:sz w:val="19"/>
                            <w:szCs w:val="19"/>
                          </w:rPr>
                        </w:pPr>
                        <w:r w:rsidRPr="00A628E4">
                          <w:rPr>
                            <w:rFonts w:ascii="Arial Bold" w:hAnsi="Arial Bold" w:cs="Times New Roman"/>
                            <w:b/>
                            <w:bCs/>
                            <w:caps/>
                            <w:spacing w:val="20"/>
                            <w:sz w:val="20"/>
                          </w:rPr>
                          <w:t>Short-term outcomes</w:t>
                        </w:r>
                      </w:p>
                    </w:tc>
                  </w:tr>
                  <w:tr w:rsidR="00CC3219" w:rsidRPr="00A628E4" w14:paraId="4CAAFFEE" w14:textId="77777777">
                    <w:trPr>
                      <w:cantSplit/>
                    </w:trPr>
                    <w:tc>
                      <w:tcPr>
                        <w:tcW w:w="1047" w:type="pct"/>
                        <w:tcBorders>
                          <w:bottom w:val="single" w:sz="4" w:space="0" w:color="BFBFBF" w:themeColor="text1" w:themeShade="BF"/>
                        </w:tcBorders>
                        <w:shd w:val="clear" w:color="auto" w:fill="E3EECF" w:themeFill="accent5" w:themeFillTint="99"/>
                      </w:tcPr>
                      <w:p w14:paraId="6AAD4042" w14:textId="77777777" w:rsidR="00CC3219" w:rsidRPr="00A628E4" w:rsidRDefault="00CC3219">
                        <w:pPr>
                          <w:rPr>
                            <w:rFonts w:ascii="Arial" w:hAnsi="Arial" w:cs="Times New Roman"/>
                            <w:sz w:val="19"/>
                            <w:szCs w:val="19"/>
                          </w:rPr>
                        </w:pPr>
                        <w:r w:rsidRPr="00A628E4">
                          <w:rPr>
                            <w:rFonts w:ascii="Arial" w:hAnsi="Arial" w:cs="Times New Roman"/>
                            <w:sz w:val="19"/>
                            <w:szCs w:val="19"/>
                          </w:rPr>
                          <w:lastRenderedPageBreak/>
                          <w:t>Families have increased</w:t>
                        </w:r>
                        <w:r>
                          <w:rPr>
                            <w:rFonts w:ascii="Arial" w:hAnsi="Arial" w:cs="Times New Roman"/>
                            <w:sz w:val="19"/>
                            <w:szCs w:val="19"/>
                          </w:rPr>
                          <w:t xml:space="preserve"> knowledge and skills in: </w:t>
                        </w:r>
                      </w:p>
                      <w:p w14:paraId="13870490" w14:textId="77777777" w:rsidR="00CC3219" w:rsidRPr="00EA4213" w:rsidRDefault="00CC3219">
                        <w:pPr>
                          <w:numPr>
                            <w:ilvl w:val="0"/>
                            <w:numId w:val="55"/>
                          </w:numPr>
                          <w:spacing w:before="40" w:after="40"/>
                          <w:ind w:left="357" w:hanging="357"/>
                          <w:rPr>
                            <w:rFonts w:ascii="Arial" w:hAnsi="Arial" w:cs="Times New Roman"/>
                            <w:sz w:val="19"/>
                            <w:szCs w:val="19"/>
                            <w:lang w:val="en-US"/>
                          </w:rPr>
                        </w:pPr>
                        <w:r>
                          <w:rPr>
                            <w:rFonts w:ascii="Arial" w:hAnsi="Arial" w:cs="Times New Roman"/>
                            <w:sz w:val="19"/>
                            <w:szCs w:val="19"/>
                          </w:rPr>
                          <w:t xml:space="preserve">identifying personal and family safety issues </w:t>
                        </w:r>
                      </w:p>
                      <w:p w14:paraId="3DC6C0F5" w14:textId="77777777" w:rsidR="00CC3219" w:rsidRPr="00EA4213" w:rsidRDefault="00CC3219">
                        <w:pPr>
                          <w:numPr>
                            <w:ilvl w:val="0"/>
                            <w:numId w:val="55"/>
                          </w:numPr>
                          <w:spacing w:before="40" w:after="40"/>
                          <w:ind w:left="357" w:hanging="357"/>
                          <w:rPr>
                            <w:rFonts w:ascii="Arial" w:hAnsi="Arial" w:cs="Times New Roman"/>
                            <w:sz w:val="19"/>
                            <w:szCs w:val="19"/>
                            <w:lang w:val="en-US"/>
                          </w:rPr>
                        </w:pPr>
                        <w:r>
                          <w:rPr>
                            <w:rFonts w:ascii="Arial" w:hAnsi="Arial" w:cs="Times New Roman"/>
                            <w:sz w:val="19"/>
                            <w:szCs w:val="19"/>
                          </w:rPr>
                          <w:t xml:space="preserve">seeking support for personal and family safety issues </w:t>
                        </w:r>
                      </w:p>
                      <w:p w14:paraId="0CE55D22" w14:textId="77777777" w:rsidR="00CC3219" w:rsidRPr="00EA4213" w:rsidRDefault="00CC3219">
                        <w:pPr>
                          <w:numPr>
                            <w:ilvl w:val="0"/>
                            <w:numId w:val="55"/>
                          </w:numPr>
                          <w:spacing w:before="40" w:after="40"/>
                          <w:ind w:left="357" w:hanging="357"/>
                          <w:rPr>
                            <w:rFonts w:ascii="Arial" w:hAnsi="Arial" w:cs="Times New Roman"/>
                            <w:sz w:val="19"/>
                            <w:szCs w:val="19"/>
                            <w:lang w:val="en-US"/>
                          </w:rPr>
                        </w:pPr>
                        <w:r>
                          <w:rPr>
                            <w:rFonts w:ascii="Arial" w:hAnsi="Arial" w:cs="Times New Roman"/>
                            <w:sz w:val="19"/>
                            <w:szCs w:val="19"/>
                          </w:rPr>
                          <w:t xml:space="preserve">strategies to improve or maintain personal or family safety </w:t>
                        </w:r>
                      </w:p>
                      <w:p w14:paraId="5632AAEE" w14:textId="77777777" w:rsidR="00CC3219" w:rsidRPr="00EA4213" w:rsidRDefault="00CC3219">
                        <w:pPr>
                          <w:numPr>
                            <w:ilvl w:val="0"/>
                            <w:numId w:val="55"/>
                          </w:numPr>
                          <w:spacing w:before="40" w:after="40"/>
                          <w:ind w:left="357" w:hanging="357"/>
                          <w:rPr>
                            <w:rFonts w:ascii="Arial" w:hAnsi="Arial" w:cs="Times New Roman"/>
                            <w:sz w:val="19"/>
                            <w:szCs w:val="19"/>
                            <w:lang w:val="en-US"/>
                          </w:rPr>
                        </w:pPr>
                        <w:r>
                          <w:rPr>
                            <w:rFonts w:ascii="Arial" w:hAnsi="Arial" w:cs="Times New Roman"/>
                            <w:sz w:val="19"/>
                            <w:szCs w:val="19"/>
                          </w:rPr>
                          <w:t xml:space="preserve">modelling healthy, respectful relationships </w:t>
                        </w:r>
                      </w:p>
                      <w:p w14:paraId="70D45489" w14:textId="77777777" w:rsidR="00CC3219" w:rsidRPr="00A628E4" w:rsidRDefault="00CC3219">
                        <w:pPr>
                          <w:numPr>
                            <w:ilvl w:val="0"/>
                            <w:numId w:val="55"/>
                          </w:numPr>
                          <w:spacing w:before="40" w:after="40"/>
                          <w:ind w:left="357" w:hanging="357"/>
                          <w:rPr>
                            <w:rFonts w:ascii="Arial" w:hAnsi="Arial" w:cs="Times New Roman"/>
                            <w:sz w:val="19"/>
                            <w:szCs w:val="19"/>
                            <w:lang w:val="en-US"/>
                          </w:rPr>
                        </w:pPr>
                        <w:r>
                          <w:rPr>
                            <w:rFonts w:ascii="Arial" w:hAnsi="Arial" w:cs="Times New Roman"/>
                            <w:sz w:val="19"/>
                            <w:szCs w:val="19"/>
                          </w:rPr>
                          <w:t>parenting skills.</w:t>
                        </w:r>
                      </w:p>
                    </w:tc>
                    <w:tc>
                      <w:tcPr>
                        <w:tcW w:w="832" w:type="pct"/>
                        <w:tcBorders>
                          <w:bottom w:val="single" w:sz="4" w:space="0" w:color="BFBFBF" w:themeColor="text1" w:themeShade="BF"/>
                        </w:tcBorders>
                        <w:shd w:val="clear" w:color="auto" w:fill="F5F9EF" w:themeFill="accent5" w:themeFillTint="33"/>
                      </w:tcPr>
                      <w:p w14:paraId="2256834C" w14:textId="3453EAE7" w:rsidR="00FD0464" w:rsidRPr="00D63E8D" w:rsidRDefault="00FD0464" w:rsidP="00D63E8D">
                        <w:pPr>
                          <w:spacing w:after="120"/>
                          <w:rPr>
                            <w:rFonts w:ascii="Arial" w:hAnsi="Arial" w:cs="Times New Roman"/>
                            <w:sz w:val="19"/>
                            <w:szCs w:val="19"/>
                          </w:rPr>
                        </w:pPr>
                        <w:r w:rsidRPr="00F6254E">
                          <w:rPr>
                            <w:rFonts w:ascii="Arial" w:hAnsi="Arial" w:cs="Times New Roman"/>
                            <w:sz w:val="19"/>
                            <w:szCs w:val="19"/>
                          </w:rPr>
                          <w:t>Families experience a:</w:t>
                        </w:r>
                      </w:p>
                      <w:p w14:paraId="71DECF93" w14:textId="70C3E1C3" w:rsidR="007A6205" w:rsidRPr="00A628E4" w:rsidRDefault="00CC3219">
                        <w:pPr>
                          <w:spacing w:before="60" w:after="120"/>
                          <w:rPr>
                            <w:rFonts w:ascii="Arial" w:hAnsi="Arial" w:cs="Times New Roman"/>
                            <w:sz w:val="19"/>
                            <w:szCs w:val="19"/>
                          </w:rPr>
                        </w:pPr>
                        <w:r w:rsidRPr="003122A1">
                          <w:rPr>
                            <w:rFonts w:ascii="Arial" w:hAnsi="Arial" w:cs="Times New Roman"/>
                            <w:b/>
                            <w:bCs/>
                            <w:color w:val="007E00" w:themeColor="accent3"/>
                            <w:sz w:val="20"/>
                          </w:rPr>
                          <w:t>1.</w:t>
                        </w:r>
                        <w:r w:rsidR="00C574B9">
                          <w:rPr>
                            <w:rFonts w:ascii="Arial" w:hAnsi="Arial" w:cs="Times New Roman"/>
                            <w:b/>
                            <w:bCs/>
                            <w:color w:val="007E00" w:themeColor="accent3"/>
                            <w:sz w:val="20"/>
                          </w:rPr>
                          <w:t>1</w:t>
                        </w:r>
                        <w:r>
                          <w:rPr>
                            <w:rFonts w:ascii="Arial" w:hAnsi="Arial" w:cs="Times New Roman"/>
                            <w:sz w:val="19"/>
                            <w:szCs w:val="19"/>
                          </w:rPr>
                          <w:t xml:space="preserve"> </w:t>
                        </w:r>
                        <w:r w:rsidRPr="00A628E4">
                          <w:rPr>
                            <w:rFonts w:ascii="Arial" w:hAnsi="Arial" w:cs="Times New Roman"/>
                            <w:sz w:val="19"/>
                            <w:szCs w:val="19"/>
                          </w:rPr>
                          <w:t>i</w:t>
                        </w:r>
                        <w:r w:rsidR="00DB738F">
                          <w:rPr>
                            <w:rFonts w:ascii="Arial" w:hAnsi="Arial" w:cs="Times New Roman"/>
                            <w:sz w:val="19"/>
                            <w:szCs w:val="19"/>
                          </w:rPr>
                          <w:t>ncrease</w:t>
                        </w:r>
                        <w:r w:rsidRPr="00A628E4">
                          <w:rPr>
                            <w:rFonts w:ascii="Arial" w:hAnsi="Arial" w:cs="Times New Roman"/>
                            <w:sz w:val="19"/>
                            <w:szCs w:val="19"/>
                          </w:rPr>
                          <w:t xml:space="preserve"> in </w:t>
                        </w:r>
                        <w:r w:rsidR="00595981">
                          <w:rPr>
                            <w:rFonts w:ascii="Arial" w:hAnsi="Arial" w:cs="Times New Roman"/>
                            <w:sz w:val="19"/>
                            <w:szCs w:val="19"/>
                          </w:rPr>
                          <w:t>mean</w:t>
                        </w:r>
                        <w:r w:rsidR="009424BF">
                          <w:rPr>
                            <w:rFonts w:ascii="Arial" w:hAnsi="Arial" w:cs="Times New Roman"/>
                            <w:sz w:val="19"/>
                            <w:szCs w:val="19"/>
                          </w:rPr>
                          <w:t xml:space="preserve"> </w:t>
                        </w:r>
                        <w:r w:rsidR="009424BF" w:rsidRPr="009424BF">
                          <w:rPr>
                            <w:rFonts w:ascii="Arial" w:hAnsi="Arial" w:cs="Times New Roman"/>
                            <w:sz w:val="19"/>
                            <w:szCs w:val="19"/>
                          </w:rPr>
                          <w:t>SCORE</w:t>
                        </w:r>
                        <w:r w:rsidR="00595981">
                          <w:rPr>
                            <w:rFonts w:ascii="Arial" w:hAnsi="Arial" w:cs="Times New Roman"/>
                            <w:sz w:val="19"/>
                            <w:szCs w:val="19"/>
                          </w:rPr>
                          <w:t xml:space="preserve"> for </w:t>
                        </w:r>
                        <w:r w:rsidR="00354075">
                          <w:rPr>
                            <w:rFonts w:ascii="Arial" w:hAnsi="Arial" w:cs="Times New Roman"/>
                            <w:sz w:val="19"/>
                            <w:szCs w:val="19"/>
                          </w:rPr>
                          <w:t>Goal</w:t>
                        </w:r>
                        <w:r w:rsidR="00595981">
                          <w:rPr>
                            <w:rFonts w:ascii="Arial" w:hAnsi="Arial" w:cs="Times New Roman"/>
                            <w:sz w:val="19"/>
                            <w:szCs w:val="19"/>
                          </w:rPr>
                          <w:t xml:space="preserve">: </w:t>
                        </w:r>
                        <w:r w:rsidR="00354075">
                          <w:rPr>
                            <w:rFonts w:ascii="Arial" w:hAnsi="Arial" w:cs="Times New Roman"/>
                            <w:sz w:val="19"/>
                            <w:szCs w:val="19"/>
                          </w:rPr>
                          <w:t>Changed knowledge and access to information</w:t>
                        </w:r>
                        <w:r w:rsidR="00491E9B">
                          <w:rPr>
                            <w:rFonts w:ascii="Arial" w:hAnsi="Arial" w:cs="Times New Roman"/>
                            <w:sz w:val="19"/>
                            <w:szCs w:val="19"/>
                          </w:rPr>
                          <w:t>.</w:t>
                        </w:r>
                      </w:p>
                      <w:p w14:paraId="711C2F8E" w14:textId="2472B312" w:rsidR="00CC3219" w:rsidRPr="00474AC8" w:rsidRDefault="00CC3219">
                        <w:pPr>
                          <w:spacing w:before="60" w:after="120"/>
                          <w:rPr>
                            <w:rFonts w:ascii="Arial" w:hAnsi="Arial" w:cs="Times New Roman"/>
                            <w:sz w:val="19"/>
                            <w:szCs w:val="19"/>
                          </w:rPr>
                        </w:pPr>
                        <w:r w:rsidRPr="003122A1">
                          <w:rPr>
                            <w:rFonts w:ascii="Arial" w:hAnsi="Arial" w:cs="Times New Roman"/>
                            <w:b/>
                            <w:bCs/>
                            <w:color w:val="007E00" w:themeColor="accent3"/>
                            <w:sz w:val="20"/>
                          </w:rPr>
                          <w:t>1.0</w:t>
                        </w:r>
                        <w:r>
                          <w:rPr>
                            <w:rFonts w:ascii="Arial" w:hAnsi="Arial" w:cs="Times New Roman"/>
                            <w:sz w:val="19"/>
                            <w:szCs w:val="19"/>
                          </w:rPr>
                          <w:t xml:space="preserve"> increase in </w:t>
                        </w:r>
                        <w:r w:rsidR="00595981">
                          <w:rPr>
                            <w:rFonts w:ascii="Arial" w:hAnsi="Arial" w:cs="Times New Roman"/>
                            <w:sz w:val="19"/>
                            <w:szCs w:val="19"/>
                          </w:rPr>
                          <w:t xml:space="preserve">mean </w:t>
                        </w:r>
                        <w:r w:rsidR="009424BF" w:rsidRPr="009424BF">
                          <w:rPr>
                            <w:rFonts w:ascii="Arial" w:hAnsi="Arial" w:cs="Times New Roman"/>
                            <w:sz w:val="19"/>
                            <w:szCs w:val="19"/>
                          </w:rPr>
                          <w:t>SCORE</w:t>
                        </w:r>
                        <w:r w:rsidR="00595981">
                          <w:rPr>
                            <w:rFonts w:ascii="Arial" w:hAnsi="Arial" w:cs="Times New Roman"/>
                            <w:sz w:val="19"/>
                            <w:szCs w:val="19"/>
                          </w:rPr>
                          <w:t xml:space="preserve"> for Goal: Changed skills</w:t>
                        </w:r>
                        <w:r w:rsidR="00491E9B">
                          <w:rPr>
                            <w:rFonts w:ascii="Arial" w:hAnsi="Arial" w:cs="Times New Roman"/>
                            <w:sz w:val="19"/>
                            <w:szCs w:val="19"/>
                          </w:rPr>
                          <w:t>.</w:t>
                        </w:r>
                      </w:p>
                      <w:p w14:paraId="2DF90A31" w14:textId="4D771B85" w:rsidR="00CC3219" w:rsidRPr="00290506" w:rsidRDefault="00CC3219" w:rsidP="00DE647E">
                        <w:pPr>
                          <w:spacing w:after="120"/>
                          <w:rPr>
                            <w:rFonts w:ascii="Arial" w:hAnsi="Arial" w:cs="Times New Roman"/>
                            <w:sz w:val="19"/>
                            <w:szCs w:val="19"/>
                            <w:lang w:val="en-US"/>
                          </w:rPr>
                        </w:pPr>
                        <w:r w:rsidRPr="003122A1">
                          <w:rPr>
                            <w:rFonts w:ascii="Arial" w:hAnsi="Arial" w:cs="Times New Roman"/>
                            <w:b/>
                            <w:color w:val="007E00" w:themeColor="accent3"/>
                            <w:sz w:val="20"/>
                            <w:lang w:val="en-US"/>
                          </w:rPr>
                          <w:t>0.9</w:t>
                        </w:r>
                        <w:r>
                          <w:rPr>
                            <w:rFonts w:ascii="Arial" w:hAnsi="Arial" w:cs="Times New Roman"/>
                            <w:bCs/>
                            <w:sz w:val="19"/>
                            <w:szCs w:val="19"/>
                            <w:lang w:val="en-US"/>
                          </w:rPr>
                          <w:t xml:space="preserve"> increase in </w:t>
                        </w:r>
                        <w:r w:rsidR="0004542A">
                          <w:rPr>
                            <w:rFonts w:ascii="Arial" w:hAnsi="Arial" w:cs="Times New Roman"/>
                            <w:bCs/>
                            <w:sz w:val="19"/>
                            <w:szCs w:val="19"/>
                            <w:lang w:val="en-US"/>
                          </w:rPr>
                          <w:t xml:space="preserve">mean </w:t>
                        </w:r>
                        <w:r w:rsidR="009424BF" w:rsidRPr="009424BF">
                          <w:rPr>
                            <w:rFonts w:ascii="Arial" w:hAnsi="Arial" w:cs="Times New Roman"/>
                            <w:bCs/>
                            <w:sz w:val="19"/>
                            <w:szCs w:val="19"/>
                            <w:lang w:val="en-US"/>
                          </w:rPr>
                          <w:t>SCORE</w:t>
                        </w:r>
                        <w:r w:rsidR="0004542A">
                          <w:rPr>
                            <w:rFonts w:ascii="Arial" w:hAnsi="Arial" w:cs="Times New Roman"/>
                            <w:bCs/>
                            <w:sz w:val="19"/>
                            <w:szCs w:val="19"/>
                            <w:lang w:val="en-US"/>
                          </w:rPr>
                          <w:t xml:space="preserve"> for Goal: Engagement with relevant support services</w:t>
                        </w:r>
                        <w:r w:rsidR="00491E9B">
                          <w:rPr>
                            <w:rFonts w:ascii="Arial" w:hAnsi="Arial" w:cs="Times New Roman"/>
                            <w:bCs/>
                            <w:sz w:val="19"/>
                            <w:szCs w:val="19"/>
                            <w:lang w:val="en-US"/>
                          </w:rPr>
                          <w:t>.</w:t>
                        </w:r>
                      </w:p>
                      <w:p w14:paraId="4608B718" w14:textId="77777777" w:rsidR="00CC3219" w:rsidRDefault="00CC3219">
                        <w:pPr>
                          <w:rPr>
                            <w:rFonts w:ascii="Arial" w:hAnsi="Arial" w:cs="Times New Roman"/>
                            <w:bCs/>
                            <w:sz w:val="19"/>
                            <w:szCs w:val="19"/>
                            <w:lang w:val="en-US"/>
                          </w:rPr>
                        </w:pPr>
                      </w:p>
                      <w:p w14:paraId="5764DD86" w14:textId="77777777" w:rsidR="00CC3219" w:rsidRDefault="00CC3219">
                        <w:pPr>
                          <w:rPr>
                            <w:rFonts w:ascii="Arial" w:hAnsi="Arial" w:cs="Times New Roman"/>
                            <w:bCs/>
                            <w:sz w:val="19"/>
                            <w:szCs w:val="19"/>
                            <w:lang w:val="en-US"/>
                          </w:rPr>
                        </w:pPr>
                      </w:p>
                      <w:p w14:paraId="5393344C" w14:textId="77777777" w:rsidR="00CC3219" w:rsidRPr="00290506" w:rsidRDefault="00CC3219">
                        <w:pPr>
                          <w:rPr>
                            <w:rFonts w:ascii="Arial" w:hAnsi="Arial" w:cs="Times New Roman"/>
                            <w:sz w:val="19"/>
                            <w:szCs w:val="19"/>
                            <w:lang w:val="en-US"/>
                          </w:rPr>
                        </w:pPr>
                      </w:p>
                    </w:tc>
                    <w:tc>
                      <w:tcPr>
                        <w:tcW w:w="864" w:type="pct"/>
                        <w:tcBorders>
                          <w:bottom w:val="single" w:sz="4" w:space="0" w:color="BFBFBF" w:themeColor="text1" w:themeShade="BF"/>
                        </w:tcBorders>
                        <w:shd w:val="clear" w:color="auto" w:fill="F5F9EF" w:themeFill="accent5" w:themeFillTint="33"/>
                      </w:tcPr>
                      <w:p w14:paraId="514A208C" w14:textId="77777777" w:rsidR="00CC3219" w:rsidRPr="00A628E4" w:rsidRDefault="00CC3219">
                        <w:pPr>
                          <w:spacing w:before="60" w:after="120"/>
                          <w:rPr>
                            <w:rFonts w:ascii="Arial" w:hAnsi="Arial" w:cs="Times New Roman"/>
                            <w:sz w:val="19"/>
                            <w:szCs w:val="19"/>
                            <w:lang w:val="en-US"/>
                          </w:rPr>
                        </w:pPr>
                        <w:r w:rsidRPr="00A628E4">
                          <w:rPr>
                            <w:rFonts w:ascii="Arial" w:hAnsi="Arial" w:cs="Times New Roman"/>
                            <w:b/>
                            <w:color w:val="69A400"/>
                            <w:sz w:val="20"/>
                          </w:rPr>
                          <w:t>77.8 %</w:t>
                        </w:r>
                        <w:r w:rsidRPr="00A628E4">
                          <w:rPr>
                            <w:rFonts w:ascii="Arial" w:hAnsi="Arial" w:cs="Times New Roman"/>
                            <w:color w:val="78B800"/>
                            <w:sz w:val="19"/>
                            <w:szCs w:val="19"/>
                            <w:lang w:val="en-US"/>
                          </w:rPr>
                          <w:t xml:space="preserve"> </w:t>
                        </w:r>
                        <w:r w:rsidRPr="00A628E4">
                          <w:rPr>
                            <w:rFonts w:ascii="Arial" w:hAnsi="Arial" w:cs="Times New Roman"/>
                            <w:sz w:val="19"/>
                            <w:szCs w:val="19"/>
                            <w:lang w:val="en-US"/>
                          </w:rPr>
                          <w:t>(n=151) of survey respondents were satisfied with the service they received.</w:t>
                        </w:r>
                      </w:p>
                      <w:p w14:paraId="23CF8C01" w14:textId="77777777" w:rsidR="00CC3219" w:rsidRPr="00A628E4" w:rsidRDefault="00CC3219">
                        <w:pPr>
                          <w:spacing w:after="120"/>
                          <w:rPr>
                            <w:rFonts w:ascii="Arial" w:hAnsi="Arial" w:cs="Times New Roman"/>
                            <w:b/>
                            <w:sz w:val="19"/>
                            <w:szCs w:val="19"/>
                            <w:lang w:val="en-US"/>
                          </w:rPr>
                        </w:pPr>
                        <w:r w:rsidRPr="004F7CA1">
                          <w:rPr>
                            <w:rFonts w:ascii="Arial" w:hAnsi="Arial" w:cs="Times New Roman"/>
                            <w:b/>
                            <w:bCs/>
                            <w:color w:val="78B800" w:themeColor="accent1"/>
                            <w:sz w:val="20"/>
                          </w:rPr>
                          <w:t xml:space="preserve">62.9% </w:t>
                        </w:r>
                        <w:r w:rsidRPr="00A628E4">
                          <w:rPr>
                            <w:rFonts w:ascii="Arial" w:hAnsi="Arial" w:cs="Times New Roman"/>
                            <w:sz w:val="19"/>
                            <w:szCs w:val="19"/>
                          </w:rPr>
                          <w:t xml:space="preserve">(n=122) </w:t>
                        </w:r>
                        <w:r>
                          <w:rPr>
                            <w:rFonts w:ascii="Arial" w:hAnsi="Arial" w:cs="Times New Roman"/>
                            <w:sz w:val="19"/>
                            <w:szCs w:val="19"/>
                          </w:rPr>
                          <w:t xml:space="preserve">of </w:t>
                        </w:r>
                        <w:r w:rsidRPr="00A628E4">
                          <w:rPr>
                            <w:rFonts w:ascii="Arial" w:hAnsi="Arial" w:cs="Times New Roman"/>
                            <w:sz w:val="19"/>
                            <w:szCs w:val="19"/>
                          </w:rPr>
                          <w:t xml:space="preserve">survey respondents agreed or strongly agreed </w:t>
                        </w:r>
                        <w:r>
                          <w:rPr>
                            <w:rFonts w:ascii="Arial" w:hAnsi="Arial" w:cs="Times New Roman"/>
                            <w:sz w:val="19"/>
                            <w:szCs w:val="19"/>
                          </w:rPr>
                          <w:t xml:space="preserve">that </w:t>
                        </w:r>
                        <w:r w:rsidRPr="00A628E4">
                          <w:rPr>
                            <w:rFonts w:ascii="Arial" w:hAnsi="Arial" w:cs="Times New Roman"/>
                            <w:sz w:val="19"/>
                            <w:szCs w:val="19"/>
                          </w:rPr>
                          <w:t>they now have strategies to identify issues of personal and family safety as a result of using the service.</w:t>
                        </w:r>
                      </w:p>
                      <w:p w14:paraId="6C3AC07A" w14:textId="77777777" w:rsidR="00CC3219" w:rsidRPr="00A628E4" w:rsidRDefault="00CC3219">
                        <w:pPr>
                          <w:spacing w:after="120"/>
                          <w:rPr>
                            <w:rFonts w:ascii="Arial" w:hAnsi="Arial" w:cs="Times New Roman"/>
                            <w:b/>
                            <w:sz w:val="19"/>
                            <w:szCs w:val="19"/>
                            <w:lang w:val="en-US"/>
                          </w:rPr>
                        </w:pPr>
                      </w:p>
                    </w:tc>
                    <w:tc>
                      <w:tcPr>
                        <w:tcW w:w="1293" w:type="pct"/>
                        <w:tcBorders>
                          <w:bottom w:val="single" w:sz="4" w:space="0" w:color="BFBFBF" w:themeColor="text1" w:themeShade="BF"/>
                        </w:tcBorders>
                        <w:shd w:val="clear" w:color="auto" w:fill="F5F9EF" w:themeFill="accent5" w:themeFillTint="33"/>
                      </w:tcPr>
                      <w:p w14:paraId="24F6F86A" w14:textId="77777777" w:rsidR="00CC3219" w:rsidRPr="00A628E4" w:rsidRDefault="00CC3219">
                        <w:pPr>
                          <w:spacing w:before="60" w:after="120"/>
                          <w:rPr>
                            <w:rFonts w:ascii="Arial" w:hAnsi="Arial" w:cs="Times New Roman"/>
                            <w:sz w:val="19"/>
                            <w:szCs w:val="19"/>
                            <w:lang w:val="en-US"/>
                          </w:rPr>
                        </w:pPr>
                        <w:r w:rsidRPr="00A628E4">
                          <w:rPr>
                            <w:rFonts w:ascii="Arial" w:hAnsi="Arial" w:cs="Times New Roman"/>
                            <w:sz w:val="19"/>
                            <w:szCs w:val="19"/>
                            <w:lang w:val="en-US"/>
                          </w:rPr>
                          <w:t>Service users reported warmth, communication skills, empathy and active listening from counsellors and facilitators</w:t>
                        </w:r>
                      </w:p>
                      <w:p w14:paraId="31A4CA28" w14:textId="77777777" w:rsidR="00CC3219" w:rsidRPr="00A628E4" w:rsidRDefault="00CC3219">
                        <w:pPr>
                          <w:spacing w:after="120"/>
                          <w:rPr>
                            <w:rFonts w:ascii="Arial" w:hAnsi="Arial" w:cs="Times New Roman"/>
                            <w:sz w:val="19"/>
                            <w:szCs w:val="19"/>
                          </w:rPr>
                        </w:pPr>
                        <w:r w:rsidRPr="00A628E4">
                          <w:rPr>
                            <w:rFonts w:ascii="Arial" w:hAnsi="Arial" w:cs="Times New Roman"/>
                            <w:sz w:val="19"/>
                            <w:szCs w:val="19"/>
                          </w:rPr>
                          <w:t>Service users reported providers were knowledgeable in their area of work and topics including parenting, family relationships, interpersonal relationships and trauma.</w:t>
                        </w:r>
                      </w:p>
                      <w:p w14:paraId="19EC3D98" w14:textId="77777777" w:rsidR="00CC3219" w:rsidRPr="00A628E4" w:rsidRDefault="00CC3219">
                        <w:pPr>
                          <w:spacing w:after="120"/>
                          <w:rPr>
                            <w:rFonts w:ascii="Arial" w:hAnsi="Arial" w:cs="Times New Roman"/>
                            <w:sz w:val="19"/>
                            <w:szCs w:val="19"/>
                          </w:rPr>
                        </w:pPr>
                        <w:r w:rsidRPr="00A628E4">
                          <w:rPr>
                            <w:rFonts w:ascii="Arial" w:hAnsi="Arial" w:cs="Times New Roman"/>
                            <w:sz w:val="19"/>
                            <w:szCs w:val="19"/>
                          </w:rPr>
                          <w:t>Service users consistently reported that accessing FaRS services had an instrumental impact on their relationships, families and personal wellbeing.</w:t>
                        </w:r>
                      </w:p>
                      <w:p w14:paraId="1703BAA0" w14:textId="77777777" w:rsidR="00CC3219" w:rsidRPr="00A628E4" w:rsidRDefault="00CC3219">
                        <w:pPr>
                          <w:spacing w:after="120"/>
                          <w:rPr>
                            <w:rFonts w:ascii="Arial" w:hAnsi="Arial" w:cs="Times New Roman"/>
                            <w:b/>
                            <w:sz w:val="19"/>
                            <w:szCs w:val="19"/>
                            <w:lang w:val="en-US"/>
                          </w:rPr>
                        </w:pPr>
                        <w:r w:rsidRPr="00A628E4">
                          <w:rPr>
                            <w:rFonts w:ascii="Arial" w:hAnsi="Arial" w:cs="Times New Roman"/>
                            <w:sz w:val="19"/>
                            <w:szCs w:val="19"/>
                          </w:rPr>
                          <w:t xml:space="preserve">Service users described increased knowledge and skills in </w:t>
                        </w:r>
                        <w:r>
                          <w:rPr>
                            <w:rFonts w:ascii="Arial" w:hAnsi="Arial" w:cs="Times New Roman"/>
                            <w:sz w:val="19"/>
                            <w:szCs w:val="19"/>
                          </w:rPr>
                          <w:t>their relationships</w:t>
                        </w:r>
                        <w:r w:rsidRPr="00A628E4">
                          <w:rPr>
                            <w:rFonts w:ascii="Arial" w:hAnsi="Arial" w:cs="Times New Roman"/>
                            <w:sz w:val="19"/>
                            <w:szCs w:val="19"/>
                          </w:rPr>
                          <w:t xml:space="preserve"> including developing more effective communication skills, active listening skills, being less reactive and remaining calm.</w:t>
                        </w:r>
                      </w:p>
                      <w:p w14:paraId="051B4DC4" w14:textId="77777777" w:rsidR="00CC3219" w:rsidRPr="001278B9" w:rsidRDefault="00CC3219">
                        <w:pPr>
                          <w:spacing w:after="120"/>
                          <w:rPr>
                            <w:rFonts w:ascii="Arial" w:hAnsi="Arial" w:cs="Times New Roman"/>
                            <w:sz w:val="19"/>
                            <w:szCs w:val="19"/>
                            <w:lang w:val="en-US"/>
                          </w:rPr>
                        </w:pPr>
                        <w:r w:rsidRPr="00A628E4">
                          <w:rPr>
                            <w:rFonts w:ascii="Arial" w:hAnsi="Arial" w:cs="Times New Roman"/>
                            <w:sz w:val="19"/>
                            <w:szCs w:val="19"/>
                            <w:lang w:val="en-US"/>
                          </w:rPr>
                          <w:t>Service users described how collaborating together as a family, or as partners, helped them to better understand one another.</w:t>
                        </w:r>
                      </w:p>
                    </w:tc>
                    <w:tc>
                      <w:tcPr>
                        <w:tcW w:w="964" w:type="pct"/>
                        <w:tcBorders>
                          <w:bottom w:val="single" w:sz="4" w:space="0" w:color="BFBFBF" w:themeColor="text1" w:themeShade="BF"/>
                        </w:tcBorders>
                        <w:shd w:val="clear" w:color="auto" w:fill="F5F9EF" w:themeFill="accent5" w:themeFillTint="33"/>
                      </w:tcPr>
                      <w:p w14:paraId="0383102E" w14:textId="77777777" w:rsidR="00CC3219" w:rsidRDefault="00CC3219">
                        <w:pPr>
                          <w:spacing w:before="60" w:after="120"/>
                          <w:rPr>
                            <w:rFonts w:ascii="Arial" w:hAnsi="Arial" w:cs="Times New Roman"/>
                            <w:sz w:val="19"/>
                            <w:szCs w:val="19"/>
                            <w:lang w:val="en-US"/>
                          </w:rPr>
                        </w:pPr>
                        <w:r w:rsidRPr="00A628E4">
                          <w:rPr>
                            <w:rFonts w:ascii="Arial" w:hAnsi="Arial" w:cs="Times New Roman"/>
                            <w:sz w:val="19"/>
                            <w:szCs w:val="19"/>
                            <w:lang w:val="en-US"/>
                          </w:rPr>
                          <w:t>Service providers described collaborating with other services and engaging in warm referrals to support service users to know who they can turn to for support.</w:t>
                        </w:r>
                      </w:p>
                      <w:p w14:paraId="56105C1F" w14:textId="77777777" w:rsidR="00CC3219" w:rsidRPr="00A628E4" w:rsidRDefault="00CC3219">
                        <w:pPr>
                          <w:spacing w:before="60" w:after="120"/>
                          <w:rPr>
                            <w:rFonts w:ascii="Arial" w:hAnsi="Arial" w:cs="Times New Roman"/>
                            <w:sz w:val="19"/>
                            <w:szCs w:val="19"/>
                            <w:lang w:val="en-US"/>
                          </w:rPr>
                        </w:pPr>
                        <w:r>
                          <w:rPr>
                            <w:rFonts w:ascii="Arial" w:hAnsi="Arial" w:cs="Times New Roman"/>
                            <w:sz w:val="19"/>
                            <w:szCs w:val="19"/>
                            <w:lang w:val="en-US"/>
                          </w:rPr>
                          <w:t xml:space="preserve">Service providers described the popularity of parenting and other education and support programs, including the impact of increasing accessibility through virtual service offerings. </w:t>
                        </w:r>
                      </w:p>
                    </w:tc>
                  </w:tr>
                  <w:tr w:rsidR="00CC3219" w:rsidRPr="00A628E4" w14:paraId="3CB4AA77" w14:textId="77777777">
                    <w:trPr>
                      <w:cantSplit/>
                    </w:trPr>
                    <w:tc>
                      <w:tcPr>
                        <w:tcW w:w="1047" w:type="pct"/>
                        <w:tcBorders>
                          <w:top w:val="single" w:sz="4" w:space="0" w:color="BFBFBF" w:themeColor="text1" w:themeShade="BF"/>
                        </w:tcBorders>
                        <w:shd w:val="clear" w:color="auto" w:fill="E3EECF" w:themeFill="accent5" w:themeFillTint="99"/>
                      </w:tcPr>
                      <w:p w14:paraId="5729322A" w14:textId="77777777" w:rsidR="00CC3219" w:rsidRDefault="00CC3219">
                        <w:pPr>
                          <w:spacing w:before="60"/>
                          <w:rPr>
                            <w:rFonts w:ascii="Arial" w:hAnsi="Arial" w:cs="Times New Roman"/>
                            <w:sz w:val="19"/>
                            <w:szCs w:val="19"/>
                            <w:lang w:val="en-US"/>
                          </w:rPr>
                        </w:pPr>
                        <w:r>
                          <w:rPr>
                            <w:rFonts w:ascii="Arial" w:hAnsi="Arial" w:cs="Times New Roman"/>
                            <w:sz w:val="19"/>
                            <w:szCs w:val="19"/>
                            <w:lang w:val="en-US"/>
                          </w:rPr>
                          <w:lastRenderedPageBreak/>
                          <w:t>W</w:t>
                        </w:r>
                        <w:r w:rsidRPr="00EA4213">
                          <w:rPr>
                            <w:rFonts w:ascii="Arial" w:hAnsi="Arial" w:cs="Times New Roman"/>
                            <w:sz w:val="19"/>
                            <w:szCs w:val="19"/>
                            <w:lang w:val="en-US"/>
                          </w:rPr>
                          <w:t>hen experiencing family breakdown or dysfunction</w:t>
                        </w:r>
                        <w:r w:rsidRPr="00A628E4">
                          <w:rPr>
                            <w:rFonts w:ascii="Arial" w:hAnsi="Arial" w:cs="Times New Roman"/>
                            <w:sz w:val="19"/>
                            <w:szCs w:val="19"/>
                            <w:lang w:val="en-US"/>
                          </w:rPr>
                          <w:t xml:space="preserve"> </w:t>
                        </w:r>
                        <w:r>
                          <w:rPr>
                            <w:rFonts w:ascii="Arial" w:hAnsi="Arial" w:cs="Times New Roman"/>
                            <w:sz w:val="19"/>
                            <w:szCs w:val="19"/>
                            <w:lang w:val="en-US"/>
                          </w:rPr>
                          <w:t>f</w:t>
                        </w:r>
                        <w:r w:rsidRPr="00A628E4">
                          <w:rPr>
                            <w:rFonts w:ascii="Arial" w:hAnsi="Arial" w:cs="Times New Roman"/>
                            <w:sz w:val="19"/>
                            <w:szCs w:val="19"/>
                            <w:lang w:val="en-US"/>
                          </w:rPr>
                          <w:t>amilies and children have</w:t>
                        </w:r>
                        <w:r>
                          <w:rPr>
                            <w:rFonts w:ascii="Arial" w:hAnsi="Arial" w:cs="Times New Roman"/>
                            <w:sz w:val="19"/>
                            <w:szCs w:val="19"/>
                            <w:lang w:val="en-US"/>
                          </w:rPr>
                          <w:t xml:space="preserve"> knowledge and skills to improve:</w:t>
                        </w:r>
                      </w:p>
                      <w:p w14:paraId="627653E4" w14:textId="77777777" w:rsidR="00CC3219" w:rsidRDefault="00CC3219">
                        <w:pPr>
                          <w:pStyle w:val="ListParagraph"/>
                          <w:numPr>
                            <w:ilvl w:val="0"/>
                            <w:numId w:val="150"/>
                          </w:numPr>
                          <w:spacing w:before="60"/>
                          <w:rPr>
                            <w:rFonts w:ascii="Arial" w:hAnsi="Arial" w:cs="Times New Roman"/>
                            <w:sz w:val="19"/>
                            <w:szCs w:val="19"/>
                            <w:lang w:val="en-US"/>
                          </w:rPr>
                        </w:pPr>
                        <w:r>
                          <w:rPr>
                            <w:rFonts w:ascii="Arial" w:hAnsi="Arial" w:cs="Times New Roman"/>
                            <w:sz w:val="19"/>
                            <w:szCs w:val="19"/>
                            <w:lang w:val="en-US"/>
                          </w:rPr>
                          <w:t>mental health</w:t>
                        </w:r>
                      </w:p>
                      <w:p w14:paraId="707D3B79" w14:textId="77777777" w:rsidR="00CC3219" w:rsidRDefault="00CC3219">
                        <w:pPr>
                          <w:pStyle w:val="ListParagraph"/>
                          <w:numPr>
                            <w:ilvl w:val="0"/>
                            <w:numId w:val="150"/>
                          </w:numPr>
                          <w:spacing w:before="60"/>
                          <w:rPr>
                            <w:rFonts w:ascii="Arial" w:hAnsi="Arial" w:cs="Times New Roman"/>
                            <w:sz w:val="19"/>
                            <w:szCs w:val="19"/>
                            <w:lang w:val="en-US"/>
                          </w:rPr>
                        </w:pPr>
                        <w:r>
                          <w:rPr>
                            <w:rFonts w:ascii="Arial" w:hAnsi="Arial" w:cs="Times New Roman"/>
                            <w:sz w:val="19"/>
                            <w:szCs w:val="19"/>
                            <w:lang w:val="en-US"/>
                          </w:rPr>
                          <w:t xml:space="preserve">wellbeing </w:t>
                        </w:r>
                      </w:p>
                      <w:p w14:paraId="0F5F9582" w14:textId="77777777" w:rsidR="00CC3219" w:rsidRPr="001549FC" w:rsidRDefault="00CC3219">
                        <w:pPr>
                          <w:pStyle w:val="ListParagraph"/>
                          <w:numPr>
                            <w:ilvl w:val="0"/>
                            <w:numId w:val="150"/>
                          </w:numPr>
                          <w:spacing w:before="60"/>
                          <w:rPr>
                            <w:rFonts w:ascii="Arial" w:hAnsi="Arial" w:cs="Times New Roman"/>
                            <w:sz w:val="19"/>
                            <w:szCs w:val="19"/>
                            <w:lang w:val="en-US"/>
                          </w:rPr>
                        </w:pPr>
                        <w:r>
                          <w:rPr>
                            <w:rFonts w:ascii="Arial" w:hAnsi="Arial" w:cs="Times New Roman"/>
                            <w:sz w:val="19"/>
                            <w:szCs w:val="19"/>
                            <w:lang w:val="en-US"/>
                          </w:rPr>
                          <w:t>resilience</w:t>
                        </w:r>
                        <w:r w:rsidRPr="001549FC">
                          <w:rPr>
                            <w:rFonts w:ascii="Arial" w:hAnsi="Arial" w:cs="Times New Roman"/>
                            <w:sz w:val="19"/>
                            <w:szCs w:val="19"/>
                            <w:lang w:val="en-US"/>
                          </w:rPr>
                          <w:t>.</w:t>
                        </w:r>
                      </w:p>
                    </w:tc>
                    <w:tc>
                      <w:tcPr>
                        <w:tcW w:w="832" w:type="pct"/>
                        <w:tcBorders>
                          <w:top w:val="single" w:sz="4" w:space="0" w:color="BFBFBF" w:themeColor="text1" w:themeShade="BF"/>
                        </w:tcBorders>
                        <w:shd w:val="clear" w:color="auto" w:fill="F5F9EF" w:themeFill="accent5" w:themeFillTint="33"/>
                      </w:tcPr>
                      <w:p w14:paraId="6A1C7D9A" w14:textId="77777777" w:rsidR="001D7C32" w:rsidRDefault="001D7C32" w:rsidP="001D7C32">
                        <w:pPr>
                          <w:pStyle w:val="Text"/>
                          <w:rPr>
                            <w:rFonts w:ascii="Arial" w:hAnsi="Arial" w:cs="Times New Roman"/>
                            <w:b/>
                            <w:bCs/>
                            <w:color w:val="007E00" w:themeColor="accent3"/>
                            <w:sz w:val="20"/>
                          </w:rPr>
                        </w:pPr>
                      </w:p>
                      <w:p w14:paraId="665C375D" w14:textId="67B01B84" w:rsidR="001D7C32" w:rsidRPr="00580E33" w:rsidRDefault="001D7C32" w:rsidP="001D7C32">
                        <w:pPr>
                          <w:pStyle w:val="Text"/>
                          <w:rPr>
                            <w:iCs/>
                            <w:sz w:val="20"/>
                            <w:szCs w:val="18"/>
                            <w:lang w:val="en-US"/>
                          </w:rPr>
                        </w:pPr>
                        <w:r>
                          <w:rPr>
                            <w:rFonts w:ascii="Arial" w:hAnsi="Arial" w:cs="Times New Roman"/>
                            <w:b/>
                            <w:bCs/>
                            <w:color w:val="007E00" w:themeColor="accent3"/>
                            <w:sz w:val="20"/>
                          </w:rPr>
                          <w:t>0</w:t>
                        </w:r>
                        <w:r w:rsidRPr="003122A1">
                          <w:rPr>
                            <w:rFonts w:ascii="Arial" w:hAnsi="Arial" w:cs="Times New Roman"/>
                            <w:b/>
                            <w:bCs/>
                            <w:color w:val="007E00" w:themeColor="accent3"/>
                            <w:sz w:val="20"/>
                          </w:rPr>
                          <w:t>.</w:t>
                        </w:r>
                        <w:r>
                          <w:rPr>
                            <w:rFonts w:ascii="Arial" w:hAnsi="Arial" w:cs="Times New Roman"/>
                            <w:b/>
                            <w:bCs/>
                            <w:color w:val="007E00" w:themeColor="accent3"/>
                            <w:sz w:val="20"/>
                          </w:rPr>
                          <w:t>8</w:t>
                        </w:r>
                        <w:r>
                          <w:rPr>
                            <w:iCs/>
                            <w:sz w:val="20"/>
                            <w:szCs w:val="18"/>
                            <w:lang w:val="en-US"/>
                          </w:rPr>
                          <w:t xml:space="preserve"> increase in mental health, wellbeing and self-care.</w:t>
                        </w:r>
                      </w:p>
                      <w:p w14:paraId="60F75C24" w14:textId="1C3227C5" w:rsidR="00CC3219" w:rsidRPr="00A628E4" w:rsidRDefault="00CC3219">
                        <w:pPr>
                          <w:spacing w:before="60"/>
                          <w:rPr>
                            <w:rFonts w:ascii="Arial" w:hAnsi="Arial" w:cs="Times New Roman"/>
                            <w:sz w:val="19"/>
                            <w:szCs w:val="19"/>
                            <w:lang w:val="en-US"/>
                          </w:rPr>
                        </w:pPr>
                      </w:p>
                    </w:tc>
                    <w:tc>
                      <w:tcPr>
                        <w:tcW w:w="864" w:type="pct"/>
                        <w:tcBorders>
                          <w:top w:val="single" w:sz="4" w:space="0" w:color="BFBFBF" w:themeColor="text1" w:themeShade="BF"/>
                        </w:tcBorders>
                        <w:shd w:val="clear" w:color="auto" w:fill="F5F9EF" w:themeFill="accent5" w:themeFillTint="33"/>
                      </w:tcPr>
                      <w:p w14:paraId="0C96A899" w14:textId="77777777" w:rsidR="00CC3219" w:rsidRPr="00A628E4" w:rsidRDefault="00CC3219">
                        <w:pPr>
                          <w:spacing w:before="60"/>
                          <w:rPr>
                            <w:rFonts w:ascii="Arial" w:hAnsi="Arial" w:cs="Times New Roman"/>
                            <w:sz w:val="19"/>
                            <w:szCs w:val="19"/>
                          </w:rPr>
                        </w:pPr>
                        <w:r w:rsidRPr="003D0FB9">
                          <w:rPr>
                            <w:rFonts w:ascii="Arial" w:hAnsi="Arial" w:cs="Times New Roman"/>
                            <w:b/>
                            <w:bCs/>
                            <w:color w:val="78B800" w:themeColor="accent1"/>
                            <w:sz w:val="20"/>
                          </w:rPr>
                          <w:t>77.3%</w:t>
                        </w:r>
                        <w:r w:rsidRPr="00A628E4">
                          <w:rPr>
                            <w:rFonts w:ascii="Arial" w:hAnsi="Arial" w:cs="Times New Roman"/>
                            <w:sz w:val="19"/>
                            <w:szCs w:val="19"/>
                          </w:rPr>
                          <w:t xml:space="preserve"> </w:t>
                        </w:r>
                        <w:r>
                          <w:rPr>
                            <w:rFonts w:ascii="Arial" w:hAnsi="Arial" w:cs="Times New Roman"/>
                            <w:sz w:val="19"/>
                            <w:szCs w:val="19"/>
                          </w:rPr>
                          <w:t>(</w:t>
                        </w:r>
                        <w:r w:rsidRPr="00A628E4">
                          <w:rPr>
                            <w:rFonts w:ascii="Arial" w:hAnsi="Arial" w:cs="Times New Roman"/>
                            <w:sz w:val="19"/>
                            <w:szCs w:val="19"/>
                          </w:rPr>
                          <w:t xml:space="preserve">n=150) of service user survey respondents agreed or strongly agreed that they had strategies to improve their mental health and wellbeing because of </w:t>
                        </w:r>
                        <w:r>
                          <w:rPr>
                            <w:rFonts w:ascii="Arial" w:hAnsi="Arial" w:cs="Times New Roman"/>
                            <w:sz w:val="19"/>
                            <w:szCs w:val="19"/>
                          </w:rPr>
                          <w:t>accessing a FaRS</w:t>
                        </w:r>
                        <w:r w:rsidRPr="00A628E4">
                          <w:rPr>
                            <w:rFonts w:ascii="Arial" w:hAnsi="Arial" w:cs="Times New Roman"/>
                            <w:sz w:val="19"/>
                            <w:szCs w:val="19"/>
                          </w:rPr>
                          <w:t xml:space="preserve"> service.</w:t>
                        </w:r>
                      </w:p>
                    </w:tc>
                    <w:tc>
                      <w:tcPr>
                        <w:tcW w:w="1293" w:type="pct"/>
                        <w:tcBorders>
                          <w:top w:val="single" w:sz="4" w:space="0" w:color="BFBFBF" w:themeColor="text1" w:themeShade="BF"/>
                        </w:tcBorders>
                        <w:shd w:val="clear" w:color="auto" w:fill="F5F9EF" w:themeFill="accent5" w:themeFillTint="33"/>
                      </w:tcPr>
                      <w:p w14:paraId="0ACEAF0E" w14:textId="77777777" w:rsidR="00CC3219" w:rsidRPr="004D6E95" w:rsidRDefault="00CC3219">
                        <w:pPr>
                          <w:spacing w:before="60" w:after="120"/>
                          <w:rPr>
                            <w:rFonts w:ascii="Arial" w:hAnsi="Arial" w:cs="Times New Roman"/>
                            <w:sz w:val="19"/>
                            <w:szCs w:val="19"/>
                            <w:lang w:val="en-US"/>
                          </w:rPr>
                        </w:pPr>
                        <w:r w:rsidRPr="004D6E95">
                          <w:rPr>
                            <w:rFonts w:ascii="Arial" w:hAnsi="Arial" w:cs="Times New Roman"/>
                            <w:sz w:val="19"/>
                            <w:szCs w:val="19"/>
                            <w:lang w:val="en-US"/>
                          </w:rPr>
                          <w:t xml:space="preserve">Service users </w:t>
                        </w:r>
                        <w:r>
                          <w:rPr>
                            <w:rFonts w:ascii="Arial" w:hAnsi="Arial" w:cs="Times New Roman"/>
                            <w:sz w:val="19"/>
                            <w:szCs w:val="19"/>
                            <w:lang w:val="en-US"/>
                          </w:rPr>
                          <w:t>reported that</w:t>
                        </w:r>
                        <w:r w:rsidRPr="004D6E95">
                          <w:rPr>
                            <w:rFonts w:ascii="Arial" w:hAnsi="Arial" w:cs="Times New Roman"/>
                            <w:sz w:val="19"/>
                            <w:szCs w:val="19"/>
                            <w:lang w:val="en-US"/>
                          </w:rPr>
                          <w:t xml:space="preserve"> the service had been instrumental to their mental health and wellbeing, understanding themselves, and dealing with experiences including trauma, grief, anxiety, depression and relationship difficulties. </w:t>
                        </w:r>
                      </w:p>
                      <w:p w14:paraId="361E6BC7" w14:textId="77777777" w:rsidR="00CC3219" w:rsidRPr="004D6E95" w:rsidRDefault="00CC3219">
                        <w:pPr>
                          <w:spacing w:before="60" w:after="120"/>
                          <w:rPr>
                            <w:rFonts w:ascii="Arial" w:hAnsi="Arial" w:cs="Times New Roman"/>
                            <w:sz w:val="19"/>
                            <w:szCs w:val="19"/>
                            <w:lang w:val="en-US"/>
                          </w:rPr>
                        </w:pPr>
                        <w:r w:rsidRPr="004D6E95">
                          <w:rPr>
                            <w:rFonts w:ascii="Arial" w:hAnsi="Arial" w:cs="Times New Roman"/>
                            <w:sz w:val="19"/>
                            <w:szCs w:val="19"/>
                            <w:lang w:val="en-US"/>
                          </w:rPr>
                          <w:t>Accessing FaRS services helped service users develop emotional regulation skills, supporting feelings of independence and inner strength.</w:t>
                        </w:r>
                      </w:p>
                      <w:p w14:paraId="0A03BA03" w14:textId="77777777" w:rsidR="00CC3219" w:rsidRDefault="00CC3219">
                        <w:pPr>
                          <w:spacing w:before="60" w:after="120"/>
                          <w:rPr>
                            <w:rFonts w:ascii="Arial" w:hAnsi="Arial" w:cs="Times New Roman"/>
                            <w:sz w:val="19"/>
                            <w:szCs w:val="19"/>
                          </w:rPr>
                        </w:pPr>
                        <w:r w:rsidRPr="004D6E95">
                          <w:rPr>
                            <w:rFonts w:ascii="Arial" w:hAnsi="Arial" w:cs="Times New Roman"/>
                            <w:sz w:val="19"/>
                            <w:szCs w:val="19"/>
                            <w:lang w:val="en-US"/>
                          </w:rPr>
                          <w:t>Accessing FaRS services helped service users navigate relationship breakdown</w:t>
                        </w:r>
                        <w:r>
                          <w:rPr>
                            <w:rFonts w:ascii="Arial" w:hAnsi="Arial" w:cs="Times New Roman"/>
                            <w:sz w:val="19"/>
                            <w:szCs w:val="19"/>
                            <w:lang w:val="en-US"/>
                          </w:rPr>
                          <w:t>s,</w:t>
                        </w:r>
                        <w:r w:rsidRPr="004D6E95">
                          <w:rPr>
                            <w:rFonts w:ascii="Arial" w:hAnsi="Arial" w:cs="Times New Roman"/>
                            <w:sz w:val="19"/>
                            <w:szCs w:val="19"/>
                            <w:lang w:val="en-US"/>
                          </w:rPr>
                          <w:t xml:space="preserve"> including improve</w:t>
                        </w:r>
                        <w:r>
                          <w:rPr>
                            <w:rFonts w:ascii="Arial" w:hAnsi="Arial" w:cs="Times New Roman"/>
                            <w:sz w:val="19"/>
                            <w:szCs w:val="19"/>
                            <w:lang w:val="en-US"/>
                          </w:rPr>
                          <w:t>d</w:t>
                        </w:r>
                        <w:r w:rsidRPr="004D6E95">
                          <w:rPr>
                            <w:rFonts w:ascii="Arial" w:hAnsi="Arial" w:cs="Times New Roman"/>
                            <w:sz w:val="19"/>
                            <w:szCs w:val="19"/>
                            <w:lang w:val="en-US"/>
                          </w:rPr>
                          <w:t xml:space="preserve"> communication with their ex-partner and relationship modelling for their children.</w:t>
                        </w:r>
                        <w:r w:rsidRPr="00A628E4">
                          <w:rPr>
                            <w:rFonts w:ascii="Arial" w:hAnsi="Arial" w:cs="Times New Roman"/>
                            <w:sz w:val="19"/>
                            <w:szCs w:val="19"/>
                          </w:rPr>
                          <w:t xml:space="preserve"> </w:t>
                        </w:r>
                      </w:p>
                      <w:p w14:paraId="4802AADF" w14:textId="77777777" w:rsidR="00403D77" w:rsidRDefault="00403D77">
                        <w:pPr>
                          <w:spacing w:before="60" w:after="120"/>
                          <w:rPr>
                            <w:rFonts w:ascii="Arial" w:hAnsi="Arial" w:cs="Times New Roman"/>
                            <w:sz w:val="19"/>
                            <w:szCs w:val="19"/>
                          </w:rPr>
                        </w:pPr>
                      </w:p>
                      <w:p w14:paraId="2FADD661" w14:textId="77777777" w:rsidR="00403D77" w:rsidRDefault="00403D77">
                        <w:pPr>
                          <w:spacing w:before="60" w:after="120"/>
                          <w:rPr>
                            <w:rFonts w:ascii="Arial" w:hAnsi="Arial" w:cs="Times New Roman"/>
                            <w:sz w:val="19"/>
                            <w:szCs w:val="19"/>
                          </w:rPr>
                        </w:pPr>
                      </w:p>
                      <w:p w14:paraId="7297CBCF" w14:textId="77777777" w:rsidR="00403D77" w:rsidRDefault="00403D77">
                        <w:pPr>
                          <w:spacing w:before="60" w:after="120"/>
                          <w:rPr>
                            <w:rFonts w:ascii="Arial" w:hAnsi="Arial" w:cs="Times New Roman"/>
                            <w:sz w:val="19"/>
                            <w:szCs w:val="19"/>
                          </w:rPr>
                        </w:pPr>
                      </w:p>
                      <w:p w14:paraId="00C3224E" w14:textId="77777777" w:rsidR="00403D77" w:rsidRDefault="00403D77">
                        <w:pPr>
                          <w:spacing w:before="60" w:after="120"/>
                          <w:rPr>
                            <w:rFonts w:ascii="Arial" w:hAnsi="Arial" w:cs="Times New Roman"/>
                            <w:sz w:val="19"/>
                            <w:szCs w:val="19"/>
                          </w:rPr>
                        </w:pPr>
                      </w:p>
                      <w:p w14:paraId="1A31B8EB" w14:textId="77777777" w:rsidR="00403D77" w:rsidRDefault="00403D77">
                        <w:pPr>
                          <w:spacing w:before="60" w:after="120"/>
                          <w:rPr>
                            <w:rFonts w:ascii="Arial" w:hAnsi="Arial" w:cs="Times New Roman"/>
                            <w:sz w:val="19"/>
                            <w:szCs w:val="19"/>
                          </w:rPr>
                        </w:pPr>
                      </w:p>
                      <w:p w14:paraId="277A81C3" w14:textId="77777777" w:rsidR="00403D77" w:rsidRDefault="00403D77">
                        <w:pPr>
                          <w:spacing w:before="60" w:after="120"/>
                          <w:rPr>
                            <w:rFonts w:ascii="Arial" w:hAnsi="Arial" w:cs="Times New Roman"/>
                            <w:sz w:val="19"/>
                            <w:szCs w:val="19"/>
                          </w:rPr>
                        </w:pPr>
                      </w:p>
                      <w:p w14:paraId="660C5474" w14:textId="77777777" w:rsidR="00403D77" w:rsidRDefault="00403D77">
                        <w:pPr>
                          <w:spacing w:before="60" w:after="120"/>
                          <w:rPr>
                            <w:rFonts w:ascii="Arial" w:hAnsi="Arial" w:cs="Times New Roman"/>
                            <w:sz w:val="19"/>
                            <w:szCs w:val="19"/>
                          </w:rPr>
                        </w:pPr>
                      </w:p>
                      <w:p w14:paraId="5ACAFD7D" w14:textId="77777777" w:rsidR="00403D77" w:rsidRDefault="00403D77">
                        <w:pPr>
                          <w:spacing w:before="60" w:after="120"/>
                          <w:rPr>
                            <w:rFonts w:ascii="Arial" w:hAnsi="Arial" w:cs="Times New Roman"/>
                            <w:sz w:val="19"/>
                            <w:szCs w:val="19"/>
                          </w:rPr>
                        </w:pPr>
                      </w:p>
                      <w:p w14:paraId="0DEB9088" w14:textId="77777777" w:rsidR="00403D77" w:rsidRDefault="00403D77">
                        <w:pPr>
                          <w:spacing w:before="60" w:after="120"/>
                          <w:rPr>
                            <w:rFonts w:ascii="Arial" w:hAnsi="Arial" w:cs="Times New Roman"/>
                            <w:sz w:val="19"/>
                            <w:szCs w:val="19"/>
                          </w:rPr>
                        </w:pPr>
                      </w:p>
                      <w:p w14:paraId="481973E7" w14:textId="06985736" w:rsidR="00CC3219" w:rsidRPr="00A628E4" w:rsidRDefault="00CC3219">
                        <w:pPr>
                          <w:spacing w:before="60" w:after="120"/>
                          <w:rPr>
                            <w:rFonts w:ascii="Arial" w:hAnsi="Arial" w:cs="Times New Roman"/>
                            <w:sz w:val="19"/>
                            <w:szCs w:val="19"/>
                          </w:rPr>
                        </w:pPr>
                      </w:p>
                    </w:tc>
                    <w:tc>
                      <w:tcPr>
                        <w:tcW w:w="964" w:type="pct"/>
                        <w:tcBorders>
                          <w:top w:val="single" w:sz="4" w:space="0" w:color="BFBFBF" w:themeColor="text1" w:themeShade="BF"/>
                        </w:tcBorders>
                        <w:shd w:val="clear" w:color="auto" w:fill="F5F9EF" w:themeFill="accent5" w:themeFillTint="33"/>
                      </w:tcPr>
                      <w:p w14:paraId="1380511E" w14:textId="77777777" w:rsidR="00CC3219" w:rsidRPr="00A628E4" w:rsidRDefault="00CC3219">
                        <w:pPr>
                          <w:rPr>
                            <w:rFonts w:ascii="Arial" w:hAnsi="Arial" w:cs="Times New Roman"/>
                            <w:sz w:val="19"/>
                            <w:szCs w:val="19"/>
                          </w:rPr>
                        </w:pPr>
                        <w:r>
                          <w:rPr>
                            <w:rFonts w:ascii="Arial" w:hAnsi="Arial" w:cs="Times New Roman"/>
                            <w:sz w:val="19"/>
                            <w:szCs w:val="19"/>
                          </w:rPr>
                          <w:t>Service providers described providing support to service users over extended periods of time, including support to service users who left and returned to programs as they needed support.</w:t>
                        </w:r>
                      </w:p>
                    </w:tc>
                  </w:tr>
                  <w:tr w:rsidR="00CC3219" w:rsidRPr="00A628E4" w14:paraId="62A4C711" w14:textId="77777777">
                    <w:trPr>
                      <w:cantSplit/>
                    </w:trPr>
                    <w:tc>
                      <w:tcPr>
                        <w:tcW w:w="5000" w:type="pct"/>
                        <w:gridSpan w:val="5"/>
                        <w:shd w:val="clear" w:color="auto" w:fill="C7E7E5"/>
                      </w:tcPr>
                      <w:p w14:paraId="79FC6467" w14:textId="389B6885" w:rsidR="00CC3219" w:rsidRPr="00A628E4" w:rsidRDefault="00CC3219">
                        <w:pPr>
                          <w:spacing w:before="60" w:after="60"/>
                          <w:jc w:val="center"/>
                          <w:rPr>
                            <w:rFonts w:ascii="Arial" w:hAnsi="Arial" w:cs="Times New Roman"/>
                            <w:b/>
                            <w:sz w:val="19"/>
                            <w:szCs w:val="19"/>
                          </w:rPr>
                        </w:pPr>
                        <w:r>
                          <w:rPr>
                            <w:rFonts w:ascii="Arial" w:hAnsi="Arial" w:cs="Times New Roman"/>
                            <w:b/>
                            <w:sz w:val="19"/>
                            <w:szCs w:val="19"/>
                          </w:rPr>
                          <w:lastRenderedPageBreak/>
                          <w:t>MEDIUM-TERM OUTCOMES</w:t>
                        </w:r>
                      </w:p>
                    </w:tc>
                  </w:tr>
                  <w:tr w:rsidR="00CC3219" w:rsidRPr="00A628E4" w14:paraId="0117AF84" w14:textId="77777777">
                    <w:trPr>
                      <w:cantSplit/>
                    </w:trPr>
                    <w:tc>
                      <w:tcPr>
                        <w:tcW w:w="1047" w:type="pct"/>
                        <w:tcBorders>
                          <w:bottom w:val="single" w:sz="4" w:space="0" w:color="BFBFBF" w:themeColor="text1" w:themeShade="BF"/>
                        </w:tcBorders>
                        <w:shd w:val="clear" w:color="auto" w:fill="C7E7E5"/>
                      </w:tcPr>
                      <w:p w14:paraId="6675B68F" w14:textId="77777777" w:rsidR="00CC3219" w:rsidRPr="00A628E4" w:rsidRDefault="00CC3219">
                        <w:pPr>
                          <w:spacing w:before="60"/>
                          <w:rPr>
                            <w:rFonts w:ascii="Arial" w:hAnsi="Arial" w:cs="Times New Roman"/>
                            <w:sz w:val="19"/>
                            <w:szCs w:val="19"/>
                            <w:lang w:val="en-US"/>
                          </w:rPr>
                        </w:pPr>
                        <w:r w:rsidRPr="00A628E4">
                          <w:rPr>
                            <w:rFonts w:ascii="Arial" w:hAnsi="Arial" w:cs="Times New Roman"/>
                            <w:sz w:val="19"/>
                            <w:szCs w:val="19"/>
                            <w:lang w:val="en-US"/>
                          </w:rPr>
                          <w:t>Families use effective strategies to:</w:t>
                        </w:r>
                      </w:p>
                      <w:p w14:paraId="4CE96E8E" w14:textId="77777777" w:rsidR="00CC3219" w:rsidRDefault="00CC3219">
                        <w:pPr>
                          <w:numPr>
                            <w:ilvl w:val="0"/>
                            <w:numId w:val="54"/>
                          </w:numPr>
                          <w:spacing w:before="40" w:after="40"/>
                          <w:ind w:left="357" w:hanging="357"/>
                          <w:rPr>
                            <w:rFonts w:ascii="Arial" w:hAnsi="Arial" w:cs="Times New Roman"/>
                            <w:sz w:val="19"/>
                            <w:szCs w:val="19"/>
                          </w:rPr>
                        </w:pPr>
                        <w:r w:rsidRPr="00A628E4">
                          <w:rPr>
                            <w:rFonts w:ascii="Arial" w:hAnsi="Arial" w:cs="Times New Roman"/>
                            <w:sz w:val="19"/>
                            <w:szCs w:val="19"/>
                          </w:rPr>
                          <w:t>identify personal and family safety</w:t>
                        </w:r>
                        <w:r>
                          <w:rPr>
                            <w:rFonts w:ascii="Arial" w:hAnsi="Arial" w:cs="Times New Roman"/>
                            <w:sz w:val="19"/>
                            <w:szCs w:val="19"/>
                          </w:rPr>
                          <w:t xml:space="preserve"> issues </w:t>
                        </w:r>
                      </w:p>
                      <w:p w14:paraId="324318ED" w14:textId="77777777" w:rsidR="00CC3219" w:rsidRPr="00A628E4" w:rsidRDefault="00CC3219">
                        <w:pPr>
                          <w:numPr>
                            <w:ilvl w:val="0"/>
                            <w:numId w:val="54"/>
                          </w:numPr>
                          <w:spacing w:before="40" w:after="40"/>
                          <w:ind w:left="357" w:hanging="357"/>
                          <w:rPr>
                            <w:rFonts w:ascii="Arial" w:hAnsi="Arial" w:cs="Times New Roman"/>
                            <w:sz w:val="19"/>
                            <w:szCs w:val="19"/>
                          </w:rPr>
                        </w:pPr>
                        <w:r>
                          <w:rPr>
                            <w:rFonts w:ascii="Arial" w:hAnsi="Arial" w:cs="Times New Roman"/>
                            <w:sz w:val="19"/>
                            <w:szCs w:val="19"/>
                          </w:rPr>
                          <w:t xml:space="preserve">seek support for personal and family safety issues </w:t>
                        </w:r>
                      </w:p>
                      <w:p w14:paraId="531FFFAF" w14:textId="77777777" w:rsidR="00CC3219" w:rsidRPr="00A628E4" w:rsidRDefault="00CC3219">
                        <w:pPr>
                          <w:numPr>
                            <w:ilvl w:val="0"/>
                            <w:numId w:val="54"/>
                          </w:numPr>
                          <w:spacing w:before="40" w:after="40"/>
                          <w:ind w:left="357" w:hanging="357"/>
                          <w:rPr>
                            <w:rFonts w:ascii="Arial" w:hAnsi="Arial" w:cs="Times New Roman"/>
                            <w:sz w:val="19"/>
                            <w:szCs w:val="19"/>
                          </w:rPr>
                        </w:pPr>
                        <w:r w:rsidRPr="00A628E4">
                          <w:rPr>
                            <w:rFonts w:ascii="Arial" w:hAnsi="Arial" w:cs="Times New Roman"/>
                            <w:sz w:val="19"/>
                            <w:szCs w:val="19"/>
                          </w:rPr>
                          <w:t>improve or maintain</w:t>
                        </w:r>
                        <w:r w:rsidRPr="00A628E4">
                          <w:rPr>
                            <w:rFonts w:ascii="Arial" w:hAnsi="Arial" w:cs="Times New Roman"/>
                            <w:b/>
                            <w:sz w:val="19"/>
                            <w:szCs w:val="19"/>
                          </w:rPr>
                          <w:t xml:space="preserve"> </w:t>
                        </w:r>
                        <w:r w:rsidRPr="00A628E4">
                          <w:rPr>
                            <w:rFonts w:ascii="Arial" w:hAnsi="Arial" w:cs="Times New Roman"/>
                            <w:sz w:val="19"/>
                            <w:szCs w:val="19"/>
                          </w:rPr>
                          <w:t>personal and family safety</w:t>
                        </w:r>
                      </w:p>
                      <w:p w14:paraId="0DA0B046" w14:textId="77777777" w:rsidR="00CC3219" w:rsidRPr="00A628E4" w:rsidRDefault="00CC3219">
                        <w:pPr>
                          <w:numPr>
                            <w:ilvl w:val="0"/>
                            <w:numId w:val="52"/>
                          </w:numPr>
                          <w:spacing w:before="40" w:after="40"/>
                          <w:ind w:left="357" w:hanging="357"/>
                          <w:rPr>
                            <w:rFonts w:ascii="Arial" w:hAnsi="Arial" w:cs="Times New Roman"/>
                            <w:bCs/>
                            <w:sz w:val="19"/>
                            <w:szCs w:val="19"/>
                            <w:lang w:val="en-US"/>
                          </w:rPr>
                        </w:pPr>
                        <w:r w:rsidRPr="00A628E4">
                          <w:rPr>
                            <w:rFonts w:ascii="Arial" w:hAnsi="Arial" w:cs="Times New Roman"/>
                            <w:bCs/>
                            <w:sz w:val="19"/>
                            <w:szCs w:val="19"/>
                            <w:lang w:val="en-US"/>
                          </w:rPr>
                          <w:t>model healthy respectful relationships</w:t>
                        </w:r>
                      </w:p>
                      <w:p w14:paraId="68971CC8" w14:textId="6529092B" w:rsidR="00CC3219" w:rsidRPr="00A628E4" w:rsidRDefault="00CC3219">
                        <w:pPr>
                          <w:numPr>
                            <w:ilvl w:val="0"/>
                            <w:numId w:val="52"/>
                          </w:numPr>
                          <w:spacing w:before="40" w:after="40"/>
                          <w:ind w:left="357" w:hanging="357"/>
                          <w:rPr>
                            <w:rFonts w:ascii="Arial" w:hAnsi="Arial" w:cs="Times New Roman"/>
                            <w:sz w:val="19"/>
                            <w:szCs w:val="19"/>
                            <w:lang w:val="en-US"/>
                          </w:rPr>
                        </w:pPr>
                        <w:r w:rsidRPr="00A628E4">
                          <w:rPr>
                            <w:rFonts w:ascii="Arial" w:hAnsi="Arial" w:cs="Times New Roman"/>
                            <w:sz w:val="19"/>
                            <w:szCs w:val="19"/>
                            <w:lang w:val="en-US"/>
                          </w:rPr>
                          <w:t>improve parenting skills</w:t>
                        </w:r>
                        <w:r>
                          <w:rPr>
                            <w:rFonts w:ascii="Arial" w:hAnsi="Arial" w:cs="Times New Roman"/>
                            <w:sz w:val="19"/>
                            <w:szCs w:val="19"/>
                            <w:lang w:val="en-US"/>
                          </w:rPr>
                          <w:t>.</w:t>
                        </w:r>
                      </w:p>
                    </w:tc>
                    <w:tc>
                      <w:tcPr>
                        <w:tcW w:w="832" w:type="pct"/>
                        <w:tcBorders>
                          <w:bottom w:val="single" w:sz="4" w:space="0" w:color="BFBFBF" w:themeColor="text1" w:themeShade="BF"/>
                        </w:tcBorders>
                        <w:shd w:val="clear" w:color="auto" w:fill="F4FAF9"/>
                      </w:tcPr>
                      <w:p w14:paraId="4456F264" w14:textId="77777777" w:rsidR="00031394" w:rsidRDefault="00031394" w:rsidP="00FD0464">
                        <w:pPr>
                          <w:spacing w:after="120"/>
                          <w:rPr>
                            <w:rFonts w:ascii="Arial" w:hAnsi="Arial" w:cs="Times New Roman"/>
                            <w:sz w:val="19"/>
                            <w:szCs w:val="19"/>
                          </w:rPr>
                        </w:pPr>
                      </w:p>
                      <w:p w14:paraId="25F94F29" w14:textId="0977647E" w:rsidR="00FD0464" w:rsidRPr="00D63E8D" w:rsidRDefault="00FD0464" w:rsidP="00FD0464">
                        <w:pPr>
                          <w:spacing w:after="120"/>
                          <w:rPr>
                            <w:rFonts w:ascii="Arial" w:hAnsi="Arial" w:cs="Times New Roman"/>
                            <w:sz w:val="19"/>
                            <w:szCs w:val="19"/>
                          </w:rPr>
                        </w:pPr>
                        <w:r w:rsidRPr="00F6254E">
                          <w:rPr>
                            <w:rFonts w:ascii="Arial" w:hAnsi="Arial" w:cs="Times New Roman"/>
                            <w:sz w:val="19"/>
                            <w:szCs w:val="19"/>
                          </w:rPr>
                          <w:t>Families and children experience a:</w:t>
                        </w:r>
                      </w:p>
                      <w:p w14:paraId="6CCFFAD6" w14:textId="724DD101" w:rsidR="005B5432" w:rsidRDefault="00EA1ADA" w:rsidP="00FD0464">
                        <w:pPr>
                          <w:spacing w:after="120"/>
                          <w:rPr>
                            <w:rFonts w:ascii="Arial" w:hAnsi="Arial" w:cs="Times New Roman"/>
                            <w:bCs/>
                            <w:sz w:val="19"/>
                            <w:szCs w:val="19"/>
                            <w:lang w:val="en-US"/>
                          </w:rPr>
                        </w:pPr>
                        <w:r w:rsidRPr="00A628E4">
                          <w:rPr>
                            <w:rFonts w:ascii="Arial" w:hAnsi="Arial" w:cs="Times New Roman"/>
                            <w:b/>
                            <w:bCs/>
                            <w:color w:val="007E00"/>
                            <w:sz w:val="20"/>
                          </w:rPr>
                          <w:t>0.8</w:t>
                        </w:r>
                        <w:r w:rsidRPr="00A628E4">
                          <w:rPr>
                            <w:rFonts w:ascii="Arial" w:hAnsi="Arial" w:cs="Times New Roman"/>
                            <w:sz w:val="19"/>
                            <w:szCs w:val="19"/>
                            <w:lang w:val="en-US"/>
                          </w:rPr>
                          <w:t xml:space="preserve"> </w:t>
                        </w:r>
                        <w:r>
                          <w:rPr>
                            <w:rFonts w:ascii="Arial" w:hAnsi="Arial" w:cs="Times New Roman"/>
                            <w:sz w:val="19"/>
                            <w:szCs w:val="19"/>
                            <w:lang w:val="en-US"/>
                          </w:rPr>
                          <w:t xml:space="preserve">increase in mean </w:t>
                        </w:r>
                        <w:r w:rsidR="009424BF" w:rsidRPr="009424BF">
                          <w:rPr>
                            <w:rFonts w:ascii="Arial" w:hAnsi="Arial" w:cs="Times New Roman"/>
                            <w:sz w:val="19"/>
                            <w:szCs w:val="19"/>
                            <w:lang w:val="en-US"/>
                          </w:rPr>
                          <w:t>SCORE</w:t>
                        </w:r>
                        <w:r>
                          <w:rPr>
                            <w:rFonts w:ascii="Arial" w:hAnsi="Arial" w:cs="Times New Roman"/>
                            <w:sz w:val="19"/>
                            <w:szCs w:val="19"/>
                            <w:lang w:val="en-US"/>
                          </w:rPr>
                          <w:t xml:space="preserve"> for Circumstance:</w:t>
                        </w:r>
                        <w:r w:rsidRPr="00A628E4">
                          <w:rPr>
                            <w:rFonts w:ascii="Arial" w:hAnsi="Arial" w:cs="Times New Roman"/>
                            <w:sz w:val="19"/>
                            <w:szCs w:val="19"/>
                            <w:lang w:val="en-US"/>
                          </w:rPr>
                          <w:t xml:space="preserve"> </w:t>
                        </w:r>
                        <w:r>
                          <w:rPr>
                            <w:rFonts w:ascii="Arial" w:hAnsi="Arial" w:cs="Times New Roman"/>
                            <w:sz w:val="19"/>
                            <w:szCs w:val="19"/>
                            <w:lang w:val="en-US"/>
                          </w:rPr>
                          <w:t>Family Functioning</w:t>
                        </w:r>
                        <w:r w:rsidR="008534EB">
                          <w:rPr>
                            <w:rFonts w:ascii="Arial" w:hAnsi="Arial" w:cs="Times New Roman"/>
                            <w:sz w:val="19"/>
                            <w:szCs w:val="19"/>
                            <w:lang w:val="en-US"/>
                          </w:rPr>
                          <w:t>.</w:t>
                        </w:r>
                      </w:p>
                      <w:p w14:paraId="6BBFEB0B" w14:textId="31F3A411" w:rsidR="005B5432" w:rsidRDefault="00CC3219" w:rsidP="00FD0464">
                        <w:pPr>
                          <w:spacing w:after="120"/>
                          <w:rPr>
                            <w:rFonts w:ascii="Arial" w:hAnsi="Arial" w:cs="Times New Roman"/>
                            <w:bCs/>
                            <w:sz w:val="19"/>
                            <w:szCs w:val="19"/>
                            <w:lang w:val="en-US"/>
                          </w:rPr>
                        </w:pPr>
                        <w:r w:rsidRPr="344F9D96">
                          <w:rPr>
                            <w:rFonts w:ascii="Arial" w:hAnsi="Arial" w:cs="Times New Roman"/>
                            <w:b/>
                            <w:color w:val="007E00" w:themeColor="accent3"/>
                            <w:sz w:val="20"/>
                          </w:rPr>
                          <w:t>0.6</w:t>
                        </w:r>
                        <w:r w:rsidRPr="00A628E4">
                          <w:rPr>
                            <w:rFonts w:ascii="Arial" w:hAnsi="Arial" w:cs="Times New Roman"/>
                            <w:sz w:val="19"/>
                            <w:szCs w:val="19"/>
                          </w:rPr>
                          <w:t xml:space="preserve"> increase in </w:t>
                        </w:r>
                        <w:r w:rsidR="00DB738F">
                          <w:rPr>
                            <w:rFonts w:ascii="Arial" w:hAnsi="Arial" w:cs="Times New Roman"/>
                            <w:sz w:val="19"/>
                            <w:szCs w:val="19"/>
                          </w:rPr>
                          <w:t xml:space="preserve">mean </w:t>
                        </w:r>
                        <w:r w:rsidR="009424BF" w:rsidRPr="009424BF">
                          <w:rPr>
                            <w:rFonts w:ascii="Arial" w:hAnsi="Arial" w:cs="Times New Roman"/>
                            <w:sz w:val="19"/>
                            <w:szCs w:val="19"/>
                          </w:rPr>
                          <w:t>SCORE</w:t>
                        </w:r>
                        <w:r w:rsidR="00DB738F">
                          <w:rPr>
                            <w:rFonts w:ascii="Arial" w:hAnsi="Arial" w:cs="Times New Roman"/>
                            <w:sz w:val="19"/>
                            <w:szCs w:val="19"/>
                          </w:rPr>
                          <w:t xml:space="preserve"> for Circumstance:</w:t>
                        </w:r>
                        <w:r w:rsidRPr="00A628E4">
                          <w:rPr>
                            <w:rFonts w:ascii="Arial" w:hAnsi="Arial" w:cs="Times New Roman"/>
                            <w:sz w:val="19"/>
                            <w:szCs w:val="19"/>
                          </w:rPr>
                          <w:t xml:space="preserve"> </w:t>
                        </w:r>
                        <w:r>
                          <w:rPr>
                            <w:rFonts w:ascii="Arial" w:hAnsi="Arial" w:cs="Times New Roman"/>
                            <w:sz w:val="19"/>
                            <w:szCs w:val="19"/>
                          </w:rPr>
                          <w:t>P</w:t>
                        </w:r>
                        <w:r w:rsidRPr="00A628E4">
                          <w:rPr>
                            <w:rFonts w:ascii="Arial" w:hAnsi="Arial" w:cs="Times New Roman"/>
                            <w:sz w:val="19"/>
                            <w:szCs w:val="19"/>
                          </w:rPr>
                          <w:t>ersonal and family safety</w:t>
                        </w:r>
                        <w:r w:rsidR="008534EB">
                          <w:rPr>
                            <w:rFonts w:ascii="Arial" w:hAnsi="Arial" w:cs="Times New Roman"/>
                            <w:sz w:val="19"/>
                            <w:szCs w:val="19"/>
                          </w:rPr>
                          <w:t>.</w:t>
                        </w:r>
                        <w:r w:rsidRPr="00A628E4">
                          <w:rPr>
                            <w:rFonts w:ascii="Arial" w:hAnsi="Arial" w:cs="Times New Roman"/>
                            <w:sz w:val="19"/>
                            <w:szCs w:val="19"/>
                          </w:rPr>
                          <w:t xml:space="preserve"> </w:t>
                        </w:r>
                      </w:p>
                      <w:p w14:paraId="36653EE3" w14:textId="3C58FB2E" w:rsidR="00CC3219" w:rsidRPr="005B5432" w:rsidRDefault="00CC3219" w:rsidP="00D63E8D">
                        <w:pPr>
                          <w:spacing w:after="120"/>
                          <w:rPr>
                            <w:rFonts w:ascii="Arial" w:hAnsi="Arial" w:cs="Times New Roman"/>
                            <w:bCs/>
                            <w:sz w:val="19"/>
                            <w:szCs w:val="19"/>
                            <w:lang w:val="en-US"/>
                          </w:rPr>
                        </w:pPr>
                        <w:r w:rsidRPr="344F9D96">
                          <w:rPr>
                            <w:rFonts w:ascii="Arial" w:hAnsi="Arial" w:cs="Times New Roman"/>
                            <w:b/>
                            <w:color w:val="007E00" w:themeColor="accent3"/>
                            <w:sz w:val="20"/>
                          </w:rPr>
                          <w:t>1.1</w:t>
                        </w:r>
                        <w:r w:rsidRPr="00A628E4">
                          <w:rPr>
                            <w:rFonts w:ascii="Arial" w:hAnsi="Arial" w:cs="Times New Roman"/>
                            <w:sz w:val="19"/>
                            <w:szCs w:val="19"/>
                            <w:lang w:val="en-US"/>
                          </w:rPr>
                          <w:t xml:space="preserve"> increase in </w:t>
                        </w:r>
                        <w:r w:rsidR="00EA1ADA">
                          <w:rPr>
                            <w:rFonts w:ascii="Arial" w:hAnsi="Arial" w:cs="Times New Roman"/>
                            <w:sz w:val="19"/>
                            <w:szCs w:val="19"/>
                            <w:lang w:val="en-US"/>
                          </w:rPr>
                          <w:t>mean</w:t>
                        </w:r>
                        <w:r w:rsidR="005B5432">
                          <w:rPr>
                            <w:rFonts w:ascii="Arial" w:hAnsi="Arial" w:cs="Times New Roman"/>
                            <w:sz w:val="19"/>
                            <w:szCs w:val="19"/>
                            <w:lang w:val="en-US"/>
                          </w:rPr>
                          <w:t xml:space="preserve"> </w:t>
                        </w:r>
                        <w:r w:rsidR="009424BF" w:rsidRPr="009424BF">
                          <w:rPr>
                            <w:rFonts w:ascii="Arial" w:hAnsi="Arial" w:cs="Times New Roman"/>
                            <w:sz w:val="19"/>
                            <w:szCs w:val="19"/>
                            <w:lang w:val="en-US"/>
                          </w:rPr>
                          <w:t>SCORE</w:t>
                        </w:r>
                        <w:r w:rsidR="00EA1ADA">
                          <w:rPr>
                            <w:rFonts w:ascii="Arial" w:hAnsi="Arial" w:cs="Times New Roman"/>
                            <w:sz w:val="19"/>
                            <w:szCs w:val="19"/>
                            <w:lang w:val="en-US"/>
                          </w:rPr>
                          <w:t xml:space="preserve"> for Goal: Changed behaviours</w:t>
                        </w:r>
                        <w:r w:rsidR="008534EB">
                          <w:rPr>
                            <w:rFonts w:ascii="Arial" w:hAnsi="Arial" w:cs="Times New Roman"/>
                            <w:sz w:val="19"/>
                            <w:szCs w:val="19"/>
                            <w:lang w:val="en-US"/>
                          </w:rPr>
                          <w:t>.</w:t>
                        </w:r>
                        <w:r w:rsidRPr="00A628E4">
                          <w:rPr>
                            <w:rFonts w:ascii="Arial" w:hAnsi="Arial" w:cs="Times New Roman"/>
                            <w:sz w:val="19"/>
                            <w:szCs w:val="19"/>
                            <w:lang w:val="en-US"/>
                          </w:rPr>
                          <w:t xml:space="preserve"> </w:t>
                        </w:r>
                      </w:p>
                      <w:p w14:paraId="1B08FC30" w14:textId="77777777" w:rsidR="005B5432" w:rsidRPr="00A628E4" w:rsidRDefault="005B5432" w:rsidP="00FD0464">
                        <w:pPr>
                          <w:rPr>
                            <w:rFonts w:ascii="Arial" w:hAnsi="Arial" w:cs="Times New Roman"/>
                            <w:b/>
                            <w:sz w:val="19"/>
                            <w:szCs w:val="19"/>
                            <w:lang w:val="en-US"/>
                          </w:rPr>
                        </w:pPr>
                      </w:p>
                      <w:p w14:paraId="106BA1DF" w14:textId="77777777" w:rsidR="00CC3219" w:rsidRPr="00A628E4" w:rsidRDefault="00CC3219" w:rsidP="00FD0464">
                        <w:pPr>
                          <w:rPr>
                            <w:rFonts w:ascii="Arial" w:hAnsi="Arial" w:cs="Times New Roman"/>
                            <w:i/>
                            <w:sz w:val="19"/>
                            <w:szCs w:val="19"/>
                            <w:lang w:val="en-US"/>
                          </w:rPr>
                        </w:pPr>
                      </w:p>
                      <w:p w14:paraId="0C2DAED3" w14:textId="77777777" w:rsidR="00CC3219" w:rsidRPr="00A628E4" w:rsidRDefault="00CC3219" w:rsidP="00FD0464">
                        <w:pPr>
                          <w:spacing w:after="120"/>
                          <w:rPr>
                            <w:rFonts w:ascii="Arial" w:hAnsi="Arial" w:cs="Times New Roman"/>
                            <w:sz w:val="19"/>
                            <w:szCs w:val="19"/>
                          </w:rPr>
                        </w:pPr>
                      </w:p>
                    </w:tc>
                    <w:tc>
                      <w:tcPr>
                        <w:tcW w:w="864" w:type="pct"/>
                        <w:tcBorders>
                          <w:bottom w:val="single" w:sz="4" w:space="0" w:color="BFBFBF" w:themeColor="text1" w:themeShade="BF"/>
                        </w:tcBorders>
                        <w:shd w:val="clear" w:color="auto" w:fill="F4FAF9"/>
                      </w:tcPr>
                      <w:p w14:paraId="4F987AB7" w14:textId="77777777" w:rsidR="00CC3219" w:rsidRPr="00A628E4" w:rsidRDefault="00CC3219">
                        <w:pPr>
                          <w:spacing w:before="60"/>
                          <w:rPr>
                            <w:rFonts w:ascii="Arial" w:hAnsi="Arial" w:cs="Times New Roman"/>
                            <w:sz w:val="19"/>
                            <w:szCs w:val="19"/>
                            <w:lang w:val="en-US"/>
                          </w:rPr>
                        </w:pPr>
                        <w:r w:rsidRPr="00A628E4">
                          <w:rPr>
                            <w:rFonts w:ascii="Arial" w:hAnsi="Arial" w:cs="Times New Roman"/>
                            <w:sz w:val="19"/>
                            <w:szCs w:val="19"/>
                            <w:lang w:val="en-US"/>
                          </w:rPr>
                          <w:t xml:space="preserve">Over </w:t>
                        </w:r>
                        <w:r w:rsidRPr="00A628E4">
                          <w:rPr>
                            <w:rFonts w:ascii="Arial" w:hAnsi="Arial" w:cs="Times New Roman"/>
                            <w:b/>
                            <w:color w:val="69A400"/>
                            <w:sz w:val="20"/>
                          </w:rPr>
                          <w:t>65%</w:t>
                        </w:r>
                        <w:r w:rsidRPr="00A628E4">
                          <w:rPr>
                            <w:rFonts w:ascii="Arial" w:hAnsi="Arial" w:cs="Times New Roman"/>
                            <w:sz w:val="19"/>
                            <w:szCs w:val="19"/>
                            <w:lang w:val="en-US"/>
                          </w:rPr>
                          <w:t xml:space="preserve"> of survey respondents agreed or strongly agreed they had strategies to:</w:t>
                        </w:r>
                      </w:p>
                      <w:p w14:paraId="27A8A2D0" w14:textId="77777777" w:rsidR="00CC3219" w:rsidRPr="00A628E4" w:rsidRDefault="00CC3219">
                        <w:pPr>
                          <w:numPr>
                            <w:ilvl w:val="0"/>
                            <w:numId w:val="53"/>
                          </w:numPr>
                          <w:rPr>
                            <w:rFonts w:ascii="Arial" w:hAnsi="Arial" w:cs="Times New Roman"/>
                            <w:sz w:val="19"/>
                            <w:szCs w:val="19"/>
                          </w:rPr>
                        </w:pPr>
                        <w:r w:rsidRPr="00A628E4">
                          <w:rPr>
                            <w:rFonts w:ascii="Arial" w:hAnsi="Arial" w:cs="Times New Roman"/>
                            <w:sz w:val="19"/>
                            <w:szCs w:val="19"/>
                          </w:rPr>
                          <w:t>identify issues of personal and family safety (</w:t>
                        </w:r>
                        <w:r w:rsidRPr="00A628E4">
                          <w:rPr>
                            <w:rFonts w:ascii="Arial" w:hAnsi="Arial" w:cs="Times New Roman"/>
                            <w:b/>
                            <w:color w:val="69A400"/>
                            <w:sz w:val="20"/>
                          </w:rPr>
                          <w:t>67.3%</w:t>
                        </w:r>
                        <w:r w:rsidRPr="00A628E4">
                          <w:rPr>
                            <w:rFonts w:ascii="Arial" w:hAnsi="Arial" w:cs="Times New Roman"/>
                            <w:b/>
                            <w:sz w:val="19"/>
                            <w:szCs w:val="19"/>
                          </w:rPr>
                          <w:t>,</w:t>
                        </w:r>
                        <w:r w:rsidRPr="00A628E4">
                          <w:rPr>
                            <w:rFonts w:ascii="Arial" w:hAnsi="Arial" w:cs="Times New Roman"/>
                            <w:sz w:val="19"/>
                            <w:szCs w:val="19"/>
                          </w:rPr>
                          <w:t xml:space="preserve"> n=105)</w:t>
                        </w:r>
                      </w:p>
                      <w:p w14:paraId="0B7AC15C" w14:textId="0E182EBB" w:rsidR="00CC3219" w:rsidRPr="00A628E4" w:rsidRDefault="00CC3219">
                        <w:pPr>
                          <w:numPr>
                            <w:ilvl w:val="0"/>
                            <w:numId w:val="53"/>
                          </w:numPr>
                          <w:rPr>
                            <w:rFonts w:ascii="Arial" w:hAnsi="Arial" w:cs="Times New Roman"/>
                            <w:sz w:val="19"/>
                            <w:szCs w:val="19"/>
                            <w:lang w:val="en-US"/>
                          </w:rPr>
                        </w:pPr>
                        <w:r w:rsidRPr="00A628E4">
                          <w:rPr>
                            <w:rFonts w:ascii="Arial" w:hAnsi="Arial" w:cs="Times New Roman"/>
                            <w:sz w:val="19"/>
                            <w:szCs w:val="19"/>
                            <w:lang w:val="en-US"/>
                          </w:rPr>
                          <w:t>seek help for issues of personal and family safety (</w:t>
                        </w:r>
                        <w:r w:rsidRPr="00A628E4">
                          <w:rPr>
                            <w:rFonts w:ascii="Arial" w:hAnsi="Arial" w:cs="Times New Roman"/>
                            <w:b/>
                            <w:color w:val="69A400"/>
                            <w:sz w:val="20"/>
                          </w:rPr>
                          <w:t>73.1%</w:t>
                        </w:r>
                        <w:r w:rsidRPr="5745EC34">
                          <w:rPr>
                            <w:rFonts w:ascii="Arial" w:hAnsi="Arial" w:cs="Times New Roman"/>
                            <w:color w:val="EBECED" w:themeColor="accent4"/>
                            <w:sz w:val="19"/>
                            <w:szCs w:val="19"/>
                          </w:rPr>
                          <w:t>,</w:t>
                        </w:r>
                        <w:r w:rsidRPr="00A628E4">
                          <w:rPr>
                            <w:rFonts w:ascii="Arial" w:hAnsi="Arial" w:cs="Times New Roman"/>
                            <w:sz w:val="19"/>
                            <w:szCs w:val="19"/>
                            <w:lang w:val="en-US"/>
                          </w:rPr>
                          <w:t xml:space="preserve"> n=114)</w:t>
                        </w:r>
                        <w:r>
                          <w:rPr>
                            <w:rFonts w:ascii="Arial" w:hAnsi="Arial" w:cs="Times New Roman"/>
                            <w:sz w:val="19"/>
                            <w:szCs w:val="19"/>
                            <w:lang w:val="en-US"/>
                          </w:rPr>
                          <w:t>.</w:t>
                        </w:r>
                      </w:p>
                      <w:p w14:paraId="7F5897F2" w14:textId="77777777" w:rsidR="00CC3219" w:rsidRPr="00A628E4" w:rsidRDefault="00CC3219">
                        <w:pPr>
                          <w:rPr>
                            <w:rFonts w:ascii="Arial" w:hAnsi="Arial" w:cs="Times New Roman"/>
                            <w:sz w:val="19"/>
                            <w:szCs w:val="19"/>
                            <w:lang w:val="en-US"/>
                          </w:rPr>
                        </w:pPr>
                      </w:p>
                      <w:p w14:paraId="04CA2198" w14:textId="77777777" w:rsidR="00CC3219" w:rsidRPr="00A628E4" w:rsidRDefault="00CC3219">
                        <w:pPr>
                          <w:rPr>
                            <w:rFonts w:ascii="Arial" w:hAnsi="Arial" w:cs="Times New Roman"/>
                            <w:sz w:val="19"/>
                            <w:szCs w:val="19"/>
                            <w:lang w:val="en-US"/>
                          </w:rPr>
                        </w:pPr>
                      </w:p>
                    </w:tc>
                    <w:tc>
                      <w:tcPr>
                        <w:tcW w:w="1293" w:type="pct"/>
                        <w:tcBorders>
                          <w:bottom w:val="single" w:sz="4" w:space="0" w:color="BFBFBF" w:themeColor="text1" w:themeShade="BF"/>
                        </w:tcBorders>
                        <w:shd w:val="clear" w:color="auto" w:fill="F4FAF9"/>
                      </w:tcPr>
                      <w:p w14:paraId="59776F4D" w14:textId="77777777" w:rsidR="00CC3219" w:rsidRPr="004D6E95" w:rsidRDefault="00CC3219">
                        <w:pPr>
                          <w:spacing w:before="60" w:after="120"/>
                          <w:rPr>
                            <w:rFonts w:ascii="Arial" w:hAnsi="Arial" w:cs="Times New Roman"/>
                            <w:sz w:val="19"/>
                            <w:szCs w:val="19"/>
                            <w:lang w:val="en-US"/>
                          </w:rPr>
                        </w:pPr>
                        <w:r w:rsidRPr="004D6E95">
                          <w:rPr>
                            <w:rFonts w:ascii="Arial" w:hAnsi="Arial" w:cs="Times New Roman"/>
                            <w:sz w:val="19"/>
                            <w:szCs w:val="19"/>
                            <w:lang w:val="en-US"/>
                          </w:rPr>
                          <w:t xml:space="preserve">Counselling services supported FaRS service users to recognise that they were in abusive relationships. </w:t>
                        </w:r>
                      </w:p>
                      <w:p w14:paraId="55F5C7D2" w14:textId="77777777" w:rsidR="00CC3219" w:rsidRPr="004D6E95" w:rsidRDefault="00CC3219">
                        <w:pPr>
                          <w:spacing w:before="60" w:after="120"/>
                          <w:rPr>
                            <w:rFonts w:ascii="Arial" w:hAnsi="Arial" w:cs="Times New Roman"/>
                            <w:sz w:val="19"/>
                            <w:szCs w:val="19"/>
                            <w:lang w:val="en-US"/>
                          </w:rPr>
                        </w:pPr>
                        <w:r w:rsidRPr="004D6E95">
                          <w:rPr>
                            <w:rFonts w:ascii="Arial" w:hAnsi="Arial" w:cs="Times New Roman"/>
                            <w:sz w:val="19"/>
                            <w:szCs w:val="19"/>
                            <w:lang w:val="en-US"/>
                          </w:rPr>
                          <w:t>FaRS service users noted their service provider educated them about family violence and support</w:t>
                        </w:r>
                        <w:r>
                          <w:rPr>
                            <w:rFonts w:ascii="Arial" w:hAnsi="Arial" w:cs="Times New Roman"/>
                            <w:sz w:val="19"/>
                            <w:szCs w:val="19"/>
                            <w:lang w:val="en-US"/>
                          </w:rPr>
                          <w:t>ed</w:t>
                        </w:r>
                        <w:r w:rsidRPr="004D6E95">
                          <w:rPr>
                            <w:rFonts w:ascii="Arial" w:hAnsi="Arial" w:cs="Times New Roman"/>
                            <w:sz w:val="19"/>
                            <w:szCs w:val="19"/>
                            <w:lang w:val="en-US"/>
                          </w:rPr>
                          <w:t xml:space="preserve"> their own and their family’s safety.</w:t>
                        </w:r>
                      </w:p>
                      <w:p w14:paraId="50FF9DE0" w14:textId="77777777" w:rsidR="00CC3219" w:rsidRPr="00A628E4" w:rsidRDefault="00CC3219">
                        <w:pPr>
                          <w:spacing w:before="60" w:after="120"/>
                          <w:rPr>
                            <w:rFonts w:ascii="Arial" w:hAnsi="Arial" w:cs="Times New Roman"/>
                            <w:sz w:val="19"/>
                            <w:szCs w:val="19"/>
                            <w:lang w:val="en-US"/>
                          </w:rPr>
                        </w:pPr>
                        <w:r w:rsidRPr="00A628E4">
                          <w:rPr>
                            <w:rFonts w:ascii="Arial" w:hAnsi="Arial" w:cs="Times New Roman"/>
                            <w:sz w:val="19"/>
                            <w:szCs w:val="19"/>
                            <w:lang w:val="en-US"/>
                          </w:rPr>
                          <w:t xml:space="preserve">Service users reported increased knowledge and skills in parenting including understanding their children, their emotional needs, and their own emotional responses to their children. </w:t>
                        </w:r>
                      </w:p>
                      <w:p w14:paraId="79588B5D" w14:textId="77777777" w:rsidR="00CC3219" w:rsidRPr="00A628E4" w:rsidRDefault="00CC3219">
                        <w:pPr>
                          <w:spacing w:before="60" w:after="120"/>
                          <w:rPr>
                            <w:rFonts w:ascii="Arial" w:hAnsi="Arial" w:cs="Times New Roman"/>
                            <w:sz w:val="19"/>
                            <w:szCs w:val="19"/>
                            <w:lang w:val="en-US"/>
                          </w:rPr>
                        </w:pPr>
                        <w:r w:rsidRPr="00A628E4">
                          <w:rPr>
                            <w:rFonts w:ascii="Arial" w:hAnsi="Arial" w:cs="Times New Roman"/>
                            <w:sz w:val="19"/>
                            <w:szCs w:val="19"/>
                            <w:lang w:val="en-US"/>
                          </w:rPr>
                          <w:t>Service users reported learning techniques including effective communication skills, approaches to resolving conflict, and supported play.</w:t>
                        </w:r>
                      </w:p>
                      <w:p w14:paraId="54E76BB1" w14:textId="7251AC55" w:rsidR="00CC3219" w:rsidRPr="00A628E4" w:rsidRDefault="00CC3219">
                        <w:pPr>
                          <w:spacing w:before="60" w:after="120"/>
                          <w:rPr>
                            <w:rFonts w:ascii="Arial" w:hAnsi="Arial" w:cs="Times New Roman"/>
                            <w:sz w:val="19"/>
                            <w:szCs w:val="19"/>
                            <w:lang w:val="en-US"/>
                          </w:rPr>
                        </w:pPr>
                        <w:r w:rsidRPr="00A628E4">
                          <w:rPr>
                            <w:rFonts w:ascii="Arial" w:hAnsi="Arial" w:cs="Times New Roman"/>
                            <w:sz w:val="19"/>
                            <w:szCs w:val="19"/>
                            <w:lang w:val="en-US"/>
                          </w:rPr>
                          <w:t>Service users reported improved individual relationships between them and their children, increased confidence in parenting, and positive impacts in overall family dynamics.</w:t>
                        </w:r>
                      </w:p>
                    </w:tc>
                    <w:tc>
                      <w:tcPr>
                        <w:tcW w:w="964" w:type="pct"/>
                        <w:tcBorders>
                          <w:bottom w:val="single" w:sz="4" w:space="0" w:color="BFBFBF" w:themeColor="text1" w:themeShade="BF"/>
                        </w:tcBorders>
                        <w:shd w:val="clear" w:color="auto" w:fill="F4FAF9"/>
                      </w:tcPr>
                      <w:p w14:paraId="4D1B3759" w14:textId="77777777" w:rsidR="00CC3219" w:rsidRDefault="00CC3219">
                        <w:pPr>
                          <w:rPr>
                            <w:rFonts w:ascii="Arial" w:hAnsi="Arial" w:cs="Times New Roman"/>
                            <w:sz w:val="19"/>
                            <w:szCs w:val="19"/>
                          </w:rPr>
                        </w:pPr>
                      </w:p>
                      <w:p w14:paraId="28272734" w14:textId="424D206E" w:rsidR="00CC3219" w:rsidRPr="00A628E4" w:rsidRDefault="00CC3219">
                        <w:pPr>
                          <w:rPr>
                            <w:rFonts w:ascii="Arial" w:hAnsi="Arial" w:cs="Times New Roman"/>
                            <w:sz w:val="19"/>
                            <w:szCs w:val="19"/>
                          </w:rPr>
                        </w:pPr>
                        <w:r>
                          <w:rPr>
                            <w:rFonts w:ascii="Arial" w:hAnsi="Arial" w:cs="Times New Roman"/>
                            <w:sz w:val="19"/>
                            <w:szCs w:val="19"/>
                          </w:rPr>
                          <w:t>Service providers emphasised the importance of providing wraparound support to service users with complex needs to ensure they were safe, stable, and able to make the most of FaRS to achieve lasting change.</w:t>
                        </w:r>
                      </w:p>
                    </w:tc>
                  </w:tr>
                  <w:tr w:rsidR="00CC3219" w:rsidRPr="00A628E4" w14:paraId="5E179606" w14:textId="77777777" w:rsidTr="00D63E8D">
                    <w:trPr>
                      <w:cantSplit/>
                    </w:trPr>
                    <w:tc>
                      <w:tcPr>
                        <w:tcW w:w="1047" w:type="pct"/>
                        <w:tcBorders>
                          <w:top w:val="single" w:sz="4" w:space="0" w:color="BFBFBF" w:themeColor="text1" w:themeShade="BF"/>
                        </w:tcBorders>
                        <w:shd w:val="clear" w:color="auto" w:fill="C7E7E5"/>
                      </w:tcPr>
                      <w:p w14:paraId="04B50238" w14:textId="77777777" w:rsidR="00CC3219" w:rsidRDefault="00CC3219">
                        <w:pPr>
                          <w:spacing w:before="60"/>
                          <w:rPr>
                            <w:rFonts w:ascii="Arial" w:hAnsi="Arial" w:cs="Times New Roman"/>
                            <w:sz w:val="19"/>
                            <w:szCs w:val="19"/>
                          </w:rPr>
                        </w:pPr>
                        <w:r>
                          <w:rPr>
                            <w:rFonts w:ascii="Arial" w:hAnsi="Arial" w:cs="Times New Roman"/>
                            <w:sz w:val="19"/>
                            <w:szCs w:val="19"/>
                          </w:rPr>
                          <w:lastRenderedPageBreak/>
                          <w:t>When experiencing family breakdown of dysfunction f</w:t>
                        </w:r>
                        <w:r w:rsidRPr="00BA494C">
                          <w:rPr>
                            <w:rFonts w:ascii="Arial" w:hAnsi="Arial" w:cs="Times New Roman"/>
                            <w:sz w:val="19"/>
                            <w:szCs w:val="19"/>
                          </w:rPr>
                          <w:t>amilies and children use effective strategies to</w:t>
                        </w:r>
                        <w:r>
                          <w:rPr>
                            <w:rFonts w:ascii="Arial" w:hAnsi="Arial" w:cs="Times New Roman"/>
                            <w:sz w:val="19"/>
                            <w:szCs w:val="19"/>
                          </w:rPr>
                          <w:t xml:space="preserve"> improve their:</w:t>
                        </w:r>
                      </w:p>
                      <w:p w14:paraId="2F22D8B7" w14:textId="77777777" w:rsidR="00CC3219" w:rsidRDefault="00CC3219">
                        <w:pPr>
                          <w:numPr>
                            <w:ilvl w:val="0"/>
                            <w:numId w:val="54"/>
                          </w:numPr>
                          <w:spacing w:before="40" w:after="40"/>
                          <w:ind w:left="357" w:hanging="357"/>
                          <w:rPr>
                            <w:rFonts w:ascii="Arial" w:hAnsi="Arial" w:cs="Times New Roman"/>
                            <w:sz w:val="19"/>
                            <w:szCs w:val="19"/>
                          </w:rPr>
                        </w:pPr>
                        <w:r w:rsidRPr="003A379A">
                          <w:rPr>
                            <w:rFonts w:ascii="Arial" w:hAnsi="Arial" w:cs="Times New Roman"/>
                            <w:sz w:val="19"/>
                            <w:szCs w:val="19"/>
                          </w:rPr>
                          <w:t>mental health</w:t>
                        </w:r>
                      </w:p>
                      <w:p w14:paraId="66E0B68F" w14:textId="77777777" w:rsidR="00CC3219" w:rsidRDefault="00CC3219">
                        <w:pPr>
                          <w:numPr>
                            <w:ilvl w:val="0"/>
                            <w:numId w:val="54"/>
                          </w:numPr>
                          <w:spacing w:before="40" w:after="40"/>
                          <w:ind w:left="357" w:hanging="357"/>
                          <w:rPr>
                            <w:rFonts w:ascii="Arial" w:hAnsi="Arial" w:cs="Times New Roman"/>
                            <w:sz w:val="19"/>
                            <w:szCs w:val="19"/>
                          </w:rPr>
                        </w:pPr>
                        <w:r>
                          <w:rPr>
                            <w:rFonts w:ascii="Arial" w:hAnsi="Arial" w:cs="Times New Roman"/>
                            <w:sz w:val="19"/>
                            <w:szCs w:val="19"/>
                          </w:rPr>
                          <w:t xml:space="preserve">wellbeing </w:t>
                        </w:r>
                      </w:p>
                      <w:p w14:paraId="55C870D7" w14:textId="77777777" w:rsidR="00CC3219" w:rsidRPr="00796287" w:rsidRDefault="00CC3219">
                        <w:pPr>
                          <w:numPr>
                            <w:ilvl w:val="0"/>
                            <w:numId w:val="54"/>
                          </w:numPr>
                          <w:spacing w:before="40" w:after="40"/>
                          <w:ind w:left="357" w:hanging="357"/>
                          <w:rPr>
                            <w:rFonts w:ascii="Arial" w:hAnsi="Arial" w:cs="Times New Roman"/>
                            <w:sz w:val="19"/>
                            <w:szCs w:val="19"/>
                          </w:rPr>
                        </w:pPr>
                        <w:r>
                          <w:rPr>
                            <w:rFonts w:ascii="Arial" w:hAnsi="Arial" w:cs="Times New Roman"/>
                            <w:sz w:val="19"/>
                            <w:szCs w:val="19"/>
                          </w:rPr>
                          <w:t xml:space="preserve">resilience </w:t>
                        </w:r>
                      </w:p>
                      <w:p w14:paraId="059DC505" w14:textId="77777777" w:rsidR="00CC3219" w:rsidRPr="00A628E4" w:rsidRDefault="00CC3219">
                        <w:pPr>
                          <w:spacing w:before="60"/>
                          <w:rPr>
                            <w:rFonts w:ascii="Arial" w:hAnsi="Arial" w:cs="Times New Roman"/>
                            <w:i/>
                            <w:sz w:val="19"/>
                            <w:szCs w:val="19"/>
                            <w:lang w:val="en-US"/>
                          </w:rPr>
                        </w:pPr>
                      </w:p>
                    </w:tc>
                    <w:tc>
                      <w:tcPr>
                        <w:tcW w:w="832" w:type="pct"/>
                        <w:tcBorders>
                          <w:top w:val="single" w:sz="4" w:space="0" w:color="BFBFBF" w:themeColor="text1" w:themeShade="BF"/>
                        </w:tcBorders>
                        <w:shd w:val="clear" w:color="auto" w:fill="F4FAF9"/>
                      </w:tcPr>
                      <w:p w14:paraId="280BEE95" w14:textId="77777777" w:rsidR="00682BA2" w:rsidRDefault="00682BA2" w:rsidP="005B5432">
                        <w:pPr>
                          <w:spacing w:after="120"/>
                          <w:rPr>
                            <w:rFonts w:ascii="Arial" w:hAnsi="Arial" w:cs="Times New Roman"/>
                            <w:sz w:val="19"/>
                            <w:szCs w:val="19"/>
                          </w:rPr>
                        </w:pPr>
                      </w:p>
                      <w:p w14:paraId="151A23FE" w14:textId="2766A670" w:rsidR="00FD0464" w:rsidRPr="00D63E8D" w:rsidRDefault="00FD0464" w:rsidP="005B5432">
                        <w:pPr>
                          <w:spacing w:after="120"/>
                          <w:rPr>
                            <w:rFonts w:ascii="Arial" w:hAnsi="Arial" w:cs="Times New Roman"/>
                            <w:sz w:val="19"/>
                            <w:szCs w:val="19"/>
                          </w:rPr>
                        </w:pPr>
                        <w:r w:rsidRPr="00D63E8D">
                          <w:rPr>
                            <w:rFonts w:ascii="Arial" w:hAnsi="Arial" w:cs="Times New Roman"/>
                            <w:sz w:val="19"/>
                            <w:szCs w:val="19"/>
                          </w:rPr>
                          <w:t>Families and children experience a:</w:t>
                        </w:r>
                      </w:p>
                      <w:p w14:paraId="4DB67366" w14:textId="2BADA5B9" w:rsidR="005B5432" w:rsidRDefault="008939C8" w:rsidP="005B5432">
                        <w:pPr>
                          <w:spacing w:after="120"/>
                          <w:rPr>
                            <w:rFonts w:ascii="Arial" w:hAnsi="Arial" w:cs="Times New Roman"/>
                            <w:sz w:val="19"/>
                            <w:szCs w:val="19"/>
                            <w:lang w:val="en-US"/>
                          </w:rPr>
                        </w:pPr>
                        <w:r w:rsidRPr="00A628E4">
                          <w:rPr>
                            <w:rFonts w:ascii="Arial" w:hAnsi="Arial" w:cs="Times New Roman"/>
                            <w:b/>
                            <w:bCs/>
                            <w:color w:val="007E00"/>
                            <w:sz w:val="20"/>
                          </w:rPr>
                          <w:t>0.8</w:t>
                        </w:r>
                        <w:r w:rsidRPr="00A628E4">
                          <w:rPr>
                            <w:rFonts w:ascii="Arial" w:hAnsi="Arial" w:cs="Times New Roman"/>
                            <w:sz w:val="19"/>
                            <w:szCs w:val="19"/>
                            <w:lang w:val="en-US"/>
                          </w:rPr>
                          <w:t xml:space="preserve"> </w:t>
                        </w:r>
                        <w:r>
                          <w:rPr>
                            <w:rFonts w:ascii="Arial" w:hAnsi="Arial" w:cs="Times New Roman"/>
                            <w:sz w:val="19"/>
                            <w:szCs w:val="19"/>
                            <w:lang w:val="en-US"/>
                          </w:rPr>
                          <w:t xml:space="preserve">increase in mean </w:t>
                        </w:r>
                        <w:r w:rsidR="006F663A" w:rsidRPr="006F663A">
                          <w:rPr>
                            <w:rFonts w:ascii="Arial" w:hAnsi="Arial" w:cs="Times New Roman"/>
                            <w:sz w:val="19"/>
                            <w:szCs w:val="19"/>
                            <w:lang w:val="en-US"/>
                          </w:rPr>
                          <w:t>SCORE</w:t>
                        </w:r>
                        <w:r>
                          <w:rPr>
                            <w:rFonts w:ascii="Arial" w:hAnsi="Arial" w:cs="Times New Roman"/>
                            <w:sz w:val="19"/>
                            <w:szCs w:val="19"/>
                            <w:lang w:val="en-US"/>
                          </w:rPr>
                          <w:t xml:space="preserve"> for Circumstance:</w:t>
                        </w:r>
                        <w:r w:rsidRPr="00A628E4">
                          <w:rPr>
                            <w:rFonts w:ascii="Arial" w:hAnsi="Arial" w:cs="Times New Roman"/>
                            <w:sz w:val="19"/>
                            <w:szCs w:val="19"/>
                            <w:lang w:val="en-US"/>
                          </w:rPr>
                          <w:t xml:space="preserve"> </w:t>
                        </w:r>
                        <w:r>
                          <w:rPr>
                            <w:rFonts w:ascii="Arial" w:hAnsi="Arial" w:cs="Times New Roman"/>
                            <w:sz w:val="19"/>
                            <w:szCs w:val="19"/>
                            <w:lang w:val="en-US"/>
                          </w:rPr>
                          <w:t xml:space="preserve">Mental health, wellbeing, and self-care. </w:t>
                        </w:r>
                      </w:p>
                      <w:p w14:paraId="5659CE58" w14:textId="1EF88C75" w:rsidR="00CC3219" w:rsidRPr="005B5432" w:rsidRDefault="00CC3219" w:rsidP="005B5432">
                        <w:pPr>
                          <w:spacing w:after="120"/>
                          <w:rPr>
                            <w:rFonts w:ascii="Arial" w:hAnsi="Arial" w:cs="Times New Roman"/>
                            <w:sz w:val="19"/>
                            <w:szCs w:val="19"/>
                            <w:lang w:val="en-US"/>
                          </w:rPr>
                        </w:pPr>
                        <w:r w:rsidRPr="001317A4">
                          <w:rPr>
                            <w:rFonts w:ascii="Arial" w:hAnsi="Arial" w:cs="Times New Roman"/>
                            <w:b/>
                            <w:color w:val="007E00" w:themeColor="accent3"/>
                            <w:sz w:val="20"/>
                            <w:lang w:val="en-US"/>
                          </w:rPr>
                          <w:t>1.1</w:t>
                        </w:r>
                        <w:r>
                          <w:rPr>
                            <w:rFonts w:ascii="Arial" w:hAnsi="Arial" w:cs="Times New Roman"/>
                            <w:bCs/>
                            <w:sz w:val="19"/>
                            <w:szCs w:val="19"/>
                            <w:lang w:val="en-US"/>
                          </w:rPr>
                          <w:t xml:space="preserve"> increase in the </w:t>
                        </w:r>
                        <w:r w:rsidR="00F12602">
                          <w:rPr>
                            <w:rFonts w:ascii="Arial" w:hAnsi="Arial" w:cs="Times New Roman"/>
                            <w:bCs/>
                            <w:sz w:val="19"/>
                            <w:szCs w:val="19"/>
                            <w:lang w:val="en-US"/>
                          </w:rPr>
                          <w:t xml:space="preserve">mean </w:t>
                        </w:r>
                        <w:r w:rsidR="006F663A" w:rsidRPr="006F663A">
                          <w:rPr>
                            <w:rFonts w:ascii="Arial" w:hAnsi="Arial" w:cs="Times New Roman"/>
                            <w:bCs/>
                            <w:sz w:val="19"/>
                            <w:szCs w:val="19"/>
                            <w:lang w:val="en-US"/>
                          </w:rPr>
                          <w:t>SCORE</w:t>
                        </w:r>
                        <w:r w:rsidR="00F12602">
                          <w:rPr>
                            <w:rFonts w:ascii="Arial" w:hAnsi="Arial" w:cs="Times New Roman"/>
                            <w:bCs/>
                            <w:sz w:val="19"/>
                            <w:szCs w:val="19"/>
                            <w:lang w:val="en-US"/>
                          </w:rPr>
                          <w:t xml:space="preserve"> for Goal: </w:t>
                        </w:r>
                        <w:r w:rsidR="0055356A">
                          <w:rPr>
                            <w:rFonts w:ascii="Arial" w:hAnsi="Arial" w:cs="Times New Roman"/>
                            <w:bCs/>
                            <w:sz w:val="19"/>
                            <w:szCs w:val="19"/>
                            <w:lang w:val="en-US"/>
                          </w:rPr>
                          <w:t>Changed impact of immediate crisis</w:t>
                        </w:r>
                        <w:r w:rsidR="007A317D">
                          <w:rPr>
                            <w:rFonts w:ascii="Arial" w:hAnsi="Arial" w:cs="Times New Roman"/>
                            <w:bCs/>
                            <w:sz w:val="19"/>
                            <w:szCs w:val="19"/>
                            <w:lang w:val="en-US"/>
                          </w:rPr>
                          <w:t>.</w:t>
                        </w:r>
                      </w:p>
                    </w:tc>
                    <w:tc>
                      <w:tcPr>
                        <w:tcW w:w="864" w:type="pct"/>
                        <w:tcBorders>
                          <w:top w:val="single" w:sz="4" w:space="0" w:color="BFBFBF" w:themeColor="text1" w:themeShade="BF"/>
                        </w:tcBorders>
                        <w:shd w:val="clear" w:color="auto" w:fill="F4FAF9"/>
                      </w:tcPr>
                      <w:p w14:paraId="4E4DF756" w14:textId="77777777" w:rsidR="00CC3219" w:rsidRPr="00A628E4" w:rsidRDefault="00CC3219">
                        <w:pPr>
                          <w:spacing w:before="120"/>
                          <w:rPr>
                            <w:rFonts w:ascii="Arial" w:hAnsi="Arial" w:cs="Times New Roman"/>
                            <w:sz w:val="19"/>
                            <w:szCs w:val="19"/>
                          </w:rPr>
                        </w:pPr>
                        <w:r w:rsidRPr="00A628E4">
                          <w:rPr>
                            <w:rFonts w:ascii="Arial" w:hAnsi="Arial" w:cs="Times New Roman"/>
                            <w:b/>
                            <w:color w:val="69A400"/>
                            <w:sz w:val="20"/>
                          </w:rPr>
                          <w:t>64.4%</w:t>
                        </w:r>
                        <w:r w:rsidRPr="00A628E4">
                          <w:rPr>
                            <w:rFonts w:ascii="Arial" w:hAnsi="Arial" w:cs="Times New Roman"/>
                            <w:sz w:val="19"/>
                            <w:szCs w:val="19"/>
                          </w:rPr>
                          <w:t xml:space="preserve"> (n=125) </w:t>
                        </w:r>
                        <w:r>
                          <w:rPr>
                            <w:rFonts w:ascii="Arial" w:hAnsi="Arial" w:cs="Times New Roman"/>
                            <w:sz w:val="19"/>
                            <w:szCs w:val="19"/>
                          </w:rPr>
                          <w:t xml:space="preserve">of survey respondents </w:t>
                        </w:r>
                        <w:r w:rsidRPr="00A628E4">
                          <w:rPr>
                            <w:rFonts w:ascii="Arial" w:hAnsi="Arial" w:cs="Times New Roman"/>
                            <w:sz w:val="19"/>
                            <w:szCs w:val="19"/>
                          </w:rPr>
                          <w:t>said they have completely or mostly been able to maintain strategies learned during sessions with the service.</w:t>
                        </w:r>
                      </w:p>
                      <w:p w14:paraId="20168845" w14:textId="77777777" w:rsidR="00CC3219" w:rsidRPr="00A628E4" w:rsidRDefault="00CC3219">
                        <w:pPr>
                          <w:rPr>
                            <w:rFonts w:ascii="Arial" w:hAnsi="Arial" w:cs="Times New Roman"/>
                            <w:sz w:val="19"/>
                            <w:szCs w:val="19"/>
                          </w:rPr>
                        </w:pPr>
                      </w:p>
                    </w:tc>
                    <w:tc>
                      <w:tcPr>
                        <w:tcW w:w="1293" w:type="pct"/>
                        <w:tcBorders>
                          <w:top w:val="single" w:sz="4" w:space="0" w:color="BFBFBF" w:themeColor="text1" w:themeShade="BF"/>
                        </w:tcBorders>
                        <w:shd w:val="clear" w:color="auto" w:fill="F4FAF9"/>
                      </w:tcPr>
                      <w:p w14:paraId="1B76735E" w14:textId="60B3636C" w:rsidR="00CC3219" w:rsidRDefault="00CC3219">
                        <w:pPr>
                          <w:spacing w:before="120"/>
                          <w:rPr>
                            <w:rFonts w:ascii="Arial" w:hAnsi="Arial" w:cs="Times New Roman"/>
                            <w:sz w:val="19"/>
                            <w:szCs w:val="19"/>
                          </w:rPr>
                        </w:pPr>
                        <w:r>
                          <w:rPr>
                            <w:rFonts w:ascii="Arial" w:hAnsi="Arial" w:cs="Times New Roman"/>
                            <w:sz w:val="19"/>
                            <w:szCs w:val="19"/>
                          </w:rPr>
                          <w:t xml:space="preserve">Service users commented positively on accessing counselling for support during acute mental health </w:t>
                        </w:r>
                        <w:r w:rsidR="00553873">
                          <w:rPr>
                            <w:rFonts w:ascii="Arial" w:hAnsi="Arial" w:cs="Times New Roman"/>
                            <w:sz w:val="19"/>
                            <w:szCs w:val="19"/>
                          </w:rPr>
                          <w:t>crises and</w:t>
                        </w:r>
                        <w:r>
                          <w:rPr>
                            <w:rFonts w:ascii="Arial" w:hAnsi="Arial" w:cs="Times New Roman"/>
                            <w:sz w:val="19"/>
                            <w:szCs w:val="19"/>
                          </w:rPr>
                          <w:t xml:space="preserve"> learning and applying strategies to benefit their mental health and their relationships.</w:t>
                        </w:r>
                      </w:p>
                      <w:p w14:paraId="2A34AEBF" w14:textId="77777777" w:rsidR="00CC3219" w:rsidRDefault="00CC3219">
                        <w:pPr>
                          <w:rPr>
                            <w:rFonts w:ascii="Arial" w:hAnsi="Arial" w:cs="Times New Roman"/>
                            <w:sz w:val="19"/>
                            <w:szCs w:val="19"/>
                          </w:rPr>
                        </w:pPr>
                      </w:p>
                      <w:p w14:paraId="4220A7CF" w14:textId="77777777" w:rsidR="00CC3219" w:rsidRDefault="00CC3219">
                        <w:pPr>
                          <w:rPr>
                            <w:rFonts w:ascii="Arial" w:hAnsi="Arial" w:cs="Times New Roman"/>
                            <w:sz w:val="19"/>
                            <w:szCs w:val="19"/>
                          </w:rPr>
                        </w:pPr>
                        <w:r>
                          <w:rPr>
                            <w:rFonts w:ascii="Arial" w:hAnsi="Arial" w:cs="Times New Roman"/>
                            <w:sz w:val="19"/>
                            <w:szCs w:val="19"/>
                          </w:rPr>
                          <w:t>Service users reported their provider supported them to better understand themselves and use effective strategies including emotional regulation skills to assist them in their everyday lives.</w:t>
                        </w:r>
                      </w:p>
                      <w:p w14:paraId="79D2828B" w14:textId="77777777" w:rsidR="00CC3219" w:rsidRDefault="00CC3219">
                        <w:pPr>
                          <w:rPr>
                            <w:rFonts w:ascii="Arial" w:hAnsi="Arial" w:cs="Times New Roman"/>
                            <w:sz w:val="19"/>
                            <w:szCs w:val="19"/>
                          </w:rPr>
                        </w:pPr>
                      </w:p>
                      <w:p w14:paraId="1BE7003D" w14:textId="77777777" w:rsidR="00CC3219" w:rsidRDefault="00CC3219">
                        <w:pPr>
                          <w:rPr>
                            <w:rFonts w:ascii="Arial" w:hAnsi="Arial" w:cs="Times New Roman"/>
                            <w:sz w:val="19"/>
                            <w:szCs w:val="19"/>
                          </w:rPr>
                        </w:pPr>
                      </w:p>
                      <w:p w14:paraId="0800F3D0" w14:textId="77777777" w:rsidR="00CC3219" w:rsidRDefault="00CC3219">
                        <w:pPr>
                          <w:rPr>
                            <w:rFonts w:ascii="Arial" w:hAnsi="Arial" w:cs="Times New Roman"/>
                            <w:sz w:val="19"/>
                            <w:szCs w:val="19"/>
                          </w:rPr>
                        </w:pPr>
                      </w:p>
                      <w:p w14:paraId="27962943" w14:textId="77777777" w:rsidR="00CC3219" w:rsidRPr="00A628E4" w:rsidRDefault="00CC3219">
                        <w:pPr>
                          <w:rPr>
                            <w:rFonts w:ascii="Arial" w:hAnsi="Arial" w:cs="Times New Roman"/>
                            <w:sz w:val="19"/>
                            <w:szCs w:val="19"/>
                          </w:rPr>
                        </w:pPr>
                        <w:r>
                          <w:rPr>
                            <w:rFonts w:ascii="Arial" w:hAnsi="Arial" w:cs="Times New Roman"/>
                            <w:sz w:val="19"/>
                            <w:szCs w:val="19"/>
                          </w:rPr>
                          <w:t xml:space="preserve"> </w:t>
                        </w:r>
                      </w:p>
                    </w:tc>
                    <w:tc>
                      <w:tcPr>
                        <w:tcW w:w="964" w:type="pct"/>
                        <w:tcBorders>
                          <w:top w:val="single" w:sz="4" w:space="0" w:color="BFBFBF" w:themeColor="text1" w:themeShade="BF"/>
                        </w:tcBorders>
                        <w:shd w:val="clear" w:color="auto" w:fill="F4FAF9"/>
                      </w:tcPr>
                      <w:p w14:paraId="7C5A50B6" w14:textId="77777777" w:rsidR="00682BA2" w:rsidRDefault="00682BA2">
                        <w:pPr>
                          <w:rPr>
                            <w:rFonts w:ascii="Arial" w:hAnsi="Arial" w:cs="Times New Roman"/>
                            <w:sz w:val="19"/>
                            <w:szCs w:val="19"/>
                          </w:rPr>
                        </w:pPr>
                      </w:p>
                      <w:p w14:paraId="46B9B9BE" w14:textId="0BB5442F" w:rsidR="00CC3219" w:rsidRPr="00A628E4" w:rsidRDefault="00CC3219">
                        <w:pPr>
                          <w:rPr>
                            <w:rFonts w:ascii="Arial" w:hAnsi="Arial" w:cs="Times New Roman"/>
                            <w:sz w:val="19"/>
                            <w:szCs w:val="19"/>
                          </w:rPr>
                        </w:pPr>
                        <w:r>
                          <w:rPr>
                            <w:rFonts w:ascii="Arial" w:hAnsi="Arial" w:cs="Times New Roman"/>
                            <w:sz w:val="19"/>
                            <w:szCs w:val="19"/>
                          </w:rPr>
                          <w:t xml:space="preserve">Service providers described how the flexibility of the FaRS model allows them to adjust both program and individual service provision to meet identified needs and achieve better, lasting outcomes. </w:t>
                        </w:r>
                      </w:p>
                    </w:tc>
                  </w:tr>
                </w:tbl>
                <w:p w14:paraId="46EB5858" w14:textId="77777777" w:rsidR="00CC3219" w:rsidRDefault="00CC3219" w:rsidP="00CC3219">
                  <w:pPr>
                    <w:sectPr w:rsidR="00CC3219" w:rsidSect="00D63E8D">
                      <w:footerReference w:type="default" r:id="rId65"/>
                      <w:pgSz w:w="16834" w:h="11909" w:orient="landscape" w:code="9"/>
                      <w:pgMar w:top="1440" w:right="1440" w:bottom="1440" w:left="1440" w:header="720" w:footer="720" w:gutter="0"/>
                      <w:cols w:space="720"/>
                      <w:docGrid w:linePitch="360"/>
                    </w:sectPr>
                  </w:pPr>
                </w:p>
                <w:p w14:paraId="6CC9FD7F" w14:textId="07A4F752" w:rsidR="00F165E8" w:rsidRDefault="00BD1BA5" w:rsidP="009C2775">
                  <w:pPr>
                    <w:pStyle w:val="Heading3"/>
                  </w:pPr>
                  <w:bookmarkStart w:id="407" w:name="_Ref208397396"/>
                  <w:r>
                    <w:lastRenderedPageBreak/>
                    <w:t xml:space="preserve">Achievement of outcomes </w:t>
                  </w:r>
                  <w:r w:rsidR="00513552">
                    <w:t>for</w:t>
                  </w:r>
                  <w:r>
                    <w:t xml:space="preserve"> SFVS</w:t>
                  </w:r>
                  <w:bookmarkEnd w:id="407"/>
                </w:p>
                <w:p w14:paraId="6320B767" w14:textId="77777777" w:rsidR="005D32F9" w:rsidRDefault="00F165E8" w:rsidP="00F165E8">
                  <w:pPr>
                    <w:pStyle w:val="Text"/>
                  </w:pPr>
                  <w:r w:rsidRPr="00F165E8">
                    <w:t xml:space="preserve">The following section details findings related to the achievement of short- and medium-term outcomes for </w:t>
                  </w:r>
                  <w:r>
                    <w:t>SFV</w:t>
                  </w:r>
                  <w:r w:rsidR="001E4C82">
                    <w:t>S</w:t>
                  </w:r>
                  <w:r w:rsidRPr="00F165E8">
                    <w:t xml:space="preserve">. </w:t>
                  </w:r>
                </w:p>
                <w:p w14:paraId="0309E5C0" w14:textId="1D90328A" w:rsidR="00CD0A11" w:rsidRDefault="00F165E8" w:rsidP="00953B9E">
                  <w:pPr>
                    <w:pStyle w:val="Text"/>
                    <w:rPr>
                      <w:lang w:val="en-US"/>
                    </w:rPr>
                  </w:pPr>
                  <w:r w:rsidRPr="00F165E8">
                    <w:t xml:space="preserve">Overall, </w:t>
                  </w:r>
                  <w:r>
                    <w:t>SFVS</w:t>
                  </w:r>
                  <w:r w:rsidRPr="00F165E8">
                    <w:t xml:space="preserve"> had a positive impact on </w:t>
                  </w:r>
                  <w:r w:rsidR="003928EF">
                    <w:t>victim survivors</w:t>
                  </w:r>
                  <w:r w:rsidRPr="00F165E8">
                    <w:t xml:space="preserve">, and </w:t>
                  </w:r>
                  <w:r w:rsidR="0031553A">
                    <w:t xml:space="preserve">is showing positive progress </w:t>
                  </w:r>
                  <w:r w:rsidRPr="00F165E8">
                    <w:t>towards achieving short- and medium-term outcomes</w:t>
                  </w:r>
                  <w:r w:rsidR="0031553A">
                    <w:t xml:space="preserve">. DEX data indicates that </w:t>
                  </w:r>
                  <w:r w:rsidR="0031553A">
                    <w:rPr>
                      <w:lang w:val="en-US"/>
                    </w:rPr>
                    <w:t>a</w:t>
                  </w:r>
                  <w:r w:rsidR="0031553A" w:rsidRPr="00BF5122">
                    <w:rPr>
                      <w:lang w:val="en-US"/>
                    </w:rPr>
                    <w:t xml:space="preserve">lmost two-thirds of SFVS </w:t>
                  </w:r>
                  <w:r w:rsidR="00E614D3">
                    <w:rPr>
                      <w:lang w:val="en-US"/>
                    </w:rPr>
                    <w:t xml:space="preserve">service </w:t>
                  </w:r>
                  <w:r w:rsidR="000B0940">
                    <w:rPr>
                      <w:lang w:val="en-US"/>
                    </w:rPr>
                    <w:t>users</w:t>
                  </w:r>
                  <w:r w:rsidR="0031553A" w:rsidRPr="00BF5122">
                    <w:rPr>
                      <w:lang w:val="en-US"/>
                    </w:rPr>
                    <w:t xml:space="preserve"> improved their </w:t>
                  </w:r>
                  <w:r w:rsidR="006255E8">
                    <w:rPr>
                      <w:lang w:val="en-US"/>
                    </w:rPr>
                    <w:t>c</w:t>
                  </w:r>
                  <w:r w:rsidR="006255E8" w:rsidRPr="00BF5122">
                    <w:rPr>
                      <w:lang w:val="en-US"/>
                    </w:rPr>
                    <w:t xml:space="preserve">ircumstances </w:t>
                  </w:r>
                  <w:r w:rsidR="0031553A" w:rsidRPr="00BF5122">
                    <w:rPr>
                      <w:lang w:val="en-US"/>
                    </w:rPr>
                    <w:t xml:space="preserve">related </w:t>
                  </w:r>
                  <w:r w:rsidR="00353214">
                    <w:rPr>
                      <w:lang w:val="en-US"/>
                    </w:rPr>
                    <w:t xml:space="preserve">to </w:t>
                  </w:r>
                  <w:r w:rsidR="006255E8">
                    <w:rPr>
                      <w:lang w:val="en-US"/>
                    </w:rPr>
                    <w:t>family functioning; mental health and wellbeing and self-care; and personal and family safety</w:t>
                  </w:r>
                  <w:r w:rsidR="0031553A" w:rsidRPr="00BF5122">
                    <w:rPr>
                      <w:lang w:val="en-US"/>
                    </w:rPr>
                    <w:t xml:space="preserve">. Average </w:t>
                  </w:r>
                  <w:r w:rsidR="00AC1188">
                    <w:rPr>
                      <w:lang w:val="en-US"/>
                    </w:rPr>
                    <w:t>C</w:t>
                  </w:r>
                  <w:r w:rsidR="0031553A" w:rsidRPr="00BF5122">
                    <w:rPr>
                      <w:lang w:val="en-US"/>
                    </w:rPr>
                    <w:t xml:space="preserve">ircumstance </w:t>
                  </w:r>
                  <w:r w:rsidR="00AC1188">
                    <w:rPr>
                      <w:lang w:val="en-US"/>
                    </w:rPr>
                    <w:t>SCORE</w:t>
                  </w:r>
                  <w:r w:rsidR="002A29BD">
                    <w:rPr>
                      <w:lang w:val="en-US"/>
                    </w:rPr>
                    <w:t>s</w:t>
                  </w:r>
                  <w:r w:rsidR="0031553A" w:rsidRPr="00BF5122">
                    <w:rPr>
                      <w:lang w:val="en-US"/>
                    </w:rPr>
                    <w:t xml:space="preserve"> (e.g. feeling of safety, stability) increased by approximately +0.80-+0.84 points on the 5-point scale from earliest to latest </w:t>
                  </w:r>
                  <w:r w:rsidR="00AC1188">
                    <w:rPr>
                      <w:lang w:val="en-US"/>
                    </w:rPr>
                    <w:t>SCORE</w:t>
                  </w:r>
                  <w:r w:rsidR="0031553A" w:rsidRPr="00BF5122">
                    <w:rPr>
                      <w:lang w:val="en-US"/>
                    </w:rPr>
                    <w:t xml:space="preserve">, higher than FaRS. </w:t>
                  </w:r>
                  <w:r w:rsidR="005D32F9" w:rsidRPr="00BF5122">
                    <w:rPr>
                      <w:lang w:val="en-US"/>
                    </w:rPr>
                    <w:t xml:space="preserve">The average </w:t>
                  </w:r>
                  <w:r w:rsidR="007B0861">
                    <w:rPr>
                      <w:lang w:val="en-US"/>
                    </w:rPr>
                    <w:t>G</w:t>
                  </w:r>
                  <w:r w:rsidR="005D32F9" w:rsidRPr="00BF5122">
                    <w:rPr>
                      <w:lang w:val="en-US"/>
                    </w:rPr>
                    <w:t xml:space="preserve">oal </w:t>
                  </w:r>
                  <w:r w:rsidR="007B0861">
                    <w:rPr>
                      <w:lang w:val="en-US"/>
                    </w:rPr>
                    <w:t>SCORE</w:t>
                  </w:r>
                  <w:r w:rsidR="005D32F9" w:rsidRPr="00BF5122">
                    <w:rPr>
                      <w:lang w:val="en-US"/>
                    </w:rPr>
                    <w:t xml:space="preserve"> change was +0.81-+0.99</w:t>
                  </w:r>
                  <w:r w:rsidR="00ED2A97">
                    <w:rPr>
                      <w:lang w:val="en-US"/>
                    </w:rPr>
                    <w:t xml:space="preserve"> (see </w:t>
                  </w:r>
                  <w:r w:rsidR="00ED2A97" w:rsidRPr="00986254">
                    <w:rPr>
                      <w:b/>
                      <w:bCs/>
                      <w:lang w:val="en-US"/>
                    </w:rPr>
                    <w:fldChar w:fldCharType="begin" w:fldLock="1"/>
                  </w:r>
                  <w:r w:rsidR="00ED2A97" w:rsidRPr="00986254">
                    <w:rPr>
                      <w:b/>
                      <w:bCs/>
                      <w:lang w:val="en-US"/>
                    </w:rPr>
                    <w:instrText xml:space="preserve"> REF _Ref208412217 \h </w:instrText>
                  </w:r>
                  <w:r w:rsidR="00986254">
                    <w:rPr>
                      <w:b/>
                      <w:bCs/>
                      <w:lang w:val="en-US"/>
                    </w:rPr>
                    <w:instrText xml:space="preserve"> \* MERGEFORMAT </w:instrText>
                  </w:r>
                  <w:r w:rsidR="00ED2A97" w:rsidRPr="00986254">
                    <w:rPr>
                      <w:b/>
                      <w:bCs/>
                      <w:lang w:val="en-US"/>
                    </w:rPr>
                  </w:r>
                  <w:r w:rsidR="00ED2A97" w:rsidRPr="00986254">
                    <w:rPr>
                      <w:b/>
                      <w:bCs/>
                      <w:lang w:val="en-US"/>
                    </w:rPr>
                    <w:fldChar w:fldCharType="separate"/>
                  </w:r>
                  <w:r w:rsidR="008F22E5" w:rsidRPr="008F22E5">
                    <w:rPr>
                      <w:b/>
                      <w:bCs/>
                    </w:rPr>
                    <w:t xml:space="preserve">Figure </w:t>
                  </w:r>
                  <w:r w:rsidR="008F22E5" w:rsidRPr="008F22E5">
                    <w:rPr>
                      <w:b/>
                      <w:bCs/>
                      <w:noProof/>
                    </w:rPr>
                    <w:t>22</w:t>
                  </w:r>
                  <w:r w:rsidR="00ED2A97" w:rsidRPr="00986254">
                    <w:rPr>
                      <w:b/>
                      <w:bCs/>
                      <w:lang w:val="en-US"/>
                    </w:rPr>
                    <w:fldChar w:fldCharType="end"/>
                  </w:r>
                  <w:r w:rsidR="00ED2A97">
                    <w:rPr>
                      <w:lang w:val="en-US"/>
                    </w:rPr>
                    <w:t>)</w:t>
                  </w:r>
                  <w:r w:rsidR="0031553A" w:rsidRPr="00BF5122">
                    <w:rPr>
                      <w:lang w:val="en-US"/>
                    </w:rPr>
                    <w:t xml:space="preserve">. </w:t>
                  </w:r>
                  <w:r w:rsidR="004E2BDB" w:rsidRPr="00321BC5">
                    <w:t>All comparisons were statistically significant (</w:t>
                  </w:r>
                  <w:r w:rsidR="004E2BDB" w:rsidRPr="00321BC5">
                    <w:rPr>
                      <w:i/>
                    </w:rPr>
                    <w:t>p</w:t>
                  </w:r>
                  <w:r w:rsidR="004E2BDB" w:rsidRPr="00321BC5">
                    <w:t>&lt;.001).</w:t>
                  </w:r>
                  <w:r w:rsidR="004E2BDB" w:rsidRPr="0021791D">
                    <w:t xml:space="preserve"> </w:t>
                  </w:r>
                </w:p>
                <w:p w14:paraId="3DC46BBB" w14:textId="2757009B" w:rsidR="00B870D6" w:rsidRDefault="00B870D6" w:rsidP="00953B9E">
                  <w:pPr>
                    <w:pStyle w:val="TableFigure-Header"/>
                    <w:spacing w:line="276" w:lineRule="auto"/>
                    <w:jc w:val="both"/>
                    <w:rPr>
                      <w:rStyle w:val="Text-Bold"/>
                      <w:b/>
                      <w:bCs/>
                    </w:rPr>
                  </w:pPr>
                  <w:bookmarkStart w:id="408" w:name="_Ref208412217"/>
                  <w:r w:rsidRPr="5AC90C80">
                    <w:rPr>
                      <w:lang w:val="en-NZ"/>
                    </w:rPr>
                    <w:t xml:space="preserve">Figure </w:t>
                  </w:r>
                  <w:r w:rsidR="00C64C3D">
                    <w:rPr>
                      <w:lang w:val="en-NZ"/>
                    </w:rPr>
                    <w:fldChar w:fldCharType="begin"/>
                  </w:r>
                  <w:r w:rsidR="00C64C3D">
                    <w:rPr>
                      <w:lang w:val="en-NZ"/>
                    </w:rPr>
                    <w:instrText xml:space="preserve"> SEQ Figure \* ARABIC </w:instrText>
                  </w:r>
                  <w:r w:rsidR="00C64C3D">
                    <w:rPr>
                      <w:lang w:val="en-NZ"/>
                    </w:rPr>
                    <w:fldChar w:fldCharType="separate"/>
                  </w:r>
                  <w:r w:rsidR="008D2566">
                    <w:rPr>
                      <w:noProof/>
                      <w:lang w:val="en-NZ"/>
                    </w:rPr>
                    <w:t>22</w:t>
                  </w:r>
                  <w:r w:rsidR="00C64C3D">
                    <w:rPr>
                      <w:lang w:val="en-NZ"/>
                    </w:rPr>
                    <w:fldChar w:fldCharType="end"/>
                  </w:r>
                  <w:bookmarkEnd w:id="408"/>
                  <w:r w:rsidRPr="5AC90C80">
                    <w:rPr>
                      <w:lang w:val="en-NZ"/>
                    </w:rPr>
                    <w:t xml:space="preserve">: Earliest to latest SCORE </w:t>
                  </w:r>
                  <w:r w:rsidR="00ED2A97" w:rsidRPr="5AC90C80">
                    <w:rPr>
                      <w:lang w:val="en-NZ"/>
                    </w:rPr>
                    <w:t xml:space="preserve">mean </w:t>
                  </w:r>
                  <w:r w:rsidRPr="5AC90C80">
                    <w:rPr>
                      <w:lang w:val="en-NZ"/>
                    </w:rPr>
                    <w:t>changes within subjects</w:t>
                  </w:r>
                  <w:r w:rsidR="00ED2A97" w:rsidRPr="5AC90C80">
                    <w:rPr>
                      <w:lang w:val="en-NZ"/>
                    </w:rPr>
                    <w:t xml:space="preserve"> for specific Circumstances and Goals domains</w:t>
                  </w:r>
                  <w:r w:rsidRPr="5AC90C80">
                    <w:rPr>
                      <w:lang w:val="en-NZ"/>
                    </w:rPr>
                    <w:t>, SFVS</w:t>
                  </w:r>
                  <w:r w:rsidR="7AD299A5" w:rsidRPr="5AC90C80">
                    <w:rPr>
                      <w:lang w:val="en-NZ"/>
                    </w:rPr>
                    <w:t>,</w:t>
                  </w:r>
                  <w:r w:rsidR="7AD299A5" w:rsidRPr="5AC90C80">
                    <w:rPr>
                      <w:rStyle w:val="Text-Bold"/>
                      <w:b/>
                      <w:bCs/>
                    </w:rPr>
                    <w:t xml:space="preserve"> July 2021 </w:t>
                  </w:r>
                  <w:r w:rsidR="00953B9E">
                    <w:rPr>
                      <w:rStyle w:val="Text-Bold"/>
                      <w:b/>
                      <w:bCs/>
                    </w:rPr>
                    <w:t>to</w:t>
                  </w:r>
                  <w:r w:rsidR="7AD299A5" w:rsidRPr="5AC90C80">
                    <w:rPr>
                      <w:rStyle w:val="Text-Bold"/>
                      <w:b/>
                      <w:bCs/>
                    </w:rPr>
                    <w:t xml:space="preserve"> June 2024</w:t>
                  </w:r>
                </w:p>
                <w:p w14:paraId="111FDCEC" w14:textId="4FD247BE" w:rsidR="007819D2" w:rsidRDefault="00B870D6" w:rsidP="596BDFB0">
                  <w:pPr>
                    <w:pStyle w:val="Text"/>
                    <w:rPr>
                      <w:i/>
                      <w:iCs/>
                      <w:sz w:val="20"/>
                      <w:lang w:val="en-US"/>
                    </w:rPr>
                  </w:pPr>
                  <w:r w:rsidRPr="00DE647E">
                    <w:rPr>
                      <w:noProof/>
                      <w:sz w:val="20"/>
                      <w:szCs w:val="18"/>
                    </w:rPr>
                    <w:drawing>
                      <wp:inline distT="0" distB="0" distL="0" distR="0" wp14:anchorId="60E74884" wp14:editId="6E4B94A3">
                        <wp:extent cx="5762625" cy="4731488"/>
                        <wp:effectExtent l="0" t="0" r="9525" b="12065"/>
                        <wp:docPr id="1630287652" name="Chart 1">
                          <a:extLst xmlns:a="http://schemas.openxmlformats.org/drawingml/2006/main">
                            <a:ext uri="{FF2B5EF4-FFF2-40B4-BE49-F238E27FC236}">
                              <a16:creationId xmlns:a16="http://schemas.microsoft.com/office/drawing/2014/main" id="{BC405A99-91EC-45E1-BB41-EF17FA03FD31}"/>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r w:rsidR="008C2416" w:rsidRPr="596BDFB0">
                    <w:rPr>
                      <w:i/>
                      <w:iCs/>
                      <w:sz w:val="20"/>
                      <w:lang w:val="en-US"/>
                    </w:rPr>
                    <w:t xml:space="preserve">Source: DEX-SCORE data </w:t>
                  </w:r>
                </w:p>
                <w:p w14:paraId="3442767A" w14:textId="77777777" w:rsidR="004673E7" w:rsidRPr="00DE647E" w:rsidRDefault="004673E7" w:rsidP="596BDFB0">
                  <w:pPr>
                    <w:pStyle w:val="Text"/>
                    <w:rPr>
                      <w:i/>
                      <w:iCs/>
                      <w:sz w:val="20"/>
                      <w:lang w:val="en-US"/>
                    </w:rPr>
                  </w:pPr>
                </w:p>
                <w:p w14:paraId="10570140" w14:textId="0C3700F9" w:rsidR="00291000" w:rsidRPr="00953B9E" w:rsidRDefault="00291000" w:rsidP="00953B9E">
                  <w:pPr>
                    <w:pStyle w:val="Caption"/>
                    <w:rPr>
                      <w:sz w:val="21"/>
                      <w:szCs w:val="21"/>
                      <w:lang w:val="en-US"/>
                    </w:rPr>
                  </w:pPr>
                  <w:r w:rsidRPr="00953B9E">
                    <w:rPr>
                      <w:sz w:val="21"/>
                      <w:szCs w:val="21"/>
                    </w:rPr>
                    <w:lastRenderedPageBreak/>
                    <w:t xml:space="preserve">Table </w:t>
                  </w:r>
                  <w:r w:rsidRPr="00953B9E">
                    <w:rPr>
                      <w:sz w:val="21"/>
                      <w:szCs w:val="21"/>
                    </w:rPr>
                    <w:fldChar w:fldCharType="begin"/>
                  </w:r>
                  <w:r w:rsidRPr="00953B9E">
                    <w:rPr>
                      <w:sz w:val="21"/>
                      <w:szCs w:val="21"/>
                    </w:rPr>
                    <w:instrText xml:space="preserve"> SEQ Table \* ARABIC </w:instrText>
                  </w:r>
                  <w:r w:rsidRPr="00953B9E">
                    <w:rPr>
                      <w:sz w:val="21"/>
                      <w:szCs w:val="21"/>
                    </w:rPr>
                    <w:fldChar w:fldCharType="separate"/>
                  </w:r>
                  <w:r w:rsidR="008D2566">
                    <w:rPr>
                      <w:noProof/>
                      <w:sz w:val="21"/>
                      <w:szCs w:val="21"/>
                    </w:rPr>
                    <w:t>23</w:t>
                  </w:r>
                  <w:r w:rsidRPr="00953B9E">
                    <w:rPr>
                      <w:sz w:val="21"/>
                      <w:szCs w:val="21"/>
                    </w:rPr>
                    <w:fldChar w:fldCharType="end"/>
                  </w:r>
                  <w:r w:rsidR="00A250E1" w:rsidRPr="00953B9E">
                    <w:rPr>
                      <w:sz w:val="21"/>
                      <w:szCs w:val="21"/>
                    </w:rPr>
                    <w:t>: Percentage of service users with a positive SCORE change for Goal outcomes by cohort, SFVS</w:t>
                  </w:r>
                  <w:r w:rsidR="325EF0BA" w:rsidRPr="00953B9E">
                    <w:rPr>
                      <w:sz w:val="21"/>
                      <w:szCs w:val="21"/>
                    </w:rPr>
                    <w:t xml:space="preserve">, July 2021 </w:t>
                  </w:r>
                  <w:r w:rsidR="00953B9E">
                    <w:rPr>
                      <w:sz w:val="21"/>
                      <w:szCs w:val="21"/>
                    </w:rPr>
                    <w:t>to</w:t>
                  </w:r>
                  <w:r w:rsidR="325EF0BA" w:rsidRPr="00953B9E">
                    <w:rPr>
                      <w:sz w:val="21"/>
                      <w:szCs w:val="21"/>
                    </w:rPr>
                    <w:t xml:space="preserve"> June 2024</w:t>
                  </w:r>
                  <w:r w:rsidR="00A250E1" w:rsidRPr="00953B9E">
                    <w:rPr>
                      <w:sz w:val="21"/>
                      <w:szCs w:val="21"/>
                    </w:rPr>
                    <w:t xml:space="preserve"> </w:t>
                  </w:r>
                </w:p>
                <w:tbl>
                  <w:tblPr>
                    <w:tblStyle w:val="TableGrid3"/>
                    <w:tblW w:w="5000" w:type="pct"/>
                    <w:tblLayout w:type="fixed"/>
                    <w:tblLook w:val="04A0" w:firstRow="1" w:lastRow="0" w:firstColumn="1" w:lastColumn="0" w:noHBand="0" w:noVBand="1"/>
                  </w:tblPr>
                  <w:tblGrid>
                    <w:gridCol w:w="1838"/>
                    <w:gridCol w:w="3685"/>
                    <w:gridCol w:w="3496"/>
                  </w:tblGrid>
                  <w:tr w:rsidR="001E4960" w:rsidRPr="00036888" w14:paraId="0692F38A" w14:textId="77777777" w:rsidTr="00D032E3">
                    <w:trPr>
                      <w:trHeight w:val="298"/>
                    </w:trPr>
                    <w:tc>
                      <w:tcPr>
                        <w:tcW w:w="1019" w:type="pct"/>
                        <w:shd w:val="clear" w:color="auto" w:fill="007E00" w:themeFill="accent3"/>
                        <w:noWrap/>
                        <w:hideMark/>
                      </w:tcPr>
                      <w:p w14:paraId="271B0D48" w14:textId="77777777" w:rsidR="001E4960" w:rsidRPr="00F6254E" w:rsidRDefault="001E4960">
                        <w:pPr>
                          <w:pStyle w:val="TableText"/>
                          <w:rPr>
                            <w:b/>
                            <w:bCs/>
                            <w:color w:val="FFFFFF" w:themeColor="background1"/>
                          </w:rPr>
                        </w:pPr>
                        <w:r w:rsidRPr="00F6254E">
                          <w:rPr>
                            <w:b/>
                            <w:bCs/>
                            <w:color w:val="FFFFFF" w:themeColor="background1"/>
                          </w:rPr>
                          <w:t>Outcome Type</w:t>
                        </w:r>
                      </w:p>
                    </w:tc>
                    <w:tc>
                      <w:tcPr>
                        <w:tcW w:w="2043" w:type="pct"/>
                        <w:shd w:val="clear" w:color="auto" w:fill="007E00" w:themeFill="accent3"/>
                      </w:tcPr>
                      <w:p w14:paraId="53D953C7" w14:textId="77777777" w:rsidR="001E4960" w:rsidRDefault="001E4960">
                        <w:pPr>
                          <w:pStyle w:val="TableText"/>
                          <w:rPr>
                            <w:b/>
                            <w:bCs/>
                            <w:color w:val="FFFFFF" w:themeColor="background1"/>
                          </w:rPr>
                        </w:pPr>
                        <w:r>
                          <w:rPr>
                            <w:b/>
                            <w:bCs/>
                            <w:color w:val="FFFFFF" w:themeColor="background1"/>
                          </w:rPr>
                          <w:t>Domain description</w:t>
                        </w:r>
                      </w:p>
                    </w:tc>
                    <w:tc>
                      <w:tcPr>
                        <w:tcW w:w="1938" w:type="pct"/>
                        <w:shd w:val="clear" w:color="auto" w:fill="007E00" w:themeFill="accent3"/>
                        <w:noWrap/>
                        <w:hideMark/>
                      </w:tcPr>
                      <w:p w14:paraId="536FE437" w14:textId="77777777" w:rsidR="001E4960" w:rsidRPr="00F6254E" w:rsidRDefault="001E4960">
                        <w:pPr>
                          <w:pStyle w:val="TableText"/>
                          <w:rPr>
                            <w:b/>
                            <w:bCs/>
                            <w:color w:val="FFFFFF" w:themeColor="background1"/>
                          </w:rPr>
                        </w:pPr>
                        <w:r>
                          <w:rPr>
                            <w:b/>
                            <w:bCs/>
                            <w:color w:val="FFFFFF" w:themeColor="background1"/>
                          </w:rPr>
                          <w:t xml:space="preserve">Service users </w:t>
                        </w:r>
                        <w:r w:rsidRPr="00F6254E">
                          <w:rPr>
                            <w:b/>
                            <w:bCs/>
                            <w:color w:val="FFFFFF" w:themeColor="background1"/>
                          </w:rPr>
                          <w:t>with positive mean change (%, n</w:t>
                        </w:r>
                        <w:r>
                          <w:rPr>
                            <w:b/>
                            <w:bCs/>
                            <w:color w:val="FFFFFF" w:themeColor="background1"/>
                          </w:rPr>
                          <w:t>=</w:t>
                        </w:r>
                        <w:r w:rsidRPr="00F6254E">
                          <w:rPr>
                            <w:b/>
                            <w:bCs/>
                            <w:color w:val="FFFFFF" w:themeColor="background1"/>
                          </w:rPr>
                          <w:t>)</w:t>
                        </w:r>
                      </w:p>
                    </w:tc>
                  </w:tr>
                  <w:tr w:rsidR="001E4960" w:rsidRPr="00036888" w14:paraId="591EFA26" w14:textId="77777777" w:rsidTr="00D032E3">
                    <w:trPr>
                      <w:trHeight w:val="298"/>
                    </w:trPr>
                    <w:tc>
                      <w:tcPr>
                        <w:tcW w:w="1019" w:type="pct"/>
                        <w:vMerge w:val="restart"/>
                        <w:noWrap/>
                        <w:hideMark/>
                      </w:tcPr>
                      <w:p w14:paraId="4E95BBA4" w14:textId="77777777" w:rsidR="001E4960" w:rsidRPr="0078378F" w:rsidRDefault="001E4960">
                        <w:pPr>
                          <w:pStyle w:val="TableText"/>
                        </w:pPr>
                        <w:r w:rsidRPr="0078378F">
                          <w:t>Circumstances</w:t>
                        </w:r>
                      </w:p>
                    </w:tc>
                    <w:tc>
                      <w:tcPr>
                        <w:tcW w:w="2043" w:type="pct"/>
                      </w:tcPr>
                      <w:p w14:paraId="614C597E" w14:textId="77777777" w:rsidR="001E4960" w:rsidRPr="0078378F" w:rsidRDefault="001E4960">
                        <w:pPr>
                          <w:pStyle w:val="TableText"/>
                        </w:pPr>
                        <w:r w:rsidRPr="0078378F">
                          <w:t>Family functioning</w:t>
                        </w:r>
                      </w:p>
                    </w:tc>
                    <w:tc>
                      <w:tcPr>
                        <w:tcW w:w="1938" w:type="pct"/>
                        <w:noWrap/>
                        <w:hideMark/>
                      </w:tcPr>
                      <w:p w14:paraId="49122B96" w14:textId="3D0BFCFD" w:rsidR="001E4960" w:rsidRPr="008D0F42" w:rsidRDefault="001E4960">
                        <w:pPr>
                          <w:pStyle w:val="TableText"/>
                        </w:pPr>
                        <w:r w:rsidRPr="008D0F42">
                          <w:t>54.9% (n=</w:t>
                        </w:r>
                        <w:r w:rsidR="00ED2A97" w:rsidRPr="00A919FD">
                          <w:t>2</w:t>
                        </w:r>
                        <w:r w:rsidR="00ED2A97">
                          <w:t>,</w:t>
                        </w:r>
                        <w:r w:rsidR="00ED2A97" w:rsidRPr="00A919FD">
                          <w:t>911</w:t>
                        </w:r>
                        <w:r w:rsidRPr="008D0F42">
                          <w:t>)</w:t>
                        </w:r>
                      </w:p>
                    </w:tc>
                  </w:tr>
                  <w:tr w:rsidR="001E4960" w:rsidRPr="00036888" w14:paraId="3ECCB8AC" w14:textId="77777777" w:rsidTr="00D032E3">
                    <w:trPr>
                      <w:trHeight w:val="298"/>
                    </w:trPr>
                    <w:tc>
                      <w:tcPr>
                        <w:tcW w:w="1019" w:type="pct"/>
                        <w:vMerge/>
                        <w:noWrap/>
                      </w:tcPr>
                      <w:p w14:paraId="146F69C9" w14:textId="77777777" w:rsidR="001E4960" w:rsidRPr="0078378F" w:rsidRDefault="001E4960">
                        <w:pPr>
                          <w:pStyle w:val="TableText"/>
                        </w:pPr>
                      </w:p>
                    </w:tc>
                    <w:tc>
                      <w:tcPr>
                        <w:tcW w:w="2043" w:type="pct"/>
                      </w:tcPr>
                      <w:p w14:paraId="1139FFAA" w14:textId="77777777" w:rsidR="001E4960" w:rsidRPr="0078378F" w:rsidRDefault="001E4960">
                        <w:pPr>
                          <w:pStyle w:val="TableText"/>
                        </w:pPr>
                        <w:r w:rsidRPr="0078378F">
                          <w:rPr>
                            <w:lang w:val="en-NZ"/>
                          </w:rPr>
                          <w:t>Mental health, wellbeing and self-care</w:t>
                        </w:r>
                      </w:p>
                    </w:tc>
                    <w:tc>
                      <w:tcPr>
                        <w:tcW w:w="1938" w:type="pct"/>
                        <w:noWrap/>
                      </w:tcPr>
                      <w:p w14:paraId="7911E6B5" w14:textId="03A860F3" w:rsidR="001E4960" w:rsidRPr="008D0F42" w:rsidRDefault="00ED2A97">
                        <w:pPr>
                          <w:pStyle w:val="TableText"/>
                        </w:pPr>
                        <w:r w:rsidRPr="00A919FD">
                          <w:t>56.0</w:t>
                        </w:r>
                        <w:r w:rsidR="001E4960" w:rsidRPr="008D0F42">
                          <w:t>% (n=</w:t>
                        </w:r>
                        <w:r w:rsidRPr="00A919FD">
                          <w:t>3</w:t>
                        </w:r>
                        <w:r>
                          <w:t>,</w:t>
                        </w:r>
                        <w:r w:rsidRPr="00A919FD">
                          <w:t>092</w:t>
                        </w:r>
                        <w:r w:rsidR="001E4960" w:rsidRPr="008D0F42">
                          <w:t>)</w:t>
                        </w:r>
                      </w:p>
                    </w:tc>
                  </w:tr>
                  <w:tr w:rsidR="001E4960" w:rsidRPr="00036888" w14:paraId="2AFCD4F7" w14:textId="77777777" w:rsidTr="00D032E3">
                    <w:trPr>
                      <w:trHeight w:val="298"/>
                    </w:trPr>
                    <w:tc>
                      <w:tcPr>
                        <w:tcW w:w="1019" w:type="pct"/>
                        <w:vMerge/>
                        <w:noWrap/>
                      </w:tcPr>
                      <w:p w14:paraId="4ED56F55" w14:textId="77777777" w:rsidR="001E4960" w:rsidRPr="0078378F" w:rsidRDefault="001E4960">
                        <w:pPr>
                          <w:pStyle w:val="TableText"/>
                        </w:pPr>
                      </w:p>
                    </w:tc>
                    <w:tc>
                      <w:tcPr>
                        <w:tcW w:w="2043" w:type="pct"/>
                      </w:tcPr>
                      <w:p w14:paraId="6D1CE957" w14:textId="77777777" w:rsidR="001E4960" w:rsidRPr="0078378F" w:rsidRDefault="001E4960">
                        <w:pPr>
                          <w:pStyle w:val="TableText"/>
                        </w:pPr>
                        <w:r w:rsidRPr="0078378F">
                          <w:t>Personal and family safety</w:t>
                        </w:r>
                      </w:p>
                    </w:tc>
                    <w:tc>
                      <w:tcPr>
                        <w:tcW w:w="1938" w:type="pct"/>
                        <w:noWrap/>
                      </w:tcPr>
                      <w:p w14:paraId="0930AA2A" w14:textId="49B1C99A" w:rsidR="001E4960" w:rsidRPr="008D0F42" w:rsidRDefault="00ED2A97">
                        <w:pPr>
                          <w:pStyle w:val="TableText"/>
                        </w:pPr>
                        <w:r w:rsidRPr="00A919FD">
                          <w:t>57.0</w:t>
                        </w:r>
                        <w:r w:rsidR="001E4960" w:rsidRPr="008D0F42">
                          <w:t>% (n=</w:t>
                        </w:r>
                        <w:r w:rsidRPr="00A919FD">
                          <w:t>3</w:t>
                        </w:r>
                        <w:r>
                          <w:t>,</w:t>
                        </w:r>
                        <w:r w:rsidRPr="00A919FD">
                          <w:t>585</w:t>
                        </w:r>
                        <w:r w:rsidR="001E4960" w:rsidRPr="008D0F42">
                          <w:t>)</w:t>
                        </w:r>
                      </w:p>
                    </w:tc>
                  </w:tr>
                  <w:tr w:rsidR="001E4960" w:rsidRPr="00036888" w14:paraId="7D5C71F5" w14:textId="77777777" w:rsidTr="00D032E3">
                    <w:trPr>
                      <w:trHeight w:val="298"/>
                    </w:trPr>
                    <w:tc>
                      <w:tcPr>
                        <w:tcW w:w="1019" w:type="pct"/>
                        <w:vMerge w:val="restart"/>
                        <w:noWrap/>
                      </w:tcPr>
                      <w:p w14:paraId="4082DB0D" w14:textId="77777777" w:rsidR="001E4960" w:rsidRPr="0078378F" w:rsidRDefault="001E4960">
                        <w:pPr>
                          <w:pStyle w:val="TableText"/>
                        </w:pPr>
                        <w:r w:rsidRPr="0078378F">
                          <w:t>Goals</w:t>
                        </w:r>
                      </w:p>
                    </w:tc>
                    <w:tc>
                      <w:tcPr>
                        <w:tcW w:w="2043" w:type="pct"/>
                      </w:tcPr>
                      <w:p w14:paraId="771A5AF6" w14:textId="77777777" w:rsidR="001E4960" w:rsidRPr="0078378F" w:rsidRDefault="001E4960">
                        <w:pPr>
                          <w:pStyle w:val="TableText"/>
                        </w:pPr>
                        <w:r w:rsidRPr="0078378F">
                          <w:t>Changed behaviours</w:t>
                        </w:r>
                      </w:p>
                    </w:tc>
                    <w:tc>
                      <w:tcPr>
                        <w:tcW w:w="1938" w:type="pct"/>
                        <w:noWrap/>
                      </w:tcPr>
                      <w:p w14:paraId="49207605" w14:textId="58033E0D" w:rsidR="001E4960" w:rsidRPr="008D0F42" w:rsidRDefault="00ED2A97">
                        <w:pPr>
                          <w:pStyle w:val="TableText"/>
                        </w:pPr>
                        <w:r w:rsidRPr="00A919FD">
                          <w:t>57.2</w:t>
                        </w:r>
                        <w:r w:rsidR="001E4960" w:rsidRPr="00D63E8D">
                          <w:t>% (n=</w:t>
                        </w:r>
                        <w:r w:rsidRPr="00A919FD">
                          <w:t>2</w:t>
                        </w:r>
                        <w:r>
                          <w:t>,</w:t>
                        </w:r>
                        <w:r w:rsidRPr="00A919FD">
                          <w:t>209</w:t>
                        </w:r>
                        <w:r w:rsidR="001E4960" w:rsidRPr="00D63E8D">
                          <w:t>)</w:t>
                        </w:r>
                      </w:p>
                    </w:tc>
                  </w:tr>
                  <w:tr w:rsidR="001E4960" w:rsidRPr="00036888" w14:paraId="1AC37A98" w14:textId="77777777" w:rsidTr="00D032E3">
                    <w:trPr>
                      <w:trHeight w:val="298"/>
                    </w:trPr>
                    <w:tc>
                      <w:tcPr>
                        <w:tcW w:w="1019" w:type="pct"/>
                        <w:vMerge/>
                        <w:noWrap/>
                      </w:tcPr>
                      <w:p w14:paraId="5E8CC388" w14:textId="77777777" w:rsidR="001E4960" w:rsidRPr="0078378F" w:rsidRDefault="001E4960">
                        <w:pPr>
                          <w:pStyle w:val="TableText"/>
                        </w:pPr>
                      </w:p>
                    </w:tc>
                    <w:tc>
                      <w:tcPr>
                        <w:tcW w:w="2043" w:type="pct"/>
                      </w:tcPr>
                      <w:p w14:paraId="5936183D" w14:textId="77777777" w:rsidR="001E4960" w:rsidRPr="0078378F" w:rsidRDefault="001E4960">
                        <w:pPr>
                          <w:pStyle w:val="TableText"/>
                        </w:pPr>
                        <w:r w:rsidRPr="0078378F">
                          <w:t>Changed impact of immediate crisis</w:t>
                        </w:r>
                      </w:p>
                    </w:tc>
                    <w:tc>
                      <w:tcPr>
                        <w:tcW w:w="1938" w:type="pct"/>
                        <w:noWrap/>
                      </w:tcPr>
                      <w:p w14:paraId="0B4CC237" w14:textId="2C1DAB3B" w:rsidR="001E4960" w:rsidRPr="008D0F42" w:rsidRDefault="00ED2A97">
                        <w:pPr>
                          <w:pStyle w:val="TableText"/>
                        </w:pPr>
                        <w:r w:rsidRPr="00A919FD">
                          <w:t>67.3</w:t>
                        </w:r>
                        <w:r w:rsidR="001E4960" w:rsidRPr="00D63E8D">
                          <w:t>% (n=</w:t>
                        </w:r>
                        <w:r w:rsidRPr="00A919FD">
                          <w:t>1</w:t>
                        </w:r>
                        <w:r>
                          <w:t>,</w:t>
                        </w:r>
                        <w:r w:rsidRPr="00A919FD">
                          <w:t>932</w:t>
                        </w:r>
                        <w:r w:rsidR="001E4960" w:rsidRPr="00D63E8D">
                          <w:t>)</w:t>
                        </w:r>
                      </w:p>
                    </w:tc>
                  </w:tr>
                  <w:tr w:rsidR="001E4960" w:rsidRPr="00036888" w14:paraId="76250CC0" w14:textId="77777777" w:rsidTr="00D032E3">
                    <w:trPr>
                      <w:trHeight w:val="298"/>
                    </w:trPr>
                    <w:tc>
                      <w:tcPr>
                        <w:tcW w:w="1019" w:type="pct"/>
                        <w:vMerge/>
                        <w:noWrap/>
                      </w:tcPr>
                      <w:p w14:paraId="5842DF0D" w14:textId="77777777" w:rsidR="001E4960" w:rsidRPr="0078378F" w:rsidRDefault="001E4960">
                        <w:pPr>
                          <w:pStyle w:val="TableText"/>
                        </w:pPr>
                      </w:p>
                    </w:tc>
                    <w:tc>
                      <w:tcPr>
                        <w:tcW w:w="2043" w:type="pct"/>
                      </w:tcPr>
                      <w:p w14:paraId="1873DAA7" w14:textId="77777777" w:rsidR="001E4960" w:rsidRPr="0078378F" w:rsidRDefault="001E4960">
                        <w:pPr>
                          <w:pStyle w:val="TableText"/>
                        </w:pPr>
                        <w:r w:rsidRPr="0078378F">
                          <w:t>Changed knowledge and access to information</w:t>
                        </w:r>
                      </w:p>
                    </w:tc>
                    <w:tc>
                      <w:tcPr>
                        <w:tcW w:w="1938" w:type="pct"/>
                        <w:noWrap/>
                      </w:tcPr>
                      <w:p w14:paraId="2F9805D8" w14:textId="258BB0B9" w:rsidR="001E4960" w:rsidRPr="008D0F42" w:rsidRDefault="00ED2A97">
                        <w:pPr>
                          <w:pStyle w:val="TableText"/>
                        </w:pPr>
                        <w:r w:rsidRPr="00A919FD">
                          <w:t>63.8</w:t>
                        </w:r>
                        <w:r w:rsidR="001E4960" w:rsidRPr="00D63E8D">
                          <w:t>% (n=</w:t>
                        </w:r>
                        <w:r w:rsidRPr="00A919FD">
                          <w:t>2</w:t>
                        </w:r>
                        <w:r>
                          <w:t>,</w:t>
                        </w:r>
                        <w:r w:rsidRPr="00A919FD">
                          <w:t>772</w:t>
                        </w:r>
                        <w:r w:rsidR="001E4960" w:rsidRPr="00D63E8D">
                          <w:t>)</w:t>
                        </w:r>
                      </w:p>
                    </w:tc>
                  </w:tr>
                  <w:tr w:rsidR="001E4960" w:rsidRPr="00036888" w14:paraId="6596642A" w14:textId="77777777" w:rsidTr="00D032E3">
                    <w:trPr>
                      <w:trHeight w:val="298"/>
                    </w:trPr>
                    <w:tc>
                      <w:tcPr>
                        <w:tcW w:w="1019" w:type="pct"/>
                        <w:vMerge/>
                        <w:noWrap/>
                      </w:tcPr>
                      <w:p w14:paraId="0667276D" w14:textId="77777777" w:rsidR="001E4960" w:rsidRPr="0078378F" w:rsidRDefault="001E4960">
                        <w:pPr>
                          <w:pStyle w:val="TableText"/>
                        </w:pPr>
                      </w:p>
                    </w:tc>
                    <w:tc>
                      <w:tcPr>
                        <w:tcW w:w="2043" w:type="pct"/>
                      </w:tcPr>
                      <w:p w14:paraId="3E6035DF" w14:textId="77777777" w:rsidR="001E4960" w:rsidRPr="0078378F" w:rsidRDefault="001E4960">
                        <w:pPr>
                          <w:pStyle w:val="TableText"/>
                        </w:pPr>
                        <w:r w:rsidRPr="0078378F">
                          <w:t>Changed skills</w:t>
                        </w:r>
                      </w:p>
                    </w:tc>
                    <w:tc>
                      <w:tcPr>
                        <w:tcW w:w="1938" w:type="pct"/>
                        <w:noWrap/>
                      </w:tcPr>
                      <w:p w14:paraId="0BFF8B79" w14:textId="16B867E2" w:rsidR="001E4960" w:rsidRPr="008D0F42" w:rsidRDefault="00ED2A97">
                        <w:pPr>
                          <w:pStyle w:val="TableText"/>
                        </w:pPr>
                        <w:r w:rsidRPr="00A919FD">
                          <w:t>58.8</w:t>
                        </w:r>
                        <w:r w:rsidR="001E4960" w:rsidRPr="00D63E8D">
                          <w:t>% (n=</w:t>
                        </w:r>
                        <w:r w:rsidRPr="00A919FD">
                          <w:t>2</w:t>
                        </w:r>
                        <w:r>
                          <w:t>,</w:t>
                        </w:r>
                        <w:r w:rsidRPr="00A919FD">
                          <w:t>318</w:t>
                        </w:r>
                        <w:r w:rsidR="001E4960" w:rsidRPr="00D63E8D">
                          <w:t>)</w:t>
                        </w:r>
                      </w:p>
                    </w:tc>
                  </w:tr>
                  <w:tr w:rsidR="001E4960" w:rsidRPr="00036888" w14:paraId="295891CF" w14:textId="77777777" w:rsidTr="00D032E3">
                    <w:trPr>
                      <w:trHeight w:val="298"/>
                    </w:trPr>
                    <w:tc>
                      <w:tcPr>
                        <w:tcW w:w="1019" w:type="pct"/>
                        <w:vMerge/>
                        <w:noWrap/>
                      </w:tcPr>
                      <w:p w14:paraId="558D9CD6" w14:textId="77777777" w:rsidR="001E4960" w:rsidRPr="0078378F" w:rsidRDefault="001E4960">
                        <w:pPr>
                          <w:pStyle w:val="TableText"/>
                        </w:pPr>
                      </w:p>
                    </w:tc>
                    <w:tc>
                      <w:tcPr>
                        <w:tcW w:w="2043" w:type="pct"/>
                      </w:tcPr>
                      <w:p w14:paraId="34C6A811" w14:textId="77777777" w:rsidR="001E4960" w:rsidRPr="0078378F" w:rsidRDefault="001E4960">
                        <w:pPr>
                          <w:pStyle w:val="TableText"/>
                        </w:pPr>
                        <w:r w:rsidRPr="0078378F">
                          <w:rPr>
                            <w:lang w:val="en-NZ"/>
                          </w:rPr>
                          <w:t>Empowerment, choice and control to make own decisions</w:t>
                        </w:r>
                      </w:p>
                    </w:tc>
                    <w:tc>
                      <w:tcPr>
                        <w:tcW w:w="1938" w:type="pct"/>
                        <w:noWrap/>
                      </w:tcPr>
                      <w:p w14:paraId="442A6459" w14:textId="271B34D2" w:rsidR="001E4960" w:rsidRPr="008D0F42" w:rsidRDefault="00ED2A97">
                        <w:pPr>
                          <w:pStyle w:val="TableText"/>
                        </w:pPr>
                        <w:r w:rsidRPr="00A919FD">
                          <w:t>62.2</w:t>
                        </w:r>
                        <w:r w:rsidR="001E4960" w:rsidRPr="00D63E8D">
                          <w:t>% (n=</w:t>
                        </w:r>
                        <w:r w:rsidRPr="00A919FD">
                          <w:t>2</w:t>
                        </w:r>
                        <w:r>
                          <w:t>,</w:t>
                        </w:r>
                        <w:r w:rsidRPr="00A919FD">
                          <w:t>648</w:t>
                        </w:r>
                        <w:r w:rsidR="001E4960" w:rsidRPr="00D63E8D">
                          <w:t>)</w:t>
                        </w:r>
                      </w:p>
                    </w:tc>
                  </w:tr>
                  <w:tr w:rsidR="001E4960" w:rsidRPr="00036888" w14:paraId="709F07C6" w14:textId="77777777" w:rsidTr="00D032E3">
                    <w:trPr>
                      <w:trHeight w:val="298"/>
                    </w:trPr>
                    <w:tc>
                      <w:tcPr>
                        <w:tcW w:w="1019" w:type="pct"/>
                        <w:vMerge/>
                        <w:noWrap/>
                      </w:tcPr>
                      <w:p w14:paraId="45DE861E" w14:textId="77777777" w:rsidR="001E4960" w:rsidRPr="0078378F" w:rsidRDefault="001E4960">
                        <w:pPr>
                          <w:pStyle w:val="TableText"/>
                        </w:pPr>
                      </w:p>
                    </w:tc>
                    <w:tc>
                      <w:tcPr>
                        <w:tcW w:w="2043" w:type="pct"/>
                      </w:tcPr>
                      <w:p w14:paraId="04CC1786" w14:textId="77777777" w:rsidR="001E4960" w:rsidRPr="0078378F" w:rsidRDefault="001E4960">
                        <w:pPr>
                          <w:pStyle w:val="TableText"/>
                        </w:pPr>
                        <w:r w:rsidRPr="0078378F">
                          <w:t>Engagement with relevant support services</w:t>
                        </w:r>
                      </w:p>
                    </w:tc>
                    <w:tc>
                      <w:tcPr>
                        <w:tcW w:w="1938" w:type="pct"/>
                        <w:noWrap/>
                      </w:tcPr>
                      <w:p w14:paraId="24AF355D" w14:textId="6FF2C28B" w:rsidR="001E4960" w:rsidRPr="008D0F42" w:rsidRDefault="00ED2A97">
                        <w:pPr>
                          <w:pStyle w:val="TableText"/>
                        </w:pPr>
                        <w:r w:rsidRPr="00A919FD">
                          <w:t>58.3</w:t>
                        </w:r>
                        <w:r w:rsidR="001E4960" w:rsidRPr="00D63E8D">
                          <w:t>% (n=</w:t>
                        </w:r>
                        <w:r w:rsidRPr="00A919FD">
                          <w:t>1</w:t>
                        </w:r>
                        <w:r>
                          <w:t>,</w:t>
                        </w:r>
                        <w:r w:rsidRPr="00A919FD">
                          <w:t>833</w:t>
                        </w:r>
                        <w:r w:rsidR="001E4960" w:rsidRPr="00D63E8D">
                          <w:t>)</w:t>
                        </w:r>
                      </w:p>
                    </w:tc>
                  </w:tr>
                </w:tbl>
                <w:p w14:paraId="395E1ABD" w14:textId="4490D5EE" w:rsidR="009E4DA4" w:rsidRPr="00DE647E" w:rsidRDefault="001E4960" w:rsidP="00F165E8">
                  <w:pPr>
                    <w:pStyle w:val="Text"/>
                    <w:rPr>
                      <w:i/>
                      <w:lang w:val="en-US"/>
                    </w:rPr>
                  </w:pPr>
                  <w:r>
                    <w:rPr>
                      <w:i/>
                      <w:iCs/>
                      <w:lang w:val="en-US"/>
                    </w:rPr>
                    <w:t xml:space="preserve">Source: DEX-SCORE data </w:t>
                  </w:r>
                </w:p>
                <w:p w14:paraId="778A8BBD" w14:textId="597DEE20" w:rsidR="00F165E8" w:rsidRPr="00A56765" w:rsidRDefault="0031553A" w:rsidP="00F165E8">
                  <w:pPr>
                    <w:pStyle w:val="Text"/>
                    <w:rPr>
                      <w:lang w:val="en-US"/>
                    </w:rPr>
                  </w:pPr>
                  <w:r w:rsidRPr="00BF5122">
                    <w:rPr>
                      <w:lang w:val="en-US"/>
                    </w:rPr>
                    <w:t xml:space="preserve">Satisfaction in SFVS was very high with around 89–94% of </w:t>
                  </w:r>
                  <w:r w:rsidR="00E614D3">
                    <w:rPr>
                      <w:lang w:val="en-US"/>
                    </w:rPr>
                    <w:t xml:space="preserve">service </w:t>
                  </w:r>
                  <w:r w:rsidR="000B0940">
                    <w:rPr>
                      <w:lang w:val="en-US"/>
                    </w:rPr>
                    <w:t>users</w:t>
                  </w:r>
                  <w:r w:rsidRPr="00BF5122">
                    <w:rPr>
                      <w:lang w:val="en-US"/>
                    </w:rPr>
                    <w:t xml:space="preserve"> reporting positive satisfaction with the service. This means almost </w:t>
                  </w:r>
                  <w:r w:rsidR="008C7BAF">
                    <w:rPr>
                      <w:lang w:val="en-US"/>
                    </w:rPr>
                    <w:t>9</w:t>
                  </w:r>
                  <w:r w:rsidRPr="00BF5122">
                    <w:rPr>
                      <w:lang w:val="en-US"/>
                    </w:rPr>
                    <w:t xml:space="preserve"> in </w:t>
                  </w:r>
                  <w:r w:rsidR="008C7BAF">
                    <w:rPr>
                      <w:lang w:val="en-US"/>
                    </w:rPr>
                    <w:t>10</w:t>
                  </w:r>
                  <w:r w:rsidRPr="00BF5122">
                    <w:rPr>
                      <w:lang w:val="en-US"/>
                    </w:rPr>
                    <w:t xml:space="preserve"> </w:t>
                  </w:r>
                  <w:r w:rsidR="00E614D3">
                    <w:rPr>
                      <w:lang w:val="en-US"/>
                    </w:rPr>
                    <w:t xml:space="preserve">service </w:t>
                  </w:r>
                  <w:r w:rsidR="000B0940">
                    <w:rPr>
                      <w:lang w:val="en-US"/>
                    </w:rPr>
                    <w:t>users</w:t>
                  </w:r>
                  <w:r w:rsidRPr="00BF5122">
                    <w:rPr>
                      <w:lang w:val="en-US"/>
                    </w:rPr>
                    <w:t xml:space="preserve"> felt the service was helpful and met their expectations. </w:t>
                  </w:r>
                  <w:r w:rsidR="00C95CA9">
                    <w:rPr>
                      <w:lang w:val="en-US"/>
                    </w:rPr>
                    <w:t>T</w:t>
                  </w:r>
                  <w:r w:rsidRPr="00BF5122">
                    <w:rPr>
                      <w:lang w:val="en-US"/>
                    </w:rPr>
                    <w:t>hese satisfaction rates increased in later years.</w:t>
                  </w:r>
                  <w:r w:rsidR="00E56AB2">
                    <w:rPr>
                      <w:lang w:val="en-US"/>
                    </w:rPr>
                    <w:t xml:space="preserve"> This quantitative </w:t>
                  </w:r>
                  <w:r w:rsidR="00DE4E38">
                    <w:rPr>
                      <w:lang w:val="en-US"/>
                    </w:rPr>
                    <w:t xml:space="preserve">finding </w:t>
                  </w:r>
                  <w:r w:rsidR="00E56AB2">
                    <w:rPr>
                      <w:lang w:val="en-US"/>
                    </w:rPr>
                    <w:t>is also reflected in the qualitative data</w:t>
                  </w:r>
                  <w:r w:rsidR="00DE4E38">
                    <w:rPr>
                      <w:lang w:val="en-US"/>
                    </w:rPr>
                    <w:t>,</w:t>
                  </w:r>
                  <w:r w:rsidR="00E56AB2">
                    <w:rPr>
                      <w:lang w:val="en-US"/>
                    </w:rPr>
                    <w:t xml:space="preserve"> which indicates high satisfaction rates with SFVS services. </w:t>
                  </w:r>
                </w:p>
                <w:p w14:paraId="5DD5710E" w14:textId="77777777" w:rsidR="008D6CEE" w:rsidRDefault="008D6CEE" w:rsidP="00321BC5">
                  <w:pPr>
                    <w:pStyle w:val="Text-BodyHeading"/>
                    <w:spacing w:before="360" w:after="240"/>
                  </w:pPr>
                  <w:r>
                    <w:t xml:space="preserve">Personal and family safety </w:t>
                  </w:r>
                </w:p>
                <w:p w14:paraId="4BBD6ECB" w14:textId="372F9B59" w:rsidR="00DD6CA4" w:rsidRDefault="00DD6CA4" w:rsidP="00DE647E">
                  <w:pPr>
                    <w:pStyle w:val="Text"/>
                  </w:pPr>
                  <w:r>
                    <w:rPr>
                      <w:lang w:val="en-US"/>
                    </w:rPr>
                    <w:t>DEX-SCORE data for the Circumstances domain personal and family safety shows SFVS services experienced a 0.</w:t>
                  </w:r>
                  <w:r w:rsidR="000F4086">
                    <w:rPr>
                      <w:lang w:val="en-US"/>
                    </w:rPr>
                    <w:t>9</w:t>
                  </w:r>
                  <w:r>
                    <w:rPr>
                      <w:lang w:val="en-US"/>
                    </w:rPr>
                    <w:t xml:space="preserve"> increase in the earliest to latest mean SCORE with </w:t>
                  </w:r>
                  <w:r w:rsidR="000F4086">
                    <w:rPr>
                      <w:lang w:val="en-US"/>
                    </w:rPr>
                    <w:t>57.0</w:t>
                  </w:r>
                  <w:r>
                    <w:rPr>
                      <w:lang w:val="en-US"/>
                    </w:rPr>
                    <w:t xml:space="preserve">% experiencing a positive change (see </w:t>
                  </w:r>
                  <w:r w:rsidRPr="00986254">
                    <w:rPr>
                      <w:b/>
                      <w:bCs/>
                      <w:lang w:val="en-US"/>
                    </w:rPr>
                    <w:fldChar w:fldCharType="begin" w:fldLock="1"/>
                  </w:r>
                  <w:r w:rsidRPr="00986254">
                    <w:rPr>
                      <w:b/>
                      <w:bCs/>
                      <w:lang w:val="en-US"/>
                    </w:rPr>
                    <w:instrText xml:space="preserve"> REF _Ref208417776 \h </w:instrText>
                  </w:r>
                  <w:r w:rsidR="00986254">
                    <w:rPr>
                      <w:b/>
                      <w:bCs/>
                      <w:lang w:val="en-US"/>
                    </w:rPr>
                    <w:instrText xml:space="preserve"> \* MERGEFORMAT </w:instrText>
                  </w:r>
                  <w:r w:rsidRPr="00986254">
                    <w:rPr>
                      <w:b/>
                      <w:bCs/>
                      <w:lang w:val="en-US"/>
                    </w:rPr>
                  </w:r>
                  <w:r w:rsidRPr="00986254">
                    <w:rPr>
                      <w:b/>
                      <w:bCs/>
                      <w:lang w:val="en-US"/>
                    </w:rPr>
                    <w:fldChar w:fldCharType="separate"/>
                  </w:r>
                  <w:r w:rsidR="008F22E5" w:rsidRPr="008F22E5">
                    <w:rPr>
                      <w:b/>
                      <w:bCs/>
                    </w:rPr>
                    <w:t xml:space="preserve">Table </w:t>
                  </w:r>
                  <w:r w:rsidR="008F22E5" w:rsidRPr="008F22E5">
                    <w:rPr>
                      <w:b/>
                      <w:bCs/>
                      <w:noProof/>
                    </w:rPr>
                    <w:t>24</w:t>
                  </w:r>
                  <w:r w:rsidRPr="00986254">
                    <w:rPr>
                      <w:b/>
                      <w:bCs/>
                      <w:lang w:val="en-US"/>
                    </w:rPr>
                    <w:fldChar w:fldCharType="end"/>
                  </w:r>
                  <w:r>
                    <w:rPr>
                      <w:lang w:val="en-US"/>
                    </w:rPr>
                    <w:t xml:space="preserve">). </w:t>
                  </w:r>
                </w:p>
                <w:p w14:paraId="1E242BDE" w14:textId="726DA616" w:rsidR="00D42172" w:rsidRDefault="00D42172" w:rsidP="00953B9E">
                  <w:pPr>
                    <w:pStyle w:val="TableFigure-Header"/>
                    <w:spacing w:line="276" w:lineRule="auto"/>
                    <w:jc w:val="both"/>
                    <w:rPr>
                      <w:rStyle w:val="Text-Bold"/>
                      <w:b/>
                      <w:bCs/>
                    </w:rPr>
                  </w:pPr>
                  <w:bookmarkStart w:id="409" w:name="_Ref208417776"/>
                  <w:r w:rsidRPr="5AC90C80">
                    <w:rPr>
                      <w:lang w:val="en-NZ"/>
                    </w:rPr>
                    <w:t xml:space="preserve">Table </w:t>
                  </w:r>
                  <w:r w:rsidRPr="5AC90C80">
                    <w:fldChar w:fldCharType="begin"/>
                  </w:r>
                  <w:r>
                    <w:instrText xml:space="preserve"> SEQ Table \* ARABIC </w:instrText>
                  </w:r>
                  <w:r w:rsidRPr="5AC90C80">
                    <w:fldChar w:fldCharType="separate"/>
                  </w:r>
                  <w:r w:rsidR="008D2566">
                    <w:rPr>
                      <w:noProof/>
                    </w:rPr>
                    <w:t>24</w:t>
                  </w:r>
                  <w:r w:rsidRPr="5AC90C80">
                    <w:rPr>
                      <w:noProof/>
                    </w:rPr>
                    <w:fldChar w:fldCharType="end"/>
                  </w:r>
                  <w:bookmarkEnd w:id="409"/>
                  <w:r w:rsidRPr="5AC90C80">
                    <w:rPr>
                      <w:lang w:val="en-NZ"/>
                    </w:rPr>
                    <w:t xml:space="preserve">: Earliest and latest mean SCORE change and percentage of service users with positive SCORE change for personal and family safety, </w:t>
                  </w:r>
                  <w:r w:rsidR="00DD6CA4" w:rsidRPr="5AC90C80">
                    <w:rPr>
                      <w:lang w:val="en-NZ"/>
                    </w:rPr>
                    <w:t>SFVS</w:t>
                  </w:r>
                  <w:r w:rsidR="32758794" w:rsidRPr="5AC90C80">
                    <w:rPr>
                      <w:lang w:val="en-NZ"/>
                    </w:rPr>
                    <w:t>,</w:t>
                  </w:r>
                  <w:r w:rsidR="32758794" w:rsidRPr="5AC90C80">
                    <w:rPr>
                      <w:rStyle w:val="Text-Bold"/>
                      <w:b/>
                      <w:bCs/>
                    </w:rPr>
                    <w:t xml:space="preserve"> July 2021 </w:t>
                  </w:r>
                  <w:r w:rsidR="00953B9E">
                    <w:rPr>
                      <w:rStyle w:val="Text-Bold"/>
                      <w:b/>
                      <w:bCs/>
                    </w:rPr>
                    <w:t>to</w:t>
                  </w:r>
                  <w:r w:rsidR="32758794" w:rsidRPr="5AC90C80">
                    <w:rPr>
                      <w:rStyle w:val="Text-Bold"/>
                      <w:b/>
                      <w:bCs/>
                    </w:rPr>
                    <w:t xml:space="preserve"> June 2024</w:t>
                  </w:r>
                </w:p>
                <w:tbl>
                  <w:tblPr>
                    <w:tblStyle w:val="ListTable3-Accent31"/>
                    <w:tblW w:w="89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57"/>
                    <w:gridCol w:w="1547"/>
                    <w:gridCol w:w="2345"/>
                    <w:gridCol w:w="3000"/>
                  </w:tblGrid>
                  <w:tr w:rsidR="00D42172" w:rsidRPr="000D7494" w14:paraId="0F8B06AC" w14:textId="77777777" w:rsidTr="00D032E3">
                    <w:trPr>
                      <w:cnfStyle w:val="100000000000" w:firstRow="1" w:lastRow="0" w:firstColumn="0" w:lastColumn="0" w:oddVBand="0" w:evenVBand="0" w:oddHBand="0" w:evenHBand="0" w:firstRowFirstColumn="0" w:firstRowLastColumn="0" w:lastRowFirstColumn="0" w:lastRowLastColumn="0"/>
                      <w:trHeight w:val="899"/>
                    </w:trPr>
                    <w:tc>
                      <w:tcPr>
                        <w:cnfStyle w:val="001000000100" w:firstRow="0" w:lastRow="0" w:firstColumn="1" w:lastColumn="0" w:oddVBand="0" w:evenVBand="0" w:oddHBand="0" w:evenHBand="0" w:firstRowFirstColumn="1" w:firstRowLastColumn="0" w:lastRowFirstColumn="0" w:lastRowLastColumn="0"/>
                        <w:tcW w:w="2057" w:type="dxa"/>
                        <w:tcBorders>
                          <w:bottom w:val="none" w:sz="0" w:space="0" w:color="auto"/>
                          <w:right w:val="none" w:sz="0" w:space="0" w:color="auto"/>
                        </w:tcBorders>
                        <w:noWrap/>
                        <w:hideMark/>
                      </w:tcPr>
                      <w:p w14:paraId="6CB3A5BC" w14:textId="77777777" w:rsidR="00004341" w:rsidRPr="000D7494" w:rsidRDefault="00004341">
                        <w:pPr>
                          <w:pStyle w:val="TableText"/>
                        </w:pPr>
                        <w:r w:rsidRPr="000D7494">
                          <w:t>Outcome type</w:t>
                        </w:r>
                      </w:p>
                    </w:tc>
                    <w:tc>
                      <w:tcPr>
                        <w:tcW w:w="1547" w:type="dxa"/>
                        <w:noWrap/>
                        <w:hideMark/>
                      </w:tcPr>
                      <w:p w14:paraId="42E9FF14" w14:textId="77777777" w:rsidR="00004341" w:rsidRPr="000D7494" w:rsidRDefault="00004341">
                        <w:pPr>
                          <w:pStyle w:val="TableText"/>
                          <w:cnfStyle w:val="100000000000" w:firstRow="1" w:lastRow="0" w:firstColumn="0" w:lastColumn="0" w:oddVBand="0" w:evenVBand="0" w:oddHBand="0" w:evenHBand="0" w:firstRowFirstColumn="0" w:firstRowLastColumn="0" w:lastRowFirstColumn="0" w:lastRowLastColumn="0"/>
                        </w:pPr>
                        <w:r w:rsidRPr="000D7494">
                          <w:t>Domain</w:t>
                        </w:r>
                      </w:p>
                    </w:tc>
                    <w:tc>
                      <w:tcPr>
                        <w:tcW w:w="2345" w:type="dxa"/>
                      </w:tcPr>
                      <w:p w14:paraId="25EB7DC1" w14:textId="77777777" w:rsidR="00D42172" w:rsidRPr="000D7494" w:rsidRDefault="00004341">
                        <w:pPr>
                          <w:pStyle w:val="TableText"/>
                          <w:cnfStyle w:val="100000000000" w:firstRow="1" w:lastRow="0" w:firstColumn="0" w:lastColumn="0" w:oddVBand="0" w:evenVBand="0" w:oddHBand="0" w:evenHBand="0" w:firstRowFirstColumn="0" w:firstRowLastColumn="0" w:lastRowFirstColumn="0" w:lastRowLastColumn="0"/>
                        </w:pPr>
                        <w:r w:rsidRPr="000D7494">
                          <w:t>SCORE change (mean</w:t>
                        </w:r>
                        <w:r w:rsidR="00D42172">
                          <w:t>, n=)</w:t>
                        </w:r>
                      </w:p>
                    </w:tc>
                    <w:tc>
                      <w:tcPr>
                        <w:tcW w:w="3000" w:type="dxa"/>
                        <w:hideMark/>
                      </w:tcPr>
                      <w:p w14:paraId="564426A2" w14:textId="77777777" w:rsidR="00004341" w:rsidRPr="000D7494" w:rsidRDefault="00D42172">
                        <w:pPr>
                          <w:pStyle w:val="TableText"/>
                          <w:cnfStyle w:val="100000000000" w:firstRow="1" w:lastRow="0" w:firstColumn="0" w:lastColumn="0" w:oddVBand="0" w:evenVBand="0" w:oddHBand="0" w:evenHBand="0" w:firstRowFirstColumn="0" w:firstRowLastColumn="0" w:lastRowFirstColumn="0" w:lastRowLastColumn="0"/>
                        </w:pPr>
                        <w:r>
                          <w:t>Service users</w:t>
                        </w:r>
                        <w:r w:rsidRPr="000D7494">
                          <w:t xml:space="preserve"> with</w:t>
                        </w:r>
                        <w:r w:rsidR="00004341" w:rsidRPr="000D7494">
                          <w:t xml:space="preserve"> positive change (%, n)</w:t>
                        </w:r>
                      </w:p>
                    </w:tc>
                  </w:tr>
                  <w:tr w:rsidR="00261420" w:rsidRPr="000D7494" w14:paraId="75668CED" w14:textId="77777777" w:rsidTr="00D032E3">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0" w:type="dxa"/>
                        <w:tcBorders>
                          <w:top w:val="none" w:sz="0" w:space="0" w:color="auto"/>
                          <w:bottom w:val="none" w:sz="0" w:space="0" w:color="auto"/>
                          <w:right w:val="none" w:sz="0" w:space="0" w:color="auto"/>
                        </w:tcBorders>
                        <w:noWrap/>
                        <w:hideMark/>
                      </w:tcPr>
                      <w:p w14:paraId="638BA496" w14:textId="77777777" w:rsidR="00004341" w:rsidRPr="0078378F" w:rsidRDefault="00004341">
                        <w:pPr>
                          <w:pStyle w:val="TableText"/>
                          <w:rPr>
                            <w:b w:val="0"/>
                            <w:bCs w:val="0"/>
                          </w:rPr>
                        </w:pPr>
                        <w:r w:rsidRPr="0078378F">
                          <w:rPr>
                            <w:b w:val="0"/>
                            <w:bCs w:val="0"/>
                          </w:rPr>
                          <w:t>Circumstance</w:t>
                        </w:r>
                      </w:p>
                    </w:tc>
                    <w:tc>
                      <w:tcPr>
                        <w:tcW w:w="0" w:type="dxa"/>
                        <w:tcBorders>
                          <w:top w:val="none" w:sz="0" w:space="0" w:color="auto"/>
                          <w:bottom w:val="none" w:sz="0" w:space="0" w:color="auto"/>
                        </w:tcBorders>
                        <w:noWrap/>
                        <w:hideMark/>
                      </w:tcPr>
                      <w:p w14:paraId="7F35FFDB" w14:textId="77777777" w:rsidR="00004341" w:rsidRPr="0078378F" w:rsidRDefault="00004341">
                        <w:pPr>
                          <w:pStyle w:val="TableText"/>
                          <w:cnfStyle w:val="000000100000" w:firstRow="0" w:lastRow="0" w:firstColumn="0" w:lastColumn="0" w:oddVBand="0" w:evenVBand="0" w:oddHBand="1" w:evenHBand="0" w:firstRowFirstColumn="0" w:firstRowLastColumn="0" w:lastRowFirstColumn="0" w:lastRowLastColumn="0"/>
                        </w:pPr>
                        <w:r w:rsidRPr="0078378F">
                          <w:t>Personal and family safety</w:t>
                        </w:r>
                      </w:p>
                    </w:tc>
                    <w:tc>
                      <w:tcPr>
                        <w:tcW w:w="0" w:type="dxa"/>
                        <w:tcBorders>
                          <w:top w:val="none" w:sz="0" w:space="0" w:color="auto"/>
                          <w:bottom w:val="none" w:sz="0" w:space="0" w:color="auto"/>
                        </w:tcBorders>
                      </w:tcPr>
                      <w:p w14:paraId="55A56DF1" w14:textId="54E47295" w:rsidR="00D42172" w:rsidRPr="000D7494" w:rsidRDefault="00004341">
                        <w:pPr>
                          <w:pStyle w:val="TableText"/>
                          <w:cnfStyle w:val="000000100000" w:firstRow="0" w:lastRow="0" w:firstColumn="0" w:lastColumn="0" w:oddVBand="0" w:evenVBand="0" w:oddHBand="1" w:evenHBand="0" w:firstRowFirstColumn="0" w:firstRowLastColumn="0" w:lastRowFirstColumn="0" w:lastRowLastColumn="0"/>
                        </w:pPr>
                        <w:r w:rsidRPr="000D7494">
                          <w:t>0.</w:t>
                        </w:r>
                        <w:r w:rsidR="00DD6CA4">
                          <w:t>9</w:t>
                        </w:r>
                        <w:r w:rsidR="00D42172">
                          <w:t xml:space="preserve"> (n=</w:t>
                        </w:r>
                        <w:r w:rsidR="00DD6CA4">
                          <w:t>6,292</w:t>
                        </w:r>
                        <w:r w:rsidR="00D42172">
                          <w:t>)</w:t>
                        </w:r>
                      </w:p>
                    </w:tc>
                    <w:tc>
                      <w:tcPr>
                        <w:tcW w:w="0" w:type="dxa"/>
                        <w:tcBorders>
                          <w:top w:val="none" w:sz="0" w:space="0" w:color="auto"/>
                          <w:bottom w:val="none" w:sz="0" w:space="0" w:color="auto"/>
                        </w:tcBorders>
                        <w:noWrap/>
                        <w:hideMark/>
                      </w:tcPr>
                      <w:p w14:paraId="46779A48" w14:textId="3E15EE5B" w:rsidR="00004341" w:rsidRPr="000D7494" w:rsidRDefault="00DD6CA4">
                        <w:pPr>
                          <w:pStyle w:val="TableText"/>
                          <w:cnfStyle w:val="000000100000" w:firstRow="0" w:lastRow="0" w:firstColumn="0" w:lastColumn="0" w:oddVBand="0" w:evenVBand="0" w:oddHBand="1" w:evenHBand="0" w:firstRowFirstColumn="0" w:firstRowLastColumn="0" w:lastRowFirstColumn="0" w:lastRowLastColumn="0"/>
                        </w:pPr>
                        <w:r>
                          <w:t>57.0% (3,585)</w:t>
                        </w:r>
                      </w:p>
                    </w:tc>
                  </w:tr>
                </w:tbl>
                <w:p w14:paraId="37BC246E" w14:textId="3400F688" w:rsidR="00FC4D45" w:rsidRPr="00DE647E" w:rsidRDefault="00D42172" w:rsidP="003E197F">
                  <w:pPr>
                    <w:pStyle w:val="Text"/>
                    <w:rPr>
                      <w:i/>
                      <w:sz w:val="20"/>
                      <w:szCs w:val="18"/>
                      <w:lang w:val="en-US"/>
                    </w:rPr>
                  </w:pPr>
                  <w:r w:rsidRPr="00DE647E">
                    <w:rPr>
                      <w:i/>
                      <w:sz w:val="20"/>
                      <w:szCs w:val="18"/>
                      <w:lang w:val="en-US"/>
                    </w:rPr>
                    <w:t xml:space="preserve">Source: DEX-SCORE data </w:t>
                  </w:r>
                </w:p>
                <w:p w14:paraId="7E3656CC" w14:textId="680AD2AD" w:rsidR="0035675A" w:rsidRDefault="008076B3" w:rsidP="003E197F">
                  <w:pPr>
                    <w:pStyle w:val="Text"/>
                  </w:pPr>
                  <w:r>
                    <w:rPr>
                      <w:lang w:val="en-AU"/>
                    </w:rPr>
                    <w:t xml:space="preserve">Many </w:t>
                  </w:r>
                  <w:r w:rsidR="00C207C7">
                    <w:rPr>
                      <w:lang w:val="en-AU"/>
                    </w:rPr>
                    <w:t>service users reflected</w:t>
                  </w:r>
                  <w:r w:rsidR="00250DC7">
                    <w:rPr>
                      <w:lang w:val="en-AU"/>
                    </w:rPr>
                    <w:t xml:space="preserve"> that accessing</w:t>
                  </w:r>
                  <w:r w:rsidR="00C207C7">
                    <w:rPr>
                      <w:lang w:val="en-AU"/>
                    </w:rPr>
                    <w:t xml:space="preserve"> </w:t>
                  </w:r>
                  <w:r w:rsidR="009D5401">
                    <w:rPr>
                      <w:lang w:val="en-AU"/>
                    </w:rPr>
                    <w:t>a</w:t>
                  </w:r>
                  <w:r w:rsidR="00C207C7">
                    <w:rPr>
                      <w:lang w:val="en-AU"/>
                    </w:rPr>
                    <w:t xml:space="preserve"> SFVS </w:t>
                  </w:r>
                  <w:r w:rsidR="002023C9">
                    <w:rPr>
                      <w:lang w:val="en-AU"/>
                    </w:rPr>
                    <w:t xml:space="preserve">service </w:t>
                  </w:r>
                  <w:r w:rsidR="00246EFD">
                    <w:rPr>
                      <w:lang w:val="en-AU"/>
                    </w:rPr>
                    <w:t xml:space="preserve">had </w:t>
                  </w:r>
                  <w:r w:rsidR="008C4111">
                    <w:rPr>
                      <w:lang w:val="en-AU"/>
                    </w:rPr>
                    <w:t xml:space="preserve">been crucial in </w:t>
                  </w:r>
                  <w:r w:rsidR="00390439">
                    <w:rPr>
                      <w:lang w:val="en-AU"/>
                    </w:rPr>
                    <w:t xml:space="preserve">helping them </w:t>
                  </w:r>
                  <w:r w:rsidR="009B4BCD">
                    <w:rPr>
                      <w:lang w:val="en-AU"/>
                    </w:rPr>
                    <w:t xml:space="preserve">identify </w:t>
                  </w:r>
                  <w:r w:rsidR="00326F3B">
                    <w:rPr>
                      <w:lang w:val="en-AU"/>
                    </w:rPr>
                    <w:t>their</w:t>
                  </w:r>
                  <w:r w:rsidR="00AD7D3A">
                    <w:rPr>
                      <w:lang w:val="en-AU"/>
                    </w:rPr>
                    <w:t xml:space="preserve"> </w:t>
                  </w:r>
                  <w:r w:rsidR="00246EFD">
                    <w:rPr>
                      <w:lang w:val="en-AU"/>
                    </w:rPr>
                    <w:t xml:space="preserve">relationships as </w:t>
                  </w:r>
                  <w:r w:rsidR="00953B9E">
                    <w:rPr>
                      <w:lang w:val="en-AU"/>
                    </w:rPr>
                    <w:t>abusive and</w:t>
                  </w:r>
                  <w:r w:rsidR="001D111D">
                    <w:rPr>
                      <w:lang w:val="en-AU"/>
                    </w:rPr>
                    <w:t xml:space="preserve"> </w:t>
                  </w:r>
                  <w:r w:rsidR="00E917AD">
                    <w:rPr>
                      <w:lang w:val="en-AU"/>
                    </w:rPr>
                    <w:t>understanding i</w:t>
                  </w:r>
                  <w:r w:rsidR="001D111D">
                    <w:rPr>
                      <w:lang w:val="en-AU"/>
                    </w:rPr>
                    <w:t>ssues</w:t>
                  </w:r>
                  <w:r w:rsidR="00E917AD">
                    <w:rPr>
                      <w:lang w:val="en-AU"/>
                    </w:rPr>
                    <w:t xml:space="preserve"> of both their own </w:t>
                  </w:r>
                  <w:r w:rsidR="00157F25">
                    <w:rPr>
                      <w:lang w:val="en-AU"/>
                    </w:rPr>
                    <w:t>safety</w:t>
                  </w:r>
                  <w:r w:rsidR="00E917AD">
                    <w:rPr>
                      <w:lang w:val="en-AU"/>
                    </w:rPr>
                    <w:t xml:space="preserve"> and the safety of their families. </w:t>
                  </w:r>
                  <w:r w:rsidR="009A12DB">
                    <w:t xml:space="preserve">This was particularly notable for service users who were </w:t>
                  </w:r>
                  <w:r w:rsidR="00270EA9">
                    <w:t>experiencing</w:t>
                  </w:r>
                  <w:r w:rsidR="009A12DB">
                    <w:t xml:space="preserve"> non-</w:t>
                  </w:r>
                  <w:r w:rsidR="00270EA9">
                    <w:t>physical</w:t>
                  </w:r>
                  <w:r w:rsidR="009A12DB">
                    <w:t xml:space="preserve"> forms of abuse</w:t>
                  </w:r>
                  <w:r w:rsidR="00270EA9">
                    <w:t>, such as coercive control and financial abuse.</w:t>
                  </w:r>
                  <w:r w:rsidR="00D85183">
                    <w:t xml:space="preserve"> These service users often reflected that </w:t>
                  </w:r>
                  <w:r w:rsidR="00E851A9">
                    <w:t xml:space="preserve">prior to using the service, </w:t>
                  </w:r>
                  <w:r w:rsidR="00D85183">
                    <w:t xml:space="preserve">they did not </w:t>
                  </w:r>
                  <w:r w:rsidR="00E851A9">
                    <w:t xml:space="preserve">know that they </w:t>
                  </w:r>
                  <w:r w:rsidR="00E851A9">
                    <w:lastRenderedPageBreak/>
                    <w:t xml:space="preserve">were experiencing abuse, nor the diversity </w:t>
                  </w:r>
                  <w:r w:rsidR="00635BC3">
                    <w:t xml:space="preserve">of forms that </w:t>
                  </w:r>
                  <w:r w:rsidR="00A40FB9">
                    <w:t>family</w:t>
                  </w:r>
                  <w:r w:rsidR="00635BC3">
                    <w:t xml:space="preserve"> violence can take.</w:t>
                  </w:r>
                  <w:r w:rsidR="007E6277">
                    <w:t xml:space="preserve"> </w:t>
                  </w:r>
                  <w:r w:rsidR="00D46356">
                    <w:t xml:space="preserve">Service users noted that this knowledge would </w:t>
                  </w:r>
                  <w:r w:rsidR="00F20699">
                    <w:t xml:space="preserve">help </w:t>
                  </w:r>
                  <w:r w:rsidR="00FF60EE">
                    <w:t>them in future relationships.</w:t>
                  </w:r>
                </w:p>
                <w:p w14:paraId="57218179" w14:textId="5048D0E7" w:rsidR="003F3CA6" w:rsidRPr="0035675A" w:rsidRDefault="008A026A" w:rsidP="0035675A">
                  <w:pPr>
                    <w:pBdr>
                      <w:left w:val="single" w:sz="18" w:space="4" w:color="78B800" w:themeColor="accent1"/>
                    </w:pBdr>
                    <w:tabs>
                      <w:tab w:val="left" w:pos="8080"/>
                    </w:tabs>
                    <w:spacing w:after="0"/>
                    <w:ind w:left="851" w:right="949"/>
                    <w:rPr>
                      <w:i/>
                    </w:rPr>
                  </w:pPr>
                  <w:r w:rsidRPr="008E1B83">
                    <w:rPr>
                      <w:i/>
                      <w:noProof/>
                    </w:rPr>
                    <w:drawing>
                      <wp:anchor distT="0" distB="0" distL="114300" distR="114300" simplePos="0" relativeHeight="251658284" behindDoc="0" locked="1" layoutInCell="1" allowOverlap="1" wp14:anchorId="3850A261" wp14:editId="446E2392">
                        <wp:simplePos x="0" y="0"/>
                        <wp:positionH relativeFrom="column">
                          <wp:posOffset>0</wp:posOffset>
                        </wp:positionH>
                        <wp:positionV relativeFrom="paragraph">
                          <wp:posOffset>0</wp:posOffset>
                        </wp:positionV>
                        <wp:extent cx="384810" cy="320040"/>
                        <wp:effectExtent l="0" t="0" r="0" b="3810"/>
                        <wp:wrapNone/>
                        <wp:docPr id="186242546" name="Graphic 186242546" descr="P2193#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242546" name="Graphic 186242546" descr="P2193#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44CF0" w:rsidRPr="008E1B83">
                    <w:rPr>
                      <w:i/>
                    </w:rPr>
                    <w:t>A number of things [counsellor] has been able to provide in terms of education have been very significant</w:t>
                  </w:r>
                  <w:r w:rsidR="0059791A">
                    <w:rPr>
                      <w:i/>
                    </w:rPr>
                    <w:t xml:space="preserve"> [</w:t>
                  </w:r>
                  <w:r w:rsidR="00906BDF">
                    <w:rPr>
                      <w:i/>
                    </w:rPr>
                    <w:t>…</w:t>
                  </w:r>
                  <w:r w:rsidR="0059791A">
                    <w:rPr>
                      <w:i/>
                    </w:rPr>
                    <w:t>]</w:t>
                  </w:r>
                  <w:r w:rsidR="00044CF0" w:rsidRPr="008E1B83">
                    <w:rPr>
                      <w:i/>
                    </w:rPr>
                    <w:t xml:space="preserve"> it was very supportive and validating, [she was] able to provide a lot of knowledge, technical knowledge, not just resources, something as simple as sending a document on boundaries, and what a bill of rights might look like</w:t>
                  </w:r>
                  <w:r w:rsidR="0059791A">
                    <w:rPr>
                      <w:i/>
                    </w:rPr>
                    <w:t xml:space="preserve"> [</w:t>
                  </w:r>
                  <w:r w:rsidR="00044CF0" w:rsidRPr="008E1B83">
                    <w:rPr>
                      <w:i/>
                    </w:rPr>
                    <w:t>…</w:t>
                  </w:r>
                  <w:r w:rsidR="0059791A">
                    <w:rPr>
                      <w:i/>
                    </w:rPr>
                    <w:t>]</w:t>
                  </w:r>
                  <w:r w:rsidR="00044CF0" w:rsidRPr="008E1B83">
                    <w:rPr>
                      <w:i/>
                    </w:rPr>
                    <w:t xml:space="preserve"> [I] hadn’t understood how the relationship had evolved into a dangerous [one] </w:t>
                  </w:r>
                  <w:r w:rsidRPr="002E7992">
                    <w:rPr>
                      <w:b/>
                      <w:bCs/>
                      <w:i/>
                      <w:iCs/>
                    </w:rPr>
                    <w:t>–</w:t>
                  </w:r>
                  <w:r>
                    <w:rPr>
                      <w:b/>
                      <w:bCs/>
                      <w:i/>
                      <w:iCs/>
                    </w:rPr>
                    <w:t xml:space="preserve"> S</w:t>
                  </w:r>
                  <w:r w:rsidR="00044CF0">
                    <w:rPr>
                      <w:b/>
                      <w:bCs/>
                      <w:i/>
                      <w:iCs/>
                    </w:rPr>
                    <w:t>FVS</w:t>
                  </w:r>
                  <w:r>
                    <w:rPr>
                      <w:b/>
                      <w:bCs/>
                      <w:i/>
                      <w:iCs/>
                    </w:rPr>
                    <w:t xml:space="preserve"> s</w:t>
                  </w:r>
                  <w:r w:rsidRPr="002E7992">
                    <w:rPr>
                      <w:b/>
                      <w:bCs/>
                      <w:i/>
                      <w:iCs/>
                    </w:rPr>
                    <w:t xml:space="preserve">ervice </w:t>
                  </w:r>
                  <w:r>
                    <w:rPr>
                      <w:b/>
                      <w:bCs/>
                      <w:i/>
                      <w:iCs/>
                    </w:rPr>
                    <w:t>user</w:t>
                  </w:r>
                </w:p>
                <w:p w14:paraId="659CAF03" w14:textId="77777777" w:rsidR="003F3CA6" w:rsidRDefault="003F3CA6" w:rsidP="003E197F">
                  <w:pPr>
                    <w:pStyle w:val="Text"/>
                  </w:pPr>
                </w:p>
                <w:p w14:paraId="2AA23032" w14:textId="710EA680" w:rsidR="00CF4245" w:rsidRPr="001B1CDA" w:rsidRDefault="00EF43E3" w:rsidP="00CF4245">
                  <w:pPr>
                    <w:pBdr>
                      <w:left w:val="single" w:sz="18" w:space="4" w:color="78B800" w:themeColor="accent1"/>
                    </w:pBdr>
                    <w:tabs>
                      <w:tab w:val="left" w:pos="8080"/>
                    </w:tabs>
                    <w:spacing w:after="0"/>
                    <w:ind w:left="851" w:right="949"/>
                    <w:rPr>
                      <w:i/>
                    </w:rPr>
                  </w:pPr>
                  <w:r w:rsidRPr="008E1B83">
                    <w:rPr>
                      <w:i/>
                    </w:rPr>
                    <w:t>The education that [counsellor] gave me was brilliant. You could tell that she understood that I didn’t know what I was in, she was able to educate me in a really sensitive way. It was a lot to take on. I’m an educated, smart, confident woman. And still this was a lot for me to take on</w:t>
                  </w:r>
                  <w:r w:rsidR="0059791A">
                    <w:rPr>
                      <w:i/>
                    </w:rPr>
                    <w:t xml:space="preserve"> [</w:t>
                  </w:r>
                  <w:r w:rsidRPr="008E1B83">
                    <w:rPr>
                      <w:i/>
                    </w:rPr>
                    <w:t>…</w:t>
                  </w:r>
                  <w:r w:rsidR="0059791A">
                    <w:rPr>
                      <w:i/>
                    </w:rPr>
                    <w:t>]</w:t>
                  </w:r>
                  <w:r w:rsidRPr="008E1B83">
                    <w:rPr>
                      <w:i/>
                    </w:rPr>
                    <w:t xml:space="preserve"> The way she was able to educate me was incredible. If you could clone her – she was amazing</w:t>
                  </w:r>
                  <w:r w:rsidR="00CF4245" w:rsidRPr="008E1B83">
                    <w:rPr>
                      <w:i/>
                      <w:noProof/>
                    </w:rPr>
                    <w:drawing>
                      <wp:anchor distT="0" distB="0" distL="114300" distR="114300" simplePos="0" relativeHeight="251658285" behindDoc="0" locked="1" layoutInCell="1" allowOverlap="1" wp14:anchorId="2B1FB9C5" wp14:editId="4622F1A0">
                        <wp:simplePos x="0" y="0"/>
                        <wp:positionH relativeFrom="column">
                          <wp:posOffset>0</wp:posOffset>
                        </wp:positionH>
                        <wp:positionV relativeFrom="paragraph">
                          <wp:posOffset>0</wp:posOffset>
                        </wp:positionV>
                        <wp:extent cx="384810" cy="320040"/>
                        <wp:effectExtent l="0" t="0" r="0" b="3810"/>
                        <wp:wrapNone/>
                        <wp:docPr id="67424448" name="Graphic 67424448" descr="P2195#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24448" name="Graphic 67424448" descr="P2195#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7396F">
                    <w:t xml:space="preserve"> </w:t>
                  </w:r>
                  <w:r w:rsidR="00CF4245" w:rsidRPr="002E7992">
                    <w:rPr>
                      <w:b/>
                      <w:bCs/>
                      <w:i/>
                      <w:iCs/>
                    </w:rPr>
                    <w:t>–</w:t>
                  </w:r>
                  <w:r w:rsidR="00CF4245">
                    <w:rPr>
                      <w:b/>
                      <w:bCs/>
                      <w:i/>
                      <w:iCs/>
                    </w:rPr>
                    <w:t xml:space="preserve"> SFVS s</w:t>
                  </w:r>
                  <w:r w:rsidR="00CF4245" w:rsidRPr="002E7992">
                    <w:rPr>
                      <w:b/>
                      <w:bCs/>
                      <w:i/>
                      <w:iCs/>
                    </w:rPr>
                    <w:t xml:space="preserve">ervice </w:t>
                  </w:r>
                  <w:r w:rsidR="00CF4245">
                    <w:rPr>
                      <w:b/>
                      <w:bCs/>
                      <w:i/>
                      <w:iCs/>
                    </w:rPr>
                    <w:t>user</w:t>
                  </w:r>
                </w:p>
                <w:p w14:paraId="45CD811A" w14:textId="77777777" w:rsidR="00BC2AF7" w:rsidRDefault="00BC2AF7" w:rsidP="00BC2AF7">
                  <w:pPr>
                    <w:pStyle w:val="Text"/>
                  </w:pPr>
                </w:p>
                <w:p w14:paraId="5FE8C851" w14:textId="51B921D0" w:rsidR="003F3CA6" w:rsidRPr="001B1CDA" w:rsidRDefault="004B0A07" w:rsidP="004B0A07">
                  <w:pPr>
                    <w:pBdr>
                      <w:left w:val="single" w:sz="18" w:space="4" w:color="78B800" w:themeColor="accent1"/>
                    </w:pBdr>
                    <w:tabs>
                      <w:tab w:val="left" w:pos="8080"/>
                    </w:tabs>
                    <w:spacing w:after="0"/>
                    <w:ind w:left="851" w:right="949"/>
                    <w:rPr>
                      <w:i/>
                    </w:rPr>
                  </w:pPr>
                  <w:r w:rsidRPr="008E1B83">
                    <w:rPr>
                      <w:i/>
                    </w:rPr>
                    <w:t>My counsellor was able to give me a deeper understanding as to</w:t>
                  </w:r>
                  <w:r w:rsidR="0067680E">
                    <w:rPr>
                      <w:i/>
                    </w:rPr>
                    <w:t xml:space="preserve"> </w:t>
                  </w:r>
                  <w:r w:rsidRPr="008E1B83">
                    <w:rPr>
                      <w:i/>
                      <w:noProof/>
                    </w:rPr>
                    <w:drawing>
                      <wp:anchor distT="0" distB="0" distL="114300" distR="114300" simplePos="0" relativeHeight="251658286" behindDoc="0" locked="1" layoutInCell="1" allowOverlap="1" wp14:anchorId="5B181809" wp14:editId="1B54D480">
                        <wp:simplePos x="0" y="0"/>
                        <wp:positionH relativeFrom="column">
                          <wp:posOffset>0</wp:posOffset>
                        </wp:positionH>
                        <wp:positionV relativeFrom="paragraph">
                          <wp:posOffset>0</wp:posOffset>
                        </wp:positionV>
                        <wp:extent cx="384810" cy="320040"/>
                        <wp:effectExtent l="0" t="0" r="0" b="3810"/>
                        <wp:wrapNone/>
                        <wp:docPr id="1561718732" name="Graphic 1561718732" descr="P2197#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1718732" name="Graphic 1561718732" descr="P2197#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E1B83">
                    <w:rPr>
                      <w:i/>
                    </w:rPr>
                    <w:t>what</w:t>
                  </w:r>
                  <w:r w:rsidR="00543516">
                    <w:rPr>
                      <w:i/>
                    </w:rPr>
                    <w:t xml:space="preserve"> to</w:t>
                  </w:r>
                  <w:r>
                    <w:rPr>
                      <w:i/>
                    </w:rPr>
                    <w:t xml:space="preserve"> </w:t>
                  </w:r>
                  <w:r w:rsidRPr="008E1B83">
                    <w:rPr>
                      <w:i/>
                    </w:rPr>
                    <w:t>most value in a relationship. She also taught me techniques to</w:t>
                  </w:r>
                  <w:r w:rsidR="0067680E">
                    <w:rPr>
                      <w:i/>
                    </w:rPr>
                    <w:t xml:space="preserve"> </w:t>
                  </w:r>
                  <w:r w:rsidRPr="008E1B83">
                    <w:rPr>
                      <w:i/>
                    </w:rPr>
                    <w:t>better deal with difficult situations in all relationships. As I was a</w:t>
                  </w:r>
                  <w:r w:rsidR="0067680E">
                    <w:rPr>
                      <w:i/>
                    </w:rPr>
                    <w:t xml:space="preserve"> </w:t>
                  </w:r>
                  <w:r w:rsidRPr="008E1B83">
                    <w:rPr>
                      <w:i/>
                    </w:rPr>
                    <w:t xml:space="preserve">survivor </w:t>
                  </w:r>
                  <w:r w:rsidR="004C7109" w:rsidRPr="008E1B83">
                    <w:rPr>
                      <w:i/>
                    </w:rPr>
                    <w:t>of</w:t>
                  </w:r>
                  <w:r w:rsidRPr="008E1B83">
                    <w:rPr>
                      <w:i/>
                    </w:rPr>
                    <w:t xml:space="preserve"> domestic violence, I’m currently working on </w:t>
                  </w:r>
                  <w:r w:rsidR="0067680E">
                    <w:rPr>
                      <w:i/>
                    </w:rPr>
                    <w:t xml:space="preserve">myself </w:t>
                  </w:r>
                  <w:r w:rsidRPr="008E1B83">
                    <w:rPr>
                      <w:i/>
                    </w:rPr>
                    <w:t>before putting myself out ther</w:t>
                  </w:r>
                  <w:r>
                    <w:rPr>
                      <w:i/>
                    </w:rPr>
                    <w:t xml:space="preserve">e </w:t>
                  </w:r>
                  <w:r w:rsidRPr="008E1B83">
                    <w:rPr>
                      <w:i/>
                    </w:rPr>
                    <w:t>for another relationship. However,</w:t>
                  </w:r>
                  <w:r w:rsidR="0067680E">
                    <w:rPr>
                      <w:i/>
                    </w:rPr>
                    <w:t xml:space="preserve"> </w:t>
                  </w:r>
                  <w:r w:rsidRPr="008E1B83">
                    <w:rPr>
                      <w:i/>
                    </w:rPr>
                    <w:t xml:space="preserve">when the time comes for a </w:t>
                  </w:r>
                  <w:r>
                    <w:rPr>
                      <w:i/>
                    </w:rPr>
                    <w:t xml:space="preserve">new </w:t>
                  </w:r>
                  <w:r w:rsidRPr="008E1B83">
                    <w:rPr>
                      <w:i/>
                    </w:rPr>
                    <w:t xml:space="preserve">relationship, I do think I will </w:t>
                  </w:r>
                  <w:r w:rsidR="004C7109" w:rsidRPr="008E1B83">
                    <w:rPr>
                      <w:i/>
                    </w:rPr>
                    <w:t xml:space="preserve">be </w:t>
                  </w:r>
                  <w:r w:rsidRPr="008E1B83">
                    <w:rPr>
                      <w:i/>
                    </w:rPr>
                    <w:t>better</w:t>
                  </w:r>
                  <w:r w:rsidR="0067680E">
                    <w:rPr>
                      <w:i/>
                    </w:rPr>
                    <w:t xml:space="preserve"> </w:t>
                  </w:r>
                  <w:r w:rsidRPr="008E1B83">
                    <w:rPr>
                      <w:i/>
                    </w:rPr>
                    <w:t>equipped to deal with conflict and difficulties if they arise</w:t>
                  </w:r>
                  <w:r>
                    <w:t xml:space="preserve"> </w:t>
                  </w:r>
                  <w:r w:rsidR="0067680E">
                    <w:t>–</w:t>
                  </w:r>
                  <w:r>
                    <w:t xml:space="preserve"> </w:t>
                  </w:r>
                  <w:r w:rsidR="0067680E">
                    <w:rPr>
                      <w:b/>
                      <w:bCs/>
                      <w:i/>
                      <w:iCs/>
                    </w:rPr>
                    <w:t>FaRS and SFVS</w:t>
                  </w:r>
                  <w:r>
                    <w:rPr>
                      <w:b/>
                      <w:bCs/>
                      <w:i/>
                      <w:iCs/>
                    </w:rPr>
                    <w:t xml:space="preserve"> </w:t>
                  </w:r>
                  <w:r w:rsidR="003F3CA6">
                    <w:rPr>
                      <w:b/>
                      <w:bCs/>
                      <w:i/>
                      <w:iCs/>
                    </w:rPr>
                    <w:t>s</w:t>
                  </w:r>
                  <w:r w:rsidR="003F3CA6" w:rsidRPr="002E7992">
                    <w:rPr>
                      <w:b/>
                      <w:bCs/>
                      <w:i/>
                      <w:iCs/>
                    </w:rPr>
                    <w:t xml:space="preserve">ervice </w:t>
                  </w:r>
                  <w:r w:rsidR="003F3CA6">
                    <w:rPr>
                      <w:b/>
                      <w:bCs/>
                      <w:i/>
                      <w:iCs/>
                    </w:rPr>
                    <w:t>user</w:t>
                  </w:r>
                </w:p>
                <w:p w14:paraId="4F3AEC04" w14:textId="77777777" w:rsidR="003F3CA6" w:rsidRDefault="003F3CA6" w:rsidP="00BC2AF7">
                  <w:pPr>
                    <w:pStyle w:val="Text"/>
                  </w:pPr>
                </w:p>
                <w:p w14:paraId="34BFA368" w14:textId="1392C8CA" w:rsidR="00E70392" w:rsidRDefault="00384236" w:rsidP="00BC2AF7">
                  <w:pPr>
                    <w:pStyle w:val="Text"/>
                  </w:pPr>
                  <w:r>
                    <w:t xml:space="preserve">Improved knowledge </w:t>
                  </w:r>
                  <w:r w:rsidR="00501EAE">
                    <w:t xml:space="preserve">of </w:t>
                  </w:r>
                  <w:r w:rsidR="00A40FB9">
                    <w:t>family</w:t>
                  </w:r>
                  <w:r w:rsidR="00501EAE">
                    <w:t xml:space="preserve"> violence enabled service users to more readily identify </w:t>
                  </w:r>
                  <w:r w:rsidR="00576A66">
                    <w:t>family and personal safety concerns</w:t>
                  </w:r>
                  <w:r w:rsidR="009724EE">
                    <w:t>.</w:t>
                  </w:r>
                  <w:r w:rsidR="003C1800">
                    <w:t xml:space="preserve"> P</w:t>
                  </w:r>
                  <w:r w:rsidR="00E87914">
                    <w:t xml:space="preserve">roviders </w:t>
                  </w:r>
                  <w:r w:rsidR="00F847AF">
                    <w:t>collaborated with</w:t>
                  </w:r>
                  <w:r w:rsidR="003C1800">
                    <w:t xml:space="preserve"> service</w:t>
                  </w:r>
                  <w:r w:rsidR="00E87914">
                    <w:t xml:space="preserve"> users </w:t>
                  </w:r>
                  <w:r w:rsidR="00F847AF">
                    <w:t xml:space="preserve">to </w:t>
                  </w:r>
                  <w:r w:rsidR="00E87914">
                    <w:t>create safety plans</w:t>
                  </w:r>
                  <w:r w:rsidR="003C1800">
                    <w:t xml:space="preserve"> and establish </w:t>
                  </w:r>
                  <w:r w:rsidR="00F847AF">
                    <w:t>safety supports</w:t>
                  </w:r>
                  <w:r w:rsidR="00982FE0">
                    <w:t>,</w:t>
                  </w:r>
                  <w:r w:rsidR="007E4E90">
                    <w:t xml:space="preserve"> assist</w:t>
                  </w:r>
                  <w:r w:rsidR="008E633B">
                    <w:t xml:space="preserve">ing </w:t>
                  </w:r>
                  <w:r w:rsidR="007E4E90">
                    <w:t>service users and their families to remain safe while navigating their relationships.</w:t>
                  </w:r>
                  <w:r w:rsidR="008E633B">
                    <w:t xml:space="preserve"> </w:t>
                  </w:r>
                  <w:r w:rsidR="00AE7EC1">
                    <w:t xml:space="preserve">Discussing ways to safely access the services themselves </w:t>
                  </w:r>
                  <w:r w:rsidR="00CF4B77">
                    <w:t>also supported feelings of safety for service users.</w:t>
                  </w:r>
                </w:p>
                <w:p w14:paraId="6A87A9D6" w14:textId="40421D2F" w:rsidR="003C1800" w:rsidRPr="001B1CDA" w:rsidRDefault="003C1800" w:rsidP="003C1800">
                  <w:pPr>
                    <w:pBdr>
                      <w:left w:val="single" w:sz="18" w:space="4" w:color="78B800" w:themeColor="accent1"/>
                    </w:pBdr>
                    <w:tabs>
                      <w:tab w:val="left" w:pos="8080"/>
                    </w:tabs>
                    <w:spacing w:after="0"/>
                    <w:ind w:left="851" w:right="949"/>
                    <w:rPr>
                      <w:i/>
                    </w:rPr>
                  </w:pPr>
                  <w:r w:rsidRPr="008E1B83">
                    <w:rPr>
                      <w:i/>
                      <w:noProof/>
                    </w:rPr>
                    <w:drawing>
                      <wp:anchor distT="0" distB="0" distL="114300" distR="114300" simplePos="0" relativeHeight="251658287" behindDoc="0" locked="1" layoutInCell="1" allowOverlap="1" wp14:anchorId="718B6A94" wp14:editId="74A749D7">
                        <wp:simplePos x="0" y="0"/>
                        <wp:positionH relativeFrom="column">
                          <wp:posOffset>0</wp:posOffset>
                        </wp:positionH>
                        <wp:positionV relativeFrom="paragraph">
                          <wp:posOffset>0</wp:posOffset>
                        </wp:positionV>
                        <wp:extent cx="384810" cy="320040"/>
                        <wp:effectExtent l="0" t="0" r="0" b="3810"/>
                        <wp:wrapNone/>
                        <wp:docPr id="659429223" name="Graphic 659429223" descr="P2200#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429223" name="Graphic 659429223" descr="P2200#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E1B83">
                    <w:rPr>
                      <w:i/>
                    </w:rPr>
                    <w:t>Because my situation was financial control and coercive control and knowing that they had ways to help me</w:t>
                  </w:r>
                  <w:r w:rsidR="0059791A">
                    <w:rPr>
                      <w:i/>
                    </w:rPr>
                    <w:t xml:space="preserve"> [</w:t>
                  </w:r>
                  <w:r w:rsidRPr="008E1B83">
                    <w:rPr>
                      <w:i/>
                    </w:rPr>
                    <w:t>…</w:t>
                  </w:r>
                  <w:r w:rsidR="0059791A">
                    <w:rPr>
                      <w:i/>
                    </w:rPr>
                    <w:t>]</w:t>
                  </w:r>
                  <w:r w:rsidRPr="008E1B83">
                    <w:rPr>
                      <w:i/>
                    </w:rPr>
                    <w:t xml:space="preserve"> to work with me to make sure I was safe with what I was doing and can help</w:t>
                  </w:r>
                  <w:r w:rsidR="0059791A">
                    <w:rPr>
                      <w:i/>
                    </w:rPr>
                    <w:t xml:space="preserve"> [</w:t>
                  </w:r>
                  <w:r w:rsidR="00906BDF">
                    <w:rPr>
                      <w:i/>
                    </w:rPr>
                    <w:t>…</w:t>
                  </w:r>
                  <w:r w:rsidR="0059791A">
                    <w:rPr>
                      <w:i/>
                    </w:rPr>
                    <w:t>]</w:t>
                  </w:r>
                  <w:r w:rsidRPr="008E1B83">
                    <w:rPr>
                      <w:i/>
                    </w:rPr>
                    <w:t xml:space="preserve"> myself without him knowing, was one of the biggest things for me</w:t>
                  </w:r>
                  <w:r w:rsidR="007E2E02">
                    <w:t xml:space="preserve"> </w:t>
                  </w:r>
                  <w:r w:rsidRPr="002E7992">
                    <w:rPr>
                      <w:b/>
                      <w:bCs/>
                      <w:i/>
                      <w:iCs/>
                    </w:rPr>
                    <w:t>–</w:t>
                  </w:r>
                  <w:r>
                    <w:rPr>
                      <w:b/>
                      <w:bCs/>
                      <w:i/>
                      <w:iCs/>
                    </w:rPr>
                    <w:t xml:space="preserve"> SFVS s</w:t>
                  </w:r>
                  <w:r w:rsidRPr="002E7992">
                    <w:rPr>
                      <w:b/>
                      <w:bCs/>
                      <w:i/>
                      <w:iCs/>
                    </w:rPr>
                    <w:t xml:space="preserve">ervice </w:t>
                  </w:r>
                  <w:r>
                    <w:rPr>
                      <w:b/>
                      <w:bCs/>
                      <w:i/>
                      <w:iCs/>
                    </w:rPr>
                    <w:t>user</w:t>
                  </w:r>
                </w:p>
                <w:p w14:paraId="7787C8B4" w14:textId="77777777" w:rsidR="00044CF0" w:rsidRDefault="00044CF0" w:rsidP="003E197F">
                  <w:pPr>
                    <w:pStyle w:val="Text"/>
                  </w:pPr>
                </w:p>
                <w:p w14:paraId="0CD1228D" w14:textId="10D6C41C" w:rsidR="00A56765" w:rsidRDefault="00A56765" w:rsidP="003E197F">
                  <w:pPr>
                    <w:pStyle w:val="Text"/>
                  </w:pPr>
                  <w:r w:rsidRPr="007E2E02">
                    <w:t>The survey sample size for SFVS respondents</w:t>
                  </w:r>
                  <w:r w:rsidR="00824856" w:rsidRPr="007E2E02">
                    <w:t xml:space="preserve"> (</w:t>
                  </w:r>
                  <w:r w:rsidR="00611B51" w:rsidRPr="007E2E02">
                    <w:t>n</w:t>
                  </w:r>
                  <w:r w:rsidR="00824856" w:rsidRPr="007E2E02">
                    <w:t>=&lt;5)</w:t>
                  </w:r>
                  <w:r w:rsidRPr="007E2E02">
                    <w:t xml:space="preserve"> is low and so is not generalisable. It is not</w:t>
                  </w:r>
                  <w:r w:rsidR="007E2E02" w:rsidRPr="007E2E02">
                    <w:t>eworthy</w:t>
                  </w:r>
                  <w:r w:rsidRPr="007E2E02">
                    <w:t xml:space="preserve"> however, </w:t>
                  </w:r>
                  <w:r w:rsidR="009A0248" w:rsidRPr="007E2E02">
                    <w:t xml:space="preserve">that all respondents agreed </w:t>
                  </w:r>
                  <w:r w:rsidR="007E2E02" w:rsidRPr="007E2E02">
                    <w:t xml:space="preserve">that </w:t>
                  </w:r>
                  <w:r w:rsidR="009A0248" w:rsidRPr="007E2E02">
                    <w:t>accessing the program had improved their personal and family safety and they had learned strategies for identifying issues of</w:t>
                  </w:r>
                  <w:r w:rsidR="001A599A">
                    <w:t xml:space="preserve"> </w:t>
                  </w:r>
                  <w:r w:rsidR="001A599A">
                    <w:lastRenderedPageBreak/>
                    <w:t>personal safety</w:t>
                  </w:r>
                  <w:r w:rsidR="009A0248" w:rsidRPr="007E2E02">
                    <w:t xml:space="preserve">, and how to seek help and improve their safety accordingly. </w:t>
                  </w:r>
                  <w:r w:rsidR="00824856" w:rsidRPr="007E2E02">
                    <w:t>All respondents also indicated they had learned strategies to model healthy relationships and improve their parenting skills.</w:t>
                  </w:r>
                  <w:r w:rsidR="00824856">
                    <w:t xml:space="preserve"> </w:t>
                  </w:r>
                </w:p>
                <w:p w14:paraId="53DDF297" w14:textId="7AE2FF24" w:rsidR="00596482" w:rsidRDefault="00884ED2" w:rsidP="003E197F">
                  <w:pPr>
                    <w:pStyle w:val="Text"/>
                  </w:pPr>
                  <w:r>
                    <w:t>The</w:t>
                  </w:r>
                  <w:r w:rsidR="00FD5233">
                    <w:t xml:space="preserve"> small number of </w:t>
                  </w:r>
                  <w:r w:rsidR="00914B48">
                    <w:t xml:space="preserve">SFVS service users </w:t>
                  </w:r>
                  <w:r w:rsidR="00266D15">
                    <w:t xml:space="preserve">that </w:t>
                  </w:r>
                  <w:r w:rsidR="00914B48">
                    <w:t xml:space="preserve">did not see improvements in </w:t>
                  </w:r>
                  <w:r w:rsidR="00FD5233">
                    <w:t xml:space="preserve">their </w:t>
                  </w:r>
                  <w:r w:rsidR="00857A16">
                    <w:t>perceptions</w:t>
                  </w:r>
                  <w:r w:rsidR="00914B48">
                    <w:t xml:space="preserve"> of safety</w:t>
                  </w:r>
                  <w:r w:rsidR="005416C8">
                    <w:t xml:space="preserve"> </w:t>
                  </w:r>
                  <w:r w:rsidR="00FD5233">
                    <w:t>noted that</w:t>
                  </w:r>
                  <w:r w:rsidR="005416C8">
                    <w:t xml:space="preserve"> </w:t>
                  </w:r>
                  <w:r w:rsidR="00857A16">
                    <w:t xml:space="preserve">their provider </w:t>
                  </w:r>
                  <w:r w:rsidR="00DA05BC">
                    <w:t xml:space="preserve">did not tailor </w:t>
                  </w:r>
                  <w:r w:rsidR="00914B48">
                    <w:t xml:space="preserve">their </w:t>
                  </w:r>
                  <w:r w:rsidR="00857A16">
                    <w:t>services to their specific needs or</w:t>
                  </w:r>
                  <w:r w:rsidR="00914B48">
                    <w:t xml:space="preserve"> situation</w:t>
                  </w:r>
                  <w:r w:rsidR="00CC0D18">
                    <w:t xml:space="preserve">. These service </w:t>
                  </w:r>
                  <w:r w:rsidR="00D12040">
                    <w:t xml:space="preserve">users </w:t>
                  </w:r>
                  <w:r w:rsidR="00CF4B77">
                    <w:t>felt as if their service provider did not accurately listen to their situation</w:t>
                  </w:r>
                  <w:r w:rsidR="00820E2B">
                    <w:t xml:space="preserve">, and as if their service providers were undertaking a ‘check box’ exercise. </w:t>
                  </w:r>
                </w:p>
                <w:p w14:paraId="5C3F92D4" w14:textId="6AA67EE9" w:rsidR="00694B24" w:rsidRDefault="5A36206B" w:rsidP="00321BC5">
                  <w:pPr>
                    <w:pStyle w:val="Text-BodyHeading"/>
                    <w:spacing w:before="360" w:after="240"/>
                  </w:pPr>
                  <w:r>
                    <w:t>M</w:t>
                  </w:r>
                  <w:r w:rsidR="00B1641F">
                    <w:t>ental health</w:t>
                  </w:r>
                  <w:r w:rsidR="7CAFDF61">
                    <w:t xml:space="preserve">, </w:t>
                  </w:r>
                  <w:r w:rsidR="00B1641F">
                    <w:t xml:space="preserve">wellbeing </w:t>
                  </w:r>
                  <w:r w:rsidR="0D553E06">
                    <w:t>and s</w:t>
                  </w:r>
                  <w:r w:rsidR="190EE5FA">
                    <w:t>elf-care</w:t>
                  </w:r>
                </w:p>
                <w:p w14:paraId="5BBC486B" w14:textId="5B333E3F" w:rsidR="00FD4F92" w:rsidRDefault="00FD4F92" w:rsidP="00FD4F92">
                  <w:pPr>
                    <w:pStyle w:val="Text"/>
                    <w:rPr>
                      <w:lang w:val="en-US"/>
                    </w:rPr>
                  </w:pPr>
                  <w:r w:rsidRPr="00F128A4">
                    <w:rPr>
                      <w:lang w:val="en-US"/>
                    </w:rPr>
                    <w:t xml:space="preserve">For many service users, the </w:t>
                  </w:r>
                  <w:r w:rsidR="008716CB">
                    <w:rPr>
                      <w:lang w:val="en-US"/>
                    </w:rPr>
                    <w:t>SFVS</w:t>
                  </w:r>
                  <w:r w:rsidRPr="00F128A4">
                    <w:rPr>
                      <w:lang w:val="en-US"/>
                    </w:rPr>
                    <w:t xml:space="preserve"> service has been instrumental to their mental health and wellbeing. The DEX-SCORE change for </w:t>
                  </w:r>
                  <w:r w:rsidRPr="00F6254E">
                    <w:rPr>
                      <w:lang w:val="en-US"/>
                    </w:rPr>
                    <w:t>mental health, wellbeing, and self-care was</w:t>
                  </w:r>
                  <w:r w:rsidRPr="00F128A4">
                    <w:rPr>
                      <w:lang w:val="en-US"/>
                    </w:rPr>
                    <w:t xml:space="preserve"> the highest mean earliest-latest SCORE change </w:t>
                  </w:r>
                  <w:r w:rsidR="000F4086">
                    <w:rPr>
                      <w:lang w:val="en-US"/>
                    </w:rPr>
                    <w:t>was</w:t>
                  </w:r>
                  <w:r w:rsidRPr="00F128A4">
                    <w:rPr>
                      <w:lang w:val="en-US"/>
                    </w:rPr>
                    <w:t xml:space="preserve"> 0.8</w:t>
                  </w:r>
                  <w:r w:rsidRPr="00F6254E">
                    <w:rPr>
                      <w:lang w:val="en-US"/>
                    </w:rPr>
                    <w:t xml:space="preserve"> with </w:t>
                  </w:r>
                  <w:r>
                    <w:rPr>
                      <w:lang w:val="en-US"/>
                    </w:rPr>
                    <w:t>5</w:t>
                  </w:r>
                  <w:r w:rsidR="008716CB">
                    <w:rPr>
                      <w:lang w:val="en-US"/>
                    </w:rPr>
                    <w:t>6</w:t>
                  </w:r>
                  <w:r w:rsidRPr="00F6254E">
                    <w:rPr>
                      <w:lang w:val="en-US"/>
                    </w:rPr>
                    <w:t>.</w:t>
                  </w:r>
                  <w:r w:rsidR="008716CB">
                    <w:rPr>
                      <w:lang w:val="en-US"/>
                    </w:rPr>
                    <w:t>0</w:t>
                  </w:r>
                  <w:r w:rsidRPr="00F6254E">
                    <w:rPr>
                      <w:lang w:val="en-US"/>
                    </w:rPr>
                    <w:t xml:space="preserve">% of service users recording a positive change </w:t>
                  </w:r>
                  <w:r w:rsidRPr="00F128A4">
                    <w:rPr>
                      <w:lang w:val="en-US"/>
                    </w:rPr>
                    <w:t xml:space="preserve">(see </w:t>
                  </w:r>
                  <w:r w:rsidR="008716CB" w:rsidRPr="00986254">
                    <w:rPr>
                      <w:b/>
                      <w:bCs/>
                      <w:lang w:val="en-US"/>
                    </w:rPr>
                    <w:fldChar w:fldCharType="begin" w:fldLock="1"/>
                  </w:r>
                  <w:r w:rsidR="008716CB" w:rsidRPr="00986254">
                    <w:rPr>
                      <w:b/>
                      <w:bCs/>
                      <w:lang w:val="en-US"/>
                    </w:rPr>
                    <w:instrText xml:space="preserve"> REF _Ref208418416 \h </w:instrText>
                  </w:r>
                  <w:r w:rsidR="00986254">
                    <w:rPr>
                      <w:b/>
                      <w:bCs/>
                      <w:lang w:val="en-US"/>
                    </w:rPr>
                    <w:instrText xml:space="preserve"> \* MERGEFORMAT </w:instrText>
                  </w:r>
                  <w:r w:rsidR="008716CB" w:rsidRPr="00986254">
                    <w:rPr>
                      <w:b/>
                      <w:bCs/>
                      <w:lang w:val="en-US"/>
                    </w:rPr>
                  </w:r>
                  <w:r w:rsidR="008716CB" w:rsidRPr="00986254">
                    <w:rPr>
                      <w:b/>
                      <w:bCs/>
                      <w:lang w:val="en-US"/>
                    </w:rPr>
                    <w:fldChar w:fldCharType="separate"/>
                  </w:r>
                  <w:r w:rsidR="008F22E5" w:rsidRPr="008F22E5">
                    <w:rPr>
                      <w:b/>
                      <w:bCs/>
                    </w:rPr>
                    <w:t xml:space="preserve">Table </w:t>
                  </w:r>
                  <w:r w:rsidR="008F22E5" w:rsidRPr="008F22E5">
                    <w:rPr>
                      <w:b/>
                      <w:bCs/>
                      <w:noProof/>
                    </w:rPr>
                    <w:t>25</w:t>
                  </w:r>
                  <w:r w:rsidR="008716CB" w:rsidRPr="00986254">
                    <w:rPr>
                      <w:b/>
                      <w:bCs/>
                      <w:lang w:val="en-US"/>
                    </w:rPr>
                    <w:fldChar w:fldCharType="end"/>
                  </w:r>
                  <w:r w:rsidR="008716CB">
                    <w:rPr>
                      <w:lang w:val="en-US"/>
                    </w:rPr>
                    <w:t xml:space="preserve">). </w:t>
                  </w:r>
                </w:p>
                <w:p w14:paraId="19CBB81C" w14:textId="58F03728" w:rsidR="00FD4F92" w:rsidRPr="00FD4F92" w:rsidRDefault="00FD4F92" w:rsidP="00953B9E">
                  <w:pPr>
                    <w:pStyle w:val="TableFigure-Header"/>
                    <w:spacing w:line="276" w:lineRule="auto"/>
                    <w:jc w:val="both"/>
                    <w:rPr>
                      <w:rStyle w:val="Text-Bold"/>
                      <w:b/>
                      <w:bCs/>
                    </w:rPr>
                  </w:pPr>
                  <w:bookmarkStart w:id="410" w:name="_Ref208418416"/>
                  <w:r>
                    <w:t xml:space="preserve">Table </w:t>
                  </w:r>
                  <w:r w:rsidRPr="5AC90C80">
                    <w:fldChar w:fldCharType="begin"/>
                  </w:r>
                  <w:r>
                    <w:instrText xml:space="preserve"> SEQ Table \* ARABIC </w:instrText>
                  </w:r>
                  <w:r w:rsidRPr="5AC90C80">
                    <w:fldChar w:fldCharType="separate"/>
                  </w:r>
                  <w:r w:rsidR="008D2566">
                    <w:rPr>
                      <w:noProof/>
                    </w:rPr>
                    <w:t>25</w:t>
                  </w:r>
                  <w:r w:rsidRPr="5AC90C80">
                    <w:rPr>
                      <w:noProof/>
                    </w:rPr>
                    <w:fldChar w:fldCharType="end"/>
                  </w:r>
                  <w:bookmarkEnd w:id="410"/>
                  <w:r>
                    <w:t>: Earliest and latest mean SCORE change and percentage of service users with positive SCORE change for mental health, wellbeing, and self-care, SFVS</w:t>
                  </w:r>
                  <w:r w:rsidR="7F877A82" w:rsidRPr="5AC90C80">
                    <w:rPr>
                      <w:lang w:val="en-NZ"/>
                    </w:rPr>
                    <w:t>,</w:t>
                  </w:r>
                  <w:r w:rsidR="7F877A82" w:rsidRPr="5AC90C80">
                    <w:rPr>
                      <w:rStyle w:val="Text-Bold"/>
                      <w:b/>
                      <w:bCs/>
                    </w:rPr>
                    <w:t xml:space="preserve"> July 2021 – June 2024</w:t>
                  </w:r>
                </w:p>
                <w:tbl>
                  <w:tblPr>
                    <w:tblStyle w:val="ListTable3-Accent31"/>
                    <w:tblW w:w="89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43"/>
                    <w:gridCol w:w="2104"/>
                    <w:gridCol w:w="2051"/>
                    <w:gridCol w:w="2051"/>
                  </w:tblGrid>
                  <w:tr w:rsidR="00FD4F92" w:rsidRPr="000D7494" w14:paraId="46A41EB5" w14:textId="77777777" w:rsidTr="00D032E3">
                    <w:trPr>
                      <w:cnfStyle w:val="100000000000" w:firstRow="1" w:lastRow="0" w:firstColumn="0" w:lastColumn="0" w:oddVBand="0" w:evenVBand="0" w:oddHBand="0" w:evenHBand="0" w:firstRowFirstColumn="0" w:firstRowLastColumn="0" w:lastRowFirstColumn="0" w:lastRowLastColumn="0"/>
                      <w:trHeight w:val="634"/>
                    </w:trPr>
                    <w:tc>
                      <w:tcPr>
                        <w:cnfStyle w:val="001000000100" w:firstRow="0" w:lastRow="0" w:firstColumn="1" w:lastColumn="0" w:oddVBand="0" w:evenVBand="0" w:oddHBand="0" w:evenHBand="0" w:firstRowFirstColumn="1" w:firstRowLastColumn="0" w:lastRowFirstColumn="0" w:lastRowLastColumn="0"/>
                        <w:tcW w:w="0" w:type="dxa"/>
                        <w:tcBorders>
                          <w:bottom w:val="none" w:sz="0" w:space="0" w:color="auto"/>
                          <w:right w:val="none" w:sz="0" w:space="0" w:color="auto"/>
                        </w:tcBorders>
                        <w:noWrap/>
                        <w:hideMark/>
                      </w:tcPr>
                      <w:p w14:paraId="61332635" w14:textId="77777777" w:rsidR="00004341" w:rsidRPr="000D7494" w:rsidRDefault="00004341">
                        <w:pPr>
                          <w:pStyle w:val="TableText"/>
                        </w:pPr>
                        <w:r w:rsidRPr="000D7494">
                          <w:t>Outcome type</w:t>
                        </w:r>
                      </w:p>
                    </w:tc>
                    <w:tc>
                      <w:tcPr>
                        <w:tcW w:w="0" w:type="dxa"/>
                        <w:noWrap/>
                        <w:hideMark/>
                      </w:tcPr>
                      <w:p w14:paraId="024DAA55" w14:textId="77777777" w:rsidR="00004341" w:rsidRPr="000D7494" w:rsidRDefault="00004341">
                        <w:pPr>
                          <w:pStyle w:val="TableText"/>
                          <w:cnfStyle w:val="100000000000" w:firstRow="1" w:lastRow="0" w:firstColumn="0" w:lastColumn="0" w:oddVBand="0" w:evenVBand="0" w:oddHBand="0" w:evenHBand="0" w:firstRowFirstColumn="0" w:firstRowLastColumn="0" w:lastRowFirstColumn="0" w:lastRowLastColumn="0"/>
                        </w:pPr>
                        <w:r w:rsidRPr="000D7494">
                          <w:t>Domain</w:t>
                        </w:r>
                      </w:p>
                    </w:tc>
                    <w:tc>
                      <w:tcPr>
                        <w:tcW w:w="0" w:type="dxa"/>
                      </w:tcPr>
                      <w:p w14:paraId="788C21A4" w14:textId="77777777" w:rsidR="00FD4F92" w:rsidRPr="000D7494" w:rsidRDefault="00004341">
                        <w:pPr>
                          <w:pStyle w:val="TableText"/>
                          <w:cnfStyle w:val="100000000000" w:firstRow="1" w:lastRow="0" w:firstColumn="0" w:lastColumn="0" w:oddVBand="0" w:evenVBand="0" w:oddHBand="0" w:evenHBand="0" w:firstRowFirstColumn="0" w:firstRowLastColumn="0" w:lastRowFirstColumn="0" w:lastRowLastColumn="0"/>
                        </w:pPr>
                        <w:r w:rsidRPr="000D7494">
                          <w:t>SCORE change (mean</w:t>
                        </w:r>
                        <w:r w:rsidR="00FD4F92">
                          <w:t>, n=)</w:t>
                        </w:r>
                      </w:p>
                    </w:tc>
                    <w:tc>
                      <w:tcPr>
                        <w:tcW w:w="0" w:type="dxa"/>
                        <w:hideMark/>
                      </w:tcPr>
                      <w:p w14:paraId="32F39B93" w14:textId="1B83DDFD" w:rsidR="00004341" w:rsidRPr="000D7494" w:rsidRDefault="00FD4F92">
                        <w:pPr>
                          <w:pStyle w:val="TableText"/>
                          <w:cnfStyle w:val="100000000000" w:firstRow="1" w:lastRow="0" w:firstColumn="0" w:lastColumn="0" w:oddVBand="0" w:evenVBand="0" w:oddHBand="0" w:evenHBand="0" w:firstRowFirstColumn="0" w:firstRowLastColumn="0" w:lastRowFirstColumn="0" w:lastRowLastColumn="0"/>
                        </w:pPr>
                        <w:r>
                          <w:t>Service users</w:t>
                        </w:r>
                        <w:r w:rsidRPr="000D7494">
                          <w:t xml:space="preserve"> with</w:t>
                        </w:r>
                        <w:r w:rsidR="00004341" w:rsidRPr="000D7494">
                          <w:t xml:space="preserve"> positive change (%, n</w:t>
                        </w:r>
                        <w:r w:rsidR="008716CB">
                          <w:t>=</w:t>
                        </w:r>
                        <w:r w:rsidR="00004341" w:rsidRPr="000D7494">
                          <w:t>)</w:t>
                        </w:r>
                      </w:p>
                    </w:tc>
                  </w:tr>
                  <w:tr w:rsidR="00262CFA" w:rsidRPr="000D7494" w14:paraId="317ABE0A" w14:textId="77777777" w:rsidTr="00D032E3">
                    <w:trPr>
                      <w:cnfStyle w:val="000000100000" w:firstRow="0" w:lastRow="0" w:firstColumn="0" w:lastColumn="0" w:oddVBand="0" w:evenVBand="0" w:oddHBand="1" w:evenHBand="0" w:firstRowFirstColumn="0" w:firstRowLastColumn="0" w:lastRowFirstColumn="0" w:lastRowLastColumn="0"/>
                      <w:trHeight w:val="714"/>
                    </w:trPr>
                    <w:tc>
                      <w:tcPr>
                        <w:cnfStyle w:val="001000000000" w:firstRow="0" w:lastRow="0" w:firstColumn="1" w:lastColumn="0" w:oddVBand="0" w:evenVBand="0" w:oddHBand="0" w:evenHBand="0" w:firstRowFirstColumn="0" w:firstRowLastColumn="0" w:lastRowFirstColumn="0" w:lastRowLastColumn="0"/>
                        <w:tcW w:w="0" w:type="dxa"/>
                        <w:tcBorders>
                          <w:top w:val="none" w:sz="0" w:space="0" w:color="auto"/>
                          <w:bottom w:val="none" w:sz="0" w:space="0" w:color="auto"/>
                          <w:right w:val="none" w:sz="0" w:space="0" w:color="auto"/>
                        </w:tcBorders>
                        <w:noWrap/>
                        <w:hideMark/>
                      </w:tcPr>
                      <w:p w14:paraId="213AEA76" w14:textId="77777777" w:rsidR="00004341" w:rsidRPr="0078378F" w:rsidRDefault="00004341">
                        <w:pPr>
                          <w:pStyle w:val="TableText"/>
                          <w:rPr>
                            <w:b w:val="0"/>
                            <w:bCs w:val="0"/>
                          </w:rPr>
                        </w:pPr>
                        <w:r w:rsidRPr="0078378F">
                          <w:rPr>
                            <w:b w:val="0"/>
                            <w:bCs w:val="0"/>
                          </w:rPr>
                          <w:t>Circumstance</w:t>
                        </w:r>
                      </w:p>
                    </w:tc>
                    <w:tc>
                      <w:tcPr>
                        <w:tcW w:w="0" w:type="dxa"/>
                        <w:tcBorders>
                          <w:top w:val="none" w:sz="0" w:space="0" w:color="auto"/>
                          <w:bottom w:val="none" w:sz="0" w:space="0" w:color="auto"/>
                        </w:tcBorders>
                        <w:noWrap/>
                        <w:hideMark/>
                      </w:tcPr>
                      <w:p w14:paraId="6C416923" w14:textId="77777777" w:rsidR="00004341" w:rsidRPr="0078378F" w:rsidRDefault="00FD4F92">
                        <w:pPr>
                          <w:pStyle w:val="TableText"/>
                          <w:cnfStyle w:val="000000100000" w:firstRow="0" w:lastRow="0" w:firstColumn="0" w:lastColumn="0" w:oddVBand="0" w:evenVBand="0" w:oddHBand="1" w:evenHBand="0" w:firstRowFirstColumn="0" w:firstRowLastColumn="0" w:lastRowFirstColumn="0" w:lastRowLastColumn="0"/>
                        </w:pPr>
                        <w:r w:rsidRPr="0078378F">
                          <w:t>Mental health, wellbeing, and self-care</w:t>
                        </w:r>
                      </w:p>
                    </w:tc>
                    <w:tc>
                      <w:tcPr>
                        <w:tcW w:w="0" w:type="dxa"/>
                        <w:tcBorders>
                          <w:top w:val="none" w:sz="0" w:space="0" w:color="auto"/>
                          <w:bottom w:val="none" w:sz="0" w:space="0" w:color="auto"/>
                        </w:tcBorders>
                      </w:tcPr>
                      <w:p w14:paraId="246B4D5E" w14:textId="11492B15" w:rsidR="00FD4F92" w:rsidRPr="000D7494" w:rsidRDefault="00FD4F92">
                        <w:pPr>
                          <w:pStyle w:val="TableText"/>
                          <w:cnfStyle w:val="000000100000" w:firstRow="0" w:lastRow="0" w:firstColumn="0" w:lastColumn="0" w:oddVBand="0" w:evenVBand="0" w:oddHBand="1" w:evenHBand="0" w:firstRowFirstColumn="0" w:firstRowLastColumn="0" w:lastRowFirstColumn="0" w:lastRowLastColumn="0"/>
                        </w:pPr>
                        <w:r>
                          <w:t>0.8 (n=</w:t>
                        </w:r>
                        <w:r w:rsidR="008716CB">
                          <w:t>5,523</w:t>
                        </w:r>
                        <w:r>
                          <w:t>)</w:t>
                        </w:r>
                      </w:p>
                    </w:tc>
                    <w:tc>
                      <w:tcPr>
                        <w:tcW w:w="0" w:type="dxa"/>
                        <w:tcBorders>
                          <w:top w:val="none" w:sz="0" w:space="0" w:color="auto"/>
                          <w:bottom w:val="none" w:sz="0" w:space="0" w:color="auto"/>
                        </w:tcBorders>
                        <w:noWrap/>
                        <w:hideMark/>
                      </w:tcPr>
                      <w:p w14:paraId="4383C71F" w14:textId="313AA816" w:rsidR="00004341" w:rsidRPr="000D7494" w:rsidRDefault="008716CB">
                        <w:pPr>
                          <w:pStyle w:val="TableText"/>
                          <w:cnfStyle w:val="000000100000" w:firstRow="0" w:lastRow="0" w:firstColumn="0" w:lastColumn="0" w:oddVBand="0" w:evenVBand="0" w:oddHBand="1" w:evenHBand="0" w:firstRowFirstColumn="0" w:firstRowLastColumn="0" w:lastRowFirstColumn="0" w:lastRowLastColumn="0"/>
                        </w:pPr>
                        <w:r>
                          <w:t>56.0</w:t>
                        </w:r>
                        <w:r w:rsidR="00FD4F92">
                          <w:t>% (n=</w:t>
                        </w:r>
                        <w:r>
                          <w:t>3,092</w:t>
                        </w:r>
                        <w:r w:rsidR="00FD4F92">
                          <w:t>)</w:t>
                        </w:r>
                      </w:p>
                    </w:tc>
                  </w:tr>
                </w:tbl>
                <w:p w14:paraId="6A9C8851" w14:textId="39434686" w:rsidR="00FD4F92" w:rsidRDefault="00FD4F92" w:rsidP="006456FD">
                  <w:pPr>
                    <w:pStyle w:val="Text"/>
                    <w:rPr>
                      <w:i/>
                      <w:sz w:val="20"/>
                      <w:szCs w:val="18"/>
                      <w:lang w:val="en-US"/>
                    </w:rPr>
                  </w:pPr>
                  <w:r w:rsidRPr="00F6254E">
                    <w:rPr>
                      <w:i/>
                      <w:iCs/>
                      <w:sz w:val="20"/>
                      <w:szCs w:val="18"/>
                      <w:lang w:val="en-US"/>
                    </w:rPr>
                    <w:t xml:space="preserve">Source: DEX-SCORE data </w:t>
                  </w:r>
                </w:p>
                <w:p w14:paraId="1F4DBB31" w14:textId="0BD43AC4" w:rsidR="006456FD" w:rsidRPr="00DE647E" w:rsidRDefault="0083295E" w:rsidP="006456FD">
                  <w:pPr>
                    <w:pStyle w:val="Text"/>
                    <w:rPr>
                      <w:i/>
                      <w:sz w:val="20"/>
                      <w:szCs w:val="18"/>
                      <w:lang w:val="en-US"/>
                    </w:rPr>
                  </w:pPr>
                  <w:r>
                    <w:t xml:space="preserve">SFVS service users </w:t>
                  </w:r>
                  <w:r w:rsidR="003C1800">
                    <w:t xml:space="preserve">were </w:t>
                  </w:r>
                  <w:r w:rsidR="00F847AF">
                    <w:t>consistently</w:t>
                  </w:r>
                  <w:r w:rsidR="003C1800">
                    <w:t xml:space="preserve"> </w:t>
                  </w:r>
                  <w:r w:rsidR="00857A16">
                    <w:t xml:space="preserve">highly positive </w:t>
                  </w:r>
                  <w:r w:rsidR="00333C89">
                    <w:t>about</w:t>
                  </w:r>
                  <w:r w:rsidR="00857A16">
                    <w:t xml:space="preserve"> the impact </w:t>
                  </w:r>
                  <w:r w:rsidR="00CE264B">
                    <w:t>that</w:t>
                  </w:r>
                  <w:r w:rsidR="00857A16">
                    <w:t xml:space="preserve"> accessing SFVS</w:t>
                  </w:r>
                  <w:r w:rsidR="00D04E30">
                    <w:t xml:space="preserve"> </w:t>
                  </w:r>
                  <w:r w:rsidR="00CE264B">
                    <w:t>had on</w:t>
                  </w:r>
                  <w:r w:rsidR="00D04E30">
                    <w:t xml:space="preserve"> their mental health and wellbeing, and in understanding where to access support. </w:t>
                  </w:r>
                  <w:r w:rsidR="006943E4">
                    <w:t xml:space="preserve">The detrimental impact of </w:t>
                  </w:r>
                  <w:r w:rsidR="00CE264B">
                    <w:t>family</w:t>
                  </w:r>
                  <w:r w:rsidR="006943E4">
                    <w:t xml:space="preserve"> violence on mental health and wellbeing</w:t>
                  </w:r>
                  <w:r w:rsidR="004F751C">
                    <w:t xml:space="preserve"> on victim survivors</w:t>
                  </w:r>
                  <w:r w:rsidR="006943E4">
                    <w:t xml:space="preserve"> </w:t>
                  </w:r>
                  <w:r w:rsidR="004F751C">
                    <w:t>is well documented</w:t>
                  </w:r>
                  <w:r w:rsidR="003B68D0">
                    <w:t xml:space="preserve"> in the literature</w:t>
                  </w:r>
                  <w:r w:rsidR="004F751C">
                    <w:t>.</w:t>
                  </w:r>
                  <w:r w:rsidR="00F02347">
                    <w:t xml:space="preserve"> Service users</w:t>
                  </w:r>
                  <w:r w:rsidR="0005208B">
                    <w:t xml:space="preserve"> often</w:t>
                  </w:r>
                  <w:r w:rsidR="00F02347">
                    <w:t xml:space="preserve"> </w:t>
                  </w:r>
                  <w:r w:rsidR="00DA7E24">
                    <w:t>reflected th</w:t>
                  </w:r>
                  <w:r w:rsidR="00F02347">
                    <w:t xml:space="preserve">at they had accessed their service in a time of </w:t>
                  </w:r>
                  <w:r w:rsidR="00044EA6">
                    <w:t xml:space="preserve">great need, </w:t>
                  </w:r>
                  <w:r w:rsidR="00FA68FF">
                    <w:t xml:space="preserve">when </w:t>
                  </w:r>
                  <w:r w:rsidR="00044EA6">
                    <w:t>they struggled with</w:t>
                  </w:r>
                  <w:r w:rsidR="00DA7E24">
                    <w:t xml:space="preserve"> fear,</w:t>
                  </w:r>
                  <w:r w:rsidR="00044EA6">
                    <w:t xml:space="preserve"> </w:t>
                  </w:r>
                  <w:r w:rsidR="0071148F">
                    <w:t xml:space="preserve">safety, </w:t>
                  </w:r>
                  <w:r w:rsidR="00044EA6">
                    <w:t xml:space="preserve">isolation, </w:t>
                  </w:r>
                  <w:r w:rsidR="00DA7E24">
                    <w:t xml:space="preserve">depression, and </w:t>
                  </w:r>
                  <w:r w:rsidR="0005208B">
                    <w:t>self-esteem</w:t>
                  </w:r>
                  <w:r w:rsidR="00DA7E24">
                    <w:t xml:space="preserve"> issues. </w:t>
                  </w:r>
                  <w:r w:rsidR="005C4E04">
                    <w:t>The va</w:t>
                  </w:r>
                  <w:r w:rsidR="00306EC4">
                    <w:t>s</w:t>
                  </w:r>
                  <w:r w:rsidR="005C4E04">
                    <w:t>t majority of SFVS service users noted that their service</w:t>
                  </w:r>
                  <w:r w:rsidR="0062408A">
                    <w:t xml:space="preserve"> provider</w:t>
                  </w:r>
                  <w:r w:rsidR="005C4E04">
                    <w:t xml:space="preserve"> was </w:t>
                  </w:r>
                  <w:r w:rsidR="00C15F38">
                    <w:t xml:space="preserve">transformative </w:t>
                  </w:r>
                  <w:r w:rsidR="0023727F">
                    <w:t>to</w:t>
                  </w:r>
                  <w:r w:rsidR="00C15F38">
                    <w:t xml:space="preserve"> their mental health and wellbeing.</w:t>
                  </w:r>
                  <w:r w:rsidR="00001F63">
                    <w:t xml:space="preserve"> Accessing services that were affirming </w:t>
                  </w:r>
                  <w:r w:rsidR="005F4E82">
                    <w:t xml:space="preserve">and </w:t>
                  </w:r>
                  <w:r w:rsidR="00001F63">
                    <w:t>did not discount or deny their experiences</w:t>
                  </w:r>
                  <w:r w:rsidR="00234EFB">
                    <w:t xml:space="preserve"> made service users feel </w:t>
                  </w:r>
                  <w:r w:rsidR="00FA0EFD">
                    <w:t xml:space="preserve">validated </w:t>
                  </w:r>
                  <w:r w:rsidR="00234EFB">
                    <w:t>and</w:t>
                  </w:r>
                  <w:r w:rsidR="005F4E82">
                    <w:t xml:space="preserve"> less isolated</w:t>
                  </w:r>
                  <w:r w:rsidR="00F22AA3">
                    <w:t xml:space="preserve">. </w:t>
                  </w:r>
                </w:p>
                <w:p w14:paraId="04130884" w14:textId="5E8493CF" w:rsidR="006456FD" w:rsidRPr="001B1CDA" w:rsidRDefault="006456FD" w:rsidP="006456FD">
                  <w:pPr>
                    <w:pBdr>
                      <w:left w:val="single" w:sz="18" w:space="4" w:color="78B800" w:themeColor="accent1"/>
                    </w:pBdr>
                    <w:tabs>
                      <w:tab w:val="left" w:pos="8080"/>
                    </w:tabs>
                    <w:spacing w:after="0"/>
                    <w:ind w:left="851" w:right="949"/>
                    <w:rPr>
                      <w:i/>
                    </w:rPr>
                  </w:pPr>
                  <w:r w:rsidRPr="008E1B83">
                    <w:rPr>
                      <w:i/>
                      <w:noProof/>
                    </w:rPr>
                    <w:drawing>
                      <wp:anchor distT="0" distB="0" distL="114300" distR="114300" simplePos="0" relativeHeight="251658288" behindDoc="0" locked="1" layoutInCell="1" allowOverlap="1" wp14:anchorId="693A6EE4" wp14:editId="4004F22B">
                        <wp:simplePos x="0" y="0"/>
                        <wp:positionH relativeFrom="column">
                          <wp:posOffset>0</wp:posOffset>
                        </wp:positionH>
                        <wp:positionV relativeFrom="paragraph">
                          <wp:posOffset>0</wp:posOffset>
                        </wp:positionV>
                        <wp:extent cx="384810" cy="320040"/>
                        <wp:effectExtent l="0" t="0" r="0" b="3810"/>
                        <wp:wrapNone/>
                        <wp:docPr id="536961423" name="Graphic 536961423" descr="P2219#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961423" name="Graphic 536961423" descr="P2219#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E1B83">
                    <w:rPr>
                      <w:i/>
                    </w:rPr>
                    <w:t>Dealing with [counsellor] has been life changing, when I’m saying that this is happening, [it’s a] breath of fresh air to have someone who says I’m not exaggerating and I’m not making things up</w:t>
                  </w:r>
                  <w:r w:rsidRPr="002E7992">
                    <w:rPr>
                      <w:b/>
                      <w:bCs/>
                      <w:i/>
                      <w:iCs/>
                    </w:rPr>
                    <w:t xml:space="preserve"> –</w:t>
                  </w:r>
                  <w:r>
                    <w:rPr>
                      <w:b/>
                      <w:bCs/>
                      <w:i/>
                      <w:iCs/>
                    </w:rPr>
                    <w:t xml:space="preserve"> SFVS s</w:t>
                  </w:r>
                  <w:r w:rsidRPr="002E7992">
                    <w:rPr>
                      <w:b/>
                      <w:bCs/>
                      <w:i/>
                      <w:iCs/>
                    </w:rPr>
                    <w:t xml:space="preserve">ervice </w:t>
                  </w:r>
                  <w:r>
                    <w:rPr>
                      <w:b/>
                      <w:bCs/>
                      <w:i/>
                      <w:iCs/>
                    </w:rPr>
                    <w:t>user</w:t>
                  </w:r>
                </w:p>
                <w:p w14:paraId="347A1CA7" w14:textId="77777777" w:rsidR="0083295E" w:rsidRDefault="0083295E" w:rsidP="00576A66">
                  <w:pPr>
                    <w:pStyle w:val="Text"/>
                  </w:pPr>
                </w:p>
                <w:p w14:paraId="1901F690" w14:textId="1F2756AD" w:rsidR="00FA0EFD" w:rsidRDefault="00FA0EFD" w:rsidP="00576A66">
                  <w:pPr>
                    <w:pStyle w:val="Text"/>
                  </w:pPr>
                  <w:r>
                    <w:t xml:space="preserve">For some service users, accessing a SFVS service enabled them to </w:t>
                  </w:r>
                  <w:r w:rsidR="00C9553F">
                    <w:t>cope as they navigated a range of complex issues</w:t>
                  </w:r>
                  <w:r w:rsidR="007A16D2">
                    <w:t xml:space="preserve"> associated with </w:t>
                  </w:r>
                  <w:r w:rsidR="00596482">
                    <w:t xml:space="preserve">family </w:t>
                  </w:r>
                  <w:r w:rsidR="007A16D2">
                    <w:t>violence</w:t>
                  </w:r>
                  <w:r w:rsidR="00C9553F">
                    <w:t>, including the family law and justice systems</w:t>
                  </w:r>
                  <w:r w:rsidR="00F22AA3">
                    <w:t xml:space="preserve">. </w:t>
                  </w:r>
                </w:p>
                <w:p w14:paraId="0F6FF48C" w14:textId="754187E2" w:rsidR="006456FD" w:rsidRPr="001B1CDA" w:rsidRDefault="006456FD" w:rsidP="006456FD">
                  <w:pPr>
                    <w:pBdr>
                      <w:left w:val="single" w:sz="18" w:space="4" w:color="78B800" w:themeColor="accent1"/>
                    </w:pBdr>
                    <w:tabs>
                      <w:tab w:val="left" w:pos="8080"/>
                    </w:tabs>
                    <w:spacing w:after="0"/>
                    <w:ind w:left="851" w:right="949"/>
                    <w:rPr>
                      <w:i/>
                    </w:rPr>
                  </w:pPr>
                  <w:r w:rsidRPr="008E1B83">
                    <w:rPr>
                      <w:i/>
                      <w:noProof/>
                    </w:rPr>
                    <w:lastRenderedPageBreak/>
                    <w:drawing>
                      <wp:anchor distT="0" distB="0" distL="114300" distR="114300" simplePos="0" relativeHeight="251658289" behindDoc="0" locked="1" layoutInCell="1" allowOverlap="1" wp14:anchorId="36CB9216" wp14:editId="462AE8E9">
                        <wp:simplePos x="0" y="0"/>
                        <wp:positionH relativeFrom="column">
                          <wp:posOffset>0</wp:posOffset>
                        </wp:positionH>
                        <wp:positionV relativeFrom="paragraph">
                          <wp:posOffset>0</wp:posOffset>
                        </wp:positionV>
                        <wp:extent cx="384810" cy="320040"/>
                        <wp:effectExtent l="0" t="0" r="0" b="3810"/>
                        <wp:wrapNone/>
                        <wp:docPr id="1941038084" name="Graphic 1941038084" descr="P2222#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038084" name="Graphic 1941038084" descr="P2222#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E1B83">
                    <w:rPr>
                      <w:i/>
                    </w:rPr>
                    <w:t>Kept me alive and at work</w:t>
                  </w:r>
                  <w:r w:rsidR="00234EFB">
                    <w:rPr>
                      <w:i/>
                    </w:rPr>
                    <w:t>.</w:t>
                  </w:r>
                  <w:r w:rsidRPr="008E1B83">
                    <w:rPr>
                      <w:i/>
                    </w:rPr>
                    <w:t xml:space="preserve"> </w:t>
                  </w:r>
                  <w:r w:rsidR="00234EFB">
                    <w:rPr>
                      <w:i/>
                    </w:rPr>
                    <w:t>L</w:t>
                  </w:r>
                  <w:r w:rsidRPr="008E1B83">
                    <w:rPr>
                      <w:i/>
                    </w:rPr>
                    <w:t xml:space="preserve">ast time I was going through court, </w:t>
                  </w:r>
                  <w:r w:rsidR="008A3D75" w:rsidRPr="008E1B83">
                    <w:rPr>
                      <w:i/>
                    </w:rPr>
                    <w:t xml:space="preserve">[I] </w:t>
                  </w:r>
                  <w:r w:rsidRPr="008E1B83">
                    <w:rPr>
                      <w:i/>
                    </w:rPr>
                    <w:t xml:space="preserve">lost my job because I couldn’t handle to do my things, </w:t>
                  </w:r>
                  <w:r w:rsidR="008A3D75" w:rsidRPr="008E1B83">
                    <w:rPr>
                      <w:i/>
                    </w:rPr>
                    <w:t xml:space="preserve">I </w:t>
                  </w:r>
                  <w:r w:rsidRPr="008E1B83">
                    <w:rPr>
                      <w:i/>
                    </w:rPr>
                    <w:t>had to go part time</w:t>
                  </w:r>
                  <w:r w:rsidR="00420776" w:rsidRPr="008E1B83">
                    <w:rPr>
                      <w:i/>
                    </w:rPr>
                    <w:t>.</w:t>
                  </w:r>
                  <w:r w:rsidRPr="008E1B83">
                    <w:rPr>
                      <w:i/>
                    </w:rPr>
                    <w:t xml:space="preserve"> </w:t>
                  </w:r>
                  <w:r w:rsidR="00420776" w:rsidRPr="008E1B83">
                    <w:rPr>
                      <w:i/>
                    </w:rPr>
                    <w:t>[Now]</w:t>
                  </w:r>
                  <w:r w:rsidRPr="008E1B83">
                    <w:rPr>
                      <w:i/>
                    </w:rPr>
                    <w:t xml:space="preserve"> I’m doing full</w:t>
                  </w:r>
                  <w:r w:rsidR="0059791A">
                    <w:rPr>
                      <w:i/>
                    </w:rPr>
                    <w:t>-</w:t>
                  </w:r>
                  <w:r w:rsidRPr="008E1B83">
                    <w:rPr>
                      <w:i/>
                    </w:rPr>
                    <w:t>time work and full</w:t>
                  </w:r>
                  <w:r w:rsidR="0059791A" w:rsidRPr="008E1B83">
                    <w:rPr>
                      <w:i/>
                    </w:rPr>
                    <w:t>-</w:t>
                  </w:r>
                  <w:r w:rsidRPr="008E1B83">
                    <w:rPr>
                      <w:i/>
                    </w:rPr>
                    <w:t xml:space="preserve">time parenting and </w:t>
                  </w:r>
                  <w:r w:rsidRPr="000B0940">
                    <w:rPr>
                      <w:i/>
                    </w:rPr>
                    <w:t>self</w:t>
                  </w:r>
                  <w:r w:rsidR="000B0940" w:rsidRPr="000B0940">
                    <w:rPr>
                      <w:i/>
                    </w:rPr>
                    <w:t>-representing</w:t>
                  </w:r>
                  <w:r w:rsidRPr="008E1B83">
                    <w:rPr>
                      <w:i/>
                    </w:rPr>
                    <w:t xml:space="preserve">, </w:t>
                  </w:r>
                  <w:r w:rsidR="008A3D75" w:rsidRPr="008E1B83">
                    <w:rPr>
                      <w:i/>
                    </w:rPr>
                    <w:t xml:space="preserve">[there’s] </w:t>
                  </w:r>
                  <w:r w:rsidRPr="008E1B83">
                    <w:rPr>
                      <w:i/>
                    </w:rPr>
                    <w:t>no way I could have had that without the service</w:t>
                  </w:r>
                  <w:r w:rsidR="000E26E3">
                    <w:t xml:space="preserve"> </w:t>
                  </w:r>
                  <w:r w:rsidRPr="002E7992">
                    <w:rPr>
                      <w:b/>
                      <w:bCs/>
                      <w:i/>
                      <w:iCs/>
                    </w:rPr>
                    <w:t>–</w:t>
                  </w:r>
                  <w:r>
                    <w:rPr>
                      <w:b/>
                      <w:bCs/>
                      <w:i/>
                      <w:iCs/>
                    </w:rPr>
                    <w:t xml:space="preserve"> SFVS s</w:t>
                  </w:r>
                  <w:r w:rsidRPr="002E7992">
                    <w:rPr>
                      <w:b/>
                      <w:bCs/>
                      <w:i/>
                      <w:iCs/>
                    </w:rPr>
                    <w:t xml:space="preserve">ervice </w:t>
                  </w:r>
                  <w:r>
                    <w:rPr>
                      <w:b/>
                      <w:bCs/>
                      <w:i/>
                      <w:iCs/>
                    </w:rPr>
                    <w:t>user</w:t>
                  </w:r>
                </w:p>
                <w:p w14:paraId="465CF6CA" w14:textId="296D2DC9" w:rsidR="00986254" w:rsidRDefault="00986254"/>
                <w:p w14:paraId="4C4260E7" w14:textId="65286951" w:rsidR="007A16D2" w:rsidRDefault="007A16D2" w:rsidP="006456FD">
                  <w:pPr>
                    <w:pStyle w:val="Text"/>
                  </w:pPr>
                  <w:r>
                    <w:t xml:space="preserve">Many </w:t>
                  </w:r>
                  <w:r w:rsidR="00333B2A">
                    <w:t xml:space="preserve">service users reflected that </w:t>
                  </w:r>
                  <w:r w:rsidR="006233AE">
                    <w:t>they felt more resilient and empowered as a result of participating in counselling, and that this also improved</w:t>
                  </w:r>
                  <w:r w:rsidR="001F6B87">
                    <w:t xml:space="preserve"> their wellbeing and mental health.</w:t>
                  </w:r>
                </w:p>
                <w:p w14:paraId="4679D2D5" w14:textId="6EE67040" w:rsidR="006456FD" w:rsidRPr="001B1CDA" w:rsidRDefault="006456FD" w:rsidP="006456FD">
                  <w:pPr>
                    <w:pBdr>
                      <w:left w:val="single" w:sz="18" w:space="4" w:color="78B800" w:themeColor="accent1"/>
                    </w:pBdr>
                    <w:tabs>
                      <w:tab w:val="left" w:pos="8080"/>
                    </w:tabs>
                    <w:spacing w:after="0"/>
                    <w:ind w:left="851" w:right="949"/>
                    <w:rPr>
                      <w:i/>
                    </w:rPr>
                  </w:pPr>
                  <w:r w:rsidRPr="008E1B83">
                    <w:rPr>
                      <w:i/>
                      <w:noProof/>
                    </w:rPr>
                    <w:drawing>
                      <wp:anchor distT="0" distB="0" distL="114300" distR="114300" simplePos="0" relativeHeight="251658290" behindDoc="0" locked="1" layoutInCell="1" allowOverlap="1" wp14:anchorId="10705ADC" wp14:editId="702D9B58">
                        <wp:simplePos x="0" y="0"/>
                        <wp:positionH relativeFrom="column">
                          <wp:posOffset>0</wp:posOffset>
                        </wp:positionH>
                        <wp:positionV relativeFrom="paragraph">
                          <wp:posOffset>0</wp:posOffset>
                        </wp:positionV>
                        <wp:extent cx="384810" cy="320040"/>
                        <wp:effectExtent l="0" t="0" r="0" b="3810"/>
                        <wp:wrapNone/>
                        <wp:docPr id="93177954" name="Graphic 93177954" descr="P2225#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77954" name="Graphic 93177954" descr="P2225#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E1B83">
                    <w:rPr>
                      <w:i/>
                    </w:rPr>
                    <w:t xml:space="preserve">It has changed every area of my life. It’s changed me as a </w:t>
                  </w:r>
                  <w:r w:rsidRPr="000B0940">
                    <w:rPr>
                      <w:i/>
                    </w:rPr>
                    <w:t>mother</w:t>
                  </w:r>
                  <w:r w:rsidR="000B0940" w:rsidRPr="000B0940">
                    <w:rPr>
                      <w:i/>
                    </w:rPr>
                    <w:t>;</w:t>
                  </w:r>
                  <w:r w:rsidRPr="008E1B83">
                    <w:rPr>
                      <w:i/>
                    </w:rPr>
                    <w:t xml:space="preserve"> it’s changed me as a friend. It’s changed me as a family member. It’s changed how I feel about my finances and money and that I can be independent</w:t>
                  </w:r>
                  <w:r w:rsidR="0059791A">
                    <w:rPr>
                      <w:i/>
                    </w:rPr>
                    <w:t xml:space="preserve"> [</w:t>
                  </w:r>
                  <w:r w:rsidR="00D17D0D" w:rsidRPr="008E1B83">
                    <w:rPr>
                      <w:i/>
                    </w:rPr>
                    <w:t>…</w:t>
                  </w:r>
                  <w:r w:rsidR="0059791A">
                    <w:rPr>
                      <w:i/>
                    </w:rPr>
                    <w:t>]</w:t>
                  </w:r>
                  <w:r w:rsidRPr="008E1B83">
                    <w:rPr>
                      <w:i/>
                    </w:rPr>
                    <w:t xml:space="preserve"> The empowerment she gave me has helped me to feel strong enough to go through this process on my own terms</w:t>
                  </w:r>
                  <w:r w:rsidR="00D17D0D">
                    <w:t xml:space="preserve"> </w:t>
                  </w:r>
                  <w:r w:rsidRPr="002E7992">
                    <w:rPr>
                      <w:b/>
                      <w:bCs/>
                      <w:i/>
                      <w:iCs/>
                    </w:rPr>
                    <w:t>–</w:t>
                  </w:r>
                  <w:r>
                    <w:rPr>
                      <w:b/>
                      <w:bCs/>
                      <w:i/>
                      <w:iCs/>
                    </w:rPr>
                    <w:t xml:space="preserve"> SFVS s</w:t>
                  </w:r>
                  <w:r w:rsidRPr="002E7992">
                    <w:rPr>
                      <w:b/>
                      <w:bCs/>
                      <w:i/>
                      <w:iCs/>
                    </w:rPr>
                    <w:t xml:space="preserve">ervice </w:t>
                  </w:r>
                  <w:r>
                    <w:rPr>
                      <w:b/>
                      <w:bCs/>
                      <w:i/>
                      <w:iCs/>
                    </w:rPr>
                    <w:t>user</w:t>
                  </w:r>
                </w:p>
                <w:p w14:paraId="4A99FD3C" w14:textId="77777777" w:rsidR="006456FD" w:rsidRDefault="006456FD" w:rsidP="006456FD">
                  <w:pPr>
                    <w:pStyle w:val="Text"/>
                  </w:pPr>
                </w:p>
                <w:p w14:paraId="785A11DA" w14:textId="3CFC10D5" w:rsidR="00F22AA3" w:rsidRDefault="00F21E97" w:rsidP="006456FD">
                  <w:pPr>
                    <w:pStyle w:val="Text"/>
                  </w:pPr>
                  <w:r>
                    <w:t>Developing skills in self-care and compassion</w:t>
                  </w:r>
                  <w:r w:rsidR="00D17D0D">
                    <w:t xml:space="preserve"> were also key to positive changes in mental health and wellbeing for service users. </w:t>
                  </w:r>
                </w:p>
                <w:p w14:paraId="1094C80F" w14:textId="7F49770C" w:rsidR="006456FD" w:rsidRPr="001B1CDA" w:rsidRDefault="006456FD" w:rsidP="006456FD">
                  <w:pPr>
                    <w:pBdr>
                      <w:left w:val="single" w:sz="18" w:space="4" w:color="78B800" w:themeColor="accent1"/>
                    </w:pBdr>
                    <w:tabs>
                      <w:tab w:val="left" w:pos="8080"/>
                    </w:tabs>
                    <w:spacing w:after="0"/>
                    <w:ind w:left="851" w:right="949"/>
                    <w:rPr>
                      <w:i/>
                    </w:rPr>
                  </w:pPr>
                  <w:r w:rsidRPr="008E1B83">
                    <w:rPr>
                      <w:i/>
                      <w:noProof/>
                    </w:rPr>
                    <w:drawing>
                      <wp:anchor distT="0" distB="0" distL="114300" distR="114300" simplePos="0" relativeHeight="251658291" behindDoc="0" locked="1" layoutInCell="1" allowOverlap="1" wp14:anchorId="45DFDFA5" wp14:editId="3A311587">
                        <wp:simplePos x="0" y="0"/>
                        <wp:positionH relativeFrom="column">
                          <wp:posOffset>0</wp:posOffset>
                        </wp:positionH>
                        <wp:positionV relativeFrom="paragraph">
                          <wp:posOffset>0</wp:posOffset>
                        </wp:positionV>
                        <wp:extent cx="384810" cy="320040"/>
                        <wp:effectExtent l="0" t="0" r="0" b="3810"/>
                        <wp:wrapNone/>
                        <wp:docPr id="675750970" name="Graphic 675750970" descr="P2228#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750970" name="Graphic 675750970" descr="P2228#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E1B83">
                    <w:rPr>
                      <w:i/>
                    </w:rPr>
                    <w:t>She was also giving me personal development tips on how to take care of myself personally to get through the process to acknowledge that you’re a victim of domestic violence. You needed to put these systems in place to do that safely</w:t>
                  </w:r>
                  <w:r w:rsidR="00227136">
                    <w:t xml:space="preserve"> </w:t>
                  </w:r>
                  <w:r w:rsidR="0059791A">
                    <w:rPr>
                      <w:i/>
                    </w:rPr>
                    <w:t>–</w:t>
                  </w:r>
                  <w:r w:rsidRPr="00746D56">
                    <w:t xml:space="preserve"> </w:t>
                  </w:r>
                  <w:r>
                    <w:rPr>
                      <w:b/>
                      <w:bCs/>
                      <w:i/>
                      <w:iCs/>
                    </w:rPr>
                    <w:t>SFVS s</w:t>
                  </w:r>
                  <w:r w:rsidRPr="002E7992">
                    <w:rPr>
                      <w:b/>
                      <w:bCs/>
                      <w:i/>
                      <w:iCs/>
                    </w:rPr>
                    <w:t xml:space="preserve">ervice </w:t>
                  </w:r>
                  <w:r>
                    <w:rPr>
                      <w:b/>
                      <w:bCs/>
                      <w:i/>
                      <w:iCs/>
                    </w:rPr>
                    <w:t>user</w:t>
                  </w:r>
                </w:p>
                <w:p w14:paraId="57A678ED" w14:textId="77777777" w:rsidR="006456FD" w:rsidRDefault="006456FD" w:rsidP="00576A66">
                  <w:pPr>
                    <w:pStyle w:val="Text"/>
                  </w:pPr>
                </w:p>
                <w:p w14:paraId="74F1276A" w14:textId="63E81986" w:rsidR="0083295E" w:rsidRPr="006456FD" w:rsidRDefault="00465D81" w:rsidP="00576A66">
                  <w:pPr>
                    <w:pStyle w:val="Text"/>
                  </w:pPr>
                  <w:r>
                    <w:t xml:space="preserve">In general, service users felt </w:t>
                  </w:r>
                  <w:r w:rsidR="004A6F95">
                    <w:t>that</w:t>
                  </w:r>
                  <w:r>
                    <w:t xml:space="preserve"> they could </w:t>
                  </w:r>
                  <w:r w:rsidR="00096570">
                    <w:t>confide in their service providers and</w:t>
                  </w:r>
                  <w:r w:rsidR="00497946">
                    <w:t xml:space="preserve"> </w:t>
                  </w:r>
                  <w:r w:rsidR="003554C4">
                    <w:t>access</w:t>
                  </w:r>
                  <w:r w:rsidR="00096570">
                    <w:t xml:space="preserve"> them for support, even if they had stopped attending the service. </w:t>
                  </w:r>
                  <w:r w:rsidR="00C872B8">
                    <w:t xml:space="preserve">However, </w:t>
                  </w:r>
                  <w:r w:rsidR="00F847AF">
                    <w:t>a small number of</w:t>
                  </w:r>
                  <w:r w:rsidR="0083295E">
                    <w:t xml:space="preserve"> SFVS service users were not referred to other </w:t>
                  </w:r>
                  <w:r w:rsidR="00914B48">
                    <w:t xml:space="preserve">appropriate </w:t>
                  </w:r>
                  <w:r w:rsidR="0083295E">
                    <w:t>services</w:t>
                  </w:r>
                  <w:r w:rsidR="00B937FF">
                    <w:t>.</w:t>
                  </w:r>
                  <w:r w:rsidR="0083295E">
                    <w:t xml:space="preserve"> </w:t>
                  </w:r>
                  <w:r w:rsidR="00C872B8">
                    <w:t xml:space="preserve">This was a deeply felt gap for </w:t>
                  </w:r>
                  <w:r w:rsidR="004A6F95">
                    <w:t xml:space="preserve">these </w:t>
                  </w:r>
                  <w:r w:rsidR="00F847AF">
                    <w:t>service users</w:t>
                  </w:r>
                  <w:r w:rsidR="00096F58">
                    <w:t>.</w:t>
                  </w:r>
                  <w:r w:rsidR="00C872B8">
                    <w:t xml:space="preserve"> </w:t>
                  </w:r>
                  <w:r w:rsidR="008C6B88">
                    <w:t>Similarly</w:t>
                  </w:r>
                  <w:r w:rsidR="00D04E30">
                    <w:t xml:space="preserve">, </w:t>
                  </w:r>
                  <w:r w:rsidR="008C6B88">
                    <w:t xml:space="preserve">and aligned with </w:t>
                  </w:r>
                  <w:r w:rsidR="002A48EE">
                    <w:t>outcomes for</w:t>
                  </w:r>
                  <w:r w:rsidR="008C6B88">
                    <w:t xml:space="preserve"> FaRS, </w:t>
                  </w:r>
                  <w:r w:rsidR="00D04E30">
                    <w:t xml:space="preserve">some service users had difficulty </w:t>
                  </w:r>
                  <w:r w:rsidR="008C6B88">
                    <w:t xml:space="preserve">accessing the SFVS service as they did not know such services existed. Several </w:t>
                  </w:r>
                  <w:r w:rsidR="000D4043">
                    <w:t xml:space="preserve">service users recommended better advertising of the services so that more people could access these supports. </w:t>
                  </w:r>
                </w:p>
                <w:p w14:paraId="418588FE" w14:textId="2B074831" w:rsidR="006020E7" w:rsidRPr="00321BC5" w:rsidRDefault="006020E7" w:rsidP="00321BC5">
                  <w:pPr>
                    <w:pStyle w:val="Text-BodyHeading"/>
                    <w:spacing w:before="360" w:after="240"/>
                  </w:pPr>
                  <w:r w:rsidRPr="00321BC5">
                    <w:t xml:space="preserve">Children </w:t>
                  </w:r>
                </w:p>
                <w:p w14:paraId="3B696CB4" w14:textId="78A21828" w:rsidR="00D94E80" w:rsidRPr="007C3AF3" w:rsidRDefault="00BB7D1F" w:rsidP="4184DD85">
                  <w:pPr>
                    <w:pStyle w:val="Text"/>
                    <w:rPr>
                      <w:noProof/>
                    </w:rPr>
                  </w:pPr>
                  <w:r>
                    <w:rPr>
                      <w:rStyle w:val="Text-BodyHeadingChar"/>
                      <w:b w:val="0"/>
                      <w:bCs w:val="0"/>
                      <w:color w:val="auto"/>
                      <w:spacing w:val="0"/>
                      <w:lang w:val="en-NZ"/>
                    </w:rPr>
                    <w:t xml:space="preserve">The evaluation found a </w:t>
                  </w:r>
                  <w:r w:rsidR="00D0492C">
                    <w:rPr>
                      <w:rStyle w:val="Text-BodyHeadingChar"/>
                      <w:b w:val="0"/>
                      <w:bCs w:val="0"/>
                      <w:color w:val="auto"/>
                      <w:spacing w:val="0"/>
                      <w:lang w:val="en-NZ"/>
                    </w:rPr>
                    <w:t>positive</w:t>
                  </w:r>
                  <w:r>
                    <w:rPr>
                      <w:rStyle w:val="Text-BodyHeadingChar"/>
                      <w:b w:val="0"/>
                      <w:bCs w:val="0"/>
                      <w:color w:val="auto"/>
                      <w:spacing w:val="0"/>
                      <w:lang w:val="en-NZ"/>
                    </w:rPr>
                    <w:t xml:space="preserve"> impact on c</w:t>
                  </w:r>
                  <w:r w:rsidR="0031109E">
                    <w:rPr>
                      <w:rStyle w:val="Text-BodyHeadingChar"/>
                      <w:b w:val="0"/>
                      <w:bCs w:val="0"/>
                      <w:color w:val="auto"/>
                      <w:spacing w:val="0"/>
                      <w:lang w:val="en-NZ"/>
                    </w:rPr>
                    <w:t>hildren who accessed child-specific counselling services</w:t>
                  </w:r>
                  <w:r>
                    <w:rPr>
                      <w:rStyle w:val="Text-BodyHeadingChar"/>
                      <w:b w:val="0"/>
                      <w:bCs w:val="0"/>
                      <w:color w:val="auto"/>
                      <w:spacing w:val="0"/>
                      <w:lang w:val="en-NZ"/>
                    </w:rPr>
                    <w:t>.</w:t>
                  </w:r>
                  <w:r w:rsidRPr="001E4C82">
                    <w:rPr>
                      <w:lang w:val="en-US"/>
                    </w:rPr>
                    <w:t xml:space="preserve"> </w:t>
                  </w:r>
                  <w:r w:rsidR="001E4C82" w:rsidRPr="001E4C82">
                    <w:rPr>
                      <w:lang w:val="en-US"/>
                    </w:rPr>
                    <w:t xml:space="preserve">Circumstance domains for children include wellbeing, safety, or family functioning from the child’s perspective. Approximately </w:t>
                  </w:r>
                  <w:r w:rsidR="000A2A2D">
                    <w:rPr>
                      <w:lang w:val="en-US"/>
                    </w:rPr>
                    <w:t>66</w:t>
                  </w:r>
                  <w:r w:rsidR="001E4C82" w:rsidRPr="001E4C82">
                    <w:rPr>
                      <w:lang w:val="en-US"/>
                    </w:rPr>
                    <w:t xml:space="preserve">% of children showed an overall positive change in circumstances by the end of service. By 2023-24, about 63% had improved circumstances. This suggests that </w:t>
                  </w:r>
                  <w:r w:rsidR="006B0C11">
                    <w:rPr>
                      <w:lang w:val="en-US"/>
                    </w:rPr>
                    <w:t>most</w:t>
                  </w:r>
                  <w:r w:rsidR="001E4C82" w:rsidRPr="001E4C82">
                    <w:rPr>
                      <w:lang w:val="en-US"/>
                    </w:rPr>
                    <w:t xml:space="preserve"> </w:t>
                  </w:r>
                  <w:r w:rsidR="00E614D3">
                    <w:rPr>
                      <w:lang w:val="en-US"/>
                    </w:rPr>
                    <w:t xml:space="preserve">service </w:t>
                  </w:r>
                  <w:r w:rsidR="000B0940">
                    <w:rPr>
                      <w:lang w:val="en-US"/>
                    </w:rPr>
                    <w:t>users</w:t>
                  </w:r>
                  <w:r w:rsidR="001E4C82" w:rsidRPr="001E4C82">
                    <w:rPr>
                      <w:lang w:val="en-US"/>
                    </w:rPr>
                    <w:t xml:space="preserve"> </w:t>
                  </w:r>
                  <w:r w:rsidR="00524AA1">
                    <w:rPr>
                      <w:lang w:val="en-US"/>
                    </w:rPr>
                    <w:t>who are children</w:t>
                  </w:r>
                  <w:r w:rsidR="001E4C82" w:rsidRPr="001E4C82">
                    <w:rPr>
                      <w:lang w:val="en-US"/>
                    </w:rPr>
                    <w:t xml:space="preserve"> experienced better emotional or family circumstances (</w:t>
                  </w:r>
                  <w:r w:rsidR="00524AA1">
                    <w:rPr>
                      <w:lang w:val="en-US"/>
                    </w:rPr>
                    <w:t>for example: they</w:t>
                  </w:r>
                  <w:r w:rsidR="001E4C82" w:rsidRPr="001E4C82">
                    <w:rPr>
                      <w:lang w:val="en-US"/>
                    </w:rPr>
                    <w:t xml:space="preserve"> felt safer</w:t>
                  </w:r>
                  <w:r w:rsidR="00524AA1">
                    <w:rPr>
                      <w:lang w:val="en-US"/>
                    </w:rPr>
                    <w:t xml:space="preserve"> or</w:t>
                  </w:r>
                  <w:r w:rsidR="001E4C82" w:rsidRPr="001E4C82">
                    <w:rPr>
                      <w:lang w:val="en-US"/>
                    </w:rPr>
                    <w:t xml:space="preserve"> more stable) after counselling. The average improvement was </w:t>
                  </w:r>
                  <w:r w:rsidR="007F2F9A">
                    <w:rPr>
                      <w:lang w:val="en-US"/>
                    </w:rPr>
                    <w:t>i</w:t>
                  </w:r>
                  <w:r w:rsidR="001E4C82" w:rsidRPr="001E4C82">
                    <w:rPr>
                      <w:lang w:val="en-US"/>
                    </w:rPr>
                    <w:t>n the order of +0.8 points on the 5-point scale, similar to other programs</w:t>
                  </w:r>
                  <w:r w:rsidR="006C05D1">
                    <w:rPr>
                      <w:lang w:val="en-US"/>
                    </w:rPr>
                    <w:t xml:space="preserve"> (se</w:t>
                  </w:r>
                  <w:r w:rsidR="007C3AF3">
                    <w:rPr>
                      <w:lang w:val="en-US"/>
                    </w:rPr>
                    <w:t xml:space="preserve">e </w:t>
                  </w:r>
                  <w:r w:rsidR="007C3AF3" w:rsidRPr="007C3AF3">
                    <w:rPr>
                      <w:b/>
                      <w:bCs/>
                      <w:lang w:val="en-US"/>
                    </w:rPr>
                    <w:fldChar w:fldCharType="begin" w:fldLock="1"/>
                  </w:r>
                  <w:r w:rsidR="007C3AF3" w:rsidRPr="007C3AF3">
                    <w:rPr>
                      <w:b/>
                      <w:bCs/>
                      <w:lang w:val="en-US"/>
                    </w:rPr>
                    <w:instrText xml:space="preserve"> REF _Ref208994522 \h </w:instrText>
                  </w:r>
                  <w:r w:rsidR="007C3AF3">
                    <w:rPr>
                      <w:b/>
                      <w:bCs/>
                      <w:lang w:val="en-US"/>
                    </w:rPr>
                    <w:instrText xml:space="preserve"> \* MERGEFORMAT </w:instrText>
                  </w:r>
                  <w:r w:rsidR="007C3AF3" w:rsidRPr="007C3AF3">
                    <w:rPr>
                      <w:b/>
                      <w:bCs/>
                      <w:lang w:val="en-US"/>
                    </w:rPr>
                  </w:r>
                  <w:r w:rsidR="007C3AF3" w:rsidRPr="007C3AF3">
                    <w:rPr>
                      <w:b/>
                      <w:bCs/>
                      <w:lang w:val="en-US"/>
                    </w:rPr>
                    <w:fldChar w:fldCharType="separate"/>
                  </w:r>
                  <w:r w:rsidR="008F22E5" w:rsidRPr="008F22E5">
                    <w:rPr>
                      <w:b/>
                      <w:bCs/>
                    </w:rPr>
                    <w:t xml:space="preserve">Table </w:t>
                  </w:r>
                  <w:r w:rsidR="008F22E5" w:rsidRPr="008F22E5">
                    <w:rPr>
                      <w:b/>
                      <w:bCs/>
                      <w:noProof/>
                    </w:rPr>
                    <w:t>26</w:t>
                  </w:r>
                  <w:r w:rsidR="007C3AF3" w:rsidRPr="007C3AF3">
                    <w:rPr>
                      <w:b/>
                      <w:bCs/>
                      <w:lang w:val="en-US"/>
                    </w:rPr>
                    <w:fldChar w:fldCharType="end"/>
                  </w:r>
                  <w:r w:rsidR="006C05D1">
                    <w:rPr>
                      <w:lang w:val="en-US"/>
                    </w:rPr>
                    <w:t>)</w:t>
                  </w:r>
                  <w:r w:rsidR="001E4C82" w:rsidRPr="001E4C82">
                    <w:rPr>
                      <w:lang w:val="en-US"/>
                    </w:rPr>
                    <w:t xml:space="preserve">. </w:t>
                  </w:r>
                </w:p>
                <w:p w14:paraId="5FB1EE88" w14:textId="77777777" w:rsidR="00EB5E1B" w:rsidRDefault="00EB5E1B">
                  <w:pPr>
                    <w:rPr>
                      <w:rFonts w:ascii="Arial" w:hAnsi="Arial"/>
                      <w:b/>
                      <w:sz w:val="21"/>
                      <w:lang w:val="en-US"/>
                    </w:rPr>
                  </w:pPr>
                  <w:bookmarkStart w:id="411" w:name="_Ref208419697"/>
                  <w:r>
                    <w:br w:type="page"/>
                  </w:r>
                </w:p>
                <w:p w14:paraId="4773EC1E" w14:textId="19E0548D" w:rsidR="00A250E1" w:rsidRDefault="006C05D1" w:rsidP="00D032E3">
                  <w:pPr>
                    <w:pStyle w:val="TableFigure-Header"/>
                    <w:spacing w:line="276" w:lineRule="auto"/>
                    <w:jc w:val="both"/>
                  </w:pPr>
                  <w:bookmarkStart w:id="412" w:name="_Ref208994522"/>
                  <w:r>
                    <w:lastRenderedPageBreak/>
                    <w:t xml:space="preserve">Table </w:t>
                  </w:r>
                  <w:r w:rsidRPr="5AC90C80">
                    <w:fldChar w:fldCharType="begin"/>
                  </w:r>
                  <w:r>
                    <w:instrText xml:space="preserve"> SEQ Table \* ARABIC </w:instrText>
                  </w:r>
                  <w:r w:rsidRPr="5AC90C80">
                    <w:fldChar w:fldCharType="separate"/>
                  </w:r>
                  <w:r w:rsidR="008D2566">
                    <w:rPr>
                      <w:noProof/>
                    </w:rPr>
                    <w:t>26</w:t>
                  </w:r>
                  <w:r w:rsidRPr="5AC90C80">
                    <w:rPr>
                      <w:noProof/>
                    </w:rPr>
                    <w:fldChar w:fldCharType="end"/>
                  </w:r>
                  <w:bookmarkEnd w:id="411"/>
                  <w:bookmarkEnd w:id="412"/>
                  <w:r>
                    <w:t>: Earliest to latest mean SCORE change and percentage of service users with a positive SCORE change for Goal outcomes by cohort, SFVS, under 18</w:t>
                  </w:r>
                  <w:r w:rsidR="7EA37839" w:rsidRPr="5AC90C80">
                    <w:rPr>
                      <w:lang w:val="en-NZ"/>
                    </w:rPr>
                    <w:t>,</w:t>
                  </w:r>
                  <w:r w:rsidR="7EA37839" w:rsidRPr="5AC90C80">
                    <w:rPr>
                      <w:rStyle w:val="Text-Bold"/>
                      <w:b/>
                      <w:bCs/>
                    </w:rPr>
                    <w:t xml:space="preserve"> July 2021 – June 2024</w:t>
                  </w:r>
                  <w:r>
                    <w:t xml:space="preserve"> </w:t>
                  </w:r>
                </w:p>
                <w:tbl>
                  <w:tblPr>
                    <w:tblStyle w:val="TableGrid22"/>
                    <w:tblW w:w="0" w:type="auto"/>
                    <w:tblLook w:val="04A0" w:firstRow="1" w:lastRow="0" w:firstColumn="1" w:lastColumn="0" w:noHBand="0" w:noVBand="1"/>
                  </w:tblPr>
                  <w:tblGrid>
                    <w:gridCol w:w="3709"/>
                    <w:gridCol w:w="1280"/>
                    <w:gridCol w:w="1798"/>
                    <w:gridCol w:w="2042"/>
                  </w:tblGrid>
                  <w:tr w:rsidR="008C7020" w:rsidRPr="00B70870" w14:paraId="31E29EB6" w14:textId="77777777">
                    <w:trPr>
                      <w:trHeight w:val="292"/>
                    </w:trPr>
                    <w:tc>
                      <w:tcPr>
                        <w:tcW w:w="3709" w:type="dxa"/>
                        <w:shd w:val="clear" w:color="auto" w:fill="007E00" w:themeFill="accent3"/>
                        <w:noWrap/>
                        <w:hideMark/>
                      </w:tcPr>
                      <w:p w14:paraId="2014C57B" w14:textId="77777777" w:rsidR="008C7020" w:rsidRPr="00D63E8D" w:rsidRDefault="008C7020">
                        <w:pPr>
                          <w:pStyle w:val="TableText"/>
                          <w:rPr>
                            <w:b/>
                            <w:bCs/>
                            <w:color w:val="FFFFFF" w:themeColor="background1"/>
                          </w:rPr>
                        </w:pPr>
                        <w:r w:rsidRPr="00D63E8D">
                          <w:rPr>
                            <w:b/>
                            <w:bCs/>
                            <w:color w:val="FFFFFF" w:themeColor="background1"/>
                          </w:rPr>
                          <w:t>Outcome Type</w:t>
                        </w:r>
                      </w:p>
                    </w:tc>
                    <w:tc>
                      <w:tcPr>
                        <w:tcW w:w="1280" w:type="dxa"/>
                        <w:shd w:val="clear" w:color="auto" w:fill="007E00" w:themeFill="accent3"/>
                        <w:noWrap/>
                        <w:hideMark/>
                      </w:tcPr>
                      <w:p w14:paraId="57E8D04F" w14:textId="77777777" w:rsidR="008C7020" w:rsidRPr="00D63E8D" w:rsidRDefault="008C7020">
                        <w:pPr>
                          <w:pStyle w:val="TableText"/>
                          <w:rPr>
                            <w:b/>
                            <w:bCs/>
                            <w:color w:val="FFFFFF" w:themeColor="background1"/>
                          </w:rPr>
                        </w:pPr>
                        <w:r>
                          <w:rPr>
                            <w:b/>
                            <w:bCs/>
                            <w:color w:val="FFFFFF" w:themeColor="background1"/>
                          </w:rPr>
                          <w:t xml:space="preserve">Service users </w:t>
                        </w:r>
                        <w:r w:rsidRPr="00D63E8D">
                          <w:rPr>
                            <w:b/>
                            <w:bCs/>
                            <w:color w:val="FFFFFF" w:themeColor="background1"/>
                          </w:rPr>
                          <w:t>(</w:t>
                        </w:r>
                        <w:r>
                          <w:rPr>
                            <w:b/>
                            <w:bCs/>
                            <w:color w:val="FFFFFF" w:themeColor="background1"/>
                          </w:rPr>
                          <w:t>n=</w:t>
                        </w:r>
                        <w:r w:rsidRPr="00D63E8D">
                          <w:rPr>
                            <w:b/>
                            <w:bCs/>
                            <w:color w:val="FFFFFF" w:themeColor="background1"/>
                          </w:rPr>
                          <w:t>)</w:t>
                        </w:r>
                      </w:p>
                    </w:tc>
                    <w:tc>
                      <w:tcPr>
                        <w:tcW w:w="1798" w:type="dxa"/>
                        <w:shd w:val="clear" w:color="auto" w:fill="007E00" w:themeFill="accent3"/>
                        <w:noWrap/>
                        <w:hideMark/>
                      </w:tcPr>
                      <w:p w14:paraId="198C4244" w14:textId="77777777" w:rsidR="008C7020" w:rsidRPr="00D63E8D" w:rsidRDefault="008C7020">
                        <w:pPr>
                          <w:pStyle w:val="TableText"/>
                          <w:rPr>
                            <w:b/>
                            <w:bCs/>
                            <w:color w:val="FFFFFF" w:themeColor="background1"/>
                          </w:rPr>
                        </w:pPr>
                        <w:r w:rsidRPr="00D63E8D">
                          <w:rPr>
                            <w:b/>
                            <w:bCs/>
                            <w:color w:val="FFFFFF" w:themeColor="background1"/>
                          </w:rPr>
                          <w:t>SCORE change (mean)</w:t>
                        </w:r>
                      </w:p>
                    </w:tc>
                    <w:tc>
                      <w:tcPr>
                        <w:tcW w:w="2042" w:type="dxa"/>
                        <w:shd w:val="clear" w:color="auto" w:fill="007E00" w:themeFill="accent3"/>
                        <w:noWrap/>
                        <w:hideMark/>
                      </w:tcPr>
                      <w:p w14:paraId="34D6DCD5" w14:textId="77777777" w:rsidR="008C7020" w:rsidRPr="00D63E8D" w:rsidRDefault="008C7020">
                        <w:pPr>
                          <w:pStyle w:val="TableText"/>
                          <w:rPr>
                            <w:b/>
                            <w:bCs/>
                            <w:color w:val="FFFFFF" w:themeColor="background1"/>
                          </w:rPr>
                        </w:pPr>
                        <w:r>
                          <w:rPr>
                            <w:b/>
                            <w:bCs/>
                            <w:color w:val="FFFFFF" w:themeColor="background1"/>
                          </w:rPr>
                          <w:t>Service users</w:t>
                        </w:r>
                        <w:r w:rsidRPr="00D63E8D">
                          <w:rPr>
                            <w:b/>
                            <w:bCs/>
                            <w:color w:val="FFFFFF" w:themeColor="background1"/>
                          </w:rPr>
                          <w:t xml:space="preserve"> with positive mean change (%, n</w:t>
                        </w:r>
                        <w:r>
                          <w:rPr>
                            <w:b/>
                            <w:bCs/>
                            <w:color w:val="FFFFFF" w:themeColor="background1"/>
                          </w:rPr>
                          <w:t>=</w:t>
                        </w:r>
                        <w:r w:rsidRPr="00D63E8D">
                          <w:rPr>
                            <w:b/>
                            <w:bCs/>
                            <w:color w:val="FFFFFF" w:themeColor="background1"/>
                          </w:rPr>
                          <w:t>)</w:t>
                        </w:r>
                      </w:p>
                    </w:tc>
                  </w:tr>
                  <w:tr w:rsidR="008C7020" w:rsidRPr="00B70870" w14:paraId="57C497F5" w14:textId="77777777">
                    <w:trPr>
                      <w:trHeight w:val="292"/>
                    </w:trPr>
                    <w:tc>
                      <w:tcPr>
                        <w:tcW w:w="3709" w:type="dxa"/>
                        <w:noWrap/>
                        <w:hideMark/>
                      </w:tcPr>
                      <w:p w14:paraId="5DEF82F5" w14:textId="77777777" w:rsidR="008C7020" w:rsidRPr="0078378F" w:rsidRDefault="008C7020">
                        <w:pPr>
                          <w:pStyle w:val="TableText"/>
                        </w:pPr>
                        <w:r w:rsidRPr="0078378F">
                          <w:t>Circumstances</w:t>
                        </w:r>
                      </w:p>
                    </w:tc>
                    <w:tc>
                      <w:tcPr>
                        <w:tcW w:w="1280" w:type="dxa"/>
                        <w:noWrap/>
                        <w:hideMark/>
                      </w:tcPr>
                      <w:p w14:paraId="487FDED9" w14:textId="77777777" w:rsidR="008C7020" w:rsidRPr="00B70870" w:rsidRDefault="008C7020">
                        <w:pPr>
                          <w:pStyle w:val="TableText"/>
                        </w:pPr>
                        <w:r w:rsidRPr="00B70870">
                          <w:t>859</w:t>
                        </w:r>
                      </w:p>
                    </w:tc>
                    <w:tc>
                      <w:tcPr>
                        <w:tcW w:w="1798" w:type="dxa"/>
                        <w:noWrap/>
                        <w:hideMark/>
                      </w:tcPr>
                      <w:p w14:paraId="6C950F9C" w14:textId="77777777" w:rsidR="008C7020" w:rsidRPr="00B70870" w:rsidRDefault="008C7020">
                        <w:pPr>
                          <w:pStyle w:val="TableText"/>
                        </w:pPr>
                        <w:r w:rsidRPr="00B70870">
                          <w:t>0.77</w:t>
                        </w:r>
                      </w:p>
                    </w:tc>
                    <w:tc>
                      <w:tcPr>
                        <w:tcW w:w="2042" w:type="dxa"/>
                        <w:noWrap/>
                        <w:hideMark/>
                      </w:tcPr>
                      <w:p w14:paraId="2D84B947" w14:textId="77777777" w:rsidR="008C7020" w:rsidRPr="00B70870" w:rsidRDefault="008C7020">
                        <w:pPr>
                          <w:pStyle w:val="TableText"/>
                        </w:pPr>
                        <w:r w:rsidRPr="00B70870">
                          <w:t>65.9% (n=566)</w:t>
                        </w:r>
                      </w:p>
                    </w:tc>
                  </w:tr>
                  <w:tr w:rsidR="008C7020" w:rsidRPr="00B70870" w14:paraId="6F8B425C" w14:textId="77777777">
                    <w:trPr>
                      <w:trHeight w:val="292"/>
                    </w:trPr>
                    <w:tc>
                      <w:tcPr>
                        <w:tcW w:w="3709" w:type="dxa"/>
                        <w:noWrap/>
                        <w:hideMark/>
                      </w:tcPr>
                      <w:p w14:paraId="2C067091" w14:textId="77777777" w:rsidR="008C7020" w:rsidRPr="0078378F" w:rsidRDefault="008C7020">
                        <w:pPr>
                          <w:pStyle w:val="TableText"/>
                        </w:pPr>
                        <w:r w:rsidRPr="0078378F">
                          <w:t>Goals</w:t>
                        </w:r>
                      </w:p>
                    </w:tc>
                    <w:tc>
                      <w:tcPr>
                        <w:tcW w:w="1280" w:type="dxa"/>
                        <w:noWrap/>
                        <w:hideMark/>
                      </w:tcPr>
                      <w:p w14:paraId="0E1926FF" w14:textId="77777777" w:rsidR="008C7020" w:rsidRPr="00B70870" w:rsidRDefault="008C7020">
                        <w:pPr>
                          <w:pStyle w:val="TableText"/>
                        </w:pPr>
                        <w:r w:rsidRPr="00B70870">
                          <w:t>946</w:t>
                        </w:r>
                      </w:p>
                    </w:tc>
                    <w:tc>
                      <w:tcPr>
                        <w:tcW w:w="1798" w:type="dxa"/>
                        <w:noWrap/>
                        <w:hideMark/>
                      </w:tcPr>
                      <w:p w14:paraId="75F9C094" w14:textId="77777777" w:rsidR="008C7020" w:rsidRPr="00B70870" w:rsidRDefault="008C7020">
                        <w:pPr>
                          <w:pStyle w:val="TableText"/>
                        </w:pPr>
                        <w:r w:rsidRPr="00B70870">
                          <w:t>0.83</w:t>
                        </w:r>
                      </w:p>
                    </w:tc>
                    <w:tc>
                      <w:tcPr>
                        <w:tcW w:w="2042" w:type="dxa"/>
                        <w:noWrap/>
                        <w:hideMark/>
                      </w:tcPr>
                      <w:p w14:paraId="095DD399" w14:textId="77777777" w:rsidR="008C7020" w:rsidRPr="00B70870" w:rsidRDefault="008C7020">
                        <w:pPr>
                          <w:pStyle w:val="TableText"/>
                        </w:pPr>
                        <w:r w:rsidRPr="00B70870">
                          <w:t>61.5% (n=582)</w:t>
                        </w:r>
                      </w:p>
                    </w:tc>
                  </w:tr>
                </w:tbl>
                <w:p w14:paraId="7F4349C9" w14:textId="0CF82344" w:rsidR="008C7020" w:rsidRPr="00986254" w:rsidRDefault="008C7020" w:rsidP="00DE647E">
                  <w:pPr>
                    <w:pStyle w:val="TableFigure-Header"/>
                    <w:rPr>
                      <w:i/>
                      <w:sz w:val="20"/>
                      <w:lang w:val="en-NZ"/>
                    </w:rPr>
                  </w:pPr>
                  <w:r w:rsidRPr="00986254">
                    <w:rPr>
                      <w:rStyle w:val="Text-Bold"/>
                      <w:bCs/>
                      <w:i/>
                      <w:iCs/>
                      <w:sz w:val="20"/>
                      <w:lang w:val="en-NZ"/>
                    </w:rPr>
                    <w:t xml:space="preserve">Source: DEX-SCORE data </w:t>
                  </w:r>
                </w:p>
                <w:p w14:paraId="1B31C4ED" w14:textId="238CDEFA" w:rsidR="009052FC" w:rsidRPr="007C3AF3" w:rsidRDefault="001E4C82" w:rsidP="00DE647E">
                  <w:pPr>
                    <w:pStyle w:val="Text"/>
                    <w:rPr>
                      <w:rStyle w:val="Text-Bold"/>
                      <w:bCs/>
                      <w:szCs w:val="22"/>
                    </w:rPr>
                  </w:pPr>
                  <w:r w:rsidRPr="001E4C82">
                    <w:rPr>
                      <w:lang w:val="en-US"/>
                    </w:rPr>
                    <w:t xml:space="preserve">Children (with help of their counsellors/parents) set therapeutic goals like coping with anger, improving school behaviour, </w:t>
                  </w:r>
                  <w:r w:rsidR="00D94E80">
                    <w:rPr>
                      <w:lang w:val="en-US"/>
                    </w:rPr>
                    <w:t xml:space="preserve">or </w:t>
                  </w:r>
                  <w:r w:rsidRPr="7DC80FF7">
                    <w:rPr>
                      <w:lang w:val="en-US"/>
                    </w:rPr>
                    <w:t>overcoming</w:t>
                  </w:r>
                  <w:r w:rsidRPr="001E4C82">
                    <w:rPr>
                      <w:lang w:val="en-US"/>
                    </w:rPr>
                    <w:t xml:space="preserve"> trauma symptoms. The data shows around 62% reaching positive goal outcomes </w:t>
                  </w:r>
                  <w:r w:rsidR="7FFBE07E" w:rsidRPr="291B18E0">
                    <w:rPr>
                      <w:lang w:val="en-US"/>
                    </w:rPr>
                    <w:t>between their earliest and latest available SCORE assessments</w:t>
                  </w:r>
                  <w:r w:rsidRPr="291B18E0">
                    <w:rPr>
                      <w:lang w:val="en-US"/>
                    </w:rPr>
                    <w:t>.</w:t>
                  </w:r>
                  <w:r w:rsidRPr="001E4C82">
                    <w:rPr>
                      <w:lang w:val="en-US"/>
                    </w:rPr>
                    <w:t xml:space="preserve"> This upward shift might reflect better goal setting and attainment as programs matured. In practical terms, almost </w:t>
                  </w:r>
                  <w:r w:rsidR="006B0C11">
                    <w:rPr>
                      <w:lang w:val="en-US"/>
                    </w:rPr>
                    <w:t>three quarters of</w:t>
                  </w:r>
                  <w:r w:rsidRPr="001E4C82">
                    <w:rPr>
                      <w:lang w:val="en-US"/>
                    </w:rPr>
                    <w:t xml:space="preserve"> children achieved notable progress (for example, a child might regain a sense of safety or improve their emotional regulation, meeting their counselling goals). Satisfaction data for children’s services can often be misleading (</w:t>
                  </w:r>
                  <w:r w:rsidR="00BB3FB6">
                    <w:rPr>
                      <w:lang w:val="en-US"/>
                    </w:rPr>
                    <w:t>as</w:t>
                  </w:r>
                  <w:r w:rsidRPr="001E4C82">
                    <w:rPr>
                      <w:lang w:val="en-US"/>
                    </w:rPr>
                    <w:t xml:space="preserve"> parents </w:t>
                  </w:r>
                  <w:r w:rsidR="00BB3FB6">
                    <w:rPr>
                      <w:lang w:val="en-US"/>
                    </w:rPr>
                    <w:t>often</w:t>
                  </w:r>
                  <w:r w:rsidR="00BB3FB6" w:rsidRPr="001E4C82">
                    <w:rPr>
                      <w:lang w:val="en-US"/>
                    </w:rPr>
                    <w:t xml:space="preserve"> </w:t>
                  </w:r>
                  <w:r w:rsidRPr="001E4C82">
                    <w:rPr>
                      <w:lang w:val="en-US"/>
                    </w:rPr>
                    <w:t>respond on behalf of young children). The satisfaction outcomes reported are extremely high, an average of 97% across the 3 financial years, implying that families felt the support for their children was very beneficial.</w:t>
                  </w:r>
                  <w:r>
                    <w:t xml:space="preserve"> </w:t>
                  </w:r>
                  <w:bookmarkStart w:id="413" w:name="_Toc205413065"/>
                  <w:bookmarkStart w:id="414" w:name="_Toc205413119"/>
                  <w:r w:rsidR="000F4086" w:rsidRPr="4184DD85">
                    <w:rPr>
                      <w:rStyle w:val="Text-BodyHeadingChar"/>
                      <w:b w:val="0"/>
                      <w:bCs w:val="0"/>
                      <w:color w:val="auto"/>
                      <w:lang w:val="en-NZ"/>
                    </w:rPr>
                    <w:t>T</w:t>
                  </w:r>
                  <w:r w:rsidR="000F4086">
                    <w:rPr>
                      <w:rStyle w:val="Text-BodyHeadingChar"/>
                      <w:b w:val="0"/>
                      <w:bCs w:val="0"/>
                      <w:color w:val="auto"/>
                      <w:spacing w:val="0"/>
                      <w:lang w:val="en-NZ"/>
                    </w:rPr>
                    <w:t xml:space="preserve">he cohort of service users who were under the age of 18 years at the time of their earliest and latest SCORE assessments showed improvement in all domains, on average. Knowledge, Skills, Behaviours and Confidence domains showed the largest improvement. Improvements in Family and Mental Health domains were also </w:t>
                  </w:r>
                  <w:r w:rsidR="000F4086" w:rsidRPr="006A79F2">
                    <w:rPr>
                      <w:rStyle w:val="Text-BodyHeadingChar"/>
                      <w:b w:val="0"/>
                      <w:bCs w:val="0"/>
                      <w:color w:val="auto"/>
                      <w:spacing w:val="0"/>
                      <w:lang w:val="en-NZ"/>
                    </w:rPr>
                    <w:t>high. All changes were statistically significant (</w:t>
                  </w:r>
                  <w:r w:rsidR="000F4086" w:rsidRPr="006A79F2">
                    <w:rPr>
                      <w:rStyle w:val="Text-BodyHeadingChar"/>
                      <w:b w:val="0"/>
                      <w:bCs w:val="0"/>
                      <w:i/>
                      <w:iCs/>
                      <w:color w:val="auto"/>
                      <w:spacing w:val="0"/>
                      <w:lang w:val="en-NZ"/>
                    </w:rPr>
                    <w:t>p</w:t>
                  </w:r>
                  <w:r w:rsidR="000F4086" w:rsidRPr="006A79F2">
                    <w:rPr>
                      <w:rStyle w:val="Text-BodyHeadingChar"/>
                      <w:b w:val="0"/>
                      <w:bCs w:val="0"/>
                      <w:color w:val="auto"/>
                      <w:spacing w:val="0"/>
                      <w:lang w:val="en-NZ"/>
                    </w:rPr>
                    <w:t>&lt;.001). Earliest</w:t>
                  </w:r>
                  <w:r w:rsidR="000F4086">
                    <w:rPr>
                      <w:rStyle w:val="Text-BodyHeadingChar"/>
                      <w:b w:val="0"/>
                      <w:bCs w:val="0"/>
                      <w:color w:val="auto"/>
                      <w:spacing w:val="0"/>
                      <w:lang w:val="en-NZ"/>
                    </w:rPr>
                    <w:t xml:space="preserve"> to latest SCORE changes in service users who are children, and adult service users followed similar trajectories</w:t>
                  </w:r>
                  <w:r w:rsidR="007267B8">
                    <w:rPr>
                      <w:rStyle w:val="Text-BodyHeadingChar"/>
                      <w:b w:val="0"/>
                      <w:bCs w:val="0"/>
                      <w:color w:val="auto"/>
                      <w:spacing w:val="0"/>
                      <w:lang w:val="en-NZ"/>
                    </w:rPr>
                    <w:t xml:space="preserve"> (as outlined in</w:t>
                  </w:r>
                  <w:r w:rsidR="007C3AF3">
                    <w:rPr>
                      <w:rStyle w:val="Text-BodyHeadingChar"/>
                      <w:b w:val="0"/>
                      <w:bCs w:val="0"/>
                      <w:color w:val="auto"/>
                      <w:spacing w:val="0"/>
                      <w:lang w:val="en-NZ"/>
                    </w:rPr>
                    <w:t xml:space="preserve"> </w:t>
                  </w:r>
                  <w:r w:rsidR="007C3AF3">
                    <w:rPr>
                      <w:rStyle w:val="Text-BodyHeadingChar"/>
                      <w:b w:val="0"/>
                      <w:bCs w:val="0"/>
                      <w:color w:val="auto"/>
                      <w:spacing w:val="0"/>
                      <w:lang w:val="en-NZ"/>
                    </w:rPr>
                    <w:fldChar w:fldCharType="begin" w:fldLock="1"/>
                  </w:r>
                  <w:r w:rsidR="007C3AF3">
                    <w:rPr>
                      <w:rStyle w:val="Text-BodyHeadingChar"/>
                      <w:b w:val="0"/>
                      <w:bCs w:val="0"/>
                      <w:color w:val="auto"/>
                      <w:spacing w:val="0"/>
                      <w:lang w:val="en-NZ"/>
                    </w:rPr>
                    <w:instrText xml:space="preserve"> REF _Ref208994563 \h  \* MERGEFORMAT </w:instrText>
                  </w:r>
                  <w:r w:rsidR="007C3AF3">
                    <w:rPr>
                      <w:rStyle w:val="Text-BodyHeadingChar"/>
                      <w:b w:val="0"/>
                      <w:bCs w:val="0"/>
                      <w:color w:val="auto"/>
                      <w:spacing w:val="0"/>
                      <w:lang w:val="en-NZ"/>
                    </w:rPr>
                  </w:r>
                  <w:r w:rsidR="007C3AF3">
                    <w:rPr>
                      <w:rStyle w:val="Text-BodyHeadingChar"/>
                      <w:b w:val="0"/>
                      <w:bCs w:val="0"/>
                      <w:color w:val="auto"/>
                      <w:spacing w:val="0"/>
                      <w:lang w:val="en-NZ"/>
                    </w:rPr>
                    <w:fldChar w:fldCharType="separate"/>
                  </w:r>
                  <w:r w:rsidR="008F22E5" w:rsidRPr="5AC90C80">
                    <w:rPr>
                      <w:rStyle w:val="Text-Bold"/>
                      <w:bCs/>
                      <w:szCs w:val="22"/>
                    </w:rPr>
                    <w:t xml:space="preserve">Figure </w:t>
                  </w:r>
                  <w:r w:rsidR="008F22E5" w:rsidRPr="008F22E5">
                    <w:rPr>
                      <w:rStyle w:val="Text-Bold"/>
                      <w:noProof/>
                      <w:szCs w:val="22"/>
                    </w:rPr>
                    <w:t>23</w:t>
                  </w:r>
                  <w:r w:rsidR="007C3AF3">
                    <w:rPr>
                      <w:rStyle w:val="Text-BodyHeadingChar"/>
                      <w:b w:val="0"/>
                      <w:bCs w:val="0"/>
                      <w:color w:val="auto"/>
                      <w:spacing w:val="0"/>
                      <w:lang w:val="en-NZ"/>
                    </w:rPr>
                    <w:fldChar w:fldCharType="end"/>
                  </w:r>
                  <w:r w:rsidR="007C3AF3">
                    <w:rPr>
                      <w:rStyle w:val="Text-BodyHeadingChar"/>
                      <w:b w:val="0"/>
                      <w:bCs w:val="0"/>
                      <w:color w:val="auto"/>
                      <w:spacing w:val="0"/>
                      <w:lang w:val="en-NZ"/>
                    </w:rPr>
                    <w:t xml:space="preserve">). </w:t>
                  </w:r>
                  <w:r w:rsidR="000F4086">
                    <w:rPr>
                      <w:rStyle w:val="Text-BodyHeadingChar"/>
                      <w:b w:val="0"/>
                      <w:bCs w:val="0"/>
                      <w:color w:val="auto"/>
                      <w:spacing w:val="0"/>
                      <w:lang w:val="en-NZ"/>
                    </w:rPr>
                    <w:t xml:space="preserve">Detailed tables are presented in </w:t>
                  </w:r>
                  <w:hyperlink w:anchor="Appendix_F" w:history="1">
                    <w:r w:rsidR="000F4086" w:rsidRPr="00907A48">
                      <w:rPr>
                        <w:rStyle w:val="Hyperlink"/>
                        <w:rFonts w:asciiTheme="minorHAnsi" w:hAnsiTheme="minorHAnsi"/>
                        <w:b/>
                        <w:bCs/>
                        <w:color w:val="007E00" w:themeColor="accent3"/>
                      </w:rPr>
                      <w:t>Appendix F</w:t>
                    </w:r>
                  </w:hyperlink>
                  <w:r w:rsidR="000F4086" w:rsidRPr="008E76A1">
                    <w:rPr>
                      <w:rStyle w:val="Text-BodyHeadingChar"/>
                      <w:b w:val="0"/>
                      <w:bCs w:val="0"/>
                      <w:color w:val="auto"/>
                      <w:spacing w:val="0"/>
                      <w:lang w:val="en-NZ"/>
                    </w:rPr>
                    <w:t>.</w:t>
                  </w:r>
                  <w:r w:rsidR="000F4086">
                    <w:rPr>
                      <w:rStyle w:val="Text-BodyHeadingChar"/>
                      <w:b w:val="0"/>
                      <w:bCs w:val="0"/>
                      <w:color w:val="auto"/>
                      <w:spacing w:val="0"/>
                      <w:lang w:val="en-NZ"/>
                    </w:rPr>
                    <w:t xml:space="preserve"> Whilst the qualitative insights into the outcomes of accessing a CSC service on children are limited, due to the small sample size of children involved within the evaluation, the available insights reflect the quantitative findings.</w:t>
                  </w:r>
                </w:p>
                <w:p w14:paraId="11CAC971" w14:textId="77777777" w:rsidR="00EB5E1B" w:rsidRDefault="00EB5E1B">
                  <w:pPr>
                    <w:rPr>
                      <w:rStyle w:val="Text-Bold"/>
                      <w:rFonts w:ascii="Arial" w:hAnsi="Arial"/>
                      <w:bCs/>
                      <w:szCs w:val="22"/>
                    </w:rPr>
                  </w:pPr>
                  <w:bookmarkStart w:id="415" w:name="_Ref208568499"/>
                  <w:r>
                    <w:rPr>
                      <w:rStyle w:val="Text-Bold"/>
                      <w:b w:val="0"/>
                      <w:bCs/>
                      <w:szCs w:val="22"/>
                    </w:rPr>
                    <w:br w:type="page"/>
                  </w:r>
                </w:p>
                <w:p w14:paraId="4598293E" w14:textId="576BA5D3" w:rsidR="00A65AD9" w:rsidRPr="00323C72" w:rsidRDefault="00B3694B" w:rsidP="00D032E3">
                  <w:pPr>
                    <w:pStyle w:val="TableFigure-Header"/>
                    <w:spacing w:line="276" w:lineRule="auto"/>
                    <w:rPr>
                      <w:rStyle w:val="Text-Bold"/>
                      <w:b/>
                    </w:rPr>
                  </w:pPr>
                  <w:bookmarkStart w:id="416" w:name="_Ref208994563"/>
                  <w:r w:rsidRPr="5AC90C80">
                    <w:rPr>
                      <w:rStyle w:val="Text-Bold"/>
                      <w:b/>
                      <w:bCs/>
                      <w:sz w:val="22"/>
                      <w:szCs w:val="22"/>
                      <w:lang w:val="en-NZ"/>
                    </w:rPr>
                    <w:lastRenderedPageBreak/>
                    <w:t xml:space="preserve">Figure </w:t>
                  </w:r>
                  <w:r w:rsidR="00C64C3D">
                    <w:rPr>
                      <w:rStyle w:val="Text-Bold"/>
                      <w:b/>
                      <w:bCs/>
                      <w:sz w:val="22"/>
                      <w:szCs w:val="22"/>
                      <w:lang w:val="en-NZ"/>
                    </w:rPr>
                    <w:fldChar w:fldCharType="begin"/>
                  </w:r>
                  <w:r w:rsidR="00C64C3D">
                    <w:rPr>
                      <w:rStyle w:val="Text-Bold"/>
                      <w:b/>
                      <w:bCs/>
                      <w:sz w:val="22"/>
                      <w:szCs w:val="22"/>
                      <w:lang w:val="en-NZ"/>
                    </w:rPr>
                    <w:instrText xml:space="preserve"> SEQ Figure \* ARABIC </w:instrText>
                  </w:r>
                  <w:r w:rsidR="00C64C3D">
                    <w:rPr>
                      <w:rStyle w:val="Text-Bold"/>
                      <w:b/>
                      <w:bCs/>
                      <w:sz w:val="22"/>
                      <w:szCs w:val="22"/>
                      <w:lang w:val="en-NZ"/>
                    </w:rPr>
                    <w:fldChar w:fldCharType="separate"/>
                  </w:r>
                  <w:r w:rsidR="008D2566">
                    <w:rPr>
                      <w:rStyle w:val="Text-Bold"/>
                      <w:b/>
                      <w:bCs/>
                      <w:noProof/>
                      <w:sz w:val="22"/>
                      <w:szCs w:val="22"/>
                      <w:lang w:val="en-NZ"/>
                    </w:rPr>
                    <w:t>23</w:t>
                  </w:r>
                  <w:r w:rsidR="00C64C3D">
                    <w:rPr>
                      <w:rStyle w:val="Text-Bold"/>
                      <w:b/>
                      <w:bCs/>
                      <w:sz w:val="22"/>
                      <w:szCs w:val="22"/>
                      <w:lang w:val="en-NZ"/>
                    </w:rPr>
                    <w:fldChar w:fldCharType="end"/>
                  </w:r>
                  <w:bookmarkEnd w:id="415"/>
                  <w:bookmarkEnd w:id="416"/>
                  <w:r w:rsidRPr="5AC90C80">
                    <w:rPr>
                      <w:rStyle w:val="Text-Bold"/>
                      <w:b/>
                      <w:bCs/>
                      <w:sz w:val="22"/>
                      <w:szCs w:val="22"/>
                      <w:lang w:val="en-NZ"/>
                    </w:rPr>
                    <w:t xml:space="preserve">: Earliest to latest SCORE changes within subjects, SFVS </w:t>
                  </w:r>
                  <w:r w:rsidR="00E614D3" w:rsidRPr="5AC90C80">
                    <w:rPr>
                      <w:rStyle w:val="Text-Bold"/>
                      <w:b/>
                      <w:bCs/>
                      <w:sz w:val="22"/>
                      <w:szCs w:val="22"/>
                      <w:lang w:val="en-NZ"/>
                    </w:rPr>
                    <w:t xml:space="preserve">service </w:t>
                  </w:r>
                  <w:r w:rsidR="000B0940" w:rsidRPr="5AC90C80">
                    <w:rPr>
                      <w:rStyle w:val="Text-Bold"/>
                      <w:b/>
                      <w:bCs/>
                      <w:sz w:val="22"/>
                      <w:szCs w:val="22"/>
                      <w:lang w:val="en-NZ"/>
                    </w:rPr>
                    <w:t>users</w:t>
                  </w:r>
                  <w:r w:rsidRPr="5AC90C80">
                    <w:rPr>
                      <w:rStyle w:val="Text-Bold"/>
                      <w:b/>
                      <w:bCs/>
                      <w:sz w:val="22"/>
                      <w:szCs w:val="22"/>
                      <w:lang w:val="en-NZ"/>
                    </w:rPr>
                    <w:t xml:space="preserve"> </w:t>
                  </w:r>
                  <w:r w:rsidR="00B15B15" w:rsidRPr="5AC90C80">
                    <w:rPr>
                      <w:rStyle w:val="Text-Bold"/>
                      <w:b/>
                      <w:bCs/>
                      <w:sz w:val="22"/>
                      <w:szCs w:val="22"/>
                      <w:lang w:val="en-NZ"/>
                    </w:rPr>
                    <w:t>under 18 years old</w:t>
                  </w:r>
                  <w:bookmarkEnd w:id="413"/>
                  <w:bookmarkEnd w:id="414"/>
                  <w:r w:rsidR="2FDF2A7C" w:rsidRPr="5AC90C80">
                    <w:rPr>
                      <w:lang w:val="en-NZ"/>
                    </w:rPr>
                    <w:t>,</w:t>
                  </w:r>
                  <w:r w:rsidR="2FDF2A7C" w:rsidRPr="5AC90C80">
                    <w:rPr>
                      <w:rStyle w:val="Text-Bold"/>
                      <w:b/>
                      <w:bCs/>
                    </w:rPr>
                    <w:t xml:space="preserve"> July 2021 – June 2024</w:t>
                  </w:r>
                </w:p>
                <w:p w14:paraId="5E8955C8" w14:textId="45740B95" w:rsidR="00B70870" w:rsidRDefault="00F05E62" w:rsidP="00C51C22">
                  <w:pPr>
                    <w:pStyle w:val="TableFigureTitle"/>
                  </w:pPr>
                  <w:r>
                    <w:rPr>
                      <w:noProof/>
                    </w:rPr>
                    <w:drawing>
                      <wp:inline distT="0" distB="0" distL="0" distR="0" wp14:anchorId="0DEE0A8F" wp14:editId="64922B7F">
                        <wp:extent cx="5733415" cy="5094514"/>
                        <wp:effectExtent l="0" t="0" r="635" b="11430"/>
                        <wp:docPr id="2064720405" name="Chart 1">
                          <a:extLst xmlns:a="http://schemas.openxmlformats.org/drawingml/2006/main">
                            <a:ext uri="{FF2B5EF4-FFF2-40B4-BE49-F238E27FC236}">
                              <a16:creationId xmlns:a16="http://schemas.microsoft.com/office/drawing/2014/main" id="{D572D1F9-37EB-4295-BB15-A5DFC7CD8DE3}"/>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2798BD44" w14:textId="6C94C915" w:rsidR="00291000" w:rsidRPr="007267B8" w:rsidRDefault="002E6CCB" w:rsidP="00D92473">
                  <w:pPr>
                    <w:pStyle w:val="Text"/>
                    <w:rPr>
                      <w:rStyle w:val="Text-BodyHeadingChar"/>
                      <w:b w:val="0"/>
                      <w:bCs w:val="0"/>
                      <w:color w:val="auto"/>
                      <w:spacing w:val="0"/>
                      <w:lang w:val="en-NZ"/>
                    </w:rPr>
                  </w:pPr>
                  <w:r w:rsidRPr="008E1B83">
                    <w:rPr>
                      <w:rStyle w:val="Text-BodyHeadingChar"/>
                      <w:b w:val="0"/>
                      <w:i/>
                      <w:color w:val="auto"/>
                      <w:spacing w:val="0"/>
                      <w:sz w:val="20"/>
                      <w:szCs w:val="18"/>
                      <w:lang w:val="en-NZ"/>
                    </w:rPr>
                    <w:t>Source: DEX</w:t>
                  </w:r>
                  <w:r w:rsidR="00484933" w:rsidRPr="008E1B83">
                    <w:rPr>
                      <w:rStyle w:val="Text-BodyHeadingChar"/>
                      <w:b w:val="0"/>
                      <w:i/>
                      <w:color w:val="auto"/>
                      <w:spacing w:val="0"/>
                      <w:sz w:val="20"/>
                      <w:szCs w:val="18"/>
                      <w:lang w:val="en-NZ"/>
                    </w:rPr>
                    <w:t>-</w:t>
                  </w:r>
                  <w:r w:rsidRPr="008E1B83">
                    <w:rPr>
                      <w:rStyle w:val="Text-BodyHeadingChar"/>
                      <w:b w:val="0"/>
                      <w:i/>
                      <w:color w:val="auto"/>
                      <w:spacing w:val="0"/>
                      <w:sz w:val="20"/>
                      <w:szCs w:val="18"/>
                      <w:lang w:val="en-NZ"/>
                    </w:rPr>
                    <w:t xml:space="preserve">SCORE data </w:t>
                  </w:r>
                </w:p>
                <w:p w14:paraId="61F67044" w14:textId="77777777" w:rsidR="00EB5E1B" w:rsidRDefault="00EB5E1B">
                  <w:pPr>
                    <w:rPr>
                      <w:b/>
                      <w:iCs/>
                      <w:szCs w:val="18"/>
                    </w:rPr>
                  </w:pPr>
                  <w:r>
                    <w:br w:type="page"/>
                  </w:r>
                </w:p>
                <w:p w14:paraId="1057D6BF" w14:textId="4A80B567" w:rsidR="00291000" w:rsidRDefault="006356AC" w:rsidP="004673E7">
                  <w:pPr>
                    <w:pStyle w:val="Caption"/>
                    <w:spacing w:line="240" w:lineRule="auto"/>
                    <w:rPr>
                      <w:rStyle w:val="Text-Bold"/>
                      <w:b/>
                      <w:bCs/>
                    </w:rPr>
                  </w:pPr>
                  <w:r>
                    <w:lastRenderedPageBreak/>
                    <w:t xml:space="preserve">Table </w:t>
                  </w:r>
                  <w:r>
                    <w:fldChar w:fldCharType="begin"/>
                  </w:r>
                  <w:r>
                    <w:instrText xml:space="preserve"> SEQ Table \* ARABIC </w:instrText>
                  </w:r>
                  <w:r>
                    <w:fldChar w:fldCharType="separate"/>
                  </w:r>
                  <w:r w:rsidR="008D2566">
                    <w:rPr>
                      <w:noProof/>
                    </w:rPr>
                    <w:t>27</w:t>
                  </w:r>
                  <w:r>
                    <w:fldChar w:fldCharType="end"/>
                  </w:r>
                  <w:r>
                    <w:t>: Percentage of service users with positive SCORE change for specific Circumstance and Goal domains, SFVS</w:t>
                  </w:r>
                  <w:r w:rsidR="00EB7896">
                    <w:t xml:space="preserve"> service users under 18 years old</w:t>
                  </w:r>
                  <w:r w:rsidR="32CD9979" w:rsidRPr="5AC90C80">
                    <w:t>, July 2021 – June 2024</w:t>
                  </w:r>
                </w:p>
                <w:tbl>
                  <w:tblPr>
                    <w:tblStyle w:val="TableGrid3"/>
                    <w:tblW w:w="5000" w:type="pct"/>
                    <w:tblLayout w:type="fixed"/>
                    <w:tblLook w:val="04A0" w:firstRow="1" w:lastRow="0" w:firstColumn="1" w:lastColumn="0" w:noHBand="0" w:noVBand="1"/>
                  </w:tblPr>
                  <w:tblGrid>
                    <w:gridCol w:w="1838"/>
                    <w:gridCol w:w="3685"/>
                    <w:gridCol w:w="3496"/>
                  </w:tblGrid>
                  <w:tr w:rsidR="006356AC" w:rsidRPr="00036888" w14:paraId="008F3AF7" w14:textId="77777777" w:rsidTr="00D032E3">
                    <w:trPr>
                      <w:trHeight w:val="298"/>
                      <w:tblHeader/>
                    </w:trPr>
                    <w:tc>
                      <w:tcPr>
                        <w:tcW w:w="1019" w:type="pct"/>
                        <w:shd w:val="clear" w:color="auto" w:fill="007E00" w:themeFill="accent3"/>
                        <w:noWrap/>
                        <w:hideMark/>
                      </w:tcPr>
                      <w:p w14:paraId="6B22F098" w14:textId="77777777" w:rsidR="006356AC" w:rsidRPr="00F6254E" w:rsidRDefault="006356AC">
                        <w:pPr>
                          <w:pStyle w:val="TableText"/>
                          <w:rPr>
                            <w:b/>
                            <w:bCs/>
                            <w:color w:val="FFFFFF" w:themeColor="background1"/>
                          </w:rPr>
                        </w:pPr>
                        <w:r w:rsidRPr="00F6254E">
                          <w:rPr>
                            <w:b/>
                            <w:bCs/>
                            <w:color w:val="FFFFFF" w:themeColor="background1"/>
                          </w:rPr>
                          <w:t>Outcome Type</w:t>
                        </w:r>
                      </w:p>
                    </w:tc>
                    <w:tc>
                      <w:tcPr>
                        <w:tcW w:w="2043" w:type="pct"/>
                        <w:shd w:val="clear" w:color="auto" w:fill="007E00" w:themeFill="accent3"/>
                      </w:tcPr>
                      <w:p w14:paraId="3674F70C" w14:textId="77777777" w:rsidR="006356AC" w:rsidRDefault="006356AC">
                        <w:pPr>
                          <w:pStyle w:val="TableText"/>
                          <w:rPr>
                            <w:b/>
                            <w:bCs/>
                            <w:color w:val="FFFFFF" w:themeColor="background1"/>
                          </w:rPr>
                        </w:pPr>
                        <w:r>
                          <w:rPr>
                            <w:b/>
                            <w:bCs/>
                            <w:color w:val="FFFFFF" w:themeColor="background1"/>
                          </w:rPr>
                          <w:t>Domain description</w:t>
                        </w:r>
                      </w:p>
                    </w:tc>
                    <w:tc>
                      <w:tcPr>
                        <w:tcW w:w="1938" w:type="pct"/>
                        <w:shd w:val="clear" w:color="auto" w:fill="007E00" w:themeFill="accent3"/>
                        <w:noWrap/>
                        <w:hideMark/>
                      </w:tcPr>
                      <w:p w14:paraId="40365CB4" w14:textId="77777777" w:rsidR="006356AC" w:rsidRPr="00F6254E" w:rsidRDefault="006356AC">
                        <w:pPr>
                          <w:pStyle w:val="TableText"/>
                          <w:rPr>
                            <w:b/>
                            <w:bCs/>
                            <w:color w:val="FFFFFF" w:themeColor="background1"/>
                          </w:rPr>
                        </w:pPr>
                        <w:r>
                          <w:rPr>
                            <w:b/>
                            <w:bCs/>
                            <w:color w:val="FFFFFF" w:themeColor="background1"/>
                          </w:rPr>
                          <w:t xml:space="preserve">Service users </w:t>
                        </w:r>
                        <w:r w:rsidRPr="00F6254E">
                          <w:rPr>
                            <w:b/>
                            <w:bCs/>
                            <w:color w:val="FFFFFF" w:themeColor="background1"/>
                          </w:rPr>
                          <w:t>with positive mean change (%, n</w:t>
                        </w:r>
                        <w:r>
                          <w:rPr>
                            <w:b/>
                            <w:bCs/>
                            <w:color w:val="FFFFFF" w:themeColor="background1"/>
                          </w:rPr>
                          <w:t>=</w:t>
                        </w:r>
                        <w:r w:rsidRPr="00F6254E">
                          <w:rPr>
                            <w:b/>
                            <w:bCs/>
                            <w:color w:val="FFFFFF" w:themeColor="background1"/>
                          </w:rPr>
                          <w:t>)</w:t>
                        </w:r>
                      </w:p>
                    </w:tc>
                  </w:tr>
                  <w:tr w:rsidR="006356AC" w:rsidRPr="00036888" w14:paraId="4C80F305" w14:textId="77777777" w:rsidTr="00D032E3">
                    <w:trPr>
                      <w:trHeight w:val="298"/>
                    </w:trPr>
                    <w:tc>
                      <w:tcPr>
                        <w:tcW w:w="1019" w:type="pct"/>
                        <w:vMerge w:val="restart"/>
                        <w:noWrap/>
                        <w:hideMark/>
                      </w:tcPr>
                      <w:p w14:paraId="11D5B37B" w14:textId="77777777" w:rsidR="006356AC" w:rsidRPr="0078378F" w:rsidRDefault="006356AC">
                        <w:pPr>
                          <w:pStyle w:val="TableText"/>
                        </w:pPr>
                        <w:r w:rsidRPr="0078378F">
                          <w:t>Circumstances</w:t>
                        </w:r>
                      </w:p>
                    </w:tc>
                    <w:tc>
                      <w:tcPr>
                        <w:tcW w:w="2043" w:type="pct"/>
                      </w:tcPr>
                      <w:p w14:paraId="4E532D6E" w14:textId="77777777" w:rsidR="006356AC" w:rsidRPr="0078378F" w:rsidRDefault="006356AC">
                        <w:pPr>
                          <w:pStyle w:val="TableText"/>
                        </w:pPr>
                        <w:r w:rsidRPr="0078378F">
                          <w:t>Family functioning</w:t>
                        </w:r>
                      </w:p>
                    </w:tc>
                    <w:tc>
                      <w:tcPr>
                        <w:tcW w:w="1938" w:type="pct"/>
                        <w:noWrap/>
                        <w:hideMark/>
                      </w:tcPr>
                      <w:p w14:paraId="6802BFB2" w14:textId="3C43F0A6" w:rsidR="006356AC" w:rsidRPr="008D0F42" w:rsidRDefault="00A250E1">
                        <w:pPr>
                          <w:pStyle w:val="TableText"/>
                        </w:pPr>
                        <w:r w:rsidRPr="003E09BA">
                          <w:t>59.6</w:t>
                        </w:r>
                        <w:r w:rsidR="006356AC" w:rsidRPr="00A919FD">
                          <w:t>% (n=</w:t>
                        </w:r>
                        <w:r w:rsidRPr="003E09BA">
                          <w:t>3</w:t>
                        </w:r>
                        <w:r>
                          <w:t>,</w:t>
                        </w:r>
                        <w:r w:rsidRPr="003E09BA">
                          <w:t>202</w:t>
                        </w:r>
                        <w:r w:rsidR="006356AC" w:rsidRPr="00A919FD">
                          <w:t>)</w:t>
                        </w:r>
                      </w:p>
                    </w:tc>
                  </w:tr>
                  <w:tr w:rsidR="006356AC" w:rsidRPr="00036888" w14:paraId="45F0AFE0" w14:textId="77777777" w:rsidTr="00D032E3">
                    <w:trPr>
                      <w:trHeight w:val="298"/>
                    </w:trPr>
                    <w:tc>
                      <w:tcPr>
                        <w:tcW w:w="1019" w:type="pct"/>
                        <w:vMerge/>
                        <w:noWrap/>
                      </w:tcPr>
                      <w:p w14:paraId="09F7DB1D" w14:textId="77777777" w:rsidR="006356AC" w:rsidRPr="0078378F" w:rsidRDefault="006356AC">
                        <w:pPr>
                          <w:pStyle w:val="TableText"/>
                        </w:pPr>
                      </w:p>
                    </w:tc>
                    <w:tc>
                      <w:tcPr>
                        <w:tcW w:w="2043" w:type="pct"/>
                      </w:tcPr>
                      <w:p w14:paraId="049DA847" w14:textId="77777777" w:rsidR="006356AC" w:rsidRPr="0078378F" w:rsidRDefault="006356AC">
                        <w:pPr>
                          <w:pStyle w:val="TableText"/>
                        </w:pPr>
                        <w:r w:rsidRPr="0078378F">
                          <w:rPr>
                            <w:lang w:val="en-NZ"/>
                          </w:rPr>
                          <w:t>Mental health, wellbeing and self-care</w:t>
                        </w:r>
                      </w:p>
                    </w:tc>
                    <w:tc>
                      <w:tcPr>
                        <w:tcW w:w="1938" w:type="pct"/>
                        <w:noWrap/>
                      </w:tcPr>
                      <w:p w14:paraId="2F4D5CDF" w14:textId="652FC0BD" w:rsidR="006356AC" w:rsidRPr="008D0F42" w:rsidRDefault="00A250E1">
                        <w:pPr>
                          <w:pStyle w:val="TableText"/>
                        </w:pPr>
                        <w:r w:rsidRPr="003E09BA">
                          <w:t>63.8</w:t>
                        </w:r>
                        <w:r w:rsidR="006356AC" w:rsidRPr="00A919FD">
                          <w:t>% (n=3</w:t>
                        </w:r>
                        <w:r w:rsidR="006356AC">
                          <w:t>,</w:t>
                        </w:r>
                        <w:r w:rsidRPr="003E09BA">
                          <w:t>383</w:t>
                        </w:r>
                        <w:r w:rsidR="006356AC" w:rsidRPr="00A919FD">
                          <w:t>)</w:t>
                        </w:r>
                      </w:p>
                    </w:tc>
                  </w:tr>
                  <w:tr w:rsidR="006356AC" w:rsidRPr="00036888" w14:paraId="331176E1" w14:textId="77777777" w:rsidTr="00D032E3">
                    <w:trPr>
                      <w:trHeight w:val="298"/>
                    </w:trPr>
                    <w:tc>
                      <w:tcPr>
                        <w:tcW w:w="1019" w:type="pct"/>
                        <w:vMerge/>
                        <w:noWrap/>
                      </w:tcPr>
                      <w:p w14:paraId="3D980E8D" w14:textId="77777777" w:rsidR="006356AC" w:rsidRPr="0078378F" w:rsidRDefault="006356AC">
                        <w:pPr>
                          <w:pStyle w:val="TableText"/>
                        </w:pPr>
                      </w:p>
                    </w:tc>
                    <w:tc>
                      <w:tcPr>
                        <w:tcW w:w="2043" w:type="pct"/>
                      </w:tcPr>
                      <w:p w14:paraId="0D72F976" w14:textId="77777777" w:rsidR="006356AC" w:rsidRPr="0078378F" w:rsidRDefault="006356AC">
                        <w:pPr>
                          <w:pStyle w:val="TableText"/>
                        </w:pPr>
                        <w:r w:rsidRPr="0078378F">
                          <w:t>Personal and family safety</w:t>
                        </w:r>
                      </w:p>
                    </w:tc>
                    <w:tc>
                      <w:tcPr>
                        <w:tcW w:w="1938" w:type="pct"/>
                        <w:noWrap/>
                      </w:tcPr>
                      <w:p w14:paraId="0ED8ED3A" w14:textId="7401F616" w:rsidR="006356AC" w:rsidRPr="008D0F42" w:rsidRDefault="00A250E1">
                        <w:pPr>
                          <w:pStyle w:val="TableText"/>
                        </w:pPr>
                        <w:r w:rsidRPr="003E09BA">
                          <w:t>44.4</w:t>
                        </w:r>
                        <w:r w:rsidR="006356AC" w:rsidRPr="00A919FD">
                          <w:t>% (n=</w:t>
                        </w:r>
                        <w:r w:rsidRPr="003E09BA">
                          <w:t>1</w:t>
                        </w:r>
                        <w:r>
                          <w:t>,</w:t>
                        </w:r>
                        <w:r w:rsidRPr="003E09BA">
                          <w:t>500</w:t>
                        </w:r>
                        <w:r w:rsidR="006356AC" w:rsidRPr="00A919FD">
                          <w:t>)</w:t>
                        </w:r>
                      </w:p>
                    </w:tc>
                  </w:tr>
                  <w:tr w:rsidR="006356AC" w:rsidRPr="00036888" w14:paraId="24B44228" w14:textId="77777777" w:rsidTr="00D032E3">
                    <w:trPr>
                      <w:trHeight w:val="298"/>
                    </w:trPr>
                    <w:tc>
                      <w:tcPr>
                        <w:tcW w:w="1019" w:type="pct"/>
                        <w:vMerge w:val="restart"/>
                        <w:noWrap/>
                      </w:tcPr>
                      <w:p w14:paraId="400A610B" w14:textId="77777777" w:rsidR="006356AC" w:rsidRPr="0078378F" w:rsidRDefault="006356AC">
                        <w:pPr>
                          <w:pStyle w:val="TableText"/>
                        </w:pPr>
                        <w:r w:rsidRPr="0078378F">
                          <w:t>Goals</w:t>
                        </w:r>
                      </w:p>
                    </w:tc>
                    <w:tc>
                      <w:tcPr>
                        <w:tcW w:w="2043" w:type="pct"/>
                      </w:tcPr>
                      <w:p w14:paraId="6939AB86" w14:textId="77777777" w:rsidR="006356AC" w:rsidRPr="0078378F" w:rsidRDefault="006356AC">
                        <w:pPr>
                          <w:pStyle w:val="TableText"/>
                        </w:pPr>
                        <w:r w:rsidRPr="0078378F">
                          <w:t>Changed behaviours</w:t>
                        </w:r>
                      </w:p>
                    </w:tc>
                    <w:tc>
                      <w:tcPr>
                        <w:tcW w:w="1938" w:type="pct"/>
                        <w:noWrap/>
                      </w:tcPr>
                      <w:p w14:paraId="64762D49" w14:textId="363B0BAE" w:rsidR="006356AC" w:rsidRPr="008D0F42" w:rsidRDefault="00A250E1">
                        <w:pPr>
                          <w:pStyle w:val="TableText"/>
                        </w:pPr>
                        <w:r w:rsidRPr="003E09BA">
                          <w:t>67.9</w:t>
                        </w:r>
                        <w:r w:rsidR="006356AC" w:rsidRPr="00A919FD">
                          <w:t>% (n=2</w:t>
                        </w:r>
                        <w:r w:rsidR="006356AC">
                          <w:t>,</w:t>
                        </w:r>
                        <w:r w:rsidRPr="003E09BA">
                          <w:t>812</w:t>
                        </w:r>
                        <w:r w:rsidR="006356AC" w:rsidRPr="00A919FD">
                          <w:t>)</w:t>
                        </w:r>
                      </w:p>
                    </w:tc>
                  </w:tr>
                  <w:tr w:rsidR="006356AC" w:rsidRPr="00036888" w14:paraId="6F58F576" w14:textId="77777777" w:rsidTr="00D032E3">
                    <w:trPr>
                      <w:trHeight w:val="298"/>
                    </w:trPr>
                    <w:tc>
                      <w:tcPr>
                        <w:tcW w:w="1019" w:type="pct"/>
                        <w:vMerge/>
                        <w:noWrap/>
                      </w:tcPr>
                      <w:p w14:paraId="325ABCF1" w14:textId="77777777" w:rsidR="006356AC" w:rsidRPr="0078378F" w:rsidRDefault="006356AC">
                        <w:pPr>
                          <w:pStyle w:val="TableText"/>
                        </w:pPr>
                      </w:p>
                    </w:tc>
                    <w:tc>
                      <w:tcPr>
                        <w:tcW w:w="2043" w:type="pct"/>
                      </w:tcPr>
                      <w:p w14:paraId="5E0F3D2B" w14:textId="77777777" w:rsidR="006356AC" w:rsidRPr="0078378F" w:rsidRDefault="006356AC">
                        <w:pPr>
                          <w:pStyle w:val="TableText"/>
                        </w:pPr>
                        <w:r w:rsidRPr="0078378F">
                          <w:t>Changed impact of immediate crisis</w:t>
                        </w:r>
                      </w:p>
                    </w:tc>
                    <w:tc>
                      <w:tcPr>
                        <w:tcW w:w="1938" w:type="pct"/>
                        <w:noWrap/>
                      </w:tcPr>
                      <w:p w14:paraId="09AA8FBD" w14:textId="74800B95" w:rsidR="006356AC" w:rsidRPr="008D0F42" w:rsidRDefault="00A250E1">
                        <w:pPr>
                          <w:pStyle w:val="TableText"/>
                        </w:pPr>
                        <w:r w:rsidRPr="003E09BA">
                          <w:t>65.5</w:t>
                        </w:r>
                        <w:r w:rsidR="006356AC" w:rsidRPr="00A919FD">
                          <w:t>% (n=1</w:t>
                        </w:r>
                        <w:r w:rsidR="006356AC">
                          <w:t>,</w:t>
                        </w:r>
                        <w:r w:rsidRPr="003E09BA">
                          <w:t>333</w:t>
                        </w:r>
                        <w:r w:rsidR="006356AC" w:rsidRPr="00A919FD">
                          <w:t>)</w:t>
                        </w:r>
                      </w:p>
                    </w:tc>
                  </w:tr>
                  <w:tr w:rsidR="006356AC" w:rsidRPr="00036888" w14:paraId="7B91FA14" w14:textId="77777777" w:rsidTr="00D032E3">
                    <w:trPr>
                      <w:trHeight w:val="298"/>
                    </w:trPr>
                    <w:tc>
                      <w:tcPr>
                        <w:tcW w:w="1019" w:type="pct"/>
                        <w:vMerge/>
                        <w:noWrap/>
                      </w:tcPr>
                      <w:p w14:paraId="42CDABB9" w14:textId="77777777" w:rsidR="006356AC" w:rsidRPr="0078378F" w:rsidRDefault="006356AC">
                        <w:pPr>
                          <w:pStyle w:val="TableText"/>
                        </w:pPr>
                      </w:p>
                    </w:tc>
                    <w:tc>
                      <w:tcPr>
                        <w:tcW w:w="2043" w:type="pct"/>
                      </w:tcPr>
                      <w:p w14:paraId="6741BBC9" w14:textId="77777777" w:rsidR="006356AC" w:rsidRPr="0078378F" w:rsidRDefault="006356AC">
                        <w:pPr>
                          <w:pStyle w:val="TableText"/>
                        </w:pPr>
                        <w:r w:rsidRPr="0078378F">
                          <w:t>Changed knowledge and access to information</w:t>
                        </w:r>
                      </w:p>
                    </w:tc>
                    <w:tc>
                      <w:tcPr>
                        <w:tcW w:w="1938" w:type="pct"/>
                        <w:noWrap/>
                      </w:tcPr>
                      <w:p w14:paraId="5FCDF738" w14:textId="2B435A75" w:rsidR="006356AC" w:rsidRPr="008D0F42" w:rsidRDefault="00A250E1">
                        <w:pPr>
                          <w:pStyle w:val="TableText"/>
                        </w:pPr>
                        <w:r w:rsidRPr="003E09BA">
                          <w:t>66</w:t>
                        </w:r>
                        <w:r w:rsidR="006356AC" w:rsidRPr="00A919FD">
                          <w:t>.8% (n=2</w:t>
                        </w:r>
                        <w:r w:rsidR="006356AC">
                          <w:t>,</w:t>
                        </w:r>
                        <w:r w:rsidRPr="003E09BA">
                          <w:t>915</w:t>
                        </w:r>
                        <w:r w:rsidR="006356AC" w:rsidRPr="00A919FD">
                          <w:t>)</w:t>
                        </w:r>
                      </w:p>
                    </w:tc>
                  </w:tr>
                  <w:tr w:rsidR="006356AC" w:rsidRPr="00036888" w14:paraId="0F399348" w14:textId="77777777" w:rsidTr="00D032E3">
                    <w:trPr>
                      <w:trHeight w:val="298"/>
                    </w:trPr>
                    <w:tc>
                      <w:tcPr>
                        <w:tcW w:w="1019" w:type="pct"/>
                        <w:vMerge/>
                        <w:noWrap/>
                      </w:tcPr>
                      <w:p w14:paraId="2A33D032" w14:textId="77777777" w:rsidR="006356AC" w:rsidRPr="0078378F" w:rsidRDefault="006356AC">
                        <w:pPr>
                          <w:pStyle w:val="TableText"/>
                        </w:pPr>
                      </w:p>
                    </w:tc>
                    <w:tc>
                      <w:tcPr>
                        <w:tcW w:w="2043" w:type="pct"/>
                      </w:tcPr>
                      <w:p w14:paraId="20C6DC9E" w14:textId="77777777" w:rsidR="006356AC" w:rsidRPr="0078378F" w:rsidRDefault="006356AC">
                        <w:pPr>
                          <w:pStyle w:val="TableText"/>
                        </w:pPr>
                        <w:r w:rsidRPr="0078378F">
                          <w:t>Changed skills</w:t>
                        </w:r>
                      </w:p>
                    </w:tc>
                    <w:tc>
                      <w:tcPr>
                        <w:tcW w:w="1938" w:type="pct"/>
                        <w:noWrap/>
                      </w:tcPr>
                      <w:p w14:paraId="080A53B2" w14:textId="51F20043" w:rsidR="006356AC" w:rsidRPr="008D0F42" w:rsidRDefault="00A250E1">
                        <w:pPr>
                          <w:pStyle w:val="TableText"/>
                        </w:pPr>
                        <w:r w:rsidRPr="003E09BA">
                          <w:t>69.6</w:t>
                        </w:r>
                        <w:r w:rsidR="006356AC" w:rsidRPr="00A919FD">
                          <w:t>% (n=</w:t>
                        </w:r>
                        <w:r w:rsidRPr="003E09BA">
                          <w:t>3</w:t>
                        </w:r>
                        <w:r>
                          <w:t>,</w:t>
                        </w:r>
                        <w:r w:rsidRPr="003E09BA">
                          <w:t>343</w:t>
                        </w:r>
                        <w:r w:rsidR="006356AC" w:rsidRPr="00A919FD">
                          <w:t>)</w:t>
                        </w:r>
                      </w:p>
                    </w:tc>
                  </w:tr>
                  <w:tr w:rsidR="006356AC" w:rsidRPr="00036888" w14:paraId="3BF368DE" w14:textId="77777777" w:rsidTr="00D032E3">
                    <w:trPr>
                      <w:trHeight w:val="298"/>
                    </w:trPr>
                    <w:tc>
                      <w:tcPr>
                        <w:tcW w:w="1019" w:type="pct"/>
                        <w:vMerge/>
                        <w:shd w:val="clear" w:color="auto" w:fill="EBECED" w:themeFill="text2"/>
                        <w:noWrap/>
                      </w:tcPr>
                      <w:p w14:paraId="2ED3ECCD" w14:textId="77777777" w:rsidR="006356AC" w:rsidRPr="0078378F" w:rsidRDefault="006356AC">
                        <w:pPr>
                          <w:pStyle w:val="TableText"/>
                        </w:pPr>
                      </w:p>
                    </w:tc>
                    <w:tc>
                      <w:tcPr>
                        <w:tcW w:w="2043" w:type="pct"/>
                      </w:tcPr>
                      <w:p w14:paraId="13303E6E" w14:textId="77777777" w:rsidR="006356AC" w:rsidRPr="0078378F" w:rsidRDefault="006356AC">
                        <w:pPr>
                          <w:pStyle w:val="TableText"/>
                        </w:pPr>
                        <w:r w:rsidRPr="0078378F">
                          <w:rPr>
                            <w:lang w:val="en-NZ"/>
                          </w:rPr>
                          <w:t>Empowerment, choice and control to make own decisions</w:t>
                        </w:r>
                      </w:p>
                    </w:tc>
                    <w:tc>
                      <w:tcPr>
                        <w:tcW w:w="1938" w:type="pct"/>
                        <w:noWrap/>
                      </w:tcPr>
                      <w:p w14:paraId="3CD7C027" w14:textId="4816650F" w:rsidR="006356AC" w:rsidRPr="008D0F42" w:rsidRDefault="00A250E1">
                        <w:pPr>
                          <w:pStyle w:val="TableText"/>
                        </w:pPr>
                        <w:r w:rsidRPr="003E09BA">
                          <w:t>68.6</w:t>
                        </w:r>
                        <w:r w:rsidR="006356AC" w:rsidRPr="00A919FD">
                          <w:t>% (n=2</w:t>
                        </w:r>
                        <w:r w:rsidR="006356AC">
                          <w:t>,</w:t>
                        </w:r>
                        <w:r w:rsidRPr="003E09BA">
                          <w:t>520</w:t>
                        </w:r>
                        <w:r w:rsidR="006356AC" w:rsidRPr="00A919FD">
                          <w:t>)</w:t>
                        </w:r>
                      </w:p>
                    </w:tc>
                  </w:tr>
                  <w:tr w:rsidR="006356AC" w:rsidRPr="00036888" w14:paraId="4D8C8D50" w14:textId="77777777" w:rsidTr="00D032E3">
                    <w:trPr>
                      <w:trHeight w:val="298"/>
                    </w:trPr>
                    <w:tc>
                      <w:tcPr>
                        <w:tcW w:w="1019" w:type="pct"/>
                        <w:vMerge/>
                        <w:shd w:val="clear" w:color="auto" w:fill="EBECED" w:themeFill="text2"/>
                        <w:noWrap/>
                      </w:tcPr>
                      <w:p w14:paraId="040AD82E" w14:textId="77777777" w:rsidR="006356AC" w:rsidRPr="0078378F" w:rsidRDefault="006356AC">
                        <w:pPr>
                          <w:pStyle w:val="TableText"/>
                        </w:pPr>
                      </w:p>
                    </w:tc>
                    <w:tc>
                      <w:tcPr>
                        <w:tcW w:w="2043" w:type="pct"/>
                      </w:tcPr>
                      <w:p w14:paraId="2F1413C9" w14:textId="77777777" w:rsidR="006356AC" w:rsidRPr="0078378F" w:rsidRDefault="006356AC">
                        <w:pPr>
                          <w:pStyle w:val="TableText"/>
                        </w:pPr>
                        <w:r w:rsidRPr="0078378F">
                          <w:t>Engagement with relevant support services</w:t>
                        </w:r>
                      </w:p>
                    </w:tc>
                    <w:tc>
                      <w:tcPr>
                        <w:tcW w:w="1938" w:type="pct"/>
                        <w:noWrap/>
                      </w:tcPr>
                      <w:p w14:paraId="3047CCE7" w14:textId="6A07C194" w:rsidR="006356AC" w:rsidRPr="008D0F42" w:rsidRDefault="00A250E1">
                        <w:pPr>
                          <w:pStyle w:val="TableText"/>
                        </w:pPr>
                        <w:r w:rsidRPr="003E09BA">
                          <w:t>60.0</w:t>
                        </w:r>
                        <w:r w:rsidR="006356AC" w:rsidRPr="00A919FD">
                          <w:t>% (n=1</w:t>
                        </w:r>
                        <w:r w:rsidR="006356AC">
                          <w:t>,</w:t>
                        </w:r>
                        <w:r w:rsidRPr="003E09BA">
                          <w:t>528</w:t>
                        </w:r>
                        <w:r w:rsidR="006356AC" w:rsidRPr="00A919FD">
                          <w:t>)</w:t>
                        </w:r>
                      </w:p>
                    </w:tc>
                  </w:tr>
                </w:tbl>
                <w:p w14:paraId="53465967" w14:textId="77777777" w:rsidR="006356AC" w:rsidRPr="00DE647E" w:rsidRDefault="006356AC" w:rsidP="00DE647E">
                  <w:pPr>
                    <w:pStyle w:val="TableFigureTitle"/>
                  </w:pPr>
                </w:p>
                <w:p w14:paraId="41AFC9E1" w14:textId="7204203C" w:rsidR="003B0D87" w:rsidRPr="0037682A" w:rsidRDefault="00B704E4" w:rsidP="00D92473">
                  <w:pPr>
                    <w:pStyle w:val="Text"/>
                  </w:pPr>
                  <w:r>
                    <w:rPr>
                      <w:rStyle w:val="Text-BodyHeadingChar"/>
                      <w:b w:val="0"/>
                      <w:bCs w:val="0"/>
                      <w:color w:val="auto"/>
                      <w:spacing w:val="0"/>
                      <w:lang w:val="en-NZ"/>
                    </w:rPr>
                    <w:t>Several s</w:t>
                  </w:r>
                  <w:r w:rsidR="00B463F9">
                    <w:rPr>
                      <w:rStyle w:val="Text-BodyHeadingChar"/>
                      <w:b w:val="0"/>
                      <w:bCs w:val="0"/>
                      <w:color w:val="auto"/>
                      <w:spacing w:val="0"/>
                      <w:lang w:val="en-NZ"/>
                    </w:rPr>
                    <w:t>ervic</w:t>
                  </w:r>
                  <w:r w:rsidR="009272DA">
                    <w:rPr>
                      <w:rStyle w:val="Text-BodyHeadingChar"/>
                      <w:b w:val="0"/>
                      <w:bCs w:val="0"/>
                      <w:color w:val="auto"/>
                      <w:spacing w:val="0"/>
                      <w:lang w:val="en-NZ"/>
                    </w:rPr>
                    <w:t>e</w:t>
                  </w:r>
                  <w:r w:rsidR="00B463F9">
                    <w:rPr>
                      <w:rStyle w:val="Text-BodyHeadingChar"/>
                      <w:b w:val="0"/>
                      <w:bCs w:val="0"/>
                      <w:color w:val="auto"/>
                      <w:spacing w:val="0"/>
                      <w:lang w:val="en-NZ"/>
                    </w:rPr>
                    <w:t xml:space="preserve"> providers reflected that there is an unmet need for mental health supports for children</w:t>
                  </w:r>
                  <w:r w:rsidR="0019354A">
                    <w:rPr>
                      <w:rStyle w:val="Text-BodyHeadingChar"/>
                      <w:b w:val="0"/>
                      <w:bCs w:val="0"/>
                      <w:color w:val="auto"/>
                      <w:spacing w:val="0"/>
                      <w:lang w:val="en-NZ"/>
                    </w:rPr>
                    <w:t xml:space="preserve">, </w:t>
                  </w:r>
                  <w:r>
                    <w:rPr>
                      <w:rStyle w:val="Text-BodyHeadingChar"/>
                      <w:b w:val="0"/>
                      <w:bCs w:val="0"/>
                      <w:color w:val="auto"/>
                      <w:spacing w:val="0"/>
                      <w:lang w:val="en-NZ"/>
                    </w:rPr>
                    <w:t xml:space="preserve">both </w:t>
                  </w:r>
                  <w:r w:rsidR="0019354A">
                    <w:rPr>
                      <w:rStyle w:val="Text-BodyHeadingChar"/>
                      <w:b w:val="0"/>
                      <w:bCs w:val="0"/>
                      <w:color w:val="auto"/>
                      <w:spacing w:val="0"/>
                      <w:lang w:val="en-NZ"/>
                    </w:rPr>
                    <w:t xml:space="preserve">as victim survivors </w:t>
                  </w:r>
                  <w:r w:rsidR="00C76A80">
                    <w:rPr>
                      <w:rStyle w:val="Text-BodyHeadingChar"/>
                      <w:b w:val="0"/>
                      <w:bCs w:val="0"/>
                      <w:color w:val="auto"/>
                      <w:spacing w:val="0"/>
                      <w:lang w:val="en-NZ"/>
                    </w:rPr>
                    <w:t xml:space="preserve">of family violence </w:t>
                  </w:r>
                  <w:r w:rsidR="0019354A">
                    <w:rPr>
                      <w:rStyle w:val="Text-BodyHeadingChar"/>
                      <w:b w:val="0"/>
                      <w:bCs w:val="0"/>
                      <w:color w:val="auto"/>
                      <w:spacing w:val="0"/>
                      <w:lang w:val="en-NZ"/>
                    </w:rPr>
                    <w:t>in their own right</w:t>
                  </w:r>
                  <w:r>
                    <w:rPr>
                      <w:rStyle w:val="Text-BodyHeadingChar"/>
                      <w:b w:val="0"/>
                      <w:bCs w:val="0"/>
                      <w:color w:val="auto"/>
                      <w:spacing w:val="0"/>
                      <w:lang w:val="en-NZ"/>
                    </w:rPr>
                    <w:t xml:space="preserve">, and as </w:t>
                  </w:r>
                  <w:r w:rsidR="00937D60">
                    <w:rPr>
                      <w:rStyle w:val="Text-BodyHeadingChar"/>
                      <w:b w:val="0"/>
                      <w:bCs w:val="0"/>
                      <w:color w:val="auto"/>
                      <w:spacing w:val="0"/>
                      <w:lang w:val="en-NZ"/>
                    </w:rPr>
                    <w:t xml:space="preserve">young people navigating everyday challenges. </w:t>
                  </w:r>
                  <w:r w:rsidR="00A411EC">
                    <w:rPr>
                      <w:rStyle w:val="Text-BodyHeadingChar"/>
                      <w:b w:val="0"/>
                      <w:bCs w:val="0"/>
                      <w:color w:val="auto"/>
                      <w:spacing w:val="0"/>
                      <w:lang w:val="en-NZ"/>
                    </w:rPr>
                    <w:t xml:space="preserve">This is particularly important, given </w:t>
                  </w:r>
                  <w:r w:rsidR="00937D60">
                    <w:rPr>
                      <w:rStyle w:val="Text-BodyHeadingChar"/>
                      <w:b w:val="0"/>
                      <w:bCs w:val="0"/>
                      <w:color w:val="auto"/>
                      <w:spacing w:val="0"/>
                      <w:lang w:val="en-NZ"/>
                    </w:rPr>
                    <w:t xml:space="preserve">the </w:t>
                  </w:r>
                  <w:r w:rsidR="00D25D5A">
                    <w:rPr>
                      <w:rStyle w:val="Text-BodyHeadingChar"/>
                      <w:b w:val="0"/>
                      <w:bCs w:val="0"/>
                      <w:color w:val="auto"/>
                      <w:spacing w:val="0"/>
                      <w:lang w:val="en-NZ"/>
                    </w:rPr>
                    <w:t>impact of family violence on personal safety, and mental health and wellbeing.</w:t>
                  </w:r>
                </w:p>
                <w:p w14:paraId="30E21D79" w14:textId="14190B03" w:rsidR="0079669E" w:rsidRDefault="00782723" w:rsidP="00D92473">
                  <w:pPr>
                    <w:pStyle w:val="Text"/>
                    <w:rPr>
                      <w:lang w:val="en-AU"/>
                    </w:rPr>
                  </w:pPr>
                  <w:r>
                    <w:rPr>
                      <w:lang w:val="en-AU"/>
                    </w:rPr>
                    <w:t xml:space="preserve">Service providers </w:t>
                  </w:r>
                  <w:r w:rsidR="00D83518">
                    <w:rPr>
                      <w:lang w:val="en-AU"/>
                    </w:rPr>
                    <w:t xml:space="preserve">consistently noted the importance of ensuring children had a safe, trusted adult </w:t>
                  </w:r>
                  <w:r w:rsidR="00615B3D">
                    <w:rPr>
                      <w:lang w:val="en-AU"/>
                    </w:rPr>
                    <w:t xml:space="preserve">with whom </w:t>
                  </w:r>
                  <w:r w:rsidR="00D83518">
                    <w:rPr>
                      <w:lang w:val="en-AU"/>
                    </w:rPr>
                    <w:t>to discuss their feelings</w:t>
                  </w:r>
                  <w:r w:rsidR="00F10FE8">
                    <w:rPr>
                      <w:lang w:val="en-AU"/>
                    </w:rPr>
                    <w:t>, and this was reflected by service users as well</w:t>
                  </w:r>
                  <w:r w:rsidR="000D219B">
                    <w:rPr>
                      <w:lang w:val="en-AU"/>
                    </w:rPr>
                    <w:t xml:space="preserve">. </w:t>
                  </w:r>
                  <w:r w:rsidR="00DB4989">
                    <w:rPr>
                      <w:lang w:val="en-AU"/>
                    </w:rPr>
                    <w:t>Establishing rapport with an independent and trusted adult supported children</w:t>
                  </w:r>
                  <w:r w:rsidR="009F5161">
                    <w:rPr>
                      <w:lang w:val="en-AU"/>
                    </w:rPr>
                    <w:t xml:space="preserve"> </w:t>
                  </w:r>
                  <w:r w:rsidR="00615B3D">
                    <w:rPr>
                      <w:lang w:val="en-AU"/>
                    </w:rPr>
                    <w:t>to</w:t>
                  </w:r>
                  <w:r w:rsidR="009F5161">
                    <w:rPr>
                      <w:lang w:val="en-AU"/>
                    </w:rPr>
                    <w:t xml:space="preserve"> feel safe. </w:t>
                  </w:r>
                </w:p>
                <w:p w14:paraId="0B8156C5" w14:textId="6210BC1F" w:rsidR="0037682A" w:rsidRPr="001B1CDA" w:rsidRDefault="0037682A" w:rsidP="0037682A">
                  <w:pPr>
                    <w:pBdr>
                      <w:left w:val="single" w:sz="18" w:space="4" w:color="78B800" w:themeColor="accent1"/>
                    </w:pBdr>
                    <w:tabs>
                      <w:tab w:val="left" w:pos="8080"/>
                    </w:tabs>
                    <w:spacing w:after="0"/>
                    <w:ind w:left="851" w:right="949"/>
                    <w:rPr>
                      <w:i/>
                    </w:rPr>
                  </w:pPr>
                  <w:r w:rsidRPr="008E1B83">
                    <w:rPr>
                      <w:i/>
                    </w:rPr>
                    <w:t>I think really for children to be able to experience having a trusted adult in their life if their counsellor ends up being one of the only trusted adults that they can talk to and be safe with</w:t>
                  </w:r>
                  <w:r w:rsidR="0059791A">
                    <w:rPr>
                      <w:i/>
                    </w:rPr>
                    <w:t xml:space="preserve"> [</w:t>
                  </w:r>
                  <w:r w:rsidRPr="008E1B83">
                    <w:rPr>
                      <w:i/>
                    </w:rPr>
                    <w:t>…</w:t>
                  </w:r>
                  <w:r w:rsidR="0059791A">
                    <w:rPr>
                      <w:i/>
                    </w:rPr>
                    <w:t>]</w:t>
                  </w:r>
                  <w:r w:rsidRPr="008E1B83">
                    <w:rPr>
                      <w:i/>
                    </w:rPr>
                    <w:t xml:space="preserve"> I think the impact is on</w:t>
                  </w:r>
                  <w:r w:rsidR="0059791A">
                    <w:rPr>
                      <w:i/>
                    </w:rPr>
                    <w:t xml:space="preserve"> [</w:t>
                  </w:r>
                  <w:r w:rsidRPr="008E1B83">
                    <w:rPr>
                      <w:i/>
                    </w:rPr>
                    <w:t>…</w:t>
                  </w:r>
                  <w:r w:rsidR="0059791A">
                    <w:rPr>
                      <w:i/>
                    </w:rPr>
                    <w:t>]</w:t>
                  </w:r>
                  <w:r w:rsidRPr="008E1B83">
                    <w:rPr>
                      <w:i/>
                    </w:rPr>
                    <w:t xml:space="preserve"> [the] role modelling of how adults can be safe and should be safe and caring and putting the needs of the child first</w:t>
                  </w:r>
                  <w:r w:rsidR="0059791A">
                    <w:rPr>
                      <w:i/>
                    </w:rPr>
                    <w:t xml:space="preserve"> [</w:t>
                  </w:r>
                  <w:r w:rsidRPr="008E1B83">
                    <w:rPr>
                      <w:i/>
                    </w:rPr>
                    <w:t>…</w:t>
                  </w:r>
                  <w:r w:rsidR="0059791A">
                    <w:rPr>
                      <w:i/>
                    </w:rPr>
                    <w:t>]</w:t>
                  </w:r>
                  <w:r w:rsidRPr="008E1B83">
                    <w:rPr>
                      <w:i/>
                    </w:rPr>
                    <w:t xml:space="preserve"> for a child to be heard and have their voice recognised</w:t>
                  </w:r>
                  <w:r w:rsidRPr="008E1B83">
                    <w:rPr>
                      <w:i/>
                      <w:noProof/>
                    </w:rPr>
                    <w:drawing>
                      <wp:anchor distT="0" distB="0" distL="114300" distR="114300" simplePos="0" relativeHeight="251658292" behindDoc="0" locked="1" layoutInCell="1" allowOverlap="1" wp14:anchorId="7BEA7611" wp14:editId="7430338F">
                        <wp:simplePos x="0" y="0"/>
                        <wp:positionH relativeFrom="column">
                          <wp:posOffset>0</wp:posOffset>
                        </wp:positionH>
                        <wp:positionV relativeFrom="paragraph">
                          <wp:posOffset>0</wp:posOffset>
                        </wp:positionV>
                        <wp:extent cx="384810" cy="320040"/>
                        <wp:effectExtent l="0" t="0" r="0" b="3810"/>
                        <wp:wrapNone/>
                        <wp:docPr id="545288377" name="Graphic 545288377" descr="P2301#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288377" name="Graphic 545288377" descr="P2301#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46D56">
                    <w:t xml:space="preserve"> </w:t>
                  </w:r>
                  <w:r w:rsidR="0059791A">
                    <w:rPr>
                      <w:i/>
                    </w:rPr>
                    <w:t>–</w:t>
                  </w:r>
                  <w:r>
                    <w:t xml:space="preserve"> </w:t>
                  </w:r>
                  <w:r>
                    <w:rPr>
                      <w:b/>
                      <w:bCs/>
                      <w:i/>
                      <w:iCs/>
                    </w:rPr>
                    <w:t>SFVS s</w:t>
                  </w:r>
                  <w:r w:rsidRPr="002E7992">
                    <w:rPr>
                      <w:b/>
                      <w:bCs/>
                      <w:i/>
                      <w:iCs/>
                    </w:rPr>
                    <w:t xml:space="preserve">ervice </w:t>
                  </w:r>
                  <w:r>
                    <w:rPr>
                      <w:b/>
                      <w:bCs/>
                      <w:i/>
                      <w:iCs/>
                    </w:rPr>
                    <w:t>provider</w:t>
                  </w:r>
                </w:p>
                <w:p w14:paraId="025B8170" w14:textId="77777777" w:rsidR="0037682A" w:rsidRDefault="0037682A" w:rsidP="00D92473">
                  <w:pPr>
                    <w:pStyle w:val="Text"/>
                    <w:rPr>
                      <w:lang w:val="en-AU"/>
                    </w:rPr>
                  </w:pPr>
                </w:p>
                <w:p w14:paraId="22E094B7" w14:textId="0D3BDF44" w:rsidR="00F91AD7" w:rsidRPr="001B1CDA" w:rsidRDefault="003D6516" w:rsidP="00F91AD7">
                  <w:pPr>
                    <w:pBdr>
                      <w:left w:val="single" w:sz="18" w:space="4" w:color="78B800" w:themeColor="accent1"/>
                    </w:pBdr>
                    <w:tabs>
                      <w:tab w:val="left" w:pos="8080"/>
                    </w:tabs>
                    <w:spacing w:after="0"/>
                    <w:ind w:left="851" w:right="949"/>
                    <w:rPr>
                      <w:i/>
                    </w:rPr>
                  </w:pPr>
                  <w:r w:rsidRPr="008E1B83">
                    <w:rPr>
                      <w:i/>
                    </w:rPr>
                    <w:t xml:space="preserve">It has helped me not get as </w:t>
                  </w:r>
                  <w:r w:rsidRPr="000B0940">
                    <w:rPr>
                      <w:i/>
                    </w:rPr>
                    <w:t>angry</w:t>
                  </w:r>
                  <w:r w:rsidR="000B0940" w:rsidRPr="000B0940">
                    <w:rPr>
                      <w:i/>
                    </w:rPr>
                    <w:t xml:space="preserve"> and</w:t>
                  </w:r>
                  <w:r w:rsidRPr="008E1B83">
                    <w:rPr>
                      <w:i/>
                    </w:rPr>
                    <w:t xml:space="preserve"> feel more calm and safe.</w:t>
                  </w:r>
                  <w:r w:rsidR="00722D21" w:rsidRPr="008E1B83">
                    <w:rPr>
                      <w:i/>
                    </w:rPr>
                    <w:t xml:space="preserve"> S</w:t>
                  </w:r>
                  <w:r w:rsidRPr="008E1B83">
                    <w:rPr>
                      <w:i/>
                    </w:rPr>
                    <w:t>he has helped me feel</w:t>
                  </w:r>
                  <w:r w:rsidR="000F0202" w:rsidRPr="008E1B83">
                    <w:rPr>
                      <w:i/>
                    </w:rPr>
                    <w:t>,</w:t>
                  </w:r>
                  <w:r w:rsidRPr="008E1B83">
                    <w:rPr>
                      <w:i/>
                    </w:rPr>
                    <w:t xml:space="preserve"> and saying that it’s ok to feel how I feel and that I’m not the only person who has that</w:t>
                  </w:r>
                  <w:r w:rsidR="00722D21" w:rsidRPr="008E1B83">
                    <w:rPr>
                      <w:i/>
                    </w:rPr>
                    <w:t>,</w:t>
                  </w:r>
                  <w:r w:rsidRPr="008E1B83">
                    <w:rPr>
                      <w:i/>
                    </w:rPr>
                    <w:t xml:space="preserve"> and people are here for me</w:t>
                  </w:r>
                  <w:r w:rsidR="00F91AD7" w:rsidRPr="008E1B83">
                    <w:rPr>
                      <w:i/>
                      <w:noProof/>
                    </w:rPr>
                    <w:drawing>
                      <wp:anchor distT="0" distB="0" distL="114300" distR="114300" simplePos="0" relativeHeight="251658293" behindDoc="0" locked="1" layoutInCell="1" allowOverlap="1" wp14:anchorId="1CB5F9B0" wp14:editId="6EBE1278">
                        <wp:simplePos x="0" y="0"/>
                        <wp:positionH relativeFrom="column">
                          <wp:posOffset>0</wp:posOffset>
                        </wp:positionH>
                        <wp:positionV relativeFrom="paragraph">
                          <wp:posOffset>0</wp:posOffset>
                        </wp:positionV>
                        <wp:extent cx="384810" cy="320040"/>
                        <wp:effectExtent l="0" t="0" r="0" b="3810"/>
                        <wp:wrapNone/>
                        <wp:docPr id="235223879" name="Graphic 235223879" descr="P2303#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223879" name="Graphic 235223879" descr="P2303#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91AD7" w:rsidRPr="00746D56">
                    <w:t xml:space="preserve"> </w:t>
                  </w:r>
                  <w:r w:rsidR="0059791A">
                    <w:rPr>
                      <w:i/>
                    </w:rPr>
                    <w:t>–</w:t>
                  </w:r>
                  <w:r w:rsidR="00F91AD7">
                    <w:t xml:space="preserve"> </w:t>
                  </w:r>
                  <w:r w:rsidR="00722D21">
                    <w:rPr>
                      <w:b/>
                      <w:bCs/>
                      <w:i/>
                      <w:iCs/>
                    </w:rPr>
                    <w:t>CSC</w:t>
                  </w:r>
                  <w:r w:rsidR="00F91AD7">
                    <w:rPr>
                      <w:b/>
                      <w:bCs/>
                      <w:i/>
                      <w:iCs/>
                    </w:rPr>
                    <w:t xml:space="preserve"> s</w:t>
                  </w:r>
                  <w:r w:rsidR="00F91AD7" w:rsidRPr="002E7992">
                    <w:rPr>
                      <w:b/>
                      <w:bCs/>
                      <w:i/>
                      <w:iCs/>
                    </w:rPr>
                    <w:t xml:space="preserve">ervice </w:t>
                  </w:r>
                  <w:r w:rsidR="00722D21">
                    <w:rPr>
                      <w:b/>
                      <w:bCs/>
                      <w:i/>
                      <w:iCs/>
                    </w:rPr>
                    <w:t>user</w:t>
                  </w:r>
                </w:p>
                <w:p w14:paraId="673F0F19" w14:textId="78619399" w:rsidR="003D6516" w:rsidRDefault="003D6516" w:rsidP="00F91AD7">
                  <w:pPr>
                    <w:pStyle w:val="Text"/>
                    <w:rPr>
                      <w:lang w:val="en-AU"/>
                    </w:rPr>
                  </w:pPr>
                </w:p>
                <w:p w14:paraId="50630BB7" w14:textId="53A4236B" w:rsidR="002E36F8" w:rsidRDefault="00577F6F" w:rsidP="00F91AD7">
                  <w:pPr>
                    <w:pStyle w:val="Text"/>
                    <w:rPr>
                      <w:lang w:val="en-AU"/>
                    </w:rPr>
                  </w:pPr>
                  <w:r>
                    <w:rPr>
                      <w:lang w:val="en-AU"/>
                    </w:rPr>
                    <w:lastRenderedPageBreak/>
                    <w:t>Some s</w:t>
                  </w:r>
                  <w:r w:rsidR="001251CE">
                    <w:rPr>
                      <w:lang w:val="en-AU"/>
                    </w:rPr>
                    <w:t xml:space="preserve">ervice users reflected that they had developed </w:t>
                  </w:r>
                  <w:r w:rsidR="00E837CD">
                    <w:rPr>
                      <w:lang w:val="en-AU"/>
                    </w:rPr>
                    <w:t xml:space="preserve">key emotional regulation techniques, such as accepting their feelings, </w:t>
                  </w:r>
                  <w:r w:rsidR="00820E2B">
                    <w:rPr>
                      <w:lang w:val="en-AU"/>
                    </w:rPr>
                    <w:t xml:space="preserve">empathy, </w:t>
                  </w:r>
                  <w:r w:rsidR="00E837CD">
                    <w:rPr>
                      <w:lang w:val="en-AU"/>
                    </w:rPr>
                    <w:t>methods for coping with discomfort, and communication skills</w:t>
                  </w:r>
                  <w:r w:rsidR="00B8230E">
                    <w:rPr>
                      <w:lang w:val="en-AU"/>
                    </w:rPr>
                    <w:t>.</w:t>
                  </w:r>
                </w:p>
                <w:p w14:paraId="1807A1AA" w14:textId="4E087F12" w:rsidR="00820E2B" w:rsidRPr="001B1CDA" w:rsidRDefault="00820E2B" w:rsidP="00820E2B">
                  <w:pPr>
                    <w:pBdr>
                      <w:left w:val="single" w:sz="18" w:space="4" w:color="78B800" w:themeColor="accent1"/>
                    </w:pBdr>
                    <w:tabs>
                      <w:tab w:val="left" w:pos="8080"/>
                    </w:tabs>
                    <w:spacing w:after="0"/>
                    <w:ind w:left="851" w:right="949"/>
                    <w:rPr>
                      <w:i/>
                    </w:rPr>
                  </w:pPr>
                  <w:r w:rsidRPr="008E1B83">
                    <w:rPr>
                      <w:i/>
                    </w:rPr>
                    <w:t xml:space="preserve">I’ve learnt that everyone has their own thoughts and opinions. I’ve also learnt that it’s ok to feel these emotions that I </w:t>
                  </w:r>
                  <w:r w:rsidR="005E257F" w:rsidRPr="008E1B83">
                    <w:rPr>
                      <w:i/>
                    </w:rPr>
                    <w:t>feel,</w:t>
                  </w:r>
                  <w:r w:rsidRPr="008E1B83">
                    <w:rPr>
                      <w:i/>
                    </w:rPr>
                    <w:t xml:space="preserve"> and everyone feels them, [and] you can always be yourself and it doesn’t really matter cos everyone’s different. You can make new friends by just saying hi</w:t>
                  </w:r>
                  <w:r w:rsidRPr="008E1B83">
                    <w:rPr>
                      <w:i/>
                      <w:noProof/>
                    </w:rPr>
                    <w:drawing>
                      <wp:anchor distT="0" distB="0" distL="114300" distR="114300" simplePos="0" relativeHeight="251658294" behindDoc="0" locked="1" layoutInCell="1" allowOverlap="1" wp14:anchorId="77D1A4B0" wp14:editId="3F57E158">
                        <wp:simplePos x="0" y="0"/>
                        <wp:positionH relativeFrom="column">
                          <wp:posOffset>0</wp:posOffset>
                        </wp:positionH>
                        <wp:positionV relativeFrom="paragraph">
                          <wp:posOffset>0</wp:posOffset>
                        </wp:positionV>
                        <wp:extent cx="384810" cy="320040"/>
                        <wp:effectExtent l="0" t="0" r="0" b="3810"/>
                        <wp:wrapNone/>
                        <wp:docPr id="568786893" name="Graphic 568786893" descr="P2306#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786893" name="Graphic 568786893" descr="P2306#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46D56">
                    <w:t xml:space="preserve"> </w:t>
                  </w:r>
                  <w:r w:rsidR="0059791A">
                    <w:rPr>
                      <w:i/>
                    </w:rPr>
                    <w:t>–</w:t>
                  </w:r>
                  <w:r>
                    <w:t xml:space="preserve"> </w:t>
                  </w:r>
                  <w:r>
                    <w:rPr>
                      <w:b/>
                      <w:bCs/>
                      <w:i/>
                      <w:iCs/>
                    </w:rPr>
                    <w:t>CSC s</w:t>
                  </w:r>
                  <w:r w:rsidRPr="002E7992">
                    <w:rPr>
                      <w:b/>
                      <w:bCs/>
                      <w:i/>
                      <w:iCs/>
                    </w:rPr>
                    <w:t xml:space="preserve">ervice </w:t>
                  </w:r>
                  <w:r>
                    <w:rPr>
                      <w:b/>
                      <w:bCs/>
                      <w:i/>
                      <w:iCs/>
                    </w:rPr>
                    <w:t>user</w:t>
                  </w:r>
                </w:p>
                <w:p w14:paraId="708B4887" w14:textId="3ED3F1D7" w:rsidR="00947838" w:rsidRPr="00321BC5" w:rsidRDefault="00DC137B" w:rsidP="00321BC5">
                  <w:pPr>
                    <w:pStyle w:val="Text-BodyHeading"/>
                    <w:spacing w:before="360" w:after="240"/>
                  </w:pPr>
                  <w:r w:rsidRPr="00321BC5">
                    <w:t>Pe</w:t>
                  </w:r>
                  <w:r w:rsidR="00496FD3" w:rsidRPr="00321BC5">
                    <w:t>ople who use violence</w:t>
                  </w:r>
                  <w:r w:rsidRPr="00321BC5">
                    <w:t xml:space="preserve"> </w:t>
                  </w:r>
                </w:p>
                <w:p w14:paraId="1860C3EB" w14:textId="6511968A" w:rsidR="004F024E" w:rsidRDefault="007E1B38" w:rsidP="00304CDC">
                  <w:pPr>
                    <w:pStyle w:val="Text"/>
                    <w:rPr>
                      <w:lang w:val="en-US"/>
                    </w:rPr>
                  </w:pPr>
                  <w:r>
                    <w:rPr>
                      <w:lang w:val="en-US"/>
                    </w:rPr>
                    <w:t>Findings on the outcomes of MBCPs</w:t>
                  </w:r>
                  <w:r w:rsidR="006A0F58">
                    <w:rPr>
                      <w:lang w:val="en-US"/>
                    </w:rPr>
                    <w:t xml:space="preserve"> are limited due to</w:t>
                  </w:r>
                  <w:r>
                    <w:rPr>
                      <w:lang w:val="en-US"/>
                    </w:rPr>
                    <w:t xml:space="preserve"> </w:t>
                  </w:r>
                  <w:r w:rsidRPr="417BA448">
                    <w:t xml:space="preserve">the </w:t>
                  </w:r>
                  <w:r w:rsidR="006171EC">
                    <w:t>evaluation’s</w:t>
                  </w:r>
                  <w:r w:rsidR="006A0F58">
                    <w:t xml:space="preserve"> </w:t>
                  </w:r>
                  <w:r w:rsidRPr="417BA448">
                    <w:t>reliance o</w:t>
                  </w:r>
                  <w:r w:rsidR="006A0F58">
                    <w:t>n</w:t>
                  </w:r>
                  <w:r w:rsidRPr="417BA448">
                    <w:t xml:space="preserve"> self-reported data from a small number of MCBP service users </w:t>
                  </w:r>
                  <w:r>
                    <w:t>(n=</w:t>
                  </w:r>
                  <w:r w:rsidR="006A0F58" w:rsidRPr="006A0F58">
                    <w:t xml:space="preserve"> ≤</w:t>
                  </w:r>
                  <w:r>
                    <w:t xml:space="preserve">5) </w:t>
                  </w:r>
                  <w:r w:rsidRPr="417BA448">
                    <w:t>and observation data from service providers through DEX reporting and focus group</w:t>
                  </w:r>
                  <w:r w:rsidR="00321A93">
                    <w:t>s</w:t>
                  </w:r>
                  <w:r w:rsidR="00A3681A">
                    <w:t>. The evaluation did not collect</w:t>
                  </w:r>
                  <w:r>
                    <w:t xml:space="preserve"> data on </w:t>
                  </w:r>
                  <w:r w:rsidR="00A3681A">
                    <w:t>MBCP participants</w:t>
                  </w:r>
                  <w:r w:rsidR="00321A93">
                    <w:t>’</w:t>
                  </w:r>
                  <w:r w:rsidR="00A3681A">
                    <w:t xml:space="preserve"> partner or ex-partner</w:t>
                  </w:r>
                  <w:r w:rsidR="00321A93">
                    <w:t>’</w:t>
                  </w:r>
                  <w:r w:rsidR="00A3681A">
                    <w:t>s perceptions around their changed behaviour</w:t>
                  </w:r>
                  <w:r>
                    <w:t>. In addition, there is</w:t>
                  </w:r>
                  <w:r w:rsidR="00116261">
                    <w:t xml:space="preserve"> a</w:t>
                  </w:r>
                  <w:r>
                    <w:t xml:space="preserve"> growing body of evidence indicating </w:t>
                  </w:r>
                  <w:r w:rsidR="00611D9C">
                    <w:t xml:space="preserve">that </w:t>
                  </w:r>
                  <w:r w:rsidR="002D5785">
                    <w:t xml:space="preserve">sustained </w:t>
                  </w:r>
                  <w:r w:rsidR="00611D9C">
                    <w:t>MBCP outcome</w:t>
                  </w:r>
                  <w:r w:rsidR="00321A93">
                    <w:t>s</w:t>
                  </w:r>
                  <w:r w:rsidR="00611D9C">
                    <w:t xml:space="preserve"> are contingent on </w:t>
                  </w:r>
                  <w:r w:rsidR="00611D9C">
                    <w:rPr>
                      <w:lang w:val="en-US"/>
                    </w:rPr>
                    <w:t>whole-of-system approaches</w:t>
                  </w:r>
                  <w:r w:rsidR="002D5785">
                    <w:rPr>
                      <w:lang w:val="en-US"/>
                    </w:rPr>
                    <w:t xml:space="preserve"> which centre victim survivor recovery, perpetrator accountability, and risk management </w:t>
                  </w:r>
                  <w:r w:rsidR="002D5785" w:rsidRPr="002D5785">
                    <w:rPr>
                      <w:lang w:val="en-US"/>
                    </w:rPr>
                    <w:fldChar w:fldCharType="begin"/>
                  </w:r>
                  <w:r w:rsidR="003A464F">
                    <w:rPr>
                      <w:lang w:val="en-US"/>
                    </w:rPr>
                    <w:instrText xml:space="preserve"> ADDIN ZOTERO_ITEM CSL_CITATION {"citationID":"aiugl3olbt","properties":{"formattedCitation":"(Australia\\uc0\\u8217{}s National Research Organisation for Women\\uc0\\u8217{}s Safety, 2025; Hamilton et al., 2025; Helps et al., 2025)","plainCitation":"(Australia’s National Research Organisation for Women’s Safety, 2025; Hamilton et al., 2025; Helps et al., 2025)","noteIndex":0},"citationItems":[{"id":5724,"uris":["http://zotero.org/groups/5691188/items/WS3B9LBB"],"itemData":{"id":5724,"type":"report","publisher":"Australia's National Research Organisation for Women's Safety","title":"Quality practice elements for MBCPs in the NT","URL":"https://anrows-2019.s3.ap-southeast-2.amazonaws.com/wp-content/uploads/2025/04/03131126/ANROWS-Quality-practice-elements-for-MBCPs-in-the-NT.pdf","author":[{"literal":"Australia's National Research Organisation for Women's Safety"}],"issued":{"date-parts":[["2025"]]}}},{"id":5722,"uris":["http://zotero.org/groups/5691188/items/YM2QTMDR"],"itemData":{"id":5722,"type":"report","abstract":"This resource shares high-level learnings from ANROWS’s process evaluations of men’s behaviour change programs in the Northern Territory.","publisher":"Australia's National Research Organisation for Women's Safety","title":"Evaluation of the Northern Territory’s men’s behaviour change programs: Key learnings for policy and practice","title-short":"Evaluation of the Northern Territory’s men’s behaviour change programs","URL":"https://www.anrows.org.au/resources/nt-mbcp-evaluation-key-learnings/","author":[{"family":"Hamilton","given":"L"},{"family":"Macmillan","given":"L"},{"family":"Vlais","given":"R"}],"accessed":{"date-parts":[["2025",9,8]]},"issued":{"date-parts":[["2025"]]}}},{"id":5721,"uris":["http://zotero.org/groups/5691188/items/X553GPL4"],"itemData":{"id":5721,"type":"report","abstract":"This evidence brief explores the role of men’s behaviour change programs (MBCPs) in addressing domestic, family, and sexual violence.","language":"en-US","publisher":"Australia's National Research Organisation fro Women's Safety","title":"The role of men’s behaviour change programs in addressing men’s use of domestic, family and sexual violence","URL":"https://doi.org/10.71940/snn3-m344","author":[{"family":"Helps","given":"N"},{"family":"Bell","given":"C"},{"family":"Schulze","given":"C"},{"family":"Vlais","given":"R"},{"family":"Clark","given":"O"},{"family":"Seamer","given":"J"},{"family":"Buys","given":"R"}],"accessed":{"date-parts":[["2025",9,8]]},"issued":{"date-parts":[["2025"]]}}}],"schema":"https://github.com/citation-style-language/schema/raw/master/csl-citation.json"} </w:instrText>
                  </w:r>
                  <w:r w:rsidR="002D5785" w:rsidRPr="002D5785">
                    <w:rPr>
                      <w:lang w:val="en-US"/>
                    </w:rPr>
                    <w:fldChar w:fldCharType="separate"/>
                  </w:r>
                  <w:r w:rsidR="003A464F" w:rsidRPr="003A464F">
                    <w:rPr>
                      <w:rFonts w:ascii="Arial" w:hAnsi="Arial" w:cs="Arial"/>
                    </w:rPr>
                    <w:t>(Australia’s National Research Organisation for Women’s Safety, 2025; Hamilton et al., 2025; Helps et al., 2025)</w:t>
                  </w:r>
                  <w:r w:rsidR="002D5785" w:rsidRPr="002D5785">
                    <w:rPr>
                      <w:lang w:val="en-US"/>
                    </w:rPr>
                    <w:fldChar w:fldCharType="end"/>
                  </w:r>
                  <w:r w:rsidR="006A0F58">
                    <w:rPr>
                      <w:lang w:val="en-US"/>
                    </w:rPr>
                    <w:t xml:space="preserve"> (see</w:t>
                  </w:r>
                  <w:r w:rsidR="007D033B">
                    <w:rPr>
                      <w:lang w:val="en-US"/>
                    </w:rPr>
                    <w:t xml:space="preserve"> </w:t>
                  </w:r>
                  <w:r w:rsidR="007D033B" w:rsidRPr="007D033B">
                    <w:rPr>
                      <w:b/>
                      <w:bCs/>
                      <w:lang w:val="en-US"/>
                    </w:rPr>
                    <w:t xml:space="preserve">Section </w:t>
                  </w:r>
                  <w:r w:rsidR="007D033B" w:rsidRPr="007D033B">
                    <w:rPr>
                      <w:b/>
                      <w:bCs/>
                      <w:lang w:val="en-US"/>
                    </w:rPr>
                    <w:fldChar w:fldCharType="begin" w:fldLock="1"/>
                  </w:r>
                  <w:r w:rsidR="007D033B" w:rsidRPr="007D033B">
                    <w:rPr>
                      <w:b/>
                      <w:bCs/>
                      <w:lang w:val="en-US"/>
                    </w:rPr>
                    <w:instrText xml:space="preserve"> REF _Ref208251713 \r \h </w:instrText>
                  </w:r>
                  <w:r w:rsidR="007D033B">
                    <w:rPr>
                      <w:b/>
                      <w:bCs/>
                      <w:lang w:val="en-US"/>
                    </w:rPr>
                    <w:instrText xml:space="preserve"> \* MERGEFORMAT </w:instrText>
                  </w:r>
                  <w:r w:rsidR="007D033B" w:rsidRPr="007D033B">
                    <w:rPr>
                      <w:b/>
                      <w:bCs/>
                      <w:lang w:val="en-US"/>
                    </w:rPr>
                  </w:r>
                  <w:r w:rsidR="007D033B" w:rsidRPr="007D033B">
                    <w:rPr>
                      <w:b/>
                      <w:bCs/>
                      <w:lang w:val="en-US"/>
                    </w:rPr>
                    <w:fldChar w:fldCharType="separate"/>
                  </w:r>
                  <w:r w:rsidR="008F22E5">
                    <w:rPr>
                      <w:b/>
                      <w:bCs/>
                      <w:lang w:val="en-US"/>
                    </w:rPr>
                    <w:t>6.4.2</w:t>
                  </w:r>
                  <w:r w:rsidR="007D033B" w:rsidRPr="007D033B">
                    <w:rPr>
                      <w:b/>
                      <w:bCs/>
                      <w:lang w:val="en-US"/>
                    </w:rPr>
                    <w:fldChar w:fldCharType="end"/>
                  </w:r>
                  <w:r w:rsidR="007D033B">
                    <w:rPr>
                      <w:lang w:val="en-US"/>
                    </w:rPr>
                    <w:t>)</w:t>
                  </w:r>
                  <w:r w:rsidR="001B5EA4" w:rsidRPr="002D5785">
                    <w:rPr>
                      <w:lang w:val="en-US"/>
                    </w:rPr>
                    <w:t>.</w:t>
                  </w:r>
                  <w:r w:rsidR="001B5EA4">
                    <w:rPr>
                      <w:lang w:val="en-US"/>
                    </w:rPr>
                    <w:t xml:space="preserve"> Whilst</w:t>
                  </w:r>
                  <w:r w:rsidR="00C54B94">
                    <w:rPr>
                      <w:lang w:val="en-US"/>
                    </w:rPr>
                    <w:t xml:space="preserve"> </w:t>
                  </w:r>
                  <w:r w:rsidR="007F2F9A" w:rsidRPr="00BF5122">
                    <w:rPr>
                      <w:lang w:val="en-US"/>
                    </w:rPr>
                    <w:t xml:space="preserve">the </w:t>
                  </w:r>
                  <w:r w:rsidR="007F2F9A">
                    <w:rPr>
                      <w:lang w:val="en-US"/>
                    </w:rPr>
                    <w:t xml:space="preserve">quantitative </w:t>
                  </w:r>
                  <w:r w:rsidR="007F2F9A" w:rsidRPr="00BF5122">
                    <w:rPr>
                      <w:lang w:val="en-US"/>
                    </w:rPr>
                    <w:t>data indicates most participating men showed improved circumstances by program end</w:t>
                  </w:r>
                  <w:r w:rsidR="001B5EA4">
                    <w:rPr>
                      <w:lang w:val="en-US"/>
                    </w:rPr>
                    <w:t>, it is not possible to determine the extent to which this resulted in actual behaviour change for participants</w:t>
                  </w:r>
                  <w:r w:rsidR="007F2F9A" w:rsidRPr="00BF5122">
                    <w:rPr>
                      <w:lang w:val="en-US"/>
                    </w:rPr>
                    <w:t xml:space="preserve">. Between 51% and 65% of MBCP </w:t>
                  </w:r>
                  <w:r w:rsidR="00E614D3">
                    <w:rPr>
                      <w:lang w:val="en-US"/>
                    </w:rPr>
                    <w:t>service users</w:t>
                  </w:r>
                  <w:r w:rsidR="007F2F9A" w:rsidRPr="00BF5122">
                    <w:rPr>
                      <w:lang w:val="en-US"/>
                    </w:rPr>
                    <w:t xml:space="preserve"> had an overall positive change in circumstances. </w:t>
                  </w:r>
                  <w:r w:rsidR="00304CDC" w:rsidRPr="00BF5122">
                    <w:rPr>
                      <w:lang w:val="en-US"/>
                    </w:rPr>
                    <w:t xml:space="preserve">The </w:t>
                  </w:r>
                  <w:r w:rsidR="007F2F9A" w:rsidRPr="00BF5122">
                    <w:rPr>
                      <w:lang w:val="en-US"/>
                    </w:rPr>
                    <w:t xml:space="preserve">average </w:t>
                  </w:r>
                  <w:r w:rsidR="004F724C">
                    <w:rPr>
                      <w:lang w:val="en-US"/>
                    </w:rPr>
                    <w:t>C</w:t>
                  </w:r>
                  <w:r w:rsidR="007F2F9A" w:rsidRPr="00BF5122">
                    <w:rPr>
                      <w:lang w:val="en-US"/>
                    </w:rPr>
                    <w:t xml:space="preserve">ircumstance </w:t>
                  </w:r>
                  <w:r w:rsidR="00AC1188">
                    <w:rPr>
                      <w:lang w:val="en-US"/>
                    </w:rPr>
                    <w:t>SCORE</w:t>
                  </w:r>
                  <w:r w:rsidR="007F2F9A" w:rsidRPr="00BF5122">
                    <w:rPr>
                      <w:lang w:val="en-US"/>
                    </w:rPr>
                    <w:t xml:space="preserve"> change was </w:t>
                  </w:r>
                  <w:r w:rsidR="002473CB">
                    <w:rPr>
                      <w:lang w:val="en-US"/>
                    </w:rPr>
                    <w:t>i</w:t>
                  </w:r>
                  <w:r w:rsidR="007F2F9A" w:rsidRPr="00BF5122">
                    <w:rPr>
                      <w:lang w:val="en-US"/>
                    </w:rPr>
                    <w:t xml:space="preserve">n the order of +0.70-+1.05. Notably, the positive outcome rate was </w:t>
                  </w:r>
                  <w:r w:rsidR="004F024E">
                    <w:rPr>
                      <w:lang w:val="en-US"/>
                    </w:rPr>
                    <w:t>slightly</w:t>
                  </w:r>
                  <w:r w:rsidR="007F2F9A" w:rsidRPr="00BF5122">
                    <w:rPr>
                      <w:lang w:val="en-US"/>
                    </w:rPr>
                    <w:t xml:space="preserve"> higher in 2021-22 (65%) and dropped to 51% in 2023-24, possibly as programs expanded to higher</w:t>
                  </w:r>
                  <w:r w:rsidR="003925E9" w:rsidRPr="00BF5122">
                    <w:rPr>
                      <w:lang w:val="en-US"/>
                    </w:rPr>
                    <w:t xml:space="preserve"> risk</w:t>
                  </w:r>
                  <w:r w:rsidR="007F2F9A" w:rsidRPr="00BF5122">
                    <w:rPr>
                      <w:lang w:val="en-US"/>
                    </w:rPr>
                    <w:t xml:space="preserve"> </w:t>
                  </w:r>
                  <w:r w:rsidR="00175D50">
                    <w:rPr>
                      <w:lang w:val="en-US"/>
                    </w:rPr>
                    <w:t>service users</w:t>
                  </w:r>
                  <w:r w:rsidR="00E614D3">
                    <w:rPr>
                      <w:lang w:val="en-US"/>
                    </w:rPr>
                    <w:t xml:space="preserve"> </w:t>
                  </w:r>
                  <w:r w:rsidR="007F2F9A" w:rsidRPr="00BF5122">
                    <w:rPr>
                      <w:lang w:val="en-US"/>
                    </w:rPr>
                    <w:t>who may have had more difficulty achieving change.</w:t>
                  </w:r>
                </w:p>
                <w:p w14:paraId="66362DD4" w14:textId="1E7FC804" w:rsidR="003B58A1" w:rsidRDefault="007F2F9A" w:rsidP="00304CDC">
                  <w:pPr>
                    <w:pStyle w:val="Text"/>
                    <w:rPr>
                      <w:lang w:val="en-US"/>
                    </w:rPr>
                  </w:pPr>
                  <w:r w:rsidRPr="00BF5122">
                    <w:rPr>
                      <w:lang w:val="en-US"/>
                    </w:rPr>
                    <w:t>MBCP participants set personal goals (</w:t>
                  </w:r>
                  <w:r w:rsidR="002473CB">
                    <w:rPr>
                      <w:lang w:val="en-US"/>
                    </w:rPr>
                    <w:t>for example:</w:t>
                  </w:r>
                  <w:r w:rsidRPr="00BF5122">
                    <w:rPr>
                      <w:lang w:val="en-US"/>
                    </w:rPr>
                    <w:t xml:space="preserve"> to stop violent behaviours</w:t>
                  </w:r>
                  <w:r w:rsidR="002473CB">
                    <w:rPr>
                      <w:lang w:val="en-US"/>
                    </w:rPr>
                    <w:t xml:space="preserve"> or</w:t>
                  </w:r>
                  <w:r w:rsidRPr="00BF5122">
                    <w:rPr>
                      <w:lang w:val="en-US"/>
                    </w:rPr>
                    <w:t xml:space="preserve"> improve communication) with </w:t>
                  </w:r>
                  <w:r w:rsidR="00B60326">
                    <w:rPr>
                      <w:lang w:val="en-US"/>
                    </w:rPr>
                    <w:t>GPS-DEX data showing that</w:t>
                  </w:r>
                  <w:r w:rsidRPr="00BF5122">
                    <w:rPr>
                      <w:lang w:val="en-US"/>
                    </w:rPr>
                    <w:t xml:space="preserve"> between 56% and 69% of </w:t>
                  </w:r>
                  <w:r w:rsidR="00E614D3">
                    <w:rPr>
                      <w:lang w:val="en-US"/>
                    </w:rPr>
                    <w:t xml:space="preserve">service </w:t>
                  </w:r>
                  <w:r w:rsidR="000049F2">
                    <w:rPr>
                      <w:lang w:val="en-US"/>
                    </w:rPr>
                    <w:t>users</w:t>
                  </w:r>
                  <w:r w:rsidRPr="00BF5122">
                    <w:rPr>
                      <w:lang w:val="en-US"/>
                    </w:rPr>
                    <w:t xml:space="preserve"> attain</w:t>
                  </w:r>
                  <w:r w:rsidR="00B71F94">
                    <w:rPr>
                      <w:lang w:val="en-US"/>
                    </w:rPr>
                    <w:t>ed</w:t>
                  </w:r>
                  <w:r w:rsidRPr="00BF5122">
                    <w:rPr>
                      <w:lang w:val="en-US"/>
                    </w:rPr>
                    <w:t xml:space="preserve"> a positive goal outcome, depending on the year. In 2021-22, the data shows about 69% achieved their goals, whereas </w:t>
                  </w:r>
                  <w:r w:rsidR="00A1735F">
                    <w:rPr>
                      <w:lang w:val="en-US"/>
                    </w:rPr>
                    <w:t xml:space="preserve">in </w:t>
                  </w:r>
                  <w:r w:rsidRPr="00BF5122">
                    <w:rPr>
                      <w:lang w:val="en-US"/>
                    </w:rPr>
                    <w:t xml:space="preserve">2023-24 around 56% </w:t>
                  </w:r>
                  <w:r w:rsidR="00A1735F">
                    <w:rPr>
                      <w:lang w:val="en-US"/>
                    </w:rPr>
                    <w:t xml:space="preserve">achieved </w:t>
                  </w:r>
                  <w:r w:rsidRPr="00BF5122">
                    <w:rPr>
                      <w:lang w:val="en-US"/>
                    </w:rPr>
                    <w:t xml:space="preserve">goal success. These are encouraging figures, suggesting that about </w:t>
                  </w:r>
                  <w:r w:rsidR="005E257F" w:rsidRPr="00BF5122">
                    <w:rPr>
                      <w:lang w:val="en-US"/>
                    </w:rPr>
                    <w:t>3 out of</w:t>
                  </w:r>
                  <w:r w:rsidRPr="00BF5122">
                    <w:rPr>
                      <w:lang w:val="en-US"/>
                    </w:rPr>
                    <w:t xml:space="preserve"> 5 </w:t>
                  </w:r>
                  <w:r w:rsidR="00E614D3">
                    <w:rPr>
                      <w:lang w:val="en-US"/>
                    </w:rPr>
                    <w:t xml:space="preserve">service </w:t>
                  </w:r>
                  <w:r w:rsidR="000049F2">
                    <w:rPr>
                      <w:lang w:val="en-US"/>
                    </w:rPr>
                    <w:t>users</w:t>
                  </w:r>
                  <w:r w:rsidRPr="00BF5122">
                    <w:rPr>
                      <w:lang w:val="en-US"/>
                    </w:rPr>
                    <w:t xml:space="preserve"> who </w:t>
                  </w:r>
                  <w:r w:rsidR="00A1735F">
                    <w:rPr>
                      <w:lang w:val="en-US"/>
                    </w:rPr>
                    <w:t>were</w:t>
                  </w:r>
                  <w:r w:rsidRPr="00BF5122">
                    <w:rPr>
                      <w:lang w:val="en-US"/>
                    </w:rPr>
                    <w:t xml:space="preserve"> engaged </w:t>
                  </w:r>
                  <w:r w:rsidR="00A1735F">
                    <w:rPr>
                      <w:lang w:val="en-US"/>
                    </w:rPr>
                    <w:t xml:space="preserve">within a program </w:t>
                  </w:r>
                  <w:r w:rsidRPr="00BF5122">
                    <w:rPr>
                      <w:lang w:val="en-US"/>
                    </w:rPr>
                    <w:t xml:space="preserve">were able to make progress toward non-violence goals by </w:t>
                  </w:r>
                  <w:r w:rsidR="00A1735F">
                    <w:rPr>
                      <w:lang w:val="en-US"/>
                    </w:rPr>
                    <w:t>program end</w:t>
                  </w:r>
                  <w:r w:rsidRPr="00BF5122">
                    <w:rPr>
                      <w:lang w:val="en-US"/>
                    </w:rPr>
                    <w:t xml:space="preserve">. Overall, 1 in 10 </w:t>
                  </w:r>
                  <w:r w:rsidR="00E614D3">
                    <w:rPr>
                      <w:lang w:val="en-US"/>
                    </w:rPr>
                    <w:t xml:space="preserve">service </w:t>
                  </w:r>
                  <w:r w:rsidR="000049F2">
                    <w:rPr>
                      <w:lang w:val="en-US"/>
                    </w:rPr>
                    <w:t>users</w:t>
                  </w:r>
                  <w:r w:rsidRPr="00BF5122">
                    <w:rPr>
                      <w:lang w:val="en-US"/>
                    </w:rPr>
                    <w:t xml:space="preserve"> rated a negative outcome with respect to goals. </w:t>
                  </w:r>
                </w:p>
                <w:p w14:paraId="2A9D369B" w14:textId="2D3F63E6" w:rsidR="003B58A1" w:rsidRDefault="00C54B94" w:rsidP="00304CDC">
                  <w:pPr>
                    <w:pStyle w:val="Text"/>
                    <w:rPr>
                      <w:lang w:val="en-US"/>
                    </w:rPr>
                  </w:pPr>
                  <w:r>
                    <w:rPr>
                      <w:lang w:val="en-US"/>
                    </w:rPr>
                    <w:t>S</w:t>
                  </w:r>
                  <w:r w:rsidR="007F2F9A" w:rsidRPr="00BF5122">
                    <w:rPr>
                      <w:lang w:val="en-US"/>
                    </w:rPr>
                    <w:t>atisfaction</w:t>
                  </w:r>
                  <w:r w:rsidR="00FF1259">
                    <w:rPr>
                      <w:lang w:val="en-US"/>
                    </w:rPr>
                    <w:t xml:space="preserve"> </w:t>
                  </w:r>
                  <w:r w:rsidR="00AC1188">
                    <w:rPr>
                      <w:lang w:val="en-US"/>
                    </w:rPr>
                    <w:t>SCORE</w:t>
                  </w:r>
                  <w:r w:rsidR="002A29BD">
                    <w:rPr>
                      <w:lang w:val="en-US"/>
                    </w:rPr>
                    <w:t>s</w:t>
                  </w:r>
                  <w:r w:rsidR="007F2F9A" w:rsidRPr="00BF5122">
                    <w:rPr>
                      <w:lang w:val="en-US"/>
                    </w:rPr>
                    <w:t xml:space="preserve"> </w:t>
                  </w:r>
                  <w:r w:rsidR="00453656">
                    <w:rPr>
                      <w:lang w:val="en-US"/>
                    </w:rPr>
                    <w:t>for</w:t>
                  </w:r>
                  <w:r w:rsidR="00453656" w:rsidRPr="00BF5122">
                    <w:rPr>
                      <w:lang w:val="en-US"/>
                    </w:rPr>
                    <w:t xml:space="preserve"> </w:t>
                  </w:r>
                  <w:r w:rsidR="007F2F9A" w:rsidRPr="00BF5122">
                    <w:rPr>
                      <w:lang w:val="en-US"/>
                    </w:rPr>
                    <w:t xml:space="preserve">MBCP </w:t>
                  </w:r>
                  <w:r w:rsidR="00453656">
                    <w:rPr>
                      <w:lang w:val="en-US"/>
                    </w:rPr>
                    <w:t xml:space="preserve">users </w:t>
                  </w:r>
                  <w:r w:rsidR="007F2F9A" w:rsidRPr="00BF5122">
                    <w:rPr>
                      <w:lang w:val="en-US"/>
                    </w:rPr>
                    <w:t xml:space="preserve">were very high, with 82% to 98% of participants reporting positive satisfaction. For example, in 2022-23 about 98% of </w:t>
                  </w:r>
                  <w:r w:rsidR="00E614D3">
                    <w:rPr>
                      <w:lang w:val="en-US"/>
                    </w:rPr>
                    <w:t xml:space="preserve">service </w:t>
                  </w:r>
                  <w:r w:rsidR="000049F2">
                    <w:rPr>
                      <w:lang w:val="en-US"/>
                    </w:rPr>
                    <w:t>users</w:t>
                  </w:r>
                  <w:r w:rsidR="007F2F9A" w:rsidRPr="00BF5122">
                    <w:rPr>
                      <w:lang w:val="en-US"/>
                    </w:rPr>
                    <w:t xml:space="preserve"> provided favourable feedback. Satisfaction increased over the period, possibly as program delivery became more refined and responsive to participants’ needs. High satisfaction could suggest that those who stayed in the program felt it was beneficial to them on a personal level. </w:t>
                  </w:r>
                </w:p>
                <w:p w14:paraId="0EB5EECB" w14:textId="6D67A8D9" w:rsidR="00304CDC" w:rsidRPr="007F2F9A" w:rsidRDefault="007F2F9A" w:rsidP="00304CDC">
                  <w:pPr>
                    <w:pStyle w:val="Text"/>
                    <w:rPr>
                      <w:rStyle w:val="Text-BodyHeadingChar"/>
                      <w:b w:val="0"/>
                      <w:color w:val="auto"/>
                      <w:spacing w:val="0"/>
                      <w:lang w:val="en-US"/>
                    </w:rPr>
                  </w:pPr>
                  <w:r>
                    <w:rPr>
                      <w:rStyle w:val="Text-BodyHeadingChar"/>
                      <w:b w:val="0"/>
                      <w:bCs w:val="0"/>
                      <w:color w:val="auto"/>
                      <w:spacing w:val="0"/>
                      <w:lang w:val="en-NZ"/>
                    </w:rPr>
                    <w:t>The qualitative data</w:t>
                  </w:r>
                  <w:r w:rsidR="00304CDC">
                    <w:rPr>
                      <w:rStyle w:val="Text-BodyHeadingChar"/>
                      <w:b w:val="0"/>
                      <w:bCs w:val="0"/>
                      <w:color w:val="auto"/>
                      <w:spacing w:val="0"/>
                      <w:lang w:val="en-NZ"/>
                    </w:rPr>
                    <w:t xml:space="preserve"> found a moderately positive impact on people who accessed </w:t>
                  </w:r>
                  <w:r w:rsidR="00BF1596">
                    <w:rPr>
                      <w:rStyle w:val="Text-BodyHeadingChar"/>
                      <w:b w:val="0"/>
                      <w:bCs w:val="0"/>
                      <w:color w:val="auto"/>
                      <w:spacing w:val="0"/>
                      <w:lang w:val="en-NZ"/>
                    </w:rPr>
                    <w:t>MBCP</w:t>
                  </w:r>
                  <w:r w:rsidR="00624FE9">
                    <w:rPr>
                      <w:rStyle w:val="Text-BodyHeadingChar"/>
                      <w:b w:val="0"/>
                      <w:bCs w:val="0"/>
                      <w:color w:val="auto"/>
                      <w:spacing w:val="0"/>
                      <w:lang w:val="en-NZ"/>
                    </w:rPr>
                    <w:t>, with a need for more services in this space</w:t>
                  </w:r>
                  <w:r w:rsidR="00304CDC">
                    <w:rPr>
                      <w:rStyle w:val="Text-BodyHeadingChar"/>
                      <w:b w:val="0"/>
                      <w:bCs w:val="0"/>
                      <w:color w:val="auto"/>
                      <w:spacing w:val="0"/>
                      <w:lang w:val="en-NZ"/>
                    </w:rPr>
                    <w:t xml:space="preserve">. However, </w:t>
                  </w:r>
                  <w:r w:rsidR="00BE478A">
                    <w:rPr>
                      <w:rStyle w:val="Text-BodyHeadingChar"/>
                      <w:b w:val="0"/>
                      <w:bCs w:val="0"/>
                      <w:color w:val="auto"/>
                      <w:spacing w:val="0"/>
                      <w:lang w:val="en-NZ"/>
                    </w:rPr>
                    <w:t>qualitative</w:t>
                  </w:r>
                  <w:r w:rsidR="00304CDC">
                    <w:rPr>
                      <w:rStyle w:val="Text-BodyHeadingChar"/>
                      <w:b w:val="0"/>
                      <w:bCs w:val="0"/>
                      <w:color w:val="auto"/>
                      <w:spacing w:val="0"/>
                      <w:lang w:val="en-NZ"/>
                    </w:rPr>
                    <w:t xml:space="preserve"> insights into the outcomes of accessing a </w:t>
                  </w:r>
                  <w:r w:rsidR="00BF1596">
                    <w:rPr>
                      <w:rStyle w:val="Text-BodyHeadingChar"/>
                      <w:b w:val="0"/>
                      <w:bCs w:val="0"/>
                      <w:color w:val="auto"/>
                      <w:spacing w:val="0"/>
                      <w:lang w:val="en-NZ"/>
                    </w:rPr>
                    <w:t>MBC</w:t>
                  </w:r>
                  <w:r w:rsidR="00806892">
                    <w:rPr>
                      <w:rStyle w:val="Text-BodyHeadingChar"/>
                      <w:b w:val="0"/>
                      <w:bCs w:val="0"/>
                      <w:color w:val="auto"/>
                      <w:spacing w:val="0"/>
                      <w:lang w:val="en-NZ"/>
                    </w:rPr>
                    <w:t>P</w:t>
                  </w:r>
                  <w:r w:rsidR="00304CDC">
                    <w:rPr>
                      <w:rStyle w:val="Text-BodyHeadingChar"/>
                      <w:b w:val="0"/>
                      <w:bCs w:val="0"/>
                      <w:color w:val="auto"/>
                      <w:spacing w:val="0"/>
                      <w:lang w:val="en-NZ"/>
                    </w:rPr>
                    <w:t xml:space="preserve"> on service </w:t>
                  </w:r>
                  <w:r w:rsidR="00BF1596">
                    <w:rPr>
                      <w:rStyle w:val="Text-BodyHeadingChar"/>
                      <w:b w:val="0"/>
                      <w:bCs w:val="0"/>
                      <w:color w:val="auto"/>
                      <w:spacing w:val="0"/>
                      <w:lang w:val="en-NZ"/>
                    </w:rPr>
                    <w:t>users</w:t>
                  </w:r>
                  <w:r w:rsidR="00304CDC">
                    <w:rPr>
                      <w:rStyle w:val="Text-BodyHeadingChar"/>
                      <w:b w:val="0"/>
                      <w:bCs w:val="0"/>
                      <w:color w:val="auto"/>
                      <w:spacing w:val="0"/>
                      <w:lang w:val="en-NZ"/>
                    </w:rPr>
                    <w:t xml:space="preserve"> are limited, due to the small sample size </w:t>
                  </w:r>
                  <w:r w:rsidR="00CA075B">
                    <w:rPr>
                      <w:rStyle w:val="Text-BodyHeadingChar"/>
                      <w:b w:val="0"/>
                      <w:bCs w:val="0"/>
                      <w:color w:val="auto"/>
                      <w:spacing w:val="0"/>
                      <w:lang w:val="en-NZ"/>
                    </w:rPr>
                    <w:t>(n=&lt;10)</w:t>
                  </w:r>
                  <w:r w:rsidR="00304CDC">
                    <w:rPr>
                      <w:rStyle w:val="Text-BodyHeadingChar"/>
                      <w:b w:val="0"/>
                      <w:bCs w:val="0"/>
                      <w:color w:val="auto"/>
                      <w:spacing w:val="0"/>
                      <w:lang w:val="en-NZ"/>
                    </w:rPr>
                    <w:t xml:space="preserve"> of </w:t>
                  </w:r>
                  <w:r w:rsidR="00BF1596">
                    <w:rPr>
                      <w:rStyle w:val="Text-BodyHeadingChar"/>
                      <w:b w:val="0"/>
                      <w:bCs w:val="0"/>
                      <w:color w:val="auto"/>
                      <w:spacing w:val="0"/>
                      <w:lang w:val="en-NZ"/>
                    </w:rPr>
                    <w:t>service users</w:t>
                  </w:r>
                  <w:r w:rsidR="00304CDC">
                    <w:rPr>
                      <w:rStyle w:val="Text-BodyHeadingChar"/>
                      <w:b w:val="0"/>
                      <w:bCs w:val="0"/>
                      <w:color w:val="auto"/>
                      <w:spacing w:val="0"/>
                      <w:lang w:val="en-NZ"/>
                    </w:rPr>
                    <w:t xml:space="preserve"> involved within the evaluation. </w:t>
                  </w:r>
                </w:p>
                <w:p w14:paraId="22887136" w14:textId="70AA95DC" w:rsidR="00850A1C" w:rsidRDefault="00960D50" w:rsidP="000F4F42">
                  <w:pPr>
                    <w:pStyle w:val="Text"/>
                    <w:rPr>
                      <w:rStyle w:val="Text-BodyHeadingChar"/>
                      <w:b w:val="0"/>
                      <w:bCs w:val="0"/>
                      <w:color w:val="auto"/>
                      <w:spacing w:val="0"/>
                      <w:lang w:val="en-NZ"/>
                    </w:rPr>
                  </w:pPr>
                  <w:r>
                    <w:rPr>
                      <w:rStyle w:val="Text-BodyHeadingChar"/>
                      <w:b w:val="0"/>
                      <w:bCs w:val="0"/>
                      <w:color w:val="auto"/>
                      <w:spacing w:val="0"/>
                      <w:lang w:val="en-NZ"/>
                    </w:rPr>
                    <w:lastRenderedPageBreak/>
                    <w:t xml:space="preserve">A common theme for </w:t>
                  </w:r>
                  <w:r w:rsidR="004A1D57">
                    <w:rPr>
                      <w:rStyle w:val="Text-BodyHeadingChar"/>
                      <w:b w:val="0"/>
                      <w:bCs w:val="0"/>
                      <w:color w:val="auto"/>
                      <w:spacing w:val="0"/>
                      <w:lang w:val="en-NZ"/>
                    </w:rPr>
                    <w:t xml:space="preserve">service users was </w:t>
                  </w:r>
                  <w:r w:rsidR="00403C99">
                    <w:rPr>
                      <w:rStyle w:val="Text-BodyHeadingChar"/>
                      <w:b w:val="0"/>
                      <w:bCs w:val="0"/>
                      <w:color w:val="auto"/>
                      <w:spacing w:val="0"/>
                      <w:lang w:val="en-NZ"/>
                    </w:rPr>
                    <w:t xml:space="preserve">that the MBCP </w:t>
                  </w:r>
                  <w:r w:rsidR="005E236E">
                    <w:rPr>
                      <w:rStyle w:val="Text-BodyHeadingChar"/>
                      <w:b w:val="0"/>
                      <w:bCs w:val="0"/>
                      <w:color w:val="auto"/>
                      <w:spacing w:val="0"/>
                      <w:lang w:val="en-NZ"/>
                    </w:rPr>
                    <w:t xml:space="preserve">provided </w:t>
                  </w:r>
                  <w:r w:rsidR="00403C99">
                    <w:rPr>
                      <w:rStyle w:val="Text-BodyHeadingChar"/>
                      <w:b w:val="0"/>
                      <w:bCs w:val="0"/>
                      <w:color w:val="auto"/>
                      <w:spacing w:val="0"/>
                      <w:lang w:val="en-NZ"/>
                    </w:rPr>
                    <w:t xml:space="preserve">them </w:t>
                  </w:r>
                  <w:r w:rsidR="00D92BE7">
                    <w:rPr>
                      <w:rStyle w:val="Text-BodyHeadingChar"/>
                      <w:b w:val="0"/>
                      <w:bCs w:val="0"/>
                      <w:color w:val="auto"/>
                      <w:spacing w:val="0"/>
                      <w:lang w:val="en-NZ"/>
                    </w:rPr>
                    <w:t>a safe place</w:t>
                  </w:r>
                  <w:r w:rsidR="00403C99">
                    <w:rPr>
                      <w:rStyle w:val="Text-BodyHeadingChar"/>
                      <w:b w:val="0"/>
                      <w:bCs w:val="0"/>
                      <w:color w:val="auto"/>
                      <w:spacing w:val="0"/>
                      <w:lang w:val="en-NZ"/>
                    </w:rPr>
                    <w:t xml:space="preserve"> to discuss</w:t>
                  </w:r>
                  <w:r w:rsidR="001F1E3C">
                    <w:rPr>
                      <w:rStyle w:val="Text-BodyHeadingChar"/>
                      <w:b w:val="0"/>
                      <w:bCs w:val="0"/>
                      <w:color w:val="auto"/>
                      <w:spacing w:val="0"/>
                      <w:lang w:val="en-NZ"/>
                    </w:rPr>
                    <w:t xml:space="preserve"> their e</w:t>
                  </w:r>
                  <w:r w:rsidR="0070495F">
                    <w:rPr>
                      <w:rStyle w:val="Text-BodyHeadingChar"/>
                      <w:b w:val="0"/>
                      <w:bCs w:val="0"/>
                      <w:color w:val="auto"/>
                      <w:spacing w:val="0"/>
                      <w:lang w:val="en-NZ"/>
                    </w:rPr>
                    <w:t xml:space="preserve">motions and </w:t>
                  </w:r>
                  <w:r w:rsidR="001F1E3C">
                    <w:rPr>
                      <w:rStyle w:val="Text-BodyHeadingChar"/>
                      <w:b w:val="0"/>
                      <w:bCs w:val="0"/>
                      <w:color w:val="auto"/>
                      <w:spacing w:val="0"/>
                      <w:lang w:val="en-NZ"/>
                    </w:rPr>
                    <w:t>experiences</w:t>
                  </w:r>
                  <w:r w:rsidR="00F33413">
                    <w:rPr>
                      <w:rStyle w:val="Text-BodyHeadingChar"/>
                      <w:b w:val="0"/>
                      <w:bCs w:val="0"/>
                      <w:color w:val="auto"/>
                      <w:spacing w:val="0"/>
                      <w:lang w:val="en-NZ"/>
                    </w:rPr>
                    <w:t>. These collaborative discussions</w:t>
                  </w:r>
                  <w:r w:rsidR="001F1E3C">
                    <w:rPr>
                      <w:rStyle w:val="Text-BodyHeadingChar"/>
                      <w:b w:val="0"/>
                      <w:bCs w:val="0"/>
                      <w:color w:val="auto"/>
                      <w:spacing w:val="0"/>
                      <w:lang w:val="en-NZ"/>
                    </w:rPr>
                    <w:t xml:space="preserve"> with </w:t>
                  </w:r>
                  <w:r w:rsidR="00F33413">
                    <w:rPr>
                      <w:rStyle w:val="Text-BodyHeadingChar"/>
                      <w:b w:val="0"/>
                      <w:bCs w:val="0"/>
                      <w:color w:val="auto"/>
                      <w:spacing w:val="0"/>
                      <w:lang w:val="en-NZ"/>
                    </w:rPr>
                    <w:t xml:space="preserve">other </w:t>
                  </w:r>
                  <w:r w:rsidR="00731787">
                    <w:rPr>
                      <w:rStyle w:val="Text-BodyHeadingChar"/>
                      <w:b w:val="0"/>
                      <w:bCs w:val="0"/>
                      <w:color w:val="auto"/>
                      <w:spacing w:val="0"/>
                      <w:lang w:val="en-NZ"/>
                    </w:rPr>
                    <w:t xml:space="preserve">participants </w:t>
                  </w:r>
                  <w:r w:rsidR="00F33413">
                    <w:rPr>
                      <w:rStyle w:val="Text-BodyHeadingChar"/>
                      <w:b w:val="0"/>
                      <w:bCs w:val="0"/>
                      <w:color w:val="auto"/>
                      <w:spacing w:val="0"/>
                      <w:lang w:val="en-NZ"/>
                    </w:rPr>
                    <w:t>and facilitators were key to</w:t>
                  </w:r>
                  <w:r w:rsidR="00850A1C">
                    <w:rPr>
                      <w:rStyle w:val="Text-BodyHeadingChar"/>
                      <w:b w:val="0"/>
                      <w:bCs w:val="0"/>
                      <w:color w:val="auto"/>
                      <w:spacing w:val="0"/>
                      <w:lang w:val="en-NZ"/>
                    </w:rPr>
                    <w:t xml:space="preserve"> enabling a deeper understanding of their behaviours. </w:t>
                  </w:r>
                  <w:r w:rsidR="00D92BE7">
                    <w:rPr>
                      <w:rStyle w:val="Text-BodyHeadingChar"/>
                      <w:b w:val="0"/>
                      <w:bCs w:val="0"/>
                      <w:color w:val="auto"/>
                      <w:spacing w:val="0"/>
                      <w:lang w:val="en-NZ"/>
                    </w:rPr>
                    <w:t>In these discussions, service users reflected</w:t>
                  </w:r>
                  <w:r w:rsidR="0070495F">
                    <w:rPr>
                      <w:rStyle w:val="Text-BodyHeadingChar"/>
                      <w:b w:val="0"/>
                      <w:bCs w:val="0"/>
                      <w:color w:val="auto"/>
                      <w:spacing w:val="0"/>
                      <w:lang w:val="en-NZ"/>
                    </w:rPr>
                    <w:t xml:space="preserve"> </w:t>
                  </w:r>
                  <w:r w:rsidR="005E236E">
                    <w:rPr>
                      <w:rStyle w:val="Text-BodyHeadingChar"/>
                      <w:b w:val="0"/>
                      <w:bCs w:val="0"/>
                      <w:color w:val="auto"/>
                      <w:spacing w:val="0"/>
                      <w:lang w:val="en-NZ"/>
                    </w:rPr>
                    <w:t xml:space="preserve">on </w:t>
                  </w:r>
                  <w:r w:rsidR="0070495F">
                    <w:rPr>
                      <w:rStyle w:val="Text-BodyHeadingChar"/>
                      <w:b w:val="0"/>
                      <w:bCs w:val="0"/>
                      <w:color w:val="auto"/>
                      <w:spacing w:val="0"/>
                      <w:lang w:val="en-NZ"/>
                    </w:rPr>
                    <w:t xml:space="preserve">their behaviours, and </w:t>
                  </w:r>
                  <w:r w:rsidR="00443236">
                    <w:rPr>
                      <w:rStyle w:val="Text-BodyHeadingChar"/>
                      <w:b w:val="0"/>
                      <w:bCs w:val="0"/>
                      <w:color w:val="auto"/>
                      <w:spacing w:val="0"/>
                      <w:lang w:val="en-NZ"/>
                    </w:rPr>
                    <w:t xml:space="preserve">their life experiences to take accountability </w:t>
                  </w:r>
                  <w:r w:rsidR="005E236E">
                    <w:rPr>
                      <w:rStyle w:val="Text-BodyHeadingChar"/>
                      <w:b w:val="0"/>
                      <w:bCs w:val="0"/>
                      <w:color w:val="auto"/>
                      <w:spacing w:val="0"/>
                      <w:lang w:val="en-NZ"/>
                    </w:rPr>
                    <w:t xml:space="preserve">for </w:t>
                  </w:r>
                  <w:r w:rsidR="001042FB">
                    <w:rPr>
                      <w:rStyle w:val="Text-BodyHeadingChar"/>
                      <w:b w:val="0"/>
                      <w:bCs w:val="0"/>
                      <w:color w:val="auto"/>
                      <w:spacing w:val="0"/>
                      <w:lang w:val="en-NZ"/>
                    </w:rPr>
                    <w:t xml:space="preserve">their behaviour. </w:t>
                  </w:r>
                </w:p>
                <w:p w14:paraId="12299113" w14:textId="706A1215" w:rsidR="00850A1C" w:rsidRPr="001B1CDA" w:rsidRDefault="00850A1C" w:rsidP="00850A1C">
                  <w:pPr>
                    <w:pBdr>
                      <w:left w:val="single" w:sz="18" w:space="4" w:color="78B800" w:themeColor="accent1"/>
                    </w:pBdr>
                    <w:tabs>
                      <w:tab w:val="left" w:pos="8080"/>
                    </w:tabs>
                    <w:spacing w:after="0"/>
                    <w:ind w:left="851" w:right="949"/>
                    <w:rPr>
                      <w:i/>
                    </w:rPr>
                  </w:pPr>
                  <w:r w:rsidRPr="008E1B83">
                    <w:rPr>
                      <w:i/>
                    </w:rPr>
                    <w:t xml:space="preserve">I participate in the </w:t>
                  </w:r>
                  <w:r w:rsidR="00C86BBE">
                    <w:rPr>
                      <w:i/>
                    </w:rPr>
                    <w:t>[MBCP]</w:t>
                  </w:r>
                  <w:r w:rsidR="0059791A">
                    <w:rPr>
                      <w:i/>
                    </w:rPr>
                    <w:t xml:space="preserve"> [</w:t>
                  </w:r>
                  <w:r w:rsidRPr="008E1B83">
                    <w:rPr>
                      <w:i/>
                    </w:rPr>
                    <w:t>…</w:t>
                  </w:r>
                  <w:r w:rsidR="0059791A">
                    <w:rPr>
                      <w:i/>
                    </w:rPr>
                    <w:t>]</w:t>
                  </w:r>
                  <w:r w:rsidRPr="008E1B83">
                    <w:rPr>
                      <w:i/>
                    </w:rPr>
                    <w:t xml:space="preserve"> taking responsibility course and</w:t>
                  </w:r>
                  <w:r w:rsidR="0059791A">
                    <w:rPr>
                      <w:i/>
                    </w:rPr>
                    <w:t xml:space="preserve"> [</w:t>
                  </w:r>
                  <w:r w:rsidRPr="008E1B83">
                    <w:rPr>
                      <w:i/>
                    </w:rPr>
                    <w:t>…</w:t>
                  </w:r>
                  <w:r w:rsidR="0059791A">
                    <w:rPr>
                      <w:i/>
                    </w:rPr>
                    <w:t>]</w:t>
                  </w:r>
                  <w:r w:rsidRPr="008E1B83">
                    <w:rPr>
                      <w:i/>
                    </w:rPr>
                    <w:t xml:space="preserve"> It's about being able to open up about toxic masculinity and the way violence and anger is portrayed in relationships</w:t>
                  </w:r>
                  <w:r w:rsidR="0059791A">
                    <w:rPr>
                      <w:i/>
                    </w:rPr>
                    <w:t xml:space="preserve"> [</w:t>
                  </w:r>
                  <w:r w:rsidRPr="008E1B83">
                    <w:rPr>
                      <w:i/>
                    </w:rPr>
                    <w:t>…</w:t>
                  </w:r>
                  <w:r w:rsidR="0059791A">
                    <w:rPr>
                      <w:i/>
                    </w:rPr>
                    <w:t>]</w:t>
                  </w:r>
                  <w:r w:rsidRPr="008E1B83">
                    <w:rPr>
                      <w:i/>
                    </w:rPr>
                    <w:t xml:space="preserve"> being able to actually have a safe place to talk about things, learn things, see other people's opinions and not feel judged, or you could be emotional and like actually feel</w:t>
                  </w:r>
                  <w:r w:rsidR="0059791A">
                    <w:rPr>
                      <w:i/>
                    </w:rPr>
                    <w:t xml:space="preserve"> [</w:t>
                  </w:r>
                  <w:r w:rsidRPr="008E1B83">
                    <w:rPr>
                      <w:i/>
                    </w:rPr>
                    <w:t>…</w:t>
                  </w:r>
                  <w:r w:rsidR="0059791A">
                    <w:rPr>
                      <w:i/>
                    </w:rPr>
                    <w:t xml:space="preserve">] </w:t>
                  </w:r>
                  <w:r w:rsidRPr="008E1B83">
                    <w:rPr>
                      <w:i/>
                    </w:rPr>
                    <w:t>it helps everyone out in their own way and there's not many things that I've ever experienced that are similar to that in the sense that it's usually like cou</w:t>
                  </w:r>
                  <w:r w:rsidR="00443236" w:rsidRPr="008E1B83">
                    <w:rPr>
                      <w:i/>
                    </w:rPr>
                    <w:t>nsellors</w:t>
                  </w:r>
                  <w:r w:rsidRPr="008E1B83">
                    <w:rPr>
                      <w:i/>
                    </w:rPr>
                    <w:t xml:space="preserve"> or there's not usually other people that you can relate to there and then hear other stories</w:t>
                  </w:r>
                  <w:r w:rsidRPr="008E1B83">
                    <w:rPr>
                      <w:i/>
                      <w:noProof/>
                    </w:rPr>
                    <w:drawing>
                      <wp:anchor distT="0" distB="0" distL="114300" distR="114300" simplePos="0" relativeHeight="251658295" behindDoc="0" locked="1" layoutInCell="1" allowOverlap="1" wp14:anchorId="5FAF3422" wp14:editId="4DC8DCB9">
                        <wp:simplePos x="0" y="0"/>
                        <wp:positionH relativeFrom="column">
                          <wp:posOffset>0</wp:posOffset>
                        </wp:positionH>
                        <wp:positionV relativeFrom="paragraph">
                          <wp:posOffset>0</wp:posOffset>
                        </wp:positionV>
                        <wp:extent cx="384810" cy="320040"/>
                        <wp:effectExtent l="0" t="0" r="0" b="3810"/>
                        <wp:wrapNone/>
                        <wp:docPr id="1916742941" name="Graphic 1916742941" descr="P2313#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742941" name="Graphic 1916742941" descr="P2313#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24027">
                    <w:t xml:space="preserve"> </w:t>
                  </w:r>
                  <w:r w:rsidR="0059791A">
                    <w:rPr>
                      <w:i/>
                    </w:rPr>
                    <w:t>–</w:t>
                  </w:r>
                  <w:r>
                    <w:t xml:space="preserve"> </w:t>
                  </w:r>
                  <w:r>
                    <w:rPr>
                      <w:b/>
                      <w:bCs/>
                      <w:i/>
                      <w:iCs/>
                    </w:rPr>
                    <w:t>MBCP s</w:t>
                  </w:r>
                  <w:r w:rsidRPr="002E7992">
                    <w:rPr>
                      <w:b/>
                      <w:bCs/>
                      <w:i/>
                      <w:iCs/>
                    </w:rPr>
                    <w:t xml:space="preserve">ervice </w:t>
                  </w:r>
                  <w:r>
                    <w:rPr>
                      <w:b/>
                      <w:bCs/>
                      <w:i/>
                      <w:iCs/>
                    </w:rPr>
                    <w:t>user</w:t>
                  </w:r>
                </w:p>
                <w:p w14:paraId="0F8F78E7" w14:textId="54808CAF" w:rsidR="00850A1C" w:rsidRDefault="00850A1C" w:rsidP="000F4F42">
                  <w:pPr>
                    <w:pStyle w:val="Text"/>
                    <w:rPr>
                      <w:rStyle w:val="Text-BodyHeadingChar"/>
                      <w:b w:val="0"/>
                      <w:bCs w:val="0"/>
                      <w:color w:val="auto"/>
                      <w:spacing w:val="0"/>
                      <w:lang w:val="en-NZ"/>
                    </w:rPr>
                  </w:pPr>
                </w:p>
                <w:p w14:paraId="55F5661A" w14:textId="1DE95DD1" w:rsidR="001042FB" w:rsidRDefault="00526F0B" w:rsidP="000F4F42">
                  <w:pPr>
                    <w:pStyle w:val="Text"/>
                    <w:rPr>
                      <w:rStyle w:val="Text-BodyHeadingChar"/>
                      <w:b w:val="0"/>
                      <w:bCs w:val="0"/>
                      <w:color w:val="auto"/>
                      <w:spacing w:val="0"/>
                      <w:lang w:val="en-NZ"/>
                    </w:rPr>
                  </w:pPr>
                  <w:r>
                    <w:rPr>
                      <w:rStyle w:val="Text-BodyHeadingChar"/>
                      <w:b w:val="0"/>
                      <w:bCs w:val="0"/>
                      <w:color w:val="auto"/>
                      <w:spacing w:val="0"/>
                      <w:lang w:val="en-NZ"/>
                    </w:rPr>
                    <w:t xml:space="preserve">There </w:t>
                  </w:r>
                  <w:r w:rsidR="00017AE4">
                    <w:rPr>
                      <w:rStyle w:val="Text-BodyHeadingChar"/>
                      <w:b w:val="0"/>
                      <w:bCs w:val="0"/>
                      <w:color w:val="auto"/>
                      <w:spacing w:val="0"/>
                      <w:lang w:val="en-NZ"/>
                    </w:rPr>
                    <w:t>were</w:t>
                  </w:r>
                  <w:r>
                    <w:rPr>
                      <w:rStyle w:val="Text-BodyHeadingChar"/>
                      <w:b w:val="0"/>
                      <w:bCs w:val="0"/>
                      <w:color w:val="auto"/>
                      <w:spacing w:val="0"/>
                      <w:lang w:val="en-NZ"/>
                    </w:rPr>
                    <w:t xml:space="preserve"> positive indications of increased knowledge and skills in reducing violent behaviour </w:t>
                  </w:r>
                  <w:r w:rsidR="00483CDE">
                    <w:rPr>
                      <w:rStyle w:val="Text-BodyHeadingChar"/>
                      <w:b w:val="0"/>
                      <w:bCs w:val="0"/>
                      <w:color w:val="auto"/>
                      <w:spacing w:val="0"/>
                      <w:lang w:val="en-NZ"/>
                    </w:rPr>
                    <w:t xml:space="preserve">amongst </w:t>
                  </w:r>
                  <w:r>
                    <w:rPr>
                      <w:rStyle w:val="Text-BodyHeadingChar"/>
                      <w:b w:val="0"/>
                      <w:bCs w:val="0"/>
                      <w:color w:val="auto"/>
                      <w:spacing w:val="0"/>
                      <w:lang w:val="en-NZ"/>
                    </w:rPr>
                    <w:t xml:space="preserve">men who accessed MBCP. </w:t>
                  </w:r>
                  <w:r w:rsidR="00483CDE">
                    <w:rPr>
                      <w:rStyle w:val="Text-BodyHeadingChar"/>
                      <w:b w:val="0"/>
                      <w:bCs w:val="0"/>
                      <w:color w:val="auto"/>
                      <w:spacing w:val="0"/>
                      <w:lang w:val="en-NZ"/>
                    </w:rPr>
                    <w:t>S</w:t>
                  </w:r>
                  <w:r w:rsidR="00577F6F">
                    <w:rPr>
                      <w:rStyle w:val="Text-BodyHeadingChar"/>
                      <w:b w:val="0"/>
                      <w:bCs w:val="0"/>
                      <w:color w:val="auto"/>
                      <w:spacing w:val="0"/>
                      <w:lang w:val="en-NZ"/>
                    </w:rPr>
                    <w:t>ome s</w:t>
                  </w:r>
                  <w:r w:rsidR="00483CDE">
                    <w:rPr>
                      <w:rStyle w:val="Text-BodyHeadingChar"/>
                      <w:b w:val="0"/>
                      <w:bCs w:val="0"/>
                      <w:color w:val="auto"/>
                      <w:spacing w:val="0"/>
                      <w:lang w:val="en-NZ"/>
                    </w:rPr>
                    <w:t>ervice users commonly report improved c</w:t>
                  </w:r>
                  <w:r>
                    <w:rPr>
                      <w:rStyle w:val="Text-BodyHeadingChar"/>
                      <w:b w:val="0"/>
                      <w:bCs w:val="0"/>
                      <w:color w:val="auto"/>
                      <w:spacing w:val="0"/>
                      <w:lang w:val="en-NZ"/>
                    </w:rPr>
                    <w:t xml:space="preserve">ommunication and conflict resolution techniques, such as </w:t>
                  </w:r>
                  <w:r w:rsidR="004A1AE1">
                    <w:rPr>
                      <w:rStyle w:val="Text-BodyHeadingChar"/>
                      <w:b w:val="0"/>
                      <w:bCs w:val="0"/>
                      <w:color w:val="auto"/>
                      <w:spacing w:val="0"/>
                      <w:lang w:val="en-NZ"/>
                    </w:rPr>
                    <w:t>the correct use of</w:t>
                  </w:r>
                  <w:r>
                    <w:rPr>
                      <w:rStyle w:val="Text-BodyHeadingChar"/>
                      <w:b w:val="0"/>
                      <w:bCs w:val="0"/>
                      <w:color w:val="auto"/>
                      <w:spacing w:val="0"/>
                      <w:lang w:val="en-NZ"/>
                    </w:rPr>
                    <w:t xml:space="preserve"> </w:t>
                  </w:r>
                  <w:r w:rsidR="00017AE4">
                    <w:rPr>
                      <w:rStyle w:val="Text-BodyHeadingChar"/>
                      <w:b w:val="0"/>
                      <w:bCs w:val="0"/>
                      <w:color w:val="auto"/>
                      <w:spacing w:val="0"/>
                      <w:lang w:val="en-NZ"/>
                    </w:rPr>
                    <w:t xml:space="preserve">space, </w:t>
                  </w:r>
                  <w:r w:rsidR="008C7404">
                    <w:rPr>
                      <w:rStyle w:val="Text-BodyHeadingChar"/>
                      <w:b w:val="0"/>
                      <w:bCs w:val="0"/>
                      <w:color w:val="auto"/>
                      <w:spacing w:val="0"/>
                      <w:lang w:val="en-NZ"/>
                    </w:rPr>
                    <w:t xml:space="preserve">and </w:t>
                  </w:r>
                  <w:r w:rsidR="00017AE4">
                    <w:rPr>
                      <w:rStyle w:val="Text-BodyHeadingChar"/>
                      <w:b w:val="0"/>
                      <w:bCs w:val="0"/>
                      <w:color w:val="auto"/>
                      <w:spacing w:val="0"/>
                      <w:lang w:val="en-NZ"/>
                    </w:rPr>
                    <w:t>building empathy and understanding the perspectives of others.</w:t>
                  </w:r>
                </w:p>
                <w:p w14:paraId="76AB68ED" w14:textId="62496E31" w:rsidR="00824856" w:rsidRDefault="00824856" w:rsidP="000F4F42">
                  <w:pPr>
                    <w:pStyle w:val="Text"/>
                    <w:rPr>
                      <w:rStyle w:val="Text-BodyHeadingChar"/>
                      <w:b w:val="0"/>
                      <w:bCs w:val="0"/>
                      <w:color w:val="auto"/>
                      <w:spacing w:val="0"/>
                      <w:lang w:val="en-NZ"/>
                    </w:rPr>
                  </w:pPr>
                  <w:r w:rsidRPr="006376E2">
                    <w:t>The survey sample size for MCBP service user respondents (</w:t>
                  </w:r>
                  <w:r w:rsidR="0074717D">
                    <w:t>under 10</w:t>
                  </w:r>
                  <w:r w:rsidRPr="006376E2">
                    <w:t xml:space="preserve">) is low and so is not generalisable. </w:t>
                  </w:r>
                  <w:r w:rsidR="00611B51" w:rsidRPr="006376E2">
                    <w:t>R</w:t>
                  </w:r>
                  <w:r w:rsidR="00CE20D9" w:rsidRPr="006376E2">
                    <w:t>espondents were mixed in their feedback. Most agreed the program had increased their knowledge</w:t>
                  </w:r>
                  <w:r w:rsidR="00FA530E" w:rsidRPr="006376E2">
                    <w:t xml:space="preserve"> of how to </w:t>
                  </w:r>
                  <w:r w:rsidR="00CE20D9" w:rsidRPr="006376E2">
                    <w:t>reduce violent and abusive behaviours</w:t>
                  </w:r>
                  <w:r w:rsidR="00FA530E" w:rsidRPr="006376E2">
                    <w:t>, access support, and apply strategies accordingly, although</w:t>
                  </w:r>
                  <w:r w:rsidR="00611B51" w:rsidRPr="006376E2">
                    <w:t xml:space="preserve"> one disagreed. No</w:t>
                  </w:r>
                  <w:r w:rsidR="00611B51" w:rsidRPr="006376E2" w:rsidDel="00D06D86">
                    <w:t xml:space="preserve"> </w:t>
                  </w:r>
                  <w:r w:rsidR="00D06D86">
                    <w:t>detail</w:t>
                  </w:r>
                  <w:r w:rsidR="00611B51" w:rsidRPr="006376E2">
                    <w:t xml:space="preserve"> was given in open-text responses to explain this.</w:t>
                  </w:r>
                </w:p>
                <w:p w14:paraId="01000F54" w14:textId="57823859" w:rsidR="00EE5579" w:rsidRDefault="00EE5579" w:rsidP="000F4F42">
                  <w:pPr>
                    <w:pStyle w:val="Text"/>
                    <w:rPr>
                      <w:lang w:val="en-US"/>
                    </w:rPr>
                  </w:pPr>
                  <w:r w:rsidRPr="00C45868">
                    <w:rPr>
                      <w:lang w:val="en-US"/>
                    </w:rPr>
                    <w:t xml:space="preserve">Relationships Australia, a large provider of the FaRS and SFVS programs, have noted positive impacts on their </w:t>
                  </w:r>
                  <w:r w:rsidR="00E614D3">
                    <w:rPr>
                      <w:lang w:val="en-US"/>
                    </w:rPr>
                    <w:t xml:space="preserve">service </w:t>
                  </w:r>
                  <w:r w:rsidR="003925E9">
                    <w:rPr>
                      <w:lang w:val="en-US"/>
                    </w:rPr>
                    <w:t>users.</w:t>
                  </w:r>
                  <w:r w:rsidRPr="00C45868">
                    <w:rPr>
                      <w:lang w:val="en-US"/>
                    </w:rPr>
                    <w:t xml:space="preserve"> Relationships Australia noted that demand for MBCPs had increased, with delivery to 694 participants in 2022-2023 </w:t>
                  </w:r>
                  <w:r w:rsidRPr="00C45868">
                    <w:rPr>
                      <w:lang w:val="en-US"/>
                    </w:rPr>
                    <w:fldChar w:fldCharType="begin"/>
                  </w:r>
                  <w:r w:rsidR="00E41D03">
                    <w:rPr>
                      <w:lang w:val="en-US"/>
                    </w:rPr>
                    <w:instrText xml:space="preserve"> ADDIN ZOTERO_ITEM CSL_CITATION {"citationID":"Np74z9r4","properties":{"formattedCitation":"(Relationships Australia, 2023a)","plainCitation":"(Relationships Australia, 2023a)","noteIndex":0},"citationItems":[{"id":4685,"uris":["http://zotero.org/groups/5691188/items/USLQ53GD"],"itemData":{"id":4685,"type":"document","publisher":"Relationships Australia","title":"Equality - Relationships Australia Annual Report 2022 - 23","author":[{"family":"Relationships Australia","given":""}],"issued":{"date-parts":[["2023",9,13]]}}}],"schema":"https://github.com/citation-style-language/schema/raw/master/csl-citation.json"} </w:instrText>
                  </w:r>
                  <w:r w:rsidRPr="00C45868">
                    <w:rPr>
                      <w:lang w:val="en-US"/>
                    </w:rPr>
                    <w:fldChar w:fldCharType="separate"/>
                  </w:r>
                  <w:r>
                    <w:rPr>
                      <w:rFonts w:ascii="Arial" w:hAnsi="Arial" w:cs="Arial"/>
                      <w:lang w:val="en-US"/>
                    </w:rPr>
                    <w:t>(Relationships Australia, 2023a)</w:t>
                  </w:r>
                  <w:r w:rsidRPr="00C45868">
                    <w:rPr>
                      <w:lang w:val="en-US"/>
                    </w:rPr>
                    <w:fldChar w:fldCharType="end"/>
                  </w:r>
                  <w:r w:rsidRPr="00C45868">
                    <w:rPr>
                      <w:lang w:val="en-US"/>
                    </w:rPr>
                    <w:t xml:space="preserve">. They </w:t>
                  </w:r>
                  <w:r w:rsidR="004F2D1C">
                    <w:rPr>
                      <w:lang w:val="en-US"/>
                    </w:rPr>
                    <w:t>suggest</w:t>
                  </w:r>
                  <w:r w:rsidRPr="00C45868">
                    <w:rPr>
                      <w:lang w:val="en-US"/>
                    </w:rPr>
                    <w:t xml:space="preserve"> that this increase is due to the increased focus on people who use violence taking responsibility for their behaviour. Relationships Australia</w:t>
                  </w:r>
                  <w:r w:rsidRPr="00C45868" w:rsidDel="00E26CEC">
                    <w:rPr>
                      <w:lang w:val="en-US"/>
                    </w:rPr>
                    <w:t xml:space="preserve"> </w:t>
                  </w:r>
                  <w:r w:rsidR="00E26CEC">
                    <w:rPr>
                      <w:lang w:val="en-US"/>
                    </w:rPr>
                    <w:t>has</w:t>
                  </w:r>
                  <w:r w:rsidRPr="00C45868">
                    <w:rPr>
                      <w:lang w:val="en-US"/>
                    </w:rPr>
                    <w:t xml:space="preserve"> also altered their MBCPs to have continual, rolling intake for groups, rather than ‘closed’ groups. This allows people experiencing violence to have earlier access to the Family Safety Contact support service, supporting their safety and reducing risk of harm</w:t>
                  </w:r>
                  <w:r w:rsidR="00210F6B">
                    <w:rPr>
                      <w:lang w:val="en-US"/>
                    </w:rPr>
                    <w:t xml:space="preserve">. </w:t>
                  </w:r>
                </w:p>
                <w:p w14:paraId="075A84BF" w14:textId="324DC7DF" w:rsidR="00B14474" w:rsidRDefault="00210F6B" w:rsidP="008A341B">
                  <w:pPr>
                    <w:pStyle w:val="Text"/>
                    <w:rPr>
                      <w:lang w:val="en-US"/>
                    </w:rPr>
                    <w:sectPr w:rsidR="00B14474" w:rsidSect="005A23BE">
                      <w:footerReference w:type="default" r:id="rId68"/>
                      <w:pgSz w:w="11909" w:h="16834" w:code="9"/>
                      <w:pgMar w:top="1440" w:right="1440" w:bottom="1440" w:left="1440" w:header="720" w:footer="720" w:gutter="0"/>
                      <w:cols w:space="720"/>
                      <w:docGrid w:linePitch="360"/>
                    </w:sectPr>
                  </w:pPr>
                  <w:r w:rsidRPr="00C45868">
                    <w:rPr>
                      <w:lang w:val="en-US"/>
                    </w:rPr>
                    <w:t xml:space="preserve">An evaluation of the </w:t>
                  </w:r>
                  <w:r w:rsidR="00611A3A">
                    <w:rPr>
                      <w:lang w:val="en-US"/>
                    </w:rPr>
                    <w:t>‘</w:t>
                  </w:r>
                  <w:r w:rsidRPr="00C45868">
                    <w:rPr>
                      <w:lang w:val="en-US"/>
                    </w:rPr>
                    <w:t>Choose Change</w:t>
                  </w:r>
                  <w:r w:rsidR="00611A3A">
                    <w:rPr>
                      <w:lang w:val="en-US"/>
                    </w:rPr>
                    <w:t>’</w:t>
                  </w:r>
                  <w:r w:rsidRPr="00C45868">
                    <w:rPr>
                      <w:lang w:val="en-US"/>
                    </w:rPr>
                    <w:t xml:space="preserve"> Early Intervention Family and Domestic Violence Program, developed by Communicare with funding from the Department, indicated promising effectiveness in reducing family violence-related behaviours among participants, with positive impacts on self-awareness, accountability, and interpersonal skills. </w:t>
                  </w:r>
                  <w:r w:rsidR="006C7306">
                    <w:rPr>
                      <w:lang w:val="en-US"/>
                    </w:rPr>
                    <w:t xml:space="preserve">The Choose Change evaluation indicated that </w:t>
                  </w:r>
                  <w:r w:rsidRPr="00C45868">
                    <w:rPr>
                      <w:lang w:val="en-US"/>
                    </w:rPr>
                    <w:t xml:space="preserve">Change Star assessments, an evaluation tool to measure </w:t>
                  </w:r>
                  <w:r w:rsidR="001D1403">
                    <w:rPr>
                      <w:lang w:val="en-US"/>
                    </w:rPr>
                    <w:t>service user</w:t>
                  </w:r>
                  <w:r w:rsidRPr="00C45868">
                    <w:rPr>
                      <w:lang w:val="en-US"/>
                    </w:rPr>
                    <w:t xml:space="preserve"> change in knowledge, attitudes and behaviours, showed that participants generally improved in areas such as taking responsibility, communication, and emotional regulation, with reported increases in empathy and recognition of the impact of their actions on others. Police data also pointed to a decrease in family violence-related police contacts among </w:t>
                  </w:r>
                  <w:r w:rsidRPr="00C45868">
                    <w:rPr>
                      <w:lang w:val="en-US"/>
                    </w:rPr>
                    <w:lastRenderedPageBreak/>
                    <w:t xml:space="preserve">participants, with a majority demonstrating reduced engagement in violent behaviours after entering the program. Additionally, stakeholders and participants reported high satisfaction, suggesting that the program’s evidence-based content and individualised delivery contributed to meaningful behaviour change and positive outcomes for participants and their families </w:t>
                  </w:r>
                  <w:r w:rsidRPr="00C45868">
                    <w:rPr>
                      <w:lang w:val="en-US"/>
                    </w:rPr>
                    <w:fldChar w:fldCharType="begin"/>
                  </w:r>
                  <w:r w:rsidR="00E41D03">
                    <w:rPr>
                      <w:lang w:val="en-US"/>
                    </w:rPr>
                    <w:instrText xml:space="preserve"> ADDIN ZOTERO_ITEM CSL_CITATION {"citationID":"SQKFC9qA","properties":{"formattedCitation":"(Eric Dillon Consulting, 2022)","plainCitation":"(Eric Dillon Consulting, 2022)","noteIndex":0},"citationItems":[{"id":4684,"uris":["http://zotero.org/groups/5691188/items/8SMNMV8Q"],"itemData":{"id":4684,"type":"report","publisher":"Communicare","title":"Report on Evaluation of the “Choose Change” Early Intervention Family and Domestic Violence Program","author":[{"family":"Eric Dillon Consulting","given":""}],"issued":{"date-parts":[["2022"]]}}}],"schema":"https://github.com/citation-style-language/schema/raw/master/csl-citation.json"} </w:instrText>
                  </w:r>
                  <w:r w:rsidRPr="00C45868">
                    <w:rPr>
                      <w:lang w:val="en-US"/>
                    </w:rPr>
                    <w:fldChar w:fldCharType="separate"/>
                  </w:r>
                  <w:r w:rsidRPr="00C45868">
                    <w:rPr>
                      <w:lang w:val="en-US"/>
                    </w:rPr>
                    <w:t>(Eric Dillon Consulting, 2022)</w:t>
                  </w:r>
                  <w:r w:rsidRPr="00C45868">
                    <w:rPr>
                      <w:lang w:val="en-US"/>
                    </w:rPr>
                    <w:fldChar w:fldCharType="end"/>
                  </w:r>
                  <w:r w:rsidRPr="00C45868">
                    <w:rPr>
                      <w:lang w:val="en-US"/>
                    </w:rPr>
                    <w:t>.</w:t>
                  </w:r>
                </w:p>
                <w:p w14:paraId="5549E594" w14:textId="59CF29D2" w:rsidR="008E3397" w:rsidRPr="004673E7" w:rsidRDefault="008E3397" w:rsidP="008E3397">
                  <w:pPr>
                    <w:pStyle w:val="TableFigure-Header"/>
                    <w:rPr>
                      <w:rStyle w:val="Text-Bold"/>
                      <w:b/>
                      <w:szCs w:val="21"/>
                      <w:lang w:val="en-NZ"/>
                    </w:rPr>
                  </w:pPr>
                  <w:r w:rsidRPr="004673E7" w:rsidDel="002D77C1">
                    <w:rPr>
                      <w:rStyle w:val="Text-Bold"/>
                      <w:b/>
                      <w:szCs w:val="21"/>
                      <w:lang w:val="en-NZ"/>
                    </w:rPr>
                    <w:lastRenderedPageBreak/>
                    <w:t>Figure</w:t>
                  </w:r>
                  <w:r w:rsidRPr="004673E7">
                    <w:rPr>
                      <w:rStyle w:val="Text-Bold"/>
                      <w:b/>
                      <w:szCs w:val="21"/>
                      <w:lang w:val="en-NZ"/>
                    </w:rPr>
                    <w:t xml:space="preserve"> </w:t>
                  </w:r>
                  <w:r w:rsidR="00C64C3D" w:rsidRPr="004673E7">
                    <w:rPr>
                      <w:rStyle w:val="Text-Bold"/>
                      <w:b/>
                      <w:szCs w:val="21"/>
                      <w:lang w:val="en-NZ"/>
                    </w:rPr>
                    <w:fldChar w:fldCharType="begin"/>
                  </w:r>
                  <w:r w:rsidR="00C64C3D" w:rsidRPr="004673E7">
                    <w:rPr>
                      <w:rStyle w:val="Text-Bold"/>
                      <w:b/>
                      <w:szCs w:val="21"/>
                      <w:lang w:val="en-NZ"/>
                    </w:rPr>
                    <w:instrText xml:space="preserve"> SEQ Figure \* ARABIC </w:instrText>
                  </w:r>
                  <w:r w:rsidR="00C64C3D" w:rsidRPr="004673E7">
                    <w:rPr>
                      <w:rStyle w:val="Text-Bold"/>
                      <w:b/>
                      <w:szCs w:val="21"/>
                      <w:lang w:val="en-NZ"/>
                    </w:rPr>
                    <w:fldChar w:fldCharType="separate"/>
                  </w:r>
                  <w:r w:rsidR="008D2566">
                    <w:rPr>
                      <w:rStyle w:val="Text-Bold"/>
                      <w:b/>
                      <w:noProof/>
                      <w:szCs w:val="21"/>
                      <w:lang w:val="en-NZ"/>
                    </w:rPr>
                    <w:t>24</w:t>
                  </w:r>
                  <w:r w:rsidR="00C64C3D" w:rsidRPr="004673E7">
                    <w:rPr>
                      <w:rStyle w:val="Text-Bold"/>
                      <w:b/>
                      <w:szCs w:val="21"/>
                      <w:lang w:val="en-NZ"/>
                    </w:rPr>
                    <w:fldChar w:fldCharType="end"/>
                  </w:r>
                  <w:r w:rsidRPr="004673E7">
                    <w:rPr>
                      <w:rStyle w:val="Text-Bold"/>
                      <w:b/>
                      <w:szCs w:val="21"/>
                      <w:lang w:val="en-NZ"/>
                    </w:rPr>
                    <w:t>: SFVS Program Logic outcomes linked to evaluation findings</w:t>
                  </w:r>
                </w:p>
                <w:p w14:paraId="0EF94FD6" w14:textId="77777777" w:rsidR="008E3397" w:rsidRPr="008E1B83" w:rsidRDefault="008E3397" w:rsidP="008E3397">
                  <w:pPr>
                    <w:pStyle w:val="Bullet1"/>
                    <w:numPr>
                      <w:ilvl w:val="0"/>
                      <w:numId w:val="0"/>
                    </w:numPr>
                    <w:ind w:left="431" w:hanging="431"/>
                  </w:pPr>
                  <w:r>
                    <w:t>The table below provides an overview of achievements against Program Logic outcomes for SFVS.</w:t>
                  </w:r>
                </w:p>
                <w:tbl>
                  <w:tblPr>
                    <w:tblStyle w:val="TableGrid3"/>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23"/>
                    <w:gridCol w:w="3675"/>
                    <w:gridCol w:w="3678"/>
                    <w:gridCol w:w="3678"/>
                  </w:tblGrid>
                  <w:tr w:rsidR="008E3397" w:rsidRPr="00D46E27" w14:paraId="3F6E8D7C" w14:textId="77777777">
                    <w:trPr>
                      <w:cantSplit/>
                      <w:tblHeader/>
                    </w:trPr>
                    <w:tc>
                      <w:tcPr>
                        <w:tcW w:w="1047" w:type="pct"/>
                        <w:vMerge w:val="restart"/>
                        <w:shd w:val="clear" w:color="auto" w:fill="36424A" w:themeFill="accent2"/>
                        <w:vAlign w:val="center"/>
                      </w:tcPr>
                      <w:p w14:paraId="0D787BE5" w14:textId="77777777" w:rsidR="008E3397" w:rsidRPr="00D46E27" w:rsidRDefault="008E3397">
                        <w:pPr>
                          <w:spacing w:before="120" w:after="120"/>
                          <w:jc w:val="center"/>
                          <w:rPr>
                            <w:rFonts w:ascii="Arial" w:hAnsi="Arial" w:cs="Times New Roman"/>
                            <w:b/>
                            <w:bCs/>
                            <w:sz w:val="19"/>
                            <w:szCs w:val="19"/>
                          </w:rPr>
                        </w:pPr>
                        <w:r w:rsidRPr="00D46E27">
                          <w:rPr>
                            <w:rFonts w:ascii="Arial Bold" w:hAnsi="Arial Bold" w:cs="Times New Roman"/>
                            <w:b/>
                            <w:caps/>
                            <w:color w:val="FFFFFF"/>
                            <w:sz w:val="19"/>
                            <w:szCs w:val="19"/>
                          </w:rPr>
                          <w:t>Program logic outcome</w:t>
                        </w:r>
                      </w:p>
                    </w:tc>
                    <w:tc>
                      <w:tcPr>
                        <w:tcW w:w="3953" w:type="pct"/>
                        <w:gridSpan w:val="3"/>
                        <w:shd w:val="clear" w:color="auto" w:fill="005000"/>
                      </w:tcPr>
                      <w:p w14:paraId="6235A7AD" w14:textId="77777777" w:rsidR="008E3397" w:rsidRPr="00D46E27" w:rsidRDefault="008E3397">
                        <w:pPr>
                          <w:spacing w:before="120" w:after="120"/>
                          <w:jc w:val="center"/>
                          <w:rPr>
                            <w:rFonts w:ascii="Arial Bold" w:hAnsi="Arial Bold" w:cs="Times New Roman"/>
                            <w:b/>
                            <w:caps/>
                            <w:sz w:val="19"/>
                            <w:szCs w:val="19"/>
                          </w:rPr>
                        </w:pPr>
                        <w:r w:rsidRPr="00D46E27">
                          <w:rPr>
                            <w:rFonts w:ascii="Arial Bold" w:hAnsi="Arial Bold" w:cs="Times New Roman"/>
                            <w:b/>
                            <w:bCs/>
                            <w:caps/>
                            <w:color w:val="FFFFFF"/>
                            <w:sz w:val="19"/>
                            <w:szCs w:val="19"/>
                          </w:rPr>
                          <w:t>Evidence</w:t>
                        </w:r>
                      </w:p>
                    </w:tc>
                  </w:tr>
                  <w:tr w:rsidR="008E3397" w:rsidRPr="00D46E27" w14:paraId="13EB6B3C" w14:textId="77777777">
                    <w:trPr>
                      <w:cantSplit/>
                    </w:trPr>
                    <w:tc>
                      <w:tcPr>
                        <w:tcW w:w="1047" w:type="pct"/>
                        <w:vMerge/>
                      </w:tcPr>
                      <w:p w14:paraId="0F36AEA2" w14:textId="77777777" w:rsidR="008E3397" w:rsidRPr="00D46E27" w:rsidRDefault="008E3397">
                        <w:pPr>
                          <w:spacing w:before="120" w:after="120"/>
                          <w:rPr>
                            <w:rFonts w:ascii="Arial" w:hAnsi="Arial" w:cs="Times New Roman"/>
                            <w:sz w:val="19"/>
                            <w:szCs w:val="19"/>
                          </w:rPr>
                        </w:pPr>
                      </w:p>
                    </w:tc>
                    <w:tc>
                      <w:tcPr>
                        <w:tcW w:w="1317" w:type="pct"/>
                        <w:tcBorders>
                          <w:bottom w:val="single" w:sz="24" w:space="0" w:color="FFFFFF" w:themeColor="text1"/>
                        </w:tcBorders>
                        <w:shd w:val="clear" w:color="auto" w:fill="007E00" w:themeFill="accent3"/>
                        <w:vAlign w:val="center"/>
                      </w:tcPr>
                      <w:p w14:paraId="3FD6357F" w14:textId="312DC3D4" w:rsidR="008E3397" w:rsidRPr="00D46E27" w:rsidRDefault="008E3397">
                        <w:pPr>
                          <w:spacing w:before="120" w:after="120"/>
                          <w:jc w:val="center"/>
                          <w:rPr>
                            <w:rFonts w:ascii="Arial" w:hAnsi="Arial" w:cs="Times New Roman"/>
                            <w:b/>
                            <w:bCs/>
                            <w:color w:val="FFFFFF"/>
                            <w:sz w:val="19"/>
                            <w:szCs w:val="19"/>
                          </w:rPr>
                        </w:pPr>
                        <w:r w:rsidRPr="00D46E27">
                          <w:rPr>
                            <w:rFonts w:ascii="Arial" w:hAnsi="Arial" w:cs="Times New Roman"/>
                            <w:b/>
                            <w:bCs/>
                            <w:color w:val="FFFFFF"/>
                            <w:sz w:val="19"/>
                            <w:szCs w:val="19"/>
                          </w:rPr>
                          <w:t>Dex SCORE domains</w:t>
                        </w:r>
                        <w:r w:rsidR="00CC3219">
                          <w:rPr>
                            <w:rFonts w:ascii="Arial" w:hAnsi="Arial" w:cs="Times New Roman"/>
                            <w:b/>
                            <w:bCs/>
                            <w:color w:val="FFFFFF"/>
                            <w:sz w:val="19"/>
                            <w:szCs w:val="19"/>
                          </w:rPr>
                          <w:t>*</w:t>
                        </w:r>
                        <w:r w:rsidR="001E7288">
                          <w:rPr>
                            <w:rFonts w:ascii="Arial" w:hAnsi="Arial" w:cs="Times New Roman"/>
                            <w:b/>
                            <w:bCs/>
                            <w:color w:val="FFFFFF"/>
                            <w:sz w:val="19"/>
                            <w:szCs w:val="19"/>
                          </w:rPr>
                          <w:t>^</w:t>
                        </w:r>
                      </w:p>
                    </w:tc>
                    <w:tc>
                      <w:tcPr>
                        <w:tcW w:w="1318" w:type="pct"/>
                        <w:tcBorders>
                          <w:bottom w:val="single" w:sz="24" w:space="0" w:color="FFFFFF" w:themeColor="text1"/>
                        </w:tcBorders>
                        <w:shd w:val="clear" w:color="auto" w:fill="78B800" w:themeFill="accent1"/>
                        <w:vAlign w:val="center"/>
                      </w:tcPr>
                      <w:p w14:paraId="17CF2F44" w14:textId="6CF98D60" w:rsidR="008E3397" w:rsidRPr="00D46E27" w:rsidRDefault="00600F27">
                        <w:pPr>
                          <w:spacing w:before="120" w:after="120"/>
                          <w:jc w:val="center"/>
                          <w:rPr>
                            <w:rFonts w:ascii="Arial" w:hAnsi="Arial" w:cs="Times New Roman"/>
                            <w:b/>
                            <w:bCs/>
                            <w:color w:val="FFFFFF"/>
                            <w:sz w:val="19"/>
                            <w:szCs w:val="19"/>
                          </w:rPr>
                        </w:pPr>
                        <w:r>
                          <w:rPr>
                            <w:rFonts w:ascii="Arial" w:hAnsi="Arial" w:cs="Times New Roman"/>
                            <w:b/>
                            <w:bCs/>
                            <w:color w:val="FFFFFF"/>
                            <w:sz w:val="19"/>
                            <w:szCs w:val="19"/>
                          </w:rPr>
                          <w:t>Evaluation data – s</w:t>
                        </w:r>
                        <w:r w:rsidR="008E3397" w:rsidRPr="00D46E27">
                          <w:rPr>
                            <w:rFonts w:ascii="Arial" w:hAnsi="Arial" w:cs="Times New Roman"/>
                            <w:b/>
                            <w:bCs/>
                            <w:color w:val="FFFFFF"/>
                            <w:sz w:val="19"/>
                            <w:szCs w:val="19"/>
                          </w:rPr>
                          <w:t>ervice user interviews</w:t>
                        </w:r>
                        <w:r w:rsidR="00AD6E46">
                          <w:rPr>
                            <w:rFonts w:ascii="Arial" w:hAnsi="Arial" w:cs="Times New Roman"/>
                            <w:b/>
                            <w:bCs/>
                            <w:color w:val="FFFFFF"/>
                            <w:sz w:val="19"/>
                            <w:szCs w:val="19"/>
                          </w:rPr>
                          <w:t>**</w:t>
                        </w:r>
                      </w:p>
                    </w:tc>
                    <w:tc>
                      <w:tcPr>
                        <w:tcW w:w="1318" w:type="pct"/>
                        <w:tcBorders>
                          <w:bottom w:val="single" w:sz="24" w:space="0" w:color="FFFFFF" w:themeColor="text1"/>
                        </w:tcBorders>
                        <w:shd w:val="clear" w:color="auto" w:fill="068BBF"/>
                        <w:vAlign w:val="center"/>
                      </w:tcPr>
                      <w:p w14:paraId="02550D49" w14:textId="038CCABA" w:rsidR="008E3397" w:rsidRPr="00D46E27" w:rsidRDefault="00600F27">
                        <w:pPr>
                          <w:spacing w:before="120" w:after="120"/>
                          <w:jc w:val="center"/>
                          <w:rPr>
                            <w:rFonts w:ascii="Arial" w:hAnsi="Arial" w:cs="Times New Roman"/>
                            <w:b/>
                            <w:bCs/>
                            <w:color w:val="FFFFFF"/>
                            <w:sz w:val="19"/>
                            <w:szCs w:val="19"/>
                          </w:rPr>
                        </w:pPr>
                        <w:r>
                          <w:rPr>
                            <w:rFonts w:ascii="Arial" w:hAnsi="Arial" w:cs="Times New Roman"/>
                            <w:b/>
                            <w:bCs/>
                            <w:color w:val="FFFFFF"/>
                            <w:sz w:val="19"/>
                            <w:szCs w:val="19"/>
                          </w:rPr>
                          <w:t>Evaluation data – s</w:t>
                        </w:r>
                        <w:r w:rsidR="008E3397" w:rsidRPr="00D46E27">
                          <w:rPr>
                            <w:rFonts w:ascii="Arial" w:hAnsi="Arial" w:cs="Times New Roman"/>
                            <w:b/>
                            <w:bCs/>
                            <w:color w:val="FFFFFF"/>
                            <w:sz w:val="19"/>
                            <w:szCs w:val="19"/>
                          </w:rPr>
                          <w:t xml:space="preserve">ervice provider </w:t>
                        </w:r>
                        <w:r>
                          <w:rPr>
                            <w:rFonts w:ascii="Arial" w:hAnsi="Arial" w:cs="Times New Roman"/>
                            <w:b/>
                            <w:bCs/>
                            <w:color w:val="FFFFFF"/>
                            <w:sz w:val="19"/>
                            <w:szCs w:val="19"/>
                          </w:rPr>
                          <w:t>focus</w:t>
                        </w:r>
                        <w:r w:rsidR="008E3397" w:rsidRPr="00D46E27">
                          <w:rPr>
                            <w:rFonts w:ascii="Arial" w:hAnsi="Arial" w:cs="Times New Roman"/>
                            <w:b/>
                            <w:bCs/>
                            <w:color w:val="FFFFFF"/>
                            <w:sz w:val="19"/>
                            <w:szCs w:val="19"/>
                          </w:rPr>
                          <w:t xml:space="preserve"> groups</w:t>
                        </w:r>
                        <w:r w:rsidR="00AD6E46">
                          <w:rPr>
                            <w:rFonts w:ascii="Arial" w:hAnsi="Arial" w:cs="Times New Roman"/>
                            <w:b/>
                            <w:bCs/>
                            <w:color w:val="FFFFFF"/>
                            <w:sz w:val="19"/>
                            <w:szCs w:val="19"/>
                          </w:rPr>
                          <w:t>**</w:t>
                        </w:r>
                      </w:p>
                    </w:tc>
                  </w:tr>
                  <w:tr w:rsidR="008E3397" w:rsidRPr="00D46E27" w14:paraId="72CC8251" w14:textId="77777777">
                    <w:trPr>
                      <w:cantSplit/>
                    </w:trPr>
                    <w:tc>
                      <w:tcPr>
                        <w:tcW w:w="5000" w:type="pct"/>
                        <w:gridSpan w:val="4"/>
                        <w:tcBorders>
                          <w:top w:val="single" w:sz="24" w:space="0" w:color="FFFFFF" w:themeColor="text1"/>
                        </w:tcBorders>
                        <w:shd w:val="clear" w:color="auto" w:fill="E3EECF" w:themeFill="accent5" w:themeFillTint="99"/>
                      </w:tcPr>
                      <w:p w14:paraId="497D9BBD" w14:textId="77777777" w:rsidR="008E3397" w:rsidRPr="00D46E27" w:rsidRDefault="008E3397">
                        <w:pPr>
                          <w:spacing w:before="100" w:after="100"/>
                          <w:jc w:val="center"/>
                          <w:rPr>
                            <w:rFonts w:ascii="Arial" w:hAnsi="Arial" w:cs="Arial"/>
                            <w:b/>
                            <w:color w:val="36424A"/>
                            <w:sz w:val="19"/>
                            <w:szCs w:val="19"/>
                          </w:rPr>
                        </w:pPr>
                        <w:r w:rsidRPr="00D46E27">
                          <w:rPr>
                            <w:rFonts w:ascii="Arial Bold" w:hAnsi="Arial Bold" w:cs="Times New Roman"/>
                            <w:b/>
                            <w:bCs/>
                            <w:caps/>
                            <w:spacing w:val="20"/>
                            <w:sz w:val="20"/>
                          </w:rPr>
                          <w:t>Short-term outcomes</w:t>
                        </w:r>
                      </w:p>
                    </w:tc>
                  </w:tr>
                  <w:tr w:rsidR="008E3397" w:rsidRPr="00D46E27" w14:paraId="3D180AB7" w14:textId="77777777">
                    <w:trPr>
                      <w:cantSplit/>
                    </w:trPr>
                    <w:tc>
                      <w:tcPr>
                        <w:tcW w:w="1047" w:type="pct"/>
                        <w:tcBorders>
                          <w:bottom w:val="single" w:sz="4" w:space="0" w:color="BFBFBF" w:themeColor="text1" w:themeShade="BF"/>
                        </w:tcBorders>
                        <w:shd w:val="clear" w:color="auto" w:fill="E3EECF" w:themeFill="accent5" w:themeFillTint="99"/>
                      </w:tcPr>
                      <w:p w14:paraId="2AB04368" w14:textId="77777777" w:rsidR="008E3397" w:rsidRPr="00D46E27" w:rsidRDefault="008E3397">
                        <w:pPr>
                          <w:spacing w:before="60"/>
                          <w:rPr>
                            <w:rFonts w:ascii="Arial" w:hAnsi="Arial" w:cs="Times New Roman"/>
                            <w:color w:val="000000"/>
                            <w:sz w:val="19"/>
                            <w:szCs w:val="19"/>
                            <w:lang w:val="en-US"/>
                          </w:rPr>
                        </w:pPr>
                        <w:r w:rsidRPr="00D46E27">
                          <w:rPr>
                            <w:rFonts w:ascii="Arial" w:hAnsi="Arial" w:cs="Times New Roman"/>
                            <w:color w:val="000000"/>
                            <w:sz w:val="19"/>
                            <w:szCs w:val="19"/>
                            <w:lang w:val="en-US"/>
                          </w:rPr>
                          <w:lastRenderedPageBreak/>
                          <w:t>Victim survivors have improved</w:t>
                        </w:r>
                        <w:r>
                          <w:rPr>
                            <w:rFonts w:ascii="Arial" w:hAnsi="Arial" w:cs="Times New Roman"/>
                            <w:color w:val="000000"/>
                            <w:sz w:val="19"/>
                            <w:szCs w:val="19"/>
                            <w:lang w:val="en-US"/>
                          </w:rPr>
                          <w:t xml:space="preserve"> knowledge and skills in:</w:t>
                        </w:r>
                        <w:r w:rsidRPr="00D46E27">
                          <w:rPr>
                            <w:rFonts w:ascii="Arial" w:hAnsi="Arial" w:cs="Times New Roman"/>
                            <w:color w:val="000000"/>
                            <w:sz w:val="19"/>
                            <w:szCs w:val="19"/>
                            <w:lang w:val="en-US"/>
                          </w:rPr>
                          <w:t xml:space="preserve"> </w:t>
                        </w:r>
                      </w:p>
                      <w:p w14:paraId="4716A880" w14:textId="77777777" w:rsidR="008E3397" w:rsidRPr="00D46E27" w:rsidRDefault="008E3397">
                        <w:pPr>
                          <w:numPr>
                            <w:ilvl w:val="0"/>
                            <w:numId w:val="57"/>
                          </w:numPr>
                          <w:spacing w:before="40" w:after="40"/>
                          <w:ind w:left="357" w:hanging="357"/>
                          <w:rPr>
                            <w:rFonts w:ascii="Arial" w:hAnsi="Arial" w:cs="Times New Roman"/>
                            <w:color w:val="000000"/>
                            <w:sz w:val="19"/>
                            <w:szCs w:val="19"/>
                          </w:rPr>
                        </w:pPr>
                        <w:r>
                          <w:rPr>
                            <w:rFonts w:ascii="Arial" w:hAnsi="Arial" w:cs="Times New Roman"/>
                            <w:color w:val="000000"/>
                            <w:sz w:val="19"/>
                            <w:szCs w:val="19"/>
                          </w:rPr>
                          <w:t xml:space="preserve">identifying </w:t>
                        </w:r>
                        <w:r w:rsidRPr="00D46E27">
                          <w:rPr>
                            <w:rFonts w:ascii="Arial" w:hAnsi="Arial" w:cs="Times New Roman"/>
                            <w:color w:val="000000"/>
                            <w:sz w:val="19"/>
                            <w:szCs w:val="19"/>
                          </w:rPr>
                          <w:t>personal and family safety</w:t>
                        </w:r>
                        <w:r>
                          <w:rPr>
                            <w:rFonts w:ascii="Arial" w:hAnsi="Arial" w:cs="Times New Roman"/>
                            <w:color w:val="000000"/>
                            <w:sz w:val="19"/>
                            <w:szCs w:val="19"/>
                          </w:rPr>
                          <w:t xml:space="preserve"> issues </w:t>
                        </w:r>
                      </w:p>
                      <w:p w14:paraId="4B4B076C" w14:textId="77777777" w:rsidR="008E3397" w:rsidRPr="00D46E27" w:rsidRDefault="008E3397">
                        <w:pPr>
                          <w:numPr>
                            <w:ilvl w:val="0"/>
                            <w:numId w:val="57"/>
                          </w:numPr>
                          <w:spacing w:before="40" w:after="40"/>
                          <w:ind w:left="357" w:hanging="357"/>
                          <w:rPr>
                            <w:rFonts w:ascii="Arial" w:hAnsi="Arial" w:cs="Times New Roman"/>
                            <w:bCs/>
                            <w:color w:val="000000"/>
                            <w:sz w:val="19"/>
                            <w:szCs w:val="19"/>
                            <w:lang w:val="en-US"/>
                          </w:rPr>
                        </w:pPr>
                        <w:r>
                          <w:rPr>
                            <w:rFonts w:ascii="Arial" w:hAnsi="Arial" w:cs="Times New Roman"/>
                            <w:bCs/>
                            <w:color w:val="000000"/>
                            <w:sz w:val="19"/>
                            <w:szCs w:val="19"/>
                            <w:lang w:val="en-US"/>
                          </w:rPr>
                          <w:t xml:space="preserve">seeking support for </w:t>
                        </w:r>
                        <w:r w:rsidRPr="00D46E27">
                          <w:rPr>
                            <w:rFonts w:ascii="Arial" w:hAnsi="Arial" w:cs="Times New Roman"/>
                            <w:color w:val="000000"/>
                            <w:sz w:val="19"/>
                            <w:szCs w:val="19"/>
                          </w:rPr>
                          <w:t>personal and family safety</w:t>
                        </w:r>
                        <w:r>
                          <w:rPr>
                            <w:rFonts w:ascii="Arial" w:hAnsi="Arial" w:cs="Times New Roman"/>
                            <w:color w:val="000000"/>
                            <w:sz w:val="19"/>
                            <w:szCs w:val="19"/>
                          </w:rPr>
                          <w:t xml:space="preserve"> issues </w:t>
                        </w:r>
                      </w:p>
                      <w:p w14:paraId="18689AAB" w14:textId="77777777" w:rsidR="008E3397" w:rsidRPr="00D46E27" w:rsidRDefault="008E3397">
                        <w:pPr>
                          <w:numPr>
                            <w:ilvl w:val="0"/>
                            <w:numId w:val="57"/>
                          </w:numPr>
                          <w:spacing w:before="40" w:after="40"/>
                          <w:ind w:left="357" w:hanging="357"/>
                          <w:rPr>
                            <w:rFonts w:ascii="Arial" w:hAnsi="Arial" w:cs="Times New Roman"/>
                            <w:bCs/>
                            <w:color w:val="000000"/>
                            <w:sz w:val="19"/>
                            <w:szCs w:val="19"/>
                            <w:lang w:val="en-US"/>
                          </w:rPr>
                        </w:pPr>
                        <w:r w:rsidRPr="00D46E27">
                          <w:rPr>
                            <w:rFonts w:ascii="Arial" w:hAnsi="Arial" w:cs="Times New Roman"/>
                            <w:bCs/>
                            <w:color w:val="000000"/>
                            <w:sz w:val="19"/>
                            <w:szCs w:val="19"/>
                            <w:lang w:val="en-US"/>
                          </w:rPr>
                          <w:t>strategies to improve personal and family safety</w:t>
                        </w:r>
                      </w:p>
                      <w:p w14:paraId="00026333" w14:textId="77777777" w:rsidR="008E3397" w:rsidRPr="001B4956" w:rsidRDefault="008E3397">
                        <w:pPr>
                          <w:numPr>
                            <w:ilvl w:val="0"/>
                            <w:numId w:val="57"/>
                          </w:numPr>
                          <w:spacing w:before="40" w:after="40"/>
                          <w:ind w:left="357" w:hanging="357"/>
                          <w:rPr>
                            <w:rFonts w:ascii="Arial" w:hAnsi="Arial" w:cs="Times New Roman"/>
                            <w:color w:val="000000"/>
                            <w:sz w:val="19"/>
                            <w:szCs w:val="19"/>
                            <w:lang w:val="en-US"/>
                          </w:rPr>
                        </w:pPr>
                        <w:r w:rsidRPr="001B4956">
                          <w:rPr>
                            <w:rFonts w:ascii="Arial" w:hAnsi="Arial" w:cs="Times New Roman"/>
                            <w:color w:val="000000"/>
                            <w:sz w:val="19"/>
                            <w:szCs w:val="19"/>
                            <w:lang w:val="en-US"/>
                          </w:rPr>
                          <w:t>strategies to improve mental health and wellbeing.</w:t>
                        </w:r>
                        <w:r>
                          <w:rPr>
                            <w:rFonts w:ascii="Arial" w:hAnsi="Arial" w:cs="Times New Roman"/>
                            <w:color w:val="000000"/>
                            <w:sz w:val="19"/>
                            <w:szCs w:val="19"/>
                            <w:lang w:val="en-US"/>
                          </w:rPr>
                          <w:t xml:space="preserve"> </w:t>
                        </w:r>
                      </w:p>
                    </w:tc>
                    <w:tc>
                      <w:tcPr>
                        <w:tcW w:w="1317" w:type="pct"/>
                        <w:tcBorders>
                          <w:bottom w:val="single" w:sz="4" w:space="0" w:color="BFBFBF" w:themeColor="text1" w:themeShade="BF"/>
                        </w:tcBorders>
                        <w:shd w:val="clear" w:color="auto" w:fill="F5F9EF" w:themeFill="accent5" w:themeFillTint="33"/>
                      </w:tcPr>
                      <w:p w14:paraId="466B0FB5" w14:textId="338F0789" w:rsidR="00C2759A" w:rsidRPr="00D63E8D" w:rsidRDefault="00C2759A">
                        <w:pPr>
                          <w:spacing w:before="60" w:after="120"/>
                          <w:rPr>
                            <w:rFonts w:ascii="Arial" w:hAnsi="Arial" w:cs="Times New Roman"/>
                            <w:sz w:val="19"/>
                            <w:szCs w:val="19"/>
                          </w:rPr>
                        </w:pPr>
                        <w:r w:rsidRPr="00D63E8D">
                          <w:rPr>
                            <w:rFonts w:ascii="Arial" w:hAnsi="Arial" w:cs="Times New Roman"/>
                            <w:sz w:val="19"/>
                            <w:szCs w:val="19"/>
                          </w:rPr>
                          <w:t>Victim survivors experienced a:</w:t>
                        </w:r>
                      </w:p>
                      <w:p w14:paraId="76A43D2B" w14:textId="5E8242D9" w:rsidR="00D205D4" w:rsidRDefault="008E3397">
                        <w:pPr>
                          <w:spacing w:before="60" w:after="120"/>
                          <w:rPr>
                            <w:rFonts w:ascii="Arial" w:hAnsi="Arial" w:cs="Times New Roman"/>
                            <w:sz w:val="19"/>
                            <w:szCs w:val="19"/>
                          </w:rPr>
                        </w:pPr>
                        <w:r w:rsidRPr="003122A1">
                          <w:rPr>
                            <w:rFonts w:ascii="Arial" w:hAnsi="Arial" w:cs="Times New Roman"/>
                            <w:b/>
                            <w:bCs/>
                            <w:color w:val="007E00" w:themeColor="accent3"/>
                            <w:sz w:val="20"/>
                          </w:rPr>
                          <w:t>1.1</w:t>
                        </w:r>
                        <w:r>
                          <w:rPr>
                            <w:rFonts w:ascii="Arial" w:hAnsi="Arial" w:cs="Times New Roman"/>
                            <w:sz w:val="19"/>
                            <w:szCs w:val="19"/>
                          </w:rPr>
                          <w:t xml:space="preserve"> </w:t>
                        </w:r>
                        <w:r w:rsidRPr="003122A1">
                          <w:rPr>
                            <w:rFonts w:ascii="Arial" w:hAnsi="Arial" w:cs="Times New Roman"/>
                            <w:sz w:val="19"/>
                            <w:szCs w:val="19"/>
                          </w:rPr>
                          <w:t xml:space="preserve">increase </w:t>
                        </w:r>
                        <w:r w:rsidR="00516EFF">
                          <w:rPr>
                            <w:rFonts w:ascii="Arial" w:hAnsi="Arial" w:cs="Times New Roman"/>
                            <w:sz w:val="19"/>
                            <w:szCs w:val="19"/>
                          </w:rPr>
                          <w:t xml:space="preserve">in mean </w:t>
                        </w:r>
                        <w:r w:rsidR="006F663A" w:rsidRPr="006F663A">
                          <w:rPr>
                            <w:rFonts w:ascii="Arial" w:hAnsi="Arial" w:cs="Times New Roman"/>
                            <w:sz w:val="19"/>
                            <w:szCs w:val="19"/>
                          </w:rPr>
                          <w:t>SCORE</w:t>
                        </w:r>
                        <w:r w:rsidR="00516EFF">
                          <w:rPr>
                            <w:rFonts w:ascii="Arial" w:hAnsi="Arial" w:cs="Times New Roman"/>
                            <w:sz w:val="19"/>
                            <w:szCs w:val="19"/>
                          </w:rPr>
                          <w:t xml:space="preserve"> for Goal: Changed knowledge and access to information</w:t>
                        </w:r>
                        <w:r w:rsidR="007B6C1D">
                          <w:rPr>
                            <w:rFonts w:ascii="Arial" w:hAnsi="Arial" w:cs="Times New Roman"/>
                            <w:sz w:val="19"/>
                            <w:szCs w:val="19"/>
                          </w:rPr>
                          <w:t>.</w:t>
                        </w:r>
                        <w:r w:rsidR="00516EFF">
                          <w:rPr>
                            <w:rFonts w:ascii="Arial" w:hAnsi="Arial" w:cs="Times New Roman"/>
                            <w:sz w:val="19"/>
                            <w:szCs w:val="19"/>
                          </w:rPr>
                          <w:t xml:space="preserve"> </w:t>
                        </w:r>
                      </w:p>
                      <w:p w14:paraId="40F1B9BF" w14:textId="3EC1FBC7" w:rsidR="00D205D4" w:rsidRPr="003122A1" w:rsidRDefault="00D205D4">
                        <w:pPr>
                          <w:spacing w:before="60" w:after="120"/>
                          <w:rPr>
                            <w:rFonts w:ascii="Arial" w:hAnsi="Arial" w:cs="Times New Roman"/>
                            <w:sz w:val="19"/>
                            <w:szCs w:val="19"/>
                          </w:rPr>
                        </w:pPr>
                        <w:r w:rsidRPr="006228A0">
                          <w:rPr>
                            <w:rFonts w:ascii="Arial" w:hAnsi="Arial" w:cs="Times New Roman"/>
                            <w:b/>
                            <w:color w:val="007E00" w:themeColor="accent3"/>
                            <w:sz w:val="20"/>
                            <w:lang w:val="en-US"/>
                          </w:rPr>
                          <w:t>0.9</w:t>
                        </w:r>
                        <w:r>
                          <w:rPr>
                            <w:rFonts w:ascii="Arial" w:hAnsi="Arial" w:cs="Times New Roman"/>
                            <w:bCs/>
                            <w:sz w:val="19"/>
                            <w:szCs w:val="19"/>
                            <w:lang w:val="en-US"/>
                          </w:rPr>
                          <w:t xml:space="preserve"> increase in mean </w:t>
                        </w:r>
                        <w:r w:rsidR="006F663A" w:rsidRPr="006F663A">
                          <w:rPr>
                            <w:rFonts w:ascii="Arial" w:hAnsi="Arial" w:cs="Times New Roman"/>
                            <w:bCs/>
                            <w:sz w:val="19"/>
                            <w:szCs w:val="19"/>
                            <w:lang w:val="en-US"/>
                          </w:rPr>
                          <w:t>SCORE</w:t>
                        </w:r>
                        <w:r>
                          <w:rPr>
                            <w:rFonts w:ascii="Arial" w:hAnsi="Arial" w:cs="Times New Roman"/>
                            <w:bCs/>
                            <w:sz w:val="19"/>
                            <w:szCs w:val="19"/>
                            <w:lang w:val="en-US"/>
                          </w:rPr>
                          <w:t xml:space="preserve"> for Goal: Changed skills</w:t>
                        </w:r>
                        <w:r w:rsidR="007B6C1D">
                          <w:rPr>
                            <w:rFonts w:ascii="Arial" w:hAnsi="Arial" w:cs="Times New Roman"/>
                            <w:bCs/>
                            <w:sz w:val="19"/>
                            <w:szCs w:val="19"/>
                            <w:lang w:val="en-US"/>
                          </w:rPr>
                          <w:t>.</w:t>
                        </w:r>
                      </w:p>
                      <w:p w14:paraId="213B4E68" w14:textId="3621FF60" w:rsidR="00594E32" w:rsidRDefault="008E3397" w:rsidP="00D205D4">
                        <w:pPr>
                          <w:spacing w:after="120"/>
                          <w:rPr>
                            <w:rFonts w:ascii="Arial" w:hAnsi="Arial" w:cs="Times New Roman"/>
                            <w:bCs/>
                            <w:sz w:val="19"/>
                            <w:szCs w:val="19"/>
                            <w:lang w:val="en-US"/>
                          </w:rPr>
                        </w:pPr>
                        <w:r>
                          <w:rPr>
                            <w:rFonts w:ascii="Arial" w:hAnsi="Arial" w:cs="Times New Roman"/>
                            <w:b/>
                            <w:color w:val="007E00" w:themeColor="accent3"/>
                            <w:sz w:val="20"/>
                            <w:lang w:val="en-US"/>
                          </w:rPr>
                          <w:t>1.</w:t>
                        </w:r>
                        <w:r w:rsidRPr="003122A1">
                          <w:rPr>
                            <w:rFonts w:ascii="Arial" w:hAnsi="Arial" w:cs="Times New Roman"/>
                            <w:b/>
                            <w:color w:val="007E00" w:themeColor="accent3"/>
                            <w:sz w:val="20"/>
                            <w:lang w:val="en-US"/>
                          </w:rPr>
                          <w:t>0</w:t>
                        </w:r>
                        <w:r>
                          <w:rPr>
                            <w:rFonts w:ascii="Arial" w:hAnsi="Arial" w:cs="Times New Roman"/>
                            <w:bCs/>
                            <w:sz w:val="19"/>
                            <w:szCs w:val="19"/>
                            <w:lang w:val="en-US"/>
                          </w:rPr>
                          <w:t xml:space="preserve"> increase </w:t>
                        </w:r>
                        <w:r w:rsidR="005E257F">
                          <w:rPr>
                            <w:rFonts w:ascii="Arial" w:hAnsi="Arial" w:cs="Times New Roman"/>
                            <w:bCs/>
                            <w:sz w:val="19"/>
                            <w:szCs w:val="19"/>
                            <w:lang w:val="en-US"/>
                          </w:rPr>
                          <w:t>in mean</w:t>
                        </w:r>
                        <w:r w:rsidR="00D205D4">
                          <w:rPr>
                            <w:rFonts w:ascii="Arial" w:hAnsi="Arial" w:cs="Times New Roman"/>
                            <w:bCs/>
                            <w:sz w:val="19"/>
                            <w:szCs w:val="19"/>
                            <w:lang w:val="en-US"/>
                          </w:rPr>
                          <w:t xml:space="preserve"> </w:t>
                        </w:r>
                        <w:r w:rsidR="006F663A" w:rsidRPr="006F663A">
                          <w:rPr>
                            <w:rFonts w:ascii="Arial" w:hAnsi="Arial" w:cs="Times New Roman"/>
                            <w:bCs/>
                            <w:sz w:val="19"/>
                            <w:szCs w:val="19"/>
                            <w:lang w:val="en-US"/>
                          </w:rPr>
                          <w:t>SCORE</w:t>
                        </w:r>
                        <w:r w:rsidR="00D205D4">
                          <w:rPr>
                            <w:rFonts w:ascii="Arial" w:hAnsi="Arial" w:cs="Times New Roman"/>
                            <w:bCs/>
                            <w:sz w:val="19"/>
                            <w:szCs w:val="19"/>
                            <w:lang w:val="en-US"/>
                          </w:rPr>
                          <w:t xml:space="preserve"> for Goal: Engagement with relevant support services</w:t>
                        </w:r>
                        <w:r w:rsidR="007B6C1D">
                          <w:rPr>
                            <w:rFonts w:ascii="Arial" w:hAnsi="Arial" w:cs="Times New Roman"/>
                            <w:bCs/>
                            <w:sz w:val="19"/>
                            <w:szCs w:val="19"/>
                            <w:lang w:val="en-US"/>
                          </w:rPr>
                          <w:t>.</w:t>
                        </w:r>
                      </w:p>
                      <w:p w14:paraId="2012A64F" w14:textId="61EFB611" w:rsidR="008E3397" w:rsidRPr="00D63E8D" w:rsidRDefault="00594E32" w:rsidP="00D63E8D">
                        <w:pPr>
                          <w:spacing w:after="120"/>
                          <w:rPr>
                            <w:rFonts w:ascii="Arial" w:hAnsi="Arial" w:cs="Times New Roman"/>
                            <w:bCs/>
                            <w:sz w:val="19"/>
                            <w:szCs w:val="19"/>
                            <w:lang w:val="en-US"/>
                          </w:rPr>
                        </w:pPr>
                        <w:r w:rsidRPr="00F6254E">
                          <w:rPr>
                            <w:rFonts w:ascii="Arial" w:hAnsi="Arial" w:cs="Times New Roman"/>
                            <w:b/>
                            <w:color w:val="007E00" w:themeColor="accent3"/>
                            <w:sz w:val="20"/>
                            <w:lang w:val="en-US"/>
                          </w:rPr>
                          <w:t>1.0</w:t>
                        </w:r>
                        <w:r w:rsidRPr="00F6254E">
                          <w:rPr>
                            <w:rFonts w:ascii="Arial" w:hAnsi="Arial" w:cs="Times New Roman"/>
                            <w:bCs/>
                            <w:color w:val="007E00" w:themeColor="accent3"/>
                            <w:sz w:val="19"/>
                            <w:szCs w:val="19"/>
                            <w:lang w:val="en-US"/>
                          </w:rPr>
                          <w:t xml:space="preserve"> </w:t>
                        </w:r>
                        <w:r w:rsidRPr="003B397A">
                          <w:rPr>
                            <w:rFonts w:ascii="Arial" w:hAnsi="Arial" w:cs="Times New Roman"/>
                            <w:bCs/>
                            <w:sz w:val="19"/>
                            <w:szCs w:val="19"/>
                            <w:lang w:val="en-US"/>
                          </w:rPr>
                          <w:t xml:space="preserve">increase in mean </w:t>
                        </w:r>
                        <w:r w:rsidR="006F663A" w:rsidRPr="006F663A">
                          <w:rPr>
                            <w:rFonts w:ascii="Arial" w:hAnsi="Arial" w:cs="Times New Roman"/>
                            <w:bCs/>
                            <w:sz w:val="19"/>
                            <w:szCs w:val="19"/>
                            <w:lang w:val="en-US"/>
                          </w:rPr>
                          <w:t>SCORE</w:t>
                        </w:r>
                        <w:r w:rsidRPr="003B397A">
                          <w:rPr>
                            <w:rFonts w:ascii="Arial" w:hAnsi="Arial" w:cs="Times New Roman"/>
                            <w:bCs/>
                            <w:sz w:val="19"/>
                            <w:szCs w:val="19"/>
                            <w:lang w:val="en-US"/>
                          </w:rPr>
                          <w:t xml:space="preserve"> for Goal: Empowerment, choice, and control to make own decisions</w:t>
                        </w:r>
                        <w:r w:rsidR="007B6C1D">
                          <w:rPr>
                            <w:rFonts w:ascii="Arial" w:hAnsi="Arial" w:cs="Times New Roman"/>
                            <w:bCs/>
                            <w:sz w:val="19"/>
                            <w:szCs w:val="19"/>
                            <w:lang w:val="en-US"/>
                          </w:rPr>
                          <w:t>.</w:t>
                        </w:r>
                      </w:p>
                    </w:tc>
                    <w:tc>
                      <w:tcPr>
                        <w:tcW w:w="1318" w:type="pct"/>
                        <w:tcBorders>
                          <w:bottom w:val="single" w:sz="4" w:space="0" w:color="BFBFBF" w:themeColor="text1" w:themeShade="BF"/>
                        </w:tcBorders>
                        <w:shd w:val="clear" w:color="auto" w:fill="F5F9EF" w:themeFill="accent5" w:themeFillTint="33"/>
                      </w:tcPr>
                      <w:p w14:paraId="0682EB5C" w14:textId="77777777" w:rsidR="008E3397" w:rsidRDefault="008E3397">
                        <w:pPr>
                          <w:spacing w:before="60" w:after="120"/>
                          <w:rPr>
                            <w:rFonts w:ascii="Arial" w:hAnsi="Arial" w:cs="Times New Roman"/>
                            <w:bCs/>
                            <w:sz w:val="19"/>
                            <w:szCs w:val="19"/>
                            <w:lang w:val="en-US"/>
                          </w:rPr>
                        </w:pPr>
                        <w:r w:rsidRPr="00D46E27">
                          <w:rPr>
                            <w:rFonts w:ascii="Arial" w:hAnsi="Arial" w:cs="Times New Roman"/>
                            <w:bCs/>
                            <w:sz w:val="19"/>
                            <w:szCs w:val="19"/>
                            <w:lang w:val="en-US"/>
                          </w:rPr>
                          <w:t>Victim survivors described being heard and supported to name and understand their experience as family violence.</w:t>
                        </w:r>
                      </w:p>
                      <w:p w14:paraId="678BE6E9" w14:textId="77777777" w:rsidR="00D205D4" w:rsidRPr="00D46E27" w:rsidRDefault="008E3397">
                        <w:pPr>
                          <w:spacing w:before="60" w:after="120"/>
                          <w:rPr>
                            <w:rFonts w:ascii="Arial" w:hAnsi="Arial" w:cs="Times New Roman"/>
                            <w:bCs/>
                            <w:sz w:val="19"/>
                            <w:szCs w:val="19"/>
                            <w:lang w:val="en-US"/>
                          </w:rPr>
                        </w:pPr>
                        <w:r w:rsidRPr="00D46E27">
                          <w:rPr>
                            <w:rFonts w:ascii="Arial" w:hAnsi="Arial" w:cs="Times New Roman"/>
                            <w:bCs/>
                            <w:sz w:val="19"/>
                            <w:szCs w:val="19"/>
                            <w:lang w:val="en-US"/>
                          </w:rPr>
                          <w:t>Service users described receiving tools and techniques supporting feelings of safety.</w:t>
                        </w:r>
                      </w:p>
                      <w:p w14:paraId="0B7BEC06" w14:textId="77777777" w:rsidR="008E3397" w:rsidRDefault="008E3397">
                        <w:pPr>
                          <w:spacing w:before="120" w:after="120"/>
                          <w:rPr>
                            <w:rFonts w:ascii="Arial" w:hAnsi="Arial" w:cs="Times New Roman"/>
                            <w:sz w:val="19"/>
                            <w:szCs w:val="19"/>
                          </w:rPr>
                        </w:pPr>
                        <w:r w:rsidRPr="00D46E27">
                          <w:rPr>
                            <w:rFonts w:ascii="Arial" w:hAnsi="Arial" w:cs="Times New Roman"/>
                            <w:sz w:val="19"/>
                            <w:szCs w:val="19"/>
                          </w:rPr>
                          <w:t>Many service users reflected that accessing a SFVS service had been crucial in identifying their relationships as abusive, and understanding issues of both their own safety, and the safety of their families.</w:t>
                        </w:r>
                      </w:p>
                      <w:p w14:paraId="0C995A13" w14:textId="77777777" w:rsidR="00AD6E46" w:rsidRPr="00AD6E46" w:rsidRDefault="00AD6E46" w:rsidP="00321BC5">
                        <w:pPr>
                          <w:rPr>
                            <w:rFonts w:ascii="Arial" w:hAnsi="Arial" w:cs="Times New Roman"/>
                            <w:sz w:val="19"/>
                            <w:szCs w:val="19"/>
                          </w:rPr>
                        </w:pPr>
                      </w:p>
                      <w:p w14:paraId="7ED352E2" w14:textId="77777777" w:rsidR="00AD6E46" w:rsidRPr="00AD6E46" w:rsidRDefault="00AD6E46" w:rsidP="00321BC5">
                        <w:pPr>
                          <w:rPr>
                            <w:rFonts w:ascii="Arial" w:hAnsi="Arial" w:cs="Times New Roman"/>
                            <w:sz w:val="19"/>
                            <w:szCs w:val="19"/>
                          </w:rPr>
                        </w:pPr>
                      </w:p>
                      <w:p w14:paraId="35158F42" w14:textId="77777777" w:rsidR="00AD6E46" w:rsidRPr="00AD6E46" w:rsidRDefault="00AD6E46" w:rsidP="00321BC5">
                        <w:pPr>
                          <w:rPr>
                            <w:rFonts w:ascii="Arial" w:hAnsi="Arial" w:cs="Times New Roman"/>
                            <w:sz w:val="19"/>
                            <w:szCs w:val="19"/>
                          </w:rPr>
                        </w:pPr>
                      </w:p>
                      <w:p w14:paraId="18EC56E8" w14:textId="77777777" w:rsidR="00AD6E46" w:rsidRPr="00AD6E46" w:rsidRDefault="00AD6E46" w:rsidP="00321BC5">
                        <w:pPr>
                          <w:rPr>
                            <w:rFonts w:ascii="Arial" w:hAnsi="Arial" w:cs="Times New Roman"/>
                            <w:sz w:val="19"/>
                            <w:szCs w:val="19"/>
                          </w:rPr>
                        </w:pPr>
                      </w:p>
                      <w:p w14:paraId="3FEE7054" w14:textId="77777777" w:rsidR="00AD6E46" w:rsidRDefault="00AD6E46" w:rsidP="00AD6E46">
                        <w:pPr>
                          <w:rPr>
                            <w:rFonts w:ascii="Arial" w:hAnsi="Arial" w:cs="Times New Roman"/>
                            <w:sz w:val="19"/>
                            <w:szCs w:val="19"/>
                          </w:rPr>
                        </w:pPr>
                      </w:p>
                      <w:p w14:paraId="031AC90A" w14:textId="77777777" w:rsidR="00AD6E46" w:rsidRPr="00AD6E46" w:rsidRDefault="00AD6E46" w:rsidP="00AD6E46">
                        <w:pPr>
                          <w:rPr>
                            <w:rFonts w:ascii="Arial" w:hAnsi="Arial" w:cs="Times New Roman"/>
                            <w:sz w:val="19"/>
                            <w:szCs w:val="19"/>
                          </w:rPr>
                        </w:pPr>
                      </w:p>
                      <w:p w14:paraId="3760C58C" w14:textId="77777777" w:rsidR="00AD6E46" w:rsidRPr="00AD6E46" w:rsidRDefault="00AD6E46" w:rsidP="00AD6E46">
                        <w:pPr>
                          <w:rPr>
                            <w:rFonts w:ascii="Arial" w:hAnsi="Arial" w:cs="Times New Roman"/>
                            <w:sz w:val="19"/>
                            <w:szCs w:val="19"/>
                          </w:rPr>
                        </w:pPr>
                      </w:p>
                      <w:p w14:paraId="614A2D3C" w14:textId="77777777" w:rsidR="00AD6E46" w:rsidRDefault="00AD6E46" w:rsidP="00AD6E46">
                        <w:pPr>
                          <w:rPr>
                            <w:rFonts w:ascii="Arial" w:hAnsi="Arial" w:cs="Times New Roman"/>
                            <w:sz w:val="19"/>
                            <w:szCs w:val="19"/>
                          </w:rPr>
                        </w:pPr>
                      </w:p>
                      <w:p w14:paraId="6C8E0B31" w14:textId="77777777" w:rsidR="00AD6E46" w:rsidRPr="00AD6E46" w:rsidRDefault="00AD6E46" w:rsidP="00AD6E46">
                        <w:pPr>
                          <w:rPr>
                            <w:rFonts w:ascii="Arial" w:hAnsi="Arial" w:cs="Times New Roman"/>
                            <w:sz w:val="19"/>
                            <w:szCs w:val="19"/>
                          </w:rPr>
                        </w:pPr>
                      </w:p>
                      <w:p w14:paraId="4160BE90" w14:textId="77777777" w:rsidR="00AD6E46" w:rsidRDefault="00AD6E46" w:rsidP="00AD6E46">
                        <w:pPr>
                          <w:rPr>
                            <w:rFonts w:ascii="Arial" w:hAnsi="Arial" w:cs="Times New Roman"/>
                            <w:sz w:val="19"/>
                            <w:szCs w:val="19"/>
                          </w:rPr>
                        </w:pPr>
                      </w:p>
                      <w:p w14:paraId="17A7DC62" w14:textId="77777777" w:rsidR="00AD6E46" w:rsidRDefault="00AD6E46" w:rsidP="00AD6E46">
                        <w:pPr>
                          <w:rPr>
                            <w:rFonts w:ascii="Arial" w:hAnsi="Arial" w:cs="Times New Roman"/>
                            <w:sz w:val="19"/>
                            <w:szCs w:val="19"/>
                          </w:rPr>
                        </w:pPr>
                      </w:p>
                      <w:p w14:paraId="7D266536" w14:textId="56705730" w:rsidR="008E3397" w:rsidRPr="00ED028E" w:rsidRDefault="008E3397" w:rsidP="00321BC5">
                        <w:pPr>
                          <w:rPr>
                            <w:rFonts w:ascii="Arial" w:hAnsi="Arial" w:cs="Times New Roman"/>
                            <w:sz w:val="19"/>
                            <w:szCs w:val="19"/>
                          </w:rPr>
                        </w:pPr>
                      </w:p>
                    </w:tc>
                    <w:tc>
                      <w:tcPr>
                        <w:tcW w:w="1318" w:type="pct"/>
                        <w:tcBorders>
                          <w:bottom w:val="single" w:sz="4" w:space="0" w:color="BFBFBF" w:themeColor="text1" w:themeShade="BF"/>
                        </w:tcBorders>
                        <w:shd w:val="clear" w:color="auto" w:fill="F5F9EF" w:themeFill="accent5" w:themeFillTint="33"/>
                      </w:tcPr>
                      <w:p w14:paraId="4505D063" w14:textId="77777777" w:rsidR="008E3397" w:rsidRDefault="008E3397" w:rsidP="00D63E8D">
                        <w:pPr>
                          <w:spacing w:before="60" w:after="120"/>
                          <w:rPr>
                            <w:rFonts w:ascii="Arial" w:hAnsi="Arial" w:cs="Times New Roman"/>
                            <w:bCs/>
                            <w:sz w:val="19"/>
                            <w:szCs w:val="19"/>
                            <w:lang w:val="en-US"/>
                          </w:rPr>
                        </w:pPr>
                        <w:r w:rsidRPr="00D46E27">
                          <w:rPr>
                            <w:rFonts w:ascii="Arial" w:hAnsi="Arial" w:cs="Arial"/>
                            <w:bCs/>
                            <w:sz w:val="19"/>
                            <w:szCs w:val="19"/>
                            <w:lang w:val="en-US"/>
                          </w:rPr>
                          <w:lastRenderedPageBreak/>
                          <w:t>S</w:t>
                        </w:r>
                        <w:r w:rsidRPr="00D46E27">
                          <w:rPr>
                            <w:rFonts w:ascii="Arial" w:hAnsi="Arial" w:cs="Times New Roman"/>
                            <w:bCs/>
                            <w:sz w:val="19"/>
                            <w:szCs w:val="19"/>
                            <w:lang w:val="en-US"/>
                          </w:rPr>
                          <w:t xml:space="preserve">ervice providers described collaborating with other services and engaging in warm referrals to support service users </w:t>
                        </w:r>
                        <w:r>
                          <w:rPr>
                            <w:rFonts w:ascii="Arial" w:hAnsi="Arial" w:cs="Times New Roman"/>
                            <w:bCs/>
                            <w:sz w:val="19"/>
                            <w:szCs w:val="19"/>
                            <w:lang w:val="en-US"/>
                          </w:rPr>
                          <w:t xml:space="preserve">to </w:t>
                        </w:r>
                        <w:r w:rsidRPr="00D46E27">
                          <w:rPr>
                            <w:rFonts w:ascii="Arial" w:hAnsi="Arial" w:cs="Times New Roman"/>
                            <w:bCs/>
                            <w:sz w:val="19"/>
                            <w:szCs w:val="19"/>
                            <w:lang w:val="en-US"/>
                          </w:rPr>
                          <w:t>know who they can turn to for support.</w:t>
                        </w:r>
                      </w:p>
                      <w:p w14:paraId="0B1844E7" w14:textId="77777777" w:rsidR="008E3397" w:rsidRPr="00D46E27" w:rsidRDefault="008E3397">
                        <w:pPr>
                          <w:spacing w:before="60" w:after="120"/>
                          <w:rPr>
                            <w:rFonts w:ascii="Arial" w:hAnsi="Arial" w:cs="Arial"/>
                            <w:sz w:val="19"/>
                            <w:szCs w:val="19"/>
                            <w:lang w:val="en-US"/>
                          </w:rPr>
                        </w:pPr>
                      </w:p>
                    </w:tc>
                  </w:tr>
                  <w:tr w:rsidR="008E3397" w:rsidRPr="00D46E27" w14:paraId="451F4B80" w14:textId="77777777">
                    <w:trPr>
                      <w:cantSplit/>
                      <w:trHeight w:val="2382"/>
                    </w:trPr>
                    <w:tc>
                      <w:tcPr>
                        <w:tcW w:w="1047" w:type="pct"/>
                        <w:tcBorders>
                          <w:top w:val="single" w:sz="4" w:space="0" w:color="BFBFBF" w:themeColor="text1" w:themeShade="BF"/>
                          <w:bottom w:val="single" w:sz="4" w:space="0" w:color="BFBFBF" w:themeColor="text1" w:themeShade="BF"/>
                        </w:tcBorders>
                        <w:shd w:val="clear" w:color="auto" w:fill="E3EECF" w:themeFill="accent5" w:themeFillTint="99"/>
                      </w:tcPr>
                      <w:p w14:paraId="5E5FDC2E" w14:textId="0DBC688F" w:rsidR="008E3397" w:rsidRPr="00D46E27" w:rsidRDefault="008E3397">
                        <w:pPr>
                          <w:spacing w:before="60"/>
                          <w:rPr>
                            <w:rFonts w:ascii="Arial" w:hAnsi="Arial" w:cs="Arial"/>
                            <w:sz w:val="19"/>
                            <w:szCs w:val="19"/>
                          </w:rPr>
                        </w:pPr>
                        <w:r w:rsidRPr="00D46E27">
                          <w:rPr>
                            <w:rFonts w:ascii="Arial" w:hAnsi="Arial" w:cs="Times New Roman"/>
                            <w:sz w:val="19"/>
                            <w:szCs w:val="19"/>
                          </w:rPr>
                          <w:t xml:space="preserve">Children impacted by </w:t>
                        </w:r>
                        <w:r>
                          <w:rPr>
                            <w:rFonts w:ascii="Arial" w:hAnsi="Arial" w:cs="Times New Roman"/>
                            <w:sz w:val="19"/>
                            <w:szCs w:val="19"/>
                          </w:rPr>
                          <w:t>family violence</w:t>
                        </w:r>
                        <w:r w:rsidRPr="00D46E27">
                          <w:rPr>
                            <w:rFonts w:ascii="Arial" w:hAnsi="Arial" w:cs="Times New Roman"/>
                            <w:sz w:val="19"/>
                            <w:szCs w:val="19"/>
                          </w:rPr>
                          <w:t xml:space="preserve"> have improved knowledge and skills in:</w:t>
                        </w:r>
                      </w:p>
                      <w:p w14:paraId="1E8EB86A" w14:textId="77777777" w:rsidR="008E3397" w:rsidRPr="00D46E27" w:rsidRDefault="008E3397">
                        <w:pPr>
                          <w:numPr>
                            <w:ilvl w:val="0"/>
                            <w:numId w:val="110"/>
                          </w:numPr>
                          <w:spacing w:before="40" w:after="40"/>
                          <w:rPr>
                            <w:rFonts w:ascii="Arial" w:hAnsi="Arial" w:cs="Times New Roman"/>
                            <w:bCs/>
                            <w:color w:val="000000"/>
                            <w:sz w:val="19"/>
                            <w:szCs w:val="19"/>
                            <w:lang w:val="en-US"/>
                          </w:rPr>
                        </w:pPr>
                        <w:r>
                          <w:rPr>
                            <w:rFonts w:ascii="Arial" w:hAnsi="Arial" w:cs="Times New Roman"/>
                            <w:bCs/>
                            <w:color w:val="000000"/>
                            <w:sz w:val="19"/>
                            <w:szCs w:val="19"/>
                            <w:lang w:val="en-US"/>
                          </w:rPr>
                          <w:t xml:space="preserve">seeking support when they don’t feel safe </w:t>
                        </w:r>
                      </w:p>
                      <w:p w14:paraId="64457CF8" w14:textId="71E48EF9" w:rsidR="008E3397" w:rsidRPr="00ED028E" w:rsidRDefault="008E3397">
                        <w:pPr>
                          <w:numPr>
                            <w:ilvl w:val="0"/>
                            <w:numId w:val="110"/>
                          </w:numPr>
                          <w:spacing w:before="40" w:after="40"/>
                          <w:rPr>
                            <w:rFonts w:ascii="Arial" w:hAnsi="Arial" w:cs="Times New Roman"/>
                            <w:sz w:val="19"/>
                            <w:szCs w:val="19"/>
                            <w:lang w:val="en-US"/>
                          </w:rPr>
                        </w:pPr>
                        <w:r>
                          <w:rPr>
                            <w:rFonts w:ascii="Arial" w:hAnsi="Arial" w:cs="Times New Roman"/>
                            <w:sz w:val="19"/>
                            <w:szCs w:val="19"/>
                            <w:lang w:val="en-US"/>
                          </w:rPr>
                          <w:t>strategies to improve</w:t>
                        </w:r>
                        <w:r w:rsidRPr="00D46E27">
                          <w:rPr>
                            <w:rFonts w:ascii="Arial" w:hAnsi="Arial" w:cs="Times New Roman"/>
                            <w:sz w:val="19"/>
                            <w:szCs w:val="19"/>
                            <w:lang w:val="en-US"/>
                          </w:rPr>
                          <w:t xml:space="preserve"> mental health and wellbeing</w:t>
                        </w:r>
                        <w:r>
                          <w:rPr>
                            <w:rFonts w:ascii="Arial" w:hAnsi="Arial" w:cs="Times New Roman"/>
                            <w:sz w:val="19"/>
                            <w:szCs w:val="19"/>
                            <w:lang w:val="en-US"/>
                          </w:rPr>
                          <w:t>.</w:t>
                        </w:r>
                      </w:p>
                    </w:tc>
                    <w:tc>
                      <w:tcPr>
                        <w:tcW w:w="1317" w:type="pct"/>
                        <w:tcBorders>
                          <w:top w:val="single" w:sz="4" w:space="0" w:color="BFBFBF" w:themeColor="text1" w:themeShade="BF"/>
                          <w:bottom w:val="single" w:sz="4" w:space="0" w:color="BFBFBF" w:themeColor="text1" w:themeShade="BF"/>
                        </w:tcBorders>
                        <w:shd w:val="clear" w:color="auto" w:fill="F5F9EF" w:themeFill="accent5" w:themeFillTint="33"/>
                      </w:tcPr>
                      <w:p w14:paraId="62D99C57" w14:textId="1E1FAFC7" w:rsidR="00C2759A" w:rsidRDefault="00C2759A">
                        <w:pPr>
                          <w:spacing w:before="120" w:after="120"/>
                          <w:rPr>
                            <w:rFonts w:ascii="Arial" w:hAnsi="Arial" w:cs="Arial"/>
                            <w:bCs/>
                            <w:sz w:val="19"/>
                            <w:szCs w:val="19"/>
                            <w:lang w:val="en-US"/>
                          </w:rPr>
                        </w:pPr>
                        <w:r>
                          <w:rPr>
                            <w:rFonts w:ascii="Arial" w:hAnsi="Arial" w:cs="Times New Roman"/>
                            <w:sz w:val="19"/>
                            <w:szCs w:val="19"/>
                          </w:rPr>
                          <w:t>Children</w:t>
                        </w:r>
                        <w:r w:rsidRPr="00F6254E">
                          <w:rPr>
                            <w:rFonts w:ascii="Arial" w:hAnsi="Arial" w:cs="Times New Roman"/>
                            <w:sz w:val="19"/>
                            <w:szCs w:val="19"/>
                          </w:rPr>
                          <w:t xml:space="preserve"> experienced a:</w:t>
                        </w:r>
                      </w:p>
                      <w:p w14:paraId="7491ADDD" w14:textId="7C6D8ADB" w:rsidR="008E3397" w:rsidRPr="003122A1" w:rsidRDefault="008E3397">
                        <w:pPr>
                          <w:spacing w:before="60" w:after="120"/>
                          <w:rPr>
                            <w:rFonts w:ascii="Arial" w:hAnsi="Arial" w:cs="Times New Roman"/>
                            <w:sz w:val="19"/>
                            <w:szCs w:val="19"/>
                          </w:rPr>
                        </w:pPr>
                        <w:r>
                          <w:rPr>
                            <w:rFonts w:ascii="Arial" w:hAnsi="Arial" w:cs="Times New Roman"/>
                            <w:b/>
                            <w:bCs/>
                            <w:color w:val="007E00" w:themeColor="accent3"/>
                            <w:sz w:val="20"/>
                          </w:rPr>
                          <w:t>0</w:t>
                        </w:r>
                        <w:r w:rsidRPr="003122A1">
                          <w:rPr>
                            <w:rFonts w:ascii="Arial" w:hAnsi="Arial" w:cs="Times New Roman"/>
                            <w:b/>
                            <w:bCs/>
                            <w:color w:val="007E00" w:themeColor="accent3"/>
                            <w:sz w:val="20"/>
                          </w:rPr>
                          <w:t>.</w:t>
                        </w:r>
                        <w:r>
                          <w:rPr>
                            <w:rFonts w:ascii="Arial" w:hAnsi="Arial" w:cs="Times New Roman"/>
                            <w:b/>
                            <w:bCs/>
                            <w:color w:val="007E00" w:themeColor="accent3"/>
                            <w:sz w:val="20"/>
                          </w:rPr>
                          <w:t>9</w:t>
                        </w:r>
                        <w:r>
                          <w:rPr>
                            <w:rFonts w:ascii="Arial" w:hAnsi="Arial" w:cs="Times New Roman"/>
                            <w:sz w:val="19"/>
                            <w:szCs w:val="19"/>
                          </w:rPr>
                          <w:t xml:space="preserve"> </w:t>
                        </w:r>
                        <w:r w:rsidRPr="003122A1">
                          <w:rPr>
                            <w:rFonts w:ascii="Arial" w:hAnsi="Arial" w:cs="Times New Roman"/>
                            <w:sz w:val="19"/>
                            <w:szCs w:val="19"/>
                          </w:rPr>
                          <w:t xml:space="preserve">increase in </w:t>
                        </w:r>
                        <w:r w:rsidR="00056A1C">
                          <w:rPr>
                            <w:rFonts w:ascii="Arial" w:hAnsi="Arial" w:cs="Times New Roman"/>
                            <w:sz w:val="19"/>
                            <w:szCs w:val="19"/>
                          </w:rPr>
                          <w:t xml:space="preserve">mean </w:t>
                        </w:r>
                        <w:r w:rsidR="006F663A" w:rsidRPr="006F663A">
                          <w:rPr>
                            <w:rFonts w:ascii="Arial" w:hAnsi="Arial" w:cs="Times New Roman"/>
                            <w:sz w:val="19"/>
                            <w:szCs w:val="19"/>
                          </w:rPr>
                          <w:t>SCORE</w:t>
                        </w:r>
                        <w:r w:rsidR="00056A1C">
                          <w:rPr>
                            <w:rFonts w:ascii="Arial" w:hAnsi="Arial" w:cs="Times New Roman"/>
                            <w:sz w:val="19"/>
                            <w:szCs w:val="19"/>
                          </w:rPr>
                          <w:t xml:space="preserve"> for the Goal: Changed knowledge and access to information</w:t>
                        </w:r>
                        <w:r w:rsidR="007B6C1D">
                          <w:rPr>
                            <w:rFonts w:ascii="Arial" w:hAnsi="Arial" w:cs="Times New Roman"/>
                            <w:sz w:val="19"/>
                            <w:szCs w:val="19"/>
                          </w:rPr>
                          <w:t>.</w:t>
                        </w:r>
                      </w:p>
                      <w:p w14:paraId="13C7EA14" w14:textId="05513182" w:rsidR="008E3397" w:rsidRDefault="008E3397">
                        <w:pPr>
                          <w:spacing w:before="120" w:after="120"/>
                          <w:rPr>
                            <w:rFonts w:ascii="Arial" w:hAnsi="Arial" w:cs="Times New Roman"/>
                            <w:bCs/>
                            <w:sz w:val="19"/>
                            <w:szCs w:val="19"/>
                            <w:lang w:val="en-US"/>
                          </w:rPr>
                        </w:pPr>
                        <w:r w:rsidRPr="004B47F8">
                          <w:rPr>
                            <w:rFonts w:ascii="Arial" w:hAnsi="Arial" w:cs="Times New Roman"/>
                            <w:b/>
                            <w:color w:val="007E00" w:themeColor="accent3"/>
                            <w:sz w:val="20"/>
                            <w:lang w:val="en-US"/>
                          </w:rPr>
                          <w:t>1</w:t>
                        </w:r>
                        <w:r w:rsidRPr="004B47F8">
                          <w:rPr>
                            <w:rFonts w:ascii="Arial" w:hAnsi="Arial" w:cs="Times New Roman"/>
                            <w:b/>
                            <w:color w:val="007E00" w:themeColor="accent3"/>
                            <w:sz w:val="20"/>
                          </w:rPr>
                          <w:t>.</w:t>
                        </w:r>
                        <w:r w:rsidRPr="001F5E05">
                          <w:rPr>
                            <w:rFonts w:ascii="Arial" w:hAnsi="Arial" w:cs="Times New Roman"/>
                            <w:b/>
                            <w:bCs/>
                            <w:color w:val="007E00" w:themeColor="accent3"/>
                            <w:sz w:val="20"/>
                          </w:rPr>
                          <w:t>0</w:t>
                        </w:r>
                        <w:r>
                          <w:rPr>
                            <w:rFonts w:ascii="Arial" w:hAnsi="Arial" w:cs="Times New Roman"/>
                            <w:bCs/>
                            <w:sz w:val="19"/>
                            <w:szCs w:val="19"/>
                            <w:lang w:val="en-US"/>
                          </w:rPr>
                          <w:t xml:space="preserve"> increase in the </w:t>
                        </w:r>
                        <w:r w:rsidR="00056A1C">
                          <w:rPr>
                            <w:rFonts w:ascii="Arial" w:hAnsi="Arial" w:cs="Times New Roman"/>
                            <w:bCs/>
                            <w:sz w:val="19"/>
                            <w:szCs w:val="19"/>
                            <w:lang w:val="en-US"/>
                          </w:rPr>
                          <w:t xml:space="preserve">mean </w:t>
                        </w:r>
                        <w:r w:rsidR="006F663A" w:rsidRPr="006F663A">
                          <w:rPr>
                            <w:rFonts w:ascii="Arial" w:hAnsi="Arial" w:cs="Times New Roman"/>
                            <w:bCs/>
                            <w:sz w:val="19"/>
                            <w:szCs w:val="19"/>
                            <w:lang w:val="en-US"/>
                          </w:rPr>
                          <w:t>SCORE</w:t>
                        </w:r>
                        <w:r w:rsidR="00056A1C">
                          <w:rPr>
                            <w:rFonts w:ascii="Arial" w:hAnsi="Arial" w:cs="Times New Roman"/>
                            <w:bCs/>
                            <w:sz w:val="19"/>
                            <w:szCs w:val="19"/>
                            <w:lang w:val="en-US"/>
                          </w:rPr>
                          <w:t xml:space="preserve"> for the Goal: Changed skills</w:t>
                        </w:r>
                        <w:r w:rsidR="007B6C1D">
                          <w:rPr>
                            <w:rFonts w:ascii="Arial" w:hAnsi="Arial" w:cs="Times New Roman"/>
                            <w:bCs/>
                            <w:sz w:val="19"/>
                            <w:szCs w:val="19"/>
                            <w:lang w:val="en-US"/>
                          </w:rPr>
                          <w:t>.</w:t>
                        </w:r>
                        <w:r w:rsidR="00056A1C">
                          <w:rPr>
                            <w:rFonts w:ascii="Arial" w:hAnsi="Arial" w:cs="Times New Roman"/>
                            <w:bCs/>
                            <w:sz w:val="19"/>
                            <w:szCs w:val="19"/>
                            <w:lang w:val="en-US"/>
                          </w:rPr>
                          <w:t xml:space="preserve"> </w:t>
                        </w:r>
                      </w:p>
                      <w:p w14:paraId="776BBF3A" w14:textId="77777777" w:rsidR="008E3397" w:rsidRPr="005946BE" w:rsidRDefault="008E3397">
                        <w:pPr>
                          <w:rPr>
                            <w:rFonts w:ascii="Arial" w:hAnsi="Arial" w:cs="Times New Roman"/>
                            <w:sz w:val="19"/>
                            <w:szCs w:val="19"/>
                            <w:lang w:val="en-US"/>
                          </w:rPr>
                        </w:pPr>
                      </w:p>
                      <w:p w14:paraId="7B941C96" w14:textId="77777777" w:rsidR="008E3397" w:rsidRDefault="008E3397">
                        <w:pPr>
                          <w:rPr>
                            <w:rFonts w:ascii="Arial" w:hAnsi="Arial" w:cs="Times New Roman"/>
                            <w:bCs/>
                            <w:sz w:val="19"/>
                            <w:szCs w:val="19"/>
                            <w:lang w:val="en-US"/>
                          </w:rPr>
                        </w:pPr>
                      </w:p>
                      <w:p w14:paraId="7C19A4E5" w14:textId="77777777" w:rsidR="008E3397" w:rsidRDefault="008E3397">
                        <w:pPr>
                          <w:rPr>
                            <w:rFonts w:ascii="Arial" w:hAnsi="Arial" w:cs="Times New Roman"/>
                            <w:bCs/>
                            <w:sz w:val="19"/>
                            <w:szCs w:val="19"/>
                            <w:lang w:val="en-US"/>
                          </w:rPr>
                        </w:pPr>
                      </w:p>
                      <w:p w14:paraId="7ED7CF83" w14:textId="77777777" w:rsidR="008E3397" w:rsidRPr="00D46E27" w:rsidRDefault="008E3397">
                        <w:pPr>
                          <w:jc w:val="center"/>
                          <w:rPr>
                            <w:rFonts w:ascii="Arial" w:hAnsi="Arial" w:cs="Times New Roman"/>
                            <w:bCs/>
                            <w:sz w:val="19"/>
                            <w:szCs w:val="19"/>
                            <w:lang w:val="en-US"/>
                          </w:rPr>
                        </w:pPr>
                      </w:p>
                    </w:tc>
                    <w:tc>
                      <w:tcPr>
                        <w:tcW w:w="1318" w:type="pct"/>
                        <w:tcBorders>
                          <w:top w:val="single" w:sz="4" w:space="0" w:color="BFBFBF" w:themeColor="text1" w:themeShade="BF"/>
                          <w:bottom w:val="single" w:sz="4" w:space="0" w:color="BFBFBF" w:themeColor="text1" w:themeShade="BF"/>
                        </w:tcBorders>
                        <w:shd w:val="clear" w:color="auto" w:fill="F5F9EF" w:themeFill="accent5" w:themeFillTint="33"/>
                      </w:tcPr>
                      <w:p w14:paraId="3840CB34" w14:textId="77777777" w:rsidR="008E3397" w:rsidRPr="00D46E27" w:rsidRDefault="008E3397">
                        <w:pPr>
                          <w:spacing w:before="120" w:after="120"/>
                          <w:rPr>
                            <w:rFonts w:ascii="Arial" w:hAnsi="Arial" w:cs="Times New Roman"/>
                            <w:sz w:val="19"/>
                            <w:szCs w:val="19"/>
                          </w:rPr>
                        </w:pPr>
                        <w:r w:rsidRPr="00D46E27">
                          <w:rPr>
                            <w:rFonts w:ascii="Arial" w:hAnsi="Arial" w:cs="Times New Roman"/>
                            <w:bCs/>
                            <w:sz w:val="19"/>
                            <w:szCs w:val="19"/>
                            <w:lang w:val="en-US"/>
                          </w:rPr>
                          <w:t xml:space="preserve">Children reported </w:t>
                        </w:r>
                        <w:r>
                          <w:rPr>
                            <w:rFonts w:ascii="Arial" w:hAnsi="Arial" w:cs="Times New Roman"/>
                            <w:bCs/>
                            <w:sz w:val="19"/>
                            <w:szCs w:val="19"/>
                            <w:lang w:val="en-US"/>
                          </w:rPr>
                          <w:t>appreciating</w:t>
                        </w:r>
                        <w:r w:rsidRPr="00D46E27">
                          <w:rPr>
                            <w:rFonts w:ascii="Arial" w:hAnsi="Arial" w:cs="Times New Roman"/>
                            <w:bCs/>
                            <w:sz w:val="19"/>
                            <w:szCs w:val="19"/>
                            <w:lang w:val="en-US"/>
                          </w:rPr>
                          <w:t xml:space="preserve"> having someone to talk to, who took them seriously, respected their privacy and did not judge them.</w:t>
                        </w:r>
                      </w:p>
                    </w:tc>
                    <w:tc>
                      <w:tcPr>
                        <w:tcW w:w="1318" w:type="pct"/>
                        <w:tcBorders>
                          <w:top w:val="single" w:sz="4" w:space="0" w:color="BFBFBF" w:themeColor="text1" w:themeShade="BF"/>
                          <w:bottom w:val="single" w:sz="4" w:space="0" w:color="BFBFBF" w:themeColor="text1" w:themeShade="BF"/>
                        </w:tcBorders>
                        <w:shd w:val="clear" w:color="auto" w:fill="F5F9EF" w:themeFill="accent5" w:themeFillTint="33"/>
                      </w:tcPr>
                      <w:p w14:paraId="28C0520C" w14:textId="77777777" w:rsidR="008E3397" w:rsidRDefault="008E3397">
                        <w:pPr>
                          <w:spacing w:before="60" w:after="120"/>
                          <w:rPr>
                            <w:rFonts w:ascii="Arial" w:hAnsi="Arial" w:cs="Times New Roman"/>
                            <w:bCs/>
                            <w:sz w:val="19"/>
                            <w:szCs w:val="19"/>
                            <w:lang w:val="en-US"/>
                          </w:rPr>
                        </w:pPr>
                        <w:r w:rsidRPr="00D46E27">
                          <w:rPr>
                            <w:rFonts w:ascii="Arial" w:hAnsi="Arial" w:cs="Times New Roman"/>
                            <w:bCs/>
                            <w:sz w:val="19"/>
                            <w:szCs w:val="19"/>
                            <w:lang w:val="en-US"/>
                          </w:rPr>
                          <w:t>Service providers emphasised best practices of applying whole</w:t>
                        </w:r>
                        <w:r>
                          <w:rPr>
                            <w:rFonts w:ascii="Arial" w:hAnsi="Arial" w:cs="Times New Roman"/>
                            <w:bCs/>
                            <w:sz w:val="19"/>
                            <w:szCs w:val="19"/>
                            <w:lang w:val="en-US"/>
                          </w:rPr>
                          <w:t>-</w:t>
                        </w:r>
                        <w:r w:rsidRPr="00D46E27">
                          <w:rPr>
                            <w:rFonts w:ascii="Arial" w:hAnsi="Arial" w:cs="Times New Roman"/>
                            <w:bCs/>
                            <w:sz w:val="19"/>
                            <w:szCs w:val="19"/>
                            <w:lang w:val="en-US"/>
                          </w:rPr>
                          <w:t>of</w:t>
                        </w:r>
                        <w:r>
                          <w:rPr>
                            <w:rFonts w:ascii="Arial" w:hAnsi="Arial" w:cs="Times New Roman"/>
                            <w:bCs/>
                            <w:sz w:val="19"/>
                            <w:szCs w:val="19"/>
                            <w:lang w:val="en-US"/>
                          </w:rPr>
                          <w:t>-</w:t>
                        </w:r>
                        <w:r w:rsidRPr="00D46E27">
                          <w:rPr>
                            <w:rFonts w:ascii="Arial" w:hAnsi="Arial" w:cs="Times New Roman"/>
                            <w:bCs/>
                            <w:sz w:val="19"/>
                            <w:szCs w:val="19"/>
                            <w:lang w:val="en-US"/>
                          </w:rPr>
                          <w:t>family approaches and centering children and young people to give them a voice.</w:t>
                        </w:r>
                      </w:p>
                      <w:p w14:paraId="75186D20" w14:textId="77777777" w:rsidR="008E3397" w:rsidRPr="00D46E27" w:rsidRDefault="008E3397">
                        <w:pPr>
                          <w:spacing w:before="60" w:after="120"/>
                          <w:rPr>
                            <w:rFonts w:ascii="Arial" w:hAnsi="Arial" w:cs="Times New Roman"/>
                            <w:sz w:val="19"/>
                            <w:szCs w:val="19"/>
                            <w:lang w:val="en-US"/>
                          </w:rPr>
                        </w:pPr>
                        <w:r>
                          <w:rPr>
                            <w:rFonts w:ascii="Arial" w:hAnsi="Arial" w:cs="Times New Roman"/>
                            <w:bCs/>
                            <w:sz w:val="19"/>
                            <w:szCs w:val="19"/>
                            <w:lang w:val="en-US"/>
                          </w:rPr>
                          <w:t xml:space="preserve">Service providers emphasised the importance of having staff that had sufficient knowledge and experience providing counselling to children. </w:t>
                        </w:r>
                      </w:p>
                    </w:tc>
                  </w:tr>
                  <w:tr w:rsidR="008E3397" w:rsidRPr="00D46E27" w14:paraId="3DF85303" w14:textId="77777777">
                    <w:trPr>
                      <w:cantSplit/>
                    </w:trPr>
                    <w:tc>
                      <w:tcPr>
                        <w:tcW w:w="1047" w:type="pct"/>
                        <w:tcBorders>
                          <w:top w:val="single" w:sz="4" w:space="0" w:color="BFBFBF" w:themeColor="text1" w:themeShade="BF"/>
                        </w:tcBorders>
                        <w:shd w:val="clear" w:color="auto" w:fill="E3EECF" w:themeFill="accent5" w:themeFillTint="99"/>
                      </w:tcPr>
                      <w:p w14:paraId="5CA05679" w14:textId="77777777" w:rsidR="008E3397" w:rsidRPr="00EA4213" w:rsidRDefault="008E3397">
                        <w:pPr>
                          <w:spacing w:before="60"/>
                          <w:rPr>
                            <w:rFonts w:ascii="Arial" w:hAnsi="Arial" w:cs="Arial"/>
                            <w:sz w:val="19"/>
                            <w:szCs w:val="19"/>
                            <w:lang w:val="en-US"/>
                          </w:rPr>
                        </w:pPr>
                        <w:r w:rsidRPr="00ED028E">
                          <w:rPr>
                            <w:rFonts w:ascii="Arial" w:hAnsi="Arial" w:cs="Arial"/>
                            <w:sz w:val="19"/>
                            <w:szCs w:val="19"/>
                          </w:rPr>
                          <w:lastRenderedPageBreak/>
                          <w:t xml:space="preserve">Perpetrators have increased </w:t>
                        </w:r>
                        <w:r w:rsidRPr="007527D0">
                          <w:rPr>
                            <w:rFonts w:ascii="Arial" w:hAnsi="Arial" w:cs="Arial"/>
                            <w:sz w:val="19"/>
                            <w:szCs w:val="19"/>
                          </w:rPr>
                          <w:t>knowledge and skills in</w:t>
                        </w:r>
                        <w:r w:rsidRPr="00EA4213">
                          <w:rPr>
                            <w:rFonts w:ascii="Arial" w:hAnsi="Arial" w:cs="Arial"/>
                            <w:sz w:val="19"/>
                            <w:szCs w:val="19"/>
                          </w:rPr>
                          <w:t>:</w:t>
                        </w:r>
                        <w:r w:rsidRPr="00EA4213">
                          <w:rPr>
                            <w:rFonts w:ascii="Arial" w:hAnsi="Arial" w:cs="Arial"/>
                            <w:sz w:val="19"/>
                            <w:szCs w:val="19"/>
                            <w:lang w:val="en-US"/>
                          </w:rPr>
                          <w:t> </w:t>
                        </w:r>
                      </w:p>
                      <w:p w14:paraId="0E224C28" w14:textId="77777777" w:rsidR="008E3397" w:rsidRPr="00EA4213" w:rsidRDefault="008E3397">
                        <w:pPr>
                          <w:numPr>
                            <w:ilvl w:val="0"/>
                            <w:numId w:val="59"/>
                          </w:numPr>
                          <w:spacing w:before="40" w:after="120"/>
                          <w:ind w:left="266" w:hanging="266"/>
                          <w:rPr>
                            <w:rFonts w:ascii="Arial" w:hAnsi="Arial" w:cs="Arial"/>
                            <w:iCs/>
                            <w:sz w:val="19"/>
                            <w:szCs w:val="19"/>
                          </w:rPr>
                        </w:pPr>
                        <w:r w:rsidRPr="00EA4213">
                          <w:rPr>
                            <w:rFonts w:ascii="Arial" w:hAnsi="Arial" w:cs="Arial"/>
                            <w:iCs/>
                            <w:sz w:val="19"/>
                            <w:szCs w:val="19"/>
                          </w:rPr>
                          <w:t>seeking help to reduce violent and abusive behaviours</w:t>
                        </w:r>
                      </w:p>
                      <w:p w14:paraId="54D05918" w14:textId="77777777" w:rsidR="008E3397" w:rsidRPr="003A379A" w:rsidRDefault="008E3397">
                        <w:pPr>
                          <w:numPr>
                            <w:ilvl w:val="0"/>
                            <w:numId w:val="59"/>
                          </w:numPr>
                          <w:spacing w:before="40" w:after="120"/>
                          <w:ind w:left="266" w:hanging="266"/>
                          <w:rPr>
                            <w:rFonts w:ascii="Arial" w:hAnsi="Arial" w:cs="Times New Roman"/>
                            <w:iCs/>
                            <w:sz w:val="19"/>
                            <w:szCs w:val="19"/>
                            <w:lang w:val="en-US"/>
                          </w:rPr>
                        </w:pPr>
                        <w:r w:rsidRPr="00EA4213">
                          <w:rPr>
                            <w:rFonts w:ascii="Arial" w:hAnsi="Arial" w:cs="Arial"/>
                            <w:iCs/>
                            <w:sz w:val="19"/>
                            <w:szCs w:val="19"/>
                          </w:rPr>
                          <w:t>strategies to reduce violent and abusive behaviours.</w:t>
                        </w:r>
                      </w:p>
                    </w:tc>
                    <w:tc>
                      <w:tcPr>
                        <w:tcW w:w="1317" w:type="pct"/>
                        <w:tcBorders>
                          <w:top w:val="single" w:sz="4" w:space="0" w:color="BFBFBF" w:themeColor="text1" w:themeShade="BF"/>
                        </w:tcBorders>
                        <w:shd w:val="clear" w:color="auto" w:fill="F5F9EF" w:themeFill="accent5" w:themeFillTint="33"/>
                      </w:tcPr>
                      <w:p w14:paraId="289ADBA7" w14:textId="77777777" w:rsidR="008E3397" w:rsidRDefault="00317C03">
                        <w:pPr>
                          <w:spacing w:before="120" w:after="120"/>
                          <w:rPr>
                            <w:sz w:val="19"/>
                            <w:szCs w:val="19"/>
                            <w:lang w:val="en-US"/>
                          </w:rPr>
                        </w:pPr>
                        <w:r w:rsidRPr="00D00B38">
                          <w:rPr>
                            <w:sz w:val="19"/>
                            <w:szCs w:val="19"/>
                            <w:lang w:val="en-US"/>
                          </w:rPr>
                          <w:t xml:space="preserve">Whilst the quantitative data indicates most participating men showed improved circumstances by program end, it is not possible to determine the extent to which this resulted in actual behaviour change for participants. Between 51% and 65% of MBCP service users had an overall positive change in circumstances. The average Circumstance </w:t>
                        </w:r>
                        <w:r w:rsidR="006F663A" w:rsidRPr="006F663A">
                          <w:rPr>
                            <w:sz w:val="19"/>
                            <w:szCs w:val="19"/>
                            <w:lang w:val="en-US"/>
                          </w:rPr>
                          <w:t>SCORE</w:t>
                        </w:r>
                        <w:r w:rsidRPr="00D00B38">
                          <w:rPr>
                            <w:sz w:val="19"/>
                            <w:szCs w:val="19"/>
                            <w:lang w:val="en-US"/>
                          </w:rPr>
                          <w:t xml:space="preserve"> change was in the order of </w:t>
                        </w:r>
                        <w:r w:rsidR="00D00B38">
                          <w:rPr>
                            <w:rFonts w:ascii="Arial" w:hAnsi="Arial" w:cs="Times New Roman"/>
                            <w:b/>
                            <w:bCs/>
                            <w:color w:val="007E00" w:themeColor="accent3"/>
                            <w:sz w:val="20"/>
                          </w:rPr>
                          <w:t>+</w:t>
                        </w:r>
                        <w:r w:rsidR="00D00B38">
                          <w:rPr>
                            <w:rFonts w:ascii="Arial" w:hAnsi="Arial" w:cs="Times New Roman"/>
                            <w:b/>
                            <w:color w:val="007E00" w:themeColor="accent3"/>
                            <w:sz w:val="20"/>
                            <w:lang w:val="en-US"/>
                          </w:rPr>
                          <w:t>0.7</w:t>
                        </w:r>
                        <w:r w:rsidR="00D00B38">
                          <w:rPr>
                            <w:rFonts w:ascii="Arial" w:hAnsi="Arial" w:cs="Times New Roman"/>
                            <w:b/>
                            <w:bCs/>
                            <w:color w:val="007E00" w:themeColor="accent3"/>
                            <w:sz w:val="20"/>
                          </w:rPr>
                          <w:t>0 - +1.05</w:t>
                        </w:r>
                        <w:r w:rsidRPr="00D00B38">
                          <w:rPr>
                            <w:sz w:val="19"/>
                            <w:szCs w:val="19"/>
                            <w:lang w:val="en-US"/>
                          </w:rPr>
                          <w:t>.</w:t>
                        </w:r>
                      </w:p>
                      <w:p w14:paraId="2CAA967A" w14:textId="77777777" w:rsidR="00F531BB" w:rsidRDefault="00F531BB">
                        <w:pPr>
                          <w:spacing w:before="120" w:after="120"/>
                          <w:rPr>
                            <w:rFonts w:ascii="Arial" w:hAnsi="Arial" w:cs="Times New Roman"/>
                            <w:sz w:val="19"/>
                            <w:szCs w:val="19"/>
                          </w:rPr>
                        </w:pPr>
                      </w:p>
                      <w:p w14:paraId="7D33C392" w14:textId="77777777" w:rsidR="00F531BB" w:rsidRDefault="00F531BB">
                        <w:pPr>
                          <w:spacing w:before="120" w:after="120"/>
                          <w:rPr>
                            <w:rFonts w:ascii="Arial" w:hAnsi="Arial" w:cs="Times New Roman"/>
                            <w:sz w:val="19"/>
                            <w:szCs w:val="19"/>
                          </w:rPr>
                        </w:pPr>
                      </w:p>
                      <w:p w14:paraId="22255DEA" w14:textId="77777777" w:rsidR="00F531BB" w:rsidRDefault="00F531BB">
                        <w:pPr>
                          <w:spacing w:before="120" w:after="120"/>
                          <w:rPr>
                            <w:rFonts w:ascii="Arial" w:hAnsi="Arial" w:cs="Times New Roman"/>
                            <w:sz w:val="19"/>
                            <w:szCs w:val="19"/>
                          </w:rPr>
                        </w:pPr>
                      </w:p>
                      <w:p w14:paraId="1A877F0A" w14:textId="77777777" w:rsidR="00F531BB" w:rsidRDefault="00F531BB">
                        <w:pPr>
                          <w:spacing w:before="120" w:after="120"/>
                          <w:rPr>
                            <w:rFonts w:ascii="Arial" w:hAnsi="Arial" w:cs="Times New Roman"/>
                            <w:sz w:val="19"/>
                            <w:szCs w:val="19"/>
                          </w:rPr>
                        </w:pPr>
                      </w:p>
                      <w:p w14:paraId="57F6E142" w14:textId="14CA435A" w:rsidR="008E3397" w:rsidRPr="00D00B38" w:rsidRDefault="008E3397">
                        <w:pPr>
                          <w:spacing w:before="120" w:after="120"/>
                          <w:rPr>
                            <w:rFonts w:ascii="Arial" w:hAnsi="Arial" w:cs="Times New Roman"/>
                            <w:sz w:val="19"/>
                            <w:szCs w:val="19"/>
                          </w:rPr>
                        </w:pPr>
                      </w:p>
                    </w:tc>
                    <w:tc>
                      <w:tcPr>
                        <w:tcW w:w="1318" w:type="pct"/>
                        <w:tcBorders>
                          <w:top w:val="single" w:sz="4" w:space="0" w:color="BFBFBF" w:themeColor="text1" w:themeShade="BF"/>
                        </w:tcBorders>
                        <w:shd w:val="clear" w:color="auto" w:fill="F5F9EF" w:themeFill="accent5" w:themeFillTint="33"/>
                      </w:tcPr>
                      <w:p w14:paraId="352C7E43" w14:textId="77777777" w:rsidR="008E3397" w:rsidRPr="00D46E27" w:rsidRDefault="008E3397">
                        <w:pPr>
                          <w:spacing w:before="60" w:after="120"/>
                          <w:rPr>
                            <w:rFonts w:ascii="Arial" w:hAnsi="Arial" w:cs="Times New Roman"/>
                            <w:bCs/>
                            <w:sz w:val="19"/>
                            <w:szCs w:val="19"/>
                            <w:lang w:val="en-US"/>
                          </w:rPr>
                        </w:pPr>
                        <w:r w:rsidRPr="00D46E27">
                          <w:rPr>
                            <w:rFonts w:ascii="Arial" w:hAnsi="Arial" w:cs="Times New Roman"/>
                            <w:bCs/>
                            <w:sz w:val="19"/>
                            <w:szCs w:val="19"/>
                            <w:lang w:val="en-US"/>
                          </w:rPr>
                          <w:t>Adults using family violence showed insight and motivation to change their behaviours.</w:t>
                        </w:r>
                      </w:p>
                      <w:p w14:paraId="06F4AFA7" w14:textId="77777777" w:rsidR="008E3397" w:rsidRPr="00D46E27" w:rsidRDefault="008E3397">
                        <w:pPr>
                          <w:spacing w:before="120" w:after="120"/>
                          <w:rPr>
                            <w:rFonts w:ascii="Arial" w:hAnsi="Arial" w:cs="Times New Roman"/>
                            <w:b/>
                            <w:sz w:val="19"/>
                            <w:szCs w:val="19"/>
                            <w:lang w:val="en-US"/>
                          </w:rPr>
                        </w:pPr>
                        <w:r w:rsidRPr="00D46E27">
                          <w:rPr>
                            <w:rFonts w:ascii="Arial" w:hAnsi="Arial" w:cs="Times New Roman"/>
                            <w:bCs/>
                            <w:sz w:val="19"/>
                            <w:szCs w:val="19"/>
                            <w:lang w:val="en-US"/>
                          </w:rPr>
                          <w:t>Intrinsic motivations of restoring family relationships were described by MBCP service users.</w:t>
                        </w:r>
                      </w:p>
                    </w:tc>
                    <w:tc>
                      <w:tcPr>
                        <w:tcW w:w="1318" w:type="pct"/>
                        <w:tcBorders>
                          <w:top w:val="single" w:sz="4" w:space="0" w:color="BFBFBF" w:themeColor="text1" w:themeShade="BF"/>
                        </w:tcBorders>
                        <w:shd w:val="clear" w:color="auto" w:fill="F5F9EF" w:themeFill="accent5" w:themeFillTint="33"/>
                      </w:tcPr>
                      <w:p w14:paraId="74034EF0" w14:textId="77777777" w:rsidR="008E3397" w:rsidRPr="00D46E27" w:rsidRDefault="008E3397">
                        <w:pPr>
                          <w:spacing w:before="120" w:after="120"/>
                          <w:rPr>
                            <w:rFonts w:ascii="Arial" w:hAnsi="Arial" w:cs="Times New Roman"/>
                            <w:sz w:val="19"/>
                            <w:szCs w:val="19"/>
                          </w:rPr>
                        </w:pPr>
                        <w:r>
                          <w:rPr>
                            <w:rFonts w:ascii="Arial" w:hAnsi="Arial" w:cs="Times New Roman"/>
                            <w:sz w:val="19"/>
                            <w:szCs w:val="19"/>
                          </w:rPr>
                          <w:t xml:space="preserve">Service providers described working to establish relationships and trust with people who use violence to ensure their ongoing and effective participation in MBCPs. </w:t>
                        </w:r>
                      </w:p>
                    </w:tc>
                  </w:tr>
                  <w:tr w:rsidR="008E3397" w:rsidRPr="00D46E27" w14:paraId="4F2EE9EE" w14:textId="77777777">
                    <w:trPr>
                      <w:cantSplit/>
                      <w:trHeight w:val="488"/>
                    </w:trPr>
                    <w:tc>
                      <w:tcPr>
                        <w:tcW w:w="5000" w:type="pct"/>
                        <w:gridSpan w:val="4"/>
                        <w:shd w:val="clear" w:color="auto" w:fill="C7E7E5"/>
                        <w:vAlign w:val="center"/>
                      </w:tcPr>
                      <w:p w14:paraId="7A955D72" w14:textId="77777777" w:rsidR="008E3397" w:rsidRPr="00D46E27" w:rsidRDefault="008E3397">
                        <w:pPr>
                          <w:spacing w:before="100" w:after="100"/>
                          <w:jc w:val="center"/>
                          <w:rPr>
                            <w:rFonts w:ascii="Arial Bold" w:hAnsi="Arial Bold" w:cs="Times New Roman"/>
                            <w:b/>
                            <w:bCs/>
                            <w:caps/>
                            <w:spacing w:val="20"/>
                            <w:sz w:val="20"/>
                          </w:rPr>
                        </w:pPr>
                        <w:r w:rsidRPr="00D46E27">
                          <w:rPr>
                            <w:rFonts w:ascii="Arial Bold" w:hAnsi="Arial Bold" w:cs="Times New Roman"/>
                            <w:b/>
                            <w:bCs/>
                            <w:caps/>
                            <w:spacing w:val="20"/>
                            <w:sz w:val="20"/>
                          </w:rPr>
                          <w:t>Medium-term outcomes</w:t>
                        </w:r>
                      </w:p>
                    </w:tc>
                  </w:tr>
                  <w:tr w:rsidR="008E3397" w:rsidRPr="00D46E27" w14:paraId="5927F2D8" w14:textId="77777777">
                    <w:trPr>
                      <w:cantSplit/>
                    </w:trPr>
                    <w:tc>
                      <w:tcPr>
                        <w:tcW w:w="1047" w:type="pct"/>
                        <w:tcBorders>
                          <w:bottom w:val="single" w:sz="4" w:space="0" w:color="BFBFBF" w:themeColor="text1" w:themeShade="BF"/>
                        </w:tcBorders>
                        <w:shd w:val="clear" w:color="auto" w:fill="C7E7E5"/>
                      </w:tcPr>
                      <w:p w14:paraId="55D131B1" w14:textId="7E416FAB" w:rsidR="008E3397" w:rsidRPr="00D46E27" w:rsidRDefault="008E3397">
                        <w:pPr>
                          <w:spacing w:before="60"/>
                          <w:rPr>
                            <w:rFonts w:ascii="Arial" w:hAnsi="Arial" w:cs="Arial"/>
                            <w:color w:val="000000"/>
                            <w:sz w:val="19"/>
                            <w:szCs w:val="19"/>
                            <w:lang w:val="en-US"/>
                          </w:rPr>
                        </w:pPr>
                        <w:r w:rsidRPr="00D46E27">
                          <w:rPr>
                            <w:rFonts w:ascii="Arial" w:hAnsi="Arial" w:cs="Arial"/>
                            <w:color w:val="000000"/>
                            <w:sz w:val="19"/>
                            <w:szCs w:val="19"/>
                          </w:rPr>
                          <w:lastRenderedPageBreak/>
                          <w:t>Victim survivors use effective strategies to:</w:t>
                        </w:r>
                      </w:p>
                      <w:p w14:paraId="556C3229" w14:textId="77777777" w:rsidR="008E3397" w:rsidRPr="00D46E27" w:rsidRDefault="008E3397">
                        <w:pPr>
                          <w:numPr>
                            <w:ilvl w:val="0"/>
                            <w:numId w:val="60"/>
                          </w:numPr>
                          <w:spacing w:before="40" w:after="40"/>
                          <w:ind w:left="266" w:hanging="266"/>
                          <w:rPr>
                            <w:rFonts w:ascii="Arial" w:hAnsi="Arial" w:cs="Arial"/>
                            <w:color w:val="000000"/>
                            <w:sz w:val="19"/>
                            <w:szCs w:val="19"/>
                            <w:lang w:val="en-US"/>
                          </w:rPr>
                        </w:pPr>
                        <w:r w:rsidRPr="00D46E27">
                          <w:rPr>
                            <w:rFonts w:ascii="Arial" w:hAnsi="Arial" w:cs="Arial"/>
                            <w:color w:val="000000"/>
                            <w:sz w:val="19"/>
                            <w:szCs w:val="19"/>
                          </w:rPr>
                          <w:t>identify personal and family safety</w:t>
                        </w:r>
                        <w:r>
                          <w:rPr>
                            <w:rFonts w:ascii="Arial" w:hAnsi="Arial" w:cs="Arial"/>
                            <w:color w:val="000000"/>
                            <w:sz w:val="19"/>
                            <w:szCs w:val="19"/>
                          </w:rPr>
                          <w:t xml:space="preserve"> issues </w:t>
                        </w:r>
                      </w:p>
                      <w:p w14:paraId="32CD2716" w14:textId="77777777" w:rsidR="008E3397" w:rsidRPr="00D46E27" w:rsidRDefault="008E3397">
                        <w:pPr>
                          <w:numPr>
                            <w:ilvl w:val="0"/>
                            <w:numId w:val="60"/>
                          </w:numPr>
                          <w:spacing w:before="40" w:after="40"/>
                          <w:ind w:left="266" w:hanging="266"/>
                          <w:rPr>
                            <w:rFonts w:ascii="Arial" w:hAnsi="Arial" w:cs="Arial"/>
                            <w:color w:val="000000"/>
                            <w:sz w:val="19"/>
                            <w:szCs w:val="19"/>
                            <w:lang w:val="en-US"/>
                          </w:rPr>
                        </w:pPr>
                        <w:r>
                          <w:rPr>
                            <w:rFonts w:ascii="Arial" w:hAnsi="Arial" w:cs="Arial"/>
                            <w:color w:val="000000"/>
                            <w:sz w:val="19"/>
                            <w:szCs w:val="19"/>
                          </w:rPr>
                          <w:t>seek support for</w:t>
                        </w:r>
                        <w:r w:rsidRPr="00D46E27">
                          <w:rPr>
                            <w:rFonts w:ascii="Arial" w:hAnsi="Arial" w:cs="Arial"/>
                            <w:color w:val="000000"/>
                            <w:sz w:val="19"/>
                            <w:szCs w:val="19"/>
                          </w:rPr>
                          <w:t xml:space="preserve"> personal and family safety</w:t>
                        </w:r>
                        <w:r>
                          <w:rPr>
                            <w:rFonts w:ascii="Arial" w:hAnsi="Arial" w:cs="Arial"/>
                            <w:color w:val="000000"/>
                            <w:sz w:val="19"/>
                            <w:szCs w:val="19"/>
                          </w:rPr>
                          <w:t xml:space="preserve"> issues </w:t>
                        </w:r>
                      </w:p>
                      <w:p w14:paraId="036148D1" w14:textId="77777777" w:rsidR="008E3397" w:rsidRPr="00D46E27" w:rsidRDefault="008E3397">
                        <w:pPr>
                          <w:numPr>
                            <w:ilvl w:val="0"/>
                            <w:numId w:val="60"/>
                          </w:numPr>
                          <w:spacing w:before="40" w:after="40"/>
                          <w:ind w:left="266" w:hanging="266"/>
                          <w:rPr>
                            <w:rFonts w:ascii="Arial" w:hAnsi="Arial" w:cs="Arial"/>
                            <w:color w:val="000000"/>
                            <w:sz w:val="19"/>
                            <w:szCs w:val="19"/>
                            <w:lang w:val="en-US"/>
                          </w:rPr>
                        </w:pPr>
                        <w:r w:rsidRPr="00D46E27">
                          <w:rPr>
                            <w:rFonts w:ascii="Arial" w:hAnsi="Arial" w:cs="Arial"/>
                            <w:color w:val="000000"/>
                            <w:sz w:val="19"/>
                            <w:szCs w:val="19"/>
                          </w:rPr>
                          <w:t>improve personal and family safety</w:t>
                        </w:r>
                        <w:r w:rsidRPr="00D46E27">
                          <w:rPr>
                            <w:rFonts w:ascii="Arial" w:hAnsi="Arial" w:cs="Arial"/>
                            <w:color w:val="000000"/>
                            <w:sz w:val="19"/>
                            <w:szCs w:val="19"/>
                            <w:lang w:val="en-US"/>
                          </w:rPr>
                          <w:t> </w:t>
                        </w:r>
                      </w:p>
                      <w:p w14:paraId="46333AE3" w14:textId="77777777" w:rsidR="008E3397" w:rsidRPr="00D46E27" w:rsidRDefault="008E3397">
                        <w:pPr>
                          <w:numPr>
                            <w:ilvl w:val="0"/>
                            <w:numId w:val="60"/>
                          </w:numPr>
                          <w:spacing w:before="40" w:after="40"/>
                          <w:ind w:left="266" w:hanging="266"/>
                          <w:rPr>
                            <w:rFonts w:ascii="Arial" w:hAnsi="Arial" w:cs="Arial"/>
                            <w:color w:val="000000"/>
                            <w:sz w:val="19"/>
                            <w:szCs w:val="19"/>
                            <w:lang w:val="en-US"/>
                          </w:rPr>
                        </w:pPr>
                        <w:r w:rsidRPr="00D46E27">
                          <w:rPr>
                            <w:rFonts w:ascii="Arial" w:hAnsi="Arial" w:cs="Arial"/>
                            <w:color w:val="000000"/>
                            <w:sz w:val="19"/>
                            <w:szCs w:val="19"/>
                          </w:rPr>
                          <w:t>improve mental health and wellbeing</w:t>
                        </w:r>
                        <w:r>
                          <w:rPr>
                            <w:rFonts w:ascii="Arial" w:hAnsi="Arial" w:cs="Arial"/>
                            <w:color w:val="000000"/>
                            <w:sz w:val="19"/>
                            <w:szCs w:val="19"/>
                          </w:rPr>
                          <w:t>.</w:t>
                        </w:r>
                        <w:r w:rsidRPr="00D46E27">
                          <w:rPr>
                            <w:rFonts w:ascii="Arial" w:hAnsi="Arial" w:cs="Arial"/>
                            <w:color w:val="000000"/>
                            <w:sz w:val="19"/>
                            <w:szCs w:val="19"/>
                            <w:lang w:val="en-US"/>
                          </w:rPr>
                          <w:t> </w:t>
                        </w:r>
                      </w:p>
                    </w:tc>
                    <w:tc>
                      <w:tcPr>
                        <w:tcW w:w="1317" w:type="pct"/>
                        <w:tcBorders>
                          <w:bottom w:val="single" w:sz="4" w:space="0" w:color="BFBFBF" w:themeColor="text1" w:themeShade="BF"/>
                        </w:tcBorders>
                        <w:shd w:val="clear" w:color="auto" w:fill="F4FAF9"/>
                      </w:tcPr>
                      <w:p w14:paraId="50122C8B" w14:textId="058F3FAA" w:rsidR="00C2759A" w:rsidRPr="00D63E8D" w:rsidRDefault="00C2759A" w:rsidP="00D63E8D">
                        <w:pPr>
                          <w:spacing w:before="60" w:after="120"/>
                          <w:rPr>
                            <w:rFonts w:ascii="Arial" w:hAnsi="Arial" w:cs="Times New Roman"/>
                            <w:sz w:val="19"/>
                            <w:szCs w:val="19"/>
                          </w:rPr>
                        </w:pPr>
                        <w:r w:rsidRPr="00F6254E">
                          <w:rPr>
                            <w:rFonts w:ascii="Arial" w:hAnsi="Arial" w:cs="Times New Roman"/>
                            <w:sz w:val="19"/>
                            <w:szCs w:val="19"/>
                          </w:rPr>
                          <w:t>Victim survivors experienced a:</w:t>
                        </w:r>
                      </w:p>
                      <w:p w14:paraId="15CFC3B7" w14:textId="1E45B39F" w:rsidR="003B397A" w:rsidRDefault="00384457">
                        <w:pPr>
                          <w:rPr>
                            <w:rFonts w:ascii="Arial" w:hAnsi="Arial" w:cs="Times New Roman"/>
                            <w:b/>
                            <w:bCs/>
                            <w:color w:val="007E00"/>
                            <w:sz w:val="20"/>
                          </w:rPr>
                        </w:pPr>
                        <w:r>
                          <w:rPr>
                            <w:rFonts w:ascii="Arial" w:hAnsi="Arial" w:cs="Times New Roman"/>
                            <w:b/>
                            <w:bCs/>
                            <w:color w:val="007E00" w:themeColor="accent3"/>
                            <w:sz w:val="20"/>
                          </w:rPr>
                          <w:t>0</w:t>
                        </w:r>
                        <w:r w:rsidR="008E3397" w:rsidRPr="344F9D96">
                          <w:rPr>
                            <w:rFonts w:ascii="Arial" w:hAnsi="Arial" w:cs="Times New Roman"/>
                            <w:b/>
                            <w:color w:val="007E00" w:themeColor="accent3"/>
                            <w:sz w:val="20"/>
                          </w:rPr>
                          <w:t>.</w:t>
                        </w:r>
                        <w:r w:rsidR="00D64934">
                          <w:rPr>
                            <w:rFonts w:ascii="Arial" w:hAnsi="Arial" w:cs="Times New Roman"/>
                            <w:b/>
                            <w:color w:val="007E00" w:themeColor="accent3"/>
                            <w:sz w:val="20"/>
                          </w:rPr>
                          <w:t xml:space="preserve">8 </w:t>
                        </w:r>
                        <w:r w:rsidR="008E3397" w:rsidRPr="00A628E4">
                          <w:rPr>
                            <w:rFonts w:ascii="Arial" w:hAnsi="Arial" w:cs="Times New Roman"/>
                            <w:sz w:val="19"/>
                            <w:szCs w:val="19"/>
                          </w:rPr>
                          <w:t xml:space="preserve">increase in </w:t>
                        </w:r>
                        <w:r w:rsidR="003B397A">
                          <w:rPr>
                            <w:rFonts w:ascii="Arial" w:hAnsi="Arial" w:cs="Times New Roman"/>
                            <w:sz w:val="19"/>
                            <w:szCs w:val="19"/>
                          </w:rPr>
                          <w:t xml:space="preserve">mean </w:t>
                        </w:r>
                        <w:r w:rsidR="006F663A" w:rsidRPr="006F663A">
                          <w:rPr>
                            <w:rFonts w:ascii="Arial" w:hAnsi="Arial" w:cs="Times New Roman"/>
                            <w:sz w:val="19"/>
                            <w:szCs w:val="19"/>
                          </w:rPr>
                          <w:t>SCORE</w:t>
                        </w:r>
                        <w:r w:rsidR="003B397A">
                          <w:rPr>
                            <w:rFonts w:ascii="Arial" w:hAnsi="Arial" w:cs="Times New Roman"/>
                            <w:sz w:val="19"/>
                            <w:szCs w:val="19"/>
                          </w:rPr>
                          <w:t xml:space="preserve"> for Circumstance: Family Functioning</w:t>
                        </w:r>
                        <w:r w:rsidR="007B6C1D">
                          <w:rPr>
                            <w:rFonts w:ascii="Arial" w:hAnsi="Arial" w:cs="Times New Roman"/>
                            <w:sz w:val="19"/>
                            <w:szCs w:val="19"/>
                          </w:rPr>
                          <w:t>.</w:t>
                        </w:r>
                        <w:r w:rsidR="003B397A">
                          <w:rPr>
                            <w:rFonts w:ascii="Arial" w:hAnsi="Arial" w:cs="Times New Roman"/>
                            <w:sz w:val="19"/>
                            <w:szCs w:val="19"/>
                          </w:rPr>
                          <w:t xml:space="preserve"> </w:t>
                        </w:r>
                      </w:p>
                      <w:p w14:paraId="6F393436" w14:textId="77777777" w:rsidR="00C2759A" w:rsidRDefault="00C2759A">
                        <w:pPr>
                          <w:rPr>
                            <w:rFonts w:ascii="Arial" w:hAnsi="Arial" w:cs="Times New Roman"/>
                            <w:b/>
                            <w:bCs/>
                            <w:color w:val="007E00"/>
                            <w:sz w:val="20"/>
                          </w:rPr>
                        </w:pPr>
                      </w:p>
                      <w:p w14:paraId="0DB3E69B" w14:textId="4AAC7BF6" w:rsidR="003B397A" w:rsidRDefault="003B397A">
                        <w:pPr>
                          <w:rPr>
                            <w:rFonts w:ascii="Arial" w:hAnsi="Arial" w:cs="Times New Roman"/>
                            <w:sz w:val="19"/>
                            <w:szCs w:val="19"/>
                          </w:rPr>
                        </w:pPr>
                        <w:r w:rsidRPr="344F9D96">
                          <w:rPr>
                            <w:rFonts w:ascii="Arial" w:hAnsi="Arial" w:cs="Times New Roman"/>
                            <w:b/>
                            <w:color w:val="007E00" w:themeColor="accent3"/>
                            <w:sz w:val="20"/>
                          </w:rPr>
                          <w:t>0.</w:t>
                        </w:r>
                        <w:r>
                          <w:rPr>
                            <w:rFonts w:ascii="Arial" w:hAnsi="Arial" w:cs="Times New Roman"/>
                            <w:b/>
                            <w:color w:val="007E00" w:themeColor="accent3"/>
                            <w:sz w:val="20"/>
                          </w:rPr>
                          <w:t>8</w:t>
                        </w:r>
                        <w:r w:rsidRPr="00A628E4">
                          <w:rPr>
                            <w:rFonts w:ascii="Arial" w:hAnsi="Arial" w:cs="Times New Roman"/>
                            <w:sz w:val="19"/>
                            <w:szCs w:val="19"/>
                          </w:rPr>
                          <w:t xml:space="preserve"> increase in </w:t>
                        </w:r>
                        <w:r>
                          <w:rPr>
                            <w:rFonts w:ascii="Arial" w:hAnsi="Arial" w:cs="Times New Roman"/>
                            <w:sz w:val="19"/>
                            <w:szCs w:val="19"/>
                          </w:rPr>
                          <w:t xml:space="preserve">mean </w:t>
                        </w:r>
                        <w:r w:rsidR="006F663A" w:rsidRPr="006F663A">
                          <w:rPr>
                            <w:rFonts w:ascii="Arial" w:hAnsi="Arial" w:cs="Times New Roman"/>
                            <w:sz w:val="19"/>
                            <w:szCs w:val="19"/>
                          </w:rPr>
                          <w:t>SCORE</w:t>
                        </w:r>
                        <w:r>
                          <w:rPr>
                            <w:rFonts w:ascii="Arial" w:hAnsi="Arial" w:cs="Times New Roman"/>
                            <w:sz w:val="19"/>
                            <w:szCs w:val="19"/>
                          </w:rPr>
                          <w:t xml:space="preserve"> for Circumstance: Mental health, wellbeing, and self-care</w:t>
                        </w:r>
                        <w:r w:rsidR="007B6C1D">
                          <w:rPr>
                            <w:rFonts w:ascii="Arial" w:hAnsi="Arial" w:cs="Times New Roman"/>
                            <w:sz w:val="19"/>
                            <w:szCs w:val="19"/>
                          </w:rPr>
                          <w:t>.</w:t>
                        </w:r>
                      </w:p>
                      <w:p w14:paraId="6D7B2ADE" w14:textId="77777777" w:rsidR="003B397A" w:rsidRDefault="003B397A">
                        <w:pPr>
                          <w:rPr>
                            <w:rFonts w:ascii="Arial" w:hAnsi="Arial" w:cs="Times New Roman"/>
                            <w:b/>
                            <w:bCs/>
                            <w:color w:val="007E00"/>
                            <w:sz w:val="20"/>
                          </w:rPr>
                        </w:pPr>
                      </w:p>
                      <w:p w14:paraId="303C6160" w14:textId="61FBA142" w:rsidR="00D64934" w:rsidRDefault="00D64934" w:rsidP="00D64934">
                        <w:pPr>
                          <w:rPr>
                            <w:rFonts w:ascii="Arial" w:hAnsi="Arial" w:cs="Times New Roman"/>
                            <w:sz w:val="19"/>
                            <w:szCs w:val="19"/>
                          </w:rPr>
                        </w:pPr>
                        <w:r w:rsidRPr="344F9D96">
                          <w:rPr>
                            <w:rFonts w:ascii="Arial" w:hAnsi="Arial" w:cs="Times New Roman"/>
                            <w:b/>
                            <w:color w:val="007E00" w:themeColor="accent3"/>
                            <w:sz w:val="20"/>
                          </w:rPr>
                          <w:t>0.</w:t>
                        </w:r>
                        <w:r>
                          <w:rPr>
                            <w:rFonts w:ascii="Arial" w:hAnsi="Arial" w:cs="Times New Roman"/>
                            <w:b/>
                            <w:color w:val="007E00" w:themeColor="accent3"/>
                            <w:sz w:val="20"/>
                          </w:rPr>
                          <w:t>9</w:t>
                        </w:r>
                        <w:r w:rsidRPr="00A628E4">
                          <w:rPr>
                            <w:rFonts w:ascii="Arial" w:hAnsi="Arial" w:cs="Times New Roman"/>
                            <w:sz w:val="19"/>
                            <w:szCs w:val="19"/>
                          </w:rPr>
                          <w:t xml:space="preserve"> increase in </w:t>
                        </w:r>
                        <w:r>
                          <w:rPr>
                            <w:rFonts w:ascii="Arial" w:hAnsi="Arial" w:cs="Times New Roman"/>
                            <w:sz w:val="19"/>
                            <w:szCs w:val="19"/>
                          </w:rPr>
                          <w:t xml:space="preserve">mean </w:t>
                        </w:r>
                        <w:r w:rsidR="006F663A" w:rsidRPr="006F663A">
                          <w:rPr>
                            <w:rFonts w:ascii="Arial" w:hAnsi="Arial" w:cs="Times New Roman"/>
                            <w:sz w:val="19"/>
                            <w:szCs w:val="19"/>
                          </w:rPr>
                          <w:t>SCORE</w:t>
                        </w:r>
                        <w:r>
                          <w:rPr>
                            <w:rFonts w:ascii="Arial" w:hAnsi="Arial" w:cs="Times New Roman"/>
                            <w:sz w:val="19"/>
                            <w:szCs w:val="19"/>
                          </w:rPr>
                          <w:t xml:space="preserve"> for Circumstance: Personal and family safety</w:t>
                        </w:r>
                        <w:r w:rsidR="007B6C1D">
                          <w:rPr>
                            <w:rFonts w:ascii="Arial" w:hAnsi="Arial" w:cs="Times New Roman"/>
                            <w:sz w:val="19"/>
                            <w:szCs w:val="19"/>
                          </w:rPr>
                          <w:t>.</w:t>
                        </w:r>
                      </w:p>
                      <w:p w14:paraId="588BF57E" w14:textId="77777777" w:rsidR="003B397A" w:rsidRDefault="003B397A">
                        <w:pPr>
                          <w:rPr>
                            <w:rFonts w:ascii="Arial" w:hAnsi="Arial" w:cs="Times New Roman"/>
                            <w:b/>
                            <w:bCs/>
                            <w:color w:val="007E00"/>
                            <w:sz w:val="20"/>
                          </w:rPr>
                        </w:pPr>
                      </w:p>
                      <w:p w14:paraId="14155AC7" w14:textId="0A6DCE82" w:rsidR="00A15D23" w:rsidRDefault="008E3397">
                        <w:pPr>
                          <w:rPr>
                            <w:rFonts w:ascii="Arial" w:hAnsi="Arial" w:cs="Times New Roman"/>
                            <w:b/>
                            <w:bCs/>
                            <w:color w:val="007E00"/>
                            <w:sz w:val="20"/>
                          </w:rPr>
                        </w:pPr>
                        <w:r>
                          <w:rPr>
                            <w:rFonts w:ascii="Arial" w:hAnsi="Arial" w:cs="Times New Roman"/>
                            <w:b/>
                            <w:color w:val="007E00" w:themeColor="accent3"/>
                            <w:sz w:val="20"/>
                          </w:rPr>
                          <w:t>0.9</w:t>
                        </w:r>
                        <w:r w:rsidRPr="00A628E4">
                          <w:rPr>
                            <w:rFonts w:ascii="Arial" w:hAnsi="Arial" w:cs="Times New Roman"/>
                            <w:sz w:val="19"/>
                            <w:szCs w:val="19"/>
                            <w:lang w:val="en-US"/>
                          </w:rPr>
                          <w:t xml:space="preserve"> increase in</w:t>
                        </w:r>
                        <w:r w:rsidR="00D64934">
                          <w:rPr>
                            <w:rFonts w:ascii="Arial" w:hAnsi="Arial" w:cs="Times New Roman"/>
                            <w:sz w:val="19"/>
                            <w:szCs w:val="19"/>
                            <w:lang w:val="en-US"/>
                          </w:rPr>
                          <w:t xml:space="preserve"> mean </w:t>
                        </w:r>
                        <w:r w:rsidR="006F663A" w:rsidRPr="006F663A">
                          <w:rPr>
                            <w:rFonts w:ascii="Arial" w:hAnsi="Arial" w:cs="Times New Roman"/>
                            <w:sz w:val="19"/>
                            <w:szCs w:val="19"/>
                            <w:lang w:val="en-US"/>
                          </w:rPr>
                          <w:t>SCORE</w:t>
                        </w:r>
                        <w:r w:rsidR="00D64934">
                          <w:rPr>
                            <w:rFonts w:ascii="Arial" w:hAnsi="Arial" w:cs="Times New Roman"/>
                            <w:sz w:val="19"/>
                            <w:szCs w:val="19"/>
                            <w:lang w:val="en-US"/>
                          </w:rPr>
                          <w:t xml:space="preserve"> for Goal: Changed behaviours</w:t>
                        </w:r>
                        <w:r w:rsidR="007B6C1D">
                          <w:rPr>
                            <w:rFonts w:ascii="Arial" w:hAnsi="Arial" w:cs="Times New Roman"/>
                            <w:sz w:val="19"/>
                            <w:szCs w:val="19"/>
                            <w:lang w:val="en-US"/>
                          </w:rPr>
                          <w:t>.</w:t>
                        </w:r>
                      </w:p>
                      <w:p w14:paraId="60AB4603" w14:textId="77777777" w:rsidR="008E3397" w:rsidRDefault="008E3397">
                        <w:pPr>
                          <w:rPr>
                            <w:rFonts w:ascii="Arial" w:hAnsi="Arial" w:cs="Times New Roman"/>
                            <w:bCs/>
                            <w:sz w:val="19"/>
                            <w:szCs w:val="19"/>
                            <w:lang w:val="en-US"/>
                          </w:rPr>
                        </w:pPr>
                      </w:p>
                      <w:p w14:paraId="25A9CDD0" w14:textId="19A8D001" w:rsidR="008E3397" w:rsidRDefault="008E3397">
                        <w:pPr>
                          <w:rPr>
                            <w:rFonts w:ascii="Arial" w:hAnsi="Arial" w:cs="Times New Roman"/>
                            <w:bCs/>
                            <w:sz w:val="19"/>
                            <w:szCs w:val="19"/>
                            <w:lang w:val="en-US"/>
                          </w:rPr>
                        </w:pPr>
                        <w:r w:rsidRPr="001317A4">
                          <w:rPr>
                            <w:rFonts w:ascii="Arial" w:hAnsi="Arial" w:cs="Times New Roman"/>
                            <w:b/>
                            <w:color w:val="007E00" w:themeColor="accent3"/>
                            <w:sz w:val="20"/>
                            <w:lang w:val="en-US"/>
                          </w:rPr>
                          <w:t>1.</w:t>
                        </w:r>
                        <w:r>
                          <w:rPr>
                            <w:rFonts w:ascii="Arial" w:hAnsi="Arial" w:cs="Times New Roman"/>
                            <w:b/>
                            <w:color w:val="007E00" w:themeColor="accent3"/>
                            <w:sz w:val="20"/>
                            <w:lang w:val="en-US"/>
                          </w:rPr>
                          <w:t>2</w:t>
                        </w:r>
                        <w:r>
                          <w:rPr>
                            <w:rFonts w:ascii="Arial" w:hAnsi="Arial" w:cs="Times New Roman"/>
                            <w:bCs/>
                            <w:sz w:val="19"/>
                            <w:szCs w:val="19"/>
                            <w:lang w:val="en-US"/>
                          </w:rPr>
                          <w:t xml:space="preserve"> increase in </w:t>
                        </w:r>
                        <w:r w:rsidR="00D64934">
                          <w:rPr>
                            <w:rFonts w:ascii="Arial" w:hAnsi="Arial" w:cs="Times New Roman"/>
                            <w:bCs/>
                            <w:sz w:val="19"/>
                            <w:szCs w:val="19"/>
                            <w:lang w:val="en-US"/>
                          </w:rPr>
                          <w:t xml:space="preserve">mean </w:t>
                        </w:r>
                        <w:r w:rsidR="006F663A" w:rsidRPr="006F663A">
                          <w:rPr>
                            <w:rFonts w:ascii="Arial" w:hAnsi="Arial" w:cs="Times New Roman"/>
                            <w:bCs/>
                            <w:sz w:val="19"/>
                            <w:szCs w:val="19"/>
                            <w:lang w:val="en-US"/>
                          </w:rPr>
                          <w:t>SCORE</w:t>
                        </w:r>
                        <w:r w:rsidR="00D64934">
                          <w:rPr>
                            <w:rFonts w:ascii="Arial" w:hAnsi="Arial" w:cs="Times New Roman"/>
                            <w:bCs/>
                            <w:sz w:val="19"/>
                            <w:szCs w:val="19"/>
                            <w:lang w:val="en-US"/>
                          </w:rPr>
                          <w:t xml:space="preserve"> for Goal: Changed impact of immediate crisis</w:t>
                        </w:r>
                        <w:r w:rsidR="007B6C1D">
                          <w:rPr>
                            <w:rFonts w:ascii="Arial" w:hAnsi="Arial" w:cs="Times New Roman"/>
                            <w:bCs/>
                            <w:sz w:val="19"/>
                            <w:szCs w:val="19"/>
                            <w:lang w:val="en-US"/>
                          </w:rPr>
                          <w:t>.</w:t>
                        </w:r>
                        <w:r w:rsidR="00D64934">
                          <w:rPr>
                            <w:rFonts w:ascii="Arial" w:hAnsi="Arial" w:cs="Times New Roman"/>
                            <w:bCs/>
                            <w:sz w:val="19"/>
                            <w:szCs w:val="19"/>
                            <w:lang w:val="en-US"/>
                          </w:rPr>
                          <w:t xml:space="preserve"> </w:t>
                        </w:r>
                      </w:p>
                      <w:p w14:paraId="7E496D8A" w14:textId="77777777" w:rsidR="008E3397" w:rsidRDefault="008E3397">
                        <w:pPr>
                          <w:rPr>
                            <w:rFonts w:ascii="Arial" w:hAnsi="Arial" w:cs="Times New Roman"/>
                            <w:bCs/>
                            <w:sz w:val="19"/>
                            <w:szCs w:val="19"/>
                            <w:lang w:val="en-US"/>
                          </w:rPr>
                        </w:pPr>
                      </w:p>
                      <w:p w14:paraId="61FC4430" w14:textId="7B788B98" w:rsidR="00A15D23" w:rsidRPr="00ED028E" w:rsidRDefault="00A15D23" w:rsidP="00D205D4">
                        <w:pPr>
                          <w:spacing w:after="120"/>
                          <w:rPr>
                            <w:rFonts w:ascii="Arial" w:hAnsi="Arial" w:cs="Times New Roman"/>
                            <w:bCs/>
                            <w:sz w:val="19"/>
                            <w:szCs w:val="19"/>
                            <w:lang w:val="en-US"/>
                          </w:rPr>
                        </w:pPr>
                      </w:p>
                    </w:tc>
                    <w:tc>
                      <w:tcPr>
                        <w:tcW w:w="1318" w:type="pct"/>
                        <w:tcBorders>
                          <w:bottom w:val="single" w:sz="4" w:space="0" w:color="BFBFBF" w:themeColor="text1" w:themeShade="BF"/>
                        </w:tcBorders>
                        <w:shd w:val="clear" w:color="auto" w:fill="F4FAF9"/>
                      </w:tcPr>
                      <w:p w14:paraId="25D0C56C" w14:textId="77777777" w:rsidR="008E3397" w:rsidRPr="00D46E27" w:rsidRDefault="008E3397">
                        <w:pPr>
                          <w:spacing w:before="120" w:after="120"/>
                          <w:rPr>
                            <w:rFonts w:ascii="Arial" w:hAnsi="Arial" w:cs="Times New Roman"/>
                            <w:bCs/>
                            <w:sz w:val="19"/>
                            <w:szCs w:val="19"/>
                            <w:lang w:val="en-US"/>
                          </w:rPr>
                        </w:pPr>
                        <w:r w:rsidRPr="00D46E27">
                          <w:rPr>
                            <w:rFonts w:ascii="Arial" w:hAnsi="Arial" w:cs="Times New Roman"/>
                            <w:bCs/>
                            <w:sz w:val="19"/>
                            <w:szCs w:val="19"/>
                            <w:lang w:val="en-US"/>
                          </w:rPr>
                          <w:t>Service users described accessing services as lifesaving during acute mental health crises.</w:t>
                        </w:r>
                      </w:p>
                      <w:p w14:paraId="55328DDC" w14:textId="77777777" w:rsidR="008E3397" w:rsidRPr="00D46E27" w:rsidRDefault="008E3397">
                        <w:pPr>
                          <w:spacing w:before="120" w:after="120"/>
                          <w:rPr>
                            <w:rFonts w:ascii="Arial" w:hAnsi="Arial" w:cs="Arial"/>
                            <w:sz w:val="19"/>
                            <w:szCs w:val="19"/>
                          </w:rPr>
                        </w:pPr>
                        <w:r w:rsidRPr="00D46E27">
                          <w:rPr>
                            <w:rFonts w:ascii="Arial" w:hAnsi="Arial" w:cs="Arial"/>
                            <w:sz w:val="19"/>
                            <w:szCs w:val="19"/>
                          </w:rPr>
                          <w:t xml:space="preserve">Service users consistently reported that accessing FaRS </w:t>
                        </w:r>
                        <w:r>
                          <w:rPr>
                            <w:rFonts w:ascii="Arial" w:hAnsi="Arial" w:cs="Arial"/>
                            <w:sz w:val="19"/>
                            <w:szCs w:val="19"/>
                          </w:rPr>
                          <w:t xml:space="preserve">and/or </w:t>
                        </w:r>
                        <w:r w:rsidRPr="00D46E27">
                          <w:rPr>
                            <w:rFonts w:ascii="Arial" w:hAnsi="Arial" w:cs="Arial"/>
                            <w:sz w:val="19"/>
                            <w:szCs w:val="19"/>
                          </w:rPr>
                          <w:t>SFVS services had an instrumental impact on their relationships, families and personal wellbeing.</w:t>
                        </w:r>
                      </w:p>
                      <w:p w14:paraId="0F7911A8" w14:textId="77777777" w:rsidR="008E3397" w:rsidRPr="00D46E27" w:rsidRDefault="008E3397">
                        <w:pPr>
                          <w:spacing w:before="120" w:after="120"/>
                          <w:rPr>
                            <w:rFonts w:ascii="Arial" w:hAnsi="Arial" w:cs="Arial"/>
                            <w:sz w:val="19"/>
                            <w:szCs w:val="19"/>
                          </w:rPr>
                        </w:pPr>
                      </w:p>
                      <w:p w14:paraId="32A7209D" w14:textId="77777777" w:rsidR="008E3397" w:rsidRPr="00D46E27" w:rsidRDefault="008E3397">
                        <w:pPr>
                          <w:spacing w:before="60" w:after="120"/>
                          <w:rPr>
                            <w:rFonts w:ascii="Arial" w:hAnsi="Arial" w:cs="Times New Roman"/>
                            <w:sz w:val="19"/>
                            <w:szCs w:val="19"/>
                            <w:lang w:val="en-US"/>
                          </w:rPr>
                        </w:pPr>
                      </w:p>
                    </w:tc>
                    <w:tc>
                      <w:tcPr>
                        <w:tcW w:w="1318" w:type="pct"/>
                        <w:tcBorders>
                          <w:bottom w:val="single" w:sz="4" w:space="0" w:color="BFBFBF" w:themeColor="text1" w:themeShade="BF"/>
                        </w:tcBorders>
                        <w:shd w:val="clear" w:color="auto" w:fill="F4FAF9"/>
                      </w:tcPr>
                      <w:p w14:paraId="509B04EB" w14:textId="77777777" w:rsidR="008E3397" w:rsidRDefault="008E3397">
                        <w:pPr>
                          <w:spacing w:before="120" w:after="120"/>
                          <w:rPr>
                            <w:rFonts w:ascii="Arial" w:hAnsi="Arial" w:cs="Times New Roman"/>
                            <w:sz w:val="19"/>
                            <w:szCs w:val="19"/>
                          </w:rPr>
                        </w:pPr>
                        <w:r>
                          <w:rPr>
                            <w:rFonts w:ascii="Arial" w:hAnsi="Arial" w:cs="Times New Roman"/>
                            <w:sz w:val="19"/>
                            <w:szCs w:val="19"/>
                          </w:rPr>
                          <w:t xml:space="preserve">Services providers emphasised the importance of providing wraparound support to victim survivors to ensure they were safe, stable, and able to make the most of SFVS to achieve lasting change. </w:t>
                        </w:r>
                      </w:p>
                      <w:p w14:paraId="66189C10" w14:textId="7C620244" w:rsidR="008E3397" w:rsidRPr="00D46E27" w:rsidRDefault="008E3397">
                        <w:pPr>
                          <w:spacing w:before="120" w:after="120"/>
                          <w:rPr>
                            <w:rFonts w:ascii="Arial" w:hAnsi="Arial" w:cs="Times New Roman"/>
                            <w:sz w:val="19"/>
                            <w:szCs w:val="19"/>
                          </w:rPr>
                        </w:pPr>
                        <w:r>
                          <w:rPr>
                            <w:rFonts w:ascii="Arial" w:hAnsi="Arial" w:cs="Times New Roman"/>
                            <w:sz w:val="19"/>
                            <w:szCs w:val="19"/>
                          </w:rPr>
                          <w:t>Service providers described how the flexibility of the SFVS model allows them to adjust overall program and individual service provision to meet identified needs and achieve better, lasting outcomes.</w:t>
                        </w:r>
                      </w:p>
                    </w:tc>
                  </w:tr>
                  <w:tr w:rsidR="008E3397" w:rsidRPr="00D46E27" w14:paraId="3D65A119" w14:textId="77777777" w:rsidTr="00D63E8D">
                    <w:trPr>
                      <w:cantSplit/>
                    </w:trPr>
                    <w:tc>
                      <w:tcPr>
                        <w:tcW w:w="1047" w:type="pct"/>
                        <w:tcBorders>
                          <w:top w:val="single" w:sz="4" w:space="0" w:color="BFBFBF" w:themeColor="text1" w:themeShade="BF"/>
                          <w:bottom w:val="single" w:sz="4" w:space="0" w:color="BFBFBF" w:themeColor="text1" w:themeShade="BF"/>
                        </w:tcBorders>
                        <w:shd w:val="clear" w:color="auto" w:fill="C7E7E5"/>
                      </w:tcPr>
                      <w:p w14:paraId="6C9C2AEC" w14:textId="77777777" w:rsidR="008E3397" w:rsidRPr="00D46E27" w:rsidRDefault="008E3397" w:rsidP="00384457">
                        <w:pPr>
                          <w:spacing w:before="60"/>
                          <w:rPr>
                            <w:rFonts w:ascii="Segoe UI" w:hAnsi="Segoe UI" w:cs="Segoe UI"/>
                            <w:color w:val="000000"/>
                            <w:sz w:val="19"/>
                            <w:szCs w:val="19"/>
                            <w:lang w:val="en-US"/>
                          </w:rPr>
                        </w:pPr>
                        <w:r w:rsidRPr="00D46E27">
                          <w:rPr>
                            <w:rFonts w:ascii="Arial" w:hAnsi="Arial" w:cs="Arial"/>
                            <w:color w:val="000000"/>
                            <w:sz w:val="19"/>
                            <w:szCs w:val="19"/>
                          </w:rPr>
                          <w:lastRenderedPageBreak/>
                          <w:t xml:space="preserve">Children impacted by </w:t>
                        </w:r>
                        <w:r>
                          <w:rPr>
                            <w:rFonts w:ascii="Arial" w:hAnsi="Arial" w:cs="Arial"/>
                            <w:color w:val="000000"/>
                            <w:sz w:val="19"/>
                            <w:szCs w:val="19"/>
                          </w:rPr>
                          <w:t>family violence</w:t>
                        </w:r>
                        <w:r w:rsidRPr="00D46E27">
                          <w:rPr>
                            <w:rFonts w:ascii="Arial" w:hAnsi="Arial" w:cs="Arial"/>
                            <w:color w:val="000000"/>
                            <w:sz w:val="19"/>
                            <w:szCs w:val="19"/>
                          </w:rPr>
                          <w:t>:</w:t>
                        </w:r>
                      </w:p>
                      <w:p w14:paraId="3E279380" w14:textId="77777777" w:rsidR="008E3397" w:rsidRPr="00D46E27" w:rsidRDefault="008E3397" w:rsidP="00384457">
                        <w:pPr>
                          <w:numPr>
                            <w:ilvl w:val="0"/>
                            <w:numId w:val="61"/>
                          </w:numPr>
                          <w:spacing w:before="60" w:after="60"/>
                          <w:ind w:left="294" w:hanging="294"/>
                          <w:rPr>
                            <w:rFonts w:ascii="Arial" w:hAnsi="Arial" w:cs="Arial"/>
                            <w:color w:val="000000"/>
                            <w:sz w:val="19"/>
                            <w:szCs w:val="19"/>
                            <w:lang w:val="en-US"/>
                          </w:rPr>
                        </w:pPr>
                        <w:r w:rsidRPr="00D46E27">
                          <w:rPr>
                            <w:rFonts w:ascii="Arial" w:hAnsi="Arial" w:cs="Arial"/>
                            <w:color w:val="000000"/>
                            <w:sz w:val="19"/>
                            <w:szCs w:val="19"/>
                          </w:rPr>
                          <w:t>feel safe, heard</w:t>
                        </w:r>
                        <w:r>
                          <w:rPr>
                            <w:rFonts w:ascii="Arial" w:hAnsi="Arial" w:cs="Arial"/>
                            <w:color w:val="000000"/>
                            <w:sz w:val="19"/>
                            <w:szCs w:val="19"/>
                          </w:rPr>
                          <w:t>,</w:t>
                        </w:r>
                        <w:r w:rsidRPr="00D46E27">
                          <w:rPr>
                            <w:rFonts w:ascii="Arial" w:hAnsi="Arial" w:cs="Arial"/>
                            <w:color w:val="000000"/>
                            <w:sz w:val="19"/>
                            <w:szCs w:val="19"/>
                          </w:rPr>
                          <w:t xml:space="preserve"> and supported</w:t>
                        </w:r>
                      </w:p>
                      <w:p w14:paraId="0F526168" w14:textId="77777777" w:rsidR="008E3397" w:rsidRPr="00D46E27" w:rsidRDefault="008E3397" w:rsidP="00384457">
                        <w:pPr>
                          <w:numPr>
                            <w:ilvl w:val="0"/>
                            <w:numId w:val="61"/>
                          </w:numPr>
                          <w:spacing w:before="60" w:after="60"/>
                          <w:ind w:left="294" w:hanging="294"/>
                          <w:rPr>
                            <w:rFonts w:ascii="Arial" w:hAnsi="Arial" w:cs="Arial"/>
                            <w:color w:val="000000"/>
                            <w:sz w:val="19"/>
                            <w:szCs w:val="19"/>
                            <w:lang w:val="en-US"/>
                          </w:rPr>
                        </w:pPr>
                        <w:r w:rsidRPr="00D46E27">
                          <w:rPr>
                            <w:rFonts w:ascii="Arial" w:hAnsi="Arial" w:cs="Arial"/>
                            <w:color w:val="000000"/>
                            <w:sz w:val="19"/>
                            <w:szCs w:val="19"/>
                          </w:rPr>
                          <w:t>access supports when needed</w:t>
                        </w:r>
                      </w:p>
                      <w:p w14:paraId="666F8654" w14:textId="77777777" w:rsidR="008E3397" w:rsidRPr="00D46E27" w:rsidRDefault="008E3397" w:rsidP="00384457">
                        <w:pPr>
                          <w:numPr>
                            <w:ilvl w:val="0"/>
                            <w:numId w:val="61"/>
                          </w:numPr>
                          <w:spacing w:before="60" w:after="60"/>
                          <w:ind w:left="294" w:hanging="294"/>
                          <w:rPr>
                            <w:rFonts w:ascii="Arial" w:hAnsi="Arial" w:cs="Arial"/>
                            <w:color w:val="000000"/>
                            <w:sz w:val="19"/>
                            <w:szCs w:val="19"/>
                            <w:lang w:val="en-US"/>
                          </w:rPr>
                        </w:pPr>
                        <w:r w:rsidRPr="00D46E27">
                          <w:rPr>
                            <w:rFonts w:ascii="Arial" w:hAnsi="Arial" w:cs="Arial"/>
                            <w:color w:val="000000"/>
                            <w:sz w:val="19"/>
                            <w:szCs w:val="19"/>
                          </w:rPr>
                          <w:t>are supported to improve their mental health and wellbeing</w:t>
                        </w:r>
                        <w:r>
                          <w:rPr>
                            <w:rFonts w:ascii="Arial" w:hAnsi="Arial" w:cs="Arial"/>
                            <w:color w:val="000000"/>
                            <w:sz w:val="19"/>
                            <w:szCs w:val="19"/>
                          </w:rPr>
                          <w:t>.</w:t>
                        </w:r>
                      </w:p>
                    </w:tc>
                    <w:tc>
                      <w:tcPr>
                        <w:tcW w:w="1317" w:type="pct"/>
                        <w:tcBorders>
                          <w:top w:val="single" w:sz="4" w:space="0" w:color="BFBFBF" w:themeColor="text1" w:themeShade="BF"/>
                          <w:bottom w:val="single" w:sz="4" w:space="0" w:color="BFBFBF" w:themeColor="text1" w:themeShade="BF"/>
                        </w:tcBorders>
                        <w:shd w:val="clear" w:color="auto" w:fill="F4FAF9"/>
                      </w:tcPr>
                      <w:p w14:paraId="7D2458E4" w14:textId="212B11C6" w:rsidR="00C2759A" w:rsidRDefault="00C2759A" w:rsidP="00384457">
                        <w:pPr>
                          <w:spacing w:before="60" w:after="120"/>
                          <w:rPr>
                            <w:rFonts w:ascii="Arial" w:hAnsi="Arial" w:cs="Times New Roman"/>
                            <w:sz w:val="19"/>
                            <w:szCs w:val="19"/>
                          </w:rPr>
                        </w:pPr>
                        <w:r>
                          <w:rPr>
                            <w:rFonts w:ascii="Arial" w:hAnsi="Arial" w:cs="Times New Roman"/>
                            <w:sz w:val="19"/>
                            <w:szCs w:val="19"/>
                          </w:rPr>
                          <w:t>Children</w:t>
                        </w:r>
                        <w:r w:rsidRPr="00F6254E">
                          <w:rPr>
                            <w:rFonts w:ascii="Arial" w:hAnsi="Arial" w:cs="Times New Roman"/>
                            <w:sz w:val="19"/>
                            <w:szCs w:val="19"/>
                          </w:rPr>
                          <w:t xml:space="preserve"> experienced a:</w:t>
                        </w:r>
                      </w:p>
                      <w:p w14:paraId="0B12DFC5" w14:textId="671DBAAE" w:rsidR="00384457" w:rsidRDefault="00384457" w:rsidP="00384457">
                        <w:pPr>
                          <w:spacing w:before="60" w:after="120"/>
                          <w:rPr>
                            <w:rFonts w:ascii="Arial" w:hAnsi="Arial" w:cs="Times New Roman"/>
                            <w:sz w:val="19"/>
                            <w:szCs w:val="19"/>
                          </w:rPr>
                        </w:pPr>
                        <w:r w:rsidRPr="001317A4">
                          <w:rPr>
                            <w:rFonts w:ascii="Arial" w:hAnsi="Arial" w:cs="Times New Roman"/>
                            <w:b/>
                            <w:bCs/>
                            <w:color w:val="007E00" w:themeColor="accent3"/>
                            <w:sz w:val="20"/>
                          </w:rPr>
                          <w:t xml:space="preserve">0.8 </w:t>
                        </w:r>
                        <w:r w:rsidRPr="001317A4">
                          <w:rPr>
                            <w:rFonts w:ascii="Arial" w:hAnsi="Arial" w:cs="Times New Roman"/>
                            <w:sz w:val="19"/>
                            <w:szCs w:val="19"/>
                          </w:rPr>
                          <w:t xml:space="preserve">increase in </w:t>
                        </w:r>
                        <w:r>
                          <w:rPr>
                            <w:rFonts w:ascii="Arial" w:hAnsi="Arial" w:cs="Times New Roman"/>
                            <w:sz w:val="19"/>
                            <w:szCs w:val="19"/>
                          </w:rPr>
                          <w:t xml:space="preserve">mean </w:t>
                        </w:r>
                        <w:r w:rsidR="006F663A" w:rsidRPr="006F663A">
                          <w:rPr>
                            <w:rFonts w:ascii="Arial" w:hAnsi="Arial" w:cs="Times New Roman"/>
                            <w:sz w:val="19"/>
                            <w:szCs w:val="19"/>
                          </w:rPr>
                          <w:t>SCORE</w:t>
                        </w:r>
                        <w:r>
                          <w:rPr>
                            <w:rFonts w:ascii="Arial" w:hAnsi="Arial" w:cs="Times New Roman"/>
                            <w:sz w:val="19"/>
                            <w:szCs w:val="19"/>
                          </w:rPr>
                          <w:t xml:space="preserve"> for the Circumstance: Mental health, wellbeing, and self-care</w:t>
                        </w:r>
                        <w:r w:rsidR="007B6C1D">
                          <w:rPr>
                            <w:rFonts w:ascii="Arial" w:hAnsi="Arial" w:cs="Times New Roman"/>
                            <w:sz w:val="19"/>
                            <w:szCs w:val="19"/>
                          </w:rPr>
                          <w:t>.</w:t>
                        </w:r>
                      </w:p>
                      <w:p w14:paraId="288A5438" w14:textId="269F26B6" w:rsidR="002C1368" w:rsidRDefault="00FB7BA2" w:rsidP="00384457">
                        <w:pPr>
                          <w:spacing w:before="60" w:after="120"/>
                          <w:rPr>
                            <w:rFonts w:ascii="Arial" w:hAnsi="Arial" w:cs="Times New Roman"/>
                            <w:sz w:val="19"/>
                            <w:szCs w:val="19"/>
                          </w:rPr>
                        </w:pPr>
                        <w:r w:rsidRPr="001317A4">
                          <w:rPr>
                            <w:rFonts w:ascii="Arial" w:hAnsi="Arial" w:cs="Times New Roman"/>
                            <w:b/>
                            <w:bCs/>
                            <w:color w:val="007E00" w:themeColor="accent3"/>
                            <w:sz w:val="20"/>
                          </w:rPr>
                          <w:t xml:space="preserve">0.8 </w:t>
                        </w:r>
                        <w:r w:rsidRPr="001317A4">
                          <w:rPr>
                            <w:rFonts w:ascii="Arial" w:hAnsi="Arial" w:cs="Times New Roman"/>
                            <w:sz w:val="19"/>
                            <w:szCs w:val="19"/>
                          </w:rPr>
                          <w:t xml:space="preserve">increase in </w:t>
                        </w:r>
                        <w:r>
                          <w:rPr>
                            <w:rFonts w:ascii="Arial" w:hAnsi="Arial" w:cs="Times New Roman"/>
                            <w:sz w:val="19"/>
                            <w:szCs w:val="19"/>
                          </w:rPr>
                          <w:t xml:space="preserve">mean </w:t>
                        </w:r>
                        <w:r w:rsidR="006F663A" w:rsidRPr="006F663A">
                          <w:rPr>
                            <w:rFonts w:ascii="Arial" w:hAnsi="Arial" w:cs="Times New Roman"/>
                            <w:sz w:val="19"/>
                            <w:szCs w:val="19"/>
                          </w:rPr>
                          <w:t>SCORE</w:t>
                        </w:r>
                        <w:r>
                          <w:rPr>
                            <w:rFonts w:ascii="Arial" w:hAnsi="Arial" w:cs="Times New Roman"/>
                            <w:sz w:val="19"/>
                            <w:szCs w:val="19"/>
                          </w:rPr>
                          <w:t xml:space="preserve"> for the Circumstance: Personal and family safety</w:t>
                        </w:r>
                        <w:r w:rsidR="007B6C1D">
                          <w:rPr>
                            <w:rFonts w:ascii="Arial" w:hAnsi="Arial" w:cs="Times New Roman"/>
                            <w:sz w:val="19"/>
                            <w:szCs w:val="19"/>
                          </w:rPr>
                          <w:t>.</w:t>
                        </w:r>
                      </w:p>
                      <w:p w14:paraId="3AAD03A0" w14:textId="3B7BD442" w:rsidR="002340EC" w:rsidRDefault="002340EC" w:rsidP="00384457">
                        <w:pPr>
                          <w:spacing w:before="60" w:after="120"/>
                          <w:rPr>
                            <w:rFonts w:ascii="Arial" w:hAnsi="Arial" w:cs="Times New Roman"/>
                            <w:sz w:val="19"/>
                            <w:szCs w:val="19"/>
                          </w:rPr>
                        </w:pPr>
                        <w:r>
                          <w:rPr>
                            <w:rFonts w:ascii="Arial" w:hAnsi="Arial" w:cs="Times New Roman"/>
                            <w:b/>
                            <w:bCs/>
                            <w:color w:val="007E00" w:themeColor="accent3"/>
                            <w:sz w:val="20"/>
                          </w:rPr>
                          <w:t>1.</w:t>
                        </w:r>
                        <w:r w:rsidR="00EF1B98">
                          <w:rPr>
                            <w:rFonts w:ascii="Arial" w:hAnsi="Arial" w:cs="Times New Roman"/>
                            <w:b/>
                            <w:bCs/>
                            <w:color w:val="007E00" w:themeColor="accent3"/>
                            <w:sz w:val="20"/>
                          </w:rPr>
                          <w:t>0</w:t>
                        </w:r>
                        <w:r w:rsidRPr="001317A4">
                          <w:rPr>
                            <w:rFonts w:ascii="Arial" w:hAnsi="Arial" w:cs="Times New Roman"/>
                            <w:b/>
                            <w:bCs/>
                            <w:color w:val="007E00" w:themeColor="accent3"/>
                            <w:sz w:val="20"/>
                          </w:rPr>
                          <w:t xml:space="preserve"> </w:t>
                        </w:r>
                        <w:r w:rsidRPr="001317A4">
                          <w:rPr>
                            <w:rFonts w:ascii="Arial" w:hAnsi="Arial" w:cs="Times New Roman"/>
                            <w:sz w:val="19"/>
                            <w:szCs w:val="19"/>
                          </w:rPr>
                          <w:t xml:space="preserve">increase in </w:t>
                        </w:r>
                        <w:r>
                          <w:rPr>
                            <w:rFonts w:ascii="Arial" w:hAnsi="Arial" w:cs="Times New Roman"/>
                            <w:sz w:val="19"/>
                            <w:szCs w:val="19"/>
                          </w:rPr>
                          <w:t xml:space="preserve">mean </w:t>
                        </w:r>
                        <w:r w:rsidR="006F663A" w:rsidRPr="006F663A">
                          <w:rPr>
                            <w:rFonts w:ascii="Arial" w:hAnsi="Arial" w:cs="Times New Roman"/>
                            <w:sz w:val="19"/>
                            <w:szCs w:val="19"/>
                          </w:rPr>
                          <w:t>SCORE</w:t>
                        </w:r>
                        <w:r>
                          <w:rPr>
                            <w:rFonts w:ascii="Arial" w:hAnsi="Arial" w:cs="Times New Roman"/>
                            <w:sz w:val="19"/>
                            <w:szCs w:val="19"/>
                          </w:rPr>
                          <w:t xml:space="preserve"> for the Goal: Changed behaviours</w:t>
                        </w:r>
                        <w:r w:rsidR="007B6C1D">
                          <w:rPr>
                            <w:rFonts w:ascii="Arial" w:hAnsi="Arial" w:cs="Times New Roman"/>
                            <w:sz w:val="19"/>
                            <w:szCs w:val="19"/>
                          </w:rPr>
                          <w:t>.</w:t>
                        </w:r>
                        <w:r>
                          <w:rPr>
                            <w:rFonts w:ascii="Arial" w:hAnsi="Arial" w:cs="Times New Roman"/>
                            <w:sz w:val="19"/>
                            <w:szCs w:val="19"/>
                          </w:rPr>
                          <w:t xml:space="preserve"> </w:t>
                        </w:r>
                      </w:p>
                      <w:p w14:paraId="0781B860" w14:textId="5152E282" w:rsidR="004B310E" w:rsidRPr="00474AC8" w:rsidRDefault="004B310E" w:rsidP="00384457">
                        <w:pPr>
                          <w:spacing w:before="60" w:after="120"/>
                          <w:rPr>
                            <w:rFonts w:ascii="Arial" w:hAnsi="Arial" w:cs="Times New Roman"/>
                            <w:sz w:val="19"/>
                            <w:szCs w:val="19"/>
                          </w:rPr>
                        </w:pPr>
                        <w:r>
                          <w:rPr>
                            <w:rFonts w:ascii="Arial" w:hAnsi="Arial" w:cs="Times New Roman"/>
                            <w:b/>
                            <w:bCs/>
                            <w:color w:val="007E00" w:themeColor="accent3"/>
                            <w:sz w:val="20"/>
                          </w:rPr>
                          <w:t>1.2</w:t>
                        </w:r>
                        <w:r w:rsidRPr="001317A4">
                          <w:rPr>
                            <w:rFonts w:ascii="Arial" w:hAnsi="Arial" w:cs="Times New Roman"/>
                            <w:b/>
                            <w:bCs/>
                            <w:color w:val="007E00" w:themeColor="accent3"/>
                            <w:sz w:val="20"/>
                          </w:rPr>
                          <w:t xml:space="preserve"> </w:t>
                        </w:r>
                        <w:r w:rsidRPr="001317A4">
                          <w:rPr>
                            <w:rFonts w:ascii="Arial" w:hAnsi="Arial" w:cs="Times New Roman"/>
                            <w:sz w:val="19"/>
                            <w:szCs w:val="19"/>
                          </w:rPr>
                          <w:t xml:space="preserve">increase in </w:t>
                        </w:r>
                        <w:r>
                          <w:rPr>
                            <w:rFonts w:ascii="Arial" w:hAnsi="Arial" w:cs="Times New Roman"/>
                            <w:sz w:val="19"/>
                            <w:szCs w:val="19"/>
                          </w:rPr>
                          <w:t xml:space="preserve">mean </w:t>
                        </w:r>
                        <w:r w:rsidR="006F663A" w:rsidRPr="006F663A">
                          <w:rPr>
                            <w:rFonts w:ascii="Arial" w:hAnsi="Arial" w:cs="Times New Roman"/>
                            <w:sz w:val="19"/>
                            <w:szCs w:val="19"/>
                          </w:rPr>
                          <w:t>SCORE</w:t>
                        </w:r>
                        <w:r>
                          <w:rPr>
                            <w:rFonts w:ascii="Arial" w:hAnsi="Arial" w:cs="Times New Roman"/>
                            <w:sz w:val="19"/>
                            <w:szCs w:val="19"/>
                          </w:rPr>
                          <w:t xml:space="preserve"> for the Goal: Changed impact of the immediate crisis</w:t>
                        </w:r>
                        <w:r w:rsidR="007B6C1D">
                          <w:rPr>
                            <w:rFonts w:ascii="Arial" w:hAnsi="Arial" w:cs="Times New Roman"/>
                            <w:sz w:val="19"/>
                            <w:szCs w:val="19"/>
                          </w:rPr>
                          <w:t>.</w:t>
                        </w:r>
                      </w:p>
                      <w:p w14:paraId="40465006" w14:textId="1F8466D8" w:rsidR="004B310E" w:rsidRPr="00D46E27" w:rsidRDefault="008E3397" w:rsidP="00384457">
                        <w:pPr>
                          <w:spacing w:after="120"/>
                          <w:rPr>
                            <w:rFonts w:ascii="Arial" w:hAnsi="Arial" w:cs="Times New Roman"/>
                            <w:sz w:val="19"/>
                            <w:szCs w:val="19"/>
                          </w:rPr>
                        </w:pPr>
                        <w:r w:rsidRPr="003122A1">
                          <w:rPr>
                            <w:rFonts w:ascii="Arial" w:hAnsi="Arial" w:cs="Times New Roman"/>
                            <w:b/>
                            <w:color w:val="007E00" w:themeColor="accent3"/>
                            <w:sz w:val="20"/>
                            <w:lang w:val="en-US"/>
                          </w:rPr>
                          <w:t>0</w:t>
                        </w:r>
                        <w:r>
                          <w:rPr>
                            <w:rFonts w:ascii="Arial" w:hAnsi="Arial" w:cs="Times New Roman"/>
                            <w:b/>
                            <w:color w:val="007E00" w:themeColor="accent3"/>
                            <w:sz w:val="20"/>
                            <w:lang w:val="en-US"/>
                          </w:rPr>
                          <w:t>.7</w:t>
                        </w:r>
                        <w:r>
                          <w:rPr>
                            <w:rFonts w:ascii="Arial" w:hAnsi="Arial" w:cs="Times New Roman"/>
                            <w:bCs/>
                            <w:sz w:val="19"/>
                            <w:szCs w:val="19"/>
                            <w:lang w:val="en-US"/>
                          </w:rPr>
                          <w:t xml:space="preserve"> increase </w:t>
                        </w:r>
                        <w:r w:rsidR="00056A1C">
                          <w:rPr>
                            <w:rFonts w:ascii="Arial" w:hAnsi="Arial" w:cs="Times New Roman"/>
                            <w:bCs/>
                            <w:sz w:val="19"/>
                            <w:szCs w:val="19"/>
                            <w:lang w:val="en-US"/>
                          </w:rPr>
                          <w:t xml:space="preserve">in the mean </w:t>
                        </w:r>
                        <w:r w:rsidR="006F663A" w:rsidRPr="006F663A">
                          <w:rPr>
                            <w:rFonts w:ascii="Arial" w:hAnsi="Arial" w:cs="Times New Roman"/>
                            <w:bCs/>
                            <w:sz w:val="19"/>
                            <w:szCs w:val="19"/>
                            <w:lang w:val="en-US"/>
                          </w:rPr>
                          <w:t>SCORE</w:t>
                        </w:r>
                        <w:r w:rsidR="00056A1C">
                          <w:rPr>
                            <w:rFonts w:ascii="Arial" w:hAnsi="Arial" w:cs="Times New Roman"/>
                            <w:bCs/>
                            <w:sz w:val="19"/>
                            <w:szCs w:val="19"/>
                            <w:lang w:val="en-US"/>
                          </w:rPr>
                          <w:t xml:space="preserve"> fo</w:t>
                        </w:r>
                        <w:r w:rsidR="00FB7BA2">
                          <w:rPr>
                            <w:rFonts w:ascii="Arial" w:hAnsi="Arial" w:cs="Times New Roman"/>
                            <w:bCs/>
                            <w:sz w:val="19"/>
                            <w:szCs w:val="19"/>
                            <w:lang w:val="en-US"/>
                          </w:rPr>
                          <w:t>r</w:t>
                        </w:r>
                        <w:r w:rsidR="004B310E">
                          <w:rPr>
                            <w:rFonts w:ascii="Arial" w:hAnsi="Arial" w:cs="Times New Roman"/>
                            <w:bCs/>
                            <w:sz w:val="19"/>
                            <w:szCs w:val="19"/>
                            <w:lang w:val="en-US"/>
                          </w:rPr>
                          <w:t xml:space="preserve"> Goal</w:t>
                        </w:r>
                        <w:r w:rsidR="00056A1C">
                          <w:rPr>
                            <w:rFonts w:ascii="Arial" w:hAnsi="Arial" w:cs="Times New Roman"/>
                            <w:bCs/>
                            <w:sz w:val="19"/>
                            <w:szCs w:val="19"/>
                            <w:lang w:val="en-US"/>
                          </w:rPr>
                          <w:t xml:space="preserve">: </w:t>
                        </w:r>
                        <w:r w:rsidR="004B310E">
                          <w:rPr>
                            <w:rFonts w:ascii="Arial" w:hAnsi="Arial" w:cs="Times New Roman"/>
                            <w:bCs/>
                            <w:sz w:val="19"/>
                            <w:szCs w:val="19"/>
                            <w:lang w:val="en-US"/>
                          </w:rPr>
                          <w:t>Engagement</w:t>
                        </w:r>
                        <w:r w:rsidR="00056A1C">
                          <w:rPr>
                            <w:rFonts w:ascii="Arial" w:hAnsi="Arial" w:cs="Times New Roman"/>
                            <w:bCs/>
                            <w:sz w:val="19"/>
                            <w:szCs w:val="19"/>
                            <w:lang w:val="en-US"/>
                          </w:rPr>
                          <w:t xml:space="preserve"> with relevant support services</w:t>
                        </w:r>
                        <w:r w:rsidR="007B6C1D">
                          <w:rPr>
                            <w:rFonts w:ascii="Arial" w:hAnsi="Arial" w:cs="Times New Roman"/>
                            <w:bCs/>
                            <w:sz w:val="19"/>
                            <w:szCs w:val="19"/>
                            <w:lang w:val="en-US"/>
                          </w:rPr>
                          <w:t>.</w:t>
                        </w:r>
                      </w:p>
                    </w:tc>
                    <w:tc>
                      <w:tcPr>
                        <w:tcW w:w="1318" w:type="pct"/>
                        <w:tcBorders>
                          <w:top w:val="single" w:sz="4" w:space="0" w:color="BFBFBF" w:themeColor="text1" w:themeShade="BF"/>
                          <w:bottom w:val="single" w:sz="4" w:space="0" w:color="BFBFBF" w:themeColor="text1" w:themeShade="BF"/>
                        </w:tcBorders>
                        <w:shd w:val="clear" w:color="auto" w:fill="F4FAF9"/>
                      </w:tcPr>
                      <w:p w14:paraId="6478DAE2" w14:textId="77777777" w:rsidR="008E3397" w:rsidRPr="00D46E27" w:rsidRDefault="008E3397" w:rsidP="00384457">
                        <w:pPr>
                          <w:spacing w:before="60" w:after="120"/>
                          <w:rPr>
                            <w:rFonts w:ascii="Arial" w:hAnsi="Arial" w:cs="Times New Roman"/>
                            <w:bCs/>
                            <w:sz w:val="19"/>
                            <w:szCs w:val="19"/>
                            <w:lang w:val="en-US"/>
                          </w:rPr>
                        </w:pPr>
                        <w:r w:rsidRPr="00D46E27">
                          <w:rPr>
                            <w:rFonts w:ascii="Arial" w:hAnsi="Arial" w:cs="Times New Roman"/>
                            <w:bCs/>
                            <w:sz w:val="19"/>
                            <w:szCs w:val="19"/>
                            <w:lang w:val="en-US"/>
                          </w:rPr>
                          <w:t xml:space="preserve">Children reported </w:t>
                        </w:r>
                        <w:r>
                          <w:rPr>
                            <w:rFonts w:ascii="Arial" w:hAnsi="Arial" w:cs="Times New Roman"/>
                            <w:bCs/>
                            <w:sz w:val="19"/>
                            <w:szCs w:val="19"/>
                            <w:lang w:val="en-US"/>
                          </w:rPr>
                          <w:t>appreciating</w:t>
                        </w:r>
                        <w:r w:rsidRPr="00D46E27">
                          <w:rPr>
                            <w:rFonts w:ascii="Arial" w:hAnsi="Arial" w:cs="Times New Roman"/>
                            <w:bCs/>
                            <w:sz w:val="19"/>
                            <w:szCs w:val="19"/>
                            <w:lang w:val="en-US"/>
                          </w:rPr>
                          <w:t xml:space="preserve"> having someone to talk to, who took them seriously, respected their privacy and did not judge them.</w:t>
                        </w:r>
                      </w:p>
                      <w:p w14:paraId="0B71EEBD" w14:textId="77777777" w:rsidR="008E3397" w:rsidRPr="00D46E27" w:rsidRDefault="008E3397" w:rsidP="00384457">
                        <w:pPr>
                          <w:spacing w:before="120" w:after="120"/>
                          <w:rPr>
                            <w:rFonts w:ascii="Arial" w:hAnsi="Arial" w:cs="Times New Roman"/>
                            <w:sz w:val="19"/>
                            <w:szCs w:val="19"/>
                          </w:rPr>
                        </w:pPr>
                      </w:p>
                    </w:tc>
                    <w:tc>
                      <w:tcPr>
                        <w:tcW w:w="1318" w:type="pct"/>
                        <w:tcBorders>
                          <w:top w:val="single" w:sz="4" w:space="0" w:color="BFBFBF" w:themeColor="text1" w:themeShade="BF"/>
                          <w:bottom w:val="single" w:sz="4" w:space="0" w:color="BFBFBF" w:themeColor="text1" w:themeShade="BF"/>
                        </w:tcBorders>
                        <w:shd w:val="clear" w:color="auto" w:fill="F4FAF9"/>
                      </w:tcPr>
                      <w:p w14:paraId="2CE08BF2" w14:textId="77777777" w:rsidR="008E3397" w:rsidRPr="00D46E27" w:rsidRDefault="008E3397" w:rsidP="00384457">
                        <w:pPr>
                          <w:spacing w:before="60" w:after="120"/>
                          <w:rPr>
                            <w:rFonts w:ascii="Arial" w:hAnsi="Arial" w:cs="Times New Roman"/>
                            <w:sz w:val="19"/>
                            <w:szCs w:val="19"/>
                            <w:lang w:val="en-US"/>
                          </w:rPr>
                        </w:pPr>
                        <w:r w:rsidRPr="00D46E27">
                          <w:rPr>
                            <w:rFonts w:ascii="Arial" w:hAnsi="Arial" w:cs="Times New Roman"/>
                            <w:bCs/>
                            <w:sz w:val="19"/>
                            <w:szCs w:val="19"/>
                            <w:lang w:val="en-US"/>
                          </w:rPr>
                          <w:t>Service providers emphasised best practices of applying whole</w:t>
                        </w:r>
                        <w:r>
                          <w:rPr>
                            <w:rFonts w:ascii="Arial" w:hAnsi="Arial" w:cs="Times New Roman"/>
                            <w:bCs/>
                            <w:sz w:val="19"/>
                            <w:szCs w:val="19"/>
                            <w:lang w:val="en-US"/>
                          </w:rPr>
                          <w:t>-</w:t>
                        </w:r>
                        <w:r w:rsidRPr="00D46E27">
                          <w:rPr>
                            <w:rFonts w:ascii="Arial" w:hAnsi="Arial" w:cs="Times New Roman"/>
                            <w:bCs/>
                            <w:sz w:val="19"/>
                            <w:szCs w:val="19"/>
                            <w:lang w:val="en-US"/>
                          </w:rPr>
                          <w:t>of</w:t>
                        </w:r>
                        <w:r>
                          <w:rPr>
                            <w:rFonts w:ascii="Arial" w:hAnsi="Arial" w:cs="Times New Roman"/>
                            <w:bCs/>
                            <w:sz w:val="19"/>
                            <w:szCs w:val="19"/>
                            <w:lang w:val="en-US"/>
                          </w:rPr>
                          <w:t>-</w:t>
                        </w:r>
                        <w:r w:rsidRPr="00D46E27">
                          <w:rPr>
                            <w:rFonts w:ascii="Arial" w:hAnsi="Arial" w:cs="Times New Roman"/>
                            <w:bCs/>
                            <w:sz w:val="19"/>
                            <w:szCs w:val="19"/>
                            <w:lang w:val="en-US"/>
                          </w:rPr>
                          <w:t>family approaches and centering children and young people to give them a voice.</w:t>
                        </w:r>
                      </w:p>
                    </w:tc>
                  </w:tr>
                  <w:tr w:rsidR="008E3397" w:rsidRPr="00D46E27" w14:paraId="10539D26" w14:textId="77777777">
                    <w:trPr>
                      <w:cantSplit/>
                    </w:trPr>
                    <w:tc>
                      <w:tcPr>
                        <w:tcW w:w="1047" w:type="pct"/>
                        <w:tcBorders>
                          <w:top w:val="single" w:sz="4" w:space="0" w:color="BFBFBF" w:themeColor="text1" w:themeShade="BF"/>
                        </w:tcBorders>
                        <w:shd w:val="clear" w:color="auto" w:fill="C7E7E5"/>
                      </w:tcPr>
                      <w:p w14:paraId="7EE22248" w14:textId="77777777" w:rsidR="008E3397" w:rsidRPr="00D46E27" w:rsidRDefault="008E3397" w:rsidP="00384457">
                        <w:pPr>
                          <w:spacing w:before="120" w:after="120"/>
                          <w:rPr>
                            <w:rFonts w:ascii="Arial" w:hAnsi="Arial" w:cs="Times New Roman"/>
                            <w:bCs/>
                            <w:color w:val="000000"/>
                            <w:sz w:val="19"/>
                            <w:szCs w:val="19"/>
                            <w:lang w:val="en-US"/>
                          </w:rPr>
                        </w:pPr>
                        <w:r w:rsidRPr="00D46E27">
                          <w:rPr>
                            <w:rFonts w:ascii="Arial" w:hAnsi="Arial" w:cs="Times New Roman"/>
                            <w:bCs/>
                            <w:color w:val="000000"/>
                            <w:sz w:val="19"/>
                            <w:szCs w:val="19"/>
                            <w:lang w:val="en-US"/>
                          </w:rPr>
                          <w:lastRenderedPageBreak/>
                          <w:t>Perpetrators use effective strategies to: </w:t>
                        </w:r>
                      </w:p>
                      <w:p w14:paraId="444A1B11" w14:textId="77777777" w:rsidR="008E3397" w:rsidRPr="00D46E27" w:rsidRDefault="008E3397" w:rsidP="00384457">
                        <w:pPr>
                          <w:numPr>
                            <w:ilvl w:val="0"/>
                            <w:numId w:val="62"/>
                          </w:numPr>
                          <w:spacing w:before="60" w:after="60"/>
                          <w:ind w:left="314" w:hanging="314"/>
                          <w:rPr>
                            <w:rFonts w:ascii="Arial" w:hAnsi="Arial" w:cs="Times New Roman"/>
                            <w:bCs/>
                            <w:color w:val="000000"/>
                            <w:sz w:val="19"/>
                            <w:szCs w:val="19"/>
                            <w:lang w:val="en-US"/>
                          </w:rPr>
                        </w:pPr>
                        <w:r w:rsidRPr="00D46E27">
                          <w:rPr>
                            <w:rFonts w:ascii="Arial" w:hAnsi="Arial" w:cs="Times New Roman"/>
                            <w:bCs/>
                            <w:color w:val="000000"/>
                            <w:sz w:val="19"/>
                            <w:szCs w:val="19"/>
                            <w:lang w:val="en-US"/>
                          </w:rPr>
                          <w:t>reduce their violent and abusive behaviours</w:t>
                        </w:r>
                      </w:p>
                      <w:p w14:paraId="69FD3F34" w14:textId="77777777" w:rsidR="008E3397" w:rsidRPr="00D46E27" w:rsidRDefault="008E3397" w:rsidP="00384457">
                        <w:pPr>
                          <w:numPr>
                            <w:ilvl w:val="0"/>
                            <w:numId w:val="62"/>
                          </w:numPr>
                          <w:spacing w:before="60" w:after="120"/>
                          <w:ind w:left="312" w:hanging="312"/>
                          <w:rPr>
                            <w:rFonts w:ascii="Arial" w:hAnsi="Arial" w:cs="Times New Roman"/>
                            <w:bCs/>
                            <w:color w:val="000000"/>
                            <w:sz w:val="19"/>
                            <w:szCs w:val="19"/>
                            <w:lang w:val="en-US"/>
                          </w:rPr>
                        </w:pPr>
                        <w:r w:rsidRPr="00D46E27">
                          <w:rPr>
                            <w:rFonts w:ascii="Arial" w:hAnsi="Arial" w:cs="Times New Roman"/>
                            <w:bCs/>
                            <w:color w:val="000000"/>
                            <w:sz w:val="19"/>
                            <w:szCs w:val="19"/>
                            <w:lang w:val="en-US"/>
                          </w:rPr>
                          <w:t>access supports to reduce violent and abusive behaviours</w:t>
                        </w:r>
                        <w:r>
                          <w:rPr>
                            <w:rFonts w:ascii="Arial" w:hAnsi="Arial" w:cs="Times New Roman"/>
                            <w:bCs/>
                            <w:color w:val="000000"/>
                            <w:sz w:val="19"/>
                            <w:szCs w:val="19"/>
                            <w:lang w:val="en-US"/>
                          </w:rPr>
                          <w:t>.</w:t>
                        </w:r>
                        <w:r w:rsidRPr="00D46E27">
                          <w:rPr>
                            <w:rFonts w:ascii="Arial" w:hAnsi="Arial" w:cs="Times New Roman"/>
                            <w:bCs/>
                            <w:color w:val="000000"/>
                            <w:sz w:val="19"/>
                            <w:szCs w:val="19"/>
                            <w:lang w:val="en-US"/>
                          </w:rPr>
                          <w:t> </w:t>
                        </w:r>
                      </w:p>
                    </w:tc>
                    <w:tc>
                      <w:tcPr>
                        <w:tcW w:w="1317" w:type="pct"/>
                        <w:tcBorders>
                          <w:top w:val="single" w:sz="4" w:space="0" w:color="BFBFBF" w:themeColor="text1" w:themeShade="BF"/>
                        </w:tcBorders>
                        <w:shd w:val="clear" w:color="auto" w:fill="F4FAF9"/>
                      </w:tcPr>
                      <w:p w14:paraId="336E9A8A" w14:textId="3DC76056" w:rsidR="008E3397" w:rsidRPr="00D46E27" w:rsidRDefault="00B04375" w:rsidP="00384457">
                        <w:pPr>
                          <w:spacing w:before="60"/>
                          <w:rPr>
                            <w:rFonts w:ascii="Arial" w:hAnsi="Arial" w:cs="Times New Roman"/>
                            <w:sz w:val="19"/>
                            <w:szCs w:val="19"/>
                          </w:rPr>
                        </w:pPr>
                        <w:r w:rsidRPr="00D00B38">
                          <w:rPr>
                            <w:sz w:val="19"/>
                            <w:szCs w:val="19"/>
                            <w:lang w:val="en-US"/>
                          </w:rPr>
                          <w:t xml:space="preserve">The average Circumstance </w:t>
                        </w:r>
                        <w:r w:rsidR="006F663A" w:rsidRPr="006F663A">
                          <w:rPr>
                            <w:sz w:val="19"/>
                            <w:szCs w:val="19"/>
                            <w:lang w:val="en-US"/>
                          </w:rPr>
                          <w:t>SCORE</w:t>
                        </w:r>
                        <w:r w:rsidRPr="00D00B38">
                          <w:rPr>
                            <w:sz w:val="19"/>
                            <w:szCs w:val="19"/>
                            <w:lang w:val="en-US"/>
                          </w:rPr>
                          <w:t xml:space="preserve"> change was in the order of </w:t>
                        </w:r>
                        <w:r>
                          <w:rPr>
                            <w:rFonts w:ascii="Arial" w:hAnsi="Arial" w:cs="Times New Roman"/>
                            <w:b/>
                            <w:bCs/>
                            <w:color w:val="007E00" w:themeColor="accent3"/>
                            <w:sz w:val="20"/>
                          </w:rPr>
                          <w:t>+</w:t>
                        </w:r>
                        <w:r>
                          <w:rPr>
                            <w:rFonts w:ascii="Arial" w:hAnsi="Arial" w:cs="Times New Roman"/>
                            <w:b/>
                            <w:color w:val="007E00" w:themeColor="accent3"/>
                            <w:sz w:val="20"/>
                            <w:lang w:val="en-US"/>
                          </w:rPr>
                          <w:t>0.7</w:t>
                        </w:r>
                        <w:r>
                          <w:rPr>
                            <w:rFonts w:ascii="Arial" w:hAnsi="Arial" w:cs="Times New Roman"/>
                            <w:b/>
                            <w:bCs/>
                            <w:color w:val="007E00" w:themeColor="accent3"/>
                            <w:sz w:val="20"/>
                          </w:rPr>
                          <w:t>0 - +1.05</w:t>
                        </w:r>
                        <w:r w:rsidRPr="00D00B38">
                          <w:rPr>
                            <w:sz w:val="19"/>
                            <w:szCs w:val="19"/>
                            <w:lang w:val="en-US"/>
                          </w:rPr>
                          <w:t>.</w:t>
                        </w:r>
                      </w:p>
                    </w:tc>
                    <w:tc>
                      <w:tcPr>
                        <w:tcW w:w="1318" w:type="pct"/>
                        <w:tcBorders>
                          <w:top w:val="single" w:sz="4" w:space="0" w:color="BFBFBF" w:themeColor="text1" w:themeShade="BF"/>
                        </w:tcBorders>
                        <w:shd w:val="clear" w:color="auto" w:fill="F4FAF9"/>
                      </w:tcPr>
                      <w:p w14:paraId="352B6225" w14:textId="77777777" w:rsidR="008E3397" w:rsidRPr="00D46E27" w:rsidRDefault="008E3397" w:rsidP="00384457">
                        <w:pPr>
                          <w:spacing w:before="60" w:after="120"/>
                          <w:rPr>
                            <w:rFonts w:ascii="Arial" w:hAnsi="Arial" w:cs="Times New Roman"/>
                            <w:b/>
                            <w:sz w:val="19"/>
                            <w:szCs w:val="19"/>
                            <w:lang w:val="en-US"/>
                          </w:rPr>
                        </w:pPr>
                        <w:r w:rsidRPr="00D46E27">
                          <w:rPr>
                            <w:rFonts w:ascii="Arial" w:hAnsi="Arial" w:cs="Times New Roman"/>
                            <w:bCs/>
                            <w:sz w:val="19"/>
                            <w:szCs w:val="19"/>
                            <w:lang w:val="en-US"/>
                          </w:rPr>
                          <w:t>Intrinsic motivations of restoring family relationships described by MBCP service users</w:t>
                        </w:r>
                        <w:r>
                          <w:rPr>
                            <w:rFonts w:ascii="Arial" w:hAnsi="Arial" w:cs="Times New Roman"/>
                            <w:bCs/>
                            <w:sz w:val="19"/>
                            <w:szCs w:val="19"/>
                            <w:lang w:val="en-US"/>
                          </w:rPr>
                          <w:t xml:space="preserve"> translated into personal strategies of showing accountability and approaching relationships differently</w:t>
                        </w:r>
                      </w:p>
                    </w:tc>
                    <w:tc>
                      <w:tcPr>
                        <w:tcW w:w="1318" w:type="pct"/>
                        <w:tcBorders>
                          <w:top w:val="single" w:sz="4" w:space="0" w:color="BFBFBF" w:themeColor="text1" w:themeShade="BF"/>
                        </w:tcBorders>
                        <w:shd w:val="clear" w:color="auto" w:fill="F4FAF9"/>
                      </w:tcPr>
                      <w:p w14:paraId="5C610041" w14:textId="77777777" w:rsidR="008E3397" w:rsidRPr="00D46E27" w:rsidRDefault="008E3397" w:rsidP="00384457">
                        <w:pPr>
                          <w:spacing w:before="120" w:after="120"/>
                          <w:rPr>
                            <w:rFonts w:ascii="Arial" w:hAnsi="Arial" w:cs="Times New Roman"/>
                            <w:sz w:val="19"/>
                            <w:szCs w:val="19"/>
                          </w:rPr>
                        </w:pPr>
                        <w:r>
                          <w:rPr>
                            <w:rFonts w:ascii="Arial" w:hAnsi="Arial" w:cs="Times New Roman"/>
                            <w:sz w:val="19"/>
                            <w:szCs w:val="19"/>
                          </w:rPr>
                          <w:t xml:space="preserve">Service providers emphasised the importance of specific practice strategies to address violent and abusive behaviours, including healing approaches, sensitive engagement in relation to anger management and emotional regulation, and adjusting delivery to suit service users with low literacy levels or cognitive disabilities. </w:t>
                        </w:r>
                      </w:p>
                    </w:tc>
                  </w:tr>
                </w:tbl>
                <w:p w14:paraId="72C084FB" w14:textId="77777777" w:rsidR="008E3397" w:rsidRDefault="008E3397" w:rsidP="008E3397">
                  <w:pPr>
                    <w:pStyle w:val="Text"/>
                    <w:rPr>
                      <w:lang w:val="en-AU"/>
                    </w:rPr>
                    <w:sectPr w:rsidR="008E3397" w:rsidSect="008E3397">
                      <w:footerReference w:type="default" r:id="rId69"/>
                      <w:pgSz w:w="16834" w:h="11909" w:orient="landscape" w:code="9"/>
                      <w:pgMar w:top="1440" w:right="1440" w:bottom="1440" w:left="1440" w:header="720" w:footer="720" w:gutter="0"/>
                      <w:cols w:space="720"/>
                      <w:docGrid w:linePitch="360"/>
                    </w:sectPr>
                  </w:pPr>
                </w:p>
                <w:p w14:paraId="3D491084" w14:textId="4B49E409" w:rsidR="002E2FBA" w:rsidRDefault="00D17BA5" w:rsidP="002E7436">
                  <w:pPr>
                    <w:pStyle w:val="Heading2"/>
                  </w:pPr>
                  <w:bookmarkStart w:id="417" w:name="_Factors_affecting_achievement"/>
                  <w:bookmarkStart w:id="418" w:name="_Toc208906855"/>
                  <w:bookmarkStart w:id="419" w:name="_Ref208926359"/>
                  <w:bookmarkStart w:id="420" w:name="_Toc204856740"/>
                  <w:bookmarkStart w:id="421" w:name="_Ref205319053"/>
                  <w:bookmarkStart w:id="422" w:name="_Ref205319071"/>
                  <w:bookmarkEnd w:id="417"/>
                  <w:r w:rsidRPr="00FF699B">
                    <w:lastRenderedPageBreak/>
                    <w:t>Factors affecting achievement of outcomes</w:t>
                  </w:r>
                  <w:bookmarkEnd w:id="418"/>
                  <w:bookmarkEnd w:id="419"/>
                  <w:r w:rsidRPr="00FF699B">
                    <w:t xml:space="preserve"> </w:t>
                  </w:r>
                  <w:bookmarkEnd w:id="420"/>
                  <w:bookmarkEnd w:id="421"/>
                  <w:bookmarkEnd w:id="422"/>
                </w:p>
                <w:p w14:paraId="6AB3F72F" w14:textId="4CE25E60" w:rsidR="006A6D4F" w:rsidRDefault="006A6D4F" w:rsidP="006A6D4F">
                  <w:pPr>
                    <w:pStyle w:val="Text"/>
                  </w:pPr>
                  <w:r w:rsidRPr="000C6D01">
                    <w:t xml:space="preserve">This section describes the factors that </w:t>
                  </w:r>
                  <w:r w:rsidR="00081A63">
                    <w:t>influenced</w:t>
                  </w:r>
                  <w:r w:rsidRPr="000C6D01">
                    <w:t xml:space="preserve"> the achievement of </w:t>
                  </w:r>
                  <w:r w:rsidR="006457C3" w:rsidRPr="006457C3">
                    <w:t>short and medium-term</w:t>
                  </w:r>
                  <w:r w:rsidRPr="000C6D01">
                    <w:t xml:space="preserve"> outcomes </w:t>
                  </w:r>
                  <w:r w:rsidR="006457C3">
                    <w:t>for the</w:t>
                  </w:r>
                  <w:r w:rsidRPr="000C6D01">
                    <w:t xml:space="preserve"> FaRS and SFVS </w:t>
                  </w:r>
                  <w:r w:rsidR="006457C3">
                    <w:t>programs</w:t>
                  </w:r>
                  <w:r w:rsidRPr="000C6D01">
                    <w:t xml:space="preserve"> </w:t>
                  </w:r>
                  <w:r w:rsidR="006457C3">
                    <w:t>(</w:t>
                  </w:r>
                  <w:r w:rsidRPr="000C6D01">
                    <w:t>KEQ 2</w:t>
                  </w:r>
                  <w:r w:rsidR="006457C3">
                    <w:t>)</w:t>
                  </w:r>
                  <w:r w:rsidRPr="000C6D01">
                    <w:t xml:space="preserve">. </w:t>
                  </w:r>
                  <w:r>
                    <w:t xml:space="preserve">These are outlined at </w:t>
                  </w:r>
                  <w:r w:rsidR="00C212CB" w:rsidRPr="00C212CB">
                    <w:rPr>
                      <w:b/>
                      <w:bCs/>
                    </w:rPr>
                    <w:fldChar w:fldCharType="begin" w:fldLock="1"/>
                  </w:r>
                  <w:r w:rsidR="00C212CB" w:rsidRPr="00C212CB">
                    <w:rPr>
                      <w:b/>
                      <w:bCs/>
                    </w:rPr>
                    <w:instrText xml:space="preserve"> REF _Ref208568739 \h </w:instrText>
                  </w:r>
                  <w:r w:rsidR="00C212CB">
                    <w:rPr>
                      <w:b/>
                      <w:bCs/>
                    </w:rPr>
                    <w:instrText xml:space="preserve"> \* MERGEFORMAT </w:instrText>
                  </w:r>
                  <w:r w:rsidR="00C212CB" w:rsidRPr="00C212CB">
                    <w:rPr>
                      <w:b/>
                      <w:bCs/>
                    </w:rPr>
                  </w:r>
                  <w:r w:rsidR="00C212CB" w:rsidRPr="00C212CB">
                    <w:rPr>
                      <w:b/>
                      <w:bCs/>
                    </w:rPr>
                    <w:fldChar w:fldCharType="separate"/>
                  </w:r>
                  <w:r w:rsidR="008F22E5" w:rsidRPr="008F22E5">
                    <w:rPr>
                      <w:b/>
                      <w:bCs/>
                    </w:rPr>
                    <w:t xml:space="preserve">Figure </w:t>
                  </w:r>
                  <w:r w:rsidR="008F22E5" w:rsidRPr="008F22E5">
                    <w:rPr>
                      <w:b/>
                      <w:bCs/>
                      <w:noProof/>
                    </w:rPr>
                    <w:t>25</w:t>
                  </w:r>
                  <w:r w:rsidR="00C212CB" w:rsidRPr="00C212CB">
                    <w:rPr>
                      <w:b/>
                      <w:bCs/>
                    </w:rPr>
                    <w:fldChar w:fldCharType="end"/>
                  </w:r>
                  <w:r>
                    <w:t xml:space="preserve"> below.</w:t>
                  </w:r>
                </w:p>
                <w:p w14:paraId="151EAA7B" w14:textId="0D025F9E" w:rsidR="006A6D4F" w:rsidRDefault="006A6D4F" w:rsidP="006A6D4F">
                  <w:pPr>
                    <w:pStyle w:val="TableFigure-Header"/>
                  </w:pPr>
                  <w:bookmarkStart w:id="423" w:name="_Ref208568739"/>
                  <w:r w:rsidRPr="4465F13A">
                    <w:rPr>
                      <w:lang w:val="en-NZ"/>
                    </w:rPr>
                    <w:t xml:space="preserve">Figure </w:t>
                  </w:r>
                  <w:r w:rsidR="00C64C3D">
                    <w:rPr>
                      <w:lang w:val="en-NZ"/>
                    </w:rPr>
                    <w:fldChar w:fldCharType="begin"/>
                  </w:r>
                  <w:r w:rsidR="00C64C3D">
                    <w:rPr>
                      <w:lang w:val="en-NZ"/>
                    </w:rPr>
                    <w:instrText xml:space="preserve"> SEQ Figure \* ARABIC </w:instrText>
                  </w:r>
                  <w:r w:rsidR="00C64C3D">
                    <w:rPr>
                      <w:lang w:val="en-NZ"/>
                    </w:rPr>
                    <w:fldChar w:fldCharType="separate"/>
                  </w:r>
                  <w:r w:rsidR="008D2566">
                    <w:rPr>
                      <w:noProof/>
                      <w:lang w:val="en-NZ"/>
                    </w:rPr>
                    <w:t>25</w:t>
                  </w:r>
                  <w:r w:rsidR="00C64C3D">
                    <w:rPr>
                      <w:lang w:val="en-NZ"/>
                    </w:rPr>
                    <w:fldChar w:fldCharType="end"/>
                  </w:r>
                  <w:bookmarkEnd w:id="423"/>
                  <w:r w:rsidRPr="4465F13A">
                    <w:rPr>
                      <w:lang w:val="en-NZ"/>
                    </w:rPr>
                    <w:t>: Factors impacting achievement of outcomes</w:t>
                  </w:r>
                </w:p>
                <w:p w14:paraId="547EF372" w14:textId="77777777" w:rsidR="006A6D4F" w:rsidRDefault="006A6D4F" w:rsidP="006A6D4F">
                  <w:pPr>
                    <w:pStyle w:val="Text"/>
                  </w:pPr>
                </w:p>
                <w:p w14:paraId="254E3030" w14:textId="77777777" w:rsidR="006A6D4F" w:rsidRDefault="006A6D4F" w:rsidP="006A6D4F">
                  <w:pPr>
                    <w:pStyle w:val="Bullet1"/>
                    <w:numPr>
                      <w:ilvl w:val="0"/>
                      <w:numId w:val="0"/>
                    </w:numPr>
                    <w:ind w:left="431"/>
                    <w:jc w:val="center"/>
                  </w:pPr>
                  <w:r>
                    <w:rPr>
                      <w:noProof/>
                    </w:rPr>
                    <w:drawing>
                      <wp:inline distT="0" distB="0" distL="0" distR="0" wp14:anchorId="439B57C3" wp14:editId="569B91C2">
                        <wp:extent cx="4628447" cy="4631451"/>
                        <wp:effectExtent l="0" t="0" r="1270" b="0"/>
                        <wp:docPr id="1314203520"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203520" name="Picture 1">
                                  <a:extLst>
                                    <a:ext uri="{C183D7F6-B498-43B3-948B-1728B52AA6E4}">
                                      <adec:decorative xmlns:adec="http://schemas.microsoft.com/office/drawing/2017/decorative" val="1"/>
                                    </a:ext>
                                  </a:extLst>
                                </pic:cNvPr>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721192" cy="4724257"/>
                                </a:xfrm>
                                <a:prstGeom prst="rect">
                                  <a:avLst/>
                                </a:prstGeom>
                                <a:noFill/>
                              </pic:spPr>
                            </pic:pic>
                          </a:graphicData>
                        </a:graphic>
                      </wp:inline>
                    </w:drawing>
                  </w:r>
                </w:p>
                <w:p w14:paraId="0EEA58D5" w14:textId="5189BAC6" w:rsidR="00303DCA" w:rsidRPr="00713EFE" w:rsidRDefault="00303DCA" w:rsidP="00DE647E">
                  <w:pPr>
                    <w:pStyle w:val="Bullet1"/>
                    <w:numPr>
                      <w:ilvl w:val="0"/>
                      <w:numId w:val="0"/>
                    </w:numPr>
                    <w:ind w:left="431"/>
                  </w:pPr>
                </w:p>
                <w:p w14:paraId="7C00174E" w14:textId="77777777" w:rsidR="004C4B81" w:rsidRDefault="004C4B81">
                  <w:pPr>
                    <w:rPr>
                      <w:rFonts w:ascii="Arial" w:hAnsi="Arial"/>
                      <w:b/>
                      <w:color w:val="007E00" w:themeColor="accent3"/>
                      <w:kern w:val="28"/>
                      <w:sz w:val="36"/>
                      <w:szCs w:val="32"/>
                      <w:lang w:val="en-US"/>
                    </w:rPr>
                  </w:pPr>
                  <w:r>
                    <w:br w:type="page"/>
                  </w:r>
                </w:p>
                <w:p w14:paraId="5ED64646" w14:textId="77777777" w:rsidR="00060D66" w:rsidRPr="00060D66" w:rsidRDefault="00060D66" w:rsidP="00060D66">
                  <w:pPr>
                    <w:pStyle w:val="ListParagraph"/>
                    <w:keepNext/>
                    <w:numPr>
                      <w:ilvl w:val="1"/>
                      <w:numId w:val="20"/>
                    </w:numPr>
                    <w:spacing w:before="360" w:after="120" w:line="274" w:lineRule="auto"/>
                    <w:contextualSpacing w:val="0"/>
                    <w:outlineLvl w:val="2"/>
                    <w:rPr>
                      <w:rFonts w:ascii="Arial" w:hAnsi="Arial"/>
                      <w:b/>
                      <w:vanish/>
                      <w:color w:val="007E00" w:themeColor="accent3"/>
                      <w:kern w:val="28"/>
                      <w:sz w:val="36"/>
                      <w:szCs w:val="32"/>
                      <w:lang w:val="en-US"/>
                    </w:rPr>
                  </w:pPr>
                </w:p>
                <w:p w14:paraId="1FB3190D" w14:textId="5E61891F" w:rsidR="002E2FBA" w:rsidRPr="002E2FBA" w:rsidRDefault="002E2FBA" w:rsidP="00060D66">
                  <w:pPr>
                    <w:pStyle w:val="Heading3"/>
                  </w:pPr>
                  <w:r w:rsidRPr="00FF699B">
                    <w:t xml:space="preserve">Factors </w:t>
                  </w:r>
                  <w:r>
                    <w:t>enabling the achievement of</w:t>
                  </w:r>
                  <w:r w:rsidRPr="00FF699B">
                    <w:t xml:space="preserve"> outcomes </w:t>
                  </w:r>
                </w:p>
                <w:p w14:paraId="27FDE261" w14:textId="264596DE" w:rsidR="00EB4D99" w:rsidRDefault="00670158" w:rsidP="00321BC5">
                  <w:pPr>
                    <w:pStyle w:val="Text"/>
                  </w:pPr>
                  <w:r w:rsidRPr="000C6D01">
                    <w:t xml:space="preserve">There is considerable overlap between </w:t>
                  </w:r>
                  <w:r w:rsidR="004C23F1">
                    <w:t xml:space="preserve">the factors which support the achievement of outcomes for both FaRS and SFVS. </w:t>
                  </w:r>
                  <w:r w:rsidR="00FD53C6">
                    <w:t>For this reason</w:t>
                  </w:r>
                  <w:r w:rsidRPr="000C6D01">
                    <w:t xml:space="preserve">, </w:t>
                  </w:r>
                  <w:r w:rsidR="00FD53C6">
                    <w:t xml:space="preserve">this </w:t>
                  </w:r>
                  <w:r w:rsidRPr="000C6D01">
                    <w:t xml:space="preserve">section </w:t>
                  </w:r>
                  <w:r w:rsidR="00FD53C6">
                    <w:t>addresses</w:t>
                  </w:r>
                  <w:r w:rsidRPr="000C6D01">
                    <w:t xml:space="preserve"> FaRS and SFVS</w:t>
                  </w:r>
                  <w:r w:rsidR="00FD53C6">
                    <w:t xml:space="preserve"> together</w:t>
                  </w:r>
                  <w:r w:rsidRPr="000C6D01">
                    <w:t xml:space="preserve">. </w:t>
                  </w:r>
                  <w:bookmarkStart w:id="424" w:name="_Toc204606643"/>
                  <w:bookmarkEnd w:id="424"/>
                </w:p>
                <w:p w14:paraId="4CE75F63" w14:textId="718C21E9" w:rsidR="00D338F5" w:rsidRDefault="002E558B" w:rsidP="00321BC5">
                  <w:pPr>
                    <w:pStyle w:val="Text-BodyHeading"/>
                    <w:spacing w:before="360" w:after="240"/>
                  </w:pPr>
                  <w:r>
                    <w:t xml:space="preserve">Attributes of counsellors and facilitators </w:t>
                  </w:r>
                </w:p>
                <w:p w14:paraId="191A3353" w14:textId="060A5CFF" w:rsidR="00827847" w:rsidRDefault="007309AD" w:rsidP="00220F30">
                  <w:pPr>
                    <w:pStyle w:val="Text"/>
                    <w:rPr>
                      <w:lang w:val="en-US"/>
                    </w:rPr>
                  </w:pPr>
                  <w:r>
                    <w:rPr>
                      <w:lang w:val="en-US"/>
                    </w:rPr>
                    <w:t xml:space="preserve">Service users </w:t>
                  </w:r>
                  <w:r w:rsidR="00E44E37">
                    <w:rPr>
                      <w:lang w:val="en-US"/>
                    </w:rPr>
                    <w:t xml:space="preserve">who </w:t>
                  </w:r>
                  <w:r w:rsidR="00053499">
                    <w:rPr>
                      <w:lang w:val="en-US"/>
                    </w:rPr>
                    <w:t>said they benefited</w:t>
                  </w:r>
                  <w:r>
                    <w:rPr>
                      <w:lang w:val="en-US"/>
                    </w:rPr>
                    <w:t xml:space="preserve"> from the service</w:t>
                  </w:r>
                  <w:r w:rsidR="006B5C9C">
                    <w:rPr>
                      <w:lang w:val="en-US"/>
                    </w:rPr>
                    <w:t xml:space="preserve"> often identified their </w:t>
                  </w:r>
                  <w:r w:rsidR="00763A8B">
                    <w:rPr>
                      <w:lang w:val="en-US"/>
                    </w:rPr>
                    <w:t xml:space="preserve">counsellor </w:t>
                  </w:r>
                  <w:r w:rsidR="00E44E37">
                    <w:rPr>
                      <w:lang w:val="en-US"/>
                    </w:rPr>
                    <w:t>or</w:t>
                  </w:r>
                  <w:r w:rsidR="00763A8B">
                    <w:rPr>
                      <w:lang w:val="en-US"/>
                    </w:rPr>
                    <w:t xml:space="preserve"> facilitator</w:t>
                  </w:r>
                  <w:r w:rsidR="00E44E37">
                    <w:rPr>
                      <w:lang w:val="en-US"/>
                    </w:rPr>
                    <w:t>’</w:t>
                  </w:r>
                  <w:r w:rsidR="00763A8B">
                    <w:rPr>
                      <w:lang w:val="en-US"/>
                    </w:rPr>
                    <w:t xml:space="preserve">s </w:t>
                  </w:r>
                  <w:r w:rsidR="002F04F1">
                    <w:rPr>
                      <w:lang w:val="en-US"/>
                    </w:rPr>
                    <w:t>therapeutic skill, knowledge and expertise</w:t>
                  </w:r>
                  <w:r w:rsidR="00E44E37">
                    <w:rPr>
                      <w:lang w:val="en-US"/>
                    </w:rPr>
                    <w:t xml:space="preserve"> as </w:t>
                  </w:r>
                  <w:r w:rsidR="0051585C">
                    <w:rPr>
                      <w:lang w:val="en-US"/>
                    </w:rPr>
                    <w:t xml:space="preserve">important </w:t>
                  </w:r>
                  <w:r w:rsidR="00053499">
                    <w:rPr>
                      <w:lang w:val="en-US"/>
                    </w:rPr>
                    <w:t>aspects of their positive experience</w:t>
                  </w:r>
                  <w:r w:rsidR="002F04F1">
                    <w:rPr>
                      <w:lang w:val="en-US"/>
                    </w:rPr>
                    <w:t>.</w:t>
                  </w:r>
                  <w:r w:rsidR="006318B2">
                    <w:rPr>
                      <w:lang w:val="en-US"/>
                    </w:rPr>
                    <w:t xml:space="preserve"> </w:t>
                  </w:r>
                  <w:r w:rsidR="00233601">
                    <w:rPr>
                      <w:lang w:val="en-US"/>
                    </w:rPr>
                    <w:t>S</w:t>
                  </w:r>
                  <w:r w:rsidR="001C5FE8" w:rsidRPr="001C5FE8">
                    <w:rPr>
                      <w:lang w:val="en-US"/>
                    </w:rPr>
                    <w:t xml:space="preserve">ervice users </w:t>
                  </w:r>
                  <w:r w:rsidR="00233601">
                    <w:rPr>
                      <w:lang w:val="en-US"/>
                    </w:rPr>
                    <w:t>highlighted their service provider’s</w:t>
                  </w:r>
                  <w:r w:rsidR="001C5FE8" w:rsidRPr="001C5FE8">
                    <w:rPr>
                      <w:lang w:val="en-US"/>
                    </w:rPr>
                    <w:t xml:space="preserve"> warmth, communication skills, empathy and active listening</w:t>
                  </w:r>
                  <w:r w:rsidR="00233601">
                    <w:rPr>
                      <w:lang w:val="en-US"/>
                    </w:rPr>
                    <w:t xml:space="preserve">, and often described </w:t>
                  </w:r>
                  <w:r w:rsidR="006318B2">
                    <w:rPr>
                      <w:lang w:val="en-US"/>
                    </w:rPr>
                    <w:t>them as a</w:t>
                  </w:r>
                  <w:r w:rsidR="001C5FE8" w:rsidRPr="001C5FE8">
                    <w:rPr>
                      <w:lang w:val="en-US"/>
                    </w:rPr>
                    <w:t xml:space="preserve"> safe person </w:t>
                  </w:r>
                  <w:r w:rsidR="002F04F1">
                    <w:rPr>
                      <w:lang w:val="en-US"/>
                    </w:rPr>
                    <w:t xml:space="preserve">with whom </w:t>
                  </w:r>
                  <w:r w:rsidR="001C5FE8" w:rsidRPr="001C5FE8">
                    <w:rPr>
                      <w:lang w:val="en-US"/>
                    </w:rPr>
                    <w:t>to share their challenges</w:t>
                  </w:r>
                  <w:r w:rsidR="002F04F1">
                    <w:rPr>
                      <w:lang w:val="en-US"/>
                    </w:rPr>
                    <w:t>.</w:t>
                  </w:r>
                  <w:r w:rsidR="001C5FE8" w:rsidRPr="001C5FE8">
                    <w:rPr>
                      <w:lang w:val="en-US"/>
                    </w:rPr>
                    <w:t xml:space="preserve"> </w:t>
                  </w:r>
                </w:p>
                <w:p w14:paraId="0178D41C" w14:textId="6D19B7EB" w:rsidR="001C5FE8" w:rsidRDefault="001C5FE8" w:rsidP="00220F30">
                  <w:pPr>
                    <w:pStyle w:val="Text"/>
                    <w:rPr>
                      <w:lang w:val="en-US"/>
                    </w:rPr>
                  </w:pPr>
                  <w:r w:rsidRPr="001C5FE8">
                    <w:rPr>
                      <w:lang w:val="en-US"/>
                    </w:rPr>
                    <w:t>Service users often reflected that they felt their service provider did not judge or criticise them</w:t>
                  </w:r>
                  <w:r w:rsidR="00A87B8C">
                    <w:rPr>
                      <w:lang w:val="en-US"/>
                    </w:rPr>
                    <w:t>.</w:t>
                  </w:r>
                  <w:r w:rsidRPr="001C5FE8">
                    <w:rPr>
                      <w:lang w:val="en-US"/>
                    </w:rPr>
                    <w:t xml:space="preserve"> </w:t>
                  </w:r>
                  <w:r w:rsidR="00827847">
                    <w:rPr>
                      <w:lang w:val="en-US"/>
                    </w:rPr>
                    <w:t>T</w:t>
                  </w:r>
                  <w:r w:rsidRPr="001C5FE8">
                    <w:rPr>
                      <w:lang w:val="en-US"/>
                    </w:rPr>
                    <w:t xml:space="preserve">he independence of service providers supported open conversations, </w:t>
                  </w:r>
                  <w:r w:rsidR="005C7315">
                    <w:rPr>
                      <w:lang w:val="en-US"/>
                    </w:rPr>
                    <w:t>in contrast</w:t>
                  </w:r>
                  <w:r w:rsidRPr="001C5FE8">
                    <w:rPr>
                      <w:lang w:val="en-US"/>
                    </w:rPr>
                    <w:t xml:space="preserve"> to</w:t>
                  </w:r>
                  <w:r w:rsidR="005C7315">
                    <w:rPr>
                      <w:lang w:val="en-US"/>
                    </w:rPr>
                    <w:t xml:space="preserve"> relying on support from</w:t>
                  </w:r>
                  <w:r w:rsidRPr="001C5FE8">
                    <w:rPr>
                      <w:lang w:val="en-US"/>
                    </w:rPr>
                    <w:t xml:space="preserve"> friends or family who service users felt may be more subjective. These attributes encouraged service users to feel seen, understood, and supported.</w:t>
                  </w:r>
                  <w:r w:rsidR="006028E3">
                    <w:rPr>
                      <w:lang w:val="en-US"/>
                    </w:rPr>
                    <w:t xml:space="preserve"> The </w:t>
                  </w:r>
                  <w:r w:rsidR="00827847">
                    <w:rPr>
                      <w:lang w:val="en-US"/>
                    </w:rPr>
                    <w:t>importance</w:t>
                  </w:r>
                  <w:r w:rsidR="006028E3">
                    <w:rPr>
                      <w:lang w:val="en-US"/>
                    </w:rPr>
                    <w:t xml:space="preserve"> of strong therapeutic relationships is highlighted in the literature especially when engaging with victim survivors</w:t>
                  </w:r>
                  <w:r w:rsidR="006028E3" w:rsidRPr="006028E3">
                    <w:rPr>
                      <w:lang w:val="en-US"/>
                    </w:rPr>
                    <w:t xml:space="preserve">. Consistent, stable staffing and tailored, survivor-led services allow therapeutic bonds to form, </w:t>
                  </w:r>
                  <w:r w:rsidR="00A87B8C">
                    <w:rPr>
                      <w:lang w:val="en-US"/>
                    </w:rPr>
                    <w:t xml:space="preserve">and </w:t>
                  </w:r>
                  <w:r w:rsidR="006028E3" w:rsidRPr="006028E3">
                    <w:rPr>
                      <w:lang w:val="en-US"/>
                    </w:rPr>
                    <w:t>are key to effective recovery. Group settings that foster peer support, as well as individual interventions, help survivors build trust and readiness for engagement in both starting and concluding their therapeutic journey (S. Brown et al., 2022).</w:t>
                  </w:r>
                </w:p>
                <w:p w14:paraId="70569AB9" w14:textId="5F8B5D76" w:rsidR="004E47D9" w:rsidRPr="001B1CDA" w:rsidRDefault="007A0722" w:rsidP="004E47D9">
                  <w:pPr>
                    <w:pBdr>
                      <w:left w:val="single" w:sz="18" w:space="4" w:color="78B800" w:themeColor="accent1"/>
                    </w:pBdr>
                    <w:tabs>
                      <w:tab w:val="left" w:pos="8080"/>
                    </w:tabs>
                    <w:spacing w:after="0"/>
                    <w:ind w:left="851" w:right="949"/>
                    <w:rPr>
                      <w:i/>
                    </w:rPr>
                  </w:pPr>
                  <w:r w:rsidRPr="008E1B83">
                    <w:rPr>
                      <w:i/>
                    </w:rPr>
                    <w:t xml:space="preserve">A lot of things I can’t say to my kids or my husband, </w:t>
                  </w:r>
                  <w:r w:rsidR="00856775" w:rsidRPr="008E1B83">
                    <w:rPr>
                      <w:i/>
                    </w:rPr>
                    <w:t xml:space="preserve">I </w:t>
                  </w:r>
                  <w:r w:rsidRPr="008E1B83">
                    <w:rPr>
                      <w:i/>
                    </w:rPr>
                    <w:t xml:space="preserve">can’t share it with someone else. </w:t>
                  </w:r>
                  <w:r w:rsidR="00856775" w:rsidRPr="008E1B83">
                    <w:rPr>
                      <w:i/>
                    </w:rPr>
                    <w:t>[</w:t>
                  </w:r>
                  <w:r w:rsidR="0046493A" w:rsidRPr="008E1B83">
                    <w:rPr>
                      <w:i/>
                    </w:rPr>
                    <w:t>Counsellor</w:t>
                  </w:r>
                  <w:r w:rsidR="00856775" w:rsidRPr="008E1B83">
                    <w:rPr>
                      <w:i/>
                    </w:rPr>
                    <w:t>]</w:t>
                  </w:r>
                  <w:r w:rsidRPr="008E1B83">
                    <w:rPr>
                      <w:i/>
                    </w:rPr>
                    <w:t xml:space="preserve"> has helped me a lot, she listens </w:t>
                  </w:r>
                  <w:r w:rsidR="0059791A">
                    <w:rPr>
                      <w:i/>
                    </w:rPr>
                    <w:t>[</w:t>
                  </w:r>
                  <w:r w:rsidR="00856775" w:rsidRPr="008E1B83">
                    <w:rPr>
                      <w:i/>
                    </w:rPr>
                    <w:t>…</w:t>
                  </w:r>
                  <w:r w:rsidR="0059791A">
                    <w:rPr>
                      <w:i/>
                    </w:rPr>
                    <w:t>]</w:t>
                  </w:r>
                  <w:r w:rsidRPr="008E1B83">
                    <w:rPr>
                      <w:i/>
                    </w:rPr>
                    <w:t xml:space="preserve"> she doesn’t say ‘you’re wrong’ she tells me I’m doing well</w:t>
                  </w:r>
                  <w:r w:rsidR="0059791A">
                    <w:rPr>
                      <w:i/>
                    </w:rPr>
                    <w:t xml:space="preserve"> [</w:t>
                  </w:r>
                  <w:r w:rsidRPr="008E1B83">
                    <w:rPr>
                      <w:i/>
                    </w:rPr>
                    <w:t>…</w:t>
                  </w:r>
                  <w:r w:rsidR="0059791A">
                    <w:rPr>
                      <w:i/>
                    </w:rPr>
                    <w:t>]</w:t>
                  </w:r>
                  <w:r w:rsidRPr="008E1B83">
                    <w:rPr>
                      <w:i/>
                    </w:rPr>
                    <w:t xml:space="preserve"> she can tell me I’ve done it right or wrong and move on</w:t>
                  </w:r>
                  <w:r w:rsidR="004E47D9" w:rsidRPr="008E1B83">
                    <w:rPr>
                      <w:i/>
                      <w:noProof/>
                    </w:rPr>
                    <w:drawing>
                      <wp:anchor distT="0" distB="0" distL="114300" distR="114300" simplePos="0" relativeHeight="251658296" behindDoc="0" locked="1" layoutInCell="1" allowOverlap="1" wp14:anchorId="457A9023" wp14:editId="0103926C">
                        <wp:simplePos x="0" y="0"/>
                        <wp:positionH relativeFrom="column">
                          <wp:posOffset>0</wp:posOffset>
                        </wp:positionH>
                        <wp:positionV relativeFrom="paragraph">
                          <wp:posOffset>0</wp:posOffset>
                        </wp:positionV>
                        <wp:extent cx="384810" cy="320040"/>
                        <wp:effectExtent l="0" t="0" r="0" b="3810"/>
                        <wp:wrapNone/>
                        <wp:docPr id="1857205799" name="Graphic 1857205799" descr="P2446#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205799" name="Graphic 1857205799" descr="P2446#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9791A">
                    <w:rPr>
                      <w:i/>
                    </w:rPr>
                    <w:t xml:space="preserve"> –</w:t>
                  </w:r>
                  <w:r w:rsidR="004E47D9">
                    <w:t xml:space="preserve"> </w:t>
                  </w:r>
                  <w:r w:rsidR="002947BF">
                    <w:rPr>
                      <w:b/>
                      <w:bCs/>
                      <w:i/>
                      <w:iCs/>
                    </w:rPr>
                    <w:t xml:space="preserve">FaRS </w:t>
                  </w:r>
                  <w:r w:rsidR="004E47D9">
                    <w:rPr>
                      <w:b/>
                      <w:bCs/>
                      <w:i/>
                      <w:iCs/>
                    </w:rPr>
                    <w:t>s</w:t>
                  </w:r>
                  <w:r w:rsidR="004E47D9" w:rsidRPr="002E7992">
                    <w:rPr>
                      <w:b/>
                      <w:bCs/>
                      <w:i/>
                      <w:iCs/>
                    </w:rPr>
                    <w:t xml:space="preserve">ervice </w:t>
                  </w:r>
                  <w:r w:rsidR="004E47D9">
                    <w:rPr>
                      <w:b/>
                      <w:bCs/>
                      <w:i/>
                      <w:iCs/>
                    </w:rPr>
                    <w:t>user</w:t>
                  </w:r>
                </w:p>
                <w:p w14:paraId="7FE38343" w14:textId="77777777" w:rsidR="003C30D7" w:rsidRDefault="003C30D7" w:rsidP="00220F30">
                  <w:pPr>
                    <w:pStyle w:val="Text"/>
                    <w:rPr>
                      <w:lang w:val="en-US"/>
                    </w:rPr>
                  </w:pPr>
                </w:p>
                <w:p w14:paraId="292E2C3F" w14:textId="178951E1" w:rsidR="00CB02ED" w:rsidRPr="001B1CDA" w:rsidRDefault="00CB02ED" w:rsidP="00CB02ED">
                  <w:pPr>
                    <w:pBdr>
                      <w:left w:val="single" w:sz="18" w:space="4" w:color="78B800" w:themeColor="accent1"/>
                    </w:pBdr>
                    <w:tabs>
                      <w:tab w:val="left" w:pos="8080"/>
                    </w:tabs>
                    <w:spacing w:after="0"/>
                    <w:ind w:left="851" w:right="949"/>
                    <w:rPr>
                      <w:i/>
                    </w:rPr>
                  </w:pPr>
                  <w:r w:rsidRPr="008E1B83">
                    <w:rPr>
                      <w:i/>
                    </w:rPr>
                    <w:t>It's been really good for me to talk to [counsellor], to have somebody that's not family. It's not friends, and it's not judgmental. It's just listening, and she's really helping a lot</w:t>
                  </w:r>
                  <w:r w:rsidRPr="008E1B83">
                    <w:rPr>
                      <w:i/>
                      <w:noProof/>
                    </w:rPr>
                    <w:drawing>
                      <wp:anchor distT="0" distB="0" distL="114300" distR="114300" simplePos="0" relativeHeight="251658297" behindDoc="0" locked="1" layoutInCell="1" allowOverlap="1" wp14:anchorId="6B6431D2" wp14:editId="19EC7DC0">
                        <wp:simplePos x="0" y="0"/>
                        <wp:positionH relativeFrom="column">
                          <wp:posOffset>0</wp:posOffset>
                        </wp:positionH>
                        <wp:positionV relativeFrom="paragraph">
                          <wp:posOffset>0</wp:posOffset>
                        </wp:positionV>
                        <wp:extent cx="384810" cy="320040"/>
                        <wp:effectExtent l="0" t="0" r="0" b="3810"/>
                        <wp:wrapNone/>
                        <wp:docPr id="1053560999" name="Graphic 1053560999" descr="P2448#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560999" name="Graphic 1053560999" descr="P2448#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9791A">
                    <w:rPr>
                      <w:i/>
                    </w:rPr>
                    <w:t xml:space="preserve"> –</w:t>
                  </w:r>
                  <w:r>
                    <w:t xml:space="preserve"> </w:t>
                  </w:r>
                  <w:r>
                    <w:rPr>
                      <w:b/>
                      <w:bCs/>
                      <w:i/>
                      <w:iCs/>
                    </w:rPr>
                    <w:t>FaRS s</w:t>
                  </w:r>
                  <w:r w:rsidRPr="002E7992">
                    <w:rPr>
                      <w:b/>
                      <w:bCs/>
                      <w:i/>
                      <w:iCs/>
                    </w:rPr>
                    <w:t xml:space="preserve">ervice </w:t>
                  </w:r>
                  <w:r>
                    <w:rPr>
                      <w:b/>
                      <w:bCs/>
                      <w:i/>
                      <w:iCs/>
                    </w:rPr>
                    <w:t>user</w:t>
                  </w:r>
                </w:p>
                <w:p w14:paraId="7B862C8D" w14:textId="77777777" w:rsidR="00845507" w:rsidRDefault="00845507" w:rsidP="00220F30">
                  <w:pPr>
                    <w:pStyle w:val="Text"/>
                    <w:rPr>
                      <w:lang w:val="en-US"/>
                    </w:rPr>
                  </w:pPr>
                </w:p>
                <w:p w14:paraId="1EBCF673" w14:textId="0D77C834" w:rsidR="0016103A" w:rsidRDefault="001524CD" w:rsidP="00220F30">
                  <w:pPr>
                    <w:pStyle w:val="Text"/>
                    <w:rPr>
                      <w:lang w:val="en-US"/>
                    </w:rPr>
                  </w:pPr>
                  <w:r>
                    <w:rPr>
                      <w:lang w:val="en-US"/>
                    </w:rPr>
                    <w:t>S</w:t>
                  </w:r>
                  <w:r w:rsidR="000506F6">
                    <w:rPr>
                      <w:lang w:val="en-US"/>
                    </w:rPr>
                    <w:t xml:space="preserve">ervice users often shared that their service provider was </w:t>
                  </w:r>
                  <w:r w:rsidR="003D1F70">
                    <w:rPr>
                      <w:lang w:val="en-US"/>
                    </w:rPr>
                    <w:t xml:space="preserve">knowledgeable in their area of </w:t>
                  </w:r>
                  <w:r w:rsidR="00731787">
                    <w:rPr>
                      <w:lang w:val="en-US"/>
                    </w:rPr>
                    <w:t>expertise</w:t>
                  </w:r>
                  <w:r w:rsidR="001C41BB">
                    <w:rPr>
                      <w:lang w:val="en-US"/>
                    </w:rPr>
                    <w:t xml:space="preserve">, </w:t>
                  </w:r>
                  <w:r w:rsidR="004411A5">
                    <w:rPr>
                      <w:lang w:val="en-US"/>
                    </w:rPr>
                    <w:t>such as</w:t>
                  </w:r>
                  <w:r w:rsidR="001C41BB">
                    <w:rPr>
                      <w:lang w:val="en-US"/>
                    </w:rPr>
                    <w:t xml:space="preserve"> parenting skills</w:t>
                  </w:r>
                  <w:r w:rsidR="001A3371">
                    <w:rPr>
                      <w:lang w:val="en-US"/>
                    </w:rPr>
                    <w:t>, family relationships</w:t>
                  </w:r>
                  <w:r w:rsidR="001C41BB">
                    <w:rPr>
                      <w:lang w:val="en-US"/>
                    </w:rPr>
                    <w:t>,</w:t>
                  </w:r>
                  <w:r w:rsidR="00843681">
                    <w:rPr>
                      <w:lang w:val="en-US"/>
                    </w:rPr>
                    <w:t xml:space="preserve"> mental health</w:t>
                  </w:r>
                  <w:r w:rsidR="001C41BB">
                    <w:rPr>
                      <w:lang w:val="en-US"/>
                    </w:rPr>
                    <w:t xml:space="preserve"> </w:t>
                  </w:r>
                  <w:r w:rsidR="001A3371">
                    <w:rPr>
                      <w:lang w:val="en-US"/>
                    </w:rPr>
                    <w:t>modalities</w:t>
                  </w:r>
                  <w:r w:rsidR="009C44D2">
                    <w:rPr>
                      <w:lang w:val="en-US"/>
                    </w:rPr>
                    <w:t xml:space="preserve">, </w:t>
                  </w:r>
                  <w:r w:rsidR="00A020A5">
                    <w:rPr>
                      <w:lang w:val="en-US"/>
                    </w:rPr>
                    <w:t>interpersonal</w:t>
                  </w:r>
                  <w:r w:rsidR="009C44D2">
                    <w:rPr>
                      <w:lang w:val="en-US"/>
                    </w:rPr>
                    <w:t xml:space="preserve"> relationships, </w:t>
                  </w:r>
                  <w:r w:rsidR="00516AF9">
                    <w:rPr>
                      <w:lang w:val="en-US"/>
                    </w:rPr>
                    <w:t xml:space="preserve">psychoeducation </w:t>
                  </w:r>
                  <w:r w:rsidR="009C44D2">
                    <w:rPr>
                      <w:lang w:val="en-US"/>
                    </w:rPr>
                    <w:t>and</w:t>
                  </w:r>
                  <w:r w:rsidR="002A2AE8">
                    <w:rPr>
                      <w:lang w:val="en-US"/>
                    </w:rPr>
                    <w:t xml:space="preserve"> trauma. </w:t>
                  </w:r>
                  <w:r w:rsidR="00CB02ED">
                    <w:rPr>
                      <w:lang w:val="en-US"/>
                    </w:rPr>
                    <w:t xml:space="preserve">This </w:t>
                  </w:r>
                  <w:r w:rsidR="00775DD8">
                    <w:rPr>
                      <w:lang w:val="en-US"/>
                    </w:rPr>
                    <w:t>made service users fe</w:t>
                  </w:r>
                  <w:r w:rsidR="00555D53">
                    <w:rPr>
                      <w:lang w:val="en-US"/>
                    </w:rPr>
                    <w:t>e</w:t>
                  </w:r>
                  <w:r w:rsidR="00775DD8">
                    <w:rPr>
                      <w:lang w:val="en-US"/>
                    </w:rPr>
                    <w:t>l</w:t>
                  </w:r>
                  <w:r>
                    <w:rPr>
                      <w:lang w:val="en-US"/>
                    </w:rPr>
                    <w:t xml:space="preserve"> </w:t>
                  </w:r>
                  <w:r w:rsidR="00CB02ED">
                    <w:rPr>
                      <w:lang w:val="en-US"/>
                    </w:rPr>
                    <w:t>confiden</w:t>
                  </w:r>
                  <w:r w:rsidR="00775DD8">
                    <w:rPr>
                      <w:lang w:val="en-US"/>
                    </w:rPr>
                    <w:t>t</w:t>
                  </w:r>
                  <w:r w:rsidR="00290FA2">
                    <w:rPr>
                      <w:lang w:val="en-US"/>
                    </w:rPr>
                    <w:t xml:space="preserve"> and </w:t>
                  </w:r>
                  <w:r w:rsidR="00164B78">
                    <w:rPr>
                      <w:lang w:val="en-US"/>
                    </w:rPr>
                    <w:t xml:space="preserve">supported their </w:t>
                  </w:r>
                  <w:r w:rsidR="0016103A">
                    <w:rPr>
                      <w:lang w:val="en-US"/>
                    </w:rPr>
                    <w:t xml:space="preserve">learning and </w:t>
                  </w:r>
                  <w:r w:rsidR="00164B78">
                    <w:rPr>
                      <w:lang w:val="en-US"/>
                    </w:rPr>
                    <w:t>growth</w:t>
                  </w:r>
                  <w:r w:rsidR="0016103A">
                    <w:rPr>
                      <w:lang w:val="en-US"/>
                    </w:rPr>
                    <w:t>.</w:t>
                  </w:r>
                  <w:r w:rsidR="00C6421F">
                    <w:rPr>
                      <w:lang w:val="en-US"/>
                    </w:rPr>
                    <w:t xml:space="preserve"> Service users reported learning techniques and skills which were applicable to their needs. </w:t>
                  </w:r>
                  <w:r w:rsidR="00D33899">
                    <w:rPr>
                      <w:lang w:val="en-US"/>
                    </w:rPr>
                    <w:t xml:space="preserve">Service users </w:t>
                  </w:r>
                  <w:r w:rsidR="00B07E71">
                    <w:rPr>
                      <w:lang w:val="en-US"/>
                    </w:rPr>
                    <w:t>benefited from</w:t>
                  </w:r>
                  <w:r w:rsidR="00D33899">
                    <w:rPr>
                      <w:lang w:val="en-US"/>
                    </w:rPr>
                    <w:t xml:space="preserve"> ‘homework’ tasks </w:t>
                  </w:r>
                  <w:r w:rsidR="00F330AF">
                    <w:rPr>
                      <w:lang w:val="en-US"/>
                    </w:rPr>
                    <w:t>between</w:t>
                  </w:r>
                  <w:r w:rsidR="00D33899">
                    <w:rPr>
                      <w:lang w:val="en-US"/>
                    </w:rPr>
                    <w:t xml:space="preserve"> sessions</w:t>
                  </w:r>
                  <w:r w:rsidR="00293F03">
                    <w:rPr>
                      <w:lang w:val="en-US"/>
                    </w:rPr>
                    <w:t xml:space="preserve">, </w:t>
                  </w:r>
                  <w:r w:rsidR="00F330AF">
                    <w:rPr>
                      <w:lang w:val="en-US"/>
                    </w:rPr>
                    <w:t xml:space="preserve">which </w:t>
                  </w:r>
                  <w:r w:rsidR="00064514">
                    <w:rPr>
                      <w:lang w:val="en-US"/>
                    </w:rPr>
                    <w:t>encourag</w:t>
                  </w:r>
                  <w:r w:rsidR="00F330AF">
                    <w:rPr>
                      <w:lang w:val="en-US"/>
                    </w:rPr>
                    <w:t>ed</w:t>
                  </w:r>
                  <w:r w:rsidR="006D106B">
                    <w:rPr>
                      <w:lang w:val="en-US"/>
                    </w:rPr>
                    <w:t xml:space="preserve"> </w:t>
                  </w:r>
                  <w:r w:rsidR="00293F03">
                    <w:rPr>
                      <w:lang w:val="en-US"/>
                    </w:rPr>
                    <w:t>the</w:t>
                  </w:r>
                  <w:r w:rsidR="00064514">
                    <w:rPr>
                      <w:lang w:val="en-US"/>
                    </w:rPr>
                    <w:t xml:space="preserve">m </w:t>
                  </w:r>
                  <w:r w:rsidR="00075A87">
                    <w:rPr>
                      <w:lang w:val="en-US"/>
                    </w:rPr>
                    <w:t>to</w:t>
                  </w:r>
                  <w:r w:rsidR="00064514">
                    <w:rPr>
                      <w:lang w:val="en-US"/>
                    </w:rPr>
                    <w:t xml:space="preserve"> </w:t>
                  </w:r>
                  <w:r w:rsidR="00FC0740">
                    <w:rPr>
                      <w:lang w:val="en-US"/>
                    </w:rPr>
                    <w:t xml:space="preserve">apply </w:t>
                  </w:r>
                  <w:r w:rsidR="00064514">
                    <w:rPr>
                      <w:lang w:val="en-US"/>
                    </w:rPr>
                    <w:t xml:space="preserve">the skills learnt in sessions </w:t>
                  </w:r>
                  <w:r w:rsidR="00FC0740">
                    <w:rPr>
                      <w:lang w:val="en-US"/>
                    </w:rPr>
                    <w:t>to</w:t>
                  </w:r>
                  <w:r w:rsidR="00064514">
                    <w:rPr>
                      <w:lang w:val="en-US"/>
                    </w:rPr>
                    <w:t xml:space="preserve"> their everyday life</w:t>
                  </w:r>
                  <w:r w:rsidR="00FC0740">
                    <w:rPr>
                      <w:lang w:val="en-US"/>
                    </w:rPr>
                    <w:t>.</w:t>
                  </w:r>
                  <w:r w:rsidR="00064514">
                    <w:rPr>
                      <w:lang w:val="en-US"/>
                    </w:rPr>
                    <w:t xml:space="preserve"> </w:t>
                  </w:r>
                </w:p>
                <w:p w14:paraId="703D0816" w14:textId="645702C2" w:rsidR="00317069" w:rsidRDefault="000B4B70" w:rsidP="00994F5D">
                  <w:pPr>
                    <w:pStyle w:val="Text"/>
                    <w:rPr>
                      <w:lang w:val="en-US"/>
                    </w:rPr>
                  </w:pPr>
                  <w:r>
                    <w:rPr>
                      <w:lang w:val="en-US"/>
                    </w:rPr>
                    <w:lastRenderedPageBreak/>
                    <w:t>Service provider knowledge and expertise</w:t>
                  </w:r>
                  <w:r w:rsidR="0016103A">
                    <w:rPr>
                      <w:lang w:val="en-US"/>
                    </w:rPr>
                    <w:t xml:space="preserve"> was particularly </w:t>
                  </w:r>
                  <w:r w:rsidR="00BC2F68">
                    <w:rPr>
                      <w:lang w:val="en-US"/>
                    </w:rPr>
                    <w:t xml:space="preserve">important </w:t>
                  </w:r>
                  <w:r w:rsidR="0016103A">
                    <w:rPr>
                      <w:lang w:val="en-US"/>
                    </w:rPr>
                    <w:t xml:space="preserve">for SFVS service users. </w:t>
                  </w:r>
                  <w:r w:rsidR="00863CFB">
                    <w:rPr>
                      <w:lang w:val="en-US"/>
                    </w:rPr>
                    <w:t xml:space="preserve">The specialist expertise of SFVS </w:t>
                  </w:r>
                  <w:r w:rsidR="00B072C7">
                    <w:rPr>
                      <w:lang w:val="en-US"/>
                    </w:rPr>
                    <w:t>counsellors</w:t>
                  </w:r>
                  <w:r w:rsidR="00863CFB">
                    <w:rPr>
                      <w:lang w:val="en-US"/>
                    </w:rPr>
                    <w:t xml:space="preserve"> in family violence</w:t>
                  </w:r>
                  <w:r w:rsidR="00B072C7">
                    <w:rPr>
                      <w:lang w:val="en-US"/>
                    </w:rPr>
                    <w:t>, trauma informed approaches</w:t>
                  </w:r>
                  <w:r w:rsidR="00D17588">
                    <w:rPr>
                      <w:lang w:val="en-US"/>
                    </w:rPr>
                    <w:t>,</w:t>
                  </w:r>
                  <w:r w:rsidR="005309E5">
                    <w:rPr>
                      <w:lang w:val="en-US"/>
                    </w:rPr>
                    <w:t xml:space="preserve"> </w:t>
                  </w:r>
                  <w:r w:rsidR="00076EE3">
                    <w:rPr>
                      <w:lang w:val="en-US"/>
                    </w:rPr>
                    <w:t xml:space="preserve">family </w:t>
                  </w:r>
                  <w:r w:rsidR="00092738">
                    <w:rPr>
                      <w:lang w:val="en-US"/>
                    </w:rPr>
                    <w:t>systems, the impacts of</w:t>
                  </w:r>
                  <w:r w:rsidR="004E24CF">
                    <w:rPr>
                      <w:lang w:val="en-US"/>
                    </w:rPr>
                    <w:t xml:space="preserve"> family violence on children,</w:t>
                  </w:r>
                  <w:r w:rsidR="00092738">
                    <w:rPr>
                      <w:lang w:val="en-US"/>
                    </w:rPr>
                    <w:t xml:space="preserve"> </w:t>
                  </w:r>
                  <w:r w:rsidR="005309E5">
                    <w:rPr>
                      <w:lang w:val="en-US"/>
                    </w:rPr>
                    <w:t>a</w:t>
                  </w:r>
                  <w:r w:rsidR="00D17588">
                    <w:rPr>
                      <w:lang w:val="en-US"/>
                    </w:rPr>
                    <w:t>n</w:t>
                  </w:r>
                  <w:r w:rsidR="005309E5">
                    <w:rPr>
                      <w:lang w:val="en-US"/>
                    </w:rPr>
                    <w:t xml:space="preserve">d </w:t>
                  </w:r>
                  <w:r w:rsidR="00D17588">
                    <w:rPr>
                      <w:lang w:val="en-US"/>
                    </w:rPr>
                    <w:t xml:space="preserve">healing and recovery were essential. </w:t>
                  </w:r>
                  <w:r w:rsidR="006D106B">
                    <w:rPr>
                      <w:lang w:val="en-US"/>
                    </w:rPr>
                    <w:t>T</w:t>
                  </w:r>
                  <w:r w:rsidR="00092738">
                    <w:rPr>
                      <w:lang w:val="en-US"/>
                    </w:rPr>
                    <w:t xml:space="preserve">his expertise </w:t>
                  </w:r>
                  <w:r w:rsidR="00F32647">
                    <w:rPr>
                      <w:lang w:val="en-US"/>
                    </w:rPr>
                    <w:t xml:space="preserve">enabled </w:t>
                  </w:r>
                  <w:r w:rsidR="00D63083">
                    <w:rPr>
                      <w:lang w:val="en-US"/>
                    </w:rPr>
                    <w:t xml:space="preserve">service providers to </w:t>
                  </w:r>
                  <w:r w:rsidR="00F32647">
                    <w:rPr>
                      <w:lang w:val="en-US"/>
                    </w:rPr>
                    <w:t>build</w:t>
                  </w:r>
                  <w:r w:rsidR="00D63083">
                    <w:rPr>
                      <w:lang w:val="en-US"/>
                    </w:rPr>
                    <w:t xml:space="preserve"> rapport and trust with </w:t>
                  </w:r>
                  <w:r w:rsidR="00960B03">
                    <w:rPr>
                      <w:lang w:val="en-US"/>
                    </w:rPr>
                    <w:t>victim survivors</w:t>
                  </w:r>
                  <w:r w:rsidR="00C0347C">
                    <w:rPr>
                      <w:lang w:val="en-US"/>
                    </w:rPr>
                    <w:t>, ensuring victim survivors felt heard, understood, and safe.</w:t>
                  </w:r>
                  <w:r w:rsidR="00390F20" w:rsidDel="00C0347C">
                    <w:rPr>
                      <w:lang w:val="en-US"/>
                    </w:rPr>
                    <w:t xml:space="preserve"> </w:t>
                  </w:r>
                  <w:r w:rsidR="00317069">
                    <w:rPr>
                      <w:lang w:val="en-US"/>
                    </w:rPr>
                    <w:t xml:space="preserve">This aligns with engaging in a trauma informed approach, consistently reflected in the literature as imperative for working with victim survivors. </w:t>
                  </w:r>
                  <w:r w:rsidR="00317069" w:rsidRPr="00994F5D">
                    <w:rPr>
                      <w:lang w:val="en-US"/>
                    </w:rPr>
                    <w:t xml:space="preserve">Kulkarni (2019) </w:t>
                  </w:r>
                  <w:r w:rsidR="00317069">
                    <w:rPr>
                      <w:lang w:val="en-US"/>
                    </w:rPr>
                    <w:t>notes that s</w:t>
                  </w:r>
                  <w:r w:rsidR="00317069" w:rsidRPr="00994F5D">
                    <w:rPr>
                      <w:lang w:val="en-US"/>
                    </w:rPr>
                    <w:t xml:space="preserve">taff </w:t>
                  </w:r>
                  <w:r w:rsidR="00317069">
                    <w:rPr>
                      <w:lang w:val="en-US"/>
                    </w:rPr>
                    <w:t>who</w:t>
                  </w:r>
                  <w:r w:rsidR="00317069" w:rsidRPr="00994F5D">
                    <w:rPr>
                      <w:lang w:val="en-US"/>
                    </w:rPr>
                    <w:t xml:space="preserve"> normalise survivors’ coping mechanisms and behaviours</w:t>
                  </w:r>
                  <w:r w:rsidR="00317069">
                    <w:rPr>
                      <w:lang w:val="en-US"/>
                    </w:rPr>
                    <w:t xml:space="preserve"> support a trauma-informed approach to healing.</w:t>
                  </w:r>
                </w:p>
                <w:p w14:paraId="54748F88" w14:textId="27F198B1" w:rsidR="00960B03" w:rsidRDefault="002172DD" w:rsidP="00220F30">
                  <w:pPr>
                    <w:pStyle w:val="Text"/>
                    <w:rPr>
                      <w:lang w:val="en-US"/>
                    </w:rPr>
                  </w:pPr>
                  <w:r>
                    <w:rPr>
                      <w:lang w:val="en-US"/>
                    </w:rPr>
                    <w:t xml:space="preserve">Service providers </w:t>
                  </w:r>
                  <w:r w:rsidR="00CF4D60">
                    <w:rPr>
                      <w:lang w:val="en-US"/>
                    </w:rPr>
                    <w:t xml:space="preserve">tailored their service flexibility to the needs of individual </w:t>
                  </w:r>
                  <w:r w:rsidR="0013003C">
                    <w:rPr>
                      <w:lang w:val="en-US"/>
                    </w:rPr>
                    <w:t>victim survivors. This</w:t>
                  </w:r>
                  <w:r w:rsidR="00390F20">
                    <w:rPr>
                      <w:lang w:val="en-US"/>
                    </w:rPr>
                    <w:t xml:space="preserve"> </w:t>
                  </w:r>
                  <w:r w:rsidR="00087F85">
                    <w:rPr>
                      <w:lang w:val="en-US"/>
                    </w:rPr>
                    <w:t>individualised</w:t>
                  </w:r>
                  <w:r w:rsidR="00390F20">
                    <w:rPr>
                      <w:lang w:val="en-US"/>
                    </w:rPr>
                    <w:t xml:space="preserve"> approach</w:t>
                  </w:r>
                  <w:r w:rsidR="005304D5">
                    <w:rPr>
                      <w:lang w:val="en-US"/>
                    </w:rPr>
                    <w:t xml:space="preserve"> is a core component of a trauma</w:t>
                  </w:r>
                  <w:r w:rsidR="00555D53">
                    <w:rPr>
                      <w:lang w:val="en-US"/>
                    </w:rPr>
                    <w:t>-</w:t>
                  </w:r>
                  <w:r w:rsidR="005304D5">
                    <w:rPr>
                      <w:lang w:val="en-US"/>
                    </w:rPr>
                    <w:t xml:space="preserve">informed approach </w:t>
                  </w:r>
                  <w:r w:rsidR="001557C6">
                    <w:rPr>
                      <w:lang w:val="en-US"/>
                    </w:rPr>
                    <w:t>(</w:t>
                  </w:r>
                  <w:r w:rsidR="005304D5" w:rsidRPr="00994F5D">
                    <w:rPr>
                      <w:lang w:val="en-US"/>
                    </w:rPr>
                    <w:t>Kulkarni</w:t>
                  </w:r>
                  <w:r w:rsidR="005304D5">
                    <w:rPr>
                      <w:lang w:val="en-US"/>
                    </w:rPr>
                    <w:t xml:space="preserve"> </w:t>
                  </w:r>
                  <w:r w:rsidR="005304D5" w:rsidRPr="00994F5D">
                    <w:rPr>
                      <w:lang w:val="en-US"/>
                    </w:rPr>
                    <w:t>2019)</w:t>
                  </w:r>
                  <w:r w:rsidR="005304D5">
                    <w:rPr>
                      <w:lang w:val="en-US"/>
                    </w:rPr>
                    <w:t xml:space="preserve">. </w:t>
                  </w:r>
                  <w:r w:rsidR="0013003C">
                    <w:rPr>
                      <w:lang w:val="en-US"/>
                    </w:rPr>
                    <w:t xml:space="preserve">SFVS service users also </w:t>
                  </w:r>
                  <w:r w:rsidR="003E65C5">
                    <w:rPr>
                      <w:lang w:val="en-US"/>
                    </w:rPr>
                    <w:t>valued</w:t>
                  </w:r>
                  <w:r w:rsidR="00A90EF7">
                    <w:rPr>
                      <w:lang w:val="en-US"/>
                    </w:rPr>
                    <w:t xml:space="preserve"> practical tools and techniques</w:t>
                  </w:r>
                  <w:r w:rsidR="004B3A4F">
                    <w:rPr>
                      <w:lang w:val="en-US"/>
                    </w:rPr>
                    <w:t>, including</w:t>
                  </w:r>
                  <w:r w:rsidR="00D96DEC">
                    <w:rPr>
                      <w:lang w:val="en-US"/>
                    </w:rPr>
                    <w:t xml:space="preserve"> safety planning and </w:t>
                  </w:r>
                  <w:r w:rsidR="004B3A4F">
                    <w:rPr>
                      <w:lang w:val="en-US"/>
                    </w:rPr>
                    <w:t xml:space="preserve">advice relating to </w:t>
                  </w:r>
                  <w:r w:rsidR="00DB3FE7">
                    <w:rPr>
                      <w:lang w:val="en-US"/>
                    </w:rPr>
                    <w:t>the family court system</w:t>
                  </w:r>
                  <w:r w:rsidR="00251A8D">
                    <w:rPr>
                      <w:lang w:val="en-US"/>
                    </w:rPr>
                    <w:t xml:space="preserve">. </w:t>
                  </w:r>
                </w:p>
                <w:p w14:paraId="0B501D4B" w14:textId="72784029" w:rsidR="00D642C0" w:rsidRPr="001B1CDA" w:rsidRDefault="006C301E" w:rsidP="00D642C0">
                  <w:pPr>
                    <w:pBdr>
                      <w:left w:val="single" w:sz="18" w:space="4" w:color="78B800" w:themeColor="accent1"/>
                    </w:pBdr>
                    <w:tabs>
                      <w:tab w:val="left" w:pos="8080"/>
                    </w:tabs>
                    <w:spacing w:after="0"/>
                    <w:ind w:left="851" w:right="949"/>
                    <w:rPr>
                      <w:i/>
                    </w:rPr>
                  </w:pPr>
                  <w:r w:rsidRPr="008E1B83">
                    <w:rPr>
                      <w:i/>
                    </w:rPr>
                    <w:t>The location, the ease of getting the appointments, the understanding – you have people who think they understand but they are not qualified with dealing with it all, it</w:t>
                  </w:r>
                  <w:r w:rsidR="00640CDC" w:rsidRPr="008E1B83">
                    <w:rPr>
                      <w:i/>
                    </w:rPr>
                    <w:t>’s</w:t>
                  </w:r>
                  <w:r w:rsidRPr="008E1B83">
                    <w:rPr>
                      <w:i/>
                    </w:rPr>
                    <w:t xml:space="preserve"> not just DV there are other factors in that – counsellors are trained in multiple aspects, not just that</w:t>
                  </w:r>
                  <w:r w:rsidR="0059791A">
                    <w:rPr>
                      <w:i/>
                    </w:rPr>
                    <w:t xml:space="preserve"> [</w:t>
                  </w:r>
                  <w:r w:rsidRPr="008E1B83">
                    <w:rPr>
                      <w:i/>
                    </w:rPr>
                    <w:t>…</w:t>
                  </w:r>
                  <w:r w:rsidR="0059791A">
                    <w:rPr>
                      <w:i/>
                    </w:rPr>
                    <w:t xml:space="preserve">] </w:t>
                  </w:r>
                  <w:r w:rsidRPr="008E1B83">
                    <w:rPr>
                      <w:i/>
                    </w:rPr>
                    <w:t>my case has been quite complex</w:t>
                  </w:r>
                  <w:r w:rsidR="0059791A">
                    <w:rPr>
                      <w:i/>
                    </w:rPr>
                    <w:t xml:space="preserve"> [</w:t>
                  </w:r>
                  <w:r w:rsidRPr="008E1B83">
                    <w:rPr>
                      <w:i/>
                    </w:rPr>
                    <w:t>…</w:t>
                  </w:r>
                  <w:r w:rsidR="0059791A">
                    <w:rPr>
                      <w:i/>
                    </w:rPr>
                    <w:t xml:space="preserve">] </w:t>
                  </w:r>
                  <w:r w:rsidRPr="008E1B83">
                    <w:rPr>
                      <w:i/>
                    </w:rPr>
                    <w:t>it has gone through being a nightmare to being able to juggle it a bit better</w:t>
                  </w:r>
                  <w:r w:rsidR="00D642C0" w:rsidRPr="008E1B83">
                    <w:rPr>
                      <w:i/>
                      <w:noProof/>
                    </w:rPr>
                    <w:drawing>
                      <wp:anchor distT="0" distB="0" distL="114300" distR="114300" simplePos="0" relativeHeight="251658298" behindDoc="0" locked="1" layoutInCell="1" allowOverlap="1" wp14:anchorId="1B807AEC" wp14:editId="5A4B10B0">
                        <wp:simplePos x="0" y="0"/>
                        <wp:positionH relativeFrom="column">
                          <wp:posOffset>0</wp:posOffset>
                        </wp:positionH>
                        <wp:positionV relativeFrom="paragraph">
                          <wp:posOffset>0</wp:posOffset>
                        </wp:positionV>
                        <wp:extent cx="384810" cy="320040"/>
                        <wp:effectExtent l="0" t="0" r="0" b="3810"/>
                        <wp:wrapNone/>
                        <wp:docPr id="553062000" name="Graphic 553062000" descr="P2453#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062000" name="Graphic 553062000" descr="P2453#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9791A">
                    <w:rPr>
                      <w:i/>
                    </w:rPr>
                    <w:t xml:space="preserve"> –</w:t>
                  </w:r>
                  <w:r w:rsidR="00D642C0">
                    <w:rPr>
                      <w:i/>
                    </w:rPr>
                    <w:t xml:space="preserve"> </w:t>
                  </w:r>
                  <w:r w:rsidR="00D642C0">
                    <w:rPr>
                      <w:b/>
                      <w:bCs/>
                      <w:i/>
                      <w:iCs/>
                    </w:rPr>
                    <w:t>FaRS s</w:t>
                  </w:r>
                  <w:r w:rsidR="00D642C0" w:rsidRPr="002E7992">
                    <w:rPr>
                      <w:b/>
                      <w:bCs/>
                      <w:i/>
                      <w:iCs/>
                    </w:rPr>
                    <w:t xml:space="preserve">ervice </w:t>
                  </w:r>
                  <w:r w:rsidR="00D642C0">
                    <w:rPr>
                      <w:b/>
                      <w:bCs/>
                      <w:i/>
                      <w:iCs/>
                    </w:rPr>
                    <w:t>user</w:t>
                  </w:r>
                </w:p>
                <w:p w14:paraId="2A7AFA96" w14:textId="624ABE6F" w:rsidR="006C301E" w:rsidRDefault="006C301E" w:rsidP="00220F30">
                  <w:pPr>
                    <w:pStyle w:val="Text"/>
                    <w:rPr>
                      <w:lang w:val="en-US"/>
                    </w:rPr>
                  </w:pPr>
                </w:p>
                <w:p w14:paraId="099F46D1" w14:textId="7DB6E951" w:rsidR="00D642C0" w:rsidRPr="001B1CDA" w:rsidRDefault="00640CDC" w:rsidP="00D642C0">
                  <w:pPr>
                    <w:pBdr>
                      <w:left w:val="single" w:sz="18" w:space="4" w:color="78B800" w:themeColor="accent1"/>
                    </w:pBdr>
                    <w:tabs>
                      <w:tab w:val="left" w:pos="8080"/>
                    </w:tabs>
                    <w:spacing w:after="0"/>
                    <w:ind w:left="851" w:right="949"/>
                    <w:rPr>
                      <w:i/>
                    </w:rPr>
                  </w:pPr>
                  <w:r w:rsidRPr="008E1B83">
                    <w:rPr>
                      <w:i/>
                    </w:rPr>
                    <w:t>It’s</w:t>
                  </w:r>
                  <w:r w:rsidR="006C301E" w:rsidRPr="008E1B83">
                    <w:rPr>
                      <w:i/>
                    </w:rPr>
                    <w:t xml:space="preserve"> given me a lot of strength. She’s given me homework</w:t>
                  </w:r>
                  <w:r w:rsidR="0059791A">
                    <w:rPr>
                      <w:i/>
                    </w:rPr>
                    <w:t xml:space="preserve"> [</w:t>
                  </w:r>
                  <w:r w:rsidR="00C20AFB" w:rsidRPr="008E1B83">
                    <w:rPr>
                      <w:i/>
                    </w:rPr>
                    <w:t>…</w:t>
                  </w:r>
                  <w:r w:rsidR="0059791A">
                    <w:rPr>
                      <w:i/>
                    </w:rPr>
                    <w:t>]</w:t>
                  </w:r>
                  <w:r w:rsidR="006C301E" w:rsidRPr="008E1B83">
                    <w:rPr>
                      <w:i/>
                    </w:rPr>
                    <w:t xml:space="preserve"> She’s given me processes on coping with bereavement (self-love rainbow), information on self-sacrificing, lots on self-care and exploring personal individual values which you lose when you go through </w:t>
                  </w:r>
                  <w:r w:rsidR="006C301E" w:rsidRPr="003925E9">
                    <w:rPr>
                      <w:i/>
                    </w:rPr>
                    <w:t>DV</w:t>
                  </w:r>
                  <w:r w:rsidR="003925E9" w:rsidRPr="003925E9">
                    <w:rPr>
                      <w:i/>
                    </w:rPr>
                    <w:t>,</w:t>
                  </w:r>
                  <w:r w:rsidR="006C301E" w:rsidRPr="008E1B83">
                    <w:rPr>
                      <w:i/>
                    </w:rPr>
                    <w:t xml:space="preserve"> so a lot has been on that. She also did some worksheets on nurturing children that have been through DV, and on power and control – that’s just some of them</w:t>
                  </w:r>
                  <w:r w:rsidR="00D642C0" w:rsidRPr="008E1B83">
                    <w:rPr>
                      <w:i/>
                      <w:noProof/>
                    </w:rPr>
                    <w:drawing>
                      <wp:anchor distT="0" distB="0" distL="114300" distR="114300" simplePos="0" relativeHeight="251658299" behindDoc="0" locked="1" layoutInCell="1" allowOverlap="1" wp14:anchorId="3E6C70A1" wp14:editId="0A53BC6F">
                        <wp:simplePos x="0" y="0"/>
                        <wp:positionH relativeFrom="column">
                          <wp:posOffset>0</wp:posOffset>
                        </wp:positionH>
                        <wp:positionV relativeFrom="paragraph">
                          <wp:posOffset>0</wp:posOffset>
                        </wp:positionV>
                        <wp:extent cx="384810" cy="320040"/>
                        <wp:effectExtent l="0" t="0" r="0" b="3810"/>
                        <wp:wrapNone/>
                        <wp:docPr id="1191473182" name="Graphic 1191473182" descr="P2455#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473182" name="Graphic 1191473182" descr="P2455#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24027">
                    <w:t xml:space="preserve"> </w:t>
                  </w:r>
                  <w:r w:rsidR="0059791A" w:rsidRPr="0059791A">
                    <w:rPr>
                      <w:b/>
                      <w:bCs/>
                      <w:i/>
                      <w:iCs/>
                    </w:rPr>
                    <w:t>–</w:t>
                  </w:r>
                  <w:r w:rsidR="00D642C0" w:rsidRPr="0059791A">
                    <w:rPr>
                      <w:b/>
                      <w:bCs/>
                      <w:i/>
                      <w:iCs/>
                    </w:rPr>
                    <w:t xml:space="preserve"> S</w:t>
                  </w:r>
                  <w:r w:rsidR="006C301E">
                    <w:rPr>
                      <w:b/>
                      <w:bCs/>
                      <w:i/>
                      <w:iCs/>
                    </w:rPr>
                    <w:t>FVS</w:t>
                  </w:r>
                  <w:r w:rsidR="00D642C0">
                    <w:rPr>
                      <w:b/>
                      <w:bCs/>
                      <w:i/>
                      <w:iCs/>
                    </w:rPr>
                    <w:t xml:space="preserve"> s</w:t>
                  </w:r>
                  <w:r w:rsidR="00D642C0" w:rsidRPr="002E7992">
                    <w:rPr>
                      <w:b/>
                      <w:bCs/>
                      <w:i/>
                      <w:iCs/>
                    </w:rPr>
                    <w:t xml:space="preserve">ervice </w:t>
                  </w:r>
                  <w:r w:rsidR="00D642C0">
                    <w:rPr>
                      <w:b/>
                      <w:bCs/>
                      <w:i/>
                      <w:iCs/>
                    </w:rPr>
                    <w:t>user</w:t>
                  </w:r>
                </w:p>
                <w:p w14:paraId="292284FB" w14:textId="77777777" w:rsidR="00D17588" w:rsidRDefault="00D17588" w:rsidP="00220F30">
                  <w:pPr>
                    <w:pStyle w:val="Text"/>
                    <w:rPr>
                      <w:lang w:val="en-US"/>
                    </w:rPr>
                  </w:pPr>
                </w:p>
                <w:p w14:paraId="68785AF9" w14:textId="2FA5B368" w:rsidR="00EB4D99" w:rsidRPr="004A32B6" w:rsidRDefault="00EA7750" w:rsidP="004A32B6">
                  <w:pPr>
                    <w:pBdr>
                      <w:left w:val="single" w:sz="18" w:space="4" w:color="78B800" w:themeColor="accent1"/>
                    </w:pBdr>
                    <w:tabs>
                      <w:tab w:val="left" w:pos="8080"/>
                    </w:tabs>
                    <w:spacing w:after="0"/>
                    <w:ind w:left="851" w:right="949"/>
                    <w:rPr>
                      <w:i/>
                    </w:rPr>
                  </w:pPr>
                  <w:r w:rsidRPr="008E1B83">
                    <w:rPr>
                      <w:i/>
                    </w:rPr>
                    <w:t xml:space="preserve">I’m never going to feel safe, </w:t>
                  </w:r>
                  <w:r w:rsidR="004C7902" w:rsidRPr="008E1B83">
                    <w:rPr>
                      <w:i/>
                    </w:rPr>
                    <w:t xml:space="preserve">[she has] </w:t>
                  </w:r>
                  <w:r w:rsidRPr="008E1B83">
                    <w:rPr>
                      <w:i/>
                    </w:rPr>
                    <w:t xml:space="preserve">given me tools to deal with those feelings of unsafety, </w:t>
                  </w:r>
                  <w:r w:rsidR="004C7902" w:rsidRPr="008E1B83">
                    <w:rPr>
                      <w:i/>
                    </w:rPr>
                    <w:t xml:space="preserve">[she] </w:t>
                  </w:r>
                  <w:r w:rsidRPr="008E1B83">
                    <w:rPr>
                      <w:i/>
                    </w:rPr>
                    <w:t>has helped with my relationships</w:t>
                  </w:r>
                  <w:r w:rsidR="004C7902" w:rsidRPr="008E1B83">
                    <w:rPr>
                      <w:i/>
                    </w:rPr>
                    <w:t>,</w:t>
                  </w:r>
                  <w:r w:rsidRPr="008E1B83">
                    <w:rPr>
                      <w:i/>
                    </w:rPr>
                    <w:t xml:space="preserve"> with my kids because I can connect with them, be present with them, being able to park thing</w:t>
                  </w:r>
                  <w:r w:rsidR="004C7902" w:rsidRPr="008E1B83">
                    <w:rPr>
                      <w:i/>
                    </w:rPr>
                    <w:t>s</w:t>
                  </w:r>
                  <w:r w:rsidRPr="008E1B83">
                    <w:rPr>
                      <w:i/>
                    </w:rPr>
                    <w:t>,</w:t>
                  </w:r>
                  <w:r w:rsidR="004C7902" w:rsidRPr="008E1B83">
                    <w:rPr>
                      <w:i/>
                    </w:rPr>
                    <w:t xml:space="preserve"> [knowing that it]</w:t>
                  </w:r>
                  <w:r w:rsidRPr="008E1B83">
                    <w:rPr>
                      <w:i/>
                    </w:rPr>
                    <w:t xml:space="preserve"> doesn’t need to be done wh</w:t>
                  </w:r>
                  <w:r w:rsidR="004C7902" w:rsidRPr="008E1B83">
                    <w:rPr>
                      <w:i/>
                    </w:rPr>
                    <w:t>i</w:t>
                  </w:r>
                  <w:r w:rsidRPr="008E1B83">
                    <w:rPr>
                      <w:i/>
                    </w:rPr>
                    <w:t>le the kids are awake, really great practical skills</w:t>
                  </w:r>
                  <w:r w:rsidR="00DB3FE7" w:rsidRPr="008E1B83">
                    <w:rPr>
                      <w:i/>
                      <w:noProof/>
                    </w:rPr>
                    <w:drawing>
                      <wp:anchor distT="0" distB="0" distL="114300" distR="114300" simplePos="0" relativeHeight="251658300" behindDoc="0" locked="1" layoutInCell="1" allowOverlap="1" wp14:anchorId="57695C9C" wp14:editId="008ECC10">
                        <wp:simplePos x="0" y="0"/>
                        <wp:positionH relativeFrom="column">
                          <wp:posOffset>0</wp:posOffset>
                        </wp:positionH>
                        <wp:positionV relativeFrom="paragraph">
                          <wp:posOffset>0</wp:posOffset>
                        </wp:positionV>
                        <wp:extent cx="384810" cy="320040"/>
                        <wp:effectExtent l="0" t="0" r="0" b="3810"/>
                        <wp:wrapNone/>
                        <wp:docPr id="1839964555" name="Graphic 1839964555" descr="P2457#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9964555" name="Graphic 1839964555" descr="P2457#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24027">
                    <w:t xml:space="preserve"> </w:t>
                  </w:r>
                  <w:r w:rsidR="0059791A" w:rsidRPr="0059791A">
                    <w:rPr>
                      <w:b/>
                      <w:bCs/>
                      <w:i/>
                      <w:iCs/>
                    </w:rPr>
                    <w:t>–</w:t>
                  </w:r>
                  <w:r w:rsidR="00DB3FE7" w:rsidRPr="0059791A">
                    <w:rPr>
                      <w:b/>
                      <w:bCs/>
                      <w:i/>
                      <w:iCs/>
                    </w:rPr>
                    <w:t xml:space="preserve"> </w:t>
                  </w:r>
                  <w:r w:rsidR="00DB3FE7">
                    <w:rPr>
                      <w:b/>
                      <w:bCs/>
                      <w:i/>
                      <w:iCs/>
                    </w:rPr>
                    <w:t>SFVS s</w:t>
                  </w:r>
                  <w:r w:rsidR="00DB3FE7" w:rsidRPr="002E7992">
                    <w:rPr>
                      <w:b/>
                      <w:bCs/>
                      <w:i/>
                      <w:iCs/>
                    </w:rPr>
                    <w:t xml:space="preserve">ervice </w:t>
                  </w:r>
                  <w:r w:rsidR="00DB3FE7">
                    <w:rPr>
                      <w:b/>
                      <w:bCs/>
                      <w:i/>
                      <w:iCs/>
                    </w:rPr>
                    <w:t>user</w:t>
                  </w:r>
                </w:p>
                <w:p w14:paraId="03F4E46A" w14:textId="558B9FA5" w:rsidR="00B938B6" w:rsidRPr="00B938B6" w:rsidRDefault="00E3278D" w:rsidP="00321BC5">
                  <w:pPr>
                    <w:pStyle w:val="Text-BodyHeading"/>
                    <w:spacing w:before="360" w:after="240"/>
                  </w:pPr>
                  <w:r>
                    <w:t xml:space="preserve">Factors associated with service provider sites </w:t>
                  </w:r>
                </w:p>
                <w:p w14:paraId="710115C9" w14:textId="016E7279" w:rsidR="00BF017C" w:rsidRDefault="00C45C04" w:rsidP="00BF017C">
                  <w:pPr>
                    <w:pStyle w:val="Text"/>
                    <w:rPr>
                      <w:lang w:val="en-US"/>
                    </w:rPr>
                  </w:pPr>
                  <w:r>
                    <w:rPr>
                      <w:lang w:val="en-US"/>
                    </w:rPr>
                    <w:t>Accessible and welcoming s</w:t>
                  </w:r>
                  <w:r w:rsidR="00D914F7">
                    <w:rPr>
                      <w:lang w:val="en-US"/>
                    </w:rPr>
                    <w:t xml:space="preserve">ervice provider sites </w:t>
                  </w:r>
                  <w:r>
                    <w:rPr>
                      <w:lang w:val="en-US"/>
                    </w:rPr>
                    <w:t xml:space="preserve">contributed to </w:t>
                  </w:r>
                  <w:r w:rsidR="001501B7">
                    <w:rPr>
                      <w:lang w:val="en-US"/>
                    </w:rPr>
                    <w:t xml:space="preserve">positive </w:t>
                  </w:r>
                  <w:r>
                    <w:rPr>
                      <w:lang w:val="en-US"/>
                    </w:rPr>
                    <w:t>service user experience</w:t>
                  </w:r>
                  <w:r w:rsidR="001501B7">
                    <w:rPr>
                      <w:lang w:val="en-US"/>
                    </w:rPr>
                    <w:t>s</w:t>
                  </w:r>
                  <w:r>
                    <w:rPr>
                      <w:lang w:val="en-US"/>
                    </w:rPr>
                    <w:t xml:space="preserve">. </w:t>
                  </w:r>
                  <w:r w:rsidR="00BE7339">
                    <w:rPr>
                      <w:lang w:val="en-US"/>
                    </w:rPr>
                    <w:t>Service users regularly noted that the</w:t>
                  </w:r>
                  <w:r w:rsidR="00E64519">
                    <w:rPr>
                      <w:lang w:val="en-US"/>
                    </w:rPr>
                    <w:t xml:space="preserve"> physical space they attended </w:t>
                  </w:r>
                  <w:r w:rsidR="00D87F5B">
                    <w:rPr>
                      <w:lang w:val="en-US"/>
                    </w:rPr>
                    <w:t>was</w:t>
                  </w:r>
                  <w:r w:rsidR="00BA4D8B">
                    <w:rPr>
                      <w:lang w:val="en-US"/>
                    </w:rPr>
                    <w:t xml:space="preserve"> welcoming, </w:t>
                  </w:r>
                  <w:r w:rsidR="000A5AA8">
                    <w:rPr>
                      <w:lang w:val="en-US"/>
                    </w:rPr>
                    <w:t xml:space="preserve">well decorated, and </w:t>
                  </w:r>
                  <w:r w:rsidR="00B34491">
                    <w:rPr>
                      <w:lang w:val="en-US"/>
                    </w:rPr>
                    <w:t>cosy</w:t>
                  </w:r>
                  <w:r w:rsidR="0054627F">
                    <w:rPr>
                      <w:lang w:val="en-US"/>
                    </w:rPr>
                    <w:t>. Similarly,</w:t>
                  </w:r>
                  <w:r w:rsidR="0054627F" w:rsidRPr="0054627F">
                    <w:rPr>
                      <w:lang w:val="en-US"/>
                    </w:rPr>
                    <w:t xml:space="preserve"> </w:t>
                  </w:r>
                  <w:r w:rsidR="0054627F">
                    <w:rPr>
                      <w:lang w:val="en-US"/>
                    </w:rPr>
                    <w:t xml:space="preserve">many service users reported that </w:t>
                  </w:r>
                  <w:r w:rsidR="005F53DC">
                    <w:rPr>
                      <w:lang w:val="en-US"/>
                    </w:rPr>
                    <w:t>service</w:t>
                  </w:r>
                  <w:r w:rsidR="0054627F">
                    <w:rPr>
                      <w:lang w:val="en-US"/>
                    </w:rPr>
                    <w:t xml:space="preserve"> provider reception staff were friendly and helpful. These factors </w:t>
                  </w:r>
                  <w:r w:rsidR="000A5AA8">
                    <w:rPr>
                      <w:lang w:val="en-US"/>
                    </w:rPr>
                    <w:t>contribut</w:t>
                  </w:r>
                  <w:r w:rsidR="0054627F">
                    <w:rPr>
                      <w:lang w:val="en-US"/>
                    </w:rPr>
                    <w:t xml:space="preserve">ed to </w:t>
                  </w:r>
                  <w:r w:rsidR="000A5AA8">
                    <w:rPr>
                      <w:lang w:val="en-US"/>
                    </w:rPr>
                    <w:t>feeling</w:t>
                  </w:r>
                  <w:r w:rsidR="0054627F">
                    <w:rPr>
                      <w:lang w:val="en-US"/>
                    </w:rPr>
                    <w:t>s</w:t>
                  </w:r>
                  <w:r w:rsidR="000A5AA8">
                    <w:rPr>
                      <w:lang w:val="en-US"/>
                    </w:rPr>
                    <w:t xml:space="preserve"> of </w:t>
                  </w:r>
                  <w:r w:rsidR="00D44AF1">
                    <w:rPr>
                      <w:lang w:val="en-US"/>
                    </w:rPr>
                    <w:lastRenderedPageBreak/>
                    <w:t>comfort and safet</w:t>
                  </w:r>
                  <w:r w:rsidR="0054627F">
                    <w:rPr>
                      <w:lang w:val="en-US"/>
                    </w:rPr>
                    <w:t xml:space="preserve">y for service users. </w:t>
                  </w:r>
                  <w:r w:rsidR="00D50709">
                    <w:rPr>
                      <w:lang w:val="en-US"/>
                    </w:rPr>
                    <w:t>The</w:t>
                  </w:r>
                  <w:r w:rsidR="008F1EB3">
                    <w:rPr>
                      <w:lang w:val="en-US"/>
                    </w:rPr>
                    <w:t xml:space="preserve"> literature </w:t>
                  </w:r>
                  <w:r w:rsidR="00394446">
                    <w:rPr>
                      <w:lang w:val="en-US"/>
                    </w:rPr>
                    <w:t>supports this finding, noting that services</w:t>
                  </w:r>
                  <w:r w:rsidR="008F1EB3">
                    <w:rPr>
                      <w:lang w:val="en-US"/>
                    </w:rPr>
                    <w:t xml:space="preserve"> </w:t>
                  </w:r>
                  <w:r w:rsidR="008F1EB3" w:rsidRPr="008F1EB3">
                    <w:rPr>
                      <w:lang w:val="en-US"/>
                    </w:rPr>
                    <w:t>in welcoming, physically accessible environments staffed by stable, friendly personnel are more effective in building trust and supporting sustained engagement</w:t>
                  </w:r>
                  <w:r w:rsidR="0091494C">
                    <w:rPr>
                      <w:lang w:val="en-US"/>
                    </w:rPr>
                    <w:t xml:space="preserve"> </w:t>
                  </w:r>
                  <w:r w:rsidR="008F1EB3" w:rsidRPr="008F1EB3">
                    <w:rPr>
                      <w:lang w:val="en-US"/>
                    </w:rPr>
                    <w:t>(Brown et al., 2022).</w:t>
                  </w:r>
                </w:p>
                <w:p w14:paraId="5EC099AF" w14:textId="76466DB1" w:rsidR="00BF017C" w:rsidRPr="00EC2C55" w:rsidRDefault="00BF017C" w:rsidP="00BF017C">
                  <w:pPr>
                    <w:pBdr>
                      <w:left w:val="single" w:sz="18" w:space="4" w:color="78B800" w:themeColor="accent1"/>
                    </w:pBdr>
                    <w:tabs>
                      <w:tab w:val="left" w:pos="8080"/>
                    </w:tabs>
                    <w:spacing w:after="0"/>
                    <w:ind w:left="851" w:right="949"/>
                  </w:pPr>
                  <w:r w:rsidRPr="008E1B83">
                    <w:rPr>
                      <w:i/>
                    </w:rPr>
                    <w:t xml:space="preserve">Very high standard of professional excellence, well lit, </w:t>
                  </w:r>
                  <w:r w:rsidR="005F53DC" w:rsidRPr="008E1B83">
                    <w:rPr>
                      <w:i/>
                    </w:rPr>
                    <w:t>c</w:t>
                  </w:r>
                  <w:r w:rsidRPr="008E1B83">
                    <w:rPr>
                      <w:i/>
                    </w:rPr>
                    <w:t>lean, open</w:t>
                  </w:r>
                  <w:r w:rsidR="005F53DC" w:rsidRPr="008E1B83">
                    <w:rPr>
                      <w:i/>
                    </w:rPr>
                    <w:t>,</w:t>
                  </w:r>
                  <w:r w:rsidRPr="008E1B83">
                    <w:rPr>
                      <w:i/>
                    </w:rPr>
                    <w:t xml:space="preserve"> music playing, new furniture, bathrooms are impeccable, windows in all the counselling rooms</w:t>
                  </w:r>
                  <w:r w:rsidR="00653C14" w:rsidRPr="008E1B83">
                    <w:rPr>
                      <w:i/>
                    </w:rPr>
                    <w:t>;</w:t>
                  </w:r>
                  <w:r w:rsidRPr="008E1B83">
                    <w:rPr>
                      <w:i/>
                    </w:rPr>
                    <w:t xml:space="preserve"> nothing would improve the service</w:t>
                  </w:r>
                  <w:r w:rsidRPr="008E1B83">
                    <w:rPr>
                      <w:i/>
                      <w:noProof/>
                    </w:rPr>
                    <w:drawing>
                      <wp:anchor distT="0" distB="0" distL="114300" distR="114300" simplePos="0" relativeHeight="251658301" behindDoc="0" locked="1" layoutInCell="1" allowOverlap="1" wp14:anchorId="1DD4A4BF" wp14:editId="3E6BA4E7">
                        <wp:simplePos x="0" y="0"/>
                        <wp:positionH relativeFrom="column">
                          <wp:posOffset>0</wp:posOffset>
                        </wp:positionH>
                        <wp:positionV relativeFrom="paragraph">
                          <wp:posOffset>0</wp:posOffset>
                        </wp:positionV>
                        <wp:extent cx="384810" cy="320040"/>
                        <wp:effectExtent l="0" t="0" r="0" b="3810"/>
                        <wp:wrapNone/>
                        <wp:docPr id="883308955" name="Graphic 883308955" descr="P2460#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308955" name="Graphic 883308955" descr="P2460#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24027">
                    <w:t xml:space="preserve"> </w:t>
                  </w:r>
                  <w:r w:rsidR="0059791A">
                    <w:t>–</w:t>
                  </w:r>
                  <w:r w:rsidRPr="00EC2C55">
                    <w:t xml:space="preserve"> </w:t>
                  </w:r>
                  <w:r w:rsidRPr="00EC2C55">
                    <w:rPr>
                      <w:b/>
                      <w:bCs/>
                      <w:i/>
                      <w:iCs/>
                    </w:rPr>
                    <w:t xml:space="preserve">FaRS service </w:t>
                  </w:r>
                  <w:r>
                    <w:rPr>
                      <w:b/>
                      <w:bCs/>
                      <w:i/>
                      <w:iCs/>
                    </w:rPr>
                    <w:t>user</w:t>
                  </w:r>
                </w:p>
                <w:p w14:paraId="00172B29" w14:textId="77777777" w:rsidR="002F5059" w:rsidRDefault="002F5059" w:rsidP="00220F30">
                  <w:pPr>
                    <w:pStyle w:val="Text"/>
                    <w:rPr>
                      <w:lang w:val="en-US"/>
                    </w:rPr>
                  </w:pPr>
                </w:p>
                <w:p w14:paraId="2E375689" w14:textId="77777777" w:rsidR="005C4009" w:rsidRDefault="005C4009">
                  <w:pPr>
                    <w:rPr>
                      <w:lang w:val="en-US"/>
                    </w:rPr>
                  </w:pPr>
                  <w:r>
                    <w:rPr>
                      <w:lang w:val="en-US"/>
                    </w:rPr>
                    <w:br w:type="page"/>
                  </w:r>
                </w:p>
                <w:p w14:paraId="166700D7" w14:textId="53A9A54D" w:rsidR="00187A0F" w:rsidRDefault="001F6694" w:rsidP="0016140F">
                  <w:pPr>
                    <w:pStyle w:val="Text"/>
                    <w:rPr>
                      <w:lang w:val="en-US"/>
                    </w:rPr>
                  </w:pPr>
                  <w:r w:rsidRPr="00F650E2">
                    <w:rPr>
                      <w:lang w:val="en-US"/>
                    </w:rPr>
                    <w:lastRenderedPageBreak/>
                    <w:t xml:space="preserve">Approximately </w:t>
                  </w:r>
                  <w:r w:rsidR="0016140F" w:rsidRPr="00F650E2">
                    <w:rPr>
                      <w:lang w:val="en-US"/>
                    </w:rPr>
                    <w:t>84.</w:t>
                  </w:r>
                  <w:r w:rsidR="00EE05A3" w:rsidRPr="00F650E2">
                    <w:rPr>
                      <w:lang w:val="en-US"/>
                    </w:rPr>
                    <w:t>7</w:t>
                  </w:r>
                  <w:r w:rsidR="0016140F" w:rsidRPr="00F650E2">
                    <w:rPr>
                      <w:lang w:val="en-US"/>
                    </w:rPr>
                    <w:t xml:space="preserve">% of survey respondents (n=156) agreed or strongly agreed the location of the service was easy to access (see </w:t>
                  </w:r>
                  <w:r w:rsidR="0016140F" w:rsidRPr="00F650E2">
                    <w:rPr>
                      <w:lang w:val="en-US"/>
                    </w:rPr>
                    <w:fldChar w:fldCharType="begin" w:fldLock="1"/>
                  </w:r>
                  <w:r w:rsidR="0016140F" w:rsidRPr="00F650E2">
                    <w:rPr>
                      <w:lang w:val="en-US"/>
                    </w:rPr>
                    <w:instrText xml:space="preserve"> REF _Ref204615187 \h  \* MERGEFORMAT </w:instrText>
                  </w:r>
                  <w:r w:rsidR="0016140F" w:rsidRPr="00F650E2">
                    <w:rPr>
                      <w:lang w:val="en-US"/>
                    </w:rPr>
                  </w:r>
                  <w:r w:rsidR="0016140F" w:rsidRPr="00F650E2">
                    <w:rPr>
                      <w:lang w:val="en-US"/>
                    </w:rPr>
                    <w:fldChar w:fldCharType="separate"/>
                  </w:r>
                  <w:r w:rsidR="008F22E5" w:rsidRPr="008F22E5">
                    <w:rPr>
                      <w:rStyle w:val="Text-Bold"/>
                      <w:szCs w:val="22"/>
                    </w:rPr>
                    <w:t xml:space="preserve">Figure </w:t>
                  </w:r>
                  <w:r w:rsidR="008F22E5" w:rsidRPr="008F22E5">
                    <w:rPr>
                      <w:b/>
                      <w:bCs/>
                    </w:rPr>
                    <w:t>26</w:t>
                  </w:r>
                  <w:r w:rsidR="0016140F" w:rsidRPr="00F650E2">
                    <w:rPr>
                      <w:lang w:val="en-US"/>
                    </w:rPr>
                    <w:fldChar w:fldCharType="end"/>
                  </w:r>
                  <w:r w:rsidR="0016140F" w:rsidRPr="00F650E2">
                    <w:rPr>
                      <w:lang w:val="en-US"/>
                    </w:rPr>
                    <w:t xml:space="preserve">). </w:t>
                  </w:r>
                </w:p>
                <w:p w14:paraId="60BBBE6E" w14:textId="116E26DE" w:rsidR="0016140F" w:rsidRPr="004673E7" w:rsidRDefault="0016140F" w:rsidP="00253034">
                  <w:pPr>
                    <w:pStyle w:val="TableFigure-Header"/>
                    <w:spacing w:line="276" w:lineRule="auto"/>
                    <w:jc w:val="both"/>
                    <w:rPr>
                      <w:rStyle w:val="Text-Bold"/>
                      <w:b/>
                      <w:szCs w:val="21"/>
                      <w:lang w:val="en-NZ"/>
                    </w:rPr>
                  </w:pPr>
                  <w:bookmarkStart w:id="425" w:name="_Ref204615187"/>
                  <w:bookmarkStart w:id="426" w:name="_Toc205413066"/>
                  <w:bookmarkStart w:id="427" w:name="_Toc205413120"/>
                  <w:r w:rsidRPr="004673E7">
                    <w:rPr>
                      <w:rStyle w:val="Text-Bold"/>
                      <w:b/>
                      <w:szCs w:val="21"/>
                      <w:lang w:val="en-NZ"/>
                    </w:rPr>
                    <w:t xml:space="preserve">Figure </w:t>
                  </w:r>
                  <w:r w:rsidR="00C64C3D" w:rsidRPr="004673E7">
                    <w:rPr>
                      <w:rStyle w:val="Text-Bold"/>
                      <w:b/>
                      <w:szCs w:val="21"/>
                      <w:lang w:val="en-NZ"/>
                    </w:rPr>
                    <w:fldChar w:fldCharType="begin"/>
                  </w:r>
                  <w:r w:rsidR="00C64C3D" w:rsidRPr="004673E7">
                    <w:rPr>
                      <w:rStyle w:val="Text-Bold"/>
                      <w:b/>
                      <w:szCs w:val="21"/>
                      <w:lang w:val="en-NZ"/>
                    </w:rPr>
                    <w:instrText xml:space="preserve"> SEQ Figure \* ARABIC </w:instrText>
                  </w:r>
                  <w:r w:rsidR="00C64C3D" w:rsidRPr="004673E7">
                    <w:rPr>
                      <w:rStyle w:val="Text-Bold"/>
                      <w:b/>
                      <w:szCs w:val="21"/>
                      <w:lang w:val="en-NZ"/>
                    </w:rPr>
                    <w:fldChar w:fldCharType="separate"/>
                  </w:r>
                  <w:r w:rsidR="008D2566">
                    <w:rPr>
                      <w:rStyle w:val="Text-Bold"/>
                      <w:b/>
                      <w:noProof/>
                      <w:szCs w:val="21"/>
                      <w:lang w:val="en-NZ"/>
                    </w:rPr>
                    <w:t>26</w:t>
                  </w:r>
                  <w:r w:rsidR="00C64C3D" w:rsidRPr="004673E7">
                    <w:rPr>
                      <w:rStyle w:val="Text-Bold"/>
                      <w:b/>
                      <w:szCs w:val="21"/>
                      <w:lang w:val="en-NZ"/>
                    </w:rPr>
                    <w:fldChar w:fldCharType="end"/>
                  </w:r>
                  <w:bookmarkEnd w:id="425"/>
                  <w:r w:rsidRPr="004673E7">
                    <w:rPr>
                      <w:rStyle w:val="Text-Bold"/>
                      <w:b/>
                      <w:szCs w:val="21"/>
                      <w:lang w:val="en-NZ"/>
                    </w:rPr>
                    <w:t>: The location of the service was easy to access</w:t>
                  </w:r>
                  <w:r w:rsidR="00237222" w:rsidRPr="004673E7">
                    <w:rPr>
                      <w:rStyle w:val="Text-Bold"/>
                      <w:b/>
                      <w:szCs w:val="21"/>
                      <w:lang w:val="en-NZ"/>
                    </w:rPr>
                    <w:t xml:space="preserve">, </w:t>
                  </w:r>
                  <w:r w:rsidRPr="004673E7">
                    <w:rPr>
                      <w:rStyle w:val="Text-Bold"/>
                      <w:b/>
                      <w:szCs w:val="21"/>
                      <w:lang w:val="en-NZ"/>
                    </w:rPr>
                    <w:t>FaRS and SFVS</w:t>
                  </w:r>
                  <w:r w:rsidR="00237222" w:rsidRPr="004673E7">
                    <w:rPr>
                      <w:rStyle w:val="Text-Bold"/>
                      <w:b/>
                      <w:szCs w:val="21"/>
                      <w:lang w:val="en-NZ"/>
                    </w:rPr>
                    <w:t xml:space="preserve"> service users</w:t>
                  </w:r>
                  <w:r w:rsidRPr="004673E7">
                    <w:rPr>
                      <w:rStyle w:val="Text-Bold"/>
                      <w:b/>
                      <w:szCs w:val="21"/>
                      <w:lang w:val="en-NZ"/>
                    </w:rPr>
                    <w:t xml:space="preserve"> (n=184)</w:t>
                  </w:r>
                  <w:bookmarkEnd w:id="426"/>
                  <w:bookmarkEnd w:id="427"/>
                </w:p>
                <w:p w14:paraId="1D857F18" w14:textId="6D2D70EB" w:rsidR="0016140F" w:rsidRPr="004272F0" w:rsidRDefault="000F1F9B" w:rsidP="0016140F">
                  <w:pPr>
                    <w:pStyle w:val="Text"/>
                    <w:jc w:val="left"/>
                    <w:rPr>
                      <w:noProof/>
                      <w:color w:val="EBECED" w:themeColor="text2"/>
                    </w:rPr>
                  </w:pPr>
                  <w:r w:rsidRPr="000C4F9A">
                    <w:rPr>
                      <w:noProof/>
                      <w:color w:val="EBECED" w:themeColor="text2"/>
                    </w:rPr>
                    <w:drawing>
                      <wp:inline distT="0" distB="0" distL="0" distR="0" wp14:anchorId="39F3035B" wp14:editId="2933AB86">
                        <wp:extent cx="5554639" cy="3507475"/>
                        <wp:effectExtent l="0" t="0" r="8255" b="17145"/>
                        <wp:docPr id="445096869" name="Chart 1">
                          <a:extLst xmlns:a="http://schemas.openxmlformats.org/drawingml/2006/main">
                            <a:ext uri="{FF2B5EF4-FFF2-40B4-BE49-F238E27FC236}">
                              <a16:creationId xmlns:a16="http://schemas.microsoft.com/office/drawing/2014/main" id="{4BBA88B1-A6CF-AB4D-2C14-E5498E602B1E}"/>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r w:rsidR="0016140F" w:rsidRPr="596BDFB0">
                    <w:rPr>
                      <w:i/>
                      <w:iCs/>
                      <w:sz w:val="20"/>
                      <w:lang w:val="en-US"/>
                    </w:rPr>
                    <w:t>Source: Service user survey data</w:t>
                  </w:r>
                </w:p>
                <w:p w14:paraId="52E49006" w14:textId="678ACC53" w:rsidR="000F34D5" w:rsidRPr="000F34D5" w:rsidRDefault="000F34D5" w:rsidP="000F34D5">
                  <w:pPr>
                    <w:pStyle w:val="Text"/>
                    <w:rPr>
                      <w:lang w:val="en-US"/>
                    </w:rPr>
                  </w:pPr>
                  <w:r>
                    <w:rPr>
                      <w:lang w:val="en-US"/>
                    </w:rPr>
                    <w:t xml:space="preserve">Service provider sites were often in central locations, which many service users found accessible. Some service users noted that they were able to access their provider </w:t>
                  </w:r>
                  <w:r w:rsidR="00D81009">
                    <w:rPr>
                      <w:lang w:val="en-US"/>
                    </w:rPr>
                    <w:t>using</w:t>
                  </w:r>
                  <w:r>
                    <w:rPr>
                      <w:lang w:val="en-US"/>
                    </w:rPr>
                    <w:t xml:space="preserve"> public transport, whereas others indicated challenges in accessing provider sites. </w:t>
                  </w:r>
                </w:p>
                <w:p w14:paraId="338ED3EE" w14:textId="019E213E" w:rsidR="00B938B6" w:rsidRDefault="00EF6374" w:rsidP="00220F30">
                  <w:pPr>
                    <w:pStyle w:val="Text"/>
                    <w:rPr>
                      <w:lang w:val="en-AU"/>
                    </w:rPr>
                  </w:pPr>
                  <w:r>
                    <w:rPr>
                      <w:lang w:val="en-US"/>
                    </w:rPr>
                    <w:t xml:space="preserve">Service users and providers </w:t>
                  </w:r>
                  <w:r w:rsidR="005730F7">
                    <w:rPr>
                      <w:lang w:val="en-US"/>
                    </w:rPr>
                    <w:t xml:space="preserve">spoke positively about </w:t>
                  </w:r>
                  <w:r w:rsidR="00CC3FA0">
                    <w:rPr>
                      <w:lang w:val="en-US"/>
                    </w:rPr>
                    <w:t>the c</w:t>
                  </w:r>
                  <w:r w:rsidR="00405FF0">
                    <w:rPr>
                      <w:lang w:val="en-US"/>
                    </w:rPr>
                    <w:t>o-location</w:t>
                  </w:r>
                  <w:r w:rsidR="00D71D47">
                    <w:rPr>
                      <w:lang w:val="en-US"/>
                    </w:rPr>
                    <w:t xml:space="preserve"> </w:t>
                  </w:r>
                  <w:r w:rsidR="00CC3FA0">
                    <w:rPr>
                      <w:lang w:val="en-US"/>
                    </w:rPr>
                    <w:t xml:space="preserve">of FaRS and SFVS services </w:t>
                  </w:r>
                  <w:r w:rsidR="004A20D1">
                    <w:rPr>
                      <w:lang w:val="en-US"/>
                    </w:rPr>
                    <w:t xml:space="preserve">with </w:t>
                  </w:r>
                  <w:r w:rsidR="00CC3FA0">
                    <w:rPr>
                      <w:lang w:val="en-US"/>
                    </w:rPr>
                    <w:t>other</w:t>
                  </w:r>
                  <w:r w:rsidR="004A20D1">
                    <w:rPr>
                      <w:lang w:val="en-US"/>
                    </w:rPr>
                    <w:t xml:space="preserve"> providers </w:t>
                  </w:r>
                  <w:r w:rsidR="00D71D47">
                    <w:rPr>
                      <w:lang w:val="en-US"/>
                    </w:rPr>
                    <w:t>in a</w:t>
                  </w:r>
                  <w:r w:rsidR="00405FF0">
                    <w:rPr>
                      <w:lang w:val="en-US"/>
                    </w:rPr>
                    <w:t xml:space="preserve"> ‘hub’</w:t>
                  </w:r>
                  <w:r w:rsidR="00D71D47">
                    <w:rPr>
                      <w:lang w:val="en-US"/>
                    </w:rPr>
                    <w:t xml:space="preserve"> </w:t>
                  </w:r>
                  <w:r w:rsidR="00BA4D8B">
                    <w:rPr>
                      <w:lang w:val="en-US"/>
                    </w:rPr>
                    <w:t>location</w:t>
                  </w:r>
                  <w:r w:rsidR="00CC3FA0">
                    <w:rPr>
                      <w:lang w:val="en-US"/>
                    </w:rPr>
                    <w:t xml:space="preserve">. </w:t>
                  </w:r>
                  <w:r w:rsidR="00714864">
                    <w:rPr>
                      <w:lang w:val="en-US"/>
                    </w:rPr>
                    <w:t xml:space="preserve">Co-location </w:t>
                  </w:r>
                  <w:r w:rsidR="00405FF0">
                    <w:rPr>
                      <w:lang w:val="en-US"/>
                    </w:rPr>
                    <w:t>enable</w:t>
                  </w:r>
                  <w:r w:rsidR="00714864">
                    <w:rPr>
                      <w:lang w:val="en-US"/>
                    </w:rPr>
                    <w:t>s</w:t>
                  </w:r>
                  <w:r w:rsidR="00405FF0">
                    <w:rPr>
                      <w:lang w:val="en-US"/>
                    </w:rPr>
                    <w:t xml:space="preserve"> service users to </w:t>
                  </w:r>
                  <w:r w:rsidR="00BF6284">
                    <w:rPr>
                      <w:lang w:val="en-US"/>
                    </w:rPr>
                    <w:t xml:space="preserve">address a range of needs in a </w:t>
                  </w:r>
                  <w:r w:rsidR="00394446">
                    <w:rPr>
                      <w:lang w:val="en-US"/>
                    </w:rPr>
                    <w:t xml:space="preserve">single </w:t>
                  </w:r>
                  <w:r w:rsidR="00BF6284">
                    <w:rPr>
                      <w:lang w:val="en-US"/>
                    </w:rPr>
                    <w:t>location</w:t>
                  </w:r>
                  <w:r w:rsidR="00714864">
                    <w:rPr>
                      <w:lang w:val="en-US"/>
                    </w:rPr>
                    <w:t xml:space="preserve"> and</w:t>
                  </w:r>
                  <w:r w:rsidR="00BF6284">
                    <w:rPr>
                      <w:lang w:val="en-US"/>
                    </w:rPr>
                    <w:t xml:space="preserve"> was </w:t>
                  </w:r>
                  <w:r w:rsidR="00D81009">
                    <w:rPr>
                      <w:lang w:val="en-US"/>
                    </w:rPr>
                    <w:t>especially valued by</w:t>
                  </w:r>
                  <w:r w:rsidR="00BF6284">
                    <w:rPr>
                      <w:lang w:val="en-US"/>
                    </w:rPr>
                    <w:t xml:space="preserve"> service users with children</w:t>
                  </w:r>
                  <w:r w:rsidR="000A290B">
                    <w:rPr>
                      <w:lang w:val="en-US"/>
                    </w:rPr>
                    <w:t xml:space="preserve">. </w:t>
                  </w:r>
                  <w:r w:rsidR="00714864">
                    <w:rPr>
                      <w:lang w:val="en-US"/>
                    </w:rPr>
                    <w:t>Service providers considered</w:t>
                  </w:r>
                  <w:r w:rsidR="000A290B">
                    <w:rPr>
                      <w:lang w:val="en-US"/>
                    </w:rPr>
                    <w:t xml:space="preserve"> ‘hub’ locations </w:t>
                  </w:r>
                  <w:r w:rsidR="00714864">
                    <w:rPr>
                      <w:lang w:val="en-US"/>
                    </w:rPr>
                    <w:t>to be especially useful for</w:t>
                  </w:r>
                  <w:r w:rsidR="000A290B">
                    <w:rPr>
                      <w:lang w:val="en-US"/>
                    </w:rPr>
                    <w:t xml:space="preserve"> </w:t>
                  </w:r>
                  <w:r w:rsidR="004765CB">
                    <w:rPr>
                      <w:lang w:val="en-US"/>
                    </w:rPr>
                    <w:t>service coordination and supporting</w:t>
                  </w:r>
                  <w:r w:rsidR="000A290B">
                    <w:rPr>
                      <w:lang w:val="en-US"/>
                    </w:rPr>
                    <w:t xml:space="preserve"> </w:t>
                  </w:r>
                  <w:r w:rsidR="00405FF0">
                    <w:rPr>
                      <w:lang w:val="en-US"/>
                    </w:rPr>
                    <w:t>warm referrals</w:t>
                  </w:r>
                  <w:r w:rsidR="00E64519">
                    <w:rPr>
                      <w:lang w:val="en-US"/>
                    </w:rPr>
                    <w:t xml:space="preserve">. </w:t>
                  </w:r>
                </w:p>
                <w:p w14:paraId="2B0EB36F" w14:textId="7BD4ADF7" w:rsidR="004C4B81" w:rsidRDefault="00EE5579" w:rsidP="00220F30">
                  <w:pPr>
                    <w:pStyle w:val="Text"/>
                    <w:rPr>
                      <w:lang w:val="en-US"/>
                    </w:rPr>
                  </w:pPr>
                  <w:r w:rsidRPr="00C45868">
                    <w:rPr>
                      <w:lang w:val="en-US"/>
                    </w:rPr>
                    <w:t xml:space="preserve">A survey of FaRS and SFVS </w:t>
                  </w:r>
                  <w:r w:rsidR="00187452">
                    <w:rPr>
                      <w:lang w:val="en-US"/>
                    </w:rPr>
                    <w:t>undertaken in 2018</w:t>
                  </w:r>
                  <w:r w:rsidRPr="00C45868">
                    <w:rPr>
                      <w:lang w:val="en-US"/>
                    </w:rPr>
                    <w:t xml:space="preserve"> found that co-location of the FaRS/SFVS funded service and other community-based services is the norm. </w:t>
                  </w:r>
                  <w:r w:rsidR="00B36716">
                    <w:rPr>
                      <w:lang w:val="en-US"/>
                    </w:rPr>
                    <w:t>It</w:t>
                  </w:r>
                  <w:r w:rsidRPr="00C45868">
                    <w:rPr>
                      <w:lang w:val="en-US"/>
                    </w:rPr>
                    <w:t xml:space="preserve"> found that approximately 80% of FaRS and SFVS services are co-located with other services funded by the Department. This is beneficial for </w:t>
                  </w:r>
                  <w:r w:rsidR="00E614D3">
                    <w:rPr>
                      <w:lang w:val="en-US"/>
                    </w:rPr>
                    <w:t>service users</w:t>
                  </w:r>
                  <w:r w:rsidR="003F4B0E">
                    <w:rPr>
                      <w:lang w:val="en-US"/>
                    </w:rPr>
                    <w:t>,</w:t>
                  </w:r>
                  <w:r w:rsidRPr="00C45868">
                    <w:rPr>
                      <w:lang w:val="en-US"/>
                    </w:rPr>
                    <w:t xml:space="preserve"> providing easy access to services </w:t>
                  </w:r>
                  <w:r w:rsidRPr="00C45868">
                    <w:rPr>
                      <w:lang w:val="en-US"/>
                    </w:rPr>
                    <w:fldChar w:fldCharType="begin"/>
                  </w:r>
                  <w:r w:rsidR="00E41D03">
                    <w:rPr>
                      <w:lang w:val="en-US"/>
                    </w:rPr>
                    <w:instrText xml:space="preserve"> ADDIN ZOTERO_ITEM CSL_CITATION {"citationID":"ODA3v5ps","properties":{"formattedCitation":"(Australian Institute of Family Studies, 2018)","plainCitation":"(Australian Institute of Family Studies, 2018)","noteIndex":0},"citationItems":[{"id":4705,"uris":["http://zotero.org/groups/5691188/items/QNUCBUCC"],"itemData":{"id":4705,"type":"report","publisher":"Commonwealth of Australia","title":"National survey of FaRS-funded service providers","author":[{"family":"Australian Institute of Family Studies","given":""}],"issued":{"date-parts":[["2018"]]}}}],"schema":"https://github.com/citation-style-language/schema/raw/master/csl-citation.json"} </w:instrText>
                  </w:r>
                  <w:r w:rsidRPr="00C45868">
                    <w:rPr>
                      <w:lang w:val="en-US"/>
                    </w:rPr>
                    <w:fldChar w:fldCharType="separate"/>
                  </w:r>
                  <w:r w:rsidRPr="00C45868">
                    <w:rPr>
                      <w:lang w:val="en-US"/>
                    </w:rPr>
                    <w:t>(Australian Institute of Family Studies, 2018)</w:t>
                  </w:r>
                  <w:r w:rsidRPr="00C45868">
                    <w:rPr>
                      <w:lang w:val="en-US"/>
                    </w:rPr>
                    <w:fldChar w:fldCharType="end"/>
                  </w:r>
                  <w:r w:rsidRPr="00C45868">
                    <w:rPr>
                      <w:lang w:val="en-US"/>
                    </w:rPr>
                    <w:t xml:space="preserve">. Similarly, it enables direct collaboration with other services, supporting a linked up approach to delivery </w:t>
                  </w:r>
                  <w:r w:rsidRPr="00C45868">
                    <w:rPr>
                      <w:lang w:val="en-US"/>
                    </w:rPr>
                    <w:fldChar w:fldCharType="begin"/>
                  </w:r>
                  <w:r w:rsidR="00E41D03">
                    <w:rPr>
                      <w:lang w:val="en-US"/>
                    </w:rPr>
                    <w:instrText xml:space="preserve"> ADDIN ZOTERO_ITEM CSL_CITATION {"citationID":"d9O1pe3J","properties":{"formattedCitation":"(Australian Institute of Family Studies, 2018)","plainCitation":"(Australian Institute of Family Studies, 2018)","noteIndex":0},"citationItems":[{"id":4705,"uris":["http://zotero.org/groups/5691188/items/QNUCBUCC"],"itemData":{"id":4705,"type":"report","publisher":"Commonwealth of Australia","title":"National survey of FaRS-funded service providers","author":[{"family":"Australian Institute of Family Studies","given":""}],"issued":{"date-parts":[["2018"]]}}}],"schema":"https://github.com/citation-style-language/schema/raw/master/csl-citation.json"} </w:instrText>
                  </w:r>
                  <w:r w:rsidRPr="00C45868">
                    <w:rPr>
                      <w:lang w:val="en-US"/>
                    </w:rPr>
                    <w:fldChar w:fldCharType="separate"/>
                  </w:r>
                  <w:r w:rsidRPr="00C45868">
                    <w:rPr>
                      <w:lang w:val="en-US"/>
                    </w:rPr>
                    <w:t>(Australian Institute of Family Studies, 2018)</w:t>
                  </w:r>
                  <w:r w:rsidRPr="00C45868">
                    <w:rPr>
                      <w:lang w:val="en-US"/>
                    </w:rPr>
                    <w:fldChar w:fldCharType="end"/>
                  </w:r>
                  <w:r w:rsidRPr="00C45868">
                    <w:rPr>
                      <w:lang w:val="en-US"/>
                    </w:rPr>
                    <w:t>. Co-located services</w:t>
                  </w:r>
                  <w:r w:rsidR="00F649C4">
                    <w:rPr>
                      <w:lang w:val="en-US"/>
                    </w:rPr>
                    <w:t xml:space="preserve"> found in the 2018 survey</w:t>
                  </w:r>
                  <w:r w:rsidRPr="00C45868">
                    <w:rPr>
                      <w:lang w:val="en-US"/>
                    </w:rPr>
                    <w:t xml:space="preserve"> include family services, specialist alcohol or other drugs, gambling services, specialist family violence services, and sexual assault services. </w:t>
                  </w:r>
                  <w:r w:rsidR="00222BE0">
                    <w:rPr>
                      <w:lang w:val="en-US"/>
                    </w:rPr>
                    <w:t xml:space="preserve">Similar co-located services were described by service providers in focus groups. </w:t>
                  </w:r>
                </w:p>
                <w:p w14:paraId="14578F55" w14:textId="77777777" w:rsidR="004C4B81" w:rsidRDefault="004C4B81">
                  <w:pPr>
                    <w:rPr>
                      <w:lang w:val="en-US"/>
                    </w:rPr>
                  </w:pPr>
                  <w:r>
                    <w:rPr>
                      <w:lang w:val="en-US"/>
                    </w:rPr>
                    <w:br w:type="page"/>
                  </w:r>
                </w:p>
                <w:p w14:paraId="6CDB932B" w14:textId="77777777" w:rsidR="00EE5579" w:rsidRPr="00F659F4" w:rsidRDefault="00EE5579" w:rsidP="00220F30">
                  <w:pPr>
                    <w:pStyle w:val="Text"/>
                    <w:rPr>
                      <w:lang w:val="en-US"/>
                    </w:rPr>
                  </w:pPr>
                </w:p>
                <w:p w14:paraId="1505CC50" w14:textId="7F3F9327" w:rsidR="00EC2C55" w:rsidRPr="00EC2C55" w:rsidRDefault="00EC2C55" w:rsidP="00EC2C55">
                  <w:pPr>
                    <w:pBdr>
                      <w:left w:val="single" w:sz="18" w:space="4" w:color="78B800" w:themeColor="accent1"/>
                    </w:pBdr>
                    <w:tabs>
                      <w:tab w:val="left" w:pos="8080"/>
                    </w:tabs>
                    <w:spacing w:after="0"/>
                    <w:ind w:left="851" w:right="949"/>
                  </w:pPr>
                  <w:r w:rsidRPr="008E1B83">
                    <w:rPr>
                      <w:i/>
                    </w:rPr>
                    <w:t xml:space="preserve">We are very fortunate to deliver in </w:t>
                  </w:r>
                  <w:r w:rsidR="00F659F4" w:rsidRPr="008E1B83">
                    <w:rPr>
                      <w:i/>
                    </w:rPr>
                    <w:t xml:space="preserve">a </w:t>
                  </w:r>
                  <w:r w:rsidRPr="008E1B83">
                    <w:rPr>
                      <w:i/>
                    </w:rPr>
                    <w:t xml:space="preserve">hub set up with state and federally funded services in one location. That really helps us to provide multidisciplinary wrap around support. We feel FaRS work best if connected with other services under </w:t>
                  </w:r>
                  <w:r w:rsidR="00AF2B90" w:rsidRPr="008E1B83">
                    <w:rPr>
                      <w:i/>
                    </w:rPr>
                    <w:t xml:space="preserve">a </w:t>
                  </w:r>
                  <w:r w:rsidRPr="008E1B83">
                    <w:rPr>
                      <w:i/>
                    </w:rPr>
                    <w:t>hub style model</w:t>
                  </w:r>
                  <w:r w:rsidRPr="008E1B83">
                    <w:rPr>
                      <w:i/>
                      <w:noProof/>
                    </w:rPr>
                    <w:drawing>
                      <wp:anchor distT="0" distB="0" distL="114300" distR="114300" simplePos="0" relativeHeight="251658302" behindDoc="0" locked="1" layoutInCell="1" allowOverlap="1" wp14:anchorId="1A7BC93E" wp14:editId="5A558287">
                        <wp:simplePos x="0" y="0"/>
                        <wp:positionH relativeFrom="column">
                          <wp:posOffset>0</wp:posOffset>
                        </wp:positionH>
                        <wp:positionV relativeFrom="paragraph">
                          <wp:posOffset>0</wp:posOffset>
                        </wp:positionV>
                        <wp:extent cx="384810" cy="320040"/>
                        <wp:effectExtent l="0" t="0" r="0" b="3810"/>
                        <wp:wrapNone/>
                        <wp:docPr id="741106264" name="Graphic 741106264" descr="P2471#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106264" name="Graphic 741106264" descr="P2471#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24027" w:rsidRPr="008E1B83">
                    <w:rPr>
                      <w:i/>
                    </w:rPr>
                    <w:t xml:space="preserve"> </w:t>
                  </w:r>
                  <w:r w:rsidR="0059791A">
                    <w:rPr>
                      <w:i/>
                    </w:rPr>
                    <w:t>–</w:t>
                  </w:r>
                  <w:r w:rsidRPr="00EC2C55">
                    <w:t xml:space="preserve"> </w:t>
                  </w:r>
                  <w:r w:rsidRPr="00EC2C55">
                    <w:rPr>
                      <w:b/>
                      <w:bCs/>
                      <w:i/>
                      <w:iCs/>
                    </w:rPr>
                    <w:t xml:space="preserve">FaRS service </w:t>
                  </w:r>
                  <w:r>
                    <w:rPr>
                      <w:b/>
                      <w:bCs/>
                      <w:i/>
                      <w:iCs/>
                    </w:rPr>
                    <w:t>provider</w:t>
                  </w:r>
                </w:p>
                <w:p w14:paraId="37F29E7E" w14:textId="2C26A41E" w:rsidR="00FD37F3" w:rsidRDefault="00FD37F3" w:rsidP="00C44D91">
                  <w:pPr>
                    <w:pStyle w:val="Text"/>
                    <w:rPr>
                      <w:lang w:val="en-US"/>
                    </w:rPr>
                  </w:pPr>
                </w:p>
                <w:p w14:paraId="57FD21B7" w14:textId="088CB894" w:rsidR="00EB4D99" w:rsidRDefault="002C4CA3" w:rsidP="00321BC5">
                  <w:pPr>
                    <w:pStyle w:val="Text"/>
                  </w:pPr>
                  <w:r>
                    <w:rPr>
                      <w:lang w:val="en-US"/>
                    </w:rPr>
                    <w:t xml:space="preserve">The benefits of </w:t>
                  </w:r>
                  <w:r w:rsidR="00F10499">
                    <w:rPr>
                      <w:lang w:val="en-US"/>
                    </w:rPr>
                    <w:t>co-location</w:t>
                  </w:r>
                  <w:r>
                    <w:rPr>
                      <w:lang w:val="en-US"/>
                    </w:rPr>
                    <w:t xml:space="preserve"> are </w:t>
                  </w:r>
                  <w:r w:rsidR="00F10499">
                    <w:rPr>
                      <w:lang w:val="en-US"/>
                    </w:rPr>
                    <w:t>recognised</w:t>
                  </w:r>
                  <w:r>
                    <w:rPr>
                      <w:lang w:val="en-US"/>
                    </w:rPr>
                    <w:t xml:space="preserve"> in </w:t>
                  </w:r>
                  <w:r w:rsidR="00F10499">
                    <w:rPr>
                      <w:lang w:val="en-US"/>
                    </w:rPr>
                    <w:t>the</w:t>
                  </w:r>
                  <w:r>
                    <w:rPr>
                      <w:lang w:val="en-US"/>
                    </w:rPr>
                    <w:t xml:space="preserve"> literature. </w:t>
                  </w:r>
                  <w:r w:rsidRPr="00AA7D34">
                    <w:rPr>
                      <w:lang w:val="en-AU"/>
                    </w:rPr>
                    <w:t>Evidence from Australia and the U</w:t>
                  </w:r>
                  <w:r w:rsidR="00A14C73">
                    <w:rPr>
                      <w:lang w:val="en-AU"/>
                    </w:rPr>
                    <w:t xml:space="preserve">nited </w:t>
                  </w:r>
                  <w:r w:rsidRPr="00AA7D34">
                    <w:rPr>
                      <w:lang w:val="en-AU"/>
                    </w:rPr>
                    <w:t>K</w:t>
                  </w:r>
                  <w:r w:rsidR="00A14C73">
                    <w:rPr>
                      <w:lang w:val="en-AU"/>
                    </w:rPr>
                    <w:t>ingdom</w:t>
                  </w:r>
                  <w:r w:rsidRPr="00AA7D34">
                    <w:rPr>
                      <w:lang w:val="en-AU"/>
                    </w:rPr>
                    <w:t xml:space="preserve"> has demonstrated that service co-location is an effective model for addressing the complex needs of victim survivors. Cortis and Smyth (2024) explored an Australian initiative providing co-located specialist family violence financial counselling in women’s legal services. The co-location of services was identified as an effective model for addressing the complex needs of victim survivors, particularly those experiencing economic abuse. The initiative integrated specialist financial counsellors within women’s legal services, creating a holistic approach that combined legal and financial expertise to provide comprehensive support for women affected by family violence (Cortis &amp; Smyth, 2024). A U</w:t>
                  </w:r>
                  <w:r w:rsidR="00A14C73">
                    <w:rPr>
                      <w:lang w:val="en-AU"/>
                    </w:rPr>
                    <w:t xml:space="preserve">nited </w:t>
                  </w:r>
                  <w:r w:rsidRPr="00AA7D34">
                    <w:rPr>
                      <w:lang w:val="en-AU"/>
                    </w:rPr>
                    <w:t>K</w:t>
                  </w:r>
                  <w:r w:rsidR="00A14C73">
                    <w:rPr>
                      <w:lang w:val="en-AU"/>
                    </w:rPr>
                    <w:t>ingdom</w:t>
                  </w:r>
                  <w:r w:rsidRPr="00AA7D34">
                    <w:rPr>
                      <w:lang w:val="en-AU"/>
                    </w:rPr>
                    <w:t>-based study by Cleaver et al. (2019) identified that the co-location of services—where agencies are physically situated together— enhanced communication and coordination. This approach streamlined support for victim survivors, leading to more efficient and comprehensive service delivery, reducing fragmentation, and encouraging professionals to share knowledge</w:t>
                  </w:r>
                  <w:r>
                    <w:rPr>
                      <w:lang w:val="en-AU"/>
                    </w:rPr>
                    <w:t xml:space="preserve">. </w:t>
                  </w:r>
                </w:p>
                <w:p w14:paraId="0E5FB904" w14:textId="0CC761BC" w:rsidR="00C2734B" w:rsidRDefault="00C2734B" w:rsidP="00321BC5">
                  <w:pPr>
                    <w:pStyle w:val="Text-BodyHeading"/>
                    <w:spacing w:before="360" w:after="240"/>
                  </w:pPr>
                  <w:r>
                    <w:t xml:space="preserve">Service flexibility </w:t>
                  </w:r>
                </w:p>
                <w:p w14:paraId="2D9C2ECF" w14:textId="03F86E2B" w:rsidR="002F3480" w:rsidRDefault="00FA428D" w:rsidP="00FA428D">
                  <w:pPr>
                    <w:pStyle w:val="Text"/>
                    <w:rPr>
                      <w:lang w:val="en-US"/>
                    </w:rPr>
                  </w:pPr>
                  <w:r>
                    <w:rPr>
                      <w:lang w:val="en-US"/>
                    </w:rPr>
                    <w:t>Service flexibility was a</w:t>
                  </w:r>
                  <w:r w:rsidR="00677E94">
                    <w:rPr>
                      <w:lang w:val="en-US"/>
                    </w:rPr>
                    <w:t>nother</w:t>
                  </w:r>
                  <w:r>
                    <w:rPr>
                      <w:lang w:val="en-US"/>
                    </w:rPr>
                    <w:t xml:space="preserve"> key factor </w:t>
                  </w:r>
                  <w:r w:rsidR="00677E94">
                    <w:rPr>
                      <w:lang w:val="en-US"/>
                    </w:rPr>
                    <w:t>enabling</w:t>
                  </w:r>
                  <w:r>
                    <w:rPr>
                      <w:lang w:val="en-US"/>
                    </w:rPr>
                    <w:t xml:space="preserve"> FaRS and SFVS </w:t>
                  </w:r>
                  <w:r w:rsidR="00677E94">
                    <w:rPr>
                      <w:lang w:val="en-US"/>
                    </w:rPr>
                    <w:t>outcomes</w:t>
                  </w:r>
                  <w:r>
                    <w:rPr>
                      <w:lang w:val="en-US"/>
                    </w:rPr>
                    <w:t xml:space="preserve">. </w:t>
                  </w:r>
                  <w:r w:rsidR="00393B01">
                    <w:rPr>
                      <w:lang w:val="en-US"/>
                    </w:rPr>
                    <w:t>Service providers and users alike noted that</w:t>
                  </w:r>
                  <w:r w:rsidR="00CB0C4A">
                    <w:rPr>
                      <w:lang w:val="en-US"/>
                    </w:rPr>
                    <w:t xml:space="preserve"> flexibl</w:t>
                  </w:r>
                  <w:r w:rsidR="004E1C95">
                    <w:rPr>
                      <w:lang w:val="en-US"/>
                    </w:rPr>
                    <w:t>e</w:t>
                  </w:r>
                  <w:r w:rsidR="00CB0C4A">
                    <w:rPr>
                      <w:lang w:val="en-US"/>
                    </w:rPr>
                    <w:t xml:space="preserve"> service</w:t>
                  </w:r>
                  <w:r w:rsidR="004E1C95">
                    <w:rPr>
                      <w:lang w:val="en-US"/>
                    </w:rPr>
                    <w:t xml:space="preserve"> </w:t>
                  </w:r>
                  <w:r w:rsidR="00677E94">
                    <w:rPr>
                      <w:lang w:val="en-US"/>
                    </w:rPr>
                    <w:t>delivery made it possible for</w:t>
                  </w:r>
                  <w:r w:rsidR="00CB0C4A">
                    <w:rPr>
                      <w:lang w:val="en-US"/>
                    </w:rPr>
                    <w:t xml:space="preserve"> providers to better meet the needs of service users.</w:t>
                  </w:r>
                </w:p>
                <w:p w14:paraId="41F3E6B7" w14:textId="1C1B9F9F" w:rsidR="00393B01" w:rsidRDefault="00CB0C4A" w:rsidP="00FA428D">
                  <w:pPr>
                    <w:pStyle w:val="Text"/>
                    <w:rPr>
                      <w:lang w:val="en-US"/>
                    </w:rPr>
                  </w:pPr>
                  <w:r>
                    <w:rPr>
                      <w:lang w:val="en-US"/>
                    </w:rPr>
                    <w:t>One area of flexibility</w:t>
                  </w:r>
                  <w:r w:rsidR="00DE54D4">
                    <w:rPr>
                      <w:lang w:val="en-US"/>
                    </w:rPr>
                    <w:t xml:space="preserve"> reported by stakeholders was that service users </w:t>
                  </w:r>
                  <w:r w:rsidR="0093795C">
                    <w:rPr>
                      <w:lang w:val="en-US"/>
                    </w:rPr>
                    <w:t xml:space="preserve">were able to </w:t>
                  </w:r>
                  <w:r w:rsidR="00DA4AA4">
                    <w:rPr>
                      <w:lang w:val="en-US"/>
                    </w:rPr>
                    <w:t>access the</w:t>
                  </w:r>
                  <w:r w:rsidR="0093795C">
                    <w:rPr>
                      <w:lang w:val="en-US"/>
                    </w:rPr>
                    <w:t xml:space="preserve"> service </w:t>
                  </w:r>
                  <w:r w:rsidR="00292953">
                    <w:rPr>
                      <w:lang w:val="en-US"/>
                    </w:rPr>
                    <w:t>when needed</w:t>
                  </w:r>
                  <w:r w:rsidR="00F52A9A">
                    <w:rPr>
                      <w:lang w:val="en-US"/>
                    </w:rPr>
                    <w:t>,</w:t>
                  </w:r>
                  <w:r w:rsidR="00DA4AA4">
                    <w:rPr>
                      <w:lang w:val="en-US"/>
                    </w:rPr>
                    <w:t xml:space="preserve"> </w:t>
                  </w:r>
                  <w:r w:rsidR="009B4470">
                    <w:rPr>
                      <w:lang w:val="en-US"/>
                    </w:rPr>
                    <w:t>allowing them to</w:t>
                  </w:r>
                  <w:r w:rsidR="00DA4AA4">
                    <w:rPr>
                      <w:lang w:val="en-US"/>
                    </w:rPr>
                    <w:t xml:space="preserve"> cease attending and </w:t>
                  </w:r>
                  <w:r w:rsidR="009B4470">
                    <w:rPr>
                      <w:lang w:val="en-US"/>
                    </w:rPr>
                    <w:t xml:space="preserve">resume sessions as </w:t>
                  </w:r>
                  <w:r w:rsidR="00DA4AA4">
                    <w:rPr>
                      <w:lang w:val="en-US"/>
                    </w:rPr>
                    <w:t>required.</w:t>
                  </w:r>
                  <w:r w:rsidR="00F52A9A">
                    <w:rPr>
                      <w:lang w:val="en-US"/>
                    </w:rPr>
                    <w:t xml:space="preserve"> </w:t>
                  </w:r>
                  <w:r w:rsidR="00DA4AA4">
                    <w:rPr>
                      <w:lang w:val="en-US"/>
                    </w:rPr>
                    <w:t>This supported</w:t>
                  </w:r>
                  <w:r w:rsidR="00F52A9A">
                    <w:rPr>
                      <w:lang w:val="en-US"/>
                    </w:rPr>
                    <w:t xml:space="preserve"> service</w:t>
                  </w:r>
                  <w:r w:rsidR="008E7FA7">
                    <w:rPr>
                      <w:lang w:val="en-US"/>
                    </w:rPr>
                    <w:t xml:space="preserve"> user autonomy and </w:t>
                  </w:r>
                  <w:r w:rsidR="00D11D0E">
                    <w:rPr>
                      <w:lang w:val="en-US"/>
                    </w:rPr>
                    <w:t>growth</w:t>
                  </w:r>
                  <w:r w:rsidR="007C1289">
                    <w:rPr>
                      <w:lang w:val="en-US"/>
                    </w:rPr>
                    <w:t xml:space="preserve"> and</w:t>
                  </w:r>
                  <w:r w:rsidR="00DE54D4">
                    <w:rPr>
                      <w:lang w:val="en-US"/>
                    </w:rPr>
                    <w:t xml:space="preserve"> enabled service users </w:t>
                  </w:r>
                  <w:r w:rsidR="00A01005">
                    <w:rPr>
                      <w:lang w:val="en-US"/>
                    </w:rPr>
                    <w:t xml:space="preserve">to feel confident leaving the service when they were ready, with the knowledge that they could </w:t>
                  </w:r>
                  <w:r w:rsidR="00CB6739">
                    <w:rPr>
                      <w:lang w:val="en-US"/>
                    </w:rPr>
                    <w:t>re</w:t>
                  </w:r>
                  <w:r w:rsidR="00A01005">
                    <w:rPr>
                      <w:lang w:val="en-US"/>
                    </w:rPr>
                    <w:t xml:space="preserve">attend when needed. </w:t>
                  </w:r>
                </w:p>
                <w:p w14:paraId="08A56136" w14:textId="6DFE8292" w:rsidR="00CB6739" w:rsidRPr="00EC2C55" w:rsidRDefault="00CB6739" w:rsidP="00CB6739">
                  <w:pPr>
                    <w:pBdr>
                      <w:left w:val="single" w:sz="18" w:space="4" w:color="78B800" w:themeColor="accent1"/>
                    </w:pBdr>
                    <w:tabs>
                      <w:tab w:val="left" w:pos="8080"/>
                    </w:tabs>
                    <w:spacing w:after="0"/>
                    <w:ind w:left="851" w:right="949"/>
                  </w:pPr>
                  <w:r w:rsidRPr="003925E9">
                    <w:rPr>
                      <w:i/>
                    </w:rPr>
                    <w:t>Honestly</w:t>
                  </w:r>
                  <w:r w:rsidR="003925E9" w:rsidRPr="003925E9">
                    <w:rPr>
                      <w:i/>
                    </w:rPr>
                    <w:t>,</w:t>
                  </w:r>
                  <w:r w:rsidRPr="008E1B83">
                    <w:rPr>
                      <w:i/>
                    </w:rPr>
                    <w:t xml:space="preserve"> [it’s] been really</w:t>
                  </w:r>
                  <w:r w:rsidR="007C1289" w:rsidRPr="008E1B83">
                    <w:rPr>
                      <w:i/>
                    </w:rPr>
                    <w:t>,</w:t>
                  </w:r>
                  <w:r w:rsidRPr="008E1B83">
                    <w:rPr>
                      <w:i/>
                    </w:rPr>
                    <w:t xml:space="preserve"> really good… </w:t>
                  </w:r>
                  <w:r w:rsidR="007C1289" w:rsidRPr="008E1B83">
                    <w:rPr>
                      <w:i/>
                    </w:rPr>
                    <w:t xml:space="preserve">I </w:t>
                  </w:r>
                  <w:r w:rsidRPr="008E1B83">
                    <w:rPr>
                      <w:i/>
                    </w:rPr>
                    <w:t xml:space="preserve">was doing weekly appointments, fortnightly and then monthly, then </w:t>
                  </w:r>
                  <w:r w:rsidR="007C1289" w:rsidRPr="008E1B83">
                    <w:rPr>
                      <w:i/>
                    </w:rPr>
                    <w:t xml:space="preserve">I </w:t>
                  </w:r>
                  <w:r w:rsidRPr="008E1B83">
                    <w:rPr>
                      <w:i/>
                    </w:rPr>
                    <w:t>was discharged from the service, but then when things went downhill for me [I could] get back into the same counsellor…because I’ve been on my journey with my mental health… I’m doing relatively well</w:t>
                  </w:r>
                  <w:r w:rsidR="009B4470" w:rsidRPr="008E1B83">
                    <w:rPr>
                      <w:i/>
                    </w:rPr>
                    <w:t>…</w:t>
                  </w:r>
                  <w:r w:rsidRPr="008E1B83">
                    <w:rPr>
                      <w:i/>
                    </w:rPr>
                    <w:t xml:space="preserve"> </w:t>
                  </w:r>
                  <w:r w:rsidR="007C1289" w:rsidRPr="008E1B83">
                    <w:rPr>
                      <w:i/>
                    </w:rPr>
                    <w:t xml:space="preserve">I’ve </w:t>
                  </w:r>
                  <w:r w:rsidRPr="008E1B83">
                    <w:rPr>
                      <w:i/>
                    </w:rPr>
                    <w:t xml:space="preserve">made significantly more </w:t>
                  </w:r>
                  <w:r w:rsidRPr="003925E9">
                    <w:rPr>
                      <w:i/>
                    </w:rPr>
                    <w:t>progress</w:t>
                  </w:r>
                  <w:r w:rsidR="003925E9" w:rsidRPr="003925E9">
                    <w:rPr>
                      <w:i/>
                    </w:rPr>
                    <w:t>,</w:t>
                  </w:r>
                  <w:r w:rsidRPr="008E1B83">
                    <w:rPr>
                      <w:i/>
                    </w:rPr>
                    <w:t xml:space="preserve"> and </w:t>
                  </w:r>
                  <w:r w:rsidR="007C1289" w:rsidRPr="008E1B83">
                    <w:rPr>
                      <w:i/>
                    </w:rPr>
                    <w:t xml:space="preserve">[it] </w:t>
                  </w:r>
                  <w:r w:rsidRPr="008E1B83">
                    <w:rPr>
                      <w:i/>
                    </w:rPr>
                    <w:t>wouldn’t have happened without that counsellor, the fact that I was discharged, [and to] have a mental health professional say that I was doing so well, knowing that the support was still there [to come back to]</w:t>
                  </w:r>
                  <w:r w:rsidRPr="008E1B83">
                    <w:rPr>
                      <w:i/>
                      <w:noProof/>
                    </w:rPr>
                    <w:drawing>
                      <wp:anchor distT="0" distB="0" distL="114300" distR="114300" simplePos="0" relativeHeight="251658303" behindDoc="0" locked="1" layoutInCell="1" allowOverlap="1" wp14:anchorId="4B8F0AB7" wp14:editId="6C3C5AC7">
                        <wp:simplePos x="0" y="0"/>
                        <wp:positionH relativeFrom="column">
                          <wp:posOffset>0</wp:posOffset>
                        </wp:positionH>
                        <wp:positionV relativeFrom="paragraph">
                          <wp:posOffset>0</wp:posOffset>
                        </wp:positionV>
                        <wp:extent cx="384810" cy="320040"/>
                        <wp:effectExtent l="0" t="0" r="0" b="3810"/>
                        <wp:wrapNone/>
                        <wp:docPr id="353058566" name="Graphic 353058566" descr="P2477#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058566" name="Graphic 353058566" descr="P2477#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24027">
                    <w:t xml:space="preserve"> </w:t>
                  </w:r>
                  <w:r w:rsidR="0059791A">
                    <w:t>–</w:t>
                  </w:r>
                  <w:r w:rsidRPr="00EC2C55">
                    <w:t xml:space="preserve"> </w:t>
                  </w:r>
                  <w:r w:rsidRPr="00EC2C55">
                    <w:rPr>
                      <w:b/>
                      <w:bCs/>
                      <w:i/>
                      <w:iCs/>
                    </w:rPr>
                    <w:t xml:space="preserve">FaRS service </w:t>
                  </w:r>
                  <w:r>
                    <w:rPr>
                      <w:b/>
                      <w:bCs/>
                      <w:i/>
                      <w:iCs/>
                    </w:rPr>
                    <w:t>user</w:t>
                  </w:r>
                </w:p>
                <w:p w14:paraId="6905C2DB" w14:textId="77777777" w:rsidR="00CB6739" w:rsidRDefault="00CB6739" w:rsidP="00FA428D">
                  <w:pPr>
                    <w:pStyle w:val="Text"/>
                    <w:rPr>
                      <w:lang w:val="en-US"/>
                    </w:rPr>
                  </w:pPr>
                </w:p>
                <w:p w14:paraId="4103C6A8" w14:textId="77777777" w:rsidR="004C4B81" w:rsidRDefault="004C4B81">
                  <w:pPr>
                    <w:rPr>
                      <w:i/>
                    </w:rPr>
                  </w:pPr>
                  <w:r>
                    <w:rPr>
                      <w:i/>
                    </w:rPr>
                    <w:lastRenderedPageBreak/>
                    <w:br w:type="page"/>
                  </w:r>
                </w:p>
                <w:p w14:paraId="64BF4F13" w14:textId="403A50EE" w:rsidR="003D639A" w:rsidRPr="00EC2C55" w:rsidRDefault="003D639A" w:rsidP="003D639A">
                  <w:pPr>
                    <w:pBdr>
                      <w:left w:val="single" w:sz="18" w:space="4" w:color="78B800" w:themeColor="accent1"/>
                    </w:pBdr>
                    <w:tabs>
                      <w:tab w:val="left" w:pos="8080"/>
                    </w:tabs>
                    <w:spacing w:after="0"/>
                    <w:ind w:left="851" w:right="949"/>
                  </w:pPr>
                  <w:r w:rsidRPr="008E1B83">
                    <w:rPr>
                      <w:i/>
                    </w:rPr>
                    <w:lastRenderedPageBreak/>
                    <w:t xml:space="preserve">Our program is </w:t>
                  </w:r>
                  <w:r w:rsidRPr="003925E9">
                    <w:rPr>
                      <w:i/>
                    </w:rPr>
                    <w:t>open-ended</w:t>
                  </w:r>
                  <w:r w:rsidR="003925E9" w:rsidRPr="003925E9">
                    <w:rPr>
                      <w:i/>
                    </w:rPr>
                    <w:t>,</w:t>
                  </w:r>
                  <w:r w:rsidRPr="008E1B83">
                    <w:rPr>
                      <w:i/>
                    </w:rPr>
                    <w:t xml:space="preserve"> and people come and might be here for a while or little time. </w:t>
                  </w:r>
                  <w:r w:rsidRPr="003925E9">
                    <w:rPr>
                      <w:i/>
                    </w:rPr>
                    <w:t>Overall</w:t>
                  </w:r>
                  <w:r w:rsidR="003925E9" w:rsidRPr="003925E9">
                    <w:rPr>
                      <w:i/>
                    </w:rPr>
                    <w:t>,</w:t>
                  </w:r>
                  <w:r w:rsidRPr="008E1B83">
                    <w:rPr>
                      <w:i/>
                    </w:rPr>
                    <w:t xml:space="preserve"> they are having their needs met. I am not sure how to frame that – life ebbs and flow</w:t>
                  </w:r>
                  <w:r w:rsidR="001A6F51" w:rsidRPr="008E1B83">
                    <w:rPr>
                      <w:i/>
                    </w:rPr>
                    <w:t>s</w:t>
                  </w:r>
                  <w:r w:rsidRPr="008E1B83">
                    <w:rPr>
                      <w:i/>
                    </w:rPr>
                    <w:t>. People stay with us as long as they need to and then people move o</w:t>
                  </w:r>
                  <w:r w:rsidRPr="008E1B83">
                    <w:rPr>
                      <w:i/>
                      <w:noProof/>
                    </w:rPr>
                    <w:drawing>
                      <wp:anchor distT="0" distB="0" distL="114300" distR="114300" simplePos="0" relativeHeight="251658304" behindDoc="0" locked="1" layoutInCell="1" allowOverlap="1" wp14:anchorId="1A4968AB" wp14:editId="03DCF767">
                        <wp:simplePos x="0" y="0"/>
                        <wp:positionH relativeFrom="column">
                          <wp:posOffset>0</wp:posOffset>
                        </wp:positionH>
                        <wp:positionV relativeFrom="paragraph">
                          <wp:posOffset>0</wp:posOffset>
                        </wp:positionV>
                        <wp:extent cx="384810" cy="320040"/>
                        <wp:effectExtent l="0" t="0" r="0" b="3810"/>
                        <wp:wrapNone/>
                        <wp:docPr id="711324673" name="Graphic 711324673" descr="P2480#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324673" name="Graphic 711324673" descr="P2480#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9791A">
                    <w:rPr>
                      <w:i/>
                    </w:rPr>
                    <w:t>n –</w:t>
                  </w:r>
                  <w:r>
                    <w:rPr>
                      <w:i/>
                    </w:rPr>
                    <w:t xml:space="preserve"> </w:t>
                  </w:r>
                  <w:r w:rsidRPr="00EC2C55">
                    <w:rPr>
                      <w:b/>
                      <w:bCs/>
                      <w:i/>
                      <w:iCs/>
                    </w:rPr>
                    <w:t xml:space="preserve">FaRS service </w:t>
                  </w:r>
                  <w:r>
                    <w:rPr>
                      <w:b/>
                      <w:bCs/>
                      <w:i/>
                      <w:iCs/>
                    </w:rPr>
                    <w:t>provider</w:t>
                  </w:r>
                </w:p>
                <w:p w14:paraId="6684F1E5" w14:textId="61FA1B12" w:rsidR="003D639A" w:rsidRDefault="003D639A" w:rsidP="00FA428D">
                  <w:pPr>
                    <w:pStyle w:val="Text"/>
                    <w:rPr>
                      <w:lang w:val="en-US"/>
                    </w:rPr>
                  </w:pPr>
                </w:p>
                <w:p w14:paraId="5366EFE5" w14:textId="59F7705C" w:rsidR="00BB27CF" w:rsidRDefault="00501231" w:rsidP="00BB27CF">
                  <w:pPr>
                    <w:pStyle w:val="Text"/>
                  </w:pPr>
                  <w:r>
                    <w:rPr>
                      <w:lang w:val="en-US"/>
                    </w:rPr>
                    <w:t xml:space="preserve">Some providers </w:t>
                  </w:r>
                  <w:r w:rsidR="004C347B">
                    <w:rPr>
                      <w:lang w:val="en-US"/>
                    </w:rPr>
                    <w:t xml:space="preserve">supported </w:t>
                  </w:r>
                  <w:r w:rsidR="00AC1E38">
                    <w:rPr>
                      <w:lang w:val="en-US"/>
                    </w:rPr>
                    <w:t xml:space="preserve">service users by </w:t>
                  </w:r>
                  <w:r w:rsidR="00304CAD">
                    <w:rPr>
                      <w:lang w:val="en-US"/>
                    </w:rPr>
                    <w:t xml:space="preserve">adapting their approaches to </w:t>
                  </w:r>
                  <w:r w:rsidR="00CC4D53">
                    <w:rPr>
                      <w:lang w:val="en-US"/>
                    </w:rPr>
                    <w:t xml:space="preserve">better </w:t>
                  </w:r>
                  <w:r w:rsidR="00A10490">
                    <w:rPr>
                      <w:lang w:val="en-US"/>
                    </w:rPr>
                    <w:t xml:space="preserve">meet their </w:t>
                  </w:r>
                  <w:r w:rsidR="0010550A">
                    <w:rPr>
                      <w:lang w:val="en-US"/>
                    </w:rPr>
                    <w:t>needs</w:t>
                  </w:r>
                  <w:r w:rsidR="00A10490">
                    <w:rPr>
                      <w:lang w:val="en-US"/>
                    </w:rPr>
                    <w:t xml:space="preserve">. </w:t>
                  </w:r>
                  <w:r w:rsidR="00BB27CF" w:rsidRPr="1A1ACD70">
                    <w:t xml:space="preserve">This included </w:t>
                  </w:r>
                  <w:r w:rsidR="00BB27CF">
                    <w:t xml:space="preserve">adapting services and resources to </w:t>
                  </w:r>
                  <w:r w:rsidR="00C215C3">
                    <w:t>meet service users’</w:t>
                  </w:r>
                  <w:r w:rsidR="00BB27CF" w:rsidRPr="1A1ACD70">
                    <w:t xml:space="preserve"> level of literacy, existing psychoeducation, and individual preferences.</w:t>
                  </w:r>
                </w:p>
                <w:p w14:paraId="2F0E0334" w14:textId="77777777" w:rsidR="00BB27CF" w:rsidRPr="007A5BC7" w:rsidRDefault="00BB27CF" w:rsidP="00BB27CF">
                  <w:pPr>
                    <w:pBdr>
                      <w:left w:val="single" w:sz="18" w:space="4" w:color="78B800" w:themeColor="accent1"/>
                    </w:pBdr>
                    <w:tabs>
                      <w:tab w:val="left" w:pos="8080"/>
                    </w:tabs>
                    <w:spacing w:after="0"/>
                    <w:ind w:left="851" w:right="949"/>
                    <w:rPr>
                      <w:b/>
                      <w:bCs/>
                    </w:rPr>
                  </w:pPr>
                  <w:r w:rsidRPr="008E1B83">
                    <w:rPr>
                      <w:i/>
                    </w:rPr>
                    <w:t>I am not very good at reading and writing</w:t>
                  </w:r>
                  <w:r>
                    <w:rPr>
                      <w:i/>
                    </w:rPr>
                    <w:t xml:space="preserve"> [</w:t>
                  </w:r>
                  <w:r w:rsidRPr="008E1B83">
                    <w:rPr>
                      <w:i/>
                    </w:rPr>
                    <w:t>…</w:t>
                  </w:r>
                  <w:r>
                    <w:rPr>
                      <w:i/>
                    </w:rPr>
                    <w:t>]</w:t>
                  </w:r>
                  <w:r w:rsidRPr="008E1B83">
                    <w:rPr>
                      <w:i/>
                    </w:rPr>
                    <w:t xml:space="preserve"> when we go, we talk…about things, she puts it in terms I can understand</w:t>
                  </w:r>
                  <w:r>
                    <w:rPr>
                      <w:i/>
                    </w:rPr>
                    <w:t xml:space="preserve"> [</w:t>
                  </w:r>
                  <w:r w:rsidRPr="008E1B83">
                    <w:rPr>
                      <w:i/>
                    </w:rPr>
                    <w:t>…</w:t>
                  </w:r>
                  <w:r>
                    <w:rPr>
                      <w:i/>
                    </w:rPr>
                    <w:t xml:space="preserve">] </w:t>
                  </w:r>
                  <w:r w:rsidRPr="008E1B83">
                    <w:rPr>
                      <w:i/>
                    </w:rPr>
                    <w:t>which is what people need</w:t>
                  </w:r>
                  <w:r>
                    <w:rPr>
                      <w:i/>
                    </w:rPr>
                    <w:t xml:space="preserve"> [</w:t>
                  </w:r>
                  <w:r w:rsidRPr="008E1B83">
                    <w:rPr>
                      <w:i/>
                    </w:rPr>
                    <w:t>…</w:t>
                  </w:r>
                  <w:r>
                    <w:rPr>
                      <w:i/>
                    </w:rPr>
                    <w:t>]</w:t>
                  </w:r>
                  <w:r w:rsidRPr="008E1B83">
                    <w:rPr>
                      <w:i/>
                    </w:rPr>
                    <w:t xml:space="preserve"> you need to get people with the right language and the right skills to do, and in this place</w:t>
                  </w:r>
                  <w:r>
                    <w:rPr>
                      <w:i/>
                    </w:rPr>
                    <w:t xml:space="preserve"> [</w:t>
                  </w:r>
                  <w:r w:rsidRPr="008E1B83">
                    <w:rPr>
                      <w:i/>
                    </w:rPr>
                    <w:t>…</w:t>
                  </w:r>
                  <w:r>
                    <w:rPr>
                      <w:i/>
                    </w:rPr>
                    <w:t>]</w:t>
                  </w:r>
                  <w:r w:rsidRPr="008E1B83">
                    <w:rPr>
                      <w:i/>
                    </w:rPr>
                    <w:t xml:space="preserve"> you've got it</w:t>
                  </w:r>
                  <w:r>
                    <w:rPr>
                      <w:i/>
                      <w:iCs/>
                    </w:rPr>
                    <w:t xml:space="preserve"> </w:t>
                  </w:r>
                  <w:r w:rsidRPr="008E1B83">
                    <w:rPr>
                      <w:i/>
                      <w:noProof/>
                    </w:rPr>
                    <w:drawing>
                      <wp:anchor distT="0" distB="0" distL="114300" distR="114300" simplePos="0" relativeHeight="251658305" behindDoc="0" locked="1" layoutInCell="1" allowOverlap="1" wp14:anchorId="7A4FF7B0" wp14:editId="1668FF10">
                        <wp:simplePos x="0" y="0"/>
                        <wp:positionH relativeFrom="column">
                          <wp:posOffset>0</wp:posOffset>
                        </wp:positionH>
                        <wp:positionV relativeFrom="paragraph">
                          <wp:posOffset>0</wp:posOffset>
                        </wp:positionV>
                        <wp:extent cx="384810" cy="320040"/>
                        <wp:effectExtent l="0" t="0" r="0" b="3810"/>
                        <wp:wrapNone/>
                        <wp:docPr id="632672556" name="Graphic 632672556" descr="P2483#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672556" name="Graphic 632672556" descr="P2483#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i/>
                    </w:rPr>
                    <w:t xml:space="preserve">– </w:t>
                  </w:r>
                  <w:r w:rsidRPr="0059791A">
                    <w:rPr>
                      <w:b/>
                      <w:bCs/>
                      <w:i/>
                    </w:rPr>
                    <w:t>F</w:t>
                  </w:r>
                  <w:r w:rsidRPr="0059791A">
                    <w:rPr>
                      <w:b/>
                      <w:bCs/>
                      <w:i/>
                      <w:iCs/>
                    </w:rPr>
                    <w:t>aRS service user</w:t>
                  </w:r>
                </w:p>
                <w:p w14:paraId="479DA1A8" w14:textId="77777777" w:rsidR="00BB27CF" w:rsidRDefault="00BB27CF" w:rsidP="00BB27CF">
                  <w:pPr>
                    <w:pStyle w:val="Text"/>
                    <w:rPr>
                      <w:lang w:val="en-US"/>
                    </w:rPr>
                  </w:pPr>
                </w:p>
                <w:p w14:paraId="608AB5CC" w14:textId="009D1929" w:rsidR="00501231" w:rsidRDefault="00370110" w:rsidP="00FA428D">
                  <w:pPr>
                    <w:pStyle w:val="Text"/>
                    <w:rPr>
                      <w:lang w:val="en-US"/>
                    </w:rPr>
                  </w:pPr>
                  <w:r>
                    <w:rPr>
                      <w:lang w:val="en-US"/>
                    </w:rPr>
                    <w:t>In some cases</w:t>
                  </w:r>
                  <w:r w:rsidR="00C33ADA">
                    <w:rPr>
                      <w:lang w:val="en-US"/>
                    </w:rPr>
                    <w:t>, service providers</w:t>
                  </w:r>
                  <w:r w:rsidR="005E6032">
                    <w:rPr>
                      <w:lang w:val="en-US"/>
                    </w:rPr>
                    <w:t xml:space="preserve"> </w:t>
                  </w:r>
                  <w:r w:rsidR="006550B5">
                    <w:rPr>
                      <w:lang w:val="en-US"/>
                    </w:rPr>
                    <w:t xml:space="preserve">helped service users </w:t>
                  </w:r>
                  <w:r w:rsidR="00D123D9">
                    <w:rPr>
                      <w:lang w:val="en-US"/>
                    </w:rPr>
                    <w:t xml:space="preserve">to </w:t>
                  </w:r>
                  <w:r w:rsidR="006550B5">
                    <w:rPr>
                      <w:lang w:val="en-US"/>
                    </w:rPr>
                    <w:t>access basic material</w:t>
                  </w:r>
                  <w:r w:rsidR="005E6032">
                    <w:rPr>
                      <w:lang w:val="en-US"/>
                    </w:rPr>
                    <w:t xml:space="preserve"> needs such as housing</w:t>
                  </w:r>
                  <w:r w:rsidR="006550B5">
                    <w:rPr>
                      <w:lang w:val="en-US"/>
                    </w:rPr>
                    <w:t xml:space="preserve"> support</w:t>
                  </w:r>
                  <w:r w:rsidR="005E6032">
                    <w:rPr>
                      <w:lang w:val="en-US"/>
                    </w:rPr>
                    <w:t>,</w:t>
                  </w:r>
                  <w:r w:rsidR="005D1972">
                    <w:rPr>
                      <w:lang w:val="en-US"/>
                    </w:rPr>
                    <w:t xml:space="preserve"> </w:t>
                  </w:r>
                  <w:r w:rsidR="00C635AA">
                    <w:rPr>
                      <w:lang w:val="en-US"/>
                    </w:rPr>
                    <w:t>food</w:t>
                  </w:r>
                  <w:r w:rsidR="005D1972">
                    <w:rPr>
                      <w:lang w:val="en-US"/>
                    </w:rPr>
                    <w:t>, and essential services.</w:t>
                  </w:r>
                  <w:r w:rsidR="00BA3013">
                    <w:rPr>
                      <w:lang w:val="en-US"/>
                    </w:rPr>
                    <w:t xml:space="preserve"> </w:t>
                  </w:r>
                </w:p>
                <w:p w14:paraId="5C73D025" w14:textId="761B1062" w:rsidR="00942DF3" w:rsidRPr="00EC2C55" w:rsidRDefault="00942DF3" w:rsidP="00942DF3">
                  <w:pPr>
                    <w:pBdr>
                      <w:left w:val="single" w:sz="18" w:space="4" w:color="78B800" w:themeColor="accent1"/>
                    </w:pBdr>
                    <w:tabs>
                      <w:tab w:val="left" w:pos="8080"/>
                    </w:tabs>
                    <w:spacing w:after="0"/>
                    <w:ind w:left="851" w:right="949"/>
                  </w:pPr>
                  <w:r w:rsidRPr="008E1B83">
                    <w:rPr>
                      <w:i/>
                    </w:rPr>
                    <w:t xml:space="preserve">It has been convenient. They work around you. They see what </w:t>
                  </w:r>
                  <w:r w:rsidR="003925E9" w:rsidRPr="003925E9">
                    <w:rPr>
                      <w:i/>
                    </w:rPr>
                    <w:t>days’</w:t>
                  </w:r>
                  <w:r w:rsidRPr="008E1B83">
                    <w:rPr>
                      <w:i/>
                    </w:rPr>
                    <w:t xml:space="preserve"> work for you and what time</w:t>
                  </w:r>
                  <w:r w:rsidR="00E80615" w:rsidRPr="008E1B83">
                    <w:rPr>
                      <w:i/>
                    </w:rPr>
                    <w:t>s</w:t>
                  </w:r>
                  <w:r w:rsidRPr="008E1B83">
                    <w:rPr>
                      <w:i/>
                    </w:rPr>
                    <w:t>. They normally ring from a no ID number. I’m very cautious of phone calls. I’ve asked if they can send a text message before they ring. They work with you to make you feel safe and make you feel comfortable</w:t>
                  </w:r>
                  <w:r w:rsidRPr="008E1B83">
                    <w:rPr>
                      <w:i/>
                      <w:noProof/>
                    </w:rPr>
                    <w:drawing>
                      <wp:anchor distT="0" distB="0" distL="114300" distR="114300" simplePos="0" relativeHeight="251658306" behindDoc="0" locked="1" layoutInCell="1" allowOverlap="1" wp14:anchorId="620503BD" wp14:editId="0D057D26">
                        <wp:simplePos x="0" y="0"/>
                        <wp:positionH relativeFrom="column">
                          <wp:posOffset>0</wp:posOffset>
                        </wp:positionH>
                        <wp:positionV relativeFrom="paragraph">
                          <wp:posOffset>0</wp:posOffset>
                        </wp:positionV>
                        <wp:extent cx="384810" cy="320040"/>
                        <wp:effectExtent l="0" t="0" r="0" b="3810"/>
                        <wp:wrapNone/>
                        <wp:docPr id="834211981" name="Graphic 834211981" descr="P2486#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211981" name="Graphic 834211981" descr="P2486#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24027">
                    <w:t xml:space="preserve"> </w:t>
                  </w:r>
                  <w:r w:rsidR="0059791A">
                    <w:rPr>
                      <w:i/>
                      <w:iCs/>
                    </w:rPr>
                    <w:t>–</w:t>
                  </w:r>
                  <w:r>
                    <w:rPr>
                      <w:i/>
                      <w:iCs/>
                    </w:rPr>
                    <w:t xml:space="preserve"> </w:t>
                  </w:r>
                  <w:r w:rsidRPr="00EC2C55">
                    <w:rPr>
                      <w:b/>
                      <w:bCs/>
                      <w:i/>
                      <w:iCs/>
                    </w:rPr>
                    <w:t xml:space="preserve">FaRS service </w:t>
                  </w:r>
                  <w:r w:rsidR="004C347B">
                    <w:rPr>
                      <w:b/>
                      <w:bCs/>
                      <w:i/>
                      <w:iCs/>
                    </w:rPr>
                    <w:t>user</w:t>
                  </w:r>
                </w:p>
                <w:p w14:paraId="76A02622" w14:textId="77777777" w:rsidR="005D1972" w:rsidRDefault="005D1972" w:rsidP="00942DF3">
                  <w:pPr>
                    <w:pStyle w:val="Text"/>
                    <w:rPr>
                      <w:lang w:val="en-US"/>
                    </w:rPr>
                  </w:pPr>
                </w:p>
                <w:p w14:paraId="37C4BF73" w14:textId="5E8A003C" w:rsidR="005D1972" w:rsidRPr="00052632" w:rsidRDefault="004C347B" w:rsidP="00052632">
                  <w:pPr>
                    <w:pBdr>
                      <w:left w:val="single" w:sz="18" w:space="4" w:color="78B800" w:themeColor="accent1"/>
                    </w:pBdr>
                    <w:tabs>
                      <w:tab w:val="left" w:pos="8080"/>
                    </w:tabs>
                    <w:spacing w:after="0"/>
                    <w:ind w:left="851" w:right="949"/>
                  </w:pPr>
                  <w:r w:rsidRPr="008E1B83">
                    <w:rPr>
                      <w:i/>
                    </w:rPr>
                    <w:t xml:space="preserve">They helped me with housing after my mum died – </w:t>
                  </w:r>
                  <w:r w:rsidR="00E80615" w:rsidRPr="008E1B83">
                    <w:rPr>
                      <w:i/>
                    </w:rPr>
                    <w:t xml:space="preserve">I </w:t>
                  </w:r>
                  <w:r w:rsidRPr="008E1B83">
                    <w:rPr>
                      <w:i/>
                    </w:rPr>
                    <w:t xml:space="preserve">was going to get kicked out of her house and they helped me with getting support letters to get housing – now I am category 1 for housing. </w:t>
                  </w:r>
                  <w:r w:rsidR="00D123D9" w:rsidRPr="008E1B83">
                    <w:rPr>
                      <w:i/>
                    </w:rPr>
                    <w:t>[</w:t>
                  </w:r>
                  <w:r w:rsidR="00E80615" w:rsidRPr="008E1B83">
                    <w:rPr>
                      <w:i/>
                    </w:rPr>
                    <w:t>C</w:t>
                  </w:r>
                  <w:r w:rsidR="00D123D9" w:rsidRPr="008E1B83">
                    <w:rPr>
                      <w:i/>
                    </w:rPr>
                    <w:t>ounsellor]</w:t>
                  </w:r>
                  <w:r w:rsidRPr="008E1B83">
                    <w:rPr>
                      <w:i/>
                    </w:rPr>
                    <w:t xml:space="preserve"> helped me achieve tha</w:t>
                  </w:r>
                  <w:r w:rsidRPr="00EC2C55">
                    <w:rPr>
                      <w:noProof/>
                    </w:rPr>
                    <w:drawing>
                      <wp:anchor distT="0" distB="0" distL="114300" distR="114300" simplePos="0" relativeHeight="251658307" behindDoc="0" locked="1" layoutInCell="1" allowOverlap="1" wp14:anchorId="5E95DF13" wp14:editId="387E6DBF">
                        <wp:simplePos x="0" y="0"/>
                        <wp:positionH relativeFrom="column">
                          <wp:posOffset>0</wp:posOffset>
                        </wp:positionH>
                        <wp:positionV relativeFrom="paragraph">
                          <wp:posOffset>0</wp:posOffset>
                        </wp:positionV>
                        <wp:extent cx="384810" cy="320040"/>
                        <wp:effectExtent l="0" t="0" r="0" b="3810"/>
                        <wp:wrapNone/>
                        <wp:docPr id="1841332442" name="Graphic 1841332442" descr="P2488#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332442" name="Graphic 1841332442" descr="P2488#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9791A">
                    <w:rPr>
                      <w:i/>
                    </w:rPr>
                    <w:t>t –</w:t>
                  </w:r>
                  <w:r>
                    <w:rPr>
                      <w:i/>
                    </w:rPr>
                    <w:t xml:space="preserve"> </w:t>
                  </w:r>
                  <w:r w:rsidRPr="00EC2C55">
                    <w:rPr>
                      <w:b/>
                      <w:bCs/>
                      <w:i/>
                      <w:iCs/>
                    </w:rPr>
                    <w:t xml:space="preserve">FaRS service </w:t>
                  </w:r>
                  <w:r>
                    <w:rPr>
                      <w:b/>
                      <w:bCs/>
                      <w:i/>
                      <w:iCs/>
                    </w:rPr>
                    <w:t>user</w:t>
                  </w:r>
                </w:p>
                <w:p w14:paraId="472D4384" w14:textId="77777777" w:rsidR="00AC6C0C" w:rsidRDefault="00AC6C0C" w:rsidP="00AC6C0C"/>
                <w:p w14:paraId="245D4C76" w14:textId="3FBEB790" w:rsidR="00BB27CF" w:rsidRDefault="00C215C3" w:rsidP="00321BC5">
                  <w:pPr>
                    <w:pStyle w:val="Text"/>
                  </w:pPr>
                  <w:r>
                    <w:rPr>
                      <w:lang w:val="en-US"/>
                    </w:rPr>
                    <w:t xml:space="preserve">For further information on service adaptations for service users see </w:t>
                  </w:r>
                  <w:r w:rsidRPr="005F2777">
                    <w:rPr>
                      <w:b/>
                      <w:bCs/>
                      <w:lang w:val="en-US"/>
                    </w:rPr>
                    <w:t>Section</w:t>
                  </w:r>
                  <w:r w:rsidRPr="005F2777">
                    <w:rPr>
                      <w:b/>
                      <w:lang w:val="en-US"/>
                    </w:rPr>
                    <w:t xml:space="preserve"> </w:t>
                  </w:r>
                  <w:r w:rsidRPr="005F2777">
                    <w:rPr>
                      <w:b/>
                      <w:lang w:val="en-US"/>
                    </w:rPr>
                    <w:fldChar w:fldCharType="begin" w:fldLock="1"/>
                  </w:r>
                  <w:r w:rsidRPr="005F2777">
                    <w:rPr>
                      <w:b/>
                      <w:lang w:val="en-US"/>
                    </w:rPr>
                    <w:instrText xml:space="preserve"> REF _Ref205305073 \r \h </w:instrText>
                  </w:r>
                  <w:r>
                    <w:rPr>
                      <w:b/>
                      <w:lang w:val="en-US"/>
                    </w:rPr>
                    <w:instrText xml:space="preserve"> \* MERGEFORMAT </w:instrText>
                  </w:r>
                  <w:r w:rsidRPr="005F2777">
                    <w:rPr>
                      <w:b/>
                      <w:lang w:val="en-US"/>
                    </w:rPr>
                  </w:r>
                  <w:r w:rsidRPr="005F2777">
                    <w:rPr>
                      <w:b/>
                      <w:lang w:val="en-US"/>
                    </w:rPr>
                    <w:fldChar w:fldCharType="separate"/>
                  </w:r>
                  <w:r w:rsidR="008F22E5">
                    <w:rPr>
                      <w:b/>
                      <w:lang w:val="en-US"/>
                    </w:rPr>
                    <w:t>6.4</w:t>
                  </w:r>
                  <w:r w:rsidRPr="005F2777">
                    <w:rPr>
                      <w:b/>
                      <w:lang w:val="en-US"/>
                    </w:rPr>
                    <w:fldChar w:fldCharType="end"/>
                  </w:r>
                  <w:r w:rsidRPr="005F2777">
                    <w:rPr>
                      <w:lang w:val="en-US"/>
                    </w:rPr>
                    <w:t>.</w:t>
                  </w:r>
                  <w:r w:rsidR="00BB27CF">
                    <w:rPr>
                      <w:lang w:val="en-US"/>
                    </w:rPr>
                    <w:t xml:space="preserve"> </w:t>
                  </w:r>
                </w:p>
                <w:p w14:paraId="58E892DF" w14:textId="342DF76F" w:rsidR="00C2734B" w:rsidRDefault="00247CDE" w:rsidP="00321BC5">
                  <w:pPr>
                    <w:pStyle w:val="Text-BodyHeading"/>
                    <w:spacing w:before="360" w:after="240"/>
                  </w:pPr>
                  <w:r>
                    <w:t xml:space="preserve">Referrals </w:t>
                  </w:r>
                  <w:r w:rsidR="00205268">
                    <w:t>to other services</w:t>
                  </w:r>
                </w:p>
                <w:p w14:paraId="272BC3D5" w14:textId="1F93553D" w:rsidR="00A7268C" w:rsidRDefault="00182F04" w:rsidP="00052632">
                  <w:pPr>
                    <w:pStyle w:val="Text"/>
                    <w:rPr>
                      <w:lang w:val="en-US"/>
                    </w:rPr>
                  </w:pPr>
                  <w:r>
                    <w:rPr>
                      <w:lang w:val="en-US"/>
                    </w:rPr>
                    <w:t xml:space="preserve">Service providers routinely referred </w:t>
                  </w:r>
                  <w:r w:rsidR="00661A1C">
                    <w:rPr>
                      <w:lang w:val="en-US"/>
                    </w:rPr>
                    <w:t xml:space="preserve">service users to </w:t>
                  </w:r>
                  <w:r>
                    <w:rPr>
                      <w:lang w:val="en-US"/>
                    </w:rPr>
                    <w:t>other services</w:t>
                  </w:r>
                  <w:r w:rsidR="00D95CB9">
                    <w:rPr>
                      <w:lang w:val="en-US"/>
                    </w:rPr>
                    <w:t xml:space="preserve"> </w:t>
                  </w:r>
                  <w:r w:rsidR="00266782">
                    <w:rPr>
                      <w:lang w:val="en-US"/>
                    </w:rPr>
                    <w:t>when needed. S</w:t>
                  </w:r>
                  <w:r w:rsidR="00052632">
                    <w:rPr>
                      <w:lang w:val="en-US"/>
                    </w:rPr>
                    <w:t>everal service users reported th</w:t>
                  </w:r>
                  <w:r w:rsidR="00614D02">
                    <w:rPr>
                      <w:lang w:val="en-US"/>
                    </w:rPr>
                    <w:t xml:space="preserve">at their provider had either </w:t>
                  </w:r>
                  <w:r w:rsidR="00266782">
                    <w:rPr>
                      <w:lang w:val="en-US"/>
                    </w:rPr>
                    <w:t>recommended</w:t>
                  </w:r>
                  <w:r w:rsidR="00614D02">
                    <w:rPr>
                      <w:lang w:val="en-US"/>
                    </w:rPr>
                    <w:t xml:space="preserve">, or provided warm </w:t>
                  </w:r>
                  <w:r w:rsidR="00266782">
                    <w:rPr>
                      <w:lang w:val="en-US"/>
                    </w:rPr>
                    <w:t xml:space="preserve">referrals, </w:t>
                  </w:r>
                  <w:r w:rsidR="00614D02">
                    <w:rPr>
                      <w:lang w:val="en-US"/>
                    </w:rPr>
                    <w:t xml:space="preserve">to other services to support their </w:t>
                  </w:r>
                  <w:r w:rsidR="00442FC5">
                    <w:rPr>
                      <w:lang w:val="en-US"/>
                    </w:rPr>
                    <w:t>specific needs.</w:t>
                  </w:r>
                  <w:r w:rsidR="00266782">
                    <w:rPr>
                      <w:lang w:val="en-US"/>
                    </w:rPr>
                    <w:t xml:space="preserve"> </w:t>
                  </w:r>
                  <w:r>
                    <w:rPr>
                      <w:lang w:val="en-US"/>
                    </w:rPr>
                    <w:t>These services included</w:t>
                  </w:r>
                  <w:r w:rsidR="00266782">
                    <w:rPr>
                      <w:lang w:val="en-US"/>
                    </w:rPr>
                    <w:t xml:space="preserve"> housing support, mental health </w:t>
                  </w:r>
                  <w:r w:rsidR="009407D1">
                    <w:rPr>
                      <w:lang w:val="en-US"/>
                    </w:rPr>
                    <w:t xml:space="preserve">practitioners such as psychologists, </w:t>
                  </w:r>
                  <w:r w:rsidR="00A0620F">
                    <w:rPr>
                      <w:lang w:val="en-US"/>
                    </w:rPr>
                    <w:t xml:space="preserve">and </w:t>
                  </w:r>
                  <w:r w:rsidR="00A25D80">
                    <w:rPr>
                      <w:lang w:val="en-US"/>
                    </w:rPr>
                    <w:t>family</w:t>
                  </w:r>
                  <w:r w:rsidR="009407D1">
                    <w:rPr>
                      <w:lang w:val="en-US"/>
                    </w:rPr>
                    <w:t xml:space="preserve"> violence and mental health crisis services</w:t>
                  </w:r>
                  <w:r w:rsidR="00A0620F">
                    <w:rPr>
                      <w:lang w:val="en-US"/>
                    </w:rPr>
                    <w:t xml:space="preserve">. In some instances, service users were referred to other </w:t>
                  </w:r>
                  <w:r>
                    <w:rPr>
                      <w:lang w:val="en-US"/>
                    </w:rPr>
                    <w:t>programs offered by the service provider</w:t>
                  </w:r>
                  <w:r w:rsidR="00F247BA">
                    <w:rPr>
                      <w:lang w:val="en-US"/>
                    </w:rPr>
                    <w:t xml:space="preserve"> such as </w:t>
                  </w:r>
                  <w:r w:rsidR="001222A6">
                    <w:rPr>
                      <w:lang w:val="en-US"/>
                    </w:rPr>
                    <w:t xml:space="preserve">individual counselling, </w:t>
                  </w:r>
                  <w:r w:rsidR="00F247BA">
                    <w:rPr>
                      <w:lang w:val="en-US"/>
                    </w:rPr>
                    <w:t xml:space="preserve">art therapy groups, or parenting classes. </w:t>
                  </w:r>
                </w:p>
                <w:p w14:paraId="4AC7678F" w14:textId="56177054" w:rsidR="003B7FCA" w:rsidRPr="00052632" w:rsidRDefault="00A0620F" w:rsidP="003B7FCA">
                  <w:pPr>
                    <w:pBdr>
                      <w:left w:val="single" w:sz="18" w:space="4" w:color="78B800" w:themeColor="accent1"/>
                    </w:pBdr>
                    <w:tabs>
                      <w:tab w:val="left" w:pos="8080"/>
                    </w:tabs>
                    <w:spacing w:after="0"/>
                    <w:ind w:left="851" w:right="949"/>
                  </w:pPr>
                  <w:r w:rsidRPr="008E1B83">
                    <w:rPr>
                      <w:i/>
                    </w:rPr>
                    <w:t xml:space="preserve">As we progressed and I was talking to her about things that were upsetting me, it was very overwhelming for me as all these things </w:t>
                  </w:r>
                  <w:r w:rsidRPr="008E1B83">
                    <w:rPr>
                      <w:i/>
                    </w:rPr>
                    <w:lastRenderedPageBreak/>
                    <w:t>were happening at once. She helped me find other facilities or people that would help me in those situations which was really</w:t>
                  </w:r>
                  <w:r w:rsidR="000C1E91" w:rsidRPr="008E1B83">
                    <w:rPr>
                      <w:i/>
                    </w:rPr>
                    <w:t>,</w:t>
                  </w:r>
                  <w:r w:rsidRPr="008E1B83">
                    <w:rPr>
                      <w:i/>
                    </w:rPr>
                    <w:t xml:space="preserve"> really good and she helped ease my</w:t>
                  </w:r>
                  <w:r w:rsidR="00CA1A2B">
                    <w:rPr>
                      <w:i/>
                    </w:rPr>
                    <w:t xml:space="preserve"> </w:t>
                  </w:r>
                  <w:r w:rsidRPr="008E1B83">
                    <w:rPr>
                      <w:i/>
                    </w:rPr>
                    <w:t>anxiety</w:t>
                  </w:r>
                  <w:r w:rsidR="003B7FCA" w:rsidRPr="008E1B83">
                    <w:rPr>
                      <w:i/>
                      <w:noProof/>
                    </w:rPr>
                    <w:drawing>
                      <wp:anchor distT="0" distB="0" distL="114300" distR="114300" simplePos="0" relativeHeight="251658308" behindDoc="0" locked="1" layoutInCell="1" allowOverlap="1" wp14:anchorId="5EDCB975" wp14:editId="25F2EB95">
                        <wp:simplePos x="0" y="0"/>
                        <wp:positionH relativeFrom="column">
                          <wp:posOffset>0</wp:posOffset>
                        </wp:positionH>
                        <wp:positionV relativeFrom="paragraph">
                          <wp:posOffset>0</wp:posOffset>
                        </wp:positionV>
                        <wp:extent cx="384810" cy="320040"/>
                        <wp:effectExtent l="0" t="0" r="0" b="3810"/>
                        <wp:wrapNone/>
                        <wp:docPr id="1947501518" name="Graphic 1947501518" descr="P2493#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501518" name="Graphic 1947501518" descr="P2493#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24027">
                    <w:t xml:space="preserve"> </w:t>
                  </w:r>
                  <w:r w:rsidR="00CA1A2B">
                    <w:t>–</w:t>
                  </w:r>
                  <w:r w:rsidR="003B7FCA" w:rsidRPr="00EC2C55">
                    <w:t xml:space="preserve"> </w:t>
                  </w:r>
                  <w:r w:rsidR="003B7FCA" w:rsidRPr="00EC2C55">
                    <w:rPr>
                      <w:b/>
                      <w:bCs/>
                      <w:i/>
                      <w:iCs/>
                    </w:rPr>
                    <w:t xml:space="preserve">FaRS service </w:t>
                  </w:r>
                  <w:r w:rsidR="003B7FCA">
                    <w:rPr>
                      <w:b/>
                      <w:bCs/>
                      <w:i/>
                      <w:iCs/>
                    </w:rPr>
                    <w:t>user</w:t>
                  </w:r>
                </w:p>
                <w:p w14:paraId="21082134" w14:textId="77777777" w:rsidR="001222A6" w:rsidRDefault="001222A6" w:rsidP="00D338F5">
                  <w:pPr>
                    <w:pStyle w:val="Text"/>
                    <w:rPr>
                      <w:lang w:val="en-US"/>
                    </w:rPr>
                  </w:pPr>
                </w:p>
                <w:p w14:paraId="6A8A4670" w14:textId="6713F133" w:rsidR="00A66F7B" w:rsidRPr="007A2F99" w:rsidRDefault="00A66F7B" w:rsidP="00A66F7B">
                  <w:pPr>
                    <w:pStyle w:val="Text"/>
                    <w:rPr>
                      <w:lang w:val="en-AU"/>
                    </w:rPr>
                  </w:pPr>
                  <w:r>
                    <w:rPr>
                      <w:lang w:val="en-AU"/>
                    </w:rPr>
                    <w:t xml:space="preserve">While feedback on referrals was generally positive, </w:t>
                  </w:r>
                  <w:r w:rsidRPr="007A2F99">
                    <w:rPr>
                      <w:lang w:val="en-AU"/>
                    </w:rPr>
                    <w:t>some FaRS service users said they were either not referred to other services or the services that they were referred to were unhelpful or had long wait times which made getting access difficult.</w:t>
                  </w:r>
                </w:p>
                <w:p w14:paraId="55BD1A91" w14:textId="3E23B2F4" w:rsidR="00A66F7B" w:rsidRPr="0068308E" w:rsidRDefault="00A66F7B" w:rsidP="00A66F7B">
                  <w:pPr>
                    <w:pBdr>
                      <w:left w:val="single" w:sz="18" w:space="4" w:color="78B800" w:themeColor="accent1"/>
                    </w:pBdr>
                    <w:tabs>
                      <w:tab w:val="left" w:pos="8080"/>
                    </w:tabs>
                    <w:spacing w:after="0"/>
                    <w:ind w:left="851" w:right="949"/>
                    <w:rPr>
                      <w:b/>
                      <w:i/>
                    </w:rPr>
                  </w:pPr>
                  <w:r w:rsidRPr="008E1B83">
                    <w:rPr>
                      <w:i/>
                      <w:noProof/>
                    </w:rPr>
                    <w:drawing>
                      <wp:anchor distT="0" distB="0" distL="114300" distR="114300" simplePos="0" relativeHeight="251658309" behindDoc="0" locked="1" layoutInCell="1" allowOverlap="1" wp14:anchorId="52B10B62" wp14:editId="2240B88F">
                        <wp:simplePos x="0" y="0"/>
                        <wp:positionH relativeFrom="column">
                          <wp:posOffset>0</wp:posOffset>
                        </wp:positionH>
                        <wp:positionV relativeFrom="paragraph">
                          <wp:posOffset>0</wp:posOffset>
                        </wp:positionV>
                        <wp:extent cx="384810" cy="320040"/>
                        <wp:effectExtent l="0" t="0" r="0" b="3810"/>
                        <wp:wrapNone/>
                        <wp:docPr id="1079458829" name="Graphic 1079458829" descr="P2496#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458829" name="Graphic 1079458829" descr="P2496#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E1B83">
                    <w:rPr>
                      <w:i/>
                    </w:rPr>
                    <w:t>The counsellor has said to my mum … I think she might benefit from seeing a psychologist by herself, but I don’t think she has [referred her]. I find the services</w:t>
                  </w:r>
                  <w:r>
                    <w:rPr>
                      <w:i/>
                    </w:rPr>
                    <w:t xml:space="preserve"> [</w:t>
                  </w:r>
                  <w:r w:rsidR="00F33F66">
                    <w:rPr>
                      <w:i/>
                    </w:rPr>
                    <w:t>…</w:t>
                  </w:r>
                  <w:r>
                    <w:rPr>
                      <w:i/>
                    </w:rPr>
                    <w:t>]</w:t>
                  </w:r>
                  <w:r w:rsidRPr="008E1B83">
                    <w:rPr>
                      <w:i/>
                    </w:rPr>
                    <w:t xml:space="preserve"> a little more passive</w:t>
                  </w:r>
                  <w:r w:rsidRPr="002E7992">
                    <w:rPr>
                      <w:b/>
                      <w:bCs/>
                      <w:i/>
                      <w:iCs/>
                    </w:rPr>
                    <w:t xml:space="preserve"> –</w:t>
                  </w:r>
                  <w:r>
                    <w:rPr>
                      <w:b/>
                      <w:bCs/>
                      <w:i/>
                      <w:iCs/>
                    </w:rPr>
                    <w:t xml:space="preserve"> FaRS s</w:t>
                  </w:r>
                  <w:r w:rsidRPr="002E7992">
                    <w:rPr>
                      <w:b/>
                      <w:bCs/>
                      <w:i/>
                      <w:iCs/>
                    </w:rPr>
                    <w:t xml:space="preserve">ervice </w:t>
                  </w:r>
                  <w:r>
                    <w:rPr>
                      <w:b/>
                      <w:bCs/>
                      <w:i/>
                      <w:iCs/>
                    </w:rPr>
                    <w:t>user</w:t>
                  </w:r>
                </w:p>
                <w:p w14:paraId="1961778E" w14:textId="65FB8A1A" w:rsidR="00D31070" w:rsidRPr="008E1B83" w:rsidRDefault="00D31070" w:rsidP="00D31070">
                  <w:pPr>
                    <w:pStyle w:val="Text"/>
                    <w:rPr>
                      <w:i/>
                      <w:noProof/>
                      <w:lang w:val="en-AU"/>
                    </w:rPr>
                  </w:pPr>
                </w:p>
                <w:p w14:paraId="28F31BDD" w14:textId="23FACB3F" w:rsidR="002E2FBA" w:rsidRPr="003371DC" w:rsidRDefault="002E2FBA" w:rsidP="003C581B">
                  <w:pPr>
                    <w:pStyle w:val="Heading3"/>
                    <w:rPr>
                      <w:lang w:val="en-NZ"/>
                    </w:rPr>
                  </w:pPr>
                  <w:bookmarkStart w:id="428" w:name="_Ref208926459"/>
                  <w:r w:rsidRPr="00FF699B">
                    <w:t xml:space="preserve">Factors </w:t>
                  </w:r>
                  <w:r>
                    <w:t>impairing the achievement of</w:t>
                  </w:r>
                  <w:r w:rsidRPr="00FF699B">
                    <w:t xml:space="preserve"> outcomes</w:t>
                  </w:r>
                  <w:bookmarkEnd w:id="428"/>
                  <w:r w:rsidRPr="00FF699B">
                    <w:t xml:space="preserve"> </w:t>
                  </w:r>
                </w:p>
                <w:p w14:paraId="32A2ADEC" w14:textId="325B87EE" w:rsidR="00EB4D99" w:rsidRDefault="004C5740" w:rsidP="00321BC5">
                  <w:pPr>
                    <w:pStyle w:val="Text"/>
                  </w:pPr>
                  <w:r>
                    <w:rPr>
                      <w:lang w:val="en-US"/>
                    </w:rPr>
                    <w:t xml:space="preserve">This section describes the factors which impaired the achievement of outcomes of FaRS and SFVS. This section primarily relates to both FaRS and SFVS programs, as </w:t>
                  </w:r>
                  <w:r w:rsidR="00E25363">
                    <w:rPr>
                      <w:lang w:val="en-US"/>
                    </w:rPr>
                    <w:t>relevant factors overlap considerably</w:t>
                  </w:r>
                  <w:r>
                    <w:rPr>
                      <w:lang w:val="en-US"/>
                    </w:rPr>
                    <w:t xml:space="preserve">. However, </w:t>
                  </w:r>
                  <w:r w:rsidR="00E25363">
                    <w:rPr>
                      <w:lang w:val="en-US"/>
                    </w:rPr>
                    <w:t>some</w:t>
                  </w:r>
                  <w:r>
                    <w:rPr>
                      <w:lang w:val="en-US"/>
                    </w:rPr>
                    <w:t xml:space="preserve"> factors which impaired outcomes for service users </w:t>
                  </w:r>
                  <w:r w:rsidR="00E25363">
                    <w:rPr>
                      <w:lang w:val="en-US"/>
                    </w:rPr>
                    <w:t>are specific to SFVS</w:t>
                  </w:r>
                  <w:r w:rsidR="005D61DD">
                    <w:rPr>
                      <w:lang w:val="en-US"/>
                    </w:rPr>
                    <w:t>. These</w:t>
                  </w:r>
                  <w:r w:rsidR="00E25363">
                    <w:rPr>
                      <w:lang w:val="en-US"/>
                    </w:rPr>
                    <w:t xml:space="preserve"> </w:t>
                  </w:r>
                  <w:r>
                    <w:rPr>
                      <w:lang w:val="en-US"/>
                    </w:rPr>
                    <w:t xml:space="preserve">are discussed </w:t>
                  </w:r>
                  <w:r w:rsidR="00826EA5">
                    <w:rPr>
                      <w:lang w:val="en-US"/>
                    </w:rPr>
                    <w:t>at the end of this section</w:t>
                  </w:r>
                  <w:r>
                    <w:rPr>
                      <w:lang w:val="en-US"/>
                    </w:rPr>
                    <w:t xml:space="preserve">. </w:t>
                  </w:r>
                </w:p>
                <w:p w14:paraId="4823D704" w14:textId="3C520BFD" w:rsidR="00253268" w:rsidRPr="002E2FBA" w:rsidRDefault="002E2FBA" w:rsidP="00321BC5">
                  <w:pPr>
                    <w:pStyle w:val="Text-BodyHeading"/>
                    <w:spacing w:before="360" w:after="240"/>
                  </w:pPr>
                  <w:r>
                    <w:t>Lack of responsiveness to presenting issue amongst some providers</w:t>
                  </w:r>
                </w:p>
                <w:p w14:paraId="075C0F25" w14:textId="42D1E5C3" w:rsidR="005253ED" w:rsidRDefault="00E33BF0" w:rsidP="00124825">
                  <w:pPr>
                    <w:pStyle w:val="Text"/>
                    <w:rPr>
                      <w:lang w:val="en-US"/>
                    </w:rPr>
                  </w:pPr>
                  <w:r>
                    <w:rPr>
                      <w:lang w:val="en-US"/>
                    </w:rPr>
                    <w:t>S</w:t>
                  </w:r>
                  <w:r w:rsidR="00634963">
                    <w:rPr>
                      <w:lang w:val="en-US"/>
                    </w:rPr>
                    <w:t>ome service users</w:t>
                  </w:r>
                  <w:r>
                    <w:rPr>
                      <w:lang w:val="en-US"/>
                    </w:rPr>
                    <w:t xml:space="preserve"> reported that</w:t>
                  </w:r>
                  <w:r w:rsidR="00634963">
                    <w:rPr>
                      <w:lang w:val="en-US"/>
                    </w:rPr>
                    <w:t xml:space="preserve"> </w:t>
                  </w:r>
                  <w:r w:rsidR="00874A86">
                    <w:rPr>
                      <w:lang w:val="en-US"/>
                    </w:rPr>
                    <w:t xml:space="preserve">their </w:t>
                  </w:r>
                  <w:r w:rsidR="00634963">
                    <w:rPr>
                      <w:lang w:val="en-US"/>
                    </w:rPr>
                    <w:t xml:space="preserve">FaRS </w:t>
                  </w:r>
                  <w:r w:rsidR="00874A86">
                    <w:rPr>
                      <w:lang w:val="en-US"/>
                    </w:rPr>
                    <w:t xml:space="preserve">or </w:t>
                  </w:r>
                  <w:r w:rsidR="00634963">
                    <w:rPr>
                      <w:lang w:val="en-US"/>
                    </w:rPr>
                    <w:t>SFVS</w:t>
                  </w:r>
                  <w:r w:rsidR="00874A86">
                    <w:rPr>
                      <w:lang w:val="en-US"/>
                    </w:rPr>
                    <w:t xml:space="preserve"> provider did not adequately address their </w:t>
                  </w:r>
                  <w:r w:rsidR="003C657A">
                    <w:rPr>
                      <w:lang w:val="en-US"/>
                    </w:rPr>
                    <w:t xml:space="preserve">presenting </w:t>
                  </w:r>
                  <w:r w:rsidR="00874A86">
                    <w:rPr>
                      <w:lang w:val="en-US"/>
                    </w:rPr>
                    <w:t>n</w:t>
                  </w:r>
                  <w:r w:rsidR="003C657A">
                    <w:rPr>
                      <w:lang w:val="en-US"/>
                    </w:rPr>
                    <w:t>e</w:t>
                  </w:r>
                  <w:r w:rsidR="00874A86">
                    <w:rPr>
                      <w:lang w:val="en-US"/>
                    </w:rPr>
                    <w:t xml:space="preserve">eds. Some service users felt </w:t>
                  </w:r>
                  <w:r w:rsidR="00BB489B">
                    <w:rPr>
                      <w:lang w:val="en-US"/>
                    </w:rPr>
                    <w:t>that</w:t>
                  </w:r>
                  <w:r w:rsidR="00874A86">
                    <w:rPr>
                      <w:lang w:val="en-US"/>
                    </w:rPr>
                    <w:t xml:space="preserve"> their </w:t>
                  </w:r>
                  <w:r w:rsidR="005253ED">
                    <w:rPr>
                      <w:lang w:val="en-US"/>
                    </w:rPr>
                    <w:t xml:space="preserve">counsellor did not </w:t>
                  </w:r>
                  <w:r w:rsidR="00BB489B">
                    <w:rPr>
                      <w:lang w:val="en-US"/>
                    </w:rPr>
                    <w:t xml:space="preserve">fully </w:t>
                  </w:r>
                  <w:r w:rsidR="005253ED">
                    <w:rPr>
                      <w:lang w:val="en-US"/>
                    </w:rPr>
                    <w:t xml:space="preserve">listen </w:t>
                  </w:r>
                  <w:r w:rsidR="006F500F">
                    <w:rPr>
                      <w:lang w:val="en-US"/>
                    </w:rPr>
                    <w:t xml:space="preserve">to </w:t>
                  </w:r>
                  <w:r w:rsidR="005253ED">
                    <w:rPr>
                      <w:lang w:val="en-US"/>
                    </w:rPr>
                    <w:t xml:space="preserve">or understand the issues </w:t>
                  </w:r>
                  <w:r>
                    <w:rPr>
                      <w:lang w:val="en-US"/>
                    </w:rPr>
                    <w:t xml:space="preserve">for which </w:t>
                  </w:r>
                  <w:r w:rsidR="005253ED">
                    <w:rPr>
                      <w:lang w:val="en-US"/>
                    </w:rPr>
                    <w:t xml:space="preserve">they were seeking </w:t>
                  </w:r>
                  <w:r w:rsidR="004D2432">
                    <w:rPr>
                      <w:lang w:val="en-US"/>
                    </w:rPr>
                    <w:t>support or</w:t>
                  </w:r>
                  <w:r w:rsidR="00064AB2">
                    <w:rPr>
                      <w:lang w:val="en-US"/>
                    </w:rPr>
                    <w:t xml:space="preserve"> did not </w:t>
                  </w:r>
                  <w:r w:rsidR="00B80708">
                    <w:rPr>
                      <w:lang w:val="en-US"/>
                    </w:rPr>
                    <w:t>take an individualised approach to their needs</w:t>
                  </w:r>
                  <w:r w:rsidR="005253ED">
                    <w:rPr>
                      <w:lang w:val="en-US"/>
                    </w:rPr>
                    <w:t>.</w:t>
                  </w:r>
                  <w:r w:rsidR="006F500F">
                    <w:rPr>
                      <w:lang w:val="en-US"/>
                    </w:rPr>
                    <w:t xml:space="preserve"> </w:t>
                  </w:r>
                  <w:r w:rsidR="00B80708">
                    <w:rPr>
                      <w:lang w:val="en-US"/>
                    </w:rPr>
                    <w:t>T</w:t>
                  </w:r>
                  <w:r w:rsidR="009905F6">
                    <w:rPr>
                      <w:lang w:val="en-US"/>
                    </w:rPr>
                    <w:t xml:space="preserve">hese service users </w:t>
                  </w:r>
                  <w:r w:rsidR="00AF7DE1">
                    <w:rPr>
                      <w:lang w:val="en-US"/>
                    </w:rPr>
                    <w:t>felt they did not benefit from attending.</w:t>
                  </w:r>
                </w:p>
                <w:p w14:paraId="51C266A9" w14:textId="0E671739" w:rsidR="006F500F" w:rsidRPr="00052632" w:rsidRDefault="006F500F" w:rsidP="006F500F">
                  <w:pPr>
                    <w:pBdr>
                      <w:left w:val="single" w:sz="18" w:space="4" w:color="78B800" w:themeColor="accent1"/>
                    </w:pBdr>
                    <w:tabs>
                      <w:tab w:val="left" w:pos="8080"/>
                    </w:tabs>
                    <w:spacing w:after="0"/>
                    <w:ind w:left="851" w:right="949"/>
                  </w:pPr>
                  <w:r w:rsidRPr="008E1B83">
                    <w:rPr>
                      <w:i/>
                    </w:rPr>
                    <w:t xml:space="preserve">There’s such a variation in experiences of </w:t>
                  </w:r>
                  <w:r w:rsidR="00794440">
                    <w:rPr>
                      <w:i/>
                    </w:rPr>
                    <w:t>[domestic violence]</w:t>
                  </w:r>
                  <w:r w:rsidRPr="008E1B83">
                    <w:rPr>
                      <w:i/>
                    </w:rPr>
                    <w:t xml:space="preserve">. She stuck to the format and just read off of a piece of paper, </w:t>
                  </w:r>
                  <w:r w:rsidR="004A4F45" w:rsidRPr="008E1B83">
                    <w:rPr>
                      <w:i/>
                    </w:rPr>
                    <w:t xml:space="preserve">it </w:t>
                  </w:r>
                  <w:r w:rsidRPr="008E1B83">
                    <w:rPr>
                      <w:i/>
                    </w:rPr>
                    <w:t>wasn’t tailored to me, wasn’t individualised</w:t>
                  </w:r>
                  <w:r w:rsidR="00BA7C94" w:rsidRPr="008E1B83">
                    <w:rPr>
                      <w:i/>
                    </w:rPr>
                    <w:t xml:space="preserve"> [</w:t>
                  </w:r>
                  <w:r w:rsidRPr="008E1B83">
                    <w:rPr>
                      <w:i/>
                    </w:rPr>
                    <w:t>…</w:t>
                  </w:r>
                  <w:r w:rsidR="00BA7C94" w:rsidRPr="008E1B83">
                    <w:rPr>
                      <w:i/>
                    </w:rPr>
                    <w:t>]</w:t>
                  </w:r>
                  <w:r w:rsidRPr="008E1B83">
                    <w:rPr>
                      <w:i/>
                    </w:rPr>
                    <w:t xml:space="preserve"> I walked out of there thinking I’ve just spent </w:t>
                  </w:r>
                  <w:r w:rsidR="004A4F45" w:rsidRPr="008E1B83">
                    <w:rPr>
                      <w:i/>
                    </w:rPr>
                    <w:t>$</w:t>
                  </w:r>
                  <w:r w:rsidRPr="008E1B83">
                    <w:rPr>
                      <w:i/>
                    </w:rPr>
                    <w:t xml:space="preserve">30 to let you know that I don’t feel safe. I was another number </w:t>
                  </w:r>
                  <w:r w:rsidR="00BA7C94" w:rsidRPr="008E1B83">
                    <w:rPr>
                      <w:i/>
                    </w:rPr>
                    <w:t>[</w:t>
                  </w:r>
                  <w:r w:rsidRPr="008E1B83">
                    <w:rPr>
                      <w:i/>
                    </w:rPr>
                    <w:t>…</w:t>
                  </w:r>
                  <w:r w:rsidR="00BA7C94" w:rsidRPr="008E1B83">
                    <w:rPr>
                      <w:i/>
                    </w:rPr>
                    <w:t xml:space="preserve">] </w:t>
                  </w:r>
                  <w:r w:rsidRPr="008E1B83">
                    <w:rPr>
                      <w:i/>
                    </w:rPr>
                    <w:t>she was warm, but it came back to, you’re not tailoring it, I’m just a number basically</w:t>
                  </w:r>
                  <w:r w:rsidRPr="008E1B83">
                    <w:rPr>
                      <w:i/>
                      <w:noProof/>
                    </w:rPr>
                    <w:drawing>
                      <wp:anchor distT="0" distB="0" distL="114300" distR="114300" simplePos="0" relativeHeight="251658310" behindDoc="0" locked="1" layoutInCell="1" allowOverlap="1" wp14:anchorId="29E93325" wp14:editId="00B7A6BC">
                        <wp:simplePos x="0" y="0"/>
                        <wp:positionH relativeFrom="column">
                          <wp:posOffset>0</wp:posOffset>
                        </wp:positionH>
                        <wp:positionV relativeFrom="paragraph">
                          <wp:posOffset>0</wp:posOffset>
                        </wp:positionV>
                        <wp:extent cx="384810" cy="320040"/>
                        <wp:effectExtent l="0" t="0" r="0" b="3810"/>
                        <wp:wrapNone/>
                        <wp:docPr id="88435491" name="Graphic 88435491" descr="P2502#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35491" name="Graphic 88435491" descr="P2502#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A7C94">
                    <w:t xml:space="preserve"> </w:t>
                  </w:r>
                  <w:r w:rsidR="00CA1A2B" w:rsidRPr="00CA1A2B">
                    <w:rPr>
                      <w:b/>
                      <w:bCs/>
                      <w:i/>
                      <w:iCs/>
                    </w:rPr>
                    <w:t>–</w:t>
                  </w:r>
                  <w:r w:rsidRPr="00CA1A2B">
                    <w:rPr>
                      <w:b/>
                      <w:bCs/>
                      <w:i/>
                      <w:iCs/>
                    </w:rPr>
                    <w:t xml:space="preserve"> </w:t>
                  </w:r>
                  <w:r w:rsidRPr="00EC2C55">
                    <w:rPr>
                      <w:b/>
                      <w:bCs/>
                      <w:i/>
                      <w:iCs/>
                    </w:rPr>
                    <w:t xml:space="preserve">FaRS service </w:t>
                  </w:r>
                  <w:r>
                    <w:rPr>
                      <w:b/>
                      <w:bCs/>
                      <w:i/>
                      <w:iCs/>
                    </w:rPr>
                    <w:t>user</w:t>
                  </w:r>
                </w:p>
                <w:p w14:paraId="72A0339E" w14:textId="77777777" w:rsidR="00243501" w:rsidRDefault="00243501" w:rsidP="00124825">
                  <w:pPr>
                    <w:pStyle w:val="Text"/>
                    <w:rPr>
                      <w:lang w:val="en-US"/>
                    </w:rPr>
                  </w:pPr>
                </w:p>
                <w:p w14:paraId="687D4A94" w14:textId="528BCA2C" w:rsidR="00EB4D99" w:rsidRDefault="00AF7DE1" w:rsidP="00321BC5">
                  <w:pPr>
                    <w:pStyle w:val="Text"/>
                  </w:pPr>
                  <w:r>
                    <w:rPr>
                      <w:lang w:val="en-US"/>
                    </w:rPr>
                    <w:t xml:space="preserve">In some cases, service users </w:t>
                  </w:r>
                  <w:r w:rsidR="00006E26">
                    <w:rPr>
                      <w:lang w:val="en-US"/>
                    </w:rPr>
                    <w:t xml:space="preserve">who accessed </w:t>
                  </w:r>
                  <w:r w:rsidR="009A1C85">
                    <w:rPr>
                      <w:lang w:val="en-US"/>
                    </w:rPr>
                    <w:t>courses</w:t>
                  </w:r>
                  <w:r w:rsidR="00243501">
                    <w:rPr>
                      <w:lang w:val="en-US"/>
                    </w:rPr>
                    <w:t xml:space="preserve"> </w:t>
                  </w:r>
                  <w:r w:rsidR="009A1C85">
                    <w:rPr>
                      <w:lang w:val="en-US"/>
                    </w:rPr>
                    <w:t xml:space="preserve">found that the subject matter was not relevant to their needs. </w:t>
                  </w:r>
                  <w:r w:rsidR="00243501">
                    <w:rPr>
                      <w:lang w:val="en-US"/>
                    </w:rPr>
                    <w:t xml:space="preserve">These service users found it </w:t>
                  </w:r>
                  <w:r w:rsidR="009B6DCC">
                    <w:rPr>
                      <w:lang w:val="en-US"/>
                    </w:rPr>
                    <w:t xml:space="preserve">difficult to engage </w:t>
                  </w:r>
                  <w:r w:rsidR="008A734C">
                    <w:rPr>
                      <w:lang w:val="en-US"/>
                    </w:rPr>
                    <w:t>i</w:t>
                  </w:r>
                  <w:r w:rsidR="009B6DCC">
                    <w:rPr>
                      <w:lang w:val="en-US"/>
                    </w:rPr>
                    <w:t xml:space="preserve">n classes which did not meet their </w:t>
                  </w:r>
                  <w:r w:rsidR="008A734C">
                    <w:rPr>
                      <w:lang w:val="en-US"/>
                    </w:rPr>
                    <w:t xml:space="preserve">content </w:t>
                  </w:r>
                  <w:r w:rsidR="009B6DCC">
                    <w:rPr>
                      <w:lang w:val="en-US"/>
                    </w:rPr>
                    <w:t>expectations</w:t>
                  </w:r>
                  <w:r w:rsidR="008A734C">
                    <w:rPr>
                      <w:lang w:val="en-US"/>
                    </w:rPr>
                    <w:t xml:space="preserve">. Clearer descriptions of course content may prevent service users from enrolling in courses </w:t>
                  </w:r>
                  <w:r w:rsidR="00ED566E">
                    <w:rPr>
                      <w:lang w:val="en-US"/>
                    </w:rPr>
                    <w:t>which are not relevant to their needs.</w:t>
                  </w:r>
                </w:p>
                <w:p w14:paraId="55E901A0" w14:textId="418D658B" w:rsidR="00124825" w:rsidRDefault="00124825" w:rsidP="00321BC5">
                  <w:pPr>
                    <w:pStyle w:val="Text-BodyHeading"/>
                    <w:spacing w:before="360" w:after="240"/>
                  </w:pPr>
                  <w:r>
                    <w:t>Lack of</w:t>
                  </w:r>
                  <w:r w:rsidR="00BE5E42">
                    <w:t xml:space="preserve"> provider</w:t>
                  </w:r>
                  <w:r>
                    <w:t xml:space="preserve"> </w:t>
                  </w:r>
                  <w:r w:rsidR="00D43629">
                    <w:t xml:space="preserve">therapeutic </w:t>
                  </w:r>
                  <w:r>
                    <w:t xml:space="preserve">knowledge and expertise </w:t>
                  </w:r>
                  <w:r w:rsidR="00E6451D">
                    <w:t>amongst some providers</w:t>
                  </w:r>
                </w:p>
                <w:p w14:paraId="53E65A1F" w14:textId="2B2A0D14" w:rsidR="00AE78B0" w:rsidRDefault="005C6DD8" w:rsidP="00124825">
                  <w:pPr>
                    <w:pStyle w:val="Text"/>
                    <w:rPr>
                      <w:lang w:val="en-US"/>
                    </w:rPr>
                  </w:pPr>
                  <w:r>
                    <w:rPr>
                      <w:lang w:val="en-US"/>
                    </w:rPr>
                    <w:lastRenderedPageBreak/>
                    <w:t xml:space="preserve">For some service users, </w:t>
                  </w:r>
                  <w:r w:rsidR="00D80755">
                    <w:rPr>
                      <w:lang w:val="en-US"/>
                    </w:rPr>
                    <w:t>a</w:t>
                  </w:r>
                  <w:r>
                    <w:rPr>
                      <w:lang w:val="en-US"/>
                    </w:rPr>
                    <w:t xml:space="preserve"> lack of expertise in their service provider was a </w:t>
                  </w:r>
                  <w:r w:rsidR="00E456E1">
                    <w:rPr>
                      <w:lang w:val="en-US"/>
                    </w:rPr>
                    <w:t xml:space="preserve">perceived </w:t>
                  </w:r>
                  <w:r>
                    <w:rPr>
                      <w:lang w:val="en-US"/>
                    </w:rPr>
                    <w:t>barrier to engagement with the service</w:t>
                  </w:r>
                  <w:r w:rsidR="004C0A2F">
                    <w:rPr>
                      <w:lang w:val="en-US"/>
                    </w:rPr>
                    <w:t xml:space="preserve">, </w:t>
                  </w:r>
                  <w:r>
                    <w:rPr>
                      <w:lang w:val="en-US"/>
                    </w:rPr>
                    <w:t>and</w:t>
                  </w:r>
                  <w:r w:rsidR="004C0A2F">
                    <w:rPr>
                      <w:lang w:val="en-US"/>
                    </w:rPr>
                    <w:t xml:space="preserve"> their</w:t>
                  </w:r>
                  <w:r>
                    <w:rPr>
                      <w:lang w:val="en-US"/>
                    </w:rPr>
                    <w:t xml:space="preserve"> growth. Some service </w:t>
                  </w:r>
                  <w:r w:rsidR="004C0A2F">
                    <w:rPr>
                      <w:lang w:val="en-US"/>
                    </w:rPr>
                    <w:t>users</w:t>
                  </w:r>
                  <w:r>
                    <w:rPr>
                      <w:lang w:val="en-US"/>
                    </w:rPr>
                    <w:t xml:space="preserve"> </w:t>
                  </w:r>
                  <w:r w:rsidR="004C0A2F">
                    <w:rPr>
                      <w:lang w:val="en-US"/>
                    </w:rPr>
                    <w:t xml:space="preserve">felt that their service provider did not have the knowledge or skills to </w:t>
                  </w:r>
                  <w:r w:rsidR="00F70A91">
                    <w:rPr>
                      <w:lang w:val="en-US"/>
                    </w:rPr>
                    <w:t>address</w:t>
                  </w:r>
                  <w:r w:rsidR="004C0A2F">
                    <w:rPr>
                      <w:lang w:val="en-US"/>
                    </w:rPr>
                    <w:t xml:space="preserve"> their </w:t>
                  </w:r>
                  <w:r w:rsidR="00F70A91">
                    <w:rPr>
                      <w:lang w:val="en-US"/>
                    </w:rPr>
                    <w:t>presenting</w:t>
                  </w:r>
                  <w:r w:rsidR="004C0A2F">
                    <w:rPr>
                      <w:lang w:val="en-US"/>
                    </w:rPr>
                    <w:t xml:space="preserve"> issues</w:t>
                  </w:r>
                  <w:r w:rsidR="00F70A91">
                    <w:rPr>
                      <w:lang w:val="en-US"/>
                    </w:rPr>
                    <w:t xml:space="preserve">. </w:t>
                  </w:r>
                  <w:r w:rsidR="00504E5A">
                    <w:rPr>
                      <w:lang w:val="en-US"/>
                    </w:rPr>
                    <w:t xml:space="preserve">Service providers who were perceived as lacking the appropriate expertise were unable to </w:t>
                  </w:r>
                  <w:r w:rsidR="009D405E">
                    <w:rPr>
                      <w:lang w:val="en-US"/>
                    </w:rPr>
                    <w:t xml:space="preserve">teach </w:t>
                  </w:r>
                  <w:r w:rsidR="00504E5A">
                    <w:rPr>
                      <w:lang w:val="en-US"/>
                    </w:rPr>
                    <w:t>service users</w:t>
                  </w:r>
                  <w:r w:rsidR="009D405E">
                    <w:rPr>
                      <w:lang w:val="en-US"/>
                    </w:rPr>
                    <w:t xml:space="preserve"> </w:t>
                  </w:r>
                  <w:r w:rsidR="00504E5A">
                    <w:rPr>
                      <w:lang w:val="en-US"/>
                    </w:rPr>
                    <w:t xml:space="preserve">practical </w:t>
                  </w:r>
                  <w:r w:rsidR="009D405E">
                    <w:rPr>
                      <w:lang w:val="en-US"/>
                    </w:rPr>
                    <w:t>s</w:t>
                  </w:r>
                  <w:r w:rsidR="00340EF6">
                    <w:rPr>
                      <w:lang w:val="en-US"/>
                    </w:rPr>
                    <w:t>k</w:t>
                  </w:r>
                  <w:r w:rsidR="009D405E">
                    <w:rPr>
                      <w:lang w:val="en-US"/>
                    </w:rPr>
                    <w:t xml:space="preserve">ills or techniques to support them in their everyday lives. </w:t>
                  </w:r>
                </w:p>
                <w:p w14:paraId="34CDEADC" w14:textId="1A5DEB56" w:rsidR="00F37E14" w:rsidRPr="00052632" w:rsidRDefault="00F37E14" w:rsidP="00F37E14">
                  <w:pPr>
                    <w:pBdr>
                      <w:left w:val="single" w:sz="18" w:space="4" w:color="78B800" w:themeColor="accent1"/>
                    </w:pBdr>
                    <w:tabs>
                      <w:tab w:val="left" w:pos="8080"/>
                    </w:tabs>
                    <w:spacing w:after="0"/>
                    <w:ind w:left="851" w:right="949"/>
                  </w:pPr>
                  <w:r w:rsidRPr="008E1B83">
                    <w:rPr>
                      <w:i/>
                    </w:rPr>
                    <w:t>No real strategy behind her counselling, I don’t know if they do any prep before or after what strategies I can bring, it’s always what we bring to the table. Sometimes I need to think of things beforehand</w:t>
                  </w:r>
                  <w:r w:rsidR="00227136">
                    <w:rPr>
                      <w:i/>
                      <w:iCs/>
                    </w:rPr>
                    <w:t xml:space="preserve"> </w:t>
                  </w:r>
                  <w:r w:rsidRPr="008E1B83">
                    <w:rPr>
                      <w:i/>
                      <w:noProof/>
                    </w:rPr>
                    <w:drawing>
                      <wp:anchor distT="0" distB="0" distL="114300" distR="114300" simplePos="0" relativeHeight="251658311" behindDoc="0" locked="1" layoutInCell="1" allowOverlap="1" wp14:anchorId="5AB7BE1B" wp14:editId="0713F6AE">
                        <wp:simplePos x="0" y="0"/>
                        <wp:positionH relativeFrom="column">
                          <wp:posOffset>0</wp:posOffset>
                        </wp:positionH>
                        <wp:positionV relativeFrom="paragraph">
                          <wp:posOffset>0</wp:posOffset>
                        </wp:positionV>
                        <wp:extent cx="384810" cy="320040"/>
                        <wp:effectExtent l="0" t="0" r="0" b="3810"/>
                        <wp:wrapNone/>
                        <wp:docPr id="755964151" name="Graphic 755964151" descr="P2507#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964151" name="Graphic 755964151" descr="P2507#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A1A2B">
                    <w:rPr>
                      <w:i/>
                    </w:rPr>
                    <w:t>–</w:t>
                  </w:r>
                  <w:r w:rsidRPr="00EC2C55">
                    <w:t xml:space="preserve"> </w:t>
                  </w:r>
                  <w:r w:rsidRPr="00EC2C55">
                    <w:rPr>
                      <w:b/>
                      <w:bCs/>
                      <w:i/>
                      <w:iCs/>
                    </w:rPr>
                    <w:t xml:space="preserve">FaRS service </w:t>
                  </w:r>
                  <w:r>
                    <w:rPr>
                      <w:b/>
                      <w:bCs/>
                      <w:i/>
                      <w:iCs/>
                    </w:rPr>
                    <w:t>user</w:t>
                  </w:r>
                </w:p>
                <w:p w14:paraId="57ABEB06" w14:textId="77777777" w:rsidR="00F37E14" w:rsidRDefault="00F37E14" w:rsidP="00124825">
                  <w:pPr>
                    <w:pStyle w:val="Text"/>
                    <w:rPr>
                      <w:lang w:val="en-US"/>
                    </w:rPr>
                  </w:pPr>
                </w:p>
                <w:p w14:paraId="3560B109" w14:textId="7251E9DA" w:rsidR="005D2B46" w:rsidRDefault="00257BC7" w:rsidP="005D2B46">
                  <w:pPr>
                    <w:pStyle w:val="Text"/>
                  </w:pPr>
                  <w:r>
                    <w:t>S</w:t>
                  </w:r>
                  <w:r w:rsidR="005D2B46">
                    <w:t xml:space="preserve">everal service users </w:t>
                  </w:r>
                  <w:r w:rsidR="00CB67E8">
                    <w:t xml:space="preserve">reported that </w:t>
                  </w:r>
                  <w:r w:rsidR="005D2B46">
                    <w:t>their provider</w:t>
                  </w:r>
                  <w:r w:rsidR="0021467A">
                    <w:t xml:space="preserve"> had a gap in expertise or therapeutic skills </w:t>
                  </w:r>
                  <w:r w:rsidR="00CB67E8">
                    <w:t>which impacted the service user’s experience</w:t>
                  </w:r>
                  <w:r w:rsidR="0021467A">
                    <w:t xml:space="preserve">. Understanding </w:t>
                  </w:r>
                  <w:r w:rsidR="005E22D5">
                    <w:t>n</w:t>
                  </w:r>
                  <w:r w:rsidR="005D2B46">
                    <w:t xml:space="preserve">eurodiversity in particular was emphasised as </w:t>
                  </w:r>
                  <w:r w:rsidR="005E22D5">
                    <w:t xml:space="preserve">a </w:t>
                  </w:r>
                  <w:r w:rsidR="005D2B46">
                    <w:t xml:space="preserve">gap, although one service user praised their counsellor and service for their approach to autism, reflecting that capacities and capabilities between services </w:t>
                  </w:r>
                  <w:r w:rsidR="00CB67E8">
                    <w:t>vary</w:t>
                  </w:r>
                  <w:r w:rsidR="005D2B46">
                    <w:t xml:space="preserve">. </w:t>
                  </w:r>
                </w:p>
                <w:p w14:paraId="59747432" w14:textId="4947B760" w:rsidR="005D2B46" w:rsidRPr="00336D16" w:rsidRDefault="005D2B46" w:rsidP="005D2B46">
                  <w:pPr>
                    <w:pBdr>
                      <w:left w:val="single" w:sz="18" w:space="4" w:color="78B800" w:themeColor="accent1"/>
                    </w:pBdr>
                    <w:tabs>
                      <w:tab w:val="left" w:pos="8080"/>
                    </w:tabs>
                    <w:spacing w:after="0"/>
                    <w:ind w:left="851" w:right="949"/>
                    <w:rPr>
                      <w:b/>
                      <w:bCs/>
                      <w:i/>
                      <w:iCs/>
                    </w:rPr>
                  </w:pPr>
                  <w:r w:rsidRPr="008E1B83">
                    <w:rPr>
                      <w:i/>
                      <w:noProof/>
                    </w:rPr>
                    <w:drawing>
                      <wp:anchor distT="0" distB="0" distL="114300" distR="114300" simplePos="0" relativeHeight="251658312" behindDoc="0" locked="1" layoutInCell="1" allowOverlap="1" wp14:anchorId="73CF90CD" wp14:editId="0E825A55">
                        <wp:simplePos x="0" y="0"/>
                        <wp:positionH relativeFrom="column">
                          <wp:posOffset>0</wp:posOffset>
                        </wp:positionH>
                        <wp:positionV relativeFrom="paragraph">
                          <wp:posOffset>0</wp:posOffset>
                        </wp:positionV>
                        <wp:extent cx="384810" cy="320040"/>
                        <wp:effectExtent l="0" t="0" r="0" b="3810"/>
                        <wp:wrapNone/>
                        <wp:docPr id="1460516025" name="Graphic 1460516025" descr="P2510#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0516025" name="Graphic 1460516025" descr="P2510#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24027">
                    <w:rPr>
                      <w:i/>
                    </w:rPr>
                    <w:t xml:space="preserve">The first thing I said in that session was to be honest I don’t feel like this is going to help. It was mainly referring to her approach. I said to her I hope it does, but I don’t know. We talked she’s very professional and very calm and she aims at looking at the good things, at the bright side but because she doesn’t understand the ASD </w:t>
                  </w:r>
                  <w:r w:rsidR="00F33E75">
                    <w:rPr>
                      <w:i/>
                    </w:rPr>
                    <w:t xml:space="preserve">[autism spectrum disorder] </w:t>
                  </w:r>
                  <w:r w:rsidRPr="00F24027">
                    <w:rPr>
                      <w:i/>
                    </w:rPr>
                    <w:t>approach there are certain things that when you do it the normal way it doesn’t work for people with ASD. It leaves them with a feeling that this doesn’t help because it’s not applicable to how their brain works</w:t>
                  </w:r>
                  <w:r w:rsidR="0059791A">
                    <w:rPr>
                      <w:i/>
                    </w:rPr>
                    <w:t xml:space="preserve"> [</w:t>
                  </w:r>
                  <w:r w:rsidR="00B72CB4" w:rsidRPr="00F24027">
                    <w:rPr>
                      <w:i/>
                    </w:rPr>
                    <w:t>…</w:t>
                  </w:r>
                  <w:r w:rsidR="0059791A">
                    <w:rPr>
                      <w:i/>
                    </w:rPr>
                    <w:t>]</w:t>
                  </w:r>
                  <w:r w:rsidRPr="00F24027">
                    <w:rPr>
                      <w:i/>
                    </w:rPr>
                    <w:t xml:space="preserve"> We came out of there a bit dazed. A bit meh</w:t>
                  </w:r>
                  <w:r>
                    <w:rPr>
                      <w:i/>
                      <w:iCs/>
                    </w:rPr>
                    <w:t xml:space="preserve"> </w:t>
                  </w:r>
                  <w:r w:rsidRPr="00844095">
                    <w:rPr>
                      <w:b/>
                      <w:bCs/>
                      <w:i/>
                      <w:iCs/>
                    </w:rPr>
                    <w:t xml:space="preserve">– </w:t>
                  </w:r>
                  <w:r>
                    <w:rPr>
                      <w:b/>
                      <w:bCs/>
                      <w:i/>
                      <w:iCs/>
                    </w:rPr>
                    <w:t>FaRS</w:t>
                  </w:r>
                  <w:r w:rsidRPr="00090EAC">
                    <w:rPr>
                      <w:b/>
                      <w:bCs/>
                      <w:i/>
                      <w:iCs/>
                    </w:rPr>
                    <w:t xml:space="preserve"> </w:t>
                  </w:r>
                  <w:r>
                    <w:rPr>
                      <w:b/>
                      <w:bCs/>
                      <w:i/>
                      <w:iCs/>
                    </w:rPr>
                    <w:t xml:space="preserve">service user </w:t>
                  </w:r>
                </w:p>
                <w:p w14:paraId="634F4AAE" w14:textId="77777777" w:rsidR="005D2B46" w:rsidRDefault="005D2B46" w:rsidP="00124825">
                  <w:pPr>
                    <w:pStyle w:val="Text"/>
                    <w:rPr>
                      <w:lang w:val="en-US"/>
                    </w:rPr>
                  </w:pPr>
                </w:p>
                <w:p w14:paraId="1F91A8CA" w14:textId="1C4FCE9F" w:rsidR="0061376F" w:rsidRDefault="00BE5584" w:rsidP="00124825">
                  <w:pPr>
                    <w:pStyle w:val="Text"/>
                    <w:rPr>
                      <w:lang w:val="en-US"/>
                    </w:rPr>
                  </w:pPr>
                  <w:r>
                    <w:rPr>
                      <w:lang w:val="en-US"/>
                    </w:rPr>
                    <w:t>S</w:t>
                  </w:r>
                  <w:r w:rsidR="00D80755">
                    <w:rPr>
                      <w:lang w:val="en-US"/>
                    </w:rPr>
                    <w:t>ome</w:t>
                  </w:r>
                  <w:r w:rsidR="003B7848">
                    <w:rPr>
                      <w:lang w:val="en-US"/>
                    </w:rPr>
                    <w:t xml:space="preserve"> victim survivors accessing FaRS services</w:t>
                  </w:r>
                  <w:r>
                    <w:rPr>
                      <w:lang w:val="en-US"/>
                    </w:rPr>
                    <w:t xml:space="preserve"> felt that their service provider lack</w:t>
                  </w:r>
                  <w:r w:rsidR="003B5A10">
                    <w:rPr>
                      <w:lang w:val="en-US"/>
                    </w:rPr>
                    <w:t>ed</w:t>
                  </w:r>
                  <w:r>
                    <w:rPr>
                      <w:lang w:val="en-US"/>
                    </w:rPr>
                    <w:t xml:space="preserve"> </w:t>
                  </w:r>
                  <w:r w:rsidR="003B5A10">
                    <w:rPr>
                      <w:lang w:val="en-US"/>
                    </w:rPr>
                    <w:t>the</w:t>
                  </w:r>
                  <w:r>
                    <w:rPr>
                      <w:lang w:val="en-US"/>
                    </w:rPr>
                    <w:t xml:space="preserve"> specialised training or </w:t>
                  </w:r>
                  <w:r w:rsidR="003B5A10">
                    <w:rPr>
                      <w:lang w:val="en-US"/>
                    </w:rPr>
                    <w:t xml:space="preserve">knowledge </w:t>
                  </w:r>
                  <w:r w:rsidR="00DC4A88">
                    <w:rPr>
                      <w:lang w:val="en-US"/>
                    </w:rPr>
                    <w:t>to help them</w:t>
                  </w:r>
                  <w:r w:rsidR="0078596B">
                    <w:rPr>
                      <w:lang w:val="en-US"/>
                    </w:rPr>
                    <w:t xml:space="preserve">. </w:t>
                  </w:r>
                  <w:r w:rsidR="00754E21">
                    <w:rPr>
                      <w:lang w:val="en-US"/>
                    </w:rPr>
                    <w:t>These service users felt that their providers did not ha</w:t>
                  </w:r>
                  <w:r w:rsidR="00546D4B">
                    <w:rPr>
                      <w:lang w:val="en-US"/>
                    </w:rPr>
                    <w:t>v</w:t>
                  </w:r>
                  <w:r w:rsidR="00754E21">
                    <w:rPr>
                      <w:lang w:val="en-US"/>
                    </w:rPr>
                    <w:t xml:space="preserve">e insight into the </w:t>
                  </w:r>
                  <w:r w:rsidR="00546D4B">
                    <w:rPr>
                      <w:lang w:val="en-US"/>
                    </w:rPr>
                    <w:t xml:space="preserve">complexity of </w:t>
                  </w:r>
                  <w:r w:rsidR="00B72CB4">
                    <w:rPr>
                      <w:lang w:val="en-US"/>
                    </w:rPr>
                    <w:t>family</w:t>
                  </w:r>
                  <w:r w:rsidR="00546D4B">
                    <w:rPr>
                      <w:lang w:val="en-US"/>
                    </w:rPr>
                    <w:t xml:space="preserve"> violence </w:t>
                  </w:r>
                  <w:r w:rsidR="00257BC7">
                    <w:rPr>
                      <w:lang w:val="en-US"/>
                    </w:rPr>
                    <w:t xml:space="preserve">and its impact </w:t>
                  </w:r>
                  <w:r w:rsidR="00546D4B">
                    <w:rPr>
                      <w:lang w:val="en-US"/>
                    </w:rPr>
                    <w:t xml:space="preserve">on their </w:t>
                  </w:r>
                  <w:r w:rsidR="00EA2236">
                    <w:rPr>
                      <w:lang w:val="en-US"/>
                    </w:rPr>
                    <w:t xml:space="preserve">wellbeing, or their families. </w:t>
                  </w:r>
                </w:p>
                <w:p w14:paraId="15DFB5D8" w14:textId="1D001441" w:rsidR="00EB4D99" w:rsidRDefault="003B7848" w:rsidP="002B7340">
                  <w:pPr>
                    <w:pBdr>
                      <w:left w:val="single" w:sz="18" w:space="4" w:color="78B800" w:themeColor="accent1"/>
                    </w:pBdr>
                    <w:tabs>
                      <w:tab w:val="left" w:pos="8080"/>
                    </w:tabs>
                    <w:spacing w:after="0"/>
                    <w:ind w:left="851" w:right="949"/>
                  </w:pPr>
                  <w:r w:rsidRPr="008E1B83">
                    <w:rPr>
                      <w:i/>
                    </w:rPr>
                    <w:t xml:space="preserve">Would be great to have parenting programs connected to </w:t>
                  </w:r>
                  <w:r w:rsidR="00794440">
                    <w:rPr>
                      <w:i/>
                    </w:rPr>
                    <w:t>[domestic violence]</w:t>
                  </w:r>
                  <w:r w:rsidR="008C6C8E" w:rsidRPr="008E1B83">
                    <w:rPr>
                      <w:i/>
                    </w:rPr>
                    <w:t>;</w:t>
                  </w:r>
                  <w:r w:rsidRPr="008E1B83">
                    <w:rPr>
                      <w:i/>
                    </w:rPr>
                    <w:t xml:space="preserve"> talking to a family counselling at</w:t>
                  </w:r>
                  <w:r w:rsidR="0078596B" w:rsidRPr="008E1B83">
                    <w:rPr>
                      <w:i/>
                    </w:rPr>
                    <w:t xml:space="preserve"> [service provider]</w:t>
                  </w:r>
                  <w:r w:rsidRPr="008E1B83">
                    <w:rPr>
                      <w:i/>
                    </w:rPr>
                    <w:t>, felt it was missing</w:t>
                  </w:r>
                  <w:r w:rsidR="0059791A">
                    <w:rPr>
                      <w:i/>
                    </w:rPr>
                    <w:t xml:space="preserve"> [</w:t>
                  </w:r>
                  <w:r w:rsidR="0078596B" w:rsidRPr="008E1B83">
                    <w:rPr>
                      <w:i/>
                    </w:rPr>
                    <w:t>…</w:t>
                  </w:r>
                  <w:r w:rsidR="0059791A">
                    <w:rPr>
                      <w:i/>
                    </w:rPr>
                    <w:t>]</w:t>
                  </w:r>
                  <w:r w:rsidR="0078596B" w:rsidRPr="008E1B83">
                    <w:rPr>
                      <w:i/>
                    </w:rPr>
                    <w:t xml:space="preserve"> </w:t>
                  </w:r>
                  <w:r w:rsidRPr="008E1B83">
                    <w:rPr>
                      <w:i/>
                    </w:rPr>
                    <w:t>feel there’s a gap between all the services</w:t>
                  </w:r>
                  <w:r w:rsidRPr="008E1B83">
                    <w:rPr>
                      <w:i/>
                      <w:noProof/>
                    </w:rPr>
                    <w:drawing>
                      <wp:anchor distT="0" distB="0" distL="114300" distR="114300" simplePos="0" relativeHeight="251658313" behindDoc="0" locked="1" layoutInCell="1" allowOverlap="1" wp14:anchorId="0B9A2E73" wp14:editId="031D03A4">
                        <wp:simplePos x="0" y="0"/>
                        <wp:positionH relativeFrom="column">
                          <wp:posOffset>0</wp:posOffset>
                        </wp:positionH>
                        <wp:positionV relativeFrom="paragraph">
                          <wp:posOffset>0</wp:posOffset>
                        </wp:positionV>
                        <wp:extent cx="384810" cy="320040"/>
                        <wp:effectExtent l="0" t="0" r="0" b="3810"/>
                        <wp:wrapNone/>
                        <wp:docPr id="840335394" name="Graphic 840335394" descr="P2513#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335394" name="Graphic 840335394" descr="P2513#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24027">
                    <w:t xml:space="preserve"> </w:t>
                  </w:r>
                  <w:r w:rsidR="00CA1A2B">
                    <w:t>–</w:t>
                  </w:r>
                  <w:r w:rsidRPr="00EC2C55">
                    <w:t xml:space="preserve"> </w:t>
                  </w:r>
                  <w:r w:rsidRPr="00EC2C55">
                    <w:rPr>
                      <w:b/>
                      <w:bCs/>
                      <w:i/>
                      <w:iCs/>
                    </w:rPr>
                    <w:t xml:space="preserve">FaRS service </w:t>
                  </w:r>
                  <w:r>
                    <w:rPr>
                      <w:b/>
                      <w:bCs/>
                      <w:i/>
                      <w:iCs/>
                    </w:rPr>
                    <w:t>user</w:t>
                  </w:r>
                </w:p>
                <w:p w14:paraId="28C689E9" w14:textId="3B49B634" w:rsidR="00391BF6" w:rsidRPr="0083187E" w:rsidRDefault="002E4220" w:rsidP="00321BC5">
                  <w:pPr>
                    <w:pStyle w:val="Text-BodyHeading"/>
                    <w:spacing w:before="360" w:after="240"/>
                  </w:pPr>
                  <w:r>
                    <w:t xml:space="preserve">Finding FaRS </w:t>
                  </w:r>
                  <w:r w:rsidR="00D023B1">
                    <w:t>and</w:t>
                  </w:r>
                  <w:r>
                    <w:t xml:space="preserve"> SFVS funded services </w:t>
                  </w:r>
                </w:p>
                <w:p w14:paraId="734D77AE" w14:textId="74053414" w:rsidR="00FD204D" w:rsidRDefault="00FD204D" w:rsidP="00FD204D">
                  <w:pPr>
                    <w:pStyle w:val="Text"/>
                  </w:pPr>
                  <w:r>
                    <w:t xml:space="preserve">Several service users noted they were previously unaware that FaRS services existed and that they had difficulty knowing where to look for help. It was frequently noted that FaRS services were not well advertised and that community awareness of </w:t>
                  </w:r>
                  <w:r w:rsidR="00BE5584">
                    <w:t>the services was low</w:t>
                  </w:r>
                  <w:r>
                    <w:t xml:space="preserve">. A number of service users recommended the service they accessed to their networks and wished that their services were better advertised to enable more people to access help. </w:t>
                  </w:r>
                  <w:r>
                    <w:rPr>
                      <w:lang w:val="en-US"/>
                    </w:rPr>
                    <w:lastRenderedPageBreak/>
                    <w:t>Sometimes, these service users had already referred their friends and family experiencing similar challenges to their provider.</w:t>
                  </w:r>
                </w:p>
                <w:p w14:paraId="40267547" w14:textId="095BDFB6" w:rsidR="00EB4D99" w:rsidRDefault="00FD204D" w:rsidP="00321BC5">
                  <w:pPr>
                    <w:pBdr>
                      <w:left w:val="single" w:sz="18" w:space="4" w:color="78B800" w:themeColor="accent1"/>
                    </w:pBdr>
                    <w:tabs>
                      <w:tab w:val="left" w:pos="8080"/>
                    </w:tabs>
                    <w:spacing w:after="0"/>
                    <w:ind w:left="851" w:right="949"/>
                  </w:pPr>
                  <w:r>
                    <w:rPr>
                      <w:noProof/>
                    </w:rPr>
                    <w:drawing>
                      <wp:anchor distT="0" distB="0" distL="114300" distR="114300" simplePos="0" relativeHeight="251658314" behindDoc="0" locked="0" layoutInCell="1" allowOverlap="1" wp14:anchorId="3C35BEF7" wp14:editId="1A0831ED">
                        <wp:simplePos x="0" y="0"/>
                        <wp:positionH relativeFrom="column">
                          <wp:posOffset>0</wp:posOffset>
                        </wp:positionH>
                        <wp:positionV relativeFrom="paragraph">
                          <wp:posOffset>0</wp:posOffset>
                        </wp:positionV>
                        <wp:extent cx="384810" cy="320040"/>
                        <wp:effectExtent l="0" t="0" r="0" b="3810"/>
                        <wp:wrapNone/>
                        <wp:docPr id="1760307449" name="Graphic 1760307449" descr="P2516#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0307449" name="Graphic 1760307449" descr="P2516#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E1B83">
                    <w:rPr>
                      <w:i/>
                    </w:rPr>
                    <w:t>Growing more awareness of the program, maybe advertising it a little bit</w:t>
                  </w:r>
                  <w:r>
                    <w:rPr>
                      <w:i/>
                    </w:rPr>
                    <w:t xml:space="preserve"> [</w:t>
                  </w:r>
                  <w:r w:rsidRPr="008E1B83">
                    <w:rPr>
                      <w:i/>
                    </w:rPr>
                    <w:t>…</w:t>
                  </w:r>
                  <w:r>
                    <w:rPr>
                      <w:i/>
                    </w:rPr>
                    <w:t>]</w:t>
                  </w:r>
                  <w:r w:rsidRPr="008E1B83">
                    <w:rPr>
                      <w:i/>
                    </w:rPr>
                    <w:t xml:space="preserve"> [I] feel like people have to get to crisis point or near crisis point to find this, whether it be from a childcare point of view, antenatal care, [it was] a lot of me searching for this information</w:t>
                  </w:r>
                  <w:r>
                    <w:rPr>
                      <w:i/>
                    </w:rPr>
                    <w:t xml:space="preserve"> [</w:t>
                  </w:r>
                  <w:r w:rsidRPr="008E1B83">
                    <w:rPr>
                      <w:i/>
                    </w:rPr>
                    <w:t>…</w:t>
                  </w:r>
                  <w:r>
                    <w:rPr>
                      <w:i/>
                    </w:rPr>
                    <w:t>]</w:t>
                  </w:r>
                  <w:r w:rsidRPr="008E1B83">
                    <w:rPr>
                      <w:i/>
                    </w:rPr>
                    <w:t xml:space="preserve"> feel like it’s not widely accessible</w:t>
                  </w:r>
                  <w:r w:rsidRPr="00FB6461">
                    <w:t xml:space="preserve"> </w:t>
                  </w:r>
                  <w:r>
                    <w:rPr>
                      <w:i/>
                    </w:rPr>
                    <w:t>–</w:t>
                  </w:r>
                  <w:r>
                    <w:t xml:space="preserve"> </w:t>
                  </w:r>
                  <w:r>
                    <w:rPr>
                      <w:b/>
                      <w:bCs/>
                      <w:i/>
                      <w:iCs/>
                    </w:rPr>
                    <w:t>FaRS s</w:t>
                  </w:r>
                  <w:r w:rsidRPr="002E7992">
                    <w:rPr>
                      <w:b/>
                      <w:bCs/>
                      <w:i/>
                      <w:iCs/>
                    </w:rPr>
                    <w:t xml:space="preserve">ervice </w:t>
                  </w:r>
                  <w:r>
                    <w:rPr>
                      <w:b/>
                      <w:bCs/>
                      <w:i/>
                      <w:iCs/>
                    </w:rPr>
                    <w:t>user</w:t>
                  </w:r>
                </w:p>
                <w:p w14:paraId="45664EFD" w14:textId="77777777" w:rsidR="004C4B81" w:rsidRDefault="004C4B81">
                  <w:pPr>
                    <w:rPr>
                      <w:b/>
                      <w:bCs/>
                      <w:color w:val="36424A" w:themeColor="background2"/>
                      <w:spacing w:val="2"/>
                      <w:lang w:val="en-GB"/>
                    </w:rPr>
                  </w:pPr>
                  <w:r>
                    <w:br w:type="page"/>
                  </w:r>
                </w:p>
                <w:p w14:paraId="720F901C" w14:textId="1C1DD94F" w:rsidR="006945D9" w:rsidRDefault="006945D9" w:rsidP="00321BC5">
                  <w:pPr>
                    <w:pStyle w:val="Text-BodyHeading"/>
                    <w:spacing w:before="360" w:after="240"/>
                  </w:pPr>
                  <w:r>
                    <w:lastRenderedPageBreak/>
                    <w:t>Wait times amongst some providers</w:t>
                  </w:r>
                </w:p>
                <w:p w14:paraId="48ADF41B" w14:textId="1B3121C5" w:rsidR="0032390E" w:rsidRDefault="00FA4E86" w:rsidP="006945D9">
                  <w:pPr>
                    <w:pStyle w:val="Text"/>
                    <w:rPr>
                      <w:lang w:val="en-US"/>
                    </w:rPr>
                  </w:pPr>
                  <w:r>
                    <w:rPr>
                      <w:lang w:val="en-US"/>
                    </w:rPr>
                    <w:t>M</w:t>
                  </w:r>
                  <w:r w:rsidR="006945D9">
                    <w:rPr>
                      <w:lang w:val="en-US"/>
                    </w:rPr>
                    <w:t xml:space="preserve">any service users interviewed </w:t>
                  </w:r>
                  <w:r w:rsidR="00EE566D">
                    <w:rPr>
                      <w:lang w:val="en-US"/>
                    </w:rPr>
                    <w:t>described</w:t>
                  </w:r>
                  <w:r w:rsidR="006945D9">
                    <w:rPr>
                      <w:lang w:val="en-US"/>
                    </w:rPr>
                    <w:t xml:space="preserve"> long wait times as a </w:t>
                  </w:r>
                  <w:r w:rsidR="00EE566D">
                    <w:rPr>
                      <w:lang w:val="en-US"/>
                    </w:rPr>
                    <w:t xml:space="preserve">barrier </w:t>
                  </w:r>
                  <w:r w:rsidR="006945D9">
                    <w:rPr>
                      <w:lang w:val="en-US"/>
                    </w:rPr>
                    <w:t xml:space="preserve">to accessing services. </w:t>
                  </w:r>
                  <w:r w:rsidR="00B81E9D" w:rsidDel="00B81E9D">
                    <w:rPr>
                      <w:lang w:val="en-US"/>
                    </w:rPr>
                    <w:t>For courses or groups, awaiting the next available intake was reported by some service users as being a lengthy process, with some courses having a waitlist of over 6 months</w:t>
                  </w:r>
                  <w:r w:rsidR="000C0733">
                    <w:rPr>
                      <w:lang w:val="en-US"/>
                    </w:rPr>
                    <w:t xml:space="preserve">. </w:t>
                  </w:r>
                  <w:r w:rsidR="003F6F58">
                    <w:rPr>
                      <w:lang w:val="en-US"/>
                    </w:rPr>
                    <w:t>Some service users reported</w:t>
                  </w:r>
                  <w:r w:rsidR="006945D9">
                    <w:rPr>
                      <w:lang w:val="en-US"/>
                    </w:rPr>
                    <w:t xml:space="preserve"> </w:t>
                  </w:r>
                  <w:r w:rsidR="0032390E">
                    <w:rPr>
                      <w:lang w:val="en-US"/>
                    </w:rPr>
                    <w:t>that they waited several months for their</w:t>
                  </w:r>
                  <w:r w:rsidR="006945D9">
                    <w:rPr>
                      <w:lang w:val="en-US"/>
                    </w:rPr>
                    <w:t xml:space="preserve"> first </w:t>
                  </w:r>
                  <w:r w:rsidR="00B81E9D">
                    <w:rPr>
                      <w:lang w:val="en-US"/>
                    </w:rPr>
                    <w:t xml:space="preserve">counselling </w:t>
                  </w:r>
                  <w:r w:rsidR="006945D9">
                    <w:rPr>
                      <w:lang w:val="en-US"/>
                    </w:rPr>
                    <w:t xml:space="preserve">appointment/session, </w:t>
                  </w:r>
                  <w:r w:rsidR="0032390E">
                    <w:rPr>
                      <w:lang w:val="en-US"/>
                    </w:rPr>
                    <w:t xml:space="preserve">while others expressed concern about the </w:t>
                  </w:r>
                  <w:r w:rsidR="006945D9">
                    <w:rPr>
                      <w:lang w:val="en-US"/>
                    </w:rPr>
                    <w:t xml:space="preserve">long interval between appointments due to </w:t>
                  </w:r>
                  <w:r w:rsidR="0010550A">
                    <w:rPr>
                      <w:lang w:val="en-US"/>
                    </w:rPr>
                    <w:t>provider’s</w:t>
                  </w:r>
                  <w:r w:rsidR="006945D9">
                    <w:rPr>
                      <w:lang w:val="en-US"/>
                    </w:rPr>
                    <w:t xml:space="preserve"> workforce and capacity. </w:t>
                  </w:r>
                  <w:r w:rsidR="002A5F3D">
                    <w:rPr>
                      <w:lang w:val="en-US"/>
                    </w:rPr>
                    <w:t>L</w:t>
                  </w:r>
                  <w:r w:rsidR="00185851">
                    <w:rPr>
                      <w:lang w:val="en-US"/>
                    </w:rPr>
                    <w:t>i</w:t>
                  </w:r>
                  <w:r w:rsidR="002A5F3D">
                    <w:rPr>
                      <w:lang w:val="en-US"/>
                    </w:rPr>
                    <w:t>mited counsellor capacity sometimes resulted in service users accessing a counsellor wh</w:t>
                  </w:r>
                  <w:r w:rsidR="00185851">
                    <w:rPr>
                      <w:lang w:val="en-US"/>
                    </w:rPr>
                    <w:t>o</w:t>
                  </w:r>
                  <w:r w:rsidR="002A5F3D">
                    <w:rPr>
                      <w:lang w:val="en-US"/>
                    </w:rPr>
                    <w:t xml:space="preserve"> did not meet their preferences, including for example their gender and specific expertise</w:t>
                  </w:r>
                  <w:r w:rsidR="002A5F3D" w:rsidDel="002A5F3D">
                    <w:rPr>
                      <w:lang w:val="en-US"/>
                    </w:rPr>
                    <w:t xml:space="preserve"> of counsellors</w:t>
                  </w:r>
                  <w:r w:rsidR="002A5F3D">
                    <w:rPr>
                      <w:lang w:val="en-US"/>
                    </w:rPr>
                    <w:t>. Some service users</w:t>
                  </w:r>
                  <w:r w:rsidR="002A5F3D" w:rsidDel="002A5F3D">
                    <w:rPr>
                      <w:lang w:val="en-US"/>
                    </w:rPr>
                    <w:t>,</w:t>
                  </w:r>
                  <w:r w:rsidR="002A5F3D">
                    <w:rPr>
                      <w:lang w:val="en-US"/>
                    </w:rPr>
                    <w:t xml:space="preserve"> </w:t>
                  </w:r>
                  <w:r w:rsidR="002A5F3D" w:rsidDel="002A5F3D">
                    <w:rPr>
                      <w:lang w:val="en-US"/>
                    </w:rPr>
                    <w:t xml:space="preserve">who had considerable waiting times for initial appointments, </w:t>
                  </w:r>
                  <w:r w:rsidR="002A5F3D">
                    <w:rPr>
                      <w:lang w:val="en-US"/>
                    </w:rPr>
                    <w:t>were not referred to other appropriate services during this waiting period, leaving individuals without support, potentially exacerbating their issues.</w:t>
                  </w:r>
                </w:p>
                <w:p w14:paraId="13D10038" w14:textId="77777777" w:rsidR="006945D9" w:rsidRPr="00052632" w:rsidRDefault="006945D9" w:rsidP="006945D9">
                  <w:pPr>
                    <w:pBdr>
                      <w:left w:val="single" w:sz="18" w:space="4" w:color="78B800" w:themeColor="accent1"/>
                    </w:pBdr>
                    <w:tabs>
                      <w:tab w:val="left" w:pos="8080"/>
                    </w:tabs>
                    <w:spacing w:after="0"/>
                    <w:ind w:left="851" w:right="949"/>
                  </w:pPr>
                  <w:r w:rsidRPr="00B45C70">
                    <w:rPr>
                      <w:i/>
                    </w:rPr>
                    <w:t xml:space="preserve">When someone finds the courage to reach out to [service provider] for support in an abusive relationship, especially while still living with their abuser, they need help immediately, not in months. The current waiting lists are far too long for situations that are ongoing and often escalating. Abuse doesn’t pause just because someone is on a waiting list. This isn’t just about discomfort, it’s about emotional safety, mental health, and sometimes even physical survival. Time is critical. Support should be offered within </w:t>
                  </w:r>
                  <w:r>
                    <w:rPr>
                      <w:i/>
                    </w:rPr>
                    <w:t>two to three</w:t>
                  </w:r>
                  <w:r w:rsidRPr="00B45C70">
                    <w:rPr>
                      <w:i/>
                    </w:rPr>
                    <w:t xml:space="preserve"> weeks at most. For someone living in fear or confusion, each day without help can feel like an eternity</w:t>
                  </w:r>
                  <w:r w:rsidRPr="00EC2C55">
                    <w:rPr>
                      <w:noProof/>
                    </w:rPr>
                    <w:drawing>
                      <wp:anchor distT="0" distB="0" distL="114300" distR="114300" simplePos="0" relativeHeight="251658315" behindDoc="0" locked="1" layoutInCell="1" allowOverlap="1" wp14:anchorId="0BE3EF44" wp14:editId="329C4C5F">
                        <wp:simplePos x="0" y="0"/>
                        <wp:positionH relativeFrom="column">
                          <wp:posOffset>0</wp:posOffset>
                        </wp:positionH>
                        <wp:positionV relativeFrom="paragraph">
                          <wp:posOffset>0</wp:posOffset>
                        </wp:positionV>
                        <wp:extent cx="384810" cy="320040"/>
                        <wp:effectExtent l="0" t="0" r="0" b="3810"/>
                        <wp:wrapNone/>
                        <wp:docPr id="306283328" name="Graphic 306283328" descr="P2520#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283328" name="Graphic 306283328" descr="P2520#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 </w:t>
                  </w:r>
                  <w:r>
                    <w:rPr>
                      <w:i/>
                    </w:rPr>
                    <w:t>–</w:t>
                  </w:r>
                  <w:r w:rsidRPr="00EC2C55">
                    <w:t xml:space="preserve"> </w:t>
                  </w:r>
                  <w:r w:rsidRPr="00EC2C55">
                    <w:rPr>
                      <w:b/>
                      <w:bCs/>
                      <w:i/>
                      <w:iCs/>
                    </w:rPr>
                    <w:t xml:space="preserve">FaRS service </w:t>
                  </w:r>
                  <w:r>
                    <w:rPr>
                      <w:b/>
                      <w:bCs/>
                      <w:i/>
                      <w:iCs/>
                    </w:rPr>
                    <w:t>user</w:t>
                  </w:r>
                </w:p>
                <w:p w14:paraId="54021C50" w14:textId="77777777" w:rsidR="006945D9" w:rsidRDefault="006945D9" w:rsidP="006945D9">
                  <w:pPr>
                    <w:pStyle w:val="Text"/>
                    <w:rPr>
                      <w:lang w:val="en-US"/>
                    </w:rPr>
                  </w:pPr>
                </w:p>
                <w:p w14:paraId="70051D33" w14:textId="77777777" w:rsidR="006945D9" w:rsidRPr="00052632" w:rsidRDefault="006945D9" w:rsidP="006945D9">
                  <w:pPr>
                    <w:pBdr>
                      <w:left w:val="single" w:sz="18" w:space="4" w:color="78B800" w:themeColor="accent1"/>
                    </w:pBdr>
                    <w:tabs>
                      <w:tab w:val="left" w:pos="8080"/>
                    </w:tabs>
                    <w:spacing w:after="0"/>
                    <w:ind w:left="851" w:right="949"/>
                  </w:pPr>
                  <w:r w:rsidRPr="00B45C70">
                    <w:rPr>
                      <w:i/>
                    </w:rPr>
                    <w:t xml:space="preserve">Well, I asked for help about </w:t>
                  </w:r>
                  <w:r>
                    <w:rPr>
                      <w:i/>
                    </w:rPr>
                    <w:t>six</w:t>
                  </w:r>
                  <w:r w:rsidRPr="00B45C70">
                    <w:rPr>
                      <w:i/>
                    </w:rPr>
                    <w:t xml:space="preserve"> months ago. Yeah, and it took about 3 months to</w:t>
                  </w:r>
                  <w:r>
                    <w:rPr>
                      <w:i/>
                    </w:rPr>
                    <w:t xml:space="preserve"> […]</w:t>
                  </w:r>
                  <w:r w:rsidRPr="00B45C70">
                    <w:rPr>
                      <w:i/>
                    </w:rPr>
                    <w:t xml:space="preserve"> get to talk to somebody</w:t>
                  </w:r>
                  <w:r>
                    <w:rPr>
                      <w:i/>
                    </w:rPr>
                    <w:t xml:space="preserve"> […]</w:t>
                  </w:r>
                  <w:r w:rsidRPr="00B45C70">
                    <w:rPr>
                      <w:i/>
                    </w:rPr>
                    <w:t xml:space="preserve"> biggest problem was that there weren’t people there I could talk to during the wait</w:t>
                  </w:r>
                  <w:r w:rsidRPr="00EC2C55">
                    <w:rPr>
                      <w:noProof/>
                    </w:rPr>
                    <w:drawing>
                      <wp:anchor distT="0" distB="0" distL="114300" distR="114300" simplePos="0" relativeHeight="251658316" behindDoc="0" locked="1" layoutInCell="1" allowOverlap="1" wp14:anchorId="4586BE51" wp14:editId="4E22D734">
                        <wp:simplePos x="0" y="0"/>
                        <wp:positionH relativeFrom="column">
                          <wp:posOffset>0</wp:posOffset>
                        </wp:positionH>
                        <wp:positionV relativeFrom="paragraph">
                          <wp:posOffset>0</wp:posOffset>
                        </wp:positionV>
                        <wp:extent cx="384810" cy="320040"/>
                        <wp:effectExtent l="0" t="0" r="0" b="3810"/>
                        <wp:wrapNone/>
                        <wp:docPr id="1823620021" name="Graphic 1823620021" descr="P2522#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620021" name="Graphic 1823620021" descr="P2522#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 </w:t>
                  </w:r>
                  <w:r>
                    <w:rPr>
                      <w:i/>
                    </w:rPr>
                    <w:t>–</w:t>
                  </w:r>
                  <w:r w:rsidRPr="00EC2C55">
                    <w:t xml:space="preserve"> </w:t>
                  </w:r>
                  <w:r w:rsidRPr="00EC2C55">
                    <w:rPr>
                      <w:b/>
                      <w:bCs/>
                      <w:i/>
                      <w:iCs/>
                    </w:rPr>
                    <w:t xml:space="preserve">FaRS service </w:t>
                  </w:r>
                  <w:r>
                    <w:rPr>
                      <w:b/>
                      <w:bCs/>
                      <w:i/>
                      <w:iCs/>
                    </w:rPr>
                    <w:t>user</w:t>
                  </w:r>
                </w:p>
                <w:p w14:paraId="0F3E1C33" w14:textId="77777777" w:rsidR="006945D9" w:rsidRDefault="006945D9" w:rsidP="006945D9">
                  <w:pPr>
                    <w:pStyle w:val="Text"/>
                    <w:rPr>
                      <w:lang w:val="en-US"/>
                    </w:rPr>
                  </w:pPr>
                </w:p>
                <w:p w14:paraId="5CCC8EF1" w14:textId="77777777" w:rsidR="009D2A77" w:rsidRDefault="006945D9" w:rsidP="009D2A77">
                  <w:pPr>
                    <w:pBdr>
                      <w:left w:val="single" w:sz="18" w:space="4" w:color="78B800" w:themeColor="accent1"/>
                    </w:pBdr>
                    <w:tabs>
                      <w:tab w:val="left" w:pos="8080"/>
                    </w:tabs>
                    <w:spacing w:after="0"/>
                    <w:ind w:left="851" w:right="949"/>
                    <w:rPr>
                      <w:i/>
                    </w:rPr>
                  </w:pPr>
                  <w:r w:rsidRPr="00B45C70">
                    <w:rPr>
                      <w:i/>
                    </w:rPr>
                    <w:t>I feel like I’ve always had to wait a long time for appointments, I guess it's always felt like a long time when you're in that position where it's like I need help now</w:t>
                  </w:r>
                  <w:r w:rsidRPr="00EC2C55">
                    <w:rPr>
                      <w:noProof/>
                    </w:rPr>
                    <w:drawing>
                      <wp:anchor distT="0" distB="0" distL="114300" distR="114300" simplePos="0" relativeHeight="251658317" behindDoc="0" locked="1" layoutInCell="1" allowOverlap="1" wp14:anchorId="7A3D6B38" wp14:editId="7D35D92E">
                        <wp:simplePos x="0" y="0"/>
                        <wp:positionH relativeFrom="column">
                          <wp:posOffset>0</wp:posOffset>
                        </wp:positionH>
                        <wp:positionV relativeFrom="paragraph">
                          <wp:posOffset>0</wp:posOffset>
                        </wp:positionV>
                        <wp:extent cx="384810" cy="320040"/>
                        <wp:effectExtent l="0" t="0" r="0" b="3810"/>
                        <wp:wrapNone/>
                        <wp:docPr id="608588658" name="Graphic 608588658" descr="P2524#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588658" name="Graphic 608588658" descr="P2524#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 </w:t>
                  </w:r>
                  <w:r>
                    <w:rPr>
                      <w:i/>
                    </w:rPr>
                    <w:t>–</w:t>
                  </w:r>
                  <w:r w:rsidRPr="00EC2C55">
                    <w:t xml:space="preserve"> </w:t>
                  </w:r>
                  <w:r w:rsidRPr="00EC2C55">
                    <w:rPr>
                      <w:b/>
                      <w:bCs/>
                      <w:i/>
                      <w:iCs/>
                    </w:rPr>
                    <w:t xml:space="preserve">FaRS service </w:t>
                  </w:r>
                  <w:r>
                    <w:rPr>
                      <w:b/>
                      <w:bCs/>
                      <w:i/>
                      <w:iCs/>
                    </w:rPr>
                    <w:t>user</w:t>
                  </w:r>
                </w:p>
                <w:p w14:paraId="236D241C" w14:textId="2D0F15D2" w:rsidR="009D2A77" w:rsidRDefault="009D2A77" w:rsidP="009D2A77">
                  <w:pPr>
                    <w:tabs>
                      <w:tab w:val="left" w:pos="1574"/>
                    </w:tabs>
                  </w:pPr>
                  <w:r>
                    <w:tab/>
                  </w:r>
                </w:p>
                <w:p w14:paraId="3D2BA519" w14:textId="64D0AD53" w:rsidR="007D4EDE" w:rsidRDefault="00FE32DF" w:rsidP="00321BC5">
                  <w:pPr>
                    <w:pStyle w:val="Text"/>
                    <w:rPr>
                      <w:lang w:val="en-US"/>
                    </w:rPr>
                  </w:pPr>
                  <w:r>
                    <w:rPr>
                      <w:lang w:val="en-US"/>
                    </w:rPr>
                    <w:t xml:space="preserve">These concerns were not, however, reflected in survey data. </w:t>
                  </w:r>
                  <w:r w:rsidR="008D637A">
                    <w:rPr>
                      <w:lang w:val="en-US"/>
                    </w:rPr>
                    <w:t>In</w:t>
                  </w:r>
                  <w:r w:rsidR="00981ACB" w:rsidRPr="000428B7">
                    <w:rPr>
                      <w:lang w:val="en-US"/>
                    </w:rPr>
                    <w:t xml:space="preserve"> contrast to reports during interviews, 74.2% (n=144) of service user survey respondents agreed or strongly agreed they were able to get appointments on days and times convenient to their families </w:t>
                  </w:r>
                  <w:r w:rsidR="00981ACB">
                    <w:rPr>
                      <w:lang w:val="en-US"/>
                    </w:rPr>
                    <w:t xml:space="preserve">(see </w:t>
                  </w:r>
                  <w:r w:rsidR="00981ACB" w:rsidRPr="00981ACB">
                    <w:rPr>
                      <w:bCs/>
                      <w:lang w:val="en-US"/>
                    </w:rPr>
                    <w:fldChar w:fldCharType="begin" w:fldLock="1"/>
                  </w:r>
                  <w:r w:rsidR="00981ACB" w:rsidRPr="00981ACB">
                    <w:rPr>
                      <w:bCs/>
                      <w:lang w:val="en-US"/>
                    </w:rPr>
                    <w:instrText xml:space="preserve"> REF _Ref208337799 \h </w:instrText>
                  </w:r>
                  <w:r w:rsidR="00981ACB">
                    <w:rPr>
                      <w:bCs/>
                      <w:lang w:val="en-US"/>
                    </w:rPr>
                    <w:instrText xml:space="preserve"> \* MERGEFORMAT </w:instrText>
                  </w:r>
                  <w:r w:rsidR="00981ACB" w:rsidRPr="00981ACB">
                    <w:rPr>
                      <w:bCs/>
                      <w:lang w:val="en-US"/>
                    </w:rPr>
                  </w:r>
                  <w:r w:rsidR="00981ACB" w:rsidRPr="00981ACB">
                    <w:rPr>
                      <w:bCs/>
                      <w:lang w:val="en-US"/>
                    </w:rPr>
                    <w:fldChar w:fldCharType="separate"/>
                  </w:r>
                  <w:r w:rsidR="008F22E5" w:rsidRPr="008F22E5">
                    <w:rPr>
                      <w:rStyle w:val="Text-Bold"/>
                      <w:szCs w:val="22"/>
                    </w:rPr>
                    <w:t xml:space="preserve">Figure </w:t>
                  </w:r>
                  <w:r w:rsidR="008F22E5" w:rsidRPr="008F22E5">
                    <w:rPr>
                      <w:b/>
                      <w:bCs/>
                    </w:rPr>
                    <w:t>27</w:t>
                  </w:r>
                  <w:r w:rsidR="00981ACB" w:rsidRPr="00981ACB">
                    <w:rPr>
                      <w:bCs/>
                      <w:lang w:val="en-US"/>
                    </w:rPr>
                    <w:fldChar w:fldCharType="end"/>
                  </w:r>
                  <w:r w:rsidR="00981ACB">
                    <w:rPr>
                      <w:b/>
                      <w:lang w:val="en-US"/>
                    </w:rPr>
                    <w:t xml:space="preserve"> </w:t>
                  </w:r>
                  <w:r w:rsidR="00981ACB" w:rsidRPr="002A1F15">
                    <w:rPr>
                      <w:bCs/>
                      <w:lang w:val="en-US"/>
                    </w:rPr>
                    <w:t>below</w:t>
                  </w:r>
                  <w:r w:rsidR="00981ACB">
                    <w:rPr>
                      <w:lang w:val="en-US"/>
                    </w:rPr>
                    <w:t xml:space="preserve">) </w:t>
                  </w:r>
                  <w:r w:rsidR="00981ACB" w:rsidRPr="000428B7">
                    <w:rPr>
                      <w:lang w:val="en-US"/>
                    </w:rPr>
                    <w:t xml:space="preserve">and 59.3% (n=115) indicated they did not have to wait too long to </w:t>
                  </w:r>
                  <w:r w:rsidR="00981ACB" w:rsidRPr="00EC7B30">
                    <w:rPr>
                      <w:lang w:val="en-US"/>
                    </w:rPr>
                    <w:t>get an appointment</w:t>
                  </w:r>
                  <w:r w:rsidR="00981ACB">
                    <w:rPr>
                      <w:lang w:val="en-US"/>
                    </w:rPr>
                    <w:t xml:space="preserve"> (see </w:t>
                  </w:r>
                  <w:r w:rsidR="00981ACB" w:rsidRPr="00981ACB">
                    <w:rPr>
                      <w:bCs/>
                      <w:lang w:val="en-US"/>
                    </w:rPr>
                    <w:fldChar w:fldCharType="begin" w:fldLock="1"/>
                  </w:r>
                  <w:r w:rsidR="00981ACB" w:rsidRPr="00981ACB">
                    <w:rPr>
                      <w:bCs/>
                      <w:lang w:val="en-US"/>
                    </w:rPr>
                    <w:instrText xml:space="preserve"> REF _Ref208337811 \h  \* MERGEFORMAT </w:instrText>
                  </w:r>
                  <w:r w:rsidR="00981ACB" w:rsidRPr="00981ACB">
                    <w:rPr>
                      <w:bCs/>
                      <w:lang w:val="en-US"/>
                    </w:rPr>
                  </w:r>
                  <w:r w:rsidR="00981ACB" w:rsidRPr="00981ACB">
                    <w:rPr>
                      <w:bCs/>
                      <w:lang w:val="en-US"/>
                    </w:rPr>
                    <w:fldChar w:fldCharType="separate"/>
                  </w:r>
                  <w:r w:rsidR="008F22E5" w:rsidRPr="008F22E5">
                    <w:rPr>
                      <w:rStyle w:val="Text-Bold"/>
                      <w:szCs w:val="22"/>
                    </w:rPr>
                    <w:t xml:space="preserve">Figure </w:t>
                  </w:r>
                  <w:r w:rsidR="008F22E5" w:rsidRPr="008F22E5">
                    <w:rPr>
                      <w:b/>
                      <w:bCs/>
                    </w:rPr>
                    <w:t>28</w:t>
                  </w:r>
                  <w:r w:rsidR="00981ACB" w:rsidRPr="00981ACB">
                    <w:rPr>
                      <w:bCs/>
                      <w:lang w:val="en-US"/>
                    </w:rPr>
                    <w:fldChar w:fldCharType="end"/>
                  </w:r>
                  <w:r w:rsidR="00981ACB">
                    <w:rPr>
                      <w:lang w:val="en-US"/>
                    </w:rPr>
                    <w:t>)</w:t>
                  </w:r>
                  <w:r w:rsidR="00981ACB" w:rsidRPr="00EC7B30">
                    <w:rPr>
                      <w:lang w:val="en-US"/>
                    </w:rPr>
                    <w:t>. Of this total, most respondents who received SFVS exclusively or both FaRS and SFVS agreed or strongly agreed they were able to get appointments on days and times which suited them</w:t>
                  </w:r>
                  <w:r w:rsidR="00981ACB">
                    <w:rPr>
                      <w:lang w:val="en-US"/>
                    </w:rPr>
                    <w:t xml:space="preserve">. </w:t>
                  </w:r>
                </w:p>
                <w:p w14:paraId="1E14182F" w14:textId="4444FE89" w:rsidR="009D2A77" w:rsidRPr="00981ACB" w:rsidRDefault="007D4EDE" w:rsidP="004673E7">
                  <w:pPr>
                    <w:rPr>
                      <w:lang w:val="en-US"/>
                    </w:rPr>
                  </w:pPr>
                  <w:r>
                    <w:rPr>
                      <w:lang w:val="en-US"/>
                    </w:rPr>
                    <w:br w:type="page"/>
                  </w:r>
                </w:p>
                <w:p w14:paraId="21329B80" w14:textId="1903F9DC" w:rsidR="00981ACB" w:rsidRPr="004673E7" w:rsidRDefault="00981ACB" w:rsidP="00253034">
                  <w:pPr>
                    <w:pStyle w:val="TableFigure-Header"/>
                    <w:spacing w:line="276" w:lineRule="auto"/>
                    <w:jc w:val="both"/>
                    <w:rPr>
                      <w:szCs w:val="21"/>
                      <w:lang w:val="en-NZ"/>
                    </w:rPr>
                  </w:pPr>
                  <w:bookmarkStart w:id="429" w:name="_Ref208337799"/>
                  <w:r w:rsidRPr="004673E7">
                    <w:rPr>
                      <w:rStyle w:val="Text-Bold"/>
                      <w:b/>
                      <w:szCs w:val="21"/>
                      <w:lang w:val="en-NZ"/>
                    </w:rPr>
                    <w:lastRenderedPageBreak/>
                    <w:t xml:space="preserve">Figure </w:t>
                  </w:r>
                  <w:r w:rsidR="00C64C3D" w:rsidRPr="004673E7">
                    <w:rPr>
                      <w:rStyle w:val="Text-Bold"/>
                      <w:b/>
                      <w:szCs w:val="21"/>
                      <w:lang w:val="en-NZ"/>
                    </w:rPr>
                    <w:fldChar w:fldCharType="begin"/>
                  </w:r>
                  <w:r w:rsidR="00C64C3D" w:rsidRPr="004673E7">
                    <w:rPr>
                      <w:rStyle w:val="Text-Bold"/>
                      <w:b/>
                      <w:szCs w:val="21"/>
                      <w:lang w:val="en-NZ"/>
                    </w:rPr>
                    <w:instrText xml:space="preserve"> SEQ Figure \* ARABIC </w:instrText>
                  </w:r>
                  <w:r w:rsidR="00C64C3D" w:rsidRPr="004673E7">
                    <w:rPr>
                      <w:rStyle w:val="Text-Bold"/>
                      <w:b/>
                      <w:szCs w:val="21"/>
                      <w:lang w:val="en-NZ"/>
                    </w:rPr>
                    <w:fldChar w:fldCharType="separate"/>
                  </w:r>
                  <w:r w:rsidR="008D2566">
                    <w:rPr>
                      <w:rStyle w:val="Text-Bold"/>
                      <w:b/>
                      <w:noProof/>
                      <w:szCs w:val="21"/>
                      <w:lang w:val="en-NZ"/>
                    </w:rPr>
                    <w:t>27</w:t>
                  </w:r>
                  <w:r w:rsidR="00C64C3D" w:rsidRPr="004673E7">
                    <w:rPr>
                      <w:rStyle w:val="Text-Bold"/>
                      <w:b/>
                      <w:szCs w:val="21"/>
                      <w:lang w:val="en-NZ"/>
                    </w:rPr>
                    <w:fldChar w:fldCharType="end"/>
                  </w:r>
                  <w:bookmarkEnd w:id="429"/>
                  <w:r w:rsidRPr="004673E7">
                    <w:rPr>
                      <w:rStyle w:val="Text-Bold"/>
                      <w:b/>
                      <w:szCs w:val="21"/>
                      <w:lang w:val="en-NZ"/>
                    </w:rPr>
                    <w:t>: I was able to get appointments on days and times which were convenient to me and my family, FaRS and SFVS service user (n=186)</w:t>
                  </w:r>
                </w:p>
                <w:p w14:paraId="06E93E3F" w14:textId="2FFFCE39" w:rsidR="00981ACB" w:rsidRDefault="00981ACB" w:rsidP="00981ACB">
                  <w:pPr>
                    <w:rPr>
                      <w:lang w:val="en-US"/>
                    </w:rPr>
                  </w:pPr>
                  <w:r w:rsidRPr="00276FBA">
                    <w:rPr>
                      <w:noProof/>
                      <w:color w:val="D2D4D7" w:themeColor="accent4" w:themeShade="E6"/>
                      <w:shd w:val="clear" w:color="auto" w:fill="EBECED" w:themeFill="accent4"/>
                    </w:rPr>
                    <w:drawing>
                      <wp:inline distT="0" distB="0" distL="0" distR="0" wp14:anchorId="7DC70044" wp14:editId="3E480AAC">
                        <wp:extent cx="5635256" cy="3147238"/>
                        <wp:effectExtent l="0" t="0" r="3810" b="15240"/>
                        <wp:docPr id="1093014369" name="Chart 1">
                          <a:extLst xmlns:a="http://schemas.openxmlformats.org/drawingml/2006/main">
                            <a:ext uri="{FF2B5EF4-FFF2-40B4-BE49-F238E27FC236}">
                              <a16:creationId xmlns:a16="http://schemas.microsoft.com/office/drawing/2014/main" id="{6F10168B-2F19-70B8-007F-0D0868F28650}"/>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r w:rsidRPr="596BDFB0">
                    <w:rPr>
                      <w:i/>
                      <w:iCs/>
                      <w:sz w:val="20"/>
                    </w:rPr>
                    <w:t>Source: Service user survey data</w:t>
                  </w:r>
                </w:p>
                <w:p w14:paraId="27A5553A" w14:textId="4E2AAE09" w:rsidR="006945D9" w:rsidRPr="004673E7" w:rsidRDefault="006945D9" w:rsidP="00253034">
                  <w:pPr>
                    <w:pStyle w:val="TableFigure-Header"/>
                    <w:spacing w:line="276" w:lineRule="auto"/>
                    <w:jc w:val="both"/>
                    <w:rPr>
                      <w:rStyle w:val="Text-Bold"/>
                      <w:b/>
                      <w:szCs w:val="21"/>
                      <w:lang w:val="en-NZ"/>
                    </w:rPr>
                  </w:pPr>
                  <w:bookmarkStart w:id="430" w:name="_Ref208337811"/>
                  <w:r w:rsidRPr="004673E7">
                    <w:rPr>
                      <w:rStyle w:val="Text-Bold"/>
                      <w:b/>
                      <w:szCs w:val="21"/>
                      <w:lang w:val="en-NZ"/>
                    </w:rPr>
                    <w:t xml:space="preserve">Figure </w:t>
                  </w:r>
                  <w:r w:rsidR="00C64C3D" w:rsidRPr="004673E7">
                    <w:rPr>
                      <w:rStyle w:val="Text-Bold"/>
                      <w:b/>
                      <w:szCs w:val="21"/>
                      <w:lang w:val="en-NZ"/>
                    </w:rPr>
                    <w:fldChar w:fldCharType="begin"/>
                  </w:r>
                  <w:r w:rsidR="00C64C3D" w:rsidRPr="004673E7">
                    <w:rPr>
                      <w:rStyle w:val="Text-Bold"/>
                      <w:b/>
                      <w:szCs w:val="21"/>
                      <w:lang w:val="en-NZ"/>
                    </w:rPr>
                    <w:instrText xml:space="preserve"> SEQ Figure \* ARABIC </w:instrText>
                  </w:r>
                  <w:r w:rsidR="00C64C3D" w:rsidRPr="004673E7">
                    <w:rPr>
                      <w:rStyle w:val="Text-Bold"/>
                      <w:b/>
                      <w:szCs w:val="21"/>
                      <w:lang w:val="en-NZ"/>
                    </w:rPr>
                    <w:fldChar w:fldCharType="separate"/>
                  </w:r>
                  <w:r w:rsidR="008D2566">
                    <w:rPr>
                      <w:rStyle w:val="Text-Bold"/>
                      <w:b/>
                      <w:noProof/>
                      <w:szCs w:val="21"/>
                      <w:lang w:val="en-NZ"/>
                    </w:rPr>
                    <w:t>28</w:t>
                  </w:r>
                  <w:r w:rsidR="00C64C3D" w:rsidRPr="004673E7">
                    <w:rPr>
                      <w:rStyle w:val="Text-Bold"/>
                      <w:b/>
                      <w:szCs w:val="21"/>
                      <w:lang w:val="en-NZ"/>
                    </w:rPr>
                    <w:fldChar w:fldCharType="end"/>
                  </w:r>
                  <w:bookmarkEnd w:id="430"/>
                  <w:r w:rsidRPr="004673E7">
                    <w:rPr>
                      <w:rStyle w:val="Text-Bold"/>
                      <w:b/>
                      <w:szCs w:val="21"/>
                      <w:lang w:val="en-NZ"/>
                    </w:rPr>
                    <w:t xml:space="preserve">: I </w:t>
                  </w:r>
                  <w:r w:rsidR="00981ACB" w:rsidRPr="004673E7">
                    <w:rPr>
                      <w:rStyle w:val="Text-Bold"/>
                      <w:b/>
                      <w:szCs w:val="21"/>
                      <w:lang w:val="en-NZ"/>
                    </w:rPr>
                    <w:t>didn’t have to wait too long to get an appointment, FaRS and SFVS service users</w:t>
                  </w:r>
                  <w:r w:rsidRPr="004673E7">
                    <w:rPr>
                      <w:rStyle w:val="Text-Bold"/>
                      <w:b/>
                      <w:szCs w:val="21"/>
                      <w:lang w:val="en-NZ"/>
                    </w:rPr>
                    <w:t xml:space="preserve"> (n=186)</w:t>
                  </w:r>
                </w:p>
                <w:p w14:paraId="1C12C8FE" w14:textId="17B5818E" w:rsidR="00981ACB" w:rsidRPr="00981ACB" w:rsidRDefault="00981ACB" w:rsidP="00981ACB">
                  <w:pPr>
                    <w:pStyle w:val="TableFigureTitle"/>
                    <w:rPr>
                      <w:highlight w:val="yellow"/>
                    </w:rPr>
                  </w:pPr>
                  <w:r>
                    <w:rPr>
                      <w:noProof/>
                    </w:rPr>
                    <w:drawing>
                      <wp:inline distT="0" distB="0" distL="0" distR="0" wp14:anchorId="2937F0CA" wp14:editId="6CCE3DE6">
                        <wp:extent cx="5645888" cy="2934586"/>
                        <wp:effectExtent l="0" t="0" r="12065" b="18415"/>
                        <wp:docPr id="829358025" name="Chart 1">
                          <a:extLst xmlns:a="http://schemas.openxmlformats.org/drawingml/2006/main">
                            <a:ext uri="{FF2B5EF4-FFF2-40B4-BE49-F238E27FC236}">
                              <a16:creationId xmlns:a16="http://schemas.microsoft.com/office/drawing/2014/main" id="{1BACCBD0-C909-5080-E003-9D9C7A17AB35}"/>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0CC34E64" w14:textId="00B8D34E" w:rsidR="006945D9" w:rsidRPr="00E232BB" w:rsidRDefault="006945D9" w:rsidP="006945D9">
                  <w:pPr>
                    <w:pStyle w:val="Text"/>
                    <w:rPr>
                      <w:i/>
                      <w:sz w:val="20"/>
                      <w:szCs w:val="18"/>
                      <w:lang w:val="en-US"/>
                    </w:rPr>
                  </w:pPr>
                  <w:r w:rsidRPr="008E1B83">
                    <w:rPr>
                      <w:i/>
                      <w:sz w:val="20"/>
                      <w:szCs w:val="18"/>
                      <w:lang w:val="en-US"/>
                    </w:rPr>
                    <w:t>Source: Service user survey data</w:t>
                  </w:r>
                </w:p>
                <w:p w14:paraId="2EFFF3B1" w14:textId="1B119548" w:rsidR="007D4EDE" w:rsidRDefault="007D4EDE">
                  <w:pPr>
                    <w:rPr>
                      <w:b/>
                      <w:bCs/>
                      <w:color w:val="36424A" w:themeColor="background2"/>
                      <w:spacing w:val="2"/>
                      <w:lang w:val="en-GB"/>
                    </w:rPr>
                  </w:pPr>
                  <w:r>
                    <w:br w:type="page"/>
                  </w:r>
                </w:p>
                <w:p w14:paraId="67AB6BE3" w14:textId="0FA1B85B" w:rsidR="000D7480" w:rsidRDefault="000D5824" w:rsidP="00321BC5">
                  <w:pPr>
                    <w:pStyle w:val="Text-BodyHeading"/>
                    <w:spacing w:before="360" w:after="240"/>
                  </w:pPr>
                  <w:r>
                    <w:lastRenderedPageBreak/>
                    <w:t xml:space="preserve">Requirement </w:t>
                  </w:r>
                  <w:r w:rsidR="00EB4D99">
                    <w:t>for</w:t>
                  </w:r>
                  <w:r>
                    <w:t xml:space="preserve"> parental consent from both parents for SFVS</w:t>
                  </w:r>
                </w:p>
                <w:p w14:paraId="4447A064" w14:textId="1F68D5ED" w:rsidR="006E22D4" w:rsidRDefault="00826EA5" w:rsidP="008F3924">
                  <w:pPr>
                    <w:pStyle w:val="Text"/>
                    <w:rPr>
                      <w:lang w:val="en-GB"/>
                    </w:rPr>
                  </w:pPr>
                  <w:r>
                    <w:rPr>
                      <w:lang w:val="en-GB"/>
                    </w:rPr>
                    <w:t>C</w:t>
                  </w:r>
                  <w:r w:rsidR="00B91353">
                    <w:rPr>
                      <w:lang w:val="en-GB"/>
                    </w:rPr>
                    <w:t xml:space="preserve">hildren </w:t>
                  </w:r>
                  <w:r w:rsidR="00021C67">
                    <w:rPr>
                      <w:lang w:val="en-GB"/>
                    </w:rPr>
                    <w:t xml:space="preserve">often </w:t>
                  </w:r>
                  <w:r w:rsidR="00B91353">
                    <w:rPr>
                      <w:lang w:val="en-GB"/>
                    </w:rPr>
                    <w:t>need consent from both parents</w:t>
                  </w:r>
                  <w:r>
                    <w:rPr>
                      <w:lang w:val="en-GB"/>
                    </w:rPr>
                    <w:t xml:space="preserve"> to access counselling and other services</w:t>
                  </w:r>
                  <w:r w:rsidR="006E22D4">
                    <w:rPr>
                      <w:lang w:val="en-GB"/>
                    </w:rPr>
                    <w:t xml:space="preserve">. </w:t>
                  </w:r>
                  <w:r w:rsidR="00C51E89">
                    <w:rPr>
                      <w:lang w:val="en-GB"/>
                    </w:rPr>
                    <w:t>Some service users wanted their children to access support for the trauma they had experienced as victim survivors in their own right</w:t>
                  </w:r>
                  <w:r w:rsidR="00F11DE9">
                    <w:rPr>
                      <w:lang w:val="en-GB"/>
                    </w:rPr>
                    <w:t>,</w:t>
                  </w:r>
                  <w:r w:rsidR="00C51E89">
                    <w:rPr>
                      <w:lang w:val="en-GB"/>
                    </w:rPr>
                    <w:t xml:space="preserve"> but their child’s other parent</w:t>
                  </w:r>
                  <w:r w:rsidR="00B9293E">
                    <w:rPr>
                      <w:lang w:val="en-GB"/>
                    </w:rPr>
                    <w:t xml:space="preserve"> refused to provide consent</w:t>
                  </w:r>
                  <w:r w:rsidR="008A442D">
                    <w:rPr>
                      <w:lang w:val="en-GB"/>
                    </w:rPr>
                    <w:t xml:space="preserve">. </w:t>
                  </w:r>
                  <w:r w:rsidR="00110A96">
                    <w:rPr>
                      <w:lang w:val="en-GB"/>
                    </w:rPr>
                    <w:t>O</w:t>
                  </w:r>
                  <w:r w:rsidR="00F53A46">
                    <w:rPr>
                      <w:lang w:val="en-GB"/>
                    </w:rPr>
                    <w:t xml:space="preserve">ften, this refusal occurred </w:t>
                  </w:r>
                  <w:r w:rsidR="002C2CA3">
                    <w:rPr>
                      <w:lang w:val="en-GB"/>
                    </w:rPr>
                    <w:t xml:space="preserve">in situations involving </w:t>
                  </w:r>
                  <w:r w:rsidR="00F53A46">
                    <w:rPr>
                      <w:lang w:val="en-GB"/>
                    </w:rPr>
                    <w:t xml:space="preserve">separating </w:t>
                  </w:r>
                  <w:r w:rsidR="002C2CA3">
                    <w:rPr>
                      <w:lang w:val="en-GB"/>
                    </w:rPr>
                    <w:t>parents</w:t>
                  </w:r>
                  <w:r w:rsidR="00C51E89">
                    <w:rPr>
                      <w:lang w:val="en-GB"/>
                    </w:rPr>
                    <w:t>. S</w:t>
                  </w:r>
                  <w:r w:rsidR="004A788A">
                    <w:rPr>
                      <w:lang w:val="en-GB"/>
                    </w:rPr>
                    <w:t>ervice providers</w:t>
                  </w:r>
                  <w:r w:rsidR="00F53A46">
                    <w:rPr>
                      <w:lang w:val="en-GB"/>
                    </w:rPr>
                    <w:t xml:space="preserve"> </w:t>
                  </w:r>
                  <w:r w:rsidR="00C51E89">
                    <w:rPr>
                      <w:lang w:val="en-GB"/>
                    </w:rPr>
                    <w:t>characterised</w:t>
                  </w:r>
                  <w:r w:rsidR="00F53A46">
                    <w:rPr>
                      <w:lang w:val="en-GB"/>
                    </w:rPr>
                    <w:t xml:space="preserve"> this as another form of control</w:t>
                  </w:r>
                  <w:r w:rsidR="00BB7F2A">
                    <w:rPr>
                      <w:lang w:val="en-GB"/>
                    </w:rPr>
                    <w:t xml:space="preserve"> </w:t>
                  </w:r>
                  <w:r w:rsidR="00BB7F2A">
                    <w:t>and abuse</w:t>
                  </w:r>
                  <w:r w:rsidR="002821A8">
                    <w:rPr>
                      <w:lang w:val="en-GB"/>
                    </w:rPr>
                    <w:t xml:space="preserve"> </w:t>
                  </w:r>
                  <w:r w:rsidR="002C2CA3">
                    <w:rPr>
                      <w:lang w:val="en-GB"/>
                    </w:rPr>
                    <w:t xml:space="preserve">used by </w:t>
                  </w:r>
                  <w:r w:rsidR="00DC73A1">
                    <w:rPr>
                      <w:lang w:val="en-GB"/>
                    </w:rPr>
                    <w:t>people who use violence.</w:t>
                  </w:r>
                  <w:r w:rsidR="00304DEB">
                    <w:rPr>
                      <w:lang w:val="en-GB"/>
                    </w:rPr>
                    <w:t xml:space="preserve"> </w:t>
                  </w:r>
                </w:p>
                <w:p w14:paraId="44DCB287" w14:textId="26631E40" w:rsidR="00304DEB" w:rsidRPr="00052632" w:rsidRDefault="00304DEB" w:rsidP="00304DEB">
                  <w:pPr>
                    <w:pBdr>
                      <w:left w:val="single" w:sz="18" w:space="4" w:color="78B800" w:themeColor="accent1"/>
                    </w:pBdr>
                    <w:tabs>
                      <w:tab w:val="left" w:pos="8080"/>
                    </w:tabs>
                    <w:spacing w:after="0"/>
                    <w:ind w:left="851" w:right="949"/>
                  </w:pPr>
                  <w:r w:rsidRPr="008E1B83">
                    <w:rPr>
                      <w:i/>
                    </w:rPr>
                    <w:t>Th</w:t>
                  </w:r>
                  <w:r w:rsidR="003839C5" w:rsidRPr="008E1B83">
                    <w:rPr>
                      <w:i/>
                    </w:rPr>
                    <w:t xml:space="preserve">e </w:t>
                  </w:r>
                  <w:r w:rsidRPr="008E1B83">
                    <w:rPr>
                      <w:i/>
                    </w:rPr>
                    <w:t>issue of joint consent required in court orders meaning you have to seek consent from both parents including perpetrators</w:t>
                  </w:r>
                  <w:r w:rsidR="00E2074D" w:rsidRPr="008E1B83">
                    <w:rPr>
                      <w:i/>
                    </w:rPr>
                    <w:t>,</w:t>
                  </w:r>
                  <w:r w:rsidRPr="008E1B83">
                    <w:rPr>
                      <w:i/>
                    </w:rPr>
                    <w:t xml:space="preserve"> which is a continuation of family violence through system abuse. It is time consuming and challenging, particularly for when you want to seek timely help for a child who is stressed or traumatised. If we cannot get joint consent without </w:t>
                  </w:r>
                  <w:r w:rsidR="00C363E9" w:rsidRPr="008E1B83">
                    <w:rPr>
                      <w:i/>
                    </w:rPr>
                    <w:t>conditions,</w:t>
                  </w:r>
                  <w:r w:rsidRPr="008E1B83">
                    <w:rPr>
                      <w:i/>
                    </w:rPr>
                    <w:t xml:space="preserve"> th</w:t>
                  </w:r>
                  <w:r w:rsidR="00EE7A18">
                    <w:rPr>
                      <w:i/>
                    </w:rPr>
                    <w:t>e</w:t>
                  </w:r>
                  <w:r w:rsidRPr="008E1B83">
                    <w:rPr>
                      <w:i/>
                    </w:rPr>
                    <w:t>n we have to decline service. Probably it’s a little bit different in other programs where joint consent is not required - able to attend non-FV specific mental health service</w:t>
                  </w:r>
                  <w:r w:rsidR="00932DF2" w:rsidRPr="008E1B83">
                    <w:rPr>
                      <w:i/>
                    </w:rPr>
                    <w:t>s</w:t>
                  </w:r>
                  <w:r w:rsidRPr="008E1B83">
                    <w:rPr>
                      <w:i/>
                    </w:rPr>
                    <w:t xml:space="preserve"> for example</w:t>
                  </w:r>
                  <w:r w:rsidRPr="008E1B83">
                    <w:rPr>
                      <w:i/>
                      <w:noProof/>
                    </w:rPr>
                    <w:drawing>
                      <wp:anchor distT="0" distB="0" distL="114300" distR="114300" simplePos="0" relativeHeight="251658318" behindDoc="0" locked="1" layoutInCell="1" allowOverlap="1" wp14:anchorId="61B9BB6F" wp14:editId="5BA1847B">
                        <wp:simplePos x="0" y="0"/>
                        <wp:positionH relativeFrom="column">
                          <wp:posOffset>0</wp:posOffset>
                        </wp:positionH>
                        <wp:positionV relativeFrom="paragraph">
                          <wp:posOffset>0</wp:posOffset>
                        </wp:positionV>
                        <wp:extent cx="384810" cy="320040"/>
                        <wp:effectExtent l="0" t="0" r="0" b="3810"/>
                        <wp:wrapNone/>
                        <wp:docPr id="309964064" name="Graphic 309964064" descr="P2536#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964064" name="Graphic 309964064" descr="P2536#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24027">
                    <w:t xml:space="preserve"> </w:t>
                  </w:r>
                  <w:r w:rsidR="00CA1A2B" w:rsidRPr="00CA1A2B">
                    <w:rPr>
                      <w:b/>
                      <w:bCs/>
                      <w:i/>
                      <w:iCs/>
                    </w:rPr>
                    <w:t>–</w:t>
                  </w:r>
                  <w:r w:rsidRPr="00CA1A2B">
                    <w:rPr>
                      <w:b/>
                      <w:bCs/>
                      <w:i/>
                      <w:iCs/>
                    </w:rPr>
                    <w:t xml:space="preserve"> </w:t>
                  </w:r>
                  <w:r w:rsidR="0025181D">
                    <w:rPr>
                      <w:b/>
                      <w:bCs/>
                      <w:i/>
                      <w:iCs/>
                    </w:rPr>
                    <w:t xml:space="preserve">SFVS </w:t>
                  </w:r>
                  <w:r w:rsidRPr="00EC2C55">
                    <w:rPr>
                      <w:b/>
                      <w:bCs/>
                      <w:i/>
                      <w:iCs/>
                    </w:rPr>
                    <w:t>service</w:t>
                  </w:r>
                  <w:r w:rsidR="0025181D">
                    <w:rPr>
                      <w:b/>
                      <w:bCs/>
                      <w:i/>
                      <w:iCs/>
                    </w:rPr>
                    <w:t xml:space="preserve"> provider</w:t>
                  </w:r>
                </w:p>
                <w:p w14:paraId="7F68C38D" w14:textId="145904D5" w:rsidR="00781751" w:rsidRDefault="00781751" w:rsidP="008F3924">
                  <w:pPr>
                    <w:pStyle w:val="Text"/>
                    <w:rPr>
                      <w:lang w:val="en-GB"/>
                    </w:rPr>
                  </w:pPr>
                </w:p>
                <w:p w14:paraId="7A159A5A" w14:textId="53971011" w:rsidR="0025181D" w:rsidRPr="00052632" w:rsidRDefault="00932DF2" w:rsidP="0025181D">
                  <w:pPr>
                    <w:pBdr>
                      <w:left w:val="single" w:sz="18" w:space="4" w:color="78B800" w:themeColor="accent1"/>
                    </w:pBdr>
                    <w:tabs>
                      <w:tab w:val="left" w:pos="8080"/>
                    </w:tabs>
                    <w:spacing w:after="0"/>
                    <w:ind w:left="851" w:right="949"/>
                  </w:pPr>
                  <w:r w:rsidRPr="008E1B83">
                    <w:rPr>
                      <w:i/>
                    </w:rPr>
                    <w:t xml:space="preserve"> [I’m’]</w:t>
                  </w:r>
                  <w:r w:rsidR="0025181D" w:rsidRPr="008E1B83">
                    <w:rPr>
                      <w:i/>
                    </w:rPr>
                    <w:t xml:space="preserve"> really hoping for external support, that has been challenging because I didn’t have consent</w:t>
                  </w:r>
                  <w:r w:rsidR="00227136">
                    <w:rPr>
                      <w:i/>
                      <w:iCs/>
                    </w:rPr>
                    <w:t xml:space="preserve"> </w:t>
                  </w:r>
                  <w:r w:rsidR="0025181D" w:rsidRPr="008E1B83">
                    <w:rPr>
                      <w:i/>
                      <w:noProof/>
                    </w:rPr>
                    <w:drawing>
                      <wp:anchor distT="0" distB="0" distL="114300" distR="114300" simplePos="0" relativeHeight="251658319" behindDoc="0" locked="1" layoutInCell="1" allowOverlap="1" wp14:anchorId="29CF7318" wp14:editId="4A07A919">
                        <wp:simplePos x="0" y="0"/>
                        <wp:positionH relativeFrom="column">
                          <wp:posOffset>0</wp:posOffset>
                        </wp:positionH>
                        <wp:positionV relativeFrom="paragraph">
                          <wp:posOffset>0</wp:posOffset>
                        </wp:positionV>
                        <wp:extent cx="384810" cy="320040"/>
                        <wp:effectExtent l="0" t="0" r="0" b="3810"/>
                        <wp:wrapNone/>
                        <wp:docPr id="610433788" name="Graphic 610433788" descr="P2538#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433788" name="Graphic 610433788" descr="P2538#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A1A2B">
                    <w:rPr>
                      <w:i/>
                    </w:rPr>
                    <w:t>–</w:t>
                  </w:r>
                  <w:r w:rsidR="0025181D">
                    <w:rPr>
                      <w:i/>
                    </w:rPr>
                    <w:t xml:space="preserve"> </w:t>
                  </w:r>
                  <w:r w:rsidR="00D45F57">
                    <w:rPr>
                      <w:b/>
                      <w:bCs/>
                      <w:i/>
                      <w:iCs/>
                    </w:rPr>
                    <w:t>SFVS</w:t>
                  </w:r>
                  <w:r w:rsidR="0025181D" w:rsidRPr="00EC2C55">
                    <w:rPr>
                      <w:b/>
                      <w:bCs/>
                      <w:i/>
                      <w:iCs/>
                    </w:rPr>
                    <w:t xml:space="preserve"> service </w:t>
                  </w:r>
                  <w:r w:rsidR="0025181D">
                    <w:rPr>
                      <w:b/>
                      <w:bCs/>
                      <w:i/>
                      <w:iCs/>
                    </w:rPr>
                    <w:t>user</w:t>
                  </w:r>
                </w:p>
                <w:p w14:paraId="60008872" w14:textId="77777777" w:rsidR="00916191" w:rsidRPr="00A2265C" w:rsidRDefault="00916191" w:rsidP="00916191">
                  <w:pPr>
                    <w:pStyle w:val="Text-BodyHeading"/>
                    <w:spacing w:before="360" w:after="240"/>
                    <w:rPr>
                      <w:bCs w:val="0"/>
                      <w:iCs/>
                    </w:rPr>
                  </w:pPr>
                  <w:r w:rsidRPr="00A2265C">
                    <w:rPr>
                      <w:bCs w:val="0"/>
                      <w:iCs/>
                    </w:rPr>
                    <w:t xml:space="preserve">Access </w:t>
                  </w:r>
                  <w:r>
                    <w:rPr>
                      <w:bCs w:val="0"/>
                      <w:iCs/>
                    </w:rPr>
                    <w:t xml:space="preserve">to childcare </w:t>
                  </w:r>
                  <w:r w:rsidRPr="00A2265C">
                    <w:rPr>
                      <w:bCs w:val="0"/>
                      <w:iCs/>
                    </w:rPr>
                    <w:t>services</w:t>
                  </w:r>
                  <w:r>
                    <w:rPr>
                      <w:bCs w:val="0"/>
                      <w:iCs/>
                    </w:rPr>
                    <w:t xml:space="preserve"> or support for SFVS service users</w:t>
                  </w:r>
                  <w:r w:rsidRPr="00A2265C">
                    <w:rPr>
                      <w:bCs w:val="0"/>
                      <w:iCs/>
                    </w:rPr>
                    <w:t xml:space="preserve"> with children</w:t>
                  </w:r>
                </w:p>
                <w:p w14:paraId="3ADA33C3" w14:textId="0F7F57A2" w:rsidR="00916191" w:rsidRPr="00A61B85" w:rsidRDefault="00916191" w:rsidP="00916191">
                  <w:pPr>
                    <w:pStyle w:val="Text-BodyHeading"/>
                    <w:rPr>
                      <w:b w:val="0"/>
                      <w:bCs w:val="0"/>
                      <w:color w:val="auto"/>
                    </w:rPr>
                  </w:pPr>
                  <w:r w:rsidRPr="00A61B85">
                    <w:rPr>
                      <w:b w:val="0"/>
                      <w:bCs w:val="0"/>
                      <w:color w:val="auto"/>
                      <w:lang w:val="en-AU"/>
                    </w:rPr>
                    <w:t>Service users occasionally had difficulty accessing their SFVS provider with their children as some providers do not have child friendly meeting rooms or onsite childcare. For some service users, finding and paying for childcare so that they could attend a session was a barrier to engagement.</w:t>
                  </w:r>
                </w:p>
                <w:p w14:paraId="0846F5CF" w14:textId="1DA32E1A" w:rsidR="0025181D" w:rsidRDefault="000D5824" w:rsidP="00321BC5">
                  <w:pPr>
                    <w:pStyle w:val="Text-BodyHeading"/>
                    <w:spacing w:before="360" w:after="240"/>
                  </w:pPr>
                  <w:r>
                    <w:t xml:space="preserve">Number of </w:t>
                  </w:r>
                  <w:r w:rsidR="00AA3E88">
                    <w:t xml:space="preserve">SFVS </w:t>
                  </w:r>
                  <w:r>
                    <w:t xml:space="preserve">sessions </w:t>
                  </w:r>
                  <w:r w:rsidR="00AA3E88">
                    <w:t>offered by some</w:t>
                  </w:r>
                  <w:r w:rsidR="00E6451D">
                    <w:t xml:space="preserve"> providers</w:t>
                  </w:r>
                </w:p>
                <w:p w14:paraId="28D2363B" w14:textId="62DA500D" w:rsidR="00AC71EF" w:rsidRDefault="009018B5" w:rsidP="00AC71EF">
                  <w:pPr>
                    <w:pStyle w:val="Text"/>
                    <w:rPr>
                      <w:lang w:val="en-AU"/>
                    </w:rPr>
                  </w:pPr>
                  <w:r>
                    <w:rPr>
                      <w:lang w:val="en-AU"/>
                    </w:rPr>
                    <w:t xml:space="preserve">Some </w:t>
                  </w:r>
                  <w:r w:rsidR="0075398F">
                    <w:rPr>
                      <w:lang w:val="en-AU"/>
                    </w:rPr>
                    <w:t xml:space="preserve">service providers </w:t>
                  </w:r>
                  <w:r>
                    <w:rPr>
                      <w:lang w:val="en-AU"/>
                    </w:rPr>
                    <w:t>limit the number of sessions</w:t>
                  </w:r>
                  <w:r w:rsidR="00E14C9A">
                    <w:rPr>
                      <w:lang w:val="en-AU"/>
                    </w:rPr>
                    <w:t xml:space="preserve"> </w:t>
                  </w:r>
                  <w:r w:rsidR="00D220C2">
                    <w:rPr>
                      <w:lang w:val="en-AU"/>
                    </w:rPr>
                    <w:t>(often to 6-10 sessions)</w:t>
                  </w:r>
                  <w:r>
                    <w:rPr>
                      <w:lang w:val="en-AU"/>
                    </w:rPr>
                    <w:t xml:space="preserve"> </w:t>
                  </w:r>
                  <w:r w:rsidR="00B40619">
                    <w:rPr>
                      <w:lang w:val="en-AU"/>
                    </w:rPr>
                    <w:t>available to each service user under their</w:t>
                  </w:r>
                  <w:r w:rsidR="00940881">
                    <w:rPr>
                      <w:lang w:val="en-AU"/>
                    </w:rPr>
                    <w:t xml:space="preserve"> SFVS program</w:t>
                  </w:r>
                  <w:r w:rsidR="00942F00">
                    <w:rPr>
                      <w:lang w:val="en-AU"/>
                    </w:rPr>
                    <w:t>. These policies have been introduced</w:t>
                  </w:r>
                  <w:r w:rsidR="00940881">
                    <w:rPr>
                      <w:lang w:val="en-AU"/>
                    </w:rPr>
                    <w:t xml:space="preserve"> to </w:t>
                  </w:r>
                  <w:r w:rsidR="00694CBB">
                    <w:rPr>
                      <w:lang w:val="en-AU"/>
                    </w:rPr>
                    <w:t>manage service user demand, including waitlist</w:t>
                  </w:r>
                  <w:r w:rsidR="001C2FE1">
                    <w:rPr>
                      <w:lang w:val="en-AU"/>
                    </w:rPr>
                    <w:t xml:space="preserve"> length</w:t>
                  </w:r>
                  <w:r>
                    <w:rPr>
                      <w:lang w:val="en-AU"/>
                    </w:rPr>
                    <w:t>.</w:t>
                  </w:r>
                  <w:r w:rsidR="00DE11F3">
                    <w:rPr>
                      <w:lang w:val="en-AU"/>
                    </w:rPr>
                    <w:t xml:space="preserve"> These limitations are not required by the Department. </w:t>
                  </w:r>
                  <w:r w:rsidR="00BF5A83">
                    <w:rPr>
                      <w:lang w:val="en-AU"/>
                    </w:rPr>
                    <w:t xml:space="preserve">For </w:t>
                  </w:r>
                  <w:r w:rsidR="00B97672">
                    <w:rPr>
                      <w:lang w:val="en-AU"/>
                    </w:rPr>
                    <w:t xml:space="preserve">victim </w:t>
                  </w:r>
                  <w:r w:rsidR="0091645A">
                    <w:rPr>
                      <w:lang w:val="en-AU"/>
                    </w:rPr>
                    <w:t xml:space="preserve">survivors, and </w:t>
                  </w:r>
                  <w:r w:rsidR="00B40619">
                    <w:rPr>
                      <w:lang w:val="en-AU"/>
                    </w:rPr>
                    <w:t>some</w:t>
                  </w:r>
                  <w:r w:rsidR="0091645A">
                    <w:rPr>
                      <w:lang w:val="en-AU"/>
                    </w:rPr>
                    <w:t xml:space="preserve"> service </w:t>
                  </w:r>
                  <w:r w:rsidR="00930630">
                    <w:rPr>
                      <w:lang w:val="en-AU"/>
                    </w:rPr>
                    <w:t xml:space="preserve">provider staff </w:t>
                  </w:r>
                  <w:r w:rsidR="00624916">
                    <w:rPr>
                      <w:lang w:val="en-AU"/>
                    </w:rPr>
                    <w:t>delivering counselling services</w:t>
                  </w:r>
                  <w:r w:rsidR="0091645A">
                    <w:rPr>
                      <w:lang w:val="en-AU"/>
                    </w:rPr>
                    <w:t>,</w:t>
                  </w:r>
                  <w:r w:rsidR="00BF5A83">
                    <w:rPr>
                      <w:lang w:val="en-AU"/>
                    </w:rPr>
                    <w:t xml:space="preserve"> </w:t>
                  </w:r>
                  <w:r>
                    <w:rPr>
                      <w:lang w:val="en-AU"/>
                    </w:rPr>
                    <w:t>limits on service delivery</w:t>
                  </w:r>
                  <w:r w:rsidR="00BF5A83">
                    <w:rPr>
                      <w:lang w:val="en-AU"/>
                    </w:rPr>
                    <w:t xml:space="preserve"> were a </w:t>
                  </w:r>
                  <w:r w:rsidR="00C664AA">
                    <w:rPr>
                      <w:lang w:val="en-AU"/>
                    </w:rPr>
                    <w:t xml:space="preserve">perceived </w:t>
                  </w:r>
                  <w:r w:rsidR="00BF5A83">
                    <w:rPr>
                      <w:lang w:val="en-AU"/>
                    </w:rPr>
                    <w:t xml:space="preserve">barrier to </w:t>
                  </w:r>
                  <w:r w:rsidR="0091645A">
                    <w:rPr>
                      <w:lang w:val="en-AU"/>
                    </w:rPr>
                    <w:t>positive outcomes</w:t>
                  </w:r>
                  <w:r w:rsidR="00490792">
                    <w:rPr>
                      <w:lang w:val="en-AU"/>
                    </w:rPr>
                    <w:t xml:space="preserve">. </w:t>
                  </w:r>
                  <w:r w:rsidR="00946224">
                    <w:rPr>
                      <w:lang w:val="en-AU"/>
                    </w:rPr>
                    <w:t>S</w:t>
                  </w:r>
                  <w:r w:rsidR="005E7DC2">
                    <w:rPr>
                      <w:lang w:val="en-AU"/>
                    </w:rPr>
                    <w:t>e</w:t>
                  </w:r>
                  <w:r w:rsidR="00946224">
                    <w:rPr>
                      <w:lang w:val="en-AU"/>
                    </w:rPr>
                    <w:t>rvice provider</w:t>
                  </w:r>
                  <w:r w:rsidR="00624916">
                    <w:rPr>
                      <w:lang w:val="en-AU"/>
                    </w:rPr>
                    <w:t xml:space="preserve"> staff</w:t>
                  </w:r>
                  <w:r w:rsidR="00946224">
                    <w:rPr>
                      <w:lang w:val="en-AU"/>
                    </w:rPr>
                    <w:t xml:space="preserve"> noted that it often took </w:t>
                  </w:r>
                  <w:r w:rsidR="005E7DC2">
                    <w:rPr>
                      <w:lang w:val="en-AU"/>
                    </w:rPr>
                    <w:t>several</w:t>
                  </w:r>
                  <w:r w:rsidR="00946224">
                    <w:rPr>
                      <w:lang w:val="en-AU"/>
                    </w:rPr>
                    <w:t xml:space="preserve"> sessions to build rapport, trust, and </w:t>
                  </w:r>
                  <w:r w:rsidR="00C872E0">
                    <w:rPr>
                      <w:lang w:val="en-AU"/>
                    </w:rPr>
                    <w:t xml:space="preserve">establish feelings of safety within the sessions, particularly </w:t>
                  </w:r>
                  <w:r w:rsidR="00481E50">
                    <w:rPr>
                      <w:lang w:val="en-AU"/>
                    </w:rPr>
                    <w:t>for</w:t>
                  </w:r>
                  <w:r w:rsidR="00C872E0">
                    <w:rPr>
                      <w:lang w:val="en-AU"/>
                    </w:rPr>
                    <w:t xml:space="preserve"> </w:t>
                  </w:r>
                  <w:r w:rsidR="00AC71EF">
                    <w:rPr>
                      <w:lang w:val="en-AU"/>
                    </w:rPr>
                    <w:t>victim survivors</w:t>
                  </w:r>
                  <w:r w:rsidR="00C872E0">
                    <w:rPr>
                      <w:lang w:val="en-AU"/>
                    </w:rPr>
                    <w:t>,</w:t>
                  </w:r>
                  <w:r w:rsidR="00E32C43">
                    <w:rPr>
                      <w:lang w:val="en-AU"/>
                    </w:rPr>
                    <w:t xml:space="preserve"> </w:t>
                  </w:r>
                  <w:r w:rsidR="0091645A">
                    <w:rPr>
                      <w:lang w:val="en-AU"/>
                    </w:rPr>
                    <w:t xml:space="preserve">who </w:t>
                  </w:r>
                  <w:r w:rsidR="00A32330">
                    <w:rPr>
                      <w:lang w:val="en-AU"/>
                    </w:rPr>
                    <w:t>usually</w:t>
                  </w:r>
                  <w:r w:rsidR="0091645A">
                    <w:rPr>
                      <w:lang w:val="en-AU"/>
                    </w:rPr>
                    <w:t xml:space="preserve"> presented </w:t>
                  </w:r>
                  <w:r w:rsidR="00A32330">
                    <w:rPr>
                      <w:lang w:val="en-AU"/>
                    </w:rPr>
                    <w:t>w</w:t>
                  </w:r>
                  <w:r w:rsidR="003437B6">
                    <w:rPr>
                      <w:lang w:val="en-AU"/>
                    </w:rPr>
                    <w:t>ith complex trauma</w:t>
                  </w:r>
                  <w:r w:rsidR="00903849">
                    <w:rPr>
                      <w:lang w:val="en-AU"/>
                    </w:rPr>
                    <w:t xml:space="preserve">. </w:t>
                  </w:r>
                  <w:r w:rsidR="00481E50">
                    <w:rPr>
                      <w:lang w:val="en-AU"/>
                    </w:rPr>
                    <w:t>Many s</w:t>
                  </w:r>
                  <w:r w:rsidR="00A32330">
                    <w:rPr>
                      <w:lang w:val="en-AU"/>
                    </w:rPr>
                    <w:t>ervice provider</w:t>
                  </w:r>
                  <w:r w:rsidR="00624916">
                    <w:rPr>
                      <w:lang w:val="en-AU"/>
                    </w:rPr>
                    <w:t xml:space="preserve"> staff</w:t>
                  </w:r>
                  <w:r w:rsidR="00A32330">
                    <w:rPr>
                      <w:lang w:val="en-AU"/>
                    </w:rPr>
                    <w:t xml:space="preserve"> reflected that the number of </w:t>
                  </w:r>
                  <w:r w:rsidR="004569DF">
                    <w:rPr>
                      <w:lang w:val="en-AU"/>
                    </w:rPr>
                    <w:t>sessions</w:t>
                  </w:r>
                  <w:r w:rsidR="00A32330">
                    <w:rPr>
                      <w:lang w:val="en-AU"/>
                    </w:rPr>
                    <w:t xml:space="preserve"> </w:t>
                  </w:r>
                  <w:r w:rsidR="00481E50">
                    <w:rPr>
                      <w:lang w:val="en-AU"/>
                    </w:rPr>
                    <w:t>w</w:t>
                  </w:r>
                  <w:r w:rsidR="00A32330">
                    <w:rPr>
                      <w:lang w:val="en-AU"/>
                    </w:rPr>
                    <w:t xml:space="preserve">as not enough to comprehensively support </w:t>
                  </w:r>
                  <w:r w:rsidR="00831283">
                    <w:rPr>
                      <w:lang w:val="en-AU"/>
                    </w:rPr>
                    <w:t>service</w:t>
                  </w:r>
                  <w:r w:rsidR="00D11251">
                    <w:rPr>
                      <w:lang w:val="en-AU"/>
                    </w:rPr>
                    <w:t xml:space="preserve"> users</w:t>
                  </w:r>
                  <w:r w:rsidR="00A32330">
                    <w:rPr>
                      <w:lang w:val="en-AU"/>
                    </w:rPr>
                    <w:t xml:space="preserve"> </w:t>
                  </w:r>
                  <w:r w:rsidR="00EE7A18">
                    <w:rPr>
                      <w:lang w:val="en-AU"/>
                    </w:rPr>
                    <w:t xml:space="preserve">to </w:t>
                  </w:r>
                  <w:r w:rsidR="004569DF">
                    <w:rPr>
                      <w:lang w:val="en-AU"/>
                    </w:rPr>
                    <w:t xml:space="preserve">navigate the complexities of </w:t>
                  </w:r>
                  <w:r w:rsidR="00831283">
                    <w:rPr>
                      <w:lang w:val="en-AU"/>
                    </w:rPr>
                    <w:t xml:space="preserve">being a victim survivor of </w:t>
                  </w:r>
                  <w:r w:rsidR="004569DF">
                    <w:rPr>
                      <w:lang w:val="en-AU"/>
                    </w:rPr>
                    <w:t xml:space="preserve">abuse. </w:t>
                  </w:r>
                  <w:r w:rsidR="00831283">
                    <w:rPr>
                      <w:lang w:val="en-AU"/>
                    </w:rPr>
                    <w:t xml:space="preserve">Understanding risk, and safety planning, required </w:t>
                  </w:r>
                  <w:r w:rsidR="00D11251">
                    <w:rPr>
                      <w:lang w:val="en-AU"/>
                    </w:rPr>
                    <w:t xml:space="preserve">time and ongoing communication between providers and </w:t>
                  </w:r>
                  <w:r w:rsidR="00FB64B9">
                    <w:rPr>
                      <w:lang w:val="en-AU"/>
                    </w:rPr>
                    <w:t>service users</w:t>
                  </w:r>
                  <w:r w:rsidR="00D11251">
                    <w:rPr>
                      <w:lang w:val="en-AU"/>
                    </w:rPr>
                    <w:t xml:space="preserve">. </w:t>
                  </w:r>
                  <w:r w:rsidR="00797B9B">
                    <w:rPr>
                      <w:lang w:val="en-AU"/>
                    </w:rPr>
                    <w:t xml:space="preserve">Two service users noted that they </w:t>
                  </w:r>
                  <w:r w:rsidR="00222B84">
                    <w:rPr>
                      <w:lang w:val="en-AU"/>
                    </w:rPr>
                    <w:t xml:space="preserve">had </w:t>
                  </w:r>
                  <w:r w:rsidR="00481E50">
                    <w:rPr>
                      <w:lang w:val="en-AU"/>
                    </w:rPr>
                    <w:t>intentionally</w:t>
                  </w:r>
                  <w:r w:rsidR="00222B84">
                    <w:rPr>
                      <w:lang w:val="en-AU"/>
                    </w:rPr>
                    <w:t xml:space="preserve"> lengthened the space between their </w:t>
                  </w:r>
                  <w:r w:rsidR="00AA72E9">
                    <w:rPr>
                      <w:lang w:val="en-AU"/>
                    </w:rPr>
                    <w:t>appointments</w:t>
                  </w:r>
                  <w:r w:rsidR="00A20CB7">
                    <w:rPr>
                      <w:lang w:val="en-AU"/>
                    </w:rPr>
                    <w:t xml:space="preserve"> in order to extend the</w:t>
                  </w:r>
                  <w:r w:rsidR="00222B84">
                    <w:rPr>
                      <w:lang w:val="en-AU"/>
                    </w:rPr>
                    <w:t xml:space="preserve"> period of time </w:t>
                  </w:r>
                  <w:r w:rsidR="00A20CB7">
                    <w:rPr>
                      <w:lang w:val="en-AU"/>
                    </w:rPr>
                    <w:t>with</w:t>
                  </w:r>
                  <w:r w:rsidR="00222B84">
                    <w:rPr>
                      <w:lang w:val="en-AU"/>
                    </w:rPr>
                    <w:t xml:space="preserve"> their service provider</w:t>
                  </w:r>
                  <w:r w:rsidR="00AA72E9">
                    <w:rPr>
                      <w:lang w:val="en-AU"/>
                    </w:rPr>
                    <w:t xml:space="preserve">. </w:t>
                  </w:r>
                </w:p>
                <w:p w14:paraId="3D3F527F" w14:textId="5D09B76B" w:rsidR="00903849" w:rsidRPr="00052632" w:rsidRDefault="00FB64B9" w:rsidP="00903849">
                  <w:pPr>
                    <w:pBdr>
                      <w:left w:val="single" w:sz="18" w:space="4" w:color="78B800" w:themeColor="accent1"/>
                    </w:pBdr>
                    <w:tabs>
                      <w:tab w:val="left" w:pos="8080"/>
                    </w:tabs>
                    <w:spacing w:after="0"/>
                    <w:ind w:left="851" w:right="949"/>
                  </w:pPr>
                  <w:r w:rsidRPr="008E1B83">
                    <w:rPr>
                      <w:i/>
                    </w:rPr>
                    <w:lastRenderedPageBreak/>
                    <w:t>The brief intervention model is incredibly limiting, particularly when we are helping women with complex post-traumatic stress, providing safety and [developing] a relationship with these women, [undertaking] risk assessment, getting to know their story, helping them maintain their personal sense of safety, all the things take a lot more time</w:t>
                  </w:r>
                  <w:r w:rsidR="00903849" w:rsidRPr="008E1B83">
                    <w:rPr>
                      <w:i/>
                      <w:noProof/>
                    </w:rPr>
                    <w:drawing>
                      <wp:anchor distT="0" distB="0" distL="114300" distR="114300" simplePos="0" relativeHeight="251658320" behindDoc="0" locked="1" layoutInCell="1" allowOverlap="1" wp14:anchorId="414CAFDF" wp14:editId="43F50AE6">
                        <wp:simplePos x="0" y="0"/>
                        <wp:positionH relativeFrom="column">
                          <wp:posOffset>0</wp:posOffset>
                        </wp:positionH>
                        <wp:positionV relativeFrom="paragraph">
                          <wp:posOffset>0</wp:posOffset>
                        </wp:positionV>
                        <wp:extent cx="384810" cy="320040"/>
                        <wp:effectExtent l="0" t="0" r="0" b="3810"/>
                        <wp:wrapNone/>
                        <wp:docPr id="1655237466" name="Graphic 1655237466" descr="P2543#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237466" name="Graphic 1655237466" descr="P2543#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 </w:t>
                  </w:r>
                  <w:r w:rsidR="00CA1A2B">
                    <w:rPr>
                      <w:i/>
                    </w:rPr>
                    <w:t>–</w:t>
                  </w:r>
                  <w:r w:rsidR="00903849" w:rsidRPr="00EC2C55">
                    <w:t xml:space="preserve"> </w:t>
                  </w:r>
                  <w:r w:rsidR="00903849">
                    <w:rPr>
                      <w:b/>
                      <w:bCs/>
                      <w:i/>
                      <w:iCs/>
                    </w:rPr>
                    <w:t>SFVS</w:t>
                  </w:r>
                  <w:r w:rsidR="00903849" w:rsidRPr="00EC2C55">
                    <w:rPr>
                      <w:b/>
                      <w:bCs/>
                      <w:i/>
                      <w:iCs/>
                    </w:rPr>
                    <w:t xml:space="preserve"> service </w:t>
                  </w:r>
                  <w:r w:rsidR="00661BE4">
                    <w:rPr>
                      <w:b/>
                      <w:bCs/>
                      <w:i/>
                      <w:iCs/>
                    </w:rPr>
                    <w:t>provider</w:t>
                  </w:r>
                </w:p>
                <w:p w14:paraId="715C51A9" w14:textId="77777777" w:rsidR="000F34D5" w:rsidRDefault="000F34D5" w:rsidP="00AC71EF">
                  <w:pPr>
                    <w:pStyle w:val="Text"/>
                    <w:rPr>
                      <w:lang w:val="en-AU"/>
                    </w:rPr>
                  </w:pPr>
                </w:p>
                <w:p w14:paraId="386CB602" w14:textId="534AF395" w:rsidR="00903849" w:rsidRPr="00052632" w:rsidRDefault="007E5E8C" w:rsidP="00903849">
                  <w:pPr>
                    <w:pBdr>
                      <w:left w:val="single" w:sz="18" w:space="4" w:color="78B800" w:themeColor="accent1"/>
                    </w:pBdr>
                    <w:tabs>
                      <w:tab w:val="left" w:pos="8080"/>
                    </w:tabs>
                    <w:spacing w:after="0"/>
                    <w:ind w:left="851" w:right="949"/>
                  </w:pPr>
                  <w:r w:rsidRPr="008E1B83">
                    <w:rPr>
                      <w:i/>
                    </w:rPr>
                    <w:t xml:space="preserve">Building trust might take </w:t>
                  </w:r>
                  <w:r w:rsidR="00363191">
                    <w:rPr>
                      <w:i/>
                    </w:rPr>
                    <w:t>three</w:t>
                  </w:r>
                  <w:r w:rsidRPr="008E1B83">
                    <w:rPr>
                      <w:i/>
                    </w:rPr>
                    <w:t xml:space="preserve"> sessions</w:t>
                  </w:r>
                  <w:r w:rsidR="00A2265C" w:rsidRPr="008E1B83">
                    <w:rPr>
                      <w:i/>
                    </w:rPr>
                    <w:t xml:space="preserve"> -</w:t>
                  </w:r>
                  <w:r w:rsidRPr="008E1B83">
                    <w:rPr>
                      <w:i/>
                    </w:rPr>
                    <w:t xml:space="preserve"> to build rapport and [a] relationship and provide them with a sense of safety. [SFVS is a] brief intervention model, the reality of the work is that it takes time, and it takes more than 6 sessions, even more than </w:t>
                  </w:r>
                  <w:r w:rsidR="00363191">
                    <w:rPr>
                      <w:i/>
                    </w:rPr>
                    <w:t>ten</w:t>
                  </w:r>
                  <w:r w:rsidRPr="008E1B83">
                    <w:rPr>
                      <w:i/>
                    </w:rPr>
                    <w:t xml:space="preserve"> sessions, often the women are really shocked that it is limited. We need to have these discussions at the start, it’s not trauma</w:t>
                  </w:r>
                  <w:r w:rsidR="003268D3">
                    <w:rPr>
                      <w:i/>
                    </w:rPr>
                    <w:t>-</w:t>
                  </w:r>
                  <w:r w:rsidR="00FB64B9" w:rsidRPr="008E1B83">
                    <w:rPr>
                      <w:i/>
                    </w:rPr>
                    <w:t>informed</w:t>
                  </w:r>
                  <w:r w:rsidR="00903849" w:rsidRPr="008E1B83">
                    <w:rPr>
                      <w:i/>
                      <w:noProof/>
                    </w:rPr>
                    <w:drawing>
                      <wp:anchor distT="0" distB="0" distL="114300" distR="114300" simplePos="0" relativeHeight="251658321" behindDoc="0" locked="1" layoutInCell="1" allowOverlap="1" wp14:anchorId="3D8F3A3A" wp14:editId="3D1BC437">
                        <wp:simplePos x="0" y="0"/>
                        <wp:positionH relativeFrom="column">
                          <wp:posOffset>0</wp:posOffset>
                        </wp:positionH>
                        <wp:positionV relativeFrom="paragraph">
                          <wp:posOffset>0</wp:posOffset>
                        </wp:positionV>
                        <wp:extent cx="384810" cy="320040"/>
                        <wp:effectExtent l="0" t="0" r="0" b="3810"/>
                        <wp:wrapNone/>
                        <wp:docPr id="864999213" name="Graphic 864999213" descr="P2545#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999213" name="Graphic 864999213" descr="P2545#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24027">
                    <w:t xml:space="preserve"> </w:t>
                  </w:r>
                  <w:r w:rsidR="00CA1A2B">
                    <w:rPr>
                      <w:i/>
                    </w:rPr>
                    <w:t>–</w:t>
                  </w:r>
                  <w:r w:rsidR="00903849" w:rsidRPr="00EC2C55">
                    <w:t xml:space="preserve"> </w:t>
                  </w:r>
                  <w:r w:rsidR="00903849">
                    <w:rPr>
                      <w:b/>
                      <w:bCs/>
                      <w:i/>
                      <w:iCs/>
                    </w:rPr>
                    <w:t>SFVS</w:t>
                  </w:r>
                  <w:r w:rsidR="00903849" w:rsidRPr="00EC2C55">
                    <w:rPr>
                      <w:b/>
                      <w:bCs/>
                      <w:i/>
                      <w:iCs/>
                    </w:rPr>
                    <w:t xml:space="preserve"> service </w:t>
                  </w:r>
                  <w:r>
                    <w:rPr>
                      <w:b/>
                      <w:bCs/>
                      <w:i/>
                      <w:iCs/>
                    </w:rPr>
                    <w:t>p</w:t>
                  </w:r>
                  <w:r w:rsidR="00903849">
                    <w:rPr>
                      <w:b/>
                      <w:bCs/>
                      <w:i/>
                      <w:iCs/>
                    </w:rPr>
                    <w:t>r</w:t>
                  </w:r>
                  <w:r>
                    <w:rPr>
                      <w:b/>
                      <w:bCs/>
                      <w:i/>
                      <w:iCs/>
                    </w:rPr>
                    <w:t>ovider</w:t>
                  </w:r>
                </w:p>
                <w:p w14:paraId="3BF2407B" w14:textId="77777777" w:rsidR="00903849" w:rsidRPr="008E1B83" w:rsidRDefault="00903849" w:rsidP="00AC71EF">
                  <w:pPr>
                    <w:pStyle w:val="Text"/>
                    <w:rPr>
                      <w:i/>
                      <w:lang w:val="en-AU"/>
                    </w:rPr>
                  </w:pPr>
                </w:p>
                <w:p w14:paraId="1FDD7AA1" w14:textId="0D711A10" w:rsidR="00903849" w:rsidRPr="00052632" w:rsidRDefault="00903849" w:rsidP="00903849">
                  <w:pPr>
                    <w:pBdr>
                      <w:left w:val="single" w:sz="18" w:space="4" w:color="78B800" w:themeColor="accent1"/>
                    </w:pBdr>
                    <w:tabs>
                      <w:tab w:val="left" w:pos="8080"/>
                    </w:tabs>
                    <w:spacing w:after="0"/>
                    <w:ind w:left="851" w:right="949"/>
                  </w:pPr>
                  <w:r w:rsidRPr="008E1B83">
                    <w:rPr>
                      <w:i/>
                    </w:rPr>
                    <w:t xml:space="preserve">I would not like my counselling to finish until I am comfortable, ready to stand on my own two feet. I do not feel comfortable to let them go </w:t>
                  </w:r>
                  <w:r w:rsidR="0053400B" w:rsidRPr="008E1B83">
                    <w:rPr>
                      <w:i/>
                    </w:rPr>
                    <w:t>yet</w:t>
                  </w:r>
                  <w:r w:rsidRPr="008E1B83">
                    <w:rPr>
                      <w:i/>
                      <w:noProof/>
                    </w:rPr>
                    <w:drawing>
                      <wp:anchor distT="0" distB="0" distL="114300" distR="114300" simplePos="0" relativeHeight="251658322" behindDoc="0" locked="1" layoutInCell="1" allowOverlap="1" wp14:anchorId="0EB640F1" wp14:editId="485EF8DE">
                        <wp:simplePos x="0" y="0"/>
                        <wp:positionH relativeFrom="column">
                          <wp:posOffset>0</wp:posOffset>
                        </wp:positionH>
                        <wp:positionV relativeFrom="paragraph">
                          <wp:posOffset>0</wp:posOffset>
                        </wp:positionV>
                        <wp:extent cx="384810" cy="320040"/>
                        <wp:effectExtent l="0" t="0" r="0" b="3810"/>
                        <wp:wrapNone/>
                        <wp:docPr id="156927149" name="Graphic 156927149" descr="P2547#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27149" name="Graphic 156927149" descr="P2547#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24027">
                    <w:t xml:space="preserve"> </w:t>
                  </w:r>
                  <w:r w:rsidR="00CA1A2B">
                    <w:rPr>
                      <w:i/>
                    </w:rPr>
                    <w:t>–</w:t>
                  </w:r>
                  <w:r w:rsidRPr="00EC2C55">
                    <w:t xml:space="preserve"> </w:t>
                  </w:r>
                  <w:r>
                    <w:rPr>
                      <w:b/>
                      <w:bCs/>
                      <w:i/>
                      <w:iCs/>
                    </w:rPr>
                    <w:t>SFVS</w:t>
                  </w:r>
                  <w:r w:rsidRPr="00EC2C55">
                    <w:rPr>
                      <w:b/>
                      <w:bCs/>
                      <w:i/>
                      <w:iCs/>
                    </w:rPr>
                    <w:t xml:space="preserve"> service </w:t>
                  </w:r>
                  <w:r>
                    <w:rPr>
                      <w:b/>
                      <w:bCs/>
                      <w:i/>
                      <w:iCs/>
                    </w:rPr>
                    <w:t>user</w:t>
                  </w:r>
                </w:p>
                <w:p w14:paraId="32FCED3A" w14:textId="77777777" w:rsidR="00EB4D99" w:rsidRDefault="00EB4D99" w:rsidP="00215FAF">
                  <w:pPr>
                    <w:pStyle w:val="Text-BodyHeading"/>
                    <w:rPr>
                      <w:bCs w:val="0"/>
                      <w:iCs/>
                    </w:rPr>
                  </w:pPr>
                </w:p>
                <w:p w14:paraId="2C2A648D" w14:textId="6B7CE232" w:rsidR="00B13A0D" w:rsidRDefault="00AC71EF" w:rsidP="00124825">
                  <w:pPr>
                    <w:pStyle w:val="Text"/>
                    <w:rPr>
                      <w:lang w:val="en-AU"/>
                    </w:rPr>
                    <w:sectPr w:rsidR="00B13A0D" w:rsidSect="005A23BE">
                      <w:footerReference w:type="default" r:id="rId74"/>
                      <w:pgSz w:w="11909" w:h="16834" w:code="9"/>
                      <w:pgMar w:top="1440" w:right="1440" w:bottom="1440" w:left="1440" w:header="720" w:footer="720" w:gutter="0"/>
                      <w:cols w:space="720"/>
                      <w:docGrid w:linePitch="360"/>
                    </w:sectPr>
                  </w:pPr>
                  <w:r>
                    <w:rPr>
                      <w:lang w:val="en-AU"/>
                    </w:rPr>
                    <w:t xml:space="preserve"> </w:t>
                  </w:r>
                </w:p>
                <w:p w14:paraId="0BD0BA9D" w14:textId="77777777" w:rsidR="00C4066E" w:rsidRDefault="00C4066E" w:rsidP="00124825">
                  <w:pPr>
                    <w:pStyle w:val="Text"/>
                    <w:rPr>
                      <w:lang w:val="en-AU"/>
                    </w:rPr>
                  </w:pPr>
                </w:p>
                <w:p w14:paraId="7FAFB159" w14:textId="0212E45D" w:rsidR="00C4066E" w:rsidRPr="00BE4FAD" w:rsidRDefault="00C4066E" w:rsidP="00BE4FAD">
                  <w:pPr>
                    <w:pStyle w:val="Text"/>
                    <w:spacing w:before="12600"/>
                    <w:rPr>
                      <w:b/>
                      <w:sz w:val="72"/>
                      <w:szCs w:val="72"/>
                      <w:lang w:val="en-AU"/>
                    </w:rPr>
                  </w:pPr>
                  <w:r w:rsidRPr="00BE4FAD">
                    <w:rPr>
                      <w:b/>
                      <w:noProof/>
                      <w:color w:val="FFFFFF" w:themeColor="background1"/>
                      <w:sz w:val="72"/>
                      <w:szCs w:val="72"/>
                    </w:rPr>
                    <w:drawing>
                      <wp:anchor distT="0" distB="0" distL="114300" distR="114300" simplePos="0" relativeHeight="251658244" behindDoc="1" locked="1" layoutInCell="1" allowOverlap="1" wp14:anchorId="2DB57F5E" wp14:editId="3F29A374">
                        <wp:simplePos x="0" y="0"/>
                        <wp:positionH relativeFrom="page">
                          <wp:align>right</wp:align>
                        </wp:positionH>
                        <wp:positionV relativeFrom="margin">
                          <wp:align>center</wp:align>
                        </wp:positionV>
                        <wp:extent cx="7548880" cy="10673715"/>
                        <wp:effectExtent l="0" t="0" r="0" b="0"/>
                        <wp:wrapNone/>
                        <wp:docPr id="1198790833" name="Picture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8790833" name="Picture 11">
                                  <a:extLst>
                                    <a:ext uri="{C183D7F6-B498-43B3-948B-1728B52AA6E4}">
                                      <adec:decorative xmlns:adec="http://schemas.microsoft.com/office/drawing/2017/decorative" val="1"/>
                                    </a:ext>
                                  </a:extLst>
                                </pic:cNvPr>
                                <pic:cNvPicPr>
                                  <a:picLocks noChangeAspect="1" noChangeArrowheads="1"/>
                                </pic:cNvPicPr>
                              </pic:nvPicPr>
                              <pic:blipFill>
                                <a:blip r:embed="rId75" cstate="print">
                                  <a:extLst>
                                    <a:ext uri="{28A0092B-C50C-407E-A947-70E740481C1C}">
                                      <a14:useLocalDpi xmlns:a14="http://schemas.microsoft.com/office/drawing/2010/main" val="0"/>
                                    </a:ext>
                                  </a:extLst>
                                </a:blip>
                                <a:stretch>
                                  <a:fillRect/>
                                </a:stretch>
                              </pic:blipFill>
                              <pic:spPr bwMode="auto">
                                <a:xfrm>
                                  <a:off x="0" y="0"/>
                                  <a:ext cx="7548880" cy="106737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E4FAD" w:rsidRPr="00BE4FAD">
                    <w:rPr>
                      <w:b/>
                      <w:bCs/>
                      <w:color w:val="FFFFFF" w:themeColor="background1"/>
                      <w:sz w:val="72"/>
                      <w:szCs w:val="72"/>
                      <w:lang w:val="en-AU"/>
                    </w:rPr>
                    <w:t>Appropriateness</w:t>
                  </w:r>
                </w:p>
                <w:p w14:paraId="7FAE0542" w14:textId="3251DB78" w:rsidR="005674C7" w:rsidRPr="00325C47" w:rsidRDefault="005674C7" w:rsidP="002E7436">
                  <w:pPr>
                    <w:pStyle w:val="Heading1"/>
                  </w:pPr>
                  <w:bookmarkStart w:id="431" w:name="_Toc204856743"/>
                  <w:bookmarkStart w:id="432" w:name="_Ref207719723"/>
                  <w:bookmarkStart w:id="433" w:name="_Ref208575453"/>
                  <w:bookmarkStart w:id="434" w:name="_Toc208906856"/>
                  <w:r w:rsidRPr="00325C47">
                    <w:lastRenderedPageBreak/>
                    <w:t>Appropriateness</w:t>
                  </w:r>
                  <w:bookmarkEnd w:id="431"/>
                  <w:bookmarkEnd w:id="432"/>
                  <w:bookmarkEnd w:id="433"/>
                  <w:bookmarkEnd w:id="434"/>
                </w:p>
                <w:p w14:paraId="520CBCF8" w14:textId="5D86B47C" w:rsidR="003B12D7" w:rsidRDefault="005674C7" w:rsidP="003B12D7">
                  <w:pPr>
                    <w:pStyle w:val="Text"/>
                    <w:rPr>
                      <w:lang w:val="en-US"/>
                    </w:rPr>
                  </w:pPr>
                  <w:r>
                    <w:rPr>
                      <w:lang w:val="en-US"/>
                    </w:rPr>
                    <w:t>This section addresses the appropriateness of the current FaRS and SFVS model for contemporary service users, including priority cohorts, and the appropriateness of tele</w:t>
                  </w:r>
                  <w:r w:rsidR="00147E23">
                    <w:rPr>
                      <w:lang w:val="en-US"/>
                    </w:rPr>
                    <w:t>-</w:t>
                  </w:r>
                  <w:r>
                    <w:rPr>
                      <w:lang w:val="en-US"/>
                    </w:rPr>
                    <w:t>practice</w:t>
                  </w:r>
                  <w:r w:rsidR="008A2876">
                    <w:rPr>
                      <w:lang w:val="en-US"/>
                    </w:rPr>
                    <w:t xml:space="preserve">. It examines </w:t>
                  </w:r>
                  <w:r w:rsidRPr="006A0B49">
                    <w:rPr>
                      <w:lang w:val="en-US"/>
                    </w:rPr>
                    <w:t xml:space="preserve">barriers to </w:t>
                  </w:r>
                  <w:hyperlink w:anchor="KEQ3" w:history="1">
                    <w:r w:rsidRPr="00321BC5">
                      <w:rPr>
                        <w:rStyle w:val="Hyperlink"/>
                        <w:rFonts w:asciiTheme="minorHAnsi" w:hAnsiTheme="minorHAnsi"/>
                        <w:color w:val="007E00" w:themeColor="accent3"/>
                        <w:lang w:val="en-US"/>
                      </w:rPr>
                      <w:t>effective implementation and opportunities for its expansion (KEQ 3)</w:t>
                    </w:r>
                  </w:hyperlink>
                  <w:r w:rsidRPr="00321BC5">
                    <w:rPr>
                      <w:color w:val="007E00" w:themeColor="accent3"/>
                      <w:lang w:val="en-US"/>
                    </w:rPr>
                    <w:t>;</w:t>
                  </w:r>
                  <w:r w:rsidR="006A0B49" w:rsidRPr="00321BC5">
                    <w:rPr>
                      <w:color w:val="007E00" w:themeColor="accent3"/>
                      <w:lang w:val="en-US"/>
                    </w:rPr>
                    <w:t xml:space="preserve"> </w:t>
                  </w:r>
                  <w:hyperlink w:anchor="KEQ4" w:history="1">
                    <w:r w:rsidR="006A0B49" w:rsidRPr="00321BC5">
                      <w:rPr>
                        <w:rStyle w:val="Hyperlink"/>
                        <w:rFonts w:asciiTheme="minorHAnsi" w:hAnsiTheme="minorHAnsi"/>
                        <w:color w:val="007E00" w:themeColor="accent3"/>
                        <w:lang w:val="en-US"/>
                      </w:rPr>
                      <w:t xml:space="preserve">the </w:t>
                    </w:r>
                    <w:r w:rsidR="00DC34CA" w:rsidRPr="00321BC5">
                      <w:rPr>
                        <w:rStyle w:val="Hyperlink"/>
                        <w:rFonts w:asciiTheme="minorHAnsi" w:hAnsiTheme="minorHAnsi"/>
                        <w:color w:val="007E00" w:themeColor="accent3"/>
                        <w:lang w:val="en-US"/>
                      </w:rPr>
                      <w:t xml:space="preserve">complementarity and </w:t>
                    </w:r>
                    <w:r w:rsidR="006A0B49" w:rsidRPr="00321BC5">
                      <w:rPr>
                        <w:rStyle w:val="Hyperlink"/>
                        <w:rFonts w:asciiTheme="minorHAnsi" w:hAnsiTheme="minorHAnsi"/>
                        <w:color w:val="007E00" w:themeColor="accent3"/>
                        <w:lang w:val="en-US"/>
                      </w:rPr>
                      <w:t>overlap between FaRS and SFVS (KEQ 4)</w:t>
                    </w:r>
                  </w:hyperlink>
                  <w:r w:rsidR="006A0B49" w:rsidRPr="006A0B49">
                    <w:rPr>
                      <w:lang w:val="en-US"/>
                    </w:rPr>
                    <w:t xml:space="preserve">; </w:t>
                  </w:r>
                  <w:r w:rsidRPr="006A0B49">
                    <w:rPr>
                      <w:lang w:val="en-US"/>
                    </w:rPr>
                    <w:t xml:space="preserve">the </w:t>
                  </w:r>
                  <w:hyperlink w:anchor="KEQ5" w:history="1">
                    <w:r w:rsidRPr="00321BC5">
                      <w:rPr>
                        <w:rStyle w:val="Hyperlink"/>
                        <w:rFonts w:asciiTheme="minorHAnsi" w:hAnsiTheme="minorHAnsi"/>
                        <w:color w:val="007E00" w:themeColor="accent3"/>
                        <w:lang w:val="en-US"/>
                      </w:rPr>
                      <w:t xml:space="preserve">current level and distribution of need for FaRS </w:t>
                    </w:r>
                    <w:r w:rsidR="00783967" w:rsidRPr="00321BC5">
                      <w:rPr>
                        <w:rStyle w:val="Hyperlink"/>
                        <w:rFonts w:asciiTheme="minorHAnsi" w:hAnsiTheme="minorHAnsi"/>
                        <w:color w:val="007E00" w:themeColor="accent3"/>
                        <w:lang w:val="en-US"/>
                      </w:rPr>
                      <w:t xml:space="preserve">and </w:t>
                    </w:r>
                    <w:r w:rsidRPr="00321BC5">
                      <w:rPr>
                        <w:rStyle w:val="Hyperlink"/>
                        <w:rFonts w:asciiTheme="minorHAnsi" w:hAnsiTheme="minorHAnsi"/>
                        <w:color w:val="007E00" w:themeColor="accent3"/>
                        <w:lang w:val="en-US"/>
                      </w:rPr>
                      <w:t>SFVS (KEQ 5)</w:t>
                    </w:r>
                  </w:hyperlink>
                  <w:r w:rsidRPr="006A0B49">
                    <w:rPr>
                      <w:lang w:val="en-US"/>
                    </w:rPr>
                    <w:t>;</w:t>
                  </w:r>
                  <w:r>
                    <w:rPr>
                      <w:lang w:val="en-US"/>
                    </w:rPr>
                    <w:t xml:space="preserve"> and </w:t>
                  </w:r>
                  <w:r w:rsidR="00E456E1">
                    <w:rPr>
                      <w:lang w:val="en-US"/>
                    </w:rPr>
                    <w:t xml:space="preserve">perceived </w:t>
                  </w:r>
                  <w:hyperlink w:anchor="KEQ6" w:history="1">
                    <w:r w:rsidRPr="00321BC5">
                      <w:rPr>
                        <w:rStyle w:val="Hyperlink"/>
                        <w:rFonts w:asciiTheme="minorHAnsi" w:hAnsiTheme="minorHAnsi"/>
                        <w:color w:val="007E00" w:themeColor="accent3"/>
                        <w:lang w:val="en-US"/>
                      </w:rPr>
                      <w:t xml:space="preserve">enablers and barriers to effective implementation of the current FaRS </w:t>
                    </w:r>
                    <w:r w:rsidR="00562B65" w:rsidRPr="00321BC5">
                      <w:rPr>
                        <w:rStyle w:val="Hyperlink"/>
                        <w:rFonts w:asciiTheme="minorHAnsi" w:hAnsiTheme="minorHAnsi"/>
                        <w:color w:val="007E00" w:themeColor="accent3"/>
                        <w:lang w:val="en-US"/>
                      </w:rPr>
                      <w:t xml:space="preserve">and </w:t>
                    </w:r>
                    <w:r w:rsidRPr="00321BC5">
                      <w:rPr>
                        <w:rStyle w:val="Hyperlink"/>
                        <w:rFonts w:asciiTheme="minorHAnsi" w:hAnsiTheme="minorHAnsi"/>
                        <w:color w:val="007E00" w:themeColor="accent3"/>
                        <w:lang w:val="en-US"/>
                      </w:rPr>
                      <w:t>SFVS model (KEQ 6)</w:t>
                    </w:r>
                  </w:hyperlink>
                  <w:r w:rsidRPr="006A0B49">
                    <w:rPr>
                      <w:lang w:val="en-US"/>
                    </w:rPr>
                    <w:t>.</w:t>
                  </w:r>
                  <w:r>
                    <w:rPr>
                      <w:lang w:val="en-US"/>
                    </w:rPr>
                    <w:t xml:space="preserve"> </w:t>
                  </w:r>
                  <w:r w:rsidR="007634C9">
                    <w:rPr>
                      <w:lang w:val="en-US"/>
                    </w:rPr>
                    <w:t xml:space="preserve">Whilst the current level and distribution of need is considered at a high level in this report, it will be the subject of further research during a subsequent phase of this project. </w:t>
                  </w:r>
                </w:p>
                <w:p w14:paraId="455F2700" w14:textId="77777777" w:rsidR="00060D66" w:rsidRPr="00060D66" w:rsidRDefault="00060D66" w:rsidP="00060D66">
                  <w:pPr>
                    <w:pStyle w:val="ListParagraph"/>
                    <w:keepNext/>
                    <w:numPr>
                      <w:ilvl w:val="0"/>
                      <w:numId w:val="29"/>
                    </w:numPr>
                    <w:spacing w:before="360" w:after="120" w:line="274" w:lineRule="auto"/>
                    <w:contextualSpacing w:val="0"/>
                    <w:outlineLvl w:val="1"/>
                    <w:rPr>
                      <w:rFonts w:ascii="Arial" w:hAnsi="Arial"/>
                      <w:b/>
                      <w:bCs/>
                      <w:vanish/>
                      <w:color w:val="007E00" w:themeColor="accent3"/>
                      <w:sz w:val="36"/>
                      <w:szCs w:val="36"/>
                    </w:rPr>
                  </w:pPr>
                  <w:bookmarkStart w:id="435" w:name="_Toc208242852"/>
                  <w:bookmarkStart w:id="436" w:name="_Toc208906857"/>
                  <w:bookmarkEnd w:id="435"/>
                  <w:bookmarkEnd w:id="436"/>
                </w:p>
                <w:p w14:paraId="7A99A6AE" w14:textId="50D2E319" w:rsidR="00CB6068" w:rsidRDefault="00CB6068" w:rsidP="00060D66">
                  <w:pPr>
                    <w:pStyle w:val="Heading2"/>
                  </w:pPr>
                  <w:bookmarkStart w:id="437" w:name="_Toc208906858"/>
                  <w:r>
                    <w:t>Key findings</w:t>
                  </w:r>
                  <w:bookmarkEnd w:id="437"/>
                  <w:r>
                    <w:t xml:space="preserve"> </w:t>
                  </w:r>
                </w:p>
                <w:tbl>
                  <w:tblPr>
                    <w:tblStyle w:val="ACTableDesign1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4" w:type="dxa"/>
                      <w:right w:w="284" w:type="dxa"/>
                    </w:tblCellMar>
                    <w:tblLook w:val="04A0" w:firstRow="1" w:lastRow="0" w:firstColumn="1" w:lastColumn="0" w:noHBand="0" w:noVBand="1"/>
                  </w:tblPr>
                  <w:tblGrid>
                    <w:gridCol w:w="880"/>
                    <w:gridCol w:w="8149"/>
                  </w:tblGrid>
                  <w:tr w:rsidR="00651E73" w:rsidRPr="00C73D94" w14:paraId="0221FD7C"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gridSpan w:val="2"/>
                        <w:tcBorders>
                          <w:bottom w:val="single" w:sz="36" w:space="0" w:color="FFFFFF" w:themeColor="text1"/>
                        </w:tcBorders>
                        <w:shd w:val="clear" w:color="auto" w:fill="078C8C"/>
                      </w:tcPr>
                      <w:p w14:paraId="72B418A2" w14:textId="1DD5EF7C" w:rsidR="00651E73" w:rsidRPr="00C73D94" w:rsidRDefault="00651E73">
                        <w:pPr>
                          <w:spacing w:before="240"/>
                          <w:rPr>
                            <w:rFonts w:eastAsia="Arial" w:cs="Times New Roman"/>
                            <w:bCs/>
                          </w:rPr>
                        </w:pPr>
                        <w:r>
                          <w:rPr>
                            <w:rFonts w:eastAsia="Arial" w:cs="Times New Roman"/>
                            <w:color w:val="FFFFFF" w:themeColor="background1"/>
                          </w:rPr>
                          <w:t>Findings</w:t>
                        </w:r>
                      </w:p>
                    </w:tc>
                  </w:tr>
                  <w:tr w:rsidR="00651E73" w:rsidRPr="00C73D94" w14:paraId="1A8F91A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4" w:type="dxa"/>
                        <w:tcBorders>
                          <w:top w:val="single" w:sz="18" w:space="0" w:color="FFFFFF" w:themeColor="text1"/>
                          <w:bottom w:val="single" w:sz="18" w:space="0" w:color="FFFFFF" w:themeColor="text1"/>
                          <w:right w:val="single" w:sz="18" w:space="0" w:color="FFFFFF" w:themeColor="text1"/>
                        </w:tcBorders>
                        <w:shd w:val="clear" w:color="auto" w:fill="C6E0DC"/>
                      </w:tcPr>
                      <w:p w14:paraId="6D06309F" w14:textId="77777777" w:rsidR="00651E73" w:rsidRPr="00C73D94" w:rsidRDefault="00651E73">
                        <w:pPr>
                          <w:rPr>
                            <w:rFonts w:eastAsia="Arial" w:cs="Times New Roman"/>
                            <w:b/>
                            <w:bCs/>
                            <w:sz w:val="28"/>
                            <w:szCs w:val="28"/>
                          </w:rPr>
                        </w:pPr>
                        <w:r>
                          <w:rPr>
                            <w:rFonts w:eastAsia="Arial" w:cs="Times New Roman"/>
                            <w:b/>
                            <w:bCs/>
                            <w:sz w:val="28"/>
                            <w:szCs w:val="28"/>
                          </w:rPr>
                          <w:t>6</w:t>
                        </w:r>
                      </w:p>
                    </w:tc>
                    <w:tc>
                      <w:tcPr>
                        <w:tcW w:w="8305" w:type="dxa"/>
                        <w:tcBorders>
                          <w:top w:val="single" w:sz="18" w:space="0" w:color="FFFFFF" w:themeColor="text1"/>
                          <w:left w:val="single" w:sz="18" w:space="0" w:color="FFFFFF" w:themeColor="text1"/>
                          <w:bottom w:val="single" w:sz="18" w:space="0" w:color="FFFFFF" w:themeColor="text1"/>
                        </w:tcBorders>
                        <w:shd w:val="clear" w:color="auto" w:fill="C6E0DC"/>
                      </w:tcPr>
                      <w:p w14:paraId="218434E8" w14:textId="77777777" w:rsidR="00651E73" w:rsidRDefault="00651E73">
                        <w:pPr>
                          <w:cnfStyle w:val="000000100000" w:firstRow="0" w:lastRow="0" w:firstColumn="0" w:lastColumn="0" w:oddVBand="0" w:evenVBand="0" w:oddHBand="1" w:evenHBand="0" w:firstRowFirstColumn="0" w:firstRowLastColumn="0" w:lastRowFirstColumn="0" w:lastRowLastColumn="0"/>
                          <w:rPr>
                            <w:rFonts w:eastAsia="Arial" w:cs="Times New Roman"/>
                            <w:b/>
                            <w:bCs/>
                          </w:rPr>
                        </w:pPr>
                        <w:r>
                          <w:rPr>
                            <w:rFonts w:eastAsia="Arial" w:cs="Times New Roman"/>
                            <w:b/>
                            <w:bCs/>
                          </w:rPr>
                          <w:t>FaRS and SFVS are largely meeting the needs of most priority cohorts, although there remains scope for improvement</w:t>
                        </w:r>
                      </w:p>
                      <w:p w14:paraId="67EE7D79" w14:textId="77777777" w:rsidR="00651E73" w:rsidRPr="00B81B96" w:rsidRDefault="00651E73">
                        <w:pPr>
                          <w:cnfStyle w:val="000000100000" w:firstRow="0" w:lastRow="0" w:firstColumn="0" w:lastColumn="0" w:oddVBand="0" w:evenVBand="0" w:oddHBand="1" w:evenHBand="0" w:firstRowFirstColumn="0" w:firstRowLastColumn="0" w:lastRowFirstColumn="0" w:lastRowLastColumn="0"/>
                          <w:rPr>
                            <w:rFonts w:eastAsia="Arial" w:cs="Times New Roman"/>
                          </w:rPr>
                        </w:pPr>
                        <w:r w:rsidRPr="00B81B96">
                          <w:rPr>
                            <w:rFonts w:eastAsia="Arial" w:cs="Times New Roman"/>
                          </w:rPr>
                          <w:t>There is evidence that FaRS and SFVS are successfully reaching Aboriginal and Torres Strait Islander people and communities and people who identify as culturally and linguistically diverse (CALD) and are achieving positive outcomes for these cohorts.</w:t>
                        </w:r>
                      </w:p>
                      <w:p w14:paraId="435078F4" w14:textId="77777777" w:rsidR="00651E73" w:rsidRPr="00B81B96" w:rsidRDefault="00651E73">
                        <w:pPr>
                          <w:cnfStyle w:val="000000100000" w:firstRow="0" w:lastRow="0" w:firstColumn="0" w:lastColumn="0" w:oddVBand="0" w:evenVBand="0" w:oddHBand="1" w:evenHBand="0" w:firstRowFirstColumn="0" w:firstRowLastColumn="0" w:lastRowFirstColumn="0" w:lastRowLastColumn="0"/>
                          <w:rPr>
                            <w:rFonts w:eastAsia="Arial" w:cs="Times New Roman"/>
                          </w:rPr>
                        </w:pPr>
                        <w:r w:rsidRPr="00B81B96">
                          <w:rPr>
                            <w:rFonts w:eastAsia="Arial" w:cs="Times New Roman"/>
                          </w:rPr>
                          <w:t>Rates of participation in FaRS and SFVS by people with disability are lower than is expected based on population and family violence data. However, outcomes for people with disability are consistent with outcomes for the general population.</w:t>
                        </w:r>
                      </w:p>
                      <w:p w14:paraId="013CF4FF" w14:textId="77777777" w:rsidR="00651E73" w:rsidRPr="00C73D94" w:rsidRDefault="00651E73">
                        <w:pPr>
                          <w:cnfStyle w:val="000000100000" w:firstRow="0" w:lastRow="0" w:firstColumn="0" w:lastColumn="0" w:oddVBand="0" w:evenVBand="0" w:oddHBand="1" w:evenHBand="0" w:firstRowFirstColumn="0" w:firstRowLastColumn="0" w:lastRowFirstColumn="0" w:lastRowLastColumn="0"/>
                          <w:rPr>
                            <w:rFonts w:eastAsia="Arial" w:cs="Times New Roman"/>
                          </w:rPr>
                        </w:pPr>
                        <w:r w:rsidRPr="00B81B96">
                          <w:rPr>
                            <w:rFonts w:eastAsia="Arial" w:cs="Times New Roman"/>
                          </w:rPr>
                          <w:t>Evidence on reach and outcomes for the LGBTQIA+ community is limited as Data Exchange (DEX) data does not fully capture LGBTQIA+ status.</w:t>
                        </w:r>
                      </w:p>
                    </w:tc>
                  </w:tr>
                  <w:tr w:rsidR="00651E73" w:rsidRPr="00C73D94" w14:paraId="729507EE"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4" w:type="dxa"/>
                        <w:tcBorders>
                          <w:top w:val="single" w:sz="18" w:space="0" w:color="FFFFFF" w:themeColor="text1"/>
                          <w:bottom w:val="single" w:sz="18" w:space="0" w:color="FFFFFF" w:themeColor="text1"/>
                          <w:right w:val="single" w:sz="18" w:space="0" w:color="FFFFFF" w:themeColor="text1"/>
                        </w:tcBorders>
                        <w:shd w:val="clear" w:color="auto" w:fill="C6E0DC"/>
                      </w:tcPr>
                      <w:p w14:paraId="10D2DA22" w14:textId="77777777" w:rsidR="00651E73" w:rsidRPr="00C73D94" w:rsidRDefault="00651E73">
                        <w:pPr>
                          <w:rPr>
                            <w:rFonts w:eastAsia="Arial" w:cs="Times New Roman"/>
                            <w:b/>
                            <w:bCs/>
                            <w:sz w:val="28"/>
                            <w:szCs w:val="28"/>
                          </w:rPr>
                        </w:pPr>
                        <w:r>
                          <w:rPr>
                            <w:rFonts w:eastAsia="Arial" w:cs="Times New Roman"/>
                            <w:b/>
                            <w:bCs/>
                            <w:sz w:val="28"/>
                            <w:szCs w:val="28"/>
                          </w:rPr>
                          <w:t>7</w:t>
                        </w:r>
                      </w:p>
                    </w:tc>
                    <w:tc>
                      <w:tcPr>
                        <w:tcW w:w="8305" w:type="dxa"/>
                        <w:tcBorders>
                          <w:top w:val="single" w:sz="18" w:space="0" w:color="FFFFFF" w:themeColor="text1"/>
                          <w:left w:val="single" w:sz="18" w:space="0" w:color="FFFFFF" w:themeColor="text1"/>
                          <w:bottom w:val="single" w:sz="18" w:space="0" w:color="FFFFFF" w:themeColor="text1"/>
                        </w:tcBorders>
                        <w:shd w:val="clear" w:color="auto" w:fill="C6E0DC"/>
                      </w:tcPr>
                      <w:p w14:paraId="04070703" w14:textId="77777777" w:rsidR="00651E73" w:rsidRPr="00FA09DF" w:rsidRDefault="00651E73">
                        <w:pPr>
                          <w:cnfStyle w:val="000000010000" w:firstRow="0" w:lastRow="0" w:firstColumn="0" w:lastColumn="0" w:oddVBand="0" w:evenVBand="0" w:oddHBand="0" w:evenHBand="1" w:firstRowFirstColumn="0" w:firstRowLastColumn="0" w:lastRowFirstColumn="0" w:lastRowLastColumn="0"/>
                          <w:rPr>
                            <w:rFonts w:eastAsia="Arial" w:cs="Times New Roman"/>
                            <w:b/>
                            <w:bCs/>
                          </w:rPr>
                        </w:pPr>
                        <w:r w:rsidRPr="008B5FDF">
                          <w:rPr>
                            <w:rFonts w:eastAsia="Arial" w:cs="Times New Roman"/>
                            <w:b/>
                            <w:bCs/>
                          </w:rPr>
                          <w:t>A</w:t>
                        </w:r>
                        <w:r>
                          <w:rPr>
                            <w:rFonts w:eastAsia="Arial" w:cs="Times New Roman"/>
                            <w:b/>
                            <w:bCs/>
                          </w:rPr>
                          <w:t xml:space="preserve">boriginal </w:t>
                        </w:r>
                        <w:r w:rsidRPr="008B5FDF">
                          <w:rPr>
                            <w:rFonts w:eastAsia="Arial" w:cs="Times New Roman"/>
                            <w:b/>
                            <w:bCs/>
                          </w:rPr>
                          <w:t>C</w:t>
                        </w:r>
                        <w:r>
                          <w:rPr>
                            <w:rFonts w:eastAsia="Arial" w:cs="Times New Roman"/>
                            <w:b/>
                            <w:bCs/>
                          </w:rPr>
                          <w:t xml:space="preserve">ommunity </w:t>
                        </w:r>
                        <w:r w:rsidRPr="008B5FDF">
                          <w:rPr>
                            <w:rFonts w:eastAsia="Arial" w:cs="Times New Roman"/>
                            <w:b/>
                            <w:bCs/>
                          </w:rPr>
                          <w:t>C</w:t>
                        </w:r>
                        <w:r>
                          <w:rPr>
                            <w:rFonts w:eastAsia="Arial" w:cs="Times New Roman"/>
                            <w:b/>
                            <w:bCs/>
                          </w:rPr>
                          <w:t xml:space="preserve">ontrolled </w:t>
                        </w:r>
                        <w:r w:rsidRPr="008B5FDF">
                          <w:rPr>
                            <w:rFonts w:eastAsia="Arial" w:cs="Times New Roman"/>
                            <w:b/>
                            <w:bCs/>
                          </w:rPr>
                          <w:t>O</w:t>
                        </w:r>
                        <w:r>
                          <w:rPr>
                            <w:rFonts w:eastAsia="Arial" w:cs="Times New Roman"/>
                            <w:b/>
                            <w:bCs/>
                          </w:rPr>
                          <w:t>rganisation</w:t>
                        </w:r>
                        <w:r w:rsidRPr="008B5FDF">
                          <w:rPr>
                            <w:rFonts w:eastAsia="Arial" w:cs="Times New Roman"/>
                            <w:b/>
                            <w:bCs/>
                          </w:rPr>
                          <w:t>s</w:t>
                        </w:r>
                        <w:r>
                          <w:rPr>
                            <w:rFonts w:eastAsia="Arial" w:cs="Times New Roman"/>
                            <w:b/>
                            <w:bCs/>
                          </w:rPr>
                          <w:t xml:space="preserve"> (</w:t>
                        </w:r>
                        <w:r w:rsidRPr="008B5FDF">
                          <w:rPr>
                            <w:rFonts w:eastAsia="Arial" w:cs="Times New Roman"/>
                            <w:b/>
                            <w:bCs/>
                          </w:rPr>
                          <w:t>ACCOs</w:t>
                        </w:r>
                        <w:r>
                          <w:rPr>
                            <w:rFonts w:eastAsia="Arial" w:cs="Times New Roman"/>
                            <w:b/>
                            <w:bCs/>
                          </w:rPr>
                          <w:t>)</w:t>
                        </w:r>
                        <w:r w:rsidRPr="008B5FDF">
                          <w:rPr>
                            <w:rFonts w:eastAsia="Arial" w:cs="Times New Roman"/>
                            <w:b/>
                            <w:bCs/>
                          </w:rPr>
                          <w:t xml:space="preserve"> are designing and implementing culturally appropriate, community-controlled services, but</w:t>
                        </w:r>
                        <w:r>
                          <w:rPr>
                            <w:rFonts w:eastAsia="Arial" w:cs="Times New Roman"/>
                            <w:b/>
                            <w:bCs/>
                          </w:rPr>
                          <w:t xml:space="preserve"> are reliant on other </w:t>
                        </w:r>
                        <w:r w:rsidRPr="00FA09DF">
                          <w:rPr>
                            <w:rFonts w:eastAsia="Arial" w:cs="Times New Roman"/>
                            <w:b/>
                            <w:bCs/>
                          </w:rPr>
                          <w:t>funding sources to meet client and community needs</w:t>
                        </w:r>
                      </w:p>
                      <w:p w14:paraId="1CA49FD9" w14:textId="77777777" w:rsidR="00651E73" w:rsidRDefault="00651E73">
                        <w:pPr>
                          <w:cnfStyle w:val="000000010000" w:firstRow="0" w:lastRow="0" w:firstColumn="0" w:lastColumn="0" w:oddVBand="0" w:evenVBand="0" w:oddHBand="0" w:evenHBand="1" w:firstRowFirstColumn="0" w:firstRowLastColumn="0" w:lastRowFirstColumn="0" w:lastRowLastColumn="0"/>
                          <w:rPr>
                            <w:rFonts w:eastAsia="Arial" w:cs="Times New Roman"/>
                            <w:b/>
                            <w:bCs/>
                          </w:rPr>
                        </w:pPr>
                        <w:r w:rsidRPr="00291280">
                          <w:rPr>
                            <w:rFonts w:eastAsia="Arial" w:cs="Times New Roman"/>
                            <w:color w:val="36424A" w:themeColor="background2"/>
                          </w:rPr>
                          <w:t xml:space="preserve">Some ACCOs have successfully leveraged their existing relationships and trust with their communities to lay firm foundations for ACCO-led SFVS programs. SFVS program guidelines have enabled ACCOs to co-design flexible, trauma-informed and integrated approaches, which embed community ownership. Current SFVS funding arrangements are </w:t>
                        </w:r>
                        <w:r w:rsidRPr="00291280">
                          <w:rPr>
                            <w:rFonts w:eastAsia="Arial" w:cs="Times New Roman"/>
                            <w:color w:val="36424A" w:themeColor="background2"/>
                          </w:rPr>
                          <w:lastRenderedPageBreak/>
                          <w:t>insufficient to support full implementation of these approaches which currently rely on other support to operate.</w:t>
                        </w:r>
                      </w:p>
                    </w:tc>
                  </w:tr>
                  <w:tr w:rsidR="00651E73" w:rsidRPr="00C73D94" w14:paraId="18B9A3B5"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Borders>
                          <w:top w:val="single" w:sz="18" w:space="0" w:color="FFFFFF" w:themeColor="text1"/>
                          <w:bottom w:val="single" w:sz="18" w:space="0" w:color="FFFFFF" w:themeColor="text1"/>
                          <w:right w:val="single" w:sz="18" w:space="0" w:color="FFFFFF" w:themeColor="text1"/>
                        </w:tcBorders>
                        <w:shd w:val="clear" w:color="auto" w:fill="C6E0DC"/>
                      </w:tcPr>
                      <w:p w14:paraId="5A5E3194" w14:textId="77777777" w:rsidR="00651E73" w:rsidRDefault="00651E73">
                        <w:pPr>
                          <w:rPr>
                            <w:rFonts w:eastAsia="Arial" w:cs="Times New Roman"/>
                            <w:b/>
                            <w:bCs/>
                            <w:sz w:val="28"/>
                            <w:szCs w:val="28"/>
                          </w:rPr>
                        </w:pPr>
                        <w:r>
                          <w:rPr>
                            <w:rFonts w:eastAsia="Arial" w:cs="Times New Roman"/>
                            <w:b/>
                            <w:bCs/>
                            <w:sz w:val="28"/>
                            <w:szCs w:val="28"/>
                          </w:rPr>
                          <w:lastRenderedPageBreak/>
                          <w:t>8</w:t>
                        </w:r>
                      </w:p>
                    </w:tc>
                    <w:tc>
                      <w:tcPr>
                        <w:tcW w:w="0" w:type="dxa"/>
                        <w:tcBorders>
                          <w:top w:val="single" w:sz="18" w:space="0" w:color="FFFFFF" w:themeColor="text1"/>
                          <w:left w:val="single" w:sz="18" w:space="0" w:color="FFFFFF" w:themeColor="text1"/>
                          <w:bottom w:val="single" w:sz="18" w:space="0" w:color="FFFFFF" w:themeColor="text1"/>
                        </w:tcBorders>
                        <w:shd w:val="clear" w:color="auto" w:fill="C6E0DC"/>
                      </w:tcPr>
                      <w:p w14:paraId="6AA0E397" w14:textId="77777777" w:rsidR="00651E73" w:rsidRDefault="00651E73">
                        <w:pPr>
                          <w:cnfStyle w:val="000000100000" w:firstRow="0" w:lastRow="0" w:firstColumn="0" w:lastColumn="0" w:oddVBand="0" w:evenVBand="0" w:oddHBand="1" w:evenHBand="0" w:firstRowFirstColumn="0" w:firstRowLastColumn="0" w:lastRowFirstColumn="0" w:lastRowLastColumn="0"/>
                          <w:rPr>
                            <w:rFonts w:eastAsia="Arial" w:cs="Times New Roman"/>
                            <w:b/>
                            <w:bCs/>
                          </w:rPr>
                        </w:pPr>
                        <w:r w:rsidRPr="00CA1C51">
                          <w:rPr>
                            <w:rFonts w:eastAsia="Arial" w:cs="Times New Roman"/>
                            <w:b/>
                            <w:bCs/>
                          </w:rPr>
                          <w:t>Child-</w:t>
                        </w:r>
                        <w:r>
                          <w:rPr>
                            <w:rFonts w:eastAsia="Arial" w:cs="Times New Roman"/>
                            <w:b/>
                            <w:bCs/>
                          </w:rPr>
                          <w:t>S</w:t>
                        </w:r>
                        <w:r w:rsidRPr="00CA1C51">
                          <w:rPr>
                            <w:rFonts w:eastAsia="Arial" w:cs="Times New Roman"/>
                            <w:b/>
                            <w:bCs/>
                          </w:rPr>
                          <w:t xml:space="preserve">pecific </w:t>
                        </w:r>
                        <w:r>
                          <w:rPr>
                            <w:rFonts w:eastAsia="Arial" w:cs="Times New Roman"/>
                            <w:b/>
                            <w:bCs/>
                          </w:rPr>
                          <w:t>C</w:t>
                        </w:r>
                        <w:r w:rsidRPr="00CA1C51">
                          <w:rPr>
                            <w:rFonts w:eastAsia="Arial" w:cs="Times New Roman"/>
                            <w:b/>
                            <w:bCs/>
                          </w:rPr>
                          <w:t>ounselling</w:t>
                        </w:r>
                        <w:r>
                          <w:rPr>
                            <w:rFonts w:eastAsia="Arial" w:cs="Times New Roman"/>
                            <w:b/>
                            <w:bCs/>
                          </w:rPr>
                          <w:t xml:space="preserve"> (CSC) services are achieving positive outcomes for children</w:t>
                        </w:r>
                      </w:p>
                      <w:p w14:paraId="3947F61E" w14:textId="77777777" w:rsidR="00651E73" w:rsidRPr="008B5FDF" w:rsidRDefault="00651E73">
                        <w:pPr>
                          <w:cnfStyle w:val="000000100000" w:firstRow="0" w:lastRow="0" w:firstColumn="0" w:lastColumn="0" w:oddVBand="0" w:evenVBand="0" w:oddHBand="1" w:evenHBand="0" w:firstRowFirstColumn="0" w:firstRowLastColumn="0" w:lastRowFirstColumn="0" w:lastRowLastColumn="0"/>
                          <w:rPr>
                            <w:rFonts w:eastAsia="Arial" w:cs="Times New Roman"/>
                            <w:b/>
                            <w:bCs/>
                          </w:rPr>
                        </w:pPr>
                        <w:r w:rsidRPr="00291280">
                          <w:rPr>
                            <w:rFonts w:eastAsia="Arial" w:cs="Times New Roman"/>
                            <w:color w:val="36424A" w:themeColor="background2"/>
                          </w:rPr>
                          <w:t>Services delivered to children are supporting positive outcomes for children and play an important role in ensuring children and young people feel seen, heard, and recognised. Data suggests that there is significant unmet need for support for children who have experienced or been exposed to family violence. The key challenge to scaling CSC is securing counsellors with specialist skills and experience to work with children.</w:t>
                        </w:r>
                      </w:p>
                    </w:tc>
                  </w:tr>
                  <w:tr w:rsidR="00651E73" w:rsidRPr="00C73D94" w14:paraId="6302DA6C"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Borders>
                          <w:top w:val="single" w:sz="18" w:space="0" w:color="FFFFFF" w:themeColor="text1"/>
                          <w:bottom w:val="single" w:sz="18" w:space="0" w:color="FFFFFF" w:themeColor="text1"/>
                          <w:right w:val="single" w:sz="18" w:space="0" w:color="FFFFFF" w:themeColor="text1"/>
                        </w:tcBorders>
                        <w:shd w:val="clear" w:color="auto" w:fill="C6E0DC"/>
                      </w:tcPr>
                      <w:p w14:paraId="24CA232F" w14:textId="77777777" w:rsidR="00651E73" w:rsidRDefault="00651E73">
                        <w:pPr>
                          <w:rPr>
                            <w:rFonts w:eastAsia="Arial" w:cs="Times New Roman"/>
                            <w:b/>
                            <w:bCs/>
                            <w:sz w:val="28"/>
                            <w:szCs w:val="28"/>
                          </w:rPr>
                        </w:pPr>
                        <w:r>
                          <w:rPr>
                            <w:rFonts w:eastAsia="Arial" w:cs="Times New Roman"/>
                            <w:b/>
                            <w:bCs/>
                            <w:sz w:val="28"/>
                            <w:szCs w:val="28"/>
                          </w:rPr>
                          <w:t>9</w:t>
                        </w:r>
                      </w:p>
                    </w:tc>
                    <w:tc>
                      <w:tcPr>
                        <w:tcW w:w="0" w:type="dxa"/>
                        <w:tcBorders>
                          <w:top w:val="single" w:sz="18" w:space="0" w:color="FFFFFF" w:themeColor="text1"/>
                          <w:left w:val="single" w:sz="18" w:space="0" w:color="FFFFFF" w:themeColor="text1"/>
                          <w:bottom w:val="single" w:sz="18" w:space="0" w:color="FFFFFF" w:themeColor="text1"/>
                        </w:tcBorders>
                        <w:shd w:val="clear" w:color="auto" w:fill="C6E0DC"/>
                      </w:tcPr>
                      <w:p w14:paraId="79B48009" w14:textId="77777777" w:rsidR="00651E73" w:rsidRPr="0086271D" w:rsidRDefault="00651E73">
                        <w:pPr>
                          <w:cnfStyle w:val="000000010000" w:firstRow="0" w:lastRow="0" w:firstColumn="0" w:lastColumn="0" w:oddVBand="0" w:evenVBand="0" w:oddHBand="0" w:evenHBand="1" w:firstRowFirstColumn="0" w:firstRowLastColumn="0" w:lastRowFirstColumn="0" w:lastRowLastColumn="0"/>
                          <w:rPr>
                            <w:rFonts w:eastAsia="Arial" w:cs="Times New Roman"/>
                            <w:b/>
                            <w:bCs/>
                          </w:rPr>
                        </w:pPr>
                        <w:r>
                          <w:rPr>
                            <w:rFonts w:eastAsia="Arial" w:cs="Times New Roman"/>
                            <w:b/>
                            <w:bCs/>
                          </w:rPr>
                          <w:t>There is demand for more programs directed at changing the behaviour of men who use violence, and scope to clarify the roles such programs play in SFVS</w:t>
                        </w:r>
                      </w:p>
                      <w:p w14:paraId="1CA0E1CB" w14:textId="77777777" w:rsidR="00651E73" w:rsidRPr="00B81B96" w:rsidRDefault="00651E73">
                        <w:pPr>
                          <w:cnfStyle w:val="000000010000" w:firstRow="0" w:lastRow="0" w:firstColumn="0" w:lastColumn="0" w:oddVBand="0" w:evenVBand="0" w:oddHBand="0" w:evenHBand="1" w:firstRowFirstColumn="0" w:firstRowLastColumn="0" w:lastRowFirstColumn="0" w:lastRowLastColumn="0"/>
                          <w:rPr>
                            <w:rFonts w:eastAsia="Arial" w:cs="Times New Roman"/>
                            <w:b/>
                            <w:bCs/>
                          </w:rPr>
                        </w:pPr>
                        <w:r w:rsidRPr="00291280">
                          <w:rPr>
                            <w:rFonts w:eastAsia="Arial" w:cs="Times New Roman"/>
                            <w:color w:val="36424A" w:themeColor="background2"/>
                          </w:rPr>
                          <w:t>Whilst it was not possible for this evaluation to assess the extent to which the Men’s Behaviour Change Programs (MBCPs) have led to behaviour change for participants, interviews with a small number of MBCP participants demonstrated these individuals had very positive experiences with the programs. A range of stakeholders described a lack of services directed towards men who use or are at risk of using violence and identified this as a barrier to offering an integrated response to family violence and family violence risk.</w:t>
                        </w:r>
                      </w:p>
                    </w:tc>
                  </w:tr>
                  <w:tr w:rsidR="00651E73" w:rsidRPr="00C73D94" w14:paraId="79002661"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4" w:type="dxa"/>
                        <w:tcBorders>
                          <w:top w:val="single" w:sz="18" w:space="0" w:color="FFFFFF" w:themeColor="text1"/>
                          <w:right w:val="single" w:sz="18" w:space="0" w:color="FFFFFF" w:themeColor="text1"/>
                        </w:tcBorders>
                        <w:shd w:val="clear" w:color="auto" w:fill="C6E0DC"/>
                      </w:tcPr>
                      <w:p w14:paraId="7F824B7B" w14:textId="77777777" w:rsidR="00651E73" w:rsidRDefault="00651E73">
                        <w:pPr>
                          <w:rPr>
                            <w:rFonts w:eastAsia="Arial" w:cs="Times New Roman"/>
                            <w:b/>
                            <w:bCs/>
                            <w:sz w:val="28"/>
                            <w:szCs w:val="28"/>
                          </w:rPr>
                        </w:pPr>
                        <w:r>
                          <w:rPr>
                            <w:rFonts w:eastAsia="Arial" w:cs="Times New Roman"/>
                            <w:b/>
                            <w:bCs/>
                            <w:sz w:val="28"/>
                            <w:szCs w:val="28"/>
                          </w:rPr>
                          <w:t>10</w:t>
                        </w:r>
                      </w:p>
                    </w:tc>
                    <w:tc>
                      <w:tcPr>
                        <w:tcW w:w="8305" w:type="dxa"/>
                        <w:tcBorders>
                          <w:top w:val="single" w:sz="18" w:space="0" w:color="FFFFFF" w:themeColor="text1"/>
                          <w:left w:val="single" w:sz="18" w:space="0" w:color="FFFFFF" w:themeColor="text1"/>
                        </w:tcBorders>
                        <w:shd w:val="clear" w:color="auto" w:fill="C6E0DC"/>
                      </w:tcPr>
                      <w:p w14:paraId="44969D40" w14:textId="77777777" w:rsidR="00651E73" w:rsidRPr="0035595C" w:rsidRDefault="00651E73">
                        <w:pPr>
                          <w:cnfStyle w:val="000000100000" w:firstRow="0" w:lastRow="0" w:firstColumn="0" w:lastColumn="0" w:oddVBand="0" w:evenVBand="0" w:oddHBand="1" w:evenHBand="0" w:firstRowFirstColumn="0" w:firstRowLastColumn="0" w:lastRowFirstColumn="0" w:lastRowLastColumn="0"/>
                          <w:rPr>
                            <w:rFonts w:eastAsia="Arial" w:cs="Times New Roman"/>
                            <w:b/>
                            <w:bCs/>
                          </w:rPr>
                        </w:pPr>
                        <w:r>
                          <w:rPr>
                            <w:rFonts w:eastAsia="Arial" w:cs="Times New Roman"/>
                            <w:b/>
                            <w:bCs/>
                          </w:rPr>
                          <w:t>The current mix of face-to-face and virtual service delivery is effective and appropriate, but there is scope to increase virtual service delivery in the right circumstances</w:t>
                        </w:r>
                      </w:p>
                      <w:p w14:paraId="611B8BEC" w14:textId="77777777" w:rsidR="00651E73" w:rsidRPr="00291280" w:rsidRDefault="00651E73">
                        <w:pPr>
                          <w:cnfStyle w:val="000000100000" w:firstRow="0" w:lastRow="0" w:firstColumn="0" w:lastColumn="0" w:oddVBand="0" w:evenVBand="0" w:oddHBand="1" w:evenHBand="0" w:firstRowFirstColumn="0" w:firstRowLastColumn="0" w:lastRowFirstColumn="0" w:lastRowLastColumn="0"/>
                          <w:rPr>
                            <w:rFonts w:eastAsia="Arial" w:cs="Times New Roman"/>
                            <w:color w:val="36424A" w:themeColor="background2"/>
                          </w:rPr>
                        </w:pPr>
                        <w:r w:rsidRPr="00291280">
                          <w:rPr>
                            <w:rFonts w:eastAsia="Arial" w:cs="Times New Roman"/>
                            <w:color w:val="36424A" w:themeColor="accent2"/>
                          </w:rPr>
                          <w:t xml:space="preserve">Nearly 20% of FaRS and SFVS services were delivered virtually from January to June 2024. Virtual service delivery has increased accessibility – particularly for people living in rural and remote areas, some people with disability, and people with caring responsibilities – and offers service providers greater flexibility and efficiency. </w:t>
                        </w:r>
                      </w:p>
                      <w:p w14:paraId="78D3B73F" w14:textId="77777777" w:rsidR="00651E73" w:rsidRPr="00291280" w:rsidRDefault="00651E73">
                        <w:pPr>
                          <w:cnfStyle w:val="000000100000" w:firstRow="0" w:lastRow="0" w:firstColumn="0" w:lastColumn="0" w:oddVBand="0" w:evenVBand="0" w:oddHBand="1" w:evenHBand="0" w:firstRowFirstColumn="0" w:firstRowLastColumn="0" w:lastRowFirstColumn="0" w:lastRowLastColumn="0"/>
                          <w:rPr>
                            <w:rFonts w:eastAsia="Arial" w:cs="Times New Roman"/>
                            <w:color w:val="36424A" w:themeColor="background2"/>
                          </w:rPr>
                        </w:pPr>
                        <w:r w:rsidRPr="00291280">
                          <w:rPr>
                            <w:rFonts w:eastAsia="Arial" w:cs="Times New Roman"/>
                            <w:color w:val="36424A" w:themeColor="background2"/>
                          </w:rPr>
                          <w:t xml:space="preserve">While virtual FaRS and SFVS services achieve outcomes for service users broadly comparable to face-to-face services, many service users and providers prefer face-to-face delivery of counselling services. </w:t>
                        </w:r>
                      </w:p>
                      <w:p w14:paraId="6D29D5E8" w14:textId="77777777" w:rsidR="00651E73" w:rsidRDefault="00651E73">
                        <w:pPr>
                          <w:cnfStyle w:val="000000100000" w:firstRow="0" w:lastRow="0" w:firstColumn="0" w:lastColumn="0" w:oddVBand="0" w:evenVBand="0" w:oddHBand="1" w:evenHBand="0" w:firstRowFirstColumn="0" w:firstRowLastColumn="0" w:lastRowFirstColumn="0" w:lastRowLastColumn="0"/>
                          <w:rPr>
                            <w:rFonts w:eastAsia="Arial" w:cs="Times New Roman"/>
                            <w:b/>
                            <w:bCs/>
                          </w:rPr>
                        </w:pPr>
                        <w:r w:rsidRPr="00291280">
                          <w:rPr>
                            <w:rFonts w:eastAsia="Arial" w:cs="Times New Roman"/>
                            <w:color w:val="36424A" w:themeColor="background2"/>
                          </w:rPr>
                          <w:t xml:space="preserve">Considerations such as safety, building trust and rapport and privacy inform assessments of whether virtual delivery is appropriate. There is particular scope for expansion of virtual delivery of education programs </w:t>
                        </w:r>
                        <w:r w:rsidRPr="00291280">
                          <w:rPr>
                            <w:rFonts w:eastAsia="Arial" w:cs="Times New Roman"/>
                            <w:color w:val="36424A" w:themeColor="background2"/>
                          </w:rPr>
                          <w:lastRenderedPageBreak/>
                          <w:t>(such as parenting programs) and hybrid delivery of counselling services.</w:t>
                        </w:r>
                      </w:p>
                    </w:tc>
                  </w:tr>
                </w:tbl>
                <w:p w14:paraId="15CD563F" w14:textId="77777777" w:rsidR="00651E73" w:rsidRDefault="00651E73" w:rsidP="00651E73">
                  <w:pPr>
                    <w:spacing w:after="0" w:line="240" w:lineRule="auto"/>
                    <w:rPr>
                      <w:rFonts w:ascii="Arial" w:eastAsia="Arial" w:hAnsi="Arial" w:cs="Times New Roman"/>
                      <w:b/>
                      <w:bCs/>
                      <w:color w:val="36424A"/>
                      <w:spacing w:val="2"/>
                      <w:lang w:val="en-GB"/>
                    </w:rPr>
                  </w:pPr>
                </w:p>
                <w:p w14:paraId="319B75BE" w14:textId="77777777" w:rsidR="00307883" w:rsidRPr="00307883" w:rsidRDefault="00307883" w:rsidP="00307883">
                  <w:pPr>
                    <w:pStyle w:val="Text"/>
                  </w:pPr>
                </w:p>
                <w:p w14:paraId="2029B47B" w14:textId="328C3558" w:rsidR="005674C7" w:rsidRPr="00600B21" w:rsidRDefault="009804D0" w:rsidP="002E7436">
                  <w:pPr>
                    <w:pStyle w:val="Heading2"/>
                  </w:pPr>
                  <w:bookmarkStart w:id="438" w:name="_Toc208906859"/>
                  <w:bookmarkStart w:id="439" w:name="KEQ3"/>
                  <w:r>
                    <w:t>Align</w:t>
                  </w:r>
                  <w:r w:rsidR="00AC45F6">
                    <w:t>ment</w:t>
                  </w:r>
                  <w:r>
                    <w:t xml:space="preserve"> with the needs of service users</w:t>
                  </w:r>
                  <w:bookmarkEnd w:id="438"/>
                  <w:r>
                    <w:t xml:space="preserve"> </w:t>
                  </w:r>
                </w:p>
                <w:bookmarkEnd w:id="439"/>
                <w:p w14:paraId="5CEF49F7" w14:textId="22ABC795" w:rsidR="00066AAB" w:rsidRDefault="005674C7" w:rsidP="005674C7">
                  <w:pPr>
                    <w:pStyle w:val="Text"/>
                  </w:pPr>
                  <w:r>
                    <w:t xml:space="preserve">The FaRS and SFVS model in its current format </w:t>
                  </w:r>
                  <w:r w:rsidR="007A0043">
                    <w:t xml:space="preserve">aligns with the </w:t>
                  </w:r>
                  <w:r>
                    <w:t xml:space="preserve">preferences </w:t>
                  </w:r>
                  <w:r w:rsidR="007A0043">
                    <w:t xml:space="preserve">and needs </w:t>
                  </w:r>
                  <w:r>
                    <w:t xml:space="preserve">of contemporary Australian families. </w:t>
                  </w:r>
                  <w:r w:rsidR="00985EF3">
                    <w:t xml:space="preserve">These services </w:t>
                  </w:r>
                  <w:r w:rsidR="007A0043">
                    <w:t xml:space="preserve">offer programs </w:t>
                  </w:r>
                  <w:r w:rsidR="00985EF3">
                    <w:t>that reflect</w:t>
                  </w:r>
                  <w:r w:rsidR="007A0043">
                    <w:t xml:space="preserve"> diverse famil</w:t>
                  </w:r>
                  <w:r w:rsidR="00AD435C">
                    <w:t>ies</w:t>
                  </w:r>
                  <w:r w:rsidR="007A0043">
                    <w:t xml:space="preserve"> and </w:t>
                  </w:r>
                  <w:r w:rsidR="00AC45F6">
                    <w:t xml:space="preserve">the </w:t>
                  </w:r>
                  <w:r w:rsidR="007A0043">
                    <w:t>needs of their service users</w:t>
                  </w:r>
                  <w:r w:rsidR="008C2EDB">
                    <w:t>,</w:t>
                  </w:r>
                  <w:r w:rsidR="007A0043">
                    <w:t xml:space="preserve"> </w:t>
                  </w:r>
                  <w:r w:rsidR="008C2EDB">
                    <w:t>both</w:t>
                  </w:r>
                  <w:r w:rsidR="007A0043">
                    <w:t xml:space="preserve"> in their content</w:t>
                  </w:r>
                  <w:r w:rsidR="008C2EDB">
                    <w:t xml:space="preserve"> and </w:t>
                  </w:r>
                  <w:r w:rsidR="00AD435C">
                    <w:t>delivery</w:t>
                  </w:r>
                  <w:r w:rsidR="007A0043">
                    <w:t xml:space="preserve">. </w:t>
                  </w:r>
                </w:p>
                <w:p w14:paraId="23CF2135" w14:textId="4D348C00" w:rsidR="005674C7" w:rsidRDefault="005674C7" w:rsidP="005674C7">
                  <w:pPr>
                    <w:pStyle w:val="Text"/>
                  </w:pPr>
                  <w:r>
                    <w:t xml:space="preserve">FaRS service user interview participants described accessing </w:t>
                  </w:r>
                  <w:r w:rsidR="00F105EC">
                    <w:t xml:space="preserve">services </w:t>
                  </w:r>
                  <w:r>
                    <w:t xml:space="preserve">as either individuals or a family unit for a </w:t>
                  </w:r>
                  <w:r w:rsidR="00FE72BE">
                    <w:t>range</w:t>
                  </w:r>
                  <w:r>
                    <w:t xml:space="preserve"> of reasons including:</w:t>
                  </w:r>
                </w:p>
                <w:p w14:paraId="5C39BCED" w14:textId="7BFA5AF2" w:rsidR="005674C7" w:rsidRDefault="005674C7" w:rsidP="00571298">
                  <w:pPr>
                    <w:pStyle w:val="Bullet1"/>
                  </w:pPr>
                  <w:r>
                    <w:t xml:space="preserve">parents accessing </w:t>
                  </w:r>
                  <w:r w:rsidR="00F105EC">
                    <w:t xml:space="preserve">services </w:t>
                  </w:r>
                  <w:r>
                    <w:t>with adult children to resolve family conflict, trauma, abusive relationships or estrangement, including people in multi-generational households</w:t>
                  </w:r>
                  <w:r w:rsidR="00F424CE">
                    <w:t>,</w:t>
                  </w:r>
                  <w:r>
                    <w:t xml:space="preserve"> </w:t>
                  </w:r>
                </w:p>
                <w:p w14:paraId="2E11C5A9" w14:textId="5E109974" w:rsidR="005674C7" w:rsidRDefault="005674C7" w:rsidP="00571298">
                  <w:pPr>
                    <w:pStyle w:val="Bullet1"/>
                  </w:pPr>
                  <w:r>
                    <w:t xml:space="preserve">parents accessing </w:t>
                  </w:r>
                  <w:r w:rsidR="00F105EC">
                    <w:t>services</w:t>
                  </w:r>
                  <w:r>
                    <w:t xml:space="preserve"> with their children to improve family functioning</w:t>
                  </w:r>
                  <w:r w:rsidR="00F424CE">
                    <w:t>,</w:t>
                  </w:r>
                  <w:r>
                    <w:t xml:space="preserve"> </w:t>
                  </w:r>
                </w:p>
                <w:p w14:paraId="7AD8BE01" w14:textId="5F226512" w:rsidR="005674C7" w:rsidRDefault="005674C7" w:rsidP="00571298">
                  <w:pPr>
                    <w:pStyle w:val="Bullet1"/>
                  </w:pPr>
                  <w:r>
                    <w:t xml:space="preserve">separating parents accessing </w:t>
                  </w:r>
                  <w:r w:rsidR="00F105EC">
                    <w:t xml:space="preserve">services </w:t>
                  </w:r>
                  <w:r>
                    <w:t>with their children to navigate post-separation</w:t>
                  </w:r>
                  <w:r w:rsidR="00F424CE">
                    <w:t>,</w:t>
                  </w:r>
                  <w:r>
                    <w:t xml:space="preserve"> </w:t>
                  </w:r>
                </w:p>
                <w:p w14:paraId="67FE35DB" w14:textId="6E6EFFE2" w:rsidR="005674C7" w:rsidRDefault="005674C7" w:rsidP="00571298">
                  <w:pPr>
                    <w:pStyle w:val="Bullet1"/>
                  </w:pPr>
                  <w:r>
                    <w:t xml:space="preserve">couples accessing </w:t>
                  </w:r>
                  <w:r w:rsidR="00F105EC">
                    <w:t xml:space="preserve">services </w:t>
                  </w:r>
                  <w:r>
                    <w:t>to address relationship breakdown or navigate separation</w:t>
                  </w:r>
                  <w:r w:rsidR="00F424CE">
                    <w:t>,</w:t>
                  </w:r>
                  <w:r>
                    <w:t xml:space="preserve"> </w:t>
                  </w:r>
                </w:p>
                <w:p w14:paraId="1E64F863" w14:textId="0163811E" w:rsidR="005674C7" w:rsidRDefault="005674C7" w:rsidP="00571298">
                  <w:pPr>
                    <w:pStyle w:val="Bullet1"/>
                  </w:pPr>
                  <w:r>
                    <w:t xml:space="preserve">individual women accessing </w:t>
                  </w:r>
                  <w:r w:rsidR="00F105EC">
                    <w:t>services</w:t>
                  </w:r>
                  <w:r>
                    <w:t xml:space="preserve"> to seek support as victim survivors, including seeking support to address historical trauma from abuse experienced in earlier adulthood or childhood</w:t>
                  </w:r>
                  <w:r w:rsidR="00F424CE">
                    <w:t>,</w:t>
                  </w:r>
                  <w:r>
                    <w:t xml:space="preserve"> </w:t>
                  </w:r>
                </w:p>
                <w:p w14:paraId="2299C209" w14:textId="2FB140EB" w:rsidR="005674C7" w:rsidRDefault="005674C7" w:rsidP="00571298">
                  <w:pPr>
                    <w:pStyle w:val="Bullet1"/>
                  </w:pPr>
                  <w:r>
                    <w:t xml:space="preserve">individuals accessing </w:t>
                  </w:r>
                  <w:r w:rsidR="00F105EC">
                    <w:t xml:space="preserve">services </w:t>
                  </w:r>
                  <w:r>
                    <w:t>to address grief, loss, or bereavement after death of parent</w:t>
                  </w:r>
                  <w:r w:rsidR="006D634A">
                    <w:t>s</w:t>
                  </w:r>
                  <w:r>
                    <w:t xml:space="preserve"> or partner</w:t>
                  </w:r>
                  <w:r w:rsidR="006D634A">
                    <w:t>s</w:t>
                  </w:r>
                  <w:r w:rsidR="00F424CE">
                    <w:t>,</w:t>
                  </w:r>
                  <w:r>
                    <w:t xml:space="preserve"> </w:t>
                  </w:r>
                </w:p>
                <w:p w14:paraId="7FB5A576" w14:textId="22985365" w:rsidR="005674C7" w:rsidRDefault="005674C7" w:rsidP="00571298">
                  <w:pPr>
                    <w:pStyle w:val="Bullet1"/>
                  </w:pPr>
                  <w:r>
                    <w:t xml:space="preserve">individual accessing </w:t>
                  </w:r>
                  <w:r w:rsidR="00F105EC">
                    <w:t xml:space="preserve">services </w:t>
                  </w:r>
                  <w:r>
                    <w:t xml:space="preserve">to cope with significant life transitions and </w:t>
                  </w:r>
                  <w:r w:rsidR="00F105EC">
                    <w:t>their</w:t>
                  </w:r>
                  <w:r>
                    <w:t xml:space="preserve"> impact on their individual and family functioning (</w:t>
                  </w:r>
                  <w:r w:rsidR="00F105EC">
                    <w:t>including for example</w:t>
                  </w:r>
                  <w:r>
                    <w:t xml:space="preserve"> retirement)</w:t>
                  </w:r>
                  <w:r w:rsidR="00F424CE">
                    <w:t>,</w:t>
                  </w:r>
                </w:p>
                <w:p w14:paraId="7699AA08" w14:textId="10DBC34A" w:rsidR="005674C7" w:rsidRDefault="005674C7" w:rsidP="00571298">
                  <w:pPr>
                    <w:pStyle w:val="Bullet1"/>
                  </w:pPr>
                  <w:r>
                    <w:t xml:space="preserve">individuals accessing </w:t>
                  </w:r>
                  <w:r w:rsidR="00F105EC">
                    <w:t>services</w:t>
                  </w:r>
                  <w:r>
                    <w:t xml:space="preserve"> to address acute and non-acute mental health issues</w:t>
                  </w:r>
                  <w:r w:rsidR="00F424CE">
                    <w:t>,</w:t>
                  </w:r>
                  <w:r>
                    <w:t xml:space="preserve"> </w:t>
                  </w:r>
                </w:p>
                <w:p w14:paraId="001CF304" w14:textId="34894C55" w:rsidR="005674C7" w:rsidRPr="007F47D5" w:rsidRDefault="005674C7" w:rsidP="00571298">
                  <w:pPr>
                    <w:pStyle w:val="Bullet1"/>
                  </w:pPr>
                  <w:r>
                    <w:t xml:space="preserve">individuals accessing </w:t>
                  </w:r>
                  <w:r w:rsidR="00F105EC">
                    <w:t>services</w:t>
                  </w:r>
                  <w:r>
                    <w:t xml:space="preserve"> to seek counselling support in role</w:t>
                  </w:r>
                  <w:r w:rsidR="00F105EC">
                    <w:t>s</w:t>
                  </w:r>
                  <w:r>
                    <w:t xml:space="preserve"> as carer</w:t>
                  </w:r>
                  <w:r w:rsidR="00F105EC">
                    <w:t>s</w:t>
                  </w:r>
                  <w:r>
                    <w:t xml:space="preserve"> for parent</w:t>
                  </w:r>
                  <w:r w:rsidR="00F105EC">
                    <w:t>s</w:t>
                  </w:r>
                  <w:r>
                    <w:t xml:space="preserve"> or partner</w:t>
                  </w:r>
                  <w:r w:rsidR="00F105EC">
                    <w:t>s</w:t>
                  </w:r>
                  <w:r w:rsidR="00F424CE">
                    <w:t>, and</w:t>
                  </w:r>
                </w:p>
                <w:p w14:paraId="29B9F6CB" w14:textId="4150CE20" w:rsidR="005674C7" w:rsidRDefault="005674C7" w:rsidP="00F424CE">
                  <w:pPr>
                    <w:pStyle w:val="Bullet1"/>
                  </w:pPr>
                  <w:r>
                    <w:t>individual</w:t>
                  </w:r>
                  <w:r w:rsidR="00F105EC">
                    <w:t>s</w:t>
                  </w:r>
                  <w:r>
                    <w:t xml:space="preserve"> accessing parenting programs to improve parenting skills</w:t>
                  </w:r>
                  <w:r w:rsidR="00303101">
                    <w:t>.</w:t>
                  </w:r>
                  <w:r>
                    <w:t xml:space="preserve"> </w:t>
                  </w:r>
                </w:p>
                <w:p w14:paraId="09BEDCA8" w14:textId="77777777" w:rsidR="00DC6608" w:rsidRPr="000517BE" w:rsidRDefault="00DC6608" w:rsidP="008A341B">
                  <w:pPr>
                    <w:pStyle w:val="Text"/>
                    <w:rPr>
                      <w:sz w:val="20"/>
                      <w:szCs w:val="18"/>
                      <w:lang w:val="en-US"/>
                    </w:rPr>
                  </w:pPr>
                </w:p>
                <w:p w14:paraId="5E3D97BF" w14:textId="0C7EBE1C" w:rsidR="005674C7" w:rsidRPr="00F7771C" w:rsidRDefault="005674C7" w:rsidP="005674C7">
                  <w:pPr>
                    <w:pBdr>
                      <w:left w:val="single" w:sz="18" w:space="4" w:color="78B800" w:themeColor="accent1"/>
                    </w:pBdr>
                    <w:tabs>
                      <w:tab w:val="left" w:pos="8080"/>
                    </w:tabs>
                    <w:spacing w:after="0"/>
                    <w:ind w:left="851" w:right="949"/>
                    <w:rPr>
                      <w:i/>
                    </w:rPr>
                  </w:pPr>
                  <w:r w:rsidRPr="002E7992">
                    <w:rPr>
                      <w:noProof/>
                    </w:rPr>
                    <w:drawing>
                      <wp:anchor distT="0" distB="0" distL="114300" distR="114300" simplePos="0" relativeHeight="251658323" behindDoc="0" locked="1" layoutInCell="1" allowOverlap="1" wp14:anchorId="76A8DEB6" wp14:editId="4C281DA2">
                        <wp:simplePos x="0" y="0"/>
                        <wp:positionH relativeFrom="column">
                          <wp:posOffset>0</wp:posOffset>
                        </wp:positionH>
                        <wp:positionV relativeFrom="paragraph">
                          <wp:posOffset>0</wp:posOffset>
                        </wp:positionV>
                        <wp:extent cx="384810" cy="320040"/>
                        <wp:effectExtent l="0" t="0" r="0" b="3810"/>
                        <wp:wrapNone/>
                        <wp:docPr id="1700222304" name="Graphic 1700222304" descr="P2597#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222304" name="Graphic 1700222304" descr="P2597#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A7C94">
                    <w:rPr>
                      <w:i/>
                      <w:iCs/>
                    </w:rPr>
                    <w:t>S</w:t>
                  </w:r>
                  <w:r w:rsidR="00BA7C94" w:rsidRPr="00F7771C">
                    <w:rPr>
                      <w:i/>
                      <w:iCs/>
                    </w:rPr>
                    <w:t>o</w:t>
                  </w:r>
                  <w:r w:rsidR="00BA7C94">
                    <w:rPr>
                      <w:i/>
                      <w:iCs/>
                    </w:rPr>
                    <w:t xml:space="preserve"> […] </w:t>
                  </w:r>
                  <w:r w:rsidRPr="00F7771C">
                    <w:rPr>
                      <w:i/>
                      <w:iCs/>
                    </w:rPr>
                    <w:t>we're dealing with a lot of issues around depression and anxiety.</w:t>
                  </w:r>
                  <w:r>
                    <w:rPr>
                      <w:i/>
                      <w:iCs/>
                    </w:rPr>
                    <w:t xml:space="preserve"> </w:t>
                  </w:r>
                  <w:r w:rsidRPr="00F7771C">
                    <w:rPr>
                      <w:i/>
                      <w:iCs/>
                    </w:rPr>
                    <w:t xml:space="preserve">There's historical family violence, so that could </w:t>
                  </w:r>
                  <w:r w:rsidR="00AB6829">
                    <w:rPr>
                      <w:i/>
                      <w:iCs/>
                    </w:rPr>
                    <w:t>be</w:t>
                  </w:r>
                  <w:r w:rsidRPr="00F7771C">
                    <w:rPr>
                      <w:i/>
                      <w:iCs/>
                    </w:rPr>
                    <w:t xml:space="preserve"> because we're dealing with a lot of older people as well</w:t>
                  </w:r>
                  <w:r>
                    <w:rPr>
                      <w:i/>
                      <w:iCs/>
                    </w:rPr>
                    <w:t xml:space="preserve"> […] </w:t>
                  </w:r>
                  <w:r w:rsidRPr="00F7771C">
                    <w:rPr>
                      <w:i/>
                      <w:iCs/>
                    </w:rPr>
                    <w:t>you know</w:t>
                  </w:r>
                  <w:r>
                    <w:rPr>
                      <w:i/>
                      <w:iCs/>
                    </w:rPr>
                    <w:t>, [from 30 to 60] years</w:t>
                  </w:r>
                  <w:r w:rsidRPr="00F7771C">
                    <w:rPr>
                      <w:i/>
                      <w:iCs/>
                    </w:rPr>
                    <w:t xml:space="preserve"> ago</w:t>
                  </w:r>
                  <w:r>
                    <w:rPr>
                      <w:i/>
                      <w:iCs/>
                    </w:rPr>
                    <w:t xml:space="preserve"> so [it]</w:t>
                  </w:r>
                  <w:r w:rsidRPr="00F7771C">
                    <w:rPr>
                      <w:i/>
                      <w:iCs/>
                    </w:rPr>
                    <w:t xml:space="preserve"> becomes like a trauma that is only being talked about now</w:t>
                  </w:r>
                  <w:r>
                    <w:rPr>
                      <w:i/>
                      <w:iCs/>
                    </w:rPr>
                    <w:t xml:space="preserve"> […] T</w:t>
                  </w:r>
                  <w:r w:rsidRPr="00F7771C">
                    <w:rPr>
                      <w:i/>
                      <w:iCs/>
                    </w:rPr>
                    <w:t>he other one is family conflict as opposed to family violence in terms of</w:t>
                  </w:r>
                  <w:r>
                    <w:rPr>
                      <w:i/>
                      <w:iCs/>
                    </w:rPr>
                    <w:t xml:space="preserve"> f</w:t>
                  </w:r>
                  <w:r w:rsidRPr="00F7771C">
                    <w:rPr>
                      <w:i/>
                      <w:iCs/>
                    </w:rPr>
                    <w:t xml:space="preserve">amily falling out with each other and not being on speaking terms and creating all that tension and </w:t>
                  </w:r>
                  <w:r>
                    <w:rPr>
                      <w:i/>
                      <w:iCs/>
                    </w:rPr>
                    <w:t>[…]</w:t>
                  </w:r>
                  <w:r w:rsidRPr="00F7771C">
                    <w:rPr>
                      <w:i/>
                      <w:iCs/>
                    </w:rPr>
                    <w:t xml:space="preserve"> stress within the family unit and extended family and all that kind of thing </w:t>
                  </w:r>
                  <w:r w:rsidRPr="002E7992">
                    <w:rPr>
                      <w:b/>
                      <w:bCs/>
                      <w:i/>
                      <w:iCs/>
                    </w:rPr>
                    <w:t>–</w:t>
                  </w:r>
                  <w:r>
                    <w:rPr>
                      <w:b/>
                      <w:bCs/>
                      <w:i/>
                      <w:iCs/>
                    </w:rPr>
                    <w:t xml:space="preserve"> FaRS service provider </w:t>
                  </w:r>
                </w:p>
                <w:p w14:paraId="7BF35798" w14:textId="77777777" w:rsidR="005674C7" w:rsidRDefault="005674C7" w:rsidP="005674C7">
                  <w:pPr>
                    <w:pStyle w:val="Bullet1"/>
                    <w:numPr>
                      <w:ilvl w:val="0"/>
                      <w:numId w:val="0"/>
                    </w:numPr>
                  </w:pPr>
                </w:p>
                <w:p w14:paraId="417460EC" w14:textId="2A080D37" w:rsidR="005674C7" w:rsidRPr="00F7771C" w:rsidRDefault="005674C7" w:rsidP="005674C7">
                  <w:pPr>
                    <w:pBdr>
                      <w:left w:val="single" w:sz="18" w:space="4" w:color="78B800" w:themeColor="accent1"/>
                    </w:pBdr>
                    <w:tabs>
                      <w:tab w:val="left" w:pos="8080"/>
                    </w:tabs>
                    <w:spacing w:after="0"/>
                    <w:ind w:left="851" w:right="949"/>
                    <w:rPr>
                      <w:i/>
                      <w:iCs/>
                    </w:rPr>
                  </w:pPr>
                  <w:r w:rsidRPr="002E7992">
                    <w:rPr>
                      <w:noProof/>
                    </w:rPr>
                    <w:drawing>
                      <wp:anchor distT="0" distB="0" distL="114300" distR="114300" simplePos="0" relativeHeight="251658324" behindDoc="0" locked="1" layoutInCell="1" allowOverlap="1" wp14:anchorId="6B1F3D05" wp14:editId="054348E0">
                        <wp:simplePos x="0" y="0"/>
                        <wp:positionH relativeFrom="column">
                          <wp:posOffset>0</wp:posOffset>
                        </wp:positionH>
                        <wp:positionV relativeFrom="paragraph">
                          <wp:posOffset>0</wp:posOffset>
                        </wp:positionV>
                        <wp:extent cx="384810" cy="320040"/>
                        <wp:effectExtent l="0" t="0" r="0" b="3810"/>
                        <wp:wrapNone/>
                        <wp:docPr id="1610524973" name="Graphic 1610524973" descr="P2599#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524973" name="Graphic 1610524973" descr="P2599#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661F4">
                    <w:rPr>
                      <w:i/>
                      <w:iCs/>
                    </w:rPr>
                    <w:t>It is not always self-evident when people first present what program is most appropriate for them. They might have some FaRS program</w:t>
                  </w:r>
                  <w:r>
                    <w:rPr>
                      <w:i/>
                      <w:iCs/>
                    </w:rPr>
                    <w:t>s</w:t>
                  </w:r>
                  <w:r w:rsidRPr="009661F4">
                    <w:rPr>
                      <w:i/>
                      <w:iCs/>
                    </w:rPr>
                    <w:t xml:space="preserve"> but then get triaged into another program if we find something more appropriate for them. They get moved across as </w:t>
                  </w:r>
                  <w:r w:rsidR="009A6684">
                    <w:rPr>
                      <w:i/>
                      <w:iCs/>
                    </w:rPr>
                    <w:t xml:space="preserve">it </w:t>
                  </w:r>
                  <w:r w:rsidRPr="009661F4">
                    <w:rPr>
                      <w:i/>
                      <w:iCs/>
                    </w:rPr>
                    <w:t xml:space="preserve">suits needs that </w:t>
                  </w:r>
                  <w:r>
                    <w:rPr>
                      <w:i/>
                      <w:iCs/>
                    </w:rPr>
                    <w:t>a</w:t>
                  </w:r>
                  <w:r w:rsidRPr="009661F4">
                    <w:rPr>
                      <w:i/>
                      <w:iCs/>
                    </w:rPr>
                    <w:t xml:space="preserve">rise </w:t>
                  </w:r>
                  <w:r w:rsidRPr="002E7992">
                    <w:rPr>
                      <w:b/>
                      <w:bCs/>
                      <w:i/>
                      <w:iCs/>
                    </w:rPr>
                    <w:t>–</w:t>
                  </w:r>
                  <w:r>
                    <w:rPr>
                      <w:b/>
                      <w:bCs/>
                      <w:i/>
                      <w:iCs/>
                    </w:rPr>
                    <w:t xml:space="preserve"> FaRS service provider </w:t>
                  </w:r>
                </w:p>
                <w:p w14:paraId="28B71D92" w14:textId="77777777" w:rsidR="005674C7" w:rsidRDefault="005674C7" w:rsidP="005674C7">
                  <w:pPr>
                    <w:pStyle w:val="Bullet1"/>
                    <w:numPr>
                      <w:ilvl w:val="0"/>
                      <w:numId w:val="0"/>
                    </w:numPr>
                  </w:pPr>
                </w:p>
                <w:p w14:paraId="4B045608" w14:textId="6E02A66F" w:rsidR="00B91EFF" w:rsidRDefault="00B91EFF" w:rsidP="00B91EFF">
                  <w:pPr>
                    <w:pStyle w:val="Text"/>
                    <w:jc w:val="left"/>
                    <w:rPr>
                      <w:lang w:val="en-US"/>
                    </w:rPr>
                  </w:pPr>
                  <w:r>
                    <w:rPr>
                      <w:lang w:val="en-US"/>
                    </w:rPr>
                    <w:t>The majority of service user survey respondents heard about the service they attended through family or friends (n=66, 35.3%) or other sources (n=48, 25.7%). Other sources included internet searches, their children’s school, court or police referrals or exposure through working in health or similar sectors (see</w:t>
                  </w:r>
                  <w:r w:rsidDel="00665925">
                    <w:rPr>
                      <w:lang w:val="en-US"/>
                    </w:rPr>
                    <w:t xml:space="preserve"> </w:t>
                  </w:r>
                  <w:r w:rsidRPr="00C33534">
                    <w:rPr>
                      <w:b/>
                      <w:lang w:val="en-US"/>
                    </w:rPr>
                    <w:fldChar w:fldCharType="begin" w:fldLock="1"/>
                  </w:r>
                  <w:r w:rsidRPr="00C33534">
                    <w:rPr>
                      <w:b/>
                      <w:lang w:val="en-US"/>
                    </w:rPr>
                    <w:instrText xml:space="preserve"> REF _Ref205320323 \h  \* MERGEFORMAT </w:instrText>
                  </w:r>
                  <w:r w:rsidRPr="00C33534">
                    <w:rPr>
                      <w:b/>
                      <w:lang w:val="en-US"/>
                    </w:rPr>
                  </w:r>
                  <w:r w:rsidRPr="00C33534">
                    <w:rPr>
                      <w:b/>
                      <w:lang w:val="en-US"/>
                    </w:rPr>
                    <w:fldChar w:fldCharType="separate"/>
                  </w:r>
                  <w:r w:rsidR="008F22E5" w:rsidRPr="008F22E5">
                    <w:rPr>
                      <w:b/>
                      <w:szCs w:val="22"/>
                    </w:rPr>
                    <w:t xml:space="preserve">Figure </w:t>
                  </w:r>
                  <w:r w:rsidR="008F22E5" w:rsidRPr="008F22E5">
                    <w:rPr>
                      <w:b/>
                      <w:noProof/>
                    </w:rPr>
                    <w:t>29</w:t>
                  </w:r>
                  <w:r w:rsidRPr="00C33534">
                    <w:rPr>
                      <w:b/>
                      <w:lang w:val="en-US"/>
                    </w:rPr>
                    <w:fldChar w:fldCharType="end"/>
                  </w:r>
                  <w:r>
                    <w:rPr>
                      <w:b/>
                      <w:lang w:val="en-US"/>
                    </w:rPr>
                    <w:t xml:space="preserve"> </w:t>
                  </w:r>
                  <w:r w:rsidRPr="002A1F15">
                    <w:rPr>
                      <w:bCs/>
                      <w:lang w:val="en-US"/>
                    </w:rPr>
                    <w:t>below</w:t>
                  </w:r>
                  <w:r>
                    <w:rPr>
                      <w:lang w:val="en-US"/>
                    </w:rPr>
                    <w:t>).</w:t>
                  </w:r>
                </w:p>
                <w:p w14:paraId="1D22FB3D" w14:textId="77777777" w:rsidR="00B91EFF" w:rsidRDefault="00B91EFF">
                  <w:pPr>
                    <w:rPr>
                      <w:lang w:val="en-US"/>
                    </w:rPr>
                  </w:pPr>
                  <w:r>
                    <w:rPr>
                      <w:lang w:val="en-US"/>
                    </w:rPr>
                    <w:br w:type="page"/>
                  </w:r>
                </w:p>
                <w:p w14:paraId="006554B7" w14:textId="04685FE8" w:rsidR="00B91EFF" w:rsidRPr="004673E7" w:rsidRDefault="00B91EFF" w:rsidP="00B91EFF">
                  <w:pPr>
                    <w:pStyle w:val="TableFigure-Header"/>
                    <w:rPr>
                      <w:szCs w:val="21"/>
                    </w:rPr>
                  </w:pPr>
                  <w:bookmarkStart w:id="440" w:name="_Ref205320272"/>
                  <w:bookmarkStart w:id="441" w:name="_Ref205320323"/>
                  <w:bookmarkStart w:id="442" w:name="_Toc205413069"/>
                  <w:bookmarkStart w:id="443" w:name="_Toc205413123"/>
                  <w:r w:rsidRPr="004673E7">
                    <w:rPr>
                      <w:szCs w:val="21"/>
                      <w:lang w:val="en-NZ"/>
                    </w:rPr>
                    <w:lastRenderedPageBreak/>
                    <w:t>Figure</w:t>
                  </w:r>
                  <w:bookmarkEnd w:id="440"/>
                  <w:r w:rsidRPr="004673E7">
                    <w:rPr>
                      <w:szCs w:val="21"/>
                      <w:lang w:val="en-NZ"/>
                    </w:rPr>
                    <w:t xml:space="preserve"> </w:t>
                  </w:r>
                  <w:r w:rsidR="00C64C3D" w:rsidRPr="004673E7">
                    <w:rPr>
                      <w:szCs w:val="21"/>
                      <w:lang w:val="en-NZ"/>
                    </w:rPr>
                    <w:fldChar w:fldCharType="begin"/>
                  </w:r>
                  <w:r w:rsidR="00C64C3D" w:rsidRPr="004673E7">
                    <w:rPr>
                      <w:szCs w:val="21"/>
                      <w:lang w:val="en-NZ"/>
                    </w:rPr>
                    <w:instrText xml:space="preserve"> SEQ Figure \* ARABIC </w:instrText>
                  </w:r>
                  <w:r w:rsidR="00C64C3D" w:rsidRPr="004673E7">
                    <w:rPr>
                      <w:szCs w:val="21"/>
                      <w:lang w:val="en-NZ"/>
                    </w:rPr>
                    <w:fldChar w:fldCharType="separate"/>
                  </w:r>
                  <w:r w:rsidR="008D2566">
                    <w:rPr>
                      <w:noProof/>
                      <w:szCs w:val="21"/>
                      <w:lang w:val="en-NZ"/>
                    </w:rPr>
                    <w:t>29</w:t>
                  </w:r>
                  <w:r w:rsidR="00C64C3D" w:rsidRPr="004673E7">
                    <w:rPr>
                      <w:szCs w:val="21"/>
                      <w:lang w:val="en-NZ"/>
                    </w:rPr>
                    <w:fldChar w:fldCharType="end"/>
                  </w:r>
                  <w:bookmarkEnd w:id="441"/>
                  <w:r w:rsidRPr="004673E7">
                    <w:rPr>
                      <w:szCs w:val="21"/>
                      <w:lang w:val="en-NZ"/>
                    </w:rPr>
                    <w:t>: How did you first hear about the service, FaRS and SFVS service users (n=187)</w:t>
                  </w:r>
                  <w:bookmarkEnd w:id="442"/>
                  <w:bookmarkEnd w:id="443"/>
                </w:p>
                <w:p w14:paraId="4A6FA1DC" w14:textId="78318059" w:rsidR="00B91EFF" w:rsidRDefault="00B91EFF" w:rsidP="596BDFB0">
                  <w:pPr>
                    <w:pStyle w:val="Text"/>
                    <w:rPr>
                      <w:rStyle w:val="Text-BodyHeadingChar"/>
                      <w:b w:val="0"/>
                      <w:bCs w:val="0"/>
                      <w:i/>
                      <w:iCs/>
                      <w:color w:val="auto"/>
                      <w:spacing w:val="0"/>
                      <w:sz w:val="20"/>
                      <w:lang w:val="en-NZ"/>
                    </w:rPr>
                  </w:pPr>
                  <w:r>
                    <w:rPr>
                      <w:noProof/>
                    </w:rPr>
                    <w:drawing>
                      <wp:inline distT="0" distB="0" distL="0" distR="0" wp14:anchorId="37A1434D" wp14:editId="3B707F91">
                        <wp:extent cx="5554980" cy="3450566"/>
                        <wp:effectExtent l="0" t="0" r="7620" b="17145"/>
                        <wp:docPr id="1925881911" name="Chart 1">
                          <a:extLst xmlns:a="http://schemas.openxmlformats.org/drawingml/2006/main">
                            <a:ext uri="{FF2B5EF4-FFF2-40B4-BE49-F238E27FC236}">
                              <a16:creationId xmlns:a16="http://schemas.microsoft.com/office/drawing/2014/main" id="{061ED933-FB67-2AC3-FF90-7B18A0A80814}"/>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r w:rsidRPr="596BDFB0">
                    <w:rPr>
                      <w:rStyle w:val="Text-BodyHeadingChar"/>
                      <w:b w:val="0"/>
                      <w:bCs w:val="0"/>
                      <w:i/>
                      <w:iCs/>
                      <w:color w:val="auto"/>
                      <w:spacing w:val="0"/>
                      <w:sz w:val="20"/>
                      <w:lang w:val="en-NZ"/>
                    </w:rPr>
                    <w:t>Source: Service user survey data</w:t>
                  </w:r>
                </w:p>
                <w:p w14:paraId="55C6E9CE" w14:textId="77777777" w:rsidR="00B91EFF" w:rsidRDefault="00B91EFF" w:rsidP="005674C7">
                  <w:pPr>
                    <w:pStyle w:val="Bullet1"/>
                    <w:numPr>
                      <w:ilvl w:val="0"/>
                      <w:numId w:val="0"/>
                    </w:numPr>
                  </w:pPr>
                </w:p>
                <w:p w14:paraId="13F629BB" w14:textId="79E60B7F" w:rsidR="005674C7" w:rsidRPr="007F47D5" w:rsidRDefault="005674C7" w:rsidP="005674C7">
                  <w:pPr>
                    <w:pStyle w:val="Bullet1"/>
                    <w:numPr>
                      <w:ilvl w:val="0"/>
                      <w:numId w:val="0"/>
                    </w:numPr>
                  </w:pPr>
                  <w:r>
                    <w:t xml:space="preserve">All SFVS service users cited family violence as the motivating factor for seeking support. </w:t>
                  </w:r>
                  <w:r w:rsidR="00DC6608">
                    <w:t>A</w:t>
                  </w:r>
                  <w:r>
                    <w:t xml:space="preserve"> significant minority of FaRS services users similarly cited this as a need including 18.2% (n=29) of survey respondents (see </w:t>
                  </w:r>
                  <w:r w:rsidRPr="002A1F15">
                    <w:fldChar w:fldCharType="begin" w:fldLock="1"/>
                  </w:r>
                  <w:r w:rsidRPr="00A97B96">
                    <w:rPr>
                      <w:b/>
                      <w:bCs/>
                    </w:rPr>
                    <w:instrText xml:space="preserve"> REF _Ref203667523 \h </w:instrText>
                  </w:r>
                  <w:r>
                    <w:rPr>
                      <w:b/>
                      <w:bCs/>
                    </w:rPr>
                    <w:instrText xml:space="preserve"> \* MERGEFORMAT </w:instrText>
                  </w:r>
                  <w:r w:rsidRPr="002A1F15">
                    <w:fldChar w:fldCharType="separate"/>
                  </w:r>
                  <w:r w:rsidR="008F22E5" w:rsidRPr="58DFBD8D">
                    <w:rPr>
                      <w:rStyle w:val="Text-Bold"/>
                    </w:rPr>
                    <w:t xml:space="preserve">Figure </w:t>
                  </w:r>
                  <w:r w:rsidR="008F22E5" w:rsidRPr="008F22E5">
                    <w:rPr>
                      <w:b/>
                      <w:bCs/>
                    </w:rPr>
                    <w:t>30</w:t>
                  </w:r>
                  <w:r w:rsidRPr="002A1F15">
                    <w:fldChar w:fldCharType="end"/>
                  </w:r>
                  <w:r w:rsidR="002A1F15">
                    <w:rPr>
                      <w:b/>
                      <w:bCs/>
                    </w:rPr>
                    <w:t xml:space="preserve"> </w:t>
                  </w:r>
                  <w:r w:rsidR="002A1F15" w:rsidRPr="002A1F15">
                    <w:t>below</w:t>
                  </w:r>
                  <w:r w:rsidRPr="005A164C">
                    <w:t>)</w:t>
                  </w:r>
                  <w:r w:rsidR="000B7535">
                    <w:t xml:space="preserve"> (see </w:t>
                  </w:r>
                  <w:r w:rsidR="000B7535" w:rsidRPr="000B7535">
                    <w:rPr>
                      <w:b/>
                      <w:bCs/>
                    </w:rPr>
                    <w:t xml:space="preserve">Section </w:t>
                  </w:r>
                  <w:r w:rsidR="000B7535" w:rsidRPr="000B7535">
                    <w:rPr>
                      <w:b/>
                      <w:bCs/>
                    </w:rPr>
                    <w:fldChar w:fldCharType="begin" w:fldLock="1"/>
                  </w:r>
                  <w:r w:rsidR="000B7535" w:rsidRPr="000B7535">
                    <w:rPr>
                      <w:b/>
                      <w:bCs/>
                    </w:rPr>
                    <w:instrText xml:space="preserve"> REF _Ref203062674 \r \h </w:instrText>
                  </w:r>
                  <w:r w:rsidR="000B7535">
                    <w:rPr>
                      <w:b/>
                      <w:bCs/>
                    </w:rPr>
                    <w:instrText xml:space="preserve"> \* MERGEFORMAT </w:instrText>
                  </w:r>
                  <w:r w:rsidR="000B7535" w:rsidRPr="000B7535">
                    <w:rPr>
                      <w:b/>
                      <w:bCs/>
                    </w:rPr>
                  </w:r>
                  <w:r w:rsidR="000B7535" w:rsidRPr="000B7535">
                    <w:rPr>
                      <w:b/>
                      <w:bCs/>
                    </w:rPr>
                    <w:fldChar w:fldCharType="separate"/>
                  </w:r>
                  <w:r w:rsidR="008F22E5">
                    <w:rPr>
                      <w:b/>
                      <w:bCs/>
                    </w:rPr>
                    <w:t>6.6</w:t>
                  </w:r>
                  <w:r w:rsidR="000B7535" w:rsidRPr="000B7535">
                    <w:rPr>
                      <w:b/>
                      <w:bCs/>
                    </w:rPr>
                    <w:fldChar w:fldCharType="end"/>
                  </w:r>
                  <w:r w:rsidR="000B7535">
                    <w:t>).</w:t>
                  </w:r>
                </w:p>
                <w:p w14:paraId="19BA8EF2" w14:textId="1E440C1E" w:rsidR="007B510B" w:rsidRDefault="005674C7" w:rsidP="005674C7">
                  <w:pPr>
                    <w:pStyle w:val="Text"/>
                  </w:pPr>
                  <w:r>
                    <w:t xml:space="preserve">In line with </w:t>
                  </w:r>
                  <w:r w:rsidR="00AB247C">
                    <w:t>the</w:t>
                  </w:r>
                  <w:r>
                    <w:t xml:space="preserve"> primary focus o</w:t>
                  </w:r>
                  <w:r w:rsidR="00AB247C">
                    <w:t xml:space="preserve">f FaRS </w:t>
                  </w:r>
                  <w:r>
                    <w:t xml:space="preserve">on </w:t>
                  </w:r>
                  <w:r w:rsidRPr="00376445">
                    <w:rPr>
                      <w:lang w:val="en-AU"/>
                    </w:rPr>
                    <w:t xml:space="preserve">supporting families during significant life changes </w:t>
                  </w:r>
                  <w:r>
                    <w:rPr>
                      <w:lang w:val="en-AU"/>
                    </w:rPr>
                    <w:t>(</w:t>
                  </w:r>
                  <w:r w:rsidR="00AB247C">
                    <w:rPr>
                      <w:lang w:val="en-AU"/>
                    </w:rPr>
                    <w:t>including for example:</w:t>
                  </w:r>
                  <w:r>
                    <w:rPr>
                      <w:lang w:val="en-AU"/>
                    </w:rPr>
                    <w:t xml:space="preserve"> formation, extension</w:t>
                  </w:r>
                  <w:r w:rsidR="00AB247C">
                    <w:rPr>
                      <w:lang w:val="en-AU"/>
                    </w:rPr>
                    <w:t xml:space="preserve"> and</w:t>
                  </w:r>
                  <w:r>
                    <w:rPr>
                      <w:lang w:val="en-AU"/>
                    </w:rPr>
                    <w:t xml:space="preserve"> separation) </w:t>
                  </w:r>
                  <w:r>
                    <w:rPr>
                      <w:lang w:val="en-AU"/>
                    </w:rPr>
                    <w:fldChar w:fldCharType="begin"/>
                  </w:r>
                  <w:r w:rsidR="00E41D03">
                    <w:rPr>
                      <w:lang w:val="en-AU"/>
                    </w:rPr>
                    <w:instrText xml:space="preserve"> ADDIN ZOTERO_ITEM CSL_CITATION {"citationID":"EImddBt7","properties":{"formattedCitation":"(Department of Social Services, 2021a)","plainCitation":"(Department of Social Services, 2021a)","noteIndex":0},"citationItems":[{"id":4671,"uris":["http://zotero.org/groups/5691188/items/8PWCMD8P"],"itemData":{"id":4671,"type":"document","title":"Family and Relationship Services Operational Guidelines","author":[{"family":"Department of Social Services","given":""}],"issued":{"date-parts":[["2021",7,1]]}}}],"schema":"https://github.com/citation-style-language/schema/raw/master/csl-citation.json"} </w:instrText>
                  </w:r>
                  <w:r>
                    <w:rPr>
                      <w:lang w:val="en-AU"/>
                    </w:rPr>
                    <w:fldChar w:fldCharType="separate"/>
                  </w:r>
                  <w:r w:rsidRPr="00746EB1">
                    <w:rPr>
                      <w:rFonts w:ascii="Arial" w:hAnsi="Arial" w:cs="Arial"/>
                    </w:rPr>
                    <w:t>(Department of Social Services, 2021a)</w:t>
                  </w:r>
                  <w:r>
                    <w:rPr>
                      <w:lang w:val="en-AU"/>
                    </w:rPr>
                    <w:fldChar w:fldCharType="end"/>
                  </w:r>
                  <w:r w:rsidR="008B510E">
                    <w:rPr>
                      <w:lang w:val="en-AU"/>
                    </w:rPr>
                    <w:t>,</w:t>
                  </w:r>
                  <w:r>
                    <w:rPr>
                      <w:lang w:val="en-AU"/>
                    </w:rPr>
                    <w:t xml:space="preserve"> </w:t>
                  </w:r>
                  <w:r w:rsidR="008B510E">
                    <w:t>r</w:t>
                  </w:r>
                  <w:r w:rsidRPr="006448E5">
                    <w:t>elationship issues (79.9%, n=127) w</w:t>
                  </w:r>
                  <w:r>
                    <w:t>as</w:t>
                  </w:r>
                  <w:r w:rsidRPr="006448E5">
                    <w:t xml:space="preserve"> the most common</w:t>
                  </w:r>
                  <w:r>
                    <w:t>ly</w:t>
                  </w:r>
                  <w:r w:rsidRPr="006448E5">
                    <w:t xml:space="preserve"> </w:t>
                  </w:r>
                  <w:r>
                    <w:t>selected</w:t>
                  </w:r>
                  <w:r w:rsidRPr="006448E5">
                    <w:t xml:space="preserve"> </w:t>
                  </w:r>
                  <w:r>
                    <w:t>motivation for</w:t>
                  </w:r>
                  <w:r w:rsidRPr="006448E5">
                    <w:t xml:space="preserve"> FaRS service </w:t>
                  </w:r>
                  <w:r>
                    <w:t>user</w:t>
                  </w:r>
                  <w:r w:rsidRPr="006448E5">
                    <w:t xml:space="preserve"> </w:t>
                  </w:r>
                  <w:r>
                    <w:t xml:space="preserve">survey respondents </w:t>
                  </w:r>
                  <w:r w:rsidRPr="006448E5">
                    <w:t>for seeking support</w:t>
                  </w:r>
                  <w:r>
                    <w:t>.</w:t>
                  </w:r>
                  <w:r w:rsidRPr="006448E5">
                    <w:t xml:space="preserve"> </w:t>
                  </w:r>
                  <w:r>
                    <w:t xml:space="preserve">Mental health was the second most common (39.0%, n=62). </w:t>
                  </w:r>
                  <w:r w:rsidR="0067781B">
                    <w:t>S</w:t>
                  </w:r>
                  <w:r>
                    <w:t>urvey respondents were less likely to indicate ‘family issues’ (n=53, 33.3%) or ‘parenting support’ (n=32, 20.1%) as a motivation for seeking support</w:t>
                  </w:r>
                  <w:r w:rsidR="005407C8">
                    <w:t xml:space="preserve"> (see </w:t>
                  </w:r>
                  <w:r w:rsidR="005407C8" w:rsidRPr="00D213D0">
                    <w:rPr>
                      <w:b/>
                      <w:bCs/>
                    </w:rPr>
                    <w:fldChar w:fldCharType="begin" w:fldLock="1"/>
                  </w:r>
                  <w:r w:rsidR="005407C8" w:rsidRPr="00D213D0">
                    <w:rPr>
                      <w:b/>
                      <w:bCs/>
                    </w:rPr>
                    <w:instrText xml:space="preserve"> REF _Ref203667523 \h  \* MERGEFORMAT </w:instrText>
                  </w:r>
                  <w:r w:rsidR="005407C8" w:rsidRPr="00D213D0">
                    <w:rPr>
                      <w:b/>
                      <w:bCs/>
                    </w:rPr>
                  </w:r>
                  <w:r w:rsidR="005407C8" w:rsidRPr="00D213D0">
                    <w:rPr>
                      <w:b/>
                      <w:bCs/>
                    </w:rPr>
                    <w:fldChar w:fldCharType="separate"/>
                  </w:r>
                  <w:r w:rsidR="008F22E5" w:rsidRPr="58DFBD8D">
                    <w:rPr>
                      <w:rStyle w:val="Text-Bold"/>
                    </w:rPr>
                    <w:t xml:space="preserve">Figure </w:t>
                  </w:r>
                  <w:r w:rsidR="008F22E5" w:rsidRPr="008F22E5">
                    <w:rPr>
                      <w:b/>
                      <w:bCs/>
                    </w:rPr>
                    <w:t>30</w:t>
                  </w:r>
                  <w:r w:rsidR="005407C8" w:rsidRPr="00D213D0">
                    <w:rPr>
                      <w:b/>
                      <w:bCs/>
                    </w:rPr>
                    <w:fldChar w:fldCharType="end"/>
                  </w:r>
                  <w:r w:rsidR="005407C8">
                    <w:t>)</w:t>
                  </w:r>
                  <w:r>
                    <w:t xml:space="preserve">. </w:t>
                  </w:r>
                  <w:r w:rsidR="005D7E86">
                    <w:t xml:space="preserve">FaRS service providers continue to serve an important function in addressing relationship issues with people actively seeking individual and couples counselling and other related supports. Across 2022-23 and 2023-24, almost 66% of services delivered to service users were counselling sessions, including </w:t>
                  </w:r>
                  <w:r w:rsidR="005D7E86" w:rsidRPr="00CD52BE">
                    <w:t>one-on-one or couple/family counselling</w:t>
                  </w:r>
                  <w:r w:rsidR="005D7E86">
                    <w:t xml:space="preserve">. </w:t>
                  </w:r>
                  <w:r w:rsidR="005D7E86" w:rsidRPr="00553966">
                    <w:t xml:space="preserve">Other </w:t>
                  </w:r>
                  <w:r w:rsidR="005D7E86">
                    <w:t>service</w:t>
                  </w:r>
                  <w:r w:rsidR="005D7E86" w:rsidRPr="00553966">
                    <w:t xml:space="preserve"> type</w:t>
                  </w:r>
                  <w:r w:rsidR="005D7E86">
                    <w:t>s</w:t>
                  </w:r>
                  <w:r w:rsidR="005D7E86" w:rsidRPr="00553966">
                    <w:t xml:space="preserve"> </w:t>
                  </w:r>
                  <w:r w:rsidR="005D7E86">
                    <w:t>such as</w:t>
                  </w:r>
                  <w:r w:rsidR="005D7E86" w:rsidRPr="00553966">
                    <w:t xml:space="preserve"> initial consultations, information/advice/referral sessions, advocacy/support sessions for </w:t>
                  </w:r>
                  <w:r w:rsidR="0081535F">
                    <w:t>service users</w:t>
                  </w:r>
                  <w:r w:rsidR="005D7E86" w:rsidRPr="00553966">
                    <w:t xml:space="preserve"> navigating services</w:t>
                  </w:r>
                  <w:r w:rsidR="005D7E86">
                    <w:t>, and e</w:t>
                  </w:r>
                  <w:r w:rsidR="005D7E86" w:rsidRPr="00553966">
                    <w:t>ducation and skills-training sessions were also provided</w:t>
                  </w:r>
                  <w:r w:rsidR="005D7E86">
                    <w:t xml:space="preserve"> to FaRS service users.</w:t>
                  </w:r>
                </w:p>
                <w:p w14:paraId="062D99B2" w14:textId="537430CB" w:rsidR="005674C7" w:rsidRDefault="005D7E86" w:rsidP="005674C7">
                  <w:pPr>
                    <w:pStyle w:val="Text"/>
                  </w:pPr>
                  <w:r>
                    <w:t>SFVS</w:t>
                  </w:r>
                  <w:r w:rsidR="00F22C60">
                    <w:t xml:space="preserve"> service user survey respondents primarily indicated violence or abuse as a motivation for seeking support, in line with the purpose of SFVS programs.</w:t>
                  </w:r>
                </w:p>
                <w:p w14:paraId="786C76B3" w14:textId="190F8FCF" w:rsidR="00FC2F12" w:rsidRDefault="00FC2F12">
                  <w:r>
                    <w:br w:type="page"/>
                  </w:r>
                </w:p>
                <w:p w14:paraId="1E6E003B" w14:textId="0EFF468E" w:rsidR="005674C7" w:rsidRPr="00F37DAC" w:rsidRDefault="005674C7" w:rsidP="005674C7">
                  <w:pPr>
                    <w:pStyle w:val="TableFigure-Header"/>
                    <w:rPr>
                      <w:rStyle w:val="Text-Bold"/>
                      <w:b/>
                      <w:sz w:val="22"/>
                      <w:szCs w:val="22"/>
                      <w:lang w:val="en-NZ"/>
                    </w:rPr>
                  </w:pPr>
                  <w:bookmarkStart w:id="444" w:name="_Ref203667523"/>
                  <w:bookmarkStart w:id="445" w:name="_Toc205413070"/>
                  <w:bookmarkStart w:id="446" w:name="_Toc205413124"/>
                  <w:r w:rsidRPr="58DFBD8D">
                    <w:rPr>
                      <w:rStyle w:val="Text-Bold"/>
                      <w:b/>
                      <w:lang w:val="en-NZ"/>
                    </w:rPr>
                    <w:lastRenderedPageBreak/>
                    <w:t xml:space="preserve">Figure </w:t>
                  </w:r>
                  <w:r w:rsidR="00C64C3D">
                    <w:rPr>
                      <w:rStyle w:val="Text-Bold"/>
                      <w:b/>
                      <w:lang w:val="en-NZ"/>
                    </w:rPr>
                    <w:fldChar w:fldCharType="begin"/>
                  </w:r>
                  <w:r w:rsidR="00C64C3D">
                    <w:rPr>
                      <w:rStyle w:val="Text-Bold"/>
                      <w:b/>
                      <w:lang w:val="en-NZ"/>
                    </w:rPr>
                    <w:instrText xml:space="preserve"> SEQ Figure \* ARABIC </w:instrText>
                  </w:r>
                  <w:r w:rsidR="00C64C3D">
                    <w:rPr>
                      <w:rStyle w:val="Text-Bold"/>
                      <w:b/>
                      <w:lang w:val="en-NZ"/>
                    </w:rPr>
                    <w:fldChar w:fldCharType="separate"/>
                  </w:r>
                  <w:r w:rsidR="008D2566">
                    <w:rPr>
                      <w:rStyle w:val="Text-Bold"/>
                      <w:b/>
                      <w:noProof/>
                      <w:lang w:val="en-NZ"/>
                    </w:rPr>
                    <w:t>30</w:t>
                  </w:r>
                  <w:r w:rsidR="00C64C3D">
                    <w:rPr>
                      <w:rStyle w:val="Text-Bold"/>
                      <w:b/>
                      <w:lang w:val="en-NZ"/>
                    </w:rPr>
                    <w:fldChar w:fldCharType="end"/>
                  </w:r>
                  <w:bookmarkEnd w:id="444"/>
                  <w:r w:rsidRPr="58DFBD8D">
                    <w:rPr>
                      <w:rStyle w:val="Text-Bold"/>
                      <w:b/>
                      <w:lang w:val="en-NZ"/>
                    </w:rPr>
                    <w:t>: What motivated you to seek support from these services</w:t>
                  </w:r>
                  <w:r w:rsidR="00175D50" w:rsidRPr="58DFBD8D">
                    <w:rPr>
                      <w:rStyle w:val="Text-Bold"/>
                      <w:b/>
                      <w:lang w:val="en-NZ"/>
                    </w:rPr>
                    <w:t>,</w:t>
                  </w:r>
                  <w:r w:rsidR="00F22C60" w:rsidRPr="58DFBD8D">
                    <w:rPr>
                      <w:rStyle w:val="Text-Bold"/>
                      <w:b/>
                      <w:lang w:val="en-NZ"/>
                    </w:rPr>
                    <w:t xml:space="preserve"> </w:t>
                  </w:r>
                  <w:r w:rsidRPr="58DFBD8D">
                    <w:rPr>
                      <w:rStyle w:val="Text-Bold"/>
                      <w:b/>
                      <w:lang w:val="en-NZ"/>
                    </w:rPr>
                    <w:t>FaRS</w:t>
                  </w:r>
                  <w:r w:rsidR="00F22C60" w:rsidRPr="58DFBD8D">
                    <w:rPr>
                      <w:rStyle w:val="Text-Bold"/>
                      <w:b/>
                      <w:lang w:val="en-NZ"/>
                    </w:rPr>
                    <w:t xml:space="preserve"> service users</w:t>
                  </w:r>
                  <w:r w:rsidR="00E055C8">
                    <w:rPr>
                      <w:rStyle w:val="Text-Bold"/>
                      <w:rFonts w:ascii="ZWAdobeF" w:hAnsi="ZWAdobeF" w:cs="ZWAdobeF"/>
                      <w:sz w:val="2"/>
                      <w:szCs w:val="2"/>
                      <w:lang w:val="en-NZ"/>
                    </w:rPr>
                    <w:t>12F</w:t>
                  </w:r>
                  <w:r w:rsidR="004D0875" w:rsidRPr="00F650E2">
                    <w:rPr>
                      <w:rStyle w:val="FootnoteReference"/>
                    </w:rPr>
                    <w:footnoteReference w:id="14"/>
                  </w:r>
                  <w:bookmarkEnd w:id="445"/>
                  <w:bookmarkEnd w:id="446"/>
                  <w:r w:rsidRPr="58DFBD8D">
                    <w:rPr>
                      <w:rStyle w:val="Text-Bold"/>
                      <w:b/>
                      <w:sz w:val="22"/>
                      <w:szCs w:val="22"/>
                      <w:lang w:val="en-NZ"/>
                    </w:rPr>
                    <w:t xml:space="preserve"> </w:t>
                  </w:r>
                </w:p>
                <w:p w14:paraId="35CD5870" w14:textId="3832DA3E" w:rsidR="00395538" w:rsidRDefault="00395538" w:rsidP="008E1B83">
                  <w:pPr>
                    <w:pStyle w:val="Text"/>
                    <w:jc w:val="left"/>
                    <w:rPr>
                      <w:noProof/>
                    </w:rPr>
                  </w:pPr>
                  <w:r>
                    <w:rPr>
                      <w:noProof/>
                    </w:rPr>
                    <w:drawing>
                      <wp:inline distT="0" distB="0" distL="0" distR="0" wp14:anchorId="11EB49C7" wp14:editId="65DAC320">
                        <wp:extent cx="5606980" cy="3215472"/>
                        <wp:effectExtent l="0" t="0" r="13335" b="4445"/>
                        <wp:docPr id="1024268739" name="Chart 1">
                          <a:extLst xmlns:a="http://schemas.openxmlformats.org/drawingml/2006/main">
                            <a:ext uri="{FF2B5EF4-FFF2-40B4-BE49-F238E27FC236}">
                              <a16:creationId xmlns:a16="http://schemas.microsoft.com/office/drawing/2014/main" id="{B2685FAC-166E-002E-BA66-9F8A4F9F28CC}"/>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2916A6EB" w14:textId="104B5A21" w:rsidR="005674C7" w:rsidRDefault="005674C7" w:rsidP="008E1B83">
                  <w:pPr>
                    <w:pStyle w:val="Text"/>
                    <w:jc w:val="left"/>
                    <w:rPr>
                      <w:highlight w:val="yellow"/>
                    </w:rPr>
                  </w:pPr>
                  <w:r w:rsidRPr="003815ED">
                    <w:rPr>
                      <w:i/>
                      <w:sz w:val="20"/>
                      <w:szCs w:val="18"/>
                    </w:rPr>
                    <w:t>Source: Service user survey</w:t>
                  </w:r>
                </w:p>
                <w:p w14:paraId="70622F13" w14:textId="483EA93D" w:rsidR="005674C7" w:rsidRDefault="00D12D37" w:rsidP="005674C7">
                  <w:pPr>
                    <w:pStyle w:val="Text"/>
                  </w:pPr>
                  <w:r>
                    <w:t>84% (n=162) of s</w:t>
                  </w:r>
                  <w:r w:rsidR="005674C7" w:rsidRPr="00AE761A">
                    <w:t xml:space="preserve">ervice users broadly agreed that FaRS </w:t>
                  </w:r>
                  <w:r w:rsidR="005674C7">
                    <w:t xml:space="preserve">and </w:t>
                  </w:r>
                  <w:r w:rsidR="005674C7" w:rsidRPr="00AE761A">
                    <w:t xml:space="preserve">SFVS meets the needs of contemporary </w:t>
                  </w:r>
                  <w:r>
                    <w:t xml:space="preserve">Australian </w:t>
                  </w:r>
                  <w:r w:rsidR="005674C7" w:rsidRPr="00AE761A">
                    <w:t>families</w:t>
                  </w:r>
                  <w:r>
                    <w:t>.</w:t>
                  </w:r>
                  <w:r w:rsidR="005674C7" w:rsidRPr="00AE761A">
                    <w:t xml:space="preserve"> </w:t>
                  </w:r>
                </w:p>
                <w:p w14:paraId="01B4E7B0" w14:textId="36510E23" w:rsidR="005674C7" w:rsidRPr="00A75DA9" w:rsidRDefault="005674C7" w:rsidP="005674C7">
                  <w:pPr>
                    <w:pBdr>
                      <w:left w:val="single" w:sz="18" w:space="4" w:color="78B800" w:themeColor="accent1"/>
                    </w:pBdr>
                    <w:tabs>
                      <w:tab w:val="left" w:pos="8080"/>
                    </w:tabs>
                    <w:spacing w:after="0"/>
                    <w:ind w:left="851" w:right="949"/>
                    <w:rPr>
                      <w:i/>
                    </w:rPr>
                  </w:pPr>
                  <w:r w:rsidRPr="002E7992">
                    <w:rPr>
                      <w:noProof/>
                    </w:rPr>
                    <w:drawing>
                      <wp:anchor distT="0" distB="0" distL="114300" distR="114300" simplePos="0" relativeHeight="251658325" behindDoc="0" locked="1" layoutInCell="1" allowOverlap="1" wp14:anchorId="36144A71" wp14:editId="5E520167">
                        <wp:simplePos x="0" y="0"/>
                        <wp:positionH relativeFrom="column">
                          <wp:posOffset>0</wp:posOffset>
                        </wp:positionH>
                        <wp:positionV relativeFrom="paragraph">
                          <wp:posOffset>0</wp:posOffset>
                        </wp:positionV>
                        <wp:extent cx="384810" cy="320040"/>
                        <wp:effectExtent l="0" t="0" r="0" b="3810"/>
                        <wp:wrapNone/>
                        <wp:docPr id="1777794960" name="Graphic 1777794960" descr="P2614#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794960" name="Graphic 1777794960" descr="P2614#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E761A">
                    <w:rPr>
                      <w:i/>
                      <w:iCs/>
                    </w:rPr>
                    <w:t>More contemporary Australian families are isolated from their families or friends. Women hold a lot more at home. This service is good to support those women</w:t>
                  </w:r>
                  <w:r>
                    <w:rPr>
                      <w:i/>
                      <w:iCs/>
                    </w:rPr>
                    <w:t xml:space="preserve"> </w:t>
                  </w:r>
                  <w:r w:rsidRPr="002E7992">
                    <w:rPr>
                      <w:b/>
                      <w:bCs/>
                      <w:i/>
                      <w:iCs/>
                    </w:rPr>
                    <w:t>–</w:t>
                  </w:r>
                  <w:r>
                    <w:rPr>
                      <w:b/>
                      <w:bCs/>
                      <w:i/>
                      <w:iCs/>
                    </w:rPr>
                    <w:t xml:space="preserve"> FaR</w:t>
                  </w:r>
                  <w:r w:rsidR="00070284">
                    <w:rPr>
                      <w:b/>
                      <w:bCs/>
                      <w:i/>
                      <w:iCs/>
                    </w:rPr>
                    <w:t>S</w:t>
                  </w:r>
                  <w:r>
                    <w:rPr>
                      <w:b/>
                      <w:bCs/>
                      <w:i/>
                      <w:iCs/>
                    </w:rPr>
                    <w:t xml:space="preserve"> service user </w:t>
                  </w:r>
                </w:p>
                <w:p w14:paraId="1429011D" w14:textId="77777777" w:rsidR="005674C7" w:rsidRDefault="005674C7" w:rsidP="005674C7">
                  <w:pPr>
                    <w:pStyle w:val="Text"/>
                  </w:pPr>
                </w:p>
                <w:p w14:paraId="1CD4E9D8" w14:textId="7A936406" w:rsidR="009C578D" w:rsidRDefault="00674AA3" w:rsidP="009C578D">
                  <w:pPr>
                    <w:pStyle w:val="Text"/>
                  </w:pPr>
                  <w:r>
                    <w:t xml:space="preserve">Approximately </w:t>
                  </w:r>
                  <w:r w:rsidR="005674C7" w:rsidRPr="00AE761A">
                    <w:t>78.5% (n=139) of survey respondents reported the service completely or mostly address</w:t>
                  </w:r>
                  <w:r w:rsidR="00E71656">
                    <w:t>ed</w:t>
                  </w:r>
                  <w:r w:rsidR="005674C7" w:rsidRPr="00AE761A">
                    <w:t xml:space="preserve"> their individual needs (including relationship status, family dynamics, cultural background, disability, and other identify factors)</w:t>
                  </w:r>
                  <w:r w:rsidR="005407C8">
                    <w:t xml:space="preserve"> (see</w:t>
                  </w:r>
                  <w:r w:rsidR="00713550">
                    <w:rPr>
                      <w:b/>
                      <w:bCs/>
                    </w:rPr>
                    <w:t xml:space="preserve"> </w:t>
                  </w:r>
                  <w:r w:rsidR="00713550" w:rsidRPr="00713550">
                    <w:rPr>
                      <w:b/>
                      <w:bCs/>
                    </w:rPr>
                    <w:fldChar w:fldCharType="begin" w:fldLock="1"/>
                  </w:r>
                  <w:r w:rsidR="00713550" w:rsidRPr="00713550">
                    <w:rPr>
                      <w:b/>
                      <w:bCs/>
                    </w:rPr>
                    <w:instrText xml:space="preserve"> REF _Ref208995411 \h  \* MERGEFORMAT </w:instrText>
                  </w:r>
                  <w:r w:rsidR="00713550" w:rsidRPr="00713550">
                    <w:rPr>
                      <w:b/>
                      <w:bCs/>
                    </w:rPr>
                  </w:r>
                  <w:r w:rsidR="00713550" w:rsidRPr="00713550">
                    <w:rPr>
                      <w:b/>
                      <w:bCs/>
                    </w:rPr>
                    <w:fldChar w:fldCharType="separate"/>
                  </w:r>
                  <w:r w:rsidR="008F22E5" w:rsidRPr="008F22E5">
                    <w:rPr>
                      <w:b/>
                      <w:bCs/>
                    </w:rPr>
                    <w:t xml:space="preserve">Figure </w:t>
                  </w:r>
                  <w:r w:rsidR="008F22E5" w:rsidRPr="008F22E5">
                    <w:rPr>
                      <w:b/>
                      <w:bCs/>
                      <w:noProof/>
                    </w:rPr>
                    <w:t>31</w:t>
                  </w:r>
                  <w:r w:rsidR="00713550" w:rsidRPr="00713550">
                    <w:rPr>
                      <w:b/>
                      <w:bCs/>
                    </w:rPr>
                    <w:fldChar w:fldCharType="end"/>
                  </w:r>
                  <w:r w:rsidR="00713550">
                    <w:rPr>
                      <w:b/>
                      <w:bCs/>
                    </w:rPr>
                    <w:t xml:space="preserve"> </w:t>
                  </w:r>
                  <w:r w:rsidR="005407C8">
                    <w:t>below)</w:t>
                  </w:r>
                  <w:r w:rsidR="005674C7" w:rsidRPr="00AE761A">
                    <w:t>.</w:t>
                  </w:r>
                  <w:r w:rsidR="00A704E4">
                    <w:t xml:space="preserve"> </w:t>
                  </w:r>
                  <w:r w:rsidR="00A704E4" w:rsidRPr="00EC7B30">
                    <w:t xml:space="preserve">Of this total, most respondents who received SFVS exclusively or both FaRS and SFVS </w:t>
                  </w:r>
                  <w:r w:rsidR="00A704E4">
                    <w:t>said services either complete</w:t>
                  </w:r>
                  <w:r w:rsidR="00A05484">
                    <w:t>ly</w:t>
                  </w:r>
                  <w:r w:rsidR="00A704E4">
                    <w:t xml:space="preserve"> or mostly met their individual needs. </w:t>
                  </w:r>
                  <w:bookmarkStart w:id="447" w:name="_Ref203668235"/>
                  <w:bookmarkStart w:id="448" w:name="_Toc205413071"/>
                  <w:bookmarkStart w:id="449" w:name="_Toc205413125"/>
                </w:p>
                <w:p w14:paraId="24FB3824" w14:textId="77777777" w:rsidR="007C3AF3" w:rsidRDefault="007C3AF3" w:rsidP="00253034">
                  <w:pPr>
                    <w:pStyle w:val="TableFigure-Header"/>
                    <w:spacing w:line="276" w:lineRule="auto"/>
                    <w:jc w:val="both"/>
                    <w:rPr>
                      <w:lang w:val="en-NZ"/>
                    </w:rPr>
                  </w:pPr>
                  <w:bookmarkStart w:id="450" w:name="_Ref208994650"/>
                </w:p>
                <w:p w14:paraId="6F53AA46" w14:textId="77777777" w:rsidR="007C3AF3" w:rsidRDefault="007C3AF3" w:rsidP="00253034">
                  <w:pPr>
                    <w:pStyle w:val="TableFigure-Header"/>
                    <w:spacing w:line="276" w:lineRule="auto"/>
                    <w:jc w:val="both"/>
                    <w:rPr>
                      <w:lang w:val="en-NZ"/>
                    </w:rPr>
                  </w:pPr>
                </w:p>
                <w:p w14:paraId="708DF11E" w14:textId="77777777" w:rsidR="007C3AF3" w:rsidRDefault="007C3AF3" w:rsidP="00253034">
                  <w:pPr>
                    <w:pStyle w:val="TableFigure-Header"/>
                    <w:spacing w:line="276" w:lineRule="auto"/>
                    <w:jc w:val="both"/>
                    <w:rPr>
                      <w:lang w:val="en-NZ"/>
                    </w:rPr>
                  </w:pPr>
                </w:p>
                <w:p w14:paraId="023D97DA" w14:textId="77777777" w:rsidR="007C3AF3" w:rsidRDefault="007C3AF3" w:rsidP="00253034">
                  <w:pPr>
                    <w:pStyle w:val="TableFigure-Header"/>
                    <w:spacing w:line="276" w:lineRule="auto"/>
                    <w:jc w:val="both"/>
                    <w:rPr>
                      <w:lang w:val="en-NZ"/>
                    </w:rPr>
                  </w:pPr>
                </w:p>
                <w:p w14:paraId="1AA2EAB4" w14:textId="77777777" w:rsidR="007C3AF3" w:rsidRDefault="007C3AF3" w:rsidP="00253034">
                  <w:pPr>
                    <w:pStyle w:val="TableFigure-Header"/>
                    <w:spacing w:line="276" w:lineRule="auto"/>
                    <w:jc w:val="both"/>
                    <w:rPr>
                      <w:lang w:val="en-NZ"/>
                    </w:rPr>
                  </w:pPr>
                </w:p>
                <w:p w14:paraId="25F0281C" w14:textId="77777777" w:rsidR="007C3AF3" w:rsidRDefault="007C3AF3" w:rsidP="00253034">
                  <w:pPr>
                    <w:pStyle w:val="TableFigure-Header"/>
                    <w:spacing w:line="276" w:lineRule="auto"/>
                    <w:jc w:val="both"/>
                    <w:rPr>
                      <w:lang w:val="en-NZ"/>
                    </w:rPr>
                  </w:pPr>
                </w:p>
                <w:p w14:paraId="60E9195F" w14:textId="295E9548" w:rsidR="007C3AF3" w:rsidRDefault="007C3AF3" w:rsidP="00253034">
                  <w:pPr>
                    <w:pStyle w:val="TableFigure-Header"/>
                    <w:spacing w:line="276" w:lineRule="auto"/>
                    <w:jc w:val="both"/>
                    <w:rPr>
                      <w:lang w:val="en-NZ"/>
                    </w:rPr>
                  </w:pPr>
                </w:p>
                <w:p w14:paraId="6548C344" w14:textId="0F9794A4" w:rsidR="005674C7" w:rsidRPr="007C3AF3" w:rsidRDefault="005674C7" w:rsidP="00253034">
                  <w:pPr>
                    <w:pStyle w:val="TableFigure-Header"/>
                    <w:spacing w:line="276" w:lineRule="auto"/>
                    <w:jc w:val="both"/>
                    <w:rPr>
                      <w:lang w:val="en-NZ"/>
                    </w:rPr>
                  </w:pPr>
                  <w:bookmarkStart w:id="451" w:name="_Ref208995411"/>
                  <w:r w:rsidRPr="58DFBD8D">
                    <w:rPr>
                      <w:lang w:val="en-NZ"/>
                    </w:rPr>
                    <w:lastRenderedPageBreak/>
                    <w:t xml:space="preserve">Figure </w:t>
                  </w:r>
                  <w:r w:rsidR="00C64C3D">
                    <w:rPr>
                      <w:lang w:val="en-NZ"/>
                    </w:rPr>
                    <w:fldChar w:fldCharType="begin"/>
                  </w:r>
                  <w:r w:rsidR="00C64C3D">
                    <w:rPr>
                      <w:lang w:val="en-NZ"/>
                    </w:rPr>
                    <w:instrText xml:space="preserve"> SEQ Figure \* ARABIC </w:instrText>
                  </w:r>
                  <w:r w:rsidR="00C64C3D">
                    <w:rPr>
                      <w:lang w:val="en-NZ"/>
                    </w:rPr>
                    <w:fldChar w:fldCharType="separate"/>
                  </w:r>
                  <w:r w:rsidR="008D2566">
                    <w:rPr>
                      <w:noProof/>
                      <w:lang w:val="en-NZ"/>
                    </w:rPr>
                    <w:t>31</w:t>
                  </w:r>
                  <w:r w:rsidR="00C64C3D">
                    <w:rPr>
                      <w:lang w:val="en-NZ"/>
                    </w:rPr>
                    <w:fldChar w:fldCharType="end"/>
                  </w:r>
                  <w:bookmarkEnd w:id="447"/>
                  <w:bookmarkEnd w:id="450"/>
                  <w:bookmarkEnd w:id="451"/>
                  <w:r w:rsidRPr="58DFBD8D">
                    <w:rPr>
                      <w:lang w:val="en-NZ"/>
                    </w:rPr>
                    <w:t>: Did the service meet your individual needs (e.g. relationship status, family dynamics, cultural background, disability)</w:t>
                  </w:r>
                  <w:r w:rsidR="005407C8" w:rsidRPr="58DFBD8D">
                    <w:rPr>
                      <w:lang w:val="en-NZ"/>
                    </w:rPr>
                    <w:t xml:space="preserve">, </w:t>
                  </w:r>
                  <w:r w:rsidR="00A61536" w:rsidRPr="58DFBD8D">
                    <w:rPr>
                      <w:lang w:val="en-NZ"/>
                    </w:rPr>
                    <w:t>FaRS and SFVS</w:t>
                  </w:r>
                  <w:r w:rsidR="005407C8" w:rsidRPr="58DFBD8D">
                    <w:rPr>
                      <w:lang w:val="en-NZ"/>
                    </w:rPr>
                    <w:t xml:space="preserve"> service users</w:t>
                  </w:r>
                  <w:r w:rsidRPr="58DFBD8D">
                    <w:rPr>
                      <w:lang w:val="en-NZ"/>
                    </w:rPr>
                    <w:t xml:space="preserve"> (n=177)</w:t>
                  </w:r>
                  <w:bookmarkEnd w:id="448"/>
                  <w:bookmarkEnd w:id="449"/>
                </w:p>
                <w:p w14:paraId="3377EEF5" w14:textId="1D93D53B" w:rsidR="005674C7" w:rsidRDefault="0048014F" w:rsidP="596BDFB0">
                  <w:pPr>
                    <w:pStyle w:val="TableFigureTitle"/>
                    <w:jc w:val="center"/>
                    <w:rPr>
                      <w:i w:val="0"/>
                      <w:lang w:val="en-US"/>
                    </w:rPr>
                  </w:pPr>
                  <w:r>
                    <w:rPr>
                      <w:noProof/>
                    </w:rPr>
                    <w:drawing>
                      <wp:inline distT="0" distB="0" distL="0" distR="0" wp14:anchorId="4B67E850" wp14:editId="147CA095">
                        <wp:extent cx="5512435" cy="3341077"/>
                        <wp:effectExtent l="0" t="0" r="12065" b="12065"/>
                        <wp:docPr id="737647880" name="Chart 1">
                          <a:extLst xmlns:a="http://schemas.openxmlformats.org/drawingml/2006/main">
                            <a:ext uri="{FF2B5EF4-FFF2-40B4-BE49-F238E27FC236}">
                              <a16:creationId xmlns:a16="http://schemas.microsoft.com/office/drawing/2014/main" id="{5AED8F59-71AF-7652-C7B4-127AA2D6A52F}"/>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1B16EC05" w14:textId="77777777" w:rsidR="005674C7" w:rsidRPr="008E1B83" w:rsidRDefault="005674C7" w:rsidP="005674C7">
                  <w:pPr>
                    <w:pStyle w:val="TableFigure-Notes"/>
                    <w:rPr>
                      <w:i/>
                      <w:sz w:val="20"/>
                      <w:szCs w:val="20"/>
                      <w:lang w:val="en-US"/>
                    </w:rPr>
                  </w:pPr>
                  <w:r w:rsidRPr="008E1B83">
                    <w:rPr>
                      <w:i/>
                      <w:sz w:val="20"/>
                      <w:szCs w:val="20"/>
                      <w:lang w:val="en-US"/>
                    </w:rPr>
                    <w:t xml:space="preserve">Source: Service user survey </w:t>
                  </w:r>
                </w:p>
                <w:p w14:paraId="59694C70" w14:textId="65B258EF" w:rsidR="00227202" w:rsidRPr="004D0875" w:rsidRDefault="00653C00" w:rsidP="005674C7">
                  <w:pPr>
                    <w:pStyle w:val="Text"/>
                  </w:pPr>
                  <w:r>
                    <w:t xml:space="preserve">Approximately </w:t>
                  </w:r>
                  <w:r w:rsidR="005674C7">
                    <w:t>83.5%</w:t>
                  </w:r>
                  <w:r w:rsidR="00D12D37">
                    <w:t xml:space="preserve"> (n=1</w:t>
                  </w:r>
                  <w:r w:rsidR="00E71656">
                    <w:t>62)</w:t>
                  </w:r>
                  <w:r w:rsidR="005674C7">
                    <w:t xml:space="preserve"> of survey respondents agreed that FaRS and/or SFVS services meet the needs of contemporary Australian families (see </w:t>
                  </w:r>
                  <w:r w:rsidR="005674C7" w:rsidRPr="002A1F15">
                    <w:fldChar w:fldCharType="begin" w:fldLock="1"/>
                  </w:r>
                  <w:r w:rsidR="005674C7" w:rsidRPr="00021A1A">
                    <w:rPr>
                      <w:b/>
                      <w:bCs/>
                    </w:rPr>
                    <w:instrText xml:space="preserve"> REF _Ref204611199 \h </w:instrText>
                  </w:r>
                  <w:r w:rsidR="005674C7">
                    <w:rPr>
                      <w:b/>
                      <w:bCs/>
                    </w:rPr>
                    <w:instrText xml:space="preserve"> \* MERGEFORMAT </w:instrText>
                  </w:r>
                  <w:r w:rsidR="005674C7" w:rsidRPr="002A1F15">
                    <w:fldChar w:fldCharType="separate"/>
                  </w:r>
                  <w:r w:rsidR="008F22E5" w:rsidRPr="51B00877">
                    <w:rPr>
                      <w:rStyle w:val="Text-Bold"/>
                    </w:rPr>
                    <w:t xml:space="preserve">Figure </w:t>
                  </w:r>
                  <w:r w:rsidR="008F22E5" w:rsidRPr="008F22E5">
                    <w:rPr>
                      <w:b/>
                      <w:bCs/>
                    </w:rPr>
                    <w:t>32</w:t>
                  </w:r>
                  <w:r w:rsidR="005674C7" w:rsidRPr="002A1F15">
                    <w:fldChar w:fldCharType="end"/>
                  </w:r>
                  <w:r w:rsidR="005674C7" w:rsidRPr="004D0875">
                    <w:t>).</w:t>
                  </w:r>
                  <w:r w:rsidR="005674C7">
                    <w:t xml:space="preserve"> </w:t>
                  </w:r>
                  <w:r w:rsidR="00A704E4" w:rsidRPr="004D0875">
                    <w:t xml:space="preserve">Of this total, most respondents who received SFVS exclusively or both FaRS and SFVS agreed. </w:t>
                  </w:r>
                </w:p>
                <w:p w14:paraId="37A64F9C" w14:textId="4A396075" w:rsidR="005674C7" w:rsidRPr="004D0875" w:rsidRDefault="005674C7" w:rsidP="00253034">
                  <w:pPr>
                    <w:pStyle w:val="TableFigure-Header"/>
                    <w:spacing w:line="276" w:lineRule="auto"/>
                    <w:jc w:val="both"/>
                    <w:rPr>
                      <w:rStyle w:val="Text-Bold"/>
                      <w:b/>
                      <w:lang w:val="en-NZ"/>
                    </w:rPr>
                  </w:pPr>
                  <w:bookmarkStart w:id="452" w:name="_Ref204611199"/>
                  <w:bookmarkStart w:id="453" w:name="_Toc205413072"/>
                  <w:bookmarkStart w:id="454" w:name="_Toc205413126"/>
                  <w:r w:rsidRPr="51B00877">
                    <w:rPr>
                      <w:rStyle w:val="Text-Bold"/>
                      <w:b/>
                      <w:lang w:val="en-NZ"/>
                    </w:rPr>
                    <w:t xml:space="preserve">Figure </w:t>
                  </w:r>
                  <w:r w:rsidR="00C64C3D">
                    <w:rPr>
                      <w:rStyle w:val="Text-Bold"/>
                      <w:b/>
                      <w:lang w:val="en-NZ"/>
                    </w:rPr>
                    <w:fldChar w:fldCharType="begin"/>
                  </w:r>
                  <w:r w:rsidR="00C64C3D">
                    <w:rPr>
                      <w:rStyle w:val="Text-Bold"/>
                      <w:b/>
                      <w:lang w:val="en-NZ"/>
                    </w:rPr>
                    <w:instrText xml:space="preserve"> SEQ Figure \* ARABIC </w:instrText>
                  </w:r>
                  <w:r w:rsidR="00C64C3D">
                    <w:rPr>
                      <w:rStyle w:val="Text-Bold"/>
                      <w:b/>
                      <w:lang w:val="en-NZ"/>
                    </w:rPr>
                    <w:fldChar w:fldCharType="separate"/>
                  </w:r>
                  <w:r w:rsidR="008D2566">
                    <w:rPr>
                      <w:rStyle w:val="Text-Bold"/>
                      <w:b/>
                      <w:noProof/>
                      <w:lang w:val="en-NZ"/>
                    </w:rPr>
                    <w:t>32</w:t>
                  </w:r>
                  <w:r w:rsidR="00C64C3D">
                    <w:rPr>
                      <w:rStyle w:val="Text-Bold"/>
                      <w:b/>
                      <w:lang w:val="en-NZ"/>
                    </w:rPr>
                    <w:fldChar w:fldCharType="end"/>
                  </w:r>
                  <w:bookmarkEnd w:id="452"/>
                  <w:r w:rsidRPr="51B00877">
                    <w:rPr>
                      <w:rStyle w:val="Text-Bold"/>
                      <w:b/>
                      <w:lang w:val="en-NZ"/>
                    </w:rPr>
                    <w:t>: Do you feel that the service meets the needs of contemporary Australian families</w:t>
                  </w:r>
                  <w:r w:rsidR="005407C8" w:rsidRPr="51B00877">
                    <w:rPr>
                      <w:rStyle w:val="Text-Bold"/>
                      <w:b/>
                      <w:lang w:val="en-NZ"/>
                    </w:rPr>
                    <w:t>,</w:t>
                  </w:r>
                  <w:r w:rsidR="00A61536" w:rsidRPr="51B00877">
                    <w:rPr>
                      <w:rStyle w:val="Text-Bold"/>
                      <w:b/>
                      <w:lang w:val="en-NZ"/>
                    </w:rPr>
                    <w:t xml:space="preserve"> FaRS and SFVS</w:t>
                  </w:r>
                  <w:r w:rsidR="005407C8" w:rsidRPr="51B00877">
                    <w:rPr>
                      <w:rStyle w:val="Text-Bold"/>
                      <w:b/>
                      <w:lang w:val="en-NZ"/>
                    </w:rPr>
                    <w:t xml:space="preserve"> service users</w:t>
                  </w:r>
                  <w:r w:rsidRPr="51B00877">
                    <w:rPr>
                      <w:rStyle w:val="Text-Bold"/>
                      <w:b/>
                      <w:lang w:val="en-NZ"/>
                    </w:rPr>
                    <w:t xml:space="preserve"> (n=194)</w:t>
                  </w:r>
                  <w:bookmarkEnd w:id="453"/>
                  <w:bookmarkEnd w:id="454"/>
                </w:p>
                <w:p w14:paraId="7ADD74FF" w14:textId="5CAC30F5" w:rsidR="005B0AAA" w:rsidRDefault="005B0AAA" w:rsidP="00BC622E">
                  <w:pPr>
                    <w:pStyle w:val="Text"/>
                    <w:jc w:val="center"/>
                    <w:rPr>
                      <w:i/>
                      <w:sz w:val="20"/>
                      <w:szCs w:val="18"/>
                    </w:rPr>
                  </w:pPr>
                  <w:r>
                    <w:rPr>
                      <w:noProof/>
                    </w:rPr>
                    <w:drawing>
                      <wp:inline distT="0" distB="0" distL="0" distR="0" wp14:anchorId="54DF06FC" wp14:editId="0C293492">
                        <wp:extent cx="4811147" cy="2835061"/>
                        <wp:effectExtent l="0" t="0" r="8890" b="3810"/>
                        <wp:docPr id="2070643937" name="Picture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643937" name="Picture 14">
                                  <a:extLst>
                                    <a:ext uri="{C183D7F6-B498-43B3-948B-1728B52AA6E4}">
                                      <adec:decorative xmlns:adec="http://schemas.microsoft.com/office/drawing/2017/decorative" val="1"/>
                                    </a:ext>
                                  </a:extLst>
                                </pic:cNvPr>
                                <pic:cNvPicPr>
                                  <a:picLocks noChangeAspect="1" noChangeArrowheads="1"/>
                                </pic:cNvPicPr>
                              </pic:nvPicPr>
                              <pic:blipFill>
                                <a:blip r:embed="rId79">
                                  <a:extLst>
                                    <a:ext uri="{28A0092B-C50C-407E-A947-70E740481C1C}">
                                      <a14:useLocalDpi xmlns:a14="http://schemas.microsoft.com/office/drawing/2010/main" val="0"/>
                                    </a:ext>
                                  </a:extLst>
                                </a:blip>
                                <a:stretch>
                                  <a:fillRect/>
                                </a:stretch>
                              </pic:blipFill>
                              <pic:spPr bwMode="auto">
                                <a:xfrm>
                                  <a:off x="0" y="0"/>
                                  <a:ext cx="4811147" cy="2835061"/>
                                </a:xfrm>
                                <a:prstGeom prst="rect">
                                  <a:avLst/>
                                </a:prstGeom>
                                <a:noFill/>
                                <a:ln>
                                  <a:noFill/>
                                </a:ln>
                              </pic:spPr>
                            </pic:pic>
                          </a:graphicData>
                        </a:graphic>
                      </wp:inline>
                    </w:drawing>
                  </w:r>
                </w:p>
                <w:p w14:paraId="3E54A593" w14:textId="349CB521" w:rsidR="00A61536" w:rsidRPr="00BC622E" w:rsidRDefault="00A61536" w:rsidP="00A61536">
                  <w:pPr>
                    <w:pStyle w:val="Text"/>
                    <w:rPr>
                      <w:i/>
                      <w:sz w:val="20"/>
                      <w:szCs w:val="18"/>
                    </w:rPr>
                  </w:pPr>
                  <w:r w:rsidRPr="008E1B83">
                    <w:rPr>
                      <w:i/>
                      <w:sz w:val="20"/>
                      <w:szCs w:val="18"/>
                    </w:rPr>
                    <w:t xml:space="preserve">Source: Service user survey </w:t>
                  </w:r>
                </w:p>
                <w:p w14:paraId="43F49EF1" w14:textId="64B27B87" w:rsidR="005674C7" w:rsidRDefault="00B77E0C" w:rsidP="005674C7">
                  <w:pPr>
                    <w:pStyle w:val="Text"/>
                  </w:pPr>
                  <w:r>
                    <w:lastRenderedPageBreak/>
                    <w:t>S</w:t>
                  </w:r>
                  <w:r w:rsidR="005674C7">
                    <w:t xml:space="preserve">ervice providers attributed </w:t>
                  </w:r>
                  <w:r w:rsidR="004E2507">
                    <w:t xml:space="preserve">positive </w:t>
                  </w:r>
                  <w:r w:rsidR="00F0556F">
                    <w:t xml:space="preserve">service </w:t>
                  </w:r>
                  <w:r w:rsidR="004E2507">
                    <w:t>user experiences</w:t>
                  </w:r>
                  <w:r w:rsidR="005674C7">
                    <w:t xml:space="preserve">, in part, to the flexibility of </w:t>
                  </w:r>
                  <w:r w:rsidR="00BF0697">
                    <w:t>the</w:t>
                  </w:r>
                  <w:r w:rsidR="005674C7">
                    <w:t xml:space="preserve"> FaRS and SFVS model</w:t>
                  </w:r>
                  <w:r>
                    <w:t xml:space="preserve"> (see </w:t>
                  </w:r>
                  <w:r w:rsidRPr="00DC4151">
                    <w:rPr>
                      <w:b/>
                      <w:bCs/>
                    </w:rPr>
                    <w:t>Section</w:t>
                  </w:r>
                  <w:r w:rsidR="00331119">
                    <w:t xml:space="preserve"> </w:t>
                  </w:r>
                  <w:r w:rsidR="00331119" w:rsidRPr="00331119">
                    <w:rPr>
                      <w:b/>
                      <w:bCs/>
                    </w:rPr>
                    <w:fldChar w:fldCharType="begin" w:fldLock="1"/>
                  </w:r>
                  <w:r w:rsidR="00331119" w:rsidRPr="00331119">
                    <w:rPr>
                      <w:b/>
                      <w:bCs/>
                    </w:rPr>
                    <w:instrText xml:space="preserve"> REF _Ref208926410 \n \h </w:instrText>
                  </w:r>
                  <w:r w:rsidR="00331119">
                    <w:rPr>
                      <w:b/>
                      <w:bCs/>
                    </w:rPr>
                    <w:instrText xml:space="preserve"> \* MERGEFORMAT </w:instrText>
                  </w:r>
                  <w:r w:rsidR="00331119" w:rsidRPr="00331119">
                    <w:rPr>
                      <w:b/>
                      <w:bCs/>
                    </w:rPr>
                  </w:r>
                  <w:r w:rsidR="00331119" w:rsidRPr="00331119">
                    <w:rPr>
                      <w:b/>
                      <w:bCs/>
                    </w:rPr>
                    <w:fldChar w:fldCharType="separate"/>
                  </w:r>
                  <w:r w:rsidR="008F22E5">
                    <w:rPr>
                      <w:b/>
                      <w:bCs/>
                    </w:rPr>
                    <w:t>6.7</w:t>
                  </w:r>
                  <w:r w:rsidR="00331119" w:rsidRPr="00331119">
                    <w:rPr>
                      <w:b/>
                      <w:bCs/>
                    </w:rPr>
                    <w:fldChar w:fldCharType="end"/>
                  </w:r>
                  <w:r w:rsidR="00331119">
                    <w:t xml:space="preserve"> </w:t>
                  </w:r>
                  <w:r>
                    <w:t>for more detail).</w:t>
                  </w:r>
                  <w:r w:rsidR="0067050E">
                    <w:t xml:space="preserve"> This flexibility</w:t>
                  </w:r>
                  <w:r w:rsidR="005674C7">
                    <w:t xml:space="preserve"> allows </w:t>
                  </w:r>
                  <w:r w:rsidR="0067050E">
                    <w:t xml:space="preserve">providers </w:t>
                  </w:r>
                  <w:r w:rsidR="005674C7">
                    <w:t>to implement a range of initiatives, underpinned by varied therapeutic methods</w:t>
                  </w:r>
                  <w:r w:rsidR="0067050E">
                    <w:t>. These initiatives</w:t>
                  </w:r>
                  <w:r w:rsidR="005674C7">
                    <w:t xml:space="preserve"> are place-based and responsive to the individual and community needs of the populations they serv</w:t>
                  </w:r>
                  <w:r w:rsidR="00136CBA">
                    <w:t>e</w:t>
                  </w:r>
                  <w:r w:rsidR="005674C7">
                    <w:t xml:space="preserve">. </w:t>
                  </w:r>
                </w:p>
                <w:p w14:paraId="15D5930D" w14:textId="4D7B212D" w:rsidR="005674C7" w:rsidRDefault="005674C7" w:rsidP="005674C7">
                  <w:pPr>
                    <w:pStyle w:val="Bullet1"/>
                    <w:numPr>
                      <w:ilvl w:val="0"/>
                      <w:numId w:val="0"/>
                    </w:numPr>
                  </w:pPr>
                  <w:r>
                    <w:t>Some FaRS service users complimented their service</w:t>
                  </w:r>
                  <w:r w:rsidR="00DD4A03">
                    <w:t>’</w:t>
                  </w:r>
                  <w:r>
                    <w:t xml:space="preserve">s responsiveness to </w:t>
                  </w:r>
                  <w:r w:rsidR="00EF6058">
                    <w:t>their</w:t>
                  </w:r>
                  <w:r>
                    <w:t xml:space="preserve"> need</w:t>
                  </w:r>
                  <w:r w:rsidR="00EF6058">
                    <w:t>s. They</w:t>
                  </w:r>
                  <w:r>
                    <w:t xml:space="preserve"> attribut</w:t>
                  </w:r>
                  <w:r w:rsidR="00EF6058">
                    <w:t>ed</w:t>
                  </w:r>
                  <w:r>
                    <w:t xml:space="preserve"> this to</w:t>
                  </w:r>
                  <w:r w:rsidR="00EF6058">
                    <w:t xml:space="preserve"> several factors, including</w:t>
                  </w:r>
                  <w:r>
                    <w:t xml:space="preserve"> counsellors being matched to family members based on skills and background; providing ad hoc, informal counselling over the phone outside of formal appointments; and their understandings of different family compositions. </w:t>
                  </w:r>
                </w:p>
                <w:p w14:paraId="59CADB90" w14:textId="77777777" w:rsidR="00155BBC" w:rsidRDefault="00155BBC" w:rsidP="005674C7">
                  <w:pPr>
                    <w:pStyle w:val="Bullet1"/>
                    <w:numPr>
                      <w:ilvl w:val="0"/>
                      <w:numId w:val="0"/>
                    </w:numPr>
                  </w:pPr>
                </w:p>
                <w:p w14:paraId="1AEBF315" w14:textId="1FE319F1" w:rsidR="005674C7" w:rsidRPr="006D6402" w:rsidRDefault="005674C7" w:rsidP="006D6402">
                  <w:pPr>
                    <w:pBdr>
                      <w:left w:val="single" w:sz="18" w:space="4" w:color="78B800" w:themeColor="accent1"/>
                    </w:pBdr>
                    <w:tabs>
                      <w:tab w:val="left" w:pos="8080"/>
                    </w:tabs>
                    <w:spacing w:after="0"/>
                    <w:ind w:left="851" w:right="949"/>
                    <w:rPr>
                      <w:i/>
                    </w:rPr>
                  </w:pPr>
                  <w:r w:rsidRPr="00AE761A">
                    <w:rPr>
                      <w:i/>
                      <w:iCs/>
                    </w:rPr>
                    <w:t>My family is blended, and I think the counsellor was understanding of those challenges</w:t>
                  </w:r>
                  <w:r w:rsidRPr="00AE761A">
                    <w:rPr>
                      <w:b/>
                      <w:bCs/>
                      <w:i/>
                      <w:iCs/>
                    </w:rPr>
                    <w:t xml:space="preserve"> </w:t>
                  </w:r>
                  <w:r w:rsidRPr="002E7992">
                    <w:rPr>
                      <w:noProof/>
                    </w:rPr>
                    <w:drawing>
                      <wp:anchor distT="0" distB="0" distL="114300" distR="114300" simplePos="0" relativeHeight="251658326" behindDoc="0" locked="1" layoutInCell="1" allowOverlap="1" wp14:anchorId="7CB60F05" wp14:editId="7FC609F0">
                        <wp:simplePos x="0" y="0"/>
                        <wp:positionH relativeFrom="column">
                          <wp:posOffset>0</wp:posOffset>
                        </wp:positionH>
                        <wp:positionV relativeFrom="paragraph">
                          <wp:posOffset>0</wp:posOffset>
                        </wp:positionV>
                        <wp:extent cx="384810" cy="320040"/>
                        <wp:effectExtent l="0" t="0" r="0" b="3810"/>
                        <wp:wrapNone/>
                        <wp:docPr id="570347756" name="Graphic 570347756" descr="P2634#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347756" name="Graphic 570347756" descr="P2634#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E7992">
                    <w:rPr>
                      <w:b/>
                      <w:bCs/>
                      <w:i/>
                      <w:iCs/>
                    </w:rPr>
                    <w:t>–</w:t>
                  </w:r>
                  <w:r>
                    <w:rPr>
                      <w:b/>
                      <w:bCs/>
                      <w:i/>
                      <w:iCs/>
                    </w:rPr>
                    <w:t xml:space="preserve"> FaR</w:t>
                  </w:r>
                  <w:r w:rsidR="006D6402">
                    <w:rPr>
                      <w:b/>
                      <w:bCs/>
                      <w:i/>
                      <w:iCs/>
                    </w:rPr>
                    <w:t>S</w:t>
                  </w:r>
                  <w:r>
                    <w:rPr>
                      <w:b/>
                      <w:bCs/>
                      <w:i/>
                      <w:iCs/>
                    </w:rPr>
                    <w:t xml:space="preserve"> service user </w:t>
                  </w:r>
                </w:p>
                <w:p w14:paraId="7D8BEA8D" w14:textId="77777777" w:rsidR="00155BBC" w:rsidRDefault="00155BBC" w:rsidP="005674C7">
                  <w:pPr>
                    <w:pStyle w:val="Bullet1"/>
                    <w:numPr>
                      <w:ilvl w:val="0"/>
                      <w:numId w:val="0"/>
                    </w:numPr>
                  </w:pPr>
                </w:p>
                <w:p w14:paraId="004899EC" w14:textId="1E1F4054" w:rsidR="00155BBC" w:rsidRDefault="005674C7" w:rsidP="005674C7">
                  <w:pPr>
                    <w:pStyle w:val="Bullet1"/>
                    <w:numPr>
                      <w:ilvl w:val="0"/>
                      <w:numId w:val="0"/>
                    </w:numPr>
                    <w:rPr>
                      <w:b/>
                      <w:bCs/>
                    </w:rPr>
                  </w:pPr>
                  <w:r>
                    <w:t>For FaRS and SFVS service users who did not have their needs met</w:t>
                  </w:r>
                  <w:r w:rsidR="006D6402">
                    <w:t>,</w:t>
                  </w:r>
                  <w:r>
                    <w:t xml:space="preserve"> reasons </w:t>
                  </w:r>
                  <w:r w:rsidR="00172C2E">
                    <w:t>included</w:t>
                  </w:r>
                  <w:r>
                    <w:t xml:space="preserve"> service staff lacking the requisite expertise or experience, for example around neurodiversity</w:t>
                  </w:r>
                  <w:r w:rsidR="00FC5714">
                    <w:t xml:space="preserve"> (see </w:t>
                  </w:r>
                  <w:r w:rsidRPr="000F2024">
                    <w:rPr>
                      <w:b/>
                      <w:bCs/>
                    </w:rPr>
                    <w:t xml:space="preserve">Section </w:t>
                  </w:r>
                  <w:r w:rsidR="00FC5714">
                    <w:rPr>
                      <w:b/>
                      <w:bCs/>
                    </w:rPr>
                    <w:fldChar w:fldCharType="begin" w:fldLock="1"/>
                  </w:r>
                  <w:r w:rsidR="00FC5714">
                    <w:rPr>
                      <w:b/>
                      <w:bCs/>
                    </w:rPr>
                    <w:instrText xml:space="preserve"> REF _Ref205455380 \r \h </w:instrText>
                  </w:r>
                  <w:r w:rsidR="00271FAC">
                    <w:rPr>
                      <w:b/>
                      <w:bCs/>
                    </w:rPr>
                    <w:instrText xml:space="preserve"> \* MERGEFORMAT </w:instrText>
                  </w:r>
                  <w:r w:rsidR="00FC5714">
                    <w:rPr>
                      <w:b/>
                      <w:bCs/>
                    </w:rPr>
                  </w:r>
                  <w:r w:rsidR="00FC5714">
                    <w:rPr>
                      <w:b/>
                      <w:bCs/>
                    </w:rPr>
                    <w:fldChar w:fldCharType="separate"/>
                  </w:r>
                  <w:r w:rsidR="008F22E5">
                    <w:rPr>
                      <w:b/>
                      <w:bCs/>
                    </w:rPr>
                    <w:t>6.4.6</w:t>
                  </w:r>
                  <w:r w:rsidR="00FC5714">
                    <w:rPr>
                      <w:b/>
                      <w:bCs/>
                    </w:rPr>
                    <w:fldChar w:fldCharType="end"/>
                  </w:r>
                  <w:r w:rsidR="00FC5714">
                    <w:rPr>
                      <w:b/>
                      <w:bCs/>
                    </w:rPr>
                    <w:t xml:space="preserve"> </w:t>
                  </w:r>
                  <w:r w:rsidR="00FC5714">
                    <w:t xml:space="preserve">and </w:t>
                  </w:r>
                  <w:r w:rsidR="00FC5714">
                    <w:rPr>
                      <w:b/>
                      <w:bCs/>
                    </w:rPr>
                    <w:t xml:space="preserve">Section </w:t>
                  </w:r>
                  <w:r w:rsidR="00027BD0">
                    <w:rPr>
                      <w:b/>
                      <w:bCs/>
                    </w:rPr>
                    <w:fldChar w:fldCharType="begin" w:fldLock="1"/>
                  </w:r>
                  <w:r w:rsidR="00027BD0">
                    <w:rPr>
                      <w:b/>
                      <w:bCs/>
                    </w:rPr>
                    <w:instrText xml:space="preserve"> REF _Ref208926459 \n \h </w:instrText>
                  </w:r>
                  <w:r w:rsidR="00027BD0">
                    <w:rPr>
                      <w:b/>
                      <w:bCs/>
                    </w:rPr>
                  </w:r>
                  <w:r w:rsidR="00027BD0">
                    <w:rPr>
                      <w:b/>
                      <w:bCs/>
                    </w:rPr>
                    <w:fldChar w:fldCharType="separate"/>
                  </w:r>
                  <w:r w:rsidR="008F22E5">
                    <w:rPr>
                      <w:b/>
                      <w:bCs/>
                    </w:rPr>
                    <w:t>5.3.2</w:t>
                  </w:r>
                  <w:r w:rsidR="00027BD0">
                    <w:rPr>
                      <w:b/>
                      <w:bCs/>
                    </w:rPr>
                    <w:fldChar w:fldCharType="end"/>
                  </w:r>
                  <w:r w:rsidR="00FC5714">
                    <w:rPr>
                      <w:b/>
                      <w:bCs/>
                    </w:rPr>
                    <w:t xml:space="preserve"> </w:t>
                  </w:r>
                  <w:r w:rsidR="00FC5714">
                    <w:t>for more detail)</w:t>
                  </w:r>
                  <w:r>
                    <w:t xml:space="preserve">. </w:t>
                  </w:r>
                  <w:r w:rsidRPr="00AE761A">
                    <w:t>During interviews and focus groups</w:t>
                  </w:r>
                  <w:r w:rsidR="00172C2E">
                    <w:t>,</w:t>
                  </w:r>
                  <w:r w:rsidRPr="00AE761A">
                    <w:t xml:space="preserve"> </w:t>
                  </w:r>
                  <w:r w:rsidR="00A36133">
                    <w:t xml:space="preserve">service users </w:t>
                  </w:r>
                  <w:r w:rsidR="00175D50">
                    <w:t>and</w:t>
                  </w:r>
                  <w:r w:rsidR="00A36133">
                    <w:t xml:space="preserve"> service providers</w:t>
                  </w:r>
                  <w:r w:rsidR="00A36133" w:rsidRPr="00AE761A">
                    <w:t xml:space="preserve"> </w:t>
                  </w:r>
                  <w:r w:rsidRPr="00AE761A">
                    <w:t xml:space="preserve">reported that </w:t>
                  </w:r>
                  <w:r w:rsidR="00A36133">
                    <w:t>services</w:t>
                  </w:r>
                  <w:r w:rsidR="00A36133" w:rsidRPr="00AE761A">
                    <w:t xml:space="preserve"> </w:t>
                  </w:r>
                  <w:r w:rsidRPr="00AE761A">
                    <w:t xml:space="preserve">were mixed in their ability to adjust to some individual needs. </w:t>
                  </w:r>
                  <w:r w:rsidR="00172C2E">
                    <w:t xml:space="preserve">In addition to neurodivergence, other </w:t>
                  </w:r>
                  <w:r w:rsidRPr="00AE761A">
                    <w:t>identified gaps included culturally appropriate approaches for CALD individuals and Aboriginal and Torres Strait Islander communities</w:t>
                  </w:r>
                  <w:r w:rsidR="00C94A3A">
                    <w:t xml:space="preserve"> (</w:t>
                  </w:r>
                  <w:r w:rsidR="00FC5714">
                    <w:t xml:space="preserve">see </w:t>
                  </w:r>
                  <w:r w:rsidR="00C94A3A">
                    <w:rPr>
                      <w:b/>
                      <w:bCs/>
                    </w:rPr>
                    <w:t xml:space="preserve">Section </w:t>
                  </w:r>
                  <w:r w:rsidR="00204E92">
                    <w:rPr>
                      <w:b/>
                      <w:bCs/>
                    </w:rPr>
                    <w:fldChar w:fldCharType="begin" w:fldLock="1"/>
                  </w:r>
                  <w:r w:rsidR="00204E92">
                    <w:rPr>
                      <w:b/>
                      <w:bCs/>
                    </w:rPr>
                    <w:instrText xml:space="preserve"> REF _Ref205305073 \r \h </w:instrText>
                  </w:r>
                  <w:r w:rsidR="00271FAC">
                    <w:rPr>
                      <w:b/>
                      <w:bCs/>
                    </w:rPr>
                    <w:instrText xml:space="preserve"> \* MERGEFORMAT </w:instrText>
                  </w:r>
                  <w:r w:rsidR="00204E92">
                    <w:rPr>
                      <w:b/>
                      <w:bCs/>
                    </w:rPr>
                  </w:r>
                  <w:r w:rsidR="00204E92">
                    <w:rPr>
                      <w:b/>
                      <w:bCs/>
                    </w:rPr>
                    <w:fldChar w:fldCharType="separate"/>
                  </w:r>
                  <w:r w:rsidR="008F22E5">
                    <w:rPr>
                      <w:b/>
                      <w:bCs/>
                    </w:rPr>
                    <w:t>6.4</w:t>
                  </w:r>
                  <w:r w:rsidR="00204E92">
                    <w:rPr>
                      <w:b/>
                      <w:bCs/>
                    </w:rPr>
                    <w:fldChar w:fldCharType="end"/>
                  </w:r>
                  <w:r w:rsidR="00FC5714">
                    <w:rPr>
                      <w:b/>
                      <w:bCs/>
                    </w:rPr>
                    <w:t xml:space="preserve"> </w:t>
                  </w:r>
                  <w:r w:rsidR="00FC5714">
                    <w:t>for more detail</w:t>
                  </w:r>
                  <w:r w:rsidR="00C94A3A" w:rsidRPr="00C94A3A">
                    <w:t>)</w:t>
                  </w:r>
                  <w:r w:rsidRPr="00AE761A">
                    <w:t>, and support for complex issues including post-partum depression and alcohol and drug misuse</w:t>
                  </w:r>
                  <w:r>
                    <w:t xml:space="preserve">. </w:t>
                  </w:r>
                </w:p>
                <w:p w14:paraId="68D92832" w14:textId="7F16728C" w:rsidR="005674C7" w:rsidRDefault="005674C7" w:rsidP="005674C7">
                  <w:pPr>
                    <w:pStyle w:val="Bullet1"/>
                    <w:numPr>
                      <w:ilvl w:val="0"/>
                      <w:numId w:val="0"/>
                    </w:numPr>
                    <w:rPr>
                      <w:b/>
                      <w:bCs/>
                    </w:rPr>
                  </w:pPr>
                </w:p>
                <w:p w14:paraId="1538F86F" w14:textId="693371E7" w:rsidR="00C94A3A" w:rsidRPr="00070284" w:rsidRDefault="00C94A3A" w:rsidP="00C94A3A">
                  <w:pPr>
                    <w:pBdr>
                      <w:left w:val="single" w:sz="18" w:space="4" w:color="78B800" w:themeColor="accent1"/>
                    </w:pBdr>
                    <w:tabs>
                      <w:tab w:val="left" w:pos="8080"/>
                    </w:tabs>
                    <w:spacing w:after="0"/>
                    <w:ind w:left="851" w:right="949"/>
                    <w:rPr>
                      <w:b/>
                      <w:bCs/>
                      <w:i/>
                      <w:iCs/>
                    </w:rPr>
                  </w:pPr>
                  <w:r w:rsidRPr="002E7992">
                    <w:rPr>
                      <w:noProof/>
                    </w:rPr>
                    <w:drawing>
                      <wp:anchor distT="0" distB="0" distL="114300" distR="114300" simplePos="0" relativeHeight="251658327" behindDoc="0" locked="1" layoutInCell="1" allowOverlap="1" wp14:anchorId="2CCBCB89" wp14:editId="7BB7DC6B">
                        <wp:simplePos x="0" y="0"/>
                        <wp:positionH relativeFrom="column">
                          <wp:posOffset>0</wp:posOffset>
                        </wp:positionH>
                        <wp:positionV relativeFrom="paragraph">
                          <wp:posOffset>0</wp:posOffset>
                        </wp:positionV>
                        <wp:extent cx="384810" cy="320040"/>
                        <wp:effectExtent l="0" t="0" r="0" b="3810"/>
                        <wp:wrapNone/>
                        <wp:docPr id="1413176174" name="Graphic 1413176174" descr="P2638#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176174" name="Graphic 1413176174" descr="P2638#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E761A">
                    <w:rPr>
                      <w:i/>
                      <w:iCs/>
                    </w:rPr>
                    <w:t>We need to be able to have staff that have the skills to be able to work with people with complex disabilities, including mental health illnesses […] we don't have much funding in FaRS for upskilling of staff […] In terms of diversity, you know, we're really needing […] neurodiversity affirming approaches in our practi</w:t>
                  </w:r>
                  <w:r>
                    <w:rPr>
                      <w:i/>
                      <w:iCs/>
                    </w:rPr>
                    <w:t>c</w:t>
                  </w:r>
                  <w:r w:rsidRPr="00AE761A">
                    <w:rPr>
                      <w:i/>
                      <w:iCs/>
                    </w:rPr>
                    <w:t>e</w:t>
                  </w:r>
                  <w:r w:rsidR="00CA1A2B">
                    <w:rPr>
                      <w:i/>
                      <w:iCs/>
                    </w:rPr>
                    <w:t xml:space="preserve"> </w:t>
                  </w:r>
                  <w:r w:rsidRPr="002E7992">
                    <w:rPr>
                      <w:b/>
                      <w:bCs/>
                      <w:i/>
                      <w:iCs/>
                    </w:rPr>
                    <w:t>–</w:t>
                  </w:r>
                  <w:r>
                    <w:rPr>
                      <w:b/>
                      <w:bCs/>
                      <w:i/>
                      <w:iCs/>
                    </w:rPr>
                    <w:t xml:space="preserve"> FaRS service user </w:t>
                  </w:r>
                </w:p>
                <w:p w14:paraId="7836F1A7" w14:textId="02870B2B" w:rsidR="00C94A3A" w:rsidRDefault="00C94A3A" w:rsidP="005674C7">
                  <w:pPr>
                    <w:pStyle w:val="Bullet1"/>
                    <w:numPr>
                      <w:ilvl w:val="0"/>
                      <w:numId w:val="0"/>
                    </w:numPr>
                  </w:pPr>
                </w:p>
                <w:p w14:paraId="411B541A" w14:textId="42274BDC" w:rsidR="00254C59" w:rsidRDefault="00BF4AFE" w:rsidP="00070284">
                  <w:pPr>
                    <w:pStyle w:val="Text"/>
                  </w:pPr>
                  <w:bookmarkStart w:id="455" w:name="_Ref204092926"/>
                  <w:bookmarkStart w:id="456" w:name="_Toc204856746"/>
                  <w:r>
                    <w:t>M</w:t>
                  </w:r>
                  <w:r w:rsidR="00070284">
                    <w:t xml:space="preserve">ental health arose as a significant </w:t>
                  </w:r>
                  <w:r w:rsidR="00513D85">
                    <w:t xml:space="preserve">factor </w:t>
                  </w:r>
                  <w:r w:rsidR="00070284">
                    <w:t xml:space="preserve">driving help seeking behaviour </w:t>
                  </w:r>
                  <w:r w:rsidR="00513D85">
                    <w:t xml:space="preserve">among </w:t>
                  </w:r>
                  <w:r w:rsidR="00070284">
                    <w:t>FaRS service users</w:t>
                  </w:r>
                  <w:r>
                    <w:t>. This reflects the</w:t>
                  </w:r>
                  <w:r w:rsidR="00070284" w:rsidRPr="006448E5">
                    <w:t xml:space="preserve"> intersection of mental health with family and relationship </w:t>
                  </w:r>
                  <w:r w:rsidR="00070284" w:rsidRPr="00120900">
                    <w:t>issues</w:t>
                  </w:r>
                  <w:r w:rsidR="00120900" w:rsidRPr="00120900">
                    <w:t xml:space="preserve"> </w:t>
                  </w:r>
                  <w:r w:rsidR="00120900" w:rsidRPr="00120900">
                    <w:fldChar w:fldCharType="begin"/>
                  </w:r>
                  <w:r w:rsidR="00E41D03">
                    <w:instrText xml:space="preserve"> ADDIN ZOTERO_ITEM CSL_CITATION {"citationID":"G0mgxtIV","properties":{"formattedCitation":"(Andersen et al., 2021; Carr, 2025; Isobe et al., 2020; White et al., 2024)","plainCitation":"(Andersen et al., 2021; Carr, 2025; Isobe et al., 2020; White et al., 2024)","noteIndex":0},"citationItems":[{"id":5674,"uris":["http://zotero.org/groups/5691188/items/LXSYCZAT"],"itemData":{"id":5674,"type":"article-journal","abstract":"Interventions that support social relationships are widely used to promote mental health and increasingly involve the use of digital technologies. Solid theoretical underpinning is crucial for interventions to achieve the intended outcomes and avoid unintended consequences. Several theories linking social relationships to mental health exist in the literature but plurality and overlapping elements complicate the choice of appropriate theory. The aim of this study was to systematically review and synthesize theories linking social relationships to mental health to extract key theoretical assumptions to explain 1) how social relationships influence mental health, and 2) the circumstances that distinguish beneficial social relationships from relationships that have no effects or cause harm. Results of the synthesis are discussed in relation to general interventions, and implications for the use of digital interventions as novel tools to support social relationships and mental health are drawn out. The systematic search was performed in five electronic databases: PubMed, Sociological Abstracts, PsycINFO, CINAHL, and Embase. Six theoretical frameworks met our inclusion criteria and were included in the synthesis. The theory synthesis followed three stages: 1. synthesis preparation, 2. synthesis, and 3. synthesis refinement. Findings show that various social relationships influence people's mental health, both in adverse situations and in those without adversities. Their impact is shaped by a complex interplay of individual and relational circumstances and the individual's subjective perceptions. Quality and content are central to separating beneficial relationships from those that are not beneficial. Findings support the potential of interventions based on social relationships to improve mental health but highlight the need to consider the circumstances where relationships might do more harm than good. Digital interventions may improve people's opportunities to develop new relationships or strengthen existing ones, but they require a special focus on ensuring the quality and content of relationships to maximize this potential benefit.","container-title":"SSM - Mental Health","DOI":"10.1016/j.ssmmh.2021.100042","ISSN":"2666-5603","journalAbbreviation":"SSM - Mental Health","page":"100042","source":"ScienceDirect","title":"The social route to mental health: A systematic review and synthesis of theories linking social relationships to mental health to inform interventions","title-short":"The social route to mental health","volume":"1","author":[{"family":"Andersen","given":"Lærke Mai Bonde"},{"family":"Rasmussen","given":"Amanda Nikolajew"},{"family":"Reavley","given":"Nicola J."},{"family":"Bøggild","given":"Henrik"},{"family":"Overgaard","given":"Charlotte"}],"issued":{"date-parts":[["2021",12,1]]}}},{"id":5670,"uris":["http://zotero.org/groups/5691188/items/S9AG723T"],"itemData":{"id":5670,"type":"article-journal","abstract":"This twenty-fifth anniversary review updates previous similar papers published in JFT in 2000, 2009, 2014 and 2019. It presents evidence from meta-analyses, systematic reviews and controlled trials for the effectiveness of couple therapy and systemic interventions for adults with a range or relationship and mental physical health problems. The evidence supports the effectiveness of systemic interventions, either alone or as part of multimodal programmes, for relationship distress, psychosexual problems, intimate partner violence, anxiety and mood disorders, alcohol problems, schizophrenia and adjustment to chronic physical illness. Systemic interventions are as effective as evidenced-based individual psychotherapeutic interventions for all of these problems, and more effective than individual therapy for some, including for relationship distress, situational intimate partner violence and delaying relapse in schizophrenia.","container-title":"Journal of Family Therapy","DOI":"10.1111/1467-6427.12481","ISSN":"1467-6427","issue":"1","language":"en","license":"© 2025 The Author(s). Journal of Family Therapy published by John Wiley &amp; Sons Ltd on behalf of The Association for Family Therapy and Systemic Practice.","note":"_eprint: https://onlinelibrary.wiley.com/doi/pdf/10.1111/1467-6427.12481","page":"e12481","source":"Wiley Online Library","title":"Couple therapy and systemic interventions for adult-focused problems: The evidence base","title-short":"Couple therapy and systemic interventions for adult-focused problems","volume":"47","author":[{"family":"Carr","given":"Alan"}],"issued":{"date-parts":[["2025"]]}}},{"id":5665,"uris":["http://zotero.org/groups/5691188/items/69ZYFYRA"],"itemData":{"id":5665,"type":"article-journal","abstract":"A critical interpretive synthesis (CIS) methodology was used with the aim of informing practice with children and families when domestic and family violence (DFV) and parental issues relating to alcohol and other drugs (AOD) and mental health (MH) are also present. A CIS is grounded in the literature, but includes questioning of the literature in order to problematise gaps, contradictions and constructions of issues. A review of the literature from 2010 to 2018 was conducted with the structured search strategy identifying 40 relevant research articles. Synthesis and critique of these articles revealed three mutually informative themes through which to understand the literature and how it can inform practice. They were as follows: differences in theoretical approaches and client focus; complexity of system's collaboration; and practices converging on mothers. Taken together, these themes facilitated the development of the synthesising construct: strengthening intersection between DFV, AOD and MH sectors. Attention to practice at multiple levels that responds to the dynamics of gender and the differing impacts of violence was often lacking, particularly in the context of heightened child protection concerns where collaboration between sectors is needed. Both promising and problematic practices relating to gender dynamics and accountability converged on mothers. While there were exceptions, generally, there was an absence of engagement with, and recognition of, the impacts of fathers’ patterns of using violence and control on adult and child survivors. Promising practice related to the strengthening of the mother–child relationship and attention to MH and its intersection with domestic violence. Strengthening the intersections between DFV, AOD and MH practices with attention to keeping the perpetrator of violence in view is critical to overcoming the poor practice that can occur when sec tors are siloed from each other.","container-title":"Health &amp; Social Care in the Community","DOI":"10.1111/hsc.12978","ISSN":"0966-0410, 1365-2524","issue":"5","journalAbbreviation":"Health Soc Care Community","language":"en","page":"1394-1407","source":"DOI.org (Crossref)","title":"A critical interpretive synthesis of the intersection of domestic violence with parental issues of mental health and substance misuse","volume":"28","author":[{"family":"Isobe","given":"Jasmin"},{"family":"Healey","given":"Lucy"},{"family":"Humphreys","given":"Cathy"}],"issued":{"date-parts":[["2020",9]]}}},{"id":5668,"uris":["http://zotero.org/groups/5691188/items/WACD6X6D"],"itemData":{"id":5668,"type":"article-journal","abstract":"The aim of this systematic review was to assess the magnitude of the association between types of intimate partner violence (IPV) and mental health outcomes and shed light on the large variation in IPV prevalence rates between low- to middle-income countries and high-income countries. The study is a systematic review and meta-analysis. The following databases were searched for this study: Cochrane, MEDLINE, EMBASE, PsycINFO, Cumulative Index to Nursing and Allied Health Literature, and the Applied Social Sciences Index and Abstracts. The inclusion criteria for this study are as follows: quantitative studies published from 2012 to 2020 on IPV exposure in women aged 16+, using validated measures. Random effects meta-analyses and subgroup analysis exploring heterogeneity across population groups in different economic contexts are used in this study. In all, 201 studies were included with 250,599 women, primarily from high-income countries. Higher prevalence rates were reported for women?s lifetime IPV than past year IPV. Lifetime psychological violence was the most prevalent form of IPV. Women in the community reported the highest prevalence for physical, psychological, and sexual violence in the past year compared to clinical groups. Perinatal women were most likely to have experienced lifetime physical IPV. Prevalence rates differed significantly (p?=?.037 to &lt;.001) for ?any IPV? and all subtypes by income country level. Meta-analysis suggested increased odds for all mental health outcomes associated with IPV including depression (odds ratio [OR]?=?2.04?3.14), posttraumatic stress disorder (PTSD) (OR?=?2.15?2.66), and suicidality (OR?=?2.17?5.52). Clinical and community populations were exposed to high prevalence of IPV and increased likelihood of depression, PTSD, and suicidality. Future research should seek to understand women?s perspectives on service/support responses to IPV to address their mental health needs. Work with IPV survivors should be carried out to develop bespoke services to reduce IPV in groups most at risk such as pregnant and/or help-seeking women.","container-title":"Trauma, Violence, &amp; Abuse","DOI":"10.1177/15248380231155529","ISSN":"1524-8380","issue":"1","note":"publisher: SAGE Publications","page":"494-511","source":"SAGE Journals","title":"Global Prevalence and Mental Health Outcomes of Intimate Partner Violence Among Women: A Systematic Review and Meta-Analysis","title-short":"Global Prevalence and Mental Health Outcomes of Intimate Partner Violence Among Women","volume":"25","author":[{"family":"White","given":"Sarah J."},{"family":"Sin","given":"Jacqueline"},{"family":"Sweeney","given":"Angela"},{"family":"Salisbury","given":"Tatiana"},{"family":"Wahlich","given":"Charlotte"},{"family":"Montesinos Guevara","given":"Camila Margarita"},{"family":"Gillard","given":"Steven"},{"family":"Brett","given":"Emma"},{"family":"Allwright","given":"Lucy"},{"family":"Iqbal","given":"Naima"},{"family":"Khan","given":"Alicia"},{"family":"Perot","given":"Concetta"},{"family":"Marks","given":"Jacqueline"},{"family":"Mantovani","given":"Nadia"}],"issued":{"date-parts":[["2024",1,1]]}}}],"schema":"https://github.com/citation-style-language/schema/raw/master/csl-citation.json"} </w:instrText>
                  </w:r>
                  <w:r w:rsidR="00120900" w:rsidRPr="00120900">
                    <w:fldChar w:fldCharType="separate"/>
                  </w:r>
                  <w:r w:rsidR="003C117F" w:rsidRPr="003C117F">
                    <w:rPr>
                      <w:rFonts w:ascii="Arial" w:hAnsi="Arial" w:cs="Arial"/>
                    </w:rPr>
                    <w:t>(Andersen et al., 2021; Carr, 2025; Isobe et al., 2020; White et al., 2024)</w:t>
                  </w:r>
                  <w:r w:rsidR="00120900" w:rsidRPr="00120900">
                    <w:fldChar w:fldCharType="end"/>
                  </w:r>
                  <w:r w:rsidR="00F43C88">
                    <w:t>.</w:t>
                  </w:r>
                  <w:r w:rsidR="00120900">
                    <w:t xml:space="preserve"> </w:t>
                  </w:r>
                  <w:r w:rsidR="0039099D">
                    <w:t>Responses to the service user survey showed that</w:t>
                  </w:r>
                  <w:r w:rsidR="00120900">
                    <w:t xml:space="preserve"> </w:t>
                  </w:r>
                  <w:r w:rsidR="00070284" w:rsidRPr="006448E5">
                    <w:t>mental health was most often selected as a co-motivator alongside relationship issues (33.3%, n=53)</w:t>
                  </w:r>
                  <w:r w:rsidR="00070284">
                    <w:t>. O</w:t>
                  </w:r>
                  <w:r w:rsidR="00070284" w:rsidRPr="006448E5">
                    <w:t>nly 3% (n=5) identified mental health as the sole motivating factor for seeking support</w:t>
                  </w:r>
                  <w:r w:rsidR="00070284">
                    <w:t xml:space="preserve"> through FaRS. </w:t>
                  </w:r>
                </w:p>
                <w:p w14:paraId="0DF64EC3" w14:textId="2B89A9E8" w:rsidR="00070284" w:rsidRDefault="0021314C" w:rsidP="00070284">
                  <w:pPr>
                    <w:pStyle w:val="Text"/>
                  </w:pPr>
                  <w:r>
                    <w:t>Similarly,</w:t>
                  </w:r>
                  <w:r w:rsidR="00254C59">
                    <w:t xml:space="preserve"> </w:t>
                  </w:r>
                  <w:r>
                    <w:t>a</w:t>
                  </w:r>
                  <w:r w:rsidR="00070284" w:rsidRPr="006448E5">
                    <w:t xml:space="preserve">pproximately half of FaRS service users interviewed identified mental health as </w:t>
                  </w:r>
                  <w:r w:rsidR="00070284">
                    <w:t xml:space="preserve">a </w:t>
                  </w:r>
                  <w:r w:rsidR="00070284" w:rsidRPr="006448E5">
                    <w:t xml:space="preserve">reason for seeking support. During interviews, </w:t>
                  </w:r>
                  <w:r w:rsidR="00070284">
                    <w:t>several</w:t>
                  </w:r>
                  <w:r w:rsidR="00070284" w:rsidRPr="006448E5">
                    <w:t xml:space="preserve"> FaRS service users said that they accessed counselling during an acute mental health crisis because they were unable to find accessible support elsewhere. </w:t>
                  </w:r>
                  <w:r>
                    <w:t>In these cases,</w:t>
                  </w:r>
                  <w:r w:rsidR="00070284" w:rsidRPr="006448E5">
                    <w:t xml:space="preserve"> a lack of access to affordable mental health services </w:t>
                  </w:r>
                  <w:r w:rsidR="0083101D">
                    <w:t>led users to seek support from</w:t>
                  </w:r>
                  <w:r w:rsidR="00070284" w:rsidRPr="006448E5" w:rsidDel="0083101D">
                    <w:t xml:space="preserve"> </w:t>
                  </w:r>
                  <w:r w:rsidR="00070284" w:rsidRPr="006448E5">
                    <w:t>FaRS</w:t>
                  </w:r>
                  <w:r w:rsidR="0083101D">
                    <w:t>, which was</w:t>
                  </w:r>
                  <w:r w:rsidR="00C36D02">
                    <w:t xml:space="preserve"> free or</w:t>
                  </w:r>
                  <w:r w:rsidR="00070284" w:rsidRPr="006448E5">
                    <w:t xml:space="preserve"> comparatively low </w:t>
                  </w:r>
                  <w:r w:rsidR="00C36D02">
                    <w:t>cost</w:t>
                  </w:r>
                  <w:r w:rsidR="00070284" w:rsidRPr="006448E5">
                    <w:t>.</w:t>
                  </w:r>
                </w:p>
                <w:p w14:paraId="3D965EA1" w14:textId="77777777" w:rsidR="00C33534" w:rsidRDefault="00C33534">
                  <w:pPr>
                    <w:rPr>
                      <w:i/>
                      <w:iCs/>
                    </w:rPr>
                  </w:pPr>
                  <w:r>
                    <w:rPr>
                      <w:i/>
                      <w:iCs/>
                    </w:rPr>
                    <w:br w:type="page"/>
                  </w:r>
                </w:p>
                <w:p w14:paraId="3D3837D3" w14:textId="5B47E12D" w:rsidR="00070284" w:rsidRPr="006D5D18" w:rsidRDefault="00070284" w:rsidP="00070284">
                  <w:pPr>
                    <w:pBdr>
                      <w:left w:val="single" w:sz="18" w:space="4" w:color="78B800" w:themeColor="accent1"/>
                    </w:pBdr>
                    <w:tabs>
                      <w:tab w:val="left" w:pos="8080"/>
                    </w:tabs>
                    <w:spacing w:after="0"/>
                    <w:ind w:left="851" w:right="949"/>
                    <w:rPr>
                      <w:b/>
                      <w:bCs/>
                      <w:i/>
                      <w:iCs/>
                    </w:rPr>
                  </w:pPr>
                  <w:r w:rsidRPr="002E7992">
                    <w:rPr>
                      <w:noProof/>
                    </w:rPr>
                    <w:lastRenderedPageBreak/>
                    <w:drawing>
                      <wp:anchor distT="0" distB="0" distL="114300" distR="114300" simplePos="0" relativeHeight="251658328" behindDoc="0" locked="1" layoutInCell="1" allowOverlap="1" wp14:anchorId="79E4C11D" wp14:editId="47B1378C">
                        <wp:simplePos x="0" y="0"/>
                        <wp:positionH relativeFrom="column">
                          <wp:posOffset>0</wp:posOffset>
                        </wp:positionH>
                        <wp:positionV relativeFrom="paragraph">
                          <wp:posOffset>0</wp:posOffset>
                        </wp:positionV>
                        <wp:extent cx="384810" cy="320040"/>
                        <wp:effectExtent l="0" t="0" r="0" b="3810"/>
                        <wp:wrapNone/>
                        <wp:docPr id="2137369560" name="Graphic 2137369560" descr="P2643#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7369560" name="Graphic 2137369560" descr="P2643#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502F9">
                    <w:rPr>
                      <w:i/>
                      <w:iCs/>
                    </w:rPr>
                    <w:t>I can’t talk highly enough about it</w:t>
                  </w:r>
                  <w:r w:rsidR="00C36D02">
                    <w:rPr>
                      <w:i/>
                      <w:iCs/>
                    </w:rPr>
                    <w:t>.</w:t>
                  </w:r>
                  <w:r w:rsidRPr="002502F9">
                    <w:rPr>
                      <w:i/>
                      <w:iCs/>
                    </w:rPr>
                    <w:t xml:space="preserve"> I still have a marriage because of it. [Counsellor] has a broad understanding of mental health issues. I’m here because of my husband’s mental health stuff. The counsellor is good at talking to him about what he needs to do without him being blamed for it, or me being blamed for </w:t>
                  </w:r>
                  <w:r>
                    <w:rPr>
                      <w:i/>
                      <w:iCs/>
                    </w:rPr>
                    <w:t>i</w:t>
                  </w:r>
                  <w:r w:rsidRPr="002502F9">
                    <w:rPr>
                      <w:i/>
                      <w:iCs/>
                    </w:rPr>
                    <w:t>t</w:t>
                  </w:r>
                  <w:r>
                    <w:rPr>
                      <w:i/>
                      <w:iCs/>
                    </w:rPr>
                    <w:t xml:space="preserve"> </w:t>
                  </w:r>
                  <w:r w:rsidRPr="002E7992">
                    <w:rPr>
                      <w:b/>
                      <w:bCs/>
                      <w:i/>
                      <w:iCs/>
                    </w:rPr>
                    <w:t>–</w:t>
                  </w:r>
                  <w:r>
                    <w:rPr>
                      <w:b/>
                      <w:bCs/>
                      <w:i/>
                      <w:iCs/>
                    </w:rPr>
                    <w:t xml:space="preserve"> FaRS service user </w:t>
                  </w:r>
                </w:p>
                <w:p w14:paraId="30C28134" w14:textId="77777777" w:rsidR="00070284" w:rsidRDefault="00070284" w:rsidP="00070284">
                  <w:pPr>
                    <w:pStyle w:val="Bullet1"/>
                    <w:numPr>
                      <w:ilvl w:val="0"/>
                      <w:numId w:val="0"/>
                    </w:numPr>
                  </w:pPr>
                </w:p>
                <w:p w14:paraId="30E382C8" w14:textId="3546F715" w:rsidR="00070284" w:rsidRPr="007B623E" w:rsidRDefault="00070284" w:rsidP="00070284">
                  <w:pPr>
                    <w:pBdr>
                      <w:left w:val="single" w:sz="18" w:space="4" w:color="78B800" w:themeColor="accent1"/>
                    </w:pBdr>
                    <w:tabs>
                      <w:tab w:val="left" w:pos="8080"/>
                    </w:tabs>
                    <w:spacing w:after="0"/>
                    <w:ind w:left="851" w:right="949"/>
                    <w:rPr>
                      <w:i/>
                    </w:rPr>
                  </w:pPr>
                  <w:r w:rsidRPr="002E7992">
                    <w:rPr>
                      <w:noProof/>
                    </w:rPr>
                    <w:drawing>
                      <wp:anchor distT="0" distB="0" distL="114300" distR="114300" simplePos="0" relativeHeight="251658329" behindDoc="0" locked="1" layoutInCell="1" allowOverlap="1" wp14:anchorId="0BA1600E" wp14:editId="24F67436">
                        <wp:simplePos x="0" y="0"/>
                        <wp:positionH relativeFrom="column">
                          <wp:posOffset>0</wp:posOffset>
                        </wp:positionH>
                        <wp:positionV relativeFrom="paragraph">
                          <wp:posOffset>0</wp:posOffset>
                        </wp:positionV>
                        <wp:extent cx="384810" cy="320040"/>
                        <wp:effectExtent l="0" t="0" r="0" b="3810"/>
                        <wp:wrapNone/>
                        <wp:docPr id="1876611393" name="Graphic 1876611393" descr="P2645#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6611393" name="Graphic 1876611393" descr="P2645#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075B1">
                    <w:rPr>
                      <w:i/>
                      <w:iCs/>
                    </w:rPr>
                    <w:t xml:space="preserve">Just before </w:t>
                  </w:r>
                  <w:r>
                    <w:rPr>
                      <w:i/>
                      <w:iCs/>
                    </w:rPr>
                    <w:t>Christma</w:t>
                  </w:r>
                  <w:r w:rsidRPr="00E075B1">
                    <w:rPr>
                      <w:i/>
                      <w:iCs/>
                    </w:rPr>
                    <w:t xml:space="preserve">s I tried to commit suicide – they saved my life 100%. I would not be here if not for them </w:t>
                  </w:r>
                  <w:r w:rsidRPr="002E7992">
                    <w:rPr>
                      <w:b/>
                      <w:bCs/>
                      <w:i/>
                      <w:iCs/>
                    </w:rPr>
                    <w:t>–</w:t>
                  </w:r>
                  <w:r>
                    <w:rPr>
                      <w:b/>
                      <w:bCs/>
                      <w:i/>
                      <w:iCs/>
                    </w:rPr>
                    <w:t xml:space="preserve"> FaRS service user </w:t>
                  </w:r>
                </w:p>
                <w:p w14:paraId="231CF2CC" w14:textId="77777777" w:rsidR="00070284" w:rsidRDefault="00070284" w:rsidP="00070284">
                  <w:pPr>
                    <w:pStyle w:val="Text"/>
                  </w:pPr>
                </w:p>
                <w:p w14:paraId="289B422B" w14:textId="11FF18AB" w:rsidR="00070284" w:rsidRPr="007B623E" w:rsidRDefault="00070284" w:rsidP="00070284">
                  <w:pPr>
                    <w:pBdr>
                      <w:left w:val="single" w:sz="18" w:space="4" w:color="78B800" w:themeColor="accent1"/>
                    </w:pBdr>
                    <w:tabs>
                      <w:tab w:val="left" w:pos="8080"/>
                    </w:tabs>
                    <w:spacing w:after="0"/>
                    <w:ind w:left="851" w:right="949"/>
                    <w:rPr>
                      <w:i/>
                    </w:rPr>
                  </w:pPr>
                  <w:r w:rsidRPr="002E7992">
                    <w:rPr>
                      <w:noProof/>
                    </w:rPr>
                    <w:drawing>
                      <wp:anchor distT="0" distB="0" distL="114300" distR="114300" simplePos="0" relativeHeight="251658330" behindDoc="0" locked="1" layoutInCell="1" allowOverlap="1" wp14:anchorId="39841257" wp14:editId="0D697772">
                        <wp:simplePos x="0" y="0"/>
                        <wp:positionH relativeFrom="column">
                          <wp:posOffset>0</wp:posOffset>
                        </wp:positionH>
                        <wp:positionV relativeFrom="paragraph">
                          <wp:posOffset>0</wp:posOffset>
                        </wp:positionV>
                        <wp:extent cx="384810" cy="320040"/>
                        <wp:effectExtent l="0" t="0" r="0" b="3810"/>
                        <wp:wrapNone/>
                        <wp:docPr id="1211543558" name="Graphic 1211543558" descr="P2647#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543558" name="Graphic 1211543558" descr="P2647#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A0AB2">
                    <w:rPr>
                      <w:i/>
                      <w:iCs/>
                    </w:rPr>
                    <w:t>If I hadn’t gone there and had not reach</w:t>
                  </w:r>
                  <w:r>
                    <w:rPr>
                      <w:i/>
                      <w:iCs/>
                    </w:rPr>
                    <w:t>ed</w:t>
                  </w:r>
                  <w:r w:rsidRPr="00AA0AB2">
                    <w:rPr>
                      <w:i/>
                      <w:iCs/>
                    </w:rPr>
                    <w:t xml:space="preserve"> </w:t>
                  </w:r>
                  <w:r w:rsidR="00C363E9" w:rsidRPr="00AA0AB2">
                    <w:rPr>
                      <w:i/>
                      <w:iCs/>
                    </w:rPr>
                    <w:t>out,</w:t>
                  </w:r>
                  <w:r w:rsidRPr="00AA0AB2">
                    <w:rPr>
                      <w:i/>
                      <w:iCs/>
                    </w:rPr>
                    <w:t xml:space="preserve"> I probably wouldn’t exist right now. I felt more valued, like, they gave me back my confidence which was good. </w:t>
                  </w:r>
                  <w:r>
                    <w:rPr>
                      <w:i/>
                      <w:iCs/>
                    </w:rPr>
                    <w:t>[Financial counsellor]</w:t>
                  </w:r>
                  <w:r w:rsidRPr="00AA0AB2">
                    <w:rPr>
                      <w:i/>
                      <w:iCs/>
                    </w:rPr>
                    <w:t xml:space="preserve"> helped me sort out a budget and I kept it going and I am sitting quite comfortable and he helped me do that. </w:t>
                  </w:r>
                  <w:r>
                    <w:rPr>
                      <w:i/>
                      <w:iCs/>
                    </w:rPr>
                    <w:t xml:space="preserve">[Counsellor] </w:t>
                  </w:r>
                  <w:r w:rsidRPr="00AA0AB2">
                    <w:rPr>
                      <w:i/>
                      <w:iCs/>
                    </w:rPr>
                    <w:t xml:space="preserve">is going to help me get out into the community. I still haven’t done that, but working on it with </w:t>
                  </w:r>
                  <w:r>
                    <w:rPr>
                      <w:i/>
                      <w:iCs/>
                    </w:rPr>
                    <w:t xml:space="preserve">[her] </w:t>
                  </w:r>
                  <w:r w:rsidRPr="002E7992">
                    <w:rPr>
                      <w:b/>
                      <w:bCs/>
                      <w:i/>
                      <w:iCs/>
                    </w:rPr>
                    <w:t>–</w:t>
                  </w:r>
                  <w:r>
                    <w:rPr>
                      <w:b/>
                      <w:bCs/>
                      <w:i/>
                      <w:iCs/>
                    </w:rPr>
                    <w:t xml:space="preserve"> FaRS service user </w:t>
                  </w:r>
                </w:p>
                <w:p w14:paraId="67463F17" w14:textId="77777777" w:rsidR="00070284" w:rsidRDefault="00070284" w:rsidP="00070284">
                  <w:pPr>
                    <w:pStyle w:val="Text"/>
                  </w:pPr>
                </w:p>
                <w:p w14:paraId="3B408336" w14:textId="1E2BE730" w:rsidR="00E070C1" w:rsidRPr="008E1B83" w:rsidRDefault="00E070C1" w:rsidP="00E070C1">
                  <w:pPr>
                    <w:pBdr>
                      <w:left w:val="single" w:sz="18" w:space="4" w:color="78B800" w:themeColor="accent1"/>
                    </w:pBdr>
                    <w:tabs>
                      <w:tab w:val="left" w:pos="8080"/>
                    </w:tabs>
                    <w:spacing w:after="0"/>
                    <w:ind w:left="851" w:right="949"/>
                    <w:rPr>
                      <w:b/>
                      <w:i/>
                    </w:rPr>
                  </w:pPr>
                  <w:r w:rsidRPr="002E7992">
                    <w:rPr>
                      <w:noProof/>
                    </w:rPr>
                    <w:drawing>
                      <wp:anchor distT="0" distB="0" distL="114300" distR="114300" simplePos="0" relativeHeight="251658331" behindDoc="0" locked="1" layoutInCell="1" allowOverlap="1" wp14:anchorId="34F6902D" wp14:editId="0E9F1066">
                        <wp:simplePos x="0" y="0"/>
                        <wp:positionH relativeFrom="column">
                          <wp:posOffset>0</wp:posOffset>
                        </wp:positionH>
                        <wp:positionV relativeFrom="paragraph">
                          <wp:posOffset>0</wp:posOffset>
                        </wp:positionV>
                        <wp:extent cx="384810" cy="320040"/>
                        <wp:effectExtent l="0" t="0" r="0" b="3810"/>
                        <wp:wrapNone/>
                        <wp:docPr id="315056467" name="Graphic 315056467" descr="P2649#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056467" name="Graphic 315056467" descr="P2649#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70284" w:rsidRPr="001959FE">
                    <w:rPr>
                      <w:i/>
                      <w:iCs/>
                    </w:rPr>
                    <w:t xml:space="preserve">They give me tips and techniques </w:t>
                  </w:r>
                  <w:r w:rsidR="00070284">
                    <w:rPr>
                      <w:i/>
                      <w:iCs/>
                    </w:rPr>
                    <w:t xml:space="preserve">to </w:t>
                  </w:r>
                  <w:r w:rsidR="00070284" w:rsidRPr="001959FE">
                    <w:rPr>
                      <w:i/>
                      <w:iCs/>
                    </w:rPr>
                    <w:t>do things with grounding and things like that</w:t>
                  </w:r>
                  <w:r w:rsidR="00070284">
                    <w:rPr>
                      <w:i/>
                      <w:iCs/>
                    </w:rPr>
                    <w:t xml:space="preserve"> […]</w:t>
                  </w:r>
                  <w:r w:rsidR="00070284" w:rsidRPr="001959FE">
                    <w:rPr>
                      <w:i/>
                      <w:iCs/>
                    </w:rPr>
                    <w:t xml:space="preserve"> for PTSD but I don’t think I have PTSD. Grounding has helped me. </w:t>
                  </w:r>
                  <w:r w:rsidR="00070284">
                    <w:rPr>
                      <w:i/>
                      <w:iCs/>
                    </w:rPr>
                    <w:t>[I]</w:t>
                  </w:r>
                  <w:r w:rsidR="00070284" w:rsidRPr="001959FE">
                    <w:rPr>
                      <w:i/>
                      <w:iCs/>
                    </w:rPr>
                    <w:t xml:space="preserve"> go outside, and grab hold of a plant,</w:t>
                  </w:r>
                  <w:r w:rsidR="00070284">
                    <w:rPr>
                      <w:i/>
                      <w:iCs/>
                    </w:rPr>
                    <w:t xml:space="preserve"> I</w:t>
                  </w:r>
                  <w:r w:rsidR="00070284" w:rsidRPr="001959FE">
                    <w:rPr>
                      <w:i/>
                      <w:iCs/>
                    </w:rPr>
                    <w:t xml:space="preserve"> feel </w:t>
                  </w:r>
                  <w:r w:rsidR="00070284">
                    <w:rPr>
                      <w:i/>
                      <w:iCs/>
                    </w:rPr>
                    <w:t>the</w:t>
                  </w:r>
                  <w:r w:rsidR="00070284" w:rsidRPr="001959FE">
                    <w:rPr>
                      <w:i/>
                      <w:iCs/>
                    </w:rPr>
                    <w:t xml:space="preserve"> textures of the plant and leaf, smell the leaf using that to mentally put yourself into a level playing field</w:t>
                  </w:r>
                  <w:r w:rsidR="00070284" w:rsidRPr="007F4C16">
                    <w:rPr>
                      <w:i/>
                      <w:iCs/>
                    </w:rPr>
                    <w:t xml:space="preserve"> </w:t>
                  </w:r>
                  <w:r w:rsidR="00070284" w:rsidRPr="002E7992">
                    <w:rPr>
                      <w:b/>
                      <w:bCs/>
                      <w:i/>
                      <w:iCs/>
                    </w:rPr>
                    <w:t>–</w:t>
                  </w:r>
                  <w:r w:rsidR="00070284">
                    <w:rPr>
                      <w:b/>
                      <w:bCs/>
                      <w:i/>
                      <w:iCs/>
                    </w:rPr>
                    <w:t xml:space="preserve"> FaRS service user </w:t>
                  </w:r>
                </w:p>
                <w:p w14:paraId="178F2947" w14:textId="77777777" w:rsidR="00070284" w:rsidRDefault="00070284" w:rsidP="00070284">
                  <w:pPr>
                    <w:pStyle w:val="Text"/>
                    <w:rPr>
                      <w:highlight w:val="yellow"/>
                    </w:rPr>
                  </w:pPr>
                </w:p>
                <w:p w14:paraId="21F2CA1A" w14:textId="7E0E63C6" w:rsidR="005674C7" w:rsidRPr="009C7D7C" w:rsidRDefault="00AB5282" w:rsidP="002E7436">
                  <w:pPr>
                    <w:pStyle w:val="Heading2"/>
                  </w:pPr>
                  <w:bookmarkStart w:id="457" w:name="_Ref205303836"/>
                  <w:bookmarkStart w:id="458" w:name="_Toc208906860"/>
                  <w:bookmarkEnd w:id="455"/>
                  <w:bookmarkEnd w:id="456"/>
                  <w:r>
                    <w:t>Use of virtual service delivery</w:t>
                  </w:r>
                  <w:bookmarkEnd w:id="457"/>
                  <w:bookmarkEnd w:id="458"/>
                  <w:r>
                    <w:t xml:space="preserve"> </w:t>
                  </w:r>
                </w:p>
                <w:p w14:paraId="55E208D8" w14:textId="74A97740" w:rsidR="00DF19A9" w:rsidRDefault="005674C7" w:rsidP="005674C7">
                  <w:pPr>
                    <w:pStyle w:val="Text"/>
                  </w:pPr>
                  <w:r w:rsidRPr="004D2014">
                    <w:t>Tele</w:t>
                  </w:r>
                  <w:r w:rsidR="009B752C">
                    <w:t>-</w:t>
                  </w:r>
                  <w:r w:rsidRPr="004D2014">
                    <w:t>practice</w:t>
                  </w:r>
                  <w:r w:rsidR="00AB5282">
                    <w:t xml:space="preserve"> or virtual service delivery </w:t>
                  </w:r>
                  <w:r w:rsidR="00946D75">
                    <w:t xml:space="preserve">– </w:t>
                  </w:r>
                  <w:r w:rsidR="00A90127">
                    <w:t>where</w:t>
                  </w:r>
                  <w:r w:rsidR="00946D75">
                    <w:t xml:space="preserve"> </w:t>
                  </w:r>
                  <w:r w:rsidRPr="004D2014">
                    <w:t xml:space="preserve">telecommunications technology </w:t>
                  </w:r>
                  <w:r w:rsidR="00946D75">
                    <w:t xml:space="preserve">is used </w:t>
                  </w:r>
                  <w:r w:rsidRPr="004D2014">
                    <w:t>to provide remote support</w:t>
                  </w:r>
                  <w:r w:rsidR="00AB5282">
                    <w:t xml:space="preserve"> to service users</w:t>
                  </w:r>
                  <w:r w:rsidRPr="004D2014">
                    <w:t xml:space="preserve"> </w:t>
                  </w:r>
                  <w:r w:rsidR="00946D75">
                    <w:t xml:space="preserve">- </w:t>
                  </w:r>
                  <w:r w:rsidRPr="004D2014">
                    <w:t xml:space="preserve">emerged </w:t>
                  </w:r>
                  <w:r w:rsidR="00450D14" w:rsidRPr="004D2014">
                    <w:t xml:space="preserve">during the COVID-19 pandemic </w:t>
                  </w:r>
                  <w:r w:rsidRPr="004D2014">
                    <w:t>as a critical service delivery model in the family and relationship services sector in Australia and globally</w:t>
                  </w:r>
                  <w:r>
                    <w:t xml:space="preserve">. </w:t>
                  </w:r>
                  <w:r w:rsidR="000C0074">
                    <w:t xml:space="preserve">Virtual service delivery has been widely adopted by </w:t>
                  </w:r>
                  <w:r>
                    <w:t>FaRS and SFVS service</w:t>
                  </w:r>
                  <w:r w:rsidR="000C0074">
                    <w:t xml:space="preserve"> providers</w:t>
                  </w:r>
                  <w:r w:rsidR="0084454E">
                    <w:t>.</w:t>
                  </w:r>
                  <w:r w:rsidR="000C0074">
                    <w:t xml:space="preserve"> </w:t>
                  </w:r>
                  <w:r w:rsidR="0084454E">
                    <w:t>H</w:t>
                  </w:r>
                  <w:r w:rsidR="000C0074">
                    <w:t>owever</w:t>
                  </w:r>
                  <w:r w:rsidR="0084454E">
                    <w:t>,</w:t>
                  </w:r>
                  <w:r w:rsidR="000C0074">
                    <w:t xml:space="preserve"> the </w:t>
                  </w:r>
                  <w:r w:rsidR="001E1B28">
                    <w:t>details of their approaches vary</w:t>
                  </w:r>
                  <w:r>
                    <w:t>. S</w:t>
                  </w:r>
                  <w:r w:rsidRPr="00E45A59">
                    <w:t xml:space="preserve">ome FaRS and SFVS services </w:t>
                  </w:r>
                  <w:r w:rsidR="004339A1">
                    <w:t>provide</w:t>
                  </w:r>
                  <w:r w:rsidRPr="00E45A59">
                    <w:t xml:space="preserve"> hybrid options </w:t>
                  </w:r>
                  <w:r>
                    <w:t>(</w:t>
                  </w:r>
                  <w:r w:rsidRPr="00E45A59">
                    <w:t>including allowing people to move between in-person and virtual</w:t>
                  </w:r>
                  <w:r>
                    <w:t>),</w:t>
                  </w:r>
                  <w:r w:rsidRPr="00E45A59">
                    <w:t xml:space="preserve"> </w:t>
                  </w:r>
                  <w:r>
                    <w:t>a minority</w:t>
                  </w:r>
                  <w:r w:rsidRPr="00E45A59">
                    <w:t xml:space="preserve"> offer in-person </w:t>
                  </w:r>
                  <w:r>
                    <w:t>counselling</w:t>
                  </w:r>
                  <w:r w:rsidRPr="00E45A59">
                    <w:t xml:space="preserve"> only, and </w:t>
                  </w:r>
                  <w:r>
                    <w:t>a small number of</w:t>
                  </w:r>
                  <w:r w:rsidRPr="00E45A59">
                    <w:t xml:space="preserve"> FaRS providers provid</w:t>
                  </w:r>
                  <w:r w:rsidR="001E1B28">
                    <w:t>e</w:t>
                  </w:r>
                  <w:r w:rsidRPr="00E45A59">
                    <w:t xml:space="preserve"> largely virtual or over the phone counselling</w:t>
                  </w:r>
                  <w:r>
                    <w:t xml:space="preserve"> or online parenting programs</w:t>
                  </w:r>
                  <w:r w:rsidRPr="00E45A59">
                    <w:t xml:space="preserve">. </w:t>
                  </w:r>
                  <w:r w:rsidR="002364DD">
                    <w:t>S</w:t>
                  </w:r>
                  <w:r>
                    <w:t>ervic</w:t>
                  </w:r>
                  <w:r w:rsidR="001E1B28">
                    <w:t xml:space="preserve">e providers also vary in </w:t>
                  </w:r>
                  <w:r w:rsidR="00DF19A9">
                    <w:t xml:space="preserve">their virtual </w:t>
                  </w:r>
                  <w:r w:rsidR="008A4BD3">
                    <w:t>service offer</w:t>
                  </w:r>
                  <w:r w:rsidR="00DF19A9">
                    <w:t>ings</w:t>
                  </w:r>
                  <w:r>
                    <w:t xml:space="preserve">, with </w:t>
                  </w:r>
                  <w:r w:rsidR="00361CEB">
                    <w:t xml:space="preserve">the most common including </w:t>
                  </w:r>
                  <w:r>
                    <w:t xml:space="preserve">individual counselling, parenting and other education programs, and MBCPs. </w:t>
                  </w:r>
                </w:p>
                <w:p w14:paraId="7A401D89" w14:textId="7CF25388" w:rsidR="005674C7" w:rsidRDefault="005674C7" w:rsidP="005674C7">
                  <w:pPr>
                    <w:pStyle w:val="Text"/>
                  </w:pPr>
                  <w:r>
                    <w:t xml:space="preserve">Service provider </w:t>
                  </w:r>
                  <w:r w:rsidR="008F134C">
                    <w:t>approach</w:t>
                  </w:r>
                  <w:r w:rsidR="00824A52">
                    <w:t>es</w:t>
                  </w:r>
                  <w:r w:rsidR="008F134C">
                    <w:t xml:space="preserve"> to virtual service provision is shaped by</w:t>
                  </w:r>
                  <w:r w:rsidR="008F1D24">
                    <w:t xml:space="preserve"> their</w:t>
                  </w:r>
                  <w:r>
                    <w:t xml:space="preserve"> capacity and capability, local digital infrastructure</w:t>
                  </w:r>
                  <w:r w:rsidR="0039067F">
                    <w:t>,</w:t>
                  </w:r>
                  <w:r>
                    <w:t xml:space="preserve"> service user digital literacy, and the appropriateness of virtual or in-person delivery for particular </w:t>
                  </w:r>
                  <w:r w:rsidR="00E614D3">
                    <w:t xml:space="preserve">service </w:t>
                  </w:r>
                  <w:r w:rsidR="00175D50">
                    <w:t>users</w:t>
                  </w:r>
                  <w:r>
                    <w:t xml:space="preserve"> or program</w:t>
                  </w:r>
                  <w:r w:rsidR="008F134C">
                    <w:t>s (including consideration of risk</w:t>
                  </w:r>
                  <w:r w:rsidR="004339A1">
                    <w:t>s to safety and the therapeutic relationship)</w:t>
                  </w:r>
                  <w:r>
                    <w:t xml:space="preserve">. </w:t>
                  </w:r>
                </w:p>
                <w:p w14:paraId="08BA05A9" w14:textId="6DF139C9" w:rsidR="005674C7" w:rsidRDefault="00150CA6" w:rsidP="005674C7">
                  <w:pPr>
                    <w:pStyle w:val="Text"/>
                  </w:pPr>
                  <w:r>
                    <w:rPr>
                      <w:lang w:val="en-US"/>
                    </w:rPr>
                    <w:lastRenderedPageBreak/>
                    <w:t xml:space="preserve">Research </w:t>
                  </w:r>
                  <w:r w:rsidR="00C01942">
                    <w:rPr>
                      <w:lang w:val="en-US"/>
                    </w:rPr>
                    <w:t>highlights</w:t>
                  </w:r>
                  <w:r w:rsidR="005674C7" w:rsidRPr="00E45A59">
                    <w:t xml:space="preserve"> that the shift to </w:t>
                  </w:r>
                  <w:r w:rsidR="00D8590A" w:rsidRPr="00E45A59">
                    <w:t>tele</w:t>
                  </w:r>
                  <w:r w:rsidR="009B752C">
                    <w:t>-</w:t>
                  </w:r>
                  <w:r w:rsidR="00D8590A">
                    <w:t>practice</w:t>
                  </w:r>
                  <w:r w:rsidR="005674C7" w:rsidRPr="00E45A59">
                    <w:t xml:space="preserve"> during the COVID-19 pandemic ha</w:t>
                  </w:r>
                  <w:r w:rsidR="00C01942">
                    <w:t>s</w:t>
                  </w:r>
                  <w:r w:rsidR="005674C7" w:rsidRPr="00E45A59">
                    <w:t xml:space="preserve"> allowed </w:t>
                  </w:r>
                  <w:r w:rsidR="00C01942">
                    <w:t xml:space="preserve">service providers </w:t>
                  </w:r>
                  <w:r w:rsidR="005674C7" w:rsidRPr="00E45A59">
                    <w:t xml:space="preserve">to significantly expand how many people </w:t>
                  </w:r>
                  <w:r w:rsidR="00C01942">
                    <w:t>are</w:t>
                  </w:r>
                  <w:r w:rsidR="005674C7" w:rsidRPr="00E45A59">
                    <w:t xml:space="preserve"> able to access service</w:t>
                  </w:r>
                  <w:r w:rsidR="00C01942">
                    <w:t>s</w:t>
                  </w:r>
                  <w:r w:rsidR="005674C7">
                    <w:t xml:space="preserve"> </w:t>
                  </w:r>
                  <w:r w:rsidR="005674C7">
                    <w:fldChar w:fldCharType="begin"/>
                  </w:r>
                  <w:r w:rsidR="00E41D03">
                    <w:instrText xml:space="preserve"> ADDIN ZOTERO_ITEM CSL_CITATION {"citationID":"DeQga4qc","properties":{"formattedCitation":"(Cortis et al., 2021)","plainCitation":"(Cortis et al., 2021)","noteIndex":0},"citationItems":[{"id":4559,"uris":["http://zotero.org/groups/5691188/items/38IBEI9X"],"itemData":{"id":4559,"type":"article-journal","abstract":"COVID-19 rapidly altered patterns of domestic and family violence, increasing the complexity of women’s needs, and presenting new barriers to service use. This article examines service responses in Australia, exploring practitioners’ accounts of adapting service delivery models in the early months of the pandemic. Data from a qualitatively enriched online survey of practitioners (n ¼ 100) show the ways services rapidly shifted to engage with clients via remote, technology-mediated modes, as physical distancing requirements triggered rapid expansion in the use of phone, email, video calls and messaging, and many face-to-face interventions temporarily ceased. Many practitioners and service managers found that remote service delivery improved accessibility and efficiency. Others expressed concerns about their capacity to assess risk without face-to-face contact, and were unsure whether new service modalities would meet the needs of all client groups and reflect best practice. Findings attest to practitioners’ mixed experiences during this period of rapid service innovation and change, and underline the importance of monitoring emerging approaches to establish which service adaptations are effective for different groups of people, and to determine good practice for combining remote and face-to-face service options in the longer term.","container-title":"The British Journal of Social Work","DOI":"10.1093/bjsw/bcab105","ISSN":"0045-3102, 1468-263X","issue":"5","language":"en","license":"https://academic.oup.com/journals/pages/open_access/funder_policies/chorus/standard_publication_model","page":"1779-1798","source":"DOI.org (Crossref)","title":"Adapting Service Delivery during COVID-19: Experiences of Domestic Violence Practitioners","title-short":"Adapting Service Delivery during COVID-19","volume":"51","author":[{"family":"Cortis","given":"Natasha"},{"family":"Smyth","given":"Ciara"},{"family":"Valentine","given":"Kylie"},{"family":"Breckenridge","given":"Jan"},{"family":"Cullen","given":"Patricia"}],"issued":{"date-parts":[["2021",7,28]]}}}],"schema":"https://github.com/citation-style-language/schema/raw/master/csl-citation.json"} </w:instrText>
                  </w:r>
                  <w:r w:rsidR="005674C7">
                    <w:fldChar w:fldCharType="separate"/>
                  </w:r>
                  <w:r w:rsidR="005674C7" w:rsidRPr="00614599">
                    <w:rPr>
                      <w:rFonts w:ascii="Arial" w:hAnsi="Arial" w:cs="Arial"/>
                    </w:rPr>
                    <w:t>(Cortis et al., 2021)</w:t>
                  </w:r>
                  <w:r w:rsidR="005674C7">
                    <w:fldChar w:fldCharType="end"/>
                  </w:r>
                  <w:r w:rsidR="00391B9C">
                    <w:t xml:space="preserve">. This is </w:t>
                  </w:r>
                  <w:r w:rsidR="00C01942">
                    <w:t xml:space="preserve">reflected in </w:t>
                  </w:r>
                  <w:r w:rsidR="00391B9C">
                    <w:t xml:space="preserve">FaRS and SFVS DEX data, which </w:t>
                  </w:r>
                  <w:r w:rsidR="00990024">
                    <w:t>show that virtual service provision peaked at over 40% of sessions in January – June 2022</w:t>
                  </w:r>
                  <w:r w:rsidR="00C01942">
                    <w:t>.</w:t>
                  </w:r>
                  <w:r w:rsidR="005674C7" w:rsidRPr="00E45A59">
                    <w:t xml:space="preserve"> </w:t>
                  </w:r>
                  <w:r w:rsidR="00DF19A9">
                    <w:t>S</w:t>
                  </w:r>
                  <w:r w:rsidR="00A562A0">
                    <w:t xml:space="preserve">ince the easing of pandemic restrictions, </w:t>
                  </w:r>
                  <w:r w:rsidR="003D5873">
                    <w:t>the proportion of FaRS and SFVS sessions delivered virtually has declined steadily to below 20% in the most recent reporting period</w:t>
                  </w:r>
                  <w:r w:rsidR="00EA538B">
                    <w:t xml:space="preserve"> (see</w:t>
                  </w:r>
                  <w:r w:rsidR="00EA538B" w:rsidRPr="004D0875">
                    <w:rPr>
                      <w:b/>
                    </w:rPr>
                    <w:t xml:space="preserve"> </w:t>
                  </w:r>
                  <w:r w:rsidR="005674C7" w:rsidRPr="0046144C">
                    <w:fldChar w:fldCharType="begin" w:fldLock="1"/>
                  </w:r>
                  <w:r w:rsidR="005674C7" w:rsidRPr="0046144C">
                    <w:instrText xml:space="preserve"> REF _Ref204617600 \h  \* MERGEFORMAT </w:instrText>
                  </w:r>
                  <w:r w:rsidR="005674C7" w:rsidRPr="0046144C">
                    <w:fldChar w:fldCharType="separate"/>
                  </w:r>
                  <w:r w:rsidR="008F22E5" w:rsidRPr="008F22E5">
                    <w:rPr>
                      <w:rStyle w:val="Text-Bold"/>
                    </w:rPr>
                    <w:t xml:space="preserve">Figure </w:t>
                  </w:r>
                  <w:r w:rsidR="008F22E5" w:rsidRPr="008F22E5">
                    <w:rPr>
                      <w:b/>
                      <w:bCs/>
                    </w:rPr>
                    <w:t>33</w:t>
                  </w:r>
                  <w:r w:rsidR="005674C7" w:rsidRPr="0046144C">
                    <w:fldChar w:fldCharType="end"/>
                  </w:r>
                  <w:r w:rsidR="00EA538B">
                    <w:rPr>
                      <w:bCs/>
                    </w:rPr>
                    <w:t xml:space="preserve"> </w:t>
                  </w:r>
                  <w:r w:rsidR="00EA538B" w:rsidRPr="00A302A7">
                    <w:t>below).</w:t>
                  </w:r>
                  <w:r w:rsidR="00E055C8">
                    <w:rPr>
                      <w:rFonts w:ascii="ZWAdobeF" w:hAnsi="ZWAdobeF" w:cs="ZWAdobeF"/>
                      <w:sz w:val="2"/>
                      <w:szCs w:val="2"/>
                    </w:rPr>
                    <w:t>13F</w:t>
                  </w:r>
                  <w:r w:rsidR="00EA538B" w:rsidRPr="00292952">
                    <w:rPr>
                      <w:rStyle w:val="FootnoteReference"/>
                    </w:rPr>
                    <w:footnoteReference w:id="15"/>
                  </w:r>
                  <w:r w:rsidR="003D5873">
                    <w:t xml:space="preserve"> This mirrors feedback from service providers</w:t>
                  </w:r>
                  <w:r w:rsidR="00DF19A9">
                    <w:t>,</w:t>
                  </w:r>
                  <w:r w:rsidR="003D5873">
                    <w:t xml:space="preserve"> who described a drop in demand for virtual services.</w:t>
                  </w:r>
                  <w:r w:rsidR="005674C7">
                    <w:t xml:space="preserve"> </w:t>
                  </w:r>
                </w:p>
                <w:p w14:paraId="6377E5A8" w14:textId="263AA967" w:rsidR="005674C7" w:rsidRPr="004673E7" w:rsidRDefault="005674C7" w:rsidP="005674C7">
                  <w:pPr>
                    <w:pStyle w:val="Caption"/>
                    <w:rPr>
                      <w:rStyle w:val="Text-Bold"/>
                      <w:b/>
                      <w:sz w:val="21"/>
                      <w:szCs w:val="21"/>
                    </w:rPr>
                  </w:pPr>
                  <w:bookmarkStart w:id="459" w:name="_Ref204617600"/>
                  <w:bookmarkStart w:id="460" w:name="_Toc205413073"/>
                  <w:bookmarkStart w:id="461" w:name="_Toc205413127"/>
                  <w:r w:rsidRPr="004673E7">
                    <w:rPr>
                      <w:rStyle w:val="Text-Bold"/>
                      <w:b/>
                      <w:sz w:val="21"/>
                      <w:szCs w:val="21"/>
                    </w:rPr>
                    <w:t xml:space="preserve">Figure </w:t>
                  </w:r>
                  <w:r w:rsidR="00C64C3D" w:rsidRPr="004673E7">
                    <w:rPr>
                      <w:rStyle w:val="Text-Bold"/>
                      <w:b/>
                      <w:sz w:val="21"/>
                      <w:szCs w:val="21"/>
                    </w:rPr>
                    <w:fldChar w:fldCharType="begin"/>
                  </w:r>
                  <w:r w:rsidR="00C64C3D" w:rsidRPr="004673E7">
                    <w:rPr>
                      <w:rStyle w:val="Text-Bold"/>
                      <w:b/>
                      <w:sz w:val="21"/>
                      <w:szCs w:val="21"/>
                    </w:rPr>
                    <w:instrText xml:space="preserve"> SEQ Figure \* ARABIC </w:instrText>
                  </w:r>
                  <w:r w:rsidR="00C64C3D" w:rsidRPr="004673E7">
                    <w:rPr>
                      <w:rStyle w:val="Text-Bold"/>
                      <w:b/>
                      <w:sz w:val="21"/>
                      <w:szCs w:val="21"/>
                    </w:rPr>
                    <w:fldChar w:fldCharType="separate"/>
                  </w:r>
                  <w:r w:rsidR="008D2566">
                    <w:rPr>
                      <w:rStyle w:val="Text-Bold"/>
                      <w:b/>
                      <w:noProof/>
                      <w:sz w:val="21"/>
                      <w:szCs w:val="21"/>
                    </w:rPr>
                    <w:t>33</w:t>
                  </w:r>
                  <w:r w:rsidR="00C64C3D" w:rsidRPr="004673E7">
                    <w:rPr>
                      <w:rStyle w:val="Text-Bold"/>
                      <w:b/>
                      <w:sz w:val="21"/>
                      <w:szCs w:val="21"/>
                    </w:rPr>
                    <w:fldChar w:fldCharType="end"/>
                  </w:r>
                  <w:bookmarkEnd w:id="459"/>
                  <w:r w:rsidRPr="004673E7">
                    <w:rPr>
                      <w:rStyle w:val="Text-Bold"/>
                      <w:b/>
                      <w:sz w:val="21"/>
                      <w:szCs w:val="21"/>
                    </w:rPr>
                    <w:t>: Mode of delivery (sessions) by reporting period</w:t>
                  </w:r>
                  <w:bookmarkEnd w:id="460"/>
                  <w:bookmarkEnd w:id="461"/>
                </w:p>
                <w:p w14:paraId="09B23FE4" w14:textId="77777777" w:rsidR="005674C7" w:rsidRDefault="005674C7" w:rsidP="005674C7">
                  <w:pPr>
                    <w:pStyle w:val="Text"/>
                    <w:jc w:val="center"/>
                    <w:rPr>
                      <w:noProof/>
                    </w:rPr>
                  </w:pPr>
                  <w:r>
                    <w:rPr>
                      <w:noProof/>
                    </w:rPr>
                    <w:drawing>
                      <wp:inline distT="0" distB="0" distL="0" distR="0" wp14:anchorId="2C72B407" wp14:editId="23D2809C">
                        <wp:extent cx="5784166" cy="3088433"/>
                        <wp:effectExtent l="0" t="0" r="7620" b="0"/>
                        <wp:docPr id="1641206249"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1206249" name="Picture 1">
                                  <a:extLst>
                                    <a:ext uri="{C183D7F6-B498-43B3-948B-1728B52AA6E4}">
                                      <adec:decorative xmlns:adec="http://schemas.microsoft.com/office/drawing/2017/decorative" val="1"/>
                                    </a:ext>
                                  </a:extLst>
                                </pic:cNvPr>
                                <pic:cNvPicPr/>
                              </pic:nvPicPr>
                              <pic:blipFill>
                                <a:blip r:embed="rId80"/>
                                <a:stretch>
                                  <a:fillRect/>
                                </a:stretch>
                              </pic:blipFill>
                              <pic:spPr>
                                <a:xfrm>
                                  <a:off x="0" y="0"/>
                                  <a:ext cx="5893464" cy="3146792"/>
                                </a:xfrm>
                                <a:prstGeom prst="rect">
                                  <a:avLst/>
                                </a:prstGeom>
                              </pic:spPr>
                            </pic:pic>
                          </a:graphicData>
                        </a:graphic>
                      </wp:inline>
                    </w:drawing>
                  </w:r>
                </w:p>
                <w:p w14:paraId="1649C9D9" w14:textId="7D573894" w:rsidR="005674C7" w:rsidRPr="00AD679F" w:rsidRDefault="005674C7" w:rsidP="005674C7">
                  <w:pPr>
                    <w:pStyle w:val="Text"/>
                    <w:rPr>
                      <w:sz w:val="20"/>
                      <w:szCs w:val="18"/>
                    </w:rPr>
                  </w:pPr>
                  <w:r w:rsidRPr="00AD679F">
                    <w:rPr>
                      <w:i/>
                      <w:iCs/>
                      <w:sz w:val="20"/>
                      <w:szCs w:val="18"/>
                    </w:rPr>
                    <w:t>Source: DEX</w:t>
                  </w:r>
                  <w:r w:rsidR="00AA74F1" w:rsidRPr="00AD679F">
                    <w:rPr>
                      <w:i/>
                      <w:iCs/>
                      <w:sz w:val="20"/>
                      <w:szCs w:val="18"/>
                    </w:rPr>
                    <w:t xml:space="preserve">-SCORE data </w:t>
                  </w:r>
                </w:p>
                <w:p w14:paraId="3A8184E2" w14:textId="2E676312" w:rsidR="00011D40" w:rsidRPr="00D574C8" w:rsidRDefault="00011D40" w:rsidP="00321BC5">
                  <w:pPr>
                    <w:pStyle w:val="Text"/>
                    <w:spacing w:before="360"/>
                    <w:rPr>
                      <w:b/>
                      <w:bCs/>
                    </w:rPr>
                  </w:pPr>
                  <w:r w:rsidRPr="00D574C8">
                    <w:rPr>
                      <w:b/>
                      <w:bCs/>
                      <w:color w:val="36424A" w:themeColor="background2"/>
                    </w:rPr>
                    <w:t>I</w:t>
                  </w:r>
                  <w:r w:rsidR="0018272C">
                    <w:rPr>
                      <w:b/>
                      <w:bCs/>
                      <w:color w:val="36424A" w:themeColor="background2"/>
                    </w:rPr>
                    <w:t>nfluence</w:t>
                  </w:r>
                  <w:r w:rsidRPr="00321BC5">
                    <w:rPr>
                      <w:b/>
                      <w:color w:val="36424A" w:themeColor="background2"/>
                      <w:spacing w:val="2"/>
                      <w:lang w:val="en-GB"/>
                    </w:rPr>
                    <w:t xml:space="preserve"> of service delivery modality on outcomes </w:t>
                  </w:r>
                </w:p>
                <w:p w14:paraId="15D3A74C" w14:textId="409FA085" w:rsidR="00011D40" w:rsidRDefault="00011D40" w:rsidP="00011D40">
                  <w:pPr>
                    <w:pStyle w:val="Text"/>
                  </w:pPr>
                  <w:r>
                    <w:t>Notwithstanding service users’ perception of the usefulness of virtual services, t</w:t>
                  </w:r>
                  <w:r w:rsidRPr="00E43B67">
                    <w:t xml:space="preserve">here is evidence </w:t>
                  </w:r>
                  <w:r>
                    <w:t xml:space="preserve">that both FaRS and SFVS services delivered virtually achieve positive outcomes for service users. Analysis of SCORE data indicates improvements across all SCORE domains where </w:t>
                  </w:r>
                  <w:r w:rsidRPr="00BC3FC4">
                    <w:t xml:space="preserve">services are delivered. However, the data is more equivocal on whether face-to-face or virtual service delivery is more effective in leading to outcomes for service users. The </w:t>
                  </w:r>
                  <w:r w:rsidR="009424BF" w:rsidRPr="00BC3FC4">
                    <w:t>SCORE change</w:t>
                  </w:r>
                  <w:r w:rsidRPr="00BC3FC4">
                    <w:t xml:space="preserve"> for FaRS service users is equal to or slightly better for face-to-face engagement than virtual engagement. This trend is largely reversed however for SFVS services users</w:t>
                  </w:r>
                  <w:r w:rsidR="00BC3FC4" w:rsidRPr="00BC3FC4">
                    <w:t xml:space="preserve">. </w:t>
                  </w:r>
                  <w:r w:rsidR="00BC3FC4" w:rsidRPr="00BC3FC4">
                    <w:rPr>
                      <w:b/>
                      <w:bCs/>
                    </w:rPr>
                    <w:fldChar w:fldCharType="begin" w:fldLock="1"/>
                  </w:r>
                  <w:r w:rsidR="00BC3FC4" w:rsidRPr="00BC3FC4">
                    <w:rPr>
                      <w:b/>
                      <w:bCs/>
                    </w:rPr>
                    <w:instrText xml:space="preserve"> REF _Ref208573578 \h  \* MERGEFORMAT </w:instrText>
                  </w:r>
                  <w:r w:rsidR="00BC3FC4" w:rsidRPr="00BC3FC4">
                    <w:rPr>
                      <w:b/>
                      <w:bCs/>
                    </w:rPr>
                  </w:r>
                  <w:r w:rsidR="00BC3FC4" w:rsidRPr="00BC3FC4">
                    <w:rPr>
                      <w:b/>
                      <w:bCs/>
                    </w:rPr>
                    <w:fldChar w:fldCharType="separate"/>
                  </w:r>
                  <w:r w:rsidR="008F22E5" w:rsidRPr="008F22E5">
                    <w:rPr>
                      <w:b/>
                      <w:bCs/>
                    </w:rPr>
                    <w:t xml:space="preserve">Table </w:t>
                  </w:r>
                  <w:r w:rsidR="008F22E5" w:rsidRPr="008F22E5">
                    <w:rPr>
                      <w:b/>
                      <w:bCs/>
                      <w:noProof/>
                    </w:rPr>
                    <w:t>28</w:t>
                  </w:r>
                  <w:r w:rsidR="00BC3FC4" w:rsidRPr="00BC3FC4">
                    <w:rPr>
                      <w:b/>
                      <w:bCs/>
                    </w:rPr>
                    <w:fldChar w:fldCharType="end"/>
                  </w:r>
                  <w:r w:rsidR="00BC3FC4" w:rsidRPr="00BC3FC4">
                    <w:t xml:space="preserve"> illustrates these trends.</w:t>
                  </w:r>
                </w:p>
                <w:p w14:paraId="115D42CD" w14:textId="77777777" w:rsidR="00094E78" w:rsidRDefault="00094E78" w:rsidP="00011D40">
                  <w:pPr>
                    <w:pStyle w:val="Text"/>
                  </w:pPr>
                </w:p>
                <w:p w14:paraId="00E3E2CF" w14:textId="1E48EED6" w:rsidR="00246B46" w:rsidRPr="004673E7" w:rsidRDefault="00246B46" w:rsidP="00253034">
                  <w:pPr>
                    <w:pStyle w:val="Caption"/>
                    <w:jc w:val="both"/>
                    <w:rPr>
                      <w:sz w:val="21"/>
                      <w:szCs w:val="21"/>
                    </w:rPr>
                  </w:pPr>
                  <w:bookmarkStart w:id="462" w:name="_Ref208573578"/>
                  <w:bookmarkStart w:id="463" w:name="_Ref208573495"/>
                  <w:r w:rsidRPr="004673E7">
                    <w:rPr>
                      <w:sz w:val="21"/>
                      <w:szCs w:val="21"/>
                    </w:rPr>
                    <w:lastRenderedPageBreak/>
                    <w:t xml:space="preserve">Table </w:t>
                  </w:r>
                  <w:r w:rsidRPr="004673E7">
                    <w:rPr>
                      <w:sz w:val="21"/>
                      <w:szCs w:val="21"/>
                    </w:rPr>
                    <w:fldChar w:fldCharType="begin"/>
                  </w:r>
                  <w:r w:rsidRPr="004673E7">
                    <w:rPr>
                      <w:sz w:val="21"/>
                      <w:szCs w:val="21"/>
                    </w:rPr>
                    <w:instrText xml:space="preserve"> SEQ Table \* ARABIC </w:instrText>
                  </w:r>
                  <w:r w:rsidRPr="004673E7">
                    <w:rPr>
                      <w:sz w:val="21"/>
                      <w:szCs w:val="21"/>
                    </w:rPr>
                    <w:fldChar w:fldCharType="separate"/>
                  </w:r>
                  <w:r w:rsidR="008D2566">
                    <w:rPr>
                      <w:noProof/>
                      <w:sz w:val="21"/>
                      <w:szCs w:val="21"/>
                    </w:rPr>
                    <w:t>28</w:t>
                  </w:r>
                  <w:r w:rsidRPr="004673E7">
                    <w:rPr>
                      <w:sz w:val="21"/>
                      <w:szCs w:val="21"/>
                    </w:rPr>
                    <w:fldChar w:fldCharType="end"/>
                  </w:r>
                  <w:bookmarkEnd w:id="462"/>
                  <w:r w:rsidRPr="004673E7">
                    <w:rPr>
                      <w:sz w:val="21"/>
                      <w:szCs w:val="21"/>
                    </w:rPr>
                    <w:t>: Earliest to latest mean SCORE change and percentage of service users with a positive SCORE change for Goal outcomes by delivery mode, FaRS and SFVS</w:t>
                  </w:r>
                  <w:bookmarkEnd w:id="46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0"/>
                    <w:gridCol w:w="1274"/>
                    <w:gridCol w:w="1984"/>
                    <w:gridCol w:w="1134"/>
                    <w:gridCol w:w="1417"/>
                    <w:gridCol w:w="2220"/>
                  </w:tblGrid>
                  <w:tr w:rsidR="00011D40" w:rsidRPr="00860D06" w14:paraId="60B19D4F" w14:textId="77777777" w:rsidTr="00DE647E">
                    <w:trPr>
                      <w:trHeight w:val="290"/>
                    </w:trPr>
                    <w:tc>
                      <w:tcPr>
                        <w:tcW w:w="990" w:type="dxa"/>
                        <w:shd w:val="clear" w:color="auto" w:fill="007E00" w:themeFill="accent3"/>
                        <w:noWrap/>
                        <w:hideMark/>
                      </w:tcPr>
                      <w:p w14:paraId="73C5D63D" w14:textId="77777777" w:rsidR="00011D40" w:rsidRPr="00D63E8D" w:rsidRDefault="00011D40" w:rsidP="00D63E8D">
                        <w:pPr>
                          <w:pStyle w:val="TableText"/>
                          <w:rPr>
                            <w:b/>
                            <w:bCs/>
                            <w:color w:val="FFFFFF" w:themeColor="background1"/>
                          </w:rPr>
                        </w:pPr>
                        <w:r w:rsidRPr="00D63E8D">
                          <w:rPr>
                            <w:b/>
                            <w:bCs/>
                            <w:color w:val="FFFFFF" w:themeColor="background1"/>
                          </w:rPr>
                          <w:t>Activity</w:t>
                        </w:r>
                      </w:p>
                    </w:tc>
                    <w:tc>
                      <w:tcPr>
                        <w:tcW w:w="1274" w:type="dxa"/>
                        <w:shd w:val="clear" w:color="auto" w:fill="007E00" w:themeFill="accent3"/>
                        <w:noWrap/>
                        <w:hideMark/>
                      </w:tcPr>
                      <w:p w14:paraId="07B8D4E1" w14:textId="77777777" w:rsidR="00011D40" w:rsidRPr="00D63E8D" w:rsidRDefault="00011D40" w:rsidP="00D63E8D">
                        <w:pPr>
                          <w:pStyle w:val="TableText"/>
                          <w:rPr>
                            <w:b/>
                            <w:bCs/>
                            <w:color w:val="FFFFFF" w:themeColor="background1"/>
                          </w:rPr>
                        </w:pPr>
                        <w:r w:rsidRPr="00D63E8D">
                          <w:rPr>
                            <w:b/>
                            <w:bCs/>
                            <w:color w:val="FFFFFF" w:themeColor="background1"/>
                          </w:rPr>
                          <w:t>Delivery mode</w:t>
                        </w:r>
                      </w:p>
                    </w:tc>
                    <w:tc>
                      <w:tcPr>
                        <w:tcW w:w="1984" w:type="dxa"/>
                        <w:shd w:val="clear" w:color="auto" w:fill="007E00" w:themeFill="accent3"/>
                        <w:noWrap/>
                        <w:hideMark/>
                      </w:tcPr>
                      <w:p w14:paraId="58CB72CF" w14:textId="77777777" w:rsidR="00011D40" w:rsidRPr="00D63E8D" w:rsidRDefault="00011D40" w:rsidP="00D63E8D">
                        <w:pPr>
                          <w:pStyle w:val="TableText"/>
                          <w:rPr>
                            <w:b/>
                            <w:bCs/>
                            <w:color w:val="FFFFFF" w:themeColor="background1"/>
                          </w:rPr>
                        </w:pPr>
                        <w:r w:rsidRPr="00D63E8D">
                          <w:rPr>
                            <w:b/>
                            <w:bCs/>
                            <w:color w:val="FFFFFF" w:themeColor="background1"/>
                          </w:rPr>
                          <w:t>Outcome Type</w:t>
                        </w:r>
                      </w:p>
                    </w:tc>
                    <w:tc>
                      <w:tcPr>
                        <w:tcW w:w="1134" w:type="dxa"/>
                        <w:shd w:val="clear" w:color="auto" w:fill="007E00" w:themeFill="accent3"/>
                        <w:noWrap/>
                        <w:hideMark/>
                      </w:tcPr>
                      <w:p w14:paraId="10005C73" w14:textId="77777777" w:rsidR="00011D40" w:rsidRPr="00D63E8D" w:rsidRDefault="00011D40" w:rsidP="00D63E8D">
                        <w:pPr>
                          <w:pStyle w:val="TableText"/>
                          <w:rPr>
                            <w:b/>
                            <w:bCs/>
                            <w:color w:val="FFFFFF" w:themeColor="background1"/>
                          </w:rPr>
                        </w:pPr>
                        <w:r w:rsidRPr="00D63E8D">
                          <w:rPr>
                            <w:b/>
                            <w:bCs/>
                            <w:color w:val="FFFFFF" w:themeColor="background1"/>
                          </w:rPr>
                          <w:t>Service user (n=)</w:t>
                        </w:r>
                      </w:p>
                    </w:tc>
                    <w:tc>
                      <w:tcPr>
                        <w:tcW w:w="1417" w:type="dxa"/>
                        <w:shd w:val="clear" w:color="auto" w:fill="007E00" w:themeFill="accent3"/>
                        <w:noWrap/>
                        <w:hideMark/>
                      </w:tcPr>
                      <w:p w14:paraId="78E754CE" w14:textId="77777777" w:rsidR="00011D40" w:rsidRPr="00D63E8D" w:rsidRDefault="00011D40" w:rsidP="00D63E8D">
                        <w:pPr>
                          <w:pStyle w:val="TableText"/>
                          <w:rPr>
                            <w:b/>
                            <w:bCs/>
                            <w:color w:val="FFFFFF" w:themeColor="background1"/>
                          </w:rPr>
                        </w:pPr>
                        <w:r w:rsidRPr="00D63E8D">
                          <w:rPr>
                            <w:b/>
                            <w:bCs/>
                            <w:color w:val="FFFFFF" w:themeColor="background1"/>
                          </w:rPr>
                          <w:t>SCORE change (mean)</w:t>
                        </w:r>
                      </w:p>
                    </w:tc>
                    <w:tc>
                      <w:tcPr>
                        <w:tcW w:w="2220" w:type="dxa"/>
                        <w:shd w:val="clear" w:color="auto" w:fill="007E00" w:themeFill="accent3"/>
                        <w:noWrap/>
                        <w:hideMark/>
                      </w:tcPr>
                      <w:p w14:paraId="5DAD6968" w14:textId="77777777" w:rsidR="00011D40" w:rsidRPr="00D63E8D" w:rsidRDefault="00011D40" w:rsidP="00D63E8D">
                        <w:pPr>
                          <w:pStyle w:val="TableText"/>
                          <w:rPr>
                            <w:b/>
                            <w:bCs/>
                            <w:color w:val="FFFFFF" w:themeColor="background1"/>
                          </w:rPr>
                        </w:pPr>
                        <w:r w:rsidRPr="00D63E8D">
                          <w:rPr>
                            <w:b/>
                            <w:bCs/>
                            <w:color w:val="FFFFFF" w:themeColor="background1"/>
                          </w:rPr>
                          <w:t>Service users with positive mean change (%, n=)</w:t>
                        </w:r>
                      </w:p>
                    </w:tc>
                  </w:tr>
                  <w:tr w:rsidR="00011D40" w:rsidRPr="00860D06" w14:paraId="5EF8CA9A" w14:textId="77777777" w:rsidTr="00321BC5">
                    <w:trPr>
                      <w:trHeight w:val="290"/>
                    </w:trPr>
                    <w:tc>
                      <w:tcPr>
                        <w:tcW w:w="990" w:type="dxa"/>
                        <w:vMerge w:val="restart"/>
                        <w:noWrap/>
                        <w:hideMark/>
                      </w:tcPr>
                      <w:p w14:paraId="18ECDA6F" w14:textId="77777777" w:rsidR="00011D40" w:rsidRPr="0078378F" w:rsidRDefault="00011D40" w:rsidP="00D63E8D">
                        <w:pPr>
                          <w:pStyle w:val="TableText"/>
                          <w:rPr>
                            <w:bCs/>
                            <w:lang w:val="en-NZ"/>
                          </w:rPr>
                        </w:pPr>
                        <w:r w:rsidRPr="0078378F">
                          <w:rPr>
                            <w:bCs/>
                            <w:lang w:val="en-NZ"/>
                          </w:rPr>
                          <w:t>FaRS</w:t>
                        </w:r>
                      </w:p>
                    </w:tc>
                    <w:tc>
                      <w:tcPr>
                        <w:tcW w:w="1274" w:type="dxa"/>
                        <w:vMerge w:val="restart"/>
                        <w:noWrap/>
                        <w:hideMark/>
                      </w:tcPr>
                      <w:p w14:paraId="51849C08" w14:textId="41AB8D25" w:rsidR="00011D40" w:rsidRPr="0078378F" w:rsidRDefault="00246B46" w:rsidP="00D63E8D">
                        <w:pPr>
                          <w:pStyle w:val="TableText"/>
                          <w:rPr>
                            <w:bCs/>
                          </w:rPr>
                        </w:pPr>
                        <w:r w:rsidRPr="0078378F">
                          <w:rPr>
                            <w:bCs/>
                          </w:rPr>
                          <w:t>Face to face</w:t>
                        </w:r>
                      </w:p>
                    </w:tc>
                    <w:tc>
                      <w:tcPr>
                        <w:tcW w:w="1984" w:type="dxa"/>
                        <w:noWrap/>
                        <w:hideMark/>
                      </w:tcPr>
                      <w:p w14:paraId="6762B239" w14:textId="77777777" w:rsidR="00011D40" w:rsidRPr="0078378F" w:rsidRDefault="00011D40" w:rsidP="00D63E8D">
                        <w:pPr>
                          <w:pStyle w:val="TableText"/>
                          <w:rPr>
                            <w:bCs/>
                          </w:rPr>
                        </w:pPr>
                        <w:r w:rsidRPr="0078378F">
                          <w:rPr>
                            <w:bCs/>
                          </w:rPr>
                          <w:t>Circumstances</w:t>
                        </w:r>
                      </w:p>
                    </w:tc>
                    <w:tc>
                      <w:tcPr>
                        <w:tcW w:w="1134" w:type="dxa"/>
                        <w:noWrap/>
                        <w:hideMark/>
                      </w:tcPr>
                      <w:p w14:paraId="505C344F" w14:textId="32DE4F69" w:rsidR="00011D40" w:rsidRPr="00860D06" w:rsidRDefault="00011D40" w:rsidP="00D63E8D">
                        <w:pPr>
                          <w:pStyle w:val="TableText"/>
                        </w:pPr>
                        <w:r w:rsidRPr="00860D06">
                          <w:t>33</w:t>
                        </w:r>
                        <w:r w:rsidR="00310FA8">
                          <w:t>,</w:t>
                        </w:r>
                        <w:r w:rsidRPr="00860D06">
                          <w:t>627</w:t>
                        </w:r>
                      </w:p>
                    </w:tc>
                    <w:tc>
                      <w:tcPr>
                        <w:tcW w:w="1417" w:type="dxa"/>
                        <w:noWrap/>
                        <w:hideMark/>
                      </w:tcPr>
                      <w:p w14:paraId="7C4FA159" w14:textId="77777777" w:rsidR="00011D40" w:rsidRPr="00860D06" w:rsidRDefault="00011D40" w:rsidP="00D63E8D">
                        <w:pPr>
                          <w:pStyle w:val="TableText"/>
                        </w:pPr>
                        <w:r w:rsidRPr="00860D06">
                          <w:t>0.85</w:t>
                        </w:r>
                      </w:p>
                    </w:tc>
                    <w:tc>
                      <w:tcPr>
                        <w:tcW w:w="2220" w:type="dxa"/>
                        <w:noWrap/>
                        <w:hideMark/>
                      </w:tcPr>
                      <w:p w14:paraId="15EDCDB1" w14:textId="0B974876" w:rsidR="00011D40" w:rsidRPr="00860D06" w:rsidRDefault="00011D40" w:rsidP="00D63E8D">
                        <w:pPr>
                          <w:pStyle w:val="TableText"/>
                        </w:pPr>
                        <w:r w:rsidRPr="00860D06">
                          <w:t>64.4% (n=21</w:t>
                        </w:r>
                        <w:r w:rsidR="00310FA8">
                          <w:t>,</w:t>
                        </w:r>
                        <w:r w:rsidRPr="00860D06">
                          <w:t>646)</w:t>
                        </w:r>
                      </w:p>
                    </w:tc>
                  </w:tr>
                  <w:tr w:rsidR="00011D40" w:rsidRPr="00860D06" w14:paraId="637B0E46" w14:textId="77777777" w:rsidTr="00321BC5">
                    <w:trPr>
                      <w:trHeight w:val="290"/>
                    </w:trPr>
                    <w:tc>
                      <w:tcPr>
                        <w:tcW w:w="0" w:type="auto"/>
                        <w:vMerge/>
                        <w:hideMark/>
                      </w:tcPr>
                      <w:p w14:paraId="098164D8" w14:textId="77777777" w:rsidR="00011D40" w:rsidRPr="0078378F" w:rsidRDefault="00011D40" w:rsidP="00D63E8D">
                        <w:pPr>
                          <w:pStyle w:val="TableText"/>
                          <w:rPr>
                            <w:bCs/>
                          </w:rPr>
                        </w:pPr>
                      </w:p>
                    </w:tc>
                    <w:tc>
                      <w:tcPr>
                        <w:tcW w:w="0" w:type="auto"/>
                        <w:vMerge/>
                        <w:hideMark/>
                      </w:tcPr>
                      <w:p w14:paraId="44065F5A" w14:textId="77777777" w:rsidR="00011D40" w:rsidRPr="0078378F" w:rsidRDefault="00011D40" w:rsidP="00D63E8D">
                        <w:pPr>
                          <w:pStyle w:val="TableText"/>
                          <w:rPr>
                            <w:bCs/>
                          </w:rPr>
                        </w:pPr>
                      </w:p>
                    </w:tc>
                    <w:tc>
                      <w:tcPr>
                        <w:tcW w:w="1984" w:type="dxa"/>
                        <w:noWrap/>
                        <w:hideMark/>
                      </w:tcPr>
                      <w:p w14:paraId="4384D1F7" w14:textId="77777777" w:rsidR="00011D40" w:rsidRPr="0078378F" w:rsidRDefault="00011D40" w:rsidP="00D63E8D">
                        <w:pPr>
                          <w:pStyle w:val="TableText"/>
                          <w:rPr>
                            <w:bCs/>
                          </w:rPr>
                        </w:pPr>
                        <w:r w:rsidRPr="0078378F">
                          <w:rPr>
                            <w:bCs/>
                          </w:rPr>
                          <w:t>Goals</w:t>
                        </w:r>
                      </w:p>
                    </w:tc>
                    <w:tc>
                      <w:tcPr>
                        <w:tcW w:w="1134" w:type="dxa"/>
                        <w:noWrap/>
                        <w:hideMark/>
                      </w:tcPr>
                      <w:p w14:paraId="5977DB81" w14:textId="2A198340" w:rsidR="00011D40" w:rsidRPr="00860D06" w:rsidRDefault="00011D40" w:rsidP="00D63E8D">
                        <w:pPr>
                          <w:pStyle w:val="TableText"/>
                        </w:pPr>
                        <w:r w:rsidRPr="00860D06">
                          <w:t>33</w:t>
                        </w:r>
                        <w:r w:rsidR="00310FA8">
                          <w:t>,</w:t>
                        </w:r>
                        <w:r w:rsidRPr="00860D06">
                          <w:t>656</w:t>
                        </w:r>
                      </w:p>
                    </w:tc>
                    <w:tc>
                      <w:tcPr>
                        <w:tcW w:w="1417" w:type="dxa"/>
                        <w:noWrap/>
                        <w:hideMark/>
                      </w:tcPr>
                      <w:p w14:paraId="662CB77B" w14:textId="77777777" w:rsidR="00011D40" w:rsidRPr="00860D06" w:rsidRDefault="00011D40" w:rsidP="00D63E8D">
                        <w:pPr>
                          <w:pStyle w:val="TableText"/>
                        </w:pPr>
                        <w:r w:rsidRPr="00860D06">
                          <w:t>1.28</w:t>
                        </w:r>
                      </w:p>
                    </w:tc>
                    <w:tc>
                      <w:tcPr>
                        <w:tcW w:w="2220" w:type="dxa"/>
                        <w:noWrap/>
                        <w:hideMark/>
                      </w:tcPr>
                      <w:p w14:paraId="5C87DECC" w14:textId="11589CB7" w:rsidR="00011D40" w:rsidRPr="00860D06" w:rsidRDefault="00011D40" w:rsidP="00D63E8D">
                        <w:pPr>
                          <w:pStyle w:val="TableText"/>
                        </w:pPr>
                        <w:r w:rsidRPr="00860D06">
                          <w:t>75.1% (n=25</w:t>
                        </w:r>
                        <w:r w:rsidR="00310FA8">
                          <w:t>,</w:t>
                        </w:r>
                        <w:r w:rsidRPr="00860D06">
                          <w:t>266)</w:t>
                        </w:r>
                      </w:p>
                    </w:tc>
                  </w:tr>
                  <w:tr w:rsidR="00011D40" w:rsidRPr="00860D06" w14:paraId="66DD223F" w14:textId="77777777" w:rsidTr="00321BC5">
                    <w:trPr>
                      <w:trHeight w:val="290"/>
                    </w:trPr>
                    <w:tc>
                      <w:tcPr>
                        <w:tcW w:w="0" w:type="auto"/>
                        <w:vMerge/>
                        <w:hideMark/>
                      </w:tcPr>
                      <w:p w14:paraId="02DF8F4A" w14:textId="77777777" w:rsidR="00011D40" w:rsidRPr="0078378F" w:rsidRDefault="00011D40" w:rsidP="00D63E8D">
                        <w:pPr>
                          <w:pStyle w:val="TableText"/>
                          <w:rPr>
                            <w:bCs/>
                          </w:rPr>
                        </w:pPr>
                      </w:p>
                    </w:tc>
                    <w:tc>
                      <w:tcPr>
                        <w:tcW w:w="1274" w:type="dxa"/>
                        <w:vMerge w:val="restart"/>
                        <w:noWrap/>
                        <w:hideMark/>
                      </w:tcPr>
                      <w:p w14:paraId="5588C706" w14:textId="77777777" w:rsidR="00011D40" w:rsidRPr="0078378F" w:rsidRDefault="00011D40" w:rsidP="00D63E8D">
                        <w:pPr>
                          <w:pStyle w:val="TableText"/>
                          <w:rPr>
                            <w:bCs/>
                          </w:rPr>
                        </w:pPr>
                        <w:r w:rsidRPr="0078378F">
                          <w:rPr>
                            <w:bCs/>
                          </w:rPr>
                          <w:t>Virtual</w:t>
                        </w:r>
                      </w:p>
                    </w:tc>
                    <w:tc>
                      <w:tcPr>
                        <w:tcW w:w="1984" w:type="dxa"/>
                        <w:noWrap/>
                        <w:hideMark/>
                      </w:tcPr>
                      <w:p w14:paraId="7B481369" w14:textId="77777777" w:rsidR="00011D40" w:rsidRPr="0078378F" w:rsidRDefault="00011D40" w:rsidP="00D63E8D">
                        <w:pPr>
                          <w:pStyle w:val="TableText"/>
                          <w:rPr>
                            <w:bCs/>
                          </w:rPr>
                        </w:pPr>
                        <w:r w:rsidRPr="0078378F">
                          <w:rPr>
                            <w:bCs/>
                          </w:rPr>
                          <w:t>Circumstances</w:t>
                        </w:r>
                      </w:p>
                    </w:tc>
                    <w:tc>
                      <w:tcPr>
                        <w:tcW w:w="1134" w:type="dxa"/>
                        <w:noWrap/>
                        <w:hideMark/>
                      </w:tcPr>
                      <w:p w14:paraId="171D9902" w14:textId="3BB616FB" w:rsidR="00011D40" w:rsidRPr="00860D06" w:rsidRDefault="00011D40" w:rsidP="00D63E8D">
                        <w:pPr>
                          <w:pStyle w:val="TableText"/>
                        </w:pPr>
                        <w:r w:rsidRPr="00860D06">
                          <w:t>16</w:t>
                        </w:r>
                        <w:r w:rsidR="00310FA8">
                          <w:t>,</w:t>
                        </w:r>
                        <w:r w:rsidRPr="00860D06">
                          <w:t>118</w:t>
                        </w:r>
                      </w:p>
                    </w:tc>
                    <w:tc>
                      <w:tcPr>
                        <w:tcW w:w="1417" w:type="dxa"/>
                        <w:noWrap/>
                        <w:hideMark/>
                      </w:tcPr>
                      <w:p w14:paraId="6583B0EC" w14:textId="77777777" w:rsidR="00011D40" w:rsidRPr="00860D06" w:rsidRDefault="00011D40" w:rsidP="00D63E8D">
                        <w:pPr>
                          <w:pStyle w:val="TableText"/>
                        </w:pPr>
                        <w:r w:rsidRPr="00860D06">
                          <w:t>0.71</w:t>
                        </w:r>
                      </w:p>
                    </w:tc>
                    <w:tc>
                      <w:tcPr>
                        <w:tcW w:w="2220" w:type="dxa"/>
                        <w:noWrap/>
                        <w:hideMark/>
                      </w:tcPr>
                      <w:p w14:paraId="08274DB7" w14:textId="31D3B638" w:rsidR="00011D40" w:rsidRPr="00860D06" w:rsidRDefault="00011D40" w:rsidP="00D63E8D">
                        <w:pPr>
                          <w:pStyle w:val="TableText"/>
                        </w:pPr>
                        <w:r w:rsidRPr="00860D06">
                          <w:t>57.5% (n=9</w:t>
                        </w:r>
                        <w:r w:rsidR="00310FA8">
                          <w:t>,</w:t>
                        </w:r>
                        <w:r w:rsidRPr="00860D06">
                          <w:t>267)</w:t>
                        </w:r>
                      </w:p>
                    </w:tc>
                  </w:tr>
                  <w:tr w:rsidR="00011D40" w:rsidRPr="00860D06" w14:paraId="17DE96F9" w14:textId="77777777" w:rsidTr="00321BC5">
                    <w:trPr>
                      <w:trHeight w:val="290"/>
                    </w:trPr>
                    <w:tc>
                      <w:tcPr>
                        <w:tcW w:w="0" w:type="auto"/>
                        <w:vMerge/>
                        <w:hideMark/>
                      </w:tcPr>
                      <w:p w14:paraId="4C77B0A4" w14:textId="77777777" w:rsidR="00011D40" w:rsidRPr="0078378F" w:rsidRDefault="00011D40" w:rsidP="00D63E8D">
                        <w:pPr>
                          <w:pStyle w:val="TableText"/>
                          <w:rPr>
                            <w:bCs/>
                          </w:rPr>
                        </w:pPr>
                      </w:p>
                    </w:tc>
                    <w:tc>
                      <w:tcPr>
                        <w:tcW w:w="0" w:type="auto"/>
                        <w:vMerge/>
                        <w:hideMark/>
                      </w:tcPr>
                      <w:p w14:paraId="26C050AE" w14:textId="77777777" w:rsidR="00011D40" w:rsidRPr="0078378F" w:rsidRDefault="00011D40" w:rsidP="00D63E8D">
                        <w:pPr>
                          <w:pStyle w:val="TableText"/>
                          <w:rPr>
                            <w:bCs/>
                          </w:rPr>
                        </w:pPr>
                      </w:p>
                    </w:tc>
                    <w:tc>
                      <w:tcPr>
                        <w:tcW w:w="1984" w:type="dxa"/>
                        <w:noWrap/>
                        <w:hideMark/>
                      </w:tcPr>
                      <w:p w14:paraId="3AE3F987" w14:textId="77777777" w:rsidR="00011D40" w:rsidRPr="0078378F" w:rsidRDefault="00011D40" w:rsidP="00D63E8D">
                        <w:pPr>
                          <w:pStyle w:val="TableText"/>
                          <w:rPr>
                            <w:bCs/>
                          </w:rPr>
                        </w:pPr>
                        <w:r w:rsidRPr="0078378F">
                          <w:rPr>
                            <w:bCs/>
                          </w:rPr>
                          <w:t>Goals</w:t>
                        </w:r>
                      </w:p>
                    </w:tc>
                    <w:tc>
                      <w:tcPr>
                        <w:tcW w:w="1134" w:type="dxa"/>
                        <w:noWrap/>
                        <w:hideMark/>
                      </w:tcPr>
                      <w:p w14:paraId="56E89379" w14:textId="02EBD8BA" w:rsidR="00011D40" w:rsidRPr="00860D06" w:rsidRDefault="00011D40" w:rsidP="00D63E8D">
                        <w:pPr>
                          <w:pStyle w:val="TableText"/>
                        </w:pPr>
                        <w:r w:rsidRPr="00860D06">
                          <w:t>16</w:t>
                        </w:r>
                        <w:r w:rsidR="00310FA8">
                          <w:t>,</w:t>
                        </w:r>
                        <w:r w:rsidRPr="00860D06">
                          <w:t>358</w:t>
                        </w:r>
                      </w:p>
                    </w:tc>
                    <w:tc>
                      <w:tcPr>
                        <w:tcW w:w="1417" w:type="dxa"/>
                        <w:noWrap/>
                        <w:hideMark/>
                      </w:tcPr>
                      <w:p w14:paraId="336E6439" w14:textId="77777777" w:rsidR="00011D40" w:rsidRPr="00860D06" w:rsidRDefault="00011D40" w:rsidP="00D63E8D">
                        <w:pPr>
                          <w:pStyle w:val="TableText"/>
                        </w:pPr>
                        <w:r w:rsidRPr="00860D06">
                          <w:t>1.09</w:t>
                        </w:r>
                      </w:p>
                    </w:tc>
                    <w:tc>
                      <w:tcPr>
                        <w:tcW w:w="2220" w:type="dxa"/>
                        <w:noWrap/>
                        <w:hideMark/>
                      </w:tcPr>
                      <w:p w14:paraId="2D079B53" w14:textId="6BA80CE2" w:rsidR="00011D40" w:rsidRPr="00860D06" w:rsidRDefault="00011D40" w:rsidP="00D63E8D">
                        <w:pPr>
                          <w:pStyle w:val="TableText"/>
                        </w:pPr>
                        <w:r w:rsidRPr="00860D06">
                          <w:t>68.7% (n=11</w:t>
                        </w:r>
                        <w:r w:rsidR="00310FA8">
                          <w:t>,</w:t>
                        </w:r>
                        <w:r w:rsidRPr="00860D06">
                          <w:t>231)</w:t>
                        </w:r>
                      </w:p>
                    </w:tc>
                  </w:tr>
                  <w:tr w:rsidR="00011D40" w:rsidRPr="00860D06" w14:paraId="42C1DF51" w14:textId="77777777" w:rsidTr="00321BC5">
                    <w:trPr>
                      <w:trHeight w:val="290"/>
                    </w:trPr>
                    <w:tc>
                      <w:tcPr>
                        <w:tcW w:w="990" w:type="dxa"/>
                        <w:vMerge w:val="restart"/>
                        <w:noWrap/>
                        <w:hideMark/>
                      </w:tcPr>
                      <w:p w14:paraId="51527D70" w14:textId="77777777" w:rsidR="00011D40" w:rsidRPr="0078378F" w:rsidRDefault="00011D40" w:rsidP="00D63E8D">
                        <w:pPr>
                          <w:pStyle w:val="TableText"/>
                          <w:rPr>
                            <w:bCs/>
                          </w:rPr>
                        </w:pPr>
                        <w:r w:rsidRPr="0078378F">
                          <w:rPr>
                            <w:bCs/>
                          </w:rPr>
                          <w:t>SFVS (incl. 4AP2)</w:t>
                        </w:r>
                      </w:p>
                    </w:tc>
                    <w:tc>
                      <w:tcPr>
                        <w:tcW w:w="1274" w:type="dxa"/>
                        <w:vMerge w:val="restart"/>
                        <w:noWrap/>
                        <w:hideMark/>
                      </w:tcPr>
                      <w:p w14:paraId="64A30741" w14:textId="6D528926" w:rsidR="00011D40" w:rsidRPr="0078378F" w:rsidRDefault="00246B46" w:rsidP="00D63E8D">
                        <w:pPr>
                          <w:pStyle w:val="TableText"/>
                          <w:rPr>
                            <w:bCs/>
                          </w:rPr>
                        </w:pPr>
                        <w:r w:rsidRPr="0078378F">
                          <w:rPr>
                            <w:bCs/>
                          </w:rPr>
                          <w:t>Face to face</w:t>
                        </w:r>
                      </w:p>
                    </w:tc>
                    <w:tc>
                      <w:tcPr>
                        <w:tcW w:w="1984" w:type="dxa"/>
                        <w:noWrap/>
                        <w:hideMark/>
                      </w:tcPr>
                      <w:p w14:paraId="5D5A3316" w14:textId="77777777" w:rsidR="00011D40" w:rsidRPr="0078378F" w:rsidRDefault="00011D40" w:rsidP="00D63E8D">
                        <w:pPr>
                          <w:pStyle w:val="TableText"/>
                          <w:rPr>
                            <w:bCs/>
                          </w:rPr>
                        </w:pPr>
                        <w:r w:rsidRPr="0078378F">
                          <w:rPr>
                            <w:bCs/>
                          </w:rPr>
                          <w:t>Circumstances</w:t>
                        </w:r>
                      </w:p>
                    </w:tc>
                    <w:tc>
                      <w:tcPr>
                        <w:tcW w:w="1134" w:type="dxa"/>
                        <w:noWrap/>
                        <w:hideMark/>
                      </w:tcPr>
                      <w:p w14:paraId="6866B11A" w14:textId="37672BBC" w:rsidR="00011D40" w:rsidRPr="00860D06" w:rsidRDefault="00011D40" w:rsidP="00D63E8D">
                        <w:pPr>
                          <w:pStyle w:val="TableText"/>
                        </w:pPr>
                        <w:r w:rsidRPr="00860D06">
                          <w:t>3</w:t>
                        </w:r>
                        <w:r w:rsidR="00310FA8">
                          <w:t>,</w:t>
                        </w:r>
                        <w:r w:rsidRPr="00860D06">
                          <w:t>420</w:t>
                        </w:r>
                      </w:p>
                    </w:tc>
                    <w:tc>
                      <w:tcPr>
                        <w:tcW w:w="1417" w:type="dxa"/>
                        <w:noWrap/>
                        <w:hideMark/>
                      </w:tcPr>
                      <w:p w14:paraId="46A511AE" w14:textId="77777777" w:rsidR="00011D40" w:rsidRPr="00860D06" w:rsidRDefault="00011D40" w:rsidP="00D63E8D">
                        <w:pPr>
                          <w:pStyle w:val="TableText"/>
                        </w:pPr>
                        <w:r w:rsidRPr="00860D06">
                          <w:t>0.85</w:t>
                        </w:r>
                      </w:p>
                    </w:tc>
                    <w:tc>
                      <w:tcPr>
                        <w:tcW w:w="2220" w:type="dxa"/>
                        <w:noWrap/>
                        <w:hideMark/>
                      </w:tcPr>
                      <w:p w14:paraId="45A414E1" w14:textId="7B05333B" w:rsidR="00011D40" w:rsidRPr="00860D06" w:rsidRDefault="00011D40" w:rsidP="00D63E8D">
                        <w:pPr>
                          <w:pStyle w:val="TableText"/>
                        </w:pPr>
                        <w:r w:rsidRPr="00860D06">
                          <w:t>63.9% (n=2</w:t>
                        </w:r>
                        <w:r w:rsidR="00310FA8">
                          <w:t>,</w:t>
                        </w:r>
                        <w:r w:rsidRPr="00860D06">
                          <w:t>184)</w:t>
                        </w:r>
                      </w:p>
                    </w:tc>
                  </w:tr>
                  <w:tr w:rsidR="00011D40" w:rsidRPr="00860D06" w14:paraId="40B52E8D" w14:textId="77777777" w:rsidTr="00321BC5">
                    <w:trPr>
                      <w:trHeight w:val="290"/>
                    </w:trPr>
                    <w:tc>
                      <w:tcPr>
                        <w:tcW w:w="0" w:type="auto"/>
                        <w:vMerge/>
                        <w:hideMark/>
                      </w:tcPr>
                      <w:p w14:paraId="22A10FA1" w14:textId="77777777" w:rsidR="00011D40" w:rsidRPr="0078378F" w:rsidRDefault="00011D40" w:rsidP="00D63E8D">
                        <w:pPr>
                          <w:pStyle w:val="TableText"/>
                          <w:rPr>
                            <w:bCs/>
                          </w:rPr>
                        </w:pPr>
                      </w:p>
                    </w:tc>
                    <w:tc>
                      <w:tcPr>
                        <w:tcW w:w="0" w:type="auto"/>
                        <w:vMerge/>
                        <w:hideMark/>
                      </w:tcPr>
                      <w:p w14:paraId="17E147DE" w14:textId="77777777" w:rsidR="00011D40" w:rsidRPr="0078378F" w:rsidRDefault="00011D40" w:rsidP="00D63E8D">
                        <w:pPr>
                          <w:pStyle w:val="TableText"/>
                          <w:rPr>
                            <w:bCs/>
                          </w:rPr>
                        </w:pPr>
                      </w:p>
                    </w:tc>
                    <w:tc>
                      <w:tcPr>
                        <w:tcW w:w="1984" w:type="dxa"/>
                        <w:noWrap/>
                        <w:hideMark/>
                      </w:tcPr>
                      <w:p w14:paraId="388EC1DA" w14:textId="77777777" w:rsidR="00011D40" w:rsidRPr="0078378F" w:rsidRDefault="00011D40" w:rsidP="00D63E8D">
                        <w:pPr>
                          <w:pStyle w:val="TableText"/>
                          <w:rPr>
                            <w:bCs/>
                          </w:rPr>
                        </w:pPr>
                        <w:r w:rsidRPr="0078378F">
                          <w:rPr>
                            <w:bCs/>
                          </w:rPr>
                          <w:t>Goals</w:t>
                        </w:r>
                      </w:p>
                    </w:tc>
                    <w:tc>
                      <w:tcPr>
                        <w:tcW w:w="1134" w:type="dxa"/>
                        <w:noWrap/>
                        <w:hideMark/>
                      </w:tcPr>
                      <w:p w14:paraId="57AF967F" w14:textId="602FDA7A" w:rsidR="00011D40" w:rsidRPr="00860D06" w:rsidRDefault="00011D40" w:rsidP="00D63E8D">
                        <w:pPr>
                          <w:pStyle w:val="TableText"/>
                        </w:pPr>
                        <w:r w:rsidRPr="00860D06">
                          <w:t>3</w:t>
                        </w:r>
                        <w:r w:rsidR="00310FA8">
                          <w:t>,</w:t>
                        </w:r>
                        <w:r w:rsidRPr="00860D06">
                          <w:t>258</w:t>
                        </w:r>
                      </w:p>
                    </w:tc>
                    <w:tc>
                      <w:tcPr>
                        <w:tcW w:w="1417" w:type="dxa"/>
                        <w:noWrap/>
                        <w:hideMark/>
                      </w:tcPr>
                      <w:p w14:paraId="062D58DD" w14:textId="77777777" w:rsidR="00011D40" w:rsidRPr="00860D06" w:rsidRDefault="00011D40" w:rsidP="00D63E8D">
                        <w:pPr>
                          <w:pStyle w:val="TableText"/>
                        </w:pPr>
                        <w:r w:rsidRPr="00860D06">
                          <w:t>0.96</w:t>
                        </w:r>
                      </w:p>
                    </w:tc>
                    <w:tc>
                      <w:tcPr>
                        <w:tcW w:w="2220" w:type="dxa"/>
                        <w:noWrap/>
                        <w:hideMark/>
                      </w:tcPr>
                      <w:p w14:paraId="14B6B7C8" w14:textId="41D69052" w:rsidR="00011D40" w:rsidRPr="00860D06" w:rsidRDefault="00011D40" w:rsidP="00D63E8D">
                        <w:pPr>
                          <w:pStyle w:val="TableText"/>
                        </w:pPr>
                        <w:r w:rsidRPr="00860D06">
                          <w:t>66.1% (n=2</w:t>
                        </w:r>
                        <w:r w:rsidR="00310FA8">
                          <w:t>,</w:t>
                        </w:r>
                        <w:r w:rsidRPr="00860D06">
                          <w:t>153)</w:t>
                        </w:r>
                      </w:p>
                    </w:tc>
                  </w:tr>
                  <w:tr w:rsidR="00011D40" w:rsidRPr="00860D06" w14:paraId="0E73EED6" w14:textId="77777777" w:rsidTr="00321BC5">
                    <w:trPr>
                      <w:trHeight w:val="290"/>
                    </w:trPr>
                    <w:tc>
                      <w:tcPr>
                        <w:tcW w:w="0" w:type="auto"/>
                        <w:vMerge/>
                        <w:hideMark/>
                      </w:tcPr>
                      <w:p w14:paraId="01C7A839" w14:textId="77777777" w:rsidR="00011D40" w:rsidRPr="0078378F" w:rsidRDefault="00011D40" w:rsidP="00D63E8D">
                        <w:pPr>
                          <w:pStyle w:val="TableText"/>
                          <w:rPr>
                            <w:bCs/>
                          </w:rPr>
                        </w:pPr>
                      </w:p>
                    </w:tc>
                    <w:tc>
                      <w:tcPr>
                        <w:tcW w:w="1274" w:type="dxa"/>
                        <w:vMerge w:val="restart"/>
                        <w:noWrap/>
                        <w:hideMark/>
                      </w:tcPr>
                      <w:p w14:paraId="638D53BE" w14:textId="77777777" w:rsidR="00011D40" w:rsidRPr="0078378F" w:rsidRDefault="00011D40" w:rsidP="00D63E8D">
                        <w:pPr>
                          <w:pStyle w:val="TableText"/>
                          <w:rPr>
                            <w:bCs/>
                          </w:rPr>
                        </w:pPr>
                        <w:r w:rsidRPr="0078378F">
                          <w:rPr>
                            <w:bCs/>
                          </w:rPr>
                          <w:t>Virtual</w:t>
                        </w:r>
                      </w:p>
                    </w:tc>
                    <w:tc>
                      <w:tcPr>
                        <w:tcW w:w="1984" w:type="dxa"/>
                        <w:noWrap/>
                        <w:hideMark/>
                      </w:tcPr>
                      <w:p w14:paraId="3FD29357" w14:textId="77777777" w:rsidR="00011D40" w:rsidRPr="0078378F" w:rsidRDefault="00011D40" w:rsidP="00D63E8D">
                        <w:pPr>
                          <w:pStyle w:val="TableText"/>
                          <w:rPr>
                            <w:bCs/>
                          </w:rPr>
                        </w:pPr>
                        <w:r w:rsidRPr="0078378F">
                          <w:rPr>
                            <w:bCs/>
                          </w:rPr>
                          <w:t>Circumstances</w:t>
                        </w:r>
                      </w:p>
                    </w:tc>
                    <w:tc>
                      <w:tcPr>
                        <w:tcW w:w="1134" w:type="dxa"/>
                        <w:noWrap/>
                        <w:hideMark/>
                      </w:tcPr>
                      <w:p w14:paraId="0C6B4FFE" w14:textId="77777777" w:rsidR="00011D40" w:rsidRPr="00860D06" w:rsidRDefault="00011D40" w:rsidP="00D63E8D">
                        <w:pPr>
                          <w:pStyle w:val="TableText"/>
                        </w:pPr>
                        <w:r w:rsidRPr="00860D06">
                          <w:t>906</w:t>
                        </w:r>
                      </w:p>
                    </w:tc>
                    <w:tc>
                      <w:tcPr>
                        <w:tcW w:w="1417" w:type="dxa"/>
                        <w:noWrap/>
                        <w:hideMark/>
                      </w:tcPr>
                      <w:p w14:paraId="0BE87F85" w14:textId="77777777" w:rsidR="00011D40" w:rsidRPr="00860D06" w:rsidRDefault="00011D40" w:rsidP="00D63E8D">
                        <w:pPr>
                          <w:pStyle w:val="TableText"/>
                        </w:pPr>
                        <w:r w:rsidRPr="00860D06">
                          <w:t>0.89</w:t>
                        </w:r>
                      </w:p>
                    </w:tc>
                    <w:tc>
                      <w:tcPr>
                        <w:tcW w:w="2220" w:type="dxa"/>
                        <w:noWrap/>
                        <w:hideMark/>
                      </w:tcPr>
                      <w:p w14:paraId="7170C64A" w14:textId="77777777" w:rsidR="00011D40" w:rsidRPr="00860D06" w:rsidRDefault="00011D40" w:rsidP="00D63E8D">
                        <w:pPr>
                          <w:pStyle w:val="TableText"/>
                        </w:pPr>
                        <w:r w:rsidRPr="00860D06">
                          <w:t>61.3% (n=555)</w:t>
                        </w:r>
                      </w:p>
                    </w:tc>
                  </w:tr>
                  <w:tr w:rsidR="00011D40" w:rsidRPr="00860D06" w14:paraId="4900445C" w14:textId="77777777" w:rsidTr="00321BC5">
                    <w:trPr>
                      <w:trHeight w:val="290"/>
                    </w:trPr>
                    <w:tc>
                      <w:tcPr>
                        <w:tcW w:w="0" w:type="auto"/>
                        <w:vMerge/>
                        <w:hideMark/>
                      </w:tcPr>
                      <w:p w14:paraId="109E353A" w14:textId="77777777" w:rsidR="00011D40" w:rsidRPr="0078378F" w:rsidRDefault="00011D40" w:rsidP="00D63E8D">
                        <w:pPr>
                          <w:pStyle w:val="TableText"/>
                          <w:rPr>
                            <w:bCs/>
                          </w:rPr>
                        </w:pPr>
                      </w:p>
                    </w:tc>
                    <w:tc>
                      <w:tcPr>
                        <w:tcW w:w="0" w:type="auto"/>
                        <w:vMerge/>
                        <w:hideMark/>
                      </w:tcPr>
                      <w:p w14:paraId="206CAF5D" w14:textId="77777777" w:rsidR="00011D40" w:rsidRPr="0078378F" w:rsidRDefault="00011D40" w:rsidP="00D63E8D">
                        <w:pPr>
                          <w:pStyle w:val="TableText"/>
                          <w:rPr>
                            <w:bCs/>
                          </w:rPr>
                        </w:pPr>
                      </w:p>
                    </w:tc>
                    <w:tc>
                      <w:tcPr>
                        <w:tcW w:w="1984" w:type="dxa"/>
                        <w:noWrap/>
                        <w:hideMark/>
                      </w:tcPr>
                      <w:p w14:paraId="04904C98" w14:textId="77777777" w:rsidR="00011D40" w:rsidRPr="0078378F" w:rsidRDefault="00011D40" w:rsidP="00D63E8D">
                        <w:pPr>
                          <w:pStyle w:val="TableText"/>
                          <w:rPr>
                            <w:bCs/>
                          </w:rPr>
                        </w:pPr>
                        <w:r w:rsidRPr="0078378F">
                          <w:rPr>
                            <w:bCs/>
                          </w:rPr>
                          <w:t>Goals</w:t>
                        </w:r>
                      </w:p>
                    </w:tc>
                    <w:tc>
                      <w:tcPr>
                        <w:tcW w:w="1134" w:type="dxa"/>
                        <w:noWrap/>
                        <w:hideMark/>
                      </w:tcPr>
                      <w:p w14:paraId="2ED71379" w14:textId="77777777" w:rsidR="00011D40" w:rsidRPr="00860D06" w:rsidRDefault="00011D40" w:rsidP="00D63E8D">
                        <w:pPr>
                          <w:pStyle w:val="TableText"/>
                        </w:pPr>
                        <w:r w:rsidRPr="00860D06">
                          <w:t>837</w:t>
                        </w:r>
                      </w:p>
                    </w:tc>
                    <w:tc>
                      <w:tcPr>
                        <w:tcW w:w="1417" w:type="dxa"/>
                        <w:noWrap/>
                        <w:hideMark/>
                      </w:tcPr>
                      <w:p w14:paraId="0C12E1E7" w14:textId="77777777" w:rsidR="00011D40" w:rsidRPr="00860D06" w:rsidRDefault="00011D40" w:rsidP="00D63E8D">
                        <w:pPr>
                          <w:pStyle w:val="TableText"/>
                        </w:pPr>
                        <w:r w:rsidRPr="00860D06">
                          <w:t>1.01</w:t>
                        </w:r>
                      </w:p>
                    </w:tc>
                    <w:tc>
                      <w:tcPr>
                        <w:tcW w:w="2220" w:type="dxa"/>
                        <w:noWrap/>
                        <w:hideMark/>
                      </w:tcPr>
                      <w:p w14:paraId="4B70FF55" w14:textId="77777777" w:rsidR="00011D40" w:rsidRPr="00860D06" w:rsidRDefault="00011D40" w:rsidP="00D63E8D">
                        <w:pPr>
                          <w:pStyle w:val="TableText"/>
                        </w:pPr>
                        <w:r w:rsidRPr="00860D06">
                          <w:t>62.1% (n=520)</w:t>
                        </w:r>
                      </w:p>
                    </w:tc>
                  </w:tr>
                </w:tbl>
                <w:p w14:paraId="6651EB4C" w14:textId="37BA39D4" w:rsidR="00310FA8" w:rsidRPr="00D032E3" w:rsidRDefault="00310FA8" w:rsidP="00DE647E">
                  <w:pPr>
                    <w:pStyle w:val="TableFigureTitle"/>
                    <w:rPr>
                      <w:bCs/>
                      <w:lang w:val="en-US"/>
                    </w:rPr>
                  </w:pPr>
                  <w:r w:rsidRPr="00D032E3">
                    <w:rPr>
                      <w:rFonts w:ascii="Arial" w:hAnsi="Arial"/>
                      <w:bCs/>
                      <w:sz w:val="20"/>
                      <w:szCs w:val="18"/>
                      <w:lang w:val="en-US"/>
                    </w:rPr>
                    <w:t xml:space="preserve">Score: DEX-SCORE data </w:t>
                  </w:r>
                </w:p>
                <w:p w14:paraId="2CAE6C67" w14:textId="1B40C21C" w:rsidR="00011D40" w:rsidRPr="000C09BF" w:rsidRDefault="00011D40" w:rsidP="00321BC5">
                  <w:pPr>
                    <w:pStyle w:val="Text"/>
                    <w:spacing w:before="360"/>
                  </w:pPr>
                  <w:r w:rsidRPr="00321BC5">
                    <w:rPr>
                      <w:b/>
                      <w:color w:val="36424A" w:themeColor="background2"/>
                    </w:rPr>
                    <w:t xml:space="preserve">Service user survey data on virtual and in-person delivery models </w:t>
                  </w:r>
                </w:p>
                <w:p w14:paraId="402451DF" w14:textId="77777777" w:rsidR="008F22E5" w:rsidRPr="008F22E5" w:rsidRDefault="008A5B93" w:rsidP="00011D40">
                  <w:pPr>
                    <w:pStyle w:val="TableFigure-Header"/>
                    <w:spacing w:line="276" w:lineRule="auto"/>
                    <w:jc w:val="both"/>
                    <w:rPr>
                      <w:noProof/>
                    </w:rPr>
                  </w:pPr>
                  <w:r w:rsidRPr="0CAE5FDE">
                    <w:rPr>
                      <w:b w:val="0"/>
                      <w:sz w:val="22"/>
                      <w:szCs w:val="22"/>
                      <w:lang w:val="en-NZ"/>
                    </w:rPr>
                    <w:t xml:space="preserve">Service user survey data reinforces </w:t>
                  </w:r>
                  <w:r w:rsidR="004214D6">
                    <w:rPr>
                      <w:b w:val="0"/>
                      <w:sz w:val="22"/>
                      <w:szCs w:val="22"/>
                      <w:lang w:val="en-NZ"/>
                    </w:rPr>
                    <w:t xml:space="preserve">a </w:t>
                  </w:r>
                  <w:r w:rsidR="00142547" w:rsidRPr="0CAE5FDE">
                    <w:rPr>
                      <w:b w:val="0"/>
                      <w:sz w:val="22"/>
                      <w:szCs w:val="22"/>
                      <w:lang w:val="en-NZ"/>
                    </w:rPr>
                    <w:t>shift towards in-person delivery models</w:t>
                  </w:r>
                  <w:r w:rsidR="00DF19A9" w:rsidRPr="0CAE5FDE">
                    <w:rPr>
                      <w:b w:val="0"/>
                      <w:sz w:val="22"/>
                      <w:szCs w:val="22"/>
                      <w:lang w:val="en-NZ"/>
                    </w:rPr>
                    <w:t>.</w:t>
                  </w:r>
                  <w:r w:rsidR="00142547" w:rsidRPr="0CAE5FDE">
                    <w:rPr>
                      <w:b w:val="0"/>
                      <w:sz w:val="22"/>
                      <w:szCs w:val="22"/>
                      <w:lang w:val="en-NZ"/>
                    </w:rPr>
                    <w:t xml:space="preserve"> </w:t>
                  </w:r>
                  <w:r w:rsidR="00DF19A9" w:rsidRPr="0CAE5FDE">
                    <w:rPr>
                      <w:b w:val="0"/>
                      <w:sz w:val="22"/>
                      <w:szCs w:val="22"/>
                      <w:lang w:val="en-NZ"/>
                    </w:rPr>
                    <w:t>It</w:t>
                  </w:r>
                  <w:r w:rsidRPr="0CAE5FDE" w:rsidDel="00DF19A9">
                    <w:rPr>
                      <w:b w:val="0"/>
                      <w:sz w:val="22"/>
                      <w:szCs w:val="22"/>
                      <w:lang w:val="en-NZ"/>
                    </w:rPr>
                    <w:t xml:space="preserve"> </w:t>
                  </w:r>
                  <w:r w:rsidR="00142547" w:rsidRPr="0CAE5FDE">
                    <w:rPr>
                      <w:b w:val="0"/>
                      <w:sz w:val="22"/>
                      <w:szCs w:val="22"/>
                      <w:lang w:val="en-NZ"/>
                    </w:rPr>
                    <w:t xml:space="preserve">indicates that, overall, respondents are favouring face-to-face delivery and </w:t>
                  </w:r>
                  <w:r w:rsidR="00DA2089" w:rsidRPr="0CAE5FDE">
                    <w:rPr>
                      <w:b w:val="0"/>
                      <w:sz w:val="22"/>
                      <w:szCs w:val="22"/>
                      <w:lang w:val="en-NZ"/>
                    </w:rPr>
                    <w:t xml:space="preserve">are </w:t>
                  </w:r>
                  <w:r w:rsidR="00142547" w:rsidRPr="0CAE5FDE">
                    <w:rPr>
                      <w:b w:val="0"/>
                      <w:sz w:val="22"/>
                      <w:szCs w:val="22"/>
                      <w:lang w:val="en-NZ"/>
                    </w:rPr>
                    <w:t xml:space="preserve">broadly satisfied with the mode of delivery they are receiving. </w:t>
                  </w:r>
                  <w:r w:rsidR="00966C61">
                    <w:rPr>
                      <w:b w:val="0"/>
                      <w:sz w:val="22"/>
                      <w:szCs w:val="22"/>
                      <w:lang w:val="en-NZ"/>
                    </w:rPr>
                    <w:t>66%</w:t>
                  </w:r>
                  <w:r w:rsidR="00142547" w:rsidRPr="0CAE5FDE">
                    <w:rPr>
                      <w:b w:val="0"/>
                      <w:sz w:val="22"/>
                      <w:szCs w:val="22"/>
                      <w:lang w:val="en-NZ"/>
                    </w:rPr>
                    <w:t xml:space="preserve"> of FaRS and SFVS service user survey respondents accessed services face-to-face with the remainder accessing virtual or hybrid services</w:t>
                  </w:r>
                  <w:r w:rsidR="005407C8" w:rsidRPr="0CAE5FDE">
                    <w:rPr>
                      <w:b w:val="0"/>
                      <w:sz w:val="22"/>
                      <w:szCs w:val="22"/>
                      <w:lang w:val="en-NZ"/>
                    </w:rPr>
                    <w:t xml:space="preserve"> (see </w:t>
                  </w:r>
                  <w:r w:rsidR="005407C8" w:rsidRPr="0023728D">
                    <w:rPr>
                      <w:b w:val="0"/>
                      <w:bCs/>
                      <w:sz w:val="22"/>
                      <w:szCs w:val="22"/>
                    </w:rPr>
                    <w:fldChar w:fldCharType="begin" w:fldLock="1"/>
                  </w:r>
                  <w:r w:rsidR="005407C8" w:rsidRPr="0023728D">
                    <w:rPr>
                      <w:b w:val="0"/>
                      <w:bCs/>
                      <w:sz w:val="22"/>
                      <w:szCs w:val="22"/>
                    </w:rPr>
                    <w:instrText xml:space="preserve"> REF _Ref205320583 \h  \* MERGEFORMAT </w:instrText>
                  </w:r>
                  <w:r w:rsidR="005407C8" w:rsidRPr="0023728D">
                    <w:rPr>
                      <w:b w:val="0"/>
                      <w:bCs/>
                      <w:sz w:val="22"/>
                      <w:szCs w:val="22"/>
                    </w:rPr>
                  </w:r>
                  <w:r w:rsidR="005407C8" w:rsidRPr="0023728D">
                    <w:rPr>
                      <w:b w:val="0"/>
                      <w:bCs/>
                      <w:sz w:val="22"/>
                      <w:szCs w:val="22"/>
                    </w:rPr>
                    <w:fldChar w:fldCharType="separate"/>
                  </w:r>
                  <w:r w:rsidR="008F22E5" w:rsidRPr="008F22E5">
                    <w:rPr>
                      <w:rStyle w:val="Text-Bold"/>
                    </w:rPr>
                    <w:t>.</w:t>
                  </w:r>
                </w:p>
                <w:p w14:paraId="713C0F93" w14:textId="74ACA6A2" w:rsidR="0023728D" w:rsidRPr="00BC3FC4" w:rsidRDefault="008F22E5" w:rsidP="00011D40">
                  <w:pPr>
                    <w:pStyle w:val="TableFigure-Header"/>
                    <w:spacing w:line="276" w:lineRule="auto"/>
                    <w:jc w:val="both"/>
                    <w:rPr>
                      <w:b w:val="0"/>
                    </w:rPr>
                  </w:pPr>
                  <w:r w:rsidRPr="008F22E5">
                    <w:rPr>
                      <w:noProof/>
                    </w:rPr>
                    <w:t>Figure</w:t>
                  </w:r>
                  <w:r w:rsidRPr="008F22E5">
                    <w:rPr>
                      <w:rStyle w:val="Text-Bold"/>
                      <w:b/>
                      <w:sz w:val="22"/>
                      <w:szCs w:val="22"/>
                      <w:lang w:val="en-NZ"/>
                    </w:rPr>
                    <w:t xml:space="preserve"> </w:t>
                  </w:r>
                  <w:r w:rsidRPr="008F22E5">
                    <w:rPr>
                      <w:rStyle w:val="Text-Bold"/>
                      <w:b/>
                      <w:noProof/>
                      <w:sz w:val="22"/>
                      <w:szCs w:val="22"/>
                      <w:lang w:val="en-NZ"/>
                    </w:rPr>
                    <w:t>34</w:t>
                  </w:r>
                  <w:r w:rsidR="005407C8" w:rsidRPr="0023728D">
                    <w:rPr>
                      <w:b w:val="0"/>
                      <w:bCs/>
                      <w:sz w:val="22"/>
                      <w:szCs w:val="22"/>
                    </w:rPr>
                    <w:fldChar w:fldCharType="end"/>
                  </w:r>
                  <w:r w:rsidR="005407C8" w:rsidRPr="0CAE5FDE">
                    <w:rPr>
                      <w:b w:val="0"/>
                      <w:sz w:val="22"/>
                      <w:szCs w:val="22"/>
                      <w:lang w:val="en-NZ"/>
                    </w:rPr>
                    <w:t>)</w:t>
                  </w:r>
                  <w:r w:rsidR="00142547" w:rsidRPr="0CAE5FDE">
                    <w:rPr>
                      <w:b w:val="0"/>
                      <w:sz w:val="22"/>
                      <w:szCs w:val="22"/>
                      <w:lang w:val="en-NZ"/>
                    </w:rPr>
                    <w:t>. Th</w:t>
                  </w:r>
                  <w:r w:rsidR="001B02C8">
                    <w:rPr>
                      <w:b w:val="0"/>
                      <w:sz w:val="22"/>
                      <w:szCs w:val="22"/>
                      <w:lang w:val="en-NZ"/>
                    </w:rPr>
                    <w:t>e range of</w:t>
                  </w:r>
                  <w:r w:rsidR="00142547" w:rsidRPr="0CAE5FDE">
                    <w:rPr>
                      <w:b w:val="0"/>
                      <w:sz w:val="22"/>
                      <w:szCs w:val="22"/>
                      <w:lang w:val="en-NZ"/>
                    </w:rPr>
                    <w:t xml:space="preserve"> delivery types was similar across FaRS, SFVS, and </w:t>
                  </w:r>
                  <w:r w:rsidR="00783967" w:rsidRPr="0CAE5FDE">
                    <w:rPr>
                      <w:b w:val="0"/>
                      <w:sz w:val="22"/>
                      <w:szCs w:val="22"/>
                      <w:lang w:val="en-NZ"/>
                    </w:rPr>
                    <w:t>dual</w:t>
                  </w:r>
                  <w:r w:rsidR="00142547" w:rsidRPr="0CAE5FDE" w:rsidDel="00BA0758">
                    <w:rPr>
                      <w:b w:val="0"/>
                      <w:sz w:val="22"/>
                      <w:szCs w:val="22"/>
                      <w:lang w:val="en-NZ"/>
                    </w:rPr>
                    <w:t xml:space="preserve"> </w:t>
                  </w:r>
                  <w:r w:rsidR="00142547" w:rsidRPr="0CAE5FDE">
                    <w:rPr>
                      <w:b w:val="0"/>
                      <w:sz w:val="22"/>
                      <w:szCs w:val="22"/>
                      <w:lang w:val="en-NZ"/>
                    </w:rPr>
                    <w:t>FaRS SFVS survey respondents</w:t>
                  </w:r>
                  <w:r w:rsidR="00DA2089" w:rsidRPr="0CAE5FDE">
                    <w:rPr>
                      <w:b w:val="0"/>
                      <w:sz w:val="22"/>
                      <w:szCs w:val="22"/>
                      <w:lang w:val="en-NZ"/>
                    </w:rPr>
                    <w:t>,</w:t>
                  </w:r>
                  <w:r w:rsidR="00142547" w:rsidRPr="0CAE5FDE">
                    <w:rPr>
                      <w:b w:val="0"/>
                      <w:sz w:val="22"/>
                      <w:szCs w:val="22"/>
                      <w:lang w:val="en-NZ"/>
                    </w:rPr>
                    <w:t xml:space="preserve"> </w:t>
                  </w:r>
                  <w:r w:rsidR="00300412" w:rsidRPr="0CAE5FDE">
                    <w:rPr>
                      <w:b w:val="0"/>
                      <w:sz w:val="22"/>
                      <w:szCs w:val="22"/>
                      <w:lang w:val="en-NZ"/>
                    </w:rPr>
                    <w:t>suggesting service providers</w:t>
                  </w:r>
                  <w:r w:rsidR="00142547" w:rsidRPr="0CAE5FDE">
                    <w:rPr>
                      <w:b w:val="0"/>
                      <w:sz w:val="22"/>
                      <w:szCs w:val="22"/>
                      <w:lang w:val="en-NZ"/>
                    </w:rPr>
                    <w:t xml:space="preserve"> are </w:t>
                  </w:r>
                  <w:r w:rsidR="00300412" w:rsidRPr="0CAE5FDE">
                    <w:rPr>
                      <w:b w:val="0"/>
                      <w:sz w:val="22"/>
                      <w:szCs w:val="22"/>
                      <w:lang w:val="en-NZ"/>
                    </w:rPr>
                    <w:t>offering</w:t>
                  </w:r>
                  <w:r w:rsidR="00142547" w:rsidRPr="0CAE5FDE">
                    <w:rPr>
                      <w:b w:val="0"/>
                      <w:sz w:val="22"/>
                      <w:szCs w:val="22"/>
                      <w:lang w:val="en-NZ"/>
                    </w:rPr>
                    <w:t xml:space="preserve"> a range of </w:t>
                  </w:r>
                  <w:r w:rsidR="00300412" w:rsidRPr="0CAE5FDE">
                    <w:rPr>
                      <w:b w:val="0"/>
                      <w:sz w:val="22"/>
                      <w:szCs w:val="22"/>
                      <w:lang w:val="en-NZ"/>
                    </w:rPr>
                    <w:t xml:space="preserve">service </w:t>
                  </w:r>
                  <w:r w:rsidR="00142547" w:rsidRPr="0CAE5FDE">
                    <w:rPr>
                      <w:b w:val="0"/>
                      <w:sz w:val="22"/>
                      <w:szCs w:val="22"/>
                      <w:lang w:val="en-NZ"/>
                    </w:rPr>
                    <w:t>delivery options</w:t>
                  </w:r>
                  <w:bookmarkStart w:id="464" w:name="_Ref205320583"/>
                  <w:r w:rsidR="00DE5236" w:rsidRPr="0CAE5FDE">
                    <w:rPr>
                      <w:b w:val="0"/>
                      <w:sz w:val="22"/>
                      <w:szCs w:val="22"/>
                      <w:lang w:val="en-NZ"/>
                    </w:rPr>
                    <w:t>.</w:t>
                  </w:r>
                  <w:bookmarkStart w:id="465" w:name="_Toc205413074"/>
                  <w:bookmarkStart w:id="466" w:name="_Toc205413128"/>
                </w:p>
                <w:p w14:paraId="3A045563" w14:textId="6E261419" w:rsidR="00142547" w:rsidRPr="004673E7" w:rsidRDefault="00142547" w:rsidP="00253034">
                  <w:pPr>
                    <w:pStyle w:val="TableFigure-Header"/>
                    <w:spacing w:line="276" w:lineRule="auto"/>
                    <w:jc w:val="both"/>
                    <w:rPr>
                      <w:rStyle w:val="Text-Bold"/>
                      <w:b/>
                      <w:szCs w:val="21"/>
                      <w:lang w:val="en-NZ"/>
                    </w:rPr>
                  </w:pPr>
                  <w:r w:rsidRPr="004673E7">
                    <w:rPr>
                      <w:rStyle w:val="Text-Bold"/>
                      <w:b/>
                      <w:szCs w:val="21"/>
                      <w:lang w:val="en-NZ"/>
                    </w:rPr>
                    <w:t xml:space="preserve">Figure </w:t>
                  </w:r>
                  <w:r w:rsidR="00C64C3D" w:rsidRPr="004673E7">
                    <w:rPr>
                      <w:rStyle w:val="Text-Bold"/>
                      <w:b/>
                      <w:szCs w:val="21"/>
                      <w:lang w:val="en-NZ"/>
                    </w:rPr>
                    <w:fldChar w:fldCharType="begin"/>
                  </w:r>
                  <w:r w:rsidR="00C64C3D" w:rsidRPr="004673E7">
                    <w:rPr>
                      <w:rStyle w:val="Text-Bold"/>
                      <w:b/>
                      <w:szCs w:val="21"/>
                      <w:lang w:val="en-NZ"/>
                    </w:rPr>
                    <w:instrText xml:space="preserve"> SEQ Figure \* ARABIC </w:instrText>
                  </w:r>
                  <w:r w:rsidR="00C64C3D" w:rsidRPr="004673E7">
                    <w:rPr>
                      <w:rStyle w:val="Text-Bold"/>
                      <w:b/>
                      <w:szCs w:val="21"/>
                      <w:lang w:val="en-NZ"/>
                    </w:rPr>
                    <w:fldChar w:fldCharType="separate"/>
                  </w:r>
                  <w:r w:rsidR="008D2566">
                    <w:rPr>
                      <w:rStyle w:val="Text-Bold"/>
                      <w:b/>
                      <w:noProof/>
                      <w:szCs w:val="21"/>
                      <w:lang w:val="en-NZ"/>
                    </w:rPr>
                    <w:t>34</w:t>
                  </w:r>
                  <w:r w:rsidR="00C64C3D" w:rsidRPr="004673E7">
                    <w:rPr>
                      <w:rStyle w:val="Text-Bold"/>
                      <w:b/>
                      <w:szCs w:val="21"/>
                      <w:lang w:val="en-NZ"/>
                    </w:rPr>
                    <w:fldChar w:fldCharType="end"/>
                  </w:r>
                  <w:bookmarkEnd w:id="464"/>
                  <w:r w:rsidRPr="004673E7">
                    <w:rPr>
                      <w:rStyle w:val="Text-Bold"/>
                      <w:b/>
                      <w:szCs w:val="21"/>
                      <w:lang w:val="en-NZ"/>
                    </w:rPr>
                    <w:t>: How were the sessions delivered (i.e. mode of delivery), FaRS and SFVS service users (n=186)</w:t>
                  </w:r>
                  <w:bookmarkEnd w:id="465"/>
                  <w:bookmarkEnd w:id="466"/>
                </w:p>
                <w:p w14:paraId="2AB019DF" w14:textId="46EAAB47" w:rsidR="00AB4331" w:rsidRPr="00AB4331" w:rsidRDefault="00AB4331" w:rsidP="00A33367">
                  <w:pPr>
                    <w:pStyle w:val="TableFigureTitle"/>
                    <w:jc w:val="center"/>
                    <w:rPr>
                      <w:lang w:val="en-US"/>
                    </w:rPr>
                  </w:pPr>
                  <w:r>
                    <w:rPr>
                      <w:noProof/>
                      <w:lang w:val="en-US"/>
                    </w:rPr>
                    <w:drawing>
                      <wp:inline distT="0" distB="0" distL="0" distR="0" wp14:anchorId="1E50DE29" wp14:editId="5D9CA3A8">
                        <wp:extent cx="5318974" cy="3139538"/>
                        <wp:effectExtent l="0" t="0" r="0" b="3810"/>
                        <wp:docPr id="1590862258" name="Pictur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0862258" name="Picture 9">
                                  <a:extLst>
                                    <a:ext uri="{C183D7F6-B498-43B3-948B-1728B52AA6E4}">
                                      <adec:decorative xmlns:adec="http://schemas.microsoft.com/office/drawing/2017/decorative" val="1"/>
                                    </a:ext>
                                  </a:extLst>
                                </pic:cNvPr>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364637" cy="3166491"/>
                                </a:xfrm>
                                <a:prstGeom prst="rect">
                                  <a:avLst/>
                                </a:prstGeom>
                                <a:noFill/>
                                <a:ln>
                                  <a:noFill/>
                                </a:ln>
                              </pic:spPr>
                            </pic:pic>
                          </a:graphicData>
                        </a:graphic>
                      </wp:inline>
                    </w:drawing>
                  </w:r>
                </w:p>
                <w:p w14:paraId="39A1546D" w14:textId="784B3C62" w:rsidR="00142547" w:rsidRPr="00F702A2" w:rsidRDefault="00142547" w:rsidP="00142547">
                  <w:pPr>
                    <w:pStyle w:val="TableFigure-Notes"/>
                    <w:rPr>
                      <w:i/>
                      <w:iCs/>
                      <w:sz w:val="20"/>
                      <w:szCs w:val="20"/>
                      <w:lang w:val="en-US"/>
                    </w:rPr>
                  </w:pPr>
                  <w:r w:rsidRPr="00F702A2">
                    <w:rPr>
                      <w:i/>
                      <w:iCs/>
                      <w:sz w:val="20"/>
                      <w:szCs w:val="20"/>
                      <w:lang w:val="en-US"/>
                    </w:rPr>
                    <w:t xml:space="preserve">Source: </w:t>
                  </w:r>
                  <w:r w:rsidR="00AD679F" w:rsidRPr="00F702A2">
                    <w:rPr>
                      <w:i/>
                      <w:iCs/>
                      <w:sz w:val="20"/>
                      <w:szCs w:val="20"/>
                      <w:lang w:val="en-US"/>
                    </w:rPr>
                    <w:t>Service</w:t>
                  </w:r>
                  <w:r w:rsidRPr="00F702A2">
                    <w:rPr>
                      <w:i/>
                      <w:iCs/>
                      <w:sz w:val="20"/>
                      <w:szCs w:val="20"/>
                      <w:lang w:val="en-US"/>
                    </w:rPr>
                    <w:t xml:space="preserve"> user survey data </w:t>
                  </w:r>
                </w:p>
                <w:p w14:paraId="1C8E3FDD" w14:textId="06862255" w:rsidR="00011D40" w:rsidRDefault="00A514DF" w:rsidP="00142547">
                  <w:pPr>
                    <w:pStyle w:val="Text"/>
                    <w:rPr>
                      <w:lang w:val="en-US"/>
                    </w:rPr>
                  </w:pPr>
                  <w:r>
                    <w:lastRenderedPageBreak/>
                    <w:t xml:space="preserve">Overall, </w:t>
                  </w:r>
                  <w:r w:rsidR="00142547" w:rsidRPr="003B635F">
                    <w:t xml:space="preserve">87.6% (n=170) of all survey respondents agreed or strongly agreed that they were able to access services through a mode of delivery which suited them (see </w:t>
                  </w:r>
                  <w:r w:rsidR="005407C8" w:rsidRPr="00602DD1">
                    <w:rPr>
                      <w:b/>
                    </w:rPr>
                    <w:fldChar w:fldCharType="begin" w:fldLock="1"/>
                  </w:r>
                  <w:r w:rsidR="005407C8" w:rsidRPr="00602DD1">
                    <w:rPr>
                      <w:b/>
                    </w:rPr>
                    <w:instrText xml:space="preserve"> REF _Ref205320615 \h  \* MERGEFORMAT </w:instrText>
                  </w:r>
                  <w:r w:rsidR="005407C8" w:rsidRPr="00602DD1">
                    <w:rPr>
                      <w:b/>
                    </w:rPr>
                  </w:r>
                  <w:r w:rsidR="005407C8" w:rsidRPr="00602DD1">
                    <w:rPr>
                      <w:b/>
                    </w:rPr>
                    <w:fldChar w:fldCharType="separate"/>
                  </w:r>
                  <w:r w:rsidR="008F22E5" w:rsidRPr="008F22E5">
                    <w:rPr>
                      <w:b/>
                      <w:szCs w:val="22"/>
                    </w:rPr>
                    <w:t xml:space="preserve">Figure </w:t>
                  </w:r>
                  <w:r w:rsidR="008F22E5" w:rsidRPr="008F22E5">
                    <w:rPr>
                      <w:b/>
                      <w:noProof/>
                      <w:szCs w:val="22"/>
                    </w:rPr>
                    <w:t>35</w:t>
                  </w:r>
                  <w:r w:rsidR="005407C8" w:rsidRPr="00602DD1">
                    <w:rPr>
                      <w:b/>
                    </w:rPr>
                    <w:fldChar w:fldCharType="end"/>
                  </w:r>
                  <w:r w:rsidR="00142547" w:rsidRPr="003B635F">
                    <w:t>)</w:t>
                  </w:r>
                  <w:r w:rsidR="001B02C8">
                    <w:t xml:space="preserve">.This indicates </w:t>
                  </w:r>
                  <w:r w:rsidR="00142547" w:rsidRPr="003B635F">
                    <w:t>that current modalities are meeting service user access needs</w:t>
                  </w:r>
                  <w:r w:rsidR="0029709A">
                    <w:t>.</w:t>
                  </w:r>
                  <w:r w:rsidR="00142547" w:rsidRPr="003B635F">
                    <w:t xml:space="preserve"> </w:t>
                  </w:r>
                  <w:r w:rsidR="00AA4FF6">
                    <w:rPr>
                      <w:lang w:val="en-US"/>
                    </w:rPr>
                    <w:t>M</w:t>
                  </w:r>
                  <w:r w:rsidR="00142547" w:rsidRPr="00EC7B30">
                    <w:rPr>
                      <w:lang w:val="en-US"/>
                    </w:rPr>
                    <w:t xml:space="preserve">ost respondents who received SFVS exclusively or both FaRS and SFVS </w:t>
                  </w:r>
                  <w:r w:rsidR="00142547">
                    <w:rPr>
                      <w:lang w:val="en-US"/>
                    </w:rPr>
                    <w:t>services agreed or strongly agreed they were able to access a mode of delivery which suit</w:t>
                  </w:r>
                  <w:r w:rsidR="00726C3F">
                    <w:rPr>
                      <w:lang w:val="en-US"/>
                    </w:rPr>
                    <w:t>ed</w:t>
                  </w:r>
                  <w:r w:rsidR="00142547">
                    <w:rPr>
                      <w:lang w:val="en-US"/>
                    </w:rPr>
                    <w:t xml:space="preserve"> them. </w:t>
                  </w:r>
                </w:p>
                <w:p w14:paraId="4DAEC066" w14:textId="29EB5E40" w:rsidR="00142547" w:rsidRPr="004673E7" w:rsidRDefault="00142547" w:rsidP="00253034">
                  <w:pPr>
                    <w:pStyle w:val="TableFigure-Header"/>
                    <w:spacing w:line="276" w:lineRule="auto"/>
                    <w:jc w:val="both"/>
                    <w:rPr>
                      <w:szCs w:val="21"/>
                    </w:rPr>
                  </w:pPr>
                  <w:bookmarkStart w:id="467" w:name="_Ref205320615"/>
                  <w:bookmarkStart w:id="468" w:name="_Toc205413075"/>
                  <w:bookmarkStart w:id="469" w:name="_Toc205413129"/>
                  <w:r w:rsidRPr="004673E7">
                    <w:rPr>
                      <w:szCs w:val="21"/>
                      <w:lang w:val="en-NZ"/>
                    </w:rPr>
                    <w:t xml:space="preserve">Figure </w:t>
                  </w:r>
                  <w:r w:rsidR="00C64C3D" w:rsidRPr="004673E7">
                    <w:rPr>
                      <w:szCs w:val="21"/>
                      <w:lang w:val="en-NZ"/>
                    </w:rPr>
                    <w:fldChar w:fldCharType="begin"/>
                  </w:r>
                  <w:r w:rsidR="00C64C3D" w:rsidRPr="004673E7">
                    <w:rPr>
                      <w:szCs w:val="21"/>
                      <w:lang w:val="en-NZ"/>
                    </w:rPr>
                    <w:instrText xml:space="preserve"> SEQ Figure \* ARABIC </w:instrText>
                  </w:r>
                  <w:r w:rsidR="00C64C3D" w:rsidRPr="004673E7">
                    <w:rPr>
                      <w:szCs w:val="21"/>
                      <w:lang w:val="en-NZ"/>
                    </w:rPr>
                    <w:fldChar w:fldCharType="separate"/>
                  </w:r>
                  <w:r w:rsidR="008D2566">
                    <w:rPr>
                      <w:noProof/>
                      <w:szCs w:val="21"/>
                      <w:lang w:val="en-NZ"/>
                    </w:rPr>
                    <w:t>35</w:t>
                  </w:r>
                  <w:r w:rsidR="00C64C3D" w:rsidRPr="004673E7">
                    <w:rPr>
                      <w:szCs w:val="21"/>
                      <w:lang w:val="en-NZ"/>
                    </w:rPr>
                    <w:fldChar w:fldCharType="end"/>
                  </w:r>
                  <w:bookmarkEnd w:id="467"/>
                  <w:r w:rsidRPr="004673E7">
                    <w:rPr>
                      <w:szCs w:val="21"/>
                      <w:lang w:val="en-NZ"/>
                    </w:rPr>
                    <w:t>: I was able to access services through a mode of delivery (face</w:t>
                  </w:r>
                  <w:r w:rsidR="006F6CB2" w:rsidRPr="004673E7">
                    <w:rPr>
                      <w:szCs w:val="21"/>
                      <w:lang w:val="en-NZ"/>
                    </w:rPr>
                    <w:t>-</w:t>
                  </w:r>
                  <w:r w:rsidRPr="004673E7">
                    <w:rPr>
                      <w:szCs w:val="21"/>
                      <w:lang w:val="en-NZ"/>
                    </w:rPr>
                    <w:t>to</w:t>
                  </w:r>
                  <w:r w:rsidR="006F6CB2" w:rsidRPr="004673E7">
                    <w:rPr>
                      <w:szCs w:val="21"/>
                      <w:lang w:val="en-NZ"/>
                    </w:rPr>
                    <w:t>-</w:t>
                  </w:r>
                  <w:r w:rsidRPr="004673E7">
                    <w:rPr>
                      <w:szCs w:val="21"/>
                      <w:lang w:val="en-NZ"/>
                    </w:rPr>
                    <w:t>face, virtual, or a mix) which suited me, FaRS and SFVS service users (n=187)</w:t>
                  </w:r>
                  <w:bookmarkEnd w:id="468"/>
                  <w:bookmarkEnd w:id="469"/>
                </w:p>
                <w:p w14:paraId="0F417083" w14:textId="0DDA17DF" w:rsidR="00E30287" w:rsidRPr="00E30287" w:rsidRDefault="00E30287" w:rsidP="008E1B83">
                  <w:pPr>
                    <w:pStyle w:val="TableFigureTitle"/>
                  </w:pPr>
                  <w:r>
                    <w:rPr>
                      <w:noProof/>
                    </w:rPr>
                    <w:drawing>
                      <wp:inline distT="0" distB="0" distL="0" distR="0" wp14:anchorId="02D28495" wp14:editId="5D3F4CB4">
                        <wp:extent cx="5826642" cy="3125973"/>
                        <wp:effectExtent l="0" t="0" r="3175" b="17780"/>
                        <wp:docPr id="291732388" name="Chart 1">
                          <a:extLst xmlns:a="http://schemas.openxmlformats.org/drawingml/2006/main">
                            <a:ext uri="{FF2B5EF4-FFF2-40B4-BE49-F238E27FC236}">
                              <a16:creationId xmlns:a16="http://schemas.microsoft.com/office/drawing/2014/main" id="{5AB014AA-B7E9-F46F-1489-BEB85FDFFE3D}"/>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2CBED9A5" w14:textId="30AB7D07" w:rsidR="00D64AEE" w:rsidRDefault="00142547" w:rsidP="00142547">
                  <w:pPr>
                    <w:pStyle w:val="Text"/>
                  </w:pPr>
                  <w:r w:rsidRPr="001C724E">
                    <w:rPr>
                      <w:i/>
                      <w:iCs/>
                      <w:sz w:val="20"/>
                      <w:szCs w:val="18"/>
                    </w:rPr>
                    <w:t xml:space="preserve">Source: Service user survey </w:t>
                  </w:r>
                </w:p>
                <w:p w14:paraId="621ACBDD" w14:textId="793D604D" w:rsidR="00966C61" w:rsidRDefault="00B67968" w:rsidP="00142547">
                  <w:pPr>
                    <w:pStyle w:val="Text"/>
                    <w:rPr>
                      <w:lang w:val="en-US"/>
                    </w:rPr>
                  </w:pPr>
                  <w:r>
                    <w:t xml:space="preserve">While a consistently high proportion of service users reported that the mode of service delivery they accessed suited their needs, survey data on the perceived effectiveness of services varied by mode of delivery. </w:t>
                  </w:r>
                  <w:r w:rsidR="0029709A">
                    <w:t xml:space="preserve">Approximately </w:t>
                  </w:r>
                  <w:r w:rsidR="00142547" w:rsidRPr="003B635F">
                    <w:t xml:space="preserve">90.2% (n=110) of service users who received face-to-face delivery only and 85.4% (n=35) who received both face-to-face and virtual found it </w:t>
                  </w:r>
                  <w:r w:rsidR="00C740F3">
                    <w:t xml:space="preserve">to </w:t>
                  </w:r>
                  <w:r w:rsidR="00142547" w:rsidRPr="003B635F">
                    <w:t xml:space="preserve">be very or mostly useful. In contrast, 77.3% (n=17) who received virtual only found it </w:t>
                  </w:r>
                  <w:r w:rsidR="00C740F3">
                    <w:t xml:space="preserve">to </w:t>
                  </w:r>
                  <w:r w:rsidR="00142547" w:rsidRPr="003B635F">
                    <w:t xml:space="preserve">be very or mostly useful (see </w:t>
                  </w:r>
                  <w:r w:rsidR="005407C8" w:rsidRPr="00602DD1">
                    <w:rPr>
                      <w:bCs/>
                    </w:rPr>
                    <w:fldChar w:fldCharType="begin" w:fldLock="1"/>
                  </w:r>
                  <w:r w:rsidR="005407C8" w:rsidRPr="00602DD1">
                    <w:rPr>
                      <w:bCs/>
                    </w:rPr>
                    <w:instrText xml:space="preserve"> REF _Ref205320662 \h  \* MERGEFORMAT </w:instrText>
                  </w:r>
                  <w:r w:rsidR="005407C8" w:rsidRPr="00602DD1">
                    <w:rPr>
                      <w:bCs/>
                    </w:rPr>
                  </w:r>
                  <w:r w:rsidR="005407C8" w:rsidRPr="00602DD1">
                    <w:rPr>
                      <w:bCs/>
                    </w:rPr>
                    <w:fldChar w:fldCharType="separate"/>
                  </w:r>
                  <w:r w:rsidR="008F22E5" w:rsidRPr="008F22E5">
                    <w:rPr>
                      <w:rStyle w:val="Text-Bold"/>
                      <w:bCs/>
                      <w:szCs w:val="22"/>
                    </w:rPr>
                    <w:t xml:space="preserve">Figure </w:t>
                  </w:r>
                  <w:r w:rsidR="008F22E5" w:rsidRPr="008F22E5">
                    <w:rPr>
                      <w:b/>
                    </w:rPr>
                    <w:t>36</w:t>
                  </w:r>
                  <w:r w:rsidR="005407C8" w:rsidRPr="00602DD1">
                    <w:rPr>
                      <w:bCs/>
                    </w:rPr>
                    <w:fldChar w:fldCharType="end"/>
                  </w:r>
                  <w:r w:rsidR="005407C8">
                    <w:rPr>
                      <w:b/>
                    </w:rPr>
                    <w:t xml:space="preserve"> </w:t>
                  </w:r>
                  <w:r w:rsidR="00142547" w:rsidRPr="005407C8">
                    <w:t xml:space="preserve">below). </w:t>
                  </w:r>
                  <w:r w:rsidR="000F3CCC">
                    <w:rPr>
                      <w:lang w:val="en-US"/>
                    </w:rPr>
                    <w:t xml:space="preserve">Most SFVS survey </w:t>
                  </w:r>
                  <w:r w:rsidR="000F3CCC" w:rsidRPr="005407C8">
                    <w:rPr>
                      <w:lang w:val="en-US"/>
                    </w:rPr>
                    <w:t>respondents</w:t>
                  </w:r>
                  <w:r w:rsidR="00142547" w:rsidRPr="00EC7B30">
                    <w:rPr>
                      <w:lang w:val="en-US"/>
                    </w:rPr>
                    <w:t xml:space="preserve"> </w:t>
                  </w:r>
                  <w:r w:rsidR="00142547">
                    <w:rPr>
                      <w:lang w:val="en-US"/>
                    </w:rPr>
                    <w:t xml:space="preserve">found their mode of delivery to be very or mostly effective. </w:t>
                  </w:r>
                </w:p>
                <w:p w14:paraId="59888AA5" w14:textId="2A628E86" w:rsidR="00142547" w:rsidRDefault="00966C61" w:rsidP="004673E7">
                  <w:pPr>
                    <w:rPr>
                      <w:lang w:val="en-US"/>
                    </w:rPr>
                  </w:pPr>
                  <w:r>
                    <w:rPr>
                      <w:lang w:val="en-US"/>
                    </w:rPr>
                    <w:br w:type="page"/>
                  </w:r>
                </w:p>
                <w:p w14:paraId="390BC85C" w14:textId="57849FB1" w:rsidR="00142547" w:rsidRPr="004673E7" w:rsidRDefault="00142547" w:rsidP="00253034">
                  <w:pPr>
                    <w:pStyle w:val="TableFigure-Header"/>
                    <w:spacing w:line="276" w:lineRule="auto"/>
                    <w:jc w:val="both"/>
                    <w:rPr>
                      <w:rStyle w:val="Text-Bold"/>
                      <w:b/>
                      <w:szCs w:val="21"/>
                      <w:lang w:val="en-NZ"/>
                    </w:rPr>
                  </w:pPr>
                  <w:bookmarkStart w:id="470" w:name="_Ref205320662"/>
                  <w:bookmarkStart w:id="471" w:name="_Toc205413076"/>
                  <w:bookmarkStart w:id="472" w:name="_Toc205413130"/>
                  <w:r w:rsidRPr="004673E7">
                    <w:rPr>
                      <w:rStyle w:val="Text-Bold"/>
                      <w:b/>
                      <w:szCs w:val="21"/>
                      <w:lang w:val="en-NZ"/>
                    </w:rPr>
                    <w:lastRenderedPageBreak/>
                    <w:t xml:space="preserve">Figure </w:t>
                  </w:r>
                  <w:r w:rsidR="00C64C3D" w:rsidRPr="004673E7">
                    <w:rPr>
                      <w:rStyle w:val="Text-Bold"/>
                      <w:b/>
                      <w:szCs w:val="21"/>
                      <w:lang w:val="en-NZ"/>
                    </w:rPr>
                    <w:fldChar w:fldCharType="begin"/>
                  </w:r>
                  <w:r w:rsidR="00C64C3D" w:rsidRPr="004673E7">
                    <w:rPr>
                      <w:rStyle w:val="Text-Bold"/>
                      <w:b/>
                      <w:szCs w:val="21"/>
                      <w:lang w:val="en-NZ"/>
                    </w:rPr>
                    <w:instrText xml:space="preserve"> SEQ Figure \* ARABIC </w:instrText>
                  </w:r>
                  <w:r w:rsidR="00C64C3D" w:rsidRPr="004673E7">
                    <w:rPr>
                      <w:rStyle w:val="Text-Bold"/>
                      <w:b/>
                      <w:szCs w:val="21"/>
                      <w:lang w:val="en-NZ"/>
                    </w:rPr>
                    <w:fldChar w:fldCharType="separate"/>
                  </w:r>
                  <w:r w:rsidR="008D2566">
                    <w:rPr>
                      <w:rStyle w:val="Text-Bold"/>
                      <w:b/>
                      <w:noProof/>
                      <w:szCs w:val="21"/>
                      <w:lang w:val="en-NZ"/>
                    </w:rPr>
                    <w:t>36</w:t>
                  </w:r>
                  <w:r w:rsidR="00C64C3D" w:rsidRPr="004673E7">
                    <w:rPr>
                      <w:rStyle w:val="Text-Bold"/>
                      <w:b/>
                      <w:szCs w:val="21"/>
                      <w:lang w:val="en-NZ"/>
                    </w:rPr>
                    <w:fldChar w:fldCharType="end"/>
                  </w:r>
                  <w:bookmarkEnd w:id="470"/>
                  <w:r w:rsidRPr="004673E7">
                    <w:rPr>
                      <w:rStyle w:val="Text-Bold"/>
                      <w:b/>
                      <w:szCs w:val="21"/>
                      <w:lang w:val="en-NZ"/>
                    </w:rPr>
                    <w:t>: How effective was this mode of delivery</w:t>
                  </w:r>
                  <w:r w:rsidR="00175D50" w:rsidRPr="004673E7">
                    <w:rPr>
                      <w:rStyle w:val="Text-Bold"/>
                      <w:b/>
                      <w:szCs w:val="21"/>
                      <w:lang w:val="en-NZ"/>
                    </w:rPr>
                    <w:t>,</w:t>
                  </w:r>
                  <w:r w:rsidRPr="004673E7">
                    <w:rPr>
                      <w:rStyle w:val="Text-Bold"/>
                      <w:b/>
                      <w:szCs w:val="21"/>
                      <w:lang w:val="en-NZ"/>
                    </w:rPr>
                    <w:t xml:space="preserve"> FaRS and SFVS service users</w:t>
                  </w:r>
                  <w:bookmarkEnd w:id="471"/>
                  <w:bookmarkEnd w:id="472"/>
                </w:p>
                <w:p w14:paraId="098FBA52" w14:textId="338D0F5A" w:rsidR="00D574C8" w:rsidRPr="00D9390E" w:rsidRDefault="00142547" w:rsidP="008E1B83">
                  <w:pPr>
                    <w:pStyle w:val="Text"/>
                    <w:jc w:val="left"/>
                  </w:pPr>
                  <w:r>
                    <w:rPr>
                      <w:noProof/>
                    </w:rPr>
                    <w:drawing>
                      <wp:inline distT="0" distB="0" distL="0" distR="0" wp14:anchorId="5354B001" wp14:editId="606E8C13">
                        <wp:extent cx="5890437" cy="3094075"/>
                        <wp:effectExtent l="0" t="0" r="15240" b="11430"/>
                        <wp:docPr id="1234326219" name="Chart 1">
                          <a:extLst xmlns:a="http://schemas.openxmlformats.org/drawingml/2006/main">
                            <a:ext uri="{FF2B5EF4-FFF2-40B4-BE49-F238E27FC236}">
                              <a16:creationId xmlns:a16="http://schemas.microsoft.com/office/drawing/2014/main" id="{454D9288-4305-E21B-AC6B-FE725BD79138}"/>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r w:rsidRPr="596BDFB0">
                    <w:rPr>
                      <w:i/>
                      <w:iCs/>
                      <w:sz w:val="20"/>
                    </w:rPr>
                    <w:t>Source: Service user survey data</w:t>
                  </w:r>
                </w:p>
                <w:p w14:paraId="346BFD97" w14:textId="0398BB7D" w:rsidR="00C54D7F" w:rsidRPr="00C54D7F" w:rsidRDefault="00C54D7F" w:rsidP="00321BC5">
                  <w:pPr>
                    <w:pStyle w:val="Text"/>
                    <w:spacing w:before="360"/>
                    <w:rPr>
                      <w:b/>
                      <w:bCs/>
                      <w:color w:val="36424A" w:themeColor="background2"/>
                    </w:rPr>
                  </w:pPr>
                  <w:r w:rsidRPr="00C54D7F">
                    <w:rPr>
                      <w:b/>
                      <w:bCs/>
                      <w:color w:val="36424A" w:themeColor="background2"/>
                    </w:rPr>
                    <w:t>Advantages and limitations of virtual service delivery</w:t>
                  </w:r>
                </w:p>
                <w:p w14:paraId="080EFE3A" w14:textId="70CD71CA" w:rsidR="00387241" w:rsidRDefault="00387241" w:rsidP="00EE1D2E">
                  <w:pPr>
                    <w:pStyle w:val="Text"/>
                  </w:pPr>
                  <w:r>
                    <w:t xml:space="preserve">The evaluation has found that </w:t>
                  </w:r>
                  <w:r w:rsidR="006C018F">
                    <w:t>the primary advantage of</w:t>
                  </w:r>
                  <w:r w:rsidR="00EF53C5">
                    <w:t xml:space="preserve"> virtual service delivery of </w:t>
                  </w:r>
                  <w:r>
                    <w:t>FaRS and SFVS service</w:t>
                  </w:r>
                  <w:r w:rsidR="00EF53C5">
                    <w:t>s</w:t>
                  </w:r>
                  <w:r w:rsidR="006C018F">
                    <w:t xml:space="preserve"> is </w:t>
                  </w:r>
                  <w:r w:rsidR="00DE1C30">
                    <w:t xml:space="preserve">the expansion of </w:t>
                  </w:r>
                  <w:r w:rsidR="006C018F">
                    <w:t>access</w:t>
                  </w:r>
                  <w:r w:rsidR="00DE1C30">
                    <w:t xml:space="preserve"> to the programs</w:t>
                  </w:r>
                  <w:r w:rsidR="00EF53C5">
                    <w:t xml:space="preserve">. </w:t>
                  </w:r>
                  <w:r w:rsidR="00A037F2">
                    <w:t xml:space="preserve">Both the literature </w:t>
                  </w:r>
                  <w:r w:rsidR="00041F1B">
                    <w:t xml:space="preserve">and </w:t>
                  </w:r>
                  <w:r w:rsidR="00A037F2">
                    <w:t>service</w:t>
                  </w:r>
                  <w:r>
                    <w:t xml:space="preserve"> providers </w:t>
                  </w:r>
                  <w:r w:rsidR="006C018F">
                    <w:t>highlighted the potential for virtual service delivery to enhance access, particular</w:t>
                  </w:r>
                  <w:r w:rsidR="00E41D80">
                    <w:t>ly</w:t>
                  </w:r>
                  <w:r w:rsidR="006C018F">
                    <w:t xml:space="preserve"> for people with</w:t>
                  </w:r>
                  <w:r w:rsidR="008F4F7D">
                    <w:t xml:space="preserve"> </w:t>
                  </w:r>
                  <w:r w:rsidR="008F4F7D" w:rsidRPr="004D2014">
                    <w:t>complex needs</w:t>
                  </w:r>
                  <w:r w:rsidR="008F4F7D">
                    <w:t xml:space="preserve"> </w:t>
                  </w:r>
                  <w:r w:rsidR="008F4F7D" w:rsidRPr="004D2014">
                    <w:t>who may struggle to travel long distances or attend in-person sessions</w:t>
                  </w:r>
                  <w:r w:rsidR="00E41D80">
                    <w:t>.</w:t>
                  </w:r>
                  <w:r w:rsidR="008F4F7D">
                    <w:t xml:space="preserve"> </w:t>
                  </w:r>
                  <w:r w:rsidR="00E41D80">
                    <w:t>This includes</w:t>
                  </w:r>
                  <w:r w:rsidR="008F4F7D">
                    <w:t xml:space="preserve"> residents of</w:t>
                  </w:r>
                  <w:r w:rsidRPr="00E45A59">
                    <w:t xml:space="preserve"> regional and remote areas</w:t>
                  </w:r>
                  <w:r w:rsidR="008F4F7D">
                    <w:t xml:space="preserve"> and some</w:t>
                  </w:r>
                  <w:r w:rsidRPr="00E45A59">
                    <w:t xml:space="preserve"> people with disability</w:t>
                  </w:r>
                  <w:r w:rsidR="009F53EC">
                    <w:t xml:space="preserve"> </w:t>
                  </w:r>
                  <w:r w:rsidR="009F53EC" w:rsidRPr="00DC0E67">
                    <w:fldChar w:fldCharType="begin"/>
                  </w:r>
                  <w:r w:rsidR="00E41D03">
                    <w:instrText xml:space="preserve"> ADDIN ZOTERO_ITEM CSL_CITATION {"citationID":"a25ithgagjr","properties":{"formattedCitation":"(Ghidei et al., 2023; Joshi et al., 2021; Su et al., 2022)","plainCitation":"(Ghidei et al., 2023; Joshi et al., 2021; Su et al., 2022)","noteIndex":0},"citationItems":[{"id":4555,"uris":["http://zotero.org/groups/5691188/items/9KTF746M"],"itemData":{"id":4555,"type":"article-journal","abstract":"The COVID-19 pandemic has forced a rapid shift to virtual delivery of treatment and care to individuals affected by domestic violence and sexual violence. A rapid evidence assessment (REA) was undertaken to examine the effectiveness, feasibility and acceptability of trauma-focused virtual interventions for persons affected by domestic violence and sexual violence. The ﬁndings from this review will provide guidance for service providers and organizational leaders with the implementation of virtual domestic violence and sexual violence-focused interventions. The REA included comprehensive search strategies and systematic screening of and relevant articles. Papers were included into this review (1) if they included trauma-focused interventions; (2) if the intervention was delivered virtually; and (3) if the article was published in the English-language. Twenty-one papers met inclusion criteria and were included for analysis. Findings from the rapid review demonstrate that virtual interventions that incorporate trauma-focused treatment are scarce. Online interventions that incorporate traumafocused treatment for this at-risk group are limited in scope, and effectiveness data are preliminary in nature. Additionally, there is limited evidence of acceptability, feasibility and effectiveness of virtual interventions for ethnically, culturally, and linguistically diverse populations experiencing domestic violence and sexual violence. Accessing virtual interventions was also highlighted as a barrier to among participants in studies included in the review. Despite the potential of virtual interventions to respond to the needs of individuals affected by domestic violence and/or sexual violence, the acceptability and effectiveness of virtual trauma-focused care for a diverse range of populations at risk of violence are signiﬁcantly understudied.","container-title":"Trauma, Violence, &amp; Abuse","DOI":"10.1177/15248380211069059","ISSN":"1524-8380, 1552-8324","issue":"3","journalAbbreviation":"Trauma, Violence, &amp; Abuse","language":"en","page":"1427-1442","source":"DOI.org (Crossref)","title":"Examining the Effectiveness, Acceptability, and Feasibility of Virtually Delivered Trauma-Focused Domestic Violence and Sexual Violence Interventions: A Rapid Evidence Assessment","title-short":"Examining the Effectiveness, Acceptability, and Feasibility of Virtually Delivered Trauma-Focused Domestic Violence and Sexual Violence Interventions","volume":"24","author":[{"family":"Ghidei","given":"Winta"},{"family":"Montesanti","given":"Stephanie"},{"family":"Tomkow","given":"Karlee"},{"family":"Silverstone","given":"Peter H."},{"family":"Wells","given":"Lana"},{"family":"Campbell","given":"Sandra"}],"issued":{"date-parts":[["2023",7]]}}},{"id":4582,"uris":["http://zotero.org/groups/5691188/items/F9IQWGPQ"],"itemData":{"id":4582,"type":"article-journal","container-title":"Journal of the Psychotherapy and Counselling Federation of Australia","page":"40-48","title":"The use of telepractice in the family and relationship services sector","volume":"1","author":[{"family":"Joshi","given":"A"},{"family":"Paterson","given":"N"},{"family":"Hinkely","given":"T"},{"family":"Joss","given":"N"}],"issued":{"date-parts":[["2021"]]}}},{"id":4557,"uris":["http://zotero.org/groups/5691188/items/66U558Q4"],"itemData":{"id":4557,"type":"article-journal","abstract":"Introduction: Domestic violence is a threat to human dignity and public health. Mounting evidence shows that domestic violence erodes personal and public health, spawning issues such as lifelong mental health challenges. To further compound the situation, COVID-19 and societies’ poor response to the pandemic have not only worsened the domestic violence crisis but also disrupted mental health services for domestic violence victims. While technology-based health solutions can overcome physical constraints posed by the pandemic and offer timely support to address domestic violence victims’ mental health issues, there is a dearth of research in the literature. To bridge the research gap, in this study, we aim to examine technology-based mental health solutions for domestic violence victims amid COVID-19. Methods: A literature review was conducted to examine solutions that domestic violence victims can utilize to safeguard and improve their mental health amid COVID19. Databases including PubMed, PsycINFO, and Scopus were utilized for the literature search. The search was focused on four themes: domestic violence, mental health, technology-based interventions, and COVID-19. A reverse search of pertinent references was conducted in Google Scholar. The social ecological model was utilized to systematically structure the review ﬁndings. Results: The ﬁndings show that a wide array of technology-based solutions has been proposed to address mental health challenges faced by domestic violence victims amid COVID-19. However, none of these proposals is based on empirical evidence amid COVID-19. In terms of social and ecological levels of inﬂuence, most of the interventions were developed on the individual level, as opposed to the community level or social level, effectively placing the healthcare responsibility on the victims rather than government and health ofﬁcials. Furthermore, most of the articles failed to address risks associated with utilizing technology-based interventions (e.g., privacy issues) or navigating the online environment (e.g., cyberstalking). Conclusion: Overall, our ﬁndings highlight the need for greater research endeavors on the research topic. Although technology-based interventions have great potential in resolving domestic violence victims’ mental health issues, risks associated with these health solutions should be comprehensively acknowledged and addressed.","container-title":"International Journal of Environmental Research and Public Health","DOI":"10.3390/ijerph19074286","ISSN":"1660-4601","issue":"7","journalAbbreviation":"IJERPH","language":"en","license":"https://creativecommons.org/licenses/by/4.0/","page":"4286","source":"DOI.org (Crossref)","title":"Technology-Based Mental Health Interventions for Domestic Violence Victims Amid COVID-19","volume":"19","author":[{"family":"Su","given":"Zhaohui"},{"family":"Cheshmehzangi","given":"Ali"},{"family":"McDonnell","given":"Dean"},{"family":"Chen","given":"Hengcai"},{"family":"Ahmad","given":"Junaid"},{"family":"Šegalo","given":"Sabina"},{"family":"Da Veiga","given":"Claudimar"}],"issued":{"date-parts":[["2022",4,3]]}}}],"schema":"https://github.com/citation-style-language/schema/raw/master/csl-citation.json"} </w:instrText>
                  </w:r>
                  <w:r w:rsidR="009F53EC" w:rsidRPr="00DC0E67">
                    <w:fldChar w:fldCharType="separate"/>
                  </w:r>
                  <w:r w:rsidR="009F53EC" w:rsidRPr="00AC138C">
                    <w:rPr>
                      <w:rFonts w:ascii="Arial" w:hAnsi="Arial" w:cs="Arial"/>
                    </w:rPr>
                    <w:t>(Ghidei et al., 2023; Joshi et al., 2021; Su et al., 2022)</w:t>
                  </w:r>
                  <w:r w:rsidR="009F53EC" w:rsidRPr="00DC0E67">
                    <w:fldChar w:fldCharType="end"/>
                  </w:r>
                  <w:r w:rsidR="008F4F7D">
                    <w:t>,</w:t>
                  </w:r>
                  <w:r w:rsidRPr="00E45A59">
                    <w:t xml:space="preserve"> a</w:t>
                  </w:r>
                  <w:r w:rsidR="008F4F7D">
                    <w:t>s well as</w:t>
                  </w:r>
                  <w:r w:rsidRPr="00E45A59">
                    <w:t xml:space="preserve"> single parents without access to childcare supports</w:t>
                  </w:r>
                  <w:r>
                    <w:t>.</w:t>
                  </w:r>
                </w:p>
                <w:p w14:paraId="7E41F4B1" w14:textId="7FD490B4" w:rsidR="0015451B" w:rsidRPr="005C1C78" w:rsidRDefault="0015451B" w:rsidP="0015451B">
                  <w:pPr>
                    <w:pBdr>
                      <w:left w:val="single" w:sz="18" w:space="4" w:color="78B800" w:themeColor="accent1"/>
                    </w:pBdr>
                    <w:tabs>
                      <w:tab w:val="left" w:pos="8080"/>
                    </w:tabs>
                    <w:spacing w:after="0"/>
                    <w:ind w:left="851" w:right="949"/>
                    <w:rPr>
                      <w:i/>
                      <w:iCs/>
                    </w:rPr>
                  </w:pPr>
                  <w:r w:rsidRPr="002E7992">
                    <w:rPr>
                      <w:noProof/>
                    </w:rPr>
                    <w:drawing>
                      <wp:anchor distT="0" distB="0" distL="114300" distR="114300" simplePos="0" relativeHeight="251658332" behindDoc="0" locked="1" layoutInCell="1" allowOverlap="1" wp14:anchorId="4355239C" wp14:editId="77C2F3EB">
                        <wp:simplePos x="0" y="0"/>
                        <wp:positionH relativeFrom="column">
                          <wp:posOffset>0</wp:posOffset>
                        </wp:positionH>
                        <wp:positionV relativeFrom="paragraph">
                          <wp:posOffset>0</wp:posOffset>
                        </wp:positionV>
                        <wp:extent cx="384810" cy="320040"/>
                        <wp:effectExtent l="0" t="0" r="0" b="3810"/>
                        <wp:wrapNone/>
                        <wp:docPr id="39083762" name="Graphic 39083762" descr="P2742#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83762" name="Graphic 39083762" descr="P2742#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i/>
                      <w:iCs/>
                    </w:rPr>
                    <w:t>For us […] virtual delivery has really added value to overcome some of the other complexities that our clients face […] So we had for example a scenario a couple of years ago where we ran a group online. There was one man who had lost his licence, so he couldn’t physically come to the site and there was another man who had an [apprehended violence order] AVO against him [which meant] he couldn't come within a 5</w:t>
                  </w:r>
                  <w:r w:rsidR="00CD296B">
                    <w:rPr>
                      <w:i/>
                      <w:iCs/>
                    </w:rPr>
                    <w:t>-</w:t>
                  </w:r>
                  <w:r>
                    <w:rPr>
                      <w:i/>
                      <w:iCs/>
                    </w:rPr>
                    <w:t>kilometre radius of the centre of town</w:t>
                  </w:r>
                  <w:r w:rsidR="00CD296B">
                    <w:rPr>
                      <w:i/>
                      <w:iCs/>
                    </w:rPr>
                    <w:t>,</w:t>
                  </w:r>
                  <w:r>
                    <w:rPr>
                      <w:i/>
                      <w:iCs/>
                    </w:rPr>
                    <w:t xml:space="preserve"> but our office is in the centre of town, right? It's </w:t>
                  </w:r>
                  <w:r w:rsidR="00175D50">
                    <w:rPr>
                      <w:i/>
                      <w:iCs/>
                    </w:rPr>
                    <w:t>those sorts</w:t>
                  </w:r>
                  <w:r>
                    <w:rPr>
                      <w:i/>
                      <w:iCs/>
                    </w:rPr>
                    <w:t xml:space="preserve"> of added complexities that we were able to address through tele</w:t>
                  </w:r>
                  <w:r w:rsidR="00D63465">
                    <w:rPr>
                      <w:i/>
                      <w:iCs/>
                    </w:rPr>
                    <w:t>-</w:t>
                  </w:r>
                  <w:r>
                    <w:rPr>
                      <w:i/>
                      <w:iCs/>
                    </w:rPr>
                    <w:t xml:space="preserve">practice – </w:t>
                  </w:r>
                  <w:r>
                    <w:rPr>
                      <w:b/>
                      <w:bCs/>
                      <w:i/>
                      <w:iCs/>
                    </w:rPr>
                    <w:t>FaRS s</w:t>
                  </w:r>
                  <w:r w:rsidRPr="002E7992">
                    <w:rPr>
                      <w:b/>
                      <w:bCs/>
                      <w:i/>
                      <w:iCs/>
                    </w:rPr>
                    <w:t>ervice provider</w:t>
                  </w:r>
                  <w:r w:rsidR="00540316">
                    <w:rPr>
                      <w:b/>
                      <w:bCs/>
                      <w:i/>
                      <w:iCs/>
                    </w:rPr>
                    <w:t xml:space="preserve"> </w:t>
                  </w:r>
                </w:p>
                <w:p w14:paraId="498D4B18" w14:textId="77777777" w:rsidR="00BB61C1" w:rsidRDefault="00BB61C1" w:rsidP="00EE1D2E">
                  <w:pPr>
                    <w:pStyle w:val="Text"/>
                  </w:pPr>
                </w:p>
                <w:p w14:paraId="02A479DB" w14:textId="4267B363" w:rsidR="00301EAB" w:rsidRDefault="00301EAB" w:rsidP="00EE1D2E">
                  <w:pPr>
                    <w:pStyle w:val="Text"/>
                  </w:pPr>
                  <w:r>
                    <w:t>Virtual service delivery may also offer people greater</w:t>
                  </w:r>
                  <w:r w:rsidR="00EE1D2E" w:rsidRPr="004D2014">
                    <w:t xml:space="preserve"> flexibility</w:t>
                  </w:r>
                  <w:r w:rsidR="00295FD1">
                    <w:t xml:space="preserve">. </w:t>
                  </w:r>
                  <w:r w:rsidR="00295FD1" w:rsidRPr="00571298">
                    <w:t>Tele</w:t>
                  </w:r>
                  <w:r w:rsidR="00D63465">
                    <w:t>-</w:t>
                  </w:r>
                  <w:r w:rsidR="00295FD1" w:rsidRPr="00571298">
                    <w:t xml:space="preserve">practice can be tailored to </w:t>
                  </w:r>
                  <w:r w:rsidR="001D1403">
                    <w:t>service user</w:t>
                  </w:r>
                  <w:r w:rsidR="00295FD1" w:rsidRPr="00571298">
                    <w:t xml:space="preserve"> preferences, offering multiple modalities (e.g. video, phone, text) and scheduling options, such as shorter, more frequent appointments, to accommodate </w:t>
                  </w:r>
                  <w:r w:rsidR="001D1403">
                    <w:t>service user</w:t>
                  </w:r>
                  <w:r w:rsidR="00295FD1" w:rsidRPr="00571298">
                    <w:t xml:space="preserve"> needs </w:t>
                  </w:r>
                  <w:r w:rsidR="00295FD1" w:rsidRPr="00571298">
                    <w:fldChar w:fldCharType="begin"/>
                  </w:r>
                  <w:r w:rsidR="00E41D03">
                    <w:rPr>
                      <w:lang w:val="en-US"/>
                    </w:rPr>
                    <w:instrText xml:space="preserve"> ADDIN ZOTERO_ITEM CSL_CITATION {"citationID":"YMlFUdqk","properties":{"formattedCitation":"(Joshi et al., 2021)","plainCitation":"(Joshi et al., 2021)","noteIndex":0},"citationItems":[{"id":4582,"uris":["http://zotero.org/groups/5691188/items/F9IQWGPQ"],"itemData":{"id":4582,"type":"article-journal","container-title":"Journal of the Psychotherapy and Counselling Federation of Australia","page":"40-48","title":"The use of telepractice in the family and relationship services sector","volume":"1","author":[{"family":"Joshi","given":"A"},{"family":"Paterson","given":"N"},{"family":"Hinkely","given":"T"},{"family":"Joss","given":"N"}],"issued":{"date-parts":[["2021"]]}}}],"schema":"https://github.com/citation-style-language/schema/raw/master/csl-citation.json"} </w:instrText>
                  </w:r>
                  <w:r w:rsidR="00295FD1" w:rsidRPr="00571298">
                    <w:fldChar w:fldCharType="separate"/>
                  </w:r>
                  <w:r w:rsidR="00295FD1" w:rsidRPr="00571298">
                    <w:t>(Joshi et al., 2021)</w:t>
                  </w:r>
                  <w:r w:rsidR="00295FD1" w:rsidRPr="00571298">
                    <w:fldChar w:fldCharType="end"/>
                  </w:r>
                  <w:r w:rsidR="00C852A2">
                    <w:t xml:space="preserve">. </w:t>
                  </w:r>
                  <w:r w:rsidR="00295FD1" w:rsidRPr="00571298">
                    <w:t>For many, the ability to control the pace and format of their therapy was empowering and made them more likely to continue with accessing services</w:t>
                  </w:r>
                  <w:r w:rsidR="00295FD1">
                    <w:t xml:space="preserve"> </w:t>
                  </w:r>
                  <w:r w:rsidR="00295FD1" w:rsidRPr="0009121A">
                    <w:lastRenderedPageBreak/>
                    <w:fldChar w:fldCharType="begin"/>
                  </w:r>
                  <w:r w:rsidR="00E41D03">
                    <w:instrText xml:space="preserve"> ADDIN ZOTERO_ITEM CSL_CITATION {"citationID":"5XfTxTyZ","properties":{"formattedCitation":"(Ghidei et al., 2023)","plainCitation":"(Ghidei et al., 2023)","noteIndex":0},"citationItems":[{"id":4555,"uris":["http://zotero.org/groups/5691188/items/9KTF746M"],"itemData":{"id":4555,"type":"article-journal","abstract":"The COVID-19 pandemic has forced a rapid shift to virtual delivery of treatment and care to individuals affected by domestic violence and sexual violence. A rapid evidence assessment (REA) was undertaken to examine the effectiveness, feasibility and acceptability of trauma-focused virtual interventions for persons affected by domestic violence and sexual violence. The ﬁndings from this review will provide guidance for service providers and organizational leaders with the implementation of virtual domestic violence and sexual violence-focused interventions. The REA included comprehensive search strategies and systematic screening of and relevant articles. Papers were included into this review (1) if they included trauma-focused interventions; (2) if the intervention was delivered virtually; and (3) if the article was published in the English-language. Twenty-one papers met inclusion criteria and were included for analysis. Findings from the rapid review demonstrate that virtual interventions that incorporate trauma-focused treatment are scarce. Online interventions that incorporate traumafocused treatment for this at-risk group are limited in scope, and effectiveness data are preliminary in nature. Additionally, there is limited evidence of acceptability, feasibility and effectiveness of virtual interventions for ethnically, culturally, and linguistically diverse populations experiencing domestic violence and sexual violence. Accessing virtual interventions was also highlighted as a barrier to among participants in studies included in the review. Despite the potential of virtual interventions to respond to the needs of individuals affected by domestic violence and/or sexual violence, the acceptability and effectiveness of virtual trauma-focused care for a diverse range of populations at risk of violence are signiﬁcantly understudied.","container-title":"Trauma, Violence, &amp; Abuse","DOI":"10.1177/15248380211069059","ISSN":"1524-8380, 1552-8324","issue":"3","journalAbbreviation":"Trauma, Violence, &amp; Abuse","language":"en","page":"1427-1442","source":"DOI.org (Crossref)","title":"Examining the Effectiveness, Acceptability, and Feasibility of Virtually Delivered Trauma-Focused Domestic Violence and Sexual Violence Interventions: A Rapid Evidence Assessment","title-short":"Examining the Effectiveness, Acceptability, and Feasibility of Virtually Delivered Trauma-Focused Domestic Violence and Sexual Violence Interventions","volume":"24","author":[{"family":"Ghidei","given":"Winta"},{"family":"Montesanti","given":"Stephanie"},{"family":"Tomkow","given":"Karlee"},{"family":"Silverstone","given":"Peter H."},{"family":"Wells","given":"Lana"},{"family":"Campbell","given":"Sandra"}],"issued":{"date-parts":[["2023",7]]}}}],"schema":"https://github.com/citation-style-language/schema/raw/master/csl-citation.json"} </w:instrText>
                  </w:r>
                  <w:r w:rsidR="00295FD1" w:rsidRPr="0009121A">
                    <w:fldChar w:fldCharType="separate"/>
                  </w:r>
                  <w:r w:rsidR="00295FD1" w:rsidRPr="0009121A">
                    <w:t>(Ghidei et al., 2023)</w:t>
                  </w:r>
                  <w:r w:rsidR="00295FD1" w:rsidRPr="0009121A">
                    <w:fldChar w:fldCharType="end"/>
                  </w:r>
                  <w:r w:rsidR="00295FD1" w:rsidRPr="0009121A">
                    <w:t>.</w:t>
                  </w:r>
                  <w:r w:rsidR="00295FD1" w:rsidRPr="004D2014">
                    <w:t xml:space="preserve"> </w:t>
                  </w:r>
                  <w:r w:rsidR="00C852A2">
                    <w:t>Virtual service delivery can also be more private</w:t>
                  </w:r>
                  <w:r w:rsidR="00EE1D2E" w:rsidRPr="004D2014">
                    <w:t xml:space="preserve">, allowing </w:t>
                  </w:r>
                  <w:r w:rsidR="00C852A2">
                    <w:t xml:space="preserve">people </w:t>
                  </w:r>
                  <w:r w:rsidR="00EE1D2E" w:rsidRPr="004D2014">
                    <w:t xml:space="preserve">to engage in sessions without fear of stigma or exposure to </w:t>
                  </w:r>
                  <w:r w:rsidR="00DC73A1" w:rsidRPr="004D2014">
                    <w:t>p</w:t>
                  </w:r>
                  <w:r w:rsidR="00DC73A1">
                    <w:t xml:space="preserve">eople who use violence </w:t>
                  </w:r>
                  <w:r w:rsidR="00EE1D2E" w:rsidRPr="004D2014">
                    <w:fldChar w:fldCharType="begin"/>
                  </w:r>
                  <w:r w:rsidR="00E41D03">
                    <w:instrText xml:space="preserve"> ADDIN ZOTERO_ITEM CSL_CITATION {"citationID":"B9UVHir6","properties":{"formattedCitation":"(Joshi et al., 2021)","plainCitation":"(Joshi et al., 2021)","noteIndex":0},"citationItems":[{"id":4582,"uris":["http://zotero.org/groups/5691188/items/F9IQWGPQ"],"itemData":{"id":4582,"type":"article-journal","container-title":"Journal of the Psychotherapy and Counselling Federation of Australia","page":"40-48","title":"The use of telepractice in the family and relationship services sector","volume":"1","author":[{"family":"Joshi","given":"A"},{"family":"Paterson","given":"N"},{"family":"Hinkely","given":"T"},{"family":"Joss","given":"N"}],"issued":{"date-parts":[["2021"]]}}}],"schema":"https://github.com/citation-style-language/schema/raw/master/csl-citation.json"} </w:instrText>
                  </w:r>
                  <w:r w:rsidR="00EE1D2E" w:rsidRPr="004D2014">
                    <w:fldChar w:fldCharType="separate"/>
                  </w:r>
                  <w:r w:rsidR="00EE1D2E" w:rsidRPr="004D2014">
                    <w:t>(Joshi et al., 2021)</w:t>
                  </w:r>
                  <w:r w:rsidR="00EE1D2E" w:rsidRPr="004D2014">
                    <w:fldChar w:fldCharType="end"/>
                  </w:r>
                  <w:r w:rsidR="00EE1D2E" w:rsidRPr="004D2014">
                    <w:t>.</w:t>
                  </w:r>
                  <w:r w:rsidR="00EE1D2E">
                    <w:t xml:space="preserve"> </w:t>
                  </w:r>
                  <w:r w:rsidR="009D5AB8">
                    <w:t xml:space="preserve">This can be </w:t>
                  </w:r>
                  <w:r w:rsidR="00046A67">
                    <w:t xml:space="preserve">particularly </w:t>
                  </w:r>
                  <w:r w:rsidR="009D5AB8">
                    <w:t xml:space="preserve">important for people </w:t>
                  </w:r>
                  <w:r w:rsidR="009D5AB8" w:rsidRPr="004D2014">
                    <w:t>experiencing family violence</w:t>
                  </w:r>
                  <w:r w:rsidR="009D5AB8">
                    <w:t>, or those living in small communities.</w:t>
                  </w:r>
                </w:p>
                <w:p w14:paraId="3ABB2C5B" w14:textId="36212C85" w:rsidR="00EE1D2E" w:rsidRDefault="009D5AB8" w:rsidP="00EE1D2E">
                  <w:pPr>
                    <w:pStyle w:val="Text"/>
                  </w:pPr>
                  <w:r>
                    <w:t>Several</w:t>
                  </w:r>
                  <w:r w:rsidR="00EE1D2E">
                    <w:t xml:space="preserve"> FaRS</w:t>
                  </w:r>
                  <w:r>
                    <w:t xml:space="preserve"> and </w:t>
                  </w:r>
                  <w:r w:rsidR="00EE1D2E">
                    <w:t xml:space="preserve">SFVS </w:t>
                  </w:r>
                  <w:r w:rsidR="000E647D">
                    <w:t xml:space="preserve">service </w:t>
                  </w:r>
                  <w:r w:rsidR="00EE1D2E">
                    <w:t>provider</w:t>
                  </w:r>
                  <w:r w:rsidR="000E647D">
                    <w:t>s described the potential advantages of virtual service provision for</w:t>
                  </w:r>
                  <w:r w:rsidR="00687012">
                    <w:t xml:space="preserve"> </w:t>
                  </w:r>
                  <w:r w:rsidR="00976C0A">
                    <w:t>service delivery capacity and</w:t>
                  </w:r>
                  <w:r w:rsidR="000E647D">
                    <w:t xml:space="preserve"> the workforce</w:t>
                  </w:r>
                  <w:r w:rsidR="00976C0A">
                    <w:t xml:space="preserve">. These providers observed that by allowing for greater flexibility in when and how services are delivered and accessed, </w:t>
                  </w:r>
                  <w:r w:rsidR="006F5DE0">
                    <w:t>additional programs (such as parenting programs) can be scheduled, reducing</w:t>
                  </w:r>
                  <w:r w:rsidR="00976C0A">
                    <w:t xml:space="preserve"> wait</w:t>
                  </w:r>
                  <w:r w:rsidR="006F5DE0">
                    <w:t>list</w:t>
                  </w:r>
                  <w:r w:rsidR="00976C0A">
                    <w:t xml:space="preserve"> times</w:t>
                  </w:r>
                  <w:r w:rsidR="0043244B">
                    <w:t xml:space="preserve">. </w:t>
                  </w:r>
                  <w:r w:rsidR="006F5DE0">
                    <w:t>T</w:t>
                  </w:r>
                  <w:r w:rsidR="00EE1D2E">
                    <w:t>ele</w:t>
                  </w:r>
                  <w:r w:rsidR="00FB5C78">
                    <w:t>-</w:t>
                  </w:r>
                  <w:r w:rsidR="00EE1D2E">
                    <w:t>practice</w:t>
                  </w:r>
                  <w:r w:rsidR="0043244B">
                    <w:t xml:space="preserve"> also</w:t>
                  </w:r>
                  <w:r w:rsidR="00EE1D2E">
                    <w:t xml:space="preserve"> provide</w:t>
                  </w:r>
                  <w:r w:rsidR="00CC5E10">
                    <w:t>s</w:t>
                  </w:r>
                  <w:r w:rsidR="00EE1D2E">
                    <w:t xml:space="preserve"> attractive work from home arrangements for staff, improving the ability of service providers to recruit and retain staff and address workforce vacancies. </w:t>
                  </w:r>
                </w:p>
                <w:p w14:paraId="003AFD2A" w14:textId="0E9DE019" w:rsidR="005674C7" w:rsidRDefault="00EE1D2E" w:rsidP="00540316">
                  <w:pPr>
                    <w:pBdr>
                      <w:left w:val="single" w:sz="18" w:space="4" w:color="78B800" w:themeColor="accent1"/>
                    </w:pBdr>
                    <w:tabs>
                      <w:tab w:val="left" w:pos="8080"/>
                    </w:tabs>
                    <w:spacing w:after="0"/>
                    <w:ind w:left="851" w:right="949"/>
                  </w:pPr>
                  <w:r w:rsidRPr="007A242F">
                    <w:rPr>
                      <w:i/>
                      <w:iCs/>
                      <w:noProof/>
                    </w:rPr>
                    <w:drawing>
                      <wp:anchor distT="0" distB="0" distL="114300" distR="114300" simplePos="0" relativeHeight="251658333" behindDoc="0" locked="1" layoutInCell="1" allowOverlap="1" wp14:anchorId="515E9454" wp14:editId="630144E9">
                        <wp:simplePos x="0" y="0"/>
                        <wp:positionH relativeFrom="column">
                          <wp:posOffset>0</wp:posOffset>
                        </wp:positionH>
                        <wp:positionV relativeFrom="paragraph">
                          <wp:posOffset>0</wp:posOffset>
                        </wp:positionV>
                        <wp:extent cx="384810" cy="320040"/>
                        <wp:effectExtent l="0" t="0" r="0" b="3810"/>
                        <wp:wrapNone/>
                        <wp:docPr id="2103212017" name="Graphic 2103212017" descr="P2746#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3212017" name="Graphic 2103212017" descr="P2746#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674C7">
                    <w:rPr>
                      <w:i/>
                      <w:iCs/>
                    </w:rPr>
                    <w:t>[…]</w:t>
                  </w:r>
                  <w:r w:rsidR="005674C7" w:rsidRPr="00293AFA">
                    <w:rPr>
                      <w:i/>
                      <w:iCs/>
                    </w:rPr>
                    <w:t xml:space="preserve"> with the onset of COVID</w:t>
                  </w:r>
                  <w:r w:rsidR="005674C7">
                    <w:rPr>
                      <w:i/>
                      <w:iCs/>
                    </w:rPr>
                    <w:t xml:space="preserve"> […] W</w:t>
                  </w:r>
                  <w:r w:rsidR="005674C7" w:rsidRPr="00293AFA">
                    <w:rPr>
                      <w:i/>
                      <w:iCs/>
                    </w:rPr>
                    <w:t xml:space="preserve">e pretty immediately were able to transition into </w:t>
                  </w:r>
                  <w:r w:rsidR="005674C7">
                    <w:rPr>
                      <w:i/>
                      <w:iCs/>
                    </w:rPr>
                    <w:t>[online service delivery]</w:t>
                  </w:r>
                  <w:r w:rsidR="005674C7" w:rsidRPr="00293AFA">
                    <w:rPr>
                      <w:i/>
                      <w:iCs/>
                    </w:rPr>
                    <w:t xml:space="preserve"> </w:t>
                  </w:r>
                  <w:r w:rsidR="005674C7">
                    <w:rPr>
                      <w:i/>
                      <w:iCs/>
                    </w:rPr>
                    <w:t xml:space="preserve">[…] </w:t>
                  </w:r>
                  <w:r w:rsidR="005674C7" w:rsidRPr="00293AFA">
                    <w:rPr>
                      <w:i/>
                      <w:iCs/>
                    </w:rPr>
                    <w:t>and that's actually become quite the norm for us, so</w:t>
                  </w:r>
                  <w:r w:rsidR="005674C7">
                    <w:rPr>
                      <w:i/>
                      <w:iCs/>
                    </w:rPr>
                    <w:t xml:space="preserve"> z</w:t>
                  </w:r>
                  <w:r w:rsidR="005674C7" w:rsidRPr="00293AFA">
                    <w:rPr>
                      <w:i/>
                      <w:iCs/>
                    </w:rPr>
                    <w:t>oom delivery for counselling</w:t>
                  </w:r>
                  <w:r w:rsidR="005674C7">
                    <w:rPr>
                      <w:i/>
                      <w:iCs/>
                    </w:rPr>
                    <w:t xml:space="preserve"> a</w:t>
                  </w:r>
                  <w:r w:rsidR="005674C7" w:rsidRPr="00293AFA">
                    <w:rPr>
                      <w:i/>
                      <w:iCs/>
                    </w:rPr>
                    <w:t>nd group work. So</w:t>
                  </w:r>
                  <w:r w:rsidR="00175D50" w:rsidRPr="00293AFA">
                    <w:rPr>
                      <w:i/>
                      <w:iCs/>
                    </w:rPr>
                    <w:t>,</w:t>
                  </w:r>
                  <w:r w:rsidR="005674C7" w:rsidRPr="00293AFA">
                    <w:rPr>
                      <w:i/>
                      <w:iCs/>
                    </w:rPr>
                    <w:t xml:space="preserve"> a lot of our groups that were always face</w:t>
                  </w:r>
                  <w:r w:rsidR="006F6CB2">
                    <w:rPr>
                      <w:i/>
                      <w:iCs/>
                    </w:rPr>
                    <w:t>-</w:t>
                  </w:r>
                  <w:r w:rsidR="005674C7" w:rsidRPr="00293AFA">
                    <w:rPr>
                      <w:i/>
                      <w:iCs/>
                    </w:rPr>
                    <w:t>to</w:t>
                  </w:r>
                  <w:r w:rsidR="006F6CB2">
                    <w:rPr>
                      <w:i/>
                      <w:iCs/>
                    </w:rPr>
                    <w:t>-</w:t>
                  </w:r>
                  <w:r w:rsidR="005674C7" w:rsidRPr="00293AFA">
                    <w:rPr>
                      <w:i/>
                      <w:iCs/>
                    </w:rPr>
                    <w:t>face, we can only get people to do online</w:t>
                  </w:r>
                  <w:r w:rsidR="005674C7">
                    <w:rPr>
                      <w:i/>
                      <w:iCs/>
                    </w:rPr>
                    <w:t xml:space="preserve"> n</w:t>
                  </w:r>
                  <w:r w:rsidR="005674C7" w:rsidRPr="00293AFA">
                    <w:rPr>
                      <w:i/>
                      <w:iCs/>
                    </w:rPr>
                    <w:t xml:space="preserve">ow and </w:t>
                  </w:r>
                  <w:r w:rsidR="003B7370">
                    <w:rPr>
                      <w:i/>
                      <w:iCs/>
                    </w:rPr>
                    <w:t>…</w:t>
                  </w:r>
                  <w:r w:rsidR="005674C7" w:rsidRPr="00293AFA">
                    <w:rPr>
                      <w:i/>
                      <w:iCs/>
                    </w:rPr>
                    <w:t>it's worked quite well. There are some</w:t>
                  </w:r>
                  <w:r w:rsidR="0059791A">
                    <w:rPr>
                      <w:i/>
                      <w:iCs/>
                    </w:rPr>
                    <w:t xml:space="preserve"> [</w:t>
                  </w:r>
                  <w:r>
                    <w:rPr>
                      <w:i/>
                      <w:iCs/>
                    </w:rPr>
                    <w:t>…</w:t>
                  </w:r>
                  <w:r w:rsidR="0059791A">
                    <w:rPr>
                      <w:i/>
                      <w:iCs/>
                    </w:rPr>
                    <w:t>]</w:t>
                  </w:r>
                  <w:r w:rsidR="005674C7" w:rsidRPr="00293AFA">
                    <w:rPr>
                      <w:i/>
                      <w:iCs/>
                    </w:rPr>
                    <w:t xml:space="preserve"> differences and challenges</w:t>
                  </w:r>
                  <w:r w:rsidR="005674C7">
                    <w:rPr>
                      <w:i/>
                      <w:iCs/>
                    </w:rPr>
                    <w:t xml:space="preserve"> […] </w:t>
                  </w:r>
                  <w:r w:rsidR="005674C7" w:rsidRPr="00293AFA">
                    <w:rPr>
                      <w:i/>
                      <w:iCs/>
                    </w:rPr>
                    <w:t>I'm thinking about our mandated groups.</w:t>
                  </w:r>
                  <w:r w:rsidR="005674C7">
                    <w:rPr>
                      <w:i/>
                      <w:iCs/>
                    </w:rPr>
                    <w:t xml:space="preserve"> </w:t>
                  </w:r>
                  <w:r w:rsidR="005674C7" w:rsidRPr="00293AFA">
                    <w:rPr>
                      <w:i/>
                      <w:iCs/>
                    </w:rPr>
                    <w:t>People who are maybe more forthright in face</w:t>
                  </w:r>
                  <w:r w:rsidR="006F6CB2">
                    <w:rPr>
                      <w:i/>
                      <w:iCs/>
                    </w:rPr>
                    <w:t>-</w:t>
                  </w:r>
                  <w:r w:rsidR="005674C7" w:rsidRPr="00293AFA">
                    <w:rPr>
                      <w:i/>
                      <w:iCs/>
                    </w:rPr>
                    <w:t>to</w:t>
                  </w:r>
                  <w:r w:rsidR="006F6CB2">
                    <w:rPr>
                      <w:i/>
                      <w:iCs/>
                    </w:rPr>
                    <w:t>-</w:t>
                  </w:r>
                  <w:r w:rsidR="005674C7" w:rsidRPr="00293AFA">
                    <w:rPr>
                      <w:i/>
                      <w:iCs/>
                    </w:rPr>
                    <w:t>face are probably I found more inclined just to be very laid back and disengaged online, so there are little changes that happen</w:t>
                  </w:r>
                  <w:r w:rsidR="005674C7">
                    <w:rPr>
                      <w:i/>
                      <w:iCs/>
                    </w:rPr>
                    <w:t xml:space="preserve"> </w:t>
                  </w:r>
                  <w:r w:rsidR="005674C7" w:rsidRPr="002E7992">
                    <w:rPr>
                      <w:b/>
                      <w:bCs/>
                      <w:i/>
                      <w:iCs/>
                    </w:rPr>
                    <w:t>–</w:t>
                  </w:r>
                  <w:r w:rsidR="005674C7">
                    <w:rPr>
                      <w:b/>
                      <w:bCs/>
                      <w:i/>
                      <w:iCs/>
                    </w:rPr>
                    <w:t xml:space="preserve"> FaRS s</w:t>
                  </w:r>
                  <w:r w:rsidR="005674C7" w:rsidRPr="002E7992">
                    <w:rPr>
                      <w:b/>
                      <w:bCs/>
                      <w:i/>
                      <w:iCs/>
                    </w:rPr>
                    <w:t>ervice provider</w:t>
                  </w:r>
                </w:p>
                <w:p w14:paraId="4E31835B" w14:textId="77777777" w:rsidR="00F10A7F" w:rsidRDefault="00F10A7F" w:rsidP="002C3946">
                  <w:pPr>
                    <w:pStyle w:val="Text"/>
                  </w:pPr>
                </w:p>
                <w:p w14:paraId="41107495" w14:textId="54869989" w:rsidR="00432D60" w:rsidRDefault="001A3B1E" w:rsidP="002C3946">
                  <w:pPr>
                    <w:pStyle w:val="Text"/>
                  </w:pPr>
                  <w:r>
                    <w:t>S</w:t>
                  </w:r>
                  <w:r w:rsidR="007C6691">
                    <w:t>ervice providers and service users were particularly positive about the effectiveness of virtual delivery of group education program</w:t>
                  </w:r>
                  <w:r w:rsidR="00A2436A">
                    <w:t>s</w:t>
                  </w:r>
                  <w:r w:rsidR="007C6691">
                    <w:t xml:space="preserve"> such as parenting programs. </w:t>
                  </w:r>
                  <w:r w:rsidR="00432D60">
                    <w:t>Literature, service providers and service users were generally aligned in the view that</w:t>
                  </w:r>
                  <w:r w:rsidR="003313A5">
                    <w:t xml:space="preserve"> virtual delivery </w:t>
                  </w:r>
                  <w:r w:rsidR="002C3946">
                    <w:t>increases convenience and flexibility</w:t>
                  </w:r>
                  <w:r w:rsidR="00432D60" w:rsidRPr="004D2014">
                    <w:t xml:space="preserve">, allowing parents to attend sessions while managing childcare and reducing travel </w:t>
                  </w:r>
                  <w:r w:rsidR="00432D60" w:rsidRPr="00925DD5">
                    <w:t>time</w:t>
                  </w:r>
                  <w:r w:rsidR="000520E4">
                    <w:t xml:space="preserve">, and </w:t>
                  </w:r>
                  <w:r w:rsidR="000520E4" w:rsidRPr="004D2014">
                    <w:t>creat</w:t>
                  </w:r>
                  <w:r w:rsidR="000520E4">
                    <w:t>ing</w:t>
                  </w:r>
                  <w:r w:rsidR="000520E4" w:rsidRPr="004D2014">
                    <w:t xml:space="preserve"> a relaxed atmosphere for participants</w:t>
                  </w:r>
                  <w:r w:rsidR="00432D60" w:rsidRPr="00925DD5">
                    <w:fldChar w:fldCharType="begin"/>
                  </w:r>
                  <w:r w:rsidR="00E41D03">
                    <w:instrText xml:space="preserve"> ADDIN ZOTERO_ITEM CSL_CITATION {"citationID":"CcqVP7PA","properties":{"formattedCitation":"(Joshi et al., 2021)","plainCitation":"(Joshi et al., 2021)","dontUpdate":true,"noteIndex":0},"citationItems":[{"id":4582,"uris":["http://zotero.org/groups/5691188/items/F9IQWGPQ"],"itemData":{"id":4582,"type":"article-journal","container-title":"Journal of the Psychotherapy and Counselling Federation of Australia","page":"40-48","title":"The use of telepractice in the family and relationship services sector","volume":"1","author":[{"family":"Joshi","given":"A"},{"family":"Paterson","given":"N"},{"family":"Hinkely","given":"T"},{"family":"Joss","given":"N"}],"issued":{"date-parts":[["2021"]]}}}],"schema":"https://github.com/citation-style-language/schema/raw/master/csl-citation.json"} </w:instrText>
                  </w:r>
                  <w:r w:rsidR="00432D60" w:rsidRPr="00925DD5">
                    <w:fldChar w:fldCharType="separate"/>
                  </w:r>
                  <w:r w:rsidR="00432D60" w:rsidRPr="00925DD5">
                    <w:fldChar w:fldCharType="end"/>
                  </w:r>
                  <w:r w:rsidR="00432D60">
                    <w:t xml:space="preserve"> </w:t>
                  </w:r>
                  <w:r w:rsidR="00432D60" w:rsidRPr="00AA0631">
                    <w:fldChar w:fldCharType="begin"/>
                  </w:r>
                  <w:r w:rsidR="00E41D03">
                    <w:instrText xml:space="preserve"> ADDIN ZOTERO_ITEM CSL_CITATION {"citationID":"a287obe17d7","properties":{"formattedCitation":"(Kohlhoff et al., 2020)","plainCitation":"(Kohlhoff et al., 2020)","noteIndex":0},"citationItems":[{"id":4628,"uris":["http://zotero.org/groups/5691188/items/KZZF7Q6G"],"itemData":{"id":4628,"type":"article-journal","container-title":"Rural and Remote Health","DOI":"10.22605/RRH5306","ISSN":"14456354","journalAbbreviation":"Rural Remote Health","language":"en","source":"DOI.org (Crossref)","title":"Feasibility and acceptability of internet-delivered parent–child interaction therapy for rural Australian families: a qualitative investigation","title-short":"Feasibility and acceptability of internet-delivered parent–child interaction therapy for rural Australian families","URL":"https://www.rrh.org.au/journal/article/5306","author":[{"family":"Kohlhoff","given":"Jane"},{"family":"Cibralic","given":"Sara"},{"family":"Horswood","given":"Deserae"},{"family":"Turnell","given":"Adrienne"},{"family":"Maiuolo","given":"Michelle"},{"family":"Morgan","given":"Susan"}],"accessed":{"date-parts":[["2024",10,4]]},"issued":{"date-parts":[["2020",1,10]]}}}],"schema":"https://github.com/citation-style-language/schema/raw/master/csl-citation.json"} </w:instrText>
                  </w:r>
                  <w:r w:rsidR="00432D60" w:rsidRPr="00AA0631">
                    <w:fldChar w:fldCharType="separate"/>
                  </w:r>
                  <w:r w:rsidR="00432D60" w:rsidRPr="00AC138C">
                    <w:rPr>
                      <w:rFonts w:ascii="Arial" w:hAnsi="Arial" w:cs="Arial"/>
                    </w:rPr>
                    <w:t>(Kohlhoff et al., 2020)</w:t>
                  </w:r>
                  <w:r w:rsidR="00432D60" w:rsidRPr="00AA0631">
                    <w:fldChar w:fldCharType="end"/>
                  </w:r>
                  <w:r w:rsidR="00432D60" w:rsidRPr="00AA0631">
                    <w:t>.</w:t>
                  </w:r>
                  <w:r w:rsidR="00162056">
                    <w:t xml:space="preserve"> </w:t>
                  </w:r>
                  <w:r w:rsidR="008920A9">
                    <w:t xml:space="preserve">Some parents also </w:t>
                  </w:r>
                  <w:r w:rsidR="008920A9" w:rsidRPr="00CA07AE">
                    <w:t xml:space="preserve">commented on the </w:t>
                  </w:r>
                  <w:r w:rsidR="000E5664" w:rsidRPr="00CA07AE">
                    <w:t xml:space="preserve">value of </w:t>
                  </w:r>
                  <w:r w:rsidR="00243E40" w:rsidRPr="008E1B83">
                    <w:t>virtual communities</w:t>
                  </w:r>
                  <w:r w:rsidR="000E5664" w:rsidRPr="008E1B83">
                    <w:t xml:space="preserve"> created through </w:t>
                  </w:r>
                  <w:r w:rsidR="00CA07AE" w:rsidRPr="008E1B83">
                    <w:t>these program</w:t>
                  </w:r>
                  <w:r w:rsidR="00CA07AE">
                    <w:t>s</w:t>
                  </w:r>
                  <w:r w:rsidR="00243E40" w:rsidRPr="008E1B83">
                    <w:t xml:space="preserve">, </w:t>
                  </w:r>
                  <w:r w:rsidR="00CA07AE" w:rsidRPr="008E1B83">
                    <w:t>which can provide</w:t>
                  </w:r>
                  <w:r w:rsidR="00243E40" w:rsidRPr="008E1B83">
                    <w:t xml:space="preserve"> </w:t>
                  </w:r>
                  <w:r w:rsidR="003833E4">
                    <w:t xml:space="preserve">both </w:t>
                  </w:r>
                  <w:r w:rsidR="00243E40" w:rsidRPr="008E1B83">
                    <w:t xml:space="preserve">peer </w:t>
                  </w:r>
                  <w:r w:rsidR="003833E4">
                    <w:t xml:space="preserve">and </w:t>
                  </w:r>
                  <w:r w:rsidR="00243E40" w:rsidRPr="008E1B83">
                    <w:t xml:space="preserve">expert support </w:t>
                  </w:r>
                  <w:r w:rsidR="00243E40" w:rsidRPr="00CA07AE">
                    <w:fldChar w:fldCharType="begin"/>
                  </w:r>
                  <w:r w:rsidR="00E41D03">
                    <w:rPr>
                      <w:b/>
                      <w:bCs/>
                    </w:rPr>
                    <w:instrText xml:space="preserve"> ADDIN ZOTERO_ITEM CSL_CITATION {"citationID":"rPfTBdLj","properties":{"formattedCitation":"(Su et al., 2022)","plainCitation":"(Su et al., 2022)","noteIndex":0},"citationItems":[{"id":4557,"uris":["http://zotero.org/groups/5691188/items/66U558Q4"],"itemData":{"id":4557,"type":"article-journal","abstract":"Introduction: Domestic violence is a threat to human dignity and public health. Mounting evidence shows that domestic violence erodes personal and public health, spawning issues such as lifelong mental health challenges. To further compound the situation, COVID-19 and societies’ poor response to the pandemic have not only worsened the domestic violence crisis but also disrupted mental health services for domestic violence victims. While technology-based health solutions can overcome physical constraints posed by the pandemic and offer timely support to address domestic violence victims’ mental health issues, there is a dearth of research in the literature. To bridge the research gap, in this study, we aim to examine technology-based mental health solutions for domestic violence victims amid COVID-19. Methods: A literature review was conducted to examine solutions that domestic violence victims can utilize to safeguard and improve their mental health amid COVID19. Databases including PubMed, PsycINFO, and Scopus were utilized for the literature search. The search was focused on four themes: domestic violence, mental health, technology-based interventions, and COVID-19. A reverse search of pertinent references was conducted in Google Scholar. The social ecological model was utilized to systematically structure the review ﬁndings. Results: The ﬁndings show that a wide array of technology-based solutions has been proposed to address mental health challenges faced by domestic violence victims amid COVID-19. However, none of these proposals is based on empirical evidence amid COVID-19. In terms of social and ecological levels of inﬂuence, most of the interventions were developed on the individual level, as opposed to the community level or social level, effectively placing the healthcare responsibility on the victims rather than government and health ofﬁcials. Furthermore, most of the articles failed to address risks associated with utilizing technology-based interventions (e.g., privacy issues) or navigating the online environment (e.g., cyberstalking). Conclusion: Overall, our ﬁndings highlight the need for greater research endeavors on the research topic. Although technology-based interventions have great potential in resolving domestic violence victims’ mental health issues, risks associated with these health solutions should be comprehensively acknowledged and addressed.","container-title":"International Journal of Environmental Research and Public Health","DOI":"10.3390/ijerph19074286","ISSN":"1660-4601","issue":"7","journalAbbreviation":"IJERPH","language":"en","license":"https://creativecommons.org/licenses/by/4.0/","page":"4286","source":"DOI.org (Crossref)","title":"Technology-Based Mental Health Interventions for Domestic Violence Victims Amid COVID-19","volume":"19","author":[{"family":"Su","given":"Zhaohui"},{"family":"Cheshmehzangi","given":"Ali"},{"family":"McDonnell","given":"Dean"},{"family":"Chen","given":"Hengcai"},{"family":"Ahmad","given":"Junaid"},{"family":"Šegalo","given":"Sabina"},{"family":"Da Veiga","given":"Claudimar"}],"issued":{"date-parts":[["2022",4,3]]}}}],"schema":"https://github.com/citation-style-language/schema/raw/master/csl-citation.json"} </w:instrText>
                  </w:r>
                  <w:r w:rsidR="00243E40" w:rsidRPr="00CA07AE">
                    <w:fldChar w:fldCharType="separate"/>
                  </w:r>
                  <w:r w:rsidR="00243E40" w:rsidRPr="008E1B83">
                    <w:t>(Su et al., 2022)</w:t>
                  </w:r>
                  <w:r w:rsidR="00243E40" w:rsidRPr="00CA07AE">
                    <w:fldChar w:fldCharType="end"/>
                  </w:r>
                  <w:r w:rsidR="00243E40" w:rsidRPr="008E1B83">
                    <w:t>.</w:t>
                  </w:r>
                </w:p>
                <w:p w14:paraId="1486F6C3" w14:textId="77777777" w:rsidR="005674C7" w:rsidRPr="005C1C78" w:rsidRDefault="009F5644" w:rsidP="005674C7">
                  <w:pPr>
                    <w:pBdr>
                      <w:left w:val="single" w:sz="18" w:space="4" w:color="78B800" w:themeColor="accent1"/>
                    </w:pBdr>
                    <w:tabs>
                      <w:tab w:val="left" w:pos="8080"/>
                    </w:tabs>
                    <w:spacing w:after="0"/>
                    <w:ind w:left="851" w:right="949"/>
                    <w:rPr>
                      <w:i/>
                      <w:iCs/>
                    </w:rPr>
                  </w:pPr>
                  <w:r w:rsidRPr="002E7992">
                    <w:rPr>
                      <w:noProof/>
                    </w:rPr>
                    <w:drawing>
                      <wp:anchor distT="0" distB="0" distL="114300" distR="114300" simplePos="0" relativeHeight="251658334" behindDoc="0" locked="1" layoutInCell="1" allowOverlap="1" wp14:anchorId="5E7E451C" wp14:editId="7CDA7B27">
                        <wp:simplePos x="0" y="0"/>
                        <wp:positionH relativeFrom="column">
                          <wp:posOffset>0</wp:posOffset>
                        </wp:positionH>
                        <wp:positionV relativeFrom="paragraph">
                          <wp:posOffset>0</wp:posOffset>
                        </wp:positionV>
                        <wp:extent cx="384810" cy="320040"/>
                        <wp:effectExtent l="0" t="0" r="0" b="3810"/>
                        <wp:wrapNone/>
                        <wp:docPr id="554163548" name="Graphic 554163548" descr="P2749#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163548" name="Graphic 554163548" descr="P2749#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674C7" w:rsidRPr="00D12123">
                    <w:rPr>
                      <w:i/>
                      <w:iCs/>
                    </w:rPr>
                    <w:t>So what we've found is</w:t>
                  </w:r>
                  <w:r w:rsidR="005674C7">
                    <w:rPr>
                      <w:i/>
                      <w:iCs/>
                    </w:rPr>
                    <w:t xml:space="preserve"> </w:t>
                  </w:r>
                  <w:r w:rsidR="005674C7" w:rsidRPr="00D12123">
                    <w:rPr>
                      <w:i/>
                      <w:iCs/>
                    </w:rPr>
                    <w:t>90% of our parent education progra</w:t>
                  </w:r>
                  <w:r w:rsidR="005674C7">
                    <w:rPr>
                      <w:i/>
                      <w:iCs/>
                    </w:rPr>
                    <w:t>m</w:t>
                  </w:r>
                  <w:r w:rsidR="005674C7" w:rsidRPr="00D12123">
                    <w:rPr>
                      <w:i/>
                      <w:iCs/>
                    </w:rPr>
                    <w:t>s are now being run online and we've seen a huge uptake and we've also seen people sticking to them longer</w:t>
                  </w:r>
                  <w:r w:rsidR="005674C7">
                    <w:rPr>
                      <w:i/>
                      <w:iCs/>
                    </w:rPr>
                    <w:t xml:space="preserve"> […] </w:t>
                  </w:r>
                  <w:r w:rsidR="005674C7" w:rsidRPr="00D12123">
                    <w:rPr>
                      <w:i/>
                      <w:iCs/>
                    </w:rPr>
                    <w:t xml:space="preserve">I think it's also when we know the socioeconomic pressures that many people are </w:t>
                  </w:r>
                  <w:r w:rsidR="005674C7">
                    <w:rPr>
                      <w:i/>
                      <w:iCs/>
                    </w:rPr>
                    <w:t>[…]</w:t>
                  </w:r>
                  <w:r w:rsidR="005674C7" w:rsidRPr="00D12123">
                    <w:rPr>
                      <w:i/>
                      <w:iCs/>
                    </w:rPr>
                    <w:t xml:space="preserve"> experiencing at the moment</w:t>
                  </w:r>
                  <w:r w:rsidR="005674C7">
                    <w:rPr>
                      <w:i/>
                      <w:iCs/>
                    </w:rPr>
                    <w:t xml:space="preserve"> t</w:t>
                  </w:r>
                  <w:r w:rsidR="005674C7" w:rsidRPr="00D12123">
                    <w:rPr>
                      <w:i/>
                      <w:iCs/>
                    </w:rPr>
                    <w:t xml:space="preserve">he ability to </w:t>
                  </w:r>
                  <w:r w:rsidR="005674C7">
                    <w:rPr>
                      <w:i/>
                      <w:iCs/>
                    </w:rPr>
                    <w:t>[…]</w:t>
                  </w:r>
                  <w:r w:rsidR="005674C7" w:rsidRPr="00D12123">
                    <w:rPr>
                      <w:i/>
                      <w:iCs/>
                    </w:rPr>
                    <w:t xml:space="preserve"> do the session from their work and take time off rather than the commute time or having to find childcare for the times that they could then just be doing it online for that short period of time has been really helpful fo</w:t>
                  </w:r>
                  <w:r w:rsidR="005674C7">
                    <w:rPr>
                      <w:i/>
                      <w:iCs/>
                    </w:rPr>
                    <w:t xml:space="preserve">r our clients </w:t>
                  </w:r>
                  <w:r w:rsidR="005674C7" w:rsidRPr="002E7992">
                    <w:rPr>
                      <w:b/>
                      <w:bCs/>
                      <w:i/>
                      <w:iCs/>
                    </w:rPr>
                    <w:t>–</w:t>
                  </w:r>
                  <w:r w:rsidR="005674C7">
                    <w:rPr>
                      <w:b/>
                      <w:bCs/>
                      <w:i/>
                      <w:iCs/>
                    </w:rPr>
                    <w:t xml:space="preserve"> FaRS s</w:t>
                  </w:r>
                  <w:r w:rsidR="005674C7" w:rsidRPr="002E7992">
                    <w:rPr>
                      <w:b/>
                      <w:bCs/>
                      <w:i/>
                      <w:iCs/>
                    </w:rPr>
                    <w:t>ervice provider</w:t>
                  </w:r>
                </w:p>
                <w:p w14:paraId="6B546D8F" w14:textId="601B849C" w:rsidR="005674C7" w:rsidRDefault="005674C7" w:rsidP="005674C7">
                  <w:pPr>
                    <w:pStyle w:val="Text"/>
                  </w:pPr>
                </w:p>
                <w:p w14:paraId="20FBFC5D" w14:textId="614651CF" w:rsidR="005674C7" w:rsidRPr="00774260" w:rsidRDefault="009F5644" w:rsidP="005674C7">
                  <w:pPr>
                    <w:pBdr>
                      <w:left w:val="single" w:sz="18" w:space="4" w:color="78B800" w:themeColor="accent1"/>
                    </w:pBdr>
                    <w:tabs>
                      <w:tab w:val="left" w:pos="8080"/>
                    </w:tabs>
                    <w:spacing w:after="0"/>
                    <w:ind w:left="851" w:right="949"/>
                    <w:rPr>
                      <w:b/>
                      <w:i/>
                    </w:rPr>
                  </w:pPr>
                  <w:r>
                    <w:rPr>
                      <w:noProof/>
                    </w:rPr>
                    <w:drawing>
                      <wp:anchor distT="0" distB="0" distL="114300" distR="114300" simplePos="0" relativeHeight="251658335" behindDoc="0" locked="0" layoutInCell="1" allowOverlap="1" wp14:anchorId="08D53821" wp14:editId="532F9DC8">
                        <wp:simplePos x="0" y="0"/>
                        <wp:positionH relativeFrom="column">
                          <wp:posOffset>0</wp:posOffset>
                        </wp:positionH>
                        <wp:positionV relativeFrom="paragraph">
                          <wp:posOffset>0</wp:posOffset>
                        </wp:positionV>
                        <wp:extent cx="384810" cy="320040"/>
                        <wp:effectExtent l="0" t="0" r="0" b="3810"/>
                        <wp:wrapNone/>
                        <wp:docPr id="750798500" name="Graphic 750798500" descr="P2751#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798500" name="Graphic 750798500" descr="P2751#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E7992">
                    <w:rPr>
                      <w:noProof/>
                    </w:rPr>
                    <w:drawing>
                      <wp:anchor distT="0" distB="0" distL="114300" distR="114300" simplePos="0" relativeHeight="251658336" behindDoc="0" locked="1" layoutInCell="1" allowOverlap="1" wp14:anchorId="2FBE1BCD" wp14:editId="71616F12">
                        <wp:simplePos x="0" y="0"/>
                        <wp:positionH relativeFrom="column">
                          <wp:posOffset>0</wp:posOffset>
                        </wp:positionH>
                        <wp:positionV relativeFrom="paragraph">
                          <wp:posOffset>0</wp:posOffset>
                        </wp:positionV>
                        <wp:extent cx="384810" cy="320040"/>
                        <wp:effectExtent l="0" t="0" r="0" b="3810"/>
                        <wp:wrapNone/>
                        <wp:docPr id="1569641805" name="Graphic 1569641805" descr="P2751#y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641805" name="Graphic 1569641805" descr="P2751#y2">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674C7" w:rsidRPr="00250176">
                    <w:rPr>
                      <w:i/>
                      <w:iCs/>
                    </w:rPr>
                    <w:t>[Video calls] have been an efficient way [to engage</w:t>
                  </w:r>
                  <w:r w:rsidR="005674C7">
                    <w:rPr>
                      <w:i/>
                      <w:iCs/>
                    </w:rPr>
                    <w:t xml:space="preserve"> in the parenting program</w:t>
                  </w:r>
                  <w:r w:rsidR="005674C7" w:rsidRPr="00250176">
                    <w:rPr>
                      <w:i/>
                      <w:iCs/>
                    </w:rPr>
                    <w:t xml:space="preserve">] that have kind of made me then go, oh yes, I can do that </w:t>
                  </w:r>
                  <w:r w:rsidR="005674C7" w:rsidRPr="00250176">
                    <w:rPr>
                      <w:i/>
                      <w:iCs/>
                    </w:rPr>
                    <w:lastRenderedPageBreak/>
                    <w:t>day because I’m in the office […] I can go into a meeting room, so that’s made it a lot more doable</w:t>
                  </w:r>
                  <w:r w:rsidR="00517698">
                    <w:rPr>
                      <w:i/>
                      <w:iCs/>
                    </w:rPr>
                    <w:t xml:space="preserve"> </w:t>
                  </w:r>
                  <w:r w:rsidR="005674C7" w:rsidRPr="002E7992">
                    <w:rPr>
                      <w:b/>
                      <w:bCs/>
                      <w:i/>
                      <w:iCs/>
                    </w:rPr>
                    <w:t>–</w:t>
                  </w:r>
                  <w:r w:rsidR="005674C7">
                    <w:rPr>
                      <w:b/>
                      <w:bCs/>
                      <w:i/>
                      <w:iCs/>
                    </w:rPr>
                    <w:t xml:space="preserve"> FaRS service user </w:t>
                  </w:r>
                </w:p>
                <w:p w14:paraId="7E0D4789" w14:textId="77777777" w:rsidR="005674C7" w:rsidRDefault="005674C7" w:rsidP="005674C7">
                  <w:pPr>
                    <w:pStyle w:val="Text"/>
                  </w:pPr>
                </w:p>
                <w:p w14:paraId="0DBB0C58" w14:textId="77777777" w:rsidR="00602DD1" w:rsidRDefault="00602DD1">
                  <w:r>
                    <w:br w:type="page"/>
                  </w:r>
                </w:p>
                <w:p w14:paraId="2CBF928A" w14:textId="27D1C112" w:rsidR="00FF2A0B" w:rsidRPr="00EF71CC" w:rsidRDefault="007D74E2" w:rsidP="00FF2A0B">
                  <w:pPr>
                    <w:pStyle w:val="Text"/>
                  </w:pPr>
                  <w:r w:rsidRPr="00BF2730">
                    <w:lastRenderedPageBreak/>
                    <w:t>Tele</w:t>
                  </w:r>
                  <w:r w:rsidR="00FB5C78">
                    <w:t>-</w:t>
                  </w:r>
                  <w:r w:rsidRPr="00BF2730">
                    <w:t xml:space="preserve">practice and digital interventions may not, however, be suitable for all types of services, and outcomes can vary depending on the nature of the intervention and the target population </w:t>
                  </w:r>
                  <w:r w:rsidRPr="00BF2730">
                    <w:fldChar w:fldCharType="begin"/>
                  </w:r>
                  <w:r w:rsidR="00E41D03">
                    <w:instrText xml:space="preserve"> ADDIN ZOTERO_ITEM CSL_CITATION {"citationID":"OL0IYSdW","properties":{"formattedCitation":"(Cortis et al., 2021; Joshi et al., 2021)","plainCitation":"(Cortis et al., 2021; Joshi et al., 2021)","noteIndex":0},"citationItems":[{"id":4559,"uris":["http://zotero.org/groups/5691188/items/38IBEI9X"],"itemData":{"id":4559,"type":"article-journal","abstract":"COVID-19 rapidly altered patterns of domestic and family violence, increasing the complexity of women’s needs, and presenting new barriers to service use. This article examines service responses in Australia, exploring practitioners’ accounts of adapting service delivery models in the early months of the pandemic. Data from a qualitatively enriched online survey of practitioners (n ¼ 100) show the ways services rapidly shifted to engage with clients via remote, technology-mediated modes, as physical distancing requirements triggered rapid expansion in the use of phone, email, video calls and messaging, and many face-to-face interventions temporarily ceased. Many practitioners and service managers found that remote service delivery improved accessibility and efficiency. Others expressed concerns about their capacity to assess risk without face-to-face contact, and were unsure whether new service modalities would meet the needs of all client groups and reflect best practice. Findings attest to practitioners’ mixed experiences during this period of rapid service innovation and change, and underline the importance of monitoring emerging approaches to establish which service adaptations are effective for different groups of people, and to determine good practice for combining remote and face-to-face service options in the longer term.","container-title":"The British Journal of Social Work","DOI":"10.1093/bjsw/bcab105","ISSN":"0045-3102, 1468-263X","issue":"5","language":"en","license":"https://academic.oup.com/journals/pages/open_access/funder_policies/chorus/standard_publication_model","page":"1779-1798","source":"DOI.org (Crossref)","title":"Adapting Service Delivery during COVID-19: Experiences of Domestic Violence Practitioners","title-short":"Adapting Service Delivery during COVID-19","volume":"51","author":[{"family":"Cortis","given":"Natasha"},{"family":"Smyth","given":"Ciara"},{"family":"Valentine","given":"Kylie"},{"family":"Breckenridge","given":"Jan"},{"family":"Cullen","given":"Patricia"}],"issued":{"date-parts":[["2021",7,28]]}}},{"id":4582,"uris":["http://zotero.org/groups/5691188/items/F9IQWGPQ"],"itemData":{"id":4582,"type":"article-journal","container-title":"Journal of the Psychotherapy and Counselling Federation of Australia","page":"40-48","title":"The use of telepractice in the family and relationship services sector","volume":"1","author":[{"family":"Joshi","given":"A"},{"family":"Paterson","given":"N"},{"family":"Hinkely","given":"T"},{"family":"Joss","given":"N"}],"issued":{"date-parts":[["2021"]]}}}],"schema":"https://github.com/citation-style-language/schema/raw/master/csl-citation.json"} </w:instrText>
                  </w:r>
                  <w:r w:rsidRPr="00BF2730">
                    <w:fldChar w:fldCharType="separate"/>
                  </w:r>
                  <w:r w:rsidRPr="00BF2730">
                    <w:t>(Cortis et al., 2021; Joshi et al., 2021)</w:t>
                  </w:r>
                  <w:r w:rsidRPr="00BF2730">
                    <w:fldChar w:fldCharType="end"/>
                  </w:r>
                  <w:r w:rsidRPr="00BF2730">
                    <w:t xml:space="preserve">. </w:t>
                  </w:r>
                  <w:r w:rsidR="00C8365A" w:rsidRPr="00EF71CC">
                    <w:t>MBCP providers</w:t>
                  </w:r>
                  <w:r w:rsidR="00BF2730" w:rsidDel="007D74E2">
                    <w:t xml:space="preserve"> </w:t>
                  </w:r>
                  <w:r>
                    <w:t>gave</w:t>
                  </w:r>
                  <w:r w:rsidR="00BF2730">
                    <w:t xml:space="preserve"> </w:t>
                  </w:r>
                  <w:r w:rsidR="00C8365A" w:rsidRPr="00EF71CC">
                    <w:t xml:space="preserve">mixed </w:t>
                  </w:r>
                  <w:r w:rsidR="00BF2730">
                    <w:t xml:space="preserve">feedback </w:t>
                  </w:r>
                  <w:r w:rsidR="00C8365A" w:rsidRPr="00EF71CC">
                    <w:t xml:space="preserve">on </w:t>
                  </w:r>
                  <w:r w:rsidR="00BF2730">
                    <w:t>the</w:t>
                  </w:r>
                  <w:r w:rsidR="00C8365A" w:rsidRPr="00EF71CC">
                    <w:t xml:space="preserve"> suitability</w:t>
                  </w:r>
                  <w:r w:rsidR="00BF2730">
                    <w:t xml:space="preserve"> of virtual service delivery</w:t>
                  </w:r>
                  <w:r w:rsidR="00C8365A" w:rsidRPr="00EF71CC">
                    <w:t xml:space="preserve"> </w:t>
                  </w:r>
                  <w:r w:rsidR="00A2436A">
                    <w:t>for MBCP programs</w:t>
                  </w:r>
                  <w:r w:rsidR="00C8365A" w:rsidRPr="00EF71CC">
                    <w:t xml:space="preserve">. </w:t>
                  </w:r>
                  <w:r w:rsidR="00C8365A">
                    <w:t>Whil</w:t>
                  </w:r>
                  <w:r w:rsidR="009D100D">
                    <w:t>e</w:t>
                  </w:r>
                  <w:r w:rsidR="00C8365A">
                    <w:t xml:space="preserve"> some offered online groups which had increased accessibility, others noted the difficulties </w:t>
                  </w:r>
                  <w:r w:rsidR="009D100D">
                    <w:t xml:space="preserve">of </w:t>
                  </w:r>
                  <w:r w:rsidR="00C8365A">
                    <w:t xml:space="preserve">building rapport and maintaining relationships and engagement with </w:t>
                  </w:r>
                  <w:r w:rsidR="00DC73A1">
                    <w:t xml:space="preserve">people who use violence </w:t>
                  </w:r>
                  <w:r w:rsidR="00C8365A">
                    <w:t>when delivering services over the phone.</w:t>
                  </w:r>
                  <w:r w:rsidR="00C8365A" w:rsidRPr="00EF71CC">
                    <w:t xml:space="preserve"> </w:t>
                  </w:r>
                  <w:r w:rsidR="00C8365A">
                    <w:t>Recent research suggests that MBCPs can be adapted to online formats including seeking victim survivor consent for online service delivery</w:t>
                  </w:r>
                  <w:r w:rsidR="001566B5">
                    <w:t>,</w:t>
                  </w:r>
                  <w:r w:rsidR="00C8365A">
                    <w:t xml:space="preserve"> reducing groups sizes, simplifying content and extending sessions to reduce time pressures; and adapting techniques and engagement methods to enhance participant engagement, including more self-completion activities and ‘breakout room’-based activities for smaller group discussions </w:t>
                  </w:r>
                  <w:r w:rsidR="00C8365A" w:rsidRPr="00EF3692">
                    <w:fldChar w:fldCharType="begin"/>
                  </w:r>
                  <w:r w:rsidR="00E41D03">
                    <w:instrText xml:space="preserve"> ADDIN ZOTERO_ITEM CSL_CITATION {"citationID":"a1esnueu4f8","properties":{"formattedCitation":"(Opoku and Heard, 2024)","plainCitation":"(Opoku and Heard, 2024)","noteIndex":0},"citationItems":[{"id":5639,"uris":["http://zotero.org/groups/5691188/items/TUBLIQ9F"],"itemData":{"id":5639,"type":"article-journal","abstract":"Men’s behaviour change programs constitute an important family violence intervention strategy. In 2020, the COVID-19 pandemic and associated restrictions brought increased risk of family violence and service demand. When face-to-face groups became impossible under restrictive public health orders, the Men’s Behaviour Change Program provided by Relationships Australia Victoria was delivered using videoconferencing technology. We describe a developmental evaluation approach to the adaptation of the Men’s Behaviour Change Program to online delivery. Developmental evaluation can inform innovation in complex environments and emphasises learning and adaptation at program development phase. We demonstrate the application and utility of this approach to the rapid adaptation of social services for online delivery. Quantitative and qualitative data were collected from participants, facilitators and external observers and subjected to regular collaborative review to inform practice development. The results point to a steep learning curve, during which facilitators and observers identified practices to support effective online delivery of the Program. The evaluation indicated that, following adaptations, Program objectives were achievable using this method of delivery and positive dynamics remained possible in online groups. This finding is consistent with the current No to Violence position that online men’s behaviour change programs have an important and ongoing role in the specialist family violence services sector.","container-title":"Evaluation Journal of Australasia","DOI":"10.1177/1035719X231204392","ISSN":"1035-719X","issue":"1","language":"EN","note":"publisher: SAGE Publications Ltd","page":"40-55","source":"SAGE Journals","title":"Adapting a men’s behaviour change program to online delivery using a developmental evaluation approach","volume":"24","author":[{"family":"Opoku","given":"Sandra"},{"family":"Heard","given":"Genevieve"}],"issued":{"date-parts":[["2024",3,1]]}}}],"schema":"https://github.com/citation-style-language/schema/raw/master/csl-citation.json"} </w:instrText>
                  </w:r>
                  <w:r w:rsidR="00C8365A" w:rsidRPr="00EF3692">
                    <w:fldChar w:fldCharType="separate"/>
                  </w:r>
                  <w:r w:rsidR="00C8365A" w:rsidRPr="00AC138C">
                    <w:rPr>
                      <w:rFonts w:ascii="Arial" w:hAnsi="Arial" w:cs="Arial"/>
                    </w:rPr>
                    <w:t>(Opoku and Heard, 2024)</w:t>
                  </w:r>
                  <w:r w:rsidR="00C8365A" w:rsidRPr="00EF3692">
                    <w:fldChar w:fldCharType="end"/>
                  </w:r>
                  <w:r w:rsidR="00C8365A">
                    <w:t>.</w:t>
                  </w:r>
                </w:p>
                <w:p w14:paraId="4C657E57" w14:textId="76549017" w:rsidR="0023728D" w:rsidRPr="0023728D" w:rsidRDefault="00FF2A0B" w:rsidP="0023728D">
                  <w:pPr>
                    <w:pBdr>
                      <w:left w:val="single" w:sz="18" w:space="4" w:color="78B800" w:themeColor="accent1"/>
                    </w:pBdr>
                    <w:tabs>
                      <w:tab w:val="left" w:pos="8080"/>
                    </w:tabs>
                    <w:spacing w:after="0"/>
                    <w:ind w:left="851" w:right="949"/>
                    <w:rPr>
                      <w:b/>
                      <w:bCs/>
                      <w:i/>
                      <w:iCs/>
                    </w:rPr>
                  </w:pPr>
                  <w:r>
                    <w:rPr>
                      <w:noProof/>
                    </w:rPr>
                    <w:drawing>
                      <wp:anchor distT="0" distB="0" distL="114300" distR="114300" simplePos="0" relativeHeight="251658337" behindDoc="0" locked="0" layoutInCell="1" allowOverlap="1" wp14:anchorId="380F9F06" wp14:editId="0780156F">
                        <wp:simplePos x="0" y="0"/>
                        <wp:positionH relativeFrom="column">
                          <wp:posOffset>0</wp:posOffset>
                        </wp:positionH>
                        <wp:positionV relativeFrom="paragraph">
                          <wp:posOffset>0</wp:posOffset>
                        </wp:positionV>
                        <wp:extent cx="384810" cy="320040"/>
                        <wp:effectExtent l="0" t="0" r="0" b="3810"/>
                        <wp:wrapNone/>
                        <wp:docPr id="425848449" name="Graphic 425848449" descr="P2755#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848449" name="Graphic 425848449" descr="P2755#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E7992">
                    <w:rPr>
                      <w:noProof/>
                    </w:rPr>
                    <w:drawing>
                      <wp:anchor distT="0" distB="0" distL="114300" distR="114300" simplePos="0" relativeHeight="251658338" behindDoc="0" locked="1" layoutInCell="1" allowOverlap="1" wp14:anchorId="28021F2E" wp14:editId="6F9C6FF5">
                        <wp:simplePos x="0" y="0"/>
                        <wp:positionH relativeFrom="column">
                          <wp:posOffset>0</wp:posOffset>
                        </wp:positionH>
                        <wp:positionV relativeFrom="paragraph">
                          <wp:posOffset>0</wp:posOffset>
                        </wp:positionV>
                        <wp:extent cx="384810" cy="320040"/>
                        <wp:effectExtent l="0" t="0" r="0" b="3810"/>
                        <wp:wrapNone/>
                        <wp:docPr id="745995400" name="Graphic 745995400" descr="P2755#y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995400" name="Graphic 745995400" descr="P2755#y2">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02F4C">
                    <w:rPr>
                      <w:i/>
                      <w:iCs/>
                    </w:rPr>
                    <w:t xml:space="preserve">In terms of </w:t>
                  </w:r>
                  <w:r>
                    <w:rPr>
                      <w:i/>
                      <w:iCs/>
                    </w:rPr>
                    <w:t>[MBCPs]</w:t>
                  </w:r>
                  <w:r w:rsidRPr="00302F4C">
                    <w:rPr>
                      <w:i/>
                      <w:iCs/>
                    </w:rPr>
                    <w:t xml:space="preserve"> I have thought about this a lot. Some of the challenges we had in working with men who</w:t>
                  </w:r>
                  <w:r>
                    <w:rPr>
                      <w:i/>
                      <w:iCs/>
                    </w:rPr>
                    <w:t xml:space="preserve"> u</w:t>
                  </w:r>
                  <w:r w:rsidRPr="00302F4C">
                    <w:rPr>
                      <w:i/>
                      <w:iCs/>
                    </w:rPr>
                    <w:t>s</w:t>
                  </w:r>
                  <w:r>
                    <w:rPr>
                      <w:i/>
                      <w:iCs/>
                    </w:rPr>
                    <w:t>e</w:t>
                  </w:r>
                  <w:r w:rsidRPr="00302F4C">
                    <w:rPr>
                      <w:i/>
                      <w:iCs/>
                    </w:rPr>
                    <w:t xml:space="preserve"> violence in COVID, for example we had to be really mindful about our practise in a virtual </w:t>
                  </w:r>
                  <w:r w:rsidR="008E2E3C" w:rsidRPr="00302F4C">
                    <w:rPr>
                      <w:i/>
                      <w:iCs/>
                    </w:rPr>
                    <w:t>space,</w:t>
                  </w:r>
                  <w:r w:rsidRPr="00302F4C">
                    <w:rPr>
                      <w:i/>
                      <w:iCs/>
                    </w:rPr>
                    <w:t xml:space="preserve"> and we pared back some of the probably </w:t>
                  </w:r>
                  <w:r w:rsidR="008E2E3C" w:rsidRPr="00302F4C">
                    <w:rPr>
                      <w:i/>
                      <w:iCs/>
                    </w:rPr>
                    <w:t>big-ticket</w:t>
                  </w:r>
                  <w:r w:rsidRPr="00302F4C">
                    <w:rPr>
                      <w:i/>
                      <w:iCs/>
                    </w:rPr>
                    <w:t xml:space="preserve"> items </w:t>
                  </w:r>
                  <w:r w:rsidR="00E279BE">
                    <w:rPr>
                      <w:i/>
                      <w:iCs/>
                    </w:rPr>
                    <w:t xml:space="preserve">… </w:t>
                  </w:r>
                  <w:r>
                    <w:rPr>
                      <w:i/>
                      <w:iCs/>
                    </w:rPr>
                    <w:t>w</w:t>
                  </w:r>
                  <w:r w:rsidRPr="00302F4C">
                    <w:rPr>
                      <w:i/>
                      <w:iCs/>
                    </w:rPr>
                    <w:t xml:space="preserve">e didn't want to do trauma work in a virtual setting. </w:t>
                  </w:r>
                  <w:r>
                    <w:rPr>
                      <w:i/>
                      <w:iCs/>
                    </w:rPr>
                    <w:t>[…]</w:t>
                  </w:r>
                  <w:r w:rsidRPr="00302F4C">
                    <w:rPr>
                      <w:i/>
                      <w:iCs/>
                    </w:rPr>
                    <w:t xml:space="preserve"> </w:t>
                  </w:r>
                  <w:r>
                    <w:rPr>
                      <w:i/>
                      <w:iCs/>
                    </w:rPr>
                    <w:t>W</w:t>
                  </w:r>
                  <w:r w:rsidRPr="00302F4C">
                    <w:rPr>
                      <w:i/>
                      <w:iCs/>
                    </w:rPr>
                    <w:t xml:space="preserve">e had one situation luckily </w:t>
                  </w:r>
                  <w:r>
                    <w:rPr>
                      <w:i/>
                      <w:iCs/>
                    </w:rPr>
                    <w:t xml:space="preserve">[with a] </w:t>
                  </w:r>
                  <w:r w:rsidRPr="00302F4C">
                    <w:rPr>
                      <w:i/>
                      <w:iCs/>
                    </w:rPr>
                    <w:t>very experienced prac</w:t>
                  </w:r>
                  <w:r>
                    <w:rPr>
                      <w:i/>
                      <w:iCs/>
                    </w:rPr>
                    <w:t>titioner</w:t>
                  </w:r>
                  <w:r w:rsidRPr="00302F4C">
                    <w:rPr>
                      <w:i/>
                      <w:iCs/>
                    </w:rPr>
                    <w:t xml:space="preserve"> </w:t>
                  </w:r>
                  <w:r>
                    <w:rPr>
                      <w:i/>
                      <w:iCs/>
                    </w:rPr>
                    <w:t>where t</w:t>
                  </w:r>
                  <w:r w:rsidRPr="00302F4C">
                    <w:rPr>
                      <w:i/>
                      <w:iCs/>
                    </w:rPr>
                    <w:t xml:space="preserve">he victim survivor </w:t>
                  </w:r>
                  <w:r>
                    <w:rPr>
                      <w:i/>
                      <w:iCs/>
                    </w:rPr>
                    <w:t xml:space="preserve">was </w:t>
                  </w:r>
                  <w:r w:rsidRPr="00302F4C">
                    <w:rPr>
                      <w:i/>
                      <w:iCs/>
                    </w:rPr>
                    <w:t>listening at the door to the session and she bursts through and said he's lying. So</w:t>
                  </w:r>
                  <w:r w:rsidR="00175D50" w:rsidRPr="00302F4C">
                    <w:rPr>
                      <w:i/>
                      <w:iCs/>
                    </w:rPr>
                    <w:t>,</w:t>
                  </w:r>
                  <w:r w:rsidRPr="00302F4C">
                    <w:rPr>
                      <w:i/>
                      <w:iCs/>
                    </w:rPr>
                    <w:t xml:space="preserve"> there was, you know, we just had to keep kind of</w:t>
                  </w:r>
                  <w:r>
                    <w:rPr>
                      <w:i/>
                      <w:iCs/>
                    </w:rPr>
                    <w:t xml:space="preserve"> r</w:t>
                  </w:r>
                  <w:r w:rsidRPr="00302F4C">
                    <w:rPr>
                      <w:i/>
                      <w:iCs/>
                    </w:rPr>
                    <w:t xml:space="preserve">einvesting in </w:t>
                  </w:r>
                  <w:r w:rsidR="005D12E3">
                    <w:rPr>
                      <w:i/>
                      <w:iCs/>
                    </w:rPr>
                    <w:t>‘</w:t>
                  </w:r>
                  <w:r w:rsidRPr="00302F4C">
                    <w:rPr>
                      <w:i/>
                      <w:iCs/>
                    </w:rPr>
                    <w:t>what</w:t>
                  </w:r>
                  <w:r>
                    <w:rPr>
                      <w:i/>
                      <w:iCs/>
                    </w:rPr>
                    <w:t xml:space="preserve"> does</w:t>
                  </w:r>
                  <w:r w:rsidRPr="00302F4C">
                    <w:rPr>
                      <w:i/>
                      <w:iCs/>
                    </w:rPr>
                    <w:t xml:space="preserve"> the physical space look like? What are the risks?</w:t>
                  </w:r>
                  <w:r w:rsidR="005D12E3">
                    <w:rPr>
                      <w:i/>
                      <w:iCs/>
                    </w:rPr>
                    <w:t>’</w:t>
                  </w:r>
                  <w:r w:rsidRPr="00302F4C">
                    <w:rPr>
                      <w:i/>
                      <w:iCs/>
                    </w:rPr>
                    <w:t xml:space="preserve"> I don't know how much research is out around virtual work for men who use violence</w:t>
                  </w:r>
                  <w:r>
                    <w:rPr>
                      <w:i/>
                      <w:iCs/>
                    </w:rPr>
                    <w:t xml:space="preserve">. </w:t>
                  </w:r>
                  <w:r w:rsidRPr="00302F4C">
                    <w:rPr>
                      <w:i/>
                      <w:iCs/>
                    </w:rPr>
                    <w:t>I think there's some movement around it</w:t>
                  </w:r>
                  <w:r>
                    <w:rPr>
                      <w:i/>
                      <w:iCs/>
                    </w:rPr>
                    <w:t xml:space="preserve"> a</w:t>
                  </w:r>
                  <w:r w:rsidRPr="00302F4C">
                    <w:rPr>
                      <w:i/>
                      <w:iCs/>
                    </w:rPr>
                    <w:t>nd then there's the other part, the flip side that goes something is better than nothing</w:t>
                  </w:r>
                  <w:r>
                    <w:rPr>
                      <w:i/>
                      <w:iCs/>
                    </w:rPr>
                    <w:t xml:space="preserve"> </w:t>
                  </w:r>
                  <w:r w:rsidRPr="002E7992">
                    <w:rPr>
                      <w:b/>
                      <w:bCs/>
                      <w:i/>
                      <w:iCs/>
                    </w:rPr>
                    <w:t>–</w:t>
                  </w:r>
                  <w:r>
                    <w:rPr>
                      <w:b/>
                      <w:bCs/>
                      <w:i/>
                      <w:iCs/>
                    </w:rPr>
                    <w:t xml:space="preserve"> MBCP service provider</w:t>
                  </w:r>
                </w:p>
                <w:p w14:paraId="70955A8C" w14:textId="77777777" w:rsidR="0023728D" w:rsidRDefault="0023728D" w:rsidP="009B6D04">
                  <w:pPr>
                    <w:pStyle w:val="Text"/>
                  </w:pPr>
                </w:p>
                <w:p w14:paraId="28444C0E" w14:textId="6A31A4C3" w:rsidR="009B6D04" w:rsidRDefault="008E4F22" w:rsidP="009B6D04">
                  <w:pPr>
                    <w:pStyle w:val="Text"/>
                  </w:pPr>
                  <w:r>
                    <w:t>E</w:t>
                  </w:r>
                  <w:r w:rsidR="002E1947" w:rsidRPr="00BF2730">
                    <w:t xml:space="preserve">vidence on the suitability of </w:t>
                  </w:r>
                  <w:r w:rsidR="00A00E22" w:rsidRPr="00BF2730">
                    <w:t>virtua</w:t>
                  </w:r>
                  <w:r w:rsidR="00605CF3" w:rsidRPr="00BF2730">
                    <w:t xml:space="preserve">l delivery of counselling services is mixed. </w:t>
                  </w:r>
                  <w:r w:rsidR="00623088" w:rsidRPr="00BF2730">
                    <w:t>A majority of</w:t>
                  </w:r>
                  <w:r w:rsidR="009B6D04" w:rsidRPr="00BF2730">
                    <w:t xml:space="preserve"> FaRS and SFVS </w:t>
                  </w:r>
                  <w:r w:rsidR="00623088" w:rsidRPr="00BF2730">
                    <w:t xml:space="preserve">service </w:t>
                  </w:r>
                  <w:r w:rsidR="009B6D04" w:rsidRPr="00BF2730">
                    <w:t xml:space="preserve">providers </w:t>
                  </w:r>
                  <w:r w:rsidR="00936894" w:rsidRPr="00BF2730">
                    <w:t>expressed</w:t>
                  </w:r>
                  <w:r w:rsidR="009B6D04" w:rsidRPr="00BF2730">
                    <w:t xml:space="preserve"> </w:t>
                  </w:r>
                  <w:r w:rsidR="00623088" w:rsidRPr="00BF2730">
                    <w:t xml:space="preserve">a preference for </w:t>
                  </w:r>
                  <w:r w:rsidR="009B6D04" w:rsidRPr="00BF2730">
                    <w:t xml:space="preserve">face-to-face </w:t>
                  </w:r>
                  <w:r w:rsidR="00936894" w:rsidRPr="00BF2730">
                    <w:t>counselling,</w:t>
                  </w:r>
                  <w:r w:rsidR="00936894">
                    <w:t xml:space="preserve"> which they felt </w:t>
                  </w:r>
                  <w:r w:rsidR="00417008">
                    <w:t>made it easier to build rapport and a therapeutic connection.</w:t>
                  </w:r>
                  <w:r w:rsidR="00F93C4F">
                    <w:t xml:space="preserve"> This preference was echoed by most of the service users engaged during the evaluation</w:t>
                  </w:r>
                  <w:r w:rsidR="009B6D04">
                    <w:t>, despite some research indicating th</w:t>
                  </w:r>
                  <w:r w:rsidR="00F93C4F">
                    <w:t>at</w:t>
                  </w:r>
                  <w:r w:rsidR="009B6D04">
                    <w:t xml:space="preserve"> rapport can still be built virtually in some instances </w:t>
                  </w:r>
                  <w:r w:rsidR="009B6D04" w:rsidRPr="00AA0631">
                    <w:fldChar w:fldCharType="begin"/>
                  </w:r>
                  <w:r w:rsidR="00E41D03">
                    <w:instrText xml:space="preserve"> ADDIN ZOTERO_ITEM CSL_CITATION {"citationID":"HY456uGA","properties":{"formattedCitation":"(Kohlhoff et al., 2020)","plainCitation":"(Kohlhoff et al., 2020)","noteIndex":0},"citationItems":[{"id":4628,"uris":["http://zotero.org/groups/5691188/items/KZZF7Q6G"],"itemData":{"id":4628,"type":"article-journal","container-title":"Rural and Remote Health","DOI":"10.22605/RRH5306","ISSN":"14456354","journalAbbreviation":"Rural Remote Health","language":"en","source":"DOI.org (Crossref)","title":"Feasibility and acceptability of internet-delivered parent–child interaction therapy for rural Australian families: a qualitative investigation","title-short":"Feasibility and acceptability of internet-delivered parent–child interaction therapy for rural Australian families","URL":"https://www.rrh.org.au/journal/article/5306","author":[{"family":"Kohlhoff","given":"Jane"},{"family":"Cibralic","given":"Sara"},{"family":"Horswood","given":"Deserae"},{"family":"Turnell","given":"Adrienne"},{"family":"Maiuolo","given":"Michelle"},{"family":"Morgan","given":"Susan"}],"accessed":{"date-parts":[["2024",10,4]]},"issued":{"date-parts":[["2020",1,10]]}}}],"schema":"https://github.com/citation-style-language/schema/raw/master/csl-citation.json"} </w:instrText>
                  </w:r>
                  <w:r w:rsidR="009B6D04" w:rsidRPr="00AA0631">
                    <w:fldChar w:fldCharType="separate"/>
                  </w:r>
                  <w:r w:rsidR="009B6D04" w:rsidRPr="00AC138C">
                    <w:rPr>
                      <w:rFonts w:ascii="Arial" w:hAnsi="Arial" w:cs="Arial"/>
                    </w:rPr>
                    <w:t>(Kohlhoff et al., 2020)</w:t>
                  </w:r>
                  <w:r w:rsidR="009B6D04" w:rsidRPr="00AA0631">
                    <w:fldChar w:fldCharType="end"/>
                  </w:r>
                  <w:r w:rsidR="009B6D04" w:rsidRPr="00AA0631">
                    <w:t>.</w:t>
                  </w:r>
                  <w:r w:rsidR="009B6D04">
                    <w:t xml:space="preserve"> </w:t>
                  </w:r>
                </w:p>
                <w:p w14:paraId="5F2688EE" w14:textId="0BF48BC0" w:rsidR="005674C7" w:rsidRPr="006A0187" w:rsidRDefault="009B6D04" w:rsidP="005674C7">
                  <w:pPr>
                    <w:pBdr>
                      <w:left w:val="single" w:sz="18" w:space="4" w:color="78B800" w:themeColor="accent1"/>
                    </w:pBdr>
                    <w:tabs>
                      <w:tab w:val="left" w:pos="8080"/>
                    </w:tabs>
                    <w:spacing w:after="0"/>
                    <w:ind w:left="851" w:right="949"/>
                    <w:rPr>
                      <w:b/>
                      <w:i/>
                    </w:rPr>
                  </w:pPr>
                  <w:r w:rsidRPr="007A242F">
                    <w:rPr>
                      <w:i/>
                      <w:iCs/>
                      <w:noProof/>
                    </w:rPr>
                    <w:drawing>
                      <wp:anchor distT="0" distB="0" distL="114300" distR="114300" simplePos="0" relativeHeight="251658339" behindDoc="0" locked="1" layoutInCell="1" allowOverlap="1" wp14:anchorId="645FF61D" wp14:editId="4D81CB85">
                        <wp:simplePos x="0" y="0"/>
                        <wp:positionH relativeFrom="column">
                          <wp:posOffset>0</wp:posOffset>
                        </wp:positionH>
                        <wp:positionV relativeFrom="paragraph">
                          <wp:posOffset>0</wp:posOffset>
                        </wp:positionV>
                        <wp:extent cx="384810" cy="320040"/>
                        <wp:effectExtent l="0" t="0" r="0" b="3810"/>
                        <wp:wrapNone/>
                        <wp:docPr id="939908567" name="Graphic 939908567" descr="P2758#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908567" name="Graphic 939908567" descr="P2758#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674C7" w:rsidRPr="00A60204">
                    <w:rPr>
                      <w:i/>
                      <w:iCs/>
                    </w:rPr>
                    <w:t>Sometimes I have phone appointments, but I normally go into the office. I prefer face-to-face […] When you talk to people on the phone – I have a big thing about seeing peoples’ demeanour, your eyes […] I feel more comfortable and comforted with people [in-person]. On the phone, they can’t see you physically and you don’t see them physically either. It’s more personal when you’re talking face</w:t>
                  </w:r>
                  <w:r w:rsidR="006F6CB2">
                    <w:rPr>
                      <w:i/>
                      <w:iCs/>
                    </w:rPr>
                    <w:t>-</w:t>
                  </w:r>
                  <w:r w:rsidR="005674C7" w:rsidRPr="00A60204">
                    <w:rPr>
                      <w:i/>
                      <w:iCs/>
                    </w:rPr>
                    <w:t>to</w:t>
                  </w:r>
                  <w:r w:rsidR="006F6CB2">
                    <w:rPr>
                      <w:i/>
                      <w:iCs/>
                    </w:rPr>
                    <w:t>-</w:t>
                  </w:r>
                  <w:r w:rsidR="005674C7" w:rsidRPr="00A60204">
                    <w:rPr>
                      <w:i/>
                      <w:iCs/>
                    </w:rPr>
                    <w:t xml:space="preserve">face </w:t>
                  </w:r>
                  <w:r w:rsidR="005674C7" w:rsidRPr="002E7992">
                    <w:rPr>
                      <w:b/>
                      <w:bCs/>
                      <w:i/>
                      <w:iCs/>
                    </w:rPr>
                    <w:t>–</w:t>
                  </w:r>
                  <w:r w:rsidR="005674C7">
                    <w:rPr>
                      <w:b/>
                      <w:bCs/>
                      <w:i/>
                      <w:iCs/>
                    </w:rPr>
                    <w:t xml:space="preserve"> FaRS service user</w:t>
                  </w:r>
                </w:p>
                <w:p w14:paraId="36C114B6" w14:textId="77777777" w:rsidR="005674C7" w:rsidRPr="009E0FAD" w:rsidRDefault="005674C7" w:rsidP="005674C7">
                  <w:pPr>
                    <w:pStyle w:val="Text"/>
                  </w:pPr>
                </w:p>
                <w:p w14:paraId="4F6892F5" w14:textId="77777777" w:rsidR="00602DD1" w:rsidRDefault="00602DD1">
                  <w:pPr>
                    <w:rPr>
                      <w:i/>
                      <w:iCs/>
                    </w:rPr>
                  </w:pPr>
                  <w:r>
                    <w:rPr>
                      <w:i/>
                      <w:iCs/>
                    </w:rPr>
                    <w:br w:type="page"/>
                  </w:r>
                </w:p>
                <w:p w14:paraId="0FAAEAA6" w14:textId="10A58B42" w:rsidR="00911CF1" w:rsidRPr="005C1C78" w:rsidRDefault="00911CF1" w:rsidP="00911CF1">
                  <w:pPr>
                    <w:pBdr>
                      <w:left w:val="single" w:sz="18" w:space="4" w:color="78B800" w:themeColor="accent1"/>
                    </w:pBdr>
                    <w:tabs>
                      <w:tab w:val="left" w:pos="8080"/>
                    </w:tabs>
                    <w:spacing w:after="0"/>
                    <w:ind w:left="851" w:right="949"/>
                    <w:rPr>
                      <w:i/>
                      <w:iCs/>
                    </w:rPr>
                  </w:pPr>
                  <w:r w:rsidRPr="002E7992">
                    <w:rPr>
                      <w:noProof/>
                    </w:rPr>
                    <w:lastRenderedPageBreak/>
                    <w:drawing>
                      <wp:anchor distT="0" distB="0" distL="114300" distR="114300" simplePos="0" relativeHeight="251658340" behindDoc="0" locked="1" layoutInCell="1" allowOverlap="1" wp14:anchorId="096F4C97" wp14:editId="7921DC4B">
                        <wp:simplePos x="0" y="0"/>
                        <wp:positionH relativeFrom="column">
                          <wp:posOffset>0</wp:posOffset>
                        </wp:positionH>
                        <wp:positionV relativeFrom="paragraph">
                          <wp:posOffset>0</wp:posOffset>
                        </wp:positionV>
                        <wp:extent cx="384810" cy="320040"/>
                        <wp:effectExtent l="0" t="0" r="0" b="3810"/>
                        <wp:wrapNone/>
                        <wp:docPr id="781620757" name="Graphic 781620757" descr="P2761#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620757" name="Graphic 781620757" descr="P2761#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i/>
                      <w:iCs/>
                    </w:rPr>
                    <w:t>G</w:t>
                  </w:r>
                  <w:r w:rsidRPr="00C63233">
                    <w:rPr>
                      <w:i/>
                      <w:iCs/>
                    </w:rPr>
                    <w:t xml:space="preserve">iving </w:t>
                  </w:r>
                  <w:r>
                    <w:rPr>
                      <w:i/>
                      <w:iCs/>
                    </w:rPr>
                    <w:t>[counselling] to […]</w:t>
                  </w:r>
                  <w:r w:rsidRPr="00C63233">
                    <w:rPr>
                      <w:i/>
                      <w:iCs/>
                    </w:rPr>
                    <w:t xml:space="preserve"> clients </w:t>
                  </w:r>
                  <w:r>
                    <w:rPr>
                      <w:i/>
                      <w:iCs/>
                    </w:rPr>
                    <w:t>[…]</w:t>
                  </w:r>
                  <w:r w:rsidRPr="00C63233">
                    <w:rPr>
                      <w:i/>
                      <w:iCs/>
                    </w:rPr>
                    <w:t xml:space="preserve"> online, I found that actually it was the one good thing that came out of </w:t>
                  </w:r>
                  <w:r>
                    <w:rPr>
                      <w:i/>
                      <w:iCs/>
                    </w:rPr>
                    <w:t>COVID</w:t>
                  </w:r>
                  <w:r w:rsidRPr="00C63233">
                    <w:rPr>
                      <w:i/>
                      <w:iCs/>
                    </w:rPr>
                    <w:t>. It actually made people realise how available</w:t>
                  </w:r>
                  <w:r>
                    <w:rPr>
                      <w:i/>
                      <w:iCs/>
                    </w:rPr>
                    <w:t xml:space="preserve"> [services are]</w:t>
                  </w:r>
                  <w:r w:rsidRPr="00C63233">
                    <w:rPr>
                      <w:i/>
                      <w:iCs/>
                    </w:rPr>
                    <w:t xml:space="preserve"> </w:t>
                  </w:r>
                  <w:r>
                    <w:rPr>
                      <w:i/>
                      <w:iCs/>
                    </w:rPr>
                    <w:t>[…]</w:t>
                  </w:r>
                  <w:r w:rsidRPr="00C63233">
                    <w:rPr>
                      <w:i/>
                      <w:iCs/>
                    </w:rPr>
                    <w:t xml:space="preserve"> </w:t>
                  </w:r>
                  <w:r>
                    <w:rPr>
                      <w:i/>
                      <w:iCs/>
                    </w:rPr>
                    <w:t>T</w:t>
                  </w:r>
                  <w:r w:rsidRPr="00C63233">
                    <w:rPr>
                      <w:i/>
                      <w:iCs/>
                    </w:rPr>
                    <w:t>hat broaden</w:t>
                  </w:r>
                  <w:r>
                    <w:rPr>
                      <w:i/>
                      <w:iCs/>
                    </w:rPr>
                    <w:t>s</w:t>
                  </w:r>
                  <w:r w:rsidRPr="00C63233">
                    <w:rPr>
                      <w:i/>
                      <w:iCs/>
                    </w:rPr>
                    <w:t xml:space="preserve"> things because some of my clientele might be, you know</w:t>
                  </w:r>
                  <w:r>
                    <w:rPr>
                      <w:i/>
                      <w:iCs/>
                    </w:rPr>
                    <w:t xml:space="preserve"> living [far away] [</w:t>
                  </w:r>
                  <w:r w:rsidR="00F33F66">
                    <w:rPr>
                      <w:i/>
                      <w:iCs/>
                    </w:rPr>
                    <w:t>…</w:t>
                  </w:r>
                  <w:r>
                    <w:rPr>
                      <w:i/>
                      <w:iCs/>
                    </w:rPr>
                    <w:t>]</w:t>
                  </w:r>
                  <w:r w:rsidRPr="00C63233">
                    <w:rPr>
                      <w:i/>
                      <w:iCs/>
                    </w:rPr>
                    <w:t xml:space="preserve"> So if I've got people coming down for a contact, I will try and encourage them </w:t>
                  </w:r>
                  <w:r>
                    <w:rPr>
                      <w:i/>
                      <w:iCs/>
                    </w:rPr>
                    <w:t>to come in to</w:t>
                  </w:r>
                  <w:r w:rsidRPr="00C63233">
                    <w:rPr>
                      <w:i/>
                      <w:iCs/>
                    </w:rPr>
                    <w:t xml:space="preserve"> the office</w:t>
                  </w:r>
                  <w:r>
                    <w:rPr>
                      <w:i/>
                      <w:iCs/>
                    </w:rPr>
                    <w:t xml:space="preserve"> […] </w:t>
                  </w:r>
                  <w:r w:rsidRPr="00C63233">
                    <w:rPr>
                      <w:i/>
                      <w:iCs/>
                    </w:rPr>
                    <w:t>just to help them with their accountability and to build their capacity for meeting</w:t>
                  </w:r>
                  <w:r>
                    <w:rPr>
                      <w:i/>
                      <w:iCs/>
                    </w:rPr>
                    <w:t>, y</w:t>
                  </w:r>
                  <w:r w:rsidRPr="00C63233">
                    <w:rPr>
                      <w:i/>
                      <w:iCs/>
                    </w:rPr>
                    <w:t>ou know, those day-to-day needs for their children. But you know where</w:t>
                  </w:r>
                  <w:r>
                    <w:rPr>
                      <w:i/>
                      <w:iCs/>
                    </w:rPr>
                    <w:t xml:space="preserve"> i</w:t>
                  </w:r>
                  <w:r w:rsidRPr="00C63233">
                    <w:rPr>
                      <w:i/>
                      <w:iCs/>
                    </w:rPr>
                    <w:t>t's not possible</w:t>
                  </w:r>
                  <w:r>
                    <w:rPr>
                      <w:i/>
                      <w:iCs/>
                    </w:rPr>
                    <w:t xml:space="preserve"> w</w:t>
                  </w:r>
                  <w:r w:rsidRPr="00C63233">
                    <w:rPr>
                      <w:i/>
                      <w:iCs/>
                    </w:rPr>
                    <w:t>e do online</w:t>
                  </w:r>
                  <w:r w:rsidR="00175D50" w:rsidRPr="00C63233">
                    <w:rPr>
                      <w:i/>
                      <w:iCs/>
                    </w:rPr>
                    <w:t>,</w:t>
                  </w:r>
                  <w:r w:rsidRPr="00C63233">
                    <w:rPr>
                      <w:i/>
                      <w:iCs/>
                    </w:rPr>
                    <w:t xml:space="preserve"> and it works really successfully. I actually find sometimes that doing it in this way can be quite helpful for clients because</w:t>
                  </w:r>
                  <w:r>
                    <w:rPr>
                      <w:i/>
                      <w:iCs/>
                    </w:rPr>
                    <w:t xml:space="preserve"> t</w:t>
                  </w:r>
                  <w:r w:rsidRPr="00C63233">
                    <w:rPr>
                      <w:i/>
                      <w:iCs/>
                    </w:rPr>
                    <w:t>he engagement can actually be higher</w:t>
                  </w:r>
                  <w:r>
                    <w:rPr>
                      <w:i/>
                      <w:iCs/>
                    </w:rPr>
                    <w:t xml:space="preserve"> </w:t>
                  </w:r>
                  <w:r w:rsidRPr="002E7992">
                    <w:rPr>
                      <w:b/>
                      <w:bCs/>
                      <w:i/>
                      <w:iCs/>
                    </w:rPr>
                    <w:t>–</w:t>
                  </w:r>
                  <w:r>
                    <w:rPr>
                      <w:b/>
                      <w:bCs/>
                      <w:i/>
                      <w:iCs/>
                    </w:rPr>
                    <w:t xml:space="preserve"> FaRS s</w:t>
                  </w:r>
                  <w:r w:rsidRPr="002E7992">
                    <w:rPr>
                      <w:b/>
                      <w:bCs/>
                      <w:i/>
                      <w:iCs/>
                    </w:rPr>
                    <w:t>ervice provider</w:t>
                  </w:r>
                </w:p>
                <w:p w14:paraId="2AF8A179" w14:textId="77777777" w:rsidR="00911CF1" w:rsidRDefault="00911CF1" w:rsidP="00911CF1">
                  <w:pPr>
                    <w:pStyle w:val="Text"/>
                    <w:rPr>
                      <w:b/>
                      <w:bCs/>
                    </w:rPr>
                  </w:pPr>
                </w:p>
                <w:p w14:paraId="2E36E994" w14:textId="5C9E6E2E" w:rsidR="00177A19" w:rsidRDefault="00DC37E6" w:rsidP="00177A19">
                  <w:pPr>
                    <w:pStyle w:val="Text"/>
                    <w:rPr>
                      <w:lang w:val="en-US"/>
                    </w:rPr>
                  </w:pPr>
                  <w:r w:rsidRPr="008A5314">
                    <w:t>Where service providers and users expressed comfort with virtual services, this was often in the context of</w:t>
                  </w:r>
                  <w:r w:rsidR="00B54B5D" w:rsidRPr="008A5314">
                    <w:t xml:space="preserve"> a hybrid model</w:t>
                  </w:r>
                  <w:r w:rsidR="00E26BD7">
                    <w:t>,</w:t>
                  </w:r>
                  <w:r w:rsidR="00324AEC" w:rsidRPr="008A5314">
                    <w:t xml:space="preserve"> </w:t>
                  </w:r>
                  <w:r w:rsidR="00177A19" w:rsidRPr="00301559">
                    <w:t xml:space="preserve">with emphasis placed on services </w:t>
                  </w:r>
                  <w:r w:rsidR="00177A19">
                    <w:t>adapting</w:t>
                  </w:r>
                  <w:r w:rsidR="00177A19" w:rsidRPr="00301559">
                    <w:t xml:space="preserve"> to the needs of service users when and where possible. </w:t>
                  </w:r>
                  <w:r w:rsidR="00E13B78" w:rsidRPr="008A5314">
                    <w:t>This</w:t>
                  </w:r>
                  <w:r w:rsidR="00E13B78">
                    <w:t xml:space="preserve"> often involve</w:t>
                  </w:r>
                  <w:r w:rsidR="00504A4C">
                    <w:t>d</w:t>
                  </w:r>
                  <w:r w:rsidR="00E13B78">
                    <w:t xml:space="preserve"> establish</w:t>
                  </w:r>
                  <w:r w:rsidR="003D52D5">
                    <w:t>ing</w:t>
                  </w:r>
                  <w:r w:rsidR="00E13B78">
                    <w:t xml:space="preserve"> rapport through initial face</w:t>
                  </w:r>
                  <w:r w:rsidR="006F6CB2">
                    <w:t>-</w:t>
                  </w:r>
                  <w:r w:rsidR="00E13B78">
                    <w:t>to</w:t>
                  </w:r>
                  <w:r w:rsidR="006F6CB2">
                    <w:t>-</w:t>
                  </w:r>
                  <w:r w:rsidR="00E13B78">
                    <w:t>face sessions, before transitioning to virtual sessions</w:t>
                  </w:r>
                  <w:r w:rsidR="00177A19" w:rsidRPr="00301559">
                    <w:t xml:space="preserve">, </w:t>
                  </w:r>
                  <w:r w:rsidR="00A32B31">
                    <w:t>with the provision of face</w:t>
                  </w:r>
                  <w:r w:rsidR="00175D50">
                    <w:t>-to-face</w:t>
                  </w:r>
                  <w:r w:rsidR="00A32B31">
                    <w:t xml:space="preserve"> services</w:t>
                  </w:r>
                  <w:r w:rsidR="00177A19" w:rsidRPr="00301559">
                    <w:t xml:space="preserve"> when need was particularly acute. </w:t>
                  </w:r>
                  <w:r w:rsidR="00177A19" w:rsidRPr="008355E8">
                    <w:rPr>
                      <w:lang w:val="en-US"/>
                    </w:rPr>
                    <w:t>The flexibility of hybrid options was also identified as a positive by some</w:t>
                  </w:r>
                  <w:r w:rsidR="00AA4FF6">
                    <w:rPr>
                      <w:lang w:val="en-US"/>
                    </w:rPr>
                    <w:t xml:space="preserve"> FaRS and SFVS service users</w:t>
                  </w:r>
                  <w:r w:rsidR="00177A19">
                    <w:rPr>
                      <w:lang w:val="en-US"/>
                    </w:rPr>
                    <w:t>, including those with acute mental health issues, experiences of family violence, or other difficult life circumstances</w:t>
                  </w:r>
                  <w:r w:rsidR="00794CDA">
                    <w:rPr>
                      <w:lang w:val="en-US"/>
                    </w:rPr>
                    <w:t>. Hybrid options</w:t>
                  </w:r>
                  <w:r w:rsidR="00177A19">
                    <w:rPr>
                      <w:lang w:val="en-US"/>
                    </w:rPr>
                    <w:t xml:space="preserve"> allowed them to move between different modalities depending on what was happening in their life that particular week </w:t>
                  </w:r>
                  <w:r w:rsidR="00177A19">
                    <w:rPr>
                      <w:lang w:val="en-US"/>
                    </w:rPr>
                    <w:fldChar w:fldCharType="begin"/>
                  </w:r>
                  <w:r w:rsidR="00E41D03">
                    <w:rPr>
                      <w:lang w:val="en-US"/>
                    </w:rPr>
                    <w:instrText xml:space="preserve"> ADDIN ZOTERO_ITEM CSL_CITATION {"citationID":"GxtzHvoV","properties":{"formattedCitation":"(Joshi et al., 2021)","plainCitation":"(Joshi et al., 2021)","noteIndex":0},"citationItems":[{"id":4582,"uris":["http://zotero.org/groups/5691188/items/F9IQWGPQ"],"itemData":{"id":4582,"type":"article-journal","container-title":"Journal of the Psychotherapy and Counselling Federation of Australia","page":"40-48","title":"The use of telepractice in the family and relationship services sector","volume":"1","author":[{"family":"Joshi","given":"A"},{"family":"Paterson","given":"N"},{"family":"Hinkely","given":"T"},{"family":"Joss","given":"N"}],"issued":{"date-parts":[["2021"]]}}}],"schema":"https://github.com/citation-style-language/schema/raw/master/csl-citation.json"} </w:instrText>
                  </w:r>
                  <w:r w:rsidR="00177A19">
                    <w:rPr>
                      <w:lang w:val="en-US"/>
                    </w:rPr>
                    <w:fldChar w:fldCharType="separate"/>
                  </w:r>
                  <w:r w:rsidR="00177A19" w:rsidRPr="00BA0AD4">
                    <w:rPr>
                      <w:rFonts w:ascii="Arial" w:hAnsi="Arial" w:cs="Arial"/>
                    </w:rPr>
                    <w:t>(Joshi et al., 2021)</w:t>
                  </w:r>
                  <w:r w:rsidR="00177A19">
                    <w:rPr>
                      <w:lang w:val="en-US"/>
                    </w:rPr>
                    <w:fldChar w:fldCharType="end"/>
                  </w:r>
                  <w:r w:rsidR="00177A19">
                    <w:rPr>
                      <w:lang w:val="en-US"/>
                    </w:rPr>
                    <w:t xml:space="preserve">. </w:t>
                  </w:r>
                </w:p>
                <w:p w14:paraId="2CDB9211" w14:textId="55929D5F" w:rsidR="000545F2" w:rsidRPr="00CA7180" w:rsidRDefault="000545F2" w:rsidP="000545F2">
                  <w:pPr>
                    <w:pBdr>
                      <w:left w:val="single" w:sz="18" w:space="4" w:color="78B800" w:themeColor="accent1"/>
                    </w:pBdr>
                    <w:tabs>
                      <w:tab w:val="left" w:pos="8080"/>
                    </w:tabs>
                    <w:spacing w:after="0"/>
                    <w:ind w:left="851" w:right="949"/>
                    <w:rPr>
                      <w:i/>
                      <w:iCs/>
                    </w:rPr>
                  </w:pPr>
                  <w:r w:rsidRPr="004D0875">
                    <w:rPr>
                      <w:i/>
                      <w:noProof/>
                    </w:rPr>
                    <w:drawing>
                      <wp:anchor distT="0" distB="0" distL="114300" distR="114300" simplePos="0" relativeHeight="251658341" behindDoc="0" locked="1" layoutInCell="1" allowOverlap="1" wp14:anchorId="7E7F6B11" wp14:editId="470AFFD8">
                        <wp:simplePos x="0" y="0"/>
                        <wp:positionH relativeFrom="column">
                          <wp:posOffset>0</wp:posOffset>
                        </wp:positionH>
                        <wp:positionV relativeFrom="paragraph">
                          <wp:posOffset>0</wp:posOffset>
                        </wp:positionV>
                        <wp:extent cx="384810" cy="320040"/>
                        <wp:effectExtent l="0" t="0" r="0" b="3810"/>
                        <wp:wrapNone/>
                        <wp:docPr id="625030736" name="Graphic 625030736" descr="P2764#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030736" name="Graphic 625030736" descr="P2764#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D0875">
                    <w:rPr>
                      <w:i/>
                    </w:rPr>
                    <w:t xml:space="preserve">We have so many clients who have social anxiety </w:t>
                  </w:r>
                  <w:r w:rsidR="006F7302" w:rsidRPr="004D0875">
                    <w:rPr>
                      <w:i/>
                    </w:rPr>
                    <w:t>who</w:t>
                  </w:r>
                  <w:r w:rsidRPr="004D0875">
                    <w:rPr>
                      <w:i/>
                    </w:rPr>
                    <w:t xml:space="preserve"> may have some safety concerns about coming in, you know, or they can't get the time away from work or from their family</w:t>
                  </w:r>
                  <w:r w:rsidR="006F7302" w:rsidRPr="004D0875">
                    <w:rPr>
                      <w:i/>
                    </w:rPr>
                    <w:t xml:space="preserve"> </w:t>
                  </w:r>
                  <w:r w:rsidRPr="004D0875">
                    <w:rPr>
                      <w:i/>
                    </w:rPr>
                    <w:t>[…] Having said that, we did do some research and did note that most of our clients have said that they are happy with like a hybrid model, but they would prefer at least to have that initial session face</w:t>
                  </w:r>
                  <w:r w:rsidR="006F6CB2">
                    <w:rPr>
                      <w:i/>
                    </w:rPr>
                    <w:t>-</w:t>
                  </w:r>
                  <w:r w:rsidRPr="004D0875">
                    <w:rPr>
                      <w:i/>
                    </w:rPr>
                    <w:t>to</w:t>
                  </w:r>
                  <w:r w:rsidR="006F6CB2">
                    <w:rPr>
                      <w:i/>
                    </w:rPr>
                    <w:t>-</w:t>
                  </w:r>
                  <w:r w:rsidRPr="004D0875">
                    <w:rPr>
                      <w:i/>
                    </w:rPr>
                    <w:t>face which was really interesting. It's like getting that sense of the person getting to know the practitioner face</w:t>
                  </w:r>
                  <w:r w:rsidR="006F6CB2">
                    <w:rPr>
                      <w:i/>
                    </w:rPr>
                    <w:t>-</w:t>
                  </w:r>
                  <w:r w:rsidRPr="004D0875">
                    <w:rPr>
                      <w:i/>
                    </w:rPr>
                    <w:t>to</w:t>
                  </w:r>
                  <w:r w:rsidR="006F6CB2">
                    <w:rPr>
                      <w:i/>
                    </w:rPr>
                    <w:t>-</w:t>
                  </w:r>
                  <w:r w:rsidRPr="004D0875">
                    <w:rPr>
                      <w:i/>
                    </w:rPr>
                    <w:t>face, and then they're often happy to go online</w:t>
                  </w:r>
                  <w:r>
                    <w:rPr>
                      <w:i/>
                      <w:iCs/>
                    </w:rPr>
                    <w:t xml:space="preserve"> </w:t>
                  </w:r>
                  <w:r w:rsidRPr="002E7992">
                    <w:rPr>
                      <w:b/>
                      <w:bCs/>
                      <w:i/>
                      <w:iCs/>
                    </w:rPr>
                    <w:t>–</w:t>
                  </w:r>
                  <w:r>
                    <w:rPr>
                      <w:b/>
                      <w:bCs/>
                      <w:i/>
                      <w:iCs/>
                    </w:rPr>
                    <w:t xml:space="preserve"> FaRS s</w:t>
                  </w:r>
                  <w:r w:rsidRPr="002E7992">
                    <w:rPr>
                      <w:b/>
                      <w:bCs/>
                      <w:i/>
                      <w:iCs/>
                    </w:rPr>
                    <w:t>ervice provider</w:t>
                  </w:r>
                </w:p>
                <w:p w14:paraId="537CB9D1" w14:textId="77777777" w:rsidR="00177A19" w:rsidRDefault="00177A19" w:rsidP="00177A19">
                  <w:pPr>
                    <w:pStyle w:val="Text"/>
                    <w:rPr>
                      <w:lang w:val="en-US"/>
                    </w:rPr>
                  </w:pPr>
                </w:p>
                <w:p w14:paraId="42CFD36D" w14:textId="0134BE23" w:rsidR="000545F2" w:rsidRDefault="00C3517B" w:rsidP="000545F2">
                  <w:pPr>
                    <w:pStyle w:val="Text"/>
                    <w:rPr>
                      <w:lang w:val="en-US"/>
                    </w:rPr>
                  </w:pPr>
                  <w:r w:rsidRPr="00C3517B">
                    <w:t>Flexible communication between counsellors and service users was valued. Some FaRS service users reported being able to contact their counsellor for support outside of scheduled sessions via phone or email</w:t>
                  </w:r>
                  <w:r w:rsidR="00D7773D">
                    <w:t>.</w:t>
                  </w:r>
                  <w:r w:rsidRPr="00C3517B">
                    <w:t xml:space="preserve"> Counsellors also proactively reached out to service users during particularly difficult periods.</w:t>
                  </w:r>
                  <w:r>
                    <w:t xml:space="preserve"> </w:t>
                  </w:r>
                </w:p>
                <w:p w14:paraId="39EEE2F3" w14:textId="14EF5464" w:rsidR="000545F2" w:rsidRPr="006A0187" w:rsidRDefault="000545F2" w:rsidP="000545F2">
                  <w:pPr>
                    <w:pBdr>
                      <w:left w:val="single" w:sz="18" w:space="4" w:color="78B800" w:themeColor="accent1"/>
                    </w:pBdr>
                    <w:tabs>
                      <w:tab w:val="left" w:pos="8080"/>
                    </w:tabs>
                    <w:spacing w:after="0"/>
                    <w:ind w:left="851" w:right="949"/>
                    <w:rPr>
                      <w:b/>
                      <w:i/>
                    </w:rPr>
                  </w:pPr>
                  <w:r w:rsidRPr="007A242F">
                    <w:rPr>
                      <w:i/>
                      <w:iCs/>
                      <w:noProof/>
                    </w:rPr>
                    <w:drawing>
                      <wp:anchor distT="0" distB="0" distL="114300" distR="114300" simplePos="0" relativeHeight="251658342" behindDoc="0" locked="1" layoutInCell="1" allowOverlap="1" wp14:anchorId="1C8562C4" wp14:editId="55F7EBAD">
                        <wp:simplePos x="0" y="0"/>
                        <wp:positionH relativeFrom="column">
                          <wp:posOffset>0</wp:posOffset>
                        </wp:positionH>
                        <wp:positionV relativeFrom="paragraph">
                          <wp:posOffset>0</wp:posOffset>
                        </wp:positionV>
                        <wp:extent cx="384810" cy="320040"/>
                        <wp:effectExtent l="0" t="0" r="0" b="3810"/>
                        <wp:wrapNone/>
                        <wp:docPr id="1414429438" name="Graphic 1414429438" descr="P2767#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429438" name="Graphic 1414429438" descr="P2767#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13FD9">
                    <w:rPr>
                      <w:i/>
                      <w:iCs/>
                    </w:rPr>
                    <w:t>Given the nature of our issues, I wouldn’t do virtual full time because it’s too hard with my mental health but sometimes on the morning of an appointment, I’ll email [my counsellor] and say I’m having an awful morning – can you call me instead</w:t>
                  </w:r>
                  <w:r w:rsidRPr="00A60204">
                    <w:rPr>
                      <w:i/>
                      <w:iCs/>
                    </w:rPr>
                    <w:t xml:space="preserve"> </w:t>
                  </w:r>
                  <w:r w:rsidRPr="002E7992">
                    <w:rPr>
                      <w:b/>
                      <w:bCs/>
                      <w:i/>
                      <w:iCs/>
                    </w:rPr>
                    <w:t>–</w:t>
                  </w:r>
                  <w:r>
                    <w:rPr>
                      <w:b/>
                      <w:bCs/>
                      <w:i/>
                      <w:iCs/>
                    </w:rPr>
                    <w:t xml:space="preserve"> FaRS service user</w:t>
                  </w:r>
                </w:p>
                <w:p w14:paraId="20DC106B" w14:textId="77777777" w:rsidR="00523890" w:rsidRDefault="00523890" w:rsidP="00911CF1">
                  <w:pPr>
                    <w:pStyle w:val="Text"/>
                  </w:pPr>
                </w:p>
                <w:p w14:paraId="2FF3CB4E" w14:textId="556FDEE0" w:rsidR="002D172A" w:rsidRDefault="00783825" w:rsidP="0037658B">
                  <w:pPr>
                    <w:pStyle w:val="Text"/>
                  </w:pPr>
                  <w:r>
                    <w:lastRenderedPageBreak/>
                    <w:t xml:space="preserve">There was clear consensus among FaRS and SFVS service providers </w:t>
                  </w:r>
                  <w:r w:rsidR="0037658B">
                    <w:t xml:space="preserve">that </w:t>
                  </w:r>
                  <w:r w:rsidR="00A86832">
                    <w:t>virtual</w:t>
                  </w:r>
                  <w:r w:rsidR="0037658B">
                    <w:t xml:space="preserve"> delivery</w:t>
                  </w:r>
                  <w:r w:rsidR="00B43424">
                    <w:t xml:space="preserve"> </w:t>
                  </w:r>
                  <w:r w:rsidR="005D481F">
                    <w:t>is more appropriate for some service</w:t>
                  </w:r>
                  <w:r w:rsidR="007C15B0">
                    <w:t>s</w:t>
                  </w:r>
                  <w:r w:rsidR="005D481F">
                    <w:t xml:space="preserve"> </w:t>
                  </w:r>
                  <w:r w:rsidR="00B43424">
                    <w:t>than others</w:t>
                  </w:r>
                  <w:r w:rsidR="0037658B">
                    <w:t xml:space="preserve">. </w:t>
                  </w:r>
                  <w:r w:rsidR="00D14759">
                    <w:t>Key considerations include</w:t>
                  </w:r>
                  <w:r w:rsidR="0037658B" w:rsidRPr="00EF71CC">
                    <w:t xml:space="preserve"> the complexities of creating a safe, therapeutic environment </w:t>
                  </w:r>
                  <w:r w:rsidR="0037658B">
                    <w:t>remotely</w:t>
                  </w:r>
                  <w:r w:rsidR="0037658B" w:rsidRPr="00EF71CC">
                    <w:t xml:space="preserve">, including ensuring </w:t>
                  </w:r>
                  <w:r w:rsidR="0037658B">
                    <w:t>privacy</w:t>
                  </w:r>
                  <w:r w:rsidR="0037658B" w:rsidRPr="00EF71CC">
                    <w:t xml:space="preserve"> </w:t>
                  </w:r>
                  <w:r w:rsidR="0037658B">
                    <w:fldChar w:fldCharType="begin"/>
                  </w:r>
                  <w:r w:rsidR="00E41D03">
                    <w:instrText xml:space="preserve"> ADDIN ZOTERO_ITEM CSL_CITATION {"citationID":"ws6R07HB","properties":{"formattedCitation":"(Joshi et al., 2021)","plainCitation":"(Joshi et al., 2021)","noteIndex":0},"citationItems":[{"id":4582,"uris":["http://zotero.org/groups/5691188/items/F9IQWGPQ"],"itemData":{"id":4582,"type":"article-journal","container-title":"Journal of the Psychotherapy and Counselling Federation of Australia","page":"40-48","title":"The use of telepractice in the family and relationship services sector","volume":"1","author":[{"family":"Joshi","given":"A"},{"family":"Paterson","given":"N"},{"family":"Hinkely","given":"T"},{"family":"Joss","given":"N"}],"issued":{"date-parts":[["2021"]]}}}],"schema":"https://github.com/citation-style-language/schema/raw/master/csl-citation.json"} </w:instrText>
                  </w:r>
                  <w:r w:rsidR="0037658B">
                    <w:fldChar w:fldCharType="separate"/>
                  </w:r>
                  <w:r w:rsidR="0037658B" w:rsidRPr="00FB39EB">
                    <w:rPr>
                      <w:rFonts w:ascii="Arial" w:hAnsi="Arial" w:cs="Arial"/>
                    </w:rPr>
                    <w:t>(Joshi et al., 2021)</w:t>
                  </w:r>
                  <w:r w:rsidR="0037658B">
                    <w:fldChar w:fldCharType="end"/>
                  </w:r>
                  <w:r w:rsidR="0037658B">
                    <w:t xml:space="preserve"> and maintaining oversight and control over participants’ engagement (e.g. ensuring there were no distractions). </w:t>
                  </w:r>
                  <w:r w:rsidR="002D172A">
                    <w:t xml:space="preserve">SFVS service providers highlighted the increased complexities associated with maintaining a safe, therapeutic environment where family violence is a factor, particularly if the service user still lived with the </w:t>
                  </w:r>
                  <w:r w:rsidR="00DC73A1">
                    <w:t>person who uses violence</w:t>
                  </w:r>
                  <w:r w:rsidR="002D172A">
                    <w:t xml:space="preserve">. </w:t>
                  </w:r>
                  <w:r w:rsidR="004F5A02">
                    <w:t>For these reasons, a</w:t>
                  </w:r>
                  <w:r w:rsidR="002D172A">
                    <w:t xml:space="preserve"> large majority of SFVS service users expressed a preference for face-to-face engagements.</w:t>
                  </w:r>
                  <w:r w:rsidR="004F5A02">
                    <w:t xml:space="preserve"> Similar concerns were raised by </w:t>
                  </w:r>
                  <w:r w:rsidR="00B27FBB">
                    <w:t>a smaller number of</w:t>
                  </w:r>
                  <w:r w:rsidR="004F5A02">
                    <w:t xml:space="preserve"> service providers regarding virtual delivery of couples and/or family counselling.</w:t>
                  </w:r>
                </w:p>
                <w:p w14:paraId="4B199F9F" w14:textId="25CEFF85" w:rsidR="0037658B" w:rsidRPr="004D1205" w:rsidRDefault="0037658B" w:rsidP="0037658B">
                  <w:pPr>
                    <w:pBdr>
                      <w:left w:val="single" w:sz="18" w:space="4" w:color="78B800" w:themeColor="accent1"/>
                    </w:pBdr>
                    <w:tabs>
                      <w:tab w:val="left" w:pos="8080"/>
                    </w:tabs>
                    <w:spacing w:after="0"/>
                    <w:ind w:left="851" w:right="949"/>
                    <w:rPr>
                      <w:i/>
                      <w:iCs/>
                    </w:rPr>
                  </w:pPr>
                  <w:r w:rsidRPr="007A242F">
                    <w:rPr>
                      <w:i/>
                      <w:iCs/>
                      <w:noProof/>
                    </w:rPr>
                    <w:drawing>
                      <wp:anchor distT="0" distB="0" distL="114300" distR="114300" simplePos="0" relativeHeight="251658343" behindDoc="0" locked="1" layoutInCell="1" allowOverlap="1" wp14:anchorId="1FDBB84F" wp14:editId="15F00C50">
                        <wp:simplePos x="0" y="0"/>
                        <wp:positionH relativeFrom="column">
                          <wp:posOffset>0</wp:posOffset>
                        </wp:positionH>
                        <wp:positionV relativeFrom="paragraph">
                          <wp:posOffset>0</wp:posOffset>
                        </wp:positionV>
                        <wp:extent cx="384810" cy="320040"/>
                        <wp:effectExtent l="0" t="0" r="0" b="3810"/>
                        <wp:wrapNone/>
                        <wp:docPr id="1078388844" name="Graphic 1078388844" descr="P2770#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388844" name="Graphic 1078388844" descr="P2770#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i/>
                      <w:iCs/>
                    </w:rPr>
                    <w:t>We</w:t>
                  </w:r>
                  <w:r w:rsidRPr="004D1205">
                    <w:rPr>
                      <w:i/>
                      <w:iCs/>
                    </w:rPr>
                    <w:t xml:space="preserve"> offer if people want to do it on </w:t>
                  </w:r>
                  <w:r>
                    <w:rPr>
                      <w:i/>
                      <w:iCs/>
                    </w:rPr>
                    <w:t>Z</w:t>
                  </w:r>
                  <w:r w:rsidRPr="004D1205">
                    <w:rPr>
                      <w:i/>
                      <w:iCs/>
                    </w:rPr>
                    <w:t xml:space="preserve">oom or </w:t>
                  </w:r>
                  <w:r>
                    <w:rPr>
                      <w:i/>
                      <w:iCs/>
                    </w:rPr>
                    <w:t>Te</w:t>
                  </w:r>
                  <w:r w:rsidRPr="004D1205">
                    <w:rPr>
                      <w:i/>
                      <w:iCs/>
                    </w:rPr>
                    <w:t>ams or face</w:t>
                  </w:r>
                  <w:r>
                    <w:rPr>
                      <w:i/>
                      <w:iCs/>
                    </w:rPr>
                    <w:t>-</w:t>
                  </w:r>
                  <w:r w:rsidRPr="004D1205">
                    <w:rPr>
                      <w:i/>
                      <w:iCs/>
                    </w:rPr>
                    <w:t>to</w:t>
                  </w:r>
                  <w:r>
                    <w:rPr>
                      <w:i/>
                      <w:iCs/>
                    </w:rPr>
                    <w:t>-</w:t>
                  </w:r>
                  <w:r w:rsidRPr="004D1205">
                    <w:rPr>
                      <w:i/>
                      <w:iCs/>
                    </w:rPr>
                    <w:t>face and we will actually travel a little way to meet at one of our other offices as well</w:t>
                  </w:r>
                  <w:r>
                    <w:rPr>
                      <w:i/>
                      <w:iCs/>
                    </w:rPr>
                    <w:t xml:space="preserve"> […]</w:t>
                  </w:r>
                </w:p>
                <w:p w14:paraId="69D6CA70" w14:textId="78452D2F" w:rsidR="0037658B" w:rsidRPr="0059791A" w:rsidRDefault="0037658B" w:rsidP="0037658B">
                  <w:pPr>
                    <w:pBdr>
                      <w:left w:val="single" w:sz="18" w:space="4" w:color="78B800" w:themeColor="accent1"/>
                    </w:pBdr>
                    <w:tabs>
                      <w:tab w:val="left" w:pos="8080"/>
                    </w:tabs>
                    <w:spacing w:after="0"/>
                    <w:ind w:left="851" w:right="949"/>
                    <w:rPr>
                      <w:i/>
                      <w:iCs/>
                    </w:rPr>
                  </w:pPr>
                  <w:r w:rsidRPr="004D1205">
                    <w:rPr>
                      <w:i/>
                      <w:iCs/>
                    </w:rPr>
                    <w:t xml:space="preserve"> </w:t>
                  </w:r>
                  <w:r>
                    <w:rPr>
                      <w:i/>
                      <w:iCs/>
                    </w:rPr>
                    <w:t xml:space="preserve">It’s </w:t>
                  </w:r>
                  <w:r w:rsidRPr="004D1205">
                    <w:rPr>
                      <w:i/>
                      <w:iCs/>
                    </w:rPr>
                    <w:t>less confronting for some people to not be in the room face</w:t>
                  </w:r>
                  <w:r w:rsidR="006F6CB2">
                    <w:rPr>
                      <w:i/>
                      <w:iCs/>
                    </w:rPr>
                    <w:t>-</w:t>
                  </w:r>
                  <w:r w:rsidRPr="004D1205">
                    <w:rPr>
                      <w:i/>
                      <w:iCs/>
                    </w:rPr>
                    <w:t>to</w:t>
                  </w:r>
                  <w:r w:rsidR="006F6CB2">
                    <w:rPr>
                      <w:i/>
                      <w:iCs/>
                    </w:rPr>
                    <w:t>-</w:t>
                  </w:r>
                  <w:r w:rsidRPr="004D1205">
                    <w:rPr>
                      <w:i/>
                      <w:iCs/>
                    </w:rPr>
                    <w:t>face and be able to do it on online. But I think one of the challenges that we've come across is also the safety aspect</w:t>
                  </w:r>
                  <w:r>
                    <w:rPr>
                      <w:i/>
                      <w:iCs/>
                    </w:rPr>
                    <w:t xml:space="preserve"> w</w:t>
                  </w:r>
                  <w:r w:rsidRPr="004D1205">
                    <w:rPr>
                      <w:i/>
                      <w:iCs/>
                    </w:rPr>
                    <w:t>hen you're working with couples</w:t>
                  </w:r>
                  <w:r w:rsidR="003D214F">
                    <w:rPr>
                      <w:i/>
                      <w:iCs/>
                    </w:rPr>
                    <w:t xml:space="preserve">… </w:t>
                  </w:r>
                  <w:r w:rsidRPr="004D1205">
                    <w:rPr>
                      <w:i/>
                      <w:iCs/>
                    </w:rPr>
                    <w:t>who else is in the room? The confidentialit</w:t>
                  </w:r>
                  <w:r>
                    <w:rPr>
                      <w:i/>
                      <w:iCs/>
                    </w:rPr>
                    <w:t>y</w:t>
                  </w:r>
                  <w:r w:rsidRPr="004D1205">
                    <w:rPr>
                      <w:i/>
                      <w:iCs/>
                    </w:rPr>
                    <w:t xml:space="preserve"> side. So that's tricky. We have to ask lots of questions.</w:t>
                  </w:r>
                  <w:r w:rsidR="0059791A">
                    <w:rPr>
                      <w:i/>
                      <w:iCs/>
                    </w:rPr>
                    <w:t xml:space="preserve"> </w:t>
                  </w:r>
                  <w:r w:rsidRPr="004D1205">
                    <w:rPr>
                      <w:i/>
                      <w:iCs/>
                    </w:rPr>
                    <w:t>And I think one of the examples was a couple that decided to lay on the bed together and wanted counselling and we went no</w:t>
                  </w:r>
                  <w:r>
                    <w:rPr>
                      <w:i/>
                      <w:iCs/>
                    </w:rPr>
                    <w:t xml:space="preserve">, </w:t>
                  </w:r>
                  <w:r w:rsidR="003D214F">
                    <w:rPr>
                      <w:i/>
                      <w:iCs/>
                    </w:rPr>
                    <w:t>…</w:t>
                  </w:r>
                  <w:r w:rsidRPr="004D1205">
                    <w:rPr>
                      <w:i/>
                      <w:iCs/>
                    </w:rPr>
                    <w:t>let's work out a different way to do this</w:t>
                  </w:r>
                  <w:r>
                    <w:rPr>
                      <w:i/>
                      <w:iCs/>
                    </w:rPr>
                    <w:t xml:space="preserve"> b</w:t>
                  </w:r>
                  <w:r w:rsidRPr="004D1205">
                    <w:rPr>
                      <w:i/>
                      <w:iCs/>
                    </w:rPr>
                    <w:t xml:space="preserve">ecause we hadn't been able to gauge whether there </w:t>
                  </w:r>
                  <w:r w:rsidR="00E41F54">
                    <w:rPr>
                      <w:i/>
                      <w:iCs/>
                    </w:rPr>
                    <w:t>[were]</w:t>
                  </w:r>
                  <w:r w:rsidRPr="004D1205">
                    <w:rPr>
                      <w:i/>
                      <w:iCs/>
                    </w:rPr>
                    <w:t xml:space="preserve"> any safety concerns first. </w:t>
                  </w:r>
                  <w:r w:rsidR="003D214F">
                    <w:rPr>
                      <w:i/>
                      <w:iCs/>
                    </w:rPr>
                    <w:t xml:space="preserve">… </w:t>
                  </w:r>
                  <w:r w:rsidRPr="004D1205">
                    <w:rPr>
                      <w:i/>
                      <w:iCs/>
                    </w:rPr>
                    <w:t>but I think the upside is you can actually get the service to more places</w:t>
                  </w:r>
                  <w:r w:rsidR="00517698">
                    <w:rPr>
                      <w:i/>
                      <w:iCs/>
                    </w:rPr>
                    <w:t xml:space="preserve"> </w:t>
                  </w:r>
                  <w:r w:rsidRPr="002E7992">
                    <w:rPr>
                      <w:b/>
                      <w:bCs/>
                      <w:i/>
                      <w:iCs/>
                    </w:rPr>
                    <w:t>–</w:t>
                  </w:r>
                  <w:r>
                    <w:rPr>
                      <w:b/>
                      <w:bCs/>
                      <w:i/>
                      <w:iCs/>
                    </w:rPr>
                    <w:t xml:space="preserve"> FaRS s</w:t>
                  </w:r>
                  <w:r w:rsidRPr="002E7992">
                    <w:rPr>
                      <w:b/>
                      <w:bCs/>
                      <w:i/>
                      <w:iCs/>
                    </w:rPr>
                    <w:t>ervice provider</w:t>
                  </w:r>
                </w:p>
                <w:p w14:paraId="39B3C017" w14:textId="77777777" w:rsidR="0037658B" w:rsidRDefault="0037658B" w:rsidP="0037658B">
                  <w:pPr>
                    <w:pStyle w:val="Text"/>
                  </w:pPr>
                </w:p>
                <w:p w14:paraId="6940CD83" w14:textId="65644267" w:rsidR="004D0875" w:rsidRDefault="00612159" w:rsidP="008E4EB4">
                  <w:pPr>
                    <w:pStyle w:val="Text"/>
                  </w:pPr>
                  <w:r>
                    <w:t xml:space="preserve">Overall, </w:t>
                  </w:r>
                  <w:r w:rsidR="0039202A">
                    <w:t>FaRS and SFVS</w:t>
                  </w:r>
                  <w:r>
                    <w:t xml:space="preserve"> </w:t>
                  </w:r>
                  <w:r w:rsidR="00C02A96">
                    <w:t>service providers emphasised the importance of taking a case</w:t>
                  </w:r>
                  <w:r w:rsidR="00175D50">
                    <w:t>-by-case</w:t>
                  </w:r>
                  <w:r w:rsidR="00C02A96">
                    <w:t xml:space="preserve"> approach</w:t>
                  </w:r>
                  <w:r w:rsidR="00EB36A0">
                    <w:t xml:space="preserve"> when considering virtual service delivery</w:t>
                  </w:r>
                  <w:r w:rsidR="005B07C9">
                    <w:t>. The approach should</w:t>
                  </w:r>
                  <w:r w:rsidR="00C02A96">
                    <w:t xml:space="preserve"> factor in the needs, dynamics and preferences </w:t>
                  </w:r>
                  <w:r w:rsidR="009E67B4">
                    <w:t>of the service user and their situation</w:t>
                  </w:r>
                  <w:r w:rsidR="00314428">
                    <w:t xml:space="preserve">, balanced </w:t>
                  </w:r>
                  <w:r w:rsidR="008E4EB4">
                    <w:t>with access considerations – while always prioritising safety</w:t>
                  </w:r>
                  <w:r w:rsidR="007516F0">
                    <w:t>.</w:t>
                  </w:r>
                </w:p>
                <w:p w14:paraId="025C65DB" w14:textId="05D02AB6" w:rsidR="008E4EB4" w:rsidRPr="00E067FD" w:rsidRDefault="008E4EB4" w:rsidP="008E4EB4">
                  <w:pPr>
                    <w:pBdr>
                      <w:left w:val="single" w:sz="18" w:space="4" w:color="78B800" w:themeColor="accent1"/>
                    </w:pBdr>
                    <w:tabs>
                      <w:tab w:val="left" w:pos="8080"/>
                    </w:tabs>
                    <w:spacing w:after="0"/>
                    <w:ind w:left="851" w:right="949"/>
                    <w:rPr>
                      <w:i/>
                    </w:rPr>
                  </w:pPr>
                  <w:r w:rsidRPr="007A242F">
                    <w:rPr>
                      <w:i/>
                      <w:iCs/>
                      <w:noProof/>
                    </w:rPr>
                    <w:drawing>
                      <wp:anchor distT="0" distB="0" distL="114300" distR="114300" simplePos="0" relativeHeight="251658344" behindDoc="0" locked="1" layoutInCell="1" allowOverlap="1" wp14:anchorId="2DBC227B" wp14:editId="03D0F8D6">
                        <wp:simplePos x="0" y="0"/>
                        <wp:positionH relativeFrom="column">
                          <wp:posOffset>0</wp:posOffset>
                        </wp:positionH>
                        <wp:positionV relativeFrom="paragraph">
                          <wp:posOffset>0</wp:posOffset>
                        </wp:positionV>
                        <wp:extent cx="384810" cy="320040"/>
                        <wp:effectExtent l="0" t="0" r="0" b="3810"/>
                        <wp:wrapNone/>
                        <wp:docPr id="430496719" name="Graphic 430496719" descr="P2774#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496719" name="Graphic 430496719" descr="P2774#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93AFA">
                    <w:rPr>
                      <w:i/>
                      <w:iCs/>
                    </w:rPr>
                    <w:t xml:space="preserve">For some it works </w:t>
                  </w:r>
                  <w:r>
                    <w:rPr>
                      <w:i/>
                      <w:iCs/>
                    </w:rPr>
                    <w:t xml:space="preserve">[virtual delivery] </w:t>
                  </w:r>
                  <w:r w:rsidRPr="00293AFA">
                    <w:rPr>
                      <w:i/>
                      <w:iCs/>
                    </w:rPr>
                    <w:t>even better</w:t>
                  </w:r>
                  <w:r w:rsidR="003D214F">
                    <w:rPr>
                      <w:i/>
                      <w:iCs/>
                    </w:rPr>
                    <w:t>…</w:t>
                  </w:r>
                  <w:r w:rsidRPr="00293AFA">
                    <w:rPr>
                      <w:i/>
                      <w:iCs/>
                    </w:rPr>
                    <w:t xml:space="preserve"> and for some it doesn't work very well </w:t>
                  </w:r>
                  <w:r>
                    <w:rPr>
                      <w:i/>
                      <w:iCs/>
                    </w:rPr>
                    <w:t>[…]</w:t>
                  </w:r>
                  <w:r w:rsidRPr="00293AFA">
                    <w:rPr>
                      <w:i/>
                      <w:iCs/>
                    </w:rPr>
                    <w:t xml:space="preserve"> I'm thinking</w:t>
                  </w:r>
                  <w:r>
                    <w:rPr>
                      <w:i/>
                      <w:iCs/>
                    </w:rPr>
                    <w:t xml:space="preserve"> </w:t>
                  </w:r>
                  <w:r w:rsidRPr="00293AFA">
                    <w:rPr>
                      <w:i/>
                      <w:iCs/>
                    </w:rPr>
                    <w:t xml:space="preserve">like a couple or families. They need a fair amount of </w:t>
                  </w:r>
                  <w:r>
                    <w:rPr>
                      <w:i/>
                      <w:iCs/>
                    </w:rPr>
                    <w:t>[…]</w:t>
                  </w:r>
                  <w:r w:rsidRPr="00293AFA">
                    <w:rPr>
                      <w:i/>
                      <w:iCs/>
                    </w:rPr>
                    <w:t xml:space="preserve"> your presence to help manage the dynamics </w:t>
                  </w:r>
                  <w:r>
                    <w:rPr>
                      <w:i/>
                      <w:iCs/>
                    </w:rPr>
                    <w:t>[which]</w:t>
                  </w:r>
                  <w:r w:rsidRPr="00293AFA">
                    <w:rPr>
                      <w:i/>
                      <w:iCs/>
                    </w:rPr>
                    <w:t xml:space="preserve"> is very hard online.</w:t>
                  </w:r>
                  <w:r>
                    <w:rPr>
                      <w:i/>
                      <w:iCs/>
                    </w:rPr>
                    <w:t xml:space="preserve"> </w:t>
                  </w:r>
                  <w:r w:rsidRPr="00293AFA">
                    <w:rPr>
                      <w:i/>
                      <w:iCs/>
                    </w:rPr>
                    <w:t xml:space="preserve">In person, that becomes far </w:t>
                  </w:r>
                  <w:r>
                    <w:rPr>
                      <w:i/>
                      <w:iCs/>
                    </w:rPr>
                    <w:t>[</w:t>
                  </w:r>
                  <w:r w:rsidRPr="00293AFA">
                    <w:rPr>
                      <w:i/>
                      <w:iCs/>
                    </w:rPr>
                    <w:t>eas</w:t>
                  </w:r>
                  <w:r>
                    <w:rPr>
                      <w:i/>
                      <w:iCs/>
                    </w:rPr>
                    <w:t>ier]</w:t>
                  </w:r>
                  <w:r w:rsidRPr="00293AFA">
                    <w:rPr>
                      <w:i/>
                      <w:iCs/>
                    </w:rPr>
                    <w:t>, but there are others where it works amazingly and actually has been great</w:t>
                  </w:r>
                  <w:r>
                    <w:rPr>
                      <w:i/>
                      <w:iCs/>
                    </w:rPr>
                    <w:t>. [Virtual delivery] has</w:t>
                  </w:r>
                  <w:r w:rsidRPr="004E0441">
                    <w:rPr>
                      <w:i/>
                      <w:iCs/>
                    </w:rPr>
                    <w:t xml:space="preserve"> expanded our opportunity with people who we may not have been able to reach otherwise </w:t>
                  </w:r>
                  <w:r w:rsidRPr="002E7992">
                    <w:rPr>
                      <w:b/>
                      <w:bCs/>
                      <w:i/>
                      <w:iCs/>
                    </w:rPr>
                    <w:t>–</w:t>
                  </w:r>
                  <w:r>
                    <w:rPr>
                      <w:b/>
                      <w:bCs/>
                      <w:i/>
                      <w:iCs/>
                    </w:rPr>
                    <w:t xml:space="preserve"> FaRS s</w:t>
                  </w:r>
                  <w:r w:rsidRPr="002E7992">
                    <w:rPr>
                      <w:b/>
                      <w:bCs/>
                      <w:i/>
                      <w:iCs/>
                    </w:rPr>
                    <w:t>ervice provider</w:t>
                  </w:r>
                </w:p>
                <w:p w14:paraId="1BBCD5E8" w14:textId="77777777" w:rsidR="00F47356" w:rsidRDefault="00F47356" w:rsidP="0037658B">
                  <w:pPr>
                    <w:pStyle w:val="Text"/>
                  </w:pPr>
                </w:p>
                <w:p w14:paraId="095940E0" w14:textId="4E3C931A" w:rsidR="00911CF1" w:rsidRPr="00302F4C" w:rsidRDefault="00911CF1" w:rsidP="00911CF1">
                  <w:pPr>
                    <w:pBdr>
                      <w:left w:val="single" w:sz="18" w:space="4" w:color="78B800" w:themeColor="accent1"/>
                    </w:pBdr>
                    <w:tabs>
                      <w:tab w:val="left" w:pos="8080"/>
                    </w:tabs>
                    <w:spacing w:after="0"/>
                    <w:ind w:left="851" w:right="949"/>
                    <w:rPr>
                      <w:i/>
                      <w:iCs/>
                    </w:rPr>
                  </w:pPr>
                  <w:r>
                    <w:rPr>
                      <w:noProof/>
                    </w:rPr>
                    <w:drawing>
                      <wp:anchor distT="0" distB="0" distL="114300" distR="114300" simplePos="0" relativeHeight="251658345" behindDoc="0" locked="0" layoutInCell="1" allowOverlap="1" wp14:anchorId="34EAC25D" wp14:editId="6AFB7EF5">
                        <wp:simplePos x="0" y="0"/>
                        <wp:positionH relativeFrom="column">
                          <wp:posOffset>0</wp:posOffset>
                        </wp:positionH>
                        <wp:positionV relativeFrom="paragraph">
                          <wp:posOffset>0</wp:posOffset>
                        </wp:positionV>
                        <wp:extent cx="384810" cy="320040"/>
                        <wp:effectExtent l="0" t="0" r="0" b="3810"/>
                        <wp:wrapNone/>
                        <wp:docPr id="1863076118" name="Graphic 1863076118" descr="P2776#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076118" name="Graphic 1863076118" descr="P2776#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E7992">
                    <w:rPr>
                      <w:noProof/>
                    </w:rPr>
                    <w:drawing>
                      <wp:anchor distT="0" distB="0" distL="114300" distR="114300" simplePos="0" relativeHeight="251658346" behindDoc="0" locked="1" layoutInCell="1" allowOverlap="1" wp14:anchorId="0514E9EA" wp14:editId="080A02B1">
                        <wp:simplePos x="0" y="0"/>
                        <wp:positionH relativeFrom="column">
                          <wp:posOffset>0</wp:posOffset>
                        </wp:positionH>
                        <wp:positionV relativeFrom="paragraph">
                          <wp:posOffset>0</wp:posOffset>
                        </wp:positionV>
                        <wp:extent cx="384810" cy="320040"/>
                        <wp:effectExtent l="0" t="0" r="0" b="3810"/>
                        <wp:wrapNone/>
                        <wp:docPr id="1841204597" name="Graphic 1841204597" descr="P2776#y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204597" name="Graphic 1841204597" descr="P2776#y2">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B19BB">
                    <w:rPr>
                      <w:i/>
                      <w:iCs/>
                    </w:rPr>
                    <w:t>We definitely offer</w:t>
                  </w:r>
                  <w:r>
                    <w:rPr>
                      <w:i/>
                      <w:iCs/>
                    </w:rPr>
                    <w:t xml:space="preserve"> [SFVS via tele</w:t>
                  </w:r>
                  <w:r w:rsidR="00266916">
                    <w:rPr>
                      <w:i/>
                      <w:iCs/>
                    </w:rPr>
                    <w:t>-</w:t>
                  </w:r>
                  <w:r>
                    <w:rPr>
                      <w:i/>
                      <w:iCs/>
                    </w:rPr>
                    <w:t>practice]</w:t>
                  </w:r>
                  <w:r w:rsidRPr="00CB19BB">
                    <w:rPr>
                      <w:i/>
                      <w:iCs/>
                    </w:rPr>
                    <w:t>. I think as other people have highlighted childcare</w:t>
                  </w:r>
                  <w:r>
                    <w:rPr>
                      <w:i/>
                      <w:iCs/>
                    </w:rPr>
                    <w:t xml:space="preserve"> - b</w:t>
                  </w:r>
                  <w:r w:rsidRPr="00CB19BB">
                    <w:rPr>
                      <w:i/>
                      <w:iCs/>
                    </w:rPr>
                    <w:t xml:space="preserve">eing able to access in, you know, really small windows of time, those kinds of things. Sometimes we've had women access from work, so </w:t>
                  </w:r>
                  <w:r>
                    <w:rPr>
                      <w:i/>
                      <w:iCs/>
                    </w:rPr>
                    <w:t>[they’ll]</w:t>
                  </w:r>
                  <w:r w:rsidRPr="00CB19BB">
                    <w:rPr>
                      <w:i/>
                      <w:iCs/>
                    </w:rPr>
                    <w:t xml:space="preserve"> just go find a quiet </w:t>
                  </w:r>
                  <w:r w:rsidRPr="00CB19BB">
                    <w:rPr>
                      <w:i/>
                      <w:iCs/>
                    </w:rPr>
                    <w:lastRenderedPageBreak/>
                    <w:t>room that they can have an hour and do their session</w:t>
                  </w:r>
                  <w:r>
                    <w:rPr>
                      <w:i/>
                      <w:iCs/>
                    </w:rPr>
                    <w:t>, y</w:t>
                  </w:r>
                  <w:r w:rsidRPr="00CB19BB">
                    <w:rPr>
                      <w:i/>
                      <w:iCs/>
                    </w:rPr>
                    <w:t>ou know, where they can't take the extra hours to travel</w:t>
                  </w:r>
                  <w:r w:rsidR="003F4885">
                    <w:rPr>
                      <w:i/>
                      <w:iCs/>
                    </w:rPr>
                    <w:t>…</w:t>
                  </w:r>
                  <w:r w:rsidRPr="00CB19BB">
                    <w:rPr>
                      <w:i/>
                      <w:iCs/>
                    </w:rPr>
                    <w:t>. So</w:t>
                  </w:r>
                  <w:r w:rsidR="00175D50" w:rsidRPr="00CB19BB">
                    <w:rPr>
                      <w:i/>
                      <w:iCs/>
                    </w:rPr>
                    <w:t>,</w:t>
                  </w:r>
                  <w:r w:rsidRPr="00CB19BB">
                    <w:rPr>
                      <w:i/>
                      <w:iCs/>
                    </w:rPr>
                    <w:t xml:space="preserve"> it's definitely face</w:t>
                  </w:r>
                  <w:r w:rsidR="006F6CB2">
                    <w:rPr>
                      <w:i/>
                      <w:iCs/>
                    </w:rPr>
                    <w:t>-</w:t>
                  </w:r>
                  <w:r w:rsidRPr="00CB19BB">
                    <w:rPr>
                      <w:i/>
                      <w:iCs/>
                    </w:rPr>
                    <w:t>to</w:t>
                  </w:r>
                  <w:r w:rsidR="006F6CB2">
                    <w:rPr>
                      <w:i/>
                      <w:iCs/>
                    </w:rPr>
                    <w:t>-</w:t>
                  </w:r>
                  <w:r w:rsidRPr="00CB19BB">
                    <w:rPr>
                      <w:i/>
                      <w:iCs/>
                    </w:rPr>
                    <w:t>face is always preferred. It's the safest option in terms of being able to make sure that there's confidentiality and all of those things. And we have to, you know, kind of go through all of that in quite a lot in quite a lot of depth if we're going to offer it in another way. But we definitely do</w:t>
                  </w:r>
                  <w:r>
                    <w:rPr>
                      <w:i/>
                      <w:iCs/>
                    </w:rPr>
                    <w:t xml:space="preserve"> </w:t>
                  </w:r>
                  <w:r w:rsidRPr="00CB19BB">
                    <w:rPr>
                      <w:i/>
                      <w:iCs/>
                    </w:rPr>
                    <w:t xml:space="preserve">offer </w:t>
                  </w:r>
                  <w:r>
                    <w:rPr>
                      <w:i/>
                      <w:iCs/>
                    </w:rPr>
                    <w:t>[tele</w:t>
                  </w:r>
                  <w:r w:rsidR="0084138A">
                    <w:rPr>
                      <w:i/>
                      <w:iCs/>
                    </w:rPr>
                    <w:t>-</w:t>
                  </w:r>
                  <w:r>
                    <w:rPr>
                      <w:i/>
                      <w:iCs/>
                    </w:rPr>
                    <w:t>practice]</w:t>
                  </w:r>
                  <w:r w:rsidRPr="00CB19BB">
                    <w:rPr>
                      <w:i/>
                      <w:iCs/>
                    </w:rPr>
                    <w:t xml:space="preserve"> as an option</w:t>
                  </w:r>
                  <w:r>
                    <w:rPr>
                      <w:i/>
                      <w:iCs/>
                    </w:rPr>
                    <w:t xml:space="preserve"> </w:t>
                  </w:r>
                  <w:r w:rsidRPr="002E7992">
                    <w:rPr>
                      <w:b/>
                      <w:bCs/>
                      <w:i/>
                      <w:iCs/>
                    </w:rPr>
                    <w:t>–</w:t>
                  </w:r>
                  <w:r>
                    <w:rPr>
                      <w:b/>
                      <w:bCs/>
                      <w:i/>
                      <w:iCs/>
                    </w:rPr>
                    <w:t xml:space="preserve">SFVS service provider </w:t>
                  </w:r>
                </w:p>
                <w:p w14:paraId="5CE36461" w14:textId="22BE1D20" w:rsidR="00911CF1" w:rsidRDefault="00911CF1" w:rsidP="00911CF1">
                  <w:pPr>
                    <w:pStyle w:val="Text"/>
                  </w:pPr>
                </w:p>
                <w:p w14:paraId="1A8EB222" w14:textId="2823F308" w:rsidR="00911CF1" w:rsidRPr="006A0187" w:rsidRDefault="00911CF1" w:rsidP="00911CF1">
                  <w:pPr>
                    <w:pBdr>
                      <w:left w:val="single" w:sz="18" w:space="4" w:color="78B800" w:themeColor="accent1"/>
                    </w:pBdr>
                    <w:tabs>
                      <w:tab w:val="left" w:pos="8080"/>
                    </w:tabs>
                    <w:spacing w:after="0"/>
                    <w:ind w:left="851" w:right="949"/>
                    <w:rPr>
                      <w:b/>
                      <w:i/>
                    </w:rPr>
                  </w:pPr>
                  <w:r w:rsidRPr="007A242F">
                    <w:rPr>
                      <w:i/>
                      <w:iCs/>
                      <w:noProof/>
                    </w:rPr>
                    <w:drawing>
                      <wp:anchor distT="0" distB="0" distL="114300" distR="114300" simplePos="0" relativeHeight="251658347" behindDoc="0" locked="1" layoutInCell="1" allowOverlap="1" wp14:anchorId="1BCA418F" wp14:editId="7DA8BA47">
                        <wp:simplePos x="0" y="0"/>
                        <wp:positionH relativeFrom="column">
                          <wp:posOffset>0</wp:posOffset>
                        </wp:positionH>
                        <wp:positionV relativeFrom="paragraph">
                          <wp:posOffset>0</wp:posOffset>
                        </wp:positionV>
                        <wp:extent cx="384810" cy="320040"/>
                        <wp:effectExtent l="0" t="0" r="0" b="3810"/>
                        <wp:wrapNone/>
                        <wp:docPr id="1870809199" name="Graphic 1870809199" descr="P2778#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809199" name="Graphic 1870809199" descr="P2778#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60204">
                    <w:rPr>
                      <w:i/>
                      <w:iCs/>
                    </w:rPr>
                    <w:t>I think one of the challenges that we've come across [virtually] is the safety aspect when you're working with couples [or] children. Who else is in the room? […] but I think the upside is you can actually get the service to more places and in [region] […], there are so many pockets of communities that are disadvantaged [and] don't drive or can't get transport. That's another downside is that sometimes [they] don't have [access to] the technology</w:t>
                  </w:r>
                  <w:r w:rsidR="00517698">
                    <w:rPr>
                      <w:i/>
                      <w:iCs/>
                    </w:rPr>
                    <w:t xml:space="preserve"> </w:t>
                  </w:r>
                  <w:r w:rsidRPr="002E7992">
                    <w:rPr>
                      <w:b/>
                      <w:bCs/>
                      <w:i/>
                      <w:iCs/>
                    </w:rPr>
                    <w:t>–</w:t>
                  </w:r>
                  <w:r>
                    <w:rPr>
                      <w:b/>
                      <w:bCs/>
                      <w:i/>
                      <w:iCs/>
                    </w:rPr>
                    <w:t xml:space="preserve"> FaRS s</w:t>
                  </w:r>
                  <w:r w:rsidRPr="002E7992">
                    <w:rPr>
                      <w:b/>
                      <w:bCs/>
                      <w:i/>
                      <w:iCs/>
                    </w:rPr>
                    <w:t>ervice provider</w:t>
                  </w:r>
                </w:p>
                <w:p w14:paraId="1CAB34C1" w14:textId="77777777" w:rsidR="0043244B" w:rsidRPr="009E0FAD" w:rsidRDefault="0043244B" w:rsidP="0043244B">
                  <w:pPr>
                    <w:pStyle w:val="Text"/>
                  </w:pPr>
                </w:p>
                <w:p w14:paraId="22085BAB" w14:textId="022B2856" w:rsidR="0043244B" w:rsidRDefault="00330D17" w:rsidP="0043244B">
                  <w:pPr>
                    <w:pStyle w:val="Text"/>
                    <w:rPr>
                      <w:lang w:val="en-US"/>
                    </w:rPr>
                  </w:pPr>
                  <w:r>
                    <w:rPr>
                      <w:lang w:val="en-US"/>
                    </w:rPr>
                    <w:t xml:space="preserve">There is also evidence that </w:t>
                  </w:r>
                  <w:r>
                    <w:t>some of the</w:t>
                  </w:r>
                  <w:r w:rsidRPr="00A00D96">
                    <w:t xml:space="preserve"> challenges</w:t>
                  </w:r>
                  <w:r>
                    <w:t xml:space="preserve"> associated with </w:t>
                  </w:r>
                  <w:r w:rsidR="00DD618E">
                    <w:t>virtual service delivery</w:t>
                  </w:r>
                  <w:r w:rsidRPr="00A00D96">
                    <w:t xml:space="preserve"> can be more pronounced </w:t>
                  </w:r>
                  <w:r w:rsidR="003A0341">
                    <w:t>for</w:t>
                  </w:r>
                  <w:r w:rsidRPr="00A00D96">
                    <w:t xml:space="preserve"> </w:t>
                  </w:r>
                  <w:r w:rsidR="00DD618E">
                    <w:t xml:space="preserve">some service user cohorts, including some Aboriginal and Torres Strait Islander people, </w:t>
                  </w:r>
                  <w:r w:rsidRPr="00A00D96">
                    <w:t>children</w:t>
                  </w:r>
                  <w:r w:rsidR="00DD618E">
                    <w:t>,</w:t>
                  </w:r>
                  <w:r w:rsidRPr="00A00D96">
                    <w:t xml:space="preserve"> and </w:t>
                  </w:r>
                  <w:r w:rsidR="00DD618E">
                    <w:t>some CALD communities</w:t>
                  </w:r>
                  <w:r w:rsidRPr="00A00D96">
                    <w:t>.</w:t>
                  </w:r>
                  <w:r w:rsidR="00F4506B">
                    <w:t xml:space="preserve"> </w:t>
                  </w:r>
                  <w:r w:rsidR="0043244B">
                    <w:rPr>
                      <w:lang w:val="en-US"/>
                    </w:rPr>
                    <w:t>The reasons for this include cultural preferences for face-to-face engagement</w:t>
                  </w:r>
                  <w:r w:rsidR="00F4506B">
                    <w:rPr>
                      <w:lang w:val="en-US"/>
                    </w:rPr>
                    <w:t>,</w:t>
                  </w:r>
                  <w:r w:rsidR="0043244B">
                    <w:rPr>
                      <w:lang w:val="en-US"/>
                    </w:rPr>
                    <w:t xml:space="preserve"> and the complexities of ensuring secure and private communication in some remote</w:t>
                  </w:r>
                  <w:r w:rsidR="000D0EAA">
                    <w:rPr>
                      <w:lang w:val="en-US"/>
                    </w:rPr>
                    <w:t xml:space="preserve"> Aboriginal and</w:t>
                  </w:r>
                  <w:r w:rsidR="00F4506B">
                    <w:rPr>
                      <w:lang w:val="en-US"/>
                    </w:rPr>
                    <w:t xml:space="preserve"> </w:t>
                  </w:r>
                  <w:r w:rsidR="000D0EAA">
                    <w:rPr>
                      <w:lang w:val="en-US"/>
                    </w:rPr>
                    <w:t>Torres Strait Islander</w:t>
                  </w:r>
                  <w:r w:rsidR="0043244B">
                    <w:rPr>
                      <w:lang w:val="en-US"/>
                    </w:rPr>
                    <w:t xml:space="preserve"> communities where phones </w:t>
                  </w:r>
                  <w:r w:rsidR="003A0341">
                    <w:rPr>
                      <w:lang w:val="en-US"/>
                    </w:rPr>
                    <w:t>are</w:t>
                  </w:r>
                  <w:r w:rsidR="0043244B">
                    <w:rPr>
                      <w:lang w:val="en-US"/>
                    </w:rPr>
                    <w:t xml:space="preserve"> often shared between multiple people. </w:t>
                  </w:r>
                </w:p>
                <w:p w14:paraId="35B17302" w14:textId="512A8BFB" w:rsidR="0043244B" w:rsidRPr="0086025D" w:rsidRDefault="0043244B" w:rsidP="0043244B">
                  <w:pPr>
                    <w:pBdr>
                      <w:left w:val="single" w:sz="18" w:space="4" w:color="78B800" w:themeColor="accent1"/>
                    </w:pBdr>
                    <w:tabs>
                      <w:tab w:val="left" w:pos="8080"/>
                    </w:tabs>
                    <w:spacing w:after="0"/>
                    <w:ind w:left="851" w:right="949"/>
                    <w:rPr>
                      <w:i/>
                      <w:iCs/>
                    </w:rPr>
                  </w:pPr>
                  <w:r w:rsidRPr="007A242F">
                    <w:rPr>
                      <w:i/>
                      <w:iCs/>
                      <w:noProof/>
                    </w:rPr>
                    <w:drawing>
                      <wp:anchor distT="0" distB="0" distL="114300" distR="114300" simplePos="0" relativeHeight="251658348" behindDoc="0" locked="1" layoutInCell="1" allowOverlap="1" wp14:anchorId="7A7F5B16" wp14:editId="7687F7B8">
                        <wp:simplePos x="0" y="0"/>
                        <wp:positionH relativeFrom="column">
                          <wp:posOffset>0</wp:posOffset>
                        </wp:positionH>
                        <wp:positionV relativeFrom="paragraph">
                          <wp:posOffset>0</wp:posOffset>
                        </wp:positionV>
                        <wp:extent cx="384810" cy="320040"/>
                        <wp:effectExtent l="0" t="0" r="0" b="3810"/>
                        <wp:wrapNone/>
                        <wp:docPr id="1763553621" name="Graphic 1763553621" descr="P2781#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553621" name="Graphic 1763553621" descr="P2781#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i/>
                      <w:iCs/>
                    </w:rPr>
                    <w:t>[…] we</w:t>
                  </w:r>
                  <w:r w:rsidRPr="00E65062">
                    <w:rPr>
                      <w:i/>
                      <w:iCs/>
                    </w:rPr>
                    <w:t xml:space="preserve"> didn't have a lockdown for COVID, so that whole online delivery of services was not normalised for people </w:t>
                  </w:r>
                  <w:r>
                    <w:rPr>
                      <w:i/>
                      <w:iCs/>
                    </w:rPr>
                    <w:t>[here]</w:t>
                  </w:r>
                  <w:r w:rsidRPr="00E65062">
                    <w:rPr>
                      <w:i/>
                      <w:iCs/>
                    </w:rPr>
                    <w:t>.</w:t>
                  </w:r>
                  <w:r>
                    <w:rPr>
                      <w:i/>
                      <w:iCs/>
                    </w:rPr>
                    <w:t xml:space="preserve"> </w:t>
                  </w:r>
                  <w:r w:rsidRPr="00E65062">
                    <w:rPr>
                      <w:i/>
                      <w:iCs/>
                    </w:rPr>
                    <w:t>We have a lot of people who have problems with technology</w:t>
                  </w:r>
                  <w:r>
                    <w:rPr>
                      <w:i/>
                      <w:iCs/>
                    </w:rPr>
                    <w:t xml:space="preserve"> […] T</w:t>
                  </w:r>
                  <w:r w:rsidRPr="00E65062">
                    <w:rPr>
                      <w:i/>
                      <w:iCs/>
                    </w:rPr>
                    <w:t>here's a lot of digital refugees up here and</w:t>
                  </w:r>
                  <w:r>
                    <w:rPr>
                      <w:i/>
                      <w:iCs/>
                    </w:rPr>
                    <w:t xml:space="preserve"> t</w:t>
                  </w:r>
                  <w:r w:rsidRPr="00E65062">
                    <w:rPr>
                      <w:i/>
                      <w:iCs/>
                    </w:rPr>
                    <w:t>hey don't have the capacity to manage all of that online stuff or</w:t>
                  </w:r>
                  <w:r w:rsidR="00651EAB">
                    <w:rPr>
                      <w:i/>
                      <w:iCs/>
                    </w:rPr>
                    <w:t>…</w:t>
                  </w:r>
                  <w:r w:rsidRPr="00E65062">
                    <w:rPr>
                      <w:i/>
                      <w:iCs/>
                    </w:rPr>
                    <w:t xml:space="preserve"> people hand phones around and every week they've got a different phone </w:t>
                  </w:r>
                  <w:r>
                    <w:rPr>
                      <w:i/>
                      <w:iCs/>
                    </w:rPr>
                    <w:t>[…] T</w:t>
                  </w:r>
                  <w:r w:rsidRPr="00E65062">
                    <w:rPr>
                      <w:i/>
                      <w:iCs/>
                    </w:rPr>
                    <w:t>hat whole comfort with the delivery of services online is not here yet</w:t>
                  </w:r>
                  <w:r>
                    <w:rPr>
                      <w:i/>
                      <w:iCs/>
                    </w:rPr>
                    <w:t xml:space="preserve"> and</w:t>
                  </w:r>
                  <w:r w:rsidRPr="00E65062">
                    <w:rPr>
                      <w:i/>
                      <w:iCs/>
                    </w:rPr>
                    <w:t xml:space="preserve"> I know government is pushing for that more and more, but it</w:t>
                  </w:r>
                  <w:r>
                    <w:rPr>
                      <w:i/>
                      <w:iCs/>
                    </w:rPr>
                    <w:t>’s […]</w:t>
                  </w:r>
                  <w:r w:rsidRPr="00E65062">
                    <w:rPr>
                      <w:i/>
                      <w:iCs/>
                    </w:rPr>
                    <w:t xml:space="preserve"> third world country</w:t>
                  </w:r>
                  <w:r>
                    <w:rPr>
                      <w:i/>
                      <w:iCs/>
                    </w:rPr>
                    <w:t xml:space="preserve"> up here </w:t>
                  </w:r>
                  <w:r w:rsidRPr="002E7992">
                    <w:rPr>
                      <w:b/>
                      <w:bCs/>
                      <w:i/>
                      <w:iCs/>
                    </w:rPr>
                    <w:t>–</w:t>
                  </w:r>
                  <w:r>
                    <w:rPr>
                      <w:b/>
                      <w:bCs/>
                      <w:i/>
                      <w:iCs/>
                    </w:rPr>
                    <w:t xml:space="preserve"> FaRS s</w:t>
                  </w:r>
                  <w:r w:rsidRPr="002E7992">
                    <w:rPr>
                      <w:b/>
                      <w:bCs/>
                      <w:i/>
                      <w:iCs/>
                    </w:rPr>
                    <w:t>ervice provider</w:t>
                  </w:r>
                </w:p>
                <w:p w14:paraId="7395DCEE" w14:textId="77777777" w:rsidR="0043244B" w:rsidRDefault="0043244B" w:rsidP="0043244B">
                  <w:pPr>
                    <w:pStyle w:val="Text"/>
                    <w:rPr>
                      <w:highlight w:val="yellow"/>
                    </w:rPr>
                  </w:pPr>
                </w:p>
                <w:p w14:paraId="5A1A82B5" w14:textId="402D49BA" w:rsidR="005E77FE" w:rsidRPr="00B11306" w:rsidRDefault="00F4506B" w:rsidP="00925DD5">
                  <w:pPr>
                    <w:pStyle w:val="Text"/>
                  </w:pPr>
                  <w:r>
                    <w:t xml:space="preserve">While a range of literature suggests that </w:t>
                  </w:r>
                  <w:r w:rsidR="00233AB8">
                    <w:t>tele</w:t>
                  </w:r>
                  <w:r w:rsidR="0084138A">
                    <w:t>-</w:t>
                  </w:r>
                  <w:r w:rsidR="00233AB8">
                    <w:t>practice can be beneficial and suitable for children and young people</w:t>
                  </w:r>
                  <w:r w:rsidR="00F41A8D">
                    <w:t xml:space="preserve"> </w:t>
                  </w:r>
                  <w:r w:rsidR="00FB1219" w:rsidRPr="00F46FF7">
                    <w:fldChar w:fldCharType="begin"/>
                  </w:r>
                  <w:r w:rsidR="00E41D03">
                    <w:instrText xml:space="preserve"> ADDIN ZOTERO_ITEM CSL_CITATION {"citationID":"a2qajlqdco","properties":{"formattedCitation":"(Copson et al., 2022b; Joshi et al., 2021)","plainCitation":"(Copson et al., 2022b; Joshi et al., 2021)","dontUpdate":true,"noteIndex":0},"citationItems":[{"id":5659,"uris":["http://zotero.org/groups/5691188/items/GLV7XHM4"],"itemData":{"id":5659,"type":"article-journal","abstract":"Vital services provided by social workers to children in care or on the edge of care were largely delivered “online” during the COVID-19 pandemic. This paper explores the potential impact of these changes on vulnerable children and their families. Relationship-based practice is integral to social work and the shift to digital communication during the COVID-19 pandemic has led to accelerated practice changes and implications for relationship building both with and between service users. Going forward, social workers and other professionals are likely to move to an increasingly hybrid model of communication, combining both digital and face-to-face methods. This article identifies the impact of digital communication on relationships in professional practice, drawing on three studies of digital communication in the UK carried out at the University of East Anglia. The first considered how child protection social workers responded to the challenges of COVID-19, the second looked at how children in care were keeping in touch with their birth families and the third focused on the approaches being taken to moving children from foster care to adoptive families. Five themes related to relationships were identified across all three studies: the significance of the age and developmental stage of the child; the frequency of contact and communication; digital literacy/exclusion; the impact of the lack of sensory experience; and the importance of the relationship history. The article concludes with implications for utilising digital methods in building and maintaining relationships in practice and highlights the need to consider both the inner and outer worlds of those involved.","container-title":"Developmental Child Welfare","DOI":"10.1177/25161032221079325","ISSN":"2516-1032","issue":"1","journalAbbreviation":"Dev Child Welf","note":"PMID: 38603085\nPMCID: PMC8891247","page":"3-19","source":"PubMed Central","title":"Relationship-based practice and digital technology in child and family social work: Learning from practice during the COVID-19 pandemic","title-short":"Relationship-based practice and digital technology in child and family social work","volume":"4","author":[{"family":"Copson","given":"Ruth"},{"family":"Murphy","given":"Anne M"},{"family":"Cook","given":"Laura"},{"family":"Neil","given":"Elsbeth"},{"family":"Sorensen","given":"Pernille"}],"issued":{"date-parts":[["2022",3]]}}},{"id":4582,"uris":["http://zotero.org/groups/5691188/items/F9IQWGPQ"],"itemData":{"id":4582,"type":"article-journal","container-title":"Journal of the Psychotherapy and Counselling Federation of Australia","page":"40-48","title":"The use of telepractice in the family and relationship services sector","volume":"1","author":[{"family":"Joshi","given":"A"},{"family":"Paterson","given":"N"},{"family":"Hinkely","given":"T"},{"family":"Joss","given":"N"}],"issued":{"date-parts":[["2021"]]}}}],"schema":"https://github.com/citation-style-language/schema/raw/master/csl-citation.json"} </w:instrText>
                  </w:r>
                  <w:r w:rsidR="00FB1219" w:rsidRPr="00F46FF7">
                    <w:fldChar w:fldCharType="separate"/>
                  </w:r>
                  <w:r w:rsidR="00FB1219" w:rsidRPr="00AC138C">
                    <w:rPr>
                      <w:rFonts w:ascii="Arial" w:hAnsi="Arial" w:cs="Arial"/>
                    </w:rPr>
                    <w:t>(Copson et al., 2022b; Joshi et al., 2021</w:t>
                  </w:r>
                  <w:r w:rsidR="00FB1219">
                    <w:rPr>
                      <w:rFonts w:ascii="Arial" w:hAnsi="Arial" w:cs="Arial"/>
                    </w:rPr>
                    <w:t>;</w:t>
                  </w:r>
                  <w:r w:rsidR="00FB1219" w:rsidRPr="00FB1219">
                    <w:rPr>
                      <w:rFonts w:ascii="Arial" w:hAnsi="Arial" w:cs="Arial"/>
                    </w:rPr>
                    <w:t xml:space="preserve"> </w:t>
                  </w:r>
                  <w:r w:rsidR="00FB1219" w:rsidRPr="00EA7A95">
                    <w:rPr>
                      <w:rFonts w:ascii="Arial" w:hAnsi="Arial" w:cs="Arial"/>
                    </w:rPr>
                    <w:t>Kohlhoff et al., 2020</w:t>
                  </w:r>
                  <w:r w:rsidR="00FB1219" w:rsidRPr="00AC138C">
                    <w:rPr>
                      <w:rFonts w:ascii="Arial" w:hAnsi="Arial" w:cs="Arial"/>
                    </w:rPr>
                    <w:t>)</w:t>
                  </w:r>
                  <w:r w:rsidR="00FB1219" w:rsidRPr="00F46FF7">
                    <w:fldChar w:fldCharType="end"/>
                  </w:r>
                  <w:r w:rsidR="00F41A8D">
                    <w:t xml:space="preserve">, </w:t>
                  </w:r>
                  <w:r w:rsidR="002D1060">
                    <w:t>one</w:t>
                  </w:r>
                  <w:r w:rsidR="00F41A8D">
                    <w:t xml:space="preserve"> CSC provider </w:t>
                  </w:r>
                  <w:r w:rsidR="002D1060">
                    <w:t>said</w:t>
                  </w:r>
                  <w:r w:rsidR="00F41A8D">
                    <w:t xml:space="preserve"> virtual engagement </w:t>
                  </w:r>
                  <w:r w:rsidR="002D1060">
                    <w:t>was</w:t>
                  </w:r>
                  <w:r w:rsidR="00F41A8D">
                    <w:t xml:space="preserve"> </w:t>
                  </w:r>
                  <w:r w:rsidR="00632E41">
                    <w:t xml:space="preserve">generally </w:t>
                  </w:r>
                  <w:r w:rsidR="00F41A8D">
                    <w:t xml:space="preserve">inappropriate for the </w:t>
                  </w:r>
                  <w:r w:rsidR="00197996">
                    <w:t>delivery of CSC services</w:t>
                  </w:r>
                  <w:r w:rsidR="002D1060">
                    <w:t xml:space="preserve"> due </w:t>
                  </w:r>
                  <w:r w:rsidR="00694624">
                    <w:t>to the difficulty of ensuring the child is in a safe, private environment and remain engaged over the screen</w:t>
                  </w:r>
                  <w:r w:rsidR="00233AB8">
                    <w:t>.</w:t>
                  </w:r>
                  <w:r w:rsidR="00632E41">
                    <w:t xml:space="preserve"> The literature suggests that the age of the young person engaged in the service is a key consideration.</w:t>
                  </w:r>
                  <w:r w:rsidR="00233AB8">
                    <w:t xml:space="preserve"> One study found that adolescents and Generation Z victim survivors were more engaged in interventions that were delivered virtually or via social media </w:t>
                  </w:r>
                  <w:r w:rsidR="00233AB8" w:rsidRPr="00982E33">
                    <w:fldChar w:fldCharType="begin"/>
                  </w:r>
                  <w:r w:rsidR="00E41D03">
                    <w:instrText xml:space="preserve"> ADDIN ZOTERO_ITEM CSL_CITATION {"citationID":"a1l8jsv2fc1","properties":{"formattedCitation":"(Dasgupta and Melvin, 2024; Joshi et al., 2021)","plainCitation":"(Dasgupta and Melvin, 2024; Joshi et al., 2021)","noteIndex":0},"citationItems":[{"id":4725,"uris":["http://zotero.org/groups/5691188/items/4P5DWYR7"],"itemData":{"id":4725,"type":"article-journal","abstract":"The current article reviews the extant literature on technology’s role in service provision and advocacy for young adults who are victims of intimate partner violence (IPV). The article looks at preferences and patterns of access and utilization of digitally mediated communication among young adults to explore optimal IPV services and mitigation strategies for providing crisis counseling to this demographic and offering support over time. An understanding of technology’s role in support provision can help to design best practices and offer recommendations that can best serve the needs of Generation Z victims of violence.","container-title":"Social Sciences","DOI":"10.3390/socsci13030169","ISSN":"2076-0760","issue":"3","journalAbbreviation":"Social Sciences","language":"en","license":"https://creativecommons.org/licenses/by/4.0/","page":"169","source":"DOI.org (Crossref)","title":"Technology-Based Intimate Partner Violence Intervention Services for Generation Z Victims of Violence","volume":"13","author":[{"family":"Dasgupta","given":"Satarupa"},{"family":"Melvin","given":"Emily"}],"issued":{"date-parts":[["2024",3,15]]}}},{"id":4582,"uris":["http://zotero.org/groups/5691188/items/F9IQWGPQ"],"itemData":{"id":4582,"type":"article-journal","container-title":"Journal of the Psychotherapy and Counselling Federation of Australia","page":"40-48","title":"The use of telepractice in the family and relationship services sector","volume":"1","author":[{"family":"Joshi","given":"A"},{"family":"Paterson","given":"N"},{"family":"Hinkely","given":"T"},{"family":"Joss","given":"N"}],"issued":{"date-parts":[["2021"]]}}}],"schema":"https://github.com/citation-style-language/schema/raw/master/csl-citation.json"} </w:instrText>
                  </w:r>
                  <w:r w:rsidR="00233AB8" w:rsidRPr="00982E33">
                    <w:fldChar w:fldCharType="separate"/>
                  </w:r>
                  <w:r w:rsidR="00233AB8" w:rsidRPr="00AC138C">
                    <w:rPr>
                      <w:rFonts w:ascii="Arial" w:hAnsi="Arial" w:cs="Arial"/>
                    </w:rPr>
                    <w:t>(Dasgupta and Melvin, 2024; Joshi et al., 2021)</w:t>
                  </w:r>
                  <w:r w:rsidR="00233AB8" w:rsidRPr="00982E33">
                    <w:fldChar w:fldCharType="end"/>
                  </w:r>
                  <w:r w:rsidR="00233AB8" w:rsidRPr="00982E33">
                    <w:t xml:space="preserve">. </w:t>
                  </w:r>
                  <w:r w:rsidR="00233AB8">
                    <w:t xml:space="preserve">This was attributed to their familiarity </w:t>
                  </w:r>
                  <w:r w:rsidR="00233AB8">
                    <w:lastRenderedPageBreak/>
                    <w:t xml:space="preserve">and comfortability with technology </w:t>
                  </w:r>
                  <w:r w:rsidR="00233AB8" w:rsidRPr="00D8537B">
                    <w:fldChar w:fldCharType="begin"/>
                  </w:r>
                  <w:r w:rsidR="00E41D03">
                    <w:instrText xml:space="preserve"> ADDIN ZOTERO_ITEM CSL_CITATION {"citationID":"a71mc97mt6","properties":{"formattedCitation":"(Copson et al., 2022; Joshi et al., 2021)","plainCitation":"(Copson et al., 2022; Joshi et al., 2021)","noteIndex":0},"citationItems":[{"id":5659,"uris":["http://zotero.org/groups/5691188/items/GLV7XHM4"],"itemData":{"id":5659,"type":"article-journal","abstract":"Vital services provided by social workers to children in care or on the edge of care were largely delivered “online” during the COVID-19 pandemic. This paper explores the potential impact of these changes on vulnerable children and their families. Relationship-based practice is integral to social work and the shift to digital communication during the COVID-19 pandemic has led to accelerated practice changes and implications for relationship building both with and between service users. Going forward, social workers and other professionals are likely to move to an increasingly hybrid model of communication, combining both digital and face-to-face methods. This article identifies the impact of digital communication on relationships in professional practice, drawing on three studies of digital communication in the UK carried out at the University of East Anglia. The first considered how child protection social workers responded to the challenges of COVID-19, the second looked at how children in care were keeping in touch with their birth families and the third focused on the approaches being taken to moving children from foster care to adoptive families. Five themes related to relationships were identified across all three studies: the significance of the age and developmental stage of the child; the frequency of contact and communication; digital literacy/exclusion; the impact of the lack of sensory experience; and the importance of the relationship history. The article concludes with implications for utilising digital methods in building and maintaining relationships in practice and highlights the need to consider both the inner and outer worlds of those involved.","container-title":"Developmental Child Welfare","DOI":"10.1177/25161032221079325","ISSN":"2516-1032","issue":"1","journalAbbreviation":"Dev Child Welf","note":"PMID: 38603085\nPMCID: PMC8891247","page":"3-19","source":"PubMed Central","title":"Relationship-based practice and digital technology in child and family social work: Learning from practice during the COVID-19 pandemic","title-short":"Relationship-based practice and digital technology in child and family social work","volume":"4","author":[{"family":"Copson","given":"Ruth"},{"family":"Murphy","given":"Anne M"},{"family":"Cook","given":"Laura"},{"family":"Neil","given":"Elsbeth"},{"family":"Sorensen","given":"Pernille"}],"issued":{"date-parts":[["2022",3]]}}},{"id":4582,"uris":["http://zotero.org/groups/5691188/items/F9IQWGPQ"],"itemData":{"id":4582,"type":"article-journal","container-title":"Journal of the Psychotherapy and Counselling Federation of Australia","page":"40-48","title":"The use of telepractice in the family and relationship services sector","volume":"1","author":[{"family":"Joshi","given":"A"},{"family":"Paterson","given":"N"},{"family":"Hinkely","given":"T"},{"family":"Joss","given":"N"}],"issued":{"date-parts":[["2021"]]}}}],"schema":"https://github.com/citation-style-language/schema/raw/master/csl-citation.json"} </w:instrText>
                  </w:r>
                  <w:r w:rsidR="00233AB8" w:rsidRPr="00D8537B">
                    <w:fldChar w:fldCharType="separate"/>
                  </w:r>
                  <w:r w:rsidR="003C117F" w:rsidRPr="003C117F">
                    <w:rPr>
                      <w:rFonts w:ascii="Arial" w:hAnsi="Arial" w:cs="Arial"/>
                    </w:rPr>
                    <w:t>(Copson et al., 2022; Joshi et al., 2021)</w:t>
                  </w:r>
                  <w:r w:rsidR="00233AB8" w:rsidRPr="00D8537B">
                    <w:fldChar w:fldCharType="end"/>
                  </w:r>
                  <w:r w:rsidR="00233AB8">
                    <w:t xml:space="preserve"> and the perceived increased privacy and security </w:t>
                  </w:r>
                  <w:r w:rsidR="00233AB8" w:rsidRPr="00982E33">
                    <w:fldChar w:fldCharType="begin"/>
                  </w:r>
                  <w:r w:rsidR="00E41D03">
                    <w:instrText xml:space="preserve"> ADDIN ZOTERO_ITEM CSL_CITATION {"citationID":"tT9eD1G4","properties":{"formattedCitation":"\\uldash{(Dasgupta and Melvin, 2024; Joshi et al., 2021)}","plainCitation":"(Dasgupta and Melvin, 2024; Joshi et al., 2021)","dontUpdate":true,"noteIndex":0},"citationItems":[{"id":4725,"uris":["http://zotero.org/groups/5691188/items/4P5DWYR7"],"itemData":{"id":4725,"type":"article-journal","abstract":"The current article reviews the extant literature on technology’s role in service provision and advocacy for young adults who are victims of intimate partner violence (IPV). The article looks at preferences and patterns of access and utilization of digitally mediated communication among young adults to explore optimal IPV services and mitigation strategies for providing crisis counseling to this demographic and offering support over time. An understanding of technology’s role in support provision can help to design best practices and offer recommendations that can best serve the needs of Generation Z victims of violence.","container-title":"Social Sciences","DOI":"10.3390/socsci13030169","ISSN":"2076-0760","issue":"3","journalAbbreviation":"Social Sciences","language":"en","license":"https://creativecommons.org/licenses/by/4.0/","page":"169","source":"DOI.org (Crossref)","title":"Technology-Based Intimate Partner Violence Intervention Services for Generation Z Victims of Violence","volume":"13","author":[{"family":"Dasgupta","given":"Satarupa"},{"family":"Melvin","given":"Emily"}],"issued":{"date-parts":[["2024",3,15]]}}},{"id":4582,"uris":["http://zotero.org/groups/5691188/items/F9IQWGPQ"],"itemData":{"id":4582,"type":"article-journal","container-title":"Journal of the Psychotherapy and Counselling Federation of Australia","page":"40-48","title":"The use of telepractice in the family and relationship services sector","volume":"1","author":[{"family":"Joshi","given":"A"},{"family":"Paterson","given":"N"},{"family":"Hinkely","given":"T"},{"family":"Joss","given":"N"}],"issued":{"date-parts":[["2021"]]}}}],"schema":"https://github.com/citation-style-language/schema/raw/master/csl-citation.json"} </w:instrText>
                  </w:r>
                  <w:r w:rsidR="00233AB8" w:rsidRPr="00982E33">
                    <w:fldChar w:fldCharType="separate"/>
                  </w:r>
                  <w:r w:rsidR="00233AB8" w:rsidRPr="00982E33">
                    <w:rPr>
                      <w:rFonts w:ascii="Arial" w:hAnsi="Arial" w:cs="Arial"/>
                    </w:rPr>
                    <w:t>(Dasgupta and Melvin, 2024)</w:t>
                  </w:r>
                  <w:r w:rsidR="00233AB8" w:rsidRPr="00982E33">
                    <w:fldChar w:fldCharType="end"/>
                  </w:r>
                  <w:r w:rsidR="00233AB8" w:rsidRPr="00982E33">
                    <w:t>.</w:t>
                  </w:r>
                </w:p>
                <w:p w14:paraId="23EC9891" w14:textId="1C576B54" w:rsidR="003C54C5" w:rsidRPr="00253034" w:rsidRDefault="00F45666" w:rsidP="00253034">
                  <w:pPr>
                    <w:rPr>
                      <w:b/>
                      <w:bCs/>
                      <w:color w:val="36424A" w:themeColor="background2"/>
                    </w:rPr>
                  </w:pPr>
                  <w:r>
                    <w:rPr>
                      <w:b/>
                      <w:bCs/>
                      <w:color w:val="36424A" w:themeColor="background2"/>
                    </w:rPr>
                    <w:br w:type="page"/>
                  </w:r>
                  <w:r w:rsidR="006122C9" w:rsidRPr="00554DCA">
                    <w:rPr>
                      <w:b/>
                      <w:bCs/>
                      <w:color w:val="36424A" w:themeColor="background2"/>
                    </w:rPr>
                    <w:lastRenderedPageBreak/>
                    <w:t>Barriers and e</w:t>
                  </w:r>
                  <w:r w:rsidR="007A5D3F" w:rsidRPr="00554DCA">
                    <w:rPr>
                      <w:b/>
                      <w:bCs/>
                      <w:color w:val="36424A" w:themeColor="background2"/>
                    </w:rPr>
                    <w:t>nablers of effective</w:t>
                  </w:r>
                  <w:r w:rsidR="003C54C5" w:rsidRPr="00554DCA">
                    <w:rPr>
                      <w:b/>
                      <w:bCs/>
                      <w:color w:val="36424A" w:themeColor="background2"/>
                    </w:rPr>
                    <w:t xml:space="preserve"> virtual service delivery</w:t>
                  </w:r>
                </w:p>
                <w:p w14:paraId="6E783669" w14:textId="6F13D0E0" w:rsidR="007F74BF" w:rsidRDefault="00CF07C0" w:rsidP="00440A35">
                  <w:pPr>
                    <w:pStyle w:val="Bullet1"/>
                    <w:numPr>
                      <w:ilvl w:val="0"/>
                      <w:numId w:val="0"/>
                    </w:numPr>
                  </w:pPr>
                  <w:r>
                    <w:t>Service providers</w:t>
                  </w:r>
                  <w:r w:rsidR="003367AD">
                    <w:t xml:space="preserve"> identified several </w:t>
                  </w:r>
                  <w:r w:rsidR="00CB509C">
                    <w:t xml:space="preserve">barriers and enablers to </w:t>
                  </w:r>
                  <w:r w:rsidR="00C0353B">
                    <w:t xml:space="preserve">appropriate and </w:t>
                  </w:r>
                  <w:r w:rsidR="00CB509C">
                    <w:t>effective</w:t>
                  </w:r>
                  <w:r w:rsidR="00A44B63">
                    <w:t xml:space="preserve"> virtual</w:t>
                  </w:r>
                  <w:r w:rsidR="00CB509C">
                    <w:t xml:space="preserve"> </w:t>
                  </w:r>
                  <w:r w:rsidR="00C0353B">
                    <w:t>delivery of FaRS and SFVS services.</w:t>
                  </w:r>
                  <w:r>
                    <w:t xml:space="preserve"> </w:t>
                  </w:r>
                  <w:r w:rsidR="00C0353B">
                    <w:t xml:space="preserve">The first is </w:t>
                  </w:r>
                  <w:r w:rsidR="00F27EFF">
                    <w:t>the importance of upskilling workers to ensure they have the capabilities to effectively work with service users through virtual channels.</w:t>
                  </w:r>
                  <w:r w:rsidR="00440A35">
                    <w:t xml:space="preserve"> </w:t>
                  </w:r>
                  <w:r w:rsidR="00440A35" w:rsidRPr="00571298">
                    <w:t>Offering video conferencing training, technical support, and peer learning opportunities were identified as important enablers.</w:t>
                  </w:r>
                </w:p>
                <w:p w14:paraId="14CC4359" w14:textId="1040B81B" w:rsidR="007F74BF" w:rsidRPr="005C1C78" w:rsidRDefault="007F74BF" w:rsidP="007F74BF">
                  <w:pPr>
                    <w:pBdr>
                      <w:left w:val="single" w:sz="18" w:space="4" w:color="78B800" w:themeColor="accent1"/>
                    </w:pBdr>
                    <w:tabs>
                      <w:tab w:val="left" w:pos="8080"/>
                    </w:tabs>
                    <w:spacing w:after="0"/>
                    <w:ind w:left="851" w:right="949"/>
                    <w:rPr>
                      <w:i/>
                      <w:iCs/>
                    </w:rPr>
                  </w:pPr>
                  <w:r w:rsidRPr="002E7992">
                    <w:rPr>
                      <w:noProof/>
                    </w:rPr>
                    <w:drawing>
                      <wp:anchor distT="0" distB="0" distL="114300" distR="114300" simplePos="0" relativeHeight="251658349" behindDoc="0" locked="1" layoutInCell="1" allowOverlap="1" wp14:anchorId="75DF24E0" wp14:editId="3835E57E">
                        <wp:simplePos x="0" y="0"/>
                        <wp:positionH relativeFrom="column">
                          <wp:posOffset>0</wp:posOffset>
                        </wp:positionH>
                        <wp:positionV relativeFrom="paragraph">
                          <wp:posOffset>0</wp:posOffset>
                        </wp:positionV>
                        <wp:extent cx="384810" cy="320040"/>
                        <wp:effectExtent l="0" t="0" r="0" b="3810"/>
                        <wp:wrapNone/>
                        <wp:docPr id="1917872931" name="Graphic 1917872931" descr="P2786#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872931" name="Graphic 1917872931" descr="P2786#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i/>
                      <w:iCs/>
                    </w:rPr>
                    <w:t xml:space="preserve">[Offering] online [options] […] </w:t>
                  </w:r>
                  <w:r w:rsidRPr="002114B1">
                    <w:rPr>
                      <w:i/>
                      <w:iCs/>
                    </w:rPr>
                    <w:t xml:space="preserve">has been </w:t>
                  </w:r>
                  <w:r w:rsidR="00882A00">
                    <w:rPr>
                      <w:i/>
                      <w:iCs/>
                    </w:rPr>
                    <w:t>[…]</w:t>
                  </w:r>
                  <w:r>
                    <w:rPr>
                      <w:i/>
                      <w:iCs/>
                    </w:rPr>
                    <w:t xml:space="preserve"> a</w:t>
                  </w:r>
                  <w:r w:rsidRPr="002114B1">
                    <w:rPr>
                      <w:i/>
                      <w:iCs/>
                    </w:rPr>
                    <w:t xml:space="preserve"> big change and that definitely makes us</w:t>
                  </w:r>
                  <w:r>
                    <w:rPr>
                      <w:i/>
                      <w:iCs/>
                    </w:rPr>
                    <w:t xml:space="preserve"> p</w:t>
                  </w:r>
                  <w:r w:rsidRPr="002114B1">
                    <w:rPr>
                      <w:i/>
                      <w:iCs/>
                    </w:rPr>
                    <w:t>ut our services in a position that we can reach more clients in in that way.</w:t>
                  </w:r>
                  <w:r>
                    <w:rPr>
                      <w:i/>
                      <w:iCs/>
                    </w:rPr>
                    <w:t xml:space="preserve"> </w:t>
                  </w:r>
                  <w:r w:rsidRPr="002114B1">
                    <w:rPr>
                      <w:i/>
                      <w:iCs/>
                    </w:rPr>
                    <w:t>But again, it's a skill to do the work online so you know to actually train up and skill up your therapist to be able to do that effectively. But that's been really a positive change</w:t>
                  </w:r>
                  <w:r>
                    <w:rPr>
                      <w:i/>
                      <w:iCs/>
                    </w:rPr>
                    <w:t xml:space="preserve"> </w:t>
                  </w:r>
                  <w:r w:rsidRPr="002E7992">
                    <w:rPr>
                      <w:b/>
                      <w:bCs/>
                      <w:i/>
                      <w:iCs/>
                    </w:rPr>
                    <w:t>–</w:t>
                  </w:r>
                  <w:r>
                    <w:rPr>
                      <w:b/>
                      <w:bCs/>
                      <w:i/>
                      <w:iCs/>
                    </w:rPr>
                    <w:t xml:space="preserve"> FaRS s</w:t>
                  </w:r>
                  <w:r w:rsidRPr="002E7992">
                    <w:rPr>
                      <w:b/>
                      <w:bCs/>
                      <w:i/>
                      <w:iCs/>
                    </w:rPr>
                    <w:t>ervice provider</w:t>
                  </w:r>
                </w:p>
                <w:p w14:paraId="0E90BBAF" w14:textId="77777777" w:rsidR="003C54C5" w:rsidRDefault="003C54C5" w:rsidP="00925DD5">
                  <w:pPr>
                    <w:pStyle w:val="Text"/>
                  </w:pPr>
                </w:p>
                <w:p w14:paraId="7EECF125" w14:textId="4D19BFD5" w:rsidR="005F5085" w:rsidRDefault="00C0353B" w:rsidP="00925DD5">
                  <w:pPr>
                    <w:pStyle w:val="Text"/>
                  </w:pPr>
                  <w:r>
                    <w:t xml:space="preserve">The second is </w:t>
                  </w:r>
                  <w:r w:rsidR="006122C9">
                    <w:t xml:space="preserve">acknowledging and responding to </w:t>
                  </w:r>
                  <w:r w:rsidR="006C7832">
                    <w:t xml:space="preserve">the digital divide, which can </w:t>
                  </w:r>
                  <w:r w:rsidR="008B238F">
                    <w:t>include</w:t>
                  </w:r>
                  <w:r w:rsidR="006C7832">
                    <w:t xml:space="preserve"> either </w:t>
                  </w:r>
                  <w:r w:rsidR="006C7832" w:rsidRPr="00EF71CC">
                    <w:t>digital illiteracy</w:t>
                  </w:r>
                  <w:r w:rsidR="006C7832">
                    <w:t xml:space="preserve"> or</w:t>
                  </w:r>
                  <w:r w:rsidR="006C7832" w:rsidRPr="00EF71CC">
                    <w:t xml:space="preserve"> inadequate access to appropriate technology and internet (particularly in regional areas)</w:t>
                  </w:r>
                  <w:r w:rsidR="00836C89">
                    <w:t xml:space="preserve">. </w:t>
                  </w:r>
                  <w:r w:rsidR="00546455">
                    <w:t>C</w:t>
                  </w:r>
                  <w:r w:rsidR="00836C89">
                    <w:t>ommunities and individuals more likely to experience digital illiteracy and limited access to technology, includ</w:t>
                  </w:r>
                  <w:r w:rsidR="00546455">
                    <w:t>e</w:t>
                  </w:r>
                  <w:r w:rsidR="00836C89">
                    <w:t xml:space="preserve"> rural and remote communities, </w:t>
                  </w:r>
                  <w:r w:rsidR="00F66DB0">
                    <w:t>older people, some Aboriginal and Torres Strait Islander communities</w:t>
                  </w:r>
                  <w:r w:rsidR="00546455">
                    <w:t xml:space="preserve">, </w:t>
                  </w:r>
                  <w:r w:rsidR="00F66DB0">
                    <w:t xml:space="preserve">some CALD communities, and people from lower socioeconomic backgrounds. Taking this into account when determining the proper role of </w:t>
                  </w:r>
                  <w:r w:rsidR="00FA6145">
                    <w:t>virtual service delivery in the FaRS and SFVS programs is essential to ensuring existing disadvantages and barriers to access are not further entrenched.</w:t>
                  </w:r>
                </w:p>
                <w:p w14:paraId="252CAB25" w14:textId="35B32774" w:rsidR="005F5085" w:rsidRPr="00DE080F" w:rsidRDefault="005F5085" w:rsidP="005F5085">
                  <w:pPr>
                    <w:pBdr>
                      <w:left w:val="single" w:sz="18" w:space="4" w:color="78B800" w:themeColor="accent1"/>
                    </w:pBdr>
                    <w:tabs>
                      <w:tab w:val="left" w:pos="8080"/>
                    </w:tabs>
                    <w:spacing w:after="0"/>
                    <w:ind w:left="851" w:right="949"/>
                    <w:rPr>
                      <w:b/>
                      <w:i/>
                    </w:rPr>
                  </w:pPr>
                  <w:r w:rsidRPr="007A242F">
                    <w:rPr>
                      <w:i/>
                      <w:iCs/>
                      <w:noProof/>
                    </w:rPr>
                    <w:drawing>
                      <wp:anchor distT="0" distB="0" distL="114300" distR="114300" simplePos="0" relativeHeight="251658350" behindDoc="0" locked="1" layoutInCell="1" allowOverlap="1" wp14:anchorId="3DAE6EED" wp14:editId="6FE0D675">
                        <wp:simplePos x="0" y="0"/>
                        <wp:positionH relativeFrom="column">
                          <wp:posOffset>0</wp:posOffset>
                        </wp:positionH>
                        <wp:positionV relativeFrom="paragraph">
                          <wp:posOffset>0</wp:posOffset>
                        </wp:positionV>
                        <wp:extent cx="384810" cy="320040"/>
                        <wp:effectExtent l="0" t="0" r="0" b="3810"/>
                        <wp:wrapNone/>
                        <wp:docPr id="686459301" name="Graphic 686459301" descr="P2789#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459301" name="Graphic 686459301" descr="P2789#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E080F">
                    <w:rPr>
                      <w:i/>
                      <w:iCs/>
                    </w:rPr>
                    <w:t>We've been trying to come around [geographic distance as a barrier to access</w:t>
                  </w:r>
                  <w:r w:rsidR="003030E5">
                    <w:rPr>
                      <w:i/>
                      <w:iCs/>
                    </w:rPr>
                    <w:t xml:space="preserve"> for FaRS and SFVS programs</w:t>
                  </w:r>
                  <w:r w:rsidRPr="00DE080F">
                    <w:rPr>
                      <w:i/>
                      <w:iCs/>
                    </w:rPr>
                    <w:t xml:space="preserve">] by offering telehealth sessions, but not everybody in regional locations, and especially </w:t>
                  </w:r>
                  <w:r w:rsidR="00650679">
                    <w:rPr>
                      <w:i/>
                      <w:iCs/>
                    </w:rPr>
                    <w:t>[</w:t>
                  </w:r>
                  <w:r w:rsidR="00650679">
                    <w:t>Aboriginal and Torres Strait Islander]</w:t>
                  </w:r>
                  <w:r w:rsidRPr="00DE080F">
                    <w:rPr>
                      <w:i/>
                      <w:iCs/>
                    </w:rPr>
                    <w:t xml:space="preserve"> people, have access to technology or [phone/internet] networks, right, so it can be patchy in regionals areas to be able to provide those services […] We can't have [telehealth] offered for regional people that don't have access to technology or don't have the means for it </w:t>
                  </w:r>
                  <w:r w:rsidRPr="002E7992">
                    <w:rPr>
                      <w:b/>
                      <w:bCs/>
                      <w:i/>
                      <w:iCs/>
                    </w:rPr>
                    <w:t>–</w:t>
                  </w:r>
                  <w:r>
                    <w:rPr>
                      <w:b/>
                      <w:bCs/>
                      <w:i/>
                      <w:iCs/>
                    </w:rPr>
                    <w:t xml:space="preserve"> </w:t>
                  </w:r>
                  <w:r w:rsidR="003030E5">
                    <w:rPr>
                      <w:b/>
                      <w:bCs/>
                      <w:i/>
                      <w:iCs/>
                    </w:rPr>
                    <w:t xml:space="preserve">Dual </w:t>
                  </w:r>
                  <w:r>
                    <w:rPr>
                      <w:b/>
                      <w:bCs/>
                      <w:i/>
                      <w:iCs/>
                    </w:rPr>
                    <w:t>FaRS</w:t>
                  </w:r>
                  <w:r w:rsidR="003030E5">
                    <w:rPr>
                      <w:b/>
                      <w:bCs/>
                      <w:i/>
                      <w:iCs/>
                    </w:rPr>
                    <w:t xml:space="preserve"> SFVS</w:t>
                  </w:r>
                  <w:r>
                    <w:rPr>
                      <w:b/>
                      <w:bCs/>
                      <w:i/>
                      <w:iCs/>
                    </w:rPr>
                    <w:t xml:space="preserve"> s</w:t>
                  </w:r>
                  <w:r w:rsidRPr="002E7992">
                    <w:rPr>
                      <w:b/>
                      <w:bCs/>
                      <w:i/>
                      <w:iCs/>
                    </w:rPr>
                    <w:t>ervice provider</w:t>
                  </w:r>
                </w:p>
                <w:p w14:paraId="7F6ECDF5" w14:textId="77777777" w:rsidR="007F74BF" w:rsidRDefault="007F74BF" w:rsidP="007F74BF">
                  <w:pPr>
                    <w:pStyle w:val="Text"/>
                  </w:pPr>
                </w:p>
                <w:p w14:paraId="1D345424" w14:textId="633C91CF" w:rsidR="008B34A2" w:rsidRPr="008B34A2" w:rsidRDefault="008B34A2" w:rsidP="2E2C983E">
                  <w:pPr>
                    <w:pBdr>
                      <w:left w:val="single" w:sz="18" w:space="4" w:color="78B800" w:themeColor="accent1"/>
                    </w:pBdr>
                    <w:tabs>
                      <w:tab w:val="left" w:pos="8080"/>
                    </w:tabs>
                    <w:spacing w:after="0"/>
                    <w:ind w:left="851" w:right="949"/>
                    <w:rPr>
                      <w:b/>
                      <w:i/>
                    </w:rPr>
                  </w:pPr>
                  <w:r w:rsidRPr="007A242F">
                    <w:rPr>
                      <w:i/>
                      <w:iCs/>
                      <w:noProof/>
                    </w:rPr>
                    <w:drawing>
                      <wp:anchor distT="0" distB="0" distL="114300" distR="114300" simplePos="0" relativeHeight="251658351" behindDoc="0" locked="1" layoutInCell="1" allowOverlap="1" wp14:anchorId="60191A52" wp14:editId="7D1ABDBE">
                        <wp:simplePos x="0" y="0"/>
                        <wp:positionH relativeFrom="column">
                          <wp:posOffset>0</wp:posOffset>
                        </wp:positionH>
                        <wp:positionV relativeFrom="paragraph">
                          <wp:posOffset>0</wp:posOffset>
                        </wp:positionV>
                        <wp:extent cx="384810" cy="320040"/>
                        <wp:effectExtent l="0" t="0" r="0" b="3810"/>
                        <wp:wrapNone/>
                        <wp:docPr id="1984383403" name="Graphic 1984383403" descr="P2791#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383403" name="Graphic 1984383403" descr="P2791#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2E2C983E">
                    <w:rPr>
                      <w:i/>
                      <w:iCs/>
                    </w:rPr>
                    <w:t>I’m too old to be doing all this virtual [and] tech stuff. That’s not what I grew up with</w:t>
                  </w:r>
                  <w:r w:rsidRPr="2E2C983E">
                    <w:rPr>
                      <w:b/>
                      <w:bCs/>
                      <w:i/>
                      <w:iCs/>
                    </w:rPr>
                    <w:t xml:space="preserve"> – FaRS service user </w:t>
                  </w:r>
                </w:p>
                <w:p w14:paraId="4EE99F56" w14:textId="77777777" w:rsidR="008B34A2" w:rsidRDefault="008B34A2" w:rsidP="007F74BF">
                  <w:pPr>
                    <w:pStyle w:val="Text"/>
                  </w:pPr>
                </w:p>
                <w:p w14:paraId="58E02770" w14:textId="610288BC" w:rsidR="007F74BF" w:rsidRPr="00687AB3" w:rsidRDefault="008F6C51" w:rsidP="007F74BF">
                  <w:pPr>
                    <w:pBdr>
                      <w:left w:val="single" w:sz="18" w:space="4" w:color="78B800" w:themeColor="accent1"/>
                    </w:pBdr>
                    <w:tabs>
                      <w:tab w:val="left" w:pos="8080"/>
                    </w:tabs>
                    <w:spacing w:after="0"/>
                    <w:ind w:left="851" w:right="949"/>
                    <w:rPr>
                      <w:i/>
                      <w:iCs/>
                    </w:rPr>
                  </w:pPr>
                  <w:r w:rsidRPr="007A242F">
                    <w:rPr>
                      <w:i/>
                      <w:iCs/>
                      <w:noProof/>
                    </w:rPr>
                    <w:drawing>
                      <wp:anchor distT="0" distB="0" distL="114300" distR="114300" simplePos="0" relativeHeight="251658352" behindDoc="0" locked="1" layoutInCell="1" allowOverlap="1" wp14:anchorId="0424A646" wp14:editId="194B17EC">
                        <wp:simplePos x="0" y="0"/>
                        <wp:positionH relativeFrom="margin">
                          <wp:align>left</wp:align>
                        </wp:positionH>
                        <wp:positionV relativeFrom="paragraph">
                          <wp:posOffset>57785</wp:posOffset>
                        </wp:positionV>
                        <wp:extent cx="384810" cy="320040"/>
                        <wp:effectExtent l="0" t="0" r="0" b="3810"/>
                        <wp:wrapNone/>
                        <wp:docPr id="1070315438" name="Graphic 1070315438" descr="P2793#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315438" name="Graphic 1070315438" descr="P2793#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42931">
                    <w:rPr>
                      <w:i/>
                      <w:iCs/>
                    </w:rPr>
                    <w:t>W</w:t>
                  </w:r>
                  <w:r w:rsidR="007F74BF">
                    <w:rPr>
                      <w:i/>
                      <w:iCs/>
                    </w:rPr>
                    <w:t>e had to invest an awful lot not only into the training of our staff</w:t>
                  </w:r>
                  <w:r w:rsidR="00A40B62">
                    <w:rPr>
                      <w:i/>
                      <w:iCs/>
                    </w:rPr>
                    <w:t xml:space="preserve"> [</w:t>
                  </w:r>
                  <w:r w:rsidR="00367742">
                    <w:rPr>
                      <w:i/>
                      <w:iCs/>
                    </w:rPr>
                    <w:t>…</w:t>
                  </w:r>
                  <w:r w:rsidR="00A40B62">
                    <w:rPr>
                      <w:i/>
                      <w:iCs/>
                    </w:rPr>
                    <w:t xml:space="preserve">] </w:t>
                  </w:r>
                  <w:r w:rsidR="007F74BF">
                    <w:rPr>
                      <w:i/>
                      <w:iCs/>
                    </w:rPr>
                    <w:t>but then training for the clients too to build up their confidence, to give them the resources to be able to engage in in an online space, including loan devices, including setting up a computer in their village [in] another service provider and saying you can go there and participate there so you have to be very creative to make it work</w:t>
                  </w:r>
                  <w:r w:rsidR="00517698">
                    <w:rPr>
                      <w:i/>
                      <w:iCs/>
                    </w:rPr>
                    <w:t xml:space="preserve"> </w:t>
                  </w:r>
                  <w:r w:rsidR="007F74BF" w:rsidRPr="002E7992">
                    <w:rPr>
                      <w:b/>
                      <w:bCs/>
                      <w:i/>
                      <w:iCs/>
                    </w:rPr>
                    <w:t>–</w:t>
                  </w:r>
                  <w:r w:rsidR="007F74BF">
                    <w:rPr>
                      <w:b/>
                      <w:bCs/>
                      <w:i/>
                      <w:iCs/>
                    </w:rPr>
                    <w:t xml:space="preserve"> FaRS s</w:t>
                  </w:r>
                  <w:r w:rsidR="007F74BF" w:rsidRPr="002E7992">
                    <w:rPr>
                      <w:b/>
                      <w:bCs/>
                      <w:i/>
                      <w:iCs/>
                    </w:rPr>
                    <w:t>ervice provider</w:t>
                  </w:r>
                </w:p>
                <w:p w14:paraId="7EF0BEF7" w14:textId="77777777" w:rsidR="0079547F" w:rsidRDefault="0079547F" w:rsidP="00925DD5">
                  <w:pPr>
                    <w:pStyle w:val="Text"/>
                  </w:pPr>
                </w:p>
                <w:p w14:paraId="451D8BB1" w14:textId="2C40D8F9" w:rsidR="007915B2" w:rsidRDefault="00C0235A" w:rsidP="00C0235A">
                  <w:pPr>
                    <w:pStyle w:val="Text"/>
                  </w:pPr>
                  <w:r w:rsidRPr="008355E8">
                    <w:rPr>
                      <w:lang w:val="en-US"/>
                    </w:rPr>
                    <w:t xml:space="preserve">Overall, </w:t>
                  </w:r>
                  <w:r>
                    <w:rPr>
                      <w:lang w:val="en-US"/>
                    </w:rPr>
                    <w:t xml:space="preserve">available evidence </w:t>
                  </w:r>
                  <w:r w:rsidR="00F24844">
                    <w:rPr>
                      <w:lang w:val="en-US"/>
                    </w:rPr>
                    <w:t>suggests that there is scope to increase</w:t>
                  </w:r>
                  <w:r w:rsidRPr="008355E8">
                    <w:rPr>
                      <w:lang w:val="en-US"/>
                    </w:rPr>
                    <w:t xml:space="preserve"> virtual service delivery</w:t>
                  </w:r>
                  <w:r>
                    <w:rPr>
                      <w:lang w:val="en-US"/>
                    </w:rPr>
                    <w:t xml:space="preserve"> for FaRS and SFVS </w:t>
                  </w:r>
                  <w:r w:rsidR="00C70900">
                    <w:rPr>
                      <w:lang w:val="en-US"/>
                    </w:rPr>
                    <w:t>within the framework of</w:t>
                  </w:r>
                  <w:r>
                    <w:rPr>
                      <w:lang w:val="en-US"/>
                    </w:rPr>
                    <w:t xml:space="preserve"> the current </w:t>
                  </w:r>
                  <w:r w:rsidR="00F44C0D">
                    <w:rPr>
                      <w:lang w:val="en-US"/>
                    </w:rPr>
                    <w:t xml:space="preserve">hybrid </w:t>
                  </w:r>
                  <w:r>
                    <w:rPr>
                      <w:lang w:val="en-US"/>
                    </w:rPr>
                    <w:t>approach</w:t>
                  </w:r>
                  <w:r w:rsidRPr="008355E8">
                    <w:rPr>
                      <w:lang w:val="en-US"/>
                    </w:rPr>
                    <w:t xml:space="preserve"> </w:t>
                  </w:r>
                  <w:r>
                    <w:rPr>
                      <w:lang w:val="en-US"/>
                    </w:rPr>
                    <w:t xml:space="preserve">which </w:t>
                  </w:r>
                  <w:r w:rsidRPr="008355E8">
                    <w:rPr>
                      <w:lang w:val="en-US"/>
                    </w:rPr>
                    <w:t>prioriti</w:t>
                  </w:r>
                  <w:r>
                    <w:rPr>
                      <w:lang w:val="en-US"/>
                    </w:rPr>
                    <w:t>s</w:t>
                  </w:r>
                  <w:r w:rsidRPr="008355E8">
                    <w:rPr>
                      <w:lang w:val="en-US"/>
                    </w:rPr>
                    <w:t>es safe</w:t>
                  </w:r>
                  <w:r>
                    <w:rPr>
                      <w:lang w:val="en-US"/>
                    </w:rPr>
                    <w:t xml:space="preserve"> and</w:t>
                  </w:r>
                  <w:r w:rsidRPr="008355E8">
                    <w:rPr>
                      <w:lang w:val="en-US"/>
                    </w:rPr>
                    <w:t xml:space="preserve"> equitable access </w:t>
                  </w:r>
                  <w:r>
                    <w:rPr>
                      <w:lang w:val="en-US"/>
                    </w:rPr>
                    <w:t>based on service user preference and service capacity and capability.</w:t>
                  </w:r>
                  <w:r w:rsidRPr="1A1ACD70">
                    <w:t xml:space="preserve"> </w:t>
                  </w:r>
                </w:p>
                <w:p w14:paraId="71ACA7F0" w14:textId="1F796BDC" w:rsidR="002431DC" w:rsidRDefault="00C0235A" w:rsidP="00C0235A">
                  <w:pPr>
                    <w:pStyle w:val="Text"/>
                  </w:pPr>
                  <w:r w:rsidRPr="1A1ACD70">
                    <w:t>Tele</w:t>
                  </w:r>
                  <w:r w:rsidR="00237F26">
                    <w:t>-</w:t>
                  </w:r>
                  <w:r w:rsidRPr="1A1ACD70">
                    <w:t xml:space="preserve">practice </w:t>
                  </w:r>
                  <w:r w:rsidR="00211FC2">
                    <w:t xml:space="preserve">has the potential to play an enhanced role in expanding access to </w:t>
                  </w:r>
                  <w:r w:rsidR="00606ED9">
                    <w:t xml:space="preserve">FaRS and SFVS </w:t>
                  </w:r>
                  <w:r w:rsidR="00211FC2">
                    <w:t>services</w:t>
                  </w:r>
                  <w:r w:rsidRPr="1A1ACD70">
                    <w:t>, effectively extending the reach of high-quality services to underserved communities. With proper support</w:t>
                  </w:r>
                  <w:r>
                    <w:t xml:space="preserve"> (including training for staff and service users and adaption of existing programs to fit virtual delivery) </w:t>
                  </w:r>
                  <w:r w:rsidRPr="1A1ACD70">
                    <w:t>and infrastructure</w:t>
                  </w:r>
                  <w:r>
                    <w:t xml:space="preserve"> (including loan devices, remote access stations) </w:t>
                  </w:r>
                  <w:r w:rsidR="00AA7D6F">
                    <w:t>virtual</w:t>
                  </w:r>
                  <w:r w:rsidRPr="1A1ACD70">
                    <w:t xml:space="preserve"> approaches can serve as a</w:t>
                  </w:r>
                  <w:r w:rsidR="00B453BC">
                    <w:t>n</w:t>
                  </w:r>
                  <w:r w:rsidRPr="1A1ACD70">
                    <w:t xml:space="preserve"> alternative to </w:t>
                  </w:r>
                  <w:r w:rsidR="00B453BC">
                    <w:t xml:space="preserve">face-to-face, </w:t>
                  </w:r>
                  <w:r w:rsidR="002431DC">
                    <w:t>in some circumstances</w:t>
                  </w:r>
                  <w:r w:rsidRPr="1A1ACD70">
                    <w:t>.</w:t>
                  </w:r>
                  <w:r w:rsidR="002431DC">
                    <w:t xml:space="preserve"> </w:t>
                  </w:r>
                  <w:r w:rsidR="00C63C79">
                    <w:t>Specifically, t</w:t>
                  </w:r>
                  <w:r w:rsidR="000322BE">
                    <w:t>here is scope to expand virtual delivery of</w:t>
                  </w:r>
                  <w:r w:rsidR="00F171A1">
                    <w:t xml:space="preserve"> education programs and </w:t>
                  </w:r>
                  <w:r w:rsidR="00C63C79">
                    <w:t xml:space="preserve">increase </w:t>
                  </w:r>
                  <w:r w:rsidR="00F171A1">
                    <w:t xml:space="preserve">hybrid </w:t>
                  </w:r>
                  <w:r w:rsidR="000322BE">
                    <w:t xml:space="preserve">approaches to </w:t>
                  </w:r>
                  <w:r w:rsidR="00AA7D6F">
                    <w:t>individual counselling</w:t>
                  </w:r>
                  <w:r w:rsidR="00037C6B">
                    <w:t>.</w:t>
                  </w:r>
                </w:p>
                <w:p w14:paraId="42362416" w14:textId="5C8BD9D0" w:rsidR="00861468" w:rsidRPr="006B0ADE" w:rsidRDefault="0028464D" w:rsidP="00C0235A">
                  <w:pPr>
                    <w:pStyle w:val="Text"/>
                  </w:pPr>
                  <w:r>
                    <w:t xml:space="preserve">Ultimately </w:t>
                  </w:r>
                  <w:r w:rsidR="00810FD8">
                    <w:t xml:space="preserve">decisions about </w:t>
                  </w:r>
                  <w:r>
                    <w:t xml:space="preserve">service modality must </w:t>
                  </w:r>
                  <w:r w:rsidR="007A31AF">
                    <w:t xml:space="preserve">be </w:t>
                  </w:r>
                  <w:r w:rsidR="001D1403">
                    <w:t>service user</w:t>
                  </w:r>
                  <w:r w:rsidR="007A31AF">
                    <w:t xml:space="preserve">-focused, </w:t>
                  </w:r>
                  <w:r w:rsidR="007946FD">
                    <w:t>considering</w:t>
                  </w:r>
                  <w:r w:rsidR="00810FD8">
                    <w:t xml:space="preserve"> access needs and constraints, safety and wellbeing, </w:t>
                  </w:r>
                  <w:r w:rsidR="00C66AD8">
                    <w:t xml:space="preserve">therapeutic consideration, </w:t>
                  </w:r>
                  <w:r w:rsidR="005F5F70">
                    <w:t xml:space="preserve">digital literacy and equity, </w:t>
                  </w:r>
                  <w:r w:rsidR="00C66AD8">
                    <w:t>culture, and service user preferences.</w:t>
                  </w:r>
                  <w:r w:rsidR="005F5F70">
                    <w:t xml:space="preserve"> </w:t>
                  </w:r>
                  <w:r w:rsidR="000D3A43">
                    <w:t xml:space="preserve">Approximately </w:t>
                  </w:r>
                  <w:r w:rsidR="00861468">
                    <w:rPr>
                      <w:lang w:val="en-US"/>
                    </w:rPr>
                    <w:t>50.8</w:t>
                  </w:r>
                  <w:r w:rsidR="00861468" w:rsidRPr="008355E8">
                    <w:rPr>
                      <w:lang w:val="en-US"/>
                    </w:rPr>
                    <w:t>%</w:t>
                  </w:r>
                  <w:r w:rsidR="00861468">
                    <w:rPr>
                      <w:lang w:val="en-US"/>
                    </w:rPr>
                    <w:t xml:space="preserve"> </w:t>
                  </w:r>
                  <w:r w:rsidR="00861468" w:rsidRPr="00A302A7">
                    <w:rPr>
                      <w:lang w:val="en-US"/>
                    </w:rPr>
                    <w:t>(n=62)</w:t>
                  </w:r>
                  <w:r w:rsidR="00861468" w:rsidRPr="008355E8">
                    <w:rPr>
                      <w:lang w:val="en-US"/>
                    </w:rPr>
                    <w:t xml:space="preserve"> of survey respondents who accessed</w:t>
                  </w:r>
                  <w:r w:rsidR="00861468">
                    <w:rPr>
                      <w:lang w:val="en-US"/>
                    </w:rPr>
                    <w:t xml:space="preserve"> their </w:t>
                  </w:r>
                  <w:r w:rsidR="00861468" w:rsidRPr="008355E8">
                    <w:rPr>
                      <w:lang w:val="en-US"/>
                    </w:rPr>
                    <w:t>service face-to-face indicated they would still access the service if it was provided virtually</w:t>
                  </w:r>
                  <w:r w:rsidR="00861468">
                    <w:rPr>
                      <w:lang w:val="en-US"/>
                    </w:rPr>
                    <w:t>. This demonstrates that whil</w:t>
                  </w:r>
                  <w:r w:rsidR="007867FA">
                    <w:rPr>
                      <w:lang w:val="en-US"/>
                    </w:rPr>
                    <w:t>e</w:t>
                  </w:r>
                  <w:r w:rsidR="00861468">
                    <w:rPr>
                      <w:lang w:val="en-US"/>
                    </w:rPr>
                    <w:t xml:space="preserve"> </w:t>
                  </w:r>
                  <w:r w:rsidR="00C9159E">
                    <w:rPr>
                      <w:lang w:val="en-US"/>
                    </w:rPr>
                    <w:t>half of</w:t>
                  </w:r>
                  <w:r w:rsidR="00861468">
                    <w:rPr>
                      <w:lang w:val="en-US"/>
                    </w:rPr>
                    <w:t xml:space="preserve"> </w:t>
                  </w:r>
                  <w:r w:rsidR="007867FA">
                    <w:rPr>
                      <w:lang w:val="en-US"/>
                    </w:rPr>
                    <w:t xml:space="preserve">service users </w:t>
                  </w:r>
                  <w:r w:rsidR="00861468">
                    <w:rPr>
                      <w:lang w:val="en-US"/>
                    </w:rPr>
                    <w:t>are open to accessing services virtually, it is important to maintain face-to-face options</w:t>
                  </w:r>
                  <w:r w:rsidR="005F5F70">
                    <w:rPr>
                      <w:lang w:val="en-US"/>
                    </w:rPr>
                    <w:t xml:space="preserve"> to ensure </w:t>
                  </w:r>
                  <w:r w:rsidR="00B61B3E">
                    <w:rPr>
                      <w:lang w:val="en-US"/>
                    </w:rPr>
                    <w:t>those seeking in</w:t>
                  </w:r>
                  <w:r w:rsidR="00357444">
                    <w:rPr>
                      <w:lang w:val="en-US"/>
                    </w:rPr>
                    <w:t>-</w:t>
                  </w:r>
                  <w:r w:rsidR="00B61B3E">
                    <w:rPr>
                      <w:lang w:val="en-US"/>
                    </w:rPr>
                    <w:t xml:space="preserve">person support are able to access the </w:t>
                  </w:r>
                  <w:r w:rsidR="00357444">
                    <w:rPr>
                      <w:lang w:val="en-US"/>
                    </w:rPr>
                    <w:t>services</w:t>
                  </w:r>
                  <w:r w:rsidR="00B61B3E">
                    <w:rPr>
                      <w:lang w:val="en-US"/>
                    </w:rPr>
                    <w:t xml:space="preserve"> they need</w:t>
                  </w:r>
                  <w:r w:rsidR="00861468">
                    <w:rPr>
                      <w:lang w:val="en-US"/>
                    </w:rPr>
                    <w:t xml:space="preserve">. </w:t>
                  </w:r>
                </w:p>
                <w:p w14:paraId="752FC774" w14:textId="40244955" w:rsidR="00032701" w:rsidRDefault="00C0235A" w:rsidP="008E1B83">
                  <w:pPr>
                    <w:pBdr>
                      <w:left w:val="single" w:sz="18" w:space="4" w:color="78B800" w:themeColor="accent1"/>
                    </w:pBdr>
                    <w:tabs>
                      <w:tab w:val="left" w:pos="8080"/>
                    </w:tabs>
                    <w:spacing w:after="0"/>
                    <w:ind w:left="851" w:right="949"/>
                    <w:rPr>
                      <w:rFonts w:ascii="Arial" w:hAnsi="Arial"/>
                      <w:b/>
                      <w:bCs/>
                      <w:color w:val="007E00" w:themeColor="accent3"/>
                      <w:sz w:val="36"/>
                      <w:szCs w:val="36"/>
                    </w:rPr>
                  </w:pPr>
                  <w:r w:rsidRPr="002E7992">
                    <w:rPr>
                      <w:noProof/>
                    </w:rPr>
                    <w:drawing>
                      <wp:anchor distT="0" distB="0" distL="114300" distR="114300" simplePos="0" relativeHeight="251658353" behindDoc="0" locked="1" layoutInCell="1" allowOverlap="1" wp14:anchorId="7A6B4B44" wp14:editId="179E9024">
                        <wp:simplePos x="0" y="0"/>
                        <wp:positionH relativeFrom="column">
                          <wp:posOffset>0</wp:posOffset>
                        </wp:positionH>
                        <wp:positionV relativeFrom="paragraph">
                          <wp:posOffset>0</wp:posOffset>
                        </wp:positionV>
                        <wp:extent cx="384810" cy="320040"/>
                        <wp:effectExtent l="0" t="0" r="0" b="3810"/>
                        <wp:wrapNone/>
                        <wp:docPr id="1936693133" name="Graphic 1936693133" descr="P2798#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693133" name="Graphic 1936693133" descr="P2798#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B00AF">
                    <w:rPr>
                      <w:i/>
                      <w:iCs/>
                    </w:rPr>
                    <w:t>To be able to utilise those options, whether it be face-to-face or virtual… when you’re in a rural or remote community, you’ve got to use what can work for the client</w:t>
                  </w:r>
                  <w:r>
                    <w:rPr>
                      <w:i/>
                      <w:iCs/>
                    </w:rPr>
                    <w:t xml:space="preserve"> </w:t>
                  </w:r>
                  <w:r w:rsidRPr="002E7992">
                    <w:rPr>
                      <w:b/>
                      <w:bCs/>
                      <w:i/>
                      <w:iCs/>
                    </w:rPr>
                    <w:t>–</w:t>
                  </w:r>
                  <w:r>
                    <w:rPr>
                      <w:b/>
                      <w:bCs/>
                      <w:i/>
                      <w:iCs/>
                    </w:rPr>
                    <w:t xml:space="preserve"> SFVS s</w:t>
                  </w:r>
                  <w:r w:rsidRPr="002E7992">
                    <w:rPr>
                      <w:b/>
                      <w:bCs/>
                      <w:i/>
                      <w:iCs/>
                    </w:rPr>
                    <w:t>ervice provider</w:t>
                  </w:r>
                </w:p>
                <w:p w14:paraId="729FFCF3" w14:textId="382824D0" w:rsidR="005674C7" w:rsidRPr="00E11028" w:rsidRDefault="005674C7" w:rsidP="002E7436">
                  <w:pPr>
                    <w:pStyle w:val="Heading2"/>
                  </w:pPr>
                  <w:bookmarkStart w:id="473" w:name="_Ref205305073"/>
                  <w:bookmarkStart w:id="474" w:name="_Toc208906861"/>
                  <w:bookmarkStart w:id="475" w:name="_Ref203672250"/>
                  <w:bookmarkStart w:id="476" w:name="_Toc204856747"/>
                  <w:r w:rsidRPr="008E02E0">
                    <w:t xml:space="preserve">Alignment with </w:t>
                  </w:r>
                  <w:r w:rsidR="0000698B">
                    <w:t>the needs of priority populations</w:t>
                  </w:r>
                  <w:bookmarkEnd w:id="473"/>
                  <w:bookmarkEnd w:id="474"/>
                  <w:r w:rsidR="0000698B">
                    <w:t xml:space="preserve"> </w:t>
                  </w:r>
                  <w:bookmarkEnd w:id="475"/>
                  <w:bookmarkEnd w:id="476"/>
                </w:p>
                <w:p w14:paraId="306D66BD" w14:textId="31B97ACF" w:rsidR="00032701" w:rsidRDefault="00032701" w:rsidP="005674C7">
                  <w:pPr>
                    <w:pStyle w:val="Text"/>
                    <w:rPr>
                      <w:lang w:val="en-GB"/>
                    </w:rPr>
                  </w:pPr>
                  <w:r>
                    <w:rPr>
                      <w:lang w:val="en-GB"/>
                    </w:rPr>
                    <w:t xml:space="preserve">This section considers to what extent FaRS and SFVS are appropriate and aligned with the needs of service users and priority populations, including people </w:t>
                  </w:r>
                  <w:r w:rsidR="00B34ACE">
                    <w:rPr>
                      <w:lang w:val="en-GB"/>
                    </w:rPr>
                    <w:t xml:space="preserve">who have </w:t>
                  </w:r>
                  <w:r>
                    <w:rPr>
                      <w:lang w:val="en-GB"/>
                    </w:rPr>
                    <w:t>experience</w:t>
                  </w:r>
                  <w:r w:rsidR="00B34ACE">
                    <w:rPr>
                      <w:lang w:val="en-GB"/>
                    </w:rPr>
                    <w:t>d</w:t>
                  </w:r>
                  <w:r>
                    <w:rPr>
                      <w:lang w:val="en-GB"/>
                    </w:rPr>
                    <w:t xml:space="preserve"> trauma, family violence and sexual violence, Aboriginal and Torres Strait Islander</w:t>
                  </w:r>
                  <w:r w:rsidR="00FB5656">
                    <w:rPr>
                      <w:lang w:val="en-GB"/>
                    </w:rPr>
                    <w:t xml:space="preserve"> peoples</w:t>
                  </w:r>
                  <w:r>
                    <w:rPr>
                      <w:lang w:val="en-GB"/>
                    </w:rPr>
                    <w:t xml:space="preserve">, </w:t>
                  </w:r>
                  <w:r w:rsidR="00580B81">
                    <w:rPr>
                      <w:lang w:val="en-GB"/>
                    </w:rPr>
                    <w:t>CALD</w:t>
                  </w:r>
                  <w:r>
                    <w:rPr>
                      <w:lang w:val="en-GB"/>
                    </w:rPr>
                    <w:t xml:space="preserve"> people, people with disability</w:t>
                  </w:r>
                  <w:r w:rsidR="00580B81">
                    <w:rPr>
                      <w:lang w:val="en-GB"/>
                    </w:rPr>
                    <w:t>,</w:t>
                  </w:r>
                  <w:r>
                    <w:rPr>
                      <w:lang w:val="en-GB"/>
                    </w:rPr>
                    <w:t xml:space="preserve"> </w:t>
                  </w:r>
                  <w:r w:rsidR="00FB5656">
                    <w:rPr>
                      <w:lang w:val="en-GB"/>
                    </w:rPr>
                    <w:t xml:space="preserve">and </w:t>
                  </w:r>
                  <w:r>
                    <w:rPr>
                      <w:lang w:val="en-GB"/>
                    </w:rPr>
                    <w:t>those identifying as LGBTIQA+</w:t>
                  </w:r>
                  <w:r w:rsidR="00FB5656">
                    <w:rPr>
                      <w:lang w:val="en-GB"/>
                    </w:rPr>
                    <w:t>,</w:t>
                  </w:r>
                  <w:r>
                    <w:rPr>
                      <w:lang w:val="en-GB"/>
                    </w:rPr>
                    <w:t xml:space="preserve"> </w:t>
                  </w:r>
                  <w:r w:rsidR="00FB5656">
                    <w:rPr>
                      <w:lang w:val="en-GB"/>
                    </w:rPr>
                    <w:t>as well as</w:t>
                  </w:r>
                  <w:r>
                    <w:rPr>
                      <w:lang w:val="en-GB"/>
                    </w:rPr>
                    <w:t xml:space="preserve"> the service preferences of contemporary families</w:t>
                  </w:r>
                  <w:r w:rsidR="00FB5656">
                    <w:rPr>
                      <w:lang w:val="en-GB"/>
                    </w:rPr>
                    <w:t xml:space="preserve"> more broadly</w:t>
                  </w:r>
                  <w:r>
                    <w:rPr>
                      <w:lang w:val="en-GB"/>
                    </w:rPr>
                    <w:t>, as articulated in KEQ</w:t>
                  </w:r>
                  <w:r w:rsidR="00686D87">
                    <w:rPr>
                      <w:lang w:val="en-GB"/>
                    </w:rPr>
                    <w:t xml:space="preserve"> </w:t>
                  </w:r>
                  <w:r>
                    <w:rPr>
                      <w:lang w:val="en-GB"/>
                    </w:rPr>
                    <w:t xml:space="preserve">3. </w:t>
                  </w:r>
                </w:p>
                <w:p w14:paraId="7EB7E491" w14:textId="3BFC55BB" w:rsidR="005674C7" w:rsidRPr="00DC32A8" w:rsidRDefault="005674C7" w:rsidP="005674C7">
                  <w:pPr>
                    <w:pStyle w:val="Text"/>
                    <w:rPr>
                      <w:lang w:val="en-GB"/>
                    </w:rPr>
                  </w:pPr>
                  <w:r w:rsidRPr="008E4F05">
                    <w:rPr>
                      <w:lang w:val="en-GB"/>
                    </w:rPr>
                    <w:t xml:space="preserve">The literature </w:t>
                  </w:r>
                  <w:r w:rsidR="00AE792E">
                    <w:rPr>
                      <w:lang w:val="en-GB"/>
                    </w:rPr>
                    <w:t xml:space="preserve">on </w:t>
                  </w:r>
                  <w:r w:rsidRPr="008E4F05">
                    <w:rPr>
                      <w:lang w:val="en-GB"/>
                    </w:rPr>
                    <w:t>service</w:t>
                  </w:r>
                  <w:r w:rsidRPr="008E4F05" w:rsidDel="009959DD">
                    <w:rPr>
                      <w:lang w:val="en-GB"/>
                    </w:rPr>
                    <w:t xml:space="preserve"> </w:t>
                  </w:r>
                  <w:r w:rsidR="009959DD">
                    <w:rPr>
                      <w:lang w:val="en-GB"/>
                    </w:rPr>
                    <w:t>delivery</w:t>
                  </w:r>
                  <w:r w:rsidR="009959DD" w:rsidRPr="008E4F05">
                    <w:rPr>
                      <w:lang w:val="en-GB"/>
                    </w:rPr>
                    <w:t xml:space="preserve"> </w:t>
                  </w:r>
                  <w:r w:rsidRPr="008E4F05">
                    <w:rPr>
                      <w:lang w:val="en-GB"/>
                    </w:rPr>
                    <w:t xml:space="preserve">for priority populations </w:t>
                  </w:r>
                  <w:r w:rsidR="00AE792E">
                    <w:rPr>
                      <w:lang w:val="en-GB"/>
                    </w:rPr>
                    <w:t>highlights</w:t>
                  </w:r>
                  <w:r w:rsidR="00AE792E" w:rsidRPr="008E4F05">
                    <w:rPr>
                      <w:lang w:val="en-GB"/>
                    </w:rPr>
                    <w:t xml:space="preserve"> </w:t>
                  </w:r>
                  <w:r w:rsidRPr="008E4F05">
                    <w:rPr>
                      <w:lang w:val="en-GB"/>
                    </w:rPr>
                    <w:t xml:space="preserve">a need to apply an intersectional lens to address barriers and tailor </w:t>
                  </w:r>
                  <w:r w:rsidR="00986AD2">
                    <w:rPr>
                      <w:lang w:val="en-GB"/>
                    </w:rPr>
                    <w:t>support</w:t>
                  </w:r>
                  <w:r w:rsidR="00986AD2" w:rsidRPr="008E4F05">
                    <w:rPr>
                      <w:lang w:val="en-GB"/>
                    </w:rPr>
                    <w:t xml:space="preserve"> </w:t>
                  </w:r>
                  <w:r w:rsidR="00986AD2">
                    <w:rPr>
                      <w:lang w:val="en-GB"/>
                    </w:rPr>
                    <w:t>to</w:t>
                  </w:r>
                  <w:r w:rsidRPr="008E4F05">
                    <w:rPr>
                      <w:lang w:val="en-GB"/>
                    </w:rPr>
                    <w:t xml:space="preserve"> diverse individual, community and family needs </w:t>
                  </w:r>
                  <w:r w:rsidRPr="008E4F05">
                    <w:rPr>
                      <w:lang w:val="en-GB"/>
                    </w:rPr>
                    <w:fldChar w:fldCharType="begin"/>
                  </w:r>
                  <w:r w:rsidR="00E41D03">
                    <w:rPr>
                      <w:lang w:val="en-GB"/>
                    </w:rPr>
                    <w:instrText xml:space="preserve"> ADDIN ZOTERO_ITEM CSL_CITATION {"citationID":"a161imcji0","properties":{"formattedCitation":"(Corrie and Moore, 2021; Jones et al., 2023; Waller et al., 2023)","plainCitation":"(Corrie and Moore, 2021; Jones et al., 2023; Waller et al., 2023)","noteIndex":0},"citationItems":[{"id":4712,"uris":["http://zotero.org/groups/5691188/items/JSC5WE94"],"itemData":{"id":4712,"type":"report","event-place":"Melbourne","language":"en","publisher":"Melbourne City Mission","publisher-place":"Melbourne","source":"Zotero","title":"Amplify: Turning up the Volume on Young People and Family Violence","author":[{"family":"Corrie","given":"Tanya"},{"family":"Moore","given":"S"}],"issued":{"date-parts":[["2021"]]}}},{"id":4704,"uris":["http://zotero.org/groups/5691188/items/IUWYP6AG"],"itemData":{"id":4704,"type":"report","language":"en","publisher":"Royal Commission Into Violence, Abuse, Neglect and Exploitation of People With Disability","source":"Zotero","title":"Research Report - Wangkiny Yirra “Speaking Up” Project: First Nations women and children with disability and their experiences of family and domestic violence","author":[{"family":"Jones","given":"J"},{"family":"Roarty","given":"L"},{"family":"Gilroy","given":"J"},{"family":"Brook","given":"J"},{"family":"Wilson","given":"M"},{"family":"Garlett","given":"C"},{"family":"McGlade","given":"H"},{"family":"Williams","given":"R"},{"family":"Leonard","given":"H"}],"issued":{"date-parts":[["2023"]]}}},{"id":4720,"uris":["http://zotero.org/groups/5691188/items/73Y4KRUL"],"itemData":{"id":4720,"type":"article-journal","abstract":"African American women survivors of intimate partner violence disproportionately experience homicide due, in part, to the racism and racial discrimination they experience during their helpseeking process. Yet, existing scholarship neglects to examine how this multiply-marginalized population of women navigate sociocultural barriers to obtain crisis services and supports from the domestic violence service provision system. Fundamental to developing culturally-salient interventions is more fully understanding their help-seeking behavior. We conducted 30 in-depth, semi-structured interviews with women who self-identified as African American. Constructivist grounded theory methodology was employed. Sensitizing concepts from the Transtheoretical Model of Change and Intersectionality theories, along with Agency framework were conceptually bound. The Theory of Help-Seeking Behavior emerged from the data. This nascent theory provides practitioners and researchers with a theoretical model to examine African American women’s nuanced help-seeking efforts.","container-title":"Journal of Interpersonal Violence","DOI":"10.1177/08862605221084340","ISSN":"0886-2605, 1552-6518","issue":"1-2","journalAbbreviation":"J Interpers Violence","language":"en","page":"288-310","source":"DOI.org (Crossref)","title":"“I Am the One That Needs Help”: The Theory of Help-Seeking Behavior for Survivors of Intimate Partner Violence","title-short":"“I Am the One That Needs Help”","volume":"38","author":[{"family":"Waller","given":"Bernadine Y."},{"family":"Joyce","given":"Patricia A."},{"family":"Quinn","given":"Camille R."},{"family":"Hassan Shaari","given":"Azahah Abu"},{"family":"Boyd","given":"Donte T."}],"issued":{"date-parts":[["2023",1]]}}}],"schema":"https://github.com/citation-style-language/schema/raw/master/csl-citation.json"} </w:instrText>
                  </w:r>
                  <w:r w:rsidRPr="008E4F05">
                    <w:rPr>
                      <w:lang w:val="en-GB"/>
                    </w:rPr>
                    <w:fldChar w:fldCharType="separate"/>
                  </w:r>
                  <w:r w:rsidR="00AC138C" w:rsidRPr="00AC138C">
                    <w:rPr>
                      <w:rFonts w:ascii="Arial" w:hAnsi="Arial" w:cs="Arial"/>
                    </w:rPr>
                    <w:t>(Corrie and Moore, 2021; Jones et al., 2023; Waller et al., 2023)</w:t>
                  </w:r>
                  <w:r w:rsidRPr="008E4F05">
                    <w:rPr>
                      <w:lang w:val="en-GB"/>
                    </w:rPr>
                    <w:fldChar w:fldCharType="end"/>
                  </w:r>
                  <w:r w:rsidRPr="008E4F05">
                    <w:rPr>
                      <w:lang w:val="en-GB"/>
                    </w:rPr>
                    <w:t>. Service</w:t>
                  </w:r>
                  <w:r>
                    <w:rPr>
                      <w:lang w:val="en-GB"/>
                    </w:rPr>
                    <w:t xml:space="preserve"> providers and users provided further insight into the unique service needs and barriers for priority communities. Generally,</w:t>
                  </w:r>
                  <w:r w:rsidDel="009959DD">
                    <w:rPr>
                      <w:lang w:val="en-GB"/>
                    </w:rPr>
                    <w:t xml:space="preserve"> </w:t>
                  </w:r>
                  <w:r w:rsidR="009959DD">
                    <w:rPr>
                      <w:lang w:val="en-GB"/>
                    </w:rPr>
                    <w:t xml:space="preserve">service providers and service users </w:t>
                  </w:r>
                  <w:r>
                    <w:rPr>
                      <w:lang w:val="en-GB"/>
                    </w:rPr>
                    <w:t xml:space="preserve">reflected positively on the alignment of FaRS and SFVS with priority population needs. Positive feedback </w:t>
                  </w:r>
                  <w:r w:rsidR="00986AD2">
                    <w:rPr>
                      <w:lang w:val="en-GB"/>
                    </w:rPr>
                    <w:t>centred on several key</w:t>
                  </w:r>
                  <w:r>
                    <w:rPr>
                      <w:lang w:val="en-GB"/>
                    </w:rPr>
                    <w:t xml:space="preserve"> themes</w:t>
                  </w:r>
                  <w:r w:rsidR="00986AD2">
                    <w:rPr>
                      <w:lang w:val="en-GB"/>
                    </w:rPr>
                    <w:t>: the usefulness of</w:t>
                  </w:r>
                  <w:r>
                    <w:rPr>
                      <w:lang w:val="en-GB"/>
                    </w:rPr>
                    <w:t xml:space="preserve"> practical tools and strategies shared </w:t>
                  </w:r>
                  <w:r w:rsidR="00986AD2">
                    <w:rPr>
                      <w:lang w:val="en-GB"/>
                    </w:rPr>
                    <w:t>through</w:t>
                  </w:r>
                  <w:r>
                    <w:rPr>
                      <w:lang w:val="en-GB"/>
                    </w:rPr>
                    <w:t xml:space="preserve"> engagement, staff making adjustments to improve clarity generally or in response to disability and mental health needs, and the care and attention staff used to apply empathetic and </w:t>
                  </w:r>
                  <w:r w:rsidR="001D1403">
                    <w:rPr>
                      <w:lang w:val="en-GB"/>
                    </w:rPr>
                    <w:t>service user</w:t>
                  </w:r>
                  <w:r>
                    <w:rPr>
                      <w:lang w:val="en-GB"/>
                    </w:rPr>
                    <w:t>-centred approaches</w:t>
                  </w:r>
                  <w:r w:rsidR="00986AD2">
                    <w:rPr>
                      <w:lang w:val="en-GB"/>
                    </w:rPr>
                    <w:t>.</w:t>
                  </w:r>
                  <w:r>
                    <w:rPr>
                      <w:lang w:val="en-GB"/>
                    </w:rPr>
                    <w:t xml:space="preserve"> </w:t>
                  </w:r>
                  <w:r w:rsidR="00986AD2">
                    <w:rPr>
                      <w:lang w:val="en-GB"/>
                    </w:rPr>
                    <w:t>S</w:t>
                  </w:r>
                  <w:r>
                    <w:rPr>
                      <w:lang w:val="en-GB"/>
                    </w:rPr>
                    <w:t xml:space="preserve">everal </w:t>
                  </w:r>
                  <w:r w:rsidR="00986AD2">
                    <w:rPr>
                      <w:lang w:val="en-GB"/>
                    </w:rPr>
                    <w:t>service users share</w:t>
                  </w:r>
                  <w:r w:rsidR="00A23942">
                    <w:rPr>
                      <w:lang w:val="en-GB"/>
                    </w:rPr>
                    <w:t>d</w:t>
                  </w:r>
                  <w:r>
                    <w:rPr>
                      <w:lang w:val="en-GB"/>
                    </w:rPr>
                    <w:t xml:space="preserve"> positive examples of specific effort and tailoring to address individual and family needs. </w:t>
                  </w:r>
                </w:p>
                <w:p w14:paraId="17378212" w14:textId="356AF60C" w:rsidR="007F53A2" w:rsidRPr="00DB60B5" w:rsidRDefault="005674C7" w:rsidP="00DB60B5">
                  <w:pPr>
                    <w:pStyle w:val="Text"/>
                    <w:spacing w:after="120"/>
                    <w:rPr>
                      <w:lang w:val="en-GB"/>
                    </w:rPr>
                  </w:pPr>
                  <w:r>
                    <w:rPr>
                      <w:lang w:val="en-GB"/>
                    </w:rPr>
                    <w:lastRenderedPageBreak/>
                    <w:t xml:space="preserve">Service providers and service users also described challenges and less positive experiences relating to FaRS and SFVS services. Several service providers spoke about constraints relating to </w:t>
                  </w:r>
                  <w:r w:rsidR="002E5FE7">
                    <w:rPr>
                      <w:lang w:val="en-GB"/>
                    </w:rPr>
                    <w:t xml:space="preserve">the </w:t>
                  </w:r>
                  <w:r w:rsidR="00121411">
                    <w:rPr>
                      <w:lang w:val="en-GB"/>
                    </w:rPr>
                    <w:t>limits set by services</w:t>
                  </w:r>
                  <w:r w:rsidR="00B576A5">
                    <w:rPr>
                      <w:lang w:val="en-GB"/>
                    </w:rPr>
                    <w:t xml:space="preserve"> </w:t>
                  </w:r>
                  <w:r w:rsidR="00093389">
                    <w:rPr>
                      <w:lang w:val="en-GB"/>
                    </w:rPr>
                    <w:t xml:space="preserve">on </w:t>
                  </w:r>
                  <w:r w:rsidR="00B576A5">
                    <w:rPr>
                      <w:lang w:val="en-GB"/>
                    </w:rPr>
                    <w:t xml:space="preserve">the </w:t>
                  </w:r>
                  <w:r w:rsidR="00093389">
                    <w:rPr>
                      <w:lang w:val="en-GB"/>
                    </w:rPr>
                    <w:t xml:space="preserve">number of sessions </w:t>
                  </w:r>
                  <w:r w:rsidR="00B576A5">
                    <w:rPr>
                      <w:lang w:val="en-GB"/>
                    </w:rPr>
                    <w:t xml:space="preserve">available </w:t>
                  </w:r>
                  <w:r w:rsidR="00093389">
                    <w:rPr>
                      <w:lang w:val="en-GB"/>
                    </w:rPr>
                    <w:t>per service user</w:t>
                  </w:r>
                  <w:r w:rsidR="00D435CE">
                    <w:rPr>
                      <w:lang w:val="en-GB"/>
                    </w:rPr>
                    <w:t>. Service providers introduced these limits in response to</w:t>
                  </w:r>
                  <w:r w:rsidR="00B9609E">
                    <w:rPr>
                      <w:lang w:val="en-GB"/>
                    </w:rPr>
                    <w:t xml:space="preserve"> the need to </w:t>
                  </w:r>
                  <w:r w:rsidR="00955EB8">
                    <w:rPr>
                      <w:lang w:val="en-GB"/>
                    </w:rPr>
                    <w:t>manage waitlist</w:t>
                  </w:r>
                  <w:r w:rsidR="00566E3A">
                    <w:rPr>
                      <w:lang w:val="en-GB"/>
                    </w:rPr>
                    <w:t>s</w:t>
                  </w:r>
                  <w:r w:rsidR="00530416">
                    <w:rPr>
                      <w:lang w:val="en-GB"/>
                    </w:rPr>
                    <w:t>,</w:t>
                  </w:r>
                  <w:r w:rsidR="00B9609E">
                    <w:rPr>
                      <w:lang w:val="en-GB"/>
                    </w:rPr>
                    <w:t xml:space="preserve"> balanced against </w:t>
                  </w:r>
                  <w:r w:rsidR="00955EB8">
                    <w:rPr>
                      <w:lang w:val="en-GB"/>
                    </w:rPr>
                    <w:t xml:space="preserve">addressing </w:t>
                  </w:r>
                  <w:r w:rsidR="00B9609E">
                    <w:rPr>
                      <w:lang w:val="en-GB"/>
                    </w:rPr>
                    <w:t>service user need</w:t>
                  </w:r>
                  <w:r>
                    <w:rPr>
                      <w:lang w:val="en-GB"/>
                    </w:rPr>
                    <w:t>, workforce capability and other barriers (</w:t>
                  </w:r>
                  <w:r w:rsidR="009E553B" w:rsidRPr="009E553B">
                    <w:rPr>
                      <w:lang w:val="en-GB"/>
                    </w:rPr>
                    <w:t>see</w:t>
                  </w:r>
                  <w:r>
                    <w:rPr>
                      <w:lang w:val="en-GB"/>
                    </w:rPr>
                    <w:t xml:space="preserve"> </w:t>
                  </w:r>
                  <w:r w:rsidRPr="008E1B83">
                    <w:rPr>
                      <w:b/>
                      <w:lang w:val="en-GB"/>
                    </w:rPr>
                    <w:t>Section</w:t>
                  </w:r>
                  <w:r w:rsidR="00031C85">
                    <w:rPr>
                      <w:b/>
                      <w:lang w:val="en-GB"/>
                    </w:rPr>
                    <w:t xml:space="preserve"> </w:t>
                  </w:r>
                  <w:r w:rsidR="00031C85">
                    <w:rPr>
                      <w:b/>
                      <w:lang w:val="en-GB"/>
                    </w:rPr>
                    <w:fldChar w:fldCharType="begin" w:fldLock="1"/>
                  </w:r>
                  <w:r w:rsidR="00031C85">
                    <w:rPr>
                      <w:b/>
                      <w:lang w:val="en-GB"/>
                    </w:rPr>
                    <w:instrText xml:space="preserve"> REF _Ref208926511 \n \h </w:instrText>
                  </w:r>
                  <w:r w:rsidR="00031C85">
                    <w:rPr>
                      <w:b/>
                      <w:lang w:val="en-GB"/>
                    </w:rPr>
                  </w:r>
                  <w:r w:rsidR="00031C85">
                    <w:rPr>
                      <w:b/>
                      <w:lang w:val="en-GB"/>
                    </w:rPr>
                    <w:fldChar w:fldCharType="separate"/>
                  </w:r>
                  <w:r w:rsidR="008F22E5">
                    <w:rPr>
                      <w:b/>
                      <w:lang w:val="en-GB"/>
                    </w:rPr>
                    <w:t>6.7</w:t>
                  </w:r>
                  <w:r w:rsidR="00031C85">
                    <w:rPr>
                      <w:b/>
                      <w:lang w:val="en-GB"/>
                    </w:rPr>
                    <w:fldChar w:fldCharType="end"/>
                  </w:r>
                  <w:r w:rsidR="009E553B" w:rsidRPr="009E553B">
                    <w:rPr>
                      <w:b/>
                      <w:bCs/>
                      <w:lang w:val="en-GB"/>
                    </w:rPr>
                    <w:t xml:space="preserve"> </w:t>
                  </w:r>
                  <w:r w:rsidR="009E553B" w:rsidRPr="009E553B">
                    <w:rPr>
                      <w:lang w:val="en-GB"/>
                    </w:rPr>
                    <w:t>for more detail</w:t>
                  </w:r>
                  <w:r w:rsidRPr="009E553B">
                    <w:rPr>
                      <w:lang w:val="en-GB"/>
                    </w:rPr>
                    <w:t>)</w:t>
                  </w:r>
                  <w:r w:rsidR="00B576A5" w:rsidRPr="009E553B">
                    <w:rPr>
                      <w:lang w:val="en-GB"/>
                    </w:rPr>
                    <w:t>.</w:t>
                  </w:r>
                  <w:r w:rsidR="00B576A5">
                    <w:rPr>
                      <w:lang w:val="en-GB"/>
                    </w:rPr>
                    <w:t xml:space="preserve"> Some service providers indicated that this</w:t>
                  </w:r>
                  <w:r>
                    <w:rPr>
                      <w:lang w:val="en-GB"/>
                    </w:rPr>
                    <w:t xml:space="preserve"> affected the</w:t>
                  </w:r>
                  <w:r w:rsidR="00B576A5">
                    <w:rPr>
                      <w:lang w:val="en-GB"/>
                    </w:rPr>
                    <w:t>ir</w:t>
                  </w:r>
                  <w:r>
                    <w:rPr>
                      <w:lang w:val="en-GB"/>
                    </w:rPr>
                    <w:t xml:space="preserve"> ability to tailor approaches for priority populations or offer sustained support. A few service users spoke about barriers and negative experiences including those relating to disability access, pronoun use, and limited ability to fully engage with services due to difficulties with child-care arrangements.</w:t>
                  </w:r>
                </w:p>
                <w:p w14:paraId="5D94085C" w14:textId="77777777" w:rsidR="00060D66" w:rsidRPr="00060D66" w:rsidRDefault="00060D66" w:rsidP="00060D66">
                  <w:pPr>
                    <w:pStyle w:val="ListParagraph"/>
                    <w:keepNext/>
                    <w:numPr>
                      <w:ilvl w:val="0"/>
                      <w:numId w:val="20"/>
                    </w:numPr>
                    <w:spacing w:before="360" w:after="120" w:line="274" w:lineRule="auto"/>
                    <w:contextualSpacing w:val="0"/>
                    <w:outlineLvl w:val="2"/>
                    <w:rPr>
                      <w:rFonts w:ascii="Arial" w:hAnsi="Arial"/>
                      <w:b/>
                      <w:vanish/>
                      <w:color w:val="007E00" w:themeColor="accent3"/>
                      <w:kern w:val="28"/>
                      <w:sz w:val="36"/>
                      <w:szCs w:val="32"/>
                      <w:lang w:val="en-US"/>
                    </w:rPr>
                  </w:pPr>
                </w:p>
                <w:p w14:paraId="2590BE90" w14:textId="77777777" w:rsidR="00060D66" w:rsidRPr="00060D66" w:rsidRDefault="00060D66" w:rsidP="00060D66">
                  <w:pPr>
                    <w:pStyle w:val="ListParagraph"/>
                    <w:keepNext/>
                    <w:numPr>
                      <w:ilvl w:val="1"/>
                      <w:numId w:val="20"/>
                    </w:numPr>
                    <w:spacing w:before="360" w:after="120" w:line="274" w:lineRule="auto"/>
                    <w:contextualSpacing w:val="0"/>
                    <w:outlineLvl w:val="2"/>
                    <w:rPr>
                      <w:rFonts w:ascii="Arial" w:hAnsi="Arial"/>
                      <w:b/>
                      <w:vanish/>
                      <w:color w:val="007E00" w:themeColor="accent3"/>
                      <w:kern w:val="28"/>
                      <w:sz w:val="36"/>
                      <w:szCs w:val="32"/>
                      <w:lang w:val="en-US"/>
                    </w:rPr>
                  </w:pPr>
                </w:p>
                <w:p w14:paraId="2C1F3885" w14:textId="77777777" w:rsidR="00060D66" w:rsidRPr="00060D66" w:rsidRDefault="00060D66" w:rsidP="00060D66">
                  <w:pPr>
                    <w:pStyle w:val="ListParagraph"/>
                    <w:keepNext/>
                    <w:numPr>
                      <w:ilvl w:val="1"/>
                      <w:numId w:val="20"/>
                    </w:numPr>
                    <w:spacing w:before="360" w:after="120" w:line="274" w:lineRule="auto"/>
                    <w:contextualSpacing w:val="0"/>
                    <w:outlineLvl w:val="2"/>
                    <w:rPr>
                      <w:rFonts w:ascii="Arial" w:hAnsi="Arial"/>
                      <w:b/>
                      <w:vanish/>
                      <w:color w:val="007E00" w:themeColor="accent3"/>
                      <w:kern w:val="28"/>
                      <w:sz w:val="36"/>
                      <w:szCs w:val="32"/>
                      <w:lang w:val="en-US"/>
                    </w:rPr>
                  </w:pPr>
                </w:p>
                <w:p w14:paraId="494A9573" w14:textId="77777777" w:rsidR="00060D66" w:rsidRPr="00060D66" w:rsidRDefault="00060D66" w:rsidP="00060D66">
                  <w:pPr>
                    <w:pStyle w:val="ListParagraph"/>
                    <w:keepNext/>
                    <w:numPr>
                      <w:ilvl w:val="1"/>
                      <w:numId w:val="20"/>
                    </w:numPr>
                    <w:spacing w:before="360" w:after="120" w:line="274" w:lineRule="auto"/>
                    <w:contextualSpacing w:val="0"/>
                    <w:outlineLvl w:val="2"/>
                    <w:rPr>
                      <w:rFonts w:ascii="Arial" w:hAnsi="Arial"/>
                      <w:b/>
                      <w:vanish/>
                      <w:color w:val="007E00" w:themeColor="accent3"/>
                      <w:kern w:val="28"/>
                      <w:sz w:val="36"/>
                      <w:szCs w:val="32"/>
                      <w:lang w:val="en-US"/>
                    </w:rPr>
                  </w:pPr>
                </w:p>
                <w:p w14:paraId="3252E1FC" w14:textId="77777777" w:rsidR="00060D66" w:rsidRPr="00060D66" w:rsidRDefault="00060D66" w:rsidP="00060D66">
                  <w:pPr>
                    <w:pStyle w:val="ListParagraph"/>
                    <w:keepNext/>
                    <w:numPr>
                      <w:ilvl w:val="1"/>
                      <w:numId w:val="20"/>
                    </w:numPr>
                    <w:spacing w:before="360" w:after="120" w:line="274" w:lineRule="auto"/>
                    <w:contextualSpacing w:val="0"/>
                    <w:outlineLvl w:val="2"/>
                    <w:rPr>
                      <w:rFonts w:ascii="Arial" w:hAnsi="Arial"/>
                      <w:b/>
                      <w:vanish/>
                      <w:color w:val="007E00" w:themeColor="accent3"/>
                      <w:kern w:val="28"/>
                      <w:sz w:val="36"/>
                      <w:szCs w:val="32"/>
                      <w:lang w:val="en-US"/>
                    </w:rPr>
                  </w:pPr>
                </w:p>
                <w:p w14:paraId="25C936F5" w14:textId="4D5433C5" w:rsidR="005674C7" w:rsidRPr="009C7D7C" w:rsidRDefault="005674C7" w:rsidP="00060D66">
                  <w:pPr>
                    <w:pStyle w:val="Heading3"/>
                    <w:ind w:left="1224"/>
                  </w:pPr>
                  <w:r w:rsidRPr="0CAE5FDE">
                    <w:t>People experiencing trauma, family violence and sexual violence</w:t>
                  </w:r>
                </w:p>
                <w:p w14:paraId="2BEE3935" w14:textId="3C80C27E" w:rsidR="00E269D0" w:rsidRDefault="00B576A5" w:rsidP="003D4F31">
                  <w:pPr>
                    <w:pStyle w:val="Text"/>
                  </w:pPr>
                  <w:r>
                    <w:t xml:space="preserve">Several </w:t>
                  </w:r>
                  <w:r w:rsidR="00940198">
                    <w:t>previous</w:t>
                  </w:r>
                  <w:r w:rsidR="00CE4267">
                    <w:t xml:space="preserve"> evaluations on programs targeted at</w:t>
                  </w:r>
                  <w:r w:rsidR="008C635F">
                    <w:t xml:space="preserve"> improving </w:t>
                  </w:r>
                  <w:r w:rsidR="00CE4267">
                    <w:t xml:space="preserve">and maintaining the personal </w:t>
                  </w:r>
                  <w:r w:rsidR="008C635F">
                    <w:t xml:space="preserve">safety </w:t>
                  </w:r>
                  <w:r w:rsidR="00301B1C">
                    <w:t>and wellbeing of victim survivors</w:t>
                  </w:r>
                  <w:r>
                    <w:t xml:space="preserve"> have</w:t>
                  </w:r>
                  <w:r w:rsidR="00301B1C">
                    <w:t xml:space="preserve"> highlight</w:t>
                  </w:r>
                  <w:r>
                    <w:t>ed</w:t>
                  </w:r>
                  <w:r w:rsidR="00301B1C">
                    <w:t xml:space="preserve"> the benefit</w:t>
                  </w:r>
                  <w:r>
                    <w:t>s</w:t>
                  </w:r>
                  <w:r w:rsidR="00301B1C">
                    <w:t xml:space="preserve"> of tailored, trauma-informed interventions </w:t>
                  </w:r>
                  <w:r w:rsidR="003734CE">
                    <w:t>that</w:t>
                  </w:r>
                  <w:r w:rsidR="003734CE" w:rsidRPr="005B460B">
                    <w:t xml:space="preserve"> equip survivors with skills to self-manage, utilise support networks, and ultimately reclaim autonomy in their lives </w:t>
                  </w:r>
                  <w:r w:rsidR="003B4414" w:rsidRPr="00724347">
                    <w:fldChar w:fldCharType="begin"/>
                  </w:r>
                  <w:r w:rsidR="00E41D03">
                    <w:instrText xml:space="preserve"> ADDIN ZOTERO_ITEM CSL_CITATION {"citationID":"a1c4pu2pl5t","properties":{"formattedCitation":"(Albanesi et al., 2021; Trabold et al., 2018)","plainCitation":"(Albanesi et al., 2021; Trabold et al., 2018)","noteIndex":0},"citationItems":[{"id":4659,"uris":["http://zotero.org/groups/5691188/items/JL8YMF3M"],"itemData":{"id":4659,"type":"article-journal","abstract":"Purpose:  Intimate Partner Violence (IPV) is one of the most common forms of domestic violence, with profound implication for women’s physical and psychological health. In this text we adopted the Empowerment Process Model (EPM) by Cattaneo and Goodman (Psychol Violence 5(1):84–94) to analyse interventions provided to victims of IPV by a Support Centre for Women (SCW) in Italy, and understand its contribution to women’s empowerment.\nMethod:  We conducted semi-structured interviews with ten women who had been enrolled in a program for IPV survivors at a SCW in the past three years. The interviews focused on the programs’ aims, actions undertaken to reach them, and the impact on the women’s lives, and were analysed using an interpretative phenomenological approach.\nResults:  Results showed that the interventions provided by the SWC were adapted according to women’s needs. In the early phases, women’s primary aim was ending violence, and the intervention by the SCW was deemed as helpful to the extent it provided psychological support, protection and safe housing. Women’s aims subsequently moved to self-actualisation and economic and personal independence which required professional training, internships, and social support. Although satisfying the majority of the women’s expectations, other important needs (e.g., economic support or legal services) were poorly addressed, and cooperation with other services (e.g., police or social services) was sometimes deemed as critical.\nConclusions:  By evaluating a program offered by a SCW to IPV survivors through the lens of the EPM model, we found that women deemed the program as effective when both individual resources and empowerment processes were promoted. Strengths, limitations and implications are discussed.","container-title":"BMC Women's Health","DOI":"10.1186/s12905-021-01268-7","ISSN":"1472-6874","issue":"1","journalAbbreviation":"BMC Women's Health","language":"en","page":"138","source":"DOI.org (Crossref)","title":"Evaluating interventions with victims of intimate partner violence: a community psychology approach","title-short":"Evaluating interventions with victims of intimate partner violence","volume":"21","author":[{"family":"Albanesi","given":"Cinzia"},{"family":"Tomasetto","given":"Carlo"},{"family":"Guardabassi","given":"Veronica"}],"issued":{"date-parts":[["2021",12]]}}},{"id":5652,"uris":["http://zotero.org/groups/5691188/items/2MHIYR9L"],"itemData":{"id":5652,"type":"article-journal","container-title":"Journal of Community Psychology","issue":"2","title":"A gateway to healing: A community-based brief intervention for victims of violence","URL":"https://www.researchgate.net/publication/322666448_A_gateway_to_healing_A_community-based_brief_intervention_for_victims_of_violence","volume":"42","author":[{"family":"Trabold","given":"Nicole"},{"family":"O'Malley","given":"Allison"},{"family":"Rizzo","given":"Lisa"},{"family":"Russel","given":"Elizabeth"}],"accessed":{"date-parts":[["2025",7,29]]},"issued":{"date-parts":[["2018"]]}}}],"schema":"https://github.com/citation-style-language/schema/raw/master/csl-citation.json"} </w:instrText>
                  </w:r>
                  <w:r w:rsidR="003B4414" w:rsidRPr="00724347">
                    <w:fldChar w:fldCharType="separate"/>
                  </w:r>
                  <w:r w:rsidR="00AC138C" w:rsidRPr="00AC138C">
                    <w:rPr>
                      <w:rFonts w:ascii="Arial" w:hAnsi="Arial" w:cs="Arial"/>
                    </w:rPr>
                    <w:t>(Albanesi et al., 2021; Trabold et al., 2018)</w:t>
                  </w:r>
                  <w:r w:rsidR="003B4414" w:rsidRPr="00724347">
                    <w:fldChar w:fldCharType="end"/>
                  </w:r>
                  <w:r w:rsidR="003B4414" w:rsidRPr="00724347">
                    <w:t>.</w:t>
                  </w:r>
                  <w:r w:rsidR="00CE4267">
                    <w:t xml:space="preserve"> </w:t>
                  </w:r>
                  <w:r w:rsidR="00980F15">
                    <w:t>These evaluations relate to interventions that</w:t>
                  </w:r>
                  <w:r w:rsidR="00CE4267">
                    <w:t xml:space="preserve"> </w:t>
                  </w:r>
                  <w:r w:rsidR="00F55E0A">
                    <w:t xml:space="preserve">are tailored </w:t>
                  </w:r>
                  <w:r w:rsidR="00CE4267" w:rsidRPr="005B460B">
                    <w:t xml:space="preserve">to different recovery </w:t>
                  </w:r>
                  <w:r w:rsidR="00CE4267">
                    <w:t>stages to allow victim survivors</w:t>
                  </w:r>
                  <w:r w:rsidR="00CE4267" w:rsidRPr="005B460B">
                    <w:t xml:space="preserve"> to identify their risks and make informed decisions about their safet</w:t>
                  </w:r>
                  <w:r w:rsidR="00F55E0A">
                    <w:t xml:space="preserve">y, and </w:t>
                  </w:r>
                  <w:r w:rsidR="00980F15">
                    <w:t>subsequent</w:t>
                  </w:r>
                  <w:r w:rsidR="00F55E0A">
                    <w:t xml:space="preserve"> access to a combination </w:t>
                  </w:r>
                  <w:r w:rsidR="00F55E0A" w:rsidRPr="005B460B">
                    <w:t>of legal aid, psychological support, and safe housing</w:t>
                  </w:r>
                  <w:r w:rsidR="00F55E0A">
                    <w:t xml:space="preserve">. </w:t>
                  </w:r>
                  <w:r w:rsidR="00CA49C3" w:rsidRPr="002F452A">
                    <w:rPr>
                      <w:lang w:val="en-US"/>
                    </w:rPr>
                    <w:t xml:space="preserve">Albanesi et al. </w:t>
                  </w:r>
                  <w:r w:rsidR="00CA49C3" w:rsidRPr="002F452A">
                    <w:rPr>
                      <w:lang w:val="en-US"/>
                    </w:rPr>
                    <w:fldChar w:fldCharType="begin"/>
                  </w:r>
                  <w:r w:rsidR="00E41D03">
                    <w:rPr>
                      <w:lang w:val="en-US"/>
                    </w:rPr>
                    <w:instrText xml:space="preserve"> ADDIN ZOTERO_ITEM CSL_CITATION {"citationID":"XsvRj6N1","properties":{"formattedCitation":"(2021)","plainCitation":"(2021)","noteIndex":0},"citationItems":[{"id":4659,"uris":["http://zotero.org/groups/5691188/items/JL8YMF3M"],"itemData":{"id":4659,"type":"article-journal","abstract":"Purpose:  Intimate Partner Violence (IPV) is one of the most common forms of domestic violence, with profound implication for women’s physical and psychological health. In this text we adopted the Empowerment Process Model (EPM) by Cattaneo and Goodman (Psychol Violence 5(1):84–94) to analyse interventions provided to victims of IPV by a Support Centre for Women (SCW) in Italy, and understand its contribution to women’s empowerment.\nMethod:  We conducted semi-structured interviews with ten women who had been enrolled in a program for IPV survivors at a SCW in the past three years. The interviews focused on the programs’ aims, actions undertaken to reach them, and the impact on the women’s lives, and were analysed using an interpretative phenomenological approach.\nResults:  Results showed that the interventions provided by the SWC were adapted according to women’s needs. In the early phases, women’s primary aim was ending violence, and the intervention by the SCW was deemed as helpful to the extent it provided psychological support, protection and safe housing. Women’s aims subsequently moved to self-actualisation and economic and personal independence which required professional training, internships, and social support. Although satisfying the majority of the women’s expectations, other important needs (e.g., economic support or legal services) were poorly addressed, and cooperation with other services (e.g., police or social services) was sometimes deemed as critical.\nConclusions:  By evaluating a program offered by a SCW to IPV survivors through the lens of the EPM model, we found that women deemed the program as effective when both individual resources and empowerment processes were promoted. Strengths, limitations and implications are discussed.","container-title":"BMC Women's Health","DOI":"10.1186/s12905-021-01268-7","ISSN":"1472-6874","issue":"1","journalAbbreviation":"BMC Women's Health","language":"en","page":"138","source":"DOI.org (Crossref)","title":"Evaluating interventions with victims of intimate partner violence: a community psychology approach","title-short":"Evaluating interventions with victims of intimate partner violence","volume":"21","author":[{"family":"Albanesi","given":"Cinzia"},{"family":"Tomasetto","given":"Carlo"},{"family":"Guardabassi","given":"Veronica"}],"issued":{"date-parts":[["2021",12]]}},"label":"page","suppress-author":true}],"schema":"https://github.com/citation-style-language/schema/raw/master/csl-citation.json"} </w:instrText>
                  </w:r>
                  <w:r w:rsidR="00CA49C3" w:rsidRPr="002F452A">
                    <w:rPr>
                      <w:lang w:val="en-US"/>
                    </w:rPr>
                    <w:fldChar w:fldCharType="separate"/>
                  </w:r>
                  <w:r w:rsidR="00CA49C3" w:rsidRPr="002F452A">
                    <w:rPr>
                      <w:lang w:val="en-US"/>
                    </w:rPr>
                    <w:t>(2021)</w:t>
                  </w:r>
                  <w:r w:rsidR="00CA49C3" w:rsidRPr="002F452A">
                    <w:fldChar w:fldCharType="end"/>
                  </w:r>
                  <w:r w:rsidR="00CA49C3" w:rsidRPr="002F452A">
                    <w:rPr>
                      <w:lang w:val="en-US"/>
                    </w:rPr>
                    <w:t xml:space="preserve"> </w:t>
                  </w:r>
                  <w:r w:rsidR="00313F98">
                    <w:rPr>
                      <w:lang w:val="en-US"/>
                    </w:rPr>
                    <w:t>describe</w:t>
                  </w:r>
                  <w:r w:rsidR="00313F98" w:rsidRPr="002F452A">
                    <w:rPr>
                      <w:lang w:val="en-US"/>
                    </w:rPr>
                    <w:t xml:space="preserve"> </w:t>
                  </w:r>
                  <w:r w:rsidR="00CA49C3" w:rsidRPr="002F452A">
                    <w:rPr>
                      <w:lang w:val="en-US"/>
                    </w:rPr>
                    <w:t>a model</w:t>
                  </w:r>
                  <w:r w:rsidR="00980F15" w:rsidRPr="2E7A9D7E">
                    <w:rPr>
                      <w:lang w:val="en-US"/>
                    </w:rPr>
                    <w:t xml:space="preserve"> which provides</w:t>
                  </w:r>
                  <w:r w:rsidR="00CA49C3" w:rsidRPr="002F452A">
                    <w:rPr>
                      <w:lang w:val="en-US"/>
                    </w:rPr>
                    <w:t xml:space="preserve"> consistent psychological support</w:t>
                  </w:r>
                  <w:r w:rsidR="00CA49C3">
                    <w:rPr>
                      <w:lang w:val="en-US"/>
                    </w:rPr>
                    <w:t xml:space="preserve"> </w:t>
                  </w:r>
                  <w:r w:rsidR="00CA49C3" w:rsidRPr="002F452A">
                    <w:rPr>
                      <w:lang w:val="en-US"/>
                    </w:rPr>
                    <w:t>through both individual and group trauma-informed counselling</w:t>
                  </w:r>
                  <w:r w:rsidR="001919E4" w:rsidRPr="2E7A9D7E">
                    <w:rPr>
                      <w:lang w:val="en-US"/>
                    </w:rPr>
                    <w:t>, as</w:t>
                  </w:r>
                  <w:r w:rsidR="00CA49C3" w:rsidRPr="2E7A9D7E">
                    <w:rPr>
                      <w:lang w:val="en-US"/>
                    </w:rPr>
                    <w:t xml:space="preserve"> empower</w:t>
                  </w:r>
                  <w:r w:rsidR="001919E4" w:rsidRPr="2E7A9D7E">
                    <w:rPr>
                      <w:lang w:val="en-US"/>
                    </w:rPr>
                    <w:t>ing victim</w:t>
                  </w:r>
                  <w:r w:rsidR="00CA49C3" w:rsidRPr="002F452A">
                    <w:rPr>
                      <w:lang w:val="en-US"/>
                    </w:rPr>
                    <w:t xml:space="preserve"> survivors to manage trauma symptoms and work towards long-term recovery. </w:t>
                  </w:r>
                  <w:r w:rsidR="001919E4" w:rsidRPr="2E7A9D7E">
                    <w:rPr>
                      <w:lang w:val="en-US"/>
                    </w:rPr>
                    <w:t>This intervention showed</w:t>
                  </w:r>
                  <w:r w:rsidR="00CA49C3" w:rsidRPr="002F452A">
                    <w:rPr>
                      <w:lang w:val="en-US"/>
                    </w:rPr>
                    <w:t xml:space="preserve"> that regular engagement in these therapeutic environments facilitated resilience-building, decreased anxiety, and improved coping mechanisms. This is further supported by Trabold et al. </w:t>
                  </w:r>
                  <w:r w:rsidR="00CA49C3" w:rsidRPr="002F452A">
                    <w:rPr>
                      <w:lang w:val="en-US"/>
                    </w:rPr>
                    <w:fldChar w:fldCharType="begin"/>
                  </w:r>
                  <w:r w:rsidR="00E41D03">
                    <w:rPr>
                      <w:lang w:val="en-US"/>
                    </w:rPr>
                    <w:instrText xml:space="preserve"> ADDIN ZOTERO_ITEM CSL_CITATION {"citationID":"a1om1pkknnh","properties":{"formattedCitation":"(2018)","plainCitation":"(2018)","noteIndex":0},"citationItems":[{"id":5652,"uris":["http://zotero.org/groups/5691188/items/2MHIYR9L"],"itemData":{"id":5652,"type":"article-journal","container-title":"Journal of Community Psychology","issue":"2","title":"A gateway to healing: A community-based brief intervention for victims of violence","URL":"https://www.researchgate.net/publication/322666448_A_gateway_to_healing_A_community-based_brief_intervention_for_victims_of_violence","volume":"42","author":[{"family":"Trabold","given":"Nicole"},{"family":"O'Malley","given":"Allison"},{"family":"Rizzo","given":"Lisa"},{"family":"Russel","given":"Elizabeth"}],"accessed":{"date-parts":[["2025",7,29]]},"issued":{"date-parts":[["2018"]]}},"suppress-author":true}],"schema":"https://github.com/citation-style-language/schema/raw/master/csl-citation.json"} </w:instrText>
                  </w:r>
                  <w:r w:rsidR="00CA49C3" w:rsidRPr="002F452A">
                    <w:rPr>
                      <w:lang w:val="en-US"/>
                    </w:rPr>
                    <w:fldChar w:fldCharType="separate"/>
                  </w:r>
                  <w:r w:rsidR="00AC138C" w:rsidRPr="00AC138C">
                    <w:rPr>
                      <w:rFonts w:ascii="Arial" w:hAnsi="Arial" w:cs="Arial"/>
                    </w:rPr>
                    <w:t>(2018)</w:t>
                  </w:r>
                  <w:r w:rsidR="00CA49C3" w:rsidRPr="002F452A">
                    <w:fldChar w:fldCharType="end"/>
                  </w:r>
                  <w:r w:rsidR="00CA49C3" w:rsidRPr="002F452A">
                    <w:rPr>
                      <w:lang w:val="en-US"/>
                    </w:rPr>
                    <w:t xml:space="preserve">, </w:t>
                  </w:r>
                  <w:r w:rsidR="009F54DD" w:rsidRPr="2E7A9D7E">
                    <w:rPr>
                      <w:lang w:val="en-US"/>
                    </w:rPr>
                    <w:t>whose</w:t>
                  </w:r>
                  <w:r w:rsidR="00CA49C3" w:rsidRPr="2E7A9D7E">
                    <w:rPr>
                      <w:lang w:val="en-US"/>
                    </w:rPr>
                    <w:t xml:space="preserve"> </w:t>
                  </w:r>
                  <w:r w:rsidR="00CA49C3" w:rsidRPr="002F452A">
                    <w:rPr>
                      <w:lang w:val="en-US"/>
                    </w:rPr>
                    <w:t xml:space="preserve">findings underscore that trauma-informed care significantly reduces symptoms of depression and anxiety in </w:t>
                  </w:r>
                  <w:r w:rsidR="002D47A6">
                    <w:rPr>
                      <w:lang w:val="en-US"/>
                    </w:rPr>
                    <w:t>victim</w:t>
                  </w:r>
                  <w:r w:rsidR="00CA49C3" w:rsidRPr="002F452A">
                    <w:rPr>
                      <w:lang w:val="en-US"/>
                    </w:rPr>
                    <w:t xml:space="preserve"> survivors, contributing to a more holistic sense of wellbeing as individuals navigate the complexities of disrupted family relationships.</w:t>
                  </w:r>
                  <w:r w:rsidR="009F54DD">
                    <w:t xml:space="preserve"> </w:t>
                  </w:r>
                </w:p>
                <w:p w14:paraId="1A6009E2" w14:textId="32B2250E" w:rsidR="005B460B" w:rsidRDefault="009F54DD" w:rsidP="003D4F31">
                  <w:pPr>
                    <w:pStyle w:val="Text"/>
                  </w:pPr>
                  <w:r>
                    <w:t>Literature</w:t>
                  </w:r>
                  <w:r w:rsidR="005B460B" w:rsidRPr="005B460B">
                    <w:t xml:space="preserve"> </w:t>
                  </w:r>
                  <w:r>
                    <w:t>also indicates</w:t>
                  </w:r>
                  <w:r w:rsidR="005B460B">
                    <w:t xml:space="preserve"> that </w:t>
                  </w:r>
                  <w:r>
                    <w:t>a</w:t>
                  </w:r>
                  <w:r w:rsidR="005B460B" w:rsidRPr="005B460B">
                    <w:t xml:space="preserve"> focus on a strong therapeutic </w:t>
                  </w:r>
                  <w:r w:rsidR="00F55E0A" w:rsidRPr="005B460B">
                    <w:t>rel</w:t>
                  </w:r>
                  <w:r w:rsidR="00F55E0A">
                    <w:t>ati</w:t>
                  </w:r>
                  <w:r w:rsidR="00F55E0A" w:rsidRPr="005B460B">
                    <w:t>onship</w:t>
                  </w:r>
                  <w:r w:rsidR="005B460B" w:rsidRPr="005B460B">
                    <w:t xml:space="preserve"> </w:t>
                  </w:r>
                  <w:r>
                    <w:t>is</w:t>
                  </w:r>
                  <w:r w:rsidR="005B460B" w:rsidRPr="005B460B">
                    <w:t xml:space="preserve"> key in helping families engage with safety measures</w:t>
                  </w:r>
                  <w:r w:rsidR="00976357">
                    <w:t>; and that c</w:t>
                  </w:r>
                  <w:r w:rsidR="005B460B">
                    <w:t>linicians'</w:t>
                  </w:r>
                  <w:r w:rsidR="005B460B" w:rsidRPr="005B460B">
                    <w:t xml:space="preserve"> behaviours</w:t>
                  </w:r>
                  <w:r w:rsidR="00F55E0A">
                    <w:t xml:space="preserve">, </w:t>
                  </w:r>
                  <w:r w:rsidR="005B460B" w:rsidRPr="005B460B">
                    <w:t xml:space="preserve">such as normalising </w:t>
                  </w:r>
                  <w:r w:rsidR="005B460B" w:rsidRPr="005B460B">
                    <w:lastRenderedPageBreak/>
                    <w:t>parents’ struggles and adopting a non-judgmental approach</w:t>
                  </w:r>
                  <w:r w:rsidR="00F55E0A">
                    <w:t xml:space="preserve">, </w:t>
                  </w:r>
                  <w:r w:rsidR="00976357">
                    <w:t xml:space="preserve">has </w:t>
                  </w:r>
                  <w:r w:rsidR="005B460B" w:rsidRPr="005B460B">
                    <w:t>enabled mothers to openly recognise their challenges and needs</w:t>
                  </w:r>
                  <w:r w:rsidR="00ED00F6">
                    <w:t xml:space="preserve"> (</w:t>
                  </w:r>
                  <w:r w:rsidR="00ED00F6" w:rsidRPr="005B460B">
                    <w:t xml:space="preserve">Fogarty et al. </w:t>
                  </w:r>
                  <w:r w:rsidR="00ED00F6" w:rsidRPr="005B460B">
                    <w:fldChar w:fldCharType="begin"/>
                  </w:r>
                  <w:r w:rsidR="00E41D03">
                    <w:instrText xml:space="preserve"> ADDIN ZOTERO_ITEM CSL_CITATION {"citationID":"wtVYbNuC","properties":{"formattedCitation":"(2022)","plainCitation":"(2022)","dontUpdate":true,"noteIndex":0},"citationItems":[{"id":4713,"uris":["http://zotero.org/groups/5691188/items/PDWUW3P5"],"itemData":{"id":4713,"type":"article-journal","abstract":"Intimate partner violence (IPV) affects more than one in four children worldwide. Despite the growing evidence base for interventions addressing children’s IPV exposure, little is known about what assists families to engage with services. The current study sought to explore women’s perceptions of barriers and facilitators to accessing an intervention for their children following IPV. A total of 16 mothers who had engaged in a community-based, dyadic intervention for children exposed to IPV participated in the study. The Brief Relational Intervention and Screening (BRISC) is an evidenced informed program designed by Berry Street (Australia). A pilot of the intervention was implemented across one metropolitan and one regional site. In-depth semi-structured interviews were conducted with 16 mothers who had completed BRISC. Transcripts were analyzed in NVivo using thematic analysis. Key facilitators to initial engagement included strong referral pathways, clear information about the program, and initial phone contact from the service. Difficulty trusting services were identified as a key barrier to initial engagement. Facilitators of continued engagement included flexibility in service delivery, consistent and direct communication between sessions, and the therapeutic approach. Key barriers to sustained intervention engagement included children’s continued contact with their father, mothers’ experiences of guilt and blame, and the need for additional support for mothers’ own mental health. These findings highlight how service and clinician factors such as flexibility, therapeutic approaches, and communication can facilitate engagement for families affected by IPV. In addition, the study highlights the importance of including the voices of women in research to improve the acceptability of services for consumers.","container-title":"Journal of Interpersonal Violence","DOI":"10.1177/0886260520926316","ISSN":"0886-2605, 1552-6518","issue":"3-4","journalAbbreviation":"J Interpers Violence","language":"en","page":"1796-1824","source":"DOI.org (Crossref)","title":"Facilitators to Engagement in a Mother–Child Therapeutic Intervention Following Intimate Partner Violence","volume":"37","author":[{"family":"Fogarty","given":"Alison"},{"family":"Treyvaud","given":"Karli"},{"family":"Savopoulos","given":"Priscilla"},{"literal":"Amanda Jones"},{"family":"Cox","given":"Allison"},{"family":"Toone","given":"Emma"},{"family":"Giallo","given":"Rebecca"}],"issued":{"date-parts":[["2022",2]]}},"label":"page","suppress-author":true}],"schema":"https://github.com/citation-style-language/schema/raw/master/csl-citation.json"} </w:instrText>
                  </w:r>
                  <w:r w:rsidR="00ED00F6" w:rsidRPr="005B460B">
                    <w:fldChar w:fldCharType="separate"/>
                  </w:r>
                  <w:r w:rsidR="00ED00F6" w:rsidRPr="005B460B">
                    <w:t>2022)</w:t>
                  </w:r>
                  <w:r w:rsidR="00ED00F6" w:rsidRPr="005B460B">
                    <w:fldChar w:fldCharType="end"/>
                  </w:r>
                  <w:r w:rsidR="005B460B" w:rsidRPr="005B460B">
                    <w:t>.</w:t>
                  </w:r>
                  <w:r w:rsidR="005C1C93">
                    <w:t xml:space="preserve"> </w:t>
                  </w:r>
                  <w:r w:rsidR="005B460B" w:rsidRPr="005B460B">
                    <w:t xml:space="preserve">This approach highlights that clinician rapport and trust are foundational best practices, especially in enabling participants to access and utilise safety networks effectively </w:t>
                  </w:r>
                  <w:r w:rsidR="005B460B" w:rsidRPr="005B460B">
                    <w:fldChar w:fldCharType="begin"/>
                  </w:r>
                  <w:r w:rsidR="00E41D03">
                    <w:instrText xml:space="preserve"> ADDIN ZOTERO_ITEM CSL_CITATION {"citationID":"tPtiuJHz","properties":{"formattedCitation":"(Fogarty et al., 2022)","plainCitation":"(Fogarty et al., 2022)","noteIndex":0},"citationItems":[{"id":4713,"uris":["http://zotero.org/groups/5691188/items/PDWUW3P5"],"itemData":{"id":4713,"type":"article-journal","abstract":"Intimate partner violence (IPV) affects more than one in four children worldwide. Despite the growing evidence base for interventions addressing children’s IPV exposure, little is known about what assists families to engage with services. The current study sought to explore women’s perceptions of barriers and facilitators to accessing an intervention for their children following IPV. A total of 16 mothers who had engaged in a community-based, dyadic intervention for children exposed to IPV participated in the study. The Brief Relational Intervention and Screening (BRISC) is an evidenced informed program designed by Berry Street (Australia). A pilot of the intervention was implemented across one metropolitan and one regional site. In-depth semi-structured interviews were conducted with 16 mothers who had completed BRISC. Transcripts were analyzed in NVivo using thematic analysis. Key facilitators to initial engagement included strong referral pathways, clear information about the program, and initial phone contact from the service. Difficulty trusting services were identified as a key barrier to initial engagement. Facilitators of continued engagement included flexibility in service delivery, consistent and direct communication between sessions, and the therapeutic approach. Key barriers to sustained intervention engagement included children’s continued contact with their father, mothers’ experiences of guilt and blame, and the need for additional support for mothers’ own mental health. These findings highlight how service and clinician factors such as flexibility, therapeutic approaches, and communication can facilitate engagement for families affected by IPV. In addition, the study highlights the importance of including the voices of women in research to improve the acceptability of services for consumers.","container-title":"Journal of Interpersonal Violence","DOI":"10.1177/0886260520926316","ISSN":"0886-2605, 1552-6518","issue":"3-4","journalAbbreviation":"J Interpers Violence","language":"en","page":"1796-1824","source":"DOI.org (Crossref)","title":"Facilitators to Engagement in a Mother–Child Therapeutic Intervention Following Intimate Partner Violence","volume":"37","author":[{"family":"Fogarty","given":"Alison"},{"family":"Treyvaud","given":"Karli"},{"family":"Savopoulos","given":"Priscilla"},{"literal":"Amanda Jones"},{"family":"Cox","given":"Allison"},{"family":"Toone","given":"Emma"},{"family":"Giallo","given":"Rebecca"}],"issued":{"date-parts":[["2022",2]]}}}],"schema":"https://github.com/citation-style-language/schema/raw/master/csl-citation.json"} </w:instrText>
                  </w:r>
                  <w:r w:rsidR="005B460B" w:rsidRPr="005B460B">
                    <w:fldChar w:fldCharType="separate"/>
                  </w:r>
                  <w:r w:rsidR="005B460B" w:rsidRPr="005B460B">
                    <w:t>(Fogarty et al., 2022)</w:t>
                  </w:r>
                  <w:r w:rsidR="005B460B" w:rsidRPr="005B460B">
                    <w:fldChar w:fldCharType="end"/>
                  </w:r>
                  <w:r w:rsidR="005B460B" w:rsidRPr="005B460B">
                    <w:t>.</w:t>
                  </w:r>
                </w:p>
                <w:p w14:paraId="5565B44F" w14:textId="0ED4C801" w:rsidR="005674C7" w:rsidRDefault="005674C7" w:rsidP="005674C7">
                  <w:pPr>
                    <w:pStyle w:val="Text"/>
                    <w:spacing w:after="120"/>
                  </w:pPr>
                  <w:r>
                    <w:t xml:space="preserve">Overall, FaRS and SFVS services </w:t>
                  </w:r>
                  <w:r w:rsidR="00E970A3">
                    <w:t>are</w:t>
                  </w:r>
                  <w:r>
                    <w:t xml:space="preserve"> responding well to the needs of people experiencing family violence despite some capacity and demand challenges (</w:t>
                  </w:r>
                  <w:r w:rsidR="009E553B">
                    <w:t>s</w:t>
                  </w:r>
                  <w:r>
                    <w:t xml:space="preserve">ee </w:t>
                  </w:r>
                  <w:r w:rsidRPr="004849EC">
                    <w:rPr>
                      <w:b/>
                    </w:rPr>
                    <w:t xml:space="preserve">Section </w:t>
                  </w:r>
                  <w:r w:rsidR="009E553B">
                    <w:rPr>
                      <w:b/>
                    </w:rPr>
                    <w:fldChar w:fldCharType="begin" w:fldLock="1"/>
                  </w:r>
                  <w:r w:rsidR="009E553B">
                    <w:rPr>
                      <w:b/>
                    </w:rPr>
                    <w:instrText xml:space="preserve"> REF _Ref203062674 \r \h </w:instrText>
                  </w:r>
                  <w:r w:rsidR="00271FAC">
                    <w:rPr>
                      <w:b/>
                    </w:rPr>
                    <w:instrText xml:space="preserve"> \* MERGEFORMAT </w:instrText>
                  </w:r>
                  <w:r w:rsidR="009E553B">
                    <w:rPr>
                      <w:b/>
                    </w:rPr>
                  </w:r>
                  <w:r w:rsidR="009E553B">
                    <w:rPr>
                      <w:b/>
                    </w:rPr>
                    <w:fldChar w:fldCharType="separate"/>
                  </w:r>
                  <w:r w:rsidR="008F22E5">
                    <w:rPr>
                      <w:b/>
                    </w:rPr>
                    <w:t>6.6</w:t>
                  </w:r>
                  <w:r w:rsidR="009E553B">
                    <w:rPr>
                      <w:b/>
                    </w:rPr>
                    <w:fldChar w:fldCharType="end"/>
                  </w:r>
                  <w:r w:rsidR="009E553B">
                    <w:rPr>
                      <w:b/>
                    </w:rPr>
                    <w:t xml:space="preserve"> </w:t>
                  </w:r>
                  <w:r w:rsidR="009E553B" w:rsidRPr="008E1B83">
                    <w:t>for more detail</w:t>
                  </w:r>
                  <w:r>
                    <w:t xml:space="preserve">). </w:t>
                  </w:r>
                  <w:r w:rsidR="008B739B">
                    <w:rPr>
                      <w:lang w:val="en-US"/>
                    </w:rPr>
                    <w:t xml:space="preserve">Victim survivors were a key cohort accessing FaRS services, with 27% (n=20) of FaRS service users interviewed, and 18% (n=29) of FaRS survey respondents identifying as victim survivors. Seven victim survivors directly noted that their service provider educated them about family violence, identifying abuse within their relationships, and information on navigating their relationships to support the safety </w:t>
                  </w:r>
                  <w:r w:rsidR="008B739B" w:rsidDel="008C228E">
                    <w:rPr>
                      <w:lang w:val="en-US"/>
                    </w:rPr>
                    <w:t xml:space="preserve">their </w:t>
                  </w:r>
                  <w:r w:rsidR="008C228E">
                    <w:rPr>
                      <w:lang w:val="en-US"/>
                    </w:rPr>
                    <w:t>safety, and the safety of their families</w:t>
                  </w:r>
                  <w:r w:rsidR="008B739B">
                    <w:rPr>
                      <w:lang w:val="en-US"/>
                    </w:rPr>
                    <w:t>.</w:t>
                  </w:r>
                  <w:r w:rsidR="008B739B">
                    <w:t xml:space="preserve"> </w:t>
                  </w:r>
                  <w:r>
                    <w:t xml:space="preserve">Many service users reported positive experiences with accessing services for matters relating to experiences of family violence, often emphasising the </w:t>
                  </w:r>
                  <w:r w:rsidR="001D1403">
                    <w:t>service user</w:t>
                  </w:r>
                  <w:r>
                    <w:t xml:space="preserve">-centred and empathetic response they received from services. </w:t>
                  </w:r>
                </w:p>
                <w:p w14:paraId="7FB4C2F8" w14:textId="6066B3F6" w:rsidR="00BD3068" w:rsidRPr="00321BC5" w:rsidRDefault="3DE4C7B2" w:rsidP="005674C7">
                  <w:pPr>
                    <w:pStyle w:val="Text"/>
                    <w:spacing w:after="120"/>
                  </w:pPr>
                  <w:r>
                    <w:t>DEX dat</w:t>
                  </w:r>
                  <w:r w:rsidR="00E16D17">
                    <w:t>a</w:t>
                  </w:r>
                  <w:r w:rsidR="007B09E8">
                    <w:t xml:space="preserve"> from 2021/22-20</w:t>
                  </w:r>
                  <w:r w:rsidR="004C2A04">
                    <w:t>24/25</w:t>
                  </w:r>
                  <w:r>
                    <w:t xml:space="preserve"> indicate that the number of female and male </w:t>
                  </w:r>
                  <w:r w:rsidR="005072EF">
                    <w:t xml:space="preserve">service </w:t>
                  </w:r>
                  <w:r w:rsidR="00175D50">
                    <w:t>users in</w:t>
                  </w:r>
                  <w:r>
                    <w:t xml:space="preserve"> FaRS were approximately equal, </w:t>
                  </w:r>
                  <w:r w:rsidR="00E16D17">
                    <w:t xml:space="preserve">but </w:t>
                  </w:r>
                  <w:r>
                    <w:t xml:space="preserve">the </w:t>
                  </w:r>
                  <w:r w:rsidR="13E31F83">
                    <w:t xml:space="preserve">number of sessions attended by females was </w:t>
                  </w:r>
                  <w:r w:rsidR="004917D8">
                    <w:t>28</w:t>
                  </w:r>
                  <w:r w:rsidR="294EAAAE">
                    <w:t>% higher than</w:t>
                  </w:r>
                  <w:r w:rsidR="13E31F83">
                    <w:t xml:space="preserve"> that </w:t>
                  </w:r>
                  <w:r w:rsidR="0321AF48">
                    <w:t xml:space="preserve">of males. For SFVS there were </w:t>
                  </w:r>
                  <w:r w:rsidR="637EE846">
                    <w:t>2.6</w:t>
                  </w:r>
                  <w:r w:rsidR="0321AF48">
                    <w:t xml:space="preserve"> times as many females as males</w:t>
                  </w:r>
                  <w:r w:rsidR="0EE497E8">
                    <w:t xml:space="preserve"> and approximately 4 times the number of sessions attended by females than those attended by males</w:t>
                  </w:r>
                  <w:r w:rsidR="00F45666">
                    <w:t>.</w:t>
                  </w:r>
                  <w:r w:rsidR="7302E87C">
                    <w:t xml:space="preserve"> </w:t>
                  </w:r>
                </w:p>
                <w:p w14:paraId="42894D81" w14:textId="6A22EE6E" w:rsidR="009A6769" w:rsidRDefault="0EE497E8" w:rsidP="005674C7">
                  <w:pPr>
                    <w:pStyle w:val="Text"/>
                    <w:spacing w:after="120"/>
                  </w:pPr>
                  <w:r w:rsidRPr="00321BC5">
                    <w:t xml:space="preserve">Analyses of the earliest and latest SCORE by gender showed that </w:t>
                  </w:r>
                  <w:r w:rsidR="044FE7B3" w:rsidRPr="00321BC5">
                    <w:t xml:space="preserve">number of </w:t>
                  </w:r>
                  <w:r w:rsidRPr="00321BC5">
                    <w:t xml:space="preserve">female </w:t>
                  </w:r>
                  <w:r w:rsidR="005072EF" w:rsidRPr="00321BC5">
                    <w:t>service users</w:t>
                  </w:r>
                  <w:r w:rsidR="037A5F9A" w:rsidRPr="00321BC5">
                    <w:t xml:space="preserve"> in FaRS</w:t>
                  </w:r>
                  <w:r w:rsidRPr="00321BC5">
                    <w:t xml:space="preserve"> w</w:t>
                  </w:r>
                  <w:r w:rsidR="6E7C40C1" w:rsidRPr="00321BC5">
                    <w:t>ith</w:t>
                  </w:r>
                  <w:r w:rsidR="7ED5056A" w:rsidRPr="00321BC5">
                    <w:t xml:space="preserve"> at least </w:t>
                  </w:r>
                  <w:r w:rsidR="00FC7C22" w:rsidRPr="00321BC5">
                    <w:t>two</w:t>
                  </w:r>
                  <w:r w:rsidR="7ED5056A" w:rsidRPr="00321BC5">
                    <w:t xml:space="preserve"> SCORE assessments in any given domain</w:t>
                  </w:r>
                  <w:r w:rsidR="31BDEAE7" w:rsidRPr="00321BC5">
                    <w:t xml:space="preserve"> was 50% higher than that of males and 2.8 times higher in SFVS.</w:t>
                  </w:r>
                  <w:r w:rsidR="674E487F" w:rsidRPr="00321BC5">
                    <w:t xml:space="preserve"> Sample sizes are presented in </w:t>
                  </w:r>
                  <w:hyperlink w:anchor="Appendix_F" w:history="1">
                    <w:r w:rsidR="00A03201" w:rsidRPr="5AC90C80">
                      <w:rPr>
                        <w:rStyle w:val="Hyperlink"/>
                        <w:rFonts w:asciiTheme="minorHAnsi" w:hAnsiTheme="minorHAnsi"/>
                        <w:b/>
                        <w:bCs/>
                        <w:color w:val="007E00" w:themeColor="accent3"/>
                      </w:rPr>
                      <w:t>Appendix</w:t>
                    </w:r>
                    <w:r w:rsidR="003668B8" w:rsidRPr="5AC90C80">
                      <w:rPr>
                        <w:rStyle w:val="Hyperlink"/>
                        <w:rFonts w:asciiTheme="minorHAnsi" w:hAnsiTheme="minorHAnsi"/>
                        <w:b/>
                        <w:bCs/>
                        <w:color w:val="007E00" w:themeColor="accent3"/>
                      </w:rPr>
                      <w:t xml:space="preserve"> F</w:t>
                    </w:r>
                  </w:hyperlink>
                  <w:r w:rsidR="674E487F" w:rsidRPr="00321BC5">
                    <w:t>.</w:t>
                  </w:r>
                  <w:r w:rsidR="001066ED" w:rsidRPr="00321BC5">
                    <w:t xml:space="preserve"> </w:t>
                  </w:r>
                  <w:r w:rsidR="31BDEAE7" w:rsidRPr="00321BC5">
                    <w:t>Mean SCORE improved for both cohorts across all domains</w:t>
                  </w:r>
                  <w:r w:rsidR="66FA738E" w:rsidRPr="00321BC5">
                    <w:t xml:space="preserve">. Behaviour, Confidence, Impact, </w:t>
                  </w:r>
                  <w:r w:rsidR="00A97B26" w:rsidRPr="00321BC5">
                    <w:t>K</w:t>
                  </w:r>
                  <w:r w:rsidR="66FA738E" w:rsidRPr="00321BC5">
                    <w:t>nowledge</w:t>
                  </w:r>
                  <w:r w:rsidR="00A97B26" w:rsidRPr="00321BC5">
                    <w:t>,</w:t>
                  </w:r>
                  <w:r w:rsidR="66FA738E" w:rsidRPr="00321BC5">
                    <w:t xml:space="preserve"> and Skills improved most. All comparisons were statistically significant (</w:t>
                  </w:r>
                  <w:r w:rsidR="66FA738E" w:rsidRPr="5AC90C80">
                    <w:rPr>
                      <w:i/>
                      <w:iCs/>
                    </w:rPr>
                    <w:t>p</w:t>
                  </w:r>
                  <w:r w:rsidR="66FA738E" w:rsidRPr="00321BC5">
                    <w:t>&lt;.001).</w:t>
                  </w:r>
                  <w:r w:rsidR="66FA738E" w:rsidRPr="4184DD85">
                    <w:t xml:space="preserve"> </w:t>
                  </w:r>
                </w:p>
                <w:p w14:paraId="3B756B86" w14:textId="50CC4349" w:rsidR="00FE6D21" w:rsidRDefault="00FE6D21" w:rsidP="004673E7">
                  <w:pPr>
                    <w:pStyle w:val="TableFigure-Header"/>
                    <w:spacing w:line="276" w:lineRule="auto"/>
                    <w:jc w:val="both"/>
                  </w:pPr>
                  <w:r w:rsidRPr="4747A340">
                    <w:rPr>
                      <w:lang w:val="en-NZ"/>
                    </w:rPr>
                    <w:t xml:space="preserve">Table </w:t>
                  </w:r>
                  <w:r w:rsidR="008D2566">
                    <w:fldChar w:fldCharType="begin"/>
                  </w:r>
                  <w:r w:rsidR="008D2566">
                    <w:instrText xml:space="preserve"> SEQ Table \* ARABIC </w:instrText>
                  </w:r>
                  <w:r w:rsidR="008D2566">
                    <w:fldChar w:fldCharType="separate"/>
                  </w:r>
                  <w:r w:rsidR="008D2566">
                    <w:rPr>
                      <w:noProof/>
                    </w:rPr>
                    <w:t>29</w:t>
                  </w:r>
                  <w:r w:rsidR="008D2566">
                    <w:rPr>
                      <w:noProof/>
                    </w:rPr>
                    <w:fldChar w:fldCharType="end"/>
                  </w:r>
                  <w:r w:rsidRPr="4747A340">
                    <w:rPr>
                      <w:lang w:val="en-NZ"/>
                    </w:rPr>
                    <w:t>: Earliest to latest mean SCORE change for overall Circumstance and Goal domains for gender, FaRS and SFVS</w:t>
                  </w:r>
                </w:p>
                <w:tbl>
                  <w:tblPr>
                    <w:tblW w:w="90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73"/>
                    <w:gridCol w:w="1173"/>
                    <w:gridCol w:w="1825"/>
                    <w:gridCol w:w="1172"/>
                    <w:gridCol w:w="1434"/>
                    <w:gridCol w:w="2226"/>
                  </w:tblGrid>
                  <w:tr w:rsidR="00261C50" w:rsidRPr="00703C0C" w14:paraId="6D143B01" w14:textId="77777777" w:rsidTr="00321BC5">
                    <w:trPr>
                      <w:trHeight w:val="303"/>
                      <w:tblHeader/>
                    </w:trPr>
                    <w:tc>
                      <w:tcPr>
                        <w:tcW w:w="1173" w:type="dxa"/>
                        <w:shd w:val="clear" w:color="auto" w:fill="007E00" w:themeFill="accent3"/>
                        <w:noWrap/>
                        <w:hideMark/>
                      </w:tcPr>
                      <w:p w14:paraId="25415FE5" w14:textId="77777777" w:rsidR="00703C0C" w:rsidRPr="008E495E" w:rsidRDefault="00703C0C">
                        <w:pPr>
                          <w:pStyle w:val="TableText"/>
                          <w:rPr>
                            <w:b/>
                            <w:bCs/>
                            <w:color w:val="FFFFFF" w:themeColor="background1"/>
                          </w:rPr>
                        </w:pPr>
                        <w:r w:rsidRPr="00D63E8D">
                          <w:rPr>
                            <w:b/>
                            <w:bCs/>
                            <w:color w:val="FFFFFF" w:themeColor="background1"/>
                          </w:rPr>
                          <w:t>Activity</w:t>
                        </w:r>
                      </w:p>
                    </w:tc>
                    <w:tc>
                      <w:tcPr>
                        <w:tcW w:w="1173" w:type="dxa"/>
                        <w:shd w:val="clear" w:color="auto" w:fill="007E00" w:themeFill="accent3"/>
                        <w:noWrap/>
                        <w:hideMark/>
                      </w:tcPr>
                      <w:p w14:paraId="050313D3" w14:textId="77777777" w:rsidR="00703C0C" w:rsidRPr="00D63E8D" w:rsidRDefault="00703C0C" w:rsidP="00D63E8D">
                        <w:pPr>
                          <w:pStyle w:val="TableText"/>
                          <w:rPr>
                            <w:b/>
                            <w:bCs/>
                            <w:color w:val="FFFFFF" w:themeColor="background1"/>
                          </w:rPr>
                        </w:pPr>
                        <w:r w:rsidRPr="00D63E8D">
                          <w:rPr>
                            <w:b/>
                            <w:bCs/>
                            <w:color w:val="FFFFFF" w:themeColor="background1"/>
                          </w:rPr>
                          <w:t>Gender</w:t>
                        </w:r>
                      </w:p>
                    </w:tc>
                    <w:tc>
                      <w:tcPr>
                        <w:tcW w:w="1825" w:type="dxa"/>
                        <w:shd w:val="clear" w:color="auto" w:fill="007E00" w:themeFill="accent3"/>
                        <w:noWrap/>
                        <w:hideMark/>
                      </w:tcPr>
                      <w:p w14:paraId="621C4364" w14:textId="77777777" w:rsidR="00703C0C" w:rsidRPr="00D63E8D" w:rsidRDefault="00703C0C" w:rsidP="00D63E8D">
                        <w:pPr>
                          <w:pStyle w:val="TableText"/>
                          <w:rPr>
                            <w:b/>
                            <w:bCs/>
                            <w:color w:val="FFFFFF" w:themeColor="background1"/>
                          </w:rPr>
                        </w:pPr>
                        <w:r w:rsidRPr="00D63E8D">
                          <w:rPr>
                            <w:b/>
                            <w:bCs/>
                            <w:color w:val="FFFFFF" w:themeColor="background1"/>
                          </w:rPr>
                          <w:t>Outcome Type</w:t>
                        </w:r>
                      </w:p>
                    </w:tc>
                    <w:tc>
                      <w:tcPr>
                        <w:tcW w:w="1172" w:type="dxa"/>
                        <w:shd w:val="clear" w:color="auto" w:fill="007E00" w:themeFill="accent3"/>
                        <w:noWrap/>
                        <w:hideMark/>
                      </w:tcPr>
                      <w:p w14:paraId="715246F1" w14:textId="13C1ABC0" w:rsidR="00703C0C" w:rsidRPr="00D63E8D" w:rsidRDefault="00703C0C" w:rsidP="00D63E8D">
                        <w:pPr>
                          <w:pStyle w:val="TableText"/>
                          <w:rPr>
                            <w:b/>
                            <w:bCs/>
                            <w:color w:val="FFFFFF" w:themeColor="background1"/>
                          </w:rPr>
                        </w:pPr>
                        <w:r>
                          <w:rPr>
                            <w:b/>
                            <w:bCs/>
                            <w:color w:val="FFFFFF" w:themeColor="background1"/>
                          </w:rPr>
                          <w:t>Service users (n=</w:t>
                        </w:r>
                        <w:r w:rsidRPr="00D63E8D">
                          <w:rPr>
                            <w:b/>
                            <w:bCs/>
                            <w:color w:val="FFFFFF" w:themeColor="background1"/>
                          </w:rPr>
                          <w:t>)</w:t>
                        </w:r>
                      </w:p>
                    </w:tc>
                    <w:tc>
                      <w:tcPr>
                        <w:tcW w:w="1434" w:type="dxa"/>
                        <w:shd w:val="clear" w:color="auto" w:fill="007E00" w:themeFill="accent3"/>
                        <w:noWrap/>
                        <w:hideMark/>
                      </w:tcPr>
                      <w:p w14:paraId="7C786FCD" w14:textId="77777777" w:rsidR="00703C0C" w:rsidRPr="00D63E8D" w:rsidRDefault="00703C0C" w:rsidP="00D63E8D">
                        <w:pPr>
                          <w:pStyle w:val="TableText"/>
                          <w:rPr>
                            <w:b/>
                            <w:bCs/>
                            <w:color w:val="FFFFFF" w:themeColor="background1"/>
                          </w:rPr>
                        </w:pPr>
                        <w:r w:rsidRPr="00D63E8D">
                          <w:rPr>
                            <w:b/>
                            <w:bCs/>
                            <w:color w:val="FFFFFF" w:themeColor="background1"/>
                          </w:rPr>
                          <w:t>SCORE change (mean)</w:t>
                        </w:r>
                      </w:p>
                    </w:tc>
                    <w:tc>
                      <w:tcPr>
                        <w:tcW w:w="2226" w:type="dxa"/>
                        <w:shd w:val="clear" w:color="auto" w:fill="007E00" w:themeFill="accent3"/>
                        <w:noWrap/>
                        <w:hideMark/>
                      </w:tcPr>
                      <w:p w14:paraId="33660D2D" w14:textId="20E3E430" w:rsidR="00703C0C" w:rsidRPr="00D63E8D" w:rsidRDefault="00703C0C" w:rsidP="00D63E8D">
                        <w:pPr>
                          <w:pStyle w:val="TableText"/>
                          <w:rPr>
                            <w:b/>
                            <w:bCs/>
                            <w:color w:val="FFFFFF" w:themeColor="background1"/>
                          </w:rPr>
                        </w:pPr>
                        <w:r>
                          <w:rPr>
                            <w:b/>
                            <w:bCs/>
                            <w:color w:val="FFFFFF" w:themeColor="background1"/>
                          </w:rPr>
                          <w:t>Service users</w:t>
                        </w:r>
                        <w:r w:rsidRPr="00D63E8D">
                          <w:rPr>
                            <w:b/>
                            <w:bCs/>
                            <w:color w:val="FFFFFF" w:themeColor="background1"/>
                          </w:rPr>
                          <w:t xml:space="preserve"> with positive mean change (%, n</w:t>
                        </w:r>
                        <w:r>
                          <w:rPr>
                            <w:b/>
                            <w:bCs/>
                            <w:color w:val="FFFFFF" w:themeColor="background1"/>
                          </w:rPr>
                          <w:t>=</w:t>
                        </w:r>
                        <w:r w:rsidRPr="00D63E8D">
                          <w:rPr>
                            <w:b/>
                            <w:bCs/>
                            <w:color w:val="FFFFFF" w:themeColor="background1"/>
                          </w:rPr>
                          <w:t>)</w:t>
                        </w:r>
                      </w:p>
                    </w:tc>
                  </w:tr>
                  <w:tr w:rsidR="00703C0C" w:rsidRPr="00703C0C" w14:paraId="26EDDB66" w14:textId="77777777" w:rsidTr="00DE647E">
                    <w:trPr>
                      <w:trHeight w:val="303"/>
                    </w:trPr>
                    <w:tc>
                      <w:tcPr>
                        <w:tcW w:w="1173" w:type="dxa"/>
                        <w:vMerge w:val="restart"/>
                        <w:noWrap/>
                        <w:hideMark/>
                      </w:tcPr>
                      <w:p w14:paraId="3C289664" w14:textId="77777777" w:rsidR="00703C0C" w:rsidRPr="0078378F" w:rsidRDefault="00703C0C" w:rsidP="00D63E8D">
                        <w:pPr>
                          <w:pStyle w:val="TableText"/>
                          <w:rPr>
                            <w:lang w:val="en-NZ"/>
                          </w:rPr>
                        </w:pPr>
                        <w:r w:rsidRPr="0078378F">
                          <w:rPr>
                            <w:lang w:val="en-NZ"/>
                          </w:rPr>
                          <w:t>FaRS</w:t>
                        </w:r>
                      </w:p>
                    </w:tc>
                    <w:tc>
                      <w:tcPr>
                        <w:tcW w:w="1173" w:type="dxa"/>
                        <w:vMerge w:val="restart"/>
                        <w:noWrap/>
                        <w:hideMark/>
                      </w:tcPr>
                      <w:p w14:paraId="7C1E4C12" w14:textId="77777777" w:rsidR="00703C0C" w:rsidRPr="0078378F" w:rsidRDefault="00703C0C" w:rsidP="00D63E8D">
                        <w:pPr>
                          <w:pStyle w:val="TableText"/>
                        </w:pPr>
                        <w:r w:rsidRPr="0078378F">
                          <w:t>Female</w:t>
                        </w:r>
                      </w:p>
                    </w:tc>
                    <w:tc>
                      <w:tcPr>
                        <w:tcW w:w="1825" w:type="dxa"/>
                        <w:noWrap/>
                        <w:hideMark/>
                      </w:tcPr>
                      <w:p w14:paraId="31595543" w14:textId="77777777" w:rsidR="00703C0C" w:rsidRPr="0078378F" w:rsidRDefault="00703C0C" w:rsidP="00D63E8D">
                        <w:pPr>
                          <w:pStyle w:val="TableText"/>
                        </w:pPr>
                        <w:r w:rsidRPr="0078378F">
                          <w:t>Circumstances</w:t>
                        </w:r>
                      </w:p>
                    </w:tc>
                    <w:tc>
                      <w:tcPr>
                        <w:tcW w:w="1172" w:type="dxa"/>
                        <w:noWrap/>
                        <w:hideMark/>
                      </w:tcPr>
                      <w:p w14:paraId="4B28B598" w14:textId="77777777" w:rsidR="00703C0C" w:rsidRPr="00703C0C" w:rsidRDefault="00703C0C" w:rsidP="00D63E8D">
                        <w:pPr>
                          <w:pStyle w:val="TableText"/>
                        </w:pPr>
                        <w:r w:rsidRPr="00703C0C">
                          <w:t>27035</w:t>
                        </w:r>
                      </w:p>
                    </w:tc>
                    <w:tc>
                      <w:tcPr>
                        <w:tcW w:w="1434" w:type="dxa"/>
                        <w:noWrap/>
                        <w:hideMark/>
                      </w:tcPr>
                      <w:p w14:paraId="73CB6248" w14:textId="77777777" w:rsidR="00703C0C" w:rsidRPr="00703C0C" w:rsidRDefault="00703C0C" w:rsidP="00D63E8D">
                        <w:pPr>
                          <w:pStyle w:val="TableText"/>
                        </w:pPr>
                        <w:r w:rsidRPr="00703C0C">
                          <w:t>0.8</w:t>
                        </w:r>
                      </w:p>
                    </w:tc>
                    <w:tc>
                      <w:tcPr>
                        <w:tcW w:w="2226" w:type="dxa"/>
                        <w:noWrap/>
                        <w:hideMark/>
                      </w:tcPr>
                      <w:p w14:paraId="5C864ABB" w14:textId="77777777" w:rsidR="00703C0C" w:rsidRPr="00703C0C" w:rsidRDefault="00703C0C" w:rsidP="00D63E8D">
                        <w:pPr>
                          <w:pStyle w:val="TableText"/>
                        </w:pPr>
                        <w:r w:rsidRPr="00703C0C">
                          <w:t>63.4% (n=17132)</w:t>
                        </w:r>
                      </w:p>
                    </w:tc>
                  </w:tr>
                  <w:tr w:rsidR="00703C0C" w:rsidRPr="00703C0C" w14:paraId="4A2E3059" w14:textId="77777777" w:rsidTr="00DE647E">
                    <w:trPr>
                      <w:trHeight w:val="303"/>
                    </w:trPr>
                    <w:tc>
                      <w:tcPr>
                        <w:tcW w:w="0" w:type="auto"/>
                        <w:vMerge/>
                        <w:hideMark/>
                      </w:tcPr>
                      <w:p w14:paraId="0E06AE60" w14:textId="77777777" w:rsidR="00703C0C" w:rsidRPr="0078378F" w:rsidRDefault="00703C0C" w:rsidP="00D63E8D">
                        <w:pPr>
                          <w:pStyle w:val="TableText"/>
                        </w:pPr>
                      </w:p>
                    </w:tc>
                    <w:tc>
                      <w:tcPr>
                        <w:tcW w:w="0" w:type="auto"/>
                        <w:vMerge/>
                        <w:hideMark/>
                      </w:tcPr>
                      <w:p w14:paraId="315C55F1" w14:textId="77777777" w:rsidR="00703C0C" w:rsidRPr="0078378F" w:rsidRDefault="00703C0C" w:rsidP="00D63E8D">
                        <w:pPr>
                          <w:pStyle w:val="TableText"/>
                        </w:pPr>
                      </w:p>
                    </w:tc>
                    <w:tc>
                      <w:tcPr>
                        <w:tcW w:w="1825" w:type="dxa"/>
                        <w:noWrap/>
                        <w:hideMark/>
                      </w:tcPr>
                      <w:p w14:paraId="3E59D9D0" w14:textId="77777777" w:rsidR="00703C0C" w:rsidRPr="0078378F" w:rsidRDefault="00703C0C" w:rsidP="00D63E8D">
                        <w:pPr>
                          <w:pStyle w:val="TableText"/>
                        </w:pPr>
                        <w:r w:rsidRPr="0078378F">
                          <w:t>Goals</w:t>
                        </w:r>
                      </w:p>
                    </w:tc>
                    <w:tc>
                      <w:tcPr>
                        <w:tcW w:w="1172" w:type="dxa"/>
                        <w:noWrap/>
                        <w:hideMark/>
                      </w:tcPr>
                      <w:p w14:paraId="1805E38C" w14:textId="77777777" w:rsidR="00703C0C" w:rsidRPr="00703C0C" w:rsidRDefault="00703C0C" w:rsidP="00D63E8D">
                        <w:pPr>
                          <w:pStyle w:val="TableText"/>
                        </w:pPr>
                        <w:r w:rsidRPr="00703C0C">
                          <w:t>27289</w:t>
                        </w:r>
                      </w:p>
                    </w:tc>
                    <w:tc>
                      <w:tcPr>
                        <w:tcW w:w="1434" w:type="dxa"/>
                        <w:noWrap/>
                        <w:hideMark/>
                      </w:tcPr>
                      <w:p w14:paraId="34F72350" w14:textId="77777777" w:rsidR="00703C0C" w:rsidRPr="00703C0C" w:rsidRDefault="00703C0C" w:rsidP="00D63E8D">
                        <w:pPr>
                          <w:pStyle w:val="TableText"/>
                        </w:pPr>
                        <w:r w:rsidRPr="00703C0C">
                          <w:t>1.22</w:t>
                        </w:r>
                      </w:p>
                    </w:tc>
                    <w:tc>
                      <w:tcPr>
                        <w:tcW w:w="2226" w:type="dxa"/>
                        <w:noWrap/>
                        <w:hideMark/>
                      </w:tcPr>
                      <w:p w14:paraId="08128969" w14:textId="77777777" w:rsidR="00703C0C" w:rsidRPr="00703C0C" w:rsidRDefault="00703C0C" w:rsidP="00D63E8D">
                        <w:pPr>
                          <w:pStyle w:val="TableText"/>
                        </w:pPr>
                        <w:r w:rsidRPr="00703C0C">
                          <w:t>74.9% (n=20437)</w:t>
                        </w:r>
                      </w:p>
                    </w:tc>
                  </w:tr>
                  <w:tr w:rsidR="00703C0C" w:rsidRPr="00703C0C" w14:paraId="1855C226" w14:textId="77777777" w:rsidTr="00DE647E">
                    <w:trPr>
                      <w:trHeight w:val="303"/>
                    </w:trPr>
                    <w:tc>
                      <w:tcPr>
                        <w:tcW w:w="0" w:type="auto"/>
                        <w:vMerge/>
                        <w:hideMark/>
                      </w:tcPr>
                      <w:p w14:paraId="6901B0CE" w14:textId="77777777" w:rsidR="00703C0C" w:rsidRPr="0078378F" w:rsidRDefault="00703C0C" w:rsidP="00D63E8D">
                        <w:pPr>
                          <w:pStyle w:val="TableText"/>
                        </w:pPr>
                      </w:p>
                    </w:tc>
                    <w:tc>
                      <w:tcPr>
                        <w:tcW w:w="1173" w:type="dxa"/>
                        <w:vMerge w:val="restart"/>
                        <w:noWrap/>
                        <w:hideMark/>
                      </w:tcPr>
                      <w:p w14:paraId="00E8ACF3" w14:textId="77777777" w:rsidR="00703C0C" w:rsidRPr="0078378F" w:rsidRDefault="00703C0C" w:rsidP="00D63E8D">
                        <w:pPr>
                          <w:pStyle w:val="TableText"/>
                        </w:pPr>
                        <w:r w:rsidRPr="0078378F">
                          <w:t>Male</w:t>
                        </w:r>
                      </w:p>
                    </w:tc>
                    <w:tc>
                      <w:tcPr>
                        <w:tcW w:w="1825" w:type="dxa"/>
                        <w:noWrap/>
                        <w:hideMark/>
                      </w:tcPr>
                      <w:p w14:paraId="793F9F25" w14:textId="77777777" w:rsidR="00703C0C" w:rsidRPr="0078378F" w:rsidRDefault="00703C0C" w:rsidP="00D63E8D">
                        <w:pPr>
                          <w:pStyle w:val="TableText"/>
                        </w:pPr>
                        <w:r w:rsidRPr="0078378F">
                          <w:t>Circumstances</w:t>
                        </w:r>
                      </w:p>
                    </w:tc>
                    <w:tc>
                      <w:tcPr>
                        <w:tcW w:w="1172" w:type="dxa"/>
                        <w:noWrap/>
                        <w:hideMark/>
                      </w:tcPr>
                      <w:p w14:paraId="18C9497A" w14:textId="77777777" w:rsidR="00703C0C" w:rsidRPr="00703C0C" w:rsidRDefault="00703C0C" w:rsidP="00D63E8D">
                        <w:pPr>
                          <w:pStyle w:val="TableText"/>
                        </w:pPr>
                        <w:r w:rsidRPr="00703C0C">
                          <w:t>17681</w:t>
                        </w:r>
                      </w:p>
                    </w:tc>
                    <w:tc>
                      <w:tcPr>
                        <w:tcW w:w="1434" w:type="dxa"/>
                        <w:noWrap/>
                        <w:hideMark/>
                      </w:tcPr>
                      <w:p w14:paraId="7D149613" w14:textId="77777777" w:rsidR="00703C0C" w:rsidRPr="00703C0C" w:rsidRDefault="00703C0C" w:rsidP="00D63E8D">
                        <w:pPr>
                          <w:pStyle w:val="TableText"/>
                        </w:pPr>
                        <w:r w:rsidRPr="00703C0C">
                          <w:t>0.79</w:t>
                        </w:r>
                      </w:p>
                    </w:tc>
                    <w:tc>
                      <w:tcPr>
                        <w:tcW w:w="2226" w:type="dxa"/>
                        <w:noWrap/>
                        <w:hideMark/>
                      </w:tcPr>
                      <w:p w14:paraId="19CE3F0E" w14:textId="77777777" w:rsidR="00703C0C" w:rsidRPr="00703C0C" w:rsidRDefault="00703C0C" w:rsidP="00D63E8D">
                        <w:pPr>
                          <w:pStyle w:val="TableText"/>
                        </w:pPr>
                        <w:r w:rsidRPr="00703C0C">
                          <w:t>62.7% (n=11092)</w:t>
                        </w:r>
                      </w:p>
                    </w:tc>
                  </w:tr>
                  <w:tr w:rsidR="00703C0C" w:rsidRPr="00703C0C" w14:paraId="59548926" w14:textId="77777777" w:rsidTr="00DE647E">
                    <w:trPr>
                      <w:trHeight w:val="303"/>
                    </w:trPr>
                    <w:tc>
                      <w:tcPr>
                        <w:tcW w:w="0" w:type="auto"/>
                        <w:vMerge/>
                        <w:hideMark/>
                      </w:tcPr>
                      <w:p w14:paraId="2D05D8EA" w14:textId="77777777" w:rsidR="00703C0C" w:rsidRPr="0078378F" w:rsidRDefault="00703C0C" w:rsidP="00D63E8D">
                        <w:pPr>
                          <w:pStyle w:val="TableText"/>
                        </w:pPr>
                      </w:p>
                    </w:tc>
                    <w:tc>
                      <w:tcPr>
                        <w:tcW w:w="0" w:type="auto"/>
                        <w:vMerge/>
                        <w:hideMark/>
                      </w:tcPr>
                      <w:p w14:paraId="545F49D2" w14:textId="77777777" w:rsidR="00703C0C" w:rsidRPr="0078378F" w:rsidRDefault="00703C0C" w:rsidP="00D63E8D">
                        <w:pPr>
                          <w:pStyle w:val="TableText"/>
                        </w:pPr>
                      </w:p>
                    </w:tc>
                    <w:tc>
                      <w:tcPr>
                        <w:tcW w:w="1825" w:type="dxa"/>
                        <w:noWrap/>
                        <w:hideMark/>
                      </w:tcPr>
                      <w:p w14:paraId="669FDBB2" w14:textId="77777777" w:rsidR="00703C0C" w:rsidRPr="0078378F" w:rsidRDefault="00703C0C" w:rsidP="00D63E8D">
                        <w:pPr>
                          <w:pStyle w:val="TableText"/>
                        </w:pPr>
                        <w:r w:rsidRPr="0078378F">
                          <w:t>Goals</w:t>
                        </w:r>
                      </w:p>
                    </w:tc>
                    <w:tc>
                      <w:tcPr>
                        <w:tcW w:w="1172" w:type="dxa"/>
                        <w:noWrap/>
                        <w:hideMark/>
                      </w:tcPr>
                      <w:p w14:paraId="1DBC36C6" w14:textId="77777777" w:rsidR="00703C0C" w:rsidRPr="00703C0C" w:rsidRDefault="00703C0C" w:rsidP="00D63E8D">
                        <w:pPr>
                          <w:pStyle w:val="TableText"/>
                        </w:pPr>
                        <w:r w:rsidRPr="00703C0C">
                          <w:t>17792</w:t>
                        </w:r>
                      </w:p>
                    </w:tc>
                    <w:tc>
                      <w:tcPr>
                        <w:tcW w:w="1434" w:type="dxa"/>
                        <w:noWrap/>
                        <w:hideMark/>
                      </w:tcPr>
                      <w:p w14:paraId="588E0E1D" w14:textId="77777777" w:rsidR="00703C0C" w:rsidRPr="00703C0C" w:rsidRDefault="00703C0C" w:rsidP="00D63E8D">
                        <w:pPr>
                          <w:pStyle w:val="TableText"/>
                        </w:pPr>
                        <w:r w:rsidRPr="00703C0C">
                          <w:t>1.2</w:t>
                        </w:r>
                      </w:p>
                    </w:tc>
                    <w:tc>
                      <w:tcPr>
                        <w:tcW w:w="2226" w:type="dxa"/>
                        <w:noWrap/>
                        <w:hideMark/>
                      </w:tcPr>
                      <w:p w14:paraId="5CC0539D" w14:textId="77777777" w:rsidR="00703C0C" w:rsidRPr="00703C0C" w:rsidRDefault="00703C0C" w:rsidP="00D63E8D">
                        <w:pPr>
                          <w:pStyle w:val="TableText"/>
                        </w:pPr>
                        <w:r w:rsidRPr="00703C0C">
                          <w:t>73.6% (n=13090)</w:t>
                        </w:r>
                      </w:p>
                    </w:tc>
                  </w:tr>
                  <w:tr w:rsidR="00703C0C" w:rsidRPr="00703C0C" w14:paraId="13243EAE" w14:textId="77777777" w:rsidTr="00DE647E">
                    <w:trPr>
                      <w:trHeight w:val="303"/>
                    </w:trPr>
                    <w:tc>
                      <w:tcPr>
                        <w:tcW w:w="1173" w:type="dxa"/>
                        <w:vMerge w:val="restart"/>
                        <w:noWrap/>
                        <w:hideMark/>
                      </w:tcPr>
                      <w:p w14:paraId="1B1E4BDA" w14:textId="33E337C6" w:rsidR="00703C0C" w:rsidRPr="0078378F" w:rsidRDefault="00703C0C" w:rsidP="00D63E8D">
                        <w:pPr>
                          <w:pStyle w:val="TableText"/>
                        </w:pPr>
                        <w:r w:rsidRPr="0078378F">
                          <w:t>SFVS (incl. 4AP2)</w:t>
                        </w:r>
                      </w:p>
                    </w:tc>
                    <w:tc>
                      <w:tcPr>
                        <w:tcW w:w="1173" w:type="dxa"/>
                        <w:vMerge w:val="restart"/>
                        <w:noWrap/>
                        <w:hideMark/>
                      </w:tcPr>
                      <w:p w14:paraId="7450A3E3" w14:textId="77777777" w:rsidR="00703C0C" w:rsidRPr="0078378F" w:rsidRDefault="00703C0C" w:rsidP="00D63E8D">
                        <w:pPr>
                          <w:pStyle w:val="TableText"/>
                        </w:pPr>
                        <w:r w:rsidRPr="0078378F">
                          <w:t>Female</w:t>
                        </w:r>
                      </w:p>
                    </w:tc>
                    <w:tc>
                      <w:tcPr>
                        <w:tcW w:w="1825" w:type="dxa"/>
                        <w:noWrap/>
                        <w:hideMark/>
                      </w:tcPr>
                      <w:p w14:paraId="54AC366C" w14:textId="77777777" w:rsidR="00703C0C" w:rsidRPr="0078378F" w:rsidRDefault="00703C0C" w:rsidP="00D63E8D">
                        <w:pPr>
                          <w:pStyle w:val="TableText"/>
                        </w:pPr>
                        <w:r w:rsidRPr="0078378F">
                          <w:t>Circumstances</w:t>
                        </w:r>
                      </w:p>
                    </w:tc>
                    <w:tc>
                      <w:tcPr>
                        <w:tcW w:w="1172" w:type="dxa"/>
                        <w:noWrap/>
                        <w:hideMark/>
                      </w:tcPr>
                      <w:p w14:paraId="6DB0A9EB" w14:textId="77777777" w:rsidR="00703C0C" w:rsidRPr="00703C0C" w:rsidRDefault="00703C0C" w:rsidP="00D63E8D">
                        <w:pPr>
                          <w:pStyle w:val="TableText"/>
                        </w:pPr>
                        <w:r w:rsidRPr="00703C0C">
                          <w:t>2998</w:t>
                        </w:r>
                      </w:p>
                    </w:tc>
                    <w:tc>
                      <w:tcPr>
                        <w:tcW w:w="1434" w:type="dxa"/>
                        <w:noWrap/>
                        <w:hideMark/>
                      </w:tcPr>
                      <w:p w14:paraId="2D7390A9" w14:textId="77777777" w:rsidR="00703C0C" w:rsidRPr="00703C0C" w:rsidRDefault="00703C0C" w:rsidP="00D63E8D">
                        <w:pPr>
                          <w:pStyle w:val="TableText"/>
                        </w:pPr>
                        <w:r w:rsidRPr="00703C0C">
                          <w:t>0.98</w:t>
                        </w:r>
                      </w:p>
                    </w:tc>
                    <w:tc>
                      <w:tcPr>
                        <w:tcW w:w="2226" w:type="dxa"/>
                        <w:noWrap/>
                        <w:hideMark/>
                      </w:tcPr>
                      <w:p w14:paraId="458179A3" w14:textId="77777777" w:rsidR="00703C0C" w:rsidRPr="00703C0C" w:rsidRDefault="00703C0C" w:rsidP="00D63E8D">
                        <w:pPr>
                          <w:pStyle w:val="TableText"/>
                        </w:pPr>
                        <w:r w:rsidRPr="00703C0C">
                          <w:t>68.7% (n=2061)</w:t>
                        </w:r>
                      </w:p>
                    </w:tc>
                  </w:tr>
                  <w:tr w:rsidR="00703C0C" w:rsidRPr="00703C0C" w14:paraId="229610DD" w14:textId="77777777" w:rsidTr="00DE647E">
                    <w:trPr>
                      <w:trHeight w:val="303"/>
                    </w:trPr>
                    <w:tc>
                      <w:tcPr>
                        <w:tcW w:w="0" w:type="auto"/>
                        <w:vMerge/>
                        <w:hideMark/>
                      </w:tcPr>
                      <w:p w14:paraId="7085523B" w14:textId="77777777" w:rsidR="00703C0C" w:rsidRPr="0078378F" w:rsidRDefault="00703C0C" w:rsidP="00D63E8D">
                        <w:pPr>
                          <w:pStyle w:val="TableText"/>
                        </w:pPr>
                      </w:p>
                    </w:tc>
                    <w:tc>
                      <w:tcPr>
                        <w:tcW w:w="0" w:type="auto"/>
                        <w:vMerge/>
                        <w:hideMark/>
                      </w:tcPr>
                      <w:p w14:paraId="45B0840A" w14:textId="77777777" w:rsidR="00703C0C" w:rsidRPr="0078378F" w:rsidRDefault="00703C0C" w:rsidP="00D63E8D">
                        <w:pPr>
                          <w:pStyle w:val="TableText"/>
                        </w:pPr>
                      </w:p>
                    </w:tc>
                    <w:tc>
                      <w:tcPr>
                        <w:tcW w:w="1825" w:type="dxa"/>
                        <w:noWrap/>
                        <w:hideMark/>
                      </w:tcPr>
                      <w:p w14:paraId="1FC64EF9" w14:textId="77777777" w:rsidR="00703C0C" w:rsidRPr="0078378F" w:rsidRDefault="00703C0C" w:rsidP="00D63E8D">
                        <w:pPr>
                          <w:pStyle w:val="TableText"/>
                        </w:pPr>
                        <w:r w:rsidRPr="0078378F">
                          <w:t>Goals</w:t>
                        </w:r>
                      </w:p>
                    </w:tc>
                    <w:tc>
                      <w:tcPr>
                        <w:tcW w:w="1172" w:type="dxa"/>
                        <w:noWrap/>
                        <w:hideMark/>
                      </w:tcPr>
                      <w:p w14:paraId="15D06A0C" w14:textId="77777777" w:rsidR="00703C0C" w:rsidRPr="00703C0C" w:rsidRDefault="00703C0C" w:rsidP="00D63E8D">
                        <w:pPr>
                          <w:pStyle w:val="TableText"/>
                        </w:pPr>
                        <w:r w:rsidRPr="00703C0C">
                          <w:t>2877</w:t>
                        </w:r>
                      </w:p>
                    </w:tc>
                    <w:tc>
                      <w:tcPr>
                        <w:tcW w:w="1434" w:type="dxa"/>
                        <w:noWrap/>
                        <w:hideMark/>
                      </w:tcPr>
                      <w:p w14:paraId="7780FBB0" w14:textId="77777777" w:rsidR="00703C0C" w:rsidRPr="00703C0C" w:rsidRDefault="00703C0C" w:rsidP="00D63E8D">
                        <w:pPr>
                          <w:pStyle w:val="TableText"/>
                        </w:pPr>
                        <w:r w:rsidRPr="00703C0C">
                          <w:t>1.16</w:t>
                        </w:r>
                      </w:p>
                    </w:tc>
                    <w:tc>
                      <w:tcPr>
                        <w:tcW w:w="2226" w:type="dxa"/>
                        <w:noWrap/>
                        <w:hideMark/>
                      </w:tcPr>
                      <w:p w14:paraId="2A448B05" w14:textId="77777777" w:rsidR="00703C0C" w:rsidRPr="00703C0C" w:rsidRDefault="00703C0C" w:rsidP="00D63E8D">
                        <w:pPr>
                          <w:pStyle w:val="TableText"/>
                        </w:pPr>
                        <w:r w:rsidRPr="00703C0C">
                          <w:t>73.7% (n=2119)</w:t>
                        </w:r>
                      </w:p>
                    </w:tc>
                  </w:tr>
                  <w:tr w:rsidR="00703C0C" w:rsidRPr="00703C0C" w14:paraId="461EA28E" w14:textId="77777777" w:rsidTr="00DE647E">
                    <w:trPr>
                      <w:trHeight w:val="303"/>
                    </w:trPr>
                    <w:tc>
                      <w:tcPr>
                        <w:tcW w:w="0" w:type="auto"/>
                        <w:vMerge/>
                        <w:hideMark/>
                      </w:tcPr>
                      <w:p w14:paraId="7211C426" w14:textId="77777777" w:rsidR="00703C0C" w:rsidRPr="0078378F" w:rsidRDefault="00703C0C" w:rsidP="00D63E8D">
                        <w:pPr>
                          <w:pStyle w:val="TableText"/>
                        </w:pPr>
                      </w:p>
                    </w:tc>
                    <w:tc>
                      <w:tcPr>
                        <w:tcW w:w="1173" w:type="dxa"/>
                        <w:vMerge w:val="restart"/>
                        <w:noWrap/>
                        <w:hideMark/>
                      </w:tcPr>
                      <w:p w14:paraId="2E9EEC27" w14:textId="77777777" w:rsidR="00703C0C" w:rsidRPr="0078378F" w:rsidRDefault="00703C0C" w:rsidP="00D63E8D">
                        <w:pPr>
                          <w:pStyle w:val="TableText"/>
                        </w:pPr>
                        <w:r w:rsidRPr="0078378F">
                          <w:t>Male</w:t>
                        </w:r>
                      </w:p>
                    </w:tc>
                    <w:tc>
                      <w:tcPr>
                        <w:tcW w:w="1825" w:type="dxa"/>
                        <w:noWrap/>
                        <w:hideMark/>
                      </w:tcPr>
                      <w:p w14:paraId="21D661DF" w14:textId="77777777" w:rsidR="00703C0C" w:rsidRPr="0078378F" w:rsidRDefault="00703C0C" w:rsidP="00D63E8D">
                        <w:pPr>
                          <w:pStyle w:val="TableText"/>
                        </w:pPr>
                        <w:r w:rsidRPr="0078378F">
                          <w:t>Circumstances</w:t>
                        </w:r>
                      </w:p>
                    </w:tc>
                    <w:tc>
                      <w:tcPr>
                        <w:tcW w:w="1172" w:type="dxa"/>
                        <w:noWrap/>
                        <w:hideMark/>
                      </w:tcPr>
                      <w:p w14:paraId="3875695A" w14:textId="77777777" w:rsidR="00703C0C" w:rsidRPr="00703C0C" w:rsidRDefault="00703C0C" w:rsidP="00D63E8D">
                        <w:pPr>
                          <w:pStyle w:val="TableText"/>
                        </w:pPr>
                        <w:r w:rsidRPr="00703C0C">
                          <w:t>1252</w:t>
                        </w:r>
                      </w:p>
                    </w:tc>
                    <w:tc>
                      <w:tcPr>
                        <w:tcW w:w="1434" w:type="dxa"/>
                        <w:noWrap/>
                        <w:hideMark/>
                      </w:tcPr>
                      <w:p w14:paraId="0B576429" w14:textId="77777777" w:rsidR="00703C0C" w:rsidRPr="00703C0C" w:rsidRDefault="00703C0C" w:rsidP="00D63E8D">
                        <w:pPr>
                          <w:pStyle w:val="TableText"/>
                        </w:pPr>
                        <w:r w:rsidRPr="00703C0C">
                          <w:t>0.83</w:t>
                        </w:r>
                      </w:p>
                    </w:tc>
                    <w:tc>
                      <w:tcPr>
                        <w:tcW w:w="2226" w:type="dxa"/>
                        <w:noWrap/>
                        <w:hideMark/>
                      </w:tcPr>
                      <w:p w14:paraId="32AA30CB" w14:textId="77777777" w:rsidR="00703C0C" w:rsidRPr="00703C0C" w:rsidRDefault="00703C0C" w:rsidP="00D63E8D">
                        <w:pPr>
                          <w:pStyle w:val="TableText"/>
                        </w:pPr>
                        <w:r w:rsidRPr="00703C0C">
                          <w:t>61.0% (n=764)</w:t>
                        </w:r>
                      </w:p>
                    </w:tc>
                  </w:tr>
                  <w:tr w:rsidR="00703C0C" w:rsidRPr="00703C0C" w14:paraId="6BF0CA3E" w14:textId="77777777" w:rsidTr="00DE647E">
                    <w:trPr>
                      <w:trHeight w:val="303"/>
                    </w:trPr>
                    <w:tc>
                      <w:tcPr>
                        <w:tcW w:w="0" w:type="auto"/>
                        <w:vMerge/>
                        <w:hideMark/>
                      </w:tcPr>
                      <w:p w14:paraId="204EEE04" w14:textId="77777777" w:rsidR="00703C0C" w:rsidRPr="0078378F" w:rsidRDefault="00703C0C" w:rsidP="00D63E8D">
                        <w:pPr>
                          <w:pStyle w:val="TableText"/>
                        </w:pPr>
                      </w:p>
                    </w:tc>
                    <w:tc>
                      <w:tcPr>
                        <w:tcW w:w="0" w:type="auto"/>
                        <w:vMerge/>
                        <w:hideMark/>
                      </w:tcPr>
                      <w:p w14:paraId="0F0DCD6C" w14:textId="77777777" w:rsidR="00703C0C" w:rsidRPr="0078378F" w:rsidRDefault="00703C0C" w:rsidP="00D63E8D">
                        <w:pPr>
                          <w:pStyle w:val="TableText"/>
                        </w:pPr>
                      </w:p>
                    </w:tc>
                    <w:tc>
                      <w:tcPr>
                        <w:tcW w:w="1825" w:type="dxa"/>
                        <w:noWrap/>
                        <w:hideMark/>
                      </w:tcPr>
                      <w:p w14:paraId="1F8E6408" w14:textId="77777777" w:rsidR="00703C0C" w:rsidRPr="0078378F" w:rsidRDefault="00703C0C" w:rsidP="00D63E8D">
                        <w:pPr>
                          <w:pStyle w:val="TableText"/>
                        </w:pPr>
                        <w:r w:rsidRPr="0078378F">
                          <w:t>Goals</w:t>
                        </w:r>
                      </w:p>
                    </w:tc>
                    <w:tc>
                      <w:tcPr>
                        <w:tcW w:w="1172" w:type="dxa"/>
                        <w:noWrap/>
                        <w:hideMark/>
                      </w:tcPr>
                      <w:p w14:paraId="34A0386F" w14:textId="77777777" w:rsidR="00703C0C" w:rsidRPr="00703C0C" w:rsidRDefault="00703C0C" w:rsidP="00D63E8D">
                        <w:pPr>
                          <w:pStyle w:val="TableText"/>
                        </w:pPr>
                        <w:r w:rsidRPr="00703C0C">
                          <w:t>1306</w:t>
                        </w:r>
                      </w:p>
                    </w:tc>
                    <w:tc>
                      <w:tcPr>
                        <w:tcW w:w="1434" w:type="dxa"/>
                        <w:noWrap/>
                        <w:hideMark/>
                      </w:tcPr>
                      <w:p w14:paraId="01A1D6A4" w14:textId="77777777" w:rsidR="00703C0C" w:rsidRPr="00703C0C" w:rsidRDefault="00703C0C" w:rsidP="00D63E8D">
                        <w:pPr>
                          <w:pStyle w:val="TableText"/>
                        </w:pPr>
                        <w:r w:rsidRPr="00703C0C">
                          <w:t>0.96</w:t>
                        </w:r>
                      </w:p>
                    </w:tc>
                    <w:tc>
                      <w:tcPr>
                        <w:tcW w:w="2226" w:type="dxa"/>
                        <w:noWrap/>
                        <w:hideMark/>
                      </w:tcPr>
                      <w:p w14:paraId="38B3FCAA" w14:textId="77777777" w:rsidR="00703C0C" w:rsidRPr="00703C0C" w:rsidRDefault="00703C0C" w:rsidP="00D63E8D">
                        <w:pPr>
                          <w:pStyle w:val="TableText"/>
                        </w:pPr>
                        <w:r w:rsidRPr="00703C0C">
                          <w:t>64.6% (n=844)</w:t>
                        </w:r>
                      </w:p>
                    </w:tc>
                  </w:tr>
                </w:tbl>
                <w:p w14:paraId="2F1FCDDD" w14:textId="26238EB7" w:rsidR="004819FD" w:rsidRPr="007E5DF1" w:rsidRDefault="007E5DF1" w:rsidP="005674C7">
                  <w:pPr>
                    <w:pStyle w:val="Text"/>
                    <w:spacing w:after="120"/>
                    <w:rPr>
                      <w:i/>
                      <w:iCs/>
                      <w:sz w:val="20"/>
                      <w:szCs w:val="18"/>
                    </w:rPr>
                  </w:pPr>
                  <w:r w:rsidRPr="007E5DF1">
                    <w:rPr>
                      <w:i/>
                      <w:iCs/>
                      <w:sz w:val="20"/>
                      <w:szCs w:val="18"/>
                    </w:rPr>
                    <w:t>Source: DEX-SCORE data</w:t>
                  </w:r>
                </w:p>
                <w:p w14:paraId="51BECD3C" w14:textId="09345014" w:rsidR="00B81FB8" w:rsidRDefault="004819FD">
                  <w:r>
                    <w:br w:type="page"/>
                  </w:r>
                </w:p>
                <w:p w14:paraId="255598C2" w14:textId="77777777" w:rsidR="005A4BC1" w:rsidRDefault="005A4BC1" w:rsidP="005674C7">
                  <w:pPr>
                    <w:pStyle w:val="Text"/>
                    <w:spacing w:after="120"/>
                  </w:pPr>
                </w:p>
                <w:p w14:paraId="1532C2F2" w14:textId="53581C54" w:rsidR="00B87CC2" w:rsidRDefault="007E7355" w:rsidP="005674C7">
                  <w:pPr>
                    <w:pStyle w:val="Text"/>
                    <w:spacing w:after="120"/>
                  </w:pPr>
                  <w:r>
                    <w:rPr>
                      <w:noProof/>
                    </w:rPr>
                    <mc:AlternateContent>
                      <mc:Choice Requires="wps">
                        <w:drawing>
                          <wp:anchor distT="0" distB="0" distL="114300" distR="114300" simplePos="0" relativeHeight="251658267" behindDoc="0" locked="0" layoutInCell="1" allowOverlap="1" wp14:anchorId="76439648" wp14:editId="4876FA79">
                            <wp:simplePos x="0" y="0"/>
                            <wp:positionH relativeFrom="margin">
                              <wp:align>left</wp:align>
                            </wp:positionH>
                            <wp:positionV relativeFrom="paragraph">
                              <wp:posOffset>-265430</wp:posOffset>
                            </wp:positionV>
                            <wp:extent cx="6122670" cy="457200"/>
                            <wp:effectExtent l="0" t="0" r="0" b="0"/>
                            <wp:wrapNone/>
                            <wp:docPr id="243965745" name="Text Box 1" descr="P2876TB30#y1"/>
                            <wp:cNvGraphicFramePr/>
                            <a:graphic xmlns:a="http://schemas.openxmlformats.org/drawingml/2006/main">
                              <a:graphicData uri="http://schemas.microsoft.com/office/word/2010/wordprocessingShape">
                                <wps:wsp>
                                  <wps:cNvSpPr txBox="1"/>
                                  <wps:spPr>
                                    <a:xfrm>
                                      <a:off x="0" y="0"/>
                                      <a:ext cx="6122670" cy="457200"/>
                                    </a:xfrm>
                                    <a:prstGeom prst="rect">
                                      <a:avLst/>
                                    </a:prstGeom>
                                    <a:solidFill>
                                      <a:prstClr val="white"/>
                                    </a:solidFill>
                                    <a:ln>
                                      <a:noFill/>
                                    </a:ln>
                                  </wps:spPr>
                                  <wps:txbx>
                                    <w:txbxContent>
                                      <w:p w14:paraId="65FCA201" w14:textId="6A1C5A3B" w:rsidR="007E7355" w:rsidRPr="00127325" w:rsidRDefault="007E7355" w:rsidP="007E7355">
                                        <w:pPr>
                                          <w:pStyle w:val="Caption"/>
                                          <w:rPr>
                                            <w:noProof/>
                                            <w:sz w:val="21"/>
                                            <w:szCs w:val="21"/>
                                          </w:rPr>
                                        </w:pPr>
                                        <w:r w:rsidRPr="00127325">
                                          <w:rPr>
                                            <w:sz w:val="21"/>
                                            <w:szCs w:val="21"/>
                                          </w:rPr>
                                          <w:t xml:space="preserve">Figure </w:t>
                                        </w:r>
                                        <w:r w:rsidRPr="00127325">
                                          <w:rPr>
                                            <w:sz w:val="21"/>
                                            <w:szCs w:val="21"/>
                                          </w:rPr>
                                          <w:fldChar w:fldCharType="begin"/>
                                        </w:r>
                                        <w:r w:rsidRPr="00127325">
                                          <w:rPr>
                                            <w:sz w:val="21"/>
                                            <w:szCs w:val="21"/>
                                          </w:rPr>
                                          <w:instrText xml:space="preserve"> SEQ Figure \* ARABIC </w:instrText>
                                        </w:r>
                                        <w:r w:rsidRPr="00127325">
                                          <w:rPr>
                                            <w:sz w:val="21"/>
                                            <w:szCs w:val="21"/>
                                          </w:rPr>
                                          <w:fldChar w:fldCharType="separate"/>
                                        </w:r>
                                        <w:r w:rsidR="008D2566">
                                          <w:rPr>
                                            <w:noProof/>
                                            <w:sz w:val="21"/>
                                            <w:szCs w:val="21"/>
                                          </w:rPr>
                                          <w:t>37</w:t>
                                        </w:r>
                                        <w:r w:rsidRPr="00127325">
                                          <w:rPr>
                                            <w:sz w:val="21"/>
                                            <w:szCs w:val="21"/>
                                          </w:rPr>
                                          <w:fldChar w:fldCharType="end"/>
                                        </w:r>
                                        <w:r w:rsidRPr="00127325">
                                          <w:rPr>
                                            <w:sz w:val="21"/>
                                            <w:szCs w:val="21"/>
                                          </w:rPr>
                                          <w:t>: Earliest to latest SCORE changes within subjects, FaRS service users by gender, July 2021 to June 2024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76439648" id="Text Box 1" o:spid="_x0000_s1028" type="#_x0000_t202" alt="P2876TB30#y1" style="position:absolute;left:0;text-align:left;margin-left:0;margin-top:-20.9pt;width:482.1pt;height:36pt;z-index:251658267;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" stroked="f">
                            <v:textbox inset="0,0,0,0">
                              <w:txbxContent>
                                <w:p w14:paraId="65FCA201" w14:textId="6A1C5A3B" w:rsidR="007E7355" w:rsidRPr="00127325" w:rsidRDefault="007E7355" w:rsidP="007E7355">
                                  <w:pPr>
                                    <w:pStyle w:val="Caption"/>
                                    <w:rPr>
                                      <w:noProof/>
                                      <w:sz w:val="21"/>
                                      <w:szCs w:val="21"/>
                                    </w:rPr>
                                  </w:pPr>
                                  <w:r w:rsidRPr="00127325">
                                    <w:rPr>
                                      <w:sz w:val="21"/>
                                      <w:szCs w:val="21"/>
                                    </w:rPr>
                                    <w:t xml:space="preserve">Figure </w:t>
                                  </w:r>
                                  <w:r w:rsidRPr="00127325">
                                    <w:rPr>
                                      <w:sz w:val="21"/>
                                      <w:szCs w:val="21"/>
                                    </w:rPr>
                                    <w:fldChar w:fldCharType="begin"/>
                                  </w:r>
                                  <w:r w:rsidRPr="00127325">
                                    <w:rPr>
                                      <w:sz w:val="21"/>
                                      <w:szCs w:val="21"/>
                                    </w:rPr>
                                    <w:instrText xml:space="preserve"> SEQ Figure \* ARABIC </w:instrText>
                                  </w:r>
                                  <w:r w:rsidRPr="00127325">
                                    <w:rPr>
                                      <w:sz w:val="21"/>
                                      <w:szCs w:val="21"/>
                                    </w:rPr>
                                    <w:fldChar w:fldCharType="separate"/>
                                  </w:r>
                                  <w:r w:rsidR="008D2566">
                                    <w:rPr>
                                      <w:noProof/>
                                      <w:sz w:val="21"/>
                                      <w:szCs w:val="21"/>
                                    </w:rPr>
                                    <w:t>37</w:t>
                                  </w:r>
                                  <w:r w:rsidRPr="00127325">
                                    <w:rPr>
                                      <w:sz w:val="21"/>
                                      <w:szCs w:val="21"/>
                                    </w:rPr>
                                    <w:fldChar w:fldCharType="end"/>
                                  </w:r>
                                  <w:r w:rsidRPr="00127325">
                                    <w:rPr>
                                      <w:sz w:val="21"/>
                                      <w:szCs w:val="21"/>
                                    </w:rPr>
                                    <w:t>: Earliest to latest SCORE changes within subjects, FaRS service users by gender, July 2021 to June 2024</w:t>
                                  </w:r>
                                </w:p>
                              </w:txbxContent>
                            </v:textbox>
                            <w10:wrap anchorx="margin"/>
                          </v:shape>
                        </w:pict>
                      </mc:Fallback>
                    </mc:AlternateContent>
                  </w:r>
                  <w:r w:rsidR="00663AA6">
                    <w:rPr>
                      <w:noProof/>
                    </w:rPr>
                    <mc:AlternateContent>
                      <mc:Choice Requires="wpg">
                        <w:drawing>
                          <wp:anchor distT="0" distB="0" distL="114300" distR="114300" simplePos="0" relativeHeight="251658266" behindDoc="0" locked="0" layoutInCell="1" allowOverlap="1" wp14:anchorId="68BADECD" wp14:editId="0C00AA52">
                            <wp:simplePos x="0" y="0"/>
                            <wp:positionH relativeFrom="margin">
                              <wp:posOffset>47625</wp:posOffset>
                            </wp:positionH>
                            <wp:positionV relativeFrom="paragraph">
                              <wp:posOffset>258445</wp:posOffset>
                            </wp:positionV>
                            <wp:extent cx="6123175" cy="8241476"/>
                            <wp:effectExtent l="0" t="0" r="11430" b="7620"/>
                            <wp:wrapNone/>
                            <wp:docPr id="5" name="Group 4">
                              <a:extLst xmlns:a="http://schemas.openxmlformats.org/drawingml/2006/main">
                                <a:ext uri="{FF2B5EF4-FFF2-40B4-BE49-F238E27FC236}">
                                  <a16:creationId xmlns:a16="http://schemas.microsoft.com/office/drawing/2014/main" id="{EC2F5D45-DC2D-4773-A35B-426DEBF513DA}"/>
                                </a:ext>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123175" cy="8241476"/>
                                      <a:chOff x="0" y="0"/>
                                      <a:chExt cx="6123175" cy="5047299"/>
                                    </a:xfrm>
                                  </wpg:grpSpPr>
                                  <wpg:graphicFrame>
                                    <wpg:cNvPr id="1476249892" name="Chart 1476249892">
                                      <a:extLst>
                                        <a:ext uri="{FF2B5EF4-FFF2-40B4-BE49-F238E27FC236}">
                                          <a16:creationId xmlns:a16="http://schemas.microsoft.com/office/drawing/2014/main" id="{970A143A-B3F5-50DF-2744-EC032F34C06C}"/>
                                        </a:ext>
                                      </a:extLst>
                                    </wpg:cNvPr>
                                    <wpg:cNvFrPr>
                                      <a:graphicFrameLocks/>
                                    </wpg:cNvFrPr>
                                    <wpg:xfrm>
                                      <a:off x="0" y="0"/>
                                      <a:ext cx="6123175" cy="2516824"/>
                                    </wpg:xfrm>
                                    <a:graphic>
                                      <a:graphicData uri="http://schemas.openxmlformats.org/drawingml/2006/chart">
                                        <c:chart xmlns:c="http://schemas.openxmlformats.org/drawingml/2006/chart" xmlns:r="http://schemas.openxmlformats.org/officeDocument/2006/relationships" r:id="rId84"/>
                                      </a:graphicData>
                                    </a:graphic>
                                  </wpg:graphicFrame>
                                  <wpg:graphicFrame>
                                    <wpg:cNvPr id="1101043615" name="Chart 1101043615">
                                      <a:extLst>
                                        <a:ext uri="{FF2B5EF4-FFF2-40B4-BE49-F238E27FC236}">
                                          <a16:creationId xmlns:a16="http://schemas.microsoft.com/office/drawing/2014/main" id="{4212B359-9CC6-9100-8F64-B0F10A32C8EB}"/>
                                        </a:ext>
                                      </a:extLst>
                                    </wpg:cNvPr>
                                    <wpg:cNvFrPr>
                                      <a:graphicFrameLocks/>
                                    </wpg:cNvFrPr>
                                    <wpg:xfrm>
                                      <a:off x="1588" y="2533650"/>
                                      <a:ext cx="6120000" cy="2513649"/>
                                    </wpg:xfrm>
                                    <a:graphic>
                                      <a:graphicData uri="http://schemas.openxmlformats.org/drawingml/2006/chart">
                                        <c:chart xmlns:c="http://schemas.openxmlformats.org/drawingml/2006/chart" xmlns:r="http://schemas.openxmlformats.org/officeDocument/2006/relationships" r:id="rId85"/>
                                      </a:graphicData>
                                    </a:graphic>
                                  </wpg:graphicFrame>
                                </wpg:wgp>
                              </a:graphicData>
                            </a:graphic>
                            <wp14:sizeRelH relativeFrom="margin">
                              <wp14:pctWidth>0</wp14:pctWidth>
                            </wp14:sizeRelH>
                            <wp14:sizeRelV relativeFrom="margin">
                              <wp14:pctHeight>0</wp14:pctHeight>
                            </wp14:sizeRelV>
                          </wp:anchor>
                        </w:drawing>
                      </mc:Choice>
                      <mc:Fallback>
                        <w:pict>
                          <v:group w14:anchorId="5B17FD1E" id="Group 4" o:spid="_x0000_s1026" alt="&quot;&quot;" style="position:absolute;margin-left:3.75pt;margin-top:20.35pt;width:482.15pt;height:648.95pt;z-index:251658266;mso-position-horizontal-relative:margin;mso-width-relative:margin;mso-height-relative:margin" coordsize="61231,50472" o:gfxdata="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Chart 1476249892" o:spid="_x0000_s1027" type="#_x0000_t75" style="position:absolute;left:-60;top:-37;width:61324;height:2523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">
                              <v:imagedata r:id="rId86" o:title=""/>
                              <o:lock v:ext="edit" aspectratio="f"/>
                            </v:shape>
                            <v:shape id="Chart 1101043615" o:spid="_x0000_s1028" type="#_x0000_t75" style="position:absolute;left:-60;top:25312;width:61324;height:2520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">
                              <v:imagedata r:id="rId87" o:title=""/>
                              <o:lock v:ext="edit" aspectratio="f"/>
                            </v:shape>
                            <w10:wrap anchorx="margin"/>
                          </v:group>
                        </w:pict>
                      </mc:Fallback>
                    </mc:AlternateContent>
                  </w:r>
                </w:p>
                <w:p w14:paraId="7609D4AE" w14:textId="77777777" w:rsidR="005B31C6" w:rsidRDefault="005B31C6" w:rsidP="005674C7">
                  <w:pPr>
                    <w:pStyle w:val="Text"/>
                    <w:spacing w:after="120"/>
                  </w:pPr>
                </w:p>
                <w:p w14:paraId="5D3A1343" w14:textId="77777777" w:rsidR="005B31C6" w:rsidRDefault="005B31C6" w:rsidP="005674C7">
                  <w:pPr>
                    <w:pStyle w:val="Text"/>
                    <w:spacing w:after="120"/>
                  </w:pPr>
                </w:p>
                <w:p w14:paraId="17A2F7F9" w14:textId="77777777" w:rsidR="005B31C6" w:rsidRDefault="005B31C6" w:rsidP="005674C7">
                  <w:pPr>
                    <w:pStyle w:val="Text"/>
                    <w:spacing w:after="120"/>
                  </w:pPr>
                </w:p>
                <w:p w14:paraId="125C3CA7" w14:textId="77777777" w:rsidR="005B31C6" w:rsidRDefault="005B31C6" w:rsidP="005674C7">
                  <w:pPr>
                    <w:pStyle w:val="Text"/>
                    <w:spacing w:after="120"/>
                  </w:pPr>
                </w:p>
                <w:p w14:paraId="58566865" w14:textId="77777777" w:rsidR="005B31C6" w:rsidRDefault="005B31C6" w:rsidP="005674C7">
                  <w:pPr>
                    <w:pStyle w:val="Text"/>
                    <w:spacing w:after="120"/>
                  </w:pPr>
                </w:p>
                <w:p w14:paraId="5E8C3673" w14:textId="77777777" w:rsidR="005B31C6" w:rsidRDefault="005B31C6" w:rsidP="005674C7">
                  <w:pPr>
                    <w:pStyle w:val="Text"/>
                    <w:spacing w:after="120"/>
                  </w:pPr>
                </w:p>
                <w:p w14:paraId="79941E7E" w14:textId="77777777" w:rsidR="005B31C6" w:rsidRDefault="005B31C6" w:rsidP="005674C7">
                  <w:pPr>
                    <w:pStyle w:val="Text"/>
                    <w:spacing w:after="120"/>
                  </w:pPr>
                </w:p>
                <w:p w14:paraId="634B0BCE" w14:textId="77777777" w:rsidR="005B31C6" w:rsidRDefault="005B31C6" w:rsidP="005674C7">
                  <w:pPr>
                    <w:pStyle w:val="Text"/>
                    <w:spacing w:after="120"/>
                  </w:pPr>
                </w:p>
                <w:p w14:paraId="0D8DA98B" w14:textId="77777777" w:rsidR="005B31C6" w:rsidRDefault="005B31C6" w:rsidP="005674C7">
                  <w:pPr>
                    <w:pStyle w:val="Text"/>
                    <w:spacing w:after="120"/>
                  </w:pPr>
                </w:p>
                <w:p w14:paraId="422F3535" w14:textId="77777777" w:rsidR="005B31C6" w:rsidRDefault="005B31C6" w:rsidP="005674C7">
                  <w:pPr>
                    <w:pStyle w:val="Text"/>
                    <w:spacing w:after="120"/>
                  </w:pPr>
                </w:p>
                <w:p w14:paraId="26A3AD93" w14:textId="77777777" w:rsidR="00663AA6" w:rsidRDefault="00663AA6" w:rsidP="005674C7">
                  <w:pPr>
                    <w:pStyle w:val="Text"/>
                    <w:spacing w:after="120"/>
                  </w:pPr>
                </w:p>
                <w:p w14:paraId="036DA150" w14:textId="77777777" w:rsidR="00663AA6" w:rsidRDefault="00663AA6" w:rsidP="005674C7">
                  <w:pPr>
                    <w:pStyle w:val="Text"/>
                    <w:spacing w:after="120"/>
                  </w:pPr>
                </w:p>
                <w:p w14:paraId="5D915426" w14:textId="77777777" w:rsidR="00663AA6" w:rsidRDefault="00663AA6" w:rsidP="005674C7">
                  <w:pPr>
                    <w:pStyle w:val="Text"/>
                    <w:spacing w:after="120"/>
                  </w:pPr>
                </w:p>
                <w:p w14:paraId="20553699" w14:textId="77777777" w:rsidR="00663AA6" w:rsidRDefault="00663AA6" w:rsidP="005674C7">
                  <w:pPr>
                    <w:pStyle w:val="Text"/>
                    <w:spacing w:after="120"/>
                  </w:pPr>
                </w:p>
                <w:p w14:paraId="588EDE65" w14:textId="77777777" w:rsidR="00663AA6" w:rsidRDefault="00663AA6" w:rsidP="005674C7">
                  <w:pPr>
                    <w:pStyle w:val="Text"/>
                    <w:spacing w:after="120"/>
                  </w:pPr>
                </w:p>
                <w:p w14:paraId="3F6FDF58" w14:textId="77777777" w:rsidR="00663AA6" w:rsidRDefault="00663AA6" w:rsidP="005674C7">
                  <w:pPr>
                    <w:pStyle w:val="Text"/>
                    <w:spacing w:after="120"/>
                  </w:pPr>
                </w:p>
                <w:p w14:paraId="18EEAD2F" w14:textId="77777777" w:rsidR="00663AA6" w:rsidRDefault="00663AA6" w:rsidP="005674C7">
                  <w:pPr>
                    <w:pStyle w:val="Text"/>
                    <w:spacing w:after="120"/>
                  </w:pPr>
                </w:p>
                <w:p w14:paraId="3D21FC91" w14:textId="77777777" w:rsidR="00663AA6" w:rsidRDefault="00663AA6" w:rsidP="005674C7">
                  <w:pPr>
                    <w:pStyle w:val="Text"/>
                    <w:spacing w:after="120"/>
                  </w:pPr>
                </w:p>
                <w:p w14:paraId="310D5487" w14:textId="77777777" w:rsidR="00663AA6" w:rsidRDefault="00663AA6" w:rsidP="005674C7">
                  <w:pPr>
                    <w:pStyle w:val="Text"/>
                    <w:spacing w:after="120"/>
                  </w:pPr>
                </w:p>
                <w:p w14:paraId="61CED400" w14:textId="77777777" w:rsidR="00663AA6" w:rsidRDefault="00663AA6" w:rsidP="005674C7">
                  <w:pPr>
                    <w:pStyle w:val="Text"/>
                    <w:spacing w:after="120"/>
                  </w:pPr>
                </w:p>
                <w:p w14:paraId="0523A2AC" w14:textId="77777777" w:rsidR="00663AA6" w:rsidRDefault="00663AA6" w:rsidP="005674C7">
                  <w:pPr>
                    <w:pStyle w:val="Text"/>
                    <w:spacing w:after="120"/>
                  </w:pPr>
                </w:p>
                <w:p w14:paraId="63DE143A" w14:textId="77777777" w:rsidR="00663AA6" w:rsidRDefault="00663AA6" w:rsidP="005674C7">
                  <w:pPr>
                    <w:pStyle w:val="Text"/>
                    <w:spacing w:after="120"/>
                  </w:pPr>
                </w:p>
                <w:p w14:paraId="7169723E" w14:textId="77777777" w:rsidR="00663AA6" w:rsidRDefault="00663AA6" w:rsidP="005674C7">
                  <w:pPr>
                    <w:pStyle w:val="Text"/>
                    <w:spacing w:after="120"/>
                  </w:pPr>
                </w:p>
                <w:p w14:paraId="30720083" w14:textId="77777777" w:rsidR="00663AA6" w:rsidRDefault="00663AA6" w:rsidP="005674C7">
                  <w:pPr>
                    <w:pStyle w:val="Text"/>
                    <w:spacing w:after="120"/>
                  </w:pPr>
                </w:p>
                <w:p w14:paraId="7BF8B944" w14:textId="77777777" w:rsidR="00663AA6" w:rsidRDefault="00663AA6" w:rsidP="005674C7">
                  <w:pPr>
                    <w:pStyle w:val="Text"/>
                    <w:spacing w:after="120"/>
                  </w:pPr>
                </w:p>
                <w:p w14:paraId="62B9BA18" w14:textId="77777777" w:rsidR="00663AA6" w:rsidRDefault="00663AA6" w:rsidP="005674C7">
                  <w:pPr>
                    <w:pStyle w:val="Text"/>
                    <w:spacing w:after="120"/>
                  </w:pPr>
                </w:p>
                <w:p w14:paraId="29304A35" w14:textId="77777777" w:rsidR="00663AA6" w:rsidRDefault="00663AA6" w:rsidP="005674C7">
                  <w:pPr>
                    <w:pStyle w:val="Text"/>
                    <w:spacing w:after="120"/>
                  </w:pPr>
                </w:p>
                <w:p w14:paraId="131D075E" w14:textId="77777777" w:rsidR="00663AA6" w:rsidRDefault="00663AA6" w:rsidP="005674C7">
                  <w:pPr>
                    <w:pStyle w:val="Text"/>
                    <w:spacing w:after="120"/>
                  </w:pPr>
                </w:p>
                <w:p w14:paraId="60F66D41" w14:textId="77777777" w:rsidR="005B31C6" w:rsidRDefault="005B31C6" w:rsidP="00556585">
                  <w:pPr>
                    <w:pStyle w:val="TableFigure-Header"/>
                    <w:jc w:val="both"/>
                    <w:rPr>
                      <w:lang w:val="en-NZ"/>
                    </w:rPr>
                  </w:pPr>
                </w:p>
                <w:p w14:paraId="2F94E51B" w14:textId="77777777" w:rsidR="005B31C6" w:rsidRDefault="005B31C6" w:rsidP="00556585">
                  <w:pPr>
                    <w:pStyle w:val="TableFigure-Header"/>
                    <w:jc w:val="both"/>
                    <w:rPr>
                      <w:lang w:val="en-NZ"/>
                    </w:rPr>
                  </w:pPr>
                </w:p>
                <w:p w14:paraId="169BABD7" w14:textId="77777777" w:rsidR="005B31C6" w:rsidRDefault="005B31C6" w:rsidP="00556585">
                  <w:pPr>
                    <w:pStyle w:val="TableFigure-Header"/>
                    <w:jc w:val="both"/>
                    <w:rPr>
                      <w:lang w:val="en-NZ"/>
                    </w:rPr>
                  </w:pPr>
                </w:p>
                <w:p w14:paraId="55AAF555" w14:textId="77777777" w:rsidR="007E7355" w:rsidRDefault="007E7355" w:rsidP="00556585">
                  <w:pPr>
                    <w:pStyle w:val="TableFigure-Header"/>
                    <w:jc w:val="both"/>
                    <w:rPr>
                      <w:lang w:val="en-NZ"/>
                    </w:rPr>
                  </w:pPr>
                </w:p>
                <w:p w14:paraId="0C2E11CF" w14:textId="77777777" w:rsidR="007E7355" w:rsidRDefault="007E7355" w:rsidP="00556585">
                  <w:pPr>
                    <w:pStyle w:val="TableFigure-Header"/>
                    <w:jc w:val="both"/>
                    <w:rPr>
                      <w:lang w:val="en-NZ"/>
                    </w:rPr>
                  </w:pPr>
                </w:p>
                <w:p w14:paraId="13E505F8" w14:textId="626F4743" w:rsidR="00556585" w:rsidRDefault="00556585" w:rsidP="00253034">
                  <w:pPr>
                    <w:pStyle w:val="TableFigure-Header"/>
                    <w:spacing w:line="276" w:lineRule="auto"/>
                    <w:jc w:val="both"/>
                    <w:rPr>
                      <w:lang w:val="en-NZ"/>
                    </w:rPr>
                  </w:pPr>
                  <w:r w:rsidRPr="4747A340">
                    <w:rPr>
                      <w:lang w:val="en-NZ"/>
                    </w:rPr>
                    <w:lastRenderedPageBreak/>
                    <w:t xml:space="preserve">Table </w:t>
                  </w:r>
                  <w:r w:rsidR="008D2566">
                    <w:fldChar w:fldCharType="begin"/>
                  </w:r>
                  <w:r w:rsidR="008D2566">
                    <w:instrText xml:space="preserve"> SEQ Table \* ARABIC </w:instrText>
                  </w:r>
                  <w:r w:rsidR="008D2566">
                    <w:fldChar w:fldCharType="separate"/>
                  </w:r>
                  <w:r w:rsidR="008D2566">
                    <w:rPr>
                      <w:noProof/>
                    </w:rPr>
                    <w:t>30</w:t>
                  </w:r>
                  <w:r w:rsidR="008D2566">
                    <w:rPr>
                      <w:noProof/>
                    </w:rPr>
                    <w:fldChar w:fldCharType="end"/>
                  </w:r>
                  <w:r w:rsidRPr="4747A340">
                    <w:rPr>
                      <w:lang w:val="en-NZ"/>
                    </w:rPr>
                    <w:t xml:space="preserve">: Percentage of </w:t>
                  </w:r>
                  <w:r w:rsidR="000A1AD2">
                    <w:rPr>
                      <w:lang w:val="en-NZ"/>
                    </w:rPr>
                    <w:t xml:space="preserve">service users with </w:t>
                  </w:r>
                  <w:r w:rsidRPr="4747A340">
                    <w:rPr>
                      <w:lang w:val="en-NZ"/>
                    </w:rPr>
                    <w:t xml:space="preserve">positive SCORE change for specific Circumstance and Goal domains, FaRS service users by gender – </w:t>
                  </w:r>
                  <w:r w:rsidR="00F700B9" w:rsidRPr="4747A340">
                    <w:rPr>
                      <w:lang w:val="en-NZ"/>
                    </w:rPr>
                    <w:t>fe</w:t>
                  </w:r>
                  <w:r w:rsidRPr="4747A340">
                    <w:rPr>
                      <w:lang w:val="en-NZ"/>
                    </w:rPr>
                    <w:t xml:space="preserve">male, July 2021 to </w:t>
                  </w:r>
                  <w:r w:rsidR="1F4DEF7C" w:rsidRPr="39ABC2BC">
                    <w:rPr>
                      <w:lang w:val="en-NZ"/>
                    </w:rPr>
                    <w:t xml:space="preserve">June </w:t>
                  </w:r>
                  <w:r w:rsidRPr="4747A340">
                    <w:rPr>
                      <w:lang w:val="en-NZ"/>
                    </w:rPr>
                    <w:t>2024</w:t>
                  </w:r>
                </w:p>
                <w:tbl>
                  <w:tblPr>
                    <w:tblStyle w:val="TableGrid3"/>
                    <w:tblW w:w="5000" w:type="pct"/>
                    <w:tblLayout w:type="fixed"/>
                    <w:tblLook w:val="04A0" w:firstRow="1" w:lastRow="0" w:firstColumn="1" w:lastColumn="0" w:noHBand="0" w:noVBand="1"/>
                  </w:tblPr>
                  <w:tblGrid>
                    <w:gridCol w:w="1697"/>
                    <w:gridCol w:w="3826"/>
                    <w:gridCol w:w="3496"/>
                  </w:tblGrid>
                  <w:tr w:rsidR="00556585" w:rsidRPr="00036888" w14:paraId="23F311A2" w14:textId="77777777">
                    <w:trPr>
                      <w:trHeight w:val="298"/>
                    </w:trPr>
                    <w:tc>
                      <w:tcPr>
                        <w:tcW w:w="941" w:type="pct"/>
                        <w:shd w:val="clear" w:color="auto" w:fill="007E00" w:themeFill="accent3"/>
                        <w:noWrap/>
                        <w:hideMark/>
                      </w:tcPr>
                      <w:p w14:paraId="5422B370" w14:textId="77777777" w:rsidR="00556585" w:rsidRPr="00F6254E" w:rsidRDefault="00556585">
                        <w:pPr>
                          <w:pStyle w:val="TableText"/>
                          <w:rPr>
                            <w:b/>
                            <w:bCs/>
                            <w:color w:val="FFFFFF" w:themeColor="background1"/>
                          </w:rPr>
                        </w:pPr>
                        <w:r w:rsidRPr="00F6254E">
                          <w:rPr>
                            <w:b/>
                            <w:bCs/>
                            <w:color w:val="FFFFFF" w:themeColor="background1"/>
                          </w:rPr>
                          <w:t>Outcome Type</w:t>
                        </w:r>
                      </w:p>
                    </w:tc>
                    <w:tc>
                      <w:tcPr>
                        <w:tcW w:w="2121" w:type="pct"/>
                        <w:shd w:val="clear" w:color="auto" w:fill="007E00" w:themeFill="accent3"/>
                      </w:tcPr>
                      <w:p w14:paraId="524AC04E" w14:textId="77777777" w:rsidR="00556585" w:rsidRDefault="00556585">
                        <w:pPr>
                          <w:pStyle w:val="TableText"/>
                          <w:rPr>
                            <w:b/>
                            <w:bCs/>
                            <w:color w:val="FFFFFF" w:themeColor="background1"/>
                          </w:rPr>
                        </w:pPr>
                        <w:r>
                          <w:rPr>
                            <w:b/>
                            <w:bCs/>
                            <w:color w:val="FFFFFF" w:themeColor="background1"/>
                          </w:rPr>
                          <w:t>Domain description</w:t>
                        </w:r>
                      </w:p>
                    </w:tc>
                    <w:tc>
                      <w:tcPr>
                        <w:tcW w:w="1938" w:type="pct"/>
                        <w:shd w:val="clear" w:color="auto" w:fill="007E00" w:themeFill="accent3"/>
                        <w:noWrap/>
                        <w:hideMark/>
                      </w:tcPr>
                      <w:p w14:paraId="18C04A67" w14:textId="77777777" w:rsidR="00556585" w:rsidRPr="00F6254E" w:rsidRDefault="00556585">
                        <w:pPr>
                          <w:pStyle w:val="TableText"/>
                          <w:rPr>
                            <w:b/>
                            <w:bCs/>
                            <w:color w:val="FFFFFF" w:themeColor="background1"/>
                          </w:rPr>
                        </w:pPr>
                        <w:r>
                          <w:rPr>
                            <w:b/>
                            <w:bCs/>
                            <w:color w:val="FFFFFF" w:themeColor="background1"/>
                          </w:rPr>
                          <w:t xml:space="preserve">Service users </w:t>
                        </w:r>
                        <w:r w:rsidRPr="00F6254E">
                          <w:rPr>
                            <w:b/>
                            <w:bCs/>
                            <w:color w:val="FFFFFF" w:themeColor="background1"/>
                          </w:rPr>
                          <w:t>with positive mean change (%, n</w:t>
                        </w:r>
                        <w:r>
                          <w:rPr>
                            <w:b/>
                            <w:bCs/>
                            <w:color w:val="FFFFFF" w:themeColor="background1"/>
                          </w:rPr>
                          <w:t>=</w:t>
                        </w:r>
                        <w:r w:rsidRPr="00F6254E">
                          <w:rPr>
                            <w:b/>
                            <w:bCs/>
                            <w:color w:val="FFFFFF" w:themeColor="background1"/>
                          </w:rPr>
                          <w:t>)</w:t>
                        </w:r>
                      </w:p>
                    </w:tc>
                  </w:tr>
                  <w:tr w:rsidR="00D37674" w:rsidRPr="00036888" w14:paraId="78AE3310" w14:textId="77777777" w:rsidTr="00321BC5">
                    <w:trPr>
                      <w:trHeight w:val="298"/>
                    </w:trPr>
                    <w:tc>
                      <w:tcPr>
                        <w:tcW w:w="941" w:type="pct"/>
                        <w:vMerge w:val="restart"/>
                        <w:noWrap/>
                        <w:hideMark/>
                      </w:tcPr>
                      <w:p w14:paraId="3EF840E1" w14:textId="77777777" w:rsidR="00D37674" w:rsidRPr="008D0F42" w:rsidRDefault="00D37674" w:rsidP="00D37674">
                        <w:pPr>
                          <w:pStyle w:val="TableText"/>
                        </w:pPr>
                        <w:r w:rsidRPr="008D0F42">
                          <w:t>Circumstances</w:t>
                        </w:r>
                      </w:p>
                    </w:tc>
                    <w:tc>
                      <w:tcPr>
                        <w:tcW w:w="2121" w:type="pct"/>
                      </w:tcPr>
                      <w:p w14:paraId="54DDC716" w14:textId="77777777" w:rsidR="00D37674" w:rsidRPr="008D0F42" w:rsidRDefault="00D37674" w:rsidP="00D37674">
                        <w:pPr>
                          <w:pStyle w:val="TableText"/>
                        </w:pPr>
                        <w:r w:rsidRPr="008D0F42">
                          <w:t>Family functioning</w:t>
                        </w:r>
                      </w:p>
                    </w:tc>
                    <w:tc>
                      <w:tcPr>
                        <w:tcW w:w="1938" w:type="pct"/>
                        <w:noWrap/>
                        <w:vAlign w:val="center"/>
                        <w:hideMark/>
                      </w:tcPr>
                      <w:p w14:paraId="5B2B7E8B" w14:textId="76744F12" w:rsidR="00D37674" w:rsidRPr="00D37674" w:rsidRDefault="00D37674" w:rsidP="00D37674">
                        <w:pPr>
                          <w:pStyle w:val="TableText"/>
                        </w:pPr>
                        <w:r w:rsidRPr="00DE647E">
                          <w:t>55.4% (n=13</w:t>
                        </w:r>
                        <w:r>
                          <w:t>,</w:t>
                        </w:r>
                        <w:r w:rsidRPr="00DE647E">
                          <w:t>483)</w:t>
                        </w:r>
                      </w:p>
                    </w:tc>
                  </w:tr>
                  <w:tr w:rsidR="00556585" w:rsidRPr="00036888" w14:paraId="324FAA13" w14:textId="77777777" w:rsidTr="00321BC5">
                    <w:trPr>
                      <w:trHeight w:val="298"/>
                    </w:trPr>
                    <w:tc>
                      <w:tcPr>
                        <w:tcW w:w="941" w:type="pct"/>
                        <w:vMerge/>
                        <w:noWrap/>
                      </w:tcPr>
                      <w:p w14:paraId="297E171B" w14:textId="77777777" w:rsidR="00556585" w:rsidRPr="008D0F42" w:rsidRDefault="00556585">
                        <w:pPr>
                          <w:pStyle w:val="TableText"/>
                        </w:pPr>
                      </w:p>
                    </w:tc>
                    <w:tc>
                      <w:tcPr>
                        <w:tcW w:w="2121" w:type="pct"/>
                      </w:tcPr>
                      <w:p w14:paraId="65492CDD" w14:textId="77777777" w:rsidR="00556585" w:rsidRPr="008D0F42" w:rsidRDefault="00556585">
                        <w:pPr>
                          <w:pStyle w:val="TableText"/>
                        </w:pPr>
                        <w:r w:rsidRPr="3DEE28EC">
                          <w:rPr>
                            <w:lang w:val="en-NZ"/>
                          </w:rPr>
                          <w:t>Mental health, wellbeing and self-care</w:t>
                        </w:r>
                      </w:p>
                    </w:tc>
                    <w:tc>
                      <w:tcPr>
                        <w:tcW w:w="1938" w:type="pct"/>
                        <w:noWrap/>
                        <w:vAlign w:val="center"/>
                      </w:tcPr>
                      <w:p w14:paraId="434B141E" w14:textId="38E58B51" w:rsidR="00556585" w:rsidRPr="008D0F42" w:rsidRDefault="00D37674">
                        <w:pPr>
                          <w:pStyle w:val="TableText"/>
                        </w:pPr>
                        <w:r w:rsidRPr="00DE647E">
                          <w:t>56.6</w:t>
                        </w:r>
                        <w:r w:rsidR="00556585" w:rsidRPr="002C41D4">
                          <w:t>% (n=</w:t>
                        </w:r>
                        <w:r w:rsidRPr="00DE647E">
                          <w:t>12</w:t>
                        </w:r>
                        <w:r>
                          <w:t>,</w:t>
                        </w:r>
                        <w:r w:rsidRPr="00DE647E">
                          <w:t>774</w:t>
                        </w:r>
                        <w:r w:rsidR="00556585" w:rsidRPr="002C41D4">
                          <w:t>)</w:t>
                        </w:r>
                      </w:p>
                    </w:tc>
                  </w:tr>
                  <w:tr w:rsidR="00556585" w:rsidRPr="00036888" w14:paraId="05590FD5" w14:textId="77777777" w:rsidTr="00321BC5">
                    <w:trPr>
                      <w:trHeight w:val="298"/>
                    </w:trPr>
                    <w:tc>
                      <w:tcPr>
                        <w:tcW w:w="941" w:type="pct"/>
                        <w:vMerge/>
                        <w:noWrap/>
                      </w:tcPr>
                      <w:p w14:paraId="353C7950" w14:textId="77777777" w:rsidR="00556585" w:rsidRPr="008D0F42" w:rsidRDefault="00556585">
                        <w:pPr>
                          <w:pStyle w:val="TableText"/>
                        </w:pPr>
                      </w:p>
                    </w:tc>
                    <w:tc>
                      <w:tcPr>
                        <w:tcW w:w="2121" w:type="pct"/>
                      </w:tcPr>
                      <w:p w14:paraId="6C06C6CE" w14:textId="77777777" w:rsidR="00556585" w:rsidRPr="008D0F42" w:rsidRDefault="00556585">
                        <w:pPr>
                          <w:pStyle w:val="TableText"/>
                        </w:pPr>
                        <w:r w:rsidRPr="008D0F42">
                          <w:t>Personal and family safety</w:t>
                        </w:r>
                      </w:p>
                    </w:tc>
                    <w:tc>
                      <w:tcPr>
                        <w:tcW w:w="1938" w:type="pct"/>
                        <w:noWrap/>
                        <w:vAlign w:val="center"/>
                      </w:tcPr>
                      <w:p w14:paraId="5B05B762" w14:textId="22080C3E" w:rsidR="00556585" w:rsidRPr="008D0F42" w:rsidRDefault="00D37674">
                        <w:pPr>
                          <w:pStyle w:val="TableText"/>
                        </w:pPr>
                        <w:r w:rsidRPr="00DE647E">
                          <w:t>45.5</w:t>
                        </w:r>
                        <w:r w:rsidR="00556585" w:rsidRPr="002C41D4">
                          <w:t>% (n=</w:t>
                        </w:r>
                        <w:r w:rsidRPr="00DE647E">
                          <w:t>6</w:t>
                        </w:r>
                        <w:r>
                          <w:t>,</w:t>
                        </w:r>
                        <w:r w:rsidRPr="00DE647E">
                          <w:t>833</w:t>
                        </w:r>
                        <w:r w:rsidR="00556585" w:rsidRPr="002C41D4">
                          <w:t>)</w:t>
                        </w:r>
                      </w:p>
                    </w:tc>
                  </w:tr>
                  <w:tr w:rsidR="00556585" w:rsidRPr="00036888" w14:paraId="1CEA460B" w14:textId="77777777" w:rsidTr="00321BC5">
                    <w:trPr>
                      <w:trHeight w:val="298"/>
                    </w:trPr>
                    <w:tc>
                      <w:tcPr>
                        <w:tcW w:w="941" w:type="pct"/>
                        <w:vMerge w:val="restart"/>
                        <w:noWrap/>
                      </w:tcPr>
                      <w:p w14:paraId="44C12111" w14:textId="77777777" w:rsidR="00556585" w:rsidRPr="008D0F42" w:rsidRDefault="00556585">
                        <w:pPr>
                          <w:pStyle w:val="TableText"/>
                        </w:pPr>
                        <w:r w:rsidRPr="008D0F42">
                          <w:t>Goals</w:t>
                        </w:r>
                      </w:p>
                    </w:tc>
                    <w:tc>
                      <w:tcPr>
                        <w:tcW w:w="2121" w:type="pct"/>
                      </w:tcPr>
                      <w:p w14:paraId="401E55FA" w14:textId="77777777" w:rsidR="00556585" w:rsidRPr="008D0F42" w:rsidRDefault="00556585">
                        <w:pPr>
                          <w:pStyle w:val="TableText"/>
                        </w:pPr>
                        <w:r w:rsidRPr="00D63E8D">
                          <w:t>Changed behaviours</w:t>
                        </w:r>
                      </w:p>
                    </w:tc>
                    <w:tc>
                      <w:tcPr>
                        <w:tcW w:w="1938" w:type="pct"/>
                        <w:noWrap/>
                        <w:vAlign w:val="center"/>
                      </w:tcPr>
                      <w:p w14:paraId="66D538A0" w14:textId="6A153FB4" w:rsidR="00556585" w:rsidRPr="008D0F42" w:rsidRDefault="00D37674">
                        <w:pPr>
                          <w:pStyle w:val="TableText"/>
                        </w:pPr>
                        <w:r w:rsidRPr="00DE647E">
                          <w:t>65.5</w:t>
                        </w:r>
                        <w:r w:rsidR="00556585" w:rsidRPr="002C41D4">
                          <w:t>% (n=</w:t>
                        </w:r>
                        <w:r w:rsidRPr="00DE647E">
                          <w:t>10</w:t>
                        </w:r>
                        <w:r>
                          <w:t>,</w:t>
                        </w:r>
                        <w:r w:rsidRPr="00DE647E">
                          <w:t>285</w:t>
                        </w:r>
                        <w:r w:rsidR="00556585" w:rsidRPr="002C41D4">
                          <w:t>)</w:t>
                        </w:r>
                      </w:p>
                    </w:tc>
                  </w:tr>
                  <w:tr w:rsidR="00556585" w:rsidRPr="00036888" w14:paraId="183758C3" w14:textId="77777777" w:rsidTr="00321BC5">
                    <w:trPr>
                      <w:trHeight w:val="298"/>
                    </w:trPr>
                    <w:tc>
                      <w:tcPr>
                        <w:tcW w:w="941" w:type="pct"/>
                        <w:vMerge/>
                        <w:noWrap/>
                      </w:tcPr>
                      <w:p w14:paraId="628DC765" w14:textId="77777777" w:rsidR="00556585" w:rsidRPr="008D0F42" w:rsidRDefault="00556585">
                        <w:pPr>
                          <w:pStyle w:val="TableText"/>
                        </w:pPr>
                      </w:p>
                    </w:tc>
                    <w:tc>
                      <w:tcPr>
                        <w:tcW w:w="2121" w:type="pct"/>
                      </w:tcPr>
                      <w:p w14:paraId="74275EC1" w14:textId="77777777" w:rsidR="00556585" w:rsidRPr="008D0F42" w:rsidRDefault="00556585">
                        <w:pPr>
                          <w:pStyle w:val="TableText"/>
                        </w:pPr>
                        <w:r w:rsidRPr="00D63E8D">
                          <w:t>Changed impact of immediate crisis</w:t>
                        </w:r>
                      </w:p>
                    </w:tc>
                    <w:tc>
                      <w:tcPr>
                        <w:tcW w:w="1938" w:type="pct"/>
                        <w:noWrap/>
                        <w:vAlign w:val="center"/>
                      </w:tcPr>
                      <w:p w14:paraId="256B15FD" w14:textId="75AB3E0F" w:rsidR="00556585" w:rsidRPr="008D0F42" w:rsidRDefault="00D37674">
                        <w:pPr>
                          <w:pStyle w:val="TableText"/>
                        </w:pPr>
                        <w:r w:rsidRPr="00DE647E">
                          <w:t>65.3</w:t>
                        </w:r>
                        <w:r w:rsidR="00556585" w:rsidRPr="002C41D4">
                          <w:t>% (n=</w:t>
                        </w:r>
                        <w:r w:rsidRPr="00DE647E">
                          <w:t>5</w:t>
                        </w:r>
                        <w:r>
                          <w:t>,</w:t>
                        </w:r>
                        <w:r w:rsidRPr="00DE647E">
                          <w:t>335</w:t>
                        </w:r>
                        <w:r w:rsidR="00556585" w:rsidRPr="002C41D4">
                          <w:t>)</w:t>
                        </w:r>
                      </w:p>
                    </w:tc>
                  </w:tr>
                  <w:tr w:rsidR="00556585" w:rsidRPr="00036888" w14:paraId="0290346A" w14:textId="77777777" w:rsidTr="00321BC5">
                    <w:trPr>
                      <w:trHeight w:val="298"/>
                    </w:trPr>
                    <w:tc>
                      <w:tcPr>
                        <w:tcW w:w="941" w:type="pct"/>
                        <w:vMerge/>
                        <w:noWrap/>
                      </w:tcPr>
                      <w:p w14:paraId="1E55001E" w14:textId="77777777" w:rsidR="00556585" w:rsidRPr="008D0F42" w:rsidRDefault="00556585">
                        <w:pPr>
                          <w:pStyle w:val="TableText"/>
                        </w:pPr>
                      </w:p>
                    </w:tc>
                    <w:tc>
                      <w:tcPr>
                        <w:tcW w:w="2121" w:type="pct"/>
                      </w:tcPr>
                      <w:p w14:paraId="3DF2391E" w14:textId="77777777" w:rsidR="00556585" w:rsidRPr="008D0F42" w:rsidRDefault="00556585">
                        <w:pPr>
                          <w:pStyle w:val="TableText"/>
                        </w:pPr>
                        <w:r w:rsidRPr="00D63E8D">
                          <w:t>Changed knowledge and access to information</w:t>
                        </w:r>
                      </w:p>
                    </w:tc>
                    <w:tc>
                      <w:tcPr>
                        <w:tcW w:w="1938" w:type="pct"/>
                        <w:noWrap/>
                        <w:vAlign w:val="center"/>
                      </w:tcPr>
                      <w:p w14:paraId="108612E9" w14:textId="2106C0CB" w:rsidR="00556585" w:rsidRPr="008D0F42" w:rsidRDefault="00D37674">
                        <w:pPr>
                          <w:pStyle w:val="TableText"/>
                        </w:pPr>
                        <w:r w:rsidRPr="00DE647E">
                          <w:t>69.4</w:t>
                        </w:r>
                        <w:r w:rsidR="00556585" w:rsidRPr="002C41D4">
                          <w:t>% (n=</w:t>
                        </w:r>
                        <w:r w:rsidRPr="00DE647E">
                          <w:t>127</w:t>
                        </w:r>
                        <w:r>
                          <w:t>,</w:t>
                        </w:r>
                        <w:r w:rsidRPr="00DE647E">
                          <w:t>50</w:t>
                        </w:r>
                        <w:r w:rsidR="00556585" w:rsidRPr="002C41D4">
                          <w:t>)</w:t>
                        </w:r>
                      </w:p>
                    </w:tc>
                  </w:tr>
                  <w:tr w:rsidR="00556585" w:rsidRPr="00036888" w14:paraId="7605F9E4" w14:textId="77777777" w:rsidTr="00321BC5">
                    <w:trPr>
                      <w:trHeight w:val="298"/>
                    </w:trPr>
                    <w:tc>
                      <w:tcPr>
                        <w:tcW w:w="941" w:type="pct"/>
                        <w:vMerge/>
                        <w:noWrap/>
                      </w:tcPr>
                      <w:p w14:paraId="713769B9" w14:textId="77777777" w:rsidR="00556585" w:rsidRPr="008D0F42" w:rsidRDefault="00556585">
                        <w:pPr>
                          <w:pStyle w:val="TableText"/>
                        </w:pPr>
                      </w:p>
                    </w:tc>
                    <w:tc>
                      <w:tcPr>
                        <w:tcW w:w="2121" w:type="pct"/>
                      </w:tcPr>
                      <w:p w14:paraId="75DFC648" w14:textId="77777777" w:rsidR="00556585" w:rsidRPr="008D0F42" w:rsidRDefault="00556585">
                        <w:pPr>
                          <w:pStyle w:val="TableText"/>
                        </w:pPr>
                        <w:r w:rsidRPr="00D63E8D">
                          <w:t>Changed skills</w:t>
                        </w:r>
                      </w:p>
                    </w:tc>
                    <w:tc>
                      <w:tcPr>
                        <w:tcW w:w="1938" w:type="pct"/>
                        <w:noWrap/>
                        <w:vAlign w:val="center"/>
                      </w:tcPr>
                      <w:p w14:paraId="24C6B477" w14:textId="02D27F2E" w:rsidR="00556585" w:rsidRPr="008D0F42" w:rsidRDefault="00D37674">
                        <w:pPr>
                          <w:pStyle w:val="TableText"/>
                        </w:pPr>
                        <w:r w:rsidRPr="00DE647E">
                          <w:t>66.1</w:t>
                        </w:r>
                        <w:r w:rsidR="00556585" w:rsidRPr="002C41D4">
                          <w:t>% (n=</w:t>
                        </w:r>
                        <w:r w:rsidRPr="00DE647E">
                          <w:t>12</w:t>
                        </w:r>
                        <w:r>
                          <w:t>,</w:t>
                        </w:r>
                        <w:r w:rsidRPr="00DE647E">
                          <w:t>704</w:t>
                        </w:r>
                        <w:r w:rsidR="00556585" w:rsidRPr="002C41D4">
                          <w:t>)</w:t>
                        </w:r>
                      </w:p>
                    </w:tc>
                  </w:tr>
                  <w:tr w:rsidR="00556585" w:rsidRPr="00036888" w14:paraId="31A84631" w14:textId="77777777" w:rsidTr="00321BC5">
                    <w:trPr>
                      <w:trHeight w:val="298"/>
                    </w:trPr>
                    <w:tc>
                      <w:tcPr>
                        <w:tcW w:w="941" w:type="pct"/>
                        <w:vMerge/>
                        <w:noWrap/>
                      </w:tcPr>
                      <w:p w14:paraId="5E5096AA" w14:textId="77777777" w:rsidR="00556585" w:rsidRPr="008D0F42" w:rsidRDefault="00556585">
                        <w:pPr>
                          <w:pStyle w:val="TableText"/>
                        </w:pPr>
                      </w:p>
                    </w:tc>
                    <w:tc>
                      <w:tcPr>
                        <w:tcW w:w="2121" w:type="pct"/>
                      </w:tcPr>
                      <w:p w14:paraId="54B0D4E5" w14:textId="77777777" w:rsidR="00556585" w:rsidRPr="008D0F42" w:rsidRDefault="00556585">
                        <w:pPr>
                          <w:pStyle w:val="TableText"/>
                        </w:pPr>
                        <w:r w:rsidRPr="03FAA4E2">
                          <w:rPr>
                            <w:lang w:val="en-NZ"/>
                          </w:rPr>
                          <w:t>Empowerment, choice and control to make own decisions</w:t>
                        </w:r>
                      </w:p>
                    </w:tc>
                    <w:tc>
                      <w:tcPr>
                        <w:tcW w:w="1938" w:type="pct"/>
                        <w:noWrap/>
                        <w:vAlign w:val="center"/>
                      </w:tcPr>
                      <w:p w14:paraId="1EE42691" w14:textId="375484D2" w:rsidR="00556585" w:rsidRPr="008D0F42" w:rsidRDefault="00D37674">
                        <w:pPr>
                          <w:pStyle w:val="TableText"/>
                        </w:pPr>
                        <w:r w:rsidRPr="00DE647E">
                          <w:t>64.9</w:t>
                        </w:r>
                        <w:r w:rsidR="00556585" w:rsidRPr="002C41D4">
                          <w:t>% (n=</w:t>
                        </w:r>
                        <w:r w:rsidRPr="00DE647E">
                          <w:t>9</w:t>
                        </w:r>
                        <w:r>
                          <w:t>,</w:t>
                        </w:r>
                        <w:r w:rsidRPr="00DE647E">
                          <w:t>683</w:t>
                        </w:r>
                        <w:r w:rsidR="00556585" w:rsidRPr="002C41D4">
                          <w:t>)</w:t>
                        </w:r>
                      </w:p>
                    </w:tc>
                  </w:tr>
                </w:tbl>
                <w:p w14:paraId="0203C818" w14:textId="09DAF3FC" w:rsidR="00B87CC2" w:rsidRPr="007E5DF1" w:rsidRDefault="007E5DF1" w:rsidP="005674C7">
                  <w:pPr>
                    <w:pStyle w:val="Text"/>
                    <w:spacing w:after="120"/>
                    <w:rPr>
                      <w:i/>
                      <w:iCs/>
                      <w:sz w:val="20"/>
                      <w:szCs w:val="18"/>
                    </w:rPr>
                  </w:pPr>
                  <w:r w:rsidRPr="007E5DF1">
                    <w:rPr>
                      <w:i/>
                      <w:iCs/>
                      <w:sz w:val="20"/>
                      <w:szCs w:val="18"/>
                    </w:rPr>
                    <w:t>Source: DEX-SCORE data</w:t>
                  </w:r>
                </w:p>
                <w:p w14:paraId="2C4BE7B4" w14:textId="51CC841B" w:rsidR="00FB610A" w:rsidRDefault="00556585" w:rsidP="00253034">
                  <w:pPr>
                    <w:pStyle w:val="TableFigure-Header"/>
                    <w:spacing w:line="276" w:lineRule="auto"/>
                    <w:jc w:val="both"/>
                    <w:rPr>
                      <w:lang w:val="en-NZ"/>
                    </w:rPr>
                  </w:pPr>
                  <w:r w:rsidRPr="4747A340">
                    <w:rPr>
                      <w:lang w:val="en-NZ"/>
                    </w:rPr>
                    <w:t xml:space="preserve">Table </w:t>
                  </w:r>
                  <w:r w:rsidR="008D2566">
                    <w:fldChar w:fldCharType="begin"/>
                  </w:r>
                  <w:r w:rsidR="008D2566">
                    <w:instrText xml:space="preserve"> SEQ Table \* ARABIC </w:instrText>
                  </w:r>
                  <w:r w:rsidR="008D2566">
                    <w:fldChar w:fldCharType="separate"/>
                  </w:r>
                  <w:r w:rsidR="008D2566">
                    <w:rPr>
                      <w:noProof/>
                    </w:rPr>
                    <w:t>31</w:t>
                  </w:r>
                  <w:r w:rsidR="008D2566">
                    <w:rPr>
                      <w:noProof/>
                    </w:rPr>
                    <w:fldChar w:fldCharType="end"/>
                  </w:r>
                  <w:r w:rsidRPr="4747A340">
                    <w:rPr>
                      <w:lang w:val="en-NZ"/>
                    </w:rPr>
                    <w:t xml:space="preserve">: </w:t>
                  </w:r>
                  <w:r w:rsidR="00FB610A" w:rsidRPr="4747A340">
                    <w:rPr>
                      <w:lang w:val="en-NZ"/>
                    </w:rPr>
                    <w:t xml:space="preserve">Percentage of </w:t>
                  </w:r>
                  <w:r w:rsidR="000A1AD2">
                    <w:rPr>
                      <w:lang w:val="en-NZ"/>
                    </w:rPr>
                    <w:t xml:space="preserve">services users with </w:t>
                  </w:r>
                  <w:r w:rsidR="00FB610A" w:rsidRPr="4747A340">
                    <w:rPr>
                      <w:lang w:val="en-NZ"/>
                    </w:rPr>
                    <w:t xml:space="preserve">positive SCORE change for specific Circumstance and Goal domains, FaRS service users by gender – male, July 2021 to </w:t>
                  </w:r>
                  <w:r w:rsidR="03D73EEF" w:rsidRPr="3E666E7D">
                    <w:rPr>
                      <w:lang w:val="en-NZ"/>
                    </w:rPr>
                    <w:t xml:space="preserve">June </w:t>
                  </w:r>
                  <w:r w:rsidR="00FB610A" w:rsidRPr="3E666E7D">
                    <w:rPr>
                      <w:lang w:val="en-NZ"/>
                    </w:rPr>
                    <w:t>2024</w:t>
                  </w:r>
                </w:p>
                <w:tbl>
                  <w:tblPr>
                    <w:tblStyle w:val="TableGrid3"/>
                    <w:tblW w:w="5000" w:type="pct"/>
                    <w:tblLayout w:type="fixed"/>
                    <w:tblLook w:val="04A0" w:firstRow="1" w:lastRow="0" w:firstColumn="1" w:lastColumn="0" w:noHBand="0" w:noVBand="1"/>
                  </w:tblPr>
                  <w:tblGrid>
                    <w:gridCol w:w="1697"/>
                    <w:gridCol w:w="3826"/>
                    <w:gridCol w:w="3496"/>
                  </w:tblGrid>
                  <w:tr w:rsidR="00FB610A" w:rsidRPr="00036888" w14:paraId="5EE0AA91" w14:textId="77777777">
                    <w:trPr>
                      <w:trHeight w:val="298"/>
                    </w:trPr>
                    <w:tc>
                      <w:tcPr>
                        <w:tcW w:w="941" w:type="pct"/>
                        <w:shd w:val="clear" w:color="auto" w:fill="007E00" w:themeFill="accent3"/>
                        <w:noWrap/>
                        <w:hideMark/>
                      </w:tcPr>
                      <w:p w14:paraId="7704AC78" w14:textId="77777777" w:rsidR="00FB610A" w:rsidRPr="00F6254E" w:rsidRDefault="00FB610A">
                        <w:pPr>
                          <w:pStyle w:val="TableText"/>
                          <w:rPr>
                            <w:b/>
                            <w:bCs/>
                            <w:color w:val="FFFFFF" w:themeColor="background1"/>
                          </w:rPr>
                        </w:pPr>
                        <w:r w:rsidRPr="00F6254E">
                          <w:rPr>
                            <w:b/>
                            <w:bCs/>
                            <w:color w:val="FFFFFF" w:themeColor="background1"/>
                          </w:rPr>
                          <w:t>Outcome Type</w:t>
                        </w:r>
                      </w:p>
                    </w:tc>
                    <w:tc>
                      <w:tcPr>
                        <w:tcW w:w="2121" w:type="pct"/>
                        <w:shd w:val="clear" w:color="auto" w:fill="007E00" w:themeFill="accent3"/>
                      </w:tcPr>
                      <w:p w14:paraId="09596DC2" w14:textId="77777777" w:rsidR="00FB610A" w:rsidRDefault="00FB610A">
                        <w:pPr>
                          <w:pStyle w:val="TableText"/>
                          <w:rPr>
                            <w:b/>
                            <w:bCs/>
                            <w:color w:val="FFFFFF" w:themeColor="background1"/>
                          </w:rPr>
                        </w:pPr>
                        <w:r>
                          <w:rPr>
                            <w:b/>
                            <w:bCs/>
                            <w:color w:val="FFFFFF" w:themeColor="background1"/>
                          </w:rPr>
                          <w:t>Domain description</w:t>
                        </w:r>
                      </w:p>
                    </w:tc>
                    <w:tc>
                      <w:tcPr>
                        <w:tcW w:w="1938" w:type="pct"/>
                        <w:shd w:val="clear" w:color="auto" w:fill="007E00" w:themeFill="accent3"/>
                        <w:noWrap/>
                        <w:hideMark/>
                      </w:tcPr>
                      <w:p w14:paraId="46D47030" w14:textId="77777777" w:rsidR="00FB610A" w:rsidRPr="00F6254E" w:rsidRDefault="00FB610A">
                        <w:pPr>
                          <w:pStyle w:val="TableText"/>
                          <w:rPr>
                            <w:b/>
                            <w:bCs/>
                            <w:color w:val="FFFFFF" w:themeColor="background1"/>
                          </w:rPr>
                        </w:pPr>
                        <w:r>
                          <w:rPr>
                            <w:b/>
                            <w:bCs/>
                            <w:color w:val="FFFFFF" w:themeColor="background1"/>
                          </w:rPr>
                          <w:t xml:space="preserve">Service users </w:t>
                        </w:r>
                        <w:r w:rsidRPr="00F6254E">
                          <w:rPr>
                            <w:b/>
                            <w:bCs/>
                            <w:color w:val="FFFFFF" w:themeColor="background1"/>
                          </w:rPr>
                          <w:t>with positive mean change (%, n</w:t>
                        </w:r>
                        <w:r>
                          <w:rPr>
                            <w:b/>
                            <w:bCs/>
                            <w:color w:val="FFFFFF" w:themeColor="background1"/>
                          </w:rPr>
                          <w:t>=</w:t>
                        </w:r>
                        <w:r w:rsidRPr="00F6254E">
                          <w:rPr>
                            <w:b/>
                            <w:bCs/>
                            <w:color w:val="FFFFFF" w:themeColor="background1"/>
                          </w:rPr>
                          <w:t>)</w:t>
                        </w:r>
                      </w:p>
                    </w:tc>
                  </w:tr>
                  <w:tr w:rsidR="00FB610A" w:rsidRPr="00036888" w14:paraId="6F70E91E" w14:textId="77777777" w:rsidTr="00321BC5">
                    <w:trPr>
                      <w:trHeight w:val="298"/>
                    </w:trPr>
                    <w:tc>
                      <w:tcPr>
                        <w:tcW w:w="941" w:type="pct"/>
                        <w:vMerge w:val="restart"/>
                        <w:noWrap/>
                        <w:hideMark/>
                      </w:tcPr>
                      <w:p w14:paraId="6BFC614D" w14:textId="77777777" w:rsidR="00FB610A" w:rsidRPr="008D0F42" w:rsidRDefault="00FB610A">
                        <w:pPr>
                          <w:pStyle w:val="TableText"/>
                        </w:pPr>
                        <w:r w:rsidRPr="008D0F42">
                          <w:t>Circumstances</w:t>
                        </w:r>
                      </w:p>
                    </w:tc>
                    <w:tc>
                      <w:tcPr>
                        <w:tcW w:w="2121" w:type="pct"/>
                      </w:tcPr>
                      <w:p w14:paraId="4C2DC500" w14:textId="77777777" w:rsidR="00FB610A" w:rsidRPr="008D0F42" w:rsidRDefault="00FB610A">
                        <w:pPr>
                          <w:pStyle w:val="TableText"/>
                        </w:pPr>
                        <w:r w:rsidRPr="008D0F42">
                          <w:t>Family functioning</w:t>
                        </w:r>
                      </w:p>
                    </w:tc>
                    <w:tc>
                      <w:tcPr>
                        <w:tcW w:w="1938" w:type="pct"/>
                        <w:noWrap/>
                        <w:hideMark/>
                      </w:tcPr>
                      <w:p w14:paraId="12EB7EEC" w14:textId="70BAA26F" w:rsidR="00FB610A" w:rsidRPr="008D0F42" w:rsidRDefault="00084F68">
                        <w:pPr>
                          <w:pStyle w:val="TableText"/>
                        </w:pPr>
                        <w:r w:rsidRPr="00DE4565">
                          <w:t>56.3</w:t>
                        </w:r>
                        <w:r w:rsidR="00FB610A" w:rsidRPr="003E09BA">
                          <w:t>% (n=</w:t>
                        </w:r>
                        <w:r w:rsidRPr="00DE4565">
                          <w:t>9</w:t>
                        </w:r>
                        <w:r>
                          <w:t>,</w:t>
                        </w:r>
                        <w:r w:rsidRPr="00DE4565">
                          <w:t>035</w:t>
                        </w:r>
                        <w:r w:rsidR="00FB610A" w:rsidRPr="003E09BA">
                          <w:t>)</w:t>
                        </w:r>
                      </w:p>
                    </w:tc>
                  </w:tr>
                  <w:tr w:rsidR="00FB610A" w:rsidRPr="00036888" w14:paraId="323A36DE" w14:textId="77777777" w:rsidTr="00321BC5">
                    <w:trPr>
                      <w:trHeight w:val="298"/>
                    </w:trPr>
                    <w:tc>
                      <w:tcPr>
                        <w:tcW w:w="941" w:type="pct"/>
                        <w:vMerge/>
                        <w:noWrap/>
                      </w:tcPr>
                      <w:p w14:paraId="59AC0561" w14:textId="77777777" w:rsidR="00FB610A" w:rsidRPr="008D0F42" w:rsidRDefault="00FB610A">
                        <w:pPr>
                          <w:pStyle w:val="TableText"/>
                        </w:pPr>
                      </w:p>
                    </w:tc>
                    <w:tc>
                      <w:tcPr>
                        <w:tcW w:w="2121" w:type="pct"/>
                      </w:tcPr>
                      <w:p w14:paraId="37574037" w14:textId="77777777" w:rsidR="00FB610A" w:rsidRPr="008D0F42" w:rsidRDefault="00FB610A">
                        <w:pPr>
                          <w:pStyle w:val="TableText"/>
                        </w:pPr>
                        <w:r w:rsidRPr="3DEE28EC">
                          <w:rPr>
                            <w:lang w:val="en-NZ"/>
                          </w:rPr>
                          <w:t>Mental health, wellbeing and self-care</w:t>
                        </w:r>
                      </w:p>
                    </w:tc>
                    <w:tc>
                      <w:tcPr>
                        <w:tcW w:w="1938" w:type="pct"/>
                        <w:noWrap/>
                      </w:tcPr>
                      <w:p w14:paraId="29475FFD" w14:textId="023CD997" w:rsidR="00FB610A" w:rsidRPr="008D0F42" w:rsidRDefault="00084F68">
                        <w:pPr>
                          <w:pStyle w:val="TableText"/>
                        </w:pPr>
                        <w:r w:rsidRPr="00DE4565">
                          <w:t>54.8</w:t>
                        </w:r>
                        <w:r w:rsidR="00FB610A" w:rsidRPr="003E09BA">
                          <w:t>% (n=</w:t>
                        </w:r>
                        <w:r w:rsidRPr="00DE4565">
                          <w:t>7</w:t>
                        </w:r>
                        <w:r>
                          <w:t>,</w:t>
                        </w:r>
                        <w:r w:rsidRPr="00DE4565">
                          <w:t>902</w:t>
                        </w:r>
                        <w:r w:rsidR="00FB610A" w:rsidRPr="003E09BA">
                          <w:t>)</w:t>
                        </w:r>
                      </w:p>
                    </w:tc>
                  </w:tr>
                  <w:tr w:rsidR="00FB610A" w:rsidRPr="00036888" w14:paraId="4F2FD718" w14:textId="77777777" w:rsidTr="00321BC5">
                    <w:trPr>
                      <w:trHeight w:val="298"/>
                    </w:trPr>
                    <w:tc>
                      <w:tcPr>
                        <w:tcW w:w="941" w:type="pct"/>
                        <w:vMerge/>
                        <w:noWrap/>
                      </w:tcPr>
                      <w:p w14:paraId="7E57A0D6" w14:textId="77777777" w:rsidR="00FB610A" w:rsidRPr="008D0F42" w:rsidRDefault="00FB610A">
                        <w:pPr>
                          <w:pStyle w:val="TableText"/>
                        </w:pPr>
                      </w:p>
                    </w:tc>
                    <w:tc>
                      <w:tcPr>
                        <w:tcW w:w="2121" w:type="pct"/>
                      </w:tcPr>
                      <w:p w14:paraId="02C228CF" w14:textId="77777777" w:rsidR="00FB610A" w:rsidRPr="008D0F42" w:rsidRDefault="00FB610A">
                        <w:pPr>
                          <w:pStyle w:val="TableText"/>
                        </w:pPr>
                        <w:r w:rsidRPr="008D0F42">
                          <w:t>Personal and family safety</w:t>
                        </w:r>
                      </w:p>
                    </w:tc>
                    <w:tc>
                      <w:tcPr>
                        <w:tcW w:w="1938" w:type="pct"/>
                        <w:noWrap/>
                      </w:tcPr>
                      <w:p w14:paraId="6DA43270" w14:textId="1313C1F6" w:rsidR="00FB610A" w:rsidRPr="008D0F42" w:rsidRDefault="00084F68">
                        <w:pPr>
                          <w:pStyle w:val="TableText"/>
                        </w:pPr>
                        <w:r w:rsidRPr="00DE4565">
                          <w:t>42.1</w:t>
                        </w:r>
                        <w:r w:rsidR="00FB610A" w:rsidRPr="003E09BA">
                          <w:t>% (n=</w:t>
                        </w:r>
                        <w:r w:rsidRPr="00DE4565">
                          <w:t>4</w:t>
                        </w:r>
                        <w:r>
                          <w:t>,</w:t>
                        </w:r>
                        <w:r w:rsidRPr="00DE4565">
                          <w:t>181</w:t>
                        </w:r>
                        <w:r w:rsidR="00FB610A" w:rsidRPr="003E09BA">
                          <w:t>)</w:t>
                        </w:r>
                      </w:p>
                    </w:tc>
                  </w:tr>
                  <w:tr w:rsidR="00FB610A" w:rsidRPr="00036888" w14:paraId="1C717723" w14:textId="77777777" w:rsidTr="00321BC5">
                    <w:trPr>
                      <w:trHeight w:val="298"/>
                    </w:trPr>
                    <w:tc>
                      <w:tcPr>
                        <w:tcW w:w="941" w:type="pct"/>
                        <w:vMerge w:val="restart"/>
                        <w:noWrap/>
                      </w:tcPr>
                      <w:p w14:paraId="795B8D8E" w14:textId="77777777" w:rsidR="00FB610A" w:rsidRPr="008D0F42" w:rsidRDefault="00FB610A">
                        <w:pPr>
                          <w:pStyle w:val="TableText"/>
                        </w:pPr>
                        <w:r w:rsidRPr="008D0F42">
                          <w:t>Goals</w:t>
                        </w:r>
                      </w:p>
                    </w:tc>
                    <w:tc>
                      <w:tcPr>
                        <w:tcW w:w="2121" w:type="pct"/>
                      </w:tcPr>
                      <w:p w14:paraId="4852789F" w14:textId="77777777" w:rsidR="00FB610A" w:rsidRPr="008D0F42" w:rsidRDefault="00FB610A">
                        <w:pPr>
                          <w:pStyle w:val="TableText"/>
                        </w:pPr>
                        <w:r w:rsidRPr="00D63E8D">
                          <w:t>Changed behaviours</w:t>
                        </w:r>
                      </w:p>
                    </w:tc>
                    <w:tc>
                      <w:tcPr>
                        <w:tcW w:w="1938" w:type="pct"/>
                        <w:noWrap/>
                      </w:tcPr>
                      <w:p w14:paraId="1EEA454E" w14:textId="36BB4EA7" w:rsidR="00FB610A" w:rsidRPr="008D0F42" w:rsidRDefault="00084F68">
                        <w:pPr>
                          <w:pStyle w:val="TableText"/>
                        </w:pPr>
                        <w:r w:rsidRPr="00DE4565">
                          <w:t>64.7</w:t>
                        </w:r>
                        <w:r w:rsidR="00FB610A" w:rsidRPr="003E09BA">
                          <w:t>% (n=</w:t>
                        </w:r>
                        <w:r w:rsidRPr="00DE4565">
                          <w:t>6</w:t>
                        </w:r>
                        <w:r>
                          <w:t>,</w:t>
                        </w:r>
                        <w:r w:rsidRPr="00DE4565">
                          <w:t>973</w:t>
                        </w:r>
                        <w:r w:rsidR="00FB610A" w:rsidRPr="003E09BA">
                          <w:t>)</w:t>
                        </w:r>
                      </w:p>
                    </w:tc>
                  </w:tr>
                  <w:tr w:rsidR="00FB610A" w:rsidRPr="00036888" w14:paraId="4E6E7106" w14:textId="77777777" w:rsidTr="00321BC5">
                    <w:trPr>
                      <w:trHeight w:val="298"/>
                    </w:trPr>
                    <w:tc>
                      <w:tcPr>
                        <w:tcW w:w="941" w:type="pct"/>
                        <w:vMerge/>
                        <w:noWrap/>
                      </w:tcPr>
                      <w:p w14:paraId="47F43D3A" w14:textId="77777777" w:rsidR="00FB610A" w:rsidRPr="008D0F42" w:rsidRDefault="00FB610A">
                        <w:pPr>
                          <w:pStyle w:val="TableText"/>
                        </w:pPr>
                      </w:p>
                    </w:tc>
                    <w:tc>
                      <w:tcPr>
                        <w:tcW w:w="2121" w:type="pct"/>
                      </w:tcPr>
                      <w:p w14:paraId="7FDDA6CB" w14:textId="77777777" w:rsidR="00FB610A" w:rsidRPr="008D0F42" w:rsidRDefault="00FB610A">
                        <w:pPr>
                          <w:pStyle w:val="TableText"/>
                        </w:pPr>
                        <w:r w:rsidRPr="00D63E8D">
                          <w:t>Changed impact of immediate crisis</w:t>
                        </w:r>
                      </w:p>
                    </w:tc>
                    <w:tc>
                      <w:tcPr>
                        <w:tcW w:w="1938" w:type="pct"/>
                        <w:noWrap/>
                      </w:tcPr>
                      <w:p w14:paraId="7554B9F2" w14:textId="4A247132" w:rsidR="00FB610A" w:rsidRPr="008D0F42" w:rsidRDefault="00084F68">
                        <w:pPr>
                          <w:pStyle w:val="TableText"/>
                        </w:pPr>
                        <w:r w:rsidRPr="00DE4565">
                          <w:t>66.4</w:t>
                        </w:r>
                        <w:r w:rsidR="00FB610A" w:rsidRPr="003E09BA">
                          <w:t>% (n=</w:t>
                        </w:r>
                        <w:r w:rsidRPr="00DE4565">
                          <w:t>3</w:t>
                        </w:r>
                        <w:r>
                          <w:t>,</w:t>
                        </w:r>
                        <w:r w:rsidRPr="00DE4565">
                          <w:t>228</w:t>
                        </w:r>
                        <w:r w:rsidR="00FB610A" w:rsidRPr="003E09BA">
                          <w:t>)</w:t>
                        </w:r>
                      </w:p>
                    </w:tc>
                  </w:tr>
                  <w:tr w:rsidR="00FB610A" w:rsidRPr="00036888" w14:paraId="55777648" w14:textId="77777777" w:rsidTr="00321BC5">
                    <w:trPr>
                      <w:trHeight w:val="298"/>
                    </w:trPr>
                    <w:tc>
                      <w:tcPr>
                        <w:tcW w:w="941" w:type="pct"/>
                        <w:vMerge/>
                        <w:noWrap/>
                      </w:tcPr>
                      <w:p w14:paraId="7DF2D39C" w14:textId="77777777" w:rsidR="00FB610A" w:rsidRPr="008D0F42" w:rsidRDefault="00FB610A">
                        <w:pPr>
                          <w:pStyle w:val="TableText"/>
                        </w:pPr>
                      </w:p>
                    </w:tc>
                    <w:tc>
                      <w:tcPr>
                        <w:tcW w:w="2121" w:type="pct"/>
                      </w:tcPr>
                      <w:p w14:paraId="67ACFF1B" w14:textId="77777777" w:rsidR="00FB610A" w:rsidRPr="008D0F42" w:rsidRDefault="00FB610A">
                        <w:pPr>
                          <w:pStyle w:val="TableText"/>
                        </w:pPr>
                        <w:r w:rsidRPr="00D63E8D">
                          <w:t>Changed knowledge and access to information</w:t>
                        </w:r>
                      </w:p>
                    </w:tc>
                    <w:tc>
                      <w:tcPr>
                        <w:tcW w:w="1938" w:type="pct"/>
                        <w:noWrap/>
                      </w:tcPr>
                      <w:p w14:paraId="72C39D53" w14:textId="645D4F8A" w:rsidR="00FB610A" w:rsidRPr="008D0F42" w:rsidRDefault="00084F68">
                        <w:pPr>
                          <w:pStyle w:val="TableText"/>
                        </w:pPr>
                        <w:r w:rsidRPr="00DE4565">
                          <w:t>68.6</w:t>
                        </w:r>
                        <w:r w:rsidR="00FB610A" w:rsidRPr="003E09BA">
                          <w:t>% (n=</w:t>
                        </w:r>
                        <w:r w:rsidRPr="00DE4565">
                          <w:t>8</w:t>
                        </w:r>
                        <w:r>
                          <w:t>,</w:t>
                        </w:r>
                        <w:r w:rsidRPr="00DE4565">
                          <w:t>272</w:t>
                        </w:r>
                        <w:r w:rsidR="00FB610A" w:rsidRPr="003E09BA">
                          <w:t>)</w:t>
                        </w:r>
                      </w:p>
                    </w:tc>
                  </w:tr>
                  <w:tr w:rsidR="00FB610A" w:rsidRPr="00036888" w14:paraId="50682144" w14:textId="77777777" w:rsidTr="00321BC5">
                    <w:trPr>
                      <w:trHeight w:val="298"/>
                    </w:trPr>
                    <w:tc>
                      <w:tcPr>
                        <w:tcW w:w="941" w:type="pct"/>
                        <w:vMerge/>
                        <w:noWrap/>
                      </w:tcPr>
                      <w:p w14:paraId="63018F2E" w14:textId="77777777" w:rsidR="00FB610A" w:rsidRPr="008D0F42" w:rsidRDefault="00FB610A">
                        <w:pPr>
                          <w:pStyle w:val="TableText"/>
                        </w:pPr>
                      </w:p>
                    </w:tc>
                    <w:tc>
                      <w:tcPr>
                        <w:tcW w:w="2121" w:type="pct"/>
                      </w:tcPr>
                      <w:p w14:paraId="4DDECE8C" w14:textId="77777777" w:rsidR="00FB610A" w:rsidRPr="008D0F42" w:rsidRDefault="00FB610A">
                        <w:pPr>
                          <w:pStyle w:val="TableText"/>
                        </w:pPr>
                        <w:r w:rsidRPr="00D63E8D">
                          <w:t>Changed skills</w:t>
                        </w:r>
                      </w:p>
                    </w:tc>
                    <w:tc>
                      <w:tcPr>
                        <w:tcW w:w="1938" w:type="pct"/>
                        <w:noWrap/>
                      </w:tcPr>
                      <w:p w14:paraId="77A6ADD8" w14:textId="48BB8D20" w:rsidR="00FB610A" w:rsidRPr="008D0F42" w:rsidRDefault="00084F68">
                        <w:pPr>
                          <w:pStyle w:val="TableText"/>
                        </w:pPr>
                        <w:r w:rsidRPr="00DE4565">
                          <w:t>65.8</w:t>
                        </w:r>
                        <w:r w:rsidR="00FB610A" w:rsidRPr="003E09BA">
                          <w:t>% (n=</w:t>
                        </w:r>
                        <w:r w:rsidRPr="00DE4565">
                          <w:t>8</w:t>
                        </w:r>
                        <w:r>
                          <w:t>,</w:t>
                        </w:r>
                        <w:r w:rsidRPr="00DE4565">
                          <w:t>363</w:t>
                        </w:r>
                        <w:r w:rsidR="00FB610A" w:rsidRPr="003E09BA">
                          <w:t>)</w:t>
                        </w:r>
                      </w:p>
                    </w:tc>
                  </w:tr>
                  <w:tr w:rsidR="00FB610A" w:rsidRPr="00036888" w14:paraId="61746ACA" w14:textId="77777777" w:rsidTr="00321BC5">
                    <w:trPr>
                      <w:trHeight w:val="298"/>
                    </w:trPr>
                    <w:tc>
                      <w:tcPr>
                        <w:tcW w:w="941" w:type="pct"/>
                        <w:vMerge/>
                        <w:noWrap/>
                      </w:tcPr>
                      <w:p w14:paraId="45D119D3" w14:textId="77777777" w:rsidR="00FB610A" w:rsidRPr="008D0F42" w:rsidRDefault="00FB610A">
                        <w:pPr>
                          <w:pStyle w:val="TableText"/>
                        </w:pPr>
                      </w:p>
                    </w:tc>
                    <w:tc>
                      <w:tcPr>
                        <w:tcW w:w="2121" w:type="pct"/>
                      </w:tcPr>
                      <w:p w14:paraId="01D8919E" w14:textId="77777777" w:rsidR="00FB610A" w:rsidRPr="008D0F42" w:rsidRDefault="00FB610A">
                        <w:pPr>
                          <w:pStyle w:val="TableText"/>
                        </w:pPr>
                        <w:r w:rsidRPr="03FAA4E2">
                          <w:rPr>
                            <w:lang w:val="en-NZ"/>
                          </w:rPr>
                          <w:t>Empowerment, choice and control to make own decisions</w:t>
                        </w:r>
                      </w:p>
                    </w:tc>
                    <w:tc>
                      <w:tcPr>
                        <w:tcW w:w="1938" w:type="pct"/>
                        <w:noWrap/>
                      </w:tcPr>
                      <w:p w14:paraId="6C570554" w14:textId="3996FE31" w:rsidR="00FB610A" w:rsidRPr="008D0F42" w:rsidRDefault="00084F68">
                        <w:pPr>
                          <w:pStyle w:val="TableText"/>
                        </w:pPr>
                        <w:r w:rsidRPr="00DE4565">
                          <w:t>63.0</w:t>
                        </w:r>
                        <w:r w:rsidR="00FB610A" w:rsidRPr="003E09BA">
                          <w:t>% (n=</w:t>
                        </w:r>
                        <w:r w:rsidRPr="00DE4565">
                          <w:t>5</w:t>
                        </w:r>
                        <w:r>
                          <w:t>,</w:t>
                        </w:r>
                        <w:r w:rsidRPr="00DE4565">
                          <w:t>797</w:t>
                        </w:r>
                        <w:r w:rsidR="00FB610A" w:rsidRPr="003E09BA">
                          <w:t>)</w:t>
                        </w:r>
                      </w:p>
                    </w:tc>
                  </w:tr>
                  <w:tr w:rsidR="00FB610A" w:rsidRPr="00036888" w14:paraId="20AB0093" w14:textId="77777777" w:rsidTr="00321BC5">
                    <w:trPr>
                      <w:trHeight w:val="298"/>
                    </w:trPr>
                    <w:tc>
                      <w:tcPr>
                        <w:tcW w:w="941" w:type="pct"/>
                        <w:vMerge/>
                        <w:noWrap/>
                      </w:tcPr>
                      <w:p w14:paraId="4A31C14A" w14:textId="77777777" w:rsidR="00FB610A" w:rsidRPr="008D0F42" w:rsidRDefault="00FB610A">
                        <w:pPr>
                          <w:pStyle w:val="TableText"/>
                        </w:pPr>
                      </w:p>
                    </w:tc>
                    <w:tc>
                      <w:tcPr>
                        <w:tcW w:w="2121" w:type="pct"/>
                      </w:tcPr>
                      <w:p w14:paraId="71D12206" w14:textId="77777777" w:rsidR="00FB610A" w:rsidRPr="008D0F42" w:rsidRDefault="00FB610A">
                        <w:pPr>
                          <w:pStyle w:val="TableText"/>
                        </w:pPr>
                        <w:r w:rsidRPr="00D63E8D">
                          <w:t>Engagement with relevant support services</w:t>
                        </w:r>
                      </w:p>
                    </w:tc>
                    <w:tc>
                      <w:tcPr>
                        <w:tcW w:w="1938" w:type="pct"/>
                        <w:noWrap/>
                      </w:tcPr>
                      <w:p w14:paraId="7F1340D4" w14:textId="7A5A8CB1" w:rsidR="00FB610A" w:rsidRPr="008D0F42" w:rsidRDefault="00084F68">
                        <w:pPr>
                          <w:pStyle w:val="TableText"/>
                        </w:pPr>
                        <w:r w:rsidRPr="00DE4565">
                          <w:t>60.0</w:t>
                        </w:r>
                        <w:r w:rsidR="00FB610A" w:rsidRPr="003E09BA">
                          <w:t>% (n=</w:t>
                        </w:r>
                        <w:r w:rsidRPr="00DE4565">
                          <w:t>3</w:t>
                        </w:r>
                        <w:r>
                          <w:t>,</w:t>
                        </w:r>
                        <w:r w:rsidRPr="00DE4565">
                          <w:t>960</w:t>
                        </w:r>
                        <w:r w:rsidR="00FB610A" w:rsidRPr="003E09BA">
                          <w:t>)</w:t>
                        </w:r>
                      </w:p>
                    </w:tc>
                  </w:tr>
                </w:tbl>
                <w:p w14:paraId="4BCF7ECF" w14:textId="56AC33E3" w:rsidR="00B87CC2" w:rsidRPr="007E5DF1" w:rsidRDefault="007E5DF1" w:rsidP="005674C7">
                  <w:pPr>
                    <w:pStyle w:val="Text"/>
                    <w:spacing w:after="120"/>
                    <w:rPr>
                      <w:i/>
                      <w:iCs/>
                      <w:sz w:val="20"/>
                      <w:szCs w:val="18"/>
                    </w:rPr>
                  </w:pPr>
                  <w:r w:rsidRPr="007E5DF1">
                    <w:rPr>
                      <w:i/>
                      <w:iCs/>
                      <w:sz w:val="20"/>
                      <w:szCs w:val="18"/>
                    </w:rPr>
                    <w:t>Source: DEX-SCORE data</w:t>
                  </w:r>
                </w:p>
                <w:p w14:paraId="01EED92A" w14:textId="77777777" w:rsidR="005B31C6" w:rsidRDefault="005B31C6" w:rsidP="005674C7">
                  <w:pPr>
                    <w:pStyle w:val="Text"/>
                    <w:spacing w:after="120"/>
                  </w:pPr>
                </w:p>
                <w:p w14:paraId="1BB6AD83" w14:textId="77777777" w:rsidR="005B31C6" w:rsidRDefault="005B31C6" w:rsidP="005674C7">
                  <w:pPr>
                    <w:pStyle w:val="Text"/>
                    <w:spacing w:after="120"/>
                  </w:pPr>
                </w:p>
                <w:p w14:paraId="1217CD6B" w14:textId="77777777" w:rsidR="005B31C6" w:rsidRDefault="005B31C6" w:rsidP="005674C7">
                  <w:pPr>
                    <w:pStyle w:val="Text"/>
                    <w:spacing w:after="120"/>
                  </w:pPr>
                </w:p>
                <w:p w14:paraId="4A3610DF" w14:textId="77777777" w:rsidR="005B31C6" w:rsidRDefault="005B31C6" w:rsidP="005674C7">
                  <w:pPr>
                    <w:pStyle w:val="Text"/>
                    <w:spacing w:after="120"/>
                  </w:pPr>
                </w:p>
                <w:p w14:paraId="6D000AB0" w14:textId="77777777" w:rsidR="005B31C6" w:rsidRDefault="005B31C6" w:rsidP="005674C7">
                  <w:pPr>
                    <w:pStyle w:val="Text"/>
                    <w:spacing w:after="120"/>
                  </w:pPr>
                </w:p>
                <w:p w14:paraId="11936A9C" w14:textId="77777777" w:rsidR="005B31C6" w:rsidRDefault="005B31C6" w:rsidP="005674C7">
                  <w:pPr>
                    <w:pStyle w:val="Text"/>
                    <w:spacing w:after="120"/>
                  </w:pPr>
                </w:p>
                <w:p w14:paraId="5E8E3320" w14:textId="3E01B707" w:rsidR="005B31C6" w:rsidRDefault="00B81FB8" w:rsidP="005674C7">
                  <w:pPr>
                    <w:pStyle w:val="Text"/>
                    <w:spacing w:after="120"/>
                  </w:pPr>
                  <w:r>
                    <w:rPr>
                      <w:noProof/>
                    </w:rPr>
                    <w:lastRenderedPageBreak/>
                    <mc:AlternateContent>
                      <mc:Choice Requires="wps">
                        <w:drawing>
                          <wp:anchor distT="0" distB="0" distL="114300" distR="114300" simplePos="0" relativeHeight="251658269" behindDoc="0" locked="0" layoutInCell="1" allowOverlap="1" wp14:anchorId="6B9D06C8" wp14:editId="3E32FBB9">
                            <wp:simplePos x="0" y="0"/>
                            <wp:positionH relativeFrom="margin">
                              <wp:align>left</wp:align>
                            </wp:positionH>
                            <wp:positionV relativeFrom="paragraph">
                              <wp:posOffset>29429</wp:posOffset>
                            </wp:positionV>
                            <wp:extent cx="6155055" cy="457200"/>
                            <wp:effectExtent l="0" t="0" r="0" b="0"/>
                            <wp:wrapNone/>
                            <wp:docPr id="2057514166" name="Text Box 1" descr="P2996TB32#y1"/>
                            <wp:cNvGraphicFramePr/>
                            <a:graphic xmlns:a="http://schemas.openxmlformats.org/drawingml/2006/main">
                              <a:graphicData uri="http://schemas.microsoft.com/office/word/2010/wordprocessingShape">
                                <wps:wsp>
                                  <wps:cNvSpPr txBox="1"/>
                                  <wps:spPr>
                                    <a:xfrm>
                                      <a:off x="0" y="0"/>
                                      <a:ext cx="6155055" cy="457200"/>
                                    </a:xfrm>
                                    <a:prstGeom prst="rect">
                                      <a:avLst/>
                                    </a:prstGeom>
                                    <a:solidFill>
                                      <a:prstClr val="white"/>
                                    </a:solidFill>
                                    <a:ln>
                                      <a:noFill/>
                                    </a:ln>
                                  </wps:spPr>
                                  <wps:txbx>
                                    <w:txbxContent>
                                      <w:p w14:paraId="6E154923" w14:textId="490A6765" w:rsidR="009B1CFA" w:rsidRPr="00127325" w:rsidRDefault="009B1CFA" w:rsidP="00236A37">
                                        <w:pPr>
                                          <w:pStyle w:val="Caption"/>
                                          <w:jc w:val="both"/>
                                          <w:rPr>
                                            <w:noProof/>
                                            <w:sz w:val="21"/>
                                            <w:szCs w:val="21"/>
                                          </w:rPr>
                                        </w:pPr>
                                        <w:r w:rsidRPr="00127325">
                                          <w:rPr>
                                            <w:sz w:val="21"/>
                                            <w:szCs w:val="21"/>
                                          </w:rPr>
                                          <w:t xml:space="preserve">Figure </w:t>
                                        </w:r>
                                        <w:r w:rsidRPr="00127325">
                                          <w:rPr>
                                            <w:sz w:val="21"/>
                                            <w:szCs w:val="21"/>
                                          </w:rPr>
                                          <w:fldChar w:fldCharType="begin"/>
                                        </w:r>
                                        <w:r w:rsidRPr="00127325">
                                          <w:rPr>
                                            <w:sz w:val="21"/>
                                            <w:szCs w:val="21"/>
                                          </w:rPr>
                                          <w:instrText xml:space="preserve"> SEQ Figure \* ARABIC </w:instrText>
                                        </w:r>
                                        <w:r w:rsidRPr="00127325">
                                          <w:rPr>
                                            <w:sz w:val="21"/>
                                            <w:szCs w:val="21"/>
                                          </w:rPr>
                                          <w:fldChar w:fldCharType="separate"/>
                                        </w:r>
                                        <w:r w:rsidR="008D2566">
                                          <w:rPr>
                                            <w:noProof/>
                                            <w:sz w:val="21"/>
                                            <w:szCs w:val="21"/>
                                          </w:rPr>
                                          <w:t>38</w:t>
                                        </w:r>
                                        <w:r w:rsidRPr="00127325">
                                          <w:rPr>
                                            <w:sz w:val="21"/>
                                            <w:szCs w:val="21"/>
                                          </w:rPr>
                                          <w:fldChar w:fldCharType="end"/>
                                        </w:r>
                                        <w:r w:rsidRPr="00127325">
                                          <w:rPr>
                                            <w:sz w:val="21"/>
                                            <w:szCs w:val="21"/>
                                          </w:rPr>
                                          <w:t>: Earliest to latest SCORE changes within subjects, SFVS service users by gender, July 2021 to June 2024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6B9D06C8" id="_x0000_s1029" type="#_x0000_t202" alt="P2996TB32#y1" style="position:absolute;left:0;text-align:left;margin-left:0;margin-top:2.3pt;width:484.65pt;height:36pt;z-index:251658269;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" stroked="f">
                            <v:textbox inset="0,0,0,0">
                              <w:txbxContent>
                                <w:p w14:paraId="6E154923" w14:textId="490A6765" w:rsidR="009B1CFA" w:rsidRPr="00127325" w:rsidRDefault="009B1CFA" w:rsidP="00236A37">
                                  <w:pPr>
                                    <w:pStyle w:val="Caption"/>
                                    <w:jc w:val="both"/>
                                    <w:rPr>
                                      <w:noProof/>
                                      <w:sz w:val="21"/>
                                      <w:szCs w:val="21"/>
                                    </w:rPr>
                                  </w:pPr>
                                  <w:r w:rsidRPr="00127325">
                                    <w:rPr>
                                      <w:sz w:val="21"/>
                                      <w:szCs w:val="21"/>
                                    </w:rPr>
                                    <w:t xml:space="preserve">Figure </w:t>
                                  </w:r>
                                  <w:r w:rsidRPr="00127325">
                                    <w:rPr>
                                      <w:sz w:val="21"/>
                                      <w:szCs w:val="21"/>
                                    </w:rPr>
                                    <w:fldChar w:fldCharType="begin"/>
                                  </w:r>
                                  <w:r w:rsidRPr="00127325">
                                    <w:rPr>
                                      <w:sz w:val="21"/>
                                      <w:szCs w:val="21"/>
                                    </w:rPr>
                                    <w:instrText xml:space="preserve"> SEQ Figure \* ARABIC </w:instrText>
                                  </w:r>
                                  <w:r w:rsidRPr="00127325">
                                    <w:rPr>
                                      <w:sz w:val="21"/>
                                      <w:szCs w:val="21"/>
                                    </w:rPr>
                                    <w:fldChar w:fldCharType="separate"/>
                                  </w:r>
                                  <w:r w:rsidR="008D2566">
                                    <w:rPr>
                                      <w:noProof/>
                                      <w:sz w:val="21"/>
                                      <w:szCs w:val="21"/>
                                    </w:rPr>
                                    <w:t>38</w:t>
                                  </w:r>
                                  <w:r w:rsidRPr="00127325">
                                    <w:rPr>
                                      <w:sz w:val="21"/>
                                      <w:szCs w:val="21"/>
                                    </w:rPr>
                                    <w:fldChar w:fldCharType="end"/>
                                  </w:r>
                                  <w:r w:rsidRPr="00127325">
                                    <w:rPr>
                                      <w:sz w:val="21"/>
                                      <w:szCs w:val="21"/>
                                    </w:rPr>
                                    <w:t>: Earliest to latest SCORE changes within subjects, SFVS service users by gender, July 2021 to June 2024</w:t>
                                  </w:r>
                                </w:p>
                              </w:txbxContent>
                            </v:textbox>
                            <w10:wrap anchorx="margin"/>
                          </v:shape>
                        </w:pict>
                      </mc:Fallback>
                    </mc:AlternateContent>
                  </w:r>
                </w:p>
                <w:p w14:paraId="225077DC" w14:textId="0459F5C0" w:rsidR="00254830" w:rsidRDefault="00254830" w:rsidP="4184DD85">
                  <w:pPr>
                    <w:spacing w:after="120"/>
                  </w:pPr>
                </w:p>
                <w:p w14:paraId="7131A87A" w14:textId="0A358086" w:rsidR="00702DDC" w:rsidRDefault="00B81FB8" w:rsidP="4184DD85">
                  <w:pPr>
                    <w:spacing w:after="120"/>
                  </w:pPr>
                  <w:r>
                    <w:rPr>
                      <w:noProof/>
                    </w:rPr>
                    <mc:AlternateContent>
                      <mc:Choice Requires="wpg">
                        <w:drawing>
                          <wp:anchor distT="0" distB="0" distL="114300" distR="114300" simplePos="0" relativeHeight="251658268" behindDoc="0" locked="0" layoutInCell="1" allowOverlap="1" wp14:anchorId="5DFB6E14" wp14:editId="1092B11B">
                            <wp:simplePos x="0" y="0"/>
                            <wp:positionH relativeFrom="margin">
                              <wp:align>left</wp:align>
                            </wp:positionH>
                            <wp:positionV relativeFrom="paragraph">
                              <wp:posOffset>12766</wp:posOffset>
                            </wp:positionV>
                            <wp:extent cx="6155542" cy="8474347"/>
                            <wp:effectExtent l="0" t="0" r="17145" b="3175"/>
                            <wp:wrapNone/>
                            <wp:docPr id="4" name="Group 3">
                              <a:extLst xmlns:a="http://schemas.openxmlformats.org/drawingml/2006/main">
                                <a:ext uri="{FF2B5EF4-FFF2-40B4-BE49-F238E27FC236}">
                                  <a16:creationId xmlns:a16="http://schemas.microsoft.com/office/drawing/2014/main" id="{6184A504-96FA-1FF8-8855-E36BCAF72753}"/>
                                </a:ext>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155542" cy="8474347"/>
                                      <a:chOff x="300531" y="237314"/>
                                      <a:chExt cx="6156048" cy="5030497"/>
                                    </a:xfrm>
                                  </wpg:grpSpPr>
                                  <wpg:graphicFrame>
                                    <wpg:cNvPr id="1299485173" name="Chart 1299485173">
                                      <a:extLst>
                                        <a:ext uri="{FF2B5EF4-FFF2-40B4-BE49-F238E27FC236}">
                                          <a16:creationId xmlns:a16="http://schemas.microsoft.com/office/drawing/2014/main" id="{5EFA4CB5-A4C0-4309-9613-539E7A1F0B65}"/>
                                        </a:ext>
                                      </a:extLst>
                                    </wpg:cNvPr>
                                    <wpg:cNvFrPr>
                                      <a:graphicFrameLocks/>
                                    </wpg:cNvFrPr>
                                    <wpg:xfrm>
                                      <a:off x="333404" y="237314"/>
                                      <a:ext cx="6123175" cy="2516824"/>
                                    </wpg:xfrm>
                                    <a:graphic>
                                      <a:graphicData uri="http://schemas.openxmlformats.org/drawingml/2006/chart">
                                        <c:chart xmlns:c="http://schemas.openxmlformats.org/drawingml/2006/chart" xmlns:r="http://schemas.openxmlformats.org/officeDocument/2006/relationships" r:id="rId88"/>
                                      </a:graphicData>
                                    </a:graphic>
                                  </wpg:graphicFrame>
                                  <wpg:graphicFrame>
                                    <wpg:cNvPr id="1720820717" name="Chart 1720820717">
                                      <a:extLst>
                                        <a:ext uri="{FF2B5EF4-FFF2-40B4-BE49-F238E27FC236}">
                                          <a16:creationId xmlns:a16="http://schemas.microsoft.com/office/drawing/2014/main" id="{29289EE2-3459-4CED-A3DE-A1EBC40BB6BE}"/>
                                        </a:ext>
                                      </a:extLst>
                                    </wpg:cNvPr>
                                    <wpg:cNvFrPr>
                                      <a:graphicFrameLocks/>
                                    </wpg:cNvFrPr>
                                    <wpg:xfrm>
                                      <a:off x="300531" y="2754162"/>
                                      <a:ext cx="6120000" cy="2513649"/>
                                    </wpg:xfrm>
                                    <a:graphic>
                                      <a:graphicData uri="http://schemas.openxmlformats.org/drawingml/2006/chart">
                                        <c:chart xmlns:c="http://schemas.openxmlformats.org/drawingml/2006/chart" xmlns:r="http://schemas.openxmlformats.org/officeDocument/2006/relationships" r:id="rId89"/>
                                      </a:graphicData>
                                    </a:graphic>
                                  </wpg:graphicFrame>
                                </wpg:wgp>
                              </a:graphicData>
                            </a:graphic>
                            <wp14:sizeRelH relativeFrom="margin">
                              <wp14:pctWidth>0</wp14:pctWidth>
                            </wp14:sizeRelH>
                            <wp14:sizeRelV relativeFrom="margin">
                              <wp14:pctHeight>0</wp14:pctHeight>
                            </wp14:sizeRelV>
                          </wp:anchor>
                        </w:drawing>
                      </mc:Choice>
                      <mc:Fallback>
                        <w:pict>
                          <v:group w14:anchorId="608C4D54" id="Group 3" o:spid="_x0000_s1026" alt="&quot;&quot;" style="position:absolute;margin-left:0;margin-top:1pt;width:484.7pt;height:667.25pt;z-index:251658268;mso-position-horizontal:left;mso-position-horizontal-relative:margin;mso-width-relative:margin;mso-height-relative:margin" coordorigin="3005,2373" coordsize="61560,50304" o:gfxdata="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">
                            <v:shape id="Chart 1299485173" o:spid="_x0000_s1027" type="#_x0000_t75" style="position:absolute;left:3249;top:2336;width:61391;height:2522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">
                              <v:imagedata r:id="rId90" o:title=""/>
                              <o:lock v:ext="edit" aspectratio="f"/>
                            </v:shape>
                            <v:shape id="Chart 1720820717" o:spid="_x0000_s1028" type="#_x0000_t75" style="position:absolute;left:2944;top:27486;width:61331;height:2522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">
                              <v:imagedata r:id="rId91" o:title=""/>
                              <o:lock v:ext="edit" aspectratio="f"/>
                            </v:shape>
                            <w10:wrap anchorx="margin"/>
                          </v:group>
                        </w:pict>
                      </mc:Fallback>
                    </mc:AlternateContent>
                  </w:r>
                </w:p>
                <w:p w14:paraId="587D60ED" w14:textId="1AB40BE7" w:rsidR="00702DDC" w:rsidRDefault="00702DDC" w:rsidP="4184DD85">
                  <w:pPr>
                    <w:spacing w:after="120"/>
                  </w:pPr>
                </w:p>
                <w:p w14:paraId="5628779B" w14:textId="77777777" w:rsidR="00702DDC" w:rsidRDefault="00702DDC" w:rsidP="4184DD85">
                  <w:pPr>
                    <w:spacing w:after="120"/>
                  </w:pPr>
                </w:p>
                <w:p w14:paraId="21D18A74" w14:textId="77777777" w:rsidR="00702DDC" w:rsidRDefault="00702DDC" w:rsidP="4184DD85">
                  <w:pPr>
                    <w:spacing w:after="120"/>
                  </w:pPr>
                </w:p>
                <w:p w14:paraId="22949A34" w14:textId="77777777" w:rsidR="00702DDC" w:rsidRDefault="00702DDC" w:rsidP="4184DD85">
                  <w:pPr>
                    <w:spacing w:after="120"/>
                  </w:pPr>
                </w:p>
                <w:p w14:paraId="3F2F515B" w14:textId="77777777" w:rsidR="00702DDC" w:rsidRDefault="00702DDC" w:rsidP="4184DD85">
                  <w:pPr>
                    <w:spacing w:after="120"/>
                  </w:pPr>
                </w:p>
                <w:p w14:paraId="59F68793" w14:textId="77777777" w:rsidR="00702DDC" w:rsidRDefault="00702DDC" w:rsidP="4184DD85">
                  <w:pPr>
                    <w:spacing w:after="120"/>
                  </w:pPr>
                </w:p>
                <w:p w14:paraId="01A2155B" w14:textId="77777777" w:rsidR="00702DDC" w:rsidRDefault="00702DDC" w:rsidP="4184DD85">
                  <w:pPr>
                    <w:spacing w:after="120"/>
                  </w:pPr>
                </w:p>
                <w:p w14:paraId="77122D45" w14:textId="77777777" w:rsidR="00702DDC" w:rsidRDefault="00702DDC" w:rsidP="4184DD85">
                  <w:pPr>
                    <w:spacing w:after="120"/>
                  </w:pPr>
                </w:p>
                <w:p w14:paraId="0D80F4B5" w14:textId="77777777" w:rsidR="00702DDC" w:rsidRDefault="00702DDC" w:rsidP="4184DD85">
                  <w:pPr>
                    <w:spacing w:after="120"/>
                  </w:pPr>
                </w:p>
                <w:p w14:paraId="3DCCB263" w14:textId="77777777" w:rsidR="00702DDC" w:rsidRDefault="00702DDC" w:rsidP="4184DD85">
                  <w:pPr>
                    <w:spacing w:after="120"/>
                  </w:pPr>
                </w:p>
                <w:p w14:paraId="04E59389" w14:textId="77777777" w:rsidR="00702DDC" w:rsidRDefault="00702DDC" w:rsidP="4184DD85">
                  <w:pPr>
                    <w:spacing w:after="120"/>
                  </w:pPr>
                </w:p>
                <w:p w14:paraId="680858AD" w14:textId="77777777" w:rsidR="00702DDC" w:rsidRDefault="00702DDC" w:rsidP="4184DD85">
                  <w:pPr>
                    <w:spacing w:after="120"/>
                  </w:pPr>
                </w:p>
                <w:p w14:paraId="3D8D04EA" w14:textId="77777777" w:rsidR="00702DDC" w:rsidRDefault="00702DDC" w:rsidP="4184DD85">
                  <w:pPr>
                    <w:spacing w:after="120"/>
                  </w:pPr>
                </w:p>
                <w:p w14:paraId="034B4487" w14:textId="77777777" w:rsidR="00702DDC" w:rsidRDefault="00702DDC" w:rsidP="4184DD85">
                  <w:pPr>
                    <w:spacing w:after="120"/>
                  </w:pPr>
                </w:p>
                <w:p w14:paraId="3AB23145" w14:textId="77777777" w:rsidR="00702DDC" w:rsidRDefault="00702DDC" w:rsidP="4184DD85">
                  <w:pPr>
                    <w:spacing w:after="120"/>
                  </w:pPr>
                </w:p>
                <w:p w14:paraId="166443DF" w14:textId="77777777" w:rsidR="00702DDC" w:rsidRDefault="00702DDC" w:rsidP="4184DD85">
                  <w:pPr>
                    <w:spacing w:after="120"/>
                  </w:pPr>
                </w:p>
                <w:p w14:paraId="6AEB896D" w14:textId="77777777" w:rsidR="00702DDC" w:rsidRDefault="00702DDC" w:rsidP="4184DD85">
                  <w:pPr>
                    <w:spacing w:after="120"/>
                  </w:pPr>
                </w:p>
                <w:p w14:paraId="70F0397B" w14:textId="77777777" w:rsidR="00702DDC" w:rsidRDefault="00702DDC" w:rsidP="4184DD85">
                  <w:pPr>
                    <w:spacing w:after="120"/>
                  </w:pPr>
                </w:p>
                <w:p w14:paraId="27539FE0" w14:textId="77777777" w:rsidR="00702DDC" w:rsidRDefault="00702DDC" w:rsidP="4184DD85">
                  <w:pPr>
                    <w:spacing w:after="120"/>
                  </w:pPr>
                </w:p>
                <w:p w14:paraId="505F5C8C" w14:textId="77777777" w:rsidR="00702DDC" w:rsidRDefault="00702DDC" w:rsidP="4184DD85">
                  <w:pPr>
                    <w:spacing w:after="120"/>
                  </w:pPr>
                </w:p>
                <w:p w14:paraId="6478BEB5" w14:textId="77777777" w:rsidR="00702DDC" w:rsidRDefault="00702DDC" w:rsidP="4184DD85">
                  <w:pPr>
                    <w:spacing w:after="120"/>
                  </w:pPr>
                </w:p>
                <w:p w14:paraId="31C34F9B" w14:textId="77777777" w:rsidR="00702DDC" w:rsidRDefault="00702DDC" w:rsidP="4184DD85">
                  <w:pPr>
                    <w:spacing w:after="120"/>
                  </w:pPr>
                </w:p>
                <w:p w14:paraId="0592BCD6" w14:textId="77777777" w:rsidR="00702DDC" w:rsidRDefault="00702DDC" w:rsidP="4184DD85">
                  <w:pPr>
                    <w:spacing w:after="120"/>
                  </w:pPr>
                </w:p>
                <w:p w14:paraId="181708D7" w14:textId="77777777" w:rsidR="00702DDC" w:rsidRDefault="00702DDC" w:rsidP="4184DD85">
                  <w:pPr>
                    <w:spacing w:after="120"/>
                  </w:pPr>
                </w:p>
                <w:p w14:paraId="074E3893" w14:textId="77777777" w:rsidR="00702DDC" w:rsidRDefault="00702DDC" w:rsidP="4184DD85">
                  <w:pPr>
                    <w:spacing w:after="120"/>
                  </w:pPr>
                </w:p>
                <w:p w14:paraId="60CE430F" w14:textId="77777777" w:rsidR="00702DDC" w:rsidRDefault="00702DDC" w:rsidP="4184DD85">
                  <w:pPr>
                    <w:spacing w:after="120"/>
                  </w:pPr>
                </w:p>
                <w:p w14:paraId="739F7975" w14:textId="77777777" w:rsidR="00702DDC" w:rsidRDefault="00702DDC" w:rsidP="4184DD85">
                  <w:pPr>
                    <w:spacing w:after="120"/>
                  </w:pPr>
                </w:p>
                <w:p w14:paraId="477C0BC7" w14:textId="77777777" w:rsidR="00702DDC" w:rsidRDefault="00702DDC" w:rsidP="4184DD85">
                  <w:pPr>
                    <w:spacing w:after="120"/>
                  </w:pPr>
                </w:p>
                <w:p w14:paraId="368A40F3" w14:textId="77777777" w:rsidR="00702DDC" w:rsidRDefault="00702DDC" w:rsidP="4184DD85">
                  <w:pPr>
                    <w:spacing w:after="120"/>
                  </w:pPr>
                </w:p>
                <w:p w14:paraId="623F733A" w14:textId="77777777" w:rsidR="00DA6120" w:rsidRDefault="00DA6120" w:rsidP="4184DD85">
                  <w:pPr>
                    <w:spacing w:after="120"/>
                  </w:pPr>
                </w:p>
                <w:p w14:paraId="2840CE4A" w14:textId="77777777" w:rsidR="00127325" w:rsidRDefault="00127325" w:rsidP="4184DD85">
                  <w:pPr>
                    <w:spacing w:after="120"/>
                  </w:pPr>
                </w:p>
                <w:p w14:paraId="32E4CEEB" w14:textId="14975944" w:rsidR="00DA6120" w:rsidRDefault="007E7E65" w:rsidP="00253034">
                  <w:pPr>
                    <w:pStyle w:val="TableFigure-Header"/>
                    <w:spacing w:line="276" w:lineRule="auto"/>
                    <w:jc w:val="both"/>
                    <w:rPr>
                      <w:lang w:val="en-NZ"/>
                    </w:rPr>
                  </w:pPr>
                  <w:r w:rsidRPr="4747A340">
                    <w:rPr>
                      <w:lang w:val="en-NZ"/>
                    </w:rPr>
                    <w:t xml:space="preserve">Table </w:t>
                  </w:r>
                  <w:r w:rsidR="008D2566">
                    <w:fldChar w:fldCharType="begin"/>
                  </w:r>
                  <w:r w:rsidR="008D2566">
                    <w:instrText xml:space="preserve"> SEQ Table \* ARABIC </w:instrText>
                  </w:r>
                  <w:r w:rsidR="008D2566">
                    <w:fldChar w:fldCharType="separate"/>
                  </w:r>
                  <w:r w:rsidR="008D2566">
                    <w:rPr>
                      <w:noProof/>
                    </w:rPr>
                    <w:t>32</w:t>
                  </w:r>
                  <w:r w:rsidR="008D2566">
                    <w:rPr>
                      <w:noProof/>
                    </w:rPr>
                    <w:fldChar w:fldCharType="end"/>
                  </w:r>
                  <w:r w:rsidRPr="4747A340">
                    <w:rPr>
                      <w:lang w:val="en-NZ"/>
                    </w:rPr>
                    <w:t xml:space="preserve">: Percentage of </w:t>
                  </w:r>
                  <w:r w:rsidR="000A1AD2">
                    <w:rPr>
                      <w:lang w:val="en-NZ"/>
                    </w:rPr>
                    <w:t>service users with</w:t>
                  </w:r>
                  <w:r w:rsidRPr="4747A340">
                    <w:rPr>
                      <w:lang w:val="en-NZ"/>
                    </w:rPr>
                    <w:t xml:space="preserve"> positive SCORE change for specific Circumstance and Goal domains, FaRS service users by gender – female, July 2021 to </w:t>
                  </w:r>
                  <w:r w:rsidR="5AFE239B" w:rsidRPr="3E666E7D">
                    <w:rPr>
                      <w:lang w:val="en-NZ"/>
                    </w:rPr>
                    <w:t xml:space="preserve">June </w:t>
                  </w:r>
                  <w:r w:rsidRPr="4747A340">
                    <w:rPr>
                      <w:lang w:val="en-NZ"/>
                    </w:rPr>
                    <w:t>2024</w:t>
                  </w:r>
                </w:p>
                <w:tbl>
                  <w:tblPr>
                    <w:tblStyle w:val="TableGrid3"/>
                    <w:tblW w:w="5000" w:type="pct"/>
                    <w:tblLayout w:type="fixed"/>
                    <w:tblLook w:val="04A0" w:firstRow="1" w:lastRow="0" w:firstColumn="1" w:lastColumn="0" w:noHBand="0" w:noVBand="1"/>
                  </w:tblPr>
                  <w:tblGrid>
                    <w:gridCol w:w="1697"/>
                    <w:gridCol w:w="3826"/>
                    <w:gridCol w:w="3496"/>
                  </w:tblGrid>
                  <w:tr w:rsidR="00D96463" w:rsidRPr="00036888" w14:paraId="342AE7E8" w14:textId="77777777">
                    <w:trPr>
                      <w:trHeight w:val="298"/>
                    </w:trPr>
                    <w:tc>
                      <w:tcPr>
                        <w:tcW w:w="941" w:type="pct"/>
                        <w:shd w:val="clear" w:color="auto" w:fill="007E00" w:themeFill="accent3"/>
                        <w:noWrap/>
                        <w:hideMark/>
                      </w:tcPr>
                      <w:p w14:paraId="6FCD7139" w14:textId="77777777" w:rsidR="00D96463" w:rsidRPr="00F6254E" w:rsidRDefault="00D96463">
                        <w:pPr>
                          <w:pStyle w:val="TableText"/>
                          <w:rPr>
                            <w:b/>
                            <w:bCs/>
                            <w:color w:val="FFFFFF" w:themeColor="background1"/>
                          </w:rPr>
                        </w:pPr>
                        <w:r w:rsidRPr="00F6254E">
                          <w:rPr>
                            <w:b/>
                            <w:bCs/>
                            <w:color w:val="FFFFFF" w:themeColor="background1"/>
                          </w:rPr>
                          <w:t>Outcome Type</w:t>
                        </w:r>
                      </w:p>
                    </w:tc>
                    <w:tc>
                      <w:tcPr>
                        <w:tcW w:w="2121" w:type="pct"/>
                        <w:shd w:val="clear" w:color="auto" w:fill="007E00" w:themeFill="accent3"/>
                      </w:tcPr>
                      <w:p w14:paraId="377D85DA" w14:textId="77777777" w:rsidR="00D96463" w:rsidRDefault="00D96463">
                        <w:pPr>
                          <w:pStyle w:val="TableText"/>
                          <w:rPr>
                            <w:b/>
                            <w:bCs/>
                            <w:color w:val="FFFFFF" w:themeColor="background1"/>
                          </w:rPr>
                        </w:pPr>
                        <w:r>
                          <w:rPr>
                            <w:b/>
                            <w:bCs/>
                            <w:color w:val="FFFFFF" w:themeColor="background1"/>
                          </w:rPr>
                          <w:t>Domain description</w:t>
                        </w:r>
                      </w:p>
                    </w:tc>
                    <w:tc>
                      <w:tcPr>
                        <w:tcW w:w="1938" w:type="pct"/>
                        <w:shd w:val="clear" w:color="auto" w:fill="007E00" w:themeFill="accent3"/>
                        <w:noWrap/>
                        <w:hideMark/>
                      </w:tcPr>
                      <w:p w14:paraId="6584D6A2" w14:textId="77777777" w:rsidR="00D96463" w:rsidRPr="00F6254E" w:rsidRDefault="00D96463">
                        <w:pPr>
                          <w:pStyle w:val="TableText"/>
                          <w:rPr>
                            <w:b/>
                            <w:bCs/>
                            <w:color w:val="FFFFFF" w:themeColor="background1"/>
                          </w:rPr>
                        </w:pPr>
                        <w:r>
                          <w:rPr>
                            <w:b/>
                            <w:bCs/>
                            <w:color w:val="FFFFFF" w:themeColor="background1"/>
                          </w:rPr>
                          <w:t xml:space="preserve">Service users </w:t>
                        </w:r>
                        <w:r w:rsidRPr="00F6254E">
                          <w:rPr>
                            <w:b/>
                            <w:bCs/>
                            <w:color w:val="FFFFFF" w:themeColor="background1"/>
                          </w:rPr>
                          <w:t>with positive mean change (%, n</w:t>
                        </w:r>
                        <w:r>
                          <w:rPr>
                            <w:b/>
                            <w:bCs/>
                            <w:color w:val="FFFFFF" w:themeColor="background1"/>
                          </w:rPr>
                          <w:t>=</w:t>
                        </w:r>
                        <w:r w:rsidRPr="00F6254E">
                          <w:rPr>
                            <w:b/>
                            <w:bCs/>
                            <w:color w:val="FFFFFF" w:themeColor="background1"/>
                          </w:rPr>
                          <w:t>)</w:t>
                        </w:r>
                      </w:p>
                    </w:tc>
                  </w:tr>
                  <w:tr w:rsidR="00D96463" w:rsidRPr="00036888" w14:paraId="6CD4CE96" w14:textId="77777777" w:rsidTr="00321BC5">
                    <w:trPr>
                      <w:trHeight w:val="298"/>
                    </w:trPr>
                    <w:tc>
                      <w:tcPr>
                        <w:tcW w:w="941" w:type="pct"/>
                        <w:vMerge w:val="restart"/>
                        <w:noWrap/>
                        <w:hideMark/>
                      </w:tcPr>
                      <w:p w14:paraId="6D0F8E10" w14:textId="77777777" w:rsidR="00D96463" w:rsidRPr="008D0F42" w:rsidRDefault="00D96463" w:rsidP="00D96463">
                        <w:pPr>
                          <w:pStyle w:val="TableText"/>
                        </w:pPr>
                        <w:r w:rsidRPr="008D0F42">
                          <w:t>Circumstances</w:t>
                        </w:r>
                      </w:p>
                    </w:tc>
                    <w:tc>
                      <w:tcPr>
                        <w:tcW w:w="2121" w:type="pct"/>
                      </w:tcPr>
                      <w:p w14:paraId="08C9F367" w14:textId="77777777" w:rsidR="00D96463" w:rsidRPr="008D0F42" w:rsidRDefault="00D96463" w:rsidP="00D96463">
                        <w:pPr>
                          <w:pStyle w:val="TableText"/>
                        </w:pPr>
                        <w:r w:rsidRPr="008D0F42">
                          <w:t>Family functioning</w:t>
                        </w:r>
                      </w:p>
                    </w:tc>
                    <w:tc>
                      <w:tcPr>
                        <w:tcW w:w="1938" w:type="pct"/>
                        <w:noWrap/>
                        <w:hideMark/>
                      </w:tcPr>
                      <w:p w14:paraId="468B65FF" w14:textId="4C9860B1" w:rsidR="00D96463" w:rsidRPr="008D0F42" w:rsidRDefault="00D96463" w:rsidP="00D96463">
                        <w:pPr>
                          <w:pStyle w:val="TableText"/>
                        </w:pPr>
                        <w:r w:rsidRPr="0042675B">
                          <w:t>54.5% (n=1</w:t>
                        </w:r>
                        <w:r w:rsidR="007E7E65">
                          <w:t>,</w:t>
                        </w:r>
                        <w:r w:rsidRPr="0042675B">
                          <w:t>053)</w:t>
                        </w:r>
                      </w:p>
                    </w:tc>
                  </w:tr>
                  <w:tr w:rsidR="00D96463" w:rsidRPr="00036888" w14:paraId="6657FCC3" w14:textId="77777777" w:rsidTr="00321BC5">
                    <w:trPr>
                      <w:trHeight w:val="298"/>
                    </w:trPr>
                    <w:tc>
                      <w:tcPr>
                        <w:tcW w:w="941" w:type="pct"/>
                        <w:vMerge/>
                        <w:noWrap/>
                      </w:tcPr>
                      <w:p w14:paraId="3B06405C" w14:textId="77777777" w:rsidR="00D96463" w:rsidRPr="008D0F42" w:rsidRDefault="00D96463" w:rsidP="00D96463">
                        <w:pPr>
                          <w:pStyle w:val="TableText"/>
                        </w:pPr>
                      </w:p>
                    </w:tc>
                    <w:tc>
                      <w:tcPr>
                        <w:tcW w:w="2121" w:type="pct"/>
                      </w:tcPr>
                      <w:p w14:paraId="79DFEA9A" w14:textId="77777777" w:rsidR="00D96463" w:rsidRPr="008D0F42" w:rsidRDefault="00D96463" w:rsidP="00D96463">
                        <w:pPr>
                          <w:pStyle w:val="TableText"/>
                        </w:pPr>
                        <w:r w:rsidRPr="3DEE28EC">
                          <w:rPr>
                            <w:lang w:val="en-NZ"/>
                          </w:rPr>
                          <w:t>Mental health, wellbeing and self-care</w:t>
                        </w:r>
                      </w:p>
                    </w:tc>
                    <w:tc>
                      <w:tcPr>
                        <w:tcW w:w="1938" w:type="pct"/>
                        <w:noWrap/>
                      </w:tcPr>
                      <w:p w14:paraId="1E380657" w14:textId="0CC23AD3" w:rsidR="00D96463" w:rsidRPr="008D0F42" w:rsidRDefault="00D96463" w:rsidP="00D96463">
                        <w:pPr>
                          <w:pStyle w:val="TableText"/>
                        </w:pPr>
                        <w:r w:rsidRPr="0042675B">
                          <w:t>55.8% (n=1</w:t>
                        </w:r>
                        <w:r w:rsidR="007E7E65">
                          <w:t>,</w:t>
                        </w:r>
                        <w:r w:rsidRPr="0042675B">
                          <w:t>138)</w:t>
                        </w:r>
                      </w:p>
                    </w:tc>
                  </w:tr>
                  <w:tr w:rsidR="00D96463" w:rsidRPr="00036888" w14:paraId="0F1738EE" w14:textId="77777777" w:rsidTr="00321BC5">
                    <w:trPr>
                      <w:trHeight w:val="298"/>
                    </w:trPr>
                    <w:tc>
                      <w:tcPr>
                        <w:tcW w:w="941" w:type="pct"/>
                        <w:vMerge/>
                        <w:noWrap/>
                      </w:tcPr>
                      <w:p w14:paraId="5888B7C7" w14:textId="77777777" w:rsidR="00D96463" w:rsidRPr="008D0F42" w:rsidRDefault="00D96463" w:rsidP="00D96463">
                        <w:pPr>
                          <w:pStyle w:val="TableText"/>
                        </w:pPr>
                      </w:p>
                    </w:tc>
                    <w:tc>
                      <w:tcPr>
                        <w:tcW w:w="2121" w:type="pct"/>
                      </w:tcPr>
                      <w:p w14:paraId="0FFF3F90" w14:textId="77777777" w:rsidR="00D96463" w:rsidRPr="008D0F42" w:rsidRDefault="00D96463" w:rsidP="00D96463">
                        <w:pPr>
                          <w:pStyle w:val="TableText"/>
                        </w:pPr>
                        <w:r w:rsidRPr="008D0F42">
                          <w:t>Personal and family safety</w:t>
                        </w:r>
                      </w:p>
                    </w:tc>
                    <w:tc>
                      <w:tcPr>
                        <w:tcW w:w="1938" w:type="pct"/>
                        <w:noWrap/>
                      </w:tcPr>
                      <w:p w14:paraId="4E362ADD" w14:textId="4D889F03" w:rsidR="00D96463" w:rsidRPr="008D0F42" w:rsidRDefault="00D96463" w:rsidP="00D96463">
                        <w:pPr>
                          <w:pStyle w:val="TableText"/>
                        </w:pPr>
                        <w:r w:rsidRPr="0042675B">
                          <w:t>59.3% (n=1</w:t>
                        </w:r>
                        <w:r w:rsidR="007E7E65">
                          <w:t>,</w:t>
                        </w:r>
                        <w:r w:rsidRPr="0042675B">
                          <w:t>582)</w:t>
                        </w:r>
                      </w:p>
                    </w:tc>
                  </w:tr>
                  <w:tr w:rsidR="00D96463" w:rsidRPr="00036888" w14:paraId="34A02CEB" w14:textId="77777777" w:rsidTr="00321BC5">
                    <w:trPr>
                      <w:trHeight w:val="298"/>
                    </w:trPr>
                    <w:tc>
                      <w:tcPr>
                        <w:tcW w:w="941" w:type="pct"/>
                        <w:vMerge w:val="restart"/>
                        <w:noWrap/>
                      </w:tcPr>
                      <w:p w14:paraId="08EFB15F" w14:textId="77777777" w:rsidR="00D96463" w:rsidRPr="008D0F42" w:rsidRDefault="00D96463" w:rsidP="00D96463">
                        <w:pPr>
                          <w:pStyle w:val="TableText"/>
                        </w:pPr>
                        <w:r w:rsidRPr="008D0F42">
                          <w:t>Goals</w:t>
                        </w:r>
                      </w:p>
                    </w:tc>
                    <w:tc>
                      <w:tcPr>
                        <w:tcW w:w="2121" w:type="pct"/>
                      </w:tcPr>
                      <w:p w14:paraId="6E7431BF" w14:textId="77777777" w:rsidR="00D96463" w:rsidRPr="008D0F42" w:rsidRDefault="00D96463" w:rsidP="00D96463">
                        <w:pPr>
                          <w:pStyle w:val="TableText"/>
                        </w:pPr>
                        <w:r w:rsidRPr="00D63E8D">
                          <w:t>Changed behaviours</w:t>
                        </w:r>
                      </w:p>
                    </w:tc>
                    <w:tc>
                      <w:tcPr>
                        <w:tcW w:w="1938" w:type="pct"/>
                        <w:noWrap/>
                      </w:tcPr>
                      <w:p w14:paraId="7AA55AFA" w14:textId="223EF0EE" w:rsidR="00D96463" w:rsidRPr="008D0F42" w:rsidRDefault="00D96463" w:rsidP="00D96463">
                        <w:pPr>
                          <w:pStyle w:val="TableText"/>
                        </w:pPr>
                        <w:r w:rsidRPr="0042675B">
                          <w:t>56.5% (n=726)</w:t>
                        </w:r>
                      </w:p>
                    </w:tc>
                  </w:tr>
                  <w:tr w:rsidR="00D96463" w:rsidRPr="00036888" w14:paraId="175505BB" w14:textId="77777777" w:rsidTr="00321BC5">
                    <w:trPr>
                      <w:trHeight w:val="298"/>
                    </w:trPr>
                    <w:tc>
                      <w:tcPr>
                        <w:tcW w:w="941" w:type="pct"/>
                        <w:vMerge/>
                        <w:noWrap/>
                      </w:tcPr>
                      <w:p w14:paraId="7FE81633" w14:textId="77777777" w:rsidR="00D96463" w:rsidRPr="008D0F42" w:rsidRDefault="00D96463" w:rsidP="00D96463">
                        <w:pPr>
                          <w:pStyle w:val="TableText"/>
                        </w:pPr>
                      </w:p>
                    </w:tc>
                    <w:tc>
                      <w:tcPr>
                        <w:tcW w:w="2121" w:type="pct"/>
                      </w:tcPr>
                      <w:p w14:paraId="05A892C6" w14:textId="77777777" w:rsidR="00D96463" w:rsidRPr="008D0F42" w:rsidRDefault="00D96463" w:rsidP="00D96463">
                        <w:pPr>
                          <w:pStyle w:val="TableText"/>
                        </w:pPr>
                        <w:r w:rsidRPr="00D63E8D">
                          <w:t>Changed impact of immediate crisis</w:t>
                        </w:r>
                      </w:p>
                    </w:tc>
                    <w:tc>
                      <w:tcPr>
                        <w:tcW w:w="1938" w:type="pct"/>
                        <w:noWrap/>
                      </w:tcPr>
                      <w:p w14:paraId="2F136D4E" w14:textId="646738FD" w:rsidR="00D96463" w:rsidRPr="008D0F42" w:rsidRDefault="00D96463" w:rsidP="00D96463">
                        <w:pPr>
                          <w:pStyle w:val="TableText"/>
                        </w:pPr>
                        <w:r w:rsidRPr="0042675B">
                          <w:t>72.4% (n=935)</w:t>
                        </w:r>
                      </w:p>
                    </w:tc>
                  </w:tr>
                  <w:tr w:rsidR="00D96463" w:rsidRPr="00036888" w14:paraId="7532816B" w14:textId="77777777" w:rsidTr="00321BC5">
                    <w:trPr>
                      <w:trHeight w:val="298"/>
                    </w:trPr>
                    <w:tc>
                      <w:tcPr>
                        <w:tcW w:w="941" w:type="pct"/>
                        <w:vMerge/>
                        <w:noWrap/>
                      </w:tcPr>
                      <w:p w14:paraId="33C999D8" w14:textId="77777777" w:rsidR="00D96463" w:rsidRPr="008D0F42" w:rsidRDefault="00D96463" w:rsidP="00D96463">
                        <w:pPr>
                          <w:pStyle w:val="TableText"/>
                        </w:pPr>
                      </w:p>
                    </w:tc>
                    <w:tc>
                      <w:tcPr>
                        <w:tcW w:w="2121" w:type="pct"/>
                      </w:tcPr>
                      <w:p w14:paraId="581FD52D" w14:textId="77777777" w:rsidR="00D96463" w:rsidRPr="008D0F42" w:rsidRDefault="00D96463" w:rsidP="00D96463">
                        <w:pPr>
                          <w:pStyle w:val="TableText"/>
                        </w:pPr>
                        <w:r w:rsidRPr="00D63E8D">
                          <w:t>Changed knowledge and access to information</w:t>
                        </w:r>
                      </w:p>
                    </w:tc>
                    <w:tc>
                      <w:tcPr>
                        <w:tcW w:w="1938" w:type="pct"/>
                        <w:noWrap/>
                      </w:tcPr>
                      <w:p w14:paraId="5841F3CA" w14:textId="6039129F" w:rsidR="00D96463" w:rsidRPr="008D0F42" w:rsidRDefault="00D96463" w:rsidP="00D96463">
                        <w:pPr>
                          <w:pStyle w:val="TableText"/>
                        </w:pPr>
                        <w:r w:rsidRPr="0042675B">
                          <w:t>66.6% (n=1</w:t>
                        </w:r>
                        <w:r w:rsidR="007E7E65">
                          <w:t>,</w:t>
                        </w:r>
                        <w:r w:rsidRPr="0042675B">
                          <w:t>208)</w:t>
                        </w:r>
                      </w:p>
                    </w:tc>
                  </w:tr>
                  <w:tr w:rsidR="00D96463" w:rsidRPr="00036888" w14:paraId="25927F12" w14:textId="77777777" w:rsidTr="00321BC5">
                    <w:trPr>
                      <w:trHeight w:val="298"/>
                    </w:trPr>
                    <w:tc>
                      <w:tcPr>
                        <w:tcW w:w="941" w:type="pct"/>
                        <w:vMerge/>
                        <w:noWrap/>
                      </w:tcPr>
                      <w:p w14:paraId="2D9BDB6F" w14:textId="77777777" w:rsidR="00D96463" w:rsidRPr="008D0F42" w:rsidRDefault="00D96463" w:rsidP="00D96463">
                        <w:pPr>
                          <w:pStyle w:val="TableText"/>
                        </w:pPr>
                      </w:p>
                    </w:tc>
                    <w:tc>
                      <w:tcPr>
                        <w:tcW w:w="2121" w:type="pct"/>
                      </w:tcPr>
                      <w:p w14:paraId="4F3E0B03" w14:textId="77777777" w:rsidR="00D96463" w:rsidRPr="008D0F42" w:rsidRDefault="00D96463" w:rsidP="00D96463">
                        <w:pPr>
                          <w:pStyle w:val="TableText"/>
                        </w:pPr>
                        <w:r w:rsidRPr="00D63E8D">
                          <w:t>Changed skills</w:t>
                        </w:r>
                      </w:p>
                    </w:tc>
                    <w:tc>
                      <w:tcPr>
                        <w:tcW w:w="1938" w:type="pct"/>
                        <w:noWrap/>
                      </w:tcPr>
                      <w:p w14:paraId="1A395C31" w14:textId="4983359C" w:rsidR="00D96463" w:rsidRPr="008D0F42" w:rsidRDefault="00D96463" w:rsidP="00D96463">
                        <w:pPr>
                          <w:pStyle w:val="TableText"/>
                        </w:pPr>
                        <w:r w:rsidRPr="0042675B">
                          <w:t>60.3% (n=941)</w:t>
                        </w:r>
                      </w:p>
                    </w:tc>
                  </w:tr>
                  <w:tr w:rsidR="00D96463" w:rsidRPr="00036888" w14:paraId="209CCD6D" w14:textId="77777777" w:rsidTr="00321BC5">
                    <w:trPr>
                      <w:trHeight w:val="298"/>
                    </w:trPr>
                    <w:tc>
                      <w:tcPr>
                        <w:tcW w:w="941" w:type="pct"/>
                        <w:vMerge/>
                        <w:noWrap/>
                      </w:tcPr>
                      <w:p w14:paraId="0021A305" w14:textId="77777777" w:rsidR="00D96463" w:rsidRPr="008D0F42" w:rsidRDefault="00D96463" w:rsidP="00D96463">
                        <w:pPr>
                          <w:pStyle w:val="TableText"/>
                        </w:pPr>
                      </w:p>
                    </w:tc>
                    <w:tc>
                      <w:tcPr>
                        <w:tcW w:w="2121" w:type="pct"/>
                      </w:tcPr>
                      <w:p w14:paraId="2577A340" w14:textId="77777777" w:rsidR="00D96463" w:rsidRPr="008D0F42" w:rsidRDefault="00D96463" w:rsidP="00D96463">
                        <w:pPr>
                          <w:pStyle w:val="TableText"/>
                        </w:pPr>
                        <w:r w:rsidRPr="03FAA4E2">
                          <w:rPr>
                            <w:lang w:val="en-NZ"/>
                          </w:rPr>
                          <w:t>Empowerment, choice and control to make own decisions</w:t>
                        </w:r>
                      </w:p>
                    </w:tc>
                    <w:tc>
                      <w:tcPr>
                        <w:tcW w:w="1938" w:type="pct"/>
                        <w:noWrap/>
                      </w:tcPr>
                      <w:p w14:paraId="79BE9D13" w14:textId="665B36E3" w:rsidR="00D96463" w:rsidRPr="008D0F42" w:rsidRDefault="00D96463" w:rsidP="00D96463">
                        <w:pPr>
                          <w:pStyle w:val="TableText"/>
                        </w:pPr>
                        <w:r w:rsidRPr="0042675B">
                          <w:t>64.3% (n=1</w:t>
                        </w:r>
                        <w:r w:rsidR="007E7E65">
                          <w:t>,</w:t>
                        </w:r>
                        <w:r w:rsidRPr="0042675B">
                          <w:t>209)</w:t>
                        </w:r>
                      </w:p>
                    </w:tc>
                  </w:tr>
                  <w:tr w:rsidR="00D96463" w:rsidRPr="00036888" w14:paraId="1625E21B" w14:textId="77777777" w:rsidTr="00321BC5">
                    <w:trPr>
                      <w:trHeight w:val="298"/>
                    </w:trPr>
                    <w:tc>
                      <w:tcPr>
                        <w:tcW w:w="941" w:type="pct"/>
                        <w:vMerge/>
                        <w:noWrap/>
                      </w:tcPr>
                      <w:p w14:paraId="3A819B40" w14:textId="77777777" w:rsidR="00D96463" w:rsidRPr="008D0F42" w:rsidRDefault="00D96463" w:rsidP="00D96463">
                        <w:pPr>
                          <w:pStyle w:val="TableText"/>
                        </w:pPr>
                      </w:p>
                    </w:tc>
                    <w:tc>
                      <w:tcPr>
                        <w:tcW w:w="2121" w:type="pct"/>
                      </w:tcPr>
                      <w:p w14:paraId="192DB920" w14:textId="77777777" w:rsidR="00D96463" w:rsidRPr="008D0F42" w:rsidRDefault="00D96463" w:rsidP="00D96463">
                        <w:pPr>
                          <w:pStyle w:val="TableText"/>
                        </w:pPr>
                        <w:r w:rsidRPr="00D63E8D">
                          <w:t>Engagement with relevant support services</w:t>
                        </w:r>
                      </w:p>
                    </w:tc>
                    <w:tc>
                      <w:tcPr>
                        <w:tcW w:w="1938" w:type="pct"/>
                        <w:noWrap/>
                      </w:tcPr>
                      <w:p w14:paraId="0A23B00F" w14:textId="637109F7" w:rsidR="00D96463" w:rsidRPr="008D0F42" w:rsidRDefault="00D96463" w:rsidP="00D96463">
                        <w:pPr>
                          <w:pStyle w:val="TableText"/>
                        </w:pPr>
                        <w:r w:rsidRPr="0042675B">
                          <w:t>61.0% (n=794)</w:t>
                        </w:r>
                      </w:p>
                    </w:tc>
                  </w:tr>
                </w:tbl>
                <w:p w14:paraId="32932B5E" w14:textId="1F14BC41" w:rsidR="00DA6120" w:rsidRPr="00253034" w:rsidRDefault="00253034" w:rsidP="4184DD85">
                  <w:pPr>
                    <w:spacing w:after="120"/>
                    <w:rPr>
                      <w:i/>
                      <w:iCs/>
                      <w:sz w:val="20"/>
                      <w:szCs w:val="18"/>
                    </w:rPr>
                  </w:pPr>
                  <w:r w:rsidRPr="00253034">
                    <w:rPr>
                      <w:i/>
                      <w:iCs/>
                      <w:sz w:val="20"/>
                      <w:szCs w:val="18"/>
                    </w:rPr>
                    <w:t xml:space="preserve">Source: DEX-SCORE data </w:t>
                  </w:r>
                </w:p>
                <w:p w14:paraId="5585A5F8" w14:textId="77777777" w:rsidR="00127325" w:rsidRDefault="00127325" w:rsidP="00253034">
                  <w:pPr>
                    <w:pStyle w:val="TableFigure-Header"/>
                    <w:spacing w:line="276" w:lineRule="auto"/>
                    <w:jc w:val="both"/>
                    <w:rPr>
                      <w:lang w:val="en-NZ"/>
                    </w:rPr>
                  </w:pPr>
                </w:p>
                <w:p w14:paraId="3A6C19DA" w14:textId="44E790CC" w:rsidR="007E7E65" w:rsidRDefault="007E7E65" w:rsidP="00253034">
                  <w:pPr>
                    <w:pStyle w:val="TableFigure-Header"/>
                    <w:spacing w:line="276" w:lineRule="auto"/>
                    <w:jc w:val="both"/>
                    <w:rPr>
                      <w:lang w:val="en-NZ"/>
                    </w:rPr>
                  </w:pPr>
                  <w:r w:rsidRPr="4747A340">
                    <w:rPr>
                      <w:lang w:val="en-NZ"/>
                    </w:rPr>
                    <w:t xml:space="preserve">Table </w:t>
                  </w:r>
                  <w:r w:rsidR="008D2566">
                    <w:fldChar w:fldCharType="begin"/>
                  </w:r>
                  <w:r w:rsidR="008D2566">
                    <w:instrText xml:space="preserve"> SEQ Table \* ARABIC </w:instrText>
                  </w:r>
                  <w:r w:rsidR="008D2566">
                    <w:fldChar w:fldCharType="separate"/>
                  </w:r>
                  <w:r w:rsidR="008D2566">
                    <w:rPr>
                      <w:noProof/>
                    </w:rPr>
                    <w:t>33</w:t>
                  </w:r>
                  <w:r w:rsidR="008D2566">
                    <w:rPr>
                      <w:noProof/>
                    </w:rPr>
                    <w:fldChar w:fldCharType="end"/>
                  </w:r>
                  <w:r w:rsidRPr="4747A340">
                    <w:rPr>
                      <w:lang w:val="en-NZ"/>
                    </w:rPr>
                    <w:t xml:space="preserve">: Percentage of </w:t>
                  </w:r>
                  <w:r w:rsidR="000A1AD2">
                    <w:rPr>
                      <w:lang w:val="en-NZ"/>
                    </w:rPr>
                    <w:t xml:space="preserve">services users with </w:t>
                  </w:r>
                  <w:r w:rsidRPr="4747A340">
                    <w:rPr>
                      <w:lang w:val="en-NZ"/>
                    </w:rPr>
                    <w:t xml:space="preserve">positive SCORE change for specific Circumstance and Goal domains, FaRS service users by gender – male, July 2021 to </w:t>
                  </w:r>
                  <w:r w:rsidR="33A8D9DA" w:rsidRPr="3E666E7D">
                    <w:rPr>
                      <w:lang w:val="en-NZ"/>
                    </w:rPr>
                    <w:t xml:space="preserve">June </w:t>
                  </w:r>
                  <w:r w:rsidRPr="4747A340">
                    <w:rPr>
                      <w:lang w:val="en-NZ"/>
                    </w:rPr>
                    <w:t>2024</w:t>
                  </w:r>
                </w:p>
                <w:tbl>
                  <w:tblPr>
                    <w:tblStyle w:val="TableGrid3"/>
                    <w:tblW w:w="5000" w:type="pct"/>
                    <w:tblLayout w:type="fixed"/>
                    <w:tblLook w:val="04A0" w:firstRow="1" w:lastRow="0" w:firstColumn="1" w:lastColumn="0" w:noHBand="0" w:noVBand="1"/>
                  </w:tblPr>
                  <w:tblGrid>
                    <w:gridCol w:w="1697"/>
                    <w:gridCol w:w="3826"/>
                    <w:gridCol w:w="3496"/>
                  </w:tblGrid>
                  <w:tr w:rsidR="00990136" w:rsidRPr="00036888" w14:paraId="3CBE18BF" w14:textId="77777777">
                    <w:trPr>
                      <w:trHeight w:val="298"/>
                    </w:trPr>
                    <w:tc>
                      <w:tcPr>
                        <w:tcW w:w="941" w:type="pct"/>
                        <w:shd w:val="clear" w:color="auto" w:fill="007E00" w:themeFill="accent3"/>
                        <w:noWrap/>
                        <w:hideMark/>
                      </w:tcPr>
                      <w:p w14:paraId="097992FD" w14:textId="77777777" w:rsidR="00990136" w:rsidRPr="00F6254E" w:rsidRDefault="00990136">
                        <w:pPr>
                          <w:pStyle w:val="TableText"/>
                          <w:rPr>
                            <w:b/>
                            <w:bCs/>
                            <w:color w:val="FFFFFF" w:themeColor="background1"/>
                          </w:rPr>
                        </w:pPr>
                        <w:r w:rsidRPr="00F6254E">
                          <w:rPr>
                            <w:b/>
                            <w:bCs/>
                            <w:color w:val="FFFFFF" w:themeColor="background1"/>
                          </w:rPr>
                          <w:t>Outcome Type</w:t>
                        </w:r>
                      </w:p>
                    </w:tc>
                    <w:tc>
                      <w:tcPr>
                        <w:tcW w:w="2121" w:type="pct"/>
                        <w:shd w:val="clear" w:color="auto" w:fill="007E00" w:themeFill="accent3"/>
                      </w:tcPr>
                      <w:p w14:paraId="1808A8AA" w14:textId="77777777" w:rsidR="00990136" w:rsidRDefault="00990136">
                        <w:pPr>
                          <w:pStyle w:val="TableText"/>
                          <w:rPr>
                            <w:b/>
                            <w:bCs/>
                            <w:color w:val="FFFFFF" w:themeColor="background1"/>
                          </w:rPr>
                        </w:pPr>
                        <w:r>
                          <w:rPr>
                            <w:b/>
                            <w:bCs/>
                            <w:color w:val="FFFFFF" w:themeColor="background1"/>
                          </w:rPr>
                          <w:t>Domain description</w:t>
                        </w:r>
                      </w:p>
                    </w:tc>
                    <w:tc>
                      <w:tcPr>
                        <w:tcW w:w="1938" w:type="pct"/>
                        <w:shd w:val="clear" w:color="auto" w:fill="007E00" w:themeFill="accent3"/>
                        <w:noWrap/>
                        <w:hideMark/>
                      </w:tcPr>
                      <w:p w14:paraId="1F3B3071" w14:textId="77777777" w:rsidR="00990136" w:rsidRPr="00F6254E" w:rsidRDefault="00990136">
                        <w:pPr>
                          <w:pStyle w:val="TableText"/>
                          <w:rPr>
                            <w:b/>
                            <w:bCs/>
                            <w:color w:val="FFFFFF" w:themeColor="background1"/>
                          </w:rPr>
                        </w:pPr>
                        <w:r>
                          <w:rPr>
                            <w:b/>
                            <w:bCs/>
                            <w:color w:val="FFFFFF" w:themeColor="background1"/>
                          </w:rPr>
                          <w:t xml:space="preserve">Service users </w:t>
                        </w:r>
                        <w:r w:rsidRPr="00F6254E">
                          <w:rPr>
                            <w:b/>
                            <w:bCs/>
                            <w:color w:val="FFFFFF" w:themeColor="background1"/>
                          </w:rPr>
                          <w:t>with positive mean change (%, n</w:t>
                        </w:r>
                        <w:r>
                          <w:rPr>
                            <w:b/>
                            <w:bCs/>
                            <w:color w:val="FFFFFF" w:themeColor="background1"/>
                          </w:rPr>
                          <w:t>=</w:t>
                        </w:r>
                        <w:r w:rsidRPr="00F6254E">
                          <w:rPr>
                            <w:b/>
                            <w:bCs/>
                            <w:color w:val="FFFFFF" w:themeColor="background1"/>
                          </w:rPr>
                          <w:t>)</w:t>
                        </w:r>
                      </w:p>
                    </w:tc>
                  </w:tr>
                  <w:tr w:rsidR="00990136" w:rsidRPr="00036888" w14:paraId="137B938B" w14:textId="77777777" w:rsidTr="00321BC5">
                    <w:trPr>
                      <w:trHeight w:val="298"/>
                    </w:trPr>
                    <w:tc>
                      <w:tcPr>
                        <w:tcW w:w="941" w:type="pct"/>
                        <w:vMerge w:val="restart"/>
                        <w:noWrap/>
                        <w:hideMark/>
                      </w:tcPr>
                      <w:p w14:paraId="63C82BFB" w14:textId="77777777" w:rsidR="00990136" w:rsidRPr="008D0F42" w:rsidRDefault="00990136">
                        <w:pPr>
                          <w:pStyle w:val="TableText"/>
                        </w:pPr>
                        <w:r w:rsidRPr="008D0F42">
                          <w:t>Circumstances</w:t>
                        </w:r>
                      </w:p>
                    </w:tc>
                    <w:tc>
                      <w:tcPr>
                        <w:tcW w:w="2121" w:type="pct"/>
                      </w:tcPr>
                      <w:p w14:paraId="114C18CC" w14:textId="77777777" w:rsidR="00990136" w:rsidRPr="008D0F42" w:rsidRDefault="00990136">
                        <w:pPr>
                          <w:pStyle w:val="TableText"/>
                        </w:pPr>
                        <w:r w:rsidRPr="008D0F42">
                          <w:t>Family functioning</w:t>
                        </w:r>
                      </w:p>
                    </w:tc>
                    <w:tc>
                      <w:tcPr>
                        <w:tcW w:w="1938" w:type="pct"/>
                        <w:noWrap/>
                        <w:hideMark/>
                      </w:tcPr>
                      <w:p w14:paraId="2F601111" w14:textId="25FCFDBD" w:rsidR="00990136" w:rsidRPr="008D0F42" w:rsidRDefault="007E7E65">
                        <w:pPr>
                          <w:pStyle w:val="TableText"/>
                        </w:pPr>
                        <w:r w:rsidRPr="00C84BF4">
                          <w:t>51.6</w:t>
                        </w:r>
                        <w:r w:rsidR="00990136" w:rsidRPr="0042675B">
                          <w:t>% (n=</w:t>
                        </w:r>
                        <w:r w:rsidRPr="00C84BF4">
                          <w:t>497</w:t>
                        </w:r>
                        <w:r w:rsidR="00990136" w:rsidRPr="0042675B">
                          <w:t>)</w:t>
                        </w:r>
                      </w:p>
                    </w:tc>
                  </w:tr>
                  <w:tr w:rsidR="00990136" w:rsidRPr="00036888" w14:paraId="3143D48C" w14:textId="77777777" w:rsidTr="00321BC5">
                    <w:trPr>
                      <w:trHeight w:val="298"/>
                    </w:trPr>
                    <w:tc>
                      <w:tcPr>
                        <w:tcW w:w="941" w:type="pct"/>
                        <w:vMerge/>
                        <w:noWrap/>
                      </w:tcPr>
                      <w:p w14:paraId="06D7F139" w14:textId="77777777" w:rsidR="00990136" w:rsidRPr="008D0F42" w:rsidRDefault="00990136">
                        <w:pPr>
                          <w:pStyle w:val="TableText"/>
                        </w:pPr>
                      </w:p>
                    </w:tc>
                    <w:tc>
                      <w:tcPr>
                        <w:tcW w:w="2121" w:type="pct"/>
                      </w:tcPr>
                      <w:p w14:paraId="254DD440" w14:textId="77777777" w:rsidR="00990136" w:rsidRPr="008D0F42" w:rsidRDefault="00990136">
                        <w:pPr>
                          <w:pStyle w:val="TableText"/>
                        </w:pPr>
                        <w:r w:rsidRPr="3DEE28EC">
                          <w:rPr>
                            <w:lang w:val="en-NZ"/>
                          </w:rPr>
                          <w:t>Mental health, wellbeing and self-care</w:t>
                        </w:r>
                      </w:p>
                    </w:tc>
                    <w:tc>
                      <w:tcPr>
                        <w:tcW w:w="1938" w:type="pct"/>
                        <w:noWrap/>
                      </w:tcPr>
                      <w:p w14:paraId="35D46C19" w14:textId="71D22F23" w:rsidR="00990136" w:rsidRPr="008D0F42" w:rsidRDefault="007E7E65">
                        <w:pPr>
                          <w:pStyle w:val="TableText"/>
                        </w:pPr>
                        <w:r w:rsidRPr="00C84BF4">
                          <w:t>53.5</w:t>
                        </w:r>
                        <w:r w:rsidR="00990136" w:rsidRPr="0042675B">
                          <w:t>% (n=</w:t>
                        </w:r>
                        <w:r w:rsidRPr="00C84BF4">
                          <w:t>521</w:t>
                        </w:r>
                        <w:r w:rsidR="00990136" w:rsidRPr="0042675B">
                          <w:t>)</w:t>
                        </w:r>
                      </w:p>
                    </w:tc>
                  </w:tr>
                  <w:tr w:rsidR="00990136" w:rsidRPr="00036888" w14:paraId="35BBE287" w14:textId="77777777" w:rsidTr="00321BC5">
                    <w:trPr>
                      <w:trHeight w:val="298"/>
                    </w:trPr>
                    <w:tc>
                      <w:tcPr>
                        <w:tcW w:w="941" w:type="pct"/>
                        <w:vMerge/>
                        <w:noWrap/>
                      </w:tcPr>
                      <w:p w14:paraId="123DD40E" w14:textId="77777777" w:rsidR="00990136" w:rsidRPr="008D0F42" w:rsidRDefault="00990136">
                        <w:pPr>
                          <w:pStyle w:val="TableText"/>
                        </w:pPr>
                      </w:p>
                    </w:tc>
                    <w:tc>
                      <w:tcPr>
                        <w:tcW w:w="2121" w:type="pct"/>
                      </w:tcPr>
                      <w:p w14:paraId="68FCE4B7" w14:textId="77777777" w:rsidR="00990136" w:rsidRPr="008D0F42" w:rsidRDefault="00990136">
                        <w:pPr>
                          <w:pStyle w:val="TableText"/>
                        </w:pPr>
                        <w:r w:rsidRPr="008D0F42">
                          <w:t>Personal and family safety</w:t>
                        </w:r>
                      </w:p>
                    </w:tc>
                    <w:tc>
                      <w:tcPr>
                        <w:tcW w:w="1938" w:type="pct"/>
                        <w:noWrap/>
                      </w:tcPr>
                      <w:p w14:paraId="48DF3332" w14:textId="3F689105" w:rsidR="00990136" w:rsidRPr="008D0F42" w:rsidRDefault="007E7E65">
                        <w:pPr>
                          <w:pStyle w:val="TableText"/>
                        </w:pPr>
                        <w:r w:rsidRPr="00C84BF4">
                          <w:t>50.0</w:t>
                        </w:r>
                        <w:r w:rsidR="00990136" w:rsidRPr="0042675B">
                          <w:t>% (n=</w:t>
                        </w:r>
                        <w:r w:rsidRPr="00C84BF4">
                          <w:t>500</w:t>
                        </w:r>
                        <w:r w:rsidR="00990136" w:rsidRPr="0042675B">
                          <w:t>)</w:t>
                        </w:r>
                      </w:p>
                    </w:tc>
                  </w:tr>
                  <w:tr w:rsidR="00990136" w:rsidRPr="00036888" w14:paraId="45964FDB" w14:textId="77777777" w:rsidTr="00321BC5">
                    <w:trPr>
                      <w:trHeight w:val="298"/>
                    </w:trPr>
                    <w:tc>
                      <w:tcPr>
                        <w:tcW w:w="941" w:type="pct"/>
                        <w:vMerge w:val="restart"/>
                        <w:noWrap/>
                      </w:tcPr>
                      <w:p w14:paraId="03EE14F6" w14:textId="77777777" w:rsidR="00990136" w:rsidRPr="008D0F42" w:rsidRDefault="00990136">
                        <w:pPr>
                          <w:pStyle w:val="TableText"/>
                        </w:pPr>
                        <w:r w:rsidRPr="008D0F42">
                          <w:t>Goals</w:t>
                        </w:r>
                      </w:p>
                    </w:tc>
                    <w:tc>
                      <w:tcPr>
                        <w:tcW w:w="2121" w:type="pct"/>
                      </w:tcPr>
                      <w:p w14:paraId="5FA6D285" w14:textId="77777777" w:rsidR="00990136" w:rsidRPr="008D0F42" w:rsidRDefault="00990136">
                        <w:pPr>
                          <w:pStyle w:val="TableText"/>
                        </w:pPr>
                        <w:r w:rsidRPr="00D63E8D">
                          <w:t>Changed behaviours</w:t>
                        </w:r>
                      </w:p>
                    </w:tc>
                    <w:tc>
                      <w:tcPr>
                        <w:tcW w:w="1938" w:type="pct"/>
                        <w:noWrap/>
                      </w:tcPr>
                      <w:p w14:paraId="1DE71827" w14:textId="1C27ACE8" w:rsidR="00990136" w:rsidRPr="008D0F42" w:rsidRDefault="007E7E65">
                        <w:pPr>
                          <w:pStyle w:val="TableText"/>
                        </w:pPr>
                        <w:r w:rsidRPr="00C84BF4">
                          <w:t>57</w:t>
                        </w:r>
                        <w:r w:rsidR="00990136" w:rsidRPr="0042675B">
                          <w:t>.5% (n=</w:t>
                        </w:r>
                        <w:r w:rsidRPr="00C84BF4">
                          <w:t>545</w:t>
                        </w:r>
                        <w:r w:rsidR="00990136" w:rsidRPr="0042675B">
                          <w:t>)</w:t>
                        </w:r>
                      </w:p>
                    </w:tc>
                  </w:tr>
                  <w:tr w:rsidR="00990136" w:rsidRPr="00036888" w14:paraId="5CC20C8D" w14:textId="77777777" w:rsidTr="00321BC5">
                    <w:trPr>
                      <w:trHeight w:val="298"/>
                    </w:trPr>
                    <w:tc>
                      <w:tcPr>
                        <w:tcW w:w="941" w:type="pct"/>
                        <w:vMerge/>
                        <w:noWrap/>
                      </w:tcPr>
                      <w:p w14:paraId="32826D89" w14:textId="77777777" w:rsidR="00990136" w:rsidRPr="008D0F42" w:rsidRDefault="00990136">
                        <w:pPr>
                          <w:pStyle w:val="TableText"/>
                        </w:pPr>
                      </w:p>
                    </w:tc>
                    <w:tc>
                      <w:tcPr>
                        <w:tcW w:w="2121" w:type="pct"/>
                      </w:tcPr>
                      <w:p w14:paraId="50B0E69A" w14:textId="77777777" w:rsidR="00990136" w:rsidRPr="008D0F42" w:rsidRDefault="00990136">
                        <w:pPr>
                          <w:pStyle w:val="TableText"/>
                        </w:pPr>
                        <w:r w:rsidRPr="00D63E8D">
                          <w:t>Changed impact of immediate crisis</w:t>
                        </w:r>
                      </w:p>
                    </w:tc>
                    <w:tc>
                      <w:tcPr>
                        <w:tcW w:w="1938" w:type="pct"/>
                        <w:noWrap/>
                      </w:tcPr>
                      <w:p w14:paraId="2D8B86E0" w14:textId="446FDA65" w:rsidR="00990136" w:rsidRPr="008D0F42" w:rsidRDefault="007E7E65">
                        <w:pPr>
                          <w:pStyle w:val="TableText"/>
                        </w:pPr>
                        <w:r w:rsidRPr="00C84BF4">
                          <w:t>63.2</w:t>
                        </w:r>
                        <w:r w:rsidR="00990136" w:rsidRPr="0042675B">
                          <w:t>% (n=</w:t>
                        </w:r>
                        <w:r w:rsidRPr="00C84BF4">
                          <w:t>234</w:t>
                        </w:r>
                        <w:r w:rsidR="00990136" w:rsidRPr="0042675B">
                          <w:t>)</w:t>
                        </w:r>
                      </w:p>
                    </w:tc>
                  </w:tr>
                  <w:tr w:rsidR="00990136" w:rsidRPr="00036888" w14:paraId="7D21D83D" w14:textId="77777777" w:rsidTr="00321BC5">
                    <w:trPr>
                      <w:trHeight w:val="298"/>
                    </w:trPr>
                    <w:tc>
                      <w:tcPr>
                        <w:tcW w:w="941" w:type="pct"/>
                        <w:vMerge/>
                        <w:noWrap/>
                      </w:tcPr>
                      <w:p w14:paraId="1B685A83" w14:textId="77777777" w:rsidR="00990136" w:rsidRPr="008D0F42" w:rsidRDefault="00990136">
                        <w:pPr>
                          <w:pStyle w:val="TableText"/>
                        </w:pPr>
                      </w:p>
                    </w:tc>
                    <w:tc>
                      <w:tcPr>
                        <w:tcW w:w="2121" w:type="pct"/>
                      </w:tcPr>
                      <w:p w14:paraId="0D650C8A" w14:textId="77777777" w:rsidR="00990136" w:rsidRPr="008D0F42" w:rsidRDefault="00990136">
                        <w:pPr>
                          <w:pStyle w:val="TableText"/>
                        </w:pPr>
                        <w:r w:rsidRPr="00D63E8D">
                          <w:t>Changed knowledge and access to information</w:t>
                        </w:r>
                      </w:p>
                    </w:tc>
                    <w:tc>
                      <w:tcPr>
                        <w:tcW w:w="1938" w:type="pct"/>
                        <w:noWrap/>
                      </w:tcPr>
                      <w:p w14:paraId="789EBF67" w14:textId="0E89AAD6" w:rsidR="00990136" w:rsidRPr="008D0F42" w:rsidRDefault="007E7E65">
                        <w:pPr>
                          <w:pStyle w:val="TableText"/>
                        </w:pPr>
                        <w:r w:rsidRPr="00C84BF4">
                          <w:t>60.9</w:t>
                        </w:r>
                        <w:r w:rsidR="00990136" w:rsidRPr="0042675B">
                          <w:t>% (n=</w:t>
                        </w:r>
                        <w:r w:rsidRPr="00C84BF4">
                          <w:t>464</w:t>
                        </w:r>
                        <w:r w:rsidR="00990136" w:rsidRPr="0042675B">
                          <w:t>)</w:t>
                        </w:r>
                      </w:p>
                    </w:tc>
                  </w:tr>
                  <w:tr w:rsidR="00990136" w:rsidRPr="00036888" w14:paraId="560D5E7A" w14:textId="77777777" w:rsidTr="00321BC5">
                    <w:trPr>
                      <w:trHeight w:val="298"/>
                    </w:trPr>
                    <w:tc>
                      <w:tcPr>
                        <w:tcW w:w="941" w:type="pct"/>
                        <w:vMerge/>
                        <w:noWrap/>
                      </w:tcPr>
                      <w:p w14:paraId="167185E3" w14:textId="77777777" w:rsidR="00990136" w:rsidRPr="008D0F42" w:rsidRDefault="00990136">
                        <w:pPr>
                          <w:pStyle w:val="TableText"/>
                        </w:pPr>
                      </w:p>
                    </w:tc>
                    <w:tc>
                      <w:tcPr>
                        <w:tcW w:w="2121" w:type="pct"/>
                      </w:tcPr>
                      <w:p w14:paraId="1C2A1455" w14:textId="77777777" w:rsidR="00990136" w:rsidRPr="008D0F42" w:rsidRDefault="00990136">
                        <w:pPr>
                          <w:pStyle w:val="TableText"/>
                        </w:pPr>
                        <w:r w:rsidRPr="00D63E8D">
                          <w:t>Changed skills</w:t>
                        </w:r>
                      </w:p>
                    </w:tc>
                    <w:tc>
                      <w:tcPr>
                        <w:tcW w:w="1938" w:type="pct"/>
                        <w:noWrap/>
                      </w:tcPr>
                      <w:p w14:paraId="155AC391" w14:textId="02549F57" w:rsidR="00990136" w:rsidRPr="008D0F42" w:rsidRDefault="007E7E65">
                        <w:pPr>
                          <w:pStyle w:val="TableText"/>
                        </w:pPr>
                        <w:r w:rsidRPr="00C84BF4">
                          <w:t>55.2</w:t>
                        </w:r>
                        <w:r w:rsidR="00990136" w:rsidRPr="0042675B">
                          <w:t>% (n=</w:t>
                        </w:r>
                        <w:r w:rsidRPr="00C84BF4">
                          <w:t>388</w:t>
                        </w:r>
                        <w:r w:rsidR="00990136" w:rsidRPr="0042675B">
                          <w:t>)</w:t>
                        </w:r>
                      </w:p>
                    </w:tc>
                  </w:tr>
                  <w:tr w:rsidR="00990136" w:rsidRPr="00036888" w14:paraId="58B8CF42" w14:textId="77777777" w:rsidTr="00321BC5">
                    <w:trPr>
                      <w:trHeight w:val="298"/>
                    </w:trPr>
                    <w:tc>
                      <w:tcPr>
                        <w:tcW w:w="941" w:type="pct"/>
                        <w:vMerge/>
                        <w:noWrap/>
                      </w:tcPr>
                      <w:p w14:paraId="59EE4F20" w14:textId="77777777" w:rsidR="00990136" w:rsidRPr="008D0F42" w:rsidRDefault="00990136">
                        <w:pPr>
                          <w:pStyle w:val="TableText"/>
                        </w:pPr>
                      </w:p>
                    </w:tc>
                    <w:tc>
                      <w:tcPr>
                        <w:tcW w:w="2121" w:type="pct"/>
                      </w:tcPr>
                      <w:p w14:paraId="265E728A" w14:textId="77777777" w:rsidR="00990136" w:rsidRPr="008D0F42" w:rsidRDefault="00990136">
                        <w:pPr>
                          <w:pStyle w:val="TableText"/>
                        </w:pPr>
                        <w:r w:rsidRPr="03FAA4E2">
                          <w:rPr>
                            <w:lang w:val="en-NZ"/>
                          </w:rPr>
                          <w:t>Empowerment, choice and control to make own decisions</w:t>
                        </w:r>
                      </w:p>
                    </w:tc>
                    <w:tc>
                      <w:tcPr>
                        <w:tcW w:w="1938" w:type="pct"/>
                        <w:noWrap/>
                      </w:tcPr>
                      <w:p w14:paraId="105CF1E6" w14:textId="31F2B255" w:rsidR="00990136" w:rsidRPr="008D0F42" w:rsidRDefault="007E7E65">
                        <w:pPr>
                          <w:pStyle w:val="TableText"/>
                        </w:pPr>
                        <w:r w:rsidRPr="00C84BF4">
                          <w:t>53.5</w:t>
                        </w:r>
                        <w:r w:rsidR="00990136" w:rsidRPr="0042675B">
                          <w:t>% (n=</w:t>
                        </w:r>
                        <w:r w:rsidRPr="00C84BF4">
                          <w:t>302</w:t>
                        </w:r>
                        <w:r w:rsidR="00990136" w:rsidRPr="0042675B">
                          <w:t>)</w:t>
                        </w:r>
                      </w:p>
                    </w:tc>
                  </w:tr>
                  <w:tr w:rsidR="00990136" w:rsidRPr="00036888" w14:paraId="2CF2919F" w14:textId="77777777" w:rsidTr="00321BC5">
                    <w:trPr>
                      <w:trHeight w:val="298"/>
                    </w:trPr>
                    <w:tc>
                      <w:tcPr>
                        <w:tcW w:w="941" w:type="pct"/>
                        <w:vMerge/>
                        <w:noWrap/>
                      </w:tcPr>
                      <w:p w14:paraId="44F3F47D" w14:textId="77777777" w:rsidR="00990136" w:rsidRPr="008D0F42" w:rsidRDefault="00990136">
                        <w:pPr>
                          <w:pStyle w:val="TableText"/>
                        </w:pPr>
                      </w:p>
                    </w:tc>
                    <w:tc>
                      <w:tcPr>
                        <w:tcW w:w="2121" w:type="pct"/>
                      </w:tcPr>
                      <w:p w14:paraId="5DF72D42" w14:textId="77777777" w:rsidR="00990136" w:rsidRPr="008D0F42" w:rsidRDefault="00990136">
                        <w:pPr>
                          <w:pStyle w:val="TableText"/>
                        </w:pPr>
                        <w:r w:rsidRPr="00D63E8D">
                          <w:t>Engagement with relevant support services</w:t>
                        </w:r>
                      </w:p>
                    </w:tc>
                    <w:tc>
                      <w:tcPr>
                        <w:tcW w:w="1938" w:type="pct"/>
                        <w:noWrap/>
                      </w:tcPr>
                      <w:p w14:paraId="6E90329D" w14:textId="72E8C5F4" w:rsidR="00990136" w:rsidRPr="008D0F42" w:rsidRDefault="007E7E65">
                        <w:pPr>
                          <w:pStyle w:val="TableText"/>
                        </w:pPr>
                        <w:r w:rsidRPr="00C84BF4">
                          <w:t>54.1</w:t>
                        </w:r>
                        <w:r w:rsidR="00990136" w:rsidRPr="0042675B">
                          <w:t>% (n=</w:t>
                        </w:r>
                        <w:r w:rsidRPr="00C84BF4">
                          <w:t>209</w:t>
                        </w:r>
                        <w:r w:rsidR="00990136" w:rsidRPr="0042675B">
                          <w:t>)</w:t>
                        </w:r>
                      </w:p>
                    </w:tc>
                  </w:tr>
                </w:tbl>
                <w:p w14:paraId="72222635" w14:textId="3795A5DC" w:rsidR="004776AE" w:rsidRPr="008E1B83" w:rsidRDefault="00990136" w:rsidP="4184DD85">
                  <w:pPr>
                    <w:spacing w:after="120"/>
                    <w:rPr>
                      <w:i/>
                      <w:sz w:val="20"/>
                      <w:szCs w:val="18"/>
                    </w:rPr>
                  </w:pPr>
                  <w:r>
                    <w:rPr>
                      <w:i/>
                      <w:sz w:val="20"/>
                      <w:szCs w:val="18"/>
                    </w:rPr>
                    <w:t>Source: DEX-SCORE data</w:t>
                  </w:r>
                </w:p>
                <w:p w14:paraId="39C32180" w14:textId="57C46A4F" w:rsidR="005674C7" w:rsidRDefault="005674C7" w:rsidP="005674C7">
                  <w:pPr>
                    <w:pStyle w:val="Text"/>
                  </w:pPr>
                  <w:r>
                    <w:t xml:space="preserve">FaRS and SFVS service providers described how both FaRS and SFVS services are addressing experiences of trauma linked to diverse dynamics and experiences across family </w:t>
                  </w:r>
                  <w:r>
                    <w:lastRenderedPageBreak/>
                    <w:t>and relationship types. Flexible referral pathways across FaRS and SF</w:t>
                  </w:r>
                  <w:r w:rsidR="005013CD">
                    <w:t>VS</w:t>
                  </w:r>
                  <w:r>
                    <w:t xml:space="preserve"> services support the ability to address complex and overlapping experiences for individuals and families relating to family violence</w:t>
                  </w:r>
                  <w:r w:rsidR="00ED00F6">
                    <w:t xml:space="preserve"> (see </w:t>
                  </w:r>
                  <w:r w:rsidR="00ED00F6" w:rsidRPr="00ED00F6">
                    <w:rPr>
                      <w:b/>
                      <w:bCs/>
                    </w:rPr>
                    <w:t xml:space="preserve">Section </w:t>
                  </w:r>
                  <w:r w:rsidR="00ED00F6" w:rsidRPr="00ED00F6">
                    <w:rPr>
                      <w:b/>
                      <w:bCs/>
                    </w:rPr>
                    <w:fldChar w:fldCharType="begin" w:fldLock="1"/>
                  </w:r>
                  <w:r w:rsidR="00ED00F6" w:rsidRPr="00ED00F6">
                    <w:rPr>
                      <w:b/>
                      <w:bCs/>
                    </w:rPr>
                    <w:instrText xml:space="preserve"> REF _Ref205303709 \r \h </w:instrText>
                  </w:r>
                  <w:r w:rsidR="00ED00F6">
                    <w:rPr>
                      <w:b/>
                      <w:bCs/>
                    </w:rPr>
                    <w:instrText xml:space="preserve"> \* MERGEFORMAT </w:instrText>
                  </w:r>
                  <w:r w:rsidR="00ED00F6" w:rsidRPr="00ED00F6">
                    <w:rPr>
                      <w:b/>
                      <w:bCs/>
                    </w:rPr>
                  </w:r>
                  <w:r w:rsidR="00ED00F6" w:rsidRPr="00ED00F6">
                    <w:rPr>
                      <w:b/>
                      <w:bCs/>
                    </w:rPr>
                    <w:fldChar w:fldCharType="separate"/>
                  </w:r>
                  <w:r w:rsidR="008F22E5">
                    <w:rPr>
                      <w:b/>
                      <w:bCs/>
                    </w:rPr>
                    <w:t>6.5</w:t>
                  </w:r>
                  <w:r w:rsidR="00ED00F6" w:rsidRPr="00ED00F6">
                    <w:rPr>
                      <w:b/>
                      <w:bCs/>
                    </w:rPr>
                    <w:fldChar w:fldCharType="end"/>
                  </w:r>
                  <w:r w:rsidR="00ED00F6">
                    <w:t xml:space="preserve"> for more detail)</w:t>
                  </w:r>
                  <w:r>
                    <w:t>.</w:t>
                  </w:r>
                </w:p>
                <w:p w14:paraId="40B51E4F" w14:textId="1ACE12DE" w:rsidR="005674C7" w:rsidRPr="00B548A8" w:rsidRDefault="005674C7" w:rsidP="00B548A8">
                  <w:pPr>
                    <w:pBdr>
                      <w:left w:val="single" w:sz="18" w:space="4" w:color="78B800" w:themeColor="accent1"/>
                    </w:pBdr>
                    <w:tabs>
                      <w:tab w:val="left" w:pos="8080"/>
                    </w:tabs>
                    <w:spacing w:after="0"/>
                    <w:ind w:left="851" w:right="949"/>
                    <w:rPr>
                      <w:i/>
                    </w:rPr>
                  </w:pPr>
                  <w:r w:rsidRPr="002E7992">
                    <w:rPr>
                      <w:noProof/>
                    </w:rPr>
                    <w:drawing>
                      <wp:anchor distT="0" distB="0" distL="114300" distR="114300" simplePos="0" relativeHeight="251658354" behindDoc="0" locked="1" layoutInCell="1" allowOverlap="1" wp14:anchorId="771DEA05" wp14:editId="2B282BDD">
                        <wp:simplePos x="0" y="0"/>
                        <wp:positionH relativeFrom="column">
                          <wp:posOffset>0</wp:posOffset>
                        </wp:positionH>
                        <wp:positionV relativeFrom="paragraph">
                          <wp:posOffset>0</wp:posOffset>
                        </wp:positionV>
                        <wp:extent cx="384810" cy="320040"/>
                        <wp:effectExtent l="0" t="0" r="0" b="3810"/>
                        <wp:wrapNone/>
                        <wp:docPr id="276668531" name="Graphic 276668531" descr="P3116#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668531" name="Graphic 276668531" descr="P3116#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i/>
                      <w:iCs/>
                    </w:rPr>
                    <w:t>We are dealing with a lot of issues around depression, anxiety and historical family violence because we are dealing with a lot of older people</w:t>
                  </w:r>
                  <w:r w:rsidRPr="00EC3C4C">
                    <w:rPr>
                      <w:i/>
                      <w:iCs/>
                    </w:rPr>
                    <w:t xml:space="preserve"> </w:t>
                  </w:r>
                  <w:r>
                    <w:rPr>
                      <w:i/>
                      <w:iCs/>
                    </w:rPr>
                    <w:t xml:space="preserve">from 40, 50, 60 years ago. It’s a trauma that’s only spoken about now </w:t>
                  </w:r>
                  <w:r w:rsidRPr="002E7992">
                    <w:rPr>
                      <w:b/>
                      <w:bCs/>
                      <w:i/>
                      <w:iCs/>
                    </w:rPr>
                    <w:t>–</w:t>
                  </w:r>
                  <w:r>
                    <w:rPr>
                      <w:b/>
                      <w:bCs/>
                      <w:i/>
                      <w:iCs/>
                    </w:rPr>
                    <w:t xml:space="preserve"> SFVS s</w:t>
                  </w:r>
                  <w:r w:rsidRPr="002E7992">
                    <w:rPr>
                      <w:b/>
                      <w:bCs/>
                      <w:i/>
                      <w:iCs/>
                    </w:rPr>
                    <w:t xml:space="preserve">ervice </w:t>
                  </w:r>
                  <w:r>
                    <w:rPr>
                      <w:b/>
                      <w:bCs/>
                      <w:i/>
                      <w:iCs/>
                    </w:rPr>
                    <w:t>provider</w:t>
                  </w:r>
                </w:p>
                <w:p w14:paraId="70DCC5F0" w14:textId="77777777" w:rsidR="00BD3068" w:rsidRDefault="00BD3068" w:rsidP="005674C7">
                  <w:pPr>
                    <w:pStyle w:val="Text"/>
                  </w:pPr>
                </w:p>
                <w:p w14:paraId="7F58A55F" w14:textId="391B7AFD" w:rsidR="005674C7" w:rsidRPr="00EF0030" w:rsidRDefault="000558B0" w:rsidP="005674C7">
                  <w:pPr>
                    <w:pStyle w:val="Text"/>
                  </w:pPr>
                  <w:r>
                    <w:rPr>
                      <w:rFonts w:eastAsia="Arial" w:cs="Times New Roman"/>
                    </w:rPr>
                    <w:t>While the Department does not place limits on the number of sessions an individual can receive under FaRS or SFVS, many service providers set their own limits in order to manage demand. S</w:t>
                  </w:r>
                  <w:r w:rsidR="005674C7">
                    <w:t xml:space="preserve">ome FaRS service providers expressed concern that </w:t>
                  </w:r>
                  <w:r w:rsidR="00121411">
                    <w:t>limits set by services</w:t>
                  </w:r>
                  <w:r w:rsidR="005674C7">
                    <w:t xml:space="preserve"> on </w:t>
                  </w:r>
                  <w:r w:rsidR="00B9609E">
                    <w:t xml:space="preserve">the number of </w:t>
                  </w:r>
                  <w:r w:rsidR="005674C7">
                    <w:t xml:space="preserve">counselling </w:t>
                  </w:r>
                  <w:r w:rsidR="00B9609E">
                    <w:t>sessions</w:t>
                  </w:r>
                  <w:r w:rsidR="005674C7">
                    <w:t xml:space="preserve"> and other supports </w:t>
                  </w:r>
                  <w:r w:rsidR="00461874">
                    <w:t xml:space="preserve">in order to meet demand </w:t>
                  </w:r>
                  <w:r w:rsidR="00B548A8">
                    <w:t xml:space="preserve">can </w:t>
                  </w:r>
                  <w:r w:rsidR="00CC4019">
                    <w:t>result in</w:t>
                  </w:r>
                  <w:r w:rsidR="005674C7">
                    <w:t xml:space="preserve"> insufficient time to address </w:t>
                  </w:r>
                  <w:r w:rsidR="00B9609E">
                    <w:t>service user</w:t>
                  </w:r>
                  <w:r w:rsidR="005674C7">
                    <w:t xml:space="preserve"> needs </w:t>
                  </w:r>
                  <w:r w:rsidR="00B9609E">
                    <w:t>through a</w:t>
                  </w:r>
                  <w:r w:rsidR="005674C7">
                    <w:t xml:space="preserve"> holistic</w:t>
                  </w:r>
                  <w:r w:rsidR="00B9609E">
                    <w:t>, sustained</w:t>
                  </w:r>
                  <w:r w:rsidR="005674C7">
                    <w:t xml:space="preserve"> </w:t>
                  </w:r>
                  <w:r w:rsidR="00B9609E">
                    <w:t>approach</w:t>
                  </w:r>
                  <w:r w:rsidR="005674C7">
                    <w:t xml:space="preserve">. Several service providers receiving SFVS funding made similar observations, noting </w:t>
                  </w:r>
                  <w:r w:rsidR="00F72EA0">
                    <w:t>that</w:t>
                  </w:r>
                  <w:r w:rsidR="005674C7">
                    <w:t xml:space="preserve"> </w:t>
                  </w:r>
                  <w:r w:rsidR="00093389">
                    <w:t>providing</w:t>
                  </w:r>
                  <w:r w:rsidR="005674C7">
                    <w:t xml:space="preserve"> </w:t>
                  </w:r>
                  <w:r w:rsidR="008C7BAF">
                    <w:t>6</w:t>
                  </w:r>
                  <w:r w:rsidR="005674C7">
                    <w:t xml:space="preserve"> to </w:t>
                  </w:r>
                  <w:r w:rsidR="008C7BAF">
                    <w:t>10</w:t>
                  </w:r>
                  <w:r w:rsidR="005674C7">
                    <w:t xml:space="preserve"> sessions is not trauma-informed or adequate for conducting case management</w:t>
                  </w:r>
                  <w:r w:rsidR="0000305C">
                    <w:t xml:space="preserve"> and</w:t>
                  </w:r>
                  <w:r w:rsidR="005674C7">
                    <w:t xml:space="preserve"> risk assessment </w:t>
                  </w:r>
                  <w:r w:rsidR="0000305C">
                    <w:t>or</w:t>
                  </w:r>
                  <w:r w:rsidR="005674C7">
                    <w:t xml:space="preserve"> </w:t>
                  </w:r>
                  <w:r w:rsidR="00F72EA0">
                    <w:t xml:space="preserve">to </w:t>
                  </w:r>
                  <w:r w:rsidR="005674C7">
                    <w:t xml:space="preserve">establish a relationship with </w:t>
                  </w:r>
                  <w:r w:rsidR="005072EF">
                    <w:t>service users</w:t>
                  </w:r>
                  <w:r w:rsidR="00372E6A">
                    <w:t>.</w:t>
                  </w:r>
                  <w:r w:rsidR="00FB043B">
                    <w:t xml:space="preserve"> </w:t>
                  </w:r>
                </w:p>
                <w:p w14:paraId="06CD2434" w14:textId="7689F047" w:rsidR="005674C7" w:rsidRPr="007B623E" w:rsidRDefault="005674C7" w:rsidP="005674C7">
                  <w:pPr>
                    <w:pBdr>
                      <w:left w:val="single" w:sz="18" w:space="4" w:color="78B800" w:themeColor="accent1"/>
                    </w:pBdr>
                    <w:tabs>
                      <w:tab w:val="left" w:pos="8080"/>
                    </w:tabs>
                    <w:spacing w:after="0"/>
                    <w:ind w:left="851" w:right="949"/>
                    <w:rPr>
                      <w:i/>
                    </w:rPr>
                  </w:pPr>
                  <w:r w:rsidRPr="002E7992">
                    <w:rPr>
                      <w:noProof/>
                    </w:rPr>
                    <w:drawing>
                      <wp:anchor distT="0" distB="0" distL="114300" distR="114300" simplePos="0" relativeHeight="251658355" behindDoc="0" locked="1" layoutInCell="1" allowOverlap="1" wp14:anchorId="2D5A99AA" wp14:editId="6BB285BF">
                        <wp:simplePos x="0" y="0"/>
                        <wp:positionH relativeFrom="column">
                          <wp:posOffset>0</wp:posOffset>
                        </wp:positionH>
                        <wp:positionV relativeFrom="paragraph">
                          <wp:posOffset>0</wp:posOffset>
                        </wp:positionV>
                        <wp:extent cx="384810" cy="320040"/>
                        <wp:effectExtent l="0" t="0" r="0" b="3810"/>
                        <wp:wrapNone/>
                        <wp:docPr id="2005727169" name="Graphic 2005727169" descr="P3119#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727169" name="Graphic 2005727169" descr="P3119#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i/>
                      <w:iCs/>
                    </w:rPr>
                    <w:t>The brief intervention model [of SFVS] is incredibly limiting, particularly when we’re working with women who have complex post-traumatic stress disorder</w:t>
                  </w:r>
                  <w:r w:rsidR="003030E5">
                    <w:rPr>
                      <w:i/>
                      <w:iCs/>
                    </w:rPr>
                    <w:t>. W</w:t>
                  </w:r>
                  <w:r>
                    <w:rPr>
                      <w:i/>
                      <w:iCs/>
                    </w:rPr>
                    <w:t xml:space="preserve">e find this work is relational. It’s about providing safety and </w:t>
                  </w:r>
                  <w:r w:rsidR="0000305C">
                    <w:rPr>
                      <w:i/>
                      <w:iCs/>
                    </w:rPr>
                    <w:t xml:space="preserve">[building] </w:t>
                  </w:r>
                  <w:r>
                    <w:rPr>
                      <w:i/>
                      <w:iCs/>
                    </w:rPr>
                    <w:t xml:space="preserve">relationships with these women when they come into this space </w:t>
                  </w:r>
                  <w:r w:rsidR="00A97B26">
                    <w:rPr>
                      <w:i/>
                      <w:iCs/>
                    </w:rPr>
                    <w:t>[…]</w:t>
                  </w:r>
                  <w:r>
                    <w:rPr>
                      <w:i/>
                      <w:iCs/>
                    </w:rPr>
                    <w:t xml:space="preserve"> all the thing</w:t>
                  </w:r>
                  <w:r w:rsidR="001F76AF">
                    <w:rPr>
                      <w:i/>
                      <w:iCs/>
                    </w:rPr>
                    <w:t>s</w:t>
                  </w:r>
                  <w:r>
                    <w:rPr>
                      <w:i/>
                      <w:iCs/>
                    </w:rPr>
                    <w:t xml:space="preserve"> [that] really take a lot more than six to ten sessions </w:t>
                  </w:r>
                  <w:r w:rsidRPr="002E7992">
                    <w:rPr>
                      <w:b/>
                      <w:bCs/>
                      <w:i/>
                      <w:iCs/>
                    </w:rPr>
                    <w:t>–</w:t>
                  </w:r>
                  <w:r>
                    <w:rPr>
                      <w:b/>
                      <w:bCs/>
                      <w:i/>
                      <w:iCs/>
                    </w:rPr>
                    <w:t xml:space="preserve"> SFVS s</w:t>
                  </w:r>
                  <w:r w:rsidRPr="002E7992">
                    <w:rPr>
                      <w:b/>
                      <w:bCs/>
                      <w:i/>
                      <w:iCs/>
                    </w:rPr>
                    <w:t xml:space="preserve">ervice </w:t>
                  </w:r>
                  <w:r>
                    <w:rPr>
                      <w:b/>
                      <w:bCs/>
                      <w:i/>
                      <w:iCs/>
                    </w:rPr>
                    <w:t>provider</w:t>
                  </w:r>
                </w:p>
                <w:p w14:paraId="06F28795" w14:textId="77777777" w:rsidR="005674C7" w:rsidRPr="00EF0030" w:rsidRDefault="005674C7" w:rsidP="005674C7">
                  <w:pPr>
                    <w:pStyle w:val="Text"/>
                  </w:pPr>
                </w:p>
                <w:p w14:paraId="21480472" w14:textId="333CB3D9" w:rsidR="005674C7" w:rsidRPr="007B623E" w:rsidRDefault="005674C7" w:rsidP="005674C7">
                  <w:pPr>
                    <w:pBdr>
                      <w:left w:val="single" w:sz="18" w:space="4" w:color="78B800" w:themeColor="accent1"/>
                    </w:pBdr>
                    <w:tabs>
                      <w:tab w:val="left" w:pos="8080"/>
                    </w:tabs>
                    <w:spacing w:after="0"/>
                    <w:ind w:left="851" w:right="949"/>
                    <w:rPr>
                      <w:i/>
                    </w:rPr>
                  </w:pPr>
                  <w:r w:rsidRPr="002E7992">
                    <w:rPr>
                      <w:noProof/>
                    </w:rPr>
                    <w:drawing>
                      <wp:anchor distT="0" distB="0" distL="114300" distR="114300" simplePos="0" relativeHeight="251658356" behindDoc="0" locked="1" layoutInCell="1" allowOverlap="1" wp14:anchorId="4B234DAA" wp14:editId="38639A37">
                        <wp:simplePos x="0" y="0"/>
                        <wp:positionH relativeFrom="column">
                          <wp:posOffset>0</wp:posOffset>
                        </wp:positionH>
                        <wp:positionV relativeFrom="paragraph">
                          <wp:posOffset>0</wp:posOffset>
                        </wp:positionV>
                        <wp:extent cx="384810" cy="320040"/>
                        <wp:effectExtent l="0" t="0" r="0" b="3810"/>
                        <wp:wrapNone/>
                        <wp:docPr id="2094147758" name="Graphic 2094147758" descr="P3121#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4147758" name="Graphic 2094147758" descr="P3121#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B1422">
                    <w:rPr>
                      <w:i/>
                    </w:rPr>
                    <w:t>The complexity when you have domestic violence and mental health…[the] practitioner will try to manage the risk rather than continuing the work of the client</w:t>
                  </w:r>
                  <w:r w:rsidR="00A40B62">
                    <w:rPr>
                      <w:i/>
                    </w:rPr>
                    <w:t xml:space="preserve"> [</w:t>
                  </w:r>
                  <w:r w:rsidRPr="003B1422">
                    <w:rPr>
                      <w:i/>
                    </w:rPr>
                    <w:t>…</w:t>
                  </w:r>
                  <w:r w:rsidR="00A40B62">
                    <w:rPr>
                      <w:i/>
                    </w:rPr>
                    <w:t xml:space="preserve">] </w:t>
                  </w:r>
                  <w:r w:rsidRPr="003B1422">
                    <w:rPr>
                      <w:i/>
                    </w:rPr>
                    <w:t>they manage the risk in the moment rather than addressing what the client has come to us for</w:t>
                  </w:r>
                  <w:r>
                    <w:rPr>
                      <w:i/>
                    </w:rPr>
                    <w:t xml:space="preserve"> </w:t>
                  </w:r>
                  <w:r w:rsidRPr="002E7992">
                    <w:rPr>
                      <w:b/>
                      <w:bCs/>
                      <w:i/>
                      <w:iCs/>
                    </w:rPr>
                    <w:t>–</w:t>
                  </w:r>
                  <w:r>
                    <w:rPr>
                      <w:b/>
                      <w:bCs/>
                      <w:i/>
                      <w:iCs/>
                    </w:rPr>
                    <w:t xml:space="preserve"> FaRS s</w:t>
                  </w:r>
                  <w:r w:rsidRPr="002E7992">
                    <w:rPr>
                      <w:b/>
                      <w:bCs/>
                      <w:i/>
                      <w:iCs/>
                    </w:rPr>
                    <w:t xml:space="preserve">ervice </w:t>
                  </w:r>
                  <w:r>
                    <w:rPr>
                      <w:b/>
                      <w:bCs/>
                      <w:i/>
                      <w:iCs/>
                    </w:rPr>
                    <w:t>provider</w:t>
                  </w:r>
                </w:p>
                <w:p w14:paraId="62DF4E6C" w14:textId="77777777" w:rsidR="005674C7" w:rsidRPr="00EF0030" w:rsidRDefault="005674C7" w:rsidP="005674C7">
                  <w:pPr>
                    <w:pStyle w:val="Text"/>
                  </w:pPr>
                </w:p>
                <w:p w14:paraId="2BD06A3D" w14:textId="21C2330B" w:rsidR="005674C7" w:rsidRPr="00EF0030" w:rsidRDefault="005674C7" w:rsidP="005674C7">
                  <w:pPr>
                    <w:pStyle w:val="Text"/>
                  </w:pPr>
                  <w:r>
                    <w:t>FaRS and SFVS service users also offered insight into how services are being accessed and experienced by people experiencing family violence. Several service users described positive and in some instances life-changing experiences of their engagement with service workers</w:t>
                  </w:r>
                  <w:r w:rsidR="00461874">
                    <w:t xml:space="preserve">, including </w:t>
                  </w:r>
                  <w:r>
                    <w:t>feeling heard and supported</w:t>
                  </w:r>
                  <w:r w:rsidR="00372E6A">
                    <w:t xml:space="preserve">. </w:t>
                  </w:r>
                </w:p>
                <w:p w14:paraId="0FC8DB81" w14:textId="5A2C83A1" w:rsidR="005674C7" w:rsidRPr="00B55DFD" w:rsidRDefault="005674C7" w:rsidP="00B55DFD">
                  <w:pPr>
                    <w:pBdr>
                      <w:left w:val="single" w:sz="18" w:space="4" w:color="78B800" w:themeColor="accent1"/>
                    </w:pBdr>
                    <w:tabs>
                      <w:tab w:val="left" w:pos="8080"/>
                    </w:tabs>
                    <w:spacing w:after="0"/>
                    <w:ind w:left="851" w:right="949"/>
                    <w:rPr>
                      <w:b/>
                      <w:i/>
                    </w:rPr>
                  </w:pPr>
                  <w:r w:rsidRPr="00494FAF">
                    <w:rPr>
                      <w:i/>
                      <w:noProof/>
                    </w:rPr>
                    <w:drawing>
                      <wp:anchor distT="0" distB="0" distL="114300" distR="114300" simplePos="0" relativeHeight="251658357" behindDoc="0" locked="1" layoutInCell="1" allowOverlap="1" wp14:anchorId="2954425E" wp14:editId="44799940">
                        <wp:simplePos x="0" y="0"/>
                        <wp:positionH relativeFrom="column">
                          <wp:posOffset>0</wp:posOffset>
                        </wp:positionH>
                        <wp:positionV relativeFrom="paragraph">
                          <wp:posOffset>0</wp:posOffset>
                        </wp:positionV>
                        <wp:extent cx="384810" cy="320040"/>
                        <wp:effectExtent l="0" t="0" r="0" b="3810"/>
                        <wp:wrapNone/>
                        <wp:docPr id="1990675463" name="Graphic 1990675463" descr="P3124#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675463" name="Graphic 1990675463" descr="P3124#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94FAF">
                    <w:rPr>
                      <w:i/>
                    </w:rPr>
                    <w:t>I had one psychologist tell me I needed to harden up</w:t>
                  </w:r>
                  <w:r w:rsidR="00A40B62">
                    <w:rPr>
                      <w:i/>
                    </w:rPr>
                    <w:t xml:space="preserve"> [</w:t>
                  </w:r>
                  <w:r w:rsidRPr="00494FAF">
                    <w:rPr>
                      <w:i/>
                    </w:rPr>
                    <w:t>…</w:t>
                  </w:r>
                  <w:r w:rsidR="00A40B62">
                    <w:rPr>
                      <w:i/>
                    </w:rPr>
                    <w:t xml:space="preserve">] </w:t>
                  </w:r>
                  <w:r w:rsidRPr="00494FAF">
                    <w:rPr>
                      <w:i/>
                    </w:rPr>
                    <w:t xml:space="preserve">this has been my journey with </w:t>
                  </w:r>
                  <w:r w:rsidR="00100686">
                    <w:rPr>
                      <w:i/>
                    </w:rPr>
                    <w:t>[psychologists]</w:t>
                  </w:r>
                  <w:r w:rsidRPr="00494FAF">
                    <w:rPr>
                      <w:i/>
                    </w:rPr>
                    <w:t>, and this is why actually dealing with [service worker] has been life-changing</w:t>
                  </w:r>
                  <w:r w:rsidR="00A40B62">
                    <w:rPr>
                      <w:i/>
                    </w:rPr>
                    <w:t xml:space="preserve"> [</w:t>
                  </w:r>
                  <w:r w:rsidRPr="00494FAF">
                    <w:rPr>
                      <w:i/>
                    </w:rPr>
                    <w:t>…</w:t>
                  </w:r>
                  <w:r w:rsidR="00A40B62">
                    <w:rPr>
                      <w:i/>
                    </w:rPr>
                    <w:t xml:space="preserve">] </w:t>
                  </w:r>
                  <w:r w:rsidR="000B614C">
                    <w:rPr>
                      <w:i/>
                    </w:rPr>
                    <w:t>It’s</w:t>
                  </w:r>
                  <w:r w:rsidRPr="00494FAF">
                    <w:rPr>
                      <w:i/>
                    </w:rPr>
                    <w:t xml:space="preserve"> a breath of fresh air to have someone who says I’m not exaggerating and I’m not making things up</w:t>
                  </w:r>
                  <w:r>
                    <w:rPr>
                      <w:i/>
                      <w:iCs/>
                    </w:rPr>
                    <w:t xml:space="preserve"> </w:t>
                  </w:r>
                  <w:r w:rsidRPr="002E7992">
                    <w:rPr>
                      <w:b/>
                      <w:bCs/>
                      <w:i/>
                      <w:iCs/>
                    </w:rPr>
                    <w:t>–</w:t>
                  </w:r>
                  <w:r>
                    <w:rPr>
                      <w:b/>
                      <w:bCs/>
                      <w:i/>
                      <w:iCs/>
                    </w:rPr>
                    <w:t xml:space="preserve"> FaRS s</w:t>
                  </w:r>
                  <w:r w:rsidRPr="002E7992">
                    <w:rPr>
                      <w:b/>
                      <w:bCs/>
                      <w:i/>
                      <w:iCs/>
                    </w:rPr>
                    <w:t xml:space="preserve">ervice </w:t>
                  </w:r>
                  <w:r>
                    <w:rPr>
                      <w:b/>
                      <w:bCs/>
                      <w:i/>
                      <w:iCs/>
                    </w:rPr>
                    <w:t>user</w:t>
                  </w:r>
                </w:p>
                <w:p w14:paraId="1E10E652" w14:textId="77777777" w:rsidR="00DD256C" w:rsidRDefault="00DD256C" w:rsidP="005674C7">
                  <w:pPr>
                    <w:pStyle w:val="Text"/>
                  </w:pPr>
                </w:p>
                <w:p w14:paraId="27999D56" w14:textId="5FC73B9B" w:rsidR="005674C7" w:rsidRPr="00EF0030" w:rsidRDefault="005674C7" w:rsidP="005674C7">
                  <w:pPr>
                    <w:pStyle w:val="Text"/>
                  </w:pPr>
                  <w:r>
                    <w:lastRenderedPageBreak/>
                    <w:t>Positive comments from SFVS service users offered insight into the particular strategies, skills</w:t>
                  </w:r>
                  <w:r w:rsidR="000B614C">
                    <w:t>,</w:t>
                  </w:r>
                  <w:r>
                    <w:t xml:space="preserve"> and strength</w:t>
                  </w:r>
                  <w:r w:rsidR="00081E81">
                    <w:t>s</w:t>
                  </w:r>
                  <w:r>
                    <w:t xml:space="preserve"> of the SFVS service response that providers are applying as specialists in family violence service delivery. These comments related to strategies that avoided re-traumatisation</w:t>
                  </w:r>
                  <w:r w:rsidR="00230E53">
                    <w:t>,</w:t>
                  </w:r>
                  <w:r>
                    <w:t xml:space="preserve"> including consistency in the engagement and not having to repeat their story, and comments about how SFVS service providers helped them to understand and name their experiences.</w:t>
                  </w:r>
                </w:p>
                <w:p w14:paraId="4B35ABEE" w14:textId="5A066783" w:rsidR="005674C7" w:rsidRPr="006039EB" w:rsidRDefault="005674C7" w:rsidP="005674C7">
                  <w:pPr>
                    <w:pBdr>
                      <w:left w:val="single" w:sz="18" w:space="4" w:color="78B800" w:themeColor="accent1"/>
                    </w:pBdr>
                    <w:tabs>
                      <w:tab w:val="left" w:pos="8080"/>
                    </w:tabs>
                    <w:spacing w:after="0"/>
                    <w:ind w:left="851" w:right="949"/>
                    <w:rPr>
                      <w:b/>
                      <w:i/>
                    </w:rPr>
                  </w:pPr>
                  <w:r w:rsidRPr="00494FAF">
                    <w:rPr>
                      <w:i/>
                      <w:noProof/>
                    </w:rPr>
                    <w:drawing>
                      <wp:anchor distT="0" distB="0" distL="114300" distR="114300" simplePos="0" relativeHeight="251658358" behindDoc="0" locked="1" layoutInCell="1" allowOverlap="1" wp14:anchorId="58BF076F" wp14:editId="78150A65">
                        <wp:simplePos x="0" y="0"/>
                        <wp:positionH relativeFrom="column">
                          <wp:posOffset>0</wp:posOffset>
                        </wp:positionH>
                        <wp:positionV relativeFrom="paragraph">
                          <wp:posOffset>0</wp:posOffset>
                        </wp:positionV>
                        <wp:extent cx="384810" cy="320040"/>
                        <wp:effectExtent l="0" t="0" r="0" b="3810"/>
                        <wp:wrapNone/>
                        <wp:docPr id="1792735759" name="Graphic 1792735759" descr="P3127#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735759" name="Graphic 1792735759" descr="P3127#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i/>
                    </w:rPr>
                    <w:t xml:space="preserve">That </w:t>
                  </w:r>
                  <w:r w:rsidR="00872C64">
                    <w:rPr>
                      <w:i/>
                    </w:rPr>
                    <w:t>one-hour</w:t>
                  </w:r>
                  <w:r>
                    <w:rPr>
                      <w:i/>
                    </w:rPr>
                    <w:t xml:space="preserve"> appointment – I’ll remember it to the day I die. It completely took the top of my head off</w:t>
                  </w:r>
                  <w:r w:rsidR="000B614C">
                    <w:rPr>
                      <w:i/>
                    </w:rPr>
                    <w:t xml:space="preserve"> </w:t>
                  </w:r>
                  <w:r w:rsidR="00417B46">
                    <w:rPr>
                      <w:i/>
                    </w:rPr>
                    <w:t>[and</w:t>
                  </w:r>
                  <w:r w:rsidR="000B614C">
                    <w:rPr>
                      <w:i/>
                    </w:rPr>
                    <w:t xml:space="preserve">] </w:t>
                  </w:r>
                  <w:r>
                    <w:rPr>
                      <w:i/>
                    </w:rPr>
                    <w:t>filled it with all this new information</w:t>
                  </w:r>
                  <w:r w:rsidR="000B614C">
                    <w:rPr>
                      <w:i/>
                    </w:rPr>
                    <w:t xml:space="preserve"> [</w:t>
                  </w:r>
                  <w:r>
                    <w:rPr>
                      <w:i/>
                    </w:rPr>
                    <w:t>…</w:t>
                  </w:r>
                  <w:r w:rsidR="000B614C">
                    <w:rPr>
                      <w:i/>
                    </w:rPr>
                    <w:t xml:space="preserve">] </w:t>
                  </w:r>
                  <w:r w:rsidR="00417B46">
                    <w:rPr>
                      <w:i/>
                    </w:rPr>
                    <w:t>S</w:t>
                  </w:r>
                  <w:r>
                    <w:rPr>
                      <w:i/>
                    </w:rPr>
                    <w:t>he educated me on coercive control. That changed everything and I’m so, so grateful because had I not had that support in my life, I would still be stuck in that cycle</w:t>
                  </w:r>
                  <w:r>
                    <w:rPr>
                      <w:i/>
                      <w:iCs/>
                    </w:rPr>
                    <w:t xml:space="preserve"> </w:t>
                  </w:r>
                  <w:r w:rsidRPr="002E7992">
                    <w:rPr>
                      <w:b/>
                      <w:bCs/>
                      <w:i/>
                      <w:iCs/>
                    </w:rPr>
                    <w:t>–</w:t>
                  </w:r>
                  <w:r w:rsidR="00517698">
                    <w:rPr>
                      <w:b/>
                      <w:bCs/>
                      <w:i/>
                      <w:iCs/>
                    </w:rPr>
                    <w:t xml:space="preserve"> </w:t>
                  </w:r>
                  <w:r>
                    <w:rPr>
                      <w:b/>
                      <w:bCs/>
                      <w:i/>
                      <w:iCs/>
                    </w:rPr>
                    <w:t>SFVS s</w:t>
                  </w:r>
                  <w:r w:rsidRPr="002E7992">
                    <w:rPr>
                      <w:b/>
                      <w:bCs/>
                      <w:i/>
                      <w:iCs/>
                    </w:rPr>
                    <w:t xml:space="preserve">ervice </w:t>
                  </w:r>
                  <w:r>
                    <w:rPr>
                      <w:b/>
                      <w:bCs/>
                      <w:i/>
                      <w:iCs/>
                    </w:rPr>
                    <w:t>user</w:t>
                  </w:r>
                </w:p>
                <w:p w14:paraId="6511B26F" w14:textId="77777777" w:rsidR="005674C7" w:rsidRDefault="005674C7" w:rsidP="005674C7">
                  <w:pPr>
                    <w:pStyle w:val="Text"/>
                  </w:pPr>
                </w:p>
                <w:p w14:paraId="72F73885" w14:textId="113F69D8" w:rsidR="005674C7" w:rsidRPr="006039EB" w:rsidRDefault="005674C7" w:rsidP="005674C7">
                  <w:pPr>
                    <w:pBdr>
                      <w:left w:val="single" w:sz="18" w:space="4" w:color="78B800" w:themeColor="accent1"/>
                    </w:pBdr>
                    <w:tabs>
                      <w:tab w:val="left" w:pos="8080"/>
                    </w:tabs>
                    <w:spacing w:after="0"/>
                    <w:ind w:left="851" w:right="949"/>
                    <w:rPr>
                      <w:b/>
                      <w:i/>
                    </w:rPr>
                  </w:pPr>
                  <w:r w:rsidRPr="00494FAF">
                    <w:rPr>
                      <w:i/>
                      <w:noProof/>
                    </w:rPr>
                    <w:drawing>
                      <wp:anchor distT="0" distB="0" distL="114300" distR="114300" simplePos="0" relativeHeight="251658359" behindDoc="0" locked="1" layoutInCell="1" allowOverlap="1" wp14:anchorId="4843DACB" wp14:editId="6657CE03">
                        <wp:simplePos x="0" y="0"/>
                        <wp:positionH relativeFrom="column">
                          <wp:posOffset>0</wp:posOffset>
                        </wp:positionH>
                        <wp:positionV relativeFrom="paragraph">
                          <wp:posOffset>0</wp:posOffset>
                        </wp:positionV>
                        <wp:extent cx="384810" cy="320040"/>
                        <wp:effectExtent l="0" t="0" r="0" b="3810"/>
                        <wp:wrapNone/>
                        <wp:docPr id="2030351448" name="Graphic 2030351448" descr="P3129#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0351448" name="Graphic 2030351448" descr="P3129#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i/>
                    </w:rPr>
                    <w:t>It made me realise it’s not my fault</w:t>
                  </w:r>
                  <w:r w:rsidR="00A40B62">
                    <w:rPr>
                      <w:i/>
                    </w:rPr>
                    <w:t xml:space="preserve"> [</w:t>
                  </w:r>
                  <w:r>
                    <w:rPr>
                      <w:i/>
                    </w:rPr>
                    <w:t>…</w:t>
                  </w:r>
                  <w:r w:rsidR="00A40B62">
                    <w:rPr>
                      <w:i/>
                    </w:rPr>
                    <w:t xml:space="preserve">] </w:t>
                  </w:r>
                  <w:r w:rsidR="00417B46">
                    <w:rPr>
                      <w:i/>
                    </w:rPr>
                    <w:t xml:space="preserve">[It] </w:t>
                  </w:r>
                  <w:r>
                    <w:rPr>
                      <w:i/>
                    </w:rPr>
                    <w:t>helped me get focus and step it out. I was seeing one person consistently</w:t>
                  </w:r>
                  <w:r w:rsidR="00A40B62">
                    <w:rPr>
                      <w:i/>
                    </w:rPr>
                    <w:t xml:space="preserve"> [</w:t>
                  </w:r>
                  <w:r>
                    <w:rPr>
                      <w:i/>
                    </w:rPr>
                    <w:t>…</w:t>
                  </w:r>
                  <w:r w:rsidR="00A40B62">
                    <w:rPr>
                      <w:i/>
                    </w:rPr>
                    <w:t xml:space="preserve">] </w:t>
                  </w:r>
                  <w:r w:rsidR="00417B46">
                    <w:rPr>
                      <w:i/>
                    </w:rPr>
                    <w:t xml:space="preserve">[it] </w:t>
                  </w:r>
                  <w:r>
                    <w:rPr>
                      <w:i/>
                    </w:rPr>
                    <w:t>helped me feel calm</w:t>
                  </w:r>
                  <w:r w:rsidR="00A40B62">
                    <w:rPr>
                      <w:i/>
                    </w:rPr>
                    <w:t xml:space="preserve"> [</w:t>
                  </w:r>
                  <w:r>
                    <w:rPr>
                      <w:i/>
                    </w:rPr>
                    <w:t>…</w:t>
                  </w:r>
                  <w:r w:rsidR="00A40B62">
                    <w:rPr>
                      <w:i/>
                    </w:rPr>
                    <w:t xml:space="preserve">] </w:t>
                  </w:r>
                  <w:r>
                    <w:rPr>
                      <w:i/>
                    </w:rPr>
                    <w:t>[I] didn’t have to rehash it all out</w:t>
                  </w:r>
                  <w:r>
                    <w:rPr>
                      <w:i/>
                      <w:iCs/>
                    </w:rPr>
                    <w:t xml:space="preserve"> </w:t>
                  </w:r>
                  <w:r w:rsidRPr="002E7992">
                    <w:rPr>
                      <w:b/>
                      <w:bCs/>
                      <w:i/>
                      <w:iCs/>
                    </w:rPr>
                    <w:t>–</w:t>
                  </w:r>
                  <w:r>
                    <w:rPr>
                      <w:b/>
                      <w:bCs/>
                      <w:i/>
                      <w:iCs/>
                    </w:rPr>
                    <w:t xml:space="preserve"> </w:t>
                  </w:r>
                  <w:r w:rsidR="0000305C">
                    <w:rPr>
                      <w:b/>
                      <w:bCs/>
                      <w:i/>
                      <w:iCs/>
                    </w:rPr>
                    <w:t xml:space="preserve">Dual </w:t>
                  </w:r>
                  <w:r>
                    <w:rPr>
                      <w:b/>
                      <w:bCs/>
                      <w:i/>
                      <w:iCs/>
                    </w:rPr>
                    <w:t>FaRS SFVS s</w:t>
                  </w:r>
                  <w:r w:rsidRPr="002E7992">
                    <w:rPr>
                      <w:b/>
                      <w:bCs/>
                      <w:i/>
                      <w:iCs/>
                    </w:rPr>
                    <w:t xml:space="preserve">ervice </w:t>
                  </w:r>
                  <w:r>
                    <w:rPr>
                      <w:b/>
                      <w:bCs/>
                      <w:i/>
                      <w:iCs/>
                    </w:rPr>
                    <w:t>user</w:t>
                  </w:r>
                </w:p>
                <w:p w14:paraId="11402B3F" w14:textId="77777777" w:rsidR="005674C7" w:rsidRPr="00EF0030" w:rsidRDefault="005674C7" w:rsidP="005674C7">
                  <w:pPr>
                    <w:pStyle w:val="Text"/>
                  </w:pPr>
                </w:p>
                <w:p w14:paraId="625D5690" w14:textId="781AC2F6" w:rsidR="0000305C" w:rsidRPr="00417B46" w:rsidRDefault="005674C7" w:rsidP="00417B46">
                  <w:pPr>
                    <w:pBdr>
                      <w:left w:val="single" w:sz="18" w:space="4" w:color="78B800" w:themeColor="accent1"/>
                    </w:pBdr>
                    <w:tabs>
                      <w:tab w:val="left" w:pos="8080"/>
                    </w:tabs>
                    <w:spacing w:after="0"/>
                    <w:ind w:left="851" w:right="949"/>
                    <w:rPr>
                      <w:b/>
                      <w:i/>
                    </w:rPr>
                  </w:pPr>
                  <w:r w:rsidRPr="00494FAF">
                    <w:rPr>
                      <w:i/>
                      <w:noProof/>
                    </w:rPr>
                    <w:drawing>
                      <wp:anchor distT="0" distB="0" distL="114300" distR="114300" simplePos="0" relativeHeight="251658360" behindDoc="0" locked="1" layoutInCell="1" allowOverlap="1" wp14:anchorId="642E862F" wp14:editId="4992E7C7">
                        <wp:simplePos x="0" y="0"/>
                        <wp:positionH relativeFrom="column">
                          <wp:posOffset>0</wp:posOffset>
                        </wp:positionH>
                        <wp:positionV relativeFrom="paragraph">
                          <wp:posOffset>0</wp:posOffset>
                        </wp:positionV>
                        <wp:extent cx="384810" cy="320040"/>
                        <wp:effectExtent l="0" t="0" r="0" b="3810"/>
                        <wp:wrapNone/>
                        <wp:docPr id="529536446" name="Graphic 529536446" descr="P3131#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536446" name="Graphic 529536446" descr="P3131#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i/>
                    </w:rPr>
                    <w:t>Before I reached out to them</w:t>
                  </w:r>
                  <w:r w:rsidR="00A40B62">
                    <w:rPr>
                      <w:i/>
                    </w:rPr>
                    <w:t xml:space="preserve"> [</w:t>
                  </w:r>
                  <w:r>
                    <w:rPr>
                      <w:i/>
                    </w:rPr>
                    <w:t>…</w:t>
                  </w:r>
                  <w:r w:rsidR="00A40B62">
                    <w:rPr>
                      <w:i/>
                    </w:rPr>
                    <w:t xml:space="preserve">] </w:t>
                  </w:r>
                  <w:r w:rsidR="00417B46">
                    <w:rPr>
                      <w:i/>
                    </w:rPr>
                    <w:t>[I]</w:t>
                  </w:r>
                  <w:r w:rsidR="00A40B62">
                    <w:rPr>
                      <w:i/>
                    </w:rPr>
                    <w:t xml:space="preserve"> </w:t>
                  </w:r>
                  <w:r>
                    <w:rPr>
                      <w:i/>
                    </w:rPr>
                    <w:t>didn’t know how to verbalise. [The service] helped me how to accept and understand that it was domestic violence</w:t>
                  </w:r>
                  <w:r>
                    <w:rPr>
                      <w:i/>
                      <w:iCs/>
                    </w:rPr>
                    <w:t xml:space="preserve"> </w:t>
                  </w:r>
                  <w:r w:rsidRPr="002E7992">
                    <w:rPr>
                      <w:b/>
                      <w:bCs/>
                      <w:i/>
                      <w:iCs/>
                    </w:rPr>
                    <w:t>–</w:t>
                  </w:r>
                  <w:r>
                    <w:rPr>
                      <w:b/>
                      <w:bCs/>
                      <w:i/>
                      <w:iCs/>
                    </w:rPr>
                    <w:t xml:space="preserve"> </w:t>
                  </w:r>
                  <w:r w:rsidR="0000305C">
                    <w:rPr>
                      <w:b/>
                      <w:bCs/>
                      <w:i/>
                      <w:iCs/>
                    </w:rPr>
                    <w:t xml:space="preserve">Dual </w:t>
                  </w:r>
                  <w:r>
                    <w:rPr>
                      <w:b/>
                      <w:bCs/>
                      <w:i/>
                      <w:iCs/>
                    </w:rPr>
                    <w:t>FaRS SFVS s</w:t>
                  </w:r>
                  <w:r w:rsidRPr="002E7992">
                    <w:rPr>
                      <w:b/>
                      <w:bCs/>
                      <w:i/>
                      <w:iCs/>
                    </w:rPr>
                    <w:t xml:space="preserve">ervice </w:t>
                  </w:r>
                  <w:r>
                    <w:rPr>
                      <w:b/>
                      <w:bCs/>
                      <w:i/>
                      <w:iCs/>
                    </w:rPr>
                    <w:t>user</w:t>
                  </w:r>
                </w:p>
                <w:p w14:paraId="7CE9E447" w14:textId="77777777" w:rsidR="005674C7" w:rsidRPr="000C09BF" w:rsidRDefault="005674C7" w:rsidP="00321BC5">
                  <w:pPr>
                    <w:pStyle w:val="Text"/>
                    <w:spacing w:before="360"/>
                  </w:pPr>
                  <w:r w:rsidRPr="00321BC5">
                    <w:rPr>
                      <w:b/>
                      <w:color w:val="36424A" w:themeColor="background2"/>
                    </w:rPr>
                    <w:t>Men and boys</w:t>
                  </w:r>
                </w:p>
                <w:p w14:paraId="33E77A2B" w14:textId="6E4A111A" w:rsidR="005674C7" w:rsidRPr="005716DC" w:rsidRDefault="005674C7" w:rsidP="005674C7">
                  <w:pPr>
                    <w:pStyle w:val="Text"/>
                  </w:pPr>
                  <w:r w:rsidRPr="005716DC">
                    <w:t xml:space="preserve">It is well-established that family violence is highly gendered, with the majority of victim survivors being women. </w:t>
                  </w:r>
                  <w:r>
                    <w:t>However</w:t>
                  </w:r>
                  <w:r w:rsidRPr="005716DC">
                    <w:t>, a growing body of research indicates that men</w:t>
                  </w:r>
                  <w:r>
                    <w:t xml:space="preserve"> also</w:t>
                  </w:r>
                  <w:r w:rsidRPr="005716DC">
                    <w:t xml:space="preserve"> experience various forms of family violence, including physical, psychological, financial, and sexual abuse, </w:t>
                  </w:r>
                  <w:r>
                    <w:t>from both</w:t>
                  </w:r>
                  <w:r w:rsidRPr="005716DC">
                    <w:t xml:space="preserve"> female </w:t>
                  </w:r>
                  <w:r>
                    <w:t>and</w:t>
                  </w:r>
                  <w:r w:rsidRPr="005716DC">
                    <w:t xml:space="preserve"> male partners. Despite this, male victim survivors of family violence remain a largely </w:t>
                  </w:r>
                  <w:r w:rsidR="00611A3A">
                    <w:t>‘</w:t>
                  </w:r>
                  <w:r w:rsidRPr="005716DC">
                    <w:t>hidden</w:t>
                  </w:r>
                  <w:r w:rsidR="00611A3A">
                    <w:t>’</w:t>
                  </w:r>
                  <w:r w:rsidRPr="005716DC">
                    <w:t xml:space="preserve"> group, facing unique barriers to recognition, help-seeking, and access to appropriate support services </w:t>
                  </w:r>
                  <w:r w:rsidRPr="005716DC">
                    <w:fldChar w:fldCharType="begin"/>
                  </w:r>
                  <w:r w:rsidR="00E41D03">
                    <w:instrText xml:space="preserve"> ADDIN ZOTERO_ITEM CSL_CITATION {"citationID":"nSR87Jl4","properties":{"formattedCitation":"(Hine et al., 2022)","plainCitation":"(Hine et al., 2022)","noteIndex":0},"citationItems":[{"id":4578,"uris":["http://zotero.org/groups/5691188/items/I6NN8EWP"],"itemData":{"id":4578,"type":"article-journal","abstract":"While previous studies have begun to provide evidence on the experiences of male victims of domestic violence and abuse (DVA), current understanding in this area is still limited, and subject to narrow methods of inquiry. Moreover, little is known regarding the challenges of providing support to men in abusive relationships, and how barriers to effective service engagement are experienced by both men and service practitioners. This is an important area for exploration, as the gender-specific experiences and needs of men have been historically overlooked within academic research and service provision.","container-title":"Journal of Interpersonal Violence","DOI":"10.1177/0886260520944551","ISSN":"0886-2605, 1552-6518","issue":"7-8","journalAbbreviation":"J Interpers Violence","language":"en","page":"NP5594-NP5625","source":"DOI.org (Crossref)","title":"“I Have Guys Call Me and Say ‘I Can’t Be the Victim of Domestic Abuse’”: Exploring the Experiences of Telephone Support Providers for Male Victims of Domestic Violence and Abuse","title-short":"“I Have Guys Call Me and Say ‘I Can’t Be the Victim of Domestic Abuse’”","volume":"37","author":[{"family":"Hine","given":"Benjamin"},{"family":"Bates","given":"Elizabeth A."},{"family":"Wallace","given":"Sarah"}],"issued":{"date-parts":[["2022",4]]}}}],"schema":"https://github.com/citation-style-language/schema/raw/master/csl-citation.json"} </w:instrText>
                  </w:r>
                  <w:r w:rsidRPr="005716DC">
                    <w:fldChar w:fldCharType="separate"/>
                  </w:r>
                  <w:r w:rsidRPr="005716DC">
                    <w:rPr>
                      <w:rFonts w:ascii="Arial" w:hAnsi="Arial" w:cs="Arial"/>
                    </w:rPr>
                    <w:t>(Hine et al., 2022)</w:t>
                  </w:r>
                  <w:r w:rsidRPr="005716DC">
                    <w:fldChar w:fldCharType="end"/>
                  </w:r>
                  <w:r w:rsidRPr="005716DC">
                    <w:t>.</w:t>
                  </w:r>
                  <w:r>
                    <w:t xml:space="preserve"> Themes from the literature regarding experiences and service access barriers for male victim survivors include descriptions of societal expectations about masculinity, strength</w:t>
                  </w:r>
                  <w:r w:rsidR="00417B46">
                    <w:t>,</w:t>
                  </w:r>
                  <w:r>
                    <w:t xml:space="preserve"> and stoicism that can deter help-seeking or cause male victim survivors to fear they will be ridiculed or not believed. </w:t>
                  </w:r>
                  <w:r w:rsidRPr="005716DC">
                    <w:t xml:space="preserve">The lack of visible, male-oriented services can exacerbate feelings of isolation and discouragement from seeking help, as men are unsure where to go or doubt they will receive appropriate support </w:t>
                  </w:r>
                  <w:r w:rsidRPr="005716DC">
                    <w:fldChar w:fldCharType="begin"/>
                  </w:r>
                  <w:r w:rsidR="00E41D03">
                    <w:instrText xml:space="preserve"> ADDIN ZOTERO_ITEM CSL_CITATION {"citationID":"3jx9Jzay","properties":{"formattedCitation":"(Huntley et al., 2019)","plainCitation":"(Huntley et al., 2019)","noteIndex":0},"citationItems":[{"id":4575,"uris":["http://zotero.org/groups/5691188/items/HG37QJCQ"],"itemData":{"id":4575,"type":"article-journal","abstract":"Objectives  To understand help-seeking by male victims of domestic violence and abuse (DVA) and their experiences of support services by systematically identifying qualitative and mixed-method studies and thematically synthesising their findings. Design  Systematic review and qualitative evidence synthesis. Searches were conducted in 12 databases and the grey literature with no language or date restrictions. Quality appraisal of the studies was carried out using the Critical Appraisal Skills Programme tool. Reviewers extracted first and second order constructs related to help-seeking, identified themes and combined them by interpretative thematic synthesis. Setting  DVA experienced by male victims and defined as any incident or pattern of incidents of controlling coercive or threatening behaviour, violence or abuse among people aged 18 or over who are or have been intimate partners or family members, regardless of gender or sexuality. Participants  Male victims of DVA. Interventions  Any intervention which provides practical and/or psychological support to male victims of DVA including but not limited to DVA-specific services, primary healthcare and sexual health clinics. Primary and secondary outcome measures Qualitative data describing help-seeking experiences and interactions with support services of male victims of domestic violence\nResults  We included twelve studies which were published between 2006 and 2017. We grouped nine themes described over two phases (a) barriers to help-seeking: fear of disclosure, challenge to masculinity, commitment to relationship, diminished confidence/despondency and invisibility/perception of services; and (b) experiences of interventions and support: initial contact, confidentiality, appropriate professional approaches and inappropriate professional approaches.\nConclusion  The recent publication of the primary studies suggests a new interest in the needs of male DVA victims. We have confirmed previously identified barriers to helpseeking by male victims of DVA and provide new insight into barriers and facilitators to service provision. PROSPERO registration number CRD42016039999.","container-title":"BMJ Open","DOI":"10.1136/bmjopen-2018-021960","ISSN":"2044-6055, 2044-6055","issue":"6","journalAbbreviation":"BMJ Open","language":"en","page":"e021960","source":"DOI.org (Crossref)","title":"Help-seeking by male victims of domestic violence and abuse (DVA): a systematic review and qualitative evidence synthesis","title-short":"Help-seeking by male victims of domestic violence and abuse (DVA)","volume":"9","author":[{"family":"Huntley","given":"Alyson L"},{"family":"Potter","given":"Lucy"},{"family":"Williamson","given":"Emma"},{"family":"Malpass","given":"Alice"},{"family":"Szilassy","given":"Eszter"},{"family":"Feder","given":"Gene"}],"issued":{"date-parts":[["2019",5]]}}}],"schema":"https://github.com/citation-style-language/schema/raw/master/csl-citation.json"} </w:instrText>
                  </w:r>
                  <w:r w:rsidRPr="005716DC">
                    <w:fldChar w:fldCharType="separate"/>
                  </w:r>
                  <w:r w:rsidRPr="005716DC">
                    <w:rPr>
                      <w:rFonts w:ascii="Arial" w:hAnsi="Arial" w:cs="Arial"/>
                    </w:rPr>
                    <w:t>(Huntley et al., 2019)</w:t>
                  </w:r>
                  <w:r w:rsidRPr="005716DC">
                    <w:fldChar w:fldCharType="end"/>
                  </w:r>
                  <w:r w:rsidRPr="005716DC">
                    <w:t>.</w:t>
                  </w:r>
                </w:p>
                <w:p w14:paraId="52469F8F" w14:textId="01636102" w:rsidR="005674C7" w:rsidRPr="00E237DE" w:rsidRDefault="005674C7" w:rsidP="005674C7">
                  <w:pPr>
                    <w:pStyle w:val="Text"/>
                  </w:pPr>
                  <w:r w:rsidRPr="005716DC">
                    <w:t xml:space="preserve">The literature identifies several factors </w:t>
                  </w:r>
                  <w:r>
                    <w:t>supporting</w:t>
                  </w:r>
                  <w:r w:rsidRPr="005716DC">
                    <w:t xml:space="preserve"> provision of gender-</w:t>
                  </w:r>
                  <w:r>
                    <w:t xml:space="preserve">specific and </w:t>
                  </w:r>
                  <w:r w:rsidRPr="005716DC">
                    <w:t xml:space="preserve">inclusive services </w:t>
                  </w:r>
                  <w:r>
                    <w:t>for</w:t>
                  </w:r>
                  <w:r w:rsidRPr="005716DC">
                    <w:t xml:space="preserve"> men. </w:t>
                  </w:r>
                  <w:r>
                    <w:t>S</w:t>
                  </w:r>
                  <w:r w:rsidRPr="005716DC">
                    <w:t xml:space="preserve">upport from family members and friends can play a crucial role in encouraging men to seek </w:t>
                  </w:r>
                  <w:r w:rsidR="00236A37" w:rsidRPr="005716DC">
                    <w:t>help</w:t>
                  </w:r>
                  <w:r w:rsidR="00236A37">
                    <w:t xml:space="preserve"> and</w:t>
                  </w:r>
                  <w:r w:rsidRPr="005716DC">
                    <w:t xml:space="preserve"> validate their experiences as abuse. </w:t>
                  </w:r>
                  <w:r>
                    <w:t>R</w:t>
                  </w:r>
                  <w:r w:rsidRPr="005716DC">
                    <w:t>eceiv</w:t>
                  </w:r>
                  <w:r>
                    <w:t>ing</w:t>
                  </w:r>
                  <w:r w:rsidRPr="005716DC">
                    <w:t xml:space="preserve"> support </w:t>
                  </w:r>
                  <w:r>
                    <w:t>anonymously</w:t>
                  </w:r>
                  <w:r w:rsidRPr="005716DC">
                    <w:t xml:space="preserve"> was identified as an important enabler for effective service delivery. Confidential helplines provide an accessible and low-stakes environment where men can seek support without compromising their sense of masculinity. Service providers</w:t>
                  </w:r>
                  <w:r>
                    <w:t xml:space="preserve"> engaged through the </w:t>
                  </w:r>
                  <w:r>
                    <w:lastRenderedPageBreak/>
                    <w:t>literature</w:t>
                  </w:r>
                  <w:r w:rsidRPr="005716DC">
                    <w:t xml:space="preserve"> emphasised the importance of validation and anonymity in helping men feel seen and heard </w:t>
                  </w:r>
                  <w:r w:rsidRPr="005716DC">
                    <w:fldChar w:fldCharType="begin"/>
                  </w:r>
                  <w:r w:rsidR="00E41D03">
                    <w:instrText xml:space="preserve"> ADDIN ZOTERO_ITEM CSL_CITATION {"citationID":"VrO0nxrS","properties":{"formattedCitation":"(Hine et al., 2022)","plainCitation":"(Hine et al., 2022)","noteIndex":0},"citationItems":[{"id":4578,"uris":["http://zotero.org/groups/5691188/items/I6NN8EWP"],"itemData":{"id":4578,"type":"article-journal","abstract":"While previous studies have begun to provide evidence on the experiences of male victims of domestic violence and abuse (DVA), current understanding in this area is still limited, and subject to narrow methods of inquiry. Moreover, little is known regarding the challenges of providing support to men in abusive relationships, and how barriers to effective service engagement are experienced by both men and service practitioners. This is an important area for exploration, as the gender-specific experiences and needs of men have been historically overlooked within academic research and service provision.","container-title":"Journal of Interpersonal Violence","DOI":"10.1177/0886260520944551","ISSN":"0886-2605, 1552-6518","issue":"7-8","journalAbbreviation":"J Interpers Violence","language":"en","page":"NP5594-NP5625","source":"DOI.org (Crossref)","title":"“I Have Guys Call Me and Say ‘I Can’t Be the Victim of Domestic Abuse’”: Exploring the Experiences of Telephone Support Providers for Male Victims of Domestic Violence and Abuse","title-short":"“I Have Guys Call Me and Say ‘I Can’t Be the Victim of Domestic Abuse’”","volume":"37","author":[{"family":"Hine","given":"Benjamin"},{"family":"Bates","given":"Elizabeth A."},{"family":"Wallace","given":"Sarah"}],"issued":{"date-parts":[["2022",4]]}}}],"schema":"https://github.com/citation-style-language/schema/raw/master/csl-citation.json"} </w:instrText>
                  </w:r>
                  <w:r w:rsidRPr="005716DC">
                    <w:fldChar w:fldCharType="separate"/>
                  </w:r>
                  <w:r w:rsidRPr="005716DC">
                    <w:rPr>
                      <w:rFonts w:ascii="Arial" w:hAnsi="Arial" w:cs="Arial"/>
                    </w:rPr>
                    <w:t>(Hine et al., 2022)</w:t>
                  </w:r>
                  <w:r w:rsidRPr="005716DC">
                    <w:fldChar w:fldCharType="end"/>
                  </w:r>
                  <w:r w:rsidRPr="005716DC">
                    <w:t xml:space="preserve">. </w:t>
                  </w:r>
                </w:p>
                <w:p w14:paraId="6C352523" w14:textId="1F174548" w:rsidR="00126608" w:rsidRPr="005716DC" w:rsidRDefault="00126608" w:rsidP="005674C7">
                  <w:pPr>
                    <w:pStyle w:val="Text"/>
                  </w:pPr>
                  <w:r>
                    <w:t>While the literature described various enablers and barriers for male victim survivors,</w:t>
                  </w:r>
                  <w:r w:rsidR="001E2974">
                    <w:t xml:space="preserve"> due to the low uptake of surveys and interviews for SFVS, MBCP, and CSC service users,</w:t>
                  </w:r>
                  <w:r>
                    <w:t xml:space="preserve"> there were few direct examples of experiences described by service providers and service users to draw upon (</w:t>
                  </w:r>
                  <w:r w:rsidR="009319BF">
                    <w:t>s</w:t>
                  </w:r>
                  <w:r>
                    <w:t xml:space="preserve">ee </w:t>
                  </w:r>
                  <w:r w:rsidRPr="008E1B83">
                    <w:rPr>
                      <w:b/>
                    </w:rPr>
                    <w:t xml:space="preserve">Section </w:t>
                  </w:r>
                  <w:r>
                    <w:rPr>
                      <w:b/>
                    </w:rPr>
                    <w:fldChar w:fldCharType="begin" w:fldLock="1"/>
                  </w:r>
                  <w:r>
                    <w:rPr>
                      <w:b/>
                    </w:rPr>
                    <w:instrText xml:space="preserve"> REF _Ref205321333 \r \h </w:instrText>
                  </w:r>
                  <w:r w:rsidR="00271FAC">
                    <w:rPr>
                      <w:b/>
                    </w:rPr>
                    <w:instrText xml:space="preserve"> \* MERGEFORMAT </w:instrText>
                  </w:r>
                  <w:r>
                    <w:rPr>
                      <w:b/>
                    </w:rPr>
                  </w:r>
                  <w:r>
                    <w:rPr>
                      <w:b/>
                    </w:rPr>
                    <w:fldChar w:fldCharType="separate"/>
                  </w:r>
                  <w:r w:rsidR="008F22E5">
                    <w:rPr>
                      <w:b/>
                    </w:rPr>
                    <w:t>3.8</w:t>
                  </w:r>
                  <w:r>
                    <w:rPr>
                      <w:b/>
                    </w:rPr>
                    <w:fldChar w:fldCharType="end"/>
                  </w:r>
                  <w:r w:rsidRPr="00BD3068">
                    <w:t>).</w:t>
                  </w:r>
                  <w:r>
                    <w:t xml:space="preserve"> These insights from the literature nonetheless provide considerations for the design and delivery of FaRS and SFVS for male victim survivors</w:t>
                  </w:r>
                  <w:r w:rsidR="009A666A">
                    <w:t>.</w:t>
                  </w:r>
                </w:p>
                <w:p w14:paraId="77339A9B" w14:textId="6540BB67" w:rsidR="00000C23" w:rsidRDefault="005674C7" w:rsidP="005674C7">
                  <w:pPr>
                    <w:pStyle w:val="Text"/>
                  </w:pPr>
                  <w:r w:rsidRPr="005716DC">
                    <w:t xml:space="preserve">The literature highlights several factors that promote engagement </w:t>
                  </w:r>
                  <w:r w:rsidR="00D61921">
                    <w:t xml:space="preserve">of fathers </w:t>
                  </w:r>
                  <w:r w:rsidRPr="005716DC">
                    <w:t>in parenting support programs. Single-gender group work was identified as a key enabler for enhancing fathers’ involvement. Fathers expressed a preference for programs that recognised their unique experiences and needs as parents</w:t>
                  </w:r>
                  <w:r>
                    <w:t xml:space="preserve"> and</w:t>
                  </w:r>
                  <w:r w:rsidRPr="005716DC">
                    <w:t xml:space="preserve"> spaces where they could discuss the challenges and rewards of fatherhood with other men. Single-gender groups created a </w:t>
                  </w:r>
                  <w:r w:rsidR="00477382">
                    <w:t>‘</w:t>
                  </w:r>
                  <w:r w:rsidRPr="005716DC">
                    <w:t>safe space</w:t>
                  </w:r>
                  <w:r w:rsidR="00477382">
                    <w:t>’</w:t>
                  </w:r>
                  <w:r w:rsidRPr="005716DC">
                    <w:t xml:space="preserve"> for fathers, allowing them to speak openly without concerns about judgment from partners. Additionally, normalising the experience of fatherhood and associated challenges through sharing experiences with other fathers undergoing similar transitions helped to reduce feelings of isolation and uncertainty around fatherhood. Building male social support networks </w:t>
                  </w:r>
                  <w:r>
                    <w:t>can</w:t>
                  </w:r>
                  <w:r w:rsidRPr="005716DC">
                    <w:t xml:space="preserve"> motivate attendance and sustained engagement, as fathers value the chance to connect with other fathers </w:t>
                  </w:r>
                  <w:r w:rsidRPr="005716DC">
                    <w:fldChar w:fldCharType="begin"/>
                  </w:r>
                  <w:r w:rsidR="00E41D03">
                    <w:instrText xml:space="preserve"> ADDIN ZOTERO_ITEM CSL_CITATION {"citationID":"vT72meE9","properties":{"formattedCitation":"(Pfitzner et al., 2020)","plainCitation":"(Pfitzner et al., 2020)","noteIndex":0},"citationItems":[{"id":4758,"uris":["http://zotero.org/groups/5691188/items/TE2797G5"],"itemData":{"id":4758,"type":"article-journal","abstract":"Although there is a growing body of international work on barriers to engaging fathers in child and family services, there is limited research on factors that promote father engagement. In this article, we draw on case study data from the Australian Baby Makes 3 (BM3) programme to explore factors that promote father engagement in parenting support programmes. Our analysis shows single-gender group work supported father engagement. BM3's father group work provided a safe space in the parenting support context where men could form intimate connections with other fathers and talk openly about their parenting experiences without fear of criticism from partners. These findings suggest that men often feel silenced and marginalized in the parenting sphere.","container-title":"Child &amp; Family Social Work","DOI":"10.1111/cfs.12760","ISSN":"1356-7500, 1365-2206","issue":"S1","journalAbbreviation":"Child &amp; Family Social Work","language":"en","page":"198-206","source":"DOI.org (Crossref)","title":"Bringing men in from the margins: Father</w:instrText>
                  </w:r>
                  <w:r w:rsidR="00E41D03">
                    <w:rPr>
                      <w:rFonts w:ascii="Cambria Math" w:hAnsi="Cambria Math" w:cs="Cambria Math"/>
                    </w:rPr>
                    <w:instrText>‐</w:instrText>
                  </w:r>
                  <w:r w:rsidR="00E41D03">
                    <w:instrText xml:space="preserve">inclusive practices for the delivery of parenting interventions","title-short":"Bringing men in from the margins","volume":"25","author":[{"family":"Pfitzner","given":"Naomi"},{"family":"Humphreys","given":"Cathy"},{"family":"Hegarty","given":"Kelsey"}],"issued":{"date-parts":[["2020",8]]}}}],"schema":"https://github.com/citation-style-language/schema/raw/master/csl-citation.json"} </w:instrText>
                  </w:r>
                  <w:r w:rsidRPr="005716DC">
                    <w:fldChar w:fldCharType="separate"/>
                  </w:r>
                  <w:r w:rsidRPr="005716DC">
                    <w:rPr>
                      <w:rFonts w:ascii="Arial" w:hAnsi="Arial" w:cs="Arial"/>
                    </w:rPr>
                    <w:t>(Pfitzner et al., 2020)</w:t>
                  </w:r>
                  <w:r w:rsidRPr="005716DC">
                    <w:fldChar w:fldCharType="end"/>
                  </w:r>
                  <w:r w:rsidRPr="005716DC">
                    <w:t>.</w:t>
                  </w:r>
                  <w:r w:rsidR="00000C23">
                    <w:t xml:space="preserve"> </w:t>
                  </w:r>
                </w:p>
                <w:p w14:paraId="3F5AE6CF" w14:textId="7F623BC6" w:rsidR="00000C23" w:rsidRPr="005716DC" w:rsidRDefault="00B6521D" w:rsidP="005674C7">
                  <w:pPr>
                    <w:pStyle w:val="Text"/>
                  </w:pPr>
                  <w:r>
                    <w:t>L</w:t>
                  </w:r>
                  <w:r w:rsidR="00000C23">
                    <w:t>iterature</w:t>
                  </w:r>
                  <w:r w:rsidR="00000C23" w:rsidRPr="005716DC">
                    <w:t xml:space="preserve"> </w:t>
                  </w:r>
                  <w:r>
                    <w:t xml:space="preserve">also </w:t>
                  </w:r>
                  <w:r w:rsidR="00000C23">
                    <w:t>shows</w:t>
                  </w:r>
                  <w:r w:rsidR="00000C23" w:rsidRPr="005716DC">
                    <w:t xml:space="preserve"> that engaging both mothers and fathers in parenting interventions leads to enhanced outcomes for both parents and children. Co-parenting programs, which address parenting consistency, relationship quality, and support between partners </w:t>
                  </w:r>
                  <w:r w:rsidR="00000C23">
                    <w:t>can improve</w:t>
                  </w:r>
                  <w:r w:rsidR="00000C23" w:rsidRPr="005716DC">
                    <w:t xml:space="preserve"> engagement and lower parent</w:t>
                  </w:r>
                  <w:r w:rsidR="00000C23">
                    <w:t>ing</w:t>
                  </w:r>
                  <w:r w:rsidR="00000C23" w:rsidRPr="005716DC">
                    <w:t xml:space="preserve"> stress. Involving both parents ensures comprehensive family support and enhances the impact of the interventions </w:t>
                  </w:r>
                  <w:r w:rsidR="00000C23" w:rsidRPr="005716DC">
                    <w:fldChar w:fldCharType="begin"/>
                  </w:r>
                  <w:r w:rsidR="00E41D03">
                    <w:instrText xml:space="preserve"> ADDIN ZOTERO_ITEM CSL_CITATION {"citationID":"uEs3B4Ig","properties":{"formattedCitation":"(Lechowicz et al., 2019)","plainCitation":"(Lechowicz et al., 2019)","noteIndex":0},"citationItems":[{"id":4745,"uris":["http://zotero.org/groups/5691188/items/ZDPZ35QU"],"itemData":{"id":4745,"type":"article-journal","abstract":"Objective: Given the increasing research and practice interest in father engagement, this article aimed to develop a clinical narrative integrating the extant research literature to distil key practice recommendations for enhancing father engagement in parenting interventions for child wellbeing.\nMethod: A narrative review of research on father engagement in interventions for child wellbeing was conducted, to identify and distil evidence-based policies and practices to enhance father engagement for practitioners and organisations.\nResults: Six broad policy and practice recommendations are provided that pertain to: engaging the parenting team, avoiding a father deﬁcit model, increasing father awareness of parenting interventions, ensuring father-inclusive program content and delivery, increasing organisational support for father-inclusive practice, and increasing professional father engagement training.\nConclusion: This review provides practitioners with guidelines for enhancing father engagement based on the available research. It also provides recommendations for further research regarding the effectiveness of strategies to enhance father engagement.","container-title":"Australian Psychologist","DOI":"10.1111/ap.12361","ISSN":"0005-0067, 1742-9544","issue":"2","journalAbbreviation":"Australian Psychologist","language":"en","page":"83-89","source":"DOI.org (Crossref)","title":"Enhancing Father Engagement in Parenting Programs: Translating Research into Practice Recommendations","title-short":"Enhancing Father Engagement in Parenting Programs","volume":"54","author":[{"family":"Lechowicz","given":"Meryn E."},{"family":"Jiang","given":"Yixin"},{"family":"Tully","given":"Lucy A."},{"family":"Burn","given":"Matthew T."},{"family":"Collins","given":"Daniel A. J."},{"family":"Hawes","given":"David J."},{"family":"Lenroot","given":"Rhoshel K."},{"family":"Anderson","given":"Vicki"},{"family":"Doyle","given":"Frances L."},{"family":"Piotrowska","given":"Patrycja J."},{"family":"Frick","given":"Paul J."},{"family":"Moul","given":"Caroline"},{"family":"Kimonis","given":"Eva R."},{"family":"Dadds","given":"Mark R."}],"issued":{"date-parts":[["2019",4,1]]}}}],"schema":"https://github.com/citation-style-language/schema/raw/master/csl-citation.json"} </w:instrText>
                  </w:r>
                  <w:r w:rsidR="00000C23" w:rsidRPr="005716DC">
                    <w:fldChar w:fldCharType="separate"/>
                  </w:r>
                  <w:r w:rsidR="00000C23" w:rsidRPr="005716DC">
                    <w:rPr>
                      <w:rFonts w:ascii="Arial" w:hAnsi="Arial" w:cs="Arial"/>
                    </w:rPr>
                    <w:t>(Lechowicz et al., 2019)</w:t>
                  </w:r>
                  <w:r w:rsidR="00000C23" w:rsidRPr="005716DC">
                    <w:fldChar w:fldCharType="end"/>
                  </w:r>
                  <w:r w:rsidR="00000C23" w:rsidRPr="005716DC">
                    <w:t>.</w:t>
                  </w:r>
                  <w:r w:rsidR="00000C23">
                    <w:t xml:space="preserve"> </w:t>
                  </w:r>
                </w:p>
                <w:p w14:paraId="42382569" w14:textId="5FA6E3A1" w:rsidR="007B4DC1" w:rsidRPr="00126608" w:rsidRDefault="005674C7" w:rsidP="005674C7">
                  <w:pPr>
                    <w:pStyle w:val="Text"/>
                    <w:rPr>
                      <w:lang w:val="en-US"/>
                    </w:rPr>
                  </w:pPr>
                  <w:r w:rsidRPr="00F17B63">
                    <w:rPr>
                      <w:lang w:val="en-US"/>
                    </w:rPr>
                    <w:t xml:space="preserve">Haines et al. </w:t>
                  </w:r>
                  <w:r w:rsidRPr="00F17B63">
                    <w:rPr>
                      <w:lang w:val="en-US"/>
                    </w:rPr>
                    <w:fldChar w:fldCharType="begin"/>
                  </w:r>
                  <w:r w:rsidR="00E41D03">
                    <w:rPr>
                      <w:lang w:val="en-US"/>
                    </w:rPr>
                    <w:instrText xml:space="preserve"> ADDIN ZOTERO_ITEM CSL_CITATION {"citationID":"JzPLjw5y","properties":{"formattedCitation":"(2022)","plainCitation":"(2022)","noteIndex":0},"citationItems":[{"id":4569,"uris":["http://zotero.org/groups/5691188/items/LI88EPQI"],"itemData":{"id":4569,"type":"article-journal","abstract":"Intimate partner violence is a major problem in Australia, impacting many families that are on the cusp of disruption and intervention by the child protection system. Using an innovative method of inquiry, the article explores the role of dedicated men’s workers in a South Australian non-government organisation’s intensive family service that works towards keeping families safe and together. The dedicated men’s worker positions are integrated into a multidisciplinary model that works with fathers who have been a part of situational violence within the family. The men’s workers’ (and co-authors’) reflections offer insight into systemic barriers, practical therapeutic interventions, engagement work with fathers, how this is approached, and the various outcomes experienced. Blending auto-ethnography reflections, elements of rapid ethnographic assessment, and the use of rigorous and accelerated data reduction, we demonstrate the need for increased supports for some fathers. These should include therapeutic engagement and working with the underlying trauma of fathers to ensure the whole family is supported and offered opportunity for healing and sustainable preservation. We also consider the more encompassing lifeworlds of the men and the need to drive and support broader sociocultural shifts.","container-title":"Australian and New Zealand Journal of Family Therapy","DOI":"10.1002/anzf.1517","ISSN":"0814-723X, 1467-8438","issue":"4","journalAbbreviation":"ANZ J of Family Therapy","language":"en","page":"442-461","source":"DOI.org (Crossref)","title":"Men Working with Men in Intensive Family Services: Reflections on Violence, Trauma Lifeworlds, and Organic Interventions","title-short":"Men Working with Men in Intensive Family Services","volume":"43","author":[{"family":"Haines","given":"Alex"},{"family":"Andary","given":"Stuart"},{"family":"Amos","given":"Jackie"},{"family":"Louth","given":"Jonathon"},{"family":"Mannik","given":"Amalie"},{"family":"Jacobs","given":"Ruth"},{"family":"Best","given":"Paul"},{"family":"Calio","given":"Paul"},{"family":"Petrovic","given":"Travis"},{"family":"Scott","given":"Ryan"},{"family":"Vlahos","given":"Alex"}],"issued":{"date-parts":[["2022",12]]}},"label":"page","suppress-author":true}],"schema":"https://github.com/citation-style-language/schema/raw/master/csl-citation.json"} </w:instrText>
                  </w:r>
                  <w:r w:rsidRPr="00F17B63">
                    <w:rPr>
                      <w:lang w:val="en-US"/>
                    </w:rPr>
                    <w:fldChar w:fldCharType="separate"/>
                  </w:r>
                  <w:r w:rsidRPr="00F17B63">
                    <w:rPr>
                      <w:lang w:val="en-US"/>
                    </w:rPr>
                    <w:t>(2022)</w:t>
                  </w:r>
                  <w:r w:rsidRPr="00F17B63">
                    <w:rPr>
                      <w:lang w:val="en-GB"/>
                    </w:rPr>
                    <w:fldChar w:fldCharType="end"/>
                  </w:r>
                  <w:r w:rsidRPr="00F17B63">
                    <w:rPr>
                      <w:lang w:val="en-US"/>
                    </w:rPr>
                    <w:t xml:space="preserve"> also highlight the value of trauma-informed and strengths-based interventions in father-inclusive programs. In their study, practitioners create</w:t>
                  </w:r>
                  <w:r w:rsidR="00477382">
                    <w:rPr>
                      <w:lang w:val="en-US"/>
                    </w:rPr>
                    <w:t>d</w:t>
                  </w:r>
                  <w:r w:rsidRPr="00F17B63">
                    <w:rPr>
                      <w:lang w:val="en-US"/>
                    </w:rPr>
                    <w:t xml:space="preserve"> a safe space for fathers to reflect on their own trauma and understand its influence on their behaviours. This non-confrontational, relational approach allow</w:t>
                  </w:r>
                  <w:r w:rsidR="002E37DD">
                    <w:rPr>
                      <w:lang w:val="en-US"/>
                    </w:rPr>
                    <w:t>ed</w:t>
                  </w:r>
                  <w:r w:rsidRPr="00F17B63">
                    <w:rPr>
                      <w:lang w:val="en-US"/>
                    </w:rPr>
                    <w:t xml:space="preserve"> practitioners to build trust with participants, </w:t>
                  </w:r>
                  <w:r w:rsidR="00E52267">
                    <w:rPr>
                      <w:lang w:val="en-US"/>
                    </w:rPr>
                    <w:t>enabling</w:t>
                  </w:r>
                  <w:r w:rsidR="00E52267" w:rsidRPr="00F17B63">
                    <w:rPr>
                      <w:lang w:val="en-US"/>
                    </w:rPr>
                    <w:t xml:space="preserve"> </w:t>
                  </w:r>
                  <w:r w:rsidRPr="00F17B63">
                    <w:rPr>
                      <w:lang w:val="en-US"/>
                    </w:rPr>
                    <w:t xml:space="preserve">a process of self-exploration and accountability. Storytelling and emotional awareness connect past trauma with current actions, enabling fathers to address harmful patterns constructively. </w:t>
                  </w:r>
                  <w:r w:rsidR="00471C8E">
                    <w:t>These</w:t>
                  </w:r>
                  <w:r>
                    <w:t xml:space="preserve"> findings</w:t>
                  </w:r>
                  <w:r w:rsidRPr="00F17B63">
                    <w:rPr>
                      <w:lang w:val="en-US"/>
                    </w:rPr>
                    <w:t xml:space="preserve"> </w:t>
                  </w:r>
                  <w:r w:rsidR="00471C8E">
                    <w:rPr>
                      <w:lang w:val="en-US"/>
                    </w:rPr>
                    <w:t>support</w:t>
                  </w:r>
                  <w:r w:rsidRPr="00F17B63">
                    <w:rPr>
                      <w:lang w:val="en-US"/>
                    </w:rPr>
                    <w:t xml:space="preserve"> a multidisciplinary, family-</w:t>
                  </w:r>
                  <w:r w:rsidR="009D75A5" w:rsidRPr="00F17B63">
                    <w:rPr>
                      <w:lang w:val="en-US"/>
                    </w:rPr>
                    <w:t>centred</w:t>
                  </w:r>
                  <w:r w:rsidRPr="00F17B63">
                    <w:rPr>
                      <w:lang w:val="en-US"/>
                    </w:rPr>
                    <w:t xml:space="preserve"> model to address the socio-cultural and trauma-based factors that shape fathers’ experiences and behaviours.</w:t>
                  </w:r>
                </w:p>
                <w:p w14:paraId="3BE4C0E2" w14:textId="3367BAB9" w:rsidR="005674C7" w:rsidRPr="009C7D7C" w:rsidRDefault="005674C7" w:rsidP="001116FA">
                  <w:pPr>
                    <w:pStyle w:val="Heading3"/>
                    <w:ind w:left="1276" w:hanging="1276"/>
                  </w:pPr>
                  <w:bookmarkStart w:id="477" w:name="_Ref208251713"/>
                  <w:r w:rsidRPr="009C7D7C">
                    <w:t>People who use violence</w:t>
                  </w:r>
                  <w:bookmarkEnd w:id="477"/>
                </w:p>
                <w:p w14:paraId="51C864C2" w14:textId="02EA721E" w:rsidR="005674C7" w:rsidRPr="00AC7359" w:rsidRDefault="00E50ED2" w:rsidP="00AC7359">
                  <w:pPr>
                    <w:rPr>
                      <w:lang w:val="en-GB"/>
                    </w:rPr>
                  </w:pPr>
                  <w:r>
                    <w:t xml:space="preserve">People who use violence are a priority cohort for SFVS service delivery. </w:t>
                  </w:r>
                  <w:r w:rsidR="005674C7">
                    <w:t>SFVS include</w:t>
                  </w:r>
                  <w:r w:rsidR="00765AB8">
                    <w:t>s</w:t>
                  </w:r>
                  <w:r w:rsidR="005674C7">
                    <w:t xml:space="preserve"> </w:t>
                  </w:r>
                  <w:r w:rsidR="00E070C1">
                    <w:t>MBCPs</w:t>
                  </w:r>
                  <w:r w:rsidR="005674C7">
                    <w:t xml:space="preserve"> that support people using violence to address and change their behaviour. Ten organisations are funded to deliver MBCPs</w:t>
                  </w:r>
                  <w:r w:rsidR="003E1AC2">
                    <w:t xml:space="preserve"> through SFVS funding across Australia</w:t>
                  </w:r>
                  <w:r w:rsidR="005674C7">
                    <w:t>.</w:t>
                  </w:r>
                  <w:r w:rsidR="00EC2717" w:rsidRPr="00EC2717">
                    <w:t xml:space="preserve"> </w:t>
                  </w:r>
                  <w:r w:rsidR="00EC2717" w:rsidRPr="00321BC5">
                    <w:t xml:space="preserve">Approximately 1,747 </w:t>
                  </w:r>
                  <w:r w:rsidR="005072EF" w:rsidRPr="00321BC5">
                    <w:t xml:space="preserve">service </w:t>
                  </w:r>
                  <w:r w:rsidR="00175D50" w:rsidRPr="00321BC5">
                    <w:t>users</w:t>
                  </w:r>
                  <w:r w:rsidR="00EC2717" w:rsidRPr="00321BC5">
                    <w:t xml:space="preserve"> accessed MBCPs in 2023-24 and between 51% and 65% of MBCP </w:t>
                  </w:r>
                  <w:r w:rsidR="00E070C1" w:rsidRPr="00321BC5">
                    <w:t>service users</w:t>
                  </w:r>
                  <w:r w:rsidR="00EC2717" w:rsidRPr="00321BC5">
                    <w:t xml:space="preserve"> had an overall positive change in circumstances. The average </w:t>
                  </w:r>
                  <w:r w:rsidR="003B5667">
                    <w:t>C</w:t>
                  </w:r>
                  <w:r w:rsidR="00EC2717" w:rsidRPr="00321BC5">
                    <w:t xml:space="preserve">ircumstance </w:t>
                  </w:r>
                  <w:r w:rsidR="000D42A9">
                    <w:t>SCORE</w:t>
                  </w:r>
                  <w:r w:rsidR="00EC2717" w:rsidRPr="00321BC5">
                    <w:t xml:space="preserve"> change was in the order of +0.70-+1.05.</w:t>
                  </w:r>
                  <w:r w:rsidR="00EC2717">
                    <w:t xml:space="preserve"> </w:t>
                  </w:r>
                </w:p>
                <w:p w14:paraId="6E3E369A" w14:textId="78C28E7A" w:rsidR="005674C7" w:rsidRDefault="005674C7" w:rsidP="005674C7">
                  <w:pPr>
                    <w:pStyle w:val="Text"/>
                  </w:pPr>
                  <w:r>
                    <w:lastRenderedPageBreak/>
                    <w:t>The literature identifie</w:t>
                  </w:r>
                  <w:r w:rsidR="00AF4E63">
                    <w:t>s</w:t>
                  </w:r>
                  <w:r>
                    <w:t xml:space="preserve"> a range of themes and best practices relating to service delivery </w:t>
                  </w:r>
                  <w:r w:rsidR="009915CF">
                    <w:t>for</w:t>
                  </w:r>
                  <w:r>
                    <w:t xml:space="preserve"> people using violence, including:</w:t>
                  </w:r>
                  <w:r w:rsidR="009915CF">
                    <w:t xml:space="preserve"> </w:t>
                  </w:r>
                  <w:r>
                    <w:t>non-judgmental and authentic facilitation</w:t>
                  </w:r>
                  <w:r w:rsidR="009915CF">
                    <w:t xml:space="preserve">; </w:t>
                  </w:r>
                  <w:r>
                    <w:t xml:space="preserve">understanding and addressing trauma by working through their own histories of violence, helping </w:t>
                  </w:r>
                  <w:r w:rsidR="00E07822">
                    <w:t>individuals</w:t>
                  </w:r>
                  <w:r>
                    <w:t xml:space="preserve"> to take responsibility</w:t>
                  </w:r>
                  <w:r w:rsidR="009915CF">
                    <w:t xml:space="preserve">; </w:t>
                  </w:r>
                  <w:r>
                    <w:t>cognitive behavioural therapy (CBT) techniques</w:t>
                  </w:r>
                  <w:r w:rsidR="009915CF">
                    <w:t xml:space="preserve">’ </w:t>
                  </w:r>
                  <w:r>
                    <w:t xml:space="preserve">using small settings with consistent members to allow for trust-building and a sense of accountability within the group </w:t>
                  </w:r>
                  <w:r w:rsidRPr="005716DC">
                    <w:fldChar w:fldCharType="begin"/>
                  </w:r>
                  <w:r w:rsidR="00E41D03">
                    <w:instrText xml:space="preserve"> ADDIN ZOTERO_ITEM CSL_CITATION {"citationID":"nAClqfpi","properties":{"formattedCitation":"(Morrison et al., 2021)","plainCitation":"(Morrison et al., 2021)","noteIndex":0},"citationItems":[{"id":4682,"uris":["http://zotero.org/groups/5691188/items/6UPF7MQU"],"itemData":{"id":4682,"type":"article-journal","container-title":"Practice: The New Zealand Corrections Journal","issue":"1","page":"6-12","title":"“I can’t change my past, but I can change my future”: Perpetrator perspectives on what helps to stop family violence","volume":"8","author":[{"family":"Morrison","given":"B"},{"family":"Bevan","given":"M"},{"family":"Meredith","given":"P"}],"issued":{"date-parts":[["2021"]]}}}],"schema":"https://github.com/citation-style-language/schema/raw/master/csl-citation.json"} </w:instrText>
                  </w:r>
                  <w:r w:rsidRPr="005716DC">
                    <w:fldChar w:fldCharType="separate"/>
                  </w:r>
                  <w:r w:rsidRPr="005716DC">
                    <w:rPr>
                      <w:rFonts w:ascii="Arial" w:hAnsi="Arial" w:cs="Arial"/>
                    </w:rPr>
                    <w:t>(Morrison et al., 2021)</w:t>
                  </w:r>
                  <w:r w:rsidRPr="005716DC">
                    <w:fldChar w:fldCharType="end"/>
                  </w:r>
                  <w:r w:rsidR="00E05A20">
                    <w:t xml:space="preserve"> and </w:t>
                  </w:r>
                  <w:r>
                    <w:t>recognising both external motivations (</w:t>
                  </w:r>
                  <w:r w:rsidR="00AF4E63">
                    <w:t>e.g.,</w:t>
                  </w:r>
                  <w:r>
                    <w:t xml:space="preserve"> child custody disputes or legal pressures) and personal motivations such as maintaining or restoring family relationships </w:t>
                  </w:r>
                  <w:r>
                    <w:fldChar w:fldCharType="begin"/>
                  </w:r>
                  <w:r w:rsidR="00E41D03">
                    <w:instrText xml:space="preserve"> ADDIN ZOTERO_ITEM CSL_CITATION {"citationID":"9EgAHUfd","properties":{"formattedCitation":"(Nicholas et al., 2020)","plainCitation":"(Nicholas et al., 2020)","noteIndex":0},"citationItems":[{"id":4719,"uris":["http://zotero.org/groups/5691188/items/2PVT9B6W"],"itemData":{"id":4719,"type":"article-journal","abstract":"Background  7 Aims of the project  7 Project overview  8\nMethodology  8 Recommendations for practitioners and policymakers  9 Introduction  11 Evaluation of men’s behaviour change programs  11 Background to the project  12 Structure of this report  12 State of knowledge review  13 Aims of this review  13 Methods used for this review  13 Part 1: Review of standards of practice for MBCPs in Australia  14 Part 2: Review of outcome measures  23\nConclusion 42 Methodology","language":"en","source":"Zotero","title":"Developing a practical evaluation guide for behaviour change programs involving perpetrators of domestic and family violence","author":[{"family":"Nicholas","given":"Angela"},{"family":"Ovenden","given":"Georgia"},{"family":"Vlais","given":"Rodney"}],"issued":{"date-parts":[["2020"]]}}}],"schema":"https://github.com/citation-style-language/schema/raw/master/csl-citation.json"} </w:instrText>
                  </w:r>
                  <w:r>
                    <w:fldChar w:fldCharType="separate"/>
                  </w:r>
                  <w:r w:rsidRPr="00CE4D3A">
                    <w:rPr>
                      <w:rFonts w:ascii="Arial" w:hAnsi="Arial" w:cs="Arial"/>
                    </w:rPr>
                    <w:t>(Nicholas et al., 2020)</w:t>
                  </w:r>
                  <w:r>
                    <w:fldChar w:fldCharType="end"/>
                  </w:r>
                  <w:r>
                    <w:t>.</w:t>
                  </w:r>
                  <w:r w:rsidR="00E05A20">
                    <w:t xml:space="preserve"> </w:t>
                  </w:r>
                  <w:r>
                    <w:t>The literature also identifie</w:t>
                  </w:r>
                  <w:r w:rsidR="00DA1C21">
                    <w:t>s</w:t>
                  </w:r>
                  <w:r>
                    <w:t xml:space="preserve"> a range of techniques and theories guiding approaches to men’s behaviour change.</w:t>
                  </w:r>
                  <w:r w:rsidR="00385788">
                    <w:t xml:space="preserve"> Many of these practices were reflected by service users</w:t>
                  </w:r>
                  <w:r w:rsidR="007546AF">
                    <w:t xml:space="preserve"> in this evaluation</w:t>
                  </w:r>
                  <w:r w:rsidR="00385788" w:rsidDel="00570AEB">
                    <w:t>.</w:t>
                  </w:r>
                  <w:r w:rsidR="00385788">
                    <w:t xml:space="preserve"> </w:t>
                  </w:r>
                </w:p>
                <w:p w14:paraId="12F04696" w14:textId="77777777" w:rsidR="00570AEB" w:rsidRDefault="00570AEB" w:rsidP="00321BC5">
                  <w:pPr>
                    <w:pStyle w:val="Text"/>
                    <w:spacing w:before="360"/>
                    <w:rPr>
                      <w:b/>
                      <w:color w:val="36424A" w:themeColor="background2"/>
                    </w:rPr>
                  </w:pPr>
                </w:p>
                <w:p w14:paraId="63C19287" w14:textId="5F269585" w:rsidR="005674C7" w:rsidRPr="000C09BF" w:rsidRDefault="005674C7" w:rsidP="00321BC5">
                  <w:pPr>
                    <w:pStyle w:val="Text"/>
                    <w:spacing w:before="360"/>
                  </w:pPr>
                  <w:r w:rsidRPr="00321BC5">
                    <w:rPr>
                      <w:b/>
                      <w:color w:val="36424A" w:themeColor="background2"/>
                    </w:rPr>
                    <w:t>Self-</w:t>
                  </w:r>
                  <w:r w:rsidR="007546AF" w:rsidRPr="00321BC5">
                    <w:rPr>
                      <w:b/>
                      <w:color w:val="36424A" w:themeColor="background2"/>
                    </w:rPr>
                    <w:t>r</w:t>
                  </w:r>
                  <w:r w:rsidRPr="00321BC5">
                    <w:rPr>
                      <w:b/>
                      <w:color w:val="36424A" w:themeColor="background2"/>
                    </w:rPr>
                    <w:t xml:space="preserve">eflection and </w:t>
                  </w:r>
                  <w:r w:rsidR="007546AF" w:rsidRPr="00321BC5">
                    <w:rPr>
                      <w:b/>
                      <w:color w:val="36424A" w:themeColor="background2"/>
                    </w:rPr>
                    <w:t>a</w:t>
                  </w:r>
                  <w:r w:rsidRPr="00321BC5">
                    <w:rPr>
                      <w:b/>
                      <w:color w:val="36424A" w:themeColor="background2"/>
                    </w:rPr>
                    <w:t xml:space="preserve">ccountability </w:t>
                  </w:r>
                </w:p>
                <w:p w14:paraId="141F2421" w14:textId="033D57B9" w:rsidR="005674C7" w:rsidRPr="00F17B63" w:rsidRDefault="005674C7" w:rsidP="005674C7">
                  <w:pPr>
                    <w:pStyle w:val="Text"/>
                    <w:rPr>
                      <w:lang w:val="en-US"/>
                    </w:rPr>
                  </w:pPr>
                  <w:r w:rsidRPr="00F17B63">
                    <w:rPr>
                      <w:lang w:val="en-US"/>
                    </w:rPr>
                    <w:t xml:space="preserve">Programs that foster self-reflection and accountability have shown significant effectiveness in family violence interventions. Nicholas et al. </w:t>
                  </w:r>
                  <w:r w:rsidRPr="00F17B63">
                    <w:rPr>
                      <w:lang w:val="en-US"/>
                    </w:rPr>
                    <w:fldChar w:fldCharType="begin"/>
                  </w:r>
                  <w:r w:rsidR="00E41D03">
                    <w:rPr>
                      <w:lang w:val="en-US"/>
                    </w:rPr>
                    <w:instrText xml:space="preserve"> ADDIN ZOTERO_ITEM CSL_CITATION {"citationID":"kXksowW7","properties":{"formattedCitation":"(2020)","plainCitation":"(2020)","noteIndex":0},"citationItems":[{"id":4719,"uris":["http://zotero.org/groups/5691188/items/2PVT9B6W"],"itemData":{"id":4719,"type":"article-journal","abstract":"Background  7 Aims of the project  7 Project overview  8\nMethodology  8 Recommendations for practitioners and policymakers  9 Introduction  11 Evaluation of men’s behaviour change programs  11 Background to the project  12 Structure of this report  12 State of knowledge review  13 Aims of this review  13 Methods used for this review  13 Part 1: Review of standards of practice for MBCPs in Australia  14 Part 2: Review of outcome measures  23\nConclusion 42 Methodology","language":"en","source":"Zotero","title":"Developing a practical evaluation guide for behaviour change programs involving perpetrators of domestic and family violence","author":[{"family":"Nicholas","given":"Angela"},{"family":"Ovenden","given":"Georgia"},{"family":"Vlais","given":"Rodney"}],"issued":{"date-parts":[["2020"]]}},"label":"page","suppress-author":true}],"schema":"https://github.com/citation-style-language/schema/raw/master/csl-citation.json"} </w:instrText>
                  </w:r>
                  <w:r w:rsidRPr="00F17B63">
                    <w:rPr>
                      <w:lang w:val="en-US"/>
                    </w:rPr>
                    <w:fldChar w:fldCharType="separate"/>
                  </w:r>
                  <w:r w:rsidRPr="00F17B63">
                    <w:rPr>
                      <w:lang w:val="en-US"/>
                    </w:rPr>
                    <w:t>(2020)</w:t>
                  </w:r>
                  <w:r w:rsidRPr="00F17B63">
                    <w:rPr>
                      <w:lang w:val="en-GB"/>
                    </w:rPr>
                    <w:fldChar w:fldCharType="end"/>
                  </w:r>
                  <w:r w:rsidRPr="00F17B63">
                    <w:rPr>
                      <w:lang w:val="en-US"/>
                    </w:rPr>
                    <w:t xml:space="preserve">, in their practical evaluation guide for MBCPs, emphasise </w:t>
                  </w:r>
                  <w:r w:rsidR="00611A3A">
                    <w:rPr>
                      <w:lang w:val="en-US"/>
                    </w:rPr>
                    <w:t>‘</w:t>
                  </w:r>
                  <w:r w:rsidRPr="00F17B63">
                    <w:rPr>
                      <w:lang w:val="en-US"/>
                    </w:rPr>
                    <w:t>belief and behaviour reflection</w:t>
                  </w:r>
                  <w:r w:rsidR="00611A3A">
                    <w:rPr>
                      <w:lang w:val="en-US"/>
                    </w:rPr>
                    <w:t>’</w:t>
                  </w:r>
                  <w:r w:rsidRPr="00F17B63">
                    <w:rPr>
                      <w:lang w:val="en-US"/>
                    </w:rPr>
                    <w:t xml:space="preserve"> as foundational in helping </w:t>
                  </w:r>
                  <w:r w:rsidR="00DC73A1">
                    <w:rPr>
                      <w:lang w:val="en-US"/>
                    </w:rPr>
                    <w:t>people who use violence</w:t>
                  </w:r>
                  <w:r w:rsidR="00DC73A1" w:rsidRPr="00F17B63">
                    <w:rPr>
                      <w:lang w:val="en-US"/>
                    </w:rPr>
                    <w:t xml:space="preserve"> </w:t>
                  </w:r>
                  <w:r w:rsidRPr="00F17B63">
                    <w:rPr>
                      <w:lang w:val="en-US"/>
                    </w:rPr>
                    <w:t xml:space="preserve">examine and dismantle the beliefs that rationalise or normalise their violent actions. By encouraging critical self-awareness, participants gain insight into how their behaviours impact others, which is essential for sustainable behavioural change. Nicholas et al. </w:t>
                  </w:r>
                  <w:r w:rsidRPr="00F17B63">
                    <w:rPr>
                      <w:lang w:val="en-US"/>
                    </w:rPr>
                    <w:fldChar w:fldCharType="begin"/>
                  </w:r>
                  <w:r w:rsidR="00E41D03">
                    <w:rPr>
                      <w:lang w:val="en-US"/>
                    </w:rPr>
                    <w:instrText xml:space="preserve"> ADDIN ZOTERO_ITEM CSL_CITATION {"citationID":"mD6Traey","properties":{"formattedCitation":"(2020)","plainCitation":"(2020)","noteIndex":0},"citationItems":[{"id":4719,"uris":["http://zotero.org/groups/5691188/items/2PVT9B6W"],"itemData":{"id":4719,"type":"article-journal","abstract":"Background  7 Aims of the project  7 Project overview  8\nMethodology  8 Recommendations for practitioners and policymakers  9 Introduction  11 Evaluation of men’s behaviour change programs  11 Background to the project  12 Structure of this report  12 State of knowledge review  13 Aims of this review  13 Methods used for this review  13 Part 1: Review of standards of practice for MBCPs in Australia  14 Part 2: Review of outcome measures  23\nConclusion 42 Methodology","language":"en","source":"Zotero","title":"Developing a practical evaluation guide for behaviour change programs involving perpetrators of domestic and family violence","author":[{"family":"Nicholas","given":"Angela"},{"family":"Ovenden","given":"Georgia"},{"family":"Vlais","given":"Rodney"}],"issued":{"date-parts":[["2020"]]}},"label":"page","suppress-author":true}],"schema":"https://github.com/citation-style-language/schema/raw/master/csl-citation.json"} </w:instrText>
                  </w:r>
                  <w:r w:rsidRPr="00F17B63">
                    <w:rPr>
                      <w:lang w:val="en-US"/>
                    </w:rPr>
                    <w:fldChar w:fldCharType="separate"/>
                  </w:r>
                  <w:r w:rsidRPr="00F17B63">
                    <w:rPr>
                      <w:lang w:val="en-US"/>
                    </w:rPr>
                    <w:t>(2020)</w:t>
                  </w:r>
                  <w:r w:rsidRPr="00F17B63">
                    <w:rPr>
                      <w:lang w:val="en-GB"/>
                    </w:rPr>
                    <w:fldChar w:fldCharType="end"/>
                  </w:r>
                  <w:r w:rsidRPr="00F17B63">
                    <w:rPr>
                      <w:lang w:val="en-US"/>
                    </w:rPr>
                    <w:t xml:space="preserve"> also </w:t>
                  </w:r>
                  <w:r w:rsidR="008F406E" w:rsidRPr="008F406E">
                    <w:rPr>
                      <w:lang w:val="en-US"/>
                    </w:rPr>
                    <w:t>emphasi</w:t>
                  </w:r>
                  <w:r w:rsidR="008F406E">
                    <w:rPr>
                      <w:lang w:val="en-US"/>
                    </w:rPr>
                    <w:t>s</w:t>
                  </w:r>
                  <w:r w:rsidR="008F406E" w:rsidRPr="008F406E">
                    <w:rPr>
                      <w:lang w:val="en-US"/>
                    </w:rPr>
                    <w:t>e that accountability</w:t>
                  </w:r>
                  <w:r w:rsidR="008F406E">
                    <w:rPr>
                      <w:lang w:val="en-US"/>
                    </w:rPr>
                    <w:t xml:space="preserve">, </w:t>
                  </w:r>
                  <w:r w:rsidR="008F406E" w:rsidRPr="008F406E">
                    <w:rPr>
                      <w:lang w:val="en-US"/>
                    </w:rPr>
                    <w:t>through accepting responsibility</w:t>
                  </w:r>
                  <w:r w:rsidR="008F406E">
                    <w:rPr>
                      <w:lang w:val="en-US"/>
                    </w:rPr>
                    <w:t xml:space="preserve">, </w:t>
                  </w:r>
                  <w:r w:rsidR="008F406E" w:rsidRPr="008F406E">
                    <w:rPr>
                      <w:lang w:val="en-US"/>
                    </w:rPr>
                    <w:t>is crucial, as it reduces denial and minimi</w:t>
                  </w:r>
                  <w:r w:rsidR="008F406E">
                    <w:rPr>
                      <w:lang w:val="en-US"/>
                    </w:rPr>
                    <w:t>s</w:t>
                  </w:r>
                  <w:r w:rsidR="008F406E" w:rsidRPr="008F406E">
                    <w:rPr>
                      <w:lang w:val="en-US"/>
                    </w:rPr>
                    <w:t>ation among people who use violence. This, in turn, supports deeper engagement with self-management and increases the likelihood of proactive help-seeking</w:t>
                  </w:r>
                  <w:r w:rsidR="008F406E">
                    <w:rPr>
                      <w:lang w:val="en-US"/>
                    </w:rPr>
                    <w:t>.</w:t>
                  </w:r>
                </w:p>
                <w:p w14:paraId="09B9CCB9" w14:textId="6EAC34C5" w:rsidR="005674C7" w:rsidRPr="00F17B63" w:rsidRDefault="005674C7" w:rsidP="005674C7">
                  <w:pPr>
                    <w:pStyle w:val="Text"/>
                    <w:rPr>
                      <w:lang w:val="en-US"/>
                    </w:rPr>
                  </w:pPr>
                  <w:r w:rsidRPr="00F17B63">
                    <w:rPr>
                      <w:lang w:val="en-US"/>
                    </w:rPr>
                    <w:t xml:space="preserve">The Duluth Model, as discussed by Baptista and Tagliamento </w:t>
                  </w:r>
                  <w:r w:rsidRPr="00F17B63">
                    <w:rPr>
                      <w:lang w:val="en-US"/>
                    </w:rPr>
                    <w:fldChar w:fldCharType="begin"/>
                  </w:r>
                  <w:r w:rsidR="00E41D03">
                    <w:rPr>
                      <w:lang w:val="en-US"/>
                    </w:rPr>
                    <w:instrText xml:space="preserve"> ADDIN ZOTERO_ITEM CSL_CITATION {"citationID":"xHM5ToQ4","properties":{"formattedCitation":"(2021)","plainCitation":"(2021)","noteIndex":0},"citationItems":[{"id":4737,"uris":["http://zotero.org/groups/5691188/items/MUDSXE9S"],"itemData":{"id":4737,"type":"article-journal","abstract":"There are several types of work performed with men who are perpetrators of violence, however, the effectiveness of these approaches is different and the results present great variations. This article aimed to analyze where and how the work with heterosexual male perpetrators of violence against women and the effectiveness of the in­ terventions are carried out. Therefore, a narrative review was carried out through three databases (BVSalud, Pubmed and Psycinfo), in the period from 2006 to 2019, in English and Portuguese. After using the eligibility criteria, 9 articles were included in the review. Among the studies included, most of them were conducted in the EUA, with participants in the mean age group of 36.6 years. Regarding effectiveness, the programs showed a decrease in violent behaviors and better self-reflection, however, there were no major changes in relation to gender equality and loss of control. Those who gave up the programs did not consider themselves criminals and did not realize the need to join the group. For a greater effectiveness of the work carried out with heterosexual male perpetrator, there is a need to analyze the issue of violence within individual, community and institutional aspects, not disregarding psychosocial factors.","container-title":"Aggression and Violent Behavior","DOI":"10.1016/j.avb.2021.101583","ISSN":"13591789","journalAbbreviation":"Aggression and Violent Behavior","language":"en","page":"101583","source":"DOI.org (Crossref)","title":"Effectiveness of interventions with male perpetrators of violence against women: A narrative review","title-short":"Effectiveness of interventions with male perpetrators of violence against women","volume":"58","author":[{"family":"Baptista","given":"Rafael Rocha De Oliveira"},{"family":"Tagliamento","given":"Grazielle"}],"issued":{"date-parts":[["2021",5]]}},"label":"page","suppress-author":true}],"schema":"https://github.com/citation-style-language/schema/raw/master/csl-citation.json"} </w:instrText>
                  </w:r>
                  <w:r w:rsidRPr="00F17B63">
                    <w:rPr>
                      <w:lang w:val="en-US"/>
                    </w:rPr>
                    <w:fldChar w:fldCharType="separate"/>
                  </w:r>
                  <w:r w:rsidRPr="00F17B63">
                    <w:rPr>
                      <w:lang w:val="en-US"/>
                    </w:rPr>
                    <w:t>(2021)</w:t>
                  </w:r>
                  <w:r w:rsidRPr="00F17B63">
                    <w:rPr>
                      <w:lang w:val="en-GB"/>
                    </w:rPr>
                    <w:fldChar w:fldCharType="end"/>
                  </w:r>
                  <w:r w:rsidRPr="00F17B63">
                    <w:rPr>
                      <w:lang w:val="en-US"/>
                    </w:rPr>
                    <w:t xml:space="preserve">, complements these principles by focusing on dismantling power dynamics through structured cognitive-behavioural methods. The model encourages participants to acknowledge the tactics of control and abuse, such as intimidation or emotional abuse, that they may use to exert dominance in relationships. Group sessions focus on exploring themes of respect and equality, promoting awareness of the harm caused by violence. Baptista and Tagliamento </w:t>
                  </w:r>
                  <w:r w:rsidRPr="00F17B63">
                    <w:rPr>
                      <w:lang w:val="en-US"/>
                    </w:rPr>
                    <w:fldChar w:fldCharType="begin"/>
                  </w:r>
                  <w:r w:rsidR="00E41D03">
                    <w:rPr>
                      <w:lang w:val="en-US"/>
                    </w:rPr>
                    <w:instrText xml:space="preserve"> ADDIN ZOTERO_ITEM CSL_CITATION {"citationID":"hSoqiRLC","properties":{"formattedCitation":"(2021)","plainCitation":"(2021)","noteIndex":0},"citationItems":[{"id":4737,"uris":["http://zotero.org/groups/5691188/items/MUDSXE9S"],"itemData":{"id":4737,"type":"article-journal","abstract":"There are several types of work performed with men who are perpetrators of violence, however, the effectiveness of these approaches is different and the results present great variations. This article aimed to analyze where and how the work with heterosexual male perpetrators of violence against women and the effectiveness of the in­ terventions are carried out. Therefore, a narrative review was carried out through three databases (BVSalud, Pubmed and Psycinfo), in the period from 2006 to 2019, in English and Portuguese. After using the eligibility criteria, 9 articles were included in the review. Among the studies included, most of them were conducted in the EUA, with participants in the mean age group of 36.6 years. Regarding effectiveness, the programs showed a decrease in violent behaviors and better self-reflection, however, there were no major changes in relation to gender equality and loss of control. Those who gave up the programs did not consider themselves criminals and did not realize the need to join the group. For a greater effectiveness of the work carried out with heterosexual male perpetrator, there is a need to analyze the issue of violence within individual, community and institutional aspects, not disregarding psychosocial factors.","container-title":"Aggression and Violent Behavior","DOI":"10.1016/j.avb.2021.101583","ISSN":"13591789","journalAbbreviation":"Aggression and Violent Behavior","language":"en","page":"101583","source":"DOI.org (Crossref)","title":"Effectiveness of interventions with male perpetrators of violence against women: A narrative review","title-short":"Effectiveness of interventions with male perpetrators of violence against women","volume":"58","author":[{"family":"Baptista","given":"Rafael Rocha De Oliveira"},{"family":"Tagliamento","given":"Grazielle"}],"issued":{"date-parts":[["2021",5]]}},"label":"page","suppress-author":true}],"schema":"https://github.com/citation-style-language/schema/raw/master/csl-citation.json"} </w:instrText>
                  </w:r>
                  <w:r w:rsidRPr="00F17B63">
                    <w:rPr>
                      <w:lang w:val="en-US"/>
                    </w:rPr>
                    <w:fldChar w:fldCharType="separate"/>
                  </w:r>
                  <w:r w:rsidRPr="00F17B63">
                    <w:rPr>
                      <w:lang w:val="en-US"/>
                    </w:rPr>
                    <w:t>(2021)</w:t>
                  </w:r>
                  <w:r w:rsidRPr="00F17B63">
                    <w:rPr>
                      <w:lang w:val="en-GB"/>
                    </w:rPr>
                    <w:fldChar w:fldCharType="end"/>
                  </w:r>
                  <w:r w:rsidRPr="00F17B63">
                    <w:rPr>
                      <w:lang w:val="en-US"/>
                    </w:rPr>
                    <w:t xml:space="preserve"> note that while the Duluth Model effectively raises self-awareness and fosters accountability, the success of this approach varies depending on the cultural and personal background of participants.</w:t>
                  </w:r>
                </w:p>
                <w:p w14:paraId="4BDFAA67" w14:textId="025CEDEC" w:rsidR="008C2A80" w:rsidRPr="00F17B63" w:rsidRDefault="000B7FD1" w:rsidP="005674C7">
                  <w:pPr>
                    <w:pStyle w:val="Text"/>
                    <w:rPr>
                      <w:lang w:val="en-US"/>
                    </w:rPr>
                  </w:pPr>
                  <w:r>
                    <w:rPr>
                      <w:lang w:val="en-US"/>
                    </w:rPr>
                    <w:t>T</w:t>
                  </w:r>
                  <w:r w:rsidR="008C2A80">
                    <w:rPr>
                      <w:lang w:val="en-US"/>
                    </w:rPr>
                    <w:t>he literature highlights that in</w:t>
                  </w:r>
                  <w:r w:rsidR="008C2A80" w:rsidRPr="00F17B63">
                    <w:rPr>
                      <w:lang w:val="en-US"/>
                    </w:rPr>
                    <w:t xml:space="preserve">tegrating CBT with motivational interviewing has shown promise in addressing initial resistance to change, supporting self-reflection, and encouraging self-motivation. Baptista and Tagliamento </w:t>
                  </w:r>
                  <w:r w:rsidR="008C2A80" w:rsidRPr="00F17B63">
                    <w:rPr>
                      <w:lang w:val="en-US"/>
                    </w:rPr>
                    <w:fldChar w:fldCharType="begin"/>
                  </w:r>
                  <w:r w:rsidR="00E41D03">
                    <w:rPr>
                      <w:lang w:val="en-US"/>
                    </w:rPr>
                    <w:instrText xml:space="preserve"> ADDIN ZOTERO_ITEM CSL_CITATION {"citationID":"pfKAyamv","properties":{"formattedCitation":"(2021)","plainCitation":"(2021)","noteIndex":0},"citationItems":[{"id":4737,"uris":["http://zotero.org/groups/5691188/items/MUDSXE9S"],"itemData":{"id":4737,"type":"article-journal","abstract":"There are several types of work performed with men who are perpetrators of violence, however, the effectiveness of these approaches is different and the results present great variations. This article aimed to analyze where and how the work with heterosexual male perpetrators of violence against women and the effectiveness of the in­ terventions are carried out. Therefore, a narrative review was carried out through three databases (BVSalud, Pubmed and Psycinfo), in the period from 2006 to 2019, in English and Portuguese. After using the eligibility criteria, 9 articles were included in the review. Among the studies included, most of them were conducted in the EUA, with participants in the mean age group of 36.6 years. Regarding effectiveness, the programs showed a decrease in violent behaviors and better self-reflection, however, there were no major changes in relation to gender equality and loss of control. Those who gave up the programs did not consider themselves criminals and did not realize the need to join the group. For a greater effectiveness of the work carried out with heterosexual male perpetrator, there is a need to analyze the issue of violence within individual, community and institutional aspects, not disregarding psychosocial factors.","container-title":"Aggression and Violent Behavior","DOI":"10.1016/j.avb.2021.101583","ISSN":"13591789","journalAbbreviation":"Aggression and Violent Behavior","language":"en","page":"101583","source":"DOI.org (Crossref)","title":"Effectiveness of interventions with male perpetrators of violence against women: A narrative review","title-short":"Effectiveness of interventions with male perpetrators of violence against women","volume":"58","author":[{"family":"Baptista","given":"Rafael Rocha De Oliveira"},{"family":"Tagliamento","given":"Grazielle"}],"issued":{"date-parts":[["2021",5]]}},"label":"page","suppress-author":true}],"schema":"https://github.com/citation-style-language/schema/raw/master/csl-citation.json"} </w:instrText>
                  </w:r>
                  <w:r w:rsidR="008C2A80" w:rsidRPr="00F17B63">
                    <w:rPr>
                      <w:lang w:val="en-US"/>
                    </w:rPr>
                    <w:fldChar w:fldCharType="separate"/>
                  </w:r>
                  <w:r w:rsidR="008C2A80" w:rsidRPr="00F17B63">
                    <w:rPr>
                      <w:lang w:val="en-US"/>
                    </w:rPr>
                    <w:t>(2021)</w:t>
                  </w:r>
                  <w:r w:rsidR="008C2A80" w:rsidRPr="00F17B63">
                    <w:rPr>
                      <w:lang w:val="en-GB"/>
                    </w:rPr>
                    <w:fldChar w:fldCharType="end"/>
                  </w:r>
                  <w:r w:rsidR="008C2A80" w:rsidRPr="00F17B63">
                    <w:rPr>
                      <w:lang w:val="en-US"/>
                    </w:rPr>
                    <w:t xml:space="preserve"> observe that motivational techniques are particularly valuable in increasing participant engagement by aligning the intervention with each person’s unique motivations and goals. For </w:t>
                  </w:r>
                  <w:r w:rsidR="00E83BDB">
                    <w:rPr>
                      <w:lang w:val="en-US"/>
                    </w:rPr>
                    <w:t>example</w:t>
                  </w:r>
                  <w:r w:rsidR="008C2A80" w:rsidRPr="00F17B63">
                    <w:rPr>
                      <w:lang w:val="en-US"/>
                    </w:rPr>
                    <w:t xml:space="preserve">, by addressing attitudes towards gender norms, motivational interviewing supports the reduction of violent behaviour, especially when culturally adapted. As Baptista and Tagliamento </w:t>
                  </w:r>
                  <w:r w:rsidR="008C2A80" w:rsidRPr="00F17B63">
                    <w:rPr>
                      <w:lang w:val="en-US"/>
                    </w:rPr>
                    <w:fldChar w:fldCharType="begin"/>
                  </w:r>
                  <w:r w:rsidR="00E41D03">
                    <w:rPr>
                      <w:lang w:val="en-US"/>
                    </w:rPr>
                    <w:instrText xml:space="preserve"> ADDIN ZOTERO_ITEM CSL_CITATION {"citationID":"90ubIZgj","properties":{"formattedCitation":"(2021)","plainCitation":"(2021)","noteIndex":0},"citationItems":[{"id":4738,"uris":["http://zotero.org/groups/5691188/items/HZLTW58K"],"itemData":{"id":4738,"type":"article-journal","abstract":"Intimate partner violence (IPV) remains a devastating public health issue in the United States. Given the high stakes of IPV, it is imperative that treatment provided to perpetrators be efficacious to prevent further victimization and not lull survivors into a false sense of security. Unfortunately, the historically dominant modalities of perpetrator treatment, group-based Duluth and cognitive-behavioral therapy, show small effects at best in deterring re-assault. Because of this, new directions are needed. In this article, we report on a literature review that centered on IPV perpetrator treatment. Results suggest a prominent theme in the literature is a shift from these blanket approaches to treatment based on individual need and cooccurring issues. Specifically, practitioners should be aware of (1) demographic factors affecting treatment completion and re-assault, (2) perpetrator typologies, (3) perpetrator readiness to change and use of motivation-based approaches, and (4) common individual co-occurring concerns, including substance use and mental health issues. For each of these, we discuss treatment implications and make recommendations for future research. We envision a future where the landscape of perpetrator treatment is tailored to individual treatment needs and argue that social work practitioners bring a critical person-centered perspective to IPV perpetrator treatment.","container-title":"Clinical Social Work Journal","DOI":"10.1007/s10615-020-00763-y","ISSN":"0091-1674, 1573-3343","issue":"3","journalAbbreviation":"Clin Soc Work J","language":"en","page":"391-404","source":"DOI.org (Crossref)","title":"Intimate Partner Violence Perpetrator Treatment: Tailoring Interventions to Individual Needs","title-short":"Intimate Partner Violence Perpetrator Treatment","volume":"49","author":[{"family":"Butters","given":"Robert P."},{"family":"Droubay","given":"Brian A."},{"family":"Seawright","given":"Jessica L."},{"family":"Tollefson","given":"Derrik R."},{"family":"Lundahl","given":"Brad"},{"family":"Whitaker","given":"Lauren"}],"issued":{"date-parts":[["2021",9]]}},"label":"page","suppress-author":true}],"schema":"https://github.com/citation-style-language/schema/raw/master/csl-citation.json"} </w:instrText>
                  </w:r>
                  <w:r w:rsidR="008C2A80" w:rsidRPr="00F17B63">
                    <w:rPr>
                      <w:lang w:val="en-US"/>
                    </w:rPr>
                    <w:fldChar w:fldCharType="separate"/>
                  </w:r>
                  <w:r w:rsidR="008C2A80" w:rsidRPr="00F17B63">
                    <w:rPr>
                      <w:lang w:val="en-US"/>
                    </w:rPr>
                    <w:t>(2021)</w:t>
                  </w:r>
                  <w:r w:rsidR="008C2A80" w:rsidRPr="00F17B63">
                    <w:rPr>
                      <w:lang w:val="en-GB"/>
                    </w:rPr>
                    <w:fldChar w:fldCharType="end"/>
                  </w:r>
                  <w:r w:rsidR="008C2A80" w:rsidRPr="00F17B63">
                    <w:rPr>
                      <w:lang w:val="en-US"/>
                    </w:rPr>
                    <w:t xml:space="preserve"> emphasise</w:t>
                  </w:r>
                  <w:r w:rsidR="009C0F6E">
                    <w:rPr>
                      <w:lang w:val="en-US"/>
                    </w:rPr>
                    <w:t xml:space="preserve"> that </w:t>
                  </w:r>
                  <w:r w:rsidR="009C0F6E" w:rsidRPr="009C0F6E">
                    <w:rPr>
                      <w:lang w:val="en-US"/>
                    </w:rPr>
                    <w:t>‘</w:t>
                  </w:r>
                  <w:r w:rsidR="008C2A80" w:rsidRPr="009C0F6E">
                    <w:rPr>
                      <w:lang w:val="en-US"/>
                    </w:rPr>
                    <w:t>for greater effectiveness, programs must consider individual, community, and institutional factors</w:t>
                  </w:r>
                  <w:r w:rsidR="009C0F6E">
                    <w:rPr>
                      <w:lang w:val="en-US"/>
                    </w:rPr>
                    <w:t>’</w:t>
                  </w:r>
                  <w:r w:rsidR="008C2A80" w:rsidRPr="009C0F6E">
                    <w:rPr>
                      <w:lang w:val="en-US"/>
                    </w:rPr>
                    <w:t>,</w:t>
                  </w:r>
                  <w:r w:rsidR="008C2A80" w:rsidRPr="00F17B63">
                    <w:rPr>
                      <w:lang w:val="en-US"/>
                    </w:rPr>
                    <w:t xml:space="preserve"> highlighting the need for holistic and adaptable approaches that resonate with participants’ diverse backgrounds.</w:t>
                  </w:r>
                </w:p>
                <w:p w14:paraId="37EF9AAB" w14:textId="6BF3CB99" w:rsidR="005674C7" w:rsidRPr="00F17B63" w:rsidRDefault="005674C7" w:rsidP="005674C7">
                  <w:pPr>
                    <w:pStyle w:val="Text"/>
                    <w:rPr>
                      <w:lang w:val="en-US"/>
                    </w:rPr>
                  </w:pPr>
                  <w:r w:rsidRPr="00F17B63">
                    <w:rPr>
                      <w:lang w:val="en-US"/>
                    </w:rPr>
                    <w:lastRenderedPageBreak/>
                    <w:t xml:space="preserve">Hine et al. </w:t>
                  </w:r>
                  <w:r w:rsidRPr="00F17B63">
                    <w:rPr>
                      <w:lang w:val="en-US"/>
                    </w:rPr>
                    <w:fldChar w:fldCharType="begin"/>
                  </w:r>
                  <w:r w:rsidR="00E41D03">
                    <w:rPr>
                      <w:lang w:val="en-US"/>
                    </w:rPr>
                    <w:instrText xml:space="preserve"> ADDIN ZOTERO_ITEM CSL_CITATION {"citationID":"PNswk7DK","properties":{"formattedCitation":"(2022)","plainCitation":"(2022)","noteIndex":0},"citationItems":[{"id":4578,"uris":["http://zotero.org/groups/5691188/items/I6NN8EWP"],"itemData":{"id":4578,"type":"article-journal","abstract":"While previous studies have begun to provide evidence on the experiences of male victims of domestic violence and abuse (DVA), current understanding in this area is still limited, and subject to narrow methods of inquiry. Moreover, little is known regarding the challenges of providing support to men in abusive relationships, and how barriers to effective service engagement are experienced by both men and service practitioners. This is an important area for exploration, as the gender-specific experiences and needs of men have been historically overlooked within academic research and service provision.","container-title":"Journal of Interpersonal Violence","DOI":"10.1177/0886260520944551","ISSN":"0886-2605, 1552-6518","issue":"7-8","journalAbbreviation":"J Interpers Violence","language":"en","page":"NP5594-NP5625","source":"DOI.org (Crossref)","title":"“I Have Guys Call Me and Say ‘I Can’t Be the Victim of Domestic Abuse’”: Exploring the Experiences of Telephone Support Providers for Male Victims of Domestic Violence and Abuse","title-short":"“I Have Guys Call Me and Say ‘I Can’t Be the Victim of Domestic Abuse’”","volume":"37","author":[{"family":"Hine","given":"Benjamin"},{"family":"Bates","given":"Elizabeth A."},{"family":"Wallace","given":"Sarah"}],"issued":{"date-parts":[["2022",4]]}},"label":"page","suppress-author":true}],"schema":"https://github.com/citation-style-language/schema/raw/master/csl-citation.json"} </w:instrText>
                  </w:r>
                  <w:r w:rsidRPr="00F17B63">
                    <w:rPr>
                      <w:lang w:val="en-US"/>
                    </w:rPr>
                    <w:fldChar w:fldCharType="separate"/>
                  </w:r>
                  <w:r w:rsidRPr="00F17B63">
                    <w:rPr>
                      <w:lang w:val="en-US"/>
                    </w:rPr>
                    <w:t>(2022)</w:t>
                  </w:r>
                  <w:r w:rsidRPr="00F17B63">
                    <w:rPr>
                      <w:lang w:val="en-GB"/>
                    </w:rPr>
                    <w:fldChar w:fldCharType="end"/>
                  </w:r>
                  <w:r w:rsidRPr="00F17B63">
                    <w:rPr>
                      <w:lang w:val="en-US"/>
                    </w:rPr>
                    <w:t xml:space="preserve"> examine</w:t>
                  </w:r>
                  <w:r w:rsidR="0078027B">
                    <w:rPr>
                      <w:lang w:val="en-US"/>
                    </w:rPr>
                    <w:t>d</w:t>
                  </w:r>
                  <w:r w:rsidRPr="00F17B63">
                    <w:rPr>
                      <w:lang w:val="en-US"/>
                    </w:rPr>
                    <w:t xml:space="preserve"> the Caring Dads program, a father-specific intervention designed to address domestic and family violence by helping fathers recognise and alter abusive behaviours. In the Australian context, this program supports fathers in acknowledging the consequences of their actions and adopting child-</w:t>
                  </w:r>
                  <w:r w:rsidR="009D75A5" w:rsidRPr="00F17B63">
                    <w:rPr>
                      <w:lang w:val="en-US"/>
                    </w:rPr>
                    <w:t>centered</w:t>
                  </w:r>
                  <w:r w:rsidRPr="00F17B63">
                    <w:rPr>
                      <w:lang w:val="en-US"/>
                    </w:rPr>
                    <w:t xml:space="preserve">, non-violent parenting approaches. Motivational interviewing is a key component in the program, using participants' desire to improve relationships with their children as a catalyst for change. Participants report greater self-awareness and a deeper understanding of how violence impacts family wellbeing, with outcomes including enhanced safety for mothers and improved parenting dynamics </w:t>
                  </w:r>
                  <w:r w:rsidRPr="00F17B63">
                    <w:rPr>
                      <w:lang w:val="en-US"/>
                    </w:rPr>
                    <w:fldChar w:fldCharType="begin"/>
                  </w:r>
                  <w:r w:rsidR="00E41D03">
                    <w:rPr>
                      <w:lang w:val="en-US"/>
                    </w:rPr>
                    <w:instrText xml:space="preserve"> ADDIN ZOTERO_ITEM CSL_CITATION {"citationID":"jiwvjMNg","properties":{"formattedCitation":"(Hine et al., 2022)","plainCitation":"(Hine et al., 2022)","noteIndex":0},"citationItems":[{"id":4578,"uris":["http://zotero.org/groups/5691188/items/I6NN8EWP"],"itemData":{"id":4578,"type":"article-journal","abstract":"While previous studies have begun to provide evidence on the experiences of male victims of domestic violence and abuse (DVA), current understanding in this area is still limited, and subject to narrow methods of inquiry. Moreover, little is known regarding the challenges of providing support to men in abusive relationships, and how barriers to effective service engagement are experienced by both men and service practitioners. This is an important area for exploration, as the gender-specific experiences and needs of men have been historically overlooked within academic research and service provision.","container-title":"Journal of Interpersonal Violence","DOI":"10.1177/0886260520944551","ISSN":"0886-2605, 1552-6518","issue":"7-8","journalAbbreviation":"J Interpers Violence","language":"en","page":"NP5594-NP5625","source":"DOI.org (Crossref)","title":"“I Have Guys Call Me and Say ‘I Can’t Be the Victim of Domestic Abuse’”: Exploring the Experiences of Telephone Support Providers for Male Victims of Domestic Violence and Abuse","title-short":"“I Have Guys Call Me and Say ‘I Can’t Be the Victim of Domestic Abuse’”","volume":"37","author":[{"family":"Hine","given":"Benjamin"},{"family":"Bates","given":"Elizabeth A."},{"family":"Wallace","given":"Sarah"}],"issued":{"date-parts":[["2022",4]]}}}],"schema":"https://github.com/citation-style-language/schema/raw/master/csl-citation.json"} </w:instrText>
                  </w:r>
                  <w:r w:rsidRPr="00F17B63">
                    <w:rPr>
                      <w:lang w:val="en-US"/>
                    </w:rPr>
                    <w:fldChar w:fldCharType="separate"/>
                  </w:r>
                  <w:r w:rsidRPr="00F17B63">
                    <w:rPr>
                      <w:lang w:val="en-US"/>
                    </w:rPr>
                    <w:t>(Hine et al., 2022)</w:t>
                  </w:r>
                  <w:r w:rsidRPr="00F17B63">
                    <w:rPr>
                      <w:lang w:val="en-GB"/>
                    </w:rPr>
                    <w:fldChar w:fldCharType="end"/>
                  </w:r>
                  <w:r w:rsidRPr="00F17B63">
                    <w:rPr>
                      <w:lang w:val="en-US"/>
                    </w:rPr>
                    <w:t>. This positive effect is echoed in other evaluations of Caring Dads, which show similar improvements in parenting practices and family relationships.</w:t>
                  </w:r>
                </w:p>
                <w:p w14:paraId="28C01A65" w14:textId="21ED3C53" w:rsidR="0096193F" w:rsidRDefault="00B03B13" w:rsidP="0096193F">
                  <w:pPr>
                    <w:pStyle w:val="Text"/>
                    <w:spacing w:after="0"/>
                    <w:rPr>
                      <w:lang w:val="en-GB"/>
                    </w:rPr>
                  </w:pPr>
                  <w:r>
                    <w:rPr>
                      <w:lang w:val="en-GB"/>
                    </w:rPr>
                    <w:t xml:space="preserve">MBCP service users </w:t>
                  </w:r>
                  <w:r w:rsidR="0096193F">
                    <w:rPr>
                      <w:lang w:val="en-GB"/>
                    </w:rPr>
                    <w:t>identified benefits of group-based work including increased accountability and gaining insight into other men’s experiences, including men from different age groups and backgrounds. They also spoke about building understanding of themselves and what drives their behaviours, including an understanding of the impact of family violence from their childhood where this was relevant, as well as learning techniques for managing conflict.</w:t>
                  </w:r>
                </w:p>
                <w:p w14:paraId="6CC14E29" w14:textId="77777777" w:rsidR="0096193F" w:rsidRDefault="0096193F" w:rsidP="0096193F">
                  <w:pPr>
                    <w:pStyle w:val="Text"/>
                    <w:spacing w:after="0"/>
                    <w:rPr>
                      <w:lang w:val="en-GB"/>
                    </w:rPr>
                  </w:pPr>
                </w:p>
                <w:p w14:paraId="4EE060F2" w14:textId="27564406" w:rsidR="0096193F" w:rsidRDefault="0096193F" w:rsidP="0096193F">
                  <w:pPr>
                    <w:pStyle w:val="Text"/>
                    <w:spacing w:after="0"/>
                    <w:rPr>
                      <w:lang w:val="en-GB"/>
                    </w:rPr>
                  </w:pPr>
                  <w:r>
                    <w:rPr>
                      <w:lang w:val="en-GB"/>
                    </w:rPr>
                    <w:t>MBCP service user motivations for participation included wanting to change their behaviour, improve their relationships with their partner and families, and heal past trauma to break abusive behavioural cycles.</w:t>
                  </w:r>
                </w:p>
                <w:p w14:paraId="10F40D0B" w14:textId="77777777" w:rsidR="0096193F" w:rsidRDefault="0096193F" w:rsidP="0096193F">
                  <w:pPr>
                    <w:pStyle w:val="Text"/>
                    <w:spacing w:after="0"/>
                    <w:rPr>
                      <w:lang w:val="en-GB"/>
                    </w:rPr>
                  </w:pPr>
                </w:p>
                <w:p w14:paraId="7DA50C66" w14:textId="7FA675B3" w:rsidR="0096193F" w:rsidRPr="007B623E" w:rsidRDefault="0096193F" w:rsidP="0096193F">
                  <w:pPr>
                    <w:pBdr>
                      <w:left w:val="single" w:sz="18" w:space="4" w:color="78B800" w:themeColor="accent1"/>
                    </w:pBdr>
                    <w:tabs>
                      <w:tab w:val="left" w:pos="8080"/>
                    </w:tabs>
                    <w:spacing w:after="0"/>
                    <w:ind w:left="851" w:right="949"/>
                    <w:rPr>
                      <w:i/>
                    </w:rPr>
                  </w:pPr>
                  <w:r w:rsidRPr="002E7992">
                    <w:rPr>
                      <w:noProof/>
                    </w:rPr>
                    <w:drawing>
                      <wp:anchor distT="0" distB="0" distL="114300" distR="114300" simplePos="0" relativeHeight="251658361" behindDoc="0" locked="1" layoutInCell="1" allowOverlap="1" wp14:anchorId="3F1E9478" wp14:editId="615BA0C1">
                        <wp:simplePos x="0" y="0"/>
                        <wp:positionH relativeFrom="column">
                          <wp:posOffset>0</wp:posOffset>
                        </wp:positionH>
                        <wp:positionV relativeFrom="paragraph">
                          <wp:posOffset>0</wp:posOffset>
                        </wp:positionV>
                        <wp:extent cx="384810" cy="320040"/>
                        <wp:effectExtent l="0" t="0" r="0" b="3810"/>
                        <wp:wrapNone/>
                        <wp:docPr id="6194510" name="Graphic 6194510" descr="P3152#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4510" name="Graphic 6194510" descr="P3152#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i/>
                      <w:iCs/>
                    </w:rPr>
                    <w:t xml:space="preserve">I travel </w:t>
                  </w:r>
                  <w:r w:rsidR="00FC5714">
                    <w:rPr>
                      <w:i/>
                      <w:iCs/>
                    </w:rPr>
                    <w:t>three</w:t>
                  </w:r>
                  <w:r>
                    <w:rPr>
                      <w:i/>
                      <w:iCs/>
                    </w:rPr>
                    <w:t xml:space="preserve"> hours to get here [by public transport]. I don’t drive because fuel is too expensive […] [At night] I stay at a friend’s house in the city rather than going back up because I wouldn’t get up till late […] If there were more places where it was offered it would be awesome because I think that this could help a lot of people</w:t>
                  </w:r>
                  <w:r w:rsidR="00517698">
                    <w:rPr>
                      <w:i/>
                      <w:iCs/>
                    </w:rPr>
                    <w:t xml:space="preserve"> </w:t>
                  </w:r>
                  <w:r w:rsidRPr="002E7992">
                    <w:rPr>
                      <w:b/>
                      <w:bCs/>
                      <w:i/>
                      <w:iCs/>
                    </w:rPr>
                    <w:t>–</w:t>
                  </w:r>
                  <w:r>
                    <w:rPr>
                      <w:b/>
                      <w:bCs/>
                      <w:i/>
                      <w:iCs/>
                    </w:rPr>
                    <w:t xml:space="preserve"> MBCP s</w:t>
                  </w:r>
                  <w:r w:rsidRPr="002E7992">
                    <w:rPr>
                      <w:b/>
                      <w:bCs/>
                      <w:i/>
                      <w:iCs/>
                    </w:rPr>
                    <w:t xml:space="preserve">ervice </w:t>
                  </w:r>
                  <w:r>
                    <w:rPr>
                      <w:b/>
                      <w:bCs/>
                      <w:i/>
                      <w:iCs/>
                    </w:rPr>
                    <w:t>user</w:t>
                  </w:r>
                </w:p>
                <w:p w14:paraId="3FD9A81B" w14:textId="77777777" w:rsidR="0096193F" w:rsidRDefault="0096193F" w:rsidP="0096193F">
                  <w:pPr>
                    <w:pStyle w:val="Text"/>
                    <w:spacing w:after="0"/>
                    <w:rPr>
                      <w:lang w:val="en-GB"/>
                    </w:rPr>
                  </w:pPr>
                </w:p>
                <w:p w14:paraId="1C12E1D0" w14:textId="77777777" w:rsidR="0096193F" w:rsidRPr="00B823D7" w:rsidRDefault="0096193F" w:rsidP="0096193F">
                  <w:pPr>
                    <w:pStyle w:val="Text"/>
                    <w:spacing w:after="0"/>
                    <w:rPr>
                      <w:lang w:val="en-GB"/>
                    </w:rPr>
                  </w:pPr>
                </w:p>
                <w:p w14:paraId="1B6D9F6A" w14:textId="77777777" w:rsidR="0096193F" w:rsidRPr="007B623E" w:rsidRDefault="0096193F" w:rsidP="0096193F">
                  <w:pPr>
                    <w:pBdr>
                      <w:left w:val="single" w:sz="18" w:space="4" w:color="78B800" w:themeColor="accent1"/>
                    </w:pBdr>
                    <w:tabs>
                      <w:tab w:val="left" w:pos="8080"/>
                    </w:tabs>
                    <w:spacing w:after="0"/>
                    <w:ind w:left="851" w:right="949"/>
                    <w:rPr>
                      <w:i/>
                    </w:rPr>
                  </w:pPr>
                  <w:r w:rsidRPr="002E7992">
                    <w:rPr>
                      <w:noProof/>
                    </w:rPr>
                    <w:drawing>
                      <wp:anchor distT="0" distB="0" distL="114300" distR="114300" simplePos="0" relativeHeight="251658362" behindDoc="0" locked="1" layoutInCell="1" allowOverlap="1" wp14:anchorId="14272C2D" wp14:editId="253915F5">
                        <wp:simplePos x="0" y="0"/>
                        <wp:positionH relativeFrom="column">
                          <wp:posOffset>0</wp:posOffset>
                        </wp:positionH>
                        <wp:positionV relativeFrom="paragraph">
                          <wp:posOffset>0</wp:posOffset>
                        </wp:positionV>
                        <wp:extent cx="384810" cy="320040"/>
                        <wp:effectExtent l="0" t="0" r="0" b="3810"/>
                        <wp:wrapNone/>
                        <wp:docPr id="486997708" name="Graphic 486997708" descr="P3155#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997708" name="Graphic 486997708" descr="P3155#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i/>
                      <w:iCs/>
                    </w:rPr>
                    <w:t xml:space="preserve">I’m not here to say I want my partner to forgive me and let’s get back to how things were […] That’s unrealistic. What I’m here to say in front of my partner and my children is the way I behaved is no longer and I want to go forward behaving in a much more […] pragmatic way. I’m not saying I won’t get angry, I’m not saying I won’t make mistakes, but I’m a lot more aware of it. I’m a lot more careful about going forward </w:t>
                  </w:r>
                  <w:r w:rsidRPr="002E7992">
                    <w:rPr>
                      <w:b/>
                      <w:bCs/>
                      <w:i/>
                      <w:iCs/>
                    </w:rPr>
                    <w:t>–</w:t>
                  </w:r>
                  <w:r>
                    <w:rPr>
                      <w:b/>
                      <w:bCs/>
                      <w:i/>
                      <w:iCs/>
                    </w:rPr>
                    <w:t xml:space="preserve"> MBCP s</w:t>
                  </w:r>
                  <w:r w:rsidRPr="002E7992">
                    <w:rPr>
                      <w:b/>
                      <w:bCs/>
                      <w:i/>
                      <w:iCs/>
                    </w:rPr>
                    <w:t xml:space="preserve">ervice </w:t>
                  </w:r>
                  <w:r>
                    <w:rPr>
                      <w:b/>
                      <w:bCs/>
                      <w:i/>
                      <w:iCs/>
                    </w:rPr>
                    <w:t>user</w:t>
                  </w:r>
                </w:p>
                <w:p w14:paraId="5789577C" w14:textId="77777777" w:rsidR="0096193F" w:rsidRDefault="0096193F" w:rsidP="0096193F">
                  <w:pPr>
                    <w:pStyle w:val="Text"/>
                    <w:spacing w:after="0"/>
                    <w:rPr>
                      <w:lang w:val="en-GB"/>
                    </w:rPr>
                  </w:pPr>
                </w:p>
                <w:p w14:paraId="4AEE0FCE" w14:textId="77777777" w:rsidR="0096193F" w:rsidRDefault="0096193F" w:rsidP="0096193F">
                  <w:pPr>
                    <w:pStyle w:val="Text"/>
                    <w:spacing w:after="0"/>
                    <w:rPr>
                      <w:lang w:val="en-GB"/>
                    </w:rPr>
                  </w:pPr>
                </w:p>
                <w:p w14:paraId="36966EEE" w14:textId="23DB6812" w:rsidR="0096193F" w:rsidRPr="0078027B" w:rsidRDefault="0096193F" w:rsidP="0078027B">
                  <w:pPr>
                    <w:pBdr>
                      <w:left w:val="single" w:sz="18" w:space="4" w:color="78B800" w:themeColor="accent1"/>
                    </w:pBdr>
                    <w:tabs>
                      <w:tab w:val="left" w:pos="8080"/>
                    </w:tabs>
                    <w:spacing w:after="0"/>
                    <w:ind w:left="851" w:right="949"/>
                    <w:rPr>
                      <w:i/>
                    </w:rPr>
                  </w:pPr>
                  <w:r w:rsidRPr="002E7992">
                    <w:rPr>
                      <w:noProof/>
                    </w:rPr>
                    <w:drawing>
                      <wp:anchor distT="0" distB="0" distL="114300" distR="114300" simplePos="0" relativeHeight="251658363" behindDoc="0" locked="1" layoutInCell="1" allowOverlap="1" wp14:anchorId="6770BB9D" wp14:editId="5E997764">
                        <wp:simplePos x="0" y="0"/>
                        <wp:positionH relativeFrom="column">
                          <wp:posOffset>0</wp:posOffset>
                        </wp:positionH>
                        <wp:positionV relativeFrom="paragraph">
                          <wp:posOffset>0</wp:posOffset>
                        </wp:positionV>
                        <wp:extent cx="384810" cy="320040"/>
                        <wp:effectExtent l="0" t="0" r="0" b="3810"/>
                        <wp:wrapNone/>
                        <wp:docPr id="1366843111" name="Graphic 1366843111" descr="P3158#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6843111" name="Graphic 1366843111" descr="P3158#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i/>
                      <w:iCs/>
                    </w:rPr>
                    <w:t>[I like] being able to talk about different things and being able to open up […] so then in the future when similar situations happen, you can think about them in a different way. You’ve got other perspectives and […] different ways to try and deal with things. It gives […] good tools for life and the relationships in the future</w:t>
                  </w:r>
                  <w:r w:rsidR="00517698">
                    <w:rPr>
                      <w:i/>
                      <w:iCs/>
                    </w:rPr>
                    <w:t xml:space="preserve"> </w:t>
                  </w:r>
                  <w:r w:rsidRPr="002E7992">
                    <w:rPr>
                      <w:b/>
                      <w:bCs/>
                      <w:i/>
                      <w:iCs/>
                    </w:rPr>
                    <w:t>–</w:t>
                  </w:r>
                  <w:r>
                    <w:rPr>
                      <w:b/>
                      <w:bCs/>
                      <w:i/>
                      <w:iCs/>
                    </w:rPr>
                    <w:t xml:space="preserve"> MBCP s</w:t>
                  </w:r>
                  <w:r w:rsidRPr="002E7992">
                    <w:rPr>
                      <w:b/>
                      <w:bCs/>
                      <w:i/>
                      <w:iCs/>
                    </w:rPr>
                    <w:t xml:space="preserve">ervice </w:t>
                  </w:r>
                  <w:r>
                    <w:rPr>
                      <w:b/>
                      <w:bCs/>
                      <w:i/>
                      <w:iCs/>
                    </w:rPr>
                    <w:t>user</w:t>
                  </w:r>
                </w:p>
                <w:p w14:paraId="7E0D5434" w14:textId="2A408919" w:rsidR="005674C7" w:rsidRPr="000C09BF" w:rsidRDefault="005674C7" w:rsidP="00321BC5">
                  <w:pPr>
                    <w:pStyle w:val="Text"/>
                    <w:spacing w:before="360"/>
                  </w:pPr>
                  <w:r w:rsidRPr="00321BC5">
                    <w:rPr>
                      <w:b/>
                      <w:color w:val="36424A" w:themeColor="background2"/>
                    </w:rPr>
                    <w:t>Skill-</w:t>
                  </w:r>
                  <w:r w:rsidRPr="00321BC5" w:rsidDel="00CF6D71">
                    <w:rPr>
                      <w:b/>
                      <w:color w:val="36424A" w:themeColor="background2"/>
                    </w:rPr>
                    <w:t>B</w:t>
                  </w:r>
                  <w:r w:rsidRPr="00321BC5">
                    <w:rPr>
                      <w:b/>
                      <w:color w:val="36424A" w:themeColor="background2"/>
                    </w:rPr>
                    <w:t xml:space="preserve">uilding and Communication </w:t>
                  </w:r>
                  <w:r w:rsidRPr="00321BC5" w:rsidDel="00CF6D71">
                    <w:rPr>
                      <w:b/>
                      <w:color w:val="36424A" w:themeColor="background2"/>
                    </w:rPr>
                    <w:t>T</w:t>
                  </w:r>
                  <w:r w:rsidRPr="00321BC5">
                    <w:rPr>
                      <w:b/>
                      <w:color w:val="36424A" w:themeColor="background2"/>
                    </w:rPr>
                    <w:t>echniques</w:t>
                  </w:r>
                </w:p>
                <w:p w14:paraId="60645709" w14:textId="38055121" w:rsidR="005674C7" w:rsidRPr="00F17B63" w:rsidRDefault="005674C7" w:rsidP="005674C7">
                  <w:pPr>
                    <w:pStyle w:val="Text"/>
                    <w:rPr>
                      <w:lang w:val="en-US"/>
                    </w:rPr>
                  </w:pPr>
                  <w:r w:rsidRPr="00F17B63">
                    <w:rPr>
                      <w:lang w:val="en-US"/>
                    </w:rPr>
                    <w:lastRenderedPageBreak/>
                    <w:t xml:space="preserve">Skill-building programs that focus on respectful and constructive communication are essential in reducing violent behaviour and supporting lasting behavioural improvements. Nicholas et al. </w:t>
                  </w:r>
                  <w:r w:rsidRPr="00F17B63">
                    <w:rPr>
                      <w:lang w:val="en-US"/>
                    </w:rPr>
                    <w:fldChar w:fldCharType="begin"/>
                  </w:r>
                  <w:r w:rsidR="00E41D03">
                    <w:rPr>
                      <w:lang w:val="en-US"/>
                    </w:rPr>
                    <w:instrText xml:space="preserve"> ADDIN ZOTERO_ITEM CSL_CITATION {"citationID":"uY3jikRp","properties":{"formattedCitation":"(2020)","plainCitation":"(2020)","noteIndex":0},"citationItems":[{"id":4719,"uris":["http://zotero.org/groups/5691188/items/2PVT9B6W"],"itemData":{"id":4719,"type":"article-journal","abstract":"Background  7 Aims of the project  7 Project overview  8\nMethodology  8 Recommendations for practitioners and policymakers  9 Introduction  11 Evaluation of men’s behaviour change programs  11 Background to the project  12 Structure of this report  12 State of knowledge review  13 Aims of this review  13 Methods used for this review  13 Part 1: Review of standards of practice for MBCPs in Australia  14 Part 2: Review of outcome measures  23\nConclusion 42 Methodology","language":"en","source":"Zotero","title":"Developing a practical evaluation guide for behaviour change programs involving perpetrators of domestic and family violence","author":[{"family":"Nicholas","given":"Angela"},{"family":"Ovenden","given":"Georgia"},{"family":"Vlais","given":"Rodney"}],"issued":{"date-parts":[["2020"]]}},"label":"page","suppress-author":true}],"schema":"https://github.com/citation-style-language/schema/raw/master/csl-citation.json"} </w:instrText>
                  </w:r>
                  <w:r w:rsidRPr="00F17B63">
                    <w:rPr>
                      <w:lang w:val="en-US"/>
                    </w:rPr>
                    <w:fldChar w:fldCharType="separate"/>
                  </w:r>
                  <w:r w:rsidRPr="00F17B63">
                    <w:rPr>
                      <w:lang w:val="en-US"/>
                    </w:rPr>
                    <w:t>(2020)</w:t>
                  </w:r>
                  <w:r w:rsidRPr="00F17B63">
                    <w:rPr>
                      <w:lang w:val="en-GB"/>
                    </w:rPr>
                    <w:fldChar w:fldCharType="end"/>
                  </w:r>
                  <w:r w:rsidRPr="00F17B63">
                    <w:rPr>
                      <w:lang w:val="en-US"/>
                    </w:rPr>
                    <w:t xml:space="preserve"> advocate for integrating practical tools that promote non-violent, positive communication, equipping individuals with strategies to handle interpersonal conflicts without resorting to aggression. Skill-building aligns with evidence showing that respectful communication helps de-escalate potentially violent situations, thus reducing the risk of recurrence.</w:t>
                  </w:r>
                </w:p>
                <w:p w14:paraId="046BCFC3" w14:textId="5A42D0D9" w:rsidR="005674C7" w:rsidRDefault="005674C7" w:rsidP="005674C7">
                  <w:pPr>
                    <w:pStyle w:val="Text"/>
                    <w:rPr>
                      <w:lang w:val="en-US"/>
                    </w:rPr>
                  </w:pPr>
                  <w:r w:rsidRPr="00F17B63">
                    <w:rPr>
                      <w:lang w:val="en-US"/>
                    </w:rPr>
                    <w:t>The Risk-Need-Responsivity (RNR) model further supports these findings by tailoring interventions based on individual risk levels and specific needs.</w:t>
                  </w:r>
                  <w:r w:rsidR="00E055C8">
                    <w:rPr>
                      <w:rFonts w:ascii="ZWAdobeF" w:hAnsi="ZWAdobeF" w:cs="ZWAdobeF"/>
                      <w:sz w:val="2"/>
                      <w:szCs w:val="2"/>
                      <w:lang w:val="en-US"/>
                    </w:rPr>
                    <w:t>14F</w:t>
                  </w:r>
                  <w:r w:rsidRPr="00F650E2">
                    <w:rPr>
                      <w:rStyle w:val="FootnoteReference"/>
                    </w:rPr>
                    <w:footnoteReference w:id="16"/>
                  </w:r>
                  <w:r w:rsidRPr="00F17B63">
                    <w:rPr>
                      <w:lang w:val="en-US"/>
                    </w:rPr>
                    <w:t xml:space="preserve"> Radatz et al. </w:t>
                  </w:r>
                  <w:r w:rsidRPr="00F17B63">
                    <w:rPr>
                      <w:lang w:val="en-US"/>
                    </w:rPr>
                    <w:fldChar w:fldCharType="begin"/>
                  </w:r>
                  <w:r w:rsidR="00E41D03">
                    <w:rPr>
                      <w:lang w:val="en-US"/>
                    </w:rPr>
                    <w:instrText xml:space="preserve"> ADDIN ZOTERO_ITEM CSL_CITATION {"citationID":"bdFHW1he","properties":{"formattedCitation":"(2021)","plainCitation":"(2021)","noteIndex":0},"citationItems":[{"id":4622,"uris":["http://zotero.org/groups/5691188/items/TGXHFPQW"],"itemData":{"id":4622,"type":"article-journal","abstract":"Several evaluations and meta-analytic reviews have suggested that domestic violence (DV) treatment programs have only a modest impact on reducing DV recidivism. In response, a growing number of scholars and practitioners have called for the integration of evidence-based practices into DV treatment programming. In recent years, one leading approach has been to explore the infusion of the ‘principles of effective intervention (PEI),’ the prevailing evidence- based practice in correctional programming, into DV treatment. Findings from initial empirical studies from scholars and practitioners working to infuse the PEI into DV treatment programs have shown promise. This article provides an overview of the PEI and research exploring the integration of the PEI into DV treatment; a discussion on how these research findings can inform DV treatment programs interested in adopting a PEI framework; and practitioners’ perspectives on implementing programmatic changes and collaborating on evaluation research while also continuing to provide DV treatment.","container-title":"American Journal of Criminal Justice","DOI":"10.1007/s12103-021-09627-8","ISSN":"1066-2316, 1936-1351","issue":"4","journalAbbreviation":"Am J Crim Just","language":"en","page":"609-625","source":"DOI.org (Crossref)","title":"Integrating ‘Principles of Effective Intervention’ into Domestic Violence Intervention Programs: New Opportunities for Change and Collaboration","title-short":"Integrating ‘Principles of Effective Intervention’ into Domestic Violence Intervention Programs","volume":"46","author":[{"family":"Radatz","given":"Dana L."},{"family":"Richards","given":"Tara N."},{"family":"Murphy","given":"Christopher M."},{"family":"Nitsch","given":"Lisa J."},{"family":"Green-Manning","given":"Angelique"},{"family":"Brokmeier","given":"Ann Marie"},{"family":"Holliday","given":"Charvonne N."}],"issued":{"date-parts":[["2021",8]]}},"label":"page","suppress-author":true}],"schema":"https://github.com/citation-style-language/schema/raw/master/csl-citation.json"} </w:instrText>
                  </w:r>
                  <w:r w:rsidRPr="00F17B63">
                    <w:rPr>
                      <w:lang w:val="en-US"/>
                    </w:rPr>
                    <w:fldChar w:fldCharType="separate"/>
                  </w:r>
                  <w:r w:rsidRPr="00F17B63">
                    <w:rPr>
                      <w:lang w:val="en-US"/>
                    </w:rPr>
                    <w:t>(2021)</w:t>
                  </w:r>
                  <w:r w:rsidRPr="00F17B63">
                    <w:rPr>
                      <w:lang w:val="en-GB"/>
                    </w:rPr>
                    <w:fldChar w:fldCharType="end"/>
                  </w:r>
                  <w:r w:rsidRPr="00F17B63">
                    <w:rPr>
                      <w:lang w:val="en-US"/>
                    </w:rPr>
                    <w:t xml:space="preserve"> and Day et al. </w:t>
                  </w:r>
                  <w:r w:rsidRPr="00F17B63">
                    <w:rPr>
                      <w:lang w:val="en-US"/>
                    </w:rPr>
                    <w:fldChar w:fldCharType="begin"/>
                  </w:r>
                  <w:r w:rsidR="00E41D03">
                    <w:rPr>
                      <w:lang w:val="en-US"/>
                    </w:rPr>
                    <w:instrText xml:space="preserve"> ADDIN ZOTERO_ITEM CSL_CITATION {"citationID":"riZ0i2i0","properties":{"formattedCitation":"(2019)","plainCitation":"(2019)","noteIndex":0},"citationItems":[{"id":4681,"uris":["http://zotero.org/groups/5691188/items/55IPPMN2"],"itemData":{"id":4681,"type":"article-journal","abstract":"Domestic and family violence is a key area of concern for all professionals who work with families, with recent years seeing an expansion in the availability of intervention programs for men who perpetrate violence against women and children. This paper considers current approaches to the regulation of professional practice in this area, providing information about the changing context in which interventions are offered. The purpose of the paper is to encourage ongoing discussion about the setting of men's behaviour change program standards of practice in Australasia and to identify some key issues that require consideration.","container-title":"Australian and New Zealand Journal of Family Therapy","DOI":"10.1002/anzf.1332","ISSN":"0814-723X, 1467-8438","issue":"4","journalAbbreviation":"ANZ J of Family Therapy","language":"en","page":"501-513","source":"DOI.org (Crossref)","title":"Standards of Practice in Domestic and Family Violence Behaviour Change Programs in Australia and New Zealand","volume":"39","author":[{"family":"Day","given":"Andrew"},{"family":"Vlais","given":"Rodney"},{"family":"Chung","given":"Donna"},{"family":"Green","given":"Damian"}],"issued":{"date-parts":[["2019",12]]}},"label":"page","suppress-author":true}],"schema":"https://github.com/citation-style-language/schema/raw/master/csl-citation.json"} </w:instrText>
                  </w:r>
                  <w:r w:rsidRPr="00F17B63">
                    <w:rPr>
                      <w:lang w:val="en-US"/>
                    </w:rPr>
                    <w:fldChar w:fldCharType="separate"/>
                  </w:r>
                  <w:r w:rsidRPr="00F17B63">
                    <w:rPr>
                      <w:lang w:val="en-US"/>
                    </w:rPr>
                    <w:t>(2019)</w:t>
                  </w:r>
                  <w:r w:rsidRPr="00F17B63">
                    <w:rPr>
                      <w:lang w:val="en-GB"/>
                    </w:rPr>
                    <w:fldChar w:fldCharType="end"/>
                  </w:r>
                  <w:r w:rsidRPr="00F17B63">
                    <w:rPr>
                      <w:lang w:val="en-US"/>
                    </w:rPr>
                    <w:t xml:space="preserve"> affirm that the RNR framework, which combines cognitive-behavioural methods with customised approaches, enhances program engagement and reduces reoffending. The framework addresses criminogenic needs, such as substance abuse or pro-violence attitudes, and adapts to the learning styles and cultural backgrounds of participants, providing a model for effective, accountable interventions that focus on safe behavioural change </w:t>
                  </w:r>
                  <w:r w:rsidRPr="00F17B63">
                    <w:rPr>
                      <w:lang w:val="en-US"/>
                    </w:rPr>
                    <w:fldChar w:fldCharType="begin"/>
                  </w:r>
                  <w:r w:rsidR="00E41D03">
                    <w:rPr>
                      <w:lang w:val="en-US"/>
                    </w:rPr>
                    <w:instrText xml:space="preserve"> ADDIN ZOTERO_ITEM CSL_CITATION {"citationID":"4YW0bdV9","properties":{"formattedCitation":"(Radatz et al., 2021)","plainCitation":"(Radatz et al., 2021)","dontUpdate":true,"noteIndex":0},"citationItems":[{"id":4622,"uris":["http://zotero.org/groups/5691188/items/TGXHFPQW"],"itemData":{"id":4622,"type":"article-journal","abstract":"Several evaluations and meta-analytic reviews have suggested that domestic violence (DV) treatment programs have only a modest impact on reducing DV recidivism. In response, a growing number of scholars and practitioners have called for the integration of evidence-based practices into DV treatment programming. In recent years, one leading approach has been to explore the infusion of the ‘principles of effective intervention (PEI),’ the prevailing evidence- based practice in correctional programming, into DV treatment. Findings from initial empirical studies from scholars and practitioners working to infuse the PEI into DV treatment programs have shown promise. This article provides an overview of the PEI and research exploring the integration of the PEI into DV treatment; a discussion on how these research findings can inform DV treatment programs interested in adopting a PEI framework; and practitioners’ perspectives on implementing programmatic changes and collaborating on evaluation research while also continuing to provide DV treatment.","container-title":"American Journal of Criminal Justice","DOI":"10.1007/s12103-021-09627-8","ISSN":"1066-2316, 1936-1351","issue":"4","journalAbbreviation":"Am J Crim Just","language":"en","page":"609-625","source":"DOI.org (Crossref)","title":"Integrating ‘Principles of Effective Intervention’ into Domestic Violence Intervention Programs: New Opportunities for Change and Collaboration","title-short":"Integrating ‘Principles of Effective Intervention’ into Domestic Violence Intervention Programs","volume":"46","author":[{"family":"Radatz","given":"Dana L."},{"family":"Richards","given":"Tara N."},{"family":"Murphy","given":"Christopher M."},{"family":"Nitsch","given":"Lisa J."},{"family":"Green-Manning","given":"Angelique"},{"family":"Brokmeier","given":"Ann Marie"},{"family":"Holliday","given":"Charvonne N."}],"issued":{"date-parts":[["2021",8]]}}}],"schema":"https://github.com/citation-style-language/schema/raw/master/csl-citation.json"} </w:instrText>
                  </w:r>
                  <w:r w:rsidRPr="00F17B63">
                    <w:rPr>
                      <w:lang w:val="en-US"/>
                    </w:rPr>
                    <w:fldChar w:fldCharType="separate"/>
                  </w:r>
                  <w:r w:rsidRPr="00F17B63">
                    <w:rPr>
                      <w:lang w:val="en-US"/>
                    </w:rPr>
                    <w:t>(Radatz et al., 2021</w:t>
                  </w:r>
                  <w:r w:rsidRPr="00F17B63">
                    <w:rPr>
                      <w:lang w:val="en-GB"/>
                    </w:rPr>
                    <w:fldChar w:fldCharType="end"/>
                  </w:r>
                  <w:r w:rsidRPr="00F17B63">
                    <w:rPr>
                      <w:lang w:val="en-US"/>
                    </w:rPr>
                    <w:t xml:space="preserve">; </w:t>
                  </w:r>
                  <w:r w:rsidRPr="00F17B63">
                    <w:rPr>
                      <w:lang w:val="en-US"/>
                    </w:rPr>
                    <w:fldChar w:fldCharType="begin"/>
                  </w:r>
                  <w:r w:rsidR="00E41D03">
                    <w:rPr>
                      <w:lang w:val="en-US"/>
                    </w:rPr>
                    <w:instrText xml:space="preserve"> ADDIN ZOTERO_ITEM CSL_CITATION {"citationID":"QlSaw2tL","properties":{"formattedCitation":"(Day et al., 2019)","plainCitation":"(Day et al., 2019)","dontUpdate":true,"noteIndex":0},"citationItems":[{"id":4681,"uris":["http://zotero.org/groups/5691188/items/55IPPMN2"],"itemData":{"id":4681,"type":"article-journal","abstract":"Domestic and family violence is a key area of concern for all professionals who work with families, with recent years seeing an expansion in the availability of intervention programs for men who perpetrate violence against women and children. This paper considers current approaches to the regulation of professional practice in this area, providing information about the changing context in which interventions are offered. The purpose of the paper is to encourage ongoing discussion about the setting of men's behaviour change program standards of practice in Australasia and to identify some key issues that require consideration.","container-title":"Australian and New Zealand Journal of Family Therapy","DOI":"10.1002/anzf.1332","ISSN":"0814-723X, 1467-8438","issue":"4","journalAbbreviation":"ANZ J of Family Therapy","language":"en","page":"501-513","source":"DOI.org (Crossref)","title":"Standards of Practice in Domestic and Family Violence Behaviour Change Programs in Australia and New Zealand","volume":"39","author":[{"family":"Day","given":"Andrew"},{"family":"Vlais","given":"Rodney"},{"family":"Chung","given":"Donna"},{"family":"Green","given":"Damian"}],"issued":{"date-parts":[["2019",12]]}}}],"schema":"https://github.com/citation-style-language/schema/raw/master/csl-citation.json"} </w:instrText>
                  </w:r>
                  <w:r w:rsidRPr="00F17B63">
                    <w:rPr>
                      <w:lang w:val="en-US"/>
                    </w:rPr>
                    <w:fldChar w:fldCharType="separate"/>
                  </w:r>
                  <w:r w:rsidRPr="00F17B63">
                    <w:rPr>
                      <w:lang w:val="en-US"/>
                    </w:rPr>
                    <w:t>Day et al., 2019)</w:t>
                  </w:r>
                  <w:r w:rsidRPr="00F17B63">
                    <w:rPr>
                      <w:lang w:val="en-GB"/>
                    </w:rPr>
                    <w:fldChar w:fldCharType="end"/>
                  </w:r>
                  <w:r w:rsidRPr="00F17B63">
                    <w:rPr>
                      <w:lang w:val="en-US"/>
                    </w:rPr>
                    <w:t>.</w:t>
                  </w:r>
                </w:p>
                <w:p w14:paraId="57680D81" w14:textId="11B2C77D" w:rsidR="005505ED" w:rsidRPr="000C09BF" w:rsidRDefault="005505ED" w:rsidP="00321BC5">
                  <w:pPr>
                    <w:pStyle w:val="Text"/>
                    <w:spacing w:before="360"/>
                  </w:pPr>
                  <w:r w:rsidRPr="00321BC5">
                    <w:rPr>
                      <w:b/>
                      <w:color w:val="36424A" w:themeColor="background2"/>
                    </w:rPr>
                    <w:t xml:space="preserve">A need for whole-of-system approaches </w:t>
                  </w:r>
                </w:p>
                <w:p w14:paraId="314E779E" w14:textId="5AE0DA1A" w:rsidR="00DB1D56" w:rsidRDefault="00530E76" w:rsidP="00DE647E">
                  <w:pPr>
                    <w:pStyle w:val="Text"/>
                  </w:pPr>
                  <w:r w:rsidRPr="00530E76">
                    <w:t xml:space="preserve">There is a growing body of evidence showing that achieving quality outcomes in MBCPs is challenging without a whole-of-system </w:t>
                  </w:r>
                  <w:r w:rsidRPr="00D63E8D">
                    <w:rPr>
                      <w:rStyle w:val="TextChar"/>
                    </w:rPr>
                    <w:t xml:space="preserve">approach </w:t>
                  </w:r>
                  <w:r w:rsidR="00E2750A" w:rsidRPr="00D63E8D">
                    <w:rPr>
                      <w:rStyle w:val="TextChar"/>
                    </w:rPr>
                    <w:fldChar w:fldCharType="begin"/>
                  </w:r>
                  <w:r w:rsidR="003A464F">
                    <w:rPr>
                      <w:rStyle w:val="TextChar"/>
                    </w:rPr>
                    <w:instrText xml:space="preserve"> ADDIN ZOTERO_ITEM CSL_CITATION {"citationID":"a2lmjevgt7b","properties":{"formattedCitation":"(Australia\\uc0\\u8217{}s National Research Organisation for Women\\uc0\\u8217{}s Safety, 2025; Hamilton et al., 2025; Helps et al., 2025)","plainCitation":"(Australia’s National Research Organisation for Women’s Safety, 2025; Hamilton et al., 2025; Helps et al., 2025)","noteIndex":0},"citationItems":[{"id":5724,"uris":["http://zotero.org/groups/5691188/items/WS3B9LBB"],"itemData":{"id":5724,"type":"report","publisher":"Australia's National Research Organisation for Women's Safety","title":"Quality practice elements for MBCPs in the NT","URL":"https://anrows-2019.s3.ap-southeast-2.amazonaws.com/wp-content/uploads/2025/04/03131126/ANROWS-Quality-practice-elements-for-MBCPs-in-the-NT.pdf","author":[{"literal":"Australia's National Research Organisation for Women's Safety"}],"issued":{"date-parts":[["2025"]]}}},{"id":5722,"uris":["http://zotero.org/groups/5691188/items/YM2QTMDR"],"itemData":{"id":5722,"type":"report","abstract":"This resource shares high-level learnings from ANROWS’s process evaluations of men’s behaviour change programs in the Northern Territory.","publisher":"Australia's National Research Organisation for Women's Safety","title":"Evaluation of the Northern Territory’s men’s behaviour change programs: Key learnings for policy and practice","title-short":"Evaluation of the Northern Territory’s men’s behaviour change programs","URL":"https://www.anrows.org.au/resources/nt-mbcp-evaluation-key-learnings/","author":[{"family":"Hamilton","given":"L"},{"family":"Macmillan","given":"L"},{"family":"Vlais","given":"R"}],"accessed":{"date-parts":[["2025",9,8]]},"issued":{"date-parts":[["2025"]]}}},{"id":5721,"uris":["http://zotero.org/groups/5691188/items/X553GPL4"],"itemData":{"id":5721,"type":"report","abstract":"This evidence brief explores the role of men’s behaviour change programs (MBCPs) in addressing domestic, family, and sexual violence.","language":"en-US","publisher":"Australia's National Research Organisation fro Women's Safety","title":"The role of men’s behaviour change programs in addressing men’s use of domestic, family and sexual violence","URL":"https://doi.org/10.71940/snn3-m344","author":[{"family":"Helps","given":"N"},{"family":"Bell","given":"C"},{"family":"Schulze","given":"C"},{"family":"Vlais","given":"R"},{"family":"Clark","given":"O"},{"family":"Seamer","given":"J"},{"family":"Buys","given":"R"}],"accessed":{"date-parts":[["2025",9,8]]},"issued":{"date-parts":[["2025"]]}}}],"schema":"https://github.com/citation-style-language/schema/raw/master/csl-citation.json"} </w:instrText>
                  </w:r>
                  <w:r w:rsidR="00E2750A" w:rsidRPr="00D63E8D">
                    <w:rPr>
                      <w:rStyle w:val="TextChar"/>
                    </w:rPr>
                    <w:fldChar w:fldCharType="separate"/>
                  </w:r>
                  <w:r w:rsidR="003A464F" w:rsidRPr="003A464F">
                    <w:rPr>
                      <w:rFonts w:ascii="Arial" w:hAnsi="Arial" w:cs="Arial"/>
                    </w:rPr>
                    <w:t>(Australia’s National Research Organisation for Women’s Safety, 2025; Hamilton et al., 2025; Helps et al., 2025)</w:t>
                  </w:r>
                  <w:r w:rsidR="00E2750A" w:rsidRPr="00D63E8D">
                    <w:rPr>
                      <w:rStyle w:val="TextChar"/>
                    </w:rPr>
                    <w:fldChar w:fldCharType="end"/>
                  </w:r>
                  <w:r w:rsidRPr="00D63E8D">
                    <w:rPr>
                      <w:rStyle w:val="TextChar"/>
                    </w:rPr>
                    <w:t>.</w:t>
                  </w:r>
                  <w:r w:rsidRPr="0014082A">
                    <w:t xml:space="preserve"> </w:t>
                  </w:r>
                  <w:r w:rsidRPr="00530E76">
                    <w:t xml:space="preserve">This approach involves collaboration across a range of family violence services to support both victim survivors and perpetrators. It enables better behaviour change outcomes, greater visibility, and more effective risk management through a shared understanding of the fluctuating levels of risk and safety experienced by </w:t>
                  </w:r>
                  <w:r w:rsidR="003C6632">
                    <w:t>service users</w:t>
                  </w:r>
                  <w:r w:rsidR="003C6632" w:rsidRPr="00530E76">
                    <w:t xml:space="preserve"> </w:t>
                  </w:r>
                  <w:r w:rsidRPr="00530E76">
                    <w:t>and their families. Given th</w:t>
                  </w:r>
                  <w:r w:rsidR="00880257">
                    <w:t>e</w:t>
                  </w:r>
                  <w:r w:rsidRPr="00530E76">
                    <w:t xml:space="preserve"> need for system-wide involvement, outcomes from MBCPs cannot be attributed solely to individual practitioners or progra</w:t>
                  </w:r>
                  <w:r w:rsidRPr="0056712A">
                    <w:t>m</w:t>
                  </w:r>
                  <w:r w:rsidR="0014082A" w:rsidRPr="00323C72">
                    <w:t>s</w:t>
                  </w:r>
                  <w:r w:rsidR="00671E26">
                    <w:t>.</w:t>
                  </w:r>
                  <w:r w:rsidR="0014082A" w:rsidRPr="00321BC5">
                    <w:t xml:space="preserve"> </w:t>
                  </w:r>
                </w:p>
                <w:p w14:paraId="16DC23BD" w14:textId="6F27C461" w:rsidR="00530E76" w:rsidRDefault="00F85344" w:rsidP="005505ED">
                  <w:pPr>
                    <w:pStyle w:val="Text"/>
                  </w:pPr>
                  <w:r w:rsidRPr="00F85344">
                    <w:t>Some</w:t>
                  </w:r>
                  <w:r>
                    <w:t xml:space="preserve"> CSC service providers</w:t>
                  </w:r>
                  <w:r w:rsidRPr="00F85344">
                    <w:t xml:space="preserve"> echoed these findings, highlighting the benefits of approaches that involve men, women, and children in separate but connected </w:t>
                  </w:r>
                  <w:r w:rsidR="0014082A">
                    <w:t>whole-of-family approaches</w:t>
                  </w:r>
                  <w:r w:rsidRPr="00F85344">
                    <w:t xml:space="preserve">. This wraparound model </w:t>
                  </w:r>
                  <w:r>
                    <w:t>provides support to</w:t>
                  </w:r>
                  <w:r w:rsidRPr="00F85344">
                    <w:t xml:space="preserve"> the whole family and addresses family violence perpetration as part of a broader</w:t>
                  </w:r>
                  <w:r>
                    <w:t xml:space="preserve">, inclusive </w:t>
                  </w:r>
                  <w:r w:rsidRPr="00F85344">
                    <w:t>approach.</w:t>
                  </w:r>
                </w:p>
                <w:p w14:paraId="4FBE68E0" w14:textId="0BBDF607" w:rsidR="0014082A" w:rsidRPr="00D63E8D" w:rsidRDefault="00F85344" w:rsidP="00D63E8D">
                  <w:pPr>
                    <w:pBdr>
                      <w:left w:val="single" w:sz="18" w:space="4" w:color="78B800" w:themeColor="accent1"/>
                    </w:pBdr>
                    <w:tabs>
                      <w:tab w:val="left" w:pos="8080"/>
                    </w:tabs>
                    <w:spacing w:after="0"/>
                    <w:ind w:left="851" w:right="949"/>
                    <w:rPr>
                      <w:i/>
                      <w:iCs/>
                    </w:rPr>
                  </w:pPr>
                  <w:r w:rsidRPr="002E7992">
                    <w:rPr>
                      <w:noProof/>
                    </w:rPr>
                    <w:drawing>
                      <wp:anchor distT="0" distB="0" distL="114300" distR="114300" simplePos="0" relativeHeight="251658364" behindDoc="0" locked="1" layoutInCell="1" allowOverlap="1" wp14:anchorId="79AF1F4C" wp14:editId="76DF5BA7">
                        <wp:simplePos x="0" y="0"/>
                        <wp:positionH relativeFrom="column">
                          <wp:posOffset>0</wp:posOffset>
                        </wp:positionH>
                        <wp:positionV relativeFrom="paragraph">
                          <wp:posOffset>0</wp:posOffset>
                        </wp:positionV>
                        <wp:extent cx="384810" cy="320040"/>
                        <wp:effectExtent l="0" t="0" r="0" b="3810"/>
                        <wp:wrapNone/>
                        <wp:docPr id="480526673" name="Graphic 480526673" descr="P3165#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526673" name="Graphic 480526673" descr="P3165#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867B4" w:rsidRPr="002867B4">
                    <w:rPr>
                      <w:i/>
                      <w:iCs/>
                    </w:rPr>
                    <w:t>We try to deliver holistic program</w:t>
                  </w:r>
                  <w:r w:rsidR="002867B4">
                    <w:rPr>
                      <w:i/>
                      <w:iCs/>
                    </w:rPr>
                    <w:t xml:space="preserve"> </w:t>
                  </w:r>
                  <w:r w:rsidR="006171EC">
                    <w:rPr>
                      <w:i/>
                      <w:iCs/>
                    </w:rPr>
                    <w:t>[…]</w:t>
                  </w:r>
                  <w:r w:rsidR="002867B4" w:rsidRPr="002867B4">
                    <w:rPr>
                      <w:i/>
                      <w:iCs/>
                    </w:rPr>
                    <w:t xml:space="preserve"> working with </w:t>
                  </w:r>
                  <w:r w:rsidR="002867B4">
                    <w:rPr>
                      <w:i/>
                      <w:iCs/>
                    </w:rPr>
                    <w:t>d</w:t>
                  </w:r>
                  <w:r w:rsidR="002867B4" w:rsidRPr="002867B4">
                    <w:rPr>
                      <w:i/>
                      <w:iCs/>
                    </w:rPr>
                    <w:t>ad in the men's behaviour change</w:t>
                  </w:r>
                  <w:r w:rsidR="006171EC">
                    <w:rPr>
                      <w:i/>
                      <w:iCs/>
                    </w:rPr>
                    <w:t>,</w:t>
                  </w:r>
                  <w:r w:rsidR="002867B4">
                    <w:rPr>
                      <w:i/>
                      <w:iCs/>
                    </w:rPr>
                    <w:t xml:space="preserve"> w</w:t>
                  </w:r>
                  <w:r w:rsidR="002867B4" w:rsidRPr="002867B4">
                    <w:rPr>
                      <w:i/>
                      <w:iCs/>
                    </w:rPr>
                    <w:t xml:space="preserve">orking with </w:t>
                  </w:r>
                  <w:r w:rsidR="006171EC">
                    <w:rPr>
                      <w:i/>
                      <w:iCs/>
                    </w:rPr>
                    <w:t>mum</w:t>
                  </w:r>
                  <w:r w:rsidR="002867B4" w:rsidRPr="002867B4">
                    <w:rPr>
                      <w:i/>
                      <w:iCs/>
                    </w:rPr>
                    <w:t xml:space="preserve"> in our women's program</w:t>
                  </w:r>
                  <w:r w:rsidR="006171EC">
                    <w:rPr>
                      <w:i/>
                      <w:iCs/>
                    </w:rPr>
                    <w:t>,</w:t>
                  </w:r>
                  <w:r w:rsidR="002867B4" w:rsidRPr="002867B4">
                    <w:rPr>
                      <w:i/>
                      <w:iCs/>
                    </w:rPr>
                    <w:t xml:space="preserve"> and then working with the child and we find we don't do it all at once.</w:t>
                  </w:r>
                  <w:r w:rsidR="002867B4">
                    <w:rPr>
                      <w:i/>
                      <w:iCs/>
                    </w:rPr>
                    <w:t xml:space="preserve"> </w:t>
                  </w:r>
                  <w:r w:rsidR="002867B4" w:rsidRPr="002867B4">
                    <w:rPr>
                      <w:i/>
                      <w:iCs/>
                    </w:rPr>
                    <w:t xml:space="preserve">We would start the work with </w:t>
                  </w:r>
                  <w:r w:rsidR="002867B4">
                    <w:rPr>
                      <w:i/>
                      <w:iCs/>
                    </w:rPr>
                    <w:t>d</w:t>
                  </w:r>
                  <w:r w:rsidR="002867B4" w:rsidRPr="002867B4">
                    <w:rPr>
                      <w:i/>
                      <w:iCs/>
                    </w:rPr>
                    <w:t>ad and then if it's safe to do so with mum and with the child and we find when we're working with the whole</w:t>
                  </w:r>
                  <w:r w:rsidR="0014082A">
                    <w:rPr>
                      <w:i/>
                      <w:iCs/>
                    </w:rPr>
                    <w:t>-</w:t>
                  </w:r>
                  <w:r w:rsidR="002867B4" w:rsidRPr="002867B4">
                    <w:rPr>
                      <w:i/>
                      <w:iCs/>
                    </w:rPr>
                    <w:t>of</w:t>
                  </w:r>
                  <w:r w:rsidR="0014082A">
                    <w:rPr>
                      <w:i/>
                      <w:iCs/>
                    </w:rPr>
                    <w:t>-</w:t>
                  </w:r>
                  <w:r w:rsidR="002867B4" w:rsidRPr="002867B4">
                    <w:rPr>
                      <w:i/>
                      <w:iCs/>
                    </w:rPr>
                    <w:t>family holistically that intervention</w:t>
                  </w:r>
                  <w:r w:rsidR="002867B4">
                    <w:rPr>
                      <w:i/>
                      <w:iCs/>
                    </w:rPr>
                    <w:t xml:space="preserve"> t</w:t>
                  </w:r>
                  <w:r w:rsidR="002867B4" w:rsidRPr="002867B4">
                    <w:rPr>
                      <w:i/>
                      <w:iCs/>
                    </w:rPr>
                    <w:t>ends to have more of an impact.</w:t>
                  </w:r>
                  <w:r w:rsidR="002867B4">
                    <w:rPr>
                      <w:i/>
                      <w:iCs/>
                    </w:rPr>
                    <w:t xml:space="preserve"> – </w:t>
                  </w:r>
                  <w:r w:rsidR="002867B4" w:rsidRPr="00D63E8D">
                    <w:rPr>
                      <w:b/>
                      <w:bCs/>
                      <w:i/>
                      <w:iCs/>
                    </w:rPr>
                    <w:t>CSC service provider</w:t>
                  </w:r>
                  <w:r w:rsidR="002867B4">
                    <w:rPr>
                      <w:i/>
                      <w:iCs/>
                    </w:rPr>
                    <w:t xml:space="preserve"> </w:t>
                  </w:r>
                </w:p>
                <w:p w14:paraId="05258212" w14:textId="77777777" w:rsidR="0014082A" w:rsidRDefault="0014082A" w:rsidP="005505ED">
                  <w:pPr>
                    <w:pStyle w:val="Text-BodyHeading"/>
                  </w:pPr>
                </w:p>
                <w:p w14:paraId="2C84FAC7" w14:textId="3845C868" w:rsidR="0014082A" w:rsidRPr="00D63E8D" w:rsidRDefault="0014082A" w:rsidP="00D63E8D">
                  <w:pPr>
                    <w:pBdr>
                      <w:left w:val="single" w:sz="18" w:space="4" w:color="78B800" w:themeColor="accent1"/>
                    </w:pBdr>
                    <w:tabs>
                      <w:tab w:val="left" w:pos="8080"/>
                    </w:tabs>
                    <w:spacing w:after="0"/>
                    <w:ind w:left="851" w:right="949"/>
                    <w:rPr>
                      <w:i/>
                      <w:iCs/>
                    </w:rPr>
                  </w:pPr>
                  <w:r w:rsidRPr="002E7992">
                    <w:rPr>
                      <w:noProof/>
                    </w:rPr>
                    <w:lastRenderedPageBreak/>
                    <w:drawing>
                      <wp:anchor distT="0" distB="0" distL="114300" distR="114300" simplePos="0" relativeHeight="251658365" behindDoc="0" locked="1" layoutInCell="1" allowOverlap="1" wp14:anchorId="3587AB58" wp14:editId="3EF9ABF7">
                        <wp:simplePos x="0" y="0"/>
                        <wp:positionH relativeFrom="column">
                          <wp:posOffset>0</wp:posOffset>
                        </wp:positionH>
                        <wp:positionV relativeFrom="paragraph">
                          <wp:posOffset>0</wp:posOffset>
                        </wp:positionV>
                        <wp:extent cx="384810" cy="320040"/>
                        <wp:effectExtent l="0" t="0" r="0" b="3810"/>
                        <wp:wrapNone/>
                        <wp:docPr id="1472174092" name="Graphic 1472174092" descr="P3167#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174092" name="Graphic 1472174092" descr="P3167#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4082A">
                    <w:rPr>
                      <w:i/>
                      <w:iCs/>
                    </w:rPr>
                    <w:t xml:space="preserve">We're working with men in </w:t>
                  </w:r>
                  <w:r>
                    <w:rPr>
                      <w:i/>
                      <w:iCs/>
                    </w:rPr>
                    <w:t>the [MBCP]</w:t>
                  </w:r>
                  <w:r w:rsidRPr="0014082A">
                    <w:rPr>
                      <w:i/>
                      <w:iCs/>
                    </w:rPr>
                    <w:t xml:space="preserve"> and they're still using violence </w:t>
                  </w:r>
                  <w:r>
                    <w:rPr>
                      <w:i/>
                      <w:iCs/>
                    </w:rPr>
                    <w:t xml:space="preserve">[so] </w:t>
                  </w:r>
                  <w:r w:rsidRPr="0014082A">
                    <w:rPr>
                      <w:i/>
                      <w:iCs/>
                    </w:rPr>
                    <w:t xml:space="preserve">it would be unsafe to do family work or couples work […] But one thing that you know we really feel would assist is not just behaviour change or case management but therapeutic interventions for men because for so many of the men we work with, their biggest motivator is reunification with children […] They're not there for really any other reasons. […] We also acknowledge that a 20-week program isn't </w:t>
                  </w:r>
                  <w:r w:rsidR="0043586E">
                    <w:rPr>
                      <w:i/>
                      <w:iCs/>
                    </w:rPr>
                    <w:t>[going to]</w:t>
                  </w:r>
                  <w:r w:rsidR="0043586E" w:rsidRPr="0014082A">
                    <w:rPr>
                      <w:i/>
                      <w:iCs/>
                    </w:rPr>
                    <w:t xml:space="preserve"> </w:t>
                  </w:r>
                  <w:r w:rsidRPr="0014082A">
                    <w:rPr>
                      <w:i/>
                      <w:iCs/>
                    </w:rPr>
                    <w:t xml:space="preserve">change a cycle of violent behaviour. So, some of the men in our case management program, we refer outside to counsellors or psychologists to work at work on early trauma and other issues. But that's also limited in terms of our funding and what we can do and I guess the recognition is if that was something we could offer, so the whole family could sit within our agency and we could run men's behaviour change, we could also do some therapeutic work with Dad, we can work with the child, we can work with the mum […] work with the whole family. But I really think a </w:t>
                  </w:r>
                  <w:r w:rsidRPr="0014082A" w:rsidDel="0043586E">
                    <w:rPr>
                      <w:i/>
                      <w:iCs/>
                    </w:rPr>
                    <w:t xml:space="preserve">missing </w:t>
                  </w:r>
                  <w:r w:rsidRPr="0014082A">
                    <w:rPr>
                      <w:i/>
                      <w:iCs/>
                    </w:rPr>
                    <w:t>link is that therapeutic work with Dad</w:t>
                  </w:r>
                  <w:r>
                    <w:rPr>
                      <w:i/>
                      <w:iCs/>
                    </w:rPr>
                    <w:t xml:space="preserve"> – </w:t>
                  </w:r>
                  <w:r w:rsidRPr="0030214D">
                    <w:rPr>
                      <w:b/>
                      <w:bCs/>
                      <w:i/>
                      <w:iCs/>
                    </w:rPr>
                    <w:t>CSC service provider</w:t>
                  </w:r>
                  <w:r>
                    <w:rPr>
                      <w:i/>
                      <w:iCs/>
                    </w:rPr>
                    <w:t xml:space="preserve"> </w:t>
                  </w:r>
                </w:p>
                <w:p w14:paraId="57BB210F" w14:textId="77777777" w:rsidR="009319BF" w:rsidRDefault="009319BF">
                  <w:pPr>
                    <w:rPr>
                      <w:b/>
                      <w:color w:val="36424A" w:themeColor="background2"/>
                    </w:rPr>
                  </w:pPr>
                  <w:r>
                    <w:rPr>
                      <w:b/>
                      <w:color w:val="36424A" w:themeColor="background2"/>
                    </w:rPr>
                    <w:br w:type="page"/>
                  </w:r>
                </w:p>
                <w:p w14:paraId="70D393CB" w14:textId="7CDE9FC5" w:rsidR="009F58C8" w:rsidRPr="000C09BF" w:rsidRDefault="009F58C8" w:rsidP="00321BC5">
                  <w:pPr>
                    <w:pStyle w:val="Text"/>
                    <w:spacing w:before="360"/>
                  </w:pPr>
                  <w:r w:rsidRPr="00321BC5">
                    <w:rPr>
                      <w:b/>
                      <w:color w:val="36424A" w:themeColor="background2"/>
                    </w:rPr>
                    <w:lastRenderedPageBreak/>
                    <w:t>Barriers to engagement</w:t>
                  </w:r>
                </w:p>
                <w:p w14:paraId="177F55D2" w14:textId="368CDFBB" w:rsidR="009F58C8" w:rsidRPr="00B823D7" w:rsidRDefault="009F58C8" w:rsidP="009F58C8">
                  <w:pPr>
                    <w:pStyle w:val="Text"/>
                    <w:spacing w:after="0"/>
                    <w:rPr>
                      <w:lang w:val="en-GB"/>
                    </w:rPr>
                  </w:pPr>
                  <w:r>
                    <w:rPr>
                      <w:lang w:val="en-GB"/>
                    </w:rPr>
                    <w:t>MBCP service providers offered a range of insights into</w:t>
                  </w:r>
                  <w:r w:rsidR="0066674A">
                    <w:rPr>
                      <w:lang w:val="en-GB"/>
                    </w:rPr>
                    <w:t xml:space="preserve"> </w:t>
                  </w:r>
                  <w:r>
                    <w:rPr>
                      <w:lang w:val="en-GB"/>
                    </w:rPr>
                    <w:t>barriers to MBCP engagement. Challenges reported included: reluctance from some family violence services to engage with MBCP providers due to a perception of collusion</w:t>
                  </w:r>
                  <w:r w:rsidR="002E3639">
                    <w:rPr>
                      <w:lang w:val="en-GB"/>
                    </w:rPr>
                    <w:t>,</w:t>
                  </w:r>
                  <w:r>
                    <w:rPr>
                      <w:lang w:val="en-GB"/>
                    </w:rPr>
                    <w:t xml:space="preserve"> men dropping out once meeting court-mandated number of sessions</w:t>
                  </w:r>
                  <w:r w:rsidR="002E3639">
                    <w:rPr>
                      <w:lang w:val="en-GB"/>
                    </w:rPr>
                    <w:t>,</w:t>
                  </w:r>
                  <w:r>
                    <w:rPr>
                      <w:lang w:val="en-GB"/>
                    </w:rPr>
                    <w:t xml:space="preserve"> and a need for service providers to tailor sessions with men one-on-one for longer than funding anticipates </w:t>
                  </w:r>
                  <w:r w:rsidR="00665578">
                    <w:rPr>
                      <w:lang w:val="en-GB"/>
                    </w:rPr>
                    <w:t>(e.g.</w:t>
                  </w:r>
                  <w:r w:rsidR="007E1225">
                    <w:rPr>
                      <w:lang w:val="en-GB"/>
                    </w:rPr>
                    <w:t xml:space="preserve"> </w:t>
                  </w:r>
                  <w:r>
                    <w:rPr>
                      <w:lang w:val="en-GB"/>
                    </w:rPr>
                    <w:t>due to disability or low literacy levels impacting engagement capacity</w:t>
                  </w:r>
                  <w:r w:rsidR="007E1225">
                    <w:rPr>
                      <w:lang w:val="en-GB"/>
                    </w:rPr>
                    <w:t>)</w:t>
                  </w:r>
                  <w:r>
                    <w:rPr>
                      <w:lang w:val="en-GB"/>
                    </w:rPr>
                    <w:t>. MBCP service providers also described high demand and backlog</w:t>
                  </w:r>
                  <w:r w:rsidR="00B30396">
                    <w:rPr>
                      <w:lang w:val="en-GB"/>
                    </w:rPr>
                    <w:t>, particularly</w:t>
                  </w:r>
                  <w:r>
                    <w:rPr>
                      <w:lang w:val="en-GB"/>
                    </w:rPr>
                    <w:t xml:space="preserve"> in association with increased community expectation regarding accountability and visibility of adults using family violence.</w:t>
                  </w:r>
                </w:p>
                <w:p w14:paraId="0289617B" w14:textId="77777777" w:rsidR="009F58C8" w:rsidRDefault="009F58C8" w:rsidP="009F58C8">
                  <w:pPr>
                    <w:pStyle w:val="Text"/>
                    <w:spacing w:after="0"/>
                    <w:rPr>
                      <w:lang w:val="en-GB"/>
                    </w:rPr>
                  </w:pPr>
                </w:p>
                <w:p w14:paraId="6B6D569D" w14:textId="635AFE64" w:rsidR="009F58C8" w:rsidRPr="007B623E" w:rsidRDefault="009F58C8" w:rsidP="009F58C8">
                  <w:pPr>
                    <w:pBdr>
                      <w:left w:val="single" w:sz="18" w:space="4" w:color="78B800" w:themeColor="accent1"/>
                    </w:pBdr>
                    <w:tabs>
                      <w:tab w:val="left" w:pos="8080"/>
                    </w:tabs>
                    <w:spacing w:after="0"/>
                    <w:ind w:left="851" w:right="949"/>
                    <w:rPr>
                      <w:i/>
                    </w:rPr>
                  </w:pPr>
                  <w:r w:rsidRPr="002E7992">
                    <w:rPr>
                      <w:noProof/>
                    </w:rPr>
                    <w:drawing>
                      <wp:anchor distT="0" distB="0" distL="114300" distR="114300" simplePos="0" relativeHeight="251658366" behindDoc="0" locked="1" layoutInCell="1" allowOverlap="1" wp14:anchorId="74A3DD14" wp14:editId="3EE6AC9B">
                        <wp:simplePos x="0" y="0"/>
                        <wp:positionH relativeFrom="column">
                          <wp:posOffset>0</wp:posOffset>
                        </wp:positionH>
                        <wp:positionV relativeFrom="paragraph">
                          <wp:posOffset>0</wp:posOffset>
                        </wp:positionV>
                        <wp:extent cx="384810" cy="320040"/>
                        <wp:effectExtent l="0" t="0" r="0" b="3810"/>
                        <wp:wrapNone/>
                        <wp:docPr id="353175406" name="Graphic 353175406" descr="P3172#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175406" name="Graphic 353175406" descr="P3172#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C3C4C">
                    <w:t xml:space="preserve"> </w:t>
                  </w:r>
                  <w:r>
                    <w:rPr>
                      <w:i/>
                      <w:iCs/>
                    </w:rPr>
                    <w:t xml:space="preserve">There’s been an increased expectation for </w:t>
                  </w:r>
                  <w:r w:rsidR="00C86BBE">
                    <w:rPr>
                      <w:i/>
                      <w:iCs/>
                    </w:rPr>
                    <w:t>[MBCP]</w:t>
                  </w:r>
                  <w:r>
                    <w:rPr>
                      <w:i/>
                      <w:iCs/>
                    </w:rPr>
                    <w:t xml:space="preserve"> providers to assess, monitor and track for risk</w:t>
                  </w:r>
                  <w:r w:rsidR="00147891">
                    <w:rPr>
                      <w:i/>
                      <w:iCs/>
                    </w:rPr>
                    <w:t xml:space="preserve"> [</w:t>
                  </w:r>
                  <w:r>
                    <w:rPr>
                      <w:i/>
                      <w:iCs/>
                    </w:rPr>
                    <w:t>…</w:t>
                  </w:r>
                  <w:r w:rsidR="00147891">
                    <w:rPr>
                      <w:i/>
                      <w:iCs/>
                    </w:rPr>
                    <w:t xml:space="preserve">] </w:t>
                  </w:r>
                  <w:r>
                    <w:rPr>
                      <w:i/>
                      <w:iCs/>
                    </w:rPr>
                    <w:t>all of that work is held in our case management and individual session so we’re working with men for longer</w:t>
                  </w:r>
                  <w:r w:rsidR="00147891">
                    <w:rPr>
                      <w:i/>
                      <w:iCs/>
                    </w:rPr>
                    <w:t xml:space="preserve"> [</w:t>
                  </w:r>
                  <w:r>
                    <w:rPr>
                      <w:i/>
                      <w:iCs/>
                    </w:rPr>
                    <w:t>…</w:t>
                  </w:r>
                  <w:r w:rsidR="00147891">
                    <w:rPr>
                      <w:i/>
                      <w:iCs/>
                    </w:rPr>
                    <w:t xml:space="preserve">] </w:t>
                  </w:r>
                  <w:r>
                    <w:rPr>
                      <w:i/>
                      <w:iCs/>
                    </w:rPr>
                    <w:t>and we’ve got increased accountability from our funders and from</w:t>
                  </w:r>
                  <w:r w:rsidR="00147891">
                    <w:rPr>
                      <w:i/>
                      <w:iCs/>
                    </w:rPr>
                    <w:t xml:space="preserve"> [</w:t>
                  </w:r>
                  <w:r>
                    <w:rPr>
                      <w:i/>
                      <w:iCs/>
                    </w:rPr>
                    <w:t>…</w:t>
                  </w:r>
                  <w:r w:rsidR="00147891">
                    <w:rPr>
                      <w:i/>
                      <w:iCs/>
                    </w:rPr>
                    <w:t xml:space="preserve">] </w:t>
                  </w:r>
                  <w:r>
                    <w:rPr>
                      <w:i/>
                      <w:iCs/>
                    </w:rPr>
                    <w:t>the community</w:t>
                  </w:r>
                  <w:r w:rsidR="00147891">
                    <w:rPr>
                      <w:i/>
                      <w:iCs/>
                    </w:rPr>
                    <w:t xml:space="preserve"> [</w:t>
                  </w:r>
                  <w:r>
                    <w:rPr>
                      <w:i/>
                      <w:iCs/>
                    </w:rPr>
                    <w:t>…</w:t>
                  </w:r>
                  <w:r w:rsidR="00147891">
                    <w:rPr>
                      <w:i/>
                      <w:iCs/>
                    </w:rPr>
                    <w:t xml:space="preserve">] </w:t>
                  </w:r>
                  <w:r>
                    <w:rPr>
                      <w:i/>
                      <w:iCs/>
                    </w:rPr>
                    <w:t>We want to be able to meet that expectation and do it really well which means we’re holding men visible in the program for longer which means there’s a backlog</w:t>
                  </w:r>
                  <w:r w:rsidR="00517698">
                    <w:rPr>
                      <w:i/>
                      <w:iCs/>
                    </w:rPr>
                    <w:t xml:space="preserve"> </w:t>
                  </w:r>
                  <w:r w:rsidRPr="002E7992">
                    <w:rPr>
                      <w:b/>
                      <w:bCs/>
                      <w:i/>
                      <w:iCs/>
                    </w:rPr>
                    <w:t>–</w:t>
                  </w:r>
                  <w:r>
                    <w:rPr>
                      <w:b/>
                      <w:bCs/>
                      <w:i/>
                      <w:iCs/>
                    </w:rPr>
                    <w:t xml:space="preserve"> MBCP s</w:t>
                  </w:r>
                  <w:r w:rsidRPr="002E7992">
                    <w:rPr>
                      <w:b/>
                      <w:bCs/>
                      <w:i/>
                      <w:iCs/>
                    </w:rPr>
                    <w:t xml:space="preserve">ervice </w:t>
                  </w:r>
                  <w:r>
                    <w:rPr>
                      <w:b/>
                      <w:bCs/>
                      <w:i/>
                      <w:iCs/>
                    </w:rPr>
                    <w:t>provider</w:t>
                  </w:r>
                </w:p>
                <w:p w14:paraId="5CA0C84F" w14:textId="77777777" w:rsidR="009F58C8" w:rsidRDefault="009F58C8" w:rsidP="009F58C8">
                  <w:pPr>
                    <w:pStyle w:val="Text"/>
                    <w:spacing w:after="0"/>
                    <w:rPr>
                      <w:lang w:val="en-GB"/>
                    </w:rPr>
                  </w:pPr>
                </w:p>
                <w:p w14:paraId="209A6854" w14:textId="1A4BA028" w:rsidR="007E1225" w:rsidRDefault="002E3639" w:rsidP="00321BC5">
                  <w:pPr>
                    <w:pStyle w:val="Text"/>
                    <w:spacing w:after="0"/>
                    <w:rPr>
                      <w:color w:val="36424A" w:themeColor="background2"/>
                      <w:spacing w:val="2"/>
                      <w:lang w:val="en-GB"/>
                    </w:rPr>
                  </w:pPr>
                  <w:r>
                    <w:rPr>
                      <w:lang w:val="en-GB"/>
                    </w:rPr>
                    <w:t>MBCP s</w:t>
                  </w:r>
                  <w:r w:rsidR="009F58C8">
                    <w:rPr>
                      <w:lang w:val="en-GB"/>
                    </w:rPr>
                    <w:t>ervice providers emphasised the need for more funding to address these challenges and meet demand, whil</w:t>
                  </w:r>
                  <w:r w:rsidR="007E1225">
                    <w:rPr>
                      <w:lang w:val="en-GB"/>
                    </w:rPr>
                    <w:t>e</w:t>
                  </w:r>
                  <w:r w:rsidR="009F58C8">
                    <w:rPr>
                      <w:lang w:val="en-GB"/>
                    </w:rPr>
                    <w:t xml:space="preserve"> also ensuring best practice delivery, including incorporating understandings of mental health and trauma as part of healing-focused approaches. Specifically, </w:t>
                  </w:r>
                  <w:r w:rsidR="00B43B23">
                    <w:rPr>
                      <w:lang w:val="en-GB"/>
                    </w:rPr>
                    <w:t>this</w:t>
                  </w:r>
                  <w:r w:rsidR="009F58C8">
                    <w:rPr>
                      <w:lang w:val="en-GB"/>
                    </w:rPr>
                    <w:t xml:space="preserve"> funding is needed to support the complexity and ongoing requirements of MBCP work, including enhanced case management and focused individual engagement centred on motivation and accountability. Some </w:t>
                  </w:r>
                  <w:r>
                    <w:rPr>
                      <w:lang w:val="en-GB"/>
                    </w:rPr>
                    <w:t>MBCP</w:t>
                  </w:r>
                  <w:r w:rsidR="009F58C8">
                    <w:rPr>
                      <w:lang w:val="en-GB"/>
                    </w:rPr>
                    <w:t xml:space="preserve"> service providers also described increased demand </w:t>
                  </w:r>
                  <w:r w:rsidR="00880257">
                    <w:rPr>
                      <w:lang w:val="en-GB"/>
                    </w:rPr>
                    <w:t xml:space="preserve">from </w:t>
                  </w:r>
                  <w:r w:rsidR="009F58C8">
                    <w:rPr>
                      <w:lang w:val="en-GB"/>
                    </w:rPr>
                    <w:t>requirements to align with state-level risk management frameworks leading to increased case management and handling.</w:t>
                  </w:r>
                </w:p>
                <w:p w14:paraId="370E1700" w14:textId="7F7038D1" w:rsidR="005674C7" w:rsidRPr="000C09BF" w:rsidRDefault="005674C7" w:rsidP="00321BC5">
                  <w:pPr>
                    <w:pStyle w:val="Text"/>
                    <w:spacing w:before="360"/>
                  </w:pPr>
                  <w:r w:rsidRPr="00321BC5">
                    <w:rPr>
                      <w:b/>
                      <w:color w:val="36424A" w:themeColor="background2"/>
                    </w:rPr>
                    <w:t xml:space="preserve">Culturally </w:t>
                  </w:r>
                  <w:r w:rsidR="007E1225" w:rsidRPr="00321BC5">
                    <w:rPr>
                      <w:b/>
                      <w:color w:val="36424A" w:themeColor="background2"/>
                    </w:rPr>
                    <w:t>a</w:t>
                  </w:r>
                  <w:r w:rsidRPr="00321BC5">
                    <w:rPr>
                      <w:b/>
                      <w:color w:val="36424A" w:themeColor="background2"/>
                    </w:rPr>
                    <w:t xml:space="preserve">daptive </w:t>
                  </w:r>
                  <w:r w:rsidR="007E1225" w:rsidRPr="00321BC5">
                    <w:rPr>
                      <w:b/>
                      <w:color w:val="36424A" w:themeColor="background2"/>
                    </w:rPr>
                    <w:t>a</w:t>
                  </w:r>
                  <w:r w:rsidRPr="00321BC5">
                    <w:rPr>
                      <w:b/>
                      <w:color w:val="36424A" w:themeColor="background2"/>
                    </w:rPr>
                    <w:t>pproaches</w:t>
                  </w:r>
                </w:p>
                <w:p w14:paraId="1EF1069C" w14:textId="5E980AF4" w:rsidR="005674C7" w:rsidRPr="002E3639" w:rsidRDefault="005674C7" w:rsidP="005674C7">
                  <w:pPr>
                    <w:pStyle w:val="Text"/>
                  </w:pPr>
                  <w:r w:rsidRPr="002E3639">
                    <w:t xml:space="preserve">The importance of culturally specific, individualised interventions is underscored across several studies. Butters et al. (2020) advocate for interventions that move away from one-size-fits-all approaches, such as the Duluth Model, in favour of methods that consider participants' demographic profiles, co-occurring issues (for </w:t>
                  </w:r>
                  <w:r w:rsidR="00387965" w:rsidRPr="002E3639">
                    <w:t>example</w:t>
                  </w:r>
                  <w:r w:rsidRPr="002E3639">
                    <w:t xml:space="preserve"> substance abuse or mental health conditions), and their readiness for change. </w:t>
                  </w:r>
                  <w:r w:rsidR="00642A80" w:rsidRPr="002E3639">
                    <w:t>Literature also highlights</w:t>
                  </w:r>
                  <w:r w:rsidRPr="002E3639">
                    <w:t xml:space="preserve"> the benefits of using typologies, such as distinguishing between </w:t>
                  </w:r>
                  <w:r w:rsidR="002E3639">
                    <w:t>‘</w:t>
                  </w:r>
                  <w:r w:rsidRPr="002E3639">
                    <w:t>family-only</w:t>
                  </w:r>
                  <w:r w:rsidR="002E3639">
                    <w:t>’</w:t>
                  </w:r>
                  <w:r w:rsidRPr="002E3639">
                    <w:t xml:space="preserve"> and </w:t>
                  </w:r>
                  <w:r w:rsidR="002E3639">
                    <w:t>‘</w:t>
                  </w:r>
                  <w:r w:rsidRPr="002E3639">
                    <w:t>generally violent</w:t>
                  </w:r>
                  <w:r w:rsidR="002E3639">
                    <w:t>’</w:t>
                  </w:r>
                  <w:r w:rsidRPr="002E3639">
                    <w:t xml:space="preserve"> offenders, to inform targeted interventions. Motivational interviewing has also proven effective in reducing resistance, particularly when tailored to each individual’s readiness to change </w:t>
                  </w:r>
                  <w:r w:rsidRPr="002E3639">
                    <w:fldChar w:fldCharType="begin"/>
                  </w:r>
                  <w:r w:rsidR="00E41D03">
                    <w:instrText xml:space="preserve"> ADDIN ZOTERO_ITEM CSL_CITATION {"citationID":"068sHkYV","properties":{"formattedCitation":"(Butters et al., 2021)","plainCitation":"(Butters et al., 2021)","noteIndex":0},"citationItems":[{"id":4738,"uris":["http://zotero.org/groups/5691188/items/HZLTW58K"],"itemData":{"id":4738,"type":"article-journal","abstract":"Intimate partner violence (IPV) remains a devastating public health issue in the United States. Given the high stakes of IPV, it is imperative that treatment provided to perpetrators be efficacious to prevent further victimization and not lull survivors into a false sense of security. Unfortunately, the historically dominant modalities of perpetrator treatment, group-based Duluth and cognitive-behavioral therapy, show small effects at best in deterring re-assault. Because of this, new directions are needed. In this article, we report on a literature review that centered on IPV perpetrator treatment. Results suggest a prominent theme in the literature is a shift from these blanket approaches to treatment based on individual need and cooccurring issues. Specifically, practitioners should be aware of (1) demographic factors affecting treatment completion and re-assault, (2) perpetrator typologies, (3) perpetrator readiness to change and use of motivation-based approaches, and (4) common individual co-occurring concerns, including substance use and mental health issues. For each of these, we discuss treatment implications and make recommendations for future research. We envision a future where the landscape of perpetrator treatment is tailored to individual treatment needs and argue that social work practitioners bring a critical person-centered perspective to IPV perpetrator treatment.","container-title":"Clinical Social Work Journal","DOI":"10.1007/s10615-020-00763-y","ISSN":"0091-1674, 1573-3343","issue":"3","journalAbbreviation":"Clin Soc Work J","language":"en","page":"391-404","source":"DOI.org (Crossref)","title":"Intimate Partner Violence Perpetrator Treatment: Tailoring Interventions to Individual Needs","title-short":"Intimate Partner Violence Perpetrator Treatment","volume":"49","author":[{"family":"Butters","given":"Robert P."},{"family":"Droubay","given":"Brian A."},{"family":"Seawright","given":"Jessica L."},{"family":"Tollefson","given":"Derrik R."},{"family":"Lundahl","given":"Brad"},{"family":"Whitaker","given":"Lauren"}],"issued":{"date-parts":[["2021",9]]}}}],"schema":"https://github.com/citation-style-language/schema/raw/master/csl-citation.json"} </w:instrText>
                  </w:r>
                  <w:r w:rsidRPr="002E3639">
                    <w:fldChar w:fldCharType="separate"/>
                  </w:r>
                  <w:r w:rsidRPr="002E3639">
                    <w:t>(Butters et al., 2021)</w:t>
                  </w:r>
                  <w:r w:rsidRPr="002E3639">
                    <w:fldChar w:fldCharType="end"/>
                  </w:r>
                  <w:r w:rsidRPr="002E3639">
                    <w:t xml:space="preserve">. This personalisation enhances program engagement and reduces recidivism, promoting safety for survivors of </w:t>
                  </w:r>
                  <w:r w:rsidR="00776E05" w:rsidRPr="002E3639">
                    <w:t>family viole</w:t>
                  </w:r>
                  <w:r w:rsidR="00582646" w:rsidRPr="002E3639">
                    <w:t>nce</w:t>
                  </w:r>
                  <w:r w:rsidR="00E300F7" w:rsidRPr="002E3639">
                    <w:t xml:space="preserve">. </w:t>
                  </w:r>
                  <w:r w:rsidRPr="002E3639">
                    <w:t xml:space="preserve">Short et al. </w:t>
                  </w:r>
                  <w:r w:rsidRPr="002E3639">
                    <w:fldChar w:fldCharType="begin"/>
                  </w:r>
                  <w:r w:rsidR="00E41D03">
                    <w:instrText xml:space="preserve"> ADDIN ZOTERO_ITEM CSL_CITATION {"citationID":"Ax2M6HAj","properties":{"formattedCitation":"(2019)","plainCitation":"(2019)","noteIndex":0},"citationItems":[{"id":4688,"uris":["http://zotero.org/groups/5691188/items/HPZJQP3G"],"itemData":{"id":4688,"type":"article-journal","abstract":"Aotearoa New Zealand’s high rates of intimate partner violence (IPV) and child abuse and neglect point to a clear need to develop and resource equitable mental health and addiction practices that are responsive both to people experiencing and using violence, and to their families. Current responses to IPV in mental health and addiction settings in Aotearoa New Zealand require a critical re-framing, from an individualistic autonomy and empowerment framework that constrains practitioners’ practice, to an understanding IPV as a form of social entrapment. Using a composite story constructed from 28 in-depth New Zealand family violence death reviews, we highlight current problematic practice and discuss alternative responses that could create safer lives for people and families. Re-framing IPV as a form of social entrapment acknowledges it as a complex social problem that requires collective steps to secure people’s safety and well-being. Importantly, a social entrapment framework encompasses interpersonal and structural forms of violence, such as the historical and intergenerational trauma of colonization and links to ongoing structural inequities for M aori (the indigenous people of Aotearoa) in Aotearoa New Zealand.","container-title":"International Journal of Mental Health Nursing","DOI":"10.1111/inm.12641","ISSN":"1445-8330, 1447-0349","issue":"5","journalAbbreviation":"Int J Mental Health Nurs","language":"en","page":"1209-1219","source":"DOI.org (Crossref)","title":"Thinking differently: Re</w:instrText>
                  </w:r>
                  <w:r w:rsidR="00E41D03">
                    <w:rPr>
                      <w:rFonts w:ascii="Cambria Math" w:hAnsi="Cambria Math" w:cs="Cambria Math"/>
                    </w:rPr>
                    <w:instrText>‐</w:instrText>
                  </w:r>
                  <w:r w:rsidR="00E41D03">
                    <w:instrText>framing family violence responsiveness in the mental health and addictions health care context","title-short":"Thinking differently","volume":"28","author":[{"family":"Short","given":"Jacqueline"},{"family":"Cram","given":"Fiona"},{"family":"Roguski","given":"Michael"},{"family":"Smith","given":"Rachel"},{"family":"Koziol</w:instrText>
                  </w:r>
                  <w:r w:rsidR="00E41D03">
                    <w:rPr>
                      <w:rFonts w:ascii="Cambria Math" w:hAnsi="Cambria Math" w:cs="Cambria Math"/>
                    </w:rPr>
                    <w:instrText>‐</w:instrText>
                  </w:r>
                  <w:r w:rsidR="00E41D03">
                    <w:instrText xml:space="preserve">McLain","given":"Jane"}],"issued":{"date-parts":[["2019",10]]}},"label":"page","suppress-author":true}],"schema":"https://github.com/citation-style-language/schema/raw/master/csl-citation.json"} </w:instrText>
                  </w:r>
                  <w:r w:rsidRPr="002E3639">
                    <w:fldChar w:fldCharType="separate"/>
                  </w:r>
                  <w:r w:rsidRPr="002E3639">
                    <w:t>(2019)</w:t>
                  </w:r>
                  <w:r w:rsidRPr="002E3639">
                    <w:fldChar w:fldCharType="end"/>
                  </w:r>
                  <w:r w:rsidRPr="002E3639">
                    <w:t xml:space="preserve"> further reinforce the need for culturally responsive approaches, particularly when working with individuals from Māori and Pasifika communities in Aotearoa New Zealand. In these cases, restorative practices and community-based healing are essential for supporting accountability without stigma. Collaborating with iwi (tribal) services and community organisations, these programs help participants address and modify harmful behaviours in culturally relevant ways, supporting a more holistic and enduring change </w:t>
                  </w:r>
                  <w:r w:rsidRPr="002E3639">
                    <w:fldChar w:fldCharType="begin"/>
                  </w:r>
                  <w:r w:rsidR="00E41D03">
                    <w:instrText xml:space="preserve"> ADDIN ZOTERO_ITEM CSL_CITATION {"citationID":"VJ4DiI8l","properties":{"formattedCitation":"(Short et al., 2019)","plainCitation":"(Short et al., 2019)","noteIndex":0},"citationItems":[{"id":4688,"uris":["http://zotero.org/groups/5691188/items/HPZJQP3G"],"itemData":{"id":4688,"type":"article-journal","abstract":"Aotearoa New Zealand’s high rates of intimate partner violence (IPV) and child abuse and neglect point to a clear need to develop and resource equitable mental health and addiction practices that are responsive both to people experiencing and using violence, and to their families. Current responses to IPV in mental health and addiction settings in Aotearoa New Zealand require a critical re-framing, from an individualistic autonomy and empowerment framework that constrains practitioners’ practice, to an understanding IPV as a form of social entrapment. Using a composite story constructed from 28 in-depth New Zealand family violence death reviews, we highlight current problematic practice and discuss alternative responses that could create safer lives for people and families. Re-framing IPV as a form of social entrapment acknowledges it as a complex social problem that requires collective steps to secure people’s safety and well-being. Importantly, a social entrapment framework encompasses interpersonal and structural forms of violence, such as the historical and intergenerational trauma of colonization and links to ongoing structural inequities for M aori (the indigenous people of Aotearoa) in Aotearoa New Zealand.","container-title":"International Journal of Mental Health Nursing","DOI":"10.1111/inm.12641","ISSN":"1445-8330, 1447-0349","issue":"5","journalAbbreviation":"Int J Mental Health Nurs","language":"en","page":"1209-1219","source":"DOI.org (Crossref)","title":"Thinking differently: Re</w:instrText>
                  </w:r>
                  <w:r w:rsidR="00E41D03">
                    <w:rPr>
                      <w:rFonts w:ascii="Cambria Math" w:hAnsi="Cambria Math" w:cs="Cambria Math"/>
                    </w:rPr>
                    <w:instrText>‐</w:instrText>
                  </w:r>
                  <w:r w:rsidR="00E41D03">
                    <w:instrText>framing family violence responsiveness in the mental health and addictions health care context","title-short":"Thinking differently","volume":"28","author":[{"family":"Short","given":"Jacqueline"},{"family":"Cram","given":"Fiona"},{"family":"Roguski","given":"Michael"},{"family":"Smith","given":"Rachel"},{"family":"Koziol</w:instrText>
                  </w:r>
                  <w:r w:rsidR="00E41D03">
                    <w:rPr>
                      <w:rFonts w:ascii="Cambria Math" w:hAnsi="Cambria Math" w:cs="Cambria Math"/>
                    </w:rPr>
                    <w:instrText>‐</w:instrText>
                  </w:r>
                  <w:r w:rsidR="00E41D03">
                    <w:instrText xml:space="preserve">McLain","given":"Jane"}],"issued":{"date-parts":[["2019",10]]}}}],"schema":"https://github.com/citation-style-language/schema/raw/master/csl-citation.json"} </w:instrText>
                  </w:r>
                  <w:r w:rsidRPr="002E3639">
                    <w:fldChar w:fldCharType="separate"/>
                  </w:r>
                  <w:r w:rsidRPr="002E3639">
                    <w:t>(Short et al., 2019)</w:t>
                  </w:r>
                  <w:r w:rsidRPr="002E3639">
                    <w:fldChar w:fldCharType="end"/>
                  </w:r>
                  <w:r w:rsidRPr="002E3639">
                    <w:t xml:space="preserve">. By fostering non-shaming, constructive </w:t>
                  </w:r>
                  <w:r w:rsidRPr="002E3639">
                    <w:lastRenderedPageBreak/>
                    <w:t>self-reflection, these programs enable participants to reframe their behaviours within the broader context of their cultural identities.</w:t>
                  </w:r>
                </w:p>
                <w:p w14:paraId="52D76BE6" w14:textId="6AA2A08B" w:rsidR="005674C7" w:rsidRDefault="005674C7" w:rsidP="005674C7">
                  <w:pPr>
                    <w:pStyle w:val="Text"/>
                  </w:pPr>
                  <w:r>
                    <w:t xml:space="preserve">MBCP service users also commented on the benefits they got from </w:t>
                  </w:r>
                  <w:r w:rsidR="00371182">
                    <w:t>individualising the approach to behaviour change</w:t>
                  </w:r>
                  <w:r>
                    <w:t>, noting that it gave them an increased understanding of how their experiences in childhood and family history impacted on their behaviour as adults.</w:t>
                  </w:r>
                </w:p>
                <w:p w14:paraId="7B717054" w14:textId="3C6A2127" w:rsidR="009F58C8" w:rsidRPr="00D93F3A" w:rsidRDefault="009F58C8" w:rsidP="00D93F3A">
                  <w:pPr>
                    <w:pBdr>
                      <w:left w:val="single" w:sz="18" w:space="4" w:color="78B800" w:themeColor="accent1"/>
                    </w:pBdr>
                    <w:tabs>
                      <w:tab w:val="left" w:pos="8080"/>
                    </w:tabs>
                    <w:spacing w:after="0"/>
                    <w:ind w:left="851" w:right="949"/>
                    <w:rPr>
                      <w:b/>
                      <w:i/>
                    </w:rPr>
                  </w:pPr>
                  <w:r w:rsidRPr="002E7992">
                    <w:rPr>
                      <w:noProof/>
                    </w:rPr>
                    <w:drawing>
                      <wp:anchor distT="0" distB="0" distL="114300" distR="114300" simplePos="0" relativeHeight="251658367" behindDoc="0" locked="1" layoutInCell="1" allowOverlap="1" wp14:anchorId="2D8E4E7F" wp14:editId="55F416D7">
                        <wp:simplePos x="0" y="0"/>
                        <wp:positionH relativeFrom="column">
                          <wp:posOffset>0</wp:posOffset>
                        </wp:positionH>
                        <wp:positionV relativeFrom="paragraph">
                          <wp:posOffset>0</wp:posOffset>
                        </wp:positionV>
                        <wp:extent cx="384810" cy="320040"/>
                        <wp:effectExtent l="0" t="0" r="0" b="3810"/>
                        <wp:wrapNone/>
                        <wp:docPr id="2054289669" name="Graphic 2054289669" descr="P3178#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289669" name="Graphic 2054289669" descr="P3178#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674C7" w:rsidRPr="001B18E2">
                    <w:rPr>
                      <w:i/>
                      <w:iCs/>
                    </w:rPr>
                    <w:t>[I was] talking about some stuff from my childhood and some things that happened with my mum when I was younger and it actually kind of opened my eyes up</w:t>
                  </w:r>
                  <w:r w:rsidR="009E6865" w:rsidRPr="001B18E2">
                    <w:rPr>
                      <w:i/>
                      <w:iCs/>
                    </w:rPr>
                    <w:t xml:space="preserve"> </w:t>
                  </w:r>
                  <w:r w:rsidR="009E6865">
                    <w:rPr>
                      <w:i/>
                      <w:iCs/>
                    </w:rPr>
                    <w:t>[…]</w:t>
                  </w:r>
                  <w:r w:rsidR="005674C7" w:rsidRPr="001B18E2">
                    <w:rPr>
                      <w:i/>
                      <w:iCs/>
                    </w:rPr>
                    <w:t xml:space="preserve"> </w:t>
                  </w:r>
                  <w:r w:rsidR="00C03F67">
                    <w:rPr>
                      <w:i/>
                      <w:iCs/>
                    </w:rPr>
                    <w:t>T</w:t>
                  </w:r>
                  <w:r w:rsidR="005674C7" w:rsidRPr="001B18E2">
                    <w:rPr>
                      <w:i/>
                      <w:iCs/>
                    </w:rPr>
                    <w:t xml:space="preserve">here's a lot of </w:t>
                  </w:r>
                  <w:r w:rsidR="00147891">
                    <w:rPr>
                      <w:i/>
                      <w:iCs/>
                    </w:rPr>
                    <w:t>[</w:t>
                  </w:r>
                  <w:r w:rsidR="00DE6279">
                    <w:rPr>
                      <w:i/>
                      <w:iCs/>
                    </w:rPr>
                    <w:t>…</w:t>
                  </w:r>
                  <w:r w:rsidR="00147891">
                    <w:rPr>
                      <w:i/>
                      <w:iCs/>
                    </w:rPr>
                    <w:t>]</w:t>
                  </w:r>
                  <w:r w:rsidR="005674C7" w:rsidRPr="001B18E2">
                    <w:rPr>
                      <w:i/>
                      <w:iCs/>
                    </w:rPr>
                    <w:t xml:space="preserve"> trauma that I experienced back then that I can still feel that, but don't even realise it</w:t>
                  </w:r>
                  <w:r w:rsidR="005674C7">
                    <w:rPr>
                      <w:i/>
                      <w:iCs/>
                    </w:rPr>
                    <w:t xml:space="preserve"> […] [I] </w:t>
                  </w:r>
                  <w:r w:rsidR="005674C7" w:rsidRPr="001B18E2">
                    <w:rPr>
                      <w:i/>
                      <w:iCs/>
                    </w:rPr>
                    <w:t>wasn't expecting to go through something like that in a course like this</w:t>
                  </w:r>
                  <w:r w:rsidR="005674C7">
                    <w:rPr>
                      <w:i/>
                      <w:iCs/>
                    </w:rPr>
                    <w:t xml:space="preserve"> […] [It]</w:t>
                  </w:r>
                  <w:r w:rsidR="005674C7" w:rsidRPr="001B18E2">
                    <w:rPr>
                      <w:i/>
                      <w:iCs/>
                    </w:rPr>
                    <w:t xml:space="preserve"> also made me think about the way that my mum was treated by her ex-partner and the behaviours that I portray and have portrayed, and the fact that some of that's probably learned behaviours and the fact that like it was like a normal when I was a kid</w:t>
                  </w:r>
                  <w:r w:rsidR="005674C7">
                    <w:rPr>
                      <w:i/>
                      <w:iCs/>
                    </w:rPr>
                    <w:t xml:space="preserve"> </w:t>
                  </w:r>
                  <w:r w:rsidR="005674C7" w:rsidRPr="002E7992">
                    <w:rPr>
                      <w:b/>
                      <w:bCs/>
                      <w:i/>
                      <w:iCs/>
                    </w:rPr>
                    <w:t>–</w:t>
                  </w:r>
                  <w:r w:rsidR="005674C7">
                    <w:rPr>
                      <w:b/>
                      <w:bCs/>
                      <w:i/>
                      <w:iCs/>
                    </w:rPr>
                    <w:t xml:space="preserve"> MBCP</w:t>
                  </w:r>
                  <w:r w:rsidR="005674C7" w:rsidRPr="002E7992">
                    <w:rPr>
                      <w:b/>
                      <w:bCs/>
                      <w:i/>
                      <w:iCs/>
                    </w:rPr>
                    <w:t xml:space="preserve"> </w:t>
                  </w:r>
                  <w:r w:rsidR="005674C7">
                    <w:rPr>
                      <w:b/>
                      <w:bCs/>
                      <w:i/>
                      <w:iCs/>
                    </w:rPr>
                    <w:t xml:space="preserve">service user </w:t>
                  </w:r>
                </w:p>
                <w:p w14:paraId="6E150619" w14:textId="5122F3B5" w:rsidR="005674C7" w:rsidRPr="009C7D7C" w:rsidRDefault="005674C7" w:rsidP="004D18B0">
                  <w:pPr>
                    <w:pStyle w:val="Heading3"/>
                    <w:ind w:left="1276" w:hanging="1276"/>
                  </w:pPr>
                  <w:bookmarkStart w:id="478" w:name="_Ref205303865"/>
                  <w:r w:rsidRPr="009C7D7C">
                    <w:t>Addressing the needs of Aboriginal and Torres Strait Islander communities</w:t>
                  </w:r>
                  <w:bookmarkEnd w:id="478"/>
                </w:p>
                <w:p w14:paraId="06B222F6" w14:textId="2E75C14B" w:rsidR="00DB45A5" w:rsidRDefault="00E50ED2" w:rsidP="00FD3EE1">
                  <w:pPr>
                    <w:pStyle w:val="Text"/>
                  </w:pPr>
                  <w:r>
                    <w:t xml:space="preserve">Aboriginal and Torres Strait Islander people are a priority cohort for FaRS and SFVS service delivery. </w:t>
                  </w:r>
                  <w:r w:rsidR="00575B10">
                    <w:t xml:space="preserve">The FaRS and SFVS </w:t>
                  </w:r>
                  <w:r w:rsidR="008802D8">
                    <w:t xml:space="preserve">programs </w:t>
                  </w:r>
                  <w:r w:rsidR="00EA739F">
                    <w:t>are well-positioned to contribute to the achievement of priority reforms and outcomes for Aboriginal and Torres Strait Islander people</w:t>
                  </w:r>
                  <w:r w:rsidR="00D52990">
                    <w:t xml:space="preserve">, including the </w:t>
                  </w:r>
                  <w:hyperlink r:id="rId92" w:history="1">
                    <w:r w:rsidR="00D52990" w:rsidRPr="009C0F6E">
                      <w:rPr>
                        <w:rStyle w:val="Hyperlink"/>
                        <w:rFonts w:asciiTheme="minorHAnsi" w:hAnsiTheme="minorHAnsi"/>
                        <w:b/>
                        <w:i/>
                        <w:color w:val="007E00" w:themeColor="accent3"/>
                      </w:rPr>
                      <w:t>National Agreement on Closing the Gap</w:t>
                    </w:r>
                  </w:hyperlink>
                  <w:r w:rsidR="00537A40" w:rsidRPr="00253268">
                    <w:rPr>
                      <w:i/>
                      <w:iCs/>
                    </w:rPr>
                    <w:t xml:space="preserve"> </w:t>
                  </w:r>
                  <w:r w:rsidR="00537A40">
                    <w:t xml:space="preserve">and the </w:t>
                  </w:r>
                  <w:hyperlink r:id="rId93" w:history="1">
                    <w:r w:rsidR="00537A40" w:rsidRPr="00253268">
                      <w:rPr>
                        <w:rStyle w:val="Hyperlink"/>
                        <w:rFonts w:asciiTheme="minorHAnsi" w:hAnsiTheme="minorHAnsi"/>
                        <w:b/>
                        <w:i/>
                        <w:color w:val="007E00" w:themeColor="accent3"/>
                      </w:rPr>
                      <w:t>Aboriginal and Torres Strait Islander Action Plan 2023–2025</w:t>
                    </w:r>
                  </w:hyperlink>
                  <w:r w:rsidR="00537A40" w:rsidRPr="00253268">
                    <w:rPr>
                      <w:i/>
                      <w:iCs/>
                    </w:rPr>
                    <w:t xml:space="preserve"> </w:t>
                  </w:r>
                  <w:r w:rsidR="00537A40" w:rsidRPr="008F58E4">
                    <w:t xml:space="preserve">under the </w:t>
                  </w:r>
                  <w:hyperlink r:id="rId94" w:history="1">
                    <w:r w:rsidR="00537A40" w:rsidRPr="009C0F6E">
                      <w:rPr>
                        <w:rStyle w:val="Hyperlink"/>
                        <w:rFonts w:asciiTheme="minorHAnsi" w:hAnsiTheme="minorHAnsi"/>
                        <w:b/>
                        <w:i/>
                        <w:color w:val="007E00" w:themeColor="accent3"/>
                      </w:rPr>
                      <w:t>National Plan to End Violence against Women and Children 2022–2032</w:t>
                    </w:r>
                  </w:hyperlink>
                  <w:r w:rsidR="00EA739F" w:rsidRPr="008F58E4">
                    <w:t>.</w:t>
                  </w:r>
                  <w:r w:rsidR="00EA739F">
                    <w:t xml:space="preserve"> In particular, the objectives of FaRS and SFVS align with</w:t>
                  </w:r>
                  <w:r w:rsidR="0086763C">
                    <w:t>:</w:t>
                  </w:r>
                </w:p>
                <w:p w14:paraId="0FF64D75" w14:textId="4D82851C" w:rsidR="0086763C" w:rsidRDefault="0086763C" w:rsidP="0003324B">
                  <w:pPr>
                    <w:pStyle w:val="Bullet1"/>
                  </w:pPr>
                  <w:r>
                    <w:t xml:space="preserve">Closing the Gap Outcome 13: </w:t>
                  </w:r>
                  <w:r w:rsidRPr="0086763C">
                    <w:t>Aboriginal and Torres Strait Islander families and households are safe</w:t>
                  </w:r>
                  <w:r>
                    <w:t xml:space="preserve"> (Target: </w:t>
                  </w:r>
                  <w:r w:rsidRPr="0086763C">
                    <w:t>By 2031, the rate of all forms of family violence and abuse against Aboriginal and Torres Strait Islander women and children is reduced at least by 50%, as progress towards zero</w:t>
                  </w:r>
                  <w:r>
                    <w:t>)</w:t>
                  </w:r>
                </w:p>
                <w:p w14:paraId="0D55729C" w14:textId="26744C51" w:rsidR="0086763C" w:rsidRDefault="004E7F02" w:rsidP="0003324B">
                  <w:pPr>
                    <w:pStyle w:val="Bullet1"/>
                  </w:pPr>
                  <w:r>
                    <w:t>Closing the Gap Outcome 4: Children thrive in their early years</w:t>
                  </w:r>
                </w:p>
                <w:p w14:paraId="6938E1FA" w14:textId="5317CD61" w:rsidR="004E7F02" w:rsidRDefault="004E7F02" w:rsidP="0003324B">
                  <w:pPr>
                    <w:pStyle w:val="Bullet1"/>
                  </w:pPr>
                  <w:r>
                    <w:t>Closing the Gap Outcome 14: People enjoy high levels of social an</w:t>
                  </w:r>
                  <w:r w:rsidR="008D1900">
                    <w:t>d</w:t>
                  </w:r>
                  <w:r>
                    <w:t xml:space="preserve"> emotional wellbeing</w:t>
                  </w:r>
                  <w:r w:rsidR="00385700">
                    <w:t>.</w:t>
                  </w:r>
                </w:p>
                <w:p w14:paraId="0E6E18CD" w14:textId="68260124" w:rsidR="00FD3EE1" w:rsidRPr="001537DA" w:rsidRDefault="00FD3EE1" w:rsidP="00FD3EE1">
                  <w:pPr>
                    <w:pStyle w:val="Text"/>
                    <w:rPr>
                      <w:lang w:val="en-AU"/>
                    </w:rPr>
                  </w:pPr>
                  <w:r>
                    <w:t>Under the SFVS Operational Guidelines</w:t>
                  </w:r>
                  <w:r w:rsidR="00D93F3A">
                    <w:t xml:space="preserve"> </w:t>
                  </w:r>
                  <w:r w:rsidR="001537DA" w:rsidRPr="001537DA">
                    <w:rPr>
                      <w:lang w:val="en-AU"/>
                    </w:rPr>
                    <w:fldChar w:fldCharType="begin"/>
                  </w:r>
                  <w:r w:rsidR="00E41D03">
                    <w:rPr>
                      <w:lang w:val="en-AU"/>
                    </w:rPr>
                    <w:instrText xml:space="preserve"> ADDIN ZOTERO_ITEM CSL_CITATION {"citationID":"tt7lVPQg","properties":{"formattedCitation":"(Department of Social Services, 2021a)","plainCitation":"(Department of Social Services, 2021a)","noteIndex":0},"citationItems":[{"id":4671,"uris":["http://zotero.org/groups/5691188/items/8PWCMD8P"],"itemData":{"id":4671,"type":"document","title":"Family and Relationship Services Operational Guidelines","author":[{"family":"Department of Social Services","given":""}],"issued":{"date-parts":[["2021",7,1]]}}}],"schema":"https://github.com/citation-style-language/schema/raw/master/csl-citation.json"} </w:instrText>
                  </w:r>
                  <w:r w:rsidR="001537DA" w:rsidRPr="001537DA">
                    <w:rPr>
                      <w:lang w:val="en-AU"/>
                    </w:rPr>
                    <w:fldChar w:fldCharType="separate"/>
                  </w:r>
                  <w:r w:rsidR="001537DA" w:rsidRPr="001537DA">
                    <w:t>(Department of Social Services, 2021a)</w:t>
                  </w:r>
                  <w:r w:rsidR="001537DA" w:rsidRPr="001537DA">
                    <w:fldChar w:fldCharType="end"/>
                  </w:r>
                  <w:r w:rsidRPr="001D4476">
                    <w:t>, Aboriginal</w:t>
                  </w:r>
                  <w:r>
                    <w:t xml:space="preserve"> and Torres Strait Islander people must be given access </w:t>
                  </w:r>
                  <w:r w:rsidR="00EB4442">
                    <w:t>to</w:t>
                  </w:r>
                  <w:r>
                    <w:t xml:space="preserve"> services funded under the program. While the FaRS Operational Guidelines</w:t>
                  </w:r>
                  <w:r w:rsidR="001D4476">
                    <w:t xml:space="preserve"> </w:t>
                  </w:r>
                  <w:r w:rsidR="00D82C83" w:rsidRPr="006B1808">
                    <w:rPr>
                      <w:lang w:val="en-AU"/>
                    </w:rPr>
                    <w:fldChar w:fldCharType="begin"/>
                  </w:r>
                  <w:r w:rsidR="00E41D03">
                    <w:rPr>
                      <w:lang w:val="en-AU"/>
                    </w:rPr>
                    <w:instrText xml:space="preserve"> ADDIN ZOTERO_ITEM CSL_CITATION {"citationID":"YeWkmx8J","properties":{"formattedCitation":"(Department of Social Services, 2021b)","plainCitation":"(Department of Social Services, 2021b)","noteIndex":0},"citationItems":[{"id":4672,"uris":["http://zotero.org/groups/5691188/items/XE5X4C4F"],"itemData":{"id":4672,"type":"document","title":"Family and Relationship Services -  Specialised Family Violence Services Operational Guidelines","author":[{"family":"Department of Social Services","given":""}],"issued":{"date-parts":[["2021",7,1]]}}}],"schema":"https://github.com/citation-style-language/schema/raw/master/csl-citation.json"} </w:instrText>
                  </w:r>
                  <w:r w:rsidR="00D82C83" w:rsidRPr="006B1808">
                    <w:rPr>
                      <w:lang w:val="en-AU"/>
                    </w:rPr>
                    <w:fldChar w:fldCharType="separate"/>
                  </w:r>
                  <w:r w:rsidR="00D82C83" w:rsidRPr="006B1808">
                    <w:rPr>
                      <w:lang w:val="en-US"/>
                    </w:rPr>
                    <w:t>(Department of Social Services, 2021b)</w:t>
                  </w:r>
                  <w:r w:rsidR="00D82C83" w:rsidRPr="006B1808">
                    <w:fldChar w:fldCharType="end"/>
                  </w:r>
                  <w:r>
                    <w:t xml:space="preserve"> do not identify Aboriginal and Torres Strait Islander people as a priority cohort, both guidelines place a responsibility on </w:t>
                  </w:r>
                  <w:r w:rsidR="00543D64">
                    <w:t>service providers</w:t>
                  </w:r>
                  <w:r>
                    <w:t xml:space="preserve"> to ensure that Aboriginal and Torres Strait Islander people have equal and equitable access to services, and to work in ways that are fair, open and transparent in engaging with Aboriginal stakeholders and organisations.</w:t>
                  </w:r>
                </w:p>
                <w:p w14:paraId="53704F39" w14:textId="0B4C709E" w:rsidR="00D05D25" w:rsidRDefault="00E86428" w:rsidP="00FD3EE1">
                  <w:pPr>
                    <w:pStyle w:val="Text"/>
                    <w:rPr>
                      <w:lang w:val="en-US"/>
                    </w:rPr>
                  </w:pPr>
                  <w:r>
                    <w:t>B</w:t>
                  </w:r>
                  <w:r w:rsidR="004C1F97">
                    <w:t xml:space="preserve">etween </w:t>
                  </w:r>
                  <w:r w:rsidR="004C1F97" w:rsidRPr="00BF5122">
                    <w:rPr>
                      <w:lang w:val="en-US"/>
                    </w:rPr>
                    <w:t>2021-22 to 2023-24</w:t>
                  </w:r>
                  <w:r w:rsidR="001D4476">
                    <w:rPr>
                      <w:lang w:val="en-US"/>
                    </w:rPr>
                    <w:t>,</w:t>
                  </w:r>
                  <w:r w:rsidR="004C1F97">
                    <w:rPr>
                      <w:lang w:val="en-US"/>
                    </w:rPr>
                    <w:t xml:space="preserve"> </w:t>
                  </w:r>
                  <w:r>
                    <w:rPr>
                      <w:lang w:val="en-US"/>
                    </w:rPr>
                    <w:t xml:space="preserve">an average of </w:t>
                  </w:r>
                  <w:r w:rsidR="00E121D2">
                    <w:rPr>
                      <w:lang w:val="en-US"/>
                    </w:rPr>
                    <w:t>5.4</w:t>
                  </w:r>
                  <w:r w:rsidR="004C1F97">
                    <w:rPr>
                      <w:lang w:val="en-US"/>
                    </w:rPr>
                    <w:t xml:space="preserve">% of FaRS </w:t>
                  </w:r>
                  <w:r w:rsidR="005072EF">
                    <w:rPr>
                      <w:lang w:val="en-US"/>
                    </w:rPr>
                    <w:t xml:space="preserve">service users </w:t>
                  </w:r>
                  <w:r w:rsidR="00E7409E">
                    <w:rPr>
                      <w:lang w:val="en-US"/>
                    </w:rPr>
                    <w:t>and 1</w:t>
                  </w:r>
                  <w:r w:rsidR="00E121D2">
                    <w:rPr>
                      <w:lang w:val="en-US"/>
                    </w:rPr>
                    <w:t>2</w:t>
                  </w:r>
                  <w:r w:rsidR="00E7409E">
                    <w:rPr>
                      <w:lang w:val="en-US"/>
                    </w:rPr>
                    <w:t xml:space="preserve">.5% of SFVS </w:t>
                  </w:r>
                  <w:r w:rsidR="005072EF">
                    <w:rPr>
                      <w:lang w:val="en-US"/>
                    </w:rPr>
                    <w:t xml:space="preserve">service users </w:t>
                  </w:r>
                  <w:r w:rsidR="004C1F97">
                    <w:rPr>
                      <w:lang w:val="en-US"/>
                    </w:rPr>
                    <w:t>identified as Aboriginal and/or Torres Strait Islander</w:t>
                  </w:r>
                  <w:r w:rsidR="34BAFF46" w:rsidRPr="24C090A8">
                    <w:rPr>
                      <w:lang w:val="en-US"/>
                    </w:rPr>
                    <w:t xml:space="preserve">. </w:t>
                  </w:r>
                  <w:r w:rsidR="00DB45A5">
                    <w:rPr>
                      <w:lang w:val="en-US"/>
                    </w:rPr>
                    <w:t xml:space="preserve">This suggests that </w:t>
                  </w:r>
                  <w:r w:rsidR="00D87B92">
                    <w:rPr>
                      <w:lang w:val="en-US"/>
                    </w:rPr>
                    <w:t xml:space="preserve">– overall </w:t>
                  </w:r>
                  <w:r w:rsidR="0032227D">
                    <w:rPr>
                      <w:lang w:val="en-US"/>
                    </w:rPr>
                    <w:lastRenderedPageBreak/>
                    <w:t>–</w:t>
                  </w:r>
                  <w:r w:rsidR="00D87B92">
                    <w:rPr>
                      <w:lang w:val="en-US"/>
                    </w:rPr>
                    <w:t xml:space="preserve"> </w:t>
                  </w:r>
                  <w:r w:rsidR="0032227D">
                    <w:rPr>
                      <w:lang w:val="en-US"/>
                    </w:rPr>
                    <w:t xml:space="preserve">both programs are </w:t>
                  </w:r>
                  <w:r w:rsidR="00DE416B">
                    <w:rPr>
                      <w:lang w:val="en-US"/>
                    </w:rPr>
                    <w:t>reaching Aboriginal and/or Torres Strait Islander people and communities as intended.</w:t>
                  </w:r>
                </w:p>
                <w:p w14:paraId="7A3AA718" w14:textId="77777777" w:rsidR="00E968C5" w:rsidRDefault="00E968C5" w:rsidP="00FD3EE1">
                  <w:pPr>
                    <w:pStyle w:val="Text"/>
                    <w:rPr>
                      <w:lang w:val="en-US"/>
                    </w:rPr>
                  </w:pPr>
                </w:p>
                <w:p w14:paraId="363D5283" w14:textId="77777777" w:rsidR="00E968C5" w:rsidRDefault="00E968C5" w:rsidP="00FD3EE1">
                  <w:pPr>
                    <w:pStyle w:val="Text"/>
                    <w:rPr>
                      <w:lang w:val="en-US"/>
                    </w:rPr>
                  </w:pPr>
                </w:p>
                <w:p w14:paraId="45679F04" w14:textId="3AD13960" w:rsidR="00FD3EE1" w:rsidRPr="000C09BF" w:rsidRDefault="00682F7E" w:rsidP="00321BC5">
                  <w:pPr>
                    <w:pStyle w:val="Text"/>
                    <w:spacing w:before="360"/>
                  </w:pPr>
                  <w:r w:rsidRPr="00321BC5">
                    <w:rPr>
                      <w:b/>
                      <w:color w:val="36424A" w:themeColor="background2"/>
                    </w:rPr>
                    <w:t>Outcomes for Aboriginal and/or Torres Strait Islander service users</w:t>
                  </w:r>
                </w:p>
                <w:p w14:paraId="5CCC54FA" w14:textId="11C5D9AE" w:rsidR="00DA6120" w:rsidRDefault="00626FF8" w:rsidP="00626FF8">
                  <w:pPr>
                    <w:pStyle w:val="Text"/>
                    <w:rPr>
                      <w:lang w:val="en-US"/>
                    </w:rPr>
                  </w:pPr>
                  <w:r w:rsidRPr="00626FF8">
                    <w:rPr>
                      <w:lang w:val="en-US"/>
                    </w:rPr>
                    <w:t xml:space="preserve">There is </w:t>
                  </w:r>
                  <w:r w:rsidR="005B3AB5">
                    <w:rPr>
                      <w:lang w:val="en-US"/>
                    </w:rPr>
                    <w:t xml:space="preserve">some </w:t>
                  </w:r>
                  <w:r w:rsidRPr="00626FF8">
                    <w:rPr>
                      <w:lang w:val="en-US"/>
                    </w:rPr>
                    <w:t xml:space="preserve">evidence that </w:t>
                  </w:r>
                  <w:r w:rsidR="005B3AB5">
                    <w:rPr>
                      <w:lang w:val="en-US"/>
                    </w:rPr>
                    <w:t xml:space="preserve">both FaRS and SFVS are leading to positive </w:t>
                  </w:r>
                  <w:r w:rsidRPr="00626FF8">
                    <w:rPr>
                      <w:lang w:val="en-US"/>
                    </w:rPr>
                    <w:t xml:space="preserve">outcomes for </w:t>
                  </w:r>
                  <w:r w:rsidRPr="00626FF8">
                    <w:t xml:space="preserve">Aboriginal and/or Torres Strait Islander </w:t>
                  </w:r>
                  <w:r w:rsidR="004E477E" w:rsidRPr="00626FF8">
                    <w:t>service user</w:t>
                  </w:r>
                  <w:r w:rsidR="004E477E" w:rsidRPr="00682F7E">
                    <w:t>s</w:t>
                  </w:r>
                  <w:r w:rsidR="004E477E">
                    <w:t>.</w:t>
                  </w:r>
                  <w:r>
                    <w:t xml:space="preserve"> </w:t>
                  </w:r>
                  <w:r w:rsidRPr="00626FF8">
                    <w:rPr>
                      <w:lang w:val="en-US"/>
                    </w:rPr>
                    <w:t xml:space="preserve">The mean </w:t>
                  </w:r>
                  <w:r w:rsidR="00447E5C">
                    <w:rPr>
                      <w:lang w:val="en-US"/>
                    </w:rPr>
                    <w:t>change</w:t>
                  </w:r>
                  <w:r w:rsidRPr="00626FF8">
                    <w:rPr>
                      <w:lang w:val="en-US"/>
                    </w:rPr>
                    <w:t xml:space="preserve"> in SCORE </w:t>
                  </w:r>
                  <w:r w:rsidR="007F18A8">
                    <w:rPr>
                      <w:lang w:val="en-US"/>
                    </w:rPr>
                    <w:t xml:space="preserve">outcomes </w:t>
                  </w:r>
                  <w:r w:rsidR="00447E5C" w:rsidRPr="00626FF8">
                    <w:rPr>
                      <w:lang w:val="en-US"/>
                    </w:rPr>
                    <w:t xml:space="preserve">for Aboriginal and/or Torres Strait Islander FaRS </w:t>
                  </w:r>
                  <w:r w:rsidR="005072EF">
                    <w:rPr>
                      <w:lang w:val="en-US"/>
                    </w:rPr>
                    <w:t xml:space="preserve">service users </w:t>
                  </w:r>
                  <w:r w:rsidR="00447E5C">
                    <w:rPr>
                      <w:lang w:val="en-US"/>
                    </w:rPr>
                    <w:t xml:space="preserve">is positive </w:t>
                  </w:r>
                  <w:r w:rsidRPr="00626FF8">
                    <w:rPr>
                      <w:lang w:val="en-US"/>
                    </w:rPr>
                    <w:t xml:space="preserve">across </w:t>
                  </w:r>
                  <w:r w:rsidR="00447E5C">
                    <w:rPr>
                      <w:lang w:val="en-US"/>
                    </w:rPr>
                    <w:t>all SCORE domains</w:t>
                  </w:r>
                  <w:r w:rsidR="00696482">
                    <w:rPr>
                      <w:lang w:val="en-US"/>
                    </w:rPr>
                    <w:t xml:space="preserve"> (see </w:t>
                  </w:r>
                  <w:r w:rsidR="009319BF" w:rsidRPr="009319BF">
                    <w:rPr>
                      <w:b/>
                      <w:bCs/>
                    </w:rPr>
                    <w:fldChar w:fldCharType="begin" w:fldLock="1"/>
                  </w:r>
                  <w:r w:rsidR="009319BF" w:rsidRPr="009319BF">
                    <w:rPr>
                      <w:b/>
                      <w:bCs/>
                      <w:lang w:val="en-US"/>
                    </w:rPr>
                    <w:instrText xml:space="preserve"> REF _Ref208573904 \h </w:instrText>
                  </w:r>
                  <w:r w:rsidR="009319BF" w:rsidRPr="009319BF">
                    <w:rPr>
                      <w:b/>
                      <w:bCs/>
                    </w:rPr>
                    <w:instrText xml:space="preserve"> \* MERGEFORMAT </w:instrText>
                  </w:r>
                  <w:r w:rsidR="009319BF" w:rsidRPr="009319BF">
                    <w:rPr>
                      <w:b/>
                      <w:bCs/>
                    </w:rPr>
                  </w:r>
                  <w:r w:rsidR="009319BF" w:rsidRPr="009319BF">
                    <w:rPr>
                      <w:b/>
                      <w:bCs/>
                    </w:rPr>
                    <w:fldChar w:fldCharType="separate"/>
                  </w:r>
                  <w:r w:rsidR="008F22E5" w:rsidRPr="008F22E5">
                    <w:rPr>
                      <w:b/>
                      <w:bCs/>
                    </w:rPr>
                    <w:t xml:space="preserve">Table </w:t>
                  </w:r>
                  <w:r w:rsidR="008F22E5" w:rsidRPr="008F22E5">
                    <w:rPr>
                      <w:b/>
                      <w:bCs/>
                      <w:noProof/>
                    </w:rPr>
                    <w:t>34</w:t>
                  </w:r>
                  <w:r w:rsidR="009319BF" w:rsidRPr="009319BF">
                    <w:rPr>
                      <w:b/>
                      <w:bCs/>
                    </w:rPr>
                    <w:fldChar w:fldCharType="end"/>
                  </w:r>
                  <w:r w:rsidR="00696482" w:rsidRPr="004D0875">
                    <w:t>)</w:t>
                  </w:r>
                  <w:r w:rsidR="00447E5C">
                    <w:rPr>
                      <w:lang w:val="en-US"/>
                    </w:rPr>
                    <w:t xml:space="preserve">. </w:t>
                  </w:r>
                </w:p>
                <w:p w14:paraId="1063F874" w14:textId="3DB6786A" w:rsidR="00FE6D21" w:rsidRDefault="00FE6D21" w:rsidP="00253034">
                  <w:pPr>
                    <w:pStyle w:val="TableFigure-Header"/>
                    <w:spacing w:line="276" w:lineRule="auto"/>
                    <w:jc w:val="both"/>
                  </w:pPr>
                  <w:bookmarkStart w:id="479" w:name="_Ref208573904"/>
                  <w:r w:rsidRPr="4747A340">
                    <w:rPr>
                      <w:lang w:val="en-NZ"/>
                    </w:rPr>
                    <w:t xml:space="preserve">Table </w:t>
                  </w:r>
                  <w:r w:rsidR="008D2566">
                    <w:fldChar w:fldCharType="begin"/>
                  </w:r>
                  <w:r w:rsidR="008D2566">
                    <w:instrText xml:space="preserve"> SEQ Table \* ARABIC </w:instrText>
                  </w:r>
                  <w:r w:rsidR="008D2566">
                    <w:fldChar w:fldCharType="separate"/>
                  </w:r>
                  <w:r w:rsidR="008D2566">
                    <w:rPr>
                      <w:noProof/>
                    </w:rPr>
                    <w:t>34</w:t>
                  </w:r>
                  <w:r w:rsidR="008D2566">
                    <w:rPr>
                      <w:noProof/>
                    </w:rPr>
                    <w:fldChar w:fldCharType="end"/>
                  </w:r>
                  <w:bookmarkEnd w:id="479"/>
                  <w:r w:rsidRPr="4747A340">
                    <w:rPr>
                      <w:lang w:val="en-NZ"/>
                    </w:rPr>
                    <w:t xml:space="preserve">: Earliest to latest mean SCORE change </w:t>
                  </w:r>
                  <w:r w:rsidR="00400EA2" w:rsidRPr="4747A340">
                    <w:rPr>
                      <w:lang w:val="en-NZ"/>
                    </w:rPr>
                    <w:t xml:space="preserve">and percentage of service users with a positive SCORE change for Goal outcomes by </w:t>
                  </w:r>
                  <w:r w:rsidR="008D05AB" w:rsidRPr="4747A340">
                    <w:rPr>
                      <w:lang w:val="en-NZ"/>
                    </w:rPr>
                    <w:t>Aboriginal and Torres Strait Isander status</w:t>
                  </w:r>
                  <w:r w:rsidR="00400EA2" w:rsidRPr="4747A340">
                    <w:rPr>
                      <w:lang w:val="en-NZ"/>
                    </w:rPr>
                    <w:t>, FaRS and SFVS</w:t>
                  </w:r>
                </w:p>
                <w:tbl>
                  <w:tblPr>
                    <w:tblStyle w:val="ACTableDesign11"/>
                    <w:tblW w:w="8935" w:type="dxa"/>
                    <w:tblInd w:w="0" w:type="dxa"/>
                    <w:tblLook w:val="04A0" w:firstRow="1" w:lastRow="0" w:firstColumn="1" w:lastColumn="0" w:noHBand="0" w:noVBand="1"/>
                  </w:tblPr>
                  <w:tblGrid>
                    <w:gridCol w:w="1131"/>
                    <w:gridCol w:w="1276"/>
                    <w:gridCol w:w="2568"/>
                    <w:gridCol w:w="964"/>
                    <w:gridCol w:w="963"/>
                    <w:gridCol w:w="2033"/>
                  </w:tblGrid>
                  <w:tr w:rsidR="00344353" w:rsidRPr="00DD1232" w14:paraId="27A6A225" w14:textId="77777777" w:rsidTr="00785EAC">
                    <w:trPr>
                      <w:cnfStyle w:val="100000000000" w:firstRow="1" w:lastRow="0" w:firstColumn="0" w:lastColumn="0" w:oddVBand="0" w:evenVBand="0" w:oddHBand="0"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131" w:type="dxa"/>
                        <w:tcBorders>
                          <w:top w:val="single" w:sz="2" w:space="0" w:color="36424A" w:themeColor="accent2"/>
                          <w:left w:val="single" w:sz="2" w:space="0" w:color="36424A" w:themeColor="accent2"/>
                          <w:bottom w:val="single" w:sz="2" w:space="0" w:color="36424A" w:themeColor="accent2"/>
                          <w:right w:val="single" w:sz="2" w:space="0" w:color="36424A" w:themeColor="accent2"/>
                        </w:tcBorders>
                        <w:shd w:val="clear" w:color="auto" w:fill="007E00" w:themeFill="accent3"/>
                        <w:noWrap/>
                        <w:hideMark/>
                      </w:tcPr>
                      <w:p w14:paraId="5D122EAC" w14:textId="77777777" w:rsidR="00DD1232" w:rsidRPr="00DD1232" w:rsidRDefault="00DD1232" w:rsidP="00D63E8D">
                        <w:pPr>
                          <w:pStyle w:val="TableText"/>
                        </w:pPr>
                        <w:r w:rsidRPr="00DD1232">
                          <w:t>Activity</w:t>
                        </w:r>
                      </w:p>
                    </w:tc>
                    <w:tc>
                      <w:tcPr>
                        <w:tcW w:w="1276" w:type="dxa"/>
                        <w:tcBorders>
                          <w:top w:val="single" w:sz="2" w:space="0" w:color="36424A" w:themeColor="accent2"/>
                          <w:left w:val="single" w:sz="2" w:space="0" w:color="36424A" w:themeColor="accent2"/>
                          <w:bottom w:val="single" w:sz="2" w:space="0" w:color="36424A" w:themeColor="accent2"/>
                          <w:right w:val="single" w:sz="2" w:space="0" w:color="36424A" w:themeColor="accent2"/>
                        </w:tcBorders>
                        <w:shd w:val="clear" w:color="auto" w:fill="007E00" w:themeFill="accent3"/>
                        <w:noWrap/>
                        <w:hideMark/>
                      </w:tcPr>
                      <w:p w14:paraId="1D956310" w14:textId="38E03FC7" w:rsidR="00DD1232" w:rsidRPr="00DD1232" w:rsidRDefault="00DD1232" w:rsidP="00D63E8D">
                        <w:pPr>
                          <w:pStyle w:val="TableText"/>
                          <w:cnfStyle w:val="100000000000" w:firstRow="1" w:lastRow="0" w:firstColumn="0" w:lastColumn="0" w:oddVBand="0" w:evenVBand="0" w:oddHBand="0" w:evenHBand="0" w:firstRowFirstColumn="0" w:firstRowLastColumn="0" w:lastRowFirstColumn="0" w:lastRowLastColumn="0"/>
                        </w:pPr>
                        <w:r>
                          <w:t>Aboriginal and Torres Strait Islander</w:t>
                        </w:r>
                      </w:p>
                    </w:tc>
                    <w:tc>
                      <w:tcPr>
                        <w:tcW w:w="2568" w:type="dxa"/>
                        <w:tcBorders>
                          <w:top w:val="single" w:sz="2" w:space="0" w:color="36424A" w:themeColor="accent2"/>
                          <w:left w:val="single" w:sz="2" w:space="0" w:color="36424A" w:themeColor="accent2"/>
                          <w:bottom w:val="single" w:sz="2" w:space="0" w:color="36424A" w:themeColor="accent2"/>
                          <w:right w:val="single" w:sz="2" w:space="0" w:color="36424A" w:themeColor="accent2"/>
                        </w:tcBorders>
                        <w:shd w:val="clear" w:color="auto" w:fill="007E00" w:themeFill="accent3"/>
                        <w:noWrap/>
                        <w:hideMark/>
                      </w:tcPr>
                      <w:p w14:paraId="070629D8" w14:textId="77777777" w:rsidR="00DD1232" w:rsidRPr="00DD1232" w:rsidRDefault="00DD1232" w:rsidP="00D63E8D">
                        <w:pPr>
                          <w:pStyle w:val="TableText"/>
                          <w:cnfStyle w:val="100000000000" w:firstRow="1" w:lastRow="0" w:firstColumn="0" w:lastColumn="0" w:oddVBand="0" w:evenVBand="0" w:oddHBand="0" w:evenHBand="0" w:firstRowFirstColumn="0" w:firstRowLastColumn="0" w:lastRowFirstColumn="0" w:lastRowLastColumn="0"/>
                        </w:pPr>
                        <w:r w:rsidRPr="00DD1232">
                          <w:t>Outcome Type</w:t>
                        </w:r>
                      </w:p>
                    </w:tc>
                    <w:tc>
                      <w:tcPr>
                        <w:tcW w:w="964" w:type="dxa"/>
                        <w:tcBorders>
                          <w:top w:val="single" w:sz="2" w:space="0" w:color="36424A" w:themeColor="accent2"/>
                          <w:left w:val="single" w:sz="2" w:space="0" w:color="36424A" w:themeColor="accent2"/>
                          <w:bottom w:val="single" w:sz="2" w:space="0" w:color="36424A" w:themeColor="accent2"/>
                          <w:right w:val="single" w:sz="2" w:space="0" w:color="36424A" w:themeColor="accent2"/>
                        </w:tcBorders>
                        <w:shd w:val="clear" w:color="auto" w:fill="007E00" w:themeFill="accent3"/>
                        <w:noWrap/>
                        <w:hideMark/>
                      </w:tcPr>
                      <w:p w14:paraId="127FEC75" w14:textId="4BD86306" w:rsidR="00DD1232" w:rsidRPr="00DD1232" w:rsidRDefault="00DD1232" w:rsidP="00D63E8D">
                        <w:pPr>
                          <w:pStyle w:val="TableText"/>
                          <w:cnfStyle w:val="100000000000" w:firstRow="1" w:lastRow="0" w:firstColumn="0" w:lastColumn="0" w:oddVBand="0" w:evenVBand="0" w:oddHBand="0" w:evenHBand="0" w:firstRowFirstColumn="0" w:firstRowLastColumn="0" w:lastRowFirstColumn="0" w:lastRowLastColumn="0"/>
                        </w:pPr>
                        <w:r>
                          <w:t xml:space="preserve">Service users </w:t>
                        </w:r>
                        <w:r w:rsidRPr="00DD1232">
                          <w:t>(</w:t>
                        </w:r>
                        <w:r>
                          <w:t xml:space="preserve">n=) </w:t>
                        </w:r>
                      </w:p>
                    </w:tc>
                    <w:tc>
                      <w:tcPr>
                        <w:tcW w:w="963" w:type="dxa"/>
                        <w:tcBorders>
                          <w:top w:val="single" w:sz="2" w:space="0" w:color="36424A" w:themeColor="accent2"/>
                          <w:left w:val="single" w:sz="2" w:space="0" w:color="36424A" w:themeColor="accent2"/>
                          <w:bottom w:val="single" w:sz="2" w:space="0" w:color="36424A" w:themeColor="accent2"/>
                          <w:right w:val="single" w:sz="2" w:space="0" w:color="36424A" w:themeColor="accent2"/>
                        </w:tcBorders>
                        <w:shd w:val="clear" w:color="auto" w:fill="007E00" w:themeFill="accent3"/>
                        <w:noWrap/>
                        <w:hideMark/>
                      </w:tcPr>
                      <w:p w14:paraId="509F05B1" w14:textId="77777777" w:rsidR="00DD1232" w:rsidRPr="00DD1232" w:rsidRDefault="00DD1232" w:rsidP="00D63E8D">
                        <w:pPr>
                          <w:pStyle w:val="TableText"/>
                          <w:cnfStyle w:val="100000000000" w:firstRow="1" w:lastRow="0" w:firstColumn="0" w:lastColumn="0" w:oddVBand="0" w:evenVBand="0" w:oddHBand="0" w:evenHBand="0" w:firstRowFirstColumn="0" w:firstRowLastColumn="0" w:lastRowFirstColumn="0" w:lastRowLastColumn="0"/>
                        </w:pPr>
                        <w:r w:rsidRPr="00DD1232">
                          <w:t>SCORE change (mean)</w:t>
                        </w:r>
                      </w:p>
                    </w:tc>
                    <w:tc>
                      <w:tcPr>
                        <w:tcW w:w="2033" w:type="dxa"/>
                        <w:tcBorders>
                          <w:top w:val="single" w:sz="2" w:space="0" w:color="36424A" w:themeColor="accent2"/>
                          <w:left w:val="single" w:sz="2" w:space="0" w:color="36424A" w:themeColor="accent2"/>
                          <w:bottom w:val="single" w:sz="2" w:space="0" w:color="36424A" w:themeColor="accent2"/>
                          <w:right w:val="single" w:sz="2" w:space="0" w:color="36424A" w:themeColor="accent2"/>
                        </w:tcBorders>
                        <w:shd w:val="clear" w:color="auto" w:fill="007E00" w:themeFill="accent3"/>
                        <w:noWrap/>
                        <w:hideMark/>
                      </w:tcPr>
                      <w:p w14:paraId="7FAA322F" w14:textId="5666717D" w:rsidR="00DD1232" w:rsidRPr="00DD1232" w:rsidRDefault="00DD1232" w:rsidP="00D63E8D">
                        <w:pPr>
                          <w:pStyle w:val="TableText"/>
                          <w:cnfStyle w:val="100000000000" w:firstRow="1" w:lastRow="0" w:firstColumn="0" w:lastColumn="0" w:oddVBand="0" w:evenVBand="0" w:oddHBand="0" w:evenHBand="0" w:firstRowFirstColumn="0" w:firstRowLastColumn="0" w:lastRowFirstColumn="0" w:lastRowLastColumn="0"/>
                        </w:pPr>
                        <w:r>
                          <w:t>Service users</w:t>
                        </w:r>
                        <w:r w:rsidRPr="00DD1232">
                          <w:t xml:space="preserve"> with positive mean change (%, n</w:t>
                        </w:r>
                        <w:r>
                          <w:t>=</w:t>
                        </w:r>
                        <w:r w:rsidRPr="00DD1232">
                          <w:t>)</w:t>
                        </w:r>
                      </w:p>
                    </w:tc>
                  </w:tr>
                  <w:tr w:rsidR="00DD1232" w:rsidRPr="00DD1232" w14:paraId="18229D3D" w14:textId="77777777" w:rsidTr="00EB44CB">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131" w:type="dxa"/>
                        <w:vMerge w:val="restart"/>
                        <w:tcBorders>
                          <w:top w:val="single" w:sz="2" w:space="0" w:color="36424A" w:themeColor="accent2"/>
                          <w:left w:val="single" w:sz="2" w:space="0" w:color="36424A" w:themeColor="accent2"/>
                          <w:bottom w:val="single" w:sz="2" w:space="0" w:color="36424A" w:themeColor="accent2"/>
                          <w:right w:val="single" w:sz="2" w:space="0" w:color="36424A" w:themeColor="accent2"/>
                        </w:tcBorders>
                        <w:shd w:val="clear" w:color="auto" w:fill="auto"/>
                        <w:noWrap/>
                        <w:hideMark/>
                      </w:tcPr>
                      <w:p w14:paraId="1E72809C" w14:textId="77777777" w:rsidR="00DD1232" w:rsidRPr="00EB44CB" w:rsidRDefault="00DD1232" w:rsidP="00D63E8D">
                        <w:pPr>
                          <w:pStyle w:val="TableText"/>
                          <w:rPr>
                            <w:color w:val="auto"/>
                            <w:lang w:val="en-NZ"/>
                          </w:rPr>
                        </w:pPr>
                        <w:r w:rsidRPr="00EB44CB">
                          <w:rPr>
                            <w:color w:val="auto"/>
                            <w:lang w:val="en-NZ"/>
                          </w:rPr>
                          <w:t>FaRS</w:t>
                        </w:r>
                      </w:p>
                    </w:tc>
                    <w:tc>
                      <w:tcPr>
                        <w:tcW w:w="1276" w:type="dxa"/>
                        <w:vMerge w:val="restart"/>
                        <w:tcBorders>
                          <w:top w:val="single" w:sz="2" w:space="0" w:color="36424A" w:themeColor="accent2"/>
                          <w:left w:val="single" w:sz="2" w:space="0" w:color="36424A" w:themeColor="accent2"/>
                          <w:bottom w:val="single" w:sz="2" w:space="0" w:color="36424A" w:themeColor="accent2"/>
                          <w:right w:val="single" w:sz="2" w:space="0" w:color="36424A" w:themeColor="accent2"/>
                        </w:tcBorders>
                        <w:shd w:val="clear" w:color="auto" w:fill="auto"/>
                        <w:noWrap/>
                        <w:hideMark/>
                      </w:tcPr>
                      <w:p w14:paraId="29BCB425" w14:textId="77777777" w:rsidR="00DD1232" w:rsidRPr="00EB44CB" w:rsidRDefault="00DD1232" w:rsidP="00D63E8D">
                        <w:pPr>
                          <w:pStyle w:val="TableText"/>
                          <w:cnfStyle w:val="000000100000" w:firstRow="0" w:lastRow="0" w:firstColumn="0" w:lastColumn="0" w:oddVBand="0" w:evenVBand="0" w:oddHBand="1" w:evenHBand="0" w:firstRowFirstColumn="0" w:firstRowLastColumn="0" w:lastRowFirstColumn="0" w:lastRowLastColumn="0"/>
                          <w:rPr>
                            <w:color w:val="auto"/>
                          </w:rPr>
                        </w:pPr>
                        <w:r w:rsidRPr="00EB44CB">
                          <w:rPr>
                            <w:color w:val="auto"/>
                          </w:rPr>
                          <w:t>No or unknown</w:t>
                        </w:r>
                      </w:p>
                    </w:tc>
                    <w:tc>
                      <w:tcPr>
                        <w:tcW w:w="2568" w:type="dxa"/>
                        <w:tcBorders>
                          <w:top w:val="single" w:sz="2" w:space="0" w:color="36424A" w:themeColor="accent2"/>
                          <w:left w:val="single" w:sz="2" w:space="0" w:color="36424A" w:themeColor="accent2"/>
                          <w:bottom w:val="single" w:sz="2" w:space="0" w:color="36424A" w:themeColor="accent2"/>
                          <w:right w:val="single" w:sz="2" w:space="0" w:color="36424A" w:themeColor="accent2"/>
                        </w:tcBorders>
                        <w:shd w:val="clear" w:color="auto" w:fill="auto"/>
                        <w:noWrap/>
                        <w:hideMark/>
                      </w:tcPr>
                      <w:p w14:paraId="4757B041" w14:textId="77777777" w:rsidR="00DD1232" w:rsidRPr="00EB44CB" w:rsidRDefault="00DD1232" w:rsidP="00D63E8D">
                        <w:pPr>
                          <w:pStyle w:val="TableText"/>
                          <w:cnfStyle w:val="000000100000" w:firstRow="0" w:lastRow="0" w:firstColumn="0" w:lastColumn="0" w:oddVBand="0" w:evenVBand="0" w:oddHBand="1" w:evenHBand="0" w:firstRowFirstColumn="0" w:firstRowLastColumn="0" w:lastRowFirstColumn="0" w:lastRowLastColumn="0"/>
                          <w:rPr>
                            <w:color w:val="auto"/>
                          </w:rPr>
                        </w:pPr>
                        <w:r w:rsidRPr="00EB44CB">
                          <w:rPr>
                            <w:color w:val="auto"/>
                          </w:rPr>
                          <w:t>Circumstances</w:t>
                        </w:r>
                      </w:p>
                    </w:tc>
                    <w:tc>
                      <w:tcPr>
                        <w:tcW w:w="964" w:type="dxa"/>
                        <w:tcBorders>
                          <w:top w:val="single" w:sz="2" w:space="0" w:color="36424A" w:themeColor="accent2"/>
                          <w:left w:val="single" w:sz="2" w:space="0" w:color="36424A" w:themeColor="accent2"/>
                          <w:bottom w:val="single" w:sz="2" w:space="0" w:color="36424A" w:themeColor="accent2"/>
                          <w:right w:val="single" w:sz="2" w:space="0" w:color="36424A" w:themeColor="accent2"/>
                        </w:tcBorders>
                        <w:shd w:val="clear" w:color="auto" w:fill="auto"/>
                        <w:noWrap/>
                        <w:hideMark/>
                      </w:tcPr>
                      <w:p w14:paraId="0A118C07" w14:textId="1D290B18" w:rsidR="00DD1232" w:rsidRPr="00D9450E" w:rsidRDefault="00DD1232" w:rsidP="00D63E8D">
                        <w:pPr>
                          <w:pStyle w:val="TableText"/>
                          <w:cnfStyle w:val="000000100000" w:firstRow="0" w:lastRow="0" w:firstColumn="0" w:lastColumn="0" w:oddVBand="0" w:evenVBand="0" w:oddHBand="1" w:evenHBand="0" w:firstRowFirstColumn="0" w:firstRowLastColumn="0" w:lastRowFirstColumn="0" w:lastRowLastColumn="0"/>
                          <w:rPr>
                            <w:color w:val="auto"/>
                          </w:rPr>
                        </w:pPr>
                        <w:r w:rsidRPr="00D9450E">
                          <w:rPr>
                            <w:color w:val="auto"/>
                          </w:rPr>
                          <w:t>71</w:t>
                        </w:r>
                        <w:r w:rsidR="005B153B">
                          <w:rPr>
                            <w:color w:val="auto"/>
                          </w:rPr>
                          <w:t>,</w:t>
                        </w:r>
                        <w:r w:rsidRPr="00D9450E">
                          <w:rPr>
                            <w:color w:val="auto"/>
                          </w:rPr>
                          <w:t>349</w:t>
                        </w:r>
                      </w:p>
                    </w:tc>
                    <w:tc>
                      <w:tcPr>
                        <w:tcW w:w="963" w:type="dxa"/>
                        <w:tcBorders>
                          <w:top w:val="single" w:sz="2" w:space="0" w:color="36424A" w:themeColor="accent2"/>
                          <w:left w:val="single" w:sz="2" w:space="0" w:color="36424A" w:themeColor="accent2"/>
                          <w:bottom w:val="single" w:sz="2" w:space="0" w:color="36424A" w:themeColor="accent2"/>
                          <w:right w:val="single" w:sz="2" w:space="0" w:color="36424A" w:themeColor="accent2"/>
                        </w:tcBorders>
                        <w:shd w:val="clear" w:color="auto" w:fill="auto"/>
                        <w:noWrap/>
                        <w:hideMark/>
                      </w:tcPr>
                      <w:p w14:paraId="5E3596EC" w14:textId="77777777" w:rsidR="00DD1232" w:rsidRPr="00D9450E" w:rsidRDefault="00DD1232" w:rsidP="00D63E8D">
                        <w:pPr>
                          <w:pStyle w:val="TableText"/>
                          <w:cnfStyle w:val="000000100000" w:firstRow="0" w:lastRow="0" w:firstColumn="0" w:lastColumn="0" w:oddVBand="0" w:evenVBand="0" w:oddHBand="1" w:evenHBand="0" w:firstRowFirstColumn="0" w:firstRowLastColumn="0" w:lastRowFirstColumn="0" w:lastRowLastColumn="0"/>
                          <w:rPr>
                            <w:color w:val="auto"/>
                          </w:rPr>
                        </w:pPr>
                        <w:r w:rsidRPr="00D9450E">
                          <w:rPr>
                            <w:color w:val="auto"/>
                          </w:rPr>
                          <w:t>0.77</w:t>
                        </w:r>
                      </w:p>
                    </w:tc>
                    <w:tc>
                      <w:tcPr>
                        <w:tcW w:w="2033" w:type="dxa"/>
                        <w:tcBorders>
                          <w:top w:val="single" w:sz="2" w:space="0" w:color="36424A" w:themeColor="accent2"/>
                          <w:left w:val="single" w:sz="2" w:space="0" w:color="36424A" w:themeColor="accent2"/>
                          <w:bottom w:val="single" w:sz="2" w:space="0" w:color="36424A" w:themeColor="accent2"/>
                          <w:right w:val="single" w:sz="2" w:space="0" w:color="36424A" w:themeColor="accent2"/>
                        </w:tcBorders>
                        <w:shd w:val="clear" w:color="auto" w:fill="auto"/>
                        <w:noWrap/>
                        <w:hideMark/>
                      </w:tcPr>
                      <w:p w14:paraId="48EBC648" w14:textId="6EE7F4FF" w:rsidR="00DD1232" w:rsidRPr="00D9450E" w:rsidRDefault="00DD1232" w:rsidP="00D63E8D">
                        <w:pPr>
                          <w:pStyle w:val="TableText"/>
                          <w:cnfStyle w:val="000000100000" w:firstRow="0" w:lastRow="0" w:firstColumn="0" w:lastColumn="0" w:oddVBand="0" w:evenVBand="0" w:oddHBand="1" w:evenHBand="0" w:firstRowFirstColumn="0" w:firstRowLastColumn="0" w:lastRowFirstColumn="0" w:lastRowLastColumn="0"/>
                          <w:rPr>
                            <w:color w:val="auto"/>
                          </w:rPr>
                        </w:pPr>
                        <w:r w:rsidRPr="00D9450E">
                          <w:rPr>
                            <w:color w:val="auto"/>
                          </w:rPr>
                          <w:t>62.6% (n=44</w:t>
                        </w:r>
                        <w:r w:rsidR="005B153B">
                          <w:rPr>
                            <w:color w:val="auto"/>
                          </w:rPr>
                          <w:t>,</w:t>
                        </w:r>
                        <w:r w:rsidRPr="00D9450E">
                          <w:rPr>
                            <w:color w:val="auto"/>
                          </w:rPr>
                          <w:t>696)</w:t>
                        </w:r>
                      </w:p>
                    </w:tc>
                  </w:tr>
                  <w:tr w:rsidR="00DD1232" w:rsidRPr="00DD1232" w14:paraId="4607590A" w14:textId="77777777" w:rsidTr="00EB44CB">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0" w:type="auto"/>
                        <w:vMerge/>
                        <w:shd w:val="clear" w:color="auto" w:fill="auto"/>
                        <w:hideMark/>
                      </w:tcPr>
                      <w:p w14:paraId="02F6E1EA" w14:textId="77777777" w:rsidR="00DD1232" w:rsidRPr="00EB44CB" w:rsidRDefault="00DD1232" w:rsidP="00D63E8D">
                        <w:pPr>
                          <w:pStyle w:val="TableText"/>
                          <w:rPr>
                            <w:color w:val="auto"/>
                          </w:rPr>
                        </w:pPr>
                      </w:p>
                    </w:tc>
                    <w:tc>
                      <w:tcPr>
                        <w:tcW w:w="0" w:type="auto"/>
                        <w:vMerge/>
                        <w:shd w:val="clear" w:color="auto" w:fill="auto"/>
                        <w:hideMark/>
                      </w:tcPr>
                      <w:p w14:paraId="54457CB0" w14:textId="77777777" w:rsidR="00DD1232" w:rsidRPr="00EB44CB" w:rsidRDefault="00DD1232" w:rsidP="00D63E8D">
                        <w:pPr>
                          <w:pStyle w:val="TableText"/>
                          <w:cnfStyle w:val="000000010000" w:firstRow="0" w:lastRow="0" w:firstColumn="0" w:lastColumn="0" w:oddVBand="0" w:evenVBand="0" w:oddHBand="0" w:evenHBand="1" w:firstRowFirstColumn="0" w:firstRowLastColumn="0" w:lastRowFirstColumn="0" w:lastRowLastColumn="0"/>
                          <w:rPr>
                            <w:color w:val="auto"/>
                          </w:rPr>
                        </w:pPr>
                      </w:p>
                    </w:tc>
                    <w:tc>
                      <w:tcPr>
                        <w:tcW w:w="2568" w:type="dxa"/>
                        <w:tcBorders>
                          <w:top w:val="single" w:sz="2" w:space="0" w:color="36424A" w:themeColor="accent2"/>
                          <w:left w:val="single" w:sz="2" w:space="0" w:color="36424A" w:themeColor="accent2"/>
                          <w:bottom w:val="single" w:sz="2" w:space="0" w:color="36424A" w:themeColor="accent2"/>
                          <w:right w:val="single" w:sz="2" w:space="0" w:color="36424A" w:themeColor="accent2"/>
                        </w:tcBorders>
                        <w:shd w:val="clear" w:color="auto" w:fill="auto"/>
                        <w:noWrap/>
                        <w:hideMark/>
                      </w:tcPr>
                      <w:p w14:paraId="08CD4C00" w14:textId="77777777" w:rsidR="00DD1232" w:rsidRPr="00EB44CB" w:rsidRDefault="00DD1232" w:rsidP="00D63E8D">
                        <w:pPr>
                          <w:pStyle w:val="TableText"/>
                          <w:cnfStyle w:val="000000010000" w:firstRow="0" w:lastRow="0" w:firstColumn="0" w:lastColumn="0" w:oddVBand="0" w:evenVBand="0" w:oddHBand="0" w:evenHBand="1" w:firstRowFirstColumn="0" w:firstRowLastColumn="0" w:lastRowFirstColumn="0" w:lastRowLastColumn="0"/>
                          <w:rPr>
                            <w:color w:val="auto"/>
                          </w:rPr>
                        </w:pPr>
                        <w:r w:rsidRPr="00EB44CB">
                          <w:rPr>
                            <w:color w:val="auto"/>
                          </w:rPr>
                          <w:t>Goals</w:t>
                        </w:r>
                      </w:p>
                    </w:tc>
                    <w:tc>
                      <w:tcPr>
                        <w:tcW w:w="964" w:type="dxa"/>
                        <w:tcBorders>
                          <w:top w:val="single" w:sz="2" w:space="0" w:color="36424A" w:themeColor="accent2"/>
                          <w:left w:val="single" w:sz="2" w:space="0" w:color="36424A" w:themeColor="accent2"/>
                          <w:bottom w:val="single" w:sz="2" w:space="0" w:color="36424A" w:themeColor="accent2"/>
                          <w:right w:val="single" w:sz="2" w:space="0" w:color="36424A" w:themeColor="accent2"/>
                        </w:tcBorders>
                        <w:shd w:val="clear" w:color="auto" w:fill="auto"/>
                        <w:noWrap/>
                        <w:hideMark/>
                      </w:tcPr>
                      <w:p w14:paraId="46E9613C" w14:textId="0A104556" w:rsidR="00DD1232" w:rsidRPr="00D9450E" w:rsidRDefault="00DD1232" w:rsidP="00D63E8D">
                        <w:pPr>
                          <w:pStyle w:val="TableText"/>
                          <w:cnfStyle w:val="000000010000" w:firstRow="0" w:lastRow="0" w:firstColumn="0" w:lastColumn="0" w:oddVBand="0" w:evenVBand="0" w:oddHBand="0" w:evenHBand="1" w:firstRowFirstColumn="0" w:firstRowLastColumn="0" w:lastRowFirstColumn="0" w:lastRowLastColumn="0"/>
                          <w:rPr>
                            <w:color w:val="auto"/>
                          </w:rPr>
                        </w:pPr>
                        <w:r w:rsidRPr="00D9450E">
                          <w:rPr>
                            <w:color w:val="auto"/>
                          </w:rPr>
                          <w:t>70</w:t>
                        </w:r>
                        <w:r w:rsidR="005B153B">
                          <w:rPr>
                            <w:color w:val="auto"/>
                          </w:rPr>
                          <w:t>,</w:t>
                        </w:r>
                        <w:r w:rsidRPr="00D9450E">
                          <w:rPr>
                            <w:color w:val="auto"/>
                          </w:rPr>
                          <w:t>887</w:t>
                        </w:r>
                      </w:p>
                    </w:tc>
                    <w:tc>
                      <w:tcPr>
                        <w:tcW w:w="963" w:type="dxa"/>
                        <w:tcBorders>
                          <w:top w:val="single" w:sz="2" w:space="0" w:color="36424A" w:themeColor="accent2"/>
                          <w:left w:val="single" w:sz="2" w:space="0" w:color="36424A" w:themeColor="accent2"/>
                          <w:bottom w:val="single" w:sz="2" w:space="0" w:color="36424A" w:themeColor="accent2"/>
                          <w:right w:val="single" w:sz="2" w:space="0" w:color="36424A" w:themeColor="accent2"/>
                        </w:tcBorders>
                        <w:shd w:val="clear" w:color="auto" w:fill="auto"/>
                        <w:noWrap/>
                        <w:hideMark/>
                      </w:tcPr>
                      <w:p w14:paraId="02440E59" w14:textId="77777777" w:rsidR="00DD1232" w:rsidRPr="00D9450E" w:rsidRDefault="00DD1232" w:rsidP="00D63E8D">
                        <w:pPr>
                          <w:pStyle w:val="TableText"/>
                          <w:cnfStyle w:val="000000010000" w:firstRow="0" w:lastRow="0" w:firstColumn="0" w:lastColumn="0" w:oddVBand="0" w:evenVBand="0" w:oddHBand="0" w:evenHBand="1" w:firstRowFirstColumn="0" w:firstRowLastColumn="0" w:lastRowFirstColumn="0" w:lastRowLastColumn="0"/>
                          <w:rPr>
                            <w:color w:val="auto"/>
                          </w:rPr>
                        </w:pPr>
                        <w:r w:rsidRPr="00D9450E">
                          <w:rPr>
                            <w:color w:val="auto"/>
                          </w:rPr>
                          <w:t>1.13</w:t>
                        </w:r>
                      </w:p>
                    </w:tc>
                    <w:tc>
                      <w:tcPr>
                        <w:tcW w:w="2033" w:type="dxa"/>
                        <w:tcBorders>
                          <w:top w:val="single" w:sz="2" w:space="0" w:color="36424A" w:themeColor="accent2"/>
                          <w:left w:val="single" w:sz="2" w:space="0" w:color="36424A" w:themeColor="accent2"/>
                          <w:bottom w:val="single" w:sz="2" w:space="0" w:color="36424A" w:themeColor="accent2"/>
                          <w:right w:val="single" w:sz="2" w:space="0" w:color="36424A" w:themeColor="accent2"/>
                        </w:tcBorders>
                        <w:shd w:val="clear" w:color="auto" w:fill="auto"/>
                        <w:noWrap/>
                        <w:hideMark/>
                      </w:tcPr>
                      <w:p w14:paraId="07E70DC1" w14:textId="0B5D686B" w:rsidR="00DD1232" w:rsidRPr="00D9450E" w:rsidRDefault="00DD1232" w:rsidP="00D63E8D">
                        <w:pPr>
                          <w:pStyle w:val="TableText"/>
                          <w:cnfStyle w:val="000000010000" w:firstRow="0" w:lastRow="0" w:firstColumn="0" w:lastColumn="0" w:oddVBand="0" w:evenVBand="0" w:oddHBand="0" w:evenHBand="1" w:firstRowFirstColumn="0" w:firstRowLastColumn="0" w:lastRowFirstColumn="0" w:lastRowLastColumn="0"/>
                          <w:rPr>
                            <w:color w:val="auto"/>
                          </w:rPr>
                        </w:pPr>
                        <w:r w:rsidRPr="00D9450E">
                          <w:rPr>
                            <w:color w:val="auto"/>
                          </w:rPr>
                          <w:t>72.8% (n=51</w:t>
                        </w:r>
                        <w:r w:rsidR="005B153B">
                          <w:rPr>
                            <w:color w:val="auto"/>
                          </w:rPr>
                          <w:t>,</w:t>
                        </w:r>
                        <w:r w:rsidRPr="00D9450E">
                          <w:rPr>
                            <w:color w:val="auto"/>
                          </w:rPr>
                          <w:t>583)</w:t>
                        </w:r>
                      </w:p>
                    </w:tc>
                  </w:tr>
                  <w:tr w:rsidR="00DD1232" w:rsidRPr="00DD1232" w14:paraId="691896CA" w14:textId="77777777" w:rsidTr="00EB44CB">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0" w:type="auto"/>
                        <w:vMerge/>
                        <w:shd w:val="clear" w:color="auto" w:fill="auto"/>
                        <w:hideMark/>
                      </w:tcPr>
                      <w:p w14:paraId="22EFC0BF" w14:textId="77777777" w:rsidR="00DD1232" w:rsidRPr="00EB44CB" w:rsidRDefault="00DD1232" w:rsidP="00D63E8D">
                        <w:pPr>
                          <w:pStyle w:val="TableText"/>
                          <w:rPr>
                            <w:color w:val="auto"/>
                          </w:rPr>
                        </w:pPr>
                      </w:p>
                    </w:tc>
                    <w:tc>
                      <w:tcPr>
                        <w:tcW w:w="1276" w:type="dxa"/>
                        <w:vMerge w:val="restart"/>
                        <w:tcBorders>
                          <w:top w:val="single" w:sz="2" w:space="0" w:color="36424A" w:themeColor="accent2"/>
                          <w:left w:val="single" w:sz="2" w:space="0" w:color="36424A" w:themeColor="accent2"/>
                          <w:bottom w:val="single" w:sz="2" w:space="0" w:color="36424A" w:themeColor="accent2"/>
                          <w:right w:val="single" w:sz="2" w:space="0" w:color="36424A" w:themeColor="accent2"/>
                        </w:tcBorders>
                        <w:shd w:val="clear" w:color="auto" w:fill="auto"/>
                        <w:noWrap/>
                        <w:hideMark/>
                      </w:tcPr>
                      <w:p w14:paraId="62C22E0F" w14:textId="77777777" w:rsidR="00DD1232" w:rsidRPr="00EB44CB" w:rsidRDefault="00DD1232" w:rsidP="00D63E8D">
                        <w:pPr>
                          <w:pStyle w:val="TableText"/>
                          <w:cnfStyle w:val="000000100000" w:firstRow="0" w:lastRow="0" w:firstColumn="0" w:lastColumn="0" w:oddVBand="0" w:evenVBand="0" w:oddHBand="1" w:evenHBand="0" w:firstRowFirstColumn="0" w:firstRowLastColumn="0" w:lastRowFirstColumn="0" w:lastRowLastColumn="0"/>
                          <w:rPr>
                            <w:color w:val="auto"/>
                          </w:rPr>
                        </w:pPr>
                        <w:r w:rsidRPr="00EB44CB">
                          <w:rPr>
                            <w:color w:val="auto"/>
                          </w:rPr>
                          <w:t>Yes</w:t>
                        </w:r>
                      </w:p>
                    </w:tc>
                    <w:tc>
                      <w:tcPr>
                        <w:tcW w:w="2568" w:type="dxa"/>
                        <w:tcBorders>
                          <w:top w:val="single" w:sz="2" w:space="0" w:color="36424A" w:themeColor="accent2"/>
                          <w:left w:val="single" w:sz="2" w:space="0" w:color="36424A" w:themeColor="accent2"/>
                          <w:bottom w:val="single" w:sz="2" w:space="0" w:color="36424A" w:themeColor="accent2"/>
                          <w:right w:val="single" w:sz="2" w:space="0" w:color="36424A" w:themeColor="accent2"/>
                        </w:tcBorders>
                        <w:shd w:val="clear" w:color="auto" w:fill="auto"/>
                        <w:noWrap/>
                        <w:hideMark/>
                      </w:tcPr>
                      <w:p w14:paraId="4E6DEB03" w14:textId="77777777" w:rsidR="00DD1232" w:rsidRPr="00EB44CB" w:rsidRDefault="00DD1232" w:rsidP="00D63E8D">
                        <w:pPr>
                          <w:pStyle w:val="TableText"/>
                          <w:cnfStyle w:val="000000100000" w:firstRow="0" w:lastRow="0" w:firstColumn="0" w:lastColumn="0" w:oddVBand="0" w:evenVBand="0" w:oddHBand="1" w:evenHBand="0" w:firstRowFirstColumn="0" w:firstRowLastColumn="0" w:lastRowFirstColumn="0" w:lastRowLastColumn="0"/>
                          <w:rPr>
                            <w:color w:val="auto"/>
                          </w:rPr>
                        </w:pPr>
                        <w:r w:rsidRPr="00EB44CB">
                          <w:rPr>
                            <w:color w:val="auto"/>
                          </w:rPr>
                          <w:t>Circumstances</w:t>
                        </w:r>
                      </w:p>
                    </w:tc>
                    <w:tc>
                      <w:tcPr>
                        <w:tcW w:w="964" w:type="dxa"/>
                        <w:tcBorders>
                          <w:top w:val="single" w:sz="2" w:space="0" w:color="36424A" w:themeColor="accent2"/>
                          <w:left w:val="single" w:sz="2" w:space="0" w:color="36424A" w:themeColor="accent2"/>
                          <w:bottom w:val="single" w:sz="2" w:space="0" w:color="36424A" w:themeColor="accent2"/>
                          <w:right w:val="single" w:sz="2" w:space="0" w:color="36424A" w:themeColor="accent2"/>
                        </w:tcBorders>
                        <w:shd w:val="clear" w:color="auto" w:fill="auto"/>
                        <w:noWrap/>
                        <w:hideMark/>
                      </w:tcPr>
                      <w:p w14:paraId="69DDABB4" w14:textId="77777777" w:rsidR="00DD1232" w:rsidRPr="00D9450E" w:rsidRDefault="00DD1232" w:rsidP="00D63E8D">
                        <w:pPr>
                          <w:pStyle w:val="TableText"/>
                          <w:cnfStyle w:val="000000100000" w:firstRow="0" w:lastRow="0" w:firstColumn="0" w:lastColumn="0" w:oddVBand="0" w:evenVBand="0" w:oddHBand="1" w:evenHBand="0" w:firstRowFirstColumn="0" w:firstRowLastColumn="0" w:lastRowFirstColumn="0" w:lastRowLastColumn="0"/>
                          <w:rPr>
                            <w:color w:val="auto"/>
                          </w:rPr>
                        </w:pPr>
                        <w:r w:rsidRPr="00D9450E">
                          <w:rPr>
                            <w:color w:val="auto"/>
                          </w:rPr>
                          <w:t>2478</w:t>
                        </w:r>
                      </w:p>
                    </w:tc>
                    <w:tc>
                      <w:tcPr>
                        <w:tcW w:w="963" w:type="dxa"/>
                        <w:tcBorders>
                          <w:top w:val="single" w:sz="2" w:space="0" w:color="36424A" w:themeColor="accent2"/>
                          <w:left w:val="single" w:sz="2" w:space="0" w:color="36424A" w:themeColor="accent2"/>
                          <w:bottom w:val="single" w:sz="2" w:space="0" w:color="36424A" w:themeColor="accent2"/>
                          <w:right w:val="single" w:sz="2" w:space="0" w:color="36424A" w:themeColor="accent2"/>
                        </w:tcBorders>
                        <w:shd w:val="clear" w:color="auto" w:fill="auto"/>
                        <w:noWrap/>
                        <w:hideMark/>
                      </w:tcPr>
                      <w:p w14:paraId="7810FB85" w14:textId="77777777" w:rsidR="00DD1232" w:rsidRPr="00D9450E" w:rsidRDefault="00DD1232" w:rsidP="00D63E8D">
                        <w:pPr>
                          <w:pStyle w:val="TableText"/>
                          <w:cnfStyle w:val="000000100000" w:firstRow="0" w:lastRow="0" w:firstColumn="0" w:lastColumn="0" w:oddVBand="0" w:evenVBand="0" w:oddHBand="1" w:evenHBand="0" w:firstRowFirstColumn="0" w:firstRowLastColumn="0" w:lastRowFirstColumn="0" w:lastRowLastColumn="0"/>
                          <w:rPr>
                            <w:color w:val="auto"/>
                          </w:rPr>
                        </w:pPr>
                        <w:r w:rsidRPr="00D9450E">
                          <w:rPr>
                            <w:color w:val="auto"/>
                          </w:rPr>
                          <w:t>0.86</w:t>
                        </w:r>
                      </w:p>
                    </w:tc>
                    <w:tc>
                      <w:tcPr>
                        <w:tcW w:w="2033" w:type="dxa"/>
                        <w:tcBorders>
                          <w:top w:val="single" w:sz="2" w:space="0" w:color="36424A" w:themeColor="accent2"/>
                          <w:left w:val="single" w:sz="2" w:space="0" w:color="36424A" w:themeColor="accent2"/>
                          <w:bottom w:val="single" w:sz="2" w:space="0" w:color="36424A" w:themeColor="accent2"/>
                          <w:right w:val="single" w:sz="2" w:space="0" w:color="36424A" w:themeColor="accent2"/>
                        </w:tcBorders>
                        <w:shd w:val="clear" w:color="auto" w:fill="auto"/>
                        <w:noWrap/>
                        <w:hideMark/>
                      </w:tcPr>
                      <w:p w14:paraId="3E8E0312" w14:textId="65077564" w:rsidR="00DD1232" w:rsidRPr="00D9450E" w:rsidRDefault="00DD1232" w:rsidP="00D63E8D">
                        <w:pPr>
                          <w:pStyle w:val="TableText"/>
                          <w:cnfStyle w:val="000000100000" w:firstRow="0" w:lastRow="0" w:firstColumn="0" w:lastColumn="0" w:oddVBand="0" w:evenVBand="0" w:oddHBand="1" w:evenHBand="0" w:firstRowFirstColumn="0" w:firstRowLastColumn="0" w:lastRowFirstColumn="0" w:lastRowLastColumn="0"/>
                          <w:rPr>
                            <w:color w:val="auto"/>
                          </w:rPr>
                        </w:pPr>
                        <w:r w:rsidRPr="00D9450E">
                          <w:rPr>
                            <w:color w:val="auto"/>
                          </w:rPr>
                          <w:t>62.8% (n=1</w:t>
                        </w:r>
                        <w:r w:rsidR="005B153B">
                          <w:rPr>
                            <w:color w:val="auto"/>
                          </w:rPr>
                          <w:t>,</w:t>
                        </w:r>
                        <w:r w:rsidRPr="00D9450E">
                          <w:rPr>
                            <w:color w:val="auto"/>
                          </w:rPr>
                          <w:t>557)</w:t>
                        </w:r>
                      </w:p>
                    </w:tc>
                  </w:tr>
                  <w:tr w:rsidR="00DD1232" w:rsidRPr="00DD1232" w14:paraId="14842FDB" w14:textId="77777777" w:rsidTr="00EB44CB">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0" w:type="auto"/>
                        <w:vMerge/>
                        <w:shd w:val="clear" w:color="auto" w:fill="auto"/>
                        <w:hideMark/>
                      </w:tcPr>
                      <w:p w14:paraId="6F5DA7A2" w14:textId="77777777" w:rsidR="00DD1232" w:rsidRPr="00EB44CB" w:rsidRDefault="00DD1232" w:rsidP="00D63E8D">
                        <w:pPr>
                          <w:pStyle w:val="TableText"/>
                          <w:rPr>
                            <w:color w:val="auto"/>
                          </w:rPr>
                        </w:pPr>
                      </w:p>
                    </w:tc>
                    <w:tc>
                      <w:tcPr>
                        <w:tcW w:w="0" w:type="auto"/>
                        <w:vMerge/>
                        <w:shd w:val="clear" w:color="auto" w:fill="auto"/>
                        <w:hideMark/>
                      </w:tcPr>
                      <w:p w14:paraId="76F4F366" w14:textId="77777777" w:rsidR="00DD1232" w:rsidRPr="00EB44CB" w:rsidRDefault="00DD1232" w:rsidP="00D63E8D">
                        <w:pPr>
                          <w:pStyle w:val="TableText"/>
                          <w:cnfStyle w:val="000000010000" w:firstRow="0" w:lastRow="0" w:firstColumn="0" w:lastColumn="0" w:oddVBand="0" w:evenVBand="0" w:oddHBand="0" w:evenHBand="1" w:firstRowFirstColumn="0" w:firstRowLastColumn="0" w:lastRowFirstColumn="0" w:lastRowLastColumn="0"/>
                          <w:rPr>
                            <w:color w:val="auto"/>
                          </w:rPr>
                        </w:pPr>
                      </w:p>
                    </w:tc>
                    <w:tc>
                      <w:tcPr>
                        <w:tcW w:w="2568" w:type="dxa"/>
                        <w:tcBorders>
                          <w:top w:val="single" w:sz="2" w:space="0" w:color="36424A" w:themeColor="accent2"/>
                          <w:left w:val="single" w:sz="2" w:space="0" w:color="36424A" w:themeColor="accent2"/>
                          <w:bottom w:val="single" w:sz="2" w:space="0" w:color="36424A" w:themeColor="accent2"/>
                          <w:right w:val="single" w:sz="2" w:space="0" w:color="36424A" w:themeColor="accent2"/>
                        </w:tcBorders>
                        <w:shd w:val="clear" w:color="auto" w:fill="auto"/>
                        <w:noWrap/>
                        <w:hideMark/>
                      </w:tcPr>
                      <w:p w14:paraId="2E2A9282" w14:textId="77777777" w:rsidR="00DD1232" w:rsidRPr="00EB44CB" w:rsidRDefault="00DD1232" w:rsidP="00D63E8D">
                        <w:pPr>
                          <w:pStyle w:val="TableText"/>
                          <w:cnfStyle w:val="000000010000" w:firstRow="0" w:lastRow="0" w:firstColumn="0" w:lastColumn="0" w:oddVBand="0" w:evenVBand="0" w:oddHBand="0" w:evenHBand="1" w:firstRowFirstColumn="0" w:firstRowLastColumn="0" w:lastRowFirstColumn="0" w:lastRowLastColumn="0"/>
                          <w:rPr>
                            <w:color w:val="auto"/>
                          </w:rPr>
                        </w:pPr>
                        <w:r w:rsidRPr="00EB44CB">
                          <w:rPr>
                            <w:color w:val="auto"/>
                          </w:rPr>
                          <w:t>Goals</w:t>
                        </w:r>
                      </w:p>
                    </w:tc>
                    <w:tc>
                      <w:tcPr>
                        <w:tcW w:w="964" w:type="dxa"/>
                        <w:tcBorders>
                          <w:top w:val="single" w:sz="2" w:space="0" w:color="36424A" w:themeColor="accent2"/>
                          <w:left w:val="single" w:sz="2" w:space="0" w:color="36424A" w:themeColor="accent2"/>
                          <w:bottom w:val="single" w:sz="2" w:space="0" w:color="36424A" w:themeColor="accent2"/>
                          <w:right w:val="single" w:sz="2" w:space="0" w:color="36424A" w:themeColor="accent2"/>
                        </w:tcBorders>
                        <w:shd w:val="clear" w:color="auto" w:fill="auto"/>
                        <w:noWrap/>
                        <w:hideMark/>
                      </w:tcPr>
                      <w:p w14:paraId="324341D8" w14:textId="5CDF58E6" w:rsidR="00DD1232" w:rsidRPr="00D9450E" w:rsidRDefault="00DD1232" w:rsidP="00D63E8D">
                        <w:pPr>
                          <w:pStyle w:val="TableText"/>
                          <w:cnfStyle w:val="000000010000" w:firstRow="0" w:lastRow="0" w:firstColumn="0" w:lastColumn="0" w:oddVBand="0" w:evenVBand="0" w:oddHBand="0" w:evenHBand="1" w:firstRowFirstColumn="0" w:firstRowLastColumn="0" w:lastRowFirstColumn="0" w:lastRowLastColumn="0"/>
                          <w:rPr>
                            <w:color w:val="auto"/>
                          </w:rPr>
                        </w:pPr>
                        <w:r w:rsidRPr="00D9450E">
                          <w:rPr>
                            <w:color w:val="auto"/>
                          </w:rPr>
                          <w:t>2</w:t>
                        </w:r>
                        <w:r w:rsidR="005B153B">
                          <w:rPr>
                            <w:color w:val="auto"/>
                          </w:rPr>
                          <w:t>,</w:t>
                        </w:r>
                        <w:r w:rsidRPr="00D9450E">
                          <w:rPr>
                            <w:color w:val="auto"/>
                          </w:rPr>
                          <w:t>596</w:t>
                        </w:r>
                      </w:p>
                    </w:tc>
                    <w:tc>
                      <w:tcPr>
                        <w:tcW w:w="963" w:type="dxa"/>
                        <w:tcBorders>
                          <w:top w:val="single" w:sz="2" w:space="0" w:color="36424A" w:themeColor="accent2"/>
                          <w:left w:val="single" w:sz="2" w:space="0" w:color="36424A" w:themeColor="accent2"/>
                          <w:bottom w:val="single" w:sz="2" w:space="0" w:color="36424A" w:themeColor="accent2"/>
                          <w:right w:val="single" w:sz="2" w:space="0" w:color="36424A" w:themeColor="accent2"/>
                        </w:tcBorders>
                        <w:shd w:val="clear" w:color="auto" w:fill="auto"/>
                        <w:noWrap/>
                        <w:hideMark/>
                      </w:tcPr>
                      <w:p w14:paraId="5941D349" w14:textId="77777777" w:rsidR="00DD1232" w:rsidRPr="00D9450E" w:rsidRDefault="00DD1232" w:rsidP="00D63E8D">
                        <w:pPr>
                          <w:pStyle w:val="TableText"/>
                          <w:cnfStyle w:val="000000010000" w:firstRow="0" w:lastRow="0" w:firstColumn="0" w:lastColumn="0" w:oddVBand="0" w:evenVBand="0" w:oddHBand="0" w:evenHBand="1" w:firstRowFirstColumn="0" w:firstRowLastColumn="0" w:lastRowFirstColumn="0" w:lastRowLastColumn="0"/>
                          <w:rPr>
                            <w:color w:val="auto"/>
                          </w:rPr>
                        </w:pPr>
                        <w:r w:rsidRPr="00D9450E">
                          <w:rPr>
                            <w:color w:val="auto"/>
                          </w:rPr>
                          <w:t>1.17</w:t>
                        </w:r>
                      </w:p>
                    </w:tc>
                    <w:tc>
                      <w:tcPr>
                        <w:tcW w:w="2033" w:type="dxa"/>
                        <w:tcBorders>
                          <w:top w:val="single" w:sz="2" w:space="0" w:color="36424A" w:themeColor="accent2"/>
                          <w:left w:val="single" w:sz="2" w:space="0" w:color="36424A" w:themeColor="accent2"/>
                          <w:bottom w:val="single" w:sz="2" w:space="0" w:color="36424A" w:themeColor="accent2"/>
                          <w:right w:val="single" w:sz="2" w:space="0" w:color="36424A" w:themeColor="accent2"/>
                        </w:tcBorders>
                        <w:shd w:val="clear" w:color="auto" w:fill="auto"/>
                        <w:noWrap/>
                        <w:hideMark/>
                      </w:tcPr>
                      <w:p w14:paraId="4D536CDD" w14:textId="44F5DE34" w:rsidR="00DD1232" w:rsidRPr="00D9450E" w:rsidRDefault="00DD1232" w:rsidP="00D63E8D">
                        <w:pPr>
                          <w:pStyle w:val="TableText"/>
                          <w:cnfStyle w:val="000000010000" w:firstRow="0" w:lastRow="0" w:firstColumn="0" w:lastColumn="0" w:oddVBand="0" w:evenVBand="0" w:oddHBand="0" w:evenHBand="1" w:firstRowFirstColumn="0" w:firstRowLastColumn="0" w:lastRowFirstColumn="0" w:lastRowLastColumn="0"/>
                          <w:rPr>
                            <w:color w:val="auto"/>
                          </w:rPr>
                        </w:pPr>
                        <w:r w:rsidRPr="00D9450E">
                          <w:rPr>
                            <w:color w:val="auto"/>
                          </w:rPr>
                          <w:t>73.1% (n=1</w:t>
                        </w:r>
                        <w:r w:rsidR="005B153B">
                          <w:rPr>
                            <w:color w:val="auto"/>
                          </w:rPr>
                          <w:t>,</w:t>
                        </w:r>
                        <w:r w:rsidRPr="00D9450E">
                          <w:rPr>
                            <w:color w:val="auto"/>
                          </w:rPr>
                          <w:t>897)</w:t>
                        </w:r>
                      </w:p>
                    </w:tc>
                  </w:tr>
                  <w:tr w:rsidR="00DD1232" w:rsidRPr="00DD1232" w14:paraId="0CD1CFDA" w14:textId="77777777" w:rsidTr="00EB44CB">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131" w:type="dxa"/>
                        <w:vMerge w:val="restart"/>
                        <w:tcBorders>
                          <w:top w:val="single" w:sz="2" w:space="0" w:color="36424A" w:themeColor="accent2"/>
                          <w:left w:val="single" w:sz="2" w:space="0" w:color="36424A" w:themeColor="accent2"/>
                          <w:bottom w:val="single" w:sz="2" w:space="0" w:color="36424A" w:themeColor="accent2"/>
                          <w:right w:val="single" w:sz="2" w:space="0" w:color="36424A" w:themeColor="accent2"/>
                        </w:tcBorders>
                        <w:shd w:val="clear" w:color="auto" w:fill="auto"/>
                        <w:noWrap/>
                        <w:hideMark/>
                      </w:tcPr>
                      <w:p w14:paraId="2E2CA8AB" w14:textId="77777777" w:rsidR="00DD1232" w:rsidRPr="00EB44CB" w:rsidRDefault="00DD1232" w:rsidP="00D63E8D">
                        <w:pPr>
                          <w:pStyle w:val="TableText"/>
                          <w:rPr>
                            <w:color w:val="auto"/>
                          </w:rPr>
                        </w:pPr>
                        <w:r w:rsidRPr="00EB44CB">
                          <w:rPr>
                            <w:color w:val="auto"/>
                          </w:rPr>
                          <w:t>SFVS (incl. 4AP)</w:t>
                        </w:r>
                      </w:p>
                    </w:tc>
                    <w:tc>
                      <w:tcPr>
                        <w:tcW w:w="1276" w:type="dxa"/>
                        <w:vMerge w:val="restart"/>
                        <w:tcBorders>
                          <w:top w:val="single" w:sz="2" w:space="0" w:color="36424A" w:themeColor="accent2"/>
                          <w:left w:val="single" w:sz="2" w:space="0" w:color="36424A" w:themeColor="accent2"/>
                          <w:bottom w:val="single" w:sz="2" w:space="0" w:color="36424A" w:themeColor="accent2"/>
                          <w:right w:val="single" w:sz="2" w:space="0" w:color="36424A" w:themeColor="accent2"/>
                        </w:tcBorders>
                        <w:shd w:val="clear" w:color="auto" w:fill="auto"/>
                        <w:noWrap/>
                        <w:hideMark/>
                      </w:tcPr>
                      <w:p w14:paraId="024F863C" w14:textId="77777777" w:rsidR="00DD1232" w:rsidRPr="00EB44CB" w:rsidRDefault="00DD1232" w:rsidP="00D63E8D">
                        <w:pPr>
                          <w:pStyle w:val="TableText"/>
                          <w:cnfStyle w:val="000000100000" w:firstRow="0" w:lastRow="0" w:firstColumn="0" w:lastColumn="0" w:oddVBand="0" w:evenVBand="0" w:oddHBand="1" w:evenHBand="0" w:firstRowFirstColumn="0" w:firstRowLastColumn="0" w:lastRowFirstColumn="0" w:lastRowLastColumn="0"/>
                          <w:rPr>
                            <w:color w:val="auto"/>
                          </w:rPr>
                        </w:pPr>
                        <w:r w:rsidRPr="00EB44CB">
                          <w:rPr>
                            <w:color w:val="auto"/>
                          </w:rPr>
                          <w:t>No or unknown</w:t>
                        </w:r>
                      </w:p>
                    </w:tc>
                    <w:tc>
                      <w:tcPr>
                        <w:tcW w:w="2568" w:type="dxa"/>
                        <w:tcBorders>
                          <w:top w:val="single" w:sz="2" w:space="0" w:color="36424A" w:themeColor="accent2"/>
                          <w:left w:val="single" w:sz="2" w:space="0" w:color="36424A" w:themeColor="accent2"/>
                          <w:bottom w:val="single" w:sz="2" w:space="0" w:color="36424A" w:themeColor="accent2"/>
                          <w:right w:val="single" w:sz="2" w:space="0" w:color="36424A" w:themeColor="accent2"/>
                        </w:tcBorders>
                        <w:shd w:val="clear" w:color="auto" w:fill="auto"/>
                        <w:noWrap/>
                        <w:hideMark/>
                      </w:tcPr>
                      <w:p w14:paraId="3FDD64AB" w14:textId="77777777" w:rsidR="00DD1232" w:rsidRPr="00EB44CB" w:rsidRDefault="00DD1232" w:rsidP="00D63E8D">
                        <w:pPr>
                          <w:pStyle w:val="TableText"/>
                          <w:cnfStyle w:val="000000100000" w:firstRow="0" w:lastRow="0" w:firstColumn="0" w:lastColumn="0" w:oddVBand="0" w:evenVBand="0" w:oddHBand="1" w:evenHBand="0" w:firstRowFirstColumn="0" w:firstRowLastColumn="0" w:lastRowFirstColumn="0" w:lastRowLastColumn="0"/>
                          <w:rPr>
                            <w:color w:val="auto"/>
                          </w:rPr>
                        </w:pPr>
                        <w:r w:rsidRPr="00EB44CB">
                          <w:rPr>
                            <w:color w:val="auto"/>
                          </w:rPr>
                          <w:t>Circumstances</w:t>
                        </w:r>
                      </w:p>
                    </w:tc>
                    <w:tc>
                      <w:tcPr>
                        <w:tcW w:w="964" w:type="dxa"/>
                        <w:tcBorders>
                          <w:top w:val="single" w:sz="2" w:space="0" w:color="36424A" w:themeColor="accent2"/>
                          <w:left w:val="single" w:sz="2" w:space="0" w:color="36424A" w:themeColor="accent2"/>
                          <w:bottom w:val="single" w:sz="2" w:space="0" w:color="36424A" w:themeColor="accent2"/>
                          <w:right w:val="single" w:sz="2" w:space="0" w:color="36424A" w:themeColor="accent2"/>
                        </w:tcBorders>
                        <w:shd w:val="clear" w:color="auto" w:fill="auto"/>
                        <w:noWrap/>
                        <w:hideMark/>
                      </w:tcPr>
                      <w:p w14:paraId="2B6BC8CB" w14:textId="44D4A2A9" w:rsidR="00DD1232" w:rsidRPr="00D9450E" w:rsidRDefault="00DD1232" w:rsidP="00D63E8D">
                        <w:pPr>
                          <w:pStyle w:val="TableText"/>
                          <w:cnfStyle w:val="000000100000" w:firstRow="0" w:lastRow="0" w:firstColumn="0" w:lastColumn="0" w:oddVBand="0" w:evenVBand="0" w:oddHBand="1" w:evenHBand="0" w:firstRowFirstColumn="0" w:firstRowLastColumn="0" w:lastRowFirstColumn="0" w:lastRowLastColumn="0"/>
                          <w:rPr>
                            <w:color w:val="auto"/>
                          </w:rPr>
                        </w:pPr>
                        <w:r w:rsidRPr="00D9450E">
                          <w:rPr>
                            <w:color w:val="auto"/>
                          </w:rPr>
                          <w:t>6</w:t>
                        </w:r>
                        <w:r w:rsidR="005B153B">
                          <w:rPr>
                            <w:color w:val="auto"/>
                          </w:rPr>
                          <w:t>,</w:t>
                        </w:r>
                        <w:r w:rsidRPr="00D9450E">
                          <w:rPr>
                            <w:color w:val="auto"/>
                          </w:rPr>
                          <w:t>979</w:t>
                        </w:r>
                      </w:p>
                    </w:tc>
                    <w:tc>
                      <w:tcPr>
                        <w:tcW w:w="963" w:type="dxa"/>
                        <w:tcBorders>
                          <w:top w:val="single" w:sz="2" w:space="0" w:color="36424A" w:themeColor="accent2"/>
                          <w:left w:val="single" w:sz="2" w:space="0" w:color="36424A" w:themeColor="accent2"/>
                          <w:bottom w:val="single" w:sz="2" w:space="0" w:color="36424A" w:themeColor="accent2"/>
                          <w:right w:val="single" w:sz="2" w:space="0" w:color="36424A" w:themeColor="accent2"/>
                        </w:tcBorders>
                        <w:shd w:val="clear" w:color="auto" w:fill="auto"/>
                        <w:noWrap/>
                        <w:hideMark/>
                      </w:tcPr>
                      <w:p w14:paraId="6102E7F7" w14:textId="77777777" w:rsidR="00DD1232" w:rsidRPr="00D9450E" w:rsidRDefault="00DD1232" w:rsidP="00D63E8D">
                        <w:pPr>
                          <w:pStyle w:val="TableText"/>
                          <w:cnfStyle w:val="000000100000" w:firstRow="0" w:lastRow="0" w:firstColumn="0" w:lastColumn="0" w:oddVBand="0" w:evenVBand="0" w:oddHBand="1" w:evenHBand="0" w:firstRowFirstColumn="0" w:firstRowLastColumn="0" w:lastRowFirstColumn="0" w:lastRowLastColumn="0"/>
                          <w:rPr>
                            <w:color w:val="auto"/>
                          </w:rPr>
                        </w:pPr>
                        <w:r w:rsidRPr="00D9450E">
                          <w:rPr>
                            <w:color w:val="auto"/>
                          </w:rPr>
                          <w:t>0.93</w:t>
                        </w:r>
                      </w:p>
                    </w:tc>
                    <w:tc>
                      <w:tcPr>
                        <w:tcW w:w="2033" w:type="dxa"/>
                        <w:tcBorders>
                          <w:top w:val="single" w:sz="2" w:space="0" w:color="36424A" w:themeColor="accent2"/>
                          <w:left w:val="single" w:sz="2" w:space="0" w:color="36424A" w:themeColor="accent2"/>
                          <w:bottom w:val="single" w:sz="2" w:space="0" w:color="36424A" w:themeColor="accent2"/>
                          <w:right w:val="single" w:sz="2" w:space="0" w:color="36424A" w:themeColor="accent2"/>
                        </w:tcBorders>
                        <w:shd w:val="clear" w:color="auto" w:fill="auto"/>
                        <w:noWrap/>
                        <w:hideMark/>
                      </w:tcPr>
                      <w:p w14:paraId="4789CEDD" w14:textId="275A5260" w:rsidR="00DD1232" w:rsidRPr="00D9450E" w:rsidRDefault="00DD1232" w:rsidP="00D63E8D">
                        <w:pPr>
                          <w:pStyle w:val="TableText"/>
                          <w:cnfStyle w:val="000000100000" w:firstRow="0" w:lastRow="0" w:firstColumn="0" w:lastColumn="0" w:oddVBand="0" w:evenVBand="0" w:oddHBand="1" w:evenHBand="0" w:firstRowFirstColumn="0" w:firstRowLastColumn="0" w:lastRowFirstColumn="0" w:lastRowLastColumn="0"/>
                          <w:rPr>
                            <w:color w:val="auto"/>
                          </w:rPr>
                        </w:pPr>
                        <w:r w:rsidRPr="00D9450E">
                          <w:rPr>
                            <w:color w:val="auto"/>
                          </w:rPr>
                          <w:t>67.0% (n=4</w:t>
                        </w:r>
                        <w:r w:rsidR="005B153B">
                          <w:rPr>
                            <w:color w:val="auto"/>
                          </w:rPr>
                          <w:t>,</w:t>
                        </w:r>
                        <w:r w:rsidRPr="00D9450E">
                          <w:rPr>
                            <w:color w:val="auto"/>
                          </w:rPr>
                          <w:t>676)</w:t>
                        </w:r>
                      </w:p>
                    </w:tc>
                  </w:tr>
                  <w:tr w:rsidR="00DD1232" w:rsidRPr="00DD1232" w14:paraId="142D5F23" w14:textId="77777777" w:rsidTr="00EB44CB">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0" w:type="auto"/>
                        <w:vMerge/>
                        <w:shd w:val="clear" w:color="auto" w:fill="auto"/>
                        <w:hideMark/>
                      </w:tcPr>
                      <w:p w14:paraId="681F9052" w14:textId="77777777" w:rsidR="00DD1232" w:rsidRPr="00EB44CB" w:rsidRDefault="00DD1232" w:rsidP="00D63E8D">
                        <w:pPr>
                          <w:pStyle w:val="TableText"/>
                          <w:rPr>
                            <w:color w:val="auto"/>
                          </w:rPr>
                        </w:pPr>
                      </w:p>
                    </w:tc>
                    <w:tc>
                      <w:tcPr>
                        <w:tcW w:w="0" w:type="auto"/>
                        <w:vMerge/>
                        <w:shd w:val="clear" w:color="auto" w:fill="auto"/>
                        <w:hideMark/>
                      </w:tcPr>
                      <w:p w14:paraId="1DF0877D" w14:textId="77777777" w:rsidR="00DD1232" w:rsidRPr="00EB44CB" w:rsidRDefault="00DD1232" w:rsidP="00D63E8D">
                        <w:pPr>
                          <w:pStyle w:val="TableText"/>
                          <w:cnfStyle w:val="000000010000" w:firstRow="0" w:lastRow="0" w:firstColumn="0" w:lastColumn="0" w:oddVBand="0" w:evenVBand="0" w:oddHBand="0" w:evenHBand="1" w:firstRowFirstColumn="0" w:firstRowLastColumn="0" w:lastRowFirstColumn="0" w:lastRowLastColumn="0"/>
                          <w:rPr>
                            <w:color w:val="auto"/>
                          </w:rPr>
                        </w:pPr>
                      </w:p>
                    </w:tc>
                    <w:tc>
                      <w:tcPr>
                        <w:tcW w:w="2568" w:type="dxa"/>
                        <w:tcBorders>
                          <w:top w:val="single" w:sz="2" w:space="0" w:color="36424A" w:themeColor="accent2"/>
                          <w:left w:val="single" w:sz="2" w:space="0" w:color="36424A" w:themeColor="accent2"/>
                          <w:bottom w:val="single" w:sz="2" w:space="0" w:color="36424A" w:themeColor="accent2"/>
                          <w:right w:val="single" w:sz="2" w:space="0" w:color="36424A" w:themeColor="accent2"/>
                        </w:tcBorders>
                        <w:shd w:val="clear" w:color="auto" w:fill="auto"/>
                        <w:noWrap/>
                        <w:hideMark/>
                      </w:tcPr>
                      <w:p w14:paraId="2F8A76E4" w14:textId="77777777" w:rsidR="00DD1232" w:rsidRPr="00EB44CB" w:rsidRDefault="00DD1232" w:rsidP="00D63E8D">
                        <w:pPr>
                          <w:pStyle w:val="TableText"/>
                          <w:cnfStyle w:val="000000010000" w:firstRow="0" w:lastRow="0" w:firstColumn="0" w:lastColumn="0" w:oddVBand="0" w:evenVBand="0" w:oddHBand="0" w:evenHBand="1" w:firstRowFirstColumn="0" w:firstRowLastColumn="0" w:lastRowFirstColumn="0" w:lastRowLastColumn="0"/>
                          <w:rPr>
                            <w:color w:val="auto"/>
                          </w:rPr>
                        </w:pPr>
                        <w:r w:rsidRPr="00EB44CB">
                          <w:rPr>
                            <w:color w:val="auto"/>
                          </w:rPr>
                          <w:t>Goals</w:t>
                        </w:r>
                      </w:p>
                    </w:tc>
                    <w:tc>
                      <w:tcPr>
                        <w:tcW w:w="964" w:type="dxa"/>
                        <w:tcBorders>
                          <w:top w:val="single" w:sz="2" w:space="0" w:color="36424A" w:themeColor="accent2"/>
                          <w:left w:val="single" w:sz="2" w:space="0" w:color="36424A" w:themeColor="accent2"/>
                          <w:bottom w:val="single" w:sz="2" w:space="0" w:color="36424A" w:themeColor="accent2"/>
                          <w:right w:val="single" w:sz="2" w:space="0" w:color="36424A" w:themeColor="accent2"/>
                        </w:tcBorders>
                        <w:shd w:val="clear" w:color="auto" w:fill="auto"/>
                        <w:noWrap/>
                        <w:hideMark/>
                      </w:tcPr>
                      <w:p w14:paraId="6DFFD04F" w14:textId="6CEA1A43" w:rsidR="00DD1232" w:rsidRPr="00D9450E" w:rsidRDefault="00DD1232" w:rsidP="00D63E8D">
                        <w:pPr>
                          <w:pStyle w:val="TableText"/>
                          <w:cnfStyle w:val="000000010000" w:firstRow="0" w:lastRow="0" w:firstColumn="0" w:lastColumn="0" w:oddVBand="0" w:evenVBand="0" w:oddHBand="0" w:evenHBand="1" w:firstRowFirstColumn="0" w:firstRowLastColumn="0" w:lastRowFirstColumn="0" w:lastRowLastColumn="0"/>
                          <w:rPr>
                            <w:color w:val="auto"/>
                          </w:rPr>
                        </w:pPr>
                        <w:r w:rsidRPr="00D9450E">
                          <w:rPr>
                            <w:color w:val="auto"/>
                          </w:rPr>
                          <w:t>6</w:t>
                        </w:r>
                        <w:r w:rsidR="005B153B">
                          <w:rPr>
                            <w:color w:val="auto"/>
                          </w:rPr>
                          <w:t>,</w:t>
                        </w:r>
                        <w:r w:rsidRPr="00D9450E">
                          <w:rPr>
                            <w:color w:val="auto"/>
                          </w:rPr>
                          <w:t>652</w:t>
                        </w:r>
                      </w:p>
                    </w:tc>
                    <w:tc>
                      <w:tcPr>
                        <w:tcW w:w="963" w:type="dxa"/>
                        <w:tcBorders>
                          <w:top w:val="single" w:sz="2" w:space="0" w:color="36424A" w:themeColor="accent2"/>
                          <w:left w:val="single" w:sz="2" w:space="0" w:color="36424A" w:themeColor="accent2"/>
                          <w:bottom w:val="single" w:sz="2" w:space="0" w:color="36424A" w:themeColor="accent2"/>
                          <w:right w:val="single" w:sz="2" w:space="0" w:color="36424A" w:themeColor="accent2"/>
                        </w:tcBorders>
                        <w:shd w:val="clear" w:color="auto" w:fill="auto"/>
                        <w:noWrap/>
                        <w:hideMark/>
                      </w:tcPr>
                      <w:p w14:paraId="09E74B7B" w14:textId="77777777" w:rsidR="00DD1232" w:rsidRPr="00D9450E" w:rsidRDefault="00DD1232" w:rsidP="00D63E8D">
                        <w:pPr>
                          <w:pStyle w:val="TableText"/>
                          <w:cnfStyle w:val="000000010000" w:firstRow="0" w:lastRow="0" w:firstColumn="0" w:lastColumn="0" w:oddVBand="0" w:evenVBand="0" w:oddHBand="0" w:evenHBand="1" w:firstRowFirstColumn="0" w:firstRowLastColumn="0" w:lastRowFirstColumn="0" w:lastRowLastColumn="0"/>
                          <w:rPr>
                            <w:color w:val="auto"/>
                          </w:rPr>
                        </w:pPr>
                        <w:r w:rsidRPr="00D9450E">
                          <w:rPr>
                            <w:color w:val="auto"/>
                          </w:rPr>
                          <w:t>1.06</w:t>
                        </w:r>
                      </w:p>
                    </w:tc>
                    <w:tc>
                      <w:tcPr>
                        <w:tcW w:w="2033" w:type="dxa"/>
                        <w:tcBorders>
                          <w:top w:val="single" w:sz="2" w:space="0" w:color="36424A" w:themeColor="accent2"/>
                          <w:left w:val="single" w:sz="2" w:space="0" w:color="36424A" w:themeColor="accent2"/>
                          <w:bottom w:val="single" w:sz="2" w:space="0" w:color="36424A" w:themeColor="accent2"/>
                          <w:right w:val="single" w:sz="2" w:space="0" w:color="36424A" w:themeColor="accent2"/>
                        </w:tcBorders>
                        <w:shd w:val="clear" w:color="auto" w:fill="auto"/>
                        <w:noWrap/>
                        <w:hideMark/>
                      </w:tcPr>
                      <w:p w14:paraId="09476D00" w14:textId="4F16EC6A" w:rsidR="00DD1232" w:rsidRPr="00D9450E" w:rsidRDefault="00DD1232" w:rsidP="00D63E8D">
                        <w:pPr>
                          <w:pStyle w:val="TableText"/>
                          <w:cnfStyle w:val="000000010000" w:firstRow="0" w:lastRow="0" w:firstColumn="0" w:lastColumn="0" w:oddVBand="0" w:evenVBand="0" w:oddHBand="0" w:evenHBand="1" w:firstRowFirstColumn="0" w:firstRowLastColumn="0" w:lastRowFirstColumn="0" w:lastRowLastColumn="0"/>
                          <w:rPr>
                            <w:color w:val="auto"/>
                          </w:rPr>
                        </w:pPr>
                        <w:r w:rsidRPr="00D9450E">
                          <w:rPr>
                            <w:color w:val="auto"/>
                          </w:rPr>
                          <w:t>70.0% (n=4</w:t>
                        </w:r>
                        <w:r w:rsidR="005B153B">
                          <w:rPr>
                            <w:color w:val="auto"/>
                          </w:rPr>
                          <w:t>,</w:t>
                        </w:r>
                        <w:r w:rsidRPr="00D9450E">
                          <w:rPr>
                            <w:color w:val="auto"/>
                          </w:rPr>
                          <w:t>654)</w:t>
                        </w:r>
                      </w:p>
                    </w:tc>
                  </w:tr>
                  <w:tr w:rsidR="00DD1232" w:rsidRPr="00DD1232" w14:paraId="45806245" w14:textId="77777777" w:rsidTr="00EB44CB">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0" w:type="auto"/>
                        <w:vMerge/>
                        <w:shd w:val="clear" w:color="auto" w:fill="auto"/>
                        <w:hideMark/>
                      </w:tcPr>
                      <w:p w14:paraId="2BA775CB" w14:textId="77777777" w:rsidR="00DD1232" w:rsidRPr="00EB44CB" w:rsidRDefault="00DD1232" w:rsidP="00D63E8D">
                        <w:pPr>
                          <w:pStyle w:val="TableText"/>
                          <w:rPr>
                            <w:color w:val="auto"/>
                          </w:rPr>
                        </w:pPr>
                      </w:p>
                    </w:tc>
                    <w:tc>
                      <w:tcPr>
                        <w:tcW w:w="1276" w:type="dxa"/>
                        <w:vMerge w:val="restart"/>
                        <w:tcBorders>
                          <w:top w:val="single" w:sz="2" w:space="0" w:color="36424A" w:themeColor="accent2"/>
                          <w:left w:val="single" w:sz="2" w:space="0" w:color="36424A" w:themeColor="accent2"/>
                          <w:bottom w:val="single" w:sz="2" w:space="0" w:color="36424A" w:themeColor="accent2"/>
                          <w:right w:val="single" w:sz="2" w:space="0" w:color="36424A" w:themeColor="accent2"/>
                        </w:tcBorders>
                        <w:shd w:val="clear" w:color="auto" w:fill="auto"/>
                        <w:noWrap/>
                        <w:hideMark/>
                      </w:tcPr>
                      <w:p w14:paraId="525EA970" w14:textId="77777777" w:rsidR="00DD1232" w:rsidRPr="00EB44CB" w:rsidRDefault="00DD1232" w:rsidP="00D63E8D">
                        <w:pPr>
                          <w:pStyle w:val="TableText"/>
                          <w:cnfStyle w:val="000000100000" w:firstRow="0" w:lastRow="0" w:firstColumn="0" w:lastColumn="0" w:oddVBand="0" w:evenVBand="0" w:oddHBand="1" w:evenHBand="0" w:firstRowFirstColumn="0" w:firstRowLastColumn="0" w:lastRowFirstColumn="0" w:lastRowLastColumn="0"/>
                          <w:rPr>
                            <w:color w:val="auto"/>
                          </w:rPr>
                        </w:pPr>
                        <w:r w:rsidRPr="00EB44CB">
                          <w:rPr>
                            <w:color w:val="auto"/>
                          </w:rPr>
                          <w:t>Yes</w:t>
                        </w:r>
                      </w:p>
                    </w:tc>
                    <w:tc>
                      <w:tcPr>
                        <w:tcW w:w="2568" w:type="dxa"/>
                        <w:tcBorders>
                          <w:top w:val="single" w:sz="2" w:space="0" w:color="36424A" w:themeColor="accent2"/>
                          <w:left w:val="single" w:sz="2" w:space="0" w:color="36424A" w:themeColor="accent2"/>
                          <w:bottom w:val="single" w:sz="2" w:space="0" w:color="36424A" w:themeColor="accent2"/>
                          <w:right w:val="single" w:sz="2" w:space="0" w:color="36424A" w:themeColor="accent2"/>
                        </w:tcBorders>
                        <w:shd w:val="clear" w:color="auto" w:fill="auto"/>
                        <w:noWrap/>
                        <w:hideMark/>
                      </w:tcPr>
                      <w:p w14:paraId="14970C7A" w14:textId="77777777" w:rsidR="00DD1232" w:rsidRPr="00EB44CB" w:rsidRDefault="00DD1232" w:rsidP="00D63E8D">
                        <w:pPr>
                          <w:pStyle w:val="TableText"/>
                          <w:cnfStyle w:val="000000100000" w:firstRow="0" w:lastRow="0" w:firstColumn="0" w:lastColumn="0" w:oddVBand="0" w:evenVBand="0" w:oddHBand="1" w:evenHBand="0" w:firstRowFirstColumn="0" w:firstRowLastColumn="0" w:lastRowFirstColumn="0" w:lastRowLastColumn="0"/>
                          <w:rPr>
                            <w:color w:val="auto"/>
                          </w:rPr>
                        </w:pPr>
                        <w:r w:rsidRPr="00EB44CB">
                          <w:rPr>
                            <w:color w:val="auto"/>
                          </w:rPr>
                          <w:t>Circumstances</w:t>
                        </w:r>
                      </w:p>
                    </w:tc>
                    <w:tc>
                      <w:tcPr>
                        <w:tcW w:w="964" w:type="dxa"/>
                        <w:tcBorders>
                          <w:top w:val="single" w:sz="2" w:space="0" w:color="36424A" w:themeColor="accent2"/>
                          <w:left w:val="single" w:sz="2" w:space="0" w:color="36424A" w:themeColor="accent2"/>
                          <w:bottom w:val="single" w:sz="2" w:space="0" w:color="36424A" w:themeColor="accent2"/>
                          <w:right w:val="single" w:sz="2" w:space="0" w:color="36424A" w:themeColor="accent2"/>
                        </w:tcBorders>
                        <w:shd w:val="clear" w:color="auto" w:fill="auto"/>
                        <w:noWrap/>
                        <w:hideMark/>
                      </w:tcPr>
                      <w:p w14:paraId="01C64F2F" w14:textId="77777777" w:rsidR="00DD1232" w:rsidRPr="00D9450E" w:rsidRDefault="00DD1232" w:rsidP="00D63E8D">
                        <w:pPr>
                          <w:pStyle w:val="TableText"/>
                          <w:cnfStyle w:val="000000100000" w:firstRow="0" w:lastRow="0" w:firstColumn="0" w:lastColumn="0" w:oddVBand="0" w:evenVBand="0" w:oddHBand="1" w:evenHBand="0" w:firstRowFirstColumn="0" w:firstRowLastColumn="0" w:lastRowFirstColumn="0" w:lastRowLastColumn="0"/>
                          <w:rPr>
                            <w:color w:val="auto"/>
                          </w:rPr>
                        </w:pPr>
                        <w:r w:rsidRPr="00D9450E">
                          <w:rPr>
                            <w:color w:val="auto"/>
                          </w:rPr>
                          <w:t>483</w:t>
                        </w:r>
                      </w:p>
                    </w:tc>
                    <w:tc>
                      <w:tcPr>
                        <w:tcW w:w="963" w:type="dxa"/>
                        <w:tcBorders>
                          <w:top w:val="single" w:sz="2" w:space="0" w:color="36424A" w:themeColor="accent2"/>
                          <w:left w:val="single" w:sz="2" w:space="0" w:color="36424A" w:themeColor="accent2"/>
                          <w:bottom w:val="single" w:sz="2" w:space="0" w:color="36424A" w:themeColor="accent2"/>
                          <w:right w:val="single" w:sz="2" w:space="0" w:color="36424A" w:themeColor="accent2"/>
                        </w:tcBorders>
                        <w:shd w:val="clear" w:color="auto" w:fill="auto"/>
                        <w:noWrap/>
                        <w:hideMark/>
                      </w:tcPr>
                      <w:p w14:paraId="2FD86DA8" w14:textId="77777777" w:rsidR="00DD1232" w:rsidRPr="00D9450E" w:rsidRDefault="00DD1232" w:rsidP="00D63E8D">
                        <w:pPr>
                          <w:pStyle w:val="TableText"/>
                          <w:cnfStyle w:val="000000100000" w:firstRow="0" w:lastRow="0" w:firstColumn="0" w:lastColumn="0" w:oddVBand="0" w:evenVBand="0" w:oddHBand="1" w:evenHBand="0" w:firstRowFirstColumn="0" w:firstRowLastColumn="0" w:lastRowFirstColumn="0" w:lastRowLastColumn="0"/>
                          <w:rPr>
                            <w:color w:val="auto"/>
                          </w:rPr>
                        </w:pPr>
                        <w:r w:rsidRPr="00D9450E">
                          <w:rPr>
                            <w:color w:val="auto"/>
                          </w:rPr>
                          <w:t>0.83</w:t>
                        </w:r>
                      </w:p>
                    </w:tc>
                    <w:tc>
                      <w:tcPr>
                        <w:tcW w:w="2033" w:type="dxa"/>
                        <w:tcBorders>
                          <w:top w:val="single" w:sz="2" w:space="0" w:color="36424A" w:themeColor="accent2"/>
                          <w:left w:val="single" w:sz="2" w:space="0" w:color="36424A" w:themeColor="accent2"/>
                          <w:bottom w:val="single" w:sz="2" w:space="0" w:color="36424A" w:themeColor="accent2"/>
                          <w:right w:val="single" w:sz="2" w:space="0" w:color="36424A" w:themeColor="accent2"/>
                        </w:tcBorders>
                        <w:shd w:val="clear" w:color="auto" w:fill="auto"/>
                        <w:noWrap/>
                        <w:hideMark/>
                      </w:tcPr>
                      <w:p w14:paraId="1CF386A0" w14:textId="77777777" w:rsidR="00DD1232" w:rsidRPr="00D9450E" w:rsidRDefault="00DD1232" w:rsidP="00D63E8D">
                        <w:pPr>
                          <w:pStyle w:val="TableText"/>
                          <w:cnfStyle w:val="000000100000" w:firstRow="0" w:lastRow="0" w:firstColumn="0" w:lastColumn="0" w:oddVBand="0" w:evenVBand="0" w:oddHBand="1" w:evenHBand="0" w:firstRowFirstColumn="0" w:firstRowLastColumn="0" w:lastRowFirstColumn="0" w:lastRowLastColumn="0"/>
                          <w:rPr>
                            <w:color w:val="auto"/>
                          </w:rPr>
                        </w:pPr>
                        <w:r w:rsidRPr="00D9450E">
                          <w:rPr>
                            <w:color w:val="auto"/>
                          </w:rPr>
                          <w:t>59.2% (n=286)</w:t>
                        </w:r>
                      </w:p>
                    </w:tc>
                  </w:tr>
                  <w:tr w:rsidR="00DD1232" w:rsidRPr="00DD1232" w14:paraId="392F60B2" w14:textId="77777777" w:rsidTr="00EB44CB">
                    <w:trPr>
                      <w:cnfStyle w:val="000000010000" w:firstRow="0" w:lastRow="0" w:firstColumn="0" w:lastColumn="0" w:oddVBand="0" w:evenVBand="0" w:oddHBand="0" w:evenHBand="1" w:firstRowFirstColumn="0" w:firstRowLastColumn="0" w:lastRowFirstColumn="0" w:lastRowLastColumn="0"/>
                      <w:trHeight w:val="82"/>
                    </w:trPr>
                    <w:tc>
                      <w:tcPr>
                        <w:cnfStyle w:val="001000000000" w:firstRow="0" w:lastRow="0" w:firstColumn="1" w:lastColumn="0" w:oddVBand="0" w:evenVBand="0" w:oddHBand="0" w:evenHBand="0" w:firstRowFirstColumn="0" w:firstRowLastColumn="0" w:lastRowFirstColumn="0" w:lastRowLastColumn="0"/>
                        <w:tcW w:w="0" w:type="auto"/>
                        <w:vMerge/>
                        <w:shd w:val="clear" w:color="auto" w:fill="auto"/>
                        <w:hideMark/>
                      </w:tcPr>
                      <w:p w14:paraId="6946C91B" w14:textId="77777777" w:rsidR="00DD1232" w:rsidRPr="00EB44CB" w:rsidRDefault="00DD1232" w:rsidP="00D63E8D">
                        <w:pPr>
                          <w:pStyle w:val="TableText"/>
                          <w:rPr>
                            <w:color w:val="auto"/>
                          </w:rPr>
                        </w:pPr>
                      </w:p>
                    </w:tc>
                    <w:tc>
                      <w:tcPr>
                        <w:tcW w:w="0" w:type="auto"/>
                        <w:vMerge/>
                        <w:shd w:val="clear" w:color="auto" w:fill="auto"/>
                        <w:hideMark/>
                      </w:tcPr>
                      <w:p w14:paraId="5B9DFB0E" w14:textId="77777777" w:rsidR="00DD1232" w:rsidRPr="00EB44CB" w:rsidRDefault="00DD1232" w:rsidP="00D63E8D">
                        <w:pPr>
                          <w:pStyle w:val="TableText"/>
                          <w:cnfStyle w:val="000000010000" w:firstRow="0" w:lastRow="0" w:firstColumn="0" w:lastColumn="0" w:oddVBand="0" w:evenVBand="0" w:oddHBand="0" w:evenHBand="1" w:firstRowFirstColumn="0" w:firstRowLastColumn="0" w:lastRowFirstColumn="0" w:lastRowLastColumn="0"/>
                          <w:rPr>
                            <w:color w:val="auto"/>
                          </w:rPr>
                        </w:pPr>
                      </w:p>
                    </w:tc>
                    <w:tc>
                      <w:tcPr>
                        <w:tcW w:w="2568" w:type="dxa"/>
                        <w:tcBorders>
                          <w:top w:val="single" w:sz="2" w:space="0" w:color="36424A" w:themeColor="accent2"/>
                          <w:left w:val="single" w:sz="2" w:space="0" w:color="36424A" w:themeColor="accent2"/>
                          <w:bottom w:val="single" w:sz="2" w:space="0" w:color="36424A" w:themeColor="accent2"/>
                          <w:right w:val="single" w:sz="2" w:space="0" w:color="36424A" w:themeColor="accent2"/>
                        </w:tcBorders>
                        <w:shd w:val="clear" w:color="auto" w:fill="auto"/>
                        <w:noWrap/>
                        <w:hideMark/>
                      </w:tcPr>
                      <w:p w14:paraId="56B537A7" w14:textId="77777777" w:rsidR="00DD1232" w:rsidRPr="00EB44CB" w:rsidRDefault="00DD1232" w:rsidP="00D63E8D">
                        <w:pPr>
                          <w:pStyle w:val="TableText"/>
                          <w:cnfStyle w:val="000000010000" w:firstRow="0" w:lastRow="0" w:firstColumn="0" w:lastColumn="0" w:oddVBand="0" w:evenVBand="0" w:oddHBand="0" w:evenHBand="1" w:firstRowFirstColumn="0" w:firstRowLastColumn="0" w:lastRowFirstColumn="0" w:lastRowLastColumn="0"/>
                          <w:rPr>
                            <w:color w:val="auto"/>
                          </w:rPr>
                        </w:pPr>
                        <w:r w:rsidRPr="00EB44CB">
                          <w:rPr>
                            <w:color w:val="auto"/>
                          </w:rPr>
                          <w:t>Goals</w:t>
                        </w:r>
                      </w:p>
                    </w:tc>
                    <w:tc>
                      <w:tcPr>
                        <w:tcW w:w="964" w:type="dxa"/>
                        <w:tcBorders>
                          <w:top w:val="single" w:sz="2" w:space="0" w:color="36424A" w:themeColor="accent2"/>
                          <w:left w:val="single" w:sz="2" w:space="0" w:color="36424A" w:themeColor="accent2"/>
                          <w:bottom w:val="single" w:sz="2" w:space="0" w:color="36424A" w:themeColor="accent2"/>
                          <w:right w:val="single" w:sz="2" w:space="0" w:color="36424A" w:themeColor="accent2"/>
                        </w:tcBorders>
                        <w:shd w:val="clear" w:color="auto" w:fill="auto"/>
                        <w:noWrap/>
                        <w:hideMark/>
                      </w:tcPr>
                      <w:p w14:paraId="0124ED45" w14:textId="77777777" w:rsidR="00DD1232" w:rsidRPr="00D9450E" w:rsidRDefault="00DD1232" w:rsidP="00D63E8D">
                        <w:pPr>
                          <w:pStyle w:val="TableText"/>
                          <w:cnfStyle w:val="000000010000" w:firstRow="0" w:lastRow="0" w:firstColumn="0" w:lastColumn="0" w:oddVBand="0" w:evenVBand="0" w:oddHBand="0" w:evenHBand="1" w:firstRowFirstColumn="0" w:firstRowLastColumn="0" w:lastRowFirstColumn="0" w:lastRowLastColumn="0"/>
                          <w:rPr>
                            <w:color w:val="auto"/>
                          </w:rPr>
                        </w:pPr>
                        <w:r w:rsidRPr="00D9450E">
                          <w:rPr>
                            <w:color w:val="auto"/>
                          </w:rPr>
                          <w:t>479</w:t>
                        </w:r>
                      </w:p>
                    </w:tc>
                    <w:tc>
                      <w:tcPr>
                        <w:tcW w:w="963" w:type="dxa"/>
                        <w:tcBorders>
                          <w:top w:val="single" w:sz="2" w:space="0" w:color="36424A" w:themeColor="accent2"/>
                          <w:left w:val="single" w:sz="2" w:space="0" w:color="36424A" w:themeColor="accent2"/>
                          <w:bottom w:val="single" w:sz="2" w:space="0" w:color="36424A" w:themeColor="accent2"/>
                          <w:right w:val="single" w:sz="2" w:space="0" w:color="36424A" w:themeColor="accent2"/>
                        </w:tcBorders>
                        <w:shd w:val="clear" w:color="auto" w:fill="auto"/>
                        <w:noWrap/>
                        <w:hideMark/>
                      </w:tcPr>
                      <w:p w14:paraId="00AF1D41" w14:textId="77777777" w:rsidR="00DD1232" w:rsidRPr="00D9450E" w:rsidRDefault="00DD1232" w:rsidP="00D63E8D">
                        <w:pPr>
                          <w:pStyle w:val="TableText"/>
                          <w:cnfStyle w:val="000000010000" w:firstRow="0" w:lastRow="0" w:firstColumn="0" w:lastColumn="0" w:oddVBand="0" w:evenVBand="0" w:oddHBand="0" w:evenHBand="1" w:firstRowFirstColumn="0" w:firstRowLastColumn="0" w:lastRowFirstColumn="0" w:lastRowLastColumn="0"/>
                          <w:rPr>
                            <w:color w:val="auto"/>
                          </w:rPr>
                        </w:pPr>
                        <w:r w:rsidRPr="00D9450E">
                          <w:rPr>
                            <w:color w:val="auto"/>
                          </w:rPr>
                          <w:t>1.04</w:t>
                        </w:r>
                      </w:p>
                    </w:tc>
                    <w:tc>
                      <w:tcPr>
                        <w:tcW w:w="2033" w:type="dxa"/>
                        <w:tcBorders>
                          <w:top w:val="single" w:sz="2" w:space="0" w:color="36424A" w:themeColor="accent2"/>
                          <w:left w:val="single" w:sz="2" w:space="0" w:color="36424A" w:themeColor="accent2"/>
                          <w:bottom w:val="single" w:sz="2" w:space="0" w:color="36424A" w:themeColor="accent2"/>
                          <w:right w:val="single" w:sz="2" w:space="0" w:color="36424A" w:themeColor="accent2"/>
                        </w:tcBorders>
                        <w:shd w:val="clear" w:color="auto" w:fill="auto"/>
                        <w:noWrap/>
                        <w:hideMark/>
                      </w:tcPr>
                      <w:p w14:paraId="5901E808" w14:textId="77777777" w:rsidR="00DD1232" w:rsidRPr="00D9450E" w:rsidRDefault="00DD1232" w:rsidP="00D63E8D">
                        <w:pPr>
                          <w:pStyle w:val="TableText"/>
                          <w:cnfStyle w:val="000000010000" w:firstRow="0" w:lastRow="0" w:firstColumn="0" w:lastColumn="0" w:oddVBand="0" w:evenVBand="0" w:oddHBand="0" w:evenHBand="1" w:firstRowFirstColumn="0" w:firstRowLastColumn="0" w:lastRowFirstColumn="0" w:lastRowLastColumn="0"/>
                          <w:rPr>
                            <w:color w:val="auto"/>
                          </w:rPr>
                        </w:pPr>
                        <w:r w:rsidRPr="00D9450E">
                          <w:rPr>
                            <w:color w:val="auto"/>
                          </w:rPr>
                          <w:t>66.4% (n=318)</w:t>
                        </w:r>
                      </w:p>
                    </w:tc>
                  </w:tr>
                </w:tbl>
                <w:p w14:paraId="2444AE0B" w14:textId="77777777" w:rsidR="00785EAC" w:rsidRPr="00F6254E" w:rsidRDefault="00785EAC" w:rsidP="00785EAC">
                  <w:pPr>
                    <w:pStyle w:val="TableFigureTitle"/>
                    <w:rPr>
                      <w:sz w:val="20"/>
                      <w:szCs w:val="18"/>
                    </w:rPr>
                  </w:pPr>
                  <w:r w:rsidRPr="00F6254E">
                    <w:rPr>
                      <w:sz w:val="20"/>
                      <w:szCs w:val="18"/>
                    </w:rPr>
                    <w:t>Source: DEX-SOURCE data</w:t>
                  </w:r>
                </w:p>
                <w:p w14:paraId="735BEBF8" w14:textId="77777777" w:rsidR="00D9450E" w:rsidRDefault="00D9450E" w:rsidP="008E1B83">
                  <w:pPr>
                    <w:pStyle w:val="TableFigure-Header"/>
                  </w:pPr>
                </w:p>
                <w:p w14:paraId="58084254" w14:textId="2DD0285B" w:rsidR="005A35BA" w:rsidRDefault="005A35BA">
                  <w:pPr>
                    <w:rPr>
                      <w:i/>
                      <w:lang w:val="en-US"/>
                    </w:rPr>
                  </w:pPr>
                  <w:r>
                    <w:rPr>
                      <w:lang w:val="en-US"/>
                    </w:rPr>
                    <w:br w:type="page"/>
                  </w:r>
                </w:p>
                <w:p w14:paraId="714E9F35" w14:textId="77777777" w:rsidR="0016658B" w:rsidRPr="00DB352A" w:rsidRDefault="0016658B" w:rsidP="0016658B">
                  <w:pPr>
                    <w:pStyle w:val="TableFigure-Notes"/>
                    <w:rPr>
                      <w:lang w:val="en-US"/>
                    </w:rPr>
                  </w:pPr>
                </w:p>
                <w:p w14:paraId="4A3DD163" w14:textId="3C7296E5" w:rsidR="004B5E6F" w:rsidRPr="004D0875" w:rsidRDefault="004B5E6F" w:rsidP="00DE647E">
                  <w:pPr>
                    <w:pStyle w:val="TableFigure-Header"/>
                    <w:jc w:val="both"/>
                    <w:rPr>
                      <w:rStyle w:val="Text-Bold"/>
                      <w:b/>
                      <w:sz w:val="22"/>
                      <w:szCs w:val="22"/>
                      <w:lang w:val="en-NZ"/>
                    </w:rPr>
                  </w:pPr>
                </w:p>
                <w:p w14:paraId="0E30B37B" w14:textId="74A99C5A" w:rsidR="00626FF8" w:rsidRDefault="005A3D39" w:rsidP="003D5765">
                  <w:pPr>
                    <w:pStyle w:val="Caption"/>
                  </w:pPr>
                  <w:r>
                    <w:rPr>
                      <w:noProof/>
                    </w:rPr>
                    <mc:AlternateContent>
                      <mc:Choice Requires="wpg">
                        <w:drawing>
                          <wp:anchor distT="0" distB="0" distL="114300" distR="114300" simplePos="0" relativeHeight="251658265" behindDoc="0" locked="0" layoutInCell="1" allowOverlap="1" wp14:anchorId="716956EA" wp14:editId="66A11DD1">
                            <wp:simplePos x="0" y="0"/>
                            <wp:positionH relativeFrom="margin">
                              <wp:posOffset>0</wp:posOffset>
                            </wp:positionH>
                            <wp:positionV relativeFrom="paragraph">
                              <wp:posOffset>0</wp:posOffset>
                            </wp:positionV>
                            <wp:extent cx="6075176" cy="8514608"/>
                            <wp:effectExtent l="0" t="0" r="1905" b="1270"/>
                            <wp:wrapNone/>
                            <wp:docPr id="1773964791" name="Group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075176" cy="8514608"/>
                                      <a:chOff x="0" y="0"/>
                                      <a:chExt cx="6123175" cy="5045707"/>
                                    </a:xfrm>
                                  </wpg:grpSpPr>
                                  <wpg:graphicFrame>
                                    <wpg:cNvPr id="1719105710" name="Chart 1719105710"/>
                                    <wpg:cNvFrPr>
                                      <a:graphicFrameLocks/>
                                    </wpg:cNvFrPr>
                                    <wpg:xfrm>
                                      <a:off x="0" y="0"/>
                                      <a:ext cx="6123175" cy="2515232"/>
                                    </wpg:xfrm>
                                    <a:graphic>
                                      <a:graphicData uri="http://schemas.openxmlformats.org/drawingml/2006/chart">
                                        <c:chart xmlns:c="http://schemas.openxmlformats.org/drawingml/2006/chart" xmlns:r="http://schemas.openxmlformats.org/officeDocument/2006/relationships" r:id="rId95"/>
                                      </a:graphicData>
                                    </a:graphic>
                                  </wpg:graphicFrame>
                                  <wpg:graphicFrame>
                                    <wpg:cNvPr id="1146242966" name="Chart 1146242966"/>
                                    <wpg:cNvFrPr>
                                      <a:graphicFrameLocks/>
                                    </wpg:cNvFrPr>
                                    <wpg:xfrm>
                                      <a:off x="1588" y="2533650"/>
                                      <a:ext cx="6120000" cy="2512057"/>
                                    </wpg:xfrm>
                                    <a:graphic>
                                      <a:graphicData uri="http://schemas.openxmlformats.org/drawingml/2006/chart">
                                        <c:chart xmlns:c="http://schemas.openxmlformats.org/drawingml/2006/chart" xmlns:r="http://schemas.openxmlformats.org/officeDocument/2006/relationships" r:id="rId96"/>
                                      </a:graphicData>
                                    </a:graphic>
                                  </wpg:graphicFrame>
                                </wpg:wgp>
                              </a:graphicData>
                            </a:graphic>
                            <wp14:sizeRelV relativeFrom="margin">
                              <wp14:pctHeight>0</wp14:pctHeight>
                            </wp14:sizeRelV>
                          </wp:anchor>
                        </w:drawing>
                      </mc:Choice>
                      <mc:Fallback>
                        <w:pict>
                          <v:group w14:anchorId="37E83EE1" id="Group 4" o:spid="_x0000_s1026" alt="&quot;&quot;" style="position:absolute;margin-left:0;margin-top:0;width:478.35pt;height:670.45pt;z-index:251658265;mso-position-horizontal-relative:margin;mso-height-relative:margin" coordsize="61231,50457" o:gfxdata="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">
                            <v:shape id="Chart 1719105710" o:spid="_x0000_s1027" type="#_x0000_t75" style="position:absolute;left:-61;top:-36;width:61379;height:2521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">
                              <v:imagedata r:id="rId97" o:title=""/>
                              <o:lock v:ext="edit" aspectratio="f"/>
                            </v:shape>
                            <v:shape id="Chart 1146242966" o:spid="_x0000_s1028" type="#_x0000_t75" style="position:absolute;left:-61;top:25287;width:61318;height:252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">
                              <v:imagedata r:id="rId98" o:title=""/>
                              <o:lock v:ext="edit" aspectratio="f"/>
                            </v:shape>
                            <w10:wrap anchorx="margin"/>
                          </v:group>
                        </w:pict>
                      </mc:Fallback>
                    </mc:AlternateContent>
                  </w:r>
                  <w:r w:rsidR="00C64C3D">
                    <w:rPr>
                      <w:noProof/>
                    </w:rPr>
                    <mc:AlternateContent>
                      <mc:Choice Requires="wps">
                        <w:drawing>
                          <wp:anchor distT="0" distB="0" distL="114300" distR="114300" simplePos="0" relativeHeight="251658264" behindDoc="0" locked="0" layoutInCell="1" allowOverlap="1" wp14:anchorId="39AD3FA0" wp14:editId="58438607">
                            <wp:simplePos x="0" y="0"/>
                            <wp:positionH relativeFrom="column">
                              <wp:posOffset>0</wp:posOffset>
                            </wp:positionH>
                            <wp:positionV relativeFrom="paragraph">
                              <wp:posOffset>-461645</wp:posOffset>
                            </wp:positionV>
                            <wp:extent cx="6075045" cy="457200"/>
                            <wp:effectExtent l="0" t="0" r="1905" b="0"/>
                            <wp:wrapNone/>
                            <wp:docPr id="1494133928" name="Text Box 1" descr="P3259TB27#y1"/>
                            <wp:cNvGraphicFramePr/>
                            <a:graphic xmlns:a="http://schemas.openxmlformats.org/drawingml/2006/main">
                              <a:graphicData uri="http://schemas.microsoft.com/office/word/2010/wordprocessingShape">
                                <wps:wsp>
                                  <wps:cNvSpPr txBox="1"/>
                                  <wps:spPr>
                                    <a:xfrm>
                                      <a:off x="0" y="0"/>
                                      <a:ext cx="6075045" cy="457200"/>
                                    </a:xfrm>
                                    <a:prstGeom prst="rect">
                                      <a:avLst/>
                                    </a:prstGeom>
                                    <a:solidFill>
                                      <a:prstClr val="white"/>
                                    </a:solidFill>
                                    <a:ln>
                                      <a:noFill/>
                                    </a:ln>
                                  </wps:spPr>
                                  <wps:txbx>
                                    <w:txbxContent>
                                      <w:p w14:paraId="54187E65" w14:textId="21F8339F" w:rsidR="00C64C3D" w:rsidRPr="00236A37" w:rsidRDefault="00C64C3D" w:rsidP="00253034">
                                        <w:pPr>
                                          <w:pStyle w:val="Caption"/>
                                          <w:rPr>
                                            <w:noProof/>
                                            <w:sz w:val="21"/>
                                            <w:szCs w:val="21"/>
                                          </w:rPr>
                                        </w:pPr>
                                        <w:r w:rsidRPr="00236A37">
                                          <w:rPr>
                                            <w:sz w:val="21"/>
                                            <w:szCs w:val="21"/>
                                          </w:rPr>
                                          <w:t xml:space="preserve">Figure </w:t>
                                        </w:r>
                                        <w:r w:rsidRPr="00236A37">
                                          <w:rPr>
                                            <w:sz w:val="21"/>
                                            <w:szCs w:val="21"/>
                                          </w:rPr>
                                          <w:fldChar w:fldCharType="begin"/>
                                        </w:r>
                                        <w:r w:rsidRPr="00236A37">
                                          <w:rPr>
                                            <w:sz w:val="21"/>
                                            <w:szCs w:val="21"/>
                                          </w:rPr>
                                          <w:instrText xml:space="preserve"> SEQ Figure \* ARABIC </w:instrText>
                                        </w:r>
                                        <w:r w:rsidRPr="00236A37">
                                          <w:rPr>
                                            <w:sz w:val="21"/>
                                            <w:szCs w:val="21"/>
                                          </w:rPr>
                                          <w:fldChar w:fldCharType="separate"/>
                                        </w:r>
                                        <w:r w:rsidR="008D2566">
                                          <w:rPr>
                                            <w:noProof/>
                                            <w:sz w:val="21"/>
                                            <w:szCs w:val="21"/>
                                          </w:rPr>
                                          <w:t>39</w:t>
                                        </w:r>
                                        <w:r w:rsidRPr="00236A37">
                                          <w:rPr>
                                            <w:sz w:val="21"/>
                                            <w:szCs w:val="21"/>
                                          </w:rPr>
                                          <w:fldChar w:fldCharType="end"/>
                                        </w:r>
                                        <w:r w:rsidRPr="00236A37">
                                          <w:rPr>
                                            <w:sz w:val="21"/>
                                            <w:szCs w:val="21"/>
                                          </w:rPr>
                                          <w:t>: Earliest to latest SCORE changes within subjects, Aboriginal and Torres Strait Islander FaRS service users, July 2021 to June 2024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39AD3FA0" id="_x0000_s1030" type="#_x0000_t202" alt="P3259TB27#y1" style="position:absolute;margin-left:0;margin-top:-36.35pt;width:478.35pt;height:36pt;z-index:251658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" stroked="f">
                            <v:textbox inset="0,0,0,0">
                              <w:txbxContent>
                                <w:p w14:paraId="54187E65" w14:textId="21F8339F" w:rsidR="00C64C3D" w:rsidRPr="00236A37" w:rsidRDefault="00C64C3D" w:rsidP="00253034">
                                  <w:pPr>
                                    <w:pStyle w:val="Caption"/>
                                    <w:rPr>
                                      <w:noProof/>
                                      <w:sz w:val="21"/>
                                      <w:szCs w:val="21"/>
                                    </w:rPr>
                                  </w:pPr>
                                  <w:r w:rsidRPr="00236A37">
                                    <w:rPr>
                                      <w:sz w:val="21"/>
                                      <w:szCs w:val="21"/>
                                    </w:rPr>
                                    <w:t xml:space="preserve">Figure </w:t>
                                  </w:r>
                                  <w:r w:rsidRPr="00236A37">
                                    <w:rPr>
                                      <w:sz w:val="21"/>
                                      <w:szCs w:val="21"/>
                                    </w:rPr>
                                    <w:fldChar w:fldCharType="begin"/>
                                  </w:r>
                                  <w:r w:rsidRPr="00236A37">
                                    <w:rPr>
                                      <w:sz w:val="21"/>
                                      <w:szCs w:val="21"/>
                                    </w:rPr>
                                    <w:instrText xml:space="preserve"> SEQ Figure \* ARABIC </w:instrText>
                                  </w:r>
                                  <w:r w:rsidRPr="00236A37">
                                    <w:rPr>
                                      <w:sz w:val="21"/>
                                      <w:szCs w:val="21"/>
                                    </w:rPr>
                                    <w:fldChar w:fldCharType="separate"/>
                                  </w:r>
                                  <w:r w:rsidR="008D2566">
                                    <w:rPr>
                                      <w:noProof/>
                                      <w:sz w:val="21"/>
                                      <w:szCs w:val="21"/>
                                    </w:rPr>
                                    <w:t>39</w:t>
                                  </w:r>
                                  <w:r w:rsidRPr="00236A37">
                                    <w:rPr>
                                      <w:sz w:val="21"/>
                                      <w:szCs w:val="21"/>
                                    </w:rPr>
                                    <w:fldChar w:fldCharType="end"/>
                                  </w:r>
                                  <w:r w:rsidRPr="00236A37">
                                    <w:rPr>
                                      <w:sz w:val="21"/>
                                      <w:szCs w:val="21"/>
                                    </w:rPr>
                                    <w:t>: Earliest to latest SCORE changes within subjects, Aboriginal and Torres Strait Islander FaRS service users, July 2021 to June 2024</w:t>
                                  </w:r>
                                </w:p>
                              </w:txbxContent>
                            </v:textbox>
                          </v:shape>
                        </w:pict>
                      </mc:Fallback>
                    </mc:AlternateContent>
                  </w:r>
                </w:p>
                <w:p w14:paraId="655E5067" w14:textId="77777777" w:rsidR="00297F9F" w:rsidRDefault="00297F9F" w:rsidP="00297F9F">
                  <w:pPr>
                    <w:pStyle w:val="TableFigureTitle"/>
                  </w:pPr>
                </w:p>
                <w:p w14:paraId="50A41FCA" w14:textId="77777777" w:rsidR="00297F9F" w:rsidRDefault="00297F9F" w:rsidP="00297F9F">
                  <w:pPr>
                    <w:pStyle w:val="TableFigure-Notes"/>
                  </w:pPr>
                </w:p>
                <w:p w14:paraId="02DD750F" w14:textId="77777777" w:rsidR="00297F9F" w:rsidRDefault="00297F9F" w:rsidP="00297F9F">
                  <w:pPr>
                    <w:pStyle w:val="TableFigure-Notes"/>
                  </w:pPr>
                </w:p>
                <w:p w14:paraId="325336B2" w14:textId="77777777" w:rsidR="00297F9F" w:rsidRDefault="00297F9F" w:rsidP="00297F9F">
                  <w:pPr>
                    <w:pStyle w:val="TableFigure-Notes"/>
                  </w:pPr>
                </w:p>
                <w:p w14:paraId="0FEC7D16" w14:textId="77777777" w:rsidR="00297F9F" w:rsidRDefault="00297F9F" w:rsidP="00297F9F">
                  <w:pPr>
                    <w:pStyle w:val="TableFigure-Notes"/>
                  </w:pPr>
                </w:p>
                <w:p w14:paraId="2B0A7D6A" w14:textId="77777777" w:rsidR="00297F9F" w:rsidRDefault="00297F9F" w:rsidP="00297F9F">
                  <w:pPr>
                    <w:pStyle w:val="TableFigure-Notes"/>
                  </w:pPr>
                </w:p>
                <w:p w14:paraId="13D500F0" w14:textId="6523AF24" w:rsidR="00297F9F" w:rsidRPr="00236A37" w:rsidRDefault="005A3D39" w:rsidP="00236A37">
                  <w:pPr>
                    <w:rPr>
                      <w:sz w:val="18"/>
                      <w:szCs w:val="18"/>
                    </w:rPr>
                  </w:pPr>
                  <w:r>
                    <w:br w:type="page"/>
                  </w:r>
                </w:p>
                <w:p w14:paraId="2124F94B" w14:textId="5B9D56B3" w:rsidR="001F3AA8" w:rsidRPr="009C0F6E" w:rsidRDefault="001F3AA8" w:rsidP="00253034">
                  <w:pPr>
                    <w:pStyle w:val="TableFigure-Header"/>
                    <w:spacing w:line="276" w:lineRule="auto"/>
                    <w:jc w:val="both"/>
                    <w:rPr>
                      <w:sz w:val="20"/>
                    </w:rPr>
                  </w:pPr>
                  <w:r w:rsidRPr="480DF3B0">
                    <w:rPr>
                      <w:lang w:val="en-NZ"/>
                    </w:rPr>
                    <w:lastRenderedPageBreak/>
                    <w:t xml:space="preserve">Table </w:t>
                  </w:r>
                  <w:r w:rsidR="008D2566">
                    <w:fldChar w:fldCharType="begin"/>
                  </w:r>
                  <w:r w:rsidR="008D2566">
                    <w:instrText xml:space="preserve"> SEQ Table \* ARABIC </w:instrText>
                  </w:r>
                  <w:r w:rsidR="008D2566">
                    <w:fldChar w:fldCharType="separate"/>
                  </w:r>
                  <w:r w:rsidR="008D2566">
                    <w:rPr>
                      <w:noProof/>
                    </w:rPr>
                    <w:t>35</w:t>
                  </w:r>
                  <w:r w:rsidR="008D2566">
                    <w:rPr>
                      <w:noProof/>
                    </w:rPr>
                    <w:fldChar w:fldCharType="end"/>
                  </w:r>
                  <w:r w:rsidRPr="480DF3B0">
                    <w:rPr>
                      <w:lang w:val="en-NZ"/>
                    </w:rPr>
                    <w:t xml:space="preserve">: Percentage of </w:t>
                  </w:r>
                  <w:r w:rsidR="00CF38AB" w:rsidRPr="480DF3B0">
                    <w:rPr>
                      <w:lang w:val="en-NZ"/>
                    </w:rPr>
                    <w:t xml:space="preserve">services user with </w:t>
                  </w:r>
                  <w:r w:rsidRPr="480DF3B0">
                    <w:rPr>
                      <w:lang w:val="en-NZ"/>
                    </w:rPr>
                    <w:t xml:space="preserve">positive SCORE change for specific Circumstance and Goal domains, Aboriginal and Torres Strait Islander service user FaRS service users, July 2021 to </w:t>
                  </w:r>
                  <w:r w:rsidR="60B3A0F6" w:rsidRPr="041A0013">
                    <w:rPr>
                      <w:lang w:val="en-NZ"/>
                    </w:rPr>
                    <w:t xml:space="preserve">June </w:t>
                  </w:r>
                  <w:r w:rsidRPr="480DF3B0">
                    <w:rPr>
                      <w:lang w:val="en-NZ"/>
                    </w:rPr>
                    <w:t>2024</w:t>
                  </w:r>
                </w:p>
                <w:tbl>
                  <w:tblPr>
                    <w:tblStyle w:val="TableGrid3"/>
                    <w:tblW w:w="5000" w:type="pct"/>
                    <w:tblLayout w:type="fixed"/>
                    <w:tblLook w:val="04A0" w:firstRow="1" w:lastRow="0" w:firstColumn="1" w:lastColumn="0" w:noHBand="0" w:noVBand="1"/>
                  </w:tblPr>
                  <w:tblGrid>
                    <w:gridCol w:w="1697"/>
                    <w:gridCol w:w="3826"/>
                    <w:gridCol w:w="3496"/>
                  </w:tblGrid>
                  <w:tr w:rsidR="00C3065B" w:rsidRPr="00036888" w14:paraId="3025EE2A" w14:textId="77777777">
                    <w:trPr>
                      <w:trHeight w:val="298"/>
                    </w:trPr>
                    <w:tc>
                      <w:tcPr>
                        <w:tcW w:w="941" w:type="pct"/>
                        <w:shd w:val="clear" w:color="auto" w:fill="007E00" w:themeFill="accent3"/>
                        <w:noWrap/>
                        <w:hideMark/>
                      </w:tcPr>
                      <w:p w14:paraId="3F2C0734" w14:textId="77777777" w:rsidR="00C3065B" w:rsidRPr="00F6254E" w:rsidRDefault="00C3065B">
                        <w:pPr>
                          <w:pStyle w:val="TableText"/>
                          <w:rPr>
                            <w:b/>
                            <w:bCs/>
                            <w:color w:val="FFFFFF" w:themeColor="background1"/>
                          </w:rPr>
                        </w:pPr>
                        <w:r w:rsidRPr="00F6254E">
                          <w:rPr>
                            <w:b/>
                            <w:bCs/>
                            <w:color w:val="FFFFFF" w:themeColor="background1"/>
                          </w:rPr>
                          <w:t>Outcome Type</w:t>
                        </w:r>
                      </w:p>
                    </w:tc>
                    <w:tc>
                      <w:tcPr>
                        <w:tcW w:w="2121" w:type="pct"/>
                        <w:shd w:val="clear" w:color="auto" w:fill="007E00" w:themeFill="accent3"/>
                      </w:tcPr>
                      <w:p w14:paraId="171D2731" w14:textId="77777777" w:rsidR="00C3065B" w:rsidRDefault="00C3065B">
                        <w:pPr>
                          <w:pStyle w:val="TableText"/>
                          <w:rPr>
                            <w:b/>
                            <w:bCs/>
                            <w:color w:val="FFFFFF" w:themeColor="background1"/>
                          </w:rPr>
                        </w:pPr>
                        <w:r>
                          <w:rPr>
                            <w:b/>
                            <w:bCs/>
                            <w:color w:val="FFFFFF" w:themeColor="background1"/>
                          </w:rPr>
                          <w:t>Domain description</w:t>
                        </w:r>
                      </w:p>
                    </w:tc>
                    <w:tc>
                      <w:tcPr>
                        <w:tcW w:w="1938" w:type="pct"/>
                        <w:shd w:val="clear" w:color="auto" w:fill="007E00" w:themeFill="accent3"/>
                        <w:noWrap/>
                        <w:hideMark/>
                      </w:tcPr>
                      <w:p w14:paraId="54753959" w14:textId="77777777" w:rsidR="00C3065B" w:rsidRPr="00F6254E" w:rsidRDefault="00C3065B">
                        <w:pPr>
                          <w:pStyle w:val="TableText"/>
                          <w:rPr>
                            <w:b/>
                            <w:bCs/>
                            <w:color w:val="FFFFFF" w:themeColor="background1"/>
                          </w:rPr>
                        </w:pPr>
                        <w:r>
                          <w:rPr>
                            <w:b/>
                            <w:bCs/>
                            <w:color w:val="FFFFFF" w:themeColor="background1"/>
                          </w:rPr>
                          <w:t xml:space="preserve">Service users </w:t>
                        </w:r>
                        <w:r w:rsidRPr="00F6254E">
                          <w:rPr>
                            <w:b/>
                            <w:bCs/>
                            <w:color w:val="FFFFFF" w:themeColor="background1"/>
                          </w:rPr>
                          <w:t>with positive mean change (%, n</w:t>
                        </w:r>
                        <w:r>
                          <w:rPr>
                            <w:b/>
                            <w:bCs/>
                            <w:color w:val="FFFFFF" w:themeColor="background1"/>
                          </w:rPr>
                          <w:t>=</w:t>
                        </w:r>
                        <w:r w:rsidRPr="00F6254E">
                          <w:rPr>
                            <w:b/>
                            <w:bCs/>
                            <w:color w:val="FFFFFF" w:themeColor="background1"/>
                          </w:rPr>
                          <w:t>)</w:t>
                        </w:r>
                      </w:p>
                    </w:tc>
                  </w:tr>
                  <w:tr w:rsidR="00480B2A" w:rsidRPr="00036888" w14:paraId="255E0FE7" w14:textId="77777777">
                    <w:trPr>
                      <w:trHeight w:val="298"/>
                    </w:trPr>
                    <w:tc>
                      <w:tcPr>
                        <w:tcW w:w="941" w:type="pct"/>
                        <w:vMerge w:val="restart"/>
                        <w:noWrap/>
                        <w:hideMark/>
                      </w:tcPr>
                      <w:p w14:paraId="3A2E8B23" w14:textId="77777777" w:rsidR="00480B2A" w:rsidRPr="008D0F42" w:rsidRDefault="00480B2A" w:rsidP="00480B2A">
                        <w:pPr>
                          <w:pStyle w:val="TableText"/>
                        </w:pPr>
                        <w:r w:rsidRPr="008D0F42">
                          <w:t>Circumstances</w:t>
                        </w:r>
                      </w:p>
                    </w:tc>
                    <w:tc>
                      <w:tcPr>
                        <w:tcW w:w="2121" w:type="pct"/>
                      </w:tcPr>
                      <w:p w14:paraId="269C9B4D" w14:textId="77777777" w:rsidR="00480B2A" w:rsidRPr="008D0F42" w:rsidRDefault="00480B2A" w:rsidP="00480B2A">
                        <w:pPr>
                          <w:pStyle w:val="TableText"/>
                        </w:pPr>
                        <w:r w:rsidRPr="008D0F42">
                          <w:t>Family functioning</w:t>
                        </w:r>
                      </w:p>
                    </w:tc>
                    <w:tc>
                      <w:tcPr>
                        <w:tcW w:w="1938" w:type="pct"/>
                        <w:noWrap/>
                        <w:hideMark/>
                      </w:tcPr>
                      <w:p w14:paraId="60FEADCA" w14:textId="7FC3E926" w:rsidR="00480B2A" w:rsidRPr="008D0F42" w:rsidRDefault="00480B2A" w:rsidP="00480B2A">
                        <w:pPr>
                          <w:pStyle w:val="TableText"/>
                        </w:pPr>
                        <w:r w:rsidRPr="00B34C26">
                          <w:t>54.7% (n=1</w:t>
                        </w:r>
                        <w:r>
                          <w:t>,</w:t>
                        </w:r>
                        <w:r w:rsidRPr="00B34C26">
                          <w:t>189)</w:t>
                        </w:r>
                      </w:p>
                    </w:tc>
                  </w:tr>
                  <w:tr w:rsidR="00480B2A" w:rsidRPr="00036888" w14:paraId="1B14BCD7" w14:textId="77777777">
                    <w:trPr>
                      <w:trHeight w:val="298"/>
                    </w:trPr>
                    <w:tc>
                      <w:tcPr>
                        <w:tcW w:w="941" w:type="pct"/>
                        <w:vMerge/>
                        <w:noWrap/>
                      </w:tcPr>
                      <w:p w14:paraId="2494CB84" w14:textId="77777777" w:rsidR="00480B2A" w:rsidRPr="008D0F42" w:rsidRDefault="00480B2A" w:rsidP="00480B2A">
                        <w:pPr>
                          <w:pStyle w:val="TableText"/>
                        </w:pPr>
                      </w:p>
                    </w:tc>
                    <w:tc>
                      <w:tcPr>
                        <w:tcW w:w="2121" w:type="pct"/>
                      </w:tcPr>
                      <w:p w14:paraId="7B503C13" w14:textId="77777777" w:rsidR="00480B2A" w:rsidRPr="008D0F42" w:rsidRDefault="00480B2A" w:rsidP="00480B2A">
                        <w:pPr>
                          <w:pStyle w:val="TableText"/>
                        </w:pPr>
                        <w:r w:rsidRPr="3DEE28EC">
                          <w:rPr>
                            <w:lang w:val="en-NZ"/>
                          </w:rPr>
                          <w:t>Mental health, wellbeing and self-care</w:t>
                        </w:r>
                      </w:p>
                    </w:tc>
                    <w:tc>
                      <w:tcPr>
                        <w:tcW w:w="1938" w:type="pct"/>
                        <w:noWrap/>
                      </w:tcPr>
                      <w:p w14:paraId="501D9CC9" w14:textId="30C57087" w:rsidR="00480B2A" w:rsidRPr="008D0F42" w:rsidRDefault="00480B2A" w:rsidP="00480B2A">
                        <w:pPr>
                          <w:pStyle w:val="TableText"/>
                        </w:pPr>
                        <w:r w:rsidRPr="00B34C26">
                          <w:t>55.3% (n=1</w:t>
                        </w:r>
                        <w:r>
                          <w:t>,</w:t>
                        </w:r>
                        <w:r w:rsidRPr="00B34C26">
                          <w:t>176)</w:t>
                        </w:r>
                      </w:p>
                    </w:tc>
                  </w:tr>
                  <w:tr w:rsidR="00480B2A" w:rsidRPr="00036888" w14:paraId="7D10A062" w14:textId="77777777">
                    <w:trPr>
                      <w:trHeight w:val="298"/>
                    </w:trPr>
                    <w:tc>
                      <w:tcPr>
                        <w:tcW w:w="941" w:type="pct"/>
                        <w:vMerge/>
                        <w:noWrap/>
                      </w:tcPr>
                      <w:p w14:paraId="059D3437" w14:textId="77777777" w:rsidR="00480B2A" w:rsidRPr="008D0F42" w:rsidRDefault="00480B2A" w:rsidP="00480B2A">
                        <w:pPr>
                          <w:pStyle w:val="TableText"/>
                        </w:pPr>
                      </w:p>
                    </w:tc>
                    <w:tc>
                      <w:tcPr>
                        <w:tcW w:w="2121" w:type="pct"/>
                      </w:tcPr>
                      <w:p w14:paraId="7AE8C69E" w14:textId="77777777" w:rsidR="00480B2A" w:rsidRPr="008D0F42" w:rsidRDefault="00480B2A" w:rsidP="00480B2A">
                        <w:pPr>
                          <w:pStyle w:val="TableText"/>
                        </w:pPr>
                        <w:r w:rsidRPr="008D0F42">
                          <w:t>Personal and family safety</w:t>
                        </w:r>
                      </w:p>
                    </w:tc>
                    <w:tc>
                      <w:tcPr>
                        <w:tcW w:w="1938" w:type="pct"/>
                        <w:noWrap/>
                      </w:tcPr>
                      <w:p w14:paraId="4F1894C8" w14:textId="0F8FDF98" w:rsidR="00480B2A" w:rsidRPr="008D0F42" w:rsidRDefault="00480B2A" w:rsidP="00480B2A">
                        <w:pPr>
                          <w:pStyle w:val="TableText"/>
                        </w:pPr>
                        <w:r w:rsidRPr="00B34C26">
                          <w:t>42.5% (n=653)</w:t>
                        </w:r>
                      </w:p>
                    </w:tc>
                  </w:tr>
                  <w:tr w:rsidR="00480B2A" w:rsidRPr="00036888" w14:paraId="26483CE0" w14:textId="77777777">
                    <w:trPr>
                      <w:trHeight w:val="298"/>
                    </w:trPr>
                    <w:tc>
                      <w:tcPr>
                        <w:tcW w:w="941" w:type="pct"/>
                        <w:vMerge w:val="restart"/>
                        <w:noWrap/>
                      </w:tcPr>
                      <w:p w14:paraId="01E5C6BE" w14:textId="77777777" w:rsidR="00480B2A" w:rsidRPr="008D0F42" w:rsidRDefault="00480B2A" w:rsidP="00480B2A">
                        <w:pPr>
                          <w:pStyle w:val="TableText"/>
                        </w:pPr>
                        <w:r w:rsidRPr="008D0F42">
                          <w:t>Goals</w:t>
                        </w:r>
                      </w:p>
                    </w:tc>
                    <w:tc>
                      <w:tcPr>
                        <w:tcW w:w="2121" w:type="pct"/>
                      </w:tcPr>
                      <w:p w14:paraId="6706134E" w14:textId="77777777" w:rsidR="00480B2A" w:rsidRPr="008D0F42" w:rsidRDefault="00480B2A" w:rsidP="00480B2A">
                        <w:pPr>
                          <w:pStyle w:val="TableText"/>
                        </w:pPr>
                        <w:r w:rsidRPr="00D63E8D">
                          <w:t>Changed behaviours</w:t>
                        </w:r>
                      </w:p>
                    </w:tc>
                    <w:tc>
                      <w:tcPr>
                        <w:tcW w:w="1938" w:type="pct"/>
                        <w:noWrap/>
                      </w:tcPr>
                      <w:p w14:paraId="6F1F7E96" w14:textId="0E608914" w:rsidR="00480B2A" w:rsidRPr="008D0F42" w:rsidRDefault="00480B2A" w:rsidP="00480B2A">
                        <w:pPr>
                          <w:pStyle w:val="TableText"/>
                        </w:pPr>
                        <w:r w:rsidRPr="00B34C26">
                          <w:t>60.9% (n=980)</w:t>
                        </w:r>
                      </w:p>
                    </w:tc>
                  </w:tr>
                  <w:tr w:rsidR="00480B2A" w:rsidRPr="00036888" w14:paraId="408DD634" w14:textId="77777777">
                    <w:trPr>
                      <w:trHeight w:val="298"/>
                    </w:trPr>
                    <w:tc>
                      <w:tcPr>
                        <w:tcW w:w="941" w:type="pct"/>
                        <w:vMerge/>
                        <w:noWrap/>
                      </w:tcPr>
                      <w:p w14:paraId="3C5424EF" w14:textId="77777777" w:rsidR="00480B2A" w:rsidRPr="008D0F42" w:rsidRDefault="00480B2A" w:rsidP="00480B2A">
                        <w:pPr>
                          <w:pStyle w:val="TableText"/>
                        </w:pPr>
                      </w:p>
                    </w:tc>
                    <w:tc>
                      <w:tcPr>
                        <w:tcW w:w="2121" w:type="pct"/>
                      </w:tcPr>
                      <w:p w14:paraId="0319AA36" w14:textId="77777777" w:rsidR="00480B2A" w:rsidRPr="008D0F42" w:rsidRDefault="00480B2A" w:rsidP="00480B2A">
                        <w:pPr>
                          <w:pStyle w:val="TableText"/>
                        </w:pPr>
                        <w:r w:rsidRPr="00D63E8D">
                          <w:t>Changed impact of immediate crisis</w:t>
                        </w:r>
                      </w:p>
                    </w:tc>
                    <w:tc>
                      <w:tcPr>
                        <w:tcW w:w="1938" w:type="pct"/>
                        <w:noWrap/>
                      </w:tcPr>
                      <w:p w14:paraId="0AA394BD" w14:textId="095F0F87" w:rsidR="00480B2A" w:rsidRPr="008D0F42" w:rsidRDefault="00480B2A" w:rsidP="00480B2A">
                        <w:pPr>
                          <w:pStyle w:val="TableText"/>
                        </w:pPr>
                        <w:r w:rsidRPr="00B34C26">
                          <w:t>58.4% (n=454)</w:t>
                        </w:r>
                      </w:p>
                    </w:tc>
                  </w:tr>
                  <w:tr w:rsidR="00480B2A" w:rsidRPr="00036888" w14:paraId="24321933" w14:textId="77777777">
                    <w:trPr>
                      <w:trHeight w:val="298"/>
                    </w:trPr>
                    <w:tc>
                      <w:tcPr>
                        <w:tcW w:w="941" w:type="pct"/>
                        <w:vMerge/>
                        <w:noWrap/>
                      </w:tcPr>
                      <w:p w14:paraId="1C5F5490" w14:textId="77777777" w:rsidR="00480B2A" w:rsidRPr="008D0F42" w:rsidRDefault="00480B2A" w:rsidP="00480B2A">
                        <w:pPr>
                          <w:pStyle w:val="TableText"/>
                        </w:pPr>
                      </w:p>
                    </w:tc>
                    <w:tc>
                      <w:tcPr>
                        <w:tcW w:w="2121" w:type="pct"/>
                      </w:tcPr>
                      <w:p w14:paraId="103BCE0A" w14:textId="77777777" w:rsidR="00480B2A" w:rsidRPr="008D0F42" w:rsidRDefault="00480B2A" w:rsidP="00480B2A">
                        <w:pPr>
                          <w:pStyle w:val="TableText"/>
                        </w:pPr>
                        <w:r w:rsidRPr="00D63E8D">
                          <w:t>Changed knowledge and access to information</w:t>
                        </w:r>
                      </w:p>
                    </w:tc>
                    <w:tc>
                      <w:tcPr>
                        <w:tcW w:w="1938" w:type="pct"/>
                        <w:noWrap/>
                      </w:tcPr>
                      <w:p w14:paraId="615C122C" w14:textId="217AA6D7" w:rsidR="00480B2A" w:rsidRPr="008D0F42" w:rsidRDefault="00480B2A" w:rsidP="00480B2A">
                        <w:pPr>
                          <w:pStyle w:val="TableText"/>
                        </w:pPr>
                        <w:r w:rsidRPr="00B34C26">
                          <w:t>66.4% (n=1</w:t>
                        </w:r>
                        <w:r>
                          <w:t>,</w:t>
                        </w:r>
                        <w:r w:rsidRPr="00B34C26">
                          <w:t>178)</w:t>
                        </w:r>
                      </w:p>
                    </w:tc>
                  </w:tr>
                  <w:tr w:rsidR="00480B2A" w:rsidRPr="00036888" w14:paraId="1B9E939C" w14:textId="77777777">
                    <w:trPr>
                      <w:trHeight w:val="298"/>
                    </w:trPr>
                    <w:tc>
                      <w:tcPr>
                        <w:tcW w:w="941" w:type="pct"/>
                        <w:vMerge/>
                        <w:noWrap/>
                      </w:tcPr>
                      <w:p w14:paraId="30FD6CA1" w14:textId="77777777" w:rsidR="00480B2A" w:rsidRPr="008D0F42" w:rsidRDefault="00480B2A" w:rsidP="00480B2A">
                        <w:pPr>
                          <w:pStyle w:val="TableText"/>
                        </w:pPr>
                      </w:p>
                    </w:tc>
                    <w:tc>
                      <w:tcPr>
                        <w:tcW w:w="2121" w:type="pct"/>
                      </w:tcPr>
                      <w:p w14:paraId="053D31B0" w14:textId="77777777" w:rsidR="00480B2A" w:rsidRPr="008D0F42" w:rsidRDefault="00480B2A" w:rsidP="00480B2A">
                        <w:pPr>
                          <w:pStyle w:val="TableText"/>
                        </w:pPr>
                        <w:r w:rsidRPr="00D63E8D">
                          <w:t>Changed skills</w:t>
                        </w:r>
                      </w:p>
                    </w:tc>
                    <w:tc>
                      <w:tcPr>
                        <w:tcW w:w="1938" w:type="pct"/>
                        <w:noWrap/>
                      </w:tcPr>
                      <w:p w14:paraId="17A7CE35" w14:textId="795F37A1" w:rsidR="00480B2A" w:rsidRPr="008D0F42" w:rsidRDefault="00480B2A" w:rsidP="00480B2A">
                        <w:pPr>
                          <w:pStyle w:val="TableText"/>
                        </w:pPr>
                        <w:r w:rsidRPr="00B34C26">
                          <w:t>62.5% (n=1</w:t>
                        </w:r>
                        <w:r>
                          <w:t>,</w:t>
                        </w:r>
                        <w:r w:rsidRPr="00B34C26">
                          <w:t>264)</w:t>
                        </w:r>
                      </w:p>
                    </w:tc>
                  </w:tr>
                  <w:tr w:rsidR="00480B2A" w:rsidRPr="00036888" w14:paraId="458F0CDF" w14:textId="77777777">
                    <w:trPr>
                      <w:trHeight w:val="298"/>
                    </w:trPr>
                    <w:tc>
                      <w:tcPr>
                        <w:tcW w:w="941" w:type="pct"/>
                        <w:vMerge/>
                        <w:noWrap/>
                      </w:tcPr>
                      <w:p w14:paraId="2D917EAC" w14:textId="77777777" w:rsidR="00480B2A" w:rsidRPr="008D0F42" w:rsidRDefault="00480B2A" w:rsidP="00480B2A">
                        <w:pPr>
                          <w:pStyle w:val="TableText"/>
                        </w:pPr>
                      </w:p>
                    </w:tc>
                    <w:tc>
                      <w:tcPr>
                        <w:tcW w:w="2121" w:type="pct"/>
                      </w:tcPr>
                      <w:p w14:paraId="41B54C66" w14:textId="77777777" w:rsidR="00480B2A" w:rsidRPr="008D0F42" w:rsidRDefault="00480B2A" w:rsidP="00480B2A">
                        <w:pPr>
                          <w:pStyle w:val="TableText"/>
                        </w:pPr>
                        <w:r w:rsidRPr="03FAA4E2">
                          <w:rPr>
                            <w:lang w:val="en-NZ"/>
                          </w:rPr>
                          <w:t>Empowerment, choice and control to make own decisions</w:t>
                        </w:r>
                      </w:p>
                    </w:tc>
                    <w:tc>
                      <w:tcPr>
                        <w:tcW w:w="1938" w:type="pct"/>
                        <w:noWrap/>
                      </w:tcPr>
                      <w:p w14:paraId="6340BC92" w14:textId="0E094BD7" w:rsidR="00480B2A" w:rsidRPr="008D0F42" w:rsidRDefault="00480B2A" w:rsidP="00480B2A">
                        <w:pPr>
                          <w:pStyle w:val="TableText"/>
                        </w:pPr>
                        <w:r w:rsidRPr="00B34C26">
                          <w:t>62.7% (n=915)</w:t>
                        </w:r>
                      </w:p>
                    </w:tc>
                  </w:tr>
                  <w:tr w:rsidR="00480B2A" w:rsidRPr="00036888" w14:paraId="6CC0C0E8" w14:textId="77777777">
                    <w:trPr>
                      <w:trHeight w:val="298"/>
                    </w:trPr>
                    <w:tc>
                      <w:tcPr>
                        <w:tcW w:w="941" w:type="pct"/>
                        <w:vMerge/>
                        <w:noWrap/>
                      </w:tcPr>
                      <w:p w14:paraId="1BEDAD11" w14:textId="77777777" w:rsidR="00480B2A" w:rsidRPr="008D0F42" w:rsidRDefault="00480B2A" w:rsidP="00480B2A">
                        <w:pPr>
                          <w:pStyle w:val="TableText"/>
                        </w:pPr>
                      </w:p>
                    </w:tc>
                    <w:tc>
                      <w:tcPr>
                        <w:tcW w:w="2121" w:type="pct"/>
                      </w:tcPr>
                      <w:p w14:paraId="081527CA" w14:textId="77777777" w:rsidR="00480B2A" w:rsidRPr="008D0F42" w:rsidRDefault="00480B2A" w:rsidP="00480B2A">
                        <w:pPr>
                          <w:pStyle w:val="TableText"/>
                        </w:pPr>
                        <w:r w:rsidRPr="00D63E8D">
                          <w:t>Engagement with relevant support services</w:t>
                        </w:r>
                      </w:p>
                    </w:tc>
                    <w:tc>
                      <w:tcPr>
                        <w:tcW w:w="1938" w:type="pct"/>
                        <w:noWrap/>
                      </w:tcPr>
                      <w:p w14:paraId="2EA43638" w14:textId="7BF5E851" w:rsidR="00480B2A" w:rsidRPr="008D0F42" w:rsidRDefault="00480B2A" w:rsidP="00480B2A">
                        <w:pPr>
                          <w:pStyle w:val="TableText"/>
                        </w:pPr>
                        <w:r w:rsidRPr="00B34C26">
                          <w:t>56.6% (n=647)</w:t>
                        </w:r>
                      </w:p>
                    </w:tc>
                  </w:tr>
                </w:tbl>
                <w:p w14:paraId="79C2E474" w14:textId="77777777" w:rsidR="00236A37" w:rsidRPr="008E1B83" w:rsidRDefault="00236A37" w:rsidP="00236A37">
                  <w:pPr>
                    <w:pStyle w:val="TableFigureTitle"/>
                    <w:rPr>
                      <w:sz w:val="20"/>
                      <w:szCs w:val="18"/>
                    </w:rPr>
                  </w:pPr>
                  <w:r w:rsidRPr="008E1B83">
                    <w:rPr>
                      <w:sz w:val="20"/>
                      <w:szCs w:val="18"/>
                    </w:rPr>
                    <w:t xml:space="preserve">Source: DEX-SCORE data </w:t>
                  </w:r>
                </w:p>
                <w:p w14:paraId="39FEFF0E" w14:textId="77777777" w:rsidR="00C3065B" w:rsidRDefault="00C3065B" w:rsidP="00C51C22">
                  <w:pPr>
                    <w:pStyle w:val="TableFigure-Notes"/>
                  </w:pPr>
                </w:p>
                <w:p w14:paraId="6B01AC02" w14:textId="0C20C7B6" w:rsidR="00DD1232" w:rsidRDefault="00FE32DF" w:rsidP="00253034">
                  <w:pPr>
                    <w:pStyle w:val="TableFigure-Header"/>
                    <w:spacing w:line="276" w:lineRule="auto"/>
                    <w:jc w:val="both"/>
                    <w:rPr>
                      <w:lang w:val="en-NZ"/>
                    </w:rPr>
                  </w:pPr>
                  <w:r w:rsidRPr="480DF3B0">
                    <w:rPr>
                      <w:lang w:val="en-NZ"/>
                    </w:rPr>
                    <w:t xml:space="preserve">Table </w:t>
                  </w:r>
                  <w:r w:rsidR="008D2566">
                    <w:fldChar w:fldCharType="begin"/>
                  </w:r>
                  <w:r w:rsidR="008D2566">
                    <w:instrText xml:space="preserve"> SEQ Table \* ARABIC </w:instrText>
                  </w:r>
                  <w:r w:rsidR="008D2566">
                    <w:fldChar w:fldCharType="separate"/>
                  </w:r>
                  <w:r w:rsidR="008D2566">
                    <w:rPr>
                      <w:noProof/>
                    </w:rPr>
                    <w:t>36</w:t>
                  </w:r>
                  <w:r w:rsidR="008D2566">
                    <w:rPr>
                      <w:noProof/>
                    </w:rPr>
                    <w:fldChar w:fldCharType="end"/>
                  </w:r>
                  <w:r w:rsidRPr="480DF3B0">
                    <w:rPr>
                      <w:lang w:val="en-NZ"/>
                    </w:rPr>
                    <w:t xml:space="preserve">: Percentage of </w:t>
                  </w:r>
                  <w:r w:rsidR="00CF38AB" w:rsidRPr="480DF3B0">
                    <w:rPr>
                      <w:lang w:val="en-NZ"/>
                    </w:rPr>
                    <w:t xml:space="preserve">service users with </w:t>
                  </w:r>
                  <w:r w:rsidRPr="480DF3B0">
                    <w:rPr>
                      <w:lang w:val="en-NZ"/>
                    </w:rPr>
                    <w:t xml:space="preserve">positive SCORE change for specific Circumstance and Goal domains, </w:t>
                  </w:r>
                  <w:r w:rsidR="004935F9" w:rsidRPr="480DF3B0">
                    <w:rPr>
                      <w:lang w:val="en-NZ"/>
                    </w:rPr>
                    <w:t>non-</w:t>
                  </w:r>
                  <w:r w:rsidRPr="480DF3B0">
                    <w:rPr>
                      <w:lang w:val="en-NZ"/>
                    </w:rPr>
                    <w:t xml:space="preserve">Aboriginal and Torres Strait Islander service user FaRS service users, July 2021 to </w:t>
                  </w:r>
                  <w:r w:rsidR="388CAF6F" w:rsidRPr="1623CCFD">
                    <w:rPr>
                      <w:lang w:val="en-NZ"/>
                    </w:rPr>
                    <w:t xml:space="preserve">June </w:t>
                  </w:r>
                  <w:r w:rsidRPr="480DF3B0">
                    <w:rPr>
                      <w:lang w:val="en-NZ"/>
                    </w:rPr>
                    <w:t>2024</w:t>
                  </w:r>
                </w:p>
                <w:tbl>
                  <w:tblPr>
                    <w:tblStyle w:val="TableGrid3"/>
                    <w:tblW w:w="5000" w:type="pct"/>
                    <w:tblLayout w:type="fixed"/>
                    <w:tblLook w:val="04A0" w:firstRow="1" w:lastRow="0" w:firstColumn="1" w:lastColumn="0" w:noHBand="0" w:noVBand="1"/>
                  </w:tblPr>
                  <w:tblGrid>
                    <w:gridCol w:w="1697"/>
                    <w:gridCol w:w="3826"/>
                    <w:gridCol w:w="3496"/>
                  </w:tblGrid>
                  <w:tr w:rsidR="00480B2A" w:rsidRPr="00036888" w14:paraId="261F548C" w14:textId="77777777">
                    <w:trPr>
                      <w:trHeight w:val="298"/>
                    </w:trPr>
                    <w:tc>
                      <w:tcPr>
                        <w:tcW w:w="941" w:type="pct"/>
                        <w:shd w:val="clear" w:color="auto" w:fill="007E00" w:themeFill="accent3"/>
                        <w:noWrap/>
                        <w:hideMark/>
                      </w:tcPr>
                      <w:p w14:paraId="2819744B" w14:textId="77777777" w:rsidR="00480B2A" w:rsidRPr="00F6254E" w:rsidRDefault="00480B2A">
                        <w:pPr>
                          <w:pStyle w:val="TableText"/>
                          <w:rPr>
                            <w:b/>
                            <w:bCs/>
                            <w:color w:val="FFFFFF" w:themeColor="background1"/>
                          </w:rPr>
                        </w:pPr>
                        <w:r w:rsidRPr="00F6254E">
                          <w:rPr>
                            <w:b/>
                            <w:bCs/>
                            <w:color w:val="FFFFFF" w:themeColor="background1"/>
                          </w:rPr>
                          <w:t>Outcome Type</w:t>
                        </w:r>
                      </w:p>
                    </w:tc>
                    <w:tc>
                      <w:tcPr>
                        <w:tcW w:w="2121" w:type="pct"/>
                        <w:shd w:val="clear" w:color="auto" w:fill="007E00" w:themeFill="accent3"/>
                      </w:tcPr>
                      <w:p w14:paraId="738F377C" w14:textId="77777777" w:rsidR="00480B2A" w:rsidRDefault="00480B2A">
                        <w:pPr>
                          <w:pStyle w:val="TableText"/>
                          <w:rPr>
                            <w:b/>
                            <w:bCs/>
                            <w:color w:val="FFFFFF" w:themeColor="background1"/>
                          </w:rPr>
                        </w:pPr>
                        <w:r>
                          <w:rPr>
                            <w:b/>
                            <w:bCs/>
                            <w:color w:val="FFFFFF" w:themeColor="background1"/>
                          </w:rPr>
                          <w:t>Domain description</w:t>
                        </w:r>
                      </w:p>
                    </w:tc>
                    <w:tc>
                      <w:tcPr>
                        <w:tcW w:w="1938" w:type="pct"/>
                        <w:shd w:val="clear" w:color="auto" w:fill="007E00" w:themeFill="accent3"/>
                        <w:noWrap/>
                        <w:hideMark/>
                      </w:tcPr>
                      <w:p w14:paraId="585092DF" w14:textId="77777777" w:rsidR="00480B2A" w:rsidRPr="00F6254E" w:rsidRDefault="00480B2A">
                        <w:pPr>
                          <w:pStyle w:val="TableText"/>
                          <w:rPr>
                            <w:b/>
                            <w:bCs/>
                            <w:color w:val="FFFFFF" w:themeColor="background1"/>
                          </w:rPr>
                        </w:pPr>
                        <w:r>
                          <w:rPr>
                            <w:b/>
                            <w:bCs/>
                            <w:color w:val="FFFFFF" w:themeColor="background1"/>
                          </w:rPr>
                          <w:t xml:space="preserve">Service users </w:t>
                        </w:r>
                        <w:r w:rsidRPr="00F6254E">
                          <w:rPr>
                            <w:b/>
                            <w:bCs/>
                            <w:color w:val="FFFFFF" w:themeColor="background1"/>
                          </w:rPr>
                          <w:t>with positive mean change (%, n</w:t>
                        </w:r>
                        <w:r>
                          <w:rPr>
                            <w:b/>
                            <w:bCs/>
                            <w:color w:val="FFFFFF" w:themeColor="background1"/>
                          </w:rPr>
                          <w:t>=</w:t>
                        </w:r>
                        <w:r w:rsidRPr="00F6254E">
                          <w:rPr>
                            <w:b/>
                            <w:bCs/>
                            <w:color w:val="FFFFFF" w:themeColor="background1"/>
                          </w:rPr>
                          <w:t>)</w:t>
                        </w:r>
                      </w:p>
                    </w:tc>
                  </w:tr>
                  <w:tr w:rsidR="005A35BA" w:rsidRPr="00036888" w14:paraId="0B76FB05" w14:textId="77777777">
                    <w:trPr>
                      <w:trHeight w:val="298"/>
                    </w:trPr>
                    <w:tc>
                      <w:tcPr>
                        <w:tcW w:w="941" w:type="pct"/>
                        <w:shd w:val="clear" w:color="auto" w:fill="007E00" w:themeFill="accent3"/>
                        <w:noWrap/>
                      </w:tcPr>
                      <w:p w14:paraId="6294D86B" w14:textId="5560DC1B" w:rsidR="005A35BA" w:rsidRPr="00F6254E" w:rsidRDefault="005A35BA" w:rsidP="00323C72">
                        <w:pPr>
                          <w:pStyle w:val="TableText"/>
                          <w:numPr>
                            <w:ilvl w:val="0"/>
                            <w:numId w:val="0"/>
                          </w:numPr>
                          <w:rPr>
                            <w:b/>
                            <w:bCs/>
                            <w:color w:val="FFFFFF" w:themeColor="background1"/>
                          </w:rPr>
                        </w:pPr>
                      </w:p>
                    </w:tc>
                    <w:tc>
                      <w:tcPr>
                        <w:tcW w:w="2121" w:type="pct"/>
                        <w:shd w:val="clear" w:color="auto" w:fill="007E00" w:themeFill="accent3"/>
                      </w:tcPr>
                      <w:p w14:paraId="033F64D4" w14:textId="77777777" w:rsidR="005A35BA" w:rsidRDefault="005A35BA">
                        <w:pPr>
                          <w:pStyle w:val="TableText"/>
                          <w:rPr>
                            <w:b/>
                            <w:bCs/>
                            <w:color w:val="FFFFFF" w:themeColor="background1"/>
                          </w:rPr>
                        </w:pPr>
                      </w:p>
                    </w:tc>
                    <w:tc>
                      <w:tcPr>
                        <w:tcW w:w="1938" w:type="pct"/>
                        <w:shd w:val="clear" w:color="auto" w:fill="007E00" w:themeFill="accent3"/>
                        <w:noWrap/>
                      </w:tcPr>
                      <w:p w14:paraId="320BD855" w14:textId="77777777" w:rsidR="005A35BA" w:rsidRDefault="005A35BA">
                        <w:pPr>
                          <w:pStyle w:val="TableText"/>
                          <w:rPr>
                            <w:b/>
                            <w:bCs/>
                            <w:color w:val="FFFFFF" w:themeColor="background1"/>
                          </w:rPr>
                        </w:pPr>
                      </w:p>
                    </w:tc>
                  </w:tr>
                  <w:tr w:rsidR="00480B2A" w:rsidRPr="00036888" w14:paraId="089D54B9" w14:textId="77777777">
                    <w:trPr>
                      <w:trHeight w:val="298"/>
                    </w:trPr>
                    <w:tc>
                      <w:tcPr>
                        <w:tcW w:w="941" w:type="pct"/>
                        <w:vMerge w:val="restart"/>
                        <w:noWrap/>
                        <w:hideMark/>
                      </w:tcPr>
                      <w:p w14:paraId="1AFB490A" w14:textId="77777777" w:rsidR="00480B2A" w:rsidRPr="008D0F42" w:rsidRDefault="00480B2A">
                        <w:pPr>
                          <w:pStyle w:val="TableText"/>
                        </w:pPr>
                        <w:r w:rsidRPr="008D0F42">
                          <w:t>Circumstances</w:t>
                        </w:r>
                      </w:p>
                    </w:tc>
                    <w:tc>
                      <w:tcPr>
                        <w:tcW w:w="2121" w:type="pct"/>
                      </w:tcPr>
                      <w:p w14:paraId="352DD7BB" w14:textId="77777777" w:rsidR="00480B2A" w:rsidRPr="008D0F42" w:rsidRDefault="00480B2A">
                        <w:pPr>
                          <w:pStyle w:val="TableText"/>
                        </w:pPr>
                        <w:r w:rsidRPr="008D0F42">
                          <w:t>Family functioning</w:t>
                        </w:r>
                      </w:p>
                    </w:tc>
                    <w:tc>
                      <w:tcPr>
                        <w:tcW w:w="1938" w:type="pct"/>
                        <w:noWrap/>
                        <w:hideMark/>
                      </w:tcPr>
                      <w:p w14:paraId="3AB9E545" w14:textId="0C901CA3" w:rsidR="00480B2A" w:rsidRPr="008D0F42" w:rsidRDefault="00480B2A">
                        <w:pPr>
                          <w:pStyle w:val="TableText"/>
                        </w:pPr>
                        <w:r w:rsidRPr="00B34C26">
                          <w:t>54.</w:t>
                        </w:r>
                        <w:r w:rsidR="00565C5E" w:rsidRPr="00177B75">
                          <w:t>9</w:t>
                        </w:r>
                        <w:r w:rsidRPr="00B34C26">
                          <w:t>% (n=</w:t>
                        </w:r>
                        <w:r w:rsidR="00565C5E" w:rsidRPr="00177B75">
                          <w:t>35</w:t>
                        </w:r>
                        <w:r w:rsidR="00565C5E">
                          <w:t>,</w:t>
                        </w:r>
                        <w:r w:rsidR="00565C5E" w:rsidRPr="00177B75">
                          <w:t>333</w:t>
                        </w:r>
                        <w:r w:rsidRPr="00B34C26">
                          <w:t>)</w:t>
                        </w:r>
                      </w:p>
                    </w:tc>
                  </w:tr>
                  <w:tr w:rsidR="00480B2A" w:rsidRPr="00036888" w14:paraId="5DA18429" w14:textId="77777777">
                    <w:trPr>
                      <w:trHeight w:val="298"/>
                    </w:trPr>
                    <w:tc>
                      <w:tcPr>
                        <w:tcW w:w="941" w:type="pct"/>
                        <w:vMerge/>
                        <w:noWrap/>
                      </w:tcPr>
                      <w:p w14:paraId="16C7E9B8" w14:textId="77777777" w:rsidR="00480B2A" w:rsidRPr="008D0F42" w:rsidRDefault="00480B2A">
                        <w:pPr>
                          <w:pStyle w:val="TableText"/>
                        </w:pPr>
                      </w:p>
                    </w:tc>
                    <w:tc>
                      <w:tcPr>
                        <w:tcW w:w="2121" w:type="pct"/>
                      </w:tcPr>
                      <w:p w14:paraId="0E5DE747" w14:textId="77777777" w:rsidR="00480B2A" w:rsidRPr="008D0F42" w:rsidRDefault="00480B2A">
                        <w:pPr>
                          <w:pStyle w:val="TableText"/>
                        </w:pPr>
                        <w:r w:rsidRPr="3DEE28EC">
                          <w:rPr>
                            <w:lang w:val="en-NZ"/>
                          </w:rPr>
                          <w:t>Mental health, wellbeing and self-care</w:t>
                        </w:r>
                      </w:p>
                    </w:tc>
                    <w:tc>
                      <w:tcPr>
                        <w:tcW w:w="1938" w:type="pct"/>
                        <w:noWrap/>
                      </w:tcPr>
                      <w:p w14:paraId="437E4172" w14:textId="0FA742A7" w:rsidR="00480B2A" w:rsidRPr="008D0F42" w:rsidRDefault="00480B2A">
                        <w:pPr>
                          <w:pStyle w:val="TableText"/>
                        </w:pPr>
                        <w:r w:rsidRPr="00B34C26">
                          <w:t>55.</w:t>
                        </w:r>
                        <w:r w:rsidR="00565C5E" w:rsidRPr="00177B75">
                          <w:t>5</w:t>
                        </w:r>
                        <w:r w:rsidRPr="00B34C26">
                          <w:t>% (n=</w:t>
                        </w:r>
                        <w:r w:rsidR="00565C5E" w:rsidRPr="00177B75">
                          <w:t>32</w:t>
                        </w:r>
                        <w:r w:rsidR="00565C5E">
                          <w:t>,</w:t>
                        </w:r>
                        <w:r w:rsidR="00565C5E" w:rsidRPr="00177B75">
                          <w:t>764</w:t>
                        </w:r>
                        <w:r w:rsidRPr="00B34C26">
                          <w:t>)</w:t>
                        </w:r>
                      </w:p>
                    </w:tc>
                  </w:tr>
                  <w:tr w:rsidR="00480B2A" w:rsidRPr="00036888" w14:paraId="056B1AEB" w14:textId="77777777">
                    <w:trPr>
                      <w:trHeight w:val="298"/>
                    </w:trPr>
                    <w:tc>
                      <w:tcPr>
                        <w:tcW w:w="941" w:type="pct"/>
                        <w:vMerge/>
                        <w:noWrap/>
                      </w:tcPr>
                      <w:p w14:paraId="1857F941" w14:textId="77777777" w:rsidR="00480B2A" w:rsidRPr="008D0F42" w:rsidRDefault="00480B2A">
                        <w:pPr>
                          <w:pStyle w:val="TableText"/>
                        </w:pPr>
                      </w:p>
                    </w:tc>
                    <w:tc>
                      <w:tcPr>
                        <w:tcW w:w="2121" w:type="pct"/>
                      </w:tcPr>
                      <w:p w14:paraId="0201FCB9" w14:textId="77777777" w:rsidR="00480B2A" w:rsidRPr="008D0F42" w:rsidRDefault="00480B2A">
                        <w:pPr>
                          <w:pStyle w:val="TableText"/>
                        </w:pPr>
                        <w:r w:rsidRPr="008D0F42">
                          <w:t>Personal and family safety</w:t>
                        </w:r>
                      </w:p>
                    </w:tc>
                    <w:tc>
                      <w:tcPr>
                        <w:tcW w:w="1938" w:type="pct"/>
                        <w:noWrap/>
                      </w:tcPr>
                      <w:p w14:paraId="2148EAF9" w14:textId="1EB4C54E" w:rsidR="00480B2A" w:rsidRPr="008D0F42" w:rsidRDefault="00480B2A">
                        <w:pPr>
                          <w:pStyle w:val="TableText"/>
                        </w:pPr>
                        <w:r w:rsidRPr="00B34C26">
                          <w:t>42.</w:t>
                        </w:r>
                        <w:r w:rsidR="00565C5E" w:rsidRPr="00177B75">
                          <w:t>6</w:t>
                        </w:r>
                        <w:r w:rsidRPr="00B34C26">
                          <w:t>% (n=</w:t>
                        </w:r>
                        <w:r w:rsidR="00565C5E" w:rsidRPr="00177B75">
                          <w:t>17</w:t>
                        </w:r>
                        <w:r w:rsidR="00565C5E">
                          <w:t>,</w:t>
                        </w:r>
                        <w:r w:rsidR="00565C5E" w:rsidRPr="00177B75">
                          <w:t>260</w:t>
                        </w:r>
                        <w:r w:rsidRPr="00B34C26">
                          <w:t>)</w:t>
                        </w:r>
                      </w:p>
                    </w:tc>
                  </w:tr>
                  <w:tr w:rsidR="00236A37" w:rsidRPr="00036888" w14:paraId="0AE079FE" w14:textId="77777777">
                    <w:trPr>
                      <w:trHeight w:val="298"/>
                    </w:trPr>
                    <w:tc>
                      <w:tcPr>
                        <w:tcW w:w="941" w:type="pct"/>
                        <w:vMerge w:val="restart"/>
                        <w:noWrap/>
                      </w:tcPr>
                      <w:p w14:paraId="1833DD94" w14:textId="0731771F" w:rsidR="00236A37" w:rsidRPr="008D0F42" w:rsidRDefault="00236A37" w:rsidP="00236A37">
                        <w:pPr>
                          <w:pStyle w:val="TableText"/>
                        </w:pPr>
                        <w:r>
                          <w:t>Goals</w:t>
                        </w:r>
                      </w:p>
                    </w:tc>
                    <w:tc>
                      <w:tcPr>
                        <w:tcW w:w="2121" w:type="pct"/>
                      </w:tcPr>
                      <w:p w14:paraId="18C8413F" w14:textId="0F40C8A6" w:rsidR="00236A37" w:rsidRPr="008D0F42" w:rsidRDefault="00236A37" w:rsidP="00236A37">
                        <w:pPr>
                          <w:pStyle w:val="TableText"/>
                        </w:pPr>
                        <w:r w:rsidRPr="00D63E8D">
                          <w:t>Changed behaviours</w:t>
                        </w:r>
                      </w:p>
                    </w:tc>
                    <w:tc>
                      <w:tcPr>
                        <w:tcW w:w="1938" w:type="pct"/>
                        <w:noWrap/>
                      </w:tcPr>
                      <w:p w14:paraId="557BD67E" w14:textId="435E3DBB" w:rsidR="00236A37" w:rsidRPr="00B34C26" w:rsidRDefault="00236A37" w:rsidP="00236A37">
                        <w:pPr>
                          <w:pStyle w:val="TableText"/>
                        </w:pPr>
                        <w:r w:rsidRPr="00177B75">
                          <w:t>64.6</w:t>
                        </w:r>
                        <w:r w:rsidRPr="00B34C26">
                          <w:t>% (n=</w:t>
                        </w:r>
                        <w:r w:rsidRPr="00177B75">
                          <w:t>26</w:t>
                        </w:r>
                        <w:r>
                          <w:t>,</w:t>
                        </w:r>
                        <w:r w:rsidRPr="00177B75">
                          <w:t>702</w:t>
                        </w:r>
                        <w:r w:rsidRPr="00B34C26">
                          <w:t>)</w:t>
                        </w:r>
                      </w:p>
                    </w:tc>
                  </w:tr>
                  <w:tr w:rsidR="00236A37" w:rsidRPr="00036888" w14:paraId="2DC9F7B8" w14:textId="77777777">
                    <w:trPr>
                      <w:trHeight w:val="298"/>
                    </w:trPr>
                    <w:tc>
                      <w:tcPr>
                        <w:tcW w:w="941" w:type="pct"/>
                        <w:vMerge/>
                        <w:noWrap/>
                      </w:tcPr>
                      <w:p w14:paraId="60B4AD0F" w14:textId="77777777" w:rsidR="00236A37" w:rsidRPr="008D0F42" w:rsidRDefault="00236A37" w:rsidP="00236A37">
                        <w:pPr>
                          <w:pStyle w:val="TableText"/>
                        </w:pPr>
                      </w:p>
                    </w:tc>
                    <w:tc>
                      <w:tcPr>
                        <w:tcW w:w="2121" w:type="pct"/>
                      </w:tcPr>
                      <w:p w14:paraId="0E60039A" w14:textId="1172F5F8" w:rsidR="00236A37" w:rsidRPr="008D0F42" w:rsidRDefault="00236A37" w:rsidP="00236A37">
                        <w:pPr>
                          <w:pStyle w:val="TableText"/>
                        </w:pPr>
                        <w:r w:rsidRPr="00D63E8D">
                          <w:t>Changed impact of immediate crisis</w:t>
                        </w:r>
                      </w:p>
                    </w:tc>
                    <w:tc>
                      <w:tcPr>
                        <w:tcW w:w="1938" w:type="pct"/>
                        <w:noWrap/>
                      </w:tcPr>
                      <w:p w14:paraId="1476D4AF" w14:textId="0252E611" w:rsidR="00236A37" w:rsidRPr="00B34C26" w:rsidRDefault="00236A37" w:rsidP="00236A37">
                        <w:pPr>
                          <w:pStyle w:val="TableText"/>
                        </w:pPr>
                        <w:r w:rsidRPr="00177B75">
                          <w:t>66.7</w:t>
                        </w:r>
                        <w:r w:rsidRPr="00B34C26">
                          <w:t>% (n=</w:t>
                        </w:r>
                        <w:r w:rsidRPr="00177B75">
                          <w:t>14</w:t>
                        </w:r>
                        <w:r>
                          <w:t>,</w:t>
                        </w:r>
                        <w:r w:rsidRPr="00177B75">
                          <w:t>651</w:t>
                        </w:r>
                        <w:r w:rsidRPr="00B34C26">
                          <w:t>)</w:t>
                        </w:r>
                      </w:p>
                    </w:tc>
                  </w:tr>
                  <w:tr w:rsidR="00236A37" w:rsidRPr="00036888" w14:paraId="70393526" w14:textId="77777777">
                    <w:trPr>
                      <w:trHeight w:val="298"/>
                    </w:trPr>
                    <w:tc>
                      <w:tcPr>
                        <w:tcW w:w="941" w:type="pct"/>
                        <w:vMerge/>
                        <w:noWrap/>
                      </w:tcPr>
                      <w:p w14:paraId="383125E3" w14:textId="77777777" w:rsidR="00236A37" w:rsidRPr="008D0F42" w:rsidRDefault="00236A37" w:rsidP="00236A37">
                        <w:pPr>
                          <w:pStyle w:val="TableText"/>
                        </w:pPr>
                      </w:p>
                    </w:tc>
                    <w:tc>
                      <w:tcPr>
                        <w:tcW w:w="2121" w:type="pct"/>
                      </w:tcPr>
                      <w:p w14:paraId="50873959" w14:textId="4150CBC7" w:rsidR="00236A37" w:rsidRPr="008D0F42" w:rsidRDefault="00236A37" w:rsidP="00236A37">
                        <w:pPr>
                          <w:pStyle w:val="TableText"/>
                        </w:pPr>
                        <w:r w:rsidRPr="00D63E8D">
                          <w:t>Changed knowledge and access to information</w:t>
                        </w:r>
                      </w:p>
                    </w:tc>
                    <w:tc>
                      <w:tcPr>
                        <w:tcW w:w="1938" w:type="pct"/>
                        <w:noWrap/>
                      </w:tcPr>
                      <w:p w14:paraId="6EAFFAE6" w14:textId="53A67493" w:rsidR="00236A37" w:rsidRPr="00B34C26" w:rsidRDefault="00236A37" w:rsidP="00236A37">
                        <w:pPr>
                          <w:pStyle w:val="TableText"/>
                        </w:pPr>
                        <w:r w:rsidRPr="00B34C26">
                          <w:t>66.</w:t>
                        </w:r>
                        <w:r w:rsidRPr="00177B75">
                          <w:t>2</w:t>
                        </w:r>
                        <w:r w:rsidRPr="00B34C26">
                          <w:t>% (n=</w:t>
                        </w:r>
                        <w:r w:rsidRPr="00177B75">
                          <w:t>31</w:t>
                        </w:r>
                        <w:r>
                          <w:t>,</w:t>
                        </w:r>
                        <w:r w:rsidRPr="00177B75">
                          <w:t>959</w:t>
                        </w:r>
                        <w:r w:rsidRPr="00B34C26">
                          <w:t>)</w:t>
                        </w:r>
                      </w:p>
                    </w:tc>
                  </w:tr>
                  <w:tr w:rsidR="00236A37" w:rsidRPr="00036888" w14:paraId="55F59972" w14:textId="77777777">
                    <w:trPr>
                      <w:trHeight w:val="298"/>
                    </w:trPr>
                    <w:tc>
                      <w:tcPr>
                        <w:tcW w:w="941" w:type="pct"/>
                        <w:vMerge/>
                        <w:noWrap/>
                      </w:tcPr>
                      <w:p w14:paraId="6485A37F" w14:textId="77777777" w:rsidR="00236A37" w:rsidRPr="008D0F42" w:rsidRDefault="00236A37" w:rsidP="00236A37">
                        <w:pPr>
                          <w:pStyle w:val="TableText"/>
                        </w:pPr>
                      </w:p>
                    </w:tc>
                    <w:tc>
                      <w:tcPr>
                        <w:tcW w:w="2121" w:type="pct"/>
                      </w:tcPr>
                      <w:p w14:paraId="75DE2689" w14:textId="33D30FBB" w:rsidR="00236A37" w:rsidRPr="008D0F42" w:rsidRDefault="00236A37" w:rsidP="00236A37">
                        <w:pPr>
                          <w:pStyle w:val="TableText"/>
                        </w:pPr>
                        <w:r w:rsidRPr="00D63E8D">
                          <w:t>Changed skills</w:t>
                        </w:r>
                      </w:p>
                    </w:tc>
                    <w:tc>
                      <w:tcPr>
                        <w:tcW w:w="1938" w:type="pct"/>
                        <w:noWrap/>
                      </w:tcPr>
                      <w:p w14:paraId="66794915" w14:textId="430F5B17" w:rsidR="00236A37" w:rsidRPr="00B34C26" w:rsidRDefault="00236A37" w:rsidP="00236A37">
                        <w:pPr>
                          <w:pStyle w:val="TableText"/>
                        </w:pPr>
                        <w:r w:rsidRPr="00177B75">
                          <w:t>63.9</w:t>
                        </w:r>
                        <w:r w:rsidRPr="00B34C26">
                          <w:t>% (n=</w:t>
                        </w:r>
                        <w:r w:rsidRPr="00177B75">
                          <w:t>32</w:t>
                        </w:r>
                        <w:r>
                          <w:t>,</w:t>
                        </w:r>
                        <w:r w:rsidRPr="00177B75">
                          <w:t>721</w:t>
                        </w:r>
                        <w:r w:rsidRPr="00B34C26">
                          <w:t>)</w:t>
                        </w:r>
                      </w:p>
                    </w:tc>
                  </w:tr>
                  <w:tr w:rsidR="00236A37" w:rsidRPr="00036888" w14:paraId="60FD4BFC" w14:textId="77777777">
                    <w:trPr>
                      <w:trHeight w:val="298"/>
                    </w:trPr>
                    <w:tc>
                      <w:tcPr>
                        <w:tcW w:w="941" w:type="pct"/>
                        <w:vMerge/>
                        <w:noWrap/>
                      </w:tcPr>
                      <w:p w14:paraId="4A0C9D0E" w14:textId="77777777" w:rsidR="00236A37" w:rsidRPr="008D0F42" w:rsidRDefault="00236A37" w:rsidP="00236A37">
                        <w:pPr>
                          <w:pStyle w:val="TableText"/>
                        </w:pPr>
                      </w:p>
                    </w:tc>
                    <w:tc>
                      <w:tcPr>
                        <w:tcW w:w="2121" w:type="pct"/>
                      </w:tcPr>
                      <w:p w14:paraId="60F1F87A" w14:textId="3F26593F" w:rsidR="00236A37" w:rsidRPr="008D0F42" w:rsidRDefault="00236A37" w:rsidP="00236A37">
                        <w:pPr>
                          <w:pStyle w:val="TableText"/>
                        </w:pPr>
                        <w:r w:rsidRPr="03FAA4E2">
                          <w:rPr>
                            <w:lang w:val="en-NZ"/>
                          </w:rPr>
                          <w:t>Empowerment, choice and control to make own decisions</w:t>
                        </w:r>
                      </w:p>
                    </w:tc>
                    <w:tc>
                      <w:tcPr>
                        <w:tcW w:w="1938" w:type="pct"/>
                        <w:noWrap/>
                      </w:tcPr>
                      <w:p w14:paraId="3DD64AB8" w14:textId="3D3AA233" w:rsidR="00236A37" w:rsidRPr="00B34C26" w:rsidRDefault="00236A37" w:rsidP="00236A37">
                        <w:pPr>
                          <w:pStyle w:val="TableText"/>
                        </w:pPr>
                        <w:r w:rsidRPr="00177B75">
                          <w:t>60.9</w:t>
                        </w:r>
                        <w:r w:rsidRPr="00B34C26">
                          <w:t>% (n=</w:t>
                        </w:r>
                        <w:r w:rsidRPr="00177B75">
                          <w:t>23</w:t>
                        </w:r>
                        <w:r>
                          <w:t>,</w:t>
                        </w:r>
                        <w:r w:rsidRPr="00177B75">
                          <w:t>903</w:t>
                        </w:r>
                        <w:r w:rsidRPr="00B34C26">
                          <w:t>)</w:t>
                        </w:r>
                      </w:p>
                    </w:tc>
                  </w:tr>
                  <w:tr w:rsidR="00236A37" w:rsidRPr="00036888" w14:paraId="608E8B27" w14:textId="77777777">
                    <w:trPr>
                      <w:trHeight w:val="298"/>
                    </w:trPr>
                    <w:tc>
                      <w:tcPr>
                        <w:tcW w:w="941" w:type="pct"/>
                        <w:vMerge/>
                        <w:noWrap/>
                      </w:tcPr>
                      <w:p w14:paraId="7058E5E6" w14:textId="77777777" w:rsidR="00236A37" w:rsidRPr="008D0F42" w:rsidRDefault="00236A37" w:rsidP="00236A37">
                        <w:pPr>
                          <w:pStyle w:val="TableText"/>
                        </w:pPr>
                      </w:p>
                    </w:tc>
                    <w:tc>
                      <w:tcPr>
                        <w:tcW w:w="2121" w:type="pct"/>
                      </w:tcPr>
                      <w:p w14:paraId="1D78A337" w14:textId="0D6D4FFA" w:rsidR="00236A37" w:rsidRPr="008D0F42" w:rsidRDefault="00236A37" w:rsidP="00236A37">
                        <w:pPr>
                          <w:pStyle w:val="TableText"/>
                        </w:pPr>
                        <w:r w:rsidRPr="00D63E8D">
                          <w:t>Engagement with relevant support services</w:t>
                        </w:r>
                      </w:p>
                    </w:tc>
                    <w:tc>
                      <w:tcPr>
                        <w:tcW w:w="1938" w:type="pct"/>
                        <w:noWrap/>
                      </w:tcPr>
                      <w:p w14:paraId="381A35CB" w14:textId="35A1EE4E" w:rsidR="00236A37" w:rsidRPr="00B34C26" w:rsidRDefault="00236A37" w:rsidP="00236A37">
                        <w:pPr>
                          <w:pStyle w:val="TableText"/>
                        </w:pPr>
                        <w:r w:rsidRPr="00177B75">
                          <w:t>60</w:t>
                        </w:r>
                        <w:r w:rsidRPr="00B34C26">
                          <w:t>.6% (n=</w:t>
                        </w:r>
                        <w:r w:rsidRPr="00177B75">
                          <w:t>16</w:t>
                        </w:r>
                        <w:r>
                          <w:t>,</w:t>
                        </w:r>
                        <w:r w:rsidRPr="00177B75">
                          <w:t>463</w:t>
                        </w:r>
                        <w:r w:rsidRPr="00B34C26">
                          <w:t>)</w:t>
                        </w:r>
                      </w:p>
                    </w:tc>
                  </w:tr>
                  <w:tr w:rsidR="00236A37" w:rsidRPr="00036888" w14:paraId="78320638" w14:textId="77777777">
                    <w:trPr>
                      <w:trHeight w:val="298"/>
                    </w:trPr>
                    <w:tc>
                      <w:tcPr>
                        <w:tcW w:w="941" w:type="pct"/>
                        <w:vMerge/>
                        <w:noWrap/>
                      </w:tcPr>
                      <w:p w14:paraId="0EE9DABF" w14:textId="77777777" w:rsidR="00236A37" w:rsidRPr="008D0F42" w:rsidRDefault="00236A37" w:rsidP="00236A37">
                        <w:pPr>
                          <w:pStyle w:val="TableText"/>
                        </w:pPr>
                      </w:p>
                    </w:tc>
                    <w:tc>
                      <w:tcPr>
                        <w:tcW w:w="2121" w:type="pct"/>
                      </w:tcPr>
                      <w:p w14:paraId="3C798709" w14:textId="204000ED" w:rsidR="00236A37" w:rsidRPr="008D0F42" w:rsidRDefault="00236A37" w:rsidP="00236A37">
                        <w:pPr>
                          <w:pStyle w:val="TableText"/>
                        </w:pPr>
                        <w:r w:rsidRPr="00D63E8D">
                          <w:t>Changed behaviours</w:t>
                        </w:r>
                      </w:p>
                    </w:tc>
                    <w:tc>
                      <w:tcPr>
                        <w:tcW w:w="1938" w:type="pct"/>
                        <w:noWrap/>
                      </w:tcPr>
                      <w:p w14:paraId="1D3E4036" w14:textId="52704EBA" w:rsidR="00236A37" w:rsidRPr="00B34C26" w:rsidRDefault="00236A37" w:rsidP="00236A37">
                        <w:pPr>
                          <w:pStyle w:val="TableText"/>
                        </w:pPr>
                        <w:r w:rsidRPr="00177B75">
                          <w:t>64.6</w:t>
                        </w:r>
                        <w:r w:rsidRPr="00B34C26">
                          <w:t>% (n=</w:t>
                        </w:r>
                        <w:r w:rsidRPr="00177B75">
                          <w:t>26</w:t>
                        </w:r>
                        <w:r>
                          <w:t>,</w:t>
                        </w:r>
                        <w:r w:rsidRPr="00177B75">
                          <w:t>702</w:t>
                        </w:r>
                        <w:r w:rsidRPr="00B34C26">
                          <w:t>)</w:t>
                        </w:r>
                      </w:p>
                    </w:tc>
                  </w:tr>
                </w:tbl>
                <w:p w14:paraId="64920B85" w14:textId="059CC704" w:rsidR="00462298" w:rsidRPr="008E1B83" w:rsidRDefault="00462298" w:rsidP="008E1B83">
                  <w:pPr>
                    <w:pStyle w:val="TableFigureTitle"/>
                    <w:rPr>
                      <w:sz w:val="20"/>
                      <w:szCs w:val="18"/>
                    </w:rPr>
                  </w:pPr>
                  <w:r w:rsidRPr="008E1B83">
                    <w:rPr>
                      <w:sz w:val="20"/>
                      <w:szCs w:val="18"/>
                    </w:rPr>
                    <w:t>Source: DEX</w:t>
                  </w:r>
                  <w:r w:rsidR="00484933" w:rsidRPr="008E1B83">
                    <w:rPr>
                      <w:sz w:val="20"/>
                      <w:szCs w:val="18"/>
                    </w:rPr>
                    <w:t>-</w:t>
                  </w:r>
                  <w:r w:rsidRPr="008E1B83">
                    <w:rPr>
                      <w:sz w:val="20"/>
                      <w:szCs w:val="18"/>
                    </w:rPr>
                    <w:t xml:space="preserve">SCORE data </w:t>
                  </w:r>
                </w:p>
                <w:p w14:paraId="6B4FDC77" w14:textId="77777777" w:rsidR="00C64C3D" w:rsidRDefault="00C64C3D" w:rsidP="00626FF8">
                  <w:pPr>
                    <w:pStyle w:val="Text"/>
                    <w:rPr>
                      <w:lang w:val="en-US"/>
                    </w:rPr>
                  </w:pPr>
                </w:p>
                <w:p w14:paraId="35DAFB22" w14:textId="13D058AB" w:rsidR="005A35BA" w:rsidRDefault="00807870" w:rsidP="00626FF8">
                  <w:pPr>
                    <w:pStyle w:val="Text"/>
                    <w:rPr>
                      <w:lang w:val="en-US"/>
                    </w:rPr>
                  </w:pPr>
                  <w:r>
                    <w:rPr>
                      <w:lang w:val="en-US"/>
                    </w:rPr>
                    <w:lastRenderedPageBreak/>
                    <w:t>SCORE data indicate that SFVS is also achieving positive outcomes for Aboriginal and Torres Strait Islander service users</w:t>
                  </w:r>
                  <w:r w:rsidR="00696482">
                    <w:rPr>
                      <w:lang w:val="en-US"/>
                    </w:rPr>
                    <w:t xml:space="preserve"> (see </w:t>
                  </w:r>
                  <w:r w:rsidR="00C64C3D" w:rsidRPr="00236A37">
                    <w:rPr>
                      <w:lang w:val="en-US"/>
                    </w:rPr>
                    <w:fldChar w:fldCharType="begin" w:fldLock="1"/>
                  </w:r>
                  <w:r w:rsidR="00C64C3D" w:rsidRPr="00236A37">
                    <w:rPr>
                      <w:lang w:val="en-US"/>
                    </w:rPr>
                    <w:instrText xml:space="preserve"> REF _Ref205321479 \h  \* MERGEFORMAT </w:instrText>
                  </w:r>
                  <w:r w:rsidR="00C64C3D" w:rsidRPr="00236A37">
                    <w:rPr>
                      <w:lang w:val="en-US"/>
                    </w:rPr>
                  </w:r>
                  <w:r w:rsidR="00C64C3D" w:rsidRPr="00236A37">
                    <w:rPr>
                      <w:lang w:val="en-US"/>
                    </w:rPr>
                    <w:fldChar w:fldCharType="separate"/>
                  </w:r>
                  <w:r w:rsidR="008F22E5" w:rsidRPr="008F22E5">
                    <w:rPr>
                      <w:rStyle w:val="Text-Bold"/>
                      <w:szCs w:val="22"/>
                    </w:rPr>
                    <w:t xml:space="preserve">Figure </w:t>
                  </w:r>
                  <w:r w:rsidR="008F22E5" w:rsidRPr="008F22E5">
                    <w:rPr>
                      <w:rStyle w:val="Text-Bold"/>
                      <w:noProof/>
                      <w:szCs w:val="22"/>
                    </w:rPr>
                    <w:t>40</w:t>
                  </w:r>
                  <w:r w:rsidR="00C64C3D" w:rsidRPr="00236A37">
                    <w:rPr>
                      <w:lang w:val="en-US"/>
                    </w:rPr>
                    <w:fldChar w:fldCharType="end"/>
                  </w:r>
                  <w:r w:rsidR="00E4509B">
                    <w:rPr>
                      <w:b/>
                      <w:bCs/>
                      <w:lang w:val="en-US"/>
                    </w:rPr>
                    <w:t xml:space="preserve"> </w:t>
                  </w:r>
                  <w:r w:rsidR="00E4509B" w:rsidRPr="00E4509B">
                    <w:rPr>
                      <w:lang w:val="en-US"/>
                    </w:rPr>
                    <w:t>below</w:t>
                  </w:r>
                  <w:r w:rsidR="00696482">
                    <w:rPr>
                      <w:lang w:val="en-US"/>
                    </w:rPr>
                    <w:t>)</w:t>
                  </w:r>
                  <w:r>
                    <w:rPr>
                      <w:lang w:val="en-US"/>
                    </w:rPr>
                    <w:t>. However, t</w:t>
                  </w:r>
                  <w:r w:rsidRPr="00626FF8">
                    <w:rPr>
                      <w:lang w:val="en-US"/>
                    </w:rPr>
                    <w:t>he degree of improvement in outcomes for Aboriginal and Torres Strait Islander people accessing SFVS services is generally slightly lower than non-Aboriginal service users. This is particularly marked in relation to the Goals of empowerment, choice and control</w:t>
                  </w:r>
                  <w:r w:rsidR="000957F8">
                    <w:rPr>
                      <w:lang w:val="en-US"/>
                    </w:rPr>
                    <w:t xml:space="preserve"> (confidence domain)</w:t>
                  </w:r>
                  <w:r w:rsidRPr="00626FF8">
                    <w:rPr>
                      <w:lang w:val="en-US"/>
                    </w:rPr>
                    <w:t xml:space="preserve">, and changed behaviours, as well as the family functioning Circumstances domain. Conversely, the improvement in outcomes for </w:t>
                  </w:r>
                  <w:r>
                    <w:rPr>
                      <w:lang w:val="en-US"/>
                    </w:rPr>
                    <w:t>changed knowledge and access to information</w:t>
                  </w:r>
                  <w:r w:rsidRPr="00626FF8">
                    <w:rPr>
                      <w:lang w:val="en-US"/>
                    </w:rPr>
                    <w:t xml:space="preserve"> </w:t>
                  </w:r>
                  <w:r>
                    <w:rPr>
                      <w:lang w:val="en-US"/>
                    </w:rPr>
                    <w:t>is slightly</w:t>
                  </w:r>
                  <w:r w:rsidRPr="00626FF8">
                    <w:rPr>
                      <w:lang w:val="en-US"/>
                    </w:rPr>
                    <w:t xml:space="preserve"> higher for Aboriginal and/or Torres Strait Islander services users. </w:t>
                  </w:r>
                </w:p>
                <w:p w14:paraId="7C60D742" w14:textId="4632CA4F" w:rsidR="006D0BC3" w:rsidRDefault="005A35BA" w:rsidP="00236A37">
                  <w:pPr>
                    <w:rPr>
                      <w:lang w:val="en-US"/>
                    </w:rPr>
                  </w:pPr>
                  <w:r>
                    <w:rPr>
                      <w:lang w:val="en-US"/>
                    </w:rPr>
                    <w:br w:type="page"/>
                  </w:r>
                </w:p>
                <w:p w14:paraId="4CC64EFB" w14:textId="1AF3AE18" w:rsidR="00236A37" w:rsidRPr="00D377B0" w:rsidRDefault="00626FF8" w:rsidP="00253034">
                  <w:pPr>
                    <w:pStyle w:val="TableFigure-Header"/>
                    <w:spacing w:line="276" w:lineRule="auto"/>
                    <w:jc w:val="both"/>
                    <w:rPr>
                      <w:szCs w:val="21"/>
                      <w:lang w:val="en-NZ"/>
                    </w:rPr>
                  </w:pPr>
                  <w:bookmarkStart w:id="480" w:name="_Ref205316575"/>
                  <w:bookmarkStart w:id="481" w:name="_Ref205321479"/>
                  <w:bookmarkStart w:id="482" w:name="_Toc205413082"/>
                  <w:bookmarkStart w:id="483" w:name="_Toc205413136"/>
                  <w:bookmarkStart w:id="484" w:name="_Ref208574184"/>
                  <w:r w:rsidRPr="00D377B0">
                    <w:rPr>
                      <w:rStyle w:val="Text-Bold"/>
                      <w:b/>
                      <w:szCs w:val="21"/>
                      <w:lang w:val="en-NZ"/>
                    </w:rPr>
                    <w:lastRenderedPageBreak/>
                    <w:t>Figure</w:t>
                  </w:r>
                  <w:bookmarkEnd w:id="480"/>
                  <w:r w:rsidRPr="00D377B0">
                    <w:rPr>
                      <w:rStyle w:val="Text-Bold"/>
                      <w:b/>
                      <w:szCs w:val="21"/>
                      <w:lang w:val="en-NZ"/>
                    </w:rPr>
                    <w:t xml:space="preserve"> </w:t>
                  </w:r>
                  <w:r w:rsidR="00C64C3D" w:rsidRPr="00D377B0">
                    <w:rPr>
                      <w:rStyle w:val="Text-Bold"/>
                      <w:b/>
                      <w:szCs w:val="21"/>
                      <w:lang w:val="en-NZ"/>
                    </w:rPr>
                    <w:fldChar w:fldCharType="begin"/>
                  </w:r>
                  <w:r w:rsidR="00C64C3D" w:rsidRPr="00D377B0">
                    <w:rPr>
                      <w:rStyle w:val="Text-Bold"/>
                      <w:b/>
                      <w:szCs w:val="21"/>
                      <w:lang w:val="en-NZ"/>
                    </w:rPr>
                    <w:instrText xml:space="preserve"> SEQ Figure \* ARABIC </w:instrText>
                  </w:r>
                  <w:r w:rsidR="00C64C3D" w:rsidRPr="00D377B0">
                    <w:rPr>
                      <w:rStyle w:val="Text-Bold"/>
                      <w:b/>
                      <w:szCs w:val="21"/>
                      <w:lang w:val="en-NZ"/>
                    </w:rPr>
                    <w:fldChar w:fldCharType="separate"/>
                  </w:r>
                  <w:r w:rsidR="008D2566">
                    <w:rPr>
                      <w:rStyle w:val="Text-Bold"/>
                      <w:b/>
                      <w:noProof/>
                      <w:szCs w:val="21"/>
                      <w:lang w:val="en-NZ"/>
                    </w:rPr>
                    <w:t>40</w:t>
                  </w:r>
                  <w:r w:rsidR="00C64C3D" w:rsidRPr="00D377B0">
                    <w:rPr>
                      <w:rStyle w:val="Text-Bold"/>
                      <w:b/>
                      <w:szCs w:val="21"/>
                      <w:lang w:val="en-NZ"/>
                    </w:rPr>
                    <w:fldChar w:fldCharType="end"/>
                  </w:r>
                  <w:bookmarkEnd w:id="481"/>
                  <w:r w:rsidRPr="00D377B0">
                    <w:rPr>
                      <w:rStyle w:val="Text-Bold"/>
                      <w:b/>
                      <w:szCs w:val="21"/>
                      <w:lang w:val="en-NZ"/>
                    </w:rPr>
                    <w:t xml:space="preserve">: </w:t>
                  </w:r>
                  <w:r w:rsidR="007E6AC4" w:rsidRPr="00D377B0">
                    <w:rPr>
                      <w:rStyle w:val="Text-Bold"/>
                      <w:b/>
                      <w:szCs w:val="21"/>
                      <w:lang w:val="en-NZ"/>
                    </w:rPr>
                    <w:t xml:space="preserve">Earliest to latest SCORE changes within subjects, Aboriginal and Torres Strait Islander </w:t>
                  </w:r>
                  <w:r w:rsidR="003A40E2" w:rsidRPr="00D377B0">
                    <w:rPr>
                      <w:rStyle w:val="Text-Bold"/>
                      <w:b/>
                      <w:szCs w:val="21"/>
                      <w:lang w:val="en-NZ"/>
                    </w:rPr>
                    <w:t>SFVS</w:t>
                  </w:r>
                  <w:r w:rsidR="007E6AC4" w:rsidRPr="00D377B0">
                    <w:rPr>
                      <w:rStyle w:val="Text-Bold"/>
                      <w:b/>
                      <w:szCs w:val="21"/>
                      <w:lang w:val="en-NZ"/>
                    </w:rPr>
                    <w:t xml:space="preserve"> service users, July 2021 to June 2024</w:t>
                  </w:r>
                  <w:bookmarkEnd w:id="482"/>
                  <w:bookmarkEnd w:id="483"/>
                  <w:bookmarkEnd w:id="484"/>
                </w:p>
                <w:p w14:paraId="331EAFA2" w14:textId="29A8D37E" w:rsidR="00626FF8" w:rsidRDefault="00CF7A87" w:rsidP="00626FF8">
                  <w:pPr>
                    <w:pStyle w:val="Text"/>
                    <w:rPr>
                      <w:lang w:val="en-US"/>
                    </w:rPr>
                  </w:pPr>
                  <w:r>
                    <w:rPr>
                      <w:noProof/>
                    </w:rPr>
                    <mc:AlternateContent>
                      <mc:Choice Requires="wpg">
                        <w:drawing>
                          <wp:anchor distT="0" distB="0" distL="114300" distR="114300" simplePos="0" relativeHeight="251658259" behindDoc="0" locked="0" layoutInCell="1" allowOverlap="1" wp14:anchorId="64D90081" wp14:editId="4E01BFEE">
                            <wp:simplePos x="0" y="0"/>
                            <wp:positionH relativeFrom="margin">
                              <wp:align>left</wp:align>
                            </wp:positionH>
                            <wp:positionV relativeFrom="paragraph">
                              <wp:posOffset>9276</wp:posOffset>
                            </wp:positionV>
                            <wp:extent cx="6081527" cy="8490858"/>
                            <wp:effectExtent l="0" t="0" r="14605" b="5715"/>
                            <wp:wrapNone/>
                            <wp:docPr id="1257021975" name="Group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081527" cy="8490858"/>
                                      <a:chOff x="0" y="0"/>
                                      <a:chExt cx="6123175" cy="5045707"/>
                                    </a:xfrm>
                                  </wpg:grpSpPr>
                                  <wpg:graphicFrame>
                                    <wpg:cNvPr id="76206721" name="Chart 76206721"/>
                                    <wpg:cNvFrPr>
                                      <a:graphicFrameLocks/>
                                    </wpg:cNvFrPr>
                                    <wpg:xfrm>
                                      <a:off x="0" y="0"/>
                                      <a:ext cx="6123175" cy="2515232"/>
                                    </wpg:xfrm>
                                    <a:graphic>
                                      <a:graphicData uri="http://schemas.openxmlformats.org/drawingml/2006/chart">
                                        <c:chart xmlns:c="http://schemas.openxmlformats.org/drawingml/2006/chart" xmlns:r="http://schemas.openxmlformats.org/officeDocument/2006/relationships" r:id="rId99"/>
                                      </a:graphicData>
                                    </a:graphic>
                                  </wpg:graphicFrame>
                                  <wpg:graphicFrame>
                                    <wpg:cNvPr id="1737797204" name="Chart 1737797204"/>
                                    <wpg:cNvFrPr>
                                      <a:graphicFrameLocks/>
                                    </wpg:cNvFrPr>
                                    <wpg:xfrm>
                                      <a:off x="1588" y="2533650"/>
                                      <a:ext cx="6120000" cy="2512057"/>
                                    </wpg:xfrm>
                                    <a:graphic>
                                      <a:graphicData uri="http://schemas.openxmlformats.org/drawingml/2006/chart">
                                        <c:chart xmlns:c="http://schemas.openxmlformats.org/drawingml/2006/chart" xmlns:r="http://schemas.openxmlformats.org/officeDocument/2006/relationships" r:id="rId100"/>
                                      </a:graphicData>
                                    </a:graphic>
                                  </wpg:graphicFrame>
                                </wpg:wgp>
                              </a:graphicData>
                            </a:graphic>
                            <wp14:sizeRelH relativeFrom="margin">
                              <wp14:pctWidth>0</wp14:pctWidth>
                            </wp14:sizeRelH>
                            <wp14:sizeRelV relativeFrom="margin">
                              <wp14:pctHeight>0</wp14:pctHeight>
                            </wp14:sizeRelV>
                          </wp:anchor>
                        </w:drawing>
                      </mc:Choice>
                      <mc:Fallback>
                        <w:pict>
                          <v:group w14:anchorId="3535F61D" id="Group 3" o:spid="_x0000_s1026" alt="&quot;&quot;" style="position:absolute;margin-left:0;margin-top:.75pt;width:478.85pt;height:668.55pt;z-index:251658259;mso-position-horizontal:left;mso-position-horizontal-relative:margin;mso-width-relative:margin;mso-height-relative:margin" coordsize="61231,50457" o:gfxdata="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">
                            <v:shape id="Chart 76206721" o:spid="_x0000_s1027" type="#_x0000_t75" style="position:absolute;left:-61;top:-36;width:61377;height:252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">
                              <v:imagedata r:id="rId101" o:title=""/>
                              <o:lock v:ext="edit" aspectratio="f"/>
                            </v:shape>
                            <v:shape id="Chart 1737797204" o:spid="_x0000_s1028" type="#_x0000_t75" style="position:absolute;left:-61;top:25285;width:61315;height:2521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">
                              <v:imagedata r:id="rId102" o:title=""/>
                              <o:lock v:ext="edit" aspectratio="f"/>
                            </v:shape>
                            <w10:wrap anchorx="margin"/>
                          </v:group>
                        </w:pict>
                      </mc:Fallback>
                    </mc:AlternateContent>
                  </w:r>
                </w:p>
                <w:p w14:paraId="0EB45F0B" w14:textId="77777777" w:rsidR="00297F9F" w:rsidRDefault="00297F9F" w:rsidP="00626FF8">
                  <w:pPr>
                    <w:pStyle w:val="Text"/>
                    <w:rPr>
                      <w:lang w:val="en-US"/>
                    </w:rPr>
                  </w:pPr>
                </w:p>
                <w:p w14:paraId="652A2EEE" w14:textId="77777777" w:rsidR="00236A37" w:rsidRDefault="00236A37" w:rsidP="00626FF8">
                  <w:pPr>
                    <w:pStyle w:val="Text"/>
                    <w:rPr>
                      <w:lang w:val="en-US"/>
                    </w:rPr>
                  </w:pPr>
                </w:p>
                <w:p w14:paraId="181317B8" w14:textId="77777777" w:rsidR="00236A37" w:rsidRDefault="00236A37" w:rsidP="00626FF8">
                  <w:pPr>
                    <w:pStyle w:val="Text"/>
                    <w:rPr>
                      <w:lang w:val="en-US"/>
                    </w:rPr>
                  </w:pPr>
                </w:p>
                <w:p w14:paraId="1C332BA9" w14:textId="77777777" w:rsidR="00236A37" w:rsidRDefault="00236A37" w:rsidP="00626FF8">
                  <w:pPr>
                    <w:pStyle w:val="Text"/>
                    <w:rPr>
                      <w:lang w:val="en-US"/>
                    </w:rPr>
                  </w:pPr>
                </w:p>
                <w:p w14:paraId="1ED67647" w14:textId="77777777" w:rsidR="00236A37" w:rsidRDefault="00236A37" w:rsidP="00626FF8">
                  <w:pPr>
                    <w:pStyle w:val="Text"/>
                    <w:rPr>
                      <w:lang w:val="en-US"/>
                    </w:rPr>
                  </w:pPr>
                </w:p>
                <w:p w14:paraId="02214588" w14:textId="77777777" w:rsidR="00236A37" w:rsidRDefault="00236A37" w:rsidP="00626FF8">
                  <w:pPr>
                    <w:pStyle w:val="Text"/>
                    <w:rPr>
                      <w:lang w:val="en-US"/>
                    </w:rPr>
                  </w:pPr>
                </w:p>
                <w:p w14:paraId="15B6E6BA" w14:textId="77777777" w:rsidR="00236A37" w:rsidRDefault="00236A37" w:rsidP="00626FF8">
                  <w:pPr>
                    <w:pStyle w:val="Text"/>
                    <w:rPr>
                      <w:lang w:val="en-US"/>
                    </w:rPr>
                  </w:pPr>
                </w:p>
                <w:p w14:paraId="301197FC" w14:textId="77777777" w:rsidR="00236A37" w:rsidRDefault="00236A37" w:rsidP="00626FF8">
                  <w:pPr>
                    <w:pStyle w:val="Text"/>
                    <w:rPr>
                      <w:lang w:val="en-US"/>
                    </w:rPr>
                  </w:pPr>
                </w:p>
                <w:p w14:paraId="626227C8" w14:textId="77777777" w:rsidR="00236A37" w:rsidRDefault="00236A37" w:rsidP="00626FF8">
                  <w:pPr>
                    <w:pStyle w:val="Text"/>
                    <w:rPr>
                      <w:lang w:val="en-US"/>
                    </w:rPr>
                  </w:pPr>
                </w:p>
                <w:p w14:paraId="280E30C3" w14:textId="77777777" w:rsidR="00236A37" w:rsidRDefault="00236A37" w:rsidP="00626FF8">
                  <w:pPr>
                    <w:pStyle w:val="Text"/>
                    <w:rPr>
                      <w:lang w:val="en-US"/>
                    </w:rPr>
                  </w:pPr>
                </w:p>
                <w:p w14:paraId="7153A58C" w14:textId="77777777" w:rsidR="00236A37" w:rsidRDefault="00236A37" w:rsidP="00626FF8">
                  <w:pPr>
                    <w:pStyle w:val="Text"/>
                    <w:rPr>
                      <w:lang w:val="en-US"/>
                    </w:rPr>
                  </w:pPr>
                </w:p>
                <w:p w14:paraId="58C50C85" w14:textId="77777777" w:rsidR="00236A37" w:rsidRDefault="00236A37" w:rsidP="00626FF8">
                  <w:pPr>
                    <w:pStyle w:val="Text"/>
                    <w:rPr>
                      <w:lang w:val="en-US"/>
                    </w:rPr>
                  </w:pPr>
                </w:p>
                <w:p w14:paraId="76CA66D8" w14:textId="77777777" w:rsidR="00236A37" w:rsidRDefault="00236A37" w:rsidP="00626FF8">
                  <w:pPr>
                    <w:pStyle w:val="Text"/>
                    <w:rPr>
                      <w:lang w:val="en-US"/>
                    </w:rPr>
                  </w:pPr>
                </w:p>
                <w:p w14:paraId="00864E6A" w14:textId="77777777" w:rsidR="00236A37" w:rsidRDefault="00236A37" w:rsidP="00626FF8">
                  <w:pPr>
                    <w:pStyle w:val="Text"/>
                    <w:rPr>
                      <w:lang w:val="en-US"/>
                    </w:rPr>
                  </w:pPr>
                </w:p>
                <w:p w14:paraId="748E21CC" w14:textId="77777777" w:rsidR="00236A37" w:rsidRDefault="00236A37" w:rsidP="00626FF8">
                  <w:pPr>
                    <w:pStyle w:val="Text"/>
                    <w:rPr>
                      <w:lang w:val="en-US"/>
                    </w:rPr>
                  </w:pPr>
                </w:p>
                <w:p w14:paraId="000F9E86" w14:textId="77777777" w:rsidR="00236A37" w:rsidRDefault="00236A37" w:rsidP="00626FF8">
                  <w:pPr>
                    <w:pStyle w:val="Text"/>
                    <w:rPr>
                      <w:lang w:val="en-US"/>
                    </w:rPr>
                  </w:pPr>
                </w:p>
                <w:p w14:paraId="67F82616" w14:textId="77777777" w:rsidR="00297F9F" w:rsidRDefault="00297F9F" w:rsidP="00626FF8">
                  <w:pPr>
                    <w:pStyle w:val="Text"/>
                    <w:rPr>
                      <w:lang w:val="en-US"/>
                    </w:rPr>
                  </w:pPr>
                </w:p>
                <w:p w14:paraId="600BB2CF" w14:textId="77777777" w:rsidR="00297F9F" w:rsidRDefault="00297F9F" w:rsidP="00626FF8">
                  <w:pPr>
                    <w:pStyle w:val="Text"/>
                    <w:rPr>
                      <w:lang w:val="en-US"/>
                    </w:rPr>
                  </w:pPr>
                </w:p>
                <w:p w14:paraId="125ECA0C" w14:textId="77777777" w:rsidR="00CF38AB" w:rsidRDefault="00CF38AB" w:rsidP="00626FF8">
                  <w:pPr>
                    <w:pStyle w:val="Text"/>
                    <w:rPr>
                      <w:lang w:val="en-US"/>
                    </w:rPr>
                  </w:pPr>
                </w:p>
                <w:p w14:paraId="782A95A2" w14:textId="77777777" w:rsidR="00CF38AB" w:rsidRDefault="00CF38AB" w:rsidP="00626FF8">
                  <w:pPr>
                    <w:pStyle w:val="Text"/>
                    <w:rPr>
                      <w:lang w:val="en-US"/>
                    </w:rPr>
                  </w:pPr>
                </w:p>
                <w:p w14:paraId="7299C997" w14:textId="77777777" w:rsidR="00CF38AB" w:rsidRDefault="00CF38AB" w:rsidP="00626FF8">
                  <w:pPr>
                    <w:pStyle w:val="Text"/>
                    <w:rPr>
                      <w:lang w:val="en-US"/>
                    </w:rPr>
                  </w:pPr>
                </w:p>
                <w:p w14:paraId="3C7A7A3A" w14:textId="77777777" w:rsidR="00CF38AB" w:rsidRDefault="00CF38AB" w:rsidP="00626FF8">
                  <w:pPr>
                    <w:pStyle w:val="Text"/>
                    <w:rPr>
                      <w:lang w:val="en-US"/>
                    </w:rPr>
                  </w:pPr>
                </w:p>
                <w:p w14:paraId="13A93D96" w14:textId="77777777" w:rsidR="00CF38AB" w:rsidRDefault="00CF38AB" w:rsidP="00626FF8">
                  <w:pPr>
                    <w:pStyle w:val="Text"/>
                    <w:rPr>
                      <w:lang w:val="en-US"/>
                    </w:rPr>
                  </w:pPr>
                </w:p>
                <w:p w14:paraId="7A687411" w14:textId="68937CA4" w:rsidR="003A40E2" w:rsidRPr="00D377B0" w:rsidRDefault="00EA36E8" w:rsidP="00253034">
                  <w:pPr>
                    <w:pStyle w:val="Caption"/>
                    <w:jc w:val="both"/>
                    <w:rPr>
                      <w:sz w:val="21"/>
                      <w:szCs w:val="21"/>
                    </w:rPr>
                  </w:pPr>
                  <w:r w:rsidRPr="00D377B0">
                    <w:rPr>
                      <w:sz w:val="21"/>
                      <w:szCs w:val="21"/>
                    </w:rPr>
                    <w:lastRenderedPageBreak/>
                    <w:t xml:space="preserve">Table </w:t>
                  </w:r>
                  <w:r w:rsidRPr="00D377B0">
                    <w:rPr>
                      <w:sz w:val="21"/>
                      <w:szCs w:val="21"/>
                    </w:rPr>
                    <w:fldChar w:fldCharType="begin"/>
                  </w:r>
                  <w:r w:rsidRPr="00D377B0">
                    <w:rPr>
                      <w:sz w:val="21"/>
                      <w:szCs w:val="21"/>
                    </w:rPr>
                    <w:instrText xml:space="preserve"> SEQ Table \* ARABIC </w:instrText>
                  </w:r>
                  <w:r w:rsidRPr="00D377B0">
                    <w:rPr>
                      <w:sz w:val="21"/>
                      <w:szCs w:val="21"/>
                    </w:rPr>
                    <w:fldChar w:fldCharType="separate"/>
                  </w:r>
                  <w:r w:rsidR="008D2566">
                    <w:rPr>
                      <w:noProof/>
                      <w:sz w:val="21"/>
                      <w:szCs w:val="21"/>
                    </w:rPr>
                    <w:t>37</w:t>
                  </w:r>
                  <w:r w:rsidRPr="00D377B0">
                    <w:rPr>
                      <w:sz w:val="21"/>
                      <w:szCs w:val="21"/>
                    </w:rPr>
                    <w:fldChar w:fldCharType="end"/>
                  </w:r>
                  <w:r w:rsidRPr="00D377B0">
                    <w:rPr>
                      <w:sz w:val="21"/>
                      <w:szCs w:val="21"/>
                    </w:rPr>
                    <w:t xml:space="preserve">: Percentage of </w:t>
                  </w:r>
                  <w:r w:rsidR="00CF38AB" w:rsidRPr="00D377B0">
                    <w:rPr>
                      <w:sz w:val="21"/>
                      <w:szCs w:val="21"/>
                    </w:rPr>
                    <w:t xml:space="preserve">service users with </w:t>
                  </w:r>
                  <w:r w:rsidRPr="00D377B0">
                    <w:rPr>
                      <w:sz w:val="21"/>
                      <w:szCs w:val="21"/>
                    </w:rPr>
                    <w:t xml:space="preserve">positive SCORE change for specific Circumstance and Goal domains, Aboriginal and Torres Strait Islander SFVS service users, July 2021 to </w:t>
                  </w:r>
                  <w:r w:rsidR="47EC88F3" w:rsidRPr="00D377B0">
                    <w:rPr>
                      <w:sz w:val="21"/>
                      <w:szCs w:val="21"/>
                    </w:rPr>
                    <w:t xml:space="preserve">June </w:t>
                  </w:r>
                  <w:r w:rsidRPr="00D377B0">
                    <w:rPr>
                      <w:sz w:val="21"/>
                      <w:szCs w:val="21"/>
                    </w:rPr>
                    <w:t>2024</w:t>
                  </w:r>
                </w:p>
                <w:tbl>
                  <w:tblPr>
                    <w:tblStyle w:val="TableGrid3"/>
                    <w:tblW w:w="5000" w:type="pct"/>
                    <w:tblLayout w:type="fixed"/>
                    <w:tblLook w:val="04A0" w:firstRow="1" w:lastRow="0" w:firstColumn="1" w:lastColumn="0" w:noHBand="0" w:noVBand="1"/>
                  </w:tblPr>
                  <w:tblGrid>
                    <w:gridCol w:w="1838"/>
                    <w:gridCol w:w="3685"/>
                    <w:gridCol w:w="3496"/>
                  </w:tblGrid>
                  <w:tr w:rsidR="003A40E2" w:rsidRPr="00036888" w14:paraId="10E15099" w14:textId="77777777" w:rsidTr="0078592C">
                    <w:trPr>
                      <w:trHeight w:val="298"/>
                    </w:trPr>
                    <w:tc>
                      <w:tcPr>
                        <w:tcW w:w="1019" w:type="pct"/>
                        <w:shd w:val="clear" w:color="auto" w:fill="007E00" w:themeFill="accent3"/>
                        <w:noWrap/>
                        <w:hideMark/>
                      </w:tcPr>
                      <w:p w14:paraId="1439B8FF" w14:textId="77777777" w:rsidR="003A40E2" w:rsidRPr="00F6254E" w:rsidRDefault="003A40E2">
                        <w:pPr>
                          <w:pStyle w:val="TableText"/>
                          <w:rPr>
                            <w:b/>
                            <w:bCs/>
                            <w:color w:val="FFFFFF" w:themeColor="background1"/>
                          </w:rPr>
                        </w:pPr>
                        <w:r w:rsidRPr="00F6254E">
                          <w:rPr>
                            <w:b/>
                            <w:bCs/>
                            <w:color w:val="FFFFFF" w:themeColor="background1"/>
                          </w:rPr>
                          <w:t>Outcome Type</w:t>
                        </w:r>
                      </w:p>
                    </w:tc>
                    <w:tc>
                      <w:tcPr>
                        <w:tcW w:w="2043" w:type="pct"/>
                        <w:shd w:val="clear" w:color="auto" w:fill="007E00" w:themeFill="accent3"/>
                      </w:tcPr>
                      <w:p w14:paraId="057ADC31" w14:textId="77777777" w:rsidR="003A40E2" w:rsidRDefault="003A40E2">
                        <w:pPr>
                          <w:pStyle w:val="TableText"/>
                          <w:rPr>
                            <w:b/>
                            <w:bCs/>
                            <w:color w:val="FFFFFF" w:themeColor="background1"/>
                          </w:rPr>
                        </w:pPr>
                        <w:r>
                          <w:rPr>
                            <w:b/>
                            <w:bCs/>
                            <w:color w:val="FFFFFF" w:themeColor="background1"/>
                          </w:rPr>
                          <w:t>Domain description</w:t>
                        </w:r>
                      </w:p>
                    </w:tc>
                    <w:tc>
                      <w:tcPr>
                        <w:tcW w:w="1938" w:type="pct"/>
                        <w:shd w:val="clear" w:color="auto" w:fill="007E00" w:themeFill="accent3"/>
                        <w:noWrap/>
                        <w:hideMark/>
                      </w:tcPr>
                      <w:p w14:paraId="555DF733" w14:textId="77777777" w:rsidR="003A40E2" w:rsidRPr="00F6254E" w:rsidRDefault="003A40E2">
                        <w:pPr>
                          <w:pStyle w:val="TableText"/>
                          <w:rPr>
                            <w:b/>
                            <w:bCs/>
                            <w:color w:val="FFFFFF" w:themeColor="background1"/>
                          </w:rPr>
                        </w:pPr>
                        <w:r>
                          <w:rPr>
                            <w:b/>
                            <w:bCs/>
                            <w:color w:val="FFFFFF" w:themeColor="background1"/>
                          </w:rPr>
                          <w:t xml:space="preserve">Service users </w:t>
                        </w:r>
                        <w:r w:rsidRPr="00F6254E">
                          <w:rPr>
                            <w:b/>
                            <w:bCs/>
                            <w:color w:val="FFFFFF" w:themeColor="background1"/>
                          </w:rPr>
                          <w:t>with positive mean change (%, n</w:t>
                        </w:r>
                        <w:r>
                          <w:rPr>
                            <w:b/>
                            <w:bCs/>
                            <w:color w:val="FFFFFF" w:themeColor="background1"/>
                          </w:rPr>
                          <w:t>=</w:t>
                        </w:r>
                        <w:r w:rsidRPr="00F6254E">
                          <w:rPr>
                            <w:b/>
                            <w:bCs/>
                            <w:color w:val="FFFFFF" w:themeColor="background1"/>
                          </w:rPr>
                          <w:t>)</w:t>
                        </w:r>
                      </w:p>
                    </w:tc>
                  </w:tr>
                  <w:tr w:rsidR="003A40E2" w:rsidRPr="00036888" w14:paraId="37CDC2D4" w14:textId="77777777" w:rsidTr="0078592C">
                    <w:trPr>
                      <w:trHeight w:val="298"/>
                    </w:trPr>
                    <w:tc>
                      <w:tcPr>
                        <w:tcW w:w="1019" w:type="pct"/>
                        <w:vMerge w:val="restart"/>
                        <w:noWrap/>
                        <w:hideMark/>
                      </w:tcPr>
                      <w:p w14:paraId="2EDDB4BB" w14:textId="77777777" w:rsidR="003A40E2" w:rsidRPr="00F7412D" w:rsidRDefault="003A40E2">
                        <w:pPr>
                          <w:pStyle w:val="TableText"/>
                        </w:pPr>
                        <w:r w:rsidRPr="00F7412D">
                          <w:t>Circumstances</w:t>
                        </w:r>
                      </w:p>
                    </w:tc>
                    <w:tc>
                      <w:tcPr>
                        <w:tcW w:w="2043" w:type="pct"/>
                      </w:tcPr>
                      <w:p w14:paraId="0A6B37CA" w14:textId="77777777" w:rsidR="003A40E2" w:rsidRPr="00F7412D" w:rsidRDefault="003A40E2">
                        <w:pPr>
                          <w:pStyle w:val="TableText"/>
                        </w:pPr>
                        <w:r w:rsidRPr="00F7412D">
                          <w:t>Family functioning</w:t>
                        </w:r>
                      </w:p>
                    </w:tc>
                    <w:tc>
                      <w:tcPr>
                        <w:tcW w:w="1938" w:type="pct"/>
                        <w:noWrap/>
                        <w:vAlign w:val="center"/>
                        <w:hideMark/>
                      </w:tcPr>
                      <w:p w14:paraId="4E47E94B" w14:textId="77777777" w:rsidR="003A40E2" w:rsidRPr="007E6AC4" w:rsidRDefault="003A40E2">
                        <w:pPr>
                          <w:pStyle w:val="TableText"/>
                        </w:pPr>
                        <w:r w:rsidRPr="00F6254E">
                          <w:t>46.8% (n=141)</w:t>
                        </w:r>
                      </w:p>
                    </w:tc>
                  </w:tr>
                  <w:tr w:rsidR="003A40E2" w:rsidRPr="00036888" w14:paraId="68464DBD" w14:textId="77777777" w:rsidTr="0078592C">
                    <w:trPr>
                      <w:trHeight w:val="298"/>
                    </w:trPr>
                    <w:tc>
                      <w:tcPr>
                        <w:tcW w:w="1019" w:type="pct"/>
                        <w:vMerge/>
                        <w:noWrap/>
                      </w:tcPr>
                      <w:p w14:paraId="6BB81E06" w14:textId="77777777" w:rsidR="003A40E2" w:rsidRPr="00F7412D" w:rsidRDefault="003A40E2">
                        <w:pPr>
                          <w:pStyle w:val="TableText"/>
                        </w:pPr>
                      </w:p>
                    </w:tc>
                    <w:tc>
                      <w:tcPr>
                        <w:tcW w:w="2043" w:type="pct"/>
                      </w:tcPr>
                      <w:p w14:paraId="1164B24F" w14:textId="77777777" w:rsidR="003A40E2" w:rsidRPr="00F7412D" w:rsidRDefault="003A40E2">
                        <w:pPr>
                          <w:pStyle w:val="TableText"/>
                        </w:pPr>
                        <w:r w:rsidRPr="00F7412D">
                          <w:rPr>
                            <w:lang w:val="en-NZ"/>
                          </w:rPr>
                          <w:t>Mental health, wellbeing and self-care</w:t>
                        </w:r>
                      </w:p>
                    </w:tc>
                    <w:tc>
                      <w:tcPr>
                        <w:tcW w:w="1938" w:type="pct"/>
                        <w:noWrap/>
                        <w:vAlign w:val="center"/>
                      </w:tcPr>
                      <w:p w14:paraId="5F194A5A" w14:textId="77777777" w:rsidR="003A40E2" w:rsidRPr="007E6AC4" w:rsidRDefault="003A40E2">
                        <w:pPr>
                          <w:pStyle w:val="TableText"/>
                        </w:pPr>
                        <w:r w:rsidRPr="00F6254E">
                          <w:t>49.8% (n=159)</w:t>
                        </w:r>
                      </w:p>
                    </w:tc>
                  </w:tr>
                  <w:tr w:rsidR="003A40E2" w:rsidRPr="00036888" w14:paraId="03D5AAFA" w14:textId="77777777" w:rsidTr="0078592C">
                    <w:trPr>
                      <w:trHeight w:val="298"/>
                    </w:trPr>
                    <w:tc>
                      <w:tcPr>
                        <w:tcW w:w="1019" w:type="pct"/>
                        <w:vMerge/>
                        <w:noWrap/>
                      </w:tcPr>
                      <w:p w14:paraId="6C212CD7" w14:textId="77777777" w:rsidR="003A40E2" w:rsidRPr="00F7412D" w:rsidRDefault="003A40E2">
                        <w:pPr>
                          <w:pStyle w:val="TableText"/>
                        </w:pPr>
                      </w:p>
                    </w:tc>
                    <w:tc>
                      <w:tcPr>
                        <w:tcW w:w="2043" w:type="pct"/>
                      </w:tcPr>
                      <w:p w14:paraId="4FC2247F" w14:textId="77777777" w:rsidR="003A40E2" w:rsidRPr="00F7412D" w:rsidRDefault="003A40E2">
                        <w:pPr>
                          <w:pStyle w:val="TableText"/>
                        </w:pPr>
                        <w:r w:rsidRPr="00F7412D">
                          <w:t>Personal and family safety</w:t>
                        </w:r>
                      </w:p>
                    </w:tc>
                    <w:tc>
                      <w:tcPr>
                        <w:tcW w:w="1938" w:type="pct"/>
                        <w:noWrap/>
                        <w:vAlign w:val="center"/>
                      </w:tcPr>
                      <w:p w14:paraId="65FF07A8" w14:textId="77777777" w:rsidR="003A40E2" w:rsidRPr="007E6AC4" w:rsidRDefault="003A40E2">
                        <w:pPr>
                          <w:pStyle w:val="TableText"/>
                        </w:pPr>
                        <w:r w:rsidRPr="00F6254E">
                          <w:t>53.6% (n=229)</w:t>
                        </w:r>
                      </w:p>
                    </w:tc>
                  </w:tr>
                  <w:tr w:rsidR="003A40E2" w:rsidRPr="00036888" w14:paraId="6F3AF35E" w14:textId="77777777" w:rsidTr="0078592C">
                    <w:trPr>
                      <w:trHeight w:val="298"/>
                    </w:trPr>
                    <w:tc>
                      <w:tcPr>
                        <w:tcW w:w="1019" w:type="pct"/>
                        <w:vMerge w:val="restart"/>
                        <w:noWrap/>
                      </w:tcPr>
                      <w:p w14:paraId="370CDE5C" w14:textId="77777777" w:rsidR="003A40E2" w:rsidRPr="00F7412D" w:rsidRDefault="003A40E2">
                        <w:pPr>
                          <w:pStyle w:val="TableText"/>
                        </w:pPr>
                        <w:r w:rsidRPr="00F7412D">
                          <w:t>Goals</w:t>
                        </w:r>
                      </w:p>
                    </w:tc>
                    <w:tc>
                      <w:tcPr>
                        <w:tcW w:w="2043" w:type="pct"/>
                      </w:tcPr>
                      <w:p w14:paraId="03BB4957" w14:textId="77777777" w:rsidR="003A40E2" w:rsidRPr="00F7412D" w:rsidRDefault="003A40E2">
                        <w:pPr>
                          <w:pStyle w:val="TableText"/>
                        </w:pPr>
                        <w:r w:rsidRPr="00F7412D">
                          <w:t>Changed behaviours</w:t>
                        </w:r>
                      </w:p>
                    </w:tc>
                    <w:tc>
                      <w:tcPr>
                        <w:tcW w:w="1938" w:type="pct"/>
                        <w:noWrap/>
                        <w:vAlign w:val="center"/>
                      </w:tcPr>
                      <w:p w14:paraId="42F940E2" w14:textId="77777777" w:rsidR="003A40E2" w:rsidRPr="007E6AC4" w:rsidRDefault="003A40E2">
                        <w:pPr>
                          <w:pStyle w:val="TableText"/>
                        </w:pPr>
                        <w:r w:rsidRPr="00F6254E">
                          <w:t>54.3% (n=134)</w:t>
                        </w:r>
                      </w:p>
                    </w:tc>
                  </w:tr>
                  <w:tr w:rsidR="003A40E2" w:rsidRPr="00036888" w14:paraId="11CDC9D6" w14:textId="77777777" w:rsidTr="0078592C">
                    <w:trPr>
                      <w:trHeight w:val="298"/>
                    </w:trPr>
                    <w:tc>
                      <w:tcPr>
                        <w:tcW w:w="1019" w:type="pct"/>
                        <w:vMerge/>
                        <w:noWrap/>
                      </w:tcPr>
                      <w:p w14:paraId="4397521D" w14:textId="77777777" w:rsidR="003A40E2" w:rsidRPr="00F7412D" w:rsidRDefault="003A40E2">
                        <w:pPr>
                          <w:pStyle w:val="TableText"/>
                        </w:pPr>
                      </w:p>
                    </w:tc>
                    <w:tc>
                      <w:tcPr>
                        <w:tcW w:w="2043" w:type="pct"/>
                      </w:tcPr>
                      <w:p w14:paraId="1F35EAD8" w14:textId="77777777" w:rsidR="003A40E2" w:rsidRPr="00F7412D" w:rsidRDefault="003A40E2">
                        <w:pPr>
                          <w:pStyle w:val="TableText"/>
                        </w:pPr>
                        <w:r w:rsidRPr="00F7412D">
                          <w:t>Changed impact of immediate crisis</w:t>
                        </w:r>
                      </w:p>
                    </w:tc>
                    <w:tc>
                      <w:tcPr>
                        <w:tcW w:w="1938" w:type="pct"/>
                        <w:noWrap/>
                        <w:vAlign w:val="center"/>
                      </w:tcPr>
                      <w:p w14:paraId="727F1ECE" w14:textId="77777777" w:rsidR="003A40E2" w:rsidRPr="007E6AC4" w:rsidRDefault="003A40E2">
                        <w:pPr>
                          <w:pStyle w:val="TableText"/>
                        </w:pPr>
                        <w:r w:rsidRPr="00F6254E">
                          <w:t>66.2% (n=151)</w:t>
                        </w:r>
                      </w:p>
                    </w:tc>
                  </w:tr>
                  <w:tr w:rsidR="003A40E2" w:rsidRPr="00036888" w14:paraId="355B59AF" w14:textId="77777777" w:rsidTr="0078592C">
                    <w:trPr>
                      <w:trHeight w:val="298"/>
                    </w:trPr>
                    <w:tc>
                      <w:tcPr>
                        <w:tcW w:w="1019" w:type="pct"/>
                        <w:vMerge/>
                        <w:noWrap/>
                      </w:tcPr>
                      <w:p w14:paraId="1EC4DA1B" w14:textId="77777777" w:rsidR="003A40E2" w:rsidRPr="00F7412D" w:rsidRDefault="003A40E2">
                        <w:pPr>
                          <w:pStyle w:val="TableText"/>
                        </w:pPr>
                      </w:p>
                    </w:tc>
                    <w:tc>
                      <w:tcPr>
                        <w:tcW w:w="2043" w:type="pct"/>
                      </w:tcPr>
                      <w:p w14:paraId="00EFFC9A" w14:textId="77777777" w:rsidR="003A40E2" w:rsidRPr="00F7412D" w:rsidRDefault="003A40E2">
                        <w:pPr>
                          <w:pStyle w:val="TableText"/>
                        </w:pPr>
                        <w:r w:rsidRPr="00F7412D">
                          <w:t>Changed knowledge and access to information</w:t>
                        </w:r>
                      </w:p>
                    </w:tc>
                    <w:tc>
                      <w:tcPr>
                        <w:tcW w:w="1938" w:type="pct"/>
                        <w:noWrap/>
                        <w:vAlign w:val="center"/>
                      </w:tcPr>
                      <w:p w14:paraId="11BA5BAB" w14:textId="77777777" w:rsidR="003A40E2" w:rsidRPr="007E6AC4" w:rsidRDefault="003A40E2">
                        <w:pPr>
                          <w:pStyle w:val="TableText"/>
                        </w:pPr>
                        <w:r w:rsidRPr="00F6254E">
                          <w:t>64.2% (n=190)</w:t>
                        </w:r>
                      </w:p>
                    </w:tc>
                  </w:tr>
                  <w:tr w:rsidR="003A40E2" w:rsidRPr="00036888" w14:paraId="11B956F0" w14:textId="77777777" w:rsidTr="0078592C">
                    <w:trPr>
                      <w:trHeight w:val="298"/>
                    </w:trPr>
                    <w:tc>
                      <w:tcPr>
                        <w:tcW w:w="1019" w:type="pct"/>
                        <w:vMerge/>
                        <w:noWrap/>
                      </w:tcPr>
                      <w:p w14:paraId="0C8C5426" w14:textId="77777777" w:rsidR="003A40E2" w:rsidRPr="00F7412D" w:rsidRDefault="003A40E2">
                        <w:pPr>
                          <w:pStyle w:val="TableText"/>
                        </w:pPr>
                      </w:p>
                    </w:tc>
                    <w:tc>
                      <w:tcPr>
                        <w:tcW w:w="2043" w:type="pct"/>
                      </w:tcPr>
                      <w:p w14:paraId="7E84EF29" w14:textId="77777777" w:rsidR="003A40E2" w:rsidRPr="00F7412D" w:rsidRDefault="003A40E2">
                        <w:pPr>
                          <w:pStyle w:val="TableText"/>
                        </w:pPr>
                        <w:r w:rsidRPr="00F7412D">
                          <w:t>Changed skills</w:t>
                        </w:r>
                      </w:p>
                    </w:tc>
                    <w:tc>
                      <w:tcPr>
                        <w:tcW w:w="1938" w:type="pct"/>
                        <w:noWrap/>
                        <w:vAlign w:val="center"/>
                      </w:tcPr>
                      <w:p w14:paraId="4CD7E6AD" w14:textId="77777777" w:rsidR="003A40E2" w:rsidRPr="007E6AC4" w:rsidRDefault="003A40E2">
                        <w:pPr>
                          <w:pStyle w:val="TableText"/>
                        </w:pPr>
                        <w:r w:rsidRPr="00F6254E">
                          <w:t>56.8% (n=147)</w:t>
                        </w:r>
                      </w:p>
                    </w:tc>
                  </w:tr>
                  <w:tr w:rsidR="003A40E2" w:rsidRPr="00036888" w14:paraId="5E8E7F74" w14:textId="77777777" w:rsidTr="0078592C">
                    <w:trPr>
                      <w:trHeight w:val="298"/>
                    </w:trPr>
                    <w:tc>
                      <w:tcPr>
                        <w:tcW w:w="1019" w:type="pct"/>
                        <w:vMerge/>
                        <w:noWrap/>
                      </w:tcPr>
                      <w:p w14:paraId="0E48F1BC" w14:textId="77777777" w:rsidR="003A40E2" w:rsidRPr="00F7412D" w:rsidRDefault="003A40E2">
                        <w:pPr>
                          <w:pStyle w:val="TableText"/>
                        </w:pPr>
                      </w:p>
                    </w:tc>
                    <w:tc>
                      <w:tcPr>
                        <w:tcW w:w="2043" w:type="pct"/>
                      </w:tcPr>
                      <w:p w14:paraId="1F6E63C9" w14:textId="77777777" w:rsidR="003A40E2" w:rsidRPr="00F7412D" w:rsidRDefault="003A40E2">
                        <w:pPr>
                          <w:pStyle w:val="TableText"/>
                        </w:pPr>
                        <w:r w:rsidRPr="00F7412D">
                          <w:rPr>
                            <w:lang w:val="en-NZ"/>
                          </w:rPr>
                          <w:t>Empowerment, choice and control to make own decisions</w:t>
                        </w:r>
                      </w:p>
                    </w:tc>
                    <w:tc>
                      <w:tcPr>
                        <w:tcW w:w="1938" w:type="pct"/>
                        <w:noWrap/>
                        <w:vAlign w:val="center"/>
                      </w:tcPr>
                      <w:p w14:paraId="68F6C91E" w14:textId="77777777" w:rsidR="003A40E2" w:rsidRPr="007E6AC4" w:rsidRDefault="003A40E2">
                        <w:pPr>
                          <w:pStyle w:val="TableText"/>
                        </w:pPr>
                        <w:r w:rsidRPr="00F6254E">
                          <w:t>57.1% (n=157)</w:t>
                        </w:r>
                      </w:p>
                    </w:tc>
                  </w:tr>
                  <w:tr w:rsidR="003A40E2" w:rsidRPr="00036888" w14:paraId="0F20750D" w14:textId="77777777" w:rsidTr="0078592C">
                    <w:trPr>
                      <w:trHeight w:val="298"/>
                    </w:trPr>
                    <w:tc>
                      <w:tcPr>
                        <w:tcW w:w="1019" w:type="pct"/>
                        <w:vMerge/>
                        <w:noWrap/>
                      </w:tcPr>
                      <w:p w14:paraId="1BBC7323" w14:textId="77777777" w:rsidR="003A40E2" w:rsidRPr="00F7412D" w:rsidRDefault="003A40E2">
                        <w:pPr>
                          <w:pStyle w:val="TableText"/>
                        </w:pPr>
                      </w:p>
                    </w:tc>
                    <w:tc>
                      <w:tcPr>
                        <w:tcW w:w="2043" w:type="pct"/>
                      </w:tcPr>
                      <w:p w14:paraId="2799D212" w14:textId="77777777" w:rsidR="003A40E2" w:rsidRPr="00F7412D" w:rsidRDefault="003A40E2">
                        <w:pPr>
                          <w:pStyle w:val="TableText"/>
                        </w:pPr>
                        <w:r w:rsidRPr="00F7412D">
                          <w:t>Engagement with relevant support services</w:t>
                        </w:r>
                      </w:p>
                    </w:tc>
                    <w:tc>
                      <w:tcPr>
                        <w:tcW w:w="1938" w:type="pct"/>
                        <w:noWrap/>
                        <w:vAlign w:val="center"/>
                      </w:tcPr>
                      <w:p w14:paraId="531CB389" w14:textId="77777777" w:rsidR="003A40E2" w:rsidRPr="007E6AC4" w:rsidRDefault="003A40E2">
                        <w:pPr>
                          <w:pStyle w:val="TableText"/>
                        </w:pPr>
                        <w:r w:rsidRPr="00F6254E">
                          <w:t>55.6% (n=145)</w:t>
                        </w:r>
                      </w:p>
                    </w:tc>
                  </w:tr>
                </w:tbl>
                <w:p w14:paraId="44EA33DB" w14:textId="1E7A6DBA" w:rsidR="00565C5E" w:rsidRDefault="00462298" w:rsidP="00283394">
                  <w:pPr>
                    <w:pStyle w:val="Text"/>
                    <w:rPr>
                      <w:i/>
                      <w:sz w:val="20"/>
                      <w:szCs w:val="18"/>
                      <w:lang w:val="en-US"/>
                    </w:rPr>
                  </w:pPr>
                  <w:r w:rsidRPr="008E1B83">
                    <w:rPr>
                      <w:i/>
                      <w:sz w:val="20"/>
                      <w:szCs w:val="18"/>
                      <w:lang w:val="en-US"/>
                    </w:rPr>
                    <w:t>Source: DEX</w:t>
                  </w:r>
                  <w:r w:rsidR="00484933" w:rsidRPr="008E1B83">
                    <w:rPr>
                      <w:i/>
                      <w:sz w:val="20"/>
                      <w:szCs w:val="18"/>
                      <w:lang w:val="en-US"/>
                    </w:rPr>
                    <w:t>-</w:t>
                  </w:r>
                  <w:r w:rsidRPr="008E1B83">
                    <w:rPr>
                      <w:i/>
                      <w:sz w:val="20"/>
                      <w:szCs w:val="18"/>
                      <w:lang w:val="en-US"/>
                    </w:rPr>
                    <w:t>SCORE data</w:t>
                  </w:r>
                </w:p>
                <w:p w14:paraId="637DBA95" w14:textId="09658C04" w:rsidR="00565C5E" w:rsidRPr="00D377B0" w:rsidRDefault="00565C5E" w:rsidP="00283394">
                  <w:pPr>
                    <w:pStyle w:val="Text"/>
                    <w:rPr>
                      <w:i/>
                      <w:sz w:val="21"/>
                      <w:szCs w:val="21"/>
                      <w:lang w:val="en-US"/>
                    </w:rPr>
                  </w:pPr>
                </w:p>
                <w:p w14:paraId="0B9BDB22" w14:textId="62DD1025" w:rsidR="00EA36E8" w:rsidRPr="00D377B0" w:rsidRDefault="00EA36E8" w:rsidP="00253034">
                  <w:pPr>
                    <w:pStyle w:val="Caption"/>
                    <w:jc w:val="both"/>
                    <w:rPr>
                      <w:sz w:val="21"/>
                      <w:szCs w:val="21"/>
                      <w:lang w:val="en-US"/>
                    </w:rPr>
                  </w:pPr>
                  <w:r w:rsidRPr="00D377B0">
                    <w:rPr>
                      <w:sz w:val="21"/>
                      <w:szCs w:val="21"/>
                    </w:rPr>
                    <w:t xml:space="preserve">Table </w:t>
                  </w:r>
                  <w:r w:rsidRPr="00D377B0">
                    <w:rPr>
                      <w:sz w:val="21"/>
                      <w:szCs w:val="21"/>
                    </w:rPr>
                    <w:fldChar w:fldCharType="begin"/>
                  </w:r>
                  <w:r w:rsidRPr="00D377B0">
                    <w:rPr>
                      <w:sz w:val="21"/>
                      <w:szCs w:val="21"/>
                    </w:rPr>
                    <w:instrText xml:space="preserve"> SEQ Table \* ARABIC </w:instrText>
                  </w:r>
                  <w:r w:rsidRPr="00D377B0">
                    <w:rPr>
                      <w:sz w:val="21"/>
                      <w:szCs w:val="21"/>
                    </w:rPr>
                    <w:fldChar w:fldCharType="separate"/>
                  </w:r>
                  <w:r w:rsidR="008D2566">
                    <w:rPr>
                      <w:noProof/>
                      <w:sz w:val="21"/>
                      <w:szCs w:val="21"/>
                    </w:rPr>
                    <w:t>38</w:t>
                  </w:r>
                  <w:r w:rsidRPr="00D377B0">
                    <w:rPr>
                      <w:sz w:val="21"/>
                      <w:szCs w:val="21"/>
                    </w:rPr>
                    <w:fldChar w:fldCharType="end"/>
                  </w:r>
                  <w:r w:rsidRPr="00D377B0">
                    <w:rPr>
                      <w:sz w:val="21"/>
                      <w:szCs w:val="21"/>
                    </w:rPr>
                    <w:t>: Percentage of</w:t>
                  </w:r>
                  <w:r w:rsidR="00CF38AB" w:rsidRPr="00D377B0">
                    <w:rPr>
                      <w:sz w:val="21"/>
                      <w:szCs w:val="21"/>
                    </w:rPr>
                    <w:t xml:space="preserve"> service users with</w:t>
                  </w:r>
                  <w:r w:rsidRPr="00D377B0">
                    <w:rPr>
                      <w:sz w:val="21"/>
                      <w:szCs w:val="21"/>
                    </w:rPr>
                    <w:t xml:space="preserve"> positive SCORE change for specific Circumstance and Goal domains, non-Aboriginal and Torres Strait Islander SFVS service users, July 2021 to </w:t>
                  </w:r>
                  <w:r w:rsidR="04A0C472" w:rsidRPr="00D377B0">
                    <w:rPr>
                      <w:sz w:val="21"/>
                      <w:szCs w:val="21"/>
                    </w:rPr>
                    <w:t xml:space="preserve">June </w:t>
                  </w:r>
                  <w:r w:rsidRPr="00D377B0">
                    <w:rPr>
                      <w:sz w:val="21"/>
                      <w:szCs w:val="21"/>
                    </w:rPr>
                    <w:t>2024</w:t>
                  </w:r>
                </w:p>
                <w:tbl>
                  <w:tblPr>
                    <w:tblStyle w:val="TableGrid3"/>
                    <w:tblW w:w="5000" w:type="pct"/>
                    <w:tblLayout w:type="fixed"/>
                    <w:tblLook w:val="04A0" w:firstRow="1" w:lastRow="0" w:firstColumn="1" w:lastColumn="0" w:noHBand="0" w:noVBand="1"/>
                  </w:tblPr>
                  <w:tblGrid>
                    <w:gridCol w:w="1697"/>
                    <w:gridCol w:w="3826"/>
                    <w:gridCol w:w="3496"/>
                  </w:tblGrid>
                  <w:tr w:rsidR="00565C5E" w:rsidRPr="00036888" w14:paraId="7F010827" w14:textId="77777777">
                    <w:trPr>
                      <w:trHeight w:val="298"/>
                    </w:trPr>
                    <w:tc>
                      <w:tcPr>
                        <w:tcW w:w="941" w:type="pct"/>
                        <w:shd w:val="clear" w:color="auto" w:fill="007E00" w:themeFill="accent3"/>
                        <w:noWrap/>
                        <w:hideMark/>
                      </w:tcPr>
                      <w:p w14:paraId="15EB3631" w14:textId="77777777" w:rsidR="00565C5E" w:rsidRPr="00F6254E" w:rsidRDefault="00565C5E">
                        <w:pPr>
                          <w:pStyle w:val="TableText"/>
                          <w:rPr>
                            <w:b/>
                            <w:bCs/>
                            <w:color w:val="FFFFFF" w:themeColor="background1"/>
                          </w:rPr>
                        </w:pPr>
                        <w:r w:rsidRPr="00F6254E">
                          <w:rPr>
                            <w:b/>
                            <w:bCs/>
                            <w:color w:val="FFFFFF" w:themeColor="background1"/>
                          </w:rPr>
                          <w:t>Outcome Type</w:t>
                        </w:r>
                      </w:p>
                    </w:tc>
                    <w:tc>
                      <w:tcPr>
                        <w:tcW w:w="2121" w:type="pct"/>
                        <w:shd w:val="clear" w:color="auto" w:fill="007E00" w:themeFill="accent3"/>
                      </w:tcPr>
                      <w:p w14:paraId="7B8AB1D1" w14:textId="77777777" w:rsidR="00565C5E" w:rsidRDefault="00565C5E">
                        <w:pPr>
                          <w:pStyle w:val="TableText"/>
                          <w:rPr>
                            <w:b/>
                            <w:bCs/>
                            <w:color w:val="FFFFFF" w:themeColor="background1"/>
                          </w:rPr>
                        </w:pPr>
                        <w:r>
                          <w:rPr>
                            <w:b/>
                            <w:bCs/>
                            <w:color w:val="FFFFFF" w:themeColor="background1"/>
                          </w:rPr>
                          <w:t>Domain description</w:t>
                        </w:r>
                      </w:p>
                    </w:tc>
                    <w:tc>
                      <w:tcPr>
                        <w:tcW w:w="1938" w:type="pct"/>
                        <w:shd w:val="clear" w:color="auto" w:fill="007E00" w:themeFill="accent3"/>
                        <w:noWrap/>
                        <w:hideMark/>
                      </w:tcPr>
                      <w:p w14:paraId="12D48BBA" w14:textId="77777777" w:rsidR="00565C5E" w:rsidRPr="00F6254E" w:rsidRDefault="00565C5E">
                        <w:pPr>
                          <w:pStyle w:val="TableText"/>
                          <w:rPr>
                            <w:b/>
                            <w:bCs/>
                            <w:color w:val="FFFFFF" w:themeColor="background1"/>
                          </w:rPr>
                        </w:pPr>
                        <w:r>
                          <w:rPr>
                            <w:b/>
                            <w:bCs/>
                            <w:color w:val="FFFFFF" w:themeColor="background1"/>
                          </w:rPr>
                          <w:t xml:space="preserve">Service users </w:t>
                        </w:r>
                        <w:r w:rsidRPr="00F6254E">
                          <w:rPr>
                            <w:b/>
                            <w:bCs/>
                            <w:color w:val="FFFFFF" w:themeColor="background1"/>
                          </w:rPr>
                          <w:t>with positive mean change (%, n</w:t>
                        </w:r>
                        <w:r>
                          <w:rPr>
                            <w:b/>
                            <w:bCs/>
                            <w:color w:val="FFFFFF" w:themeColor="background1"/>
                          </w:rPr>
                          <w:t>=</w:t>
                        </w:r>
                        <w:r w:rsidRPr="00F6254E">
                          <w:rPr>
                            <w:b/>
                            <w:bCs/>
                            <w:color w:val="FFFFFF" w:themeColor="background1"/>
                          </w:rPr>
                          <w:t>)</w:t>
                        </w:r>
                      </w:p>
                    </w:tc>
                  </w:tr>
                  <w:tr w:rsidR="00565C5E" w:rsidRPr="00036888" w14:paraId="1794A592" w14:textId="77777777" w:rsidTr="00321BC5">
                    <w:trPr>
                      <w:trHeight w:val="298"/>
                    </w:trPr>
                    <w:tc>
                      <w:tcPr>
                        <w:tcW w:w="941" w:type="pct"/>
                        <w:vMerge w:val="restart"/>
                        <w:noWrap/>
                        <w:hideMark/>
                      </w:tcPr>
                      <w:p w14:paraId="65A2B91A" w14:textId="77777777" w:rsidR="00565C5E" w:rsidRPr="008D0F42" w:rsidRDefault="00565C5E">
                        <w:pPr>
                          <w:pStyle w:val="TableText"/>
                        </w:pPr>
                        <w:r w:rsidRPr="008D0F42">
                          <w:t>Circumstances</w:t>
                        </w:r>
                      </w:p>
                    </w:tc>
                    <w:tc>
                      <w:tcPr>
                        <w:tcW w:w="2121" w:type="pct"/>
                      </w:tcPr>
                      <w:p w14:paraId="2EA3FAE1" w14:textId="77777777" w:rsidR="00565C5E" w:rsidRPr="008D0F42" w:rsidRDefault="00565C5E">
                        <w:pPr>
                          <w:pStyle w:val="TableText"/>
                        </w:pPr>
                        <w:r w:rsidRPr="008D0F42">
                          <w:t>Family functioning</w:t>
                        </w:r>
                      </w:p>
                    </w:tc>
                    <w:tc>
                      <w:tcPr>
                        <w:tcW w:w="1938" w:type="pct"/>
                        <w:noWrap/>
                        <w:hideMark/>
                      </w:tcPr>
                      <w:p w14:paraId="63DC5ACF" w14:textId="69B10B9D" w:rsidR="00565C5E" w:rsidRPr="008D0F42" w:rsidRDefault="007E6AC4">
                        <w:pPr>
                          <w:pStyle w:val="TableText"/>
                        </w:pPr>
                        <w:r w:rsidRPr="00C21EF9">
                          <w:t>55.3</w:t>
                        </w:r>
                        <w:r w:rsidR="00565C5E" w:rsidRPr="00177B75">
                          <w:t>% (n=</w:t>
                        </w:r>
                        <w:r w:rsidRPr="00C21EF9">
                          <w:t>2</w:t>
                        </w:r>
                        <w:r>
                          <w:t>,</w:t>
                        </w:r>
                        <w:r w:rsidRPr="00C21EF9">
                          <w:t>770</w:t>
                        </w:r>
                        <w:r w:rsidR="00565C5E" w:rsidRPr="00177B75">
                          <w:t>)</w:t>
                        </w:r>
                      </w:p>
                    </w:tc>
                  </w:tr>
                  <w:tr w:rsidR="00565C5E" w:rsidRPr="00036888" w14:paraId="5560411E" w14:textId="77777777" w:rsidTr="00321BC5">
                    <w:trPr>
                      <w:trHeight w:val="298"/>
                    </w:trPr>
                    <w:tc>
                      <w:tcPr>
                        <w:tcW w:w="941" w:type="pct"/>
                        <w:vMerge/>
                        <w:noWrap/>
                      </w:tcPr>
                      <w:p w14:paraId="3CA09ADF" w14:textId="77777777" w:rsidR="00565C5E" w:rsidRPr="008D0F42" w:rsidRDefault="00565C5E">
                        <w:pPr>
                          <w:pStyle w:val="TableText"/>
                        </w:pPr>
                      </w:p>
                    </w:tc>
                    <w:tc>
                      <w:tcPr>
                        <w:tcW w:w="2121" w:type="pct"/>
                      </w:tcPr>
                      <w:p w14:paraId="786225C4" w14:textId="77777777" w:rsidR="00565C5E" w:rsidRPr="008D0F42" w:rsidRDefault="00565C5E">
                        <w:pPr>
                          <w:pStyle w:val="TableText"/>
                        </w:pPr>
                        <w:r w:rsidRPr="3DEE28EC">
                          <w:rPr>
                            <w:lang w:val="en-NZ"/>
                          </w:rPr>
                          <w:t>Mental health, wellbeing and self-care</w:t>
                        </w:r>
                      </w:p>
                    </w:tc>
                    <w:tc>
                      <w:tcPr>
                        <w:tcW w:w="1938" w:type="pct"/>
                        <w:noWrap/>
                      </w:tcPr>
                      <w:p w14:paraId="684FB85A" w14:textId="25070E58" w:rsidR="00565C5E" w:rsidRPr="008D0F42" w:rsidRDefault="007E6AC4">
                        <w:pPr>
                          <w:pStyle w:val="TableText"/>
                        </w:pPr>
                        <w:r w:rsidRPr="00C21EF9">
                          <w:t>56.4</w:t>
                        </w:r>
                        <w:r w:rsidR="00565C5E" w:rsidRPr="00177B75">
                          <w:t>% (n=</w:t>
                        </w:r>
                        <w:r w:rsidRPr="00C21EF9">
                          <w:t>2</w:t>
                        </w:r>
                        <w:r>
                          <w:t>,</w:t>
                        </w:r>
                        <w:r w:rsidRPr="00C21EF9">
                          <w:t>933</w:t>
                        </w:r>
                        <w:r w:rsidR="00565C5E" w:rsidRPr="00177B75">
                          <w:t>)</w:t>
                        </w:r>
                      </w:p>
                    </w:tc>
                  </w:tr>
                  <w:tr w:rsidR="00565C5E" w:rsidRPr="00036888" w14:paraId="60040F0E" w14:textId="77777777" w:rsidTr="00321BC5">
                    <w:trPr>
                      <w:trHeight w:val="298"/>
                    </w:trPr>
                    <w:tc>
                      <w:tcPr>
                        <w:tcW w:w="941" w:type="pct"/>
                        <w:vMerge/>
                        <w:noWrap/>
                      </w:tcPr>
                      <w:p w14:paraId="68AEEF5E" w14:textId="77777777" w:rsidR="00565C5E" w:rsidRPr="008D0F42" w:rsidRDefault="00565C5E">
                        <w:pPr>
                          <w:pStyle w:val="TableText"/>
                        </w:pPr>
                      </w:p>
                    </w:tc>
                    <w:tc>
                      <w:tcPr>
                        <w:tcW w:w="2121" w:type="pct"/>
                      </w:tcPr>
                      <w:p w14:paraId="1A21D054" w14:textId="77777777" w:rsidR="00565C5E" w:rsidRPr="008D0F42" w:rsidRDefault="00565C5E">
                        <w:pPr>
                          <w:pStyle w:val="TableText"/>
                        </w:pPr>
                        <w:r w:rsidRPr="008D0F42">
                          <w:t>Personal and family safety</w:t>
                        </w:r>
                      </w:p>
                    </w:tc>
                    <w:tc>
                      <w:tcPr>
                        <w:tcW w:w="1938" w:type="pct"/>
                        <w:noWrap/>
                      </w:tcPr>
                      <w:p w14:paraId="1E41DE90" w14:textId="1ABDFA1F" w:rsidR="00565C5E" w:rsidRPr="008D0F42" w:rsidRDefault="007E6AC4">
                        <w:pPr>
                          <w:pStyle w:val="TableText"/>
                        </w:pPr>
                        <w:r w:rsidRPr="00C21EF9">
                          <w:t>57.2</w:t>
                        </w:r>
                        <w:r w:rsidR="00565C5E" w:rsidRPr="00177B75">
                          <w:t>% (n=</w:t>
                        </w:r>
                        <w:r w:rsidRPr="00C21EF9">
                          <w:t>3</w:t>
                        </w:r>
                        <w:r>
                          <w:t>,</w:t>
                        </w:r>
                        <w:r w:rsidRPr="00C21EF9">
                          <w:t>356</w:t>
                        </w:r>
                        <w:r w:rsidR="00565C5E" w:rsidRPr="00177B75">
                          <w:t>)</w:t>
                        </w:r>
                      </w:p>
                    </w:tc>
                  </w:tr>
                  <w:tr w:rsidR="00565C5E" w:rsidRPr="00036888" w14:paraId="256B3E73" w14:textId="77777777" w:rsidTr="00321BC5">
                    <w:trPr>
                      <w:trHeight w:val="298"/>
                    </w:trPr>
                    <w:tc>
                      <w:tcPr>
                        <w:tcW w:w="941" w:type="pct"/>
                        <w:vMerge w:val="restart"/>
                        <w:noWrap/>
                      </w:tcPr>
                      <w:p w14:paraId="16C276A3" w14:textId="77777777" w:rsidR="00565C5E" w:rsidRPr="008D0F42" w:rsidRDefault="00565C5E">
                        <w:pPr>
                          <w:pStyle w:val="TableText"/>
                        </w:pPr>
                        <w:r w:rsidRPr="008D0F42">
                          <w:t>Goals</w:t>
                        </w:r>
                      </w:p>
                    </w:tc>
                    <w:tc>
                      <w:tcPr>
                        <w:tcW w:w="2121" w:type="pct"/>
                      </w:tcPr>
                      <w:p w14:paraId="3D4E09EE" w14:textId="77777777" w:rsidR="00565C5E" w:rsidRPr="008D0F42" w:rsidRDefault="00565C5E">
                        <w:pPr>
                          <w:pStyle w:val="TableText"/>
                        </w:pPr>
                        <w:r w:rsidRPr="00D63E8D">
                          <w:t>Changed behaviours</w:t>
                        </w:r>
                      </w:p>
                    </w:tc>
                    <w:tc>
                      <w:tcPr>
                        <w:tcW w:w="1938" w:type="pct"/>
                        <w:noWrap/>
                      </w:tcPr>
                      <w:p w14:paraId="75DFCA92" w14:textId="05313AED" w:rsidR="00565C5E" w:rsidRPr="008D0F42" w:rsidRDefault="007E6AC4">
                        <w:pPr>
                          <w:pStyle w:val="TableText"/>
                        </w:pPr>
                        <w:r w:rsidRPr="00C21EF9">
                          <w:t>57.4</w:t>
                        </w:r>
                        <w:r w:rsidR="00565C5E" w:rsidRPr="00177B75">
                          <w:t>% (n=</w:t>
                        </w:r>
                        <w:r w:rsidRPr="00C21EF9">
                          <w:t>2</w:t>
                        </w:r>
                        <w:r>
                          <w:t>,</w:t>
                        </w:r>
                        <w:r w:rsidRPr="00C21EF9">
                          <w:t>075</w:t>
                        </w:r>
                        <w:r w:rsidR="00565C5E" w:rsidRPr="00177B75">
                          <w:t>)</w:t>
                        </w:r>
                      </w:p>
                    </w:tc>
                  </w:tr>
                  <w:tr w:rsidR="00565C5E" w:rsidRPr="00036888" w14:paraId="06CA9EE8" w14:textId="77777777" w:rsidTr="00321BC5">
                    <w:trPr>
                      <w:trHeight w:val="298"/>
                    </w:trPr>
                    <w:tc>
                      <w:tcPr>
                        <w:tcW w:w="941" w:type="pct"/>
                        <w:vMerge/>
                        <w:noWrap/>
                      </w:tcPr>
                      <w:p w14:paraId="1E477B8D" w14:textId="77777777" w:rsidR="00565C5E" w:rsidRPr="008D0F42" w:rsidRDefault="00565C5E">
                        <w:pPr>
                          <w:pStyle w:val="TableText"/>
                        </w:pPr>
                      </w:p>
                    </w:tc>
                    <w:tc>
                      <w:tcPr>
                        <w:tcW w:w="2121" w:type="pct"/>
                      </w:tcPr>
                      <w:p w14:paraId="375B856C" w14:textId="77777777" w:rsidR="00565C5E" w:rsidRPr="008D0F42" w:rsidRDefault="00565C5E">
                        <w:pPr>
                          <w:pStyle w:val="TableText"/>
                        </w:pPr>
                        <w:r w:rsidRPr="00D63E8D">
                          <w:t>Changed impact of immediate crisis</w:t>
                        </w:r>
                      </w:p>
                    </w:tc>
                    <w:tc>
                      <w:tcPr>
                        <w:tcW w:w="1938" w:type="pct"/>
                        <w:noWrap/>
                      </w:tcPr>
                      <w:p w14:paraId="4D1A58B9" w14:textId="4CAE4A66" w:rsidR="00565C5E" w:rsidRPr="008D0F42" w:rsidRDefault="007E6AC4">
                        <w:pPr>
                          <w:pStyle w:val="TableText"/>
                        </w:pPr>
                        <w:r w:rsidRPr="00C21EF9">
                          <w:t>67.4</w:t>
                        </w:r>
                        <w:r w:rsidR="00565C5E" w:rsidRPr="00177B75">
                          <w:t>% (n=</w:t>
                        </w:r>
                        <w:r w:rsidRPr="00C21EF9">
                          <w:t>1</w:t>
                        </w:r>
                        <w:r>
                          <w:t>,</w:t>
                        </w:r>
                        <w:r w:rsidRPr="00C21EF9">
                          <w:t>781</w:t>
                        </w:r>
                        <w:r w:rsidR="00565C5E" w:rsidRPr="00177B75">
                          <w:t>)</w:t>
                        </w:r>
                      </w:p>
                    </w:tc>
                  </w:tr>
                  <w:tr w:rsidR="00565C5E" w:rsidRPr="00036888" w14:paraId="0DA09848" w14:textId="77777777" w:rsidTr="00321BC5">
                    <w:trPr>
                      <w:trHeight w:val="298"/>
                    </w:trPr>
                    <w:tc>
                      <w:tcPr>
                        <w:tcW w:w="941" w:type="pct"/>
                        <w:vMerge/>
                        <w:noWrap/>
                      </w:tcPr>
                      <w:p w14:paraId="263EDAC3" w14:textId="77777777" w:rsidR="00565C5E" w:rsidRPr="008D0F42" w:rsidRDefault="00565C5E">
                        <w:pPr>
                          <w:pStyle w:val="TableText"/>
                        </w:pPr>
                      </w:p>
                    </w:tc>
                    <w:tc>
                      <w:tcPr>
                        <w:tcW w:w="2121" w:type="pct"/>
                      </w:tcPr>
                      <w:p w14:paraId="545B3252" w14:textId="77777777" w:rsidR="00565C5E" w:rsidRPr="008D0F42" w:rsidRDefault="00565C5E">
                        <w:pPr>
                          <w:pStyle w:val="TableText"/>
                        </w:pPr>
                        <w:r w:rsidRPr="00D63E8D">
                          <w:t>Changed knowledge and access to information</w:t>
                        </w:r>
                      </w:p>
                    </w:tc>
                    <w:tc>
                      <w:tcPr>
                        <w:tcW w:w="1938" w:type="pct"/>
                        <w:noWrap/>
                      </w:tcPr>
                      <w:p w14:paraId="49A65891" w14:textId="5568FCA7" w:rsidR="00565C5E" w:rsidRPr="008D0F42" w:rsidRDefault="007E6AC4">
                        <w:pPr>
                          <w:pStyle w:val="TableText"/>
                        </w:pPr>
                        <w:r w:rsidRPr="00C21EF9">
                          <w:t>63.7</w:t>
                        </w:r>
                        <w:r w:rsidR="00565C5E" w:rsidRPr="00177B75">
                          <w:t>% (n=</w:t>
                        </w:r>
                        <w:r w:rsidRPr="00C21EF9">
                          <w:t>2</w:t>
                        </w:r>
                        <w:r>
                          <w:t>,</w:t>
                        </w:r>
                        <w:r w:rsidRPr="00C21EF9">
                          <w:t>582</w:t>
                        </w:r>
                        <w:r w:rsidR="00565C5E" w:rsidRPr="00177B75">
                          <w:t>)</w:t>
                        </w:r>
                      </w:p>
                    </w:tc>
                  </w:tr>
                  <w:tr w:rsidR="00565C5E" w:rsidRPr="00036888" w14:paraId="1C143766" w14:textId="77777777" w:rsidTr="00321BC5">
                    <w:trPr>
                      <w:trHeight w:val="298"/>
                    </w:trPr>
                    <w:tc>
                      <w:tcPr>
                        <w:tcW w:w="941" w:type="pct"/>
                        <w:vMerge/>
                        <w:noWrap/>
                      </w:tcPr>
                      <w:p w14:paraId="64FEC152" w14:textId="77777777" w:rsidR="00565C5E" w:rsidRPr="008D0F42" w:rsidRDefault="00565C5E">
                        <w:pPr>
                          <w:pStyle w:val="TableText"/>
                        </w:pPr>
                      </w:p>
                    </w:tc>
                    <w:tc>
                      <w:tcPr>
                        <w:tcW w:w="2121" w:type="pct"/>
                      </w:tcPr>
                      <w:p w14:paraId="1C4B455A" w14:textId="77777777" w:rsidR="00565C5E" w:rsidRPr="008D0F42" w:rsidRDefault="00565C5E">
                        <w:pPr>
                          <w:pStyle w:val="TableText"/>
                        </w:pPr>
                        <w:r w:rsidRPr="00D63E8D">
                          <w:t>Changed skills</w:t>
                        </w:r>
                      </w:p>
                    </w:tc>
                    <w:tc>
                      <w:tcPr>
                        <w:tcW w:w="1938" w:type="pct"/>
                        <w:noWrap/>
                      </w:tcPr>
                      <w:p w14:paraId="0EB04A04" w14:textId="37B16517" w:rsidR="00565C5E" w:rsidRPr="008D0F42" w:rsidRDefault="007E6AC4">
                        <w:pPr>
                          <w:pStyle w:val="TableText"/>
                        </w:pPr>
                        <w:r w:rsidRPr="00C21EF9">
                          <w:t>59.0</w:t>
                        </w:r>
                        <w:r w:rsidR="00565C5E" w:rsidRPr="00177B75">
                          <w:t>% (n=</w:t>
                        </w:r>
                        <w:r w:rsidRPr="00C21EF9">
                          <w:t>2</w:t>
                        </w:r>
                        <w:r>
                          <w:t>,</w:t>
                        </w:r>
                        <w:r w:rsidRPr="00C21EF9">
                          <w:t>171</w:t>
                        </w:r>
                        <w:r w:rsidR="00565C5E" w:rsidRPr="00177B75">
                          <w:t>)</w:t>
                        </w:r>
                      </w:p>
                    </w:tc>
                  </w:tr>
                  <w:tr w:rsidR="00565C5E" w:rsidRPr="00036888" w14:paraId="3D6F71B3" w14:textId="77777777" w:rsidTr="00321BC5">
                    <w:trPr>
                      <w:trHeight w:val="298"/>
                    </w:trPr>
                    <w:tc>
                      <w:tcPr>
                        <w:tcW w:w="941" w:type="pct"/>
                        <w:vMerge/>
                        <w:noWrap/>
                      </w:tcPr>
                      <w:p w14:paraId="4E9E0385" w14:textId="77777777" w:rsidR="00565C5E" w:rsidRPr="008D0F42" w:rsidRDefault="00565C5E">
                        <w:pPr>
                          <w:pStyle w:val="TableText"/>
                        </w:pPr>
                      </w:p>
                    </w:tc>
                    <w:tc>
                      <w:tcPr>
                        <w:tcW w:w="2121" w:type="pct"/>
                      </w:tcPr>
                      <w:p w14:paraId="1EF9D963" w14:textId="77777777" w:rsidR="00565C5E" w:rsidRPr="008D0F42" w:rsidRDefault="00565C5E">
                        <w:pPr>
                          <w:pStyle w:val="TableText"/>
                        </w:pPr>
                        <w:r w:rsidRPr="03FAA4E2">
                          <w:rPr>
                            <w:lang w:val="en-NZ"/>
                          </w:rPr>
                          <w:t>Empowerment, choice and control to make own decisions</w:t>
                        </w:r>
                      </w:p>
                    </w:tc>
                    <w:tc>
                      <w:tcPr>
                        <w:tcW w:w="1938" w:type="pct"/>
                        <w:noWrap/>
                      </w:tcPr>
                      <w:p w14:paraId="72157D29" w14:textId="2B7FF5B4" w:rsidR="00565C5E" w:rsidRPr="008D0F42" w:rsidRDefault="007E6AC4">
                        <w:pPr>
                          <w:pStyle w:val="TableText"/>
                        </w:pPr>
                        <w:r w:rsidRPr="00C21EF9">
                          <w:t>62.6</w:t>
                        </w:r>
                        <w:r w:rsidR="00565C5E" w:rsidRPr="00177B75">
                          <w:t>% (n=</w:t>
                        </w:r>
                        <w:r w:rsidRPr="00C21EF9">
                          <w:t>2</w:t>
                        </w:r>
                        <w:r>
                          <w:t>,</w:t>
                        </w:r>
                        <w:r w:rsidRPr="00C21EF9">
                          <w:t>491</w:t>
                        </w:r>
                        <w:r w:rsidR="00565C5E" w:rsidRPr="00177B75">
                          <w:t>)</w:t>
                        </w:r>
                      </w:p>
                    </w:tc>
                  </w:tr>
                  <w:tr w:rsidR="00565C5E" w:rsidRPr="00036888" w14:paraId="021A4701" w14:textId="77777777" w:rsidTr="00321BC5">
                    <w:trPr>
                      <w:trHeight w:val="298"/>
                    </w:trPr>
                    <w:tc>
                      <w:tcPr>
                        <w:tcW w:w="941" w:type="pct"/>
                        <w:vMerge/>
                        <w:noWrap/>
                      </w:tcPr>
                      <w:p w14:paraId="7769B7C4" w14:textId="77777777" w:rsidR="00565C5E" w:rsidRPr="008D0F42" w:rsidRDefault="00565C5E">
                        <w:pPr>
                          <w:pStyle w:val="TableText"/>
                        </w:pPr>
                      </w:p>
                    </w:tc>
                    <w:tc>
                      <w:tcPr>
                        <w:tcW w:w="2121" w:type="pct"/>
                      </w:tcPr>
                      <w:p w14:paraId="2DBBCEF1" w14:textId="77777777" w:rsidR="00565C5E" w:rsidRPr="008D0F42" w:rsidRDefault="00565C5E">
                        <w:pPr>
                          <w:pStyle w:val="TableText"/>
                        </w:pPr>
                        <w:r w:rsidRPr="00D63E8D">
                          <w:t>Engagement with relevant support services</w:t>
                        </w:r>
                      </w:p>
                    </w:tc>
                    <w:tc>
                      <w:tcPr>
                        <w:tcW w:w="1938" w:type="pct"/>
                        <w:noWrap/>
                      </w:tcPr>
                      <w:p w14:paraId="18FECD64" w14:textId="6701C5C4" w:rsidR="00565C5E" w:rsidRPr="008D0F42" w:rsidRDefault="007E6AC4">
                        <w:pPr>
                          <w:pStyle w:val="TableText"/>
                        </w:pPr>
                        <w:r w:rsidRPr="00C21EF9">
                          <w:t>58</w:t>
                        </w:r>
                        <w:r w:rsidR="00565C5E" w:rsidRPr="00177B75">
                          <w:t>.6% (n=</w:t>
                        </w:r>
                        <w:r w:rsidRPr="00C21EF9">
                          <w:t>1</w:t>
                        </w:r>
                        <w:r>
                          <w:t>,</w:t>
                        </w:r>
                        <w:r w:rsidRPr="00C21EF9">
                          <w:t>688</w:t>
                        </w:r>
                        <w:r w:rsidR="00565C5E" w:rsidRPr="00177B75">
                          <w:t>)</w:t>
                        </w:r>
                      </w:p>
                    </w:tc>
                  </w:tr>
                </w:tbl>
                <w:p w14:paraId="6FEEBF4C" w14:textId="77777777" w:rsidR="00236A37" w:rsidRDefault="00236A37" w:rsidP="00236A37">
                  <w:pPr>
                    <w:pStyle w:val="Text"/>
                    <w:rPr>
                      <w:i/>
                      <w:sz w:val="20"/>
                      <w:szCs w:val="18"/>
                      <w:lang w:val="en-US"/>
                    </w:rPr>
                  </w:pPr>
                  <w:r w:rsidRPr="008E1B83">
                    <w:rPr>
                      <w:i/>
                      <w:sz w:val="20"/>
                      <w:szCs w:val="18"/>
                      <w:lang w:val="en-US"/>
                    </w:rPr>
                    <w:t>Source: DEX-SCORE data</w:t>
                  </w:r>
                </w:p>
                <w:p w14:paraId="006C2E05" w14:textId="77777777" w:rsidR="00565C5E" w:rsidRDefault="00565C5E" w:rsidP="00283394">
                  <w:pPr>
                    <w:pStyle w:val="Text"/>
                    <w:rPr>
                      <w:i/>
                      <w:sz w:val="20"/>
                      <w:szCs w:val="18"/>
                      <w:lang w:val="en-US"/>
                    </w:rPr>
                  </w:pPr>
                </w:p>
                <w:p w14:paraId="08373C8B" w14:textId="77777777" w:rsidR="00236A37" w:rsidRPr="00283394" w:rsidRDefault="00236A37" w:rsidP="00283394">
                  <w:pPr>
                    <w:pStyle w:val="Text"/>
                    <w:rPr>
                      <w:i/>
                      <w:sz w:val="20"/>
                      <w:szCs w:val="18"/>
                      <w:lang w:val="en-US"/>
                    </w:rPr>
                  </w:pPr>
                </w:p>
                <w:p w14:paraId="5F7A151E" w14:textId="7520041B" w:rsidR="00626FF8" w:rsidRPr="000C09BF" w:rsidRDefault="00626FF8" w:rsidP="00321BC5">
                  <w:pPr>
                    <w:pStyle w:val="Text"/>
                    <w:spacing w:before="360"/>
                  </w:pPr>
                  <w:r w:rsidRPr="00321BC5">
                    <w:rPr>
                      <w:b/>
                      <w:color w:val="36424A" w:themeColor="background2"/>
                    </w:rPr>
                    <w:lastRenderedPageBreak/>
                    <w:t xml:space="preserve">Service provision by ACCOs </w:t>
                  </w:r>
                </w:p>
                <w:p w14:paraId="2D17FB5B" w14:textId="6609AB07" w:rsidR="6014DC20" w:rsidRDefault="00335A8F" w:rsidP="4184DD85">
                  <w:pPr>
                    <w:pStyle w:val="Text"/>
                  </w:pPr>
                  <w:r>
                    <w:t>The Department</w:t>
                  </w:r>
                  <w:r w:rsidR="00BB1060">
                    <w:t xml:space="preserve"> </w:t>
                  </w:r>
                  <w:r w:rsidR="00EC65D8">
                    <w:t>has</w:t>
                  </w:r>
                  <w:r w:rsidR="00BB1060">
                    <w:t xml:space="preserve"> provided grants to </w:t>
                  </w:r>
                  <w:r w:rsidR="00F07A7C">
                    <w:t>4</w:t>
                  </w:r>
                  <w:r w:rsidR="00BB1060">
                    <w:t xml:space="preserve"> </w:t>
                  </w:r>
                  <w:r w:rsidR="00642023">
                    <w:t>ACCOs</w:t>
                  </w:r>
                  <w:r w:rsidR="00BB1060">
                    <w:t xml:space="preserve"> in the </w:t>
                  </w:r>
                  <w:r w:rsidR="008F7CD8">
                    <w:t xml:space="preserve">NT </w:t>
                  </w:r>
                  <w:r w:rsidR="00BB1060">
                    <w:t>to deliver services designed with and for their communities. An additional ACCO in Western Australia receives FaRS funding.</w:t>
                  </w:r>
                  <w:r w:rsidR="001816BD">
                    <w:t xml:space="preserve"> Each ACCO receives funding to support 2 FTE or less.</w:t>
                  </w:r>
                  <w:r w:rsidR="00E54228">
                    <w:t xml:space="preserve"> </w:t>
                  </w:r>
                  <w:r w:rsidR="6014DC20">
                    <w:t xml:space="preserve">DEX data indicate that during the evaluation period </w:t>
                  </w:r>
                  <w:r w:rsidR="11E1C55A">
                    <w:t xml:space="preserve">15.4% of </w:t>
                  </w:r>
                  <w:r w:rsidR="00D46460">
                    <w:t xml:space="preserve">SFVS service users who identify as </w:t>
                  </w:r>
                  <w:r w:rsidR="11E1C55A">
                    <w:t xml:space="preserve">Aboriginal </w:t>
                  </w:r>
                  <w:r w:rsidR="00D46460">
                    <w:t>or</w:t>
                  </w:r>
                  <w:r w:rsidR="11E1C55A">
                    <w:t xml:space="preserve"> Torres Strait Islander received </w:t>
                  </w:r>
                  <w:r w:rsidR="00D46460">
                    <w:t>a</w:t>
                  </w:r>
                  <w:r w:rsidR="11E1C55A">
                    <w:t xml:space="preserve"> service </w:t>
                  </w:r>
                  <w:r w:rsidR="31BCED7C">
                    <w:t>from an ACCO, corresponding to 15.2% of sessions.</w:t>
                  </w:r>
                </w:p>
                <w:p w14:paraId="6B0F0644" w14:textId="6F6DC0AF" w:rsidR="00BB1060" w:rsidRPr="00FD3EE1" w:rsidRDefault="003848A4" w:rsidP="00BB1060">
                  <w:pPr>
                    <w:pStyle w:val="Text"/>
                  </w:pPr>
                  <w:r>
                    <w:t xml:space="preserve">ACCOs </w:t>
                  </w:r>
                  <w:r w:rsidR="001C37FC">
                    <w:t xml:space="preserve">use the </w:t>
                  </w:r>
                  <w:r w:rsidR="00BB1060" w:rsidRPr="00FD3EE1">
                    <w:t>funding to provide a range of services in their communities including:</w:t>
                  </w:r>
                </w:p>
                <w:p w14:paraId="3A705949" w14:textId="77777777" w:rsidR="00BB1060" w:rsidRPr="00FD3EE1" w:rsidRDefault="00BB1060" w:rsidP="00291C70">
                  <w:pPr>
                    <w:pStyle w:val="Bullet1"/>
                  </w:pPr>
                  <w:r w:rsidRPr="00FD3EE1">
                    <w:t>a drop-in centre for men</w:t>
                  </w:r>
                </w:p>
                <w:p w14:paraId="031E25A8" w14:textId="0B7589C7" w:rsidR="00BB1060" w:rsidRPr="00FD3EE1" w:rsidRDefault="00BB1060" w:rsidP="00291C70">
                  <w:pPr>
                    <w:pStyle w:val="Bullet1"/>
                  </w:pPr>
                  <w:r w:rsidRPr="00FD3EE1">
                    <w:t xml:space="preserve">mums and </w:t>
                  </w:r>
                  <w:r w:rsidR="00175D50" w:rsidRPr="00FD3EE1">
                    <w:t>kids’</w:t>
                  </w:r>
                  <w:r w:rsidRPr="00FD3EE1">
                    <w:t xml:space="preserve"> group </w:t>
                  </w:r>
                </w:p>
                <w:p w14:paraId="3697533B" w14:textId="77777777" w:rsidR="00BB1060" w:rsidRPr="00FD3EE1" w:rsidRDefault="00BB1060" w:rsidP="00291C70">
                  <w:pPr>
                    <w:pStyle w:val="Bullet1"/>
                  </w:pPr>
                  <w:r w:rsidRPr="00FD3EE1">
                    <w:t>community sessions</w:t>
                  </w:r>
                </w:p>
                <w:p w14:paraId="6660D6ED" w14:textId="77777777" w:rsidR="00BB1060" w:rsidRPr="00FD3EE1" w:rsidRDefault="00BB1060" w:rsidP="00291C70">
                  <w:pPr>
                    <w:pStyle w:val="Bullet1"/>
                  </w:pPr>
                  <w:r w:rsidRPr="00FD3EE1">
                    <w:t>social and emotional wellbeing services</w:t>
                  </w:r>
                </w:p>
                <w:p w14:paraId="2C22206F" w14:textId="77777777" w:rsidR="00BB1060" w:rsidRPr="00FD3EE1" w:rsidRDefault="00BB1060" w:rsidP="00291C70">
                  <w:pPr>
                    <w:pStyle w:val="Bullet1"/>
                  </w:pPr>
                  <w:r w:rsidRPr="00FD3EE1">
                    <w:t>safety planning</w:t>
                  </w:r>
                </w:p>
                <w:p w14:paraId="3443101A" w14:textId="3E96AC35" w:rsidR="00BB1060" w:rsidRPr="00FD3EE1" w:rsidRDefault="00BB1060" w:rsidP="00291C70">
                  <w:pPr>
                    <w:pStyle w:val="Bullet1"/>
                  </w:pPr>
                  <w:r w:rsidRPr="00FD3EE1">
                    <w:t>counselling</w:t>
                  </w:r>
                </w:p>
                <w:p w14:paraId="0BCD7DC1" w14:textId="77777777" w:rsidR="00BB1060" w:rsidRPr="00FD3EE1" w:rsidRDefault="00BB1060" w:rsidP="00291C70">
                  <w:pPr>
                    <w:pStyle w:val="Bullet1"/>
                  </w:pPr>
                  <w:r w:rsidRPr="00FD3EE1">
                    <w:t xml:space="preserve">housing support </w:t>
                  </w:r>
                </w:p>
                <w:p w14:paraId="655E1374" w14:textId="77777777" w:rsidR="00BB1060" w:rsidRPr="00FD3EE1" w:rsidRDefault="00BB1060" w:rsidP="00291C70">
                  <w:pPr>
                    <w:pStyle w:val="Bullet1"/>
                  </w:pPr>
                  <w:r w:rsidRPr="00FD3EE1">
                    <w:t>advocacy and education.</w:t>
                  </w:r>
                </w:p>
                <w:p w14:paraId="651D27C6" w14:textId="77777777" w:rsidR="00BB1060" w:rsidRDefault="00BB1060" w:rsidP="00BB1060">
                  <w:pPr>
                    <w:pStyle w:val="Text"/>
                  </w:pPr>
                  <w:r w:rsidRPr="00FD3EE1">
                    <w:t>These services are often delivered alongside other programs funded from a range of sources as part of a holistic, wraparound service delivery model with a focus on improving social and emotional wellbeing and creating a safe, welcoming space for people to access</w:t>
                  </w:r>
                  <w:r>
                    <w:t>.</w:t>
                  </w:r>
                </w:p>
                <w:p w14:paraId="38307EB2" w14:textId="17B93AFD" w:rsidR="00E1168D" w:rsidRDefault="00F42421" w:rsidP="00BB1060">
                  <w:pPr>
                    <w:pStyle w:val="Text"/>
                  </w:pPr>
                  <w:r>
                    <w:t>Many aspects of ACCOs’ SFVS programs</w:t>
                  </w:r>
                  <w:r w:rsidR="00E1168D">
                    <w:t xml:space="preserve"> align with best practice in the design and delivery of family violence services in Aboriginal and Torres Strait Islander communities</w:t>
                  </w:r>
                  <w:r>
                    <w:t xml:space="preserve">. This includes high level of community ownership and governance, </w:t>
                  </w:r>
                  <w:r w:rsidR="00CA4840">
                    <w:t>and programs which embed trauma-informed, whole</w:t>
                  </w:r>
                  <w:r w:rsidR="004F2B3B">
                    <w:t>-</w:t>
                  </w:r>
                  <w:r w:rsidR="00CA4840">
                    <w:t>of</w:t>
                  </w:r>
                  <w:r w:rsidR="004F2B3B">
                    <w:t>-</w:t>
                  </w:r>
                  <w:r w:rsidR="00CA4840">
                    <w:t>community and integrated approaches</w:t>
                  </w:r>
                  <w:r w:rsidR="00BC3857">
                    <w:t>.</w:t>
                  </w:r>
                  <w:r w:rsidR="00CA4840">
                    <w:t xml:space="preserve"> </w:t>
                  </w:r>
                  <w:r w:rsidR="00B35C88">
                    <w:t xml:space="preserve">However, </w:t>
                  </w:r>
                  <w:r w:rsidR="00454DF1">
                    <w:t>in order to achieve this</w:t>
                  </w:r>
                  <w:r w:rsidR="000349B0">
                    <w:t>,</w:t>
                  </w:r>
                  <w:r w:rsidR="00454DF1">
                    <w:t xml:space="preserve"> ACCOs are drawing heavily on other programs and funding sources, </w:t>
                  </w:r>
                  <w:r w:rsidR="001F5041">
                    <w:t>which questions</w:t>
                  </w:r>
                  <w:r w:rsidR="00293BCB">
                    <w:t xml:space="preserve"> the sustainability of the current SFVS funding settings for ACCOs.</w:t>
                  </w:r>
                </w:p>
                <w:p w14:paraId="29273D7D" w14:textId="20213AEF" w:rsidR="00825AFF" w:rsidRDefault="00BE1391" w:rsidP="00BB1060">
                  <w:pPr>
                    <w:pStyle w:val="Text"/>
                  </w:pPr>
                  <w:r>
                    <w:t>Current f</w:t>
                  </w:r>
                  <w:r w:rsidR="008F799F">
                    <w:t xml:space="preserve">unding arrangements are </w:t>
                  </w:r>
                  <w:r w:rsidR="00293BCB">
                    <w:t xml:space="preserve">also </w:t>
                  </w:r>
                  <w:r w:rsidR="008F799F">
                    <w:t xml:space="preserve">constraining ACCOs’ capacity to </w:t>
                  </w:r>
                  <w:r w:rsidR="00BE3E90">
                    <w:t>implement other aspects of good practice, including building workforce diversity and resilience</w:t>
                  </w:r>
                  <w:r w:rsidR="000A5FB1">
                    <w:t xml:space="preserve">, </w:t>
                  </w:r>
                  <w:r w:rsidR="00BE3E90">
                    <w:t xml:space="preserve">supporting development of local Aboriginal workforces, </w:t>
                  </w:r>
                  <w:r w:rsidR="000A5FB1">
                    <w:t xml:space="preserve">and </w:t>
                  </w:r>
                  <w:r w:rsidR="001816BD">
                    <w:t>expanding</w:t>
                  </w:r>
                  <w:r w:rsidR="00D727FD">
                    <w:t xml:space="preserve"> their service</w:t>
                  </w:r>
                  <w:r w:rsidR="008F196B">
                    <w:t>s</w:t>
                  </w:r>
                  <w:r w:rsidR="00D727FD">
                    <w:t xml:space="preserve"> to meet community needs</w:t>
                  </w:r>
                  <w:r w:rsidR="00BC3857">
                    <w:t xml:space="preserve">. </w:t>
                  </w:r>
                </w:p>
                <w:p w14:paraId="3774BFE4" w14:textId="7CB58728" w:rsidR="00513C99" w:rsidRPr="00321BC5" w:rsidRDefault="00A63DD1" w:rsidP="00321BC5">
                  <w:pPr>
                    <w:pStyle w:val="Text"/>
                    <w:spacing w:before="360"/>
                    <w:rPr>
                      <w:b/>
                      <w:color w:val="36424A" w:themeColor="background2"/>
                    </w:rPr>
                  </w:pPr>
                  <w:r>
                    <w:rPr>
                      <w:b/>
                      <w:bCs/>
                      <w:color w:val="36424A" w:themeColor="background2"/>
                    </w:rPr>
                    <w:t>Outcomes, enablers and barriers</w:t>
                  </w:r>
                </w:p>
                <w:p w14:paraId="093D5315" w14:textId="40A41A25" w:rsidR="00493D16" w:rsidRDefault="00493D16" w:rsidP="00287AC2">
                  <w:pPr>
                    <w:pStyle w:val="Text"/>
                    <w:rPr>
                      <w:lang w:val="en-US"/>
                    </w:rPr>
                  </w:pPr>
                  <w:r>
                    <w:rPr>
                      <w:lang w:val="en-US"/>
                    </w:rPr>
                    <w:t xml:space="preserve">There is insufficient </w:t>
                  </w:r>
                  <w:r w:rsidR="00A41121">
                    <w:rPr>
                      <w:lang w:val="en-US"/>
                    </w:rPr>
                    <w:t xml:space="preserve">quantitative </w:t>
                  </w:r>
                  <w:r>
                    <w:rPr>
                      <w:lang w:val="en-US"/>
                    </w:rPr>
                    <w:t xml:space="preserve">evidence to </w:t>
                  </w:r>
                  <w:r w:rsidR="00A45CE5">
                    <w:rPr>
                      <w:lang w:val="en-US"/>
                    </w:rPr>
                    <w:t xml:space="preserve">determine whether outcomes for Aboriginal and Torres Strait Islander service users are better when services are delivered by an ACCO </w:t>
                  </w:r>
                  <w:r w:rsidR="00B52AAB">
                    <w:rPr>
                      <w:lang w:val="en-US"/>
                    </w:rPr>
                    <w:t>or</w:t>
                  </w:r>
                  <w:r w:rsidR="00A45CE5">
                    <w:rPr>
                      <w:lang w:val="en-US"/>
                    </w:rPr>
                    <w:t xml:space="preserve"> a mainstream service. </w:t>
                  </w:r>
                  <w:r w:rsidR="004E12BF">
                    <w:rPr>
                      <w:lang w:val="en-US"/>
                    </w:rPr>
                    <w:t>DEX d</w:t>
                  </w:r>
                  <w:r w:rsidR="000C1D09">
                    <w:rPr>
                      <w:lang w:val="en-US"/>
                    </w:rPr>
                    <w:t xml:space="preserve">ata </w:t>
                  </w:r>
                  <w:r w:rsidR="00582628">
                    <w:rPr>
                      <w:lang w:val="en-US"/>
                    </w:rPr>
                    <w:t xml:space="preserve">limitations – including the small number of ACCO service users and accompanying SCORE assessments </w:t>
                  </w:r>
                  <w:r w:rsidR="00A203C6">
                    <w:rPr>
                      <w:lang w:val="en-US"/>
                    </w:rPr>
                    <w:t>–</w:t>
                  </w:r>
                  <w:r w:rsidR="000C1D09">
                    <w:rPr>
                      <w:lang w:val="en-US"/>
                    </w:rPr>
                    <w:t xml:space="preserve"> mean that th</w:t>
                  </w:r>
                  <w:r w:rsidR="00B52AAB">
                    <w:rPr>
                      <w:lang w:val="en-US"/>
                    </w:rPr>
                    <w:t>is</w:t>
                  </w:r>
                  <w:r w:rsidR="000C1D09">
                    <w:rPr>
                      <w:lang w:val="en-US"/>
                    </w:rPr>
                    <w:t xml:space="preserve"> evaluation is unable to determine whether </w:t>
                  </w:r>
                  <w:r>
                    <w:rPr>
                      <w:lang w:val="en-US"/>
                    </w:rPr>
                    <w:t>the type of</w:t>
                  </w:r>
                  <w:r w:rsidR="009F31EC" w:rsidRPr="7423EF50">
                    <w:rPr>
                      <w:lang w:val="en-US"/>
                    </w:rPr>
                    <w:t xml:space="preserve"> service provider (ACCO or mainstream) correlates with differences in SCORE changes. </w:t>
                  </w:r>
                </w:p>
                <w:p w14:paraId="27E655D9" w14:textId="56F92F79" w:rsidR="00762B9D" w:rsidRDefault="00A41121" w:rsidP="00287AC2">
                  <w:pPr>
                    <w:pStyle w:val="Text"/>
                    <w:rPr>
                      <w:lang w:val="en-US"/>
                    </w:rPr>
                  </w:pPr>
                  <w:r>
                    <w:rPr>
                      <w:lang w:val="en-US"/>
                    </w:rPr>
                    <w:t>However, qualitative data and the l</w:t>
                  </w:r>
                  <w:r w:rsidR="00AF350E">
                    <w:rPr>
                      <w:lang w:val="en-US"/>
                    </w:rPr>
                    <w:t>iterature</w:t>
                  </w:r>
                  <w:r w:rsidR="00762B9D">
                    <w:rPr>
                      <w:lang w:val="en-US"/>
                    </w:rPr>
                    <w:t xml:space="preserve"> </w:t>
                  </w:r>
                  <w:r w:rsidR="00762B9D">
                    <w:t>suggest</w:t>
                  </w:r>
                  <w:r w:rsidR="00762B9D" w:rsidRPr="0054152A">
                    <w:t xml:space="preserve"> that </w:t>
                  </w:r>
                  <w:r>
                    <w:t>ACCOs</w:t>
                  </w:r>
                  <w:r w:rsidR="00762B9D" w:rsidRPr="0054152A">
                    <w:t xml:space="preserve"> are</w:t>
                  </w:r>
                  <w:r w:rsidR="00762B9D">
                    <w:t xml:space="preserve"> often</w:t>
                  </w:r>
                  <w:r w:rsidR="00762B9D" w:rsidRPr="0054152A">
                    <w:t xml:space="preserve"> </w:t>
                  </w:r>
                  <w:r w:rsidR="00762B9D">
                    <w:t>well</w:t>
                  </w:r>
                  <w:r w:rsidR="00762B9D" w:rsidRPr="0054152A">
                    <w:t xml:space="preserve"> positioned to deliver comprehensive supports</w:t>
                  </w:r>
                  <w:r w:rsidR="00762B9D">
                    <w:t xml:space="preserve"> within their communities </w:t>
                  </w:r>
                  <w:r w:rsidR="00762B9D" w:rsidRPr="008558F5">
                    <w:fldChar w:fldCharType="begin"/>
                  </w:r>
                  <w:r w:rsidR="00E41D03">
                    <w:instrText xml:space="preserve"> ADDIN ZOTERO_ITEM CSL_CITATION {"citationID":"a15223ocbee","properties":{"formattedCitation":"(Morgan, 2022)","plainCitation":"(Morgan, 2022)","noteIndex":0},"citationItems":[{"id":4598,"uris":["http://zotero.org/groups/5691188/items/ICBGBMLJ"],"itemData":{"id":4598,"type":"book","abstract":"\"This report is the first of two, developed as part of an overall research project, that aim to identify the needs of Aboriginal and Torres Strait Islander children and young people exposed to DFV who come in contact with child protection systems through FWS in regional and remote contexts in Queensland. The project also seeks to determine effective service and system responses and to develop a best practice framework for FWS to respond to the impacts of DFV on children and young people.\" -- Page 6","event-place":"Sydney, NSW","ISBN":"978-1-922645-28-9","language":"en","note":"OCLC: 1313069369","publisher":"Australia's National Research Organisation for Women's Safety","publisher-place":"Sydney, NSW","source":"Open WorldCat","title":"New ways for our families: designing an Aboriginal and Torres Strait Islander cultural practice framework and system responses to address the impacts of domestic and family violence on children and young people","title-short":"New ways for our families","author":[{"family":"Morgan","given":"Garth"}],"issued":{"date-parts":[["2022"]]}}}],"schema":"https://github.com/citation-style-language/schema/raw/master/csl-citation.json"} </w:instrText>
                  </w:r>
                  <w:r w:rsidR="00762B9D" w:rsidRPr="008558F5">
                    <w:fldChar w:fldCharType="separate"/>
                  </w:r>
                  <w:r w:rsidR="00762B9D" w:rsidRPr="00AC138C">
                    <w:rPr>
                      <w:rFonts w:ascii="Arial" w:hAnsi="Arial" w:cs="Arial"/>
                    </w:rPr>
                    <w:t>(Morgan, 2022)</w:t>
                  </w:r>
                  <w:r w:rsidR="00762B9D" w:rsidRPr="008558F5">
                    <w:fldChar w:fldCharType="end"/>
                  </w:r>
                  <w:r w:rsidR="00762B9D" w:rsidRPr="008558F5">
                    <w:t>.</w:t>
                  </w:r>
                  <w:r w:rsidR="00762B9D">
                    <w:t xml:space="preserve"> ACCOs</w:t>
                  </w:r>
                  <w:r w:rsidR="00762B9D" w:rsidRPr="00770C64">
                    <w:t xml:space="preserve"> are </w:t>
                  </w:r>
                  <w:r w:rsidR="00762B9D" w:rsidRPr="00770C64">
                    <w:lastRenderedPageBreak/>
                    <w:t xml:space="preserve">generally </w:t>
                  </w:r>
                  <w:r w:rsidR="00762B9D">
                    <w:t>well</w:t>
                  </w:r>
                  <w:r w:rsidR="00762B9D" w:rsidRPr="00770C64">
                    <w:t xml:space="preserve"> equipped to navigate the complex needs of Aboriginal and Torres Strait Islander people, as they can integrate local cultural knowledge, foster community trust, and provide support with an understanding of the broader socio-political context. </w:t>
                  </w:r>
                  <w:r w:rsidR="00762B9D" w:rsidRPr="006B6860">
                    <w:rPr>
                      <w:lang w:val="en-AU"/>
                    </w:rPr>
                    <w:t xml:space="preserve">The literature suggests that community-led initiatives can address not only immediate safety concerns but also long-term healing and empowerment, which are crucial for overcoming intergenerational trauma </w:t>
                  </w:r>
                  <w:r w:rsidR="00762B9D" w:rsidRPr="006B6860">
                    <w:rPr>
                      <w:lang w:val="en-US"/>
                    </w:rPr>
                    <w:fldChar w:fldCharType="begin"/>
                  </w:r>
                  <w:r w:rsidR="00E41D03">
                    <w:rPr>
                      <w:lang w:val="en-US"/>
                    </w:rPr>
                    <w:instrText xml:space="preserve"> ADDIN ZOTERO_ITEM CSL_CITATION {"citationID":"x5E1egg9","properties":{"formattedCitation":"(Langton and Smith, 2020)","plainCitation":"(Langton and Smith, 2020)","noteIndex":0},"citationItems":[{"id":4616,"uris":["http://zotero.org/groups/5691188/items/KHXS9HZ8"],"itemData":{"id":4616,"type":"article-journal","DOI":"10.13140/RG.2.2.16383.33441","language":"en","note":"publisher: Australia’s National Research Organisation for Women’s Safety Limited","source":"DOI.org (Datacite)","title":"Improving family violence legal and support services for Aboriginal and Torres Strait Islander women","URL":"http://rgdoi.net/10.13140/RG.2.2.16383.33441","author":[{"family":"Langton","given":"Marcia"},{"family":"Smith","given":"Kristen"}],"accessed":{"date-parts":[["2024",10,7]]},"issued":{"date-parts":[["2020"]]}}}],"schema":"https://github.com/citation-style-language/schema/raw/master/csl-citation.json"} </w:instrText>
                  </w:r>
                  <w:r w:rsidR="00762B9D" w:rsidRPr="006B6860">
                    <w:rPr>
                      <w:lang w:val="en-US"/>
                    </w:rPr>
                    <w:fldChar w:fldCharType="separate"/>
                  </w:r>
                  <w:r w:rsidR="00762B9D" w:rsidRPr="00AC138C">
                    <w:rPr>
                      <w:rFonts w:ascii="Arial" w:hAnsi="Arial" w:cs="Arial"/>
                    </w:rPr>
                    <w:t>(Langton and Smith, 2020)</w:t>
                  </w:r>
                  <w:r w:rsidR="00762B9D" w:rsidRPr="006B6860">
                    <w:fldChar w:fldCharType="end"/>
                  </w:r>
                  <w:r w:rsidR="00762B9D" w:rsidRPr="006B6860">
                    <w:rPr>
                      <w:lang w:val="en-AU"/>
                    </w:rPr>
                    <w:t>.</w:t>
                  </w:r>
                </w:p>
                <w:p w14:paraId="1ADD3BF4" w14:textId="6463824B" w:rsidR="00287AC2" w:rsidRPr="00A203C6" w:rsidRDefault="00E51706" w:rsidP="00A203C6">
                  <w:pPr>
                    <w:pStyle w:val="Text"/>
                    <w:rPr>
                      <w:lang w:val="en-US"/>
                    </w:rPr>
                  </w:pPr>
                  <w:r>
                    <w:rPr>
                      <w:lang w:val="en-US"/>
                    </w:rPr>
                    <w:t>While the number of ACCO service users engaged through th</w:t>
                  </w:r>
                  <w:r w:rsidR="00A56EAC">
                    <w:rPr>
                      <w:lang w:val="en-US"/>
                    </w:rPr>
                    <w:t>i</w:t>
                  </w:r>
                  <w:r w:rsidR="00E07FE0">
                    <w:rPr>
                      <w:lang w:val="en-US"/>
                    </w:rPr>
                    <w:t>s</w:t>
                  </w:r>
                  <w:r>
                    <w:rPr>
                      <w:lang w:val="en-US"/>
                    </w:rPr>
                    <w:t xml:space="preserve"> evaluation was small, those who did engage</w:t>
                  </w:r>
                  <w:r w:rsidR="00287AC2" w:rsidRPr="00287AC2">
                    <w:rPr>
                      <w:lang w:val="en-US"/>
                    </w:rPr>
                    <w:t xml:space="preserve"> were very positive about the services they had received. </w:t>
                  </w:r>
                  <w:r>
                    <w:rPr>
                      <w:lang w:val="en-US"/>
                    </w:rPr>
                    <w:t>S</w:t>
                  </w:r>
                  <w:r w:rsidR="00287AC2" w:rsidRPr="00287AC2">
                    <w:rPr>
                      <w:lang w:val="en-US"/>
                    </w:rPr>
                    <w:t xml:space="preserve">ervice users described feeling respected, learning new skills, and having their needs met. Some also described the value of being connected to other supports and building relationships with both </w:t>
                  </w:r>
                  <w:r w:rsidR="00AD4791">
                    <w:rPr>
                      <w:lang w:val="en-US"/>
                    </w:rPr>
                    <w:t>service providers</w:t>
                  </w:r>
                  <w:r w:rsidR="00AD4791" w:rsidRPr="00287AC2">
                    <w:rPr>
                      <w:lang w:val="en-US"/>
                    </w:rPr>
                    <w:t xml:space="preserve"> </w:t>
                  </w:r>
                  <w:r w:rsidR="00287AC2" w:rsidRPr="00287AC2">
                    <w:rPr>
                      <w:lang w:val="en-US"/>
                    </w:rPr>
                    <w:t>and other women.</w:t>
                  </w:r>
                </w:p>
                <w:p w14:paraId="3451AE9F" w14:textId="10C318D2" w:rsidR="00287AC2" w:rsidRPr="007B623E" w:rsidRDefault="00287AC2" w:rsidP="00287AC2">
                  <w:pPr>
                    <w:pBdr>
                      <w:left w:val="single" w:sz="18" w:space="4" w:color="78B800" w:themeColor="accent1"/>
                    </w:pBdr>
                    <w:tabs>
                      <w:tab w:val="left" w:pos="8080"/>
                    </w:tabs>
                    <w:spacing w:after="0"/>
                    <w:ind w:left="851" w:right="949"/>
                    <w:rPr>
                      <w:i/>
                    </w:rPr>
                  </w:pPr>
                  <w:r w:rsidRPr="002E7992">
                    <w:rPr>
                      <w:noProof/>
                    </w:rPr>
                    <w:drawing>
                      <wp:anchor distT="0" distB="0" distL="114300" distR="114300" simplePos="0" relativeHeight="251658368" behindDoc="0" locked="1" layoutInCell="1" allowOverlap="1" wp14:anchorId="3CA4DF55" wp14:editId="44B79712">
                        <wp:simplePos x="0" y="0"/>
                        <wp:positionH relativeFrom="column">
                          <wp:posOffset>0</wp:posOffset>
                        </wp:positionH>
                        <wp:positionV relativeFrom="paragraph">
                          <wp:posOffset>0</wp:posOffset>
                        </wp:positionV>
                        <wp:extent cx="384810" cy="320040"/>
                        <wp:effectExtent l="0" t="0" r="0" b="3810"/>
                        <wp:wrapNone/>
                        <wp:docPr id="1172155398" name="Graphic 1172155398" descr="P3493#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155398" name="Graphic 1172155398" descr="P3493#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87AC2">
                    <w:rPr>
                      <w:i/>
                      <w:iCs/>
                    </w:rPr>
                    <w:t>When I came here there’s lots of doors and I’ve been opening – training, food, many doors. They were all easy to open</w:t>
                  </w:r>
                  <w:r w:rsidR="00147891">
                    <w:rPr>
                      <w:i/>
                      <w:iCs/>
                    </w:rPr>
                    <w:t xml:space="preserve"> [</w:t>
                  </w:r>
                  <w:r w:rsidRPr="00287AC2">
                    <w:rPr>
                      <w:i/>
                      <w:iCs/>
                    </w:rPr>
                    <w:t>…</w:t>
                  </w:r>
                  <w:r w:rsidR="00147891">
                    <w:rPr>
                      <w:i/>
                      <w:iCs/>
                    </w:rPr>
                    <w:t>]</w:t>
                  </w:r>
                  <w:r w:rsidRPr="00287AC2">
                    <w:rPr>
                      <w:i/>
                      <w:iCs/>
                    </w:rPr>
                    <w:t xml:space="preserve"> The service is [also] helping [my child’s father]. The road back there is a bumpy road – the road ahead is a straight road</w:t>
                  </w:r>
                  <w:r>
                    <w:rPr>
                      <w:i/>
                      <w:iCs/>
                    </w:rPr>
                    <w:t xml:space="preserve"> </w:t>
                  </w:r>
                  <w:r w:rsidRPr="002E7992">
                    <w:rPr>
                      <w:b/>
                      <w:bCs/>
                      <w:i/>
                      <w:iCs/>
                    </w:rPr>
                    <w:t>–</w:t>
                  </w:r>
                  <w:r>
                    <w:rPr>
                      <w:b/>
                      <w:bCs/>
                      <w:i/>
                      <w:iCs/>
                    </w:rPr>
                    <w:t xml:space="preserve"> ACCO SFVS service user</w:t>
                  </w:r>
                </w:p>
                <w:p w14:paraId="40C32E8A" w14:textId="77777777" w:rsidR="00287AC2" w:rsidRPr="00287AC2" w:rsidRDefault="00287AC2" w:rsidP="00287AC2">
                  <w:pPr>
                    <w:pStyle w:val="Text"/>
                    <w:rPr>
                      <w:lang w:val="en-US"/>
                    </w:rPr>
                  </w:pPr>
                </w:p>
                <w:p w14:paraId="0BCCFC4B" w14:textId="03D59FF9" w:rsidR="002A61EE" w:rsidRDefault="002A61EE" w:rsidP="00287AC2">
                  <w:pPr>
                    <w:pStyle w:val="Text"/>
                    <w:rPr>
                      <w:lang w:val="en-US"/>
                    </w:rPr>
                  </w:pPr>
                  <w:r>
                    <w:rPr>
                      <w:lang w:val="en-US"/>
                    </w:rPr>
                    <w:t xml:space="preserve">A key barrier to </w:t>
                  </w:r>
                  <w:r w:rsidRPr="00BD3D85">
                    <w:rPr>
                      <w:lang w:val="en-US"/>
                    </w:rPr>
                    <w:t xml:space="preserve">Aboriginal and/or Torres Strait Islander people accessing services relating to family violence </w:t>
                  </w:r>
                  <w:r w:rsidR="00B55625" w:rsidRPr="00BD3D85">
                    <w:rPr>
                      <w:lang w:val="en-US"/>
                    </w:rPr>
                    <w:t xml:space="preserve">is mistrust. </w:t>
                  </w:r>
                  <w:r w:rsidR="000E5492">
                    <w:t>F</w:t>
                  </w:r>
                  <w:r w:rsidR="00B55625" w:rsidRPr="00BD3D85">
                    <w:t xml:space="preserve">eelings of shame and fear of punitive responses, fear </w:t>
                  </w:r>
                  <w:r w:rsidR="009C4115">
                    <w:t>of</w:t>
                  </w:r>
                  <w:r w:rsidR="00B55625" w:rsidRPr="00BD3D85">
                    <w:t xml:space="preserve"> breaches in confidentiality and re-traumatisation from insensitive responses, prior experiences of racism and stereotyping by service providers, and fear</w:t>
                  </w:r>
                  <w:r w:rsidR="00B55625">
                    <w:t xml:space="preserve"> of child removal, can all </w:t>
                  </w:r>
                  <w:r w:rsidR="00BD3D85">
                    <w:t xml:space="preserve">act as barriers to seeking support </w:t>
                  </w:r>
                  <w:r w:rsidR="00BD3D85" w:rsidRPr="00942D5C">
                    <w:rPr>
                      <w:highlight w:val="yellow"/>
                    </w:rPr>
                    <w:fldChar w:fldCharType="begin"/>
                  </w:r>
                  <w:r w:rsidR="00E41D03">
                    <w:rPr>
                      <w:highlight w:val="yellow"/>
                    </w:rPr>
                    <w:instrText xml:space="preserve"> ADDIN ZOTERO_ITEM CSL_CITATION {"citationID":"ahdhu31h9f","properties":{"formattedCitation":"(Australian Human Rights Commission, 2020; Fiolet et al., 2021; Langton and Smith, 2020)","plainCitation":"(Australian Human Rights Commission, 2020; Fiolet et al., 2021; Langton and Smith, 2020)","noteIndex":0},"citationItems":[{"id":4731,"uris":["http://zotero.org/groups/5691188/items/L3P8HXT6"],"itemData":{"id":4731,"type":"report","publisher":"Australian Human Rights Commission","title":"Wiyi Yani U Thangani (Women’s Voices): Securing Our Rights, Securing Our Future Report","author":[{"family":"Australian Human Rights Commission","given":""}],"issued":{"date-parts":[["2020"]]}}},{"id":4749,"uris":["http://zotero.org/groups/5691188/items/F2WNL27Y"],"itemData":{"id":4749,"type":"article-journal","abstract":"Indigenous peoples experience high rates of family violence (FV) yet are said to access support at lower rates than their non-Indigenous counterparts. There is an absence of Indigenous voices regarding their help-seeking behaviors for FV, particularly concerning men’s views. The aim of this research was to seek Indigenous perspectives on their help-seeking behaviors for FV. Individual, face-to-face semistructured interviews took place with 23 Indigenous Australians (14 women and 9 men) recruited from one large community in Victoria, Australia. Interviews were audiotaped and transcribed verbatim. Data were categorized and organized, and themes were identified using thematic analysis. Five main themes emerged from the data. “You’re Aboriginal, so that’s just how it is” describes the experiences with discrimination and judgment that create general barriers for Indigenous peoples to access services. The second theme “putting a big blanket over it” articulates the role that shame plays in deterring support-seeking for FV. “How do you trust somebody?” defines the fear in the hearts and minds of Indigenous participants who contemplate help-seeking. A further main theme of “someone that they could have a yarn with” explores what occurs when participants initially decide to seek support. Their thoughts on what participants want from interactions with formal services are explored in the final theme “a safe space.” Significant barriers to seeking support for FV exist for Indigenous peoples, including discrimination, shame, and fear. Service providers need to work on addressing these barriers through an increased understanding of Indigenous experiences and beliefs in an effort to encourage help-seeking behaviors. Interventions to assist kin in dealing with FV and for service providers to create safe spaces are urgent. More research informed by Indigenous voices is needed.","container-title":"Journal of Interpersonal Violence","DOI":"10.1177/0886260519883861","ISSN":"0886-2605, 1552-6518","issue":"21-22","journalAbbreviation":"J Interpers Violence","language":"en","page":"10128-10146","source":"DOI.org (Crossref)","title":"Indigenous Perspectives on Help-Seeking for Family Violence: Voices From an Australian Community","title-short":"Indigenous Perspectives on Help-Seeking for Family Violence","volume":"36","author":[{"family":"Fiolet","given":"Renee"},{"family":"Tarzia","given":"Laura"},{"family":"Owen","given":"Renee"},{"family":"Eccles","given":"Corrina"},{"family":"Nicholson","given":"Kayley"},{"family":"Owen","given":"May"},{"family":"Fry","given":"Syd"},{"family":"Knox","given":"Jasmine"},{"family":"Hegarty","given":"Kelsey"}],"issued":{"date-parts":[["2021",11]]}}},{"id":4616,"uris":["http://zotero.org/groups/5691188/items/KHXS9HZ8"],"itemData":{"id":4616,"type":"article-journal","DOI":"10.13140/RG.2.2.16383.33441","language":"en","note":"publisher: Australia’s National Research Organisation for Women’s Safety Limited","source":"DOI.org (Datacite)","title":"Improving family violence legal and support services for Aboriginal and Torres Strait Islander women","URL":"http://rgdoi.net/10.13140/RG.2.2.16383.33441","author":[{"family":"Langton","given":"Marcia"},{"family":"Smith","given":"Kristen"}],"accessed":{"date-parts":[["2024",10,7]]},"issued":{"date-parts":[["2020"]]}}}],"schema":"https://github.com/citation-style-language/schema/raw/master/csl-citation.json"} </w:instrText>
                  </w:r>
                  <w:r w:rsidR="00BD3D85" w:rsidRPr="00942D5C">
                    <w:rPr>
                      <w:highlight w:val="yellow"/>
                    </w:rPr>
                    <w:fldChar w:fldCharType="separate"/>
                  </w:r>
                  <w:r w:rsidR="00E41D03" w:rsidRPr="00E41D03">
                    <w:rPr>
                      <w:rFonts w:ascii="Arial" w:hAnsi="Arial" w:cs="Arial"/>
                    </w:rPr>
                    <w:t>(Australian Human Rights Commission, 2020; Fiolet et al., 2021; Langton and Smith, 2020)</w:t>
                  </w:r>
                  <w:r w:rsidR="00BD3D85" w:rsidRPr="00942D5C">
                    <w:rPr>
                      <w:highlight w:val="yellow"/>
                    </w:rPr>
                    <w:fldChar w:fldCharType="end"/>
                  </w:r>
                  <w:r w:rsidR="00942D5C" w:rsidRPr="00942D5C">
                    <w:t>.</w:t>
                  </w:r>
                </w:p>
                <w:p w14:paraId="1DE7129C" w14:textId="1E52A849" w:rsidR="00287AC2" w:rsidRDefault="00BD3D85" w:rsidP="00287AC2">
                  <w:pPr>
                    <w:pStyle w:val="Text"/>
                    <w:rPr>
                      <w:lang w:val="en-US"/>
                    </w:rPr>
                  </w:pPr>
                  <w:r>
                    <w:rPr>
                      <w:lang w:val="en-US"/>
                    </w:rPr>
                    <w:t xml:space="preserve">There is some evidence that ACCOs funded through SFVS are effectively addressing this barrier. </w:t>
                  </w:r>
                  <w:r w:rsidR="00287AC2" w:rsidRPr="00287AC2">
                    <w:rPr>
                      <w:lang w:val="en-US"/>
                    </w:rPr>
                    <w:t xml:space="preserve">Service users identified the relationships of trust developed with ACCOs and their </w:t>
                  </w:r>
                  <w:r w:rsidR="005C5D88">
                    <w:rPr>
                      <w:lang w:val="en-US"/>
                    </w:rPr>
                    <w:t>service providers</w:t>
                  </w:r>
                  <w:r w:rsidR="005C5D88" w:rsidRPr="00287AC2">
                    <w:rPr>
                      <w:lang w:val="en-US"/>
                    </w:rPr>
                    <w:t xml:space="preserve"> </w:t>
                  </w:r>
                  <w:r w:rsidR="00287AC2" w:rsidRPr="00287AC2">
                    <w:rPr>
                      <w:lang w:val="en-US"/>
                    </w:rPr>
                    <w:t>as a key factor</w:t>
                  </w:r>
                  <w:r>
                    <w:rPr>
                      <w:lang w:val="en-US"/>
                    </w:rPr>
                    <w:t xml:space="preserve"> in their satisfaction with – and effectiveness of – the program</w:t>
                  </w:r>
                  <w:r w:rsidR="00287AC2" w:rsidRPr="00287AC2">
                    <w:rPr>
                      <w:lang w:val="en-US"/>
                    </w:rPr>
                    <w:t xml:space="preserve">. Both service users and service providers described the value of creating safe spaces and relationships, as an entry-point to accessing other services and supports. Service providers also described the way in which </w:t>
                  </w:r>
                  <w:r w:rsidR="00D36C7A">
                    <w:rPr>
                      <w:lang w:val="en-US"/>
                    </w:rPr>
                    <w:t xml:space="preserve">an </w:t>
                  </w:r>
                  <w:r w:rsidR="00287AC2" w:rsidRPr="00287AC2">
                    <w:rPr>
                      <w:lang w:val="en-US"/>
                    </w:rPr>
                    <w:t>individual</w:t>
                  </w:r>
                  <w:r w:rsidR="00D36C7A">
                    <w:rPr>
                      <w:lang w:val="en-US"/>
                    </w:rPr>
                    <w:t>’s</w:t>
                  </w:r>
                  <w:r w:rsidR="00287AC2" w:rsidRPr="00287AC2">
                    <w:rPr>
                      <w:lang w:val="en-US"/>
                    </w:rPr>
                    <w:t xml:space="preserve"> relationship</w:t>
                  </w:r>
                  <w:r w:rsidR="00D36C7A">
                    <w:rPr>
                      <w:lang w:val="en-US"/>
                    </w:rPr>
                    <w:t xml:space="preserve"> </w:t>
                  </w:r>
                  <w:r w:rsidR="00287AC2" w:rsidRPr="00287AC2">
                    <w:rPr>
                      <w:lang w:val="en-US"/>
                    </w:rPr>
                    <w:t xml:space="preserve">with the service can evolve over time. </w:t>
                  </w:r>
                  <w:r w:rsidR="00044513">
                    <w:rPr>
                      <w:lang w:val="en-US"/>
                    </w:rPr>
                    <w:t>Some s</w:t>
                  </w:r>
                  <w:r w:rsidR="00287AC2" w:rsidRPr="00287AC2">
                    <w:rPr>
                      <w:lang w:val="en-US"/>
                    </w:rPr>
                    <w:t xml:space="preserve">ervice </w:t>
                  </w:r>
                  <w:r w:rsidR="00044513">
                    <w:rPr>
                      <w:lang w:val="en-US"/>
                    </w:rPr>
                    <w:t>users</w:t>
                  </w:r>
                  <w:r w:rsidR="00287AC2" w:rsidRPr="00287AC2">
                    <w:rPr>
                      <w:lang w:val="en-US"/>
                    </w:rPr>
                    <w:t xml:space="preserve"> described re-engaging with the same service provider for different reasons over time, as their circumstances and needs change</w:t>
                  </w:r>
                  <w:r w:rsidR="00044513">
                    <w:rPr>
                      <w:lang w:val="en-US"/>
                    </w:rPr>
                    <w:t xml:space="preserve">d, </w:t>
                  </w:r>
                  <w:r w:rsidR="006F7909">
                    <w:rPr>
                      <w:lang w:val="en-US"/>
                    </w:rPr>
                    <w:t>which points to enduring relationships of trust</w:t>
                  </w:r>
                  <w:r w:rsidR="00287AC2" w:rsidRPr="00287AC2">
                    <w:rPr>
                      <w:lang w:val="en-US"/>
                    </w:rPr>
                    <w:t>.</w:t>
                  </w:r>
                </w:p>
                <w:p w14:paraId="07D52A85" w14:textId="08C48007" w:rsidR="00044513" w:rsidRDefault="00287AC2" w:rsidP="00A203C6">
                  <w:pPr>
                    <w:pStyle w:val="Text"/>
                    <w:rPr>
                      <w:lang w:val="en-US"/>
                    </w:rPr>
                  </w:pPr>
                  <w:r w:rsidRPr="00287AC2">
                    <w:rPr>
                      <w:lang w:val="en-US"/>
                    </w:rPr>
                    <w:t>A key barrier</w:t>
                  </w:r>
                  <w:r w:rsidR="006F7909">
                    <w:rPr>
                      <w:lang w:val="en-US"/>
                    </w:rPr>
                    <w:t xml:space="preserve"> to access</w:t>
                  </w:r>
                  <w:r w:rsidRPr="00287AC2">
                    <w:rPr>
                      <w:lang w:val="en-US"/>
                    </w:rPr>
                    <w:t xml:space="preserve"> for several</w:t>
                  </w:r>
                  <w:r w:rsidRPr="00287AC2" w:rsidDel="00A10C83">
                    <w:rPr>
                      <w:lang w:val="en-US"/>
                    </w:rPr>
                    <w:t xml:space="preserve"> </w:t>
                  </w:r>
                  <w:r w:rsidR="00A10C83">
                    <w:rPr>
                      <w:lang w:val="en-US"/>
                    </w:rPr>
                    <w:t>ACCO</w:t>
                  </w:r>
                  <w:r w:rsidRPr="00287AC2">
                    <w:rPr>
                      <w:lang w:val="en-US"/>
                    </w:rPr>
                    <w:t xml:space="preserve"> service users was transport. Many relied on service providers for pick up and drop off</w:t>
                  </w:r>
                  <w:r w:rsidRPr="00287AC2">
                    <w:t xml:space="preserve"> to attend services for counselling or programs. Some service users and providers also identified a need for transport during crisis or to leave unsafe situations, particularly in very remote areas</w:t>
                  </w:r>
                  <w:r w:rsidRPr="00287AC2">
                    <w:rPr>
                      <w:lang w:val="en-US"/>
                    </w:rPr>
                    <w:t xml:space="preserve">. Service providers described </w:t>
                  </w:r>
                  <w:r w:rsidR="004F6800" w:rsidRPr="006E0A77">
                    <w:t xml:space="preserve">the challenge of providing culturally appropriate services across vast </w:t>
                  </w:r>
                  <w:r w:rsidR="00292B18">
                    <w:t>distances</w:t>
                  </w:r>
                  <w:r w:rsidR="00AC41DB">
                    <w:t xml:space="preserve"> and indicated that</w:t>
                  </w:r>
                  <w:r w:rsidR="00AC41DB">
                    <w:rPr>
                      <w:lang w:val="en-US"/>
                    </w:rPr>
                    <w:t xml:space="preserve"> significant resourc</w:t>
                  </w:r>
                  <w:r w:rsidR="00BF2ECD">
                    <w:rPr>
                      <w:lang w:val="en-US"/>
                    </w:rPr>
                    <w:t>ing</w:t>
                  </w:r>
                  <w:r w:rsidR="00180854">
                    <w:rPr>
                      <w:lang w:val="en-US"/>
                    </w:rPr>
                    <w:t xml:space="preserve"> was </w:t>
                  </w:r>
                  <w:r w:rsidR="00BF2ECD">
                    <w:rPr>
                      <w:lang w:val="en-US"/>
                    </w:rPr>
                    <w:t>needed for transport</w:t>
                  </w:r>
                  <w:r w:rsidRPr="00287AC2">
                    <w:rPr>
                      <w:lang w:val="en-US"/>
                    </w:rPr>
                    <w:t>.</w:t>
                  </w:r>
                  <w:r w:rsidR="001D1E06" w:rsidRPr="00AB4BF6" w:rsidDel="00AB4BF6">
                    <w:t xml:space="preserve"> </w:t>
                  </w:r>
                  <w:r w:rsidR="00AB4BF6">
                    <w:t>T</w:t>
                  </w:r>
                  <w:r w:rsidR="00AB4BF6" w:rsidRPr="00AB4BF6">
                    <w:rPr>
                      <w:lang w:val="en-US"/>
                    </w:rPr>
                    <w:t xml:space="preserve">he critical nature of transport in crisis situations was highlighted by </w:t>
                  </w:r>
                  <w:r w:rsidR="00AB4BF6">
                    <w:rPr>
                      <w:lang w:val="en-US"/>
                    </w:rPr>
                    <w:t xml:space="preserve">a </w:t>
                  </w:r>
                  <w:r w:rsidR="00AB4BF6" w:rsidRPr="00AB4BF6">
                    <w:rPr>
                      <w:lang w:val="en-US"/>
                    </w:rPr>
                    <w:t>service user, who described dangerous gaps in support when trying to escape family violence.</w:t>
                  </w:r>
                </w:p>
                <w:p w14:paraId="6671E781" w14:textId="77777777" w:rsidR="00236A37" w:rsidRDefault="00236A37" w:rsidP="00A203C6">
                  <w:pPr>
                    <w:pStyle w:val="Text"/>
                    <w:rPr>
                      <w:lang w:val="en-US"/>
                    </w:rPr>
                  </w:pPr>
                </w:p>
                <w:p w14:paraId="1F7143DA" w14:textId="77777777" w:rsidR="00236A37" w:rsidRPr="00A203C6" w:rsidRDefault="00236A37" w:rsidP="00A203C6">
                  <w:pPr>
                    <w:pStyle w:val="Text"/>
                  </w:pPr>
                </w:p>
                <w:p w14:paraId="17CCE033" w14:textId="61544047" w:rsidR="00044513" w:rsidRPr="007B623E" w:rsidRDefault="00044513" w:rsidP="00044513">
                  <w:pPr>
                    <w:pBdr>
                      <w:left w:val="single" w:sz="18" w:space="4" w:color="78B800" w:themeColor="accent1"/>
                    </w:pBdr>
                    <w:tabs>
                      <w:tab w:val="left" w:pos="8080"/>
                    </w:tabs>
                    <w:spacing w:after="0"/>
                    <w:ind w:left="851" w:right="949"/>
                    <w:rPr>
                      <w:i/>
                    </w:rPr>
                  </w:pPr>
                  <w:r w:rsidRPr="002E7992">
                    <w:rPr>
                      <w:noProof/>
                    </w:rPr>
                    <w:drawing>
                      <wp:anchor distT="0" distB="0" distL="114300" distR="114300" simplePos="0" relativeHeight="251658369" behindDoc="0" locked="1" layoutInCell="1" allowOverlap="1" wp14:anchorId="29C1BAA1" wp14:editId="6646849D">
                        <wp:simplePos x="0" y="0"/>
                        <wp:positionH relativeFrom="column">
                          <wp:posOffset>0</wp:posOffset>
                        </wp:positionH>
                        <wp:positionV relativeFrom="paragraph">
                          <wp:posOffset>0</wp:posOffset>
                        </wp:positionV>
                        <wp:extent cx="384810" cy="320040"/>
                        <wp:effectExtent l="0" t="0" r="0" b="3810"/>
                        <wp:wrapNone/>
                        <wp:docPr id="248976342" name="Graphic 248976342" descr="P3500#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976342" name="Graphic 248976342" descr="P3500#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87AC2">
                    <w:rPr>
                      <w:i/>
                      <w:iCs/>
                    </w:rPr>
                    <w:t>Once I caught the bus, I asked the police to escort me</w:t>
                  </w:r>
                  <w:r w:rsidR="00175D50" w:rsidRPr="00287AC2">
                    <w:rPr>
                      <w:i/>
                      <w:iCs/>
                    </w:rPr>
                    <w:t>,</w:t>
                  </w:r>
                  <w:r w:rsidRPr="00287AC2">
                    <w:rPr>
                      <w:i/>
                      <w:iCs/>
                    </w:rPr>
                    <w:t xml:space="preserve"> but they were busy. It’s at midnight and it arrives in [the large town] at 3am. No transport to take me to the crisis centre. I spent the night with family in [large town] and then went to the safe house in the morning. I thought a taxi would be waiting there when I arrived. My family’s place was a long way away. There was no taxi. No police. I was there with my baby at 3am. I didn’t feel safe. I was scared</w:t>
                  </w:r>
                  <w:r>
                    <w:rPr>
                      <w:i/>
                      <w:iCs/>
                    </w:rPr>
                    <w:t xml:space="preserve"> </w:t>
                  </w:r>
                  <w:r w:rsidRPr="002E7992">
                    <w:rPr>
                      <w:b/>
                      <w:bCs/>
                      <w:i/>
                      <w:iCs/>
                    </w:rPr>
                    <w:t>–</w:t>
                  </w:r>
                  <w:r>
                    <w:rPr>
                      <w:b/>
                      <w:bCs/>
                      <w:i/>
                      <w:iCs/>
                    </w:rPr>
                    <w:t xml:space="preserve"> ACCO SFVS service user</w:t>
                  </w:r>
                </w:p>
                <w:p w14:paraId="6965F782" w14:textId="77777777" w:rsidR="00044513" w:rsidRPr="00287AC2" w:rsidRDefault="00044513" w:rsidP="00287AC2">
                  <w:pPr>
                    <w:pStyle w:val="Text"/>
                    <w:rPr>
                      <w:lang w:val="en-US"/>
                    </w:rPr>
                  </w:pPr>
                </w:p>
                <w:p w14:paraId="5A7C9952" w14:textId="7832DB9A" w:rsidR="00287AC2" w:rsidRPr="00287AC2" w:rsidRDefault="00287AC2" w:rsidP="00287AC2">
                  <w:pPr>
                    <w:pStyle w:val="Text"/>
                    <w:rPr>
                      <w:lang w:val="en-US"/>
                    </w:rPr>
                  </w:pPr>
                  <w:r w:rsidRPr="00287AC2">
                    <w:rPr>
                      <w:lang w:val="en-US"/>
                    </w:rPr>
                    <w:t xml:space="preserve">Other barriers to access described by ACCO </w:t>
                  </w:r>
                  <w:r w:rsidR="00044513">
                    <w:rPr>
                      <w:lang w:val="en-US"/>
                    </w:rPr>
                    <w:t>service users and providers</w:t>
                  </w:r>
                  <w:r w:rsidRPr="00287AC2">
                    <w:rPr>
                      <w:lang w:val="en-US"/>
                    </w:rPr>
                    <w:t xml:space="preserve"> included:</w:t>
                  </w:r>
                </w:p>
                <w:p w14:paraId="7912B8A0" w14:textId="682214AA" w:rsidR="00287AC2" w:rsidRPr="00287AC2" w:rsidRDefault="00287AC2" w:rsidP="00291C70">
                  <w:pPr>
                    <w:pStyle w:val="Bullet1"/>
                    <w:rPr>
                      <w:lang w:val="en-US"/>
                    </w:rPr>
                  </w:pPr>
                  <w:r w:rsidRPr="00287AC2">
                    <w:rPr>
                      <w:lang w:val="en-US"/>
                    </w:rPr>
                    <w:t xml:space="preserve">language barriers, including resources and programs in language </w:t>
                  </w:r>
                  <w:r w:rsidR="00D86F5D">
                    <w:rPr>
                      <w:lang w:val="en-US"/>
                    </w:rPr>
                    <w:t>(</w:t>
                  </w:r>
                  <w:r w:rsidRPr="00287AC2">
                    <w:rPr>
                      <w:lang w:val="en-US"/>
                    </w:rPr>
                    <w:t>noting also the range of languages spoken</w:t>
                  </w:r>
                  <w:r w:rsidR="00D86F5D">
                    <w:rPr>
                      <w:lang w:val="en-US"/>
                    </w:rPr>
                    <w:t>)</w:t>
                  </w:r>
                  <w:r w:rsidRPr="00287AC2">
                    <w:rPr>
                      <w:lang w:val="en-US"/>
                    </w:rPr>
                    <w:t xml:space="preserve"> </w:t>
                  </w:r>
                </w:p>
                <w:p w14:paraId="5E41CA29" w14:textId="77777777" w:rsidR="00287AC2" w:rsidRPr="00287AC2" w:rsidRDefault="00287AC2" w:rsidP="00291C70">
                  <w:pPr>
                    <w:pStyle w:val="Bullet1"/>
                    <w:rPr>
                      <w:lang w:val="en-US"/>
                    </w:rPr>
                  </w:pPr>
                  <w:r w:rsidRPr="00287AC2">
                    <w:rPr>
                      <w:lang w:val="en-US"/>
                    </w:rPr>
                    <w:t xml:space="preserve">lack of awareness in the community about what services are available </w:t>
                  </w:r>
                </w:p>
                <w:p w14:paraId="1CF56070" w14:textId="36D45992" w:rsidR="00287AC2" w:rsidRDefault="00287AC2" w:rsidP="00291C70">
                  <w:pPr>
                    <w:pStyle w:val="Bullet1"/>
                    <w:rPr>
                      <w:lang w:val="en-US"/>
                    </w:rPr>
                  </w:pPr>
                  <w:r w:rsidRPr="00287AC2">
                    <w:rPr>
                      <w:lang w:val="en-US"/>
                    </w:rPr>
                    <w:t xml:space="preserve">lack of access to social housing and other essential supports in the community (which lay outside </w:t>
                  </w:r>
                  <w:r w:rsidR="004833C8">
                    <w:rPr>
                      <w:lang w:val="en-US"/>
                    </w:rPr>
                    <w:t xml:space="preserve">the </w:t>
                  </w:r>
                  <w:r w:rsidRPr="00287AC2">
                    <w:rPr>
                      <w:lang w:val="en-US"/>
                    </w:rPr>
                    <w:t xml:space="preserve">scope of SFVS funding) </w:t>
                  </w:r>
                </w:p>
                <w:p w14:paraId="23D784A6" w14:textId="7C7F9B72" w:rsidR="00D86F5D" w:rsidRDefault="00287AC2" w:rsidP="00321BC5">
                  <w:pPr>
                    <w:pStyle w:val="Bullet1"/>
                    <w:rPr>
                      <w:lang w:val="en-AU"/>
                    </w:rPr>
                  </w:pPr>
                  <w:r w:rsidRPr="00333842">
                    <w:rPr>
                      <w:lang w:val="en-US"/>
                    </w:rPr>
                    <w:t xml:space="preserve">stigma or safety risks. </w:t>
                  </w:r>
                </w:p>
                <w:p w14:paraId="53874526" w14:textId="6F238034" w:rsidR="00FD3EE1" w:rsidRPr="00321BC5" w:rsidRDefault="00283495" w:rsidP="00321BC5">
                  <w:pPr>
                    <w:pStyle w:val="Text"/>
                    <w:spacing w:before="360"/>
                    <w:rPr>
                      <w:b/>
                      <w:color w:val="36424A" w:themeColor="background2"/>
                    </w:rPr>
                  </w:pPr>
                  <w:r w:rsidRPr="00A22F3A">
                    <w:rPr>
                      <w:b/>
                      <w:color w:val="36424A" w:themeColor="background2"/>
                    </w:rPr>
                    <w:t>C</w:t>
                  </w:r>
                  <w:r w:rsidR="00D508DF" w:rsidRPr="00A22F3A">
                    <w:rPr>
                      <w:b/>
                      <w:color w:val="36424A" w:themeColor="background2"/>
                    </w:rPr>
                    <w:t>ommunity control</w:t>
                  </w:r>
                  <w:r w:rsidRPr="00A22F3A">
                    <w:rPr>
                      <w:b/>
                      <w:color w:val="36424A" w:themeColor="background2"/>
                    </w:rPr>
                    <w:t xml:space="preserve"> and cultural safety</w:t>
                  </w:r>
                </w:p>
                <w:p w14:paraId="52C618E8" w14:textId="784CCD36" w:rsidR="005B6D52" w:rsidRDefault="008C4E6E" w:rsidP="00386368">
                  <w:pPr>
                    <w:pStyle w:val="Text"/>
                    <w:rPr>
                      <w:lang w:val="en-AU"/>
                    </w:rPr>
                  </w:pPr>
                  <w:r>
                    <w:t xml:space="preserve">All </w:t>
                  </w:r>
                  <w:r w:rsidRPr="00386368">
                    <w:rPr>
                      <w:lang w:val="en-AU"/>
                    </w:rPr>
                    <w:t xml:space="preserve">ACCOs engaged as part of this evaluation emphasised that </w:t>
                  </w:r>
                  <w:r w:rsidRPr="00386368">
                    <w:t xml:space="preserve">the ability to achieve positive outcomes in </w:t>
                  </w:r>
                  <w:r w:rsidRPr="006F7909">
                    <w:t>Aboriginal communities relies on co-design, community ownership and control.</w:t>
                  </w:r>
                  <w:r>
                    <w:t xml:space="preserve"> This is consistent with findings from</w:t>
                  </w:r>
                  <w:r w:rsidR="0012432E">
                    <w:t xml:space="preserve"> the literature that c</w:t>
                  </w:r>
                  <w:r w:rsidR="005B6D52" w:rsidRPr="005B6D52">
                    <w:t xml:space="preserve">ommunity involvement and self-determination are key principles of service design and delivery that help to ensure cultural safety by allowing Aboriginal and Torres Strait Islander communities to guide program design, implementation, and evaluation. Programs with community ownership not only better align with the values of Aboriginal and Torres Strait Islander peoples but also empower individuals and communities in their healing journey, enhancing trust and engagement </w:t>
                  </w:r>
                  <w:r w:rsidR="005B6D52" w:rsidRPr="008558F5">
                    <w:rPr>
                      <w:highlight w:val="yellow"/>
                    </w:rPr>
                    <w:fldChar w:fldCharType="begin"/>
                  </w:r>
                  <w:r w:rsidR="00E41D03">
                    <w:rPr>
                      <w:highlight w:val="yellow"/>
                    </w:rPr>
                    <w:instrText xml:space="preserve"> ADDIN ZOTERO_ITEM CSL_CITATION {"citationID":"a2o7qmrk2qm","properties":{"formattedCitation":"(Carlson et al., 2021; Langton and Smith, 2020; Morgan, 2022)","plainCitation":"(Carlson et al., 2021; Langton and Smith, 2020; Morgan, 2022)","noteIndex":0},"citationItems":[{"id":4714,"uris":["http://zotero.org/groups/5691188/items/JCRH5C8H"],"itemData":{"id":4714,"type":"report","event-place":"NSW","language":"en","publisher":"Australia's National Research Organisation fro Women's Safety (ANROWS)","publisher-place":"NSW","source":"Zotero","title":"What works? Exploring the literature on Aboriginal and Torres Strait Islander healing programs that respond to family violence","author":[{"family":"Carlson","given":"Bronwyn"},{"family":"Day","given":"Madi"},{"family":"Farrelly","given":"Terri"}],"issued":{"date-parts":[["2021"]]}}},{"id":4616,"uris":["http://zotero.org/groups/5691188/items/KHXS9HZ8"],"itemData":{"id":4616,"type":"article-journal","DOI":"10.13140/RG.2.2.16383.33441","language":"en","note":"publisher: Australia’s National Research Organisation for Women’s Safety Limited","source":"DOI.org (Datacite)","title":"Improving family violence legal and support services for Aboriginal and Torres Strait Islander women","URL":"http://rgdoi.net/10.13140/RG.2.2.16383.33441","author":[{"family":"Langton","given":"Marcia"},{"family":"Smith","given":"Kristen"}],"accessed":{"date-parts":[["2024",10,7]]},"issued":{"date-parts":[["2020"]]}}},{"id":4598,"uris":["http://zotero.org/groups/5691188/items/ICBGBMLJ"],"itemData":{"id":4598,"type":"book","abstract":"\"This report is the first of two, developed as part of an overall research project, that aim to identify the needs of Aboriginal and Torres Strait Islander children and young people exposed to DFV who come in contact with child protection systems through FWS in regional and remote contexts in Queensland. The project also seeks to determine effective service and system responses and to develop a best practice framework for FWS to respond to the impacts of DFV on children and young people.\" -- Page 6","event-place":"Sydney, NSW","ISBN":"978-1-922645-28-9","language":"en","note":"OCLC: 1313069369","publisher":"Australia's National Research Organisation for Women's Safety","publisher-place":"Sydney, NSW","source":"Open WorldCat","title":"New ways for our families: designing an Aboriginal and Torres Strait Islander cultural practice framework and system responses to address the impacts of domestic and family violence on children and young people","title-short":"New ways for our families","author":[{"family":"Morgan","given":"Garth"}],"issued":{"date-parts":[["2022"]]}}}],"schema":"https://github.com/citation-style-language/schema/raw/master/csl-citation.json"} </w:instrText>
                  </w:r>
                  <w:r w:rsidR="005B6D52" w:rsidRPr="008558F5">
                    <w:rPr>
                      <w:highlight w:val="yellow"/>
                    </w:rPr>
                    <w:fldChar w:fldCharType="separate"/>
                  </w:r>
                  <w:r w:rsidR="00AC138C" w:rsidRPr="00AC138C">
                    <w:rPr>
                      <w:rFonts w:ascii="Arial" w:hAnsi="Arial" w:cs="Arial"/>
                    </w:rPr>
                    <w:t>(Carlson et al., 2021; Langton and Smith, 2020; Morgan, 2022)</w:t>
                  </w:r>
                  <w:r w:rsidR="005B6D52" w:rsidRPr="008558F5">
                    <w:rPr>
                      <w:highlight w:val="yellow"/>
                    </w:rPr>
                    <w:fldChar w:fldCharType="end"/>
                  </w:r>
                  <w:r w:rsidR="008558F5" w:rsidRPr="008558F5">
                    <w:t>.</w:t>
                  </w:r>
                  <w:r w:rsidR="008558F5">
                    <w:t xml:space="preserve"> </w:t>
                  </w:r>
                </w:p>
                <w:p w14:paraId="0F783F96" w14:textId="005657D1" w:rsidR="007A330F" w:rsidRPr="00537A40" w:rsidRDefault="007E3969" w:rsidP="00386368">
                  <w:pPr>
                    <w:pStyle w:val="Text"/>
                  </w:pPr>
                  <w:r>
                    <w:t xml:space="preserve">Funding of ACCOs under SFVS </w:t>
                  </w:r>
                  <w:r w:rsidRPr="0054152A">
                    <w:t>represents a positive step</w:t>
                  </w:r>
                  <w:r w:rsidR="00932BB9">
                    <w:t xml:space="preserve">, consistent with Priority Reform </w:t>
                  </w:r>
                  <w:r w:rsidR="00B756C9">
                    <w:t>2</w:t>
                  </w:r>
                  <w:r w:rsidR="00932BB9">
                    <w:t xml:space="preserve"> of the </w:t>
                  </w:r>
                  <w:hyperlink r:id="rId103" w:history="1">
                    <w:r w:rsidR="00932BB9" w:rsidRPr="009C0F6E">
                      <w:rPr>
                        <w:rStyle w:val="Hyperlink"/>
                        <w:rFonts w:asciiTheme="minorHAnsi" w:hAnsiTheme="minorHAnsi"/>
                        <w:b/>
                        <w:i/>
                        <w:color w:val="007E00" w:themeColor="accent3"/>
                      </w:rPr>
                      <w:t>National Agreement on Closing the Gap</w:t>
                    </w:r>
                  </w:hyperlink>
                  <w:r w:rsidR="005B5E9D">
                    <w:t xml:space="preserve"> </w:t>
                  </w:r>
                  <w:r w:rsidR="00537A40">
                    <w:t xml:space="preserve">and Reform Area One of the </w:t>
                  </w:r>
                  <w:hyperlink r:id="rId104" w:history="1">
                    <w:r w:rsidR="00537A40" w:rsidRPr="009C0F6E">
                      <w:rPr>
                        <w:rStyle w:val="Hyperlink"/>
                        <w:rFonts w:asciiTheme="minorHAnsi" w:hAnsiTheme="minorHAnsi"/>
                        <w:b/>
                        <w:i/>
                        <w:color w:val="007E00" w:themeColor="accent3"/>
                      </w:rPr>
                      <w:t>Aboriginal and Torres Strait Islander Action Plan 2023–2025</w:t>
                    </w:r>
                  </w:hyperlink>
                  <w:r w:rsidR="00AB735C">
                    <w:t xml:space="preserve">, which </w:t>
                  </w:r>
                  <w:r w:rsidR="003E1097">
                    <w:t xml:space="preserve">calls for the </w:t>
                  </w:r>
                  <w:r w:rsidR="003E1097" w:rsidRPr="003E1097">
                    <w:t>transfer of power, control, decision-making and resources to Aboriginal and Torres Strait Islander communities and their organisations</w:t>
                  </w:r>
                  <w:r w:rsidR="003E1097">
                    <w:t xml:space="preserve"> in the family violence sector</w:t>
                  </w:r>
                  <w:r w:rsidR="0026219F" w:rsidRPr="0054152A">
                    <w:t>.</w:t>
                  </w:r>
                  <w:r w:rsidRPr="0054152A">
                    <w:t xml:space="preserve"> </w:t>
                  </w:r>
                  <w:r w:rsidR="00DC5CB3" w:rsidRPr="00770C64">
                    <w:t>Each of the</w:t>
                  </w:r>
                  <w:r w:rsidR="0022066D">
                    <w:t xml:space="preserve"> ACCOs engaged ha</w:t>
                  </w:r>
                  <w:r w:rsidR="00770C64">
                    <w:t>s</w:t>
                  </w:r>
                  <w:r w:rsidR="0022066D">
                    <w:t xml:space="preserve"> </w:t>
                  </w:r>
                  <w:r>
                    <w:t xml:space="preserve">robust and comprehensive community-led governance processes in </w:t>
                  </w:r>
                  <w:r w:rsidR="008558F5">
                    <w:t>place and</w:t>
                  </w:r>
                  <w:r w:rsidR="00DC5CB3">
                    <w:t xml:space="preserve"> </w:t>
                  </w:r>
                  <w:r w:rsidR="00B26EC5">
                    <w:t>undertake</w:t>
                  </w:r>
                  <w:r w:rsidR="00407C5E">
                    <w:t>s</w:t>
                  </w:r>
                  <w:r w:rsidR="00B26EC5">
                    <w:t xml:space="preserve"> </w:t>
                  </w:r>
                  <w:r w:rsidR="009E3B94">
                    <w:t>co-design and consultation to develop and adapt their programs.</w:t>
                  </w:r>
                </w:p>
                <w:p w14:paraId="3DDF5B71" w14:textId="0ABA4BDE" w:rsidR="00386368" w:rsidRDefault="00386368" w:rsidP="00293B68">
                  <w:pPr>
                    <w:pStyle w:val="Text"/>
                  </w:pPr>
                  <w:r w:rsidRPr="00386368">
                    <w:t xml:space="preserve">ACCO service providers </w:t>
                  </w:r>
                  <w:r w:rsidR="00C0407C" w:rsidRPr="00386368">
                    <w:t xml:space="preserve">considered the flexibility of SFVS funding requirements and eligibility to be a </w:t>
                  </w:r>
                  <w:r w:rsidR="00E245FD">
                    <w:t xml:space="preserve">key </w:t>
                  </w:r>
                  <w:r w:rsidR="00C0407C" w:rsidRPr="00386368">
                    <w:t>strength</w:t>
                  </w:r>
                  <w:r w:rsidR="00E245FD">
                    <w:t xml:space="preserve"> </w:t>
                  </w:r>
                  <w:r w:rsidR="00A20BA0">
                    <w:t xml:space="preserve">of </w:t>
                  </w:r>
                  <w:r w:rsidR="00F66B8D">
                    <w:t>the program</w:t>
                  </w:r>
                  <w:r w:rsidR="00E245FD">
                    <w:t xml:space="preserve"> as it</w:t>
                  </w:r>
                  <w:r w:rsidR="00C0407C" w:rsidRPr="00386368">
                    <w:t xml:space="preserve"> allows for community co-design to ensure services are tailored to the community</w:t>
                  </w:r>
                  <w:r w:rsidR="00E245FD">
                    <w:t>, and for rapid adaptation to changing community needs</w:t>
                  </w:r>
                  <w:r w:rsidR="00C0407C" w:rsidRPr="00386368">
                    <w:t>.</w:t>
                  </w:r>
                  <w:r w:rsidRPr="00386368">
                    <w:t xml:space="preserve"> </w:t>
                  </w:r>
                  <w:r w:rsidR="00C0407C" w:rsidRPr="00386368">
                    <w:t xml:space="preserve">There was a view however that funding cycles and reporting processes should better recognise and reflect the time and effort involved in </w:t>
                  </w:r>
                  <w:r w:rsidR="00A80451">
                    <w:t xml:space="preserve">meaningful co-design and community-led governance. </w:t>
                  </w:r>
                </w:p>
                <w:p w14:paraId="030B6CE0" w14:textId="77777777" w:rsidR="00236A37" w:rsidRDefault="00236A37" w:rsidP="00293B68">
                  <w:pPr>
                    <w:pStyle w:val="Text"/>
                  </w:pPr>
                </w:p>
                <w:p w14:paraId="3E88EB3A" w14:textId="77777777" w:rsidR="00236A37" w:rsidRPr="00293B68" w:rsidRDefault="00236A37" w:rsidP="00293B68">
                  <w:pPr>
                    <w:pStyle w:val="Text"/>
                  </w:pPr>
                </w:p>
                <w:p w14:paraId="3CC3C9E1" w14:textId="3FD52CB1" w:rsidR="00386368" w:rsidRPr="007B623E" w:rsidRDefault="00386368" w:rsidP="00386368">
                  <w:pPr>
                    <w:pBdr>
                      <w:left w:val="single" w:sz="18" w:space="4" w:color="78B800" w:themeColor="accent1"/>
                    </w:pBdr>
                    <w:tabs>
                      <w:tab w:val="left" w:pos="8080"/>
                    </w:tabs>
                    <w:spacing w:after="0"/>
                    <w:ind w:left="851" w:right="949"/>
                    <w:rPr>
                      <w:i/>
                    </w:rPr>
                  </w:pPr>
                  <w:r w:rsidRPr="002E7992">
                    <w:rPr>
                      <w:noProof/>
                    </w:rPr>
                    <w:drawing>
                      <wp:anchor distT="0" distB="0" distL="114300" distR="114300" simplePos="0" relativeHeight="251658370" behindDoc="0" locked="1" layoutInCell="1" allowOverlap="1" wp14:anchorId="3E248FAF" wp14:editId="3BB82A86">
                        <wp:simplePos x="0" y="0"/>
                        <wp:positionH relativeFrom="column">
                          <wp:posOffset>0</wp:posOffset>
                        </wp:positionH>
                        <wp:positionV relativeFrom="paragraph">
                          <wp:posOffset>0</wp:posOffset>
                        </wp:positionV>
                        <wp:extent cx="384810" cy="320040"/>
                        <wp:effectExtent l="0" t="0" r="0" b="3810"/>
                        <wp:wrapNone/>
                        <wp:docPr id="1691330570" name="Graphic 1691330570" descr="P3513#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1330570" name="Graphic 1691330570" descr="P3513#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87C2D" w:rsidRPr="009246D7">
                    <w:rPr>
                      <w:i/>
                      <w:iCs/>
                    </w:rPr>
                    <w:t>Actually, what's needed is funding [for] community, Aboriginal-led organisations to be able to deliver programs that have been identified as a need for their community rather than a government coming and saying, ‘this is the progra</w:t>
                  </w:r>
                  <w:r w:rsidR="00C16270">
                    <w:rPr>
                      <w:i/>
                      <w:iCs/>
                    </w:rPr>
                    <w:t>m</w:t>
                  </w:r>
                  <w:r w:rsidR="00487C2D" w:rsidRPr="009246D7">
                    <w:rPr>
                      <w:i/>
                      <w:iCs/>
                    </w:rPr>
                    <w:t xml:space="preserve"> that we're going to facilitate because we've heard about it from NT that this is what's needed [</w:t>
                  </w:r>
                  <w:r w:rsidR="00F33F66">
                    <w:rPr>
                      <w:i/>
                      <w:iCs/>
                    </w:rPr>
                    <w:t>…</w:t>
                  </w:r>
                  <w:r w:rsidR="00487C2D" w:rsidRPr="009246D7">
                    <w:rPr>
                      <w:i/>
                      <w:iCs/>
                    </w:rPr>
                    <w:t>] Imagine what these programs would be if it [weren’t] guided by the immense amount of knowledge that […] is brought by Aboriginal community-led perspective?</w:t>
                  </w:r>
                  <w:r>
                    <w:rPr>
                      <w:i/>
                      <w:iCs/>
                    </w:rPr>
                    <w:t xml:space="preserve"> </w:t>
                  </w:r>
                  <w:r w:rsidRPr="002E7992">
                    <w:rPr>
                      <w:b/>
                      <w:bCs/>
                      <w:i/>
                      <w:iCs/>
                    </w:rPr>
                    <w:t>–</w:t>
                  </w:r>
                  <w:r>
                    <w:rPr>
                      <w:b/>
                      <w:bCs/>
                      <w:i/>
                      <w:iCs/>
                    </w:rPr>
                    <w:t xml:space="preserve"> ACCO SFVS service provider</w:t>
                  </w:r>
                </w:p>
                <w:p w14:paraId="2CEA9192" w14:textId="77777777" w:rsidR="00386368" w:rsidRDefault="00386368" w:rsidP="00386368">
                  <w:pPr>
                    <w:pStyle w:val="Text"/>
                  </w:pPr>
                </w:p>
                <w:p w14:paraId="5E813F08" w14:textId="55EC743E" w:rsidR="00283495" w:rsidRPr="00047860" w:rsidRDefault="00800BC8" w:rsidP="00047860">
                  <w:pPr>
                    <w:pStyle w:val="Text"/>
                  </w:pPr>
                  <w:r>
                    <w:t>Community control contributes to c</w:t>
                  </w:r>
                  <w:r w:rsidR="009273E2" w:rsidRPr="009273E2">
                    <w:t>ultural safety and connection to community</w:t>
                  </w:r>
                  <w:r>
                    <w:t>, which</w:t>
                  </w:r>
                  <w:r w:rsidR="009273E2">
                    <w:t xml:space="preserve"> are also key principles of good practice in the prevention and response to violence against women </w:t>
                  </w:r>
                  <w:r w:rsidR="007F3806" w:rsidRPr="00047860">
                    <w:fldChar w:fldCharType="begin"/>
                  </w:r>
                  <w:r w:rsidR="00E41D03">
                    <w:instrText xml:space="preserve"> ADDIN ZOTERO_ITEM CSL_CITATION {"citationID":"arn1rj6h1f","properties":{"formattedCitation":"(Brown, 2019; Fiolet et al., 2020)","plainCitation":"(Brown, 2019; Fiolet et al., 2020)","noteIndex":0},"citationItems":[{"id":4730,"uris":["http://zotero.org/groups/5691188/items/PWD65I9Q"],"itemData":{"id":4730,"type":"report","publisher":"Centre for Aboriginal Economic Policy Research Australian National University","title":"Hopeful Together Strong – Inspiring Optimism for Future Generations Principles of Good Practice to Prevent Violence against women in the Northern Territory","author":[{"family":"Brown","given":"Chay"}],"issued":{"date-parts":[["2019"]]}}},{"id":4751,"uris":["http://zotero.org/groups/5691188/items/2HTUS7YQ"],"itemData":{"id":4751,"type":"article-journal","abstract":"Indigenous peoples face substantial barriers when accessing support for family violence. Delivering family violence resources through technological means has the potential to address barriers, but there is insufficient evidence of their acceptability and appropriateness with Indigenous populations. We interviewed 23 Australian Indigenous people to explore the acceptability of technological resources for family violence. Three focus groups then took place to determine the content and look of a potential online resource. Two main themes were developed through a process of thematic analysis. The first main theme, “They won’t feel like they are ever alone” focuses on the practicality and requirements of an online resource and contains three sub-themes. “Even if you’re poor you’ve got a phone”, “There has to be anonymity”, and “Overcoming barriers”. The second main theme “Connected, empowered and strong” is divided into two sub-themes that address the cultural requirements identified as necessary in making an online resource engaging: “A whole of community approach” and “Cultural safety and a healing space”. Indigenous people want co-designed, culturally safe and accessible online resources that provide anonymity, promote connection to culture and facilitate a healing process through drawing on Indigenous knowledge and strengths.","container-title":"Journal of Technology in Human Services","DOI":"10.1080/15228835.2020.1742272","ISSN":"1522-8835, 1522-8991","issue":"3","journalAbbreviation":"Journal of Technology in Human Services","language":"en","page":"203-225","source":"DOI.org (Crossref)","title":"Indigenous Perspectives on Using Technology as a Supportive Resource When Experiencing Family Violence","volume":"38","author":[{"family":"Fiolet","given":"Renee"},{"family":"Tarzia","given":"Laura"},{"family":"Owen","given":"Renee"},{"family":"Eccles","given":"Corrina"},{"family":"Nicholson","given":"Kayley"},{"family":"Owen","given":"May"},{"family":"Fry","given":"Syd"},{"family":"Knox","given":"Jasmine"},{"family":"Hegarty","given":"Kelsey"}],"issued":{"date-parts":[["2020",7,2]]}}}],"schema":"https://github.com/citation-style-language/schema/raw/master/csl-citation.json"} </w:instrText>
                  </w:r>
                  <w:r w:rsidR="007F3806" w:rsidRPr="00047860">
                    <w:fldChar w:fldCharType="separate"/>
                  </w:r>
                  <w:r w:rsidR="00E41D03" w:rsidRPr="00E41D03">
                    <w:rPr>
                      <w:rFonts w:ascii="Arial" w:hAnsi="Arial" w:cs="Arial"/>
                    </w:rPr>
                    <w:t>(Brown, 2019; Fiolet et al., 2020)</w:t>
                  </w:r>
                  <w:r w:rsidR="007F3806" w:rsidRPr="00047860">
                    <w:fldChar w:fldCharType="end"/>
                  </w:r>
                  <w:r w:rsidR="007F3806" w:rsidRPr="00B03C3F">
                    <w:t>.</w:t>
                  </w:r>
                  <w:r>
                    <w:t xml:space="preserve"> Other factors </w:t>
                  </w:r>
                  <w:r w:rsidR="0038619D">
                    <w:t xml:space="preserve">identified in consultations and in the literature </w:t>
                  </w:r>
                  <w:r w:rsidR="004A3414">
                    <w:t xml:space="preserve">as supporting cultural safety include the employment and development of Aboriginal and/or Torres Strait Islander workers, </w:t>
                  </w:r>
                  <w:r w:rsidR="00F601FE" w:rsidRPr="00386368">
                    <w:rPr>
                      <w:lang w:val="en-AU"/>
                    </w:rPr>
                    <w:t>training and retention of non-Aboriginal workers (to build skills, relationships and reduce ‘churn’)</w:t>
                  </w:r>
                  <w:r w:rsidR="004A3414">
                    <w:t xml:space="preserve"> </w:t>
                  </w:r>
                  <w:r w:rsidR="00F601FE">
                    <w:t xml:space="preserve">and </w:t>
                  </w:r>
                  <w:r w:rsidR="00F601FE" w:rsidRPr="00386368">
                    <w:t>resourcing to support adaptation and creation of culturally appropriate resources (including in language)</w:t>
                  </w:r>
                  <w:r w:rsidR="00F601FE">
                    <w:t xml:space="preserve"> </w:t>
                  </w:r>
                  <w:r w:rsidR="00A77485" w:rsidRPr="00B03C3F">
                    <w:fldChar w:fldCharType="begin"/>
                  </w:r>
                  <w:r w:rsidR="00E41D03">
                    <w:instrText xml:space="preserve"> ADDIN ZOTERO_ITEM CSL_CITATION {"citationID":"umYBayMA","properties":{"formattedCitation":"(Fiolet et al., 2020)","plainCitation":"(Fiolet et al., 2020)","noteIndex":0},"citationItems":[{"id":4751,"uris":["http://zotero.org/groups/5691188/items/2HTUS7YQ"],"itemData":{"id":4751,"type":"article-journal","abstract":"Indigenous peoples face substantial barriers when accessing support for family violence. Delivering family violence resources through technological means has the potential to address barriers, but there is insufficient evidence of their acceptability and appropriateness with Indigenous populations. We interviewed 23 Australian Indigenous people to explore the acceptability of technological resources for family violence. Three focus groups then took place to determine the content and look of a potential online resource. Two main themes were developed through a process of thematic analysis. The first main theme, “They won’t feel like they are ever alone” focuses on the practicality and requirements of an online resource and contains three sub-themes. “Even if you’re poor you’ve got a phone”, “There has to be anonymity”, and “Overcoming barriers”. The second main theme “Connected, empowered and strong” is divided into two sub-themes that address the cultural requirements identified as necessary in making an online resource engaging: “A whole of community approach” and “Cultural safety and a healing space”. Indigenous people want co-designed, culturally safe and accessible online resources that provide anonymity, promote connection to culture and facilitate a healing process through drawing on Indigenous knowledge and strengths.","container-title":"Journal of Technology in Human Services","DOI":"10.1080/15228835.2020.1742272","ISSN":"1522-8835, 1522-8991","issue":"3","journalAbbreviation":"Journal of Technology in Human Services","language":"en","page":"203-225","source":"DOI.org (Crossref)","title":"Indigenous Perspectives on Using Technology as a Supportive Resource When Experiencing Family Violence","volume":"38","author":[{"family":"Fiolet","given":"Renee"},{"family":"Tarzia","given":"Laura"},{"family":"Owen","given":"Renee"},{"family":"Eccles","given":"Corrina"},{"family":"Nicholson","given":"Kayley"},{"family":"Owen","given":"May"},{"family":"Fry","given":"Syd"},{"family":"Knox","given":"Jasmine"},{"family":"Hegarty","given":"Kelsey"}],"issued":{"date-parts":[["2020",7,2]]}}}],"schema":"https://github.com/citation-style-language/schema/raw/master/csl-citation.json"} </w:instrText>
                  </w:r>
                  <w:r w:rsidR="00A77485" w:rsidRPr="00B03C3F">
                    <w:fldChar w:fldCharType="separate"/>
                  </w:r>
                  <w:r w:rsidR="00A77485" w:rsidRPr="00B03C3F">
                    <w:t>(Fiolet et al., 2020)</w:t>
                  </w:r>
                  <w:r w:rsidR="00A77485" w:rsidRPr="00B03C3F">
                    <w:fldChar w:fldCharType="end"/>
                  </w:r>
                  <w:r w:rsidR="00A77485" w:rsidRPr="00B03C3F">
                    <w:t>.</w:t>
                  </w:r>
                </w:p>
                <w:p w14:paraId="7C56F51F" w14:textId="4D084543" w:rsidR="00283495" w:rsidRPr="00047860" w:rsidRDefault="00283495" w:rsidP="00047860">
                  <w:pPr>
                    <w:pBdr>
                      <w:left w:val="single" w:sz="18" w:space="4" w:color="78B800" w:themeColor="accent1"/>
                    </w:pBdr>
                    <w:tabs>
                      <w:tab w:val="left" w:pos="8080"/>
                    </w:tabs>
                    <w:spacing w:after="0"/>
                    <w:ind w:left="851" w:right="949"/>
                    <w:rPr>
                      <w:i/>
                    </w:rPr>
                  </w:pPr>
                  <w:r w:rsidRPr="002E7992">
                    <w:rPr>
                      <w:noProof/>
                    </w:rPr>
                    <w:drawing>
                      <wp:anchor distT="0" distB="0" distL="114300" distR="114300" simplePos="0" relativeHeight="251658371" behindDoc="0" locked="1" layoutInCell="1" allowOverlap="1" wp14:anchorId="0D0512A8" wp14:editId="086282E0">
                        <wp:simplePos x="0" y="0"/>
                        <wp:positionH relativeFrom="column">
                          <wp:posOffset>0</wp:posOffset>
                        </wp:positionH>
                        <wp:positionV relativeFrom="paragraph">
                          <wp:posOffset>0</wp:posOffset>
                        </wp:positionV>
                        <wp:extent cx="384810" cy="320040"/>
                        <wp:effectExtent l="0" t="0" r="0" b="3810"/>
                        <wp:wrapNone/>
                        <wp:docPr id="1309775421" name="Graphic 1309775421" descr="P3516#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775421" name="Graphic 1309775421" descr="P3516#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B1646">
                    <w:rPr>
                      <w:i/>
                      <w:iCs/>
                    </w:rPr>
                    <w:t xml:space="preserve"> </w:t>
                  </w:r>
                  <w:r w:rsidRPr="009246D7">
                    <w:rPr>
                      <w:i/>
                      <w:iCs/>
                    </w:rPr>
                    <w:t>Big barrier</w:t>
                  </w:r>
                  <w:r w:rsidR="008909EF">
                    <w:rPr>
                      <w:i/>
                      <w:iCs/>
                    </w:rPr>
                    <w:t xml:space="preserve"> to</w:t>
                  </w:r>
                  <w:r w:rsidRPr="009246D7">
                    <w:rPr>
                      <w:i/>
                      <w:iCs/>
                    </w:rPr>
                    <w:t xml:space="preserve"> accessing services is white people. People are shy and don’t want to share. That’s where [ACCO advisory group] comes in. Our team can speak the language</w:t>
                  </w:r>
                  <w:r w:rsidR="00175D50" w:rsidRPr="009246D7">
                    <w:rPr>
                      <w:i/>
                      <w:iCs/>
                    </w:rPr>
                    <w:t>,</w:t>
                  </w:r>
                  <w:r w:rsidRPr="009246D7">
                    <w:rPr>
                      <w:i/>
                      <w:iCs/>
                    </w:rPr>
                    <w:t xml:space="preserve"> and we work alongside the white people. We work closely alongside them. They follow our advice </w:t>
                  </w:r>
                  <w:r>
                    <w:rPr>
                      <w:i/>
                      <w:iCs/>
                    </w:rPr>
                    <w:t>–</w:t>
                  </w:r>
                  <w:r>
                    <w:rPr>
                      <w:b/>
                      <w:bCs/>
                      <w:i/>
                      <w:iCs/>
                    </w:rPr>
                    <w:t xml:space="preserve"> ACCO SFVS advisory group member</w:t>
                  </w:r>
                </w:p>
                <w:p w14:paraId="6B77855A" w14:textId="77777777" w:rsidR="004D0875" w:rsidRDefault="004D0875" w:rsidP="00FD3EE1">
                  <w:pPr>
                    <w:pStyle w:val="Text"/>
                    <w:rPr>
                      <w:b/>
                      <w:color w:val="36424A" w:themeColor="accent2"/>
                    </w:rPr>
                  </w:pPr>
                </w:p>
                <w:p w14:paraId="1C09EA9B" w14:textId="67F88275" w:rsidR="009B1646" w:rsidRPr="00321BC5" w:rsidRDefault="000C7815" w:rsidP="00236A37">
                  <w:pPr>
                    <w:rPr>
                      <w:b/>
                      <w:color w:val="36424A" w:themeColor="background2"/>
                    </w:rPr>
                  </w:pPr>
                  <w:r w:rsidRPr="00321BC5">
                    <w:rPr>
                      <w:b/>
                      <w:color w:val="36424A" w:themeColor="background2"/>
                    </w:rPr>
                    <w:t>S</w:t>
                  </w:r>
                  <w:r w:rsidR="006C7F0A" w:rsidRPr="00321BC5">
                    <w:rPr>
                      <w:b/>
                      <w:color w:val="36424A" w:themeColor="background2"/>
                    </w:rPr>
                    <w:t>ervice</w:t>
                  </w:r>
                  <w:r w:rsidRPr="00321BC5">
                    <w:rPr>
                      <w:b/>
                      <w:color w:val="36424A" w:themeColor="background2"/>
                    </w:rPr>
                    <w:t xml:space="preserve"> design</w:t>
                  </w:r>
                </w:p>
                <w:p w14:paraId="46B403CE" w14:textId="7836D088" w:rsidR="00A851B3" w:rsidRPr="008A17CC" w:rsidRDefault="000B574D" w:rsidP="000B574D">
                  <w:pPr>
                    <w:pStyle w:val="Text"/>
                  </w:pPr>
                  <w:r w:rsidRPr="000B574D">
                    <w:t xml:space="preserve">A key focus </w:t>
                  </w:r>
                  <w:r w:rsidR="00A73F88">
                    <w:t xml:space="preserve">for the ACCO service providers receiving SFVS funding is the delivery of services which </w:t>
                  </w:r>
                  <w:r w:rsidR="00BE5B0B" w:rsidRPr="008A17CC">
                    <w:t xml:space="preserve">embed a </w:t>
                  </w:r>
                  <w:r w:rsidR="00A73F88" w:rsidRPr="008A17CC">
                    <w:t>multi-layered, holistic, family-based, whole-of-community, whole-of-</w:t>
                  </w:r>
                  <w:r w:rsidR="00582646" w:rsidRPr="008A17CC">
                    <w:t>life course</w:t>
                  </w:r>
                  <w:r w:rsidR="00A73F88" w:rsidRPr="008A17CC">
                    <w:t xml:space="preserve"> approach</w:t>
                  </w:r>
                  <w:r w:rsidR="00BE5B0B" w:rsidRPr="008A17CC">
                    <w:t>. These approaches re</w:t>
                  </w:r>
                  <w:r w:rsidR="00E81BB8" w:rsidRPr="008A17CC">
                    <w:t>flect three dimensions which are consistent with best practice identified in the literature:</w:t>
                  </w:r>
                </w:p>
                <w:p w14:paraId="36638435" w14:textId="63D1F43E" w:rsidR="00E81BB8" w:rsidRPr="00864CFC" w:rsidRDefault="00611A3A" w:rsidP="00146760">
                  <w:pPr>
                    <w:pStyle w:val="Text"/>
                    <w:numPr>
                      <w:ilvl w:val="0"/>
                      <w:numId w:val="66"/>
                    </w:numPr>
                    <w:rPr>
                      <w:b/>
                      <w:bCs/>
                    </w:rPr>
                  </w:pPr>
                  <w:r>
                    <w:rPr>
                      <w:b/>
                      <w:bCs/>
                    </w:rPr>
                    <w:t>‘</w:t>
                  </w:r>
                  <w:r w:rsidR="002D413E" w:rsidRPr="00864CFC">
                    <w:rPr>
                      <w:b/>
                      <w:bCs/>
                    </w:rPr>
                    <w:t>Whole</w:t>
                  </w:r>
                  <w:r w:rsidR="004F2B3B">
                    <w:rPr>
                      <w:b/>
                      <w:bCs/>
                    </w:rPr>
                    <w:t>-</w:t>
                  </w:r>
                  <w:r w:rsidR="002D413E" w:rsidRPr="00864CFC">
                    <w:rPr>
                      <w:b/>
                      <w:bCs/>
                    </w:rPr>
                    <w:t>of</w:t>
                  </w:r>
                  <w:r w:rsidR="004F2B3B">
                    <w:rPr>
                      <w:b/>
                      <w:bCs/>
                    </w:rPr>
                    <w:t>-</w:t>
                  </w:r>
                  <w:r w:rsidR="002D413E" w:rsidRPr="00864CFC">
                    <w:rPr>
                      <w:b/>
                      <w:bCs/>
                    </w:rPr>
                    <w:t>community approach</w:t>
                  </w:r>
                  <w:r>
                    <w:rPr>
                      <w:b/>
                      <w:bCs/>
                    </w:rPr>
                    <w:t>’</w:t>
                  </w:r>
                </w:p>
                <w:p w14:paraId="03E41A1B" w14:textId="53919DE0" w:rsidR="00734605" w:rsidRDefault="004446F3" w:rsidP="00734605">
                  <w:pPr>
                    <w:pStyle w:val="Text"/>
                  </w:pPr>
                  <w:r w:rsidRPr="008A17CC">
                    <w:t>Aboriginal and Torres Strait Islander peoples recognise family violence as affecting not only individuals but also families, communities, and cultural well-being</w:t>
                  </w:r>
                  <w:r w:rsidR="00F15259">
                    <w:t xml:space="preserve">, and </w:t>
                  </w:r>
                  <w:r w:rsidR="00F15259">
                    <w:rPr>
                      <w:lang w:val="en-AU"/>
                    </w:rPr>
                    <w:t>value</w:t>
                  </w:r>
                  <w:r w:rsidR="00F15259" w:rsidRPr="00F15259">
                    <w:rPr>
                      <w:lang w:val="en-AU"/>
                    </w:rPr>
                    <w:t xml:space="preserve"> resources that serve not only survivors but also p</w:t>
                  </w:r>
                  <w:r w:rsidR="00BD2DE7">
                    <w:rPr>
                      <w:lang w:val="en-AU"/>
                    </w:rPr>
                    <w:t>eople who use violence</w:t>
                  </w:r>
                  <w:r w:rsidR="00F15259" w:rsidRPr="00F15259">
                    <w:rPr>
                      <w:lang w:val="en-AU"/>
                    </w:rPr>
                    <w:t xml:space="preserve"> and other family members affected by violence</w:t>
                  </w:r>
                  <w:r w:rsidRPr="008A17CC">
                    <w:t xml:space="preserve"> </w:t>
                  </w:r>
                  <w:r w:rsidRPr="008A17CC">
                    <w:fldChar w:fldCharType="begin"/>
                  </w:r>
                  <w:r w:rsidR="00E41D03">
                    <w:instrText xml:space="preserve"> ADDIN ZOTERO_ITEM CSL_CITATION {"citationID":"J5aDyxOK","properties":{"formattedCitation":"(Fiolet et al., 2021)","plainCitation":"(Fiolet et al., 2021)","noteIndex":0},"citationItems":[{"id":4749,"uris":["http://zotero.org/groups/5691188/items/F2WNL27Y"],"itemData":{"id":4749,"type":"article-journal","abstract":"Indigenous peoples experience high rates of family violence (FV) yet are said to access support at lower rates than their non-Indigenous counterparts. There is an absence of Indigenous voices regarding their help-seeking behaviors for FV, particularly concerning men’s views. The aim of this research was to seek Indigenous perspectives on their help-seeking behaviors for FV. Individual, face-to-face semistructured interviews took place with 23 Indigenous Australians (14 women and 9 men) recruited from one large community in Victoria, Australia. Interviews were audiotaped and transcribed verbatim. Data were categorized and organized, and themes were identified using thematic analysis. Five main themes emerged from the data. “You’re Aboriginal, so that’s just how it is” describes the experiences with discrimination and judgment that create general barriers for Indigenous peoples to access services. The second theme “putting a big blanket over it” articulates the role that shame plays in deterring support-seeking for FV. “How do you trust somebody?” defines the fear in the hearts and minds of Indigenous participants who contemplate help-seeking. A further main theme of “someone that they could have a yarn with” explores what occurs when participants initially decide to seek support. Their thoughts on what participants want from interactions with formal services are explored in the final theme “a safe space.” Significant barriers to seeking support for FV exist for Indigenous peoples, including discrimination, shame, and fear. Service providers need to work on addressing these barriers through an increased understanding of Indigenous experiences and beliefs in an effort to encourage help-seeking behaviors. Interventions to assist kin in dealing with FV and for service providers to create safe spaces are urgent. More research informed by Indigenous voices is needed.","container-title":"Journal of Interpersonal Violence","DOI":"10.1177/0886260519883861","ISSN":"0886-2605, 1552-6518","issue":"21-22","journalAbbreviation":"J Interpers Violence","language":"en","page":"10128-10146","source":"DOI.org (Crossref)","title":"Indigenous Perspectives on Help-Seeking for Family Violence: Voices From an Australian Community","title-short":"Indigenous Perspectives on Help-Seeking for Family Violence","volume":"36","author":[{"family":"Fiolet","given":"Renee"},{"family":"Tarzia","given":"Laura"},{"family":"Owen","given":"Renee"},{"family":"Eccles","given":"Corrina"},{"family":"Nicholson","given":"Kayley"},{"family":"Owen","given":"May"},{"family":"Fry","given":"Syd"},{"family":"Knox","given":"Jasmine"},{"family":"Hegarty","given":"Kelsey"}],"issued":{"date-parts":[["2021",11]]}}}],"schema":"https://github.com/citation-style-language/schema/raw/master/csl-citation.json"} </w:instrText>
                  </w:r>
                  <w:r w:rsidRPr="008A17CC">
                    <w:fldChar w:fldCharType="separate"/>
                  </w:r>
                  <w:r w:rsidRPr="008A17CC">
                    <w:rPr>
                      <w:rFonts w:ascii="Arial" w:hAnsi="Arial" w:cs="Arial"/>
                    </w:rPr>
                    <w:t>(Fiolet et al., 2021)</w:t>
                  </w:r>
                  <w:r w:rsidRPr="008A17CC">
                    <w:fldChar w:fldCharType="end"/>
                  </w:r>
                  <w:r w:rsidRPr="008A17CC">
                    <w:t>.</w:t>
                  </w:r>
                  <w:r w:rsidR="00A54660" w:rsidRPr="00BF7727">
                    <w:t xml:space="preserve"> </w:t>
                  </w:r>
                  <w:r w:rsidR="00EB7AA6" w:rsidRPr="00BF7727">
                    <w:t>Better practice approaches</w:t>
                  </w:r>
                  <w:r w:rsidR="00EB7AA6" w:rsidRPr="008A17CC">
                    <w:t xml:space="preserve"> </w:t>
                  </w:r>
                  <w:r w:rsidR="008A17CC" w:rsidRPr="008A17CC">
                    <w:t>reflect the interconnected family structures and ensure inclusivity of all family members</w:t>
                  </w:r>
                  <w:r w:rsidR="00312B6B">
                    <w:t xml:space="preserve"> </w:t>
                  </w:r>
                  <w:r w:rsidR="00C21148" w:rsidRPr="00C21148">
                    <w:fldChar w:fldCharType="begin"/>
                  </w:r>
                  <w:r w:rsidR="00E41D03">
                    <w:instrText xml:space="preserve"> ADDIN ZOTERO_ITEM CSL_CITATION {"citationID":"aml3uqad0r","properties":{"formattedCitation":"(Brown, 2019; Fiolet et al., 2021)","plainCitation":"(Brown, 2019; Fiolet et al., 2021)","noteIndex":0},"citationItems":[{"id":4730,"uris":["http://zotero.org/groups/5691188/items/PWD65I9Q"],"itemData":{"id":4730,"type":"report","publisher":"Centre for Aboriginal Economic Policy Research Australian National University","title":"Hopeful Together Strong – Inspiring Optimism for Future Generations Principles of Good Practice to Prevent Violence against women in the Northern Territory","author":[{"family":"Brown","given":"Chay"}],"issued":{"date-parts":[["2019"]]}}},{"id":4749,"uris":["http://zotero.org/groups/5691188/items/F2WNL27Y"],"itemData":{"id":4749,"type":"article-journal","abstract":"Indigenous peoples experience high rates of family violence (FV) yet are said to access support at lower rates than their non-Indigenous counterparts. There is an absence of Indigenous voices regarding their help-seeking behaviors for FV, particularly concerning men’s views. The aim of this research was to seek Indigenous perspectives on their help-seeking behaviors for FV. Individual, face-to-face semistructured interviews took place with 23 Indigenous Australians (14 women and 9 men) recruited from one large community in Victoria, Australia. Interviews were audiotaped and transcribed verbatim. Data were categorized and organized, and themes were identified using thematic analysis. Five main themes emerged from the data. “You’re Aboriginal, so that’s just how it is” describes the experiences with discrimination and judgment that create general barriers for Indigenous peoples to access services. The second theme “putting a big blanket over it” articulates the role that shame plays in deterring support-seeking for FV. “How do you trust somebody?” defines the fear in the hearts and minds of Indigenous participants who contemplate help-seeking. A further main theme of “someone that they could have a yarn with” explores what occurs when participants initially decide to seek support. Their thoughts on what participants want from interactions with formal services are explored in the final theme “a safe space.” Significant barriers to seeking support for FV exist for Indigenous peoples, including discrimination, shame, and fear. Service providers need to work on addressing these barriers through an increased understanding of Indigenous experiences and beliefs in an effort to encourage help-seeking behaviors. Interventions to assist kin in dealing with FV and for service providers to create safe spaces are urgent. More research informed by Indigenous voices is needed.","container-title":"Journal of Interpersonal Violence","DOI":"10.1177/0886260519883861","ISSN":"0886-2605, 1552-6518","issue":"21-22","journalAbbreviation":"J Interpers Violence","language":"en","page":"10128-10146","source":"DOI.org (Crossref)","title":"Indigenous Perspectives on Help-Seeking for Family Violence: Voices From an Australian Community","title-short":"Indigenous Perspectives on Help-Seeking for Family Violence","volume":"36","author":[{"family":"Fiolet","given":"Renee"},{"family":"Tarzia","given":"Laura"},{"family":"Owen","given":"Renee"},{"family":"Eccles","given":"Corrina"},{"family":"Nicholson","given":"Kayley"},{"family":"Owen","given":"May"},{"family":"Fry","given":"Syd"},{"family":"Knox","given":"Jasmine"},{"family":"Hegarty","given":"Kelsey"}],"issued":{"date-parts":[["2021",11]]}}}],"schema":"https://github.com/citation-style-language/schema/raw/master/csl-citation.json"} </w:instrText>
                  </w:r>
                  <w:r w:rsidR="00C21148" w:rsidRPr="00C21148">
                    <w:fldChar w:fldCharType="separate"/>
                  </w:r>
                  <w:r w:rsidR="00AC138C" w:rsidRPr="00AC138C">
                    <w:rPr>
                      <w:rFonts w:ascii="Arial" w:hAnsi="Arial" w:cs="Arial"/>
                    </w:rPr>
                    <w:t>(Brown, 2019; Fiolet et al., 2021)</w:t>
                  </w:r>
                  <w:r w:rsidR="00C21148" w:rsidRPr="00C21148">
                    <w:fldChar w:fldCharType="end"/>
                  </w:r>
                  <w:r w:rsidR="00C21148">
                    <w:t xml:space="preserve">. </w:t>
                  </w:r>
                </w:p>
                <w:p w14:paraId="5BBFF5F0" w14:textId="640EB68F" w:rsidR="00B81600" w:rsidRPr="009E02F2" w:rsidRDefault="00021088" w:rsidP="00340FB0">
                  <w:pPr>
                    <w:pStyle w:val="Text"/>
                    <w:rPr>
                      <w:lang w:val="en-US"/>
                    </w:rPr>
                  </w:pPr>
                  <w:r>
                    <w:rPr>
                      <w:lang w:val="en-US"/>
                    </w:rPr>
                    <w:t>ACCOs</w:t>
                  </w:r>
                  <w:r w:rsidR="000E0DDB">
                    <w:rPr>
                      <w:lang w:val="en-US"/>
                    </w:rPr>
                    <w:t xml:space="preserve"> as well as </w:t>
                  </w:r>
                  <w:r w:rsidR="001C23D7">
                    <w:rPr>
                      <w:lang w:val="en-US"/>
                    </w:rPr>
                    <w:t>service users</w:t>
                  </w:r>
                  <w:r w:rsidR="000E0DDB">
                    <w:rPr>
                      <w:lang w:val="en-US"/>
                    </w:rPr>
                    <w:t xml:space="preserve"> engaged </w:t>
                  </w:r>
                  <w:r w:rsidR="00DD2645">
                    <w:rPr>
                      <w:lang w:val="en-US"/>
                    </w:rPr>
                    <w:t>during th</w:t>
                  </w:r>
                  <w:r w:rsidR="00910BBE">
                    <w:rPr>
                      <w:lang w:val="en-US"/>
                    </w:rPr>
                    <w:t>is</w:t>
                  </w:r>
                  <w:r w:rsidR="00DD2645">
                    <w:rPr>
                      <w:lang w:val="en-US"/>
                    </w:rPr>
                    <w:t xml:space="preserve"> evaluation</w:t>
                  </w:r>
                  <w:r>
                    <w:rPr>
                      <w:lang w:val="en-US"/>
                    </w:rPr>
                    <w:t xml:space="preserve"> identified a </w:t>
                  </w:r>
                  <w:r w:rsidR="00D064B6">
                    <w:rPr>
                      <w:lang w:val="en-US"/>
                    </w:rPr>
                    <w:t>critical need for</w:t>
                  </w:r>
                  <w:r>
                    <w:rPr>
                      <w:lang w:val="en-US"/>
                    </w:rPr>
                    <w:t xml:space="preserve"> servi</w:t>
                  </w:r>
                  <w:r w:rsidR="000E0DDB">
                    <w:rPr>
                      <w:lang w:val="en-US"/>
                    </w:rPr>
                    <w:t xml:space="preserve">ces and programs which work with men to prevent violence and hold men who use violence to account. </w:t>
                  </w:r>
                  <w:r w:rsidR="00D064B6">
                    <w:rPr>
                      <w:lang w:val="en-US"/>
                    </w:rPr>
                    <w:t xml:space="preserve">ACCOs highlighted </w:t>
                  </w:r>
                  <w:r w:rsidR="00B30396">
                    <w:rPr>
                      <w:lang w:val="en-US"/>
                    </w:rPr>
                    <w:t>a</w:t>
                  </w:r>
                  <w:r w:rsidR="00D064B6">
                    <w:rPr>
                      <w:lang w:val="en-US"/>
                    </w:rPr>
                    <w:t xml:space="preserve"> gap in the availability and accessibility of </w:t>
                  </w:r>
                  <w:r w:rsidR="008568A4">
                    <w:rPr>
                      <w:lang w:val="en-US"/>
                    </w:rPr>
                    <w:t>MBCPs</w:t>
                  </w:r>
                  <w:r w:rsidR="00D064B6">
                    <w:rPr>
                      <w:lang w:val="en-US"/>
                    </w:rPr>
                    <w:t xml:space="preserve"> and men’s parenting programs. </w:t>
                  </w:r>
                  <w:r w:rsidR="004E0D09" w:rsidRPr="00B03C3F">
                    <w:t xml:space="preserve">Support for men should be based in holistic, whole-of-person </w:t>
                  </w:r>
                  <w:r w:rsidR="004E0D09" w:rsidRPr="00B03C3F">
                    <w:lastRenderedPageBreak/>
                    <w:t>approaches and focus on a range of areas including fathering, mental health, alcohol and other drugs, community integration after leaving prison, and health</w:t>
                  </w:r>
                  <w:r w:rsidR="002E6A9F">
                    <w:t>y</w:t>
                  </w:r>
                  <w:r w:rsidR="004E0D09" w:rsidRPr="00B03C3F">
                    <w:t xml:space="preserve"> relationships. Programs should be transparent and involve community input, be non-shaming and non-judgemental, and centre victim-survivor voices</w:t>
                  </w:r>
                  <w:r w:rsidR="00D064B6">
                    <w:t xml:space="preserve"> </w:t>
                  </w:r>
                  <w:r w:rsidR="00D064B6" w:rsidRPr="00B03C3F">
                    <w:fldChar w:fldCharType="begin"/>
                  </w:r>
                  <w:r w:rsidR="00E41D03">
                    <w:instrText xml:space="preserve"> ADDIN ZOTERO_ITEM CSL_CITATION {"citationID":"PvlRigXr","properties":{"formattedCitation":"(Brown, 2019)","plainCitation":"(Brown, 2019)","noteIndex":0},"citationItems":[{"id":4730,"uris":["http://zotero.org/groups/5691188/items/PWD65I9Q"],"itemData":{"id":4730,"type":"report","publisher":"Centre for Aboriginal Economic Policy Research Australian National University","title":"Hopeful Together Strong – Inspiring Optimism for Future Generations Principles of Good Practice to Prevent Violence against women in the Northern Territory","author":[{"family":"Brown","given":"Chay"}],"issued":{"date-parts":[["2019"]]}}}],"schema":"https://github.com/citation-style-language/schema/raw/master/csl-citation.json"} </w:instrText>
                  </w:r>
                  <w:r w:rsidR="00D064B6" w:rsidRPr="00B03C3F">
                    <w:fldChar w:fldCharType="separate"/>
                  </w:r>
                  <w:r w:rsidR="00D064B6" w:rsidRPr="00B03C3F">
                    <w:t>(Brown, 2019)</w:t>
                  </w:r>
                  <w:r w:rsidR="00D064B6" w:rsidRPr="00B03C3F">
                    <w:fldChar w:fldCharType="end"/>
                  </w:r>
                  <w:r w:rsidR="004E0D09" w:rsidRPr="00B03C3F">
                    <w:t>.</w:t>
                  </w:r>
                </w:p>
                <w:p w14:paraId="36AD1205" w14:textId="34DE2649" w:rsidR="00B81600" w:rsidRPr="007B623E" w:rsidRDefault="00B81600" w:rsidP="00B81600">
                  <w:pPr>
                    <w:pBdr>
                      <w:left w:val="single" w:sz="18" w:space="4" w:color="78B800" w:themeColor="accent1"/>
                    </w:pBdr>
                    <w:tabs>
                      <w:tab w:val="left" w:pos="8080"/>
                    </w:tabs>
                    <w:spacing w:after="0"/>
                    <w:ind w:left="851" w:right="949"/>
                    <w:rPr>
                      <w:i/>
                    </w:rPr>
                  </w:pPr>
                  <w:r w:rsidRPr="002E7992">
                    <w:rPr>
                      <w:noProof/>
                    </w:rPr>
                    <w:drawing>
                      <wp:anchor distT="0" distB="0" distL="114300" distR="114300" simplePos="0" relativeHeight="251658372" behindDoc="0" locked="1" layoutInCell="1" allowOverlap="1" wp14:anchorId="28990AB5" wp14:editId="24835899">
                        <wp:simplePos x="0" y="0"/>
                        <wp:positionH relativeFrom="column">
                          <wp:posOffset>0</wp:posOffset>
                        </wp:positionH>
                        <wp:positionV relativeFrom="paragraph">
                          <wp:posOffset>0</wp:posOffset>
                        </wp:positionV>
                        <wp:extent cx="384810" cy="320040"/>
                        <wp:effectExtent l="0" t="0" r="0" b="3810"/>
                        <wp:wrapNone/>
                        <wp:docPr id="1315310948" name="Graphic 1315310948" descr="P3523#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310948" name="Graphic 1315310948" descr="P3523#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6514C">
                    <w:rPr>
                      <w:i/>
                      <w:iCs/>
                    </w:rPr>
                    <w:t xml:space="preserve"> </w:t>
                  </w:r>
                  <w:r w:rsidRPr="003F55D5">
                    <w:rPr>
                      <w:i/>
                      <w:iCs/>
                    </w:rPr>
                    <w:t xml:space="preserve">Everyone is screaming out for </w:t>
                  </w:r>
                  <w:r w:rsidR="00C86BBE">
                    <w:rPr>
                      <w:i/>
                      <w:iCs/>
                    </w:rPr>
                    <w:t>[MBCPs]</w:t>
                  </w:r>
                  <w:r w:rsidRPr="003F55D5">
                    <w:rPr>
                      <w:i/>
                      <w:iCs/>
                    </w:rPr>
                    <w:t>. We don’t have that service</w:t>
                  </w:r>
                  <w:r w:rsidRPr="009246D7">
                    <w:rPr>
                      <w:i/>
                      <w:iCs/>
                    </w:rPr>
                    <w:t xml:space="preserve"> </w:t>
                  </w:r>
                  <w:r>
                    <w:rPr>
                      <w:i/>
                      <w:iCs/>
                    </w:rPr>
                    <w:t>–</w:t>
                  </w:r>
                  <w:r>
                    <w:rPr>
                      <w:b/>
                      <w:bCs/>
                      <w:i/>
                      <w:iCs/>
                    </w:rPr>
                    <w:t xml:space="preserve"> ACCO SFVS service provider</w:t>
                  </w:r>
                </w:p>
                <w:p w14:paraId="60EA931F" w14:textId="77777777" w:rsidR="00B81600" w:rsidRPr="00410BB2" w:rsidRDefault="00B81600" w:rsidP="00734605">
                  <w:pPr>
                    <w:pStyle w:val="Text"/>
                    <w:rPr>
                      <w:lang w:val="en-AU"/>
                    </w:rPr>
                  </w:pPr>
                </w:p>
                <w:p w14:paraId="277D6870" w14:textId="77777777" w:rsidR="008A2494" w:rsidRPr="00864CFC" w:rsidRDefault="008A2494" w:rsidP="00D52990">
                  <w:pPr>
                    <w:pStyle w:val="Text"/>
                    <w:numPr>
                      <w:ilvl w:val="0"/>
                      <w:numId w:val="66"/>
                    </w:numPr>
                    <w:rPr>
                      <w:b/>
                      <w:bCs/>
                    </w:rPr>
                  </w:pPr>
                  <w:r w:rsidRPr="00864CFC">
                    <w:rPr>
                      <w:b/>
                      <w:bCs/>
                    </w:rPr>
                    <w:t>Trauma-informed, strengths-based programs</w:t>
                  </w:r>
                </w:p>
                <w:p w14:paraId="23E33D7A" w14:textId="74056C18" w:rsidR="00CB14E1" w:rsidRDefault="00734605" w:rsidP="00CB14E1">
                  <w:pPr>
                    <w:pStyle w:val="Text"/>
                  </w:pPr>
                  <w:r w:rsidRPr="00172382">
                    <w:t xml:space="preserve">High rates of violence in </w:t>
                  </w:r>
                  <w:r w:rsidR="00466C77" w:rsidRPr="00172382">
                    <w:t>some Aboriginal and Torres Strait Islander</w:t>
                  </w:r>
                  <w:r w:rsidRPr="00172382">
                    <w:t xml:space="preserve"> communities are </w:t>
                  </w:r>
                  <w:r w:rsidR="00B636F6">
                    <w:t>linked</w:t>
                  </w:r>
                  <w:r w:rsidRPr="00172382">
                    <w:t xml:space="preserve"> with historical and social factors, including intergenerational trauma from colonisation, systemic discrimination, and socioeconomic challenges </w:t>
                  </w:r>
                  <w:r w:rsidRPr="00172382">
                    <w:fldChar w:fldCharType="begin"/>
                  </w:r>
                  <w:r w:rsidR="00E41D03">
                    <w:instrText xml:space="preserve"> ADDIN ZOTERO_ITEM CSL_CITATION {"citationID":"ToafRgsj","properties":{"formattedCitation":"(Australian Human Rights Commission, 2020; Langton and Smith, 2020)","plainCitation":"(Australian Human Rights Commission, 2020; Langton and Smith, 2020)","noteIndex":0},"citationItems":[{"id":4731,"uris":["http://zotero.org/groups/5691188/items/L3P8HXT6"],"itemData":{"id":4731,"type":"report","publisher":"Australian Human Rights Commission","title":"Wiyi Yani U Thangani (Women’s Voices): Securing Our Rights, Securing Our Future Report","author":[{"family":"Australian Human Rights Commission","given":""}],"issued":{"date-parts":[["2020"]]}}},{"id":4616,"uris":["http://zotero.org/groups/5691188/items/KHXS9HZ8"],"itemData":{"id":4616,"type":"article-journal","DOI":"10.13140/RG.2.2.16383.33441","language":"en","note":"publisher: Australia’s National Research Organisation for Women’s Safety Limited","source":"DOI.org (Datacite)","title":"Improving family violence legal and support services for Aboriginal and Torres Strait Islander women","URL":"http://rgdoi.net/10.13140/RG.2.2.16383.33441","author":[{"family":"Langton","given":"Marcia"},{"family":"Smith","given":"Kristen"}],"accessed":{"date-parts":[["2024",10,7]]},"issued":{"date-parts":[["2020"]]}}}],"schema":"https://github.com/citation-style-language/schema/raw/master/csl-citation.json"} </w:instrText>
                  </w:r>
                  <w:r w:rsidRPr="00172382">
                    <w:fldChar w:fldCharType="separate"/>
                  </w:r>
                  <w:r w:rsidRPr="00172382">
                    <w:rPr>
                      <w:rFonts w:ascii="Arial" w:hAnsi="Arial" w:cs="Arial"/>
                    </w:rPr>
                    <w:t>(Australian Human Rights Commission, 2020; Langton and Smith, 2020)</w:t>
                  </w:r>
                  <w:r w:rsidRPr="00172382">
                    <w:fldChar w:fldCharType="end"/>
                  </w:r>
                  <w:r w:rsidRPr="00172382">
                    <w:t>.</w:t>
                  </w:r>
                  <w:r w:rsidR="00CD566F" w:rsidRPr="00172382">
                    <w:t xml:space="preserve"> </w:t>
                  </w:r>
                  <w:r w:rsidR="00172382" w:rsidRPr="00172382">
                    <w:t xml:space="preserve">Many Aboriginal and Torres Strait Islander families experience intergenerational trauma, which can manifest as psychological distress, substance misuse, and violence. </w:t>
                  </w:r>
                  <w:r w:rsidR="00CD566F" w:rsidRPr="00172382">
                    <w:t>T</w:t>
                  </w:r>
                  <w:r w:rsidR="00CB14E1" w:rsidRPr="00172382">
                    <w:t xml:space="preserve">he ongoing impact of colonisation and associated trauma presents a barrier to </w:t>
                  </w:r>
                  <w:r w:rsidR="00CD566F" w:rsidRPr="00172382">
                    <w:t xml:space="preserve">some </w:t>
                  </w:r>
                  <w:r w:rsidR="00CB14E1" w:rsidRPr="00172382">
                    <w:t>traditional models</w:t>
                  </w:r>
                  <w:r w:rsidR="00CD566F" w:rsidRPr="00172382">
                    <w:t xml:space="preserve"> of care</w:t>
                  </w:r>
                  <w:r w:rsidR="00CE784C">
                    <w:t>.</w:t>
                  </w:r>
                  <w:r w:rsidR="001C23D7">
                    <w:t xml:space="preserve"> </w:t>
                  </w:r>
                  <w:r w:rsidR="00CE784C">
                    <w:t>I</w:t>
                  </w:r>
                  <w:r w:rsidR="00CB14E1" w:rsidRPr="00172382">
                    <w:t xml:space="preserve">nterventions that recognise this historical context are better suited to meet the mental and emotional health needs of </w:t>
                  </w:r>
                  <w:r w:rsidR="00E614D3">
                    <w:rPr>
                      <w:rFonts w:ascii="Arial" w:eastAsia="Arial" w:hAnsi="Arial" w:cs="Arial"/>
                      <w:szCs w:val="22"/>
                    </w:rPr>
                    <w:t>Aboriginal and Torres Strait Islander</w:t>
                  </w:r>
                  <w:r w:rsidR="00CB14E1" w:rsidRPr="00172382">
                    <w:t xml:space="preserve"> parents and children </w:t>
                  </w:r>
                  <w:r w:rsidR="00CB14E1" w:rsidRPr="00172382">
                    <w:fldChar w:fldCharType="begin"/>
                  </w:r>
                  <w:r w:rsidR="00E41D03">
                    <w:instrText xml:space="preserve"> ADDIN ZOTERO_ITEM CSL_CITATION {"citationID":"Bdj3px1N","properties":{"formattedCitation":"(Strobel et al., 2022)","plainCitation":"(Strobel et al., 2022)","noteIndex":0},"citationItems":[{"id":4637,"uris":["http://zotero.org/groups/5691188/items/FUJPJ3S3"],"itemData":{"id":4637,"type":"article-journal","container-title":"Cochrane Database of Systematic Reviews","DOI":"10.1002/14651858.CD012463.pub2","ISSN":"14651858","issue":"12","language":"en","source":"DOI.org (Crossref)","title":"Family-centred interventions for Indigenous early childhood well-being by primary healthcare services","URL":"http://doi.wiley.com/10.1002/14651858.CD012463.pub2","volume":"2022","editor":[{"literal":"Cochrane Consumers and Communication Group"}],"author":[{"family":"Strobel","given":"Natalie A"},{"family":"Chamberlain","given":"Catherine"},{"family":"Campbell","given":"Sandra K"},{"family":"Shields","given":"Linda"},{"family":"Bainbridge","given":"Roxanne G"},{"family":"Adams","given":"Claire"},{"family":"Edmond","given":"Karen M"},{"family":"Marriott","given":"Rhonda"},{"family":"McCalman","given":"Janya"}],"accessed":{"date-parts":[["2024",10,4]]},"issued":{"date-parts":[["2022",12,13]]}}}],"schema":"https://github.com/citation-style-language/schema/raw/master/csl-citation.json"} </w:instrText>
                  </w:r>
                  <w:r w:rsidR="00CB14E1" w:rsidRPr="00172382">
                    <w:fldChar w:fldCharType="separate"/>
                  </w:r>
                  <w:r w:rsidR="00CB14E1" w:rsidRPr="00172382">
                    <w:rPr>
                      <w:rFonts w:ascii="Arial" w:hAnsi="Arial" w:cs="Arial"/>
                    </w:rPr>
                    <w:t>(Strobel et al., 2022)</w:t>
                  </w:r>
                  <w:r w:rsidR="00CB14E1" w:rsidRPr="00172382">
                    <w:fldChar w:fldCharType="end"/>
                  </w:r>
                  <w:r w:rsidR="00CB14E1" w:rsidRPr="00172382">
                    <w:t>.</w:t>
                  </w:r>
                  <w:r w:rsidR="00CB14E1" w:rsidRPr="005716DC">
                    <w:t xml:space="preserve"> </w:t>
                  </w:r>
                </w:p>
                <w:p w14:paraId="2D478245" w14:textId="6C64D208" w:rsidR="000467B9" w:rsidRPr="002C2D37" w:rsidRDefault="00F67F5A" w:rsidP="000467B9">
                  <w:pPr>
                    <w:pStyle w:val="Text"/>
                  </w:pPr>
                  <w:r>
                    <w:t xml:space="preserve">Consistent with best practice </w:t>
                  </w:r>
                  <w:r w:rsidR="00C21148" w:rsidRPr="00C21148">
                    <w:fldChar w:fldCharType="begin"/>
                  </w:r>
                  <w:r w:rsidR="00E41D03">
                    <w:instrText xml:space="preserve"> ADDIN ZOTERO_ITEM CSL_CITATION {"citationID":"e3A99PTD","properties":{"formattedCitation":"(Brown, 2019; Fiolet et al., 2021)","plainCitation":"(Brown, 2019; Fiolet et al., 2021)","noteIndex":0},"citationItems":[{"id":4730,"uris":["http://zotero.org/groups/5691188/items/PWD65I9Q"],"itemData":{"id":4730,"type":"report","publisher":"Centre for Aboriginal Economic Policy Research Australian National University","title":"Hopeful Together Strong – Inspiring Optimism for Future Generations Principles of Good Practice to Prevent Violence against women in the Northern Territory","author":[{"family":"Brown","given":"Chay"}],"issued":{"date-parts":[["2019"]]}}},{"id":4749,"uris":["http://zotero.org/groups/5691188/items/F2WNL27Y"],"itemData":{"id":4749,"type":"article-journal","abstract":"Indigenous peoples experience high rates of family violence (FV) yet are said to access support at lower rates than their non-Indigenous counterparts. There is an absence of Indigenous voices regarding their help-seeking behaviors for FV, particularly concerning men’s views. The aim of this research was to seek Indigenous perspectives on their help-seeking behaviors for FV. Individual, face-to-face semistructured interviews took place with 23 Indigenous Australians (14 women and 9 men) recruited from one large community in Victoria, Australia. Interviews were audiotaped and transcribed verbatim. Data were categorized and organized, and themes were identified using thematic analysis. Five main themes emerged from the data. “You’re Aboriginal, so that’s just how it is” describes the experiences with discrimination and judgment that create general barriers for Indigenous peoples to access services. The second theme “putting a big blanket over it” articulates the role that shame plays in deterring support-seeking for FV. “How do you trust somebody?” defines the fear in the hearts and minds of Indigenous participants who contemplate help-seeking. A further main theme of “someone that they could have a yarn with” explores what occurs when participants initially decide to seek support. Their thoughts on what participants want from interactions with formal services are explored in the final theme “a safe space.” Significant barriers to seeking support for FV exist for Indigenous peoples, including discrimination, shame, and fear. Service providers need to work on addressing these barriers through an increased understanding of Indigenous experiences and beliefs in an effort to encourage help-seeking behaviors. Interventions to assist kin in dealing with FV and for service providers to create safe spaces are urgent. More research informed by Indigenous voices is needed.","container-title":"Journal of Interpersonal Violence","DOI":"10.1177/0886260519883861","ISSN":"0886-2605, 1552-6518","issue":"21-22","journalAbbreviation":"J Interpers Violence","language":"en","page":"10128-10146","source":"DOI.org (Crossref)","title":"Indigenous Perspectives on Help-Seeking for Family Violence: Voices From an Australian Community","title-short":"Indigenous Perspectives on Help-Seeking for Family Violence","volume":"36","author":[{"family":"Fiolet","given":"Renee"},{"family":"Tarzia","given":"Laura"},{"family":"Owen","given":"Renee"},{"family":"Eccles","given":"Corrina"},{"family":"Nicholson","given":"Kayley"},{"family":"Owen","given":"May"},{"family":"Fry","given":"Syd"},{"family":"Knox","given":"Jasmine"},{"family":"Hegarty","given":"Kelsey"}],"issued":{"date-parts":[["2021",11]]}}}],"schema":"https://github.com/citation-style-language/schema/raw/master/csl-citation.json"} </w:instrText>
                  </w:r>
                  <w:r w:rsidR="00C21148" w:rsidRPr="00C21148">
                    <w:fldChar w:fldCharType="separate"/>
                  </w:r>
                  <w:r w:rsidR="00AC138C" w:rsidRPr="00AC138C">
                    <w:rPr>
                      <w:rFonts w:ascii="Arial" w:hAnsi="Arial" w:cs="Arial"/>
                    </w:rPr>
                    <w:t>(Brown, 2019; Fiolet et al., 2021)</w:t>
                  </w:r>
                  <w:r w:rsidR="00C21148" w:rsidRPr="00C21148">
                    <w:fldChar w:fldCharType="end"/>
                  </w:r>
                  <w:r w:rsidR="00B901F8">
                    <w:t xml:space="preserve"> and with </w:t>
                  </w:r>
                  <w:r w:rsidR="00025B5C">
                    <w:t xml:space="preserve">Reform Area </w:t>
                  </w:r>
                  <w:r w:rsidR="00B756C9">
                    <w:t>2</w:t>
                  </w:r>
                  <w:r w:rsidR="00025B5C">
                    <w:t xml:space="preserve"> of the </w:t>
                  </w:r>
                  <w:hyperlink r:id="rId105" w:history="1">
                    <w:r w:rsidR="00025B5C" w:rsidRPr="009C0F6E">
                      <w:rPr>
                        <w:rStyle w:val="Hyperlink"/>
                        <w:rFonts w:asciiTheme="minorHAnsi" w:hAnsiTheme="minorHAnsi"/>
                        <w:b/>
                        <w:i/>
                        <w:color w:val="007E00" w:themeColor="accent3"/>
                      </w:rPr>
                      <w:t>Aboriginal and Torres Strait Islander Action Plan 2023–2025</w:t>
                    </w:r>
                  </w:hyperlink>
                  <w:r w:rsidRPr="008F58E4">
                    <w:t>,</w:t>
                  </w:r>
                  <w:r>
                    <w:t xml:space="preserve"> ACCOs delivering SFVS services </w:t>
                  </w:r>
                  <w:r w:rsidR="009B73A4">
                    <w:t>have adopted explicitly strengths-based, trauma-informed frameworks</w:t>
                  </w:r>
                  <w:r w:rsidR="002F0683">
                    <w:t xml:space="preserve"> </w:t>
                  </w:r>
                  <w:r w:rsidR="002F0683" w:rsidRPr="00FC0775">
                    <w:t xml:space="preserve">which </w:t>
                  </w:r>
                  <w:r w:rsidR="00FC0775" w:rsidRPr="00FC0775">
                    <w:t>focus on community strengths and resilience, empower users, validate their experiences, and encourage pride in cultural identity.</w:t>
                  </w:r>
                  <w:r w:rsidR="007B347B">
                    <w:t xml:space="preserve"> Programs also seek to restore and support</w:t>
                  </w:r>
                  <w:r w:rsidR="007B347B" w:rsidRPr="005716DC">
                    <w:t xml:space="preserve"> identity, cultural connection, and intergenerational healing,</w:t>
                  </w:r>
                  <w:r w:rsidR="00664CAD">
                    <w:t xml:space="preserve"> which the literature identifies as</w:t>
                  </w:r>
                  <w:r w:rsidR="007B347B" w:rsidRPr="005716DC">
                    <w:t xml:space="preserve"> essential for emotional and spiritual healing </w:t>
                  </w:r>
                  <w:r w:rsidR="007B347B" w:rsidRPr="005716DC">
                    <w:fldChar w:fldCharType="begin"/>
                  </w:r>
                  <w:r w:rsidR="00E41D03">
                    <w:instrText xml:space="preserve"> ADDIN ZOTERO_ITEM CSL_CITATION {"citationID":"3jL7pcas","properties":{"formattedCitation":"(Carlson et al., 2021; Morgan, 2022)","plainCitation":"(Carlson et al., 2021; Morgan, 2022)","noteIndex":0},"citationItems":[{"id":4714,"uris":["http://zotero.org/groups/5691188/items/JCRH5C8H"],"itemData":{"id":4714,"type":"report","event-place":"NSW","language":"en","publisher":"Australia's National Research Organisation fro Women's Safety (ANROWS)","publisher-place":"NSW","source":"Zotero","title":"What works? Exploring the literature on Aboriginal and Torres Strait Islander healing programs that respond to family violence","author":[{"family":"Carlson","given":"Bronwyn"},{"family":"Day","given":"Madi"},{"family":"Farrelly","given":"Terri"}],"issued":{"date-parts":[["2021"]]}}},{"id":4598,"uris":["http://zotero.org/groups/5691188/items/ICBGBMLJ"],"itemData":{"id":4598,"type":"book","abstract":"\"This report is the first of two, developed as part of an overall research project, that aim to identify the needs of Aboriginal and Torres Strait Islander children and young people exposed to DFV who come in contact with child protection systems through FWS in regional and remote contexts in Queensland. The project also seeks to determine effective service and system responses and to develop a best practice framework for FWS to respond to the impacts of DFV on children and young people.\" -- Page 6","event-place":"Sydney, NSW","ISBN":"978-1-922645-28-9","language":"en","note":"OCLC: 1313069369","publisher":"Australia's National Research Organisation for Women's Safety","publisher-place":"Sydney, NSW","source":"Open WorldCat","title":"New ways for our families: designing an Aboriginal and Torres Strait Islander cultural practice framework and system responses to address the impacts of domestic and family violence on children and young people","title-short":"New ways for our families","author":[{"family":"Morgan","given":"Garth"}],"issued":{"date-parts":[["2022"]]}}}],"schema":"https://github.com/citation-style-language/schema/raw/master/csl-citation.json"} </w:instrText>
                  </w:r>
                  <w:r w:rsidR="007B347B" w:rsidRPr="005716DC">
                    <w:fldChar w:fldCharType="separate"/>
                  </w:r>
                  <w:r w:rsidR="007B347B" w:rsidRPr="005716DC">
                    <w:rPr>
                      <w:rFonts w:ascii="Arial" w:hAnsi="Arial" w:cs="Arial"/>
                    </w:rPr>
                    <w:t>(Carlson et al., 2021; Morgan, 2022)</w:t>
                  </w:r>
                  <w:r w:rsidR="007B347B" w:rsidRPr="005716DC">
                    <w:fldChar w:fldCharType="end"/>
                  </w:r>
                  <w:r w:rsidR="007B347B" w:rsidRPr="005716DC">
                    <w:t>.</w:t>
                  </w:r>
                </w:p>
                <w:p w14:paraId="360F83AB" w14:textId="1DAC2BCA" w:rsidR="000467B9" w:rsidRPr="007B623E" w:rsidRDefault="000467B9" w:rsidP="000467B9">
                  <w:pPr>
                    <w:pBdr>
                      <w:left w:val="single" w:sz="18" w:space="4" w:color="78B800" w:themeColor="accent1"/>
                    </w:pBdr>
                    <w:tabs>
                      <w:tab w:val="left" w:pos="8080"/>
                    </w:tabs>
                    <w:spacing w:after="0"/>
                    <w:ind w:left="851" w:right="949"/>
                    <w:rPr>
                      <w:i/>
                    </w:rPr>
                  </w:pPr>
                  <w:r w:rsidRPr="002E7992">
                    <w:rPr>
                      <w:noProof/>
                    </w:rPr>
                    <w:drawing>
                      <wp:anchor distT="0" distB="0" distL="114300" distR="114300" simplePos="0" relativeHeight="251658373" behindDoc="0" locked="1" layoutInCell="1" allowOverlap="1" wp14:anchorId="4CFBAD99" wp14:editId="0C3263CC">
                        <wp:simplePos x="0" y="0"/>
                        <wp:positionH relativeFrom="column">
                          <wp:posOffset>0</wp:posOffset>
                        </wp:positionH>
                        <wp:positionV relativeFrom="paragraph">
                          <wp:posOffset>0</wp:posOffset>
                        </wp:positionV>
                        <wp:extent cx="384810" cy="320040"/>
                        <wp:effectExtent l="0" t="0" r="0" b="3810"/>
                        <wp:wrapNone/>
                        <wp:docPr id="1701699302" name="Graphic 1701699302" descr="P3528#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1699302" name="Graphic 1701699302" descr="P3528#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A599C">
                    <w:rPr>
                      <w:i/>
                      <w:iCs/>
                    </w:rPr>
                    <w:t>It’s a good program</w:t>
                  </w:r>
                  <w:r w:rsidR="00175D50" w:rsidRPr="00CA599C">
                    <w:rPr>
                      <w:i/>
                      <w:iCs/>
                    </w:rPr>
                    <w:t>;</w:t>
                  </w:r>
                  <w:r w:rsidRPr="00CA599C">
                    <w:rPr>
                      <w:i/>
                      <w:iCs/>
                    </w:rPr>
                    <w:t xml:space="preserve"> it’s a safe space. We </w:t>
                  </w:r>
                  <w:r w:rsidR="00175D50" w:rsidRPr="00CA599C">
                    <w:rPr>
                      <w:i/>
                      <w:iCs/>
                    </w:rPr>
                    <w:t>go outdoors</w:t>
                  </w:r>
                  <w:r w:rsidRPr="00CA599C">
                    <w:rPr>
                      <w:i/>
                      <w:iCs/>
                    </w:rPr>
                    <w:t xml:space="preserve"> on little </w:t>
                  </w:r>
                  <w:r w:rsidR="00872C64" w:rsidRPr="00CA599C">
                    <w:rPr>
                      <w:i/>
                      <w:iCs/>
                    </w:rPr>
                    <w:t>adventures;</w:t>
                  </w:r>
                  <w:r w:rsidRPr="00CA599C">
                    <w:rPr>
                      <w:i/>
                      <w:iCs/>
                    </w:rPr>
                    <w:t xml:space="preserve"> it’s a lot of fun. They provide transport, food, after services, or if we need to access other services for DV, counselling [they refer us]. I love the </w:t>
                  </w:r>
                  <w:r w:rsidR="00872C64" w:rsidRPr="00CA599C">
                    <w:rPr>
                      <w:i/>
                      <w:iCs/>
                    </w:rPr>
                    <w:t>program;</w:t>
                  </w:r>
                  <w:r w:rsidRPr="00CA599C">
                    <w:rPr>
                      <w:i/>
                      <w:iCs/>
                    </w:rPr>
                    <w:t xml:space="preserve"> my son loves it. He loves seeing the other kids. I’ve been coming nearly every day</w:t>
                  </w:r>
                  <w:r w:rsidRPr="009246D7">
                    <w:rPr>
                      <w:i/>
                      <w:iCs/>
                    </w:rPr>
                    <w:t xml:space="preserve"> </w:t>
                  </w:r>
                  <w:r>
                    <w:rPr>
                      <w:i/>
                      <w:iCs/>
                    </w:rPr>
                    <w:t>–</w:t>
                  </w:r>
                  <w:r>
                    <w:rPr>
                      <w:b/>
                      <w:bCs/>
                      <w:i/>
                      <w:iCs/>
                    </w:rPr>
                    <w:t xml:space="preserve"> ACCO SFVS service user</w:t>
                  </w:r>
                </w:p>
                <w:p w14:paraId="0C3AF5FD" w14:textId="77777777" w:rsidR="000467B9" w:rsidRPr="009E02F2" w:rsidRDefault="000467B9" w:rsidP="000467B9">
                  <w:pPr>
                    <w:pStyle w:val="Text"/>
                    <w:rPr>
                      <w:lang w:val="en-AU"/>
                    </w:rPr>
                  </w:pPr>
                </w:p>
                <w:p w14:paraId="1830DE4B" w14:textId="5065119D" w:rsidR="00DE602D" w:rsidRPr="00646470" w:rsidRDefault="00DE602D" w:rsidP="00646470">
                  <w:pPr>
                    <w:pStyle w:val="Text"/>
                    <w:rPr>
                      <w:highlight w:val="yellow"/>
                      <w:lang w:val="en-US"/>
                    </w:rPr>
                  </w:pPr>
                  <w:r>
                    <w:t xml:space="preserve">The naming and framing of the SFVS program around ‘family violence’ was considered by some </w:t>
                  </w:r>
                  <w:r w:rsidR="00EE0985">
                    <w:t>ACCO</w:t>
                  </w:r>
                  <w:r>
                    <w:t xml:space="preserve"> service providers to be </w:t>
                  </w:r>
                  <w:r w:rsidR="00A673C4">
                    <w:t xml:space="preserve">inconsistent with </w:t>
                  </w:r>
                  <w:r w:rsidR="00113540">
                    <w:t>a strengths-based approach</w:t>
                  </w:r>
                  <w:r>
                    <w:t>.</w:t>
                  </w:r>
                  <w:r w:rsidR="00DD0046">
                    <w:t xml:space="preserve"> Moreover, </w:t>
                  </w:r>
                  <w:r w:rsidR="00DD0046">
                    <w:rPr>
                      <w:lang w:val="en-US"/>
                    </w:rPr>
                    <w:t>concerns about confidentiality can be a significant barrier</w:t>
                  </w:r>
                  <w:r w:rsidR="00DD0046" w:rsidRPr="005716DC">
                    <w:t xml:space="preserve"> for Aboriginal and Torres Strait Islander individuals seeking support for family violence, as many fear judgment or retaliation within close-knit communities</w:t>
                  </w:r>
                  <w:r w:rsidR="00DD0046" w:rsidRPr="00A00D96">
                    <w:t xml:space="preserve"> </w:t>
                  </w:r>
                  <w:r w:rsidR="00CF5B5F" w:rsidRPr="00CF5B5F">
                    <w:rPr>
                      <w:lang w:val="en-US"/>
                    </w:rPr>
                    <w:fldChar w:fldCharType="begin"/>
                  </w:r>
                  <w:r w:rsidR="00E41D03">
                    <w:rPr>
                      <w:lang w:val="en-US"/>
                    </w:rPr>
                    <w:instrText xml:space="preserve"> ADDIN ZOTERO_ITEM CSL_CITATION {"citationID":"a149g7qqa21","properties":{"formattedCitation":"(Australian Human Rights Commission, 2020; Fiolet et al., 2021; Langton and Smith, 2020)","plainCitation":"(Australian Human Rights Commission, 2020; Fiolet et al., 2021; Langton and Smith, 2020)","noteIndex":0},"citationItems":[{"id":4731,"uris":["http://zotero.org/groups/5691188/items/L3P8HXT6"],"itemData":{"id":4731,"type":"report","publisher":"Australian Human Rights Commission","title":"Wiyi Yani U Thangani (Women’s Voices): Securing Our Rights, Securing Our Future Report","author":[{"family":"Australian Human Rights Commission","given":""}],"issued":{"date-parts":[["2020"]]}}},{"id":4749,"uris":["http://zotero.org/groups/5691188/items/F2WNL27Y"],"itemData":{"id":4749,"type":"article-journal","abstract":"Indigenous peoples experience high rates of family violence (FV) yet are said to access support at lower rates than their non-Indigenous counterparts. There is an absence of Indigenous voices regarding their help-seeking behaviors for FV, particularly concerning men’s views. The aim of this research was to seek Indigenous perspectives on their help-seeking behaviors for FV. Individual, face-to-face semistructured interviews took place with 23 Indigenous Australians (14 women and 9 men) recruited from one large community in Victoria, Australia. Interviews were audiotaped and transcribed verbatim. Data were categorized and organized, and themes were identified using thematic analysis. Five main themes emerged from the data. “You’re Aboriginal, so that’s just how it is” describes the experiences with discrimination and judgment that create general barriers for Indigenous peoples to access services. The second theme “putting a big blanket over it” articulates the role that shame plays in deterring support-seeking for FV. “How do you trust somebody?” defines the fear in the hearts and minds of Indigenous participants who contemplate help-seeking. A further main theme of “someone that they could have a yarn with” explores what occurs when participants initially decide to seek support. Their thoughts on what participants want from interactions with formal services are explored in the final theme “a safe space.” Significant barriers to seeking support for FV exist for Indigenous peoples, including discrimination, shame, and fear. Service providers need to work on addressing these barriers through an increased understanding of Indigenous experiences and beliefs in an effort to encourage help-seeking behaviors. Interventions to assist kin in dealing with FV and for service providers to create safe spaces are urgent. More research informed by Indigenous voices is needed.","container-title":"Journal of Interpersonal Violence","DOI":"10.1177/0886260519883861","ISSN":"0886-2605, 1552-6518","issue":"21-22","journalAbbreviation":"J Interpers Violence","language":"en","page":"10128-10146","source":"DOI.org (Crossref)","title":"Indigenous Perspectives on Help-Seeking for Family Violence: Voices From an Australian Community","title-short":"Indigenous Perspectives on Help-Seeking for Family Violence","volume":"36","author":[{"family":"Fiolet","given":"Renee"},{"family":"Tarzia","given":"Laura"},{"family":"Owen","given":"Renee"},{"family":"Eccles","given":"Corrina"},{"family":"Nicholson","given":"Kayley"},{"family":"Owen","given":"May"},{"family":"Fry","given":"Syd"},{"family":"Knox","given":"Jasmine"},{"family":"Hegarty","given":"Kelsey"}],"issued":{"date-parts":[["2021",11]]}}},{"id":4616,"uris":["http://zotero.org/groups/5691188/items/KHXS9HZ8"],"itemData":{"id":4616,"type":"article-journal","DOI":"10.13140/RG.2.2.16383.33441","language":"en","note":"publisher: Australia’s National Research Organisation for Women’s Safety Limited","source":"DOI.org (Datacite)","title":"Improving family violence legal and support services for Aboriginal and Torres Strait Islander women","URL":"http://rgdoi.net/10.13140/RG.2.2.16383.33441","author":[{"family":"Langton","given":"Marcia"},{"family":"Smith","given":"Kristen"}],"accessed":{"date-parts":[["2024",10,7]]},"issued":{"date-parts":[["2020"]]}}}],"schema":"https://github.com/citation-style-language/schema/raw/master/csl-citation.json"} </w:instrText>
                  </w:r>
                  <w:r w:rsidR="00CF5B5F" w:rsidRPr="00CF5B5F">
                    <w:rPr>
                      <w:lang w:val="en-US"/>
                    </w:rPr>
                    <w:fldChar w:fldCharType="separate"/>
                  </w:r>
                  <w:r w:rsidR="00AC138C" w:rsidRPr="00AC138C">
                    <w:rPr>
                      <w:rFonts w:ascii="Arial" w:hAnsi="Arial" w:cs="Arial"/>
                    </w:rPr>
                    <w:t>(Australian Human Rights Commission, 2020; Fiolet et al., 2021; Langton and Smith, 2020)</w:t>
                  </w:r>
                  <w:r w:rsidR="00CF5B5F" w:rsidRPr="00CF5B5F">
                    <w:rPr>
                      <w:lang w:val="en-US"/>
                    </w:rPr>
                    <w:fldChar w:fldCharType="end"/>
                  </w:r>
                  <w:r w:rsidR="00DD0046" w:rsidRPr="00A00D96">
                    <w:rPr>
                      <w:lang w:val="en-US"/>
                    </w:rPr>
                    <w:t xml:space="preserve">. </w:t>
                  </w:r>
                </w:p>
                <w:p w14:paraId="25CCA017" w14:textId="662FDF2B" w:rsidR="00DE602D" w:rsidRPr="007B623E" w:rsidRDefault="00DE602D" w:rsidP="00DE602D">
                  <w:pPr>
                    <w:pBdr>
                      <w:left w:val="single" w:sz="18" w:space="4" w:color="78B800" w:themeColor="accent1"/>
                    </w:pBdr>
                    <w:tabs>
                      <w:tab w:val="left" w:pos="8080"/>
                    </w:tabs>
                    <w:spacing w:after="0"/>
                    <w:ind w:left="851" w:right="949"/>
                    <w:rPr>
                      <w:i/>
                    </w:rPr>
                  </w:pPr>
                  <w:r w:rsidRPr="002E7992">
                    <w:rPr>
                      <w:noProof/>
                    </w:rPr>
                    <w:drawing>
                      <wp:anchor distT="0" distB="0" distL="114300" distR="114300" simplePos="0" relativeHeight="251658374" behindDoc="0" locked="1" layoutInCell="1" allowOverlap="1" wp14:anchorId="78262D75" wp14:editId="0A10948C">
                        <wp:simplePos x="0" y="0"/>
                        <wp:positionH relativeFrom="column">
                          <wp:posOffset>0</wp:posOffset>
                        </wp:positionH>
                        <wp:positionV relativeFrom="paragraph">
                          <wp:posOffset>0</wp:posOffset>
                        </wp:positionV>
                        <wp:extent cx="384810" cy="320040"/>
                        <wp:effectExtent l="0" t="0" r="0" b="3810"/>
                        <wp:wrapNone/>
                        <wp:docPr id="2083433025" name="Graphic 2083433025" descr="P3531#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433025" name="Graphic 2083433025" descr="P3531#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85554">
                    <w:rPr>
                      <w:i/>
                      <w:iCs/>
                    </w:rPr>
                    <w:t>We call it social and emotional wellbeing. SFVS stigmatises it. The name is not strengths based – when the women saw the name – straight away they said what are we here for</w:t>
                  </w:r>
                  <w:r w:rsidRPr="00287AC2">
                    <w:rPr>
                      <w:i/>
                      <w:iCs/>
                    </w:rPr>
                    <w:t>?</w:t>
                  </w:r>
                  <w:r w:rsidRPr="00A85554">
                    <w:rPr>
                      <w:i/>
                      <w:iCs/>
                    </w:rPr>
                    <w:t xml:space="preserve"> </w:t>
                  </w:r>
                  <w:r w:rsidR="002C6D3B">
                    <w:rPr>
                      <w:i/>
                      <w:iCs/>
                    </w:rPr>
                    <w:t>What</w:t>
                  </w:r>
                  <w:r w:rsidRPr="00A85554">
                    <w:rPr>
                      <w:i/>
                      <w:iCs/>
                    </w:rPr>
                    <w:t xml:space="preserve"> are we doing</w:t>
                  </w:r>
                  <w:r w:rsidRPr="00287AC2">
                    <w:rPr>
                      <w:i/>
                      <w:iCs/>
                    </w:rPr>
                    <w:t>?</w:t>
                  </w:r>
                  <w:r>
                    <w:rPr>
                      <w:i/>
                      <w:iCs/>
                    </w:rPr>
                    <w:t xml:space="preserve"> </w:t>
                  </w:r>
                  <w:r w:rsidRPr="002E7992">
                    <w:rPr>
                      <w:b/>
                      <w:bCs/>
                      <w:i/>
                      <w:iCs/>
                    </w:rPr>
                    <w:t>–</w:t>
                  </w:r>
                  <w:r>
                    <w:rPr>
                      <w:b/>
                      <w:bCs/>
                      <w:i/>
                      <w:iCs/>
                    </w:rPr>
                    <w:t xml:space="preserve"> ACCO SFVS service provider</w:t>
                  </w:r>
                </w:p>
                <w:p w14:paraId="523CDC81" w14:textId="77777777" w:rsidR="00734605" w:rsidRDefault="00734605" w:rsidP="000C7815">
                  <w:pPr>
                    <w:pStyle w:val="Text"/>
                  </w:pPr>
                </w:p>
                <w:p w14:paraId="24E31486" w14:textId="0965C998" w:rsidR="00F00DF1" w:rsidRPr="00864CFC" w:rsidRDefault="00F00DF1" w:rsidP="00D52990">
                  <w:pPr>
                    <w:pStyle w:val="Text"/>
                    <w:numPr>
                      <w:ilvl w:val="0"/>
                      <w:numId w:val="66"/>
                    </w:numPr>
                    <w:rPr>
                      <w:b/>
                      <w:bCs/>
                    </w:rPr>
                  </w:pPr>
                  <w:r w:rsidRPr="00864CFC">
                    <w:rPr>
                      <w:b/>
                      <w:bCs/>
                    </w:rPr>
                    <w:t>Integrated service delivery</w:t>
                  </w:r>
                </w:p>
                <w:p w14:paraId="260D072B" w14:textId="6964BC1A" w:rsidR="00ED2162" w:rsidRDefault="00314146" w:rsidP="00ED2162">
                  <w:pPr>
                    <w:pStyle w:val="Text"/>
                  </w:pPr>
                  <w:r>
                    <w:t>ACCO service providers described the complexity arising from t</w:t>
                  </w:r>
                  <w:r w:rsidR="00D76A9E">
                    <w:t>he</w:t>
                  </w:r>
                  <w:r w:rsidR="00D76A9E" w:rsidRPr="00172382">
                    <w:t xml:space="preserve"> ongoing impact of colonisation and associated trauma</w:t>
                  </w:r>
                  <w:r w:rsidR="00412036">
                    <w:t>. This</w:t>
                  </w:r>
                  <w:r>
                    <w:t xml:space="preserve"> </w:t>
                  </w:r>
                  <w:r w:rsidR="00AD30CA" w:rsidRPr="00AD30CA">
                    <w:t>includ</w:t>
                  </w:r>
                  <w:r w:rsidR="00412036">
                    <w:t>es</w:t>
                  </w:r>
                  <w:r w:rsidR="00457DEF" w:rsidRPr="00AD30CA">
                    <w:t xml:space="preserve"> risks stem</w:t>
                  </w:r>
                  <w:r w:rsidRPr="00AD30CA">
                    <w:t>ming</w:t>
                  </w:r>
                  <w:r w:rsidR="00457DEF" w:rsidRPr="00AD30CA">
                    <w:t xml:space="preserve"> from limited access to safe housing, economic instability, and the complex trauma associated with forced removal of children and disconnection from community and culture </w:t>
                  </w:r>
                  <w:r w:rsidR="00457DEF" w:rsidRPr="00AD30CA">
                    <w:fldChar w:fldCharType="begin"/>
                  </w:r>
                  <w:r w:rsidR="00E41D03">
                    <w:instrText xml:space="preserve"> ADDIN ZOTERO_ITEM CSL_CITATION {"citationID":"MfHOygRi","properties":{"formattedCitation":"(Australian Human Rights Commission, 2020; Langton and Smith, 2020)","plainCitation":"(Australian Human Rights Commission, 2020; Langton and Smith, 2020)","noteIndex":0},"citationItems":[{"id":4731,"uris":["http://zotero.org/groups/5691188/items/L3P8HXT6"],"itemData":{"id":4731,"type":"report","publisher":"Australian Human Rights Commission","title":"Wiyi Yani U Thangani (Women’s Voices): Securing Our Rights, Securing Our Future Report","author":[{"family":"Australian Human Rights Commission","given":""}],"issued":{"date-parts":[["2020"]]}}},{"id":4616,"uris":["http://zotero.org/groups/5691188/items/KHXS9HZ8"],"itemData":{"id":4616,"type":"article-journal","DOI":"10.13140/RG.2.2.16383.33441","language":"en","note":"publisher: Australia’s National Research Organisation for Women’s Safety Limited","source":"DOI.org (Datacite)","title":"Improving family violence legal and support services for Aboriginal and Torres Strait Islander women","URL":"http://rgdoi.net/10.13140/RG.2.2.16383.33441","author":[{"family":"Langton","given":"Marcia"},{"family":"Smith","given":"Kristen"}],"accessed":{"date-parts":[["2024",10,7]]},"issued":{"date-parts":[["2020"]]}}}],"schema":"https://github.com/citation-style-language/schema/raw/master/csl-citation.json"} </w:instrText>
                  </w:r>
                  <w:r w:rsidR="00457DEF" w:rsidRPr="00AD30CA">
                    <w:fldChar w:fldCharType="separate"/>
                  </w:r>
                  <w:r w:rsidR="00457DEF" w:rsidRPr="00AD30CA">
                    <w:rPr>
                      <w:rFonts w:ascii="Arial" w:hAnsi="Arial" w:cs="Arial"/>
                    </w:rPr>
                    <w:t>(Australian Human Rights Commission, 2020; Langton and Smith, 2020)</w:t>
                  </w:r>
                  <w:r w:rsidR="00457DEF" w:rsidRPr="00AD30CA">
                    <w:fldChar w:fldCharType="end"/>
                  </w:r>
                  <w:r w:rsidR="00457DEF" w:rsidRPr="00AD30CA">
                    <w:t>.</w:t>
                  </w:r>
                </w:p>
                <w:p w14:paraId="7C315246" w14:textId="0E6BA93D" w:rsidR="00D7563C" w:rsidRDefault="00AD30CA" w:rsidP="008E1B83">
                  <w:pPr>
                    <w:pStyle w:val="Text"/>
                    <w:rPr>
                      <w:lang w:val="en-GB"/>
                    </w:rPr>
                  </w:pPr>
                  <w:r>
                    <w:rPr>
                      <w:lang w:val="en-AU"/>
                    </w:rPr>
                    <w:t xml:space="preserve">ACCO service providers emphasised </w:t>
                  </w:r>
                  <w:r w:rsidR="00034C55">
                    <w:rPr>
                      <w:lang w:val="en-AU"/>
                    </w:rPr>
                    <w:t xml:space="preserve">the critical importance of providing integrated services and </w:t>
                  </w:r>
                  <w:r w:rsidRPr="009E02F2">
                    <w:rPr>
                      <w:lang w:val="en-AU"/>
                    </w:rPr>
                    <w:t>work</w:t>
                  </w:r>
                  <w:r w:rsidR="00034C55">
                    <w:rPr>
                      <w:lang w:val="en-AU"/>
                    </w:rPr>
                    <w:t>ing</w:t>
                  </w:r>
                  <w:r w:rsidRPr="009E02F2">
                    <w:rPr>
                      <w:lang w:val="en-AU"/>
                    </w:rPr>
                    <w:t xml:space="preserve"> in partnership with other providers. This is seen as essential to meeting the complex needs of individuals, families and communities and to building relationships and trust. Service providers therefore act as brokers, or step in to provide wide-ranging supports </w:t>
                  </w:r>
                  <w:r w:rsidRPr="00975B12">
                    <w:rPr>
                      <w:lang w:val="en-AU"/>
                    </w:rPr>
                    <w:t>themselves, such as assisting with obtaining identification documents, and housing and transport support.</w:t>
                  </w:r>
                  <w:r w:rsidR="005C3B49" w:rsidRPr="00975B12">
                    <w:rPr>
                      <w:lang w:val="en-AU"/>
                    </w:rPr>
                    <w:t xml:space="preserve"> This is consistent with literature which identifies </w:t>
                  </w:r>
                  <w:r w:rsidR="00D40161" w:rsidRPr="00975B12">
                    <w:rPr>
                      <w:lang w:val="en-AU"/>
                    </w:rPr>
                    <w:t xml:space="preserve">multiagency coordination </w:t>
                  </w:r>
                  <w:r w:rsidR="00EE0985">
                    <w:rPr>
                      <w:lang w:val="en-AU"/>
                    </w:rPr>
                    <w:t>–</w:t>
                  </w:r>
                  <w:r w:rsidR="00975B12" w:rsidRPr="00975B12">
                    <w:rPr>
                      <w:lang w:val="en-AU"/>
                    </w:rPr>
                    <w:t xml:space="preserve"> </w:t>
                  </w:r>
                  <w:r w:rsidR="00975B12" w:rsidRPr="00975B12">
                    <w:t>through joint case management, service referrals, and interagency capacity building</w:t>
                  </w:r>
                  <w:r w:rsidR="00975B12" w:rsidRPr="00975B12">
                    <w:rPr>
                      <w:lang w:val="en-AU"/>
                    </w:rPr>
                    <w:t xml:space="preserve"> </w:t>
                  </w:r>
                  <w:r w:rsidR="00EE0985">
                    <w:rPr>
                      <w:lang w:val="en-AU"/>
                    </w:rPr>
                    <w:t>–</w:t>
                  </w:r>
                  <w:r w:rsidR="00975B12" w:rsidRPr="00975B12">
                    <w:rPr>
                      <w:lang w:val="en-AU"/>
                    </w:rPr>
                    <w:t xml:space="preserve"> </w:t>
                  </w:r>
                  <w:r w:rsidR="00D40161" w:rsidRPr="00975B12">
                    <w:rPr>
                      <w:lang w:val="en-AU"/>
                    </w:rPr>
                    <w:t xml:space="preserve">as a core component of </w:t>
                  </w:r>
                  <w:r w:rsidR="00975B12" w:rsidRPr="00975B12">
                    <w:t xml:space="preserve">good practice to prevent violence against women in the </w:t>
                  </w:r>
                  <w:r w:rsidR="00601EE6">
                    <w:t>NT</w:t>
                  </w:r>
                  <w:r w:rsidR="00975B12" w:rsidRPr="00975B12">
                    <w:t xml:space="preserve"> </w:t>
                  </w:r>
                  <w:r w:rsidR="00A851B3" w:rsidRPr="00975B12">
                    <w:fldChar w:fldCharType="begin"/>
                  </w:r>
                  <w:r w:rsidR="00E41D03">
                    <w:rPr>
                      <w:highlight w:val="yellow"/>
                    </w:rPr>
                    <w:instrText xml:space="preserve"> ADDIN ZOTERO_ITEM CSL_CITATION {"citationID":"LSVYpUER","properties":{"formattedCitation":"(Brown, 2019)","plainCitation":"(Brown, 2019)","noteIndex":0},"citationItems":[{"id":4730,"uris":["http://zotero.org/groups/5691188/items/PWD65I9Q"],"itemData":{"id":4730,"type":"report","publisher":"Centre for Aboriginal Economic Policy Research Australian National University","title":"Hopeful Together Strong – Inspiring Optimism for Future Generations Principles of Good Practice to Prevent Violence against women in the Northern Territory","author":[{"family":"Brown","given":"Chay"}],"issued":{"date-parts":[["2019"]]}}}],"schema":"https://github.com/citation-style-language/schema/raw/master/csl-citation.json"} </w:instrText>
                  </w:r>
                  <w:r w:rsidR="00A851B3" w:rsidRPr="00975B12">
                    <w:fldChar w:fldCharType="separate"/>
                  </w:r>
                  <w:r w:rsidR="00A851B3" w:rsidRPr="00975B12">
                    <w:rPr>
                      <w:rFonts w:ascii="Arial" w:hAnsi="Arial" w:cs="Arial"/>
                    </w:rPr>
                    <w:t>(Brown, 2019)</w:t>
                  </w:r>
                  <w:r w:rsidR="00A851B3" w:rsidRPr="00975B12">
                    <w:fldChar w:fldCharType="end"/>
                  </w:r>
                  <w:r w:rsidR="00975B12" w:rsidRPr="00975B12">
                    <w:t>.</w:t>
                  </w:r>
                </w:p>
                <w:p w14:paraId="0B2E4F81" w14:textId="21BCE90C" w:rsidR="00D7563C" w:rsidRPr="007B623E" w:rsidRDefault="00D7563C" w:rsidP="00D7563C">
                  <w:pPr>
                    <w:pBdr>
                      <w:left w:val="single" w:sz="18" w:space="4" w:color="78B800" w:themeColor="accent1"/>
                    </w:pBdr>
                    <w:tabs>
                      <w:tab w:val="left" w:pos="8080"/>
                    </w:tabs>
                    <w:spacing w:after="0"/>
                    <w:ind w:left="851" w:right="949"/>
                    <w:rPr>
                      <w:i/>
                    </w:rPr>
                  </w:pPr>
                  <w:r w:rsidRPr="002E7992">
                    <w:rPr>
                      <w:noProof/>
                    </w:rPr>
                    <w:drawing>
                      <wp:anchor distT="0" distB="0" distL="114300" distR="114300" simplePos="0" relativeHeight="251658375" behindDoc="0" locked="1" layoutInCell="1" allowOverlap="1" wp14:anchorId="0AACB5F3" wp14:editId="06556036">
                        <wp:simplePos x="0" y="0"/>
                        <wp:positionH relativeFrom="column">
                          <wp:posOffset>0</wp:posOffset>
                        </wp:positionH>
                        <wp:positionV relativeFrom="paragraph">
                          <wp:posOffset>0</wp:posOffset>
                        </wp:positionV>
                        <wp:extent cx="384810" cy="320040"/>
                        <wp:effectExtent l="0" t="0" r="0" b="3810"/>
                        <wp:wrapNone/>
                        <wp:docPr id="1505469928" name="Graphic 1505469928" descr="P3536#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5469928" name="Graphic 1505469928" descr="P3536#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C341A">
                    <w:rPr>
                      <w:i/>
                      <w:iCs/>
                    </w:rPr>
                    <w:t>W</w:t>
                  </w:r>
                  <w:r w:rsidR="00DC341A" w:rsidRPr="00DC341A">
                    <w:rPr>
                      <w:i/>
                      <w:iCs/>
                    </w:rPr>
                    <w:t>e believe that integrated services are a more cohesive service system that collaborates and partners and brings strengths and different things together is a better service system than what we currently have, which encourages agencies and services to operate on their own or with discrete projects and programs, and it just doesn’t work for the community. I think we have a shared belief about that. So</w:t>
                  </w:r>
                  <w:r w:rsidR="00175D50" w:rsidRPr="00DC341A">
                    <w:rPr>
                      <w:i/>
                      <w:iCs/>
                    </w:rPr>
                    <w:t>,</w:t>
                  </w:r>
                  <w:r w:rsidR="00DC341A" w:rsidRPr="00DC341A">
                    <w:rPr>
                      <w:i/>
                      <w:iCs/>
                    </w:rPr>
                    <w:t xml:space="preserve"> we're always looking for opportunities to come together and value, share, collaborate. We're probably bringing all of us bringing tens of thousands of </w:t>
                  </w:r>
                  <w:r w:rsidR="00E23E7C" w:rsidRPr="00DC341A">
                    <w:rPr>
                      <w:i/>
                      <w:iCs/>
                    </w:rPr>
                    <w:t>dollars</w:t>
                  </w:r>
                  <w:r w:rsidR="003449D1" w:rsidRPr="00DC341A">
                    <w:rPr>
                      <w:i/>
                      <w:iCs/>
                    </w:rPr>
                    <w:t xml:space="preserve"> worth</w:t>
                  </w:r>
                  <w:r w:rsidR="00DC341A" w:rsidRPr="00DC341A">
                    <w:rPr>
                      <w:i/>
                      <w:iCs/>
                    </w:rPr>
                    <w:t xml:space="preserve"> more to this work than what it would have had if it was just a </w:t>
                  </w:r>
                  <w:r w:rsidR="00175D50" w:rsidRPr="00DC341A">
                    <w:rPr>
                      <w:i/>
                      <w:iCs/>
                    </w:rPr>
                    <w:t>standalone</w:t>
                  </w:r>
                  <w:r w:rsidR="00DC341A" w:rsidRPr="00DC341A">
                    <w:rPr>
                      <w:i/>
                      <w:iCs/>
                    </w:rPr>
                    <w:t xml:space="preserve"> project</w:t>
                  </w:r>
                  <w:r>
                    <w:rPr>
                      <w:i/>
                      <w:iCs/>
                    </w:rPr>
                    <w:t xml:space="preserve"> </w:t>
                  </w:r>
                  <w:r w:rsidRPr="002E7992">
                    <w:rPr>
                      <w:b/>
                      <w:bCs/>
                      <w:i/>
                      <w:iCs/>
                    </w:rPr>
                    <w:t>–</w:t>
                  </w:r>
                  <w:r>
                    <w:rPr>
                      <w:b/>
                      <w:bCs/>
                      <w:i/>
                      <w:iCs/>
                    </w:rPr>
                    <w:t xml:space="preserve"> ACCO SFVS service provider</w:t>
                  </w:r>
                </w:p>
                <w:p w14:paraId="4C9BE931" w14:textId="77777777" w:rsidR="00975B12" w:rsidRPr="00975B12" w:rsidRDefault="00975B12" w:rsidP="00975B12">
                  <w:pPr>
                    <w:pStyle w:val="Text"/>
                    <w:rPr>
                      <w:lang w:val="en-AU"/>
                    </w:rPr>
                  </w:pPr>
                </w:p>
                <w:p w14:paraId="09F1B1C2" w14:textId="2964E124" w:rsidR="00B173D1" w:rsidRDefault="004B1CB3" w:rsidP="004B1CB3">
                  <w:pPr>
                    <w:pStyle w:val="Text"/>
                  </w:pPr>
                  <w:r>
                    <w:rPr>
                      <w:lang w:val="en-AU"/>
                    </w:rPr>
                    <w:t xml:space="preserve">ACCOs and service users also identified a </w:t>
                  </w:r>
                  <w:r w:rsidRPr="00410BB2">
                    <w:rPr>
                      <w:lang w:val="en-AU"/>
                    </w:rPr>
                    <w:t xml:space="preserve">need for services to be better equipped to reach </w:t>
                  </w:r>
                  <w:r w:rsidR="005072EF">
                    <w:rPr>
                      <w:lang w:val="en-AU"/>
                    </w:rPr>
                    <w:t xml:space="preserve">service </w:t>
                  </w:r>
                  <w:r w:rsidR="001D5207">
                    <w:rPr>
                      <w:lang w:val="en-AU"/>
                    </w:rPr>
                    <w:t>users</w:t>
                  </w:r>
                  <w:r w:rsidRPr="00410BB2">
                    <w:rPr>
                      <w:lang w:val="en-AU"/>
                    </w:rPr>
                    <w:t xml:space="preserve"> through more outreach, place-based services and transport options. Service providers also highlighted the complexity of responding to </w:t>
                  </w:r>
                  <w:r w:rsidR="00EE0985">
                    <w:rPr>
                      <w:lang w:val="en-AU"/>
                    </w:rPr>
                    <w:t>family violence</w:t>
                  </w:r>
                  <w:r w:rsidRPr="00410BB2">
                    <w:rPr>
                      <w:lang w:val="en-AU"/>
                    </w:rPr>
                    <w:t xml:space="preserve"> in circumstances where women wish to remain on </w:t>
                  </w:r>
                  <w:r w:rsidR="008F304B">
                    <w:rPr>
                      <w:lang w:val="en-AU"/>
                    </w:rPr>
                    <w:t>C</w:t>
                  </w:r>
                  <w:r w:rsidRPr="00410BB2">
                    <w:rPr>
                      <w:lang w:val="en-AU"/>
                    </w:rPr>
                    <w:t xml:space="preserve">ountry and in their community, and the limited options available to them. There is evidence that </w:t>
                  </w:r>
                  <w:r w:rsidRPr="00410BB2">
                    <w:t xml:space="preserve">in-community support improves engagement and outcomes (especially when delivered by </w:t>
                  </w:r>
                  <w:r w:rsidR="00E614D3">
                    <w:rPr>
                      <w:rFonts w:ascii="Arial" w:eastAsia="Arial" w:hAnsi="Arial" w:cs="Arial"/>
                      <w:szCs w:val="22"/>
                    </w:rPr>
                    <w:t>Aboriginal and Torres Strait Islander</w:t>
                  </w:r>
                  <w:r w:rsidRPr="00410BB2">
                    <w:t xml:space="preserve"> healthcare workers or culturally trained staff) and that successful interventions are those that use adaptable models that include home visits, community-based</w:t>
                  </w:r>
                  <w:r w:rsidRPr="00F840C4">
                    <w:t xml:space="preserve"> outreach, and flexible scheduling to accommodate family needs </w:t>
                  </w:r>
                  <w:r w:rsidRPr="00F840C4">
                    <w:fldChar w:fldCharType="begin"/>
                  </w:r>
                  <w:r w:rsidR="00E41D03">
                    <w:instrText xml:space="preserve"> ADDIN ZOTERO_ITEM CSL_CITATION {"citationID":"hGYsqcQA","properties":{"formattedCitation":"(Australian Human Rights Commission, 2020; Strobel et al., 2022)","plainCitation":"(Australian Human Rights Commission, 2020; Strobel et al., 2022)","noteIndex":0},"citationItems":[{"id":4731,"uris":["http://zotero.org/groups/5691188/items/L3P8HXT6"],"itemData":{"id":4731,"type":"report","publisher":"Australian Human Rights Commission","title":"Wiyi Yani U Thangani (Women’s Voices): Securing Our Rights, Securing Our Future Report","author":[{"family":"Australian Human Rights Commission","given":""}],"issued":{"date-parts":[["2020"]]}}},{"id":4637,"uris":["http://zotero.org/groups/5691188/items/FUJPJ3S3"],"itemData":{"id":4637,"type":"article-journal","container-title":"Cochrane Database of Systematic Reviews","DOI":"10.1002/14651858.CD012463.pub2","ISSN":"14651858","issue":"12","language":"en","source":"DOI.org (Crossref)","title":"Family-centred interventions for Indigenous early childhood well-being by primary healthcare services","URL":"http://doi.wiley.com/10.1002/14651858.CD012463.pub2","volume":"2022","editor":[{"literal":"Cochrane Consumers and Communication Group"}],"author":[{"family":"Strobel","given":"Natalie A"},{"family":"Chamberlain","given":"Catherine"},{"family":"Campbell","given":"Sandra K"},{"family":"Shields","given":"Linda"},{"family":"Bainbridge","given":"Roxanne G"},{"family":"Adams","given":"Claire"},{"family":"Edmond","given":"Karen M"},{"family":"Marriott","given":"Rhonda"},{"family":"McCalman","given":"Janya"}],"accessed":{"date-parts":[["2024",10,4]]},"issued":{"date-parts":[["2022",12,13]]}}}],"schema":"https://github.com/citation-style-language/schema/raw/master/csl-citation.json"} </w:instrText>
                  </w:r>
                  <w:r w:rsidRPr="00F840C4">
                    <w:fldChar w:fldCharType="separate"/>
                  </w:r>
                  <w:r w:rsidRPr="00F840C4">
                    <w:rPr>
                      <w:rFonts w:ascii="Arial" w:hAnsi="Arial" w:cs="Arial"/>
                    </w:rPr>
                    <w:t>(Australian Human Rights Commission, 2020; Strobel et al., 2022)</w:t>
                  </w:r>
                  <w:r w:rsidRPr="00F840C4">
                    <w:fldChar w:fldCharType="end"/>
                  </w:r>
                  <w:r w:rsidRPr="00F840C4">
                    <w:t>.</w:t>
                  </w:r>
                </w:p>
                <w:p w14:paraId="268A57C4" w14:textId="77777777" w:rsidR="00DE39E3" w:rsidRPr="00547355" w:rsidRDefault="00DE39E3" w:rsidP="00321BC5">
                  <w:pPr>
                    <w:pStyle w:val="Text"/>
                    <w:spacing w:before="360"/>
                    <w:rPr>
                      <w:b/>
                      <w:bCs/>
                      <w:color w:val="36424A" w:themeColor="background2"/>
                    </w:rPr>
                  </w:pPr>
                  <w:r w:rsidRPr="00547355">
                    <w:rPr>
                      <w:b/>
                      <w:bCs/>
                      <w:color w:val="36424A" w:themeColor="background2"/>
                    </w:rPr>
                    <w:t>Workforce</w:t>
                  </w:r>
                </w:p>
                <w:p w14:paraId="3A6DA5D6" w14:textId="5C8502A8" w:rsidR="00287D35" w:rsidRDefault="00DE39E3" w:rsidP="00DE39E3">
                  <w:pPr>
                    <w:pStyle w:val="Text"/>
                    <w:rPr>
                      <w:lang w:val="en-AU"/>
                    </w:rPr>
                  </w:pPr>
                  <w:r w:rsidRPr="00280328">
                    <w:rPr>
                      <w:lang w:val="en-AU"/>
                    </w:rPr>
                    <w:t>ACCOs identified workforce as a key challenge and opportunity. ACCOs emphasised the importance of employing local Aboriginal workers to deliver SFVS programs</w:t>
                  </w:r>
                  <w:r w:rsidR="008F304B">
                    <w:rPr>
                      <w:lang w:val="en-AU"/>
                    </w:rPr>
                    <w:t xml:space="preserve"> as their</w:t>
                  </w:r>
                  <w:r w:rsidRPr="00280328">
                    <w:rPr>
                      <w:lang w:val="en-AU"/>
                    </w:rPr>
                    <w:t xml:space="preserve"> cultural </w:t>
                  </w:r>
                  <w:r w:rsidRPr="00280328">
                    <w:rPr>
                      <w:lang w:val="en-AU"/>
                    </w:rPr>
                    <w:lastRenderedPageBreak/>
                    <w:t xml:space="preserve">knowledge and skills </w:t>
                  </w:r>
                  <w:r w:rsidR="008F304B">
                    <w:rPr>
                      <w:lang w:val="en-AU"/>
                    </w:rPr>
                    <w:t>are</w:t>
                  </w:r>
                  <w:r w:rsidRPr="00280328">
                    <w:rPr>
                      <w:lang w:val="en-AU"/>
                    </w:rPr>
                    <w:t xml:space="preserve"> critical to ensuring community control and the success of service delivery. </w:t>
                  </w:r>
                  <w:r w:rsidR="00287D35">
                    <w:rPr>
                      <w:lang w:val="en-AU"/>
                    </w:rPr>
                    <w:t xml:space="preserve">The literature indicates that </w:t>
                  </w:r>
                  <w:r w:rsidR="001E6FB0">
                    <w:rPr>
                      <w:lang w:val="en-AU"/>
                    </w:rPr>
                    <w:t xml:space="preserve">staffing by Aboriginal and Torres Strait Islander workers can </w:t>
                  </w:r>
                  <w:r w:rsidR="001E6FB0" w:rsidRPr="004B1335">
                    <w:rPr>
                      <w:lang w:val="en-AU"/>
                    </w:rPr>
                    <w:t>enhance</w:t>
                  </w:r>
                  <w:r w:rsidR="004B1335" w:rsidRPr="004B1335">
                    <w:rPr>
                      <w:lang w:val="en-AU"/>
                    </w:rPr>
                    <w:t xml:space="preserve"> </w:t>
                  </w:r>
                  <w:r w:rsidR="001E6FB0" w:rsidRPr="009B6E48">
                    <w:t xml:space="preserve">culturally competent care which is grounded in </w:t>
                  </w:r>
                  <w:r w:rsidR="00E614D3">
                    <w:rPr>
                      <w:rFonts w:ascii="Arial" w:eastAsia="Arial" w:hAnsi="Arial" w:cs="Arial"/>
                      <w:szCs w:val="22"/>
                    </w:rPr>
                    <w:t>Aboriginal and Torres Strait Islander</w:t>
                  </w:r>
                  <w:r w:rsidR="001E6FB0" w:rsidRPr="009B6E48">
                    <w:t xml:space="preserve"> perspectives, and foster</w:t>
                  </w:r>
                  <w:r w:rsidR="00850967">
                    <w:t>s</w:t>
                  </w:r>
                  <w:r w:rsidR="001E6FB0" w:rsidRPr="009B6E48">
                    <w:t xml:space="preserve"> greater trust and support </w:t>
                  </w:r>
                  <w:r w:rsidR="001E6FB0" w:rsidRPr="009B6E48">
                    <w:fldChar w:fldCharType="begin"/>
                  </w:r>
                  <w:r w:rsidR="00E41D03">
                    <w:instrText xml:space="preserve"> ADDIN ZOTERO_ITEM CSL_CITATION {"citationID":"xmXpVLug","properties":{"formattedCitation":"(Fiolet et al., 2021)","plainCitation":"(Fiolet et al., 2021)","noteIndex":0},"citationItems":[{"id":4749,"uris":["http://zotero.org/groups/5691188/items/F2WNL27Y"],"itemData":{"id":4749,"type":"article-journal","abstract":"Indigenous peoples experience high rates of family violence (FV) yet are said to access support at lower rates than their non-Indigenous counterparts. There is an absence of Indigenous voices regarding their help-seeking behaviors for FV, particularly concerning men’s views. The aim of this research was to seek Indigenous perspectives on their help-seeking behaviors for FV. Individual, face-to-face semistructured interviews took place with 23 Indigenous Australians (14 women and 9 men) recruited from one large community in Victoria, Australia. Interviews were audiotaped and transcribed verbatim. Data were categorized and organized, and themes were identified using thematic analysis. Five main themes emerged from the data. “You’re Aboriginal, so that’s just how it is” describes the experiences with discrimination and judgment that create general barriers for Indigenous peoples to access services. The second theme “putting a big blanket over it” articulates the role that shame plays in deterring support-seeking for FV. “How do you trust somebody?” defines the fear in the hearts and minds of Indigenous participants who contemplate help-seeking. A further main theme of “someone that they could have a yarn with” explores what occurs when participants initially decide to seek support. Their thoughts on what participants want from interactions with formal services are explored in the final theme “a safe space.” Significant barriers to seeking support for FV exist for Indigenous peoples, including discrimination, shame, and fear. Service providers need to work on addressing these barriers through an increased understanding of Indigenous experiences and beliefs in an effort to encourage help-seeking behaviors. Interventions to assist kin in dealing with FV and for service providers to create safe spaces are urgent. More research informed by Indigenous voices is needed.","container-title":"Journal of Interpersonal Violence","DOI":"10.1177/0886260519883861","ISSN":"0886-2605, 1552-6518","issue":"21-22","journalAbbreviation":"J Interpers Violence","language":"en","page":"10128-10146","source":"DOI.org (Crossref)","title":"Indigenous Perspectives on Help-Seeking for Family Violence: Voices From an Australian Community","title-short":"Indigenous Perspectives on Help-Seeking for Family Violence","volume":"36","author":[{"family":"Fiolet","given":"Renee"},{"family":"Tarzia","given":"Laura"},{"family":"Owen","given":"Renee"},{"family":"Eccles","given":"Corrina"},{"family":"Nicholson","given":"Kayley"},{"family":"Owen","given":"May"},{"family":"Fry","given":"Syd"},{"family":"Knox","given":"Jasmine"},{"family":"Hegarty","given":"Kelsey"}],"issued":{"date-parts":[["2021",11]]}}}],"schema":"https://github.com/citation-style-language/schema/raw/master/csl-citation.json"} </w:instrText>
                  </w:r>
                  <w:r w:rsidR="001E6FB0" w:rsidRPr="009B6E48">
                    <w:fldChar w:fldCharType="separate"/>
                  </w:r>
                  <w:r w:rsidR="001E6FB0" w:rsidRPr="009B6E48">
                    <w:rPr>
                      <w:rFonts w:ascii="Arial" w:hAnsi="Arial" w:cs="Arial"/>
                    </w:rPr>
                    <w:t>(Fiolet et al., 2021)</w:t>
                  </w:r>
                  <w:r w:rsidR="001E6FB0" w:rsidRPr="009B6E48">
                    <w:fldChar w:fldCharType="end"/>
                  </w:r>
                  <w:r w:rsidR="004B1335" w:rsidRPr="009B6E48">
                    <w:t xml:space="preserve"> </w:t>
                  </w:r>
                  <w:r w:rsidR="004B1335" w:rsidRPr="009B6E48">
                    <w:fldChar w:fldCharType="begin"/>
                  </w:r>
                  <w:r w:rsidR="00E41D03">
                    <w:rPr>
                      <w:highlight w:val="yellow"/>
                    </w:rPr>
                    <w:instrText xml:space="preserve"> ADDIN ZOTERO_ITEM CSL_CITATION {"citationID":"KikTNnUU","properties":{"formattedCitation":"(Langton and Smith, 2020)","plainCitation":"(Langton and Smith, 2020)","noteIndex":0},"citationItems":[{"id":4616,"uris":["http://zotero.org/groups/5691188/items/KHXS9HZ8"],"itemData":{"id":4616,"type":"article-journal","DOI":"10.13140/RG.2.2.16383.33441","language":"en","note":"publisher: Australia’s National Research Organisation for Women’s Safety Limited","source":"DOI.org (Datacite)","title":"Improving family violence legal and support services for Aboriginal and Torres Strait Islander women","URL":"http://rgdoi.net/10.13140/RG.2.2.16383.33441","author":[{"family":"Langton","given":"Marcia"},{"family":"Smith","given":"Kristen"}],"accessed":{"date-parts":[["2024",10,7]]},"issued":{"date-parts":[["2020"]]}}}],"schema":"https://github.com/citation-style-language/schema/raw/master/csl-citation.json"} </w:instrText>
                  </w:r>
                  <w:r w:rsidR="004B1335" w:rsidRPr="009B6E48">
                    <w:fldChar w:fldCharType="separate"/>
                  </w:r>
                  <w:r w:rsidR="004B1335" w:rsidRPr="009B6E48">
                    <w:rPr>
                      <w:rFonts w:ascii="Arial" w:hAnsi="Arial" w:cs="Arial"/>
                    </w:rPr>
                    <w:t>(Langton and Smith, 2020)</w:t>
                  </w:r>
                  <w:r w:rsidR="004B1335" w:rsidRPr="009B6E48">
                    <w:fldChar w:fldCharType="end"/>
                  </w:r>
                  <w:r w:rsidR="009B6E48" w:rsidRPr="009B6E48">
                    <w:t>. Recruiting and retaining Aboriginal and</w:t>
                  </w:r>
                  <w:r w:rsidR="00E614D3">
                    <w:t xml:space="preserve"> </w:t>
                  </w:r>
                  <w:r w:rsidR="009B6E48" w:rsidRPr="009B6E48">
                    <w:t xml:space="preserve">Torres Strait Islander staff can create a more inclusive environment and reduce the barriers </w:t>
                  </w:r>
                  <w:r w:rsidR="00E614D3">
                    <w:rPr>
                      <w:rFonts w:ascii="Arial" w:eastAsia="Arial" w:hAnsi="Arial" w:cs="Arial"/>
                      <w:szCs w:val="22"/>
                    </w:rPr>
                    <w:t>Aboriginal and Torres Strait Islander</w:t>
                  </w:r>
                  <w:r w:rsidR="009B6E48" w:rsidRPr="00957EE2">
                    <w:rPr>
                      <w:rFonts w:ascii="Arial" w:eastAsia="Arial" w:hAnsi="Arial" w:cs="Arial"/>
                      <w:b/>
                      <w:bCs/>
                      <w:szCs w:val="22"/>
                    </w:rPr>
                    <w:t xml:space="preserve"> </w:t>
                  </w:r>
                  <w:r w:rsidR="009B6E48" w:rsidRPr="009B6E48">
                    <w:t xml:space="preserve">women face when seeking support </w:t>
                  </w:r>
                  <w:r w:rsidR="009B6E48" w:rsidRPr="009B6E48">
                    <w:fldChar w:fldCharType="begin"/>
                  </w:r>
                  <w:r w:rsidR="00E41D03">
                    <w:instrText xml:space="preserve"> ADDIN ZOTERO_ITEM CSL_CITATION {"citationID":"Jy3ielUY","properties":{"formattedCitation":"(Langton and Smith, 2020)","plainCitation":"(Langton and Smith, 2020)","noteIndex":0},"citationItems":[{"id":4616,"uris":["http://zotero.org/groups/5691188/items/KHXS9HZ8"],"itemData":{"id":4616,"type":"article-journal","DOI":"10.13140/RG.2.2.16383.33441","language":"en","note":"publisher: Australia’s National Research Organisation for Women’s Safety Limited","source":"DOI.org (Datacite)","title":"Improving family violence legal and support services for Aboriginal and Torres Strait Islander women","URL":"http://rgdoi.net/10.13140/RG.2.2.16383.33441","author":[{"family":"Langton","given":"Marcia"},{"family":"Smith","given":"Kristen"}],"accessed":{"date-parts":[["2024",10,7]]},"issued":{"date-parts":[["2020"]]}}}],"schema":"https://github.com/citation-style-language/schema/raw/master/csl-citation.json"} </w:instrText>
                  </w:r>
                  <w:r w:rsidR="009B6E48" w:rsidRPr="009B6E48">
                    <w:fldChar w:fldCharType="separate"/>
                  </w:r>
                  <w:r w:rsidR="009B6E48" w:rsidRPr="009B6E48">
                    <w:rPr>
                      <w:rFonts w:ascii="Arial" w:hAnsi="Arial" w:cs="Arial"/>
                    </w:rPr>
                    <w:t>(Langton and Smith, 2020)</w:t>
                  </w:r>
                  <w:r w:rsidR="009B6E48" w:rsidRPr="009B6E48">
                    <w:fldChar w:fldCharType="end"/>
                  </w:r>
                  <w:r w:rsidR="009B6E48" w:rsidRPr="009B6E48">
                    <w:t>.</w:t>
                  </w:r>
                </w:p>
                <w:p w14:paraId="61F22A84" w14:textId="25C88863" w:rsidR="00187932" w:rsidRPr="008F304B" w:rsidRDefault="00DE39E3" w:rsidP="008F304B">
                  <w:pPr>
                    <w:pStyle w:val="Text"/>
                    <w:rPr>
                      <w:lang w:val="en-AU"/>
                    </w:rPr>
                  </w:pPr>
                  <w:r w:rsidRPr="00280328">
                    <w:rPr>
                      <w:lang w:val="en-AU"/>
                    </w:rPr>
                    <w:t>However, providers described a shortage of skilled local workers</w:t>
                  </w:r>
                  <w:r w:rsidR="00E070C1" w:rsidRPr="00280328">
                    <w:rPr>
                      <w:lang w:val="en-AU"/>
                    </w:rPr>
                    <w:t xml:space="preserve"> and</w:t>
                  </w:r>
                  <w:r w:rsidRPr="00280328">
                    <w:rPr>
                      <w:lang w:val="en-AU"/>
                    </w:rPr>
                    <w:t xml:space="preserve"> noted that developing the local workforce requires investment over an extended period. </w:t>
                  </w:r>
                  <w:r>
                    <w:rPr>
                      <w:lang w:val="en-AU"/>
                    </w:rPr>
                    <w:t>Current SFVS funding is n</w:t>
                  </w:r>
                  <w:r w:rsidR="00850967">
                    <w:rPr>
                      <w:lang w:val="en-AU"/>
                    </w:rPr>
                    <w:t>ot</w:t>
                  </w:r>
                  <w:r w:rsidR="009C0F6E">
                    <w:rPr>
                      <w:lang w:val="en-AU"/>
                    </w:rPr>
                    <w:t xml:space="preserve"> </w:t>
                  </w:r>
                  <w:r>
                    <w:rPr>
                      <w:lang w:val="en-AU"/>
                    </w:rPr>
                    <w:t>sufficient</w:t>
                  </w:r>
                  <w:r w:rsidR="00850967">
                    <w:rPr>
                      <w:lang w:val="en-AU"/>
                    </w:rPr>
                    <w:t xml:space="preserve"> </w:t>
                  </w:r>
                  <w:r w:rsidR="002C6D3B">
                    <w:rPr>
                      <w:lang w:val="en-AU"/>
                    </w:rPr>
                    <w:t>or long</w:t>
                  </w:r>
                  <w:r>
                    <w:rPr>
                      <w:lang w:val="en-AU"/>
                    </w:rPr>
                    <w:t>-term</w:t>
                  </w:r>
                  <w:r w:rsidR="00850967">
                    <w:rPr>
                      <w:lang w:val="en-AU"/>
                    </w:rPr>
                    <w:t xml:space="preserve"> enough</w:t>
                  </w:r>
                  <w:r>
                    <w:rPr>
                      <w:lang w:val="en-AU"/>
                    </w:rPr>
                    <w:t xml:space="preserve"> to support this</w:t>
                  </w:r>
                  <w:r w:rsidR="00CC030B">
                    <w:rPr>
                      <w:lang w:val="en-AU"/>
                    </w:rPr>
                    <w:t xml:space="preserve"> workforce development</w:t>
                  </w:r>
                  <w:r w:rsidRPr="00280328">
                    <w:rPr>
                      <w:lang w:val="en-AU"/>
                    </w:rPr>
                    <w:t>.</w:t>
                  </w:r>
                </w:p>
                <w:p w14:paraId="2255FD0C" w14:textId="0F5A72F0" w:rsidR="00187932" w:rsidRPr="007B623E" w:rsidRDefault="00187932" w:rsidP="00187932">
                  <w:pPr>
                    <w:pBdr>
                      <w:left w:val="single" w:sz="18" w:space="4" w:color="78B800" w:themeColor="accent1"/>
                    </w:pBdr>
                    <w:tabs>
                      <w:tab w:val="left" w:pos="8080"/>
                    </w:tabs>
                    <w:spacing w:after="0"/>
                    <w:ind w:left="851" w:right="949"/>
                    <w:rPr>
                      <w:i/>
                    </w:rPr>
                  </w:pPr>
                  <w:r w:rsidRPr="002E7992">
                    <w:rPr>
                      <w:noProof/>
                    </w:rPr>
                    <w:drawing>
                      <wp:anchor distT="0" distB="0" distL="114300" distR="114300" simplePos="0" relativeHeight="251658376" behindDoc="0" locked="1" layoutInCell="1" allowOverlap="1" wp14:anchorId="4A97AB6A" wp14:editId="29048541">
                        <wp:simplePos x="0" y="0"/>
                        <wp:positionH relativeFrom="column">
                          <wp:posOffset>0</wp:posOffset>
                        </wp:positionH>
                        <wp:positionV relativeFrom="paragraph">
                          <wp:posOffset>0</wp:posOffset>
                        </wp:positionV>
                        <wp:extent cx="384810" cy="320040"/>
                        <wp:effectExtent l="0" t="0" r="0" b="3810"/>
                        <wp:wrapNone/>
                        <wp:docPr id="1201171641" name="Graphic 1201171641" descr="P3542#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171641" name="Graphic 1201171641" descr="P3542#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80328">
                    <w:rPr>
                      <w:i/>
                      <w:iCs/>
                    </w:rPr>
                    <w:t>We have as a system failed in building a strong Aboriginal workforce so then when there's an opportunity to access funding like this, you're now attached to timelines and [a] timeframe that has to be delivered, it runs pretty hamstrung to invest in the development. We're doing the work as fast as we can but there's not enough time and money and effectiveness in building the workforce to… bring people with us</w:t>
                  </w:r>
                  <w:r w:rsidRPr="009246D7">
                    <w:rPr>
                      <w:i/>
                      <w:iCs/>
                    </w:rPr>
                    <w:t xml:space="preserve"> </w:t>
                  </w:r>
                  <w:r>
                    <w:rPr>
                      <w:i/>
                      <w:iCs/>
                    </w:rPr>
                    <w:t>–</w:t>
                  </w:r>
                  <w:r>
                    <w:rPr>
                      <w:b/>
                      <w:bCs/>
                      <w:i/>
                      <w:iCs/>
                    </w:rPr>
                    <w:t xml:space="preserve"> ACCO SFVS service provider</w:t>
                  </w:r>
                </w:p>
                <w:p w14:paraId="123A4EEA" w14:textId="77777777" w:rsidR="00187932" w:rsidRDefault="00187932" w:rsidP="00DE39E3">
                  <w:pPr>
                    <w:pStyle w:val="Text"/>
                    <w:rPr>
                      <w:lang w:val="en-AU"/>
                    </w:rPr>
                  </w:pPr>
                </w:p>
                <w:p w14:paraId="61EF0F0D" w14:textId="401C9ECA" w:rsidR="00DE39E3" w:rsidRDefault="00DE39E3" w:rsidP="008E1B83">
                  <w:pPr>
                    <w:pStyle w:val="Text"/>
                    <w:rPr>
                      <w:lang w:val="en-GB"/>
                    </w:rPr>
                  </w:pPr>
                  <w:r w:rsidRPr="00280328">
                    <w:rPr>
                      <w:lang w:val="en-AU"/>
                    </w:rPr>
                    <w:t xml:space="preserve">ACCOs also noted the importance of building diverse teams to ensure service delivery and interactions are culturally appropriate, particularly </w:t>
                  </w:r>
                  <w:r w:rsidR="00B173D1" w:rsidRPr="00280328">
                    <w:rPr>
                      <w:lang w:val="en-AU"/>
                    </w:rPr>
                    <w:t>considering</w:t>
                  </w:r>
                  <w:r w:rsidRPr="00280328">
                    <w:rPr>
                      <w:lang w:val="en-AU"/>
                    </w:rPr>
                    <w:t xml:space="preserve"> the sensitivities inherent in family violence work. This includes a mix of Aboriginal and non-Aboriginal, male and female workers. Each ACCO currently receives sufficient funding to employ 2 FTE or less. For some ACCOs, the inability to recruit a sufficiently </w:t>
                  </w:r>
                  <w:r w:rsidR="000A049E">
                    <w:rPr>
                      <w:lang w:val="en-AU"/>
                    </w:rPr>
                    <w:t xml:space="preserve">large and </w:t>
                  </w:r>
                  <w:r w:rsidRPr="00280328">
                    <w:rPr>
                      <w:lang w:val="en-AU"/>
                    </w:rPr>
                    <w:t>diverse team has compromised their ability to deliver their SFVS program</w:t>
                  </w:r>
                  <w:r w:rsidR="002D0D5F">
                    <w:rPr>
                      <w:lang w:val="en-AU"/>
                    </w:rPr>
                    <w:t>s</w:t>
                  </w:r>
                  <w:r w:rsidRPr="00280328">
                    <w:rPr>
                      <w:lang w:val="en-AU"/>
                    </w:rPr>
                    <w:t xml:space="preserve"> as planned.</w:t>
                  </w:r>
                </w:p>
                <w:p w14:paraId="2B2161E1" w14:textId="589FB504" w:rsidR="00DE39E3" w:rsidRPr="007B623E" w:rsidRDefault="00DE39E3" w:rsidP="00DE39E3">
                  <w:pPr>
                    <w:pBdr>
                      <w:left w:val="single" w:sz="18" w:space="4" w:color="78B800" w:themeColor="accent1"/>
                    </w:pBdr>
                    <w:tabs>
                      <w:tab w:val="left" w:pos="8080"/>
                    </w:tabs>
                    <w:spacing w:after="0"/>
                    <w:ind w:left="851" w:right="949"/>
                    <w:rPr>
                      <w:i/>
                    </w:rPr>
                  </w:pPr>
                  <w:r w:rsidRPr="002E7992">
                    <w:rPr>
                      <w:noProof/>
                    </w:rPr>
                    <w:drawing>
                      <wp:anchor distT="0" distB="0" distL="114300" distR="114300" simplePos="0" relativeHeight="251658377" behindDoc="0" locked="1" layoutInCell="1" allowOverlap="1" wp14:anchorId="3AD868DB" wp14:editId="0FE55990">
                        <wp:simplePos x="0" y="0"/>
                        <wp:positionH relativeFrom="column">
                          <wp:posOffset>0</wp:posOffset>
                        </wp:positionH>
                        <wp:positionV relativeFrom="paragraph">
                          <wp:posOffset>0</wp:posOffset>
                        </wp:positionV>
                        <wp:extent cx="384810" cy="320040"/>
                        <wp:effectExtent l="0" t="0" r="0" b="3810"/>
                        <wp:wrapNone/>
                        <wp:docPr id="173032250" name="Graphic 173032250" descr="P3545#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32250" name="Graphic 173032250" descr="P3545#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i/>
                      <w:iCs/>
                    </w:rPr>
                    <w:t>[</w:t>
                  </w:r>
                  <w:r w:rsidRPr="00280328">
                    <w:rPr>
                      <w:i/>
                      <w:iCs/>
                    </w:rPr>
                    <w:t xml:space="preserve">This program] specified at the start that it's meant to have an independent dads and </w:t>
                  </w:r>
                  <w:r w:rsidR="00EA0542" w:rsidRPr="00280328">
                    <w:rPr>
                      <w:i/>
                      <w:iCs/>
                    </w:rPr>
                    <w:t>kids’</w:t>
                  </w:r>
                  <w:r w:rsidRPr="00280328">
                    <w:rPr>
                      <w:i/>
                      <w:iCs/>
                    </w:rPr>
                    <w:t xml:space="preserve"> group. And that's not really possible for me, as a white female worker to be going and having a dads and </w:t>
                  </w:r>
                  <w:r w:rsidR="00EA0542" w:rsidRPr="00280328">
                    <w:rPr>
                      <w:i/>
                      <w:iCs/>
                    </w:rPr>
                    <w:t>kids’</w:t>
                  </w:r>
                  <w:r w:rsidRPr="00280328">
                    <w:rPr>
                      <w:i/>
                      <w:iCs/>
                    </w:rPr>
                    <w:t xml:space="preserve"> group. In partnership with [a partner] we tried to get that up and going, but even </w:t>
                  </w:r>
                  <w:r w:rsidR="00EA0542" w:rsidRPr="00280328">
                    <w:rPr>
                      <w:i/>
                      <w:iCs/>
                    </w:rPr>
                    <w:t>then,</w:t>
                  </w:r>
                  <w:r w:rsidRPr="00280328">
                    <w:rPr>
                      <w:i/>
                      <w:iCs/>
                    </w:rPr>
                    <w:t xml:space="preserve"> I can't do the things that I do with the mums</w:t>
                  </w:r>
                  <w:r w:rsidRPr="009246D7">
                    <w:rPr>
                      <w:i/>
                      <w:iCs/>
                    </w:rPr>
                    <w:t xml:space="preserve"> </w:t>
                  </w:r>
                  <w:r>
                    <w:rPr>
                      <w:i/>
                      <w:iCs/>
                    </w:rPr>
                    <w:t>–</w:t>
                  </w:r>
                  <w:r>
                    <w:rPr>
                      <w:b/>
                      <w:bCs/>
                      <w:i/>
                      <w:iCs/>
                    </w:rPr>
                    <w:t xml:space="preserve"> ACCO SFVS service provider</w:t>
                  </w:r>
                </w:p>
                <w:p w14:paraId="3AB4CDC1" w14:textId="77777777" w:rsidR="00DE39E3" w:rsidRDefault="00DE39E3" w:rsidP="00DE39E3">
                  <w:pPr>
                    <w:pStyle w:val="Text"/>
                    <w:rPr>
                      <w:lang w:val="en-AU"/>
                    </w:rPr>
                  </w:pPr>
                </w:p>
                <w:p w14:paraId="79584C88" w14:textId="4A42008E" w:rsidR="009B40AC" w:rsidRDefault="009D5B01" w:rsidP="009B40AC">
                  <w:pPr>
                    <w:pStyle w:val="Text"/>
                  </w:pPr>
                  <w:r w:rsidRPr="00280328">
                    <w:rPr>
                      <w:lang w:val="en-AU"/>
                    </w:rPr>
                    <w:t xml:space="preserve">Attracting </w:t>
                  </w:r>
                  <w:r w:rsidRPr="005740C4">
                    <w:rPr>
                      <w:lang w:val="en-AU"/>
                    </w:rPr>
                    <w:t xml:space="preserve">and retaining skilled workers to remote areas is a persistent challenge, made even more difficult by housing shortages in many communities. </w:t>
                  </w:r>
                  <w:r w:rsidR="00100831" w:rsidRPr="005740C4">
                    <w:rPr>
                      <w:lang w:val="en-AU"/>
                    </w:rPr>
                    <w:t xml:space="preserve">Non-Aboriginal staff often require </w:t>
                  </w:r>
                  <w:r w:rsidR="00100831" w:rsidRPr="005740C4">
                    <w:t xml:space="preserve">extensive training on cultural safety and understanding the unique context of </w:t>
                  </w:r>
                  <w:r w:rsidR="00E614D3">
                    <w:rPr>
                      <w:rFonts w:ascii="Arial" w:eastAsia="Arial" w:hAnsi="Arial" w:cs="Arial"/>
                      <w:szCs w:val="22"/>
                    </w:rPr>
                    <w:t>Aboriginal and Torres Strait Islander</w:t>
                  </w:r>
                  <w:r w:rsidR="00100831" w:rsidRPr="005740C4">
                    <w:t xml:space="preserve"> family violence </w:t>
                  </w:r>
                  <w:r w:rsidR="00100831" w:rsidRPr="005740C4">
                    <w:fldChar w:fldCharType="begin"/>
                  </w:r>
                  <w:r w:rsidR="00E41D03">
                    <w:rPr>
                      <w:highlight w:val="yellow"/>
                    </w:rPr>
                    <w:instrText xml:space="preserve"> ADDIN ZOTERO_ITEM CSL_CITATION {"citationID":"vjD2AYUf","properties":{"formattedCitation":"(Langton and Smith, 2020)","plainCitation":"(Langton and Smith, 2020)","noteIndex":0},"citationItems":[{"id":4616,"uris":["http://zotero.org/groups/5691188/items/KHXS9HZ8"],"itemData":{"id":4616,"type":"article-journal","DOI":"10.13140/RG.2.2.16383.33441","language":"en","note":"publisher: Australia’s National Research Organisation for Women’s Safety Limited","source":"DOI.org (Datacite)","title":"Improving family violence legal and support services for Aboriginal and Torres Strait Islander women","URL":"http://rgdoi.net/10.13140/RG.2.2.16383.33441","author":[{"family":"Langton","given":"Marcia"},{"family":"Smith","given":"Kristen"}],"accessed":{"date-parts":[["2024",10,7]]},"issued":{"date-parts":[["2020"]]}}}],"schema":"https://github.com/citation-style-language/schema/raw/master/csl-citation.json"} </w:instrText>
                  </w:r>
                  <w:r w:rsidR="00100831" w:rsidRPr="005740C4">
                    <w:fldChar w:fldCharType="separate"/>
                  </w:r>
                  <w:r w:rsidR="00100831" w:rsidRPr="005740C4">
                    <w:rPr>
                      <w:rFonts w:ascii="Arial" w:hAnsi="Arial" w:cs="Arial"/>
                    </w:rPr>
                    <w:t>(Langton and Smith, 2020)</w:t>
                  </w:r>
                  <w:r w:rsidR="00100831" w:rsidRPr="005740C4">
                    <w:fldChar w:fldCharType="end"/>
                  </w:r>
                  <w:r w:rsidR="009B40AC" w:rsidRPr="005740C4">
                    <w:t>. High</w:t>
                  </w:r>
                  <w:r w:rsidR="009B40AC" w:rsidRPr="00280328">
                    <w:t xml:space="preserve"> staff turnover can impact service delivery</w:t>
                  </w:r>
                  <w:r w:rsidR="005740C4">
                    <w:t>, cultural competence and</w:t>
                  </w:r>
                  <w:r w:rsidR="009B40AC" w:rsidRPr="00280328">
                    <w:t xml:space="preserve"> continuity of care for </w:t>
                  </w:r>
                  <w:r w:rsidR="005740C4">
                    <w:t>service users</w:t>
                  </w:r>
                  <w:r w:rsidR="009B40AC" w:rsidRPr="00280328">
                    <w:t>.</w:t>
                  </w:r>
                </w:p>
                <w:p w14:paraId="7AF45C2D" w14:textId="5ED17D61" w:rsidR="00CE0103" w:rsidRDefault="00DE39E3" w:rsidP="00321BC5">
                  <w:pPr>
                    <w:pStyle w:val="Text"/>
                    <w:rPr>
                      <w:color w:val="36424A" w:themeColor="background2"/>
                    </w:rPr>
                  </w:pPr>
                  <w:r w:rsidRPr="00280328">
                    <w:rPr>
                      <w:lang w:val="en-AU"/>
                    </w:rPr>
                    <w:t xml:space="preserve">Current SFVS funding settings do not adequately support ACCOs to </w:t>
                  </w:r>
                  <w:r w:rsidR="0098476E">
                    <w:rPr>
                      <w:lang w:val="en-AU"/>
                    </w:rPr>
                    <w:t xml:space="preserve">build </w:t>
                  </w:r>
                  <w:r w:rsidR="007919AE">
                    <w:rPr>
                      <w:lang w:val="en-AU"/>
                    </w:rPr>
                    <w:t xml:space="preserve">diverse teams, to </w:t>
                  </w:r>
                  <w:r w:rsidR="00187932">
                    <w:rPr>
                      <w:lang w:val="en-AU"/>
                    </w:rPr>
                    <w:t>embed</w:t>
                  </w:r>
                  <w:r w:rsidR="007919AE">
                    <w:rPr>
                      <w:lang w:val="en-AU"/>
                    </w:rPr>
                    <w:t xml:space="preserve"> workforce resilience, or </w:t>
                  </w:r>
                  <w:r w:rsidRPr="00280328">
                    <w:rPr>
                      <w:lang w:val="en-AU"/>
                    </w:rPr>
                    <w:t>to develop a local workforce.</w:t>
                  </w:r>
                  <w:r w:rsidR="007919AE">
                    <w:rPr>
                      <w:lang w:val="en-AU"/>
                    </w:rPr>
                    <w:t xml:space="preserve"> </w:t>
                  </w:r>
                  <w:r w:rsidRPr="00280328">
                    <w:rPr>
                      <w:lang w:val="en-AU"/>
                    </w:rPr>
                    <w:t>Lack of longer-term funding certainty further complicates workforce sustainability and development.</w:t>
                  </w:r>
                  <w:r w:rsidR="007919AE">
                    <w:rPr>
                      <w:lang w:val="en-AU"/>
                    </w:rPr>
                    <w:t xml:space="preserve"> </w:t>
                  </w:r>
                </w:p>
                <w:p w14:paraId="7DF3A518" w14:textId="4EA4D407" w:rsidR="004C0128" w:rsidRPr="004C0128" w:rsidRDefault="004C0128" w:rsidP="00321BC5">
                  <w:pPr>
                    <w:pStyle w:val="Text"/>
                    <w:spacing w:before="360"/>
                    <w:rPr>
                      <w:b/>
                      <w:bCs/>
                      <w:color w:val="36424A" w:themeColor="background2"/>
                    </w:rPr>
                  </w:pPr>
                  <w:r w:rsidRPr="004C0128">
                    <w:rPr>
                      <w:b/>
                      <w:bCs/>
                      <w:color w:val="36424A" w:themeColor="background2"/>
                    </w:rPr>
                    <w:lastRenderedPageBreak/>
                    <w:t>Funding</w:t>
                  </w:r>
                </w:p>
                <w:p w14:paraId="5DFF4D12" w14:textId="0A3CDCAB" w:rsidR="00866584" w:rsidRDefault="00866584" w:rsidP="00547355">
                  <w:pPr>
                    <w:pStyle w:val="Text"/>
                    <w:rPr>
                      <w:lang w:val="en-AU"/>
                    </w:rPr>
                  </w:pPr>
                  <w:r>
                    <w:rPr>
                      <w:lang w:val="en-AU"/>
                    </w:rPr>
                    <w:t xml:space="preserve">There is scope to better align </w:t>
                  </w:r>
                  <w:r w:rsidR="00137002">
                    <w:rPr>
                      <w:lang w:val="en-AU"/>
                    </w:rPr>
                    <w:t xml:space="preserve">SFVS funding settings for ACCOs with principles underpinning good practice in the design and delivery of family violence services to Aboriginal and Torres </w:t>
                  </w:r>
                  <w:r w:rsidR="00E070C1">
                    <w:rPr>
                      <w:lang w:val="en-AU"/>
                    </w:rPr>
                    <w:t xml:space="preserve">Strait </w:t>
                  </w:r>
                  <w:r w:rsidR="00137002">
                    <w:rPr>
                      <w:lang w:val="en-AU"/>
                    </w:rPr>
                    <w:t>Islander communities.</w:t>
                  </w:r>
                </w:p>
                <w:p w14:paraId="6AED4232" w14:textId="5AF574D0" w:rsidR="009D1165" w:rsidRDefault="00C0407C" w:rsidP="008E1B83">
                  <w:pPr>
                    <w:pStyle w:val="Text"/>
                    <w:rPr>
                      <w:lang w:val="en-GB"/>
                    </w:rPr>
                  </w:pPr>
                  <w:r w:rsidRPr="00547355">
                    <w:rPr>
                      <w:lang w:val="en-AU"/>
                    </w:rPr>
                    <w:t>SFVS funding to each ACCO (</w:t>
                  </w:r>
                  <w:r w:rsidR="00FA4966">
                    <w:rPr>
                      <w:lang w:val="en-AU"/>
                    </w:rPr>
                    <w:t>2</w:t>
                  </w:r>
                  <w:r w:rsidRPr="00547355">
                    <w:rPr>
                      <w:lang w:val="en-AU"/>
                    </w:rPr>
                    <w:t xml:space="preserve"> FTE or less) represent</w:t>
                  </w:r>
                  <w:r w:rsidR="00D50ECC">
                    <w:rPr>
                      <w:lang w:val="en-AU"/>
                    </w:rPr>
                    <w:t>s</w:t>
                  </w:r>
                  <w:r w:rsidRPr="00547355">
                    <w:rPr>
                      <w:lang w:val="en-AU"/>
                    </w:rPr>
                    <w:t xml:space="preserve"> a </w:t>
                  </w:r>
                  <w:r w:rsidR="00603DDA">
                    <w:rPr>
                      <w:lang w:val="en-AU"/>
                    </w:rPr>
                    <w:t>small</w:t>
                  </w:r>
                  <w:r w:rsidRPr="00547355">
                    <w:rPr>
                      <w:lang w:val="en-AU"/>
                    </w:rPr>
                    <w:t xml:space="preserve"> proportion of </w:t>
                  </w:r>
                  <w:r w:rsidR="008E6CF6">
                    <w:rPr>
                      <w:lang w:val="en-AU"/>
                    </w:rPr>
                    <w:t>each</w:t>
                  </w:r>
                  <w:r w:rsidRPr="00547355">
                    <w:rPr>
                      <w:lang w:val="en-AU"/>
                    </w:rPr>
                    <w:t xml:space="preserve"> organisation’s overall funding.</w:t>
                  </w:r>
                  <w:r w:rsidR="00FA4966">
                    <w:t xml:space="preserve"> </w:t>
                  </w:r>
                  <w:r w:rsidRPr="00547355">
                    <w:t xml:space="preserve">The success of </w:t>
                  </w:r>
                  <w:r w:rsidR="00843938" w:rsidRPr="00547355">
                    <w:t>the</w:t>
                  </w:r>
                  <w:r w:rsidR="00FA4966">
                    <w:t>ir SFVS</w:t>
                  </w:r>
                  <w:r w:rsidRPr="00547355">
                    <w:t xml:space="preserve"> programs relies on integrated service design which means relying on funding ‘in kind’ from other programs</w:t>
                  </w:r>
                  <w:r w:rsidRPr="00547355">
                    <w:rPr>
                      <w:lang w:val="en-AU"/>
                    </w:rPr>
                    <w:t>, staff, and partners.</w:t>
                  </w:r>
                  <w:r w:rsidR="00A27A16">
                    <w:rPr>
                      <w:lang w:val="en-AU"/>
                    </w:rPr>
                    <w:t xml:space="preserve"> </w:t>
                  </w:r>
                  <w:r w:rsidRPr="00547355">
                    <w:rPr>
                      <w:lang w:val="en-AU"/>
                    </w:rPr>
                    <w:t>While this amplifies the impact of the SFVS investment, it places pressure on already-stretched resources and is not necessarily sustainable.</w:t>
                  </w:r>
                </w:p>
                <w:p w14:paraId="2B1169AF" w14:textId="112D51DA" w:rsidR="009D1165" w:rsidRPr="007B623E" w:rsidRDefault="009D1165" w:rsidP="009D1165">
                  <w:pPr>
                    <w:pBdr>
                      <w:left w:val="single" w:sz="18" w:space="4" w:color="78B800" w:themeColor="accent1"/>
                    </w:pBdr>
                    <w:tabs>
                      <w:tab w:val="left" w:pos="8080"/>
                    </w:tabs>
                    <w:spacing w:after="0"/>
                    <w:ind w:left="851" w:right="949"/>
                    <w:rPr>
                      <w:i/>
                    </w:rPr>
                  </w:pPr>
                  <w:r w:rsidRPr="002E7992">
                    <w:rPr>
                      <w:noProof/>
                    </w:rPr>
                    <w:drawing>
                      <wp:anchor distT="0" distB="0" distL="114300" distR="114300" simplePos="0" relativeHeight="251658378" behindDoc="0" locked="1" layoutInCell="1" allowOverlap="1" wp14:anchorId="5610193E" wp14:editId="4030573B">
                        <wp:simplePos x="0" y="0"/>
                        <wp:positionH relativeFrom="column">
                          <wp:posOffset>0</wp:posOffset>
                        </wp:positionH>
                        <wp:positionV relativeFrom="paragraph">
                          <wp:posOffset>0</wp:posOffset>
                        </wp:positionV>
                        <wp:extent cx="384810" cy="320040"/>
                        <wp:effectExtent l="0" t="0" r="0" b="3810"/>
                        <wp:wrapNone/>
                        <wp:docPr id="1458752613" name="Graphic 1458752613" descr="P3552#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752613" name="Graphic 1458752613" descr="P3552#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47355">
                    <w:rPr>
                      <w:i/>
                      <w:iCs/>
                    </w:rPr>
                    <w:t>Without the other services supporting it, there’s no way that it’s enough. The only way we can make it work is to top it up</w:t>
                  </w:r>
                  <w:r w:rsidRPr="009246D7">
                    <w:rPr>
                      <w:i/>
                      <w:iCs/>
                    </w:rPr>
                    <w:t xml:space="preserve"> </w:t>
                  </w:r>
                  <w:r>
                    <w:rPr>
                      <w:i/>
                      <w:iCs/>
                    </w:rPr>
                    <w:t>–</w:t>
                  </w:r>
                  <w:r>
                    <w:rPr>
                      <w:b/>
                      <w:bCs/>
                      <w:i/>
                      <w:iCs/>
                    </w:rPr>
                    <w:t xml:space="preserve"> ACCO SFVS service provider</w:t>
                  </w:r>
                </w:p>
                <w:p w14:paraId="45766AD5" w14:textId="77777777" w:rsidR="009D1165" w:rsidRPr="00547355" w:rsidRDefault="009D1165" w:rsidP="00547355">
                  <w:pPr>
                    <w:pStyle w:val="Text"/>
                  </w:pPr>
                </w:p>
                <w:p w14:paraId="088D2669" w14:textId="237FC065" w:rsidR="008607C0" w:rsidRDefault="00187932" w:rsidP="008E1B83">
                  <w:pPr>
                    <w:pStyle w:val="Text"/>
                    <w:rPr>
                      <w:lang w:val="en-GB"/>
                    </w:rPr>
                  </w:pPr>
                  <w:r>
                    <w:rPr>
                      <w:lang w:val="en-AU"/>
                    </w:rPr>
                    <w:t xml:space="preserve">SFVS-funded ACCOs identified several ways in which current funding settings do not meet </w:t>
                  </w:r>
                  <w:r w:rsidR="008607C0">
                    <w:rPr>
                      <w:lang w:val="en-AU"/>
                    </w:rPr>
                    <w:t xml:space="preserve">need. The first is that demand outstrips service capacity. ACCOs described significant unmet need in their communities for services, which they are currently unable to resource. </w:t>
                  </w:r>
                  <w:r w:rsidR="008607C0" w:rsidRPr="00547355">
                    <w:rPr>
                      <w:lang w:val="en-AU"/>
                    </w:rPr>
                    <w:t>One program has actively avoided promoti</w:t>
                  </w:r>
                  <w:r w:rsidR="00F42161">
                    <w:rPr>
                      <w:lang w:val="en-AU"/>
                    </w:rPr>
                    <w:t>on</w:t>
                  </w:r>
                  <w:r w:rsidR="008607C0" w:rsidRPr="00547355">
                    <w:rPr>
                      <w:lang w:val="en-AU"/>
                    </w:rPr>
                    <w:t xml:space="preserve"> because it is unable to meet </w:t>
                  </w:r>
                  <w:r w:rsidR="003B6537">
                    <w:rPr>
                      <w:lang w:val="en-AU"/>
                    </w:rPr>
                    <w:t xml:space="preserve">existing </w:t>
                  </w:r>
                  <w:r w:rsidR="008607C0" w:rsidRPr="00547355">
                    <w:rPr>
                      <w:lang w:val="en-AU"/>
                    </w:rPr>
                    <w:t>demand f</w:t>
                  </w:r>
                  <w:r w:rsidR="00D84517">
                    <w:rPr>
                      <w:lang w:val="en-AU"/>
                    </w:rPr>
                    <w:t>rom</w:t>
                  </w:r>
                  <w:r w:rsidR="008607C0" w:rsidRPr="00547355">
                    <w:rPr>
                      <w:lang w:val="en-AU"/>
                    </w:rPr>
                    <w:t xml:space="preserve"> referrals.</w:t>
                  </w:r>
                </w:p>
                <w:p w14:paraId="2A0736A7" w14:textId="7704ABF8" w:rsidR="008607C0" w:rsidRPr="007B623E" w:rsidRDefault="008607C0" w:rsidP="008607C0">
                  <w:pPr>
                    <w:pBdr>
                      <w:left w:val="single" w:sz="18" w:space="4" w:color="78B800" w:themeColor="accent1"/>
                    </w:pBdr>
                    <w:tabs>
                      <w:tab w:val="left" w:pos="8080"/>
                    </w:tabs>
                    <w:spacing w:after="0"/>
                    <w:ind w:left="851" w:right="949"/>
                    <w:rPr>
                      <w:i/>
                    </w:rPr>
                  </w:pPr>
                  <w:r w:rsidRPr="002E7992">
                    <w:rPr>
                      <w:noProof/>
                    </w:rPr>
                    <w:drawing>
                      <wp:anchor distT="0" distB="0" distL="114300" distR="114300" simplePos="0" relativeHeight="251658379" behindDoc="0" locked="1" layoutInCell="1" allowOverlap="1" wp14:anchorId="71C87A75" wp14:editId="27FDFBA8">
                        <wp:simplePos x="0" y="0"/>
                        <wp:positionH relativeFrom="column">
                          <wp:posOffset>0</wp:posOffset>
                        </wp:positionH>
                        <wp:positionV relativeFrom="paragraph">
                          <wp:posOffset>0</wp:posOffset>
                        </wp:positionV>
                        <wp:extent cx="384810" cy="320040"/>
                        <wp:effectExtent l="0" t="0" r="0" b="3810"/>
                        <wp:wrapNone/>
                        <wp:docPr id="1555144384" name="Graphic 1555144384" descr="P3555#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144384" name="Graphic 1555144384" descr="P3555#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i/>
                      <w:iCs/>
                    </w:rPr>
                    <w:t>[</w:t>
                  </w:r>
                  <w:r w:rsidRPr="00547355">
                    <w:rPr>
                      <w:i/>
                      <w:iCs/>
                    </w:rPr>
                    <w:t>SFVS] funds just one position and all of these other programs integrate and work across teams and so I think in terms of bang for your buck - we get a lot… If you didn't have all these multiple components, you wouldn't be able to execute the requirements for this one position because it's not possible to complete all those tasks culturally safe[ly] and have outcomes because</w:t>
                  </w:r>
                  <w:r w:rsidR="00147891">
                    <w:rPr>
                      <w:i/>
                      <w:iCs/>
                    </w:rPr>
                    <w:t xml:space="preserve"> [</w:t>
                  </w:r>
                  <w:r w:rsidRPr="00547355">
                    <w:rPr>
                      <w:i/>
                      <w:iCs/>
                    </w:rPr>
                    <w:t>…</w:t>
                  </w:r>
                  <w:r w:rsidR="00147891">
                    <w:rPr>
                      <w:i/>
                      <w:iCs/>
                    </w:rPr>
                    <w:t>]</w:t>
                  </w:r>
                  <w:r w:rsidRPr="00547355">
                    <w:rPr>
                      <w:i/>
                      <w:iCs/>
                    </w:rPr>
                    <w:t xml:space="preserve"> that's just not humanly possible</w:t>
                  </w:r>
                  <w:r w:rsidR="00147891">
                    <w:rPr>
                      <w:i/>
                      <w:iCs/>
                    </w:rPr>
                    <w:t xml:space="preserve"> [</w:t>
                  </w:r>
                  <w:r w:rsidRPr="00547355">
                    <w:rPr>
                      <w:i/>
                      <w:iCs/>
                    </w:rPr>
                    <w:t>…</w:t>
                  </w:r>
                  <w:r w:rsidR="00147891">
                    <w:rPr>
                      <w:i/>
                      <w:iCs/>
                    </w:rPr>
                    <w:t>]</w:t>
                  </w:r>
                  <w:r w:rsidRPr="00547355">
                    <w:rPr>
                      <w:i/>
                      <w:iCs/>
                    </w:rPr>
                    <w:t xml:space="preserve"> We're doing a lot with the limited funding that we have, but we're not meeting the needs - nowhere near</w:t>
                  </w:r>
                  <w:r>
                    <w:rPr>
                      <w:i/>
                      <w:iCs/>
                    </w:rPr>
                    <w:t xml:space="preserve"> </w:t>
                  </w:r>
                  <w:r w:rsidRPr="002E7992">
                    <w:rPr>
                      <w:b/>
                      <w:bCs/>
                      <w:i/>
                      <w:iCs/>
                    </w:rPr>
                    <w:t>–</w:t>
                  </w:r>
                  <w:r>
                    <w:rPr>
                      <w:b/>
                      <w:bCs/>
                      <w:i/>
                      <w:iCs/>
                    </w:rPr>
                    <w:t xml:space="preserve"> ACCO SFVS service provider</w:t>
                  </w:r>
                </w:p>
                <w:p w14:paraId="5ACEBBA8" w14:textId="77777777" w:rsidR="008607C0" w:rsidRDefault="008607C0" w:rsidP="00547355">
                  <w:pPr>
                    <w:pStyle w:val="Text"/>
                    <w:rPr>
                      <w:lang w:val="en-AU"/>
                    </w:rPr>
                  </w:pPr>
                </w:p>
                <w:p w14:paraId="787A2561" w14:textId="08B7F73E" w:rsidR="00881E2B" w:rsidRDefault="008607C0" w:rsidP="008E1B83">
                  <w:pPr>
                    <w:pStyle w:val="Text"/>
                    <w:rPr>
                      <w:lang w:val="en-GB"/>
                    </w:rPr>
                  </w:pPr>
                  <w:r>
                    <w:rPr>
                      <w:lang w:val="en-AU"/>
                    </w:rPr>
                    <w:t xml:space="preserve">The second is that ACCO service providers are </w:t>
                  </w:r>
                  <w:r w:rsidR="009D1165">
                    <w:rPr>
                      <w:lang w:val="en-AU"/>
                    </w:rPr>
                    <w:t xml:space="preserve">often </w:t>
                  </w:r>
                  <w:r w:rsidRPr="008607C0">
                    <w:t>unable to build on what they have found works</w:t>
                  </w:r>
                  <w:r w:rsidRPr="00547355">
                    <w:rPr>
                      <w:b/>
                      <w:bCs/>
                    </w:rPr>
                    <w:t xml:space="preserve"> </w:t>
                  </w:r>
                  <w:r w:rsidRPr="00547355">
                    <w:t xml:space="preserve">because of </w:t>
                  </w:r>
                  <w:r>
                    <w:t xml:space="preserve">a </w:t>
                  </w:r>
                  <w:r w:rsidRPr="00547355">
                    <w:t xml:space="preserve">lack of FTE. </w:t>
                  </w:r>
                  <w:r>
                    <w:t>One ACCO described being unable</w:t>
                  </w:r>
                  <w:r w:rsidR="00B43480">
                    <w:t xml:space="preserve"> to expand outreach and instituting regular follow-ups for individuals who have engaged with their program, despite knowing that these approaches are effective in supporting sustained engagement. Some ACCOs also described being limited in their ability to </w:t>
                  </w:r>
                  <w:r w:rsidR="005618CC">
                    <w:t>deliver</w:t>
                  </w:r>
                  <w:r w:rsidR="00B43480">
                    <w:t xml:space="preserve"> preventative, general </w:t>
                  </w:r>
                  <w:r w:rsidR="005618CC">
                    <w:t>therapeutic, and community development activities because of the need to direct their limited SFVS resources towards crisis response.</w:t>
                  </w:r>
                </w:p>
                <w:p w14:paraId="01C1878F" w14:textId="490AFC2C" w:rsidR="00881E2B" w:rsidRDefault="00881E2B" w:rsidP="00323C72">
                  <w:pPr>
                    <w:pBdr>
                      <w:left w:val="single" w:sz="18" w:space="4" w:color="78B800" w:themeColor="accent1"/>
                    </w:pBdr>
                    <w:tabs>
                      <w:tab w:val="left" w:pos="8080"/>
                    </w:tabs>
                    <w:spacing w:after="0"/>
                    <w:ind w:left="851" w:right="949"/>
                  </w:pPr>
                  <w:r w:rsidRPr="002E7992">
                    <w:rPr>
                      <w:noProof/>
                    </w:rPr>
                    <w:drawing>
                      <wp:anchor distT="0" distB="0" distL="114300" distR="114300" simplePos="0" relativeHeight="251658380" behindDoc="0" locked="1" layoutInCell="1" allowOverlap="1" wp14:anchorId="69061CCF" wp14:editId="491A4F03">
                        <wp:simplePos x="0" y="0"/>
                        <wp:positionH relativeFrom="column">
                          <wp:posOffset>0</wp:posOffset>
                        </wp:positionH>
                        <wp:positionV relativeFrom="paragraph">
                          <wp:posOffset>0</wp:posOffset>
                        </wp:positionV>
                        <wp:extent cx="384810" cy="320040"/>
                        <wp:effectExtent l="0" t="0" r="0" b="3810"/>
                        <wp:wrapNone/>
                        <wp:docPr id="718465776" name="Graphic 718465776" descr="P3558#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465776" name="Graphic 718465776" descr="P3558#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i/>
                      <w:iCs/>
                    </w:rPr>
                    <w:t>[</w:t>
                  </w:r>
                  <w:r w:rsidRPr="00547355">
                    <w:rPr>
                      <w:i/>
                      <w:iCs/>
                    </w:rPr>
                    <w:t>Would</w:t>
                  </w:r>
                  <w:r>
                    <w:rPr>
                      <w:i/>
                      <w:iCs/>
                    </w:rPr>
                    <w:t>]</w:t>
                  </w:r>
                  <w:r w:rsidRPr="00547355">
                    <w:rPr>
                      <w:i/>
                      <w:iCs/>
                    </w:rPr>
                    <w:t xml:space="preserve"> the program survive without other wraparound services? No. It wouldn’t survive </w:t>
                  </w:r>
                  <w:r w:rsidR="000B5B48">
                    <w:rPr>
                      <w:i/>
                      <w:iCs/>
                    </w:rPr>
                    <w:t>[</w:t>
                  </w:r>
                  <w:r w:rsidRPr="00547355">
                    <w:rPr>
                      <w:i/>
                      <w:iCs/>
                    </w:rPr>
                    <w:t>…</w:t>
                  </w:r>
                  <w:r w:rsidR="000B5B48">
                    <w:rPr>
                      <w:i/>
                      <w:iCs/>
                    </w:rPr>
                    <w:t>]</w:t>
                  </w:r>
                  <w:r w:rsidRPr="00547355">
                    <w:rPr>
                      <w:i/>
                      <w:iCs/>
                    </w:rPr>
                    <w:t xml:space="preserve"> I can walk into a household of 15 people</w:t>
                  </w:r>
                  <w:r w:rsidR="00E070C1" w:rsidRPr="00547355">
                    <w:rPr>
                      <w:i/>
                      <w:iCs/>
                    </w:rPr>
                    <w:t>,</w:t>
                  </w:r>
                  <w:r w:rsidRPr="00547355">
                    <w:rPr>
                      <w:i/>
                      <w:iCs/>
                    </w:rPr>
                    <w:t xml:space="preserve"> and I’m expected to support one mum. I need more to achieve the outcomes needed for this</w:t>
                  </w:r>
                  <w:r w:rsidRPr="009246D7">
                    <w:rPr>
                      <w:i/>
                      <w:iCs/>
                    </w:rPr>
                    <w:t xml:space="preserve"> </w:t>
                  </w:r>
                  <w:r>
                    <w:rPr>
                      <w:i/>
                      <w:iCs/>
                    </w:rPr>
                    <w:t>–</w:t>
                  </w:r>
                  <w:r>
                    <w:rPr>
                      <w:b/>
                      <w:bCs/>
                      <w:i/>
                      <w:iCs/>
                    </w:rPr>
                    <w:t xml:space="preserve"> ACCO SFVS service provider</w:t>
                  </w:r>
                </w:p>
                <w:p w14:paraId="6753C25D" w14:textId="77777777" w:rsidR="00AA2E4B" w:rsidRDefault="00AA2E4B" w:rsidP="009063EB">
                  <w:pPr>
                    <w:pStyle w:val="Text"/>
                    <w:spacing w:after="120"/>
                  </w:pPr>
                </w:p>
                <w:p w14:paraId="36B663AA" w14:textId="42DE7BCF" w:rsidR="00797A32" w:rsidRPr="00CB7A82" w:rsidRDefault="005618CC" w:rsidP="009063EB">
                  <w:pPr>
                    <w:pStyle w:val="Text"/>
                    <w:spacing w:after="120"/>
                    <w:rPr>
                      <w:lang w:val="en-AU"/>
                    </w:rPr>
                  </w:pPr>
                  <w:r w:rsidRPr="008146B7">
                    <w:lastRenderedPageBreak/>
                    <w:t xml:space="preserve">As noted in the preceding section, </w:t>
                  </w:r>
                  <w:r w:rsidRPr="008146B7">
                    <w:rPr>
                      <w:lang w:val="en-AU"/>
                    </w:rPr>
                    <w:t>current</w:t>
                  </w:r>
                  <w:r w:rsidR="00696CFD" w:rsidRPr="008146B7">
                    <w:rPr>
                      <w:lang w:val="en-AU"/>
                    </w:rPr>
                    <w:t xml:space="preserve"> SFVS</w:t>
                  </w:r>
                  <w:r w:rsidRPr="008146B7">
                    <w:rPr>
                      <w:lang w:val="en-AU"/>
                    </w:rPr>
                    <w:t xml:space="preserve"> f</w:t>
                  </w:r>
                  <w:r w:rsidR="00C0407C" w:rsidRPr="008146B7">
                    <w:rPr>
                      <w:lang w:val="en-AU"/>
                    </w:rPr>
                    <w:t xml:space="preserve">unding </w:t>
                  </w:r>
                  <w:r w:rsidR="00696CFD" w:rsidRPr="008146B7">
                    <w:rPr>
                      <w:lang w:val="en-AU"/>
                    </w:rPr>
                    <w:t xml:space="preserve">to ACCOs is insufficient to support </w:t>
                  </w:r>
                  <w:r w:rsidR="008146B7" w:rsidRPr="008146B7">
                    <w:rPr>
                      <w:lang w:val="en-AU"/>
                    </w:rPr>
                    <w:t xml:space="preserve">workforce resilience, the onboarding and development of </w:t>
                  </w:r>
                  <w:r w:rsidR="00C0407C" w:rsidRPr="008146B7">
                    <w:rPr>
                      <w:lang w:val="en-AU"/>
                    </w:rPr>
                    <w:t>local Aboriginal</w:t>
                  </w:r>
                  <w:r w:rsidR="008146B7" w:rsidRPr="008146B7">
                    <w:rPr>
                      <w:lang w:val="en-AU"/>
                    </w:rPr>
                    <w:t xml:space="preserve"> and/or Torres Strait Islander</w:t>
                  </w:r>
                  <w:r w:rsidR="00C0407C" w:rsidRPr="008146B7">
                    <w:rPr>
                      <w:lang w:val="en-AU"/>
                    </w:rPr>
                    <w:t xml:space="preserve"> workers</w:t>
                  </w:r>
                  <w:r w:rsidR="00C12AD0">
                    <w:rPr>
                      <w:lang w:val="en-AU"/>
                    </w:rPr>
                    <w:t>,</w:t>
                  </w:r>
                  <w:r w:rsidR="00C0407C" w:rsidRPr="008146B7">
                    <w:rPr>
                      <w:lang w:val="en-AU"/>
                    </w:rPr>
                    <w:t xml:space="preserve"> and/or gender balance within program staff. </w:t>
                  </w:r>
                  <w:r w:rsidR="00890EFA">
                    <w:t>The</w:t>
                  </w:r>
                  <w:r w:rsidR="00A11500">
                    <w:t xml:space="preserve">re is also evidence that </w:t>
                  </w:r>
                  <w:r w:rsidR="0036467C">
                    <w:t xml:space="preserve">greater certainty and longer </w:t>
                  </w:r>
                  <w:r w:rsidR="00C13C95">
                    <w:t>funding cycles</w:t>
                  </w:r>
                  <w:r w:rsidR="0036467C">
                    <w:t xml:space="preserve"> of </w:t>
                  </w:r>
                  <w:r w:rsidR="00890EFA">
                    <w:t xml:space="preserve">SFVS funding to ACCOs </w:t>
                  </w:r>
                  <w:r w:rsidR="0036467C">
                    <w:t xml:space="preserve">would support more effective service delivery. </w:t>
                  </w:r>
                  <w:r w:rsidR="001F782C">
                    <w:t xml:space="preserve">The Australian Human Rights Commission found that </w:t>
                  </w:r>
                  <w:r w:rsidR="004407C7">
                    <w:t xml:space="preserve">in the NT </w:t>
                  </w:r>
                  <w:r w:rsidR="001F782C">
                    <w:t xml:space="preserve">a ‘revolving door’ of </w:t>
                  </w:r>
                  <w:r w:rsidR="001F782C" w:rsidRPr="00C13C95">
                    <w:t xml:space="preserve">services characterised by insufficient multi-agency </w:t>
                  </w:r>
                  <w:r w:rsidR="001F782C" w:rsidRPr="001270A1">
                    <w:t xml:space="preserve">integration and coordination has </w:t>
                  </w:r>
                  <w:r w:rsidR="00935864" w:rsidRPr="001270A1">
                    <w:t xml:space="preserve">compromised the delivery of culturally safe, holistic and sustained supports, and </w:t>
                  </w:r>
                  <w:r w:rsidR="004407C7" w:rsidRPr="001270A1">
                    <w:t>undermined community trust</w:t>
                  </w:r>
                  <w:r w:rsidR="00935864" w:rsidRPr="001270A1">
                    <w:t xml:space="preserve"> </w:t>
                  </w:r>
                  <w:r w:rsidR="00797A32" w:rsidRPr="001270A1">
                    <w:fldChar w:fldCharType="begin"/>
                  </w:r>
                  <w:r w:rsidR="00E41D03">
                    <w:instrText xml:space="preserve"> ADDIN ZOTERO_ITEM CSL_CITATION {"citationID":"3eeEuL4D","properties":{"formattedCitation":"(Australian Human Rights Commission, 2020)","plainCitation":"(Australian Human Rights Commission, 2020)","noteIndex":0},"citationItems":[{"id":4731,"uris":["http://zotero.org/groups/5691188/items/L3P8HXT6"],"itemData":{"id":4731,"type":"report","publisher":"Australian Human Rights Commission","title":"Wiyi Yani U Thangani (Women’s Voices): Securing Our Rights, Securing Our Future Report","author":[{"family":"Australian Human Rights Commission","given":""}],"issued":{"date-parts":[["2020"]]}}}],"schema":"https://github.com/citation-style-language/schema/raw/master/csl-citation.json"} </w:instrText>
                  </w:r>
                  <w:r w:rsidR="00797A32" w:rsidRPr="001270A1">
                    <w:fldChar w:fldCharType="separate"/>
                  </w:r>
                  <w:r w:rsidR="00797A32" w:rsidRPr="001270A1">
                    <w:rPr>
                      <w:rFonts w:ascii="Arial" w:hAnsi="Arial" w:cs="Arial"/>
                    </w:rPr>
                    <w:t>(Australian Human Rights Commission, 2020)</w:t>
                  </w:r>
                  <w:r w:rsidR="00797A32" w:rsidRPr="001270A1">
                    <w:fldChar w:fldCharType="end"/>
                  </w:r>
                  <w:r w:rsidR="00797A32" w:rsidRPr="001270A1">
                    <w:t xml:space="preserve">. </w:t>
                  </w:r>
                  <w:r w:rsidR="00A904FB" w:rsidRPr="00A904FB">
                    <w:t xml:space="preserve">Programs </w:t>
                  </w:r>
                  <w:r w:rsidR="004D5665">
                    <w:t>require</w:t>
                  </w:r>
                  <w:r w:rsidR="00A904FB" w:rsidRPr="00A904FB">
                    <w:t xml:space="preserve"> long-term, ongoing funding to support knowledge and staff retention, multi-agency collaboration, and relationship and trust building with communities</w:t>
                  </w:r>
                  <w:r w:rsidR="00A904FB">
                    <w:t xml:space="preserve"> </w:t>
                  </w:r>
                  <w:r w:rsidR="00797A32" w:rsidRPr="00AD59B0">
                    <w:rPr>
                      <w:highlight w:val="yellow"/>
                    </w:rPr>
                    <w:fldChar w:fldCharType="begin"/>
                  </w:r>
                  <w:r w:rsidR="00E41D03">
                    <w:instrText xml:space="preserve"> ADDIN ZOTERO_ITEM CSL_CITATION {"citationID":"a22u2nahgqm","properties":{"formattedCitation":"(Brown, 2019; Carlson et al., 2021)","plainCitation":"(Brown, 2019; Carlson et al., 2021)","noteIndex":0},"citationItems":[{"id":4730,"uris":["http://zotero.org/groups/5691188/items/PWD65I9Q"],"itemData":{"id":4730,"type":"report","publisher":"Centre for Aboriginal Economic Policy Research Australian National University","title":"Hopeful Together Strong – Inspiring Optimism for Future Generations Principles of Good Practice to Prevent Violence against women in the Northern Territory","author":[{"family":"Brown","given":"Chay"}],"issued":{"date-parts":[["2019"]]}}},{"id":4714,"uris":["http://zotero.org/groups/5691188/items/JCRH5C8H"],"itemData":{"id":4714,"type":"report","event-place":"NSW","language":"en","publisher":"Australia's National Research Organisation fro Women's Safety (ANROWS)","publisher-place":"NSW","source":"Zotero","title":"What works? Exploring the literature on Aboriginal and Torres Strait Islander healing programs that respond to family violence","author":[{"family":"Carlson","given":"Bronwyn"},{"family":"Day","given":"Madi"},{"family":"Farrelly","given":"Terri"}],"issued":{"date-parts":[["2021"]]}}}],"schema":"https://github.com/citation-style-language/schema/raw/master/csl-citation.json"} </w:instrText>
                  </w:r>
                  <w:r w:rsidR="00797A32" w:rsidRPr="00AD59B0">
                    <w:rPr>
                      <w:highlight w:val="yellow"/>
                    </w:rPr>
                    <w:fldChar w:fldCharType="separate"/>
                  </w:r>
                  <w:r w:rsidR="00AC138C" w:rsidRPr="00AC138C">
                    <w:rPr>
                      <w:rFonts w:ascii="Arial" w:hAnsi="Arial" w:cs="Arial"/>
                    </w:rPr>
                    <w:t>(Brown, 2019; Carlson et al., 2021)</w:t>
                  </w:r>
                  <w:r w:rsidR="00797A32" w:rsidRPr="00AD59B0">
                    <w:rPr>
                      <w:highlight w:val="yellow"/>
                    </w:rPr>
                    <w:fldChar w:fldCharType="end"/>
                  </w:r>
                  <w:r w:rsidR="00797A32" w:rsidRPr="001270A1">
                    <w:t>.</w:t>
                  </w:r>
                  <w:r w:rsidR="000B1D83" w:rsidRPr="001270A1">
                    <w:t xml:space="preserve"> ACCOs offered clear</w:t>
                  </w:r>
                  <w:r w:rsidR="000B1D83">
                    <w:t xml:space="preserve"> feedback that the current SFVS funding settings</w:t>
                  </w:r>
                  <w:r w:rsidR="004C3775">
                    <w:t xml:space="preserve"> (</w:t>
                  </w:r>
                  <w:r w:rsidR="00A21063">
                    <w:t>including both quantum and duration)</w:t>
                  </w:r>
                  <w:r w:rsidR="000B1D83">
                    <w:t xml:space="preserve"> </w:t>
                  </w:r>
                  <w:r w:rsidR="004C3775" w:rsidRPr="00296D2C">
                    <w:t xml:space="preserve">are not </w:t>
                  </w:r>
                  <w:r w:rsidR="00D360FC" w:rsidRPr="00296D2C">
                    <w:t>currently optimised</w:t>
                  </w:r>
                  <w:r w:rsidR="000B1D83" w:rsidRPr="00296D2C">
                    <w:t xml:space="preserve"> </w:t>
                  </w:r>
                  <w:r w:rsidR="00D360FC" w:rsidRPr="00296D2C">
                    <w:t>to</w:t>
                  </w:r>
                  <w:r w:rsidR="001270A1">
                    <w:t xml:space="preserve"> </w:t>
                  </w:r>
                  <w:r w:rsidR="00531418">
                    <w:t xml:space="preserve">support </w:t>
                  </w:r>
                  <w:r w:rsidR="00EA4181">
                    <w:t xml:space="preserve">sustainable </w:t>
                  </w:r>
                  <w:r w:rsidR="000E5285">
                    <w:t xml:space="preserve">best-practice service design and delivery with </w:t>
                  </w:r>
                  <w:r w:rsidR="001270A1">
                    <w:t>Aboriginal and Torres Strait Islander communities.</w:t>
                  </w:r>
                </w:p>
                <w:p w14:paraId="665544E8" w14:textId="2FD92224" w:rsidR="00547355" w:rsidRPr="0034610C" w:rsidRDefault="0034610C" w:rsidP="00321BC5">
                  <w:pPr>
                    <w:pStyle w:val="Text"/>
                    <w:spacing w:before="360"/>
                    <w:rPr>
                      <w:b/>
                      <w:bCs/>
                      <w:color w:val="36424A" w:themeColor="background2"/>
                    </w:rPr>
                  </w:pPr>
                  <w:r w:rsidRPr="0034610C">
                    <w:rPr>
                      <w:b/>
                      <w:bCs/>
                      <w:color w:val="36424A" w:themeColor="background2"/>
                    </w:rPr>
                    <w:t>Data and reporting</w:t>
                  </w:r>
                </w:p>
                <w:p w14:paraId="06FA73C5" w14:textId="2C58492A" w:rsidR="005C34ED" w:rsidRPr="005C34ED" w:rsidRDefault="005C34ED" w:rsidP="005C34ED">
                  <w:pPr>
                    <w:pStyle w:val="Text"/>
                  </w:pPr>
                  <w:r w:rsidRPr="005C34ED">
                    <w:rPr>
                      <w:lang w:val="en-AU"/>
                    </w:rPr>
                    <w:t xml:space="preserve">Some ACCOs raised concerns about </w:t>
                  </w:r>
                  <w:r w:rsidR="00AA74F1">
                    <w:rPr>
                      <w:lang w:val="en-AU"/>
                    </w:rPr>
                    <w:t>the Department</w:t>
                  </w:r>
                  <w:r w:rsidRPr="005C34ED">
                    <w:rPr>
                      <w:lang w:val="en-AU"/>
                    </w:rPr>
                    <w:t xml:space="preserve"> reporting requirements and the appropriateness of DEX. These concerns centred on:</w:t>
                  </w:r>
                </w:p>
                <w:p w14:paraId="5296F7C2" w14:textId="50530659" w:rsidR="00BA62B9" w:rsidRPr="00645CE5" w:rsidRDefault="00C0407C" w:rsidP="00BA62B9">
                  <w:pPr>
                    <w:pStyle w:val="Text"/>
                    <w:numPr>
                      <w:ilvl w:val="0"/>
                      <w:numId w:val="65"/>
                    </w:numPr>
                  </w:pPr>
                  <w:r w:rsidRPr="005C34ED">
                    <w:rPr>
                      <w:b/>
                      <w:bCs/>
                      <w:lang w:val="en-AU"/>
                    </w:rPr>
                    <w:t xml:space="preserve">Effectiveness and appropriateness of DEX data: </w:t>
                  </w:r>
                  <w:r w:rsidRPr="005C34ED">
                    <w:rPr>
                      <w:lang w:val="en-AU"/>
                    </w:rPr>
                    <w:t>Several ACCOs questioned the extent to which DEX and SCORE tell a full and accurate picture about the services they provide and the difference they make. Providers considered that a lot of their effort is not captured in DEX</w:t>
                  </w:r>
                  <w:r w:rsidR="001754F8">
                    <w:rPr>
                      <w:lang w:val="en-AU"/>
                    </w:rPr>
                    <w:t>. This includes</w:t>
                  </w:r>
                  <w:r w:rsidR="0021545F">
                    <w:rPr>
                      <w:lang w:val="en-AU"/>
                    </w:rPr>
                    <w:t xml:space="preserve"> case management and brokerage, community consultation, co-</w:t>
                  </w:r>
                  <w:r w:rsidR="0021545F">
                    <w:t xml:space="preserve">design and governance, </w:t>
                  </w:r>
                  <w:r w:rsidR="006B0545">
                    <w:t xml:space="preserve">time spent strengthening partnerships and multi-agency responses, </w:t>
                  </w:r>
                  <w:r w:rsidR="0021545F">
                    <w:t xml:space="preserve">and </w:t>
                  </w:r>
                  <w:r w:rsidR="006B0545">
                    <w:t>the time invested in building relationships and trust.</w:t>
                  </w:r>
                  <w:r w:rsidR="00E055C8">
                    <w:rPr>
                      <w:rFonts w:ascii="ZWAdobeF" w:hAnsi="ZWAdobeF" w:cs="ZWAdobeF"/>
                      <w:sz w:val="2"/>
                      <w:szCs w:val="2"/>
                    </w:rPr>
                    <w:t>15F</w:t>
                  </w:r>
                  <w:r w:rsidR="00675905">
                    <w:rPr>
                      <w:rStyle w:val="FootnoteReference"/>
                    </w:rPr>
                    <w:footnoteReference w:id="17"/>
                  </w:r>
                  <w:r w:rsidR="006B0545">
                    <w:t xml:space="preserve"> Some ACCOs also expressed concern that </w:t>
                  </w:r>
                  <w:r w:rsidRPr="006B0545">
                    <w:rPr>
                      <w:lang w:val="en-AU"/>
                    </w:rPr>
                    <w:t xml:space="preserve">the assumptions about progress and outcomes are inappropriate and inadequate in </w:t>
                  </w:r>
                  <w:r w:rsidR="00650679">
                    <w:t xml:space="preserve">Aboriginal and Torres Strait Islander </w:t>
                  </w:r>
                  <w:r w:rsidRPr="006B0545">
                    <w:rPr>
                      <w:lang w:val="en-AU"/>
                    </w:rPr>
                    <w:t>contexts</w:t>
                  </w:r>
                  <w:r w:rsidR="006B0545">
                    <w:rPr>
                      <w:lang w:val="en-AU"/>
                    </w:rPr>
                    <w:t xml:space="preserve">, and do not </w:t>
                  </w:r>
                  <w:r w:rsidR="00FF2586">
                    <w:rPr>
                      <w:lang w:val="en-AU"/>
                    </w:rPr>
                    <w:t>properly</w:t>
                  </w:r>
                  <w:r w:rsidR="006B0545">
                    <w:rPr>
                      <w:lang w:val="en-AU"/>
                    </w:rPr>
                    <w:t xml:space="preserve"> account</w:t>
                  </w:r>
                  <w:r w:rsidR="00FF2586">
                    <w:rPr>
                      <w:lang w:val="en-AU"/>
                    </w:rPr>
                    <w:t xml:space="preserve"> for</w:t>
                  </w:r>
                  <w:r w:rsidR="006B0545">
                    <w:rPr>
                      <w:lang w:val="en-AU"/>
                    </w:rPr>
                    <w:t xml:space="preserve"> </w:t>
                  </w:r>
                  <w:r w:rsidR="00FF2586">
                    <w:rPr>
                      <w:lang w:val="en-AU"/>
                    </w:rPr>
                    <w:t>the significant complexity and inter-generational disadvantage experienced by many communities.</w:t>
                  </w:r>
                  <w:r w:rsidR="001D0021">
                    <w:rPr>
                      <w:lang w:val="en-AU"/>
                    </w:rPr>
                    <w:t xml:space="preserve"> </w:t>
                  </w:r>
                  <w:r w:rsidR="00E66926">
                    <w:rPr>
                      <w:lang w:val="en-AU"/>
                    </w:rPr>
                    <w:t>The SCORE model may not be sufficiently nuanced</w:t>
                  </w:r>
                  <w:r w:rsidR="00324D80">
                    <w:rPr>
                      <w:lang w:val="en-AU"/>
                    </w:rPr>
                    <w:t xml:space="preserve"> or tailored to capture meaningful </w:t>
                  </w:r>
                  <w:r w:rsidR="00426D08">
                    <w:rPr>
                      <w:lang w:val="en-AU"/>
                    </w:rPr>
                    <w:t>changes achieved through ACCO programs.</w:t>
                  </w:r>
                  <w:r w:rsidR="001D0021">
                    <w:rPr>
                      <w:lang w:val="en-AU"/>
                    </w:rPr>
                    <w:t xml:space="preserve"> </w:t>
                  </w:r>
                </w:p>
                <w:p w14:paraId="04ABBF72" w14:textId="5114A439" w:rsidR="00BA62B9" w:rsidRPr="007B623E" w:rsidRDefault="00BA62B9" w:rsidP="00BA62B9">
                  <w:pPr>
                    <w:pBdr>
                      <w:left w:val="single" w:sz="18" w:space="4" w:color="78B800" w:themeColor="accent1"/>
                    </w:pBdr>
                    <w:tabs>
                      <w:tab w:val="left" w:pos="8080"/>
                    </w:tabs>
                    <w:spacing w:after="0"/>
                    <w:ind w:left="851" w:right="949"/>
                    <w:rPr>
                      <w:i/>
                    </w:rPr>
                  </w:pPr>
                  <w:r w:rsidRPr="002E7992">
                    <w:rPr>
                      <w:noProof/>
                    </w:rPr>
                    <w:drawing>
                      <wp:anchor distT="0" distB="0" distL="114300" distR="114300" simplePos="0" relativeHeight="251658381" behindDoc="0" locked="1" layoutInCell="1" allowOverlap="1" wp14:anchorId="5A21E944" wp14:editId="2D7B85C9">
                        <wp:simplePos x="0" y="0"/>
                        <wp:positionH relativeFrom="column">
                          <wp:posOffset>0</wp:posOffset>
                        </wp:positionH>
                        <wp:positionV relativeFrom="paragraph">
                          <wp:posOffset>0</wp:posOffset>
                        </wp:positionV>
                        <wp:extent cx="384810" cy="320040"/>
                        <wp:effectExtent l="0" t="0" r="0" b="3810"/>
                        <wp:wrapNone/>
                        <wp:docPr id="1837211764" name="Graphic 1837211764" descr="P3564#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7211764" name="Graphic 1837211764" descr="P3564#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C34ED">
                    <w:rPr>
                      <w:i/>
                      <w:iCs/>
                    </w:rPr>
                    <w:t xml:space="preserve">I think it's important for accountability for programs </w:t>
                  </w:r>
                  <w:r w:rsidR="009D1C54">
                    <w:rPr>
                      <w:i/>
                      <w:iCs/>
                    </w:rPr>
                    <w:t>that</w:t>
                  </w:r>
                  <w:r w:rsidRPr="005C34ED">
                    <w:rPr>
                      <w:i/>
                      <w:iCs/>
                    </w:rPr>
                    <w:t xml:space="preserve"> are being funded to be able to articulate what they're doing, but allowing for the way that it's being reported [by] putting emphasis on the strength that is needed to put in time to build a relationship</w:t>
                  </w:r>
                  <w:r w:rsidR="000B5B48">
                    <w:rPr>
                      <w:i/>
                      <w:iCs/>
                    </w:rPr>
                    <w:t xml:space="preserve"> [</w:t>
                  </w:r>
                  <w:r w:rsidR="00F33F66">
                    <w:rPr>
                      <w:i/>
                      <w:iCs/>
                    </w:rPr>
                    <w:t>…</w:t>
                  </w:r>
                  <w:r w:rsidR="000B5B48">
                    <w:rPr>
                      <w:i/>
                      <w:iCs/>
                    </w:rPr>
                    <w:t>]</w:t>
                  </w:r>
                  <w:r w:rsidRPr="005C34ED">
                    <w:rPr>
                      <w:i/>
                      <w:iCs/>
                    </w:rPr>
                    <w:t xml:space="preserve"> But then how is that </w:t>
                  </w:r>
                  <w:r w:rsidR="000B5B48">
                    <w:rPr>
                      <w:i/>
                      <w:iCs/>
                    </w:rPr>
                    <w:t>[</w:t>
                  </w:r>
                  <w:r w:rsidR="005D413D">
                    <w:rPr>
                      <w:i/>
                      <w:iCs/>
                    </w:rPr>
                    <w:t>…</w:t>
                  </w:r>
                  <w:r w:rsidR="000B5B48">
                    <w:rPr>
                      <w:i/>
                      <w:iCs/>
                    </w:rPr>
                    <w:t>]</w:t>
                  </w:r>
                  <w:r w:rsidRPr="005C34ED">
                    <w:rPr>
                      <w:i/>
                      <w:iCs/>
                    </w:rPr>
                    <w:t xml:space="preserve"> able to be shared to government? Do they value that?</w:t>
                  </w:r>
                  <w:r>
                    <w:rPr>
                      <w:i/>
                      <w:iCs/>
                    </w:rPr>
                    <w:t xml:space="preserve"> </w:t>
                  </w:r>
                  <w:r w:rsidRPr="002E7992">
                    <w:rPr>
                      <w:b/>
                      <w:bCs/>
                      <w:i/>
                      <w:iCs/>
                    </w:rPr>
                    <w:t>–</w:t>
                  </w:r>
                  <w:r>
                    <w:rPr>
                      <w:b/>
                      <w:bCs/>
                      <w:i/>
                      <w:iCs/>
                    </w:rPr>
                    <w:t xml:space="preserve"> ACCO SFVS service provider</w:t>
                  </w:r>
                </w:p>
                <w:p w14:paraId="7000324F" w14:textId="77777777" w:rsidR="00BA62B9" w:rsidRPr="005C34ED" w:rsidRDefault="00BA62B9" w:rsidP="009063EB">
                  <w:pPr>
                    <w:pStyle w:val="Text"/>
                    <w:spacing w:after="120"/>
                  </w:pPr>
                </w:p>
                <w:p w14:paraId="4D9DDA16" w14:textId="3CD6E6E9" w:rsidR="00CA153F" w:rsidRPr="00894069" w:rsidRDefault="00C0407C" w:rsidP="009063EB">
                  <w:pPr>
                    <w:pStyle w:val="Text"/>
                    <w:numPr>
                      <w:ilvl w:val="0"/>
                      <w:numId w:val="65"/>
                    </w:numPr>
                    <w:spacing w:after="120"/>
                    <w:rPr>
                      <w:lang w:val="en-GB"/>
                    </w:rPr>
                  </w:pPr>
                  <w:r w:rsidRPr="005C34ED">
                    <w:rPr>
                      <w:b/>
                      <w:bCs/>
                      <w:lang w:val="en-AU"/>
                    </w:rPr>
                    <w:t xml:space="preserve">Impact of data collection on trust: </w:t>
                  </w:r>
                  <w:r w:rsidRPr="005C34ED">
                    <w:rPr>
                      <w:lang w:val="en-AU"/>
                    </w:rPr>
                    <w:t xml:space="preserve">Several </w:t>
                  </w:r>
                  <w:r w:rsidR="00FF2586">
                    <w:rPr>
                      <w:lang w:val="en-AU"/>
                    </w:rPr>
                    <w:t xml:space="preserve">ACCOs </w:t>
                  </w:r>
                  <w:r w:rsidRPr="005C34ED">
                    <w:rPr>
                      <w:lang w:val="en-AU"/>
                    </w:rPr>
                    <w:t xml:space="preserve">described the process of asking wide-ranging, personal questions for the purpose of </w:t>
                  </w:r>
                  <w:r w:rsidR="00B62A6C">
                    <w:rPr>
                      <w:lang w:val="en-AU"/>
                    </w:rPr>
                    <w:t xml:space="preserve">DEX </w:t>
                  </w:r>
                  <w:r w:rsidRPr="005C34ED">
                    <w:rPr>
                      <w:lang w:val="en-AU"/>
                    </w:rPr>
                    <w:t>data collection as damaging to the development of therapeutic relationships.</w:t>
                  </w:r>
                  <w:r w:rsidR="003568D5">
                    <w:rPr>
                      <w:lang w:val="en-AU"/>
                    </w:rPr>
                    <w:t xml:space="preserve"> </w:t>
                  </w:r>
                  <w:r w:rsidR="00350B42">
                    <w:rPr>
                      <w:lang w:val="en-AU"/>
                    </w:rPr>
                    <w:t xml:space="preserve">Mistrust is </w:t>
                  </w:r>
                  <w:r w:rsidR="00350B42">
                    <w:rPr>
                      <w:lang w:val="en-US"/>
                    </w:rPr>
                    <w:t>a</w:t>
                  </w:r>
                  <w:r w:rsidR="001F3E7F">
                    <w:rPr>
                      <w:lang w:val="en-US"/>
                    </w:rPr>
                    <w:t xml:space="preserve"> key</w:t>
                  </w:r>
                  <w:r w:rsidR="004307C9">
                    <w:rPr>
                      <w:lang w:val="en-US"/>
                    </w:rPr>
                    <w:t xml:space="preserve"> </w:t>
                  </w:r>
                  <w:r w:rsidR="001F3E7F">
                    <w:rPr>
                      <w:lang w:val="en-US"/>
                    </w:rPr>
                    <w:t xml:space="preserve">barrier to </w:t>
                  </w:r>
                  <w:r w:rsidR="001F3E7F" w:rsidRPr="00BD3D85">
                    <w:rPr>
                      <w:lang w:val="en-US"/>
                    </w:rPr>
                    <w:t>Aboriginal and Torres Strait Islander people accessing services relating to family violence</w:t>
                  </w:r>
                  <w:r w:rsidR="00350B42">
                    <w:rPr>
                      <w:lang w:val="en-US"/>
                    </w:rPr>
                    <w:t>.</w:t>
                  </w:r>
                  <w:r w:rsidR="001F3E7F" w:rsidRPr="00BD3D85">
                    <w:rPr>
                      <w:lang w:val="en-US"/>
                    </w:rPr>
                    <w:t xml:space="preserve"> </w:t>
                  </w:r>
                  <w:r w:rsidR="003F6590">
                    <w:rPr>
                      <w:lang w:val="en-US"/>
                    </w:rPr>
                    <w:t xml:space="preserve">Service providers expressed concern that </w:t>
                  </w:r>
                  <w:r w:rsidR="00491707">
                    <w:rPr>
                      <w:lang w:val="en-US"/>
                    </w:rPr>
                    <w:t xml:space="preserve">the requirement to obtain personal information and </w:t>
                  </w:r>
                  <w:r w:rsidR="00491707">
                    <w:rPr>
                      <w:lang w:val="en-US"/>
                    </w:rPr>
                    <w:lastRenderedPageBreak/>
                    <w:t xml:space="preserve">conduct SCORE assessments early in a person’s engagement with the service acted as a barrier to </w:t>
                  </w:r>
                  <w:r w:rsidR="00A46061">
                    <w:rPr>
                      <w:lang w:val="en-US"/>
                    </w:rPr>
                    <w:t>engagement and undermined trust.</w:t>
                  </w:r>
                </w:p>
                <w:p w14:paraId="3BC46039" w14:textId="3D31900E" w:rsidR="00CA153F" w:rsidRPr="007B623E" w:rsidRDefault="00CA153F" w:rsidP="00CA153F">
                  <w:pPr>
                    <w:pBdr>
                      <w:left w:val="single" w:sz="18" w:space="4" w:color="78B800" w:themeColor="accent1"/>
                    </w:pBdr>
                    <w:tabs>
                      <w:tab w:val="left" w:pos="8080"/>
                    </w:tabs>
                    <w:spacing w:after="0"/>
                    <w:ind w:left="851" w:right="949"/>
                    <w:rPr>
                      <w:i/>
                    </w:rPr>
                  </w:pPr>
                  <w:r w:rsidRPr="002E7992">
                    <w:rPr>
                      <w:noProof/>
                    </w:rPr>
                    <w:drawing>
                      <wp:anchor distT="0" distB="0" distL="114300" distR="114300" simplePos="0" relativeHeight="251658382" behindDoc="0" locked="1" layoutInCell="1" allowOverlap="1" wp14:anchorId="77AC4990" wp14:editId="7C6492FD">
                        <wp:simplePos x="0" y="0"/>
                        <wp:positionH relativeFrom="column">
                          <wp:posOffset>0</wp:posOffset>
                        </wp:positionH>
                        <wp:positionV relativeFrom="paragraph">
                          <wp:posOffset>0</wp:posOffset>
                        </wp:positionV>
                        <wp:extent cx="384810" cy="320040"/>
                        <wp:effectExtent l="0" t="0" r="0" b="3810"/>
                        <wp:wrapNone/>
                        <wp:docPr id="585738178" name="Graphic 585738178" descr="P3567#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738178" name="Graphic 585738178" descr="P3567#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C34ED">
                    <w:rPr>
                      <w:i/>
                      <w:iCs/>
                    </w:rPr>
                    <w:t>We have to report on that DEX data – that’s another level of whitefella world. That takes up a lot of time</w:t>
                  </w:r>
                  <w:r w:rsidR="000B5B48">
                    <w:rPr>
                      <w:i/>
                      <w:iCs/>
                    </w:rPr>
                    <w:t xml:space="preserve"> [</w:t>
                  </w:r>
                  <w:r w:rsidR="00F33F66">
                    <w:rPr>
                      <w:i/>
                      <w:iCs/>
                    </w:rPr>
                    <w:t>…</w:t>
                  </w:r>
                  <w:r w:rsidR="000B5B48">
                    <w:rPr>
                      <w:i/>
                      <w:iCs/>
                    </w:rPr>
                    <w:t>]</w:t>
                  </w:r>
                  <w:r w:rsidRPr="005C34ED">
                    <w:rPr>
                      <w:i/>
                      <w:iCs/>
                    </w:rPr>
                    <w:t xml:space="preserve"> It’s really inappropriate. [We are] delivering a program to people who have already got enough on their plate. Trying to build that trust – asking those questions it jeopardises it. Someone comes to you and wants help – asking where they get paid from and their disability – interrupts trust</w:t>
                  </w:r>
                  <w:r w:rsidRPr="009246D7">
                    <w:rPr>
                      <w:i/>
                      <w:iCs/>
                    </w:rPr>
                    <w:t xml:space="preserve"> </w:t>
                  </w:r>
                  <w:r>
                    <w:rPr>
                      <w:i/>
                      <w:iCs/>
                    </w:rPr>
                    <w:t>–</w:t>
                  </w:r>
                  <w:r>
                    <w:rPr>
                      <w:b/>
                      <w:bCs/>
                      <w:i/>
                      <w:iCs/>
                    </w:rPr>
                    <w:t xml:space="preserve"> ACCO SFVS service provider</w:t>
                  </w:r>
                </w:p>
                <w:p w14:paraId="6E65ACAA" w14:textId="77777777" w:rsidR="00CA153F" w:rsidRPr="005C34ED" w:rsidRDefault="00CA153F" w:rsidP="00CA153F">
                  <w:pPr>
                    <w:pStyle w:val="Text"/>
                    <w:ind w:left="360"/>
                  </w:pPr>
                </w:p>
                <w:p w14:paraId="3436C5BF" w14:textId="19CF4893" w:rsidR="00BA62B9" w:rsidRDefault="00C0407C" w:rsidP="00146760">
                  <w:pPr>
                    <w:pStyle w:val="Text"/>
                    <w:numPr>
                      <w:ilvl w:val="0"/>
                      <w:numId w:val="65"/>
                    </w:numPr>
                  </w:pPr>
                  <w:r w:rsidRPr="005C34ED">
                    <w:rPr>
                      <w:b/>
                      <w:bCs/>
                      <w:lang w:val="en-AU"/>
                    </w:rPr>
                    <w:t xml:space="preserve">Data sovereignty: </w:t>
                  </w:r>
                  <w:r w:rsidRPr="005C34ED">
                    <w:rPr>
                      <w:lang w:val="en-AU"/>
                    </w:rPr>
                    <w:t xml:space="preserve">One provider raised concerns about the extent to which </w:t>
                  </w:r>
                  <w:r w:rsidR="00AF0DE8">
                    <w:rPr>
                      <w:lang w:val="en-AU"/>
                    </w:rPr>
                    <w:t>the Department’s DEX</w:t>
                  </w:r>
                  <w:r w:rsidRPr="005C34ED">
                    <w:rPr>
                      <w:lang w:val="en-AU"/>
                    </w:rPr>
                    <w:t xml:space="preserve"> requirements </w:t>
                  </w:r>
                  <w:r w:rsidR="00AF0DE8">
                    <w:rPr>
                      <w:lang w:val="en-AU"/>
                    </w:rPr>
                    <w:t xml:space="preserve">for FaRS and SFVS grantees </w:t>
                  </w:r>
                  <w:r w:rsidRPr="005C34ED">
                    <w:rPr>
                      <w:lang w:val="en-AU"/>
                    </w:rPr>
                    <w:t xml:space="preserve">honour principles of Indigenous </w:t>
                  </w:r>
                  <w:r w:rsidR="001C38DB">
                    <w:rPr>
                      <w:lang w:val="en-AU"/>
                    </w:rPr>
                    <w:t>D</w:t>
                  </w:r>
                  <w:r w:rsidRPr="005C34ED">
                    <w:rPr>
                      <w:lang w:val="en-AU"/>
                    </w:rPr>
                    <w:t xml:space="preserve">ata </w:t>
                  </w:r>
                  <w:r w:rsidR="001C38DB">
                    <w:rPr>
                      <w:lang w:val="en-AU"/>
                    </w:rPr>
                    <w:t>S</w:t>
                  </w:r>
                  <w:r w:rsidRPr="005C34ED">
                    <w:rPr>
                      <w:lang w:val="en-AU"/>
                    </w:rPr>
                    <w:t>overeignty.</w:t>
                  </w:r>
                  <w:r w:rsidR="00BA62B9">
                    <w:rPr>
                      <w:lang w:val="en-AU"/>
                    </w:rPr>
                    <w:t xml:space="preserve"> </w:t>
                  </w:r>
                  <w:r w:rsidR="00D72A88">
                    <w:rPr>
                      <w:lang w:val="en-AU"/>
                    </w:rPr>
                    <w:t>C</w:t>
                  </w:r>
                  <w:r w:rsidR="005C050B">
                    <w:rPr>
                      <w:lang w:val="en-AU"/>
                    </w:rPr>
                    <w:t>oncern</w:t>
                  </w:r>
                  <w:r w:rsidR="00365615">
                    <w:rPr>
                      <w:lang w:val="en-AU"/>
                    </w:rPr>
                    <w:t>s</w:t>
                  </w:r>
                  <w:r w:rsidR="005C050B">
                    <w:rPr>
                      <w:lang w:val="en-AU"/>
                    </w:rPr>
                    <w:t xml:space="preserve"> were raised that some data is collected which is not </w:t>
                  </w:r>
                  <w:r w:rsidR="00F7793B">
                    <w:rPr>
                      <w:lang w:val="en-AU"/>
                    </w:rPr>
                    <w:t xml:space="preserve">directly </w:t>
                  </w:r>
                  <w:r w:rsidR="005C050B">
                    <w:rPr>
                      <w:lang w:val="en-AU"/>
                    </w:rPr>
                    <w:t>rel</w:t>
                  </w:r>
                  <w:r w:rsidR="00F7793B">
                    <w:rPr>
                      <w:lang w:val="en-AU"/>
                    </w:rPr>
                    <w:t>ated to the service being provided, and that Aboriginal and Torres Strait Islander service providers and service users have little insight into, or control of, how information is used.</w:t>
                  </w:r>
                  <w:r w:rsidR="005C050B">
                    <w:rPr>
                      <w:lang w:val="en-AU"/>
                    </w:rPr>
                    <w:t xml:space="preserve"> </w:t>
                  </w:r>
                  <w:r w:rsidR="008B0FC6">
                    <w:rPr>
                      <w:lang w:val="en-AU"/>
                    </w:rPr>
                    <w:t xml:space="preserve">Data sovereignty is </w:t>
                  </w:r>
                  <w:r w:rsidR="006B55C6">
                    <w:rPr>
                      <w:lang w:val="en-AU"/>
                    </w:rPr>
                    <w:t>a key tenet of self-determination</w:t>
                  </w:r>
                  <w:r w:rsidR="00AF0DE8">
                    <w:rPr>
                      <w:lang w:val="en-AU"/>
                    </w:rPr>
                    <w:t xml:space="preserve"> </w:t>
                  </w:r>
                  <w:r w:rsidR="008C0FBA">
                    <w:rPr>
                      <w:lang w:val="en-AU"/>
                    </w:rPr>
                    <w:t>and is recognised as a priority area</w:t>
                  </w:r>
                  <w:r w:rsidR="006B55C6">
                    <w:rPr>
                      <w:lang w:val="en-AU"/>
                    </w:rPr>
                    <w:t xml:space="preserve"> </w:t>
                  </w:r>
                  <w:r w:rsidR="00EA60FC" w:rsidRPr="00455AF0">
                    <w:rPr>
                      <w:lang w:val="en-AU"/>
                    </w:rPr>
                    <w:fldChar w:fldCharType="begin"/>
                  </w:r>
                  <w:r w:rsidR="00E41D03">
                    <w:rPr>
                      <w:lang w:val="en-AU"/>
                    </w:rPr>
                    <w:instrText xml:space="preserve"> ADDIN ZOTERO_ITEM CSL_CITATION {"citationID":"a1brikmvkgv","properties":{"formattedCitation":"(Australian Government, n.d.; Department of Social Services, 2023; Maiam nayri Wingara and Yardura Walani, 2025; National Indigenous Australians Agency, 2024)","plainCitation":"(Australian Government, n.d.; Department of Social Services, 2023; Maiam nayri Wingara and Yardura Walani, 2025; National Indigenous Australians Agency, 2024)","noteIndex":0},"citationItems":[{"id":5693,"uris":["http://zotero.org/groups/5691188/items/D8MYVZGE"],"itemData":{"id":5693,"type":"webpage","title":"Outcome 17 - Closing the Gap","URL":"https://www.closingthegap.gov.au/national-agreement/national-agreement-closing-the-gap/7-difference/b-targets/b17","author":[{"literal":"Australian Government"}],"accessed":{"date-parts":[["2025",8,1]]}}},{"id":5677,"uris":["http://zotero.org/groups/5691188/items/K3LY24WX"],"itemData":{"id":5677,"type":"document","abstract":"A dedicated Aboriginal and Torres Strait Islander Action Plan will work alongside the First Action Plan. It has been developed in genuine partnership with the Aboriginal and Torres Strait Islander Advisory Council on family, domestic and sexual violence.","language":"en","publisher":"Department of Social Services","title":"Aboriginal and Torres Strait Islander Action Plan 2023-2025","URL":"https://www.dss.gov.au/national-plan-end-gender-based-violence/resource/aboriginal-and-torres-strait-islander-action-plan-2023-2025","author":[{"literal":"Department of Social Services"}],"accessed":{"date-parts":[["2025",8,1]]},"issued":{"date-parts":[["2023"]]}}},{"id":5692,"uris":["http://zotero.org/groups/5691188/items/3KXMRQ8Q"],"itemData":{"id":5692,"type":"document","title":"Global Indigenous Data Sovereignty Conference 2025  Communique","URL":"https://yardhurawalani.com.au/wp-content/uploads/2025/07/GIDSov-2025-Communique.pdf","author":[{"literal":"Maiam nayri Wingara"},{"literal":"Yardura Walani"}],"accessed":{"date-parts":[["2025",8,1]]},"issued":{"date-parts":[["2025"]]}}},{"id":5687,"uris":["http://zotero.org/groups/5691188/items/BXAPAE6N"],"itemData":{"id":5687,"type":"document","publisher":"National Indigenous Australians Agency","title":"Framework for Governance of Indigenous Data","URL":"https://www.niaa.gov.au/resource-centre/framework-governance-indigenous-data","author":[{"literal":"National Indigenous Australians Agency"}],"accessed":{"date-parts":[["2025",8,1]]},"issued":{"date-parts":[["2024"]]}}}],"schema":"https://github.com/citation-style-language/schema/raw/master/csl-citation.json"} </w:instrText>
                  </w:r>
                  <w:r w:rsidR="00EA60FC" w:rsidRPr="00455AF0">
                    <w:rPr>
                      <w:lang w:val="en-AU"/>
                    </w:rPr>
                    <w:fldChar w:fldCharType="separate"/>
                  </w:r>
                  <w:r w:rsidR="003C117F" w:rsidRPr="003C117F">
                    <w:rPr>
                      <w:rFonts w:ascii="Arial" w:hAnsi="Arial" w:cs="Arial"/>
                    </w:rPr>
                    <w:t>(Australian Government, n.d.; Department of Social Services, 2023; Maiam nayri Wingara and Yardura Walani, 2025; National Indigenous Australians Agency, 2024)</w:t>
                  </w:r>
                  <w:r w:rsidR="00EA60FC" w:rsidRPr="00455AF0">
                    <w:rPr>
                      <w:lang w:val="en-AU"/>
                    </w:rPr>
                    <w:fldChar w:fldCharType="end"/>
                  </w:r>
                  <w:r w:rsidR="00BF0117" w:rsidRPr="00455AF0">
                    <w:rPr>
                      <w:lang w:val="en-AU"/>
                    </w:rPr>
                    <w:t>.</w:t>
                  </w:r>
                </w:p>
                <w:p w14:paraId="64CA5621" w14:textId="401FEB58" w:rsidR="00BA62B9" w:rsidRPr="007B623E" w:rsidRDefault="00BA62B9" w:rsidP="00BA62B9">
                  <w:pPr>
                    <w:pBdr>
                      <w:left w:val="single" w:sz="18" w:space="4" w:color="78B800" w:themeColor="accent1"/>
                    </w:pBdr>
                    <w:tabs>
                      <w:tab w:val="left" w:pos="8080"/>
                    </w:tabs>
                    <w:spacing w:after="0"/>
                    <w:ind w:left="851" w:right="949"/>
                    <w:rPr>
                      <w:i/>
                    </w:rPr>
                  </w:pPr>
                  <w:r w:rsidRPr="002E7992">
                    <w:rPr>
                      <w:noProof/>
                    </w:rPr>
                    <w:drawing>
                      <wp:anchor distT="0" distB="0" distL="114300" distR="114300" simplePos="0" relativeHeight="251658383" behindDoc="0" locked="1" layoutInCell="1" allowOverlap="1" wp14:anchorId="415717D7" wp14:editId="61FBE613">
                        <wp:simplePos x="0" y="0"/>
                        <wp:positionH relativeFrom="column">
                          <wp:posOffset>0</wp:posOffset>
                        </wp:positionH>
                        <wp:positionV relativeFrom="paragraph">
                          <wp:posOffset>0</wp:posOffset>
                        </wp:positionV>
                        <wp:extent cx="384810" cy="320040"/>
                        <wp:effectExtent l="0" t="0" r="0" b="3810"/>
                        <wp:wrapNone/>
                        <wp:docPr id="2115469888" name="Graphic 2115469888" descr="P3570#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469888" name="Graphic 2115469888" descr="P3570#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C34ED">
                    <w:rPr>
                      <w:i/>
                      <w:iCs/>
                    </w:rPr>
                    <w:t>The other issue is data sovereignty. I don't know any other program that I manage that asked for as much. It's very invasive</w:t>
                  </w:r>
                  <w:r w:rsidR="000B5B48">
                    <w:rPr>
                      <w:i/>
                      <w:iCs/>
                    </w:rPr>
                    <w:t xml:space="preserve"> [</w:t>
                  </w:r>
                  <w:r w:rsidRPr="005C34ED">
                    <w:rPr>
                      <w:i/>
                      <w:iCs/>
                    </w:rPr>
                    <w:t>…</w:t>
                  </w:r>
                  <w:r w:rsidR="000B5B48">
                    <w:rPr>
                      <w:i/>
                      <w:iCs/>
                    </w:rPr>
                    <w:t>]</w:t>
                  </w:r>
                  <w:r w:rsidRPr="005C34ED">
                    <w:rPr>
                      <w:i/>
                      <w:iCs/>
                    </w:rPr>
                    <w:t xml:space="preserve"> And I really think across the board across - certainly the NT in Australia - there's real issues with people not understanding</w:t>
                  </w:r>
                  <w:r w:rsidR="000B5B48">
                    <w:rPr>
                      <w:i/>
                      <w:iCs/>
                    </w:rPr>
                    <w:t xml:space="preserve"> [</w:t>
                  </w:r>
                  <w:r w:rsidRPr="005C34ED">
                    <w:rPr>
                      <w:i/>
                      <w:iCs/>
                    </w:rPr>
                    <w:t>…</w:t>
                  </w:r>
                  <w:r w:rsidR="000B5B48">
                    <w:rPr>
                      <w:i/>
                      <w:iCs/>
                    </w:rPr>
                    <w:t>]</w:t>
                  </w:r>
                  <w:r w:rsidRPr="005C34ED">
                    <w:rPr>
                      <w:i/>
                      <w:iCs/>
                    </w:rPr>
                    <w:t xml:space="preserve"> data sovereignty and how things are stored and transparent. And the problem is like, what are they doing with the information?</w:t>
                  </w:r>
                  <w:r>
                    <w:rPr>
                      <w:i/>
                    </w:rPr>
                    <w:t xml:space="preserve"> </w:t>
                  </w:r>
                  <w:r w:rsidRPr="002E7992">
                    <w:rPr>
                      <w:b/>
                      <w:bCs/>
                      <w:i/>
                      <w:iCs/>
                    </w:rPr>
                    <w:t>–</w:t>
                  </w:r>
                  <w:r>
                    <w:rPr>
                      <w:b/>
                      <w:bCs/>
                      <w:i/>
                      <w:iCs/>
                    </w:rPr>
                    <w:t xml:space="preserve"> ACCO SFVS service provider</w:t>
                  </w:r>
                </w:p>
                <w:p w14:paraId="735A7DDC" w14:textId="524B6406" w:rsidR="00BA62B9" w:rsidRPr="005C34ED" w:rsidRDefault="00BA62B9" w:rsidP="009063EB">
                  <w:pPr>
                    <w:pStyle w:val="Text"/>
                    <w:spacing w:after="120"/>
                  </w:pPr>
                </w:p>
                <w:p w14:paraId="6597AC93" w14:textId="0CCFAE21" w:rsidR="00736D16" w:rsidRDefault="00C0407C" w:rsidP="009063EB">
                  <w:pPr>
                    <w:pStyle w:val="Text"/>
                    <w:numPr>
                      <w:ilvl w:val="0"/>
                      <w:numId w:val="65"/>
                    </w:numPr>
                    <w:spacing w:after="120"/>
                    <w:rPr>
                      <w:lang w:val="en-AU"/>
                    </w:rPr>
                  </w:pPr>
                  <w:r w:rsidRPr="005C34ED">
                    <w:rPr>
                      <w:b/>
                      <w:bCs/>
                      <w:lang w:val="en-AU"/>
                    </w:rPr>
                    <w:t xml:space="preserve">Administrative burden: </w:t>
                  </w:r>
                  <w:r w:rsidR="00F02507">
                    <w:t xml:space="preserve">The </w:t>
                  </w:r>
                  <w:hyperlink r:id="rId106" w:history="1">
                    <w:r w:rsidR="00F02507" w:rsidRPr="009C0F6E">
                      <w:rPr>
                        <w:rStyle w:val="Hyperlink"/>
                        <w:rFonts w:asciiTheme="minorHAnsi" w:hAnsiTheme="minorHAnsi"/>
                        <w:b/>
                        <w:i/>
                        <w:color w:val="007E00" w:themeColor="accent3"/>
                      </w:rPr>
                      <w:t>Aboriginal and Torres Strait Islander Action Plan 2023–2025</w:t>
                    </w:r>
                  </w:hyperlink>
                  <w:r w:rsidR="00F02507">
                    <w:t xml:space="preserve"> highlights the extent to which Aboriginal and Torres Strait Islander services are </w:t>
                  </w:r>
                  <w:r w:rsidR="00683938">
                    <w:t>overburdened for data and reporting.</w:t>
                  </w:r>
                  <w:r w:rsidR="00F02507">
                    <w:t xml:space="preserve"> </w:t>
                  </w:r>
                  <w:r w:rsidRPr="005C34ED">
                    <w:rPr>
                      <w:lang w:val="en-AU"/>
                    </w:rPr>
                    <w:t xml:space="preserve">ACCOs also described the weight of the </w:t>
                  </w:r>
                  <w:r w:rsidR="00683938">
                    <w:rPr>
                      <w:lang w:val="en-AU"/>
                    </w:rPr>
                    <w:t xml:space="preserve">SFVS </w:t>
                  </w:r>
                  <w:r w:rsidRPr="005C34ED">
                    <w:rPr>
                      <w:lang w:val="en-AU"/>
                    </w:rPr>
                    <w:t xml:space="preserve">reporting burden as disproportionate to the funding received, and excessive compared to other funders. </w:t>
                  </w:r>
                  <w:r w:rsidR="007C3178">
                    <w:rPr>
                      <w:lang w:val="en-AU"/>
                    </w:rPr>
                    <w:t xml:space="preserve">Current reporting requirements (in particular SCORE) </w:t>
                  </w:r>
                  <w:r w:rsidR="00536EE3">
                    <w:rPr>
                      <w:lang w:val="en-AU"/>
                    </w:rPr>
                    <w:t>assume</w:t>
                  </w:r>
                  <w:r w:rsidR="00AB2CFB">
                    <w:rPr>
                      <w:lang w:val="en-AU"/>
                    </w:rPr>
                    <w:t xml:space="preserve"> that an individual will </w:t>
                  </w:r>
                  <w:r w:rsidR="00255188">
                    <w:rPr>
                      <w:lang w:val="en-AU"/>
                    </w:rPr>
                    <w:t>receive</w:t>
                  </w:r>
                  <w:r w:rsidR="00AB2CFB">
                    <w:rPr>
                      <w:lang w:val="en-AU"/>
                    </w:rPr>
                    <w:t xml:space="preserve"> sustained, individual </w:t>
                  </w:r>
                  <w:r w:rsidR="00255188">
                    <w:rPr>
                      <w:lang w:val="en-AU"/>
                    </w:rPr>
                    <w:t>support in the form of, for example, individual counselling.</w:t>
                  </w:r>
                  <w:r w:rsidR="00255188">
                    <w:t xml:space="preserve"> </w:t>
                  </w:r>
                  <w:r w:rsidR="00255188">
                    <w:rPr>
                      <w:lang w:val="en-AU"/>
                    </w:rPr>
                    <w:t>Because ACCOs focus on whole</w:t>
                  </w:r>
                  <w:r w:rsidR="004F2B3B">
                    <w:rPr>
                      <w:lang w:val="en-AU"/>
                    </w:rPr>
                    <w:t>-</w:t>
                  </w:r>
                  <w:r w:rsidR="00255188">
                    <w:rPr>
                      <w:lang w:val="en-AU"/>
                    </w:rPr>
                    <w:t>of</w:t>
                  </w:r>
                  <w:r w:rsidR="004F2B3B">
                    <w:rPr>
                      <w:lang w:val="en-AU"/>
                    </w:rPr>
                    <w:t>-</w:t>
                  </w:r>
                  <w:r w:rsidR="00255188">
                    <w:rPr>
                      <w:lang w:val="en-AU"/>
                    </w:rPr>
                    <w:t xml:space="preserve">community responses, </w:t>
                  </w:r>
                  <w:r w:rsidR="00216ADC">
                    <w:rPr>
                      <w:lang w:val="en-AU"/>
                    </w:rPr>
                    <w:t xml:space="preserve">and because Aboriginal and Torres Strait Islander </w:t>
                  </w:r>
                  <w:r w:rsidR="005072EF">
                    <w:rPr>
                      <w:lang w:val="en-AU"/>
                    </w:rPr>
                    <w:t>service users</w:t>
                  </w:r>
                  <w:r w:rsidR="00216ADC">
                    <w:rPr>
                      <w:lang w:val="en-AU"/>
                    </w:rPr>
                    <w:t xml:space="preserve"> may </w:t>
                  </w:r>
                  <w:r w:rsidR="00B26EF5">
                    <w:rPr>
                      <w:lang w:val="en-AU"/>
                    </w:rPr>
                    <w:t xml:space="preserve">disengage </w:t>
                  </w:r>
                  <w:r w:rsidR="00704B5D">
                    <w:rPr>
                      <w:lang w:val="en-AU"/>
                    </w:rPr>
                    <w:t>and</w:t>
                  </w:r>
                  <w:r w:rsidR="00216ADC">
                    <w:rPr>
                      <w:lang w:val="en-AU"/>
                    </w:rPr>
                    <w:t xml:space="preserve"> re-engage in a variety of integrated programs over time, </w:t>
                  </w:r>
                  <w:r w:rsidR="008A5E78">
                    <w:rPr>
                      <w:lang w:val="en-AU"/>
                    </w:rPr>
                    <w:t xml:space="preserve">the assumption of linear progress underlying SCORE may not be suitable. </w:t>
                  </w:r>
                  <w:r w:rsidRPr="008A5E78">
                    <w:rPr>
                      <w:lang w:val="en-AU"/>
                    </w:rPr>
                    <w:t>This is exacerbated where providers are delivering group programs which require SCORE assessments of each participant.</w:t>
                  </w:r>
                  <w:r w:rsidR="00DC15DD" w:rsidRPr="008A5E78">
                    <w:rPr>
                      <w:lang w:val="en-AU"/>
                    </w:rPr>
                    <w:t xml:space="preserve"> </w:t>
                  </w:r>
                  <w:r w:rsidR="00736D16">
                    <w:rPr>
                      <w:lang w:val="en-AU"/>
                    </w:rPr>
                    <w:br w:type="page"/>
                  </w:r>
                </w:p>
                <w:p w14:paraId="3776DE38" w14:textId="7E4D15C7" w:rsidR="005674C7" w:rsidRPr="009C7D7C" w:rsidRDefault="005674C7" w:rsidP="00A71FD8">
                  <w:pPr>
                    <w:pStyle w:val="Heading3"/>
                    <w:ind w:left="1276" w:hanging="1276"/>
                  </w:pPr>
                  <w:r w:rsidRPr="009C7D7C">
                    <w:lastRenderedPageBreak/>
                    <w:t xml:space="preserve">Culturally and linguistically diverse communities </w:t>
                  </w:r>
                </w:p>
                <w:p w14:paraId="6637D259" w14:textId="6DDA0157" w:rsidR="005674C7" w:rsidRDefault="00E50ED2" w:rsidP="005674C7">
                  <w:pPr>
                    <w:pStyle w:val="Text"/>
                  </w:pPr>
                  <w:r>
                    <w:t xml:space="preserve">People from CALD communities are a priority cohort for FaRS and SFVS service delivery. </w:t>
                  </w:r>
                  <w:r w:rsidR="005674C7" w:rsidRPr="005716DC">
                    <w:t>Family</w:t>
                  </w:r>
                  <w:r w:rsidR="00236DDF">
                    <w:t>, relationship, and family</w:t>
                  </w:r>
                  <w:r w:rsidR="005674C7" w:rsidRPr="005716DC">
                    <w:t xml:space="preserve"> violence services for CALD communities face unique challenges and require culturally competent approaches. The literature identifie</w:t>
                  </w:r>
                  <w:r w:rsidR="005674C7">
                    <w:t>d</w:t>
                  </w:r>
                  <w:r w:rsidR="005674C7" w:rsidRPr="005716DC">
                    <w:t xml:space="preserve"> key barriers, needs, and effective service delivery models specific to CALD. </w:t>
                  </w:r>
                  <w:r w:rsidR="005674C7">
                    <w:t>These include:</w:t>
                  </w:r>
                </w:p>
                <w:p w14:paraId="068D8F88" w14:textId="05B68279" w:rsidR="005674C7" w:rsidRPr="005716DC" w:rsidRDefault="005674C7" w:rsidP="007046B4">
                  <w:pPr>
                    <w:pStyle w:val="Bullet1"/>
                  </w:pPr>
                  <w:r>
                    <w:t>language and interpreter access barriers based on limited availability, cost and</w:t>
                  </w:r>
                  <w:r w:rsidRPr="005716DC">
                    <w:t xml:space="preserve"> </w:t>
                  </w:r>
                  <w:r>
                    <w:t xml:space="preserve">confidentiality concerns </w:t>
                  </w:r>
                  <w:r w:rsidRPr="005716DC">
                    <w:fldChar w:fldCharType="begin"/>
                  </w:r>
                  <w:r w:rsidR="00E41D03">
                    <w:instrText xml:space="preserve"> ADDIN ZOTERO_ITEM CSL_CITATION {"citationID":"4MiMY9go","properties":{"formattedCitation":"(Pokharel et al., 2023)","plainCitation":"(Pokharel et al., 2023)","noteIndex":0},"citationItems":[{"id":4558,"uris":["http://zotero.org/groups/5691188/items/SDR8BCSI"],"itemData":{"id":4558,"type":"article-journal","abstract":"Existing culturally competent models of care and guidelines are directing the responses of healthcare providers to culturally diverse populations. However, there is a lack of research into how or if these models and guidelines can be translated into the primary care context of family violence. This systematic review aimed to synthesise published evidence to explore the components of culturally competent primary care response for women experiencing family violence. We deﬁne family violence as any form of abuse perpetrated against a woman either by her intimate partner or the partner’s family member. We included English language peerreviewed articles and grey literature items that explored interactions between culturally diverse women experiencing family violence and their primary care clinicians. We refer women of migrant and refugee backgrounds, Indigenous women and women of ethnic minorities collectively as culturally diverse women. We searched eight electronic databases and websites of Australia-based relevant organisations. Following a critical interpretive synthesis of 28 eligible peer-reviewed articles and 16 grey literature items, we generated 11 components of culturally competent family violence related primary care. In the discussion section, we interpreted our ﬁndings using an ecological framework to develop a model of care that provides insights into how components at the primary care practice level should coordinate with components at the primary care provider level to enable efﬁcient support to these women experiencing family violence. The review ﬁndings are applicable beyond the family violence primary care context.","container-title":"Trauma, Violence, &amp; Abuse","DOI":"10.1177/15248380211046968","ISSN":"1524-8380, 1552-8324","issue":"2","journalAbbreviation":"Trauma, Violence, &amp; Abuse","language":"en","page":"928-945","source":"DOI.org (Crossref)","title":"A Systematic Review of Culturally Competent Family Violence Responses to Women in Primary Care","volume":"24","author":[{"family":"Pokharel","given":"Bijaya"},{"family":"Yelland","given":"Jane"},{"family":"Hooker","given":"Leesa"},{"family":"Taft","given":"Angela"}],"issued":{"date-parts":[["2023",4]]}}}],"schema":"https://github.com/citation-style-language/schema/raw/master/csl-citation.json"} </w:instrText>
                  </w:r>
                  <w:r w:rsidRPr="005716DC">
                    <w:fldChar w:fldCharType="separate"/>
                  </w:r>
                  <w:r w:rsidRPr="005716DC">
                    <w:rPr>
                      <w:rFonts w:ascii="Arial" w:hAnsi="Arial" w:cs="Arial"/>
                    </w:rPr>
                    <w:t>(Pokharel et al., 2023)</w:t>
                  </w:r>
                  <w:r w:rsidRPr="005716DC">
                    <w:fldChar w:fldCharType="end"/>
                  </w:r>
                </w:p>
                <w:p w14:paraId="3553D843" w14:textId="5F1B2C20" w:rsidR="005674C7" w:rsidRPr="005716DC" w:rsidRDefault="005674C7" w:rsidP="007046B4">
                  <w:pPr>
                    <w:pStyle w:val="Bullet1"/>
                  </w:pPr>
                  <w:r>
                    <w:t>barriers to disclosing violence or seeking help due to family violence often being considered a stigmatised or taboo topic that should not be discussed outside the home</w:t>
                  </w:r>
                  <w:r w:rsidR="00C04763">
                    <w:t>,</w:t>
                  </w:r>
                  <w:r>
                    <w:t xml:space="preserve"> fears of community judgment, social isolation</w:t>
                  </w:r>
                  <w:r w:rsidR="00704B5D">
                    <w:t>,</w:t>
                  </w:r>
                  <w:r>
                    <w:t xml:space="preserve"> and deportation </w:t>
                  </w:r>
                  <w:r w:rsidRPr="005716DC">
                    <w:fldChar w:fldCharType="begin"/>
                  </w:r>
                  <w:r w:rsidR="00E41D03">
                    <w:instrText xml:space="preserve"> ADDIN ZOTERO_ITEM CSL_CITATION {"citationID":"plODRt4B","properties":{"formattedCitation":"(Pokharel et al., 2023; Truong et al., 2020)","plainCitation":"(Pokharel et al., 2023; Truong et al., 2020)","noteIndex":0},"citationItems":[{"id":4558,"uris":["http://zotero.org/groups/5691188/items/SDR8BCSI"],"itemData":{"id":4558,"type":"article-journal","abstract":"Existing culturally competent models of care and guidelines are directing the responses of healthcare providers to culturally diverse populations. However, there is a lack of research into how or if these models and guidelines can be translated into the primary care context of family violence. This systematic review aimed to synthesise published evidence to explore the components of culturally competent primary care response for women experiencing family violence. We deﬁne family violence as any form of abuse perpetrated against a woman either by her intimate partner or the partner’s family member. We included English language peerreviewed articles and grey literature items that explored interactions between culturally diverse women experiencing family violence and their primary care clinicians. We refer women of migrant and refugee backgrounds, Indigenous women and women of ethnic minorities collectively as culturally diverse women. We searched eight electronic databases and websites of Australia-based relevant organisations. Following a critical interpretive synthesis of 28 eligible peer-reviewed articles and 16 grey literature items, we generated 11 components of culturally competent family violence related primary care. In the discussion section, we interpreted our ﬁndings using an ecological framework to develop a model of care that provides insights into how components at the primary care practice level should coordinate with components at the primary care provider level to enable efﬁcient support to these women experiencing family violence. The review ﬁndings are applicable beyond the family violence primary care context.","container-title":"Trauma, Violence, &amp; Abuse","DOI":"10.1177/15248380211046968","ISSN":"1524-8380, 1552-8324","issue":"2","journalAbbreviation":"Trauma, Violence, &amp; Abuse","language":"en","page":"928-945","source":"DOI.org (Crossref)","title":"A Systematic Review of Culturally Competent Family Violence Responses to Women in Primary Care","volume":"24","author":[{"family":"Pokharel","given":"Bijaya"},{"family":"Yelland","given":"Jane"},{"family":"Hooker","given":"Leesa"},{"family":"Taft","given":"Angela"}],"issued":{"date-parts":[["2023",4]]}}},{"id":4716,"uris":["http://zotero.org/groups/5691188/items/QX2HHBEW"],"itemData":{"id":4716,"type":"report","collection-title":"CSRM Working Paper","language":"en","number":"1/2020","publisher":"Centre for Social Research &amp; Methods","source":"Zotero","title":"Faith-based communities’ responses to family and domestic violence","author":[{"family":"Truong","given":"M"},{"family":"Sharif","given":"M"},{"family":"Pasalich","given":"D"},{"family":"Olsen","given":"A"},{"family":"Calabria","given":"B"},{"family":"Priest","given":"N"}],"issued":{"date-parts":[["2020"]]}}}],"schema":"https://github.com/citation-style-language/schema/raw/master/csl-citation.json"} </w:instrText>
                  </w:r>
                  <w:r w:rsidRPr="005716DC">
                    <w:fldChar w:fldCharType="separate"/>
                  </w:r>
                  <w:r w:rsidRPr="005716DC">
                    <w:rPr>
                      <w:rFonts w:ascii="Arial" w:hAnsi="Arial" w:cs="Arial"/>
                    </w:rPr>
                    <w:t>(Pokharel et al., 2023; Truong et al., 2020)</w:t>
                  </w:r>
                  <w:r w:rsidRPr="005716DC">
                    <w:fldChar w:fldCharType="end"/>
                  </w:r>
                </w:p>
                <w:p w14:paraId="6C9C4865" w14:textId="7D1FD794" w:rsidR="005674C7" w:rsidRPr="005716DC" w:rsidRDefault="005674C7" w:rsidP="007046B4">
                  <w:pPr>
                    <w:pStyle w:val="Bullet1"/>
                  </w:pPr>
                  <w:r>
                    <w:t xml:space="preserve">specific norms across cultures, </w:t>
                  </w:r>
                  <w:r w:rsidR="00C04763">
                    <w:t>which place</w:t>
                  </w:r>
                  <w:r>
                    <w:t xml:space="preserve"> high value on family unity</w:t>
                  </w:r>
                  <w:r w:rsidR="00C04763">
                    <w:t>, loyalty</w:t>
                  </w:r>
                  <w:r>
                    <w:t xml:space="preserve"> or devotion </w:t>
                  </w:r>
                  <w:r w:rsidRPr="005716DC">
                    <w:fldChar w:fldCharType="begin"/>
                  </w:r>
                  <w:r w:rsidR="00E41D03">
                    <w:instrText xml:space="preserve"> ADDIN ZOTERO_ITEM CSL_CITATION {"citationID":"XbNhEhOW","properties":{"formattedCitation":"(Satyen et al., 2019)","plainCitation":"(Satyen et al., 2019)","noteIndex":0},"citationItems":[{"id":4759,"uris":["http://zotero.org/groups/5691188/items/UFDJNFUB"],"itemData":{"id":4759,"type":"article-journal","abstract":"Intimate partner violence (IPV) is an issue that affects women across all cultures. It is essential to understand how women could be assisted to prevent and reduce the effects of violence. This systematic review examined studies that made crosscultural comparisons of differences in help-seeking behaviour of women who have experienced IPV. Databases including the Cochrane Library, PsychInfo and others were searched for literature published between 1988 and 2016. Seventeen articles with a total of 40,904 participants met the inclusion criteria. This review found some differences in the procurement of support across cultural groups. While Caucasian women were more likely to seek assistance from formal services such as mental health and social services, Latina/Hispanic and African-American women were more likely to utilize other types of formal supports such as hospital and law enforcement services. The findings regarding utilization of informal support systems showed mixed results. Overall, the findings of this systematic review suggest that women from culturally diverse minority backgrounds should be educated and encouraged to access support before and after experiencing IPV. Further, potential barriers to help-seeking need to be identified and addressed across women from all cultures.","container-title":"Journal of Immigrant and Minority Health","DOI":"10.1007/s10903-018-0803-9","ISSN":"1557-1912, 1557-1920","issue":"4","journalAbbreviation":"J Immigrant Minority Health","language":"en","page":"879-892","source":"DOI.org (Crossref)","title":"Intimate Partner Violence and Help-Seeking Behaviour: A Systematic Review of Cross-Cultural Differences","title-short":"Intimate Partner Violence and Help-Seeking Behaviour","volume":"21","author":[{"family":"Satyen","given":"Lata"},{"family":"Rogic","given":"Amiee C."},{"family":"Supol","given":"Meu"}],"issued":{"date-parts":[["2019",8]]}}}],"schema":"https://github.com/citation-style-language/schema/raw/master/csl-citation.json"} </w:instrText>
                  </w:r>
                  <w:r w:rsidRPr="005716DC">
                    <w:fldChar w:fldCharType="separate"/>
                  </w:r>
                  <w:r w:rsidRPr="005716DC">
                    <w:rPr>
                      <w:rFonts w:ascii="Arial" w:hAnsi="Arial" w:cs="Arial"/>
                    </w:rPr>
                    <w:t>(Satyen et al., 2019)</w:t>
                  </w:r>
                  <w:r w:rsidRPr="005716DC">
                    <w:fldChar w:fldCharType="end"/>
                  </w:r>
                  <w:r w:rsidRPr="005716DC">
                    <w:t>.</w:t>
                  </w:r>
                </w:p>
                <w:p w14:paraId="42924486" w14:textId="4AEB86E6" w:rsidR="005674C7" w:rsidRDefault="005674C7" w:rsidP="005674C7">
                  <w:pPr>
                    <w:pStyle w:val="Text"/>
                  </w:pPr>
                  <w:r w:rsidRPr="005716DC">
                    <w:t xml:space="preserve">Systemic inequities and trauma are also a significant barrier for many CALD service users. </w:t>
                  </w:r>
                  <w:r>
                    <w:t>Th</w:t>
                  </w:r>
                  <w:r w:rsidR="003B16A6">
                    <w:t>ese</w:t>
                  </w:r>
                  <w:r>
                    <w:t xml:space="preserve"> can include:</w:t>
                  </w:r>
                </w:p>
                <w:p w14:paraId="005BB003" w14:textId="0824507D" w:rsidR="005674C7" w:rsidRDefault="005674C7" w:rsidP="007046B4">
                  <w:pPr>
                    <w:pStyle w:val="Bullet1"/>
                  </w:pPr>
                  <w:r>
                    <w:t>for CALD women, experiences of systemic discrimination, social isolation and the cumulative stress of settlement in a new country</w:t>
                  </w:r>
                  <w:r w:rsidR="00704B5D">
                    <w:t>, including</w:t>
                  </w:r>
                  <w:r>
                    <w:t xml:space="preserve"> a history of trauma from war or torture, creating vulnerability and service access barriers </w:t>
                  </w:r>
                  <w:r w:rsidRPr="005716DC">
                    <w:fldChar w:fldCharType="begin"/>
                  </w:r>
                  <w:r w:rsidR="00E41D03">
                    <w:instrText xml:space="preserve"> ADDIN ZOTERO_ITEM CSL_CITATION {"citationID":"wFvZBAVE","properties":{"formattedCitation":"(Pokharel et al., 2023)","plainCitation":"(Pokharel et al., 2023)","noteIndex":0},"citationItems":[{"id":4558,"uris":["http://zotero.org/groups/5691188/items/SDR8BCSI"],"itemData":{"id":4558,"type":"article-journal","abstract":"Existing culturally competent models of care and guidelines are directing the responses of healthcare providers to culturally diverse populations. However, there is a lack of research into how or if these models and guidelines can be translated into the primary care context of family violence. This systematic review aimed to synthesise published evidence to explore the components of culturally competent primary care response for women experiencing family violence. We deﬁne family violence as any form of abuse perpetrated against a woman either by her intimate partner or the partner’s family member. We included English language peerreviewed articles and grey literature items that explored interactions between culturally diverse women experiencing family violence and their primary care clinicians. We refer women of migrant and refugee backgrounds, Indigenous women and women of ethnic minorities collectively as culturally diverse women. We searched eight electronic databases and websites of Australia-based relevant organisations. Following a critical interpretive synthesis of 28 eligible peer-reviewed articles and 16 grey literature items, we generated 11 components of culturally competent family violence related primary care. In the discussion section, we interpreted our ﬁndings using an ecological framework to develop a model of care that provides insights into how components at the primary care practice level should coordinate with components at the primary care provider level to enable efﬁcient support to these women experiencing family violence. The review ﬁndings are applicable beyond the family violence primary care context.","container-title":"Trauma, Violence, &amp; Abuse","DOI":"10.1177/15248380211046968","ISSN":"1524-8380, 1552-8324","issue":"2","journalAbbreviation":"Trauma, Violence, &amp; Abuse","language":"en","page":"928-945","source":"DOI.org (Crossref)","title":"A Systematic Review of Culturally Competent Family Violence Responses to Women in Primary Care","volume":"24","author":[{"family":"Pokharel","given":"Bijaya"},{"family":"Yelland","given":"Jane"},{"family":"Hooker","given":"Leesa"},{"family":"Taft","given":"Angela"}],"issued":{"date-parts":[["2023",4]]}}}],"schema":"https://github.com/citation-style-language/schema/raw/master/csl-citation.json"} </w:instrText>
                  </w:r>
                  <w:r w:rsidRPr="005716DC">
                    <w:fldChar w:fldCharType="separate"/>
                  </w:r>
                  <w:r w:rsidRPr="005716DC">
                    <w:rPr>
                      <w:rFonts w:ascii="Arial" w:hAnsi="Arial" w:cs="Arial"/>
                    </w:rPr>
                    <w:t>(Pokharel et al., 2023)</w:t>
                  </w:r>
                  <w:r w:rsidRPr="005716DC">
                    <w:fldChar w:fldCharType="end"/>
                  </w:r>
                  <w:r w:rsidR="00704B5D">
                    <w:t>.</w:t>
                  </w:r>
                </w:p>
                <w:p w14:paraId="587C02B5" w14:textId="3BE4665F" w:rsidR="005674C7" w:rsidRDefault="005674C7" w:rsidP="007046B4">
                  <w:pPr>
                    <w:pStyle w:val="Bullet1"/>
                  </w:pPr>
                  <w:r>
                    <w:t xml:space="preserve">reluctance from CALD migrant women to access services and seek help based on fears about immigration status, deportation and residency, particularly where this is tied to their partner </w:t>
                  </w:r>
                  <w:r w:rsidRPr="005716DC">
                    <w:fldChar w:fldCharType="begin"/>
                  </w:r>
                  <w:r w:rsidR="00E41D03">
                    <w:instrText xml:space="preserve"> ADDIN ZOTERO_ITEM CSL_CITATION {"citationID":"jqqAw07X","properties":{"formattedCitation":"(Satyen et al., 2019)","plainCitation":"(Satyen et al., 2019)","noteIndex":0},"citationItems":[{"id":4759,"uris":["http://zotero.org/groups/5691188/items/UFDJNFUB"],"itemData":{"id":4759,"type":"article-journal","abstract":"Intimate partner violence (IPV) is an issue that affects women across all cultures. It is essential to understand how women could be assisted to prevent and reduce the effects of violence. This systematic review examined studies that made crosscultural comparisons of differences in help-seeking behaviour of women who have experienced IPV. Databases including the Cochrane Library, PsychInfo and others were searched for literature published between 1988 and 2016. Seventeen articles with a total of 40,904 participants met the inclusion criteria. This review found some differences in the procurement of support across cultural groups. While Caucasian women were more likely to seek assistance from formal services such as mental health and social services, Latina/Hispanic and African-American women were more likely to utilize other types of formal supports such as hospital and law enforcement services. The findings regarding utilization of informal support systems showed mixed results. Overall, the findings of this systematic review suggest that women from culturally diverse minority backgrounds should be educated and encouraged to access support before and after experiencing IPV. Further, potential barriers to help-seeking need to be identified and addressed across women from all cultures.","container-title":"Journal of Immigrant and Minority Health","DOI":"10.1007/s10903-018-0803-9","ISSN":"1557-1912, 1557-1920","issue":"4","journalAbbreviation":"J Immigrant Minority Health","language":"en","page":"879-892","source":"DOI.org (Crossref)","title":"Intimate Partner Violence and Help-Seeking Behaviour: A Systematic Review of Cross-Cultural Differences","title-short":"Intimate Partner Violence and Help-Seeking Behaviour","volume":"21","author":[{"family":"Satyen","given":"Lata"},{"family":"Rogic","given":"Amiee C."},{"family":"Supol","given":"Meu"}],"issued":{"date-parts":[["2019",8]]}}}],"schema":"https://github.com/citation-style-language/schema/raw/master/csl-citation.json"} </w:instrText>
                  </w:r>
                  <w:r w:rsidRPr="005716DC">
                    <w:fldChar w:fldCharType="separate"/>
                  </w:r>
                  <w:r w:rsidRPr="005716DC">
                    <w:rPr>
                      <w:rFonts w:ascii="Arial" w:hAnsi="Arial" w:cs="Arial"/>
                    </w:rPr>
                    <w:t>(Satyen et al., 2019)</w:t>
                  </w:r>
                  <w:r w:rsidRPr="005716DC">
                    <w:fldChar w:fldCharType="end"/>
                  </w:r>
                </w:p>
                <w:p w14:paraId="2880CC9F" w14:textId="52E42CD5" w:rsidR="005674C7" w:rsidRDefault="005674C7" w:rsidP="007046B4">
                  <w:pPr>
                    <w:pStyle w:val="Bullet1"/>
                  </w:pPr>
                  <w:r>
                    <w:t>children from CALD backgrounds taking on a caretaker role for their parents by assisting with service access and decision-making, sometimes affecting power dynamics, creating conflict and increasing mental health issues for these children, particularly in cultures where deference to adults is important</w:t>
                  </w:r>
                  <w:r w:rsidRPr="00D97BB6">
                    <w:t xml:space="preserve"> </w:t>
                  </w:r>
                  <w:r w:rsidRPr="005716DC">
                    <w:fldChar w:fldCharType="begin"/>
                  </w:r>
                  <w:r w:rsidR="00E41D03">
                    <w:instrText xml:space="preserve"> ADDIN ZOTERO_ITEM CSL_CITATION {"citationID":"cBVHFz4x","properties":{"formattedCitation":"(Joshi and Gartoulla, 2024)","plainCitation":"(Joshi and Gartoulla, 2024)","noteIndex":0},"citationItems":[{"id":4690,"uris":["http://zotero.org/groups/5691188/items/H432ZVXG"],"itemData":{"id":4690,"type":"article-journal","language":"en","source":"Zotero","title":"How the experiences and circumstances of culturally and linguistically diverse children and families influence child mental health","author":[{"family":"Joshi","given":"Anagha"},{"family":"Gartoulla","given":"Dr Pragya"}],"issued":{"date-parts":[["2024"]]}}}],"schema":"https://github.com/citation-style-language/schema/raw/master/csl-citation.json"} </w:instrText>
                  </w:r>
                  <w:r w:rsidRPr="005716DC">
                    <w:fldChar w:fldCharType="separate"/>
                  </w:r>
                  <w:r w:rsidRPr="00795A5F">
                    <w:rPr>
                      <w:rFonts w:ascii="Arial" w:hAnsi="Arial" w:cs="Arial"/>
                    </w:rPr>
                    <w:t>(Joshi and Gartoulla, 2024)</w:t>
                  </w:r>
                  <w:r w:rsidRPr="005716DC">
                    <w:fldChar w:fldCharType="end"/>
                  </w:r>
                  <w:r>
                    <w:t>.</w:t>
                  </w:r>
                </w:p>
                <w:p w14:paraId="7036C314" w14:textId="7E7DCD95" w:rsidR="005674C7" w:rsidRDefault="005674C7" w:rsidP="005674C7">
                  <w:pPr>
                    <w:pStyle w:val="Text"/>
                  </w:pPr>
                  <w:r>
                    <w:t>The literature revealed examples of best practices and preferred service models for CALD communities, including:</w:t>
                  </w:r>
                </w:p>
                <w:p w14:paraId="7FE6D5DD" w14:textId="159CB287" w:rsidR="005674C7" w:rsidRDefault="004B5265" w:rsidP="007046B4">
                  <w:pPr>
                    <w:pStyle w:val="Bullet1"/>
                  </w:pPr>
                  <w:r>
                    <w:t>Ensuring cultural competency of service providers: T</w:t>
                  </w:r>
                  <w:r w:rsidR="005674C7">
                    <w:t xml:space="preserve">he importance of ongoing cultural competency training for service providers, with the </w:t>
                  </w:r>
                  <w:r w:rsidR="00611A3A">
                    <w:t>‘</w:t>
                  </w:r>
                  <w:r w:rsidR="005674C7">
                    <w:t>ASKED</w:t>
                  </w:r>
                  <w:r w:rsidR="00611A3A">
                    <w:t>’</w:t>
                  </w:r>
                  <w:r w:rsidR="005674C7">
                    <w:t xml:space="preserve"> model (Awareness, Skill, Knowledge, Encounters, Desire) being recommended as a framework for self-reflection to improve responsiveness to CALD women’s needs </w:t>
                  </w:r>
                  <w:r w:rsidR="005674C7" w:rsidRPr="005716DC">
                    <w:fldChar w:fldCharType="begin"/>
                  </w:r>
                  <w:r w:rsidR="00E41D03">
                    <w:instrText xml:space="preserve"> ADDIN ZOTERO_ITEM CSL_CITATION {"citationID":"Oabaj5iG","properties":{"formattedCitation":"(Pokharel et al., 2023)","plainCitation":"(Pokharel et al., 2023)","noteIndex":0},"citationItems":[{"id":4558,"uris":["http://zotero.org/groups/5691188/items/SDR8BCSI"],"itemData":{"id":4558,"type":"article-journal","abstract":"Existing culturally competent models of care and guidelines are directing the responses of healthcare providers to culturally diverse populations. However, there is a lack of research into how or if these models and guidelines can be translated into the primary care context of family violence. This systematic review aimed to synthesise published evidence to explore the components of culturally competent primary care response for women experiencing family violence. We deﬁne family violence as any form of abuse perpetrated against a woman either by her intimate partner or the partner’s family member. We included English language peerreviewed articles and grey literature items that explored interactions between culturally diverse women experiencing family violence and their primary care clinicians. We refer women of migrant and refugee backgrounds, Indigenous women and women of ethnic minorities collectively as culturally diverse women. We searched eight electronic databases and websites of Australia-based relevant organisations. Following a critical interpretive synthesis of 28 eligible peer-reviewed articles and 16 grey literature items, we generated 11 components of culturally competent family violence related primary care. In the discussion section, we interpreted our ﬁndings using an ecological framework to develop a model of care that provides insights into how components at the primary care practice level should coordinate with components at the primary care provider level to enable efﬁcient support to these women experiencing family violence. The review ﬁndings are applicable beyond the family violence primary care context.","container-title":"Trauma, Violence, &amp; Abuse","DOI":"10.1177/15248380211046968","ISSN":"1524-8380, 1552-8324","issue":"2","journalAbbreviation":"Trauma, Violence, &amp; Abuse","language":"en","page":"928-945","source":"DOI.org (Crossref)","title":"A Systematic Review of Culturally Competent Family Violence Responses to Women in Primary Care","volume":"24","author":[{"family":"Pokharel","given":"Bijaya"},{"family":"Yelland","given":"Jane"},{"family":"Hooker","given":"Leesa"},{"family":"Taft","given":"Angela"}],"issued":{"date-parts":[["2023",4]]}}}],"schema":"https://github.com/citation-style-language/schema/raw/master/csl-citation.json"} </w:instrText>
                  </w:r>
                  <w:r w:rsidR="005674C7" w:rsidRPr="005716DC">
                    <w:fldChar w:fldCharType="separate"/>
                  </w:r>
                  <w:r w:rsidR="005674C7" w:rsidRPr="005716DC">
                    <w:rPr>
                      <w:rFonts w:ascii="Arial" w:hAnsi="Arial" w:cs="Arial"/>
                    </w:rPr>
                    <w:t>(Pokharel et al., 2023)</w:t>
                  </w:r>
                  <w:r w:rsidR="005674C7" w:rsidRPr="005716DC">
                    <w:fldChar w:fldCharType="end"/>
                  </w:r>
                  <w:r w:rsidR="004C5726">
                    <w:t>.</w:t>
                  </w:r>
                </w:p>
                <w:p w14:paraId="17C119EA" w14:textId="7205496F" w:rsidR="005674C7" w:rsidRDefault="004B5265" w:rsidP="007046B4">
                  <w:pPr>
                    <w:pStyle w:val="Bullet1"/>
                  </w:pPr>
                  <w:r>
                    <w:t>Sustained community engagement: E</w:t>
                  </w:r>
                  <w:r w:rsidR="005674C7">
                    <w:t>ngaging faith leaders in training, family violence prevention and awareness-raising efforts to help build trust in services within CALD communities</w:t>
                  </w:r>
                  <w:r w:rsidR="00B944C0">
                    <w:t xml:space="preserve"> </w:t>
                  </w:r>
                  <w:r w:rsidR="00B944C0" w:rsidRPr="005716DC">
                    <w:fldChar w:fldCharType="begin"/>
                  </w:r>
                  <w:r w:rsidR="00E41D03">
                    <w:instrText xml:space="preserve"> ADDIN ZOTERO_ITEM CSL_CITATION {"citationID":"oYAddJbW","properties":{"formattedCitation":"(Pokharel et al., 2023)","plainCitation":"(Pokharel et al., 2023)","noteIndex":0},"citationItems":[{"id":4558,"uris":["http://zotero.org/groups/5691188/items/SDR8BCSI"],"itemData":{"id":4558,"type":"article-journal","abstract":"Existing culturally competent models of care and guidelines are directing the responses of healthcare providers to culturally diverse populations. However, there is a lack of research into how or if these models and guidelines can be translated into the primary care context of family violence. This systematic review aimed to synthesise published evidence to explore the components of culturally competent primary care response for women experiencing family violence. We deﬁne family violence as any form of abuse perpetrated against a woman either by her intimate partner or the partner’s family member. We included English language peerreviewed articles and grey literature items that explored interactions between culturally diverse women experiencing family violence and their primary care clinicians. We refer women of migrant and refugee backgrounds, Indigenous women and women of ethnic minorities collectively as culturally diverse women. We searched eight electronic databases and websites of Australia-based relevant organisations. Following a critical interpretive synthesis of 28 eligible peer-reviewed articles and 16 grey literature items, we generated 11 components of culturally competent family violence related primary care. In the discussion section, we interpreted our ﬁndings using an ecological framework to develop a model of care that provides insights into how components at the primary care practice level should coordinate with components at the primary care provider level to enable efﬁcient support to these women experiencing family violence. The review ﬁndings are applicable beyond the family violence primary care context.","container-title":"Trauma, Violence, &amp; Abuse","DOI":"10.1177/15248380211046968","ISSN":"1524-8380, 1552-8324","issue":"2","journalAbbreviation":"Trauma, Violence, &amp; Abuse","language":"en","page":"928-945","source":"DOI.org (Crossref)","title":"A Systematic Review of Culturally Competent Family Violence Responses to Women in Primary Care","volume":"24","author":[{"family":"Pokharel","given":"Bijaya"},{"family":"Yelland","given":"Jane"},{"family":"Hooker","given":"Leesa"},{"family":"Taft","given":"Angela"}],"issued":{"date-parts":[["2023",4]]}}}],"schema":"https://github.com/citation-style-language/schema/raw/master/csl-citation.json"} </w:instrText>
                  </w:r>
                  <w:r w:rsidR="00B944C0" w:rsidRPr="005716DC">
                    <w:fldChar w:fldCharType="separate"/>
                  </w:r>
                  <w:r w:rsidR="00B944C0" w:rsidRPr="005716DC">
                    <w:rPr>
                      <w:rFonts w:ascii="Arial" w:hAnsi="Arial" w:cs="Arial"/>
                    </w:rPr>
                    <w:t>(Pokharel et al., 2023)</w:t>
                  </w:r>
                  <w:r w:rsidR="00B944C0" w:rsidRPr="005716DC">
                    <w:fldChar w:fldCharType="end"/>
                  </w:r>
                  <w:r w:rsidR="004C5726">
                    <w:t xml:space="preserve"> and </w:t>
                  </w:r>
                  <w:r w:rsidR="005674C7">
                    <w:t xml:space="preserve">providing safe, nonjudgmental and culturally safe spaces with community leaders to encourage help-seeking </w:t>
                  </w:r>
                  <w:r w:rsidR="005674C7" w:rsidRPr="005716DC">
                    <w:fldChar w:fldCharType="begin"/>
                  </w:r>
                  <w:r w:rsidR="00E41D03">
                    <w:instrText xml:space="preserve"> ADDIN ZOTERO_ITEM CSL_CITATION {"citationID":"D2cdsCG7","properties":{"formattedCitation":"(Truong et al., 2020)","plainCitation":"(Truong et al., 2020)","noteIndex":0},"citationItems":[{"id":4716,"uris":["http://zotero.org/groups/5691188/items/QX2HHBEW"],"itemData":{"id":4716,"type":"report","collection-title":"CSRM Working Paper","language":"en","number":"1/2020","publisher":"Centre for Social Research &amp; Methods","source":"Zotero","title":"Faith-based communities’ responses to family and domestic violence","author":[{"family":"Truong","given":"M"},{"family":"Sharif","given":"M"},{"family":"Pasalich","given":"D"},{"family":"Olsen","given":"A"},{"family":"Calabria","given":"B"},{"family":"Priest","given":"N"}],"issued":{"date-parts":[["2020"]]}}}],"schema":"https://github.com/citation-style-language/schema/raw/master/csl-citation.json"} </w:instrText>
                  </w:r>
                  <w:r w:rsidR="005674C7" w:rsidRPr="005716DC">
                    <w:fldChar w:fldCharType="separate"/>
                  </w:r>
                  <w:r w:rsidR="005674C7" w:rsidRPr="005716DC">
                    <w:rPr>
                      <w:rFonts w:ascii="Arial" w:hAnsi="Arial" w:cs="Arial"/>
                    </w:rPr>
                    <w:t>(Truong et al., 2020)</w:t>
                  </w:r>
                  <w:r w:rsidR="005674C7" w:rsidRPr="005716DC">
                    <w:fldChar w:fldCharType="end"/>
                  </w:r>
                  <w:r w:rsidR="004C5726">
                    <w:t>.</w:t>
                  </w:r>
                </w:p>
                <w:p w14:paraId="44244796" w14:textId="506A79E5" w:rsidR="00C90D01" w:rsidRDefault="004C5726" w:rsidP="007046B4">
                  <w:pPr>
                    <w:pStyle w:val="Bullet1"/>
                  </w:pPr>
                  <w:r>
                    <w:t>Mindfulness-based approaches: U</w:t>
                  </w:r>
                  <w:r w:rsidR="00C90D01">
                    <w:t>sing mindfulness models to build safety and self-management for victim survivors to regulate stress and process trauma, prevent re</w:t>
                  </w:r>
                  <w:r w:rsidR="00DB6A0B">
                    <w:t>-</w:t>
                  </w:r>
                  <w:r w:rsidR="00C90D01">
                    <w:t xml:space="preserve">traumatisation, </w:t>
                  </w:r>
                  <w:r w:rsidR="00764579">
                    <w:t xml:space="preserve">and empower help-seeking behaviour </w:t>
                  </w:r>
                  <w:r w:rsidR="007328DC" w:rsidRPr="002F452A">
                    <w:fldChar w:fldCharType="begin"/>
                  </w:r>
                  <w:r w:rsidR="00E41D03">
                    <w:instrText xml:space="preserve"> ADDIN ZOTERO_ITEM CSL_CITATION {"citationID":"CiIlmlPe","properties":{"formattedCitation":"(Vroegindewey and Sabri, 2022)","plainCitation":"(Vroegindewey and Sabri, 2022)","noteIndex":0},"citationItems":[{"id":4596,"uris":["http://zotero.org/groups/5691188/items/9HYU37HF"],"itemData":{"id":4596,"type":"article-journal","abstract":"Immigrant women are disproportionately affected by intimate partner violence (IPV), which poses risk for mental health problems, such as PTSD and depression. Post-migration barriers limit immigrant women’s access to supportive services, which can further debilitate their mental health symptoms and their safety. The Being safe, Healthy, and Positively Empowered (BSHAPE) digital intervention was designed to address physical safety and healthcare needs of immigrant women through a multi-component approach that integrated mindfulness-based stress reduction (MBSR) practices. This paper reports qualitative feedback ﬁndings from eighteen Black immigrant women with recent IPV exposure and co-occurring mental health symptoms, who participated in the mindfulness sessions of BSHAPE. We identiﬁed elements of mindfulness that women perceived as beneﬁcial in their healing. Women’s feedback indicated healing and empowerment through positive appraisals and coping strategies. The beneﬁts were noted for mindfulness elements promoting selfcompassion, self-actualization, intentionality of moving forward in life, and developing positivity or a sense of optimism. Other helpful elements were relaxation, self-care and reﬂection, self-awareness, self-control and focused thinking. Our ﬁndings show that incorporating mindfulness practices in interventions can be beneﬁcial for promoting the healing and empowerment of immigrant women in abusive relationships.","container-title":"International Journal of Environmental Research and Public Health","DOI":"10.3390/ijerph191912714","ISSN":"1660-4601","issue":"19","journalAbbreviation":"IJERPH","language":"en","license":"https://creativecommons.org/licenses/by/4.0/","page":"12714","source":"DOI.org (Crossref)","title":"Using Mindfulness to Improve Mental Health Outcomes of Immigrant Women with Experiences of Intimate Partner Violence","volume":"19","author":[{"family":"Vroegindewey","given":"Ashley"},{"family":"Sabri","given":"Bushra"}],"issued":{"date-parts":[["2022",10,5]]}}}],"schema":"https://github.com/citation-style-language/schema/raw/master/csl-citation.json"} </w:instrText>
                  </w:r>
                  <w:r w:rsidR="007328DC" w:rsidRPr="002F452A">
                    <w:fldChar w:fldCharType="separate"/>
                  </w:r>
                  <w:r w:rsidR="007328DC" w:rsidRPr="002F452A">
                    <w:t>(Vroegindewey and Sabri, 2022)</w:t>
                  </w:r>
                  <w:r w:rsidR="007328DC" w:rsidRPr="002F452A">
                    <w:fldChar w:fldCharType="end"/>
                  </w:r>
                </w:p>
                <w:p w14:paraId="5BDA6B12" w14:textId="7B6C9870" w:rsidR="007328DC" w:rsidRDefault="004C5726" w:rsidP="007046B4">
                  <w:pPr>
                    <w:pStyle w:val="Bullet1"/>
                  </w:pPr>
                  <w:r>
                    <w:lastRenderedPageBreak/>
                    <w:t>Culturally appropriate programs: U</w:t>
                  </w:r>
                  <w:r w:rsidR="007328DC">
                    <w:t>sing culturally responsive community-based programs</w:t>
                  </w:r>
                  <w:r w:rsidR="00E4406C">
                    <w:t>, such as helplines and culturally specific services, t</w:t>
                  </w:r>
                  <w:r w:rsidR="007328DC">
                    <w:t>o</w:t>
                  </w:r>
                  <w:r w:rsidR="00E4406C">
                    <w:t xml:space="preserve"> provide education on</w:t>
                  </w:r>
                  <w:r w:rsidR="007328DC">
                    <w:t xml:space="preserve"> early identification of risks associated with family violence </w:t>
                  </w:r>
                  <w:r w:rsidR="00E4406C">
                    <w:t xml:space="preserve">and support options (including safety planning) </w:t>
                  </w:r>
                  <w:r w:rsidR="00DC152E" w:rsidRPr="002F452A">
                    <w:fldChar w:fldCharType="begin"/>
                  </w:r>
                  <w:r w:rsidR="00E41D03">
                    <w:instrText xml:space="preserve"> ADDIN ZOTERO_ITEM CSL_CITATION {"citationID":"09Kri2WM","properties":{"formattedCitation":"(Dudgeon et al., 2021)","plainCitation":"(Dudgeon et al., 2021)","dontUpdate":true,"noteIndex":0},"citationItems":[{"id":4591,"uris":["http://zotero.org/groups/5691188/items/J6UK8PA9"],"itemData":{"id":4591,"type":"report","abstract":"Aboriginal and Torres Strait Islander people are burdened by trauma. Trauma is compounded by family violence and substance misuse, as well as the stress caused by personal, cultural and institutional racism. Healthy, supportive, loving and nurturing connections to family and kinship networks help Aboriginal and Torres Strait Islander people to flourish. In turn this leads to cultural continuity, the preservation of traditional culture. Strengthening connections to family should be embedded in any suicide prevention interventions and initiatives, and culturally safe and responsive work.","language":"en","note":"publisher: Australian Institute of Health and Welfare","source":"DOI.org (Datacite)","title":"Connection between family, kinship and social and emotional wellbeing","URL":"https://www.indigenousmhspc.gov.au/Publications/family-kinship","author":[{"family":"Dudgeon","given":"Pat"},{"family":"Blustein","given":"Shol"},{"family":"Bray","given":"Abigail"},{"family":"Calma","given":"Tom"},{"family":"McPhee","given":"Rob"},{"family":"Ring","given":"Ian"}],"accessed":{"date-parts":[["2024",10,7]]},"issued":{"date-parts":[["2021"]]}}}],"schema":"https://github.com/citation-style-language/schema/raw/master/csl-citation.json"} </w:instrText>
                  </w:r>
                  <w:r w:rsidR="00DC152E" w:rsidRPr="002F452A">
                    <w:fldChar w:fldCharType="separate"/>
                  </w:r>
                  <w:r w:rsidR="00DC152E" w:rsidRPr="002F452A">
                    <w:t>(Dudgeon et al., 2021</w:t>
                  </w:r>
                  <w:r w:rsidR="00DC152E" w:rsidRPr="002F452A">
                    <w:fldChar w:fldCharType="end"/>
                  </w:r>
                  <w:r w:rsidR="00DC152E" w:rsidRPr="002F452A">
                    <w:t>)</w:t>
                  </w:r>
                </w:p>
                <w:p w14:paraId="23563479" w14:textId="708FC3BB" w:rsidR="004615D2" w:rsidRDefault="004C5726" w:rsidP="00F650E2">
                  <w:pPr>
                    <w:pStyle w:val="Bullet1"/>
                  </w:pPr>
                  <w:r>
                    <w:t xml:space="preserve">Privacy-focused interpreter usage: </w:t>
                  </w:r>
                  <w:r w:rsidR="00F73B8F">
                    <w:t>E</w:t>
                  </w:r>
                  <w:r w:rsidR="005674C7">
                    <w:t xml:space="preserve">ffective training in interpreter use, including options for remove and pseudonym-based services, to address confidentiality risks </w:t>
                  </w:r>
                  <w:r w:rsidR="005674C7" w:rsidRPr="005716DC">
                    <w:fldChar w:fldCharType="begin"/>
                  </w:r>
                  <w:r w:rsidR="00E41D03">
                    <w:instrText xml:space="preserve"> ADDIN ZOTERO_ITEM CSL_CITATION {"citationID":"zKByeABp","properties":{"formattedCitation":"(Pokharel et al., 2023)","plainCitation":"(Pokharel et al., 2023)","noteIndex":0},"citationItems":[{"id":4558,"uris":["http://zotero.org/groups/5691188/items/SDR8BCSI"],"itemData":{"id":4558,"type":"article-journal","abstract":"Existing culturally competent models of care and guidelines are directing the responses of healthcare providers to culturally diverse populations. However, there is a lack of research into how or if these models and guidelines can be translated into the primary care context of family violence. This systematic review aimed to synthesise published evidence to explore the components of culturally competent primary care response for women experiencing family violence. We deﬁne family violence as any form of abuse perpetrated against a woman either by her intimate partner or the partner’s family member. We included English language peerreviewed articles and grey literature items that explored interactions between culturally diverse women experiencing family violence and their primary care clinicians. We refer women of migrant and refugee backgrounds, Indigenous women and women of ethnic minorities collectively as culturally diverse women. We searched eight electronic databases and websites of Australia-based relevant organisations. Following a critical interpretive synthesis of 28 eligible peer-reviewed articles and 16 grey literature items, we generated 11 components of culturally competent family violence related primary care. In the discussion section, we interpreted our ﬁndings using an ecological framework to develop a model of care that provides insights into how components at the primary care practice level should coordinate with components at the primary care provider level to enable efﬁcient support to these women experiencing family violence. The review ﬁndings are applicable beyond the family violence primary care context.","container-title":"Trauma, Violence, &amp; Abuse","DOI":"10.1177/15248380211046968","ISSN":"1524-8380, 1552-8324","issue":"2","journalAbbreviation":"Trauma, Violence, &amp; Abuse","language":"en","page":"928-945","source":"DOI.org (Crossref)","title":"A Systematic Review of Culturally Competent Family Violence Responses to Women in Primary Care","volume":"24","author":[{"family":"Pokharel","given":"Bijaya"},{"family":"Yelland","given":"Jane"},{"family":"Hooker","given":"Leesa"},{"family":"Taft","given":"Angela"}],"issued":{"date-parts":[["2023",4]]}}}],"schema":"https://github.com/citation-style-language/schema/raw/master/csl-citation.json"} </w:instrText>
                  </w:r>
                  <w:r w:rsidR="005674C7" w:rsidRPr="005716DC">
                    <w:fldChar w:fldCharType="separate"/>
                  </w:r>
                  <w:r w:rsidR="005674C7" w:rsidRPr="005716DC">
                    <w:rPr>
                      <w:rFonts w:ascii="Arial" w:hAnsi="Arial" w:cs="Arial"/>
                    </w:rPr>
                    <w:t>(Pokharel et al., 2023)</w:t>
                  </w:r>
                  <w:r w:rsidR="005674C7" w:rsidRPr="005716DC">
                    <w:fldChar w:fldCharType="end"/>
                  </w:r>
                  <w:r>
                    <w:t xml:space="preserve">In addition, </w:t>
                  </w:r>
                  <w:r w:rsidR="004615D2">
                    <w:t>the WHO’s Mental Health Gap Action Program, which has developed intervention strategies tailored to address common family-related mental health challenges, such as parental anxiety, depression and stress is a useful tool for addressing family-related mental health across cultural contexts</w:t>
                  </w:r>
                  <w:r w:rsidR="001E10DD">
                    <w:t xml:space="preserve"> </w:t>
                  </w:r>
                  <w:r w:rsidR="001E10DD" w:rsidRPr="00B846DD">
                    <w:rPr>
                      <w:lang w:val="en-US"/>
                    </w:rPr>
                    <w:fldChar w:fldCharType="begin"/>
                  </w:r>
                  <w:r w:rsidR="00E41D03">
                    <w:instrText xml:space="preserve"> ADDIN ZOTERO_ITEM CSL_CITATION {"citationID":"ItavT6M7","properties":{"formattedCitation":"(World Health Organization, 2022)","plainCitation":"(World Health Organization, 2022)","noteIndex":0},"citationItems":[{"id":4698,"uris":["http://zotero.org/groups/5691188/items/UUNXLMPC"],"itemData":{"id":4698,"type":"report","event-place":"Geneva","language":"en","publisher":"World Health Organization","publisher-place":"Geneva","source":"Zotero","title":"WHO guidelines on parenting interventions to prevent maltreatment and enhance parent–child relationships with children aged 0–17 years","author":[{"family":"World Health Organization","given":""}],"issued":{"date-parts":[["2022"]]}}}],"schema":"https://github.com/citation-style-language/schema/raw/master/csl-citation.json"} </w:instrText>
                  </w:r>
                  <w:r w:rsidR="001E10DD" w:rsidRPr="00B846DD">
                    <w:rPr>
                      <w:lang w:val="en-US"/>
                    </w:rPr>
                    <w:fldChar w:fldCharType="separate"/>
                  </w:r>
                  <w:r w:rsidR="001E10DD" w:rsidRPr="00E150A1">
                    <w:t>(World Health Organization, 2022)</w:t>
                  </w:r>
                  <w:r w:rsidR="001E10DD" w:rsidRPr="00B846DD">
                    <w:rPr>
                      <w:lang w:val="en-GB"/>
                    </w:rPr>
                    <w:fldChar w:fldCharType="end"/>
                  </w:r>
                  <w:r w:rsidR="001E10DD" w:rsidRPr="00B846DD">
                    <w:rPr>
                      <w:lang w:val="en-GB"/>
                    </w:rPr>
                    <w:t>.</w:t>
                  </w:r>
                </w:p>
                <w:p w14:paraId="739FADCE" w14:textId="27CDF8EC" w:rsidR="005674C7" w:rsidRPr="000C09BF" w:rsidRDefault="005674C7" w:rsidP="00321BC5">
                  <w:pPr>
                    <w:pStyle w:val="Text"/>
                    <w:spacing w:before="360"/>
                  </w:pPr>
                  <w:r w:rsidRPr="00321BC5">
                    <w:rPr>
                      <w:b/>
                      <w:color w:val="36424A" w:themeColor="background2"/>
                    </w:rPr>
                    <w:t>Service provision to culturally and linguistically diverse communities</w:t>
                  </w:r>
                </w:p>
                <w:p w14:paraId="2C2A255B" w14:textId="31EFC36F" w:rsidR="009E5B2A" w:rsidRDefault="00A64892" w:rsidP="005674C7">
                  <w:pPr>
                    <w:pStyle w:val="Text"/>
                  </w:pPr>
                  <w:r w:rsidRPr="00F650E2">
                    <w:t>3</w:t>
                  </w:r>
                  <w:r w:rsidR="00F15025" w:rsidRPr="00F650E2">
                    <w:t>6.7</w:t>
                  </w:r>
                  <w:r w:rsidRPr="00F650E2">
                    <w:t>% of service users accessing FaRS and</w:t>
                  </w:r>
                  <w:r w:rsidR="00F15025" w:rsidRPr="00F650E2">
                    <w:t xml:space="preserve"> 22.8% of service users accessing</w:t>
                  </w:r>
                  <w:r w:rsidRPr="00F650E2">
                    <w:t xml:space="preserve"> SFVS identify as CALD. </w:t>
                  </w:r>
                  <w:r w:rsidR="00773667" w:rsidRPr="00F650E2">
                    <w:t>Whil</w:t>
                  </w:r>
                  <w:r w:rsidR="006B1550">
                    <w:t>e</w:t>
                  </w:r>
                  <w:r w:rsidR="00773667" w:rsidRPr="00F650E2">
                    <w:t xml:space="preserve"> the mean earliest-latest </w:t>
                  </w:r>
                  <w:r w:rsidR="002C434F">
                    <w:t>K</w:t>
                  </w:r>
                  <w:r w:rsidR="002C434F" w:rsidRPr="00F650E2">
                    <w:t xml:space="preserve">nowledge </w:t>
                  </w:r>
                  <w:r w:rsidR="00773667" w:rsidRPr="00F650E2">
                    <w:t xml:space="preserve">SCORE change </w:t>
                  </w:r>
                  <w:r w:rsidR="0062256A" w:rsidRPr="00F650E2">
                    <w:t>is better for CALD</w:t>
                  </w:r>
                  <w:r w:rsidR="0062256A" w:rsidRPr="00115CDE">
                    <w:t xml:space="preserve"> </w:t>
                  </w:r>
                  <w:r w:rsidR="002C434F" w:rsidRPr="00115CDE">
                    <w:t xml:space="preserve">than for non-CALD FaRS </w:t>
                  </w:r>
                  <w:r w:rsidR="0062256A" w:rsidRPr="00115CDE">
                    <w:t>service users</w:t>
                  </w:r>
                  <w:r w:rsidR="0062256A">
                    <w:t xml:space="preserve">, other domains </w:t>
                  </w:r>
                  <w:r w:rsidR="0048322A">
                    <w:t xml:space="preserve">are on-par or slightly below non-CALD service users. </w:t>
                  </w:r>
                  <w:r w:rsidR="00137001">
                    <w:t>For SFVS, the domains of family and mental health are slightly improved on mean earliest-latest SCORE change</w:t>
                  </w:r>
                  <w:r w:rsidR="00ED53CB">
                    <w:t xml:space="preserve"> for CALD</w:t>
                  </w:r>
                  <w:r w:rsidR="00137001">
                    <w:t xml:space="preserve"> than non-CALD service users.</w:t>
                  </w:r>
                </w:p>
                <w:p w14:paraId="0F74D1BA" w14:textId="5A06A50F" w:rsidR="00821310" w:rsidRPr="002B42FA" w:rsidRDefault="1FB45450" w:rsidP="752C928C">
                  <w:pPr>
                    <w:pStyle w:val="Text"/>
                    <w:rPr>
                      <w:b/>
                      <w:szCs w:val="21"/>
                    </w:rPr>
                  </w:pPr>
                  <w:r w:rsidRPr="00321BC5">
                    <w:t xml:space="preserve">Analyses of earliest and latest SCORE assessments by domain using DEX data show that CALD </w:t>
                  </w:r>
                  <w:r w:rsidR="005072EF" w:rsidRPr="00321BC5">
                    <w:t>service users</w:t>
                  </w:r>
                  <w:r w:rsidRPr="00321BC5">
                    <w:t xml:space="preserve"> for both FaRS and SFVS programs improved on all domains</w:t>
                  </w:r>
                  <w:r w:rsidR="001D5207" w:rsidRPr="00321BC5">
                    <w:t xml:space="preserve"> (see </w:t>
                  </w:r>
                  <w:r w:rsidR="00A859E2" w:rsidRPr="00253034">
                    <w:fldChar w:fldCharType="begin" w:fldLock="1"/>
                  </w:r>
                  <w:r w:rsidR="00A859E2" w:rsidRPr="00253034">
                    <w:instrText xml:space="preserve"> REF _Ref205321667 \h  \* MERGEFORMAT </w:instrText>
                  </w:r>
                  <w:r w:rsidR="00A859E2" w:rsidRPr="00253034">
                    <w:fldChar w:fldCharType="separate"/>
                  </w:r>
                  <w:r w:rsidR="008F22E5" w:rsidRPr="008F22E5">
                    <w:rPr>
                      <w:rStyle w:val="Text-Bold"/>
                    </w:rPr>
                    <w:t xml:space="preserve">Figure </w:t>
                  </w:r>
                  <w:r w:rsidR="008F22E5" w:rsidRPr="008F22E5">
                    <w:rPr>
                      <w:rStyle w:val="Text-Bold"/>
                      <w:noProof/>
                      <w:szCs w:val="22"/>
                    </w:rPr>
                    <w:t>41</w:t>
                  </w:r>
                  <w:r w:rsidR="00A859E2" w:rsidRPr="00253034">
                    <w:fldChar w:fldCharType="end"/>
                  </w:r>
                  <w:r w:rsidR="00A77ED5" w:rsidRPr="00253034">
                    <w:t xml:space="preserve"> </w:t>
                  </w:r>
                  <w:r w:rsidR="00A77ED5" w:rsidRPr="00321BC5">
                    <w:t>and</w:t>
                  </w:r>
                  <w:r w:rsidR="00A77ED5" w:rsidRPr="00321BC5" w:rsidDel="00A77ED5">
                    <w:t xml:space="preserve"> </w:t>
                  </w:r>
                  <w:r w:rsidR="00405B9E">
                    <w:fldChar w:fldCharType="begin" w:fldLock="1"/>
                  </w:r>
                  <w:r w:rsidR="00405B9E">
                    <w:instrText xml:space="preserve"> REF _Ref208993385 \h </w:instrText>
                  </w:r>
                  <w:r w:rsidR="00713550">
                    <w:instrText xml:space="preserve"> \* MERGEFORMAT </w:instrText>
                  </w:r>
                  <w:r w:rsidR="00405B9E">
                    <w:fldChar w:fldCharType="separate"/>
                  </w:r>
                  <w:r w:rsidR="008F22E5" w:rsidRPr="00D377B0">
                    <w:rPr>
                      <w:rStyle w:val="Text-Bold"/>
                      <w:szCs w:val="21"/>
                    </w:rPr>
                    <w:t xml:space="preserve">Figure </w:t>
                  </w:r>
                  <w:r w:rsidR="008F22E5" w:rsidRPr="008F22E5">
                    <w:rPr>
                      <w:rStyle w:val="Text-Bold"/>
                      <w:bCs/>
                      <w:noProof/>
                      <w:szCs w:val="21"/>
                    </w:rPr>
                    <w:t>42</w:t>
                  </w:r>
                  <w:r w:rsidR="00405B9E">
                    <w:fldChar w:fldCharType="end"/>
                  </w:r>
                  <w:r w:rsidR="00E4509B" w:rsidRPr="005D4538">
                    <w:t xml:space="preserve"> </w:t>
                  </w:r>
                  <w:r w:rsidR="00E4509B" w:rsidRPr="00321BC5">
                    <w:t>below</w:t>
                  </w:r>
                  <w:r w:rsidR="001D5207" w:rsidRPr="00321BC5">
                    <w:t>)</w:t>
                  </w:r>
                  <w:r w:rsidRPr="00321BC5">
                    <w:t>. Goals domains improved the most</w:t>
                  </w:r>
                  <w:r w:rsidR="4F046221" w:rsidRPr="00321BC5">
                    <w:t xml:space="preserve">, consistent with other cohorts. </w:t>
                  </w:r>
                  <w:r w:rsidR="4940C471" w:rsidRPr="00321BC5">
                    <w:t xml:space="preserve">All changes were statistically significant (p&lt;.001). Detailed data are provided in </w:t>
                  </w:r>
                  <w:hyperlink w:anchor="Appendix_F" w:history="1">
                    <w:r w:rsidR="00A03201" w:rsidRPr="00724EAD">
                      <w:rPr>
                        <w:rStyle w:val="Hyperlink"/>
                        <w:rFonts w:asciiTheme="minorHAnsi" w:hAnsiTheme="minorHAnsi"/>
                        <w:b/>
                        <w:bCs/>
                        <w:color w:val="007E00" w:themeColor="accent3"/>
                      </w:rPr>
                      <w:t>Appendix</w:t>
                    </w:r>
                    <w:r w:rsidR="003668B8" w:rsidRPr="00724EAD">
                      <w:rPr>
                        <w:rStyle w:val="Hyperlink"/>
                        <w:rFonts w:asciiTheme="minorHAnsi" w:hAnsiTheme="minorHAnsi"/>
                        <w:b/>
                        <w:bCs/>
                        <w:color w:val="007E00" w:themeColor="accent3"/>
                      </w:rPr>
                      <w:t xml:space="preserve"> F</w:t>
                    </w:r>
                  </w:hyperlink>
                  <w:r w:rsidR="4940C471" w:rsidRPr="00321BC5">
                    <w:t xml:space="preserve">. </w:t>
                  </w:r>
                  <w:r w:rsidR="00317C98" w:rsidRPr="00321BC5">
                    <w:t>This suggests that FaRS and SFVS are meeting the needs of CALD service users.</w:t>
                  </w:r>
                </w:p>
                <w:p w14:paraId="3A33E4A9" w14:textId="3827AD03" w:rsidR="000A1AD2" w:rsidRPr="00D377B0" w:rsidRDefault="000A1AD2" w:rsidP="00321BC5">
                  <w:pPr>
                    <w:pStyle w:val="Caption"/>
                    <w:rPr>
                      <w:sz w:val="21"/>
                      <w:szCs w:val="21"/>
                    </w:rPr>
                  </w:pPr>
                  <w:r w:rsidRPr="00D377B0">
                    <w:rPr>
                      <w:sz w:val="21"/>
                      <w:szCs w:val="21"/>
                    </w:rPr>
                    <w:t xml:space="preserve">Table </w:t>
                  </w:r>
                  <w:r w:rsidRPr="00D377B0">
                    <w:rPr>
                      <w:sz w:val="21"/>
                      <w:szCs w:val="21"/>
                    </w:rPr>
                    <w:fldChar w:fldCharType="begin"/>
                  </w:r>
                  <w:r w:rsidRPr="00D377B0">
                    <w:rPr>
                      <w:sz w:val="21"/>
                      <w:szCs w:val="21"/>
                    </w:rPr>
                    <w:instrText xml:space="preserve"> SEQ Table \* ARABIC </w:instrText>
                  </w:r>
                  <w:r w:rsidRPr="00D377B0">
                    <w:rPr>
                      <w:sz w:val="21"/>
                      <w:szCs w:val="21"/>
                    </w:rPr>
                    <w:fldChar w:fldCharType="separate"/>
                  </w:r>
                  <w:r w:rsidR="008D2566">
                    <w:rPr>
                      <w:noProof/>
                      <w:sz w:val="21"/>
                      <w:szCs w:val="21"/>
                    </w:rPr>
                    <w:t>39</w:t>
                  </w:r>
                  <w:r w:rsidRPr="00D377B0">
                    <w:rPr>
                      <w:sz w:val="21"/>
                      <w:szCs w:val="21"/>
                    </w:rPr>
                    <w:fldChar w:fldCharType="end"/>
                  </w:r>
                  <w:r w:rsidRPr="00D377B0">
                    <w:rPr>
                      <w:sz w:val="21"/>
                      <w:szCs w:val="21"/>
                    </w:rPr>
                    <w:t>: Earliest to latest mean SCORE change and percentage of service users with a positive SCORE change for Goal outcomes by CALD status, FaRS and SFVS</w:t>
                  </w:r>
                </w:p>
                <w:tbl>
                  <w:tblPr>
                    <w:tblStyle w:val="ACTableDesign12"/>
                    <w:tblW w:w="9069" w:type="dxa"/>
                    <w:tblInd w:w="0" w:type="dxa"/>
                    <w:tblLook w:val="04A0" w:firstRow="1" w:lastRow="0" w:firstColumn="1" w:lastColumn="0" w:noHBand="0" w:noVBand="1"/>
                  </w:tblPr>
                  <w:tblGrid>
                    <w:gridCol w:w="990"/>
                    <w:gridCol w:w="992"/>
                    <w:gridCol w:w="2126"/>
                    <w:gridCol w:w="1134"/>
                    <w:gridCol w:w="1559"/>
                    <w:gridCol w:w="2268"/>
                  </w:tblGrid>
                  <w:tr w:rsidR="00821310" w:rsidRPr="00821310" w14:paraId="1B32321D" w14:textId="77777777" w:rsidTr="00794875">
                    <w:trPr>
                      <w:cnfStyle w:val="100000000000" w:firstRow="1" w:lastRow="0" w:firstColumn="0" w:lastColumn="0" w:oddVBand="0" w:evenVBand="0" w:oddHBand="0" w:evenHBand="0" w:firstRowFirstColumn="0" w:firstRowLastColumn="0" w:lastRowFirstColumn="0" w:lastRowLastColumn="0"/>
                      <w:trHeight w:val="290"/>
                      <w:tblHeader/>
                    </w:trPr>
                    <w:tc>
                      <w:tcPr>
                        <w:cnfStyle w:val="001000000000" w:firstRow="0" w:lastRow="0" w:firstColumn="1" w:lastColumn="0" w:oddVBand="0" w:evenVBand="0" w:oddHBand="0" w:evenHBand="0" w:firstRowFirstColumn="0" w:firstRowLastColumn="0" w:lastRowFirstColumn="0" w:lastRowLastColumn="0"/>
                        <w:tcW w:w="990" w:type="dxa"/>
                        <w:tcBorders>
                          <w:top w:val="single" w:sz="2" w:space="0" w:color="36424A" w:themeColor="accent2"/>
                          <w:left w:val="single" w:sz="2" w:space="0" w:color="36424A" w:themeColor="accent2"/>
                          <w:bottom w:val="single" w:sz="2" w:space="0" w:color="36424A" w:themeColor="accent2"/>
                          <w:right w:val="single" w:sz="2" w:space="0" w:color="36424A" w:themeColor="accent2"/>
                        </w:tcBorders>
                        <w:shd w:val="clear" w:color="auto" w:fill="007E00" w:themeFill="accent3"/>
                        <w:noWrap/>
                        <w:hideMark/>
                      </w:tcPr>
                      <w:p w14:paraId="27A347E9" w14:textId="77777777" w:rsidR="00821310" w:rsidRPr="00821310" w:rsidRDefault="00821310" w:rsidP="00D63E8D">
                        <w:pPr>
                          <w:pStyle w:val="TableText"/>
                        </w:pPr>
                        <w:r w:rsidRPr="00821310">
                          <w:t>Activity</w:t>
                        </w:r>
                      </w:p>
                    </w:tc>
                    <w:tc>
                      <w:tcPr>
                        <w:tcW w:w="992" w:type="dxa"/>
                        <w:tcBorders>
                          <w:top w:val="single" w:sz="2" w:space="0" w:color="36424A" w:themeColor="accent2"/>
                          <w:left w:val="single" w:sz="2" w:space="0" w:color="36424A" w:themeColor="accent2"/>
                          <w:bottom w:val="single" w:sz="2" w:space="0" w:color="36424A" w:themeColor="accent2"/>
                          <w:right w:val="single" w:sz="2" w:space="0" w:color="36424A" w:themeColor="accent2"/>
                        </w:tcBorders>
                        <w:shd w:val="clear" w:color="auto" w:fill="007E00" w:themeFill="accent3"/>
                        <w:noWrap/>
                        <w:hideMark/>
                      </w:tcPr>
                      <w:p w14:paraId="3E0A8E6F" w14:textId="77777777" w:rsidR="00821310" w:rsidRPr="00821310" w:rsidRDefault="00821310" w:rsidP="00D63E8D">
                        <w:pPr>
                          <w:pStyle w:val="TableText"/>
                          <w:cnfStyle w:val="100000000000" w:firstRow="1" w:lastRow="0" w:firstColumn="0" w:lastColumn="0" w:oddVBand="0" w:evenVBand="0" w:oddHBand="0" w:evenHBand="0" w:firstRowFirstColumn="0" w:firstRowLastColumn="0" w:lastRowFirstColumn="0" w:lastRowLastColumn="0"/>
                        </w:pPr>
                        <w:r w:rsidRPr="00821310">
                          <w:t>CALD</w:t>
                        </w:r>
                      </w:p>
                    </w:tc>
                    <w:tc>
                      <w:tcPr>
                        <w:tcW w:w="2126" w:type="dxa"/>
                        <w:tcBorders>
                          <w:top w:val="single" w:sz="2" w:space="0" w:color="36424A" w:themeColor="accent2"/>
                          <w:left w:val="single" w:sz="2" w:space="0" w:color="36424A" w:themeColor="accent2"/>
                          <w:bottom w:val="single" w:sz="2" w:space="0" w:color="36424A" w:themeColor="accent2"/>
                          <w:right w:val="single" w:sz="2" w:space="0" w:color="36424A" w:themeColor="accent2"/>
                        </w:tcBorders>
                        <w:shd w:val="clear" w:color="auto" w:fill="007E00" w:themeFill="accent3"/>
                        <w:noWrap/>
                        <w:hideMark/>
                      </w:tcPr>
                      <w:p w14:paraId="36071B88" w14:textId="77777777" w:rsidR="00821310" w:rsidRPr="00821310" w:rsidRDefault="00821310" w:rsidP="00D63E8D">
                        <w:pPr>
                          <w:pStyle w:val="TableText"/>
                          <w:cnfStyle w:val="100000000000" w:firstRow="1" w:lastRow="0" w:firstColumn="0" w:lastColumn="0" w:oddVBand="0" w:evenVBand="0" w:oddHBand="0" w:evenHBand="0" w:firstRowFirstColumn="0" w:firstRowLastColumn="0" w:lastRowFirstColumn="0" w:lastRowLastColumn="0"/>
                        </w:pPr>
                        <w:r w:rsidRPr="00821310">
                          <w:t>Outcome Type</w:t>
                        </w:r>
                      </w:p>
                    </w:tc>
                    <w:tc>
                      <w:tcPr>
                        <w:tcW w:w="1134" w:type="dxa"/>
                        <w:tcBorders>
                          <w:top w:val="single" w:sz="2" w:space="0" w:color="36424A" w:themeColor="accent2"/>
                          <w:left w:val="single" w:sz="2" w:space="0" w:color="36424A" w:themeColor="accent2"/>
                          <w:bottom w:val="single" w:sz="2" w:space="0" w:color="36424A" w:themeColor="accent2"/>
                          <w:right w:val="single" w:sz="2" w:space="0" w:color="36424A" w:themeColor="accent2"/>
                        </w:tcBorders>
                        <w:shd w:val="clear" w:color="auto" w:fill="007E00" w:themeFill="accent3"/>
                        <w:noWrap/>
                        <w:hideMark/>
                      </w:tcPr>
                      <w:p w14:paraId="49B7F6C3" w14:textId="07966190" w:rsidR="00821310" w:rsidRPr="00821310" w:rsidRDefault="00821310" w:rsidP="00D63E8D">
                        <w:pPr>
                          <w:pStyle w:val="TableText"/>
                          <w:cnfStyle w:val="100000000000" w:firstRow="1" w:lastRow="0" w:firstColumn="0" w:lastColumn="0" w:oddVBand="0" w:evenVBand="0" w:oddHBand="0" w:evenHBand="0" w:firstRowFirstColumn="0" w:firstRowLastColumn="0" w:lastRowFirstColumn="0" w:lastRowLastColumn="0"/>
                        </w:pPr>
                        <w:r>
                          <w:t>Service user (n=)</w:t>
                        </w:r>
                      </w:p>
                    </w:tc>
                    <w:tc>
                      <w:tcPr>
                        <w:tcW w:w="1559" w:type="dxa"/>
                        <w:tcBorders>
                          <w:top w:val="single" w:sz="2" w:space="0" w:color="36424A" w:themeColor="accent2"/>
                          <w:left w:val="single" w:sz="2" w:space="0" w:color="36424A" w:themeColor="accent2"/>
                          <w:bottom w:val="single" w:sz="2" w:space="0" w:color="36424A" w:themeColor="accent2"/>
                          <w:right w:val="single" w:sz="2" w:space="0" w:color="36424A" w:themeColor="accent2"/>
                        </w:tcBorders>
                        <w:shd w:val="clear" w:color="auto" w:fill="007E00" w:themeFill="accent3"/>
                        <w:noWrap/>
                        <w:hideMark/>
                      </w:tcPr>
                      <w:p w14:paraId="3182862F" w14:textId="77777777" w:rsidR="00821310" w:rsidRPr="00821310" w:rsidRDefault="00821310" w:rsidP="00D63E8D">
                        <w:pPr>
                          <w:pStyle w:val="TableText"/>
                          <w:cnfStyle w:val="100000000000" w:firstRow="1" w:lastRow="0" w:firstColumn="0" w:lastColumn="0" w:oddVBand="0" w:evenVBand="0" w:oddHBand="0" w:evenHBand="0" w:firstRowFirstColumn="0" w:firstRowLastColumn="0" w:lastRowFirstColumn="0" w:lastRowLastColumn="0"/>
                        </w:pPr>
                        <w:r w:rsidRPr="00821310">
                          <w:t>SCORE change (mean)</w:t>
                        </w:r>
                      </w:p>
                    </w:tc>
                    <w:tc>
                      <w:tcPr>
                        <w:tcW w:w="2268" w:type="dxa"/>
                        <w:tcBorders>
                          <w:top w:val="single" w:sz="2" w:space="0" w:color="36424A" w:themeColor="accent2"/>
                          <w:left w:val="single" w:sz="2" w:space="0" w:color="36424A" w:themeColor="accent2"/>
                          <w:bottom w:val="single" w:sz="2" w:space="0" w:color="36424A" w:themeColor="accent2"/>
                          <w:right w:val="single" w:sz="2" w:space="0" w:color="36424A" w:themeColor="accent2"/>
                        </w:tcBorders>
                        <w:shd w:val="clear" w:color="auto" w:fill="007E00" w:themeFill="accent3"/>
                        <w:noWrap/>
                        <w:hideMark/>
                      </w:tcPr>
                      <w:p w14:paraId="77628FC3" w14:textId="4F9BEE9C" w:rsidR="00821310" w:rsidRPr="00821310" w:rsidRDefault="00821310" w:rsidP="00D63E8D">
                        <w:pPr>
                          <w:pStyle w:val="TableText"/>
                          <w:cnfStyle w:val="100000000000" w:firstRow="1" w:lastRow="0" w:firstColumn="0" w:lastColumn="0" w:oddVBand="0" w:evenVBand="0" w:oddHBand="0" w:evenHBand="0" w:firstRowFirstColumn="0" w:firstRowLastColumn="0" w:lastRowFirstColumn="0" w:lastRowLastColumn="0"/>
                        </w:pPr>
                        <w:r>
                          <w:t xml:space="preserve">Service user </w:t>
                        </w:r>
                        <w:r w:rsidRPr="00821310">
                          <w:t>with positive mean change (%, n</w:t>
                        </w:r>
                        <w:r>
                          <w:t>=</w:t>
                        </w:r>
                        <w:r w:rsidRPr="00821310">
                          <w:t>)</w:t>
                        </w:r>
                      </w:p>
                    </w:tc>
                  </w:tr>
                  <w:tr w:rsidR="00821310" w:rsidRPr="00821310" w14:paraId="02E9689A" w14:textId="77777777" w:rsidTr="00F7412D">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90" w:type="dxa"/>
                        <w:vMerge w:val="restart"/>
                        <w:tcBorders>
                          <w:top w:val="single" w:sz="2" w:space="0" w:color="36424A" w:themeColor="accent2"/>
                          <w:left w:val="single" w:sz="2" w:space="0" w:color="36424A" w:themeColor="accent2"/>
                          <w:bottom w:val="single" w:sz="2" w:space="0" w:color="36424A" w:themeColor="accent2"/>
                          <w:right w:val="single" w:sz="2" w:space="0" w:color="36424A" w:themeColor="accent2"/>
                        </w:tcBorders>
                        <w:shd w:val="clear" w:color="auto" w:fill="auto"/>
                        <w:noWrap/>
                        <w:hideMark/>
                      </w:tcPr>
                      <w:p w14:paraId="6FB94931" w14:textId="77777777" w:rsidR="00821310" w:rsidRPr="00C2722E" w:rsidRDefault="00821310" w:rsidP="00D63E8D">
                        <w:pPr>
                          <w:pStyle w:val="TableText"/>
                          <w:rPr>
                            <w:color w:val="auto"/>
                            <w:lang w:val="en-NZ"/>
                          </w:rPr>
                        </w:pPr>
                        <w:r w:rsidRPr="3DEE28EC">
                          <w:rPr>
                            <w:color w:val="auto"/>
                            <w:lang w:val="en-NZ"/>
                          </w:rPr>
                          <w:t>FaRS</w:t>
                        </w:r>
                      </w:p>
                    </w:tc>
                    <w:tc>
                      <w:tcPr>
                        <w:tcW w:w="992" w:type="dxa"/>
                        <w:vMerge w:val="restart"/>
                        <w:tcBorders>
                          <w:top w:val="single" w:sz="2" w:space="0" w:color="36424A" w:themeColor="accent2"/>
                          <w:left w:val="single" w:sz="2" w:space="0" w:color="36424A" w:themeColor="accent2"/>
                          <w:bottom w:val="single" w:sz="2" w:space="0" w:color="36424A" w:themeColor="accent2"/>
                          <w:right w:val="single" w:sz="2" w:space="0" w:color="36424A" w:themeColor="accent2"/>
                        </w:tcBorders>
                        <w:shd w:val="clear" w:color="auto" w:fill="auto"/>
                        <w:noWrap/>
                        <w:hideMark/>
                      </w:tcPr>
                      <w:p w14:paraId="3239C1A8" w14:textId="77777777" w:rsidR="00821310" w:rsidRPr="00C2722E" w:rsidRDefault="00821310" w:rsidP="00D63E8D">
                        <w:pPr>
                          <w:pStyle w:val="TableText"/>
                          <w:cnfStyle w:val="000000100000" w:firstRow="0" w:lastRow="0" w:firstColumn="0" w:lastColumn="0" w:oddVBand="0" w:evenVBand="0" w:oddHBand="1" w:evenHBand="0" w:firstRowFirstColumn="0" w:firstRowLastColumn="0" w:lastRowFirstColumn="0" w:lastRowLastColumn="0"/>
                          <w:rPr>
                            <w:color w:val="auto"/>
                          </w:rPr>
                        </w:pPr>
                        <w:r w:rsidRPr="00C2722E">
                          <w:rPr>
                            <w:color w:val="auto"/>
                          </w:rPr>
                          <w:t>No</w:t>
                        </w:r>
                      </w:p>
                    </w:tc>
                    <w:tc>
                      <w:tcPr>
                        <w:tcW w:w="2126" w:type="dxa"/>
                        <w:tcBorders>
                          <w:top w:val="single" w:sz="2" w:space="0" w:color="36424A" w:themeColor="accent2"/>
                          <w:left w:val="single" w:sz="2" w:space="0" w:color="36424A" w:themeColor="accent2"/>
                          <w:bottom w:val="single" w:sz="2" w:space="0" w:color="36424A" w:themeColor="accent2"/>
                          <w:right w:val="single" w:sz="2" w:space="0" w:color="36424A" w:themeColor="accent2"/>
                        </w:tcBorders>
                        <w:shd w:val="clear" w:color="auto" w:fill="auto"/>
                        <w:noWrap/>
                        <w:hideMark/>
                      </w:tcPr>
                      <w:p w14:paraId="6CC71063" w14:textId="77777777" w:rsidR="00821310" w:rsidRPr="00C2722E" w:rsidRDefault="00821310" w:rsidP="00D63E8D">
                        <w:pPr>
                          <w:pStyle w:val="TableText"/>
                          <w:cnfStyle w:val="000000100000" w:firstRow="0" w:lastRow="0" w:firstColumn="0" w:lastColumn="0" w:oddVBand="0" w:evenVBand="0" w:oddHBand="1" w:evenHBand="0" w:firstRowFirstColumn="0" w:firstRowLastColumn="0" w:lastRowFirstColumn="0" w:lastRowLastColumn="0"/>
                          <w:rPr>
                            <w:color w:val="auto"/>
                          </w:rPr>
                        </w:pPr>
                        <w:r w:rsidRPr="00C2722E">
                          <w:rPr>
                            <w:color w:val="auto"/>
                          </w:rPr>
                          <w:t>Circumstances</w:t>
                        </w:r>
                      </w:p>
                    </w:tc>
                    <w:tc>
                      <w:tcPr>
                        <w:tcW w:w="1134" w:type="dxa"/>
                        <w:tcBorders>
                          <w:top w:val="single" w:sz="2" w:space="0" w:color="36424A" w:themeColor="accent2"/>
                          <w:left w:val="single" w:sz="2" w:space="0" w:color="36424A" w:themeColor="accent2"/>
                          <w:bottom w:val="single" w:sz="2" w:space="0" w:color="36424A" w:themeColor="accent2"/>
                          <w:right w:val="single" w:sz="2" w:space="0" w:color="36424A" w:themeColor="accent2"/>
                        </w:tcBorders>
                        <w:shd w:val="clear" w:color="auto" w:fill="auto"/>
                        <w:noWrap/>
                        <w:hideMark/>
                      </w:tcPr>
                      <w:p w14:paraId="2BCC954F" w14:textId="77777777" w:rsidR="00821310" w:rsidRPr="00C2722E" w:rsidRDefault="00821310" w:rsidP="00D63E8D">
                        <w:pPr>
                          <w:pStyle w:val="TableText"/>
                          <w:cnfStyle w:val="000000100000" w:firstRow="0" w:lastRow="0" w:firstColumn="0" w:lastColumn="0" w:oddVBand="0" w:evenVBand="0" w:oddHBand="1" w:evenHBand="0" w:firstRowFirstColumn="0" w:firstRowLastColumn="0" w:lastRowFirstColumn="0" w:lastRowLastColumn="0"/>
                          <w:rPr>
                            <w:color w:val="auto"/>
                          </w:rPr>
                        </w:pPr>
                        <w:r w:rsidRPr="00C2722E">
                          <w:rPr>
                            <w:color w:val="auto"/>
                          </w:rPr>
                          <w:t>42600</w:t>
                        </w:r>
                      </w:p>
                    </w:tc>
                    <w:tc>
                      <w:tcPr>
                        <w:tcW w:w="1559" w:type="dxa"/>
                        <w:tcBorders>
                          <w:top w:val="single" w:sz="2" w:space="0" w:color="36424A" w:themeColor="accent2"/>
                          <w:left w:val="single" w:sz="2" w:space="0" w:color="36424A" w:themeColor="accent2"/>
                          <w:bottom w:val="single" w:sz="2" w:space="0" w:color="36424A" w:themeColor="accent2"/>
                          <w:right w:val="single" w:sz="2" w:space="0" w:color="36424A" w:themeColor="accent2"/>
                        </w:tcBorders>
                        <w:shd w:val="clear" w:color="auto" w:fill="auto"/>
                        <w:noWrap/>
                        <w:hideMark/>
                      </w:tcPr>
                      <w:p w14:paraId="6288CE8A" w14:textId="77777777" w:rsidR="00821310" w:rsidRPr="00C2722E" w:rsidRDefault="00821310" w:rsidP="00D63E8D">
                        <w:pPr>
                          <w:pStyle w:val="TableText"/>
                          <w:cnfStyle w:val="000000100000" w:firstRow="0" w:lastRow="0" w:firstColumn="0" w:lastColumn="0" w:oddVBand="0" w:evenVBand="0" w:oddHBand="1" w:evenHBand="0" w:firstRowFirstColumn="0" w:firstRowLastColumn="0" w:lastRowFirstColumn="0" w:lastRowLastColumn="0"/>
                          <w:rPr>
                            <w:color w:val="auto"/>
                          </w:rPr>
                        </w:pPr>
                        <w:r w:rsidRPr="00C2722E">
                          <w:rPr>
                            <w:color w:val="auto"/>
                          </w:rPr>
                          <w:t>0.8</w:t>
                        </w:r>
                      </w:p>
                    </w:tc>
                    <w:tc>
                      <w:tcPr>
                        <w:tcW w:w="2268" w:type="dxa"/>
                        <w:tcBorders>
                          <w:top w:val="single" w:sz="2" w:space="0" w:color="36424A" w:themeColor="accent2"/>
                          <w:left w:val="single" w:sz="2" w:space="0" w:color="36424A" w:themeColor="accent2"/>
                          <w:bottom w:val="single" w:sz="2" w:space="0" w:color="36424A" w:themeColor="accent2"/>
                          <w:right w:val="single" w:sz="2" w:space="0" w:color="36424A" w:themeColor="accent2"/>
                        </w:tcBorders>
                        <w:shd w:val="clear" w:color="auto" w:fill="auto"/>
                        <w:noWrap/>
                        <w:hideMark/>
                      </w:tcPr>
                      <w:p w14:paraId="356871FB" w14:textId="77777777" w:rsidR="00821310" w:rsidRPr="00C2722E" w:rsidRDefault="00821310" w:rsidP="00D63E8D">
                        <w:pPr>
                          <w:pStyle w:val="TableText"/>
                          <w:cnfStyle w:val="000000100000" w:firstRow="0" w:lastRow="0" w:firstColumn="0" w:lastColumn="0" w:oddVBand="0" w:evenVBand="0" w:oddHBand="1" w:evenHBand="0" w:firstRowFirstColumn="0" w:firstRowLastColumn="0" w:lastRowFirstColumn="0" w:lastRowLastColumn="0"/>
                          <w:rPr>
                            <w:color w:val="auto"/>
                          </w:rPr>
                        </w:pPr>
                        <w:r w:rsidRPr="00C2722E">
                          <w:rPr>
                            <w:color w:val="auto"/>
                          </w:rPr>
                          <w:t>63.4% (n=27008)</w:t>
                        </w:r>
                      </w:p>
                    </w:tc>
                  </w:tr>
                  <w:tr w:rsidR="00821310" w:rsidRPr="00821310" w14:paraId="459B3887" w14:textId="77777777" w:rsidTr="00F7412D">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0" w:type="auto"/>
                        <w:vMerge/>
                        <w:shd w:val="clear" w:color="auto" w:fill="auto"/>
                        <w:hideMark/>
                      </w:tcPr>
                      <w:p w14:paraId="4F5E9B2F" w14:textId="77777777" w:rsidR="00821310" w:rsidRPr="00C2722E" w:rsidRDefault="00821310" w:rsidP="00D63E8D">
                        <w:pPr>
                          <w:pStyle w:val="TableText"/>
                          <w:rPr>
                            <w:color w:val="auto"/>
                          </w:rPr>
                        </w:pPr>
                      </w:p>
                    </w:tc>
                    <w:tc>
                      <w:tcPr>
                        <w:tcW w:w="0" w:type="auto"/>
                        <w:vMerge/>
                        <w:shd w:val="clear" w:color="auto" w:fill="auto"/>
                        <w:hideMark/>
                      </w:tcPr>
                      <w:p w14:paraId="7B743F9A" w14:textId="77777777" w:rsidR="00821310" w:rsidRPr="00C2722E" w:rsidRDefault="00821310" w:rsidP="00D63E8D">
                        <w:pPr>
                          <w:pStyle w:val="TableText"/>
                          <w:cnfStyle w:val="000000010000" w:firstRow="0" w:lastRow="0" w:firstColumn="0" w:lastColumn="0" w:oddVBand="0" w:evenVBand="0" w:oddHBand="0" w:evenHBand="1" w:firstRowFirstColumn="0" w:firstRowLastColumn="0" w:lastRowFirstColumn="0" w:lastRowLastColumn="0"/>
                          <w:rPr>
                            <w:color w:val="auto"/>
                          </w:rPr>
                        </w:pPr>
                      </w:p>
                    </w:tc>
                    <w:tc>
                      <w:tcPr>
                        <w:tcW w:w="2126" w:type="dxa"/>
                        <w:tcBorders>
                          <w:top w:val="single" w:sz="2" w:space="0" w:color="36424A" w:themeColor="accent2"/>
                          <w:left w:val="single" w:sz="2" w:space="0" w:color="36424A" w:themeColor="accent2"/>
                          <w:bottom w:val="single" w:sz="2" w:space="0" w:color="36424A" w:themeColor="accent2"/>
                          <w:right w:val="single" w:sz="2" w:space="0" w:color="36424A" w:themeColor="accent2"/>
                        </w:tcBorders>
                        <w:shd w:val="clear" w:color="auto" w:fill="auto"/>
                        <w:noWrap/>
                        <w:hideMark/>
                      </w:tcPr>
                      <w:p w14:paraId="35B8EC82" w14:textId="77777777" w:rsidR="00821310" w:rsidRPr="00C2722E" w:rsidRDefault="00821310" w:rsidP="00D63E8D">
                        <w:pPr>
                          <w:pStyle w:val="TableText"/>
                          <w:cnfStyle w:val="000000010000" w:firstRow="0" w:lastRow="0" w:firstColumn="0" w:lastColumn="0" w:oddVBand="0" w:evenVBand="0" w:oddHBand="0" w:evenHBand="1" w:firstRowFirstColumn="0" w:firstRowLastColumn="0" w:lastRowFirstColumn="0" w:lastRowLastColumn="0"/>
                          <w:rPr>
                            <w:color w:val="auto"/>
                          </w:rPr>
                        </w:pPr>
                        <w:r w:rsidRPr="00C2722E">
                          <w:rPr>
                            <w:color w:val="auto"/>
                          </w:rPr>
                          <w:t>Goals</w:t>
                        </w:r>
                      </w:p>
                    </w:tc>
                    <w:tc>
                      <w:tcPr>
                        <w:tcW w:w="1134" w:type="dxa"/>
                        <w:tcBorders>
                          <w:top w:val="single" w:sz="2" w:space="0" w:color="36424A" w:themeColor="accent2"/>
                          <w:left w:val="single" w:sz="2" w:space="0" w:color="36424A" w:themeColor="accent2"/>
                          <w:bottom w:val="single" w:sz="2" w:space="0" w:color="36424A" w:themeColor="accent2"/>
                          <w:right w:val="single" w:sz="2" w:space="0" w:color="36424A" w:themeColor="accent2"/>
                        </w:tcBorders>
                        <w:shd w:val="clear" w:color="auto" w:fill="auto"/>
                        <w:noWrap/>
                        <w:hideMark/>
                      </w:tcPr>
                      <w:p w14:paraId="125610EB" w14:textId="77777777" w:rsidR="00821310" w:rsidRPr="00C2722E" w:rsidRDefault="00821310" w:rsidP="00D63E8D">
                        <w:pPr>
                          <w:pStyle w:val="TableText"/>
                          <w:cnfStyle w:val="000000010000" w:firstRow="0" w:lastRow="0" w:firstColumn="0" w:lastColumn="0" w:oddVBand="0" w:evenVBand="0" w:oddHBand="0" w:evenHBand="1" w:firstRowFirstColumn="0" w:firstRowLastColumn="0" w:lastRowFirstColumn="0" w:lastRowLastColumn="0"/>
                          <w:rPr>
                            <w:color w:val="auto"/>
                          </w:rPr>
                        </w:pPr>
                        <w:r w:rsidRPr="00C2722E">
                          <w:rPr>
                            <w:color w:val="auto"/>
                          </w:rPr>
                          <w:t>42938</w:t>
                        </w:r>
                      </w:p>
                    </w:tc>
                    <w:tc>
                      <w:tcPr>
                        <w:tcW w:w="1559" w:type="dxa"/>
                        <w:tcBorders>
                          <w:top w:val="single" w:sz="2" w:space="0" w:color="36424A" w:themeColor="accent2"/>
                          <w:left w:val="single" w:sz="2" w:space="0" w:color="36424A" w:themeColor="accent2"/>
                          <w:bottom w:val="single" w:sz="2" w:space="0" w:color="36424A" w:themeColor="accent2"/>
                          <w:right w:val="single" w:sz="2" w:space="0" w:color="36424A" w:themeColor="accent2"/>
                        </w:tcBorders>
                        <w:shd w:val="clear" w:color="auto" w:fill="auto"/>
                        <w:noWrap/>
                        <w:hideMark/>
                      </w:tcPr>
                      <w:p w14:paraId="0AD3CB1C" w14:textId="77777777" w:rsidR="00821310" w:rsidRPr="00C2722E" w:rsidRDefault="00821310" w:rsidP="00D63E8D">
                        <w:pPr>
                          <w:pStyle w:val="TableText"/>
                          <w:cnfStyle w:val="000000010000" w:firstRow="0" w:lastRow="0" w:firstColumn="0" w:lastColumn="0" w:oddVBand="0" w:evenVBand="0" w:oddHBand="0" w:evenHBand="1" w:firstRowFirstColumn="0" w:firstRowLastColumn="0" w:lastRowFirstColumn="0" w:lastRowLastColumn="0"/>
                          <w:rPr>
                            <w:color w:val="auto"/>
                          </w:rPr>
                        </w:pPr>
                        <w:r w:rsidRPr="00C2722E">
                          <w:rPr>
                            <w:color w:val="auto"/>
                          </w:rPr>
                          <w:t>1.21</w:t>
                        </w:r>
                      </w:p>
                    </w:tc>
                    <w:tc>
                      <w:tcPr>
                        <w:tcW w:w="2268" w:type="dxa"/>
                        <w:tcBorders>
                          <w:top w:val="single" w:sz="2" w:space="0" w:color="36424A" w:themeColor="accent2"/>
                          <w:left w:val="single" w:sz="2" w:space="0" w:color="36424A" w:themeColor="accent2"/>
                          <w:bottom w:val="single" w:sz="2" w:space="0" w:color="36424A" w:themeColor="accent2"/>
                          <w:right w:val="single" w:sz="2" w:space="0" w:color="36424A" w:themeColor="accent2"/>
                        </w:tcBorders>
                        <w:shd w:val="clear" w:color="auto" w:fill="auto"/>
                        <w:noWrap/>
                        <w:hideMark/>
                      </w:tcPr>
                      <w:p w14:paraId="7A23AC70" w14:textId="77777777" w:rsidR="00821310" w:rsidRPr="00C2722E" w:rsidRDefault="00821310" w:rsidP="00D63E8D">
                        <w:pPr>
                          <w:pStyle w:val="TableText"/>
                          <w:cnfStyle w:val="000000010000" w:firstRow="0" w:lastRow="0" w:firstColumn="0" w:lastColumn="0" w:oddVBand="0" w:evenVBand="0" w:oddHBand="0" w:evenHBand="1" w:firstRowFirstColumn="0" w:firstRowLastColumn="0" w:lastRowFirstColumn="0" w:lastRowLastColumn="0"/>
                          <w:rPr>
                            <w:color w:val="auto"/>
                          </w:rPr>
                        </w:pPr>
                        <w:r w:rsidRPr="00C2722E">
                          <w:rPr>
                            <w:color w:val="auto"/>
                          </w:rPr>
                          <w:t>74.6% (n=32031)</w:t>
                        </w:r>
                      </w:p>
                    </w:tc>
                  </w:tr>
                  <w:tr w:rsidR="00821310" w:rsidRPr="00821310" w14:paraId="123FEAD9" w14:textId="77777777" w:rsidTr="00F7412D">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0" w:type="auto"/>
                        <w:vMerge/>
                        <w:shd w:val="clear" w:color="auto" w:fill="auto"/>
                        <w:hideMark/>
                      </w:tcPr>
                      <w:p w14:paraId="6ED465FC" w14:textId="77777777" w:rsidR="00821310" w:rsidRPr="00C2722E" w:rsidRDefault="00821310" w:rsidP="00D63E8D">
                        <w:pPr>
                          <w:pStyle w:val="TableText"/>
                          <w:rPr>
                            <w:color w:val="auto"/>
                          </w:rPr>
                        </w:pPr>
                      </w:p>
                    </w:tc>
                    <w:tc>
                      <w:tcPr>
                        <w:tcW w:w="992" w:type="dxa"/>
                        <w:vMerge w:val="restart"/>
                        <w:tcBorders>
                          <w:top w:val="single" w:sz="2" w:space="0" w:color="36424A" w:themeColor="accent2"/>
                          <w:left w:val="single" w:sz="2" w:space="0" w:color="36424A" w:themeColor="accent2"/>
                          <w:bottom w:val="single" w:sz="2" w:space="0" w:color="36424A" w:themeColor="accent2"/>
                          <w:right w:val="single" w:sz="2" w:space="0" w:color="36424A" w:themeColor="accent2"/>
                        </w:tcBorders>
                        <w:shd w:val="clear" w:color="auto" w:fill="auto"/>
                        <w:noWrap/>
                        <w:hideMark/>
                      </w:tcPr>
                      <w:p w14:paraId="655977AB" w14:textId="77777777" w:rsidR="00821310" w:rsidRPr="00C2722E" w:rsidRDefault="00821310" w:rsidP="00D63E8D">
                        <w:pPr>
                          <w:pStyle w:val="TableText"/>
                          <w:cnfStyle w:val="000000100000" w:firstRow="0" w:lastRow="0" w:firstColumn="0" w:lastColumn="0" w:oddVBand="0" w:evenVBand="0" w:oddHBand="1" w:evenHBand="0" w:firstRowFirstColumn="0" w:firstRowLastColumn="0" w:lastRowFirstColumn="0" w:lastRowLastColumn="0"/>
                          <w:rPr>
                            <w:color w:val="auto"/>
                          </w:rPr>
                        </w:pPr>
                        <w:r w:rsidRPr="00C2722E">
                          <w:rPr>
                            <w:color w:val="auto"/>
                          </w:rPr>
                          <w:t>Yes</w:t>
                        </w:r>
                      </w:p>
                    </w:tc>
                    <w:tc>
                      <w:tcPr>
                        <w:tcW w:w="2126" w:type="dxa"/>
                        <w:tcBorders>
                          <w:top w:val="single" w:sz="2" w:space="0" w:color="36424A" w:themeColor="accent2"/>
                          <w:left w:val="single" w:sz="2" w:space="0" w:color="36424A" w:themeColor="accent2"/>
                          <w:bottom w:val="single" w:sz="2" w:space="0" w:color="36424A" w:themeColor="accent2"/>
                          <w:right w:val="single" w:sz="2" w:space="0" w:color="36424A" w:themeColor="accent2"/>
                        </w:tcBorders>
                        <w:shd w:val="clear" w:color="auto" w:fill="auto"/>
                        <w:noWrap/>
                        <w:hideMark/>
                      </w:tcPr>
                      <w:p w14:paraId="3450D687" w14:textId="77777777" w:rsidR="00821310" w:rsidRPr="00C2722E" w:rsidRDefault="00821310" w:rsidP="00D63E8D">
                        <w:pPr>
                          <w:pStyle w:val="TableText"/>
                          <w:cnfStyle w:val="000000100000" w:firstRow="0" w:lastRow="0" w:firstColumn="0" w:lastColumn="0" w:oddVBand="0" w:evenVBand="0" w:oddHBand="1" w:evenHBand="0" w:firstRowFirstColumn="0" w:firstRowLastColumn="0" w:lastRowFirstColumn="0" w:lastRowLastColumn="0"/>
                          <w:rPr>
                            <w:color w:val="auto"/>
                          </w:rPr>
                        </w:pPr>
                        <w:r w:rsidRPr="00C2722E">
                          <w:rPr>
                            <w:color w:val="auto"/>
                          </w:rPr>
                          <w:t>Circumstances</w:t>
                        </w:r>
                      </w:p>
                    </w:tc>
                    <w:tc>
                      <w:tcPr>
                        <w:tcW w:w="1134" w:type="dxa"/>
                        <w:tcBorders>
                          <w:top w:val="single" w:sz="2" w:space="0" w:color="36424A" w:themeColor="accent2"/>
                          <w:left w:val="single" w:sz="2" w:space="0" w:color="36424A" w:themeColor="accent2"/>
                          <w:bottom w:val="single" w:sz="2" w:space="0" w:color="36424A" w:themeColor="accent2"/>
                          <w:right w:val="single" w:sz="2" w:space="0" w:color="36424A" w:themeColor="accent2"/>
                        </w:tcBorders>
                        <w:shd w:val="clear" w:color="auto" w:fill="auto"/>
                        <w:noWrap/>
                        <w:hideMark/>
                      </w:tcPr>
                      <w:p w14:paraId="1C42D91B" w14:textId="77777777" w:rsidR="00821310" w:rsidRPr="00C2722E" w:rsidRDefault="00821310" w:rsidP="00D63E8D">
                        <w:pPr>
                          <w:pStyle w:val="TableText"/>
                          <w:cnfStyle w:val="000000100000" w:firstRow="0" w:lastRow="0" w:firstColumn="0" w:lastColumn="0" w:oddVBand="0" w:evenVBand="0" w:oddHBand="1" w:evenHBand="0" w:firstRowFirstColumn="0" w:firstRowLastColumn="0" w:lastRowFirstColumn="0" w:lastRowLastColumn="0"/>
                          <w:rPr>
                            <w:color w:val="auto"/>
                          </w:rPr>
                        </w:pPr>
                        <w:r w:rsidRPr="00C2722E">
                          <w:rPr>
                            <w:color w:val="auto"/>
                          </w:rPr>
                          <w:t>2815</w:t>
                        </w:r>
                      </w:p>
                    </w:tc>
                    <w:tc>
                      <w:tcPr>
                        <w:tcW w:w="1559" w:type="dxa"/>
                        <w:tcBorders>
                          <w:top w:val="single" w:sz="2" w:space="0" w:color="36424A" w:themeColor="accent2"/>
                          <w:left w:val="single" w:sz="2" w:space="0" w:color="36424A" w:themeColor="accent2"/>
                          <w:bottom w:val="single" w:sz="2" w:space="0" w:color="36424A" w:themeColor="accent2"/>
                          <w:right w:val="single" w:sz="2" w:space="0" w:color="36424A" w:themeColor="accent2"/>
                        </w:tcBorders>
                        <w:shd w:val="clear" w:color="auto" w:fill="auto"/>
                        <w:noWrap/>
                        <w:hideMark/>
                      </w:tcPr>
                      <w:p w14:paraId="4B8F8F0A" w14:textId="77777777" w:rsidR="00821310" w:rsidRPr="00C2722E" w:rsidRDefault="00821310" w:rsidP="00D63E8D">
                        <w:pPr>
                          <w:pStyle w:val="TableText"/>
                          <w:cnfStyle w:val="000000100000" w:firstRow="0" w:lastRow="0" w:firstColumn="0" w:lastColumn="0" w:oddVBand="0" w:evenVBand="0" w:oddHBand="1" w:evenHBand="0" w:firstRowFirstColumn="0" w:firstRowLastColumn="0" w:lastRowFirstColumn="0" w:lastRowLastColumn="0"/>
                          <w:rPr>
                            <w:color w:val="auto"/>
                          </w:rPr>
                        </w:pPr>
                        <w:r w:rsidRPr="00C2722E">
                          <w:rPr>
                            <w:color w:val="auto"/>
                          </w:rPr>
                          <w:t>0.75</w:t>
                        </w:r>
                      </w:p>
                    </w:tc>
                    <w:tc>
                      <w:tcPr>
                        <w:tcW w:w="2268" w:type="dxa"/>
                        <w:tcBorders>
                          <w:top w:val="single" w:sz="2" w:space="0" w:color="36424A" w:themeColor="accent2"/>
                          <w:left w:val="single" w:sz="2" w:space="0" w:color="36424A" w:themeColor="accent2"/>
                          <w:bottom w:val="single" w:sz="2" w:space="0" w:color="36424A" w:themeColor="accent2"/>
                          <w:right w:val="single" w:sz="2" w:space="0" w:color="36424A" w:themeColor="accent2"/>
                        </w:tcBorders>
                        <w:shd w:val="clear" w:color="auto" w:fill="auto"/>
                        <w:noWrap/>
                        <w:hideMark/>
                      </w:tcPr>
                      <w:p w14:paraId="5D6F4F3E" w14:textId="77777777" w:rsidR="00821310" w:rsidRPr="00C2722E" w:rsidRDefault="00821310" w:rsidP="00D63E8D">
                        <w:pPr>
                          <w:pStyle w:val="TableText"/>
                          <w:cnfStyle w:val="000000100000" w:firstRow="0" w:lastRow="0" w:firstColumn="0" w:lastColumn="0" w:oddVBand="0" w:evenVBand="0" w:oddHBand="1" w:evenHBand="0" w:firstRowFirstColumn="0" w:firstRowLastColumn="0" w:lastRowFirstColumn="0" w:lastRowLastColumn="0"/>
                          <w:rPr>
                            <w:color w:val="auto"/>
                          </w:rPr>
                        </w:pPr>
                        <w:r w:rsidRPr="00C2722E">
                          <w:rPr>
                            <w:color w:val="auto"/>
                          </w:rPr>
                          <w:t>58.7% (n=1652)</w:t>
                        </w:r>
                      </w:p>
                    </w:tc>
                  </w:tr>
                  <w:tr w:rsidR="00821310" w:rsidRPr="00821310" w14:paraId="5C0E2B0A" w14:textId="77777777" w:rsidTr="00F7412D">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0" w:type="auto"/>
                        <w:vMerge/>
                        <w:shd w:val="clear" w:color="auto" w:fill="auto"/>
                        <w:hideMark/>
                      </w:tcPr>
                      <w:p w14:paraId="39213AD5" w14:textId="77777777" w:rsidR="00821310" w:rsidRPr="00C2722E" w:rsidRDefault="00821310" w:rsidP="00D63E8D">
                        <w:pPr>
                          <w:pStyle w:val="TableText"/>
                          <w:rPr>
                            <w:color w:val="auto"/>
                          </w:rPr>
                        </w:pPr>
                      </w:p>
                    </w:tc>
                    <w:tc>
                      <w:tcPr>
                        <w:tcW w:w="0" w:type="auto"/>
                        <w:vMerge/>
                        <w:shd w:val="clear" w:color="auto" w:fill="auto"/>
                        <w:hideMark/>
                      </w:tcPr>
                      <w:p w14:paraId="4ADAD977" w14:textId="77777777" w:rsidR="00821310" w:rsidRPr="00C2722E" w:rsidRDefault="00821310" w:rsidP="00D63E8D">
                        <w:pPr>
                          <w:pStyle w:val="TableText"/>
                          <w:cnfStyle w:val="000000010000" w:firstRow="0" w:lastRow="0" w:firstColumn="0" w:lastColumn="0" w:oddVBand="0" w:evenVBand="0" w:oddHBand="0" w:evenHBand="1" w:firstRowFirstColumn="0" w:firstRowLastColumn="0" w:lastRowFirstColumn="0" w:lastRowLastColumn="0"/>
                          <w:rPr>
                            <w:color w:val="auto"/>
                          </w:rPr>
                        </w:pPr>
                      </w:p>
                    </w:tc>
                    <w:tc>
                      <w:tcPr>
                        <w:tcW w:w="2126" w:type="dxa"/>
                        <w:tcBorders>
                          <w:top w:val="single" w:sz="2" w:space="0" w:color="36424A" w:themeColor="accent2"/>
                          <w:left w:val="single" w:sz="2" w:space="0" w:color="36424A" w:themeColor="accent2"/>
                          <w:bottom w:val="single" w:sz="2" w:space="0" w:color="36424A" w:themeColor="accent2"/>
                          <w:right w:val="single" w:sz="2" w:space="0" w:color="36424A" w:themeColor="accent2"/>
                        </w:tcBorders>
                        <w:shd w:val="clear" w:color="auto" w:fill="auto"/>
                        <w:noWrap/>
                        <w:hideMark/>
                      </w:tcPr>
                      <w:p w14:paraId="48D58D23" w14:textId="77777777" w:rsidR="00821310" w:rsidRPr="00C2722E" w:rsidRDefault="00821310" w:rsidP="00D63E8D">
                        <w:pPr>
                          <w:pStyle w:val="TableText"/>
                          <w:cnfStyle w:val="000000010000" w:firstRow="0" w:lastRow="0" w:firstColumn="0" w:lastColumn="0" w:oddVBand="0" w:evenVBand="0" w:oddHBand="0" w:evenHBand="1" w:firstRowFirstColumn="0" w:firstRowLastColumn="0" w:lastRowFirstColumn="0" w:lastRowLastColumn="0"/>
                          <w:rPr>
                            <w:color w:val="auto"/>
                          </w:rPr>
                        </w:pPr>
                        <w:r w:rsidRPr="00C2722E">
                          <w:rPr>
                            <w:color w:val="auto"/>
                          </w:rPr>
                          <w:t>Goals</w:t>
                        </w:r>
                      </w:p>
                    </w:tc>
                    <w:tc>
                      <w:tcPr>
                        <w:tcW w:w="1134" w:type="dxa"/>
                        <w:tcBorders>
                          <w:top w:val="single" w:sz="2" w:space="0" w:color="36424A" w:themeColor="accent2"/>
                          <w:left w:val="single" w:sz="2" w:space="0" w:color="36424A" w:themeColor="accent2"/>
                          <w:bottom w:val="single" w:sz="2" w:space="0" w:color="36424A" w:themeColor="accent2"/>
                          <w:right w:val="single" w:sz="2" w:space="0" w:color="36424A" w:themeColor="accent2"/>
                        </w:tcBorders>
                        <w:shd w:val="clear" w:color="auto" w:fill="auto"/>
                        <w:noWrap/>
                        <w:hideMark/>
                      </w:tcPr>
                      <w:p w14:paraId="43944890" w14:textId="77777777" w:rsidR="00821310" w:rsidRPr="00C2722E" w:rsidRDefault="00821310" w:rsidP="00D63E8D">
                        <w:pPr>
                          <w:pStyle w:val="TableText"/>
                          <w:cnfStyle w:val="000000010000" w:firstRow="0" w:lastRow="0" w:firstColumn="0" w:lastColumn="0" w:oddVBand="0" w:evenVBand="0" w:oddHBand="0" w:evenHBand="1" w:firstRowFirstColumn="0" w:firstRowLastColumn="0" w:lastRowFirstColumn="0" w:lastRowLastColumn="0"/>
                          <w:rPr>
                            <w:color w:val="auto"/>
                          </w:rPr>
                        </w:pPr>
                        <w:r w:rsidRPr="00C2722E">
                          <w:rPr>
                            <w:color w:val="auto"/>
                          </w:rPr>
                          <w:t>2845</w:t>
                        </w:r>
                      </w:p>
                    </w:tc>
                    <w:tc>
                      <w:tcPr>
                        <w:tcW w:w="1559" w:type="dxa"/>
                        <w:tcBorders>
                          <w:top w:val="single" w:sz="2" w:space="0" w:color="36424A" w:themeColor="accent2"/>
                          <w:left w:val="single" w:sz="2" w:space="0" w:color="36424A" w:themeColor="accent2"/>
                          <w:bottom w:val="single" w:sz="2" w:space="0" w:color="36424A" w:themeColor="accent2"/>
                          <w:right w:val="single" w:sz="2" w:space="0" w:color="36424A" w:themeColor="accent2"/>
                        </w:tcBorders>
                        <w:shd w:val="clear" w:color="auto" w:fill="auto"/>
                        <w:noWrap/>
                        <w:hideMark/>
                      </w:tcPr>
                      <w:p w14:paraId="2AB095C7" w14:textId="77777777" w:rsidR="00821310" w:rsidRPr="00C2722E" w:rsidRDefault="00821310" w:rsidP="00D63E8D">
                        <w:pPr>
                          <w:pStyle w:val="TableText"/>
                          <w:cnfStyle w:val="000000010000" w:firstRow="0" w:lastRow="0" w:firstColumn="0" w:lastColumn="0" w:oddVBand="0" w:evenVBand="0" w:oddHBand="0" w:evenHBand="1" w:firstRowFirstColumn="0" w:firstRowLastColumn="0" w:lastRowFirstColumn="0" w:lastRowLastColumn="0"/>
                          <w:rPr>
                            <w:color w:val="auto"/>
                          </w:rPr>
                        </w:pPr>
                        <w:r w:rsidRPr="00C2722E">
                          <w:rPr>
                            <w:color w:val="auto"/>
                          </w:rPr>
                          <w:t>1.19</w:t>
                        </w:r>
                      </w:p>
                    </w:tc>
                    <w:tc>
                      <w:tcPr>
                        <w:tcW w:w="2268" w:type="dxa"/>
                        <w:tcBorders>
                          <w:top w:val="single" w:sz="2" w:space="0" w:color="36424A" w:themeColor="accent2"/>
                          <w:left w:val="single" w:sz="2" w:space="0" w:color="36424A" w:themeColor="accent2"/>
                          <w:bottom w:val="single" w:sz="2" w:space="0" w:color="36424A" w:themeColor="accent2"/>
                          <w:right w:val="single" w:sz="2" w:space="0" w:color="36424A" w:themeColor="accent2"/>
                        </w:tcBorders>
                        <w:shd w:val="clear" w:color="auto" w:fill="auto"/>
                        <w:noWrap/>
                        <w:hideMark/>
                      </w:tcPr>
                      <w:p w14:paraId="536EC87C" w14:textId="77777777" w:rsidR="00821310" w:rsidRPr="00C2722E" w:rsidRDefault="00821310" w:rsidP="00D63E8D">
                        <w:pPr>
                          <w:pStyle w:val="TableText"/>
                          <w:cnfStyle w:val="000000010000" w:firstRow="0" w:lastRow="0" w:firstColumn="0" w:lastColumn="0" w:oddVBand="0" w:evenVBand="0" w:oddHBand="0" w:evenHBand="1" w:firstRowFirstColumn="0" w:firstRowLastColumn="0" w:lastRowFirstColumn="0" w:lastRowLastColumn="0"/>
                          <w:rPr>
                            <w:color w:val="auto"/>
                          </w:rPr>
                        </w:pPr>
                        <w:r w:rsidRPr="00C2722E">
                          <w:rPr>
                            <w:color w:val="auto"/>
                          </w:rPr>
                          <w:t>71.6% (n=2036)</w:t>
                        </w:r>
                      </w:p>
                    </w:tc>
                  </w:tr>
                  <w:tr w:rsidR="00821310" w:rsidRPr="00821310" w14:paraId="6C23AF36" w14:textId="77777777" w:rsidTr="00F7412D">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90" w:type="dxa"/>
                        <w:vMerge w:val="restart"/>
                        <w:tcBorders>
                          <w:top w:val="single" w:sz="2" w:space="0" w:color="36424A" w:themeColor="accent2"/>
                          <w:left w:val="single" w:sz="2" w:space="0" w:color="36424A" w:themeColor="accent2"/>
                          <w:bottom w:val="single" w:sz="2" w:space="0" w:color="36424A" w:themeColor="accent2"/>
                          <w:right w:val="single" w:sz="2" w:space="0" w:color="36424A" w:themeColor="accent2"/>
                        </w:tcBorders>
                        <w:shd w:val="clear" w:color="auto" w:fill="auto"/>
                        <w:noWrap/>
                        <w:hideMark/>
                      </w:tcPr>
                      <w:p w14:paraId="2696115A" w14:textId="0087CA31" w:rsidR="00821310" w:rsidRPr="00C2722E" w:rsidRDefault="00821310" w:rsidP="00D63E8D">
                        <w:pPr>
                          <w:pStyle w:val="TableText"/>
                          <w:rPr>
                            <w:color w:val="auto"/>
                          </w:rPr>
                        </w:pPr>
                        <w:r w:rsidRPr="00C2722E">
                          <w:rPr>
                            <w:color w:val="auto"/>
                          </w:rPr>
                          <w:t>SFVS (incl. 4AP2)</w:t>
                        </w:r>
                      </w:p>
                    </w:tc>
                    <w:tc>
                      <w:tcPr>
                        <w:tcW w:w="992" w:type="dxa"/>
                        <w:vMerge w:val="restart"/>
                        <w:tcBorders>
                          <w:top w:val="single" w:sz="2" w:space="0" w:color="36424A" w:themeColor="accent2"/>
                          <w:left w:val="single" w:sz="2" w:space="0" w:color="36424A" w:themeColor="accent2"/>
                          <w:bottom w:val="single" w:sz="2" w:space="0" w:color="36424A" w:themeColor="accent2"/>
                          <w:right w:val="single" w:sz="2" w:space="0" w:color="36424A" w:themeColor="accent2"/>
                        </w:tcBorders>
                        <w:shd w:val="clear" w:color="auto" w:fill="auto"/>
                        <w:noWrap/>
                        <w:hideMark/>
                      </w:tcPr>
                      <w:p w14:paraId="662460B1" w14:textId="77777777" w:rsidR="00821310" w:rsidRPr="00C2722E" w:rsidRDefault="00821310" w:rsidP="00D63E8D">
                        <w:pPr>
                          <w:pStyle w:val="TableText"/>
                          <w:cnfStyle w:val="000000100000" w:firstRow="0" w:lastRow="0" w:firstColumn="0" w:lastColumn="0" w:oddVBand="0" w:evenVBand="0" w:oddHBand="1" w:evenHBand="0" w:firstRowFirstColumn="0" w:firstRowLastColumn="0" w:lastRowFirstColumn="0" w:lastRowLastColumn="0"/>
                          <w:rPr>
                            <w:color w:val="auto"/>
                          </w:rPr>
                        </w:pPr>
                        <w:r w:rsidRPr="00C2722E">
                          <w:rPr>
                            <w:color w:val="auto"/>
                          </w:rPr>
                          <w:t>No</w:t>
                        </w:r>
                      </w:p>
                    </w:tc>
                    <w:tc>
                      <w:tcPr>
                        <w:tcW w:w="2126" w:type="dxa"/>
                        <w:tcBorders>
                          <w:top w:val="single" w:sz="2" w:space="0" w:color="36424A" w:themeColor="accent2"/>
                          <w:left w:val="single" w:sz="2" w:space="0" w:color="36424A" w:themeColor="accent2"/>
                          <w:bottom w:val="single" w:sz="2" w:space="0" w:color="36424A" w:themeColor="accent2"/>
                          <w:right w:val="single" w:sz="2" w:space="0" w:color="36424A" w:themeColor="accent2"/>
                        </w:tcBorders>
                        <w:shd w:val="clear" w:color="auto" w:fill="auto"/>
                        <w:noWrap/>
                        <w:hideMark/>
                      </w:tcPr>
                      <w:p w14:paraId="1C9E4C95" w14:textId="77777777" w:rsidR="00821310" w:rsidRPr="00C2722E" w:rsidRDefault="00821310" w:rsidP="00D63E8D">
                        <w:pPr>
                          <w:pStyle w:val="TableText"/>
                          <w:cnfStyle w:val="000000100000" w:firstRow="0" w:lastRow="0" w:firstColumn="0" w:lastColumn="0" w:oddVBand="0" w:evenVBand="0" w:oddHBand="1" w:evenHBand="0" w:firstRowFirstColumn="0" w:firstRowLastColumn="0" w:lastRowFirstColumn="0" w:lastRowLastColumn="0"/>
                          <w:rPr>
                            <w:color w:val="auto"/>
                          </w:rPr>
                        </w:pPr>
                        <w:r w:rsidRPr="00C2722E">
                          <w:rPr>
                            <w:color w:val="auto"/>
                          </w:rPr>
                          <w:t>Circumstances</w:t>
                        </w:r>
                      </w:p>
                    </w:tc>
                    <w:tc>
                      <w:tcPr>
                        <w:tcW w:w="1134" w:type="dxa"/>
                        <w:tcBorders>
                          <w:top w:val="single" w:sz="2" w:space="0" w:color="36424A" w:themeColor="accent2"/>
                          <w:left w:val="single" w:sz="2" w:space="0" w:color="36424A" w:themeColor="accent2"/>
                          <w:bottom w:val="single" w:sz="2" w:space="0" w:color="36424A" w:themeColor="accent2"/>
                          <w:right w:val="single" w:sz="2" w:space="0" w:color="36424A" w:themeColor="accent2"/>
                        </w:tcBorders>
                        <w:shd w:val="clear" w:color="auto" w:fill="auto"/>
                        <w:noWrap/>
                        <w:hideMark/>
                      </w:tcPr>
                      <w:p w14:paraId="7FECA147" w14:textId="77777777" w:rsidR="00821310" w:rsidRPr="00C2722E" w:rsidRDefault="00821310" w:rsidP="00D63E8D">
                        <w:pPr>
                          <w:pStyle w:val="TableText"/>
                          <w:cnfStyle w:val="000000100000" w:firstRow="0" w:lastRow="0" w:firstColumn="0" w:lastColumn="0" w:oddVBand="0" w:evenVBand="0" w:oddHBand="1" w:evenHBand="0" w:firstRowFirstColumn="0" w:firstRowLastColumn="0" w:lastRowFirstColumn="0" w:lastRowLastColumn="0"/>
                          <w:rPr>
                            <w:color w:val="auto"/>
                          </w:rPr>
                        </w:pPr>
                        <w:r w:rsidRPr="00C2722E">
                          <w:rPr>
                            <w:color w:val="auto"/>
                          </w:rPr>
                          <w:t>4092</w:t>
                        </w:r>
                      </w:p>
                    </w:tc>
                    <w:tc>
                      <w:tcPr>
                        <w:tcW w:w="1559" w:type="dxa"/>
                        <w:tcBorders>
                          <w:top w:val="single" w:sz="2" w:space="0" w:color="36424A" w:themeColor="accent2"/>
                          <w:left w:val="single" w:sz="2" w:space="0" w:color="36424A" w:themeColor="accent2"/>
                          <w:bottom w:val="single" w:sz="2" w:space="0" w:color="36424A" w:themeColor="accent2"/>
                          <w:right w:val="single" w:sz="2" w:space="0" w:color="36424A" w:themeColor="accent2"/>
                        </w:tcBorders>
                        <w:shd w:val="clear" w:color="auto" w:fill="auto"/>
                        <w:noWrap/>
                        <w:hideMark/>
                      </w:tcPr>
                      <w:p w14:paraId="33F426FE" w14:textId="77777777" w:rsidR="00821310" w:rsidRPr="00C2722E" w:rsidRDefault="00821310" w:rsidP="00D63E8D">
                        <w:pPr>
                          <w:pStyle w:val="TableText"/>
                          <w:cnfStyle w:val="000000100000" w:firstRow="0" w:lastRow="0" w:firstColumn="0" w:lastColumn="0" w:oddVBand="0" w:evenVBand="0" w:oddHBand="1" w:evenHBand="0" w:firstRowFirstColumn="0" w:firstRowLastColumn="0" w:lastRowFirstColumn="0" w:lastRowLastColumn="0"/>
                          <w:rPr>
                            <w:color w:val="auto"/>
                          </w:rPr>
                        </w:pPr>
                        <w:r w:rsidRPr="00C2722E">
                          <w:rPr>
                            <w:color w:val="auto"/>
                          </w:rPr>
                          <w:t>0.94</w:t>
                        </w:r>
                      </w:p>
                    </w:tc>
                    <w:tc>
                      <w:tcPr>
                        <w:tcW w:w="2268" w:type="dxa"/>
                        <w:tcBorders>
                          <w:top w:val="single" w:sz="2" w:space="0" w:color="36424A" w:themeColor="accent2"/>
                          <w:left w:val="single" w:sz="2" w:space="0" w:color="36424A" w:themeColor="accent2"/>
                          <w:bottom w:val="single" w:sz="2" w:space="0" w:color="36424A" w:themeColor="accent2"/>
                          <w:right w:val="single" w:sz="2" w:space="0" w:color="36424A" w:themeColor="accent2"/>
                        </w:tcBorders>
                        <w:shd w:val="clear" w:color="auto" w:fill="auto"/>
                        <w:noWrap/>
                        <w:hideMark/>
                      </w:tcPr>
                      <w:p w14:paraId="38889E0A" w14:textId="77777777" w:rsidR="00821310" w:rsidRPr="00C2722E" w:rsidRDefault="00821310" w:rsidP="00D63E8D">
                        <w:pPr>
                          <w:pStyle w:val="TableText"/>
                          <w:cnfStyle w:val="000000100000" w:firstRow="0" w:lastRow="0" w:firstColumn="0" w:lastColumn="0" w:oddVBand="0" w:evenVBand="0" w:oddHBand="1" w:evenHBand="0" w:firstRowFirstColumn="0" w:firstRowLastColumn="0" w:lastRowFirstColumn="0" w:lastRowLastColumn="0"/>
                          <w:rPr>
                            <w:color w:val="auto"/>
                          </w:rPr>
                        </w:pPr>
                        <w:r w:rsidRPr="00C2722E">
                          <w:rPr>
                            <w:color w:val="auto"/>
                          </w:rPr>
                          <w:t>66.4% (n=2719)</w:t>
                        </w:r>
                      </w:p>
                    </w:tc>
                  </w:tr>
                  <w:tr w:rsidR="00821310" w:rsidRPr="00821310" w14:paraId="0691E7EE" w14:textId="77777777" w:rsidTr="00F7412D">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0" w:type="auto"/>
                        <w:vMerge/>
                        <w:shd w:val="clear" w:color="auto" w:fill="auto"/>
                        <w:hideMark/>
                      </w:tcPr>
                      <w:p w14:paraId="300592B2" w14:textId="77777777" w:rsidR="00821310" w:rsidRPr="00C2722E" w:rsidRDefault="00821310" w:rsidP="00D63E8D">
                        <w:pPr>
                          <w:pStyle w:val="TableText"/>
                          <w:rPr>
                            <w:color w:val="auto"/>
                          </w:rPr>
                        </w:pPr>
                      </w:p>
                    </w:tc>
                    <w:tc>
                      <w:tcPr>
                        <w:tcW w:w="0" w:type="auto"/>
                        <w:vMerge/>
                        <w:shd w:val="clear" w:color="auto" w:fill="auto"/>
                        <w:hideMark/>
                      </w:tcPr>
                      <w:p w14:paraId="60D975AD" w14:textId="77777777" w:rsidR="00821310" w:rsidRPr="00C2722E" w:rsidRDefault="00821310" w:rsidP="00D63E8D">
                        <w:pPr>
                          <w:pStyle w:val="TableText"/>
                          <w:cnfStyle w:val="000000010000" w:firstRow="0" w:lastRow="0" w:firstColumn="0" w:lastColumn="0" w:oddVBand="0" w:evenVBand="0" w:oddHBand="0" w:evenHBand="1" w:firstRowFirstColumn="0" w:firstRowLastColumn="0" w:lastRowFirstColumn="0" w:lastRowLastColumn="0"/>
                          <w:rPr>
                            <w:color w:val="auto"/>
                          </w:rPr>
                        </w:pPr>
                      </w:p>
                    </w:tc>
                    <w:tc>
                      <w:tcPr>
                        <w:tcW w:w="2126" w:type="dxa"/>
                        <w:tcBorders>
                          <w:top w:val="single" w:sz="2" w:space="0" w:color="36424A" w:themeColor="accent2"/>
                          <w:left w:val="single" w:sz="2" w:space="0" w:color="36424A" w:themeColor="accent2"/>
                          <w:bottom w:val="single" w:sz="2" w:space="0" w:color="36424A" w:themeColor="accent2"/>
                          <w:right w:val="single" w:sz="2" w:space="0" w:color="36424A" w:themeColor="accent2"/>
                        </w:tcBorders>
                        <w:shd w:val="clear" w:color="auto" w:fill="auto"/>
                        <w:noWrap/>
                        <w:hideMark/>
                      </w:tcPr>
                      <w:p w14:paraId="118464D6" w14:textId="77777777" w:rsidR="00821310" w:rsidRPr="00C2722E" w:rsidRDefault="00821310" w:rsidP="00D63E8D">
                        <w:pPr>
                          <w:pStyle w:val="TableText"/>
                          <w:cnfStyle w:val="000000010000" w:firstRow="0" w:lastRow="0" w:firstColumn="0" w:lastColumn="0" w:oddVBand="0" w:evenVBand="0" w:oddHBand="0" w:evenHBand="1" w:firstRowFirstColumn="0" w:firstRowLastColumn="0" w:lastRowFirstColumn="0" w:lastRowLastColumn="0"/>
                          <w:rPr>
                            <w:color w:val="auto"/>
                          </w:rPr>
                        </w:pPr>
                        <w:r w:rsidRPr="00C2722E">
                          <w:rPr>
                            <w:color w:val="auto"/>
                          </w:rPr>
                          <w:t>Goals</w:t>
                        </w:r>
                      </w:p>
                    </w:tc>
                    <w:tc>
                      <w:tcPr>
                        <w:tcW w:w="1134" w:type="dxa"/>
                        <w:tcBorders>
                          <w:top w:val="single" w:sz="2" w:space="0" w:color="36424A" w:themeColor="accent2"/>
                          <w:left w:val="single" w:sz="2" w:space="0" w:color="36424A" w:themeColor="accent2"/>
                          <w:bottom w:val="single" w:sz="2" w:space="0" w:color="36424A" w:themeColor="accent2"/>
                          <w:right w:val="single" w:sz="2" w:space="0" w:color="36424A" w:themeColor="accent2"/>
                        </w:tcBorders>
                        <w:shd w:val="clear" w:color="auto" w:fill="auto"/>
                        <w:noWrap/>
                        <w:hideMark/>
                      </w:tcPr>
                      <w:p w14:paraId="1F1D2A4E" w14:textId="77777777" w:rsidR="00821310" w:rsidRPr="00C2722E" w:rsidRDefault="00821310" w:rsidP="00D63E8D">
                        <w:pPr>
                          <w:pStyle w:val="TableText"/>
                          <w:cnfStyle w:val="000000010000" w:firstRow="0" w:lastRow="0" w:firstColumn="0" w:lastColumn="0" w:oddVBand="0" w:evenVBand="0" w:oddHBand="0" w:evenHBand="1" w:firstRowFirstColumn="0" w:firstRowLastColumn="0" w:lastRowFirstColumn="0" w:lastRowLastColumn="0"/>
                          <w:rPr>
                            <w:color w:val="auto"/>
                          </w:rPr>
                        </w:pPr>
                        <w:r w:rsidRPr="00C2722E">
                          <w:rPr>
                            <w:color w:val="auto"/>
                          </w:rPr>
                          <w:t>3912</w:t>
                        </w:r>
                      </w:p>
                    </w:tc>
                    <w:tc>
                      <w:tcPr>
                        <w:tcW w:w="1559" w:type="dxa"/>
                        <w:tcBorders>
                          <w:top w:val="single" w:sz="2" w:space="0" w:color="36424A" w:themeColor="accent2"/>
                          <w:left w:val="single" w:sz="2" w:space="0" w:color="36424A" w:themeColor="accent2"/>
                          <w:bottom w:val="single" w:sz="2" w:space="0" w:color="36424A" w:themeColor="accent2"/>
                          <w:right w:val="single" w:sz="2" w:space="0" w:color="36424A" w:themeColor="accent2"/>
                        </w:tcBorders>
                        <w:shd w:val="clear" w:color="auto" w:fill="auto"/>
                        <w:noWrap/>
                        <w:hideMark/>
                      </w:tcPr>
                      <w:p w14:paraId="3CECAD88" w14:textId="77777777" w:rsidR="00821310" w:rsidRPr="00C2722E" w:rsidRDefault="00821310" w:rsidP="00D63E8D">
                        <w:pPr>
                          <w:pStyle w:val="TableText"/>
                          <w:cnfStyle w:val="000000010000" w:firstRow="0" w:lastRow="0" w:firstColumn="0" w:lastColumn="0" w:oddVBand="0" w:evenVBand="0" w:oddHBand="0" w:evenHBand="1" w:firstRowFirstColumn="0" w:firstRowLastColumn="0" w:lastRowFirstColumn="0" w:lastRowLastColumn="0"/>
                          <w:rPr>
                            <w:color w:val="auto"/>
                          </w:rPr>
                        </w:pPr>
                        <w:r w:rsidRPr="00C2722E">
                          <w:rPr>
                            <w:color w:val="auto"/>
                          </w:rPr>
                          <w:t>1.1</w:t>
                        </w:r>
                      </w:p>
                    </w:tc>
                    <w:tc>
                      <w:tcPr>
                        <w:tcW w:w="2268" w:type="dxa"/>
                        <w:tcBorders>
                          <w:top w:val="single" w:sz="2" w:space="0" w:color="36424A" w:themeColor="accent2"/>
                          <w:left w:val="single" w:sz="2" w:space="0" w:color="36424A" w:themeColor="accent2"/>
                          <w:bottom w:val="single" w:sz="2" w:space="0" w:color="36424A" w:themeColor="accent2"/>
                          <w:right w:val="single" w:sz="2" w:space="0" w:color="36424A" w:themeColor="accent2"/>
                        </w:tcBorders>
                        <w:shd w:val="clear" w:color="auto" w:fill="auto"/>
                        <w:noWrap/>
                        <w:hideMark/>
                      </w:tcPr>
                      <w:p w14:paraId="5ECA00EA" w14:textId="77777777" w:rsidR="00821310" w:rsidRPr="00C2722E" w:rsidRDefault="00821310" w:rsidP="00D63E8D">
                        <w:pPr>
                          <w:pStyle w:val="TableText"/>
                          <w:cnfStyle w:val="000000010000" w:firstRow="0" w:lastRow="0" w:firstColumn="0" w:lastColumn="0" w:oddVBand="0" w:evenVBand="0" w:oddHBand="0" w:evenHBand="1" w:firstRowFirstColumn="0" w:firstRowLastColumn="0" w:lastRowFirstColumn="0" w:lastRowLastColumn="0"/>
                          <w:rPr>
                            <w:color w:val="auto"/>
                          </w:rPr>
                        </w:pPr>
                        <w:r w:rsidRPr="00C2722E">
                          <w:rPr>
                            <w:color w:val="auto"/>
                          </w:rPr>
                          <w:t>71.1% (n=2782)</w:t>
                        </w:r>
                      </w:p>
                    </w:tc>
                  </w:tr>
                  <w:tr w:rsidR="00821310" w:rsidRPr="00821310" w14:paraId="297E1035" w14:textId="77777777" w:rsidTr="00F7412D">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0" w:type="auto"/>
                        <w:vMerge/>
                        <w:shd w:val="clear" w:color="auto" w:fill="auto"/>
                        <w:hideMark/>
                      </w:tcPr>
                      <w:p w14:paraId="267B3D8D" w14:textId="77777777" w:rsidR="00821310" w:rsidRPr="00C2722E" w:rsidRDefault="00821310" w:rsidP="00D63E8D">
                        <w:pPr>
                          <w:pStyle w:val="TableText"/>
                          <w:rPr>
                            <w:color w:val="auto"/>
                          </w:rPr>
                        </w:pPr>
                      </w:p>
                    </w:tc>
                    <w:tc>
                      <w:tcPr>
                        <w:tcW w:w="992" w:type="dxa"/>
                        <w:vMerge w:val="restart"/>
                        <w:tcBorders>
                          <w:top w:val="single" w:sz="2" w:space="0" w:color="36424A" w:themeColor="accent2"/>
                          <w:left w:val="single" w:sz="2" w:space="0" w:color="36424A" w:themeColor="accent2"/>
                          <w:bottom w:val="single" w:sz="2" w:space="0" w:color="36424A" w:themeColor="accent2"/>
                          <w:right w:val="single" w:sz="2" w:space="0" w:color="36424A" w:themeColor="accent2"/>
                        </w:tcBorders>
                        <w:shd w:val="clear" w:color="auto" w:fill="auto"/>
                        <w:noWrap/>
                        <w:hideMark/>
                      </w:tcPr>
                      <w:p w14:paraId="60F50484" w14:textId="77777777" w:rsidR="00821310" w:rsidRPr="00C2722E" w:rsidRDefault="00821310" w:rsidP="00D63E8D">
                        <w:pPr>
                          <w:pStyle w:val="TableText"/>
                          <w:cnfStyle w:val="000000100000" w:firstRow="0" w:lastRow="0" w:firstColumn="0" w:lastColumn="0" w:oddVBand="0" w:evenVBand="0" w:oddHBand="1" w:evenHBand="0" w:firstRowFirstColumn="0" w:firstRowLastColumn="0" w:lastRowFirstColumn="0" w:lastRowLastColumn="0"/>
                          <w:rPr>
                            <w:color w:val="auto"/>
                          </w:rPr>
                        </w:pPr>
                        <w:r w:rsidRPr="00C2722E">
                          <w:rPr>
                            <w:color w:val="auto"/>
                          </w:rPr>
                          <w:t>Yes</w:t>
                        </w:r>
                      </w:p>
                    </w:tc>
                    <w:tc>
                      <w:tcPr>
                        <w:tcW w:w="2126" w:type="dxa"/>
                        <w:tcBorders>
                          <w:top w:val="single" w:sz="2" w:space="0" w:color="36424A" w:themeColor="accent2"/>
                          <w:left w:val="single" w:sz="2" w:space="0" w:color="36424A" w:themeColor="accent2"/>
                          <w:bottom w:val="single" w:sz="2" w:space="0" w:color="36424A" w:themeColor="accent2"/>
                          <w:right w:val="single" w:sz="2" w:space="0" w:color="36424A" w:themeColor="accent2"/>
                        </w:tcBorders>
                        <w:shd w:val="clear" w:color="auto" w:fill="auto"/>
                        <w:noWrap/>
                        <w:hideMark/>
                      </w:tcPr>
                      <w:p w14:paraId="32BB21EF" w14:textId="77777777" w:rsidR="00821310" w:rsidRPr="00C2722E" w:rsidRDefault="00821310" w:rsidP="00D63E8D">
                        <w:pPr>
                          <w:pStyle w:val="TableText"/>
                          <w:cnfStyle w:val="000000100000" w:firstRow="0" w:lastRow="0" w:firstColumn="0" w:lastColumn="0" w:oddVBand="0" w:evenVBand="0" w:oddHBand="1" w:evenHBand="0" w:firstRowFirstColumn="0" w:firstRowLastColumn="0" w:lastRowFirstColumn="0" w:lastRowLastColumn="0"/>
                          <w:rPr>
                            <w:color w:val="auto"/>
                          </w:rPr>
                        </w:pPr>
                        <w:r w:rsidRPr="00C2722E">
                          <w:rPr>
                            <w:color w:val="auto"/>
                          </w:rPr>
                          <w:t>Circumstances</w:t>
                        </w:r>
                      </w:p>
                    </w:tc>
                    <w:tc>
                      <w:tcPr>
                        <w:tcW w:w="1134" w:type="dxa"/>
                        <w:tcBorders>
                          <w:top w:val="single" w:sz="2" w:space="0" w:color="36424A" w:themeColor="accent2"/>
                          <w:left w:val="single" w:sz="2" w:space="0" w:color="36424A" w:themeColor="accent2"/>
                          <w:bottom w:val="single" w:sz="2" w:space="0" w:color="36424A" w:themeColor="accent2"/>
                          <w:right w:val="single" w:sz="2" w:space="0" w:color="36424A" w:themeColor="accent2"/>
                        </w:tcBorders>
                        <w:shd w:val="clear" w:color="auto" w:fill="auto"/>
                        <w:noWrap/>
                        <w:hideMark/>
                      </w:tcPr>
                      <w:p w14:paraId="50118977" w14:textId="77777777" w:rsidR="00821310" w:rsidRPr="00C2722E" w:rsidRDefault="00821310" w:rsidP="00D63E8D">
                        <w:pPr>
                          <w:pStyle w:val="TableText"/>
                          <w:cnfStyle w:val="000000100000" w:firstRow="0" w:lastRow="0" w:firstColumn="0" w:lastColumn="0" w:oddVBand="0" w:evenVBand="0" w:oddHBand="1" w:evenHBand="0" w:firstRowFirstColumn="0" w:firstRowLastColumn="0" w:lastRowFirstColumn="0" w:lastRowLastColumn="0"/>
                          <w:rPr>
                            <w:color w:val="auto"/>
                          </w:rPr>
                        </w:pPr>
                        <w:r w:rsidRPr="00C2722E">
                          <w:rPr>
                            <w:color w:val="auto"/>
                          </w:rPr>
                          <w:t>223</w:t>
                        </w:r>
                      </w:p>
                    </w:tc>
                    <w:tc>
                      <w:tcPr>
                        <w:tcW w:w="1559" w:type="dxa"/>
                        <w:tcBorders>
                          <w:top w:val="single" w:sz="2" w:space="0" w:color="36424A" w:themeColor="accent2"/>
                          <w:left w:val="single" w:sz="2" w:space="0" w:color="36424A" w:themeColor="accent2"/>
                          <w:bottom w:val="single" w:sz="2" w:space="0" w:color="36424A" w:themeColor="accent2"/>
                          <w:right w:val="single" w:sz="2" w:space="0" w:color="36424A" w:themeColor="accent2"/>
                        </w:tcBorders>
                        <w:shd w:val="clear" w:color="auto" w:fill="auto"/>
                        <w:noWrap/>
                        <w:hideMark/>
                      </w:tcPr>
                      <w:p w14:paraId="4BD38A8C" w14:textId="77777777" w:rsidR="00821310" w:rsidRPr="00C2722E" w:rsidRDefault="00821310" w:rsidP="00D63E8D">
                        <w:pPr>
                          <w:pStyle w:val="TableText"/>
                          <w:cnfStyle w:val="000000100000" w:firstRow="0" w:lastRow="0" w:firstColumn="0" w:lastColumn="0" w:oddVBand="0" w:evenVBand="0" w:oddHBand="1" w:evenHBand="0" w:firstRowFirstColumn="0" w:firstRowLastColumn="0" w:lastRowFirstColumn="0" w:lastRowLastColumn="0"/>
                          <w:rPr>
                            <w:color w:val="auto"/>
                          </w:rPr>
                        </w:pPr>
                        <w:r w:rsidRPr="00C2722E">
                          <w:rPr>
                            <w:color w:val="auto"/>
                          </w:rPr>
                          <w:t>0.97</w:t>
                        </w:r>
                      </w:p>
                    </w:tc>
                    <w:tc>
                      <w:tcPr>
                        <w:tcW w:w="2268" w:type="dxa"/>
                        <w:tcBorders>
                          <w:top w:val="single" w:sz="2" w:space="0" w:color="36424A" w:themeColor="accent2"/>
                          <w:left w:val="single" w:sz="2" w:space="0" w:color="36424A" w:themeColor="accent2"/>
                          <w:bottom w:val="single" w:sz="2" w:space="0" w:color="36424A" w:themeColor="accent2"/>
                          <w:right w:val="single" w:sz="2" w:space="0" w:color="36424A" w:themeColor="accent2"/>
                        </w:tcBorders>
                        <w:shd w:val="clear" w:color="auto" w:fill="auto"/>
                        <w:noWrap/>
                        <w:hideMark/>
                      </w:tcPr>
                      <w:p w14:paraId="0D77016B" w14:textId="77777777" w:rsidR="00821310" w:rsidRPr="00C2722E" w:rsidRDefault="00821310" w:rsidP="00D63E8D">
                        <w:pPr>
                          <w:pStyle w:val="TableText"/>
                          <w:cnfStyle w:val="000000100000" w:firstRow="0" w:lastRow="0" w:firstColumn="0" w:lastColumn="0" w:oddVBand="0" w:evenVBand="0" w:oddHBand="1" w:evenHBand="0" w:firstRowFirstColumn="0" w:firstRowLastColumn="0" w:lastRowFirstColumn="0" w:lastRowLastColumn="0"/>
                          <w:rPr>
                            <w:color w:val="auto"/>
                          </w:rPr>
                        </w:pPr>
                        <w:r w:rsidRPr="00C2722E">
                          <w:rPr>
                            <w:color w:val="auto"/>
                          </w:rPr>
                          <w:t>66.8% (n=149)</w:t>
                        </w:r>
                      </w:p>
                    </w:tc>
                  </w:tr>
                  <w:tr w:rsidR="00821310" w:rsidRPr="00821310" w14:paraId="53225016" w14:textId="77777777" w:rsidTr="00F7412D">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0" w:type="auto"/>
                        <w:vMerge/>
                        <w:shd w:val="clear" w:color="auto" w:fill="auto"/>
                        <w:hideMark/>
                      </w:tcPr>
                      <w:p w14:paraId="64408CC8" w14:textId="77777777" w:rsidR="00821310" w:rsidRPr="00C2722E" w:rsidRDefault="00821310" w:rsidP="00D63E8D">
                        <w:pPr>
                          <w:pStyle w:val="TableText"/>
                          <w:rPr>
                            <w:color w:val="auto"/>
                          </w:rPr>
                        </w:pPr>
                      </w:p>
                    </w:tc>
                    <w:tc>
                      <w:tcPr>
                        <w:tcW w:w="0" w:type="auto"/>
                        <w:vMerge/>
                        <w:shd w:val="clear" w:color="auto" w:fill="auto"/>
                        <w:hideMark/>
                      </w:tcPr>
                      <w:p w14:paraId="1B65B218" w14:textId="77777777" w:rsidR="00821310" w:rsidRPr="00C2722E" w:rsidRDefault="00821310" w:rsidP="00D63E8D">
                        <w:pPr>
                          <w:pStyle w:val="TableText"/>
                          <w:cnfStyle w:val="000000010000" w:firstRow="0" w:lastRow="0" w:firstColumn="0" w:lastColumn="0" w:oddVBand="0" w:evenVBand="0" w:oddHBand="0" w:evenHBand="1" w:firstRowFirstColumn="0" w:firstRowLastColumn="0" w:lastRowFirstColumn="0" w:lastRowLastColumn="0"/>
                          <w:rPr>
                            <w:color w:val="auto"/>
                          </w:rPr>
                        </w:pPr>
                      </w:p>
                    </w:tc>
                    <w:tc>
                      <w:tcPr>
                        <w:tcW w:w="2126" w:type="dxa"/>
                        <w:tcBorders>
                          <w:top w:val="single" w:sz="2" w:space="0" w:color="36424A" w:themeColor="accent2"/>
                          <w:left w:val="single" w:sz="2" w:space="0" w:color="36424A" w:themeColor="accent2"/>
                          <w:bottom w:val="single" w:sz="2" w:space="0" w:color="36424A" w:themeColor="accent2"/>
                          <w:right w:val="single" w:sz="2" w:space="0" w:color="36424A" w:themeColor="accent2"/>
                        </w:tcBorders>
                        <w:shd w:val="clear" w:color="auto" w:fill="auto"/>
                        <w:noWrap/>
                        <w:hideMark/>
                      </w:tcPr>
                      <w:p w14:paraId="276E099A" w14:textId="77777777" w:rsidR="00821310" w:rsidRPr="00C2722E" w:rsidRDefault="00821310" w:rsidP="00D63E8D">
                        <w:pPr>
                          <w:pStyle w:val="TableText"/>
                          <w:cnfStyle w:val="000000010000" w:firstRow="0" w:lastRow="0" w:firstColumn="0" w:lastColumn="0" w:oddVBand="0" w:evenVBand="0" w:oddHBand="0" w:evenHBand="1" w:firstRowFirstColumn="0" w:firstRowLastColumn="0" w:lastRowFirstColumn="0" w:lastRowLastColumn="0"/>
                          <w:rPr>
                            <w:color w:val="auto"/>
                          </w:rPr>
                        </w:pPr>
                        <w:r w:rsidRPr="00C2722E">
                          <w:rPr>
                            <w:color w:val="auto"/>
                          </w:rPr>
                          <w:t>Goals</w:t>
                        </w:r>
                      </w:p>
                    </w:tc>
                    <w:tc>
                      <w:tcPr>
                        <w:tcW w:w="1134" w:type="dxa"/>
                        <w:tcBorders>
                          <w:top w:val="single" w:sz="2" w:space="0" w:color="36424A" w:themeColor="accent2"/>
                          <w:left w:val="single" w:sz="2" w:space="0" w:color="36424A" w:themeColor="accent2"/>
                          <w:bottom w:val="single" w:sz="2" w:space="0" w:color="36424A" w:themeColor="accent2"/>
                          <w:right w:val="single" w:sz="2" w:space="0" w:color="36424A" w:themeColor="accent2"/>
                        </w:tcBorders>
                        <w:shd w:val="clear" w:color="auto" w:fill="auto"/>
                        <w:noWrap/>
                        <w:hideMark/>
                      </w:tcPr>
                      <w:p w14:paraId="43732C57" w14:textId="77777777" w:rsidR="00821310" w:rsidRPr="00C2722E" w:rsidRDefault="00821310" w:rsidP="00D63E8D">
                        <w:pPr>
                          <w:pStyle w:val="TableText"/>
                          <w:cnfStyle w:val="000000010000" w:firstRow="0" w:lastRow="0" w:firstColumn="0" w:lastColumn="0" w:oddVBand="0" w:evenVBand="0" w:oddHBand="0" w:evenHBand="1" w:firstRowFirstColumn="0" w:firstRowLastColumn="0" w:lastRowFirstColumn="0" w:lastRowLastColumn="0"/>
                          <w:rPr>
                            <w:color w:val="auto"/>
                          </w:rPr>
                        </w:pPr>
                        <w:r w:rsidRPr="00C2722E">
                          <w:rPr>
                            <w:color w:val="auto"/>
                          </w:rPr>
                          <w:t>330</w:t>
                        </w:r>
                      </w:p>
                    </w:tc>
                    <w:tc>
                      <w:tcPr>
                        <w:tcW w:w="1559" w:type="dxa"/>
                        <w:tcBorders>
                          <w:top w:val="single" w:sz="2" w:space="0" w:color="36424A" w:themeColor="accent2"/>
                          <w:left w:val="single" w:sz="2" w:space="0" w:color="36424A" w:themeColor="accent2"/>
                          <w:bottom w:val="single" w:sz="2" w:space="0" w:color="36424A" w:themeColor="accent2"/>
                          <w:right w:val="single" w:sz="2" w:space="0" w:color="36424A" w:themeColor="accent2"/>
                        </w:tcBorders>
                        <w:shd w:val="clear" w:color="auto" w:fill="auto"/>
                        <w:noWrap/>
                        <w:hideMark/>
                      </w:tcPr>
                      <w:p w14:paraId="3478E5D0" w14:textId="77777777" w:rsidR="00821310" w:rsidRPr="00C2722E" w:rsidRDefault="00821310" w:rsidP="00D63E8D">
                        <w:pPr>
                          <w:pStyle w:val="TableText"/>
                          <w:cnfStyle w:val="000000010000" w:firstRow="0" w:lastRow="0" w:firstColumn="0" w:lastColumn="0" w:oddVBand="0" w:evenVBand="0" w:oddHBand="0" w:evenHBand="1" w:firstRowFirstColumn="0" w:firstRowLastColumn="0" w:lastRowFirstColumn="0" w:lastRowLastColumn="0"/>
                          <w:rPr>
                            <w:color w:val="auto"/>
                          </w:rPr>
                        </w:pPr>
                        <w:r w:rsidRPr="00C2722E">
                          <w:rPr>
                            <w:color w:val="auto"/>
                          </w:rPr>
                          <w:t>1.01</w:t>
                        </w:r>
                      </w:p>
                    </w:tc>
                    <w:tc>
                      <w:tcPr>
                        <w:tcW w:w="2268" w:type="dxa"/>
                        <w:tcBorders>
                          <w:top w:val="single" w:sz="2" w:space="0" w:color="36424A" w:themeColor="accent2"/>
                          <w:left w:val="single" w:sz="2" w:space="0" w:color="36424A" w:themeColor="accent2"/>
                          <w:bottom w:val="single" w:sz="2" w:space="0" w:color="36424A" w:themeColor="accent2"/>
                          <w:right w:val="single" w:sz="2" w:space="0" w:color="36424A" w:themeColor="accent2"/>
                        </w:tcBorders>
                        <w:shd w:val="clear" w:color="auto" w:fill="auto"/>
                        <w:noWrap/>
                        <w:hideMark/>
                      </w:tcPr>
                      <w:p w14:paraId="1D153F18" w14:textId="77777777" w:rsidR="00821310" w:rsidRPr="00C2722E" w:rsidRDefault="00821310" w:rsidP="00D63E8D">
                        <w:pPr>
                          <w:pStyle w:val="TableText"/>
                          <w:cnfStyle w:val="000000010000" w:firstRow="0" w:lastRow="0" w:firstColumn="0" w:lastColumn="0" w:oddVBand="0" w:evenVBand="0" w:oddHBand="0" w:evenHBand="1" w:firstRowFirstColumn="0" w:firstRowLastColumn="0" w:lastRowFirstColumn="0" w:lastRowLastColumn="0"/>
                          <w:rPr>
                            <w:color w:val="auto"/>
                          </w:rPr>
                        </w:pPr>
                        <w:r w:rsidRPr="00C2722E">
                          <w:rPr>
                            <w:color w:val="auto"/>
                          </w:rPr>
                          <w:t>67.0% (n=221)</w:t>
                        </w:r>
                      </w:p>
                    </w:tc>
                  </w:tr>
                </w:tbl>
                <w:p w14:paraId="1FCF6A5D" w14:textId="58444B3C" w:rsidR="00821310" w:rsidRDefault="00821310" w:rsidP="00A77ED5">
                  <w:pPr>
                    <w:pStyle w:val="TableFigure-Header"/>
                  </w:pPr>
                </w:p>
                <w:p w14:paraId="4FA2CA13" w14:textId="77777777" w:rsidR="009063EB" w:rsidRDefault="009063EB" w:rsidP="009063EB">
                  <w:pPr>
                    <w:pStyle w:val="TableFigureTitle"/>
                    <w:rPr>
                      <w:lang w:val="en-US"/>
                    </w:rPr>
                  </w:pPr>
                </w:p>
                <w:p w14:paraId="14304DD6" w14:textId="77777777" w:rsidR="00B57A6C" w:rsidRDefault="00B57A6C" w:rsidP="00B57A6C">
                  <w:pPr>
                    <w:pStyle w:val="TableFigure-Notes"/>
                    <w:rPr>
                      <w:lang w:val="en-US"/>
                    </w:rPr>
                  </w:pPr>
                </w:p>
                <w:bookmarkStart w:id="485" w:name="_Ref205321667"/>
                <w:bookmarkStart w:id="486" w:name="_Toc205413083"/>
                <w:bookmarkStart w:id="487" w:name="_Toc205413137"/>
                <w:p w14:paraId="459059E5" w14:textId="009D4CEC" w:rsidR="009E5B2A" w:rsidRPr="00D377B0" w:rsidRDefault="00BB17C1" w:rsidP="00253034">
                  <w:pPr>
                    <w:pStyle w:val="TableFigure-Header"/>
                    <w:spacing w:line="276" w:lineRule="auto"/>
                    <w:jc w:val="both"/>
                    <w:rPr>
                      <w:rStyle w:val="Text-Bold"/>
                      <w:b/>
                      <w:szCs w:val="21"/>
                      <w:lang w:val="en-NZ"/>
                    </w:rPr>
                  </w:pPr>
                  <w:r w:rsidRPr="00D377B0">
                    <w:rPr>
                      <w:noProof/>
                      <w:szCs w:val="21"/>
                    </w:rPr>
                    <w:lastRenderedPageBreak/>
                    <mc:AlternateContent>
                      <mc:Choice Requires="wpg">
                        <w:drawing>
                          <wp:anchor distT="0" distB="0" distL="114300" distR="114300" simplePos="0" relativeHeight="251658260" behindDoc="0" locked="0" layoutInCell="1" allowOverlap="1" wp14:anchorId="20B09157" wp14:editId="342CE19B">
                            <wp:simplePos x="0" y="0"/>
                            <wp:positionH relativeFrom="margin">
                              <wp:align>right</wp:align>
                            </wp:positionH>
                            <wp:positionV relativeFrom="paragraph">
                              <wp:posOffset>342900</wp:posOffset>
                            </wp:positionV>
                            <wp:extent cx="5724525" cy="8496300"/>
                            <wp:effectExtent l="0" t="0" r="9525" b="0"/>
                            <wp:wrapNone/>
                            <wp:docPr id="1473280355" name="Group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24525" cy="8496300"/>
                                      <a:chOff x="0" y="0"/>
                                      <a:chExt cx="6123175" cy="5050465"/>
                                    </a:xfrm>
                                  </wpg:grpSpPr>
                                  <wpg:graphicFrame>
                                    <wpg:cNvPr id="1199595390" name="Chart 1199595390"/>
                                    <wpg:cNvFrPr>
                                      <a:graphicFrameLocks/>
                                    </wpg:cNvFrPr>
                                    <wpg:xfrm>
                                      <a:off x="0" y="0"/>
                                      <a:ext cx="6123175" cy="2513640"/>
                                    </wpg:xfrm>
                                    <a:graphic>
                                      <a:graphicData uri="http://schemas.openxmlformats.org/drawingml/2006/chart">
                                        <c:chart xmlns:c="http://schemas.openxmlformats.org/drawingml/2006/chart" xmlns:r="http://schemas.openxmlformats.org/officeDocument/2006/relationships" r:id="rId107"/>
                                      </a:graphicData>
                                    </a:graphic>
                                  </wpg:graphicFrame>
                                  <wpg:graphicFrame>
                                    <wpg:cNvPr id="456109104" name="Chart 456109104"/>
                                    <wpg:cNvFrPr>
                                      <a:graphicFrameLocks/>
                                    </wpg:cNvFrPr>
                                    <wpg:xfrm>
                                      <a:off x="1588" y="2533650"/>
                                      <a:ext cx="6120000" cy="2516815"/>
                                    </wpg:xfrm>
                                    <a:graphic>
                                      <a:graphicData uri="http://schemas.openxmlformats.org/drawingml/2006/chart">
                                        <c:chart xmlns:c="http://schemas.openxmlformats.org/drawingml/2006/chart" xmlns:r="http://schemas.openxmlformats.org/officeDocument/2006/relationships" r:id="rId108"/>
                                      </a:graphicData>
                                    </a:graphic>
                                  </wpg:graphicFrame>
                                </wpg:wgp>
                              </a:graphicData>
                            </a:graphic>
                            <wp14:sizeRelH relativeFrom="margin">
                              <wp14:pctWidth>0</wp14:pctWidth>
                            </wp14:sizeRelH>
                            <wp14:sizeRelV relativeFrom="margin">
                              <wp14:pctHeight>0</wp14:pctHeight>
                            </wp14:sizeRelV>
                          </wp:anchor>
                        </w:drawing>
                      </mc:Choice>
                      <mc:Fallback>
                        <w:pict>
                          <v:group w14:anchorId="497D6A12" id="Group 4" o:spid="_x0000_s1026" alt="&quot;&quot;" style="position:absolute;margin-left:399.55pt;margin-top:27pt;width:450.75pt;height:669pt;z-index:251658260;mso-position-horizontal:right;mso-position-horizontal-relative:margin;mso-width-relative:margin;mso-height-relative:margin" coordsize="61231,50504" o:gfxdata="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">
                            <v:shape id="Chart 1199595390" o:spid="_x0000_s1027" type="#_x0000_t75" style="position:absolute;left:-65;top:-36;width:61357;height:252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">
                              <v:imagedata r:id="rId109" o:title=""/>
                              <o:lock v:ext="edit" aspectratio="f"/>
                            </v:shape>
                            <v:shape id="Chart 456109104" o:spid="_x0000_s1028" type="#_x0000_t75" style="position:absolute;left:-65;top:25293;width:61357;height:252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">
                              <v:imagedata r:id="rId110" o:title=""/>
                              <o:lock v:ext="edit" aspectratio="f"/>
                            </v:shape>
                            <w10:wrap anchorx="margin"/>
                          </v:group>
                        </w:pict>
                      </mc:Fallback>
                    </mc:AlternateContent>
                  </w:r>
                  <w:r w:rsidR="00874FDC" w:rsidRPr="00D377B0">
                    <w:rPr>
                      <w:rStyle w:val="Text-Bold"/>
                      <w:b/>
                      <w:szCs w:val="21"/>
                      <w:lang w:val="en-NZ"/>
                    </w:rPr>
                    <w:t xml:space="preserve">Figure </w:t>
                  </w:r>
                  <w:r w:rsidR="00C64C3D" w:rsidRPr="00D377B0">
                    <w:rPr>
                      <w:rStyle w:val="Text-Bold"/>
                      <w:b/>
                      <w:szCs w:val="21"/>
                      <w:lang w:val="en-NZ"/>
                    </w:rPr>
                    <w:fldChar w:fldCharType="begin"/>
                  </w:r>
                  <w:r w:rsidR="00C64C3D" w:rsidRPr="00D377B0">
                    <w:rPr>
                      <w:rStyle w:val="Text-Bold"/>
                      <w:b/>
                      <w:szCs w:val="21"/>
                      <w:lang w:val="en-NZ"/>
                    </w:rPr>
                    <w:instrText xml:space="preserve"> SEQ Figure \* ARABIC </w:instrText>
                  </w:r>
                  <w:r w:rsidR="00C64C3D" w:rsidRPr="00D377B0">
                    <w:rPr>
                      <w:rStyle w:val="Text-Bold"/>
                      <w:b/>
                      <w:szCs w:val="21"/>
                      <w:lang w:val="en-NZ"/>
                    </w:rPr>
                    <w:fldChar w:fldCharType="separate"/>
                  </w:r>
                  <w:r w:rsidR="008D2566">
                    <w:rPr>
                      <w:rStyle w:val="Text-Bold"/>
                      <w:b/>
                      <w:noProof/>
                      <w:szCs w:val="21"/>
                      <w:lang w:val="en-NZ"/>
                    </w:rPr>
                    <w:t>41</w:t>
                  </w:r>
                  <w:r w:rsidR="00C64C3D" w:rsidRPr="00D377B0">
                    <w:rPr>
                      <w:rStyle w:val="Text-Bold"/>
                      <w:b/>
                      <w:szCs w:val="21"/>
                      <w:lang w:val="en-NZ"/>
                    </w:rPr>
                    <w:fldChar w:fldCharType="end"/>
                  </w:r>
                  <w:bookmarkEnd w:id="485"/>
                  <w:r w:rsidR="009F0C0B" w:rsidRPr="00D377B0">
                    <w:rPr>
                      <w:rStyle w:val="Text-Bold"/>
                      <w:b/>
                      <w:szCs w:val="21"/>
                      <w:lang w:val="en-NZ"/>
                    </w:rPr>
                    <w:t xml:space="preserve">: Earliest to latest SCORE changes within subjects, FaRS </w:t>
                  </w:r>
                  <w:r w:rsidR="005072EF" w:rsidRPr="00D377B0">
                    <w:rPr>
                      <w:rStyle w:val="Text-Bold"/>
                      <w:b/>
                      <w:szCs w:val="21"/>
                      <w:lang w:val="en-NZ"/>
                    </w:rPr>
                    <w:t xml:space="preserve">service </w:t>
                  </w:r>
                  <w:r w:rsidR="00E070C1" w:rsidRPr="00D377B0">
                    <w:rPr>
                      <w:rStyle w:val="Text-Bold"/>
                      <w:b/>
                      <w:szCs w:val="21"/>
                      <w:lang w:val="en-NZ"/>
                    </w:rPr>
                    <w:t>users</w:t>
                  </w:r>
                  <w:r w:rsidR="009F0C0B" w:rsidRPr="00D377B0">
                    <w:rPr>
                      <w:rStyle w:val="Text-Bold"/>
                      <w:b/>
                      <w:szCs w:val="21"/>
                      <w:lang w:val="en-NZ"/>
                    </w:rPr>
                    <w:t xml:space="preserve"> by CALD status, July 2021 to June 2024</w:t>
                  </w:r>
                  <w:bookmarkEnd w:id="486"/>
                  <w:bookmarkEnd w:id="487"/>
                </w:p>
                <w:p w14:paraId="3BC8DBC4" w14:textId="20853048" w:rsidR="00821310" w:rsidRDefault="00821310" w:rsidP="005674C7">
                  <w:pPr>
                    <w:pStyle w:val="Text"/>
                    <w:rPr>
                      <w:i/>
                      <w:sz w:val="20"/>
                      <w:szCs w:val="18"/>
                    </w:rPr>
                  </w:pPr>
                </w:p>
                <w:p w14:paraId="5520F410" w14:textId="77777777" w:rsidR="00821310" w:rsidRDefault="00821310" w:rsidP="005674C7">
                  <w:pPr>
                    <w:pStyle w:val="Text"/>
                    <w:rPr>
                      <w:i/>
                      <w:sz w:val="20"/>
                      <w:szCs w:val="18"/>
                    </w:rPr>
                  </w:pPr>
                </w:p>
                <w:p w14:paraId="09004668" w14:textId="77777777" w:rsidR="00821310" w:rsidRDefault="00821310" w:rsidP="005674C7">
                  <w:pPr>
                    <w:pStyle w:val="Text"/>
                    <w:rPr>
                      <w:i/>
                      <w:sz w:val="20"/>
                      <w:szCs w:val="18"/>
                    </w:rPr>
                  </w:pPr>
                </w:p>
                <w:p w14:paraId="1247B066" w14:textId="77777777" w:rsidR="00821310" w:rsidRDefault="00821310" w:rsidP="005674C7">
                  <w:pPr>
                    <w:pStyle w:val="Text"/>
                    <w:rPr>
                      <w:i/>
                      <w:sz w:val="20"/>
                      <w:szCs w:val="18"/>
                    </w:rPr>
                  </w:pPr>
                </w:p>
                <w:p w14:paraId="73C5D928" w14:textId="77777777" w:rsidR="00821310" w:rsidRDefault="00821310" w:rsidP="005674C7">
                  <w:pPr>
                    <w:pStyle w:val="Text"/>
                    <w:rPr>
                      <w:i/>
                      <w:sz w:val="20"/>
                      <w:szCs w:val="18"/>
                    </w:rPr>
                  </w:pPr>
                </w:p>
                <w:p w14:paraId="7C0D6AE9" w14:textId="77777777" w:rsidR="00821310" w:rsidRDefault="00821310" w:rsidP="005674C7">
                  <w:pPr>
                    <w:pStyle w:val="Text"/>
                    <w:rPr>
                      <w:i/>
                      <w:sz w:val="20"/>
                      <w:szCs w:val="18"/>
                    </w:rPr>
                  </w:pPr>
                </w:p>
                <w:p w14:paraId="2149E36F" w14:textId="77777777" w:rsidR="00821310" w:rsidRDefault="00821310" w:rsidP="005674C7">
                  <w:pPr>
                    <w:pStyle w:val="Text"/>
                    <w:rPr>
                      <w:i/>
                      <w:sz w:val="20"/>
                      <w:szCs w:val="18"/>
                    </w:rPr>
                  </w:pPr>
                </w:p>
                <w:p w14:paraId="4C3EEB3C" w14:textId="77777777" w:rsidR="00B57A6C" w:rsidRDefault="00B57A6C" w:rsidP="005674C7">
                  <w:pPr>
                    <w:pStyle w:val="Text"/>
                    <w:rPr>
                      <w:i/>
                      <w:sz w:val="20"/>
                      <w:szCs w:val="18"/>
                    </w:rPr>
                  </w:pPr>
                </w:p>
                <w:p w14:paraId="57A168D7" w14:textId="77777777" w:rsidR="00B57A6C" w:rsidRDefault="00B57A6C" w:rsidP="005674C7">
                  <w:pPr>
                    <w:pStyle w:val="Text"/>
                    <w:rPr>
                      <w:i/>
                      <w:sz w:val="20"/>
                      <w:szCs w:val="18"/>
                    </w:rPr>
                  </w:pPr>
                </w:p>
                <w:p w14:paraId="3C8A3437" w14:textId="77777777" w:rsidR="00B57A6C" w:rsidRDefault="00B57A6C" w:rsidP="005674C7">
                  <w:pPr>
                    <w:pStyle w:val="Text"/>
                    <w:rPr>
                      <w:i/>
                      <w:sz w:val="20"/>
                      <w:szCs w:val="18"/>
                    </w:rPr>
                  </w:pPr>
                </w:p>
                <w:p w14:paraId="6CB9C067" w14:textId="77777777" w:rsidR="00B57A6C" w:rsidRDefault="00B57A6C" w:rsidP="005674C7">
                  <w:pPr>
                    <w:pStyle w:val="Text"/>
                    <w:rPr>
                      <w:i/>
                      <w:sz w:val="20"/>
                      <w:szCs w:val="18"/>
                    </w:rPr>
                  </w:pPr>
                </w:p>
                <w:p w14:paraId="6C1DA8DB" w14:textId="77777777" w:rsidR="00B57A6C" w:rsidRDefault="00B57A6C" w:rsidP="005674C7">
                  <w:pPr>
                    <w:pStyle w:val="Text"/>
                    <w:rPr>
                      <w:i/>
                      <w:sz w:val="20"/>
                      <w:szCs w:val="18"/>
                    </w:rPr>
                  </w:pPr>
                </w:p>
                <w:p w14:paraId="6606981A" w14:textId="77777777" w:rsidR="00B57A6C" w:rsidRDefault="00B57A6C" w:rsidP="005674C7">
                  <w:pPr>
                    <w:pStyle w:val="Text"/>
                    <w:rPr>
                      <w:i/>
                      <w:sz w:val="20"/>
                      <w:szCs w:val="18"/>
                    </w:rPr>
                  </w:pPr>
                </w:p>
                <w:p w14:paraId="51AF71DE" w14:textId="77777777" w:rsidR="00B57A6C" w:rsidRDefault="00B57A6C" w:rsidP="005674C7">
                  <w:pPr>
                    <w:pStyle w:val="Text"/>
                    <w:rPr>
                      <w:i/>
                      <w:sz w:val="20"/>
                      <w:szCs w:val="18"/>
                    </w:rPr>
                  </w:pPr>
                </w:p>
                <w:p w14:paraId="4B840BF4" w14:textId="77777777" w:rsidR="00B57A6C" w:rsidRDefault="00B57A6C" w:rsidP="005674C7">
                  <w:pPr>
                    <w:pStyle w:val="Text"/>
                    <w:rPr>
                      <w:i/>
                      <w:sz w:val="20"/>
                      <w:szCs w:val="18"/>
                    </w:rPr>
                  </w:pPr>
                </w:p>
                <w:p w14:paraId="4CEB0D3E" w14:textId="77777777" w:rsidR="00B57A6C" w:rsidRDefault="00B57A6C" w:rsidP="005674C7">
                  <w:pPr>
                    <w:pStyle w:val="Text"/>
                    <w:rPr>
                      <w:i/>
                      <w:sz w:val="20"/>
                      <w:szCs w:val="18"/>
                    </w:rPr>
                  </w:pPr>
                </w:p>
                <w:p w14:paraId="5EC046A2" w14:textId="77777777" w:rsidR="00B57A6C" w:rsidRDefault="00B57A6C" w:rsidP="005674C7">
                  <w:pPr>
                    <w:pStyle w:val="Text"/>
                    <w:rPr>
                      <w:i/>
                      <w:sz w:val="20"/>
                      <w:szCs w:val="18"/>
                    </w:rPr>
                  </w:pPr>
                </w:p>
                <w:p w14:paraId="0E61DE75" w14:textId="77777777" w:rsidR="00B57A6C" w:rsidRDefault="00B57A6C" w:rsidP="005674C7">
                  <w:pPr>
                    <w:pStyle w:val="Text"/>
                    <w:rPr>
                      <w:i/>
                      <w:sz w:val="20"/>
                      <w:szCs w:val="18"/>
                    </w:rPr>
                  </w:pPr>
                </w:p>
                <w:p w14:paraId="203CE564" w14:textId="77777777" w:rsidR="00B57A6C" w:rsidRDefault="00B57A6C" w:rsidP="005674C7">
                  <w:pPr>
                    <w:pStyle w:val="Text"/>
                    <w:rPr>
                      <w:i/>
                      <w:sz w:val="20"/>
                      <w:szCs w:val="18"/>
                    </w:rPr>
                  </w:pPr>
                </w:p>
                <w:p w14:paraId="33A167A4" w14:textId="77777777" w:rsidR="00B57A6C" w:rsidRDefault="00B57A6C" w:rsidP="005674C7">
                  <w:pPr>
                    <w:pStyle w:val="Text"/>
                    <w:rPr>
                      <w:i/>
                      <w:sz w:val="20"/>
                      <w:szCs w:val="18"/>
                    </w:rPr>
                  </w:pPr>
                </w:p>
                <w:p w14:paraId="11E78FB3" w14:textId="77777777" w:rsidR="00B57A6C" w:rsidRDefault="00B57A6C" w:rsidP="005674C7">
                  <w:pPr>
                    <w:pStyle w:val="Text"/>
                    <w:rPr>
                      <w:i/>
                      <w:sz w:val="20"/>
                      <w:szCs w:val="18"/>
                    </w:rPr>
                  </w:pPr>
                </w:p>
                <w:p w14:paraId="0E59F227" w14:textId="77777777" w:rsidR="00B57A6C" w:rsidRDefault="00B57A6C" w:rsidP="005674C7">
                  <w:pPr>
                    <w:pStyle w:val="Text"/>
                    <w:rPr>
                      <w:i/>
                      <w:sz w:val="20"/>
                      <w:szCs w:val="18"/>
                    </w:rPr>
                  </w:pPr>
                </w:p>
                <w:p w14:paraId="0920BCCB" w14:textId="77777777" w:rsidR="00821310" w:rsidRDefault="00821310" w:rsidP="005674C7">
                  <w:pPr>
                    <w:pStyle w:val="Text"/>
                    <w:rPr>
                      <w:i/>
                      <w:sz w:val="20"/>
                      <w:szCs w:val="18"/>
                    </w:rPr>
                  </w:pPr>
                </w:p>
                <w:p w14:paraId="33D031D3" w14:textId="77777777" w:rsidR="00821310" w:rsidRDefault="00821310" w:rsidP="005674C7">
                  <w:pPr>
                    <w:pStyle w:val="Text"/>
                    <w:rPr>
                      <w:i/>
                      <w:sz w:val="20"/>
                      <w:szCs w:val="18"/>
                    </w:rPr>
                  </w:pPr>
                </w:p>
                <w:p w14:paraId="7D0ABD36" w14:textId="77777777" w:rsidR="00821310" w:rsidRDefault="00821310" w:rsidP="005674C7">
                  <w:pPr>
                    <w:pStyle w:val="Text"/>
                    <w:rPr>
                      <w:i/>
                      <w:sz w:val="20"/>
                      <w:szCs w:val="18"/>
                    </w:rPr>
                  </w:pPr>
                </w:p>
                <w:p w14:paraId="63F4CFC6" w14:textId="39755496" w:rsidR="00BB17C1" w:rsidRDefault="00BB17C1">
                  <w:pPr>
                    <w:rPr>
                      <w:i/>
                      <w:sz w:val="20"/>
                      <w:szCs w:val="18"/>
                    </w:rPr>
                  </w:pPr>
                </w:p>
                <w:p w14:paraId="1DC2A5CC" w14:textId="245A7DA9" w:rsidR="00340477" w:rsidRDefault="00EA36E8" w:rsidP="00253034">
                  <w:pPr>
                    <w:pStyle w:val="TableFigure-Header"/>
                    <w:spacing w:line="276" w:lineRule="auto"/>
                    <w:jc w:val="both"/>
                    <w:rPr>
                      <w:lang w:val="en-NZ"/>
                    </w:rPr>
                  </w:pPr>
                  <w:r w:rsidRPr="480DF3B0">
                    <w:rPr>
                      <w:lang w:val="en-NZ"/>
                    </w:rPr>
                    <w:lastRenderedPageBreak/>
                    <w:t xml:space="preserve">Table </w:t>
                  </w:r>
                  <w:r w:rsidR="008D2566">
                    <w:fldChar w:fldCharType="begin"/>
                  </w:r>
                  <w:r w:rsidR="008D2566">
                    <w:instrText xml:space="preserve"> SEQ Table \* ARABIC </w:instrText>
                  </w:r>
                  <w:r w:rsidR="008D2566">
                    <w:fldChar w:fldCharType="separate"/>
                  </w:r>
                  <w:r w:rsidR="008D2566">
                    <w:rPr>
                      <w:noProof/>
                    </w:rPr>
                    <w:t>40</w:t>
                  </w:r>
                  <w:r w:rsidR="008D2566">
                    <w:rPr>
                      <w:noProof/>
                    </w:rPr>
                    <w:fldChar w:fldCharType="end"/>
                  </w:r>
                  <w:r w:rsidRPr="480DF3B0">
                    <w:rPr>
                      <w:lang w:val="en-NZ"/>
                    </w:rPr>
                    <w:t xml:space="preserve">: Percentage of </w:t>
                  </w:r>
                  <w:r w:rsidR="000A1AD2" w:rsidRPr="480DF3B0">
                    <w:rPr>
                      <w:lang w:val="en-NZ"/>
                    </w:rPr>
                    <w:t>services user</w:t>
                  </w:r>
                  <w:r w:rsidR="00ED2240" w:rsidRPr="480DF3B0">
                    <w:rPr>
                      <w:lang w:val="en-NZ"/>
                    </w:rPr>
                    <w:t>s</w:t>
                  </w:r>
                  <w:r w:rsidR="000A1AD2" w:rsidRPr="480DF3B0">
                    <w:rPr>
                      <w:lang w:val="en-NZ"/>
                    </w:rPr>
                    <w:t xml:space="preserve"> with </w:t>
                  </w:r>
                  <w:r w:rsidRPr="480DF3B0">
                    <w:rPr>
                      <w:lang w:val="en-NZ"/>
                    </w:rPr>
                    <w:t xml:space="preserve">positive SCORE change for specific Circumstance and Goal domains, CALD FaRS service users, July 2021 to </w:t>
                  </w:r>
                  <w:r w:rsidR="1E1FBA4B" w:rsidRPr="1623CCFD">
                    <w:rPr>
                      <w:lang w:val="en-NZ"/>
                    </w:rPr>
                    <w:t xml:space="preserve">June </w:t>
                  </w:r>
                  <w:r w:rsidRPr="480DF3B0">
                    <w:rPr>
                      <w:lang w:val="en-NZ"/>
                    </w:rPr>
                    <w:t>2024</w:t>
                  </w:r>
                </w:p>
                <w:tbl>
                  <w:tblPr>
                    <w:tblStyle w:val="TableGrid3"/>
                    <w:tblW w:w="5000" w:type="pct"/>
                    <w:tblLayout w:type="fixed"/>
                    <w:tblLook w:val="04A0" w:firstRow="1" w:lastRow="0" w:firstColumn="1" w:lastColumn="0" w:noHBand="0" w:noVBand="1"/>
                  </w:tblPr>
                  <w:tblGrid>
                    <w:gridCol w:w="1697"/>
                    <w:gridCol w:w="3826"/>
                    <w:gridCol w:w="3496"/>
                  </w:tblGrid>
                  <w:tr w:rsidR="005678B2" w:rsidRPr="00F6254E" w14:paraId="357ABAED" w14:textId="77777777" w:rsidTr="005678B2">
                    <w:trPr>
                      <w:trHeight w:val="298"/>
                    </w:trPr>
                    <w:tc>
                      <w:tcPr>
                        <w:tcW w:w="941" w:type="pct"/>
                        <w:shd w:val="clear" w:color="auto" w:fill="007E00" w:themeFill="accent3"/>
                        <w:noWrap/>
                        <w:hideMark/>
                      </w:tcPr>
                      <w:p w14:paraId="4F5F3BE8" w14:textId="77777777" w:rsidR="005678B2" w:rsidRPr="00F6254E" w:rsidRDefault="005678B2" w:rsidP="005678B2">
                        <w:pPr>
                          <w:pStyle w:val="TableText"/>
                          <w:rPr>
                            <w:b/>
                            <w:bCs/>
                            <w:color w:val="FFFFFF" w:themeColor="background1"/>
                          </w:rPr>
                        </w:pPr>
                        <w:r w:rsidRPr="00F6254E">
                          <w:rPr>
                            <w:b/>
                            <w:bCs/>
                            <w:color w:val="FFFFFF" w:themeColor="background1"/>
                          </w:rPr>
                          <w:t>Outcome Type</w:t>
                        </w:r>
                      </w:p>
                    </w:tc>
                    <w:tc>
                      <w:tcPr>
                        <w:tcW w:w="2121" w:type="pct"/>
                        <w:shd w:val="clear" w:color="auto" w:fill="007E00" w:themeFill="accent3"/>
                      </w:tcPr>
                      <w:p w14:paraId="138A00FC" w14:textId="77777777" w:rsidR="005678B2" w:rsidRDefault="005678B2" w:rsidP="005678B2">
                        <w:pPr>
                          <w:pStyle w:val="TableText"/>
                          <w:rPr>
                            <w:b/>
                            <w:bCs/>
                            <w:color w:val="FFFFFF" w:themeColor="background1"/>
                          </w:rPr>
                        </w:pPr>
                        <w:r>
                          <w:rPr>
                            <w:b/>
                            <w:bCs/>
                            <w:color w:val="FFFFFF" w:themeColor="background1"/>
                          </w:rPr>
                          <w:t>Domain description</w:t>
                        </w:r>
                      </w:p>
                    </w:tc>
                    <w:tc>
                      <w:tcPr>
                        <w:tcW w:w="1938" w:type="pct"/>
                        <w:shd w:val="clear" w:color="auto" w:fill="007E00" w:themeFill="accent3"/>
                        <w:noWrap/>
                        <w:hideMark/>
                      </w:tcPr>
                      <w:p w14:paraId="305484E3" w14:textId="77777777" w:rsidR="005678B2" w:rsidRPr="00F6254E" w:rsidRDefault="005678B2" w:rsidP="005678B2">
                        <w:pPr>
                          <w:pStyle w:val="TableText"/>
                          <w:rPr>
                            <w:b/>
                            <w:bCs/>
                            <w:color w:val="FFFFFF" w:themeColor="background1"/>
                          </w:rPr>
                        </w:pPr>
                        <w:r>
                          <w:rPr>
                            <w:b/>
                            <w:bCs/>
                            <w:color w:val="FFFFFF" w:themeColor="background1"/>
                          </w:rPr>
                          <w:t xml:space="preserve">Service users </w:t>
                        </w:r>
                        <w:r w:rsidRPr="00F6254E">
                          <w:rPr>
                            <w:b/>
                            <w:bCs/>
                            <w:color w:val="FFFFFF" w:themeColor="background1"/>
                          </w:rPr>
                          <w:t>with positive mean change (%, n</w:t>
                        </w:r>
                        <w:r>
                          <w:rPr>
                            <w:b/>
                            <w:bCs/>
                            <w:color w:val="FFFFFF" w:themeColor="background1"/>
                          </w:rPr>
                          <w:t>=</w:t>
                        </w:r>
                        <w:r w:rsidRPr="00F6254E">
                          <w:rPr>
                            <w:b/>
                            <w:bCs/>
                            <w:color w:val="FFFFFF" w:themeColor="background1"/>
                          </w:rPr>
                          <w:t>)</w:t>
                        </w:r>
                      </w:p>
                    </w:tc>
                  </w:tr>
                  <w:tr w:rsidR="005678B2" w:rsidRPr="007E6AC4" w14:paraId="60F0E740" w14:textId="77777777" w:rsidTr="005678B2">
                    <w:trPr>
                      <w:trHeight w:val="298"/>
                    </w:trPr>
                    <w:tc>
                      <w:tcPr>
                        <w:tcW w:w="941" w:type="pct"/>
                        <w:vMerge w:val="restart"/>
                        <w:noWrap/>
                        <w:hideMark/>
                      </w:tcPr>
                      <w:p w14:paraId="4061F45C" w14:textId="77777777" w:rsidR="005678B2" w:rsidRPr="008D0F42" w:rsidRDefault="005678B2" w:rsidP="005678B2">
                        <w:pPr>
                          <w:pStyle w:val="TableText"/>
                        </w:pPr>
                        <w:r w:rsidRPr="008D0F42">
                          <w:t>Circumstances</w:t>
                        </w:r>
                      </w:p>
                    </w:tc>
                    <w:tc>
                      <w:tcPr>
                        <w:tcW w:w="2121" w:type="pct"/>
                      </w:tcPr>
                      <w:p w14:paraId="08E8343C" w14:textId="77777777" w:rsidR="005678B2" w:rsidRPr="008D0F42" w:rsidRDefault="005678B2" w:rsidP="005678B2">
                        <w:pPr>
                          <w:pStyle w:val="TableText"/>
                        </w:pPr>
                        <w:r w:rsidRPr="008D0F42">
                          <w:t>Family functioning</w:t>
                        </w:r>
                      </w:p>
                    </w:tc>
                    <w:tc>
                      <w:tcPr>
                        <w:tcW w:w="1938" w:type="pct"/>
                        <w:noWrap/>
                        <w:hideMark/>
                      </w:tcPr>
                      <w:p w14:paraId="4F2887DC" w14:textId="1D4938E7" w:rsidR="005678B2" w:rsidRPr="007E6AC4" w:rsidRDefault="005678B2" w:rsidP="005678B2">
                        <w:pPr>
                          <w:pStyle w:val="TableText"/>
                        </w:pPr>
                        <w:r w:rsidRPr="009757D9">
                          <w:t>51.3% (n=1</w:t>
                        </w:r>
                        <w:r>
                          <w:t>,</w:t>
                        </w:r>
                        <w:r w:rsidRPr="009757D9">
                          <w:t>309)</w:t>
                        </w:r>
                      </w:p>
                    </w:tc>
                  </w:tr>
                  <w:tr w:rsidR="005678B2" w:rsidRPr="007E6AC4" w14:paraId="0FA0C68F" w14:textId="77777777" w:rsidTr="005678B2">
                    <w:trPr>
                      <w:trHeight w:val="298"/>
                    </w:trPr>
                    <w:tc>
                      <w:tcPr>
                        <w:tcW w:w="941" w:type="pct"/>
                        <w:vMerge/>
                        <w:noWrap/>
                      </w:tcPr>
                      <w:p w14:paraId="14E46469" w14:textId="77777777" w:rsidR="005678B2" w:rsidRPr="008D0F42" w:rsidRDefault="005678B2" w:rsidP="005678B2">
                        <w:pPr>
                          <w:pStyle w:val="TableText"/>
                        </w:pPr>
                      </w:p>
                    </w:tc>
                    <w:tc>
                      <w:tcPr>
                        <w:tcW w:w="2121" w:type="pct"/>
                      </w:tcPr>
                      <w:p w14:paraId="18ECC1AD" w14:textId="77777777" w:rsidR="005678B2" w:rsidRPr="008D0F42" w:rsidRDefault="005678B2" w:rsidP="005678B2">
                        <w:pPr>
                          <w:pStyle w:val="TableText"/>
                        </w:pPr>
                        <w:r w:rsidRPr="3DEE28EC">
                          <w:rPr>
                            <w:lang w:val="en-NZ"/>
                          </w:rPr>
                          <w:t>Mental health, wellbeing and self-care</w:t>
                        </w:r>
                      </w:p>
                    </w:tc>
                    <w:tc>
                      <w:tcPr>
                        <w:tcW w:w="1938" w:type="pct"/>
                        <w:noWrap/>
                      </w:tcPr>
                      <w:p w14:paraId="4DCEBFCC" w14:textId="1E804398" w:rsidR="005678B2" w:rsidRPr="007E6AC4" w:rsidRDefault="005678B2" w:rsidP="005678B2">
                        <w:pPr>
                          <w:pStyle w:val="TableText"/>
                        </w:pPr>
                        <w:r w:rsidRPr="009757D9">
                          <w:t>51.8% (n=1</w:t>
                        </w:r>
                        <w:r>
                          <w:t>,</w:t>
                        </w:r>
                        <w:r w:rsidRPr="009757D9">
                          <w:t>091)</w:t>
                        </w:r>
                      </w:p>
                    </w:tc>
                  </w:tr>
                  <w:tr w:rsidR="005678B2" w:rsidRPr="007E6AC4" w14:paraId="4F62CEC2" w14:textId="77777777" w:rsidTr="005678B2">
                    <w:trPr>
                      <w:trHeight w:val="298"/>
                    </w:trPr>
                    <w:tc>
                      <w:tcPr>
                        <w:tcW w:w="941" w:type="pct"/>
                        <w:vMerge/>
                        <w:noWrap/>
                      </w:tcPr>
                      <w:p w14:paraId="25EE2070" w14:textId="77777777" w:rsidR="005678B2" w:rsidRPr="008D0F42" w:rsidRDefault="005678B2" w:rsidP="005678B2">
                        <w:pPr>
                          <w:pStyle w:val="TableText"/>
                        </w:pPr>
                      </w:p>
                    </w:tc>
                    <w:tc>
                      <w:tcPr>
                        <w:tcW w:w="2121" w:type="pct"/>
                      </w:tcPr>
                      <w:p w14:paraId="3B5F1CEA" w14:textId="77777777" w:rsidR="005678B2" w:rsidRPr="008D0F42" w:rsidRDefault="005678B2" w:rsidP="005678B2">
                        <w:pPr>
                          <w:pStyle w:val="TableText"/>
                        </w:pPr>
                        <w:r w:rsidRPr="008D0F42">
                          <w:t>Personal and family safety</w:t>
                        </w:r>
                      </w:p>
                    </w:tc>
                    <w:tc>
                      <w:tcPr>
                        <w:tcW w:w="1938" w:type="pct"/>
                        <w:noWrap/>
                      </w:tcPr>
                      <w:p w14:paraId="4AE507A3" w14:textId="3792DA56" w:rsidR="005678B2" w:rsidRPr="007E6AC4" w:rsidRDefault="005678B2" w:rsidP="005678B2">
                        <w:pPr>
                          <w:pStyle w:val="TableText"/>
                        </w:pPr>
                        <w:r w:rsidRPr="009757D9">
                          <w:t>46.9% (n=665)</w:t>
                        </w:r>
                      </w:p>
                    </w:tc>
                  </w:tr>
                  <w:tr w:rsidR="005678B2" w:rsidRPr="007E6AC4" w14:paraId="27A069E5" w14:textId="77777777" w:rsidTr="005678B2">
                    <w:trPr>
                      <w:trHeight w:val="298"/>
                    </w:trPr>
                    <w:tc>
                      <w:tcPr>
                        <w:tcW w:w="941" w:type="pct"/>
                        <w:vMerge w:val="restart"/>
                        <w:noWrap/>
                      </w:tcPr>
                      <w:p w14:paraId="1CA2BA73" w14:textId="77777777" w:rsidR="005678B2" w:rsidRPr="008D0F42" w:rsidRDefault="005678B2" w:rsidP="005678B2">
                        <w:pPr>
                          <w:pStyle w:val="TableText"/>
                        </w:pPr>
                        <w:r w:rsidRPr="008D0F42">
                          <w:t>Goals</w:t>
                        </w:r>
                      </w:p>
                    </w:tc>
                    <w:tc>
                      <w:tcPr>
                        <w:tcW w:w="2121" w:type="pct"/>
                      </w:tcPr>
                      <w:p w14:paraId="29D79CAE" w14:textId="77777777" w:rsidR="005678B2" w:rsidRPr="008D0F42" w:rsidRDefault="005678B2" w:rsidP="005678B2">
                        <w:pPr>
                          <w:pStyle w:val="TableText"/>
                        </w:pPr>
                        <w:r w:rsidRPr="00D63E8D">
                          <w:t>Changed behaviours</w:t>
                        </w:r>
                      </w:p>
                    </w:tc>
                    <w:tc>
                      <w:tcPr>
                        <w:tcW w:w="1938" w:type="pct"/>
                        <w:noWrap/>
                      </w:tcPr>
                      <w:p w14:paraId="4FA27CF4" w14:textId="7940C417" w:rsidR="005678B2" w:rsidRPr="007E6AC4" w:rsidRDefault="005678B2" w:rsidP="005678B2">
                        <w:pPr>
                          <w:pStyle w:val="TableText"/>
                        </w:pPr>
                        <w:r w:rsidRPr="009757D9">
                          <w:t>59.3% (n=871)</w:t>
                        </w:r>
                      </w:p>
                    </w:tc>
                  </w:tr>
                  <w:tr w:rsidR="005678B2" w:rsidRPr="007E6AC4" w14:paraId="45533020" w14:textId="77777777" w:rsidTr="005678B2">
                    <w:trPr>
                      <w:trHeight w:val="298"/>
                    </w:trPr>
                    <w:tc>
                      <w:tcPr>
                        <w:tcW w:w="941" w:type="pct"/>
                        <w:vMerge/>
                        <w:noWrap/>
                      </w:tcPr>
                      <w:p w14:paraId="500B3415" w14:textId="77777777" w:rsidR="005678B2" w:rsidRPr="008D0F42" w:rsidRDefault="005678B2" w:rsidP="005678B2">
                        <w:pPr>
                          <w:pStyle w:val="TableText"/>
                        </w:pPr>
                      </w:p>
                    </w:tc>
                    <w:tc>
                      <w:tcPr>
                        <w:tcW w:w="2121" w:type="pct"/>
                      </w:tcPr>
                      <w:p w14:paraId="58D9E4D1" w14:textId="77777777" w:rsidR="005678B2" w:rsidRPr="008D0F42" w:rsidRDefault="005678B2" w:rsidP="005678B2">
                        <w:pPr>
                          <w:pStyle w:val="TableText"/>
                        </w:pPr>
                        <w:r w:rsidRPr="00D63E8D">
                          <w:t>Changed impact of immediate crisis</w:t>
                        </w:r>
                      </w:p>
                    </w:tc>
                    <w:tc>
                      <w:tcPr>
                        <w:tcW w:w="1938" w:type="pct"/>
                        <w:noWrap/>
                      </w:tcPr>
                      <w:p w14:paraId="3A2C01F0" w14:textId="209E58D2" w:rsidR="005678B2" w:rsidRPr="007E6AC4" w:rsidRDefault="005678B2" w:rsidP="005678B2">
                        <w:pPr>
                          <w:pStyle w:val="TableText"/>
                        </w:pPr>
                        <w:r w:rsidRPr="009757D9">
                          <w:t>60.4% (n=395)</w:t>
                        </w:r>
                      </w:p>
                    </w:tc>
                  </w:tr>
                  <w:tr w:rsidR="005678B2" w:rsidRPr="007E6AC4" w14:paraId="56B941BE" w14:textId="77777777" w:rsidTr="005678B2">
                    <w:trPr>
                      <w:trHeight w:val="298"/>
                    </w:trPr>
                    <w:tc>
                      <w:tcPr>
                        <w:tcW w:w="941" w:type="pct"/>
                        <w:vMerge/>
                        <w:noWrap/>
                      </w:tcPr>
                      <w:p w14:paraId="236A1099" w14:textId="77777777" w:rsidR="005678B2" w:rsidRPr="008D0F42" w:rsidRDefault="005678B2" w:rsidP="005678B2">
                        <w:pPr>
                          <w:pStyle w:val="TableText"/>
                        </w:pPr>
                      </w:p>
                    </w:tc>
                    <w:tc>
                      <w:tcPr>
                        <w:tcW w:w="2121" w:type="pct"/>
                      </w:tcPr>
                      <w:p w14:paraId="370B704F" w14:textId="77777777" w:rsidR="005678B2" w:rsidRPr="008D0F42" w:rsidRDefault="005678B2" w:rsidP="005678B2">
                        <w:pPr>
                          <w:pStyle w:val="TableText"/>
                        </w:pPr>
                        <w:r w:rsidRPr="00D63E8D">
                          <w:t>Changed knowledge and access to information</w:t>
                        </w:r>
                      </w:p>
                    </w:tc>
                    <w:tc>
                      <w:tcPr>
                        <w:tcW w:w="1938" w:type="pct"/>
                        <w:noWrap/>
                      </w:tcPr>
                      <w:p w14:paraId="4CE05F6A" w14:textId="52B7F43B" w:rsidR="005678B2" w:rsidRPr="007E6AC4" w:rsidRDefault="005678B2" w:rsidP="005678B2">
                        <w:pPr>
                          <w:pStyle w:val="TableText"/>
                        </w:pPr>
                        <w:r w:rsidRPr="009757D9">
                          <w:t>69.8% (n=1</w:t>
                        </w:r>
                        <w:r>
                          <w:t>,</w:t>
                        </w:r>
                        <w:r w:rsidRPr="009757D9">
                          <w:t>442)</w:t>
                        </w:r>
                      </w:p>
                    </w:tc>
                  </w:tr>
                  <w:tr w:rsidR="005678B2" w:rsidRPr="007E6AC4" w14:paraId="39C8C12B" w14:textId="77777777" w:rsidTr="005678B2">
                    <w:trPr>
                      <w:trHeight w:val="298"/>
                    </w:trPr>
                    <w:tc>
                      <w:tcPr>
                        <w:tcW w:w="941" w:type="pct"/>
                        <w:vMerge/>
                        <w:noWrap/>
                      </w:tcPr>
                      <w:p w14:paraId="1C1C06DE" w14:textId="77777777" w:rsidR="005678B2" w:rsidRPr="008D0F42" w:rsidRDefault="005678B2" w:rsidP="005678B2">
                        <w:pPr>
                          <w:pStyle w:val="TableText"/>
                        </w:pPr>
                      </w:p>
                    </w:tc>
                    <w:tc>
                      <w:tcPr>
                        <w:tcW w:w="2121" w:type="pct"/>
                      </w:tcPr>
                      <w:p w14:paraId="7A403B40" w14:textId="77777777" w:rsidR="005678B2" w:rsidRPr="008D0F42" w:rsidRDefault="005678B2" w:rsidP="005678B2">
                        <w:pPr>
                          <w:pStyle w:val="TableText"/>
                        </w:pPr>
                        <w:r w:rsidRPr="00D63E8D">
                          <w:t>Changed skills</w:t>
                        </w:r>
                      </w:p>
                    </w:tc>
                    <w:tc>
                      <w:tcPr>
                        <w:tcW w:w="1938" w:type="pct"/>
                        <w:noWrap/>
                      </w:tcPr>
                      <w:p w14:paraId="0D2E06D5" w14:textId="540F8925" w:rsidR="005678B2" w:rsidRPr="007E6AC4" w:rsidRDefault="005678B2" w:rsidP="005678B2">
                        <w:pPr>
                          <w:pStyle w:val="TableText"/>
                        </w:pPr>
                        <w:r w:rsidRPr="009757D9">
                          <w:t>62.8% (n=1</w:t>
                        </w:r>
                        <w:r>
                          <w:t>,</w:t>
                        </w:r>
                        <w:r w:rsidRPr="009757D9">
                          <w:t>073)</w:t>
                        </w:r>
                      </w:p>
                    </w:tc>
                  </w:tr>
                  <w:tr w:rsidR="005678B2" w:rsidRPr="007E6AC4" w14:paraId="1E8C6CEE" w14:textId="77777777" w:rsidTr="005678B2">
                    <w:trPr>
                      <w:trHeight w:val="298"/>
                    </w:trPr>
                    <w:tc>
                      <w:tcPr>
                        <w:tcW w:w="941" w:type="pct"/>
                        <w:vMerge/>
                        <w:noWrap/>
                      </w:tcPr>
                      <w:p w14:paraId="65A75367" w14:textId="77777777" w:rsidR="005678B2" w:rsidRPr="008D0F42" w:rsidRDefault="005678B2" w:rsidP="005678B2">
                        <w:pPr>
                          <w:pStyle w:val="TableText"/>
                        </w:pPr>
                      </w:p>
                    </w:tc>
                    <w:tc>
                      <w:tcPr>
                        <w:tcW w:w="2121" w:type="pct"/>
                      </w:tcPr>
                      <w:p w14:paraId="5F378CE1" w14:textId="77777777" w:rsidR="005678B2" w:rsidRPr="008D0F42" w:rsidRDefault="005678B2" w:rsidP="005678B2">
                        <w:pPr>
                          <w:pStyle w:val="TableText"/>
                        </w:pPr>
                        <w:r w:rsidRPr="03FAA4E2">
                          <w:rPr>
                            <w:lang w:val="en-NZ"/>
                          </w:rPr>
                          <w:t>Empowerment, choice and control to make own decisions</w:t>
                        </w:r>
                      </w:p>
                    </w:tc>
                    <w:tc>
                      <w:tcPr>
                        <w:tcW w:w="1938" w:type="pct"/>
                        <w:noWrap/>
                      </w:tcPr>
                      <w:p w14:paraId="7124743E" w14:textId="265BF11C" w:rsidR="005678B2" w:rsidRPr="007E6AC4" w:rsidRDefault="005678B2" w:rsidP="005678B2">
                        <w:pPr>
                          <w:pStyle w:val="TableText"/>
                        </w:pPr>
                        <w:r w:rsidRPr="009757D9">
                          <w:t>60.0% (n=786)</w:t>
                        </w:r>
                      </w:p>
                    </w:tc>
                  </w:tr>
                  <w:tr w:rsidR="005678B2" w:rsidRPr="007E6AC4" w14:paraId="19FFA9E6" w14:textId="77777777" w:rsidTr="005678B2">
                    <w:trPr>
                      <w:trHeight w:val="298"/>
                    </w:trPr>
                    <w:tc>
                      <w:tcPr>
                        <w:tcW w:w="941" w:type="pct"/>
                        <w:vMerge/>
                        <w:noWrap/>
                      </w:tcPr>
                      <w:p w14:paraId="0C3BAA6D" w14:textId="77777777" w:rsidR="005678B2" w:rsidRPr="008D0F42" w:rsidRDefault="005678B2" w:rsidP="005678B2">
                        <w:pPr>
                          <w:pStyle w:val="TableText"/>
                        </w:pPr>
                      </w:p>
                    </w:tc>
                    <w:tc>
                      <w:tcPr>
                        <w:tcW w:w="2121" w:type="pct"/>
                      </w:tcPr>
                      <w:p w14:paraId="6805C168" w14:textId="77777777" w:rsidR="005678B2" w:rsidRPr="008D0F42" w:rsidRDefault="005678B2" w:rsidP="005678B2">
                        <w:pPr>
                          <w:pStyle w:val="TableText"/>
                        </w:pPr>
                        <w:r w:rsidRPr="00D63E8D">
                          <w:t>Engagement with relevant support services</w:t>
                        </w:r>
                      </w:p>
                    </w:tc>
                    <w:tc>
                      <w:tcPr>
                        <w:tcW w:w="1938" w:type="pct"/>
                        <w:noWrap/>
                      </w:tcPr>
                      <w:p w14:paraId="3FD99A42" w14:textId="42190852" w:rsidR="005678B2" w:rsidRPr="007E6AC4" w:rsidRDefault="005678B2" w:rsidP="005678B2">
                        <w:pPr>
                          <w:pStyle w:val="TableText"/>
                        </w:pPr>
                        <w:r w:rsidRPr="009757D9">
                          <w:t>58.6% (n=569)</w:t>
                        </w:r>
                      </w:p>
                    </w:tc>
                  </w:tr>
                </w:tbl>
                <w:p w14:paraId="0025A0D2" w14:textId="77777777" w:rsidR="00340477" w:rsidRDefault="00340477" w:rsidP="00340477">
                  <w:pPr>
                    <w:pStyle w:val="Text"/>
                    <w:rPr>
                      <w:i/>
                      <w:sz w:val="20"/>
                      <w:szCs w:val="18"/>
                      <w:lang w:val="en-US"/>
                    </w:rPr>
                  </w:pPr>
                  <w:r w:rsidRPr="008E1B83">
                    <w:rPr>
                      <w:i/>
                      <w:sz w:val="20"/>
                      <w:szCs w:val="18"/>
                      <w:lang w:val="en-US"/>
                    </w:rPr>
                    <w:t>Source: DEX-SCORE data</w:t>
                  </w:r>
                </w:p>
                <w:p w14:paraId="6F5963BE" w14:textId="77777777" w:rsidR="00B57A6C" w:rsidRDefault="00B57A6C" w:rsidP="00253034">
                  <w:pPr>
                    <w:pStyle w:val="TableFigure-Header"/>
                    <w:spacing w:line="276" w:lineRule="auto"/>
                    <w:jc w:val="both"/>
                    <w:rPr>
                      <w:lang w:val="en-NZ"/>
                    </w:rPr>
                  </w:pPr>
                </w:p>
                <w:p w14:paraId="5B66CB08" w14:textId="5D5CB259" w:rsidR="00EA36E8" w:rsidRDefault="00EA36E8" w:rsidP="00253034">
                  <w:pPr>
                    <w:pStyle w:val="TableFigure-Header"/>
                    <w:spacing w:line="276" w:lineRule="auto"/>
                    <w:jc w:val="both"/>
                    <w:rPr>
                      <w:i/>
                      <w:sz w:val="20"/>
                    </w:rPr>
                  </w:pPr>
                  <w:r w:rsidRPr="480DF3B0">
                    <w:rPr>
                      <w:lang w:val="en-NZ"/>
                    </w:rPr>
                    <w:t xml:space="preserve">Table </w:t>
                  </w:r>
                  <w:r w:rsidR="008D2566">
                    <w:fldChar w:fldCharType="begin"/>
                  </w:r>
                  <w:r w:rsidR="008D2566">
                    <w:instrText xml:space="preserve"> SEQ Table \* ARABIC </w:instrText>
                  </w:r>
                  <w:r w:rsidR="008D2566">
                    <w:fldChar w:fldCharType="separate"/>
                  </w:r>
                  <w:r w:rsidR="008D2566">
                    <w:rPr>
                      <w:noProof/>
                    </w:rPr>
                    <w:t>41</w:t>
                  </w:r>
                  <w:r w:rsidR="008D2566">
                    <w:rPr>
                      <w:noProof/>
                    </w:rPr>
                    <w:fldChar w:fldCharType="end"/>
                  </w:r>
                  <w:r w:rsidRPr="480DF3B0">
                    <w:rPr>
                      <w:lang w:val="en-NZ"/>
                    </w:rPr>
                    <w:t xml:space="preserve">: Percentage of </w:t>
                  </w:r>
                  <w:r w:rsidR="00CF38AB" w:rsidRPr="480DF3B0">
                    <w:rPr>
                      <w:lang w:val="en-NZ"/>
                    </w:rPr>
                    <w:t>service use</w:t>
                  </w:r>
                  <w:r w:rsidR="00ED2240" w:rsidRPr="480DF3B0">
                    <w:rPr>
                      <w:lang w:val="en-NZ"/>
                    </w:rPr>
                    <w:t>r</w:t>
                  </w:r>
                  <w:r w:rsidR="00CF38AB" w:rsidRPr="480DF3B0">
                    <w:rPr>
                      <w:lang w:val="en-NZ"/>
                    </w:rPr>
                    <w:t xml:space="preserve">s with </w:t>
                  </w:r>
                  <w:r w:rsidRPr="480DF3B0">
                    <w:rPr>
                      <w:lang w:val="en-NZ"/>
                    </w:rPr>
                    <w:t xml:space="preserve">positive SCORE change for specific Circumstance and Goal domains, non-CALD FaRS service users, July 2021 to </w:t>
                  </w:r>
                  <w:r w:rsidR="63BAEA78" w:rsidRPr="3C4FDFBF">
                    <w:rPr>
                      <w:lang w:val="en-NZ"/>
                    </w:rPr>
                    <w:t xml:space="preserve">June </w:t>
                  </w:r>
                  <w:r w:rsidRPr="480DF3B0">
                    <w:rPr>
                      <w:lang w:val="en-NZ"/>
                    </w:rPr>
                    <w:t>2024</w:t>
                  </w:r>
                </w:p>
                <w:tbl>
                  <w:tblPr>
                    <w:tblStyle w:val="TableGrid3"/>
                    <w:tblW w:w="5000" w:type="pct"/>
                    <w:tblLayout w:type="fixed"/>
                    <w:tblLook w:val="04A0" w:firstRow="1" w:lastRow="0" w:firstColumn="1" w:lastColumn="0" w:noHBand="0" w:noVBand="1"/>
                  </w:tblPr>
                  <w:tblGrid>
                    <w:gridCol w:w="1697"/>
                    <w:gridCol w:w="3826"/>
                    <w:gridCol w:w="3496"/>
                  </w:tblGrid>
                  <w:tr w:rsidR="00340477" w:rsidRPr="00036888" w14:paraId="11A22277" w14:textId="77777777" w:rsidTr="001267B9">
                    <w:trPr>
                      <w:trHeight w:val="298"/>
                    </w:trPr>
                    <w:tc>
                      <w:tcPr>
                        <w:tcW w:w="941" w:type="pct"/>
                        <w:shd w:val="clear" w:color="auto" w:fill="007E00" w:themeFill="accent3"/>
                        <w:noWrap/>
                        <w:hideMark/>
                      </w:tcPr>
                      <w:p w14:paraId="4A3D32AA" w14:textId="77777777" w:rsidR="00340477" w:rsidRPr="00F6254E" w:rsidRDefault="00340477" w:rsidP="001267B9">
                        <w:pPr>
                          <w:pStyle w:val="TableText"/>
                          <w:rPr>
                            <w:b/>
                            <w:bCs/>
                            <w:color w:val="FFFFFF" w:themeColor="background1"/>
                          </w:rPr>
                        </w:pPr>
                        <w:r w:rsidRPr="00F6254E">
                          <w:rPr>
                            <w:b/>
                            <w:bCs/>
                            <w:color w:val="FFFFFF" w:themeColor="background1"/>
                          </w:rPr>
                          <w:t>Outcome Type</w:t>
                        </w:r>
                      </w:p>
                    </w:tc>
                    <w:tc>
                      <w:tcPr>
                        <w:tcW w:w="2121" w:type="pct"/>
                        <w:shd w:val="clear" w:color="auto" w:fill="007E00" w:themeFill="accent3"/>
                      </w:tcPr>
                      <w:p w14:paraId="28CD8790" w14:textId="77777777" w:rsidR="00340477" w:rsidRDefault="00340477" w:rsidP="001267B9">
                        <w:pPr>
                          <w:pStyle w:val="TableText"/>
                          <w:rPr>
                            <w:b/>
                            <w:bCs/>
                            <w:color w:val="FFFFFF" w:themeColor="background1"/>
                          </w:rPr>
                        </w:pPr>
                        <w:r>
                          <w:rPr>
                            <w:b/>
                            <w:bCs/>
                            <w:color w:val="FFFFFF" w:themeColor="background1"/>
                          </w:rPr>
                          <w:t>Domain description</w:t>
                        </w:r>
                      </w:p>
                    </w:tc>
                    <w:tc>
                      <w:tcPr>
                        <w:tcW w:w="1938" w:type="pct"/>
                        <w:shd w:val="clear" w:color="auto" w:fill="007E00" w:themeFill="accent3"/>
                        <w:noWrap/>
                        <w:hideMark/>
                      </w:tcPr>
                      <w:p w14:paraId="6FD6770D" w14:textId="77777777" w:rsidR="00340477" w:rsidRPr="00F6254E" w:rsidRDefault="00340477" w:rsidP="001267B9">
                        <w:pPr>
                          <w:pStyle w:val="TableText"/>
                          <w:rPr>
                            <w:b/>
                            <w:bCs/>
                            <w:color w:val="FFFFFF" w:themeColor="background1"/>
                          </w:rPr>
                        </w:pPr>
                        <w:r>
                          <w:rPr>
                            <w:b/>
                            <w:bCs/>
                            <w:color w:val="FFFFFF" w:themeColor="background1"/>
                          </w:rPr>
                          <w:t xml:space="preserve">Service users </w:t>
                        </w:r>
                        <w:r w:rsidRPr="00F6254E">
                          <w:rPr>
                            <w:b/>
                            <w:bCs/>
                            <w:color w:val="FFFFFF" w:themeColor="background1"/>
                          </w:rPr>
                          <w:t>with positive mean change (%, n</w:t>
                        </w:r>
                        <w:r>
                          <w:rPr>
                            <w:b/>
                            <w:bCs/>
                            <w:color w:val="FFFFFF" w:themeColor="background1"/>
                          </w:rPr>
                          <w:t>=</w:t>
                        </w:r>
                        <w:r w:rsidRPr="00F6254E">
                          <w:rPr>
                            <w:b/>
                            <w:bCs/>
                            <w:color w:val="FFFFFF" w:themeColor="background1"/>
                          </w:rPr>
                          <w:t>)</w:t>
                        </w:r>
                      </w:p>
                    </w:tc>
                  </w:tr>
                  <w:tr w:rsidR="00C030DC" w:rsidRPr="00036888" w14:paraId="42CE1123" w14:textId="77777777" w:rsidTr="00321BC5">
                    <w:trPr>
                      <w:trHeight w:val="298"/>
                    </w:trPr>
                    <w:tc>
                      <w:tcPr>
                        <w:tcW w:w="941" w:type="pct"/>
                        <w:vMerge w:val="restart"/>
                        <w:noWrap/>
                        <w:hideMark/>
                      </w:tcPr>
                      <w:p w14:paraId="1410E2B6" w14:textId="77777777" w:rsidR="00C030DC" w:rsidRPr="008D0F42" w:rsidRDefault="00C030DC" w:rsidP="00C030DC">
                        <w:pPr>
                          <w:pStyle w:val="TableText"/>
                        </w:pPr>
                        <w:r w:rsidRPr="008D0F42">
                          <w:t>Circumstances</w:t>
                        </w:r>
                      </w:p>
                    </w:tc>
                    <w:tc>
                      <w:tcPr>
                        <w:tcW w:w="2121" w:type="pct"/>
                      </w:tcPr>
                      <w:p w14:paraId="66D60B6C" w14:textId="77777777" w:rsidR="00C030DC" w:rsidRPr="008D0F42" w:rsidRDefault="00C030DC" w:rsidP="00C030DC">
                        <w:pPr>
                          <w:pStyle w:val="TableText"/>
                        </w:pPr>
                        <w:r w:rsidRPr="008D0F42">
                          <w:t>Family functioning</w:t>
                        </w:r>
                      </w:p>
                    </w:tc>
                    <w:tc>
                      <w:tcPr>
                        <w:tcW w:w="1938" w:type="pct"/>
                        <w:noWrap/>
                        <w:hideMark/>
                      </w:tcPr>
                      <w:p w14:paraId="3C812DFD" w14:textId="6723275B" w:rsidR="00C030DC" w:rsidRPr="008D0F42" w:rsidRDefault="00C030DC" w:rsidP="00C030DC">
                        <w:pPr>
                          <w:pStyle w:val="TableText"/>
                        </w:pPr>
                        <w:r w:rsidRPr="0007268B">
                          <w:t>56.0% (n=21</w:t>
                        </w:r>
                        <w:r>
                          <w:t>,</w:t>
                        </w:r>
                        <w:r w:rsidRPr="0007268B">
                          <w:t>522)</w:t>
                        </w:r>
                      </w:p>
                    </w:tc>
                  </w:tr>
                  <w:tr w:rsidR="00C030DC" w:rsidRPr="00036888" w14:paraId="0CCE6100" w14:textId="77777777" w:rsidTr="00321BC5">
                    <w:trPr>
                      <w:trHeight w:val="298"/>
                    </w:trPr>
                    <w:tc>
                      <w:tcPr>
                        <w:tcW w:w="941" w:type="pct"/>
                        <w:vMerge/>
                        <w:noWrap/>
                      </w:tcPr>
                      <w:p w14:paraId="76743777" w14:textId="77777777" w:rsidR="00C030DC" w:rsidRPr="008D0F42" w:rsidRDefault="00C030DC" w:rsidP="00C030DC">
                        <w:pPr>
                          <w:pStyle w:val="TableText"/>
                        </w:pPr>
                      </w:p>
                    </w:tc>
                    <w:tc>
                      <w:tcPr>
                        <w:tcW w:w="2121" w:type="pct"/>
                      </w:tcPr>
                      <w:p w14:paraId="6380C292" w14:textId="77777777" w:rsidR="00C030DC" w:rsidRPr="008D0F42" w:rsidRDefault="00C030DC" w:rsidP="00C030DC">
                        <w:pPr>
                          <w:pStyle w:val="TableText"/>
                        </w:pPr>
                        <w:r w:rsidRPr="3DEE28EC">
                          <w:rPr>
                            <w:lang w:val="en-NZ"/>
                          </w:rPr>
                          <w:t>Mental health, wellbeing and self-care</w:t>
                        </w:r>
                      </w:p>
                    </w:tc>
                    <w:tc>
                      <w:tcPr>
                        <w:tcW w:w="1938" w:type="pct"/>
                        <w:noWrap/>
                      </w:tcPr>
                      <w:p w14:paraId="5DB53C12" w14:textId="7534DAB9" w:rsidR="00C030DC" w:rsidRPr="008D0F42" w:rsidRDefault="00C030DC" w:rsidP="00C030DC">
                        <w:pPr>
                          <w:pStyle w:val="TableText"/>
                        </w:pPr>
                        <w:r w:rsidRPr="0007268B">
                          <w:t>56.1% (n=19</w:t>
                        </w:r>
                        <w:r>
                          <w:t>,</w:t>
                        </w:r>
                        <w:r w:rsidRPr="0007268B">
                          <w:t>900)</w:t>
                        </w:r>
                      </w:p>
                    </w:tc>
                  </w:tr>
                  <w:tr w:rsidR="00C030DC" w:rsidRPr="00036888" w14:paraId="693A3C52" w14:textId="77777777" w:rsidTr="00321BC5">
                    <w:trPr>
                      <w:trHeight w:val="298"/>
                    </w:trPr>
                    <w:tc>
                      <w:tcPr>
                        <w:tcW w:w="941" w:type="pct"/>
                        <w:vMerge/>
                        <w:noWrap/>
                      </w:tcPr>
                      <w:p w14:paraId="646BE409" w14:textId="77777777" w:rsidR="00C030DC" w:rsidRPr="008D0F42" w:rsidRDefault="00C030DC" w:rsidP="00C030DC">
                        <w:pPr>
                          <w:pStyle w:val="TableText"/>
                        </w:pPr>
                      </w:p>
                    </w:tc>
                    <w:tc>
                      <w:tcPr>
                        <w:tcW w:w="2121" w:type="pct"/>
                      </w:tcPr>
                      <w:p w14:paraId="1A181F76" w14:textId="77777777" w:rsidR="00C030DC" w:rsidRPr="008D0F42" w:rsidRDefault="00C030DC" w:rsidP="00C030DC">
                        <w:pPr>
                          <w:pStyle w:val="TableText"/>
                        </w:pPr>
                        <w:r w:rsidRPr="008D0F42">
                          <w:t>Personal and family safety</w:t>
                        </w:r>
                      </w:p>
                    </w:tc>
                    <w:tc>
                      <w:tcPr>
                        <w:tcW w:w="1938" w:type="pct"/>
                        <w:noWrap/>
                      </w:tcPr>
                      <w:p w14:paraId="2A7BC4D0" w14:textId="749B1D71" w:rsidR="00C030DC" w:rsidRPr="008D0F42" w:rsidRDefault="00C030DC" w:rsidP="00C030DC">
                        <w:pPr>
                          <w:pStyle w:val="TableText"/>
                        </w:pPr>
                        <w:r w:rsidRPr="0007268B">
                          <w:t>44.0% (n=10</w:t>
                        </w:r>
                        <w:r>
                          <w:t>,</w:t>
                        </w:r>
                        <w:r w:rsidRPr="0007268B">
                          <w:t>501)</w:t>
                        </w:r>
                      </w:p>
                    </w:tc>
                  </w:tr>
                  <w:tr w:rsidR="00C030DC" w:rsidRPr="00036888" w14:paraId="00D66C2F" w14:textId="77777777" w:rsidTr="00321BC5">
                    <w:trPr>
                      <w:trHeight w:val="298"/>
                    </w:trPr>
                    <w:tc>
                      <w:tcPr>
                        <w:tcW w:w="941" w:type="pct"/>
                        <w:vMerge w:val="restart"/>
                        <w:noWrap/>
                      </w:tcPr>
                      <w:p w14:paraId="7A29110B" w14:textId="77777777" w:rsidR="00C030DC" w:rsidRPr="008D0F42" w:rsidRDefault="00C030DC" w:rsidP="00C030DC">
                        <w:pPr>
                          <w:pStyle w:val="TableText"/>
                        </w:pPr>
                        <w:r w:rsidRPr="008D0F42">
                          <w:t>Goals</w:t>
                        </w:r>
                      </w:p>
                    </w:tc>
                    <w:tc>
                      <w:tcPr>
                        <w:tcW w:w="2121" w:type="pct"/>
                      </w:tcPr>
                      <w:p w14:paraId="147FCB7C" w14:textId="77777777" w:rsidR="00C030DC" w:rsidRPr="008D0F42" w:rsidRDefault="00C030DC" w:rsidP="00C030DC">
                        <w:pPr>
                          <w:pStyle w:val="TableText"/>
                        </w:pPr>
                        <w:r w:rsidRPr="00D63E8D">
                          <w:t>Changed behaviours</w:t>
                        </w:r>
                      </w:p>
                    </w:tc>
                    <w:tc>
                      <w:tcPr>
                        <w:tcW w:w="1938" w:type="pct"/>
                        <w:noWrap/>
                      </w:tcPr>
                      <w:p w14:paraId="05AE0A86" w14:textId="70B6FFD2" w:rsidR="00C030DC" w:rsidRPr="008D0F42" w:rsidRDefault="00C030DC" w:rsidP="00C030DC">
                        <w:pPr>
                          <w:pStyle w:val="TableText"/>
                        </w:pPr>
                        <w:r w:rsidRPr="0007268B">
                          <w:t>65.5% (n=16</w:t>
                        </w:r>
                        <w:r>
                          <w:t>,</w:t>
                        </w:r>
                        <w:r w:rsidRPr="0007268B">
                          <w:t>636)</w:t>
                        </w:r>
                      </w:p>
                    </w:tc>
                  </w:tr>
                  <w:tr w:rsidR="00C030DC" w:rsidRPr="00036888" w14:paraId="61C59487" w14:textId="77777777" w:rsidTr="00321BC5">
                    <w:trPr>
                      <w:trHeight w:val="298"/>
                    </w:trPr>
                    <w:tc>
                      <w:tcPr>
                        <w:tcW w:w="941" w:type="pct"/>
                        <w:vMerge/>
                        <w:noWrap/>
                      </w:tcPr>
                      <w:p w14:paraId="3D00EEB6" w14:textId="77777777" w:rsidR="00C030DC" w:rsidRPr="008D0F42" w:rsidRDefault="00C030DC" w:rsidP="00C030DC">
                        <w:pPr>
                          <w:pStyle w:val="TableText"/>
                        </w:pPr>
                      </w:p>
                    </w:tc>
                    <w:tc>
                      <w:tcPr>
                        <w:tcW w:w="2121" w:type="pct"/>
                      </w:tcPr>
                      <w:p w14:paraId="67D29954" w14:textId="77777777" w:rsidR="00C030DC" w:rsidRPr="008D0F42" w:rsidRDefault="00C030DC" w:rsidP="00C030DC">
                        <w:pPr>
                          <w:pStyle w:val="TableText"/>
                        </w:pPr>
                        <w:r w:rsidRPr="00D63E8D">
                          <w:t>Changed impact of immediate crisis</w:t>
                        </w:r>
                      </w:p>
                    </w:tc>
                    <w:tc>
                      <w:tcPr>
                        <w:tcW w:w="1938" w:type="pct"/>
                        <w:noWrap/>
                      </w:tcPr>
                      <w:p w14:paraId="15510F53" w14:textId="3B024AC6" w:rsidR="00C030DC" w:rsidRPr="008D0F42" w:rsidRDefault="00C030DC" w:rsidP="00C030DC">
                        <w:pPr>
                          <w:pStyle w:val="TableText"/>
                        </w:pPr>
                        <w:r w:rsidRPr="0007268B">
                          <w:t>65.9% (n=8</w:t>
                        </w:r>
                        <w:r>
                          <w:t>,</w:t>
                        </w:r>
                        <w:r w:rsidRPr="0007268B">
                          <w:t>332)</w:t>
                        </w:r>
                      </w:p>
                    </w:tc>
                  </w:tr>
                  <w:tr w:rsidR="00C030DC" w:rsidRPr="00036888" w14:paraId="754A60C0" w14:textId="77777777" w:rsidTr="00321BC5">
                    <w:trPr>
                      <w:trHeight w:val="298"/>
                    </w:trPr>
                    <w:tc>
                      <w:tcPr>
                        <w:tcW w:w="941" w:type="pct"/>
                        <w:vMerge/>
                        <w:noWrap/>
                      </w:tcPr>
                      <w:p w14:paraId="73DFF3C7" w14:textId="77777777" w:rsidR="00C030DC" w:rsidRPr="008D0F42" w:rsidRDefault="00C030DC" w:rsidP="00C030DC">
                        <w:pPr>
                          <w:pStyle w:val="TableText"/>
                        </w:pPr>
                      </w:p>
                    </w:tc>
                    <w:tc>
                      <w:tcPr>
                        <w:tcW w:w="2121" w:type="pct"/>
                      </w:tcPr>
                      <w:p w14:paraId="71981958" w14:textId="77777777" w:rsidR="00C030DC" w:rsidRPr="008D0F42" w:rsidRDefault="00C030DC" w:rsidP="00C030DC">
                        <w:pPr>
                          <w:pStyle w:val="TableText"/>
                        </w:pPr>
                        <w:r w:rsidRPr="00D63E8D">
                          <w:t>Changed knowledge and access to information</w:t>
                        </w:r>
                      </w:p>
                    </w:tc>
                    <w:tc>
                      <w:tcPr>
                        <w:tcW w:w="1938" w:type="pct"/>
                        <w:noWrap/>
                      </w:tcPr>
                      <w:p w14:paraId="73112F24" w14:textId="57280496" w:rsidR="00C030DC" w:rsidRPr="008D0F42" w:rsidRDefault="00C030DC" w:rsidP="00C030DC">
                        <w:pPr>
                          <w:pStyle w:val="TableText"/>
                        </w:pPr>
                        <w:r w:rsidRPr="0007268B">
                          <w:t>69.1% (n=19</w:t>
                        </w:r>
                        <w:r>
                          <w:t>,</w:t>
                        </w:r>
                        <w:r w:rsidRPr="0007268B">
                          <w:t>932)</w:t>
                        </w:r>
                      </w:p>
                    </w:tc>
                  </w:tr>
                  <w:tr w:rsidR="00C030DC" w:rsidRPr="00036888" w14:paraId="15D009B6" w14:textId="77777777" w:rsidTr="00321BC5">
                    <w:trPr>
                      <w:trHeight w:val="298"/>
                    </w:trPr>
                    <w:tc>
                      <w:tcPr>
                        <w:tcW w:w="941" w:type="pct"/>
                        <w:vMerge/>
                        <w:noWrap/>
                      </w:tcPr>
                      <w:p w14:paraId="416E9C83" w14:textId="77777777" w:rsidR="00C030DC" w:rsidRPr="008D0F42" w:rsidRDefault="00C030DC" w:rsidP="00C030DC">
                        <w:pPr>
                          <w:pStyle w:val="TableText"/>
                        </w:pPr>
                      </w:p>
                    </w:tc>
                    <w:tc>
                      <w:tcPr>
                        <w:tcW w:w="2121" w:type="pct"/>
                      </w:tcPr>
                      <w:p w14:paraId="4B7723AF" w14:textId="77777777" w:rsidR="00C030DC" w:rsidRPr="008D0F42" w:rsidRDefault="00C030DC" w:rsidP="00C030DC">
                        <w:pPr>
                          <w:pStyle w:val="TableText"/>
                        </w:pPr>
                        <w:r w:rsidRPr="00D63E8D">
                          <w:t>Changed skills</w:t>
                        </w:r>
                      </w:p>
                    </w:tc>
                    <w:tc>
                      <w:tcPr>
                        <w:tcW w:w="1938" w:type="pct"/>
                        <w:noWrap/>
                      </w:tcPr>
                      <w:p w14:paraId="34A0BF1A" w14:textId="5219A513" w:rsidR="00C030DC" w:rsidRPr="008D0F42" w:rsidRDefault="00C030DC" w:rsidP="00C030DC">
                        <w:pPr>
                          <w:pStyle w:val="TableText"/>
                        </w:pPr>
                        <w:r w:rsidRPr="0007268B">
                          <w:t>66.2% (n=20</w:t>
                        </w:r>
                        <w:r>
                          <w:t>,</w:t>
                        </w:r>
                        <w:r w:rsidRPr="0007268B">
                          <w:t>273)</w:t>
                        </w:r>
                      </w:p>
                    </w:tc>
                  </w:tr>
                  <w:tr w:rsidR="00C030DC" w:rsidRPr="00036888" w14:paraId="7497BA43" w14:textId="77777777" w:rsidTr="00321BC5">
                    <w:trPr>
                      <w:trHeight w:val="298"/>
                    </w:trPr>
                    <w:tc>
                      <w:tcPr>
                        <w:tcW w:w="941" w:type="pct"/>
                        <w:vMerge/>
                        <w:noWrap/>
                      </w:tcPr>
                      <w:p w14:paraId="6911469C" w14:textId="77777777" w:rsidR="00C030DC" w:rsidRPr="008D0F42" w:rsidRDefault="00C030DC" w:rsidP="00C030DC">
                        <w:pPr>
                          <w:pStyle w:val="TableText"/>
                        </w:pPr>
                      </w:p>
                    </w:tc>
                    <w:tc>
                      <w:tcPr>
                        <w:tcW w:w="2121" w:type="pct"/>
                      </w:tcPr>
                      <w:p w14:paraId="56CEB10D" w14:textId="77777777" w:rsidR="00C030DC" w:rsidRPr="008D0F42" w:rsidRDefault="00C030DC" w:rsidP="00C030DC">
                        <w:pPr>
                          <w:pStyle w:val="TableText"/>
                        </w:pPr>
                        <w:r w:rsidRPr="03FAA4E2">
                          <w:rPr>
                            <w:lang w:val="en-NZ"/>
                          </w:rPr>
                          <w:t>Empowerment, choice and control to make own decisions</w:t>
                        </w:r>
                      </w:p>
                    </w:tc>
                    <w:tc>
                      <w:tcPr>
                        <w:tcW w:w="1938" w:type="pct"/>
                        <w:noWrap/>
                      </w:tcPr>
                      <w:p w14:paraId="526B2C85" w14:textId="7A7754A9" w:rsidR="00C030DC" w:rsidRPr="008D0F42" w:rsidRDefault="00C030DC" w:rsidP="00C030DC">
                        <w:pPr>
                          <w:pStyle w:val="TableText"/>
                        </w:pPr>
                        <w:r w:rsidRPr="0007268B">
                          <w:t>64.4% (n=14</w:t>
                        </w:r>
                        <w:r>
                          <w:t>,</w:t>
                        </w:r>
                        <w:r w:rsidRPr="0007268B">
                          <w:t>923)</w:t>
                        </w:r>
                      </w:p>
                    </w:tc>
                  </w:tr>
                  <w:tr w:rsidR="00C030DC" w:rsidRPr="00036888" w14:paraId="2AC8324D" w14:textId="77777777" w:rsidTr="00321BC5">
                    <w:trPr>
                      <w:trHeight w:val="298"/>
                    </w:trPr>
                    <w:tc>
                      <w:tcPr>
                        <w:tcW w:w="941" w:type="pct"/>
                        <w:vMerge/>
                        <w:noWrap/>
                      </w:tcPr>
                      <w:p w14:paraId="7BD19545" w14:textId="77777777" w:rsidR="00C030DC" w:rsidRPr="008D0F42" w:rsidRDefault="00C030DC" w:rsidP="00C030DC">
                        <w:pPr>
                          <w:pStyle w:val="TableText"/>
                        </w:pPr>
                      </w:p>
                    </w:tc>
                    <w:tc>
                      <w:tcPr>
                        <w:tcW w:w="2121" w:type="pct"/>
                      </w:tcPr>
                      <w:p w14:paraId="32587EDD" w14:textId="77777777" w:rsidR="00C030DC" w:rsidRPr="008D0F42" w:rsidRDefault="00C030DC" w:rsidP="00C030DC">
                        <w:pPr>
                          <w:pStyle w:val="TableText"/>
                        </w:pPr>
                        <w:r w:rsidRPr="00D63E8D">
                          <w:t>Engagement with relevant support services</w:t>
                        </w:r>
                      </w:p>
                    </w:tc>
                    <w:tc>
                      <w:tcPr>
                        <w:tcW w:w="1938" w:type="pct"/>
                        <w:noWrap/>
                      </w:tcPr>
                      <w:p w14:paraId="0807B570" w14:textId="204BCCAB" w:rsidR="00C030DC" w:rsidRPr="008D0F42" w:rsidRDefault="00C030DC" w:rsidP="00C030DC">
                        <w:pPr>
                          <w:pStyle w:val="TableText"/>
                        </w:pPr>
                        <w:r w:rsidRPr="0007268B">
                          <w:t>59.7% (n=9</w:t>
                        </w:r>
                        <w:r>
                          <w:t>,</w:t>
                        </w:r>
                        <w:r w:rsidRPr="0007268B">
                          <w:t>573)</w:t>
                        </w:r>
                      </w:p>
                    </w:tc>
                  </w:tr>
                </w:tbl>
                <w:p w14:paraId="764C7E30" w14:textId="621ADDA3" w:rsidR="002C6434" w:rsidRDefault="00D377B0" w:rsidP="005674C7">
                  <w:pPr>
                    <w:pStyle w:val="Text"/>
                    <w:rPr>
                      <w:i/>
                      <w:sz w:val="20"/>
                      <w:szCs w:val="18"/>
                    </w:rPr>
                  </w:pPr>
                  <w:r>
                    <w:rPr>
                      <w:i/>
                      <w:sz w:val="20"/>
                      <w:szCs w:val="18"/>
                    </w:rPr>
                    <w:t xml:space="preserve">Source: DEX-SCORE data </w:t>
                  </w:r>
                </w:p>
                <w:p w14:paraId="0EE2A9AE" w14:textId="77777777" w:rsidR="00340477" w:rsidRDefault="00340477" w:rsidP="005674C7">
                  <w:pPr>
                    <w:pStyle w:val="Text"/>
                    <w:rPr>
                      <w:i/>
                      <w:sz w:val="20"/>
                      <w:szCs w:val="18"/>
                    </w:rPr>
                  </w:pPr>
                </w:p>
                <w:p w14:paraId="7C10E3B4" w14:textId="77777777" w:rsidR="00340477" w:rsidRDefault="00340477" w:rsidP="005674C7">
                  <w:pPr>
                    <w:pStyle w:val="Text"/>
                    <w:rPr>
                      <w:i/>
                      <w:sz w:val="20"/>
                      <w:szCs w:val="18"/>
                    </w:rPr>
                  </w:pPr>
                </w:p>
                <w:p w14:paraId="25E2A41C" w14:textId="72CA1818" w:rsidR="00340477" w:rsidRDefault="00340477" w:rsidP="005674C7">
                  <w:pPr>
                    <w:pStyle w:val="Text"/>
                    <w:rPr>
                      <w:i/>
                      <w:sz w:val="20"/>
                      <w:szCs w:val="18"/>
                    </w:rPr>
                  </w:pPr>
                </w:p>
                <w:p w14:paraId="7B8B516E" w14:textId="77777777" w:rsidR="0021789E" w:rsidRDefault="0021789E">
                  <w:pPr>
                    <w:rPr>
                      <w:rStyle w:val="Text-Bold"/>
                      <w:rFonts w:ascii="Arial" w:hAnsi="Arial"/>
                      <w:szCs w:val="22"/>
                    </w:rPr>
                  </w:pPr>
                  <w:bookmarkStart w:id="488" w:name="_Ref205321763"/>
                  <w:bookmarkStart w:id="489" w:name="_Ref205321799"/>
                  <w:bookmarkStart w:id="490" w:name="_Toc205413084"/>
                  <w:bookmarkStart w:id="491" w:name="_Toc205413138"/>
                  <w:r>
                    <w:rPr>
                      <w:rStyle w:val="Text-Bold"/>
                      <w:b w:val="0"/>
                      <w:szCs w:val="22"/>
                    </w:rPr>
                    <w:br w:type="page"/>
                  </w:r>
                </w:p>
                <w:p w14:paraId="228FF0F3" w14:textId="40DF24EE" w:rsidR="009E5B2A" w:rsidRPr="00D377B0" w:rsidRDefault="009F0C0B" w:rsidP="00253034">
                  <w:pPr>
                    <w:pStyle w:val="TableFigure-Header"/>
                    <w:spacing w:line="276" w:lineRule="auto"/>
                    <w:jc w:val="both"/>
                    <w:rPr>
                      <w:rStyle w:val="Text-Bold"/>
                      <w:b/>
                      <w:szCs w:val="21"/>
                      <w:lang w:val="en-NZ"/>
                    </w:rPr>
                  </w:pPr>
                  <w:bookmarkStart w:id="492" w:name="_Ref208993385"/>
                  <w:r w:rsidRPr="00D377B0">
                    <w:rPr>
                      <w:rStyle w:val="Text-Bold"/>
                      <w:b/>
                      <w:szCs w:val="21"/>
                      <w:lang w:val="en-NZ"/>
                    </w:rPr>
                    <w:lastRenderedPageBreak/>
                    <w:t>Figure</w:t>
                  </w:r>
                  <w:bookmarkEnd w:id="488"/>
                  <w:r w:rsidRPr="00D377B0">
                    <w:rPr>
                      <w:rStyle w:val="Text-Bold"/>
                      <w:b/>
                      <w:szCs w:val="21"/>
                      <w:lang w:val="en-NZ"/>
                    </w:rPr>
                    <w:t xml:space="preserve"> </w:t>
                  </w:r>
                  <w:r w:rsidR="00C64C3D" w:rsidRPr="00D377B0">
                    <w:rPr>
                      <w:rStyle w:val="Text-Bold"/>
                      <w:b/>
                      <w:szCs w:val="21"/>
                      <w:lang w:val="en-NZ"/>
                    </w:rPr>
                    <w:fldChar w:fldCharType="begin"/>
                  </w:r>
                  <w:r w:rsidR="00C64C3D" w:rsidRPr="00D377B0">
                    <w:rPr>
                      <w:rStyle w:val="Text-Bold"/>
                      <w:b/>
                      <w:szCs w:val="21"/>
                      <w:lang w:val="en-NZ"/>
                    </w:rPr>
                    <w:instrText xml:space="preserve"> SEQ Figure \* ARABIC </w:instrText>
                  </w:r>
                  <w:r w:rsidR="00C64C3D" w:rsidRPr="00D377B0">
                    <w:rPr>
                      <w:rStyle w:val="Text-Bold"/>
                      <w:b/>
                      <w:szCs w:val="21"/>
                      <w:lang w:val="en-NZ"/>
                    </w:rPr>
                    <w:fldChar w:fldCharType="separate"/>
                  </w:r>
                  <w:r w:rsidR="008D2566">
                    <w:rPr>
                      <w:rStyle w:val="Text-Bold"/>
                      <w:b/>
                      <w:noProof/>
                      <w:szCs w:val="21"/>
                      <w:lang w:val="en-NZ"/>
                    </w:rPr>
                    <w:t>42</w:t>
                  </w:r>
                  <w:r w:rsidR="00C64C3D" w:rsidRPr="00D377B0">
                    <w:rPr>
                      <w:rStyle w:val="Text-Bold"/>
                      <w:b/>
                      <w:szCs w:val="21"/>
                      <w:lang w:val="en-NZ"/>
                    </w:rPr>
                    <w:fldChar w:fldCharType="end"/>
                  </w:r>
                  <w:bookmarkEnd w:id="489"/>
                  <w:bookmarkEnd w:id="492"/>
                  <w:r w:rsidRPr="00D377B0">
                    <w:rPr>
                      <w:rStyle w:val="Text-Bold"/>
                      <w:b/>
                      <w:szCs w:val="21"/>
                      <w:lang w:val="en-NZ"/>
                    </w:rPr>
                    <w:t xml:space="preserve">: Earliest to latest SCORE changes within subjects, SFVS </w:t>
                  </w:r>
                  <w:r w:rsidR="005072EF" w:rsidRPr="00D377B0">
                    <w:rPr>
                      <w:rStyle w:val="Text-Bold"/>
                      <w:b/>
                      <w:szCs w:val="21"/>
                      <w:lang w:val="en-NZ"/>
                    </w:rPr>
                    <w:t xml:space="preserve">service </w:t>
                  </w:r>
                  <w:r w:rsidR="00E070C1" w:rsidRPr="00D377B0">
                    <w:rPr>
                      <w:rStyle w:val="Text-Bold"/>
                      <w:b/>
                      <w:szCs w:val="21"/>
                      <w:lang w:val="en-NZ"/>
                    </w:rPr>
                    <w:t>users</w:t>
                  </w:r>
                  <w:r w:rsidRPr="00D377B0">
                    <w:rPr>
                      <w:rStyle w:val="Text-Bold"/>
                      <w:b/>
                      <w:szCs w:val="21"/>
                      <w:lang w:val="en-NZ"/>
                    </w:rPr>
                    <w:t xml:space="preserve"> by CALD status, July 2021 to June 2024</w:t>
                  </w:r>
                  <w:bookmarkEnd w:id="490"/>
                  <w:bookmarkEnd w:id="491"/>
                </w:p>
                <w:p w14:paraId="29026299" w14:textId="0942116A" w:rsidR="00E60E75" w:rsidRDefault="002C6434" w:rsidP="005674C7">
                  <w:pPr>
                    <w:pStyle w:val="Text"/>
                    <w:rPr>
                      <w:i/>
                      <w:sz w:val="20"/>
                      <w:szCs w:val="18"/>
                    </w:rPr>
                  </w:pPr>
                  <w:r>
                    <w:rPr>
                      <w:noProof/>
                    </w:rPr>
                    <mc:AlternateContent>
                      <mc:Choice Requires="wpg">
                        <w:drawing>
                          <wp:anchor distT="0" distB="0" distL="114300" distR="114300" simplePos="0" relativeHeight="251658258" behindDoc="0" locked="0" layoutInCell="1" allowOverlap="1" wp14:anchorId="3601AEE4" wp14:editId="38D7D079">
                            <wp:simplePos x="0" y="0"/>
                            <wp:positionH relativeFrom="margin">
                              <wp:align>right</wp:align>
                            </wp:positionH>
                            <wp:positionV relativeFrom="paragraph">
                              <wp:posOffset>-4907</wp:posOffset>
                            </wp:positionV>
                            <wp:extent cx="5723906" cy="8633361"/>
                            <wp:effectExtent l="0" t="0" r="10160" b="15875"/>
                            <wp:wrapNone/>
                            <wp:docPr id="333793540" name="Group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23906" cy="8633361"/>
                                      <a:chOff x="0" y="0"/>
                                      <a:chExt cx="6123175" cy="5050465"/>
                                    </a:xfrm>
                                  </wpg:grpSpPr>
                                  <wpg:graphicFrame>
                                    <wpg:cNvPr id="679953666" name="Chart 679953666"/>
                                    <wpg:cNvFrPr>
                                      <a:graphicFrameLocks/>
                                    </wpg:cNvFrPr>
                                    <wpg:xfrm>
                                      <a:off x="0" y="0"/>
                                      <a:ext cx="6123175" cy="2513640"/>
                                    </wpg:xfrm>
                                    <a:graphic>
                                      <a:graphicData uri="http://schemas.openxmlformats.org/drawingml/2006/chart">
                                        <c:chart xmlns:c="http://schemas.openxmlformats.org/drawingml/2006/chart" xmlns:r="http://schemas.openxmlformats.org/officeDocument/2006/relationships" r:id="rId111"/>
                                      </a:graphicData>
                                    </a:graphic>
                                  </wpg:graphicFrame>
                                  <wpg:graphicFrame>
                                    <wpg:cNvPr id="49360497" name="Chart 49360497"/>
                                    <wpg:cNvFrPr>
                                      <a:graphicFrameLocks/>
                                    </wpg:cNvFrPr>
                                    <wpg:xfrm>
                                      <a:off x="1588" y="2533650"/>
                                      <a:ext cx="6120000" cy="2516815"/>
                                    </wpg:xfrm>
                                    <a:graphic>
                                      <a:graphicData uri="http://schemas.openxmlformats.org/drawingml/2006/chart">
                                        <c:chart xmlns:c="http://schemas.openxmlformats.org/drawingml/2006/chart" xmlns:r="http://schemas.openxmlformats.org/officeDocument/2006/relationships" r:id="rId112"/>
                                      </a:graphicData>
                                    </a:graphic>
                                  </wpg:graphicFrame>
                                </wpg:wgp>
                              </a:graphicData>
                            </a:graphic>
                            <wp14:sizeRelH relativeFrom="margin">
                              <wp14:pctWidth>0</wp14:pctWidth>
                            </wp14:sizeRelH>
                            <wp14:sizeRelV relativeFrom="margin">
                              <wp14:pctHeight>0</wp14:pctHeight>
                            </wp14:sizeRelV>
                          </wp:anchor>
                        </w:drawing>
                      </mc:Choice>
                      <mc:Fallback>
                        <w:pict>
                          <v:group w14:anchorId="07262966" id="Group 3" o:spid="_x0000_s1026" alt="&quot;&quot;" style="position:absolute;margin-left:399.5pt;margin-top:-.4pt;width:450.7pt;height:679.8pt;z-index:251658258;mso-position-horizontal:right;mso-position-horizontal-relative:margin;mso-width-relative:margin;mso-height-relative:margin" coordsize="61231,50504" o:gfxdata="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">
                            <v:shape id="Chart 679953666" o:spid="_x0000_s1027" type="#_x0000_t75" style="position:absolute;left:-65;top:-35;width:61364;height:2521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">
                              <v:imagedata r:id="rId113" o:title=""/>
                              <o:lock v:ext="edit" aspectratio="f"/>
                            </v:shape>
                            <v:shape id="Chart 49360497" o:spid="_x0000_s1028" type="#_x0000_t75" style="position:absolute;left:-65;top:25283;width:61364;height:252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">
                              <v:imagedata r:id="rId114" o:title=""/>
                              <o:lock v:ext="edit" aspectratio="f"/>
                            </v:shape>
                            <w10:wrap anchorx="margin"/>
                          </v:group>
                        </w:pict>
                      </mc:Fallback>
                    </mc:AlternateContent>
                  </w:r>
                </w:p>
                <w:p w14:paraId="06325D54" w14:textId="77777777" w:rsidR="00E60E75" w:rsidRDefault="00E60E75" w:rsidP="005674C7">
                  <w:pPr>
                    <w:pStyle w:val="Text"/>
                    <w:rPr>
                      <w:i/>
                      <w:sz w:val="20"/>
                      <w:szCs w:val="18"/>
                    </w:rPr>
                  </w:pPr>
                </w:p>
                <w:p w14:paraId="024200D6" w14:textId="77777777" w:rsidR="00E60E75" w:rsidRDefault="00E60E75" w:rsidP="005674C7">
                  <w:pPr>
                    <w:pStyle w:val="Text"/>
                    <w:rPr>
                      <w:i/>
                      <w:sz w:val="20"/>
                      <w:szCs w:val="18"/>
                    </w:rPr>
                  </w:pPr>
                </w:p>
                <w:p w14:paraId="63FB62D3" w14:textId="77777777" w:rsidR="00E60E75" w:rsidRDefault="00E60E75" w:rsidP="005674C7">
                  <w:pPr>
                    <w:pStyle w:val="Text"/>
                    <w:rPr>
                      <w:i/>
                      <w:sz w:val="20"/>
                      <w:szCs w:val="18"/>
                    </w:rPr>
                  </w:pPr>
                </w:p>
                <w:p w14:paraId="156295D3" w14:textId="77777777" w:rsidR="00E60E75" w:rsidRDefault="00E60E75" w:rsidP="005674C7">
                  <w:pPr>
                    <w:pStyle w:val="Text"/>
                    <w:rPr>
                      <w:i/>
                      <w:sz w:val="20"/>
                      <w:szCs w:val="18"/>
                    </w:rPr>
                  </w:pPr>
                </w:p>
                <w:p w14:paraId="3624B2C3" w14:textId="77777777" w:rsidR="00E60E75" w:rsidRDefault="00E60E75" w:rsidP="005674C7">
                  <w:pPr>
                    <w:pStyle w:val="Text"/>
                    <w:rPr>
                      <w:i/>
                      <w:sz w:val="20"/>
                      <w:szCs w:val="18"/>
                    </w:rPr>
                  </w:pPr>
                </w:p>
                <w:p w14:paraId="28D0D9A2" w14:textId="77777777" w:rsidR="00E60E75" w:rsidRDefault="00E60E75" w:rsidP="005674C7">
                  <w:pPr>
                    <w:pStyle w:val="Text"/>
                    <w:rPr>
                      <w:i/>
                      <w:sz w:val="20"/>
                      <w:szCs w:val="18"/>
                    </w:rPr>
                  </w:pPr>
                </w:p>
                <w:p w14:paraId="53EEF9E3" w14:textId="77777777" w:rsidR="00E60E75" w:rsidRDefault="00E60E75" w:rsidP="005674C7">
                  <w:pPr>
                    <w:pStyle w:val="Text"/>
                    <w:rPr>
                      <w:i/>
                      <w:sz w:val="20"/>
                      <w:szCs w:val="18"/>
                    </w:rPr>
                  </w:pPr>
                </w:p>
                <w:p w14:paraId="7B90C668" w14:textId="77777777" w:rsidR="00E60E75" w:rsidRDefault="00E60E75" w:rsidP="005674C7">
                  <w:pPr>
                    <w:pStyle w:val="Text"/>
                    <w:rPr>
                      <w:i/>
                      <w:sz w:val="20"/>
                      <w:szCs w:val="18"/>
                    </w:rPr>
                  </w:pPr>
                </w:p>
                <w:p w14:paraId="07AF96EB" w14:textId="77777777" w:rsidR="002C6434" w:rsidRDefault="002C6434" w:rsidP="005674C7">
                  <w:pPr>
                    <w:pStyle w:val="Text"/>
                    <w:rPr>
                      <w:i/>
                      <w:sz w:val="20"/>
                      <w:szCs w:val="18"/>
                    </w:rPr>
                  </w:pPr>
                </w:p>
                <w:p w14:paraId="36A1A8F3" w14:textId="77777777" w:rsidR="002C6434" w:rsidRDefault="002C6434" w:rsidP="005674C7">
                  <w:pPr>
                    <w:pStyle w:val="Text"/>
                    <w:rPr>
                      <w:i/>
                      <w:sz w:val="20"/>
                      <w:szCs w:val="18"/>
                    </w:rPr>
                  </w:pPr>
                </w:p>
                <w:p w14:paraId="5FD645A8" w14:textId="77777777" w:rsidR="002C6434" w:rsidRDefault="002C6434" w:rsidP="005674C7">
                  <w:pPr>
                    <w:pStyle w:val="Text"/>
                    <w:rPr>
                      <w:i/>
                      <w:sz w:val="20"/>
                      <w:szCs w:val="18"/>
                    </w:rPr>
                  </w:pPr>
                </w:p>
                <w:p w14:paraId="0CD260DA" w14:textId="77777777" w:rsidR="002C6434" w:rsidRDefault="002C6434" w:rsidP="005674C7">
                  <w:pPr>
                    <w:pStyle w:val="Text"/>
                    <w:rPr>
                      <w:i/>
                      <w:sz w:val="20"/>
                      <w:szCs w:val="18"/>
                    </w:rPr>
                  </w:pPr>
                </w:p>
                <w:p w14:paraId="3B2CC0EE" w14:textId="77777777" w:rsidR="002C6434" w:rsidRDefault="002C6434" w:rsidP="005674C7">
                  <w:pPr>
                    <w:pStyle w:val="Text"/>
                    <w:rPr>
                      <w:i/>
                      <w:sz w:val="20"/>
                      <w:szCs w:val="18"/>
                    </w:rPr>
                  </w:pPr>
                </w:p>
                <w:p w14:paraId="6D89A2C8" w14:textId="77777777" w:rsidR="002C6434" w:rsidRDefault="002C6434" w:rsidP="005674C7">
                  <w:pPr>
                    <w:pStyle w:val="Text"/>
                    <w:rPr>
                      <w:i/>
                      <w:sz w:val="20"/>
                      <w:szCs w:val="18"/>
                    </w:rPr>
                  </w:pPr>
                </w:p>
                <w:p w14:paraId="75680895" w14:textId="77777777" w:rsidR="00E60E75" w:rsidRDefault="00E60E75" w:rsidP="005674C7">
                  <w:pPr>
                    <w:pStyle w:val="Text"/>
                    <w:rPr>
                      <w:i/>
                      <w:sz w:val="20"/>
                      <w:szCs w:val="18"/>
                    </w:rPr>
                  </w:pPr>
                </w:p>
                <w:p w14:paraId="7B493680" w14:textId="77777777" w:rsidR="00E60E75" w:rsidRDefault="00E60E75" w:rsidP="005674C7">
                  <w:pPr>
                    <w:pStyle w:val="Text"/>
                    <w:rPr>
                      <w:i/>
                      <w:sz w:val="20"/>
                      <w:szCs w:val="18"/>
                    </w:rPr>
                  </w:pPr>
                </w:p>
                <w:p w14:paraId="7F08C4D3" w14:textId="77777777" w:rsidR="00E60E75" w:rsidRDefault="00E60E75" w:rsidP="005674C7">
                  <w:pPr>
                    <w:pStyle w:val="Text"/>
                    <w:rPr>
                      <w:i/>
                      <w:sz w:val="20"/>
                      <w:szCs w:val="18"/>
                    </w:rPr>
                  </w:pPr>
                </w:p>
                <w:p w14:paraId="52316369" w14:textId="77777777" w:rsidR="00E60E75" w:rsidRDefault="00E60E75" w:rsidP="005674C7">
                  <w:pPr>
                    <w:pStyle w:val="Text"/>
                    <w:rPr>
                      <w:i/>
                      <w:sz w:val="20"/>
                      <w:szCs w:val="18"/>
                    </w:rPr>
                  </w:pPr>
                </w:p>
                <w:p w14:paraId="11F467E3" w14:textId="2DD81454" w:rsidR="00E60E75" w:rsidRDefault="00E60E75" w:rsidP="005674C7">
                  <w:pPr>
                    <w:pStyle w:val="Text"/>
                    <w:rPr>
                      <w:i/>
                      <w:sz w:val="20"/>
                      <w:szCs w:val="18"/>
                    </w:rPr>
                  </w:pPr>
                </w:p>
                <w:p w14:paraId="77FE25BB" w14:textId="77777777" w:rsidR="00E8503D" w:rsidRDefault="00E8503D" w:rsidP="005674C7">
                  <w:pPr>
                    <w:pStyle w:val="Text"/>
                    <w:rPr>
                      <w:i/>
                      <w:sz w:val="20"/>
                      <w:szCs w:val="18"/>
                    </w:rPr>
                  </w:pPr>
                </w:p>
                <w:p w14:paraId="608FC466" w14:textId="77777777" w:rsidR="00E8503D" w:rsidRDefault="00E8503D" w:rsidP="005674C7">
                  <w:pPr>
                    <w:pStyle w:val="Text"/>
                    <w:rPr>
                      <w:i/>
                      <w:sz w:val="20"/>
                      <w:szCs w:val="18"/>
                    </w:rPr>
                  </w:pPr>
                </w:p>
                <w:p w14:paraId="0071F170" w14:textId="77777777" w:rsidR="00E8503D" w:rsidRDefault="00E8503D" w:rsidP="005674C7">
                  <w:pPr>
                    <w:pStyle w:val="Text"/>
                    <w:rPr>
                      <w:i/>
                      <w:sz w:val="20"/>
                      <w:szCs w:val="18"/>
                    </w:rPr>
                  </w:pPr>
                </w:p>
                <w:p w14:paraId="0F351B2D" w14:textId="77777777" w:rsidR="00E60E75" w:rsidRDefault="00E60E75" w:rsidP="005674C7">
                  <w:pPr>
                    <w:pStyle w:val="Text"/>
                    <w:rPr>
                      <w:i/>
                      <w:sz w:val="20"/>
                      <w:szCs w:val="18"/>
                    </w:rPr>
                  </w:pPr>
                </w:p>
                <w:p w14:paraId="50BC2345" w14:textId="77777777" w:rsidR="00E60E75" w:rsidRDefault="00E60E75" w:rsidP="005674C7">
                  <w:pPr>
                    <w:pStyle w:val="Text"/>
                    <w:rPr>
                      <w:i/>
                      <w:sz w:val="20"/>
                      <w:szCs w:val="18"/>
                    </w:rPr>
                  </w:pPr>
                </w:p>
                <w:p w14:paraId="4518E0F6" w14:textId="77777777" w:rsidR="002C6434" w:rsidRDefault="002C6434" w:rsidP="005674C7">
                  <w:pPr>
                    <w:pStyle w:val="Text"/>
                    <w:rPr>
                      <w:i/>
                      <w:sz w:val="20"/>
                      <w:szCs w:val="18"/>
                    </w:rPr>
                  </w:pPr>
                </w:p>
                <w:p w14:paraId="7F0C3ABE" w14:textId="54DB37D5" w:rsidR="006E2AFC" w:rsidRDefault="00EA36E8" w:rsidP="00253034">
                  <w:pPr>
                    <w:pStyle w:val="TableFigure-Header"/>
                    <w:spacing w:line="276" w:lineRule="auto"/>
                    <w:jc w:val="both"/>
                    <w:rPr>
                      <w:i/>
                      <w:sz w:val="20"/>
                    </w:rPr>
                  </w:pPr>
                  <w:r>
                    <w:lastRenderedPageBreak/>
                    <w:t xml:space="preserve">Table </w:t>
                  </w:r>
                  <w:r w:rsidR="008D2566">
                    <w:fldChar w:fldCharType="begin"/>
                  </w:r>
                  <w:r w:rsidR="008D2566">
                    <w:instrText xml:space="preserve"> SEQ Table \* ARABIC </w:instrText>
                  </w:r>
                  <w:r w:rsidR="008D2566">
                    <w:fldChar w:fldCharType="separate"/>
                  </w:r>
                  <w:r w:rsidR="008D2566">
                    <w:rPr>
                      <w:noProof/>
                    </w:rPr>
                    <w:t>42</w:t>
                  </w:r>
                  <w:r w:rsidR="008D2566">
                    <w:rPr>
                      <w:noProof/>
                    </w:rPr>
                    <w:fldChar w:fldCharType="end"/>
                  </w:r>
                  <w:r>
                    <w:t xml:space="preserve">: </w:t>
                  </w:r>
                  <w:r w:rsidRPr="00603CD6">
                    <w:t xml:space="preserve">Percentage of </w:t>
                  </w:r>
                  <w:r w:rsidR="00ED2240">
                    <w:t xml:space="preserve">service users with </w:t>
                  </w:r>
                  <w:r w:rsidRPr="00603CD6">
                    <w:t xml:space="preserve">positive SCORE change for specific Circumstance and Goal domains, CALD </w:t>
                  </w:r>
                  <w:r>
                    <w:t>SFVS</w:t>
                  </w:r>
                  <w:r w:rsidRPr="00603CD6">
                    <w:t xml:space="preserve"> service users, July 2021 to </w:t>
                  </w:r>
                  <w:r w:rsidR="2D04399F">
                    <w:t xml:space="preserve">June </w:t>
                  </w:r>
                  <w:r w:rsidRPr="00603CD6">
                    <w:t>2024</w:t>
                  </w:r>
                </w:p>
                <w:tbl>
                  <w:tblPr>
                    <w:tblStyle w:val="TableGrid3"/>
                    <w:tblW w:w="5000" w:type="pct"/>
                    <w:tblLayout w:type="fixed"/>
                    <w:tblLook w:val="04A0" w:firstRow="1" w:lastRow="0" w:firstColumn="1" w:lastColumn="0" w:noHBand="0" w:noVBand="1"/>
                  </w:tblPr>
                  <w:tblGrid>
                    <w:gridCol w:w="1697"/>
                    <w:gridCol w:w="3826"/>
                    <w:gridCol w:w="3496"/>
                  </w:tblGrid>
                  <w:tr w:rsidR="001267B9" w:rsidRPr="00036888" w14:paraId="1FB52C01" w14:textId="77777777" w:rsidTr="001267B9">
                    <w:trPr>
                      <w:trHeight w:val="298"/>
                    </w:trPr>
                    <w:tc>
                      <w:tcPr>
                        <w:tcW w:w="941" w:type="pct"/>
                        <w:shd w:val="clear" w:color="auto" w:fill="007E00" w:themeFill="accent3"/>
                        <w:noWrap/>
                        <w:hideMark/>
                      </w:tcPr>
                      <w:p w14:paraId="13368AA1" w14:textId="77777777" w:rsidR="006E2AFC" w:rsidRPr="00F6254E" w:rsidRDefault="001267B9" w:rsidP="001267B9">
                        <w:pPr>
                          <w:pStyle w:val="TableText"/>
                          <w:rPr>
                            <w:b/>
                            <w:bCs/>
                            <w:color w:val="FFFFFF" w:themeColor="background1"/>
                          </w:rPr>
                        </w:pPr>
                        <w:r w:rsidRPr="00F6254E">
                          <w:rPr>
                            <w:b/>
                            <w:bCs/>
                            <w:color w:val="FFFFFF" w:themeColor="background1"/>
                          </w:rPr>
                          <w:t>Outcome Type</w:t>
                        </w:r>
                      </w:p>
                    </w:tc>
                    <w:tc>
                      <w:tcPr>
                        <w:tcW w:w="2121" w:type="pct"/>
                        <w:shd w:val="clear" w:color="auto" w:fill="007E00" w:themeFill="accent3"/>
                      </w:tcPr>
                      <w:p w14:paraId="2E7102DA" w14:textId="77777777" w:rsidR="006E2AFC" w:rsidRDefault="001267B9" w:rsidP="001267B9">
                        <w:pPr>
                          <w:pStyle w:val="TableText"/>
                          <w:rPr>
                            <w:b/>
                            <w:bCs/>
                            <w:color w:val="FFFFFF" w:themeColor="background1"/>
                          </w:rPr>
                        </w:pPr>
                        <w:r>
                          <w:rPr>
                            <w:b/>
                            <w:bCs/>
                            <w:color w:val="FFFFFF" w:themeColor="background1"/>
                          </w:rPr>
                          <w:t>Domain description</w:t>
                        </w:r>
                      </w:p>
                    </w:tc>
                    <w:tc>
                      <w:tcPr>
                        <w:tcW w:w="1938" w:type="pct"/>
                        <w:shd w:val="clear" w:color="auto" w:fill="007E00" w:themeFill="accent3"/>
                        <w:noWrap/>
                        <w:hideMark/>
                      </w:tcPr>
                      <w:p w14:paraId="40874029" w14:textId="77777777" w:rsidR="006E2AFC" w:rsidRPr="00F6254E" w:rsidRDefault="001267B9" w:rsidP="001267B9">
                        <w:pPr>
                          <w:pStyle w:val="TableText"/>
                          <w:rPr>
                            <w:b/>
                            <w:bCs/>
                            <w:color w:val="FFFFFF" w:themeColor="background1"/>
                          </w:rPr>
                        </w:pPr>
                        <w:r>
                          <w:rPr>
                            <w:b/>
                            <w:bCs/>
                            <w:color w:val="FFFFFF" w:themeColor="background1"/>
                          </w:rPr>
                          <w:t xml:space="preserve">Service users </w:t>
                        </w:r>
                        <w:r w:rsidRPr="00F6254E">
                          <w:rPr>
                            <w:b/>
                            <w:bCs/>
                            <w:color w:val="FFFFFF" w:themeColor="background1"/>
                          </w:rPr>
                          <w:t>with positive mean change (%, n</w:t>
                        </w:r>
                        <w:r>
                          <w:rPr>
                            <w:b/>
                            <w:bCs/>
                            <w:color w:val="FFFFFF" w:themeColor="background1"/>
                          </w:rPr>
                          <w:t>=</w:t>
                        </w:r>
                        <w:r w:rsidRPr="00F6254E">
                          <w:rPr>
                            <w:b/>
                            <w:bCs/>
                            <w:color w:val="FFFFFF" w:themeColor="background1"/>
                          </w:rPr>
                          <w:t>)</w:t>
                        </w:r>
                      </w:p>
                    </w:tc>
                  </w:tr>
                  <w:tr w:rsidR="001267B9" w:rsidRPr="00036888" w14:paraId="4BF7D7EF" w14:textId="77777777" w:rsidTr="00321BC5">
                    <w:trPr>
                      <w:trHeight w:val="298"/>
                    </w:trPr>
                    <w:tc>
                      <w:tcPr>
                        <w:tcW w:w="941" w:type="pct"/>
                        <w:vMerge w:val="restart"/>
                        <w:noWrap/>
                        <w:hideMark/>
                      </w:tcPr>
                      <w:p w14:paraId="0465E44E" w14:textId="77777777" w:rsidR="006E2AFC" w:rsidRPr="008D0F42" w:rsidRDefault="001267B9" w:rsidP="001267B9">
                        <w:pPr>
                          <w:pStyle w:val="TableText"/>
                        </w:pPr>
                        <w:r w:rsidRPr="008D0F42">
                          <w:t>Circumstances</w:t>
                        </w:r>
                      </w:p>
                    </w:tc>
                    <w:tc>
                      <w:tcPr>
                        <w:tcW w:w="2121" w:type="pct"/>
                      </w:tcPr>
                      <w:p w14:paraId="53F431D1" w14:textId="77777777" w:rsidR="006E2AFC" w:rsidRPr="008D0F42" w:rsidRDefault="001267B9" w:rsidP="001267B9">
                        <w:pPr>
                          <w:pStyle w:val="TableText"/>
                        </w:pPr>
                        <w:r w:rsidRPr="008D0F42">
                          <w:t>Family functioning</w:t>
                        </w:r>
                      </w:p>
                    </w:tc>
                    <w:tc>
                      <w:tcPr>
                        <w:tcW w:w="1938" w:type="pct"/>
                        <w:noWrap/>
                        <w:hideMark/>
                      </w:tcPr>
                      <w:p w14:paraId="5A280294" w14:textId="6E6FD774" w:rsidR="006E2AFC" w:rsidRPr="007E6AC4" w:rsidRDefault="0021791D" w:rsidP="001267B9">
                        <w:pPr>
                          <w:pStyle w:val="TableText"/>
                        </w:pPr>
                        <w:r w:rsidRPr="00C82AD7">
                          <w:t>52</w:t>
                        </w:r>
                        <w:r w:rsidR="001267B9" w:rsidRPr="009757D9">
                          <w:t>.3% (n=</w:t>
                        </w:r>
                        <w:r w:rsidRPr="00C82AD7">
                          <w:t>79</w:t>
                        </w:r>
                        <w:r w:rsidR="001267B9" w:rsidRPr="009757D9">
                          <w:t>)</w:t>
                        </w:r>
                      </w:p>
                    </w:tc>
                  </w:tr>
                  <w:tr w:rsidR="001267B9" w:rsidRPr="00036888" w14:paraId="149C4F13" w14:textId="77777777" w:rsidTr="00321BC5">
                    <w:trPr>
                      <w:trHeight w:val="298"/>
                    </w:trPr>
                    <w:tc>
                      <w:tcPr>
                        <w:tcW w:w="941" w:type="pct"/>
                        <w:vMerge/>
                        <w:noWrap/>
                      </w:tcPr>
                      <w:p w14:paraId="7E23C270" w14:textId="77777777" w:rsidR="006E2AFC" w:rsidRPr="008D0F42" w:rsidRDefault="006E2AFC" w:rsidP="001267B9">
                        <w:pPr>
                          <w:pStyle w:val="TableText"/>
                        </w:pPr>
                      </w:p>
                    </w:tc>
                    <w:tc>
                      <w:tcPr>
                        <w:tcW w:w="2121" w:type="pct"/>
                      </w:tcPr>
                      <w:p w14:paraId="3CE741FE" w14:textId="77777777" w:rsidR="006E2AFC" w:rsidRPr="008D0F42" w:rsidRDefault="001267B9" w:rsidP="001267B9">
                        <w:pPr>
                          <w:pStyle w:val="TableText"/>
                        </w:pPr>
                        <w:r w:rsidRPr="3DEE28EC">
                          <w:rPr>
                            <w:lang w:val="en-NZ"/>
                          </w:rPr>
                          <w:t>Mental health, wellbeing and self-care</w:t>
                        </w:r>
                      </w:p>
                    </w:tc>
                    <w:tc>
                      <w:tcPr>
                        <w:tcW w:w="1938" w:type="pct"/>
                        <w:noWrap/>
                      </w:tcPr>
                      <w:p w14:paraId="0EDB7821" w14:textId="0E4E90A6" w:rsidR="006E2AFC" w:rsidRPr="007E6AC4" w:rsidRDefault="0021791D" w:rsidP="001267B9">
                        <w:pPr>
                          <w:pStyle w:val="TableText"/>
                        </w:pPr>
                        <w:r w:rsidRPr="00C82AD7">
                          <w:t>58.7</w:t>
                        </w:r>
                        <w:r w:rsidR="001267B9" w:rsidRPr="009757D9">
                          <w:t>% (n=</w:t>
                        </w:r>
                        <w:r w:rsidRPr="00C82AD7">
                          <w:t>105</w:t>
                        </w:r>
                        <w:r w:rsidR="001267B9" w:rsidRPr="009757D9">
                          <w:t>)</w:t>
                        </w:r>
                      </w:p>
                    </w:tc>
                  </w:tr>
                  <w:tr w:rsidR="001267B9" w:rsidRPr="00036888" w14:paraId="78A31190" w14:textId="77777777" w:rsidTr="00321BC5">
                    <w:trPr>
                      <w:trHeight w:val="298"/>
                    </w:trPr>
                    <w:tc>
                      <w:tcPr>
                        <w:tcW w:w="941" w:type="pct"/>
                        <w:vMerge/>
                        <w:noWrap/>
                      </w:tcPr>
                      <w:p w14:paraId="4B925183" w14:textId="77777777" w:rsidR="006E2AFC" w:rsidRPr="008D0F42" w:rsidRDefault="006E2AFC" w:rsidP="001267B9">
                        <w:pPr>
                          <w:pStyle w:val="TableText"/>
                        </w:pPr>
                      </w:p>
                    </w:tc>
                    <w:tc>
                      <w:tcPr>
                        <w:tcW w:w="2121" w:type="pct"/>
                      </w:tcPr>
                      <w:p w14:paraId="474DDE9D" w14:textId="77777777" w:rsidR="006E2AFC" w:rsidRPr="008D0F42" w:rsidRDefault="001267B9" w:rsidP="001267B9">
                        <w:pPr>
                          <w:pStyle w:val="TableText"/>
                        </w:pPr>
                        <w:r w:rsidRPr="008D0F42">
                          <w:t>Personal and family safety</w:t>
                        </w:r>
                      </w:p>
                    </w:tc>
                    <w:tc>
                      <w:tcPr>
                        <w:tcW w:w="1938" w:type="pct"/>
                        <w:noWrap/>
                      </w:tcPr>
                      <w:p w14:paraId="11620694" w14:textId="367A2EA6" w:rsidR="006E2AFC" w:rsidRPr="007E6AC4" w:rsidRDefault="0021791D" w:rsidP="001267B9">
                        <w:pPr>
                          <w:pStyle w:val="TableText"/>
                        </w:pPr>
                        <w:r w:rsidRPr="00C82AD7">
                          <w:t>57.6</w:t>
                        </w:r>
                        <w:r w:rsidR="001267B9" w:rsidRPr="009757D9">
                          <w:t>% (n=</w:t>
                        </w:r>
                        <w:r w:rsidRPr="00C82AD7">
                          <w:t>99</w:t>
                        </w:r>
                        <w:r w:rsidR="001267B9" w:rsidRPr="009757D9">
                          <w:t>)</w:t>
                        </w:r>
                      </w:p>
                    </w:tc>
                  </w:tr>
                  <w:tr w:rsidR="001267B9" w:rsidRPr="00036888" w14:paraId="4B1630A5" w14:textId="77777777" w:rsidTr="00321BC5">
                    <w:trPr>
                      <w:trHeight w:val="298"/>
                    </w:trPr>
                    <w:tc>
                      <w:tcPr>
                        <w:tcW w:w="941" w:type="pct"/>
                        <w:vMerge w:val="restart"/>
                        <w:noWrap/>
                      </w:tcPr>
                      <w:p w14:paraId="22E5AB30" w14:textId="77777777" w:rsidR="006E2AFC" w:rsidRPr="008D0F42" w:rsidRDefault="001267B9" w:rsidP="001267B9">
                        <w:pPr>
                          <w:pStyle w:val="TableText"/>
                        </w:pPr>
                        <w:r w:rsidRPr="008D0F42">
                          <w:t>Goals</w:t>
                        </w:r>
                      </w:p>
                    </w:tc>
                    <w:tc>
                      <w:tcPr>
                        <w:tcW w:w="2121" w:type="pct"/>
                      </w:tcPr>
                      <w:p w14:paraId="5FE51D3D" w14:textId="77777777" w:rsidR="006E2AFC" w:rsidRPr="008D0F42" w:rsidRDefault="001267B9" w:rsidP="001267B9">
                        <w:pPr>
                          <w:pStyle w:val="TableText"/>
                        </w:pPr>
                        <w:r w:rsidRPr="00D63E8D">
                          <w:t>Changed behaviours</w:t>
                        </w:r>
                      </w:p>
                    </w:tc>
                    <w:tc>
                      <w:tcPr>
                        <w:tcW w:w="1938" w:type="pct"/>
                        <w:noWrap/>
                      </w:tcPr>
                      <w:p w14:paraId="739F8DF7" w14:textId="5D97897E" w:rsidR="006E2AFC" w:rsidRPr="007E6AC4" w:rsidRDefault="0021791D" w:rsidP="001267B9">
                        <w:pPr>
                          <w:pStyle w:val="TableText"/>
                        </w:pPr>
                        <w:r w:rsidRPr="00C82AD7">
                          <w:t>53.7</w:t>
                        </w:r>
                        <w:r w:rsidR="001267B9" w:rsidRPr="009757D9">
                          <w:t>% (n=</w:t>
                        </w:r>
                        <w:r w:rsidRPr="00C82AD7">
                          <w:t>65</w:t>
                        </w:r>
                        <w:r w:rsidR="001267B9" w:rsidRPr="009757D9">
                          <w:t>)</w:t>
                        </w:r>
                      </w:p>
                    </w:tc>
                  </w:tr>
                  <w:tr w:rsidR="001267B9" w:rsidRPr="00036888" w14:paraId="21A28E82" w14:textId="77777777" w:rsidTr="00321BC5">
                    <w:trPr>
                      <w:trHeight w:val="298"/>
                    </w:trPr>
                    <w:tc>
                      <w:tcPr>
                        <w:tcW w:w="941" w:type="pct"/>
                        <w:vMerge/>
                        <w:noWrap/>
                      </w:tcPr>
                      <w:p w14:paraId="2D5503C8" w14:textId="77777777" w:rsidR="006E2AFC" w:rsidRPr="008D0F42" w:rsidRDefault="006E2AFC" w:rsidP="001267B9">
                        <w:pPr>
                          <w:pStyle w:val="TableText"/>
                        </w:pPr>
                      </w:p>
                    </w:tc>
                    <w:tc>
                      <w:tcPr>
                        <w:tcW w:w="2121" w:type="pct"/>
                      </w:tcPr>
                      <w:p w14:paraId="317EE154" w14:textId="77777777" w:rsidR="006E2AFC" w:rsidRPr="008D0F42" w:rsidRDefault="001267B9" w:rsidP="001267B9">
                        <w:pPr>
                          <w:pStyle w:val="TableText"/>
                        </w:pPr>
                        <w:r w:rsidRPr="00D63E8D">
                          <w:t>Changed impact of immediate crisis</w:t>
                        </w:r>
                      </w:p>
                    </w:tc>
                    <w:tc>
                      <w:tcPr>
                        <w:tcW w:w="1938" w:type="pct"/>
                        <w:noWrap/>
                      </w:tcPr>
                      <w:p w14:paraId="6B972CE7" w14:textId="3E701A00" w:rsidR="006E2AFC" w:rsidRPr="007E6AC4" w:rsidRDefault="0021791D" w:rsidP="001267B9">
                        <w:pPr>
                          <w:pStyle w:val="TableText"/>
                        </w:pPr>
                        <w:r w:rsidRPr="00C82AD7">
                          <w:t>67.7</w:t>
                        </w:r>
                        <w:r w:rsidR="001267B9" w:rsidRPr="009757D9">
                          <w:t>% (n=</w:t>
                        </w:r>
                        <w:r w:rsidRPr="00C82AD7">
                          <w:t>44</w:t>
                        </w:r>
                        <w:r w:rsidR="001267B9" w:rsidRPr="009757D9">
                          <w:t>)</w:t>
                        </w:r>
                      </w:p>
                    </w:tc>
                  </w:tr>
                  <w:tr w:rsidR="001267B9" w:rsidRPr="00036888" w14:paraId="3A19F48E" w14:textId="77777777" w:rsidTr="00321BC5">
                    <w:trPr>
                      <w:trHeight w:val="298"/>
                    </w:trPr>
                    <w:tc>
                      <w:tcPr>
                        <w:tcW w:w="941" w:type="pct"/>
                        <w:vMerge/>
                        <w:noWrap/>
                      </w:tcPr>
                      <w:p w14:paraId="7441DCFA" w14:textId="77777777" w:rsidR="006E2AFC" w:rsidRPr="008D0F42" w:rsidRDefault="006E2AFC" w:rsidP="001267B9">
                        <w:pPr>
                          <w:pStyle w:val="TableText"/>
                        </w:pPr>
                      </w:p>
                    </w:tc>
                    <w:tc>
                      <w:tcPr>
                        <w:tcW w:w="2121" w:type="pct"/>
                      </w:tcPr>
                      <w:p w14:paraId="1DC7552A" w14:textId="77777777" w:rsidR="006E2AFC" w:rsidRPr="008D0F42" w:rsidRDefault="001267B9" w:rsidP="001267B9">
                        <w:pPr>
                          <w:pStyle w:val="TableText"/>
                        </w:pPr>
                        <w:r w:rsidRPr="00D63E8D">
                          <w:t>Changed knowledge and access to information</w:t>
                        </w:r>
                      </w:p>
                    </w:tc>
                    <w:tc>
                      <w:tcPr>
                        <w:tcW w:w="1938" w:type="pct"/>
                        <w:noWrap/>
                      </w:tcPr>
                      <w:p w14:paraId="031AE6EE" w14:textId="455D7507" w:rsidR="006E2AFC" w:rsidRPr="007E6AC4" w:rsidRDefault="0021791D" w:rsidP="001267B9">
                        <w:pPr>
                          <w:pStyle w:val="TableText"/>
                        </w:pPr>
                        <w:r w:rsidRPr="00C82AD7">
                          <w:t>56.2</w:t>
                        </w:r>
                        <w:r w:rsidR="001267B9" w:rsidRPr="009757D9">
                          <w:t>% (n=</w:t>
                        </w:r>
                        <w:r w:rsidRPr="00C82AD7">
                          <w:t>126</w:t>
                        </w:r>
                        <w:r w:rsidR="001267B9" w:rsidRPr="009757D9">
                          <w:t>)</w:t>
                        </w:r>
                      </w:p>
                    </w:tc>
                  </w:tr>
                  <w:tr w:rsidR="001267B9" w:rsidRPr="00036888" w14:paraId="2C1D3981" w14:textId="77777777" w:rsidTr="00321BC5">
                    <w:trPr>
                      <w:trHeight w:val="298"/>
                    </w:trPr>
                    <w:tc>
                      <w:tcPr>
                        <w:tcW w:w="941" w:type="pct"/>
                        <w:vMerge/>
                        <w:noWrap/>
                      </w:tcPr>
                      <w:p w14:paraId="10C7B8FE" w14:textId="77777777" w:rsidR="006E2AFC" w:rsidRPr="008D0F42" w:rsidRDefault="006E2AFC" w:rsidP="001267B9">
                        <w:pPr>
                          <w:pStyle w:val="TableText"/>
                        </w:pPr>
                      </w:p>
                    </w:tc>
                    <w:tc>
                      <w:tcPr>
                        <w:tcW w:w="2121" w:type="pct"/>
                      </w:tcPr>
                      <w:p w14:paraId="5910A4BD" w14:textId="77777777" w:rsidR="006E2AFC" w:rsidRPr="008D0F42" w:rsidRDefault="001267B9" w:rsidP="001267B9">
                        <w:pPr>
                          <w:pStyle w:val="TableText"/>
                        </w:pPr>
                        <w:r w:rsidRPr="00D63E8D">
                          <w:t>Changed skills</w:t>
                        </w:r>
                      </w:p>
                    </w:tc>
                    <w:tc>
                      <w:tcPr>
                        <w:tcW w:w="1938" w:type="pct"/>
                        <w:noWrap/>
                      </w:tcPr>
                      <w:p w14:paraId="6E8CD6E6" w14:textId="3AE9E265" w:rsidR="006E2AFC" w:rsidRPr="007E6AC4" w:rsidRDefault="0021791D" w:rsidP="001267B9">
                        <w:pPr>
                          <w:pStyle w:val="TableText"/>
                        </w:pPr>
                        <w:r w:rsidRPr="00C82AD7">
                          <w:t>53.5</w:t>
                        </w:r>
                        <w:r w:rsidR="001267B9" w:rsidRPr="009757D9">
                          <w:t>% (n=</w:t>
                        </w:r>
                        <w:r w:rsidRPr="00C82AD7">
                          <w:t>68</w:t>
                        </w:r>
                        <w:r w:rsidR="001267B9" w:rsidRPr="009757D9">
                          <w:t>)</w:t>
                        </w:r>
                      </w:p>
                    </w:tc>
                  </w:tr>
                  <w:tr w:rsidR="001267B9" w:rsidRPr="00036888" w14:paraId="7CC4A0CE" w14:textId="77777777" w:rsidTr="00321BC5">
                    <w:trPr>
                      <w:trHeight w:val="298"/>
                    </w:trPr>
                    <w:tc>
                      <w:tcPr>
                        <w:tcW w:w="941" w:type="pct"/>
                        <w:vMerge/>
                        <w:noWrap/>
                      </w:tcPr>
                      <w:p w14:paraId="7833DEC1" w14:textId="77777777" w:rsidR="006E2AFC" w:rsidRPr="008D0F42" w:rsidRDefault="006E2AFC" w:rsidP="001267B9">
                        <w:pPr>
                          <w:pStyle w:val="TableText"/>
                        </w:pPr>
                      </w:p>
                    </w:tc>
                    <w:tc>
                      <w:tcPr>
                        <w:tcW w:w="2121" w:type="pct"/>
                      </w:tcPr>
                      <w:p w14:paraId="78F58A98" w14:textId="77777777" w:rsidR="006E2AFC" w:rsidRPr="008D0F42" w:rsidRDefault="001267B9" w:rsidP="001267B9">
                        <w:pPr>
                          <w:pStyle w:val="TableText"/>
                        </w:pPr>
                        <w:r w:rsidRPr="03FAA4E2">
                          <w:rPr>
                            <w:lang w:val="en-NZ"/>
                          </w:rPr>
                          <w:t>Empowerment, choice and control to make own decisions</w:t>
                        </w:r>
                      </w:p>
                    </w:tc>
                    <w:tc>
                      <w:tcPr>
                        <w:tcW w:w="1938" w:type="pct"/>
                        <w:noWrap/>
                      </w:tcPr>
                      <w:p w14:paraId="7ED2EC6A" w14:textId="277AEDB8" w:rsidR="006E2AFC" w:rsidRPr="007E6AC4" w:rsidRDefault="0021791D" w:rsidP="001267B9">
                        <w:pPr>
                          <w:pStyle w:val="TableText"/>
                        </w:pPr>
                        <w:r w:rsidRPr="00C82AD7">
                          <w:t>62</w:t>
                        </w:r>
                        <w:r w:rsidR="001267B9" w:rsidRPr="009757D9">
                          <w:t>.0% (n=</w:t>
                        </w:r>
                        <w:r w:rsidRPr="00C82AD7">
                          <w:t>80</w:t>
                        </w:r>
                        <w:r w:rsidR="001267B9" w:rsidRPr="009757D9">
                          <w:t>)</w:t>
                        </w:r>
                      </w:p>
                    </w:tc>
                  </w:tr>
                  <w:tr w:rsidR="001267B9" w:rsidRPr="00036888" w14:paraId="059F63DD" w14:textId="77777777" w:rsidTr="00321BC5">
                    <w:trPr>
                      <w:trHeight w:val="298"/>
                    </w:trPr>
                    <w:tc>
                      <w:tcPr>
                        <w:tcW w:w="941" w:type="pct"/>
                        <w:vMerge/>
                        <w:noWrap/>
                      </w:tcPr>
                      <w:p w14:paraId="1E59FA3F" w14:textId="77777777" w:rsidR="006E2AFC" w:rsidRPr="008D0F42" w:rsidRDefault="006E2AFC" w:rsidP="001267B9">
                        <w:pPr>
                          <w:pStyle w:val="TableText"/>
                        </w:pPr>
                      </w:p>
                    </w:tc>
                    <w:tc>
                      <w:tcPr>
                        <w:tcW w:w="2121" w:type="pct"/>
                      </w:tcPr>
                      <w:p w14:paraId="7CE1FCA7" w14:textId="77777777" w:rsidR="006E2AFC" w:rsidRPr="008D0F42" w:rsidRDefault="001267B9" w:rsidP="001267B9">
                        <w:pPr>
                          <w:pStyle w:val="TableText"/>
                        </w:pPr>
                        <w:r w:rsidRPr="00D63E8D">
                          <w:t>Engagement with relevant support services</w:t>
                        </w:r>
                      </w:p>
                    </w:tc>
                    <w:tc>
                      <w:tcPr>
                        <w:tcW w:w="1938" w:type="pct"/>
                        <w:noWrap/>
                      </w:tcPr>
                      <w:p w14:paraId="04A69499" w14:textId="07BB1188" w:rsidR="006E2AFC" w:rsidRPr="007E6AC4" w:rsidRDefault="0021791D" w:rsidP="001267B9">
                        <w:pPr>
                          <w:pStyle w:val="TableText"/>
                        </w:pPr>
                        <w:r w:rsidRPr="00C82AD7">
                          <w:t>60</w:t>
                        </w:r>
                        <w:r w:rsidR="001267B9" w:rsidRPr="009757D9">
                          <w:t>.6% (n=</w:t>
                        </w:r>
                        <w:r w:rsidRPr="00C82AD7">
                          <w:t>40</w:t>
                        </w:r>
                        <w:r w:rsidR="001267B9" w:rsidRPr="009757D9">
                          <w:t>)</w:t>
                        </w:r>
                      </w:p>
                    </w:tc>
                  </w:tr>
                </w:tbl>
                <w:p w14:paraId="4EC6C431" w14:textId="77777777" w:rsidR="006E2AFC" w:rsidRDefault="001267B9" w:rsidP="001267B9">
                  <w:pPr>
                    <w:pStyle w:val="Text"/>
                    <w:rPr>
                      <w:i/>
                      <w:sz w:val="20"/>
                      <w:szCs w:val="18"/>
                      <w:lang w:val="en-US"/>
                    </w:rPr>
                  </w:pPr>
                  <w:r w:rsidRPr="008E1B83">
                    <w:rPr>
                      <w:i/>
                      <w:sz w:val="20"/>
                      <w:szCs w:val="18"/>
                      <w:lang w:val="en-US"/>
                    </w:rPr>
                    <w:t>Source: DEX-SCORE data</w:t>
                  </w:r>
                </w:p>
                <w:p w14:paraId="3A615A67" w14:textId="005CDEBA" w:rsidR="006E2AFC" w:rsidRDefault="00EA36E8" w:rsidP="00253034">
                  <w:pPr>
                    <w:pStyle w:val="TableFigure-Header"/>
                    <w:spacing w:line="276" w:lineRule="auto"/>
                    <w:jc w:val="both"/>
                    <w:rPr>
                      <w:i/>
                      <w:sz w:val="20"/>
                    </w:rPr>
                  </w:pPr>
                  <w:r>
                    <w:t xml:space="preserve">Table </w:t>
                  </w:r>
                  <w:r w:rsidR="008D2566">
                    <w:fldChar w:fldCharType="begin"/>
                  </w:r>
                  <w:r w:rsidR="008D2566">
                    <w:instrText xml:space="preserve"> SEQ Table \* ARABIC </w:instrText>
                  </w:r>
                  <w:r w:rsidR="008D2566">
                    <w:fldChar w:fldCharType="separate"/>
                  </w:r>
                  <w:r w:rsidR="008D2566">
                    <w:rPr>
                      <w:noProof/>
                    </w:rPr>
                    <w:t>43</w:t>
                  </w:r>
                  <w:r w:rsidR="008D2566">
                    <w:rPr>
                      <w:noProof/>
                    </w:rPr>
                    <w:fldChar w:fldCharType="end"/>
                  </w:r>
                  <w:r>
                    <w:t xml:space="preserve">: </w:t>
                  </w:r>
                  <w:r w:rsidRPr="00B8286A">
                    <w:t xml:space="preserve">Percentage of </w:t>
                  </w:r>
                  <w:r w:rsidR="00ED2240">
                    <w:t xml:space="preserve">service users with </w:t>
                  </w:r>
                  <w:r w:rsidRPr="00B8286A">
                    <w:t xml:space="preserve">positive SCORE change for specific Circumstance and Goal domains, </w:t>
                  </w:r>
                  <w:r>
                    <w:t>non-</w:t>
                  </w:r>
                  <w:r w:rsidRPr="00B8286A">
                    <w:t xml:space="preserve">CALD SFVS service users, July 2021 to </w:t>
                  </w:r>
                  <w:r w:rsidR="6D6F7B91">
                    <w:t xml:space="preserve">June </w:t>
                  </w:r>
                  <w:r w:rsidRPr="00B8286A">
                    <w:t>2024</w:t>
                  </w:r>
                </w:p>
                <w:tbl>
                  <w:tblPr>
                    <w:tblStyle w:val="TableGrid3"/>
                    <w:tblW w:w="5000" w:type="pct"/>
                    <w:tblLayout w:type="fixed"/>
                    <w:tblLook w:val="04A0" w:firstRow="1" w:lastRow="0" w:firstColumn="1" w:lastColumn="0" w:noHBand="0" w:noVBand="1"/>
                  </w:tblPr>
                  <w:tblGrid>
                    <w:gridCol w:w="1697"/>
                    <w:gridCol w:w="3826"/>
                    <w:gridCol w:w="3496"/>
                  </w:tblGrid>
                  <w:tr w:rsidR="001267B9" w:rsidRPr="00036888" w14:paraId="7DFF143D" w14:textId="77777777" w:rsidTr="001267B9">
                    <w:trPr>
                      <w:trHeight w:val="298"/>
                    </w:trPr>
                    <w:tc>
                      <w:tcPr>
                        <w:tcW w:w="941" w:type="pct"/>
                        <w:shd w:val="clear" w:color="auto" w:fill="007E00" w:themeFill="accent3"/>
                        <w:noWrap/>
                        <w:hideMark/>
                      </w:tcPr>
                      <w:p w14:paraId="43D5E9A6" w14:textId="77777777" w:rsidR="006E2AFC" w:rsidRPr="00F6254E" w:rsidRDefault="001267B9" w:rsidP="001267B9">
                        <w:pPr>
                          <w:pStyle w:val="TableText"/>
                          <w:rPr>
                            <w:b/>
                            <w:bCs/>
                            <w:color w:val="FFFFFF" w:themeColor="background1"/>
                          </w:rPr>
                        </w:pPr>
                        <w:r w:rsidRPr="00F6254E">
                          <w:rPr>
                            <w:b/>
                            <w:bCs/>
                            <w:color w:val="FFFFFF" w:themeColor="background1"/>
                          </w:rPr>
                          <w:t>Outcome Type</w:t>
                        </w:r>
                      </w:p>
                    </w:tc>
                    <w:tc>
                      <w:tcPr>
                        <w:tcW w:w="2121" w:type="pct"/>
                        <w:shd w:val="clear" w:color="auto" w:fill="007E00" w:themeFill="accent3"/>
                      </w:tcPr>
                      <w:p w14:paraId="0071630B" w14:textId="77777777" w:rsidR="006E2AFC" w:rsidRDefault="001267B9" w:rsidP="001267B9">
                        <w:pPr>
                          <w:pStyle w:val="TableText"/>
                          <w:rPr>
                            <w:b/>
                            <w:bCs/>
                            <w:color w:val="FFFFFF" w:themeColor="background1"/>
                          </w:rPr>
                        </w:pPr>
                        <w:r>
                          <w:rPr>
                            <w:b/>
                            <w:bCs/>
                            <w:color w:val="FFFFFF" w:themeColor="background1"/>
                          </w:rPr>
                          <w:t>Domain description</w:t>
                        </w:r>
                      </w:p>
                    </w:tc>
                    <w:tc>
                      <w:tcPr>
                        <w:tcW w:w="1938" w:type="pct"/>
                        <w:shd w:val="clear" w:color="auto" w:fill="007E00" w:themeFill="accent3"/>
                        <w:noWrap/>
                        <w:hideMark/>
                      </w:tcPr>
                      <w:p w14:paraId="18F15964" w14:textId="77777777" w:rsidR="006E2AFC" w:rsidRPr="00F6254E" w:rsidRDefault="001267B9" w:rsidP="001267B9">
                        <w:pPr>
                          <w:pStyle w:val="TableText"/>
                          <w:rPr>
                            <w:b/>
                            <w:bCs/>
                            <w:color w:val="FFFFFF" w:themeColor="background1"/>
                          </w:rPr>
                        </w:pPr>
                        <w:r>
                          <w:rPr>
                            <w:b/>
                            <w:bCs/>
                            <w:color w:val="FFFFFF" w:themeColor="background1"/>
                          </w:rPr>
                          <w:t xml:space="preserve">Service users </w:t>
                        </w:r>
                        <w:r w:rsidRPr="00F6254E">
                          <w:rPr>
                            <w:b/>
                            <w:bCs/>
                            <w:color w:val="FFFFFF" w:themeColor="background1"/>
                          </w:rPr>
                          <w:t>with positive mean change (%, n</w:t>
                        </w:r>
                        <w:r>
                          <w:rPr>
                            <w:b/>
                            <w:bCs/>
                            <w:color w:val="FFFFFF" w:themeColor="background1"/>
                          </w:rPr>
                          <w:t>=</w:t>
                        </w:r>
                        <w:r w:rsidRPr="00F6254E">
                          <w:rPr>
                            <w:b/>
                            <w:bCs/>
                            <w:color w:val="FFFFFF" w:themeColor="background1"/>
                          </w:rPr>
                          <w:t>)</w:t>
                        </w:r>
                      </w:p>
                    </w:tc>
                  </w:tr>
                  <w:tr w:rsidR="001267B9" w:rsidRPr="00036888" w14:paraId="3008B6F6" w14:textId="77777777" w:rsidTr="00321BC5">
                    <w:trPr>
                      <w:trHeight w:val="298"/>
                    </w:trPr>
                    <w:tc>
                      <w:tcPr>
                        <w:tcW w:w="941" w:type="pct"/>
                        <w:vMerge w:val="restart"/>
                        <w:noWrap/>
                        <w:hideMark/>
                      </w:tcPr>
                      <w:p w14:paraId="3DB8555E" w14:textId="77777777" w:rsidR="006E2AFC" w:rsidRPr="008D0F42" w:rsidRDefault="001267B9" w:rsidP="001267B9">
                        <w:pPr>
                          <w:pStyle w:val="TableText"/>
                        </w:pPr>
                        <w:r w:rsidRPr="008D0F42">
                          <w:t>Circumstances</w:t>
                        </w:r>
                      </w:p>
                    </w:tc>
                    <w:tc>
                      <w:tcPr>
                        <w:tcW w:w="2121" w:type="pct"/>
                      </w:tcPr>
                      <w:p w14:paraId="63AFDA47" w14:textId="77777777" w:rsidR="006E2AFC" w:rsidRPr="008D0F42" w:rsidRDefault="001267B9" w:rsidP="001267B9">
                        <w:pPr>
                          <w:pStyle w:val="TableText"/>
                        </w:pPr>
                        <w:r w:rsidRPr="008D0F42">
                          <w:t>Family functioning</w:t>
                        </w:r>
                      </w:p>
                    </w:tc>
                    <w:tc>
                      <w:tcPr>
                        <w:tcW w:w="1938" w:type="pct"/>
                        <w:noWrap/>
                        <w:hideMark/>
                      </w:tcPr>
                      <w:p w14:paraId="6C55BB8B" w14:textId="1F14F6FF" w:rsidR="006E2AFC" w:rsidRPr="008D0F42" w:rsidRDefault="0021791D" w:rsidP="001267B9">
                        <w:pPr>
                          <w:pStyle w:val="TableText"/>
                        </w:pPr>
                        <w:r w:rsidRPr="00A7288D">
                          <w:t>53.6</w:t>
                        </w:r>
                        <w:r w:rsidR="001267B9" w:rsidRPr="0007268B">
                          <w:t>% (n=</w:t>
                        </w:r>
                        <w:r w:rsidRPr="00A7288D">
                          <w:t>1</w:t>
                        </w:r>
                        <w:r>
                          <w:t>,</w:t>
                        </w:r>
                        <w:r w:rsidRPr="00A7288D">
                          <w:t>492</w:t>
                        </w:r>
                        <w:r w:rsidR="001267B9" w:rsidRPr="0007268B">
                          <w:t>)</w:t>
                        </w:r>
                      </w:p>
                    </w:tc>
                  </w:tr>
                  <w:tr w:rsidR="001267B9" w:rsidRPr="00036888" w14:paraId="12966450" w14:textId="77777777" w:rsidTr="00321BC5">
                    <w:trPr>
                      <w:trHeight w:val="298"/>
                    </w:trPr>
                    <w:tc>
                      <w:tcPr>
                        <w:tcW w:w="941" w:type="pct"/>
                        <w:vMerge/>
                        <w:noWrap/>
                      </w:tcPr>
                      <w:p w14:paraId="595FD1C2" w14:textId="77777777" w:rsidR="006E2AFC" w:rsidRPr="008D0F42" w:rsidRDefault="006E2AFC" w:rsidP="001267B9">
                        <w:pPr>
                          <w:pStyle w:val="TableText"/>
                        </w:pPr>
                      </w:p>
                    </w:tc>
                    <w:tc>
                      <w:tcPr>
                        <w:tcW w:w="2121" w:type="pct"/>
                      </w:tcPr>
                      <w:p w14:paraId="4BFEE9E0" w14:textId="77777777" w:rsidR="006E2AFC" w:rsidRPr="008D0F42" w:rsidRDefault="001267B9" w:rsidP="001267B9">
                        <w:pPr>
                          <w:pStyle w:val="TableText"/>
                        </w:pPr>
                        <w:r w:rsidRPr="3DEE28EC">
                          <w:rPr>
                            <w:lang w:val="en-NZ"/>
                          </w:rPr>
                          <w:t>Mental health, wellbeing and self-care</w:t>
                        </w:r>
                      </w:p>
                    </w:tc>
                    <w:tc>
                      <w:tcPr>
                        <w:tcW w:w="1938" w:type="pct"/>
                        <w:noWrap/>
                      </w:tcPr>
                      <w:p w14:paraId="0D5F0D85" w14:textId="2F8D437A" w:rsidR="006E2AFC" w:rsidRPr="008D0F42" w:rsidRDefault="0021791D" w:rsidP="001267B9">
                        <w:pPr>
                          <w:pStyle w:val="TableText"/>
                        </w:pPr>
                        <w:r w:rsidRPr="00A7288D">
                          <w:t>55.0</w:t>
                        </w:r>
                        <w:r w:rsidR="001267B9" w:rsidRPr="0007268B">
                          <w:t>% (n=</w:t>
                        </w:r>
                        <w:r w:rsidRPr="00A7288D">
                          <w:t>1</w:t>
                        </w:r>
                        <w:r>
                          <w:t>,</w:t>
                        </w:r>
                        <w:r w:rsidRPr="00A7288D">
                          <w:t>579</w:t>
                        </w:r>
                        <w:r w:rsidR="001267B9" w:rsidRPr="0007268B">
                          <w:t>)</w:t>
                        </w:r>
                      </w:p>
                    </w:tc>
                  </w:tr>
                  <w:tr w:rsidR="001267B9" w:rsidRPr="00036888" w14:paraId="5C46F34A" w14:textId="77777777" w:rsidTr="00321BC5">
                    <w:trPr>
                      <w:trHeight w:val="298"/>
                    </w:trPr>
                    <w:tc>
                      <w:tcPr>
                        <w:tcW w:w="941" w:type="pct"/>
                        <w:vMerge/>
                        <w:noWrap/>
                      </w:tcPr>
                      <w:p w14:paraId="2E92FEFF" w14:textId="77777777" w:rsidR="006E2AFC" w:rsidRPr="008D0F42" w:rsidRDefault="006E2AFC" w:rsidP="001267B9">
                        <w:pPr>
                          <w:pStyle w:val="TableText"/>
                        </w:pPr>
                      </w:p>
                    </w:tc>
                    <w:tc>
                      <w:tcPr>
                        <w:tcW w:w="2121" w:type="pct"/>
                      </w:tcPr>
                      <w:p w14:paraId="584D3D60" w14:textId="77777777" w:rsidR="006E2AFC" w:rsidRPr="008D0F42" w:rsidRDefault="001267B9" w:rsidP="001267B9">
                        <w:pPr>
                          <w:pStyle w:val="TableText"/>
                        </w:pPr>
                        <w:r w:rsidRPr="008D0F42">
                          <w:t>Personal and family safety</w:t>
                        </w:r>
                      </w:p>
                    </w:tc>
                    <w:tc>
                      <w:tcPr>
                        <w:tcW w:w="1938" w:type="pct"/>
                        <w:noWrap/>
                      </w:tcPr>
                      <w:p w14:paraId="26386351" w14:textId="23EA5BEA" w:rsidR="006E2AFC" w:rsidRPr="008D0F42" w:rsidRDefault="0021791D" w:rsidP="001267B9">
                        <w:pPr>
                          <w:pStyle w:val="TableText"/>
                        </w:pPr>
                        <w:r w:rsidRPr="00A7288D">
                          <w:t>56.8</w:t>
                        </w:r>
                        <w:r w:rsidR="001267B9" w:rsidRPr="0007268B">
                          <w:t>% (n=</w:t>
                        </w:r>
                        <w:r w:rsidRPr="00A7288D">
                          <w:t>2</w:t>
                        </w:r>
                        <w:r>
                          <w:t>,</w:t>
                        </w:r>
                        <w:r w:rsidRPr="00A7288D">
                          <w:t>019</w:t>
                        </w:r>
                        <w:r w:rsidR="001267B9" w:rsidRPr="0007268B">
                          <w:t>)</w:t>
                        </w:r>
                      </w:p>
                    </w:tc>
                  </w:tr>
                  <w:tr w:rsidR="001267B9" w:rsidRPr="00036888" w14:paraId="36DE266B" w14:textId="77777777" w:rsidTr="00321BC5">
                    <w:trPr>
                      <w:trHeight w:val="298"/>
                    </w:trPr>
                    <w:tc>
                      <w:tcPr>
                        <w:tcW w:w="941" w:type="pct"/>
                        <w:vMerge w:val="restart"/>
                        <w:noWrap/>
                      </w:tcPr>
                      <w:p w14:paraId="28F0480F" w14:textId="77777777" w:rsidR="006E2AFC" w:rsidRPr="008D0F42" w:rsidRDefault="001267B9" w:rsidP="001267B9">
                        <w:pPr>
                          <w:pStyle w:val="TableText"/>
                        </w:pPr>
                        <w:r w:rsidRPr="008D0F42">
                          <w:t>Goals</w:t>
                        </w:r>
                      </w:p>
                    </w:tc>
                    <w:tc>
                      <w:tcPr>
                        <w:tcW w:w="2121" w:type="pct"/>
                      </w:tcPr>
                      <w:p w14:paraId="250929B0" w14:textId="77777777" w:rsidR="006E2AFC" w:rsidRPr="008D0F42" w:rsidRDefault="001267B9" w:rsidP="001267B9">
                        <w:pPr>
                          <w:pStyle w:val="TableText"/>
                        </w:pPr>
                        <w:r w:rsidRPr="00D63E8D">
                          <w:t>Changed behaviours</w:t>
                        </w:r>
                      </w:p>
                    </w:tc>
                    <w:tc>
                      <w:tcPr>
                        <w:tcW w:w="1938" w:type="pct"/>
                        <w:noWrap/>
                      </w:tcPr>
                      <w:p w14:paraId="6B910E4A" w14:textId="2710AFC9" w:rsidR="006E2AFC" w:rsidRPr="008D0F42" w:rsidRDefault="0021791D" w:rsidP="001267B9">
                        <w:pPr>
                          <w:pStyle w:val="TableText"/>
                        </w:pPr>
                        <w:r w:rsidRPr="00A7288D">
                          <w:t>57.1</w:t>
                        </w:r>
                        <w:r w:rsidR="001267B9" w:rsidRPr="0007268B">
                          <w:t>% (n=</w:t>
                        </w:r>
                        <w:r w:rsidRPr="00A7288D">
                          <w:t>1</w:t>
                        </w:r>
                        <w:r>
                          <w:t>,</w:t>
                        </w:r>
                        <w:r w:rsidRPr="00A7288D">
                          <w:t>221</w:t>
                        </w:r>
                        <w:r w:rsidR="001267B9" w:rsidRPr="0007268B">
                          <w:t>)</w:t>
                        </w:r>
                      </w:p>
                    </w:tc>
                  </w:tr>
                  <w:tr w:rsidR="001267B9" w:rsidRPr="00036888" w14:paraId="4648B839" w14:textId="77777777" w:rsidTr="00321BC5">
                    <w:trPr>
                      <w:trHeight w:val="298"/>
                    </w:trPr>
                    <w:tc>
                      <w:tcPr>
                        <w:tcW w:w="941" w:type="pct"/>
                        <w:vMerge/>
                        <w:noWrap/>
                      </w:tcPr>
                      <w:p w14:paraId="0374A254" w14:textId="77777777" w:rsidR="006E2AFC" w:rsidRPr="008D0F42" w:rsidRDefault="006E2AFC" w:rsidP="001267B9">
                        <w:pPr>
                          <w:pStyle w:val="TableText"/>
                        </w:pPr>
                      </w:p>
                    </w:tc>
                    <w:tc>
                      <w:tcPr>
                        <w:tcW w:w="2121" w:type="pct"/>
                      </w:tcPr>
                      <w:p w14:paraId="2C84209F" w14:textId="77777777" w:rsidR="006E2AFC" w:rsidRPr="008D0F42" w:rsidRDefault="001267B9" w:rsidP="001267B9">
                        <w:pPr>
                          <w:pStyle w:val="TableText"/>
                        </w:pPr>
                        <w:r w:rsidRPr="00D63E8D">
                          <w:t>Changed impact of immediate crisis</w:t>
                        </w:r>
                      </w:p>
                    </w:tc>
                    <w:tc>
                      <w:tcPr>
                        <w:tcW w:w="1938" w:type="pct"/>
                        <w:noWrap/>
                      </w:tcPr>
                      <w:p w14:paraId="63E43EC3" w14:textId="2B9CEBE3" w:rsidR="006E2AFC" w:rsidRPr="008D0F42" w:rsidRDefault="0021791D" w:rsidP="001267B9">
                        <w:pPr>
                          <w:pStyle w:val="TableText"/>
                        </w:pPr>
                        <w:r w:rsidRPr="00A7288D">
                          <w:t>70.4</w:t>
                        </w:r>
                        <w:r w:rsidR="001267B9" w:rsidRPr="0007268B">
                          <w:t>% (n=</w:t>
                        </w:r>
                        <w:r w:rsidRPr="00A7288D">
                          <w:t>1</w:t>
                        </w:r>
                        <w:r>
                          <w:t>,</w:t>
                        </w:r>
                        <w:r w:rsidRPr="00A7288D">
                          <w:t>141</w:t>
                        </w:r>
                        <w:r w:rsidR="001267B9" w:rsidRPr="0007268B">
                          <w:t>)</w:t>
                        </w:r>
                      </w:p>
                    </w:tc>
                  </w:tr>
                  <w:tr w:rsidR="001267B9" w:rsidRPr="00036888" w14:paraId="5A4EE4D7" w14:textId="77777777" w:rsidTr="00321BC5">
                    <w:trPr>
                      <w:trHeight w:val="298"/>
                    </w:trPr>
                    <w:tc>
                      <w:tcPr>
                        <w:tcW w:w="941" w:type="pct"/>
                        <w:vMerge/>
                        <w:noWrap/>
                      </w:tcPr>
                      <w:p w14:paraId="6ED0466F" w14:textId="77777777" w:rsidR="006E2AFC" w:rsidRPr="008D0F42" w:rsidRDefault="006E2AFC" w:rsidP="001267B9">
                        <w:pPr>
                          <w:pStyle w:val="TableText"/>
                        </w:pPr>
                      </w:p>
                    </w:tc>
                    <w:tc>
                      <w:tcPr>
                        <w:tcW w:w="2121" w:type="pct"/>
                      </w:tcPr>
                      <w:p w14:paraId="472B0776" w14:textId="77777777" w:rsidR="006E2AFC" w:rsidRPr="008D0F42" w:rsidRDefault="001267B9" w:rsidP="001267B9">
                        <w:pPr>
                          <w:pStyle w:val="TableText"/>
                        </w:pPr>
                        <w:r w:rsidRPr="00D63E8D">
                          <w:t>Changed knowledge and access to information</w:t>
                        </w:r>
                      </w:p>
                    </w:tc>
                    <w:tc>
                      <w:tcPr>
                        <w:tcW w:w="1938" w:type="pct"/>
                        <w:noWrap/>
                      </w:tcPr>
                      <w:p w14:paraId="58CA0C83" w14:textId="798FA7B4" w:rsidR="006E2AFC" w:rsidRPr="008D0F42" w:rsidRDefault="0021791D" w:rsidP="001267B9">
                        <w:pPr>
                          <w:pStyle w:val="TableText"/>
                        </w:pPr>
                        <w:r w:rsidRPr="00A7288D">
                          <w:t>65.7</w:t>
                        </w:r>
                        <w:r w:rsidR="001267B9" w:rsidRPr="0007268B">
                          <w:t>% (n=</w:t>
                        </w:r>
                        <w:r w:rsidRPr="00A7288D">
                          <w:t>1</w:t>
                        </w:r>
                        <w:r>
                          <w:t>,</w:t>
                        </w:r>
                        <w:r w:rsidRPr="00A7288D">
                          <w:t>563</w:t>
                        </w:r>
                        <w:r w:rsidR="001267B9" w:rsidRPr="0007268B">
                          <w:t>)</w:t>
                        </w:r>
                      </w:p>
                    </w:tc>
                  </w:tr>
                  <w:tr w:rsidR="001267B9" w:rsidRPr="00036888" w14:paraId="2A9608A1" w14:textId="77777777" w:rsidTr="00321BC5">
                    <w:trPr>
                      <w:trHeight w:val="298"/>
                    </w:trPr>
                    <w:tc>
                      <w:tcPr>
                        <w:tcW w:w="941" w:type="pct"/>
                        <w:vMerge/>
                        <w:noWrap/>
                      </w:tcPr>
                      <w:p w14:paraId="1FADF17C" w14:textId="77777777" w:rsidR="006E2AFC" w:rsidRPr="008D0F42" w:rsidRDefault="006E2AFC" w:rsidP="001267B9">
                        <w:pPr>
                          <w:pStyle w:val="TableText"/>
                        </w:pPr>
                      </w:p>
                    </w:tc>
                    <w:tc>
                      <w:tcPr>
                        <w:tcW w:w="2121" w:type="pct"/>
                      </w:tcPr>
                      <w:p w14:paraId="6F15F2AB" w14:textId="77777777" w:rsidR="006E2AFC" w:rsidRPr="008D0F42" w:rsidRDefault="001267B9" w:rsidP="001267B9">
                        <w:pPr>
                          <w:pStyle w:val="TableText"/>
                        </w:pPr>
                        <w:r w:rsidRPr="00D63E8D">
                          <w:t>Changed skills</w:t>
                        </w:r>
                      </w:p>
                    </w:tc>
                    <w:tc>
                      <w:tcPr>
                        <w:tcW w:w="1938" w:type="pct"/>
                        <w:noWrap/>
                      </w:tcPr>
                      <w:p w14:paraId="380B750B" w14:textId="37A454E8" w:rsidR="006E2AFC" w:rsidRPr="008D0F42" w:rsidRDefault="0021791D" w:rsidP="001267B9">
                        <w:pPr>
                          <w:pStyle w:val="TableText"/>
                        </w:pPr>
                        <w:r w:rsidRPr="00A7288D">
                          <w:t>58.8</w:t>
                        </w:r>
                        <w:r w:rsidR="001267B9" w:rsidRPr="0007268B">
                          <w:t>% (n=</w:t>
                        </w:r>
                        <w:r w:rsidRPr="00A7288D">
                          <w:t>1</w:t>
                        </w:r>
                        <w:r>
                          <w:t>,</w:t>
                        </w:r>
                        <w:r w:rsidRPr="00A7288D">
                          <w:t>279</w:t>
                        </w:r>
                        <w:r w:rsidR="001267B9" w:rsidRPr="0007268B">
                          <w:t>)</w:t>
                        </w:r>
                      </w:p>
                    </w:tc>
                  </w:tr>
                  <w:tr w:rsidR="001267B9" w:rsidRPr="00036888" w14:paraId="063895CA" w14:textId="77777777" w:rsidTr="00321BC5">
                    <w:trPr>
                      <w:trHeight w:val="298"/>
                    </w:trPr>
                    <w:tc>
                      <w:tcPr>
                        <w:tcW w:w="941" w:type="pct"/>
                        <w:vMerge/>
                        <w:noWrap/>
                      </w:tcPr>
                      <w:p w14:paraId="58D5D5F7" w14:textId="77777777" w:rsidR="006E2AFC" w:rsidRPr="008D0F42" w:rsidRDefault="006E2AFC" w:rsidP="001267B9">
                        <w:pPr>
                          <w:pStyle w:val="TableText"/>
                        </w:pPr>
                      </w:p>
                    </w:tc>
                    <w:tc>
                      <w:tcPr>
                        <w:tcW w:w="2121" w:type="pct"/>
                      </w:tcPr>
                      <w:p w14:paraId="1E7E3787" w14:textId="77777777" w:rsidR="006E2AFC" w:rsidRPr="008D0F42" w:rsidRDefault="001267B9" w:rsidP="001267B9">
                        <w:pPr>
                          <w:pStyle w:val="TableText"/>
                        </w:pPr>
                        <w:r w:rsidRPr="03FAA4E2">
                          <w:rPr>
                            <w:lang w:val="en-NZ"/>
                          </w:rPr>
                          <w:t>Empowerment, choice and control to make own decisions</w:t>
                        </w:r>
                      </w:p>
                    </w:tc>
                    <w:tc>
                      <w:tcPr>
                        <w:tcW w:w="1938" w:type="pct"/>
                        <w:noWrap/>
                      </w:tcPr>
                      <w:p w14:paraId="6B2504DD" w14:textId="546A5AD1" w:rsidR="006E2AFC" w:rsidRPr="008D0F42" w:rsidRDefault="0021791D" w:rsidP="001267B9">
                        <w:pPr>
                          <w:pStyle w:val="TableText"/>
                        </w:pPr>
                        <w:r w:rsidRPr="00A7288D">
                          <w:t>61.7</w:t>
                        </w:r>
                        <w:r w:rsidR="001267B9" w:rsidRPr="0007268B">
                          <w:t>% (n=</w:t>
                        </w:r>
                        <w:r w:rsidRPr="00A7288D">
                          <w:t>1</w:t>
                        </w:r>
                        <w:r>
                          <w:t>,</w:t>
                        </w:r>
                        <w:r w:rsidRPr="00A7288D">
                          <w:t>451</w:t>
                        </w:r>
                        <w:r w:rsidR="001267B9" w:rsidRPr="0007268B">
                          <w:t>)</w:t>
                        </w:r>
                      </w:p>
                    </w:tc>
                  </w:tr>
                  <w:tr w:rsidR="001267B9" w:rsidRPr="00036888" w14:paraId="6485862F" w14:textId="77777777" w:rsidTr="00321BC5">
                    <w:trPr>
                      <w:trHeight w:val="298"/>
                    </w:trPr>
                    <w:tc>
                      <w:tcPr>
                        <w:tcW w:w="941" w:type="pct"/>
                        <w:vMerge/>
                        <w:noWrap/>
                      </w:tcPr>
                      <w:p w14:paraId="43D71177" w14:textId="77777777" w:rsidR="006E2AFC" w:rsidRPr="008D0F42" w:rsidRDefault="006E2AFC" w:rsidP="001267B9">
                        <w:pPr>
                          <w:pStyle w:val="TableText"/>
                        </w:pPr>
                      </w:p>
                    </w:tc>
                    <w:tc>
                      <w:tcPr>
                        <w:tcW w:w="2121" w:type="pct"/>
                      </w:tcPr>
                      <w:p w14:paraId="2CC5ED14" w14:textId="77777777" w:rsidR="006E2AFC" w:rsidRPr="008D0F42" w:rsidRDefault="001267B9" w:rsidP="001267B9">
                        <w:pPr>
                          <w:pStyle w:val="TableText"/>
                        </w:pPr>
                        <w:r w:rsidRPr="00D63E8D">
                          <w:t>Engagement with relevant support services</w:t>
                        </w:r>
                      </w:p>
                    </w:tc>
                    <w:tc>
                      <w:tcPr>
                        <w:tcW w:w="1938" w:type="pct"/>
                        <w:noWrap/>
                      </w:tcPr>
                      <w:p w14:paraId="4024F2DB" w14:textId="78F2E2CB" w:rsidR="006E2AFC" w:rsidRPr="008D0F42" w:rsidRDefault="001267B9" w:rsidP="001267B9">
                        <w:pPr>
                          <w:pStyle w:val="TableText"/>
                        </w:pPr>
                        <w:r w:rsidRPr="0007268B">
                          <w:t>59.</w:t>
                        </w:r>
                        <w:r w:rsidR="0021791D" w:rsidRPr="00A7288D">
                          <w:t>4</w:t>
                        </w:r>
                        <w:r w:rsidRPr="0007268B">
                          <w:t>% (n=</w:t>
                        </w:r>
                        <w:r w:rsidR="0021791D" w:rsidRPr="00A7288D">
                          <w:t>979</w:t>
                        </w:r>
                        <w:r w:rsidRPr="0007268B">
                          <w:t>)</w:t>
                        </w:r>
                      </w:p>
                    </w:tc>
                  </w:tr>
                </w:tbl>
                <w:p w14:paraId="65473027" w14:textId="691C8F81" w:rsidR="006E2AFC" w:rsidRPr="00321BC5" w:rsidRDefault="00C030DC" w:rsidP="001267B9">
                  <w:pPr>
                    <w:pStyle w:val="Text"/>
                    <w:rPr>
                      <w:i/>
                      <w:sz w:val="20"/>
                      <w:szCs w:val="18"/>
                      <w:lang w:val="en-US"/>
                    </w:rPr>
                  </w:pPr>
                  <w:r w:rsidRPr="008E1B83">
                    <w:rPr>
                      <w:i/>
                      <w:sz w:val="20"/>
                      <w:szCs w:val="18"/>
                      <w:lang w:val="en-US"/>
                    </w:rPr>
                    <w:t>Source: DEX-SCORE data</w:t>
                  </w:r>
                </w:p>
                <w:p w14:paraId="4FDBB26B" w14:textId="059B2EEF" w:rsidR="005674C7" w:rsidRDefault="00726DA4" w:rsidP="005674C7">
                  <w:pPr>
                    <w:pStyle w:val="Text"/>
                  </w:pPr>
                  <w:r>
                    <w:t xml:space="preserve">Despite the positive outcomes shown in SCORE data, </w:t>
                  </w:r>
                  <w:r w:rsidR="005674C7">
                    <w:t xml:space="preserve">FaRS and SFVS service providers </w:t>
                  </w:r>
                  <w:r>
                    <w:t xml:space="preserve">reported that they </w:t>
                  </w:r>
                  <w:r w:rsidR="00A64892">
                    <w:t>felt</w:t>
                  </w:r>
                  <w:r w:rsidR="005674C7">
                    <w:t xml:space="preserve"> mixed in their ability to meet the needs of CALD communities. </w:t>
                  </w:r>
                  <w:r w:rsidR="005A7B2A">
                    <w:t>S</w:t>
                  </w:r>
                  <w:r w:rsidR="005674C7">
                    <w:t xml:space="preserve">ome noted success at developing programs and service delivery approaches aligning with cultural understandings and language of different communities, including SFVS providers establishing CALD-specific </w:t>
                  </w:r>
                  <w:r w:rsidR="00BD2DE7">
                    <w:t>MBCPs</w:t>
                  </w:r>
                  <w:r w:rsidR="008704A8">
                    <w:t>. O</w:t>
                  </w:r>
                  <w:r w:rsidR="005674C7">
                    <w:t>thers reported difficulty in this space. Barriers identified included lack of access to</w:t>
                  </w:r>
                  <w:r w:rsidR="008704A8">
                    <w:t>,</w:t>
                  </w:r>
                  <w:r w:rsidR="005674C7">
                    <w:t xml:space="preserve"> and funding for</w:t>
                  </w:r>
                  <w:r w:rsidR="008704A8">
                    <w:t>,</w:t>
                  </w:r>
                  <w:r w:rsidR="005674C7">
                    <w:t xml:space="preserve"> interpreters and bilingual staff</w:t>
                  </w:r>
                  <w:r w:rsidR="00C7015A">
                    <w:t xml:space="preserve">. This barrier to interpreters was </w:t>
                  </w:r>
                  <w:r w:rsidR="005674C7">
                    <w:t xml:space="preserve">exacerbated by the reluctance of some </w:t>
                  </w:r>
                  <w:r w:rsidR="00317C98">
                    <w:t xml:space="preserve">CALD </w:t>
                  </w:r>
                  <w:r w:rsidR="00C7015A">
                    <w:t>service users</w:t>
                  </w:r>
                  <w:r w:rsidR="005674C7">
                    <w:t xml:space="preserve"> to work with people from their </w:t>
                  </w:r>
                  <w:r w:rsidR="00FE0613">
                    <w:lastRenderedPageBreak/>
                    <w:t xml:space="preserve">own </w:t>
                  </w:r>
                  <w:r w:rsidR="005674C7">
                    <w:t xml:space="preserve">cultural group for privacy reasons. The value of partnering with specialist </w:t>
                  </w:r>
                  <w:r w:rsidR="00317C98">
                    <w:t xml:space="preserve">CALD </w:t>
                  </w:r>
                  <w:r w:rsidR="005674C7">
                    <w:t>organisations to bolster capability and address skills gaps was also emphasised.</w:t>
                  </w:r>
                </w:p>
                <w:p w14:paraId="3A589301" w14:textId="7A28C19D" w:rsidR="005674C7" w:rsidRPr="007B623E" w:rsidRDefault="005674C7" w:rsidP="005674C7">
                  <w:pPr>
                    <w:pBdr>
                      <w:left w:val="single" w:sz="18" w:space="4" w:color="78B800" w:themeColor="accent1"/>
                    </w:pBdr>
                    <w:tabs>
                      <w:tab w:val="left" w:pos="8080"/>
                    </w:tabs>
                    <w:spacing w:after="0"/>
                    <w:ind w:left="851" w:right="949"/>
                    <w:rPr>
                      <w:i/>
                    </w:rPr>
                  </w:pPr>
                  <w:r w:rsidRPr="002E7992">
                    <w:rPr>
                      <w:noProof/>
                    </w:rPr>
                    <w:drawing>
                      <wp:anchor distT="0" distB="0" distL="114300" distR="114300" simplePos="0" relativeHeight="251658384" behindDoc="0" locked="1" layoutInCell="1" allowOverlap="1" wp14:anchorId="739432AD" wp14:editId="4B3F6CBF">
                        <wp:simplePos x="0" y="0"/>
                        <wp:positionH relativeFrom="column">
                          <wp:posOffset>0</wp:posOffset>
                        </wp:positionH>
                        <wp:positionV relativeFrom="paragraph">
                          <wp:posOffset>0</wp:posOffset>
                        </wp:positionV>
                        <wp:extent cx="384810" cy="320040"/>
                        <wp:effectExtent l="0" t="0" r="0" b="3810"/>
                        <wp:wrapNone/>
                        <wp:docPr id="1692969137" name="Graphic 1692969137" descr="P3886#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2969137" name="Graphic 1692969137" descr="P3886#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i/>
                      <w:iCs/>
                    </w:rPr>
                    <w:t xml:space="preserve">We have done a lot of work in this space and we’re really proud of it…one of the really good examples is a collaboration [we had] with the local multicultural service…I think that collaboration with other organisations that are experts in those cohorts and </w:t>
                  </w:r>
                  <w:r w:rsidR="005072EF">
                    <w:rPr>
                      <w:i/>
                      <w:iCs/>
                    </w:rPr>
                    <w:t>client</w:t>
                  </w:r>
                  <w:r>
                    <w:rPr>
                      <w:i/>
                      <w:iCs/>
                    </w:rPr>
                    <w:t xml:space="preserve"> are really, really important because we’re not going to pretend that we know how to do a good job in those spaces </w:t>
                  </w:r>
                  <w:r w:rsidRPr="002E7992">
                    <w:rPr>
                      <w:b/>
                      <w:bCs/>
                      <w:i/>
                      <w:iCs/>
                    </w:rPr>
                    <w:t>–</w:t>
                  </w:r>
                  <w:r>
                    <w:rPr>
                      <w:b/>
                      <w:bCs/>
                      <w:i/>
                      <w:iCs/>
                    </w:rPr>
                    <w:t xml:space="preserve"> FaRS s</w:t>
                  </w:r>
                  <w:r w:rsidRPr="002E7992">
                    <w:rPr>
                      <w:b/>
                      <w:bCs/>
                      <w:i/>
                      <w:iCs/>
                    </w:rPr>
                    <w:t xml:space="preserve">ervice </w:t>
                  </w:r>
                  <w:r>
                    <w:rPr>
                      <w:b/>
                      <w:bCs/>
                      <w:i/>
                      <w:iCs/>
                    </w:rPr>
                    <w:t>provider</w:t>
                  </w:r>
                </w:p>
                <w:p w14:paraId="730C68EC" w14:textId="77777777" w:rsidR="005674C7" w:rsidRDefault="005674C7" w:rsidP="005674C7">
                  <w:pPr>
                    <w:pStyle w:val="Text"/>
                    <w:spacing w:after="120"/>
                  </w:pPr>
                </w:p>
                <w:p w14:paraId="3E222497" w14:textId="0898A42B" w:rsidR="005674C7" w:rsidRDefault="005674C7" w:rsidP="005674C7">
                  <w:pPr>
                    <w:pStyle w:val="Text"/>
                  </w:pPr>
                  <w:r>
                    <w:t xml:space="preserve">Linked to findings from the literature regarding </w:t>
                  </w:r>
                  <w:r w:rsidRPr="005716DC">
                    <w:t xml:space="preserve">culturally adapted educational campaigns, which may use terms like </w:t>
                  </w:r>
                  <w:r w:rsidR="005B5E3F">
                    <w:t>‘</w:t>
                  </w:r>
                  <w:r w:rsidRPr="005716DC">
                    <w:t>family safety</w:t>
                  </w:r>
                  <w:r w:rsidR="005B5E3F">
                    <w:t>’</w:t>
                  </w:r>
                  <w:r w:rsidRPr="005716DC">
                    <w:t xml:space="preserve"> instead of </w:t>
                  </w:r>
                  <w:r w:rsidR="005B5E3F">
                    <w:t>‘</w:t>
                  </w:r>
                  <w:r w:rsidRPr="005716DC">
                    <w:t>domestic violence</w:t>
                  </w:r>
                  <w:r w:rsidR="005B5E3F">
                    <w:t>’</w:t>
                  </w:r>
                  <w:r w:rsidRPr="005716DC">
                    <w:t xml:space="preserve"> </w:t>
                  </w:r>
                  <w:r w:rsidRPr="005716DC">
                    <w:fldChar w:fldCharType="begin"/>
                  </w:r>
                  <w:r w:rsidR="00E41D03">
                    <w:instrText xml:space="preserve"> ADDIN ZOTERO_ITEM CSL_CITATION {"citationID":"6jvapFIx","properties":{"formattedCitation":"(Truong et al., 2020)","plainCitation":"(Truong et al., 2020)","noteIndex":0},"citationItems":[{"id":4716,"uris":["http://zotero.org/groups/5691188/items/QX2HHBEW"],"itemData":{"id":4716,"type":"report","collection-title":"CSRM Working Paper","language":"en","number":"1/2020","publisher":"Centre for Social Research &amp; Methods","source":"Zotero","title":"Faith-based communities’ responses to family and domestic violence","author":[{"family":"Truong","given":"M"},{"family":"Sharif","given":"M"},{"family":"Pasalich","given":"D"},{"family":"Olsen","given":"A"},{"family":"Calabria","given":"B"},{"family":"Priest","given":"N"}],"issued":{"date-parts":[["2020"]]}}}],"schema":"https://github.com/citation-style-language/schema/raw/master/csl-citation.json"} </w:instrText>
                  </w:r>
                  <w:r w:rsidRPr="005716DC">
                    <w:fldChar w:fldCharType="separate"/>
                  </w:r>
                  <w:r w:rsidRPr="005716DC">
                    <w:rPr>
                      <w:rFonts w:ascii="Arial" w:hAnsi="Arial" w:cs="Arial"/>
                    </w:rPr>
                    <w:t>(Truong et al., 2020)</w:t>
                  </w:r>
                  <w:r w:rsidRPr="005716DC">
                    <w:fldChar w:fldCharType="end"/>
                  </w:r>
                  <w:r>
                    <w:t xml:space="preserve">, </w:t>
                  </w:r>
                  <w:r w:rsidR="00FB50BC">
                    <w:t xml:space="preserve">some FaRS and SFVS </w:t>
                  </w:r>
                  <w:r>
                    <w:t>service providers described the importance of accounting for different cultural understandings of the social context of violence, trauma, and family relationships and how these are described. Th</w:t>
                  </w:r>
                  <w:r w:rsidR="00CD07C1">
                    <w:t>is</w:t>
                  </w:r>
                  <w:r>
                    <w:t xml:space="preserve"> require</w:t>
                  </w:r>
                  <w:r w:rsidR="00CD07C1">
                    <w:t>s</w:t>
                  </w:r>
                  <w:r>
                    <w:t xml:space="preserve"> tailoring and specific treatment of topics including parenting, accountability</w:t>
                  </w:r>
                  <w:r w:rsidR="0011051C">
                    <w:t>,</w:t>
                  </w:r>
                  <w:r>
                    <w:t xml:space="preserve"> and family violence which can present challenges for services, requiring support </w:t>
                  </w:r>
                  <w:r w:rsidR="00FB50BC">
                    <w:t xml:space="preserve">from </w:t>
                  </w:r>
                  <w:r>
                    <w:t>and collaboration</w:t>
                  </w:r>
                  <w:r w:rsidR="00FB50BC">
                    <w:t xml:space="preserve"> with CALD communities and organisations. </w:t>
                  </w:r>
                </w:p>
                <w:p w14:paraId="3EE27C43" w14:textId="4A54745A" w:rsidR="005674C7" w:rsidRPr="007B623E" w:rsidRDefault="005674C7" w:rsidP="005674C7">
                  <w:pPr>
                    <w:pBdr>
                      <w:left w:val="single" w:sz="18" w:space="4" w:color="78B800" w:themeColor="accent1"/>
                    </w:pBdr>
                    <w:tabs>
                      <w:tab w:val="left" w:pos="8080"/>
                    </w:tabs>
                    <w:spacing w:after="0"/>
                    <w:ind w:left="851" w:right="949"/>
                    <w:rPr>
                      <w:i/>
                    </w:rPr>
                  </w:pPr>
                  <w:r w:rsidRPr="002E7992">
                    <w:rPr>
                      <w:noProof/>
                    </w:rPr>
                    <w:drawing>
                      <wp:anchor distT="0" distB="0" distL="114300" distR="114300" simplePos="0" relativeHeight="251658385" behindDoc="0" locked="1" layoutInCell="1" allowOverlap="1" wp14:anchorId="338F7786" wp14:editId="1FB50070">
                        <wp:simplePos x="0" y="0"/>
                        <wp:positionH relativeFrom="column">
                          <wp:posOffset>0</wp:posOffset>
                        </wp:positionH>
                        <wp:positionV relativeFrom="paragraph">
                          <wp:posOffset>0</wp:posOffset>
                        </wp:positionV>
                        <wp:extent cx="384810" cy="320040"/>
                        <wp:effectExtent l="0" t="0" r="0" b="3810"/>
                        <wp:wrapNone/>
                        <wp:docPr id="1659471626" name="Graphic 1659471626" descr="P3889#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471626" name="Graphic 1659471626" descr="P3889#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i/>
                      <w:iCs/>
                    </w:rPr>
                    <w:t>A huge body of work has to be done with clients, particularly male perpetrators</w:t>
                  </w:r>
                  <w:r w:rsidR="00E30EEE">
                    <w:rPr>
                      <w:i/>
                      <w:iCs/>
                    </w:rPr>
                    <w:t>,</w:t>
                  </w:r>
                  <w:r>
                    <w:rPr>
                      <w:i/>
                      <w:iCs/>
                    </w:rPr>
                    <w:t xml:space="preserve"> before you can talk about taking responsibility. Working with men from CALD communities around violence there are huge barriers</w:t>
                  </w:r>
                  <w:r w:rsidR="0069441C">
                    <w:rPr>
                      <w:i/>
                      <w:iCs/>
                    </w:rPr>
                    <w:t>. We</w:t>
                  </w:r>
                  <w:r>
                    <w:rPr>
                      <w:i/>
                      <w:iCs/>
                    </w:rPr>
                    <w:t xml:space="preserve"> need more time and dedicated resources</w:t>
                  </w:r>
                  <w:r w:rsidRPr="00EC3C4C">
                    <w:rPr>
                      <w:i/>
                      <w:iCs/>
                    </w:rPr>
                    <w:t xml:space="preserve"> </w:t>
                  </w:r>
                  <w:r w:rsidRPr="002E7992">
                    <w:rPr>
                      <w:b/>
                      <w:bCs/>
                      <w:i/>
                      <w:iCs/>
                    </w:rPr>
                    <w:t>–</w:t>
                  </w:r>
                  <w:r>
                    <w:rPr>
                      <w:b/>
                      <w:bCs/>
                      <w:i/>
                      <w:iCs/>
                    </w:rPr>
                    <w:t xml:space="preserve"> SFVS s</w:t>
                  </w:r>
                  <w:r w:rsidRPr="002E7992">
                    <w:rPr>
                      <w:b/>
                      <w:bCs/>
                      <w:i/>
                      <w:iCs/>
                    </w:rPr>
                    <w:t xml:space="preserve">ervice </w:t>
                  </w:r>
                  <w:r>
                    <w:rPr>
                      <w:b/>
                      <w:bCs/>
                      <w:i/>
                      <w:iCs/>
                    </w:rPr>
                    <w:t>provider</w:t>
                  </w:r>
                </w:p>
                <w:p w14:paraId="11C5F427" w14:textId="77777777" w:rsidR="005674C7" w:rsidRDefault="005674C7" w:rsidP="005674C7">
                  <w:pPr>
                    <w:pStyle w:val="Text"/>
                  </w:pPr>
                </w:p>
                <w:p w14:paraId="72343F87" w14:textId="57309715" w:rsidR="005674C7" w:rsidRPr="007B623E" w:rsidRDefault="005674C7" w:rsidP="005674C7">
                  <w:pPr>
                    <w:pBdr>
                      <w:left w:val="single" w:sz="18" w:space="4" w:color="78B800" w:themeColor="accent1"/>
                    </w:pBdr>
                    <w:tabs>
                      <w:tab w:val="left" w:pos="8080"/>
                    </w:tabs>
                    <w:spacing w:after="0"/>
                    <w:ind w:left="851" w:right="949"/>
                    <w:rPr>
                      <w:i/>
                    </w:rPr>
                  </w:pPr>
                  <w:r w:rsidRPr="002E7992">
                    <w:rPr>
                      <w:noProof/>
                    </w:rPr>
                    <w:drawing>
                      <wp:anchor distT="0" distB="0" distL="114300" distR="114300" simplePos="0" relativeHeight="251658386" behindDoc="0" locked="1" layoutInCell="1" allowOverlap="1" wp14:anchorId="09C7FB09" wp14:editId="5F1C9D16">
                        <wp:simplePos x="0" y="0"/>
                        <wp:positionH relativeFrom="column">
                          <wp:posOffset>0</wp:posOffset>
                        </wp:positionH>
                        <wp:positionV relativeFrom="paragraph">
                          <wp:posOffset>0</wp:posOffset>
                        </wp:positionV>
                        <wp:extent cx="384810" cy="320040"/>
                        <wp:effectExtent l="0" t="0" r="0" b="3810"/>
                        <wp:wrapNone/>
                        <wp:docPr id="1432879882" name="Graphic 1432879882" descr="P3891#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879882" name="Graphic 1432879882" descr="P3891#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i/>
                      <w:iCs/>
                    </w:rPr>
                    <w:t xml:space="preserve">It’s a challenging relationship working with specific CALD groups around violence, there’s so many cultural considerations to take into account for each </w:t>
                  </w:r>
                  <w:r w:rsidR="0069441C">
                    <w:rPr>
                      <w:i/>
                      <w:iCs/>
                    </w:rPr>
                    <w:t>[…]</w:t>
                  </w:r>
                  <w:r>
                    <w:rPr>
                      <w:i/>
                      <w:iCs/>
                    </w:rPr>
                    <w:t xml:space="preserve"> that it becomes a difficult space to work in</w:t>
                  </w:r>
                  <w:r w:rsidRPr="00EC3C4C">
                    <w:rPr>
                      <w:i/>
                      <w:iCs/>
                    </w:rPr>
                    <w:t xml:space="preserve"> </w:t>
                  </w:r>
                  <w:r w:rsidRPr="002E7992">
                    <w:rPr>
                      <w:b/>
                      <w:bCs/>
                      <w:i/>
                      <w:iCs/>
                    </w:rPr>
                    <w:t>–</w:t>
                  </w:r>
                  <w:r>
                    <w:rPr>
                      <w:b/>
                      <w:bCs/>
                      <w:i/>
                      <w:iCs/>
                    </w:rPr>
                    <w:t xml:space="preserve"> SFVS s</w:t>
                  </w:r>
                  <w:r w:rsidRPr="002E7992">
                    <w:rPr>
                      <w:b/>
                      <w:bCs/>
                      <w:i/>
                      <w:iCs/>
                    </w:rPr>
                    <w:t xml:space="preserve">ervice </w:t>
                  </w:r>
                  <w:r>
                    <w:rPr>
                      <w:b/>
                      <w:bCs/>
                      <w:i/>
                      <w:iCs/>
                    </w:rPr>
                    <w:t>provider</w:t>
                  </w:r>
                </w:p>
                <w:p w14:paraId="59760332" w14:textId="77777777" w:rsidR="005674C7" w:rsidRDefault="005674C7" w:rsidP="005674C7">
                  <w:pPr>
                    <w:pStyle w:val="Text"/>
                    <w:spacing w:after="120"/>
                  </w:pPr>
                </w:p>
                <w:p w14:paraId="1F657766" w14:textId="123ED685" w:rsidR="005674C7" w:rsidRDefault="00FB50BC" w:rsidP="005674C7">
                  <w:pPr>
                    <w:pStyle w:val="Text"/>
                  </w:pPr>
                  <w:r>
                    <w:t>FaRS s</w:t>
                  </w:r>
                  <w:r w:rsidR="005674C7">
                    <w:t>ervice users from CALD communities generally reported positive experiences</w:t>
                  </w:r>
                  <w:r w:rsidR="00607843">
                    <w:t xml:space="preserve"> whether they attend a mainstream or CALD specific service</w:t>
                  </w:r>
                  <w:r w:rsidR="0074016A">
                    <w:t xml:space="preserve">. These positive </w:t>
                  </w:r>
                  <w:r w:rsidR="00E070C1">
                    <w:t>experiences</w:t>
                  </w:r>
                  <w:r w:rsidR="0074016A">
                    <w:t xml:space="preserve"> were</w:t>
                  </w:r>
                  <w:r w:rsidR="005674C7">
                    <w:t xml:space="preserve"> related either to general rapport with their service worker or specific connection and rapport based on their service worker sharing their cultural background. </w:t>
                  </w:r>
                </w:p>
                <w:p w14:paraId="74F9C569" w14:textId="25008DA5" w:rsidR="005674C7" w:rsidRPr="00ED28CD" w:rsidRDefault="005674C7" w:rsidP="008E1B83">
                  <w:pPr>
                    <w:pBdr>
                      <w:left w:val="single" w:sz="18" w:space="4" w:color="78B800" w:themeColor="accent1"/>
                    </w:pBdr>
                    <w:tabs>
                      <w:tab w:val="left" w:pos="8080"/>
                    </w:tabs>
                    <w:spacing w:after="0"/>
                    <w:ind w:left="851" w:right="949"/>
                  </w:pPr>
                  <w:r w:rsidRPr="002E7992">
                    <w:rPr>
                      <w:noProof/>
                    </w:rPr>
                    <w:drawing>
                      <wp:anchor distT="0" distB="0" distL="114300" distR="114300" simplePos="0" relativeHeight="251658387" behindDoc="0" locked="1" layoutInCell="1" allowOverlap="1" wp14:anchorId="1ABE12D0" wp14:editId="49358D07">
                        <wp:simplePos x="0" y="0"/>
                        <wp:positionH relativeFrom="column">
                          <wp:posOffset>0</wp:posOffset>
                        </wp:positionH>
                        <wp:positionV relativeFrom="paragraph">
                          <wp:posOffset>0</wp:posOffset>
                        </wp:positionV>
                        <wp:extent cx="384810" cy="320040"/>
                        <wp:effectExtent l="0" t="0" r="0" b="3810"/>
                        <wp:wrapNone/>
                        <wp:docPr id="324652633" name="Graphic 324652633" descr="P3894#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652633" name="Graphic 324652633" descr="P3894#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i/>
                      <w:iCs/>
                    </w:rPr>
                    <w:t xml:space="preserve">I am Greek, raised in Greece, and now living here. I like how [my counsellor] sees things. She’s Australian but has a Greek background. That gives me a different perspective and mindset. I like the mindset that Aussies have. I need someone to understand </w:t>
                  </w:r>
                  <w:r w:rsidR="00126483">
                    <w:rPr>
                      <w:i/>
                      <w:iCs/>
                    </w:rPr>
                    <w:t>m</w:t>
                  </w:r>
                  <w:r>
                    <w:rPr>
                      <w:i/>
                      <w:iCs/>
                    </w:rPr>
                    <w:t xml:space="preserve">y background too, and [my counsellor] has that combination of both </w:t>
                  </w:r>
                  <w:r w:rsidRPr="002E7992">
                    <w:rPr>
                      <w:b/>
                      <w:bCs/>
                      <w:i/>
                      <w:iCs/>
                    </w:rPr>
                    <w:t>–</w:t>
                  </w:r>
                  <w:r>
                    <w:rPr>
                      <w:b/>
                      <w:bCs/>
                      <w:i/>
                      <w:iCs/>
                    </w:rPr>
                    <w:t xml:space="preserve"> FaRS service user</w:t>
                  </w:r>
                </w:p>
                <w:p w14:paraId="4FE24CBF" w14:textId="77777777" w:rsidR="0021789E" w:rsidRDefault="0021789E">
                  <w:pPr>
                    <w:rPr>
                      <w:rFonts w:ascii="Arial" w:hAnsi="Arial"/>
                      <w:b/>
                      <w:color w:val="007E00" w:themeColor="accent3"/>
                      <w:kern w:val="28"/>
                      <w:sz w:val="36"/>
                      <w:szCs w:val="32"/>
                      <w:lang w:val="en-US"/>
                    </w:rPr>
                  </w:pPr>
                  <w:r>
                    <w:br w:type="page"/>
                  </w:r>
                </w:p>
                <w:p w14:paraId="2D174555" w14:textId="77777777" w:rsidR="005674C7" w:rsidRPr="009C7D7C" w:rsidRDefault="005674C7" w:rsidP="009063EB">
                  <w:pPr>
                    <w:pStyle w:val="Heading3"/>
                  </w:pPr>
                  <w:r w:rsidRPr="009C7D7C">
                    <w:lastRenderedPageBreak/>
                    <w:t>Individuals identifying as LGBTQIA+</w:t>
                  </w:r>
                </w:p>
                <w:p w14:paraId="7AB7C578" w14:textId="6D1EB888" w:rsidR="00F77851" w:rsidRDefault="00BE2FE1" w:rsidP="00F77851">
                  <w:pPr>
                    <w:pStyle w:val="Text"/>
                  </w:pPr>
                  <w:r>
                    <w:t xml:space="preserve">People who identify as </w:t>
                  </w:r>
                  <w:r w:rsidR="005674C7">
                    <w:t>LGBTQIA+ are a priority cohort for</w:t>
                  </w:r>
                  <w:r>
                    <w:t xml:space="preserve"> </w:t>
                  </w:r>
                  <w:r w:rsidR="005674C7">
                    <w:t>SFVS service delivery</w:t>
                  </w:r>
                  <w:r>
                    <w:t>.</w:t>
                  </w:r>
                  <w:r w:rsidR="005674C7">
                    <w:t xml:space="preserve"> </w:t>
                  </w:r>
                  <w:r w:rsidR="00F77851" w:rsidRPr="00F77851">
                    <w:t xml:space="preserve">Although recent changes </w:t>
                  </w:r>
                  <w:r w:rsidR="0086059A">
                    <w:t>to</w:t>
                  </w:r>
                  <w:r w:rsidR="00F77851" w:rsidRPr="00F77851">
                    <w:t xml:space="preserve"> DEX reporting now </w:t>
                  </w:r>
                  <w:r w:rsidR="0086059A">
                    <w:t xml:space="preserve">record </w:t>
                  </w:r>
                  <w:r w:rsidR="00F8577B">
                    <w:t xml:space="preserve">non-binary or self-identified </w:t>
                  </w:r>
                  <w:r w:rsidR="004D60A6">
                    <w:t>g</w:t>
                  </w:r>
                  <w:r w:rsidR="00F8577B">
                    <w:t>ender identify</w:t>
                  </w:r>
                  <w:r w:rsidR="00F77851" w:rsidRPr="00F77851">
                    <w:t>, this change was introduced in February/March 2024. Given this recent change,</w:t>
                  </w:r>
                  <w:r w:rsidR="00F8577B">
                    <w:t xml:space="preserve"> and because DEX does not capture data on service user sexuality,</w:t>
                  </w:r>
                  <w:r w:rsidR="00F77851" w:rsidRPr="00F77851">
                    <w:t xml:space="preserve"> th</w:t>
                  </w:r>
                  <w:r w:rsidR="005A2979">
                    <w:t>is</w:t>
                  </w:r>
                  <w:r w:rsidR="00F77851" w:rsidRPr="00F77851">
                    <w:t xml:space="preserve"> </w:t>
                  </w:r>
                  <w:r w:rsidR="00F8577B">
                    <w:t>evaluation</w:t>
                  </w:r>
                  <w:r w:rsidR="00F77851" w:rsidRPr="00F77851">
                    <w:t xml:space="preserve"> does not </w:t>
                  </w:r>
                  <w:r w:rsidR="00F8577B">
                    <w:t xml:space="preserve">provide analysis on DEX data related </w:t>
                  </w:r>
                  <w:r w:rsidR="00F77851" w:rsidRPr="00F77851">
                    <w:t>LGBTQIA+ status</w:t>
                  </w:r>
                  <w:r w:rsidR="00F8577B">
                    <w:t>.</w:t>
                  </w:r>
                  <w:r w:rsidR="00F77851">
                    <w:t xml:space="preserve"> </w:t>
                  </w:r>
                </w:p>
                <w:p w14:paraId="70CB8ED7" w14:textId="771F89DF" w:rsidR="005674C7" w:rsidRDefault="00A52AD8" w:rsidP="005674C7">
                  <w:pPr>
                    <w:pStyle w:val="Text"/>
                  </w:pPr>
                  <w:r>
                    <w:t>A r</w:t>
                  </w:r>
                  <w:r w:rsidR="005674C7">
                    <w:t xml:space="preserve">eview of the literature and </w:t>
                  </w:r>
                  <w:r>
                    <w:t>feedback</w:t>
                  </w:r>
                  <w:r w:rsidR="005674C7">
                    <w:t xml:space="preserve"> from LGBTQIA+ </w:t>
                  </w:r>
                  <w:r>
                    <w:t>service users</w:t>
                  </w:r>
                  <w:r w:rsidR="005674C7">
                    <w:t xml:space="preserve"> </w:t>
                  </w:r>
                  <w:r>
                    <w:t>gathered during this</w:t>
                  </w:r>
                  <w:r w:rsidR="005674C7">
                    <w:t xml:space="preserve"> evaluation provide</w:t>
                  </w:r>
                  <w:r>
                    <w:t>s</w:t>
                  </w:r>
                  <w:r w:rsidR="005674C7">
                    <w:t xml:space="preserve"> insight into barriers and best practice responses for LGBTQIA+ communities and how FaRS and SFVS services are being experienced by people from LGBTQIA+ communities. </w:t>
                  </w:r>
                </w:p>
                <w:p w14:paraId="4C33BA74" w14:textId="3EC64817" w:rsidR="005674C7" w:rsidRPr="005716DC" w:rsidRDefault="005674C7" w:rsidP="005674C7">
                  <w:pPr>
                    <w:pStyle w:val="Text"/>
                  </w:pPr>
                  <w:r w:rsidRPr="005716DC">
                    <w:t>LGBTQIA+ individuals navigating</w:t>
                  </w:r>
                  <w:r w:rsidR="00C80DBC">
                    <w:t xml:space="preserve"> </w:t>
                  </w:r>
                  <w:r w:rsidRPr="005716DC">
                    <w:t>family</w:t>
                  </w:r>
                  <w:r w:rsidR="00F85C59">
                    <w:t xml:space="preserve"> </w:t>
                  </w:r>
                  <w:r w:rsidRPr="005716DC">
                    <w:t xml:space="preserve">violence face complex challenges that differ from those encountered by cisgender, heterosexual </w:t>
                  </w:r>
                  <w:r w:rsidR="007879E9">
                    <w:t xml:space="preserve">victim </w:t>
                  </w:r>
                  <w:r w:rsidRPr="005716DC">
                    <w:t xml:space="preserve">survivors. The literature highlights specific </w:t>
                  </w:r>
                  <w:r>
                    <w:t>experiences</w:t>
                  </w:r>
                  <w:r w:rsidRPr="005716DC">
                    <w:t xml:space="preserve"> and </w:t>
                  </w:r>
                  <w:r>
                    <w:t>dynamics</w:t>
                  </w:r>
                  <w:r w:rsidRPr="005716DC">
                    <w:t xml:space="preserve"> for LGBTQIA+ </w:t>
                  </w:r>
                  <w:r w:rsidR="00F85C59">
                    <w:t xml:space="preserve">victim </w:t>
                  </w:r>
                  <w:r w:rsidRPr="005716DC">
                    <w:t>survivors</w:t>
                  </w:r>
                  <w:r>
                    <w:t>, including:</w:t>
                  </w:r>
                </w:p>
                <w:p w14:paraId="7784C0CA" w14:textId="4A582847" w:rsidR="005674C7" w:rsidRPr="005716DC" w:rsidRDefault="004B5265" w:rsidP="007046B4">
                  <w:pPr>
                    <w:pStyle w:val="Bullet1"/>
                  </w:pPr>
                  <w:r>
                    <w:t>E</w:t>
                  </w:r>
                  <w:r w:rsidR="005674C7">
                    <w:t xml:space="preserve">xperiencing distinct forms of abuse linked to gender and sexual identities, such as threats of </w:t>
                  </w:r>
                  <w:r w:rsidR="00611A3A">
                    <w:t>‘</w:t>
                  </w:r>
                  <w:r w:rsidR="005674C7">
                    <w:t>outing</w:t>
                  </w:r>
                  <w:r w:rsidR="00611A3A">
                    <w:t>’</w:t>
                  </w:r>
                  <w:r w:rsidR="005674C7">
                    <w:t xml:space="preserve"> or withholding gender-affirming resources. Minority stress – stemming from social stigma and discrimination </w:t>
                  </w:r>
                  <w:r w:rsidR="005674C7" w:rsidRPr="005716DC">
                    <w:t>—</w:t>
                  </w:r>
                  <w:r w:rsidR="005674C7">
                    <w:t xml:space="preserve"> compounds this vulnerability, affecting self-esteem and mental health </w:t>
                  </w:r>
                  <w:r w:rsidR="005674C7" w:rsidRPr="005716DC">
                    <w:fldChar w:fldCharType="begin"/>
                  </w:r>
                  <w:r w:rsidR="003A464F">
                    <w:instrText xml:space="preserve"> ADDIN ZOTERO_ITEM CSL_CITATION {"citationID":"ImAW4wsV","properties":{"formattedCitation":"(Gray et al., 2020; Lusby et al., 2022; Turner and Hammersj\\uc0\\u246{}, 2024)","plainCitation":"(Gray et al., 2020; Lusby et al., 2022; Turner and Hammersjö, 2024)","noteIndex":0},"citationItems":[{"id":4717,"uris":["http://zotero.org/groups/5691188/items/LSPMTCJU"],"itemData":{"id":4717,"type":"report","event-place":"NSW","language":"en","publisher":"Australia's National Research Organisation fro Women's Safety (ANROWS)","publisher-place":"NSW","source":"Zotero","title":"Developing LGBTQ programs for perpetrators and victims/survivors of domestic and family violence","author":[{"family":"Gray","given":"Rebecca"},{"family":"Walker","given":"Tommy"},{"family":"Hamer","given":"Jen"},{"family":"Broady","given":"Timothy"},{"family":"Kean","given":"Jessica"},{"family":"Ling","given":"Joycelyn"},{"family":"Bear","given":"Brandon"}],"issued":{"date-parts":[["2020"]]}}},{"id":"KNHaqWe9/704UyXP9","uris":["http://zotero.org/groups/5121840/items/NHZ2DI59"],"itemData":{"id":491,"type":"book","ISBN":"978-0-645-46132-9","language":"en","note":"OCLC: 1351535610","publisher":"Australian Research Centre in Sex, Health and Society, La Trobe University.","source":"Open WorldCat","title":"Opening doors: Ensuring LGBTQ-inclusive family, domestic and sexuial violence services; research report","title-short":"Opening doors","author":[{"family":"Lusby","given":"S"},{"family":"Lim","given":"G"},{"family":"Carman","given":"M"},{"family":"Fraser","given":"S"},{"family":"Parsons","given":"M"},{"family":"Fairchild","given":"J"},{"family":"Bourne","given":"A"}],"issued":{"date-parts":[["2022"]]}}},{"id":4604,"uris":["http://zotero.org/groups/5691188/items/ML5895Z7"],"itemData":{"id":4604,"type":"article-journal","abstract":"Seeking and receiving social support following violent and abusive relationships is a complex process, involving a range of barriers for anyone. LGBTQ survivors of intimate partner violence face additional barriers to both seeking and receiving appropriate help, yet few studies have explored the way these barriers are navigated from the experiential viewpoint. Knowledge of the subjective journey to access social support may help improve social work practice with LGBTQ people leaving abusive relationships. This study explored the lived experiences of support-seeking through in-depth interviews with LGBTQ survivors of IPV in Sweden ( n = 7, age range 18–56). Interpretative Phenomenological Analysis was used for interview design, conduct, and analysis to offer a detailed, first-person, and contextual account of the support-seeking process. Drawing on a phenomenological analysis of lifeworlds, five main themes were produced which illuminate some of the shared experiential features of participants’ journeys to access support. Within each main theme, the analysis also highlights divergences relating to participants’ differing lifeworlds. The analysis thus provides an in-depth, phenomenological understanding of the support-seeking process, including the barriers to, but also the individual and social enablers of, seeking support. Support-seeking processes for LGBTQ survivors of IPV may, at the experiential level, be more diffuse than current theoretical models suggest, with relational ‘strategies of navigation’ being of primary concern to individuals. For policy and practice, the importance of the wide range of generic professionals, who may be the first point of contact, should be emphasised, as well as the role of family and friends as a support and catalyst in the support-seeking process.","container-title":"Qualitative Social Work","DOI":"10.1177/14733250221150208","ISSN":"1473-3250, 1741-3117","issue":"2","journalAbbreviation":"Qualitative Social Work","language":"en","page":"242-260","source":"DOI.org (Crossref)","title":"Navigating survivorhood? Lived experiences of social support-seeking among LGBTQ survivors of intimate partner violence","title-short":"Navigating survivorhood?","volume":"23","author":[{"family":"Turner","given":"Russell"},{"family":"Hammersjö","given":"Anjelica"}],"issued":{"date-parts":[["2024",3]]}}}],"schema":"https://github.com/citation-style-language/schema/raw/master/csl-citation.json"} </w:instrText>
                  </w:r>
                  <w:r w:rsidR="005674C7" w:rsidRPr="005716DC">
                    <w:fldChar w:fldCharType="separate"/>
                  </w:r>
                  <w:r w:rsidR="005674C7" w:rsidRPr="00795A5F">
                    <w:rPr>
                      <w:rFonts w:ascii="Arial" w:hAnsi="Arial" w:cs="Arial"/>
                    </w:rPr>
                    <w:t>(Gray et al., 2020; Lusby et al., 2022; Turner and Hammersjö, 2024)</w:t>
                  </w:r>
                  <w:r w:rsidR="005674C7" w:rsidRPr="005716DC">
                    <w:fldChar w:fldCharType="end"/>
                  </w:r>
                  <w:r>
                    <w:t>.</w:t>
                  </w:r>
                </w:p>
                <w:p w14:paraId="3AE4FE9E" w14:textId="6F90F198" w:rsidR="005674C7" w:rsidRPr="005716DC" w:rsidRDefault="004B5265" w:rsidP="007046B4">
                  <w:pPr>
                    <w:pStyle w:val="Bullet1"/>
                  </w:pPr>
                  <w:r>
                    <w:t>A</w:t>
                  </w:r>
                  <w:r w:rsidR="005674C7">
                    <w:t xml:space="preserve"> strong sense of community loyalty, leading to hesitation to disclose abuse to avoid stigmatising their community</w:t>
                  </w:r>
                  <w:r w:rsidR="00694624">
                    <w:t xml:space="preserve"> </w:t>
                  </w:r>
                  <w:r w:rsidR="00B8754A" w:rsidRPr="005716DC">
                    <w:fldChar w:fldCharType="begin"/>
                  </w:r>
                  <w:r w:rsidR="003A464F">
                    <w:instrText xml:space="preserve"> ADDIN ZOTERO_ITEM CSL_CITATION {"citationID":"hSo15Td6","properties":{"formattedCitation":"(Lusby et al., 2022; Turner and Hammersj\\uc0\\u246{}, 2024)","plainCitation":"(Lusby et al., 2022; Turner and Hammersjö, 2024)","noteIndex":0},"citationItems":[{"id":"KNHaqWe9/704UyXP9","uris":["http://zotero.org/groups/5121840/items/NHZ2DI59"],"itemData":{"id":491,"type":"book","ISBN":"978-0-645-46132-9","language":"en","note":"OCLC: 1351535610","publisher":"Australian Research Centre in Sex, Health and Society, La Trobe University.","source":"Open WorldCat","title":"Opening doors: Ensuring LGBTQ-inclusive family, domestic and sexuial violence services; research report","title-short":"Opening doors","author":[{"family":"Lusby","given":"S"},{"family":"Lim","given":"G"},{"family":"Carman","given":"M"},{"family":"Fraser","given":"S"},{"family":"Parsons","given":"M"},{"family":"Fairchild","given":"J"},{"family":"Bourne","given":"A"}],"issued":{"date-parts":[["2022"]]}}},{"id":4604,"uris":["http://zotero.org/groups/5691188/items/ML5895Z7"],"itemData":{"id":4604,"type":"article-journal","abstract":"Seeking and receiving social support following violent and abusive relationships is a complex process, involving a range of barriers for anyone. LGBTQ survivors of intimate partner violence face additional barriers to both seeking and receiving appropriate help, yet few studies have explored the way these barriers are navigated from the experiential viewpoint. Knowledge of the subjective journey to access social support may help improve social work practice with LGBTQ people leaving abusive relationships. This study explored the lived experiences of support-seeking through in-depth interviews with LGBTQ survivors of IPV in Sweden ( n = 7, age range 18–56). Interpretative Phenomenological Analysis was used for interview design, conduct, and analysis to offer a detailed, first-person, and contextual account of the support-seeking process. Drawing on a phenomenological analysis of lifeworlds, five main themes were produced which illuminate some of the shared experiential features of participants’ journeys to access support. Within each main theme, the analysis also highlights divergences relating to participants’ differing lifeworlds. The analysis thus provides an in-depth, phenomenological understanding of the support-seeking process, including the barriers to, but also the individual and social enablers of, seeking support. Support-seeking processes for LGBTQ survivors of IPV may, at the experiential level, be more diffuse than current theoretical models suggest, with relational ‘strategies of navigation’ being of primary concern to individuals. For policy and practice, the importance of the wide range of generic professionals, who may be the first point of contact, should be emphasised, as well as the role of family and friends as a support and catalyst in the support-seeking process.","container-title":"Qualitative Social Work","DOI":"10.1177/14733250221150208","ISSN":"1473-3250, 1741-3117","issue":"2","journalAbbreviation":"Qualitative Social Work","language":"en","page":"242-260","source":"DOI.org (Crossref)","title":"Navigating survivorhood? Lived experiences of social support-seeking among LGBTQ survivors of intimate partner violence","title-short":"Navigating survivorhood?","volume":"23","author":[{"family":"Turner","given":"Russell"},{"family":"Hammersjö","given":"Anjelica"}],"issued":{"date-parts":[["2024",3]]}}}],"schema":"https://github.com/citation-style-language/schema/raw/master/csl-citation.json"} </w:instrText>
                  </w:r>
                  <w:r w:rsidR="00B8754A" w:rsidRPr="005716DC">
                    <w:fldChar w:fldCharType="separate"/>
                  </w:r>
                  <w:r w:rsidR="00B8754A" w:rsidRPr="00795A5F">
                    <w:rPr>
                      <w:rFonts w:ascii="Arial" w:hAnsi="Arial" w:cs="Arial"/>
                    </w:rPr>
                    <w:t>(Lusby et al., 2022; Turner and Hammersjö, 2024)</w:t>
                  </w:r>
                  <w:r w:rsidR="00B8754A" w:rsidRPr="005716DC">
                    <w:fldChar w:fldCharType="end"/>
                  </w:r>
                  <w:r>
                    <w:t>.</w:t>
                  </w:r>
                </w:p>
                <w:p w14:paraId="7E08C956" w14:textId="15203585" w:rsidR="005674C7" w:rsidRPr="005716DC" w:rsidRDefault="004B5265" w:rsidP="007046B4">
                  <w:pPr>
                    <w:pStyle w:val="Bullet1"/>
                  </w:pPr>
                  <w:r>
                    <w:t>F</w:t>
                  </w:r>
                  <w:r w:rsidR="005674C7">
                    <w:t xml:space="preserve">inding it difficult to approach mainstream services perceived as heteronormative or biased, further complicating their help-seeking journey </w:t>
                  </w:r>
                  <w:r w:rsidR="005674C7" w:rsidRPr="005716DC">
                    <w:fldChar w:fldCharType="begin"/>
                  </w:r>
                  <w:r w:rsidR="003A464F">
                    <w:instrText xml:space="preserve"> ADDIN ZOTERO_ITEM CSL_CITATION {"citationID":"NJNnDKva","properties":{"formattedCitation":"(Lusby et al., 2022; Turner and Hammersj\\uc0\\u246{}, 2024)","plainCitation":"(Lusby et al., 2022; Turner and Hammersjö, 2024)","noteIndex":0},"citationItems":[{"id":"KNHaqWe9/704UyXP9","uris":["http://zotero.org/groups/5121840/items/NHZ2DI59"],"itemData":{"id":491,"type":"book","ISBN":"978-0-645-46132-9","language":"en","note":"OCLC: 1351535610","publisher":"Australian Research Centre in Sex, Health and Society, La Trobe University.","source":"Open WorldCat","title":"Opening doors: Ensuring LGBTQ-inclusive family, domestic and sexuial violence services; research report","title-short":"Opening doors","author":[{"family":"Lusby","given":"S"},{"family":"Lim","given":"G"},{"family":"Carman","given":"M"},{"family":"Fraser","given":"S"},{"family":"Parsons","given":"M"},{"family":"Fairchild","given":"J"},{"family":"Bourne","given":"A"}],"issued":{"date-parts":[["2022"]]}}},{"id":4604,"uris":["http://zotero.org/groups/5691188/items/ML5895Z7"],"itemData":{"id":4604,"type":"article-journal","abstract":"Seeking and receiving social support following violent and abusive relationships is a complex process, involving a range of barriers for anyone. LGBTQ survivors of intimate partner violence face additional barriers to both seeking and receiving appropriate help, yet few studies have explored the way these barriers are navigated from the experiential viewpoint. Knowledge of the subjective journey to access social support may help improve social work practice with LGBTQ people leaving abusive relationships. This study explored the lived experiences of support-seeking through in-depth interviews with LGBTQ survivors of IPV in Sweden ( n = 7, age range 18–56). Interpretative Phenomenological Analysis was used for interview design, conduct, and analysis to offer a detailed, first-person, and contextual account of the support-seeking process. Drawing on a phenomenological analysis of lifeworlds, five main themes were produced which illuminate some of the shared experiential features of participants’ journeys to access support. Within each main theme, the analysis also highlights divergences relating to participants’ differing lifeworlds. The analysis thus provides an in-depth, phenomenological understanding of the support-seeking process, including the barriers to, but also the individual and social enablers of, seeking support. Support-seeking processes for LGBTQ survivors of IPV may, at the experiential level, be more diffuse than current theoretical models suggest, with relational ‘strategies of navigation’ being of primary concern to individuals. For policy and practice, the importance of the wide range of generic professionals, who may be the first point of contact, should be emphasised, as well as the role of family and friends as a support and catalyst in the support-seeking process.","container-title":"Qualitative Social Work","DOI":"10.1177/14733250221150208","ISSN":"1473-3250, 1741-3117","issue":"2","journalAbbreviation":"Qualitative Social Work","language":"en","page":"242-260","source":"DOI.org (Crossref)","title":"Navigating survivorhood? Lived experiences of social support-seeking among LGBTQ survivors of intimate partner violence","title-short":"Navigating survivorhood?","volume":"23","author":[{"family":"Turner","given":"Russell"},{"family":"Hammersjö","given":"Anjelica"}],"issued":{"date-parts":[["2024",3]]}}}],"schema":"https://github.com/citation-style-language/schema/raw/master/csl-citation.json"} </w:instrText>
                  </w:r>
                  <w:r w:rsidR="005674C7" w:rsidRPr="005716DC">
                    <w:fldChar w:fldCharType="separate"/>
                  </w:r>
                  <w:r w:rsidR="005674C7" w:rsidRPr="00795A5F">
                    <w:rPr>
                      <w:rFonts w:ascii="Arial" w:hAnsi="Arial" w:cs="Arial"/>
                    </w:rPr>
                    <w:t>(Lusby et al., 2022; Turner and Hammersjö, 2024)</w:t>
                  </w:r>
                  <w:r w:rsidR="005674C7" w:rsidRPr="005716DC">
                    <w:fldChar w:fldCharType="end"/>
                  </w:r>
                  <w:r>
                    <w:t>.</w:t>
                  </w:r>
                </w:p>
                <w:p w14:paraId="3220F58F" w14:textId="72BEBC0A" w:rsidR="005674C7" w:rsidRPr="005716DC" w:rsidRDefault="004B5265" w:rsidP="007046B4">
                  <w:pPr>
                    <w:pStyle w:val="Bullet1"/>
                  </w:pPr>
                  <w:r>
                    <w:t>E</w:t>
                  </w:r>
                  <w:r w:rsidR="005674C7">
                    <w:t xml:space="preserve">xperiencing internalised doubts about their right to seek help, often stemming from societal stigma and narratives framing family violence as a predominantly heterosexual issue. </w:t>
                  </w:r>
                  <w:r w:rsidR="005674C7" w:rsidRPr="005716DC">
                    <w:t>This perception, combined with isolation from traditional support networks, can make it harder for LGBTQIA+ survivors to recogni</w:t>
                  </w:r>
                  <w:r w:rsidR="005674C7">
                    <w:t>s</w:t>
                  </w:r>
                  <w:r w:rsidR="005674C7" w:rsidRPr="005716DC">
                    <w:t xml:space="preserve">e their experiences as abuse​ </w:t>
                  </w:r>
                  <w:r w:rsidR="005674C7" w:rsidRPr="005716DC">
                    <w:fldChar w:fldCharType="begin"/>
                  </w:r>
                  <w:r w:rsidR="00E41D03">
                    <w:instrText xml:space="preserve"> ADDIN ZOTERO_ITEM CSL_CITATION {"citationID":"59239TG2","properties":{"formattedCitation":"(Gray et al., 2020; Turner and Hammersj\\uc0\\u246{}, 2024)","plainCitation":"(Gray et al., 2020; Turner and Hammersjö, 2024)","noteIndex":0},"citationItems":[{"id":4717,"uris":["http://zotero.org/groups/5691188/items/LSPMTCJU"],"itemData":{"id":4717,"type":"report","event-place":"NSW","language":"en","publisher":"Australia's National Research Organisation fro Women's Safety (ANROWS)","publisher-place":"NSW","source":"Zotero","title":"Developing LGBTQ programs for perpetrators and victims/survivors of domestic and family violence","author":[{"family":"Gray","given":"Rebecca"},{"family":"Walker","given":"Tommy"},{"family":"Hamer","given":"Jen"},{"family":"Broady","given":"Timothy"},{"family":"Kean","given":"Jessica"},{"family":"Ling","given":"Joycelyn"},{"family":"Bear","given":"Brandon"}],"issued":{"date-parts":[["2020"]]}}},{"id":4604,"uris":["http://zotero.org/groups/5691188/items/ML5895Z7"],"itemData":{"id":4604,"type":"article-journal","abstract":"Seeking and receiving social support following violent and abusive relationships is a complex process, involving a range of barriers for anyone. LGBTQ survivors of intimate partner violence face additional barriers to both seeking and receiving appropriate help, yet few studies have explored the way these barriers are navigated from the experiential viewpoint. Knowledge of the subjective journey to access social support may help improve social work practice with LGBTQ people leaving abusive relationships. This study explored the lived experiences of support-seeking through in-depth interviews with LGBTQ survivors of IPV in Sweden ( n = 7, age range 18–56). Interpretative Phenomenological Analysis was used for interview design, conduct, and analysis to offer a detailed, first-person, and contextual account of the support-seeking process. Drawing on a phenomenological analysis of lifeworlds, five main themes were produced which illuminate some of the shared experiential features of participants’ journeys to access support. Within each main theme, the analysis also highlights divergences relating to participants’ differing lifeworlds. The analysis thus provides an in-depth, phenomenological understanding of the support-seeking process, including the barriers to, but also the individual and social enablers of, seeking support. Support-seeking processes for LGBTQ survivors of IPV may, at the experiential level, be more diffuse than current theoretical models suggest, with relational ‘strategies of navigation’ being of primary concern to individuals. For policy and practice, the importance of the wide range of generic professionals, who may be the first point of contact, should be emphasised, as well as the role of family and friends as a support and catalyst in the support-seeking process.","container-title":"Qualitative Social Work","DOI":"10.1177/14733250221150208","ISSN":"1473-3250, 1741-3117","issue":"2","journalAbbreviation":"Qualitative Social Work","language":"en","page":"242-260","source":"DOI.org (Crossref)","title":"Navigating survivorhood? Lived experiences of social support-seeking among LGBTQ survivors of intimate partner violence","title-short":"Navigating survivorhood?","volume":"23","author":[{"family":"Turner","given":"Russell"},{"family":"Hammersjö","given":"Anjelica"}],"issued":{"date-parts":[["2024",3]]}}}],"schema":"https://github.com/citation-style-language/schema/raw/master/csl-citation.json"} </w:instrText>
                  </w:r>
                  <w:r w:rsidR="005674C7" w:rsidRPr="005716DC">
                    <w:fldChar w:fldCharType="separate"/>
                  </w:r>
                  <w:r w:rsidR="005674C7" w:rsidRPr="00795A5F">
                    <w:rPr>
                      <w:rFonts w:ascii="Arial" w:hAnsi="Arial" w:cs="Arial"/>
                    </w:rPr>
                    <w:t>(Gray et al., 2020; Turner and Hammersjö, 2024)</w:t>
                  </w:r>
                  <w:r w:rsidR="005674C7" w:rsidRPr="005716DC">
                    <w:fldChar w:fldCharType="end"/>
                  </w:r>
                  <w:r w:rsidR="005674C7" w:rsidRPr="005716DC">
                    <w:t>.</w:t>
                  </w:r>
                </w:p>
                <w:p w14:paraId="3579389B" w14:textId="37C12CAB" w:rsidR="005674C7" w:rsidRPr="005716DC" w:rsidRDefault="00D7709B" w:rsidP="005674C7">
                  <w:pPr>
                    <w:pStyle w:val="Text"/>
                  </w:pPr>
                  <w:r>
                    <w:t>T</w:t>
                  </w:r>
                  <w:r w:rsidR="005674C7" w:rsidRPr="005716DC">
                    <w:t xml:space="preserve">he literature </w:t>
                  </w:r>
                  <w:r>
                    <w:t xml:space="preserve">suggests </w:t>
                  </w:r>
                  <w:r w:rsidR="005674C7" w:rsidRPr="005716DC">
                    <w:t>several best practice approaches for inclusive service delivery for LGBTQIA+ people experiencing family violence</w:t>
                  </w:r>
                  <w:r w:rsidR="005674C7">
                    <w:t>, including</w:t>
                  </w:r>
                  <w:r w:rsidR="005674C7" w:rsidRPr="005716DC">
                    <w:t xml:space="preserve">: </w:t>
                  </w:r>
                </w:p>
                <w:p w14:paraId="067D5AFE" w14:textId="3FF78206" w:rsidR="005674C7" w:rsidRPr="005716DC" w:rsidRDefault="005674C7" w:rsidP="007046B4">
                  <w:pPr>
                    <w:pStyle w:val="Bullet1"/>
                  </w:pPr>
                  <w:r w:rsidRPr="007046B4" w:rsidDel="00A859E2">
                    <w:t>I</w:t>
                  </w:r>
                  <w:r w:rsidRPr="007046B4">
                    <w:t>nclusive and affirming program design</w:t>
                  </w:r>
                  <w:r w:rsidRPr="005716DC">
                    <w:t>: Tailor</w:t>
                  </w:r>
                  <w:r>
                    <w:t>ing</w:t>
                  </w:r>
                  <w:r w:rsidRPr="005716DC">
                    <w:t xml:space="preserve"> programs that address LGBTQIA+ specific dynamics </w:t>
                  </w:r>
                  <w:r>
                    <w:t>and</w:t>
                  </w:r>
                  <w:r w:rsidRPr="005716DC">
                    <w:t xml:space="preserve"> represent LGBTQIA+ relationships</w:t>
                  </w:r>
                  <w:r>
                    <w:t xml:space="preserve"> </w:t>
                  </w:r>
                  <w:r w:rsidRPr="005716DC">
                    <w:t xml:space="preserve">​ </w:t>
                  </w:r>
                  <w:r w:rsidRPr="005716DC">
                    <w:fldChar w:fldCharType="begin"/>
                  </w:r>
                  <w:r w:rsidR="003A464F">
                    <w:instrText xml:space="preserve"> ADDIN ZOTERO_ITEM CSL_CITATION {"citationID":"uM1f9gsc","properties":{"formattedCitation":"(Gray et al., 2020; Lusby et al., 2022; Turner and Hammersj\\uc0\\u246{}, 2024)","plainCitation":"(Gray et al., 2020; Lusby et al., 2022; Turner and Hammersjö, 2024)","noteIndex":0},"citationItems":[{"id":4717,"uris":["http://zotero.org/groups/5691188/items/LSPMTCJU"],"itemData":{"id":4717,"type":"report","event-place":"NSW","language":"en","publisher":"Australia's National Research Organisation fro Women's Safety (ANROWS)","publisher-place":"NSW","source":"Zotero","title":"Developing LGBTQ programs for perpetrators and victims/survivors of domestic and family violence","author":[{"family":"Gray","given":"Rebecca"},{"family":"Walker","given":"Tommy"},{"family":"Hamer","given":"Jen"},{"family":"Broady","given":"Timothy"},{"family":"Kean","given":"Jessica"},{"family":"Ling","given":"Joycelyn"},{"family":"Bear","given":"Brandon"}],"issued":{"date-parts":[["2020"]]}}},{"id":"KNHaqWe9/704UyXP9","uris":["http://zotero.org/groups/5121840/items/NHZ2DI59"],"itemData":{"id":491,"type":"book","ISBN":"978-0-645-46132-9","language":"en","note":"OCLC: 1351535610","publisher":"Australian Research Centre in Sex, Health and Society, La Trobe University.","source":"Open WorldCat","title":"Opening doors: Ensuring LGBTQ-inclusive family, domestic and sexuial violence services; research report","title-short":"Opening doors","author":[{"family":"Lusby","given":"S"},{"family":"Lim","given":"G"},{"family":"Carman","given":"M"},{"family":"Fraser","given":"S"},{"family":"Parsons","given":"M"},{"family":"Fairchild","given":"J"},{"family":"Bourne","given":"A"}],"issued":{"date-parts":[["2022"]]}}},{"id":4604,"uris":["http://zotero.org/groups/5691188/items/ML5895Z7"],"itemData":{"id":4604,"type":"article-journal","abstract":"Seeking and receiving social support following violent and abusive relationships is a complex process, involving a range of barriers for anyone. LGBTQ survivors of intimate partner violence face additional barriers to both seeking and receiving appropriate help, yet few studies have explored the way these barriers are navigated from the experiential viewpoint. Knowledge of the subjective journey to access social support may help improve social work practice with LGBTQ people leaving abusive relationships. This study explored the lived experiences of support-seeking through in-depth interviews with LGBTQ survivors of IPV in Sweden ( n = 7, age range 18–56). Interpretative Phenomenological Analysis was used for interview design, conduct, and analysis to offer a detailed, first-person, and contextual account of the support-seeking process. Drawing on a phenomenological analysis of lifeworlds, five main themes were produced which illuminate some of the shared experiential features of participants’ journeys to access support. Within each main theme, the analysis also highlights divergences relating to participants’ differing lifeworlds. The analysis thus provides an in-depth, phenomenological understanding of the support-seeking process, including the barriers to, but also the individual and social enablers of, seeking support. Support-seeking processes for LGBTQ survivors of IPV may, at the experiential level, be more diffuse than current theoretical models suggest, with relational ‘strategies of navigation’ being of primary concern to individuals. For policy and practice, the importance of the wide range of generic professionals, who may be the first point of contact, should be emphasised, as well as the role of family and friends as a support and catalyst in the support-seeking process.","container-title":"Qualitative Social Work","DOI":"10.1177/14733250221150208","ISSN":"1473-3250, 1741-3117","issue":"2","journalAbbreviation":"Qualitative Social Work","language":"en","page":"242-260","source":"DOI.org (Crossref)","title":"Navigating survivorhood? Lived experiences of social support-seeking among LGBTQ survivors of intimate partner violence","title-short":"Navigating survivorhood?","volume":"23","author":[{"family":"Turner","given":"Russell"},{"family":"Hammersjö","given":"Anjelica"}],"issued":{"date-parts":[["2024",3]]}}}],"schema":"https://github.com/citation-style-language/schema/raw/master/csl-citation.json"} </w:instrText>
                  </w:r>
                  <w:r w:rsidRPr="005716DC">
                    <w:fldChar w:fldCharType="separate"/>
                  </w:r>
                  <w:r w:rsidRPr="007046B4">
                    <w:t>(Gray et al., 2020; Lusby et al., 2022; Turner and Hammersjö, 2024)</w:t>
                  </w:r>
                  <w:r w:rsidRPr="005716DC">
                    <w:fldChar w:fldCharType="end"/>
                  </w:r>
                  <w:r w:rsidR="00A859E2">
                    <w:t>.</w:t>
                  </w:r>
                </w:p>
                <w:p w14:paraId="12187D18" w14:textId="71277E5A" w:rsidR="005674C7" w:rsidRPr="005716DC" w:rsidRDefault="005674C7" w:rsidP="007046B4">
                  <w:pPr>
                    <w:pStyle w:val="Bullet1"/>
                  </w:pPr>
                  <w:r w:rsidRPr="007046B4">
                    <w:t>Community-led initiatives and LGBTQIA+ Practitioners</w:t>
                  </w:r>
                  <w:r w:rsidRPr="005716DC">
                    <w:t xml:space="preserve">: Grassroots, community-led services are preferred </w:t>
                  </w:r>
                  <w:r>
                    <w:t>and more likely to be trusted</w:t>
                  </w:r>
                  <w:r w:rsidRPr="005716DC">
                    <w:t xml:space="preserve"> by many LGBTQIA+ survivors </w:t>
                  </w:r>
                  <w:r w:rsidRPr="005716DC">
                    <w:fldChar w:fldCharType="begin"/>
                  </w:r>
                  <w:r w:rsidR="003A464F">
                    <w:instrText xml:space="preserve"> ADDIN ZOTERO_ITEM CSL_CITATION {"citationID":"9Ywc0WEt","properties":{"formattedCitation":"(Gray et al., 2020; Lusby et al., 2022)","plainCitation":"(Gray et al., 2020; Lusby et al., 2022)","noteIndex":0},"citationItems":[{"id":4717,"uris":["http://zotero.org/groups/5691188/items/LSPMTCJU"],"itemData":{"id":4717,"type":"report","event-place":"NSW","language":"en","publisher":"Australia's National Research Organisation fro Women's Safety (ANROWS)","publisher-place":"NSW","source":"Zotero","title":"Developing LGBTQ programs for perpetrators and victims/survivors of domestic and family violence","author":[{"family":"Gray","given":"Rebecca"},{"family":"Walker","given":"Tommy"},{"family":"Hamer","given":"Jen"},{"family":"Broady","given":"Timothy"},{"family":"Kean","given":"Jessica"},{"family":"Ling","given":"Joycelyn"},{"family":"Bear","given":"Brandon"}],"issued":{"date-parts":[["2020"]]}}},{"id":"KNHaqWe9/704UyXP9","uris":["http://zotero.org/groups/5121840/items/NHZ2DI59"],"itemData":{"id":491,"type":"book","ISBN":"978-0-645-46132-9","language":"en","note":"OCLC: 1351535610","publisher":"Australian Research Centre in Sex, Health and Society, La Trobe University.","source":"Open WorldCat","title":"Opening doors: Ensuring LGBTQ-inclusive family, domestic and sexuial violence services; research report","title-short":"Opening doors","author":[{"family":"Lusby","given":"S"},{"family":"Lim","given":"G"},{"family":"Carman","given":"M"},{"family":"Fraser","given":"S"},{"family":"Parsons","given":"M"},{"family":"Fairchild","given":"J"},{"family":"Bourne","given":"A"}],"issued":{"date-parts":[["2022"]]}}}],"schema":"https://github.com/citation-style-language/schema/raw/master/csl-citation.json"} </w:instrText>
                  </w:r>
                  <w:r w:rsidRPr="005716DC">
                    <w:fldChar w:fldCharType="separate"/>
                  </w:r>
                  <w:r w:rsidRPr="007046B4">
                    <w:t>(Gray et al., 2020; Lusby et al., 2022)</w:t>
                  </w:r>
                  <w:r w:rsidRPr="005716DC">
                    <w:fldChar w:fldCharType="end"/>
                  </w:r>
                  <w:r w:rsidRPr="005716DC">
                    <w:t>.</w:t>
                  </w:r>
                </w:p>
                <w:p w14:paraId="5083CBBF" w14:textId="03E103E4" w:rsidR="005674C7" w:rsidRPr="005716DC" w:rsidRDefault="005674C7" w:rsidP="007046B4">
                  <w:pPr>
                    <w:pStyle w:val="Bullet1"/>
                  </w:pPr>
                  <w:r w:rsidRPr="007046B4">
                    <w:t>Cultural safety and trauma-informed care</w:t>
                  </w:r>
                  <w:r w:rsidRPr="005716DC">
                    <w:t>: Trauma-informed and culturally safe services are critical, with providers who respect LGBTQIA+ identities, us</w:t>
                  </w:r>
                  <w:r w:rsidR="00B00F48">
                    <w:t>ing</w:t>
                  </w:r>
                  <w:r w:rsidRPr="005716DC">
                    <w:t xml:space="preserve"> correct pronouns, and understand</w:t>
                  </w:r>
                  <w:r w:rsidR="00B00F48">
                    <w:t>ing</w:t>
                  </w:r>
                  <w:r w:rsidRPr="005716DC">
                    <w:t xml:space="preserve"> the impact of minority stress. Creating safe spaces where survivors feel </w:t>
                  </w:r>
                  <w:r w:rsidRPr="005716DC">
                    <w:lastRenderedPageBreak/>
                    <w:t>validated helps reduce re</w:t>
                  </w:r>
                  <w:r w:rsidR="009A00FF">
                    <w:t>-</w:t>
                  </w:r>
                  <w:r w:rsidRPr="005716DC">
                    <w:t xml:space="preserve">traumatisation risks and build trust​ </w:t>
                  </w:r>
                  <w:r w:rsidRPr="005716DC">
                    <w:fldChar w:fldCharType="begin"/>
                  </w:r>
                  <w:r w:rsidR="003A464F">
                    <w:instrText xml:space="preserve"> ADDIN ZOTERO_ITEM CSL_CITATION {"citationID":"6V8pBlq7","properties":{"formattedCitation":"(Gray et al., 2020; Lusby et al., 2022; Turner and Hammersj\\uc0\\u246{}, 2024)","plainCitation":"(Gray et al., 2020; Lusby et al., 2022; Turner and Hammersjö, 2024)","noteIndex":0},"citationItems":[{"id":4717,"uris":["http://zotero.org/groups/5691188/items/LSPMTCJU"],"itemData":{"id":4717,"type":"report","event-place":"NSW","language":"en","publisher":"Australia's National Research Organisation fro Women's Safety (ANROWS)","publisher-place":"NSW","source":"Zotero","title":"Developing LGBTQ programs for perpetrators and victims/survivors of domestic and family violence","author":[{"family":"Gray","given":"Rebecca"},{"family":"Walker","given":"Tommy"},{"family":"Hamer","given":"Jen"},{"family":"Broady","given":"Timothy"},{"family":"Kean","given":"Jessica"},{"family":"Ling","given":"Joycelyn"},{"family":"Bear","given":"Brandon"}],"issued":{"date-parts":[["2020"]]}}},{"id":"KNHaqWe9/704UyXP9","uris":["http://zotero.org/groups/5121840/items/NHZ2DI59"],"itemData":{"id":491,"type":"book","ISBN":"978-0-645-46132-9","language":"en","note":"OCLC: 1351535610","publisher":"Australian Research Centre in Sex, Health and Society, La Trobe University.","source":"Open WorldCat","title":"Opening doors: Ensuring LGBTQ-inclusive family, domestic and sexuial violence services; research report","title-short":"Opening doors","author":[{"family":"Lusby","given":"S"},{"family":"Lim","given":"G"},{"family":"Carman","given":"M"},{"family":"Fraser","given":"S"},{"family":"Parsons","given":"M"},{"family":"Fairchild","given":"J"},{"family":"Bourne","given":"A"}],"issued":{"date-parts":[["2022"]]}}},{"id":4604,"uris":["http://zotero.org/groups/5691188/items/ML5895Z7"],"itemData":{"id":4604,"type":"article-journal","abstract":"Seeking and receiving social support following violent and abusive relationships is a complex process, involving a range of barriers for anyone. LGBTQ survivors of intimate partner violence face additional barriers to both seeking and receiving appropriate help, yet few studies have explored the way these barriers are navigated from the experiential viewpoint. Knowledge of the subjective journey to access social support may help improve social work practice with LGBTQ people leaving abusive relationships. This study explored the lived experiences of support-seeking through in-depth interviews with LGBTQ survivors of IPV in Sweden ( n = 7, age range 18–56). Interpretative Phenomenological Analysis was used for interview design, conduct, and analysis to offer a detailed, first-person, and contextual account of the support-seeking process. Drawing on a phenomenological analysis of lifeworlds, five main themes were produced which illuminate some of the shared experiential features of participants’ journeys to access support. Within each main theme, the analysis also highlights divergences relating to participants’ differing lifeworlds. The analysis thus provides an in-depth, phenomenological understanding of the support-seeking process, including the barriers to, but also the individual and social enablers of, seeking support. Support-seeking processes for LGBTQ survivors of IPV may, at the experiential level, be more diffuse than current theoretical models suggest, with relational ‘strategies of navigation’ being of primary concern to individuals. For policy and practice, the importance of the wide range of generic professionals, who may be the first point of contact, should be emphasised, as well as the role of family and friends as a support and catalyst in the support-seeking process.","container-title":"Qualitative Social Work","DOI":"10.1177/14733250221150208","ISSN":"1473-3250, 1741-3117","issue":"2","journalAbbreviation":"Qualitative Social Work","language":"en","page":"242-260","source":"DOI.org (Crossref)","title":"Navigating survivorhood? Lived experiences of social support-seeking among LGBTQ survivors of intimate partner violence","title-short":"Navigating survivorhood?","volume":"23","author":[{"family":"Turner","given":"Russell"},{"family":"Hammersjö","given":"Anjelica"}],"issued":{"date-parts":[["2024",3]]}}}],"schema":"https://github.com/citation-style-language/schema/raw/master/csl-citation.json"} </w:instrText>
                  </w:r>
                  <w:r w:rsidRPr="005716DC">
                    <w:fldChar w:fldCharType="separate"/>
                  </w:r>
                  <w:r w:rsidRPr="007046B4">
                    <w:t>(Gray et al., 2020; Lusby et al., 2022; Turner and Hammersjö, 2024)</w:t>
                  </w:r>
                  <w:r w:rsidRPr="005716DC">
                    <w:fldChar w:fldCharType="end"/>
                  </w:r>
                  <w:r w:rsidRPr="005716DC">
                    <w:t>.</w:t>
                  </w:r>
                </w:p>
                <w:p w14:paraId="6B2C49E8" w14:textId="712CA583" w:rsidR="005674C7" w:rsidRPr="005716DC" w:rsidRDefault="005674C7" w:rsidP="007046B4">
                  <w:pPr>
                    <w:pStyle w:val="Bullet1"/>
                  </w:pPr>
                  <w:r w:rsidRPr="007046B4">
                    <w:t>Whole-of-organisation support for inclusivity</w:t>
                  </w:r>
                  <w:r w:rsidRPr="005716DC">
                    <w:t>: A culture of inclusivity should be embedded at all levels of an organi</w:t>
                  </w:r>
                  <w:r>
                    <w:t>s</w:t>
                  </w:r>
                  <w:r w:rsidRPr="005716DC">
                    <w:t>ation, with leadership endorsing and mode</w:t>
                  </w:r>
                  <w:r>
                    <w:t>l</w:t>
                  </w:r>
                  <w:r w:rsidRPr="005716DC">
                    <w:t>ling LGBTQIA+ inclusive practices. Visible LGBTQIA+ representation, comprehensive staff training, and an affirming organi</w:t>
                  </w:r>
                  <w:r>
                    <w:t>s</w:t>
                  </w:r>
                  <w:r w:rsidRPr="005716DC">
                    <w:t xml:space="preserve">ational culture strengthen the support environment for both </w:t>
                  </w:r>
                  <w:r w:rsidR="001D1403">
                    <w:t>service users</w:t>
                  </w:r>
                  <w:r w:rsidRPr="005716DC">
                    <w:t xml:space="preserve"> and staff​ </w:t>
                  </w:r>
                  <w:r w:rsidRPr="005716DC">
                    <w:fldChar w:fldCharType="begin"/>
                  </w:r>
                  <w:r w:rsidR="003A464F">
                    <w:instrText xml:space="preserve"> ADDIN ZOTERO_ITEM CSL_CITATION {"citationID":"n64S2nsP","properties":{"formattedCitation":"(Lusby et al., 2022)","plainCitation":"(Lusby et al., 2022)","noteIndex":0},"citationItems":[{"id":"KNHaqWe9/704UyXP9","uris":["http://zotero.org/groups/5121840/items/NHZ2DI59"],"itemData":{"id":491,"type":"book","ISBN":"978-0-645-46132-9","language":"en","note":"OCLC: 1351535610","publisher":"Australian Research Centre in Sex, Health and Society, La Trobe University.","source":"Open WorldCat","title":"Opening doors: Ensuring LGBTQ-inclusive family, domestic and sexuial violence services; research report","title-short":"Opening doors","author":[{"family":"Lusby","given":"S"},{"family":"Lim","given":"G"},{"family":"Carman","given":"M"},{"family":"Fraser","given":"S"},{"family":"Parsons","given":"M"},{"family":"Fairchild","given":"J"},{"family":"Bourne","given":"A"}],"issued":{"date-parts":[["2022"]]}}}],"schema":"https://github.com/citation-style-language/schema/raw/master/csl-citation.json"} </w:instrText>
                  </w:r>
                  <w:r w:rsidRPr="005716DC">
                    <w:fldChar w:fldCharType="separate"/>
                  </w:r>
                  <w:r w:rsidRPr="007046B4">
                    <w:t>(Lusby et al., 2022)</w:t>
                  </w:r>
                  <w:r w:rsidRPr="005716DC">
                    <w:fldChar w:fldCharType="end"/>
                  </w:r>
                </w:p>
                <w:p w14:paraId="1D1C3C39" w14:textId="675D6A9F" w:rsidR="005674C7" w:rsidRPr="005716DC" w:rsidRDefault="005674C7" w:rsidP="007046B4">
                  <w:pPr>
                    <w:pStyle w:val="Bullet1"/>
                  </w:pPr>
                  <w:r w:rsidRPr="007046B4">
                    <w:t>Building and honouring community trust</w:t>
                  </w:r>
                  <w:r w:rsidRPr="005716DC">
                    <w:t xml:space="preserve">: Establishing and maintaining trust within LGBTQIA+ communities is fundamental for effective service engagement. Providers who actively connect with LGBTQIA+ communities and employ LGBTQIA+ practitioners create more accessible, reliable support options for survivors who may distrust mainstream services​ </w:t>
                  </w:r>
                  <w:r w:rsidRPr="005716DC">
                    <w:fldChar w:fldCharType="begin"/>
                  </w:r>
                  <w:r w:rsidR="003A464F">
                    <w:instrText xml:space="preserve"> ADDIN ZOTERO_ITEM CSL_CITATION {"citationID":"PkQtE77a","properties":{"formattedCitation":"(Gray et al., 2020; Lusby et al., 2022)","plainCitation":"(Gray et al., 2020; Lusby et al., 2022)","noteIndex":0},"citationItems":[{"id":4717,"uris":["http://zotero.org/groups/5691188/items/LSPMTCJU"],"itemData":{"id":4717,"type":"report","event-place":"NSW","language":"en","publisher":"Australia's National Research Organisation fro Women's Safety (ANROWS)","publisher-place":"NSW","source":"Zotero","title":"Developing LGBTQ programs for perpetrators and victims/survivors of domestic and family violence","author":[{"family":"Gray","given":"Rebecca"},{"family":"Walker","given":"Tommy"},{"family":"Hamer","given":"Jen"},{"family":"Broady","given":"Timothy"},{"family":"Kean","given":"Jessica"},{"family":"Ling","given":"Joycelyn"},{"family":"Bear","given":"Brandon"}],"issued":{"date-parts":[["2020"]]}}},{"id":"KNHaqWe9/704UyXP9","uris":["http://zotero.org/groups/5121840/items/NHZ2DI59"],"itemData":{"id":491,"type":"book","ISBN":"978-0-645-46132-9","language":"en","note":"OCLC: 1351535610","publisher":"Australian Research Centre in Sex, Health and Society, La Trobe University.","source":"Open WorldCat","title":"Opening doors: Ensuring LGBTQ-inclusive family, domestic and sexuial violence services; research report","title-short":"Opening doors","author":[{"family":"Lusby","given":"S"},{"family":"Lim","given":"G"},{"family":"Carman","given":"M"},{"family":"Fraser","given":"S"},{"family":"Parsons","given":"M"},{"family":"Fairchild","given":"J"},{"family":"Bourne","given":"A"}],"issued":{"date-parts":[["2022"]]}}}],"schema":"https://github.com/citation-style-language/schema/raw/master/csl-citation.json"} </w:instrText>
                  </w:r>
                  <w:r w:rsidRPr="005716DC">
                    <w:fldChar w:fldCharType="separate"/>
                  </w:r>
                  <w:r w:rsidRPr="007046B4">
                    <w:t>(Gray et al., 2020; Lusby et al., 2022)</w:t>
                  </w:r>
                  <w:r w:rsidRPr="005716DC">
                    <w:fldChar w:fldCharType="end"/>
                  </w:r>
                  <w:r w:rsidRPr="005716DC">
                    <w:t>.</w:t>
                  </w:r>
                </w:p>
                <w:p w14:paraId="5F3F22C2" w14:textId="77777777" w:rsidR="005674C7" w:rsidRPr="000C09BF" w:rsidRDefault="005674C7" w:rsidP="00321BC5">
                  <w:pPr>
                    <w:pStyle w:val="Text"/>
                    <w:spacing w:before="360"/>
                  </w:pPr>
                  <w:r w:rsidRPr="00321BC5">
                    <w:rPr>
                      <w:b/>
                      <w:color w:val="36424A" w:themeColor="background2"/>
                    </w:rPr>
                    <w:t xml:space="preserve">Service provision to LGBTIQA+ people </w:t>
                  </w:r>
                </w:p>
                <w:p w14:paraId="14255455" w14:textId="0D81A62C" w:rsidR="005674C7" w:rsidRPr="00DC7B07" w:rsidRDefault="005674C7" w:rsidP="005674C7">
                  <w:pPr>
                    <w:pStyle w:val="Text"/>
                  </w:pPr>
                  <w:r w:rsidRPr="00DC7B07">
                    <w:t xml:space="preserve">Some FaRS and SFVS providers identified difficulty engaging with LGBTIQA+ individuals and couples. This was attributed to a range of barriers, primarily centred </w:t>
                  </w:r>
                  <w:r w:rsidR="00C2234A">
                    <w:t>on</w:t>
                  </w:r>
                  <w:r w:rsidR="00C2234A" w:rsidRPr="00DC7B07">
                    <w:t xml:space="preserve"> </w:t>
                  </w:r>
                  <w:r w:rsidRPr="00DC7B07">
                    <w:t>stigmatisation with a preference for private services or people’s preference to not disclose their identity either at all, or until trust had been established with their provider, with some referring to fear of discrimination from faith-based organisations specifically. Some</w:t>
                  </w:r>
                  <w:r w:rsidR="002D0D5F">
                    <w:t xml:space="preserve"> SFVS</w:t>
                  </w:r>
                  <w:r w:rsidR="009F54C1">
                    <w:t xml:space="preserve"> providers</w:t>
                  </w:r>
                  <w:r w:rsidRPr="00DC7B07">
                    <w:t xml:space="preserve"> noted that the numbers of LGBTIQA+ people attending for family violence support was low relative to the prevalence of family violence in LGBTIQA+ relationships.</w:t>
                  </w:r>
                </w:p>
                <w:p w14:paraId="7720EAE9" w14:textId="644F4D71" w:rsidR="005674C7" w:rsidRDefault="005674C7" w:rsidP="005674C7">
                  <w:pPr>
                    <w:pStyle w:val="Text"/>
                  </w:pPr>
                  <w:r>
                    <w:t xml:space="preserve">Several </w:t>
                  </w:r>
                  <w:r w:rsidR="00AD50D5">
                    <w:t>LGBTQIA+</w:t>
                  </w:r>
                  <w:r>
                    <w:t xml:space="preserve"> service users spoke about the importance of engaging with staff members from the LGBTQIA+ community. For the</w:t>
                  </w:r>
                  <w:r w:rsidR="00AD50D5">
                    <w:t>m</w:t>
                  </w:r>
                  <w:r>
                    <w:t xml:space="preserve">, support from an LGTBTQIA+ staff member helped build feelings of trust, connection and rapport, though service users also praised the service they received even where they weren’t supported by someone from their community or where some parts of the service were less positive. This reflected findings in the literature about the value placed on </w:t>
                  </w:r>
                  <w:r w:rsidR="00AD50D5">
                    <w:t>c</w:t>
                  </w:r>
                  <w:r w:rsidRPr="00552D12">
                    <w:t>ommunity-led initiatives and</w:t>
                  </w:r>
                  <w:r>
                    <w:t xml:space="preserve"> peer support from</w:t>
                  </w:r>
                  <w:r w:rsidRPr="00552D12">
                    <w:t xml:space="preserve"> LGBTQIA+ </w:t>
                  </w:r>
                  <w:r>
                    <w:t>p</w:t>
                  </w:r>
                  <w:r w:rsidRPr="00552D12">
                    <w:t>ractitioners</w:t>
                  </w:r>
                  <w:r w:rsidRPr="005716DC">
                    <w:t xml:space="preserve"> </w:t>
                  </w:r>
                  <w:r w:rsidRPr="005716DC">
                    <w:fldChar w:fldCharType="begin"/>
                  </w:r>
                  <w:r w:rsidR="003A464F">
                    <w:instrText xml:space="preserve"> ADDIN ZOTERO_ITEM CSL_CITATION {"citationID":"XtkkGQJK","properties":{"formattedCitation":"(Gray et al., 2020; Lusby et al., 2022)","plainCitation":"(Gray et al., 2020; Lusby et al., 2022)","noteIndex":0},"citationItems":[{"id":4717,"uris":["http://zotero.org/groups/5691188/items/LSPMTCJU"],"itemData":{"id":4717,"type":"report","event-place":"NSW","language":"en","publisher":"Australia's National Research Organisation fro Women's Safety (ANROWS)","publisher-place":"NSW","source":"Zotero","title":"Developing LGBTQ programs for perpetrators and victims/survivors of domestic and family violence","author":[{"family":"Gray","given":"Rebecca"},{"family":"Walker","given":"Tommy"},{"family":"Hamer","given":"Jen"},{"family":"Broady","given":"Timothy"},{"family":"Kean","given":"Jessica"},{"family":"Ling","given":"Joycelyn"},{"family":"Bear","given":"Brandon"}],"issued":{"date-parts":[["2020"]]}}},{"id":"KNHaqWe9/704UyXP9","uris":["http://zotero.org/groups/5121840/items/NHZ2DI59"],"itemData":{"id":491,"type":"book","ISBN":"978-0-645-46132-9","language":"en","note":"OCLC: 1351535610","publisher":"Australian Research Centre in Sex, Health and Society, La Trobe University.","source":"Open WorldCat","title":"Opening doors: Ensuring LGBTQ-inclusive family, domestic and sexuial violence services; research report","title-short":"Opening doors","author":[{"family":"Lusby","given":"S"},{"family":"Lim","given":"G"},{"family":"Carman","given":"M"},{"family":"Fraser","given":"S"},{"family":"Parsons","given":"M"},{"family":"Fairchild","given":"J"},{"family":"Bourne","given":"A"}],"issued":{"date-parts":[["2022"]]}}}],"schema":"https://github.com/citation-style-language/schema/raw/master/csl-citation.json"} </w:instrText>
                  </w:r>
                  <w:r w:rsidRPr="005716DC">
                    <w:fldChar w:fldCharType="separate"/>
                  </w:r>
                  <w:r w:rsidRPr="005716DC">
                    <w:rPr>
                      <w:rFonts w:ascii="Arial" w:hAnsi="Arial" w:cs="Arial"/>
                    </w:rPr>
                    <w:t>(Gray et al., 2020; Lusby et al., 2022)</w:t>
                  </w:r>
                  <w:r w:rsidRPr="005716DC">
                    <w:fldChar w:fldCharType="end"/>
                  </w:r>
                  <w:r>
                    <w:t>.</w:t>
                  </w:r>
                </w:p>
                <w:p w14:paraId="44E0E907" w14:textId="22D98BFC" w:rsidR="005674C7" w:rsidRPr="007B623E" w:rsidRDefault="005674C7" w:rsidP="005674C7">
                  <w:pPr>
                    <w:pBdr>
                      <w:left w:val="single" w:sz="18" w:space="4" w:color="78B800" w:themeColor="accent1"/>
                    </w:pBdr>
                    <w:tabs>
                      <w:tab w:val="left" w:pos="8080"/>
                    </w:tabs>
                    <w:spacing w:after="0"/>
                    <w:ind w:left="851" w:right="949"/>
                    <w:rPr>
                      <w:i/>
                    </w:rPr>
                  </w:pPr>
                  <w:r w:rsidRPr="002E7992">
                    <w:rPr>
                      <w:noProof/>
                    </w:rPr>
                    <w:drawing>
                      <wp:anchor distT="0" distB="0" distL="114300" distR="114300" simplePos="0" relativeHeight="251658388" behindDoc="0" locked="1" layoutInCell="1" allowOverlap="1" wp14:anchorId="40DD30EE" wp14:editId="38C6A960">
                        <wp:simplePos x="0" y="0"/>
                        <wp:positionH relativeFrom="column">
                          <wp:posOffset>0</wp:posOffset>
                        </wp:positionH>
                        <wp:positionV relativeFrom="paragraph">
                          <wp:posOffset>0</wp:posOffset>
                        </wp:positionV>
                        <wp:extent cx="384810" cy="320040"/>
                        <wp:effectExtent l="0" t="0" r="0" b="3810"/>
                        <wp:wrapNone/>
                        <wp:docPr id="2055669388" name="Graphic 2055669388" descr="P3913#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669388" name="Graphic 2055669388" descr="P3913#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i/>
                      <w:iCs/>
                    </w:rPr>
                    <w:t xml:space="preserve">I think it would be good to have more diversity among the counsellors. I don’t believe [service worker] was a member of the LGBTQIA+ community, but she was sensitive to needs and it wasn’t an issue. From memory, I think the wait for a queer counsellor was even longer </w:t>
                  </w:r>
                  <w:r w:rsidRPr="002E7992">
                    <w:rPr>
                      <w:b/>
                      <w:bCs/>
                      <w:i/>
                      <w:iCs/>
                    </w:rPr>
                    <w:t>–</w:t>
                  </w:r>
                  <w:r>
                    <w:rPr>
                      <w:b/>
                      <w:bCs/>
                      <w:i/>
                      <w:iCs/>
                    </w:rPr>
                    <w:t xml:space="preserve"> FaRS s</w:t>
                  </w:r>
                  <w:r w:rsidRPr="002E7992">
                    <w:rPr>
                      <w:b/>
                      <w:bCs/>
                      <w:i/>
                      <w:iCs/>
                    </w:rPr>
                    <w:t xml:space="preserve">ervice </w:t>
                  </w:r>
                  <w:r>
                    <w:rPr>
                      <w:b/>
                      <w:bCs/>
                      <w:i/>
                      <w:iCs/>
                    </w:rPr>
                    <w:t>user</w:t>
                  </w:r>
                </w:p>
                <w:p w14:paraId="0358791B" w14:textId="77777777" w:rsidR="005674C7" w:rsidRDefault="005674C7" w:rsidP="005674C7">
                  <w:pPr>
                    <w:pStyle w:val="Text"/>
                  </w:pPr>
                </w:p>
                <w:p w14:paraId="742A9FD3" w14:textId="77777777" w:rsidR="005674C7" w:rsidRDefault="005674C7" w:rsidP="005674C7">
                  <w:pPr>
                    <w:pStyle w:val="Text"/>
                  </w:pPr>
                  <w:r>
                    <w:t>LGBTQIA+ service users generally reported positive experiences, with some describing specific effort and tailoring to make the service more welcoming.</w:t>
                  </w:r>
                </w:p>
                <w:p w14:paraId="68D6131D" w14:textId="202961A1" w:rsidR="005674C7" w:rsidRPr="00C30B8C" w:rsidRDefault="005674C7" w:rsidP="00C30B8C">
                  <w:pPr>
                    <w:pBdr>
                      <w:left w:val="single" w:sz="18" w:space="4" w:color="78B800" w:themeColor="accent1"/>
                    </w:pBdr>
                    <w:tabs>
                      <w:tab w:val="left" w:pos="8080"/>
                    </w:tabs>
                    <w:spacing w:after="120"/>
                    <w:ind w:left="851" w:right="949"/>
                  </w:pPr>
                  <w:r w:rsidRPr="002E7992">
                    <w:rPr>
                      <w:noProof/>
                    </w:rPr>
                    <w:drawing>
                      <wp:anchor distT="0" distB="0" distL="114300" distR="114300" simplePos="0" relativeHeight="251658389" behindDoc="0" locked="1" layoutInCell="1" allowOverlap="1" wp14:anchorId="3917A365" wp14:editId="52A992B0">
                        <wp:simplePos x="0" y="0"/>
                        <wp:positionH relativeFrom="column">
                          <wp:posOffset>0</wp:posOffset>
                        </wp:positionH>
                        <wp:positionV relativeFrom="paragraph">
                          <wp:posOffset>0</wp:posOffset>
                        </wp:positionV>
                        <wp:extent cx="384810" cy="320040"/>
                        <wp:effectExtent l="0" t="0" r="0" b="3810"/>
                        <wp:wrapNone/>
                        <wp:docPr id="87336278" name="Graphic 87336278" descr="P3916#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36278" name="Graphic 87336278" descr="P3916#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i/>
                      <w:iCs/>
                    </w:rPr>
                    <w:t xml:space="preserve">The service was very supportive [as a LGBTQIA+ person]. They were always very open to even adapting content to be more LGBTIQIA+ specific at times. I can’t think of anything they could have done to change it </w:t>
                  </w:r>
                  <w:r w:rsidRPr="002E7992">
                    <w:rPr>
                      <w:b/>
                      <w:bCs/>
                      <w:i/>
                      <w:iCs/>
                    </w:rPr>
                    <w:t>–</w:t>
                  </w:r>
                  <w:r>
                    <w:rPr>
                      <w:b/>
                      <w:bCs/>
                      <w:i/>
                      <w:iCs/>
                    </w:rPr>
                    <w:t xml:space="preserve"> FaRS service user</w:t>
                  </w:r>
                </w:p>
                <w:p w14:paraId="7F28981D" w14:textId="77777777" w:rsidR="00C30B8C" w:rsidRDefault="00C30B8C" w:rsidP="005674C7">
                  <w:pPr>
                    <w:pStyle w:val="Text"/>
                  </w:pPr>
                </w:p>
                <w:p w14:paraId="77A8218A" w14:textId="539AE94B" w:rsidR="005674C7" w:rsidRDefault="005E4083" w:rsidP="005674C7">
                  <w:pPr>
                    <w:pStyle w:val="Text"/>
                  </w:pPr>
                  <w:r>
                    <w:lastRenderedPageBreak/>
                    <w:t>S</w:t>
                  </w:r>
                  <w:r w:rsidR="005674C7">
                    <w:t xml:space="preserve">ome negative examples were also reported, with one participant describing poor experiences regarding the use of pronouns on forms, some of which only included binary options for gender. </w:t>
                  </w:r>
                  <w:r>
                    <w:t>T</w:t>
                  </w:r>
                  <w:r w:rsidR="005674C7">
                    <w:t xml:space="preserve">his </w:t>
                  </w:r>
                  <w:r w:rsidR="00BB6BFB">
                    <w:t>reinforces</w:t>
                  </w:r>
                  <w:r w:rsidR="005674C7">
                    <w:t xml:space="preserve"> the importance of whole</w:t>
                  </w:r>
                  <w:r w:rsidR="004F2B3B">
                    <w:t>-</w:t>
                  </w:r>
                  <w:r w:rsidR="005674C7">
                    <w:t>of</w:t>
                  </w:r>
                  <w:r w:rsidR="004F2B3B">
                    <w:t>-</w:t>
                  </w:r>
                  <w:r w:rsidR="005674C7">
                    <w:t>organisational inclusivity and trauma-informed care for LGBTQIA+ communities, including through v</w:t>
                  </w:r>
                  <w:r w:rsidR="005674C7" w:rsidRPr="005716DC">
                    <w:t>isible LGBTQIA+ representation,</w:t>
                  </w:r>
                  <w:r w:rsidR="005674C7">
                    <w:t xml:space="preserve"> staff knowledge and correct pronoun use </w:t>
                  </w:r>
                  <w:r w:rsidR="005674C7" w:rsidRPr="005716DC">
                    <w:fldChar w:fldCharType="begin"/>
                  </w:r>
                  <w:r w:rsidR="003A464F">
                    <w:instrText xml:space="preserve"> ADDIN ZOTERO_ITEM CSL_CITATION {"citationID":"2yXgBZD5","properties":{"formattedCitation":"(Gray et al., 2020; Lusby et al., 2022; Turner and Hammersj\\uc0\\u246{}, 2024)","plainCitation":"(Gray et al., 2020; Lusby et al., 2022; Turner and Hammersjö, 2024)","noteIndex":0},"citationItems":[{"id":4717,"uris":["http://zotero.org/groups/5691188/items/LSPMTCJU"],"itemData":{"id":4717,"type":"report","event-place":"NSW","language":"en","publisher":"Australia's National Research Organisation fro Women's Safety (ANROWS)","publisher-place":"NSW","source":"Zotero","title":"Developing LGBTQ programs for perpetrators and victims/survivors of domestic and family violence","author":[{"family":"Gray","given":"Rebecca"},{"family":"Walker","given":"Tommy"},{"family":"Hamer","given":"Jen"},{"family":"Broady","given":"Timothy"},{"family":"Kean","given":"Jessica"},{"family":"Ling","given":"Joycelyn"},{"family":"Bear","given":"Brandon"}],"issued":{"date-parts":[["2020"]]}}},{"id":"KNHaqWe9/704UyXP9","uris":["http://zotero.org/groups/5121840/items/NHZ2DI59"],"itemData":{"id":491,"type":"book","ISBN":"978-0-645-46132-9","language":"en","note":"OCLC: 1351535610","publisher":"Australian Research Centre in Sex, Health and Society, La Trobe University.","source":"Open WorldCat","title":"Opening doors: Ensuring LGBTQ-inclusive family, domestic and sexuial violence services; research report","title-short":"Opening doors","author":[{"family":"Lusby","given":"S"},{"family":"Lim","given":"G"},{"family":"Carman","given":"M"},{"family":"Fraser","given":"S"},{"family":"Parsons","given":"M"},{"family":"Fairchild","given":"J"},{"family":"Bourne","given":"A"}],"issued":{"date-parts":[["2022"]]}}},{"id":4604,"uris":["http://zotero.org/groups/5691188/items/ML5895Z7"],"itemData":{"id":4604,"type":"article-journal","abstract":"Seeking and receiving social support following violent and abusive relationships is a complex process, involving a range of barriers for anyone. LGBTQ survivors of intimate partner violence face additional barriers to both seeking and receiving appropriate help, yet few studies have explored the way these barriers are navigated from the experiential viewpoint. Knowledge of the subjective journey to access social support may help improve social work practice with LGBTQ people leaving abusive relationships. This study explored the lived experiences of support-seeking through in-depth interviews with LGBTQ survivors of IPV in Sweden ( n = 7, age range 18–56). Interpretative Phenomenological Analysis was used for interview design, conduct, and analysis to offer a detailed, first-person, and contextual account of the support-seeking process. Drawing on a phenomenological analysis of lifeworlds, five main themes were produced which illuminate some of the shared experiential features of participants’ journeys to access support. Within each main theme, the analysis also highlights divergences relating to participants’ differing lifeworlds. The analysis thus provides an in-depth, phenomenological understanding of the support-seeking process, including the barriers to, but also the individual and social enablers of, seeking support. Support-seeking processes for LGBTQ survivors of IPV may, at the experiential level, be more diffuse than current theoretical models suggest, with relational ‘strategies of navigation’ being of primary concern to individuals. For policy and practice, the importance of the wide range of generic professionals, who may be the first point of contact, should be emphasised, as well as the role of family and friends as a support and catalyst in the support-seeking process.","container-title":"Qualitative Social Work","DOI":"10.1177/14733250221150208","ISSN":"1473-3250, 1741-3117","issue":"2","journalAbbreviation":"Qualitative Social Work","language":"en","page":"242-260","source":"DOI.org (Crossref)","title":"Navigating survivorhood? Lived experiences of social support-seeking among LGBTQ survivors of intimate partner violence","title-short":"Navigating survivorhood?","volume":"23","author":[{"family":"Turner","given":"Russell"},{"family":"Hammersjö","given":"Anjelica"}],"issued":{"date-parts":[["2024",3]]}}}],"schema":"https://github.com/citation-style-language/schema/raw/master/csl-citation.json"} </w:instrText>
                  </w:r>
                  <w:r w:rsidR="005674C7" w:rsidRPr="005716DC">
                    <w:fldChar w:fldCharType="separate"/>
                  </w:r>
                  <w:r w:rsidR="005674C7" w:rsidRPr="00795A5F">
                    <w:rPr>
                      <w:rFonts w:ascii="Arial" w:hAnsi="Arial" w:cs="Arial"/>
                    </w:rPr>
                    <w:t>(Gray et al., 2020; Lusby et al., 2022; Turner and Hammersjö, 2024)</w:t>
                  </w:r>
                  <w:r w:rsidR="005674C7" w:rsidRPr="005716DC">
                    <w:fldChar w:fldCharType="end"/>
                  </w:r>
                  <w:r w:rsidR="005674C7">
                    <w:t>.</w:t>
                  </w:r>
                </w:p>
                <w:p w14:paraId="68DCD00D" w14:textId="24A32773" w:rsidR="00C30B8C" w:rsidRDefault="005674C7" w:rsidP="00D63E8D">
                  <w:pPr>
                    <w:pBdr>
                      <w:left w:val="single" w:sz="18" w:space="4" w:color="78B800" w:themeColor="accent1"/>
                    </w:pBdr>
                    <w:tabs>
                      <w:tab w:val="left" w:pos="8080"/>
                    </w:tabs>
                    <w:spacing w:after="0"/>
                    <w:ind w:left="851" w:right="949"/>
                  </w:pPr>
                  <w:r w:rsidRPr="002E7992">
                    <w:rPr>
                      <w:noProof/>
                    </w:rPr>
                    <w:drawing>
                      <wp:anchor distT="0" distB="0" distL="114300" distR="114300" simplePos="0" relativeHeight="251658390" behindDoc="0" locked="1" layoutInCell="1" allowOverlap="1" wp14:anchorId="00321EB1" wp14:editId="53E75745">
                        <wp:simplePos x="0" y="0"/>
                        <wp:positionH relativeFrom="column">
                          <wp:posOffset>0</wp:posOffset>
                        </wp:positionH>
                        <wp:positionV relativeFrom="paragraph">
                          <wp:posOffset>0</wp:posOffset>
                        </wp:positionV>
                        <wp:extent cx="384810" cy="320040"/>
                        <wp:effectExtent l="0" t="0" r="0" b="3810"/>
                        <wp:wrapNone/>
                        <wp:docPr id="157399024" name="Graphic 157399024" descr="P3919#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99024" name="Graphic 157399024" descr="P3919#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C3C4C">
                    <w:t xml:space="preserve"> </w:t>
                  </w:r>
                  <w:r>
                    <w:rPr>
                      <w:i/>
                      <w:iCs/>
                    </w:rPr>
                    <w:t xml:space="preserve">I was still being misgendered and labelled as a woman, that’s the only negative experience I had. I noticed on the form the gender options were male or female, there wasn’t an option for preferred name or pronouns </w:t>
                  </w:r>
                  <w:r w:rsidRPr="002E7992">
                    <w:rPr>
                      <w:b/>
                      <w:bCs/>
                      <w:i/>
                      <w:iCs/>
                    </w:rPr>
                    <w:t>–</w:t>
                  </w:r>
                  <w:r>
                    <w:rPr>
                      <w:b/>
                      <w:bCs/>
                      <w:i/>
                      <w:iCs/>
                    </w:rPr>
                    <w:t xml:space="preserve"> FaRS s</w:t>
                  </w:r>
                  <w:r w:rsidRPr="002E7992">
                    <w:rPr>
                      <w:b/>
                      <w:bCs/>
                      <w:i/>
                      <w:iCs/>
                    </w:rPr>
                    <w:t xml:space="preserve">ervice </w:t>
                  </w:r>
                  <w:r>
                    <w:rPr>
                      <w:b/>
                      <w:bCs/>
                      <w:i/>
                      <w:iCs/>
                    </w:rPr>
                    <w:t>user</w:t>
                  </w:r>
                  <w:bookmarkStart w:id="493" w:name="_Ref203672517"/>
                </w:p>
                <w:p w14:paraId="26276F68" w14:textId="77777777" w:rsidR="005674C7" w:rsidRPr="009C7D7C" w:rsidRDefault="005674C7" w:rsidP="00EB4831">
                  <w:pPr>
                    <w:pStyle w:val="Heading3"/>
                  </w:pPr>
                  <w:bookmarkStart w:id="494" w:name="_Ref205455380"/>
                  <w:r w:rsidRPr="009C7D7C">
                    <w:t>People with disability</w:t>
                  </w:r>
                  <w:bookmarkEnd w:id="493"/>
                  <w:bookmarkEnd w:id="494"/>
                  <w:r w:rsidRPr="009C7D7C">
                    <w:t xml:space="preserve"> </w:t>
                  </w:r>
                </w:p>
                <w:p w14:paraId="55C458B9" w14:textId="78F4B5F0" w:rsidR="00B51E98" w:rsidRPr="0077767A" w:rsidRDefault="006072A6" w:rsidP="00B51E98">
                  <w:pPr>
                    <w:pStyle w:val="Text"/>
                  </w:pPr>
                  <w:r>
                    <w:t>E</w:t>
                  </w:r>
                  <w:r w:rsidR="00B51E98">
                    <w:t>xperiences of family violence</w:t>
                  </w:r>
                  <w:r>
                    <w:t xml:space="preserve"> for people with disability</w:t>
                  </w:r>
                  <w:r w:rsidR="00B51E98">
                    <w:t xml:space="preserve"> differ to those experienced by people without disability due to the intersection of gender inequality and ableism. This includes physical abuse, such as withholding food, water, or care; sexual violence, such as demanding sexual activity in return for caregiving or using a physical impairment to force sexual activity; emotional abuse, such as denial of disability or neglect, abandonment, and deprivation; economic abuse, such as theft of disability support payments or abuse of Power of Attorney; and coercive control, such as making people with disability believe abuse behaviours occur in all relationships </w:t>
                  </w:r>
                  <w:r w:rsidR="00B51E98" w:rsidRPr="00C92CE8">
                    <w:fldChar w:fldCharType="begin"/>
                  </w:r>
                  <w:r w:rsidR="00B51E98">
                    <w:instrText xml:space="preserve"> ADDIN ZOTERO_ITEM CSL_CITATION {"citationID":"a150ncfheef","properties":{"formattedCitation":"(Centre for Non-Violence and Modified Service Delivery, 2024; People with Disability Australia and Domestic Violence NSW, 2021)","plainCitation":"(Centre for Non-Violence and Modified Service Delivery, 2024; People with Disability Australia and Domestic Violence NSW, 2021)","noteIndex":0},"citationItems":[{"id":5712,"uris":["http://zotero.org/groups/5691188/items/GI58V7GM"],"itemData":{"id":5712,"type":"report","title":"FDV and Disability: Best Practice Guide","URL":"https://cwsw.org.au/wp-content/uploads/2024/07/Best-Practice-Guide.pdf","author":[{"literal":"Centre for Non-Violence"},{"literal":"Modified Service Delivery"}],"accessed":{"date-parts":[["2025",9,8]]},"issued":{"date-parts":[["2024"]]}}},{"id":5711,"uris":["http://zotero.org/groups/5691188/items/7JFJVGIS"],"itemData":{"id":5711,"type":"report","language":"en","source":"Zotero","title":"Women with Disability and Domestic and Family Violence A Guide for Policy and Practice","author":[{"literal":"People with Disability Australia"},{"literal":"Domestic Violence NSW"}],"issued":{"date-parts":[["2021"]]}}}],"schema":"https://github.com/citation-style-language/schema/raw/master/csl-citation.json"} </w:instrText>
                  </w:r>
                  <w:r w:rsidR="00B51E98" w:rsidRPr="00C92CE8">
                    <w:fldChar w:fldCharType="separate"/>
                  </w:r>
                  <w:r w:rsidR="00B51E98" w:rsidRPr="003A464F">
                    <w:rPr>
                      <w:rFonts w:ascii="Arial" w:hAnsi="Arial" w:cs="Arial"/>
                    </w:rPr>
                    <w:t>(Centre for Non-Violence and Modified Service Delivery, 2024; People with Disability Australia and Domestic Violence NSW, 2021)</w:t>
                  </w:r>
                  <w:r w:rsidR="00B51E98" w:rsidRPr="00C92CE8">
                    <w:fldChar w:fldCharType="end"/>
                  </w:r>
                  <w:r w:rsidR="00B51E98" w:rsidRPr="0077767A">
                    <w:t xml:space="preserve"> </w:t>
                  </w:r>
                </w:p>
                <w:p w14:paraId="688C86C6" w14:textId="77777777" w:rsidR="00B51E98" w:rsidRDefault="00B51E98" w:rsidP="00B51E98">
                  <w:pPr>
                    <w:pStyle w:val="Text"/>
                  </w:pPr>
                  <w:r>
                    <w:t xml:space="preserve">People with disability also face a range of barriers to accessing services including social or physical isolation; lack of accessible, disability-friendly services or crisis accommodation; lack of understanding of their experience as family violence; and discriminatory understandings of disability and a perception of them as a ‘burden’ which shifts blame for the perpetrator to the person being abused </w:t>
                  </w:r>
                  <w:r w:rsidRPr="0030214D">
                    <w:fldChar w:fldCharType="begin"/>
                  </w:r>
                  <w:r>
                    <w:instrText xml:space="preserve"> ADDIN ZOTERO_ITEM CSL_CITATION {"citationID":"a2baql3htve","properties":{"formattedCitation":"(People with Disability Australia and Domestic Violence NSW, 2021)","plainCitation":"(People with Disability Australia and Domestic Violence NSW, 2021)","noteIndex":0},"citationItems":[{"id":5711,"uris":["http://zotero.org/groups/5691188/items/7JFJVGIS"],"itemData":{"id":5711,"type":"report","language":"en","source":"Zotero","title":"Women with Disability and Domestic and Family Violence A Guide for Policy and Practice","author":[{"literal":"People with Disability Australia"},{"literal":"Domestic Violence NSW"}],"issued":{"date-parts":[["2021"]]}}}],"schema":"https://github.com/citation-style-language/schema/raw/master/csl-citation.json"} </w:instrText>
                  </w:r>
                  <w:r w:rsidRPr="0030214D">
                    <w:fldChar w:fldCharType="separate"/>
                  </w:r>
                  <w:r w:rsidRPr="003A464F">
                    <w:rPr>
                      <w:rFonts w:ascii="Arial" w:hAnsi="Arial" w:cs="Arial"/>
                    </w:rPr>
                    <w:t>(People with Disability Australia and Domestic Violence NSW, 2021)</w:t>
                  </w:r>
                  <w:r w:rsidRPr="0030214D">
                    <w:fldChar w:fldCharType="end"/>
                  </w:r>
                  <w:r>
                    <w:t>.</w:t>
                  </w:r>
                </w:p>
                <w:p w14:paraId="721B4466" w14:textId="5EF4B444" w:rsidR="00B51E98" w:rsidRDefault="00B51E98" w:rsidP="00B51E98">
                  <w:pPr>
                    <w:pStyle w:val="Text"/>
                  </w:pPr>
                  <w:r w:rsidRPr="00060C20">
                    <w:t>People with disabilit</w:t>
                  </w:r>
                  <w:r w:rsidR="00A44303">
                    <w:t>y</w:t>
                  </w:r>
                  <w:r w:rsidRPr="00060C20">
                    <w:t xml:space="preserve"> face multiple barriers in accessing family violence services, such as social isolation, inaccessible facilities, and discriminatory attitudes that often blame victims rather than perpetrators</w:t>
                  </w:r>
                  <w:r>
                    <w:t xml:space="preserve"> </w:t>
                  </w:r>
                  <w:r w:rsidRPr="0030214D">
                    <w:fldChar w:fldCharType="begin"/>
                  </w:r>
                  <w:r>
                    <w:instrText xml:space="preserve"> ADDIN ZOTERO_ITEM CSL_CITATION {"citationID":"pUlSDThg","properties":{"formattedCitation":"(People with Disability Australia and Domestic Violence NSW, 2021)","plainCitation":"(People with Disability Australia and Domestic Violence NSW, 2021)","noteIndex":0},"citationItems":[{"id":5711,"uris":["http://zotero.org/groups/5691188/items/7JFJVGIS"],"itemData":{"id":5711,"type":"report","language":"en","source":"Zotero","title":"Women with Disability and Domestic and Family Violence A Guide for Policy and Practice","author":[{"literal":"People with Disability Australia"},{"literal":"Domestic Violence NSW"}],"issued":{"date-parts":[["2021"]]}}}],"schema":"https://github.com/citation-style-language/schema/raw/master/csl-citation.json"} </w:instrText>
                  </w:r>
                  <w:r w:rsidRPr="0030214D">
                    <w:fldChar w:fldCharType="separate"/>
                  </w:r>
                  <w:r w:rsidRPr="003A464F">
                    <w:rPr>
                      <w:rFonts w:ascii="Arial" w:hAnsi="Arial" w:cs="Arial"/>
                    </w:rPr>
                    <w:t>(People with Disability Australia and Domestic Violence NSW, 2021)</w:t>
                  </w:r>
                  <w:r w:rsidRPr="0030214D">
                    <w:fldChar w:fldCharType="end"/>
                  </w:r>
                  <w:r>
                    <w:t>.</w:t>
                  </w:r>
                  <w:r w:rsidRPr="00060C20">
                    <w:t xml:space="preserve"> These issues are worsened by a lack of collaboration between family violence and disability services, leaving critical gaps in care. Individuals with intersecting identities</w:t>
                  </w:r>
                  <w:r>
                    <w:t xml:space="preserve">, </w:t>
                  </w:r>
                  <w:r w:rsidRPr="00060C20">
                    <w:t xml:space="preserve">such as </w:t>
                  </w:r>
                  <w:r>
                    <w:t>Aboriginal and Torres Strait Islander status</w:t>
                  </w:r>
                  <w:r w:rsidRPr="00060C20">
                    <w:t xml:space="preserve"> and socioeconomic disadvantage</w:t>
                  </w:r>
                  <w:r>
                    <w:t xml:space="preserve">, </w:t>
                  </w:r>
                  <w:r w:rsidRPr="00060C20">
                    <w:t>experience additional challenges</w:t>
                  </w:r>
                  <w:r>
                    <w:t xml:space="preserve"> including cultural and systemic barriers and lack of financial independence </w:t>
                  </w:r>
                  <w:r w:rsidRPr="0077767A">
                    <w:fldChar w:fldCharType="begin"/>
                  </w:r>
                  <w:r>
                    <w:instrText xml:space="preserve"> ADDIN ZOTERO_ITEM CSL_CITATION {"citationID":"a2ah9o3v6pn","properties":{"formattedCitation":"(Jones et al., 2023; People with Disability Australia and Domestic Violence NSW, 2021)","plainCitation":"(Jones et al., 2023; People with Disability Australia and Domestic Violence NSW, 2021)","noteIndex":0},"citationItems":[{"id":4704,"uris":["http://zotero.org/groups/5691188/items/IUWYP6AG"],"itemData":{"id":4704,"type":"report","language":"en","publisher":"Royal Commission Into Violence, Abuse, Neglect and Exploitation of People With Disability","source":"Zotero","title":"Research Report - Wangkiny Yirra “Speaking Up” Project: First Nations women and children with disability and their experiences of family and domestic violence","author":[{"family":"Jones","given":"J"},{"family":"Roarty","given":"L"},{"family":"Gilroy","given":"J"},{"family":"Brook","given":"J"},{"family":"Wilson","given":"M"},{"family":"Garlett","given":"C"},{"family":"McGlade","given":"H"},{"family":"Williams","given":"R"},{"family":"Leonard","given":"H"}],"issued":{"date-parts":[["2023"]]}}},{"id":5711,"uris":["http://zotero.org/groups/5691188/items/7JFJVGIS"],"itemData":{"id":5711,"type":"report","language":"en","source":"Zotero","title":"Women with Disability and Domestic and Family Violence A Guide for Policy and Practice","author":[{"literal":"People with Disability Australia"},{"literal":"Domestic Violence NSW"}],"issued":{"date-parts":[["2021"]]}}}],"schema":"https://github.com/citation-style-language/schema/raw/master/csl-citation.json"} </w:instrText>
                  </w:r>
                  <w:r w:rsidRPr="0077767A">
                    <w:fldChar w:fldCharType="separate"/>
                  </w:r>
                  <w:r w:rsidRPr="003A464F">
                    <w:rPr>
                      <w:rFonts w:ascii="Arial" w:hAnsi="Arial" w:cs="Arial"/>
                    </w:rPr>
                    <w:t>(Jones et al., 2023; People with Disability Australia and Domestic Violence NSW, 2021)</w:t>
                  </w:r>
                  <w:r w:rsidRPr="0077767A">
                    <w:fldChar w:fldCharType="end"/>
                  </w:r>
                  <w:r>
                    <w:t xml:space="preserve">. </w:t>
                  </w:r>
                  <w:r w:rsidRPr="00060C20">
                    <w:t>Holistic, intersectional support is essential and can be improved through formal partnerships between services, shared training, inclusive service delivery, and joint advocacy to address systemic barriers</w:t>
                  </w:r>
                  <w:r>
                    <w:t xml:space="preserve"> </w:t>
                  </w:r>
                  <w:r w:rsidRPr="00A86A45">
                    <w:fldChar w:fldCharType="begin"/>
                  </w:r>
                  <w:r>
                    <w:instrText xml:space="preserve"> ADDIN ZOTERO_ITEM CSL_CITATION {"citationID":"ao8ts7lt3l","properties":{"formattedCitation":"(Robinson et al., 2021)","plainCitation":"(Robinson et al., 2021)","noteIndex":0},"citationItems":[{"id":4760,"uris":["http://zotero.org/groups/5691188/items/XSXD49NA"],"itemData":{"id":4760,"type":"article-journal","abstract":"Women with disabilities experiencing violence can face challenges accessing domestic and family violence (DFV) services. Our research explored how these services understood and operationalized access for women with disabilities. In this article, we use Levesque, Harris, and Russell’s access framework to show how to be accessible to women with disabilities, and DFV services can widen the lens of access and accessibility to respond to women’s own priorities. These centered around appropriateness, approachability, and acceptability. Addressing these broader issues of access in policy and practice alongside disability-specific needs can better align what services offer and what women need.","container-title":"Violence Against Women","DOI":"10.1177/1077801220909890","ISSN":"1077-8012, 1552-8448","issue":"6-7","journalAbbreviation":"Violence Against Women","language":"en","page":"918-936","source":"DOI.org (Crossref)","title":"Access and Accessibility in Domestic and Family Violence Services for Women With Disabilities: Widening the Lens","title-short":"Access and Accessibility in Domestic and Family Violence Services for Women With Disabilities","volume":"27","author":[{"family":"Robinson","given":"Sally"},{"family":"Frawley","given":"Patsie"},{"family":"Dyson","given":"Sue"}],"issued":{"date-parts":[["2021",5]]}}}],"schema":"https://github.com/citation-style-language/schema/raw/master/csl-citation.json"} </w:instrText>
                  </w:r>
                  <w:r w:rsidRPr="00A86A45">
                    <w:fldChar w:fldCharType="separate"/>
                  </w:r>
                  <w:r w:rsidRPr="003A464F">
                    <w:rPr>
                      <w:rFonts w:ascii="Arial" w:hAnsi="Arial" w:cs="Arial"/>
                    </w:rPr>
                    <w:t>(Robinson et al., 2021)</w:t>
                  </w:r>
                  <w:r w:rsidRPr="00A86A45">
                    <w:fldChar w:fldCharType="end"/>
                  </w:r>
                  <w:r w:rsidRPr="00A86A45">
                    <w:t>.</w:t>
                  </w:r>
                </w:p>
                <w:p w14:paraId="1B1C0188" w14:textId="77777777" w:rsidR="00B51E98" w:rsidRPr="005716DC" w:rsidRDefault="00B51E98" w:rsidP="00B51E98">
                  <w:pPr>
                    <w:pStyle w:val="Text"/>
                  </w:pPr>
                  <w:r w:rsidRPr="005716DC">
                    <w:t xml:space="preserve">Robinson et al. </w:t>
                  </w:r>
                  <w:r w:rsidRPr="005716DC">
                    <w:fldChar w:fldCharType="begin"/>
                  </w:r>
                  <w:r>
                    <w:instrText xml:space="preserve"> ADDIN ZOTERO_ITEM CSL_CITATION {"citationID":"AT9h14k0","properties":{"formattedCitation":"(2021)","plainCitation":"(2021)","noteIndex":0},"citationItems":[{"id":4760,"uris":["http://zotero.org/groups/5691188/items/XSXD49NA"],"itemData":{"id":4760,"type":"article-journal","abstract":"Women with disabilities experiencing violence can face challenges accessing domestic and family violence (DFV) services. Our research explored how these services understood and operationalized access for women with disabilities. In this article, we use Levesque, Harris, and Russell’s access framework to show how to be accessible to women with disabilities, and DFV services can widen the lens of access and accessibility to respond to women’s own priorities. These centered around appropriateness, approachability, and acceptability. Addressing these broader issues of access in policy and practice alongside disability-specific needs can better align what services offer and what women need.","container-title":"Violence Against Women","DOI":"10.1177/1077801220909890","ISSN":"1077-8012, 1552-8448","issue":"6-7","journalAbbreviation":"Violence Against Women","language":"en","page":"918-936","source":"DOI.org (Crossref)","title":"Access and Accessibility in Domestic and Family Violence Services for Women With Disabilities: Widening the Lens","title-short":"Access and Accessibility in Domestic and Family Violence Services for Women With Disabilities","volume":"27","author":[{"family":"Robinson","given":"Sally"},{"family":"Frawley","given":"Patsie"},{"family":"Dyson","given":"Sue"}],"issued":{"date-parts":[["2021",5]]}},"label":"page","suppress-author":true}],"schema":"https://github.com/citation-style-language/schema/raw/master/csl-citation.json"} </w:instrText>
                  </w:r>
                  <w:r w:rsidRPr="005716DC">
                    <w:fldChar w:fldCharType="separate"/>
                  </w:r>
                  <w:r w:rsidRPr="005716DC">
                    <w:rPr>
                      <w:rFonts w:ascii="Arial" w:hAnsi="Arial" w:cs="Arial"/>
                    </w:rPr>
                    <w:t>(2021)</w:t>
                  </w:r>
                  <w:r w:rsidRPr="005716DC">
                    <w:fldChar w:fldCharType="end"/>
                  </w:r>
                  <w:r w:rsidRPr="005716DC">
                    <w:t xml:space="preserve"> use Levesque, Harris, and Russell’s </w:t>
                  </w:r>
                  <w:r w:rsidRPr="005716DC">
                    <w:fldChar w:fldCharType="begin"/>
                  </w:r>
                  <w:r>
                    <w:instrText xml:space="preserve"> ADDIN ZOTERO_ITEM CSL_CITATION {"citationID":"fBTV454j","properties":{"formattedCitation":"(2013)","plainCitation":"(2013)","noteIndex":0},"citationItems":[{"id":4711,"uris":["http://zotero.org/groups/5691188/items/423MP5CQ"],"itemData":{"id":4711,"type":"article-journal","abstract":"Background: Access is central to the performance of health care systems around the world. However, access to health care remains a complex notion as exemplified in the variety of interpretations of the concept across authors. The aim of this paper is to suggest a conceptualisation of access to health care describing broad dimensions and determinants that integrate demand and supply-side-factors and enabling the operationalisation of access to health care all along the process of obtaining care and benefiting from the services.\nMethods: A synthesis of the published literature on the conceptualisation of access has been performed. The most cited frameworks served as a basis to develop a revised conceptual framework.\nResults: Here, we view access as the opportunity to identify healthcare needs, to seek healthcare services, to reach, to obtain or use health care services, and to actually have a need for services fulfilled. We conceptualise five dimensions of accessibility: 1) Approachability; 2) Acceptability; 3) Availability and accommodation; 4) Affordability; 5) Appropriateness. In this framework, five corresponding abilities of populations interact with the dimensions of accessibility to generate access. Five corollary dimensions of abilities include: 1) Ability to perceive; 2) Ability to seek; 3) Ability to reach; 4) Ability to pay; and 5) Ability to engage.\nConclusions: This paper explains the comprehensiveness and dynamic nature of this conceptualisation of access to care and identifies relevant determinants that can have an impact on access from a multilevel perspective where factors related to health systems, institutions, organisations and providers are considered with factors at the individual, household, community, and population levels.","container-title":"International Journal for Equity in Health","DOI":"10.1186/1475-9276-12-18","ISSN":"1475-9276","issue":"1","journalAbbreviation":"Int J Equity Health","language":"en","page":"18","source":"DOI.org (Crossref)","title":"Patient-centred access to health care: conceptualising access at the interface of health systems and populations","title-short":"Patient-centred access to health care","volume":"12","author":[{"family":"Levesque","given":"Jean-Frederic"},{"family":"Harris","given":"Mark F"},{"family":"Russell","given":"Grant"}],"issued":{"date-parts":[["2013"]]}},"label":"page","suppress-author":true}],"schema":"https://github.com/citation-style-language/schema/raw/master/csl-citation.json"} </w:instrText>
                  </w:r>
                  <w:r w:rsidRPr="005716DC">
                    <w:fldChar w:fldCharType="separate"/>
                  </w:r>
                  <w:r w:rsidRPr="005716DC">
                    <w:rPr>
                      <w:rFonts w:ascii="Arial" w:hAnsi="Arial" w:cs="Arial"/>
                    </w:rPr>
                    <w:t>(2013)</w:t>
                  </w:r>
                  <w:r w:rsidRPr="005716DC">
                    <w:fldChar w:fldCharType="end"/>
                  </w:r>
                  <w:r w:rsidRPr="005716DC">
                    <w:t xml:space="preserve"> access and accessibility framework to analyse how family violence services can better support individuals with disabilities. The five dimensions—approachability, acceptability, availability, affordability, and appropriateness—highlight a holistic view of access, beyond physical adjustments, to include social, emotional, and informational considerations</w:t>
                  </w:r>
                  <w:r>
                    <w:t>. B</w:t>
                  </w:r>
                  <w:r w:rsidRPr="005716DC">
                    <w:t xml:space="preserve">arriers faced and best practice approaches as synthesised by Robinson et al. </w:t>
                  </w:r>
                  <w:r w:rsidRPr="005716DC">
                    <w:fldChar w:fldCharType="begin"/>
                  </w:r>
                  <w:r>
                    <w:instrText xml:space="preserve"> ADDIN ZOTERO_ITEM CSL_CITATION {"citationID":"OylEAu3T","properties":{"formattedCitation":"(2021)","plainCitation":"(2021)","noteIndex":0},"citationItems":[{"id":4760,"uris":["http://zotero.org/groups/5691188/items/XSXD49NA"],"itemData":{"id":4760,"type":"article-journal","abstract":"Women with disabilities experiencing violence can face challenges accessing domestic and family violence (DFV) services. Our research explored how these services understood and operationalized access for women with disabilities. In this article, we use Levesque, Harris, and Russell’s access framework to show how to be accessible to women with disabilities, and DFV services can widen the lens of access and accessibility to respond to women’s own priorities. These centered around appropriateness, approachability, and acceptability. Addressing these broader issues of access in policy and practice alongside disability-specific needs can better align what services offer and what women need.","container-title":"Violence Against Women","DOI":"10.1177/1077801220909890","ISSN":"1077-8012, 1552-8448","issue":"6-7","journalAbbreviation":"Violence Against Women","language":"en","page":"918-936","source":"DOI.org (Crossref)","title":"Access and Accessibility in Domestic and Family Violence Services for Women With Disabilities: Widening the Lens","title-short":"Access and Accessibility in Domestic and Family Violence Services for Women With Disabilities","volume":"27","author":[{"family":"Robinson","given":"Sally"},{"family":"Frawley","given":"Patsie"},{"family":"Dyson","given":"Sue"}],"issued":{"date-parts":[["2021",5]]}},"label":"page","suppress-author":true}],"schema":"https://github.com/citation-style-language/schema/raw/master/csl-citation.json"} </w:instrText>
                  </w:r>
                  <w:r w:rsidRPr="005716DC">
                    <w:fldChar w:fldCharType="separate"/>
                  </w:r>
                  <w:r w:rsidRPr="005716DC">
                    <w:rPr>
                      <w:rFonts w:ascii="Arial" w:hAnsi="Arial" w:cs="Arial"/>
                    </w:rPr>
                    <w:t>(2021)</w:t>
                  </w:r>
                  <w:r w:rsidRPr="005716DC">
                    <w:fldChar w:fldCharType="end"/>
                  </w:r>
                  <w:r>
                    <w:t xml:space="preserve"> include:</w:t>
                  </w:r>
                </w:p>
                <w:p w14:paraId="1C737748" w14:textId="77777777" w:rsidR="00B51E98" w:rsidRPr="007046B4" w:rsidRDefault="00B51E98" w:rsidP="00B51E98">
                  <w:pPr>
                    <w:pStyle w:val="Bullet1"/>
                    <w:rPr>
                      <w:lang w:val="en-US"/>
                    </w:rPr>
                  </w:pPr>
                  <w:r>
                    <w:lastRenderedPageBreak/>
                    <w:t>e</w:t>
                  </w:r>
                  <w:r w:rsidRPr="00CC37B4">
                    <w:t>nsuring that initial points of contact, such as crisis hotlines or police interactions, are handled by trained personnel who understand the needs of people with disabilities is crucial for initial engagement</w:t>
                  </w:r>
                </w:p>
                <w:p w14:paraId="14B3B377" w14:textId="77777777" w:rsidR="00B51E98" w:rsidRPr="005716DC" w:rsidRDefault="00B51E98" w:rsidP="00B51E98">
                  <w:pPr>
                    <w:pStyle w:val="Bullet1"/>
                  </w:pPr>
                  <w:r>
                    <w:t>t</w:t>
                  </w:r>
                  <w:r w:rsidRPr="00BD2347">
                    <w:t>raining staff on disability rights and respectful, inclusive communication, emphasising active listening, empathy, and cultural sensitivity</w:t>
                  </w:r>
                </w:p>
                <w:p w14:paraId="4CF89972" w14:textId="77777777" w:rsidR="00B51E98" w:rsidRPr="005716DC" w:rsidRDefault="00B51E98" w:rsidP="00B51E98">
                  <w:pPr>
                    <w:pStyle w:val="Bullet1"/>
                  </w:pPr>
                  <w:r w:rsidRPr="00BD2347">
                    <w:t>prioritis</w:t>
                  </w:r>
                  <w:r>
                    <w:t>ing</w:t>
                  </w:r>
                  <w:r w:rsidRPr="00BD2347">
                    <w:t xml:space="preserve"> structural and operational flexibility to accommodate the diverse needs of individuals with disabilities.</w:t>
                  </w:r>
                </w:p>
                <w:p w14:paraId="7823939C" w14:textId="77777777" w:rsidR="00B51E98" w:rsidRDefault="00B51E98" w:rsidP="00B51E98">
                  <w:pPr>
                    <w:pStyle w:val="Bullet1"/>
                    <w:rPr>
                      <w:rFonts w:ascii="Arial" w:hAnsi="Arial" w:cs="Arial"/>
                      <w:szCs w:val="22"/>
                      <w:shd w:val="clear" w:color="auto" w:fill="FFFFFF"/>
                      <w:lang w:val="en-GB"/>
                    </w:rPr>
                  </w:pPr>
                  <w:r w:rsidRPr="00395C13">
                    <w:t>allowing face-to-face interactions as much as possible, which participants preferred over phone interactions will help to facilitate clearer communication.</w:t>
                  </w:r>
                </w:p>
                <w:p w14:paraId="0781B33C" w14:textId="531F284F" w:rsidR="00C73F96" w:rsidRPr="00321BC5" w:rsidRDefault="00FF670F" w:rsidP="00321BC5">
                  <w:pPr>
                    <w:pStyle w:val="Text"/>
                    <w:spacing w:before="360"/>
                    <w:rPr>
                      <w:b/>
                      <w:color w:val="36424A" w:themeColor="background2"/>
                    </w:rPr>
                  </w:pPr>
                  <w:r w:rsidRPr="00321BC5">
                    <w:rPr>
                      <w:b/>
                      <w:color w:val="36424A" w:themeColor="background2"/>
                    </w:rPr>
                    <w:t>S</w:t>
                  </w:r>
                  <w:r w:rsidR="00C73F96" w:rsidRPr="00321BC5">
                    <w:rPr>
                      <w:b/>
                      <w:color w:val="36424A" w:themeColor="background2"/>
                    </w:rPr>
                    <w:t>ervice provision for people with disability</w:t>
                  </w:r>
                </w:p>
                <w:p w14:paraId="0D80AAE1" w14:textId="739032EE" w:rsidR="00860FDC" w:rsidRDefault="00860FDC" w:rsidP="008E1B83">
                  <w:pPr>
                    <w:pStyle w:val="Text"/>
                  </w:pPr>
                  <w:r w:rsidRPr="00860FDC">
                    <w:t>There is evidence that while people with disability are accessing FaRS and SFVS services, they are doing so at a rate lower than disability prevalence in the Australian</w:t>
                  </w:r>
                  <w:r w:rsidR="00602780">
                    <w:t xml:space="preserve"> or victim survivor population</w:t>
                  </w:r>
                  <w:r w:rsidR="00623F51">
                    <w:t xml:space="preserve">. </w:t>
                  </w:r>
                  <w:r w:rsidR="00227A5D" w:rsidRPr="00860FDC">
                    <w:t>DEX data indicates that from 2021/22 to 2023/24, 9.7% of FaRS services users and 11.4% of SFVS service users identified as having a disability. This is a significant proportion of service users, but less than the estimated 18% of people in Australia with disability</w:t>
                  </w:r>
                  <w:r w:rsidR="00227A5D">
                    <w:t xml:space="preserve"> </w:t>
                  </w:r>
                  <w:r w:rsidR="00227A5D" w:rsidRPr="00FA18F6">
                    <w:fldChar w:fldCharType="begin"/>
                  </w:r>
                  <w:r w:rsidR="003A464F">
                    <w:instrText xml:space="preserve"> ADDIN ZOTERO_ITEM CSL_CITATION {"citationID":"oUveChkh","properties":{"formattedCitation":"(Australian Institute of Health and Welfare, 2024b)","plainCitation":"(Australian Institute of Health and Welfare, 2024b)","noteIndex":0},"citationItems":[{"id":4710,"uris":["http://zotero.org/groups/5691188/items/FIR45BJV"],"itemData":{"id":4710,"type":"report","event-place":"Canberra, ACT","publisher":"Australian Government","publisher-place":"Canberra, ACT","title":"Child protection Australia 2022–23","URL":"https://www.aihw.gov.au/reports/child-protection/child-protection-australia-insights/contents/insights","author":[{"family":"Australian Institute of Health and Welfare","given":""}],"issued":{"date-parts":[["2024"]]}}}],"schema":"https://github.com/citation-style-language/schema/raw/master/csl-citation.json"} </w:instrText>
                  </w:r>
                  <w:r w:rsidR="00227A5D" w:rsidRPr="00FA18F6">
                    <w:fldChar w:fldCharType="separate"/>
                  </w:r>
                  <w:r w:rsidR="003A464F" w:rsidRPr="003A464F">
                    <w:rPr>
                      <w:rFonts w:ascii="Arial" w:hAnsi="Arial" w:cs="Arial"/>
                    </w:rPr>
                    <w:t>(Australian Institute of Health and Welfare, 2024b)</w:t>
                  </w:r>
                  <w:r w:rsidR="00227A5D" w:rsidRPr="00FA18F6">
                    <w:fldChar w:fldCharType="end"/>
                  </w:r>
                  <w:r w:rsidR="00227A5D" w:rsidRPr="00FA18F6">
                    <w:t>.</w:t>
                  </w:r>
                  <w:r w:rsidR="00227A5D">
                    <w:t xml:space="preserve"> </w:t>
                  </w:r>
                  <w:r w:rsidR="00BB4ADE">
                    <w:t>In addition, w</w:t>
                  </w:r>
                  <w:r w:rsidR="00E86FC5">
                    <w:t>omen with disability are almost twice as likely as women without a disability to experience physical or sexual violence or emotional abuse</w:t>
                  </w:r>
                  <w:r w:rsidR="00E046DE">
                    <w:t>.</w:t>
                  </w:r>
                  <w:r w:rsidR="00177C96">
                    <w:t xml:space="preserve"> </w:t>
                  </w:r>
                  <w:r w:rsidR="00E046DE">
                    <w:t>T</w:t>
                  </w:r>
                  <w:r w:rsidR="00177C96">
                    <w:t>hose who have an intellectual or psychological disability</w:t>
                  </w:r>
                  <w:r w:rsidR="00872E08">
                    <w:t xml:space="preserve"> </w:t>
                  </w:r>
                  <w:r w:rsidR="00CC6760">
                    <w:t>are</w:t>
                  </w:r>
                  <w:r w:rsidR="00872E08">
                    <w:t xml:space="preserve"> at an even higher risk compared to those with a physical disability</w:t>
                  </w:r>
                  <w:r w:rsidR="00E86FC5">
                    <w:t xml:space="preserve"> </w:t>
                  </w:r>
                  <w:r w:rsidR="00B1374C" w:rsidRPr="00B1374C">
                    <w:fldChar w:fldCharType="begin"/>
                  </w:r>
                  <w:r w:rsidR="003A464F">
                    <w:instrText xml:space="preserve"> ADDIN ZOTERO_ITEM CSL_CITATION {"citationID":"a29hkc7q0il","properties":{"formattedCitation":"(Australian Bureau of Statistics, 2021)","plainCitation":"(Australian Bureau of Statistics, 2021)","noteIndex":0},"citationItems":[{"id":5713,"uris":["http://zotero.org/groups/5691188/items/EWZMD7BA"],"itemData":{"id":5713,"type":"webpage","abstract":"Presents statistics about assault, domestic violence, partner emotional abuse/coercion, sexual harassment, and stalking for persons with disability.","language":"en","title":"Disability and Violence - In Focus: Crime and Justice Statistics, Disability and violence - April 2021","title-short":"Disability and Violence - In Focus","URL":"https://www.abs.gov.au/statistics/people/crime-and-justice/focus-crime-and-justice-statistics/latest-release","author":[{"literal":"Australian Bureau of Statistics"}],"accessed":{"date-parts":[["2025",9,8]]},"issued":{"date-parts":[["2021"]]}}}],"schema":"https://github.com/citation-style-language/schema/raw/master/csl-citation.json"} </w:instrText>
                  </w:r>
                  <w:r w:rsidR="00B1374C" w:rsidRPr="00B1374C">
                    <w:fldChar w:fldCharType="separate"/>
                  </w:r>
                  <w:r w:rsidR="003A464F" w:rsidRPr="003A464F">
                    <w:rPr>
                      <w:rFonts w:ascii="Arial" w:hAnsi="Arial" w:cs="Arial"/>
                    </w:rPr>
                    <w:t>(Australian Bureau of Statistics, 2021)</w:t>
                  </w:r>
                  <w:r w:rsidR="00B1374C" w:rsidRPr="00B1374C">
                    <w:fldChar w:fldCharType="end"/>
                  </w:r>
                  <w:r w:rsidR="00B1374C">
                    <w:t xml:space="preserve">. </w:t>
                  </w:r>
                  <w:r w:rsidR="00394F6F">
                    <w:t xml:space="preserve">Fewer than one in three incidences of these threats to physical safety are reported to police </w:t>
                  </w:r>
                  <w:r w:rsidR="00B1374C" w:rsidRPr="00B1374C">
                    <w:fldChar w:fldCharType="begin"/>
                  </w:r>
                  <w:r w:rsidR="003A464F">
                    <w:instrText xml:space="preserve"> ADDIN ZOTERO_ITEM CSL_CITATION {"citationID":"BHQbP9Cp","properties":{"formattedCitation":"(Australian Bureau of Statistics, 2021)","plainCitation":"(Australian Bureau of Statistics, 2021)","noteIndex":0},"citationItems":[{"id":5713,"uris":["http://zotero.org/groups/5691188/items/EWZMD7BA"],"itemData":{"id":5713,"type":"webpage","abstract":"Presents statistics about assault, domestic violence, partner emotional abuse/coercion, sexual harassment, and stalking for persons with disability.","language":"en","title":"Disability and Violence - In Focus: Crime and Justice Statistics, Disability and violence - April 2021","title-short":"Disability and Violence - In Focus","URL":"https://www.abs.gov.au/statistics/people/crime-and-justice/focus-crime-and-justice-statistics/latest-release","author":[{"literal":"Australian Bureau of Statistics"}],"accessed":{"date-parts":[["2025",9,8]]},"issued":{"date-parts":[["2021"]]}}}],"schema":"https://github.com/citation-style-language/schema/raw/master/csl-citation.json"} </w:instrText>
                  </w:r>
                  <w:r w:rsidR="00B1374C" w:rsidRPr="00B1374C">
                    <w:fldChar w:fldCharType="separate"/>
                  </w:r>
                  <w:r w:rsidR="003A464F" w:rsidRPr="003A464F">
                    <w:rPr>
                      <w:rFonts w:ascii="Arial" w:hAnsi="Arial" w:cs="Arial"/>
                    </w:rPr>
                    <w:t>(Australian Bureau of Statistics, 2021)</w:t>
                  </w:r>
                  <w:r w:rsidR="00B1374C" w:rsidRPr="00B1374C">
                    <w:fldChar w:fldCharType="end"/>
                  </w:r>
                  <w:r w:rsidR="00B1374C">
                    <w:t>,</w:t>
                  </w:r>
                  <w:r w:rsidR="00B1374C" w:rsidDel="00B1374C">
                    <w:t xml:space="preserve"> </w:t>
                  </w:r>
                  <w:r w:rsidR="00394F6F">
                    <w:t xml:space="preserve">meaning the true extent of family violence </w:t>
                  </w:r>
                  <w:r w:rsidR="00CC6760">
                    <w:t xml:space="preserve">within this population </w:t>
                  </w:r>
                  <w:r w:rsidR="00394F6F">
                    <w:t xml:space="preserve">is unknown. </w:t>
                  </w:r>
                  <w:r w:rsidRPr="00860FDC">
                    <w:t>While disability is not a priority factor for FaRS, SFVS Operational Guidelines require service providers to prioritise (among other priority groups) women with disability.</w:t>
                  </w:r>
                </w:p>
                <w:p w14:paraId="184A46C6" w14:textId="6CB48D1C" w:rsidR="00524077" w:rsidRPr="00DB6A0B" w:rsidRDefault="00093316" w:rsidP="008E1B83">
                  <w:pPr>
                    <w:pStyle w:val="Text"/>
                  </w:pPr>
                  <w:r>
                    <w:t xml:space="preserve">The most prevalent disability reported by service users was psychiatric disability at 6.0% of all FaRS service users and 6.6% of all SFVS service users, followed by learning disability </w:t>
                  </w:r>
                  <w:r w:rsidR="00D03E54">
                    <w:t xml:space="preserve">at </w:t>
                  </w:r>
                  <w:r>
                    <w:t>1.8% of all FaRS service users and 2.8% of all SFVS service users</w:t>
                  </w:r>
                  <w:r w:rsidDel="006019A1">
                    <w:t>.</w:t>
                  </w:r>
                  <w:r>
                    <w:t xml:space="preserve"> </w:t>
                  </w:r>
                </w:p>
                <w:p w14:paraId="59ABD99B" w14:textId="55FAC1D9" w:rsidR="00770AC1" w:rsidRDefault="10D06DE8" w:rsidP="4184DD85">
                  <w:pPr>
                    <w:pStyle w:val="Text"/>
                    <w:rPr>
                      <w:rFonts w:ascii="Arial" w:hAnsi="Arial" w:cs="Arial"/>
                      <w:lang w:val="en-AU"/>
                    </w:rPr>
                  </w:pPr>
                  <w:r w:rsidRPr="4184DD85">
                    <w:rPr>
                      <w:rFonts w:ascii="Arial" w:hAnsi="Arial" w:cs="Arial"/>
                      <w:lang w:val="en-AU"/>
                    </w:rPr>
                    <w:t xml:space="preserve">Analyses of change in SCORE between earliest and latest assessments indicated improvement in all domains, on average, for </w:t>
                  </w:r>
                  <w:r w:rsidR="005072EF">
                    <w:rPr>
                      <w:rFonts w:ascii="Arial" w:hAnsi="Arial" w:cs="Arial"/>
                      <w:lang w:val="en-AU"/>
                    </w:rPr>
                    <w:t xml:space="preserve">service </w:t>
                  </w:r>
                  <w:r w:rsidR="00E070C1">
                    <w:rPr>
                      <w:rFonts w:ascii="Arial" w:hAnsi="Arial" w:cs="Arial"/>
                      <w:lang w:val="en-AU"/>
                    </w:rPr>
                    <w:t>users</w:t>
                  </w:r>
                  <w:r w:rsidRPr="4184DD85">
                    <w:rPr>
                      <w:rFonts w:ascii="Arial" w:hAnsi="Arial" w:cs="Arial"/>
                      <w:lang w:val="en-AU"/>
                    </w:rPr>
                    <w:t xml:space="preserve"> with a known disability</w:t>
                  </w:r>
                  <w:r w:rsidR="0061697F">
                    <w:rPr>
                      <w:rFonts w:ascii="Arial" w:hAnsi="Arial" w:cs="Arial"/>
                      <w:lang w:val="en-AU"/>
                    </w:rPr>
                    <w:t xml:space="preserve"> (see </w:t>
                  </w:r>
                  <w:r w:rsidR="0061697F" w:rsidRPr="0056140C">
                    <w:rPr>
                      <w:rFonts w:ascii="Arial" w:hAnsi="Arial" w:cs="Arial"/>
                      <w:b/>
                      <w:bCs/>
                      <w:lang w:val="en-AU"/>
                    </w:rPr>
                    <w:fldChar w:fldCharType="begin" w:fldLock="1"/>
                  </w:r>
                  <w:r w:rsidR="0061697F" w:rsidRPr="0061697F">
                    <w:rPr>
                      <w:rFonts w:ascii="Arial" w:hAnsi="Arial" w:cs="Arial"/>
                      <w:b/>
                      <w:bCs/>
                      <w:lang w:val="en-AU"/>
                    </w:rPr>
                    <w:instrText xml:space="preserve"> REF _Ref205326957 \h </w:instrText>
                  </w:r>
                  <w:r w:rsidR="0061697F" w:rsidRPr="0056140C">
                    <w:rPr>
                      <w:rFonts w:ascii="Arial" w:hAnsi="Arial" w:cs="Arial"/>
                      <w:b/>
                      <w:bCs/>
                      <w:lang w:val="en-AU"/>
                    </w:rPr>
                    <w:instrText xml:space="preserve"> \* MERGEFORMAT </w:instrText>
                  </w:r>
                  <w:r w:rsidR="0061697F" w:rsidRPr="0056140C">
                    <w:rPr>
                      <w:rFonts w:ascii="Arial" w:hAnsi="Arial" w:cs="Arial"/>
                      <w:b/>
                      <w:bCs/>
                      <w:lang w:val="en-AU"/>
                    </w:rPr>
                  </w:r>
                  <w:r w:rsidR="0061697F" w:rsidRPr="0056140C">
                    <w:rPr>
                      <w:rFonts w:ascii="Arial" w:hAnsi="Arial" w:cs="Arial"/>
                      <w:b/>
                      <w:bCs/>
                      <w:lang w:val="en-AU"/>
                    </w:rPr>
                    <w:fldChar w:fldCharType="separate"/>
                  </w:r>
                  <w:r w:rsidR="008F22E5" w:rsidRPr="008F22E5">
                    <w:rPr>
                      <w:b/>
                      <w:szCs w:val="22"/>
                    </w:rPr>
                    <w:t xml:space="preserve">Figure </w:t>
                  </w:r>
                  <w:r w:rsidR="008F22E5" w:rsidRPr="008F22E5">
                    <w:rPr>
                      <w:b/>
                      <w:bCs/>
                      <w:noProof/>
                      <w:szCs w:val="22"/>
                    </w:rPr>
                    <w:t>43</w:t>
                  </w:r>
                  <w:r w:rsidR="0061697F" w:rsidRPr="0056140C">
                    <w:rPr>
                      <w:rFonts w:ascii="Arial" w:hAnsi="Arial" w:cs="Arial"/>
                      <w:b/>
                      <w:bCs/>
                      <w:lang w:val="en-AU"/>
                    </w:rPr>
                    <w:fldChar w:fldCharType="end"/>
                  </w:r>
                  <w:r w:rsidR="0061697F" w:rsidRPr="0056140C">
                    <w:rPr>
                      <w:rFonts w:ascii="Arial" w:hAnsi="Arial" w:cs="Arial"/>
                      <w:b/>
                      <w:bCs/>
                      <w:lang w:val="en-AU"/>
                    </w:rPr>
                    <w:t xml:space="preserve"> </w:t>
                  </w:r>
                  <w:r w:rsidR="0061697F" w:rsidRPr="0056140C">
                    <w:rPr>
                      <w:rFonts w:ascii="Arial" w:hAnsi="Arial" w:cs="Arial"/>
                      <w:lang w:val="en-AU"/>
                    </w:rPr>
                    <w:t xml:space="preserve">and </w:t>
                  </w:r>
                  <w:r w:rsidR="0061697F" w:rsidRPr="0056140C">
                    <w:rPr>
                      <w:rFonts w:ascii="Arial" w:hAnsi="Arial" w:cs="Arial"/>
                      <w:b/>
                      <w:bCs/>
                      <w:lang w:val="en-AU"/>
                    </w:rPr>
                    <w:fldChar w:fldCharType="begin" w:fldLock="1"/>
                  </w:r>
                  <w:r w:rsidR="0061697F" w:rsidRPr="0056140C">
                    <w:rPr>
                      <w:rFonts w:ascii="Arial" w:hAnsi="Arial" w:cs="Arial"/>
                      <w:b/>
                      <w:bCs/>
                      <w:lang w:val="en-AU"/>
                    </w:rPr>
                    <w:instrText xml:space="preserve"> REF _Ref205326969 \h  \* MERGEFORMAT </w:instrText>
                  </w:r>
                  <w:r w:rsidR="0061697F" w:rsidRPr="0056140C">
                    <w:rPr>
                      <w:rFonts w:ascii="Arial" w:hAnsi="Arial" w:cs="Arial"/>
                      <w:b/>
                      <w:bCs/>
                      <w:lang w:val="en-AU"/>
                    </w:rPr>
                  </w:r>
                  <w:r w:rsidR="0061697F" w:rsidRPr="0056140C">
                    <w:rPr>
                      <w:rFonts w:ascii="Arial" w:hAnsi="Arial" w:cs="Arial"/>
                      <w:b/>
                      <w:bCs/>
                      <w:lang w:val="en-AU"/>
                    </w:rPr>
                    <w:fldChar w:fldCharType="separate"/>
                  </w:r>
                  <w:r w:rsidR="008F22E5" w:rsidRPr="008F22E5">
                    <w:rPr>
                      <w:b/>
                    </w:rPr>
                    <w:t xml:space="preserve">Figure </w:t>
                  </w:r>
                  <w:r w:rsidR="008F22E5" w:rsidRPr="008F22E5">
                    <w:rPr>
                      <w:b/>
                      <w:bCs/>
                      <w:noProof/>
                    </w:rPr>
                    <w:t>44</w:t>
                  </w:r>
                  <w:r w:rsidR="0061697F" w:rsidRPr="0056140C">
                    <w:rPr>
                      <w:rFonts w:ascii="Arial" w:hAnsi="Arial" w:cs="Arial"/>
                      <w:b/>
                      <w:bCs/>
                      <w:lang w:val="en-AU"/>
                    </w:rPr>
                    <w:fldChar w:fldCharType="end"/>
                  </w:r>
                  <w:r w:rsidR="0061697F" w:rsidRPr="0056140C">
                    <w:rPr>
                      <w:rFonts w:ascii="Arial" w:hAnsi="Arial" w:cs="Arial"/>
                      <w:lang w:val="en-AU"/>
                    </w:rPr>
                    <w:t xml:space="preserve"> below</w:t>
                  </w:r>
                  <w:r w:rsidR="0061697F">
                    <w:rPr>
                      <w:rFonts w:ascii="Arial" w:hAnsi="Arial" w:cs="Arial"/>
                      <w:lang w:val="en-AU"/>
                    </w:rPr>
                    <w:t>)</w:t>
                  </w:r>
                  <w:r w:rsidRPr="4184DD85">
                    <w:rPr>
                      <w:rFonts w:ascii="Arial" w:hAnsi="Arial" w:cs="Arial"/>
                      <w:lang w:val="en-AU"/>
                    </w:rPr>
                    <w:t xml:space="preserve">. </w:t>
                  </w:r>
                  <w:r w:rsidR="005E64A1">
                    <w:rPr>
                      <w:rFonts w:ascii="Arial" w:hAnsi="Arial" w:cs="Arial"/>
                      <w:lang w:val="en-AU"/>
                    </w:rPr>
                    <w:t xml:space="preserve">Improvement in outcomes for people with disability are consistent with - and in the case of SFVS, slightly greater than – service users without disability. </w:t>
                  </w:r>
                  <w:r w:rsidRPr="4184DD85">
                    <w:rPr>
                      <w:rFonts w:ascii="Arial" w:hAnsi="Arial" w:cs="Arial"/>
                      <w:lang w:val="en-AU"/>
                    </w:rPr>
                    <w:t xml:space="preserve">Satisfaction </w:t>
                  </w:r>
                  <w:r w:rsidR="7899387B" w:rsidRPr="4184DD85">
                    <w:rPr>
                      <w:rFonts w:ascii="Arial" w:hAnsi="Arial" w:cs="Arial"/>
                      <w:lang w:val="en-AU"/>
                    </w:rPr>
                    <w:t xml:space="preserve">with services was rated consistently high but also showed improvement. </w:t>
                  </w:r>
                  <w:r w:rsidR="22100C84" w:rsidRPr="4184DD85">
                    <w:rPr>
                      <w:rFonts w:ascii="Arial" w:hAnsi="Arial" w:cs="Arial"/>
                      <w:lang w:val="en-AU"/>
                    </w:rPr>
                    <w:t>Skills, Knowledge, Confidence and Impact showed the most improvement. All changes were statistically significant (</w:t>
                  </w:r>
                  <w:r w:rsidR="22100C84" w:rsidRPr="4184DD85">
                    <w:rPr>
                      <w:rFonts w:ascii="Arial" w:hAnsi="Arial" w:cs="Arial"/>
                      <w:i/>
                      <w:iCs/>
                      <w:lang w:val="en-AU"/>
                    </w:rPr>
                    <w:t>p</w:t>
                  </w:r>
                  <w:r w:rsidR="22100C84" w:rsidRPr="4184DD85">
                    <w:rPr>
                      <w:rFonts w:ascii="Arial" w:hAnsi="Arial" w:cs="Arial"/>
                      <w:lang w:val="en-AU"/>
                    </w:rPr>
                    <w:t xml:space="preserve">&lt;.001). </w:t>
                  </w:r>
                  <w:r w:rsidR="1334311E" w:rsidRPr="4184DD85">
                    <w:rPr>
                      <w:rFonts w:ascii="Arial" w:hAnsi="Arial" w:cs="Arial"/>
                      <w:lang w:val="en-AU"/>
                    </w:rPr>
                    <w:t xml:space="preserve">Sample sizes varied by domain from </w:t>
                  </w:r>
                  <w:r w:rsidR="1334311E" w:rsidRPr="007346B4">
                    <w:rPr>
                      <w:rFonts w:ascii="Arial" w:hAnsi="Arial" w:cs="Arial"/>
                      <w:lang w:val="en-AU"/>
                    </w:rPr>
                    <w:t>n=</w:t>
                  </w:r>
                  <w:r w:rsidR="1334311E" w:rsidRPr="4184DD85">
                    <w:rPr>
                      <w:rFonts w:ascii="Arial" w:hAnsi="Arial" w:cs="Arial"/>
                      <w:lang w:val="en-AU"/>
                    </w:rPr>
                    <w:t xml:space="preserve">547 to </w:t>
                  </w:r>
                  <w:r w:rsidR="1334311E" w:rsidRPr="007346B4">
                    <w:rPr>
                      <w:rFonts w:ascii="Arial" w:hAnsi="Arial" w:cs="Arial"/>
                      <w:lang w:val="en-AU"/>
                    </w:rPr>
                    <w:t>n</w:t>
                  </w:r>
                  <w:r w:rsidR="1334311E" w:rsidRPr="4184DD85">
                    <w:rPr>
                      <w:rFonts w:ascii="Arial" w:hAnsi="Arial" w:cs="Arial"/>
                      <w:lang w:val="en-AU"/>
                    </w:rPr>
                    <w:t xml:space="preserve">=4604 for FaRS and </w:t>
                  </w:r>
                  <w:r w:rsidR="1334311E" w:rsidRPr="007346B4">
                    <w:rPr>
                      <w:rFonts w:ascii="Arial" w:hAnsi="Arial" w:cs="Arial"/>
                      <w:lang w:val="en-AU"/>
                    </w:rPr>
                    <w:t>n=</w:t>
                  </w:r>
                  <w:r w:rsidR="5204D1E1" w:rsidRPr="4184DD85">
                    <w:rPr>
                      <w:rFonts w:ascii="Arial" w:hAnsi="Arial" w:cs="Arial"/>
                      <w:lang w:val="en-AU"/>
                    </w:rPr>
                    <w:t xml:space="preserve">79 to </w:t>
                  </w:r>
                  <w:r w:rsidR="5204D1E1" w:rsidRPr="007346B4">
                    <w:rPr>
                      <w:rFonts w:ascii="Arial" w:hAnsi="Arial" w:cs="Arial"/>
                      <w:lang w:val="en-AU"/>
                    </w:rPr>
                    <w:t>n</w:t>
                  </w:r>
                  <w:r w:rsidR="5204D1E1" w:rsidRPr="4184DD85">
                    <w:rPr>
                      <w:rFonts w:ascii="Arial" w:hAnsi="Arial" w:cs="Arial"/>
                      <w:lang w:val="en-AU"/>
                    </w:rPr>
                    <w:t xml:space="preserve">=879 for SFVS. </w:t>
                  </w:r>
                  <w:r w:rsidR="64F800E3" w:rsidRPr="4184DD85">
                    <w:rPr>
                      <w:rFonts w:ascii="Arial" w:hAnsi="Arial" w:cs="Arial"/>
                      <w:lang w:val="en-AU"/>
                    </w:rPr>
                    <w:t xml:space="preserve">Detailed data are presented in </w:t>
                  </w:r>
                  <w:hyperlink w:anchor="Appendix_F" w:history="1">
                    <w:r w:rsidR="003668B8" w:rsidRPr="009C0F6E">
                      <w:rPr>
                        <w:rStyle w:val="Hyperlink"/>
                        <w:rFonts w:asciiTheme="minorHAnsi" w:hAnsiTheme="minorHAnsi"/>
                        <w:b/>
                        <w:color w:val="007E00" w:themeColor="accent3"/>
                      </w:rPr>
                      <w:t>Appendix F</w:t>
                    </w:r>
                  </w:hyperlink>
                  <w:r w:rsidR="64F800E3" w:rsidRPr="00A03201">
                    <w:rPr>
                      <w:rFonts w:ascii="Arial" w:hAnsi="Arial" w:cs="Arial"/>
                      <w:lang w:val="en-AU"/>
                    </w:rPr>
                    <w:t>.</w:t>
                  </w:r>
                </w:p>
                <w:p w14:paraId="47C8C86A" w14:textId="77777777" w:rsidR="000C76D0" w:rsidRDefault="000C76D0">
                  <w:pPr>
                    <w:rPr>
                      <w:rFonts w:ascii="Arial" w:hAnsi="Arial"/>
                      <w:b/>
                      <w:sz w:val="21"/>
                      <w:lang w:val="en-US"/>
                    </w:rPr>
                  </w:pPr>
                  <w:r>
                    <w:br w:type="page"/>
                  </w:r>
                </w:p>
                <w:p w14:paraId="42DA5FE5" w14:textId="5D825875" w:rsidR="00EA36E8" w:rsidRDefault="000A1AD2" w:rsidP="00811E31">
                  <w:pPr>
                    <w:pStyle w:val="TableFigure-Header"/>
                    <w:spacing w:line="276" w:lineRule="auto"/>
                    <w:jc w:val="both"/>
                    <w:rPr>
                      <w:rStyle w:val="Text-Bold"/>
                      <w:b/>
                      <w:bCs/>
                      <w:lang w:val="en-AU"/>
                    </w:rPr>
                  </w:pPr>
                  <w:r>
                    <w:lastRenderedPageBreak/>
                    <w:t xml:space="preserve">Table </w:t>
                  </w:r>
                  <w:r w:rsidR="008D2566">
                    <w:fldChar w:fldCharType="begin"/>
                  </w:r>
                  <w:r w:rsidR="008D2566">
                    <w:instrText xml:space="preserve"> SEQ Table \* ARABIC </w:instrText>
                  </w:r>
                  <w:r w:rsidR="008D2566">
                    <w:fldChar w:fldCharType="separate"/>
                  </w:r>
                  <w:r w:rsidR="008D2566">
                    <w:rPr>
                      <w:noProof/>
                    </w:rPr>
                    <w:t>44</w:t>
                  </w:r>
                  <w:r w:rsidR="008D2566">
                    <w:rPr>
                      <w:noProof/>
                    </w:rPr>
                    <w:fldChar w:fldCharType="end"/>
                  </w:r>
                  <w:r>
                    <w:t>: Earliest to latest mean SCORE change and percentage of service users with a positive SCORE change for Goal outcomes by disability status, FaRS and SFVS</w:t>
                  </w:r>
                  <w:r w:rsidR="3FDECEF0" w:rsidRPr="6ADFF236">
                    <w:rPr>
                      <w:lang w:val="en-NZ"/>
                    </w:rPr>
                    <w:t>,</w:t>
                  </w:r>
                  <w:r w:rsidR="3FDECEF0" w:rsidRPr="6ADFF236">
                    <w:rPr>
                      <w:rStyle w:val="Text-Bold"/>
                      <w:b/>
                      <w:bCs/>
                    </w:rPr>
                    <w:t xml:space="preserve"> July 2021 – June 2024</w:t>
                  </w:r>
                </w:p>
                <w:tbl>
                  <w:tblPr>
                    <w:tblStyle w:val="ACTableDesign13"/>
                    <w:tblW w:w="9023" w:type="dxa"/>
                    <w:tblInd w:w="0" w:type="dxa"/>
                    <w:tblLook w:val="04A0" w:firstRow="1" w:lastRow="0" w:firstColumn="1" w:lastColumn="0" w:noHBand="0" w:noVBand="1"/>
                  </w:tblPr>
                  <w:tblGrid>
                    <w:gridCol w:w="988"/>
                    <w:gridCol w:w="1698"/>
                    <w:gridCol w:w="2273"/>
                    <w:gridCol w:w="1093"/>
                    <w:gridCol w:w="1132"/>
                    <w:gridCol w:w="1839"/>
                  </w:tblGrid>
                  <w:tr w:rsidR="00321BC5" w:rsidRPr="00166A61" w14:paraId="638AE110" w14:textId="77777777" w:rsidTr="00321BC5">
                    <w:trPr>
                      <w:cnfStyle w:val="100000000000" w:firstRow="1" w:lastRow="0" w:firstColumn="0" w:lastColumn="0" w:oddVBand="0" w:evenVBand="0" w:oddHBand="0" w:evenHBand="0" w:firstRowFirstColumn="0" w:firstRowLastColumn="0" w:lastRowFirstColumn="0" w:lastRowLastColumn="0"/>
                      <w:trHeight w:val="290"/>
                      <w:tblHeader/>
                    </w:trPr>
                    <w:tc>
                      <w:tcPr>
                        <w:cnfStyle w:val="001000000000" w:firstRow="0" w:lastRow="0" w:firstColumn="1" w:lastColumn="0" w:oddVBand="0" w:evenVBand="0" w:oddHBand="0" w:evenHBand="0" w:firstRowFirstColumn="0" w:firstRowLastColumn="0" w:lastRowFirstColumn="0" w:lastRowLastColumn="0"/>
                        <w:tcW w:w="0" w:type="dxa"/>
                        <w:tcBorders>
                          <w:top w:val="single" w:sz="2" w:space="0" w:color="36424A" w:themeColor="accent2"/>
                          <w:left w:val="single" w:sz="2" w:space="0" w:color="36424A" w:themeColor="accent2"/>
                          <w:bottom w:val="single" w:sz="2" w:space="0" w:color="36424A" w:themeColor="accent2"/>
                          <w:right w:val="single" w:sz="2" w:space="0" w:color="36424A" w:themeColor="accent2"/>
                        </w:tcBorders>
                        <w:shd w:val="clear" w:color="auto" w:fill="007E00" w:themeFill="accent3"/>
                        <w:noWrap/>
                        <w:hideMark/>
                      </w:tcPr>
                      <w:p w14:paraId="5EEE6C7F" w14:textId="77777777" w:rsidR="00166A61" w:rsidRPr="00166A61" w:rsidRDefault="00166A61" w:rsidP="00D63E8D">
                        <w:pPr>
                          <w:pStyle w:val="TableText"/>
                        </w:pPr>
                        <w:r w:rsidRPr="00166A61">
                          <w:t>Activity</w:t>
                        </w:r>
                      </w:p>
                    </w:tc>
                    <w:tc>
                      <w:tcPr>
                        <w:tcW w:w="0" w:type="dxa"/>
                        <w:tcBorders>
                          <w:top w:val="single" w:sz="2" w:space="0" w:color="36424A" w:themeColor="accent2"/>
                          <w:left w:val="single" w:sz="2" w:space="0" w:color="36424A" w:themeColor="accent2"/>
                          <w:bottom w:val="single" w:sz="2" w:space="0" w:color="36424A" w:themeColor="accent2"/>
                          <w:right w:val="single" w:sz="2" w:space="0" w:color="36424A" w:themeColor="accent2"/>
                        </w:tcBorders>
                        <w:shd w:val="clear" w:color="auto" w:fill="007E00" w:themeFill="accent3"/>
                        <w:noWrap/>
                        <w:hideMark/>
                      </w:tcPr>
                      <w:p w14:paraId="7BC53EA4" w14:textId="77777777" w:rsidR="00166A61" w:rsidRPr="00166A61" w:rsidRDefault="00166A61" w:rsidP="00D63E8D">
                        <w:pPr>
                          <w:pStyle w:val="TableText"/>
                          <w:cnfStyle w:val="100000000000" w:firstRow="1" w:lastRow="0" w:firstColumn="0" w:lastColumn="0" w:oddVBand="0" w:evenVBand="0" w:oddHBand="0" w:evenHBand="0" w:firstRowFirstColumn="0" w:firstRowLastColumn="0" w:lastRowFirstColumn="0" w:lastRowLastColumn="0"/>
                        </w:pPr>
                        <w:r w:rsidRPr="00166A61">
                          <w:t>Disability status</w:t>
                        </w:r>
                      </w:p>
                    </w:tc>
                    <w:tc>
                      <w:tcPr>
                        <w:tcW w:w="0" w:type="dxa"/>
                        <w:tcBorders>
                          <w:top w:val="single" w:sz="2" w:space="0" w:color="36424A" w:themeColor="accent2"/>
                          <w:left w:val="single" w:sz="2" w:space="0" w:color="36424A" w:themeColor="accent2"/>
                          <w:bottom w:val="single" w:sz="2" w:space="0" w:color="36424A" w:themeColor="accent2"/>
                          <w:right w:val="single" w:sz="2" w:space="0" w:color="36424A" w:themeColor="accent2"/>
                        </w:tcBorders>
                        <w:shd w:val="clear" w:color="auto" w:fill="007E00" w:themeFill="accent3"/>
                        <w:noWrap/>
                        <w:hideMark/>
                      </w:tcPr>
                      <w:p w14:paraId="5901191B" w14:textId="77777777" w:rsidR="00166A61" w:rsidRPr="00166A61" w:rsidRDefault="00166A61" w:rsidP="00D63E8D">
                        <w:pPr>
                          <w:pStyle w:val="TableText"/>
                          <w:cnfStyle w:val="100000000000" w:firstRow="1" w:lastRow="0" w:firstColumn="0" w:lastColumn="0" w:oddVBand="0" w:evenVBand="0" w:oddHBand="0" w:evenHBand="0" w:firstRowFirstColumn="0" w:firstRowLastColumn="0" w:lastRowFirstColumn="0" w:lastRowLastColumn="0"/>
                        </w:pPr>
                        <w:r w:rsidRPr="00166A61">
                          <w:t>Outcome Type</w:t>
                        </w:r>
                      </w:p>
                    </w:tc>
                    <w:tc>
                      <w:tcPr>
                        <w:tcW w:w="0" w:type="dxa"/>
                        <w:tcBorders>
                          <w:top w:val="single" w:sz="2" w:space="0" w:color="36424A" w:themeColor="accent2"/>
                          <w:left w:val="single" w:sz="2" w:space="0" w:color="36424A" w:themeColor="accent2"/>
                          <w:bottom w:val="single" w:sz="2" w:space="0" w:color="36424A" w:themeColor="accent2"/>
                          <w:right w:val="single" w:sz="2" w:space="0" w:color="36424A" w:themeColor="accent2"/>
                        </w:tcBorders>
                        <w:shd w:val="clear" w:color="auto" w:fill="007E00" w:themeFill="accent3"/>
                        <w:noWrap/>
                        <w:hideMark/>
                      </w:tcPr>
                      <w:p w14:paraId="1A2D00A5" w14:textId="23C7912E" w:rsidR="00166A61" w:rsidRPr="00166A61" w:rsidRDefault="00166A61" w:rsidP="00D63E8D">
                        <w:pPr>
                          <w:pStyle w:val="TableText"/>
                          <w:cnfStyle w:val="100000000000" w:firstRow="1" w:lastRow="0" w:firstColumn="0" w:lastColumn="0" w:oddVBand="0" w:evenVBand="0" w:oddHBand="0" w:evenHBand="0" w:firstRowFirstColumn="0" w:firstRowLastColumn="0" w:lastRowFirstColumn="0" w:lastRowLastColumn="0"/>
                        </w:pPr>
                        <w:r>
                          <w:t xml:space="preserve">Service users </w:t>
                        </w:r>
                        <w:r w:rsidRPr="00166A61">
                          <w:t>(</w:t>
                        </w:r>
                        <w:r>
                          <w:t>n=</w:t>
                        </w:r>
                        <w:r w:rsidRPr="00166A61">
                          <w:t>)</w:t>
                        </w:r>
                      </w:p>
                    </w:tc>
                    <w:tc>
                      <w:tcPr>
                        <w:tcW w:w="0" w:type="dxa"/>
                        <w:tcBorders>
                          <w:top w:val="single" w:sz="2" w:space="0" w:color="36424A" w:themeColor="accent2"/>
                          <w:left w:val="single" w:sz="2" w:space="0" w:color="36424A" w:themeColor="accent2"/>
                          <w:bottom w:val="single" w:sz="2" w:space="0" w:color="36424A" w:themeColor="accent2"/>
                          <w:right w:val="single" w:sz="2" w:space="0" w:color="36424A" w:themeColor="accent2"/>
                        </w:tcBorders>
                        <w:shd w:val="clear" w:color="auto" w:fill="007E00" w:themeFill="accent3"/>
                        <w:noWrap/>
                        <w:hideMark/>
                      </w:tcPr>
                      <w:p w14:paraId="4B7E79A1" w14:textId="77777777" w:rsidR="00166A61" w:rsidRPr="00166A61" w:rsidRDefault="00166A61" w:rsidP="00D63E8D">
                        <w:pPr>
                          <w:pStyle w:val="TableText"/>
                          <w:cnfStyle w:val="100000000000" w:firstRow="1" w:lastRow="0" w:firstColumn="0" w:lastColumn="0" w:oddVBand="0" w:evenVBand="0" w:oddHBand="0" w:evenHBand="0" w:firstRowFirstColumn="0" w:firstRowLastColumn="0" w:lastRowFirstColumn="0" w:lastRowLastColumn="0"/>
                        </w:pPr>
                        <w:r w:rsidRPr="00166A61">
                          <w:t>SCORE change (mean)</w:t>
                        </w:r>
                      </w:p>
                    </w:tc>
                    <w:tc>
                      <w:tcPr>
                        <w:tcW w:w="0" w:type="dxa"/>
                        <w:tcBorders>
                          <w:top w:val="single" w:sz="2" w:space="0" w:color="36424A" w:themeColor="accent2"/>
                          <w:left w:val="single" w:sz="2" w:space="0" w:color="36424A" w:themeColor="accent2"/>
                          <w:bottom w:val="single" w:sz="2" w:space="0" w:color="36424A" w:themeColor="accent2"/>
                          <w:right w:val="single" w:sz="2" w:space="0" w:color="36424A" w:themeColor="accent2"/>
                        </w:tcBorders>
                        <w:shd w:val="clear" w:color="auto" w:fill="007E00" w:themeFill="accent3"/>
                        <w:noWrap/>
                        <w:hideMark/>
                      </w:tcPr>
                      <w:p w14:paraId="4E0CFE76" w14:textId="7077C63A" w:rsidR="00166A61" w:rsidRPr="00166A61" w:rsidRDefault="00166A61" w:rsidP="00D63E8D">
                        <w:pPr>
                          <w:pStyle w:val="TableText"/>
                          <w:cnfStyle w:val="100000000000" w:firstRow="1" w:lastRow="0" w:firstColumn="0" w:lastColumn="0" w:oddVBand="0" w:evenVBand="0" w:oddHBand="0" w:evenHBand="0" w:firstRowFirstColumn="0" w:firstRowLastColumn="0" w:lastRowFirstColumn="0" w:lastRowLastColumn="0"/>
                        </w:pPr>
                        <w:r>
                          <w:t>Service users</w:t>
                        </w:r>
                        <w:r w:rsidRPr="00166A61">
                          <w:t xml:space="preserve"> with positive mean change (%, n</w:t>
                        </w:r>
                        <w:r>
                          <w:t>=</w:t>
                        </w:r>
                        <w:r w:rsidRPr="00166A61">
                          <w:t>)</w:t>
                        </w:r>
                      </w:p>
                    </w:tc>
                  </w:tr>
                  <w:tr w:rsidR="00166A61" w:rsidRPr="00166A61" w14:paraId="079D7B6B" w14:textId="77777777" w:rsidTr="00D31BA0">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88" w:type="dxa"/>
                        <w:vMerge w:val="restart"/>
                        <w:tcBorders>
                          <w:top w:val="single" w:sz="2" w:space="0" w:color="36424A" w:themeColor="accent2"/>
                          <w:left w:val="single" w:sz="2" w:space="0" w:color="36424A" w:themeColor="accent2"/>
                          <w:bottom w:val="single" w:sz="2" w:space="0" w:color="36424A" w:themeColor="accent2"/>
                          <w:right w:val="single" w:sz="2" w:space="0" w:color="36424A" w:themeColor="accent2"/>
                        </w:tcBorders>
                        <w:shd w:val="clear" w:color="auto" w:fill="auto"/>
                        <w:noWrap/>
                        <w:hideMark/>
                      </w:tcPr>
                      <w:p w14:paraId="61E907BD" w14:textId="77777777" w:rsidR="00166A61" w:rsidRPr="002C6434" w:rsidRDefault="00166A61" w:rsidP="00D63E8D">
                        <w:pPr>
                          <w:pStyle w:val="TableText"/>
                          <w:rPr>
                            <w:color w:val="auto"/>
                            <w:lang w:val="en-NZ"/>
                          </w:rPr>
                        </w:pPr>
                        <w:r w:rsidRPr="3DEE28EC">
                          <w:rPr>
                            <w:color w:val="auto"/>
                            <w:lang w:val="en-NZ"/>
                          </w:rPr>
                          <w:t>FaRS</w:t>
                        </w:r>
                      </w:p>
                    </w:tc>
                    <w:tc>
                      <w:tcPr>
                        <w:tcW w:w="1698" w:type="dxa"/>
                        <w:vMerge w:val="restart"/>
                        <w:tcBorders>
                          <w:top w:val="single" w:sz="2" w:space="0" w:color="36424A" w:themeColor="accent2"/>
                          <w:left w:val="single" w:sz="2" w:space="0" w:color="36424A" w:themeColor="accent2"/>
                          <w:bottom w:val="single" w:sz="2" w:space="0" w:color="36424A" w:themeColor="accent2"/>
                          <w:right w:val="single" w:sz="2" w:space="0" w:color="36424A" w:themeColor="accent2"/>
                        </w:tcBorders>
                        <w:shd w:val="clear" w:color="auto" w:fill="auto"/>
                        <w:noWrap/>
                        <w:hideMark/>
                      </w:tcPr>
                      <w:p w14:paraId="43DAD133" w14:textId="77777777" w:rsidR="00166A61" w:rsidRPr="002C6434" w:rsidRDefault="00166A61" w:rsidP="00D63E8D">
                        <w:pPr>
                          <w:pStyle w:val="TableText"/>
                          <w:cnfStyle w:val="000000100000" w:firstRow="0" w:lastRow="0" w:firstColumn="0" w:lastColumn="0" w:oddVBand="0" w:evenVBand="0" w:oddHBand="1" w:evenHBand="0" w:firstRowFirstColumn="0" w:firstRowLastColumn="0" w:lastRowFirstColumn="0" w:lastRowLastColumn="0"/>
                          <w:rPr>
                            <w:color w:val="auto"/>
                          </w:rPr>
                        </w:pPr>
                        <w:r w:rsidRPr="002C6434">
                          <w:rPr>
                            <w:color w:val="auto"/>
                          </w:rPr>
                          <w:t>No or unknown</w:t>
                        </w:r>
                      </w:p>
                    </w:tc>
                    <w:tc>
                      <w:tcPr>
                        <w:tcW w:w="2273" w:type="dxa"/>
                        <w:tcBorders>
                          <w:top w:val="single" w:sz="2" w:space="0" w:color="36424A" w:themeColor="accent2"/>
                          <w:left w:val="single" w:sz="2" w:space="0" w:color="36424A" w:themeColor="accent2"/>
                          <w:bottom w:val="single" w:sz="2" w:space="0" w:color="36424A" w:themeColor="accent2"/>
                          <w:right w:val="single" w:sz="2" w:space="0" w:color="36424A" w:themeColor="accent2"/>
                        </w:tcBorders>
                        <w:shd w:val="clear" w:color="auto" w:fill="auto"/>
                        <w:noWrap/>
                        <w:hideMark/>
                      </w:tcPr>
                      <w:p w14:paraId="3C986ED0" w14:textId="77777777" w:rsidR="00166A61" w:rsidRPr="002C6434" w:rsidRDefault="00166A61" w:rsidP="00D63E8D">
                        <w:pPr>
                          <w:pStyle w:val="TableText"/>
                          <w:cnfStyle w:val="000000100000" w:firstRow="0" w:lastRow="0" w:firstColumn="0" w:lastColumn="0" w:oddVBand="0" w:evenVBand="0" w:oddHBand="1" w:evenHBand="0" w:firstRowFirstColumn="0" w:firstRowLastColumn="0" w:lastRowFirstColumn="0" w:lastRowLastColumn="0"/>
                          <w:rPr>
                            <w:color w:val="auto"/>
                          </w:rPr>
                        </w:pPr>
                        <w:r w:rsidRPr="002C6434">
                          <w:rPr>
                            <w:color w:val="auto"/>
                          </w:rPr>
                          <w:t>Circumstances</w:t>
                        </w:r>
                      </w:p>
                    </w:tc>
                    <w:tc>
                      <w:tcPr>
                        <w:tcW w:w="1093" w:type="dxa"/>
                        <w:tcBorders>
                          <w:top w:val="single" w:sz="2" w:space="0" w:color="36424A" w:themeColor="accent2"/>
                          <w:left w:val="single" w:sz="2" w:space="0" w:color="36424A" w:themeColor="accent2"/>
                          <w:bottom w:val="single" w:sz="2" w:space="0" w:color="36424A" w:themeColor="accent2"/>
                          <w:right w:val="single" w:sz="2" w:space="0" w:color="36424A" w:themeColor="accent2"/>
                        </w:tcBorders>
                        <w:shd w:val="clear" w:color="auto" w:fill="auto"/>
                        <w:noWrap/>
                        <w:hideMark/>
                      </w:tcPr>
                      <w:p w14:paraId="3EE000DF" w14:textId="2B15A6BC" w:rsidR="00166A61" w:rsidRPr="002C6434" w:rsidRDefault="00166A61" w:rsidP="00D63E8D">
                        <w:pPr>
                          <w:pStyle w:val="TableText"/>
                          <w:cnfStyle w:val="000000100000" w:firstRow="0" w:lastRow="0" w:firstColumn="0" w:lastColumn="0" w:oddVBand="0" w:evenVBand="0" w:oddHBand="1" w:evenHBand="0" w:firstRowFirstColumn="0" w:firstRowLastColumn="0" w:lastRowFirstColumn="0" w:lastRowLastColumn="0"/>
                          <w:rPr>
                            <w:color w:val="auto"/>
                          </w:rPr>
                        </w:pPr>
                        <w:r w:rsidRPr="002C6434">
                          <w:rPr>
                            <w:color w:val="auto"/>
                          </w:rPr>
                          <w:t>68</w:t>
                        </w:r>
                        <w:r w:rsidR="00556E5C">
                          <w:rPr>
                            <w:color w:val="auto"/>
                          </w:rPr>
                          <w:t>,</w:t>
                        </w:r>
                        <w:r w:rsidRPr="002C6434">
                          <w:rPr>
                            <w:color w:val="auto"/>
                          </w:rPr>
                          <w:t>482</w:t>
                        </w:r>
                      </w:p>
                    </w:tc>
                    <w:tc>
                      <w:tcPr>
                        <w:tcW w:w="1132" w:type="dxa"/>
                        <w:tcBorders>
                          <w:top w:val="single" w:sz="2" w:space="0" w:color="36424A" w:themeColor="accent2"/>
                          <w:left w:val="single" w:sz="2" w:space="0" w:color="36424A" w:themeColor="accent2"/>
                          <w:bottom w:val="single" w:sz="2" w:space="0" w:color="36424A" w:themeColor="accent2"/>
                          <w:right w:val="single" w:sz="2" w:space="0" w:color="36424A" w:themeColor="accent2"/>
                        </w:tcBorders>
                        <w:shd w:val="clear" w:color="auto" w:fill="auto"/>
                        <w:noWrap/>
                        <w:hideMark/>
                      </w:tcPr>
                      <w:p w14:paraId="328E46A6" w14:textId="77777777" w:rsidR="00166A61" w:rsidRPr="002C6434" w:rsidRDefault="00166A61" w:rsidP="00D63E8D">
                        <w:pPr>
                          <w:pStyle w:val="TableText"/>
                          <w:cnfStyle w:val="000000100000" w:firstRow="0" w:lastRow="0" w:firstColumn="0" w:lastColumn="0" w:oddVBand="0" w:evenVBand="0" w:oddHBand="1" w:evenHBand="0" w:firstRowFirstColumn="0" w:firstRowLastColumn="0" w:lastRowFirstColumn="0" w:lastRowLastColumn="0"/>
                          <w:rPr>
                            <w:color w:val="auto"/>
                          </w:rPr>
                        </w:pPr>
                        <w:r w:rsidRPr="002C6434">
                          <w:rPr>
                            <w:color w:val="auto"/>
                          </w:rPr>
                          <w:t>0.78</w:t>
                        </w:r>
                      </w:p>
                    </w:tc>
                    <w:tc>
                      <w:tcPr>
                        <w:tcW w:w="1839" w:type="dxa"/>
                        <w:tcBorders>
                          <w:top w:val="single" w:sz="2" w:space="0" w:color="36424A" w:themeColor="accent2"/>
                          <w:left w:val="single" w:sz="2" w:space="0" w:color="36424A" w:themeColor="accent2"/>
                          <w:bottom w:val="single" w:sz="2" w:space="0" w:color="36424A" w:themeColor="accent2"/>
                          <w:right w:val="single" w:sz="2" w:space="0" w:color="36424A" w:themeColor="accent2"/>
                        </w:tcBorders>
                        <w:shd w:val="clear" w:color="auto" w:fill="auto"/>
                        <w:noWrap/>
                        <w:hideMark/>
                      </w:tcPr>
                      <w:p w14:paraId="17392DC4" w14:textId="77777777" w:rsidR="00166A61" w:rsidRPr="002C6434" w:rsidRDefault="00166A61" w:rsidP="00D63E8D">
                        <w:pPr>
                          <w:pStyle w:val="TableText"/>
                          <w:cnfStyle w:val="000000100000" w:firstRow="0" w:lastRow="0" w:firstColumn="0" w:lastColumn="0" w:oddVBand="0" w:evenVBand="0" w:oddHBand="1" w:evenHBand="0" w:firstRowFirstColumn="0" w:firstRowLastColumn="0" w:lastRowFirstColumn="0" w:lastRowLastColumn="0"/>
                          <w:rPr>
                            <w:color w:val="auto"/>
                          </w:rPr>
                        </w:pPr>
                        <w:r w:rsidRPr="002C6434">
                          <w:rPr>
                            <w:color w:val="auto"/>
                          </w:rPr>
                          <w:t>62.7% (n=42939)</w:t>
                        </w:r>
                      </w:p>
                    </w:tc>
                  </w:tr>
                  <w:tr w:rsidR="00166A61" w:rsidRPr="00166A61" w14:paraId="55F08E88" w14:textId="77777777" w:rsidTr="00D31BA0">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0" w:type="auto"/>
                        <w:vMerge/>
                        <w:shd w:val="clear" w:color="auto" w:fill="auto"/>
                        <w:hideMark/>
                      </w:tcPr>
                      <w:p w14:paraId="3F9468BA" w14:textId="77777777" w:rsidR="00166A61" w:rsidRPr="002C6434" w:rsidRDefault="00166A61" w:rsidP="00D63E8D">
                        <w:pPr>
                          <w:pStyle w:val="TableText"/>
                          <w:rPr>
                            <w:color w:val="auto"/>
                          </w:rPr>
                        </w:pPr>
                      </w:p>
                    </w:tc>
                    <w:tc>
                      <w:tcPr>
                        <w:tcW w:w="0" w:type="auto"/>
                        <w:vMerge/>
                        <w:shd w:val="clear" w:color="auto" w:fill="auto"/>
                        <w:hideMark/>
                      </w:tcPr>
                      <w:p w14:paraId="3B826B88" w14:textId="77777777" w:rsidR="00166A61" w:rsidRPr="002C6434" w:rsidRDefault="00166A61" w:rsidP="00D63E8D">
                        <w:pPr>
                          <w:pStyle w:val="TableText"/>
                          <w:cnfStyle w:val="000000010000" w:firstRow="0" w:lastRow="0" w:firstColumn="0" w:lastColumn="0" w:oddVBand="0" w:evenVBand="0" w:oddHBand="0" w:evenHBand="1" w:firstRowFirstColumn="0" w:firstRowLastColumn="0" w:lastRowFirstColumn="0" w:lastRowLastColumn="0"/>
                          <w:rPr>
                            <w:color w:val="auto"/>
                          </w:rPr>
                        </w:pPr>
                      </w:p>
                    </w:tc>
                    <w:tc>
                      <w:tcPr>
                        <w:tcW w:w="2273" w:type="dxa"/>
                        <w:tcBorders>
                          <w:top w:val="single" w:sz="2" w:space="0" w:color="36424A" w:themeColor="accent2"/>
                          <w:left w:val="single" w:sz="2" w:space="0" w:color="36424A" w:themeColor="accent2"/>
                          <w:bottom w:val="single" w:sz="2" w:space="0" w:color="36424A" w:themeColor="accent2"/>
                          <w:right w:val="single" w:sz="2" w:space="0" w:color="36424A" w:themeColor="accent2"/>
                        </w:tcBorders>
                        <w:shd w:val="clear" w:color="auto" w:fill="auto"/>
                        <w:noWrap/>
                        <w:hideMark/>
                      </w:tcPr>
                      <w:p w14:paraId="15641095" w14:textId="77777777" w:rsidR="00166A61" w:rsidRPr="002C6434" w:rsidRDefault="00166A61" w:rsidP="00D63E8D">
                        <w:pPr>
                          <w:pStyle w:val="TableText"/>
                          <w:cnfStyle w:val="000000010000" w:firstRow="0" w:lastRow="0" w:firstColumn="0" w:lastColumn="0" w:oddVBand="0" w:evenVBand="0" w:oddHBand="0" w:evenHBand="1" w:firstRowFirstColumn="0" w:firstRowLastColumn="0" w:lastRowFirstColumn="0" w:lastRowLastColumn="0"/>
                          <w:rPr>
                            <w:color w:val="auto"/>
                          </w:rPr>
                        </w:pPr>
                        <w:r w:rsidRPr="002C6434">
                          <w:rPr>
                            <w:color w:val="auto"/>
                          </w:rPr>
                          <w:t>Goals</w:t>
                        </w:r>
                      </w:p>
                    </w:tc>
                    <w:tc>
                      <w:tcPr>
                        <w:tcW w:w="1093" w:type="dxa"/>
                        <w:tcBorders>
                          <w:top w:val="single" w:sz="2" w:space="0" w:color="36424A" w:themeColor="accent2"/>
                          <w:left w:val="single" w:sz="2" w:space="0" w:color="36424A" w:themeColor="accent2"/>
                          <w:bottom w:val="single" w:sz="2" w:space="0" w:color="36424A" w:themeColor="accent2"/>
                          <w:right w:val="single" w:sz="2" w:space="0" w:color="36424A" w:themeColor="accent2"/>
                        </w:tcBorders>
                        <w:shd w:val="clear" w:color="auto" w:fill="auto"/>
                        <w:noWrap/>
                        <w:hideMark/>
                      </w:tcPr>
                      <w:p w14:paraId="3ADCE53E" w14:textId="78AA4CF1" w:rsidR="00166A61" w:rsidRPr="002C6434" w:rsidRDefault="00166A61" w:rsidP="00D63E8D">
                        <w:pPr>
                          <w:pStyle w:val="TableText"/>
                          <w:cnfStyle w:val="000000010000" w:firstRow="0" w:lastRow="0" w:firstColumn="0" w:lastColumn="0" w:oddVBand="0" w:evenVBand="0" w:oddHBand="0" w:evenHBand="1" w:firstRowFirstColumn="0" w:firstRowLastColumn="0" w:lastRowFirstColumn="0" w:lastRowLastColumn="0"/>
                          <w:rPr>
                            <w:color w:val="auto"/>
                          </w:rPr>
                        </w:pPr>
                        <w:r w:rsidRPr="002C6434">
                          <w:rPr>
                            <w:color w:val="auto"/>
                          </w:rPr>
                          <w:t>68</w:t>
                        </w:r>
                        <w:r w:rsidR="00556E5C">
                          <w:rPr>
                            <w:color w:val="auto"/>
                          </w:rPr>
                          <w:t>,</w:t>
                        </w:r>
                        <w:r w:rsidRPr="002C6434">
                          <w:rPr>
                            <w:color w:val="auto"/>
                          </w:rPr>
                          <w:t>047</w:t>
                        </w:r>
                      </w:p>
                    </w:tc>
                    <w:tc>
                      <w:tcPr>
                        <w:tcW w:w="1132" w:type="dxa"/>
                        <w:tcBorders>
                          <w:top w:val="single" w:sz="2" w:space="0" w:color="36424A" w:themeColor="accent2"/>
                          <w:left w:val="single" w:sz="2" w:space="0" w:color="36424A" w:themeColor="accent2"/>
                          <w:bottom w:val="single" w:sz="2" w:space="0" w:color="36424A" w:themeColor="accent2"/>
                          <w:right w:val="single" w:sz="2" w:space="0" w:color="36424A" w:themeColor="accent2"/>
                        </w:tcBorders>
                        <w:shd w:val="clear" w:color="auto" w:fill="auto"/>
                        <w:noWrap/>
                        <w:hideMark/>
                      </w:tcPr>
                      <w:p w14:paraId="47534F71" w14:textId="77777777" w:rsidR="00166A61" w:rsidRPr="002C6434" w:rsidRDefault="00166A61" w:rsidP="00D63E8D">
                        <w:pPr>
                          <w:pStyle w:val="TableText"/>
                          <w:cnfStyle w:val="000000010000" w:firstRow="0" w:lastRow="0" w:firstColumn="0" w:lastColumn="0" w:oddVBand="0" w:evenVBand="0" w:oddHBand="0" w:evenHBand="1" w:firstRowFirstColumn="0" w:firstRowLastColumn="0" w:lastRowFirstColumn="0" w:lastRowLastColumn="0"/>
                          <w:rPr>
                            <w:color w:val="auto"/>
                          </w:rPr>
                        </w:pPr>
                        <w:r w:rsidRPr="002C6434">
                          <w:rPr>
                            <w:color w:val="auto"/>
                          </w:rPr>
                          <w:t>1.14</w:t>
                        </w:r>
                      </w:p>
                    </w:tc>
                    <w:tc>
                      <w:tcPr>
                        <w:tcW w:w="1839" w:type="dxa"/>
                        <w:tcBorders>
                          <w:top w:val="single" w:sz="2" w:space="0" w:color="36424A" w:themeColor="accent2"/>
                          <w:left w:val="single" w:sz="2" w:space="0" w:color="36424A" w:themeColor="accent2"/>
                          <w:bottom w:val="single" w:sz="2" w:space="0" w:color="36424A" w:themeColor="accent2"/>
                          <w:right w:val="single" w:sz="2" w:space="0" w:color="36424A" w:themeColor="accent2"/>
                        </w:tcBorders>
                        <w:shd w:val="clear" w:color="auto" w:fill="auto"/>
                        <w:noWrap/>
                        <w:hideMark/>
                      </w:tcPr>
                      <w:p w14:paraId="621B8CAC" w14:textId="77777777" w:rsidR="00166A61" w:rsidRPr="002C6434" w:rsidRDefault="00166A61" w:rsidP="00D63E8D">
                        <w:pPr>
                          <w:pStyle w:val="TableText"/>
                          <w:cnfStyle w:val="000000010000" w:firstRow="0" w:lastRow="0" w:firstColumn="0" w:lastColumn="0" w:oddVBand="0" w:evenVBand="0" w:oddHBand="0" w:evenHBand="1" w:firstRowFirstColumn="0" w:firstRowLastColumn="0" w:lastRowFirstColumn="0" w:lastRowLastColumn="0"/>
                          <w:rPr>
                            <w:color w:val="auto"/>
                          </w:rPr>
                        </w:pPr>
                        <w:r w:rsidRPr="002C6434">
                          <w:rPr>
                            <w:color w:val="auto"/>
                          </w:rPr>
                          <w:t>72.9% (n=49631)</w:t>
                        </w:r>
                      </w:p>
                    </w:tc>
                  </w:tr>
                  <w:tr w:rsidR="00166A61" w:rsidRPr="00166A61" w14:paraId="51692187" w14:textId="77777777" w:rsidTr="00D31BA0">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0" w:type="auto"/>
                        <w:vMerge/>
                        <w:shd w:val="clear" w:color="auto" w:fill="auto"/>
                        <w:hideMark/>
                      </w:tcPr>
                      <w:p w14:paraId="0898CE67" w14:textId="77777777" w:rsidR="00166A61" w:rsidRPr="002C6434" w:rsidRDefault="00166A61" w:rsidP="00D63E8D">
                        <w:pPr>
                          <w:pStyle w:val="TableText"/>
                          <w:rPr>
                            <w:color w:val="auto"/>
                          </w:rPr>
                        </w:pPr>
                      </w:p>
                    </w:tc>
                    <w:tc>
                      <w:tcPr>
                        <w:tcW w:w="1698" w:type="dxa"/>
                        <w:vMerge w:val="restart"/>
                        <w:tcBorders>
                          <w:top w:val="single" w:sz="2" w:space="0" w:color="36424A" w:themeColor="accent2"/>
                          <w:left w:val="single" w:sz="2" w:space="0" w:color="36424A" w:themeColor="accent2"/>
                          <w:bottom w:val="single" w:sz="2" w:space="0" w:color="36424A" w:themeColor="accent2"/>
                          <w:right w:val="single" w:sz="2" w:space="0" w:color="36424A" w:themeColor="accent2"/>
                        </w:tcBorders>
                        <w:shd w:val="clear" w:color="auto" w:fill="auto"/>
                        <w:noWrap/>
                        <w:hideMark/>
                      </w:tcPr>
                      <w:p w14:paraId="6932F479" w14:textId="77777777" w:rsidR="00166A61" w:rsidRPr="002C6434" w:rsidRDefault="00166A61" w:rsidP="00D63E8D">
                        <w:pPr>
                          <w:pStyle w:val="TableText"/>
                          <w:cnfStyle w:val="000000100000" w:firstRow="0" w:lastRow="0" w:firstColumn="0" w:lastColumn="0" w:oddVBand="0" w:evenVBand="0" w:oddHBand="1" w:evenHBand="0" w:firstRowFirstColumn="0" w:firstRowLastColumn="0" w:lastRowFirstColumn="0" w:lastRowLastColumn="0"/>
                          <w:rPr>
                            <w:color w:val="auto"/>
                          </w:rPr>
                        </w:pPr>
                        <w:r w:rsidRPr="002C6434">
                          <w:rPr>
                            <w:color w:val="auto"/>
                          </w:rPr>
                          <w:t>Yes</w:t>
                        </w:r>
                      </w:p>
                    </w:tc>
                    <w:tc>
                      <w:tcPr>
                        <w:tcW w:w="2273" w:type="dxa"/>
                        <w:tcBorders>
                          <w:top w:val="single" w:sz="2" w:space="0" w:color="36424A" w:themeColor="accent2"/>
                          <w:left w:val="single" w:sz="2" w:space="0" w:color="36424A" w:themeColor="accent2"/>
                          <w:bottom w:val="single" w:sz="2" w:space="0" w:color="36424A" w:themeColor="accent2"/>
                          <w:right w:val="single" w:sz="2" w:space="0" w:color="36424A" w:themeColor="accent2"/>
                        </w:tcBorders>
                        <w:shd w:val="clear" w:color="auto" w:fill="auto"/>
                        <w:noWrap/>
                        <w:hideMark/>
                      </w:tcPr>
                      <w:p w14:paraId="62D9A27E" w14:textId="77777777" w:rsidR="00166A61" w:rsidRPr="002C6434" w:rsidRDefault="00166A61" w:rsidP="00D63E8D">
                        <w:pPr>
                          <w:pStyle w:val="TableText"/>
                          <w:cnfStyle w:val="000000100000" w:firstRow="0" w:lastRow="0" w:firstColumn="0" w:lastColumn="0" w:oddVBand="0" w:evenVBand="0" w:oddHBand="1" w:evenHBand="0" w:firstRowFirstColumn="0" w:firstRowLastColumn="0" w:lastRowFirstColumn="0" w:lastRowLastColumn="0"/>
                          <w:rPr>
                            <w:color w:val="auto"/>
                          </w:rPr>
                        </w:pPr>
                        <w:r w:rsidRPr="002C6434">
                          <w:rPr>
                            <w:color w:val="auto"/>
                          </w:rPr>
                          <w:t>Circumstances</w:t>
                        </w:r>
                      </w:p>
                    </w:tc>
                    <w:tc>
                      <w:tcPr>
                        <w:tcW w:w="1093" w:type="dxa"/>
                        <w:tcBorders>
                          <w:top w:val="single" w:sz="2" w:space="0" w:color="36424A" w:themeColor="accent2"/>
                          <w:left w:val="single" w:sz="2" w:space="0" w:color="36424A" w:themeColor="accent2"/>
                          <w:bottom w:val="single" w:sz="2" w:space="0" w:color="36424A" w:themeColor="accent2"/>
                          <w:right w:val="single" w:sz="2" w:space="0" w:color="36424A" w:themeColor="accent2"/>
                        </w:tcBorders>
                        <w:shd w:val="clear" w:color="auto" w:fill="auto"/>
                        <w:noWrap/>
                        <w:hideMark/>
                      </w:tcPr>
                      <w:p w14:paraId="523BA220" w14:textId="3856A0CE" w:rsidR="00166A61" w:rsidRPr="002C6434" w:rsidRDefault="00166A61" w:rsidP="00D63E8D">
                        <w:pPr>
                          <w:pStyle w:val="TableText"/>
                          <w:cnfStyle w:val="000000100000" w:firstRow="0" w:lastRow="0" w:firstColumn="0" w:lastColumn="0" w:oddVBand="0" w:evenVBand="0" w:oddHBand="1" w:evenHBand="0" w:firstRowFirstColumn="0" w:firstRowLastColumn="0" w:lastRowFirstColumn="0" w:lastRowLastColumn="0"/>
                          <w:rPr>
                            <w:color w:val="auto"/>
                          </w:rPr>
                        </w:pPr>
                        <w:r w:rsidRPr="002C6434">
                          <w:rPr>
                            <w:color w:val="auto"/>
                          </w:rPr>
                          <w:t>5</w:t>
                        </w:r>
                        <w:r w:rsidR="00556E5C">
                          <w:rPr>
                            <w:color w:val="auto"/>
                          </w:rPr>
                          <w:t>,</w:t>
                        </w:r>
                        <w:r w:rsidRPr="002C6434">
                          <w:rPr>
                            <w:color w:val="auto"/>
                          </w:rPr>
                          <w:t>345</w:t>
                        </w:r>
                      </w:p>
                    </w:tc>
                    <w:tc>
                      <w:tcPr>
                        <w:tcW w:w="1132" w:type="dxa"/>
                        <w:tcBorders>
                          <w:top w:val="single" w:sz="2" w:space="0" w:color="36424A" w:themeColor="accent2"/>
                          <w:left w:val="single" w:sz="2" w:space="0" w:color="36424A" w:themeColor="accent2"/>
                          <w:bottom w:val="single" w:sz="2" w:space="0" w:color="36424A" w:themeColor="accent2"/>
                          <w:right w:val="single" w:sz="2" w:space="0" w:color="36424A" w:themeColor="accent2"/>
                        </w:tcBorders>
                        <w:shd w:val="clear" w:color="auto" w:fill="auto"/>
                        <w:noWrap/>
                        <w:hideMark/>
                      </w:tcPr>
                      <w:p w14:paraId="54C7841C" w14:textId="77777777" w:rsidR="00166A61" w:rsidRPr="002C6434" w:rsidRDefault="00166A61" w:rsidP="00D63E8D">
                        <w:pPr>
                          <w:pStyle w:val="TableText"/>
                          <w:cnfStyle w:val="000000100000" w:firstRow="0" w:lastRow="0" w:firstColumn="0" w:lastColumn="0" w:oddVBand="0" w:evenVBand="0" w:oddHBand="1" w:evenHBand="0" w:firstRowFirstColumn="0" w:firstRowLastColumn="0" w:lastRowFirstColumn="0" w:lastRowLastColumn="0"/>
                          <w:rPr>
                            <w:color w:val="auto"/>
                          </w:rPr>
                        </w:pPr>
                        <w:r w:rsidRPr="002C6434">
                          <w:rPr>
                            <w:color w:val="auto"/>
                          </w:rPr>
                          <w:t>0.76</w:t>
                        </w:r>
                      </w:p>
                    </w:tc>
                    <w:tc>
                      <w:tcPr>
                        <w:tcW w:w="1839" w:type="dxa"/>
                        <w:tcBorders>
                          <w:top w:val="single" w:sz="2" w:space="0" w:color="36424A" w:themeColor="accent2"/>
                          <w:left w:val="single" w:sz="2" w:space="0" w:color="36424A" w:themeColor="accent2"/>
                          <w:bottom w:val="single" w:sz="2" w:space="0" w:color="36424A" w:themeColor="accent2"/>
                          <w:right w:val="single" w:sz="2" w:space="0" w:color="36424A" w:themeColor="accent2"/>
                        </w:tcBorders>
                        <w:shd w:val="clear" w:color="auto" w:fill="auto"/>
                        <w:noWrap/>
                        <w:hideMark/>
                      </w:tcPr>
                      <w:p w14:paraId="052401E3" w14:textId="77777777" w:rsidR="00166A61" w:rsidRPr="002C6434" w:rsidRDefault="00166A61" w:rsidP="00D63E8D">
                        <w:pPr>
                          <w:pStyle w:val="TableText"/>
                          <w:cnfStyle w:val="000000100000" w:firstRow="0" w:lastRow="0" w:firstColumn="0" w:lastColumn="0" w:oddVBand="0" w:evenVBand="0" w:oddHBand="1" w:evenHBand="0" w:firstRowFirstColumn="0" w:firstRowLastColumn="0" w:lastRowFirstColumn="0" w:lastRowLastColumn="0"/>
                          <w:rPr>
                            <w:color w:val="auto"/>
                          </w:rPr>
                        </w:pPr>
                        <w:r w:rsidRPr="002C6434">
                          <w:rPr>
                            <w:color w:val="auto"/>
                          </w:rPr>
                          <w:t>62.0% (n=3314)</w:t>
                        </w:r>
                      </w:p>
                    </w:tc>
                  </w:tr>
                  <w:tr w:rsidR="00166A61" w:rsidRPr="00166A61" w14:paraId="48CEBF42" w14:textId="77777777" w:rsidTr="00D31BA0">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0" w:type="auto"/>
                        <w:vMerge/>
                        <w:shd w:val="clear" w:color="auto" w:fill="auto"/>
                        <w:hideMark/>
                      </w:tcPr>
                      <w:p w14:paraId="49381D7F" w14:textId="77777777" w:rsidR="00166A61" w:rsidRPr="002C6434" w:rsidRDefault="00166A61" w:rsidP="00D63E8D">
                        <w:pPr>
                          <w:pStyle w:val="TableText"/>
                          <w:rPr>
                            <w:color w:val="auto"/>
                          </w:rPr>
                        </w:pPr>
                      </w:p>
                    </w:tc>
                    <w:tc>
                      <w:tcPr>
                        <w:tcW w:w="0" w:type="auto"/>
                        <w:vMerge/>
                        <w:shd w:val="clear" w:color="auto" w:fill="auto"/>
                        <w:hideMark/>
                      </w:tcPr>
                      <w:p w14:paraId="08D068BB" w14:textId="77777777" w:rsidR="00166A61" w:rsidRPr="002C6434" w:rsidRDefault="00166A61" w:rsidP="00D63E8D">
                        <w:pPr>
                          <w:pStyle w:val="TableText"/>
                          <w:cnfStyle w:val="000000010000" w:firstRow="0" w:lastRow="0" w:firstColumn="0" w:lastColumn="0" w:oddVBand="0" w:evenVBand="0" w:oddHBand="0" w:evenHBand="1" w:firstRowFirstColumn="0" w:firstRowLastColumn="0" w:lastRowFirstColumn="0" w:lastRowLastColumn="0"/>
                          <w:rPr>
                            <w:color w:val="auto"/>
                          </w:rPr>
                        </w:pPr>
                      </w:p>
                    </w:tc>
                    <w:tc>
                      <w:tcPr>
                        <w:tcW w:w="2273" w:type="dxa"/>
                        <w:tcBorders>
                          <w:top w:val="single" w:sz="2" w:space="0" w:color="36424A" w:themeColor="accent2"/>
                          <w:left w:val="single" w:sz="2" w:space="0" w:color="36424A" w:themeColor="accent2"/>
                          <w:bottom w:val="single" w:sz="2" w:space="0" w:color="36424A" w:themeColor="accent2"/>
                          <w:right w:val="single" w:sz="2" w:space="0" w:color="36424A" w:themeColor="accent2"/>
                        </w:tcBorders>
                        <w:shd w:val="clear" w:color="auto" w:fill="auto"/>
                        <w:noWrap/>
                        <w:hideMark/>
                      </w:tcPr>
                      <w:p w14:paraId="3E4E8E5F" w14:textId="77777777" w:rsidR="00166A61" w:rsidRPr="002C6434" w:rsidRDefault="00166A61" w:rsidP="00D63E8D">
                        <w:pPr>
                          <w:pStyle w:val="TableText"/>
                          <w:cnfStyle w:val="000000010000" w:firstRow="0" w:lastRow="0" w:firstColumn="0" w:lastColumn="0" w:oddVBand="0" w:evenVBand="0" w:oddHBand="0" w:evenHBand="1" w:firstRowFirstColumn="0" w:firstRowLastColumn="0" w:lastRowFirstColumn="0" w:lastRowLastColumn="0"/>
                          <w:rPr>
                            <w:color w:val="auto"/>
                          </w:rPr>
                        </w:pPr>
                        <w:r w:rsidRPr="002C6434">
                          <w:rPr>
                            <w:color w:val="auto"/>
                          </w:rPr>
                          <w:t>Goals</w:t>
                        </w:r>
                      </w:p>
                    </w:tc>
                    <w:tc>
                      <w:tcPr>
                        <w:tcW w:w="1093" w:type="dxa"/>
                        <w:tcBorders>
                          <w:top w:val="single" w:sz="2" w:space="0" w:color="36424A" w:themeColor="accent2"/>
                          <w:left w:val="single" w:sz="2" w:space="0" w:color="36424A" w:themeColor="accent2"/>
                          <w:bottom w:val="single" w:sz="2" w:space="0" w:color="36424A" w:themeColor="accent2"/>
                          <w:right w:val="single" w:sz="2" w:space="0" w:color="36424A" w:themeColor="accent2"/>
                        </w:tcBorders>
                        <w:shd w:val="clear" w:color="auto" w:fill="auto"/>
                        <w:noWrap/>
                        <w:hideMark/>
                      </w:tcPr>
                      <w:p w14:paraId="66B8B471" w14:textId="6E63BDFF" w:rsidR="00166A61" w:rsidRPr="002C6434" w:rsidRDefault="00166A61" w:rsidP="00D63E8D">
                        <w:pPr>
                          <w:pStyle w:val="TableText"/>
                          <w:cnfStyle w:val="000000010000" w:firstRow="0" w:lastRow="0" w:firstColumn="0" w:lastColumn="0" w:oddVBand="0" w:evenVBand="0" w:oddHBand="0" w:evenHBand="1" w:firstRowFirstColumn="0" w:firstRowLastColumn="0" w:lastRowFirstColumn="0" w:lastRowLastColumn="0"/>
                          <w:rPr>
                            <w:color w:val="auto"/>
                          </w:rPr>
                        </w:pPr>
                        <w:r w:rsidRPr="002C6434">
                          <w:rPr>
                            <w:color w:val="auto"/>
                          </w:rPr>
                          <w:t>5</w:t>
                        </w:r>
                        <w:r w:rsidR="00556E5C">
                          <w:rPr>
                            <w:color w:val="auto"/>
                          </w:rPr>
                          <w:t>,</w:t>
                        </w:r>
                        <w:r w:rsidRPr="002C6434">
                          <w:rPr>
                            <w:color w:val="auto"/>
                          </w:rPr>
                          <w:t>436</w:t>
                        </w:r>
                      </w:p>
                    </w:tc>
                    <w:tc>
                      <w:tcPr>
                        <w:tcW w:w="1132" w:type="dxa"/>
                        <w:tcBorders>
                          <w:top w:val="single" w:sz="2" w:space="0" w:color="36424A" w:themeColor="accent2"/>
                          <w:left w:val="single" w:sz="2" w:space="0" w:color="36424A" w:themeColor="accent2"/>
                          <w:bottom w:val="single" w:sz="2" w:space="0" w:color="36424A" w:themeColor="accent2"/>
                          <w:right w:val="single" w:sz="2" w:space="0" w:color="36424A" w:themeColor="accent2"/>
                        </w:tcBorders>
                        <w:shd w:val="clear" w:color="auto" w:fill="auto"/>
                        <w:noWrap/>
                        <w:hideMark/>
                      </w:tcPr>
                      <w:p w14:paraId="56EF3C66" w14:textId="77777777" w:rsidR="00166A61" w:rsidRPr="002C6434" w:rsidRDefault="00166A61" w:rsidP="00D63E8D">
                        <w:pPr>
                          <w:pStyle w:val="TableText"/>
                          <w:cnfStyle w:val="000000010000" w:firstRow="0" w:lastRow="0" w:firstColumn="0" w:lastColumn="0" w:oddVBand="0" w:evenVBand="0" w:oddHBand="0" w:evenHBand="1" w:firstRowFirstColumn="0" w:firstRowLastColumn="0" w:lastRowFirstColumn="0" w:lastRowLastColumn="0"/>
                          <w:rPr>
                            <w:color w:val="auto"/>
                          </w:rPr>
                        </w:pPr>
                        <w:r w:rsidRPr="002C6434">
                          <w:rPr>
                            <w:color w:val="auto"/>
                          </w:rPr>
                          <w:t>1.06</w:t>
                        </w:r>
                      </w:p>
                    </w:tc>
                    <w:tc>
                      <w:tcPr>
                        <w:tcW w:w="1839" w:type="dxa"/>
                        <w:tcBorders>
                          <w:top w:val="single" w:sz="2" w:space="0" w:color="36424A" w:themeColor="accent2"/>
                          <w:left w:val="single" w:sz="2" w:space="0" w:color="36424A" w:themeColor="accent2"/>
                          <w:bottom w:val="single" w:sz="2" w:space="0" w:color="36424A" w:themeColor="accent2"/>
                          <w:right w:val="single" w:sz="2" w:space="0" w:color="36424A" w:themeColor="accent2"/>
                        </w:tcBorders>
                        <w:shd w:val="clear" w:color="auto" w:fill="auto"/>
                        <w:noWrap/>
                        <w:hideMark/>
                      </w:tcPr>
                      <w:p w14:paraId="32ECFDBB" w14:textId="77777777" w:rsidR="00166A61" w:rsidRPr="002C6434" w:rsidRDefault="00166A61" w:rsidP="00D63E8D">
                        <w:pPr>
                          <w:pStyle w:val="TableText"/>
                          <w:cnfStyle w:val="000000010000" w:firstRow="0" w:lastRow="0" w:firstColumn="0" w:lastColumn="0" w:oddVBand="0" w:evenVBand="0" w:oddHBand="0" w:evenHBand="1" w:firstRowFirstColumn="0" w:firstRowLastColumn="0" w:lastRowFirstColumn="0" w:lastRowLastColumn="0"/>
                          <w:rPr>
                            <w:color w:val="auto"/>
                          </w:rPr>
                        </w:pPr>
                        <w:r w:rsidRPr="002C6434">
                          <w:rPr>
                            <w:color w:val="auto"/>
                          </w:rPr>
                          <w:t>70.8% (n=3849)</w:t>
                        </w:r>
                      </w:p>
                    </w:tc>
                  </w:tr>
                  <w:tr w:rsidR="00166A61" w:rsidRPr="00166A61" w14:paraId="7F14F68F" w14:textId="77777777" w:rsidTr="00D31BA0">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88" w:type="dxa"/>
                        <w:vMerge w:val="restart"/>
                        <w:tcBorders>
                          <w:top w:val="single" w:sz="2" w:space="0" w:color="36424A" w:themeColor="accent2"/>
                          <w:left w:val="single" w:sz="2" w:space="0" w:color="36424A" w:themeColor="accent2"/>
                          <w:bottom w:val="single" w:sz="2" w:space="0" w:color="36424A" w:themeColor="accent2"/>
                          <w:right w:val="single" w:sz="2" w:space="0" w:color="36424A" w:themeColor="accent2"/>
                        </w:tcBorders>
                        <w:shd w:val="clear" w:color="auto" w:fill="auto"/>
                        <w:noWrap/>
                        <w:hideMark/>
                      </w:tcPr>
                      <w:p w14:paraId="3E8C1607" w14:textId="77777777" w:rsidR="00166A61" w:rsidRPr="002C6434" w:rsidRDefault="00166A61" w:rsidP="00D63E8D">
                        <w:pPr>
                          <w:pStyle w:val="TableText"/>
                          <w:rPr>
                            <w:color w:val="auto"/>
                          </w:rPr>
                        </w:pPr>
                        <w:r w:rsidRPr="002C6434">
                          <w:rPr>
                            <w:color w:val="auto"/>
                          </w:rPr>
                          <w:t>SFVS (incl. 4AP)</w:t>
                        </w:r>
                      </w:p>
                    </w:tc>
                    <w:tc>
                      <w:tcPr>
                        <w:tcW w:w="1698" w:type="dxa"/>
                        <w:vMerge w:val="restart"/>
                        <w:tcBorders>
                          <w:top w:val="single" w:sz="2" w:space="0" w:color="36424A" w:themeColor="accent2"/>
                          <w:left w:val="single" w:sz="2" w:space="0" w:color="36424A" w:themeColor="accent2"/>
                          <w:bottom w:val="single" w:sz="2" w:space="0" w:color="36424A" w:themeColor="accent2"/>
                          <w:right w:val="single" w:sz="2" w:space="0" w:color="36424A" w:themeColor="accent2"/>
                        </w:tcBorders>
                        <w:shd w:val="clear" w:color="auto" w:fill="auto"/>
                        <w:noWrap/>
                        <w:hideMark/>
                      </w:tcPr>
                      <w:p w14:paraId="1F35D639" w14:textId="77777777" w:rsidR="00166A61" w:rsidRPr="002C6434" w:rsidRDefault="00166A61" w:rsidP="00D63E8D">
                        <w:pPr>
                          <w:pStyle w:val="TableText"/>
                          <w:cnfStyle w:val="000000100000" w:firstRow="0" w:lastRow="0" w:firstColumn="0" w:lastColumn="0" w:oddVBand="0" w:evenVBand="0" w:oddHBand="1" w:evenHBand="0" w:firstRowFirstColumn="0" w:firstRowLastColumn="0" w:lastRowFirstColumn="0" w:lastRowLastColumn="0"/>
                          <w:rPr>
                            <w:color w:val="auto"/>
                          </w:rPr>
                        </w:pPr>
                        <w:r w:rsidRPr="002C6434">
                          <w:rPr>
                            <w:color w:val="auto"/>
                          </w:rPr>
                          <w:t>No or unknown</w:t>
                        </w:r>
                      </w:p>
                    </w:tc>
                    <w:tc>
                      <w:tcPr>
                        <w:tcW w:w="2273" w:type="dxa"/>
                        <w:tcBorders>
                          <w:top w:val="single" w:sz="2" w:space="0" w:color="36424A" w:themeColor="accent2"/>
                          <w:left w:val="single" w:sz="2" w:space="0" w:color="36424A" w:themeColor="accent2"/>
                          <w:bottom w:val="single" w:sz="2" w:space="0" w:color="36424A" w:themeColor="accent2"/>
                          <w:right w:val="single" w:sz="2" w:space="0" w:color="36424A" w:themeColor="accent2"/>
                        </w:tcBorders>
                        <w:shd w:val="clear" w:color="auto" w:fill="auto"/>
                        <w:noWrap/>
                        <w:hideMark/>
                      </w:tcPr>
                      <w:p w14:paraId="6F680DB7" w14:textId="77777777" w:rsidR="00166A61" w:rsidRPr="002C6434" w:rsidRDefault="00166A61" w:rsidP="00D63E8D">
                        <w:pPr>
                          <w:pStyle w:val="TableText"/>
                          <w:cnfStyle w:val="000000100000" w:firstRow="0" w:lastRow="0" w:firstColumn="0" w:lastColumn="0" w:oddVBand="0" w:evenVBand="0" w:oddHBand="1" w:evenHBand="0" w:firstRowFirstColumn="0" w:firstRowLastColumn="0" w:lastRowFirstColumn="0" w:lastRowLastColumn="0"/>
                          <w:rPr>
                            <w:color w:val="auto"/>
                          </w:rPr>
                        </w:pPr>
                        <w:r w:rsidRPr="002C6434">
                          <w:rPr>
                            <w:color w:val="auto"/>
                          </w:rPr>
                          <w:t>Circumstances</w:t>
                        </w:r>
                      </w:p>
                    </w:tc>
                    <w:tc>
                      <w:tcPr>
                        <w:tcW w:w="1093" w:type="dxa"/>
                        <w:tcBorders>
                          <w:top w:val="single" w:sz="2" w:space="0" w:color="36424A" w:themeColor="accent2"/>
                          <w:left w:val="single" w:sz="2" w:space="0" w:color="36424A" w:themeColor="accent2"/>
                          <w:bottom w:val="single" w:sz="2" w:space="0" w:color="36424A" w:themeColor="accent2"/>
                          <w:right w:val="single" w:sz="2" w:space="0" w:color="36424A" w:themeColor="accent2"/>
                        </w:tcBorders>
                        <w:shd w:val="clear" w:color="auto" w:fill="auto"/>
                        <w:noWrap/>
                        <w:hideMark/>
                      </w:tcPr>
                      <w:p w14:paraId="05E30A7D" w14:textId="037CE490" w:rsidR="00166A61" w:rsidRPr="002C6434" w:rsidRDefault="00166A61" w:rsidP="00D63E8D">
                        <w:pPr>
                          <w:pStyle w:val="TableText"/>
                          <w:cnfStyle w:val="000000100000" w:firstRow="0" w:lastRow="0" w:firstColumn="0" w:lastColumn="0" w:oddVBand="0" w:evenVBand="0" w:oddHBand="1" w:evenHBand="0" w:firstRowFirstColumn="0" w:firstRowLastColumn="0" w:lastRowFirstColumn="0" w:lastRowLastColumn="0"/>
                          <w:rPr>
                            <w:color w:val="auto"/>
                          </w:rPr>
                        </w:pPr>
                        <w:r w:rsidRPr="002C6434">
                          <w:rPr>
                            <w:color w:val="auto"/>
                          </w:rPr>
                          <w:t>6</w:t>
                        </w:r>
                        <w:r w:rsidR="00556E5C">
                          <w:rPr>
                            <w:color w:val="auto"/>
                          </w:rPr>
                          <w:t>,</w:t>
                        </w:r>
                        <w:r w:rsidRPr="002C6434">
                          <w:rPr>
                            <w:color w:val="auto"/>
                          </w:rPr>
                          <w:t>498</w:t>
                        </w:r>
                      </w:p>
                    </w:tc>
                    <w:tc>
                      <w:tcPr>
                        <w:tcW w:w="1132" w:type="dxa"/>
                        <w:tcBorders>
                          <w:top w:val="single" w:sz="2" w:space="0" w:color="36424A" w:themeColor="accent2"/>
                          <w:left w:val="single" w:sz="2" w:space="0" w:color="36424A" w:themeColor="accent2"/>
                          <w:bottom w:val="single" w:sz="2" w:space="0" w:color="36424A" w:themeColor="accent2"/>
                          <w:right w:val="single" w:sz="2" w:space="0" w:color="36424A" w:themeColor="accent2"/>
                        </w:tcBorders>
                        <w:shd w:val="clear" w:color="auto" w:fill="auto"/>
                        <w:noWrap/>
                        <w:hideMark/>
                      </w:tcPr>
                      <w:p w14:paraId="72160B30" w14:textId="77777777" w:rsidR="00166A61" w:rsidRPr="002C6434" w:rsidRDefault="00166A61" w:rsidP="00D63E8D">
                        <w:pPr>
                          <w:pStyle w:val="TableText"/>
                          <w:cnfStyle w:val="000000100000" w:firstRow="0" w:lastRow="0" w:firstColumn="0" w:lastColumn="0" w:oddVBand="0" w:evenVBand="0" w:oddHBand="1" w:evenHBand="0" w:firstRowFirstColumn="0" w:firstRowLastColumn="0" w:lastRowFirstColumn="0" w:lastRowLastColumn="0"/>
                          <w:rPr>
                            <w:color w:val="auto"/>
                          </w:rPr>
                        </w:pPr>
                        <w:r w:rsidRPr="002C6434">
                          <w:rPr>
                            <w:color w:val="auto"/>
                          </w:rPr>
                          <w:t>0.91</w:t>
                        </w:r>
                      </w:p>
                    </w:tc>
                    <w:tc>
                      <w:tcPr>
                        <w:tcW w:w="1839" w:type="dxa"/>
                        <w:tcBorders>
                          <w:top w:val="single" w:sz="2" w:space="0" w:color="36424A" w:themeColor="accent2"/>
                          <w:left w:val="single" w:sz="2" w:space="0" w:color="36424A" w:themeColor="accent2"/>
                          <w:bottom w:val="single" w:sz="2" w:space="0" w:color="36424A" w:themeColor="accent2"/>
                          <w:right w:val="single" w:sz="2" w:space="0" w:color="36424A" w:themeColor="accent2"/>
                        </w:tcBorders>
                        <w:shd w:val="clear" w:color="auto" w:fill="auto"/>
                        <w:noWrap/>
                        <w:hideMark/>
                      </w:tcPr>
                      <w:p w14:paraId="52B82FF7" w14:textId="77777777" w:rsidR="00166A61" w:rsidRPr="002C6434" w:rsidRDefault="00166A61" w:rsidP="00D63E8D">
                        <w:pPr>
                          <w:pStyle w:val="TableText"/>
                          <w:cnfStyle w:val="000000100000" w:firstRow="0" w:lastRow="0" w:firstColumn="0" w:lastColumn="0" w:oddVBand="0" w:evenVBand="0" w:oddHBand="1" w:evenHBand="0" w:firstRowFirstColumn="0" w:firstRowLastColumn="0" w:lastRowFirstColumn="0" w:lastRowLastColumn="0"/>
                          <w:rPr>
                            <w:color w:val="auto"/>
                          </w:rPr>
                        </w:pPr>
                        <w:r w:rsidRPr="002C6434">
                          <w:rPr>
                            <w:color w:val="auto"/>
                          </w:rPr>
                          <w:t>66.3% (n=4305)</w:t>
                        </w:r>
                      </w:p>
                    </w:tc>
                  </w:tr>
                  <w:tr w:rsidR="00166A61" w:rsidRPr="00166A61" w14:paraId="6D97870B" w14:textId="77777777" w:rsidTr="00D31BA0">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0" w:type="auto"/>
                        <w:vMerge/>
                        <w:shd w:val="clear" w:color="auto" w:fill="auto"/>
                        <w:hideMark/>
                      </w:tcPr>
                      <w:p w14:paraId="6243D85D" w14:textId="77777777" w:rsidR="00166A61" w:rsidRPr="002C6434" w:rsidRDefault="00166A61" w:rsidP="00D63E8D">
                        <w:pPr>
                          <w:pStyle w:val="TableText"/>
                          <w:rPr>
                            <w:color w:val="auto"/>
                          </w:rPr>
                        </w:pPr>
                      </w:p>
                    </w:tc>
                    <w:tc>
                      <w:tcPr>
                        <w:tcW w:w="0" w:type="auto"/>
                        <w:vMerge/>
                        <w:shd w:val="clear" w:color="auto" w:fill="auto"/>
                        <w:hideMark/>
                      </w:tcPr>
                      <w:p w14:paraId="5FD050E8" w14:textId="77777777" w:rsidR="00166A61" w:rsidRPr="002C6434" w:rsidRDefault="00166A61" w:rsidP="00D63E8D">
                        <w:pPr>
                          <w:pStyle w:val="TableText"/>
                          <w:cnfStyle w:val="000000010000" w:firstRow="0" w:lastRow="0" w:firstColumn="0" w:lastColumn="0" w:oddVBand="0" w:evenVBand="0" w:oddHBand="0" w:evenHBand="1" w:firstRowFirstColumn="0" w:firstRowLastColumn="0" w:lastRowFirstColumn="0" w:lastRowLastColumn="0"/>
                          <w:rPr>
                            <w:color w:val="auto"/>
                          </w:rPr>
                        </w:pPr>
                      </w:p>
                    </w:tc>
                    <w:tc>
                      <w:tcPr>
                        <w:tcW w:w="2273" w:type="dxa"/>
                        <w:tcBorders>
                          <w:top w:val="single" w:sz="2" w:space="0" w:color="36424A" w:themeColor="accent2"/>
                          <w:left w:val="single" w:sz="2" w:space="0" w:color="36424A" w:themeColor="accent2"/>
                          <w:bottom w:val="single" w:sz="2" w:space="0" w:color="36424A" w:themeColor="accent2"/>
                          <w:right w:val="single" w:sz="2" w:space="0" w:color="36424A" w:themeColor="accent2"/>
                        </w:tcBorders>
                        <w:shd w:val="clear" w:color="auto" w:fill="auto"/>
                        <w:noWrap/>
                        <w:hideMark/>
                      </w:tcPr>
                      <w:p w14:paraId="55BCCE6A" w14:textId="77777777" w:rsidR="00166A61" w:rsidRPr="002C6434" w:rsidRDefault="00166A61" w:rsidP="00D63E8D">
                        <w:pPr>
                          <w:pStyle w:val="TableText"/>
                          <w:cnfStyle w:val="000000010000" w:firstRow="0" w:lastRow="0" w:firstColumn="0" w:lastColumn="0" w:oddVBand="0" w:evenVBand="0" w:oddHBand="0" w:evenHBand="1" w:firstRowFirstColumn="0" w:firstRowLastColumn="0" w:lastRowFirstColumn="0" w:lastRowLastColumn="0"/>
                          <w:rPr>
                            <w:color w:val="auto"/>
                          </w:rPr>
                        </w:pPr>
                        <w:r w:rsidRPr="002C6434">
                          <w:rPr>
                            <w:color w:val="auto"/>
                          </w:rPr>
                          <w:t>Goals</w:t>
                        </w:r>
                      </w:p>
                    </w:tc>
                    <w:tc>
                      <w:tcPr>
                        <w:tcW w:w="1093" w:type="dxa"/>
                        <w:tcBorders>
                          <w:top w:val="single" w:sz="2" w:space="0" w:color="36424A" w:themeColor="accent2"/>
                          <w:left w:val="single" w:sz="2" w:space="0" w:color="36424A" w:themeColor="accent2"/>
                          <w:bottom w:val="single" w:sz="2" w:space="0" w:color="36424A" w:themeColor="accent2"/>
                          <w:right w:val="single" w:sz="2" w:space="0" w:color="36424A" w:themeColor="accent2"/>
                        </w:tcBorders>
                        <w:shd w:val="clear" w:color="auto" w:fill="auto"/>
                        <w:noWrap/>
                        <w:hideMark/>
                      </w:tcPr>
                      <w:p w14:paraId="47479532" w14:textId="695924C7" w:rsidR="00166A61" w:rsidRPr="002C6434" w:rsidRDefault="00166A61" w:rsidP="00D63E8D">
                        <w:pPr>
                          <w:pStyle w:val="TableText"/>
                          <w:cnfStyle w:val="000000010000" w:firstRow="0" w:lastRow="0" w:firstColumn="0" w:lastColumn="0" w:oddVBand="0" w:evenVBand="0" w:oddHBand="0" w:evenHBand="1" w:firstRowFirstColumn="0" w:firstRowLastColumn="0" w:lastRowFirstColumn="0" w:lastRowLastColumn="0"/>
                          <w:rPr>
                            <w:color w:val="auto"/>
                          </w:rPr>
                        </w:pPr>
                        <w:r w:rsidRPr="002C6434">
                          <w:rPr>
                            <w:color w:val="auto"/>
                          </w:rPr>
                          <w:t>6</w:t>
                        </w:r>
                        <w:r w:rsidR="00556E5C">
                          <w:rPr>
                            <w:color w:val="auto"/>
                          </w:rPr>
                          <w:t>,</w:t>
                        </w:r>
                        <w:r w:rsidRPr="002C6434">
                          <w:rPr>
                            <w:color w:val="auto"/>
                          </w:rPr>
                          <w:t>161</w:t>
                        </w:r>
                      </w:p>
                    </w:tc>
                    <w:tc>
                      <w:tcPr>
                        <w:tcW w:w="1132" w:type="dxa"/>
                        <w:tcBorders>
                          <w:top w:val="single" w:sz="2" w:space="0" w:color="36424A" w:themeColor="accent2"/>
                          <w:left w:val="single" w:sz="2" w:space="0" w:color="36424A" w:themeColor="accent2"/>
                          <w:bottom w:val="single" w:sz="2" w:space="0" w:color="36424A" w:themeColor="accent2"/>
                          <w:right w:val="single" w:sz="2" w:space="0" w:color="36424A" w:themeColor="accent2"/>
                        </w:tcBorders>
                        <w:shd w:val="clear" w:color="auto" w:fill="auto"/>
                        <w:noWrap/>
                        <w:hideMark/>
                      </w:tcPr>
                      <w:p w14:paraId="20336D17" w14:textId="77777777" w:rsidR="00166A61" w:rsidRPr="002C6434" w:rsidRDefault="00166A61" w:rsidP="00D63E8D">
                        <w:pPr>
                          <w:pStyle w:val="TableText"/>
                          <w:cnfStyle w:val="000000010000" w:firstRow="0" w:lastRow="0" w:firstColumn="0" w:lastColumn="0" w:oddVBand="0" w:evenVBand="0" w:oddHBand="0" w:evenHBand="1" w:firstRowFirstColumn="0" w:firstRowLastColumn="0" w:lastRowFirstColumn="0" w:lastRowLastColumn="0"/>
                          <w:rPr>
                            <w:color w:val="auto"/>
                          </w:rPr>
                        </w:pPr>
                        <w:r w:rsidRPr="002C6434">
                          <w:rPr>
                            <w:color w:val="auto"/>
                          </w:rPr>
                          <w:t>1.05</w:t>
                        </w:r>
                      </w:p>
                    </w:tc>
                    <w:tc>
                      <w:tcPr>
                        <w:tcW w:w="1839" w:type="dxa"/>
                        <w:tcBorders>
                          <w:top w:val="single" w:sz="2" w:space="0" w:color="36424A" w:themeColor="accent2"/>
                          <w:left w:val="single" w:sz="2" w:space="0" w:color="36424A" w:themeColor="accent2"/>
                          <w:bottom w:val="single" w:sz="2" w:space="0" w:color="36424A" w:themeColor="accent2"/>
                          <w:right w:val="single" w:sz="2" w:space="0" w:color="36424A" w:themeColor="accent2"/>
                        </w:tcBorders>
                        <w:shd w:val="clear" w:color="auto" w:fill="auto"/>
                        <w:noWrap/>
                        <w:hideMark/>
                      </w:tcPr>
                      <w:p w14:paraId="6FECE198" w14:textId="77777777" w:rsidR="00166A61" w:rsidRPr="002C6434" w:rsidRDefault="00166A61" w:rsidP="00D63E8D">
                        <w:pPr>
                          <w:pStyle w:val="TableText"/>
                          <w:cnfStyle w:val="000000010000" w:firstRow="0" w:lastRow="0" w:firstColumn="0" w:lastColumn="0" w:oddVBand="0" w:evenVBand="0" w:oddHBand="0" w:evenHBand="1" w:firstRowFirstColumn="0" w:firstRowLastColumn="0" w:lastRowFirstColumn="0" w:lastRowLastColumn="0"/>
                          <w:rPr>
                            <w:color w:val="auto"/>
                          </w:rPr>
                        </w:pPr>
                        <w:r w:rsidRPr="002C6434">
                          <w:rPr>
                            <w:color w:val="auto"/>
                          </w:rPr>
                          <w:t>69.8% (n=4299)</w:t>
                        </w:r>
                      </w:p>
                    </w:tc>
                  </w:tr>
                  <w:tr w:rsidR="00166A61" w:rsidRPr="00166A61" w14:paraId="1CEFC5DE" w14:textId="77777777" w:rsidTr="00D31BA0">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0" w:type="auto"/>
                        <w:vMerge/>
                        <w:shd w:val="clear" w:color="auto" w:fill="auto"/>
                        <w:hideMark/>
                      </w:tcPr>
                      <w:p w14:paraId="69249087" w14:textId="77777777" w:rsidR="00166A61" w:rsidRPr="002C6434" w:rsidRDefault="00166A61" w:rsidP="00D63E8D">
                        <w:pPr>
                          <w:pStyle w:val="TableText"/>
                          <w:rPr>
                            <w:color w:val="auto"/>
                          </w:rPr>
                        </w:pPr>
                      </w:p>
                    </w:tc>
                    <w:tc>
                      <w:tcPr>
                        <w:tcW w:w="1698" w:type="dxa"/>
                        <w:vMerge w:val="restart"/>
                        <w:tcBorders>
                          <w:top w:val="single" w:sz="2" w:space="0" w:color="36424A" w:themeColor="accent2"/>
                          <w:left w:val="single" w:sz="2" w:space="0" w:color="36424A" w:themeColor="accent2"/>
                          <w:bottom w:val="single" w:sz="2" w:space="0" w:color="36424A" w:themeColor="accent2"/>
                          <w:right w:val="single" w:sz="2" w:space="0" w:color="36424A" w:themeColor="accent2"/>
                        </w:tcBorders>
                        <w:shd w:val="clear" w:color="auto" w:fill="auto"/>
                        <w:noWrap/>
                        <w:hideMark/>
                      </w:tcPr>
                      <w:p w14:paraId="3AC97BA9" w14:textId="77777777" w:rsidR="00166A61" w:rsidRPr="002C6434" w:rsidRDefault="00166A61" w:rsidP="00D63E8D">
                        <w:pPr>
                          <w:pStyle w:val="TableText"/>
                          <w:cnfStyle w:val="000000100000" w:firstRow="0" w:lastRow="0" w:firstColumn="0" w:lastColumn="0" w:oddVBand="0" w:evenVBand="0" w:oddHBand="1" w:evenHBand="0" w:firstRowFirstColumn="0" w:firstRowLastColumn="0" w:lastRowFirstColumn="0" w:lastRowLastColumn="0"/>
                          <w:rPr>
                            <w:color w:val="auto"/>
                          </w:rPr>
                        </w:pPr>
                        <w:r w:rsidRPr="002C6434">
                          <w:rPr>
                            <w:color w:val="auto"/>
                          </w:rPr>
                          <w:t>Yes</w:t>
                        </w:r>
                      </w:p>
                    </w:tc>
                    <w:tc>
                      <w:tcPr>
                        <w:tcW w:w="2273" w:type="dxa"/>
                        <w:tcBorders>
                          <w:top w:val="single" w:sz="2" w:space="0" w:color="36424A" w:themeColor="accent2"/>
                          <w:left w:val="single" w:sz="2" w:space="0" w:color="36424A" w:themeColor="accent2"/>
                          <w:bottom w:val="single" w:sz="2" w:space="0" w:color="36424A" w:themeColor="accent2"/>
                          <w:right w:val="single" w:sz="2" w:space="0" w:color="36424A" w:themeColor="accent2"/>
                        </w:tcBorders>
                        <w:shd w:val="clear" w:color="auto" w:fill="auto"/>
                        <w:noWrap/>
                        <w:hideMark/>
                      </w:tcPr>
                      <w:p w14:paraId="5E99DC75" w14:textId="77777777" w:rsidR="00166A61" w:rsidRPr="002C6434" w:rsidRDefault="00166A61" w:rsidP="00D63E8D">
                        <w:pPr>
                          <w:pStyle w:val="TableText"/>
                          <w:cnfStyle w:val="000000100000" w:firstRow="0" w:lastRow="0" w:firstColumn="0" w:lastColumn="0" w:oddVBand="0" w:evenVBand="0" w:oddHBand="1" w:evenHBand="0" w:firstRowFirstColumn="0" w:firstRowLastColumn="0" w:lastRowFirstColumn="0" w:lastRowLastColumn="0"/>
                          <w:rPr>
                            <w:color w:val="auto"/>
                          </w:rPr>
                        </w:pPr>
                        <w:r w:rsidRPr="002C6434">
                          <w:rPr>
                            <w:color w:val="auto"/>
                          </w:rPr>
                          <w:t>Circumstances</w:t>
                        </w:r>
                      </w:p>
                    </w:tc>
                    <w:tc>
                      <w:tcPr>
                        <w:tcW w:w="1093" w:type="dxa"/>
                        <w:tcBorders>
                          <w:top w:val="single" w:sz="2" w:space="0" w:color="36424A" w:themeColor="accent2"/>
                          <w:left w:val="single" w:sz="2" w:space="0" w:color="36424A" w:themeColor="accent2"/>
                          <w:bottom w:val="single" w:sz="2" w:space="0" w:color="36424A" w:themeColor="accent2"/>
                          <w:right w:val="single" w:sz="2" w:space="0" w:color="36424A" w:themeColor="accent2"/>
                        </w:tcBorders>
                        <w:shd w:val="clear" w:color="auto" w:fill="auto"/>
                        <w:noWrap/>
                        <w:hideMark/>
                      </w:tcPr>
                      <w:p w14:paraId="4FAB5B15" w14:textId="77777777" w:rsidR="00166A61" w:rsidRPr="002C6434" w:rsidRDefault="00166A61" w:rsidP="00D63E8D">
                        <w:pPr>
                          <w:pStyle w:val="TableText"/>
                          <w:cnfStyle w:val="000000100000" w:firstRow="0" w:lastRow="0" w:firstColumn="0" w:lastColumn="0" w:oddVBand="0" w:evenVBand="0" w:oddHBand="1" w:evenHBand="0" w:firstRowFirstColumn="0" w:firstRowLastColumn="0" w:lastRowFirstColumn="0" w:lastRowLastColumn="0"/>
                          <w:rPr>
                            <w:color w:val="auto"/>
                          </w:rPr>
                        </w:pPr>
                        <w:r w:rsidRPr="002C6434">
                          <w:rPr>
                            <w:color w:val="auto"/>
                          </w:rPr>
                          <w:t>964</w:t>
                        </w:r>
                      </w:p>
                    </w:tc>
                    <w:tc>
                      <w:tcPr>
                        <w:tcW w:w="1132" w:type="dxa"/>
                        <w:tcBorders>
                          <w:top w:val="single" w:sz="2" w:space="0" w:color="36424A" w:themeColor="accent2"/>
                          <w:left w:val="single" w:sz="2" w:space="0" w:color="36424A" w:themeColor="accent2"/>
                          <w:bottom w:val="single" w:sz="2" w:space="0" w:color="36424A" w:themeColor="accent2"/>
                          <w:right w:val="single" w:sz="2" w:space="0" w:color="36424A" w:themeColor="accent2"/>
                        </w:tcBorders>
                        <w:shd w:val="clear" w:color="auto" w:fill="auto"/>
                        <w:noWrap/>
                        <w:hideMark/>
                      </w:tcPr>
                      <w:p w14:paraId="7BD201A7" w14:textId="77777777" w:rsidR="00166A61" w:rsidRPr="002C6434" w:rsidRDefault="00166A61" w:rsidP="00D63E8D">
                        <w:pPr>
                          <w:pStyle w:val="TableText"/>
                          <w:cnfStyle w:val="000000100000" w:firstRow="0" w:lastRow="0" w:firstColumn="0" w:lastColumn="0" w:oddVBand="0" w:evenVBand="0" w:oddHBand="1" w:evenHBand="0" w:firstRowFirstColumn="0" w:firstRowLastColumn="0" w:lastRowFirstColumn="0" w:lastRowLastColumn="0"/>
                          <w:rPr>
                            <w:color w:val="auto"/>
                          </w:rPr>
                        </w:pPr>
                        <w:r w:rsidRPr="002C6434">
                          <w:rPr>
                            <w:color w:val="auto"/>
                          </w:rPr>
                          <w:t>1</w:t>
                        </w:r>
                      </w:p>
                    </w:tc>
                    <w:tc>
                      <w:tcPr>
                        <w:tcW w:w="1839" w:type="dxa"/>
                        <w:tcBorders>
                          <w:top w:val="single" w:sz="2" w:space="0" w:color="36424A" w:themeColor="accent2"/>
                          <w:left w:val="single" w:sz="2" w:space="0" w:color="36424A" w:themeColor="accent2"/>
                          <w:bottom w:val="single" w:sz="2" w:space="0" w:color="36424A" w:themeColor="accent2"/>
                          <w:right w:val="single" w:sz="2" w:space="0" w:color="36424A" w:themeColor="accent2"/>
                        </w:tcBorders>
                        <w:shd w:val="clear" w:color="auto" w:fill="auto"/>
                        <w:noWrap/>
                        <w:hideMark/>
                      </w:tcPr>
                      <w:p w14:paraId="42965961" w14:textId="77777777" w:rsidR="00166A61" w:rsidRPr="002C6434" w:rsidRDefault="00166A61" w:rsidP="00D63E8D">
                        <w:pPr>
                          <w:pStyle w:val="TableText"/>
                          <w:cnfStyle w:val="000000100000" w:firstRow="0" w:lastRow="0" w:firstColumn="0" w:lastColumn="0" w:oddVBand="0" w:evenVBand="0" w:oddHBand="1" w:evenHBand="0" w:firstRowFirstColumn="0" w:firstRowLastColumn="0" w:lastRowFirstColumn="0" w:lastRowLastColumn="0"/>
                          <w:rPr>
                            <w:color w:val="auto"/>
                          </w:rPr>
                        </w:pPr>
                        <w:r w:rsidRPr="002C6434">
                          <w:rPr>
                            <w:color w:val="auto"/>
                          </w:rPr>
                          <w:t>68.2% (n=657)</w:t>
                        </w:r>
                      </w:p>
                    </w:tc>
                  </w:tr>
                  <w:tr w:rsidR="00166A61" w:rsidRPr="00166A61" w14:paraId="64ACBCF8" w14:textId="77777777" w:rsidTr="00D31BA0">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0" w:type="auto"/>
                        <w:vMerge/>
                        <w:shd w:val="clear" w:color="auto" w:fill="auto"/>
                        <w:hideMark/>
                      </w:tcPr>
                      <w:p w14:paraId="35869124" w14:textId="77777777" w:rsidR="00166A61" w:rsidRPr="002C6434" w:rsidRDefault="00166A61" w:rsidP="00D63E8D">
                        <w:pPr>
                          <w:pStyle w:val="TableText"/>
                          <w:rPr>
                            <w:color w:val="auto"/>
                          </w:rPr>
                        </w:pPr>
                      </w:p>
                    </w:tc>
                    <w:tc>
                      <w:tcPr>
                        <w:tcW w:w="0" w:type="auto"/>
                        <w:vMerge/>
                        <w:shd w:val="clear" w:color="auto" w:fill="auto"/>
                        <w:hideMark/>
                      </w:tcPr>
                      <w:p w14:paraId="067AF476" w14:textId="77777777" w:rsidR="00166A61" w:rsidRPr="002C6434" w:rsidRDefault="00166A61" w:rsidP="00D63E8D">
                        <w:pPr>
                          <w:pStyle w:val="TableText"/>
                          <w:cnfStyle w:val="000000010000" w:firstRow="0" w:lastRow="0" w:firstColumn="0" w:lastColumn="0" w:oddVBand="0" w:evenVBand="0" w:oddHBand="0" w:evenHBand="1" w:firstRowFirstColumn="0" w:firstRowLastColumn="0" w:lastRowFirstColumn="0" w:lastRowLastColumn="0"/>
                          <w:rPr>
                            <w:color w:val="auto"/>
                          </w:rPr>
                        </w:pPr>
                      </w:p>
                    </w:tc>
                    <w:tc>
                      <w:tcPr>
                        <w:tcW w:w="2273" w:type="dxa"/>
                        <w:tcBorders>
                          <w:top w:val="single" w:sz="2" w:space="0" w:color="36424A" w:themeColor="accent2"/>
                          <w:left w:val="single" w:sz="2" w:space="0" w:color="36424A" w:themeColor="accent2"/>
                          <w:bottom w:val="single" w:sz="2" w:space="0" w:color="36424A" w:themeColor="accent2"/>
                          <w:right w:val="single" w:sz="2" w:space="0" w:color="36424A" w:themeColor="accent2"/>
                        </w:tcBorders>
                        <w:shd w:val="clear" w:color="auto" w:fill="auto"/>
                        <w:noWrap/>
                        <w:hideMark/>
                      </w:tcPr>
                      <w:p w14:paraId="3601194D" w14:textId="77777777" w:rsidR="00166A61" w:rsidRPr="002C6434" w:rsidRDefault="00166A61" w:rsidP="00D63E8D">
                        <w:pPr>
                          <w:pStyle w:val="TableText"/>
                          <w:cnfStyle w:val="000000010000" w:firstRow="0" w:lastRow="0" w:firstColumn="0" w:lastColumn="0" w:oddVBand="0" w:evenVBand="0" w:oddHBand="0" w:evenHBand="1" w:firstRowFirstColumn="0" w:firstRowLastColumn="0" w:lastRowFirstColumn="0" w:lastRowLastColumn="0"/>
                          <w:rPr>
                            <w:color w:val="auto"/>
                          </w:rPr>
                        </w:pPr>
                        <w:r w:rsidRPr="002C6434">
                          <w:rPr>
                            <w:color w:val="auto"/>
                          </w:rPr>
                          <w:t>Goals</w:t>
                        </w:r>
                      </w:p>
                    </w:tc>
                    <w:tc>
                      <w:tcPr>
                        <w:tcW w:w="1093" w:type="dxa"/>
                        <w:tcBorders>
                          <w:top w:val="single" w:sz="2" w:space="0" w:color="36424A" w:themeColor="accent2"/>
                          <w:left w:val="single" w:sz="2" w:space="0" w:color="36424A" w:themeColor="accent2"/>
                          <w:bottom w:val="single" w:sz="2" w:space="0" w:color="36424A" w:themeColor="accent2"/>
                          <w:right w:val="single" w:sz="2" w:space="0" w:color="36424A" w:themeColor="accent2"/>
                        </w:tcBorders>
                        <w:shd w:val="clear" w:color="auto" w:fill="auto"/>
                        <w:noWrap/>
                        <w:hideMark/>
                      </w:tcPr>
                      <w:p w14:paraId="63346EEB" w14:textId="77777777" w:rsidR="00166A61" w:rsidRPr="002C6434" w:rsidRDefault="00166A61" w:rsidP="00D63E8D">
                        <w:pPr>
                          <w:pStyle w:val="TableText"/>
                          <w:cnfStyle w:val="000000010000" w:firstRow="0" w:lastRow="0" w:firstColumn="0" w:lastColumn="0" w:oddVBand="0" w:evenVBand="0" w:oddHBand="0" w:evenHBand="1" w:firstRowFirstColumn="0" w:firstRowLastColumn="0" w:lastRowFirstColumn="0" w:lastRowLastColumn="0"/>
                          <w:rPr>
                            <w:color w:val="auto"/>
                          </w:rPr>
                        </w:pPr>
                        <w:r w:rsidRPr="002C6434">
                          <w:rPr>
                            <w:color w:val="auto"/>
                          </w:rPr>
                          <w:t>970</w:t>
                        </w:r>
                      </w:p>
                    </w:tc>
                    <w:tc>
                      <w:tcPr>
                        <w:tcW w:w="1132" w:type="dxa"/>
                        <w:tcBorders>
                          <w:top w:val="single" w:sz="2" w:space="0" w:color="36424A" w:themeColor="accent2"/>
                          <w:left w:val="single" w:sz="2" w:space="0" w:color="36424A" w:themeColor="accent2"/>
                          <w:bottom w:val="single" w:sz="2" w:space="0" w:color="36424A" w:themeColor="accent2"/>
                          <w:right w:val="single" w:sz="2" w:space="0" w:color="36424A" w:themeColor="accent2"/>
                        </w:tcBorders>
                        <w:shd w:val="clear" w:color="auto" w:fill="auto"/>
                        <w:noWrap/>
                        <w:hideMark/>
                      </w:tcPr>
                      <w:p w14:paraId="6D90264E" w14:textId="77777777" w:rsidR="00166A61" w:rsidRPr="002C6434" w:rsidRDefault="00166A61" w:rsidP="00D63E8D">
                        <w:pPr>
                          <w:pStyle w:val="TableText"/>
                          <w:cnfStyle w:val="000000010000" w:firstRow="0" w:lastRow="0" w:firstColumn="0" w:lastColumn="0" w:oddVBand="0" w:evenVBand="0" w:oddHBand="0" w:evenHBand="1" w:firstRowFirstColumn="0" w:firstRowLastColumn="0" w:lastRowFirstColumn="0" w:lastRowLastColumn="0"/>
                          <w:rPr>
                            <w:color w:val="auto"/>
                          </w:rPr>
                        </w:pPr>
                        <w:r w:rsidRPr="002C6434">
                          <w:rPr>
                            <w:color w:val="auto"/>
                          </w:rPr>
                          <w:t>1.13</w:t>
                        </w:r>
                      </w:p>
                    </w:tc>
                    <w:tc>
                      <w:tcPr>
                        <w:tcW w:w="1839" w:type="dxa"/>
                        <w:tcBorders>
                          <w:top w:val="single" w:sz="2" w:space="0" w:color="36424A" w:themeColor="accent2"/>
                          <w:left w:val="single" w:sz="2" w:space="0" w:color="36424A" w:themeColor="accent2"/>
                          <w:bottom w:val="single" w:sz="2" w:space="0" w:color="36424A" w:themeColor="accent2"/>
                          <w:right w:val="single" w:sz="2" w:space="0" w:color="36424A" w:themeColor="accent2"/>
                        </w:tcBorders>
                        <w:shd w:val="clear" w:color="auto" w:fill="auto"/>
                        <w:noWrap/>
                        <w:hideMark/>
                      </w:tcPr>
                      <w:p w14:paraId="4E1A5E9E" w14:textId="77777777" w:rsidR="00166A61" w:rsidRPr="002C6434" w:rsidRDefault="00166A61" w:rsidP="00D63E8D">
                        <w:pPr>
                          <w:pStyle w:val="TableText"/>
                          <w:cnfStyle w:val="000000010000" w:firstRow="0" w:lastRow="0" w:firstColumn="0" w:lastColumn="0" w:oddVBand="0" w:evenVBand="0" w:oddHBand="0" w:evenHBand="1" w:firstRowFirstColumn="0" w:firstRowLastColumn="0" w:lastRowFirstColumn="0" w:lastRowLastColumn="0"/>
                          <w:rPr>
                            <w:color w:val="auto"/>
                          </w:rPr>
                        </w:pPr>
                        <w:r w:rsidRPr="002C6434">
                          <w:rPr>
                            <w:color w:val="auto"/>
                          </w:rPr>
                          <w:t>69.4% (n=673)</w:t>
                        </w:r>
                      </w:p>
                    </w:tc>
                  </w:tr>
                </w:tbl>
                <w:p w14:paraId="62F68EE5" w14:textId="22743035" w:rsidR="000A3F9F" w:rsidRPr="00D377B0" w:rsidRDefault="00400A42" w:rsidP="00811E31">
                  <w:pPr>
                    <w:pStyle w:val="TableFigure-Header"/>
                    <w:spacing w:line="276" w:lineRule="auto"/>
                    <w:jc w:val="both"/>
                    <w:rPr>
                      <w:szCs w:val="21"/>
                    </w:rPr>
                  </w:pPr>
                  <w:r>
                    <w:rPr>
                      <w:rFonts w:cs="Arial"/>
                      <w:lang w:val="en-AU"/>
                    </w:rPr>
                    <w:br w:type="page"/>
                  </w:r>
                  <w:bookmarkStart w:id="495" w:name="_Ref205326957"/>
                  <w:bookmarkStart w:id="496" w:name="_Toc205413085"/>
                  <w:bookmarkStart w:id="497" w:name="_Toc205413139"/>
                  <w:r w:rsidR="00C65AE9" w:rsidRPr="00D377B0">
                    <w:rPr>
                      <w:szCs w:val="21"/>
                      <w:lang w:val="en-NZ"/>
                    </w:rPr>
                    <w:lastRenderedPageBreak/>
                    <w:t xml:space="preserve">Figure </w:t>
                  </w:r>
                  <w:r w:rsidR="00C64C3D" w:rsidRPr="00D377B0">
                    <w:rPr>
                      <w:szCs w:val="21"/>
                      <w:lang w:val="en-NZ"/>
                    </w:rPr>
                    <w:fldChar w:fldCharType="begin"/>
                  </w:r>
                  <w:r w:rsidR="00C64C3D" w:rsidRPr="00D377B0">
                    <w:rPr>
                      <w:szCs w:val="21"/>
                      <w:lang w:val="en-NZ"/>
                    </w:rPr>
                    <w:instrText xml:space="preserve"> SEQ Figure \* ARABIC </w:instrText>
                  </w:r>
                  <w:r w:rsidR="00C64C3D" w:rsidRPr="00D377B0">
                    <w:rPr>
                      <w:szCs w:val="21"/>
                      <w:lang w:val="en-NZ"/>
                    </w:rPr>
                    <w:fldChar w:fldCharType="separate"/>
                  </w:r>
                  <w:r w:rsidR="008D2566">
                    <w:rPr>
                      <w:noProof/>
                      <w:szCs w:val="21"/>
                      <w:lang w:val="en-NZ"/>
                    </w:rPr>
                    <w:t>43</w:t>
                  </w:r>
                  <w:r w:rsidR="00C64C3D" w:rsidRPr="00D377B0">
                    <w:rPr>
                      <w:szCs w:val="21"/>
                      <w:lang w:val="en-NZ"/>
                    </w:rPr>
                    <w:fldChar w:fldCharType="end"/>
                  </w:r>
                  <w:bookmarkEnd w:id="495"/>
                  <w:r w:rsidR="00C65AE9" w:rsidRPr="00D377B0">
                    <w:rPr>
                      <w:szCs w:val="21"/>
                      <w:lang w:val="en-NZ"/>
                    </w:rPr>
                    <w:t>:</w:t>
                  </w:r>
                  <w:r w:rsidR="00DF55DF" w:rsidRPr="00D377B0">
                    <w:rPr>
                      <w:rFonts w:cs="Arial"/>
                      <w:kern w:val="2"/>
                      <w:szCs w:val="21"/>
                      <w:lang w:val="en-NZ"/>
                      <w14:ligatures w14:val="standardContextual"/>
                    </w:rPr>
                    <w:t xml:space="preserve"> </w:t>
                  </w:r>
                  <w:r w:rsidR="00DF55DF" w:rsidRPr="00D377B0">
                    <w:rPr>
                      <w:szCs w:val="21"/>
                      <w:lang w:val="en-NZ"/>
                    </w:rPr>
                    <w:t xml:space="preserve">Earliest to latest SCORE changes within subjects, FaRS </w:t>
                  </w:r>
                  <w:r w:rsidR="005072EF" w:rsidRPr="00D377B0">
                    <w:rPr>
                      <w:szCs w:val="21"/>
                      <w:lang w:val="en-NZ"/>
                    </w:rPr>
                    <w:t xml:space="preserve">service </w:t>
                  </w:r>
                  <w:r w:rsidR="00E070C1" w:rsidRPr="00D377B0">
                    <w:rPr>
                      <w:szCs w:val="21"/>
                      <w:lang w:val="en-NZ"/>
                    </w:rPr>
                    <w:t>users</w:t>
                  </w:r>
                  <w:r w:rsidR="00DF55DF" w:rsidRPr="00D377B0">
                    <w:rPr>
                      <w:szCs w:val="21"/>
                      <w:lang w:val="en-NZ"/>
                    </w:rPr>
                    <w:t xml:space="preserve"> by disability status, July 2021 to June 2024</w:t>
                  </w:r>
                  <w:bookmarkEnd w:id="496"/>
                  <w:bookmarkEnd w:id="497"/>
                </w:p>
                <w:p w14:paraId="2D818215" w14:textId="0C1FCB65" w:rsidR="000A3F9F" w:rsidRDefault="00A3635B" w:rsidP="000A3F9F">
                  <w:pPr>
                    <w:pStyle w:val="TableFigure-Notes"/>
                    <w:rPr>
                      <w:lang w:val="en-AU"/>
                    </w:rPr>
                  </w:pPr>
                  <w:r>
                    <w:rPr>
                      <w:noProof/>
                    </w:rPr>
                    <mc:AlternateContent>
                      <mc:Choice Requires="wpg">
                        <w:drawing>
                          <wp:inline distT="0" distB="0" distL="0" distR="0" wp14:anchorId="3ACAA2CE" wp14:editId="4A6591A4">
                            <wp:extent cx="5733415" cy="8372104"/>
                            <wp:effectExtent l="0" t="0" r="635" b="10160"/>
                            <wp:docPr id="1056446305" name="Group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33415" cy="8372104"/>
                                      <a:chOff x="0" y="0"/>
                                      <a:chExt cx="6123175" cy="5045710"/>
                                    </a:xfrm>
                                  </wpg:grpSpPr>
                                  <wpg:graphicFrame>
                                    <wpg:cNvPr id="211535300" name="Chart 211535300"/>
                                    <wpg:cNvFrPr>
                                      <a:graphicFrameLocks/>
                                    </wpg:cNvFrPr>
                                    <wpg:xfrm>
                                      <a:off x="0" y="0"/>
                                      <a:ext cx="6123175" cy="2515235"/>
                                    </wpg:xfrm>
                                    <a:graphic>
                                      <a:graphicData uri="http://schemas.openxmlformats.org/drawingml/2006/chart">
                                        <c:chart xmlns:c="http://schemas.openxmlformats.org/drawingml/2006/chart" xmlns:r="http://schemas.openxmlformats.org/officeDocument/2006/relationships" r:id="rId115"/>
                                      </a:graphicData>
                                    </a:graphic>
                                  </wpg:graphicFrame>
                                  <wpg:graphicFrame>
                                    <wpg:cNvPr id="1460090176" name="Chart 1460090176"/>
                                    <wpg:cNvFrPr>
                                      <a:graphicFrameLocks/>
                                    </wpg:cNvFrPr>
                                    <wpg:xfrm>
                                      <a:off x="1588" y="2533650"/>
                                      <a:ext cx="6120000" cy="2512060"/>
                                    </wpg:xfrm>
                                    <a:graphic>
                                      <a:graphicData uri="http://schemas.openxmlformats.org/drawingml/2006/chart">
                                        <c:chart xmlns:c="http://schemas.openxmlformats.org/drawingml/2006/chart" xmlns:r="http://schemas.openxmlformats.org/officeDocument/2006/relationships" r:id="rId116"/>
                                      </a:graphicData>
                                    </a:graphic>
                                  </wpg:graphicFrame>
                                </wpg:wgp>
                              </a:graphicData>
                            </a:graphic>
                          </wp:inline>
                        </w:drawing>
                      </mc:Choice>
                      <mc:Fallback>
                        <w:pict>
                          <v:group w14:anchorId="51A5C9B2" id="Group 4" o:spid="_x0000_s1026" alt="&quot;&quot;" style="width:451.45pt;height:659.2pt;mso-position-horizontal-relative:char;mso-position-vertical-relative:line" coordsize="61231,50457" o:gfxdata="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">
                            <v:shape id="Chart 211535300" o:spid="_x0000_s1027" type="#_x0000_t75" style="position:absolute;left:-65;top:-36;width:61393;height:2523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">
                              <v:imagedata r:id="rId117" o:title=""/>
                              <o:lock v:ext="edit" aspectratio="f"/>
                            </v:shape>
                            <v:shape id="Chart 1460090176" o:spid="_x0000_s1028" type="#_x0000_t75" style="position:absolute;left:-65;top:25313;width:61327;height:2516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">
                              <v:imagedata r:id="rId118" o:title=""/>
                              <o:lock v:ext="edit" aspectratio="f"/>
                            </v:shape>
                            <w10:anchorlock/>
                          </v:group>
                        </w:pict>
                      </mc:Fallback>
                    </mc:AlternateContent>
                  </w:r>
                </w:p>
                <w:p w14:paraId="4DF703D9" w14:textId="5F4E028D" w:rsidR="00BA4A1B" w:rsidRDefault="00ED2240" w:rsidP="00811E31">
                  <w:pPr>
                    <w:pStyle w:val="TableFigure-Header"/>
                    <w:spacing w:line="276" w:lineRule="auto"/>
                    <w:jc w:val="both"/>
                    <w:rPr>
                      <w:i/>
                      <w:sz w:val="20"/>
                    </w:rPr>
                  </w:pPr>
                  <w:r w:rsidRPr="480DF3B0">
                    <w:rPr>
                      <w:lang w:val="en-NZ"/>
                    </w:rPr>
                    <w:lastRenderedPageBreak/>
                    <w:t xml:space="preserve">Table </w:t>
                  </w:r>
                  <w:r w:rsidR="008D2566">
                    <w:fldChar w:fldCharType="begin"/>
                  </w:r>
                  <w:r w:rsidR="008D2566">
                    <w:instrText xml:space="preserve"> SEQ Table \* ARABIC </w:instrText>
                  </w:r>
                  <w:r w:rsidR="008D2566">
                    <w:fldChar w:fldCharType="separate"/>
                  </w:r>
                  <w:r w:rsidR="008D2566">
                    <w:rPr>
                      <w:noProof/>
                    </w:rPr>
                    <w:t>45</w:t>
                  </w:r>
                  <w:r w:rsidR="008D2566">
                    <w:rPr>
                      <w:noProof/>
                    </w:rPr>
                    <w:fldChar w:fldCharType="end"/>
                  </w:r>
                  <w:r w:rsidRPr="480DF3B0">
                    <w:rPr>
                      <w:lang w:val="en-NZ"/>
                    </w:rPr>
                    <w:t xml:space="preserve">: Percentage of service users with positive SCORE change for specific Circumstance and Goal domains, FaRS service users with disabilities, July 2021 to </w:t>
                  </w:r>
                  <w:r w:rsidR="559B08C4" w:rsidRPr="3C4FDFBF">
                    <w:rPr>
                      <w:lang w:val="en-NZ"/>
                    </w:rPr>
                    <w:t xml:space="preserve">June </w:t>
                  </w:r>
                  <w:r w:rsidRPr="480DF3B0">
                    <w:rPr>
                      <w:lang w:val="en-NZ"/>
                    </w:rPr>
                    <w:t xml:space="preserve">2024 </w:t>
                  </w:r>
                </w:p>
                <w:tbl>
                  <w:tblPr>
                    <w:tblStyle w:val="TableGrid3"/>
                    <w:tblW w:w="5000" w:type="pct"/>
                    <w:tblLayout w:type="fixed"/>
                    <w:tblLook w:val="04A0" w:firstRow="1" w:lastRow="0" w:firstColumn="1" w:lastColumn="0" w:noHBand="0" w:noVBand="1"/>
                  </w:tblPr>
                  <w:tblGrid>
                    <w:gridCol w:w="1697"/>
                    <w:gridCol w:w="3826"/>
                    <w:gridCol w:w="3496"/>
                  </w:tblGrid>
                  <w:tr w:rsidR="00BA4A1B" w:rsidRPr="00036888" w14:paraId="6F232A5A" w14:textId="77777777">
                    <w:trPr>
                      <w:trHeight w:val="298"/>
                    </w:trPr>
                    <w:tc>
                      <w:tcPr>
                        <w:tcW w:w="941" w:type="pct"/>
                        <w:shd w:val="clear" w:color="auto" w:fill="007E00" w:themeFill="accent3"/>
                        <w:noWrap/>
                        <w:hideMark/>
                      </w:tcPr>
                      <w:p w14:paraId="185B6ABC" w14:textId="77777777" w:rsidR="00BA4A1B" w:rsidRPr="00F6254E" w:rsidRDefault="00BA4A1B">
                        <w:pPr>
                          <w:pStyle w:val="TableText"/>
                          <w:rPr>
                            <w:b/>
                            <w:bCs/>
                            <w:color w:val="FFFFFF" w:themeColor="background1"/>
                          </w:rPr>
                        </w:pPr>
                        <w:r w:rsidRPr="00F6254E">
                          <w:rPr>
                            <w:b/>
                            <w:bCs/>
                            <w:color w:val="FFFFFF" w:themeColor="background1"/>
                          </w:rPr>
                          <w:t>Outcome Type</w:t>
                        </w:r>
                      </w:p>
                    </w:tc>
                    <w:tc>
                      <w:tcPr>
                        <w:tcW w:w="2121" w:type="pct"/>
                        <w:shd w:val="clear" w:color="auto" w:fill="007E00" w:themeFill="accent3"/>
                      </w:tcPr>
                      <w:p w14:paraId="061A6C0B" w14:textId="77777777" w:rsidR="00BA4A1B" w:rsidRDefault="00BA4A1B">
                        <w:pPr>
                          <w:pStyle w:val="TableText"/>
                          <w:rPr>
                            <w:b/>
                            <w:bCs/>
                            <w:color w:val="FFFFFF" w:themeColor="background1"/>
                          </w:rPr>
                        </w:pPr>
                        <w:r>
                          <w:rPr>
                            <w:b/>
                            <w:bCs/>
                            <w:color w:val="FFFFFF" w:themeColor="background1"/>
                          </w:rPr>
                          <w:t>Domain description</w:t>
                        </w:r>
                      </w:p>
                    </w:tc>
                    <w:tc>
                      <w:tcPr>
                        <w:tcW w:w="1938" w:type="pct"/>
                        <w:shd w:val="clear" w:color="auto" w:fill="007E00" w:themeFill="accent3"/>
                        <w:noWrap/>
                        <w:hideMark/>
                      </w:tcPr>
                      <w:p w14:paraId="3EAF88E2" w14:textId="77777777" w:rsidR="00BA4A1B" w:rsidRPr="00F6254E" w:rsidRDefault="00BA4A1B">
                        <w:pPr>
                          <w:pStyle w:val="TableText"/>
                          <w:rPr>
                            <w:b/>
                            <w:bCs/>
                            <w:color w:val="FFFFFF" w:themeColor="background1"/>
                          </w:rPr>
                        </w:pPr>
                        <w:r>
                          <w:rPr>
                            <w:b/>
                            <w:bCs/>
                            <w:color w:val="FFFFFF" w:themeColor="background1"/>
                          </w:rPr>
                          <w:t xml:space="preserve">Service users </w:t>
                        </w:r>
                        <w:r w:rsidRPr="00F6254E">
                          <w:rPr>
                            <w:b/>
                            <w:bCs/>
                            <w:color w:val="FFFFFF" w:themeColor="background1"/>
                          </w:rPr>
                          <w:t>with positive mean change (%, n</w:t>
                        </w:r>
                        <w:r>
                          <w:rPr>
                            <w:b/>
                            <w:bCs/>
                            <w:color w:val="FFFFFF" w:themeColor="background1"/>
                          </w:rPr>
                          <w:t>=</w:t>
                        </w:r>
                        <w:r w:rsidRPr="00F6254E">
                          <w:rPr>
                            <w:b/>
                            <w:bCs/>
                            <w:color w:val="FFFFFF" w:themeColor="background1"/>
                          </w:rPr>
                          <w:t>)</w:t>
                        </w:r>
                      </w:p>
                    </w:tc>
                  </w:tr>
                  <w:tr w:rsidR="00BA4A1B" w:rsidRPr="00036888" w14:paraId="1416B3A3" w14:textId="77777777">
                    <w:trPr>
                      <w:trHeight w:val="298"/>
                    </w:trPr>
                    <w:tc>
                      <w:tcPr>
                        <w:tcW w:w="941" w:type="pct"/>
                        <w:vMerge w:val="restart"/>
                        <w:noWrap/>
                        <w:hideMark/>
                      </w:tcPr>
                      <w:p w14:paraId="331CC03F" w14:textId="77777777" w:rsidR="00BA4A1B" w:rsidRPr="008D0F42" w:rsidRDefault="00BA4A1B">
                        <w:pPr>
                          <w:pStyle w:val="TableText"/>
                        </w:pPr>
                        <w:r w:rsidRPr="008D0F42">
                          <w:t>Circumstances</w:t>
                        </w:r>
                      </w:p>
                    </w:tc>
                    <w:tc>
                      <w:tcPr>
                        <w:tcW w:w="2121" w:type="pct"/>
                      </w:tcPr>
                      <w:p w14:paraId="71080CF9" w14:textId="77777777" w:rsidR="00BA4A1B" w:rsidRPr="008D0F42" w:rsidRDefault="00BA4A1B">
                        <w:pPr>
                          <w:pStyle w:val="TableText"/>
                        </w:pPr>
                        <w:r w:rsidRPr="008D0F42">
                          <w:t>Family functioning</w:t>
                        </w:r>
                      </w:p>
                    </w:tc>
                    <w:tc>
                      <w:tcPr>
                        <w:tcW w:w="1938" w:type="pct"/>
                        <w:noWrap/>
                        <w:hideMark/>
                      </w:tcPr>
                      <w:p w14:paraId="5CE68F5C" w14:textId="484E07B4" w:rsidR="00BA4A1B" w:rsidRPr="007E6AC4" w:rsidRDefault="00FE32DF">
                        <w:pPr>
                          <w:pStyle w:val="TableText"/>
                        </w:pPr>
                        <w:r>
                          <w:t>53.8% (n=2</w:t>
                        </w:r>
                        <w:r w:rsidR="00834A0D">
                          <w:t>,</w:t>
                        </w:r>
                        <w:r>
                          <w:t>479)</w:t>
                        </w:r>
                      </w:p>
                    </w:tc>
                  </w:tr>
                  <w:tr w:rsidR="00BA4A1B" w:rsidRPr="00036888" w14:paraId="7563B90A" w14:textId="77777777">
                    <w:trPr>
                      <w:trHeight w:val="298"/>
                    </w:trPr>
                    <w:tc>
                      <w:tcPr>
                        <w:tcW w:w="941" w:type="pct"/>
                        <w:vMerge/>
                        <w:noWrap/>
                      </w:tcPr>
                      <w:p w14:paraId="45F62751" w14:textId="77777777" w:rsidR="00BA4A1B" w:rsidRPr="008D0F42" w:rsidRDefault="00BA4A1B">
                        <w:pPr>
                          <w:pStyle w:val="TableText"/>
                        </w:pPr>
                      </w:p>
                    </w:tc>
                    <w:tc>
                      <w:tcPr>
                        <w:tcW w:w="2121" w:type="pct"/>
                      </w:tcPr>
                      <w:p w14:paraId="0F4F239F" w14:textId="77777777" w:rsidR="00BA4A1B" w:rsidRPr="008D0F42" w:rsidRDefault="00BA4A1B">
                        <w:pPr>
                          <w:pStyle w:val="TableText"/>
                        </w:pPr>
                        <w:r w:rsidRPr="3DEE28EC">
                          <w:rPr>
                            <w:lang w:val="en-NZ"/>
                          </w:rPr>
                          <w:t>Mental health, wellbeing and self-care</w:t>
                        </w:r>
                      </w:p>
                    </w:tc>
                    <w:tc>
                      <w:tcPr>
                        <w:tcW w:w="1938" w:type="pct"/>
                        <w:noWrap/>
                      </w:tcPr>
                      <w:p w14:paraId="6A165264" w14:textId="7D087B30" w:rsidR="00BA4A1B" w:rsidRPr="007E6AC4" w:rsidRDefault="00FE32DF">
                        <w:pPr>
                          <w:pStyle w:val="TableText"/>
                        </w:pPr>
                        <w:r>
                          <w:t>56.0% (n=2</w:t>
                        </w:r>
                        <w:r w:rsidR="00834A0D">
                          <w:t>,</w:t>
                        </w:r>
                        <w:r>
                          <w:t>473)</w:t>
                        </w:r>
                      </w:p>
                    </w:tc>
                  </w:tr>
                  <w:tr w:rsidR="00BA4A1B" w:rsidRPr="00036888" w14:paraId="241F8118" w14:textId="77777777">
                    <w:trPr>
                      <w:trHeight w:val="298"/>
                    </w:trPr>
                    <w:tc>
                      <w:tcPr>
                        <w:tcW w:w="941" w:type="pct"/>
                        <w:vMerge/>
                        <w:noWrap/>
                      </w:tcPr>
                      <w:p w14:paraId="0DBEB85C" w14:textId="77777777" w:rsidR="00BA4A1B" w:rsidRPr="008D0F42" w:rsidRDefault="00BA4A1B">
                        <w:pPr>
                          <w:pStyle w:val="TableText"/>
                        </w:pPr>
                      </w:p>
                    </w:tc>
                    <w:tc>
                      <w:tcPr>
                        <w:tcW w:w="2121" w:type="pct"/>
                      </w:tcPr>
                      <w:p w14:paraId="68B3617C" w14:textId="77777777" w:rsidR="00BA4A1B" w:rsidRPr="008D0F42" w:rsidRDefault="00BA4A1B">
                        <w:pPr>
                          <w:pStyle w:val="TableText"/>
                        </w:pPr>
                        <w:r w:rsidRPr="008D0F42">
                          <w:t>Personal and family safety</w:t>
                        </w:r>
                      </w:p>
                    </w:tc>
                    <w:tc>
                      <w:tcPr>
                        <w:tcW w:w="1938" w:type="pct"/>
                        <w:noWrap/>
                      </w:tcPr>
                      <w:p w14:paraId="44AFB780" w14:textId="5AD9688F" w:rsidR="00BA4A1B" w:rsidRPr="007E6AC4" w:rsidRDefault="00FE32DF">
                        <w:pPr>
                          <w:pStyle w:val="TableText"/>
                        </w:pPr>
                        <w:r>
                          <w:t>44.2% (n=1</w:t>
                        </w:r>
                        <w:r w:rsidR="00834A0D">
                          <w:t>,</w:t>
                        </w:r>
                        <w:r>
                          <w:t>357)</w:t>
                        </w:r>
                      </w:p>
                    </w:tc>
                  </w:tr>
                  <w:tr w:rsidR="00BA4A1B" w:rsidRPr="00036888" w14:paraId="436D4CA8" w14:textId="77777777">
                    <w:trPr>
                      <w:trHeight w:val="298"/>
                    </w:trPr>
                    <w:tc>
                      <w:tcPr>
                        <w:tcW w:w="941" w:type="pct"/>
                        <w:vMerge w:val="restart"/>
                        <w:noWrap/>
                      </w:tcPr>
                      <w:p w14:paraId="67A83628" w14:textId="77777777" w:rsidR="00BA4A1B" w:rsidRPr="008D0F42" w:rsidRDefault="00BA4A1B">
                        <w:pPr>
                          <w:pStyle w:val="TableText"/>
                        </w:pPr>
                        <w:r w:rsidRPr="008D0F42">
                          <w:t>Goals</w:t>
                        </w:r>
                      </w:p>
                    </w:tc>
                    <w:tc>
                      <w:tcPr>
                        <w:tcW w:w="2121" w:type="pct"/>
                      </w:tcPr>
                      <w:p w14:paraId="3B327E77" w14:textId="77777777" w:rsidR="00BA4A1B" w:rsidRPr="008D0F42" w:rsidRDefault="00BA4A1B">
                        <w:pPr>
                          <w:pStyle w:val="TableText"/>
                        </w:pPr>
                        <w:r w:rsidRPr="00D63E8D">
                          <w:t>Changed behaviours</w:t>
                        </w:r>
                      </w:p>
                    </w:tc>
                    <w:tc>
                      <w:tcPr>
                        <w:tcW w:w="1938" w:type="pct"/>
                        <w:noWrap/>
                      </w:tcPr>
                      <w:p w14:paraId="1B2A5E38" w14:textId="00551400" w:rsidR="00BA4A1B" w:rsidRPr="007E6AC4" w:rsidRDefault="00FE32DF">
                        <w:pPr>
                          <w:pStyle w:val="TableText"/>
                        </w:pPr>
                        <w:r>
                          <w:t>59.3% (n=2</w:t>
                        </w:r>
                        <w:r w:rsidR="00834A0D">
                          <w:t>,</w:t>
                        </w:r>
                        <w:r>
                          <w:t>087)</w:t>
                        </w:r>
                      </w:p>
                    </w:tc>
                  </w:tr>
                  <w:tr w:rsidR="00BA4A1B" w:rsidRPr="00036888" w14:paraId="1409D85B" w14:textId="77777777">
                    <w:trPr>
                      <w:trHeight w:val="298"/>
                    </w:trPr>
                    <w:tc>
                      <w:tcPr>
                        <w:tcW w:w="941" w:type="pct"/>
                        <w:vMerge/>
                        <w:noWrap/>
                      </w:tcPr>
                      <w:p w14:paraId="5322995B" w14:textId="77777777" w:rsidR="00BA4A1B" w:rsidRPr="008D0F42" w:rsidRDefault="00BA4A1B">
                        <w:pPr>
                          <w:pStyle w:val="TableText"/>
                        </w:pPr>
                      </w:p>
                    </w:tc>
                    <w:tc>
                      <w:tcPr>
                        <w:tcW w:w="2121" w:type="pct"/>
                      </w:tcPr>
                      <w:p w14:paraId="7162071B" w14:textId="77777777" w:rsidR="00BA4A1B" w:rsidRPr="008D0F42" w:rsidRDefault="00BA4A1B">
                        <w:pPr>
                          <w:pStyle w:val="TableText"/>
                        </w:pPr>
                        <w:r w:rsidRPr="00D63E8D">
                          <w:t>Changed impact of immediate crisis</w:t>
                        </w:r>
                      </w:p>
                    </w:tc>
                    <w:tc>
                      <w:tcPr>
                        <w:tcW w:w="1938" w:type="pct"/>
                        <w:noWrap/>
                      </w:tcPr>
                      <w:p w14:paraId="58B788D9" w14:textId="5AECFAC5" w:rsidR="00BA4A1B" w:rsidRPr="007E6AC4" w:rsidRDefault="00FE32DF">
                        <w:pPr>
                          <w:pStyle w:val="TableText"/>
                        </w:pPr>
                        <w:r>
                          <w:t>63.2% (n=1</w:t>
                        </w:r>
                        <w:r w:rsidR="00834A0D">
                          <w:t>,</w:t>
                        </w:r>
                        <w:r>
                          <w:t>178)</w:t>
                        </w:r>
                      </w:p>
                    </w:tc>
                  </w:tr>
                  <w:tr w:rsidR="00BA4A1B" w:rsidRPr="00036888" w14:paraId="53054034" w14:textId="77777777">
                    <w:trPr>
                      <w:trHeight w:val="298"/>
                    </w:trPr>
                    <w:tc>
                      <w:tcPr>
                        <w:tcW w:w="941" w:type="pct"/>
                        <w:vMerge/>
                        <w:noWrap/>
                      </w:tcPr>
                      <w:p w14:paraId="58BDE7A2" w14:textId="77777777" w:rsidR="00BA4A1B" w:rsidRPr="008D0F42" w:rsidRDefault="00BA4A1B">
                        <w:pPr>
                          <w:pStyle w:val="TableText"/>
                        </w:pPr>
                      </w:p>
                    </w:tc>
                    <w:tc>
                      <w:tcPr>
                        <w:tcW w:w="2121" w:type="pct"/>
                      </w:tcPr>
                      <w:p w14:paraId="086C241F" w14:textId="77777777" w:rsidR="00BA4A1B" w:rsidRPr="008D0F42" w:rsidRDefault="00BA4A1B">
                        <w:pPr>
                          <w:pStyle w:val="TableText"/>
                        </w:pPr>
                        <w:r w:rsidRPr="00D63E8D">
                          <w:t>Changed knowledge and access to information</w:t>
                        </w:r>
                      </w:p>
                    </w:tc>
                    <w:tc>
                      <w:tcPr>
                        <w:tcW w:w="1938" w:type="pct"/>
                        <w:noWrap/>
                      </w:tcPr>
                      <w:p w14:paraId="37B26CD0" w14:textId="505D4F4D" w:rsidR="00BA4A1B" w:rsidRPr="007E6AC4" w:rsidRDefault="00FE32DF">
                        <w:pPr>
                          <w:pStyle w:val="TableText"/>
                        </w:pPr>
                        <w:r>
                          <w:t>64.7% (n=2</w:t>
                        </w:r>
                        <w:r w:rsidR="00834A0D">
                          <w:t>,</w:t>
                        </w:r>
                        <w:r>
                          <w:t>189)</w:t>
                        </w:r>
                      </w:p>
                    </w:tc>
                  </w:tr>
                  <w:tr w:rsidR="00BA4A1B" w:rsidRPr="00036888" w14:paraId="2341AEE3" w14:textId="77777777">
                    <w:trPr>
                      <w:trHeight w:val="298"/>
                    </w:trPr>
                    <w:tc>
                      <w:tcPr>
                        <w:tcW w:w="941" w:type="pct"/>
                        <w:vMerge/>
                        <w:noWrap/>
                      </w:tcPr>
                      <w:p w14:paraId="0B7CE02A" w14:textId="77777777" w:rsidR="00BA4A1B" w:rsidRPr="008D0F42" w:rsidRDefault="00BA4A1B">
                        <w:pPr>
                          <w:pStyle w:val="TableText"/>
                        </w:pPr>
                      </w:p>
                    </w:tc>
                    <w:tc>
                      <w:tcPr>
                        <w:tcW w:w="2121" w:type="pct"/>
                      </w:tcPr>
                      <w:p w14:paraId="50B0537E" w14:textId="77777777" w:rsidR="00BA4A1B" w:rsidRPr="008D0F42" w:rsidRDefault="00BA4A1B">
                        <w:pPr>
                          <w:pStyle w:val="TableText"/>
                        </w:pPr>
                        <w:r w:rsidRPr="00D63E8D">
                          <w:t>Changed skills</w:t>
                        </w:r>
                      </w:p>
                    </w:tc>
                    <w:tc>
                      <w:tcPr>
                        <w:tcW w:w="1938" w:type="pct"/>
                        <w:noWrap/>
                      </w:tcPr>
                      <w:p w14:paraId="177FF75F" w14:textId="26B82F3D" w:rsidR="00BA4A1B" w:rsidRPr="007E6AC4" w:rsidRDefault="00FE32DF">
                        <w:pPr>
                          <w:pStyle w:val="TableText"/>
                        </w:pPr>
                        <w:r>
                          <w:t>61.2% (n=2</w:t>
                        </w:r>
                        <w:r w:rsidR="00834A0D">
                          <w:t>,</w:t>
                        </w:r>
                        <w:r>
                          <w:t>315)</w:t>
                        </w:r>
                      </w:p>
                    </w:tc>
                  </w:tr>
                  <w:tr w:rsidR="00BA4A1B" w:rsidRPr="00036888" w14:paraId="43887170" w14:textId="77777777">
                    <w:trPr>
                      <w:trHeight w:val="298"/>
                    </w:trPr>
                    <w:tc>
                      <w:tcPr>
                        <w:tcW w:w="941" w:type="pct"/>
                        <w:vMerge/>
                        <w:noWrap/>
                      </w:tcPr>
                      <w:p w14:paraId="29DEF6DC" w14:textId="77777777" w:rsidR="00BA4A1B" w:rsidRPr="008D0F42" w:rsidRDefault="00BA4A1B">
                        <w:pPr>
                          <w:pStyle w:val="TableText"/>
                        </w:pPr>
                      </w:p>
                    </w:tc>
                    <w:tc>
                      <w:tcPr>
                        <w:tcW w:w="2121" w:type="pct"/>
                      </w:tcPr>
                      <w:p w14:paraId="69B118D5" w14:textId="77777777" w:rsidR="00BA4A1B" w:rsidRPr="008D0F42" w:rsidRDefault="00BA4A1B">
                        <w:pPr>
                          <w:pStyle w:val="TableText"/>
                        </w:pPr>
                        <w:r w:rsidRPr="03FAA4E2">
                          <w:rPr>
                            <w:lang w:val="en-NZ"/>
                          </w:rPr>
                          <w:t>Empowerment, choice and control to make own decisions</w:t>
                        </w:r>
                      </w:p>
                    </w:tc>
                    <w:tc>
                      <w:tcPr>
                        <w:tcW w:w="1938" w:type="pct"/>
                        <w:noWrap/>
                      </w:tcPr>
                      <w:p w14:paraId="4A128516" w14:textId="02F91114" w:rsidR="00BA4A1B" w:rsidRPr="007E6AC4" w:rsidRDefault="00FE32DF">
                        <w:pPr>
                          <w:pStyle w:val="TableText"/>
                        </w:pPr>
                        <w:r>
                          <w:t>61.1% (n=1</w:t>
                        </w:r>
                        <w:r w:rsidR="00834A0D">
                          <w:t>,</w:t>
                        </w:r>
                        <w:r>
                          <w:t>784)</w:t>
                        </w:r>
                      </w:p>
                    </w:tc>
                  </w:tr>
                  <w:tr w:rsidR="00BA4A1B" w:rsidRPr="00036888" w14:paraId="0A707307" w14:textId="77777777">
                    <w:trPr>
                      <w:trHeight w:val="298"/>
                    </w:trPr>
                    <w:tc>
                      <w:tcPr>
                        <w:tcW w:w="941" w:type="pct"/>
                        <w:vMerge/>
                        <w:noWrap/>
                      </w:tcPr>
                      <w:p w14:paraId="6474A45C" w14:textId="77777777" w:rsidR="00BA4A1B" w:rsidRPr="008D0F42" w:rsidRDefault="00BA4A1B">
                        <w:pPr>
                          <w:pStyle w:val="TableText"/>
                        </w:pPr>
                      </w:p>
                    </w:tc>
                    <w:tc>
                      <w:tcPr>
                        <w:tcW w:w="2121" w:type="pct"/>
                      </w:tcPr>
                      <w:p w14:paraId="69D252FB" w14:textId="77777777" w:rsidR="00BA4A1B" w:rsidRPr="008D0F42" w:rsidRDefault="00BA4A1B">
                        <w:pPr>
                          <w:pStyle w:val="TableText"/>
                        </w:pPr>
                        <w:r w:rsidRPr="00D63E8D">
                          <w:t>Engagement with relevant support services</w:t>
                        </w:r>
                      </w:p>
                    </w:tc>
                    <w:tc>
                      <w:tcPr>
                        <w:tcW w:w="1938" w:type="pct"/>
                        <w:noWrap/>
                      </w:tcPr>
                      <w:p w14:paraId="44C66729" w14:textId="2810DE8B" w:rsidR="00BA4A1B" w:rsidRPr="007E6AC4" w:rsidRDefault="00FE32DF">
                        <w:pPr>
                          <w:pStyle w:val="TableText"/>
                        </w:pPr>
                        <w:r>
                          <w:t>58.1% (n=1</w:t>
                        </w:r>
                        <w:r w:rsidR="00834A0D">
                          <w:t>,</w:t>
                        </w:r>
                        <w:r>
                          <w:t>263)</w:t>
                        </w:r>
                      </w:p>
                    </w:tc>
                  </w:tr>
                </w:tbl>
                <w:p w14:paraId="16F992EF" w14:textId="77777777" w:rsidR="00BA4A1B" w:rsidRDefault="00BA4A1B" w:rsidP="00BA4A1B">
                  <w:pPr>
                    <w:pStyle w:val="Text"/>
                    <w:rPr>
                      <w:i/>
                      <w:sz w:val="20"/>
                      <w:szCs w:val="18"/>
                      <w:lang w:val="en-US"/>
                    </w:rPr>
                  </w:pPr>
                  <w:r w:rsidRPr="008E1B83">
                    <w:rPr>
                      <w:i/>
                      <w:sz w:val="20"/>
                      <w:szCs w:val="18"/>
                      <w:lang w:val="en-US"/>
                    </w:rPr>
                    <w:t>Source: DEX-SCORE data</w:t>
                  </w:r>
                </w:p>
                <w:p w14:paraId="7F86A7EC" w14:textId="33BDE70E" w:rsidR="00BA4A1B" w:rsidRDefault="00ED2240" w:rsidP="00811E31">
                  <w:pPr>
                    <w:pStyle w:val="TableFigure-Header"/>
                    <w:spacing w:line="276" w:lineRule="auto"/>
                    <w:jc w:val="both"/>
                    <w:rPr>
                      <w:i/>
                      <w:sz w:val="20"/>
                    </w:rPr>
                  </w:pPr>
                  <w:r w:rsidRPr="480DF3B0">
                    <w:rPr>
                      <w:lang w:val="en-NZ"/>
                    </w:rPr>
                    <w:t xml:space="preserve">Table </w:t>
                  </w:r>
                  <w:r w:rsidR="008D2566">
                    <w:fldChar w:fldCharType="begin"/>
                  </w:r>
                  <w:r w:rsidR="008D2566">
                    <w:instrText xml:space="preserve"> SEQ Table \* ARABIC </w:instrText>
                  </w:r>
                  <w:r w:rsidR="008D2566">
                    <w:fldChar w:fldCharType="separate"/>
                  </w:r>
                  <w:r w:rsidR="008D2566">
                    <w:rPr>
                      <w:noProof/>
                    </w:rPr>
                    <w:t>46</w:t>
                  </w:r>
                  <w:r w:rsidR="008D2566">
                    <w:rPr>
                      <w:noProof/>
                    </w:rPr>
                    <w:fldChar w:fldCharType="end"/>
                  </w:r>
                  <w:r w:rsidRPr="480DF3B0">
                    <w:rPr>
                      <w:lang w:val="en-NZ"/>
                    </w:rPr>
                    <w:t xml:space="preserve">: Percentage of service users with positive SCORE change for specific Circumstance and Goal domains, FaRS, people without disabilities, July 2021 to </w:t>
                  </w:r>
                  <w:r w:rsidR="1E6A91C8" w:rsidRPr="3C4FDFBF">
                    <w:rPr>
                      <w:lang w:val="en-NZ"/>
                    </w:rPr>
                    <w:t xml:space="preserve">June </w:t>
                  </w:r>
                  <w:r w:rsidRPr="480DF3B0">
                    <w:rPr>
                      <w:lang w:val="en-NZ"/>
                    </w:rPr>
                    <w:t>2024</w:t>
                  </w:r>
                </w:p>
                <w:tbl>
                  <w:tblPr>
                    <w:tblStyle w:val="TableGrid3"/>
                    <w:tblW w:w="5000" w:type="pct"/>
                    <w:tblLayout w:type="fixed"/>
                    <w:tblLook w:val="04A0" w:firstRow="1" w:lastRow="0" w:firstColumn="1" w:lastColumn="0" w:noHBand="0" w:noVBand="1"/>
                  </w:tblPr>
                  <w:tblGrid>
                    <w:gridCol w:w="1697"/>
                    <w:gridCol w:w="3826"/>
                    <w:gridCol w:w="3496"/>
                  </w:tblGrid>
                  <w:tr w:rsidR="00BA4A1B" w:rsidRPr="00036888" w14:paraId="63720EA0" w14:textId="77777777">
                    <w:trPr>
                      <w:trHeight w:val="298"/>
                    </w:trPr>
                    <w:tc>
                      <w:tcPr>
                        <w:tcW w:w="941" w:type="pct"/>
                        <w:shd w:val="clear" w:color="auto" w:fill="007E00" w:themeFill="accent3"/>
                        <w:noWrap/>
                        <w:hideMark/>
                      </w:tcPr>
                      <w:p w14:paraId="6BE5056A" w14:textId="77777777" w:rsidR="00BA4A1B" w:rsidRPr="00F6254E" w:rsidRDefault="00BA4A1B">
                        <w:pPr>
                          <w:pStyle w:val="TableText"/>
                          <w:rPr>
                            <w:b/>
                            <w:bCs/>
                            <w:color w:val="FFFFFF" w:themeColor="background1"/>
                          </w:rPr>
                        </w:pPr>
                        <w:r w:rsidRPr="00F6254E">
                          <w:rPr>
                            <w:b/>
                            <w:bCs/>
                            <w:color w:val="FFFFFF" w:themeColor="background1"/>
                          </w:rPr>
                          <w:t>Outcome Type</w:t>
                        </w:r>
                      </w:p>
                    </w:tc>
                    <w:tc>
                      <w:tcPr>
                        <w:tcW w:w="2121" w:type="pct"/>
                        <w:shd w:val="clear" w:color="auto" w:fill="007E00" w:themeFill="accent3"/>
                      </w:tcPr>
                      <w:p w14:paraId="4C0D96F0" w14:textId="77777777" w:rsidR="00BA4A1B" w:rsidRDefault="00BA4A1B">
                        <w:pPr>
                          <w:pStyle w:val="TableText"/>
                          <w:rPr>
                            <w:b/>
                            <w:bCs/>
                            <w:color w:val="FFFFFF" w:themeColor="background1"/>
                          </w:rPr>
                        </w:pPr>
                        <w:r>
                          <w:rPr>
                            <w:b/>
                            <w:bCs/>
                            <w:color w:val="FFFFFF" w:themeColor="background1"/>
                          </w:rPr>
                          <w:t>Domain description</w:t>
                        </w:r>
                      </w:p>
                    </w:tc>
                    <w:tc>
                      <w:tcPr>
                        <w:tcW w:w="1938" w:type="pct"/>
                        <w:shd w:val="clear" w:color="auto" w:fill="007E00" w:themeFill="accent3"/>
                        <w:noWrap/>
                        <w:hideMark/>
                      </w:tcPr>
                      <w:p w14:paraId="40645086" w14:textId="77777777" w:rsidR="00BA4A1B" w:rsidRPr="00F6254E" w:rsidRDefault="00BA4A1B">
                        <w:pPr>
                          <w:pStyle w:val="TableText"/>
                          <w:rPr>
                            <w:b/>
                            <w:bCs/>
                            <w:color w:val="FFFFFF" w:themeColor="background1"/>
                          </w:rPr>
                        </w:pPr>
                        <w:r>
                          <w:rPr>
                            <w:b/>
                            <w:bCs/>
                            <w:color w:val="FFFFFF" w:themeColor="background1"/>
                          </w:rPr>
                          <w:t xml:space="preserve">Service users </w:t>
                        </w:r>
                        <w:r w:rsidRPr="00F6254E">
                          <w:rPr>
                            <w:b/>
                            <w:bCs/>
                            <w:color w:val="FFFFFF" w:themeColor="background1"/>
                          </w:rPr>
                          <w:t>with positive mean change (%, n</w:t>
                        </w:r>
                        <w:r>
                          <w:rPr>
                            <w:b/>
                            <w:bCs/>
                            <w:color w:val="FFFFFF" w:themeColor="background1"/>
                          </w:rPr>
                          <w:t>=</w:t>
                        </w:r>
                        <w:r w:rsidRPr="00F6254E">
                          <w:rPr>
                            <w:b/>
                            <w:bCs/>
                            <w:color w:val="FFFFFF" w:themeColor="background1"/>
                          </w:rPr>
                          <w:t>)</w:t>
                        </w:r>
                      </w:p>
                    </w:tc>
                  </w:tr>
                  <w:tr w:rsidR="00D25A22" w:rsidRPr="00036888" w14:paraId="4A017C9D" w14:textId="77777777">
                    <w:trPr>
                      <w:trHeight w:val="298"/>
                    </w:trPr>
                    <w:tc>
                      <w:tcPr>
                        <w:tcW w:w="941" w:type="pct"/>
                        <w:vMerge w:val="restart"/>
                        <w:noWrap/>
                        <w:hideMark/>
                      </w:tcPr>
                      <w:p w14:paraId="29A80A2F" w14:textId="77777777" w:rsidR="00D25A22" w:rsidRPr="008D0F42" w:rsidRDefault="00D25A22" w:rsidP="00D25A22">
                        <w:pPr>
                          <w:pStyle w:val="TableText"/>
                        </w:pPr>
                        <w:r w:rsidRPr="008D0F42">
                          <w:t>Circumstances</w:t>
                        </w:r>
                      </w:p>
                    </w:tc>
                    <w:tc>
                      <w:tcPr>
                        <w:tcW w:w="2121" w:type="pct"/>
                      </w:tcPr>
                      <w:p w14:paraId="2E9B82CB" w14:textId="77777777" w:rsidR="00D25A22" w:rsidRPr="008D0F42" w:rsidRDefault="00D25A22" w:rsidP="00D25A22">
                        <w:pPr>
                          <w:pStyle w:val="TableText"/>
                        </w:pPr>
                        <w:r w:rsidRPr="008D0F42">
                          <w:t>Family functioning</w:t>
                        </w:r>
                      </w:p>
                    </w:tc>
                    <w:tc>
                      <w:tcPr>
                        <w:tcW w:w="1938" w:type="pct"/>
                        <w:noWrap/>
                        <w:hideMark/>
                      </w:tcPr>
                      <w:p w14:paraId="1EF577CB" w14:textId="2A364FC5" w:rsidR="00D25A22" w:rsidRPr="008D0F42" w:rsidRDefault="00D25A22" w:rsidP="00D25A22">
                        <w:pPr>
                          <w:pStyle w:val="TableText"/>
                        </w:pPr>
                        <w:r w:rsidRPr="00DD72D5">
                          <w:t>55.0% (n=3</w:t>
                        </w:r>
                        <w:r w:rsidR="00834A0D">
                          <w:t>,</w:t>
                        </w:r>
                        <w:r w:rsidRPr="00DD72D5">
                          <w:t>4043)</w:t>
                        </w:r>
                      </w:p>
                    </w:tc>
                  </w:tr>
                  <w:tr w:rsidR="00D25A22" w:rsidRPr="00036888" w14:paraId="34BE0C9A" w14:textId="77777777">
                    <w:trPr>
                      <w:trHeight w:val="298"/>
                    </w:trPr>
                    <w:tc>
                      <w:tcPr>
                        <w:tcW w:w="941" w:type="pct"/>
                        <w:vMerge/>
                        <w:noWrap/>
                      </w:tcPr>
                      <w:p w14:paraId="36167305" w14:textId="77777777" w:rsidR="00D25A22" w:rsidRPr="008D0F42" w:rsidRDefault="00D25A22" w:rsidP="00D25A22">
                        <w:pPr>
                          <w:pStyle w:val="TableText"/>
                        </w:pPr>
                      </w:p>
                    </w:tc>
                    <w:tc>
                      <w:tcPr>
                        <w:tcW w:w="2121" w:type="pct"/>
                      </w:tcPr>
                      <w:p w14:paraId="16475472" w14:textId="77777777" w:rsidR="00D25A22" w:rsidRPr="008D0F42" w:rsidRDefault="00D25A22" w:rsidP="00D25A22">
                        <w:pPr>
                          <w:pStyle w:val="TableText"/>
                        </w:pPr>
                        <w:r w:rsidRPr="3DEE28EC">
                          <w:rPr>
                            <w:lang w:val="en-NZ"/>
                          </w:rPr>
                          <w:t>Mental health, wellbeing and self-care</w:t>
                        </w:r>
                      </w:p>
                    </w:tc>
                    <w:tc>
                      <w:tcPr>
                        <w:tcW w:w="1938" w:type="pct"/>
                        <w:noWrap/>
                      </w:tcPr>
                      <w:p w14:paraId="497F53C8" w14:textId="009EF7CF" w:rsidR="00D25A22" w:rsidRPr="008D0F42" w:rsidRDefault="00D25A22" w:rsidP="00D25A22">
                        <w:pPr>
                          <w:pStyle w:val="TableText"/>
                        </w:pPr>
                        <w:r w:rsidRPr="00DD72D5">
                          <w:t>55.5% (n=3</w:t>
                        </w:r>
                        <w:r w:rsidR="00834A0D">
                          <w:t>,</w:t>
                        </w:r>
                        <w:r w:rsidRPr="00DD72D5">
                          <w:t>1467)</w:t>
                        </w:r>
                      </w:p>
                    </w:tc>
                  </w:tr>
                  <w:tr w:rsidR="00D25A22" w:rsidRPr="00036888" w14:paraId="10659F8E" w14:textId="77777777">
                    <w:trPr>
                      <w:trHeight w:val="298"/>
                    </w:trPr>
                    <w:tc>
                      <w:tcPr>
                        <w:tcW w:w="941" w:type="pct"/>
                        <w:vMerge/>
                        <w:noWrap/>
                      </w:tcPr>
                      <w:p w14:paraId="79F64DD4" w14:textId="77777777" w:rsidR="00D25A22" w:rsidRPr="008D0F42" w:rsidRDefault="00D25A22" w:rsidP="00D25A22">
                        <w:pPr>
                          <w:pStyle w:val="TableText"/>
                        </w:pPr>
                      </w:p>
                    </w:tc>
                    <w:tc>
                      <w:tcPr>
                        <w:tcW w:w="2121" w:type="pct"/>
                      </w:tcPr>
                      <w:p w14:paraId="7914AEB4" w14:textId="77777777" w:rsidR="00D25A22" w:rsidRPr="008D0F42" w:rsidRDefault="00D25A22" w:rsidP="00D25A22">
                        <w:pPr>
                          <w:pStyle w:val="TableText"/>
                        </w:pPr>
                        <w:r w:rsidRPr="008D0F42">
                          <w:t>Personal and family safety</w:t>
                        </w:r>
                      </w:p>
                    </w:tc>
                    <w:tc>
                      <w:tcPr>
                        <w:tcW w:w="1938" w:type="pct"/>
                        <w:noWrap/>
                      </w:tcPr>
                      <w:p w14:paraId="297F36CA" w14:textId="5DFF2CBB" w:rsidR="00D25A22" w:rsidRPr="008D0F42" w:rsidRDefault="00D25A22" w:rsidP="00D25A22">
                        <w:pPr>
                          <w:pStyle w:val="TableText"/>
                        </w:pPr>
                        <w:r w:rsidRPr="00DD72D5">
                          <w:t>42.4% (n=16</w:t>
                        </w:r>
                        <w:r w:rsidR="00834A0D">
                          <w:t>,</w:t>
                        </w:r>
                        <w:r w:rsidRPr="00DD72D5">
                          <w:t>556)</w:t>
                        </w:r>
                      </w:p>
                    </w:tc>
                  </w:tr>
                  <w:tr w:rsidR="00D25A22" w:rsidRPr="00036888" w14:paraId="4D58931C" w14:textId="77777777">
                    <w:trPr>
                      <w:trHeight w:val="298"/>
                    </w:trPr>
                    <w:tc>
                      <w:tcPr>
                        <w:tcW w:w="941" w:type="pct"/>
                        <w:vMerge w:val="restart"/>
                        <w:noWrap/>
                      </w:tcPr>
                      <w:p w14:paraId="25A6B898" w14:textId="77777777" w:rsidR="00D25A22" w:rsidRPr="008D0F42" w:rsidRDefault="00D25A22" w:rsidP="00D25A22">
                        <w:pPr>
                          <w:pStyle w:val="TableText"/>
                        </w:pPr>
                        <w:r w:rsidRPr="008D0F42">
                          <w:t>Goals</w:t>
                        </w:r>
                      </w:p>
                    </w:tc>
                    <w:tc>
                      <w:tcPr>
                        <w:tcW w:w="2121" w:type="pct"/>
                      </w:tcPr>
                      <w:p w14:paraId="080466EE" w14:textId="77777777" w:rsidR="00D25A22" w:rsidRPr="008D0F42" w:rsidRDefault="00D25A22" w:rsidP="00D25A22">
                        <w:pPr>
                          <w:pStyle w:val="TableText"/>
                        </w:pPr>
                        <w:r w:rsidRPr="00D63E8D">
                          <w:t>Changed behaviours</w:t>
                        </w:r>
                      </w:p>
                    </w:tc>
                    <w:tc>
                      <w:tcPr>
                        <w:tcW w:w="1938" w:type="pct"/>
                        <w:noWrap/>
                      </w:tcPr>
                      <w:p w14:paraId="2BED656B" w14:textId="7D4A617D" w:rsidR="00D25A22" w:rsidRPr="008D0F42" w:rsidRDefault="00D25A22" w:rsidP="00D25A22">
                        <w:pPr>
                          <w:pStyle w:val="TableText"/>
                        </w:pPr>
                        <w:r w:rsidRPr="00DD72D5">
                          <w:t>65.0% (n=25</w:t>
                        </w:r>
                        <w:r w:rsidR="00834A0D">
                          <w:t>,</w:t>
                        </w:r>
                        <w:r w:rsidRPr="00DD72D5">
                          <w:t>595)</w:t>
                        </w:r>
                      </w:p>
                    </w:tc>
                  </w:tr>
                  <w:tr w:rsidR="00D25A22" w:rsidRPr="00036888" w14:paraId="15CC6556" w14:textId="77777777">
                    <w:trPr>
                      <w:trHeight w:val="298"/>
                    </w:trPr>
                    <w:tc>
                      <w:tcPr>
                        <w:tcW w:w="941" w:type="pct"/>
                        <w:vMerge/>
                        <w:noWrap/>
                      </w:tcPr>
                      <w:p w14:paraId="5A107FD3" w14:textId="77777777" w:rsidR="00D25A22" w:rsidRPr="008D0F42" w:rsidRDefault="00D25A22" w:rsidP="00D25A22">
                        <w:pPr>
                          <w:pStyle w:val="TableText"/>
                        </w:pPr>
                      </w:p>
                    </w:tc>
                    <w:tc>
                      <w:tcPr>
                        <w:tcW w:w="2121" w:type="pct"/>
                      </w:tcPr>
                      <w:p w14:paraId="460495A6" w14:textId="77777777" w:rsidR="00D25A22" w:rsidRPr="008D0F42" w:rsidRDefault="00D25A22" w:rsidP="00D25A22">
                        <w:pPr>
                          <w:pStyle w:val="TableText"/>
                        </w:pPr>
                        <w:r w:rsidRPr="00D63E8D">
                          <w:t>Changed impact of immediate crisis</w:t>
                        </w:r>
                      </w:p>
                    </w:tc>
                    <w:tc>
                      <w:tcPr>
                        <w:tcW w:w="1938" w:type="pct"/>
                        <w:noWrap/>
                      </w:tcPr>
                      <w:p w14:paraId="38EDCC89" w14:textId="298B0055" w:rsidR="00D25A22" w:rsidRPr="008D0F42" w:rsidRDefault="00D25A22" w:rsidP="00D25A22">
                        <w:pPr>
                          <w:pStyle w:val="TableText"/>
                        </w:pPr>
                        <w:r w:rsidRPr="00DD72D5">
                          <w:t>66.7% (n=13</w:t>
                        </w:r>
                        <w:r w:rsidR="00834A0D">
                          <w:t>,</w:t>
                        </w:r>
                        <w:r w:rsidRPr="00DD72D5">
                          <w:t>927)</w:t>
                        </w:r>
                      </w:p>
                    </w:tc>
                  </w:tr>
                  <w:tr w:rsidR="00D25A22" w:rsidRPr="00036888" w14:paraId="70C00B80" w14:textId="77777777">
                    <w:trPr>
                      <w:trHeight w:val="298"/>
                    </w:trPr>
                    <w:tc>
                      <w:tcPr>
                        <w:tcW w:w="941" w:type="pct"/>
                        <w:vMerge/>
                        <w:noWrap/>
                      </w:tcPr>
                      <w:p w14:paraId="5D58453E" w14:textId="77777777" w:rsidR="00D25A22" w:rsidRPr="008D0F42" w:rsidRDefault="00D25A22" w:rsidP="00D25A22">
                        <w:pPr>
                          <w:pStyle w:val="TableText"/>
                        </w:pPr>
                      </w:p>
                    </w:tc>
                    <w:tc>
                      <w:tcPr>
                        <w:tcW w:w="2121" w:type="pct"/>
                      </w:tcPr>
                      <w:p w14:paraId="1E6553C9" w14:textId="77777777" w:rsidR="00D25A22" w:rsidRPr="008D0F42" w:rsidRDefault="00D25A22" w:rsidP="00D25A22">
                        <w:pPr>
                          <w:pStyle w:val="TableText"/>
                        </w:pPr>
                        <w:r w:rsidRPr="00D63E8D">
                          <w:t>Changed knowledge and access to information</w:t>
                        </w:r>
                      </w:p>
                    </w:tc>
                    <w:tc>
                      <w:tcPr>
                        <w:tcW w:w="1938" w:type="pct"/>
                        <w:noWrap/>
                      </w:tcPr>
                      <w:p w14:paraId="304C0DF4" w14:textId="54988389" w:rsidR="00D25A22" w:rsidRPr="008D0F42" w:rsidRDefault="00D25A22" w:rsidP="00D25A22">
                        <w:pPr>
                          <w:pStyle w:val="TableText"/>
                        </w:pPr>
                        <w:r w:rsidRPr="00DD72D5">
                          <w:t>66.3% (n=30</w:t>
                        </w:r>
                        <w:r w:rsidR="00834A0D">
                          <w:t>,</w:t>
                        </w:r>
                        <w:r w:rsidRPr="00DD72D5">
                          <w:t>948)</w:t>
                        </w:r>
                      </w:p>
                    </w:tc>
                  </w:tr>
                  <w:tr w:rsidR="00D25A22" w:rsidRPr="00036888" w14:paraId="43D760D2" w14:textId="77777777">
                    <w:trPr>
                      <w:trHeight w:val="298"/>
                    </w:trPr>
                    <w:tc>
                      <w:tcPr>
                        <w:tcW w:w="941" w:type="pct"/>
                        <w:vMerge/>
                        <w:noWrap/>
                      </w:tcPr>
                      <w:p w14:paraId="128620BE" w14:textId="77777777" w:rsidR="00D25A22" w:rsidRPr="008D0F42" w:rsidRDefault="00D25A22" w:rsidP="00D25A22">
                        <w:pPr>
                          <w:pStyle w:val="TableText"/>
                        </w:pPr>
                      </w:p>
                    </w:tc>
                    <w:tc>
                      <w:tcPr>
                        <w:tcW w:w="2121" w:type="pct"/>
                      </w:tcPr>
                      <w:p w14:paraId="3EA2DA96" w14:textId="77777777" w:rsidR="00D25A22" w:rsidRPr="008D0F42" w:rsidRDefault="00D25A22" w:rsidP="00D25A22">
                        <w:pPr>
                          <w:pStyle w:val="TableText"/>
                        </w:pPr>
                        <w:r w:rsidRPr="00D63E8D">
                          <w:t>Changed skills</w:t>
                        </w:r>
                      </w:p>
                    </w:tc>
                    <w:tc>
                      <w:tcPr>
                        <w:tcW w:w="1938" w:type="pct"/>
                        <w:noWrap/>
                      </w:tcPr>
                      <w:p w14:paraId="08A883DD" w14:textId="79FB039F" w:rsidR="00D25A22" w:rsidRPr="008D0F42" w:rsidRDefault="00D25A22" w:rsidP="00D25A22">
                        <w:pPr>
                          <w:pStyle w:val="TableText"/>
                        </w:pPr>
                        <w:r w:rsidRPr="00DD72D5">
                          <w:t>64.1% (n=31</w:t>
                        </w:r>
                        <w:r w:rsidR="00834A0D">
                          <w:t>,</w:t>
                        </w:r>
                        <w:r w:rsidRPr="00DD72D5">
                          <w:t>670)</w:t>
                        </w:r>
                      </w:p>
                    </w:tc>
                  </w:tr>
                  <w:tr w:rsidR="00D25A22" w:rsidRPr="00036888" w14:paraId="319E1DEF" w14:textId="77777777">
                    <w:trPr>
                      <w:trHeight w:val="298"/>
                    </w:trPr>
                    <w:tc>
                      <w:tcPr>
                        <w:tcW w:w="941" w:type="pct"/>
                        <w:vMerge/>
                        <w:noWrap/>
                      </w:tcPr>
                      <w:p w14:paraId="38AA2039" w14:textId="77777777" w:rsidR="00D25A22" w:rsidRPr="008D0F42" w:rsidRDefault="00D25A22" w:rsidP="00D25A22">
                        <w:pPr>
                          <w:pStyle w:val="TableText"/>
                        </w:pPr>
                      </w:p>
                    </w:tc>
                    <w:tc>
                      <w:tcPr>
                        <w:tcW w:w="2121" w:type="pct"/>
                      </w:tcPr>
                      <w:p w14:paraId="71A2EC91" w14:textId="77777777" w:rsidR="00D25A22" w:rsidRPr="008D0F42" w:rsidRDefault="00D25A22" w:rsidP="00D25A22">
                        <w:pPr>
                          <w:pStyle w:val="TableText"/>
                        </w:pPr>
                        <w:r w:rsidRPr="03FAA4E2">
                          <w:rPr>
                            <w:lang w:val="en-NZ"/>
                          </w:rPr>
                          <w:t>Empowerment, choice and control to make own decisions</w:t>
                        </w:r>
                      </w:p>
                    </w:tc>
                    <w:tc>
                      <w:tcPr>
                        <w:tcW w:w="1938" w:type="pct"/>
                        <w:noWrap/>
                      </w:tcPr>
                      <w:p w14:paraId="125A69EB" w14:textId="403FB95C" w:rsidR="00D25A22" w:rsidRPr="008D0F42" w:rsidRDefault="00D25A22" w:rsidP="00D25A22">
                        <w:pPr>
                          <w:pStyle w:val="TableText"/>
                        </w:pPr>
                        <w:r w:rsidRPr="00DD72D5">
                          <w:t>61.0% (n=23</w:t>
                        </w:r>
                        <w:r w:rsidR="00834A0D">
                          <w:t>,</w:t>
                        </w:r>
                        <w:r w:rsidRPr="00DD72D5">
                          <w:t>034)</w:t>
                        </w:r>
                      </w:p>
                    </w:tc>
                  </w:tr>
                  <w:tr w:rsidR="00D25A22" w:rsidRPr="00036888" w14:paraId="587DB73A" w14:textId="77777777">
                    <w:trPr>
                      <w:trHeight w:val="298"/>
                    </w:trPr>
                    <w:tc>
                      <w:tcPr>
                        <w:tcW w:w="941" w:type="pct"/>
                        <w:vMerge/>
                        <w:noWrap/>
                      </w:tcPr>
                      <w:p w14:paraId="19EF3131" w14:textId="77777777" w:rsidR="00D25A22" w:rsidRPr="008D0F42" w:rsidRDefault="00D25A22" w:rsidP="00D25A22">
                        <w:pPr>
                          <w:pStyle w:val="TableText"/>
                        </w:pPr>
                      </w:p>
                    </w:tc>
                    <w:tc>
                      <w:tcPr>
                        <w:tcW w:w="2121" w:type="pct"/>
                      </w:tcPr>
                      <w:p w14:paraId="083EF6B3" w14:textId="77777777" w:rsidR="00D25A22" w:rsidRPr="008D0F42" w:rsidRDefault="00D25A22" w:rsidP="00D25A22">
                        <w:pPr>
                          <w:pStyle w:val="TableText"/>
                        </w:pPr>
                        <w:r w:rsidRPr="00D63E8D">
                          <w:t>Engagement with relevant support services</w:t>
                        </w:r>
                      </w:p>
                    </w:tc>
                    <w:tc>
                      <w:tcPr>
                        <w:tcW w:w="1938" w:type="pct"/>
                        <w:noWrap/>
                      </w:tcPr>
                      <w:p w14:paraId="728AF8F5" w14:textId="111FFBAF" w:rsidR="00D25A22" w:rsidRPr="008D0F42" w:rsidRDefault="00D25A22" w:rsidP="00D25A22">
                        <w:pPr>
                          <w:pStyle w:val="TableText"/>
                        </w:pPr>
                        <w:r w:rsidRPr="00DD72D5">
                          <w:t>60.6% (n=15</w:t>
                        </w:r>
                        <w:r w:rsidR="00834A0D">
                          <w:t>,</w:t>
                        </w:r>
                        <w:r w:rsidRPr="00DD72D5">
                          <w:t>847)</w:t>
                        </w:r>
                      </w:p>
                    </w:tc>
                  </w:tr>
                </w:tbl>
                <w:p w14:paraId="69EB1F62" w14:textId="77777777" w:rsidR="00BA4A1B" w:rsidRPr="00A44F28" w:rsidRDefault="00BA4A1B" w:rsidP="00BA4A1B">
                  <w:pPr>
                    <w:pStyle w:val="Text"/>
                    <w:rPr>
                      <w:i/>
                      <w:sz w:val="20"/>
                      <w:szCs w:val="18"/>
                      <w:lang w:val="en-US"/>
                    </w:rPr>
                  </w:pPr>
                  <w:r w:rsidRPr="008E1B83">
                    <w:rPr>
                      <w:i/>
                      <w:sz w:val="20"/>
                      <w:szCs w:val="18"/>
                      <w:lang w:val="en-US"/>
                    </w:rPr>
                    <w:t>Source: DEX-SCORE data</w:t>
                  </w:r>
                </w:p>
                <w:p w14:paraId="21191451" w14:textId="77777777" w:rsidR="000A3F9F" w:rsidRDefault="000A3F9F" w:rsidP="000A3F9F">
                  <w:pPr>
                    <w:pStyle w:val="TableFigure-Notes"/>
                    <w:rPr>
                      <w:lang w:val="en-AU"/>
                    </w:rPr>
                  </w:pPr>
                </w:p>
                <w:p w14:paraId="12A6DC7A" w14:textId="77777777" w:rsidR="000A3F9F" w:rsidRDefault="000A3F9F" w:rsidP="000A3F9F">
                  <w:pPr>
                    <w:pStyle w:val="TableFigure-Notes"/>
                    <w:rPr>
                      <w:lang w:val="en-AU"/>
                    </w:rPr>
                  </w:pPr>
                </w:p>
                <w:p w14:paraId="0906244F" w14:textId="77777777" w:rsidR="000A3F9F" w:rsidRDefault="000A3F9F" w:rsidP="000A3F9F">
                  <w:pPr>
                    <w:pStyle w:val="TableFigure-Notes"/>
                    <w:rPr>
                      <w:lang w:val="en-AU"/>
                    </w:rPr>
                  </w:pPr>
                </w:p>
                <w:p w14:paraId="3AA2E039" w14:textId="77777777" w:rsidR="00E42668" w:rsidRDefault="00E42668" w:rsidP="00E42668">
                  <w:pPr>
                    <w:pStyle w:val="TableFigureTitle"/>
                    <w:rPr>
                      <w:lang w:val="en-AU"/>
                    </w:rPr>
                  </w:pPr>
                </w:p>
                <w:p w14:paraId="00E69152" w14:textId="64DD4A2B" w:rsidR="00475249" w:rsidRDefault="00F65AFA" w:rsidP="00811E31">
                  <w:pPr>
                    <w:pStyle w:val="TableFigure-Header"/>
                    <w:spacing w:line="276" w:lineRule="auto"/>
                    <w:rPr>
                      <w:lang w:val="en-NZ"/>
                    </w:rPr>
                  </w:pPr>
                  <w:bookmarkStart w:id="498" w:name="_Ref205326969"/>
                  <w:bookmarkStart w:id="499" w:name="_Toc205413086"/>
                  <w:bookmarkStart w:id="500" w:name="_Toc205413140"/>
                  <w:r w:rsidRPr="2B8F53AB">
                    <w:rPr>
                      <w:lang w:val="en-NZ"/>
                    </w:rPr>
                    <w:lastRenderedPageBreak/>
                    <w:t xml:space="preserve">Figure </w:t>
                  </w:r>
                  <w:r w:rsidR="00C64C3D">
                    <w:rPr>
                      <w:lang w:val="en-NZ"/>
                    </w:rPr>
                    <w:fldChar w:fldCharType="begin"/>
                  </w:r>
                  <w:r w:rsidR="00C64C3D">
                    <w:rPr>
                      <w:lang w:val="en-NZ"/>
                    </w:rPr>
                    <w:instrText xml:space="preserve"> SEQ Figure \* ARABIC </w:instrText>
                  </w:r>
                  <w:r w:rsidR="00C64C3D">
                    <w:rPr>
                      <w:lang w:val="en-NZ"/>
                    </w:rPr>
                    <w:fldChar w:fldCharType="separate"/>
                  </w:r>
                  <w:r w:rsidR="008D2566">
                    <w:rPr>
                      <w:noProof/>
                      <w:lang w:val="en-NZ"/>
                    </w:rPr>
                    <w:t>44</w:t>
                  </w:r>
                  <w:r w:rsidR="00C64C3D">
                    <w:rPr>
                      <w:lang w:val="en-NZ"/>
                    </w:rPr>
                    <w:fldChar w:fldCharType="end"/>
                  </w:r>
                  <w:bookmarkEnd w:id="498"/>
                  <w:r w:rsidRPr="2B8F53AB">
                    <w:rPr>
                      <w:lang w:val="en-NZ"/>
                    </w:rPr>
                    <w:t>:</w:t>
                  </w:r>
                  <w:r w:rsidR="00DF55DF" w:rsidRPr="2B8F53AB">
                    <w:rPr>
                      <w:lang w:val="en-NZ"/>
                    </w:rPr>
                    <w:t xml:space="preserve"> Earliest to latest SCORE changes within subjects, SFVS </w:t>
                  </w:r>
                  <w:r w:rsidR="005072EF" w:rsidRPr="2B8F53AB">
                    <w:rPr>
                      <w:lang w:val="en-NZ"/>
                    </w:rPr>
                    <w:t xml:space="preserve">service </w:t>
                  </w:r>
                  <w:r w:rsidR="00E070C1" w:rsidRPr="2B8F53AB">
                    <w:rPr>
                      <w:lang w:val="en-NZ"/>
                    </w:rPr>
                    <w:t>users</w:t>
                  </w:r>
                  <w:r w:rsidR="00DF55DF" w:rsidRPr="2B8F53AB">
                    <w:rPr>
                      <w:lang w:val="en-NZ"/>
                    </w:rPr>
                    <w:t xml:space="preserve"> by disability status, July 2021 to June 2024</w:t>
                  </w:r>
                  <w:bookmarkEnd w:id="499"/>
                  <w:bookmarkEnd w:id="500"/>
                </w:p>
                <w:p w14:paraId="7F52F5DB" w14:textId="331F99FD" w:rsidR="004B4997" w:rsidRDefault="004B4997" w:rsidP="596BDFB0">
                  <w:pPr>
                    <w:pStyle w:val="Text"/>
                    <w:rPr>
                      <w:rStyle w:val="Text-Bold"/>
                      <w:b w:val="0"/>
                      <w:i/>
                      <w:iCs/>
                      <w:sz w:val="20"/>
                    </w:rPr>
                  </w:pPr>
                  <w:r>
                    <w:rPr>
                      <w:noProof/>
                    </w:rPr>
                    <mc:AlternateContent>
                      <mc:Choice Requires="wpg">
                        <w:drawing>
                          <wp:inline distT="0" distB="0" distL="0" distR="0" wp14:anchorId="5E634EA2" wp14:editId="359118B2">
                            <wp:extent cx="5733415" cy="8235051"/>
                            <wp:effectExtent l="0" t="0" r="635" b="13970"/>
                            <wp:docPr id="27167671" name="Group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33415" cy="8235051"/>
                                      <a:chOff x="-131344" y="0"/>
                                      <a:chExt cx="6254519" cy="5102939"/>
                                    </a:xfrm>
                                  </wpg:grpSpPr>
                                  <wpg:graphicFrame>
                                    <wpg:cNvPr id="56935356" name="Chart 56935356"/>
                                    <wpg:cNvFrPr>
                                      <a:graphicFrameLocks/>
                                    </wpg:cNvFrPr>
                                    <wpg:xfrm>
                                      <a:off x="0" y="0"/>
                                      <a:ext cx="6123175" cy="2515235"/>
                                    </wpg:xfrm>
                                    <a:graphic>
                                      <a:graphicData uri="http://schemas.openxmlformats.org/drawingml/2006/chart">
                                        <c:chart xmlns:c="http://schemas.openxmlformats.org/drawingml/2006/chart" xmlns:r="http://schemas.openxmlformats.org/officeDocument/2006/relationships" r:id="rId119"/>
                                      </a:graphicData>
                                    </a:graphic>
                                  </wpg:graphicFrame>
                                  <wpg:graphicFrame>
                                    <wpg:cNvPr id="703416049" name="Chart 703416049"/>
                                    <wpg:cNvFrPr>
                                      <a:graphicFrameLocks/>
                                    </wpg:cNvFrPr>
                                    <wpg:xfrm>
                                      <a:off x="-131344" y="2590879"/>
                                      <a:ext cx="6120000" cy="2512060"/>
                                    </wpg:xfrm>
                                    <a:graphic>
                                      <a:graphicData uri="http://schemas.openxmlformats.org/drawingml/2006/chart">
                                        <c:chart xmlns:c="http://schemas.openxmlformats.org/drawingml/2006/chart" xmlns:r="http://schemas.openxmlformats.org/officeDocument/2006/relationships" r:id="rId120"/>
                                      </a:graphicData>
                                    </a:graphic>
                                  </wpg:graphicFrame>
                                </wpg:wgp>
                              </a:graphicData>
                            </a:graphic>
                          </wp:inline>
                        </w:drawing>
                      </mc:Choice>
                      <mc:Fallback>
                        <w:pict>
                          <v:group w14:anchorId="3119145B" id="Group 3" o:spid="_x0000_s1026" alt="&quot;&quot;" style="width:451.45pt;height:648.45pt;mso-position-horizontal-relative:char;mso-position-vertical-relative:line" coordorigin="-1313" coordsize="62545,51029" o:gfxdata="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">
                            <v:shape id="Chart 56935356" o:spid="_x0000_s1027" type="#_x0000_t75" style="position:absolute;left:-49;top:-37;width:61379;height:2523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">
                              <v:imagedata r:id="rId121" o:title=""/>
                              <o:lock v:ext="edit" aspectratio="f"/>
                            </v:shape>
                            <v:shape id="Chart 703416049" o:spid="_x0000_s1028" type="#_x0000_t75" style="position:absolute;left:-1379;top:25875;width:61312;height:2519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">
                              <v:imagedata r:id="rId122" o:title=""/>
                              <o:lock v:ext="edit" aspectratio="f"/>
                            </v:shape>
                            <w10:anchorlock/>
                          </v:group>
                        </w:pict>
                      </mc:Fallback>
                    </mc:AlternateContent>
                  </w:r>
                </w:p>
                <w:p w14:paraId="21380698" w14:textId="7EEC71C2" w:rsidR="00F20918" w:rsidRDefault="00ED2240" w:rsidP="00811E31">
                  <w:pPr>
                    <w:pStyle w:val="TableFigure-Header"/>
                    <w:spacing w:line="276" w:lineRule="auto"/>
                    <w:jc w:val="both"/>
                    <w:rPr>
                      <w:i/>
                      <w:sz w:val="20"/>
                    </w:rPr>
                  </w:pPr>
                  <w:r>
                    <w:lastRenderedPageBreak/>
                    <w:t xml:space="preserve">Table </w:t>
                  </w:r>
                  <w:r w:rsidR="008D2566">
                    <w:fldChar w:fldCharType="begin"/>
                  </w:r>
                  <w:r w:rsidR="008D2566">
                    <w:instrText xml:space="preserve"> SEQ Table \* ARABIC </w:instrText>
                  </w:r>
                  <w:r w:rsidR="008D2566">
                    <w:fldChar w:fldCharType="separate"/>
                  </w:r>
                  <w:r w:rsidR="008D2566">
                    <w:rPr>
                      <w:noProof/>
                    </w:rPr>
                    <w:t>47</w:t>
                  </w:r>
                  <w:r w:rsidR="008D2566">
                    <w:rPr>
                      <w:noProof/>
                    </w:rPr>
                    <w:fldChar w:fldCharType="end"/>
                  </w:r>
                  <w:r>
                    <w:t xml:space="preserve">: </w:t>
                  </w:r>
                  <w:r w:rsidRPr="008938E2">
                    <w:t xml:space="preserve">Percentage of service users with positive SCORE change for specific Circumstance and Goal domains, </w:t>
                  </w:r>
                  <w:r>
                    <w:t>SFVS, people</w:t>
                  </w:r>
                  <w:r w:rsidRPr="008938E2">
                    <w:t xml:space="preserve"> with disabilities, July 2021 to </w:t>
                  </w:r>
                  <w:r w:rsidR="146B12B3">
                    <w:t xml:space="preserve">June </w:t>
                  </w:r>
                  <w:r w:rsidRPr="008938E2">
                    <w:t>2024</w:t>
                  </w:r>
                </w:p>
                <w:tbl>
                  <w:tblPr>
                    <w:tblStyle w:val="TableGrid3"/>
                    <w:tblW w:w="5000" w:type="pct"/>
                    <w:tblLayout w:type="fixed"/>
                    <w:tblLook w:val="04A0" w:firstRow="1" w:lastRow="0" w:firstColumn="1" w:lastColumn="0" w:noHBand="0" w:noVBand="1"/>
                  </w:tblPr>
                  <w:tblGrid>
                    <w:gridCol w:w="1697"/>
                    <w:gridCol w:w="3826"/>
                    <w:gridCol w:w="3496"/>
                  </w:tblGrid>
                  <w:tr w:rsidR="00F20918" w:rsidRPr="00036888" w14:paraId="5D80BBE8" w14:textId="77777777">
                    <w:trPr>
                      <w:trHeight w:val="298"/>
                    </w:trPr>
                    <w:tc>
                      <w:tcPr>
                        <w:tcW w:w="941" w:type="pct"/>
                        <w:shd w:val="clear" w:color="auto" w:fill="007E00" w:themeFill="accent3"/>
                        <w:noWrap/>
                        <w:hideMark/>
                      </w:tcPr>
                      <w:p w14:paraId="7D61C816" w14:textId="77777777" w:rsidR="00F20918" w:rsidRPr="00F6254E" w:rsidRDefault="00F20918">
                        <w:pPr>
                          <w:pStyle w:val="TableText"/>
                          <w:rPr>
                            <w:b/>
                            <w:bCs/>
                            <w:color w:val="FFFFFF" w:themeColor="background1"/>
                          </w:rPr>
                        </w:pPr>
                        <w:r w:rsidRPr="00F6254E">
                          <w:rPr>
                            <w:b/>
                            <w:bCs/>
                            <w:color w:val="FFFFFF" w:themeColor="background1"/>
                          </w:rPr>
                          <w:t>Outcome Type</w:t>
                        </w:r>
                      </w:p>
                    </w:tc>
                    <w:tc>
                      <w:tcPr>
                        <w:tcW w:w="2121" w:type="pct"/>
                        <w:shd w:val="clear" w:color="auto" w:fill="007E00" w:themeFill="accent3"/>
                      </w:tcPr>
                      <w:p w14:paraId="2B45F026" w14:textId="77777777" w:rsidR="00F20918" w:rsidRDefault="00F20918">
                        <w:pPr>
                          <w:pStyle w:val="TableText"/>
                          <w:rPr>
                            <w:b/>
                            <w:bCs/>
                            <w:color w:val="FFFFFF" w:themeColor="background1"/>
                          </w:rPr>
                        </w:pPr>
                        <w:r>
                          <w:rPr>
                            <w:b/>
                            <w:bCs/>
                            <w:color w:val="FFFFFF" w:themeColor="background1"/>
                          </w:rPr>
                          <w:t>Domain description</w:t>
                        </w:r>
                      </w:p>
                    </w:tc>
                    <w:tc>
                      <w:tcPr>
                        <w:tcW w:w="1938" w:type="pct"/>
                        <w:shd w:val="clear" w:color="auto" w:fill="007E00" w:themeFill="accent3"/>
                        <w:noWrap/>
                        <w:hideMark/>
                      </w:tcPr>
                      <w:p w14:paraId="351ABAE5" w14:textId="77777777" w:rsidR="00F20918" w:rsidRPr="00F6254E" w:rsidRDefault="00F20918">
                        <w:pPr>
                          <w:pStyle w:val="TableText"/>
                          <w:rPr>
                            <w:b/>
                            <w:bCs/>
                            <w:color w:val="FFFFFF" w:themeColor="background1"/>
                          </w:rPr>
                        </w:pPr>
                        <w:r>
                          <w:rPr>
                            <w:b/>
                            <w:bCs/>
                            <w:color w:val="FFFFFF" w:themeColor="background1"/>
                          </w:rPr>
                          <w:t xml:space="preserve">Service users </w:t>
                        </w:r>
                        <w:r w:rsidRPr="00F6254E">
                          <w:rPr>
                            <w:b/>
                            <w:bCs/>
                            <w:color w:val="FFFFFF" w:themeColor="background1"/>
                          </w:rPr>
                          <w:t>with positive mean change (%, n</w:t>
                        </w:r>
                        <w:r>
                          <w:rPr>
                            <w:b/>
                            <w:bCs/>
                            <w:color w:val="FFFFFF" w:themeColor="background1"/>
                          </w:rPr>
                          <w:t>=</w:t>
                        </w:r>
                        <w:r w:rsidRPr="00F6254E">
                          <w:rPr>
                            <w:b/>
                            <w:bCs/>
                            <w:color w:val="FFFFFF" w:themeColor="background1"/>
                          </w:rPr>
                          <w:t>)</w:t>
                        </w:r>
                      </w:p>
                    </w:tc>
                  </w:tr>
                  <w:tr w:rsidR="00F20918" w:rsidRPr="00036888" w14:paraId="44103BB2" w14:textId="77777777">
                    <w:trPr>
                      <w:trHeight w:val="298"/>
                    </w:trPr>
                    <w:tc>
                      <w:tcPr>
                        <w:tcW w:w="941" w:type="pct"/>
                        <w:vMerge w:val="restart"/>
                        <w:noWrap/>
                        <w:hideMark/>
                      </w:tcPr>
                      <w:p w14:paraId="2EB58F85" w14:textId="77777777" w:rsidR="00F20918" w:rsidRPr="008D0F42" w:rsidRDefault="00F20918">
                        <w:pPr>
                          <w:pStyle w:val="TableText"/>
                        </w:pPr>
                        <w:r w:rsidRPr="008D0F42">
                          <w:t>Circumstances</w:t>
                        </w:r>
                      </w:p>
                    </w:tc>
                    <w:tc>
                      <w:tcPr>
                        <w:tcW w:w="2121" w:type="pct"/>
                      </w:tcPr>
                      <w:p w14:paraId="064FABCD" w14:textId="77777777" w:rsidR="00F20918" w:rsidRPr="008D0F42" w:rsidRDefault="00F20918">
                        <w:pPr>
                          <w:pStyle w:val="TableText"/>
                        </w:pPr>
                        <w:r w:rsidRPr="008D0F42">
                          <w:t>Family functioning</w:t>
                        </w:r>
                      </w:p>
                    </w:tc>
                    <w:tc>
                      <w:tcPr>
                        <w:tcW w:w="1938" w:type="pct"/>
                        <w:noWrap/>
                        <w:hideMark/>
                      </w:tcPr>
                      <w:p w14:paraId="397E79B7" w14:textId="52DCDCCD" w:rsidR="00F20918" w:rsidRPr="007E6AC4" w:rsidRDefault="00FE32DF">
                        <w:pPr>
                          <w:pStyle w:val="TableText"/>
                        </w:pPr>
                        <w:r>
                          <w:t>51.6% (n=326)</w:t>
                        </w:r>
                      </w:p>
                    </w:tc>
                  </w:tr>
                  <w:tr w:rsidR="00F20918" w:rsidRPr="00036888" w14:paraId="1DD6EF7E" w14:textId="77777777">
                    <w:trPr>
                      <w:trHeight w:val="298"/>
                    </w:trPr>
                    <w:tc>
                      <w:tcPr>
                        <w:tcW w:w="941" w:type="pct"/>
                        <w:vMerge/>
                        <w:noWrap/>
                      </w:tcPr>
                      <w:p w14:paraId="3DCEE9D1" w14:textId="77777777" w:rsidR="00F20918" w:rsidRPr="008D0F42" w:rsidRDefault="00F20918">
                        <w:pPr>
                          <w:pStyle w:val="TableText"/>
                        </w:pPr>
                      </w:p>
                    </w:tc>
                    <w:tc>
                      <w:tcPr>
                        <w:tcW w:w="2121" w:type="pct"/>
                      </w:tcPr>
                      <w:p w14:paraId="45ECBBB6" w14:textId="77777777" w:rsidR="00F20918" w:rsidRPr="008D0F42" w:rsidRDefault="00F20918">
                        <w:pPr>
                          <w:pStyle w:val="TableText"/>
                        </w:pPr>
                        <w:r w:rsidRPr="3DEE28EC">
                          <w:rPr>
                            <w:lang w:val="en-NZ"/>
                          </w:rPr>
                          <w:t>Mental health, wellbeing and self-care</w:t>
                        </w:r>
                      </w:p>
                    </w:tc>
                    <w:tc>
                      <w:tcPr>
                        <w:tcW w:w="1938" w:type="pct"/>
                        <w:noWrap/>
                      </w:tcPr>
                      <w:p w14:paraId="25EA0538" w14:textId="19EA452D" w:rsidR="00F20918" w:rsidRPr="007E6AC4" w:rsidRDefault="00FE32DF">
                        <w:pPr>
                          <w:pStyle w:val="TableText"/>
                        </w:pPr>
                        <w:r>
                          <w:t>56.0% (n=373)</w:t>
                        </w:r>
                      </w:p>
                    </w:tc>
                  </w:tr>
                  <w:tr w:rsidR="00F20918" w:rsidRPr="00036888" w14:paraId="759FBFFB" w14:textId="77777777">
                    <w:trPr>
                      <w:trHeight w:val="298"/>
                    </w:trPr>
                    <w:tc>
                      <w:tcPr>
                        <w:tcW w:w="941" w:type="pct"/>
                        <w:vMerge/>
                        <w:noWrap/>
                      </w:tcPr>
                      <w:p w14:paraId="59AE6673" w14:textId="77777777" w:rsidR="00F20918" w:rsidRPr="008D0F42" w:rsidRDefault="00F20918">
                        <w:pPr>
                          <w:pStyle w:val="TableText"/>
                        </w:pPr>
                      </w:p>
                    </w:tc>
                    <w:tc>
                      <w:tcPr>
                        <w:tcW w:w="2121" w:type="pct"/>
                      </w:tcPr>
                      <w:p w14:paraId="129D3407" w14:textId="77777777" w:rsidR="00F20918" w:rsidRPr="008D0F42" w:rsidRDefault="00F20918">
                        <w:pPr>
                          <w:pStyle w:val="TableText"/>
                        </w:pPr>
                        <w:r w:rsidRPr="008D0F42">
                          <w:t>Personal and family safety</w:t>
                        </w:r>
                      </w:p>
                    </w:tc>
                    <w:tc>
                      <w:tcPr>
                        <w:tcW w:w="1938" w:type="pct"/>
                        <w:noWrap/>
                      </w:tcPr>
                      <w:p w14:paraId="33E1B9C0" w14:textId="4B69D518" w:rsidR="00F20918" w:rsidRPr="007E6AC4" w:rsidRDefault="00FE32DF">
                        <w:pPr>
                          <w:pStyle w:val="TableText"/>
                        </w:pPr>
                        <w:r>
                          <w:t>59.4% (n=522)</w:t>
                        </w:r>
                      </w:p>
                    </w:tc>
                  </w:tr>
                  <w:tr w:rsidR="00F20918" w:rsidRPr="00036888" w14:paraId="4C38AE64" w14:textId="77777777">
                    <w:trPr>
                      <w:trHeight w:val="298"/>
                    </w:trPr>
                    <w:tc>
                      <w:tcPr>
                        <w:tcW w:w="941" w:type="pct"/>
                        <w:vMerge w:val="restart"/>
                        <w:noWrap/>
                      </w:tcPr>
                      <w:p w14:paraId="0C94FA18" w14:textId="77777777" w:rsidR="00F20918" w:rsidRPr="008D0F42" w:rsidRDefault="00F20918">
                        <w:pPr>
                          <w:pStyle w:val="TableText"/>
                        </w:pPr>
                        <w:r w:rsidRPr="008D0F42">
                          <w:t>Goals</w:t>
                        </w:r>
                      </w:p>
                    </w:tc>
                    <w:tc>
                      <w:tcPr>
                        <w:tcW w:w="2121" w:type="pct"/>
                      </w:tcPr>
                      <w:p w14:paraId="4A4B3293" w14:textId="77777777" w:rsidR="00F20918" w:rsidRPr="008D0F42" w:rsidRDefault="00F20918">
                        <w:pPr>
                          <w:pStyle w:val="TableText"/>
                        </w:pPr>
                        <w:r w:rsidRPr="00D63E8D">
                          <w:t>Changed behaviours</w:t>
                        </w:r>
                      </w:p>
                    </w:tc>
                    <w:tc>
                      <w:tcPr>
                        <w:tcW w:w="1938" w:type="pct"/>
                        <w:noWrap/>
                      </w:tcPr>
                      <w:p w14:paraId="41E012A9" w14:textId="222D2543" w:rsidR="00F20918" w:rsidRPr="007E6AC4" w:rsidRDefault="00FE32DF">
                        <w:pPr>
                          <w:pStyle w:val="TableText"/>
                        </w:pPr>
                        <w:r>
                          <w:t>57.3% (n=318)</w:t>
                        </w:r>
                      </w:p>
                    </w:tc>
                  </w:tr>
                  <w:tr w:rsidR="00F20918" w:rsidRPr="00036888" w14:paraId="43B7C524" w14:textId="77777777">
                    <w:trPr>
                      <w:trHeight w:val="298"/>
                    </w:trPr>
                    <w:tc>
                      <w:tcPr>
                        <w:tcW w:w="941" w:type="pct"/>
                        <w:vMerge/>
                        <w:noWrap/>
                      </w:tcPr>
                      <w:p w14:paraId="358719BB" w14:textId="77777777" w:rsidR="00F20918" w:rsidRPr="008D0F42" w:rsidRDefault="00F20918">
                        <w:pPr>
                          <w:pStyle w:val="TableText"/>
                        </w:pPr>
                      </w:p>
                    </w:tc>
                    <w:tc>
                      <w:tcPr>
                        <w:tcW w:w="2121" w:type="pct"/>
                      </w:tcPr>
                      <w:p w14:paraId="1AF2E7E3" w14:textId="77777777" w:rsidR="00F20918" w:rsidRPr="008D0F42" w:rsidRDefault="00F20918">
                        <w:pPr>
                          <w:pStyle w:val="TableText"/>
                        </w:pPr>
                        <w:r w:rsidRPr="00D63E8D">
                          <w:t>Changed impact of immediate crisis</w:t>
                        </w:r>
                      </w:p>
                    </w:tc>
                    <w:tc>
                      <w:tcPr>
                        <w:tcW w:w="1938" w:type="pct"/>
                        <w:noWrap/>
                      </w:tcPr>
                      <w:p w14:paraId="73B6B7D8" w14:textId="2662E8D9" w:rsidR="00F20918" w:rsidRPr="007E6AC4" w:rsidRDefault="00FE32DF">
                        <w:pPr>
                          <w:pStyle w:val="TableText"/>
                        </w:pPr>
                        <w:r>
                          <w:t>71.8% (n=346)</w:t>
                        </w:r>
                      </w:p>
                    </w:tc>
                  </w:tr>
                  <w:tr w:rsidR="00F20918" w:rsidRPr="00036888" w14:paraId="78A7054A" w14:textId="77777777">
                    <w:trPr>
                      <w:trHeight w:val="298"/>
                    </w:trPr>
                    <w:tc>
                      <w:tcPr>
                        <w:tcW w:w="941" w:type="pct"/>
                        <w:vMerge/>
                        <w:noWrap/>
                      </w:tcPr>
                      <w:p w14:paraId="7C12D0AA" w14:textId="77777777" w:rsidR="00F20918" w:rsidRPr="008D0F42" w:rsidRDefault="00F20918">
                        <w:pPr>
                          <w:pStyle w:val="TableText"/>
                        </w:pPr>
                      </w:p>
                    </w:tc>
                    <w:tc>
                      <w:tcPr>
                        <w:tcW w:w="2121" w:type="pct"/>
                      </w:tcPr>
                      <w:p w14:paraId="78DBFABF" w14:textId="77777777" w:rsidR="00F20918" w:rsidRPr="008D0F42" w:rsidRDefault="00F20918">
                        <w:pPr>
                          <w:pStyle w:val="TableText"/>
                        </w:pPr>
                        <w:r w:rsidRPr="00D63E8D">
                          <w:t>Changed knowledge and access to information</w:t>
                        </w:r>
                      </w:p>
                    </w:tc>
                    <w:tc>
                      <w:tcPr>
                        <w:tcW w:w="1938" w:type="pct"/>
                        <w:noWrap/>
                      </w:tcPr>
                      <w:p w14:paraId="2A2F6E4B" w14:textId="77AB8377" w:rsidR="00F20918" w:rsidRPr="007E6AC4" w:rsidRDefault="00FE32DF">
                        <w:pPr>
                          <w:pStyle w:val="TableText"/>
                        </w:pPr>
                        <w:r>
                          <w:t>65.4% (n=398)</w:t>
                        </w:r>
                      </w:p>
                    </w:tc>
                  </w:tr>
                  <w:tr w:rsidR="00F20918" w:rsidRPr="00036888" w14:paraId="3FEF2D11" w14:textId="77777777">
                    <w:trPr>
                      <w:trHeight w:val="298"/>
                    </w:trPr>
                    <w:tc>
                      <w:tcPr>
                        <w:tcW w:w="941" w:type="pct"/>
                        <w:vMerge/>
                        <w:noWrap/>
                      </w:tcPr>
                      <w:p w14:paraId="3A82E41D" w14:textId="77777777" w:rsidR="00F20918" w:rsidRPr="008D0F42" w:rsidRDefault="00F20918">
                        <w:pPr>
                          <w:pStyle w:val="TableText"/>
                        </w:pPr>
                      </w:p>
                    </w:tc>
                    <w:tc>
                      <w:tcPr>
                        <w:tcW w:w="2121" w:type="pct"/>
                      </w:tcPr>
                      <w:p w14:paraId="4A760CAB" w14:textId="77777777" w:rsidR="00F20918" w:rsidRPr="008D0F42" w:rsidRDefault="00F20918">
                        <w:pPr>
                          <w:pStyle w:val="TableText"/>
                        </w:pPr>
                        <w:r w:rsidRPr="00D63E8D">
                          <w:t>Changed skills</w:t>
                        </w:r>
                      </w:p>
                    </w:tc>
                    <w:tc>
                      <w:tcPr>
                        <w:tcW w:w="1938" w:type="pct"/>
                        <w:noWrap/>
                      </w:tcPr>
                      <w:p w14:paraId="2DD0D7AF" w14:textId="093D472F" w:rsidR="00F20918" w:rsidRPr="007E6AC4" w:rsidRDefault="00FE32DF">
                        <w:pPr>
                          <w:pStyle w:val="TableText"/>
                        </w:pPr>
                        <w:r>
                          <w:t>56.1% (n=290)</w:t>
                        </w:r>
                      </w:p>
                    </w:tc>
                  </w:tr>
                  <w:tr w:rsidR="00F20918" w:rsidRPr="00036888" w14:paraId="0936B499" w14:textId="77777777">
                    <w:trPr>
                      <w:trHeight w:val="298"/>
                    </w:trPr>
                    <w:tc>
                      <w:tcPr>
                        <w:tcW w:w="941" w:type="pct"/>
                        <w:vMerge/>
                        <w:noWrap/>
                      </w:tcPr>
                      <w:p w14:paraId="55A0AC82" w14:textId="77777777" w:rsidR="00F20918" w:rsidRPr="008D0F42" w:rsidRDefault="00F20918">
                        <w:pPr>
                          <w:pStyle w:val="TableText"/>
                        </w:pPr>
                      </w:p>
                    </w:tc>
                    <w:tc>
                      <w:tcPr>
                        <w:tcW w:w="2121" w:type="pct"/>
                      </w:tcPr>
                      <w:p w14:paraId="1006CE12" w14:textId="77777777" w:rsidR="00F20918" w:rsidRPr="008D0F42" w:rsidRDefault="00F20918">
                        <w:pPr>
                          <w:pStyle w:val="TableText"/>
                        </w:pPr>
                        <w:r w:rsidRPr="03FAA4E2">
                          <w:rPr>
                            <w:lang w:val="en-NZ"/>
                          </w:rPr>
                          <w:t>Empowerment, choice and control to make own decisions</w:t>
                        </w:r>
                      </w:p>
                    </w:tc>
                    <w:tc>
                      <w:tcPr>
                        <w:tcW w:w="1938" w:type="pct"/>
                        <w:noWrap/>
                      </w:tcPr>
                      <w:p w14:paraId="701C5005" w14:textId="7633C43A" w:rsidR="00F20918" w:rsidRPr="007E6AC4" w:rsidRDefault="00FE32DF">
                        <w:pPr>
                          <w:pStyle w:val="TableText"/>
                        </w:pPr>
                        <w:r>
                          <w:t>61.6% (n=346)</w:t>
                        </w:r>
                      </w:p>
                    </w:tc>
                  </w:tr>
                  <w:tr w:rsidR="00F20918" w:rsidRPr="00036888" w14:paraId="383E8CEE" w14:textId="77777777">
                    <w:trPr>
                      <w:trHeight w:val="298"/>
                    </w:trPr>
                    <w:tc>
                      <w:tcPr>
                        <w:tcW w:w="941" w:type="pct"/>
                        <w:vMerge/>
                        <w:noWrap/>
                      </w:tcPr>
                      <w:p w14:paraId="12BB10E6" w14:textId="77777777" w:rsidR="00F20918" w:rsidRPr="008D0F42" w:rsidRDefault="00F20918">
                        <w:pPr>
                          <w:pStyle w:val="TableText"/>
                        </w:pPr>
                      </w:p>
                    </w:tc>
                    <w:tc>
                      <w:tcPr>
                        <w:tcW w:w="2121" w:type="pct"/>
                      </w:tcPr>
                      <w:p w14:paraId="2D840DB0" w14:textId="77777777" w:rsidR="00F20918" w:rsidRPr="008D0F42" w:rsidRDefault="00F20918">
                        <w:pPr>
                          <w:pStyle w:val="TableText"/>
                        </w:pPr>
                        <w:r w:rsidRPr="00D63E8D">
                          <w:t>Engagement with relevant support services</w:t>
                        </w:r>
                      </w:p>
                    </w:tc>
                    <w:tc>
                      <w:tcPr>
                        <w:tcW w:w="1938" w:type="pct"/>
                        <w:noWrap/>
                      </w:tcPr>
                      <w:p w14:paraId="3E0DF360" w14:textId="78665C51" w:rsidR="00F20918" w:rsidRPr="007E6AC4" w:rsidRDefault="00FE32DF">
                        <w:pPr>
                          <w:pStyle w:val="TableText"/>
                        </w:pPr>
                        <w:r>
                          <w:t>56.1% (n=238)</w:t>
                        </w:r>
                      </w:p>
                    </w:tc>
                  </w:tr>
                </w:tbl>
                <w:p w14:paraId="52B1653F" w14:textId="77777777" w:rsidR="00F20918" w:rsidRDefault="00F20918" w:rsidP="00F20918">
                  <w:pPr>
                    <w:pStyle w:val="Text"/>
                    <w:rPr>
                      <w:i/>
                      <w:sz w:val="20"/>
                      <w:szCs w:val="18"/>
                      <w:lang w:val="en-US"/>
                    </w:rPr>
                  </w:pPr>
                  <w:r w:rsidRPr="008E1B83">
                    <w:rPr>
                      <w:i/>
                      <w:sz w:val="20"/>
                      <w:szCs w:val="18"/>
                      <w:lang w:val="en-US"/>
                    </w:rPr>
                    <w:t>Source: DEX-SCORE data</w:t>
                  </w:r>
                </w:p>
                <w:p w14:paraId="7A85F31B" w14:textId="4C1C23EF" w:rsidR="00F20918" w:rsidRDefault="00ED2240" w:rsidP="00811E31">
                  <w:pPr>
                    <w:pStyle w:val="TableFigure-Header"/>
                    <w:spacing w:line="276" w:lineRule="auto"/>
                    <w:jc w:val="both"/>
                    <w:rPr>
                      <w:i/>
                      <w:sz w:val="20"/>
                    </w:rPr>
                  </w:pPr>
                  <w:r>
                    <w:t xml:space="preserve">Table </w:t>
                  </w:r>
                  <w:r w:rsidR="008D2566">
                    <w:fldChar w:fldCharType="begin"/>
                  </w:r>
                  <w:r w:rsidR="008D2566">
                    <w:instrText xml:space="preserve"> SEQ Table \* ARABIC </w:instrText>
                  </w:r>
                  <w:r w:rsidR="008D2566">
                    <w:fldChar w:fldCharType="separate"/>
                  </w:r>
                  <w:r w:rsidR="008D2566">
                    <w:rPr>
                      <w:noProof/>
                    </w:rPr>
                    <w:t>48</w:t>
                  </w:r>
                  <w:r w:rsidR="008D2566">
                    <w:rPr>
                      <w:noProof/>
                    </w:rPr>
                    <w:fldChar w:fldCharType="end"/>
                  </w:r>
                  <w:r>
                    <w:t xml:space="preserve">: </w:t>
                  </w:r>
                  <w:r w:rsidRPr="003346B3">
                    <w:t>Percentage of service users with positive SCORE change for specific Circumstance and Goal domains, SFVS, people with</w:t>
                  </w:r>
                  <w:r>
                    <w:t>out</w:t>
                  </w:r>
                  <w:r w:rsidRPr="003346B3">
                    <w:t xml:space="preserve"> disabilities, July 2021 to </w:t>
                  </w:r>
                  <w:r w:rsidR="7679DA93">
                    <w:t xml:space="preserve">June </w:t>
                  </w:r>
                  <w:r w:rsidRPr="003346B3">
                    <w:t>2024</w:t>
                  </w:r>
                </w:p>
                <w:tbl>
                  <w:tblPr>
                    <w:tblStyle w:val="TableGrid3"/>
                    <w:tblW w:w="5000" w:type="pct"/>
                    <w:tblLayout w:type="fixed"/>
                    <w:tblLook w:val="04A0" w:firstRow="1" w:lastRow="0" w:firstColumn="1" w:lastColumn="0" w:noHBand="0" w:noVBand="1"/>
                  </w:tblPr>
                  <w:tblGrid>
                    <w:gridCol w:w="1697"/>
                    <w:gridCol w:w="3826"/>
                    <w:gridCol w:w="3496"/>
                  </w:tblGrid>
                  <w:tr w:rsidR="00F20918" w:rsidRPr="00036888" w14:paraId="484731E0" w14:textId="77777777">
                    <w:trPr>
                      <w:trHeight w:val="298"/>
                    </w:trPr>
                    <w:tc>
                      <w:tcPr>
                        <w:tcW w:w="941" w:type="pct"/>
                        <w:shd w:val="clear" w:color="auto" w:fill="007E00" w:themeFill="accent3"/>
                        <w:noWrap/>
                        <w:hideMark/>
                      </w:tcPr>
                      <w:p w14:paraId="7FCC4F1C" w14:textId="77777777" w:rsidR="00F20918" w:rsidRPr="00F6254E" w:rsidRDefault="00F20918">
                        <w:pPr>
                          <w:pStyle w:val="TableText"/>
                          <w:rPr>
                            <w:b/>
                            <w:bCs/>
                            <w:color w:val="FFFFFF" w:themeColor="background1"/>
                          </w:rPr>
                        </w:pPr>
                        <w:r w:rsidRPr="00F6254E">
                          <w:rPr>
                            <w:b/>
                            <w:bCs/>
                            <w:color w:val="FFFFFF" w:themeColor="background1"/>
                          </w:rPr>
                          <w:t>Outcome Type</w:t>
                        </w:r>
                      </w:p>
                    </w:tc>
                    <w:tc>
                      <w:tcPr>
                        <w:tcW w:w="2121" w:type="pct"/>
                        <w:shd w:val="clear" w:color="auto" w:fill="007E00" w:themeFill="accent3"/>
                      </w:tcPr>
                      <w:p w14:paraId="5C03F28F" w14:textId="77777777" w:rsidR="00F20918" w:rsidRDefault="00F20918">
                        <w:pPr>
                          <w:pStyle w:val="TableText"/>
                          <w:rPr>
                            <w:b/>
                            <w:bCs/>
                            <w:color w:val="FFFFFF" w:themeColor="background1"/>
                          </w:rPr>
                        </w:pPr>
                        <w:r>
                          <w:rPr>
                            <w:b/>
                            <w:bCs/>
                            <w:color w:val="FFFFFF" w:themeColor="background1"/>
                          </w:rPr>
                          <w:t>Domain description</w:t>
                        </w:r>
                      </w:p>
                    </w:tc>
                    <w:tc>
                      <w:tcPr>
                        <w:tcW w:w="1938" w:type="pct"/>
                        <w:shd w:val="clear" w:color="auto" w:fill="007E00" w:themeFill="accent3"/>
                        <w:noWrap/>
                        <w:hideMark/>
                      </w:tcPr>
                      <w:p w14:paraId="1E7D4EDD" w14:textId="77777777" w:rsidR="00F20918" w:rsidRPr="00F6254E" w:rsidRDefault="00F20918">
                        <w:pPr>
                          <w:pStyle w:val="TableText"/>
                          <w:rPr>
                            <w:b/>
                            <w:bCs/>
                            <w:color w:val="FFFFFF" w:themeColor="background1"/>
                          </w:rPr>
                        </w:pPr>
                        <w:r>
                          <w:rPr>
                            <w:b/>
                            <w:bCs/>
                            <w:color w:val="FFFFFF" w:themeColor="background1"/>
                          </w:rPr>
                          <w:t xml:space="preserve">Service users </w:t>
                        </w:r>
                        <w:r w:rsidRPr="00F6254E">
                          <w:rPr>
                            <w:b/>
                            <w:bCs/>
                            <w:color w:val="FFFFFF" w:themeColor="background1"/>
                          </w:rPr>
                          <w:t>with positive mean change (%, n</w:t>
                        </w:r>
                        <w:r>
                          <w:rPr>
                            <w:b/>
                            <w:bCs/>
                            <w:color w:val="FFFFFF" w:themeColor="background1"/>
                          </w:rPr>
                          <w:t>=</w:t>
                        </w:r>
                        <w:r w:rsidRPr="00F6254E">
                          <w:rPr>
                            <w:b/>
                            <w:bCs/>
                            <w:color w:val="FFFFFF" w:themeColor="background1"/>
                          </w:rPr>
                          <w:t>)</w:t>
                        </w:r>
                      </w:p>
                    </w:tc>
                  </w:tr>
                  <w:tr w:rsidR="00C7040B" w:rsidRPr="00036888" w14:paraId="641CCCB6" w14:textId="77777777">
                    <w:trPr>
                      <w:trHeight w:val="298"/>
                    </w:trPr>
                    <w:tc>
                      <w:tcPr>
                        <w:tcW w:w="941" w:type="pct"/>
                        <w:vMerge w:val="restart"/>
                        <w:noWrap/>
                        <w:hideMark/>
                      </w:tcPr>
                      <w:p w14:paraId="6E51440D" w14:textId="77777777" w:rsidR="00C7040B" w:rsidRPr="008D0F42" w:rsidRDefault="00C7040B" w:rsidP="00C7040B">
                        <w:pPr>
                          <w:pStyle w:val="TableText"/>
                        </w:pPr>
                        <w:r w:rsidRPr="008D0F42">
                          <w:t>Circumstances</w:t>
                        </w:r>
                      </w:p>
                    </w:tc>
                    <w:tc>
                      <w:tcPr>
                        <w:tcW w:w="2121" w:type="pct"/>
                      </w:tcPr>
                      <w:p w14:paraId="3EAC9338" w14:textId="77777777" w:rsidR="00C7040B" w:rsidRPr="008D0F42" w:rsidRDefault="00C7040B" w:rsidP="00C7040B">
                        <w:pPr>
                          <w:pStyle w:val="TableText"/>
                        </w:pPr>
                        <w:r w:rsidRPr="008D0F42">
                          <w:t>Family functioning</w:t>
                        </w:r>
                      </w:p>
                    </w:tc>
                    <w:tc>
                      <w:tcPr>
                        <w:tcW w:w="1938" w:type="pct"/>
                        <w:noWrap/>
                        <w:hideMark/>
                      </w:tcPr>
                      <w:p w14:paraId="7D98A5C7" w14:textId="4ECB0307" w:rsidR="00C7040B" w:rsidRPr="008D0F42" w:rsidRDefault="00C7040B" w:rsidP="00C7040B">
                        <w:pPr>
                          <w:pStyle w:val="TableText"/>
                        </w:pPr>
                        <w:r w:rsidRPr="008E7F83">
                          <w:t>55.3% (n=2</w:t>
                        </w:r>
                        <w:r w:rsidR="00BA4A1B">
                          <w:t>,</w:t>
                        </w:r>
                        <w:r w:rsidRPr="008E7F83">
                          <w:t>585)</w:t>
                        </w:r>
                      </w:p>
                    </w:tc>
                  </w:tr>
                  <w:tr w:rsidR="00C7040B" w:rsidRPr="00036888" w14:paraId="3BB81D40" w14:textId="77777777">
                    <w:trPr>
                      <w:trHeight w:val="298"/>
                    </w:trPr>
                    <w:tc>
                      <w:tcPr>
                        <w:tcW w:w="941" w:type="pct"/>
                        <w:vMerge/>
                        <w:noWrap/>
                      </w:tcPr>
                      <w:p w14:paraId="3FE6410D" w14:textId="77777777" w:rsidR="00C7040B" w:rsidRPr="008D0F42" w:rsidRDefault="00C7040B" w:rsidP="00C7040B">
                        <w:pPr>
                          <w:pStyle w:val="TableText"/>
                        </w:pPr>
                      </w:p>
                    </w:tc>
                    <w:tc>
                      <w:tcPr>
                        <w:tcW w:w="2121" w:type="pct"/>
                      </w:tcPr>
                      <w:p w14:paraId="7F5A6EE1" w14:textId="77777777" w:rsidR="00C7040B" w:rsidRPr="008D0F42" w:rsidRDefault="00C7040B" w:rsidP="00C7040B">
                        <w:pPr>
                          <w:pStyle w:val="TableText"/>
                        </w:pPr>
                        <w:r w:rsidRPr="3DEE28EC">
                          <w:rPr>
                            <w:lang w:val="en-NZ"/>
                          </w:rPr>
                          <w:t>Mental health, wellbeing and self-care</w:t>
                        </w:r>
                      </w:p>
                    </w:tc>
                    <w:tc>
                      <w:tcPr>
                        <w:tcW w:w="1938" w:type="pct"/>
                        <w:noWrap/>
                      </w:tcPr>
                      <w:p w14:paraId="4B5CA1CD" w14:textId="5D3FF789" w:rsidR="00C7040B" w:rsidRPr="008D0F42" w:rsidRDefault="00C7040B" w:rsidP="00C7040B">
                        <w:pPr>
                          <w:pStyle w:val="TableText"/>
                        </w:pPr>
                        <w:r w:rsidRPr="008E7F83">
                          <w:t>56.0% (n=2</w:t>
                        </w:r>
                        <w:r w:rsidR="00BA4A1B">
                          <w:t>,</w:t>
                        </w:r>
                        <w:r w:rsidRPr="008E7F83">
                          <w:t>719)</w:t>
                        </w:r>
                      </w:p>
                    </w:tc>
                  </w:tr>
                  <w:tr w:rsidR="00C7040B" w:rsidRPr="00036888" w14:paraId="529E79A5" w14:textId="77777777">
                    <w:trPr>
                      <w:trHeight w:val="298"/>
                    </w:trPr>
                    <w:tc>
                      <w:tcPr>
                        <w:tcW w:w="941" w:type="pct"/>
                        <w:vMerge/>
                        <w:noWrap/>
                      </w:tcPr>
                      <w:p w14:paraId="2146E9AF" w14:textId="77777777" w:rsidR="00C7040B" w:rsidRPr="008D0F42" w:rsidRDefault="00C7040B" w:rsidP="00C7040B">
                        <w:pPr>
                          <w:pStyle w:val="TableText"/>
                        </w:pPr>
                      </w:p>
                    </w:tc>
                    <w:tc>
                      <w:tcPr>
                        <w:tcW w:w="2121" w:type="pct"/>
                      </w:tcPr>
                      <w:p w14:paraId="387F925A" w14:textId="77777777" w:rsidR="00C7040B" w:rsidRPr="008D0F42" w:rsidRDefault="00C7040B" w:rsidP="00C7040B">
                        <w:pPr>
                          <w:pStyle w:val="TableText"/>
                        </w:pPr>
                        <w:r w:rsidRPr="008D0F42">
                          <w:t>Personal and family safety</w:t>
                        </w:r>
                      </w:p>
                    </w:tc>
                    <w:tc>
                      <w:tcPr>
                        <w:tcW w:w="1938" w:type="pct"/>
                        <w:noWrap/>
                      </w:tcPr>
                      <w:p w14:paraId="111E4DE1" w14:textId="7A08345C" w:rsidR="00C7040B" w:rsidRPr="008D0F42" w:rsidRDefault="00C7040B" w:rsidP="00C7040B">
                        <w:pPr>
                          <w:pStyle w:val="TableText"/>
                        </w:pPr>
                        <w:r w:rsidRPr="008E7F83">
                          <w:t>56.6% (n=3</w:t>
                        </w:r>
                        <w:r w:rsidR="00BA4A1B">
                          <w:t>,</w:t>
                        </w:r>
                        <w:r w:rsidRPr="008E7F83">
                          <w:t>063)</w:t>
                        </w:r>
                      </w:p>
                    </w:tc>
                  </w:tr>
                  <w:tr w:rsidR="00C7040B" w:rsidRPr="00036888" w14:paraId="0006DC23" w14:textId="77777777">
                    <w:trPr>
                      <w:trHeight w:val="298"/>
                    </w:trPr>
                    <w:tc>
                      <w:tcPr>
                        <w:tcW w:w="941" w:type="pct"/>
                        <w:vMerge w:val="restart"/>
                        <w:noWrap/>
                      </w:tcPr>
                      <w:p w14:paraId="24AD7EAB" w14:textId="77777777" w:rsidR="00C7040B" w:rsidRPr="008D0F42" w:rsidRDefault="00C7040B" w:rsidP="00C7040B">
                        <w:pPr>
                          <w:pStyle w:val="TableText"/>
                        </w:pPr>
                        <w:r w:rsidRPr="008D0F42">
                          <w:t>Goals</w:t>
                        </w:r>
                      </w:p>
                    </w:tc>
                    <w:tc>
                      <w:tcPr>
                        <w:tcW w:w="2121" w:type="pct"/>
                      </w:tcPr>
                      <w:p w14:paraId="2EE123CA" w14:textId="77777777" w:rsidR="00C7040B" w:rsidRPr="008D0F42" w:rsidRDefault="00C7040B" w:rsidP="00C7040B">
                        <w:pPr>
                          <w:pStyle w:val="TableText"/>
                        </w:pPr>
                        <w:r w:rsidRPr="00D63E8D">
                          <w:t>Changed behaviours</w:t>
                        </w:r>
                      </w:p>
                    </w:tc>
                    <w:tc>
                      <w:tcPr>
                        <w:tcW w:w="1938" w:type="pct"/>
                        <w:noWrap/>
                      </w:tcPr>
                      <w:p w14:paraId="0E26C2AB" w14:textId="08C5DACC" w:rsidR="00C7040B" w:rsidRPr="008D0F42" w:rsidRDefault="00C7040B" w:rsidP="00C7040B">
                        <w:pPr>
                          <w:pStyle w:val="TableText"/>
                        </w:pPr>
                        <w:r w:rsidRPr="008E7F83">
                          <w:t>57.1% (n=1</w:t>
                        </w:r>
                        <w:r w:rsidR="00BA4A1B">
                          <w:t>,</w:t>
                        </w:r>
                        <w:r w:rsidRPr="008E7F83">
                          <w:t>891)</w:t>
                        </w:r>
                      </w:p>
                    </w:tc>
                  </w:tr>
                  <w:tr w:rsidR="00C7040B" w:rsidRPr="00036888" w14:paraId="422915A8" w14:textId="77777777">
                    <w:trPr>
                      <w:trHeight w:val="298"/>
                    </w:trPr>
                    <w:tc>
                      <w:tcPr>
                        <w:tcW w:w="941" w:type="pct"/>
                        <w:vMerge/>
                        <w:noWrap/>
                      </w:tcPr>
                      <w:p w14:paraId="2237DF2B" w14:textId="77777777" w:rsidR="00C7040B" w:rsidRPr="008D0F42" w:rsidRDefault="00C7040B" w:rsidP="00C7040B">
                        <w:pPr>
                          <w:pStyle w:val="TableText"/>
                        </w:pPr>
                      </w:p>
                    </w:tc>
                    <w:tc>
                      <w:tcPr>
                        <w:tcW w:w="2121" w:type="pct"/>
                      </w:tcPr>
                      <w:p w14:paraId="54792DCB" w14:textId="77777777" w:rsidR="00C7040B" w:rsidRPr="008D0F42" w:rsidRDefault="00C7040B" w:rsidP="00C7040B">
                        <w:pPr>
                          <w:pStyle w:val="TableText"/>
                        </w:pPr>
                        <w:r w:rsidRPr="00D63E8D">
                          <w:t>Changed impact of immediate crisis</w:t>
                        </w:r>
                      </w:p>
                    </w:tc>
                    <w:tc>
                      <w:tcPr>
                        <w:tcW w:w="1938" w:type="pct"/>
                        <w:noWrap/>
                      </w:tcPr>
                      <w:p w14:paraId="47DE9C90" w14:textId="4A3B5BD0" w:rsidR="00C7040B" w:rsidRPr="008D0F42" w:rsidRDefault="00C7040B" w:rsidP="00C7040B">
                        <w:pPr>
                          <w:pStyle w:val="TableText"/>
                        </w:pPr>
                        <w:r w:rsidRPr="008E7F83">
                          <w:t>66.4% (n=1</w:t>
                        </w:r>
                        <w:r w:rsidR="00BA4A1B">
                          <w:t>,</w:t>
                        </w:r>
                        <w:r w:rsidRPr="008E7F83">
                          <w:t>586)</w:t>
                        </w:r>
                      </w:p>
                    </w:tc>
                  </w:tr>
                  <w:tr w:rsidR="00C7040B" w:rsidRPr="00036888" w14:paraId="2015DF66" w14:textId="77777777">
                    <w:trPr>
                      <w:trHeight w:val="298"/>
                    </w:trPr>
                    <w:tc>
                      <w:tcPr>
                        <w:tcW w:w="941" w:type="pct"/>
                        <w:vMerge/>
                        <w:noWrap/>
                      </w:tcPr>
                      <w:p w14:paraId="3D30A39A" w14:textId="77777777" w:rsidR="00C7040B" w:rsidRPr="008D0F42" w:rsidRDefault="00C7040B" w:rsidP="00C7040B">
                        <w:pPr>
                          <w:pStyle w:val="TableText"/>
                        </w:pPr>
                      </w:p>
                    </w:tc>
                    <w:tc>
                      <w:tcPr>
                        <w:tcW w:w="2121" w:type="pct"/>
                      </w:tcPr>
                      <w:p w14:paraId="0E010F0F" w14:textId="77777777" w:rsidR="00C7040B" w:rsidRPr="008D0F42" w:rsidRDefault="00C7040B" w:rsidP="00C7040B">
                        <w:pPr>
                          <w:pStyle w:val="TableText"/>
                        </w:pPr>
                        <w:r w:rsidRPr="00D63E8D">
                          <w:t>Changed knowledge and access to information</w:t>
                        </w:r>
                      </w:p>
                    </w:tc>
                    <w:tc>
                      <w:tcPr>
                        <w:tcW w:w="1938" w:type="pct"/>
                        <w:noWrap/>
                      </w:tcPr>
                      <w:p w14:paraId="59AB6A32" w14:textId="623E0DBB" w:rsidR="00C7040B" w:rsidRPr="008D0F42" w:rsidRDefault="00C7040B" w:rsidP="00C7040B">
                        <w:pPr>
                          <w:pStyle w:val="TableText"/>
                        </w:pPr>
                        <w:r w:rsidRPr="008E7F83">
                          <w:t>63.5% (n=2</w:t>
                        </w:r>
                        <w:r w:rsidR="00BA4A1B">
                          <w:t>,</w:t>
                        </w:r>
                        <w:r w:rsidRPr="008E7F83">
                          <w:t>374)</w:t>
                        </w:r>
                      </w:p>
                    </w:tc>
                  </w:tr>
                  <w:tr w:rsidR="00C7040B" w:rsidRPr="00036888" w14:paraId="52BE5A16" w14:textId="77777777">
                    <w:trPr>
                      <w:trHeight w:val="298"/>
                    </w:trPr>
                    <w:tc>
                      <w:tcPr>
                        <w:tcW w:w="941" w:type="pct"/>
                        <w:vMerge/>
                        <w:noWrap/>
                      </w:tcPr>
                      <w:p w14:paraId="022820BA" w14:textId="77777777" w:rsidR="00C7040B" w:rsidRPr="008D0F42" w:rsidRDefault="00C7040B" w:rsidP="00C7040B">
                        <w:pPr>
                          <w:pStyle w:val="TableText"/>
                        </w:pPr>
                      </w:p>
                    </w:tc>
                    <w:tc>
                      <w:tcPr>
                        <w:tcW w:w="2121" w:type="pct"/>
                      </w:tcPr>
                      <w:p w14:paraId="587C3CC9" w14:textId="77777777" w:rsidR="00C7040B" w:rsidRPr="008D0F42" w:rsidRDefault="00C7040B" w:rsidP="00C7040B">
                        <w:pPr>
                          <w:pStyle w:val="TableText"/>
                        </w:pPr>
                        <w:r w:rsidRPr="00D63E8D">
                          <w:t>Changed skills</w:t>
                        </w:r>
                      </w:p>
                    </w:tc>
                    <w:tc>
                      <w:tcPr>
                        <w:tcW w:w="1938" w:type="pct"/>
                        <w:noWrap/>
                      </w:tcPr>
                      <w:p w14:paraId="3134D439" w14:textId="01A1B09B" w:rsidR="00C7040B" w:rsidRPr="008D0F42" w:rsidRDefault="00C7040B" w:rsidP="00C7040B">
                        <w:pPr>
                          <w:pStyle w:val="TableText"/>
                        </w:pPr>
                        <w:r w:rsidRPr="008E7F83">
                          <w:t>59.3% (n=2</w:t>
                        </w:r>
                        <w:r w:rsidR="00BA4A1B">
                          <w:t>,</w:t>
                        </w:r>
                        <w:r w:rsidRPr="008E7F83">
                          <w:t>028)</w:t>
                        </w:r>
                      </w:p>
                    </w:tc>
                  </w:tr>
                  <w:tr w:rsidR="00C7040B" w:rsidRPr="00036888" w14:paraId="42159EDB" w14:textId="77777777">
                    <w:trPr>
                      <w:trHeight w:val="298"/>
                    </w:trPr>
                    <w:tc>
                      <w:tcPr>
                        <w:tcW w:w="941" w:type="pct"/>
                        <w:vMerge/>
                        <w:noWrap/>
                      </w:tcPr>
                      <w:p w14:paraId="6B92CD7D" w14:textId="77777777" w:rsidR="00C7040B" w:rsidRPr="008D0F42" w:rsidRDefault="00C7040B" w:rsidP="00C7040B">
                        <w:pPr>
                          <w:pStyle w:val="TableText"/>
                        </w:pPr>
                      </w:p>
                    </w:tc>
                    <w:tc>
                      <w:tcPr>
                        <w:tcW w:w="2121" w:type="pct"/>
                      </w:tcPr>
                      <w:p w14:paraId="79E229E5" w14:textId="77777777" w:rsidR="00C7040B" w:rsidRPr="008D0F42" w:rsidRDefault="00C7040B" w:rsidP="00C7040B">
                        <w:pPr>
                          <w:pStyle w:val="TableText"/>
                        </w:pPr>
                        <w:r w:rsidRPr="03FAA4E2">
                          <w:rPr>
                            <w:lang w:val="en-NZ"/>
                          </w:rPr>
                          <w:t>Empowerment, choice and control to make own decisions</w:t>
                        </w:r>
                      </w:p>
                    </w:tc>
                    <w:tc>
                      <w:tcPr>
                        <w:tcW w:w="1938" w:type="pct"/>
                        <w:noWrap/>
                      </w:tcPr>
                      <w:p w14:paraId="746E2F33" w14:textId="3300CC7A" w:rsidR="00C7040B" w:rsidRPr="008D0F42" w:rsidRDefault="00C7040B" w:rsidP="00C7040B">
                        <w:pPr>
                          <w:pStyle w:val="TableText"/>
                        </w:pPr>
                        <w:r w:rsidRPr="008E7F83">
                          <w:t>62.3% (n=2</w:t>
                        </w:r>
                        <w:r w:rsidR="00BA4A1B">
                          <w:t>,</w:t>
                        </w:r>
                        <w:r w:rsidRPr="008E7F83">
                          <w:t>302)</w:t>
                        </w:r>
                      </w:p>
                    </w:tc>
                  </w:tr>
                  <w:tr w:rsidR="00C7040B" w:rsidRPr="00036888" w14:paraId="18908D24" w14:textId="77777777">
                    <w:trPr>
                      <w:trHeight w:val="298"/>
                    </w:trPr>
                    <w:tc>
                      <w:tcPr>
                        <w:tcW w:w="941" w:type="pct"/>
                        <w:vMerge/>
                        <w:noWrap/>
                      </w:tcPr>
                      <w:p w14:paraId="527BFD9E" w14:textId="77777777" w:rsidR="00C7040B" w:rsidRPr="008D0F42" w:rsidRDefault="00C7040B" w:rsidP="00C7040B">
                        <w:pPr>
                          <w:pStyle w:val="TableText"/>
                        </w:pPr>
                      </w:p>
                    </w:tc>
                    <w:tc>
                      <w:tcPr>
                        <w:tcW w:w="2121" w:type="pct"/>
                      </w:tcPr>
                      <w:p w14:paraId="79BD69DE" w14:textId="77777777" w:rsidR="00C7040B" w:rsidRPr="008D0F42" w:rsidRDefault="00C7040B" w:rsidP="00C7040B">
                        <w:pPr>
                          <w:pStyle w:val="TableText"/>
                        </w:pPr>
                        <w:r w:rsidRPr="00D63E8D">
                          <w:t>Engagement with relevant support services</w:t>
                        </w:r>
                      </w:p>
                    </w:tc>
                    <w:tc>
                      <w:tcPr>
                        <w:tcW w:w="1938" w:type="pct"/>
                        <w:noWrap/>
                      </w:tcPr>
                      <w:p w14:paraId="729350D2" w14:textId="40B13791" w:rsidR="00C7040B" w:rsidRPr="008D0F42" w:rsidRDefault="00C7040B" w:rsidP="00C7040B">
                        <w:pPr>
                          <w:pStyle w:val="TableText"/>
                        </w:pPr>
                        <w:r w:rsidRPr="008E7F83">
                          <w:t>58.6% (n=1</w:t>
                        </w:r>
                        <w:r w:rsidR="00BA4A1B">
                          <w:t>,</w:t>
                        </w:r>
                        <w:r w:rsidRPr="008E7F83">
                          <w:t>595)</w:t>
                        </w:r>
                      </w:p>
                    </w:tc>
                  </w:tr>
                </w:tbl>
                <w:p w14:paraId="7C835380" w14:textId="77777777" w:rsidR="00F20918" w:rsidRPr="00A44F28" w:rsidRDefault="00F20918" w:rsidP="00F20918">
                  <w:pPr>
                    <w:pStyle w:val="Text"/>
                    <w:rPr>
                      <w:i/>
                      <w:sz w:val="20"/>
                      <w:szCs w:val="18"/>
                      <w:lang w:val="en-US"/>
                    </w:rPr>
                  </w:pPr>
                  <w:r w:rsidRPr="008E1B83">
                    <w:rPr>
                      <w:i/>
                      <w:sz w:val="20"/>
                      <w:szCs w:val="18"/>
                      <w:lang w:val="en-US"/>
                    </w:rPr>
                    <w:t>Source: DEX-SCORE data</w:t>
                  </w:r>
                </w:p>
                <w:p w14:paraId="43971BA2" w14:textId="58A1A1EC" w:rsidR="00556B61" w:rsidRDefault="00556B61" w:rsidP="00332E20">
                  <w:pPr>
                    <w:pStyle w:val="Text"/>
                    <w:rPr>
                      <w:rStyle w:val="normaltextrun"/>
                      <w:rFonts w:ascii="Arial" w:hAnsi="Arial" w:cs="Arial"/>
                      <w:szCs w:val="22"/>
                      <w:shd w:val="clear" w:color="auto" w:fill="FFFFFF"/>
                      <w:lang w:val="en-GB"/>
                    </w:rPr>
                  </w:pPr>
                  <w:r>
                    <w:rPr>
                      <w:rStyle w:val="normaltextrun"/>
                      <w:rFonts w:ascii="Arial" w:hAnsi="Arial" w:cs="Arial"/>
                      <w:szCs w:val="22"/>
                      <w:shd w:val="clear" w:color="auto" w:fill="FFFFFF"/>
                      <w:lang w:val="en-GB"/>
                    </w:rPr>
                    <w:t xml:space="preserve">There is evidence that service users with disability received more intensive </w:t>
                  </w:r>
                  <w:r w:rsidR="006019A1">
                    <w:rPr>
                      <w:rStyle w:val="normaltextrun"/>
                      <w:rFonts w:ascii="Arial" w:hAnsi="Arial" w:cs="Arial"/>
                      <w:szCs w:val="22"/>
                      <w:shd w:val="clear" w:color="auto" w:fill="FFFFFF"/>
                      <w:lang w:val="en-GB"/>
                    </w:rPr>
                    <w:t xml:space="preserve">services </w:t>
                  </w:r>
                  <w:r>
                    <w:rPr>
                      <w:rStyle w:val="normaltextrun"/>
                      <w:rFonts w:ascii="Arial" w:hAnsi="Arial" w:cs="Arial"/>
                      <w:szCs w:val="22"/>
                      <w:shd w:val="clear" w:color="auto" w:fill="FFFFFF"/>
                      <w:lang w:val="en-GB"/>
                    </w:rPr>
                    <w:t xml:space="preserve">than those without disability. While people with disability constituted 9.7% of FaRS service users, they received 17.2% of sessions. The pattern is similar – if less pronounced – for SFVS, in which people with disability comprise 11.4% of service users and 15.5% of sessions. </w:t>
                  </w:r>
                </w:p>
                <w:p w14:paraId="19357659" w14:textId="0BF81D05" w:rsidR="00332E20" w:rsidRDefault="00332E20" w:rsidP="00332E20">
                  <w:pPr>
                    <w:pStyle w:val="Text"/>
                    <w:rPr>
                      <w:rStyle w:val="eop"/>
                      <w:rFonts w:ascii="Arial" w:hAnsi="Arial" w:cs="Arial"/>
                      <w:b/>
                      <w:szCs w:val="22"/>
                      <w:shd w:val="clear" w:color="auto" w:fill="FFFFFF"/>
                    </w:rPr>
                  </w:pPr>
                  <w:r>
                    <w:rPr>
                      <w:rStyle w:val="normaltextrun"/>
                      <w:rFonts w:ascii="Arial" w:hAnsi="Arial" w:cs="Arial"/>
                      <w:szCs w:val="22"/>
                      <w:shd w:val="clear" w:color="auto" w:fill="FFFFFF"/>
                      <w:lang w:val="en-GB"/>
                    </w:rPr>
                    <w:t xml:space="preserve">Several services, including an MBCP service, described adapting programs to suit people with disability including offering virtual access options and providing one on one rather than group </w:t>
                  </w:r>
                  <w:r>
                    <w:rPr>
                      <w:rStyle w:val="normaltextrun"/>
                      <w:rFonts w:ascii="Arial" w:hAnsi="Arial" w:cs="Arial"/>
                      <w:szCs w:val="22"/>
                      <w:shd w:val="clear" w:color="auto" w:fill="FFFFFF"/>
                      <w:lang w:val="en-GB"/>
                    </w:rPr>
                    <w:lastRenderedPageBreak/>
                    <w:t xml:space="preserve">sessions. This reinforced findings from the literature about accessibility and structural and operational flexibility to address the needs of service users with disability </w:t>
                  </w:r>
                  <w:r>
                    <w:rPr>
                      <w:rStyle w:val="normaltextrun"/>
                      <w:rFonts w:ascii="Arial" w:hAnsi="Arial" w:cs="Arial"/>
                      <w:szCs w:val="22"/>
                      <w:shd w:val="clear" w:color="auto" w:fill="FFFFFF"/>
                      <w:lang w:val="en-GB"/>
                    </w:rPr>
                    <w:fldChar w:fldCharType="begin"/>
                  </w:r>
                  <w:r w:rsidR="00E41D03">
                    <w:rPr>
                      <w:rStyle w:val="normaltextrun"/>
                      <w:rFonts w:ascii="Arial" w:hAnsi="Arial" w:cs="Arial"/>
                      <w:szCs w:val="22"/>
                      <w:shd w:val="clear" w:color="auto" w:fill="FFFFFF"/>
                      <w:lang w:val="en-GB"/>
                    </w:rPr>
                    <w:instrText xml:space="preserve"> ADDIN ZOTERO_ITEM CSL_CITATION {"citationID":"PtJzobCV","properties":{"formattedCitation":"(Robinson et al., 2021)","plainCitation":"(Robinson et al., 2021)","noteIndex":0},"citationItems":[{"id":4760,"uris":["http://zotero.org/groups/5691188/items/XSXD49NA"],"itemData":{"id":4760,"type":"article-journal","abstract":"Women with disabilities experiencing violence can face challenges accessing domestic and family violence (DFV) services. Our research explored how these services understood and operationalized access for women with disabilities. In this article, we use Levesque, Harris, and Russell’s access framework to show how to be accessible to women with disabilities, and DFV services can widen the lens of access and accessibility to respond to women’s own priorities. These centered around appropriateness, approachability, and acceptability. Addressing these broader issues of access in policy and practice alongside disability-specific needs can better align what services offer and what women need.","container-title":"Violence Against Women","DOI":"10.1177/1077801220909890","ISSN":"1077-8012, 1552-8448","issue":"6-7","journalAbbreviation":"Violence Against Women","language":"en","page":"918-936","source":"DOI.org (Crossref)","title":"Access and Accessibility in Domestic and Family Violence Services for Women With Disabilities: Widening the Lens","title-short":"Access and Accessibility in Domestic and Family Violence Services for Women With Disabilities","volume":"27","author":[{"family":"Robinson","given":"Sally"},{"family":"Frawley","given":"Patsie"},{"family":"Dyson","given":"Sue"}],"issued":{"date-parts":[["2021",5]]}}}],"schema":"https://github.com/citation-style-language/schema/raw/master/csl-citation.json"} </w:instrText>
                  </w:r>
                  <w:r>
                    <w:rPr>
                      <w:rStyle w:val="normaltextrun"/>
                      <w:rFonts w:ascii="Arial" w:hAnsi="Arial" w:cs="Arial"/>
                      <w:szCs w:val="22"/>
                      <w:shd w:val="clear" w:color="auto" w:fill="FFFFFF"/>
                      <w:lang w:val="en-GB"/>
                    </w:rPr>
                    <w:fldChar w:fldCharType="separate"/>
                  </w:r>
                  <w:r w:rsidRPr="004E663E">
                    <w:rPr>
                      <w:rFonts w:ascii="Arial" w:hAnsi="Arial" w:cs="Arial"/>
                    </w:rPr>
                    <w:t>(Robinson et al., 2021)</w:t>
                  </w:r>
                  <w:r>
                    <w:rPr>
                      <w:rStyle w:val="normaltextrun"/>
                      <w:rFonts w:ascii="Arial" w:hAnsi="Arial" w:cs="Arial"/>
                      <w:szCs w:val="22"/>
                      <w:shd w:val="clear" w:color="auto" w:fill="FFFFFF"/>
                      <w:lang w:val="en-GB"/>
                    </w:rPr>
                    <w:fldChar w:fldCharType="end"/>
                  </w:r>
                  <w:r>
                    <w:rPr>
                      <w:rStyle w:val="normaltextrun"/>
                      <w:rFonts w:ascii="Arial" w:hAnsi="Arial" w:cs="Arial"/>
                      <w:szCs w:val="22"/>
                      <w:shd w:val="clear" w:color="auto" w:fill="FFFFFF"/>
                      <w:lang w:val="en-GB"/>
                    </w:rPr>
                    <w:t>.</w:t>
                  </w:r>
                </w:p>
                <w:p w14:paraId="3309EBDB" w14:textId="2A1513C7" w:rsidR="00332E20" w:rsidRPr="007B623E" w:rsidRDefault="00332E20" w:rsidP="00332E20">
                  <w:pPr>
                    <w:pBdr>
                      <w:left w:val="single" w:sz="18" w:space="4" w:color="78B800" w:themeColor="accent1"/>
                    </w:pBdr>
                    <w:tabs>
                      <w:tab w:val="left" w:pos="8080"/>
                    </w:tabs>
                    <w:spacing w:after="0"/>
                    <w:ind w:left="851" w:right="949"/>
                    <w:rPr>
                      <w:i/>
                      <w:iCs/>
                    </w:rPr>
                  </w:pPr>
                  <w:r w:rsidRPr="00E378F8">
                    <w:rPr>
                      <w:i/>
                      <w:noProof/>
                    </w:rPr>
                    <w:drawing>
                      <wp:anchor distT="0" distB="0" distL="114300" distR="114300" simplePos="0" relativeHeight="251658391" behindDoc="0" locked="1" layoutInCell="1" allowOverlap="1" wp14:anchorId="1EA9FAE4" wp14:editId="7A8E7E72">
                        <wp:simplePos x="0" y="0"/>
                        <wp:positionH relativeFrom="column">
                          <wp:posOffset>0</wp:posOffset>
                        </wp:positionH>
                        <wp:positionV relativeFrom="paragraph">
                          <wp:posOffset>0</wp:posOffset>
                        </wp:positionV>
                        <wp:extent cx="384810" cy="320040"/>
                        <wp:effectExtent l="0" t="0" r="0" b="3810"/>
                        <wp:wrapNone/>
                        <wp:docPr id="829583540" name="Graphic 829583540" descr="P4176#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583540" name="Graphic 829583540" descr="P4176#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378F8">
                    <w:rPr>
                      <w:i/>
                    </w:rPr>
                    <w:t xml:space="preserve"> [</w:t>
                  </w:r>
                  <w:r w:rsidR="00FE6D6F">
                    <w:rPr>
                      <w:i/>
                    </w:rPr>
                    <w:t>W</w:t>
                  </w:r>
                  <w:r w:rsidRPr="00E378F8">
                    <w:rPr>
                      <w:i/>
                    </w:rPr>
                    <w:t xml:space="preserve">e] work with clients with assorted disabilities – work to adapt programs accordingly, practitioners adapt on an individual basis. We also give options on how they can do intake, including encouraging them to do it </w:t>
                  </w:r>
                  <w:r>
                    <w:rPr>
                      <w:i/>
                    </w:rPr>
                    <w:t>in-person</w:t>
                  </w:r>
                  <w:r w:rsidRPr="00E378F8">
                    <w:rPr>
                      <w:i/>
                    </w:rPr>
                    <w:t xml:space="preserve"> if we think they will face barriers to completion</w:t>
                  </w:r>
                  <w:r>
                    <w:t xml:space="preserve"> </w:t>
                  </w:r>
                  <w:r w:rsidRPr="002E7992">
                    <w:rPr>
                      <w:b/>
                      <w:bCs/>
                      <w:i/>
                      <w:iCs/>
                    </w:rPr>
                    <w:t>–</w:t>
                  </w:r>
                  <w:r>
                    <w:rPr>
                      <w:b/>
                      <w:bCs/>
                      <w:i/>
                      <w:iCs/>
                    </w:rPr>
                    <w:t xml:space="preserve"> </w:t>
                  </w:r>
                  <w:r w:rsidR="005674C7">
                    <w:rPr>
                      <w:b/>
                      <w:i/>
                    </w:rPr>
                    <w:t xml:space="preserve">FaRS </w:t>
                  </w:r>
                  <w:r>
                    <w:rPr>
                      <w:b/>
                      <w:bCs/>
                      <w:i/>
                      <w:iCs/>
                    </w:rPr>
                    <w:t>s</w:t>
                  </w:r>
                  <w:r w:rsidRPr="002E7992">
                    <w:rPr>
                      <w:b/>
                      <w:bCs/>
                      <w:i/>
                      <w:iCs/>
                    </w:rPr>
                    <w:t xml:space="preserve">ervice </w:t>
                  </w:r>
                  <w:r>
                    <w:rPr>
                      <w:b/>
                      <w:bCs/>
                      <w:i/>
                      <w:iCs/>
                    </w:rPr>
                    <w:t>provider</w:t>
                  </w:r>
                </w:p>
                <w:p w14:paraId="100E8C9F" w14:textId="77777777" w:rsidR="00332E20" w:rsidRDefault="00332E20" w:rsidP="005674C7">
                  <w:pPr>
                    <w:pStyle w:val="Text"/>
                    <w:rPr>
                      <w:rStyle w:val="normaltextrun"/>
                      <w:rFonts w:ascii="Arial" w:hAnsi="Arial" w:cs="Arial"/>
                      <w:szCs w:val="22"/>
                      <w:shd w:val="clear" w:color="auto" w:fill="FFFFFF"/>
                      <w:lang w:val="en-GB"/>
                    </w:rPr>
                  </w:pPr>
                </w:p>
                <w:p w14:paraId="76B97166" w14:textId="05A47B15" w:rsidR="00386CB4" w:rsidRDefault="00386CB4" w:rsidP="00386CB4">
                  <w:pPr>
                    <w:pStyle w:val="Text"/>
                    <w:rPr>
                      <w:lang w:val="en-US"/>
                    </w:rPr>
                  </w:pPr>
                  <w:r>
                    <w:rPr>
                      <w:lang w:val="en-US"/>
                    </w:rPr>
                    <w:t xml:space="preserve">Service users made positive comments about the approach of service workers in making adjustments and using </w:t>
                  </w:r>
                  <w:r w:rsidR="001D1403">
                    <w:rPr>
                      <w:lang w:val="en-US"/>
                    </w:rPr>
                    <w:t>service user</w:t>
                  </w:r>
                  <w:r>
                    <w:rPr>
                      <w:lang w:val="en-US"/>
                    </w:rPr>
                    <w:t>-centered approaches which showed understanding about disability, including hidden disabilities.</w:t>
                  </w:r>
                </w:p>
                <w:p w14:paraId="43405DE6" w14:textId="12129A8A" w:rsidR="00386CB4" w:rsidRPr="007B623E" w:rsidRDefault="00386CB4" w:rsidP="00386CB4">
                  <w:pPr>
                    <w:pBdr>
                      <w:left w:val="single" w:sz="18" w:space="4" w:color="78B800" w:themeColor="accent1"/>
                    </w:pBdr>
                    <w:tabs>
                      <w:tab w:val="left" w:pos="8080"/>
                    </w:tabs>
                    <w:spacing w:after="0"/>
                    <w:ind w:left="851" w:right="949"/>
                    <w:rPr>
                      <w:i/>
                      <w:iCs/>
                    </w:rPr>
                  </w:pPr>
                  <w:r w:rsidRPr="002E7992">
                    <w:rPr>
                      <w:noProof/>
                    </w:rPr>
                    <w:drawing>
                      <wp:anchor distT="0" distB="0" distL="114300" distR="114300" simplePos="0" relativeHeight="251658392" behindDoc="0" locked="1" layoutInCell="1" allowOverlap="1" wp14:anchorId="3E25E75A" wp14:editId="5CCBFA7C">
                        <wp:simplePos x="0" y="0"/>
                        <wp:positionH relativeFrom="column">
                          <wp:posOffset>0</wp:posOffset>
                        </wp:positionH>
                        <wp:positionV relativeFrom="paragraph">
                          <wp:posOffset>0</wp:posOffset>
                        </wp:positionV>
                        <wp:extent cx="384810" cy="320040"/>
                        <wp:effectExtent l="0" t="0" r="0" b="3810"/>
                        <wp:wrapNone/>
                        <wp:docPr id="1188386338" name="Graphic 1188386338" descr="P4179#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386338" name="Graphic 1188386338" descr="P4179#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C3C4C">
                    <w:t xml:space="preserve"> </w:t>
                  </w:r>
                  <w:r>
                    <w:rPr>
                      <w:i/>
                      <w:iCs/>
                    </w:rPr>
                    <w:t xml:space="preserve">They’re very well versed in hidden disabilities including mental health and autism </w:t>
                  </w:r>
                  <w:r w:rsidRPr="002E7992">
                    <w:rPr>
                      <w:b/>
                      <w:bCs/>
                      <w:i/>
                      <w:iCs/>
                    </w:rPr>
                    <w:t>–</w:t>
                  </w:r>
                  <w:r w:rsidR="005674C7">
                    <w:rPr>
                      <w:b/>
                      <w:bCs/>
                      <w:i/>
                      <w:iCs/>
                    </w:rPr>
                    <w:t xml:space="preserve"> FaRS </w:t>
                  </w:r>
                  <w:r>
                    <w:rPr>
                      <w:b/>
                      <w:bCs/>
                      <w:i/>
                      <w:iCs/>
                    </w:rPr>
                    <w:t>s</w:t>
                  </w:r>
                  <w:r w:rsidRPr="002E7992">
                    <w:rPr>
                      <w:b/>
                      <w:bCs/>
                      <w:i/>
                      <w:iCs/>
                    </w:rPr>
                    <w:t xml:space="preserve">ervice </w:t>
                  </w:r>
                  <w:r>
                    <w:rPr>
                      <w:b/>
                      <w:bCs/>
                      <w:i/>
                      <w:iCs/>
                    </w:rPr>
                    <w:t>user</w:t>
                  </w:r>
                </w:p>
                <w:p w14:paraId="58E6D976" w14:textId="77777777" w:rsidR="00386CB4" w:rsidRDefault="00386CB4" w:rsidP="00386CB4">
                  <w:pPr>
                    <w:pStyle w:val="Text"/>
                    <w:rPr>
                      <w:lang w:val="en-US"/>
                    </w:rPr>
                  </w:pPr>
                </w:p>
                <w:p w14:paraId="1C25F1C9" w14:textId="3AE502C7" w:rsidR="00386CB4" w:rsidRPr="000B5B48" w:rsidRDefault="00386CB4" w:rsidP="000B5B48">
                  <w:pPr>
                    <w:pBdr>
                      <w:left w:val="single" w:sz="18" w:space="4" w:color="78B800" w:themeColor="accent1"/>
                    </w:pBdr>
                    <w:tabs>
                      <w:tab w:val="left" w:pos="8080"/>
                    </w:tabs>
                    <w:spacing w:after="0"/>
                    <w:ind w:left="851" w:right="949"/>
                    <w:rPr>
                      <w:rStyle w:val="normaltextrun"/>
                      <w:i/>
                      <w:iCs/>
                    </w:rPr>
                  </w:pPr>
                  <w:r w:rsidRPr="002E7992">
                    <w:rPr>
                      <w:noProof/>
                    </w:rPr>
                    <w:drawing>
                      <wp:anchor distT="0" distB="0" distL="114300" distR="114300" simplePos="0" relativeHeight="251658393" behindDoc="0" locked="1" layoutInCell="1" allowOverlap="1" wp14:anchorId="2B689516" wp14:editId="1E7DFE66">
                        <wp:simplePos x="0" y="0"/>
                        <wp:positionH relativeFrom="column">
                          <wp:posOffset>0</wp:posOffset>
                        </wp:positionH>
                        <wp:positionV relativeFrom="paragraph">
                          <wp:posOffset>0</wp:posOffset>
                        </wp:positionV>
                        <wp:extent cx="384810" cy="320040"/>
                        <wp:effectExtent l="0" t="0" r="0" b="3810"/>
                        <wp:wrapNone/>
                        <wp:docPr id="509955701" name="Graphic 509955701" descr="P4181#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955701" name="Graphic 509955701" descr="P4181#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C3C4C">
                    <w:t xml:space="preserve"> </w:t>
                  </w:r>
                  <w:r>
                    <w:rPr>
                      <w:i/>
                      <w:iCs/>
                    </w:rPr>
                    <w:t xml:space="preserve">I guess my disability is mental health. I guess I’m not really good at processing or kind of coming up with something on the spot. If it seemed like I wasn’t understanding they would kind of explain it more clearly and slowly, which helped </w:t>
                  </w:r>
                  <w:r w:rsidRPr="002E7992">
                    <w:rPr>
                      <w:b/>
                      <w:bCs/>
                      <w:i/>
                      <w:iCs/>
                    </w:rPr>
                    <w:t>–</w:t>
                  </w:r>
                  <w:r>
                    <w:rPr>
                      <w:b/>
                      <w:bCs/>
                      <w:i/>
                      <w:iCs/>
                    </w:rPr>
                    <w:t xml:space="preserve"> FaRS s</w:t>
                  </w:r>
                  <w:r w:rsidRPr="002E7992">
                    <w:rPr>
                      <w:b/>
                      <w:bCs/>
                      <w:i/>
                      <w:iCs/>
                    </w:rPr>
                    <w:t xml:space="preserve">ervice </w:t>
                  </w:r>
                  <w:r>
                    <w:rPr>
                      <w:b/>
                      <w:bCs/>
                      <w:i/>
                      <w:iCs/>
                    </w:rPr>
                    <w:t>user</w:t>
                  </w:r>
                </w:p>
                <w:p w14:paraId="30F2BCE3" w14:textId="77777777" w:rsidR="007346B4" w:rsidRDefault="007346B4" w:rsidP="005674C7">
                  <w:pPr>
                    <w:pStyle w:val="Text"/>
                    <w:rPr>
                      <w:rStyle w:val="normaltextrun"/>
                      <w:rFonts w:ascii="Arial" w:hAnsi="Arial" w:cs="Arial"/>
                      <w:szCs w:val="22"/>
                      <w:shd w:val="clear" w:color="auto" w:fill="FFFFFF"/>
                      <w:lang w:val="en-GB"/>
                    </w:rPr>
                  </w:pPr>
                </w:p>
                <w:p w14:paraId="7909754A" w14:textId="54EE7C96" w:rsidR="005674C7" w:rsidRDefault="005674C7" w:rsidP="005674C7">
                  <w:pPr>
                    <w:pStyle w:val="Text"/>
                    <w:rPr>
                      <w:rStyle w:val="eop"/>
                      <w:rFonts w:ascii="Arial" w:hAnsi="Arial" w:cs="Arial"/>
                      <w:b/>
                      <w:szCs w:val="22"/>
                      <w:shd w:val="clear" w:color="auto" w:fill="FFFFFF"/>
                    </w:rPr>
                  </w:pPr>
                  <w:r>
                    <w:rPr>
                      <w:rStyle w:val="normaltextrun"/>
                      <w:rFonts w:ascii="Arial" w:hAnsi="Arial" w:cs="Arial"/>
                      <w:szCs w:val="22"/>
                      <w:shd w:val="clear" w:color="auto" w:fill="FFFFFF"/>
                      <w:lang w:val="en-GB"/>
                    </w:rPr>
                    <w:t xml:space="preserve">FaRS and SFVS providers identified that </w:t>
                  </w:r>
                  <w:r w:rsidR="00B9609E">
                    <w:rPr>
                      <w:rStyle w:val="normaltextrun"/>
                      <w:rFonts w:ascii="Arial" w:hAnsi="Arial" w:cs="Arial"/>
                      <w:szCs w:val="22"/>
                      <w:shd w:val="clear" w:color="auto" w:fill="FFFFFF"/>
                      <w:lang w:val="en-GB"/>
                    </w:rPr>
                    <w:t>internal</w:t>
                  </w:r>
                  <w:r w:rsidR="00121411">
                    <w:rPr>
                      <w:rStyle w:val="normaltextrun"/>
                      <w:rFonts w:ascii="Arial" w:hAnsi="Arial" w:cs="Arial"/>
                      <w:szCs w:val="22"/>
                      <w:shd w:val="clear" w:color="auto" w:fill="FFFFFF"/>
                      <w:lang w:val="en-GB"/>
                    </w:rPr>
                    <w:t xml:space="preserve"> limits</w:t>
                  </w:r>
                  <w:r>
                    <w:rPr>
                      <w:rStyle w:val="normaltextrun"/>
                      <w:rFonts w:ascii="Arial" w:hAnsi="Arial" w:cs="Arial"/>
                      <w:szCs w:val="22"/>
                      <w:shd w:val="clear" w:color="auto" w:fill="FFFFFF"/>
                      <w:lang w:val="en-GB"/>
                    </w:rPr>
                    <w:t xml:space="preserve"> on counselling</w:t>
                  </w:r>
                  <w:r w:rsidR="00182376">
                    <w:rPr>
                      <w:rStyle w:val="normaltextrun"/>
                      <w:rFonts w:ascii="Arial" w:hAnsi="Arial" w:cs="Arial"/>
                      <w:szCs w:val="22"/>
                      <w:shd w:val="clear" w:color="auto" w:fill="FFFFFF"/>
                      <w:lang w:val="en-GB"/>
                    </w:rPr>
                    <w:t xml:space="preserve"> sessions</w:t>
                  </w:r>
                  <w:r>
                    <w:rPr>
                      <w:rStyle w:val="normaltextrun"/>
                      <w:rFonts w:ascii="Arial" w:hAnsi="Arial" w:cs="Arial"/>
                      <w:szCs w:val="22"/>
                      <w:shd w:val="clear" w:color="auto" w:fill="FFFFFF"/>
                      <w:lang w:val="en-GB"/>
                    </w:rPr>
                    <w:t xml:space="preserve"> and other programs</w:t>
                  </w:r>
                  <w:r w:rsidR="00121411">
                    <w:rPr>
                      <w:rStyle w:val="normaltextrun"/>
                      <w:rFonts w:ascii="Arial" w:hAnsi="Arial" w:cs="Arial"/>
                      <w:szCs w:val="22"/>
                      <w:shd w:val="clear" w:color="auto" w:fill="FFFFFF"/>
                      <w:lang w:val="en-GB"/>
                    </w:rPr>
                    <w:t xml:space="preserve"> </w:t>
                  </w:r>
                  <w:r>
                    <w:rPr>
                      <w:rStyle w:val="normaltextrun"/>
                      <w:rFonts w:ascii="Arial" w:hAnsi="Arial" w:cs="Arial"/>
                      <w:szCs w:val="22"/>
                      <w:shd w:val="clear" w:color="auto" w:fill="FFFFFF"/>
                      <w:lang w:val="en-GB"/>
                    </w:rPr>
                    <w:t>can make it difficult to address</w:t>
                  </w:r>
                  <w:r w:rsidR="00B43B23">
                    <w:rPr>
                      <w:rStyle w:val="normaltextrun"/>
                      <w:rFonts w:ascii="Arial" w:hAnsi="Arial" w:cs="Arial"/>
                      <w:szCs w:val="22"/>
                      <w:shd w:val="clear" w:color="auto" w:fill="FFFFFF"/>
                      <w:lang w:val="en-GB"/>
                    </w:rPr>
                    <w:t xml:space="preserve"> parenting and other relationship</w:t>
                  </w:r>
                  <w:r>
                    <w:rPr>
                      <w:rStyle w:val="normaltextrun"/>
                      <w:rFonts w:ascii="Arial" w:hAnsi="Arial" w:cs="Arial"/>
                      <w:szCs w:val="22"/>
                      <w:shd w:val="clear" w:color="auto" w:fill="FFFFFF"/>
                      <w:lang w:val="en-GB"/>
                    </w:rPr>
                    <w:t xml:space="preserve"> behaviours that may be affected by disability, including neurodiversity. Some services reported staff lacked skills to appropriately address needs of people with disability with a subsequent need for funding to support training</w:t>
                  </w:r>
                  <w:r w:rsidR="005D0218">
                    <w:rPr>
                      <w:rStyle w:val="normaltextrun"/>
                      <w:rFonts w:ascii="Arial" w:hAnsi="Arial" w:cs="Arial"/>
                      <w:szCs w:val="22"/>
                      <w:shd w:val="clear" w:color="auto" w:fill="FFFFFF"/>
                      <w:lang w:val="en-GB"/>
                    </w:rPr>
                    <w:t xml:space="preserve"> (see </w:t>
                  </w:r>
                  <w:r w:rsidR="005D0218">
                    <w:rPr>
                      <w:rStyle w:val="normaltextrun"/>
                      <w:rFonts w:ascii="Arial" w:hAnsi="Arial" w:cs="Arial"/>
                      <w:b/>
                      <w:bCs/>
                      <w:szCs w:val="22"/>
                      <w:shd w:val="clear" w:color="auto" w:fill="FFFFFF"/>
                      <w:lang w:val="en-GB"/>
                    </w:rPr>
                    <w:t>Section</w:t>
                  </w:r>
                  <w:r w:rsidR="005D0218">
                    <w:rPr>
                      <w:rStyle w:val="normaltextrun"/>
                      <w:rFonts w:ascii="Arial" w:hAnsi="Arial" w:cs="Arial"/>
                      <w:szCs w:val="22"/>
                      <w:shd w:val="clear" w:color="auto" w:fill="FFFFFF"/>
                      <w:lang w:val="en-GB"/>
                    </w:rPr>
                    <w:t xml:space="preserve"> </w:t>
                  </w:r>
                  <w:r w:rsidR="00DC0136" w:rsidRPr="00DC0136">
                    <w:rPr>
                      <w:rStyle w:val="normaltextrun"/>
                      <w:rFonts w:ascii="Arial" w:hAnsi="Arial" w:cs="Arial"/>
                      <w:b/>
                      <w:szCs w:val="22"/>
                      <w:shd w:val="clear" w:color="auto" w:fill="FFFFFF"/>
                      <w:lang w:val="en-GB"/>
                    </w:rPr>
                    <w:fldChar w:fldCharType="begin" w:fldLock="1"/>
                  </w:r>
                  <w:r w:rsidR="00DC0136" w:rsidRPr="00DC0136">
                    <w:rPr>
                      <w:rStyle w:val="normaltextrun"/>
                      <w:rFonts w:ascii="Arial" w:hAnsi="Arial" w:cs="Arial"/>
                      <w:b/>
                      <w:szCs w:val="22"/>
                      <w:shd w:val="clear" w:color="auto" w:fill="FFFFFF"/>
                      <w:lang w:val="en-GB"/>
                    </w:rPr>
                    <w:instrText xml:space="preserve"> REF _Ref208926583 \n \h  \* MERGEFORMAT </w:instrText>
                  </w:r>
                  <w:r w:rsidR="00DC0136" w:rsidRPr="00DC0136">
                    <w:rPr>
                      <w:rStyle w:val="normaltextrun"/>
                      <w:rFonts w:ascii="Arial" w:hAnsi="Arial" w:cs="Arial"/>
                      <w:b/>
                      <w:szCs w:val="22"/>
                      <w:shd w:val="clear" w:color="auto" w:fill="FFFFFF"/>
                      <w:lang w:val="en-GB"/>
                    </w:rPr>
                  </w:r>
                  <w:r w:rsidR="00DC0136" w:rsidRPr="00DC0136">
                    <w:rPr>
                      <w:rStyle w:val="normaltextrun"/>
                      <w:rFonts w:ascii="Arial" w:hAnsi="Arial" w:cs="Arial"/>
                      <w:b/>
                      <w:szCs w:val="22"/>
                      <w:shd w:val="clear" w:color="auto" w:fill="FFFFFF"/>
                      <w:lang w:val="en-GB"/>
                    </w:rPr>
                    <w:fldChar w:fldCharType="separate"/>
                  </w:r>
                  <w:r w:rsidR="008F22E5">
                    <w:rPr>
                      <w:rStyle w:val="normaltextrun"/>
                      <w:rFonts w:ascii="Arial" w:hAnsi="Arial" w:cs="Arial"/>
                      <w:b/>
                      <w:szCs w:val="22"/>
                      <w:shd w:val="clear" w:color="auto" w:fill="FFFFFF"/>
                      <w:lang w:val="en-GB"/>
                    </w:rPr>
                    <w:t>6.7</w:t>
                  </w:r>
                  <w:r w:rsidR="00DC0136" w:rsidRPr="00DC0136">
                    <w:rPr>
                      <w:rStyle w:val="normaltextrun"/>
                      <w:rFonts w:ascii="Arial" w:hAnsi="Arial" w:cs="Arial"/>
                      <w:b/>
                      <w:szCs w:val="22"/>
                      <w:shd w:val="clear" w:color="auto" w:fill="FFFFFF"/>
                      <w:lang w:val="en-GB"/>
                    </w:rPr>
                    <w:fldChar w:fldCharType="end"/>
                  </w:r>
                  <w:r w:rsidR="00DC0136">
                    <w:rPr>
                      <w:rStyle w:val="normaltextrun"/>
                      <w:rFonts w:ascii="Arial" w:hAnsi="Arial" w:cs="Arial"/>
                      <w:b/>
                      <w:szCs w:val="22"/>
                      <w:shd w:val="clear" w:color="auto" w:fill="FFFFFF"/>
                      <w:lang w:val="en-GB"/>
                    </w:rPr>
                    <w:t xml:space="preserve"> </w:t>
                  </w:r>
                  <w:r w:rsidR="005D0218" w:rsidRPr="008E1B83">
                    <w:rPr>
                      <w:rStyle w:val="normaltextrun"/>
                      <w:rFonts w:ascii="Arial" w:hAnsi="Arial" w:cs="Arial"/>
                      <w:szCs w:val="22"/>
                      <w:shd w:val="clear" w:color="auto" w:fill="FFFFFF"/>
                      <w:lang w:val="en-GB"/>
                    </w:rPr>
                    <w:t>for more detail).</w:t>
                  </w:r>
                  <w:r w:rsidR="005D0218">
                    <w:rPr>
                      <w:rStyle w:val="normaltextrun"/>
                      <w:rFonts w:ascii="Arial" w:hAnsi="Arial" w:cs="Arial"/>
                      <w:b/>
                      <w:bCs/>
                      <w:szCs w:val="22"/>
                      <w:shd w:val="clear" w:color="auto" w:fill="FFFFFF"/>
                      <w:lang w:val="en-GB"/>
                    </w:rPr>
                    <w:t xml:space="preserve"> </w:t>
                  </w:r>
                </w:p>
                <w:p w14:paraId="7AE59EAD" w14:textId="452B31BE" w:rsidR="005674C7" w:rsidRPr="007B623E" w:rsidRDefault="005674C7" w:rsidP="005674C7">
                  <w:pPr>
                    <w:pBdr>
                      <w:left w:val="single" w:sz="18" w:space="4" w:color="78B800" w:themeColor="accent1"/>
                    </w:pBdr>
                    <w:tabs>
                      <w:tab w:val="left" w:pos="8080"/>
                    </w:tabs>
                    <w:spacing w:after="0"/>
                    <w:ind w:left="851" w:right="949"/>
                    <w:rPr>
                      <w:i/>
                      <w:iCs/>
                    </w:rPr>
                  </w:pPr>
                  <w:r w:rsidRPr="002E7992">
                    <w:rPr>
                      <w:noProof/>
                    </w:rPr>
                    <w:drawing>
                      <wp:anchor distT="0" distB="0" distL="114300" distR="114300" simplePos="0" relativeHeight="251658394" behindDoc="0" locked="1" layoutInCell="1" allowOverlap="1" wp14:anchorId="54DE6146" wp14:editId="171CDF6E">
                        <wp:simplePos x="0" y="0"/>
                        <wp:positionH relativeFrom="column">
                          <wp:posOffset>0</wp:posOffset>
                        </wp:positionH>
                        <wp:positionV relativeFrom="paragraph">
                          <wp:posOffset>0</wp:posOffset>
                        </wp:positionV>
                        <wp:extent cx="384810" cy="320040"/>
                        <wp:effectExtent l="0" t="0" r="0" b="3810"/>
                        <wp:wrapNone/>
                        <wp:docPr id="311155940" name="Graphic 311155940" descr="P4184#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155940" name="Graphic 311155940" descr="P4184#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C3C4C">
                    <w:t xml:space="preserve"> </w:t>
                  </w:r>
                  <w:r>
                    <w:rPr>
                      <w:i/>
                      <w:iCs/>
                    </w:rPr>
                    <w:t>We need to be able to have staff that have the skills to be able to work with people with complex disabilities, including mental health illnesses as well…but then of course</w:t>
                  </w:r>
                  <w:r w:rsidRPr="00EC3C4C">
                    <w:rPr>
                      <w:i/>
                      <w:iCs/>
                    </w:rPr>
                    <w:t xml:space="preserve"> </w:t>
                  </w:r>
                  <w:r>
                    <w:rPr>
                      <w:i/>
                      <w:iCs/>
                    </w:rPr>
                    <w:t>we don’t have much funding…for ups</w:t>
                  </w:r>
                  <w:r w:rsidR="002F4868">
                    <w:rPr>
                      <w:i/>
                      <w:iCs/>
                    </w:rPr>
                    <w:t>killing</w:t>
                  </w:r>
                  <w:r>
                    <w:rPr>
                      <w:i/>
                      <w:iCs/>
                    </w:rPr>
                    <w:t>. In terms of diversity, we’re really needing…neurodiversity affirming approaches to put into practice</w:t>
                  </w:r>
                  <w:r w:rsidRPr="00EC3C4C">
                    <w:rPr>
                      <w:i/>
                      <w:iCs/>
                    </w:rPr>
                    <w:t xml:space="preserve"> </w:t>
                  </w:r>
                  <w:r w:rsidRPr="002E7992">
                    <w:rPr>
                      <w:b/>
                      <w:bCs/>
                      <w:i/>
                      <w:iCs/>
                    </w:rPr>
                    <w:t>–</w:t>
                  </w:r>
                  <w:r>
                    <w:rPr>
                      <w:b/>
                      <w:bCs/>
                      <w:i/>
                      <w:iCs/>
                    </w:rPr>
                    <w:t xml:space="preserve"> FaRS s</w:t>
                  </w:r>
                  <w:r w:rsidRPr="002E7992">
                    <w:rPr>
                      <w:b/>
                      <w:bCs/>
                      <w:i/>
                      <w:iCs/>
                    </w:rPr>
                    <w:t xml:space="preserve">ervice </w:t>
                  </w:r>
                  <w:r>
                    <w:rPr>
                      <w:b/>
                      <w:bCs/>
                      <w:i/>
                      <w:iCs/>
                    </w:rPr>
                    <w:t>provider</w:t>
                  </w:r>
                </w:p>
                <w:p w14:paraId="56054A5B" w14:textId="77777777" w:rsidR="005674C7" w:rsidRDefault="005674C7" w:rsidP="005674C7">
                  <w:pPr>
                    <w:pStyle w:val="Text"/>
                    <w:rPr>
                      <w:lang w:val="en-US"/>
                    </w:rPr>
                  </w:pPr>
                </w:p>
                <w:p w14:paraId="24027A79" w14:textId="2AB6E610" w:rsidR="005674C7" w:rsidRPr="007B623E" w:rsidRDefault="005674C7" w:rsidP="005674C7">
                  <w:pPr>
                    <w:pBdr>
                      <w:left w:val="single" w:sz="18" w:space="4" w:color="78B800" w:themeColor="accent1"/>
                    </w:pBdr>
                    <w:tabs>
                      <w:tab w:val="left" w:pos="8080"/>
                    </w:tabs>
                    <w:spacing w:after="0"/>
                    <w:ind w:left="851" w:right="949"/>
                    <w:rPr>
                      <w:i/>
                      <w:iCs/>
                    </w:rPr>
                  </w:pPr>
                  <w:r w:rsidRPr="002E7992">
                    <w:rPr>
                      <w:noProof/>
                    </w:rPr>
                    <w:drawing>
                      <wp:anchor distT="0" distB="0" distL="114300" distR="114300" simplePos="0" relativeHeight="251658395" behindDoc="0" locked="1" layoutInCell="1" allowOverlap="1" wp14:anchorId="1C5C0295" wp14:editId="21645FD6">
                        <wp:simplePos x="0" y="0"/>
                        <wp:positionH relativeFrom="column">
                          <wp:posOffset>0</wp:posOffset>
                        </wp:positionH>
                        <wp:positionV relativeFrom="paragraph">
                          <wp:posOffset>0</wp:posOffset>
                        </wp:positionV>
                        <wp:extent cx="384810" cy="320040"/>
                        <wp:effectExtent l="0" t="0" r="0" b="3810"/>
                        <wp:wrapNone/>
                        <wp:docPr id="358136892" name="Graphic 358136892" descr="P4186#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136892" name="Graphic 358136892" descr="P4186#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C3C4C">
                    <w:t xml:space="preserve"> </w:t>
                  </w:r>
                  <w:r>
                    <w:rPr>
                      <w:i/>
                      <w:iCs/>
                    </w:rPr>
                    <w:t xml:space="preserve">People are coming in with mental health, neurodiversity etc impacting on relationships and capacity to parent. Short, small caps mean these are not addressed, change is not sustainable, and you feel trapped in a loop of not being able to make sustainable change </w:t>
                  </w:r>
                  <w:r w:rsidRPr="002E7992">
                    <w:rPr>
                      <w:b/>
                      <w:bCs/>
                      <w:i/>
                      <w:iCs/>
                    </w:rPr>
                    <w:t>–</w:t>
                  </w:r>
                  <w:r>
                    <w:rPr>
                      <w:b/>
                      <w:bCs/>
                      <w:i/>
                      <w:iCs/>
                    </w:rPr>
                    <w:t xml:space="preserve"> FaRS s</w:t>
                  </w:r>
                  <w:r w:rsidRPr="002E7992">
                    <w:rPr>
                      <w:b/>
                      <w:bCs/>
                      <w:i/>
                      <w:iCs/>
                    </w:rPr>
                    <w:t xml:space="preserve">ervice </w:t>
                  </w:r>
                  <w:r>
                    <w:rPr>
                      <w:b/>
                      <w:bCs/>
                      <w:i/>
                      <w:iCs/>
                    </w:rPr>
                    <w:t>provider</w:t>
                  </w:r>
                </w:p>
                <w:p w14:paraId="3C7851E2" w14:textId="77777777" w:rsidR="00480C3E" w:rsidRDefault="00480C3E" w:rsidP="005674C7">
                  <w:pPr>
                    <w:pStyle w:val="Text"/>
                    <w:rPr>
                      <w:lang w:val="en-US"/>
                    </w:rPr>
                  </w:pPr>
                </w:p>
                <w:p w14:paraId="6A92E581" w14:textId="5DC9268F" w:rsidR="005674C7" w:rsidRDefault="00065FE5" w:rsidP="005674C7">
                  <w:pPr>
                    <w:pStyle w:val="Text"/>
                    <w:rPr>
                      <w:lang w:val="en-US"/>
                    </w:rPr>
                  </w:pPr>
                  <w:r>
                    <w:rPr>
                      <w:lang w:val="en-US"/>
                    </w:rPr>
                    <w:lastRenderedPageBreak/>
                    <w:t xml:space="preserve">Some </w:t>
                  </w:r>
                  <w:r w:rsidR="002670DC">
                    <w:rPr>
                      <w:lang w:val="en-US"/>
                    </w:rPr>
                    <w:t>FaRS</w:t>
                  </w:r>
                  <w:r>
                    <w:rPr>
                      <w:lang w:val="en-US"/>
                    </w:rPr>
                    <w:t xml:space="preserve"> service users with disability also reported physical access barriers, with comments relating to narrow access and doors, bright lighting</w:t>
                  </w:r>
                  <w:r w:rsidR="002670DC">
                    <w:rPr>
                      <w:lang w:val="en-US"/>
                    </w:rPr>
                    <w:t>,</w:t>
                  </w:r>
                  <w:r>
                    <w:rPr>
                      <w:lang w:val="en-US"/>
                    </w:rPr>
                    <w:t xml:space="preserve"> and other factors contributing to sensory overload. </w:t>
                  </w:r>
                  <w:r w:rsidR="005674C7">
                    <w:rPr>
                      <w:lang w:val="en-US"/>
                    </w:rPr>
                    <w:t>Linked to more general findings about the strengths and limitations of virtual service delivery (</w:t>
                  </w:r>
                  <w:r w:rsidR="005D0218" w:rsidRPr="005D0218">
                    <w:rPr>
                      <w:lang w:val="en-US"/>
                    </w:rPr>
                    <w:t>se</w:t>
                  </w:r>
                  <w:r w:rsidR="005674C7" w:rsidRPr="005D0218">
                    <w:rPr>
                      <w:lang w:val="en-US"/>
                    </w:rPr>
                    <w:t>e</w:t>
                  </w:r>
                  <w:r w:rsidR="005674C7">
                    <w:rPr>
                      <w:lang w:val="en-US"/>
                    </w:rPr>
                    <w:t xml:space="preserve"> </w:t>
                  </w:r>
                  <w:r w:rsidR="005674C7" w:rsidRPr="008E1B83">
                    <w:rPr>
                      <w:b/>
                      <w:lang w:val="en-US"/>
                    </w:rPr>
                    <w:t>Section 6.9.2</w:t>
                  </w:r>
                  <w:r w:rsidR="005674C7">
                    <w:rPr>
                      <w:lang w:val="en-US"/>
                    </w:rPr>
                    <w:t xml:space="preserve">) and comments on this theme from service providers, service users with disability made specific comments about the benefits of mixed virtual delivery and in-person delivery. </w:t>
                  </w:r>
                </w:p>
                <w:p w14:paraId="207B658D" w14:textId="59ACA84D" w:rsidR="005674C7" w:rsidRPr="007B623E" w:rsidRDefault="005674C7" w:rsidP="005674C7">
                  <w:pPr>
                    <w:pBdr>
                      <w:left w:val="single" w:sz="18" w:space="4" w:color="78B800" w:themeColor="accent1"/>
                    </w:pBdr>
                    <w:tabs>
                      <w:tab w:val="left" w:pos="8080"/>
                    </w:tabs>
                    <w:spacing w:after="0"/>
                    <w:ind w:left="851" w:right="949"/>
                    <w:rPr>
                      <w:i/>
                      <w:iCs/>
                    </w:rPr>
                  </w:pPr>
                  <w:r w:rsidRPr="002E7992">
                    <w:rPr>
                      <w:noProof/>
                    </w:rPr>
                    <w:drawing>
                      <wp:anchor distT="0" distB="0" distL="114300" distR="114300" simplePos="0" relativeHeight="251658396" behindDoc="0" locked="1" layoutInCell="1" allowOverlap="1" wp14:anchorId="7BB51861" wp14:editId="53D8AEE2">
                        <wp:simplePos x="0" y="0"/>
                        <wp:positionH relativeFrom="column">
                          <wp:posOffset>0</wp:posOffset>
                        </wp:positionH>
                        <wp:positionV relativeFrom="paragraph">
                          <wp:posOffset>0</wp:posOffset>
                        </wp:positionV>
                        <wp:extent cx="384810" cy="320040"/>
                        <wp:effectExtent l="0" t="0" r="0" b="3810"/>
                        <wp:wrapNone/>
                        <wp:docPr id="536724312" name="Graphic 536724312" descr="P4189#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724312" name="Graphic 536724312" descr="P4189#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C3C4C">
                    <w:t xml:space="preserve"> </w:t>
                  </w:r>
                  <w:r>
                    <w:rPr>
                      <w:i/>
                      <w:iCs/>
                    </w:rPr>
                    <w:t>Given the nature of our issues, I wouldn’t do virtual full-time because it’s too hard with my mental health. But sometimes on the morning of an appointment, I’ll email [service worker] and say I’m having an awful morning, can you call me instead</w:t>
                  </w:r>
                  <w:r w:rsidRPr="00EC3C4C">
                    <w:rPr>
                      <w:i/>
                      <w:iCs/>
                    </w:rPr>
                    <w:t xml:space="preserve"> </w:t>
                  </w:r>
                  <w:r w:rsidRPr="002E7992">
                    <w:rPr>
                      <w:b/>
                      <w:bCs/>
                      <w:i/>
                      <w:iCs/>
                    </w:rPr>
                    <w:t>–</w:t>
                  </w:r>
                  <w:r>
                    <w:rPr>
                      <w:b/>
                      <w:bCs/>
                      <w:i/>
                      <w:iCs/>
                    </w:rPr>
                    <w:t xml:space="preserve"> FaRS s</w:t>
                  </w:r>
                  <w:r w:rsidRPr="002E7992">
                    <w:rPr>
                      <w:b/>
                      <w:bCs/>
                      <w:i/>
                      <w:iCs/>
                    </w:rPr>
                    <w:t xml:space="preserve">ervice </w:t>
                  </w:r>
                  <w:r>
                    <w:rPr>
                      <w:b/>
                      <w:bCs/>
                      <w:i/>
                      <w:iCs/>
                    </w:rPr>
                    <w:t>user</w:t>
                  </w:r>
                </w:p>
                <w:p w14:paraId="38F383FA" w14:textId="77777777" w:rsidR="005674C7" w:rsidRDefault="005674C7" w:rsidP="005674C7">
                  <w:pPr>
                    <w:pStyle w:val="Text"/>
                    <w:rPr>
                      <w:lang w:val="en-US"/>
                    </w:rPr>
                  </w:pPr>
                </w:p>
                <w:p w14:paraId="711AD8AC" w14:textId="142F8BD1" w:rsidR="005674C7" w:rsidRPr="008A1BEE" w:rsidRDefault="005674C7" w:rsidP="005674C7">
                  <w:pPr>
                    <w:pBdr>
                      <w:left w:val="single" w:sz="18" w:space="4" w:color="78B800" w:themeColor="accent1"/>
                    </w:pBdr>
                    <w:tabs>
                      <w:tab w:val="left" w:pos="8080"/>
                    </w:tabs>
                    <w:spacing w:after="0"/>
                    <w:ind w:left="851" w:right="949"/>
                    <w:rPr>
                      <w:i/>
                    </w:rPr>
                  </w:pPr>
                  <w:r w:rsidRPr="002E7992">
                    <w:rPr>
                      <w:noProof/>
                    </w:rPr>
                    <w:drawing>
                      <wp:anchor distT="0" distB="0" distL="114300" distR="114300" simplePos="0" relativeHeight="251658397" behindDoc="0" locked="1" layoutInCell="1" allowOverlap="1" wp14:anchorId="46F1D713" wp14:editId="0C540C6C">
                        <wp:simplePos x="0" y="0"/>
                        <wp:positionH relativeFrom="column">
                          <wp:posOffset>0</wp:posOffset>
                        </wp:positionH>
                        <wp:positionV relativeFrom="paragraph">
                          <wp:posOffset>0</wp:posOffset>
                        </wp:positionV>
                        <wp:extent cx="384810" cy="320040"/>
                        <wp:effectExtent l="0" t="0" r="0" b="3810"/>
                        <wp:wrapNone/>
                        <wp:docPr id="1231071917" name="Graphic 1231071917" descr="P4191#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071917" name="Graphic 1231071917" descr="P4191#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C3C4C">
                    <w:t xml:space="preserve"> </w:t>
                  </w:r>
                  <w:r>
                    <w:rPr>
                      <w:i/>
                      <w:iCs/>
                    </w:rPr>
                    <w:t xml:space="preserve">I have autism and </w:t>
                  </w:r>
                  <w:r w:rsidR="007E301C">
                    <w:rPr>
                      <w:i/>
                      <w:iCs/>
                    </w:rPr>
                    <w:t>ADHD</w:t>
                  </w:r>
                  <w:r>
                    <w:rPr>
                      <w:i/>
                      <w:iCs/>
                    </w:rPr>
                    <w:t xml:space="preserve">, scheduling and attending can be difficult, having to be in-person is a lot more emotional and mental energy than necessary </w:t>
                  </w:r>
                  <w:r w:rsidRPr="002E7992">
                    <w:rPr>
                      <w:b/>
                      <w:bCs/>
                      <w:i/>
                      <w:iCs/>
                    </w:rPr>
                    <w:t>–</w:t>
                  </w:r>
                  <w:r>
                    <w:rPr>
                      <w:b/>
                      <w:bCs/>
                      <w:i/>
                      <w:iCs/>
                    </w:rPr>
                    <w:t xml:space="preserve"> FaRS s</w:t>
                  </w:r>
                  <w:r w:rsidRPr="002E7992">
                    <w:rPr>
                      <w:b/>
                      <w:bCs/>
                      <w:i/>
                      <w:iCs/>
                    </w:rPr>
                    <w:t xml:space="preserve">ervice </w:t>
                  </w:r>
                  <w:r>
                    <w:rPr>
                      <w:b/>
                      <w:bCs/>
                      <w:i/>
                      <w:iCs/>
                    </w:rPr>
                    <w:t>user</w:t>
                  </w:r>
                </w:p>
                <w:p w14:paraId="5569A675" w14:textId="77777777" w:rsidR="00C9574C" w:rsidRDefault="00C9574C" w:rsidP="005674C7">
                  <w:pPr>
                    <w:pStyle w:val="Text"/>
                    <w:spacing w:after="120"/>
                    <w:rPr>
                      <w:lang w:val="en-US"/>
                    </w:rPr>
                  </w:pPr>
                </w:p>
                <w:p w14:paraId="52AEFB2F" w14:textId="7CC96E3F" w:rsidR="006324AE" w:rsidRDefault="004C1E65" w:rsidP="005674C7">
                  <w:pPr>
                    <w:pStyle w:val="Text"/>
                    <w:spacing w:after="120"/>
                    <w:rPr>
                      <w:lang w:val="en-US"/>
                    </w:rPr>
                  </w:pPr>
                  <w:r w:rsidRPr="004C1E65">
                    <w:rPr>
                      <w:lang w:val="en-US"/>
                    </w:rPr>
                    <w:t xml:space="preserve">There </w:t>
                  </w:r>
                  <w:r w:rsidR="000C76D0">
                    <w:rPr>
                      <w:lang w:val="en-US"/>
                    </w:rPr>
                    <w:t>are</w:t>
                  </w:r>
                  <w:r w:rsidRPr="004C1E65">
                    <w:rPr>
                      <w:lang w:val="en-US"/>
                    </w:rPr>
                    <w:t xml:space="preserve"> limited evaluation data and research on how people’s </w:t>
                  </w:r>
                  <w:r w:rsidR="003374EC">
                    <w:rPr>
                      <w:lang w:val="en-US"/>
                    </w:rPr>
                    <w:t>service needs</w:t>
                  </w:r>
                  <w:r w:rsidRPr="004C1E65">
                    <w:rPr>
                      <w:lang w:val="en-US"/>
                    </w:rPr>
                    <w:t xml:space="preserve"> vary based on the</w:t>
                  </w:r>
                  <w:r w:rsidR="003374EC">
                    <w:rPr>
                      <w:lang w:val="en-US"/>
                    </w:rPr>
                    <w:t xml:space="preserve"> specific</w:t>
                  </w:r>
                  <w:r w:rsidRPr="004C1E65">
                    <w:rPr>
                      <w:lang w:val="en-US"/>
                    </w:rPr>
                    <w:t xml:space="preserve"> type of disability they have.</w:t>
                  </w:r>
                  <w:r w:rsidR="00C57D1A">
                    <w:rPr>
                      <w:lang w:val="en-US"/>
                    </w:rPr>
                    <w:t xml:space="preserve"> Some general principles have been identified including adapting </w:t>
                  </w:r>
                  <w:r w:rsidR="00DC5C78">
                    <w:rPr>
                      <w:lang w:val="en-US"/>
                    </w:rPr>
                    <w:t>information resources</w:t>
                  </w:r>
                  <w:r w:rsidR="00C57D1A">
                    <w:rPr>
                      <w:lang w:val="en-US"/>
                    </w:rPr>
                    <w:t xml:space="preserve"> and communication</w:t>
                  </w:r>
                  <w:r w:rsidR="00DC5C78">
                    <w:rPr>
                      <w:lang w:val="en-US"/>
                    </w:rPr>
                    <w:t xml:space="preserve"> styles</w:t>
                  </w:r>
                  <w:r w:rsidR="00C57D1A">
                    <w:rPr>
                      <w:lang w:val="en-US"/>
                    </w:rPr>
                    <w:t xml:space="preserve"> to be accessible, including using Plain English</w:t>
                  </w:r>
                  <w:r w:rsidR="006C1A32">
                    <w:rPr>
                      <w:lang w:val="en-US"/>
                    </w:rPr>
                    <w:t xml:space="preserve"> and engaging accessible information specialists to </w:t>
                  </w:r>
                  <w:r w:rsidR="00AD0CD7">
                    <w:rPr>
                      <w:lang w:val="en-US"/>
                    </w:rPr>
                    <w:t xml:space="preserve">create and modify material, and </w:t>
                  </w:r>
                  <w:r w:rsidR="00C57D1A">
                    <w:rPr>
                      <w:lang w:val="en-US"/>
                    </w:rPr>
                    <w:t xml:space="preserve">asking people with a disability who are receiving a service </w:t>
                  </w:r>
                  <w:r w:rsidR="00087805">
                    <w:rPr>
                      <w:lang w:val="en-US"/>
                    </w:rPr>
                    <w:t xml:space="preserve">on </w:t>
                  </w:r>
                  <w:r w:rsidR="00C57D1A">
                    <w:rPr>
                      <w:lang w:val="en-US"/>
                    </w:rPr>
                    <w:t>how best it can be adapted to suit the</w:t>
                  </w:r>
                  <w:r w:rsidR="00087805">
                    <w:rPr>
                      <w:lang w:val="en-US"/>
                    </w:rPr>
                    <w:t>ir and their families individual needs</w:t>
                  </w:r>
                  <w:r w:rsidR="00AD0CD7">
                    <w:rPr>
                      <w:lang w:val="en-US"/>
                    </w:rPr>
                    <w:t xml:space="preserve"> </w:t>
                  </w:r>
                  <w:r w:rsidR="000F05B9" w:rsidRPr="000F05B9">
                    <w:rPr>
                      <w:lang w:val="en-US"/>
                    </w:rPr>
                    <w:fldChar w:fldCharType="begin"/>
                  </w:r>
                  <w:r w:rsidR="003A464F">
                    <w:rPr>
                      <w:lang w:val="en-US"/>
                    </w:rPr>
                    <w:instrText xml:space="preserve"> ADDIN ZOTERO_ITEM CSL_CITATION {"citationID":"aat22sm09c","properties":{"formattedCitation":"(Centre for Non-Violence and Modified Service Delivery, 2024)","plainCitation":"(Centre for Non-Violence and Modified Service Delivery, 2024)","noteIndex":0},"citationItems":[{"id":5712,"uris":["http://zotero.org/groups/5691188/items/GI58V7GM"],"itemData":{"id":5712,"type":"report","title":"FDV and Disability: Best Practice Guide","URL":"https://cwsw.org.au/wp-content/uploads/2024/07/Best-Practice-Guide.pdf","author":[{"literal":"Centre for Non-Violence"},{"literal":"Modified Service Delivery"}],"accessed":{"date-parts":[["2025",9,8]]},"issued":{"date-parts":[["2024"]]}}}],"schema":"https://github.com/citation-style-language/schema/raw/master/csl-citation.json"} </w:instrText>
                  </w:r>
                  <w:r w:rsidR="000F05B9" w:rsidRPr="000F05B9">
                    <w:rPr>
                      <w:lang w:val="en-US"/>
                    </w:rPr>
                    <w:fldChar w:fldCharType="separate"/>
                  </w:r>
                  <w:r w:rsidR="003A464F" w:rsidRPr="003A464F">
                    <w:rPr>
                      <w:rFonts w:ascii="Arial" w:hAnsi="Arial" w:cs="Arial"/>
                    </w:rPr>
                    <w:t>(Centre for Non-Violence and Modified Service Delivery, 2024)</w:t>
                  </w:r>
                  <w:r w:rsidR="000F05B9" w:rsidRPr="000F05B9">
                    <w:rPr>
                      <w:lang w:val="en-US"/>
                    </w:rPr>
                    <w:fldChar w:fldCharType="end"/>
                  </w:r>
                  <w:r w:rsidR="000F05B9">
                    <w:rPr>
                      <w:lang w:val="en-US"/>
                    </w:rPr>
                    <w:t>.</w:t>
                  </w:r>
                </w:p>
                <w:p w14:paraId="46A795A8" w14:textId="752EA61B" w:rsidR="005674C7" w:rsidRPr="009C7D7C" w:rsidRDefault="005674C7" w:rsidP="00EB4831">
                  <w:pPr>
                    <w:pStyle w:val="Heading3"/>
                  </w:pPr>
                  <w:r w:rsidRPr="009C7D7C">
                    <w:t xml:space="preserve">Children and young people </w:t>
                  </w:r>
                </w:p>
                <w:p w14:paraId="71FBE330" w14:textId="00FB582A" w:rsidR="003C0EF0" w:rsidRDefault="003C0EF0" w:rsidP="00820CFD">
                  <w:pPr>
                    <w:pStyle w:val="Text"/>
                  </w:pPr>
                  <w:r>
                    <w:t>From 2021</w:t>
                  </w:r>
                  <w:r w:rsidR="00E3157D">
                    <w:t>-</w:t>
                  </w:r>
                  <w:r>
                    <w:t>2 to 2023</w:t>
                  </w:r>
                  <w:r w:rsidR="00E3157D">
                    <w:t>-</w:t>
                  </w:r>
                  <w:r>
                    <w:t xml:space="preserve">24, almost 20,000 children and young people under 18 received a FaRS or SFVS service. This represented 7.4% of FaRS service users, and 14.7% of SFVS service users. SCORE data indicates positive outcomes for this cohort of service users. </w:t>
                  </w:r>
                  <w:r w:rsidRPr="00AE3F77">
                    <w:t>The analyses of earliest and latest SCORE assessments showed improvement in all domains</w:t>
                  </w:r>
                  <w:r>
                    <w:t xml:space="preserve"> for both programs.</w:t>
                  </w:r>
                  <w:r w:rsidRPr="00AE3F77">
                    <w:t xml:space="preserve"> on average. Impact, Knowledge, Skills, Behaviours and Confidence domains showed the largest improvement for FaRS service users under 18 years of age, and Impact, Behaviours, Knowledge and Skills domains showed the largest improvement for SFVS service users in this cohort. Satisfaction with services was consistently high for this cohort. All changes were statistically significant (p&lt;.001). Detailed tables are presented in</w:t>
                  </w:r>
                  <w:r w:rsidRPr="3FD55ABC">
                    <w:rPr>
                      <w:rStyle w:val="Text-BodyHeadingChar"/>
                      <w:b w:val="0"/>
                      <w:bCs w:val="0"/>
                      <w:color w:val="auto"/>
                      <w:lang w:val="en-NZ"/>
                    </w:rPr>
                    <w:t xml:space="preserve"> </w:t>
                  </w:r>
                  <w:hyperlink w:anchor="Appendix_F" w:history="1">
                    <w:r w:rsidRPr="009C0F6E">
                      <w:rPr>
                        <w:rStyle w:val="Hyperlink"/>
                        <w:rFonts w:asciiTheme="minorHAnsi" w:hAnsiTheme="minorHAnsi"/>
                        <w:b/>
                        <w:color w:val="007E00" w:themeColor="accent3"/>
                      </w:rPr>
                      <w:t>Appendix F</w:t>
                    </w:r>
                    <w:r w:rsidRPr="003668B8">
                      <w:rPr>
                        <w:rStyle w:val="Hyperlink"/>
                        <w:rFonts w:asciiTheme="minorHAnsi" w:hAnsiTheme="minorHAnsi"/>
                        <w:u w:val="none"/>
                      </w:rPr>
                      <w:t>.</w:t>
                    </w:r>
                  </w:hyperlink>
                </w:p>
                <w:p w14:paraId="6555441C" w14:textId="7B7FDF8C" w:rsidR="00820CFD" w:rsidRPr="00FB46E0" w:rsidRDefault="00363860" w:rsidP="00820CFD">
                  <w:pPr>
                    <w:pStyle w:val="Text"/>
                  </w:pPr>
                  <w:r>
                    <w:t>CSC</w:t>
                  </w:r>
                  <w:r w:rsidR="005674C7">
                    <w:t xml:space="preserve"> is part of the SFVS service offering, providing dedicated support for children who experience or witness family violence as victim survivors in their own right</w:t>
                  </w:r>
                  <w:r w:rsidR="006D190B">
                    <w:t xml:space="preserve">. </w:t>
                  </w:r>
                  <w:r w:rsidR="006D190B" w:rsidRPr="006D190B">
                    <w:t>Four Relationships Australia organisations provided CSC in 2021-22, expanding to seven from 2022-23 onward.</w:t>
                  </w:r>
                  <w:r w:rsidR="00FC5714">
                    <w:t xml:space="preserve"> (see</w:t>
                  </w:r>
                  <w:r w:rsidR="005674C7">
                    <w:t xml:space="preserve"> </w:t>
                  </w:r>
                  <w:r w:rsidR="00820CFD" w:rsidRPr="008E1B83">
                    <w:rPr>
                      <w:b/>
                      <w:lang w:val="en-GB"/>
                    </w:rPr>
                    <w:t>Section</w:t>
                  </w:r>
                  <w:r w:rsidR="00940D8B">
                    <w:rPr>
                      <w:b/>
                      <w:lang w:val="en-GB"/>
                    </w:rPr>
                    <w:t xml:space="preserve"> </w:t>
                  </w:r>
                  <w:r w:rsidR="00940D8B">
                    <w:rPr>
                      <w:b/>
                      <w:lang w:val="en-GB"/>
                    </w:rPr>
                    <w:fldChar w:fldCharType="begin" w:fldLock="1"/>
                  </w:r>
                  <w:r w:rsidR="00940D8B">
                    <w:rPr>
                      <w:b/>
                      <w:lang w:val="en-GB"/>
                    </w:rPr>
                    <w:instrText xml:space="preserve"> REF _Ref208397396 \n \h </w:instrText>
                  </w:r>
                  <w:r w:rsidR="00940D8B">
                    <w:rPr>
                      <w:b/>
                      <w:lang w:val="en-GB"/>
                    </w:rPr>
                  </w:r>
                  <w:r w:rsidR="00940D8B">
                    <w:rPr>
                      <w:b/>
                      <w:lang w:val="en-GB"/>
                    </w:rPr>
                    <w:fldChar w:fldCharType="separate"/>
                  </w:r>
                  <w:r w:rsidR="008F22E5">
                    <w:rPr>
                      <w:b/>
                      <w:lang w:val="en-GB"/>
                    </w:rPr>
                    <w:t>5.2.2</w:t>
                  </w:r>
                  <w:r w:rsidR="00940D8B">
                    <w:rPr>
                      <w:b/>
                      <w:lang w:val="en-GB"/>
                    </w:rPr>
                    <w:fldChar w:fldCharType="end"/>
                  </w:r>
                  <w:r w:rsidR="00940D8B">
                    <w:rPr>
                      <w:b/>
                      <w:lang w:val="en-GB"/>
                    </w:rPr>
                    <w:t xml:space="preserve"> </w:t>
                  </w:r>
                  <w:r w:rsidR="00FC5714">
                    <w:rPr>
                      <w:lang w:val="en-GB"/>
                    </w:rPr>
                    <w:t>for more detail on</w:t>
                  </w:r>
                  <w:r w:rsidR="00820CFD" w:rsidRPr="00447EDD">
                    <w:rPr>
                      <w:lang w:val="en-GB"/>
                    </w:rPr>
                    <w:t xml:space="preserve"> the impact that SFVS funding is having on children</w:t>
                  </w:r>
                  <w:r w:rsidR="00FC5714">
                    <w:rPr>
                      <w:lang w:val="en-GB"/>
                    </w:rPr>
                    <w:t>)</w:t>
                  </w:r>
                  <w:r w:rsidR="00820CFD" w:rsidRPr="00447EDD">
                    <w:rPr>
                      <w:lang w:val="en-GB"/>
                    </w:rPr>
                    <w:t>. This section focuses on the extent to which SFVS funding is appropriate and aligned with the needs of children.</w:t>
                  </w:r>
                  <w:r w:rsidR="00820CFD">
                    <w:rPr>
                      <w:lang w:val="en-GB"/>
                    </w:rPr>
                    <w:t xml:space="preserve"> </w:t>
                  </w:r>
                  <w:r w:rsidR="00820CFD" w:rsidRPr="0027545D">
                    <w:t xml:space="preserve">In 2023-24 close to 1,500 children received dedicated counselling. </w:t>
                  </w:r>
                  <w:r w:rsidR="00820CFD" w:rsidRPr="00FB46E0">
                    <w:t>Approximately 55-63% of children showed an overall positive change in circumstances by the end of service. By 2023-24, about 63% had improved circumstances.</w:t>
                  </w:r>
                </w:p>
                <w:p w14:paraId="26252A0C" w14:textId="36D69492" w:rsidR="005674C7" w:rsidRDefault="005674C7" w:rsidP="005674C7">
                  <w:pPr>
                    <w:pStyle w:val="Text"/>
                  </w:pPr>
                  <w:r>
                    <w:lastRenderedPageBreak/>
                    <w:t>Themes from the literature and in comments from service providers and service users engaged offered further insight into the importance of recognising children and young people as victim survivors in their own right</w:t>
                  </w:r>
                  <w:r w:rsidR="00630AFD">
                    <w:t xml:space="preserve">, as well as right bearers under the </w:t>
                  </w:r>
                  <w:r w:rsidR="00C63295">
                    <w:t>United Nations Convention on the Rights of the Child</w:t>
                  </w:r>
                  <w:r w:rsidR="00FA623A">
                    <w:t xml:space="preserve"> </w:t>
                  </w:r>
                  <w:r w:rsidR="00FA623A" w:rsidRPr="00FA623A">
                    <w:fldChar w:fldCharType="begin"/>
                  </w:r>
                  <w:r w:rsidR="003A464F">
                    <w:instrText xml:space="preserve"> ADDIN ZOTERO_ITEM CSL_CITATION {"citationID":"a12a0hocj7e","properties":{"formattedCitation":"(United Nations, 1989)","plainCitation":"(United Nations, 1989)","noteIndex":0},"citationItems":[{"id":5731,"uris":["http://zotero.org/groups/5691188/items/IZNZ4XMC"],"itemData":{"id":5731,"type":"document","abstract":"Entry into force: 2 September 1990, in accordance with article 49 Preamble The States Parties to the present Convention, Considering that, in accordance with the principles proclaimed in the Charter of the United Nations, recognition of the inherent dignity and of the equal and inalienable rights of all members of the human family is the foundation of freedom, justice and peace in the world,","title":"Convention on the Rights of the Child","URL":"https://www.ohchr.org/en/instruments-mechanisms/instruments/convention-rights-child","author":[{"literal":"United Nations"}],"accessed":{"date-parts":[["2025",9,9]]},"issued":{"date-parts":[["1989"]]}}}],"schema":"https://github.com/citation-style-language/schema/raw/master/csl-citation.json"} </w:instrText>
                  </w:r>
                  <w:r w:rsidR="00FA623A" w:rsidRPr="00FA623A">
                    <w:fldChar w:fldCharType="separate"/>
                  </w:r>
                  <w:r w:rsidR="003A464F" w:rsidRPr="003A464F">
                    <w:rPr>
                      <w:rFonts w:ascii="Arial" w:hAnsi="Arial" w:cs="Arial"/>
                    </w:rPr>
                    <w:t>(United Nations, 1989)</w:t>
                  </w:r>
                  <w:r w:rsidR="00FA623A" w:rsidRPr="00FA623A">
                    <w:fldChar w:fldCharType="end"/>
                  </w:r>
                  <w:r w:rsidRPr="00D50AC7">
                    <w:t>,</w:t>
                  </w:r>
                  <w:r>
                    <w:t xml:space="preserve"> and the engagement approaches and strategies supporting this. </w:t>
                  </w:r>
                </w:p>
                <w:p w14:paraId="7ACAC3EE" w14:textId="6EE68C2A" w:rsidR="005674C7" w:rsidRDefault="00B101A8" w:rsidP="005674C7">
                  <w:pPr>
                    <w:pStyle w:val="Text"/>
                  </w:pPr>
                  <w:r>
                    <w:t>The prevalence of c</w:t>
                  </w:r>
                  <w:r w:rsidR="00A82671">
                    <w:t xml:space="preserve">hild maltreatment </w:t>
                  </w:r>
                  <w:r w:rsidR="00370EF4">
                    <w:t>in Australia, including children and young people experiencing neglect, emotional</w:t>
                  </w:r>
                  <w:r w:rsidR="000775D3">
                    <w:t>,</w:t>
                  </w:r>
                  <w:r w:rsidR="00370EF4">
                    <w:t xml:space="preserve"> and physical abuse</w:t>
                  </w:r>
                  <w:r w:rsidR="004F2EAB">
                    <w:t xml:space="preserve">, is high, with </w:t>
                  </w:r>
                  <w:r w:rsidR="004F2EAB" w:rsidRPr="004F2EAB">
                    <w:rPr>
                      <w:lang w:val="en-AU"/>
                    </w:rPr>
                    <w:t xml:space="preserve">62.2% </w:t>
                  </w:r>
                  <w:r w:rsidR="00065FE5">
                    <w:rPr>
                      <w:lang w:val="en-AU"/>
                    </w:rPr>
                    <w:t>of the Australian</w:t>
                  </w:r>
                  <w:r w:rsidR="004F2EAB" w:rsidRPr="004F2EAB">
                    <w:rPr>
                      <w:lang w:val="en-AU"/>
                    </w:rPr>
                    <w:t xml:space="preserve"> population </w:t>
                  </w:r>
                  <w:r w:rsidR="004F2EAB">
                    <w:rPr>
                      <w:lang w:val="en-AU"/>
                    </w:rPr>
                    <w:t xml:space="preserve">aged </w:t>
                  </w:r>
                  <w:r>
                    <w:rPr>
                      <w:lang w:val="en-AU"/>
                    </w:rPr>
                    <w:t xml:space="preserve">16 – 65 having experienced some form of child maltreatment </w:t>
                  </w:r>
                  <w:r>
                    <w:rPr>
                      <w:lang w:val="en-AU"/>
                    </w:rPr>
                    <w:fldChar w:fldCharType="begin"/>
                  </w:r>
                  <w:r w:rsidR="003A464F">
                    <w:rPr>
                      <w:lang w:val="en-AU"/>
                    </w:rPr>
                    <w:instrText xml:space="preserve"> ADDIN ZOTERO_ITEM CSL_CITATION {"citationID":"aglpoddo52","properties":{"formattedCitation":"(Haslam et al., 2023)","plainCitation":"(Haslam et al., 2023)","noteIndex":0},"citationItems":[{"id":"KNHaqWe9/vjvS6cXH","uris":["http://zotero.org/groups/6054942/items/W6VF8IX4"],"itemData":{"id":5655,"type":"report","page":"44","publisher":"Queensland University of Technology","title":"The prevalence and impact of child maltreatment in Australia: Findings from the Australian Child Maltreatment Study","author":[{"family":"Haslam","given":"D"},{"family":"Mathews","given":"B"},{"family":"Pacella","given":"R"},{"family":"Scott","given":"JG"},{"family":"Finkelhor","given":"D"},{"family":"Higgins","given":"D"},{"family":"Meinck","given":"F"},{"family":"Thomas","given":"HJ"},{"family":"Lawrence","given":"D"},{"family":"Malacova","given":"E"}],"issued":{"date-parts":[["2023"]]}}}],"schema":"https://github.com/citation-style-language/schema/raw/master/csl-citation.json"} </w:instrText>
                  </w:r>
                  <w:r>
                    <w:rPr>
                      <w:lang w:val="en-AU"/>
                    </w:rPr>
                    <w:fldChar w:fldCharType="separate"/>
                  </w:r>
                  <w:r w:rsidR="003C117F" w:rsidRPr="003C117F">
                    <w:rPr>
                      <w:rFonts w:ascii="Arial" w:hAnsi="Arial" w:cs="Arial"/>
                    </w:rPr>
                    <w:t>(Haslam et al., 2023)</w:t>
                  </w:r>
                  <w:r>
                    <w:rPr>
                      <w:lang w:val="en-AU"/>
                    </w:rPr>
                    <w:fldChar w:fldCharType="end"/>
                  </w:r>
                  <w:r>
                    <w:rPr>
                      <w:lang w:val="en-AU"/>
                    </w:rPr>
                    <w:t>.</w:t>
                  </w:r>
                  <w:r w:rsidR="00A82671">
                    <w:rPr>
                      <w:lang w:val="en-AU"/>
                    </w:rPr>
                    <w:t xml:space="preserve"> </w:t>
                  </w:r>
                  <w:r w:rsidR="005674C7" w:rsidRPr="00FA18F6">
                    <w:t xml:space="preserve">AIHW data indicates that in 2022–23, approximately 30,900 children commenced intensive family support services and of these, 32% were aged under 5 years </w:t>
                  </w:r>
                  <w:r w:rsidR="005674C7" w:rsidRPr="00FA18F6">
                    <w:fldChar w:fldCharType="begin"/>
                  </w:r>
                  <w:r w:rsidR="003A464F">
                    <w:instrText xml:space="preserve"> ADDIN ZOTERO_ITEM CSL_CITATION {"citationID":"wvbPTRls","properties":{"formattedCitation":"(Australian Institute of Health and Welfare, 2024b)","plainCitation":"(Australian Institute of Health and Welfare, 2024b)","noteIndex":0},"citationItems":[{"id":4710,"uris":["http://zotero.org/groups/5691188/items/FIR45BJV"],"itemData":{"id":4710,"type":"report","event-place":"Canberra, ACT","publisher":"Australian Government","publisher-place":"Canberra, ACT","title":"Child protection Australia 2022–23","URL":"https://www.aihw.gov.au/reports/child-protection/child-protection-australia-insights/contents/insights","author":[{"family":"Australian Institute of Health and Welfare","given":""}],"issued":{"date-parts":[["2024"]]}}}],"schema":"https://github.com/citation-style-language/schema/raw/master/csl-citation.json"} </w:instrText>
                  </w:r>
                  <w:r w:rsidR="005674C7" w:rsidRPr="00FA18F6">
                    <w:fldChar w:fldCharType="separate"/>
                  </w:r>
                  <w:r w:rsidR="003A464F" w:rsidRPr="003A464F">
                    <w:rPr>
                      <w:rFonts w:ascii="Arial" w:hAnsi="Arial" w:cs="Arial"/>
                    </w:rPr>
                    <w:t>(Australian Institute of Health and Welfare, 2024b)</w:t>
                  </w:r>
                  <w:r w:rsidR="005674C7" w:rsidRPr="00FA18F6">
                    <w:fldChar w:fldCharType="end"/>
                  </w:r>
                  <w:r w:rsidR="005674C7" w:rsidRPr="00FA18F6">
                    <w:t xml:space="preserve">. Children and young people affected by family violence face unique challenges that require tailored, youth-specific support. </w:t>
                  </w:r>
                </w:p>
                <w:p w14:paraId="4FCB7CCB" w14:textId="5193B0B0" w:rsidR="005674C7" w:rsidRPr="00FA18F6" w:rsidRDefault="005674C7" w:rsidP="005674C7">
                  <w:pPr>
                    <w:pStyle w:val="Text"/>
                  </w:pPr>
                  <w:r>
                    <w:t xml:space="preserve">A strong recurring theme from the literature was the need to ensure children and young people feel seen, heard, </w:t>
                  </w:r>
                  <w:r w:rsidR="00E070C1">
                    <w:t>safe</w:t>
                  </w:r>
                  <w:r>
                    <w:t xml:space="preserve">, and recognised as victim survivors in their own right. </w:t>
                  </w:r>
                  <w:r w:rsidRPr="00FA18F6">
                    <w:t xml:space="preserve">Their perspectives on safety and coping can differ significantly from adults, </w:t>
                  </w:r>
                  <w:r>
                    <w:t>requiring</w:t>
                  </w:r>
                  <w:r w:rsidRPr="00FA18F6">
                    <w:t xml:space="preserve"> intersectional, </w:t>
                  </w:r>
                  <w:r w:rsidR="00CB0279">
                    <w:t xml:space="preserve">children and </w:t>
                  </w:r>
                  <w:r w:rsidRPr="00FA18F6">
                    <w:t>youth-centred approach</w:t>
                  </w:r>
                  <w:r>
                    <w:t>es</w:t>
                  </w:r>
                  <w:r w:rsidRPr="00FA18F6">
                    <w:t xml:space="preserve"> that </w:t>
                  </w:r>
                  <w:r>
                    <w:t>see</w:t>
                  </w:r>
                  <w:r w:rsidRPr="00FA18F6">
                    <w:t xml:space="preserve"> </w:t>
                  </w:r>
                  <w:r w:rsidR="00CB0279">
                    <w:t>children</w:t>
                  </w:r>
                  <w:r w:rsidRPr="00FA18F6">
                    <w:t xml:space="preserve"> young people as active participants in their own support and recovery</w:t>
                  </w:r>
                  <w:bookmarkStart w:id="501" w:name="_Hlk204003190"/>
                  <w:r w:rsidRPr="00FA18F6">
                    <w:t xml:space="preserve"> </w:t>
                  </w:r>
                  <w:r w:rsidRPr="00FA18F6">
                    <w:fldChar w:fldCharType="begin"/>
                  </w:r>
                  <w:r w:rsidR="00E41D03">
                    <w:instrText xml:space="preserve"> ADDIN ZOTERO_ITEM CSL_CITATION {"citationID":"E9SPUxES","properties":{"formattedCitation":"(Corrie and Moore, 2021)","plainCitation":"(Corrie and Moore, 2021)","noteIndex":0},"citationItems":[{"id":4712,"uris":["http://zotero.org/groups/5691188/items/JSC5WE94"],"itemData":{"id":4712,"type":"report","event-place":"Melbourne","language":"en","publisher":"Melbourne City Mission","publisher-place":"Melbourne","source":"Zotero","title":"Amplify: Turning up the Volume on Young People and Family Violence","author":[{"family":"Corrie","given":"Tanya"},{"family":"Moore","given":"S"}],"issued":{"date-parts":[["2021"]]}}}],"schema":"https://github.com/citation-style-language/schema/raw/master/csl-citation.json"} </w:instrText>
                  </w:r>
                  <w:r w:rsidRPr="00FA18F6">
                    <w:fldChar w:fldCharType="separate"/>
                  </w:r>
                  <w:r w:rsidRPr="00795A5F">
                    <w:rPr>
                      <w:rFonts w:ascii="Arial" w:hAnsi="Arial" w:cs="Arial"/>
                    </w:rPr>
                    <w:t>(Corrie and Moore, 2021)</w:t>
                  </w:r>
                  <w:r w:rsidRPr="00FA18F6">
                    <w:fldChar w:fldCharType="end"/>
                  </w:r>
                  <w:bookmarkEnd w:id="501"/>
                  <w:r w:rsidRPr="00FA18F6">
                    <w:t>.</w:t>
                  </w:r>
                  <w:r>
                    <w:t xml:space="preserve"> </w:t>
                  </w:r>
                  <w:r w:rsidR="00D15ADE">
                    <w:t xml:space="preserve">Harkin et al </w:t>
                  </w:r>
                  <w:r w:rsidR="000775D3" w:rsidRPr="000775D3">
                    <w:fldChar w:fldCharType="begin"/>
                  </w:r>
                  <w:r w:rsidR="00E41D03">
                    <w:instrText xml:space="preserve"> ADDIN ZOTERO_ITEM CSL_CITATION {"citationID":"abo9h0tkja","properties":{"formattedCitation":"(2020)","plainCitation":"(2020)","noteIndex":0},"citationItems":[{"id":4614,"uris":["http://zotero.org/groups/5691188/items/AFIX6FB9"],"itemData":{"id":4614,"type":"article-journal","abstract":"Australia's 2017 Royal Commission into Institutional Responses to Child Sexual Abuse recommended to organizations that children should participate in decisions affecting their lives as a safety standard. While a substantial body of research about children's voices in statutory or out-of-home care now exists, there remains a paucity of research into children's voices in family support services delivered by nongovernment organizations. This is despite the primary service purpose being to benefit children. This lack of focus in family support was identified as a research priority by a nongovernment organization in Queensland, Australia, which lead to a collaborative research programme. This article reports on initial research from a survey study to describe the current state of play from practitioners into their perceptions and practices of children's participation in family support contexts. A voluntary and anonymous online, qualitativepredominate survey was opened to 110 practitioners in family support services, of which 50% responded. The findings identified that children's voices were compromised by perceptions of children's capacity relating to age and vulnerability, the parental focus of the service coupled with perceptions of parent's needs and gatekeeping behaviours and service pressures that work against the conditions required for children's rights to voice.","container-title":"Child &amp; Family Social Work","DOI":"10.1111/cfs.12781","ISSN":"1356-7500, 1365-2206","issue":"4","journalAbbreviation":"Child &amp; Family Social Work","language":"en","page":"955-963","source":"DOI.org (Crossref)","title":"Influences on children's voices in family support services: Practitioner perspectives","title-short":"Influences on children's voices in family support services","volume":"25","author":[{"family":"Harkin","given":"Jo</w:instrText>
                  </w:r>
                  <w:r w:rsidR="00E41D03">
                    <w:rPr>
                      <w:rFonts w:ascii="Cambria Math" w:hAnsi="Cambria Math" w:cs="Cambria Math"/>
                    </w:rPr>
                    <w:instrText>‐</w:instrText>
                  </w:r>
                  <w:r w:rsidR="00E41D03">
                    <w:instrText>anne"},{"family":"Stafford","given":"Lisa"},{"family":"Leggatt</w:instrText>
                  </w:r>
                  <w:r w:rsidR="00E41D03">
                    <w:rPr>
                      <w:rFonts w:ascii="Cambria Math" w:hAnsi="Cambria Math" w:cs="Cambria Math"/>
                    </w:rPr>
                    <w:instrText>‐</w:instrText>
                  </w:r>
                  <w:r w:rsidR="00E41D03">
                    <w:instrText xml:space="preserve">Cook","given":"Chez"}],"issued":{"date-parts":[["2020",11]]}},"suppress-author":true}],"schema":"https://github.com/citation-style-language/schema/raw/master/csl-citation.json"} </w:instrText>
                  </w:r>
                  <w:r w:rsidR="000775D3" w:rsidRPr="000775D3">
                    <w:fldChar w:fldCharType="separate"/>
                  </w:r>
                  <w:r w:rsidR="00E41D03" w:rsidRPr="00E41D03">
                    <w:rPr>
                      <w:rFonts w:ascii="Arial" w:hAnsi="Arial" w:cs="Arial"/>
                    </w:rPr>
                    <w:t>(2020)</w:t>
                  </w:r>
                  <w:r w:rsidR="000775D3" w:rsidRPr="000775D3">
                    <w:fldChar w:fldCharType="end"/>
                  </w:r>
                  <w:r w:rsidR="000775D3" w:rsidRPr="005716DC">
                    <w:t xml:space="preserve"> </w:t>
                  </w:r>
                  <w:r w:rsidR="00D15ADE">
                    <w:t>observe</w:t>
                  </w:r>
                  <w:r w:rsidR="00D15ADE" w:rsidRPr="005716DC">
                    <w:t xml:space="preserve"> that the typical family support model primarily addresses parental needs</w:t>
                  </w:r>
                  <w:r w:rsidR="00C17CD7">
                    <w:t xml:space="preserve"> to benefit children and young people</w:t>
                  </w:r>
                  <w:r w:rsidR="00D15ADE" w:rsidRPr="005716DC">
                    <w:t xml:space="preserve">, sidelining input </w:t>
                  </w:r>
                  <w:r w:rsidR="00D15ADE">
                    <w:t>from children and young people</w:t>
                  </w:r>
                  <w:r w:rsidR="000775D3">
                    <w:t xml:space="preserve">. </w:t>
                  </w:r>
                  <w:r w:rsidR="00D15ADE" w:rsidRPr="005716DC">
                    <w:t>This parental focus limits</w:t>
                  </w:r>
                  <w:r w:rsidR="00D15ADE" w:rsidRPr="005716DC" w:rsidDel="00D15ADE">
                    <w:t xml:space="preserve"> </w:t>
                  </w:r>
                  <w:r w:rsidR="00D15ADE" w:rsidRPr="005716DC">
                    <w:t>active participation and visibility</w:t>
                  </w:r>
                  <w:r w:rsidR="00D15ADE">
                    <w:t xml:space="preserve"> from children and young people</w:t>
                  </w:r>
                  <w:r w:rsidRPr="005716DC">
                    <w:t xml:space="preserve">, particularly when parents restrict or </w:t>
                  </w:r>
                  <w:r w:rsidR="000775D3">
                    <w:t>‘</w:t>
                  </w:r>
                  <w:r w:rsidRPr="005716DC">
                    <w:t>gatekeep</w:t>
                  </w:r>
                  <w:r w:rsidR="000775D3">
                    <w:t>’</w:t>
                  </w:r>
                  <w:r w:rsidRPr="005716DC">
                    <w:t xml:space="preserve"> what children can express to practitioners​ </w:t>
                  </w:r>
                  <w:r>
                    <w:fldChar w:fldCharType="begin"/>
                  </w:r>
                  <w:r w:rsidR="00E41D03">
                    <w:instrText xml:space="preserve"> ADDIN ZOTERO_ITEM CSL_CITATION {"citationID":"I5ZNE4AO","properties":{"formattedCitation":"(Harkin et al., 2020; Stafford et al., 2021)","plainCitation":"(Harkin et al., 2020; Stafford et al., 2021)","noteIndex":0},"citationItems":[{"id":4614,"uris":["http://zotero.org/groups/5691188/items/AFIX6FB9"],"itemData":{"id":4614,"type":"article-journal","abstract":"Australia's 2017 Royal Commission into Institutional Responses to Child Sexual Abuse recommended to organizations that children should participate in decisions affecting their lives as a safety standard. While a substantial body of research about children's voices in statutory or out-of-home care now exists, there remains a paucity of research into children's voices in family support services delivered by nongovernment organizations. This is despite the primary service purpose being to benefit children. This lack of focus in family support was identified as a research priority by a nongovernment organization in Queensland, Australia, which lead to a collaborative research programme. This article reports on initial research from a survey study to describe the current state of play from practitioners into their perceptions and practices of children's participation in family support contexts. A voluntary and anonymous online, qualitativepredominate survey was opened to 110 practitioners in family support services, of which 50% responded. The findings identified that children's voices were compromised by perceptions of children's capacity relating to age and vulnerability, the parental focus of the service coupled with perceptions of parent's needs and gatekeeping behaviours and service pressures that work against the conditions required for children's rights to voice.","container-title":"Child &amp; Family Social Work","DOI":"10.1111/cfs.12781","ISSN":"1356-7500, 1365-2206","issue":"4","journalAbbreviation":"Child &amp; Family Social Work","language":"en","page":"955-963","source":"DOI.org (Crossref)","title":"Influences on children's voices in family support services: Practitioner perspectives","title-short":"Influences on children's voices in family support services","volume":"25","author":[{"family":"Harkin","given":"Jo</w:instrText>
                  </w:r>
                  <w:r w:rsidR="00E41D03">
                    <w:rPr>
                      <w:rFonts w:ascii="Cambria Math" w:hAnsi="Cambria Math" w:cs="Cambria Math"/>
                    </w:rPr>
                    <w:instrText>‐</w:instrText>
                  </w:r>
                  <w:r w:rsidR="00E41D03">
                    <w:instrText>anne"},{"family":"Stafford","given":"Lisa"},{"family":"Leggatt</w:instrText>
                  </w:r>
                  <w:r w:rsidR="00E41D03">
                    <w:rPr>
                      <w:rFonts w:ascii="Cambria Math" w:hAnsi="Cambria Math" w:cs="Cambria Math"/>
                    </w:rPr>
                    <w:instrText>‐</w:instrText>
                  </w:r>
                  <w:r w:rsidR="00E41D03">
                    <w:instrText>Cook","given":"Chez"}],"issued":{"date-parts":[["2020",11]]}}},{"id":4608,"uris":["http://zotero.org/groups/5691188/items/72KY76EM"],"itemData":{"id":4608,"type":"article-journal","abstract":"Background: Having a voice in family matters is considered a protective factor from harm, and key to promoting children</w:instrText>
                  </w:r>
                  <w:r w:rsidR="00E41D03">
                    <w:rPr>
                      <w:rFonts w:ascii="Arial" w:hAnsi="Arial" w:cs="Arial"/>
                    </w:rPr>
                    <w:instrText>’</w:instrText>
                  </w:r>
                  <w:r w:rsidR="00E41D03">
                    <w:instrText>s wellbeing. However, since the adoption of the United Nations Convention on the Rights of the Child (1989) and specifically Article 12 pertaining to children</w:instrText>
                  </w:r>
                  <w:r w:rsidR="00E41D03">
                    <w:rPr>
                      <w:rFonts w:ascii="Arial" w:hAnsi="Arial" w:cs="Arial"/>
                    </w:rPr>
                    <w:instrText>’</w:instrText>
                  </w:r>
                  <w:r w:rsidR="00E41D03">
                    <w:instrText xml:space="preserve">s participation, research reveals that children’s voices often remain invisible in child protection and family welfare services.\nObjective: While there is renewed interest in hearing children’s voices about their experiences in out-of-home care, there remains little awareness and knowledge of children’s voices in family support services. This article addresses this gap by presenting children’s own meanings and ex­ periences of having a voice, derived from a research collaboration between UnitingCare and Queensland University of Technology . Participants and setting: 17 children aged 6–16 years (8 sibling groups) whose families received family support services (voluntary or ordered) from UnitingCare in Queensland, Australia.\nMethods: An interpretative phenomenological approach with activity-based interviews involving art, play and Reflexions cards were used to support children to share their lived experiences. Findings: Children’s sense-making related to having a voice revealed four connected meanings that poignantly illustrated that not only should children have a say about the supports they receive because they are part of a family, but because they are knowledgeable agents with in­ sights that can improve their and their family’s experiences.\nConclusion: Family support services need a sustained paradigm shift towards protection with participation to incorporate the voices of children as an everyday practice to ensure their well­ being and safety.","container-title":"Child Abuse &amp; Neglect","DOI":"10.1016/j.chiabu.2021.104987","ISSN":"01452134","journalAbbreviation":"Child Abuse &amp; Neglect","language":"en","page":"104987","source":"DOI.org (Crossref)","title":"Why having a voice is important to children who are involved in family support services","volume":"115","author":[{"family":"Stafford","given":"Lisa"},{"family":"Harkin","given":"Jo-anne"},{"family":"Rolfe","given":"Annie"},{"family":"Burton","given":"Judith"},{"family":"Morley","given":"Christine"}],"issued":{"date-parts":[["2021",5]]}}}],"schema":"https://github.com/citation-style-language/schema/raw/master/csl-citation.json"} </w:instrText>
                  </w:r>
                  <w:r>
                    <w:fldChar w:fldCharType="separate"/>
                  </w:r>
                  <w:r w:rsidRPr="00A01622">
                    <w:rPr>
                      <w:rFonts w:ascii="Arial" w:hAnsi="Arial" w:cs="Arial"/>
                    </w:rPr>
                    <w:t>(Harkin et al., 2020; Stafford et al., 2021)</w:t>
                  </w:r>
                  <w:r>
                    <w:fldChar w:fldCharType="end"/>
                  </w:r>
                  <w:r>
                    <w:t>. Y</w:t>
                  </w:r>
                  <w:r w:rsidRPr="00FA18F6">
                    <w:t>oung people experiencing violence, whether from a parent or intimate partner, are often overlooked as victim</w:t>
                  </w:r>
                  <w:r w:rsidR="00C3100E">
                    <w:t xml:space="preserve"> </w:t>
                  </w:r>
                  <w:r w:rsidRPr="00FA18F6">
                    <w:t xml:space="preserve">survivors. Instead, services typically categorise family violence as adult-centric, neglecting </w:t>
                  </w:r>
                  <w:r w:rsidR="00D15ADE">
                    <w:t xml:space="preserve">children and </w:t>
                  </w:r>
                  <w:r w:rsidRPr="00FA18F6">
                    <w:t xml:space="preserve">young people's experiences. </w:t>
                  </w:r>
                  <w:r w:rsidR="003E7BC5">
                    <w:t xml:space="preserve">This is reflected </w:t>
                  </w:r>
                  <w:r w:rsidR="00910EDA">
                    <w:t xml:space="preserve">in children who </w:t>
                  </w:r>
                  <w:r w:rsidR="004F749E">
                    <w:t xml:space="preserve">are bereaved by </w:t>
                  </w:r>
                  <w:r w:rsidR="000775D3">
                    <w:t>family</w:t>
                  </w:r>
                  <w:r w:rsidR="004F749E">
                    <w:t xml:space="preserve"> violence</w:t>
                  </w:r>
                  <w:r w:rsidR="00CF08F5">
                    <w:t>, who often face isolation and face barriers accessing age appropriate services</w:t>
                  </w:r>
                  <w:r w:rsidR="004F749E">
                    <w:t xml:space="preserve"> </w:t>
                  </w:r>
                  <w:r w:rsidR="004F749E">
                    <w:fldChar w:fldCharType="begin"/>
                  </w:r>
                  <w:r w:rsidR="003A464F">
                    <w:instrText xml:space="preserve"> ADDIN ZOTERO_ITEM CSL_CITATION {"citationID":"a1eui3eim0v","properties":{"formattedCitation":"(Alisic et al., 2023)","plainCitation":"(Alisic et al., 2023)","noteIndex":0},"citationItems":[{"id":"KNHaqWe9/v0vnD3JN","uris":["http://zotero.org/groups/6054942/items/T66E5WG3"],"itemData":{"id":5658,"type":"report","page":"25","publisher":"University of Melbourne and University of Edinburgh","title":"Children and Young People Bereaved by Domestic Homicide - A Focus on Australia","author":[{"family":"Alisic","given":"E"},{"family":"Barrett","given":"A"},{"family":"Conroy","given":"R"},{"family":"Devaney","given":"J"},{"family":"Eastwood","given":"O"},{"family":"Frederick","given":"J"},{"family":"Houghton","given":"C"},{"family":"Humphreys","given":"C"},{"family":"Joy","given":"K"},{"family":"Marinkovic Chavez","given":"K"},{"family":"Morrice","given":"H"},{"family":"Sakthiakumaran","given":"A"},{"family":"Vasileva","given":"M"}],"issued":{"date-parts":[["2023"]]}}}],"schema":"https://github.com/citation-style-language/schema/raw/master/csl-citation.json"} </w:instrText>
                  </w:r>
                  <w:r w:rsidR="004F749E">
                    <w:fldChar w:fldCharType="separate"/>
                  </w:r>
                  <w:r w:rsidR="003C117F" w:rsidRPr="003C117F">
                    <w:rPr>
                      <w:rFonts w:ascii="Arial" w:hAnsi="Arial" w:cs="Arial"/>
                    </w:rPr>
                    <w:t>(Alisic et al., 2023)</w:t>
                  </w:r>
                  <w:r w:rsidR="004F749E">
                    <w:fldChar w:fldCharType="end"/>
                  </w:r>
                  <w:r w:rsidR="00D15ADE">
                    <w:t>.</w:t>
                  </w:r>
                  <w:r w:rsidRPr="005716DC">
                    <w:t xml:space="preserve"> </w:t>
                  </w:r>
                </w:p>
                <w:p w14:paraId="30050814" w14:textId="1852FDA3" w:rsidR="004C5A93" w:rsidRDefault="005674C7" w:rsidP="005674C7">
                  <w:pPr>
                    <w:pStyle w:val="Text"/>
                  </w:pPr>
                  <w:r w:rsidRPr="00FA18F6">
                    <w:t xml:space="preserve">A meta-synthesis by Noble-Carr et al. </w:t>
                  </w:r>
                  <w:r w:rsidRPr="00FA18F6">
                    <w:fldChar w:fldCharType="begin"/>
                  </w:r>
                  <w:r w:rsidR="00E41D03">
                    <w:instrText xml:space="preserve"> ADDIN ZOTERO_ITEM CSL_CITATION {"citationID":"pWQHEQ9n","properties":{"formattedCitation":"(2020)","plainCitation":"(2020)","noteIndex":0},"citationItems":[{"id":4743,"uris":["http://zotero.org/groups/5691188/items/56WHHM62"],"itemData":{"id":4743,"type":"article-journal","abstract":"Domestic and family violence is a significant issue experienced by many children that can have severe detrimental impacts to their health, development, and well</w:instrText>
                  </w:r>
                  <w:r w:rsidR="00E41D03">
                    <w:rPr>
                      <w:rFonts w:ascii="Cambria Math" w:hAnsi="Cambria Math" w:cs="Cambria Math"/>
                    </w:rPr>
                    <w:instrText>‐</w:instrText>
                  </w:r>
                  <w:r w:rsidR="00E41D03">
                    <w:instrText>being. Despite the significance of this issue, it is only recently that children have been included in research that seeks to understand the impacts that domestic and family violence may have on their lives. This paper reports on the findings of a meta</w:instrText>
                  </w:r>
                  <w:r w:rsidR="00E41D03">
                    <w:rPr>
                      <w:rFonts w:ascii="Cambria Math" w:hAnsi="Cambria Math" w:cs="Cambria Math"/>
                    </w:rPr>
                    <w:instrText>‐</w:instrText>
                  </w:r>
                  <w:r w:rsidR="00E41D03">
                    <w:instrText>synthesis, which explored qualitative research about children's experiences of domestic and family violence. Thirty</w:instrText>
                  </w:r>
                  <w:r w:rsidR="00E41D03">
                    <w:rPr>
                      <w:rFonts w:ascii="Cambria Math" w:hAnsi="Cambria Math" w:cs="Cambria Math"/>
                    </w:rPr>
                    <w:instrText>‐</w:instrText>
                  </w:r>
                  <w:r w:rsidR="00E41D03">
                    <w:instrText>two studies, including from the United Kingdom, North America, and Australia were included for review. The meta</w:instrText>
                  </w:r>
                  <w:r w:rsidR="00E41D03">
                    <w:rPr>
                      <w:rFonts w:ascii="Cambria Math" w:hAnsi="Cambria Math" w:cs="Cambria Math"/>
                    </w:rPr>
                    <w:instrText>‐</w:instrText>
                  </w:r>
                  <w:r w:rsidR="00E41D03">
                    <w:instrText>synthesis found that children describe domestic violence as being a complex, isolating, and enduring experience that often results in disruption, losses, and challenges to their significant relationships. Children's common feelings of fear, worry, powerlessness, and sadness were also uncovered, in addition to the strategies they employed to try and facilitate the safety and emotional well</w:instrText>
                  </w:r>
                  <w:r w:rsidR="00E41D03">
                    <w:rPr>
                      <w:rFonts w:ascii="Cambria Math" w:hAnsi="Cambria Math" w:cs="Cambria Math"/>
                    </w:rPr>
                    <w:instrText>‐</w:instrText>
                  </w:r>
                  <w:r w:rsidR="00E41D03">
                    <w:instrText>being of themselves and their family. Children's wants and needs are also highlighted. The findings demonstrate that despite the increasing interest in children's experiences of domestic and family violence, qualitative research remains limited, with many gaps evident. Implications for research, policy, and practice are considered.","container-title":"Child &amp; Family Social Work","DOI":"10.1111/cfs.12645","ISSN":"1356-7500, 1365-2206","issue":"1","journalAbbreviation":"Child &amp; Family Social Work","language":"en","page":"182-191","source":"DOI.org (Crossref)","title":"Children's experiences and needs in relation to domestic and family violence: Findings from a meta</w:instrText>
                  </w:r>
                  <w:r w:rsidR="00E41D03">
                    <w:rPr>
                      <w:rFonts w:ascii="Cambria Math" w:hAnsi="Cambria Math" w:cs="Cambria Math"/>
                    </w:rPr>
                    <w:instrText>‐</w:instrText>
                  </w:r>
                  <w:r w:rsidR="00E41D03">
                    <w:instrText>synthesis","title-short":"Children's experiences and needs in relation to domestic and family violence","volume":"25","author":[{"family":"Noble</w:instrText>
                  </w:r>
                  <w:r w:rsidR="00E41D03">
                    <w:rPr>
                      <w:rFonts w:ascii="Cambria Math" w:hAnsi="Cambria Math" w:cs="Cambria Math"/>
                    </w:rPr>
                    <w:instrText>‐</w:instrText>
                  </w:r>
                  <w:r w:rsidR="00E41D03">
                    <w:instrText xml:space="preserve">Carr","given":"Debbie"},{"family":"Moore","given":"Tim"},{"family":"McArthur","given":"Morag"}],"issued":{"date-parts":[["2020",2]]}},"label":"page","suppress-author":true}],"schema":"https://github.com/citation-style-language/schema/raw/master/csl-citation.json"} </w:instrText>
                  </w:r>
                  <w:r w:rsidRPr="00FA18F6">
                    <w:fldChar w:fldCharType="separate"/>
                  </w:r>
                  <w:r w:rsidRPr="00FA18F6">
                    <w:t>(2020)</w:t>
                  </w:r>
                  <w:r w:rsidRPr="00FA18F6">
                    <w:fldChar w:fldCharType="end"/>
                  </w:r>
                  <w:r w:rsidRPr="00FA18F6">
                    <w:t xml:space="preserve"> highlights the unique needs and preferences of children </w:t>
                  </w:r>
                  <w:r w:rsidR="00B1423D">
                    <w:t xml:space="preserve">and young people </w:t>
                  </w:r>
                  <w:r w:rsidRPr="00FA18F6">
                    <w:t xml:space="preserve">impacted by family violence, underscoring their desire for both physical and emotional safety. They value having trusted individuals to talk to—whether adults or peers with similar experiences—and emphasise the importance of being taken seriously and having their voices </w:t>
                  </w:r>
                  <w:r>
                    <w:t xml:space="preserve">heard </w:t>
                  </w:r>
                  <w:r w:rsidRPr="00FA18F6">
                    <w:fldChar w:fldCharType="begin"/>
                  </w:r>
                  <w:r w:rsidR="00E41D03">
                    <w:instrText xml:space="preserve"> ADDIN ZOTERO_ITEM CSL_CITATION {"citationID":"3HlOX1cU","properties":{"formattedCitation":"(Noble\\uc0\\u8208{}Carr et al., 2020)","plainCitation":"(Noble</w:instrText>
                  </w:r>
                  <w:r w:rsidR="00E41D03">
                    <w:rPr>
                      <w:rFonts w:ascii="Cambria Math" w:hAnsi="Cambria Math" w:cs="Cambria Math"/>
                    </w:rPr>
                    <w:instrText>‐</w:instrText>
                  </w:r>
                  <w:r w:rsidR="00E41D03">
                    <w:instrText>Carr et al., 2020)","noteIndex":0},"citationItems":[{"id":4743,"uris":["http://zotero.org/groups/5691188/items/56WHHM62"],"itemData":{"id":4743,"type":"article-journal","abstract":"Domestic and family violence is a significant issue experienced by many children that can have severe detrimental impacts to their health, development, and well</w:instrText>
                  </w:r>
                  <w:r w:rsidR="00E41D03">
                    <w:rPr>
                      <w:rFonts w:ascii="Cambria Math" w:hAnsi="Cambria Math" w:cs="Cambria Math"/>
                    </w:rPr>
                    <w:instrText>‐</w:instrText>
                  </w:r>
                  <w:r w:rsidR="00E41D03">
                    <w:instrText>being. Despite the significance of this issue, it is only recently that children have been included in research that seeks to understand the impacts that domestic and family violence may have on their lives. This paper reports on the findings of a meta</w:instrText>
                  </w:r>
                  <w:r w:rsidR="00E41D03">
                    <w:rPr>
                      <w:rFonts w:ascii="Cambria Math" w:hAnsi="Cambria Math" w:cs="Cambria Math"/>
                    </w:rPr>
                    <w:instrText>‐</w:instrText>
                  </w:r>
                  <w:r w:rsidR="00E41D03">
                    <w:instrText>synthesis, which explored qualitative research about children's experiences of domestic and family violence. Thirty</w:instrText>
                  </w:r>
                  <w:r w:rsidR="00E41D03">
                    <w:rPr>
                      <w:rFonts w:ascii="Cambria Math" w:hAnsi="Cambria Math" w:cs="Cambria Math"/>
                    </w:rPr>
                    <w:instrText>‐</w:instrText>
                  </w:r>
                  <w:r w:rsidR="00E41D03">
                    <w:instrText>two studies, including from the United Kingdom, North America, and Australia were included for review. The meta</w:instrText>
                  </w:r>
                  <w:r w:rsidR="00E41D03">
                    <w:rPr>
                      <w:rFonts w:ascii="Cambria Math" w:hAnsi="Cambria Math" w:cs="Cambria Math"/>
                    </w:rPr>
                    <w:instrText>‐</w:instrText>
                  </w:r>
                  <w:r w:rsidR="00E41D03">
                    <w:instrText>synthesis found that children describe domestic violence as being a complex, isolating, and enduring experience that often results in disruption, losses, and challenges to their significant relationships. Children's common feelings of fear, worry, powerlessness, and sadness were also uncovered, in addition to the strategies they employed to try and facilitate the safety and emotional well</w:instrText>
                  </w:r>
                  <w:r w:rsidR="00E41D03">
                    <w:rPr>
                      <w:rFonts w:ascii="Cambria Math" w:hAnsi="Cambria Math" w:cs="Cambria Math"/>
                    </w:rPr>
                    <w:instrText>‐</w:instrText>
                  </w:r>
                  <w:r w:rsidR="00E41D03">
                    <w:instrText>being of themselves and their family. Children's wants and needs are also highlighted. The findings demonstrate that despite the increasing interest in children's experiences of domestic and family violence, qualitative research remains limited, with many gaps evident. Implications for research, policy, and practice are considered.","container-title":"Child &amp; Family Social Work","DOI":"10.1111/cfs.12645","ISSN":"1356-7500, 1365-2206","issue":"1","journalAbbreviation":"Child &amp; Family Social Work","language":"en","page":"182-191","source":"DOI.org (Crossref)","title":"Children's experiences and needs in relation to domestic and family violence: Findings from a meta</w:instrText>
                  </w:r>
                  <w:r w:rsidR="00E41D03">
                    <w:rPr>
                      <w:rFonts w:ascii="Cambria Math" w:hAnsi="Cambria Math" w:cs="Cambria Math"/>
                    </w:rPr>
                    <w:instrText>‐</w:instrText>
                  </w:r>
                  <w:r w:rsidR="00E41D03">
                    <w:instrText>synthesis","title-short":"Children's experiences and needs in relation to domestic and family violence","volume":"25","author":[{"family":"Noble</w:instrText>
                  </w:r>
                  <w:r w:rsidR="00E41D03">
                    <w:rPr>
                      <w:rFonts w:ascii="Cambria Math" w:hAnsi="Cambria Math" w:cs="Cambria Math"/>
                    </w:rPr>
                    <w:instrText>‐</w:instrText>
                  </w:r>
                  <w:r w:rsidR="00E41D03">
                    <w:instrText xml:space="preserve">Carr","given":"Debbie"},{"family":"Moore","given":"Tim"},{"family":"McArthur","given":"Morag"}],"issued":{"date-parts":[["2020",2]]}}}],"schema":"https://github.com/citation-style-language/schema/raw/master/csl-citation.json"} </w:instrText>
                  </w:r>
                  <w:r w:rsidRPr="00FA18F6">
                    <w:fldChar w:fldCharType="separate"/>
                  </w:r>
                  <w:r w:rsidRPr="00FA18F6">
                    <w:t>(Noble</w:t>
                  </w:r>
                  <w:r w:rsidRPr="00FA18F6">
                    <w:rPr>
                      <w:rFonts w:ascii="Cambria Math" w:hAnsi="Cambria Math" w:cs="Cambria Math"/>
                    </w:rPr>
                    <w:t>‐</w:t>
                  </w:r>
                  <w:r w:rsidRPr="00FA18F6">
                    <w:t>Carr et al., 2020)</w:t>
                  </w:r>
                  <w:r w:rsidRPr="00FA18F6">
                    <w:fldChar w:fldCharType="end"/>
                  </w:r>
                  <w:r w:rsidRPr="00FA18F6">
                    <w:t>.</w:t>
                  </w:r>
                  <w:r>
                    <w:t xml:space="preserve"> </w:t>
                  </w:r>
                  <w:r w:rsidR="009B214C">
                    <w:t>C</w:t>
                  </w:r>
                  <w:r w:rsidRPr="005716DC">
                    <w:t xml:space="preserve">hildren </w:t>
                  </w:r>
                  <w:r w:rsidR="009B214C">
                    <w:t>and young people</w:t>
                  </w:r>
                  <w:r w:rsidRPr="005716DC">
                    <w:t xml:space="preserve"> associate being listened to with feeling valued, which enhances their self-esteem and provides a foundation for healthy development</w:t>
                  </w:r>
                  <w:r w:rsidR="00E33931">
                    <w:t xml:space="preserve"> </w:t>
                  </w:r>
                  <w:r w:rsidR="00A21506" w:rsidRPr="00A21506">
                    <w:fldChar w:fldCharType="begin"/>
                  </w:r>
                  <w:r w:rsidR="00E41D03">
                    <w:instrText xml:space="preserve"> ADDIN ZOTERO_ITEM CSL_CITATION {"citationID":"a2368mat4f9","properties":{"formattedCitation":"(Stafford et al., 2021)","plainCitation":"(Stafford et al., 2021)","noteIndex":0},"citationItems":[{"id":4608,"uris":["http://zotero.org/groups/5691188/items/72KY76EM"],"itemData":{"id":4608,"type":"article-journal","abstract":"Background: Having a voice in family matters is considered a protective factor from harm, and key to promoting children’s wellbeing. However, since the adoption of the United Nations Convention on the Rights of the Child (1989) and specifically Article 12 pertaining to children’s participation, research reveals that children’s voices often remain invisible in child protection and family welfare services.\nObjective: While there is renewed interest in hearing children’s voices about their experiences in out-of-home care, there remains little awareness and knowledge of children’s voices in family support services. This article addresses this gap by presenting children’s own meanings and ex­ periences of having a voice, derived from a research collaboration between UnitingCare and Queensland University of Technology . Participants and setting: 17 children aged 6–16 years (8 sibling groups) whose families received family support services (voluntary or ordered) from UnitingCare in Queensland, Australia.\nMethods: An interpretative phenomenological approach with activity-based interviews involving art, play and Reflexions cards were used to support children to share their lived experiences. Findings: Children’s sense-making related to having a voice revealed four connected meanings that poignantly illustrated that not only should children have a say about the supports they receive because they are part of a family, but because they are knowledgeable agents with in­ sights that can improve their and their family’s experiences.\nConclusion: Family support services need a sustained paradigm shift towards protection with participation to incorporate the voices of children as an everyday practice to ensure their well­ being and safety.","container-title":"Child Abuse &amp; Neglect","DOI":"10.1016/j.chiabu.2021.104987","ISSN":"01452134","journalAbbreviation":"Child Abuse &amp; Neglect","language":"en","page":"104987","source":"DOI.org (Crossref)","title":"Why having a voice is important to children who are involved in family support services","volume":"115","author":[{"family":"Stafford","given":"Lisa"},{"family":"Harkin","given":"Jo-anne"},{"family":"Rolfe","given":"Annie"},{"family":"Burton","given":"Judith"},{"family":"Morley","given":"Christine"}],"issued":{"date-parts":[["2021",5]]}}}],"schema":"https://github.com/citation-style-language/schema/raw/master/csl-citation.json"} </w:instrText>
                  </w:r>
                  <w:r w:rsidR="00A21506" w:rsidRPr="00A21506">
                    <w:fldChar w:fldCharType="separate"/>
                  </w:r>
                  <w:r w:rsidR="00E41D03" w:rsidRPr="00E41D03">
                    <w:rPr>
                      <w:rFonts w:ascii="Arial" w:hAnsi="Arial" w:cs="Arial"/>
                    </w:rPr>
                    <w:t>(Stafford et al., 2021)</w:t>
                  </w:r>
                  <w:r w:rsidR="00A21506" w:rsidRPr="00A21506">
                    <w:fldChar w:fldCharType="end"/>
                  </w:r>
                  <w:r w:rsidR="00A21506" w:rsidRPr="00A21506">
                    <w:t>.</w:t>
                  </w:r>
                  <w:r w:rsidRPr="005716DC">
                    <w:t xml:space="preserve"> Conversely, </w:t>
                  </w:r>
                  <w:r w:rsidR="00E9021D" w:rsidRPr="00E9021D">
                    <w:rPr>
                      <w:lang w:val="en-AU"/>
                    </w:rPr>
                    <w:t xml:space="preserve">they may feel marginalised, frustrated or lonely when adults dismiss their perspectives, particularly when services are adult-centric rather than age-appropriate </w:t>
                  </w:r>
                  <w:r w:rsidR="004C5A93" w:rsidRPr="004C5A93">
                    <w:rPr>
                      <w:lang w:val="en-AU"/>
                    </w:rPr>
                    <w:fldChar w:fldCharType="begin"/>
                  </w:r>
                  <w:r w:rsidR="003A464F">
                    <w:rPr>
                      <w:lang w:val="en-AU"/>
                    </w:rPr>
                    <w:instrText xml:space="preserve"> ADDIN ZOTERO_ITEM CSL_CITATION {"citationID":"a1o8t02k2pt","properties":{"formattedCitation":"(Alisic et al., 2023; Harkin et al., 2020)","plainCitation":"(Alisic et al., 2023; Harkin et al., 2020)","noteIndex":0},"citationItems":[{"id":"KNHaqWe9/v0vnD3JN","uris":["http://zotero.org/groups/6054942/items/T66E5WG3"],"itemData":{"id":5658,"type":"report","page":"25","publisher":"University of Melbourne and University of Edinburgh","title":"Children and Young People Bereaved by Domestic Homicide - A Focus on Australia","author":[{"family":"Alisic","given":"E"},{"family":"Barrett","given":"A"},{"family":"Conroy","given":"R"},{"family":"Devaney","given":"J"},{"family":"Eastwood","given":"O"},{"family":"Frederick","given":"J"},{"family":"Houghton","given":"C"},{"family":"Humphreys","given":"C"},{"family":"Joy","given":"K"},{"family":"Marinkovic Chavez","given":"K"},{"family":"Morrice","given":"H"},{"family":"Sakthiakumaran","given":"A"},{"family":"Vasileva","given":"M"}],"issued":{"date-parts":[["2023"]]}}},{"id":4614,"uris":["http://zotero.org/groups/5691188/items/AFIX6FB9"],"itemData":{"id":4614,"type":"article-journal","abstract":"Australia's 2017 Royal Commission into Institutional Responses to Child Sexual Abuse recommended to organizations that children should participate in decisions affecting their lives as a safety standard. While a substantial body of research about children's voices in statutory or out-of-home care now exists, there remains a paucity of research into children's voices in family support services delivered by nongovernment organizations. This is despite the primary service purpose being to benefit children. This lack of focus in family support was identified as a research priority by a nongovernment organization in Queensland, Australia, which lead to a collaborative research programme. This article reports on initial research from a survey study to describe the current state of play from practitioners into their perceptions and practices of children's participation in family support contexts. A voluntary and anonymous online, qualitativepredominate survey was opened to 110 practitioners in family support services, of which 50% responded. The findings identified that children's voices were compromised by perceptions of children's capacity relating to age and vulnerability, the parental focus of the service coupled with perceptions of parent's needs and gatekeeping behaviours and service pressures that work against the conditions required for children's rights to voice.","container-title":"Child &amp; Family Social Work","DOI":"10.1111/cfs.12781","ISSN":"1356-7500, 1365-2206","issue":"4","journalAbbreviation":"Child &amp; Family Social Work","language":"en","page":"955-963","source":"DOI.org (Crossref)","title":"Influences on children's voices in family support services: Practitioner perspectives","title-short":"Influences on children's voices in family support services","volume":"25","author":[{"family":"Harkin","given":"Jo</w:instrText>
                  </w:r>
                  <w:r w:rsidR="003A464F">
                    <w:rPr>
                      <w:rFonts w:ascii="Cambria Math" w:hAnsi="Cambria Math" w:cs="Cambria Math"/>
                      <w:lang w:val="en-AU"/>
                    </w:rPr>
                    <w:instrText>‐</w:instrText>
                  </w:r>
                  <w:r w:rsidR="003A464F">
                    <w:rPr>
                      <w:lang w:val="en-AU"/>
                    </w:rPr>
                    <w:instrText>anne"},{"family":"Stafford","given":"Lisa"},{"family":"Leggatt</w:instrText>
                  </w:r>
                  <w:r w:rsidR="003A464F">
                    <w:rPr>
                      <w:rFonts w:ascii="Cambria Math" w:hAnsi="Cambria Math" w:cs="Cambria Math"/>
                      <w:lang w:val="en-AU"/>
                    </w:rPr>
                    <w:instrText>‐</w:instrText>
                  </w:r>
                  <w:r w:rsidR="003A464F">
                    <w:rPr>
                      <w:lang w:val="en-AU"/>
                    </w:rPr>
                    <w:instrText xml:space="preserve">Cook","given":"Chez"}],"issued":{"date-parts":[["2020",11]]}}}],"schema":"https://github.com/citation-style-language/schema/raw/master/csl-citation.json"} </w:instrText>
                  </w:r>
                  <w:r w:rsidR="004C5A93" w:rsidRPr="004C5A93">
                    <w:rPr>
                      <w:lang w:val="en-AU"/>
                    </w:rPr>
                    <w:fldChar w:fldCharType="separate"/>
                  </w:r>
                  <w:r w:rsidR="00E41D03" w:rsidRPr="00E41D03">
                    <w:rPr>
                      <w:rFonts w:ascii="Arial" w:hAnsi="Arial" w:cs="Arial"/>
                    </w:rPr>
                    <w:t>(Alisic et al., 2023; Harkin et al., 2020)</w:t>
                  </w:r>
                  <w:r w:rsidR="004C5A93" w:rsidRPr="004C5A93">
                    <w:rPr>
                      <w:lang w:val="en-AU"/>
                    </w:rPr>
                    <w:fldChar w:fldCharType="end"/>
                  </w:r>
                  <w:r w:rsidR="004C5A93" w:rsidRPr="004C5A93">
                    <w:rPr>
                      <w:lang w:val="en-AU"/>
                    </w:rPr>
                    <w:t>.</w:t>
                  </w:r>
                </w:p>
                <w:p w14:paraId="4B52BA33" w14:textId="29EE27AE" w:rsidR="005674C7" w:rsidRPr="005716DC" w:rsidRDefault="00AA0E00" w:rsidP="005674C7">
                  <w:pPr>
                    <w:pStyle w:val="Text"/>
                  </w:pPr>
                  <w:r>
                    <w:t>These</w:t>
                  </w:r>
                  <w:r w:rsidR="005674C7" w:rsidRPr="005716DC">
                    <w:t xml:space="preserve"> studies underscore the need for child-inclusive practices as an everyday aspect of family support, positioning children as competent social actors capable of contributing meaningfully to decisions that affect their </w:t>
                  </w:r>
                  <w:r w:rsidR="005674C7" w:rsidRPr="004C5A93">
                    <w:t xml:space="preserve">lives </w:t>
                  </w:r>
                  <w:r w:rsidR="004C5A93" w:rsidRPr="004C5A93">
                    <w:fldChar w:fldCharType="begin"/>
                  </w:r>
                  <w:r w:rsidR="003A464F">
                    <w:instrText xml:space="preserve"> ADDIN ZOTERO_ITEM CSL_CITATION {"citationID":"a1o0nrk6i6u","properties":{"formattedCitation":"(Alisic et al., 2023; Harkin et al., 2020; Noble\\uc0\\u8208{}Carr et al., 2020; Stafford et al., 2021)","plainCitation":"(Alisic et al., 2023; Harkin et al., 2020; Noble</w:instrText>
                  </w:r>
                  <w:r w:rsidR="003A464F">
                    <w:rPr>
                      <w:rFonts w:ascii="Cambria Math" w:hAnsi="Cambria Math" w:cs="Cambria Math"/>
                    </w:rPr>
                    <w:instrText>‐</w:instrText>
                  </w:r>
                  <w:r w:rsidR="003A464F">
                    <w:instrText>Carr et al., 2020; Stafford et al., 2021)","noteIndex":0},"citationItems":[{"id":"KNHaqWe9/v0vnD3JN","uris":["http://zotero.org/groups/6054942/items/T66E5WG3"],"itemData":{"id":5658,"type":"report","page":"25","publisher":"University of Melbourne and University of Edinburgh","title":"Children and Young People Bereaved by Domestic Homicide - A Focus on Australia","author":[{"family":"Alisic","given":"E"},{"family":"Barrett","given":"A"},{"family":"Conroy","given":"R"},{"family":"Devaney","given":"J"},{"family":"Eastwood","given":"O"},{"family":"Frederick","given":"J"},{"family":"Houghton","given":"C"},{"family":"Humphreys","given":"C"},{"family":"Joy","given":"K"},{"family":"Marinkovic Chavez","given":"K"},{"family":"Morrice","given":"H"},{"family":"Sakthiakumaran","given":"A"},{"family":"Vasileva","given":"M"}],"issued":{"date-parts":[["2023"]]}}},{"id":4614,"uris":["http://zotero.org/groups/5691188/items/AFIX6FB9"],"itemData":{"id":4614,"type":"article-journal","abstract":"Australia's 2017 Royal Commission into Institutional Responses to Child Sexual Abuse recommended to organizations that children should participate in decisions affecting their lives as a safety standard. While a substantial body of research about children's voices in statutory or out-of-home care now exists, there remains a paucity of research into children's voices in family support services delivered by nongovernment organizations. This is despite the primary service purpose being to benefit children. This lack of focus in family support was identified as a research priority by a nongovernment organization in Queensland, Australia, which lead to a collaborative research programme. This article reports on initial research from a survey study to describe the current state of play from practitioners into their perceptions and practices of children's participation in family support contexts. A voluntary and anonymous online, qualitativepredominate survey was opened to 110 practitioners in family support services, of which 50% responded. The findings identified that children's voices were compromised by perceptions of children's capacity relating to age and vulnerability, the parental focus of the service coupled with perceptions of parent's needs and gatekeeping behaviours and service pressures that work against the conditions required for children's rights to voice.","container-title":"Child &amp; Family Social Work","DOI":"10.1111/cfs.12781","ISSN":"1356-7500, 1365-2206","issue":"4","journalAbbreviation":"Child &amp; Family Social Work","language":"en","page":"955-963","source":"DOI.org (Crossref)","title":"Influences on children's voices in family support services: Practitioner perspectives","title-short":"Influences on children's voices in family support services","volume":"25","author":[{"family":"Harkin","given":"Jo</w:instrText>
                  </w:r>
                  <w:r w:rsidR="003A464F">
                    <w:rPr>
                      <w:rFonts w:ascii="Cambria Math" w:hAnsi="Cambria Math" w:cs="Cambria Math"/>
                    </w:rPr>
                    <w:instrText>‐</w:instrText>
                  </w:r>
                  <w:r w:rsidR="003A464F">
                    <w:instrText>anne"},{"family":"Stafford","given":"Lisa"},{"family":"Leggatt</w:instrText>
                  </w:r>
                  <w:r w:rsidR="003A464F">
                    <w:rPr>
                      <w:rFonts w:ascii="Cambria Math" w:hAnsi="Cambria Math" w:cs="Cambria Math"/>
                    </w:rPr>
                    <w:instrText>‐</w:instrText>
                  </w:r>
                  <w:r w:rsidR="003A464F">
                    <w:instrText>Cook","given":"Chez"}],"issued":{"date-parts":[["2020",11]]}}},{"id":4743,"uris":["http://zotero.org/groups/5691188/items/56WHHM62"],"itemData":{"id":4743,"type":"article-journal","abstract":"Domestic and family violence is a significant issue experienced by many children that can have severe detrimental impacts to their health, development, and well</w:instrText>
                  </w:r>
                  <w:r w:rsidR="003A464F">
                    <w:rPr>
                      <w:rFonts w:ascii="Cambria Math" w:hAnsi="Cambria Math" w:cs="Cambria Math"/>
                    </w:rPr>
                    <w:instrText>‐</w:instrText>
                  </w:r>
                  <w:r w:rsidR="003A464F">
                    <w:instrText>being. Despite the significance of this issue, it is only recently that children have been included in research that seeks to understand the impacts that domestic and family violence may have on their lives. This paper reports on the findings of a meta</w:instrText>
                  </w:r>
                  <w:r w:rsidR="003A464F">
                    <w:rPr>
                      <w:rFonts w:ascii="Cambria Math" w:hAnsi="Cambria Math" w:cs="Cambria Math"/>
                    </w:rPr>
                    <w:instrText>‐</w:instrText>
                  </w:r>
                  <w:r w:rsidR="003A464F">
                    <w:instrText>synthesis, which explored qualitative research about children's experiences of domestic and family violence. Thirty</w:instrText>
                  </w:r>
                  <w:r w:rsidR="003A464F">
                    <w:rPr>
                      <w:rFonts w:ascii="Cambria Math" w:hAnsi="Cambria Math" w:cs="Cambria Math"/>
                    </w:rPr>
                    <w:instrText>‐</w:instrText>
                  </w:r>
                  <w:r w:rsidR="003A464F">
                    <w:instrText>two studies, including from the United Kingdom, North America, and Australia were included for review. The meta</w:instrText>
                  </w:r>
                  <w:r w:rsidR="003A464F">
                    <w:rPr>
                      <w:rFonts w:ascii="Cambria Math" w:hAnsi="Cambria Math" w:cs="Cambria Math"/>
                    </w:rPr>
                    <w:instrText>‐</w:instrText>
                  </w:r>
                  <w:r w:rsidR="003A464F">
                    <w:instrText>synthesis found that children describe domestic violence as being a complex, isolating, and enduring experience that often results in disruption, losses, and challenges to their significant relationships. Children's common feelings of fear, worry, powerlessness, and sadness were also uncovered, in addition to the strategies they employed to try and facilitate the safety and emotional well</w:instrText>
                  </w:r>
                  <w:r w:rsidR="003A464F">
                    <w:rPr>
                      <w:rFonts w:ascii="Cambria Math" w:hAnsi="Cambria Math" w:cs="Cambria Math"/>
                    </w:rPr>
                    <w:instrText>‐</w:instrText>
                  </w:r>
                  <w:r w:rsidR="003A464F">
                    <w:instrText>being of themselves and their family. Children's wants and needs are also highlighted. The findings demonstrate that despite the increasing interest in children's experiences of domestic and family violence, qualitative research remains limited, with many gaps evident. Implications for research, policy, and practice are considered.","container-title":"Child &amp; Family Social Work","DOI":"10.1111/cfs.12645","ISSN":"1356-7500, 1365-2206","issue":"1","journalAbbreviation":"Child &amp; Family Social Work","language":"en","page":"182-191","source":"DOI.org (Crossref)","title":"Children's experiences and needs in relation to domestic and family violence: Findings from a meta</w:instrText>
                  </w:r>
                  <w:r w:rsidR="003A464F">
                    <w:rPr>
                      <w:rFonts w:ascii="Cambria Math" w:hAnsi="Cambria Math" w:cs="Cambria Math"/>
                    </w:rPr>
                    <w:instrText>‐</w:instrText>
                  </w:r>
                  <w:r w:rsidR="003A464F">
                    <w:instrText>synthesis","title-short":"Children's experiences and needs in relation to domestic and family violence","volume":"25","author":[{"family":"Noble</w:instrText>
                  </w:r>
                  <w:r w:rsidR="003A464F">
                    <w:rPr>
                      <w:rFonts w:ascii="Cambria Math" w:hAnsi="Cambria Math" w:cs="Cambria Math"/>
                    </w:rPr>
                    <w:instrText>‐</w:instrText>
                  </w:r>
                  <w:r w:rsidR="003A464F">
                    <w:instrText>Carr","given":"Debbie"},{"family":"Moore","given":"Tim"},{"family":"McArthur","given":"Morag"}],"issued":{"date-parts":[["2020",2]]}}},{"id":4608,"uris":["http://zotero.org/groups/5691188/items/72KY76EM"],"itemData":{"id":4608,"type":"article-journal","abstract":"Background: Having a voice in family matters is considered a protective factor from harm, and key to promoting children</w:instrText>
                  </w:r>
                  <w:r w:rsidR="003A464F">
                    <w:rPr>
                      <w:rFonts w:ascii="Arial" w:hAnsi="Arial" w:cs="Arial"/>
                    </w:rPr>
                    <w:instrText>’</w:instrText>
                  </w:r>
                  <w:r w:rsidR="003A464F">
                    <w:instrText xml:space="preserve">s wellbeing. However, since the adoption of the United Nations Convention on the Rights of the Child (1989) and specifically Article 12 pertaining to children’s participation, research reveals that children’s voices often remain invisible in child protection and family welfare services.\nObjective: While there is renewed interest in hearing children’s voices about their experiences in out-of-home care, there remains little awareness and knowledge of children’s voices in family support services. This article addresses this gap by presenting children’s own meanings and ex­ periences of having a voice, derived from a research collaboration between UnitingCare and Queensland University of Technology . Participants and setting: 17 children aged 6–16 years (8 sibling groups) whose families received family support services (voluntary or ordered) from UnitingCare in Queensland, Australia.\nMethods: An interpretative phenomenological approach with activity-based interviews involving art, play and Reflexions cards were used to support children to share their lived experiences. Findings: Children’s sense-making related to having a voice revealed four connected meanings that poignantly illustrated that not only should children have a say about the supports they receive because they are part of a family, but because they are knowledgeable agents with in­ sights that can improve their and their family’s experiences.\nConclusion: Family support services need a sustained paradigm shift towards protection with participation to incorporate the voices of children as an everyday practice to ensure their well­ being and safety.","container-title":"Child Abuse &amp; Neglect","DOI":"10.1016/j.chiabu.2021.104987","ISSN":"01452134","journalAbbreviation":"Child Abuse &amp; Neglect","language":"en","page":"104987","source":"DOI.org (Crossref)","title":"Why having a voice is important to children who are involved in family support services","volume":"115","author":[{"family":"Stafford","given":"Lisa"},{"family":"Harkin","given":"Jo-anne"},{"family":"Rolfe","given":"Annie"},{"family":"Burton","given":"Judith"},{"family":"Morley","given":"Christine"}],"issued":{"date-parts":[["2021",5]]}}}],"schema":"https://github.com/citation-style-language/schema/raw/master/csl-citation.json"} </w:instrText>
                  </w:r>
                  <w:r w:rsidR="004C5A93" w:rsidRPr="004C5A93">
                    <w:fldChar w:fldCharType="separate"/>
                  </w:r>
                  <w:r w:rsidR="00E41D03" w:rsidRPr="00E41D03">
                    <w:rPr>
                      <w:rFonts w:ascii="Arial" w:hAnsi="Arial" w:cs="Arial"/>
                    </w:rPr>
                    <w:t>(Alisic et al., 2023; Harkin et al., 2020; Noble‐Carr et al., 2020; Stafford et al., 2021)</w:t>
                  </w:r>
                  <w:r w:rsidR="004C5A93" w:rsidRPr="004C5A93">
                    <w:fldChar w:fldCharType="end"/>
                  </w:r>
                  <w:r w:rsidR="004C5A93" w:rsidRPr="004C5A93">
                    <w:t>.</w:t>
                  </w:r>
                </w:p>
                <w:p w14:paraId="3FBE0A86" w14:textId="1570B02F" w:rsidR="005674C7" w:rsidRDefault="00500D16" w:rsidP="005674C7">
                  <w:pPr>
                    <w:pStyle w:val="Text"/>
                  </w:pPr>
                  <w:r>
                    <w:t>Literature supports</w:t>
                  </w:r>
                  <w:r w:rsidR="005674C7" w:rsidRPr="005716DC">
                    <w:t xml:space="preserve"> a shift from traditional </w:t>
                  </w:r>
                  <w:r w:rsidR="00611A3A">
                    <w:t>‘</w:t>
                  </w:r>
                  <w:r w:rsidR="005674C7" w:rsidRPr="005716DC">
                    <w:t>protection over participation</w:t>
                  </w:r>
                  <w:r w:rsidR="00611A3A">
                    <w:t>’</w:t>
                  </w:r>
                  <w:r w:rsidR="005674C7" w:rsidRPr="005716DC">
                    <w:t xml:space="preserve"> models to approaches that uphold children’s rights to self-expression and agency, as enshrined in Article 12 of the UN Convention on the Rights of the Child. This shift involves challenging beliefs about children’s capacities, addressing logistical constraints, and fostering a culture that sees </w:t>
                  </w:r>
                  <w:r w:rsidR="005674C7" w:rsidRPr="005716DC">
                    <w:lastRenderedPageBreak/>
                    <w:t xml:space="preserve">children as active participants in their own care. </w:t>
                  </w:r>
                  <w:r w:rsidR="005674C7">
                    <w:t>E</w:t>
                  </w:r>
                  <w:r w:rsidR="005674C7" w:rsidRPr="005716DC">
                    <w:t>mbedding child-inclusive practices within family support services requires systemic changes that recogni</w:t>
                  </w:r>
                  <w:r w:rsidR="005674C7">
                    <w:t>s</w:t>
                  </w:r>
                  <w:r w:rsidR="005674C7" w:rsidRPr="005716DC">
                    <w:t xml:space="preserve">e children’s agency, making their voices a routine and valued aspect of service delivery. By integrating these perspectives, family support services can develop more responsive, empowering environments that better serve children and families </w:t>
                  </w:r>
                  <w:r w:rsidR="005674C7" w:rsidRPr="005716DC">
                    <w:fldChar w:fldCharType="begin"/>
                  </w:r>
                  <w:r w:rsidR="00E41D03">
                    <w:instrText xml:space="preserve"> ADDIN ZOTERO_ITEM CSL_CITATION {"citationID":"TX6j9taf","properties":{"formattedCitation":"(Harkin et al., 2020; Stafford et al., 2021)","plainCitation":"(Harkin et al., 2020; Stafford et al., 2021)","noteIndex":0},"citationItems":[{"id":4614,"uris":["http://zotero.org/groups/5691188/items/AFIX6FB9"],"itemData":{"id":4614,"type":"article-journal","abstract":"Australia's 2017 Royal Commission into Institutional Responses to Child Sexual Abuse recommended to organizations that children should participate in decisions affecting their lives as a safety standard. While a substantial body of research about children's voices in statutory or out-of-home care now exists, there remains a paucity of research into children's voices in family support services delivered by nongovernment organizations. This is despite the primary service purpose being to benefit children. This lack of focus in family support was identified as a research priority by a nongovernment organization in Queensland, Australia, which lead to a collaborative research programme. This article reports on initial research from a survey study to describe the current state of play from practitioners into their perceptions and practices of children's participation in family support contexts. A voluntary and anonymous online, qualitativepredominate survey was opened to 110 practitioners in family support services, of which 50% responded. The findings identified that children's voices were compromised by perceptions of children's capacity relating to age and vulnerability, the parental focus of the service coupled with perceptions of parent's needs and gatekeeping behaviours and service pressures that work against the conditions required for children's rights to voice.","container-title":"Child &amp; Family Social Work","DOI":"10.1111/cfs.12781","ISSN":"1356-7500, 1365-2206","issue":"4","journalAbbreviation":"Child &amp; Family Social Work","language":"en","page":"955-963","source":"DOI.org (Crossref)","title":"Influences on children's voices in family support services: Practitioner perspectives","title-short":"Influences on children's voices in family support services","volume":"25","author":[{"family":"Harkin","given":"Jo</w:instrText>
                  </w:r>
                  <w:r w:rsidR="00E41D03">
                    <w:rPr>
                      <w:rFonts w:ascii="Cambria Math" w:hAnsi="Cambria Math" w:cs="Cambria Math"/>
                    </w:rPr>
                    <w:instrText>‐</w:instrText>
                  </w:r>
                  <w:r w:rsidR="00E41D03">
                    <w:instrText>anne"},{"family":"Stafford","given":"Lisa"},{"family":"Leggatt</w:instrText>
                  </w:r>
                  <w:r w:rsidR="00E41D03">
                    <w:rPr>
                      <w:rFonts w:ascii="Cambria Math" w:hAnsi="Cambria Math" w:cs="Cambria Math"/>
                    </w:rPr>
                    <w:instrText>‐</w:instrText>
                  </w:r>
                  <w:r w:rsidR="00E41D03">
                    <w:instrText xml:space="preserve">Cook","given":"Chez"}],"issued":{"date-parts":[["2020",11]]}}},{"id":4608,"uris":["http://zotero.org/groups/5691188/items/72KY76EM"],"itemData":{"id":4608,"type":"article-journal","abstract":"Background: Having a voice in family matters is considered a protective factor from harm, and key to promoting children’s wellbeing. However, since the adoption of the United Nations Convention on the Rights of the Child (1989) and specifically Article 12 pertaining to children’s participation, research reveals that children’s voices often remain invisible in child protection and family welfare services.\nObjective: While there is renewed interest in hearing children’s voices about their experiences in out-of-home care, there remains little awareness and knowledge of children’s voices in family support services. This article addresses this gap by presenting children’s own meanings and ex­ periences of having a voice, derived from a research collaboration between UnitingCare and Queensland University of Technology . Participants and setting: 17 children aged 6–16 years (8 sibling groups) whose families received family support services (voluntary or ordered) from UnitingCare in Queensland, Australia.\nMethods: An interpretative phenomenological approach with activity-based interviews involving art, play and Reflexions cards were used to support children to share their lived experiences. Findings: Children’s sense-making related to having a voice revealed four connected meanings that poignantly illustrated that not only should children have a say about the supports they receive because they are part of a family, but because they are knowledgeable agents with in­ sights that can improve their and their family’s experiences.\nConclusion: Family support services need a sustained paradigm shift towards protection with participation to incorporate the voices of children as an everyday practice to ensure their well­ being and safety.","container-title":"Child Abuse &amp; Neglect","DOI":"10.1016/j.chiabu.2021.104987","ISSN":"01452134","journalAbbreviation":"Child Abuse &amp; Neglect","language":"en","page":"104987","source":"DOI.org (Crossref)","title":"Why having a voice is important to children who are involved in family support services","volume":"115","author":[{"family":"Stafford","given":"Lisa"},{"family":"Harkin","given":"Jo-anne"},{"family":"Rolfe","given":"Annie"},{"family":"Burton","given":"Judith"},{"family":"Morley","given":"Christine"}],"issued":{"date-parts":[["2021",5]]}}}],"schema":"https://github.com/citation-style-language/schema/raw/master/csl-citation.json"} </w:instrText>
                  </w:r>
                  <w:r w:rsidR="005674C7" w:rsidRPr="005716DC">
                    <w:fldChar w:fldCharType="separate"/>
                  </w:r>
                  <w:r w:rsidR="005674C7" w:rsidRPr="005716DC">
                    <w:rPr>
                      <w:rFonts w:ascii="Arial" w:hAnsi="Arial" w:cs="Arial"/>
                    </w:rPr>
                    <w:t>(Harkin et al., 2020; Stafford et al., 2021)</w:t>
                  </w:r>
                  <w:r w:rsidR="005674C7" w:rsidRPr="005716DC">
                    <w:fldChar w:fldCharType="end"/>
                  </w:r>
                  <w:r w:rsidR="005674C7" w:rsidRPr="005716DC">
                    <w:t>.</w:t>
                  </w:r>
                </w:p>
                <w:p w14:paraId="18BE768E" w14:textId="118A5DD5" w:rsidR="00C8682C" w:rsidRDefault="000573DA" w:rsidP="00C8682C">
                  <w:pPr>
                    <w:pStyle w:val="Text"/>
                  </w:pPr>
                  <w:r>
                    <w:t>Research shows that s</w:t>
                  </w:r>
                  <w:r w:rsidR="00C8682C">
                    <w:t xml:space="preserve">upporting children to improve their safety and wellbeing requires a multifaceted approach that combines education, structured support, and community involvement. </w:t>
                  </w:r>
                  <w:r w:rsidR="000B07C8">
                    <w:t>P</w:t>
                  </w:r>
                  <w:r w:rsidR="00C8682C">
                    <w:t xml:space="preserve">revention efforts must also involve families and service systems that create safer environments and reinforce protective </w:t>
                  </w:r>
                  <w:r w:rsidR="00E9237E">
                    <w:t>behaviours</w:t>
                  </w:r>
                  <w:r w:rsidR="00C8682C">
                    <w:t>.</w:t>
                  </w:r>
                </w:p>
                <w:p w14:paraId="7219EF26" w14:textId="17896B59" w:rsidR="00765C3C" w:rsidRDefault="002263A0" w:rsidP="005674C7">
                  <w:pPr>
                    <w:pStyle w:val="Text"/>
                  </w:pPr>
                  <w:r w:rsidRPr="002263A0">
                    <w:rPr>
                      <w:lang w:val="en-AU"/>
                    </w:rPr>
                    <w:t>Strengths</w:t>
                  </w:r>
                  <w:r w:rsidR="00C8682C" w:rsidRPr="002263A0">
                    <w:rPr>
                      <w:lang w:val="en-AU"/>
                    </w:rPr>
                    <w:t>-based and trauma-informed interventions</w:t>
                  </w:r>
                  <w:r w:rsidRPr="002263A0">
                    <w:rPr>
                      <w:lang w:val="en-AU"/>
                    </w:rPr>
                    <w:t xml:space="preserve"> in school, family</w:t>
                  </w:r>
                  <w:r w:rsidR="00E611BD">
                    <w:rPr>
                      <w:lang w:val="en-AU"/>
                    </w:rPr>
                    <w:t>,</w:t>
                  </w:r>
                  <w:r w:rsidRPr="002263A0">
                    <w:rPr>
                      <w:lang w:val="en-AU"/>
                    </w:rPr>
                    <w:t xml:space="preserve"> and other community settings</w:t>
                  </w:r>
                  <w:r w:rsidR="000573DA" w:rsidRPr="002263A0">
                    <w:rPr>
                      <w:lang w:val="en-AU"/>
                    </w:rPr>
                    <w:t xml:space="preserve">, </w:t>
                  </w:r>
                  <w:r w:rsidR="00C8682C" w:rsidRPr="002263A0">
                    <w:rPr>
                      <w:lang w:val="en-AU"/>
                    </w:rPr>
                    <w:t xml:space="preserve">play a vital role in supporting children exposed to violence. By offering structured, supportive environments that promote resilience and self-concept, these programs help children develop coping strategies and overcome barriers to service engagement. </w:t>
                  </w:r>
                  <w:r w:rsidR="009139FC" w:rsidRPr="002263A0">
                    <w:rPr>
                      <w:lang w:val="en-AU"/>
                    </w:rPr>
                    <w:t>S</w:t>
                  </w:r>
                  <w:r w:rsidR="005A1EE1" w:rsidRPr="002263A0">
                    <w:rPr>
                      <w:lang w:val="en-AU"/>
                    </w:rPr>
                    <w:t xml:space="preserve">ustained support to children, including follow-up or booster sessions, </w:t>
                  </w:r>
                  <w:r w:rsidRPr="002263A0">
                    <w:rPr>
                      <w:lang w:val="en-AU"/>
                    </w:rPr>
                    <w:t xml:space="preserve">promotes safety, and </w:t>
                  </w:r>
                  <w:r w:rsidR="005A1EE1" w:rsidRPr="002263A0">
                    <w:rPr>
                      <w:lang w:val="en-AU"/>
                    </w:rPr>
                    <w:t>maintain</w:t>
                  </w:r>
                  <w:r w:rsidR="001F480C" w:rsidRPr="002263A0">
                    <w:rPr>
                      <w:lang w:val="en-AU"/>
                    </w:rPr>
                    <w:t>s</w:t>
                  </w:r>
                  <w:r w:rsidR="005A1EE1" w:rsidRPr="002263A0">
                    <w:rPr>
                      <w:lang w:val="en-AU"/>
                    </w:rPr>
                    <w:t xml:space="preserve"> and reinforce</w:t>
                  </w:r>
                  <w:r w:rsidR="001F480C" w:rsidRPr="002263A0">
                    <w:rPr>
                      <w:lang w:val="en-AU"/>
                    </w:rPr>
                    <w:t>s</w:t>
                  </w:r>
                  <w:r w:rsidR="005A1EE1" w:rsidRPr="002263A0">
                    <w:rPr>
                      <w:lang w:val="en-AU"/>
                    </w:rPr>
                    <w:t xml:space="preserve"> mental health benefits achieved in trauma-informed care setting</w:t>
                  </w:r>
                  <w:r w:rsidR="001F480C" w:rsidRPr="002263A0">
                    <w:rPr>
                      <w:lang w:val="en-AU"/>
                    </w:rPr>
                    <w:t>s</w:t>
                  </w:r>
                  <w:r w:rsidR="005A1EE1" w:rsidRPr="002263A0">
                    <w:rPr>
                      <w:lang w:val="en-AU"/>
                    </w:rPr>
                    <w:t xml:space="preserve">, highlighting the need for continuity and support across environments to strengthen mental health outcomes for young victim survivors. </w:t>
                  </w:r>
                  <w:r w:rsidR="00C8682C">
                    <w:t>This aligns with the W</w:t>
                  </w:r>
                  <w:r w:rsidR="00B44F1C">
                    <w:t xml:space="preserve">orld Health </w:t>
                  </w:r>
                  <w:r w:rsidR="00C8682C">
                    <w:t>O</w:t>
                  </w:r>
                  <w:r w:rsidR="00B44F1C">
                    <w:t xml:space="preserve">rganisations (WHO) </w:t>
                  </w:r>
                  <w:r w:rsidR="00B44F1C" w:rsidRPr="002F452A">
                    <w:fldChar w:fldCharType="begin"/>
                  </w:r>
                  <w:r w:rsidR="00E41D03">
                    <w:instrText xml:space="preserve"> ADDIN ZOTERO_ITEM CSL_CITATION {"citationID":"a1o5b5941ce","properties":{"formattedCitation":"(2022)","plainCitation":"(2022)","noteIndex":0},"citationItems":[{"id":4698,"uris":["http://zotero.org/groups/5691188/items/UUNXLMPC"],"itemData":{"id":4698,"type":"report","event-place":"Geneva","language":"en","publisher":"World Health Organization","publisher-place":"Geneva","source":"Zotero","title":"WHO guidelines on parenting interventions to prevent maltreatment and enhance parent–child relationships with children aged 0–17 years","author":[{"family":"World Health Organization","given":""}],"issued":{"date-parts":[["2022"]]}},"suppress-author":true}],"schema":"https://github.com/citation-style-language/schema/raw/master/csl-citation.json"} </w:instrText>
                  </w:r>
                  <w:r w:rsidR="00B44F1C" w:rsidRPr="002F452A">
                    <w:fldChar w:fldCharType="separate"/>
                  </w:r>
                  <w:r w:rsidR="00AC138C" w:rsidRPr="00AC138C">
                    <w:rPr>
                      <w:rFonts w:ascii="Arial" w:hAnsi="Arial" w:cs="Arial"/>
                    </w:rPr>
                    <w:t>(2022)</w:t>
                  </w:r>
                  <w:r w:rsidR="00B44F1C" w:rsidRPr="002F452A">
                    <w:fldChar w:fldCharType="end"/>
                  </w:r>
                  <w:r w:rsidR="000F644A">
                    <w:t xml:space="preserve"> </w:t>
                  </w:r>
                  <w:r w:rsidR="00C8682C">
                    <w:t xml:space="preserve">INSPIRE framework, which advocates for </w:t>
                  </w:r>
                  <w:r w:rsidR="00673BEF" w:rsidRPr="002F452A">
                    <w:t>a multi-layered approach where caregivers, communities, and services work together to create networks that foster safety and support self-management</w:t>
                  </w:r>
                  <w:r w:rsidR="0024604E">
                    <w:t xml:space="preserve">, allowing parents and children to recognise abuse and seek timely support. </w:t>
                  </w:r>
                </w:p>
                <w:tbl>
                  <w:tblPr>
                    <w:tblStyle w:val="ListTable3-Accent31"/>
                    <w:tblW w:w="9022" w:type="dxa"/>
                    <w:tblLook w:val="04A0" w:firstRow="1" w:lastRow="0" w:firstColumn="1" w:lastColumn="0" w:noHBand="0" w:noVBand="1"/>
                  </w:tblPr>
                  <w:tblGrid>
                    <w:gridCol w:w="9022"/>
                  </w:tblGrid>
                  <w:tr w:rsidR="002F6DFD" w14:paraId="15A0A1E0" w14:textId="77777777" w:rsidTr="008E1B83">
                    <w:trPr>
                      <w:cnfStyle w:val="100000000000" w:firstRow="1" w:lastRow="0" w:firstColumn="0" w:lastColumn="0" w:oddVBand="0" w:evenVBand="0" w:oddHBand="0" w:evenHBand="0" w:firstRowFirstColumn="0" w:firstRowLastColumn="0" w:lastRowFirstColumn="0" w:lastRowLastColumn="0"/>
                      <w:trHeight w:val="369"/>
                    </w:trPr>
                    <w:tc>
                      <w:tcPr>
                        <w:cnfStyle w:val="001000000100" w:firstRow="0" w:lastRow="0" w:firstColumn="1" w:lastColumn="0" w:oddVBand="0" w:evenVBand="0" w:oddHBand="0" w:evenHBand="0" w:firstRowFirstColumn="1" w:firstRowLastColumn="0" w:lastRowFirstColumn="0" w:lastRowLastColumn="0"/>
                        <w:tcW w:w="0" w:type="dxa"/>
                      </w:tcPr>
                      <w:p w14:paraId="30D5D030" w14:textId="2D23C937" w:rsidR="002F6DFD" w:rsidRPr="009521BE" w:rsidRDefault="002F6DFD" w:rsidP="009521BE">
                        <w:pPr>
                          <w:pStyle w:val="TableText"/>
                          <w:rPr>
                            <w:b w:val="0"/>
                          </w:rPr>
                        </w:pPr>
                        <w:r w:rsidRPr="009521BE">
                          <w:t xml:space="preserve">International examples of </w:t>
                        </w:r>
                        <w:r w:rsidR="007705F0" w:rsidRPr="009521BE">
                          <w:t>best</w:t>
                        </w:r>
                        <w:r w:rsidRPr="009521BE">
                          <w:t xml:space="preserve"> practice</w:t>
                        </w:r>
                      </w:p>
                    </w:tc>
                  </w:tr>
                  <w:tr w:rsidR="009955B6" w14:paraId="08BF4901" w14:textId="77777777" w:rsidTr="008E1B83">
                    <w:trPr>
                      <w:cnfStyle w:val="000000100000" w:firstRow="0" w:lastRow="0" w:firstColumn="0" w:lastColumn="0" w:oddVBand="0" w:evenVBand="0" w:oddHBand="1" w:evenHBand="0" w:firstRowFirstColumn="0" w:firstRowLastColumn="0" w:lastRowFirstColumn="0" w:lastRowLastColumn="0"/>
                      <w:trHeight w:val="4927"/>
                    </w:trPr>
                    <w:tc>
                      <w:tcPr>
                        <w:cnfStyle w:val="001000000000" w:firstRow="0" w:lastRow="0" w:firstColumn="1" w:lastColumn="0" w:oddVBand="0" w:evenVBand="0" w:oddHBand="0" w:evenHBand="0" w:firstRowFirstColumn="0" w:firstRowLastColumn="0" w:lastRowFirstColumn="0" w:lastRowLastColumn="0"/>
                        <w:tcW w:w="0" w:type="dxa"/>
                        <w:tcBorders>
                          <w:right w:val="single" w:sz="4" w:space="0" w:color="007E00" w:themeColor="accent3"/>
                        </w:tcBorders>
                      </w:tcPr>
                      <w:p w14:paraId="0185F4EA" w14:textId="77777777" w:rsidR="0095370F" w:rsidRPr="0034554D" w:rsidRDefault="002F6DFD" w:rsidP="0034554D">
                        <w:pPr>
                          <w:pStyle w:val="TableText"/>
                          <w:jc w:val="both"/>
                          <w:rPr>
                            <w:b w:val="0"/>
                            <w:bCs w:val="0"/>
                            <w:sz w:val="22"/>
                            <w:szCs w:val="22"/>
                          </w:rPr>
                        </w:pPr>
                        <w:r w:rsidRPr="0034554D">
                          <w:rPr>
                            <w:b w:val="0"/>
                            <w:bCs w:val="0"/>
                            <w:sz w:val="22"/>
                            <w:szCs w:val="22"/>
                          </w:rPr>
                          <w:t xml:space="preserve">A comparison of family support service reform in Australia and internationally provides insight into similarities and potential enhancements to service delivery models in Australia. </w:t>
                        </w:r>
                      </w:p>
                      <w:p w14:paraId="6DC91178" w14:textId="7EE1A35F" w:rsidR="002F6DFD" w:rsidRPr="0034554D" w:rsidRDefault="002F6DFD" w:rsidP="0034554D">
                        <w:pPr>
                          <w:pStyle w:val="TableText"/>
                          <w:jc w:val="both"/>
                          <w:rPr>
                            <w:b w:val="0"/>
                            <w:sz w:val="22"/>
                            <w:szCs w:val="22"/>
                            <w:lang w:val="en-NZ"/>
                          </w:rPr>
                        </w:pPr>
                        <w:r w:rsidRPr="0034554D">
                          <w:rPr>
                            <w:b w:val="0"/>
                            <w:sz w:val="22"/>
                            <w:szCs w:val="22"/>
                            <w:lang w:val="en-NZ"/>
                          </w:rPr>
                          <w:t xml:space="preserve">England, Ireland and Spain have placed a strong emphasis on multi-agency collaboration and evidence-based practices. Reforms undertaken in those jurisdictions offer valuable lessons for enhancing service delivery in Australia. Reforms in these countries were influenced by international frameworks like the UN Convention on the Rights of the Child and European Union policies that emphasise children's rights and positive parenting. These countries have restructured their systems to emphasise child welfare, early intervention, and multi-agency collaboration, often under significant economic pressure </w:t>
                        </w:r>
                        <w:r w:rsidR="007705F0" w:rsidRPr="0034554D">
                          <w:rPr>
                            <w:sz w:val="22"/>
                            <w:szCs w:val="22"/>
                          </w:rPr>
                          <w:fldChar w:fldCharType="begin"/>
                        </w:r>
                        <w:r w:rsidR="00E41D03" w:rsidRPr="0034554D">
                          <w:rPr>
                            <w:b w:val="0"/>
                            <w:bCs w:val="0"/>
                            <w:sz w:val="22"/>
                            <w:szCs w:val="22"/>
                          </w:rPr>
                          <w:instrText xml:space="preserve"> ADDIN ZOTERO_ITEM CSL_CITATION {"citationID":"a1oi09akkll","properties":{"formattedCitation":"(Churchill et al., 2020)","plainCitation":"(Churchill et al., 2020)","noteIndex":0},"citationItems":[{"id":4602,"uris":["http://zotero.org/groups/5691188/items/V2FQ5J6Y"],"itemData":{"id":4602,"type":"article-journal","abstract":"A major aspect of contemporary European family policies has been substantial developments in ‘family and parenting support services’ albeit under challenging conditions of austerity in recent years. This article compares and reviews national reforms in family support, child welfare and positive parenting services in England, Ireland and Spain. The analysis critically compares national ‘system-wide’ reforms and frontline service-based innovations; and situates these within broader national and European policy contexts. The article examines the degrees and ways in which children’s and family services reforms across all three countries have been shaped by family support, children’s rights and social investment policy orientations; and deliberates national differences in the scope, timing and longevity of reforms. It raises critical issues from rights-based perspectives and reflects on cross-national insights.","container-title":"Social Work and Social Sciences Review","DOI":"10.1921/swssr.v21i2.1418","ISSN":"1746-6105, 0953-5225","issue":"2","journalAbbreviation":"SWSSR","language":"en","page":"58-83","source":"DOI.org (Crossref)","title":"Developing family support services: A comparison of national reforms and challenges in England, Ireland and Spain","title-short":"Developing family support services","volume":"21","author":[{"family":"Churchill","given":"Harriet"},{"family":"Baena","given":"Sofía"},{"family":"Crosse","given":"Rosemary"},{"family":"Jiménez","given":"Lucia"},{"family":"Millar","given":"MIchelle"}],"issued":{"date-parts":[["2020",5,18]]}}}],"schema":"https://github.com/citation-style-language/schema/raw/master/csl-citation.json"} </w:instrText>
                        </w:r>
                        <w:r w:rsidR="007705F0" w:rsidRPr="0034554D">
                          <w:rPr>
                            <w:sz w:val="22"/>
                            <w:szCs w:val="22"/>
                          </w:rPr>
                          <w:fldChar w:fldCharType="separate"/>
                        </w:r>
                        <w:r w:rsidR="00AC138C" w:rsidRPr="0034554D">
                          <w:rPr>
                            <w:rFonts w:ascii="Arial" w:hAnsi="Arial" w:cs="Arial"/>
                            <w:b w:val="0"/>
                            <w:sz w:val="22"/>
                            <w:szCs w:val="22"/>
                          </w:rPr>
                          <w:t>(Churchill et al., 2020)</w:t>
                        </w:r>
                        <w:r w:rsidR="007705F0" w:rsidRPr="0034554D">
                          <w:rPr>
                            <w:sz w:val="22"/>
                            <w:szCs w:val="22"/>
                          </w:rPr>
                          <w:fldChar w:fldCharType="end"/>
                        </w:r>
                        <w:r w:rsidR="007705F0" w:rsidRPr="0034554D">
                          <w:rPr>
                            <w:b w:val="0"/>
                            <w:sz w:val="22"/>
                            <w:szCs w:val="22"/>
                            <w:lang w:val="en-NZ"/>
                          </w:rPr>
                          <w:t xml:space="preserve">. </w:t>
                        </w:r>
                      </w:p>
                      <w:p w14:paraId="2CE4B9F4" w14:textId="4DF254A2" w:rsidR="002F6DFD" w:rsidRPr="0034554D" w:rsidRDefault="002F6DFD" w:rsidP="0034554D">
                        <w:pPr>
                          <w:pStyle w:val="TableText"/>
                          <w:jc w:val="both"/>
                          <w:rPr>
                            <w:sz w:val="22"/>
                            <w:szCs w:val="22"/>
                          </w:rPr>
                        </w:pPr>
                        <w:r w:rsidRPr="0034554D">
                          <w:rPr>
                            <w:b w:val="0"/>
                            <w:sz w:val="22"/>
                            <w:szCs w:val="22"/>
                            <w:lang w:val="en-NZ"/>
                          </w:rPr>
                          <w:t xml:space="preserve">In England, multi-tiered systems like Sure Start and Children’s Centres deliver integrated, co-located services combining universal and targeted support. Ireland has taken a holistic approach through Tusla, integrating child welfare and early intervention under a single framework, with collaborative tools like the Meitheal model supporting tailored, cross-sector responses to family needs. Spain has focused on evidence-based family preservation strategies, digital parenting resources, and promoting positive parenting. Programs such as Ireland’s Tusla and Spain’s positive parenting initiatives emphasise the importance of professional development, data collection, and coordination across sectors (health, education, and social services) to improve outcomes for families </w:t>
                        </w:r>
                        <w:r w:rsidR="007705F0" w:rsidRPr="0034554D">
                          <w:rPr>
                            <w:sz w:val="22"/>
                            <w:szCs w:val="22"/>
                          </w:rPr>
                          <w:fldChar w:fldCharType="begin"/>
                        </w:r>
                        <w:r w:rsidR="00E41D03" w:rsidRPr="0034554D">
                          <w:rPr>
                            <w:b w:val="0"/>
                            <w:bCs w:val="0"/>
                            <w:sz w:val="22"/>
                            <w:szCs w:val="22"/>
                          </w:rPr>
                          <w:instrText xml:space="preserve"> ADDIN ZOTERO_ITEM CSL_CITATION {"citationID":"dLgqinav","properties":{"formattedCitation":"(Churchill et al., 2020)","plainCitation":"(Churchill et al., 2020)","noteIndex":0},"citationItems":[{"id":4602,"uris":["http://zotero.org/groups/5691188/items/V2FQ5J6Y"],"itemData":{"id":4602,"type":"article-journal","abstract":"A major aspect of contemporary European family policies has been substantial developments in ‘family and parenting support services’ albeit under challenging conditions of austerity in recent years. This article compares and reviews national reforms in family support, child welfare and positive parenting services in England, Ireland and Spain. The analysis critically compares national ‘system-wide’ reforms and frontline service-based innovations; and situates these within broader national and European policy contexts. The article examines the degrees and ways in which children’s and family services reforms across all three countries have been shaped by family support, children’s rights and social investment policy orientations; and deliberates national differences in the scope, timing and longevity of reforms. It raises critical issues from rights-based perspectives and reflects on cross-national insights.","container-title":"Social Work and Social Sciences Review","DOI":"10.1921/swssr.v21i2.1418","ISSN":"1746-6105, 0953-5225","issue":"2","journalAbbreviation":"SWSSR","language":"en","page":"58-83","source":"DOI.org (Crossref)","title":"Developing family support services: A comparison of national reforms and challenges in England, Ireland and Spain","title-short":"Developing family support services","volume":"21","author":[{"family":"Churchill","given":"Harriet"},{"family":"Baena","given":"Sofía"},{"family":"Crosse","given":"Rosemary"},{"family":"Jiménez","given":"Lucia"},{"family":"Millar","given":"MIchelle"}],"issued":{"date-parts":[["2020",5,18]]}}}],"schema":"https://github.com/citation-style-language/schema/raw/master/csl-citation.json"} </w:instrText>
                        </w:r>
                        <w:r w:rsidR="007705F0" w:rsidRPr="0034554D">
                          <w:rPr>
                            <w:sz w:val="22"/>
                            <w:szCs w:val="22"/>
                          </w:rPr>
                          <w:fldChar w:fldCharType="separate"/>
                        </w:r>
                        <w:r w:rsidR="00AC138C" w:rsidRPr="0034554D">
                          <w:rPr>
                            <w:rFonts w:ascii="Arial" w:hAnsi="Arial" w:cs="Arial"/>
                            <w:b w:val="0"/>
                            <w:sz w:val="22"/>
                            <w:szCs w:val="22"/>
                          </w:rPr>
                          <w:t>(Churchill et al., 2020)</w:t>
                        </w:r>
                        <w:r w:rsidR="007705F0" w:rsidRPr="0034554D">
                          <w:rPr>
                            <w:sz w:val="22"/>
                            <w:szCs w:val="22"/>
                          </w:rPr>
                          <w:fldChar w:fldCharType="end"/>
                        </w:r>
                        <w:r w:rsidR="007705F0" w:rsidRPr="0034554D">
                          <w:rPr>
                            <w:b w:val="0"/>
                            <w:sz w:val="22"/>
                            <w:szCs w:val="22"/>
                            <w:lang w:val="en-NZ"/>
                          </w:rPr>
                          <w:t xml:space="preserve">. </w:t>
                        </w:r>
                      </w:p>
                      <w:p w14:paraId="4E6EB915" w14:textId="3672DF5F" w:rsidR="002F6DFD" w:rsidRDefault="002C5360" w:rsidP="0034554D">
                        <w:pPr>
                          <w:pStyle w:val="TableText"/>
                          <w:jc w:val="both"/>
                        </w:pPr>
                        <w:r w:rsidRPr="0034554D">
                          <w:rPr>
                            <w:b w:val="0"/>
                            <w:bCs w:val="0"/>
                            <w:sz w:val="22"/>
                            <w:szCs w:val="22"/>
                            <w:lang w:val="en-NZ"/>
                          </w:rPr>
                          <w:t xml:space="preserve">Learnings can also be drawn from </w:t>
                        </w:r>
                        <w:r w:rsidR="00FD5B73" w:rsidRPr="0034554D">
                          <w:rPr>
                            <w:b w:val="0"/>
                            <w:bCs w:val="0"/>
                            <w:sz w:val="22"/>
                            <w:szCs w:val="22"/>
                            <w:lang w:val="en-NZ"/>
                          </w:rPr>
                          <w:t>Victoria’s</w:t>
                        </w:r>
                        <w:r w:rsidRPr="0034554D">
                          <w:rPr>
                            <w:b w:val="0"/>
                            <w:bCs w:val="0"/>
                            <w:sz w:val="22"/>
                            <w:szCs w:val="22"/>
                            <w:lang w:val="en-NZ"/>
                          </w:rPr>
                          <w:t xml:space="preserve"> </w:t>
                        </w:r>
                        <w:r w:rsidRPr="0034554D" w:rsidDel="00844310">
                          <w:rPr>
                            <w:b w:val="0"/>
                            <w:bCs w:val="0"/>
                            <w:sz w:val="22"/>
                            <w:szCs w:val="22"/>
                            <w:lang w:val="en-NZ"/>
                          </w:rPr>
                          <w:t>evidence</w:t>
                        </w:r>
                        <w:r w:rsidR="00844310" w:rsidRPr="0034554D">
                          <w:rPr>
                            <w:b w:val="0"/>
                            <w:bCs w:val="0"/>
                            <w:sz w:val="22"/>
                            <w:szCs w:val="22"/>
                            <w:lang w:val="en-NZ"/>
                          </w:rPr>
                          <w:t>-based</w:t>
                        </w:r>
                        <w:r w:rsidRPr="0034554D">
                          <w:rPr>
                            <w:b w:val="0"/>
                            <w:bCs w:val="0"/>
                            <w:sz w:val="22"/>
                            <w:szCs w:val="22"/>
                            <w:lang w:val="en-NZ"/>
                          </w:rPr>
                          <w:t xml:space="preserve"> Family Preservation and Reunification Response as well as individual examples such as the Jannawi Family Centre.</w:t>
                        </w:r>
                      </w:p>
                    </w:tc>
                  </w:tr>
                </w:tbl>
                <w:p w14:paraId="3E848552" w14:textId="7A87022B" w:rsidR="005674C7" w:rsidRPr="000C09BF" w:rsidRDefault="005674C7" w:rsidP="00321BC5">
                  <w:pPr>
                    <w:pStyle w:val="Text"/>
                    <w:spacing w:before="360"/>
                  </w:pPr>
                  <w:r w:rsidRPr="00321BC5">
                    <w:rPr>
                      <w:b/>
                      <w:color w:val="36424A" w:themeColor="background2"/>
                    </w:rPr>
                    <w:t>Service provision to children and young people</w:t>
                  </w:r>
                </w:p>
                <w:p w14:paraId="7CFB8243" w14:textId="2D993937" w:rsidR="005674C7" w:rsidRDefault="00C13787" w:rsidP="005674C7">
                  <w:pPr>
                    <w:pStyle w:val="Bullet1"/>
                    <w:numPr>
                      <w:ilvl w:val="0"/>
                      <w:numId w:val="0"/>
                    </w:numPr>
                  </w:pPr>
                  <w:r>
                    <w:lastRenderedPageBreak/>
                    <w:t>S</w:t>
                  </w:r>
                  <w:r w:rsidR="005674C7">
                    <w:t xml:space="preserve">everal </w:t>
                  </w:r>
                  <w:r w:rsidR="00E611BD">
                    <w:t xml:space="preserve">SFVS and CSC </w:t>
                  </w:r>
                  <w:r w:rsidR="005674C7">
                    <w:t>service providers</w:t>
                  </w:r>
                  <w:r>
                    <w:t xml:space="preserve"> described a need for more direct engagement with children and young people</w:t>
                  </w:r>
                  <w:r w:rsidR="005674C7">
                    <w:t xml:space="preserve">, reinforcing themes from the literature relating to children’s and young people’s voice and agency. </w:t>
                  </w:r>
                  <w:r w:rsidR="00E611BD">
                    <w:t>CSC s</w:t>
                  </w:r>
                  <w:r w:rsidR="005674C7">
                    <w:t xml:space="preserve">ervice providers described the capacity of CSC services to improve children’s ability to self-regulate, create a safe space and support network, and provide them with a voice – often for the first time in their lives. </w:t>
                  </w:r>
                  <w:r w:rsidR="00C068CE">
                    <w:t xml:space="preserve">Many </w:t>
                  </w:r>
                  <w:r w:rsidR="00E611BD">
                    <w:t>CSC s</w:t>
                  </w:r>
                  <w:r w:rsidR="005674C7">
                    <w:t xml:space="preserve">ervice providers also noted </w:t>
                  </w:r>
                  <w:r w:rsidR="00820CFD">
                    <w:t>that</w:t>
                  </w:r>
                  <w:r w:rsidR="005674C7">
                    <w:t xml:space="preserve"> the effectiveness of counselling was contingent largely on the ability of counsellors to establish rapport with the child, highlighting the need to ensure staff are sufficiently skilled and experienced in working with young people.</w:t>
                  </w:r>
                </w:p>
                <w:p w14:paraId="57C13E9F" w14:textId="1AB1A813" w:rsidR="005674C7" w:rsidRPr="007B623E" w:rsidRDefault="005674C7" w:rsidP="005674C7">
                  <w:pPr>
                    <w:pBdr>
                      <w:left w:val="single" w:sz="18" w:space="4" w:color="78B800" w:themeColor="accent1"/>
                    </w:pBdr>
                    <w:tabs>
                      <w:tab w:val="left" w:pos="8080"/>
                    </w:tabs>
                    <w:spacing w:after="0"/>
                    <w:ind w:left="851" w:right="949"/>
                    <w:rPr>
                      <w:i/>
                      <w:iCs/>
                    </w:rPr>
                  </w:pPr>
                  <w:r w:rsidRPr="002E7992">
                    <w:rPr>
                      <w:noProof/>
                    </w:rPr>
                    <w:drawing>
                      <wp:anchor distT="0" distB="0" distL="114300" distR="114300" simplePos="0" relativeHeight="251658398" behindDoc="0" locked="1" layoutInCell="1" allowOverlap="1" wp14:anchorId="14586242" wp14:editId="6C6D84E6">
                        <wp:simplePos x="0" y="0"/>
                        <wp:positionH relativeFrom="column">
                          <wp:posOffset>0</wp:posOffset>
                        </wp:positionH>
                        <wp:positionV relativeFrom="paragraph">
                          <wp:posOffset>0</wp:posOffset>
                        </wp:positionV>
                        <wp:extent cx="384810" cy="320040"/>
                        <wp:effectExtent l="0" t="0" r="0" b="3810"/>
                        <wp:wrapNone/>
                        <wp:docPr id="1593172775" name="Graphic 1593172775" descr="P4214#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172775" name="Graphic 1593172775" descr="P4214#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i/>
                      <w:iCs/>
                    </w:rPr>
                    <w:t xml:space="preserve">Giving children that voice and holding that alongside a protective lens without silencing them – that’s a real issue we juggle </w:t>
                  </w:r>
                  <w:r w:rsidRPr="002E7992">
                    <w:rPr>
                      <w:b/>
                      <w:bCs/>
                      <w:i/>
                      <w:iCs/>
                    </w:rPr>
                    <w:t>–</w:t>
                  </w:r>
                  <w:r>
                    <w:rPr>
                      <w:b/>
                      <w:bCs/>
                      <w:i/>
                      <w:iCs/>
                    </w:rPr>
                    <w:t xml:space="preserve"> CSC service provider</w:t>
                  </w:r>
                </w:p>
                <w:p w14:paraId="2B8C4463" w14:textId="77777777" w:rsidR="005674C7" w:rsidRDefault="005674C7" w:rsidP="005674C7">
                  <w:pPr>
                    <w:pStyle w:val="Bullet1"/>
                    <w:numPr>
                      <w:ilvl w:val="0"/>
                      <w:numId w:val="0"/>
                    </w:numPr>
                  </w:pPr>
                </w:p>
                <w:p w14:paraId="3F284FA6" w14:textId="45B99715" w:rsidR="005674C7" w:rsidRPr="007B623E" w:rsidRDefault="005674C7" w:rsidP="005674C7">
                  <w:pPr>
                    <w:pBdr>
                      <w:left w:val="single" w:sz="18" w:space="4" w:color="78B800" w:themeColor="accent1"/>
                    </w:pBdr>
                    <w:tabs>
                      <w:tab w:val="left" w:pos="8080"/>
                    </w:tabs>
                    <w:spacing w:after="0"/>
                    <w:ind w:left="851" w:right="949"/>
                    <w:rPr>
                      <w:i/>
                      <w:iCs/>
                    </w:rPr>
                  </w:pPr>
                  <w:r w:rsidRPr="002E7992">
                    <w:rPr>
                      <w:noProof/>
                    </w:rPr>
                    <w:drawing>
                      <wp:anchor distT="0" distB="0" distL="114300" distR="114300" simplePos="0" relativeHeight="251658399" behindDoc="0" locked="1" layoutInCell="1" allowOverlap="1" wp14:anchorId="2505FA9B" wp14:editId="7EEA6A26">
                        <wp:simplePos x="0" y="0"/>
                        <wp:positionH relativeFrom="column">
                          <wp:posOffset>0</wp:posOffset>
                        </wp:positionH>
                        <wp:positionV relativeFrom="paragraph">
                          <wp:posOffset>0</wp:posOffset>
                        </wp:positionV>
                        <wp:extent cx="384810" cy="320040"/>
                        <wp:effectExtent l="0" t="0" r="0" b="3810"/>
                        <wp:wrapNone/>
                        <wp:docPr id="1308463726" name="Graphic 1308463726" descr="P4216#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8463726" name="Graphic 1308463726" descr="P4216#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i/>
                      <w:iCs/>
                    </w:rPr>
                    <w:t xml:space="preserve">When we are seeing </w:t>
                  </w:r>
                  <w:r w:rsidR="00EA0542">
                    <w:rPr>
                      <w:i/>
                      <w:iCs/>
                    </w:rPr>
                    <w:t>children,</w:t>
                  </w:r>
                  <w:r>
                    <w:rPr>
                      <w:i/>
                      <w:iCs/>
                    </w:rPr>
                    <w:t xml:space="preserve"> we have a whole</w:t>
                  </w:r>
                  <w:r w:rsidR="004F2B3B">
                    <w:rPr>
                      <w:i/>
                      <w:iCs/>
                    </w:rPr>
                    <w:t>-</w:t>
                  </w:r>
                  <w:r>
                    <w:rPr>
                      <w:i/>
                      <w:iCs/>
                    </w:rPr>
                    <w:t>of</w:t>
                  </w:r>
                  <w:r w:rsidR="004F2B3B">
                    <w:rPr>
                      <w:i/>
                      <w:iCs/>
                    </w:rPr>
                    <w:t>-</w:t>
                  </w:r>
                  <w:r>
                    <w:rPr>
                      <w:i/>
                      <w:iCs/>
                    </w:rPr>
                    <w:t xml:space="preserve">family approach, trying to work systematically even though we see the child as a client in their own right because when there’s family violence there are different social and emotional impacts on the child </w:t>
                  </w:r>
                  <w:r w:rsidRPr="002E7992">
                    <w:rPr>
                      <w:b/>
                      <w:bCs/>
                      <w:i/>
                      <w:iCs/>
                    </w:rPr>
                    <w:t>–</w:t>
                  </w:r>
                  <w:r>
                    <w:rPr>
                      <w:b/>
                      <w:bCs/>
                      <w:i/>
                      <w:iCs/>
                    </w:rPr>
                    <w:t xml:space="preserve"> CSC service provider</w:t>
                  </w:r>
                </w:p>
                <w:p w14:paraId="08846A4D" w14:textId="77777777" w:rsidR="005674C7" w:rsidRDefault="005674C7" w:rsidP="005674C7">
                  <w:pPr>
                    <w:pStyle w:val="Bullet1"/>
                    <w:numPr>
                      <w:ilvl w:val="0"/>
                      <w:numId w:val="0"/>
                    </w:numPr>
                  </w:pPr>
                </w:p>
                <w:p w14:paraId="5AEEBB07" w14:textId="0E36D084" w:rsidR="005674C7" w:rsidRDefault="005674C7" w:rsidP="005674C7">
                  <w:pPr>
                    <w:pStyle w:val="Bullet1"/>
                    <w:numPr>
                      <w:ilvl w:val="0"/>
                      <w:numId w:val="0"/>
                    </w:numPr>
                  </w:pPr>
                  <w:r>
                    <w:t>CSC service providers identified several barriers to effective engagement with children and young people including:</w:t>
                  </w:r>
                </w:p>
                <w:p w14:paraId="1389D815" w14:textId="1C27654B" w:rsidR="005674C7" w:rsidRDefault="005674C7" w:rsidP="00A96B32">
                  <w:pPr>
                    <w:pStyle w:val="Bullet1"/>
                  </w:pPr>
                  <w:r>
                    <w:t>gaining consent from both parents for the child’s participation in counselling (although this was possible in some circumstances)</w:t>
                  </w:r>
                  <w:r w:rsidR="00E055C8">
                    <w:rPr>
                      <w:rFonts w:ascii="ZWAdobeF" w:hAnsi="ZWAdobeF" w:cs="ZWAdobeF"/>
                      <w:sz w:val="2"/>
                      <w:szCs w:val="2"/>
                    </w:rPr>
                    <w:t>16F</w:t>
                  </w:r>
                  <w:r w:rsidR="00350AA8">
                    <w:rPr>
                      <w:rStyle w:val="FootnoteReference"/>
                    </w:rPr>
                    <w:footnoteReference w:id="18"/>
                  </w:r>
                  <w:r w:rsidRPr="00C56B0C">
                    <w:t xml:space="preserve"> </w:t>
                  </w:r>
                </w:p>
                <w:p w14:paraId="2A335D9F" w14:textId="77777777" w:rsidR="005674C7" w:rsidRDefault="005674C7" w:rsidP="00A96B32">
                  <w:pPr>
                    <w:pStyle w:val="Bullet1"/>
                  </w:pPr>
                  <w:r>
                    <w:t xml:space="preserve">lack of capacity in services to provide a whole-of-family-approach in some locations </w:t>
                  </w:r>
                </w:p>
                <w:p w14:paraId="0F9B54E3" w14:textId="77777777" w:rsidR="005674C7" w:rsidRDefault="005674C7" w:rsidP="00A96B32">
                  <w:pPr>
                    <w:pStyle w:val="Bullet1"/>
                  </w:pPr>
                  <w:r>
                    <w:t>lack of suitably qualified workers with experience of working with children</w:t>
                  </w:r>
                </w:p>
                <w:p w14:paraId="55143DD0" w14:textId="77777777" w:rsidR="005674C7" w:rsidRDefault="005674C7" w:rsidP="00A96B32">
                  <w:pPr>
                    <w:pStyle w:val="Bullet1"/>
                  </w:pPr>
                  <w:r>
                    <w:t>parental mistrust of services</w:t>
                  </w:r>
                </w:p>
                <w:p w14:paraId="04943AFE" w14:textId="77777777" w:rsidR="005674C7" w:rsidRDefault="005674C7" w:rsidP="00A96B32">
                  <w:pPr>
                    <w:pStyle w:val="Bullet1"/>
                  </w:pPr>
                  <w:r>
                    <w:t>providing appropriate services in-language to CALD communities.</w:t>
                  </w:r>
                </w:p>
                <w:p w14:paraId="45A7E15D" w14:textId="6D394B14" w:rsidR="005674C7" w:rsidRDefault="005674C7" w:rsidP="005674C7">
                  <w:pPr>
                    <w:pStyle w:val="Bullet1"/>
                    <w:numPr>
                      <w:ilvl w:val="0"/>
                      <w:numId w:val="0"/>
                    </w:numPr>
                  </w:pPr>
                  <w:r>
                    <w:t xml:space="preserve">Linked to findings from the literature about the value children place on having trusted individuals to talk to and feel heard </w:t>
                  </w:r>
                  <w:r w:rsidRPr="00FA18F6">
                    <w:fldChar w:fldCharType="begin"/>
                  </w:r>
                  <w:r w:rsidR="00E41D03">
                    <w:instrText xml:space="preserve"> ADDIN ZOTERO_ITEM CSL_CITATION {"citationID":"erg2TOcC","properties":{"formattedCitation":"(Noble\\uc0\\u8208{}Carr et al., 2020)","plainCitation":"(Noble</w:instrText>
                  </w:r>
                  <w:r w:rsidR="00E41D03">
                    <w:rPr>
                      <w:rFonts w:ascii="Cambria Math" w:hAnsi="Cambria Math" w:cs="Cambria Math"/>
                    </w:rPr>
                    <w:instrText>‐</w:instrText>
                  </w:r>
                  <w:r w:rsidR="00E41D03">
                    <w:instrText>Carr et al., 2020)","noteIndex":0},"citationItems":[{"id":4743,"uris":["http://zotero.org/groups/5691188/items/56WHHM62"],"itemData":{"id":4743,"type":"article-journal","abstract":"Domestic and family violence is a significant issue experienced by many children that can have severe detrimental impacts to their health, development, and well</w:instrText>
                  </w:r>
                  <w:r w:rsidR="00E41D03">
                    <w:rPr>
                      <w:rFonts w:ascii="Cambria Math" w:hAnsi="Cambria Math" w:cs="Cambria Math"/>
                    </w:rPr>
                    <w:instrText>‐</w:instrText>
                  </w:r>
                  <w:r w:rsidR="00E41D03">
                    <w:instrText>being. Despite the significance of this issue, it is only recently that children have been included in research that seeks to understand the impacts that domestic and family violence may have on their lives. This paper reports on the findings of a meta</w:instrText>
                  </w:r>
                  <w:r w:rsidR="00E41D03">
                    <w:rPr>
                      <w:rFonts w:ascii="Cambria Math" w:hAnsi="Cambria Math" w:cs="Cambria Math"/>
                    </w:rPr>
                    <w:instrText>‐</w:instrText>
                  </w:r>
                  <w:r w:rsidR="00E41D03">
                    <w:instrText>synthesis, which explored qualitative research about children's experiences of domestic and family violence. Thirty</w:instrText>
                  </w:r>
                  <w:r w:rsidR="00E41D03">
                    <w:rPr>
                      <w:rFonts w:ascii="Cambria Math" w:hAnsi="Cambria Math" w:cs="Cambria Math"/>
                    </w:rPr>
                    <w:instrText>‐</w:instrText>
                  </w:r>
                  <w:r w:rsidR="00E41D03">
                    <w:instrText>two studies, including from the United Kingdom, North America, and Australia were included for review. The meta</w:instrText>
                  </w:r>
                  <w:r w:rsidR="00E41D03">
                    <w:rPr>
                      <w:rFonts w:ascii="Cambria Math" w:hAnsi="Cambria Math" w:cs="Cambria Math"/>
                    </w:rPr>
                    <w:instrText>‐</w:instrText>
                  </w:r>
                  <w:r w:rsidR="00E41D03">
                    <w:instrText>synthesis found that children describe domestic violence as being a complex, isolating, and enduring experience that often results in disruption, losses, and challenges to their significant relationships. Children's common feelings of fear, worry, powerlessness, and sadness were also uncovered, in addition to the strategies they employed to try and facilitate the safety and emotional well</w:instrText>
                  </w:r>
                  <w:r w:rsidR="00E41D03">
                    <w:rPr>
                      <w:rFonts w:ascii="Cambria Math" w:hAnsi="Cambria Math" w:cs="Cambria Math"/>
                    </w:rPr>
                    <w:instrText>‐</w:instrText>
                  </w:r>
                  <w:r w:rsidR="00E41D03">
                    <w:instrText>being of themselves and their family. Children's wants and needs are also highlighted. The findings demonstrate that despite the increasing interest in children's experiences of domestic and family violence, qualitative research remains limited, with many gaps evident. Implications for research, policy, and practice are considered.","container-title":"Child &amp; Family Social Work","DOI":"10.1111/cfs.12645","ISSN":"1356-7500, 1365-2206","issue":"1","journalAbbreviation":"Child &amp; Family Social Work","language":"en","page":"182-191","source":"DOI.org (Crossref)","title":"Children's experiences and needs in relation to domestic and family violence: Findings from a meta</w:instrText>
                  </w:r>
                  <w:r w:rsidR="00E41D03">
                    <w:rPr>
                      <w:rFonts w:ascii="Cambria Math" w:hAnsi="Cambria Math" w:cs="Cambria Math"/>
                    </w:rPr>
                    <w:instrText>‐</w:instrText>
                  </w:r>
                  <w:r w:rsidR="00E41D03">
                    <w:instrText>synthesis","title-short":"Children's experiences and needs in relation to domestic and family violence","volume":"25","author":[{"family":"Noble</w:instrText>
                  </w:r>
                  <w:r w:rsidR="00E41D03">
                    <w:rPr>
                      <w:rFonts w:ascii="Cambria Math" w:hAnsi="Cambria Math" w:cs="Cambria Math"/>
                    </w:rPr>
                    <w:instrText>‐</w:instrText>
                  </w:r>
                  <w:r w:rsidR="00E41D03">
                    <w:instrText xml:space="preserve">Carr","given":"Debbie"},{"family":"Moore","given":"Tim"},{"family":"McArthur","given":"Morag"}],"issued":{"date-parts":[["2020",2]]}}}],"schema":"https://github.com/citation-style-language/schema/raw/master/csl-citation.json"} </w:instrText>
                  </w:r>
                  <w:r w:rsidRPr="00FA18F6">
                    <w:fldChar w:fldCharType="separate"/>
                  </w:r>
                  <w:r w:rsidRPr="00FA18F6">
                    <w:t>(Noble</w:t>
                  </w:r>
                  <w:r w:rsidRPr="00FA18F6">
                    <w:rPr>
                      <w:rFonts w:ascii="Cambria Math" w:hAnsi="Cambria Math" w:cs="Cambria Math"/>
                    </w:rPr>
                    <w:t>‐</w:t>
                  </w:r>
                  <w:r w:rsidRPr="00FA18F6">
                    <w:t>Carr et al., 2020)</w:t>
                  </w:r>
                  <w:r w:rsidRPr="00FA18F6">
                    <w:fldChar w:fldCharType="end"/>
                  </w:r>
                  <w:r>
                    <w:t>, child service users reported positive experiences, speaking about enjoying having someone to talk to, who took them seriously, respected their privacy and did not judge them. All noted they</w:t>
                  </w:r>
                  <w:r w:rsidDel="00C7696D">
                    <w:t xml:space="preserve"> </w:t>
                  </w:r>
                  <w:r w:rsidR="00C7696D">
                    <w:t>liked</w:t>
                  </w:r>
                  <w:r>
                    <w:t xml:space="preserve"> play-based approaches to counselling. The physical space in particular was important to children, with some noting they </w:t>
                  </w:r>
                  <w:r w:rsidR="00C7696D">
                    <w:t xml:space="preserve">appreciated </w:t>
                  </w:r>
                  <w:r>
                    <w:t>having toys and other ‘</w:t>
                  </w:r>
                  <w:r w:rsidR="00C068CE">
                    <w:t>kids’</w:t>
                  </w:r>
                  <w:r>
                    <w:t xml:space="preserve"> stuff’ in the counselling waiting room, whilst others commented they wanted more books and other material</w:t>
                  </w:r>
                  <w:r w:rsidR="00C068CE">
                    <w:t>s</w:t>
                  </w:r>
                  <w:r>
                    <w:t xml:space="preserve"> in the service. </w:t>
                  </w:r>
                </w:p>
                <w:p w14:paraId="547D8460" w14:textId="4784C15F" w:rsidR="005674C7" w:rsidRPr="007B623E" w:rsidRDefault="005674C7" w:rsidP="005674C7">
                  <w:pPr>
                    <w:pBdr>
                      <w:left w:val="single" w:sz="18" w:space="4" w:color="78B800" w:themeColor="accent1"/>
                    </w:pBdr>
                    <w:tabs>
                      <w:tab w:val="left" w:pos="8080"/>
                    </w:tabs>
                    <w:spacing w:after="0"/>
                    <w:ind w:left="851" w:right="949"/>
                    <w:rPr>
                      <w:i/>
                      <w:iCs/>
                    </w:rPr>
                  </w:pPr>
                  <w:r w:rsidRPr="008A61A8">
                    <w:rPr>
                      <w:i/>
                      <w:iCs/>
                      <w:noProof/>
                    </w:rPr>
                    <w:drawing>
                      <wp:anchor distT="0" distB="0" distL="114300" distR="114300" simplePos="0" relativeHeight="251658400" behindDoc="0" locked="1" layoutInCell="1" allowOverlap="1" wp14:anchorId="5271DC99" wp14:editId="03D51F94">
                        <wp:simplePos x="0" y="0"/>
                        <wp:positionH relativeFrom="column">
                          <wp:posOffset>0</wp:posOffset>
                        </wp:positionH>
                        <wp:positionV relativeFrom="paragraph">
                          <wp:posOffset>0</wp:posOffset>
                        </wp:positionV>
                        <wp:extent cx="384810" cy="320040"/>
                        <wp:effectExtent l="0" t="0" r="0" b="3810"/>
                        <wp:wrapNone/>
                        <wp:docPr id="85025552" name="Graphic 85025552" descr="P4225#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25552" name="Graphic 85025552" descr="P4225#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A61A8">
                    <w:rPr>
                      <w:i/>
                      <w:iCs/>
                    </w:rPr>
                    <w:t>It has helped m</w:t>
                  </w:r>
                  <w:r>
                    <w:rPr>
                      <w:i/>
                      <w:iCs/>
                    </w:rPr>
                    <w:t xml:space="preserve">e not get as angry and feel more calm and safe. She has helped me [and says] that it’s ok to feel how I feel and that I’m </w:t>
                  </w:r>
                  <w:r>
                    <w:rPr>
                      <w:i/>
                      <w:iCs/>
                    </w:rPr>
                    <w:lastRenderedPageBreak/>
                    <w:t xml:space="preserve">not the only person who has [felt] that and people are here for me </w:t>
                  </w:r>
                  <w:r w:rsidRPr="002E7992">
                    <w:rPr>
                      <w:b/>
                      <w:bCs/>
                      <w:i/>
                      <w:iCs/>
                    </w:rPr>
                    <w:t>–</w:t>
                  </w:r>
                  <w:r>
                    <w:rPr>
                      <w:b/>
                      <w:bCs/>
                      <w:i/>
                      <w:iCs/>
                    </w:rPr>
                    <w:t xml:space="preserve"> CSC service user</w:t>
                  </w:r>
                </w:p>
                <w:p w14:paraId="6E4C3DAD" w14:textId="77777777" w:rsidR="005674C7" w:rsidRDefault="005674C7" w:rsidP="005674C7">
                  <w:pPr>
                    <w:pStyle w:val="Bullet1"/>
                    <w:numPr>
                      <w:ilvl w:val="0"/>
                      <w:numId w:val="0"/>
                    </w:numPr>
                  </w:pPr>
                </w:p>
                <w:p w14:paraId="7DE6F7C7" w14:textId="4AFB3D3E" w:rsidR="005674C7" w:rsidRPr="007B623E" w:rsidRDefault="005674C7" w:rsidP="005674C7">
                  <w:pPr>
                    <w:pBdr>
                      <w:left w:val="single" w:sz="18" w:space="4" w:color="78B800" w:themeColor="accent1"/>
                    </w:pBdr>
                    <w:tabs>
                      <w:tab w:val="left" w:pos="8080"/>
                    </w:tabs>
                    <w:spacing w:after="0"/>
                    <w:ind w:left="851" w:right="949"/>
                    <w:rPr>
                      <w:i/>
                      <w:iCs/>
                    </w:rPr>
                  </w:pPr>
                  <w:r w:rsidRPr="008A61A8">
                    <w:rPr>
                      <w:i/>
                      <w:iCs/>
                      <w:noProof/>
                    </w:rPr>
                    <w:drawing>
                      <wp:anchor distT="0" distB="0" distL="114300" distR="114300" simplePos="0" relativeHeight="251658401" behindDoc="0" locked="1" layoutInCell="1" allowOverlap="1" wp14:anchorId="36C578E8" wp14:editId="1EB0EF15">
                        <wp:simplePos x="0" y="0"/>
                        <wp:positionH relativeFrom="column">
                          <wp:posOffset>0</wp:posOffset>
                        </wp:positionH>
                        <wp:positionV relativeFrom="paragraph">
                          <wp:posOffset>0</wp:posOffset>
                        </wp:positionV>
                        <wp:extent cx="384810" cy="320040"/>
                        <wp:effectExtent l="0" t="0" r="0" b="3810"/>
                        <wp:wrapNone/>
                        <wp:docPr id="918377766" name="Graphic 918377766" descr="P4227#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377766" name="Graphic 918377766" descr="P4227#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A61A8">
                    <w:rPr>
                      <w:i/>
                      <w:iCs/>
                    </w:rPr>
                    <w:t>I</w:t>
                  </w:r>
                  <w:r>
                    <w:rPr>
                      <w:i/>
                      <w:iCs/>
                    </w:rPr>
                    <w:t xml:space="preserve"> miss her [the support worker]. I miss talking […] She took it seriously if I told her what happened to me at school </w:t>
                  </w:r>
                  <w:r w:rsidRPr="002E7992">
                    <w:rPr>
                      <w:b/>
                      <w:bCs/>
                      <w:i/>
                      <w:iCs/>
                    </w:rPr>
                    <w:t>–</w:t>
                  </w:r>
                  <w:r>
                    <w:rPr>
                      <w:b/>
                      <w:bCs/>
                      <w:i/>
                      <w:iCs/>
                    </w:rPr>
                    <w:t xml:space="preserve"> CSC service user</w:t>
                  </w:r>
                </w:p>
                <w:p w14:paraId="20BC76B8" w14:textId="77777777" w:rsidR="005674C7" w:rsidRDefault="005674C7" w:rsidP="005674C7">
                  <w:pPr>
                    <w:pStyle w:val="Bullet1"/>
                    <w:numPr>
                      <w:ilvl w:val="0"/>
                      <w:numId w:val="0"/>
                    </w:numPr>
                  </w:pPr>
                </w:p>
                <w:p w14:paraId="79233A32" w14:textId="012D54EC" w:rsidR="005674C7" w:rsidRPr="00513E5D" w:rsidRDefault="005674C7" w:rsidP="005674C7">
                  <w:pPr>
                    <w:pBdr>
                      <w:left w:val="single" w:sz="18" w:space="4" w:color="78B800" w:themeColor="accent1"/>
                    </w:pBdr>
                    <w:tabs>
                      <w:tab w:val="left" w:pos="8080"/>
                    </w:tabs>
                    <w:spacing w:after="0"/>
                    <w:ind w:left="851" w:right="949"/>
                    <w:rPr>
                      <w:i/>
                      <w:iCs/>
                    </w:rPr>
                  </w:pPr>
                  <w:r w:rsidRPr="008A61A8">
                    <w:rPr>
                      <w:i/>
                      <w:iCs/>
                      <w:noProof/>
                    </w:rPr>
                    <w:drawing>
                      <wp:anchor distT="0" distB="0" distL="114300" distR="114300" simplePos="0" relativeHeight="251658402" behindDoc="0" locked="1" layoutInCell="1" allowOverlap="1" wp14:anchorId="5CC333F8" wp14:editId="53DECF9F">
                        <wp:simplePos x="0" y="0"/>
                        <wp:positionH relativeFrom="column">
                          <wp:posOffset>0</wp:posOffset>
                        </wp:positionH>
                        <wp:positionV relativeFrom="paragraph">
                          <wp:posOffset>0</wp:posOffset>
                        </wp:positionV>
                        <wp:extent cx="384810" cy="320040"/>
                        <wp:effectExtent l="0" t="0" r="0" b="3810"/>
                        <wp:wrapNone/>
                        <wp:docPr id="314722794" name="Graphic 314722794" descr="P4229#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722794" name="Graphic 314722794" descr="P4229#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i/>
                      <w:iCs/>
                    </w:rPr>
                    <w:t>[In response to a question about what she would change] More big kid books, especially books about movies in the waiting room. The books in the wait</w:t>
                  </w:r>
                  <w:r w:rsidR="00061055">
                    <w:rPr>
                      <w:i/>
                      <w:iCs/>
                    </w:rPr>
                    <w:t>[ing]</w:t>
                  </w:r>
                  <w:r>
                    <w:rPr>
                      <w:i/>
                      <w:iCs/>
                    </w:rPr>
                    <w:t xml:space="preserve"> room are little kid books or word search clues. I want colouring sheets, pencils and textas </w:t>
                  </w:r>
                  <w:r w:rsidRPr="002E7992">
                    <w:rPr>
                      <w:b/>
                      <w:bCs/>
                      <w:i/>
                      <w:iCs/>
                    </w:rPr>
                    <w:t>–</w:t>
                  </w:r>
                  <w:r>
                    <w:rPr>
                      <w:b/>
                      <w:bCs/>
                      <w:i/>
                      <w:iCs/>
                    </w:rPr>
                    <w:t xml:space="preserve"> CSC service user</w:t>
                  </w:r>
                </w:p>
                <w:p w14:paraId="0C6580CF" w14:textId="77777777" w:rsidR="00C068CE" w:rsidRDefault="00C068CE" w:rsidP="005674C7">
                  <w:pPr>
                    <w:pStyle w:val="Bullet1"/>
                    <w:numPr>
                      <w:ilvl w:val="0"/>
                      <w:numId w:val="0"/>
                    </w:numPr>
                  </w:pPr>
                </w:p>
                <w:p w14:paraId="577C89B2" w14:textId="77777777" w:rsidR="005674C7" w:rsidRDefault="005674C7" w:rsidP="005674C7">
                  <w:pPr>
                    <w:pStyle w:val="Bullet1"/>
                    <w:numPr>
                      <w:ilvl w:val="0"/>
                      <w:numId w:val="0"/>
                    </w:numPr>
                  </w:pPr>
                  <w:r>
                    <w:t>Parents engaged in counselling also identified a range of benefits including improvements in their child’s behaviour and wellbeing.</w:t>
                  </w:r>
                </w:p>
                <w:p w14:paraId="5FBB637B" w14:textId="48DE5D8F" w:rsidR="005674C7" w:rsidRPr="00E55E11" w:rsidRDefault="005674C7" w:rsidP="005674C7">
                  <w:pPr>
                    <w:pBdr>
                      <w:left w:val="single" w:sz="18" w:space="4" w:color="78B800" w:themeColor="accent1"/>
                    </w:pBdr>
                    <w:tabs>
                      <w:tab w:val="left" w:pos="8080"/>
                    </w:tabs>
                    <w:spacing w:after="0"/>
                    <w:ind w:left="851" w:right="949"/>
                    <w:rPr>
                      <w:i/>
                      <w:iCs/>
                    </w:rPr>
                  </w:pPr>
                  <w:r w:rsidRPr="008A61A8">
                    <w:rPr>
                      <w:i/>
                      <w:iCs/>
                      <w:noProof/>
                    </w:rPr>
                    <w:drawing>
                      <wp:anchor distT="0" distB="0" distL="114300" distR="114300" simplePos="0" relativeHeight="251658403" behindDoc="0" locked="1" layoutInCell="1" allowOverlap="1" wp14:anchorId="6C24518A" wp14:editId="364DCE76">
                        <wp:simplePos x="0" y="0"/>
                        <wp:positionH relativeFrom="column">
                          <wp:posOffset>0</wp:posOffset>
                        </wp:positionH>
                        <wp:positionV relativeFrom="paragraph">
                          <wp:posOffset>0</wp:posOffset>
                        </wp:positionV>
                        <wp:extent cx="384810" cy="320040"/>
                        <wp:effectExtent l="0" t="0" r="0" b="3810"/>
                        <wp:wrapNone/>
                        <wp:docPr id="1142019489" name="Graphic 1142019489" descr="P4232#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019489" name="Graphic 1142019489" descr="P4232#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i/>
                      <w:iCs/>
                    </w:rPr>
                    <w:t>[I] really appreciate [counsellor</w:t>
                  </w:r>
                  <w:r w:rsidDel="000336FC">
                    <w:rPr>
                      <w:i/>
                      <w:iCs/>
                    </w:rPr>
                    <w:t>’</w:t>
                  </w:r>
                  <w:r>
                    <w:rPr>
                      <w:i/>
                      <w:iCs/>
                    </w:rPr>
                    <w:t>s] no</w:t>
                  </w:r>
                  <w:r w:rsidR="005647EC">
                    <w:rPr>
                      <w:i/>
                      <w:iCs/>
                    </w:rPr>
                    <w:t>-</w:t>
                  </w:r>
                  <w:r>
                    <w:rPr>
                      <w:i/>
                      <w:iCs/>
                    </w:rPr>
                    <w:t>nonsense approach to [my child]. She is building trust in a professional way</w:t>
                  </w:r>
                  <w:r w:rsidR="000B5B48">
                    <w:rPr>
                      <w:i/>
                      <w:iCs/>
                    </w:rPr>
                    <w:t xml:space="preserve"> [</w:t>
                  </w:r>
                  <w:r w:rsidR="00F33F66">
                    <w:rPr>
                      <w:i/>
                      <w:iCs/>
                    </w:rPr>
                    <w:t>…</w:t>
                  </w:r>
                  <w:r w:rsidR="000B5B48">
                    <w:rPr>
                      <w:i/>
                      <w:iCs/>
                    </w:rPr>
                    <w:t>]</w:t>
                  </w:r>
                  <w:r>
                    <w:rPr>
                      <w:i/>
                      <w:iCs/>
                    </w:rPr>
                    <w:t xml:space="preserve"> [My child] is able to see it as a professional relationship, but one which she can confide in like a friend </w:t>
                  </w:r>
                  <w:r w:rsidRPr="002E7992">
                    <w:rPr>
                      <w:b/>
                      <w:bCs/>
                      <w:i/>
                      <w:iCs/>
                    </w:rPr>
                    <w:t>–</w:t>
                  </w:r>
                  <w:r>
                    <w:rPr>
                      <w:b/>
                      <w:bCs/>
                      <w:i/>
                      <w:iCs/>
                    </w:rPr>
                    <w:t xml:space="preserve"> FaRS service user</w:t>
                  </w:r>
                </w:p>
                <w:p w14:paraId="32E43C27" w14:textId="4C1E427A" w:rsidR="005674C7" w:rsidRPr="000C09BF" w:rsidRDefault="005674C7" w:rsidP="00321BC5">
                  <w:pPr>
                    <w:pStyle w:val="Text"/>
                    <w:spacing w:before="360"/>
                  </w:pPr>
                  <w:r w:rsidRPr="00321BC5">
                    <w:rPr>
                      <w:b/>
                      <w:color w:val="36424A" w:themeColor="background2"/>
                    </w:rPr>
                    <w:t>Child to parent violence</w:t>
                  </w:r>
                </w:p>
                <w:p w14:paraId="78E46F2B" w14:textId="395BECD5" w:rsidR="005674C7" w:rsidRPr="005716DC" w:rsidRDefault="005674C7" w:rsidP="005674C7">
                  <w:pPr>
                    <w:pStyle w:val="Text"/>
                  </w:pPr>
                  <w:r w:rsidRPr="005716DC">
                    <w:t xml:space="preserve">Child-to-parent violence (CPV), which includes behaviours such as adolescent violence in the home (AVITH), refers to acts where a young person uses physical, verbal, psychological, or financial means to exert power and control over a parent. </w:t>
                  </w:r>
                  <w:r>
                    <w:t>Presentations of CPV are predominantly directed at mothers</w:t>
                  </w:r>
                  <w:r w:rsidR="00E070C1">
                    <w:t xml:space="preserve"> and</w:t>
                  </w:r>
                  <w:r>
                    <w:t xml:space="preserve"> can stem from a range of factors including prior exposure to violence.</w:t>
                  </w:r>
                  <w:r w:rsidR="00B149BB">
                    <w:t xml:space="preserve"> This</w:t>
                  </w:r>
                  <w:r w:rsidR="00841E61">
                    <w:t xml:space="preserve"> exposure to violence</w:t>
                  </w:r>
                  <w:r w:rsidR="00B149BB">
                    <w:t xml:space="preserve"> is similarly reflected in the </w:t>
                  </w:r>
                  <w:r w:rsidR="00841E61">
                    <w:t>literature</w:t>
                  </w:r>
                  <w:r w:rsidR="00B149BB">
                    <w:t xml:space="preserve"> in relation to sibling-to-sibling violence, </w:t>
                  </w:r>
                  <w:r w:rsidR="00841E61">
                    <w:t xml:space="preserve">wherein the normalisation of violence may reinforce sibling to sibling aggression and violence </w:t>
                  </w:r>
                  <w:r w:rsidR="00841E61">
                    <w:fldChar w:fldCharType="begin"/>
                  </w:r>
                  <w:r w:rsidR="003A464F">
                    <w:instrText xml:space="preserve"> ADDIN ZOTERO_ITEM CSL_CITATION {"citationID":"ai6vn0lhl6","properties":{"formattedCitation":"(Boxall et al., 2024; Tompsett et al., 2016)","plainCitation":"(Boxall et al., 2024; Tompsett et al., 2016)","noteIndex":0},"citationItems":[{"id":"KNHaqWe9/YowTylrX","uris":["http://zotero.org/groups/6054942/items/82AGWSH2"],"itemData":{"id":5656,"type":"report","page":"13","publisher":"ANU, Griffith University, Monash University","title":"Sibling-to-sibling violence in Australia: Summary Report","author":[{"family":"Boxall","given":"Hayley"},{"family":"Meyer","given":"Silke"},{"family":"Fitz-Gibbon","given":"Kate"}],"issued":{"date-parts":[["2024"]]}}},{"id":"KNHaqWe9/P48U5aQV","uris":["http://zotero.org/groups/6054942/items/8SWWJYFY"],"itemData":{"id":5657,"type":"article-journal","container-title":"Journal of Clinical Child &amp; Adolescent Psychology","issue":"6","page":"941 - 953","title":"Sibling Aggression in Clinic-Referred Children and Adolescents","volume":"47","author":[{"family":"Tompsett","given":"C"},{"family":"Mahoney","given":"A"},{"family":"Lackey","given":"J"}],"issued":{"date-parts":[["2016"]]}}}],"schema":"https://github.com/citation-style-language/schema/raw/master/csl-citation.json"} </w:instrText>
                  </w:r>
                  <w:r w:rsidR="00841E61">
                    <w:fldChar w:fldCharType="separate"/>
                  </w:r>
                  <w:r w:rsidR="003C117F" w:rsidRPr="003C117F">
                    <w:rPr>
                      <w:rFonts w:ascii="Arial" w:hAnsi="Arial" w:cs="Arial"/>
                    </w:rPr>
                    <w:t>(Boxall et al., 2024; Tompsett et al., 2016)</w:t>
                  </w:r>
                  <w:r w:rsidR="00841E61">
                    <w:fldChar w:fldCharType="end"/>
                  </w:r>
                  <w:r w:rsidR="00841E61">
                    <w:t>.</w:t>
                  </w:r>
                  <w:r>
                    <w:t xml:space="preserve"> </w:t>
                  </w:r>
                  <w:r w:rsidRPr="005716DC">
                    <w:t xml:space="preserve">CPV </w:t>
                  </w:r>
                  <w:r>
                    <w:t>presents complex</w:t>
                  </w:r>
                  <w:r w:rsidRPr="005716DC">
                    <w:t xml:space="preserve"> and</w:t>
                  </w:r>
                  <w:r>
                    <w:t xml:space="preserve"> multi-faceted</w:t>
                  </w:r>
                  <w:r w:rsidRPr="005716DC">
                    <w:t xml:space="preserve"> challenges</w:t>
                  </w:r>
                  <w:r>
                    <w:t xml:space="preserve"> for families, requiring</w:t>
                  </w:r>
                  <w:r w:rsidRPr="005716DC">
                    <w:t xml:space="preserve"> flexible, whole-family, and trauma-informed approaches that recogni</w:t>
                  </w:r>
                  <w:r>
                    <w:t>s</w:t>
                  </w:r>
                  <w:r w:rsidRPr="005716DC">
                    <w:t xml:space="preserve">e the intertwined experiences of all family members impacted by CPV and AVITH </w:t>
                  </w:r>
                  <w:r w:rsidRPr="005716DC">
                    <w:fldChar w:fldCharType="begin"/>
                  </w:r>
                  <w:r w:rsidR="00E41D03">
                    <w:instrText xml:space="preserve"> ADDIN ZOTERO_ITEM CSL_CITATION {"citationID":"4wmB6Emo","properties":{"formattedCitation":"(Campbell et al., 2023; Toole-Anstey et al., 2024)","plainCitation":"(Campbell et al., 2023; Toole-Anstey et al., 2024)","noteIndex":0},"citationItems":[{"id":4715,"uris":["http://zotero.org/groups/5691188/items/IC8Q27VT"],"itemData":{"id":4715,"type":"report","abstract":"Background 7 Aims 7\nMethod 7 Findings 7 Discussion and framework   10 Limitations of the research  12 Implications for policy and practice  13 Directions for future research   13\nConclusion 13 Part 1: Introduction and context","event-place":"NSW","language":"en","publisher":"Australia's National Research Organisation fro Women's Safety (ANROWS)","publisher-place":"NSW","source":"Zotero","title":"WRAP around families experiencing AVITH:","author":[{"family":"Campbell","given":"Elena"},{"family":"Ellard","given":"Riley"},{"family":"Hew","given":"Eliza"},{"family":"Simpson","given":"Matilda"},{"family":"McCANN","given":"BETH"},{"family":"Meyer","given":"Silke"}],"issued":{"date-parts":[["2023"]]}}},{"id":4612,"uris":["http://zotero.org/groups/5691188/items/NM334XRR"],"itemData":{"id":4612,"type":"article-journal","abstract":"Purpose  Child to parent violence is a significant concern that has been researched over the last sixty years. However, little is known about the help-seeking pathways of parents experiencing child to parent violence (CPV). Barriers and enablers to disclosing CPV have been explored, and responses to address CPV have been nominally researched. The mapping of a disclosure to a choice of where to get help has not occurred. This study seeks to map help-seeking pathways of mothers and considers these pathways in regards to the relations within families and sociomaterial conditions.\nMethod  This narrative inquiry utilizes response-based practice and Barad’s concept ‘intra-action’ to examine interviews with mothers (n = 11) who experience CPV, and practitioners (n = 19) who work with families experiencing CPV.\nResults  Five help-seeking pathways of mothers are found in this study. Three themes evident across the pathways are explored including: (1) help-seeking within pre-existing relationships; (2) mothers’ feelings of fear, shame and judgement entangled with help-seeking; and (3) conditions which enable and hinder help-seeking from family.\nConclusions  This study finds sociomaterial conditions such as single motherhood and judgement limit help-seeking possibilities. Further, this study finds help-seeking occurs within pre-existing relationships along with the entanglement of CPV with other issues such as intimate partner violence (IPV) and homelessness. This study demonstrates the benefits of employing a response-based approach alongside ‘intra-action’ within a research and practice context.","container-title":"Journal of Family Violence","DOI":"10.1007/s10896-023-00511-z","ISSN":"0885-7482, 1573-2851","issue":"4","journalAbbreviation":"J Fam Viol","language":"en","page":"567-579","source":"DOI.org (Crossref)","title":"“I Wasn’t Gonna Quit, but by Hook or by Crook I was Gonna Find a Way Through for the Kids”: A Narrative Inquiry, of Mothers and Practitioners, Exploring the Help-seeking of Mothers’ Experiencing Child to Parent Violence","title-short":"“I Wasn’t Gonna Quit, but by Hook or by Crook I was Gonna Find a Way Through for the Kids”","volume":"39","author":[{"family":"Toole-Anstey","given":"Chye"},{"family":"Townsend","given":"Michelle"},{"family":"Keevers","given":"Lynne"}],"issued":{"date-parts":[["2024",5]]}}}],"schema":"https://github.com/citation-style-language/schema/raw/master/csl-citation.json"} </w:instrText>
                  </w:r>
                  <w:r w:rsidRPr="005716DC">
                    <w:fldChar w:fldCharType="separate"/>
                  </w:r>
                  <w:r w:rsidRPr="005716DC">
                    <w:rPr>
                      <w:rFonts w:ascii="Arial" w:hAnsi="Arial" w:cs="Arial"/>
                    </w:rPr>
                    <w:t>(Campbell et al., 2023; Toole-Anstey et al., 2024)</w:t>
                  </w:r>
                  <w:r w:rsidRPr="005716DC">
                    <w:fldChar w:fldCharType="end"/>
                  </w:r>
                  <w:r w:rsidRPr="005716DC">
                    <w:t>.</w:t>
                  </w:r>
                </w:p>
                <w:p w14:paraId="2BF8BF46" w14:textId="169974DC" w:rsidR="005674C7" w:rsidRDefault="005674C7" w:rsidP="001F4990">
                  <w:pPr>
                    <w:pStyle w:val="Text"/>
                  </w:pPr>
                  <w:r w:rsidRPr="005716DC">
                    <w:t xml:space="preserve">The literature </w:t>
                  </w:r>
                  <w:r>
                    <w:t>identifies</w:t>
                  </w:r>
                  <w:r w:rsidRPr="005716DC">
                    <w:t xml:space="preserve"> several unique barriers to effective service delivery faced by mothers impacted by CPV</w:t>
                  </w:r>
                  <w:r>
                    <w:t>, including:</w:t>
                  </w:r>
                  <w:r w:rsidR="001F4990">
                    <w:t xml:space="preserve"> </w:t>
                  </w:r>
                  <w:r>
                    <w:t>feelings of shame and fear of judgment, particularly for single mothers who may feel heightened scrutiny over their parenting</w:t>
                  </w:r>
                  <w:r w:rsidR="001F4990">
                    <w:t xml:space="preserve">; </w:t>
                  </w:r>
                  <w:r>
                    <w:t>hesitation to disclose CPV due to concerns about negative consequences for their child, such as involvement with child protection or criminal justice systems</w:t>
                  </w:r>
                  <w:r w:rsidR="001F4990">
                    <w:t xml:space="preserve">; </w:t>
                  </w:r>
                  <w:r>
                    <w:t xml:space="preserve">isolation, limited service availability and confidentiality concerns for mothers in rural areas in particular </w:t>
                  </w:r>
                  <w:r w:rsidRPr="005716DC">
                    <w:fldChar w:fldCharType="begin"/>
                  </w:r>
                  <w:r w:rsidR="00E41D03">
                    <w:instrText xml:space="preserve"> ADDIN ZOTERO_ITEM CSL_CITATION {"citationID":"qdHvBSG8","properties":{"formattedCitation":"(Toole-Anstey et al., 2024)","plainCitation":"(Toole-Anstey et al., 2024)","noteIndex":0},"citationItems":[{"id":4612,"uris":["http://zotero.org/groups/5691188/items/NM334XRR"],"itemData":{"id":4612,"type":"article-journal","abstract":"Purpose  Child to parent violence is a significant concern that has been researched over the last sixty years. However, little is known about the help-seeking pathways of parents experiencing child to parent violence (CPV). Barriers and enablers to disclosing CPV have been explored, and responses to address CPV have been nominally researched. The mapping of a disclosure to a choice of where to get help has not occurred. This study seeks to map help-seeking pathways of mothers and considers these pathways in regards to the relations within families and sociomaterial conditions.\nMethod  This narrative inquiry utilizes response-based practice and Barad’s concept ‘intra-action’ to examine interviews with mothers (n = 11) who experience CPV, and practitioners (n = 19) who work with families experiencing CPV.\nResults  Five help-seeking pathways of mothers are found in this study. Three themes evident across the pathways are explored including: (1) help-seeking within pre-existing relationships; (2) mothers’ feelings of fear, shame and judgement entangled with help-seeking; and (3) conditions which enable and hinder help-seeking from family.\nConclusions  This study finds sociomaterial conditions such as single motherhood and judgement limit help-seeking possibilities. Further, this study finds help-seeking occurs within pre-existing relationships along with the entanglement of CPV with other issues such as intimate partner violence (IPV) and homelessness. This study demonstrates the benefits of employing a response-based approach alongside ‘intra-action’ within a research and practice context.","container-title":"Journal of Family Violence","DOI":"10.1007/s10896-023-00511-z","ISSN":"0885-7482, 1573-2851","issue":"4","journalAbbreviation":"J Fam Viol","language":"en","page":"567-579","source":"DOI.org (Crossref)","title":"“I Wasn’t Gonna Quit, but by Hook or by Crook I was Gonna Find a Way Through for the Kids”: A Narrative Inquiry, of Mothers and Practitioners, Exploring the Help-seeking of Mothers’ Experiencing Child to Parent Violence","title-short":"“I Wasn’t Gonna Quit, but by Hook or by Crook I was Gonna Find a Way Through for the Kids”","volume":"39","author":[{"family":"Toole-Anstey","given":"Chye"},{"family":"Townsend","given":"Michelle"},{"family":"Keevers","given":"Lynne"}],"issued":{"date-parts":[["2024",5]]}}}],"schema":"https://github.com/citation-style-language/schema/raw/master/csl-citation.json"} </w:instrText>
                  </w:r>
                  <w:r w:rsidRPr="005716DC">
                    <w:fldChar w:fldCharType="separate"/>
                  </w:r>
                  <w:r w:rsidRPr="00284B73">
                    <w:rPr>
                      <w:rFonts w:ascii="Arial" w:hAnsi="Arial" w:cs="Arial"/>
                    </w:rPr>
                    <w:t>(Toole-Anstey et al., 2024)</w:t>
                  </w:r>
                  <w:r w:rsidRPr="005716DC">
                    <w:fldChar w:fldCharType="end"/>
                  </w:r>
                  <w:r w:rsidR="001F4990">
                    <w:t xml:space="preserve"> and </w:t>
                  </w:r>
                  <w:r>
                    <w:t xml:space="preserve">experience of some mothers experiencing </w:t>
                  </w:r>
                  <w:r w:rsidR="008901C1">
                    <w:t xml:space="preserve">intimate partner violence (IPV) </w:t>
                  </w:r>
                  <w:r>
                    <w:t>seeing its patterns repeated in their children as CPV which creates complexity, burden and increased reluctance to seek help</w:t>
                  </w:r>
                  <w:r w:rsidRPr="00774FF1">
                    <w:t xml:space="preserve"> </w:t>
                  </w:r>
                  <w:r w:rsidRPr="005716DC">
                    <w:fldChar w:fldCharType="begin"/>
                  </w:r>
                  <w:r w:rsidR="00E41D03">
                    <w:instrText xml:space="preserve"> ADDIN ZOTERO_ITEM CSL_CITATION {"citationID":"4Y0tDNmy","properties":{"formattedCitation":"(Campbell et al., 2023)","plainCitation":"(Campbell et al., 2023)","noteIndex":0},"citationItems":[{"id":4715,"uris":["http://zotero.org/groups/5691188/items/IC8Q27VT"],"itemData":{"id":4715,"type":"report","abstract":"Background 7 Aims 7\nMethod 7 Findings 7 Discussion and framework   10 Limitations of the research  12 Implications for policy and practice  13 Directions for future research   13\nConclusion 13 Part 1: Introduction and context","event-place":"NSW","language":"en","publisher":"Australia's National Research Organisation fro Women's Safety (ANROWS)","publisher-place":"NSW","source":"Zotero","title":"WRAP around families experiencing AVITH:","author":[{"family":"Campbell","given":"Elena"},{"family":"Ellard","given":"Riley"},{"family":"Hew","given":"Eliza"},{"family":"Simpson","given":"Matilda"},{"family":"McCANN","given":"BETH"},{"family":"Meyer","given":"Silke"}],"issued":{"date-parts":[["2023"]]}}}],"schema":"https://github.com/citation-style-language/schema/raw/master/csl-citation.json"} </w:instrText>
                  </w:r>
                  <w:r w:rsidRPr="005716DC">
                    <w:fldChar w:fldCharType="separate"/>
                  </w:r>
                  <w:r w:rsidRPr="00284B73">
                    <w:rPr>
                      <w:rFonts w:ascii="Arial" w:hAnsi="Arial" w:cs="Arial"/>
                    </w:rPr>
                    <w:t>(Campbell et al., 2023)</w:t>
                  </w:r>
                  <w:r w:rsidRPr="005716DC">
                    <w:fldChar w:fldCharType="end"/>
                  </w:r>
                  <w:r>
                    <w:t>.</w:t>
                  </w:r>
                </w:p>
                <w:p w14:paraId="73977EC5" w14:textId="562719E2" w:rsidR="005674C7" w:rsidRDefault="008A510B" w:rsidP="00F850C1">
                  <w:pPr>
                    <w:pStyle w:val="Text"/>
                  </w:pPr>
                  <w:r>
                    <w:t>B</w:t>
                  </w:r>
                  <w:r w:rsidR="005674C7">
                    <w:t xml:space="preserve">est practices in working with mothers impacted by CPV </w:t>
                  </w:r>
                  <w:r w:rsidR="004267FA">
                    <w:t>involve</w:t>
                  </w:r>
                  <w:r w:rsidR="005674C7">
                    <w:t>:</w:t>
                  </w:r>
                  <w:r w:rsidR="00F850C1">
                    <w:t xml:space="preserve"> </w:t>
                  </w:r>
                  <w:r w:rsidR="005674C7">
                    <w:t>providing holistic support that accounts for dual experiences of CPV and IPV</w:t>
                  </w:r>
                  <w:r w:rsidR="00F850C1">
                    <w:t xml:space="preserve">; </w:t>
                  </w:r>
                  <w:r w:rsidR="005674C7">
                    <w:t xml:space="preserve">enhancing service awareness and </w:t>
                  </w:r>
                  <w:r w:rsidR="005674C7">
                    <w:lastRenderedPageBreak/>
                    <w:t xml:space="preserve">accessibility, particularly in rural areas </w:t>
                  </w:r>
                  <w:r w:rsidR="005674C7" w:rsidRPr="005716DC">
                    <w:fldChar w:fldCharType="begin"/>
                  </w:r>
                  <w:r w:rsidR="00E41D03">
                    <w:instrText xml:space="preserve"> ADDIN ZOTERO_ITEM CSL_CITATION {"citationID":"I6L2OgVt","properties":{"formattedCitation":"(Toole-Anstey et al., 2024)","plainCitation":"(Toole-Anstey et al., 2024)","noteIndex":0},"citationItems":[{"id":4612,"uris":["http://zotero.org/groups/5691188/items/NM334XRR"],"itemData":{"id":4612,"type":"article-journal","abstract":"Purpose  Child to parent violence is a significant concern that has been researched over the last sixty years. However, little is known about the help-seeking pathways of parents experiencing child to parent violence (CPV). Barriers and enablers to disclosing CPV have been explored, and responses to address CPV have been nominally researched. The mapping of a disclosure to a choice of where to get help has not occurred. This study seeks to map help-seeking pathways of mothers and considers these pathways in regards to the relations within families and sociomaterial conditions.\nMethod  This narrative inquiry utilizes response-based practice and Barad’s concept ‘intra-action’ to examine interviews with mothers (n = 11) who experience CPV, and practitioners (n = 19) who work with families experiencing CPV.\nResults  Five help-seeking pathways of mothers are found in this study. Three themes evident across the pathways are explored including: (1) help-seeking within pre-existing relationships; (2) mothers’ feelings of fear, shame and judgement entangled with help-seeking; and (3) conditions which enable and hinder help-seeking from family.\nConclusions  This study finds sociomaterial conditions such as single motherhood and judgement limit help-seeking possibilities. Further, this study finds help-seeking occurs within pre-existing relationships along with the entanglement of CPV with other issues such as intimate partner violence (IPV) and homelessness. This study demonstrates the benefits of employing a response-based approach alongside ‘intra-action’ within a research and practice context.","container-title":"Journal of Family Violence","DOI":"10.1007/s10896-023-00511-z","ISSN":"0885-7482, 1573-2851","issue":"4","journalAbbreviation":"J Fam Viol","language":"en","page":"567-579","source":"DOI.org (Crossref)","title":"“I Wasn’t Gonna Quit, but by Hook or by Crook I was Gonna Find a Way Through for the Kids”: A Narrative Inquiry, of Mothers and Practitioners, Exploring the Help-seeking of Mothers’ Experiencing Child to Parent Violence","title-short":"“I Wasn’t Gonna Quit, but by Hook or by Crook I was Gonna Find a Way Through for the Kids”","volume":"39","author":[{"family":"Toole-Anstey","given":"Chye"},{"family":"Townsend","given":"Michelle"},{"family":"Keevers","given":"Lynne"}],"issued":{"date-parts":[["2024",5]]}}}],"schema":"https://github.com/citation-style-language/schema/raw/master/csl-citation.json"} </w:instrText>
                  </w:r>
                  <w:r w:rsidR="005674C7" w:rsidRPr="005716DC">
                    <w:fldChar w:fldCharType="separate"/>
                  </w:r>
                  <w:r w:rsidR="005674C7" w:rsidRPr="005716DC">
                    <w:rPr>
                      <w:rFonts w:ascii="Arial" w:hAnsi="Arial" w:cs="Arial"/>
                    </w:rPr>
                    <w:t>(Toole-Anstey et al., 2024)</w:t>
                  </w:r>
                  <w:r w:rsidR="005674C7" w:rsidRPr="005716DC">
                    <w:fldChar w:fldCharType="end"/>
                  </w:r>
                  <w:r w:rsidR="00F850C1">
                    <w:t xml:space="preserve">; </w:t>
                  </w:r>
                  <w:r w:rsidR="005674C7">
                    <w:t>using whole-of-family approaches to address needs and experiences of family violence across the family unit comprehensively</w:t>
                  </w:r>
                  <w:r w:rsidR="00F850C1">
                    <w:t xml:space="preserve">; </w:t>
                  </w:r>
                  <w:r w:rsidR="005674C7">
                    <w:t xml:space="preserve">providing trauma-informed care to address </w:t>
                  </w:r>
                  <w:r w:rsidR="00B37C69">
                    <w:t xml:space="preserve">the </w:t>
                  </w:r>
                  <w:r w:rsidR="005674C7">
                    <w:t xml:space="preserve">needs </w:t>
                  </w:r>
                  <w:r w:rsidR="00795CCA">
                    <w:t xml:space="preserve">of children and adolescents </w:t>
                  </w:r>
                  <w:r w:rsidR="005674C7">
                    <w:t xml:space="preserve">as well as cumulative family trauma </w:t>
                  </w:r>
                  <w:r w:rsidR="005674C7" w:rsidRPr="005716DC">
                    <w:fldChar w:fldCharType="begin"/>
                  </w:r>
                  <w:r w:rsidR="00E41D03">
                    <w:instrText xml:space="preserve"> ADDIN ZOTERO_ITEM CSL_CITATION {"citationID":"0SaeFO7h","properties":{"formattedCitation":"(Campbell et al., 2023; Toole-Anstey et al., 2024)","plainCitation":"(Campbell et al., 2023; Toole-Anstey et al., 2024)","noteIndex":0},"citationItems":[{"id":4715,"uris":["http://zotero.org/groups/5691188/items/IC8Q27VT"],"itemData":{"id":4715,"type":"report","abstract":"Background 7 Aims 7\nMethod 7 Findings 7 Discussion and framework   10 Limitations of the research  12 Implications for policy and practice  13 Directions for future research   13\nConclusion 13 Part 1: Introduction and context","event-place":"NSW","language":"en","publisher":"Australia's National Research Organisation fro Women's Safety (ANROWS)","publisher-place":"NSW","source":"Zotero","title":"WRAP around families experiencing AVITH:","author":[{"family":"Campbell","given":"Elena"},{"family":"Ellard","given":"Riley"},{"family":"Hew","given":"Eliza"},{"family":"Simpson","given":"Matilda"},{"family":"McCANN","given":"BETH"},{"family":"Meyer","given":"Silke"}],"issued":{"date-parts":[["2023"]]}}},{"id":4612,"uris":["http://zotero.org/groups/5691188/items/NM334XRR"],"itemData":{"id":4612,"type":"article-journal","abstract":"Purpose  Child to parent violence is a significant concern that has been researched over the last sixty years. However, little is known about the help-seeking pathways of parents experiencing child to parent violence (CPV). Barriers and enablers to disclosing CPV have been explored, and responses to address CPV have been nominally researched. The mapping of a disclosure to a choice of where to get help has not occurred. This study seeks to map help-seeking pathways of mothers and considers these pathways in regards to the relations within families and sociomaterial conditions.\nMethod  This narrative inquiry utilizes response-based practice and Barad’s concept ‘intra-action’ to examine interviews with mothers (n = 11) who experience CPV, and practitioners (n = 19) who work with families experiencing CPV.\nResults  Five help-seeking pathways of mothers are found in this study. Three themes evident across the pathways are explored including: (1) help-seeking within pre-existing relationships; (2) mothers’ feelings of fear, shame and judgement entangled with help-seeking; and (3) conditions which enable and hinder help-seeking from family.\nConclusions  This study finds sociomaterial conditions such as single motherhood and judgement limit help-seeking possibilities. Further, this study finds help-seeking occurs within pre-existing relationships along with the entanglement of CPV with other issues such as intimate partner violence (IPV) and homelessness. This study demonstrates the benefits of employing a response-based approach alongside ‘intra-action’ within a research and practice context.","container-title":"Journal of Family Violence","DOI":"10.1007/s10896-023-00511-z","ISSN":"0885-7482, 1573-2851","issue":"4","journalAbbreviation":"J Fam Viol","language":"en","page":"567-579","source":"DOI.org (Crossref)","title":"“I Wasn’t Gonna Quit, but by Hook or by Crook I was Gonna Find a Way Through for the Kids”: A Narrative Inquiry, of Mothers and Practitioners, Exploring the Help-seeking of Mothers’ Experiencing Child to Parent Violence","title-short":"“I Wasn’t Gonna Quit, but by Hook or by Crook I was Gonna Find a Way Through for the Kids”","volume":"39","author":[{"family":"Toole-Anstey","given":"Chye"},{"family":"Townsend","given":"Michelle"},{"family":"Keevers","given":"Lynne"}],"issued":{"date-parts":[["2024",5]]}}}],"schema":"https://github.com/citation-style-language/schema/raw/master/csl-citation.json"} </w:instrText>
                  </w:r>
                  <w:r w:rsidR="005674C7" w:rsidRPr="005716DC">
                    <w:fldChar w:fldCharType="separate"/>
                  </w:r>
                  <w:r w:rsidR="005674C7" w:rsidRPr="005716DC">
                    <w:rPr>
                      <w:rFonts w:ascii="Arial" w:hAnsi="Arial" w:cs="Arial"/>
                    </w:rPr>
                    <w:t>(Campbell et al., 2023; Toole-Anstey et al., 2024)</w:t>
                  </w:r>
                  <w:r w:rsidR="005674C7" w:rsidRPr="005716DC">
                    <w:fldChar w:fldCharType="end"/>
                  </w:r>
                  <w:r w:rsidR="00F850C1">
                    <w:t xml:space="preserve"> and </w:t>
                  </w:r>
                  <w:r w:rsidR="005674C7">
                    <w:t xml:space="preserve">leveraging pre-existing relationships of trust, including with familiar networks or individuals like a GP, to support help-seeking and disclosure by mothers impacted by CPV </w:t>
                  </w:r>
                  <w:r w:rsidR="005674C7" w:rsidRPr="005716DC">
                    <w:fldChar w:fldCharType="begin"/>
                  </w:r>
                  <w:r w:rsidR="00E41D03">
                    <w:instrText xml:space="preserve"> ADDIN ZOTERO_ITEM CSL_CITATION {"citationID":"J0fTTLGy","properties":{"formattedCitation":"(Toole-Anstey et al., 2024)","plainCitation":"(Toole-Anstey et al., 2024)","noteIndex":0},"citationItems":[{"id":4612,"uris":["http://zotero.org/groups/5691188/items/NM334XRR"],"itemData":{"id":4612,"type":"article-journal","abstract":"Purpose  Child to parent violence is a significant concern that has been researched over the last sixty years. However, little is known about the help-seeking pathways of parents experiencing child to parent violence (CPV). Barriers and enablers to disclosing CPV have been explored, and responses to address CPV have been nominally researched. The mapping of a disclosure to a choice of where to get help has not occurred. This study seeks to map help-seeking pathways of mothers and considers these pathways in regards to the relations within families and sociomaterial conditions.\nMethod  This narrative inquiry utilizes response-based practice and Barad’s concept ‘intra-action’ to examine interviews with mothers (n = 11) who experience CPV, and practitioners (n = 19) who work with families experiencing CPV.\nResults  Five help-seeking pathways of mothers are found in this study. Three themes evident across the pathways are explored including: (1) help-seeking within pre-existing relationships; (2) mothers’ feelings of fear, shame and judgement entangled with help-seeking; and (3) conditions which enable and hinder help-seeking from family.\nConclusions  This study finds sociomaterial conditions such as single motherhood and judgement limit help-seeking possibilities. Further, this study finds help-seeking occurs within pre-existing relationships along with the entanglement of CPV with other issues such as intimate partner violence (IPV) and homelessness. This study demonstrates the benefits of employing a response-based approach alongside ‘intra-action’ within a research and practice context.","container-title":"Journal of Family Violence","DOI":"10.1007/s10896-023-00511-z","ISSN":"0885-7482, 1573-2851","issue":"4","journalAbbreviation":"J Fam Viol","language":"en","page":"567-579","source":"DOI.org (Crossref)","title":"“I Wasn’t Gonna Quit, but by Hook or by Crook I was Gonna Find a Way Through for the Kids”: A Narrative Inquiry, of Mothers and Practitioners, Exploring the Help-seeking of Mothers’ Experiencing Child to Parent Violence","title-short":"“I Wasn’t Gonna Quit, but by Hook or by Crook I was Gonna Find a Way Through for the Kids”","volume":"39","author":[{"family":"Toole-Anstey","given":"Chye"},{"family":"Townsend","given":"Michelle"},{"family":"Keevers","given":"Lynne"}],"issued":{"date-parts":[["2024",5]]}}}],"schema":"https://github.com/citation-style-language/schema/raw/master/csl-citation.json"} </w:instrText>
                  </w:r>
                  <w:r w:rsidR="005674C7" w:rsidRPr="005716DC">
                    <w:fldChar w:fldCharType="separate"/>
                  </w:r>
                  <w:r w:rsidR="005674C7" w:rsidRPr="005716DC">
                    <w:rPr>
                      <w:rFonts w:ascii="Arial" w:hAnsi="Arial" w:cs="Arial"/>
                    </w:rPr>
                    <w:t>(Toole-Anstey et al., 2024)</w:t>
                  </w:r>
                  <w:r w:rsidR="005674C7" w:rsidRPr="005716DC">
                    <w:fldChar w:fldCharType="end"/>
                  </w:r>
                  <w:r w:rsidR="00F850C1">
                    <w:t>.</w:t>
                  </w:r>
                </w:p>
                <w:p w14:paraId="15E72F86" w14:textId="64BD3DBB" w:rsidR="005674C7" w:rsidRDefault="005674C7" w:rsidP="005674C7">
                  <w:pPr>
                    <w:pStyle w:val="Text"/>
                  </w:pPr>
                  <w:r>
                    <w:t xml:space="preserve">While the literature emphasises the complexity and growing need to address child to parent violence, there were few direct examples of </w:t>
                  </w:r>
                  <w:r w:rsidR="00232CD5">
                    <w:t>CPV</w:t>
                  </w:r>
                  <w:r>
                    <w:t xml:space="preserve"> described by service providers and service users. However, one service provider focus group identified this as a major gap.</w:t>
                  </w:r>
                </w:p>
                <w:p w14:paraId="3CBFB098" w14:textId="77777777" w:rsidR="005647EC" w:rsidRDefault="005647EC">
                  <w:pPr>
                    <w:rPr>
                      <w:i/>
                      <w:iCs/>
                    </w:rPr>
                  </w:pPr>
                  <w:r>
                    <w:rPr>
                      <w:i/>
                      <w:iCs/>
                    </w:rPr>
                    <w:br w:type="page"/>
                  </w:r>
                </w:p>
                <w:p w14:paraId="6116E724" w14:textId="3B28BB18" w:rsidR="005674C7" w:rsidRPr="00E55E11" w:rsidRDefault="005674C7" w:rsidP="005674C7">
                  <w:pPr>
                    <w:pBdr>
                      <w:left w:val="single" w:sz="18" w:space="4" w:color="78B800" w:themeColor="accent1"/>
                    </w:pBdr>
                    <w:tabs>
                      <w:tab w:val="left" w:pos="8080"/>
                    </w:tabs>
                    <w:spacing w:after="0"/>
                    <w:ind w:left="851" w:right="949"/>
                    <w:rPr>
                      <w:i/>
                      <w:iCs/>
                    </w:rPr>
                  </w:pPr>
                  <w:r w:rsidRPr="008A61A8">
                    <w:rPr>
                      <w:i/>
                      <w:iCs/>
                      <w:noProof/>
                    </w:rPr>
                    <w:lastRenderedPageBreak/>
                    <w:drawing>
                      <wp:anchor distT="0" distB="0" distL="114300" distR="114300" simplePos="0" relativeHeight="251658404" behindDoc="0" locked="1" layoutInCell="1" allowOverlap="1" wp14:anchorId="1B8C1A3C" wp14:editId="402C7F00">
                        <wp:simplePos x="0" y="0"/>
                        <wp:positionH relativeFrom="column">
                          <wp:posOffset>0</wp:posOffset>
                        </wp:positionH>
                        <wp:positionV relativeFrom="paragraph">
                          <wp:posOffset>0</wp:posOffset>
                        </wp:positionV>
                        <wp:extent cx="384810" cy="320040"/>
                        <wp:effectExtent l="0" t="0" r="0" b="3810"/>
                        <wp:wrapNone/>
                        <wp:docPr id="1307275778" name="Graphic 1307275778" descr="P4239#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275778" name="Graphic 1307275778" descr="P4239#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i/>
                      <w:iCs/>
                    </w:rPr>
                    <w:t xml:space="preserve">One of the gaps within the service is we don’t offer the service to teenage boys. A lot of police reports are child to parent violence. We don’t have the capacity to run a program targeted for teenage boys </w:t>
                  </w:r>
                  <w:r w:rsidRPr="002E7992">
                    <w:rPr>
                      <w:b/>
                      <w:bCs/>
                      <w:i/>
                      <w:iCs/>
                    </w:rPr>
                    <w:t>–</w:t>
                  </w:r>
                  <w:r>
                    <w:rPr>
                      <w:b/>
                      <w:bCs/>
                      <w:i/>
                      <w:iCs/>
                    </w:rPr>
                    <w:t xml:space="preserve"> CSC service </w:t>
                  </w:r>
                  <w:r w:rsidR="00073C95">
                    <w:rPr>
                      <w:b/>
                      <w:bCs/>
                      <w:i/>
                      <w:iCs/>
                    </w:rPr>
                    <w:t>provider</w:t>
                  </w:r>
                </w:p>
                <w:p w14:paraId="62236233" w14:textId="77777777" w:rsidR="009E17C0" w:rsidRDefault="009E17C0" w:rsidP="005674C7">
                  <w:pPr>
                    <w:pStyle w:val="Text"/>
                  </w:pPr>
                </w:p>
                <w:p w14:paraId="276D55CA" w14:textId="5A9A40FE" w:rsidR="005674C7" w:rsidRPr="005716DC" w:rsidRDefault="005674C7" w:rsidP="005674C7">
                  <w:pPr>
                    <w:pStyle w:val="Text"/>
                  </w:pPr>
                  <w:r>
                    <w:t>FaRS and SFVS service providers also commented on</w:t>
                  </w:r>
                  <w:r w:rsidR="00B70DD6">
                    <w:t xml:space="preserve"> the importance of</w:t>
                  </w:r>
                  <w:r>
                    <w:t xml:space="preserve"> engaging in holistic work across families generally and in relation to experiences of trauma and family violence, suggesting familiarity with whole-of-family approaches as a best practice principle guiding their work </w:t>
                  </w:r>
                  <w:r w:rsidRPr="005716DC">
                    <w:fldChar w:fldCharType="begin"/>
                  </w:r>
                  <w:r w:rsidR="00E41D03">
                    <w:instrText xml:space="preserve"> ADDIN ZOTERO_ITEM CSL_CITATION {"citationID":"PQUG0Tjq","properties":{"formattedCitation":"(Campbell et al., 2023; Toole-Anstey et al., 2024)","plainCitation":"(Campbell et al., 2023; Toole-Anstey et al., 2024)","noteIndex":0},"citationItems":[{"id":4715,"uris":["http://zotero.org/groups/5691188/items/IC8Q27VT"],"itemData":{"id":4715,"type":"report","abstract":"Background 7 Aims 7\nMethod 7 Findings 7 Discussion and framework   10 Limitations of the research  12 Implications for policy and practice  13 Directions for future research   13\nConclusion 13 Part 1: Introduction and context","event-place":"NSW","language":"en","publisher":"Australia's National Research Organisation fro Women's Safety (ANROWS)","publisher-place":"NSW","source":"Zotero","title":"WRAP around families experiencing AVITH:","author":[{"family":"Campbell","given":"Elena"},{"family":"Ellard","given":"Riley"},{"family":"Hew","given":"Eliza"},{"family":"Simpson","given":"Matilda"},{"family":"McCANN","given":"BETH"},{"family":"Meyer","given":"Silke"}],"issued":{"date-parts":[["2023"]]}}},{"id":4612,"uris":["http://zotero.org/groups/5691188/items/NM334XRR"],"itemData":{"id":4612,"type":"article-journal","abstract":"Purpose  Child to parent violence is a significant concern that has been researched over the last sixty years. However, little is known about the help-seeking pathways of parents experiencing child to parent violence (CPV). Barriers and enablers to disclosing CPV have been explored, and responses to address CPV have been nominally researched. The mapping of a disclosure to a choice of where to get help has not occurred. This study seeks to map help-seeking pathways of mothers and considers these pathways in regards to the relations within families and sociomaterial conditions.\nMethod  This narrative inquiry utilizes response-based practice and Barad’s concept ‘intra-action’ to examine interviews with mothers (n = 11) who experience CPV, and practitioners (n = 19) who work with families experiencing CPV.\nResults  Five help-seeking pathways of mothers are found in this study. Three themes evident across the pathways are explored including: (1) help-seeking within pre-existing relationships; (2) mothers’ feelings of fear, shame and judgement entangled with help-seeking; and (3) conditions which enable and hinder help-seeking from family.\nConclusions  This study finds sociomaterial conditions such as single motherhood and judgement limit help-seeking possibilities. Further, this study finds help-seeking occurs within pre-existing relationships along with the entanglement of CPV with other issues such as intimate partner violence (IPV) and homelessness. This study demonstrates the benefits of employing a response-based approach alongside ‘intra-action’ within a research and practice context.","container-title":"Journal of Family Violence","DOI":"10.1007/s10896-023-00511-z","ISSN":"0885-7482, 1573-2851","issue":"4","journalAbbreviation":"J Fam Viol","language":"en","page":"567-579","source":"DOI.org (Crossref)","title":"“I Wasn’t Gonna Quit, but by Hook or by Crook I was Gonna Find a Way Through for the Kids”: A Narrative Inquiry, of Mothers and Practitioners, Exploring the Help-seeking of Mothers’ Experiencing Child to Parent Violence","title-short":"“I Wasn’t Gonna Quit, but by Hook or by Crook I was Gonna Find a Way Through for the Kids”","volume":"39","author":[{"family":"Toole-Anstey","given":"Chye"},{"family":"Townsend","given":"Michelle"},{"family":"Keevers","given":"Lynne"}],"issued":{"date-parts":[["2024",5]]}}}],"schema":"https://github.com/citation-style-language/schema/raw/master/csl-citation.json"} </w:instrText>
                  </w:r>
                  <w:r w:rsidRPr="005716DC">
                    <w:fldChar w:fldCharType="separate"/>
                  </w:r>
                  <w:r w:rsidRPr="005716DC">
                    <w:rPr>
                      <w:rFonts w:ascii="Arial" w:hAnsi="Arial" w:cs="Arial"/>
                    </w:rPr>
                    <w:t>(Campbell et al., 2023; Toole-Anstey et al., 2024)</w:t>
                  </w:r>
                  <w:r w:rsidRPr="005716DC">
                    <w:fldChar w:fldCharType="end"/>
                  </w:r>
                  <w:r w:rsidRPr="005716DC">
                    <w:t>.</w:t>
                  </w:r>
                </w:p>
                <w:p w14:paraId="786C1ADC" w14:textId="223D3475" w:rsidR="005674C7" w:rsidRDefault="005674C7" w:rsidP="008E1B83">
                  <w:pPr>
                    <w:pStyle w:val="Text"/>
                  </w:pPr>
                  <w:r>
                    <w:t xml:space="preserve">One </w:t>
                  </w:r>
                  <w:r w:rsidR="00232CD5">
                    <w:t>ACCO</w:t>
                  </w:r>
                  <w:r>
                    <w:t xml:space="preserve"> also described CPV as a major focus for them, describing their work and focus on violence prevention and early intervention programs aimed at teenage boys</w:t>
                  </w:r>
                  <w:r w:rsidR="005543D8">
                    <w:t>.</w:t>
                  </w:r>
                </w:p>
                <w:p w14:paraId="73B0ED64" w14:textId="7A840692" w:rsidR="005674C7" w:rsidRPr="009C7D7C" w:rsidRDefault="00E91E66" w:rsidP="002E7436">
                  <w:pPr>
                    <w:pStyle w:val="Heading2"/>
                  </w:pPr>
                  <w:bookmarkStart w:id="502" w:name="_Ref205303709"/>
                  <w:bookmarkStart w:id="503" w:name="_Toc208906862"/>
                  <w:bookmarkStart w:id="504" w:name="KEQ4"/>
                  <w:r>
                    <w:t>Complementarity of FaRS and SFVS</w:t>
                  </w:r>
                  <w:bookmarkEnd w:id="502"/>
                  <w:bookmarkEnd w:id="503"/>
                </w:p>
                <w:bookmarkEnd w:id="504"/>
                <w:p w14:paraId="65900A10" w14:textId="3518D03D" w:rsidR="005674C7" w:rsidRDefault="005674C7" w:rsidP="005674C7">
                  <w:pPr>
                    <w:pStyle w:val="Text"/>
                  </w:pPr>
                  <w:r w:rsidRPr="003C4879">
                    <w:t>This section addresses KEQ</w:t>
                  </w:r>
                  <w:r>
                    <w:t xml:space="preserve"> 4</w:t>
                  </w:r>
                  <w:r w:rsidRPr="003C4879">
                    <w:t>: ‘</w:t>
                  </w:r>
                  <w:r>
                    <w:t xml:space="preserve">to </w:t>
                  </w:r>
                  <w:r w:rsidRPr="003C4879">
                    <w:t xml:space="preserve">what </w:t>
                  </w:r>
                  <w:r>
                    <w:t>extent do</w:t>
                  </w:r>
                  <w:r w:rsidRPr="003C4879">
                    <w:t xml:space="preserve"> FaRS and SFVS </w:t>
                  </w:r>
                  <w:r>
                    <w:t>complement or overlap with each other</w:t>
                  </w:r>
                  <w:r w:rsidRPr="003C4879">
                    <w:t xml:space="preserve">?’ </w:t>
                  </w:r>
                  <w:r>
                    <w:t xml:space="preserve">It discusses the program differences and similarities between FaRS and SFVS, as well as examining the significant crossover in day-to-day service provision for victim survivors. </w:t>
                  </w:r>
                </w:p>
                <w:p w14:paraId="5EED8688" w14:textId="77777777" w:rsidR="003326A6" w:rsidRPr="00321BC5" w:rsidRDefault="003326A6" w:rsidP="00321BC5">
                  <w:pPr>
                    <w:pStyle w:val="Text"/>
                    <w:spacing w:before="360"/>
                    <w:rPr>
                      <w:b/>
                      <w:color w:val="36424A" w:themeColor="background2"/>
                    </w:rPr>
                  </w:pPr>
                  <w:r w:rsidRPr="00321BC5">
                    <w:rPr>
                      <w:b/>
                      <w:color w:val="36424A" w:themeColor="background2"/>
                    </w:rPr>
                    <w:t>FaRS and SFVS are distinct programs with significant overlap</w:t>
                  </w:r>
                </w:p>
                <w:p w14:paraId="44435320" w14:textId="3EFADCDB" w:rsidR="005674C7" w:rsidRPr="00D54FDC" w:rsidRDefault="005674C7" w:rsidP="005674C7">
                  <w:pPr>
                    <w:pStyle w:val="Text"/>
                  </w:pPr>
                  <w:r w:rsidRPr="00D54FDC">
                    <w:t>FaRS and SFVS are two distinct but interrelated programs</w:t>
                  </w:r>
                  <w:r w:rsidR="009415E9">
                    <w:t>,</w:t>
                  </w:r>
                  <w:r w:rsidRPr="00D54FDC">
                    <w:t xml:space="preserve"> with SFVS existing as a sub-activity of FaRS</w:t>
                  </w:r>
                  <w:r w:rsidR="005D0218">
                    <w:t xml:space="preserve"> (see </w:t>
                  </w:r>
                  <w:r w:rsidR="005D0218" w:rsidRPr="008E1B83">
                    <w:rPr>
                      <w:b/>
                    </w:rPr>
                    <w:t xml:space="preserve">Section </w:t>
                  </w:r>
                  <w:r w:rsidR="005D0218" w:rsidRPr="008E1B83">
                    <w:rPr>
                      <w:b/>
                    </w:rPr>
                    <w:fldChar w:fldCharType="begin" w:fldLock="1"/>
                  </w:r>
                  <w:r w:rsidR="005D0218" w:rsidRPr="008E1B83">
                    <w:rPr>
                      <w:b/>
                    </w:rPr>
                    <w:instrText xml:space="preserve"> REF _Ref204185344 \r \h </w:instrText>
                  </w:r>
                  <w:r w:rsidR="005D0218">
                    <w:rPr>
                      <w:b/>
                      <w:bCs/>
                    </w:rPr>
                    <w:instrText xml:space="preserve"> \* MERGEFORMAT </w:instrText>
                  </w:r>
                  <w:r w:rsidR="005D0218" w:rsidRPr="008E1B83">
                    <w:rPr>
                      <w:b/>
                    </w:rPr>
                  </w:r>
                  <w:r w:rsidR="005D0218" w:rsidRPr="008E1B83">
                    <w:rPr>
                      <w:b/>
                    </w:rPr>
                    <w:fldChar w:fldCharType="separate"/>
                  </w:r>
                  <w:r w:rsidR="008F22E5">
                    <w:rPr>
                      <w:b/>
                    </w:rPr>
                    <w:t>1</w:t>
                  </w:r>
                  <w:r w:rsidR="005D0218" w:rsidRPr="008E1B83">
                    <w:rPr>
                      <w:b/>
                    </w:rPr>
                    <w:fldChar w:fldCharType="end"/>
                  </w:r>
                  <w:r w:rsidR="005D0218">
                    <w:t xml:space="preserve"> for more detail)</w:t>
                  </w:r>
                  <w:r w:rsidRPr="00D54FDC">
                    <w:t>. Under</w:t>
                  </w:r>
                  <w:r w:rsidR="00F42408">
                    <w:t xml:space="preserve"> </w:t>
                  </w:r>
                  <w:r w:rsidR="00FD1F6D">
                    <w:t>O</w:t>
                  </w:r>
                  <w:r w:rsidRPr="00D54FDC">
                    <w:t xml:space="preserve">perational </w:t>
                  </w:r>
                  <w:r w:rsidR="00FD1F6D">
                    <w:t>G</w:t>
                  </w:r>
                  <w:r w:rsidRPr="00D54FDC">
                    <w:t>uidelines</w:t>
                  </w:r>
                  <w:r w:rsidR="00E66011">
                    <w:t>,</w:t>
                  </w:r>
                  <w:r w:rsidRPr="00D54FDC">
                    <w:t xml:space="preserve"> FaRS is focused primarily on supporting families during significant life changes such as formation, extension, or separation </w:t>
                  </w:r>
                  <w:r>
                    <w:t>through early intervention and preventative practices</w:t>
                  </w:r>
                  <w:r w:rsidRPr="00D54FDC">
                    <w:t xml:space="preserve"> </w:t>
                  </w:r>
                  <w:r w:rsidRPr="00D54FDC">
                    <w:fldChar w:fldCharType="begin"/>
                  </w:r>
                  <w:r w:rsidR="00E41D03">
                    <w:instrText xml:space="preserve"> ADDIN ZOTERO_ITEM CSL_CITATION {"citationID":"lrakCm2D","properties":{"formattedCitation":"(Department of Social Services, 2021a)","plainCitation":"(Department of Social Services, 2021a)","noteIndex":0},"citationItems":[{"id":4671,"uris":["http://zotero.org/groups/5691188/items/8PWCMD8P"],"itemData":{"id":4671,"type":"document","title":"Family and Relationship Services Operational Guidelines","author":[{"family":"Department of Social Services","given":""}],"issued":{"date-parts":[["2021",7,1]]}}}],"schema":"https://github.com/citation-style-language/schema/raw/master/csl-citation.json"} </w:instrText>
                  </w:r>
                  <w:r w:rsidRPr="00D54FDC">
                    <w:fldChar w:fldCharType="separate"/>
                  </w:r>
                  <w:r w:rsidRPr="00D54FDC">
                    <w:t>(Department of Social Services, 2021a)</w:t>
                  </w:r>
                  <w:r w:rsidRPr="00D54FDC">
                    <w:fldChar w:fldCharType="end"/>
                  </w:r>
                  <w:r w:rsidRPr="00D54FDC">
                    <w:t>, whil</w:t>
                  </w:r>
                  <w:r w:rsidR="00CA586F">
                    <w:t>e</w:t>
                  </w:r>
                  <w:r w:rsidRPr="00D54FDC">
                    <w:t xml:space="preserve"> SFVS </w:t>
                  </w:r>
                  <w:r>
                    <w:t>aims to strengthen family and community functioning by support those who are experiencing, witness</w:t>
                  </w:r>
                  <w:r w:rsidR="001F574E">
                    <w:t>ing</w:t>
                  </w:r>
                  <w:r>
                    <w:t>, or at risk of family violence</w:t>
                  </w:r>
                  <w:r w:rsidRPr="00D54FDC">
                    <w:t xml:space="preserve"> </w:t>
                  </w:r>
                  <w:r w:rsidRPr="00D54FDC">
                    <w:fldChar w:fldCharType="begin"/>
                  </w:r>
                  <w:r w:rsidR="00E41D03">
                    <w:instrText xml:space="preserve"> ADDIN ZOTERO_ITEM CSL_CITATION {"citationID":"CyfrLa1v","properties":{"formattedCitation":"(Department of Social Services, 2021b)","plainCitation":"(Department of Social Services, 2021b)","noteIndex":0},"citationItems":[{"id":4672,"uris":["http://zotero.org/groups/5691188/items/XE5X4C4F"],"itemData":{"id":4672,"type":"document","title":"Family and Relationship Services -  Specialised Family Violence Services Operational Guidelines","author":[{"family":"Department of Social Services","given":""}],"issued":{"date-parts":[["2021",7,1]]}}}],"schema":"https://github.com/citation-style-language/schema/raw/master/csl-citation.json"} </w:instrText>
                  </w:r>
                  <w:r w:rsidRPr="00D54FDC">
                    <w:fldChar w:fldCharType="separate"/>
                  </w:r>
                  <w:r w:rsidRPr="00D54FDC">
                    <w:t>(Department of Social Services, 2021b)</w:t>
                  </w:r>
                  <w:r w:rsidRPr="00D54FDC">
                    <w:fldChar w:fldCharType="end"/>
                  </w:r>
                  <w:r w:rsidRPr="00D54FDC">
                    <w:t xml:space="preserve">. Each </w:t>
                  </w:r>
                  <w:r w:rsidR="00FF27AB">
                    <w:t>is</w:t>
                  </w:r>
                  <w:r w:rsidRPr="00D54FDC">
                    <w:t xml:space="preserve"> aimed at servicing distinct (albeit similar) cohorts. Each offer</w:t>
                  </w:r>
                  <w:r w:rsidR="000839E6">
                    <w:t>s</w:t>
                  </w:r>
                  <w:r w:rsidRPr="00D54FDC">
                    <w:t xml:space="preserve"> </w:t>
                  </w:r>
                  <w:r>
                    <w:t>similar</w:t>
                  </w:r>
                  <w:r w:rsidRPr="00D54FDC">
                    <w:t xml:space="preserve"> </w:t>
                  </w:r>
                  <w:r w:rsidR="000839E6">
                    <w:t>activities</w:t>
                  </w:r>
                  <w:r w:rsidRPr="00D54FDC">
                    <w:t xml:space="preserve"> </w:t>
                  </w:r>
                  <w:r>
                    <w:t>based largely around counselling, education, and other supports</w:t>
                  </w:r>
                  <w:r w:rsidR="00F42408">
                    <w:t>.</w:t>
                  </w:r>
                  <w:r w:rsidRPr="00D54FDC">
                    <w:t xml:space="preserve"> </w:t>
                  </w:r>
                  <w:r w:rsidR="00F42408">
                    <w:t>R</w:t>
                  </w:r>
                  <w:r w:rsidRPr="00D54FDC">
                    <w:t xml:space="preserve">each and capacity vary between the two </w:t>
                  </w:r>
                  <w:r>
                    <w:t>due to</w:t>
                  </w:r>
                  <w:r w:rsidRPr="00D54FDC">
                    <w:t xml:space="preserve"> the comparatively small </w:t>
                  </w:r>
                  <w:r w:rsidR="00FD1F6D">
                    <w:t xml:space="preserve">size of </w:t>
                  </w:r>
                  <w:r>
                    <w:t xml:space="preserve">SFVS </w:t>
                  </w:r>
                  <w:r w:rsidRPr="00D54FDC">
                    <w:t xml:space="preserve">funding. </w:t>
                  </w:r>
                  <w:r>
                    <w:t xml:space="preserve">Under </w:t>
                  </w:r>
                  <w:r w:rsidR="001C257D">
                    <w:t>O</w:t>
                  </w:r>
                  <w:r>
                    <w:t xml:space="preserve">perational </w:t>
                  </w:r>
                  <w:r w:rsidR="001C257D">
                    <w:t>G</w:t>
                  </w:r>
                  <w:r>
                    <w:t xml:space="preserve">uidelines, FaRS and SFVS are able to refer service users to each </w:t>
                  </w:r>
                  <w:r w:rsidR="00EC297D">
                    <w:t xml:space="preserve">other </w:t>
                  </w:r>
                  <w:r>
                    <w:t xml:space="preserve">as required, either internally or externally </w:t>
                  </w:r>
                  <w:r w:rsidRPr="00D54FDC">
                    <w:fldChar w:fldCharType="begin"/>
                  </w:r>
                  <w:r w:rsidR="00E41D03">
                    <w:instrText xml:space="preserve"> ADDIN ZOTERO_ITEM CSL_CITATION {"citationID":"9QUGoT4Q","properties":{"formattedCitation":"(Department of Social Services, 2021b)","plainCitation":"(Department of Social Services, 2021b)","noteIndex":0},"citationItems":[{"id":4672,"uris":["http://zotero.org/groups/5691188/items/XE5X4C4F"],"itemData":{"id":4672,"type":"document","title":"Family and Relationship Services -  Specialised Family Violence Services Operational Guidelines","author":[{"family":"Department of Social Services","given":""}],"issued":{"date-parts":[["2021",7,1]]}}}],"schema":"https://github.com/citation-style-language/schema/raw/master/csl-citation.json"} </w:instrText>
                  </w:r>
                  <w:r w:rsidRPr="00D54FDC">
                    <w:fldChar w:fldCharType="separate"/>
                  </w:r>
                  <w:r w:rsidRPr="00D54FDC">
                    <w:t>(Department of Social Services, 2021b)</w:t>
                  </w:r>
                  <w:r w:rsidRPr="00D54FDC">
                    <w:fldChar w:fldCharType="end"/>
                  </w:r>
                  <w:r>
                    <w:t>. There are 81 FaRS service providers, 3</w:t>
                  </w:r>
                  <w:r w:rsidR="002F21E8">
                    <w:t>8</w:t>
                  </w:r>
                  <w:r>
                    <w:t xml:space="preserve"> of which also provide SFVS. </w:t>
                  </w:r>
                </w:p>
                <w:p w14:paraId="403150F7" w14:textId="2867451C" w:rsidR="00991A3F" w:rsidRDefault="00991A3F" w:rsidP="005674C7">
                  <w:pPr>
                    <w:pStyle w:val="Text"/>
                    <w:rPr>
                      <w:lang w:val="en-US"/>
                    </w:rPr>
                  </w:pPr>
                  <w:r w:rsidRPr="005F3C76">
                    <w:rPr>
                      <w:lang w:val="en-US"/>
                    </w:rPr>
                    <w:t xml:space="preserve">There is evidence to suggest that the referral pathways </w:t>
                  </w:r>
                  <w:r w:rsidR="000839E6">
                    <w:rPr>
                      <w:lang w:val="en-US"/>
                    </w:rPr>
                    <w:t>into</w:t>
                  </w:r>
                  <w:r w:rsidR="000839E6" w:rsidRPr="005F3C76">
                    <w:rPr>
                      <w:lang w:val="en-US"/>
                    </w:rPr>
                    <w:t xml:space="preserve"> </w:t>
                  </w:r>
                  <w:r w:rsidRPr="005F3C76">
                    <w:rPr>
                      <w:lang w:val="en-US"/>
                    </w:rPr>
                    <w:t>FaRS and SFVS programs differ</w:t>
                  </w:r>
                  <w:r w:rsidR="00C66A6E">
                    <w:rPr>
                      <w:lang w:val="en-US"/>
                    </w:rPr>
                    <w:t>.</w:t>
                  </w:r>
                  <w:r w:rsidRPr="005F3C76">
                    <w:rPr>
                      <w:lang w:val="en-US"/>
                    </w:rPr>
                    <w:t xml:space="preserve"> </w:t>
                  </w:r>
                  <w:r w:rsidR="00C66A6E">
                    <w:rPr>
                      <w:lang w:val="en-US"/>
                    </w:rPr>
                    <w:t>R</w:t>
                  </w:r>
                  <w:r w:rsidRPr="005F3C76">
                    <w:rPr>
                      <w:lang w:val="en-US"/>
                    </w:rPr>
                    <w:t>eferral</w:t>
                  </w:r>
                  <w:r w:rsidR="00C66A6E">
                    <w:rPr>
                      <w:lang w:val="en-US"/>
                    </w:rPr>
                    <w:t>s</w:t>
                  </w:r>
                  <w:r w:rsidRPr="005F3C76">
                    <w:rPr>
                      <w:lang w:val="en-US"/>
                    </w:rPr>
                    <w:t xml:space="preserve"> to SFVS</w:t>
                  </w:r>
                  <w:r w:rsidR="00C66A6E">
                    <w:rPr>
                      <w:lang w:val="en-US"/>
                    </w:rPr>
                    <w:t xml:space="preserve"> are</w:t>
                  </w:r>
                  <w:r w:rsidRPr="005F3C76">
                    <w:rPr>
                      <w:lang w:val="en-US"/>
                    </w:rPr>
                    <w:t xml:space="preserve"> more likely to come from other specialised family violence services, and specialist drug and alcohol services. This </w:t>
                  </w:r>
                  <w:r w:rsidR="00DF142F" w:rsidRPr="005F3C76">
                    <w:rPr>
                      <w:lang w:val="en-US"/>
                    </w:rPr>
                    <w:t>contrasts with</w:t>
                  </w:r>
                  <w:r w:rsidRPr="005F3C76">
                    <w:rPr>
                      <w:lang w:val="en-US"/>
                    </w:rPr>
                    <w:t xml:space="preserve"> FaRS, where self-referral has consistently been the most common referral mechanism into the program. This aligns with the core differences in the service offering, with SFVS </w:t>
                  </w:r>
                  <w:r w:rsidR="00055CEB" w:rsidRPr="005F3C76">
                    <w:rPr>
                      <w:lang w:val="en-US"/>
                    </w:rPr>
                    <w:t>centered</w:t>
                  </w:r>
                  <w:r w:rsidRPr="005F3C76">
                    <w:rPr>
                      <w:lang w:val="en-US"/>
                    </w:rPr>
                    <w:t xml:space="preserve"> on the needs of those experiencing family violence.</w:t>
                  </w:r>
                </w:p>
                <w:p w14:paraId="5FE9787F" w14:textId="6F68288C" w:rsidR="00D46191" w:rsidRDefault="00CA586F" w:rsidP="005674C7">
                  <w:pPr>
                    <w:pStyle w:val="Text"/>
                  </w:pPr>
                  <w:r>
                    <w:t>While</w:t>
                  </w:r>
                  <w:r w:rsidR="00D46191" w:rsidRPr="00D54FDC">
                    <w:t xml:space="preserve"> FaRS and SFVS each have </w:t>
                  </w:r>
                  <w:r w:rsidR="00574525">
                    <w:t>program</w:t>
                  </w:r>
                  <w:r w:rsidR="00D46191" w:rsidRPr="00D54FDC">
                    <w:t xml:space="preserve"> differences, </w:t>
                  </w:r>
                  <w:r w:rsidR="00D46191">
                    <w:t xml:space="preserve">dual FaRS SFVS </w:t>
                  </w:r>
                  <w:r w:rsidR="00D46191" w:rsidRPr="00D54FDC">
                    <w:t>service providers agreed that there was significant overlap in how services were applied</w:t>
                  </w:r>
                  <w:r w:rsidR="00D46191">
                    <w:t xml:space="preserve"> with</w:t>
                  </w:r>
                  <w:r w:rsidR="002D4A74">
                    <w:t xml:space="preserve"> some</w:t>
                  </w:r>
                  <w:r w:rsidR="00D46191">
                    <w:t xml:space="preserve"> service users transferred internally across programs to meet demand and need. </w:t>
                  </w:r>
                </w:p>
                <w:p w14:paraId="3340AFCF" w14:textId="77777777" w:rsidR="007F4A1C" w:rsidRDefault="007F4A1C" w:rsidP="005674C7">
                  <w:pPr>
                    <w:pStyle w:val="Text"/>
                  </w:pPr>
                </w:p>
                <w:p w14:paraId="6D385300" w14:textId="55487DE7" w:rsidR="00991A3F" w:rsidRPr="000C09BF" w:rsidRDefault="00991A3F" w:rsidP="00321BC5">
                  <w:pPr>
                    <w:pStyle w:val="Text"/>
                    <w:spacing w:before="360"/>
                  </w:pPr>
                  <w:r w:rsidRPr="00321BC5">
                    <w:rPr>
                      <w:b/>
                      <w:color w:val="36424A" w:themeColor="background2"/>
                    </w:rPr>
                    <w:lastRenderedPageBreak/>
                    <w:t>Use of FaRS funding to support victim survivors</w:t>
                  </w:r>
                </w:p>
                <w:p w14:paraId="2DEF37F5" w14:textId="50A0825D" w:rsidR="0034554D" w:rsidRDefault="00B20478" w:rsidP="00991A3F">
                  <w:pPr>
                    <w:pStyle w:val="Text"/>
                  </w:pPr>
                  <w:r>
                    <w:t>Despite FaRS not being specifically targeted at family violence, a</w:t>
                  </w:r>
                  <w:r w:rsidR="00676E98">
                    <w:t xml:space="preserve"> </w:t>
                  </w:r>
                  <w:r w:rsidR="00991A3F">
                    <w:t>significant minority of FaRS service users engaged through interviews and surveys either</w:t>
                  </w:r>
                  <w:r w:rsidR="00676E98">
                    <w:t>:</w:t>
                  </w:r>
                  <w:r w:rsidR="00991A3F">
                    <w:t xml:space="preserve"> explicitly identified as a victim survivor</w:t>
                  </w:r>
                  <w:r w:rsidR="00676E98">
                    <w:t>;</w:t>
                  </w:r>
                  <w:r w:rsidR="00991A3F">
                    <w:t xml:space="preserve"> said experiences of family violence (current or historical) led them to seek support</w:t>
                  </w:r>
                  <w:r w:rsidR="00676E98">
                    <w:t>;</w:t>
                  </w:r>
                  <w:r w:rsidR="00991A3F">
                    <w:t xml:space="preserve"> or realised during counselling that they were experiencing family violence (see </w:t>
                  </w:r>
                  <w:r w:rsidR="00844310" w:rsidRPr="005647EC">
                    <w:rPr>
                      <w:b/>
                    </w:rPr>
                    <w:fldChar w:fldCharType="begin" w:fldLock="1"/>
                  </w:r>
                  <w:r w:rsidR="00844310" w:rsidRPr="005647EC">
                    <w:rPr>
                      <w:b/>
                    </w:rPr>
                    <w:instrText xml:space="preserve"> REF _Ref205322345 \h  \* MERGEFORMAT </w:instrText>
                  </w:r>
                  <w:r w:rsidR="00844310" w:rsidRPr="005647EC">
                    <w:rPr>
                      <w:b/>
                    </w:rPr>
                  </w:r>
                  <w:r w:rsidR="00844310" w:rsidRPr="005647EC">
                    <w:rPr>
                      <w:b/>
                    </w:rPr>
                    <w:fldChar w:fldCharType="separate"/>
                  </w:r>
                  <w:r w:rsidR="008F22E5" w:rsidRPr="008F22E5">
                    <w:rPr>
                      <w:b/>
                    </w:rPr>
                    <w:t xml:space="preserve">Figure </w:t>
                  </w:r>
                  <w:r w:rsidR="008F22E5" w:rsidRPr="008F22E5">
                    <w:rPr>
                      <w:b/>
                      <w:bCs/>
                      <w:noProof/>
                    </w:rPr>
                    <w:t>45</w:t>
                  </w:r>
                  <w:r w:rsidR="00844310" w:rsidRPr="005647EC">
                    <w:rPr>
                      <w:b/>
                    </w:rPr>
                    <w:fldChar w:fldCharType="end"/>
                  </w:r>
                  <w:r w:rsidR="00991A3F">
                    <w:t>).</w:t>
                  </w:r>
                </w:p>
                <w:p w14:paraId="1F1FF54B" w14:textId="2647DB2F" w:rsidR="00991A3F" w:rsidRDefault="00991A3F" w:rsidP="00991A3F">
                  <w:pPr>
                    <w:pStyle w:val="TableFigure-Header"/>
                  </w:pPr>
                  <w:bookmarkStart w:id="505" w:name="_Ref205322345"/>
                  <w:bookmarkStart w:id="506" w:name="_Toc205413087"/>
                  <w:bookmarkStart w:id="507" w:name="_Toc205413141"/>
                  <w:r w:rsidRPr="7A3874CD">
                    <w:rPr>
                      <w:lang w:val="en-NZ"/>
                    </w:rPr>
                    <w:t xml:space="preserve">Figure </w:t>
                  </w:r>
                  <w:r w:rsidR="00C64C3D">
                    <w:rPr>
                      <w:lang w:val="en-NZ"/>
                    </w:rPr>
                    <w:fldChar w:fldCharType="begin"/>
                  </w:r>
                  <w:r w:rsidR="00C64C3D">
                    <w:rPr>
                      <w:lang w:val="en-NZ"/>
                    </w:rPr>
                    <w:instrText xml:space="preserve"> SEQ Figure \* ARABIC </w:instrText>
                  </w:r>
                  <w:r w:rsidR="00C64C3D">
                    <w:rPr>
                      <w:lang w:val="en-NZ"/>
                    </w:rPr>
                    <w:fldChar w:fldCharType="separate"/>
                  </w:r>
                  <w:r w:rsidR="008D2566">
                    <w:rPr>
                      <w:noProof/>
                      <w:lang w:val="en-NZ"/>
                    </w:rPr>
                    <w:t>45</w:t>
                  </w:r>
                  <w:r w:rsidR="00C64C3D">
                    <w:rPr>
                      <w:lang w:val="en-NZ"/>
                    </w:rPr>
                    <w:fldChar w:fldCharType="end"/>
                  </w:r>
                  <w:bookmarkEnd w:id="505"/>
                  <w:r w:rsidRPr="7A3874CD">
                    <w:rPr>
                      <w:lang w:val="en-NZ"/>
                    </w:rPr>
                    <w:t>: FaRS service users self-identified experiences of family violence</w:t>
                  </w:r>
                  <w:bookmarkEnd w:id="506"/>
                  <w:bookmarkEnd w:id="507"/>
                </w:p>
                <w:p w14:paraId="281209ED" w14:textId="11C7A37B" w:rsidR="00991A3F" w:rsidRDefault="00991A3F" w:rsidP="00991A3F">
                  <w:pPr>
                    <w:pStyle w:val="Bullet1"/>
                    <w:numPr>
                      <w:ilvl w:val="0"/>
                      <w:numId w:val="0"/>
                    </w:numPr>
                    <w:ind w:left="431" w:hanging="431"/>
                  </w:pPr>
                  <w:r w:rsidRPr="009E67C4">
                    <w:rPr>
                      <w:noProof/>
                    </w:rPr>
                    <w:drawing>
                      <wp:inline distT="0" distB="0" distL="0" distR="0" wp14:anchorId="3423ADB5" wp14:editId="22A3603B">
                        <wp:extent cx="5733411" cy="1631896"/>
                        <wp:effectExtent l="0" t="0" r="1270" b="6985"/>
                        <wp:docPr id="305731942"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731942" name="Picture 1">
                                  <a:extLst>
                                    <a:ext uri="{C183D7F6-B498-43B3-948B-1728B52AA6E4}">
                                      <adec:decorative xmlns:adec="http://schemas.microsoft.com/office/drawing/2017/decorative" val="1"/>
                                    </a:ext>
                                  </a:extLst>
                                </pic:cNvPr>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5733411" cy="1631896"/>
                                </a:xfrm>
                                <a:prstGeom prst="rect">
                                  <a:avLst/>
                                </a:prstGeom>
                              </pic:spPr>
                            </pic:pic>
                          </a:graphicData>
                        </a:graphic>
                      </wp:inline>
                    </w:drawing>
                  </w:r>
                </w:p>
                <w:p w14:paraId="57138E1B" w14:textId="62FF0CC9" w:rsidR="00991A3F" w:rsidRPr="008E1B83" w:rsidRDefault="00991A3F" w:rsidP="00991A3F">
                  <w:pPr>
                    <w:pStyle w:val="Bullet1"/>
                    <w:numPr>
                      <w:ilvl w:val="0"/>
                      <w:numId w:val="0"/>
                    </w:numPr>
                    <w:ind w:left="431" w:hanging="431"/>
                    <w:rPr>
                      <w:i/>
                      <w:sz w:val="20"/>
                      <w:szCs w:val="18"/>
                    </w:rPr>
                  </w:pPr>
                  <w:r w:rsidRPr="008E1B83">
                    <w:rPr>
                      <w:i/>
                      <w:sz w:val="20"/>
                      <w:szCs w:val="18"/>
                    </w:rPr>
                    <w:t xml:space="preserve">Source: </w:t>
                  </w:r>
                  <w:r w:rsidR="003277F8" w:rsidRPr="008E1B83">
                    <w:rPr>
                      <w:i/>
                      <w:iCs/>
                      <w:sz w:val="20"/>
                      <w:szCs w:val="18"/>
                    </w:rPr>
                    <w:t>S</w:t>
                  </w:r>
                  <w:r w:rsidRPr="008E1B83">
                    <w:rPr>
                      <w:i/>
                      <w:iCs/>
                      <w:sz w:val="20"/>
                      <w:szCs w:val="18"/>
                    </w:rPr>
                    <w:t>ervice</w:t>
                  </w:r>
                  <w:r w:rsidRPr="008E1B83">
                    <w:rPr>
                      <w:i/>
                      <w:sz w:val="20"/>
                      <w:szCs w:val="18"/>
                    </w:rPr>
                    <w:t xml:space="preserve"> user interview and survey data </w:t>
                  </w:r>
                </w:p>
                <w:p w14:paraId="77831146" w14:textId="721E3F24" w:rsidR="005A5D02" w:rsidRDefault="00991A3F" w:rsidP="00321BC5">
                  <w:pPr>
                    <w:pStyle w:val="Bullet1"/>
                    <w:numPr>
                      <w:ilvl w:val="0"/>
                      <w:numId w:val="0"/>
                    </w:numPr>
                    <w:spacing w:after="360"/>
                  </w:pPr>
                  <w:r>
                    <w:t>Service providers indicated that the use of FaRS funding to support victim survivors often occurred to offset SFVS waitlist times or to support low-risk victim survivors, particularly after crisis periods had passed. For services that received FaRS funding exclusively, the high numbers of victim survivors accessing FaRS services was mainly due to there being a lack of appropriate or accessible specialised family violence services in their area. Some providers expressed concern that FaRS practitioners in some instances lacked specific family violence training and experience</w:t>
                  </w:r>
                  <w:r w:rsidR="001C3B72">
                    <w:t>.</w:t>
                  </w:r>
                  <w:r>
                    <w:t xml:space="preserve"> </w:t>
                  </w:r>
                  <w:r w:rsidR="001C3B72">
                    <w:t>H</w:t>
                  </w:r>
                  <w:r>
                    <w:t>owever</w:t>
                  </w:r>
                  <w:r w:rsidR="001C3B72">
                    <w:t>,</w:t>
                  </w:r>
                  <w:r>
                    <w:t xml:space="preserve"> most victim survivors who accessed FaRS were satisfied with their experience</w:t>
                  </w:r>
                  <w:r w:rsidR="002D50A8">
                    <w:t>.</w:t>
                  </w:r>
                  <w:r w:rsidR="006C193E">
                    <w:t xml:space="preserve"> </w:t>
                  </w:r>
                  <w:r w:rsidR="002D50A8">
                    <w:t>T</w:t>
                  </w:r>
                  <w:r w:rsidR="006C193E">
                    <w:t xml:space="preserve">he benefits of </w:t>
                  </w:r>
                  <w:r w:rsidR="005A5D02">
                    <w:t xml:space="preserve">professional development </w:t>
                  </w:r>
                  <w:r w:rsidR="002B6A51">
                    <w:t>for service providers</w:t>
                  </w:r>
                  <w:r w:rsidR="005A5D02">
                    <w:t xml:space="preserve"> by </w:t>
                  </w:r>
                  <w:r w:rsidR="006F3028">
                    <w:t>experiencing</w:t>
                  </w:r>
                  <w:r w:rsidR="005A5D02">
                    <w:t xml:space="preserve"> both services was also raised.</w:t>
                  </w:r>
                  <w:r>
                    <w:t xml:space="preserve"> </w:t>
                  </w:r>
                </w:p>
                <w:p w14:paraId="552D7A06" w14:textId="6BAF2ECD" w:rsidR="005A5D02" w:rsidRPr="00232F9D" w:rsidRDefault="005A5D02" w:rsidP="005A5D02">
                  <w:pPr>
                    <w:pBdr>
                      <w:left w:val="single" w:sz="18" w:space="4" w:color="78B800" w:themeColor="accent1"/>
                    </w:pBdr>
                    <w:tabs>
                      <w:tab w:val="left" w:pos="8080"/>
                    </w:tabs>
                    <w:spacing w:after="0"/>
                    <w:ind w:left="851" w:right="949"/>
                    <w:rPr>
                      <w:i/>
                    </w:rPr>
                  </w:pPr>
                  <w:r w:rsidRPr="002E7992">
                    <w:rPr>
                      <w:noProof/>
                    </w:rPr>
                    <w:drawing>
                      <wp:anchor distT="0" distB="0" distL="114300" distR="114300" simplePos="0" relativeHeight="251658405" behindDoc="0" locked="1" layoutInCell="1" allowOverlap="1" wp14:anchorId="4CAF250D" wp14:editId="53F19F16">
                        <wp:simplePos x="0" y="0"/>
                        <wp:positionH relativeFrom="column">
                          <wp:posOffset>0</wp:posOffset>
                        </wp:positionH>
                        <wp:positionV relativeFrom="paragraph">
                          <wp:posOffset>0</wp:posOffset>
                        </wp:positionV>
                        <wp:extent cx="384810" cy="320040"/>
                        <wp:effectExtent l="0" t="0" r="0" b="3810"/>
                        <wp:wrapNone/>
                        <wp:docPr id="1907505567" name="Graphic 1907505567" descr="P4256#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7505567" name="Graphic 1907505567" descr="P4256#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32F9D">
                    <w:rPr>
                      <w:i/>
                      <w:iCs/>
                    </w:rPr>
                    <w:t>I think another strength is the ability to upskill practise from</w:t>
                  </w:r>
                  <w:r>
                    <w:rPr>
                      <w:i/>
                      <w:iCs/>
                    </w:rPr>
                    <w:t xml:space="preserve"> […] FaRS</w:t>
                  </w:r>
                  <w:r w:rsidRPr="00232F9D">
                    <w:rPr>
                      <w:i/>
                      <w:iCs/>
                    </w:rPr>
                    <w:t xml:space="preserve"> and </w:t>
                  </w:r>
                  <w:r>
                    <w:rPr>
                      <w:i/>
                      <w:iCs/>
                    </w:rPr>
                    <w:t>SFVS</w:t>
                  </w:r>
                  <w:r w:rsidRPr="00232F9D" w:rsidDel="001C3B72">
                    <w:rPr>
                      <w:i/>
                      <w:iCs/>
                    </w:rPr>
                    <w:t xml:space="preserve"> </w:t>
                  </w:r>
                  <w:r w:rsidRPr="00232F9D">
                    <w:rPr>
                      <w:i/>
                      <w:iCs/>
                    </w:rPr>
                    <w:t>combining</w:t>
                  </w:r>
                  <w:r>
                    <w:rPr>
                      <w:i/>
                      <w:iCs/>
                    </w:rPr>
                    <w:t xml:space="preserve"> </w:t>
                  </w:r>
                  <w:r w:rsidRPr="00232F9D">
                    <w:rPr>
                      <w:i/>
                      <w:iCs/>
                    </w:rPr>
                    <w:t>together</w:t>
                  </w:r>
                  <w:r>
                    <w:rPr>
                      <w:i/>
                      <w:iCs/>
                    </w:rPr>
                    <w:t xml:space="preserve">. </w:t>
                  </w:r>
                  <w:r w:rsidRPr="00232F9D">
                    <w:rPr>
                      <w:i/>
                      <w:iCs/>
                    </w:rPr>
                    <w:t xml:space="preserve">The water cooler conversations become super helpful for them just having exposure to </w:t>
                  </w:r>
                  <w:r>
                    <w:rPr>
                      <w:i/>
                      <w:iCs/>
                    </w:rPr>
                    <w:t>[…]</w:t>
                  </w:r>
                  <w:r w:rsidRPr="00232F9D">
                    <w:rPr>
                      <w:i/>
                      <w:iCs/>
                    </w:rPr>
                    <w:t xml:space="preserve"> both programs </w:t>
                  </w:r>
                  <w:r>
                    <w:rPr>
                      <w:i/>
                      <w:iCs/>
                    </w:rPr>
                    <w:t>[which]</w:t>
                  </w:r>
                  <w:r w:rsidRPr="00232F9D">
                    <w:rPr>
                      <w:i/>
                      <w:iCs/>
                    </w:rPr>
                    <w:t xml:space="preserve"> I think informs and supports better practise for our workers</w:t>
                  </w:r>
                  <w:r>
                    <w:rPr>
                      <w:i/>
                      <w:iCs/>
                    </w:rPr>
                    <w:t xml:space="preserve"> </w:t>
                  </w:r>
                  <w:r w:rsidRPr="002E7992">
                    <w:rPr>
                      <w:b/>
                      <w:bCs/>
                      <w:i/>
                      <w:iCs/>
                    </w:rPr>
                    <w:t>–</w:t>
                  </w:r>
                  <w:r>
                    <w:rPr>
                      <w:b/>
                      <w:bCs/>
                      <w:i/>
                      <w:iCs/>
                    </w:rPr>
                    <w:t xml:space="preserve"> </w:t>
                  </w:r>
                  <w:r w:rsidR="004930FF">
                    <w:rPr>
                      <w:b/>
                      <w:bCs/>
                      <w:i/>
                      <w:iCs/>
                    </w:rPr>
                    <w:t>Dual</w:t>
                  </w:r>
                  <w:r>
                    <w:rPr>
                      <w:b/>
                      <w:bCs/>
                      <w:i/>
                      <w:iCs/>
                    </w:rPr>
                    <w:t xml:space="preserve"> FaRS SFVS s</w:t>
                  </w:r>
                  <w:r w:rsidRPr="002E7992">
                    <w:rPr>
                      <w:b/>
                      <w:bCs/>
                      <w:i/>
                      <w:iCs/>
                    </w:rPr>
                    <w:t>ervice provider</w:t>
                  </w:r>
                </w:p>
                <w:p w14:paraId="39CA82A5" w14:textId="77777777" w:rsidR="00991A3F" w:rsidRPr="00991A3F" w:rsidRDefault="00991A3F" w:rsidP="005674C7">
                  <w:pPr>
                    <w:pStyle w:val="Text"/>
                    <w:rPr>
                      <w:lang w:val="en-US"/>
                    </w:rPr>
                  </w:pPr>
                </w:p>
                <w:p w14:paraId="4655C8D2" w14:textId="185640ED" w:rsidR="00991A3F" w:rsidRPr="000C09BF" w:rsidRDefault="00991A3F" w:rsidP="00321BC5">
                  <w:pPr>
                    <w:pStyle w:val="Text"/>
                    <w:spacing w:before="360"/>
                  </w:pPr>
                  <w:r w:rsidRPr="00321BC5">
                    <w:rPr>
                      <w:b/>
                      <w:color w:val="36424A" w:themeColor="background2"/>
                    </w:rPr>
                    <w:t xml:space="preserve">Dual delivery </w:t>
                  </w:r>
                </w:p>
                <w:p w14:paraId="359110D4" w14:textId="77777777" w:rsidR="00835B80" w:rsidRDefault="00835B80" w:rsidP="00835B80">
                  <w:pPr>
                    <w:pStyle w:val="Text"/>
                  </w:pPr>
                  <w:r>
                    <w:t xml:space="preserve">DEX data indicates that the number of people receiving services from both FaRS and SFVS is significantly less than those receiving services from one program only. In supplied DEX data: </w:t>
                  </w:r>
                </w:p>
                <w:p w14:paraId="193F6245" w14:textId="69E8CAF8" w:rsidR="00835B80" w:rsidRDefault="00835B80" w:rsidP="00835B80">
                  <w:pPr>
                    <w:pStyle w:val="Bullet1"/>
                  </w:pPr>
                  <w:r w:rsidRPr="00F317E3">
                    <w:t xml:space="preserve">90.7% of unique </w:t>
                  </w:r>
                  <w:r w:rsidR="001D1403">
                    <w:t>service user</w:t>
                  </w:r>
                  <w:r w:rsidRPr="00F317E3">
                    <w:t xml:space="preserve"> identifiers were in FaRS only</w:t>
                  </w:r>
                </w:p>
                <w:p w14:paraId="2FA9AEF5" w14:textId="77777777" w:rsidR="00835B80" w:rsidRDefault="00835B80" w:rsidP="00835B80">
                  <w:pPr>
                    <w:pStyle w:val="Bullet1"/>
                  </w:pPr>
                  <w:r w:rsidRPr="00F317E3">
                    <w:t>7.1% in SFVS only</w:t>
                  </w:r>
                </w:p>
                <w:p w14:paraId="1BA9C832" w14:textId="6989F386" w:rsidR="00835B80" w:rsidRDefault="00835B80" w:rsidP="00835B80">
                  <w:pPr>
                    <w:pStyle w:val="Bullet1"/>
                  </w:pPr>
                  <w:r w:rsidRPr="00F317E3">
                    <w:t>1.1% in the SFVS-4AP</w:t>
                  </w:r>
                  <w:r w:rsidR="007B5490">
                    <w:t>2</w:t>
                  </w:r>
                  <w:r w:rsidRPr="00F317E3">
                    <w:t xml:space="preserve"> activity only</w:t>
                  </w:r>
                </w:p>
                <w:p w14:paraId="5B71DBD0" w14:textId="77777777" w:rsidR="00835B80" w:rsidRDefault="00835B80" w:rsidP="00835B80">
                  <w:pPr>
                    <w:pStyle w:val="Bullet1"/>
                  </w:pPr>
                  <w:r w:rsidRPr="00F317E3">
                    <w:t>1% were represented in both FaRS/SFVS</w:t>
                  </w:r>
                </w:p>
                <w:p w14:paraId="3A0A9680" w14:textId="4A9DF4CD" w:rsidR="00835B80" w:rsidRDefault="00835B80" w:rsidP="00835B80">
                  <w:pPr>
                    <w:pStyle w:val="Bullet1"/>
                  </w:pPr>
                  <w:r w:rsidRPr="00F317E3">
                    <w:lastRenderedPageBreak/>
                    <w:t>0</w:t>
                  </w:r>
                  <w:r>
                    <w:t>.</w:t>
                  </w:r>
                  <w:r w:rsidRPr="00F317E3">
                    <w:t>3% were in both FaRS/SFVS-4AP</w:t>
                  </w:r>
                  <w:r w:rsidR="007B5490">
                    <w:t>2</w:t>
                  </w:r>
                  <w:r>
                    <w:t xml:space="preserve">. </w:t>
                  </w:r>
                </w:p>
                <w:p w14:paraId="7E5FA02E" w14:textId="0D693481" w:rsidR="00835B80" w:rsidRDefault="00CA586F" w:rsidP="005674C7">
                  <w:pPr>
                    <w:pStyle w:val="Bullet1"/>
                    <w:numPr>
                      <w:ilvl w:val="0"/>
                      <w:numId w:val="0"/>
                    </w:numPr>
                  </w:pPr>
                  <w:r>
                    <w:t>While</w:t>
                  </w:r>
                  <w:r w:rsidR="00835B80">
                    <w:t xml:space="preserve"> anecdotally there is some crossover between the programs, quantitative datasets indicate that most service users are serviced exclusively within one funding stream. </w:t>
                  </w:r>
                </w:p>
                <w:p w14:paraId="491783AE" w14:textId="7426D1DC" w:rsidR="005674C7" w:rsidRDefault="00835B80" w:rsidP="005674C7">
                  <w:pPr>
                    <w:pStyle w:val="Bullet1"/>
                    <w:numPr>
                      <w:ilvl w:val="0"/>
                      <w:numId w:val="0"/>
                    </w:numPr>
                  </w:pPr>
                  <w:r>
                    <w:t xml:space="preserve">Nonetheless, </w:t>
                  </w:r>
                  <w:r w:rsidR="005674C7" w:rsidRPr="00D54FDC">
                    <w:t xml:space="preserve">FaRS </w:t>
                  </w:r>
                  <w:r w:rsidR="006E268D">
                    <w:t>and</w:t>
                  </w:r>
                  <w:r w:rsidR="005674C7" w:rsidRPr="00D54FDC">
                    <w:t xml:space="preserve"> SFVS service providers described their staff working collaboratively to meet </w:t>
                  </w:r>
                  <w:r w:rsidR="005674C7">
                    <w:t>service user</w:t>
                  </w:r>
                  <w:r w:rsidR="005674C7" w:rsidRPr="00D54FDC">
                    <w:t xml:space="preserve"> needs. This was further enabled in some services where staff worked dual roles across both. </w:t>
                  </w:r>
                </w:p>
                <w:p w14:paraId="71A2AE94" w14:textId="77777777" w:rsidR="00551CDA" w:rsidRDefault="00551CDA" w:rsidP="005674C7">
                  <w:pPr>
                    <w:pStyle w:val="Bullet1"/>
                    <w:numPr>
                      <w:ilvl w:val="0"/>
                      <w:numId w:val="0"/>
                    </w:numPr>
                  </w:pPr>
                </w:p>
                <w:p w14:paraId="0F32D0DF" w14:textId="180FE60C" w:rsidR="002B5A59" w:rsidRPr="00944E4D" w:rsidRDefault="002B5A59" w:rsidP="00944E4D">
                  <w:pPr>
                    <w:pBdr>
                      <w:left w:val="single" w:sz="18" w:space="4" w:color="78B800" w:themeColor="accent1"/>
                    </w:pBdr>
                    <w:tabs>
                      <w:tab w:val="left" w:pos="8080"/>
                    </w:tabs>
                    <w:spacing w:after="0"/>
                    <w:ind w:left="851" w:right="949"/>
                    <w:rPr>
                      <w:b/>
                      <w:i/>
                    </w:rPr>
                  </w:pPr>
                  <w:r w:rsidRPr="002E7992">
                    <w:rPr>
                      <w:noProof/>
                    </w:rPr>
                    <w:drawing>
                      <wp:anchor distT="0" distB="0" distL="114300" distR="114300" simplePos="0" relativeHeight="251658406" behindDoc="0" locked="1" layoutInCell="1" allowOverlap="1" wp14:anchorId="753FC949" wp14:editId="45C89533">
                        <wp:simplePos x="0" y="0"/>
                        <wp:positionH relativeFrom="column">
                          <wp:posOffset>0</wp:posOffset>
                        </wp:positionH>
                        <wp:positionV relativeFrom="paragraph">
                          <wp:posOffset>0</wp:posOffset>
                        </wp:positionV>
                        <wp:extent cx="384810" cy="320040"/>
                        <wp:effectExtent l="0" t="0" r="0" b="3810"/>
                        <wp:wrapNone/>
                        <wp:docPr id="1187015645" name="Graphic 1187015645" descr="P4268#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015645" name="Graphic 1187015645" descr="P4268#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C3C4C">
                    <w:rPr>
                      <w:i/>
                      <w:iCs/>
                    </w:rPr>
                    <w:t xml:space="preserve">We work very closely with the SFVS program because we have a lot of families and couples that present for relationship counselling where they may be more appropriate for [SFVS] </w:t>
                  </w:r>
                  <w:r w:rsidRPr="002E7992">
                    <w:rPr>
                      <w:b/>
                      <w:bCs/>
                      <w:i/>
                      <w:iCs/>
                    </w:rPr>
                    <w:t>–</w:t>
                  </w:r>
                  <w:r>
                    <w:rPr>
                      <w:b/>
                      <w:bCs/>
                      <w:i/>
                      <w:iCs/>
                    </w:rPr>
                    <w:t xml:space="preserve"> </w:t>
                  </w:r>
                  <w:r w:rsidR="004930FF">
                    <w:rPr>
                      <w:b/>
                      <w:bCs/>
                      <w:i/>
                      <w:iCs/>
                    </w:rPr>
                    <w:t xml:space="preserve">Dual </w:t>
                  </w:r>
                  <w:r>
                    <w:rPr>
                      <w:b/>
                      <w:bCs/>
                      <w:i/>
                      <w:iCs/>
                    </w:rPr>
                    <w:t>FaRS SFVS s</w:t>
                  </w:r>
                  <w:r w:rsidRPr="002E7992">
                    <w:rPr>
                      <w:b/>
                      <w:bCs/>
                      <w:i/>
                      <w:iCs/>
                    </w:rPr>
                    <w:t>ervice provider</w:t>
                  </w:r>
                </w:p>
                <w:p w14:paraId="4B88D736" w14:textId="77777777" w:rsidR="00944E4D" w:rsidRDefault="00944E4D" w:rsidP="005674C7">
                  <w:pPr>
                    <w:pStyle w:val="Text"/>
                  </w:pPr>
                </w:p>
                <w:p w14:paraId="262375F7" w14:textId="23FAC3A9" w:rsidR="005674C7" w:rsidRDefault="00C515B4" w:rsidP="005674C7">
                  <w:pPr>
                    <w:pStyle w:val="Text"/>
                  </w:pPr>
                  <w:r>
                    <w:t>S</w:t>
                  </w:r>
                  <w:r w:rsidR="006D6A62">
                    <w:t>ervice providers highlighted that having access to both FaRS and SFVS funding enabled:</w:t>
                  </w:r>
                </w:p>
                <w:p w14:paraId="397150B5" w14:textId="3987F7C2" w:rsidR="005674C7" w:rsidRDefault="005674C7" w:rsidP="00A96B32">
                  <w:pPr>
                    <w:pStyle w:val="Bullet1"/>
                  </w:pPr>
                  <w:r>
                    <w:t xml:space="preserve">use </w:t>
                  </w:r>
                  <w:r w:rsidR="006D6A62">
                    <w:t>of</w:t>
                  </w:r>
                  <w:r>
                    <w:t xml:space="preserve"> FaRS to provide continued support to victim survivors </w:t>
                  </w:r>
                  <w:r w:rsidR="003326A6">
                    <w:t>who initially engaged with</w:t>
                  </w:r>
                  <w:r>
                    <w:t xml:space="preserve"> SFVS</w:t>
                  </w:r>
                </w:p>
                <w:p w14:paraId="4B3210A3" w14:textId="005C7AC7" w:rsidR="005674C7" w:rsidRDefault="003326A6" w:rsidP="00A96B32">
                  <w:pPr>
                    <w:pStyle w:val="Bullet1"/>
                  </w:pPr>
                  <w:r>
                    <w:t>the provision of</w:t>
                  </w:r>
                  <w:r w:rsidR="005674C7">
                    <w:t xml:space="preserve"> immediate support when SFVS waitlists were too long but immediate support was needed </w:t>
                  </w:r>
                </w:p>
                <w:p w14:paraId="5AB511BC" w14:textId="61FED7BA" w:rsidR="005674C7" w:rsidRDefault="005674C7" w:rsidP="00A96B32">
                  <w:pPr>
                    <w:pStyle w:val="Bullet1"/>
                  </w:pPr>
                  <w:r>
                    <w:t>FaRS and SFVS in tandem to address diverse needs across families with family members engaged through different program streams</w:t>
                  </w:r>
                  <w:r w:rsidR="003326A6">
                    <w:t>, enabling</w:t>
                  </w:r>
                  <w:r>
                    <w:t xml:space="preserve"> a holistic, wraparound approach</w:t>
                  </w:r>
                </w:p>
                <w:p w14:paraId="6F762EF0" w14:textId="74625035" w:rsidR="005674C7" w:rsidRDefault="005674C7" w:rsidP="00A96B32">
                  <w:pPr>
                    <w:pStyle w:val="Bullet1"/>
                  </w:pPr>
                  <w:r>
                    <w:t xml:space="preserve">informal and formal training </w:t>
                  </w:r>
                  <w:r w:rsidR="003326A6">
                    <w:t xml:space="preserve">and information sharing </w:t>
                  </w:r>
                  <w:r>
                    <w:t xml:space="preserve">between programs to support best practice delivery </w:t>
                  </w:r>
                </w:p>
                <w:p w14:paraId="119121EA" w14:textId="12700CA7" w:rsidR="005674C7" w:rsidRDefault="003326A6" w:rsidP="00A96B32">
                  <w:pPr>
                    <w:pStyle w:val="Bullet1"/>
                  </w:pPr>
                  <w:r>
                    <w:t xml:space="preserve">the </w:t>
                  </w:r>
                  <w:r w:rsidR="005674C7">
                    <w:t>funnel</w:t>
                  </w:r>
                  <w:r>
                    <w:t>ling</w:t>
                  </w:r>
                  <w:r w:rsidR="005674C7">
                    <w:t xml:space="preserve"> </w:t>
                  </w:r>
                  <w:r>
                    <w:t xml:space="preserve">of </w:t>
                  </w:r>
                  <w:r w:rsidR="005674C7">
                    <w:t xml:space="preserve">service users who required specialist support relating to family violence to SFVS, often based on disclosures emerging during FaRS intake, assessment, or counselling sessions with internal, warm referrals and continued support enabled by co-location </w:t>
                  </w:r>
                  <w:r w:rsidR="005674C7" w:rsidRPr="00B16CBD">
                    <w:fldChar w:fldCharType="begin"/>
                  </w:r>
                  <w:r w:rsidR="00E41D03">
                    <w:instrText xml:space="preserve"> ADDIN ZOTERO_ITEM CSL_CITATION {"citationID":"a1bid88ubkg","properties":{"formattedCitation":"(Churchill et al., 2020)","plainCitation":"(Churchill et al., 2020)","noteIndex":0},"citationItems":[{"id":4602,"uris":["http://zotero.org/groups/5691188/items/V2FQ5J6Y"],"itemData":{"id":4602,"type":"article-journal","abstract":"A major aspect of contemporary European family policies has been substantial developments in ‘family and parenting support services’ albeit under challenging conditions of austerity in recent years. This article compares and reviews national reforms in family support, child welfare and positive parenting services in England, Ireland and Spain. The analysis critically compares national ‘system-wide’ reforms and frontline service-based innovations; and situates these within broader national and European policy contexts. The article examines the degrees and ways in which children’s and family services reforms across all three countries have been shaped by family support, children’s rights and social investment policy orientations; and deliberates national differences in the scope, timing and longevity of reforms. It raises critical issues from rights-based perspectives and reflects on cross-national insights.","container-title":"Social Work and Social Sciences Review","DOI":"10.1921/swssr.v21i2.1418","ISSN":"1746-6105, 0953-5225","issue":"2","journalAbbreviation":"SWSSR","language":"en","page":"58-83","source":"DOI.org (Crossref)","title":"Developing family support services: A comparison of national reforms and challenges in England, Ireland and Spain","title-short":"Developing family support services","volume":"21","author":[{"family":"Churchill","given":"Harriet"},{"family":"Baena","given":"Sofía"},{"family":"Crosse","given":"Rosemary"},{"family":"Jiménez","given":"Lucia"},{"family":"Millar","given":"MIchelle"}],"issued":{"date-parts":[["2020",5,18]]}}}],"schema":"https://github.com/citation-style-language/schema/raw/master/csl-citation.json"} </w:instrText>
                  </w:r>
                  <w:r w:rsidR="005674C7" w:rsidRPr="00B16CBD">
                    <w:fldChar w:fldCharType="separate"/>
                  </w:r>
                  <w:r w:rsidR="00AC138C" w:rsidRPr="00AC138C">
                    <w:rPr>
                      <w:rFonts w:ascii="Arial" w:hAnsi="Arial" w:cs="Arial"/>
                    </w:rPr>
                    <w:t>(Churchill et al., 2020)</w:t>
                  </w:r>
                  <w:r w:rsidR="005674C7" w:rsidRPr="00B16CBD">
                    <w:fldChar w:fldCharType="end"/>
                  </w:r>
                  <w:r w:rsidR="005674C7">
                    <w:t>.</w:t>
                  </w:r>
                </w:p>
                <w:p w14:paraId="3C4E78B0" w14:textId="77777777" w:rsidR="003E3F47" w:rsidRDefault="003E3F47" w:rsidP="003E3F47">
                  <w:pPr>
                    <w:pStyle w:val="Bullet1"/>
                    <w:numPr>
                      <w:ilvl w:val="0"/>
                      <w:numId w:val="0"/>
                    </w:numPr>
                    <w:ind w:left="431"/>
                  </w:pPr>
                </w:p>
                <w:p w14:paraId="32FDE7D2" w14:textId="15BBFA86" w:rsidR="006C193E" w:rsidRPr="006C193E" w:rsidRDefault="006C193E" w:rsidP="006C193E">
                  <w:pPr>
                    <w:pBdr>
                      <w:left w:val="single" w:sz="18" w:space="4" w:color="78B800" w:themeColor="accent1"/>
                    </w:pBdr>
                    <w:tabs>
                      <w:tab w:val="left" w:pos="8080"/>
                    </w:tabs>
                    <w:spacing w:after="0"/>
                    <w:ind w:left="851" w:right="949"/>
                    <w:rPr>
                      <w:i/>
                      <w:iCs/>
                    </w:rPr>
                  </w:pPr>
                  <w:r w:rsidRPr="002E7992">
                    <w:rPr>
                      <w:noProof/>
                    </w:rPr>
                    <w:drawing>
                      <wp:anchor distT="0" distB="0" distL="114300" distR="114300" simplePos="0" relativeHeight="251658407" behindDoc="0" locked="1" layoutInCell="1" allowOverlap="1" wp14:anchorId="7C713465" wp14:editId="09231ACA">
                        <wp:simplePos x="0" y="0"/>
                        <wp:positionH relativeFrom="column">
                          <wp:posOffset>0</wp:posOffset>
                        </wp:positionH>
                        <wp:positionV relativeFrom="paragraph">
                          <wp:posOffset>0</wp:posOffset>
                        </wp:positionV>
                        <wp:extent cx="384810" cy="320040"/>
                        <wp:effectExtent l="0" t="0" r="0" b="3810"/>
                        <wp:wrapNone/>
                        <wp:docPr id="1316662215" name="Graphic 1316662215" descr="P4277#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662215" name="Graphic 1316662215" descr="P4277#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i/>
                      <w:iCs/>
                    </w:rPr>
                    <w:t xml:space="preserve">We do cross-pollinate between FaRS and SFVS depending on availability as we are overwhelmed with demand </w:t>
                  </w:r>
                  <w:r w:rsidRPr="002E7992">
                    <w:rPr>
                      <w:b/>
                      <w:bCs/>
                      <w:i/>
                      <w:iCs/>
                    </w:rPr>
                    <w:t>–</w:t>
                  </w:r>
                  <w:r>
                    <w:rPr>
                      <w:b/>
                      <w:bCs/>
                      <w:i/>
                      <w:iCs/>
                    </w:rPr>
                    <w:t xml:space="preserve"> </w:t>
                  </w:r>
                  <w:r w:rsidR="004930FF">
                    <w:rPr>
                      <w:b/>
                      <w:bCs/>
                      <w:i/>
                      <w:iCs/>
                    </w:rPr>
                    <w:t xml:space="preserve">Dual </w:t>
                  </w:r>
                  <w:r>
                    <w:rPr>
                      <w:b/>
                      <w:bCs/>
                      <w:i/>
                      <w:iCs/>
                    </w:rPr>
                    <w:t>FaRS SFVS s</w:t>
                  </w:r>
                  <w:r w:rsidRPr="002E7992">
                    <w:rPr>
                      <w:b/>
                      <w:bCs/>
                      <w:i/>
                      <w:iCs/>
                    </w:rPr>
                    <w:t>ervice provider</w:t>
                  </w:r>
                </w:p>
                <w:p w14:paraId="42EB8A24" w14:textId="77777777" w:rsidR="002B5A59" w:rsidRDefault="002B5A59" w:rsidP="006C193E">
                  <w:pPr>
                    <w:pStyle w:val="Text"/>
                  </w:pPr>
                </w:p>
                <w:p w14:paraId="611F615D" w14:textId="549F995E" w:rsidR="006C193E" w:rsidRPr="001715A0" w:rsidRDefault="006C193E" w:rsidP="006C193E">
                  <w:pPr>
                    <w:pBdr>
                      <w:left w:val="single" w:sz="18" w:space="4" w:color="78B800" w:themeColor="accent1"/>
                    </w:pBdr>
                    <w:tabs>
                      <w:tab w:val="left" w:pos="8080"/>
                    </w:tabs>
                    <w:spacing w:after="0"/>
                    <w:ind w:left="851" w:right="949"/>
                    <w:rPr>
                      <w:i/>
                      <w:iCs/>
                    </w:rPr>
                  </w:pPr>
                  <w:r w:rsidRPr="002E7992">
                    <w:rPr>
                      <w:noProof/>
                    </w:rPr>
                    <w:drawing>
                      <wp:anchor distT="0" distB="0" distL="114300" distR="114300" simplePos="0" relativeHeight="251658408" behindDoc="0" locked="1" layoutInCell="1" allowOverlap="1" wp14:anchorId="0BE72845" wp14:editId="5572A194">
                        <wp:simplePos x="0" y="0"/>
                        <wp:positionH relativeFrom="column">
                          <wp:posOffset>0</wp:posOffset>
                        </wp:positionH>
                        <wp:positionV relativeFrom="paragraph">
                          <wp:posOffset>0</wp:posOffset>
                        </wp:positionV>
                        <wp:extent cx="384810" cy="320040"/>
                        <wp:effectExtent l="0" t="0" r="0" b="3810"/>
                        <wp:wrapNone/>
                        <wp:docPr id="995397788" name="Graphic 995397788" descr="P4279#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397788" name="Graphic 995397788" descr="P4279#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i/>
                      <w:iCs/>
                    </w:rPr>
                    <w:t>H</w:t>
                  </w:r>
                  <w:r w:rsidRPr="006E5885">
                    <w:rPr>
                      <w:i/>
                      <w:iCs/>
                    </w:rPr>
                    <w:t>aving the SF</w:t>
                  </w:r>
                  <w:r>
                    <w:rPr>
                      <w:i/>
                      <w:iCs/>
                    </w:rPr>
                    <w:t>VS</w:t>
                  </w:r>
                  <w:r w:rsidRPr="006E5885">
                    <w:rPr>
                      <w:i/>
                      <w:iCs/>
                    </w:rPr>
                    <w:t xml:space="preserve"> counselling space</w:t>
                  </w:r>
                  <w:r>
                    <w:rPr>
                      <w:i/>
                      <w:iCs/>
                    </w:rPr>
                    <w:t xml:space="preserve"> c</w:t>
                  </w:r>
                  <w:r w:rsidRPr="006E5885">
                    <w:rPr>
                      <w:i/>
                      <w:iCs/>
                    </w:rPr>
                    <w:t>o</w:t>
                  </w:r>
                  <w:r>
                    <w:rPr>
                      <w:i/>
                      <w:iCs/>
                    </w:rPr>
                    <w:t>-</w:t>
                  </w:r>
                  <w:r w:rsidRPr="006E5885">
                    <w:rPr>
                      <w:i/>
                      <w:iCs/>
                    </w:rPr>
                    <w:t xml:space="preserve">located with our family support program and our </w:t>
                  </w:r>
                  <w:r>
                    <w:rPr>
                      <w:i/>
                      <w:iCs/>
                    </w:rPr>
                    <w:t>FaRS</w:t>
                  </w:r>
                  <w:r w:rsidRPr="006E5885">
                    <w:rPr>
                      <w:i/>
                      <w:iCs/>
                    </w:rPr>
                    <w:t xml:space="preserve"> counsellors </w:t>
                  </w:r>
                  <w:r>
                    <w:rPr>
                      <w:i/>
                      <w:iCs/>
                    </w:rPr>
                    <w:t>[…]</w:t>
                  </w:r>
                  <w:r w:rsidRPr="006E5885">
                    <w:rPr>
                      <w:i/>
                      <w:iCs/>
                    </w:rPr>
                    <w:t xml:space="preserve"> means that I have</w:t>
                  </w:r>
                  <w:r>
                    <w:rPr>
                      <w:i/>
                      <w:iCs/>
                    </w:rPr>
                    <w:t xml:space="preserve"> s</w:t>
                  </w:r>
                  <w:r w:rsidRPr="006E5885">
                    <w:rPr>
                      <w:i/>
                      <w:iCs/>
                    </w:rPr>
                    <w:t>ome really wonderful options around step down</w:t>
                  </w:r>
                  <w:r>
                    <w:rPr>
                      <w:i/>
                      <w:iCs/>
                    </w:rPr>
                    <w:t xml:space="preserve"> </w:t>
                  </w:r>
                  <w:r w:rsidR="00905539">
                    <w:rPr>
                      <w:i/>
                      <w:iCs/>
                    </w:rPr>
                    <w:t>[if]</w:t>
                  </w:r>
                  <w:r w:rsidDel="00905539">
                    <w:rPr>
                      <w:i/>
                      <w:iCs/>
                    </w:rPr>
                    <w:t xml:space="preserve"> </w:t>
                  </w:r>
                  <w:r w:rsidRPr="006E5885">
                    <w:rPr>
                      <w:i/>
                      <w:iCs/>
                    </w:rPr>
                    <w:t xml:space="preserve">the </w:t>
                  </w:r>
                  <w:r>
                    <w:rPr>
                      <w:i/>
                      <w:iCs/>
                    </w:rPr>
                    <w:t>[…]</w:t>
                  </w:r>
                  <w:r w:rsidRPr="006E5885">
                    <w:rPr>
                      <w:i/>
                      <w:iCs/>
                    </w:rPr>
                    <w:t xml:space="preserve"> family violence has been addressed and it may be more suitable for a client to be sitting with </w:t>
                  </w:r>
                  <w:r w:rsidR="00905539">
                    <w:rPr>
                      <w:i/>
                      <w:iCs/>
                    </w:rPr>
                    <w:t>[…]</w:t>
                  </w:r>
                  <w:r w:rsidRPr="006E5885">
                    <w:rPr>
                      <w:i/>
                      <w:iCs/>
                    </w:rPr>
                    <w:t xml:space="preserve"> the generalist counsellor to just manage general mental health and well-being</w:t>
                  </w:r>
                  <w:r w:rsidR="00905539">
                    <w:rPr>
                      <w:i/>
                      <w:iCs/>
                    </w:rPr>
                    <w:t xml:space="preserve"> </w:t>
                  </w:r>
                  <w:r w:rsidR="00944E4D">
                    <w:rPr>
                      <w:i/>
                      <w:iCs/>
                    </w:rPr>
                    <w:t>[…] T</w:t>
                  </w:r>
                  <w:r w:rsidRPr="006E5885">
                    <w:rPr>
                      <w:i/>
                      <w:iCs/>
                    </w:rPr>
                    <w:t>hat</w:t>
                  </w:r>
                  <w:r w:rsidR="00905539">
                    <w:rPr>
                      <w:i/>
                      <w:iCs/>
                    </w:rPr>
                    <w:t>’s the</w:t>
                  </w:r>
                  <w:r w:rsidRPr="006E5885">
                    <w:rPr>
                      <w:i/>
                      <w:iCs/>
                    </w:rPr>
                    <w:t xml:space="preserve"> idea of</w:t>
                  </w:r>
                  <w:r>
                    <w:rPr>
                      <w:i/>
                      <w:iCs/>
                    </w:rPr>
                    <w:t xml:space="preserve"> a ‘</w:t>
                  </w:r>
                  <w:r w:rsidRPr="006E5885">
                    <w:rPr>
                      <w:i/>
                      <w:iCs/>
                    </w:rPr>
                    <w:t xml:space="preserve">no </w:t>
                  </w:r>
                  <w:r>
                    <w:rPr>
                      <w:i/>
                      <w:iCs/>
                    </w:rPr>
                    <w:t>wron</w:t>
                  </w:r>
                  <w:r w:rsidRPr="006E5885">
                    <w:rPr>
                      <w:i/>
                      <w:iCs/>
                    </w:rPr>
                    <w:t>g</w:t>
                  </w:r>
                  <w:r>
                    <w:rPr>
                      <w:i/>
                      <w:iCs/>
                    </w:rPr>
                    <w:t xml:space="preserve"> door’</w:t>
                  </w:r>
                  <w:r w:rsidRPr="006E5885">
                    <w:rPr>
                      <w:i/>
                      <w:iCs/>
                    </w:rPr>
                    <w:t xml:space="preserve"> policy</w:t>
                  </w:r>
                  <w:r>
                    <w:rPr>
                      <w:i/>
                      <w:iCs/>
                    </w:rPr>
                    <w:t xml:space="preserve"> […] </w:t>
                  </w:r>
                  <w:r w:rsidR="00F41132">
                    <w:rPr>
                      <w:i/>
                      <w:iCs/>
                    </w:rPr>
                    <w:t>I</w:t>
                  </w:r>
                  <w:r w:rsidRPr="006E5885">
                    <w:rPr>
                      <w:i/>
                      <w:iCs/>
                    </w:rPr>
                    <w:t>t makes for a much smoother transition when I can go across the room</w:t>
                  </w:r>
                  <w:r w:rsidR="00A568D9">
                    <w:rPr>
                      <w:i/>
                      <w:iCs/>
                    </w:rPr>
                    <w:t>,</w:t>
                  </w:r>
                  <w:r w:rsidRPr="006E5885">
                    <w:rPr>
                      <w:i/>
                      <w:iCs/>
                    </w:rPr>
                    <w:t xml:space="preserve"> knock on the door</w:t>
                  </w:r>
                  <w:r w:rsidR="00A568D9">
                    <w:rPr>
                      <w:i/>
                      <w:iCs/>
                    </w:rPr>
                    <w:t>,</w:t>
                  </w:r>
                  <w:r w:rsidRPr="006E5885">
                    <w:rPr>
                      <w:i/>
                      <w:iCs/>
                    </w:rPr>
                    <w:t xml:space="preserve"> and have a chat </w:t>
                  </w:r>
                  <w:r w:rsidRPr="006E5885">
                    <w:rPr>
                      <w:i/>
                      <w:iCs/>
                    </w:rPr>
                    <w:lastRenderedPageBreak/>
                    <w:t xml:space="preserve">with that family support worker about what this family might need </w:t>
                  </w:r>
                  <w:r w:rsidRPr="002E7992">
                    <w:rPr>
                      <w:b/>
                      <w:bCs/>
                      <w:i/>
                      <w:iCs/>
                    </w:rPr>
                    <w:t>–</w:t>
                  </w:r>
                  <w:r>
                    <w:rPr>
                      <w:b/>
                      <w:bCs/>
                      <w:i/>
                      <w:iCs/>
                    </w:rPr>
                    <w:t xml:space="preserve"> </w:t>
                  </w:r>
                  <w:r w:rsidR="004930FF">
                    <w:rPr>
                      <w:b/>
                      <w:bCs/>
                      <w:i/>
                      <w:iCs/>
                    </w:rPr>
                    <w:t xml:space="preserve">Dual </w:t>
                  </w:r>
                  <w:r>
                    <w:rPr>
                      <w:b/>
                      <w:bCs/>
                      <w:i/>
                      <w:iCs/>
                    </w:rPr>
                    <w:t>FaRS SFVS s</w:t>
                  </w:r>
                  <w:r w:rsidRPr="002E7992">
                    <w:rPr>
                      <w:b/>
                      <w:bCs/>
                      <w:i/>
                      <w:iCs/>
                    </w:rPr>
                    <w:t>ervice provider</w:t>
                  </w:r>
                </w:p>
                <w:p w14:paraId="16FA4991" w14:textId="77777777" w:rsidR="006C193E" w:rsidRDefault="006C193E" w:rsidP="00991A3F">
                  <w:pPr>
                    <w:pStyle w:val="Text"/>
                  </w:pPr>
                </w:p>
                <w:p w14:paraId="5B66FE94" w14:textId="2F5CB83C" w:rsidR="00991A3F" w:rsidRPr="006C193E" w:rsidRDefault="00991A3F" w:rsidP="006C193E">
                  <w:pPr>
                    <w:pBdr>
                      <w:left w:val="single" w:sz="18" w:space="4" w:color="78B800" w:themeColor="accent1"/>
                    </w:pBdr>
                    <w:tabs>
                      <w:tab w:val="left" w:pos="8080"/>
                    </w:tabs>
                    <w:spacing w:after="0"/>
                    <w:ind w:left="851" w:right="949"/>
                    <w:rPr>
                      <w:b/>
                      <w:i/>
                    </w:rPr>
                  </w:pPr>
                  <w:r w:rsidRPr="002E7992">
                    <w:rPr>
                      <w:noProof/>
                    </w:rPr>
                    <w:drawing>
                      <wp:anchor distT="0" distB="0" distL="114300" distR="114300" simplePos="0" relativeHeight="251658409" behindDoc="0" locked="1" layoutInCell="1" allowOverlap="1" wp14:anchorId="6E670D84" wp14:editId="0234EF6E">
                        <wp:simplePos x="0" y="0"/>
                        <wp:positionH relativeFrom="column">
                          <wp:posOffset>0</wp:posOffset>
                        </wp:positionH>
                        <wp:positionV relativeFrom="paragraph">
                          <wp:posOffset>0</wp:posOffset>
                        </wp:positionV>
                        <wp:extent cx="384810" cy="320040"/>
                        <wp:effectExtent l="0" t="0" r="0" b="3810"/>
                        <wp:wrapNone/>
                        <wp:docPr id="1999744836" name="Graphic 1999744836" descr="P4281#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9744836" name="Graphic 1999744836" descr="P4281#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i/>
                      <w:iCs/>
                    </w:rPr>
                    <w:t>The main crossover is that it</w:t>
                  </w:r>
                  <w:r w:rsidR="00B850A0">
                    <w:rPr>
                      <w:i/>
                      <w:iCs/>
                    </w:rPr>
                    <w:t>’</w:t>
                  </w:r>
                  <w:r>
                    <w:rPr>
                      <w:i/>
                      <w:iCs/>
                    </w:rPr>
                    <w:t xml:space="preserve">s an easy referral pathway – it means we can coordinate well and share information where appropriate </w:t>
                  </w:r>
                  <w:r w:rsidRPr="002E7992">
                    <w:rPr>
                      <w:b/>
                      <w:bCs/>
                      <w:i/>
                      <w:iCs/>
                    </w:rPr>
                    <w:t>–</w:t>
                  </w:r>
                  <w:r>
                    <w:rPr>
                      <w:b/>
                      <w:bCs/>
                      <w:i/>
                      <w:iCs/>
                    </w:rPr>
                    <w:t xml:space="preserve"> </w:t>
                  </w:r>
                  <w:r w:rsidR="004930FF">
                    <w:rPr>
                      <w:b/>
                      <w:bCs/>
                      <w:i/>
                      <w:iCs/>
                    </w:rPr>
                    <w:t xml:space="preserve">Dual </w:t>
                  </w:r>
                  <w:r>
                    <w:rPr>
                      <w:b/>
                      <w:bCs/>
                      <w:i/>
                      <w:iCs/>
                    </w:rPr>
                    <w:t>FaRS SFVS s</w:t>
                  </w:r>
                  <w:r w:rsidRPr="002E7992">
                    <w:rPr>
                      <w:b/>
                      <w:bCs/>
                      <w:i/>
                      <w:iCs/>
                    </w:rPr>
                    <w:t>ervice provider</w:t>
                  </w:r>
                </w:p>
                <w:p w14:paraId="22B2D746" w14:textId="77777777" w:rsidR="006C193E" w:rsidRDefault="006C193E" w:rsidP="006C193E">
                  <w:pPr>
                    <w:pStyle w:val="Text"/>
                  </w:pPr>
                </w:p>
                <w:p w14:paraId="4977F5C0" w14:textId="6B2F5DE9" w:rsidR="006E43B1" w:rsidRPr="006E43B1" w:rsidRDefault="006E43B1" w:rsidP="006E43B1">
                  <w:pPr>
                    <w:pBdr>
                      <w:left w:val="single" w:sz="18" w:space="4" w:color="78B800" w:themeColor="accent1"/>
                    </w:pBdr>
                    <w:tabs>
                      <w:tab w:val="left" w:pos="8080"/>
                    </w:tabs>
                    <w:spacing w:after="0"/>
                    <w:ind w:left="851" w:right="949"/>
                    <w:rPr>
                      <w:b/>
                      <w:i/>
                    </w:rPr>
                  </w:pPr>
                  <w:r w:rsidRPr="002E7992">
                    <w:rPr>
                      <w:noProof/>
                    </w:rPr>
                    <w:drawing>
                      <wp:anchor distT="0" distB="0" distL="114300" distR="114300" simplePos="0" relativeHeight="251658410" behindDoc="0" locked="1" layoutInCell="1" allowOverlap="1" wp14:anchorId="011DA650" wp14:editId="6C130495">
                        <wp:simplePos x="0" y="0"/>
                        <wp:positionH relativeFrom="column">
                          <wp:posOffset>0</wp:posOffset>
                        </wp:positionH>
                        <wp:positionV relativeFrom="paragraph">
                          <wp:posOffset>0</wp:posOffset>
                        </wp:positionV>
                        <wp:extent cx="384810" cy="320040"/>
                        <wp:effectExtent l="0" t="0" r="0" b="3810"/>
                        <wp:wrapNone/>
                        <wp:docPr id="184465455" name="Graphic 184465455" descr="P4283#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65455" name="Graphic 184465455" descr="P4283#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i/>
                      <w:iCs/>
                    </w:rPr>
                    <w:t xml:space="preserve">Referrals come in fast and furious…sometimes we close the waitlist from an ethical point of view…we contact them even after 8-12 weeks and they are still very keen to get support. There just </w:t>
                  </w:r>
                  <w:r w:rsidR="00CF04D9">
                    <w:rPr>
                      <w:i/>
                      <w:iCs/>
                    </w:rPr>
                    <w:t>[aren’t]</w:t>
                  </w:r>
                  <w:r>
                    <w:rPr>
                      <w:i/>
                      <w:iCs/>
                    </w:rPr>
                    <w:t xml:space="preserve"> enough services […] We used to run groups out of the SFVS funding, but we’ve moved what we can to FaRS </w:t>
                  </w:r>
                  <w:r w:rsidRPr="002E7992">
                    <w:rPr>
                      <w:b/>
                      <w:bCs/>
                      <w:i/>
                      <w:iCs/>
                    </w:rPr>
                    <w:t>–</w:t>
                  </w:r>
                  <w:r>
                    <w:rPr>
                      <w:b/>
                      <w:bCs/>
                      <w:i/>
                      <w:iCs/>
                    </w:rPr>
                    <w:t xml:space="preserve"> Dual FaRS SFVS s</w:t>
                  </w:r>
                  <w:r w:rsidRPr="002E7992">
                    <w:rPr>
                      <w:b/>
                      <w:bCs/>
                      <w:i/>
                      <w:iCs/>
                    </w:rPr>
                    <w:t>ervice provider</w:t>
                  </w:r>
                </w:p>
                <w:p w14:paraId="156B3ABF" w14:textId="77777777" w:rsidR="003E3F47" w:rsidRDefault="003E3F47" w:rsidP="006E43B1">
                  <w:pPr>
                    <w:pStyle w:val="Text"/>
                  </w:pPr>
                </w:p>
                <w:p w14:paraId="7D493BD2" w14:textId="3D64B861" w:rsidR="005674C7" w:rsidRDefault="005674C7" w:rsidP="006E43B1">
                  <w:pPr>
                    <w:pStyle w:val="Text"/>
                  </w:pPr>
                  <w:r>
                    <w:t>This complexity, high levels of demand, and necessary mixed use of FaRS and SFVS for diverse service offerings creat</w:t>
                  </w:r>
                  <w:r w:rsidR="00A335A0">
                    <w:t>ed</w:t>
                  </w:r>
                  <w:r>
                    <w:t xml:space="preserve"> additional administrative burden </w:t>
                  </w:r>
                  <w:r w:rsidR="002D27C1">
                    <w:t>that some providers identified as</w:t>
                  </w:r>
                  <w:r>
                    <w:t xml:space="preserve"> requiring dedicated staffing and investment</w:t>
                  </w:r>
                  <w:r w:rsidR="00B77E0C">
                    <w:t xml:space="preserve"> (see</w:t>
                  </w:r>
                  <w:r>
                    <w:t xml:space="preserve"> </w:t>
                  </w:r>
                  <w:r w:rsidRPr="008E1B83">
                    <w:rPr>
                      <w:b/>
                    </w:rPr>
                    <w:t xml:space="preserve">Section </w:t>
                  </w:r>
                  <w:r w:rsidR="00940D8B">
                    <w:rPr>
                      <w:b/>
                    </w:rPr>
                    <w:fldChar w:fldCharType="begin" w:fldLock="1"/>
                  </w:r>
                  <w:r w:rsidR="00940D8B">
                    <w:rPr>
                      <w:b/>
                    </w:rPr>
                    <w:instrText xml:space="preserve"> REF _Ref208926672 \n \h </w:instrText>
                  </w:r>
                  <w:r w:rsidR="00940D8B">
                    <w:rPr>
                      <w:b/>
                    </w:rPr>
                  </w:r>
                  <w:r w:rsidR="00940D8B">
                    <w:rPr>
                      <w:b/>
                    </w:rPr>
                    <w:fldChar w:fldCharType="separate"/>
                  </w:r>
                  <w:r w:rsidR="008F22E5">
                    <w:rPr>
                      <w:b/>
                    </w:rPr>
                    <w:t>6.7</w:t>
                  </w:r>
                  <w:r w:rsidR="00940D8B">
                    <w:rPr>
                      <w:b/>
                    </w:rPr>
                    <w:fldChar w:fldCharType="end"/>
                  </w:r>
                  <w:r w:rsidR="00B77E0C">
                    <w:t xml:space="preserve"> for more detail). </w:t>
                  </w:r>
                </w:p>
                <w:p w14:paraId="38D855C5" w14:textId="35FD0EA5" w:rsidR="005674C7" w:rsidRPr="00F61D35" w:rsidRDefault="005674C7" w:rsidP="002E7436">
                  <w:pPr>
                    <w:pStyle w:val="Heading2"/>
                  </w:pPr>
                  <w:bookmarkStart w:id="508" w:name="_Ref203062674"/>
                  <w:bookmarkStart w:id="509" w:name="_Ref204172673"/>
                  <w:bookmarkStart w:id="510" w:name="_Ref204173041"/>
                  <w:bookmarkStart w:id="511" w:name="_Toc204856749"/>
                  <w:bookmarkStart w:id="512" w:name="_Toc208906863"/>
                  <w:bookmarkStart w:id="513" w:name="KEQ5"/>
                  <w:r w:rsidRPr="00F61D35">
                    <w:t>Level of need and distribution of need</w:t>
                  </w:r>
                  <w:bookmarkEnd w:id="508"/>
                  <w:bookmarkEnd w:id="509"/>
                  <w:bookmarkEnd w:id="510"/>
                  <w:bookmarkEnd w:id="511"/>
                  <w:bookmarkEnd w:id="512"/>
                </w:p>
                <w:bookmarkEnd w:id="513"/>
                <w:p w14:paraId="01F32228" w14:textId="09CB8045" w:rsidR="007201C5" w:rsidRDefault="007201C5" w:rsidP="003371DC">
                  <w:pPr>
                    <w:pStyle w:val="Text"/>
                  </w:pPr>
                  <w:r w:rsidRPr="00D40655">
                    <w:t xml:space="preserve">This section addresses KEQ 5: </w:t>
                  </w:r>
                  <w:r w:rsidR="00D40655" w:rsidRPr="00D40655">
                    <w:t>‘What is the level of need for FaRS and SFVS and how is this need distributed?’</w:t>
                  </w:r>
                  <w:r w:rsidRPr="00D40655">
                    <w:t xml:space="preserve"> It discusses </w:t>
                  </w:r>
                  <w:r w:rsidR="00D40655" w:rsidRPr="00D40655">
                    <w:t>coverage and distribution of</w:t>
                  </w:r>
                  <w:r w:rsidRPr="00D40655">
                    <w:t xml:space="preserve"> FaRS and SFVS,</w:t>
                  </w:r>
                  <w:r w:rsidR="00D40655" w:rsidRPr="00D40655">
                    <w:t xml:space="preserve"> geographical and service gaps, and</w:t>
                  </w:r>
                  <w:r w:rsidRPr="00D40655">
                    <w:t xml:space="preserve"> </w:t>
                  </w:r>
                  <w:r w:rsidR="00D40655" w:rsidRPr="00D40655">
                    <w:t>service provider perspectives on need.</w:t>
                  </w:r>
                  <w:r w:rsidR="00D40655">
                    <w:t xml:space="preserve"> </w:t>
                  </w:r>
                </w:p>
                <w:p w14:paraId="7AAA9B55" w14:textId="4BE7429B" w:rsidR="00DF5D52" w:rsidRPr="000C09BF" w:rsidRDefault="00DF5D52" w:rsidP="00321BC5">
                  <w:pPr>
                    <w:pStyle w:val="Text"/>
                    <w:spacing w:before="360"/>
                  </w:pPr>
                  <w:r w:rsidRPr="00321BC5">
                    <w:rPr>
                      <w:b/>
                      <w:color w:val="36424A" w:themeColor="background2"/>
                    </w:rPr>
                    <w:t>Coverage and distribution</w:t>
                  </w:r>
                </w:p>
                <w:p w14:paraId="1D09FBB4" w14:textId="4812684F" w:rsidR="006C386E" w:rsidRDefault="00844310" w:rsidP="006C386E">
                  <w:pPr>
                    <w:pStyle w:val="Text"/>
                  </w:pPr>
                  <w:r w:rsidRPr="008E1B83">
                    <w:rPr>
                      <w:b/>
                    </w:rPr>
                    <w:fldChar w:fldCharType="begin" w:fldLock="1"/>
                  </w:r>
                  <w:r w:rsidRPr="008E1B83">
                    <w:rPr>
                      <w:b/>
                    </w:rPr>
                    <w:instrText xml:space="preserve"> REF _Ref205317092 \h  \* MERGEFORMAT </w:instrText>
                  </w:r>
                  <w:r w:rsidRPr="008E1B83">
                    <w:rPr>
                      <w:b/>
                    </w:rPr>
                  </w:r>
                  <w:r w:rsidRPr="008E1B83">
                    <w:rPr>
                      <w:b/>
                    </w:rPr>
                    <w:fldChar w:fldCharType="separate"/>
                  </w:r>
                  <w:r w:rsidR="008F22E5" w:rsidRPr="2F53DD62">
                    <w:rPr>
                      <w:rStyle w:val="Text-Bold"/>
                      <w:bCs/>
                    </w:rPr>
                    <w:t xml:space="preserve">Figure </w:t>
                  </w:r>
                  <w:r w:rsidR="008F22E5" w:rsidRPr="008F22E5">
                    <w:rPr>
                      <w:b/>
                    </w:rPr>
                    <w:t>2</w:t>
                  </w:r>
                  <w:r w:rsidRPr="008E1B83">
                    <w:rPr>
                      <w:b/>
                    </w:rPr>
                    <w:fldChar w:fldCharType="end"/>
                  </w:r>
                  <w:r w:rsidR="006C386E" w:rsidRPr="008E1B83">
                    <w:rPr>
                      <w:b/>
                    </w:rPr>
                    <w:t xml:space="preserve"> </w:t>
                  </w:r>
                  <w:r w:rsidR="006C386E">
                    <w:t>shows the distribution of FaRS and SFVS service provider outlets across Australia.</w:t>
                  </w:r>
                </w:p>
                <w:p w14:paraId="5363E597" w14:textId="5EEB0EFB" w:rsidR="005733A5" w:rsidRPr="00DF5D52" w:rsidRDefault="005733A5" w:rsidP="005733A5">
                  <w:pPr>
                    <w:pStyle w:val="Text-BodyHeading"/>
                    <w:rPr>
                      <w:b w:val="0"/>
                      <w:i/>
                    </w:rPr>
                  </w:pPr>
                  <w:r w:rsidRPr="00DF5D52">
                    <w:rPr>
                      <w:b w:val="0"/>
                      <w:i/>
                    </w:rPr>
                    <w:t>FaRS</w:t>
                  </w:r>
                </w:p>
                <w:p w14:paraId="3A6BB955" w14:textId="52F60EE5" w:rsidR="005733A5" w:rsidRDefault="00E502B9" w:rsidP="005733A5">
                  <w:pPr>
                    <w:pStyle w:val="Text"/>
                    <w:rPr>
                      <w:lang w:val="en-US"/>
                    </w:rPr>
                  </w:pPr>
                  <w:r w:rsidRPr="00BF5122">
                    <w:rPr>
                      <w:lang w:val="en-US"/>
                    </w:rPr>
                    <w:t xml:space="preserve">FaRS had nationwide reach, with </w:t>
                  </w:r>
                  <w:r w:rsidR="003E7FE7">
                    <w:rPr>
                      <w:lang w:val="en-US"/>
                    </w:rPr>
                    <w:t>e</w:t>
                  </w:r>
                  <w:r w:rsidR="003E7FE7" w:rsidRPr="00BF5122">
                    <w:rPr>
                      <w:lang w:val="en-US"/>
                    </w:rPr>
                    <w:t>very state and territory ha</w:t>
                  </w:r>
                  <w:r w:rsidR="003E7FE7">
                    <w:rPr>
                      <w:lang w:val="en-US"/>
                    </w:rPr>
                    <w:t>ving</w:t>
                  </w:r>
                  <w:r w:rsidR="00A808E7">
                    <w:rPr>
                      <w:lang w:val="en-US"/>
                    </w:rPr>
                    <w:t xml:space="preserve"> </w:t>
                  </w:r>
                  <w:r w:rsidR="003E7FE7" w:rsidRPr="00BF5122">
                    <w:rPr>
                      <w:lang w:val="en-US"/>
                    </w:rPr>
                    <w:t>FaRS service coverage.</w:t>
                  </w:r>
                  <w:r w:rsidR="003E7FE7">
                    <w:rPr>
                      <w:lang w:val="en-US"/>
                    </w:rPr>
                    <w:t xml:space="preserve"> No</w:t>
                  </w:r>
                  <w:r w:rsidRPr="00BF5122">
                    <w:rPr>
                      <w:lang w:val="en-US"/>
                    </w:rPr>
                    <w:t xml:space="preserve"> significant population centres lack</w:t>
                  </w:r>
                  <w:r w:rsidR="003E7FE7">
                    <w:rPr>
                      <w:lang w:val="en-US"/>
                    </w:rPr>
                    <w:t>ed</w:t>
                  </w:r>
                  <w:r w:rsidRPr="00BF5122">
                    <w:rPr>
                      <w:lang w:val="en-US"/>
                    </w:rPr>
                    <w:t xml:space="preserve"> access, although remote and sparsely populated regions received fewer direct services relative to population needs.</w:t>
                  </w:r>
                  <w:r>
                    <w:rPr>
                      <w:lang w:val="en-US"/>
                    </w:rPr>
                    <w:t xml:space="preserve"> </w:t>
                  </w:r>
                  <w:r w:rsidR="00C1648E">
                    <w:rPr>
                      <w:lang w:val="en-US"/>
                    </w:rPr>
                    <w:t>S</w:t>
                  </w:r>
                  <w:r w:rsidR="005733A5" w:rsidRPr="00BF5122">
                    <w:rPr>
                      <w:lang w:val="en-US"/>
                    </w:rPr>
                    <w:t xml:space="preserve">ervices were provided from 472 </w:t>
                  </w:r>
                  <w:r w:rsidR="00C1648E">
                    <w:rPr>
                      <w:lang w:val="en-US"/>
                    </w:rPr>
                    <w:t xml:space="preserve">outlets </w:t>
                  </w:r>
                  <w:r w:rsidR="005733A5" w:rsidRPr="00BF5122">
                    <w:rPr>
                      <w:lang w:val="en-US"/>
                    </w:rPr>
                    <w:t xml:space="preserve">in 2021-22 </w:t>
                  </w:r>
                  <w:r w:rsidR="00C1648E">
                    <w:rPr>
                      <w:lang w:val="en-US"/>
                    </w:rPr>
                    <w:t>and</w:t>
                  </w:r>
                  <w:r w:rsidR="00C1648E" w:rsidRPr="00BF5122">
                    <w:rPr>
                      <w:lang w:val="en-US"/>
                    </w:rPr>
                    <w:t xml:space="preserve"> </w:t>
                  </w:r>
                  <w:r w:rsidR="005733A5" w:rsidRPr="00BF5122">
                    <w:rPr>
                      <w:lang w:val="en-US"/>
                    </w:rPr>
                    <w:t xml:space="preserve">517 in 2022-23. Every state and territory had FaRS service coverage. Major metropolitan and regional areas were well-served, though some very remote localities had limited on-the-ground services. Funding was sometimes shared across multiple SA2 regions to cover thinly populated areas, so some remote communities may have been served via outreach rather than a local office. </w:t>
                  </w:r>
                </w:p>
                <w:p w14:paraId="0C20EAFA" w14:textId="09F3B2F9" w:rsidR="00770AC1" w:rsidRPr="00BF5122" w:rsidRDefault="00A12C4E" w:rsidP="005733A5">
                  <w:pPr>
                    <w:pStyle w:val="Text"/>
                    <w:rPr>
                      <w:lang w:val="en-US"/>
                    </w:rPr>
                  </w:pPr>
                  <w:r w:rsidRPr="00A12C4E">
                    <w:rPr>
                      <w:lang w:val="en-US"/>
                    </w:rPr>
                    <w:t>The service user mix was diverse across demographic characteristics. Gender was relatively balanced, with about 46.0% female and 47.2% male service users over the three-year period (0.16% identified as intersex with the remainder ‘not stated’). Approximately 9.7% of service users reported a disability, 5.4% identified as Aboriginal or Torres Strait Islander and 36.7% were from CALD backgrounds.</w:t>
                  </w:r>
                </w:p>
                <w:p w14:paraId="2BFE0DBC" w14:textId="77777777" w:rsidR="005733A5" w:rsidRPr="00BF5122" w:rsidRDefault="005733A5" w:rsidP="005733A5">
                  <w:pPr>
                    <w:pStyle w:val="Text-BodyHeading"/>
                  </w:pPr>
                  <w:r w:rsidRPr="00DF5D52">
                    <w:rPr>
                      <w:b w:val="0"/>
                      <w:i/>
                    </w:rPr>
                    <w:lastRenderedPageBreak/>
                    <w:t>SFVS</w:t>
                  </w:r>
                </w:p>
                <w:p w14:paraId="4C61AAFB" w14:textId="66164B38" w:rsidR="005733A5" w:rsidRPr="00BF5122" w:rsidRDefault="005733A5" w:rsidP="005733A5">
                  <w:pPr>
                    <w:pStyle w:val="Text"/>
                    <w:rPr>
                      <w:lang w:val="en-US"/>
                    </w:rPr>
                  </w:pPr>
                  <w:r w:rsidRPr="00BF5122">
                    <w:rPr>
                      <w:lang w:val="en-US"/>
                    </w:rPr>
                    <w:t xml:space="preserve">SFVS services were delivered in targeted locations. The program funded on average 156 outlets nationwide (summing all provider outlets attributed to SFVS). Many providers operated </w:t>
                  </w:r>
                  <w:r w:rsidR="00B756C9">
                    <w:rPr>
                      <w:lang w:val="en-US"/>
                    </w:rPr>
                    <w:t>1</w:t>
                  </w:r>
                  <w:r w:rsidRPr="00BF5122">
                    <w:rPr>
                      <w:lang w:val="en-US"/>
                    </w:rPr>
                    <w:t xml:space="preserve"> or </w:t>
                  </w:r>
                  <w:r w:rsidR="00B756C9">
                    <w:rPr>
                      <w:lang w:val="en-US"/>
                    </w:rPr>
                    <w:t>2</w:t>
                  </w:r>
                  <w:r w:rsidRPr="00BF5122">
                    <w:rPr>
                      <w:lang w:val="en-US"/>
                    </w:rPr>
                    <w:t xml:space="preserve"> outlets for SFVS (often co-located with FaRS). Some regions (especially parts of V</w:t>
                  </w:r>
                  <w:r w:rsidR="000F607F">
                    <w:rPr>
                      <w:lang w:val="en-US"/>
                    </w:rPr>
                    <w:t>ictoria</w:t>
                  </w:r>
                  <w:r w:rsidRPr="00BF5122">
                    <w:rPr>
                      <w:lang w:val="en-US"/>
                    </w:rPr>
                    <w:t>, NSW, Q</w:t>
                  </w:r>
                  <w:r w:rsidR="000F607F">
                    <w:rPr>
                      <w:lang w:val="en-US"/>
                    </w:rPr>
                    <w:t>ueensland</w:t>
                  </w:r>
                  <w:r w:rsidRPr="00BF5122">
                    <w:rPr>
                      <w:lang w:val="en-US"/>
                    </w:rPr>
                    <w:t xml:space="preserve">, WA) had multiple SFVS sites, whereas large remote areas </w:t>
                  </w:r>
                  <w:r w:rsidR="00C1648E">
                    <w:rPr>
                      <w:lang w:val="en-US"/>
                    </w:rPr>
                    <w:t xml:space="preserve">were serviced </w:t>
                  </w:r>
                  <w:r w:rsidR="00FB4E06">
                    <w:rPr>
                      <w:lang w:val="en-US"/>
                    </w:rPr>
                    <w:t>mainly</w:t>
                  </w:r>
                  <w:r w:rsidRPr="00BF5122">
                    <w:rPr>
                      <w:lang w:val="en-US"/>
                    </w:rPr>
                    <w:t xml:space="preserve"> by outreach from a central hub. Not every community has a local SFVS; however, by 2022–23 the program covered most high-need regions. For instance, SFVS funding was allocated to dozens of SA2 areas, though some rural areas still lacked a dedicated SFVS presence. Generally, metropolitan and regional centres with higher populations and need were served, while very remote areas remained harder to cover.</w:t>
                  </w:r>
                </w:p>
                <w:p w14:paraId="256B9586" w14:textId="4BCDB193" w:rsidR="0002177E" w:rsidRPr="0002177E" w:rsidRDefault="0002177E" w:rsidP="0002177E">
                  <w:pPr>
                    <w:pStyle w:val="Text"/>
                    <w:rPr>
                      <w:lang w:val="en-US"/>
                    </w:rPr>
                  </w:pPr>
                  <w:r w:rsidRPr="0002177E">
                    <w:rPr>
                      <w:lang w:val="en-US"/>
                    </w:rPr>
                    <w:t xml:space="preserve">SFVS service user demographics reflected the target population dealing with family violence. Across the three-year period, 71.6% of were female and 27.4% male, as many services support women and children (and </w:t>
                  </w:r>
                  <w:r w:rsidR="00D07A68">
                    <w:rPr>
                      <w:lang w:val="en-US"/>
                    </w:rPr>
                    <w:t>men who use violence</w:t>
                  </w:r>
                  <w:r w:rsidRPr="0002177E">
                    <w:rPr>
                      <w:lang w:val="en-US"/>
                    </w:rPr>
                    <w:t xml:space="preserve"> are often counted separately under MBCP). A notable 13.5% of SFVS service users identified as Aboriginal or Torres Strait Islander, indicating outreach to Aboriginal and Torres Strait Islander communities experiencing family violence. 11.4% of service users reported a disability while 22.8% of service users were CALD. These figures highlight that SFVS reached </w:t>
                  </w:r>
                  <w:r w:rsidR="00FC1296">
                    <w:rPr>
                      <w:lang w:val="en-US"/>
                    </w:rPr>
                    <w:t>several priority</w:t>
                  </w:r>
                  <w:r w:rsidRPr="0002177E">
                    <w:rPr>
                      <w:lang w:val="en-US"/>
                    </w:rPr>
                    <w:t xml:space="preserve"> groups, including a high proportion of Aboriginal and Torres Strait Islander families in need of violence-related support.</w:t>
                  </w:r>
                </w:p>
                <w:p w14:paraId="62D031C4" w14:textId="77777777" w:rsidR="005733A5" w:rsidRPr="00BF5122" w:rsidRDefault="005733A5" w:rsidP="005733A5">
                  <w:pPr>
                    <w:pStyle w:val="Text-BodyHeading"/>
                  </w:pPr>
                  <w:r w:rsidRPr="00DF5D52">
                    <w:rPr>
                      <w:b w:val="0"/>
                      <w:i/>
                    </w:rPr>
                    <w:t>MBCP</w:t>
                  </w:r>
                </w:p>
                <w:p w14:paraId="681208BD" w14:textId="767065F5" w:rsidR="005733A5" w:rsidRPr="00BF5122" w:rsidRDefault="005733A5" w:rsidP="005733A5">
                  <w:pPr>
                    <w:pStyle w:val="Text"/>
                    <w:rPr>
                      <w:lang w:val="en-US"/>
                    </w:rPr>
                  </w:pPr>
                  <w:r w:rsidRPr="00BF5122">
                    <w:rPr>
                      <w:lang w:val="en-US"/>
                    </w:rPr>
                    <w:t xml:space="preserve">The eight MBCP providers captured in the </w:t>
                  </w:r>
                  <w:r w:rsidR="00715F9A">
                    <w:t xml:space="preserve">GPS – DEX </w:t>
                  </w:r>
                  <w:r w:rsidRPr="00BF5122">
                    <w:rPr>
                      <w:lang w:val="en-US"/>
                    </w:rPr>
                    <w:t xml:space="preserve">extract operated through an average of 17 outlets over the three-year period. Some providers have up to 5 outlets where others </w:t>
                  </w:r>
                  <w:r w:rsidR="00B55676" w:rsidRPr="00BF5122">
                    <w:rPr>
                      <w:lang w:val="en-US"/>
                    </w:rPr>
                    <w:t>have</w:t>
                  </w:r>
                  <w:r w:rsidRPr="00BF5122">
                    <w:rPr>
                      <w:lang w:val="en-US"/>
                    </w:rPr>
                    <w:t xml:space="preserve"> only one. These outlets are mostly in urban centres and larger regional towns. Many rural areas still lack local MBCPs, meaning men from those areas either travelled or participated remotely (if available). The geographic gaps in </w:t>
                  </w:r>
                  <w:r w:rsidR="00BD2DE7">
                    <w:rPr>
                      <w:lang w:val="en-US"/>
                    </w:rPr>
                    <w:t>MBCPs</w:t>
                  </w:r>
                  <w:r w:rsidRPr="00BF5122">
                    <w:rPr>
                      <w:lang w:val="en-US"/>
                    </w:rPr>
                    <w:t xml:space="preserve"> are a known issue, data confirms that by 2023-24, some states/regions had multiple MBCP sites (e.g. NSW, Q</w:t>
                  </w:r>
                  <w:r w:rsidR="000F607F">
                    <w:rPr>
                      <w:lang w:val="en-US"/>
                    </w:rPr>
                    <w:t>ueensland</w:t>
                  </w:r>
                  <w:r w:rsidRPr="00BF5122">
                    <w:rPr>
                      <w:lang w:val="en-US"/>
                    </w:rPr>
                    <w:t>, SA each had at least one), but coverage was not universal.</w:t>
                  </w:r>
                </w:p>
                <w:p w14:paraId="71A6EE71" w14:textId="2D224240" w:rsidR="00184D9C" w:rsidRDefault="005733A5" w:rsidP="005733A5">
                  <w:pPr>
                    <w:pStyle w:val="Text"/>
                    <w:rPr>
                      <w:lang w:val="en-US"/>
                    </w:rPr>
                  </w:pPr>
                  <w:r w:rsidRPr="00BF5122">
                    <w:rPr>
                      <w:lang w:val="en-US"/>
                    </w:rPr>
                    <w:t xml:space="preserve">The </w:t>
                  </w:r>
                  <w:r w:rsidR="00715F9A">
                    <w:t xml:space="preserve">GPS – DEX </w:t>
                  </w:r>
                  <w:r w:rsidRPr="00BF5122">
                    <w:rPr>
                      <w:lang w:val="en-US"/>
                    </w:rPr>
                    <w:t>data extract suggest</w:t>
                  </w:r>
                  <w:r w:rsidR="00FC1296">
                    <w:rPr>
                      <w:lang w:val="en-US"/>
                    </w:rPr>
                    <w:t>s</w:t>
                  </w:r>
                  <w:r w:rsidRPr="00BF5122">
                    <w:rPr>
                      <w:lang w:val="en-US"/>
                    </w:rPr>
                    <w:t xml:space="preserve"> that the majority (56%) of MBCP participants are male. </w:t>
                  </w:r>
                  <w:r w:rsidR="00844310" w:rsidRPr="00BF5122">
                    <w:rPr>
                      <w:lang w:val="en-US"/>
                    </w:rPr>
                    <w:t>While</w:t>
                  </w:r>
                  <w:r w:rsidR="006A306A">
                    <w:rPr>
                      <w:lang w:val="en-US"/>
                    </w:rPr>
                    <w:t xml:space="preserve"> this appears low for a men’s program, it may reflect data recording practices where female participants, such as partners or support people rather than primary </w:t>
                  </w:r>
                  <w:r w:rsidR="0081535F">
                    <w:rPr>
                      <w:lang w:val="en-US"/>
                    </w:rPr>
                    <w:t>service users</w:t>
                  </w:r>
                  <w:r w:rsidR="006A306A">
                    <w:rPr>
                      <w:lang w:val="en-US"/>
                    </w:rPr>
                    <w:t>, are included in the dataset</w:t>
                  </w:r>
                  <w:r w:rsidRPr="00BF5122" w:rsidDel="005072EF">
                    <w:rPr>
                      <w:lang w:val="en-US"/>
                    </w:rPr>
                    <w:t>.</w:t>
                  </w:r>
                  <w:r w:rsidRPr="00BF5122">
                    <w:rPr>
                      <w:lang w:val="en-US"/>
                    </w:rPr>
                    <w:t xml:space="preserve"> A significant proportion of MBCP </w:t>
                  </w:r>
                  <w:r w:rsidR="005072EF">
                    <w:rPr>
                      <w:lang w:val="en-US"/>
                    </w:rPr>
                    <w:t xml:space="preserve">service users </w:t>
                  </w:r>
                  <w:r w:rsidRPr="00BF5122">
                    <w:rPr>
                      <w:lang w:val="en-US"/>
                    </w:rPr>
                    <w:t>come from diverse backgrounds</w:t>
                  </w:r>
                  <w:r w:rsidR="00676D96">
                    <w:rPr>
                      <w:lang w:val="en-US"/>
                    </w:rPr>
                    <w:t>.</w:t>
                  </w:r>
                  <w:r w:rsidRPr="00BF5122">
                    <w:rPr>
                      <w:lang w:val="en-US"/>
                    </w:rPr>
                    <w:t xml:space="preserve"> </w:t>
                  </w:r>
                  <w:r w:rsidR="00676D96">
                    <w:rPr>
                      <w:lang w:val="en-US"/>
                    </w:rPr>
                    <w:t>A</w:t>
                  </w:r>
                  <w:r w:rsidRPr="00BF5122">
                    <w:rPr>
                      <w:lang w:val="en-US"/>
                    </w:rPr>
                    <w:t xml:space="preserve">cross these programs, close to 16% reported a disability, 13% identified as </w:t>
                  </w:r>
                  <w:r w:rsidR="00184D9C">
                    <w:rPr>
                      <w:lang w:val="en-US"/>
                    </w:rPr>
                    <w:t>Aboriginal or Torres Strait Islander</w:t>
                  </w:r>
                  <w:r w:rsidRPr="00BF5122">
                    <w:rPr>
                      <w:lang w:val="en-US"/>
                    </w:rPr>
                    <w:t xml:space="preserve"> and 3.5% of </w:t>
                  </w:r>
                  <w:r w:rsidR="005072EF">
                    <w:rPr>
                      <w:lang w:val="en-US"/>
                    </w:rPr>
                    <w:t xml:space="preserve">service users </w:t>
                  </w:r>
                  <w:r w:rsidR="00F933EF">
                    <w:rPr>
                      <w:lang w:val="en-US"/>
                    </w:rPr>
                    <w:t>identified as</w:t>
                  </w:r>
                  <w:r w:rsidR="00F933EF" w:rsidRPr="00BF5122">
                    <w:rPr>
                      <w:lang w:val="en-US"/>
                    </w:rPr>
                    <w:t xml:space="preserve"> </w:t>
                  </w:r>
                  <w:r w:rsidRPr="00BF5122">
                    <w:rPr>
                      <w:lang w:val="en-US"/>
                    </w:rPr>
                    <w:t>CALD. The proportion</w:t>
                  </w:r>
                  <w:r w:rsidR="00184D9C">
                    <w:rPr>
                      <w:lang w:val="en-US"/>
                    </w:rPr>
                    <w:t xml:space="preserve"> of Aboriginal and Torres Strait Islander participants</w:t>
                  </w:r>
                  <w:r w:rsidRPr="00BF5122">
                    <w:rPr>
                      <w:lang w:val="en-US"/>
                    </w:rPr>
                    <w:t xml:space="preserve"> is noteworthy, as it indicates efforts to include Aboriginal</w:t>
                  </w:r>
                  <w:r w:rsidR="00184D9C">
                    <w:rPr>
                      <w:lang w:val="en-US"/>
                    </w:rPr>
                    <w:t xml:space="preserve"> and Torres Strait Islander</w:t>
                  </w:r>
                  <w:r w:rsidRPr="00BF5122">
                    <w:rPr>
                      <w:lang w:val="en-US"/>
                    </w:rPr>
                    <w:t xml:space="preserve"> men.</w:t>
                  </w:r>
                </w:p>
                <w:p w14:paraId="158D4E94" w14:textId="77777777" w:rsidR="005733A5" w:rsidRPr="00DF5D52" w:rsidRDefault="005733A5" w:rsidP="005733A5">
                  <w:pPr>
                    <w:pStyle w:val="Text-BodyHeading"/>
                    <w:rPr>
                      <w:b w:val="0"/>
                      <w:i/>
                    </w:rPr>
                  </w:pPr>
                  <w:r w:rsidRPr="00DF5D52">
                    <w:rPr>
                      <w:b w:val="0"/>
                      <w:i/>
                    </w:rPr>
                    <w:t>CSC</w:t>
                  </w:r>
                </w:p>
                <w:p w14:paraId="690C391D" w14:textId="4D2914F8" w:rsidR="005733A5" w:rsidRPr="00BF5122" w:rsidRDefault="005733A5" w:rsidP="005733A5">
                  <w:pPr>
                    <w:pStyle w:val="Text"/>
                    <w:rPr>
                      <w:lang w:val="en-US"/>
                    </w:rPr>
                  </w:pPr>
                  <w:r w:rsidRPr="00BF5122">
                    <w:rPr>
                      <w:lang w:val="en-US"/>
                    </w:rPr>
                    <w:t xml:space="preserve">The </w:t>
                  </w:r>
                  <w:r w:rsidR="00F30C0C">
                    <w:rPr>
                      <w:lang w:val="en-US"/>
                    </w:rPr>
                    <w:t>7</w:t>
                  </w:r>
                  <w:r w:rsidRPr="00BF5122">
                    <w:rPr>
                      <w:lang w:val="en-US"/>
                    </w:rPr>
                    <w:t xml:space="preserve"> CSC providers captured in the </w:t>
                  </w:r>
                  <w:r w:rsidR="00715F9A">
                    <w:t xml:space="preserve">GPS – DEX </w:t>
                  </w:r>
                  <w:r w:rsidRPr="00BF5122">
                    <w:rPr>
                      <w:lang w:val="en-US"/>
                    </w:rPr>
                    <w:t xml:space="preserve">extract operated through an average of 22 outlets over the three-year period. </w:t>
                  </w:r>
                  <w:r w:rsidR="008926DE">
                    <w:rPr>
                      <w:lang w:val="en-US"/>
                    </w:rPr>
                    <w:t>CSC is only provided through Relationships Australia.</w:t>
                  </w:r>
                  <w:r w:rsidRPr="00BF5122">
                    <w:rPr>
                      <w:lang w:val="en-US"/>
                    </w:rPr>
                    <w:t xml:space="preserve"> Some providers have up to 7 outlets where others </w:t>
                  </w:r>
                  <w:r w:rsidR="00B55676" w:rsidRPr="00BF5122">
                    <w:rPr>
                      <w:lang w:val="en-US"/>
                    </w:rPr>
                    <w:t>have</w:t>
                  </w:r>
                  <w:r w:rsidRPr="00BF5122">
                    <w:rPr>
                      <w:lang w:val="en-US"/>
                    </w:rPr>
                    <w:t xml:space="preserve"> only one. Generally, each </w:t>
                  </w:r>
                  <w:r w:rsidR="000D1552">
                    <w:rPr>
                      <w:lang w:val="en-US"/>
                    </w:rPr>
                    <w:t>provider</w:t>
                  </w:r>
                  <w:r w:rsidRPr="00BF5122">
                    <w:rPr>
                      <w:lang w:val="en-US"/>
                    </w:rPr>
                    <w:t xml:space="preserve"> operated in their jurisdiction, covering both metro</w:t>
                  </w:r>
                  <w:r w:rsidR="008926DE">
                    <w:rPr>
                      <w:lang w:val="en-US"/>
                    </w:rPr>
                    <w:t>politan</w:t>
                  </w:r>
                  <w:r w:rsidRPr="00BF5122">
                    <w:rPr>
                      <w:lang w:val="en-US"/>
                    </w:rPr>
                    <w:t xml:space="preserve"> and some regional areas. Regions without </w:t>
                  </w:r>
                  <w:r w:rsidR="008926DE">
                    <w:rPr>
                      <w:lang w:val="en-US"/>
                    </w:rPr>
                    <w:t>a Relationships Australia</w:t>
                  </w:r>
                  <w:r w:rsidRPr="00BF5122">
                    <w:rPr>
                      <w:lang w:val="en-US"/>
                    </w:rPr>
                    <w:t xml:space="preserve"> presence (or without this specific funding) might not have had equivalent services. Overall, the </w:t>
                  </w:r>
                  <w:r w:rsidR="008926DE">
                    <w:rPr>
                      <w:lang w:val="en-US"/>
                    </w:rPr>
                    <w:t xml:space="preserve">spread of </w:t>
                  </w:r>
                  <w:r w:rsidRPr="00BF5122">
                    <w:rPr>
                      <w:lang w:val="en-US"/>
                    </w:rPr>
                    <w:t xml:space="preserve">outlets </w:t>
                  </w:r>
                  <w:r w:rsidR="008926DE">
                    <w:rPr>
                      <w:lang w:val="en-US"/>
                    </w:rPr>
                    <w:t>indicated that</w:t>
                  </w:r>
                  <w:r w:rsidRPr="00BF5122">
                    <w:rPr>
                      <w:lang w:val="en-US"/>
                    </w:rPr>
                    <w:t xml:space="preserve"> most states had at least one funded child counselling hub.</w:t>
                  </w:r>
                </w:p>
                <w:p w14:paraId="472B55DF" w14:textId="2E65A35F" w:rsidR="00D45777" w:rsidRPr="00BF5122" w:rsidRDefault="005733A5" w:rsidP="005733A5">
                  <w:pPr>
                    <w:pStyle w:val="Text"/>
                    <w:rPr>
                      <w:lang w:val="en-US"/>
                    </w:rPr>
                  </w:pPr>
                  <w:r w:rsidRPr="00BF5122">
                    <w:rPr>
                      <w:lang w:val="en-US"/>
                    </w:rPr>
                    <w:lastRenderedPageBreak/>
                    <w:t xml:space="preserve">Although the </w:t>
                  </w:r>
                  <w:r w:rsidR="00715F9A">
                    <w:t xml:space="preserve">GPS – DEX </w:t>
                  </w:r>
                  <w:r w:rsidRPr="00BF5122">
                    <w:rPr>
                      <w:lang w:val="en-US"/>
                    </w:rPr>
                    <w:t xml:space="preserve">extract did not report age breakdowns, it is likely that </w:t>
                  </w:r>
                  <w:r w:rsidR="00D13B21">
                    <w:rPr>
                      <w:lang w:val="en-US"/>
                    </w:rPr>
                    <w:t xml:space="preserve">participating </w:t>
                  </w:r>
                  <w:r w:rsidRPr="00BF5122">
                    <w:rPr>
                      <w:lang w:val="en-US"/>
                    </w:rPr>
                    <w:t xml:space="preserve">children span a range of ages. Almost three-quarters (72%) of all </w:t>
                  </w:r>
                  <w:r w:rsidR="005072EF">
                    <w:rPr>
                      <w:lang w:val="en-US"/>
                    </w:rPr>
                    <w:t xml:space="preserve">service </w:t>
                  </w:r>
                  <w:r w:rsidR="002B6A51">
                    <w:rPr>
                      <w:lang w:val="en-US"/>
                    </w:rPr>
                    <w:t>users</w:t>
                  </w:r>
                  <w:r w:rsidRPr="00BF5122">
                    <w:rPr>
                      <w:lang w:val="en-US"/>
                    </w:rPr>
                    <w:t xml:space="preserve"> were female with a relatively small proportion from priority groups</w:t>
                  </w:r>
                  <w:r w:rsidR="007A2867">
                    <w:rPr>
                      <w:lang w:val="en-US"/>
                    </w:rPr>
                    <w:t>;</w:t>
                  </w:r>
                  <w:r w:rsidRPr="00BF5122">
                    <w:rPr>
                      <w:lang w:val="en-US"/>
                    </w:rPr>
                    <w:t xml:space="preserve"> 10% reported a disability, 7.5% </w:t>
                  </w:r>
                  <w:r w:rsidR="006E2DB3">
                    <w:rPr>
                      <w:lang w:val="en-US"/>
                    </w:rPr>
                    <w:t>were Aboriginal or Torres Strait Islander</w:t>
                  </w:r>
                  <w:r w:rsidRPr="00BF5122">
                    <w:rPr>
                      <w:lang w:val="en-US"/>
                    </w:rPr>
                    <w:t xml:space="preserve"> and 3.3% of </w:t>
                  </w:r>
                  <w:r w:rsidR="005072EF">
                    <w:rPr>
                      <w:lang w:val="en-US"/>
                    </w:rPr>
                    <w:t>serv</w:t>
                  </w:r>
                  <w:r w:rsidR="006F3028">
                    <w:rPr>
                      <w:lang w:val="en-US"/>
                    </w:rPr>
                    <w:t>ice users</w:t>
                  </w:r>
                  <w:r w:rsidR="002B6A51">
                    <w:rPr>
                      <w:lang w:val="en-US"/>
                    </w:rPr>
                    <w:t xml:space="preserve"> w</w:t>
                  </w:r>
                  <w:r w:rsidRPr="00BF5122">
                    <w:rPr>
                      <w:lang w:val="en-US"/>
                    </w:rPr>
                    <w:t>e</w:t>
                  </w:r>
                  <w:r w:rsidR="006F3028">
                    <w:rPr>
                      <w:lang w:val="en-US"/>
                    </w:rPr>
                    <w:t>re</w:t>
                  </w:r>
                  <w:r w:rsidRPr="00BF5122">
                    <w:rPr>
                      <w:lang w:val="en-US"/>
                    </w:rPr>
                    <w:t xml:space="preserve"> CALD.</w:t>
                  </w:r>
                  <w:r w:rsidR="00E055C8">
                    <w:rPr>
                      <w:rFonts w:ascii="ZWAdobeF" w:hAnsi="ZWAdobeF" w:cs="ZWAdobeF"/>
                      <w:sz w:val="2"/>
                      <w:szCs w:val="2"/>
                      <w:lang w:val="en-US"/>
                    </w:rPr>
                    <w:t>17F</w:t>
                  </w:r>
                  <w:r w:rsidR="002571AC">
                    <w:rPr>
                      <w:rStyle w:val="FootnoteReference"/>
                      <w:lang w:val="en-US"/>
                    </w:rPr>
                    <w:footnoteReference w:id="19"/>
                  </w:r>
                  <w:r w:rsidRPr="00BF5122">
                    <w:rPr>
                      <w:lang w:val="en-US"/>
                    </w:rPr>
                    <w:t xml:space="preserve"> There is significant variation across service providers with some services seeing only </w:t>
                  </w:r>
                  <w:r w:rsidR="006E2DB3">
                    <w:rPr>
                      <w:lang w:val="en-US"/>
                    </w:rPr>
                    <w:t>Aboriginal or Torres Strait Islander</w:t>
                  </w:r>
                  <w:r w:rsidRPr="00BF5122">
                    <w:rPr>
                      <w:lang w:val="en-US"/>
                    </w:rPr>
                    <w:t xml:space="preserve"> </w:t>
                  </w:r>
                  <w:r w:rsidR="005072EF">
                    <w:rPr>
                      <w:lang w:val="en-US"/>
                    </w:rPr>
                    <w:t xml:space="preserve">service </w:t>
                  </w:r>
                  <w:r w:rsidR="002B6A51">
                    <w:rPr>
                      <w:lang w:val="en-US"/>
                    </w:rPr>
                    <w:t>users.</w:t>
                  </w:r>
                  <w:r w:rsidRPr="00BF5122">
                    <w:rPr>
                      <w:lang w:val="en-US"/>
                    </w:rPr>
                    <w:t xml:space="preserve"> </w:t>
                  </w:r>
                </w:p>
                <w:p w14:paraId="075709D3" w14:textId="77777777" w:rsidR="005733A5" w:rsidRPr="00DF5D52" w:rsidRDefault="005733A5" w:rsidP="005733A5">
                  <w:pPr>
                    <w:pStyle w:val="Text-BodyHeading"/>
                    <w:rPr>
                      <w:b w:val="0"/>
                      <w:i/>
                    </w:rPr>
                  </w:pPr>
                  <w:r w:rsidRPr="00DF5D52">
                    <w:rPr>
                      <w:b w:val="0"/>
                      <w:i/>
                    </w:rPr>
                    <w:t>MensLine</w:t>
                  </w:r>
                </w:p>
                <w:p w14:paraId="312094E2" w14:textId="3FCE8E9F" w:rsidR="005733A5" w:rsidRDefault="006E2DB3" w:rsidP="005733A5">
                  <w:pPr>
                    <w:pStyle w:val="Text"/>
                  </w:pPr>
                  <w:r>
                    <w:t xml:space="preserve">The </w:t>
                  </w:r>
                  <w:r w:rsidR="005733A5" w:rsidRPr="000B73FC">
                    <w:t xml:space="preserve">MensLine service continues to predominantly support male </w:t>
                  </w:r>
                  <w:r w:rsidR="005072EF">
                    <w:t xml:space="preserve">service </w:t>
                  </w:r>
                  <w:r w:rsidR="002B6A51">
                    <w:t>users</w:t>
                  </w:r>
                  <w:r w:rsidR="005733A5" w:rsidRPr="000B73FC">
                    <w:t xml:space="preserve">, reflecting its target demographic (men seeking help). In 2023-24, 95% of </w:t>
                  </w:r>
                  <w:r w:rsidR="005072EF">
                    <w:t xml:space="preserve">service </w:t>
                  </w:r>
                  <w:r w:rsidR="002B6A51">
                    <w:t>users</w:t>
                  </w:r>
                  <w:r w:rsidR="005733A5" w:rsidRPr="000B73FC">
                    <w:t xml:space="preserve"> identified as male, 4% as female and &lt;1% as another gender or not stated. In 2023-24, the largest age group of callers was 35-44 years (26%), followed by 25-34 years (23%) and 45–54 years (17%) and younger men 18-24 years (14%). A minority (4%) of MensLine </w:t>
                  </w:r>
                  <w:r w:rsidR="005072EF">
                    <w:t xml:space="preserve">service </w:t>
                  </w:r>
                  <w:r w:rsidR="002B6A51">
                    <w:t>users</w:t>
                  </w:r>
                  <w:r w:rsidR="005733A5" w:rsidRPr="000B73FC">
                    <w:t xml:space="preserve"> identify as Aboriginal and/or Torres Strait Islander. Many callers did not report a disability, or the information was not captured. In 2023-24, 51% of </w:t>
                  </w:r>
                  <w:r w:rsidR="005072EF">
                    <w:t xml:space="preserve">service </w:t>
                  </w:r>
                  <w:r w:rsidR="002B6A51">
                    <w:t>users’</w:t>
                  </w:r>
                  <w:r w:rsidR="005733A5" w:rsidRPr="000B73FC">
                    <w:t xml:space="preserve"> disability status was </w:t>
                  </w:r>
                  <w:r w:rsidR="00686D87">
                    <w:t>‘</w:t>
                  </w:r>
                  <w:r w:rsidR="005733A5" w:rsidRPr="000B73FC">
                    <w:t>unknown or not stated</w:t>
                  </w:r>
                  <w:r w:rsidR="00686D87">
                    <w:t>’</w:t>
                  </w:r>
                  <w:r w:rsidR="00686D87" w:rsidRPr="000B73FC">
                    <w:t xml:space="preserve">, </w:t>
                  </w:r>
                  <w:r w:rsidR="005733A5" w:rsidRPr="000B73FC">
                    <w:t>and 35% reported having no disability. Among those who did report a disability, the most common type was psychiatric disability (9%). There was no information reported regarding CALD status.</w:t>
                  </w:r>
                </w:p>
                <w:p w14:paraId="699E9C0F" w14:textId="412E2141" w:rsidR="00A12CA4" w:rsidRPr="000C09BF" w:rsidRDefault="00A12CA4" w:rsidP="00321BC5">
                  <w:pPr>
                    <w:pStyle w:val="Text"/>
                    <w:spacing w:before="360"/>
                  </w:pPr>
                  <w:r w:rsidRPr="00321BC5">
                    <w:rPr>
                      <w:b/>
                      <w:color w:val="36424A" w:themeColor="background2"/>
                    </w:rPr>
                    <w:t>Geographical and service gaps</w:t>
                  </w:r>
                </w:p>
                <w:p w14:paraId="38D8CB6A" w14:textId="14FED48A" w:rsidR="005733A5" w:rsidRPr="00B75B52" w:rsidRDefault="005733A5" w:rsidP="00321BC5">
                  <w:pPr>
                    <w:pStyle w:val="Text"/>
                    <w:spacing w:before="360"/>
                    <w:rPr>
                      <w:lang w:val="en-US"/>
                    </w:rPr>
                  </w:pPr>
                  <w:r w:rsidRPr="00321BC5">
                    <w:t>While the above programs (FaRS, SFVS, MBCP, CSC, MensLine) collectively</w:t>
                  </w:r>
                  <w:r w:rsidRPr="00BF5122">
                    <w:rPr>
                      <w:lang w:val="en-US"/>
                    </w:rPr>
                    <w:t xml:space="preserve"> cover a broad range of family services, the analysis highlights some geographical and service gaps. Certain remote and rural areas of Australia did not receive local services proportional to their population needs in this period. For example, very remote communities (in parts of NT, northern WA, western Q</w:t>
                  </w:r>
                  <w:r w:rsidR="000F607F">
                    <w:rPr>
                      <w:lang w:val="en-US"/>
                    </w:rPr>
                    <w:t>ueensland</w:t>
                  </w:r>
                  <w:r w:rsidRPr="00BF5122">
                    <w:rPr>
                      <w:lang w:val="en-US"/>
                    </w:rPr>
                    <w:t xml:space="preserve">) often had no onsite FaRS or SFVS services, </w:t>
                  </w:r>
                  <w:r w:rsidR="00E24F1F">
                    <w:rPr>
                      <w:lang w:val="en-US"/>
                    </w:rPr>
                    <w:t xml:space="preserve">and </w:t>
                  </w:r>
                  <w:r w:rsidRPr="00BF5122">
                    <w:rPr>
                      <w:lang w:val="en-US"/>
                    </w:rPr>
                    <w:t xml:space="preserve">families in those areas would need to access help in regional towns or via outreach. Similarly, </w:t>
                  </w:r>
                  <w:r w:rsidR="00BD2DE7">
                    <w:rPr>
                      <w:lang w:val="en-US"/>
                    </w:rPr>
                    <w:t>MBCPs</w:t>
                  </w:r>
                  <w:r w:rsidRPr="00BF5122">
                    <w:rPr>
                      <w:lang w:val="en-US"/>
                    </w:rPr>
                    <w:t xml:space="preserve"> were largely absent outside major centres, leaving a service gap for rural men. The data showed that funding was attributed to many SA2 regions, yet some areas, especially those sparsely populated, were covered by shared funding or not at all. Areas with high </w:t>
                  </w:r>
                  <w:r w:rsidR="00A12CA4">
                    <w:rPr>
                      <w:lang w:val="en-US"/>
                    </w:rPr>
                    <w:t>Aboriginal or Torres Strait Islander</w:t>
                  </w:r>
                  <w:r w:rsidRPr="00BF5122">
                    <w:rPr>
                      <w:lang w:val="en-US"/>
                    </w:rPr>
                    <w:t xml:space="preserve"> populations and socio-economic </w:t>
                  </w:r>
                  <w:r w:rsidR="00E0627B" w:rsidRPr="00BF5122">
                    <w:rPr>
                      <w:lang w:val="en-US"/>
                    </w:rPr>
                    <w:t>disadvantages</w:t>
                  </w:r>
                  <w:r w:rsidRPr="00BF5122">
                    <w:rPr>
                      <w:lang w:val="en-US"/>
                    </w:rPr>
                    <w:t xml:space="preserve"> sometimes lacked a proportional level of services, though </w:t>
                  </w:r>
                  <w:r w:rsidR="00E614D3">
                    <w:rPr>
                      <w:rFonts w:ascii="Arial" w:eastAsia="Arial" w:hAnsi="Arial" w:cs="Arial"/>
                      <w:szCs w:val="22"/>
                    </w:rPr>
                    <w:t>Aboriginal and Torres Strait Islander</w:t>
                  </w:r>
                  <w:r w:rsidRPr="00BF5122">
                    <w:rPr>
                      <w:lang w:val="en-US"/>
                    </w:rPr>
                    <w:t>-focused efforts were present in programs like CSC and some SFVS. In summary, by 2023-24 there was near-full coverage in metropolitan and large regional Australia, but remote and some outer-regional communities remained under-serviced relative to need. This will be further explored in the modelling phase of the broader evaluation.</w:t>
                  </w:r>
                </w:p>
                <w:p w14:paraId="62927316" w14:textId="58F1EFEF" w:rsidR="005674C7" w:rsidRPr="000C09BF" w:rsidRDefault="007D3381" w:rsidP="00321BC5">
                  <w:pPr>
                    <w:pStyle w:val="Text"/>
                    <w:spacing w:before="360"/>
                  </w:pPr>
                  <w:r w:rsidRPr="00321BC5">
                    <w:rPr>
                      <w:b/>
                      <w:color w:val="36424A" w:themeColor="background2"/>
                    </w:rPr>
                    <w:t>Service provider perspectives on need</w:t>
                  </w:r>
                </w:p>
                <w:p w14:paraId="0F69677A" w14:textId="77777777" w:rsidR="00B212F1" w:rsidRDefault="005674C7" w:rsidP="005674C7">
                  <w:pPr>
                    <w:pStyle w:val="Text"/>
                    <w:rPr>
                      <w:lang w:val="en-US"/>
                    </w:rPr>
                  </w:pPr>
                  <w:r>
                    <w:t xml:space="preserve">Most FaRS and SFVS service providers noted that the need for their services was growing in both </w:t>
                  </w:r>
                  <w:r w:rsidR="004B18B8">
                    <w:t>volume</w:t>
                  </w:r>
                  <w:r>
                    <w:t xml:space="preserve"> and complexity. There are more people seeking services and presentations are increasingly complex with </w:t>
                  </w:r>
                  <w:r w:rsidR="005D1272">
                    <w:t xml:space="preserve">need </w:t>
                  </w:r>
                  <w:r>
                    <w:t xml:space="preserve">for more ongoing, intensive, and tailored supports, including case management. </w:t>
                  </w:r>
                  <w:r w:rsidR="0053046D">
                    <w:rPr>
                      <w:lang w:val="en-US"/>
                    </w:rPr>
                    <w:t>FaRS and SFVS service providers</w:t>
                  </w:r>
                  <w:r w:rsidR="0053046D" w:rsidRPr="00C45868">
                    <w:rPr>
                      <w:lang w:val="en-US"/>
                    </w:rPr>
                    <w:t xml:space="preserve"> have reported high levels of demand, </w:t>
                  </w:r>
                  <w:r w:rsidR="0053046D">
                    <w:rPr>
                      <w:lang w:val="en-US"/>
                    </w:rPr>
                    <w:lastRenderedPageBreak/>
                    <w:t>reflecting previous research which found that</w:t>
                  </w:r>
                  <w:r w:rsidR="0053046D" w:rsidRPr="00C45868">
                    <w:rPr>
                      <w:lang w:val="en-US"/>
                    </w:rPr>
                    <w:t xml:space="preserve"> 50% of surveyed FaRS and SFVS practitioners were overwhelmed by their personal caseload at least some of the time, while 42% of </w:t>
                  </w:r>
                  <w:r w:rsidR="00EA13E8">
                    <w:rPr>
                      <w:lang w:val="en-US"/>
                    </w:rPr>
                    <w:t xml:space="preserve">surveyed </w:t>
                  </w:r>
                  <w:r w:rsidR="0053046D" w:rsidRPr="00C45868">
                    <w:rPr>
                      <w:lang w:val="en-US"/>
                    </w:rPr>
                    <w:t xml:space="preserve">FaRS and SFVS services </w:t>
                  </w:r>
                  <w:r w:rsidR="006B1A84">
                    <w:rPr>
                      <w:lang w:val="en-US"/>
                    </w:rPr>
                    <w:t>were</w:t>
                  </w:r>
                  <w:r w:rsidR="0053046D" w:rsidRPr="00C45868">
                    <w:rPr>
                      <w:lang w:val="en-US"/>
                    </w:rPr>
                    <w:t xml:space="preserve"> overwhelmed by demand at least some of the time </w:t>
                  </w:r>
                  <w:r w:rsidR="0053046D" w:rsidRPr="00C45868">
                    <w:rPr>
                      <w:lang w:val="en-US"/>
                    </w:rPr>
                    <w:fldChar w:fldCharType="begin"/>
                  </w:r>
                  <w:r w:rsidR="00E41D03">
                    <w:rPr>
                      <w:lang w:val="en-US"/>
                    </w:rPr>
                    <w:instrText xml:space="preserve"> ADDIN ZOTERO_ITEM CSL_CITATION {"citationID":"PISVtqGp","properties":{"formattedCitation":"(Australian Institute of Family Studies, 2018)","plainCitation":"(Australian Institute of Family Studies, 2018)","noteIndex":0},"citationItems":[{"id":4705,"uris":["http://zotero.org/groups/5691188/items/QNUCBUCC"],"itemData":{"id":4705,"type":"report","publisher":"Commonwealth of Australia","title":"National survey of FaRS-funded service providers","author":[{"family":"Australian Institute of Family Studies","given":""}],"issued":{"date-parts":[["2018"]]}}}],"schema":"https://github.com/citation-style-language/schema/raw/master/csl-citation.json"} </w:instrText>
                  </w:r>
                  <w:r w:rsidR="0053046D" w:rsidRPr="00C45868">
                    <w:rPr>
                      <w:lang w:val="en-US"/>
                    </w:rPr>
                    <w:fldChar w:fldCharType="separate"/>
                  </w:r>
                  <w:r w:rsidR="0053046D" w:rsidRPr="00C45868">
                    <w:rPr>
                      <w:lang w:val="en-US"/>
                    </w:rPr>
                    <w:t>(Australian Institute of Family Studies, 2018)</w:t>
                  </w:r>
                  <w:r w:rsidR="0053046D" w:rsidRPr="00C45868">
                    <w:rPr>
                      <w:lang w:val="en-US"/>
                    </w:rPr>
                    <w:fldChar w:fldCharType="end"/>
                  </w:r>
                  <w:r w:rsidR="0053046D" w:rsidRPr="00C45868">
                    <w:rPr>
                      <w:lang w:val="en-US"/>
                    </w:rPr>
                    <w:t>.</w:t>
                  </w:r>
                  <w:r w:rsidR="00080162">
                    <w:rPr>
                      <w:lang w:val="en-US"/>
                    </w:rPr>
                    <w:t xml:space="preserve"> </w:t>
                  </w:r>
                </w:p>
                <w:p w14:paraId="3ED9F678" w14:textId="6CB8FA5B" w:rsidR="00844310" w:rsidRPr="00D07F67" w:rsidRDefault="005674C7" w:rsidP="005674C7">
                  <w:pPr>
                    <w:pStyle w:val="Text"/>
                  </w:pPr>
                  <w:r>
                    <w:t xml:space="preserve">Several </w:t>
                  </w:r>
                  <w:r w:rsidRPr="004557B7">
                    <w:t xml:space="preserve">FaRS service providers described </w:t>
                  </w:r>
                  <w:r w:rsidR="005072EF">
                    <w:t xml:space="preserve">service </w:t>
                  </w:r>
                  <w:r w:rsidR="002B6A51">
                    <w:t>users</w:t>
                  </w:r>
                  <w:r w:rsidRPr="004557B7">
                    <w:t xml:space="preserve"> as presenting with increasingly complex and intersecting needs including mental health, </w:t>
                  </w:r>
                  <w:r>
                    <w:t>a</w:t>
                  </w:r>
                  <w:r w:rsidRPr="004557B7">
                    <w:t>lcohol and other drugs, housing precarity</w:t>
                  </w:r>
                  <w:r>
                    <w:t>,</w:t>
                  </w:r>
                  <w:r w:rsidRPr="004557B7">
                    <w:t xml:space="preserve"> financial insecurity and other financial crises, court referrals</w:t>
                  </w:r>
                  <w:r>
                    <w:t xml:space="preserve"> and legal support</w:t>
                  </w:r>
                  <w:r w:rsidRPr="004557B7">
                    <w:t xml:space="preserve">, and migration </w:t>
                  </w:r>
                  <w:r>
                    <w:t xml:space="preserve">and integration </w:t>
                  </w:r>
                  <w:r w:rsidRPr="004557B7">
                    <w:t xml:space="preserve">support. </w:t>
                  </w:r>
                  <w:r>
                    <w:t>In some cases</w:t>
                  </w:r>
                  <w:r w:rsidR="007D3381">
                    <w:t>,</w:t>
                  </w:r>
                  <w:r>
                    <w:t xml:space="preserve"> this has increased workload and </w:t>
                  </w:r>
                  <w:r w:rsidR="001D1403">
                    <w:t>service user</w:t>
                  </w:r>
                  <w:r>
                    <w:t xml:space="preserve"> service length with additional support required</w:t>
                  </w:r>
                  <w:r w:rsidRPr="004557B7">
                    <w:t xml:space="preserve"> to </w:t>
                  </w:r>
                  <w:r w:rsidR="00EA13E8">
                    <w:t>facilitate</w:t>
                  </w:r>
                  <w:r w:rsidRPr="004557B7">
                    <w:t xml:space="preserve"> access to and navigation of other services.</w:t>
                  </w:r>
                  <w:r>
                    <w:t xml:space="preserve"> This was further complicated in some rural and regional areas where the ability to refer to appropriate, specialist services, either during wait periods or following the conclusion of the funded support period, was limited due to there being minimal service options with long wait times for the few services that are available. </w:t>
                  </w:r>
                </w:p>
                <w:p w14:paraId="28C15E27" w14:textId="24B001C7" w:rsidR="005674C7" w:rsidRPr="00F70BA7" w:rsidRDefault="005674C7" w:rsidP="005674C7">
                  <w:pPr>
                    <w:pBdr>
                      <w:left w:val="single" w:sz="18" w:space="4" w:color="78B800" w:themeColor="accent1"/>
                    </w:pBdr>
                    <w:tabs>
                      <w:tab w:val="left" w:pos="8080"/>
                    </w:tabs>
                    <w:spacing w:after="0"/>
                    <w:ind w:left="851" w:right="949"/>
                    <w:rPr>
                      <w:b/>
                      <w:i/>
                    </w:rPr>
                  </w:pPr>
                  <w:r w:rsidRPr="002E7992">
                    <w:rPr>
                      <w:noProof/>
                    </w:rPr>
                    <w:drawing>
                      <wp:anchor distT="0" distB="0" distL="114300" distR="114300" simplePos="0" relativeHeight="251658411" behindDoc="0" locked="1" layoutInCell="1" allowOverlap="1" wp14:anchorId="4F900F30" wp14:editId="134F78FA">
                        <wp:simplePos x="0" y="0"/>
                        <wp:positionH relativeFrom="column">
                          <wp:posOffset>0</wp:posOffset>
                        </wp:positionH>
                        <wp:positionV relativeFrom="paragraph">
                          <wp:posOffset>0</wp:posOffset>
                        </wp:positionV>
                        <wp:extent cx="384810" cy="320040"/>
                        <wp:effectExtent l="0" t="0" r="0" b="3810"/>
                        <wp:wrapNone/>
                        <wp:docPr id="728820709" name="Graphic 728820709" descr="P4309#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820709" name="Graphic 728820709" descr="P4309#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54B1D">
                    <w:rPr>
                      <w:i/>
                      <w:iCs/>
                    </w:rPr>
                    <w:t>[…] for every client […] if you were to spend an hour […] you would probably need […] another hour for case management, and that doesn’t include the extensive case notes and assessments that [counsellors] hav</w:t>
                  </w:r>
                  <w:r>
                    <w:rPr>
                      <w:i/>
                      <w:iCs/>
                    </w:rPr>
                    <w:t>e</w:t>
                  </w:r>
                  <w:r w:rsidRPr="00554B1D">
                    <w:rPr>
                      <w:i/>
                      <w:iCs/>
                    </w:rPr>
                    <w:t xml:space="preserve"> to do. When’s there’s a complex client and a complex presentation there’s a lot more documents that need to be completed […] The other thing is all the referrals out then </w:t>
                  </w:r>
                  <w:r w:rsidR="004B18B8">
                    <w:rPr>
                      <w:i/>
                      <w:iCs/>
                    </w:rPr>
                    <w:t>[required]</w:t>
                  </w:r>
                  <w:r w:rsidRPr="00554B1D">
                    <w:rPr>
                      <w:i/>
                      <w:iCs/>
                    </w:rPr>
                    <w:t xml:space="preserve"> follow-up, making sure they’re safe</w:t>
                  </w:r>
                  <w:r>
                    <w:rPr>
                      <w:i/>
                      <w:iCs/>
                    </w:rPr>
                    <w:t xml:space="preserve"> </w:t>
                  </w:r>
                  <w:r w:rsidRPr="002E7992">
                    <w:rPr>
                      <w:b/>
                      <w:bCs/>
                      <w:i/>
                      <w:iCs/>
                    </w:rPr>
                    <w:t>–</w:t>
                  </w:r>
                  <w:r>
                    <w:rPr>
                      <w:b/>
                      <w:bCs/>
                      <w:i/>
                      <w:iCs/>
                    </w:rPr>
                    <w:t xml:space="preserve"> </w:t>
                  </w:r>
                  <w:r w:rsidR="00A67073">
                    <w:rPr>
                      <w:b/>
                      <w:bCs/>
                      <w:i/>
                      <w:iCs/>
                    </w:rPr>
                    <w:t xml:space="preserve">Dual </w:t>
                  </w:r>
                  <w:r>
                    <w:rPr>
                      <w:b/>
                      <w:bCs/>
                      <w:i/>
                      <w:iCs/>
                    </w:rPr>
                    <w:t>FaRS SFVS s</w:t>
                  </w:r>
                  <w:r w:rsidRPr="002E7992">
                    <w:rPr>
                      <w:b/>
                      <w:bCs/>
                      <w:i/>
                      <w:iCs/>
                    </w:rPr>
                    <w:t>ervice provider</w:t>
                  </w:r>
                </w:p>
                <w:p w14:paraId="1D45CA5F" w14:textId="77777777" w:rsidR="005674C7" w:rsidRDefault="005674C7" w:rsidP="005674C7">
                  <w:pPr>
                    <w:pStyle w:val="Text"/>
                  </w:pPr>
                </w:p>
                <w:p w14:paraId="19716DF0" w14:textId="0C39450A" w:rsidR="005674C7" w:rsidRDefault="005674C7" w:rsidP="005674C7">
                  <w:pPr>
                    <w:pStyle w:val="Text"/>
                  </w:pPr>
                  <w:r>
                    <w:t xml:space="preserve">Several FaRS and SFVS service providers reported a lack of funding or staff capacity and skills to deal with this increased complexity, meaning they either refer </w:t>
                  </w:r>
                  <w:r w:rsidR="005072EF">
                    <w:t xml:space="preserve">service </w:t>
                  </w:r>
                  <w:r w:rsidR="002B6A51">
                    <w:t>users</w:t>
                  </w:r>
                  <w:r>
                    <w:t xml:space="preserve"> to other services or draw on other federal or state funding to supplement funding gaps. For some service providers this need to provide more intensive support sits in tension with the need to ensure people do not become reliant on services, that those on waitlists also get help, and that target numbers are met under AWPs. </w:t>
                  </w:r>
                  <w:r w:rsidR="00B212F1" w:rsidRPr="00D63E8D">
                    <w:t>Severa</w:t>
                  </w:r>
                  <w:r w:rsidR="00431003" w:rsidRPr="00D63E8D">
                    <w:t xml:space="preserve">l service providers described engaging increasingly in case management and other forms of more intensive support which were not able to be recorded in DEX </w:t>
                  </w:r>
                  <w:r w:rsidR="00ED12A5" w:rsidRPr="00D63E8D">
                    <w:t>reporting</w:t>
                  </w:r>
                  <w:r w:rsidR="00431003" w:rsidRPr="00D63E8D">
                    <w:t xml:space="preserve">, meaning this </w:t>
                  </w:r>
                  <w:r w:rsidR="00ED12A5" w:rsidRPr="00D63E8D">
                    <w:t>additional work is not formally recognise by the Department</w:t>
                  </w:r>
                  <w:r w:rsidR="00431003" w:rsidRPr="00D63E8D">
                    <w:t>.</w:t>
                  </w:r>
                  <w:r w:rsidR="00E055C8">
                    <w:rPr>
                      <w:rFonts w:ascii="ZWAdobeF" w:hAnsi="ZWAdobeF" w:cs="ZWAdobeF"/>
                      <w:sz w:val="2"/>
                      <w:szCs w:val="2"/>
                    </w:rPr>
                    <w:t>18F</w:t>
                  </w:r>
                  <w:r w:rsidR="00A56797" w:rsidRPr="00D63E8D">
                    <w:rPr>
                      <w:rStyle w:val="FootnoteReference"/>
                    </w:rPr>
                    <w:footnoteReference w:id="20"/>
                  </w:r>
                  <w:r w:rsidR="00431003">
                    <w:t xml:space="preserve"> </w:t>
                  </w:r>
                </w:p>
                <w:p w14:paraId="1B29592D" w14:textId="2F575247" w:rsidR="005674C7" w:rsidRDefault="005674C7" w:rsidP="005674C7">
                  <w:pPr>
                    <w:pStyle w:val="Text"/>
                  </w:pPr>
                  <w:r>
                    <w:t xml:space="preserve">Service providers gave mixed feedback about their capacity to meet demand. </w:t>
                  </w:r>
                  <w:r w:rsidR="00CA586F">
                    <w:t>While</w:t>
                  </w:r>
                  <w:r w:rsidRPr="00D7313E">
                    <w:t xml:space="preserve"> some said they were able</w:t>
                  </w:r>
                  <w:r w:rsidR="00BA4637">
                    <w:t xml:space="preserve"> to meet demand</w:t>
                  </w:r>
                  <w:r w:rsidRPr="00D7313E">
                    <w:t xml:space="preserve">, most </w:t>
                  </w:r>
                  <w:r w:rsidR="00FB2570">
                    <w:t>indicated</w:t>
                  </w:r>
                  <w:r w:rsidRPr="00D7313E">
                    <w:t xml:space="preserve"> that they </w:t>
                  </w:r>
                  <w:r w:rsidR="00FB2570">
                    <w:t>were unable</w:t>
                  </w:r>
                  <w:r w:rsidRPr="00D7313E">
                    <w:t xml:space="preserve"> to </w:t>
                  </w:r>
                  <w:r w:rsidR="00CA3825">
                    <w:t>do so</w:t>
                  </w:r>
                  <w:r w:rsidRPr="00D7313E">
                    <w:t xml:space="preserve"> in a timely manner.</w:t>
                  </w:r>
                  <w:r>
                    <w:t xml:space="preserve"> Larger organisations who received FaRS and SFVS funding tended to report having greater flexibility and capacity to meet complex needs due to internal service offerings (including through co-located models of delivery, and a greater capacity to make referrals and form relationships with external services). Smaller services, who received FaRS funding only and those with regional and rural footprints were more likely to report difficulty. </w:t>
                  </w:r>
                </w:p>
                <w:p w14:paraId="0717AE36" w14:textId="77777777" w:rsidR="00A96868" w:rsidRDefault="00A96868">
                  <w:pPr>
                    <w:rPr>
                      <w:i/>
                      <w:iCs/>
                    </w:rPr>
                  </w:pPr>
                  <w:r>
                    <w:rPr>
                      <w:i/>
                      <w:iCs/>
                    </w:rPr>
                    <w:br w:type="page"/>
                  </w:r>
                </w:p>
                <w:p w14:paraId="1C4ED5E3" w14:textId="43FC2A43" w:rsidR="005674C7" w:rsidRPr="003319BC" w:rsidRDefault="005674C7" w:rsidP="005674C7">
                  <w:pPr>
                    <w:pBdr>
                      <w:left w:val="single" w:sz="18" w:space="4" w:color="78B800" w:themeColor="accent1"/>
                    </w:pBdr>
                    <w:tabs>
                      <w:tab w:val="left" w:pos="8080"/>
                    </w:tabs>
                    <w:spacing w:after="0"/>
                    <w:ind w:left="851" w:right="949"/>
                    <w:rPr>
                      <w:b/>
                      <w:i/>
                    </w:rPr>
                  </w:pPr>
                  <w:r w:rsidRPr="002E7992">
                    <w:rPr>
                      <w:noProof/>
                    </w:rPr>
                    <w:lastRenderedPageBreak/>
                    <w:drawing>
                      <wp:anchor distT="0" distB="0" distL="114300" distR="114300" simplePos="0" relativeHeight="251658412" behindDoc="0" locked="1" layoutInCell="1" allowOverlap="1" wp14:anchorId="7839029E" wp14:editId="4A7F5B4F">
                        <wp:simplePos x="0" y="0"/>
                        <wp:positionH relativeFrom="column">
                          <wp:posOffset>0</wp:posOffset>
                        </wp:positionH>
                        <wp:positionV relativeFrom="paragraph">
                          <wp:posOffset>0</wp:posOffset>
                        </wp:positionV>
                        <wp:extent cx="384810" cy="320040"/>
                        <wp:effectExtent l="0" t="0" r="0" b="3810"/>
                        <wp:wrapNone/>
                        <wp:docPr id="388910497" name="Graphic 388910497" descr="P4314#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910497" name="Graphic 388910497" descr="P4314#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i/>
                      <w:iCs/>
                    </w:rPr>
                    <w:t>Yes</w:t>
                  </w:r>
                  <w:r w:rsidRPr="00D8221C">
                    <w:rPr>
                      <w:i/>
                      <w:iCs/>
                    </w:rPr>
                    <w:t xml:space="preserve">, we're able to meet the need but the demand is high and </w:t>
                  </w:r>
                  <w:r>
                    <w:rPr>
                      <w:i/>
                      <w:iCs/>
                    </w:rPr>
                    <w:t>[</w:t>
                  </w:r>
                  <w:r w:rsidRPr="00D8221C">
                    <w:rPr>
                      <w:i/>
                      <w:iCs/>
                    </w:rPr>
                    <w:t>…</w:t>
                  </w:r>
                  <w:r>
                    <w:rPr>
                      <w:i/>
                      <w:iCs/>
                    </w:rPr>
                    <w:t>]</w:t>
                  </w:r>
                  <w:r w:rsidRPr="00D8221C">
                    <w:rPr>
                      <w:i/>
                      <w:iCs/>
                    </w:rPr>
                    <w:t xml:space="preserve"> we had </w:t>
                  </w:r>
                  <w:r>
                    <w:rPr>
                      <w:i/>
                      <w:iCs/>
                    </w:rPr>
                    <w:t>[</w:t>
                  </w:r>
                  <w:r w:rsidRPr="00D8221C">
                    <w:rPr>
                      <w:i/>
                      <w:iCs/>
                    </w:rPr>
                    <w:t>…</w:t>
                  </w:r>
                  <w:r>
                    <w:rPr>
                      <w:i/>
                      <w:iCs/>
                    </w:rPr>
                    <w:t>]</w:t>
                  </w:r>
                  <w:r w:rsidRPr="00D8221C">
                    <w:rPr>
                      <w:i/>
                      <w:iCs/>
                    </w:rPr>
                    <w:t xml:space="preserve"> a period of time</w:t>
                  </w:r>
                  <w:r>
                    <w:rPr>
                      <w:i/>
                      <w:iCs/>
                    </w:rPr>
                    <w:t xml:space="preserve"> [</w:t>
                  </w:r>
                  <w:r w:rsidRPr="00D8221C">
                    <w:rPr>
                      <w:i/>
                      <w:iCs/>
                    </w:rPr>
                    <w:t>…</w:t>
                  </w:r>
                  <w:r>
                    <w:rPr>
                      <w:i/>
                      <w:iCs/>
                    </w:rPr>
                    <w:t>]</w:t>
                  </w:r>
                  <w:r w:rsidRPr="00D8221C">
                    <w:rPr>
                      <w:i/>
                      <w:iCs/>
                    </w:rPr>
                    <w:t xml:space="preserve"> [where] we </w:t>
                  </w:r>
                  <w:r w:rsidR="00FB2570">
                    <w:rPr>
                      <w:i/>
                      <w:iCs/>
                    </w:rPr>
                    <w:t>[couldn’t]</w:t>
                  </w:r>
                  <w:r w:rsidRPr="00D8221C">
                    <w:rPr>
                      <w:i/>
                      <w:iCs/>
                    </w:rPr>
                    <w:t xml:space="preserve"> take any anyone because our wait list is already too far</w:t>
                  </w:r>
                  <w:r>
                    <w:rPr>
                      <w:i/>
                      <w:iCs/>
                    </w:rPr>
                    <w:t xml:space="preserve"> [</w:t>
                  </w:r>
                  <w:r w:rsidRPr="00D8221C">
                    <w:rPr>
                      <w:i/>
                      <w:iCs/>
                    </w:rPr>
                    <w:t>…</w:t>
                  </w:r>
                  <w:r>
                    <w:rPr>
                      <w:i/>
                      <w:iCs/>
                    </w:rPr>
                    <w:t>]</w:t>
                  </w:r>
                  <w:r w:rsidRPr="00D8221C">
                    <w:rPr>
                      <w:i/>
                      <w:iCs/>
                    </w:rPr>
                    <w:t xml:space="preserve"> Like I said, we don't advertise and every time we've gone ‘look, we've had a gap, maybe we should mention it’, you know, suddenly we'll get an influx of like 20-30 referrals and it's like OK, it's closed again</w:t>
                  </w:r>
                  <w:r>
                    <w:rPr>
                      <w:i/>
                      <w:iCs/>
                    </w:rPr>
                    <w:t xml:space="preserve"> </w:t>
                  </w:r>
                  <w:r w:rsidRPr="002E7992">
                    <w:rPr>
                      <w:b/>
                      <w:bCs/>
                      <w:i/>
                      <w:iCs/>
                    </w:rPr>
                    <w:t>–</w:t>
                  </w:r>
                  <w:r>
                    <w:rPr>
                      <w:b/>
                      <w:bCs/>
                      <w:i/>
                      <w:iCs/>
                    </w:rPr>
                    <w:t xml:space="preserve"> FaRS s</w:t>
                  </w:r>
                  <w:r w:rsidRPr="002E7992">
                    <w:rPr>
                      <w:b/>
                      <w:bCs/>
                      <w:i/>
                      <w:iCs/>
                    </w:rPr>
                    <w:t>ervice provider</w:t>
                  </w:r>
                </w:p>
                <w:p w14:paraId="17702455" w14:textId="77777777" w:rsidR="005674C7" w:rsidRDefault="005674C7" w:rsidP="005674C7">
                  <w:pPr>
                    <w:pStyle w:val="Text"/>
                  </w:pPr>
                </w:p>
                <w:p w14:paraId="442E9391" w14:textId="5126E571" w:rsidR="005674C7" w:rsidRDefault="005674C7" w:rsidP="005674C7">
                  <w:pPr>
                    <w:pStyle w:val="Text"/>
                  </w:pPr>
                  <w:r>
                    <w:t xml:space="preserve">Most FaRS </w:t>
                  </w:r>
                  <w:r w:rsidR="007576AF">
                    <w:t xml:space="preserve">and </w:t>
                  </w:r>
                  <w:r>
                    <w:t xml:space="preserve">SFVS service providers reported that they had seen an increase in victim survivor presentations. This growth in demand for </w:t>
                  </w:r>
                  <w:r w:rsidR="00FB2570">
                    <w:t xml:space="preserve">family violence </w:t>
                  </w:r>
                  <w:r>
                    <w:t>service</w:t>
                  </w:r>
                  <w:r w:rsidR="00FB2570">
                    <w:t>s</w:t>
                  </w:r>
                  <w:r>
                    <w:t xml:space="preserve"> was attributed, in part, to greater awareness in the community about what family violence is and how to seek support accordingly. </w:t>
                  </w:r>
                </w:p>
                <w:p w14:paraId="49DFEE7A" w14:textId="6F8AD74F" w:rsidR="005674C7" w:rsidRPr="003319BC" w:rsidRDefault="005674C7" w:rsidP="005674C7">
                  <w:pPr>
                    <w:pBdr>
                      <w:left w:val="single" w:sz="18" w:space="4" w:color="78B800" w:themeColor="accent1"/>
                    </w:pBdr>
                    <w:tabs>
                      <w:tab w:val="left" w:pos="8080"/>
                    </w:tabs>
                    <w:spacing w:after="0"/>
                    <w:ind w:left="851" w:right="949"/>
                    <w:rPr>
                      <w:b/>
                      <w:i/>
                    </w:rPr>
                  </w:pPr>
                  <w:r w:rsidRPr="002E7992">
                    <w:rPr>
                      <w:noProof/>
                    </w:rPr>
                    <w:drawing>
                      <wp:anchor distT="0" distB="0" distL="114300" distR="114300" simplePos="0" relativeHeight="251658413" behindDoc="0" locked="1" layoutInCell="1" allowOverlap="1" wp14:anchorId="60700724" wp14:editId="064A241A">
                        <wp:simplePos x="0" y="0"/>
                        <wp:positionH relativeFrom="column">
                          <wp:posOffset>0</wp:posOffset>
                        </wp:positionH>
                        <wp:positionV relativeFrom="paragraph">
                          <wp:posOffset>0</wp:posOffset>
                        </wp:positionV>
                        <wp:extent cx="384810" cy="320040"/>
                        <wp:effectExtent l="0" t="0" r="0" b="3810"/>
                        <wp:wrapNone/>
                        <wp:docPr id="2041981528" name="Graphic 2041981528" descr="P4317#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981528" name="Graphic 2041981528" descr="P4317#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54EFD">
                    <w:rPr>
                      <w:i/>
                      <w:iCs/>
                    </w:rPr>
                    <w:t xml:space="preserve">I can definitely see an increase in demand in the community for family violence support over the last few years. I don't know if that's because of increased awareness. You know, people are getting more education about what family violence is, and then we're seeing that reflected in our services. </w:t>
                  </w:r>
                  <w:r w:rsidRPr="002E7992">
                    <w:rPr>
                      <w:b/>
                      <w:bCs/>
                      <w:i/>
                      <w:iCs/>
                    </w:rPr>
                    <w:t>–</w:t>
                  </w:r>
                  <w:r>
                    <w:rPr>
                      <w:b/>
                      <w:bCs/>
                      <w:i/>
                      <w:iCs/>
                    </w:rPr>
                    <w:t xml:space="preserve"> SFVS s</w:t>
                  </w:r>
                  <w:r w:rsidRPr="002E7992">
                    <w:rPr>
                      <w:b/>
                      <w:bCs/>
                      <w:i/>
                      <w:iCs/>
                    </w:rPr>
                    <w:t>ervice provider</w:t>
                  </w:r>
                </w:p>
                <w:p w14:paraId="2ECC9F21" w14:textId="77777777" w:rsidR="005674C7" w:rsidRDefault="005674C7" w:rsidP="005674C7">
                  <w:pPr>
                    <w:pStyle w:val="Text"/>
                  </w:pPr>
                </w:p>
                <w:p w14:paraId="03F9C1E7" w14:textId="56FB3D28" w:rsidR="005674C7" w:rsidRDefault="005674C7" w:rsidP="005674C7">
                  <w:pPr>
                    <w:pStyle w:val="Text"/>
                  </w:pPr>
                  <w:r>
                    <w:t>W</w:t>
                  </w:r>
                  <w:r w:rsidRPr="00D7313E">
                    <w:t>aitlists</w:t>
                  </w:r>
                  <w:r>
                    <w:t>, reported anecdotally during focus groups and interviews,</w:t>
                  </w:r>
                  <w:r w:rsidRPr="00D7313E">
                    <w:t xml:space="preserve"> varied, ranging from </w:t>
                  </w:r>
                  <w:r w:rsidR="00B756C9">
                    <w:t>2</w:t>
                  </w:r>
                  <w:r w:rsidRPr="00D7313E">
                    <w:t xml:space="preserve"> weeks to </w:t>
                  </w:r>
                  <w:r w:rsidR="00B756C9">
                    <w:t>12</w:t>
                  </w:r>
                  <w:r w:rsidRPr="00D7313E">
                    <w:t xml:space="preserve"> months</w:t>
                  </w:r>
                  <w:r>
                    <w:t xml:space="preserve"> in the case of one MBCP service provider. S</w:t>
                  </w:r>
                  <w:r w:rsidRPr="00D7313E">
                    <w:t>ome SFVS services reported having to close waitlists due to the extent of demand</w:t>
                  </w:r>
                  <w:r>
                    <w:t xml:space="preserve">. Similar to adaptions made by Relationships Australia </w:t>
                  </w:r>
                  <w:r>
                    <w:fldChar w:fldCharType="begin"/>
                  </w:r>
                  <w:r w:rsidR="00E41D03">
                    <w:instrText xml:space="preserve"> ADDIN ZOTERO_ITEM CSL_CITATION {"citationID":"ez1tVcmy","properties":{"formattedCitation":"(2023b)","plainCitation":"(2023b)","noteIndex":0},"citationItems":[{"id":4709,"uris":["http://zotero.org/groups/5691188/items/DNVVSPH8"],"itemData":{"id":4709,"type":"webpage","container-title":"Relationships Australia","title":"What is the most common relationship problem? Pressures affecting relationships today","URL":"https://www.relationships.org.au/document/what-is-the-most-common-relationship-problem/","author":[{"family":"Relationships Australia","given":""}],"accessed":{"date-parts":[["2024",11,8]]},"issued":{"date-parts":[["2023"]]}},"suppress-author":true}],"schema":"https://github.com/citation-style-language/schema/raw/master/csl-citation.json"} </w:instrText>
                  </w:r>
                  <w:r>
                    <w:fldChar w:fldCharType="separate"/>
                  </w:r>
                  <w:r w:rsidRPr="00A34A73">
                    <w:rPr>
                      <w:rFonts w:ascii="Arial" w:hAnsi="Arial" w:cs="Arial"/>
                    </w:rPr>
                    <w:t>(2023b)</w:t>
                  </w:r>
                  <w:r>
                    <w:fldChar w:fldCharType="end"/>
                  </w:r>
                  <w:r>
                    <w:t xml:space="preserve">, one MBCP service provider reported moving from a closed to rolling intake for group sessions to alleviate wait times. </w:t>
                  </w:r>
                </w:p>
                <w:p w14:paraId="1F905F69" w14:textId="77777777" w:rsidR="005674C7" w:rsidRDefault="005674C7" w:rsidP="005674C7">
                  <w:pPr>
                    <w:pStyle w:val="Text"/>
                  </w:pPr>
                  <w:r>
                    <w:t>SFVS service providers, including those who supplied MBCPs and CSC, emphasised the difficulty they experienced meeting demand for specialised services</w:t>
                  </w:r>
                  <w:r w:rsidRPr="00D7313E">
                    <w:t xml:space="preserve">. </w:t>
                  </w:r>
                  <w:r>
                    <w:t xml:space="preserve">This was attributed to a range of factors including current SFVS funding not matching the extent of demand and difficulties experienced hiring diverse and qualified specialist workers to deliver these programs, particularly in rural, regional, and remote areas. </w:t>
                  </w:r>
                </w:p>
                <w:p w14:paraId="00A9043C" w14:textId="625603B3" w:rsidR="005674C7" w:rsidRDefault="005674C7" w:rsidP="005674C7">
                  <w:pPr>
                    <w:pStyle w:val="Text"/>
                  </w:pPr>
                  <w:r>
                    <w:t xml:space="preserve">CSC service providers noted increased complexity of case work as well, </w:t>
                  </w:r>
                  <w:r w:rsidR="001B2F55">
                    <w:t>including</w:t>
                  </w:r>
                  <w:r>
                    <w:t xml:space="preserve"> intensive compliance, </w:t>
                  </w:r>
                  <w:r w:rsidR="001D1403">
                    <w:t>service user</w:t>
                  </w:r>
                  <w:r>
                    <w:t xml:space="preserve"> satisfaction, risk management requirements</w:t>
                  </w:r>
                  <w:r w:rsidR="001B2F55">
                    <w:t xml:space="preserve"> (including mandatory reporting processes)</w:t>
                  </w:r>
                  <w:r>
                    <w:t xml:space="preserve">, </w:t>
                  </w:r>
                  <w:r w:rsidR="00DF70E5">
                    <w:t xml:space="preserve">and </w:t>
                  </w:r>
                  <w:r>
                    <w:t>reporting and data entry requirements</w:t>
                  </w:r>
                  <w:r w:rsidR="00E0627B">
                    <w:t>.</w:t>
                  </w:r>
                  <w:r>
                    <w:t xml:space="preserve"> This was </w:t>
                  </w:r>
                  <w:r w:rsidR="00DF70E5">
                    <w:t>said</w:t>
                  </w:r>
                  <w:r>
                    <w:t xml:space="preserve"> to be complicated further by some staff lacking training in systems and tools required for these processes and the need for increased managerial supervision and training of staff as a result. </w:t>
                  </w:r>
                  <w:r w:rsidR="00082F3C">
                    <w:t>Providing</w:t>
                  </w:r>
                  <w:r w:rsidR="00000540">
                    <w:t xml:space="preserve"> wraparound, whole</w:t>
                  </w:r>
                  <w:r w:rsidR="004F2B3B">
                    <w:t>-</w:t>
                  </w:r>
                  <w:r w:rsidR="00000540">
                    <w:t>of</w:t>
                  </w:r>
                  <w:r w:rsidR="004F2B3B">
                    <w:t>-</w:t>
                  </w:r>
                  <w:r w:rsidR="00000540">
                    <w:t>family</w:t>
                  </w:r>
                  <w:r w:rsidR="00082F3C">
                    <w:t xml:space="preserve"> support</w:t>
                  </w:r>
                  <w:r>
                    <w:t xml:space="preserve"> to children and their families was said to often </w:t>
                  </w:r>
                  <w:r w:rsidR="00213918">
                    <w:t xml:space="preserve">involve </w:t>
                  </w:r>
                  <w:r>
                    <w:t>increas</w:t>
                  </w:r>
                  <w:r w:rsidR="0007402D">
                    <w:t>ingly</w:t>
                  </w:r>
                  <w:r>
                    <w:t xml:space="preserve"> complex</w:t>
                  </w:r>
                  <w:r w:rsidR="0007402D">
                    <w:t xml:space="preserve"> issues</w:t>
                  </w:r>
                  <w:r>
                    <w:t>, necessitating further internal and external referrals. Two CSC service providers noted the need for compl</w:t>
                  </w:r>
                  <w:r w:rsidR="001B2F55">
                    <w:t>e</w:t>
                  </w:r>
                  <w:r>
                    <w:t>mentary MBCP-CSC service delivery to support whole</w:t>
                  </w:r>
                  <w:r w:rsidR="004F2B3B">
                    <w:t>-</w:t>
                  </w:r>
                  <w:r>
                    <w:t>of</w:t>
                  </w:r>
                  <w:r w:rsidR="004F2B3B">
                    <w:t>-</w:t>
                  </w:r>
                  <w:r>
                    <w:t xml:space="preserve">family approaches to meet demand across both areas effectively. </w:t>
                  </w:r>
                </w:p>
                <w:p w14:paraId="6F14110A" w14:textId="0EE4087C" w:rsidR="005674C7" w:rsidRPr="00D27B08" w:rsidRDefault="005674C7" w:rsidP="005674C7">
                  <w:pPr>
                    <w:pBdr>
                      <w:left w:val="single" w:sz="18" w:space="4" w:color="78B800" w:themeColor="accent1"/>
                    </w:pBdr>
                    <w:tabs>
                      <w:tab w:val="left" w:pos="8080"/>
                    </w:tabs>
                    <w:spacing w:after="0"/>
                    <w:ind w:left="851" w:right="949"/>
                    <w:rPr>
                      <w:i/>
                      <w:iCs/>
                    </w:rPr>
                  </w:pPr>
                  <w:r w:rsidRPr="002E7992">
                    <w:rPr>
                      <w:noProof/>
                    </w:rPr>
                    <w:drawing>
                      <wp:anchor distT="0" distB="0" distL="114300" distR="114300" simplePos="0" relativeHeight="251658414" behindDoc="0" locked="1" layoutInCell="1" allowOverlap="1" wp14:anchorId="4BC6324F" wp14:editId="6FEDA744">
                        <wp:simplePos x="0" y="0"/>
                        <wp:positionH relativeFrom="column">
                          <wp:posOffset>0</wp:posOffset>
                        </wp:positionH>
                        <wp:positionV relativeFrom="paragraph">
                          <wp:posOffset>0</wp:posOffset>
                        </wp:positionV>
                        <wp:extent cx="384810" cy="320040"/>
                        <wp:effectExtent l="0" t="0" r="0" b="3810"/>
                        <wp:wrapNone/>
                        <wp:docPr id="1518047642" name="Graphic 1518047642" descr="P4322#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047642" name="Graphic 1518047642" descr="P4322#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i/>
                      <w:iCs/>
                    </w:rPr>
                    <w:t>[The unmet need] is a</w:t>
                  </w:r>
                  <w:r w:rsidRPr="0067748E">
                    <w:rPr>
                      <w:i/>
                      <w:iCs/>
                    </w:rPr>
                    <w:t>bsolutely enormous</w:t>
                  </w:r>
                  <w:r>
                    <w:rPr>
                      <w:i/>
                      <w:iCs/>
                    </w:rPr>
                    <w:t xml:space="preserve"> a</w:t>
                  </w:r>
                  <w:r w:rsidRPr="0067748E">
                    <w:rPr>
                      <w:i/>
                      <w:iCs/>
                    </w:rPr>
                    <w:t xml:space="preserve">cross Australia </w:t>
                  </w:r>
                  <w:r>
                    <w:rPr>
                      <w:i/>
                      <w:iCs/>
                    </w:rPr>
                    <w:t>[…] W</w:t>
                  </w:r>
                  <w:r w:rsidRPr="0067748E">
                    <w:rPr>
                      <w:i/>
                      <w:iCs/>
                    </w:rPr>
                    <w:t xml:space="preserve">e know from the amount of police reports how many children are witnessing or experiencing and being victims in their own right with family and domestic violence. </w:t>
                  </w:r>
                  <w:r>
                    <w:rPr>
                      <w:i/>
                      <w:iCs/>
                    </w:rPr>
                    <w:t>[…] [N</w:t>
                  </w:r>
                  <w:r w:rsidRPr="0067748E">
                    <w:rPr>
                      <w:i/>
                      <w:iCs/>
                    </w:rPr>
                    <w:t>ot</w:t>
                  </w:r>
                  <w:r>
                    <w:rPr>
                      <w:i/>
                      <w:iCs/>
                    </w:rPr>
                    <w:t>]</w:t>
                  </w:r>
                  <w:r w:rsidRPr="0067748E">
                    <w:rPr>
                      <w:i/>
                      <w:iCs/>
                    </w:rPr>
                    <w:t xml:space="preserve"> all those</w:t>
                  </w:r>
                  <w:r>
                    <w:rPr>
                      <w:i/>
                      <w:iCs/>
                    </w:rPr>
                    <w:t xml:space="preserve"> p</w:t>
                  </w:r>
                  <w:r w:rsidRPr="0067748E">
                    <w:rPr>
                      <w:i/>
                      <w:iCs/>
                    </w:rPr>
                    <w:t xml:space="preserve">eople are coming </w:t>
                  </w:r>
                  <w:r w:rsidRPr="0067748E">
                    <w:rPr>
                      <w:i/>
                      <w:iCs/>
                    </w:rPr>
                    <w:lastRenderedPageBreak/>
                    <w:t>in for counselling and then you have</w:t>
                  </w:r>
                  <w:r>
                    <w:rPr>
                      <w:i/>
                      <w:iCs/>
                    </w:rPr>
                    <w:t xml:space="preserve"> […] </w:t>
                  </w:r>
                  <w:r w:rsidRPr="0067748E">
                    <w:rPr>
                      <w:i/>
                      <w:iCs/>
                    </w:rPr>
                    <w:t>what people don't see or don't report</w:t>
                  </w:r>
                  <w:r>
                    <w:rPr>
                      <w:i/>
                      <w:iCs/>
                    </w:rPr>
                    <w:t xml:space="preserve">. </w:t>
                  </w:r>
                  <w:r w:rsidR="00E0627B">
                    <w:rPr>
                      <w:i/>
                      <w:iCs/>
                    </w:rPr>
                    <w:t>S</w:t>
                  </w:r>
                  <w:r w:rsidR="00E0627B" w:rsidRPr="0067748E">
                    <w:rPr>
                      <w:i/>
                      <w:iCs/>
                    </w:rPr>
                    <w:t>o,</w:t>
                  </w:r>
                  <w:r w:rsidRPr="0067748E">
                    <w:rPr>
                      <w:i/>
                      <w:iCs/>
                    </w:rPr>
                    <w:t xml:space="preserve"> it's a massive problem I think for the Australian community, </w:t>
                  </w:r>
                  <w:r>
                    <w:rPr>
                      <w:i/>
                      <w:iCs/>
                    </w:rPr>
                    <w:t>[…] T</w:t>
                  </w:r>
                  <w:r w:rsidRPr="0067748E">
                    <w:rPr>
                      <w:i/>
                      <w:iCs/>
                    </w:rPr>
                    <w:t xml:space="preserve">he unmet need is enormous </w:t>
                  </w:r>
                  <w:r w:rsidRPr="002E7992">
                    <w:rPr>
                      <w:b/>
                      <w:bCs/>
                      <w:i/>
                      <w:iCs/>
                    </w:rPr>
                    <w:t>–</w:t>
                  </w:r>
                  <w:r>
                    <w:rPr>
                      <w:b/>
                      <w:bCs/>
                      <w:i/>
                      <w:iCs/>
                    </w:rPr>
                    <w:t xml:space="preserve"> CSC s</w:t>
                  </w:r>
                  <w:r w:rsidRPr="002E7992">
                    <w:rPr>
                      <w:b/>
                      <w:bCs/>
                      <w:i/>
                      <w:iCs/>
                    </w:rPr>
                    <w:t>ervice provider</w:t>
                  </w:r>
                </w:p>
                <w:p w14:paraId="4B20DBE5" w14:textId="53F95CF6" w:rsidR="005674C7" w:rsidRDefault="005674C7" w:rsidP="005674C7">
                  <w:pPr>
                    <w:pStyle w:val="Text"/>
                  </w:pPr>
                  <w:r>
                    <w:t xml:space="preserve">Due to the heightened complexity of the presentations within the MBCP cohort, </w:t>
                  </w:r>
                  <w:r w:rsidR="00000540">
                    <w:t>MBCP</w:t>
                  </w:r>
                  <w:r>
                    <w:t xml:space="preserve"> service providers reported increased need to provide risk assessments of service users, further adding to case load and creating backlog. They noted </w:t>
                  </w:r>
                  <w:r w:rsidR="007217AA">
                    <w:t xml:space="preserve">the </w:t>
                  </w:r>
                  <w:r>
                    <w:t xml:space="preserve">high needs of this cohort, </w:t>
                  </w:r>
                  <w:r w:rsidR="005F04D9">
                    <w:t xml:space="preserve">with </w:t>
                  </w:r>
                  <w:r>
                    <w:t xml:space="preserve">several intersecting issues which </w:t>
                  </w:r>
                  <w:r w:rsidR="00746CF7">
                    <w:t>impeded men’s</w:t>
                  </w:r>
                  <w:r w:rsidR="00251A58">
                    <w:t xml:space="preserve"> readiness to effectively engage</w:t>
                  </w:r>
                  <w:r w:rsidR="00746CF7">
                    <w:t xml:space="preserve"> </w:t>
                  </w:r>
                  <w:r w:rsidR="009909B4">
                    <w:t>with MBCPs</w:t>
                  </w:r>
                  <w:r w:rsidR="004B30B1">
                    <w:t>, such as</w:t>
                  </w:r>
                  <w:r w:rsidR="009909B4">
                    <w:t xml:space="preserve"> </w:t>
                  </w:r>
                  <w:r>
                    <w:t>untreated mental health issues</w:t>
                  </w:r>
                  <w:r w:rsidR="00000540">
                    <w:t>,</w:t>
                  </w:r>
                  <w:r>
                    <w:t xml:space="preserve"> disabilities, and homelessness. Several called for a shift to a ‘healing focus’ for MBCPs with increased emphasis on addressing trauma to support long-term change, noting that this was not supported with the current small founding amount and prescriptive MBCP model.</w:t>
                  </w:r>
                </w:p>
                <w:p w14:paraId="46A0BB61" w14:textId="30B3899E" w:rsidR="005674C7" w:rsidRDefault="005674C7" w:rsidP="005674C7">
                  <w:pPr>
                    <w:pBdr>
                      <w:left w:val="single" w:sz="18" w:space="4" w:color="78B800" w:themeColor="accent1"/>
                    </w:pBdr>
                    <w:tabs>
                      <w:tab w:val="left" w:pos="8080"/>
                    </w:tabs>
                    <w:spacing w:after="0"/>
                    <w:ind w:left="851" w:right="949"/>
                    <w:rPr>
                      <w:b/>
                      <w:i/>
                    </w:rPr>
                  </w:pPr>
                  <w:r w:rsidRPr="002E7992">
                    <w:rPr>
                      <w:noProof/>
                    </w:rPr>
                    <w:drawing>
                      <wp:anchor distT="0" distB="0" distL="114300" distR="114300" simplePos="0" relativeHeight="251658415" behindDoc="0" locked="1" layoutInCell="1" allowOverlap="1" wp14:anchorId="3FD16E80" wp14:editId="500A02C6">
                        <wp:simplePos x="0" y="0"/>
                        <wp:positionH relativeFrom="column">
                          <wp:posOffset>0</wp:posOffset>
                        </wp:positionH>
                        <wp:positionV relativeFrom="paragraph">
                          <wp:posOffset>0</wp:posOffset>
                        </wp:positionV>
                        <wp:extent cx="384810" cy="320040"/>
                        <wp:effectExtent l="0" t="0" r="0" b="3810"/>
                        <wp:wrapNone/>
                        <wp:docPr id="880234886" name="Graphic 880234886" descr="P4324#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234886" name="Graphic 880234886" descr="P4324#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i/>
                      <w:iCs/>
                    </w:rPr>
                    <w:t xml:space="preserve">You might have the best content in the world but […] you haven’t got that readiness […] it just goes over their head </w:t>
                  </w:r>
                  <w:r w:rsidRPr="002E7992">
                    <w:rPr>
                      <w:b/>
                      <w:bCs/>
                      <w:i/>
                      <w:iCs/>
                    </w:rPr>
                    <w:t>–</w:t>
                  </w:r>
                  <w:r>
                    <w:rPr>
                      <w:b/>
                      <w:bCs/>
                      <w:i/>
                      <w:iCs/>
                    </w:rPr>
                    <w:t xml:space="preserve"> MBCP</w:t>
                  </w:r>
                  <w:r w:rsidRPr="002E7992">
                    <w:rPr>
                      <w:b/>
                      <w:bCs/>
                      <w:i/>
                      <w:iCs/>
                    </w:rPr>
                    <w:t xml:space="preserve"> </w:t>
                  </w:r>
                  <w:r>
                    <w:rPr>
                      <w:b/>
                      <w:bCs/>
                      <w:i/>
                      <w:iCs/>
                    </w:rPr>
                    <w:t xml:space="preserve">service </w:t>
                  </w:r>
                  <w:r w:rsidRPr="002E7992">
                    <w:rPr>
                      <w:b/>
                      <w:bCs/>
                      <w:i/>
                      <w:iCs/>
                    </w:rPr>
                    <w:t>provider</w:t>
                  </w:r>
                </w:p>
                <w:p w14:paraId="1F415441" w14:textId="77777777" w:rsidR="005674C7" w:rsidRDefault="005674C7" w:rsidP="005674C7">
                  <w:pPr>
                    <w:pStyle w:val="Text"/>
                  </w:pPr>
                </w:p>
                <w:p w14:paraId="2849F730" w14:textId="22EC4911" w:rsidR="005674C7" w:rsidRDefault="005674C7" w:rsidP="005674C7">
                  <w:pPr>
                    <w:pStyle w:val="Text"/>
                  </w:pPr>
                  <w:r>
                    <w:t>Overall</w:t>
                  </w:r>
                  <w:r w:rsidRPr="00B05FE7">
                    <w:t xml:space="preserve">, </w:t>
                  </w:r>
                  <w:r>
                    <w:t>staff across all service types</w:t>
                  </w:r>
                  <w:r w:rsidRPr="00B05FE7">
                    <w:t xml:space="preserve"> were said to have an increasing care coordination and case management role, supporting service users to access services before, during, and after accessing counselling or other programs. This was said to have subsequent implications for case load, </w:t>
                  </w:r>
                  <w:r>
                    <w:t xml:space="preserve">the </w:t>
                  </w:r>
                  <w:r w:rsidRPr="00B05FE7">
                    <w:t xml:space="preserve">length of time </w:t>
                  </w:r>
                  <w:r>
                    <w:t>of service provision</w:t>
                  </w:r>
                  <w:r w:rsidRPr="00B05FE7">
                    <w:t xml:space="preserve">, and waitlists because of </w:t>
                  </w:r>
                  <w:r>
                    <w:t xml:space="preserve">the increased number of people being </w:t>
                  </w:r>
                  <w:r w:rsidRPr="00B05FE7">
                    <w:t xml:space="preserve">actively </w:t>
                  </w:r>
                  <w:r>
                    <w:t>held</w:t>
                  </w:r>
                  <w:r w:rsidRPr="00B05FE7">
                    <w:t xml:space="preserve"> beyond their allotted service period. In addition, </w:t>
                  </w:r>
                  <w:r w:rsidR="00000540">
                    <w:t>FaRS and SFVS</w:t>
                  </w:r>
                  <w:r w:rsidRPr="00B05FE7">
                    <w:t xml:space="preserve"> service providers are increasingly providing additional supports to their service users including </w:t>
                  </w:r>
                  <w:r w:rsidR="00431003">
                    <w:t xml:space="preserve">case management, </w:t>
                  </w:r>
                  <w:r w:rsidRPr="00B05FE7">
                    <w:t xml:space="preserve">material aid, transport assistance to access the service in-person, and </w:t>
                  </w:r>
                  <w:r w:rsidR="002C5B8E">
                    <w:t>the</w:t>
                  </w:r>
                  <w:r w:rsidRPr="00B05FE7">
                    <w:t xml:space="preserve"> loan </w:t>
                  </w:r>
                  <w:r w:rsidR="002C5B8E">
                    <w:t>of</w:t>
                  </w:r>
                  <w:r w:rsidRPr="00B05FE7">
                    <w:t xml:space="preserve"> devices for remote access. These additional supports are often covered by a mixture of funding so</w:t>
                  </w:r>
                  <w:r w:rsidRPr="00F933EF">
                    <w:t xml:space="preserve">urces. </w:t>
                  </w:r>
                  <w:r w:rsidR="00431003" w:rsidRPr="00323C72">
                    <w:t xml:space="preserve">In addition, they are not currently captured in DEX </w:t>
                  </w:r>
                  <w:r w:rsidR="00ED12A5" w:rsidRPr="00323C72">
                    <w:t>reporting.</w:t>
                  </w:r>
                  <w:r w:rsidR="00ED12A5">
                    <w:t xml:space="preserve"> </w:t>
                  </w:r>
                </w:p>
                <w:p w14:paraId="389CC168" w14:textId="6449CD41" w:rsidR="005674C7" w:rsidRPr="00F70BA7" w:rsidRDefault="005674C7" w:rsidP="005674C7">
                  <w:pPr>
                    <w:pBdr>
                      <w:left w:val="single" w:sz="18" w:space="4" w:color="78B800" w:themeColor="accent1"/>
                    </w:pBdr>
                    <w:tabs>
                      <w:tab w:val="left" w:pos="8080"/>
                    </w:tabs>
                    <w:spacing w:after="0"/>
                    <w:ind w:left="851" w:right="949"/>
                    <w:rPr>
                      <w:b/>
                      <w:i/>
                    </w:rPr>
                  </w:pPr>
                  <w:r w:rsidRPr="002E7992">
                    <w:rPr>
                      <w:noProof/>
                    </w:rPr>
                    <w:drawing>
                      <wp:anchor distT="0" distB="0" distL="114300" distR="114300" simplePos="0" relativeHeight="251658416" behindDoc="0" locked="1" layoutInCell="1" allowOverlap="1" wp14:anchorId="00A0D7A8" wp14:editId="01FB2264">
                        <wp:simplePos x="0" y="0"/>
                        <wp:positionH relativeFrom="column">
                          <wp:posOffset>0</wp:posOffset>
                        </wp:positionH>
                        <wp:positionV relativeFrom="paragraph">
                          <wp:posOffset>0</wp:posOffset>
                        </wp:positionV>
                        <wp:extent cx="384810" cy="320040"/>
                        <wp:effectExtent l="0" t="0" r="0" b="3810"/>
                        <wp:wrapNone/>
                        <wp:docPr id="371606733" name="Graphic 371606733" descr="P4327#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606733" name="Graphic 371606733" descr="P4327#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i/>
                      <w:iCs/>
                    </w:rPr>
                    <w:t>[</w:t>
                  </w:r>
                  <w:r w:rsidRPr="002558C2">
                    <w:rPr>
                      <w:i/>
                      <w:iCs/>
                    </w:rPr>
                    <w:t>…</w:t>
                  </w:r>
                  <w:r>
                    <w:rPr>
                      <w:i/>
                      <w:iCs/>
                    </w:rPr>
                    <w:t>]</w:t>
                  </w:r>
                  <w:r w:rsidRPr="002558C2">
                    <w:rPr>
                      <w:i/>
                      <w:iCs/>
                    </w:rPr>
                    <w:t xml:space="preserve"> our program is open-ended, and people come, and they may be there for quite a while, or they may only be there for a little time. Yet overall, they actually are having their needs met. So sustained [change from accessing programs] I'm not sure how I would want to describe that or interpret that because life ebbs and flows, so we generally find that people stay with us as long as they need to, and then they move on… It's an interesting question because we can't fix up everything in someone's life, but we can work on this issue at this time </w:t>
                  </w:r>
                  <w:r w:rsidRPr="002E7992">
                    <w:rPr>
                      <w:b/>
                      <w:bCs/>
                      <w:i/>
                      <w:iCs/>
                    </w:rPr>
                    <w:t>–</w:t>
                  </w:r>
                  <w:r>
                    <w:rPr>
                      <w:b/>
                      <w:bCs/>
                      <w:i/>
                      <w:iCs/>
                    </w:rPr>
                    <w:t xml:space="preserve"> FaRS service</w:t>
                  </w:r>
                  <w:r w:rsidRPr="002E7992">
                    <w:rPr>
                      <w:b/>
                      <w:bCs/>
                      <w:i/>
                      <w:iCs/>
                    </w:rPr>
                    <w:t xml:space="preserve"> provider</w:t>
                  </w:r>
                </w:p>
                <w:p w14:paraId="70B48BDE" w14:textId="77777777" w:rsidR="005674C7" w:rsidRDefault="005674C7" w:rsidP="005674C7">
                  <w:pPr>
                    <w:pStyle w:val="Text"/>
                  </w:pPr>
                </w:p>
                <w:p w14:paraId="60788065" w14:textId="41401B79" w:rsidR="005674C7" w:rsidRPr="0061697F" w:rsidRDefault="005674C7" w:rsidP="0061697F">
                  <w:pPr>
                    <w:pBdr>
                      <w:left w:val="single" w:sz="18" w:space="4" w:color="78B800" w:themeColor="accent1"/>
                    </w:pBdr>
                    <w:tabs>
                      <w:tab w:val="left" w:pos="8080"/>
                    </w:tabs>
                    <w:spacing w:after="0"/>
                    <w:ind w:left="851" w:right="949"/>
                    <w:rPr>
                      <w:i/>
                      <w:iCs/>
                    </w:rPr>
                  </w:pPr>
                  <w:r w:rsidRPr="002E7992">
                    <w:rPr>
                      <w:noProof/>
                    </w:rPr>
                    <w:drawing>
                      <wp:anchor distT="0" distB="0" distL="114300" distR="114300" simplePos="0" relativeHeight="251658417" behindDoc="0" locked="1" layoutInCell="1" allowOverlap="1" wp14:anchorId="3AB0F839" wp14:editId="6314A5AD">
                        <wp:simplePos x="0" y="0"/>
                        <wp:positionH relativeFrom="column">
                          <wp:posOffset>0</wp:posOffset>
                        </wp:positionH>
                        <wp:positionV relativeFrom="paragraph">
                          <wp:posOffset>0</wp:posOffset>
                        </wp:positionV>
                        <wp:extent cx="384810" cy="320040"/>
                        <wp:effectExtent l="0" t="0" r="0" b="3810"/>
                        <wp:wrapNone/>
                        <wp:docPr id="902741474" name="Graphic 902741474" descr="P4329#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741474" name="Graphic 902741474" descr="P4329#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273C7">
                    <w:rPr>
                      <w:i/>
                      <w:iCs/>
                    </w:rPr>
                    <w:t>I feel that our coun</w:t>
                  </w:r>
                  <w:r w:rsidR="00E57D78">
                    <w:rPr>
                      <w:i/>
                      <w:iCs/>
                    </w:rPr>
                    <w:t>sellors</w:t>
                  </w:r>
                  <w:r w:rsidRPr="00E273C7">
                    <w:rPr>
                      <w:i/>
                      <w:iCs/>
                    </w:rPr>
                    <w:t xml:space="preserve"> are very skilled and they're very committed</w:t>
                  </w:r>
                  <w:r>
                    <w:rPr>
                      <w:i/>
                      <w:iCs/>
                    </w:rPr>
                    <w:t xml:space="preserve"> a</w:t>
                  </w:r>
                  <w:r w:rsidRPr="00E273C7">
                    <w:rPr>
                      <w:i/>
                      <w:iCs/>
                    </w:rPr>
                    <w:t xml:space="preserve">nd I feel that their adaptation </w:t>
                  </w:r>
                  <w:r w:rsidR="00EB3A74">
                    <w:rPr>
                      <w:i/>
                      <w:iCs/>
                    </w:rPr>
                    <w:t xml:space="preserve">[to complex presentations] </w:t>
                  </w:r>
                  <w:r w:rsidRPr="00E273C7">
                    <w:rPr>
                      <w:i/>
                      <w:iCs/>
                    </w:rPr>
                    <w:t xml:space="preserve">would be a </w:t>
                  </w:r>
                  <w:r>
                    <w:rPr>
                      <w:i/>
                      <w:iCs/>
                    </w:rPr>
                    <w:t>[…]</w:t>
                  </w:r>
                  <w:r w:rsidRPr="00E273C7">
                    <w:rPr>
                      <w:i/>
                      <w:iCs/>
                    </w:rPr>
                    <w:t xml:space="preserve"> a lot easier on them</w:t>
                  </w:r>
                  <w:r>
                    <w:rPr>
                      <w:i/>
                      <w:iCs/>
                    </w:rPr>
                    <w:t xml:space="preserve"> a</w:t>
                  </w:r>
                  <w:r w:rsidRPr="00E273C7">
                    <w:rPr>
                      <w:i/>
                      <w:iCs/>
                    </w:rPr>
                    <w:t>nd prevent burnout</w:t>
                  </w:r>
                  <w:r>
                    <w:rPr>
                      <w:i/>
                      <w:iCs/>
                    </w:rPr>
                    <w:t xml:space="preserve"> […]</w:t>
                  </w:r>
                  <w:r w:rsidRPr="00E273C7">
                    <w:rPr>
                      <w:i/>
                      <w:iCs/>
                    </w:rPr>
                    <w:t xml:space="preserve"> </w:t>
                  </w:r>
                  <w:r>
                    <w:rPr>
                      <w:i/>
                      <w:iCs/>
                    </w:rPr>
                    <w:t>[i</w:t>
                  </w:r>
                  <w:r w:rsidRPr="00E273C7">
                    <w:rPr>
                      <w:i/>
                      <w:iCs/>
                    </w:rPr>
                    <w:t>f</w:t>
                  </w:r>
                  <w:r>
                    <w:rPr>
                      <w:i/>
                      <w:iCs/>
                    </w:rPr>
                    <w:t>]</w:t>
                  </w:r>
                  <w:r w:rsidRPr="00E273C7">
                    <w:rPr>
                      <w:i/>
                      <w:iCs/>
                    </w:rPr>
                    <w:t xml:space="preserve"> there was allowance made for case management because </w:t>
                  </w:r>
                  <w:r>
                    <w:rPr>
                      <w:i/>
                      <w:iCs/>
                    </w:rPr>
                    <w:t>[…]</w:t>
                  </w:r>
                  <w:r w:rsidRPr="00E273C7">
                    <w:rPr>
                      <w:i/>
                      <w:iCs/>
                    </w:rPr>
                    <w:t xml:space="preserve"> we see </w:t>
                  </w:r>
                  <w:r w:rsidR="00076EC5">
                    <w:rPr>
                      <w:i/>
                      <w:iCs/>
                    </w:rPr>
                    <w:t>4</w:t>
                  </w:r>
                  <w:r>
                    <w:rPr>
                      <w:i/>
                      <w:iCs/>
                    </w:rPr>
                    <w:t xml:space="preserve"> </w:t>
                  </w:r>
                  <w:r w:rsidRPr="00E273C7">
                    <w:rPr>
                      <w:i/>
                      <w:iCs/>
                    </w:rPr>
                    <w:t xml:space="preserve">or </w:t>
                  </w:r>
                  <w:r w:rsidR="00076EC5">
                    <w:rPr>
                      <w:i/>
                      <w:iCs/>
                    </w:rPr>
                    <w:t>5</w:t>
                  </w:r>
                  <w:r w:rsidRPr="00E273C7">
                    <w:rPr>
                      <w:i/>
                      <w:iCs/>
                    </w:rPr>
                    <w:t xml:space="preserve"> clients</w:t>
                  </w:r>
                  <w:r>
                    <w:rPr>
                      <w:i/>
                      <w:iCs/>
                    </w:rPr>
                    <w:t>.</w:t>
                  </w:r>
                  <w:r w:rsidRPr="00E273C7">
                    <w:rPr>
                      <w:i/>
                      <w:iCs/>
                    </w:rPr>
                    <w:t xml:space="preserve"> </w:t>
                  </w:r>
                  <w:r>
                    <w:rPr>
                      <w:i/>
                      <w:iCs/>
                    </w:rPr>
                    <w:t>N</w:t>
                  </w:r>
                  <w:r w:rsidRPr="00E273C7">
                    <w:rPr>
                      <w:i/>
                      <w:iCs/>
                    </w:rPr>
                    <w:t>ow if they have</w:t>
                  </w:r>
                  <w:r>
                    <w:rPr>
                      <w:i/>
                      <w:iCs/>
                    </w:rPr>
                    <w:t xml:space="preserve"> </w:t>
                  </w:r>
                  <w:r w:rsidR="00076EC5">
                    <w:rPr>
                      <w:i/>
                      <w:iCs/>
                    </w:rPr>
                    <w:t>5</w:t>
                  </w:r>
                  <w:r>
                    <w:rPr>
                      <w:i/>
                      <w:iCs/>
                    </w:rPr>
                    <w:t xml:space="preserve"> […]</w:t>
                  </w:r>
                  <w:r w:rsidRPr="00E273C7">
                    <w:rPr>
                      <w:i/>
                      <w:iCs/>
                    </w:rPr>
                    <w:t xml:space="preserve"> complex clients </w:t>
                  </w:r>
                  <w:r w:rsidR="00EB3A74">
                    <w:rPr>
                      <w:i/>
                      <w:iCs/>
                    </w:rPr>
                    <w:t>[…]</w:t>
                  </w:r>
                  <w:r w:rsidRPr="00E273C7">
                    <w:rPr>
                      <w:i/>
                      <w:iCs/>
                    </w:rPr>
                    <w:t>, there is not much</w:t>
                  </w:r>
                  <w:r>
                    <w:rPr>
                      <w:i/>
                      <w:iCs/>
                    </w:rPr>
                    <w:t xml:space="preserve"> l</w:t>
                  </w:r>
                  <w:r w:rsidRPr="00E273C7">
                    <w:rPr>
                      <w:i/>
                      <w:iCs/>
                    </w:rPr>
                    <w:t xml:space="preserve">eeway there to do the case work, or the consult or the </w:t>
                  </w:r>
                  <w:r w:rsidRPr="00E273C7">
                    <w:rPr>
                      <w:i/>
                      <w:iCs/>
                    </w:rPr>
                    <w:lastRenderedPageBreak/>
                    <w:t>secondary consults or consent</w:t>
                  </w:r>
                  <w:r w:rsidR="00EB3A74">
                    <w:rPr>
                      <w:i/>
                      <w:iCs/>
                    </w:rPr>
                    <w:t xml:space="preserve"> s</w:t>
                  </w:r>
                  <w:r w:rsidRPr="00E273C7">
                    <w:rPr>
                      <w:i/>
                      <w:iCs/>
                    </w:rPr>
                    <w:t>o I feel that</w:t>
                  </w:r>
                  <w:r>
                    <w:rPr>
                      <w:i/>
                      <w:iCs/>
                    </w:rPr>
                    <w:t xml:space="preserve"> l</w:t>
                  </w:r>
                  <w:r w:rsidRPr="00E273C7">
                    <w:rPr>
                      <w:i/>
                      <w:iCs/>
                    </w:rPr>
                    <w:t>ess is more</w:t>
                  </w:r>
                  <w:r>
                    <w:rPr>
                      <w:i/>
                      <w:iCs/>
                    </w:rPr>
                    <w:t>.</w:t>
                  </w:r>
                  <w:r w:rsidRPr="00E273C7">
                    <w:rPr>
                      <w:i/>
                      <w:iCs/>
                    </w:rPr>
                    <w:t xml:space="preserve"> </w:t>
                  </w:r>
                  <w:r>
                    <w:rPr>
                      <w:i/>
                      <w:iCs/>
                    </w:rPr>
                    <w:t>L</w:t>
                  </w:r>
                  <w:r w:rsidRPr="00E273C7">
                    <w:rPr>
                      <w:i/>
                      <w:iCs/>
                    </w:rPr>
                    <w:t>ess clients but</w:t>
                  </w:r>
                  <w:r>
                    <w:rPr>
                      <w:i/>
                      <w:iCs/>
                    </w:rPr>
                    <w:t xml:space="preserve"> […] b</w:t>
                  </w:r>
                  <w:r w:rsidRPr="00E273C7">
                    <w:rPr>
                      <w:i/>
                      <w:iCs/>
                    </w:rPr>
                    <w:t xml:space="preserve">eing able to give more time for the client </w:t>
                  </w:r>
                  <w:r>
                    <w:rPr>
                      <w:i/>
                      <w:iCs/>
                    </w:rPr>
                    <w:t xml:space="preserve">[…] </w:t>
                  </w:r>
                  <w:r w:rsidRPr="002E7992">
                    <w:rPr>
                      <w:b/>
                      <w:bCs/>
                      <w:i/>
                      <w:iCs/>
                    </w:rPr>
                    <w:t>–</w:t>
                  </w:r>
                  <w:r>
                    <w:rPr>
                      <w:b/>
                      <w:bCs/>
                      <w:i/>
                      <w:iCs/>
                    </w:rPr>
                    <w:t xml:space="preserve"> FaRS s</w:t>
                  </w:r>
                  <w:r w:rsidRPr="002E7992">
                    <w:rPr>
                      <w:b/>
                      <w:bCs/>
                      <w:i/>
                      <w:iCs/>
                    </w:rPr>
                    <w:t>ervice provider</w:t>
                  </w:r>
                </w:p>
                <w:p w14:paraId="49358697" w14:textId="77777777" w:rsidR="00A96868" w:rsidRDefault="00A96868">
                  <w:pPr>
                    <w:rPr>
                      <w:rFonts w:ascii="Arial" w:hAnsi="Arial"/>
                      <w:b/>
                      <w:bCs/>
                      <w:color w:val="007E00" w:themeColor="accent3"/>
                      <w:sz w:val="36"/>
                      <w:szCs w:val="36"/>
                    </w:rPr>
                  </w:pPr>
                  <w:bookmarkStart w:id="514" w:name="_Ref203669746"/>
                  <w:bookmarkStart w:id="515" w:name="_Ref204850476"/>
                  <w:bookmarkStart w:id="516" w:name="_Toc204856750"/>
                  <w:bookmarkStart w:id="517" w:name="KEQ6"/>
                  <w:r>
                    <w:br w:type="page"/>
                  </w:r>
                </w:p>
                <w:p w14:paraId="51A210AD" w14:textId="3DC428F5" w:rsidR="005674C7" w:rsidRDefault="005674C7" w:rsidP="002E7436">
                  <w:pPr>
                    <w:pStyle w:val="Heading2"/>
                  </w:pPr>
                  <w:bookmarkStart w:id="518" w:name="_Toc208906864"/>
                  <w:bookmarkStart w:id="519" w:name="_Ref208926410"/>
                  <w:bookmarkStart w:id="520" w:name="_Ref208926511"/>
                  <w:bookmarkStart w:id="521" w:name="_Ref208926583"/>
                  <w:bookmarkStart w:id="522" w:name="_Ref208926672"/>
                  <w:bookmarkStart w:id="523" w:name="_Ref208926763"/>
                  <w:bookmarkStart w:id="524" w:name="_Ref208926785"/>
                  <w:r>
                    <w:lastRenderedPageBreak/>
                    <w:t>Enablers and barriers to implementation</w:t>
                  </w:r>
                  <w:bookmarkEnd w:id="514"/>
                  <w:bookmarkEnd w:id="515"/>
                  <w:bookmarkEnd w:id="516"/>
                  <w:bookmarkEnd w:id="518"/>
                  <w:bookmarkEnd w:id="519"/>
                  <w:bookmarkEnd w:id="520"/>
                  <w:bookmarkEnd w:id="521"/>
                  <w:bookmarkEnd w:id="522"/>
                  <w:bookmarkEnd w:id="523"/>
                  <w:bookmarkEnd w:id="524"/>
                </w:p>
                <w:bookmarkEnd w:id="517"/>
                <w:p w14:paraId="5166ABD1" w14:textId="45B5C763" w:rsidR="005674C7" w:rsidRPr="00E0407B" w:rsidRDefault="00053088" w:rsidP="005674C7">
                  <w:pPr>
                    <w:pStyle w:val="Text"/>
                  </w:pPr>
                  <w:r>
                    <w:t>This section considers the barriers and enablers to delivery of FaRS and SFVS, as articulated in KEQ</w:t>
                  </w:r>
                  <w:r w:rsidR="00770AC1">
                    <w:t xml:space="preserve"> </w:t>
                  </w:r>
                  <w:r>
                    <w:t xml:space="preserve">6. </w:t>
                  </w:r>
                </w:p>
                <w:p w14:paraId="1102D349" w14:textId="5A57A0D6" w:rsidR="00611A9D" w:rsidRDefault="00611A9D" w:rsidP="00611A9D">
                  <w:pPr>
                    <w:pStyle w:val="Text"/>
                  </w:pPr>
                  <w:r w:rsidRPr="00611A9D">
                    <w:t>Enablers and barriers to the implementation of FaRS</w:t>
                  </w:r>
                  <w:r w:rsidR="00752B3C">
                    <w:t xml:space="preserve"> and</w:t>
                  </w:r>
                  <w:r w:rsidRPr="00611A9D">
                    <w:t xml:space="preserve"> SFVS reflect both the strengths and challenges underpinning its design and delivery. On one hand, its flexible delivery model allows service providers autonomy in how they deliver programs</w:t>
                  </w:r>
                  <w:r w:rsidR="00E7218F">
                    <w:t>. This</w:t>
                  </w:r>
                  <w:r w:rsidRPr="00611A9D">
                    <w:t xml:space="preserve"> enabl</w:t>
                  </w:r>
                  <w:r w:rsidR="00E7218F">
                    <w:t>es</w:t>
                  </w:r>
                  <w:r w:rsidRPr="00611A9D">
                    <w:t>, for example, the matching of service users with suitable practitioners based on capability, experience, and background. This flexibility supports a responsive and integrated service model, particularly for providers with both FaRS and SFVS funding. On the other hand, barriers includ</w:t>
                  </w:r>
                  <w:r w:rsidR="00443B5E">
                    <w:t>e</w:t>
                  </w:r>
                  <w:r w:rsidRPr="00611A9D">
                    <w:t xml:space="preserve"> limited funding</w:t>
                  </w:r>
                  <w:r w:rsidR="00443B5E">
                    <w:t>, increasing complexity and program aims of early intervention and short-form intervention.</w:t>
                  </w:r>
                  <w:r w:rsidRPr="00611A9D" w:rsidDel="00443B5E">
                    <w:t xml:space="preserve"> </w:t>
                  </w:r>
                  <w:r w:rsidRPr="00611A9D">
                    <w:t>These challenges underscore the need for greater guidance around implementation, increased funding, culturally safe practice, workforce development, and strengthened interagency collaboration to improve outcomes across the family violence, family, and relationship service sectors in Australia.</w:t>
                  </w:r>
                </w:p>
                <w:p w14:paraId="5EE9C963" w14:textId="4F6DE7AA" w:rsidR="00D96347" w:rsidRDefault="004015A1" w:rsidP="00611A9D">
                  <w:pPr>
                    <w:pStyle w:val="Text"/>
                  </w:pPr>
                  <w:r w:rsidRPr="00A96868">
                    <w:rPr>
                      <w:b/>
                      <w:bCs/>
                    </w:rPr>
                    <w:fldChar w:fldCharType="begin" w:fldLock="1"/>
                  </w:r>
                  <w:r w:rsidRPr="00A96868">
                    <w:rPr>
                      <w:b/>
                      <w:bCs/>
                    </w:rPr>
                    <w:instrText xml:space="preserve"> REF _Ref208222092 \h </w:instrText>
                  </w:r>
                  <w:r w:rsidR="00862CAF" w:rsidRPr="00A96868">
                    <w:rPr>
                      <w:b/>
                      <w:bCs/>
                    </w:rPr>
                    <w:instrText xml:space="preserve"> \* MERGEFORMAT </w:instrText>
                  </w:r>
                  <w:r w:rsidRPr="00A96868">
                    <w:rPr>
                      <w:b/>
                      <w:bCs/>
                    </w:rPr>
                  </w:r>
                  <w:r w:rsidRPr="00A96868">
                    <w:rPr>
                      <w:b/>
                      <w:bCs/>
                    </w:rPr>
                    <w:fldChar w:fldCharType="separate"/>
                  </w:r>
                  <w:r w:rsidR="008F22E5" w:rsidRPr="008F22E5">
                    <w:rPr>
                      <w:b/>
                      <w:bCs/>
                    </w:rPr>
                    <w:t xml:space="preserve">Table </w:t>
                  </w:r>
                  <w:r w:rsidR="008F22E5" w:rsidRPr="008F22E5">
                    <w:rPr>
                      <w:b/>
                      <w:bCs/>
                      <w:noProof/>
                    </w:rPr>
                    <w:t>49</w:t>
                  </w:r>
                  <w:r w:rsidRPr="00A96868">
                    <w:rPr>
                      <w:b/>
                      <w:bCs/>
                    </w:rPr>
                    <w:fldChar w:fldCharType="end"/>
                  </w:r>
                  <w:r w:rsidR="00862CAF">
                    <w:rPr>
                      <w:b/>
                      <w:bCs/>
                    </w:rPr>
                    <w:t xml:space="preserve"> </w:t>
                  </w:r>
                  <w:r>
                    <w:t xml:space="preserve">below summarises enablers and barriers to implementation </w:t>
                  </w:r>
                </w:p>
                <w:p w14:paraId="5DA552A8" w14:textId="397319AE" w:rsidR="004015A1" w:rsidRDefault="004015A1" w:rsidP="004015A1">
                  <w:pPr>
                    <w:pStyle w:val="TableFigure-Header"/>
                  </w:pPr>
                  <w:bookmarkStart w:id="525" w:name="_Ref208222092"/>
                  <w:r w:rsidRPr="417BA448">
                    <w:rPr>
                      <w:lang w:val="en-NZ"/>
                    </w:rPr>
                    <w:t xml:space="preserve">Table </w:t>
                  </w:r>
                  <w:r>
                    <w:fldChar w:fldCharType="begin"/>
                  </w:r>
                  <w:r>
                    <w:instrText>SEQ Table \* ARABIC</w:instrText>
                  </w:r>
                  <w:r>
                    <w:fldChar w:fldCharType="separate"/>
                  </w:r>
                  <w:r w:rsidR="008D2566">
                    <w:rPr>
                      <w:noProof/>
                    </w:rPr>
                    <w:t>49</w:t>
                  </w:r>
                  <w:r>
                    <w:fldChar w:fldCharType="end"/>
                  </w:r>
                  <w:bookmarkEnd w:id="525"/>
                  <w:r w:rsidRPr="417BA448">
                    <w:rPr>
                      <w:lang w:val="en-NZ"/>
                    </w:rPr>
                    <w:t>: Enablers and barriers to implementation of FaRS and SFVS</w:t>
                  </w:r>
                </w:p>
                <w:tbl>
                  <w:tblPr>
                    <w:tblStyle w:val="ACTableDesign"/>
                    <w:tblW w:w="9495" w:type="dxa"/>
                    <w:tblLook w:val="04A0" w:firstRow="1" w:lastRow="0" w:firstColumn="1" w:lastColumn="0" w:noHBand="0" w:noVBand="1"/>
                  </w:tblPr>
                  <w:tblGrid>
                    <w:gridCol w:w="4747"/>
                    <w:gridCol w:w="4748"/>
                  </w:tblGrid>
                  <w:tr w:rsidR="005468C7" w14:paraId="7EB799DB" w14:textId="77777777" w:rsidTr="00651CF3">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dxa"/>
                        <w:shd w:val="clear" w:color="auto" w:fill="007E00" w:themeFill="accent3"/>
                      </w:tcPr>
                      <w:p w14:paraId="7B543EAB" w14:textId="644CE044" w:rsidR="005468C7" w:rsidRPr="00253268" w:rsidRDefault="008651ED" w:rsidP="00611A9D">
                        <w:pPr>
                          <w:pStyle w:val="Text"/>
                          <w:rPr>
                            <w:b/>
                            <w:bCs/>
                          </w:rPr>
                        </w:pPr>
                        <w:r w:rsidRPr="00253268">
                          <w:rPr>
                            <w:b/>
                            <w:bCs/>
                          </w:rPr>
                          <w:t xml:space="preserve">Enablers </w:t>
                        </w:r>
                      </w:p>
                    </w:tc>
                    <w:tc>
                      <w:tcPr>
                        <w:tcW w:w="0" w:type="dxa"/>
                        <w:shd w:val="clear" w:color="auto" w:fill="007E00" w:themeFill="accent3"/>
                      </w:tcPr>
                      <w:p w14:paraId="69F53322" w14:textId="10FA3E79" w:rsidR="005468C7" w:rsidRPr="00253268" w:rsidRDefault="008651ED" w:rsidP="00611A9D">
                        <w:pPr>
                          <w:pStyle w:val="Text"/>
                          <w:cnfStyle w:val="100000000000" w:firstRow="1" w:lastRow="0" w:firstColumn="0" w:lastColumn="0" w:oddVBand="0" w:evenVBand="0" w:oddHBand="0" w:evenHBand="0" w:firstRowFirstColumn="0" w:firstRowLastColumn="0" w:lastRowFirstColumn="0" w:lastRowLastColumn="0"/>
                          <w:rPr>
                            <w:b/>
                            <w:bCs/>
                          </w:rPr>
                        </w:pPr>
                        <w:r w:rsidRPr="00253268">
                          <w:rPr>
                            <w:b/>
                            <w:bCs/>
                          </w:rPr>
                          <w:t xml:space="preserve">Barriers </w:t>
                        </w:r>
                      </w:p>
                    </w:tc>
                  </w:tr>
                  <w:tr w:rsidR="00677767" w14:paraId="73D239B4" w14:textId="77777777" w:rsidTr="00651C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vAlign w:val="top"/>
                      </w:tcPr>
                      <w:p w14:paraId="64966616" w14:textId="26ADFED7" w:rsidR="00677767" w:rsidRPr="003551F7" w:rsidRDefault="00677767" w:rsidP="003371DC">
                        <w:pPr>
                          <w:pStyle w:val="TableText"/>
                        </w:pPr>
                        <w:r w:rsidRPr="480DF3B0">
                          <w:rPr>
                            <w:b/>
                            <w:lang w:val="en-NZ"/>
                          </w:rPr>
                          <w:t>Flexibility of the FaRS and SFVS model</w:t>
                        </w:r>
                        <w:r w:rsidR="004D469C" w:rsidRPr="480DF3B0">
                          <w:rPr>
                            <w:b/>
                            <w:lang w:val="en-NZ"/>
                          </w:rPr>
                          <w:t xml:space="preserve">: </w:t>
                        </w:r>
                        <w:r w:rsidR="004D469C" w:rsidRPr="480DF3B0">
                          <w:rPr>
                            <w:lang w:val="en-NZ"/>
                          </w:rPr>
                          <w:t>Service providers</w:t>
                        </w:r>
                        <w:r w:rsidR="004D469C" w:rsidRPr="480DF3B0">
                          <w:rPr>
                            <w:b/>
                            <w:lang w:val="en-NZ"/>
                          </w:rPr>
                          <w:t xml:space="preserve"> </w:t>
                        </w:r>
                        <w:r w:rsidR="005A15A2" w:rsidRPr="480DF3B0">
                          <w:rPr>
                            <w:lang w:val="en-NZ"/>
                          </w:rPr>
                          <w:t>deliver adaptive, service</w:t>
                        </w:r>
                        <w:r w:rsidR="001A7B58" w:rsidRPr="480DF3B0">
                          <w:rPr>
                            <w:lang w:val="en-NZ"/>
                          </w:rPr>
                          <w:t xml:space="preserve"> user-centred</w:t>
                        </w:r>
                        <w:r w:rsidR="005A15A2" w:rsidRPr="480DF3B0">
                          <w:rPr>
                            <w:lang w:val="en-NZ"/>
                          </w:rPr>
                          <w:t xml:space="preserve"> programs and care </w:t>
                        </w:r>
                        <w:r w:rsidR="00364ADE" w:rsidRPr="480DF3B0">
                          <w:rPr>
                            <w:lang w:val="en-NZ"/>
                          </w:rPr>
                          <w:t xml:space="preserve">that are responsive to </w:t>
                        </w:r>
                        <w:r w:rsidR="003A42C7" w:rsidRPr="480DF3B0">
                          <w:rPr>
                            <w:lang w:val="en-NZ"/>
                          </w:rPr>
                          <w:t>individual and community need.</w:t>
                        </w:r>
                      </w:p>
                    </w:tc>
                    <w:tc>
                      <w:tcPr>
                        <w:tcW w:w="0" w:type="dxa"/>
                        <w:vAlign w:val="top"/>
                      </w:tcPr>
                      <w:p w14:paraId="0CAE8E96" w14:textId="710507BA" w:rsidR="005432D3" w:rsidRPr="003371DC" w:rsidRDefault="00677767" w:rsidP="00A913AA">
                        <w:pPr>
                          <w:pStyle w:val="TableText"/>
                          <w:cnfStyle w:val="000000100000" w:firstRow="0" w:lastRow="0" w:firstColumn="0" w:lastColumn="0" w:oddVBand="0" w:evenVBand="0" w:oddHBand="1" w:evenHBand="0" w:firstRowFirstColumn="0" w:firstRowLastColumn="0" w:lastRowFirstColumn="0" w:lastRowLastColumn="0"/>
                          <w:rPr>
                            <w:b/>
                            <w:lang w:val="en-NZ"/>
                          </w:rPr>
                        </w:pPr>
                        <w:r w:rsidRPr="480DF3B0">
                          <w:rPr>
                            <w:b/>
                            <w:lang w:val="en-NZ"/>
                          </w:rPr>
                          <w:t>Funding shortfalls limiting flexibility and innovation</w:t>
                        </w:r>
                        <w:r w:rsidR="00762F2E" w:rsidRPr="480DF3B0">
                          <w:rPr>
                            <w:b/>
                            <w:lang w:val="en-NZ"/>
                          </w:rPr>
                          <w:t xml:space="preserve">: </w:t>
                        </w:r>
                        <w:r w:rsidR="00106677" w:rsidRPr="480DF3B0">
                          <w:rPr>
                            <w:lang w:val="en-NZ"/>
                          </w:rPr>
                          <w:t xml:space="preserve">Service </w:t>
                        </w:r>
                        <w:r w:rsidR="005C23BB" w:rsidRPr="480DF3B0">
                          <w:rPr>
                            <w:lang w:val="en-NZ"/>
                          </w:rPr>
                          <w:t>providers’</w:t>
                        </w:r>
                        <w:r w:rsidR="00106677" w:rsidRPr="480DF3B0">
                          <w:rPr>
                            <w:lang w:val="en-NZ"/>
                          </w:rPr>
                          <w:t xml:space="preserve"> </w:t>
                        </w:r>
                        <w:r w:rsidR="00826E34" w:rsidRPr="480DF3B0">
                          <w:rPr>
                            <w:lang w:val="en-NZ"/>
                          </w:rPr>
                          <w:t xml:space="preserve">ability to adapt to meet service </w:t>
                        </w:r>
                        <w:r w:rsidR="005C23BB" w:rsidRPr="480DF3B0">
                          <w:rPr>
                            <w:lang w:val="en-NZ"/>
                          </w:rPr>
                          <w:t>users’</w:t>
                        </w:r>
                        <w:r w:rsidR="00826E34" w:rsidRPr="480DF3B0">
                          <w:rPr>
                            <w:lang w:val="en-NZ"/>
                          </w:rPr>
                          <w:t xml:space="preserve"> needs were contingent on </w:t>
                        </w:r>
                        <w:r w:rsidR="001F6211" w:rsidRPr="480DF3B0">
                          <w:rPr>
                            <w:lang w:val="en-NZ"/>
                          </w:rPr>
                          <w:t xml:space="preserve">the amount of </w:t>
                        </w:r>
                        <w:r w:rsidR="004015A1" w:rsidRPr="480DF3B0">
                          <w:rPr>
                            <w:lang w:val="en-NZ"/>
                          </w:rPr>
                          <w:t xml:space="preserve">FaRS SFVS </w:t>
                        </w:r>
                        <w:r w:rsidR="001C089B" w:rsidRPr="480DF3B0">
                          <w:rPr>
                            <w:lang w:val="en-NZ"/>
                          </w:rPr>
                          <w:t xml:space="preserve">funding they received, funding received from other sources, and their ability to collaborate with and refer to other services. </w:t>
                        </w:r>
                        <w:r w:rsidR="002526EF" w:rsidRPr="480DF3B0">
                          <w:rPr>
                            <w:lang w:val="en-NZ"/>
                          </w:rPr>
                          <w:t xml:space="preserve">Lack of access to crisis brokerage and childcare </w:t>
                        </w:r>
                        <w:r w:rsidR="005C23BB" w:rsidRPr="480DF3B0">
                          <w:rPr>
                            <w:lang w:val="en-NZ"/>
                          </w:rPr>
                          <w:t>support</w:t>
                        </w:r>
                        <w:r w:rsidR="002526EF" w:rsidRPr="480DF3B0">
                          <w:rPr>
                            <w:lang w:val="en-NZ"/>
                          </w:rPr>
                          <w:t xml:space="preserve"> </w:t>
                        </w:r>
                        <w:r w:rsidR="004015A1" w:rsidRPr="480DF3B0">
                          <w:rPr>
                            <w:lang w:val="en-NZ"/>
                          </w:rPr>
                          <w:t>fur</w:t>
                        </w:r>
                        <w:r w:rsidR="00B2591A" w:rsidRPr="480DF3B0">
                          <w:rPr>
                            <w:lang w:val="en-NZ"/>
                          </w:rPr>
                          <w:t>ther limits</w:t>
                        </w:r>
                        <w:r w:rsidR="002526EF" w:rsidRPr="480DF3B0">
                          <w:rPr>
                            <w:lang w:val="en-NZ"/>
                          </w:rPr>
                          <w:t xml:space="preserve"> their ability to meet service user needs. </w:t>
                        </w:r>
                      </w:p>
                      <w:p w14:paraId="78D739D3" w14:textId="25FFD570" w:rsidR="00D223E1" w:rsidRPr="00471C4E" w:rsidRDefault="00A14F70" w:rsidP="003371DC">
                        <w:pPr>
                          <w:pStyle w:val="TableText"/>
                          <w:cnfStyle w:val="000000100000" w:firstRow="0" w:lastRow="0" w:firstColumn="0" w:lastColumn="0" w:oddVBand="0" w:evenVBand="0" w:oddHBand="1" w:evenHBand="0" w:firstRowFirstColumn="0" w:firstRowLastColumn="0" w:lastRowFirstColumn="0" w:lastRowLastColumn="0"/>
                          <w:rPr>
                            <w:b/>
                            <w:lang w:val="en-NZ"/>
                          </w:rPr>
                        </w:pPr>
                        <w:r w:rsidRPr="480DF3B0">
                          <w:rPr>
                            <w:b/>
                            <w:lang w:val="en-NZ"/>
                          </w:rPr>
                          <w:t xml:space="preserve">The </w:t>
                        </w:r>
                        <w:r w:rsidR="005432D3" w:rsidRPr="480DF3B0">
                          <w:rPr>
                            <w:b/>
                            <w:lang w:val="en-NZ"/>
                          </w:rPr>
                          <w:t xml:space="preserve">tension between the flexible, early intervention model and the complexity of need: </w:t>
                        </w:r>
                        <w:r w:rsidR="005432D3" w:rsidRPr="480DF3B0">
                          <w:rPr>
                            <w:lang w:val="en-NZ"/>
                          </w:rPr>
                          <w:t>Service users are presenting with complex needs which require more extensive, long-term support</w:t>
                        </w:r>
                        <w:r w:rsidR="008F40EA" w:rsidRPr="480DF3B0">
                          <w:rPr>
                            <w:lang w:val="en-NZ"/>
                          </w:rPr>
                          <w:t xml:space="preserve">. </w:t>
                        </w:r>
                      </w:p>
                    </w:tc>
                  </w:tr>
                  <w:tr w:rsidR="00677767" w14:paraId="29D353C4" w14:textId="77777777" w:rsidTr="00651CF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vAlign w:val="top"/>
                      </w:tcPr>
                      <w:p w14:paraId="62FC9783" w14:textId="62ABFC08" w:rsidR="00677767" w:rsidRPr="003371DC" w:rsidRDefault="00677767" w:rsidP="003371DC">
                        <w:pPr>
                          <w:pStyle w:val="TableText"/>
                        </w:pPr>
                        <w:r w:rsidRPr="0CAE5FDE">
                          <w:rPr>
                            <w:b/>
                          </w:rPr>
                          <w:t>Partnerships, co-locations</w:t>
                        </w:r>
                        <w:r w:rsidR="009559B8" w:rsidRPr="0CAE5FDE">
                          <w:rPr>
                            <w:b/>
                          </w:rPr>
                          <w:t>,</w:t>
                        </w:r>
                        <w:r w:rsidRPr="0CAE5FDE">
                          <w:rPr>
                            <w:b/>
                          </w:rPr>
                          <w:t xml:space="preserve"> and holistic models of care</w:t>
                        </w:r>
                        <w:r w:rsidR="00CB21E0" w:rsidRPr="0CAE5FDE">
                          <w:rPr>
                            <w:b/>
                          </w:rPr>
                          <w:t xml:space="preserve">: </w:t>
                        </w:r>
                        <w:r w:rsidR="00A64143" w:rsidRPr="0CAE5FDE">
                          <w:t>‘No wrong door’ poli</w:t>
                        </w:r>
                        <w:r w:rsidR="00A86158">
                          <w:t xml:space="preserve">cies </w:t>
                        </w:r>
                        <w:r w:rsidR="00A64143" w:rsidRPr="0CAE5FDE">
                          <w:t xml:space="preserve">allow </w:t>
                        </w:r>
                        <w:r w:rsidR="001F6211" w:rsidRPr="0CAE5FDE">
                          <w:t>service</w:t>
                        </w:r>
                        <w:r w:rsidR="001F6211">
                          <w:t xml:space="preserve"> providers</w:t>
                        </w:r>
                        <w:r w:rsidR="001F6211" w:rsidRPr="0CAE5FDE">
                          <w:t xml:space="preserve"> </w:t>
                        </w:r>
                        <w:r w:rsidR="00A64143" w:rsidRPr="0CAE5FDE">
                          <w:t xml:space="preserve">to </w:t>
                        </w:r>
                        <w:r w:rsidR="001F6211">
                          <w:t xml:space="preserve">give </w:t>
                        </w:r>
                        <w:r w:rsidR="00A64143" w:rsidRPr="0CAE5FDE">
                          <w:t xml:space="preserve">wraparound, continuous care. </w:t>
                        </w:r>
                        <w:r w:rsidR="00AB6B9C" w:rsidRPr="0CAE5FDE">
                          <w:t>Where s</w:t>
                        </w:r>
                        <w:r w:rsidR="008F36E8" w:rsidRPr="0CAE5FDE">
                          <w:t xml:space="preserve">upport </w:t>
                        </w:r>
                        <w:r w:rsidR="00AB6B9C" w:rsidRPr="0CAE5FDE">
                          <w:t xml:space="preserve">cannot </w:t>
                        </w:r>
                        <w:r w:rsidR="0031723A">
                          <w:t xml:space="preserve">be </w:t>
                        </w:r>
                        <w:r w:rsidR="00AB6B9C" w:rsidRPr="0CAE5FDE">
                          <w:t>provide</w:t>
                        </w:r>
                        <w:r w:rsidR="0031723A">
                          <w:t>d</w:t>
                        </w:r>
                        <w:r w:rsidR="00AB6B9C" w:rsidRPr="0CAE5FDE">
                          <w:t xml:space="preserve"> in-house, referrals</w:t>
                        </w:r>
                        <w:r w:rsidR="001F1F82" w:rsidRPr="0CAE5FDE">
                          <w:t xml:space="preserve"> – enabled through strong relationships and partnerships with other service providers – </w:t>
                        </w:r>
                        <w:r w:rsidR="001F1F82" w:rsidRPr="0CAE5FDE" w:rsidDel="00F047B1">
                          <w:t xml:space="preserve">are </w:t>
                        </w:r>
                        <w:r w:rsidR="00F047B1">
                          <w:t>beneficial</w:t>
                        </w:r>
                        <w:r w:rsidR="001F1F82" w:rsidRPr="0CAE5FDE">
                          <w:t xml:space="preserve">. </w:t>
                        </w:r>
                      </w:p>
                    </w:tc>
                    <w:tc>
                      <w:tcPr>
                        <w:tcW w:w="0" w:type="dxa"/>
                        <w:vAlign w:val="top"/>
                      </w:tcPr>
                      <w:p w14:paraId="0F4D76CD" w14:textId="09511670" w:rsidR="00677767" w:rsidRPr="00440D67" w:rsidRDefault="00AA7C5B" w:rsidP="003371DC">
                        <w:pPr>
                          <w:pStyle w:val="TableText"/>
                          <w:cnfStyle w:val="000000010000" w:firstRow="0" w:lastRow="0" w:firstColumn="0" w:lastColumn="0" w:oddVBand="0" w:evenVBand="0" w:oddHBand="0" w:evenHBand="1" w:firstRowFirstColumn="0" w:firstRowLastColumn="0" w:lastRowFirstColumn="0" w:lastRowLastColumn="0"/>
                          <w:rPr>
                            <w:b/>
                            <w:lang w:val="en-NZ"/>
                          </w:rPr>
                        </w:pPr>
                        <w:r w:rsidRPr="480DF3B0">
                          <w:rPr>
                            <w:b/>
                            <w:lang w:val="en-NZ"/>
                          </w:rPr>
                          <w:t xml:space="preserve">Partnerships, co-locations, and holistic models of care: </w:t>
                        </w:r>
                        <w:r w:rsidR="0025588A" w:rsidRPr="480DF3B0">
                          <w:rPr>
                            <w:lang w:val="en-NZ"/>
                          </w:rPr>
                          <w:t>L</w:t>
                        </w:r>
                        <w:r w:rsidR="001A7B58" w:rsidRPr="480DF3B0">
                          <w:rPr>
                            <w:lang w:val="en-NZ"/>
                          </w:rPr>
                          <w:t>imited service</w:t>
                        </w:r>
                        <w:r w:rsidR="0021796F" w:rsidRPr="480DF3B0">
                          <w:rPr>
                            <w:lang w:val="en-NZ"/>
                          </w:rPr>
                          <w:t xml:space="preserve"> option</w:t>
                        </w:r>
                        <w:r w:rsidR="00A86158" w:rsidRPr="480DF3B0">
                          <w:rPr>
                            <w:lang w:val="en-NZ"/>
                          </w:rPr>
                          <w:t>s</w:t>
                        </w:r>
                        <w:r w:rsidR="0021796F" w:rsidRPr="480DF3B0">
                          <w:rPr>
                            <w:lang w:val="en-NZ"/>
                          </w:rPr>
                          <w:t xml:space="preserve"> in rural and remote areas, long waitlists,</w:t>
                        </w:r>
                        <w:r w:rsidR="00904FE8" w:rsidRPr="480DF3B0">
                          <w:rPr>
                            <w:lang w:val="en-NZ"/>
                          </w:rPr>
                          <w:t xml:space="preserve"> </w:t>
                        </w:r>
                        <w:r w:rsidR="00BD6338" w:rsidRPr="480DF3B0">
                          <w:rPr>
                            <w:lang w:val="en-NZ"/>
                          </w:rPr>
                          <w:t>and</w:t>
                        </w:r>
                        <w:r w:rsidR="0021796F" w:rsidRPr="480DF3B0">
                          <w:rPr>
                            <w:lang w:val="en-NZ"/>
                          </w:rPr>
                          <w:t xml:space="preserve"> unclear referral pathways</w:t>
                        </w:r>
                        <w:r w:rsidR="00BD6338" w:rsidRPr="480DF3B0">
                          <w:rPr>
                            <w:lang w:val="en-NZ"/>
                          </w:rPr>
                          <w:t>. Collaboration is undermined by competit</w:t>
                        </w:r>
                        <w:r w:rsidR="005C2D17" w:rsidRPr="480DF3B0">
                          <w:rPr>
                            <w:lang w:val="en-NZ"/>
                          </w:rPr>
                          <w:t xml:space="preserve">ive tendering processes, insufficient time </w:t>
                        </w:r>
                        <w:r w:rsidR="000423D0" w:rsidRPr="480DF3B0">
                          <w:rPr>
                            <w:lang w:val="en-NZ"/>
                          </w:rPr>
                          <w:t>given</w:t>
                        </w:r>
                        <w:r w:rsidR="005C2D17" w:rsidRPr="480DF3B0">
                          <w:rPr>
                            <w:lang w:val="en-NZ"/>
                          </w:rPr>
                          <w:t xml:space="preserve"> to relationship building due to a focus on meeting demand, and differences in approaches to service delivery.</w:t>
                        </w:r>
                      </w:p>
                    </w:tc>
                  </w:tr>
                  <w:tr w:rsidR="00AA7C5B" w14:paraId="21D58F5B" w14:textId="77777777" w:rsidTr="00651C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vAlign w:val="top"/>
                      </w:tcPr>
                      <w:p w14:paraId="6D42420F" w14:textId="477C229A" w:rsidR="00AA7C5B" w:rsidRPr="003371DC" w:rsidRDefault="00AA7C5B" w:rsidP="003371DC">
                        <w:pPr>
                          <w:pStyle w:val="TableText"/>
                        </w:pPr>
                        <w:r w:rsidRPr="0CAE5FDE">
                          <w:rPr>
                            <w:b/>
                          </w:rPr>
                          <w:t>Workforce size, capacity, and capabilities</w:t>
                        </w:r>
                        <w:r w:rsidR="00BF36D1" w:rsidRPr="0CAE5FDE">
                          <w:rPr>
                            <w:b/>
                          </w:rPr>
                          <w:t>:</w:t>
                        </w:r>
                        <w:r w:rsidR="00BE368A" w:rsidRPr="0CAE5FDE">
                          <w:rPr>
                            <w:b/>
                          </w:rPr>
                          <w:t xml:space="preserve"> </w:t>
                        </w:r>
                        <w:r w:rsidR="00BE368A" w:rsidRPr="0CAE5FDE">
                          <w:t>Staff are highly trained and competent</w:t>
                        </w:r>
                        <w:r w:rsidR="00525EA7" w:rsidRPr="0CAE5FDE">
                          <w:t>.</w:t>
                        </w:r>
                        <w:r w:rsidR="008D5372" w:rsidRPr="0CAE5FDE">
                          <w:t xml:space="preserve"> Due to the diversity and strength of thei</w:t>
                        </w:r>
                        <w:r w:rsidR="00E24C77">
                          <w:t>r</w:t>
                        </w:r>
                        <w:r w:rsidR="008D5372" w:rsidRPr="0CAE5FDE">
                          <w:t xml:space="preserve"> workforce</w:t>
                        </w:r>
                        <w:r w:rsidR="00E24C77">
                          <w:t>s</w:t>
                        </w:r>
                        <w:r w:rsidR="008D5372" w:rsidRPr="0CAE5FDE">
                          <w:t xml:space="preserve"> some service providers </w:t>
                        </w:r>
                        <w:r w:rsidR="00762F2E" w:rsidRPr="0CAE5FDE">
                          <w:t>can</w:t>
                        </w:r>
                        <w:r w:rsidR="008D5372" w:rsidRPr="0CAE5FDE">
                          <w:t xml:space="preserve"> match service users to counsellors based on </w:t>
                        </w:r>
                        <w:r w:rsidR="00E24C77">
                          <w:t>needs.</w:t>
                        </w:r>
                      </w:p>
                    </w:tc>
                    <w:tc>
                      <w:tcPr>
                        <w:tcW w:w="0" w:type="dxa"/>
                        <w:vAlign w:val="top"/>
                      </w:tcPr>
                      <w:p w14:paraId="21ED25F3" w14:textId="7AF0B0A5" w:rsidR="00AA7C5B" w:rsidRPr="00440D67" w:rsidRDefault="00AA7C5B" w:rsidP="003371DC">
                        <w:pPr>
                          <w:pStyle w:val="TableText"/>
                          <w:cnfStyle w:val="000000100000" w:firstRow="0" w:lastRow="0" w:firstColumn="0" w:lastColumn="0" w:oddVBand="0" w:evenVBand="0" w:oddHBand="1" w:evenHBand="0" w:firstRowFirstColumn="0" w:firstRowLastColumn="0" w:lastRowFirstColumn="0" w:lastRowLastColumn="0"/>
                          <w:rPr>
                            <w:b/>
                            <w:lang w:val="en-NZ"/>
                          </w:rPr>
                        </w:pPr>
                        <w:r w:rsidRPr="480DF3B0">
                          <w:rPr>
                            <w:b/>
                            <w:lang w:val="en-NZ"/>
                          </w:rPr>
                          <w:t>Workforce size, capacity, and capabilities</w:t>
                        </w:r>
                        <w:r w:rsidR="001A7B58" w:rsidRPr="480DF3B0">
                          <w:rPr>
                            <w:b/>
                            <w:lang w:val="en-NZ"/>
                          </w:rPr>
                          <w:t xml:space="preserve">: </w:t>
                        </w:r>
                        <w:r w:rsidR="001A7B58" w:rsidRPr="480DF3B0">
                          <w:rPr>
                            <w:lang w:val="en-NZ"/>
                          </w:rPr>
                          <w:t>Shortage of</w:t>
                        </w:r>
                        <w:r w:rsidR="00525EA7" w:rsidRPr="480DF3B0">
                          <w:rPr>
                            <w:lang w:val="en-NZ"/>
                          </w:rPr>
                          <w:t xml:space="preserve"> specialist</w:t>
                        </w:r>
                        <w:r w:rsidR="001A7B58" w:rsidRPr="480DF3B0">
                          <w:rPr>
                            <w:lang w:val="en-NZ"/>
                          </w:rPr>
                          <w:t xml:space="preserve"> staff and training opportunities </w:t>
                        </w:r>
                        <w:r w:rsidR="00BE368A" w:rsidRPr="480DF3B0">
                          <w:rPr>
                            <w:lang w:val="en-NZ"/>
                          </w:rPr>
                          <w:t xml:space="preserve">to meet </w:t>
                        </w:r>
                        <w:r w:rsidR="00C45716">
                          <w:rPr>
                            <w:lang w:val="en-NZ"/>
                          </w:rPr>
                          <w:t>increasing</w:t>
                        </w:r>
                        <w:r w:rsidR="00BE368A" w:rsidRPr="480DF3B0">
                          <w:rPr>
                            <w:lang w:val="en-NZ"/>
                          </w:rPr>
                          <w:t xml:space="preserve"> </w:t>
                        </w:r>
                        <w:r w:rsidR="00E24C77" w:rsidRPr="480DF3B0">
                          <w:rPr>
                            <w:lang w:val="en-NZ"/>
                          </w:rPr>
                          <w:t xml:space="preserve">service user </w:t>
                        </w:r>
                        <w:r w:rsidR="00BE368A" w:rsidRPr="480DF3B0">
                          <w:rPr>
                            <w:lang w:val="en-NZ"/>
                          </w:rPr>
                          <w:t>complexity.</w:t>
                        </w:r>
                        <w:r w:rsidR="00525EA7" w:rsidRPr="480DF3B0">
                          <w:rPr>
                            <w:lang w:val="en-NZ"/>
                          </w:rPr>
                          <w:t xml:space="preserve"> Barriers to </w:t>
                        </w:r>
                        <w:r w:rsidR="008D5372" w:rsidRPr="480DF3B0">
                          <w:rPr>
                            <w:lang w:val="en-NZ"/>
                          </w:rPr>
                          <w:t xml:space="preserve">hiring and retaining staff, particularly in rural and remote areas, which undermines continuous care. </w:t>
                        </w:r>
                      </w:p>
                    </w:tc>
                  </w:tr>
                  <w:tr w:rsidR="00677767" w14:paraId="78680535" w14:textId="77777777" w:rsidTr="00651CF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vAlign w:val="top"/>
                      </w:tcPr>
                      <w:p w14:paraId="2CC2A86D" w14:textId="70E9F105" w:rsidR="00677767" w:rsidRPr="00440D67" w:rsidRDefault="00677767" w:rsidP="003371DC">
                        <w:pPr>
                          <w:pStyle w:val="TableText"/>
                          <w:rPr>
                            <w:b/>
                            <w:lang w:val="en-NZ"/>
                          </w:rPr>
                        </w:pPr>
                        <w:r w:rsidRPr="480DF3B0">
                          <w:rPr>
                            <w:b/>
                            <w:lang w:val="en-NZ"/>
                          </w:rPr>
                          <w:lastRenderedPageBreak/>
                          <w:t>Culturally appropriate service provision</w:t>
                        </w:r>
                        <w:r w:rsidR="00337D5C" w:rsidRPr="480DF3B0">
                          <w:rPr>
                            <w:b/>
                            <w:lang w:val="en-NZ"/>
                          </w:rPr>
                          <w:t xml:space="preserve">: </w:t>
                        </w:r>
                        <w:r w:rsidR="00337D5C" w:rsidRPr="480DF3B0">
                          <w:rPr>
                            <w:lang w:val="en-NZ"/>
                          </w:rPr>
                          <w:t xml:space="preserve">Some service providers </w:t>
                        </w:r>
                        <w:r w:rsidR="009F5658" w:rsidRPr="480DF3B0">
                          <w:rPr>
                            <w:lang w:val="en-NZ"/>
                          </w:rPr>
                          <w:t xml:space="preserve">were successful in developing programs with and for Aboriginal and Torres Strait Islander and CALD communities. This was attributed to sustained engagement </w:t>
                        </w:r>
                        <w:r w:rsidR="00BF2263" w:rsidRPr="480DF3B0">
                          <w:rPr>
                            <w:lang w:val="en-NZ"/>
                          </w:rPr>
                          <w:t>which allowed</w:t>
                        </w:r>
                        <w:r w:rsidR="001D7E8F" w:rsidRPr="480DF3B0">
                          <w:rPr>
                            <w:lang w:val="en-NZ"/>
                          </w:rPr>
                          <w:t xml:space="preserve"> for</w:t>
                        </w:r>
                        <w:r w:rsidR="00BF2263" w:rsidRPr="480DF3B0">
                          <w:rPr>
                            <w:lang w:val="en-NZ"/>
                          </w:rPr>
                          <w:t xml:space="preserve"> trust</w:t>
                        </w:r>
                        <w:r w:rsidR="001D7E8F" w:rsidRPr="480DF3B0">
                          <w:rPr>
                            <w:lang w:val="en-NZ"/>
                          </w:rPr>
                          <w:t xml:space="preserve"> building</w:t>
                        </w:r>
                        <w:r w:rsidR="00BF2263" w:rsidRPr="480DF3B0">
                          <w:rPr>
                            <w:lang w:val="en-NZ"/>
                          </w:rPr>
                          <w:t xml:space="preserve"> and</w:t>
                        </w:r>
                        <w:r w:rsidR="001D7E8F" w:rsidRPr="480DF3B0">
                          <w:rPr>
                            <w:lang w:val="en-NZ"/>
                          </w:rPr>
                          <w:t xml:space="preserve"> for</w:t>
                        </w:r>
                        <w:r w:rsidR="00BF2263" w:rsidRPr="480DF3B0">
                          <w:rPr>
                            <w:lang w:val="en-NZ"/>
                          </w:rPr>
                          <w:t xml:space="preserve"> programs to be catered </w:t>
                        </w:r>
                        <w:r w:rsidR="00E24C77" w:rsidRPr="480DF3B0">
                          <w:rPr>
                            <w:lang w:val="en-NZ"/>
                          </w:rPr>
                          <w:t xml:space="preserve">to </w:t>
                        </w:r>
                        <w:r w:rsidR="00BF2263" w:rsidRPr="480DF3B0">
                          <w:rPr>
                            <w:lang w:val="en-NZ"/>
                          </w:rPr>
                          <w:t xml:space="preserve">need. </w:t>
                        </w:r>
                      </w:p>
                    </w:tc>
                    <w:tc>
                      <w:tcPr>
                        <w:tcW w:w="0" w:type="dxa"/>
                        <w:vAlign w:val="top"/>
                      </w:tcPr>
                      <w:p w14:paraId="42C41BB7" w14:textId="7D03C92D" w:rsidR="00677767" w:rsidRPr="00440D67" w:rsidRDefault="00AD7439" w:rsidP="003371DC">
                        <w:pPr>
                          <w:pStyle w:val="TableText"/>
                          <w:cnfStyle w:val="000000010000" w:firstRow="0" w:lastRow="0" w:firstColumn="0" w:lastColumn="0" w:oddVBand="0" w:evenVBand="0" w:oddHBand="0" w:evenHBand="1" w:firstRowFirstColumn="0" w:firstRowLastColumn="0" w:lastRowFirstColumn="0" w:lastRowLastColumn="0"/>
                          <w:rPr>
                            <w:b/>
                            <w:lang w:val="en-NZ"/>
                          </w:rPr>
                        </w:pPr>
                        <w:r w:rsidRPr="480DF3B0">
                          <w:rPr>
                            <w:b/>
                            <w:lang w:val="en-NZ"/>
                          </w:rPr>
                          <w:t>Culturally appropriate service provision</w:t>
                        </w:r>
                        <w:r w:rsidR="00337D5C" w:rsidRPr="480DF3B0">
                          <w:rPr>
                            <w:b/>
                            <w:lang w:val="en-NZ"/>
                          </w:rPr>
                          <w:t xml:space="preserve">: </w:t>
                        </w:r>
                        <w:r w:rsidR="00E00ED4" w:rsidRPr="480DF3B0">
                          <w:rPr>
                            <w:lang w:val="en-NZ"/>
                          </w:rPr>
                          <w:t xml:space="preserve">Barriers include </w:t>
                        </w:r>
                        <w:r w:rsidR="00A61C6C" w:rsidRPr="480DF3B0">
                          <w:rPr>
                            <w:lang w:val="en-NZ"/>
                          </w:rPr>
                          <w:t xml:space="preserve">lack of resourcing and time for relationship-based work and developing </w:t>
                        </w:r>
                        <w:r w:rsidR="005C23BB" w:rsidRPr="480DF3B0">
                          <w:rPr>
                            <w:lang w:val="en-NZ"/>
                          </w:rPr>
                          <w:t>adaptations</w:t>
                        </w:r>
                        <w:r w:rsidR="00A61C6C" w:rsidRPr="480DF3B0">
                          <w:rPr>
                            <w:lang w:val="en-NZ"/>
                          </w:rPr>
                          <w:t xml:space="preserve"> and </w:t>
                        </w:r>
                        <w:r w:rsidR="00693DBB" w:rsidRPr="480DF3B0">
                          <w:rPr>
                            <w:lang w:val="en-NZ"/>
                          </w:rPr>
                          <w:t xml:space="preserve">lack of trust in some communities. </w:t>
                        </w:r>
                      </w:p>
                    </w:tc>
                  </w:tr>
                  <w:tr w:rsidR="00707F54" w14:paraId="1FACD33E" w14:textId="77777777" w:rsidTr="00651C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vAlign w:val="top"/>
                      </w:tcPr>
                      <w:p w14:paraId="0B95C91D" w14:textId="4770C980" w:rsidR="00707F54" w:rsidRPr="005547DA" w:rsidRDefault="00707F54" w:rsidP="005547DA">
                        <w:pPr>
                          <w:pStyle w:val="TableText"/>
                          <w:rPr>
                            <w:b/>
                            <w:lang w:val="en-NZ"/>
                          </w:rPr>
                        </w:pPr>
                        <w:r w:rsidRPr="480DF3B0">
                          <w:rPr>
                            <w:b/>
                            <w:lang w:val="en-NZ"/>
                          </w:rPr>
                          <w:t xml:space="preserve">Implementing the sliding scale fee </w:t>
                        </w:r>
                        <w:r w:rsidRPr="005547DA">
                          <w:rPr>
                            <w:b/>
                            <w:lang w:val="en-NZ"/>
                          </w:rPr>
                          <w:t xml:space="preserve">model: </w:t>
                        </w:r>
                        <w:r w:rsidR="005E68B7" w:rsidRPr="005547DA">
                          <w:rPr>
                            <w:lang w:val="en-NZ"/>
                          </w:rPr>
                          <w:t>The m</w:t>
                        </w:r>
                        <w:r w:rsidR="00271140" w:rsidRPr="005547DA">
                          <w:rPr>
                            <w:lang w:val="en-NZ"/>
                          </w:rPr>
                          <w:t xml:space="preserve">ajority of FaRS service users who were charged fees did not report them as an accessibility barrier. </w:t>
                        </w:r>
                      </w:p>
                    </w:tc>
                    <w:tc>
                      <w:tcPr>
                        <w:tcW w:w="0" w:type="dxa"/>
                        <w:vAlign w:val="top"/>
                      </w:tcPr>
                      <w:p w14:paraId="0C5122B3" w14:textId="5817BB13" w:rsidR="00707F54" w:rsidRPr="00707F54" w:rsidRDefault="00707F54" w:rsidP="00321BC5">
                        <w:pPr>
                          <w:pStyle w:val="TableText"/>
                          <w:cnfStyle w:val="000000100000" w:firstRow="0" w:lastRow="0" w:firstColumn="0" w:lastColumn="0" w:oddVBand="0" w:evenVBand="0" w:oddHBand="1" w:evenHBand="0" w:firstRowFirstColumn="0" w:firstRowLastColumn="0" w:lastRowFirstColumn="0" w:lastRowLastColumn="0"/>
                          <w:rPr>
                            <w:b/>
                            <w:lang w:val="en-NZ"/>
                          </w:rPr>
                        </w:pPr>
                        <w:r w:rsidRPr="480DF3B0">
                          <w:rPr>
                            <w:b/>
                            <w:lang w:val="en-NZ"/>
                          </w:rPr>
                          <w:t xml:space="preserve">Implementing the sliding scale fee model: </w:t>
                        </w:r>
                        <w:r w:rsidR="005E68B7" w:rsidRPr="480DF3B0">
                          <w:rPr>
                            <w:lang w:val="en-NZ"/>
                          </w:rPr>
                          <w:t>Some FaRS service providers</w:t>
                        </w:r>
                        <w:r w:rsidR="00A02A45" w:rsidRPr="480DF3B0">
                          <w:rPr>
                            <w:lang w:val="en-NZ"/>
                          </w:rPr>
                          <w:t xml:space="preserve"> were unable to use fees to </w:t>
                        </w:r>
                        <w:r w:rsidR="00C45716">
                          <w:rPr>
                            <w:lang w:val="en-NZ"/>
                          </w:rPr>
                          <w:t>raise funds</w:t>
                        </w:r>
                        <w:r w:rsidR="00D01022" w:rsidRPr="480DF3B0">
                          <w:rPr>
                            <w:lang w:val="en-NZ"/>
                          </w:rPr>
                          <w:t xml:space="preserve"> </w:t>
                        </w:r>
                        <w:r w:rsidR="00C45716">
                          <w:rPr>
                            <w:lang w:val="en-NZ"/>
                          </w:rPr>
                          <w:t xml:space="preserve">due </w:t>
                        </w:r>
                        <w:r w:rsidR="00D01022" w:rsidRPr="480DF3B0">
                          <w:rPr>
                            <w:lang w:val="en-NZ"/>
                          </w:rPr>
                          <w:t xml:space="preserve">to the low incomes of their service user base. </w:t>
                        </w:r>
                      </w:p>
                    </w:tc>
                  </w:tr>
                  <w:tr w:rsidR="00337D5C" w14:paraId="2A426999" w14:textId="77777777" w:rsidTr="00651CF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Pr>
                      <w:p w14:paraId="0BB2A5E6" w14:textId="2170BBBE" w:rsidR="00337D5C" w:rsidRPr="00440D67" w:rsidRDefault="0026256A" w:rsidP="00321BC5">
                        <w:pPr>
                          <w:pStyle w:val="TableText"/>
                          <w:rPr>
                            <w:b/>
                            <w:lang w:val="en-NZ"/>
                          </w:rPr>
                        </w:pPr>
                        <w:r w:rsidRPr="480DF3B0">
                          <w:rPr>
                            <w:b/>
                            <w:lang w:val="en-NZ"/>
                          </w:rPr>
                          <w:t xml:space="preserve">Data and information systems: </w:t>
                        </w:r>
                        <w:r w:rsidRPr="480DF3B0">
                          <w:rPr>
                            <w:lang w:val="en-NZ"/>
                          </w:rPr>
                          <w:t xml:space="preserve">FaRS and SFVS </w:t>
                        </w:r>
                        <w:r w:rsidR="00A14F70" w:rsidRPr="480DF3B0">
                          <w:rPr>
                            <w:lang w:val="en-NZ"/>
                          </w:rPr>
                          <w:t xml:space="preserve">reporting </w:t>
                        </w:r>
                        <w:r w:rsidR="00BA0A2E">
                          <w:rPr>
                            <w:lang w:val="en-NZ"/>
                          </w:rPr>
                          <w:t xml:space="preserve">enables </w:t>
                        </w:r>
                        <w:r w:rsidRPr="480DF3B0">
                          <w:rPr>
                            <w:lang w:val="en-NZ"/>
                          </w:rPr>
                          <w:t xml:space="preserve">outcome-based </w:t>
                        </w:r>
                        <w:r w:rsidR="00A14F70" w:rsidRPr="480DF3B0">
                          <w:rPr>
                            <w:lang w:val="en-NZ"/>
                          </w:rPr>
                          <w:t xml:space="preserve">measures. </w:t>
                        </w:r>
                      </w:p>
                    </w:tc>
                    <w:tc>
                      <w:tcPr>
                        <w:tcW w:w="0" w:type="dxa"/>
                      </w:tcPr>
                      <w:p w14:paraId="5F932013" w14:textId="211FB9DC" w:rsidR="00337D5C" w:rsidRPr="00440D67" w:rsidRDefault="00337D5C" w:rsidP="00A913AA">
                        <w:pPr>
                          <w:pStyle w:val="TableText"/>
                          <w:cnfStyle w:val="000000010000" w:firstRow="0" w:lastRow="0" w:firstColumn="0" w:lastColumn="0" w:oddVBand="0" w:evenVBand="0" w:oddHBand="0" w:evenHBand="1" w:firstRowFirstColumn="0" w:firstRowLastColumn="0" w:lastRowFirstColumn="0" w:lastRowLastColumn="0"/>
                          <w:rPr>
                            <w:b/>
                            <w:lang w:val="en-NZ"/>
                          </w:rPr>
                        </w:pPr>
                        <w:r w:rsidRPr="480DF3B0">
                          <w:rPr>
                            <w:b/>
                            <w:lang w:val="en-NZ"/>
                          </w:rPr>
                          <w:t>Data and information systems:</w:t>
                        </w:r>
                        <w:r w:rsidR="0030158B" w:rsidRPr="480DF3B0">
                          <w:rPr>
                            <w:b/>
                            <w:lang w:val="en-NZ"/>
                          </w:rPr>
                          <w:t xml:space="preserve"> </w:t>
                        </w:r>
                        <w:r w:rsidR="0030158B" w:rsidRPr="480DF3B0">
                          <w:rPr>
                            <w:lang w:val="en-NZ"/>
                          </w:rPr>
                          <w:t>Current reporting</w:t>
                        </w:r>
                        <w:r w:rsidR="00361452" w:rsidRPr="480DF3B0">
                          <w:rPr>
                            <w:lang w:val="en-NZ"/>
                          </w:rPr>
                          <w:t xml:space="preserve"> mechanisms</w:t>
                        </w:r>
                        <w:r w:rsidR="00BA0A2E">
                          <w:rPr>
                            <w:lang w:val="en-NZ"/>
                          </w:rPr>
                          <w:t xml:space="preserve"> do not reflect all relevant inputs into service delivery</w:t>
                        </w:r>
                        <w:r w:rsidR="00595851" w:rsidRPr="480DF3B0">
                          <w:rPr>
                            <w:lang w:val="en-NZ"/>
                          </w:rPr>
                          <w:t xml:space="preserve">. </w:t>
                        </w:r>
                        <w:r w:rsidR="009E578F" w:rsidRPr="480DF3B0">
                          <w:rPr>
                            <w:lang w:val="en-NZ"/>
                          </w:rPr>
                          <w:t>In some instances, reporting is duplicative and time-</w:t>
                        </w:r>
                        <w:r w:rsidR="005462C5" w:rsidRPr="480DF3B0">
                          <w:rPr>
                            <w:lang w:val="en-NZ"/>
                          </w:rPr>
                          <w:t>consuming,</w:t>
                        </w:r>
                        <w:r w:rsidR="009E578F" w:rsidRPr="480DF3B0">
                          <w:rPr>
                            <w:lang w:val="en-NZ"/>
                          </w:rPr>
                          <w:t xml:space="preserve"> creating </w:t>
                        </w:r>
                        <w:r w:rsidR="00FF32D7" w:rsidRPr="480DF3B0">
                          <w:rPr>
                            <w:lang w:val="en-NZ"/>
                          </w:rPr>
                          <w:t>an additional</w:t>
                        </w:r>
                        <w:r w:rsidR="009E578F" w:rsidRPr="480DF3B0">
                          <w:rPr>
                            <w:lang w:val="en-NZ"/>
                          </w:rPr>
                          <w:t xml:space="preserve"> workload</w:t>
                        </w:r>
                        <w:r w:rsidR="00FF32D7" w:rsidRPr="480DF3B0">
                          <w:rPr>
                            <w:lang w:val="en-NZ"/>
                          </w:rPr>
                          <w:t xml:space="preserve">. </w:t>
                        </w:r>
                      </w:p>
                    </w:tc>
                  </w:tr>
                </w:tbl>
                <w:p w14:paraId="7AACB8CE" w14:textId="4FF63C3F" w:rsidR="005674C7" w:rsidRPr="00BA0A2E" w:rsidRDefault="005674C7" w:rsidP="00321BC5">
                  <w:pPr>
                    <w:pStyle w:val="Text"/>
                    <w:spacing w:before="360"/>
                    <w:rPr>
                      <w:rStyle w:val="Text-Bold"/>
                      <w:rFonts w:ascii="Arial" w:hAnsi="Arial"/>
                      <w:b w:val="0"/>
                      <w:bCs/>
                      <w:color w:val="36424A" w:themeColor="background2"/>
                      <w:sz w:val="21"/>
                      <w:lang w:val="en-US"/>
                    </w:rPr>
                  </w:pPr>
                  <w:r w:rsidRPr="00323C72">
                    <w:rPr>
                      <w:b/>
                    </w:rPr>
                    <w:t xml:space="preserve">Flexibility of the FaRS and SFVS model </w:t>
                  </w:r>
                </w:p>
                <w:p w14:paraId="4F3AAD99" w14:textId="03DB0003" w:rsidR="005674C7" w:rsidRDefault="005674C7" w:rsidP="005674C7">
                  <w:pPr>
                    <w:pStyle w:val="Text"/>
                  </w:pPr>
                  <w:r w:rsidRPr="00F66A9E">
                    <w:t>The flexibility and breadth of the FaRS</w:t>
                  </w:r>
                  <w:r w:rsidR="00752B3C">
                    <w:t xml:space="preserve"> and</w:t>
                  </w:r>
                  <w:r w:rsidRPr="00F66A9E">
                    <w:t xml:space="preserve"> SFVS model was identified by </w:t>
                  </w:r>
                  <w:r w:rsidR="00F82EB5">
                    <w:t>most</w:t>
                  </w:r>
                  <w:r w:rsidRPr="00F66A9E">
                    <w:t xml:space="preserve"> service providers as a key strength, enabling them to deliver adaptive, </w:t>
                  </w:r>
                  <w:r w:rsidR="001D1403">
                    <w:t>service user</w:t>
                  </w:r>
                  <w:r w:rsidRPr="00F66A9E">
                    <w:t xml:space="preserve">-centred programs and care tailored to individual and community need to support a diverse range of </w:t>
                  </w:r>
                  <w:r w:rsidR="00E614D3">
                    <w:t xml:space="preserve">service users </w:t>
                  </w:r>
                  <w:r w:rsidRPr="00F66A9E">
                    <w:t>at both the individual and family-level. As a result</w:t>
                  </w:r>
                  <w:r w:rsidR="005F77BA">
                    <w:t>,</w:t>
                  </w:r>
                  <w:r w:rsidRPr="00F66A9E">
                    <w:t xml:space="preserve"> </w:t>
                  </w:r>
                  <w:r w:rsidR="005F77BA">
                    <w:t>FaRS and SFVS providers are</w:t>
                  </w:r>
                  <w:r w:rsidRPr="00F66A9E">
                    <w:t xml:space="preserve"> deliver</w:t>
                  </w:r>
                  <w:r w:rsidR="005F77BA">
                    <w:t>ing</w:t>
                  </w:r>
                  <w:r w:rsidRPr="00F66A9E">
                    <w:t xml:space="preserve"> counselling and other programs that are responsive to the needs of contemporary Australian</w:t>
                  </w:r>
                  <w:r w:rsidR="00D71BE5">
                    <w:t>s</w:t>
                  </w:r>
                  <w:r>
                    <w:t xml:space="preserve"> </w:t>
                  </w:r>
                  <w:r w:rsidRPr="00C758E5">
                    <w:t xml:space="preserve">(see </w:t>
                  </w:r>
                  <w:r w:rsidR="00C758E5" w:rsidRPr="00C758E5">
                    <w:rPr>
                      <w:b/>
                      <w:bCs/>
                    </w:rPr>
                    <w:t xml:space="preserve">Section </w:t>
                  </w:r>
                  <w:r w:rsidR="00C758E5" w:rsidRPr="00C758E5">
                    <w:rPr>
                      <w:b/>
                      <w:bCs/>
                    </w:rPr>
                    <w:fldChar w:fldCharType="begin" w:fldLock="1"/>
                  </w:r>
                  <w:r w:rsidR="00C758E5" w:rsidRPr="00C758E5">
                    <w:rPr>
                      <w:b/>
                      <w:bCs/>
                    </w:rPr>
                    <w:instrText xml:space="preserve"> REF _Ref208575453 \n \h  \* MERGEFORMAT </w:instrText>
                  </w:r>
                  <w:r w:rsidR="00C758E5" w:rsidRPr="00C758E5">
                    <w:rPr>
                      <w:b/>
                      <w:bCs/>
                    </w:rPr>
                  </w:r>
                  <w:r w:rsidR="00C758E5" w:rsidRPr="00C758E5">
                    <w:rPr>
                      <w:b/>
                      <w:bCs/>
                    </w:rPr>
                    <w:fldChar w:fldCharType="separate"/>
                  </w:r>
                  <w:r w:rsidR="008F22E5">
                    <w:rPr>
                      <w:b/>
                      <w:bCs/>
                    </w:rPr>
                    <w:t>6</w:t>
                  </w:r>
                  <w:r w:rsidR="00C758E5" w:rsidRPr="00C758E5">
                    <w:rPr>
                      <w:b/>
                      <w:bCs/>
                    </w:rPr>
                    <w:fldChar w:fldCharType="end"/>
                  </w:r>
                  <w:r w:rsidRPr="00C758E5">
                    <w:t>). This flex</w:t>
                  </w:r>
                  <w:r w:rsidRPr="00F66A9E">
                    <w:t xml:space="preserve">ibility circumvents a common barrier in the implementation of family violence, family, and relationship programs, namely inflexible activity focused delivery models </w:t>
                  </w:r>
                  <w:r w:rsidRPr="006B3317">
                    <w:fldChar w:fldCharType="begin"/>
                  </w:r>
                  <w:r w:rsidR="00E41D03">
                    <w:instrText xml:space="preserve"> ADDIN ZOTERO_ITEM CSL_CITATION {"citationID":"a1qgsqi99l2","properties":{"formattedCitation":"(Brown et al., 2022; Kulkarni, 2019)","plainCitation":"(Brown et al., 2022; Kulkarni, 2019)","noteIndex":0},"citationItems":[{"id":4668,"uris":["http://zotero.org/groups/5691188/items/CEVFWE68"],"itemData":{"id":4668,"type":"article-journal","container-title":"Cochrane Database of Systematic Reviews","DOI":"10.1002/14651858.CD013648.pub2","ISSN":"14651858","issue":"10","language":"en","source":"DOI.org (Crossref)","title":"Survivor, family and professional experiences of psychosocial interventions for sexual abuse and violence: a qualitative evidence synthesis","title-short":"Survivor, family and professional experiences of psychosocial interventions for sexual abuse and violence","URL":"http://doi.wiley.com/10.1002/14651858.CD013648.pub2","volume":"2022","editor":[{"literal":"Cochrane Developmental, Psychosocial and Learning Problems Group"}],"author":[{"family":"Brown","given":"Sarah"},{"family":"Carter","given":"Grace J"},{"family":"Halliwell","given":"Gemma"},{"family":"Brown","given":"Katherine"},{"family":"Caswell","given":"Rachel"},{"family":"Howarth","given":"Emma"},{"family":"Feder","given":"Gene"},{"family":"O'Doherty","given":"Lorna"}],"accessed":{"date-parts":[["2024",10,4]]},"issued":{"date-parts":[["2022",10,4]]}}},{"id":4574,"uris":["http://zotero.org/groups/5691188/items/TZPFHZIQ"],"itemData":{"id":4574,"type":"article-journal","abstract":"Over the past 50 years, programs serving intimate partner violence (IPV) survivors have expanded nationally. However, despite IPV program growth service gaps remain, particularly for the most marginalized and vulnerable survivor populations. Emerging practice models call for reimagining current IPV service delivery within an intersectional feminist, trauma-informed framework. An overview of intersectional (e.g. survivor-centered, full-frame, culturally specific) and trauma-informed IPV service approaches will be presented highlighting their shared emphasis on power sharing, authentic survivor-advocate relationships, individualized services, and robust systems advocacy. These approaches have the potential to transform IPV services and narrow service gaps if organizations can embed key elements into program design, implementation and evaluation processes. Recommendations for moving the IPV field forward include: 1) expanding survivors’ roles/input; 2) strengthening funding streams and organizational commitment to antioppressive, survivor-defined, trauma-informed services; 3) forging cross-sector advocacy relationships; and 4) building knowledge through research and evaluation.","container-title":"Journal of Family Violence","DOI":"10.1007/s10896-018-0001-5","ISSN":"0885-7482, 1573-2851","issue":"1","journalAbbreviation":"J Fam Viol","language":"en","page":"55-64","source":"DOI.org (Crossref)","title":"Intersectional Trauma-Informed Intimate Partner Violence (IPV) Services: Narrowing the Gap between IPV Service Delivery and Survivor Needs","title-short":"Intersectional Trauma-Informed Intimate Partner Violence (IPV) Services","volume":"34","author":[{"family":"Kulkarni","given":"Shanti"}],"issued":{"date-parts":[["2019",1,15]]}}}],"schema":"https://github.com/citation-style-language/schema/raw/master/csl-citation.json"} </w:instrText>
                  </w:r>
                  <w:r w:rsidRPr="006B3317">
                    <w:fldChar w:fldCharType="separate"/>
                  </w:r>
                  <w:r w:rsidR="00AC138C" w:rsidRPr="00AC138C">
                    <w:rPr>
                      <w:rFonts w:ascii="Arial" w:hAnsi="Arial" w:cs="Arial"/>
                    </w:rPr>
                    <w:t>(Brown et al., 2022; Kulkarni, 2019)</w:t>
                  </w:r>
                  <w:r w:rsidRPr="006B3317">
                    <w:fldChar w:fldCharType="end"/>
                  </w:r>
                  <w:r w:rsidRPr="006B3317">
                    <w:t>,</w:t>
                  </w:r>
                  <w:r>
                    <w:t xml:space="preserve"> </w:t>
                  </w:r>
                  <w:r w:rsidR="00CA586F">
                    <w:t>while</w:t>
                  </w:r>
                  <w:r w:rsidRPr="00F66A9E">
                    <w:t xml:space="preserve"> simultaneously enabling holistic, </w:t>
                  </w:r>
                  <w:r w:rsidR="001D1403">
                    <w:t>service user</w:t>
                  </w:r>
                  <w:r w:rsidRPr="00F66A9E">
                    <w:t xml:space="preserve">-centred approaches </w:t>
                  </w:r>
                  <w:r w:rsidRPr="0002361B">
                    <w:fldChar w:fldCharType="begin"/>
                  </w:r>
                  <w:r w:rsidR="00E41D03">
                    <w:instrText xml:space="preserve"> ADDIN ZOTERO_ITEM CSL_CITATION {"citationID":"ak3jmsd2k9","properties":{"formattedCitation":"(Brown et al., 2022; Honisett et al., 2022; Kulkarni, 2019)","plainCitation":"(Brown et al., 2022; Honisett et al., 2022; Kulkarni, 2019)","noteIndex":0},"citationItems":[{"id":4668,"uris":["http://zotero.org/groups/5691188/items/CEVFWE68"],"itemData":{"id":4668,"type":"article-journal","container-title":"Cochrane Database of Systematic Reviews","DOI":"10.1002/14651858.CD013648.pub2","ISSN":"14651858","issue":"10","language":"en","source":"DOI.org (Crossref)","title":"Survivor, family and professional experiences of psychosocial interventions for sexual abuse and violence: a qualitative evidence synthesis","title-short":"Survivor, family and professional experiences of psychosocial interventions for sexual abuse and violence","URL":"http://doi.wiley.com/10.1002/14651858.CD013648.pub2","volume":"2022","editor":[{"literal":"Cochrane Developmental, Psychosocial and Learning Problems Group"}],"author":[{"family":"Brown","given":"Sarah"},{"family":"Carter","given":"Grace J"},{"family":"Halliwell","given":"Gemma"},{"family":"Brown","given":"Katherine"},{"family":"Caswell","given":"Rachel"},{"family":"Howarth","given":"Emma"},{"family":"Feder","given":"Gene"},{"family":"O'Doherty","given":"Lorna"}],"accessed":{"date-parts":[["2024",10,4]]},"issued":{"date-parts":[["2022",10,4]]}}},{"id":4721,"uris":["http://zotero.org/groups/5691188/items/W9BNSM2E"],"itemData":{"id":4721,"type":"article-journal","abstract":"Objectives: Explore the feasibility of an integrated Child and Family Hub within Victorian Community Health Services (CHS) to identify and respond to family adversities as preventable determinants of child mental health problems.\nMethods: Thirteen Victorian CHS staff and government policy makers (PMs), recruited via snowball sampling, participated in semi-structured interviews exploring: 1) barriers and facilitators for implementing a hub; 2) feasibility of a proposed integrated hub; and 3) resources needed to scale and sustain a hub. Transcripts were analysed employing framework analysis.\nResults: 1) Barriers included inadequate and activity-based funding, inability to fund community paediatricians and inadequate workforce competencies. Facilitators included CHS engagement with vulnerable communities and readiness to act. 2) The proposed hub model was identified as feasible to implement. Local co-design, co-location, and virtual delivery would support hub implementation. 3) To sustainably scale a hub, clear policy leadership and workforce and funding model reviews are needed.\nConclusions: A hub was perceived as feasible when based in CHS; however, local and systemwide issues need consideration to support its sustainable scaling. Implications for public health: Findings will inform the scaling of hub models of care across Victoria and other states to potentially optimise broader child and family health outcomes.","container-title":"Australian and New Zealand Journal of Public Health","DOI":"10.1111/1753-6405.13292","ISSN":"13260200","issue":"6","journalAbbreviation":"Australian and New Zealand Journal of Public Health","language":"en","page":"784-793","source":"DOI.org (Crossref)","title":"The feasibility of a Child and Family Hub within Victorian Community Health Services: a qualitative study","title-short":"The feasibility of a Child and Family Hub within Victorian Community Health Services","volume":"46","author":[{"family":"Honisett","given":"Suzy"},{"family":"Hall","given":"Teresa"},{"family":"Hiscock","given":"Harriet"},{"family":"Goldfeld","given":"Sharon"}],"issued":{"date-parts":[["2022",12]]}}},{"id":4574,"uris":["http://zotero.org/groups/5691188/items/TZPFHZIQ"],"itemData":{"id":4574,"type":"article-journal","abstract":"Over the past 50 years, programs serving intimate partner violence (IPV) survivors have expanded nationally. However, despite IPV program growth service gaps remain, particularly for the most marginalized and vulnerable survivor populations. Emerging practice models call for reimagining current IPV service delivery within an intersectional feminist, trauma-informed framework. An overview of intersectional (e.g. survivor-centered, full-frame, culturally specific) and trauma-informed IPV service approaches will be presented highlighting their shared emphasis on power sharing, authentic survivor-advocate relationships, individualized services, and robust systems advocacy. These approaches have the potential to transform IPV services and narrow service gaps if organizations can embed key elements into program design, implementation and evaluation processes. Recommendations for moving the IPV field forward include: 1) expanding survivors’ roles/input; 2) strengthening funding streams and organizational commitment to antioppressive, survivor-defined, trauma-informed services; 3) forging cross-sector advocacy relationships; and 4) building knowledge through research and evaluation.","container-title":"Journal of Family Violence","DOI":"10.1007/s10896-018-0001-5","ISSN":"0885-7482, 1573-2851","issue":"1","journalAbbreviation":"J Fam Viol","language":"en","page":"55-64","source":"DOI.org (Crossref)","title":"Intersectional Trauma-Informed Intimate Partner Violence (IPV) Services: Narrowing the Gap between IPV Service Delivery and Survivor Needs","title-short":"Intersectional Trauma-Informed Intimate Partner Violence (IPV) Services","volume":"34","author":[{"family":"Kulkarni","given":"Shanti"}],"issued":{"date-parts":[["2019",1,15]]}}}],"schema":"https://github.com/citation-style-language/schema/raw/master/csl-citation.json"} </w:instrText>
                  </w:r>
                  <w:r w:rsidRPr="0002361B">
                    <w:fldChar w:fldCharType="separate"/>
                  </w:r>
                  <w:r w:rsidR="00AC138C" w:rsidRPr="00AC138C">
                    <w:rPr>
                      <w:rFonts w:ascii="Arial" w:hAnsi="Arial" w:cs="Arial"/>
                    </w:rPr>
                    <w:t>(Brown et al., 2022; Honisett et al., 2022; Kulkarni, 2019)</w:t>
                  </w:r>
                  <w:r w:rsidRPr="0002361B">
                    <w:fldChar w:fldCharType="end"/>
                  </w:r>
                  <w:r w:rsidRPr="0002361B">
                    <w:t>,</w:t>
                  </w:r>
                  <w:r>
                    <w:t xml:space="preserve"> </w:t>
                  </w:r>
                </w:p>
                <w:p w14:paraId="19229CAD" w14:textId="33519CF2" w:rsidR="005674C7" w:rsidRPr="00B92885" w:rsidRDefault="005674C7" w:rsidP="005674C7">
                  <w:pPr>
                    <w:pBdr>
                      <w:left w:val="single" w:sz="18" w:space="4" w:color="78B800" w:themeColor="accent1"/>
                    </w:pBdr>
                    <w:tabs>
                      <w:tab w:val="left" w:pos="8080"/>
                    </w:tabs>
                    <w:spacing w:after="0"/>
                    <w:ind w:left="851" w:right="949"/>
                    <w:rPr>
                      <w:b/>
                      <w:bCs/>
                      <w:i/>
                    </w:rPr>
                  </w:pPr>
                  <w:r w:rsidRPr="002E7992">
                    <w:rPr>
                      <w:noProof/>
                    </w:rPr>
                    <w:drawing>
                      <wp:anchor distT="0" distB="0" distL="114300" distR="114300" simplePos="0" relativeHeight="251658418" behindDoc="0" locked="1" layoutInCell="1" allowOverlap="1" wp14:anchorId="61B5E4F2" wp14:editId="5DBEAB93">
                        <wp:simplePos x="0" y="0"/>
                        <wp:positionH relativeFrom="column">
                          <wp:posOffset>0</wp:posOffset>
                        </wp:positionH>
                        <wp:positionV relativeFrom="paragraph">
                          <wp:posOffset>0</wp:posOffset>
                        </wp:positionV>
                        <wp:extent cx="384810" cy="320040"/>
                        <wp:effectExtent l="0" t="0" r="0" b="3810"/>
                        <wp:wrapNone/>
                        <wp:docPr id="1694862591" name="Graphic 1694862591" descr="P4360#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4862591" name="Graphic 1694862591" descr="P4360#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92885">
                    <w:rPr>
                      <w:i/>
                      <w:iCs/>
                    </w:rPr>
                    <w:t>Just from a rural and remote perspective, I think FaRS works best when it’s given that element of flexibility and [gives] the provider opportunity to work within a framework that enables us to deliver a place-based response</w:t>
                  </w:r>
                  <w:r>
                    <w:rPr>
                      <w:i/>
                      <w:iCs/>
                    </w:rPr>
                    <w:t xml:space="preserve"> [</w:t>
                  </w:r>
                  <w:r w:rsidRPr="00B92885">
                    <w:rPr>
                      <w:i/>
                      <w:iCs/>
                    </w:rPr>
                    <w:t>…</w:t>
                  </w:r>
                  <w:r>
                    <w:rPr>
                      <w:i/>
                      <w:iCs/>
                    </w:rPr>
                    <w:t>]</w:t>
                  </w:r>
                  <w:r w:rsidRPr="00B92885">
                    <w:rPr>
                      <w:i/>
                      <w:iCs/>
                    </w:rPr>
                    <w:t xml:space="preserve"> I just pray and hope that we’ll never lose the flexibility to create place-based responses under these funding streams such as FaRS</w:t>
                  </w:r>
                  <w:r>
                    <w:rPr>
                      <w:i/>
                      <w:iCs/>
                    </w:rPr>
                    <w:t xml:space="preserve"> </w:t>
                  </w:r>
                  <w:r w:rsidRPr="00090EAC">
                    <w:rPr>
                      <w:b/>
                      <w:bCs/>
                      <w:i/>
                      <w:iCs/>
                    </w:rPr>
                    <w:t xml:space="preserve">– </w:t>
                  </w:r>
                  <w:r>
                    <w:rPr>
                      <w:b/>
                      <w:bCs/>
                      <w:i/>
                      <w:iCs/>
                    </w:rPr>
                    <w:t>FaRS</w:t>
                  </w:r>
                  <w:r w:rsidRPr="00090EAC">
                    <w:rPr>
                      <w:b/>
                      <w:bCs/>
                      <w:i/>
                      <w:iCs/>
                    </w:rPr>
                    <w:t xml:space="preserve"> service provider</w:t>
                  </w:r>
                </w:p>
                <w:p w14:paraId="6B485782" w14:textId="18FB8AB8" w:rsidR="00EE0ECD" w:rsidRPr="000C09BF" w:rsidRDefault="00EE0ECD" w:rsidP="00321BC5">
                  <w:pPr>
                    <w:pStyle w:val="Text"/>
                    <w:spacing w:before="360"/>
                  </w:pPr>
                  <w:r w:rsidRPr="00321BC5">
                    <w:rPr>
                      <w:b/>
                      <w:color w:val="36424A" w:themeColor="background2"/>
                    </w:rPr>
                    <w:t>Partnerships, co-locations</w:t>
                  </w:r>
                  <w:r w:rsidR="009559B8" w:rsidRPr="00321BC5">
                    <w:rPr>
                      <w:b/>
                      <w:color w:val="36424A" w:themeColor="background2"/>
                    </w:rPr>
                    <w:t>,</w:t>
                  </w:r>
                  <w:r w:rsidRPr="00321BC5">
                    <w:rPr>
                      <w:b/>
                      <w:color w:val="36424A" w:themeColor="background2"/>
                    </w:rPr>
                    <w:t xml:space="preserve"> and holistic models of care</w:t>
                  </w:r>
                </w:p>
                <w:p w14:paraId="0CE3AD8C" w14:textId="57269F9C" w:rsidR="00EE0ECD" w:rsidRDefault="00EE0ECD" w:rsidP="00EE0ECD">
                  <w:pPr>
                    <w:pStyle w:val="Text"/>
                    <w:rPr>
                      <w:bCs/>
                    </w:rPr>
                  </w:pPr>
                  <w:r>
                    <w:t xml:space="preserve">Literature highlights that </w:t>
                  </w:r>
                  <w:r w:rsidR="009079FA">
                    <w:t>i</w:t>
                  </w:r>
                  <w:r w:rsidRPr="003B68F0">
                    <w:t xml:space="preserve">mplementing a </w:t>
                  </w:r>
                  <w:r w:rsidR="003574EC">
                    <w:t>‘</w:t>
                  </w:r>
                  <w:r w:rsidRPr="003B68F0">
                    <w:t>no wrong door</w:t>
                  </w:r>
                  <w:r w:rsidR="003574EC">
                    <w:t>’</w:t>
                  </w:r>
                  <w:r w:rsidRPr="003B68F0">
                    <w:t xml:space="preserve"> approach through a centralised service model helps to ensures families can access a range of supports without fear of being turned away. Service users are provided with choice, control, and flexibility within their support journey, allowing for continuity of care </w:t>
                  </w:r>
                  <w:r w:rsidRPr="003B68F0">
                    <w:fldChar w:fldCharType="begin"/>
                  </w:r>
                  <w:r w:rsidR="00E41D03">
                    <w:instrText xml:space="preserve"> ADDIN ZOTERO_ITEM CSL_CITATION {"citationID":"agoj50c5g0","properties":{"formattedCitation":"(Brown et al., 2022; Honisett et al., 2022)","plainCitation":"(Brown et al., 2022; Honisett et al., 2022)","noteIndex":0},"citationItems":[{"id":4668,"uris":["http://zotero.org/groups/5691188/items/CEVFWE68"],"itemData":{"id":4668,"type":"article-journal","container-title":"Cochrane Database of Systematic Reviews","DOI":"10.1002/14651858.CD013648.pub2","ISSN":"14651858","issue":"10","language":"en","source":"DOI.org (Crossref)","title":"Survivor, family and professional experiences of psychosocial interventions for sexual abuse and violence: a qualitative evidence synthesis","title-short":"Survivor, family and professional experiences of psychosocial interventions for sexual abuse and violence","URL":"http://doi.wiley.com/10.1002/14651858.CD013648.pub2","volume":"2022","editor":[{"literal":"Cochrane Developmental, Psychosocial and Learning Problems Group"}],"author":[{"family":"Brown","given":"Sarah"},{"family":"Carter","given":"Grace J"},{"family":"Halliwell","given":"Gemma"},{"family":"Brown","given":"Katherine"},{"family":"Caswell","given":"Rachel"},{"family":"Howarth","given":"Emma"},{"family":"Feder","given":"Gene"},{"family":"O'Doherty","given":"Lorna"}],"accessed":{"date-parts":[["2024",10,4]]},"issued":{"date-parts":[["2022",10,4]]}}},{"id":4721,"uris":["http://zotero.org/groups/5691188/items/W9BNSM2E"],"itemData":{"id":4721,"type":"article-journal","abstract":"Objectives: Explore the feasibility of an integrated Child and Family Hub within Victorian Community Health Services (CHS) to identify and respond to family adversities as preventable determinants of child mental health problems.\nMethods: Thirteen Victorian CHS staff and government policy makers (PMs), recruited via snowball sampling, participated in semi-structured interviews exploring: 1) barriers and facilitators for implementing a hub; 2) feasibility of a proposed integrated hub; and 3) resources needed to scale and sustain a hub. Transcripts were analysed employing framework analysis.\nResults: 1) Barriers included inadequate and activity-based funding, inability to fund community paediatricians and inadequate workforce competencies. Facilitators included CHS engagement with vulnerable communities and readiness to act. 2) The proposed hub model was identified as feasible to implement. Local co-design, co-location, and virtual delivery would support hub implementation. 3) To sustainably scale a hub, clear policy leadership and workforce and funding model reviews are needed.\nConclusions: A hub was perceived as feasible when based in CHS; however, local and systemwide issues need consideration to support its sustainable scaling. Implications for public health: Findings will inform the scaling of hub models of care across Victoria and other states to potentially optimise broader child and family health outcomes.","container-title":"Australian and New Zealand Journal of Public Health","DOI":"10.1111/1753-6405.13292","ISSN":"13260200","issue":"6","journalAbbreviation":"Australian and New Zealand Journal of Public Health","language":"en","page":"784-793","source":"DOI.org (Crossref)","title":"The feasibility of a Child and Family Hub within Victorian Community Health Services: a qualitative study","title-short":"The feasibility of a Child and Family Hub within Victorian Community Health Services","volume":"46","author":[{"family":"Honisett","given":"Suzy"},{"family":"Hall","given":"Teresa"},{"family":"Hiscock","given":"Harriet"},{"family":"Goldfeld","given":"Sharon"}],"issued":{"date-parts":[["2022",12]]}}}],"schema":"https://github.com/citation-style-language/schema/raw/master/csl-citation.json"} </w:instrText>
                  </w:r>
                  <w:r w:rsidRPr="003B68F0">
                    <w:fldChar w:fldCharType="separate"/>
                  </w:r>
                  <w:r w:rsidRPr="003B68F0">
                    <w:t>(Brown et al., 2022; Honisett et al., 2022)</w:t>
                  </w:r>
                  <w:r w:rsidRPr="003B68F0">
                    <w:fldChar w:fldCharType="end"/>
                  </w:r>
                  <w:r>
                    <w:t xml:space="preserve">. Further, </w:t>
                  </w:r>
                  <w:r w:rsidRPr="00A32814">
                    <w:rPr>
                      <w:bCs/>
                    </w:rPr>
                    <w:t>c</w:t>
                  </w:r>
                  <w:r w:rsidRPr="0094447D">
                    <w:rPr>
                      <w:bCs/>
                    </w:rPr>
                    <w:t xml:space="preserve">ollaborative, cross-sector partnerships enhance service delivery by addressing the multifaceted needs of </w:t>
                  </w:r>
                  <w:r w:rsidR="00E51710">
                    <w:rPr>
                      <w:bCs/>
                    </w:rPr>
                    <w:t xml:space="preserve">victim </w:t>
                  </w:r>
                  <w:r w:rsidRPr="0094447D">
                    <w:rPr>
                      <w:bCs/>
                    </w:rPr>
                    <w:t xml:space="preserve">survivors through streamlined, warm or active referrals and interagency coordination. Partnerships with sectors such as housing, mental health, and legal </w:t>
                  </w:r>
                  <w:r w:rsidRPr="0094447D">
                    <w:rPr>
                      <w:bCs/>
                    </w:rPr>
                    <w:lastRenderedPageBreak/>
                    <w:t xml:space="preserve">support are essential, especially in complex family violence cases </w:t>
                  </w:r>
                  <w:r w:rsidRPr="0094447D">
                    <w:rPr>
                      <w:bCs/>
                    </w:rPr>
                    <w:fldChar w:fldCharType="begin"/>
                  </w:r>
                  <w:r w:rsidR="00E41D03">
                    <w:rPr>
                      <w:bCs/>
                    </w:rPr>
                    <w:instrText xml:space="preserve"> ADDIN ZOTERO_ITEM CSL_CITATION {"citationID":"4knlBh06","properties":{"formattedCitation":"(Brown et al., 2022; Kulkarni, 2019)","plainCitation":"(Brown et al., 2022; Kulkarni, 2019)","noteIndex":0},"citationItems":[{"id":4668,"uris":["http://zotero.org/groups/5691188/items/CEVFWE68"],"itemData":{"id":4668,"type":"article-journal","container-title":"Cochrane Database of Systematic Reviews","DOI":"10.1002/14651858.CD013648.pub2","ISSN":"14651858","issue":"10","language":"en","source":"DOI.org (Crossref)","title":"Survivor, family and professional experiences of psychosocial interventions for sexual abuse and violence: a qualitative evidence synthesis","title-short":"Survivor, family and professional experiences of psychosocial interventions for sexual abuse and violence","URL":"http://doi.wiley.com/10.1002/14651858.CD013648.pub2","volume":"2022","editor":[{"literal":"Cochrane Developmental, Psychosocial and Learning Problems Group"}],"author":[{"family":"Brown","given":"Sarah"},{"family":"Carter","given":"Grace J"},{"family":"Halliwell","given":"Gemma"},{"family":"Brown","given":"Katherine"},{"family":"Caswell","given":"Rachel"},{"family":"Howarth","given":"Emma"},{"family":"Feder","given":"Gene"},{"family":"O'Doherty","given":"Lorna"}],"accessed":{"date-parts":[["2024",10,4]]},"issued":{"date-parts":[["2022",10,4]]}}},{"id":4574,"uris":["http://zotero.org/groups/5691188/items/TZPFHZIQ"],"itemData":{"id":4574,"type":"article-journal","abstract":"Over the past 50 years, programs serving intimate partner violence (IPV) survivors have expanded nationally. However, despite IPV program growth service gaps remain, particularly for the most marginalized and vulnerable survivor populations. Emerging practice models call for reimagining current IPV service delivery within an intersectional feminist, trauma-informed framework. An overview of intersectional (e.g. survivor-centered, full-frame, culturally specific) and trauma-informed IPV service approaches will be presented highlighting their shared emphasis on power sharing, authentic survivor-advocate relationships, individualized services, and robust systems advocacy. These approaches have the potential to transform IPV services and narrow service gaps if organizations can embed key elements into program design, implementation and evaluation processes. Recommendations for moving the IPV field forward include: 1) expanding survivors’ roles/input; 2) strengthening funding streams and organizational commitment to antioppressive, survivor-defined, trauma-informed services; 3) forging cross-sector advocacy relationships; and 4) building knowledge through research and evaluation.","container-title":"Journal of Family Violence","DOI":"10.1007/s10896-018-0001-5","ISSN":"0885-7482, 1573-2851","issue":"1","journalAbbreviation":"J Fam Viol","language":"en","page":"55-64","source":"DOI.org (Crossref)","title":"Intersectional Trauma-Informed Intimate Partner Violence (IPV) Services: Narrowing the Gap between IPV Service Delivery and Survivor Needs","title-short":"Intersectional Trauma-Informed Intimate Partner Violence (IPV) Services","volume":"34","author":[{"family":"Kulkarni","given":"Shanti"}],"issued":{"date-parts":[["2019",1,15]]}}}],"schema":"https://github.com/citation-style-language/schema/raw/master/csl-citation.json"} </w:instrText>
                  </w:r>
                  <w:r w:rsidRPr="0094447D">
                    <w:rPr>
                      <w:bCs/>
                    </w:rPr>
                    <w:fldChar w:fldCharType="separate"/>
                  </w:r>
                  <w:r w:rsidRPr="0094447D">
                    <w:rPr>
                      <w:bCs/>
                    </w:rPr>
                    <w:t>(Brown et al., 2022; Kulkarni, 2019)</w:t>
                  </w:r>
                  <w:r w:rsidRPr="0094447D">
                    <w:rPr>
                      <w:bCs/>
                    </w:rPr>
                    <w:fldChar w:fldCharType="end"/>
                  </w:r>
                  <w:r w:rsidRPr="0094447D">
                    <w:rPr>
                      <w:bCs/>
                    </w:rPr>
                    <w:t>.</w:t>
                  </w:r>
                </w:p>
                <w:p w14:paraId="6A068D41" w14:textId="6D9AC91C" w:rsidR="00262265" w:rsidRPr="00262265" w:rsidRDefault="00262265" w:rsidP="00EE0ECD">
                  <w:pPr>
                    <w:pStyle w:val="Text"/>
                  </w:pPr>
                  <w:r w:rsidRPr="00F66A9E">
                    <w:t xml:space="preserve">Several FaRS and </w:t>
                  </w:r>
                  <w:r w:rsidR="00752B3C">
                    <w:t>dual</w:t>
                  </w:r>
                  <w:r w:rsidRPr="00F66A9E">
                    <w:t xml:space="preserve"> FaRS SFVS service providers attributed their success in part to their co-located service delivery model underpinned by a ‘no wrong door’ policy. This was said to allow for warm, ‘in-house’ referrals, reducing strain on service users by enabling continuous, holistic care. </w:t>
                  </w:r>
                  <w:r w:rsidR="008A649D">
                    <w:t>Dual</w:t>
                  </w:r>
                  <w:r>
                    <w:t xml:space="preserve"> FaRS and SFVS </w:t>
                  </w:r>
                  <w:r w:rsidR="008A649D">
                    <w:t>service providers</w:t>
                  </w:r>
                  <w:r>
                    <w:t xml:space="preserve"> were supportive of the interrelationships between the two funding streams</w:t>
                  </w:r>
                  <w:r w:rsidR="008A649D">
                    <w:t xml:space="preserve"> as they allow</w:t>
                  </w:r>
                  <w:r>
                    <w:t xml:space="preserve"> for service users to be escalated or deescalated as necessary (see </w:t>
                  </w:r>
                  <w:r w:rsidRPr="00D32A49">
                    <w:rPr>
                      <w:b/>
                    </w:rPr>
                    <w:t xml:space="preserve">Section </w:t>
                  </w:r>
                  <w:r w:rsidR="00693BDC">
                    <w:rPr>
                      <w:b/>
                    </w:rPr>
                    <w:fldChar w:fldCharType="begin" w:fldLock="1"/>
                  </w:r>
                  <w:r w:rsidR="00693BDC">
                    <w:rPr>
                      <w:b/>
                    </w:rPr>
                    <w:instrText xml:space="preserve"> REF _Ref205303709 \r \h </w:instrText>
                  </w:r>
                  <w:r w:rsidR="00271FAC">
                    <w:rPr>
                      <w:b/>
                    </w:rPr>
                    <w:instrText xml:space="preserve"> \* MERGEFORMAT </w:instrText>
                  </w:r>
                  <w:r w:rsidR="00693BDC">
                    <w:rPr>
                      <w:b/>
                    </w:rPr>
                  </w:r>
                  <w:r w:rsidR="00693BDC">
                    <w:rPr>
                      <w:b/>
                    </w:rPr>
                    <w:fldChar w:fldCharType="separate"/>
                  </w:r>
                  <w:r w:rsidR="008F22E5">
                    <w:rPr>
                      <w:b/>
                    </w:rPr>
                    <w:t>6.5</w:t>
                  </w:r>
                  <w:r w:rsidR="00693BDC">
                    <w:rPr>
                      <w:b/>
                    </w:rPr>
                    <w:fldChar w:fldCharType="end"/>
                  </w:r>
                  <w:r w:rsidR="00693BDC">
                    <w:rPr>
                      <w:b/>
                    </w:rPr>
                    <w:t xml:space="preserve"> </w:t>
                  </w:r>
                  <w:r>
                    <w:t xml:space="preserve">for more detail). </w:t>
                  </w:r>
                  <w:r w:rsidRPr="00F66A9E">
                    <w:t xml:space="preserve">A previous survey of FaRS and SFVS services found that approximately 80% are co-located with other services funded by the Department </w:t>
                  </w:r>
                  <w:r w:rsidRPr="008E2A78">
                    <w:fldChar w:fldCharType="begin"/>
                  </w:r>
                  <w:r w:rsidR="00E41D03">
                    <w:instrText xml:space="preserve"> ADDIN ZOTERO_ITEM CSL_CITATION {"citationID":"a1d1v3e8okf","properties":{"formattedCitation":"(Australian Institute of Family Studies, 2018)","plainCitation":"(Australian Institute of Family Studies, 2018)","noteIndex":0},"citationItems":[{"id":4705,"uris":["http://zotero.org/groups/5691188/items/QNUCBUCC"],"itemData":{"id":4705,"type":"report","publisher":"Commonwealth of Australia","title":"National survey of FaRS-funded service providers","author":[{"family":"Australian Institute of Family Studies","given":""}],"issued":{"date-parts":[["2018"]]}}}],"schema":"https://github.com/citation-style-language/schema/raw/master/csl-citation.json"} </w:instrText>
                  </w:r>
                  <w:r w:rsidRPr="008E2A78">
                    <w:fldChar w:fldCharType="separate"/>
                  </w:r>
                  <w:r w:rsidRPr="00AC138C">
                    <w:rPr>
                      <w:rFonts w:ascii="Arial" w:hAnsi="Arial" w:cs="Arial"/>
                    </w:rPr>
                    <w:t>(Australian Institute of Family Studies, 2018)</w:t>
                  </w:r>
                  <w:r w:rsidRPr="008E2A78">
                    <w:fldChar w:fldCharType="end"/>
                  </w:r>
                  <w:r w:rsidRPr="008E2A78">
                    <w:t>,</w:t>
                  </w:r>
                  <w:r w:rsidRPr="00F66A9E">
                    <w:t xml:space="preserve"> indicating that this model is likely commonplace. It is noted, however, that not all services have the funding, physical space, or staff capacity to provide this type of service with</w:t>
                  </w:r>
                  <w:r>
                    <w:t xml:space="preserve"> at least</w:t>
                  </w:r>
                  <w:r w:rsidRPr="00F66A9E">
                    <w:t xml:space="preserve"> </w:t>
                  </w:r>
                  <w:r w:rsidR="008A649D">
                    <w:t>3</w:t>
                  </w:r>
                  <w:r w:rsidRPr="00F66A9E">
                    <w:t xml:space="preserve"> </w:t>
                  </w:r>
                  <w:r w:rsidR="008A649D">
                    <w:t>FaRS</w:t>
                  </w:r>
                  <w:r w:rsidRPr="00F66A9E">
                    <w:t xml:space="preserve"> service providers identifying these as limitations to providing wraparound care.</w:t>
                  </w:r>
                </w:p>
                <w:p w14:paraId="58F03F25" w14:textId="44D687B2" w:rsidR="00DE7F06" w:rsidRPr="00262265" w:rsidRDefault="00DE7F06" w:rsidP="00EE0ECD">
                  <w:pPr>
                    <w:pStyle w:val="Text"/>
                  </w:pPr>
                  <w:r w:rsidRPr="00CC5FF0">
                    <w:t>Undertaking collaboration for integrated service delivery, including building and maintain</w:t>
                  </w:r>
                  <w:r>
                    <w:t>ing</w:t>
                  </w:r>
                  <w:r w:rsidRPr="00CC5FF0">
                    <w:t xml:space="preserve"> effective relationships with a range of government and non-government services is required under </w:t>
                  </w:r>
                  <w:r>
                    <w:t>O</w:t>
                  </w:r>
                  <w:r w:rsidRPr="00CC5FF0">
                    <w:t xml:space="preserve">perational </w:t>
                  </w:r>
                  <w:r>
                    <w:t>G</w:t>
                  </w:r>
                  <w:r w:rsidRPr="00CC5FF0">
                    <w:t xml:space="preserve">uidelines </w:t>
                  </w:r>
                  <w:r w:rsidRPr="00CC5FF0">
                    <w:fldChar w:fldCharType="begin"/>
                  </w:r>
                  <w:r w:rsidR="00E41D03">
                    <w:instrText xml:space="preserve"> ADDIN ZOTERO_ITEM CSL_CITATION {"citationID":"a9a870fgbc","properties":{"formattedCitation":"(Department of Social Services, 2021a, 2021b)","plainCitation":"(Department of Social Services, 2021a, 2021b)","noteIndex":0},"citationItems":[{"id":4671,"uris":["http://zotero.org/groups/5691188/items/8PWCMD8P"],"itemData":{"id":4671,"type":"document","title":"Family and Relationship Services Operational Guidelines","author":[{"family":"Department of Social Services","given":""}],"issued":{"date-parts":[["2021",7,1]]}}},{"id":4672,"uris":["http://zotero.org/groups/5691188/items/XE5X4C4F"],"itemData":{"id":4672,"type":"document","title":"Family and Relationship Services -  Specialised Family Violence Services Operational Guidelines","author":[{"family":"Department of Social Services","given":""}],"issued":{"date-parts":[["2021",7,1]]}}}],"schema":"https://github.com/citation-style-language/schema/raw/master/csl-citation.json"} </w:instrText>
                  </w:r>
                  <w:r w:rsidRPr="00CC5FF0">
                    <w:fldChar w:fldCharType="separate"/>
                  </w:r>
                  <w:r w:rsidRPr="00AC138C">
                    <w:rPr>
                      <w:rFonts w:ascii="Arial" w:hAnsi="Arial" w:cs="Arial"/>
                    </w:rPr>
                    <w:t>(Department of Social Services, 2021a, 2021b)</w:t>
                  </w:r>
                  <w:r w:rsidRPr="00CC5FF0">
                    <w:fldChar w:fldCharType="end"/>
                  </w:r>
                  <w:r w:rsidRPr="00CC5FF0">
                    <w:t xml:space="preserve">. Aligning with best practice around community engagement and cross-sector partnerships </w:t>
                  </w:r>
                  <w:r w:rsidRPr="00CC5FF0">
                    <w:fldChar w:fldCharType="begin"/>
                  </w:r>
                  <w:r w:rsidR="00E41D03">
                    <w:instrText xml:space="preserve"> ADDIN ZOTERO_ITEM CSL_CITATION {"citationID":"a1prijfvu31","properties":{"formattedCitation":"(Brown et al., 2022; Honisett et al., 2022; Kulkarni, 2019)","plainCitation":"(Brown et al., 2022; Honisett et al., 2022; Kulkarni, 2019)","noteIndex":0},"citationItems":[{"id":4668,"uris":["http://zotero.org/groups/5691188/items/CEVFWE68"],"itemData":{"id":4668,"type":"article-journal","container-title":"Cochrane Database of Systematic Reviews","DOI":"10.1002/14651858.CD013648.pub2","ISSN":"14651858","issue":"10","language":"en","source":"DOI.org (Crossref)","title":"Survivor, family and professional experiences of psychosocial interventions for sexual abuse and violence: a qualitative evidence synthesis","title-short":"Survivor, family and professional experiences of psychosocial interventions for sexual abuse and violence","URL":"http://doi.wiley.com/10.1002/14651858.CD013648.pub2","volume":"2022","editor":[{"literal":"Cochrane Developmental, Psychosocial and Learning Problems Group"}],"author":[{"family":"Brown","given":"Sarah"},{"family":"Carter","given":"Grace J"},{"family":"Halliwell","given":"Gemma"},{"family":"Brown","given":"Katherine"},{"family":"Caswell","given":"Rachel"},{"family":"Howarth","given":"Emma"},{"family":"Feder","given":"Gene"},{"family":"O'Doherty","given":"Lorna"}],"accessed":{"date-parts":[["2024",10,4]]},"issued":{"date-parts":[["2022",10,4]]}}},{"id":4721,"uris":["http://zotero.org/groups/5691188/items/W9BNSM2E"],"itemData":{"id":4721,"type":"article-journal","abstract":"Objectives: Explore the feasibility of an integrated Child and Family Hub within Victorian Community Health Services (CHS) to identify and respond to family adversities as preventable determinants of child mental health problems.\nMethods: Thirteen Victorian CHS staff and government policy makers (PMs), recruited via snowball sampling, participated in semi-structured interviews exploring: 1) barriers and facilitators for implementing a hub; 2) feasibility of a proposed integrated hub; and 3) resources needed to scale and sustain a hub. Transcripts were analysed employing framework analysis.\nResults: 1) Barriers included inadequate and activity-based funding, inability to fund community paediatricians and inadequate workforce competencies. Facilitators included CHS engagement with vulnerable communities and readiness to act. 2) The proposed hub model was identified as feasible to implement. Local co-design, co-location, and virtual delivery would support hub implementation. 3) To sustainably scale a hub, clear policy leadership and workforce and funding model reviews are needed.\nConclusions: A hub was perceived as feasible when based in CHS; however, local and systemwide issues need consideration to support its sustainable scaling. Implications for public health: Findings will inform the scaling of hub models of care across Victoria and other states to potentially optimise broader child and family health outcomes.","container-title":"Australian and New Zealand Journal of Public Health","DOI":"10.1111/1753-6405.13292","ISSN":"13260200","issue":"6","journalAbbreviation":"Australian and New Zealand Journal of Public Health","language":"en","page":"784-793","source":"DOI.org (Crossref)","title":"The feasibility of a Child and Family Hub within Victorian Community Health Services: a qualitative study","title-short":"The feasibility of a Child and Family Hub within Victorian Community Health Services","volume":"46","author":[{"family":"Honisett","given":"Suzy"},{"family":"Hall","given":"Teresa"},{"family":"Hiscock","given":"Harriet"},{"family":"Goldfeld","given":"Sharon"}],"issued":{"date-parts":[["2022",12]]}}},{"id":4574,"uris":["http://zotero.org/groups/5691188/items/TZPFHZIQ"],"itemData":{"id":4574,"type":"article-journal","abstract":"Over the past 50 years, programs serving intimate partner violence (IPV) survivors have expanded nationally. However, despite IPV program growth service gaps remain, particularly for the most marginalized and vulnerable survivor populations. Emerging practice models call for reimagining current IPV service delivery within an intersectional feminist, trauma-informed framework. An overview of intersectional (e.g. survivor-centered, full-frame, culturally specific) and trauma-informed IPV service approaches will be presented highlighting their shared emphasis on power sharing, authentic survivor-advocate relationships, individualized services, and robust systems advocacy. These approaches have the potential to transform IPV services and narrow service gaps if organizations can embed key elements into program design, implementation and evaluation processes. Recommendations for moving the IPV field forward include: 1) expanding survivors’ roles/input; 2) strengthening funding streams and organizational commitment to antioppressive, survivor-defined, trauma-informed services; 3) forging cross-sector advocacy relationships; and 4) building knowledge through research and evaluation.","container-title":"Journal of Family Violence","DOI":"10.1007/s10896-018-0001-5","ISSN":"0885-7482, 1573-2851","issue":"1","journalAbbreviation":"J Fam Viol","language":"en","page":"55-64","source":"DOI.org (Crossref)","title":"Intersectional Trauma-Informed Intimate Partner Violence (IPV) Services: Narrowing the Gap between IPV Service Delivery and Survivor Needs","title-short":"Intersectional Trauma-Informed Intimate Partner Violence (IPV) Services","volume":"34","author":[{"family":"Kulkarni","given":"Shanti"}],"issued":{"date-parts":[["2019",1,15]]}}}],"schema":"https://github.com/citation-style-language/schema/raw/master/csl-citation.json"} </w:instrText>
                  </w:r>
                  <w:r w:rsidRPr="00CC5FF0">
                    <w:fldChar w:fldCharType="separate"/>
                  </w:r>
                  <w:r w:rsidRPr="00AC138C">
                    <w:rPr>
                      <w:rFonts w:ascii="Arial" w:hAnsi="Arial" w:cs="Arial"/>
                    </w:rPr>
                    <w:t>(Brown et al., 2022; Honisett et al., 2022; Kulkarni, 2019)</w:t>
                  </w:r>
                  <w:r w:rsidRPr="00CC5FF0">
                    <w:fldChar w:fldCharType="end"/>
                  </w:r>
                  <w:r w:rsidR="00E660CE">
                    <w:t>,</w:t>
                  </w:r>
                  <w:r w:rsidRPr="00CC5FF0">
                    <w:t xml:space="preserve"> this work must abide by principles around being community-led and centred </w:t>
                  </w:r>
                  <w:r w:rsidRPr="00CC5FF0">
                    <w:fldChar w:fldCharType="begin"/>
                  </w:r>
                  <w:r w:rsidR="00E41D03">
                    <w:instrText xml:space="preserve"> ADDIN ZOTERO_ITEM CSL_CITATION {"citationID":"pJCH0oTv","properties":{"formattedCitation":"(Department of Social Services, 2021a, 2021b)","plainCitation":"(Department of Social Services, 2021a, 2021b)","noteIndex":0},"citationItems":[{"id":4671,"uris":["http://zotero.org/groups/5691188/items/8PWCMD8P"],"itemData":{"id":4671,"type":"document","title":"Family and Relationship Services Operational Guidelines","author":[{"family":"Department of Social Services","given":""}],"issued":{"date-parts":[["2021",7,1]]}}},{"id":4672,"uris":["http://zotero.org/groups/5691188/items/XE5X4C4F"],"itemData":{"id":4672,"type":"document","title":"Family and Relationship Services -  Specialised Family Violence Services Operational Guidelines","author":[{"family":"Department of Social Services","given":""}],"issued":{"date-parts":[["2021",7,1]]}}}],"schema":"https://github.com/citation-style-language/schema/raw/master/csl-citation.json"} </w:instrText>
                  </w:r>
                  <w:r w:rsidRPr="00CC5FF0">
                    <w:fldChar w:fldCharType="separate"/>
                  </w:r>
                  <w:r w:rsidRPr="00AC138C">
                    <w:rPr>
                      <w:rFonts w:ascii="Arial" w:hAnsi="Arial" w:cs="Arial"/>
                    </w:rPr>
                    <w:t>(Department of Social Services, 2021a, 2021b)</w:t>
                  </w:r>
                  <w:r w:rsidRPr="00CC5FF0">
                    <w:fldChar w:fldCharType="end"/>
                  </w:r>
                  <w:r w:rsidRPr="00CC5FF0">
                    <w:t>.</w:t>
                  </w:r>
                </w:p>
                <w:p w14:paraId="6A21269B" w14:textId="522EB338" w:rsidR="0004493D" w:rsidRDefault="00F82EB5" w:rsidP="00EE0ECD">
                  <w:pPr>
                    <w:pStyle w:val="Text"/>
                  </w:pPr>
                  <w:r>
                    <w:t xml:space="preserve">Several </w:t>
                  </w:r>
                  <w:r w:rsidR="00EE0ECD" w:rsidRPr="00CC5FF0">
                    <w:t xml:space="preserve">FaRS and SFVS </w:t>
                  </w:r>
                  <w:r w:rsidR="006926DA">
                    <w:t xml:space="preserve">service </w:t>
                  </w:r>
                  <w:r w:rsidR="00EE0ECD" w:rsidRPr="00CC5FF0">
                    <w:t xml:space="preserve">providers described establishing relationships with other services to support effective referral pathways for priority populations for mental health and other needs. </w:t>
                  </w:r>
                </w:p>
                <w:p w14:paraId="09D8EAB3" w14:textId="78461562" w:rsidR="0004493D" w:rsidRPr="00797148" w:rsidRDefault="0004493D" w:rsidP="0004493D">
                  <w:pPr>
                    <w:pBdr>
                      <w:left w:val="single" w:sz="18" w:space="4" w:color="78B800" w:themeColor="accent1"/>
                    </w:pBdr>
                    <w:tabs>
                      <w:tab w:val="left" w:pos="8080"/>
                    </w:tabs>
                    <w:spacing w:after="0"/>
                    <w:ind w:left="851" w:right="949"/>
                    <w:rPr>
                      <w:b/>
                      <w:bCs/>
                      <w:i/>
                      <w:iCs/>
                    </w:rPr>
                  </w:pPr>
                  <w:r w:rsidRPr="002E7992">
                    <w:rPr>
                      <w:noProof/>
                    </w:rPr>
                    <w:drawing>
                      <wp:anchor distT="0" distB="0" distL="114300" distR="114300" simplePos="0" relativeHeight="251658419" behindDoc="0" locked="1" layoutInCell="1" allowOverlap="1" wp14:anchorId="61B0917E" wp14:editId="18D8D3AA">
                        <wp:simplePos x="0" y="0"/>
                        <wp:positionH relativeFrom="column">
                          <wp:posOffset>0</wp:posOffset>
                        </wp:positionH>
                        <wp:positionV relativeFrom="paragraph">
                          <wp:posOffset>0</wp:posOffset>
                        </wp:positionV>
                        <wp:extent cx="384810" cy="320040"/>
                        <wp:effectExtent l="0" t="0" r="0" b="3810"/>
                        <wp:wrapNone/>
                        <wp:docPr id="122138264" name="Graphic 122138264" descr="P4366#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38264" name="Graphic 122138264" descr="P4366#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D1B4E">
                    <w:rPr>
                      <w:i/>
                      <w:iCs/>
                    </w:rPr>
                    <w:t>[</w:t>
                  </w:r>
                  <w:r>
                    <w:rPr>
                      <w:i/>
                      <w:iCs/>
                    </w:rPr>
                    <w:t>…</w:t>
                  </w:r>
                  <w:r w:rsidR="004D1B4E">
                    <w:rPr>
                      <w:i/>
                      <w:iCs/>
                    </w:rPr>
                    <w:t>]</w:t>
                  </w:r>
                  <w:r>
                    <w:rPr>
                      <w:i/>
                      <w:iCs/>
                    </w:rPr>
                    <w:t xml:space="preserve"> </w:t>
                  </w:r>
                  <w:r w:rsidRPr="00D51B14">
                    <w:rPr>
                      <w:i/>
                      <w:iCs/>
                    </w:rPr>
                    <w:t>the reality of it is we don’t have capacity if clients are coming through with more holistic needs</w:t>
                  </w:r>
                  <w:r w:rsidR="004D1B4E">
                    <w:rPr>
                      <w:i/>
                      <w:iCs/>
                    </w:rPr>
                    <w:t xml:space="preserve"> [</w:t>
                  </w:r>
                  <w:r w:rsidRPr="00D51B14">
                    <w:rPr>
                      <w:i/>
                      <w:iCs/>
                    </w:rPr>
                    <w:t>…</w:t>
                  </w:r>
                  <w:r w:rsidR="004D1B4E">
                    <w:rPr>
                      <w:i/>
                      <w:iCs/>
                    </w:rPr>
                    <w:t>]</w:t>
                  </w:r>
                  <w:r>
                    <w:rPr>
                      <w:i/>
                      <w:iCs/>
                    </w:rPr>
                    <w:t xml:space="preserve"> </w:t>
                  </w:r>
                  <w:r w:rsidRPr="00D51B14">
                    <w:rPr>
                      <w:i/>
                      <w:iCs/>
                    </w:rPr>
                    <w:t>you know not just family and domestic violence</w:t>
                  </w:r>
                  <w:r w:rsidR="004D1B4E">
                    <w:rPr>
                      <w:i/>
                      <w:iCs/>
                    </w:rPr>
                    <w:t xml:space="preserve"> [</w:t>
                  </w:r>
                  <w:r w:rsidRPr="00D51B14">
                    <w:rPr>
                      <w:i/>
                      <w:iCs/>
                    </w:rPr>
                    <w:t>…</w:t>
                  </w:r>
                  <w:r w:rsidR="004D1B4E">
                    <w:rPr>
                      <w:i/>
                      <w:iCs/>
                    </w:rPr>
                    <w:t>]</w:t>
                  </w:r>
                  <w:r>
                    <w:rPr>
                      <w:i/>
                      <w:iCs/>
                    </w:rPr>
                    <w:t xml:space="preserve"> </w:t>
                  </w:r>
                  <w:r w:rsidRPr="00D51B14">
                    <w:rPr>
                      <w:i/>
                      <w:iCs/>
                    </w:rPr>
                    <w:t>but there is drug and alcohol involved and all the rest</w:t>
                  </w:r>
                  <w:r w:rsidR="004D1B4E">
                    <w:rPr>
                      <w:i/>
                      <w:iCs/>
                    </w:rPr>
                    <w:t xml:space="preserve"> [</w:t>
                  </w:r>
                  <w:r w:rsidRPr="00D51B14">
                    <w:rPr>
                      <w:i/>
                      <w:iCs/>
                    </w:rPr>
                    <w:t>…</w:t>
                  </w:r>
                  <w:r w:rsidR="004D1B4E">
                    <w:rPr>
                      <w:i/>
                      <w:iCs/>
                    </w:rPr>
                    <w:t>]</w:t>
                  </w:r>
                  <w:r>
                    <w:rPr>
                      <w:i/>
                      <w:iCs/>
                    </w:rPr>
                    <w:t xml:space="preserve"> </w:t>
                  </w:r>
                  <w:r w:rsidRPr="00D51B14">
                    <w:rPr>
                      <w:i/>
                      <w:iCs/>
                    </w:rPr>
                    <w:t>We have to outsource. It’s not easy but we’ve found</w:t>
                  </w:r>
                  <w:r w:rsidR="004D1B4E">
                    <w:rPr>
                      <w:i/>
                      <w:iCs/>
                    </w:rPr>
                    <w:t xml:space="preserve"> [</w:t>
                  </w:r>
                  <w:r w:rsidRPr="00D51B14">
                    <w:rPr>
                      <w:i/>
                      <w:iCs/>
                    </w:rPr>
                    <w:t>…</w:t>
                  </w:r>
                  <w:r w:rsidR="004D1B4E">
                    <w:rPr>
                      <w:i/>
                      <w:iCs/>
                    </w:rPr>
                    <w:t>]</w:t>
                  </w:r>
                  <w:r>
                    <w:rPr>
                      <w:i/>
                      <w:iCs/>
                    </w:rPr>
                    <w:t xml:space="preserve"> </w:t>
                  </w:r>
                  <w:r w:rsidRPr="00D51B14">
                    <w:rPr>
                      <w:i/>
                      <w:iCs/>
                    </w:rPr>
                    <w:t>some pretty good partnerships in the community [with external services</w:t>
                  </w:r>
                  <w:r>
                    <w:rPr>
                      <w:i/>
                      <w:iCs/>
                    </w:rPr>
                    <w:t>]</w:t>
                  </w:r>
                  <w:r w:rsidRPr="00D51B14">
                    <w:rPr>
                      <w:b/>
                      <w:bCs/>
                      <w:i/>
                      <w:iCs/>
                    </w:rPr>
                    <w:t xml:space="preserve"> – </w:t>
                  </w:r>
                  <w:r>
                    <w:rPr>
                      <w:b/>
                      <w:bCs/>
                      <w:i/>
                      <w:iCs/>
                    </w:rPr>
                    <w:t>SFVS s</w:t>
                  </w:r>
                  <w:r w:rsidRPr="00D51B14">
                    <w:rPr>
                      <w:b/>
                      <w:bCs/>
                      <w:i/>
                      <w:iCs/>
                    </w:rPr>
                    <w:t xml:space="preserve">ervice provider </w:t>
                  </w:r>
                </w:p>
                <w:p w14:paraId="2C543573" w14:textId="77777777" w:rsidR="001A1D5B" w:rsidRDefault="001A1D5B" w:rsidP="00EE0ECD">
                  <w:pPr>
                    <w:pStyle w:val="Text"/>
                  </w:pPr>
                </w:p>
                <w:p w14:paraId="487E985C" w14:textId="41E03651" w:rsidR="001A1D5B" w:rsidRDefault="00F82EB5" w:rsidP="001A1D5B">
                  <w:pPr>
                    <w:pStyle w:val="Text"/>
                  </w:pPr>
                  <w:r>
                    <w:t xml:space="preserve">Several </w:t>
                  </w:r>
                  <w:r w:rsidR="00EE0ECD" w:rsidRPr="00CC5FF0">
                    <w:t>FaRS and SFVS providers reported that referrals were received from and made to a range of organisations including The Orange Door, Headspace and local mental health services, local health services</w:t>
                  </w:r>
                  <w:r w:rsidR="00D90B6F">
                    <w:t xml:space="preserve"> and</w:t>
                  </w:r>
                  <w:r w:rsidR="00EE0ECD" w:rsidRPr="00CC5FF0">
                    <w:t xml:space="preserve"> </w:t>
                  </w:r>
                  <w:r w:rsidR="00262265">
                    <w:t xml:space="preserve">housing and </w:t>
                  </w:r>
                  <w:r w:rsidR="00EE0ECD" w:rsidRPr="00CC5FF0">
                    <w:t>homelessness services</w:t>
                  </w:r>
                  <w:r w:rsidR="00D90B6F">
                    <w:t>.</w:t>
                  </w:r>
                  <w:r w:rsidR="00EE0ECD" w:rsidRPr="00CC5FF0">
                    <w:t xml:space="preserve"> </w:t>
                  </w:r>
                </w:p>
                <w:p w14:paraId="3BA7EE4B" w14:textId="3F44F8A9" w:rsidR="001A1D5B" w:rsidRPr="00104B4B" w:rsidRDefault="001A1D5B" w:rsidP="001A1D5B">
                  <w:pPr>
                    <w:pBdr>
                      <w:left w:val="single" w:sz="18" w:space="4" w:color="78B800" w:themeColor="accent1"/>
                    </w:pBdr>
                    <w:tabs>
                      <w:tab w:val="left" w:pos="8080"/>
                    </w:tabs>
                    <w:spacing w:after="0"/>
                    <w:ind w:left="851" w:right="949"/>
                    <w:rPr>
                      <w:i/>
                      <w:iCs/>
                    </w:rPr>
                  </w:pPr>
                  <w:r w:rsidRPr="000C26FE">
                    <w:rPr>
                      <w:i/>
                      <w:iCs/>
                      <w:noProof/>
                    </w:rPr>
                    <w:drawing>
                      <wp:anchor distT="0" distB="0" distL="114300" distR="114300" simplePos="0" relativeHeight="251658420" behindDoc="0" locked="1" layoutInCell="1" allowOverlap="1" wp14:anchorId="346D8A2A" wp14:editId="25115A32">
                        <wp:simplePos x="0" y="0"/>
                        <wp:positionH relativeFrom="column">
                          <wp:posOffset>0</wp:posOffset>
                        </wp:positionH>
                        <wp:positionV relativeFrom="paragraph">
                          <wp:posOffset>0</wp:posOffset>
                        </wp:positionV>
                        <wp:extent cx="384810" cy="320040"/>
                        <wp:effectExtent l="0" t="0" r="0" b="3810"/>
                        <wp:wrapNone/>
                        <wp:docPr id="631447703" name="Graphic 631447703" descr="P4369#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447703" name="Graphic 631447703" descr="P4369#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i/>
                      <w:iCs/>
                    </w:rPr>
                    <w:t xml:space="preserve">I </w:t>
                  </w:r>
                  <w:r w:rsidRPr="000C26FE">
                    <w:rPr>
                      <w:i/>
                      <w:iCs/>
                    </w:rPr>
                    <w:t xml:space="preserve">think some of the biggest barriers we find </w:t>
                  </w:r>
                  <w:r>
                    <w:rPr>
                      <w:i/>
                      <w:iCs/>
                    </w:rPr>
                    <w:t>[are]</w:t>
                  </w:r>
                  <w:r w:rsidRPr="000C26FE">
                    <w:rPr>
                      <w:i/>
                      <w:iCs/>
                    </w:rPr>
                    <w:t xml:space="preserve"> because </w:t>
                  </w:r>
                  <w:r>
                    <w:rPr>
                      <w:i/>
                      <w:iCs/>
                    </w:rPr>
                    <w:t xml:space="preserve">in [major regional city] </w:t>
                  </w:r>
                  <w:r w:rsidRPr="000C26FE">
                    <w:rPr>
                      <w:i/>
                      <w:iCs/>
                    </w:rPr>
                    <w:t xml:space="preserve">there's not many places that offer free counselling support, so </w:t>
                  </w:r>
                  <w:r>
                    <w:rPr>
                      <w:i/>
                      <w:iCs/>
                    </w:rPr>
                    <w:t xml:space="preserve">[…] </w:t>
                  </w:r>
                  <w:r w:rsidRPr="000C26FE">
                    <w:rPr>
                      <w:i/>
                      <w:iCs/>
                    </w:rPr>
                    <w:t>we're the first point of contact and a lot of the barriers that we see for people linking in</w:t>
                  </w:r>
                  <w:r>
                    <w:rPr>
                      <w:i/>
                      <w:iCs/>
                    </w:rPr>
                    <w:t xml:space="preserve"> […]</w:t>
                  </w:r>
                  <w:r w:rsidRPr="000C26FE">
                    <w:rPr>
                      <w:i/>
                      <w:iCs/>
                    </w:rPr>
                    <w:t xml:space="preserve"> around mental health</w:t>
                  </w:r>
                  <w:r>
                    <w:rPr>
                      <w:i/>
                      <w:iCs/>
                    </w:rPr>
                    <w:t xml:space="preserve"> [is cost]</w:t>
                  </w:r>
                  <w:r w:rsidRPr="000C26FE">
                    <w:rPr>
                      <w:i/>
                      <w:iCs/>
                    </w:rPr>
                    <w:t xml:space="preserve">. You know, we always consult very heavily with </w:t>
                  </w:r>
                  <w:r>
                    <w:rPr>
                      <w:i/>
                      <w:iCs/>
                    </w:rPr>
                    <w:t>[local mental health service] w</w:t>
                  </w:r>
                  <w:r w:rsidRPr="000C26FE">
                    <w:rPr>
                      <w:i/>
                      <w:iCs/>
                    </w:rPr>
                    <w:t xml:space="preserve">hen we hit that level of support that needs a </w:t>
                  </w:r>
                  <w:r>
                    <w:rPr>
                      <w:i/>
                      <w:iCs/>
                    </w:rPr>
                    <w:t>[…]</w:t>
                  </w:r>
                  <w:r w:rsidRPr="000C26FE">
                    <w:rPr>
                      <w:i/>
                      <w:iCs/>
                    </w:rPr>
                    <w:t xml:space="preserve"> clinical lens</w:t>
                  </w:r>
                  <w:r>
                    <w:rPr>
                      <w:i/>
                      <w:iCs/>
                    </w:rPr>
                    <w:t>.</w:t>
                  </w:r>
                  <w:r w:rsidRPr="000C26FE">
                    <w:rPr>
                      <w:i/>
                      <w:iCs/>
                    </w:rPr>
                    <w:t xml:space="preserve"> </w:t>
                  </w:r>
                  <w:r>
                    <w:rPr>
                      <w:i/>
                      <w:iCs/>
                    </w:rPr>
                    <w:t>O</w:t>
                  </w:r>
                  <w:r w:rsidRPr="000C26FE">
                    <w:rPr>
                      <w:i/>
                      <w:iCs/>
                    </w:rPr>
                    <w:t>bviously</w:t>
                  </w:r>
                  <w:r>
                    <w:rPr>
                      <w:i/>
                      <w:iCs/>
                    </w:rPr>
                    <w:t>,</w:t>
                  </w:r>
                  <w:r w:rsidRPr="000C26FE">
                    <w:rPr>
                      <w:i/>
                      <w:iCs/>
                    </w:rPr>
                    <w:t xml:space="preserve"> the biggest barrier is cost</w:t>
                  </w:r>
                  <w:r>
                    <w:rPr>
                      <w:i/>
                      <w:iCs/>
                    </w:rPr>
                    <w:t xml:space="preserve"> a</w:t>
                  </w:r>
                  <w:r w:rsidRPr="000C26FE">
                    <w:rPr>
                      <w:i/>
                      <w:iCs/>
                    </w:rPr>
                    <w:t xml:space="preserve">nd so, we often find that we're supporting clients in </w:t>
                  </w:r>
                  <w:r>
                    <w:rPr>
                      <w:i/>
                      <w:iCs/>
                    </w:rPr>
                    <w:t xml:space="preserve">a bit </w:t>
                  </w:r>
                  <w:r w:rsidRPr="000C26FE">
                    <w:rPr>
                      <w:i/>
                      <w:iCs/>
                    </w:rPr>
                    <w:t>of a</w:t>
                  </w:r>
                  <w:r>
                    <w:rPr>
                      <w:i/>
                      <w:iCs/>
                    </w:rPr>
                    <w:t>n</w:t>
                  </w:r>
                  <w:r w:rsidRPr="000C26FE">
                    <w:rPr>
                      <w:i/>
                      <w:iCs/>
                    </w:rPr>
                    <w:t xml:space="preserve"> interim between </w:t>
                  </w:r>
                  <w:r w:rsidRPr="000C26FE">
                    <w:rPr>
                      <w:i/>
                      <w:iCs/>
                    </w:rPr>
                    <w:lastRenderedPageBreak/>
                    <w:t>services that they can't quite afford yet</w:t>
                  </w:r>
                  <w:r>
                    <w:rPr>
                      <w:i/>
                      <w:iCs/>
                    </w:rPr>
                    <w:t>, [that] t</w:t>
                  </w:r>
                  <w:r w:rsidRPr="000C26FE">
                    <w:rPr>
                      <w:i/>
                      <w:iCs/>
                    </w:rPr>
                    <w:t>hey're not ready to access yet</w:t>
                  </w:r>
                  <w:r>
                    <w:rPr>
                      <w:i/>
                      <w:iCs/>
                    </w:rPr>
                    <w:t xml:space="preserve"> </w:t>
                  </w:r>
                  <w:r w:rsidRPr="0040240B">
                    <w:rPr>
                      <w:b/>
                      <w:bCs/>
                      <w:i/>
                      <w:iCs/>
                    </w:rPr>
                    <w:t>– F</w:t>
                  </w:r>
                  <w:r>
                    <w:rPr>
                      <w:b/>
                      <w:bCs/>
                      <w:i/>
                      <w:iCs/>
                    </w:rPr>
                    <w:t>aRS service provider</w:t>
                  </w:r>
                </w:p>
                <w:p w14:paraId="577146B7" w14:textId="77777777" w:rsidR="00DC1906" w:rsidRDefault="00DC1906" w:rsidP="00DC1906">
                  <w:pPr>
                    <w:pStyle w:val="Text"/>
                  </w:pPr>
                </w:p>
                <w:p w14:paraId="2FB2C840" w14:textId="6BAAC02A" w:rsidR="00DC1906" w:rsidRPr="00000CDA" w:rsidRDefault="00DC1906" w:rsidP="00DC1906">
                  <w:pPr>
                    <w:pStyle w:val="Text"/>
                  </w:pPr>
                  <w:r w:rsidRPr="00000CDA">
                    <w:t>Additionally,</w:t>
                  </w:r>
                  <w:r w:rsidR="00F82EB5">
                    <w:t xml:space="preserve"> FaRS and SFVS</w:t>
                  </w:r>
                  <w:r w:rsidRPr="00000CDA">
                    <w:t xml:space="preserve"> services </w:t>
                  </w:r>
                  <w:r>
                    <w:t>said they we</w:t>
                  </w:r>
                  <w:r w:rsidRPr="00000CDA">
                    <w:t>re increasingly engaging with systems such as child protection, courts, and police</w:t>
                  </w:r>
                  <w:r w:rsidR="00DE7F06">
                    <w:t xml:space="preserve">, </w:t>
                  </w:r>
                  <w:r w:rsidRPr="00000CDA">
                    <w:t xml:space="preserve">often receiving referrals or working with individuals involved in legal proceedings. This involvement can affect </w:t>
                  </w:r>
                  <w:r w:rsidR="00C5649D">
                    <w:t xml:space="preserve">service user </w:t>
                  </w:r>
                  <w:r w:rsidRPr="00000CDA">
                    <w:t>attendance and expectations, with some disengaging after completing mandated sessions, and others expecting more legal advice or support than services are typically equipped to provide.</w:t>
                  </w:r>
                </w:p>
                <w:p w14:paraId="78B91D0F" w14:textId="6DD5C4A6" w:rsidR="00DC1906" w:rsidRPr="00336D16" w:rsidRDefault="00DC1906" w:rsidP="00DC1906">
                  <w:pPr>
                    <w:pBdr>
                      <w:left w:val="single" w:sz="18" w:space="4" w:color="78B800" w:themeColor="accent1"/>
                    </w:pBdr>
                    <w:tabs>
                      <w:tab w:val="left" w:pos="8080"/>
                    </w:tabs>
                    <w:spacing w:after="0"/>
                    <w:ind w:left="851" w:right="949"/>
                    <w:rPr>
                      <w:b/>
                      <w:bCs/>
                      <w:i/>
                      <w:iCs/>
                    </w:rPr>
                  </w:pPr>
                  <w:r w:rsidRPr="00336D16">
                    <w:rPr>
                      <w:noProof/>
                    </w:rPr>
                    <w:drawing>
                      <wp:anchor distT="0" distB="0" distL="114300" distR="114300" simplePos="0" relativeHeight="251658421" behindDoc="0" locked="1" layoutInCell="1" allowOverlap="1" wp14:anchorId="3E292BBE" wp14:editId="041FF63B">
                        <wp:simplePos x="0" y="0"/>
                        <wp:positionH relativeFrom="column">
                          <wp:posOffset>0</wp:posOffset>
                        </wp:positionH>
                        <wp:positionV relativeFrom="paragraph">
                          <wp:posOffset>0</wp:posOffset>
                        </wp:positionV>
                        <wp:extent cx="384810" cy="320040"/>
                        <wp:effectExtent l="0" t="0" r="0" b="3810"/>
                        <wp:wrapNone/>
                        <wp:docPr id="1814008044" name="Graphic 1814008044" descr="P4372#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008044" name="Graphic 1814008044" descr="P4372#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774FF">
                    <w:rPr>
                      <w:i/>
                      <w:iCs/>
                    </w:rPr>
                    <w:t>[…] we're also seeing, you know, referrals come through the court too […] [The] courts will say go to [service provider] if you want your police family violence order varied. So, there's a bit of an expectation there that the service will be [a part of] that process […</w:t>
                  </w:r>
                  <w:r w:rsidRPr="000774FF" w:rsidDel="002F5542">
                    <w:rPr>
                      <w:i/>
                      <w:iCs/>
                    </w:rPr>
                    <w:t>]</w:t>
                  </w:r>
                  <w:r w:rsidR="00E012DB">
                    <w:rPr>
                      <w:i/>
                      <w:iCs/>
                    </w:rPr>
                    <w:t xml:space="preserve"> </w:t>
                  </w:r>
                  <w:r w:rsidRPr="0040240B">
                    <w:rPr>
                      <w:b/>
                      <w:bCs/>
                      <w:i/>
                      <w:iCs/>
                    </w:rPr>
                    <w:t>–</w:t>
                  </w:r>
                  <w:r>
                    <w:rPr>
                      <w:b/>
                      <w:bCs/>
                      <w:i/>
                      <w:iCs/>
                    </w:rPr>
                    <w:t xml:space="preserve"> SFVS service provider</w:t>
                  </w:r>
                </w:p>
                <w:p w14:paraId="7AE8065E" w14:textId="77777777" w:rsidR="00DC1906" w:rsidRDefault="00DC1906" w:rsidP="00EE0ECD">
                  <w:pPr>
                    <w:pStyle w:val="Text"/>
                  </w:pPr>
                </w:p>
                <w:p w14:paraId="0612C2B2" w14:textId="77777777" w:rsidR="0012133E" w:rsidRDefault="0012133E" w:rsidP="0012133E">
                  <w:pPr>
                    <w:pStyle w:val="Text"/>
                  </w:pPr>
                  <w:r w:rsidRPr="0085406E">
                    <w:t>Some FaRS services reported adapting to the needs of CALD, Aboriginal and Torres Strait Islander peoples, and other users by providing external referrals to more appropriate services and then supporting reinitiation of FaRS counselling or other programs if the person was interested.</w:t>
                  </w:r>
                </w:p>
                <w:p w14:paraId="18C3E6A8" w14:textId="77777777" w:rsidR="0012133E" w:rsidRPr="00561B64" w:rsidRDefault="0012133E" w:rsidP="0012133E">
                  <w:pPr>
                    <w:pBdr>
                      <w:left w:val="single" w:sz="18" w:space="4" w:color="78B800" w:themeColor="accent1"/>
                    </w:pBdr>
                    <w:tabs>
                      <w:tab w:val="left" w:pos="8080"/>
                    </w:tabs>
                    <w:spacing w:after="0"/>
                    <w:ind w:left="851" w:right="949"/>
                    <w:rPr>
                      <w:b/>
                      <w:bCs/>
                      <w:i/>
                      <w:iCs/>
                    </w:rPr>
                  </w:pPr>
                  <w:r w:rsidRPr="00B20CEB">
                    <w:rPr>
                      <w:i/>
                      <w:iCs/>
                    </w:rPr>
                    <w:t xml:space="preserve">I think it's impossible now not to have an element of case management to be able to support the clients and work </w:t>
                  </w:r>
                  <w:r>
                    <w:rPr>
                      <w:i/>
                      <w:iCs/>
                    </w:rPr>
                    <w:t xml:space="preserve">[with] </w:t>
                  </w:r>
                  <w:r w:rsidRPr="00B20CEB">
                    <w:rPr>
                      <w:i/>
                      <w:iCs/>
                    </w:rPr>
                    <w:t xml:space="preserve">your </w:t>
                  </w:r>
                  <w:r>
                    <w:rPr>
                      <w:i/>
                      <w:iCs/>
                    </w:rPr>
                    <w:t xml:space="preserve">[service and community] </w:t>
                  </w:r>
                  <w:r w:rsidRPr="00B20CEB">
                    <w:rPr>
                      <w:i/>
                      <w:iCs/>
                    </w:rPr>
                    <w:t>partnerships</w:t>
                  </w:r>
                  <w:r>
                    <w:rPr>
                      <w:i/>
                      <w:iCs/>
                    </w:rPr>
                    <w:t>, [for example] h</w:t>
                  </w:r>
                  <w:r w:rsidRPr="00B20CEB">
                    <w:rPr>
                      <w:i/>
                      <w:iCs/>
                    </w:rPr>
                    <w:t>aving people come</w:t>
                  </w:r>
                  <w:r>
                    <w:rPr>
                      <w:i/>
                      <w:iCs/>
                    </w:rPr>
                    <w:t xml:space="preserve"> […] </w:t>
                  </w:r>
                  <w:r w:rsidRPr="00B20CEB">
                    <w:rPr>
                      <w:i/>
                      <w:iCs/>
                    </w:rPr>
                    <w:t xml:space="preserve">from the </w:t>
                  </w:r>
                  <w:r w:rsidRPr="00E614D3">
                    <w:rPr>
                      <w:i/>
                      <w:iCs/>
                    </w:rPr>
                    <w:t>[</w:t>
                  </w:r>
                  <w:r w:rsidRPr="008E1B83">
                    <w:rPr>
                      <w:rFonts w:ascii="Arial" w:eastAsia="Arial" w:hAnsi="Arial" w:cs="Arial"/>
                      <w:i/>
                      <w:szCs w:val="22"/>
                    </w:rPr>
                    <w:t>Aboriginal and Torres Strait Islander]</w:t>
                  </w:r>
                  <w:r w:rsidRPr="00E614D3">
                    <w:rPr>
                      <w:i/>
                      <w:iCs/>
                    </w:rPr>
                    <w:t xml:space="preserve"> </w:t>
                  </w:r>
                  <w:r w:rsidRPr="00B20CEB">
                    <w:rPr>
                      <w:i/>
                      <w:iCs/>
                    </w:rPr>
                    <w:t xml:space="preserve">community to come sit in sessions with </w:t>
                  </w:r>
                  <w:r>
                    <w:rPr>
                      <w:i/>
                      <w:iCs/>
                    </w:rPr>
                    <w:t xml:space="preserve">[Aboriginal and Torres Strait Islander] </w:t>
                  </w:r>
                  <w:r w:rsidRPr="00B20CEB">
                    <w:rPr>
                      <w:i/>
                      <w:iCs/>
                    </w:rPr>
                    <w:t xml:space="preserve">clients </w:t>
                  </w:r>
                  <w:r>
                    <w:rPr>
                      <w:i/>
                      <w:iCs/>
                    </w:rPr>
                    <w:t>[who]</w:t>
                  </w:r>
                  <w:r w:rsidRPr="00B20CEB">
                    <w:rPr>
                      <w:i/>
                      <w:iCs/>
                    </w:rPr>
                    <w:t xml:space="preserve"> access our service. There's</w:t>
                  </w:r>
                  <w:r>
                    <w:rPr>
                      <w:i/>
                      <w:iCs/>
                    </w:rPr>
                    <w:t xml:space="preserve"> […] </w:t>
                  </w:r>
                  <w:r w:rsidRPr="00B20CEB">
                    <w:rPr>
                      <w:i/>
                      <w:iCs/>
                    </w:rPr>
                    <w:t>things that we've adapted to be able to provide the support that we can but</w:t>
                  </w:r>
                  <w:r>
                    <w:rPr>
                      <w:i/>
                      <w:iCs/>
                    </w:rPr>
                    <w:t xml:space="preserve"> […] </w:t>
                  </w:r>
                  <w:r w:rsidRPr="00B20CEB">
                    <w:rPr>
                      <w:i/>
                      <w:iCs/>
                    </w:rPr>
                    <w:t>it doesn't</w:t>
                  </w:r>
                  <w:r>
                    <w:rPr>
                      <w:i/>
                      <w:iCs/>
                    </w:rPr>
                    <w:t xml:space="preserve"> [</w:t>
                  </w:r>
                  <w:r w:rsidRPr="00B20CEB">
                    <w:rPr>
                      <w:i/>
                      <w:iCs/>
                    </w:rPr>
                    <w:t>…</w:t>
                  </w:r>
                  <w:r>
                    <w:rPr>
                      <w:i/>
                      <w:iCs/>
                    </w:rPr>
                    <w:t xml:space="preserve">] </w:t>
                  </w:r>
                  <w:r w:rsidRPr="00B20CEB">
                    <w:rPr>
                      <w:i/>
                      <w:iCs/>
                    </w:rPr>
                    <w:t xml:space="preserve">actually sit </w:t>
                  </w:r>
                  <w:r>
                    <w:rPr>
                      <w:i/>
                      <w:iCs/>
                    </w:rPr>
                    <w:t xml:space="preserve">within </w:t>
                  </w:r>
                  <w:r w:rsidRPr="00B20CEB">
                    <w:rPr>
                      <w:i/>
                      <w:iCs/>
                    </w:rPr>
                    <w:t>the FaRS program, it's an external thing that we've had to adapt to meet the need</w:t>
                  </w:r>
                  <w:r w:rsidRPr="002E7992">
                    <w:rPr>
                      <w:noProof/>
                    </w:rPr>
                    <w:drawing>
                      <wp:anchor distT="0" distB="0" distL="114300" distR="114300" simplePos="0" relativeHeight="251658422" behindDoc="0" locked="1" layoutInCell="1" allowOverlap="1" wp14:anchorId="2E747327" wp14:editId="068AE96C">
                        <wp:simplePos x="0" y="0"/>
                        <wp:positionH relativeFrom="column">
                          <wp:posOffset>0</wp:posOffset>
                        </wp:positionH>
                        <wp:positionV relativeFrom="paragraph">
                          <wp:posOffset>0</wp:posOffset>
                        </wp:positionV>
                        <wp:extent cx="384810" cy="320040"/>
                        <wp:effectExtent l="0" t="0" r="0" b="3810"/>
                        <wp:wrapNone/>
                        <wp:docPr id="2017214651" name="Graphic 2017214651" descr="P4375#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214651" name="Graphic 2017214651" descr="P4375#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bCs/>
                      <w:i/>
                      <w:iCs/>
                    </w:rPr>
                    <w:t xml:space="preserve"> </w:t>
                  </w:r>
                  <w:r w:rsidRPr="0095554F">
                    <w:rPr>
                      <w:b/>
                      <w:bCs/>
                      <w:i/>
                      <w:iCs/>
                    </w:rPr>
                    <w:t xml:space="preserve">– </w:t>
                  </w:r>
                  <w:r>
                    <w:rPr>
                      <w:b/>
                      <w:bCs/>
                      <w:i/>
                      <w:iCs/>
                    </w:rPr>
                    <w:t>FaRS s</w:t>
                  </w:r>
                  <w:r w:rsidRPr="0095554F">
                    <w:rPr>
                      <w:b/>
                      <w:bCs/>
                      <w:i/>
                      <w:iCs/>
                    </w:rPr>
                    <w:t xml:space="preserve">ervice </w:t>
                  </w:r>
                  <w:r>
                    <w:rPr>
                      <w:b/>
                      <w:bCs/>
                      <w:i/>
                      <w:iCs/>
                    </w:rPr>
                    <w:t>provider</w:t>
                  </w:r>
                </w:p>
                <w:p w14:paraId="34B538AC" w14:textId="77777777" w:rsidR="0012133E" w:rsidRDefault="0012133E" w:rsidP="00A5208B">
                  <w:pPr>
                    <w:pStyle w:val="Text"/>
                  </w:pPr>
                </w:p>
                <w:p w14:paraId="190AE4F6" w14:textId="51908FCD" w:rsidR="00A5208B" w:rsidRDefault="00A5208B" w:rsidP="00A5208B">
                  <w:pPr>
                    <w:pStyle w:val="Text"/>
                  </w:pPr>
                  <w:r>
                    <w:t>FaRS and SFVS providers noted several barriers to effective referrals and collaboration. For some, including those in rural and remote areas</w:t>
                  </w:r>
                  <w:r w:rsidR="00291530">
                    <w:t>,</w:t>
                  </w:r>
                  <w:r w:rsidRPr="00000CDA">
                    <w:t xml:space="preserve"> limited</w:t>
                  </w:r>
                  <w:r>
                    <w:t xml:space="preserve"> </w:t>
                  </w:r>
                  <w:r w:rsidRPr="00000CDA">
                    <w:t>service options</w:t>
                  </w:r>
                  <w:r>
                    <w:t xml:space="preserve"> meant it was not possible to make referrals at all. For others, </w:t>
                  </w:r>
                  <w:r w:rsidRPr="00000CDA">
                    <w:t>unclear referral pathways and inadequate service mapping</w:t>
                  </w:r>
                  <w:r>
                    <w:t>, partnered with a fractured mental health system,</w:t>
                  </w:r>
                  <w:r w:rsidRPr="00000CDA">
                    <w:t xml:space="preserve"> ma</w:t>
                  </w:r>
                  <w:r>
                    <w:t>de</w:t>
                  </w:r>
                  <w:r w:rsidRPr="00000CDA">
                    <w:t xml:space="preserve"> it difficult to offer warm referrals or coordinate care effectively.</w:t>
                  </w:r>
                  <w:r>
                    <w:t xml:space="preserve"> </w:t>
                  </w:r>
                  <w:r w:rsidRPr="00CC5FF0">
                    <w:t xml:space="preserve">As several </w:t>
                  </w:r>
                  <w:r>
                    <w:t>FaRS and SFVS</w:t>
                  </w:r>
                  <w:r w:rsidRPr="00CC5FF0">
                    <w:t xml:space="preserve"> service providers </w:t>
                  </w:r>
                  <w:r w:rsidR="00013340">
                    <w:t>noted</w:t>
                  </w:r>
                  <w:r w:rsidR="00291530">
                    <w:t>,</w:t>
                  </w:r>
                  <w:r w:rsidR="00013340">
                    <w:t xml:space="preserve"> </w:t>
                  </w:r>
                  <w:r>
                    <w:t xml:space="preserve">alternative </w:t>
                  </w:r>
                  <w:r w:rsidR="00013340">
                    <w:t xml:space="preserve">services </w:t>
                  </w:r>
                  <w:r w:rsidRPr="00CC5FF0">
                    <w:t xml:space="preserve">often have long waitlists, further complicating referral processes. </w:t>
                  </w:r>
                  <w:r>
                    <w:t>One FaRS and one SFVS provider noted that collaboration and referral processes were undermined in metropolitan areas by competitive tendering processes which meant services were more likely to ‘gatekeep’ referrals. Further, one FaRS service provider noted that establishing</w:t>
                  </w:r>
                  <w:r w:rsidRPr="00CC5FF0">
                    <w:t xml:space="preserve"> strong, working relationships </w:t>
                  </w:r>
                  <w:r>
                    <w:t xml:space="preserve">is time-consuming </w:t>
                  </w:r>
                  <w:r w:rsidRPr="00CC5FF0">
                    <w:t xml:space="preserve">and </w:t>
                  </w:r>
                  <w:r>
                    <w:t>is deprioritised to address high service user demand</w:t>
                  </w:r>
                  <w:r w:rsidRPr="00CC5FF0">
                    <w:t xml:space="preserve">. </w:t>
                  </w:r>
                </w:p>
                <w:p w14:paraId="51FE72DB" w14:textId="53C7C847" w:rsidR="00EE0ECD" w:rsidRPr="00104B4B" w:rsidRDefault="00A5208B" w:rsidP="00EE0ECD">
                  <w:pPr>
                    <w:pBdr>
                      <w:left w:val="single" w:sz="18" w:space="4" w:color="78B800" w:themeColor="accent1"/>
                    </w:pBdr>
                    <w:tabs>
                      <w:tab w:val="left" w:pos="8080"/>
                    </w:tabs>
                    <w:spacing w:after="0"/>
                    <w:ind w:left="851" w:right="949"/>
                    <w:rPr>
                      <w:i/>
                      <w:iCs/>
                    </w:rPr>
                  </w:pPr>
                  <w:r w:rsidRPr="00336D16">
                    <w:rPr>
                      <w:noProof/>
                    </w:rPr>
                    <w:lastRenderedPageBreak/>
                    <w:drawing>
                      <wp:anchor distT="0" distB="0" distL="114300" distR="114300" simplePos="0" relativeHeight="251658423" behindDoc="0" locked="1" layoutInCell="1" allowOverlap="1" wp14:anchorId="55B489BC" wp14:editId="443CFA54">
                        <wp:simplePos x="0" y="0"/>
                        <wp:positionH relativeFrom="column">
                          <wp:posOffset>0</wp:posOffset>
                        </wp:positionH>
                        <wp:positionV relativeFrom="paragraph">
                          <wp:posOffset>0</wp:posOffset>
                        </wp:positionV>
                        <wp:extent cx="384810" cy="320040"/>
                        <wp:effectExtent l="0" t="0" r="0" b="3810"/>
                        <wp:wrapNone/>
                        <wp:docPr id="830430045" name="Graphic 830430045" descr="P4378#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430045" name="Graphic 830430045" descr="P4378#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E0ECD" w:rsidRPr="00104B4B">
                    <w:rPr>
                      <w:i/>
                      <w:iCs/>
                    </w:rPr>
                    <w:t>[</w:t>
                  </w:r>
                  <w:r w:rsidR="00F33F66">
                    <w:rPr>
                      <w:i/>
                      <w:iCs/>
                    </w:rPr>
                    <w:t>…</w:t>
                  </w:r>
                  <w:r w:rsidR="00EE0ECD" w:rsidRPr="00104B4B">
                    <w:rPr>
                      <w:i/>
                      <w:iCs/>
                    </w:rPr>
                    <w:t>] if we think about collaboration and building a connection with other service providers it's really time consuming and it takes a lot of hard work to build trust, especially if we think about our ACCOs, you know, to really build a meaningful partnership there.</w:t>
                  </w:r>
                  <w:r w:rsidR="00EE0ECD">
                    <w:rPr>
                      <w:i/>
                      <w:iCs/>
                    </w:rPr>
                    <w:t xml:space="preserve"> </w:t>
                  </w:r>
                  <w:r w:rsidR="00EE0ECD" w:rsidRPr="00104B4B">
                    <w:rPr>
                      <w:i/>
                      <w:iCs/>
                    </w:rPr>
                    <w:t>With the increase in client work that we have to do that sort of gets pushed</w:t>
                  </w:r>
                  <w:r w:rsidR="00EE0ECD">
                    <w:rPr>
                      <w:i/>
                      <w:iCs/>
                    </w:rPr>
                    <w:t xml:space="preserve"> </w:t>
                  </w:r>
                  <w:r w:rsidR="00EE0ECD" w:rsidRPr="00104B4B">
                    <w:rPr>
                      <w:i/>
                      <w:iCs/>
                    </w:rPr>
                    <w:t>[…] to the bottom of the list</w:t>
                  </w:r>
                  <w:r w:rsidR="00EE0ECD">
                    <w:rPr>
                      <w:i/>
                      <w:iCs/>
                    </w:rPr>
                    <w:t xml:space="preserve"> </w:t>
                  </w:r>
                  <w:r w:rsidR="00EE0ECD" w:rsidRPr="0040240B">
                    <w:rPr>
                      <w:b/>
                      <w:bCs/>
                      <w:i/>
                      <w:iCs/>
                    </w:rPr>
                    <w:t>– F</w:t>
                  </w:r>
                  <w:r w:rsidR="00EE0ECD">
                    <w:rPr>
                      <w:b/>
                      <w:bCs/>
                      <w:i/>
                      <w:iCs/>
                    </w:rPr>
                    <w:t>aRS service provider</w:t>
                  </w:r>
                </w:p>
                <w:p w14:paraId="29890BF5" w14:textId="77777777" w:rsidR="001A1D5B" w:rsidRDefault="001A1D5B" w:rsidP="00EE0ECD">
                  <w:pPr>
                    <w:pStyle w:val="Text"/>
                  </w:pPr>
                </w:p>
                <w:p w14:paraId="099C8C06" w14:textId="77777777" w:rsidR="00A5208B" w:rsidRPr="007B03B3" w:rsidRDefault="00A5208B" w:rsidP="00A5208B">
                  <w:pPr>
                    <w:pBdr>
                      <w:left w:val="single" w:sz="18" w:space="4" w:color="78B800" w:themeColor="accent1"/>
                    </w:pBdr>
                    <w:tabs>
                      <w:tab w:val="left" w:pos="8080"/>
                    </w:tabs>
                    <w:spacing w:after="0"/>
                    <w:ind w:left="851" w:right="949"/>
                    <w:rPr>
                      <w:b/>
                      <w:bCs/>
                    </w:rPr>
                  </w:pPr>
                  <w:r w:rsidRPr="000C26FE">
                    <w:rPr>
                      <w:i/>
                      <w:iCs/>
                      <w:noProof/>
                    </w:rPr>
                    <w:drawing>
                      <wp:anchor distT="0" distB="0" distL="114300" distR="114300" simplePos="0" relativeHeight="251658424" behindDoc="0" locked="1" layoutInCell="1" allowOverlap="1" wp14:anchorId="5D70D07A" wp14:editId="55C40D40">
                        <wp:simplePos x="0" y="0"/>
                        <wp:positionH relativeFrom="column">
                          <wp:posOffset>0</wp:posOffset>
                        </wp:positionH>
                        <wp:positionV relativeFrom="paragraph">
                          <wp:posOffset>0</wp:posOffset>
                        </wp:positionV>
                        <wp:extent cx="384810" cy="320040"/>
                        <wp:effectExtent l="0" t="0" r="0" b="3810"/>
                        <wp:wrapNone/>
                        <wp:docPr id="1134380167" name="Graphic 1134380167" descr="P4380#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380167" name="Graphic 1134380167" descr="P4380#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i/>
                      <w:iCs/>
                    </w:rPr>
                    <w:t xml:space="preserve">I wish there was more time for stakeholder engagement […] and spending time […] engaging with other services because […] we find a couple of services that are fabulous and we can link […] our clients in with […] [but] we will get a little message from one of our colleagues at that organisation ‘please can you stop sending people to us because we don't have [capacity]’ and that's vice versa – </w:t>
                  </w:r>
                  <w:r w:rsidRPr="007B03B3">
                    <w:rPr>
                      <w:b/>
                      <w:bCs/>
                      <w:i/>
                      <w:iCs/>
                    </w:rPr>
                    <w:t>FaRS service provider</w:t>
                  </w:r>
                </w:p>
                <w:p w14:paraId="5095E759" w14:textId="77777777" w:rsidR="00BA0A2E" w:rsidRDefault="00BA0A2E" w:rsidP="00EE0ECD">
                  <w:pPr>
                    <w:pStyle w:val="Text"/>
                  </w:pPr>
                </w:p>
                <w:p w14:paraId="585AAB2D" w14:textId="17BD74E8" w:rsidR="00EE0ECD" w:rsidRPr="00FA0D08" w:rsidRDefault="00EE0ECD" w:rsidP="00EE0ECD">
                  <w:pPr>
                    <w:pStyle w:val="Text"/>
                  </w:pPr>
                  <w:r w:rsidRPr="0094447D">
                    <w:t xml:space="preserve">Differences in organisational values, priorities, and protocols across services </w:t>
                  </w:r>
                  <w:r w:rsidR="00FC3C9C">
                    <w:t>can lead</w:t>
                  </w:r>
                  <w:r w:rsidRPr="0094447D">
                    <w:t xml:space="preserve"> to conflicting approaches that can </w:t>
                  </w:r>
                  <w:r w:rsidR="0012133E">
                    <w:t xml:space="preserve">further </w:t>
                  </w:r>
                  <w:r w:rsidRPr="0094447D">
                    <w:t xml:space="preserve">disrupt cohesive service delivery. Professional silos and hierarchical barriers can prevent effective multiagency collaboration, complicating </w:t>
                  </w:r>
                  <w:r w:rsidR="00FC3C9C">
                    <w:t xml:space="preserve">the </w:t>
                  </w:r>
                  <w:r w:rsidRPr="0094447D">
                    <w:t xml:space="preserve">ability </w:t>
                  </w:r>
                  <w:r w:rsidR="00FC3C9C">
                    <w:t xml:space="preserve">of services </w:t>
                  </w:r>
                  <w:r w:rsidRPr="0094447D">
                    <w:t>to adapt shared practices and responsibilities. This can also include an absence of shared understanding of family violence between different agencies which can lead to inconsistent approaches and significantly hinder cohesive service delivery</w:t>
                  </w:r>
                  <w:r w:rsidR="00CF614C">
                    <w:t>.</w:t>
                  </w:r>
                  <w:r>
                    <w:t xml:space="preserve"> </w:t>
                  </w:r>
                  <w:r w:rsidRPr="00FA0D08">
                    <w:t xml:space="preserve">Some MBCP service providers described challenges they experienced engaging with other family violence services in shared case management of victim survivors and other collaborative activities. They expressed concern that their work was incorrectly seen to be ‘collusive’. This misalignment – or r misunderstanding – of service priorities commonly disrupts cohesive service delivery in the family violence sector. Overcoming these challenges requires clear role definitions, strong leadership, and open communication to build trust and ensure effective partnerships </w:t>
                  </w:r>
                  <w:r w:rsidRPr="00FA0D08">
                    <w:fldChar w:fldCharType="begin"/>
                  </w:r>
                  <w:r w:rsidR="00E41D03">
                    <w:instrText xml:space="preserve"> ADDIN ZOTERO_ITEM CSL_CITATION {"citationID":"a22b9fh2uc3","properties":{"formattedCitation":"(Cleaver et al., 2019; Honisett et al., 2022; Wendt et al., 2021)","plainCitation":"(Cleaver et al., 2019; Honisett et al., 2022; Wendt et al., 2021)","noteIndex":0},"citationItems":[{"id":4755,"uris":["http://zotero.org/groups/5691188/items/ZSGULRAN"],"itemData":{"id":4755,"type":"article-journal","abstract":"This paper presents a review of 22 published evaluations which examined domestic abuse interventions across the UK. A literature Search was conducted in November 2016. The main aim of the review was to identify emerging good practise in multi-agency early intervention; thus, to be eligible for inclusion in the review, projects were multi-agency in nature and aimed to intervene early. Findings from the review reveal that there are a range of strategies and interventions that have been piloted and tested which have had varying degrees of success. Overall, interventions that adopt an advocacy approach appear to have more impact and are more sustainable, and, that when co-located with statutory or voluntary services, multi-agency working is enhanced. However, further consideration is required in terms of what constitutes early intervention, as all interventions are dependent on victims and perpetrators accessing services early, thus, primary prevention strategies, currently entirely school based, are key to promoting and supporting secondary prevention.","container-title":"Aggression and Violent Behavior","DOI":"10.1016/j.avb.2019.02.005","ISSN":"13591789","journalAbbreviation":"Aggression and Violent Behavior","language":"en","page":"140-155","source":"DOI.org (Crossref)","title":"A review of UK based multi-agency approaches to early intervention in domestic abuse: Lessons to be learnt from existing evaluation studies","title-short":"A review of UK based multi-agency approaches to early intervention in domestic abuse","volume":"46","author":[{"family":"Cleaver","given":"Karen"},{"family":"Maras","given":"Pam"},{"family":"Oram","given":"Charlotte"},{"family":"McCallum","given":"Karen"}],"issued":{"date-parts":[["2019",5]]}}},{"id":4721,"uris":["http://zotero.org/groups/5691188/items/W9BNSM2E"],"itemData":{"id":4721,"type":"article-journal","abstract":"Objectives: Explore the feasibility of an integrated Child and Family Hub within Victorian Community Health Services (CHS) to identify and respond to family adversities as preventable determinants of child mental health problems.\nMethods: Thirteen Victorian CHS staff and government policy makers (PMs), recruited via snowball sampling, participated in semi-structured interviews exploring: 1) barriers and facilitators for implementing a hub; 2) feasibility of a proposed integrated hub; and 3) resources needed to scale and sustain a hub. Transcripts were analysed employing framework analysis.\nResults: 1) Barriers included inadequate and activity-based funding, inability to fund community paediatricians and inadequate workforce competencies. Facilitators included CHS engagement with vulnerable communities and readiness to act. 2) The proposed hub model was identified as feasible to implement. Local co-design, co-location, and virtual delivery would support hub implementation. 3) To sustainably scale a hub, clear policy leadership and workforce and funding model reviews are needed.\nConclusions: A hub was perceived as feasible when based in CHS; however, local and systemwide issues need consideration to support its sustainable scaling. Implications for public health: Findings will inform the scaling of hub models of care across Victoria and other states to potentially optimise broader child and family health outcomes.","container-title":"Australian and New Zealand Journal of Public Health","DOI":"10.1111/1753-6405.13292","ISSN":"13260200","issue":"6","journalAbbreviation":"Australian and New Zealand Journal of Public Health","language":"en","page":"784-793","source":"DOI.org (Crossref)","title":"The feasibility of a Child and Family Hub within Victorian Community Health Services: a qualitative study","title-short":"The feasibility of a Child and Family Hub within Victorian Community Health Services","volume":"46","author":[{"family":"Honisett","given":"Suzy"},{"family":"Hall","given":"Teresa"},{"family":"Hiscock","given":"Harriet"},{"family":"Goldfeld","given":"Sharon"}],"issued":{"date-parts":[["2022",12]]}}},{"id":4750,"uris":["http://zotero.org/groups/5691188/items/587S2VGM"],"itemData":{"id":4750,"type":"article-journal","abstract":"Collaboration across child protection and domestic and family violence (DFV) sectors have long been sought despite the competing priorities found in these practice fields. This article describes a research partnership that aimed to explore the competing priorities by focusing on how workers interact across child protection and DFV specialist agencies. Using a Living Lab Approach, enabled twelve focus groups with child protection and DFV social workers (n ¼ 100). Thematic analysis was conducted, and it was found that diverse understandings of DFV created tensions when trying to form collaborations. These tensions were often amplified when other intersecting issues were present in family lives such as drug and alcohol and mental health problems. Understandings of Aboriginal cultural safety, and religious and culture impacts for cultural and linguistically diverse families were unintentionally sidelined. However, practitioners also formed common understandings of opportunities to progress and sustain collaboration across the sectors. The Living Lab Approach facilitated the development of a policy and practice guide for child protection to support future work. This has implications for social work practice because the Living Lab Approach enabled a call for a consistent approach to DFV that should be gender sensitive, trauma informed and culturally safe, and collaboration at practitioner, team and organisational levels.","container-title":"The British Journal of Social Work","DOI":"10.1093/bjsw/bcaa206","ISSN":"0045-3102, 1468-263X","issue":"2","language":"en","license":"https://academic.oup.com/journals/pages/open_access/funder_policies/chorus/standard_publication_model","page":"692-711","source":"DOI.org (Crossref)","title":"Building Collaboration with Child Protection and Domestic and Family Violence Sectors: Trialling a Living Lab Approach","title-short":"Building Collaboration with Child Protection and Domestic and Family Violence Sectors","volume":"51","author":[{"family":"Wendt","given":"Sarah"},{"family":"Bastian","given":"Carmela"},{"family":"Jones","given":"Michelle"}],"issued":{"date-parts":[["2021",4,3]]}}}],"schema":"https://github.com/citation-style-language/schema/raw/master/csl-citation.json"} </w:instrText>
                  </w:r>
                  <w:r w:rsidRPr="00FA0D08">
                    <w:fldChar w:fldCharType="separate"/>
                  </w:r>
                  <w:r w:rsidRPr="00AC138C">
                    <w:rPr>
                      <w:rFonts w:ascii="Arial" w:hAnsi="Arial" w:cs="Arial"/>
                    </w:rPr>
                    <w:t>(Cleaver et al., 2019; Honisett et al., 2022; Wendt et al., 2021)</w:t>
                  </w:r>
                  <w:r w:rsidRPr="00FA0D08">
                    <w:fldChar w:fldCharType="end"/>
                  </w:r>
                  <w:r w:rsidRPr="00FA0D08">
                    <w:t>.</w:t>
                  </w:r>
                </w:p>
                <w:p w14:paraId="6BBD6050" w14:textId="0ED5B9AF" w:rsidR="00FC5714" w:rsidRPr="00D45777" w:rsidRDefault="00EE0ECD" w:rsidP="00D45777">
                  <w:pPr>
                    <w:pBdr>
                      <w:left w:val="single" w:sz="18" w:space="4" w:color="78B800" w:themeColor="accent1"/>
                    </w:pBdr>
                    <w:tabs>
                      <w:tab w:val="left" w:pos="8080"/>
                    </w:tabs>
                    <w:spacing w:after="0"/>
                    <w:ind w:left="851" w:right="949"/>
                    <w:rPr>
                      <w:i/>
                      <w:iCs/>
                    </w:rPr>
                  </w:pPr>
                  <w:r w:rsidRPr="00336D16">
                    <w:rPr>
                      <w:noProof/>
                    </w:rPr>
                    <w:drawing>
                      <wp:anchor distT="0" distB="0" distL="114300" distR="114300" simplePos="0" relativeHeight="251658425" behindDoc="0" locked="1" layoutInCell="1" allowOverlap="1" wp14:anchorId="2F9FC791" wp14:editId="107E6F45">
                        <wp:simplePos x="0" y="0"/>
                        <wp:positionH relativeFrom="column">
                          <wp:posOffset>0</wp:posOffset>
                        </wp:positionH>
                        <wp:positionV relativeFrom="paragraph">
                          <wp:posOffset>0</wp:posOffset>
                        </wp:positionV>
                        <wp:extent cx="384810" cy="320040"/>
                        <wp:effectExtent l="0" t="0" r="0" b="3810"/>
                        <wp:wrapNone/>
                        <wp:docPr id="337328744" name="Graphic 337328744" descr="P4383#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328744" name="Graphic 337328744" descr="P4383#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1631A">
                    <w:rPr>
                      <w:i/>
                      <w:iCs/>
                    </w:rPr>
                    <w:t>So</w:t>
                  </w:r>
                  <w:r w:rsidR="002B6A51" w:rsidRPr="0081631A">
                    <w:rPr>
                      <w:i/>
                      <w:iCs/>
                    </w:rPr>
                    <w:t>,</w:t>
                  </w:r>
                  <w:r w:rsidRPr="0081631A">
                    <w:rPr>
                      <w:i/>
                      <w:iCs/>
                    </w:rPr>
                    <w:t xml:space="preserve"> we do have a bit of pushback from women's services [on] collaborating. So, when we're feeling like there's a risk there we can't get on to the woman and we're trying to collaborate with services that we know she's engaged with </w:t>
                  </w:r>
                  <w:r w:rsidR="008B064B">
                    <w:rPr>
                      <w:i/>
                      <w:iCs/>
                    </w:rPr>
                    <w:t>[…] E</w:t>
                  </w:r>
                  <w:r w:rsidRPr="0081631A">
                    <w:rPr>
                      <w:i/>
                      <w:iCs/>
                    </w:rPr>
                    <w:t>ven allowing us to be on the safety action meeting like we keep getting told no and it's like we're all here [to keep] women and children safe […] I've done several referrals to it, we know where the men are, but still no. Like if [the man] doesn't show up to an appointment and things like that there is that stress of risk and safety</w:t>
                  </w:r>
                  <w:r>
                    <w:rPr>
                      <w:i/>
                      <w:iCs/>
                    </w:rPr>
                    <w:t xml:space="preserve"> </w:t>
                  </w:r>
                  <w:r w:rsidRPr="0040240B">
                    <w:rPr>
                      <w:b/>
                      <w:bCs/>
                      <w:i/>
                      <w:iCs/>
                    </w:rPr>
                    <w:t xml:space="preserve">– </w:t>
                  </w:r>
                  <w:r w:rsidR="00724E68">
                    <w:rPr>
                      <w:b/>
                      <w:bCs/>
                      <w:i/>
                      <w:iCs/>
                    </w:rPr>
                    <w:t>MBCP</w:t>
                  </w:r>
                  <w:r>
                    <w:rPr>
                      <w:b/>
                      <w:bCs/>
                      <w:i/>
                      <w:iCs/>
                    </w:rPr>
                    <w:t xml:space="preserve"> service provider</w:t>
                  </w:r>
                </w:p>
                <w:p w14:paraId="70877259" w14:textId="77777777" w:rsidR="00820887" w:rsidRDefault="00820887" w:rsidP="00EE0ECD">
                  <w:pPr>
                    <w:pStyle w:val="Text"/>
                  </w:pPr>
                </w:p>
                <w:p w14:paraId="7722940D" w14:textId="5DD1DC91" w:rsidR="00EE0ECD" w:rsidRPr="005C19E8" w:rsidRDefault="00EE0ECD" w:rsidP="00EE0ECD">
                  <w:pPr>
                    <w:pStyle w:val="Text"/>
                  </w:pPr>
                  <w:r w:rsidRPr="005C19E8">
                    <w:t>Only a third of service users (n=55, 30.3%) reported receiving referrals to external service providers. Of this cohort over half (n=33, 60%) reported receiving a warm referral (where their provider organised the referral on their behalf) and two-thirds (n=37, 66.6%) report that the referral was either very or mostly useful (see</w:t>
                  </w:r>
                  <w:r>
                    <w:t xml:space="preserve"> </w:t>
                  </w:r>
                  <w:r w:rsidR="00844310" w:rsidRPr="00EE4682">
                    <w:rPr>
                      <w:b/>
                    </w:rPr>
                    <w:fldChar w:fldCharType="begin" w:fldLock="1"/>
                  </w:r>
                  <w:r w:rsidR="00844310" w:rsidRPr="00EE4682">
                    <w:rPr>
                      <w:b/>
                    </w:rPr>
                    <w:instrText xml:space="preserve"> REF _Ref205322482 \h  \* MERGEFORMAT </w:instrText>
                  </w:r>
                  <w:r w:rsidR="00844310" w:rsidRPr="00EE4682">
                    <w:rPr>
                      <w:b/>
                    </w:rPr>
                  </w:r>
                  <w:r w:rsidR="00844310" w:rsidRPr="00EE4682">
                    <w:rPr>
                      <w:b/>
                    </w:rPr>
                    <w:fldChar w:fldCharType="separate"/>
                  </w:r>
                  <w:r w:rsidR="008F22E5" w:rsidRPr="008F22E5">
                    <w:rPr>
                      <w:b/>
                    </w:rPr>
                    <w:t xml:space="preserve">Figure </w:t>
                  </w:r>
                  <w:r w:rsidR="008F22E5" w:rsidRPr="008F22E5">
                    <w:rPr>
                      <w:b/>
                      <w:bCs/>
                      <w:noProof/>
                    </w:rPr>
                    <w:t>46</w:t>
                  </w:r>
                  <w:r w:rsidR="00844310" w:rsidRPr="00EE4682">
                    <w:rPr>
                      <w:b/>
                    </w:rPr>
                    <w:fldChar w:fldCharType="end"/>
                  </w:r>
                  <w:r w:rsidR="00E4509B">
                    <w:rPr>
                      <w:b/>
                    </w:rPr>
                    <w:t xml:space="preserve"> </w:t>
                  </w:r>
                  <w:r w:rsidR="00E4509B" w:rsidRPr="00E4509B">
                    <w:rPr>
                      <w:bCs/>
                    </w:rPr>
                    <w:t>below</w:t>
                  </w:r>
                  <w:r w:rsidRPr="005C19E8">
                    <w:t xml:space="preserve">). </w:t>
                  </w:r>
                  <w:r>
                    <w:t xml:space="preserve">SFVS and FaRS service user </w:t>
                  </w:r>
                  <w:r>
                    <w:lastRenderedPageBreak/>
                    <w:t xml:space="preserve">respondents gave similar responses with approximately half receiving referrals of which most found them to be mostly or very useful. </w:t>
                  </w:r>
                  <w:r w:rsidRPr="005C19E8">
                    <w:t xml:space="preserve">This suggest that where referrals are being provided, they are effective and align with best practice around referrals being supported and service-led </w:t>
                  </w:r>
                  <w:r w:rsidRPr="005C19E8">
                    <w:fldChar w:fldCharType="begin"/>
                  </w:r>
                  <w:r w:rsidR="00E41D03">
                    <w:instrText xml:space="preserve"> ADDIN ZOTERO_ITEM CSL_CITATION {"citationID":"MDWmiLov","properties":{"formattedCitation":"(Brown et al., 2022; Kulkarni, 2019)","plainCitation":"(Brown et al., 2022; Kulkarni, 2019)","noteIndex":0},"citationItems":[{"id":4668,"uris":["http://zotero.org/groups/5691188/items/CEVFWE68"],"itemData":{"id":4668,"type":"article-journal","container-title":"Cochrane Database of Systematic Reviews","DOI":"10.1002/14651858.CD013648.pub2","ISSN":"14651858","issue":"10","language":"en","source":"DOI.org (Crossref)","title":"Survivor, family and professional experiences of psychosocial interventions for sexual abuse and violence: a qualitative evidence synthesis","title-short":"Survivor, family and professional experiences of psychosocial interventions for sexual abuse and violence","URL":"http://doi.wiley.com/10.1002/14651858.CD013648.pub2","volume":"2022","editor":[{"literal":"Cochrane Developmental, Psychosocial and Learning Problems Group"}],"author":[{"family":"Brown","given":"Sarah"},{"family":"Carter","given":"Grace J"},{"family":"Halliwell","given":"Gemma"},{"family":"Brown","given":"Katherine"},{"family":"Caswell","given":"Rachel"},{"family":"Howarth","given":"Emma"},{"family":"Feder","given":"Gene"},{"family":"O'Doherty","given":"Lorna"}],"accessed":{"date-parts":[["2024",10,4]]},"issued":{"date-parts":[["2022",10,4]]}}},{"id":4574,"uris":["http://zotero.org/groups/5691188/items/TZPFHZIQ"],"itemData":{"id":4574,"type":"article-journal","abstract":"Over the past 50 years, programs serving intimate partner violence (IPV) survivors have expanded nationally. However, despite IPV program growth service gaps remain, particularly for the most marginalized and vulnerable survivor populations. Emerging practice models call for reimagining current IPV service delivery within an intersectional feminist, trauma-informed framework. An overview of intersectional (e.g. survivor-centered, full-frame, culturally specific) and trauma-informed IPV service approaches will be presented highlighting their shared emphasis on power sharing, authentic survivor-advocate relationships, individualized services, and robust systems advocacy. These approaches have the potential to transform IPV services and narrow service gaps if organizations can embed key elements into program design, implementation and evaluation processes. Recommendations for moving the IPV field forward include: 1) expanding survivors’ roles/input; 2) strengthening funding streams and organizational commitment to antioppressive, survivor-defined, trauma-informed services; 3) forging cross-sector advocacy relationships; and 4) building knowledge through research and evaluation.","container-title":"Journal of Family Violence","DOI":"10.1007/s10896-018-0001-5","ISSN":"0885-7482, 1573-2851","issue":"1","journalAbbreviation":"J Fam Viol","language":"en","page":"55-64","source":"DOI.org (Crossref)","title":"Intersectional Trauma-Informed Intimate Partner Violence (IPV) Services: Narrowing the Gap between IPV Service Delivery and Survivor Needs","title-short":"Intersectional Trauma-Informed Intimate Partner Violence (IPV) Services","volume":"34","author":[{"family":"Kulkarni","given":"Shanti"}],"issued":{"date-parts":[["2019",1,15]]}}}],"schema":"https://github.com/citation-style-language/schema/raw/master/csl-citation.json"} </w:instrText>
                  </w:r>
                  <w:r w:rsidRPr="005C19E8">
                    <w:fldChar w:fldCharType="separate"/>
                  </w:r>
                  <w:r w:rsidRPr="005C19E8">
                    <w:t>(Brown et al., 2022; Kulkarni, 2019)</w:t>
                  </w:r>
                  <w:r w:rsidRPr="005C19E8">
                    <w:fldChar w:fldCharType="end"/>
                  </w:r>
                  <w:r w:rsidRPr="005C19E8">
                    <w:t xml:space="preserve">. </w:t>
                  </w:r>
                </w:p>
                <w:p w14:paraId="0496AE76" w14:textId="67B14BD3" w:rsidR="00EE0ECD" w:rsidRPr="00393BD9" w:rsidRDefault="00EE0ECD" w:rsidP="00811E31">
                  <w:pPr>
                    <w:pStyle w:val="Caption"/>
                    <w:jc w:val="both"/>
                    <w:rPr>
                      <w:sz w:val="21"/>
                      <w:szCs w:val="21"/>
                    </w:rPr>
                  </w:pPr>
                  <w:bookmarkStart w:id="526" w:name="_Ref205322482"/>
                  <w:bookmarkStart w:id="527" w:name="_Toc205413088"/>
                  <w:bookmarkStart w:id="528" w:name="_Toc205413142"/>
                  <w:r w:rsidRPr="00393BD9">
                    <w:rPr>
                      <w:sz w:val="21"/>
                      <w:szCs w:val="21"/>
                    </w:rPr>
                    <w:t xml:space="preserve">Figure </w:t>
                  </w:r>
                  <w:r w:rsidR="00C64C3D" w:rsidRPr="00393BD9">
                    <w:rPr>
                      <w:sz w:val="21"/>
                      <w:szCs w:val="21"/>
                    </w:rPr>
                    <w:fldChar w:fldCharType="begin"/>
                  </w:r>
                  <w:r w:rsidR="00C64C3D" w:rsidRPr="00393BD9">
                    <w:rPr>
                      <w:sz w:val="21"/>
                      <w:szCs w:val="21"/>
                    </w:rPr>
                    <w:instrText xml:space="preserve"> SEQ Figure \* ARABIC </w:instrText>
                  </w:r>
                  <w:r w:rsidR="00C64C3D" w:rsidRPr="00393BD9">
                    <w:rPr>
                      <w:sz w:val="21"/>
                      <w:szCs w:val="21"/>
                    </w:rPr>
                    <w:fldChar w:fldCharType="separate"/>
                  </w:r>
                  <w:r w:rsidR="008D2566">
                    <w:rPr>
                      <w:noProof/>
                      <w:sz w:val="21"/>
                      <w:szCs w:val="21"/>
                    </w:rPr>
                    <w:t>46</w:t>
                  </w:r>
                  <w:r w:rsidR="00C64C3D" w:rsidRPr="00393BD9">
                    <w:rPr>
                      <w:sz w:val="21"/>
                      <w:szCs w:val="21"/>
                    </w:rPr>
                    <w:fldChar w:fldCharType="end"/>
                  </w:r>
                  <w:bookmarkEnd w:id="526"/>
                  <w:r w:rsidRPr="00393BD9">
                    <w:rPr>
                      <w:sz w:val="21"/>
                      <w:szCs w:val="21"/>
                    </w:rPr>
                    <w:t>: Service user survey data on referrals – highlights, FaRS and SFVS service users</w:t>
                  </w:r>
                  <w:bookmarkEnd w:id="527"/>
                  <w:bookmarkEnd w:id="528"/>
                </w:p>
                <w:p w14:paraId="23AFA289" w14:textId="77777777" w:rsidR="00EE0ECD" w:rsidRDefault="00EE0ECD" w:rsidP="00EE0ECD">
                  <w:pPr>
                    <w:pStyle w:val="TableFigureTitle"/>
                  </w:pPr>
                  <w:r w:rsidRPr="009622A3">
                    <w:rPr>
                      <w:noProof/>
                    </w:rPr>
                    <w:drawing>
                      <wp:inline distT="0" distB="0" distL="0" distR="0" wp14:anchorId="54EAD28B" wp14:editId="29FE7A37">
                        <wp:extent cx="5665752" cy="3426594"/>
                        <wp:effectExtent l="0" t="0" r="0" b="2540"/>
                        <wp:docPr id="123737229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372291" name="Picture 1">
                                  <a:extLst>
                                    <a:ext uri="{C183D7F6-B498-43B3-948B-1728B52AA6E4}">
                                      <adec:decorative xmlns:adec="http://schemas.microsoft.com/office/drawing/2017/decorative" val="1"/>
                                    </a:ext>
                                  </a:extLst>
                                </pic:cNvPr>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5681941" cy="3436385"/>
                                </a:xfrm>
                                <a:prstGeom prst="rect">
                                  <a:avLst/>
                                </a:prstGeom>
                              </pic:spPr>
                            </pic:pic>
                          </a:graphicData>
                        </a:graphic>
                      </wp:inline>
                    </w:drawing>
                  </w:r>
                </w:p>
                <w:p w14:paraId="23FB280E" w14:textId="3ED42716" w:rsidR="00EE0ECD" w:rsidRPr="008E1B83" w:rsidRDefault="00EE0ECD" w:rsidP="00EE0ECD">
                  <w:pPr>
                    <w:pStyle w:val="Text"/>
                    <w:rPr>
                      <w:i/>
                      <w:sz w:val="20"/>
                      <w:szCs w:val="18"/>
                    </w:rPr>
                  </w:pPr>
                  <w:r w:rsidRPr="008E1B83">
                    <w:rPr>
                      <w:i/>
                      <w:sz w:val="20"/>
                      <w:szCs w:val="18"/>
                    </w:rPr>
                    <w:t xml:space="preserve">Source: Service user survey </w:t>
                  </w:r>
                  <w:r w:rsidR="003277F8" w:rsidRPr="008E1B83">
                    <w:rPr>
                      <w:i/>
                      <w:sz w:val="20"/>
                      <w:szCs w:val="18"/>
                    </w:rPr>
                    <w:t xml:space="preserve">data </w:t>
                  </w:r>
                </w:p>
                <w:p w14:paraId="2C2E8E51" w14:textId="55DAA672" w:rsidR="0061697F" w:rsidRPr="0012133E" w:rsidRDefault="0012133E" w:rsidP="00EE0ECD">
                  <w:pPr>
                    <w:pStyle w:val="Text"/>
                    <w:rPr>
                      <w:b/>
                      <w:bCs/>
                    </w:rPr>
                  </w:pPr>
                  <w:r>
                    <w:t>Overall, t</w:t>
                  </w:r>
                  <w:r w:rsidRPr="00000CDA">
                    <w:t xml:space="preserve">he ability of </w:t>
                  </w:r>
                  <w:r>
                    <w:t>FaRS and dual FaRS SFVS</w:t>
                  </w:r>
                  <w:r w:rsidRPr="00000CDA">
                    <w:t xml:space="preserve"> service providers to refer </w:t>
                  </w:r>
                  <w:r>
                    <w:t>service users</w:t>
                  </w:r>
                  <w:r w:rsidRPr="00000CDA">
                    <w:t>, collaborate, or outsource support depen</w:t>
                  </w:r>
                  <w:r>
                    <w:t xml:space="preserve">ded </w:t>
                  </w:r>
                  <w:r w:rsidRPr="00000CDA">
                    <w:t>heavily on their capacity</w:t>
                  </w:r>
                  <w:r>
                    <w:t xml:space="preserve"> and capability to establish strong, working relationships with other services,</w:t>
                  </w:r>
                  <w:r w:rsidRPr="00000CDA">
                    <w:t xml:space="preserve"> and the availability of other services in the area. </w:t>
                  </w:r>
                  <w:r w:rsidR="00EE0ECD">
                    <w:t>When available, c</w:t>
                  </w:r>
                  <w:r w:rsidR="00EE0ECD" w:rsidRPr="00BE6DE4">
                    <w:t xml:space="preserve">ross-service collaboration and referrals allow FaRS </w:t>
                  </w:r>
                  <w:r w:rsidR="00EE0ECD">
                    <w:t xml:space="preserve">and </w:t>
                  </w:r>
                  <w:r w:rsidR="00EE0ECD" w:rsidRPr="00BE6DE4">
                    <w:t>SFVS service providers to establish referral pathways for priority populations and those with more complex needs they are unable to address</w:t>
                  </w:r>
                  <w:r w:rsidR="00EE0ECD">
                    <w:t xml:space="preserve"> </w:t>
                  </w:r>
                  <w:r w:rsidR="00EE0ECD">
                    <w:fldChar w:fldCharType="begin"/>
                  </w:r>
                  <w:r w:rsidR="00E41D03">
                    <w:instrText xml:space="preserve"> ADDIN ZOTERO_ITEM CSL_CITATION {"citationID":"NZMZOyrQ","properties":{"formattedCitation":"(Honisett et al., 2022; Kulkarni, 2019)","plainCitation":"(Honisett et al., 2022; Kulkarni, 2019)","noteIndex":0},"citationItems":[{"id":4721,"uris":["http://zotero.org/groups/5691188/items/W9BNSM2E"],"itemData":{"id":4721,"type":"article-journal","abstract":"Objectives: Explore the feasibility of an integrated Child and Family Hub within Victorian Community Health Services (CHS) to identify and respond to family adversities as preventable determinants of child mental health problems.\nMethods: Thirteen Victorian CHS staff and government policy makers (PMs), recruited via snowball sampling, participated in semi-structured interviews exploring: 1) barriers and facilitators for implementing a hub; 2) feasibility of a proposed integrated hub; and 3) resources needed to scale and sustain a hub. Transcripts were analysed employing framework analysis.\nResults: 1) Barriers included inadequate and activity-based funding, inability to fund community paediatricians and inadequate workforce competencies. Facilitators included CHS engagement with vulnerable communities and readiness to act. 2) The proposed hub model was identified as feasible to implement. Local co-design, co-location, and virtual delivery would support hub implementation. 3) To sustainably scale a hub, clear policy leadership and workforce and funding model reviews are needed.\nConclusions: A hub was perceived as feasible when based in CHS; however, local and systemwide issues need consideration to support its sustainable scaling. Implications for public health: Findings will inform the scaling of hub models of care across Victoria and other states to potentially optimise broader child and family health outcomes.","container-title":"Australian and New Zealand Journal of Public Health","DOI":"10.1111/1753-6405.13292","ISSN":"13260200","issue":"6","journalAbbreviation":"Australian and New Zealand Journal of Public Health","language":"en","page":"784-793","source":"DOI.org (Crossref)","title":"The feasibility of a Child and Family Hub within Victorian Community Health Services: a qualitative study","title-short":"The feasibility of a Child and Family Hub within Victorian Community Health Services","volume":"46","author":[{"family":"Honisett","given":"Suzy"},{"family":"Hall","given":"Teresa"},{"family":"Hiscock","given":"Harriet"},{"family":"Goldfeld","given":"Sharon"}],"issued":{"date-parts":[["2022",12]]}}},{"id":4574,"uris":["http://zotero.org/groups/5691188/items/TZPFHZIQ"],"itemData":{"id":4574,"type":"article-journal","abstract":"Over the past 50 years, programs serving intimate partner violence (IPV) survivors have expanded nationally. However, despite IPV program growth service gaps remain, particularly for the most marginalized and vulnerable survivor populations. Emerging practice models call for reimagining current IPV service delivery within an intersectional feminist, trauma-informed framework. An overview of intersectional (e.g. survivor-centered, full-frame, culturally specific) and trauma-informed IPV service approaches will be presented highlighting their shared emphasis on power sharing, authentic survivor-advocate relationships, individualized services, and robust systems advocacy. These approaches have the potential to transform IPV services and narrow service gaps if organizations can embed key elements into program design, implementation and evaluation processes. Recommendations for moving the IPV field forward include: 1) expanding survivors’ roles/input; 2) strengthening funding streams and organizational commitment to antioppressive, survivor-defined, trauma-informed services; 3) forging cross-sector advocacy relationships; and 4) building knowledge through research and evaluation.","container-title":"Journal of Family Violence","DOI":"10.1007/s10896-018-0001-5","ISSN":"0885-7482, 1573-2851","issue":"1","journalAbbreviation":"J Fam Viol","language":"en","page":"55-64","source":"DOI.org (Crossref)","title":"Intersectional Trauma-Informed Intimate Partner Violence (IPV) Services: Narrowing the Gap between IPV Service Delivery and Survivor Needs","title-short":"Intersectional Trauma-Informed Intimate Partner Violence (IPV) Services","volume":"34","author":[{"family":"Kulkarni","given":"Shanti"}],"issued":{"date-parts":[["2019",1,15]]}}}],"schema":"https://github.com/citation-style-language/schema/raw/master/csl-citation.json"} </w:instrText>
                  </w:r>
                  <w:r w:rsidR="00EE0ECD">
                    <w:fldChar w:fldCharType="separate"/>
                  </w:r>
                  <w:r w:rsidR="00EE0ECD" w:rsidRPr="00AC138C">
                    <w:rPr>
                      <w:rFonts w:ascii="Arial" w:hAnsi="Arial" w:cs="Arial"/>
                    </w:rPr>
                    <w:t>(Honisett et al., 2022; Kulkarni, 2019)</w:t>
                  </w:r>
                  <w:r w:rsidR="00EE0ECD">
                    <w:fldChar w:fldCharType="end"/>
                  </w:r>
                  <w:r w:rsidR="00EE0ECD">
                    <w:t xml:space="preserve">. </w:t>
                  </w:r>
                  <w:r w:rsidR="00EE0ECD" w:rsidRPr="00BE6DE4">
                    <w:t>This helps to ensure the right support for the individual, and to address waitlists.</w:t>
                  </w:r>
                  <w:r w:rsidR="00EE0ECD">
                    <w:t xml:space="preserve"> Several </w:t>
                  </w:r>
                  <w:r w:rsidR="00575968" w:rsidRPr="00BE6DE4">
                    <w:t xml:space="preserve">FaRS </w:t>
                  </w:r>
                  <w:r w:rsidR="00575968">
                    <w:t xml:space="preserve">and </w:t>
                  </w:r>
                  <w:r w:rsidR="00575968" w:rsidRPr="00BE6DE4">
                    <w:t>SFVS</w:t>
                  </w:r>
                  <w:r w:rsidR="00EE0ECD">
                    <w:t xml:space="preserve"> </w:t>
                  </w:r>
                  <w:r w:rsidR="003419DD">
                    <w:t>service providers attributed</w:t>
                  </w:r>
                  <w:r w:rsidR="00EE0ECD">
                    <w:t xml:space="preserve"> their success in meeting service user needs to their strong relationships with local services. For those without the capacity, capability, or option to provide</w:t>
                  </w:r>
                  <w:r w:rsidR="003E3231">
                    <w:t xml:space="preserve">, </w:t>
                  </w:r>
                  <w:r w:rsidR="00EE0ECD">
                    <w:t xml:space="preserve">their ability to assist service users is limited with some opting to hold them for longer to ensure they at least get some form of support. </w:t>
                  </w:r>
                </w:p>
                <w:p w14:paraId="4A36FF9D" w14:textId="77777777" w:rsidR="001A1D5B" w:rsidRPr="000C09BF" w:rsidRDefault="001A1D5B" w:rsidP="00321BC5">
                  <w:pPr>
                    <w:pStyle w:val="Text"/>
                    <w:spacing w:before="360"/>
                  </w:pPr>
                  <w:r w:rsidRPr="00321BC5">
                    <w:rPr>
                      <w:b/>
                      <w:color w:val="36424A" w:themeColor="background2"/>
                    </w:rPr>
                    <w:t xml:space="preserve">Workforce size, capacity, and capabilities </w:t>
                  </w:r>
                </w:p>
                <w:p w14:paraId="3AF90419" w14:textId="5A3AB5C1" w:rsidR="001A1D5B" w:rsidRDefault="001A1D5B" w:rsidP="001A1D5B">
                  <w:pPr>
                    <w:pStyle w:val="Text"/>
                  </w:pPr>
                  <w:r w:rsidRPr="007121EE">
                    <w:t>Services that are</w:t>
                  </w:r>
                  <w:r w:rsidRPr="007121EE" w:rsidDel="00995D4E">
                    <w:t xml:space="preserve"> </w:t>
                  </w:r>
                  <w:r w:rsidRPr="007121EE">
                    <w:t xml:space="preserve">staffed by consistent, friendly personnel are more effective in building trust and supporting sustained engagement </w:t>
                  </w:r>
                  <w:r w:rsidRPr="007121EE">
                    <w:fldChar w:fldCharType="begin"/>
                  </w:r>
                  <w:r w:rsidR="00E41D03">
                    <w:instrText xml:space="preserve"> ADDIN ZOTERO_ITEM CSL_CITATION {"citationID":"Jv4mNCY4","properties":{"formattedCitation":"(Brown et al., 2022)","plainCitation":"(Brown et al., 2022)","noteIndex":0},"citationItems":[{"id":4668,"uris":["http://zotero.org/groups/5691188/items/CEVFWE68"],"itemData":{"id":4668,"type":"article-journal","container-title":"Cochrane Database of Systematic Reviews","DOI":"10.1002/14651858.CD013648.pub2","ISSN":"14651858","issue":"10","language":"en","source":"DOI.org (Crossref)","title":"Survivor, family and professional experiences of psychosocial interventions for sexual abuse and violence: a qualitative evidence synthesis","title-short":"Survivor, family and professional experiences of psychosocial interventions for sexual abuse and violence","URL":"http://doi.wiley.com/10.1002/14651858.CD013648.pub2","volume":"2022","editor":[{"literal":"Cochrane Developmental, Psychosocial and Learning Problems Group"}],"author":[{"family":"Brown","given":"Sarah"},{"family":"Carter","given":"Grace J"},{"family":"Halliwell","given":"Gemma"},{"family":"Brown","given":"Katherine"},{"family":"Caswell","given":"Rachel"},{"family":"Howarth","given":"Emma"},{"family":"Feder","given":"Gene"},{"family":"O'Doherty","given":"Lorna"}],"accessed":{"date-parts":[["2024",10,4]]},"issued":{"date-parts":[["2022",10,4]]}}}],"schema":"https://github.com/citation-style-language/schema/raw/master/csl-citation.json"} </w:instrText>
                  </w:r>
                  <w:r w:rsidRPr="007121EE">
                    <w:fldChar w:fldCharType="separate"/>
                  </w:r>
                  <w:r w:rsidRPr="007121EE">
                    <w:t>(Brown et al., 2022)</w:t>
                  </w:r>
                  <w:r w:rsidRPr="007121EE">
                    <w:fldChar w:fldCharType="end"/>
                  </w:r>
                  <w:r w:rsidRPr="007121EE">
                    <w:t>.</w:t>
                  </w:r>
                  <w:r w:rsidR="00D052CE" w:rsidRPr="00D052CE">
                    <w:t xml:space="preserve"> </w:t>
                  </w:r>
                  <w:r w:rsidR="00D052CE">
                    <w:t>Research indicates that there is a</w:t>
                  </w:r>
                  <w:r w:rsidR="00D052CE" w:rsidRPr="0094447D">
                    <w:t xml:space="preserve"> shortage of specialised staff, particularly in rural and underserved areas</w:t>
                  </w:r>
                  <w:r w:rsidR="00D052CE">
                    <w:t xml:space="preserve"> delivering services for victim survivors of family violence</w:t>
                  </w:r>
                  <w:r w:rsidR="00D052CE" w:rsidRPr="0094447D">
                    <w:t>, making it difficult to consistently provide high-quality support.</w:t>
                  </w:r>
                  <w:r w:rsidR="00D052CE">
                    <w:t xml:space="preserve"> S</w:t>
                  </w:r>
                  <w:r w:rsidRPr="0094447D">
                    <w:t xml:space="preserve">ome social workers report discomfort in initiating discussions about family violence with </w:t>
                  </w:r>
                  <w:r w:rsidR="00E614D3">
                    <w:t>service users</w:t>
                  </w:r>
                  <w:r w:rsidRPr="0094447D">
                    <w:t xml:space="preserve">, fearing that sensitive conversations might disrupt relationships or provoke negative reactions </w:t>
                  </w:r>
                  <w:r w:rsidRPr="0094447D">
                    <w:fldChar w:fldCharType="begin"/>
                  </w:r>
                  <w:r w:rsidR="00E41D03">
                    <w:instrText xml:space="preserve"> ADDIN ZOTERO_ITEM CSL_CITATION {"citationID":"Wm1nxxw6","properties":{"formattedCitation":"(Pelkowitz et al., 2023)","plainCitation":"(Pelkowitz et al., 2023)","noteIndex":0},"citationItems":[{"id":4552,"uris":["http://zotero.org/groups/5691188/items/2N9FLZ7I"],"itemData":{"id":4552,"type":"article-journal","abstract":"In the Midwest region of Western Australia, rates of intimate partner and family violence (IPV/FV) are high. We undertook research into social workers’ knowledge, attitudes, and skills as part of addressing this signiﬁcant public health issue. Social workers come into contact with people experiencing IPV/FV in multiple settings, so their understandings and responses are critical to the prevention and interventions related to violence against women. The goal of the research was to determine the issues that the social workers in this region needed to be addressed that could assist in tackling the problem of IPV/FV. A questionnaire included open-ended questions to capture information on respondents’ proﬁles, knowledge, attitudes, practices, and education around IPV/FV, with 29 of 37 social workers working in the region responding. We also elicited respondents' recommendations related to training and service delivery. Despite working in many settings, most social workers had contact with people experiencing IPV/FV and had reasonable conﬁdence and knowledge that showed an understanding of the complexity of FV, including why women stay in violent relationships. This paper identiﬁed social workers’ need for more education, including during their university training, resources, and service coordination to support best practice delivery of services to people affected by IPV/FV. Training to develop skills for conversations about IPV/FV with clients, around safety planning, and greater access to safe alternative accommodation for those leaving FV were identiﬁed priorities.","container-title":"International Journal of Environmental Research and Public Health","DOI":"10.3390/ijerph20095628","ISSN":"1660-4601","issue":"9","journalAbbreviation":"IJERPH","language":"en","license":"https://creativecommons.org/licenses/by/4.0/","page":"5628","source":"DOI.org (Crossref)","title":"Dealing with Intimate Partner Violence and Family Violence in a Regional Centre of Western Australia: A Study of the Knowledge, Attitudes, and Practices of Local Social Workers","title-short":"Dealing with Intimate Partner Violence and Family Violence in a Regional Centre of Western Australia","volume":"20","author":[{"family":"Pelkowitz","given":"Lindi"},{"family":"Crossley","given":"Caroline"},{"family":"Greville","given":"Heath"},{"family":"Thompson","given":"Sandra C."}],"issued":{"date-parts":[["2023",4,24]]}}}],"schema":"https://github.com/citation-style-language/schema/raw/master/csl-citation.json"} </w:instrText>
                  </w:r>
                  <w:r w:rsidRPr="0094447D">
                    <w:fldChar w:fldCharType="separate"/>
                  </w:r>
                  <w:r w:rsidRPr="0094447D">
                    <w:t>(Pelkowitz et al., 2023)</w:t>
                  </w:r>
                  <w:r w:rsidRPr="0094447D">
                    <w:fldChar w:fldCharType="end"/>
                  </w:r>
                  <w:r w:rsidRPr="0094447D">
                    <w:t xml:space="preserve">. In addition, </w:t>
                  </w:r>
                  <w:r w:rsidR="00D052CE">
                    <w:t xml:space="preserve">literature highlights that </w:t>
                  </w:r>
                  <w:r w:rsidRPr="0094447D">
                    <w:t xml:space="preserve">limited training </w:t>
                  </w:r>
                  <w:r w:rsidRPr="0094447D">
                    <w:lastRenderedPageBreak/>
                    <w:t xml:space="preserve">in trauma-informed, culturally sensitive approaches further restricts workers’ ability to support </w:t>
                  </w:r>
                  <w:r w:rsidR="00E614D3">
                    <w:t>service users</w:t>
                  </w:r>
                  <w:r w:rsidRPr="0094447D">
                    <w:t xml:space="preserve"> from diverse backgrounds effectively </w:t>
                  </w:r>
                  <w:r w:rsidRPr="0094447D">
                    <w:fldChar w:fldCharType="begin"/>
                  </w:r>
                  <w:r w:rsidR="00E41D03">
                    <w:instrText xml:space="preserve"> ADDIN ZOTERO_ITEM CSL_CITATION {"citationID":"35fx0lKO","properties":{"formattedCitation":"(Honisett et al., 2022; Kulkarni, 2019)","plainCitation":"(Honisett et al., 2022; Kulkarni, 2019)","noteIndex":0},"citationItems":[{"id":4721,"uris":["http://zotero.org/groups/5691188/items/W9BNSM2E"],"itemData":{"id":4721,"type":"article-journal","abstract":"Objectives: Explore the feasibility of an integrated Child and Family Hub within Victorian Community Health Services (CHS) to identify and respond to family adversities as preventable determinants of child mental health problems.\nMethods: Thirteen Victorian CHS staff and government policy makers (PMs), recruited via snowball sampling, participated in semi-structured interviews exploring: 1) barriers and facilitators for implementing a hub; 2) feasibility of a proposed integrated hub; and 3) resources needed to scale and sustain a hub. Transcripts were analysed employing framework analysis.\nResults: 1) Barriers included inadequate and activity-based funding, inability to fund community paediatricians and inadequate workforce competencies. Facilitators included CHS engagement with vulnerable communities and readiness to act. 2) The proposed hub model was identified as feasible to implement. Local co-design, co-location, and virtual delivery would support hub implementation. 3) To sustainably scale a hub, clear policy leadership and workforce and funding model reviews are needed.\nConclusions: A hub was perceived as feasible when based in CHS; however, local and systemwide issues need consideration to support its sustainable scaling. Implications for public health: Findings will inform the scaling of hub models of care across Victoria and other states to potentially optimise broader child and family health outcomes.","container-title":"Australian and New Zealand Journal of Public Health","DOI":"10.1111/1753-6405.13292","ISSN":"13260200","issue":"6","journalAbbreviation":"Australian and New Zealand Journal of Public Health","language":"en","page":"784-793","source":"DOI.org (Crossref)","title":"The feasibility of a Child and Family Hub within Victorian Community Health Services: a qualitative study","title-short":"The feasibility of a Child and Family Hub within Victorian Community Health Services","volume":"46","author":[{"family":"Honisett","given":"Suzy"},{"family":"Hall","given":"Teresa"},{"family":"Hiscock","given":"Harriet"},{"family":"Goldfeld","given":"Sharon"}],"issued":{"date-parts":[["2022",12]]}}},{"id":4574,"uris":["http://zotero.org/groups/5691188/items/TZPFHZIQ"],"itemData":{"id":4574,"type":"article-journal","abstract":"Over the past 50 years, programs serving intimate partner violence (IPV) survivors have expanded nationally. However, despite IPV program growth service gaps remain, particularly for the most marginalized and vulnerable survivor populations. Emerging practice models call for reimagining current IPV service delivery within an intersectional feminist, trauma-informed framework. An overview of intersectional (e.g. survivor-centered, full-frame, culturally specific) and trauma-informed IPV service approaches will be presented highlighting their shared emphasis on power sharing, authentic survivor-advocate relationships, individualized services, and robust systems advocacy. These approaches have the potential to transform IPV services and narrow service gaps if organizations can embed key elements into program design, implementation and evaluation processes. Recommendations for moving the IPV field forward include: 1) expanding survivors’ roles/input; 2) strengthening funding streams and organizational commitment to antioppressive, survivor-defined, trauma-informed services; 3) forging cross-sector advocacy relationships; and 4) building knowledge through research and evaluation.","container-title":"Journal of Family Violence","DOI":"10.1007/s10896-018-0001-5","ISSN":"0885-7482, 1573-2851","issue":"1","journalAbbreviation":"J Fam Viol","language":"en","page":"55-64","source":"DOI.org (Crossref)","title":"Intersectional Trauma-Informed Intimate Partner Violence (IPV) Services: Narrowing the Gap between IPV Service Delivery and Survivor Needs","title-short":"Intersectional Trauma-Informed Intimate Partner Violence (IPV) Services","volume":"34","author":[{"family":"Kulkarni","given":"Shanti"}],"issued":{"date-parts":[["2019",1,15]]}}}],"schema":"https://github.com/citation-style-language/schema/raw/master/csl-citation.json"} </w:instrText>
                  </w:r>
                  <w:r w:rsidRPr="0094447D">
                    <w:fldChar w:fldCharType="separate"/>
                  </w:r>
                  <w:r w:rsidRPr="0094447D">
                    <w:t>(Honisett et al., 2022; Kulkarni, 2019)</w:t>
                  </w:r>
                  <w:r w:rsidRPr="0094447D">
                    <w:fldChar w:fldCharType="end"/>
                  </w:r>
                </w:p>
                <w:p w14:paraId="0A8F998E" w14:textId="2779EC48" w:rsidR="00C03E88" w:rsidRPr="008B7518" w:rsidRDefault="00575968" w:rsidP="001A1D5B">
                  <w:pPr>
                    <w:pStyle w:val="Text"/>
                  </w:pPr>
                  <w:r>
                    <w:t>Many</w:t>
                  </w:r>
                  <w:r w:rsidR="001A1D5B" w:rsidRPr="00E07021">
                    <w:t xml:space="preserve"> FaRS and SFVS providers noted a need to provide additional funding to upskill practitioners to meet the increase in complex </w:t>
                  </w:r>
                  <w:r w:rsidR="001D1403">
                    <w:t>service user</w:t>
                  </w:r>
                  <w:r w:rsidR="001A1D5B" w:rsidRPr="00E07021">
                    <w:t xml:space="preserve"> needs, and to provide up-to-date practice and knowledge. </w:t>
                  </w:r>
                  <w:r w:rsidR="001A1D5B">
                    <w:t xml:space="preserve">Some noted that </w:t>
                  </w:r>
                  <w:r w:rsidR="00DE791A">
                    <w:t>while</w:t>
                  </w:r>
                  <w:r w:rsidR="001A1D5B">
                    <w:t xml:space="preserve"> their staff were highly skilled and competent, their ability to address highly complex, intersecting needs was limited. </w:t>
                  </w:r>
                </w:p>
                <w:p w14:paraId="0A28356D" w14:textId="6D8B0B94" w:rsidR="001A1D5B" w:rsidRPr="006E057A" w:rsidRDefault="001A1D5B" w:rsidP="001A1D5B">
                  <w:pPr>
                    <w:pBdr>
                      <w:left w:val="single" w:sz="18" w:space="4" w:color="78B800"/>
                    </w:pBdr>
                    <w:tabs>
                      <w:tab w:val="left" w:pos="8080"/>
                    </w:tabs>
                    <w:spacing w:after="0"/>
                    <w:ind w:left="851" w:right="949"/>
                    <w:rPr>
                      <w:rFonts w:ascii="Arial" w:eastAsia="Arial" w:hAnsi="Arial" w:cs="Times New Roman"/>
                      <w:b/>
                      <w:i/>
                    </w:rPr>
                  </w:pPr>
                  <w:r w:rsidRPr="006E057A">
                    <w:rPr>
                      <w:rFonts w:ascii="Arial" w:eastAsia="Arial" w:hAnsi="Arial" w:cs="Times New Roman"/>
                      <w:noProof/>
                    </w:rPr>
                    <w:drawing>
                      <wp:anchor distT="0" distB="0" distL="114300" distR="114300" simplePos="0" relativeHeight="251658426" behindDoc="0" locked="1" layoutInCell="1" allowOverlap="1" wp14:anchorId="3666D1DB" wp14:editId="7AAD29BC">
                        <wp:simplePos x="0" y="0"/>
                        <wp:positionH relativeFrom="column">
                          <wp:posOffset>0</wp:posOffset>
                        </wp:positionH>
                        <wp:positionV relativeFrom="paragraph">
                          <wp:posOffset>0</wp:posOffset>
                        </wp:positionV>
                        <wp:extent cx="384810" cy="320040"/>
                        <wp:effectExtent l="0" t="0" r="0" b="3810"/>
                        <wp:wrapNone/>
                        <wp:docPr id="1097420036" name="Graphic 1097420036" descr="P4393#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420036" name="Graphic 1097420036" descr="P4393#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E057A">
                    <w:rPr>
                      <w:rFonts w:ascii="Arial" w:eastAsia="Arial" w:hAnsi="Arial" w:cs="Times New Roman"/>
                      <w:i/>
                      <w:iCs/>
                    </w:rPr>
                    <w:t xml:space="preserve">I think the breadth of complexity that counsellors will see under FaRS is quite significant. </w:t>
                  </w:r>
                  <w:r w:rsidR="00AE17E7">
                    <w:rPr>
                      <w:rFonts w:ascii="Arial" w:eastAsia="Arial" w:hAnsi="Arial" w:cs="Times New Roman"/>
                      <w:i/>
                      <w:iCs/>
                    </w:rPr>
                    <w:t>[…] T</w:t>
                  </w:r>
                  <w:r w:rsidRPr="006E057A">
                    <w:rPr>
                      <w:rFonts w:ascii="Arial" w:eastAsia="Arial" w:hAnsi="Arial" w:cs="Times New Roman"/>
                      <w:i/>
                      <w:iCs/>
                    </w:rPr>
                    <w:t>here's no one day that seems to be an easy counselling day […] You'll move from someone who's experiencing family violence</w:t>
                  </w:r>
                  <w:r w:rsidR="00D0737D">
                    <w:rPr>
                      <w:rFonts w:ascii="Arial" w:eastAsia="Arial" w:hAnsi="Arial" w:cs="Times New Roman"/>
                      <w:i/>
                      <w:iCs/>
                    </w:rPr>
                    <w:t xml:space="preserve"> […]</w:t>
                  </w:r>
                  <w:r w:rsidRPr="006E057A">
                    <w:rPr>
                      <w:rFonts w:ascii="Arial" w:eastAsia="Arial" w:hAnsi="Arial" w:cs="Times New Roman"/>
                      <w:i/>
                      <w:iCs/>
                    </w:rPr>
                    <w:t xml:space="preserve"> and then your next person's got mental health [concerns]</w:t>
                  </w:r>
                  <w:r w:rsidR="00AE17E7">
                    <w:rPr>
                      <w:rFonts w:ascii="Arial" w:eastAsia="Arial" w:hAnsi="Arial" w:cs="Times New Roman"/>
                      <w:i/>
                      <w:iCs/>
                    </w:rPr>
                    <w:t>, t</w:t>
                  </w:r>
                  <w:r w:rsidRPr="006E057A">
                    <w:rPr>
                      <w:rFonts w:ascii="Arial" w:eastAsia="Arial" w:hAnsi="Arial" w:cs="Times New Roman"/>
                      <w:i/>
                      <w:iCs/>
                    </w:rPr>
                    <w:t>hen you're dealing with a couple who might be [having] communication issues</w:t>
                  </w:r>
                  <w:r w:rsidR="00DC516F">
                    <w:rPr>
                      <w:rFonts w:ascii="Arial" w:eastAsia="Arial" w:hAnsi="Arial" w:cs="Times New Roman"/>
                      <w:i/>
                      <w:iCs/>
                    </w:rPr>
                    <w:t>.</w:t>
                  </w:r>
                  <w:r w:rsidR="00C03E88">
                    <w:rPr>
                      <w:rFonts w:ascii="Arial" w:eastAsia="Arial" w:hAnsi="Arial" w:cs="Times New Roman"/>
                      <w:i/>
                      <w:iCs/>
                    </w:rPr>
                    <w:t xml:space="preserve"> </w:t>
                  </w:r>
                  <w:r w:rsidRPr="006E057A">
                    <w:rPr>
                      <w:rFonts w:ascii="Arial" w:eastAsia="Arial" w:hAnsi="Arial" w:cs="Times New Roman"/>
                      <w:i/>
                      <w:iCs/>
                    </w:rPr>
                    <w:t xml:space="preserve">[There] are so many services and areas of the sector that are slammed and [they] can't take clients in or have long wait lists so people are really asking us to hold them in the space and support them […] The experience level that counsellors need to have is really quite profound </w:t>
                  </w:r>
                  <w:r w:rsidR="00C03E88">
                    <w:rPr>
                      <w:rFonts w:ascii="Arial" w:eastAsia="Arial" w:hAnsi="Arial" w:cs="Times New Roman"/>
                      <w:i/>
                      <w:iCs/>
                    </w:rPr>
                    <w:t>[…]</w:t>
                  </w:r>
                  <w:r w:rsidRPr="006E057A">
                    <w:rPr>
                      <w:rFonts w:ascii="Arial" w:eastAsia="Arial" w:hAnsi="Arial" w:cs="Times New Roman"/>
                      <w:i/>
                      <w:iCs/>
                    </w:rPr>
                    <w:t xml:space="preserve"> and it can be quite challenging as an organisation to make sure that all of your staff are across such a broad range of issues </w:t>
                  </w:r>
                  <w:r w:rsidRPr="006E057A">
                    <w:rPr>
                      <w:rFonts w:ascii="Arial" w:eastAsia="Arial" w:hAnsi="Arial" w:cs="Times New Roman"/>
                      <w:b/>
                      <w:bCs/>
                      <w:i/>
                      <w:iCs/>
                    </w:rPr>
                    <w:t>– FaRS service provider</w:t>
                  </w:r>
                </w:p>
                <w:p w14:paraId="43963F95" w14:textId="77777777" w:rsidR="001A1D5B" w:rsidRDefault="001A1D5B" w:rsidP="001A1D5B">
                  <w:pPr>
                    <w:pStyle w:val="Text"/>
                  </w:pPr>
                </w:p>
                <w:p w14:paraId="76121EAD" w14:textId="32E5B00B" w:rsidR="001A1D5B" w:rsidRPr="007B03B3" w:rsidRDefault="001A1D5B" w:rsidP="001A1D5B">
                  <w:pPr>
                    <w:pBdr>
                      <w:left w:val="single" w:sz="18" w:space="4" w:color="78B800" w:themeColor="accent1"/>
                    </w:pBdr>
                    <w:tabs>
                      <w:tab w:val="left" w:pos="8080"/>
                    </w:tabs>
                    <w:spacing w:after="0"/>
                    <w:ind w:left="851" w:right="949"/>
                    <w:rPr>
                      <w:b/>
                      <w:bCs/>
                    </w:rPr>
                  </w:pPr>
                  <w:r w:rsidRPr="000C26FE">
                    <w:rPr>
                      <w:i/>
                      <w:iCs/>
                      <w:noProof/>
                    </w:rPr>
                    <w:drawing>
                      <wp:anchor distT="0" distB="0" distL="114300" distR="114300" simplePos="0" relativeHeight="251658427" behindDoc="0" locked="1" layoutInCell="1" allowOverlap="1" wp14:anchorId="4FC8F67A" wp14:editId="52D4CFE8">
                        <wp:simplePos x="0" y="0"/>
                        <wp:positionH relativeFrom="column">
                          <wp:posOffset>0</wp:posOffset>
                        </wp:positionH>
                        <wp:positionV relativeFrom="paragraph">
                          <wp:posOffset>0</wp:posOffset>
                        </wp:positionV>
                        <wp:extent cx="384810" cy="320040"/>
                        <wp:effectExtent l="0" t="0" r="0" b="3810"/>
                        <wp:wrapNone/>
                        <wp:docPr id="1900886131" name="Graphic 1900886131" descr="P4395#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0886131" name="Graphic 1900886131" descr="P4395#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B03B3">
                    <w:rPr>
                      <w:i/>
                      <w:iCs/>
                    </w:rPr>
                    <w:t xml:space="preserve">There's no degree that someone can go and do that sends them to us and they're ready to do work. </w:t>
                  </w:r>
                  <w:r>
                    <w:rPr>
                      <w:i/>
                      <w:iCs/>
                    </w:rPr>
                    <w:t>[…]</w:t>
                  </w:r>
                  <w:r w:rsidRPr="007B03B3">
                    <w:rPr>
                      <w:i/>
                      <w:iCs/>
                    </w:rPr>
                    <w:t xml:space="preserve"> </w:t>
                  </w:r>
                  <w:r>
                    <w:rPr>
                      <w:i/>
                      <w:iCs/>
                    </w:rPr>
                    <w:t>P</w:t>
                  </w:r>
                  <w:r w:rsidRPr="007B03B3">
                    <w:rPr>
                      <w:i/>
                      <w:iCs/>
                    </w:rPr>
                    <w:t>ractitioners present and then organisations will spend a lot of time and energy empowering and equipping people so that we can support our communities effectively</w:t>
                  </w:r>
                  <w:r>
                    <w:rPr>
                      <w:i/>
                      <w:iCs/>
                    </w:rPr>
                    <w:t xml:space="preserve"> </w:t>
                  </w:r>
                  <w:r w:rsidRPr="00ED2CFA">
                    <w:rPr>
                      <w:b/>
                      <w:bCs/>
                      <w:i/>
                      <w:iCs/>
                    </w:rPr>
                    <w:t>–</w:t>
                  </w:r>
                  <w:r w:rsidR="00C17A21">
                    <w:rPr>
                      <w:b/>
                      <w:bCs/>
                      <w:i/>
                      <w:iCs/>
                    </w:rPr>
                    <w:t xml:space="preserve"> </w:t>
                  </w:r>
                  <w:r w:rsidRPr="007B03B3">
                    <w:rPr>
                      <w:b/>
                      <w:bCs/>
                      <w:i/>
                      <w:iCs/>
                    </w:rPr>
                    <w:t>SFVS service provider</w:t>
                  </w:r>
                </w:p>
                <w:p w14:paraId="302FD41A" w14:textId="77777777" w:rsidR="001A1D5B" w:rsidRDefault="001A1D5B" w:rsidP="001A1D5B">
                  <w:pPr>
                    <w:pStyle w:val="Text"/>
                  </w:pPr>
                </w:p>
                <w:p w14:paraId="35E8A9A9" w14:textId="62F8F503" w:rsidR="001A1D5B" w:rsidRPr="007B03B3" w:rsidRDefault="001A1D5B" w:rsidP="001A1D5B">
                  <w:pPr>
                    <w:pBdr>
                      <w:left w:val="single" w:sz="18" w:space="4" w:color="78B800" w:themeColor="accent1"/>
                    </w:pBdr>
                    <w:tabs>
                      <w:tab w:val="left" w:pos="8080"/>
                    </w:tabs>
                    <w:spacing w:after="0"/>
                    <w:ind w:left="851" w:right="949"/>
                    <w:rPr>
                      <w:b/>
                      <w:bCs/>
                    </w:rPr>
                  </w:pPr>
                  <w:r w:rsidRPr="000C26FE">
                    <w:rPr>
                      <w:i/>
                      <w:iCs/>
                      <w:noProof/>
                    </w:rPr>
                    <w:drawing>
                      <wp:anchor distT="0" distB="0" distL="114300" distR="114300" simplePos="0" relativeHeight="251658428" behindDoc="0" locked="1" layoutInCell="1" allowOverlap="1" wp14:anchorId="216DCFB7" wp14:editId="237F06A7">
                        <wp:simplePos x="0" y="0"/>
                        <wp:positionH relativeFrom="column">
                          <wp:posOffset>0</wp:posOffset>
                        </wp:positionH>
                        <wp:positionV relativeFrom="paragraph">
                          <wp:posOffset>0</wp:posOffset>
                        </wp:positionV>
                        <wp:extent cx="384810" cy="320040"/>
                        <wp:effectExtent l="0" t="0" r="0" b="3810"/>
                        <wp:wrapNone/>
                        <wp:docPr id="1053957241" name="Graphic 1053957241" descr="P4397#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957241" name="Graphic 1053957241" descr="P4397#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0737D">
                    <w:rPr>
                      <w:i/>
                      <w:iCs/>
                    </w:rPr>
                    <w:t>I</w:t>
                  </w:r>
                  <w:r w:rsidRPr="00ED2CFA">
                    <w:rPr>
                      <w:i/>
                      <w:iCs/>
                    </w:rPr>
                    <w:t>n terms of relationship counselling our practitioners need to have a very broad understanding of a lot of quite specialist areas and then link them in with those specialist services […] So I think the burden in terms of making sure our workforce is equipped</w:t>
                  </w:r>
                  <w:r w:rsidR="00D0737D">
                    <w:rPr>
                      <w:i/>
                      <w:iCs/>
                    </w:rPr>
                    <w:t>,</w:t>
                  </w:r>
                  <w:r w:rsidRPr="00ED2CFA">
                    <w:rPr>
                      <w:i/>
                      <w:iCs/>
                    </w:rPr>
                    <w:t xml:space="preserve"> not burnt out and </w:t>
                  </w:r>
                  <w:r w:rsidR="00D0737D">
                    <w:rPr>
                      <w:i/>
                      <w:iCs/>
                    </w:rPr>
                    <w:t>[…]</w:t>
                  </w:r>
                  <w:r w:rsidRPr="00ED2CFA">
                    <w:rPr>
                      <w:i/>
                      <w:iCs/>
                    </w:rPr>
                    <w:t xml:space="preserve"> feel empowered in their space is also [important]</w:t>
                  </w:r>
                  <w:r w:rsidRPr="00ED2CFA">
                    <w:rPr>
                      <w:b/>
                      <w:bCs/>
                      <w:i/>
                      <w:iCs/>
                    </w:rPr>
                    <w:t xml:space="preserve"> – FaRS service provider</w:t>
                  </w:r>
                </w:p>
                <w:p w14:paraId="39C1856C" w14:textId="77777777" w:rsidR="001A1D5B" w:rsidRDefault="001A1D5B" w:rsidP="001A1D5B">
                  <w:pPr>
                    <w:pStyle w:val="Text"/>
                    <w:rPr>
                      <w:rFonts w:ascii="Arial" w:hAnsi="Arial" w:cs="Arial"/>
                    </w:rPr>
                  </w:pPr>
                </w:p>
                <w:p w14:paraId="50284F95" w14:textId="1AA6F448" w:rsidR="001A1D5B" w:rsidRDefault="001A1D5B" w:rsidP="001A1D5B">
                  <w:pPr>
                    <w:pStyle w:val="Text"/>
                  </w:pPr>
                  <w:r>
                    <w:rPr>
                      <w:rFonts w:ascii="Arial" w:hAnsi="Arial" w:cs="Arial"/>
                    </w:rPr>
                    <w:t>Identified areas for additional training</w:t>
                  </w:r>
                  <w:r w:rsidR="00DE791A">
                    <w:rPr>
                      <w:rFonts w:ascii="Arial" w:hAnsi="Arial" w:cs="Arial"/>
                    </w:rPr>
                    <w:t xml:space="preserve"> highlighted by service providers</w:t>
                  </w:r>
                  <w:r>
                    <w:rPr>
                      <w:rFonts w:ascii="Arial" w:hAnsi="Arial" w:cs="Arial"/>
                    </w:rPr>
                    <w:t xml:space="preserve"> </w:t>
                  </w:r>
                  <w:r w:rsidRPr="005D7C31">
                    <w:t>includ</w:t>
                  </w:r>
                  <w:r>
                    <w:t>ed:</w:t>
                  </w:r>
                </w:p>
                <w:p w14:paraId="3581EEAE" w14:textId="77777777" w:rsidR="001A1D5B" w:rsidRDefault="001A1D5B" w:rsidP="001A1D5B">
                  <w:pPr>
                    <w:pStyle w:val="Bullet1"/>
                  </w:pPr>
                  <w:r w:rsidRPr="005D7C31">
                    <w:t>supporting children as family violence victim survivor</w:t>
                  </w:r>
                  <w:r>
                    <w:t>s</w:t>
                  </w:r>
                </w:p>
                <w:p w14:paraId="54AE6419" w14:textId="77777777" w:rsidR="001A1D5B" w:rsidRDefault="001A1D5B" w:rsidP="001A1D5B">
                  <w:pPr>
                    <w:pStyle w:val="Bullet1"/>
                  </w:pPr>
                  <w:r w:rsidRPr="005D7C31">
                    <w:t>supporting children and adults with neurodivergence</w:t>
                  </w:r>
                </w:p>
                <w:p w14:paraId="4142F996" w14:textId="2775F690" w:rsidR="001A1D5B" w:rsidRDefault="001A1D5B" w:rsidP="001A1D5B">
                  <w:pPr>
                    <w:pStyle w:val="Bullet1"/>
                  </w:pPr>
                  <w:r>
                    <w:t xml:space="preserve">engaging in </w:t>
                  </w:r>
                  <w:r w:rsidRPr="005D7C31">
                    <w:t xml:space="preserve">trauma-informed, non-collusive support for </w:t>
                  </w:r>
                  <w:r w:rsidR="00BD2DE7" w:rsidRPr="005D7C31">
                    <w:t>pe</w:t>
                  </w:r>
                  <w:r w:rsidR="00BD2DE7">
                    <w:t>ople who use violence</w:t>
                  </w:r>
                </w:p>
                <w:p w14:paraId="416DB58D" w14:textId="77777777" w:rsidR="001A1D5B" w:rsidRDefault="001A1D5B" w:rsidP="001A1D5B">
                  <w:pPr>
                    <w:pStyle w:val="Bullet1"/>
                  </w:pPr>
                  <w:r>
                    <w:t xml:space="preserve">utilising healing-based approaches to MBCPs </w:t>
                  </w:r>
                </w:p>
                <w:p w14:paraId="28DAB5B2" w14:textId="77777777" w:rsidR="001A1D5B" w:rsidRDefault="001A1D5B" w:rsidP="001A1D5B">
                  <w:pPr>
                    <w:pStyle w:val="Bullet1"/>
                  </w:pPr>
                  <w:r w:rsidRPr="005D7C31">
                    <w:lastRenderedPageBreak/>
                    <w:t>addressing the use of technology to abuse and harass and other newly recognised forms of family violence</w:t>
                  </w:r>
                </w:p>
                <w:p w14:paraId="69792E7A" w14:textId="77777777" w:rsidR="001A1D5B" w:rsidRDefault="001A1D5B" w:rsidP="001A1D5B">
                  <w:pPr>
                    <w:pStyle w:val="Bullet1"/>
                  </w:pPr>
                  <w:r>
                    <w:t xml:space="preserve">improving virtual service delivery capabilities and understanding </w:t>
                  </w:r>
                </w:p>
                <w:p w14:paraId="2E38C6AE" w14:textId="415248C3" w:rsidR="001A1D5B" w:rsidRDefault="001A1D5B" w:rsidP="001A1D5B">
                  <w:pPr>
                    <w:pStyle w:val="Bullet1"/>
                  </w:pPr>
                  <w:r>
                    <w:t>improved understanding of family violence for FaRS counsellors.</w:t>
                  </w:r>
                </w:p>
                <w:p w14:paraId="3790D227" w14:textId="77777777" w:rsidR="0061697F" w:rsidRDefault="0061697F" w:rsidP="0061697F">
                  <w:pPr>
                    <w:pStyle w:val="Bullet1"/>
                    <w:numPr>
                      <w:ilvl w:val="0"/>
                      <w:numId w:val="0"/>
                    </w:numPr>
                    <w:ind w:left="431" w:hanging="431"/>
                  </w:pPr>
                </w:p>
                <w:p w14:paraId="36495D8E" w14:textId="77777777" w:rsidR="00C758E5" w:rsidRDefault="00C758E5">
                  <w:pPr>
                    <w:rPr>
                      <w:i/>
                      <w:iCs/>
                    </w:rPr>
                  </w:pPr>
                  <w:r>
                    <w:rPr>
                      <w:i/>
                      <w:iCs/>
                    </w:rPr>
                    <w:br w:type="page"/>
                  </w:r>
                </w:p>
                <w:p w14:paraId="532AC565" w14:textId="1E6BD4DB" w:rsidR="001A1D5B" w:rsidRPr="00336D16" w:rsidRDefault="001A1D5B" w:rsidP="001A1D5B">
                  <w:pPr>
                    <w:pBdr>
                      <w:left w:val="single" w:sz="18" w:space="4" w:color="78B800" w:themeColor="accent1"/>
                    </w:pBdr>
                    <w:tabs>
                      <w:tab w:val="left" w:pos="8080"/>
                    </w:tabs>
                    <w:spacing w:after="0"/>
                    <w:ind w:left="851" w:right="949"/>
                    <w:rPr>
                      <w:b/>
                      <w:bCs/>
                      <w:i/>
                      <w:iCs/>
                    </w:rPr>
                  </w:pPr>
                  <w:r w:rsidRPr="00336D16">
                    <w:rPr>
                      <w:noProof/>
                    </w:rPr>
                    <w:lastRenderedPageBreak/>
                    <w:drawing>
                      <wp:anchor distT="0" distB="0" distL="114300" distR="114300" simplePos="0" relativeHeight="251658429" behindDoc="0" locked="1" layoutInCell="1" allowOverlap="1" wp14:anchorId="311E3F05" wp14:editId="32F3F4F3">
                        <wp:simplePos x="0" y="0"/>
                        <wp:positionH relativeFrom="column">
                          <wp:posOffset>0</wp:posOffset>
                        </wp:positionH>
                        <wp:positionV relativeFrom="paragraph">
                          <wp:posOffset>0</wp:posOffset>
                        </wp:positionV>
                        <wp:extent cx="384810" cy="320040"/>
                        <wp:effectExtent l="0" t="0" r="0" b="3810"/>
                        <wp:wrapNone/>
                        <wp:docPr id="811592810" name="Graphic 811592810" descr="P4409#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592810" name="Graphic 811592810" descr="P4409#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A3807">
                    <w:rPr>
                      <w:i/>
                      <w:iCs/>
                    </w:rPr>
                    <w:t xml:space="preserve"> </w:t>
                  </w:r>
                  <w:r w:rsidRPr="00844095">
                    <w:rPr>
                      <w:i/>
                      <w:iCs/>
                    </w:rPr>
                    <w:t xml:space="preserve">I </w:t>
                  </w:r>
                  <w:r w:rsidRPr="00BC7FAB">
                    <w:rPr>
                      <w:i/>
                      <w:iCs/>
                    </w:rPr>
                    <w:t>feel that there's too much of an expectation on our counsellors to be across too many complexities and I don't think that they're either skilled or trained or confident and neither should they be, because that's not really what they signed up for. So that's always been a bit of an issue for our staff, and it burns them out and they leave</w:t>
                  </w:r>
                  <w:r>
                    <w:rPr>
                      <w:b/>
                      <w:bCs/>
                      <w:i/>
                      <w:iCs/>
                    </w:rPr>
                    <w:t xml:space="preserve"> – FaRS service provider </w:t>
                  </w:r>
                </w:p>
                <w:p w14:paraId="2AE398C5" w14:textId="77777777" w:rsidR="001A1D5B" w:rsidRDefault="001A1D5B" w:rsidP="001A1D5B">
                  <w:pPr>
                    <w:pStyle w:val="Text"/>
                  </w:pPr>
                </w:p>
                <w:p w14:paraId="786898AD" w14:textId="27411D14" w:rsidR="001A1D5B" w:rsidRPr="00336D16" w:rsidRDefault="001A1D5B" w:rsidP="001A1D5B">
                  <w:pPr>
                    <w:pBdr>
                      <w:left w:val="single" w:sz="18" w:space="4" w:color="78B800" w:themeColor="accent1"/>
                    </w:pBdr>
                    <w:tabs>
                      <w:tab w:val="left" w:pos="8080"/>
                    </w:tabs>
                    <w:spacing w:after="0"/>
                    <w:ind w:left="851" w:right="949"/>
                    <w:rPr>
                      <w:b/>
                      <w:bCs/>
                      <w:i/>
                      <w:iCs/>
                    </w:rPr>
                  </w:pPr>
                  <w:r w:rsidRPr="00336D16">
                    <w:rPr>
                      <w:noProof/>
                    </w:rPr>
                    <w:drawing>
                      <wp:anchor distT="0" distB="0" distL="114300" distR="114300" simplePos="0" relativeHeight="251658430" behindDoc="0" locked="1" layoutInCell="1" allowOverlap="1" wp14:anchorId="581AE134" wp14:editId="7236D5AA">
                        <wp:simplePos x="0" y="0"/>
                        <wp:positionH relativeFrom="column">
                          <wp:posOffset>0</wp:posOffset>
                        </wp:positionH>
                        <wp:positionV relativeFrom="paragraph">
                          <wp:posOffset>0</wp:posOffset>
                        </wp:positionV>
                        <wp:extent cx="384810" cy="320040"/>
                        <wp:effectExtent l="0" t="0" r="0" b="3810"/>
                        <wp:wrapNone/>
                        <wp:docPr id="45462285" name="Graphic 45462285" descr="P4411#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62285" name="Graphic 45462285" descr="P4411#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92087">
                    <w:rPr>
                      <w:i/>
                      <w:iCs/>
                    </w:rPr>
                    <w:t>We need to be able to have staff that have the skills to be able to work with people with complex disabilities, including mental health illnesses […] we don't have much funding in FaRS for upskilling of staff […] In terms of diversity, you know, we're really needing […] neurodiversity affirming approaches being put in</w:t>
                  </w:r>
                  <w:r>
                    <w:rPr>
                      <w:i/>
                      <w:iCs/>
                    </w:rPr>
                    <w:t xml:space="preserve"> </w:t>
                  </w:r>
                  <w:r w:rsidRPr="005601CE">
                    <w:rPr>
                      <w:i/>
                      <w:iCs/>
                    </w:rPr>
                    <w:t>[</w:t>
                  </w:r>
                  <w:r w:rsidRPr="002E7992">
                    <w:rPr>
                      <w:i/>
                      <w:iCs/>
                    </w:rPr>
                    <w:t>…</w:t>
                  </w:r>
                  <w:r>
                    <w:rPr>
                      <w:i/>
                      <w:iCs/>
                    </w:rPr>
                    <w:t>]</w:t>
                  </w:r>
                  <w:r w:rsidRPr="00992087">
                    <w:rPr>
                      <w:i/>
                      <w:iCs/>
                    </w:rPr>
                    <w:t xml:space="preserve"> practise</w:t>
                  </w:r>
                  <w:r>
                    <w:rPr>
                      <w:i/>
                      <w:iCs/>
                    </w:rPr>
                    <w:t xml:space="preserve"> </w:t>
                  </w:r>
                  <w:r w:rsidRPr="00844095">
                    <w:rPr>
                      <w:b/>
                      <w:bCs/>
                      <w:i/>
                      <w:iCs/>
                    </w:rPr>
                    <w:t>–</w:t>
                  </w:r>
                  <w:r>
                    <w:rPr>
                      <w:b/>
                      <w:bCs/>
                      <w:i/>
                      <w:iCs/>
                    </w:rPr>
                    <w:t xml:space="preserve"> FaRS service provider</w:t>
                  </w:r>
                </w:p>
                <w:p w14:paraId="69003DBE" w14:textId="77777777" w:rsidR="001A1D5B" w:rsidRPr="001A1D5B" w:rsidRDefault="001A1D5B" w:rsidP="001A1D5B">
                  <w:pPr>
                    <w:pStyle w:val="Text"/>
                    <w:rPr>
                      <w:i/>
                      <w:iCs/>
                      <w:lang w:val="en-AU"/>
                    </w:rPr>
                  </w:pPr>
                </w:p>
                <w:p w14:paraId="494DA3F3" w14:textId="4C5931E4" w:rsidR="001A1D5B" w:rsidRPr="007B03B3" w:rsidRDefault="001A1D5B" w:rsidP="001A1D5B">
                  <w:pPr>
                    <w:pBdr>
                      <w:left w:val="single" w:sz="18" w:space="4" w:color="78B800" w:themeColor="accent1"/>
                    </w:pBdr>
                    <w:tabs>
                      <w:tab w:val="left" w:pos="8080"/>
                    </w:tabs>
                    <w:spacing w:after="0"/>
                    <w:ind w:left="851" w:right="949"/>
                    <w:rPr>
                      <w:b/>
                      <w:bCs/>
                    </w:rPr>
                  </w:pPr>
                  <w:r w:rsidRPr="000C26FE">
                    <w:rPr>
                      <w:i/>
                      <w:iCs/>
                      <w:noProof/>
                    </w:rPr>
                    <w:drawing>
                      <wp:anchor distT="0" distB="0" distL="114300" distR="114300" simplePos="0" relativeHeight="251658431" behindDoc="0" locked="1" layoutInCell="1" allowOverlap="1" wp14:anchorId="6A206799" wp14:editId="4258B690">
                        <wp:simplePos x="0" y="0"/>
                        <wp:positionH relativeFrom="column">
                          <wp:posOffset>0</wp:posOffset>
                        </wp:positionH>
                        <wp:positionV relativeFrom="paragraph">
                          <wp:posOffset>0</wp:posOffset>
                        </wp:positionV>
                        <wp:extent cx="384810" cy="320040"/>
                        <wp:effectExtent l="0" t="0" r="0" b="3810"/>
                        <wp:wrapNone/>
                        <wp:docPr id="846326418" name="Graphic 846326418" descr="P4413#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326418" name="Graphic 846326418" descr="P4413#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B03B3">
                    <w:t xml:space="preserve"> </w:t>
                  </w:r>
                  <w:r w:rsidRPr="007B03B3">
                    <w:rPr>
                      <w:i/>
                      <w:iCs/>
                    </w:rPr>
                    <w:t>[…] sometimes where there is domestic family violence in their presentation for FaRS, you know, how do we best support them? We do have specialists that work with us but even with the MBCP, that wait list is […] huge […] Then looking at those specialist population groups […] we have […] yarning circles and various other presentations that can support, but there's definitely unmet needs in terms of […] workforce specialist training […]</w:t>
                  </w:r>
                  <w:r w:rsidR="00E012DB">
                    <w:rPr>
                      <w:i/>
                      <w:iCs/>
                    </w:rPr>
                    <w:t xml:space="preserve"> </w:t>
                  </w:r>
                  <w:r w:rsidRPr="007B03B3">
                    <w:rPr>
                      <w:i/>
                      <w:iCs/>
                    </w:rPr>
                    <w:t>–</w:t>
                  </w:r>
                  <w:r>
                    <w:rPr>
                      <w:i/>
                      <w:iCs/>
                    </w:rPr>
                    <w:t xml:space="preserve"> </w:t>
                  </w:r>
                  <w:r w:rsidR="00CF2C20" w:rsidRPr="00CF2C20">
                    <w:rPr>
                      <w:b/>
                      <w:bCs/>
                      <w:i/>
                      <w:iCs/>
                    </w:rPr>
                    <w:t>Dual</w:t>
                  </w:r>
                  <w:r w:rsidR="00CF2C20">
                    <w:rPr>
                      <w:i/>
                      <w:iCs/>
                    </w:rPr>
                    <w:t xml:space="preserve"> </w:t>
                  </w:r>
                  <w:r w:rsidRPr="007B03B3">
                    <w:rPr>
                      <w:b/>
                      <w:bCs/>
                      <w:i/>
                      <w:iCs/>
                    </w:rPr>
                    <w:t>FaRS SFVS service provider</w:t>
                  </w:r>
                </w:p>
                <w:p w14:paraId="482741E6" w14:textId="77777777" w:rsidR="001A1D5B" w:rsidRDefault="001A1D5B" w:rsidP="001A1D5B">
                  <w:pPr>
                    <w:pStyle w:val="Text"/>
                  </w:pPr>
                </w:p>
                <w:p w14:paraId="34522A2D" w14:textId="7494BC16" w:rsidR="00CE1A35" w:rsidRDefault="00575968" w:rsidP="001A1D5B">
                  <w:pPr>
                    <w:pStyle w:val="Text"/>
                  </w:pPr>
                  <w:r>
                    <w:t xml:space="preserve">Several </w:t>
                  </w:r>
                  <w:r w:rsidR="001A1D5B">
                    <w:t>FaRS and SFVS s</w:t>
                  </w:r>
                  <w:r w:rsidR="001A1D5B" w:rsidRPr="005D7C31">
                    <w:t xml:space="preserve">ervice providers </w:t>
                  </w:r>
                  <w:r w:rsidR="001A1D5B">
                    <w:t>n</w:t>
                  </w:r>
                  <w:r w:rsidR="001A1D5B" w:rsidRPr="005D7C31">
                    <w:t>oted barriers to hiring and retaining suitability qualified staff including those with appropriate diversity, qualifications, skills, and experience to support priority cohorts. This is particularly heightened in rural and remote areas, with some providers holding vacant counsellor positions for over a year.</w:t>
                  </w:r>
                  <w:r w:rsidR="001A1D5B">
                    <w:t xml:space="preserve"> </w:t>
                  </w:r>
                  <w:r w:rsidR="0094257D">
                    <w:t>This was attributed in part to a lack of qualified staff living nearby and difficulty securing housing to attract candidates from elsewhere.</w:t>
                  </w:r>
                  <w:r w:rsidR="001A1D5B">
                    <w:t xml:space="preserve"> </w:t>
                  </w:r>
                  <w:r w:rsidR="00CE3FEB">
                    <w:t>T</w:t>
                  </w:r>
                  <w:r w:rsidR="00CE1A35">
                    <w:t>he importance of stable and consistent staffing was recognised by both FaRS and SFVS service providers and service users, with several service users identifying that they either appreciated not having to ‘retell their story’ when a counsellor left or changed, and conversely others highlighting frustration with lack of handovers. Some service providers expressed that high turnover of staff and challenges hiring staff undermined their ability to provide continuity of care, noting that they were competing with the private sector which could offer higher pay, more secure employment, and more professional development opportunities.</w:t>
                  </w:r>
                </w:p>
                <w:p w14:paraId="21AE6F8A" w14:textId="4C0E16FB" w:rsidR="001A1D5B" w:rsidRPr="00336D16" w:rsidRDefault="001A1D5B" w:rsidP="001A1D5B">
                  <w:pPr>
                    <w:pBdr>
                      <w:left w:val="single" w:sz="18" w:space="4" w:color="78B800" w:themeColor="accent1"/>
                    </w:pBdr>
                    <w:tabs>
                      <w:tab w:val="left" w:pos="8080"/>
                    </w:tabs>
                    <w:spacing w:after="0"/>
                    <w:ind w:left="851" w:right="949"/>
                    <w:rPr>
                      <w:b/>
                      <w:bCs/>
                      <w:i/>
                      <w:iCs/>
                    </w:rPr>
                  </w:pPr>
                  <w:r w:rsidRPr="00336D16">
                    <w:rPr>
                      <w:noProof/>
                    </w:rPr>
                    <w:drawing>
                      <wp:anchor distT="0" distB="0" distL="114300" distR="114300" simplePos="0" relativeHeight="251658432" behindDoc="0" locked="1" layoutInCell="1" allowOverlap="1" wp14:anchorId="629D42D0" wp14:editId="749412D3">
                        <wp:simplePos x="0" y="0"/>
                        <wp:positionH relativeFrom="column">
                          <wp:posOffset>0</wp:posOffset>
                        </wp:positionH>
                        <wp:positionV relativeFrom="paragraph">
                          <wp:posOffset>0</wp:posOffset>
                        </wp:positionV>
                        <wp:extent cx="384810" cy="320040"/>
                        <wp:effectExtent l="0" t="0" r="0" b="3810"/>
                        <wp:wrapNone/>
                        <wp:docPr id="1824638534" name="Graphic 1824638534" descr="P4416#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4638534" name="Graphic 1824638534" descr="P4416#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A3807">
                    <w:rPr>
                      <w:i/>
                      <w:iCs/>
                    </w:rPr>
                    <w:t xml:space="preserve"> </w:t>
                  </w:r>
                  <w:r w:rsidRPr="00AF67F4">
                    <w:rPr>
                      <w:i/>
                      <w:iCs/>
                    </w:rPr>
                    <w:t>[…] there’s not as much in terms of the ability to recruit those who are bilingual in our areas, they tend to go to more specialised services</w:t>
                  </w:r>
                  <w:r w:rsidR="00E0627B" w:rsidRPr="00AF67F4">
                    <w:rPr>
                      <w:i/>
                      <w:iCs/>
                    </w:rPr>
                    <w:t>,</w:t>
                  </w:r>
                  <w:r w:rsidRPr="00AF67F4">
                    <w:rPr>
                      <w:i/>
                      <w:iCs/>
                    </w:rPr>
                    <w:t xml:space="preserve"> so a lot of the gaps [are] with our CALD communities or those who have low [English] literacy levels </w:t>
                  </w:r>
                  <w:r w:rsidRPr="00844095">
                    <w:rPr>
                      <w:b/>
                      <w:bCs/>
                      <w:i/>
                      <w:iCs/>
                    </w:rPr>
                    <w:t xml:space="preserve">– </w:t>
                  </w:r>
                  <w:r>
                    <w:rPr>
                      <w:b/>
                      <w:bCs/>
                      <w:i/>
                      <w:iCs/>
                    </w:rPr>
                    <w:t>FaRS service provider</w:t>
                  </w:r>
                </w:p>
                <w:p w14:paraId="3BF9BF8C" w14:textId="77777777" w:rsidR="001A1D5B" w:rsidRDefault="001A1D5B" w:rsidP="001A1D5B">
                  <w:pPr>
                    <w:pStyle w:val="Text"/>
                  </w:pPr>
                </w:p>
                <w:p w14:paraId="77364376" w14:textId="77777777" w:rsidR="001A1D5B" w:rsidRDefault="001A1D5B" w:rsidP="001A1D5B">
                  <w:pPr>
                    <w:pStyle w:val="Text-BodyHeading"/>
                    <w:rPr>
                      <w:b w:val="0"/>
                      <w:bCs w:val="0"/>
                      <w:color w:val="auto"/>
                      <w:spacing w:val="0"/>
                      <w:lang w:val="en-NZ"/>
                    </w:rPr>
                  </w:pPr>
                  <w:r w:rsidRPr="00A32F40">
                    <w:rPr>
                      <w:b w:val="0"/>
                      <w:bCs w:val="0"/>
                      <w:color w:val="auto"/>
                      <w:spacing w:val="0"/>
                      <w:lang w:val="en-NZ"/>
                    </w:rPr>
                    <w:lastRenderedPageBreak/>
                    <w:t>CSC and MBCP service providers emphasised the difficulty recruiting and retaining suitably qualified and experienced staff, as did FaRS and SFVS providers in regional and rural locations.</w:t>
                  </w:r>
                </w:p>
                <w:p w14:paraId="5361D129" w14:textId="77777777" w:rsidR="00CE45D8" w:rsidRDefault="00CE45D8" w:rsidP="001A1D5B">
                  <w:pPr>
                    <w:pStyle w:val="Text-BodyHeading"/>
                    <w:rPr>
                      <w:b w:val="0"/>
                      <w:bCs w:val="0"/>
                      <w:color w:val="auto"/>
                      <w:spacing w:val="0"/>
                      <w:lang w:val="en-NZ"/>
                    </w:rPr>
                  </w:pPr>
                </w:p>
                <w:p w14:paraId="77C6EB64" w14:textId="7FD06A91" w:rsidR="001A1D5B" w:rsidRPr="00106F58" w:rsidRDefault="001A1D5B" w:rsidP="001A1D5B">
                  <w:pPr>
                    <w:pBdr>
                      <w:left w:val="single" w:sz="18" w:space="4" w:color="78B800" w:themeColor="accent1"/>
                    </w:pBdr>
                    <w:tabs>
                      <w:tab w:val="left" w:pos="8080"/>
                    </w:tabs>
                    <w:spacing w:after="0"/>
                    <w:ind w:left="851" w:right="949"/>
                    <w:rPr>
                      <w:b/>
                      <w:bCs/>
                      <w:i/>
                      <w:iCs/>
                    </w:rPr>
                  </w:pPr>
                  <w:r w:rsidRPr="00336D16">
                    <w:rPr>
                      <w:noProof/>
                    </w:rPr>
                    <w:drawing>
                      <wp:anchor distT="0" distB="0" distL="114300" distR="114300" simplePos="0" relativeHeight="251658433" behindDoc="0" locked="1" layoutInCell="1" allowOverlap="1" wp14:anchorId="4BFEB691" wp14:editId="62857E2B">
                        <wp:simplePos x="0" y="0"/>
                        <wp:positionH relativeFrom="column">
                          <wp:posOffset>0</wp:posOffset>
                        </wp:positionH>
                        <wp:positionV relativeFrom="paragraph">
                          <wp:posOffset>0</wp:posOffset>
                        </wp:positionV>
                        <wp:extent cx="384810" cy="320040"/>
                        <wp:effectExtent l="0" t="0" r="0" b="3810"/>
                        <wp:wrapNone/>
                        <wp:docPr id="1911809529" name="Graphic 1911809529" descr="P4420#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809529" name="Graphic 1911809529" descr="P4420#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06F58">
                    <w:rPr>
                      <w:i/>
                      <w:iCs/>
                    </w:rPr>
                    <w:t>We are getting young people applying for positions, which is not a bad thing, but they come with little or no experience so we are now in a position where we’re employing people with an expectation</w:t>
                  </w:r>
                  <w:r>
                    <w:rPr>
                      <w:i/>
                      <w:iCs/>
                    </w:rPr>
                    <w:t xml:space="preserve"> [that] </w:t>
                  </w:r>
                  <w:r w:rsidRPr="00106F58">
                    <w:rPr>
                      <w:i/>
                      <w:iCs/>
                    </w:rPr>
                    <w:t>they can do really complex work. We do as much as we can</w:t>
                  </w:r>
                  <w:r>
                    <w:rPr>
                      <w:i/>
                      <w:iCs/>
                    </w:rPr>
                    <w:t xml:space="preserve"> [</w:t>
                  </w:r>
                  <w:r w:rsidRPr="00106F58">
                    <w:rPr>
                      <w:i/>
                      <w:iCs/>
                    </w:rPr>
                    <w:t>…</w:t>
                  </w:r>
                  <w:r>
                    <w:rPr>
                      <w:i/>
                      <w:iCs/>
                    </w:rPr>
                    <w:t>]</w:t>
                  </w:r>
                  <w:r w:rsidRPr="00106F58">
                    <w:rPr>
                      <w:i/>
                      <w:iCs/>
                    </w:rPr>
                    <w:t xml:space="preserve"> sending people off for training but I really think the training element is essential to consider for any future funding of this service</w:t>
                  </w:r>
                  <w:r>
                    <w:rPr>
                      <w:i/>
                      <w:iCs/>
                    </w:rPr>
                    <w:t xml:space="preserve"> </w:t>
                  </w:r>
                  <w:r w:rsidRPr="0040240B">
                    <w:rPr>
                      <w:b/>
                      <w:bCs/>
                      <w:i/>
                      <w:iCs/>
                    </w:rPr>
                    <w:t xml:space="preserve">– </w:t>
                  </w:r>
                  <w:r>
                    <w:rPr>
                      <w:b/>
                      <w:bCs/>
                      <w:i/>
                      <w:iCs/>
                    </w:rPr>
                    <w:t>CSC service provider</w:t>
                  </w:r>
                </w:p>
                <w:p w14:paraId="25416054" w14:textId="77777777" w:rsidR="001A1D5B" w:rsidRDefault="001A1D5B" w:rsidP="001A1D5B">
                  <w:pPr>
                    <w:pStyle w:val="Text"/>
                  </w:pPr>
                </w:p>
                <w:p w14:paraId="581939E0" w14:textId="54588CC0" w:rsidR="001A1D5B" w:rsidRDefault="00481D3F" w:rsidP="001A1D5B">
                  <w:pPr>
                    <w:pStyle w:val="Text"/>
                  </w:pPr>
                  <w:r>
                    <w:t xml:space="preserve">The ability of services to match </w:t>
                  </w:r>
                  <w:r w:rsidR="00E614D3">
                    <w:t xml:space="preserve">service users </w:t>
                  </w:r>
                  <w:r>
                    <w:t xml:space="preserve">to counsellors, thereby providing </w:t>
                  </w:r>
                  <w:r w:rsidR="001D1403">
                    <w:t>service user</w:t>
                  </w:r>
                  <w:r>
                    <w:t xml:space="preserve">-centred care is contingent on their capacity to hire and retain suitability qualified, skilled, experienced, and knowledgeable staff from diverse backgrounds. </w:t>
                  </w:r>
                  <w:r w:rsidR="001A1D5B">
                    <w:t xml:space="preserve">One FaRS service user attributed the success of their counselling to </w:t>
                  </w:r>
                  <w:r w:rsidR="00B1192A">
                    <w:t xml:space="preserve">the service </w:t>
                  </w:r>
                  <w:r w:rsidR="001A1D5B">
                    <w:t>match</w:t>
                  </w:r>
                  <w:r w:rsidR="00B1192A">
                    <w:t>ing</w:t>
                  </w:r>
                  <w:r w:rsidR="001A1D5B">
                    <w:t xml:space="preserve"> her and her family with counsellors who understood their background and needs, </w:t>
                  </w:r>
                  <w:r w:rsidR="00CA586F">
                    <w:t>while</w:t>
                  </w:r>
                  <w:r w:rsidR="001A1D5B">
                    <w:t xml:space="preserve"> another </w:t>
                  </w:r>
                  <w:r w:rsidR="00B756C9">
                    <w:t>2</w:t>
                  </w:r>
                  <w:r w:rsidR="001A1D5B">
                    <w:t xml:space="preserve"> service users attributed the lack of success to the inability of their services to do the same. </w:t>
                  </w:r>
                </w:p>
                <w:p w14:paraId="3268BC20" w14:textId="03089086" w:rsidR="001A1D5B" w:rsidRPr="000C09BF" w:rsidRDefault="001A1D5B" w:rsidP="00321BC5">
                  <w:pPr>
                    <w:pStyle w:val="Text"/>
                    <w:spacing w:before="360"/>
                  </w:pPr>
                  <w:r w:rsidRPr="00321BC5">
                    <w:rPr>
                      <w:b/>
                      <w:color w:val="36424A" w:themeColor="background2"/>
                    </w:rPr>
                    <w:t xml:space="preserve">Culturally appropriate service provision </w:t>
                  </w:r>
                </w:p>
                <w:p w14:paraId="7705E88B" w14:textId="79953190" w:rsidR="001A1D5B" w:rsidRDefault="001A1D5B" w:rsidP="001A1D5B">
                  <w:pPr>
                    <w:pStyle w:val="Text"/>
                  </w:pPr>
                  <w:r w:rsidRPr="0094447D">
                    <w:t xml:space="preserve">Community engagement is critical for establishing trust, particularly among disadvantaged and culturally diverse groups. Services that emphasise culturally safe practices build stronger relationships, enabling them to deliver services that are respectful, relevant, and responsive to the specific needs of each community </w:t>
                  </w:r>
                  <w:r w:rsidRPr="0094447D">
                    <w:fldChar w:fldCharType="begin"/>
                  </w:r>
                  <w:r w:rsidR="00E41D03">
                    <w:instrText xml:space="preserve"> ADDIN ZOTERO_ITEM CSL_CITATION {"citationID":"yoavqW5E","properties":{"formattedCitation":"(Brown et al., 2022; Honisett et al., 2022)","plainCitation":"(Brown et al., 2022; Honisett et al., 2022)","noteIndex":0},"citationItems":[{"id":4668,"uris":["http://zotero.org/groups/5691188/items/CEVFWE68"],"itemData":{"id":4668,"type":"article-journal","container-title":"Cochrane Database of Systematic Reviews","DOI":"10.1002/14651858.CD013648.pub2","ISSN":"14651858","issue":"10","language":"en","source":"DOI.org (Crossref)","title":"Survivor, family and professional experiences of psychosocial interventions for sexual abuse and violence: a qualitative evidence synthesis","title-short":"Survivor, family and professional experiences of psychosocial interventions for sexual abuse and violence","URL":"http://doi.wiley.com/10.1002/14651858.CD013648.pub2","volume":"2022","editor":[{"literal":"Cochrane Developmental, Psychosocial and Learning Problems Group"}],"author":[{"family":"Brown","given":"Sarah"},{"family":"Carter","given":"Grace J"},{"family":"Halliwell","given":"Gemma"},{"family":"Brown","given":"Katherine"},{"family":"Caswell","given":"Rachel"},{"family":"Howarth","given":"Emma"},{"family":"Feder","given":"Gene"},{"family":"O'Doherty","given":"Lorna"}],"accessed":{"date-parts":[["2024",10,4]]},"issued":{"date-parts":[["2022",10,4]]}}},{"id":4721,"uris":["http://zotero.org/groups/5691188/items/W9BNSM2E"],"itemData":{"id":4721,"type":"article-journal","abstract":"Objectives: Explore the feasibility of an integrated Child and Family Hub within Victorian Community Health Services (CHS) to identify and respond to family adversities as preventable determinants of child mental health problems.\nMethods: Thirteen Victorian CHS staff and government policy makers (PMs), recruited via snowball sampling, participated in semi-structured interviews exploring: 1) barriers and facilitators for implementing a hub; 2) feasibility of a proposed integrated hub; and 3) resources needed to scale and sustain a hub. Transcripts were analysed employing framework analysis.\nResults: 1) Barriers included inadequate and activity-based funding, inability to fund community paediatricians and inadequate workforce competencies. Facilitators included CHS engagement with vulnerable communities and readiness to act. 2) The proposed hub model was identified as feasible to implement. Local co-design, co-location, and virtual delivery would support hub implementation. 3) To sustainably scale a hub, clear policy leadership and workforce and funding model reviews are needed.\nConclusions: A hub was perceived as feasible when based in CHS; however, local and systemwide issues need consideration to support its sustainable scaling. Implications for public health: Findings will inform the scaling of hub models of care across Victoria and other states to potentially optimise broader child and family health outcomes.","container-title":"Australian and New Zealand Journal of Public Health","DOI":"10.1111/1753-6405.13292","ISSN":"13260200","issue":"6","journalAbbreviation":"Australian and New Zealand Journal of Public Health","language":"en","page":"784-793","source":"DOI.org (Crossref)","title":"The feasibility of a Child and Family Hub within Victorian Community Health Services: a qualitative study","title-short":"The feasibility of a Child and Family Hub within Victorian Community Health Services","volume":"46","author":[{"family":"Honisett","given":"Suzy"},{"family":"Hall","given":"Teresa"},{"family":"Hiscock","given":"Harriet"},{"family":"Goldfeld","given":"Sharon"}],"issued":{"date-parts":[["2022",12]]}}}],"schema":"https://github.com/citation-style-language/schema/raw/master/csl-citation.json"} </w:instrText>
                  </w:r>
                  <w:r w:rsidRPr="0094447D">
                    <w:fldChar w:fldCharType="separate"/>
                  </w:r>
                  <w:r w:rsidRPr="0094447D">
                    <w:t>(Brown et al., 2022; Honisett et al., 2022)</w:t>
                  </w:r>
                  <w:r w:rsidRPr="0094447D">
                    <w:fldChar w:fldCharType="end"/>
                  </w:r>
                  <w:r w:rsidRPr="0094447D">
                    <w:t>.</w:t>
                  </w:r>
                  <w:r>
                    <w:t xml:space="preserve"> However, literature indicates that m</w:t>
                  </w:r>
                  <w:r w:rsidRPr="0094447D">
                    <w:t xml:space="preserve">any services struggle to provide culturally safe and inclusive support, particularly for Aboriginal and Torres Strait Islander families and other culturally diverse communities. In the case of Aboriginal and Torres Strait Islander people, effective care must recognise the importance of kinship, intergenerational trauma, and community networks. </w:t>
                  </w:r>
                  <w:r w:rsidR="0002691A">
                    <w:t>In</w:t>
                  </w:r>
                  <w:r w:rsidRPr="0094447D">
                    <w:t xml:space="preserve"> practice, cultural safety is often undermined by rigid procedures and time pressures that limit flexibility and extended care delivery. Services that fail to apply intersectional, trauma-informed approaches risk overlooking the complex identities and experiences of survivors, leading to reduced trust, engagement, and effectiveness </w:t>
                  </w:r>
                  <w:r w:rsidRPr="0094447D">
                    <w:fldChar w:fldCharType="begin"/>
                  </w:r>
                  <w:r w:rsidR="00E41D03">
                    <w:instrText xml:space="preserve"> ADDIN ZOTERO_ITEM CSL_CITATION {"citationID":"7eOncXFg","properties":{"formattedCitation":"(Kulkarni, 2019; Pelkowitz et al., 2023; Wendt et al., 2021)","plainCitation":"(Kulkarni, 2019; Pelkowitz et al., 2023; Wendt et al., 2021)","noteIndex":0},"citationItems":[{"id":4574,"uris":["http://zotero.org/groups/5691188/items/TZPFHZIQ"],"itemData":{"id":4574,"type":"article-journal","abstract":"Over the past 50 years, programs serving intimate partner violence (IPV) survivors have expanded nationally. However, despite IPV program growth service gaps remain, particularly for the most marginalized and vulnerable survivor populations. Emerging practice models call for reimagining current IPV service delivery within an intersectional feminist, trauma-informed framework. An overview of intersectional (e.g. survivor-centered, full-frame, culturally specific) and trauma-informed IPV service approaches will be presented highlighting their shared emphasis on power sharing, authentic survivor-advocate relationships, individualized services, and robust systems advocacy. These approaches have the potential to transform IPV services and narrow service gaps if organizations can embed key elements into program design, implementation and evaluation processes. Recommendations for moving the IPV field forward include: 1) expanding survivors’ roles/input; 2) strengthening funding streams and organizational commitment to antioppressive, survivor-defined, trauma-informed services; 3) forging cross-sector advocacy relationships; and 4) building knowledge through research and evaluation.","container-title":"Journal of Family Violence","DOI":"10.1007/s10896-018-0001-5","ISSN":"0885-7482, 1573-2851","issue":"1","journalAbbreviation":"J Fam Viol","language":"en","page":"55-64","source":"DOI.org (Crossref)","title":"Intersectional Trauma-Informed Intimate Partner Violence (IPV) Services: Narrowing the Gap between IPV Service Delivery and Survivor Needs","title-short":"Intersectional Trauma-Informed Intimate Partner Violence (IPV) Services","volume":"34","author":[{"family":"Kulkarni","given":"Shanti"}],"issued":{"date-parts":[["2019",1,15]]}}},{"id":4552,"uris":["http://zotero.org/groups/5691188/items/2N9FLZ7I"],"itemData":{"id":4552,"type":"article-journal","abstract":"In the Midwest region of Western Australia, rates of intimate partner and family violence (IPV/FV) are high. We undertook research into social workers’ knowledge, attitudes, and skills as part of addressing this signiﬁcant public health issue. Social workers come into contact with people experiencing IPV/FV in multiple settings, so their understandings and responses are critical to the prevention and interventions related to violence against women. The goal of the research was to determine the issues that the social workers in this region needed to be addressed that could assist in tackling the problem of IPV/FV. A questionnaire included open-ended questions to capture information on respondents’ proﬁles, knowledge, attitudes, practices, and education around IPV/FV, with 29 of 37 social workers working in the region responding. We also elicited respondents' recommendations related to training and service delivery. Despite working in many settings, most social workers had contact with people experiencing IPV/FV and had reasonable conﬁdence and knowledge that showed an understanding of the complexity of FV, including why women stay in violent relationships. This paper identiﬁed social workers’ need for more education, including during their university training, resources, and service coordination to support best practice delivery of services to people affected by IPV/FV. Training to develop skills for conversations about IPV/FV with clients, around safety planning, and greater access to safe alternative accommodation for those leaving FV were identiﬁed priorities.","container-title":"International Journal of Environmental Research and Public Health","DOI":"10.3390/ijerph20095628","ISSN":"1660-4601","issue":"9","journalAbbreviation":"IJERPH","language":"en","license":"https://creativecommons.org/licenses/by/4.0/","page":"5628","source":"DOI.org (Crossref)","title":"Dealing with Intimate Partner Violence and Family Violence in a Regional Centre of Western Australia: A Study of the Knowledge, Attitudes, and Practices of Local Social Workers","title-short":"Dealing with Intimate Partner Violence and Family Violence in a Regional Centre of Western Australia","volume":"20","author":[{"family":"Pelkowitz","given":"Lindi"},{"family":"Crossley","given":"Caroline"},{"family":"Greville","given":"Heath"},{"family":"Thompson","given":"Sandra C."}],"issued":{"date-parts":[["2023",4,24]]}}},{"id":4750,"uris":["http://zotero.org/groups/5691188/items/587S2VGM"],"itemData":{"id":4750,"type":"article-journal","abstract":"Collaboration across child protection and domestic and family violence (DFV) sectors have long been sought despite the competing priorities found in these practice fields. This article describes a research partnership that aimed to explore the competing priorities by focusing on how workers interact across child protection and DFV specialist agencies. Using a Living Lab Approach, enabled twelve focus groups with child protection and DFV social workers (n ¼ 100). Thematic analysis was conducted, and it was found that diverse understandings of DFV created tensions when trying to form collaborations. These tensions were often amplified when other intersecting issues were present in family lives such as drug and alcohol and mental health problems. Understandings of Aboriginal cultural safety, and religious and culture impacts for cultural and linguistically diverse families were unintentionally sidelined. However, practitioners also formed common understandings of opportunities to progress and sustain collaboration across the sectors. The Living Lab Approach facilitated the development of a policy and practice guide for child protection to support future work. This has implications for social work practice because the Living Lab Approach enabled a call for a consistent approach to DFV that should be gender sensitive, trauma informed and culturally safe, and collaboration at practitioner, team and organisational levels.","container-title":"The British Journal of Social Work","DOI":"10.1093/bjsw/bcaa206","ISSN":"0045-3102, 1468-263X","issue":"2","language":"en","license":"https://academic.oup.com/journals/pages/open_access/funder_policies/chorus/standard_publication_model","page":"692-711","source":"DOI.org (Crossref)","title":"Building Collaboration with Child Protection and Domestic and Family Violence Sectors: Trialling a Living Lab Approach","title-short":"Building Collaboration with Child Protection and Domestic and Family Violence Sectors","volume":"51","author":[{"family":"Wendt","given":"Sarah"},{"family":"Bastian","given":"Carmela"},{"family":"Jones","given":"Michelle"}],"issued":{"date-parts":[["2021",4,3]]}}}],"schema":"https://github.com/citation-style-language/schema/raw/master/csl-citation.json"} </w:instrText>
                  </w:r>
                  <w:r w:rsidRPr="0094447D">
                    <w:fldChar w:fldCharType="separate"/>
                  </w:r>
                  <w:r w:rsidRPr="0094447D">
                    <w:t>(Kulkarni, 2019; Pelkowitz et al., 2023; Wendt et al., 2021)</w:t>
                  </w:r>
                  <w:r w:rsidRPr="0094447D">
                    <w:fldChar w:fldCharType="end"/>
                  </w:r>
                  <w:r w:rsidRPr="0094447D">
                    <w:t>.</w:t>
                  </w:r>
                  <w:r w:rsidR="00013E46" w:rsidRPr="00013E46">
                    <w:t xml:space="preserve"> </w:t>
                  </w:r>
                </w:p>
                <w:p w14:paraId="0EEB5059" w14:textId="7DF2E92E" w:rsidR="00013E46" w:rsidRDefault="001A1D5B" w:rsidP="001A1D5B">
                  <w:pPr>
                    <w:pStyle w:val="Text"/>
                  </w:pPr>
                  <w:r>
                    <w:t>Experiences providing culturally safe services varied, with several</w:t>
                  </w:r>
                  <w:r w:rsidR="00962475">
                    <w:t xml:space="preserve"> </w:t>
                  </w:r>
                  <w:r w:rsidR="00F96BE7">
                    <w:t>FaRS and SFVS</w:t>
                  </w:r>
                  <w:r w:rsidR="00962475">
                    <w:t xml:space="preserve"> service</w:t>
                  </w:r>
                  <w:r w:rsidR="00F96BE7">
                    <w:t xml:space="preserve"> providers</w:t>
                  </w:r>
                  <w:r>
                    <w:t xml:space="preserve"> noting challenges providing services to </w:t>
                  </w:r>
                  <w:r w:rsidR="00AF514E">
                    <w:t>A</w:t>
                  </w:r>
                  <w:r>
                    <w:t>boriginal and Torres Strait Islander communities. This was attributed to a range of a factors including lack of resourcing</w:t>
                  </w:r>
                  <w:r w:rsidR="00835264">
                    <w:t xml:space="preserve">, the ongoing effects of colonisation and intergenerational trauma, and </w:t>
                  </w:r>
                  <w:r w:rsidR="000E2106">
                    <w:t>the remoteness of many communities</w:t>
                  </w:r>
                  <w:r>
                    <w:t xml:space="preserve">. </w:t>
                  </w:r>
                </w:p>
                <w:p w14:paraId="172C7169" w14:textId="614ABDAD" w:rsidR="006E2DA2" w:rsidRPr="008D4EEB" w:rsidRDefault="001A1D5B" w:rsidP="008D4EEB">
                  <w:pPr>
                    <w:pStyle w:val="Text"/>
                    <w:rPr>
                      <w:rStyle w:val="Text-Bold"/>
                      <w:b w:val="0"/>
                    </w:rPr>
                  </w:pPr>
                  <w:r>
                    <w:t xml:space="preserve">Some </w:t>
                  </w:r>
                  <w:r w:rsidR="00F96BE7">
                    <w:t>FaRS</w:t>
                  </w:r>
                  <w:r>
                    <w:t xml:space="preserve"> </w:t>
                  </w:r>
                  <w:r w:rsidR="00F96BE7">
                    <w:t xml:space="preserve">and SFVS </w:t>
                  </w:r>
                  <w:r>
                    <w:t>service</w:t>
                  </w:r>
                  <w:r w:rsidR="00F96BE7">
                    <w:t xml:space="preserve"> providers</w:t>
                  </w:r>
                  <w:r>
                    <w:t xml:space="preserve"> discussed their success in establishing a </w:t>
                  </w:r>
                  <w:r w:rsidR="009815BD">
                    <w:t>range</w:t>
                  </w:r>
                  <w:r>
                    <w:t xml:space="preserve"> of programs for </w:t>
                  </w:r>
                  <w:r w:rsidR="00F96BE7">
                    <w:t>Aboriginal and Torres Strait Islander</w:t>
                  </w:r>
                  <w:r>
                    <w:t xml:space="preserve"> men and women</w:t>
                  </w:r>
                  <w:r w:rsidR="00AF514E">
                    <w:t>,</w:t>
                  </w:r>
                  <w:r>
                    <w:t xml:space="preserve"> which they attributed to collaboration with Aboriginal and Torres Strait Islander communities and services through long-term, relationship </w:t>
                  </w:r>
                  <w:r w:rsidR="005B69A4">
                    <w:t>building a</w:t>
                  </w:r>
                  <w:r>
                    <w:rPr>
                      <w:rFonts w:ascii="Arial" w:hAnsi="Arial" w:cs="Arial"/>
                    </w:rPr>
                    <w:t xml:space="preserve">nd inputs from their Aboriginal and Torres Strait Islander staff </w:t>
                  </w:r>
                  <w:r>
                    <w:rPr>
                      <w:rFonts w:ascii="Arial" w:hAnsi="Arial" w:cs="Arial"/>
                    </w:rPr>
                    <w:lastRenderedPageBreak/>
                    <w:t xml:space="preserve">members. </w:t>
                  </w:r>
                  <w:r w:rsidR="00013E46">
                    <w:t>Some</w:t>
                  </w:r>
                  <w:r w:rsidRPr="00BE6DE4">
                    <w:t xml:space="preserve"> also </w:t>
                  </w:r>
                  <w:r w:rsidR="00013E46">
                    <w:t>cited</w:t>
                  </w:r>
                  <w:r w:rsidRPr="00BE6DE4">
                    <w:t xml:space="preserve"> the development of innovative and successful programs targeted at priority populations with several </w:t>
                  </w:r>
                  <w:r w:rsidR="00F96BE7">
                    <w:t xml:space="preserve">FaRS and SFVS service </w:t>
                  </w:r>
                  <w:r w:rsidRPr="00BE6DE4">
                    <w:t>providers noting successful collaboration with local CALD groups to deliver individual and group counselling work</w:t>
                  </w:r>
                  <w:r w:rsidR="00013E46">
                    <w:t xml:space="preserve"> and MBCPs</w:t>
                  </w:r>
                  <w:r w:rsidRPr="00BE6DE4">
                    <w:t>.</w:t>
                  </w:r>
                  <w:r>
                    <w:t xml:space="preserve"> Establishing trust with local communities through sustained</w:t>
                  </w:r>
                  <w:r w:rsidR="005B69A4">
                    <w:t xml:space="preserve"> </w:t>
                  </w:r>
                  <w:r>
                    <w:t xml:space="preserve">community engagement is vital to developing culturally safe practices and programs </w:t>
                  </w:r>
                  <w:r>
                    <w:fldChar w:fldCharType="begin"/>
                  </w:r>
                  <w:r w:rsidR="00E41D03">
                    <w:instrText xml:space="preserve"> ADDIN ZOTERO_ITEM CSL_CITATION {"citationID":"xOyxYKVN","properties":{"formattedCitation":"(Brown et al., 2022; Honisett et al., 2022)","plainCitation":"(Brown et al., 2022; Honisett et al., 2022)","noteIndex":0},"citationItems":[{"id":4668,"uris":["http://zotero.org/groups/5691188/items/CEVFWE68"],"itemData":{"id":4668,"type":"article-journal","container-title":"Cochrane Database of Systematic Reviews","DOI":"10.1002/14651858.CD013648.pub2","ISSN":"14651858","issue":"10","language":"en","source":"DOI.org (Crossref)","title":"Survivor, family and professional experiences of psychosocial interventions for sexual abuse and violence: a qualitative evidence synthesis","title-short":"Survivor, family and professional experiences of psychosocial interventions for sexual abuse and violence","URL":"http://doi.wiley.com/10.1002/14651858.CD013648.pub2","volume":"2022","editor":[{"literal":"Cochrane Developmental, Psychosocial and Learning Problems Group"}],"author":[{"family":"Brown","given":"Sarah"},{"family":"Carter","given":"Grace J"},{"family":"Halliwell","given":"Gemma"},{"family":"Brown","given":"Katherine"},{"family":"Caswell","given":"Rachel"},{"family":"Howarth","given":"Emma"},{"family":"Feder","given":"Gene"},{"family":"O'Doherty","given":"Lorna"}],"accessed":{"date-parts":[["2024",10,4]]},"issued":{"date-parts":[["2022",10,4]]}}},{"id":4721,"uris":["http://zotero.org/groups/5691188/items/W9BNSM2E"],"itemData":{"id":4721,"type":"article-journal","abstract":"Objectives: Explore the feasibility of an integrated Child and Family Hub within Victorian Community Health Services (CHS) to identify and respond to family adversities as preventable determinants of child mental health problems.\nMethods: Thirteen Victorian CHS staff and government policy makers (PMs), recruited via snowball sampling, participated in semi-structured interviews exploring: 1) barriers and facilitators for implementing a hub; 2) feasibility of a proposed integrated hub; and 3) resources needed to scale and sustain a hub. Transcripts were analysed employing framework analysis.\nResults: 1) Barriers included inadequate and activity-based funding, inability to fund community paediatricians and inadequate workforce competencies. Facilitators included CHS engagement with vulnerable communities and readiness to act. 2) The proposed hub model was identified as feasible to implement. Local co-design, co-location, and virtual delivery would support hub implementation. 3) To sustainably scale a hub, clear policy leadership and workforce and funding model reviews are needed.\nConclusions: A hub was perceived as feasible when based in CHS; however, local and systemwide issues need consideration to support its sustainable scaling. Implications for public health: Findings will inform the scaling of hub models of care across Victoria and other states to potentially optimise broader child and family health outcomes.","container-title":"Australian and New Zealand Journal of Public Health","DOI":"10.1111/1753-6405.13292","ISSN":"13260200","issue":"6","journalAbbreviation":"Australian and New Zealand Journal of Public Health","language":"en","page":"784-793","source":"DOI.org (Crossref)","title":"The feasibility of a Child and Family Hub within Victorian Community Health Services: a qualitative study","title-short":"The feasibility of a Child and Family Hub within Victorian Community Health Services","volume":"46","author":[{"family":"Honisett","given":"Suzy"},{"family":"Hall","given":"Teresa"},{"family":"Hiscock","given":"Harriet"},{"family":"Goldfeld","given":"Sharon"}],"issued":{"date-parts":[["2022",12]]}}}],"schema":"https://github.com/citation-style-language/schema/raw/master/csl-citation.json"} </w:instrText>
                  </w:r>
                  <w:r>
                    <w:fldChar w:fldCharType="separate"/>
                  </w:r>
                  <w:r w:rsidRPr="00AC138C">
                    <w:rPr>
                      <w:rFonts w:ascii="Arial" w:hAnsi="Arial" w:cs="Arial"/>
                    </w:rPr>
                    <w:t>(Brown et al., 2022; Honisett et al., 2022)</w:t>
                  </w:r>
                  <w:r>
                    <w:fldChar w:fldCharType="end"/>
                  </w:r>
                  <w:r>
                    <w:t xml:space="preserve">. </w:t>
                  </w:r>
                </w:p>
                <w:p w14:paraId="5F1B4D80" w14:textId="77777777" w:rsidR="001A1D5B" w:rsidRPr="008108AE" w:rsidRDefault="001A1D5B" w:rsidP="00F645E3">
                  <w:pPr>
                    <w:pStyle w:val="Text-BodyHeading"/>
                    <w:rPr>
                      <w:rStyle w:val="Text-Bold"/>
                      <w:b/>
                      <w:color w:val="36424A" w:themeColor="background2"/>
                    </w:rPr>
                  </w:pPr>
                  <w:r w:rsidRPr="00321BC5">
                    <w:t xml:space="preserve">The tension between </w:t>
                  </w:r>
                  <w:r w:rsidRPr="008D782F">
                    <w:rPr>
                      <w:color w:val="36424A"/>
                    </w:rPr>
                    <w:t>the flexible</w:t>
                  </w:r>
                  <w:r w:rsidRPr="00321BC5">
                    <w:t xml:space="preserve">, early intervention model and the complexity of need </w:t>
                  </w:r>
                </w:p>
                <w:p w14:paraId="35792096" w14:textId="60496A89" w:rsidR="001A1D5B" w:rsidRDefault="001A1D5B" w:rsidP="001A1D5B">
                  <w:pPr>
                    <w:pStyle w:val="Text"/>
                  </w:pPr>
                  <w:r w:rsidRPr="0094447D">
                    <w:t xml:space="preserve">Effective service delivery for victim </w:t>
                  </w:r>
                  <w:r w:rsidR="00E0627B" w:rsidRPr="0094447D">
                    <w:t>survivors’</w:t>
                  </w:r>
                  <w:r w:rsidRPr="0094447D">
                    <w:t xml:space="preserve"> centres on a survivor-centred, empowerment-based model. Under this model</w:t>
                  </w:r>
                  <w:r w:rsidR="00743C02">
                    <w:t>,</w:t>
                  </w:r>
                  <w:r w:rsidRPr="0094447D">
                    <w:t xml:space="preserve"> services are tailored to respect and prioritise </w:t>
                  </w:r>
                  <w:r w:rsidR="002C5922">
                    <w:t xml:space="preserve">victim </w:t>
                  </w:r>
                  <w:r w:rsidRPr="0094447D">
                    <w:t xml:space="preserve">survivors' unique needs, goals, and cultural contexts. Services that empower </w:t>
                  </w:r>
                  <w:r w:rsidR="00B63F5E">
                    <w:t>victim</w:t>
                  </w:r>
                  <w:r w:rsidRPr="0094447D">
                    <w:t xml:space="preserve"> survivors to navigate their options and make decisions foster autonomy, enabling positive outcomes and resilience </w:t>
                  </w:r>
                  <w:r w:rsidRPr="0094447D">
                    <w:fldChar w:fldCharType="begin"/>
                  </w:r>
                  <w:r w:rsidR="00E41D03">
                    <w:instrText xml:space="preserve"> ADDIN ZOTERO_ITEM CSL_CITATION {"citationID":"D1e6u5MR","properties":{"formattedCitation":"(Brown et al., 2022; Kulkarni, 2019)","plainCitation":"(Brown et al., 2022; Kulkarni, 2019)","noteIndex":0},"citationItems":[{"id":4668,"uris":["http://zotero.org/groups/5691188/items/CEVFWE68"],"itemData":{"id":4668,"type":"article-journal","container-title":"Cochrane Database of Systematic Reviews","DOI":"10.1002/14651858.CD013648.pub2","ISSN":"14651858","issue":"10","language":"en","source":"DOI.org (Crossref)","title":"Survivor, family and professional experiences of psychosocial interventions for sexual abuse and violence: a qualitative evidence synthesis","title-short":"Survivor, family and professional experiences of psychosocial interventions for sexual abuse and violence","URL":"http://doi.wiley.com/10.1002/14651858.CD013648.pub2","volume":"2022","editor":[{"literal":"Cochrane Developmental, Psychosocial and Learning Problems Group"}],"author":[{"family":"Brown","given":"Sarah"},{"family":"Carter","given":"Grace J"},{"family":"Halliwell","given":"Gemma"},{"family":"Brown","given":"Katherine"},{"family":"Caswell","given":"Rachel"},{"family":"Howarth","given":"Emma"},{"family":"Feder","given":"Gene"},{"family":"O'Doherty","given":"Lorna"}],"accessed":{"date-parts":[["2024",10,4]]},"issued":{"date-parts":[["2022",10,4]]}}},{"id":4574,"uris":["http://zotero.org/groups/5691188/items/TZPFHZIQ"],"itemData":{"id":4574,"type":"article-journal","abstract":"Over the past 50 years, programs serving intimate partner violence (IPV) survivors have expanded nationally. However, despite IPV program growth service gaps remain, particularly for the most marginalized and vulnerable survivor populations. Emerging practice models call for reimagining current IPV service delivery within an intersectional feminist, trauma-informed framework. An overview of intersectional (e.g. survivor-centered, full-frame, culturally specific) and trauma-informed IPV service approaches will be presented highlighting their shared emphasis on power sharing, authentic survivor-advocate relationships, individualized services, and robust systems advocacy. These approaches have the potential to transform IPV services and narrow service gaps if organizations can embed key elements into program design, implementation and evaluation processes. Recommendations for moving the IPV field forward include: 1) expanding survivors’ roles/input; 2) strengthening funding streams and organizational commitment to antioppressive, survivor-defined, trauma-informed services; 3) forging cross-sector advocacy relationships; and 4) building knowledge through research and evaluation.","container-title":"Journal of Family Violence","DOI":"10.1007/s10896-018-0001-5","ISSN":"0885-7482, 1573-2851","issue":"1","journalAbbreviation":"J Fam Viol","language":"en","page":"55-64","source":"DOI.org (Crossref)","title":"Intersectional Trauma-Informed Intimate Partner Violence (IPV) Services: Narrowing the Gap between IPV Service Delivery and Survivor Needs","title-short":"Intersectional Trauma-Informed Intimate Partner Violence (IPV) Services","volume":"34","author":[{"family":"Kulkarni","given":"Shanti"}],"issued":{"date-parts":[["2019",1,15]]}}}],"schema":"https://github.com/citation-style-language/schema/raw/master/csl-citation.json"} </w:instrText>
                  </w:r>
                  <w:r w:rsidRPr="0094447D">
                    <w:fldChar w:fldCharType="separate"/>
                  </w:r>
                  <w:r w:rsidRPr="0094447D">
                    <w:t>(Brown et al., 2022; Kulkarni, 2019)</w:t>
                  </w:r>
                  <w:r w:rsidRPr="0094447D">
                    <w:fldChar w:fldCharType="end"/>
                  </w:r>
                  <w:r w:rsidRPr="0094447D">
                    <w:t>.</w:t>
                  </w:r>
                  <w:r>
                    <w:t xml:space="preserve"> Further, c</w:t>
                  </w:r>
                  <w:r w:rsidRPr="0063184D">
                    <w:t>reating trusting therapeutic relationships is crucial. Consistent, stable staffing and tailored</w:t>
                  </w:r>
                  <w:r w:rsidR="005B69A4">
                    <w:t xml:space="preserve"> and</w:t>
                  </w:r>
                  <w:r w:rsidRPr="0063184D">
                    <w:t xml:space="preserve"> </w:t>
                  </w:r>
                  <w:r w:rsidR="00652664">
                    <w:t>victim</w:t>
                  </w:r>
                  <w:r w:rsidRPr="0063184D">
                    <w:t xml:space="preserve"> survivor-led services allow therapeutic bonds to form, which are key to effective recovery. Group settings that foster peer support, as well as individual interventions, help </w:t>
                  </w:r>
                  <w:r w:rsidR="00793CA3">
                    <w:t>victim</w:t>
                  </w:r>
                  <w:r w:rsidRPr="0063184D">
                    <w:t xml:space="preserve"> survivors build trust and readiness for engagement in both starting and concluding their therapeutic journey </w:t>
                  </w:r>
                  <w:r w:rsidRPr="0063184D">
                    <w:fldChar w:fldCharType="begin"/>
                  </w:r>
                  <w:r w:rsidR="00E41D03">
                    <w:instrText xml:space="preserve"> ADDIN ZOTERO_ITEM CSL_CITATION {"citationID":"OGVcsbx5","properties":{"formattedCitation":"(Brown et al., 2022; Honisett et al., 2022)","plainCitation":"(Brown et al., 2022; Honisett et al., 2022)","noteIndex":0},"citationItems":[{"id":4668,"uris":["http://zotero.org/groups/5691188/items/CEVFWE68"],"itemData":{"id":4668,"type":"article-journal","container-title":"Cochrane Database of Systematic Reviews","DOI":"10.1002/14651858.CD013648.pub2","ISSN":"14651858","issue":"10","language":"en","source":"DOI.org (Crossref)","title":"Survivor, family and professional experiences of psychosocial interventions for sexual abuse and violence: a qualitative evidence synthesis","title-short":"Survivor, family and professional experiences of psychosocial interventions for sexual abuse and violence","URL":"http://doi.wiley.com/10.1002/14651858.CD013648.pub2","volume":"2022","editor":[{"literal":"Cochrane Developmental, Psychosocial and Learning Problems Group"}],"author":[{"family":"Brown","given":"Sarah"},{"family":"Carter","given":"Grace J"},{"family":"Halliwell","given":"Gemma"},{"family":"Brown","given":"Katherine"},{"family":"Caswell","given":"Rachel"},{"family":"Howarth","given":"Emma"},{"family":"Feder","given":"Gene"},{"family":"O'Doherty","given":"Lorna"}],"accessed":{"date-parts":[["2024",10,4]]},"issued":{"date-parts":[["2022",10,4]]}}},{"id":4721,"uris":["http://zotero.org/groups/5691188/items/W9BNSM2E"],"itemData":{"id":4721,"type":"article-journal","abstract":"Objectives: Explore the feasibility of an integrated Child and Family Hub within Victorian Community Health Services (CHS) to identify and respond to family adversities as preventable determinants of child mental health problems.\nMethods: Thirteen Victorian CHS staff and government policy makers (PMs), recruited via snowball sampling, participated in semi-structured interviews exploring: 1) barriers and facilitators for implementing a hub; 2) feasibility of a proposed integrated hub; and 3) resources needed to scale and sustain a hub. Transcripts were analysed employing framework analysis.\nResults: 1) Barriers included inadequate and activity-based funding, inability to fund community paediatricians and inadequate workforce competencies. Facilitators included CHS engagement with vulnerable communities and readiness to act. 2) The proposed hub model was identified as feasible to implement. Local co-design, co-location, and virtual delivery would support hub implementation. 3) To sustainably scale a hub, clear policy leadership and workforce and funding model reviews are needed.\nConclusions: A hub was perceived as feasible when based in CHS; however, local and systemwide issues need consideration to support its sustainable scaling. Implications for public health: Findings will inform the scaling of hub models of care across Victoria and other states to potentially optimise broader child and family health outcomes.","container-title":"Australian and New Zealand Journal of Public Health","DOI":"10.1111/1753-6405.13292","ISSN":"13260200","issue":"6","journalAbbreviation":"Australian and New Zealand Journal of Public Health","language":"en","page":"784-793","source":"DOI.org (Crossref)","title":"The feasibility of a Child and Family Hub within Victorian Community Health Services: a qualitative study","title-short":"The feasibility of a Child and Family Hub within Victorian Community Health Services","volume":"46","author":[{"family":"Honisett","given":"Suzy"},{"family":"Hall","given":"Teresa"},{"family":"Hiscock","given":"Harriet"},{"family":"Goldfeld","given":"Sharon"}],"issued":{"date-parts":[["2022",12]]}}}],"schema":"https://github.com/citation-style-language/schema/raw/master/csl-citation.json"} </w:instrText>
                  </w:r>
                  <w:r w:rsidRPr="0063184D">
                    <w:fldChar w:fldCharType="separate"/>
                  </w:r>
                  <w:r w:rsidRPr="0063184D">
                    <w:t>(Brown et al., 2022; Honisett et al., 2022)</w:t>
                  </w:r>
                  <w:r w:rsidRPr="0063184D">
                    <w:fldChar w:fldCharType="end"/>
                  </w:r>
                  <w:r w:rsidRPr="0063184D">
                    <w:t>.</w:t>
                  </w:r>
                </w:p>
                <w:p w14:paraId="309545EE" w14:textId="6B9B48F0" w:rsidR="007E6F1B" w:rsidRDefault="00B77E0C" w:rsidP="00016B25">
                  <w:pPr>
                    <w:pStyle w:val="Text"/>
                  </w:pPr>
                  <w:r>
                    <w:t>S</w:t>
                  </w:r>
                  <w:r w:rsidR="001A1D5B" w:rsidRPr="005C0D5C">
                    <w:t>ervice providers report</w:t>
                  </w:r>
                  <w:r w:rsidR="00455669">
                    <w:t>ed</w:t>
                  </w:r>
                  <w:r w:rsidR="001A1D5B" w:rsidRPr="005C0D5C">
                    <w:t xml:space="preserve"> that the number of service users presenting to FaRS and SFVS programs with complex and intersecting needs – including family violence, mental health, disability and neurodiversity, and housing and financial insecurity – has increased</w:t>
                  </w:r>
                  <w:r>
                    <w:t xml:space="preserve"> (see</w:t>
                  </w:r>
                  <w:r w:rsidRPr="005C0D5C">
                    <w:t xml:space="preserve"> </w:t>
                  </w:r>
                  <w:r w:rsidRPr="00957EE2">
                    <w:rPr>
                      <w:b/>
                      <w:bCs/>
                    </w:rPr>
                    <w:t xml:space="preserve">Section </w:t>
                  </w:r>
                  <w:r>
                    <w:rPr>
                      <w:b/>
                      <w:bCs/>
                    </w:rPr>
                    <w:fldChar w:fldCharType="begin" w:fldLock="1"/>
                  </w:r>
                  <w:r>
                    <w:rPr>
                      <w:b/>
                      <w:bCs/>
                    </w:rPr>
                    <w:instrText xml:space="preserve"> REF _Ref203062674 \r \h </w:instrText>
                  </w:r>
                  <w:r w:rsidR="00271FAC">
                    <w:rPr>
                      <w:b/>
                      <w:bCs/>
                    </w:rPr>
                    <w:instrText xml:space="preserve"> \* MERGEFORMAT </w:instrText>
                  </w:r>
                  <w:r>
                    <w:rPr>
                      <w:b/>
                      <w:bCs/>
                    </w:rPr>
                  </w:r>
                  <w:r>
                    <w:rPr>
                      <w:b/>
                      <w:bCs/>
                    </w:rPr>
                    <w:fldChar w:fldCharType="separate"/>
                  </w:r>
                  <w:r w:rsidR="008F22E5">
                    <w:rPr>
                      <w:b/>
                      <w:bCs/>
                    </w:rPr>
                    <w:t>6.6</w:t>
                  </w:r>
                  <w:r>
                    <w:rPr>
                      <w:b/>
                      <w:bCs/>
                    </w:rPr>
                    <w:fldChar w:fldCharType="end"/>
                  </w:r>
                  <w:r>
                    <w:rPr>
                      <w:b/>
                      <w:bCs/>
                    </w:rPr>
                    <w:t xml:space="preserve"> </w:t>
                  </w:r>
                  <w:r>
                    <w:t>and</w:t>
                  </w:r>
                  <w:r w:rsidR="00987AFC">
                    <w:t xml:space="preserve"> </w:t>
                  </w:r>
                  <w:r w:rsidR="00987AFC" w:rsidRPr="00987AFC">
                    <w:rPr>
                      <w:b/>
                      <w:bCs/>
                    </w:rPr>
                    <w:t>Section</w:t>
                  </w:r>
                  <w:r w:rsidRPr="00987AFC">
                    <w:rPr>
                      <w:b/>
                      <w:bCs/>
                    </w:rPr>
                    <w:t xml:space="preserve"> </w:t>
                  </w:r>
                  <w:r w:rsidR="00987AFC" w:rsidRPr="00987AFC">
                    <w:rPr>
                      <w:b/>
                      <w:bCs/>
                    </w:rPr>
                    <w:fldChar w:fldCharType="begin" w:fldLock="1"/>
                  </w:r>
                  <w:r w:rsidR="00987AFC" w:rsidRPr="00987AFC">
                    <w:rPr>
                      <w:b/>
                      <w:bCs/>
                    </w:rPr>
                    <w:instrText xml:space="preserve"> REF _Ref208926785 \n \h </w:instrText>
                  </w:r>
                  <w:r w:rsidR="00987AFC">
                    <w:rPr>
                      <w:b/>
                      <w:bCs/>
                    </w:rPr>
                    <w:instrText xml:space="preserve"> \* MERGEFORMAT </w:instrText>
                  </w:r>
                  <w:r w:rsidR="00987AFC" w:rsidRPr="00987AFC">
                    <w:rPr>
                      <w:b/>
                      <w:bCs/>
                    </w:rPr>
                  </w:r>
                  <w:r w:rsidR="00987AFC" w:rsidRPr="00987AFC">
                    <w:rPr>
                      <w:b/>
                      <w:bCs/>
                    </w:rPr>
                    <w:fldChar w:fldCharType="separate"/>
                  </w:r>
                  <w:r w:rsidR="008F22E5">
                    <w:rPr>
                      <w:b/>
                      <w:bCs/>
                    </w:rPr>
                    <w:t>6.7</w:t>
                  </w:r>
                  <w:r w:rsidR="00987AFC" w:rsidRPr="00987AFC">
                    <w:rPr>
                      <w:b/>
                      <w:bCs/>
                    </w:rPr>
                    <w:fldChar w:fldCharType="end"/>
                  </w:r>
                  <w:r w:rsidR="00987AFC">
                    <w:rPr>
                      <w:b/>
                      <w:bCs/>
                    </w:rPr>
                    <w:t xml:space="preserve"> </w:t>
                  </w:r>
                  <w:r>
                    <w:t>for more detail)</w:t>
                  </w:r>
                  <w:r w:rsidR="001A1D5B" w:rsidRPr="005C0D5C">
                    <w:t>. As a result,</w:t>
                  </w:r>
                  <w:r w:rsidR="00103CC1">
                    <w:t xml:space="preserve"> several</w:t>
                  </w:r>
                  <w:r w:rsidR="001A1D5B" w:rsidRPr="005C0D5C">
                    <w:t xml:space="preserve"> FaRS and SFVS service provider</w:t>
                  </w:r>
                  <w:r w:rsidR="006B63A8">
                    <w:t>s</w:t>
                  </w:r>
                  <w:r w:rsidR="001A1D5B" w:rsidRPr="005C0D5C">
                    <w:t xml:space="preserve"> </w:t>
                  </w:r>
                  <w:r w:rsidR="00455669">
                    <w:t>noted</w:t>
                  </w:r>
                  <w:r w:rsidR="001A1D5B" w:rsidRPr="005C0D5C">
                    <w:t xml:space="preserve"> that their counselling programs are increasingly reactive, </w:t>
                  </w:r>
                  <w:r w:rsidR="00455669">
                    <w:t xml:space="preserve">as they </w:t>
                  </w:r>
                  <w:r w:rsidR="001A1D5B" w:rsidRPr="005C0D5C">
                    <w:t>find</w:t>
                  </w:r>
                  <w:r w:rsidR="00455669">
                    <w:t xml:space="preserve"> </w:t>
                  </w:r>
                  <w:r w:rsidR="001A1D5B" w:rsidRPr="005C0D5C">
                    <w:t>themselves under pressure to provide crisis response and case management</w:t>
                  </w:r>
                  <w:r w:rsidR="00455669">
                    <w:t>. This included</w:t>
                  </w:r>
                  <w:r w:rsidR="001A1D5B" w:rsidRPr="005C0D5C">
                    <w:t xml:space="preserve"> in some instances holding </w:t>
                  </w:r>
                  <w:r w:rsidR="00455669">
                    <w:t xml:space="preserve">FaRS </w:t>
                  </w:r>
                  <w:r w:rsidR="001A1D5B" w:rsidRPr="005C0D5C">
                    <w:t xml:space="preserve">service users for longer than their allotted service period, to </w:t>
                  </w:r>
                  <w:r w:rsidR="00455669">
                    <w:t xml:space="preserve">more </w:t>
                  </w:r>
                  <w:r w:rsidR="001A1D5B" w:rsidRPr="005C0D5C">
                    <w:t>effectively address needs and meet outcome-based performance measures around participant independence, participation, and wellbeing.</w:t>
                  </w:r>
                  <w:r w:rsidR="00EA4363">
                    <w:t xml:space="preserve"> </w:t>
                  </w:r>
                  <w:r w:rsidR="004B4134">
                    <w:t xml:space="preserve">This currently sits in tension with the stated goals of FaRS to </w:t>
                  </w:r>
                  <w:r w:rsidR="00F859BE">
                    <w:t xml:space="preserve">focus on early intervention and prevention. </w:t>
                  </w:r>
                </w:p>
                <w:p w14:paraId="555D378E" w14:textId="0B5B86D8" w:rsidR="00016B25" w:rsidRPr="00EA4363" w:rsidRDefault="00016B25" w:rsidP="00016B25">
                  <w:pPr>
                    <w:pStyle w:val="Text"/>
                    <w:rPr>
                      <w:rStyle w:val="Text-Bold"/>
                      <w:b w:val="0"/>
                    </w:rPr>
                  </w:pPr>
                  <w:r w:rsidRPr="007E3BB4">
                    <w:rPr>
                      <w:rStyle w:val="Text-Bold"/>
                      <w:b w:val="0"/>
                      <w:bCs/>
                    </w:rPr>
                    <w:t xml:space="preserve">Given the breadth of services and cohorts listed under FaRS </w:t>
                  </w:r>
                  <w:r w:rsidR="00455669">
                    <w:rPr>
                      <w:rStyle w:val="Text-Bold"/>
                      <w:b w:val="0"/>
                      <w:bCs/>
                    </w:rPr>
                    <w:t>O</w:t>
                  </w:r>
                  <w:r w:rsidRPr="007E3BB4">
                    <w:rPr>
                      <w:rStyle w:val="Text-Bold"/>
                      <w:b w:val="0"/>
                      <w:bCs/>
                    </w:rPr>
                    <w:t xml:space="preserve">perational </w:t>
                  </w:r>
                  <w:r w:rsidR="00455669">
                    <w:rPr>
                      <w:rStyle w:val="Text-Bold"/>
                      <w:b w:val="0"/>
                      <w:bCs/>
                    </w:rPr>
                    <w:t>G</w:t>
                  </w:r>
                  <w:r w:rsidRPr="007E3BB4">
                    <w:rPr>
                      <w:rStyle w:val="Text-Bold"/>
                      <w:b w:val="0"/>
                      <w:bCs/>
                    </w:rPr>
                    <w:t>uidelines, th</w:t>
                  </w:r>
                  <w:r>
                    <w:rPr>
                      <w:rStyle w:val="Text-Bold"/>
                      <w:b w:val="0"/>
                      <w:bCs/>
                    </w:rPr>
                    <w:t>e current</w:t>
                  </w:r>
                  <w:r w:rsidRPr="007E3BB4">
                    <w:rPr>
                      <w:rStyle w:val="Text-Bold"/>
                      <w:b w:val="0"/>
                      <w:bCs/>
                    </w:rPr>
                    <w:t xml:space="preserve"> flexibility</w:t>
                  </w:r>
                  <w:r>
                    <w:rPr>
                      <w:rStyle w:val="Text-Bold"/>
                      <w:b w:val="0"/>
                      <w:bCs/>
                    </w:rPr>
                    <w:t xml:space="preserve"> and open-endedness of the service model </w:t>
                  </w:r>
                  <w:r w:rsidRPr="007E3BB4">
                    <w:rPr>
                      <w:rStyle w:val="Text-Bold"/>
                      <w:b w:val="0"/>
                      <w:bCs/>
                    </w:rPr>
                    <w:t>is a ‘double-edged sword’ where service</w:t>
                  </w:r>
                  <w:r>
                    <w:rPr>
                      <w:rStyle w:val="Text-Bold"/>
                      <w:b w:val="0"/>
                      <w:bCs/>
                    </w:rPr>
                    <w:t>s</w:t>
                  </w:r>
                  <w:r w:rsidRPr="007E3BB4">
                    <w:rPr>
                      <w:rStyle w:val="Text-Bold"/>
                      <w:b w:val="0"/>
                      <w:bCs/>
                    </w:rPr>
                    <w:t xml:space="preserve"> are expected to address a wide range of needs</w:t>
                  </w:r>
                  <w:r>
                    <w:rPr>
                      <w:rStyle w:val="Text-Bold"/>
                      <w:b w:val="0"/>
                      <w:bCs/>
                    </w:rPr>
                    <w:t xml:space="preserve"> </w:t>
                  </w:r>
                  <w:r w:rsidR="007E6F1B">
                    <w:rPr>
                      <w:rStyle w:val="Text-Bold"/>
                      <w:b w:val="0"/>
                      <w:bCs/>
                    </w:rPr>
                    <w:t>as part of</w:t>
                  </w:r>
                  <w:r>
                    <w:rPr>
                      <w:rStyle w:val="Text-Bold"/>
                      <w:b w:val="0"/>
                      <w:bCs/>
                    </w:rPr>
                    <w:t xml:space="preserve"> </w:t>
                  </w:r>
                  <w:r w:rsidR="00455669">
                    <w:rPr>
                      <w:rStyle w:val="Text-Bold"/>
                      <w:b w:val="0"/>
                      <w:bCs/>
                    </w:rPr>
                    <w:t xml:space="preserve">‘early intervention’ </w:t>
                  </w:r>
                  <w:r w:rsidR="00EA4363">
                    <w:rPr>
                      <w:rStyle w:val="Text-Bold"/>
                      <w:b w:val="0"/>
                      <w:bCs/>
                    </w:rPr>
                    <w:t>approach</w:t>
                  </w:r>
                  <w:r>
                    <w:rPr>
                      <w:rStyle w:val="Text-Bold"/>
                      <w:b w:val="0"/>
                      <w:bCs/>
                    </w:rPr>
                    <w:t xml:space="preserve">. </w:t>
                  </w:r>
                  <w:r w:rsidR="00455669">
                    <w:rPr>
                      <w:rStyle w:val="Text-Bold"/>
                      <w:b w:val="0"/>
                      <w:bCs/>
                    </w:rPr>
                    <w:t>As</w:t>
                  </w:r>
                  <w:r>
                    <w:rPr>
                      <w:rStyle w:val="Text-Bold"/>
                      <w:b w:val="0"/>
                      <w:bCs/>
                    </w:rPr>
                    <w:t xml:space="preserve"> </w:t>
                  </w:r>
                  <w:r w:rsidR="00455669">
                    <w:rPr>
                      <w:rStyle w:val="Text-Bold"/>
                      <w:b w:val="0"/>
                      <w:bCs/>
                    </w:rPr>
                    <w:t>service user presentations</w:t>
                  </w:r>
                  <w:r>
                    <w:rPr>
                      <w:rStyle w:val="Text-Bold"/>
                      <w:b w:val="0"/>
                      <w:bCs/>
                    </w:rPr>
                    <w:t xml:space="preserve"> are becoming more complex, it is becoming </w:t>
                  </w:r>
                  <w:r w:rsidR="007E6F1B">
                    <w:rPr>
                      <w:rStyle w:val="Text-Bold"/>
                      <w:b w:val="0"/>
                      <w:bCs/>
                    </w:rPr>
                    <w:t>increasingly</w:t>
                  </w:r>
                  <w:r>
                    <w:rPr>
                      <w:rStyle w:val="Text-Bold"/>
                      <w:b w:val="0"/>
                      <w:bCs/>
                    </w:rPr>
                    <w:t xml:space="preserve"> challenging for service providers to address these needs</w:t>
                  </w:r>
                  <w:r w:rsidR="00455669">
                    <w:rPr>
                      <w:rStyle w:val="Text-Bold"/>
                      <w:b w:val="0"/>
                      <w:bCs/>
                    </w:rPr>
                    <w:t xml:space="preserve"> an</w:t>
                  </w:r>
                  <w:r w:rsidR="007E6F1B">
                    <w:rPr>
                      <w:rStyle w:val="Text-Bold"/>
                      <w:b w:val="0"/>
                      <w:bCs/>
                    </w:rPr>
                    <w:t>d</w:t>
                  </w:r>
                  <w:r w:rsidR="00455669">
                    <w:rPr>
                      <w:rStyle w:val="Text-Bold"/>
                      <w:b w:val="0"/>
                      <w:bCs/>
                    </w:rPr>
                    <w:t xml:space="preserve"> overall service demand in a timely manner.</w:t>
                  </w:r>
                  <w:r>
                    <w:rPr>
                      <w:rStyle w:val="Text-Bold"/>
                      <w:b w:val="0"/>
                      <w:bCs/>
                    </w:rPr>
                    <w:t xml:space="preserve"> </w:t>
                  </w:r>
                  <w:r w:rsidR="00E93F8D">
                    <w:t xml:space="preserve">Several </w:t>
                  </w:r>
                  <w:r w:rsidR="00E93F8D">
                    <w:rPr>
                      <w:rStyle w:val="Text-Bold"/>
                      <w:b w:val="0"/>
                      <w:bCs/>
                    </w:rPr>
                    <w:t>FaRs and SFVS service providers reported that their staff were increasingly providing more in-depth, long-term support including case management, and that this was not recognised in funding or captured in DEX data reports or AWPs.</w:t>
                  </w:r>
                </w:p>
                <w:p w14:paraId="742932E7" w14:textId="5150BCA6" w:rsidR="00016B25" w:rsidRPr="00C40D09" w:rsidRDefault="00016B25" w:rsidP="00016B25">
                  <w:pPr>
                    <w:pBdr>
                      <w:left w:val="single" w:sz="18" w:space="4" w:color="78B800"/>
                    </w:pBdr>
                    <w:tabs>
                      <w:tab w:val="left" w:pos="8080"/>
                    </w:tabs>
                    <w:spacing w:after="0"/>
                    <w:ind w:left="851" w:right="949"/>
                    <w:rPr>
                      <w:rFonts w:ascii="Arial" w:eastAsia="Arial" w:hAnsi="Arial" w:cs="Times New Roman"/>
                      <w:b/>
                      <w:bCs/>
                      <w:i/>
                      <w:iCs/>
                    </w:rPr>
                  </w:pPr>
                  <w:r w:rsidRPr="00C40D09">
                    <w:rPr>
                      <w:rFonts w:ascii="Arial" w:eastAsia="Arial" w:hAnsi="Arial" w:cs="Times New Roman"/>
                      <w:i/>
                      <w:iCs/>
                    </w:rPr>
                    <w:t xml:space="preserve">That's the trickiness of how broad it is, which is wonderful, and it's important to have but if you're asking us to service all these different needs, which one do you want us to focus on? Because we can't stretch it so thin that many people fall through a gap versus if we focus on one group […] who else is going to service the other group? </w:t>
                  </w:r>
                  <w:r w:rsidRPr="00C40D09">
                    <w:rPr>
                      <w:rFonts w:ascii="Arial" w:eastAsia="Arial" w:hAnsi="Arial" w:cs="Times New Roman"/>
                      <w:noProof/>
                    </w:rPr>
                    <w:drawing>
                      <wp:anchor distT="0" distB="0" distL="114300" distR="114300" simplePos="0" relativeHeight="251658434" behindDoc="0" locked="1" layoutInCell="1" allowOverlap="1" wp14:anchorId="6419A403" wp14:editId="39E7A43A">
                        <wp:simplePos x="0" y="0"/>
                        <wp:positionH relativeFrom="column">
                          <wp:posOffset>0</wp:posOffset>
                        </wp:positionH>
                        <wp:positionV relativeFrom="paragraph">
                          <wp:posOffset>0</wp:posOffset>
                        </wp:positionV>
                        <wp:extent cx="384810" cy="320040"/>
                        <wp:effectExtent l="0" t="0" r="0" b="3810"/>
                        <wp:wrapNone/>
                        <wp:docPr id="980202643" name="Graphic 980202643" descr="P4431#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202643" name="Graphic 980202643" descr="P4431#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40D09">
                    <w:rPr>
                      <w:rFonts w:ascii="Arial" w:eastAsia="Arial" w:hAnsi="Arial" w:cs="Times New Roman"/>
                      <w:b/>
                      <w:bCs/>
                      <w:i/>
                      <w:iCs/>
                    </w:rPr>
                    <w:t>– FaRS service provider</w:t>
                  </w:r>
                </w:p>
                <w:p w14:paraId="6B92AC78" w14:textId="77777777" w:rsidR="00016B25" w:rsidRPr="00C40D09" w:rsidRDefault="00016B25" w:rsidP="00016B25">
                  <w:pPr>
                    <w:rPr>
                      <w:rFonts w:ascii="Arial" w:eastAsia="Arial" w:hAnsi="Arial" w:cs="Times New Roman"/>
                    </w:rPr>
                  </w:pPr>
                </w:p>
                <w:p w14:paraId="74EF6ECD" w14:textId="3558B608" w:rsidR="00016B25" w:rsidRPr="00C40D09" w:rsidRDefault="00016B25" w:rsidP="00016B25">
                  <w:pPr>
                    <w:pBdr>
                      <w:left w:val="single" w:sz="18" w:space="4" w:color="78B800"/>
                    </w:pBdr>
                    <w:tabs>
                      <w:tab w:val="left" w:pos="8080"/>
                    </w:tabs>
                    <w:spacing w:after="0"/>
                    <w:ind w:left="851" w:right="949"/>
                    <w:rPr>
                      <w:rFonts w:ascii="Arial" w:eastAsia="Arial" w:hAnsi="Arial" w:cs="Times New Roman"/>
                      <w:b/>
                      <w:i/>
                    </w:rPr>
                  </w:pPr>
                  <w:r w:rsidRPr="00C40D09">
                    <w:rPr>
                      <w:rFonts w:ascii="Arial" w:eastAsia="Arial" w:hAnsi="Arial" w:cs="Times New Roman"/>
                      <w:noProof/>
                    </w:rPr>
                    <w:lastRenderedPageBreak/>
                    <w:drawing>
                      <wp:anchor distT="0" distB="0" distL="114300" distR="114300" simplePos="0" relativeHeight="251658435" behindDoc="0" locked="1" layoutInCell="1" allowOverlap="1" wp14:anchorId="4DAD77AA" wp14:editId="7CE85180">
                        <wp:simplePos x="0" y="0"/>
                        <wp:positionH relativeFrom="column">
                          <wp:posOffset>0</wp:posOffset>
                        </wp:positionH>
                        <wp:positionV relativeFrom="paragraph">
                          <wp:posOffset>0</wp:posOffset>
                        </wp:positionV>
                        <wp:extent cx="384810" cy="320040"/>
                        <wp:effectExtent l="0" t="0" r="0" b="3810"/>
                        <wp:wrapNone/>
                        <wp:docPr id="1790140695" name="Graphic 1790140695" descr="P4433#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140695" name="Graphic 1790140695" descr="P4433#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40D09">
                    <w:rPr>
                      <w:rFonts w:ascii="Arial" w:eastAsia="Arial" w:hAnsi="Arial" w:cs="Times New Roman"/>
                      <w:i/>
                      <w:iCs/>
                    </w:rPr>
                    <w:t>I think the adaption that's happened over the years has been this was set up as an early intervention program</w:t>
                  </w:r>
                  <w:r w:rsidR="007E6F1B">
                    <w:rPr>
                      <w:rFonts w:ascii="Arial" w:eastAsia="Arial" w:hAnsi="Arial" w:cs="Times New Roman"/>
                      <w:i/>
                      <w:iCs/>
                    </w:rPr>
                    <w:t xml:space="preserve"> […]</w:t>
                  </w:r>
                  <w:r w:rsidRPr="00C40D09">
                    <w:rPr>
                      <w:rFonts w:ascii="Arial" w:eastAsia="Arial" w:hAnsi="Arial" w:cs="Times New Roman"/>
                      <w:i/>
                      <w:iCs/>
                    </w:rPr>
                    <w:t xml:space="preserve"> and now you've got the high and complex needs clients or individuals […] coming in. That wasn't necessarily the original intent of the service, but it's adapted and so there is a huge need for counselling and for groups around [a] variety of areas, parenting, life skills, relationships</w:t>
                  </w:r>
                  <w:r w:rsidRPr="00C40D09">
                    <w:rPr>
                      <w:rFonts w:ascii="Arial" w:eastAsia="Arial" w:hAnsi="Arial" w:cs="Times New Roman"/>
                      <w:b/>
                      <w:bCs/>
                      <w:i/>
                      <w:iCs/>
                    </w:rPr>
                    <w:t xml:space="preserve"> – FaRS service provider</w:t>
                  </w:r>
                </w:p>
                <w:p w14:paraId="207AAE61" w14:textId="77777777" w:rsidR="00016B25" w:rsidRPr="00C40D09" w:rsidRDefault="00016B25" w:rsidP="00016B25">
                  <w:pPr>
                    <w:rPr>
                      <w:rFonts w:ascii="Arial" w:eastAsia="Arial" w:hAnsi="Arial" w:cs="Times New Roman"/>
                      <w:b/>
                      <w:bCs/>
                    </w:rPr>
                  </w:pPr>
                </w:p>
                <w:p w14:paraId="1D80751D" w14:textId="50F1AECB" w:rsidR="00016B25" w:rsidRPr="00C40D09" w:rsidRDefault="00016B25" w:rsidP="00016B25">
                  <w:pPr>
                    <w:pBdr>
                      <w:left w:val="single" w:sz="18" w:space="4" w:color="78B800"/>
                    </w:pBdr>
                    <w:tabs>
                      <w:tab w:val="left" w:pos="8080"/>
                    </w:tabs>
                    <w:spacing w:after="0"/>
                    <w:ind w:left="851" w:right="949"/>
                    <w:rPr>
                      <w:rFonts w:ascii="Arial" w:eastAsia="Arial" w:hAnsi="Arial" w:cs="Times New Roman"/>
                      <w:b/>
                      <w:bCs/>
                      <w:i/>
                      <w:iCs/>
                    </w:rPr>
                  </w:pPr>
                  <w:r w:rsidRPr="00C40D09">
                    <w:rPr>
                      <w:rFonts w:ascii="Arial" w:eastAsia="Arial" w:hAnsi="Arial" w:cs="Times New Roman"/>
                      <w:noProof/>
                    </w:rPr>
                    <w:drawing>
                      <wp:anchor distT="0" distB="0" distL="114300" distR="114300" simplePos="0" relativeHeight="251658436" behindDoc="0" locked="1" layoutInCell="1" allowOverlap="1" wp14:anchorId="7DAEE96D" wp14:editId="42039896">
                        <wp:simplePos x="0" y="0"/>
                        <wp:positionH relativeFrom="column">
                          <wp:posOffset>0</wp:posOffset>
                        </wp:positionH>
                        <wp:positionV relativeFrom="paragraph">
                          <wp:posOffset>0</wp:posOffset>
                        </wp:positionV>
                        <wp:extent cx="384810" cy="320040"/>
                        <wp:effectExtent l="0" t="0" r="0" b="3810"/>
                        <wp:wrapNone/>
                        <wp:docPr id="1328780697" name="Graphic 1328780697" descr="P4435#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8780697" name="Graphic 1328780697" descr="P4435#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40D09">
                    <w:rPr>
                      <w:rFonts w:ascii="Arial" w:eastAsia="Arial" w:hAnsi="Arial" w:cs="Times New Roman"/>
                      <w:i/>
                      <w:iCs/>
                    </w:rPr>
                    <w:t>[…] there’s an internal struggle going on because people need help and they’re coming to you at that point […] so it’s really important that people get it in the way that they need it at the location that they need it […] [FaRS] was intended as an early intervention service and its now […] moving in a different direction to match society’s needs post-COVID</w:t>
                  </w:r>
                  <w:r w:rsidRPr="00C40D09">
                    <w:rPr>
                      <w:rFonts w:ascii="Arial" w:eastAsia="Arial" w:hAnsi="Arial" w:cs="Times New Roman"/>
                      <w:b/>
                      <w:bCs/>
                      <w:i/>
                      <w:iCs/>
                    </w:rPr>
                    <w:t xml:space="preserve"> – FaRS service provider</w:t>
                  </w:r>
                </w:p>
                <w:p w14:paraId="6D7FA802" w14:textId="77777777" w:rsidR="00016B25" w:rsidRDefault="00016B25" w:rsidP="001A1D5B">
                  <w:pPr>
                    <w:pStyle w:val="Text"/>
                  </w:pPr>
                </w:p>
                <w:p w14:paraId="02E3E25A" w14:textId="76A247A1" w:rsidR="001A1D5B" w:rsidRDefault="00F964FA" w:rsidP="001A1D5B">
                  <w:pPr>
                    <w:pStyle w:val="Text"/>
                  </w:pPr>
                  <w:r>
                    <w:t>Many FaRS and dual FaRS SFVS</w:t>
                  </w:r>
                  <w:r w:rsidR="001A1D5B" w:rsidRPr="005C0D5C">
                    <w:t xml:space="preserve"> </w:t>
                  </w:r>
                  <w:r w:rsidR="006B63A8">
                    <w:t>service providers</w:t>
                  </w:r>
                  <w:r w:rsidR="001A1D5B" w:rsidRPr="005C0D5C">
                    <w:t xml:space="preserve"> identified that FaRS funding was </w:t>
                  </w:r>
                  <w:r w:rsidR="005D71AC">
                    <w:t xml:space="preserve">being </w:t>
                  </w:r>
                  <w:r w:rsidR="001A1D5B" w:rsidRPr="005C0D5C">
                    <w:t xml:space="preserve">used as a ‘catch all’ with counsellors </w:t>
                  </w:r>
                  <w:r w:rsidR="005D71AC">
                    <w:t>needing</w:t>
                  </w:r>
                  <w:r w:rsidR="001A1D5B" w:rsidRPr="005C0D5C">
                    <w:t xml:space="preserve"> to meet the varied needs of their service user</w:t>
                  </w:r>
                  <w:r w:rsidR="005D71AC">
                    <w:t>s</w:t>
                  </w:r>
                  <w:r w:rsidR="001A1D5B" w:rsidRPr="005C0D5C">
                    <w:t xml:space="preserve"> who often cannot access services elsewhere. This included an increased provision of mental health focused supports with FaRS</w:t>
                  </w:r>
                  <w:r w:rsidR="00E93F8D">
                    <w:t>’</w:t>
                  </w:r>
                  <w:r w:rsidR="001A1D5B" w:rsidRPr="005C0D5C">
                    <w:t xml:space="preserve"> no or low-cost fee model serving as major drawcard for service users in a mental health system characterised by fragmentation and unaffordability.</w:t>
                  </w:r>
                  <w:r w:rsidR="001A1D5B">
                    <w:t xml:space="preserve"> </w:t>
                  </w:r>
                </w:p>
                <w:p w14:paraId="7B6F5196" w14:textId="404FCB2F" w:rsidR="001A1D5B" w:rsidRPr="00DA3350" w:rsidRDefault="001A1D5B" w:rsidP="001A1D5B">
                  <w:pPr>
                    <w:pBdr>
                      <w:left w:val="single" w:sz="18" w:space="4" w:color="78B800"/>
                    </w:pBdr>
                    <w:tabs>
                      <w:tab w:val="left" w:pos="8080"/>
                    </w:tabs>
                    <w:spacing w:after="0"/>
                    <w:ind w:left="851" w:right="949"/>
                    <w:rPr>
                      <w:rFonts w:ascii="Arial" w:eastAsia="Arial" w:hAnsi="Arial" w:cs="Times New Roman"/>
                      <w:b/>
                      <w:bCs/>
                      <w:i/>
                      <w:iCs/>
                    </w:rPr>
                  </w:pPr>
                  <w:r w:rsidRPr="00DA3350">
                    <w:rPr>
                      <w:rFonts w:ascii="Arial" w:eastAsia="Arial" w:hAnsi="Arial" w:cs="Times New Roman"/>
                      <w:i/>
                      <w:iCs/>
                    </w:rPr>
                    <w:t xml:space="preserve">We see people for almost any reason. A bone of contention within that </w:t>
                  </w:r>
                  <w:r w:rsidR="00767D23">
                    <w:rPr>
                      <w:rFonts w:ascii="Arial" w:eastAsia="Arial" w:hAnsi="Arial" w:cs="Times New Roman"/>
                      <w:i/>
                      <w:iCs/>
                    </w:rPr>
                    <w:t xml:space="preserve">[is] </w:t>
                  </w:r>
                  <w:r w:rsidRPr="00DA3350">
                    <w:rPr>
                      <w:rFonts w:ascii="Arial" w:eastAsia="Arial" w:hAnsi="Arial" w:cs="Times New Roman"/>
                      <w:i/>
                      <w:iCs/>
                    </w:rPr>
                    <w:t>sometimes we try to be a jack of all trades and master of none</w:t>
                  </w:r>
                  <w:r w:rsidRPr="00DA3350">
                    <w:rPr>
                      <w:rFonts w:ascii="Arial" w:eastAsia="Arial" w:hAnsi="Arial" w:cs="Times New Roman"/>
                      <w:noProof/>
                    </w:rPr>
                    <w:drawing>
                      <wp:anchor distT="0" distB="0" distL="114300" distR="114300" simplePos="0" relativeHeight="251658437" behindDoc="0" locked="1" layoutInCell="1" allowOverlap="1" wp14:anchorId="2BEB66E8" wp14:editId="18C4F250">
                        <wp:simplePos x="0" y="0"/>
                        <wp:positionH relativeFrom="column">
                          <wp:posOffset>0</wp:posOffset>
                        </wp:positionH>
                        <wp:positionV relativeFrom="paragraph">
                          <wp:posOffset>0</wp:posOffset>
                        </wp:positionV>
                        <wp:extent cx="384810" cy="320040"/>
                        <wp:effectExtent l="0" t="0" r="0" b="3810"/>
                        <wp:wrapNone/>
                        <wp:docPr id="1250011218" name="Graphic 1250011218" descr="P4438#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011218" name="Graphic 1250011218" descr="P4438#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A3350">
                    <w:rPr>
                      <w:rFonts w:ascii="Arial" w:eastAsia="Arial" w:hAnsi="Arial" w:cs="Times New Roman"/>
                      <w:i/>
                      <w:iCs/>
                    </w:rPr>
                    <w:t xml:space="preserve"> </w:t>
                  </w:r>
                  <w:r w:rsidRPr="00DA3350">
                    <w:rPr>
                      <w:rFonts w:ascii="Arial" w:eastAsia="Arial" w:hAnsi="Arial" w:cs="Times New Roman"/>
                      <w:b/>
                      <w:bCs/>
                      <w:i/>
                      <w:iCs/>
                    </w:rPr>
                    <w:t>– FaRS service provider</w:t>
                  </w:r>
                </w:p>
                <w:p w14:paraId="7899DEDA" w14:textId="77777777" w:rsidR="001A1D5B" w:rsidRDefault="001A1D5B" w:rsidP="001A1D5B">
                  <w:pPr>
                    <w:pStyle w:val="Text"/>
                  </w:pPr>
                </w:p>
                <w:p w14:paraId="039AA99C" w14:textId="35D35258" w:rsidR="00F964FA" w:rsidRPr="00F964FA" w:rsidRDefault="00F964FA" w:rsidP="00F964FA">
                  <w:pPr>
                    <w:pBdr>
                      <w:left w:val="single" w:sz="18" w:space="4" w:color="78B800" w:themeColor="accent1"/>
                    </w:pBdr>
                    <w:tabs>
                      <w:tab w:val="left" w:pos="8080"/>
                    </w:tabs>
                    <w:spacing w:after="0"/>
                    <w:ind w:left="851" w:right="949"/>
                    <w:rPr>
                      <w:b/>
                      <w:i/>
                    </w:rPr>
                  </w:pPr>
                  <w:r w:rsidRPr="002E7992">
                    <w:rPr>
                      <w:noProof/>
                    </w:rPr>
                    <w:drawing>
                      <wp:anchor distT="0" distB="0" distL="114300" distR="114300" simplePos="0" relativeHeight="251658438" behindDoc="0" locked="1" layoutInCell="1" allowOverlap="1" wp14:anchorId="6B624399" wp14:editId="07039519">
                        <wp:simplePos x="0" y="0"/>
                        <wp:positionH relativeFrom="column">
                          <wp:posOffset>0</wp:posOffset>
                        </wp:positionH>
                        <wp:positionV relativeFrom="paragraph">
                          <wp:posOffset>0</wp:posOffset>
                        </wp:positionV>
                        <wp:extent cx="384810" cy="320040"/>
                        <wp:effectExtent l="0" t="0" r="0" b="3810"/>
                        <wp:wrapNone/>
                        <wp:docPr id="279507610" name="Graphic 279507610" descr="P4440#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507610" name="Graphic 279507610" descr="P4440#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F70BA">
                    <w:rPr>
                      <w:i/>
                      <w:iCs/>
                    </w:rPr>
                    <w:t>The other thing is housing and accommodation options for our young people and families. It's continuing to be on the rise which makes it hard</w:t>
                  </w:r>
                  <w:r>
                    <w:rPr>
                      <w:i/>
                      <w:iCs/>
                    </w:rPr>
                    <w:t xml:space="preserve"> [</w:t>
                  </w:r>
                  <w:r w:rsidRPr="00FF70BA">
                    <w:rPr>
                      <w:i/>
                      <w:iCs/>
                    </w:rPr>
                    <w:t>…</w:t>
                  </w:r>
                  <w:r>
                    <w:rPr>
                      <w:i/>
                      <w:iCs/>
                    </w:rPr>
                    <w:t>]</w:t>
                  </w:r>
                  <w:r w:rsidRPr="00FF70BA">
                    <w:rPr>
                      <w:i/>
                      <w:iCs/>
                    </w:rPr>
                    <w:t xml:space="preserve"> for us when we're trying to support our people when there is actually the practical stuff not being addressed. Obviously here we also have the mental health services with long wait period</w:t>
                  </w:r>
                  <w:r>
                    <w:rPr>
                      <w:i/>
                      <w:iCs/>
                    </w:rPr>
                    <w:t>s [</w:t>
                  </w:r>
                  <w:r w:rsidRPr="00FF70BA">
                    <w:rPr>
                      <w:i/>
                      <w:iCs/>
                    </w:rPr>
                    <w:t>…</w:t>
                  </w:r>
                  <w:r>
                    <w:rPr>
                      <w:i/>
                      <w:iCs/>
                    </w:rPr>
                    <w:t>]</w:t>
                  </w:r>
                  <w:r w:rsidRPr="00FF70BA">
                    <w:rPr>
                      <w:i/>
                      <w:iCs/>
                    </w:rPr>
                    <w:t xml:space="preserve"> It's hard to hold [service users]. Sometimes I think we're doing a disservice to our people by seeing</w:t>
                  </w:r>
                  <w:r>
                    <w:rPr>
                      <w:i/>
                      <w:iCs/>
                    </w:rPr>
                    <w:t xml:space="preserve"> [</w:t>
                  </w:r>
                  <w:r w:rsidRPr="00FF70BA">
                    <w:rPr>
                      <w:i/>
                      <w:iCs/>
                    </w:rPr>
                    <w:t>…</w:t>
                  </w:r>
                  <w:r>
                    <w:rPr>
                      <w:i/>
                      <w:iCs/>
                    </w:rPr>
                    <w:t>]</w:t>
                  </w:r>
                  <w:r w:rsidRPr="00FF70BA">
                    <w:rPr>
                      <w:i/>
                      <w:iCs/>
                    </w:rPr>
                    <w:t xml:space="preserve"> very unwell people in the FaRS space where really, they need to be getting that tertiary level support</w:t>
                  </w:r>
                  <w:r>
                    <w:rPr>
                      <w:i/>
                      <w:iCs/>
                    </w:rPr>
                    <w:t xml:space="preserve"> </w:t>
                  </w:r>
                  <w:r w:rsidRPr="002E7992">
                    <w:rPr>
                      <w:b/>
                      <w:bCs/>
                      <w:i/>
                      <w:iCs/>
                    </w:rPr>
                    <w:t>–</w:t>
                  </w:r>
                  <w:r>
                    <w:rPr>
                      <w:b/>
                      <w:bCs/>
                      <w:i/>
                      <w:iCs/>
                    </w:rPr>
                    <w:t xml:space="preserve"> FaRS s</w:t>
                  </w:r>
                  <w:r w:rsidRPr="002E7992">
                    <w:rPr>
                      <w:b/>
                      <w:bCs/>
                      <w:i/>
                      <w:iCs/>
                    </w:rPr>
                    <w:t>ervice provider</w:t>
                  </w:r>
                </w:p>
                <w:p w14:paraId="2A70C9AC" w14:textId="77777777" w:rsidR="00F964FA" w:rsidRDefault="00F964FA" w:rsidP="001A1D5B">
                  <w:pPr>
                    <w:pStyle w:val="Text"/>
                    <w:rPr>
                      <w:rStyle w:val="Text-Bold"/>
                      <w:b w:val="0"/>
                      <w:bCs/>
                    </w:rPr>
                  </w:pPr>
                </w:p>
                <w:p w14:paraId="6633CEA3" w14:textId="2161FE47" w:rsidR="00F964FA" w:rsidRDefault="00F964FA" w:rsidP="00F964FA">
                  <w:pPr>
                    <w:pStyle w:val="Text"/>
                    <w:rPr>
                      <w:rStyle w:val="Text-Bold"/>
                      <w:b w:val="0"/>
                      <w:bCs/>
                    </w:rPr>
                  </w:pPr>
                  <w:r>
                    <w:rPr>
                      <w:rStyle w:val="Text-Bold"/>
                      <w:b w:val="0"/>
                      <w:bCs/>
                    </w:rPr>
                    <w:t>S</w:t>
                  </w:r>
                  <w:r w:rsidRPr="00EF4C9B">
                    <w:rPr>
                      <w:rStyle w:val="Text-Bold"/>
                      <w:b w:val="0"/>
                      <w:bCs/>
                    </w:rPr>
                    <w:t xml:space="preserve">ome </w:t>
                  </w:r>
                  <w:r>
                    <w:rPr>
                      <w:rStyle w:val="Text-Bold"/>
                      <w:b w:val="0"/>
                      <w:bCs/>
                    </w:rPr>
                    <w:t xml:space="preserve">FaRS service </w:t>
                  </w:r>
                  <w:r w:rsidRPr="00EF4C9B">
                    <w:rPr>
                      <w:rStyle w:val="Text-Bold"/>
                      <w:b w:val="0"/>
                      <w:bCs/>
                    </w:rPr>
                    <w:t>providers</w:t>
                  </w:r>
                  <w:r>
                    <w:rPr>
                      <w:rStyle w:val="Text-Bold"/>
                      <w:b w:val="0"/>
                      <w:bCs/>
                    </w:rPr>
                    <w:t xml:space="preserve"> also</w:t>
                  </w:r>
                  <w:r w:rsidRPr="00EF4C9B">
                    <w:rPr>
                      <w:rStyle w:val="Text-Bold"/>
                      <w:b w:val="0"/>
                      <w:bCs/>
                    </w:rPr>
                    <w:t xml:space="preserve"> noted that the</w:t>
                  </w:r>
                  <w:r>
                    <w:rPr>
                      <w:rStyle w:val="Text-Bold"/>
                      <w:b w:val="0"/>
                      <w:bCs/>
                    </w:rPr>
                    <w:t>ir services</w:t>
                  </w:r>
                  <w:r w:rsidRPr="00EF4C9B">
                    <w:rPr>
                      <w:rStyle w:val="Text-Bold"/>
                      <w:b w:val="0"/>
                      <w:bCs/>
                    </w:rPr>
                    <w:t xml:space="preserve"> were increasingly being accessed at the family court separation stage, providing guidance and case management to individuals and families, </w:t>
                  </w:r>
                  <w:r w:rsidR="00CA586F">
                    <w:rPr>
                      <w:rStyle w:val="Text-Bold"/>
                      <w:b w:val="0"/>
                      <w:bCs/>
                    </w:rPr>
                    <w:t>while</w:t>
                  </w:r>
                  <w:r w:rsidRPr="00EF4C9B">
                    <w:rPr>
                      <w:rStyle w:val="Text-Bold"/>
                      <w:b w:val="0"/>
                      <w:bCs/>
                    </w:rPr>
                    <w:t xml:space="preserve"> trying to retain a therapeutic lens. </w:t>
                  </w:r>
                </w:p>
                <w:p w14:paraId="6C8B3BC6" w14:textId="0B6A5C1A" w:rsidR="00F964FA" w:rsidRPr="00901032" w:rsidRDefault="00F964FA" w:rsidP="00F964FA">
                  <w:pPr>
                    <w:pBdr>
                      <w:left w:val="single" w:sz="18" w:space="4" w:color="78B800"/>
                    </w:pBdr>
                    <w:tabs>
                      <w:tab w:val="left" w:pos="8080"/>
                    </w:tabs>
                    <w:spacing w:after="0"/>
                    <w:ind w:left="851" w:right="949"/>
                    <w:rPr>
                      <w:rFonts w:ascii="Arial" w:eastAsia="Arial" w:hAnsi="Arial" w:cs="Times New Roman"/>
                      <w:i/>
                      <w:iCs/>
                    </w:rPr>
                  </w:pPr>
                  <w:r w:rsidRPr="00901032">
                    <w:rPr>
                      <w:rFonts w:ascii="Arial" w:eastAsia="Arial" w:hAnsi="Arial" w:cs="Times New Roman"/>
                      <w:noProof/>
                    </w:rPr>
                    <w:drawing>
                      <wp:anchor distT="0" distB="0" distL="114300" distR="114300" simplePos="0" relativeHeight="251658439" behindDoc="0" locked="1" layoutInCell="1" allowOverlap="1" wp14:anchorId="53B94A09" wp14:editId="33A79D50">
                        <wp:simplePos x="0" y="0"/>
                        <wp:positionH relativeFrom="column">
                          <wp:posOffset>0</wp:posOffset>
                        </wp:positionH>
                        <wp:positionV relativeFrom="paragraph">
                          <wp:posOffset>0</wp:posOffset>
                        </wp:positionV>
                        <wp:extent cx="384810" cy="320040"/>
                        <wp:effectExtent l="0" t="0" r="0" b="3810"/>
                        <wp:wrapNone/>
                        <wp:docPr id="408066487" name="Graphic 408066487" descr="P4443#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066487" name="Graphic 408066487" descr="P4443#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01032">
                    <w:rPr>
                      <w:rFonts w:ascii="Arial" w:eastAsia="Arial" w:hAnsi="Arial" w:cs="Times New Roman"/>
                      <w:i/>
                      <w:iCs/>
                    </w:rPr>
                    <w:t xml:space="preserve">FaRS is identified as being an early intervention program as well, attempting to make change before we get to the stages of crisis and Family Court and Children's Court but if we're still in this position </w:t>
                  </w:r>
                  <w:r w:rsidRPr="00901032">
                    <w:rPr>
                      <w:rFonts w:ascii="Arial" w:eastAsia="Arial" w:hAnsi="Arial" w:cs="Times New Roman"/>
                      <w:i/>
                      <w:iCs/>
                    </w:rPr>
                    <w:lastRenderedPageBreak/>
                    <w:t xml:space="preserve">that we're stretched so thin that we have to be reactive, we can't actually start to build some of those more responsive and proactive stages […] That's what I’m finding a lot of our programs are struggling with: how do we become that </w:t>
                  </w:r>
                </w:p>
                <w:p w14:paraId="3480FEBC" w14:textId="4764B8B1" w:rsidR="00F964FA" w:rsidRPr="00901032" w:rsidRDefault="00F964FA" w:rsidP="00F964FA">
                  <w:pPr>
                    <w:pBdr>
                      <w:left w:val="single" w:sz="18" w:space="4" w:color="78B800"/>
                    </w:pBdr>
                    <w:tabs>
                      <w:tab w:val="left" w:pos="8080"/>
                    </w:tabs>
                    <w:spacing w:after="0"/>
                    <w:ind w:left="851" w:right="949"/>
                    <w:rPr>
                      <w:rFonts w:ascii="Arial" w:eastAsia="Arial" w:hAnsi="Arial" w:cs="Times New Roman"/>
                      <w:b/>
                      <w:bCs/>
                      <w:i/>
                      <w:iCs/>
                    </w:rPr>
                  </w:pPr>
                  <w:r w:rsidRPr="00901032">
                    <w:rPr>
                      <w:rFonts w:ascii="Arial" w:eastAsia="Arial" w:hAnsi="Arial" w:cs="Times New Roman"/>
                      <w:i/>
                      <w:iCs/>
                    </w:rPr>
                    <w:t xml:space="preserve">early intervention? Because at the moment </w:t>
                  </w:r>
                  <w:r w:rsidR="00111AC5" w:rsidRPr="00901032">
                    <w:rPr>
                      <w:rFonts w:ascii="Arial" w:eastAsia="Arial" w:hAnsi="Arial" w:cs="Times New Roman"/>
                      <w:i/>
                      <w:iCs/>
                    </w:rPr>
                    <w:t>it</w:t>
                  </w:r>
                  <w:r w:rsidR="00111AC5">
                    <w:rPr>
                      <w:rFonts w:ascii="Arial" w:eastAsia="Arial" w:hAnsi="Arial" w:cs="Times New Roman"/>
                      <w:i/>
                      <w:iCs/>
                    </w:rPr>
                    <w:t>’s</w:t>
                  </w:r>
                  <w:r w:rsidRPr="00901032">
                    <w:rPr>
                      <w:rFonts w:ascii="Arial" w:eastAsia="Arial" w:hAnsi="Arial" w:cs="Times New Roman"/>
                      <w:i/>
                      <w:iCs/>
                    </w:rPr>
                    <w:t xml:space="preserve">, ‘We'll capture you, we'll take you in, we'll do it all’, but </w:t>
                  </w:r>
                  <w:r w:rsidR="00111AC5">
                    <w:rPr>
                      <w:rFonts w:ascii="Arial" w:eastAsia="Arial" w:hAnsi="Arial" w:cs="Times New Roman"/>
                      <w:i/>
                      <w:iCs/>
                    </w:rPr>
                    <w:t>[that] might</w:t>
                  </w:r>
                  <w:r w:rsidRPr="00901032">
                    <w:rPr>
                      <w:rFonts w:ascii="Arial" w:eastAsia="Arial" w:hAnsi="Arial" w:cs="Times New Roman"/>
                      <w:i/>
                      <w:iCs/>
                    </w:rPr>
                    <w:t xml:space="preserve"> be within the bounds of the work that we want to be doing, or should be doing? </w:t>
                  </w:r>
                  <w:r w:rsidRPr="00901032">
                    <w:rPr>
                      <w:rFonts w:ascii="Arial" w:eastAsia="Arial" w:hAnsi="Arial" w:cs="Times New Roman"/>
                      <w:b/>
                      <w:bCs/>
                      <w:i/>
                      <w:iCs/>
                    </w:rPr>
                    <w:t>– FaRS service provider</w:t>
                  </w:r>
                </w:p>
                <w:p w14:paraId="4E6EA89D" w14:textId="77777777" w:rsidR="00F964FA" w:rsidRDefault="00F964FA" w:rsidP="001A1D5B">
                  <w:pPr>
                    <w:pStyle w:val="Text"/>
                    <w:rPr>
                      <w:rStyle w:val="Text-Bold"/>
                      <w:b w:val="0"/>
                      <w:bCs/>
                    </w:rPr>
                  </w:pPr>
                </w:p>
                <w:p w14:paraId="42074F99" w14:textId="02B70E2F" w:rsidR="001A1D5B" w:rsidRDefault="001A1D5B" w:rsidP="001A1D5B">
                  <w:pPr>
                    <w:pStyle w:val="Text"/>
                    <w:rPr>
                      <w:rStyle w:val="Text-Bold"/>
                      <w:b w:val="0"/>
                      <w:bCs/>
                    </w:rPr>
                  </w:pPr>
                  <w:r>
                    <w:rPr>
                      <w:rStyle w:val="Text-Bold"/>
                      <w:b w:val="0"/>
                      <w:bCs/>
                    </w:rPr>
                    <w:t>MBCP service providers</w:t>
                  </w:r>
                  <w:r w:rsidDel="00767D23">
                    <w:rPr>
                      <w:rStyle w:val="Text-Bold"/>
                      <w:b w:val="0"/>
                      <w:bCs/>
                    </w:rPr>
                    <w:t xml:space="preserve"> </w:t>
                  </w:r>
                  <w:r w:rsidR="00767D23">
                    <w:rPr>
                      <w:rStyle w:val="Text-Bold"/>
                      <w:b w:val="0"/>
                      <w:bCs/>
                    </w:rPr>
                    <w:t xml:space="preserve">stated </w:t>
                  </w:r>
                  <w:r>
                    <w:rPr>
                      <w:rStyle w:val="Text-Bold"/>
                      <w:b w:val="0"/>
                      <w:bCs/>
                    </w:rPr>
                    <w:t xml:space="preserve">that there </w:t>
                  </w:r>
                  <w:r w:rsidR="005D71AC">
                    <w:rPr>
                      <w:rStyle w:val="Text-Bold"/>
                      <w:b w:val="0"/>
                      <w:bCs/>
                    </w:rPr>
                    <w:t>were</w:t>
                  </w:r>
                  <w:r>
                    <w:rPr>
                      <w:rStyle w:val="Text-Bold"/>
                      <w:b w:val="0"/>
                      <w:bCs/>
                    </w:rPr>
                    <w:t xml:space="preserve"> increased workloads around individual case management with a need to work with men one-on-one in some instances for longer than funding anticipates due to disability or low literacy levels impacting engagement capacity. In addition, there is an increased expectation that </w:t>
                  </w:r>
                  <w:r w:rsidR="00767D23">
                    <w:rPr>
                      <w:rStyle w:val="Text-Bold"/>
                      <w:b w:val="0"/>
                      <w:bCs/>
                    </w:rPr>
                    <w:t xml:space="preserve">services </w:t>
                  </w:r>
                  <w:r>
                    <w:rPr>
                      <w:rStyle w:val="Text-Bold"/>
                      <w:b w:val="0"/>
                      <w:bCs/>
                    </w:rPr>
                    <w:t xml:space="preserve">assess and manage risk under state-based family risk assessment frameworks; additional work which is not covered by SFVS funding. </w:t>
                  </w:r>
                </w:p>
                <w:p w14:paraId="2D858AE8" w14:textId="53F0A0BC" w:rsidR="001A1D5B" w:rsidRPr="00DA3350" w:rsidRDefault="001A1D5B" w:rsidP="001A1D5B">
                  <w:pPr>
                    <w:pBdr>
                      <w:left w:val="single" w:sz="18" w:space="4" w:color="78B800"/>
                    </w:pBdr>
                    <w:tabs>
                      <w:tab w:val="left" w:pos="8080"/>
                    </w:tabs>
                    <w:spacing w:after="0"/>
                    <w:ind w:left="851" w:right="949"/>
                    <w:rPr>
                      <w:rFonts w:ascii="Arial" w:eastAsia="Arial" w:hAnsi="Arial" w:cs="Times New Roman"/>
                      <w:b/>
                      <w:bCs/>
                      <w:i/>
                      <w:iCs/>
                    </w:rPr>
                  </w:pPr>
                  <w:r>
                    <w:rPr>
                      <w:rFonts w:ascii="Arial" w:eastAsia="Arial" w:hAnsi="Arial" w:cs="Times New Roman"/>
                      <w:i/>
                      <w:iCs/>
                    </w:rPr>
                    <w:t>T</w:t>
                  </w:r>
                  <w:r w:rsidRPr="00E80203">
                    <w:rPr>
                      <w:rFonts w:ascii="Arial" w:eastAsia="Arial" w:hAnsi="Arial" w:cs="Times New Roman"/>
                      <w:i/>
                      <w:iCs/>
                    </w:rPr>
                    <w:t xml:space="preserve">here’s been an increased expectation for </w:t>
                  </w:r>
                  <w:r w:rsidR="00C85426">
                    <w:rPr>
                      <w:rFonts w:ascii="Arial" w:eastAsia="Arial" w:hAnsi="Arial" w:cs="Times New Roman"/>
                      <w:i/>
                      <w:iCs/>
                    </w:rPr>
                    <w:t>[MBCP]</w:t>
                  </w:r>
                  <w:r w:rsidRPr="00E80203">
                    <w:rPr>
                      <w:rFonts w:ascii="Arial" w:eastAsia="Arial" w:hAnsi="Arial" w:cs="Times New Roman"/>
                      <w:i/>
                      <w:iCs/>
                    </w:rPr>
                    <w:t xml:space="preserve"> providers to assess, monitor, and track for risk</w:t>
                  </w:r>
                  <w:r w:rsidR="004C02D3">
                    <w:rPr>
                      <w:rFonts w:ascii="Arial" w:eastAsia="Arial" w:hAnsi="Arial" w:cs="Times New Roman"/>
                      <w:i/>
                      <w:iCs/>
                    </w:rPr>
                    <w:t xml:space="preserve"> [</w:t>
                  </w:r>
                  <w:r w:rsidRPr="00E80203">
                    <w:rPr>
                      <w:rFonts w:ascii="Arial" w:eastAsia="Arial" w:hAnsi="Arial" w:cs="Times New Roman"/>
                      <w:i/>
                      <w:iCs/>
                    </w:rPr>
                    <w:t>…</w:t>
                  </w:r>
                  <w:r w:rsidR="004C02D3">
                    <w:rPr>
                      <w:rFonts w:ascii="Arial" w:eastAsia="Arial" w:hAnsi="Arial" w:cs="Times New Roman"/>
                      <w:i/>
                      <w:iCs/>
                    </w:rPr>
                    <w:t>]</w:t>
                  </w:r>
                  <w:r w:rsidRPr="00E80203">
                    <w:rPr>
                      <w:rFonts w:ascii="Arial" w:eastAsia="Arial" w:hAnsi="Arial" w:cs="Times New Roman"/>
                      <w:i/>
                      <w:iCs/>
                    </w:rPr>
                    <w:t xml:space="preserve"> All of that work is held in our case management and individual session so we’re working with men for longer</w:t>
                  </w:r>
                  <w:r w:rsidR="004C02D3">
                    <w:rPr>
                      <w:rFonts w:ascii="Arial" w:eastAsia="Arial" w:hAnsi="Arial" w:cs="Times New Roman"/>
                      <w:i/>
                      <w:iCs/>
                    </w:rPr>
                    <w:t xml:space="preserve"> [</w:t>
                  </w:r>
                  <w:r w:rsidRPr="00E80203">
                    <w:rPr>
                      <w:rFonts w:ascii="Arial" w:eastAsia="Arial" w:hAnsi="Arial" w:cs="Times New Roman"/>
                      <w:i/>
                      <w:iCs/>
                    </w:rPr>
                    <w:t>…</w:t>
                  </w:r>
                  <w:r w:rsidR="004C02D3">
                    <w:rPr>
                      <w:rFonts w:ascii="Arial" w:eastAsia="Arial" w:hAnsi="Arial" w:cs="Times New Roman"/>
                      <w:i/>
                      <w:iCs/>
                    </w:rPr>
                    <w:t>]</w:t>
                  </w:r>
                  <w:r w:rsidRPr="00E80203">
                    <w:rPr>
                      <w:rFonts w:ascii="Arial" w:eastAsia="Arial" w:hAnsi="Arial" w:cs="Times New Roman"/>
                      <w:i/>
                      <w:iCs/>
                    </w:rPr>
                    <w:t xml:space="preserve"> and we’ve got increased accountability from our funders and from</w:t>
                  </w:r>
                  <w:r w:rsidR="004C02D3">
                    <w:rPr>
                      <w:rFonts w:ascii="Arial" w:eastAsia="Arial" w:hAnsi="Arial" w:cs="Times New Roman"/>
                      <w:i/>
                      <w:iCs/>
                    </w:rPr>
                    <w:t xml:space="preserve"> [</w:t>
                  </w:r>
                  <w:r w:rsidRPr="00E80203">
                    <w:rPr>
                      <w:rFonts w:ascii="Arial" w:eastAsia="Arial" w:hAnsi="Arial" w:cs="Times New Roman"/>
                      <w:i/>
                      <w:iCs/>
                    </w:rPr>
                    <w:t>…</w:t>
                  </w:r>
                  <w:r w:rsidR="004C02D3">
                    <w:rPr>
                      <w:rFonts w:ascii="Arial" w:eastAsia="Arial" w:hAnsi="Arial" w:cs="Times New Roman"/>
                      <w:i/>
                      <w:iCs/>
                    </w:rPr>
                    <w:t>]</w:t>
                  </w:r>
                  <w:r w:rsidRPr="00E80203">
                    <w:rPr>
                      <w:rFonts w:ascii="Arial" w:eastAsia="Arial" w:hAnsi="Arial" w:cs="Times New Roman"/>
                      <w:i/>
                      <w:iCs/>
                    </w:rPr>
                    <w:t xml:space="preserve"> the community</w:t>
                  </w:r>
                  <w:r w:rsidR="004C02D3">
                    <w:rPr>
                      <w:rFonts w:ascii="Arial" w:eastAsia="Arial" w:hAnsi="Arial" w:cs="Times New Roman"/>
                      <w:i/>
                      <w:iCs/>
                    </w:rPr>
                    <w:t xml:space="preserve"> [</w:t>
                  </w:r>
                  <w:r w:rsidRPr="00E80203">
                    <w:rPr>
                      <w:rFonts w:ascii="Arial" w:eastAsia="Arial" w:hAnsi="Arial" w:cs="Times New Roman"/>
                      <w:i/>
                      <w:iCs/>
                    </w:rPr>
                    <w:t>…</w:t>
                  </w:r>
                  <w:r w:rsidR="004C02D3">
                    <w:rPr>
                      <w:rFonts w:ascii="Arial" w:eastAsia="Arial" w:hAnsi="Arial" w:cs="Times New Roman"/>
                      <w:i/>
                      <w:iCs/>
                    </w:rPr>
                    <w:t>]</w:t>
                  </w:r>
                  <w:r w:rsidRPr="00E80203">
                    <w:rPr>
                      <w:rFonts w:ascii="Arial" w:eastAsia="Arial" w:hAnsi="Arial" w:cs="Times New Roman"/>
                      <w:i/>
                      <w:iCs/>
                    </w:rPr>
                    <w:t xml:space="preserve"> We want to be able to meet that expectation and do it really well which means that we’re holding men visible in the program for longer which means there’s a backlog</w:t>
                  </w:r>
                  <w:r w:rsidRPr="00DA3350">
                    <w:rPr>
                      <w:rFonts w:ascii="Arial" w:eastAsia="Arial" w:hAnsi="Arial" w:cs="Times New Roman"/>
                      <w:noProof/>
                    </w:rPr>
                    <w:drawing>
                      <wp:anchor distT="0" distB="0" distL="114300" distR="114300" simplePos="0" relativeHeight="251658440" behindDoc="0" locked="1" layoutInCell="1" allowOverlap="1" wp14:anchorId="6A43F1D7" wp14:editId="0F3263FF">
                        <wp:simplePos x="0" y="0"/>
                        <wp:positionH relativeFrom="column">
                          <wp:posOffset>0</wp:posOffset>
                        </wp:positionH>
                        <wp:positionV relativeFrom="paragraph">
                          <wp:posOffset>0</wp:posOffset>
                        </wp:positionV>
                        <wp:extent cx="384810" cy="320040"/>
                        <wp:effectExtent l="0" t="0" r="0" b="3810"/>
                        <wp:wrapNone/>
                        <wp:docPr id="1424224911" name="Graphic 1424224911" descr="P4447#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224911" name="Graphic 1424224911" descr="P4447#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A3350">
                    <w:rPr>
                      <w:rFonts w:ascii="Arial" w:eastAsia="Arial" w:hAnsi="Arial" w:cs="Times New Roman"/>
                      <w:i/>
                      <w:iCs/>
                    </w:rPr>
                    <w:t xml:space="preserve"> </w:t>
                  </w:r>
                  <w:r w:rsidRPr="00DA3350">
                    <w:rPr>
                      <w:rFonts w:ascii="Arial" w:eastAsia="Arial" w:hAnsi="Arial" w:cs="Times New Roman"/>
                      <w:b/>
                      <w:bCs/>
                      <w:i/>
                      <w:iCs/>
                    </w:rPr>
                    <w:t>– FaRS service provider</w:t>
                  </w:r>
                </w:p>
                <w:p w14:paraId="0D408762" w14:textId="77777777" w:rsidR="001A1D5B" w:rsidRDefault="001A1D5B" w:rsidP="001A1D5B">
                  <w:pPr>
                    <w:pStyle w:val="Text"/>
                    <w:rPr>
                      <w:rStyle w:val="Text-Bold"/>
                      <w:b w:val="0"/>
                      <w:bCs/>
                    </w:rPr>
                  </w:pPr>
                </w:p>
                <w:p w14:paraId="2BAA455A" w14:textId="1075DAA0" w:rsidR="00F964FA" w:rsidRPr="0050459F" w:rsidRDefault="00F964FA" w:rsidP="00F964FA">
                  <w:pPr>
                    <w:pStyle w:val="Text"/>
                  </w:pPr>
                  <w:r>
                    <w:rPr>
                      <w:rStyle w:val="Text-Bold"/>
                      <w:b w:val="0"/>
                      <w:bCs/>
                    </w:rPr>
                    <w:t xml:space="preserve">Some SFVS service </w:t>
                  </w:r>
                  <w:r w:rsidRPr="0061795C">
                    <w:rPr>
                      <w:rStyle w:val="Text-Bold"/>
                      <w:b w:val="0"/>
                      <w:bCs/>
                    </w:rPr>
                    <w:t xml:space="preserve">providers </w:t>
                  </w:r>
                  <w:r>
                    <w:rPr>
                      <w:rStyle w:val="Text-Bold"/>
                      <w:b w:val="0"/>
                      <w:bCs/>
                    </w:rPr>
                    <w:t>also highlighted</w:t>
                  </w:r>
                  <w:r w:rsidRPr="0061795C">
                    <w:rPr>
                      <w:rStyle w:val="Text-Bold"/>
                      <w:b w:val="0"/>
                      <w:bCs/>
                    </w:rPr>
                    <w:t xml:space="preserve"> that the </w:t>
                  </w:r>
                  <w:r>
                    <w:rPr>
                      <w:rStyle w:val="Text-Bold"/>
                      <w:b w:val="0"/>
                      <w:bCs/>
                    </w:rPr>
                    <w:t>complexity of caseloads was misaligned with funding allocations, which in turn had the capacity</w:t>
                  </w:r>
                  <w:r w:rsidRPr="0061795C">
                    <w:rPr>
                      <w:rStyle w:val="Text-Bold"/>
                      <w:b w:val="0"/>
                      <w:bCs/>
                    </w:rPr>
                    <w:t xml:space="preserve"> to </w:t>
                  </w:r>
                  <w:r>
                    <w:rPr>
                      <w:rStyle w:val="Text-Bold"/>
                      <w:b w:val="0"/>
                      <w:bCs/>
                    </w:rPr>
                    <w:t>undermine delivery of</w:t>
                  </w:r>
                  <w:r w:rsidRPr="0061795C">
                    <w:rPr>
                      <w:rStyle w:val="Text-Bold"/>
                      <w:b w:val="0"/>
                      <w:bCs/>
                    </w:rPr>
                    <w:t xml:space="preserve"> trauma-informed </w:t>
                  </w:r>
                  <w:r>
                    <w:rPr>
                      <w:rStyle w:val="Text-Bold"/>
                      <w:b w:val="0"/>
                      <w:bCs/>
                    </w:rPr>
                    <w:t>services.</w:t>
                  </w:r>
                  <w:r w:rsidRPr="0061795C">
                    <w:rPr>
                      <w:rStyle w:val="Text-Bold"/>
                      <w:b w:val="0"/>
                      <w:bCs/>
                    </w:rPr>
                    <w:t xml:space="preserve"> </w:t>
                  </w:r>
                  <w:r>
                    <w:rPr>
                      <w:rStyle w:val="Text-Bold"/>
                      <w:b w:val="0"/>
                      <w:bCs/>
                    </w:rPr>
                    <w:t>They</w:t>
                  </w:r>
                  <w:r w:rsidRPr="0061795C">
                    <w:rPr>
                      <w:rStyle w:val="Text-Bold"/>
                      <w:b w:val="0"/>
                      <w:bCs/>
                    </w:rPr>
                    <w:t xml:space="preserve"> emphasised that delivering counselling </w:t>
                  </w:r>
                  <w:r>
                    <w:rPr>
                      <w:rStyle w:val="Text-Bold"/>
                      <w:b w:val="0"/>
                      <w:bCs/>
                    </w:rPr>
                    <w:t>for service users with complex needs</w:t>
                  </w:r>
                  <w:r w:rsidRPr="0061795C">
                    <w:rPr>
                      <w:rStyle w:val="Text-Bold"/>
                      <w:b w:val="0"/>
                      <w:bCs/>
                    </w:rPr>
                    <w:t xml:space="preserve"> </w:t>
                  </w:r>
                  <w:r>
                    <w:rPr>
                      <w:rStyle w:val="Text-Bold"/>
                      <w:b w:val="0"/>
                      <w:bCs/>
                    </w:rPr>
                    <w:t>in particular</w:t>
                  </w:r>
                  <w:r w:rsidRPr="0061795C">
                    <w:rPr>
                      <w:rStyle w:val="Text-Bold"/>
                      <w:b w:val="0"/>
                      <w:bCs/>
                    </w:rPr>
                    <w:t xml:space="preserve"> was time consuming and that it was not reasonable to expect relationship to be established, and issues to be addressed within </w:t>
                  </w:r>
                  <w:r>
                    <w:rPr>
                      <w:rStyle w:val="Text-Bold"/>
                      <w:b w:val="0"/>
                      <w:bCs/>
                    </w:rPr>
                    <w:t xml:space="preserve">such </w:t>
                  </w:r>
                  <w:r w:rsidRPr="0061795C">
                    <w:rPr>
                      <w:rStyle w:val="Text-Bold"/>
                      <w:b w:val="0"/>
                      <w:bCs/>
                    </w:rPr>
                    <w:t xml:space="preserve">a short space of time. </w:t>
                  </w:r>
                </w:p>
                <w:p w14:paraId="3E3349CA" w14:textId="55222AB3" w:rsidR="00F964FA" w:rsidRPr="0050459F" w:rsidRDefault="00F964FA" w:rsidP="00F964FA">
                  <w:pPr>
                    <w:pBdr>
                      <w:left w:val="single" w:sz="18" w:space="4" w:color="78B800"/>
                    </w:pBdr>
                    <w:tabs>
                      <w:tab w:val="left" w:pos="8080"/>
                    </w:tabs>
                    <w:spacing w:after="0"/>
                    <w:ind w:left="851" w:right="949"/>
                    <w:rPr>
                      <w:rFonts w:ascii="Arial" w:eastAsia="Arial" w:hAnsi="Arial" w:cs="Times New Roman"/>
                      <w:b/>
                      <w:bCs/>
                      <w:i/>
                      <w:iCs/>
                    </w:rPr>
                  </w:pPr>
                  <w:r w:rsidRPr="0050459F">
                    <w:rPr>
                      <w:rFonts w:ascii="Arial" w:eastAsia="Arial" w:hAnsi="Arial" w:cs="Times New Roman"/>
                      <w:noProof/>
                    </w:rPr>
                    <w:drawing>
                      <wp:anchor distT="0" distB="0" distL="114300" distR="114300" simplePos="0" relativeHeight="251658441" behindDoc="0" locked="1" layoutInCell="1" allowOverlap="1" wp14:anchorId="5AA3E8C7" wp14:editId="0A1565A9">
                        <wp:simplePos x="0" y="0"/>
                        <wp:positionH relativeFrom="column">
                          <wp:posOffset>0</wp:posOffset>
                        </wp:positionH>
                        <wp:positionV relativeFrom="paragraph">
                          <wp:posOffset>0</wp:posOffset>
                        </wp:positionV>
                        <wp:extent cx="384810" cy="320040"/>
                        <wp:effectExtent l="0" t="0" r="0" b="3810"/>
                        <wp:wrapNone/>
                        <wp:docPr id="686165569" name="Graphic 686165569" descr="P4450#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165569" name="Graphic 686165569" descr="P4450#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0459F">
                    <w:rPr>
                      <w:rFonts w:ascii="Arial" w:eastAsia="Arial" w:hAnsi="Arial" w:cs="Times New Roman"/>
                      <w:i/>
                      <w:iCs/>
                    </w:rPr>
                    <w:t>The brief intervention model [of SFVS] is incredibly limiting, particularly when we’re working with women who have complex post-traumatic stress disorder [</w:t>
                  </w:r>
                  <w:r w:rsidR="00F33F66">
                    <w:rPr>
                      <w:rFonts w:ascii="Arial" w:eastAsia="Arial" w:hAnsi="Arial" w:cs="Times New Roman"/>
                      <w:i/>
                      <w:iCs/>
                    </w:rPr>
                    <w:t>…</w:t>
                  </w:r>
                  <w:r w:rsidRPr="0050459F">
                    <w:rPr>
                      <w:rFonts w:ascii="Arial" w:eastAsia="Arial" w:hAnsi="Arial" w:cs="Times New Roman"/>
                      <w:i/>
                      <w:iCs/>
                    </w:rPr>
                    <w:t>] We find this work is relational [</w:t>
                  </w:r>
                  <w:r w:rsidR="00412DE6">
                    <w:rPr>
                      <w:rFonts w:ascii="Arial" w:eastAsia="Arial" w:hAnsi="Arial" w:cs="Times New Roman"/>
                      <w:i/>
                      <w:iCs/>
                    </w:rPr>
                    <w:t>…</w:t>
                  </w:r>
                  <w:r w:rsidRPr="0050459F">
                    <w:rPr>
                      <w:rFonts w:ascii="Arial" w:eastAsia="Arial" w:hAnsi="Arial" w:cs="Times New Roman"/>
                      <w:i/>
                      <w:iCs/>
                    </w:rPr>
                    <w:t xml:space="preserve">] </w:t>
                  </w:r>
                  <w:r w:rsidR="00906BDF">
                    <w:rPr>
                      <w:rFonts w:ascii="Arial" w:eastAsia="Arial" w:hAnsi="Arial" w:cs="Times New Roman"/>
                      <w:i/>
                      <w:iCs/>
                    </w:rPr>
                    <w:t>i</w:t>
                  </w:r>
                  <w:r w:rsidRPr="0050459F">
                    <w:rPr>
                      <w:rFonts w:ascii="Arial" w:eastAsia="Arial" w:hAnsi="Arial" w:cs="Times New Roman"/>
                      <w:i/>
                      <w:iCs/>
                    </w:rPr>
                    <w:t xml:space="preserve">t’s about providing safety and relationships with these women when they come into this space and often it’s when’s we’re looking at assessments […] getting their story, looking at ways to support them to manage […] and maintain their personal sense of safety, all the things [that] really take a lot more than </w:t>
                  </w:r>
                  <w:r w:rsidR="00F30C0C">
                    <w:rPr>
                      <w:rFonts w:ascii="Arial" w:eastAsia="Arial" w:hAnsi="Arial" w:cs="Times New Roman"/>
                      <w:i/>
                      <w:iCs/>
                    </w:rPr>
                    <w:t>six</w:t>
                  </w:r>
                  <w:r w:rsidR="008C7BAF">
                    <w:rPr>
                      <w:rFonts w:ascii="Arial" w:eastAsia="Arial" w:hAnsi="Arial" w:cs="Times New Roman"/>
                      <w:i/>
                      <w:iCs/>
                    </w:rPr>
                    <w:t xml:space="preserve"> </w:t>
                  </w:r>
                  <w:r w:rsidRPr="0050459F">
                    <w:rPr>
                      <w:rFonts w:ascii="Arial" w:eastAsia="Arial" w:hAnsi="Arial" w:cs="Times New Roman"/>
                      <w:i/>
                      <w:iCs/>
                    </w:rPr>
                    <w:t xml:space="preserve">to </w:t>
                  </w:r>
                  <w:r w:rsidR="00F30C0C">
                    <w:rPr>
                      <w:rFonts w:ascii="Arial" w:eastAsia="Arial" w:hAnsi="Arial" w:cs="Times New Roman"/>
                      <w:i/>
                      <w:iCs/>
                    </w:rPr>
                    <w:t>ten</w:t>
                  </w:r>
                  <w:r w:rsidRPr="0050459F">
                    <w:rPr>
                      <w:rFonts w:ascii="Arial" w:eastAsia="Arial" w:hAnsi="Arial" w:cs="Times New Roman"/>
                      <w:i/>
                      <w:iCs/>
                    </w:rPr>
                    <w:t xml:space="preserve"> sessions</w:t>
                  </w:r>
                  <w:r w:rsidR="00E055C8">
                    <w:rPr>
                      <w:rFonts w:ascii="ZWAdobeF" w:eastAsia="Arial" w:hAnsi="ZWAdobeF" w:cs="ZWAdobeF"/>
                      <w:iCs/>
                      <w:sz w:val="2"/>
                      <w:szCs w:val="2"/>
                    </w:rPr>
                    <w:t>19F</w:t>
                  </w:r>
                  <w:r w:rsidRPr="00F650E2">
                    <w:rPr>
                      <w:rStyle w:val="FootnoteReference"/>
                    </w:rPr>
                    <w:footnoteReference w:id="21"/>
                  </w:r>
                  <w:r w:rsidRPr="0050459F">
                    <w:rPr>
                      <w:rFonts w:ascii="Arial" w:eastAsia="Arial" w:hAnsi="Arial" w:cs="Times New Roman"/>
                      <w:i/>
                      <w:iCs/>
                    </w:rPr>
                    <w:t xml:space="preserve"> </w:t>
                  </w:r>
                  <w:r w:rsidRPr="0050459F">
                    <w:rPr>
                      <w:rFonts w:ascii="Arial" w:eastAsia="Arial" w:hAnsi="Arial" w:cs="Times New Roman"/>
                      <w:b/>
                      <w:bCs/>
                      <w:i/>
                      <w:iCs/>
                    </w:rPr>
                    <w:t>–</w:t>
                  </w:r>
                  <w:r>
                    <w:rPr>
                      <w:rFonts w:ascii="Arial" w:eastAsia="Arial" w:hAnsi="Arial" w:cs="Times New Roman"/>
                      <w:b/>
                      <w:bCs/>
                      <w:i/>
                      <w:iCs/>
                    </w:rPr>
                    <w:t xml:space="preserve"> </w:t>
                  </w:r>
                  <w:r w:rsidRPr="0050459F">
                    <w:rPr>
                      <w:rFonts w:ascii="Arial" w:eastAsia="Arial" w:hAnsi="Arial" w:cs="Times New Roman"/>
                      <w:b/>
                      <w:bCs/>
                      <w:i/>
                      <w:iCs/>
                    </w:rPr>
                    <w:t>SFVS service provider</w:t>
                  </w:r>
                </w:p>
                <w:p w14:paraId="50A297C8" w14:textId="77777777" w:rsidR="00F964FA" w:rsidRDefault="00F964FA" w:rsidP="00F964FA">
                  <w:pPr>
                    <w:pStyle w:val="Text"/>
                    <w:rPr>
                      <w:rStyle w:val="Text-Bold"/>
                      <w:b w:val="0"/>
                      <w:bCs/>
                    </w:rPr>
                  </w:pPr>
                </w:p>
                <w:p w14:paraId="0E3AA7A9" w14:textId="0AEACC2F" w:rsidR="00F964FA" w:rsidRPr="00F964FA" w:rsidRDefault="00F964FA" w:rsidP="00F964FA">
                  <w:pPr>
                    <w:pBdr>
                      <w:left w:val="single" w:sz="18" w:space="4" w:color="78B800" w:themeColor="accent1"/>
                    </w:pBdr>
                    <w:tabs>
                      <w:tab w:val="left" w:pos="8080"/>
                    </w:tabs>
                    <w:spacing w:after="0"/>
                    <w:ind w:left="851" w:right="949"/>
                    <w:rPr>
                      <w:rStyle w:val="Text-Bold"/>
                      <w:b w:val="0"/>
                      <w:i/>
                      <w:iCs/>
                    </w:rPr>
                  </w:pPr>
                  <w:r w:rsidRPr="00093FE6">
                    <w:rPr>
                      <w:noProof/>
                    </w:rPr>
                    <w:drawing>
                      <wp:anchor distT="0" distB="0" distL="114300" distR="114300" simplePos="0" relativeHeight="251658442" behindDoc="0" locked="1" layoutInCell="1" allowOverlap="1" wp14:anchorId="1483A8FC" wp14:editId="2C850B9A">
                        <wp:simplePos x="0" y="0"/>
                        <wp:positionH relativeFrom="column">
                          <wp:posOffset>0</wp:posOffset>
                        </wp:positionH>
                        <wp:positionV relativeFrom="paragraph">
                          <wp:posOffset>0</wp:posOffset>
                        </wp:positionV>
                        <wp:extent cx="384810" cy="320040"/>
                        <wp:effectExtent l="0" t="0" r="0" b="3810"/>
                        <wp:wrapNone/>
                        <wp:docPr id="1317846768" name="Graphic 1317846768" descr="P4452#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846768" name="Graphic 1317846768" descr="P4452#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93FE6">
                    <w:rPr>
                      <w:i/>
                    </w:rPr>
                    <w:t xml:space="preserve">In terms of the family violence work, it's quite complex […] it takes time, but the [FaRS </w:t>
                  </w:r>
                  <w:r>
                    <w:rPr>
                      <w:i/>
                    </w:rPr>
                    <w:t xml:space="preserve">and </w:t>
                  </w:r>
                  <w:r w:rsidRPr="00093FE6">
                    <w:rPr>
                      <w:i/>
                    </w:rPr>
                    <w:t>SFVS] model is […] set up based on the brief intervention</w:t>
                  </w:r>
                  <w:r>
                    <w:rPr>
                      <w:i/>
                    </w:rPr>
                    <w:t xml:space="preserve"> […]</w:t>
                  </w:r>
                  <w:r w:rsidRPr="00093FE6">
                    <w:rPr>
                      <w:i/>
                    </w:rPr>
                    <w:t xml:space="preserve"> </w:t>
                  </w:r>
                  <w:r>
                    <w:rPr>
                      <w:i/>
                    </w:rPr>
                    <w:t>I</w:t>
                  </w:r>
                  <w:r w:rsidRPr="00093FE6">
                    <w:rPr>
                      <w:i/>
                    </w:rPr>
                    <w:t xml:space="preserve">t's </w:t>
                  </w:r>
                  <w:r w:rsidR="00F30C0C">
                    <w:rPr>
                      <w:i/>
                    </w:rPr>
                    <w:t>six</w:t>
                  </w:r>
                  <w:r w:rsidR="008C7BAF">
                    <w:rPr>
                      <w:i/>
                    </w:rPr>
                    <w:t xml:space="preserve"> to </w:t>
                  </w:r>
                  <w:r w:rsidR="00F30C0C">
                    <w:rPr>
                      <w:i/>
                    </w:rPr>
                    <w:t>ten</w:t>
                  </w:r>
                  <w:r w:rsidR="008C7BAF">
                    <w:rPr>
                      <w:i/>
                    </w:rPr>
                    <w:t xml:space="preserve"> session</w:t>
                  </w:r>
                  <w:r w:rsidRPr="00093FE6">
                    <w:rPr>
                      <w:i/>
                    </w:rPr>
                    <w:t xml:space="preserve"> […] and in some cases [the] person </w:t>
                  </w:r>
                  <w:r>
                    <w:rPr>
                      <w:i/>
                    </w:rPr>
                    <w:t>[…]</w:t>
                  </w:r>
                  <w:r w:rsidRPr="00093FE6">
                    <w:rPr>
                      <w:i/>
                    </w:rPr>
                    <w:t xml:space="preserve"> may be entering general [FaRS] counselling and then disclose they're experiencing family violence so all of a sudden under [state-based family violence risk assessment framework] […] you have to respond to family violence and do the risk assessments […]</w:t>
                  </w:r>
                  <w:r>
                    <w:rPr>
                      <w:i/>
                    </w:rPr>
                    <w:t xml:space="preserve"> </w:t>
                  </w:r>
                  <w:r w:rsidRPr="00093FE6">
                    <w:rPr>
                      <w:i/>
                    </w:rPr>
                    <w:t xml:space="preserve">In this </w:t>
                  </w:r>
                  <w:r w:rsidRPr="00093FE6">
                    <w:rPr>
                      <w:i/>
                      <w:iCs/>
                    </w:rPr>
                    <w:t>program […]</w:t>
                  </w:r>
                  <w:r w:rsidRPr="00093FE6">
                    <w:rPr>
                      <w:i/>
                    </w:rPr>
                    <w:t xml:space="preserve"> you get what you get and then [counsellors] have to […] take responsibility either of case management, counselling, a bit of a family work as well in such a brief intervention space. </w:t>
                  </w:r>
                  <w:r>
                    <w:rPr>
                      <w:i/>
                    </w:rPr>
                    <w:t>[…]</w:t>
                  </w:r>
                  <w:r w:rsidRPr="00093FE6">
                    <w:rPr>
                      <w:i/>
                    </w:rPr>
                    <w:t xml:space="preserve"> </w:t>
                  </w:r>
                  <w:r>
                    <w:rPr>
                      <w:i/>
                    </w:rPr>
                    <w:t>W</w:t>
                  </w:r>
                  <w:r w:rsidRPr="00093FE6">
                    <w:rPr>
                      <w:i/>
                    </w:rPr>
                    <w:t xml:space="preserve">ith such a small </w:t>
                  </w:r>
                  <w:r w:rsidRPr="00093FE6">
                    <w:rPr>
                      <w:i/>
                      <w:iCs/>
                    </w:rPr>
                    <w:t>FTE</w:t>
                  </w:r>
                  <w:r w:rsidRPr="00093FE6">
                    <w:rPr>
                      <w:i/>
                    </w:rPr>
                    <w:t xml:space="preserve"> for us to actually even incorporate [victim survivors</w:t>
                  </w:r>
                  <w:r>
                    <w:rPr>
                      <w:i/>
                    </w:rPr>
                    <w:t xml:space="preserve"> lived experience</w:t>
                  </w:r>
                  <w:r w:rsidRPr="00093FE6">
                    <w:rPr>
                      <w:i/>
                    </w:rPr>
                    <w:t>]</w:t>
                  </w:r>
                  <w:r>
                    <w:rPr>
                      <w:i/>
                    </w:rPr>
                    <w:t xml:space="preserve"> and</w:t>
                  </w:r>
                  <w:r w:rsidRPr="00093FE6">
                    <w:rPr>
                      <w:i/>
                      <w:iCs/>
                    </w:rPr>
                    <w:t xml:space="preserve"> […],</w:t>
                  </w:r>
                  <w:r w:rsidRPr="00093FE6">
                    <w:rPr>
                      <w:i/>
                    </w:rPr>
                    <w:t xml:space="preserve"> apply the learnings</w:t>
                  </w:r>
                  <w:r w:rsidRPr="00093FE6">
                    <w:rPr>
                      <w:i/>
                      <w:iCs/>
                    </w:rPr>
                    <w:t xml:space="preserve"> […] </w:t>
                  </w:r>
                  <w:r w:rsidRPr="00093FE6">
                    <w:rPr>
                      <w:i/>
                    </w:rPr>
                    <w:t>to enhance the service [is difficult]</w:t>
                  </w:r>
                  <w:r w:rsidRPr="00093FE6">
                    <w:rPr>
                      <w:i/>
                      <w:iCs/>
                    </w:rPr>
                    <w:t xml:space="preserve"> </w:t>
                  </w:r>
                  <w:r w:rsidRPr="00093FE6">
                    <w:rPr>
                      <w:b/>
                      <w:bCs/>
                      <w:i/>
                      <w:iCs/>
                    </w:rPr>
                    <w:t>–</w:t>
                  </w:r>
                  <w:r w:rsidRPr="00093FE6">
                    <w:rPr>
                      <w:b/>
                      <w:i/>
                    </w:rPr>
                    <w:t xml:space="preserve"> FaRS service provider</w:t>
                  </w:r>
                </w:p>
                <w:p w14:paraId="0CB60D4A" w14:textId="77777777" w:rsidR="00012B76" w:rsidRDefault="00012B76" w:rsidP="002471D7">
                  <w:pPr>
                    <w:pStyle w:val="Text"/>
                    <w:rPr>
                      <w:rStyle w:val="Text-Bold"/>
                      <w:b w:val="0"/>
                      <w:bCs/>
                    </w:rPr>
                  </w:pPr>
                </w:p>
                <w:p w14:paraId="1DF202FD" w14:textId="020D69F3" w:rsidR="001A1D5B" w:rsidRPr="002471D7" w:rsidRDefault="00016B25" w:rsidP="002471D7">
                  <w:pPr>
                    <w:pStyle w:val="Text"/>
                    <w:rPr>
                      <w:bCs/>
                    </w:rPr>
                  </w:pPr>
                  <w:r>
                    <w:rPr>
                      <w:rStyle w:val="Text-Bold"/>
                      <w:b w:val="0"/>
                      <w:bCs/>
                    </w:rPr>
                    <w:t>S</w:t>
                  </w:r>
                  <w:r w:rsidR="001A1D5B" w:rsidRPr="007E3BB4">
                    <w:rPr>
                      <w:rStyle w:val="Text-Bold"/>
                      <w:b w:val="0"/>
                      <w:bCs/>
                    </w:rPr>
                    <w:t xml:space="preserve">ome </w:t>
                  </w:r>
                  <w:r w:rsidR="001A1D5B">
                    <w:rPr>
                      <w:rStyle w:val="Text-Bold"/>
                      <w:b w:val="0"/>
                      <w:bCs/>
                    </w:rPr>
                    <w:t xml:space="preserve">FaRS and SFVS </w:t>
                  </w:r>
                  <w:r w:rsidR="001A1D5B" w:rsidRPr="007E3BB4">
                    <w:rPr>
                      <w:rStyle w:val="Text-Bold"/>
                      <w:b w:val="0"/>
                      <w:bCs/>
                    </w:rPr>
                    <w:t>service provider staff call</w:t>
                  </w:r>
                  <w:r w:rsidR="001A1D5B">
                    <w:rPr>
                      <w:rStyle w:val="Text-Bold"/>
                      <w:b w:val="0"/>
                      <w:bCs/>
                    </w:rPr>
                    <w:t>ed</w:t>
                  </w:r>
                  <w:r w:rsidR="001A1D5B" w:rsidRPr="007E3BB4">
                    <w:rPr>
                      <w:rStyle w:val="Text-Bold"/>
                      <w:b w:val="0"/>
                      <w:bCs/>
                    </w:rPr>
                    <w:t xml:space="preserve"> for the</w:t>
                  </w:r>
                  <w:r w:rsidR="001A1D5B">
                    <w:rPr>
                      <w:rStyle w:val="Text-Bold"/>
                      <w:b w:val="0"/>
                      <w:bCs/>
                    </w:rPr>
                    <w:t xml:space="preserve"> program</w:t>
                  </w:r>
                  <w:r w:rsidR="001A1D5B" w:rsidRPr="007E3BB4">
                    <w:rPr>
                      <w:rStyle w:val="Text-Bold"/>
                      <w:b w:val="0"/>
                      <w:bCs/>
                    </w:rPr>
                    <w:t xml:space="preserve"> model to shift to </w:t>
                  </w:r>
                  <w:r w:rsidR="001A1D5B">
                    <w:rPr>
                      <w:rStyle w:val="Text-Bold"/>
                      <w:b w:val="0"/>
                      <w:bCs/>
                    </w:rPr>
                    <w:t xml:space="preserve">accommodate </w:t>
                  </w:r>
                  <w:r w:rsidR="001A1D5B" w:rsidRPr="007E3BB4">
                    <w:rPr>
                      <w:rStyle w:val="Text-Bold"/>
                      <w:b w:val="0"/>
                      <w:bCs/>
                    </w:rPr>
                    <w:t>long-term, case management approach</w:t>
                  </w:r>
                  <w:r w:rsidR="001A1D5B">
                    <w:rPr>
                      <w:rStyle w:val="Text-Bold"/>
                      <w:b w:val="0"/>
                      <w:bCs/>
                    </w:rPr>
                    <w:t>es</w:t>
                  </w:r>
                  <w:r w:rsidR="001A1D5B" w:rsidRPr="007E3BB4">
                    <w:rPr>
                      <w:rStyle w:val="Text-Bold"/>
                      <w:b w:val="0"/>
                      <w:bCs/>
                    </w:rPr>
                    <w:t xml:space="preserve"> to more effectively and sustainably support high-needs </w:t>
                  </w:r>
                  <w:r w:rsidR="00E614D3">
                    <w:rPr>
                      <w:rStyle w:val="Text-Bold"/>
                      <w:b w:val="0"/>
                      <w:bCs/>
                    </w:rPr>
                    <w:t>service users</w:t>
                  </w:r>
                  <w:r w:rsidR="001A1D5B" w:rsidRPr="007E3BB4">
                    <w:rPr>
                      <w:rStyle w:val="Text-Bold"/>
                      <w:b w:val="0"/>
                      <w:bCs/>
                    </w:rPr>
                    <w:t>, in line with identified best practice (Wendt et al., 2021a). Current funding arrangements, as well as DEX and AWP reporting requirements, do not adequately capture or support this shift in practice – particularly given that FaRS and SFVS do not provide brokerage funding for crisis-level support (Pelkowitz et al., 2023). SFVS in particular was noted as having an inappropriate model for the sustained, intensive support needed by some service users (Wendt et al., 2021a) with</w:t>
                  </w:r>
                  <w:r w:rsidR="001A1D5B">
                    <w:rPr>
                      <w:rStyle w:val="Text-Bold"/>
                      <w:b w:val="0"/>
                      <w:bCs/>
                    </w:rPr>
                    <w:t xml:space="preserve"> </w:t>
                  </w:r>
                  <w:r w:rsidR="000558B0">
                    <w:rPr>
                      <w:rStyle w:val="Text-Bold"/>
                      <w:b w:val="0"/>
                      <w:bCs/>
                    </w:rPr>
                    <w:t>many</w:t>
                  </w:r>
                  <w:r w:rsidR="001A1D5B">
                    <w:rPr>
                      <w:rStyle w:val="Text-Bold"/>
                      <w:b w:val="0"/>
                      <w:bCs/>
                    </w:rPr>
                    <w:t xml:space="preserve"> service provider</w:t>
                  </w:r>
                  <w:r w:rsidR="00EB04E6">
                    <w:rPr>
                      <w:rStyle w:val="Text-Bold"/>
                      <w:b w:val="0"/>
                      <w:bCs/>
                    </w:rPr>
                    <w:t>s</w:t>
                  </w:r>
                  <w:r w:rsidR="001A1D5B">
                    <w:rPr>
                      <w:rStyle w:val="Text-Bold"/>
                      <w:b w:val="0"/>
                      <w:bCs/>
                    </w:rPr>
                    <w:t xml:space="preserve"> </w:t>
                  </w:r>
                  <w:r w:rsidR="001A1D5B" w:rsidRPr="007E3BB4">
                    <w:rPr>
                      <w:rStyle w:val="Text-Bold"/>
                      <w:b w:val="0"/>
                      <w:bCs/>
                    </w:rPr>
                    <w:t>limit</w:t>
                  </w:r>
                  <w:r w:rsidR="000558B0">
                    <w:rPr>
                      <w:rStyle w:val="Text-Bold"/>
                      <w:b w:val="0"/>
                      <w:bCs/>
                    </w:rPr>
                    <w:t>ing the number of sessions available to an individual service user</w:t>
                  </w:r>
                  <w:r w:rsidR="001A1D5B" w:rsidRPr="007E3BB4">
                    <w:rPr>
                      <w:rStyle w:val="Text-Bold"/>
                      <w:b w:val="0"/>
                      <w:bCs/>
                    </w:rPr>
                    <w:t xml:space="preserve"> to </w:t>
                  </w:r>
                  <w:r w:rsidR="008C7BAF">
                    <w:rPr>
                      <w:rStyle w:val="Text-Bold"/>
                      <w:b w:val="0"/>
                      <w:bCs/>
                    </w:rPr>
                    <w:t>6</w:t>
                  </w:r>
                  <w:r w:rsidR="001A1D5B" w:rsidRPr="007E3BB4">
                    <w:rPr>
                      <w:rStyle w:val="Text-Bold"/>
                      <w:b w:val="0"/>
                      <w:bCs/>
                    </w:rPr>
                    <w:t xml:space="preserve"> to </w:t>
                  </w:r>
                  <w:r w:rsidR="008C7BAF">
                    <w:rPr>
                      <w:rStyle w:val="Text-Bold"/>
                      <w:b w:val="0"/>
                      <w:bCs/>
                    </w:rPr>
                    <w:t>10</w:t>
                  </w:r>
                  <w:r w:rsidR="001A1D5B" w:rsidRPr="007E3BB4">
                    <w:rPr>
                      <w:rStyle w:val="Text-Bold"/>
                      <w:b w:val="0"/>
                      <w:bCs/>
                    </w:rPr>
                    <w:t xml:space="preserve"> sessions. </w:t>
                  </w:r>
                </w:p>
                <w:p w14:paraId="02BEAAB4" w14:textId="69D3938B" w:rsidR="00EE0ECD" w:rsidRPr="000A79B3" w:rsidRDefault="00E22D67" w:rsidP="005674C7">
                  <w:pPr>
                    <w:pStyle w:val="Text"/>
                  </w:pPr>
                  <w:r>
                    <w:t>Overall, the</w:t>
                  </w:r>
                  <w:r w:rsidR="001A1D5B" w:rsidRPr="00A168FC">
                    <w:t xml:space="preserve"> brief intervention model</w:t>
                  </w:r>
                  <w:r>
                    <w:t xml:space="preserve"> of FaRS and SFVS</w:t>
                  </w:r>
                  <w:r w:rsidR="001A1D5B" w:rsidRPr="00A168FC">
                    <w:t xml:space="preserve"> </w:t>
                  </w:r>
                  <w:r w:rsidR="00D0241F" w:rsidRPr="00323C72">
                    <w:t>– arising from the need to meet demand within prescribed funding amounts -</w:t>
                  </w:r>
                  <w:r w:rsidR="00D0241F" w:rsidRPr="00A168FC">
                    <w:t xml:space="preserve"> </w:t>
                  </w:r>
                  <w:r w:rsidR="001A1D5B" w:rsidRPr="00A168FC">
                    <w:t>sits in tension with shifting service user</w:t>
                  </w:r>
                  <w:r w:rsidR="001A1D5B" w:rsidRPr="00400EF5">
                    <w:t xml:space="preserve"> demands and expectations and identified best practice around holistic, care delivery which requires more intensive, long-term supports in some instances. </w:t>
                  </w:r>
                </w:p>
                <w:p w14:paraId="054B1393" w14:textId="77777777" w:rsidR="005674C7" w:rsidRPr="000C09BF" w:rsidRDefault="005674C7" w:rsidP="00321BC5">
                  <w:pPr>
                    <w:pStyle w:val="Text"/>
                    <w:spacing w:before="360"/>
                  </w:pPr>
                  <w:r w:rsidRPr="00321BC5">
                    <w:rPr>
                      <w:b/>
                      <w:color w:val="36424A" w:themeColor="background2"/>
                    </w:rPr>
                    <w:t xml:space="preserve">Funding shortfalls limiting flexibility and innovation </w:t>
                  </w:r>
                </w:p>
                <w:p w14:paraId="4E5DF0B6" w14:textId="435763A0" w:rsidR="001C5C8A" w:rsidRDefault="001C5C8A" w:rsidP="005674C7">
                  <w:pPr>
                    <w:pStyle w:val="Text"/>
                    <w:rPr>
                      <w:rStyle w:val="Text-Bold"/>
                      <w:b w:val="0"/>
                    </w:rPr>
                  </w:pPr>
                  <w:r>
                    <w:t>The literature highlights that without</w:t>
                  </w:r>
                  <w:r w:rsidR="008C59B2" w:rsidRPr="0094447D">
                    <w:t xml:space="preserve"> outcome-based funding, services struggle to implement comprehensive, customised support, and often lack resources for community partnerships, specialised staff training, and program evaluation </w:t>
                  </w:r>
                  <w:r w:rsidR="008C59B2" w:rsidRPr="0094447D">
                    <w:fldChar w:fldCharType="begin"/>
                  </w:r>
                  <w:r w:rsidR="00E41D03">
                    <w:instrText xml:space="preserve"> ADDIN ZOTERO_ITEM CSL_CITATION {"citationID":"wz19BOkg","properties":{"formattedCitation":"(Honisett et al., 2022; Kulkarni, 2019)","plainCitation":"(Honisett et al., 2022; Kulkarni, 2019)","noteIndex":0},"citationItems":[{"id":4721,"uris":["http://zotero.org/groups/5691188/items/W9BNSM2E"],"itemData":{"id":4721,"type":"article-journal","abstract":"Objectives: Explore the feasibility of an integrated Child and Family Hub within Victorian Community Health Services (CHS) to identify and respond to family adversities as preventable determinants of child mental health problems.\nMethods: Thirteen Victorian CHS staff and government policy makers (PMs), recruited via snowball sampling, participated in semi-structured interviews exploring: 1) barriers and facilitators for implementing a hub; 2) feasibility of a proposed integrated hub; and 3) resources needed to scale and sustain a hub. Transcripts were analysed employing framework analysis.\nResults: 1) Barriers included inadequate and activity-based funding, inability to fund community paediatricians and inadequate workforce competencies. Facilitators included CHS engagement with vulnerable communities and readiness to act. 2) The proposed hub model was identified as feasible to implement. Local co-design, co-location, and virtual delivery would support hub implementation. 3) To sustainably scale a hub, clear policy leadership and workforce and funding model reviews are needed.\nConclusions: A hub was perceived as feasible when based in CHS; however, local and systemwide issues need consideration to support its sustainable scaling. Implications for public health: Findings will inform the scaling of hub models of care across Victoria and other states to potentially optimise broader child and family health outcomes.","container-title":"Australian and New Zealand Journal of Public Health","DOI":"10.1111/1753-6405.13292","ISSN":"13260200","issue":"6","journalAbbreviation":"Australian and New Zealand Journal of Public Health","language":"en","page":"784-793","source":"DOI.org (Crossref)","title":"The feasibility of a Child and Family Hub within Victorian Community Health Services: a qualitative study","title-short":"The feasibility of a Child and Family Hub within Victorian Community Health Services","volume":"46","author":[{"family":"Honisett","given":"Suzy"},{"family":"Hall","given":"Teresa"},{"family":"Hiscock","given":"Harriet"},{"family":"Goldfeld","given":"Sharon"}],"issued":{"date-parts":[["2022",12]]}}},{"id":4574,"uris":["http://zotero.org/groups/5691188/items/TZPFHZIQ"],"itemData":{"id":4574,"type":"article-journal","abstract":"Over the past 50 years, programs serving intimate partner violence (IPV) survivors have expanded nationally. However, despite IPV program growth service gaps remain, particularly for the most marginalized and vulnerable survivor populations. Emerging practice models call for reimagining current IPV service delivery within an intersectional feminist, trauma-informed framework. An overview of intersectional (e.g. survivor-centered, full-frame, culturally specific) and trauma-informed IPV service approaches will be presented highlighting their shared emphasis on power sharing, authentic survivor-advocate relationships, individualized services, and robust systems advocacy. These approaches have the potential to transform IPV services and narrow service gaps if organizations can embed key elements into program design, implementation and evaluation processes. Recommendations for moving the IPV field forward include: 1) expanding survivors’ roles/input; 2) strengthening funding streams and organizational commitment to antioppressive, survivor-defined, trauma-informed services; 3) forging cross-sector advocacy relationships; and 4) building knowledge through research and evaluation.","container-title":"Journal of Family Violence","DOI":"10.1007/s10896-018-0001-5","ISSN":"0885-7482, 1573-2851","issue":"1","journalAbbreviation":"J Fam Viol","language":"en","page":"55-64","source":"DOI.org (Crossref)","title":"Intersectional Trauma-Informed Intimate Partner Violence (IPV) Services: Narrowing the Gap between IPV Service Delivery and Survivor Needs","title-short":"Intersectional Trauma-Informed Intimate Partner Violence (IPV) Services","volume":"34","author":[{"family":"Kulkarni","given":"Shanti"}],"issued":{"date-parts":[["2019",1,15]]}}}],"schema":"https://github.com/citation-style-language/schema/raw/master/csl-citation.json"} </w:instrText>
                  </w:r>
                  <w:r w:rsidR="008C59B2" w:rsidRPr="0094447D">
                    <w:fldChar w:fldCharType="separate"/>
                  </w:r>
                  <w:r w:rsidR="008C59B2" w:rsidRPr="0094447D">
                    <w:t>(Honisett et al., 2022; Kulkarni, 2019)</w:t>
                  </w:r>
                  <w:r w:rsidR="008C59B2" w:rsidRPr="0094447D">
                    <w:fldChar w:fldCharType="end"/>
                  </w:r>
                  <w:r w:rsidR="008C59B2">
                    <w:t xml:space="preserve">. </w:t>
                  </w:r>
                  <w:r w:rsidR="000A0B58">
                    <w:rPr>
                      <w:rStyle w:val="Text-Bold"/>
                      <w:b w:val="0"/>
                    </w:rPr>
                    <w:t>Insufficient funding reduces</w:t>
                  </w:r>
                  <w:r w:rsidR="005674C7" w:rsidRPr="00C707CA">
                    <w:rPr>
                      <w:rStyle w:val="Text-Bold"/>
                      <w:b w:val="0"/>
                    </w:rPr>
                    <w:t xml:space="preserve"> the flexibility and efficacy of service delivery</w:t>
                  </w:r>
                  <w:r w:rsidR="005674C7">
                    <w:rPr>
                      <w:rStyle w:val="Text-Bold"/>
                      <w:b w:val="0"/>
                    </w:rPr>
                    <w:t xml:space="preserve"> </w:t>
                  </w:r>
                  <w:r w:rsidR="005674C7" w:rsidRPr="00C00F57">
                    <w:rPr>
                      <w:rStyle w:val="Text-Bold"/>
                      <w:b w:val="0"/>
                    </w:rPr>
                    <w:fldChar w:fldCharType="begin"/>
                  </w:r>
                  <w:r w:rsidR="00E41D03">
                    <w:rPr>
                      <w:rStyle w:val="Text-Bold"/>
                      <w:b w:val="0"/>
                    </w:rPr>
                    <w:instrText xml:space="preserve"> ADDIN ZOTERO_ITEM CSL_CITATION {"citationID":"a2hiudrrrmi","properties":{"formattedCitation":"(Honisett et al., 2022; Kulkarni, 2019)","plainCitation":"(Honisett et al., 2022; Kulkarni, 2019)","noteIndex":0},"citationItems":[{"id":4721,"uris":["http://zotero.org/groups/5691188/items/W9BNSM2E"],"itemData":{"id":4721,"type":"article-journal","abstract":"Objectives: Explore the feasibility of an integrated Child and Family Hub within Victorian Community Health Services (CHS) to identify and respond to family adversities as preventable determinants of child mental health problems.\nMethods: Thirteen Victorian CHS staff and government policy makers (PMs), recruited via snowball sampling, participated in semi-structured interviews exploring: 1) barriers and facilitators for implementing a hub; 2) feasibility of a proposed integrated hub; and 3) resources needed to scale and sustain a hub. Transcripts were analysed employing framework analysis.\nResults: 1) Barriers included inadequate and activity-based funding, inability to fund community paediatricians and inadequate workforce competencies. Facilitators included CHS engagement with vulnerable communities and readiness to act. 2) The proposed hub model was identified as feasible to implement. Local co-design, co-location, and virtual delivery would support hub implementation. 3) To sustainably scale a hub, clear policy leadership and workforce and funding model reviews are needed.\nConclusions: A hub was perceived as feasible when based in CHS; however, local and systemwide issues need consideration to support its sustainable scaling. Implications for public health: Findings will inform the scaling of hub models of care across Victoria and other states to potentially optimise broader child and family health outcomes.","container-title":"Australian and New Zealand Journal of Public Health","DOI":"10.1111/1753-6405.13292","ISSN":"13260200","issue":"6","journalAbbreviation":"Australian and New Zealand Journal of Public Health","language":"en","page":"784-793","source":"DOI.org (Crossref)","title":"The feasibility of a Child and Family Hub within Victorian Community Health Services: a qualitative study","title-short":"The feasibility of a Child and Family Hub within Victorian Community Health Services","volume":"46","author":[{"family":"Honisett","given":"Suzy"},{"family":"Hall","given":"Teresa"},{"family":"Hiscock","given":"Harriet"},{"family":"Goldfeld","given":"Sharon"}],"issued":{"date-parts":[["2022",12]]}}},{"id":4574,"uris":["http://zotero.org/groups/5691188/items/TZPFHZIQ"],"itemData":{"id":4574,"type":"article-journal","abstract":"Over the past 50 years, programs serving intimate partner violence (IPV) survivors have expanded nationally. However, despite IPV program growth service gaps remain, particularly for the most marginalized and vulnerable survivor populations. Emerging practice models call for reimagining current IPV service delivery within an intersectional feminist, trauma-informed framework. An overview of intersectional (e.g. survivor-centered, full-frame, culturally specific) and trauma-informed IPV service approaches will be presented highlighting their shared emphasis on power sharing, authentic survivor-advocate relationships, individualized services, and robust systems advocacy. These approaches have the potential to transform IPV services and narrow service gaps if organizations can embed key elements into program design, implementation and evaluation processes. Recommendations for moving the IPV field forward include: 1) expanding survivors’ roles/input; 2) strengthening funding streams and organizational commitment to antioppressive, survivor-defined, trauma-informed services; 3) forging cross-sector advocacy relationships; and 4) building knowledge through research and evaluation.","container-title":"Journal of Family Violence","DOI":"10.1007/s10896-018-0001-5","ISSN":"0885-7482, 1573-2851","issue":"1","journalAbbreviation":"J Fam Viol","language":"en","page":"55-64","source":"DOI.org (Crossref)","title":"Intersectional Trauma-Informed Intimate Partner Violence (IPV) Services: Narrowing the Gap between IPV Service Delivery and Survivor Needs","title-short":"Intersectional Trauma-Informed Intimate Partner Violence (IPV) Services","volume":"34","author":[{"family":"Kulkarni","given":"Shanti"}],"issued":{"date-parts":[["2019",1,15]]}}}],"schema":"https://github.com/citation-style-language/schema/raw/master/csl-citation.json"} </w:instrText>
                  </w:r>
                  <w:r w:rsidR="005674C7" w:rsidRPr="00C00F57">
                    <w:rPr>
                      <w:rStyle w:val="Text-Bold"/>
                      <w:b w:val="0"/>
                    </w:rPr>
                    <w:fldChar w:fldCharType="separate"/>
                  </w:r>
                  <w:r w:rsidR="00AC138C" w:rsidRPr="00AC138C">
                    <w:rPr>
                      <w:rFonts w:ascii="Arial" w:hAnsi="Arial" w:cs="Arial"/>
                    </w:rPr>
                    <w:t>(Honisett et al., 2022; Kulkarni, 2019)</w:t>
                  </w:r>
                  <w:r w:rsidR="005674C7" w:rsidRPr="00C00F57">
                    <w:rPr>
                      <w:rStyle w:val="Text-Bold"/>
                      <w:b w:val="0"/>
                    </w:rPr>
                    <w:fldChar w:fldCharType="end"/>
                  </w:r>
                  <w:r w:rsidR="005674C7" w:rsidRPr="00C00F57">
                    <w:rPr>
                      <w:rStyle w:val="Text-Bold"/>
                      <w:b w:val="0"/>
                    </w:rPr>
                    <w:t>.</w:t>
                  </w:r>
                  <w:r w:rsidR="005674C7">
                    <w:t xml:space="preserve"> </w:t>
                  </w:r>
                  <w:r w:rsidR="000A0B58">
                    <w:t>This was reflected in q</w:t>
                  </w:r>
                  <w:r>
                    <w:t xml:space="preserve">ualitative data </w:t>
                  </w:r>
                  <w:r w:rsidR="000A0B58">
                    <w:t>which shows</w:t>
                  </w:r>
                  <w:r>
                    <w:t xml:space="preserve"> that </w:t>
                  </w:r>
                  <w:r>
                    <w:rPr>
                      <w:rStyle w:val="Text-Bold"/>
                      <w:b w:val="0"/>
                    </w:rPr>
                    <w:t>t</w:t>
                  </w:r>
                  <w:r w:rsidR="005674C7" w:rsidRPr="00C707CA">
                    <w:rPr>
                      <w:rStyle w:val="Text-Bold"/>
                      <w:b w:val="0"/>
                    </w:rPr>
                    <w:t>he capacity of service providers to capitalise on the flexibility of the FaRS</w:t>
                  </w:r>
                  <w:r w:rsidR="00CF2C20">
                    <w:rPr>
                      <w:rStyle w:val="Text-Bold"/>
                      <w:b w:val="0"/>
                    </w:rPr>
                    <w:t xml:space="preserve"> and</w:t>
                  </w:r>
                  <w:r w:rsidR="005674C7" w:rsidRPr="00C707CA">
                    <w:rPr>
                      <w:rStyle w:val="Text-Bold"/>
                      <w:b w:val="0"/>
                    </w:rPr>
                    <w:t xml:space="preserve"> SFVS model varied depending on the extent of FaRS </w:t>
                  </w:r>
                  <w:r w:rsidR="00CF2C20">
                    <w:rPr>
                      <w:rStyle w:val="Text-Bold"/>
                      <w:b w:val="0"/>
                    </w:rPr>
                    <w:t xml:space="preserve">and </w:t>
                  </w:r>
                  <w:r w:rsidR="005674C7" w:rsidRPr="00C707CA">
                    <w:rPr>
                      <w:rStyle w:val="Text-Bold"/>
                      <w:b w:val="0"/>
                    </w:rPr>
                    <w:t xml:space="preserve">SFVS funding, funding from other sources, and ability to refer to and collaborate with local services to support service delivery. </w:t>
                  </w:r>
                </w:p>
                <w:p w14:paraId="2C3AAA6C" w14:textId="7E0E4267" w:rsidR="005674C7" w:rsidRDefault="00D20961" w:rsidP="005674C7">
                  <w:pPr>
                    <w:pStyle w:val="Text"/>
                    <w:rPr>
                      <w:rStyle w:val="Text-Bold"/>
                      <w:b w:val="0"/>
                    </w:rPr>
                  </w:pPr>
                  <w:r w:rsidRPr="009932AE">
                    <w:t xml:space="preserve">Service providers varied in their reliance on FaRS and/or SFVS funding. Some identified it as core funding, </w:t>
                  </w:r>
                  <w:r w:rsidR="00CA586F">
                    <w:t>while</w:t>
                  </w:r>
                  <w:r w:rsidRPr="009932AE">
                    <w:t xml:space="preserve"> for others it formed only a small portion of their service offering</w:t>
                  </w:r>
                  <w:r>
                    <w:t xml:space="preserve">. Many </w:t>
                  </w:r>
                  <w:r>
                    <w:lastRenderedPageBreak/>
                    <w:t>service providers highlighted that</w:t>
                  </w:r>
                  <w:r w:rsidRPr="00BA29CC">
                    <w:t xml:space="preserve"> funding was inadequate to cover the extent of need for support in their are</w:t>
                  </w:r>
                  <w:r>
                    <w:t xml:space="preserve">a. </w:t>
                  </w:r>
                </w:p>
                <w:p w14:paraId="61A8B7AA" w14:textId="3F854DE3" w:rsidR="005674C7" w:rsidRPr="00781B04" w:rsidRDefault="005674C7" w:rsidP="005674C7">
                  <w:pPr>
                    <w:pBdr>
                      <w:left w:val="single" w:sz="18" w:space="4" w:color="78B800"/>
                    </w:pBdr>
                    <w:tabs>
                      <w:tab w:val="left" w:pos="8080"/>
                    </w:tabs>
                    <w:spacing w:after="0"/>
                    <w:ind w:left="851" w:right="949"/>
                    <w:rPr>
                      <w:rFonts w:ascii="Arial" w:eastAsia="Arial" w:hAnsi="Arial" w:cs="Times New Roman"/>
                      <w:b/>
                      <w:bCs/>
                      <w:i/>
                    </w:rPr>
                  </w:pPr>
                  <w:r w:rsidRPr="00734340">
                    <w:rPr>
                      <w:rFonts w:ascii="Arial" w:eastAsia="Arial" w:hAnsi="Arial" w:cs="Times New Roman"/>
                      <w:noProof/>
                    </w:rPr>
                    <w:drawing>
                      <wp:anchor distT="0" distB="0" distL="114300" distR="114300" simplePos="0" relativeHeight="251658443" behindDoc="0" locked="1" layoutInCell="1" allowOverlap="1" wp14:anchorId="652DF6DE" wp14:editId="2C48CBBB">
                        <wp:simplePos x="0" y="0"/>
                        <wp:positionH relativeFrom="column">
                          <wp:posOffset>0</wp:posOffset>
                        </wp:positionH>
                        <wp:positionV relativeFrom="paragraph">
                          <wp:posOffset>0</wp:posOffset>
                        </wp:positionV>
                        <wp:extent cx="384810" cy="320040"/>
                        <wp:effectExtent l="0" t="0" r="0" b="3810"/>
                        <wp:wrapNone/>
                        <wp:docPr id="330328173" name="Graphic 330328173" descr="P4459#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328173" name="Graphic 330328173" descr="P4459#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34340">
                    <w:rPr>
                      <w:rFonts w:ascii="Arial" w:eastAsia="Arial" w:hAnsi="Arial" w:cs="Times New Roman"/>
                      <w:i/>
                      <w:iCs/>
                    </w:rPr>
                    <w:t xml:space="preserve"> […] the need to do more with less is a real challenge when you are trying to do therapeutic work […] We are getting more of what I call hamburgers with the lot</w:t>
                  </w:r>
                  <w:r>
                    <w:rPr>
                      <w:rFonts w:ascii="Arial" w:eastAsia="Arial" w:hAnsi="Arial" w:cs="Times New Roman"/>
                      <w:i/>
                      <w:iCs/>
                    </w:rPr>
                    <w:t xml:space="preserve"> </w:t>
                  </w:r>
                  <w:r w:rsidRPr="00734340">
                    <w:rPr>
                      <w:rFonts w:ascii="Arial" w:eastAsia="Arial" w:hAnsi="Arial" w:cs="Times New Roman"/>
                      <w:b/>
                      <w:bCs/>
                      <w:i/>
                      <w:iCs/>
                    </w:rPr>
                    <w:t>– FaRS service provider</w:t>
                  </w:r>
                  <w:r w:rsidRPr="00443E8C">
                    <w:rPr>
                      <w:i/>
                    </w:rPr>
                    <w:t xml:space="preserve"> </w:t>
                  </w:r>
                </w:p>
                <w:p w14:paraId="209AEB12" w14:textId="77777777" w:rsidR="005674C7" w:rsidRDefault="005674C7" w:rsidP="005674C7">
                  <w:pPr>
                    <w:pStyle w:val="Text"/>
                  </w:pPr>
                </w:p>
                <w:p w14:paraId="43FCD9B7" w14:textId="3586232D" w:rsidR="005674C7" w:rsidRPr="008A5482" w:rsidRDefault="005674C7" w:rsidP="005674C7">
                  <w:pPr>
                    <w:pBdr>
                      <w:left w:val="single" w:sz="18" w:space="4" w:color="78B800"/>
                    </w:pBdr>
                    <w:tabs>
                      <w:tab w:val="left" w:pos="8080"/>
                    </w:tabs>
                    <w:spacing w:after="0"/>
                    <w:ind w:left="851" w:right="949"/>
                    <w:rPr>
                      <w:rFonts w:ascii="Arial" w:eastAsia="Arial" w:hAnsi="Arial" w:cs="Times New Roman"/>
                      <w:b/>
                      <w:bCs/>
                      <w:i/>
                    </w:rPr>
                  </w:pPr>
                  <w:r w:rsidRPr="008A5482">
                    <w:rPr>
                      <w:rFonts w:ascii="Arial" w:eastAsia="Arial" w:hAnsi="Arial" w:cs="Times New Roman"/>
                      <w:noProof/>
                    </w:rPr>
                    <w:drawing>
                      <wp:anchor distT="0" distB="0" distL="114300" distR="114300" simplePos="0" relativeHeight="251658444" behindDoc="0" locked="1" layoutInCell="1" allowOverlap="1" wp14:anchorId="3F97FB99" wp14:editId="00D0B2DE">
                        <wp:simplePos x="0" y="0"/>
                        <wp:positionH relativeFrom="column">
                          <wp:posOffset>0</wp:posOffset>
                        </wp:positionH>
                        <wp:positionV relativeFrom="paragraph">
                          <wp:posOffset>0</wp:posOffset>
                        </wp:positionV>
                        <wp:extent cx="384810" cy="320040"/>
                        <wp:effectExtent l="0" t="0" r="0" b="3810"/>
                        <wp:wrapNone/>
                        <wp:docPr id="10463018" name="Graphic 10463018" descr="P4461#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3018" name="Graphic 10463018" descr="P4461#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A5482">
                    <w:rPr>
                      <w:rFonts w:ascii="Arial" w:eastAsia="Arial" w:hAnsi="Arial" w:cs="Times New Roman"/>
                      <w:i/>
                      <w:iCs/>
                    </w:rPr>
                    <w:t xml:space="preserve"> […] the key message for us is that the funding needs to be relevant to the times. The funding needs to meet the challenges of the day and maybe it needs to be […] specific X amount for direct client work […] and X amount for case management because I don't think […] government should ignore [this]. They know the complexities; they know the issues that […] our [service] users are having […] You can’t be offering the same amount of funding as […] you were ten years ago […] it just doesn't cut it </w:t>
                  </w:r>
                  <w:r w:rsidRPr="008A5482">
                    <w:rPr>
                      <w:rFonts w:ascii="Arial" w:eastAsia="Arial" w:hAnsi="Arial" w:cs="Times New Roman"/>
                      <w:b/>
                      <w:bCs/>
                      <w:i/>
                      <w:iCs/>
                    </w:rPr>
                    <w:t>– FaRS service provider</w:t>
                  </w:r>
                </w:p>
                <w:p w14:paraId="563918B2" w14:textId="77777777" w:rsidR="005674C7" w:rsidRDefault="005674C7" w:rsidP="005674C7">
                  <w:pPr>
                    <w:pStyle w:val="Text"/>
                  </w:pPr>
                </w:p>
                <w:p w14:paraId="0BC9DD1C" w14:textId="1519C553" w:rsidR="005674C7" w:rsidRPr="002471D7" w:rsidRDefault="005674C7" w:rsidP="002471D7">
                  <w:pPr>
                    <w:rPr>
                      <w:rFonts w:ascii="Arial" w:eastAsia="Arial" w:hAnsi="Arial" w:cs="Times New Roman"/>
                    </w:rPr>
                  </w:pPr>
                  <w:r>
                    <w:t xml:space="preserve">Some FaRS and SFVS service providers identified several other challenges with the current funding model including lack of access to </w:t>
                  </w:r>
                  <w:r w:rsidR="00EC00FB">
                    <w:t>crisis</w:t>
                  </w:r>
                  <w:r>
                    <w:t xml:space="preserve"> brokerage and other forms of immediate support. This include</w:t>
                  </w:r>
                  <w:r w:rsidR="00EC00FB">
                    <w:t>d</w:t>
                  </w:r>
                  <w:r>
                    <w:t xml:space="preserve"> funding to cover transport to access services, housing, and other material support </w:t>
                  </w:r>
                  <w:r w:rsidR="00EC00FB">
                    <w:t>-</w:t>
                  </w:r>
                  <w:r>
                    <w:t xml:space="preserve"> a common barrier to effectiveness identified within the literature (Pelkowitz et al., 2023).</w:t>
                  </w:r>
                  <w:r w:rsidR="00080162">
                    <w:t xml:space="preserve"> </w:t>
                  </w:r>
                  <w:r w:rsidR="00831AE4">
                    <w:rPr>
                      <w:rFonts w:ascii="Arial" w:eastAsia="Arial" w:hAnsi="Arial" w:cs="Times New Roman"/>
                    </w:rPr>
                    <w:t>S</w:t>
                  </w:r>
                  <w:r w:rsidR="00080162" w:rsidRPr="000A73AA">
                    <w:rPr>
                      <w:rFonts w:ascii="Arial" w:eastAsia="Arial" w:hAnsi="Arial" w:cs="Times New Roman"/>
                    </w:rPr>
                    <w:t xml:space="preserve">everal FaRS and </w:t>
                  </w:r>
                  <w:r w:rsidR="00080162">
                    <w:rPr>
                      <w:rFonts w:ascii="Arial" w:eastAsia="Arial" w:hAnsi="Arial" w:cs="Times New Roman"/>
                    </w:rPr>
                    <w:t>SFVS</w:t>
                  </w:r>
                  <w:r w:rsidR="00080162" w:rsidRPr="000A73AA">
                    <w:rPr>
                      <w:rFonts w:ascii="Arial" w:eastAsia="Arial" w:hAnsi="Arial" w:cs="Times New Roman"/>
                    </w:rPr>
                    <w:t xml:space="preserve"> service providers </w:t>
                  </w:r>
                  <w:r w:rsidR="00831AE4">
                    <w:rPr>
                      <w:rFonts w:ascii="Arial" w:eastAsia="Arial" w:hAnsi="Arial" w:cs="Times New Roman"/>
                    </w:rPr>
                    <w:t xml:space="preserve">also </w:t>
                  </w:r>
                  <w:r w:rsidR="00080162" w:rsidRPr="000A73AA">
                    <w:rPr>
                      <w:rFonts w:ascii="Arial" w:eastAsia="Arial" w:hAnsi="Arial" w:cs="Times New Roman"/>
                    </w:rPr>
                    <w:t xml:space="preserve">indicated that lack of childcare or creche facilities onsite limited their ability to work with parents, and single parents in particular, as it was not therapeutically safe to have a child in the room during counselling sessions. </w:t>
                  </w:r>
                  <w:r w:rsidR="00080162">
                    <w:rPr>
                      <w:rFonts w:ascii="Arial" w:eastAsia="Arial" w:hAnsi="Arial" w:cs="Times New Roman"/>
                    </w:rPr>
                    <w:t>In some circumstances, t</w:t>
                  </w:r>
                  <w:r w:rsidR="00080162" w:rsidRPr="000A73AA">
                    <w:rPr>
                      <w:rFonts w:ascii="Arial" w:eastAsia="Arial" w:hAnsi="Arial" w:cs="Times New Roman"/>
                    </w:rPr>
                    <w:t>his was overcome by offering virtual service delivery (</w:t>
                  </w:r>
                  <w:r w:rsidR="00080162" w:rsidRPr="008E1B83">
                    <w:rPr>
                      <w:rFonts w:ascii="Arial" w:eastAsia="Arial" w:hAnsi="Arial" w:cs="Times New Roman"/>
                    </w:rPr>
                    <w:t xml:space="preserve">see </w:t>
                  </w:r>
                  <w:r w:rsidR="00080162" w:rsidRPr="008E1B83">
                    <w:rPr>
                      <w:rFonts w:ascii="Arial" w:eastAsia="Arial" w:hAnsi="Arial" w:cs="Times New Roman"/>
                      <w:b/>
                    </w:rPr>
                    <w:t xml:space="preserve">Section </w:t>
                  </w:r>
                  <w:r w:rsidR="001F08B2" w:rsidRPr="008E1B83">
                    <w:rPr>
                      <w:rFonts w:ascii="Arial" w:eastAsia="Arial" w:hAnsi="Arial" w:cs="Times New Roman"/>
                      <w:b/>
                    </w:rPr>
                    <w:fldChar w:fldCharType="begin" w:fldLock="1"/>
                  </w:r>
                  <w:r w:rsidR="001F08B2" w:rsidRPr="008E1B83">
                    <w:rPr>
                      <w:rFonts w:ascii="Arial" w:eastAsia="Arial" w:hAnsi="Arial" w:cs="Times New Roman"/>
                      <w:b/>
                    </w:rPr>
                    <w:instrText xml:space="preserve"> REF _Ref205303836 \r \h </w:instrText>
                  </w:r>
                  <w:r w:rsidR="001F08B2">
                    <w:rPr>
                      <w:rFonts w:ascii="Arial" w:eastAsia="Arial" w:hAnsi="Arial" w:cs="Times New Roman"/>
                      <w:b/>
                      <w:bCs/>
                    </w:rPr>
                    <w:instrText xml:space="preserve"> \* MERGEFORMAT </w:instrText>
                  </w:r>
                  <w:r w:rsidR="001F08B2" w:rsidRPr="008E1B83">
                    <w:rPr>
                      <w:rFonts w:ascii="Arial" w:eastAsia="Arial" w:hAnsi="Arial" w:cs="Times New Roman"/>
                      <w:b/>
                    </w:rPr>
                  </w:r>
                  <w:r w:rsidR="001F08B2" w:rsidRPr="008E1B83">
                    <w:rPr>
                      <w:rFonts w:ascii="Arial" w:eastAsia="Arial" w:hAnsi="Arial" w:cs="Times New Roman"/>
                      <w:b/>
                    </w:rPr>
                    <w:fldChar w:fldCharType="separate"/>
                  </w:r>
                  <w:r w:rsidR="008F22E5">
                    <w:rPr>
                      <w:rFonts w:ascii="Arial" w:eastAsia="Arial" w:hAnsi="Arial" w:cs="Times New Roman"/>
                      <w:b/>
                    </w:rPr>
                    <w:t>6.3</w:t>
                  </w:r>
                  <w:r w:rsidR="001F08B2" w:rsidRPr="008E1B83">
                    <w:rPr>
                      <w:rFonts w:ascii="Arial" w:eastAsia="Arial" w:hAnsi="Arial" w:cs="Times New Roman"/>
                      <w:b/>
                    </w:rPr>
                    <w:fldChar w:fldCharType="end"/>
                  </w:r>
                  <w:r w:rsidR="001F08B2" w:rsidRPr="008E1B83">
                    <w:rPr>
                      <w:rFonts w:ascii="Arial" w:eastAsia="Arial" w:hAnsi="Arial" w:cs="Times New Roman"/>
                      <w:b/>
                    </w:rPr>
                    <w:t xml:space="preserve"> </w:t>
                  </w:r>
                  <w:r w:rsidR="00080162" w:rsidRPr="001F08B2">
                    <w:rPr>
                      <w:rFonts w:ascii="Arial" w:eastAsia="Arial" w:hAnsi="Arial" w:cs="Times New Roman"/>
                    </w:rPr>
                    <w:t>for more detail).</w:t>
                  </w:r>
                </w:p>
                <w:p w14:paraId="5A3428BA" w14:textId="5A1489E9" w:rsidR="005674C7" w:rsidRPr="00EE1011" w:rsidRDefault="005674C7" w:rsidP="005674C7">
                  <w:pPr>
                    <w:pBdr>
                      <w:left w:val="single" w:sz="18" w:space="4" w:color="78B800"/>
                    </w:pBdr>
                    <w:tabs>
                      <w:tab w:val="left" w:pos="8080"/>
                    </w:tabs>
                    <w:spacing w:after="0"/>
                    <w:ind w:left="851" w:right="949"/>
                    <w:rPr>
                      <w:rFonts w:ascii="Arial" w:eastAsia="Arial" w:hAnsi="Arial" w:cs="Times New Roman"/>
                    </w:rPr>
                  </w:pPr>
                  <w:r w:rsidRPr="00EE1011">
                    <w:rPr>
                      <w:rFonts w:ascii="Arial" w:eastAsia="Arial" w:hAnsi="Arial" w:cs="Times New Roman"/>
                      <w:noProof/>
                    </w:rPr>
                    <w:drawing>
                      <wp:anchor distT="0" distB="0" distL="114300" distR="114300" simplePos="0" relativeHeight="251658445" behindDoc="0" locked="1" layoutInCell="1" allowOverlap="1" wp14:anchorId="2B63C046" wp14:editId="50EC0D8B">
                        <wp:simplePos x="0" y="0"/>
                        <wp:positionH relativeFrom="column">
                          <wp:posOffset>0</wp:posOffset>
                        </wp:positionH>
                        <wp:positionV relativeFrom="paragraph">
                          <wp:posOffset>0</wp:posOffset>
                        </wp:positionV>
                        <wp:extent cx="384810" cy="320040"/>
                        <wp:effectExtent l="0" t="0" r="0" b="3810"/>
                        <wp:wrapNone/>
                        <wp:docPr id="1929213448" name="Graphic 1929213448" descr="P4464#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213448" name="Graphic 1929213448" descr="P4464#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E1011">
                    <w:rPr>
                      <w:rFonts w:ascii="Arial" w:eastAsia="Arial" w:hAnsi="Arial" w:cs="Times New Roman"/>
                      <w:i/>
                      <w:iCs/>
                    </w:rPr>
                    <w:t xml:space="preserve">We find that quite a big barrier also [is] location and transport. A lot of our clients are [from a] low socioeconomic cohort so if we're not an area where public transport is easily accessible or they can't walk to us, you know from the local bus stop or from the local school. if [there’s] children […] then we do find a lot drop out </w:t>
                  </w:r>
                  <w:r w:rsidRPr="00EE1011">
                    <w:rPr>
                      <w:rFonts w:ascii="Arial" w:eastAsia="Arial" w:hAnsi="Arial" w:cs="Times New Roman"/>
                      <w:b/>
                      <w:bCs/>
                      <w:i/>
                      <w:iCs/>
                    </w:rPr>
                    <w:t>– FaRS service provider</w:t>
                  </w:r>
                  <w:r w:rsidRPr="00EE1011">
                    <w:rPr>
                      <w:rFonts w:ascii="Arial" w:eastAsia="Arial" w:hAnsi="Arial" w:cs="Times New Roman"/>
                      <w:i/>
                      <w:iCs/>
                    </w:rPr>
                    <w:t xml:space="preserve"> </w:t>
                  </w:r>
                </w:p>
                <w:p w14:paraId="1E0B5232" w14:textId="77777777" w:rsidR="005674C7" w:rsidRDefault="005674C7" w:rsidP="005674C7">
                  <w:pPr>
                    <w:pStyle w:val="Text"/>
                  </w:pPr>
                </w:p>
                <w:p w14:paraId="13E914D4" w14:textId="4F014E4E" w:rsidR="005674C7" w:rsidRPr="003B76E6" w:rsidRDefault="005674C7" w:rsidP="005674C7">
                  <w:pPr>
                    <w:pBdr>
                      <w:left w:val="single" w:sz="18" w:space="4" w:color="78B800"/>
                    </w:pBdr>
                    <w:tabs>
                      <w:tab w:val="left" w:pos="8080"/>
                    </w:tabs>
                    <w:spacing w:after="0"/>
                    <w:ind w:left="851" w:right="949"/>
                    <w:rPr>
                      <w:rFonts w:ascii="Arial" w:eastAsia="Arial" w:hAnsi="Arial" w:cs="Times New Roman"/>
                    </w:rPr>
                  </w:pPr>
                  <w:r w:rsidRPr="003B76E6">
                    <w:rPr>
                      <w:rFonts w:ascii="Arial" w:eastAsia="Arial" w:hAnsi="Arial" w:cs="Times New Roman"/>
                      <w:noProof/>
                    </w:rPr>
                    <w:drawing>
                      <wp:anchor distT="0" distB="0" distL="114300" distR="114300" simplePos="0" relativeHeight="251658446" behindDoc="0" locked="1" layoutInCell="1" allowOverlap="1" wp14:anchorId="5DD89765" wp14:editId="76BD4F8F">
                        <wp:simplePos x="0" y="0"/>
                        <wp:positionH relativeFrom="column">
                          <wp:posOffset>0</wp:posOffset>
                        </wp:positionH>
                        <wp:positionV relativeFrom="paragraph">
                          <wp:posOffset>0</wp:posOffset>
                        </wp:positionV>
                        <wp:extent cx="384810" cy="320040"/>
                        <wp:effectExtent l="0" t="0" r="0" b="3810"/>
                        <wp:wrapNone/>
                        <wp:docPr id="305330124" name="Graphic 305330124" descr="P4466#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330124" name="Graphic 305330124" descr="P4466#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B76E6">
                    <w:rPr>
                      <w:rFonts w:ascii="Arial" w:eastAsia="Arial" w:hAnsi="Arial" w:cs="Times New Roman"/>
                      <w:i/>
                      <w:iCs/>
                    </w:rPr>
                    <w:t xml:space="preserve">One of the barriers that we find […] is specifically around referrals that we get for homeless people, unfortunately […] When you're looking at Maslow's hierarchy of needs, […] they're worrying about when [there is a] roof […] coming over their head and where their next meal is coming from […] A lot of the time […] they're depressed, they're anxious, so they get referred into the counselling team, but they're just not in a place where they can actually […] do counselling justice </w:t>
                  </w:r>
                  <w:r w:rsidRPr="003B76E6">
                    <w:rPr>
                      <w:rFonts w:ascii="Arial" w:eastAsia="Arial" w:hAnsi="Arial" w:cs="Times New Roman"/>
                      <w:b/>
                      <w:bCs/>
                      <w:i/>
                      <w:iCs/>
                    </w:rPr>
                    <w:t>– SFVS service provider</w:t>
                  </w:r>
                  <w:r w:rsidRPr="003B76E6">
                    <w:rPr>
                      <w:rFonts w:ascii="Arial" w:eastAsia="Arial" w:hAnsi="Arial" w:cs="Times New Roman"/>
                      <w:i/>
                      <w:iCs/>
                    </w:rPr>
                    <w:t xml:space="preserve"> </w:t>
                  </w:r>
                </w:p>
                <w:p w14:paraId="6B89AAAF" w14:textId="77777777" w:rsidR="005674C7" w:rsidRPr="000C09BF" w:rsidRDefault="005674C7" w:rsidP="00321BC5">
                  <w:pPr>
                    <w:pStyle w:val="Text"/>
                    <w:spacing w:before="360"/>
                  </w:pPr>
                  <w:r w:rsidRPr="00321BC5">
                    <w:rPr>
                      <w:b/>
                      <w:color w:val="36424A" w:themeColor="background2"/>
                    </w:rPr>
                    <w:lastRenderedPageBreak/>
                    <w:t xml:space="preserve">Implementing the sliding scale fee model </w:t>
                  </w:r>
                </w:p>
                <w:p w14:paraId="1B65E261" w14:textId="2B5BAFF0" w:rsidR="005674C7" w:rsidRPr="00C32B31" w:rsidRDefault="00CA586F" w:rsidP="005674C7">
                  <w:pPr>
                    <w:pStyle w:val="Text"/>
                  </w:pPr>
                  <w:r>
                    <w:t>While</w:t>
                  </w:r>
                  <w:r w:rsidR="00043196">
                    <w:t xml:space="preserve"> fees are not charged for SFVS, fees may be charged for the delivery of </w:t>
                  </w:r>
                  <w:r w:rsidR="005674C7" w:rsidRPr="00803576">
                    <w:t xml:space="preserve">FaRS </w:t>
                  </w:r>
                  <w:r w:rsidR="00043196">
                    <w:t xml:space="preserve">services. </w:t>
                  </w:r>
                  <w:r w:rsidR="005674C7" w:rsidRPr="00803576">
                    <w:t>FaRS service providers varied in how they applied the</w:t>
                  </w:r>
                  <w:r w:rsidR="005674C7">
                    <w:t xml:space="preserve"> sliding scale fee model</w:t>
                  </w:r>
                  <w:r w:rsidR="005674C7" w:rsidRPr="00803576">
                    <w:t xml:space="preserve">. </w:t>
                  </w:r>
                  <w:r w:rsidR="00043492">
                    <w:rPr>
                      <w:bCs/>
                    </w:rPr>
                    <w:t>W</w:t>
                  </w:r>
                  <w:r w:rsidR="005674C7" w:rsidRPr="001C1731">
                    <w:rPr>
                      <w:bCs/>
                    </w:rPr>
                    <w:t>hil</w:t>
                  </w:r>
                  <w:r>
                    <w:rPr>
                      <w:bCs/>
                    </w:rPr>
                    <w:t>e</w:t>
                  </w:r>
                  <w:r w:rsidR="005674C7" w:rsidRPr="001C1731">
                    <w:rPr>
                      <w:bCs/>
                    </w:rPr>
                    <w:t xml:space="preserve"> the</w:t>
                  </w:r>
                  <w:r w:rsidR="00043492">
                    <w:rPr>
                      <w:bCs/>
                    </w:rPr>
                    <w:t>y recognised that</w:t>
                  </w:r>
                  <w:r w:rsidR="005674C7" w:rsidRPr="001C1731">
                    <w:rPr>
                      <w:bCs/>
                    </w:rPr>
                    <w:t xml:space="preserve"> Department had adjusted funding with the expectation that services made up the difference </w:t>
                  </w:r>
                  <w:r w:rsidR="005674C7">
                    <w:rPr>
                      <w:bCs/>
                    </w:rPr>
                    <w:t>through fees</w:t>
                  </w:r>
                  <w:r w:rsidR="00043492">
                    <w:rPr>
                      <w:bCs/>
                    </w:rPr>
                    <w:t xml:space="preserve">, </w:t>
                  </w:r>
                  <w:r w:rsidR="005674C7">
                    <w:rPr>
                      <w:bCs/>
                    </w:rPr>
                    <w:t xml:space="preserve">some </w:t>
                  </w:r>
                  <w:r w:rsidR="00F11D76">
                    <w:rPr>
                      <w:bCs/>
                    </w:rPr>
                    <w:t xml:space="preserve">found </w:t>
                  </w:r>
                  <w:r w:rsidR="005674C7">
                    <w:rPr>
                      <w:bCs/>
                    </w:rPr>
                    <w:t xml:space="preserve">this </w:t>
                  </w:r>
                  <w:r w:rsidR="005674C7" w:rsidRPr="001C1731">
                    <w:rPr>
                      <w:bCs/>
                    </w:rPr>
                    <w:t xml:space="preserve">difficult due to the low </w:t>
                  </w:r>
                  <w:r w:rsidR="005674C7">
                    <w:rPr>
                      <w:bCs/>
                    </w:rPr>
                    <w:t>incomes of their service population</w:t>
                  </w:r>
                  <w:r w:rsidR="00A2566A">
                    <w:rPr>
                      <w:bCs/>
                    </w:rPr>
                    <w:t xml:space="preserve"> which meant they are</w:t>
                  </w:r>
                  <w:r w:rsidR="005674C7">
                    <w:rPr>
                      <w:bCs/>
                    </w:rPr>
                    <w:t xml:space="preserve"> unable to charge fees sufficient to cover the gap</w:t>
                  </w:r>
                  <w:r w:rsidR="005674C7" w:rsidRPr="001C1731">
                    <w:rPr>
                      <w:bCs/>
                    </w:rPr>
                    <w:t xml:space="preserve">. </w:t>
                  </w:r>
                  <w:r w:rsidR="005674C7">
                    <w:rPr>
                      <w:bCs/>
                    </w:rPr>
                    <w:t xml:space="preserve">One FaRS service provider noted that this issue was heightened in rural and remote areas where the cost of service delivery was higher due to large geographic distances and the complexities of their </w:t>
                  </w:r>
                  <w:r w:rsidR="00E614D3">
                    <w:rPr>
                      <w:bCs/>
                    </w:rPr>
                    <w:t xml:space="preserve">service </w:t>
                  </w:r>
                  <w:r w:rsidR="002B6A51">
                    <w:rPr>
                      <w:bCs/>
                    </w:rPr>
                    <w:t>users’</w:t>
                  </w:r>
                  <w:r w:rsidR="005674C7">
                    <w:rPr>
                      <w:bCs/>
                    </w:rPr>
                    <w:t xml:space="preserve"> needs. </w:t>
                  </w:r>
                  <w:r w:rsidR="005674C7">
                    <w:t xml:space="preserve">In addition, </w:t>
                  </w:r>
                  <w:r w:rsidR="002B47C3">
                    <w:t>services</w:t>
                  </w:r>
                  <w:r w:rsidR="005674C7">
                    <w:t xml:space="preserve"> </w:t>
                  </w:r>
                  <w:r w:rsidR="005674C7" w:rsidRPr="00803576">
                    <w:t xml:space="preserve">reported waiving or applying small nominal fees </w:t>
                  </w:r>
                  <w:r w:rsidR="005674C7">
                    <w:t xml:space="preserve">for some service users </w:t>
                  </w:r>
                  <w:r w:rsidR="005674C7" w:rsidRPr="00803576">
                    <w:t>to increase accessibility</w:t>
                  </w:r>
                  <w:r w:rsidR="002B47C3">
                    <w:t>,</w:t>
                  </w:r>
                  <w:r w:rsidR="005674C7">
                    <w:t xml:space="preserve"> citing concerns about increased cost of living</w:t>
                  </w:r>
                  <w:r w:rsidR="006751C4">
                    <w:t xml:space="preserve"> (see </w:t>
                  </w:r>
                  <w:r w:rsidR="006751C4" w:rsidRPr="006751C4">
                    <w:rPr>
                      <w:b/>
                      <w:bCs/>
                    </w:rPr>
                    <w:t>Section</w:t>
                  </w:r>
                  <w:r w:rsidR="006751C4">
                    <w:t xml:space="preserve"> </w:t>
                  </w:r>
                  <w:r w:rsidR="006751C4" w:rsidRPr="006751C4">
                    <w:rPr>
                      <w:b/>
                      <w:bCs/>
                    </w:rPr>
                    <w:fldChar w:fldCharType="begin" w:fldLock="1"/>
                  </w:r>
                  <w:r w:rsidR="006751C4" w:rsidRPr="006751C4">
                    <w:rPr>
                      <w:b/>
                      <w:bCs/>
                    </w:rPr>
                    <w:instrText xml:space="preserve"> REF _Ref205400798 \r \h </w:instrText>
                  </w:r>
                  <w:r w:rsidR="006751C4">
                    <w:rPr>
                      <w:b/>
                      <w:bCs/>
                    </w:rPr>
                    <w:instrText xml:space="preserve"> \* MERGEFORMAT </w:instrText>
                  </w:r>
                  <w:r w:rsidR="006751C4" w:rsidRPr="006751C4">
                    <w:rPr>
                      <w:b/>
                      <w:bCs/>
                    </w:rPr>
                  </w:r>
                  <w:r w:rsidR="006751C4" w:rsidRPr="006751C4">
                    <w:rPr>
                      <w:b/>
                      <w:bCs/>
                    </w:rPr>
                    <w:fldChar w:fldCharType="separate"/>
                  </w:r>
                  <w:r w:rsidR="008F22E5">
                    <w:rPr>
                      <w:b/>
                      <w:bCs/>
                    </w:rPr>
                    <w:t>4.3.2</w:t>
                  </w:r>
                  <w:r w:rsidR="006751C4" w:rsidRPr="006751C4">
                    <w:rPr>
                      <w:b/>
                      <w:bCs/>
                    </w:rPr>
                    <w:fldChar w:fldCharType="end"/>
                  </w:r>
                  <w:r w:rsidR="006751C4">
                    <w:rPr>
                      <w:b/>
                      <w:bCs/>
                    </w:rPr>
                    <w:t xml:space="preserve"> </w:t>
                  </w:r>
                  <w:r w:rsidR="006751C4" w:rsidRPr="006751C4">
                    <w:t xml:space="preserve">for </w:t>
                  </w:r>
                  <w:r w:rsidR="006751C4">
                    <w:t>more on the efficiency of the sliding scale fee model</w:t>
                  </w:r>
                  <w:r w:rsidR="006751C4" w:rsidRPr="006751C4">
                    <w:t>).</w:t>
                  </w:r>
                </w:p>
                <w:p w14:paraId="2EAA5ECF" w14:textId="19AA2D86" w:rsidR="005674C7" w:rsidRPr="00090EAC" w:rsidRDefault="005674C7" w:rsidP="005674C7">
                  <w:pPr>
                    <w:pBdr>
                      <w:left w:val="single" w:sz="18" w:space="4" w:color="78B800" w:themeColor="accent1"/>
                    </w:pBdr>
                    <w:tabs>
                      <w:tab w:val="left" w:pos="8080"/>
                    </w:tabs>
                    <w:spacing w:after="0"/>
                    <w:ind w:left="851" w:right="949"/>
                    <w:rPr>
                      <w:b/>
                      <w:bCs/>
                      <w:i/>
                    </w:rPr>
                  </w:pPr>
                  <w:r w:rsidRPr="002E7992">
                    <w:rPr>
                      <w:noProof/>
                    </w:rPr>
                    <w:drawing>
                      <wp:anchor distT="0" distB="0" distL="114300" distR="114300" simplePos="0" relativeHeight="251658447" behindDoc="0" locked="1" layoutInCell="1" allowOverlap="1" wp14:anchorId="5D0EF920" wp14:editId="01CA87C0">
                        <wp:simplePos x="0" y="0"/>
                        <wp:positionH relativeFrom="column">
                          <wp:posOffset>0</wp:posOffset>
                        </wp:positionH>
                        <wp:positionV relativeFrom="paragraph">
                          <wp:posOffset>0</wp:posOffset>
                        </wp:positionV>
                        <wp:extent cx="384810" cy="320040"/>
                        <wp:effectExtent l="0" t="0" r="0" b="3810"/>
                        <wp:wrapNone/>
                        <wp:docPr id="2086473008" name="Graphic 2086473008" descr="P4469#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6473008" name="Graphic 2086473008" descr="P4469#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05600">
                    <w:rPr>
                      <w:i/>
                      <w:iCs/>
                    </w:rPr>
                    <w:t xml:space="preserve">[…] my understanding is </w:t>
                  </w:r>
                  <w:r>
                    <w:rPr>
                      <w:i/>
                      <w:iCs/>
                    </w:rPr>
                    <w:t>[</w:t>
                  </w:r>
                  <w:r w:rsidRPr="00805600">
                    <w:rPr>
                      <w:i/>
                      <w:iCs/>
                    </w:rPr>
                    <w:t>…</w:t>
                  </w:r>
                  <w:r>
                    <w:rPr>
                      <w:i/>
                      <w:iCs/>
                    </w:rPr>
                    <w:t xml:space="preserve">] </w:t>
                  </w:r>
                  <w:r w:rsidRPr="00805600">
                    <w:rPr>
                      <w:i/>
                      <w:iCs/>
                    </w:rPr>
                    <w:t>[there is an]</w:t>
                  </w:r>
                  <w:r>
                    <w:rPr>
                      <w:i/>
                      <w:iCs/>
                    </w:rPr>
                    <w:t xml:space="preserve"> [</w:t>
                  </w:r>
                  <w:r w:rsidRPr="00805600">
                    <w:rPr>
                      <w:i/>
                      <w:iCs/>
                    </w:rPr>
                    <w:t>…</w:t>
                  </w:r>
                  <w:r>
                    <w:rPr>
                      <w:i/>
                      <w:iCs/>
                    </w:rPr>
                    <w:t>]</w:t>
                  </w:r>
                  <w:r w:rsidRPr="00805600">
                    <w:rPr>
                      <w:i/>
                      <w:iCs/>
                    </w:rPr>
                    <w:t xml:space="preserve"> expectation we charge fees to make up [the] difference. We have not been able to make up the difference due to high needs, and the low financial status of participants</w:t>
                  </w:r>
                  <w:r w:rsidR="00D40725">
                    <w:rPr>
                      <w:i/>
                      <w:iCs/>
                    </w:rPr>
                    <w:t xml:space="preserve"> </w:t>
                  </w:r>
                  <w:r w:rsidRPr="00805600">
                    <w:rPr>
                      <w:i/>
                      <w:iCs/>
                    </w:rPr>
                    <w:t>–</w:t>
                  </w:r>
                  <w:r>
                    <w:rPr>
                      <w:b/>
                      <w:i/>
                    </w:rPr>
                    <w:t>FaRS</w:t>
                  </w:r>
                  <w:r w:rsidRPr="00090EAC">
                    <w:rPr>
                      <w:b/>
                      <w:i/>
                    </w:rPr>
                    <w:t xml:space="preserve"> service provider</w:t>
                  </w:r>
                </w:p>
                <w:p w14:paraId="5903EE2F" w14:textId="77777777" w:rsidR="005674C7" w:rsidRDefault="005674C7" w:rsidP="005674C7">
                  <w:pPr>
                    <w:pStyle w:val="Text"/>
                  </w:pPr>
                </w:p>
                <w:p w14:paraId="06D569C1" w14:textId="5A648FD5" w:rsidR="005674C7" w:rsidRPr="00336D16" w:rsidRDefault="005674C7" w:rsidP="005674C7">
                  <w:pPr>
                    <w:pBdr>
                      <w:left w:val="single" w:sz="18" w:space="4" w:color="78B800" w:themeColor="accent1"/>
                    </w:pBdr>
                    <w:tabs>
                      <w:tab w:val="left" w:pos="8080"/>
                    </w:tabs>
                    <w:spacing w:after="0"/>
                    <w:ind w:left="851" w:right="949"/>
                    <w:rPr>
                      <w:b/>
                      <w:bCs/>
                      <w:i/>
                      <w:iCs/>
                    </w:rPr>
                  </w:pPr>
                  <w:r w:rsidRPr="00336D16">
                    <w:rPr>
                      <w:i/>
                      <w:iCs/>
                    </w:rPr>
                    <w:t>We are not charging fees. We tried for a trial period but found it was creating another hurdle for our clients because we operate in low SES areas</w:t>
                  </w:r>
                  <w:r w:rsidRPr="00336D16">
                    <w:rPr>
                      <w:noProof/>
                    </w:rPr>
                    <w:drawing>
                      <wp:anchor distT="0" distB="0" distL="114300" distR="114300" simplePos="0" relativeHeight="251658448" behindDoc="0" locked="1" layoutInCell="1" allowOverlap="1" wp14:anchorId="77FA721A" wp14:editId="464D27F2">
                        <wp:simplePos x="0" y="0"/>
                        <wp:positionH relativeFrom="column">
                          <wp:posOffset>0</wp:posOffset>
                        </wp:positionH>
                        <wp:positionV relativeFrom="paragraph">
                          <wp:posOffset>0</wp:posOffset>
                        </wp:positionV>
                        <wp:extent cx="384810" cy="320040"/>
                        <wp:effectExtent l="0" t="0" r="0" b="3810"/>
                        <wp:wrapNone/>
                        <wp:docPr id="568580806" name="Graphic 568580806" descr="P4471#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580806" name="Graphic 568580806" descr="P4471#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36D16">
                    <w:rPr>
                      <w:i/>
                      <w:iCs/>
                    </w:rPr>
                    <w:t xml:space="preserve"> </w:t>
                  </w:r>
                  <w:r w:rsidRPr="00090EAC">
                    <w:rPr>
                      <w:b/>
                      <w:bCs/>
                      <w:i/>
                      <w:iCs/>
                    </w:rPr>
                    <w:t xml:space="preserve">– </w:t>
                  </w:r>
                  <w:r>
                    <w:rPr>
                      <w:b/>
                      <w:bCs/>
                      <w:i/>
                      <w:iCs/>
                    </w:rPr>
                    <w:t>FaRS</w:t>
                  </w:r>
                  <w:r w:rsidRPr="00090EAC">
                    <w:rPr>
                      <w:b/>
                      <w:bCs/>
                      <w:i/>
                      <w:iCs/>
                    </w:rPr>
                    <w:t xml:space="preserve"> service provider</w:t>
                  </w:r>
                </w:p>
                <w:p w14:paraId="4446BB13" w14:textId="77777777" w:rsidR="005674C7" w:rsidRPr="00196493" w:rsidRDefault="005674C7" w:rsidP="005674C7">
                  <w:pPr>
                    <w:pStyle w:val="Text"/>
                    <w:rPr>
                      <w:rStyle w:val="Text-Bold"/>
                      <w:b w:val="0"/>
                      <w:bCs/>
                    </w:rPr>
                  </w:pPr>
                </w:p>
                <w:p w14:paraId="1DC2F5A8" w14:textId="2AE1EE54" w:rsidR="00A26953" w:rsidRDefault="00CA586F" w:rsidP="005674C7">
                  <w:pPr>
                    <w:pStyle w:val="Text"/>
                    <w:rPr>
                      <w:rStyle w:val="Text-Bold"/>
                      <w:b w:val="0"/>
                    </w:rPr>
                  </w:pPr>
                  <w:r>
                    <w:rPr>
                      <w:rStyle w:val="Text-Bold"/>
                      <w:b w:val="0"/>
                    </w:rPr>
                    <w:t>While</w:t>
                  </w:r>
                  <w:r w:rsidR="00555EBB" w:rsidRPr="00555EBB">
                    <w:rPr>
                      <w:rStyle w:val="Text-Bold"/>
                      <w:b w:val="0"/>
                    </w:rPr>
                    <w:t xml:space="preserve"> </w:t>
                  </w:r>
                  <w:r w:rsidR="00A3148C">
                    <w:rPr>
                      <w:rStyle w:val="Text-Bold"/>
                      <w:b w:val="0"/>
                    </w:rPr>
                    <w:t xml:space="preserve">FaRS </w:t>
                  </w:r>
                  <w:r w:rsidR="00555EBB" w:rsidRPr="00555EBB">
                    <w:rPr>
                      <w:rStyle w:val="Text-Bold"/>
                      <w:b w:val="0"/>
                    </w:rPr>
                    <w:t xml:space="preserve">service providers expressed concern about the </w:t>
                  </w:r>
                  <w:r w:rsidR="004F2E08">
                    <w:rPr>
                      <w:rStyle w:val="Text-Bold"/>
                      <w:b w:val="0"/>
                    </w:rPr>
                    <w:t>impact of</w:t>
                  </w:r>
                  <w:r w:rsidR="00555EBB" w:rsidRPr="00555EBB">
                    <w:rPr>
                      <w:rStyle w:val="Text-Bold"/>
                      <w:b w:val="0"/>
                    </w:rPr>
                    <w:t xml:space="preserve"> fees on service user accessibility, survey data indicates that the majority of FaRS service users are paying fees and th</w:t>
                  </w:r>
                  <w:r w:rsidR="00D40725">
                    <w:rPr>
                      <w:rStyle w:val="Text-Bold"/>
                      <w:b w:val="0"/>
                    </w:rPr>
                    <w:t xml:space="preserve">at </w:t>
                  </w:r>
                  <w:r w:rsidR="00555EBB" w:rsidRPr="00555EBB">
                    <w:rPr>
                      <w:rStyle w:val="Text-Bold"/>
                      <w:b w:val="0"/>
                    </w:rPr>
                    <w:t xml:space="preserve">they </w:t>
                  </w:r>
                  <w:r w:rsidR="00D40725">
                    <w:rPr>
                      <w:rStyle w:val="Text-Bold"/>
                      <w:b w:val="0"/>
                    </w:rPr>
                    <w:t>consider the</w:t>
                  </w:r>
                  <w:r w:rsidR="00555EBB" w:rsidRPr="00555EBB">
                    <w:rPr>
                      <w:rStyle w:val="Text-Bold"/>
                      <w:b w:val="0"/>
                    </w:rPr>
                    <w:t xml:space="preserve"> fees </w:t>
                  </w:r>
                  <w:r w:rsidR="00D40725">
                    <w:rPr>
                      <w:rStyle w:val="Text-Bold"/>
                      <w:b w:val="0"/>
                    </w:rPr>
                    <w:t>to be</w:t>
                  </w:r>
                  <w:r w:rsidR="00555EBB" w:rsidRPr="00555EBB">
                    <w:rPr>
                      <w:rStyle w:val="Text-Bold"/>
                      <w:b w:val="0"/>
                    </w:rPr>
                    <w:t xml:space="preserve"> ‘reasonable’ (see </w:t>
                  </w:r>
                  <w:r w:rsidR="00430BEE" w:rsidRPr="00DD0F1E">
                    <w:rPr>
                      <w:rStyle w:val="Text-Bold"/>
                      <w:b w:val="0"/>
                    </w:rPr>
                    <w:fldChar w:fldCharType="begin" w:fldLock="1"/>
                  </w:r>
                  <w:r w:rsidR="00430BEE" w:rsidRPr="00DD0F1E">
                    <w:rPr>
                      <w:rStyle w:val="Text-Bold"/>
                      <w:b w:val="0"/>
                    </w:rPr>
                    <w:instrText xml:space="preserve"> REF _Ref204711485 \h  \* MERGEFORMAT </w:instrText>
                  </w:r>
                  <w:r w:rsidR="00430BEE" w:rsidRPr="00DD0F1E">
                    <w:rPr>
                      <w:rStyle w:val="Text-Bold"/>
                      <w:b w:val="0"/>
                    </w:rPr>
                  </w:r>
                  <w:r w:rsidR="00430BEE" w:rsidRPr="00DD0F1E">
                    <w:rPr>
                      <w:rStyle w:val="Text-Bold"/>
                      <w:b w:val="0"/>
                    </w:rPr>
                    <w:fldChar w:fldCharType="separate"/>
                  </w:r>
                  <w:r w:rsidR="008F22E5" w:rsidRPr="008F22E5">
                    <w:rPr>
                      <w:b/>
                    </w:rPr>
                    <w:t xml:space="preserve">Figure </w:t>
                  </w:r>
                  <w:r w:rsidR="008F22E5" w:rsidRPr="008F22E5">
                    <w:rPr>
                      <w:b/>
                      <w:bCs/>
                      <w:noProof/>
                    </w:rPr>
                    <w:t>47</w:t>
                  </w:r>
                  <w:r w:rsidR="00430BEE" w:rsidRPr="00DD0F1E">
                    <w:rPr>
                      <w:rStyle w:val="Text-Bold"/>
                      <w:b w:val="0"/>
                    </w:rPr>
                    <w:fldChar w:fldCharType="end"/>
                  </w:r>
                  <w:r w:rsidR="00E4509B">
                    <w:rPr>
                      <w:rStyle w:val="Text-Bold"/>
                      <w:b w:val="0"/>
                    </w:rPr>
                    <w:t xml:space="preserve"> below</w:t>
                  </w:r>
                  <w:r w:rsidR="00555EBB" w:rsidRPr="00555EBB">
                    <w:rPr>
                      <w:rStyle w:val="Text-Bold"/>
                      <w:b w:val="0"/>
                    </w:rPr>
                    <w:t xml:space="preserve">). </w:t>
                  </w:r>
                  <w:r w:rsidR="002A235A">
                    <w:rPr>
                      <w:rStyle w:val="Text-Bold"/>
                      <w:b w:val="0"/>
                    </w:rPr>
                    <w:t>F</w:t>
                  </w:r>
                  <w:r w:rsidR="00555EBB" w:rsidRPr="00555EBB">
                    <w:rPr>
                      <w:rStyle w:val="Text-Bold"/>
                      <w:b w:val="0"/>
                    </w:rPr>
                    <w:t>ee-paying FaRS service user survey respondents mostly reported accessing counselling (n=122), alongside education programs, information and advice, and referrals to other programs. A minority (n=12) did not access counselling, instead accessing education programs, information and advice, case management</w:t>
                  </w:r>
                  <w:r w:rsidR="001934E0">
                    <w:rPr>
                      <w:rStyle w:val="Text-Bold"/>
                      <w:b w:val="0"/>
                    </w:rPr>
                    <w:t>,</w:t>
                  </w:r>
                  <w:r w:rsidR="00555EBB" w:rsidRPr="00555EBB">
                    <w:rPr>
                      <w:rStyle w:val="Text-Bold"/>
                      <w:b w:val="0"/>
                    </w:rPr>
                    <w:t xml:space="preserve"> and/or referrals.</w:t>
                  </w:r>
                </w:p>
                <w:p w14:paraId="1B42DA52" w14:textId="12EDFDEA" w:rsidR="00430BEE" w:rsidRDefault="00430BEE" w:rsidP="00811E31">
                  <w:pPr>
                    <w:pStyle w:val="TableFigure-Header"/>
                    <w:spacing w:line="276" w:lineRule="auto"/>
                    <w:rPr>
                      <w:rStyle w:val="Text-Bold"/>
                      <w:b/>
                      <w:lang w:val="en-NZ"/>
                    </w:rPr>
                  </w:pPr>
                  <w:bookmarkStart w:id="529" w:name="_Ref204852094"/>
                  <w:bookmarkStart w:id="530" w:name="_Ref204711485"/>
                  <w:bookmarkStart w:id="531" w:name="_Toc205413089"/>
                  <w:bookmarkStart w:id="532" w:name="_Toc205413143"/>
                  <w:r>
                    <w:t>Figure</w:t>
                  </w:r>
                  <w:bookmarkEnd w:id="529"/>
                  <w:r>
                    <w:t xml:space="preserve"> </w:t>
                  </w:r>
                  <w:r w:rsidR="008D2566">
                    <w:fldChar w:fldCharType="begin"/>
                  </w:r>
                  <w:r w:rsidR="008D2566">
                    <w:instrText xml:space="preserve"> SEQ Figure \* ARABIC </w:instrText>
                  </w:r>
                  <w:r w:rsidR="008D2566">
                    <w:fldChar w:fldCharType="separate"/>
                  </w:r>
                  <w:r w:rsidR="008D2566">
                    <w:rPr>
                      <w:noProof/>
                    </w:rPr>
                    <w:t>47</w:t>
                  </w:r>
                  <w:r w:rsidR="008D2566">
                    <w:rPr>
                      <w:noProof/>
                    </w:rPr>
                    <w:fldChar w:fldCharType="end"/>
                  </w:r>
                  <w:bookmarkEnd w:id="530"/>
                  <w:r>
                    <w:t xml:space="preserve">: </w:t>
                  </w:r>
                  <w:bookmarkStart w:id="533" w:name="_Ref208576261"/>
                  <w:r w:rsidRPr="006F312C">
                    <w:t>FaRS service user feedback on fees</w:t>
                  </w:r>
                  <w:bookmarkEnd w:id="531"/>
                  <w:bookmarkEnd w:id="532"/>
                  <w:bookmarkEnd w:id="533"/>
                  <w:r w:rsidR="002B47C3">
                    <w:t xml:space="preserve"> </w:t>
                  </w:r>
                </w:p>
                <w:p w14:paraId="7E694004" w14:textId="7BD149FD" w:rsidR="00295A9B" w:rsidRPr="00295A9B" w:rsidRDefault="00DC7EB2" w:rsidP="00295A9B">
                  <w:pPr>
                    <w:pStyle w:val="TableFigureTitle"/>
                  </w:pPr>
                  <w:r>
                    <w:rPr>
                      <w:noProof/>
                    </w:rPr>
                    <w:drawing>
                      <wp:inline distT="0" distB="0" distL="0" distR="0" wp14:anchorId="0F684A3F" wp14:editId="5CF47A23">
                        <wp:extent cx="5832036" cy="2649588"/>
                        <wp:effectExtent l="0" t="0" r="0" b="0"/>
                        <wp:docPr id="768748190" name="Picture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748190" name="Picture 12">
                                  <a:extLst>
                                    <a:ext uri="{C183D7F6-B498-43B3-948B-1728B52AA6E4}">
                                      <adec:decorative xmlns:adec="http://schemas.microsoft.com/office/drawing/2017/decorative" val="1"/>
                                    </a:ext>
                                  </a:extLst>
                                </pic:cNvPr>
                                <pic:cNvPicPr>
                                  <a:picLocks noChangeAspect="1" noChangeArrowheads="1"/>
                                </pic:cNvPicPr>
                              </pic:nvPicPr>
                              <pic:blipFill>
                                <a:blip r:embed="rId125" cstate="print">
                                  <a:extLst>
                                    <a:ext uri="{28A0092B-C50C-407E-A947-70E740481C1C}">
                                      <a14:useLocalDpi xmlns:a14="http://schemas.microsoft.com/office/drawing/2010/main" val="0"/>
                                    </a:ext>
                                  </a:extLst>
                                </a:blip>
                                <a:stretch>
                                  <a:fillRect/>
                                </a:stretch>
                              </pic:blipFill>
                              <pic:spPr bwMode="auto">
                                <a:xfrm>
                                  <a:off x="0" y="0"/>
                                  <a:ext cx="5832036" cy="2649588"/>
                                </a:xfrm>
                                <a:prstGeom prst="rect">
                                  <a:avLst/>
                                </a:prstGeom>
                                <a:noFill/>
                              </pic:spPr>
                            </pic:pic>
                          </a:graphicData>
                        </a:graphic>
                      </wp:inline>
                    </w:drawing>
                  </w:r>
                </w:p>
                <w:p w14:paraId="552C1A5B" w14:textId="77777777" w:rsidR="00A82188" w:rsidRPr="00F702A2" w:rsidRDefault="005674C7" w:rsidP="00A82188">
                  <w:pPr>
                    <w:pStyle w:val="TableFigure-Notes"/>
                    <w:rPr>
                      <w:rStyle w:val="Text-Bold"/>
                      <w:b w:val="0"/>
                      <w:i/>
                      <w:iCs/>
                      <w:sz w:val="20"/>
                      <w:szCs w:val="20"/>
                    </w:rPr>
                  </w:pPr>
                  <w:r w:rsidRPr="00F702A2">
                    <w:rPr>
                      <w:rStyle w:val="Text-Bold"/>
                      <w:b w:val="0"/>
                      <w:i/>
                      <w:iCs/>
                      <w:sz w:val="20"/>
                      <w:szCs w:val="20"/>
                    </w:rPr>
                    <w:lastRenderedPageBreak/>
                    <w:t>Source: Service user survey</w:t>
                  </w:r>
                  <w:r w:rsidR="00BC6599" w:rsidRPr="00F702A2">
                    <w:rPr>
                      <w:rStyle w:val="Text-Bold"/>
                      <w:b w:val="0"/>
                      <w:i/>
                      <w:iCs/>
                      <w:sz w:val="20"/>
                      <w:szCs w:val="20"/>
                    </w:rPr>
                    <w:t xml:space="preserve"> data</w:t>
                  </w:r>
                </w:p>
                <w:p w14:paraId="10D50023" w14:textId="712DA2D9" w:rsidR="00EE2797" w:rsidRDefault="00430BEE" w:rsidP="00AC5D86">
                  <w:pPr>
                    <w:pStyle w:val="Text"/>
                  </w:pPr>
                  <w:bookmarkStart w:id="534" w:name="_Ref203060528"/>
                  <w:r>
                    <w:t>T</w:t>
                  </w:r>
                  <w:r w:rsidR="00AC5D86" w:rsidRPr="00AC5D86">
                    <w:t>he majority of FaRS service users who accessed counselling reported paying either $31-60 (n=48, 35.8%) or $61-90 (n=47, 35.1%) to access counselling services</w:t>
                  </w:r>
                  <w:r>
                    <w:t xml:space="preserve"> (see </w:t>
                  </w:r>
                  <w:r w:rsidRPr="00832F44">
                    <w:rPr>
                      <w:b/>
                      <w:bCs/>
                    </w:rPr>
                    <w:fldChar w:fldCharType="begin" w:fldLock="1"/>
                  </w:r>
                  <w:r w:rsidRPr="00832F44">
                    <w:rPr>
                      <w:b/>
                      <w:bCs/>
                    </w:rPr>
                    <w:instrText xml:space="preserve"> REF _Ref204711520 \h  \* MERGEFORMAT </w:instrText>
                  </w:r>
                  <w:r w:rsidRPr="00832F44">
                    <w:rPr>
                      <w:b/>
                      <w:bCs/>
                    </w:rPr>
                  </w:r>
                  <w:r w:rsidRPr="00832F44">
                    <w:rPr>
                      <w:b/>
                      <w:bCs/>
                    </w:rPr>
                    <w:fldChar w:fldCharType="separate"/>
                  </w:r>
                  <w:r w:rsidR="008F22E5" w:rsidRPr="008F22E5">
                    <w:rPr>
                      <w:b/>
                      <w:bCs/>
                    </w:rPr>
                    <w:t xml:space="preserve">Figure </w:t>
                  </w:r>
                  <w:r w:rsidR="008F22E5" w:rsidRPr="008F22E5">
                    <w:rPr>
                      <w:b/>
                      <w:bCs/>
                      <w:noProof/>
                    </w:rPr>
                    <w:t>48</w:t>
                  </w:r>
                  <w:r w:rsidRPr="00832F44">
                    <w:rPr>
                      <w:b/>
                      <w:bCs/>
                    </w:rPr>
                    <w:fldChar w:fldCharType="end"/>
                  </w:r>
                  <w:r w:rsidR="00E4509B" w:rsidRPr="00832F44">
                    <w:rPr>
                      <w:b/>
                      <w:bCs/>
                    </w:rPr>
                    <w:t xml:space="preserve"> </w:t>
                  </w:r>
                  <w:r w:rsidR="00E4509B" w:rsidRPr="00E4509B">
                    <w:t>below</w:t>
                  </w:r>
                  <w:r w:rsidRPr="00430BEE">
                    <w:t>)</w:t>
                  </w:r>
                  <w:r w:rsidR="00AC5D86" w:rsidRPr="00AC5D86">
                    <w:t>. As shown above, the majority (n=111) found these fees to be ‘reasonable’ with only 5.2% (n=6) disagreeing or strong</w:t>
                  </w:r>
                  <w:r w:rsidR="00043492">
                    <w:t>ly</w:t>
                  </w:r>
                  <w:r w:rsidR="00AC5D86" w:rsidRPr="00AC5D86">
                    <w:t xml:space="preserve"> disagreeing. </w:t>
                  </w:r>
                </w:p>
                <w:p w14:paraId="1625A7AF" w14:textId="3F0E6ECD" w:rsidR="005674C7" w:rsidRDefault="005674C7" w:rsidP="00811E31">
                  <w:pPr>
                    <w:pStyle w:val="TableFigure-Header"/>
                    <w:spacing w:line="276" w:lineRule="auto"/>
                  </w:pPr>
                  <w:bookmarkStart w:id="535" w:name="_Ref204852040"/>
                  <w:bookmarkStart w:id="536" w:name="_Ref204711520"/>
                  <w:bookmarkStart w:id="537" w:name="_Toc205413090"/>
                  <w:bookmarkStart w:id="538" w:name="_Toc205413144"/>
                  <w:r w:rsidRPr="2E2C983E">
                    <w:rPr>
                      <w:lang w:val="en-NZ"/>
                    </w:rPr>
                    <w:t>Figure</w:t>
                  </w:r>
                  <w:bookmarkEnd w:id="535"/>
                  <w:r w:rsidRPr="2E2C983E">
                    <w:rPr>
                      <w:lang w:val="en-NZ"/>
                    </w:rPr>
                    <w:t xml:space="preserve"> </w:t>
                  </w:r>
                  <w:r w:rsidR="00C64C3D">
                    <w:rPr>
                      <w:lang w:val="en-NZ"/>
                    </w:rPr>
                    <w:fldChar w:fldCharType="begin"/>
                  </w:r>
                  <w:r w:rsidR="00C64C3D">
                    <w:rPr>
                      <w:lang w:val="en-NZ"/>
                    </w:rPr>
                    <w:instrText xml:space="preserve"> SEQ Figure \* ARABIC </w:instrText>
                  </w:r>
                  <w:r w:rsidR="00C64C3D">
                    <w:rPr>
                      <w:lang w:val="en-NZ"/>
                    </w:rPr>
                    <w:fldChar w:fldCharType="separate"/>
                  </w:r>
                  <w:r w:rsidR="008D2566">
                    <w:rPr>
                      <w:noProof/>
                      <w:lang w:val="en-NZ"/>
                    </w:rPr>
                    <w:t>48</w:t>
                  </w:r>
                  <w:r w:rsidR="00C64C3D">
                    <w:rPr>
                      <w:lang w:val="en-NZ"/>
                    </w:rPr>
                    <w:fldChar w:fldCharType="end"/>
                  </w:r>
                  <w:bookmarkEnd w:id="534"/>
                  <w:bookmarkEnd w:id="536"/>
                  <w:r w:rsidRPr="2E2C983E">
                    <w:rPr>
                      <w:lang w:val="en-NZ"/>
                    </w:rPr>
                    <w:t>: How much did you have to pay per session</w:t>
                  </w:r>
                  <w:r w:rsidR="002B6A51" w:rsidRPr="2E2C983E">
                    <w:rPr>
                      <w:lang w:val="en-NZ"/>
                    </w:rPr>
                    <w:t>,</w:t>
                  </w:r>
                  <w:r w:rsidR="0003324B" w:rsidRPr="2E2C983E">
                    <w:rPr>
                      <w:lang w:val="en-NZ"/>
                    </w:rPr>
                    <w:t xml:space="preserve"> </w:t>
                  </w:r>
                  <w:r w:rsidRPr="2E2C983E">
                    <w:rPr>
                      <w:lang w:val="en-NZ"/>
                    </w:rPr>
                    <w:t>FaRS</w:t>
                  </w:r>
                  <w:r w:rsidR="0003324B" w:rsidRPr="2E2C983E">
                    <w:rPr>
                      <w:lang w:val="en-NZ"/>
                    </w:rPr>
                    <w:t xml:space="preserve"> service users</w:t>
                  </w:r>
                  <w:r w:rsidRPr="2E2C983E">
                    <w:rPr>
                      <w:lang w:val="en-NZ"/>
                    </w:rPr>
                    <w:t xml:space="preserve"> (n=140)</w:t>
                  </w:r>
                  <w:bookmarkEnd w:id="537"/>
                  <w:bookmarkEnd w:id="538"/>
                </w:p>
                <w:p w14:paraId="3D9E9760" w14:textId="27C933EB" w:rsidR="005674C7" w:rsidRPr="004346CD" w:rsidRDefault="0073765F" w:rsidP="005674C7">
                  <w:pPr>
                    <w:pStyle w:val="TableFigureTitle"/>
                  </w:pPr>
                  <w:r w:rsidRPr="00DC16C5">
                    <w:rPr>
                      <w:noProof/>
                      <w:color w:val="A6B4BE" w:themeColor="accent2" w:themeTint="66"/>
                    </w:rPr>
                    <w:drawing>
                      <wp:inline distT="0" distB="0" distL="0" distR="0" wp14:anchorId="6CD9845A" wp14:editId="2FD89391">
                        <wp:extent cx="5731933" cy="3208867"/>
                        <wp:effectExtent l="0" t="0" r="2540" b="10795"/>
                        <wp:docPr id="435425965" name="Chart 1">
                          <a:extLst xmlns:a="http://schemas.openxmlformats.org/drawingml/2006/main">
                            <a:ext uri="{FF2B5EF4-FFF2-40B4-BE49-F238E27FC236}">
                              <a16:creationId xmlns:a16="http://schemas.microsoft.com/office/drawing/2014/main" id="{881562A6-E929-52B2-87EB-1C5940524AF4}"/>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6"/>
                          </a:graphicData>
                        </a:graphic>
                      </wp:inline>
                    </w:drawing>
                  </w:r>
                </w:p>
                <w:p w14:paraId="08221D90" w14:textId="1864B416" w:rsidR="005674C7" w:rsidRPr="00F702A2" w:rsidRDefault="005674C7" w:rsidP="005674C7">
                  <w:pPr>
                    <w:pStyle w:val="TableFigure-Notes"/>
                    <w:rPr>
                      <w:rStyle w:val="Text-Bold"/>
                      <w:b w:val="0"/>
                      <w:i/>
                      <w:sz w:val="20"/>
                      <w:szCs w:val="20"/>
                    </w:rPr>
                  </w:pPr>
                  <w:r w:rsidRPr="00F702A2">
                    <w:rPr>
                      <w:rStyle w:val="Text-Bold"/>
                      <w:b w:val="0"/>
                      <w:i/>
                      <w:sz w:val="20"/>
                      <w:szCs w:val="20"/>
                    </w:rPr>
                    <w:t>Source: Service user survey</w:t>
                  </w:r>
                  <w:r w:rsidR="00BC6599" w:rsidRPr="00F702A2">
                    <w:rPr>
                      <w:rStyle w:val="Text-Bold"/>
                      <w:b w:val="0"/>
                      <w:i/>
                      <w:sz w:val="20"/>
                      <w:szCs w:val="20"/>
                    </w:rPr>
                    <w:t xml:space="preserve"> data</w:t>
                  </w:r>
                </w:p>
                <w:p w14:paraId="0A310798" w14:textId="33FA053E" w:rsidR="002540E5" w:rsidRDefault="005674C7" w:rsidP="005674C7">
                  <w:pPr>
                    <w:pStyle w:val="Text"/>
                    <w:rPr>
                      <w:rStyle w:val="Text-Bold"/>
                      <w:b w:val="0"/>
                    </w:rPr>
                  </w:pPr>
                  <w:r>
                    <w:rPr>
                      <w:rStyle w:val="Text-Bold"/>
                      <w:b w:val="0"/>
                    </w:rPr>
                    <w:t>This suggest</w:t>
                  </w:r>
                  <w:r w:rsidR="00B97CD9">
                    <w:rPr>
                      <w:rStyle w:val="Text-Bold"/>
                      <w:b w:val="0"/>
                    </w:rPr>
                    <w:t>s</w:t>
                  </w:r>
                  <w:r>
                    <w:rPr>
                      <w:rStyle w:val="Text-Bold"/>
                      <w:b w:val="0"/>
                    </w:rPr>
                    <w:t xml:space="preserve"> that when fees are charged</w:t>
                  </w:r>
                  <w:r w:rsidR="0003324B">
                    <w:rPr>
                      <w:rStyle w:val="Text-Bold"/>
                      <w:b w:val="0"/>
                    </w:rPr>
                    <w:t>,</w:t>
                  </w:r>
                  <w:r>
                    <w:rPr>
                      <w:rStyle w:val="Text-Bold"/>
                      <w:b w:val="0"/>
                    </w:rPr>
                    <w:t xml:space="preserve"> they are not creating a barrier to accessibility, allowing services to more successfully reach target cohorts, </w:t>
                  </w:r>
                  <w:r w:rsidR="00CA586F">
                    <w:rPr>
                      <w:rStyle w:val="Text-Bold"/>
                      <w:b w:val="0"/>
                    </w:rPr>
                    <w:t>while</w:t>
                  </w:r>
                  <w:r>
                    <w:rPr>
                      <w:rStyle w:val="Text-Bold"/>
                      <w:b w:val="0"/>
                    </w:rPr>
                    <w:t xml:space="preserve"> maintaining a degree of financial sustainability. </w:t>
                  </w:r>
                </w:p>
                <w:p w14:paraId="24E7A553" w14:textId="086FCEDC" w:rsidR="002540E5" w:rsidRPr="002540E5" w:rsidRDefault="002540E5" w:rsidP="002540E5">
                  <w:pPr>
                    <w:pBdr>
                      <w:left w:val="single" w:sz="18" w:space="4" w:color="78B800" w:themeColor="accent1"/>
                    </w:pBdr>
                    <w:tabs>
                      <w:tab w:val="left" w:pos="8080"/>
                    </w:tabs>
                    <w:spacing w:after="0"/>
                    <w:ind w:left="851" w:right="949"/>
                    <w:rPr>
                      <w:rStyle w:val="Text-Bold"/>
                      <w:bCs/>
                      <w:i/>
                      <w:iCs/>
                    </w:rPr>
                  </w:pPr>
                  <w:r w:rsidRPr="00336D16">
                    <w:rPr>
                      <w:noProof/>
                    </w:rPr>
                    <w:drawing>
                      <wp:anchor distT="0" distB="0" distL="114300" distR="114300" simplePos="0" relativeHeight="251658449" behindDoc="0" locked="1" layoutInCell="1" allowOverlap="1" wp14:anchorId="499A259B" wp14:editId="06F5EE11">
                        <wp:simplePos x="0" y="0"/>
                        <wp:positionH relativeFrom="column">
                          <wp:posOffset>0</wp:posOffset>
                        </wp:positionH>
                        <wp:positionV relativeFrom="paragraph">
                          <wp:posOffset>0</wp:posOffset>
                        </wp:positionV>
                        <wp:extent cx="384810" cy="320040"/>
                        <wp:effectExtent l="0" t="0" r="0" b="3810"/>
                        <wp:wrapNone/>
                        <wp:docPr id="1204551814" name="Graphic 1204551814" descr="P4482#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551814" name="Graphic 1204551814" descr="P4482#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i/>
                      <w:iCs/>
                    </w:rPr>
                    <w:t>[</w:t>
                  </w:r>
                  <w:r w:rsidRPr="00336D16">
                    <w:rPr>
                      <w:i/>
                      <w:iCs/>
                    </w:rPr>
                    <w:t>Counselling services for victim-survivors] are very important to creating healthy relationships for people like myself that can’t afford private treatments</w:t>
                  </w:r>
                  <w:r>
                    <w:rPr>
                      <w:i/>
                      <w:iCs/>
                    </w:rPr>
                    <w:t xml:space="preserve"> </w:t>
                  </w:r>
                  <w:r w:rsidRPr="00090EAC">
                    <w:rPr>
                      <w:b/>
                      <w:bCs/>
                      <w:i/>
                      <w:iCs/>
                    </w:rPr>
                    <w:t xml:space="preserve">– </w:t>
                  </w:r>
                  <w:r>
                    <w:rPr>
                      <w:b/>
                      <w:bCs/>
                      <w:i/>
                      <w:iCs/>
                    </w:rPr>
                    <w:t>FaRS</w:t>
                  </w:r>
                  <w:r w:rsidRPr="00090EAC">
                    <w:rPr>
                      <w:b/>
                      <w:bCs/>
                      <w:i/>
                      <w:iCs/>
                    </w:rPr>
                    <w:t xml:space="preserve"> service </w:t>
                  </w:r>
                  <w:r>
                    <w:rPr>
                      <w:b/>
                      <w:bCs/>
                      <w:i/>
                      <w:iCs/>
                    </w:rPr>
                    <w:t>user</w:t>
                  </w:r>
                </w:p>
                <w:p w14:paraId="4CEF0EEB" w14:textId="1E4DC89B" w:rsidR="005674C7" w:rsidRPr="000C09BF" w:rsidRDefault="007935F8" w:rsidP="00321BC5">
                  <w:pPr>
                    <w:pStyle w:val="Text"/>
                    <w:spacing w:before="360"/>
                  </w:pPr>
                  <w:r w:rsidRPr="00321BC5">
                    <w:rPr>
                      <w:b/>
                      <w:color w:val="36424A" w:themeColor="background2"/>
                    </w:rPr>
                    <w:t xml:space="preserve">Data and information systems </w:t>
                  </w:r>
                </w:p>
                <w:p w14:paraId="225D67F9" w14:textId="19A7ED7F" w:rsidR="00C74414" w:rsidRPr="0094447D" w:rsidRDefault="00C74414" w:rsidP="002412D3">
                  <w:pPr>
                    <w:pStyle w:val="Bullet1"/>
                    <w:numPr>
                      <w:ilvl w:val="0"/>
                      <w:numId w:val="0"/>
                    </w:numPr>
                  </w:pPr>
                  <w:r>
                    <w:t>Literature indicates that i</w:t>
                  </w:r>
                  <w:r w:rsidRPr="0094447D">
                    <w:t xml:space="preserve">nconsistent </w:t>
                  </w:r>
                  <w:r w:rsidR="001D1403">
                    <w:t>service user</w:t>
                  </w:r>
                  <w:r w:rsidRPr="0094447D">
                    <w:t xml:space="preserve"> data systems create challenges in service coordination and continuity of care. Standardised, shared data systems are essential for improving service efficiency, supporting continuity, and reducing the administrative load on families seeking support </w:t>
                  </w:r>
                  <w:r w:rsidRPr="0094447D">
                    <w:fldChar w:fldCharType="begin"/>
                  </w:r>
                  <w:r w:rsidR="00E41D03">
                    <w:instrText xml:space="preserve"> ADDIN ZOTERO_ITEM CSL_CITATION {"citationID":"Cq2ngKE5","properties":{"formattedCitation":"(Honisett et al., 2022; Wendt et al., 2021)","plainCitation":"(Honisett et al., 2022; Wendt et al., 2021)","noteIndex":0},"citationItems":[{"id":4721,"uris":["http://zotero.org/groups/5691188/items/W9BNSM2E"],"itemData":{"id":4721,"type":"article-journal","abstract":"Objectives: Explore the feasibility of an integrated Child and Family Hub within Victorian Community Health Services (CHS) to identify and respond to family adversities as preventable determinants of child mental health problems.\nMethods: Thirteen Victorian CHS staff and government policy makers (PMs), recruited via snowball sampling, participated in semi-structured interviews exploring: 1) barriers and facilitators for implementing a hub; 2) feasibility of a proposed integrated hub; and 3) resources needed to scale and sustain a hub. Transcripts were analysed employing framework analysis.\nResults: 1) Barriers included inadequate and activity-based funding, inability to fund community paediatricians and inadequate workforce competencies. Facilitators included CHS engagement with vulnerable communities and readiness to act. 2) The proposed hub model was identified as feasible to implement. Local co-design, co-location, and virtual delivery would support hub implementation. 3) To sustainably scale a hub, clear policy leadership and workforce and funding model reviews are needed.\nConclusions: A hub was perceived as feasible when based in CHS; however, local and systemwide issues need consideration to support its sustainable scaling. Implications for public health: Findings will inform the scaling of hub models of care across Victoria and other states to potentially optimise broader child and family health outcomes.","container-title":"Australian and New Zealand Journal of Public Health","DOI":"10.1111/1753-6405.13292","ISSN":"13260200","issue":"6","journalAbbreviation":"Australian and New Zealand Journal of Public Health","language":"en","page":"784-793","source":"DOI.org (Crossref)","title":"The feasibility of a Child and Family Hub within Victorian Community Health Services: a qualitative study","title-short":"The feasibility of a Child and Family Hub within Victorian Community Health Services","volume":"46","author":[{"family":"Honisett","given":"Suzy"},{"family":"Hall","given":"Teresa"},{"family":"Hiscock","given":"Harriet"},{"family":"Goldfeld","given":"Sharon"}],"issued":{"date-parts":[["2022",12]]}}},{"id":4750,"uris":["http://zotero.org/groups/5691188/items/587S2VGM"],"itemData":{"id":4750,"type":"article-journal","abstract":"Collaboration across child protection and domestic and family violence (DFV) sectors have long been sought despite the competing priorities found in these practice fields. This article describes a research partnership that aimed to explore the competing priorities by focusing on how workers interact across child protection and DFV specialist agencies. Using a Living Lab Approach, enabled twelve focus groups with child protection and DFV social workers (n ¼ 100). Thematic analysis was conducted, and it was found that diverse understandings of DFV created tensions when trying to form collaborations. These tensions were often amplified when other intersecting issues were present in family lives such as drug and alcohol and mental health problems. Understandings of Aboriginal cultural safety, and religious and culture impacts for cultural and linguistically diverse families were unintentionally sidelined. However, practitioners also formed common understandings of opportunities to progress and sustain collaboration across the sectors. The Living Lab Approach facilitated the development of a policy and practice guide for child protection to support future work. This has implications for social work practice because the Living Lab Approach enabled a call for a consistent approach to DFV that should be gender sensitive, trauma informed and culturally safe, and collaboration at practitioner, team and organisational levels.","container-title":"The British Journal of Social Work","DOI":"10.1093/bjsw/bcaa206","ISSN":"0045-3102, 1468-263X","issue":"2","language":"en","license":"https://academic.oup.com/journals/pages/open_access/funder_policies/chorus/standard_publication_model","page":"692-711","source":"DOI.org (Crossref)","title":"Building Collaboration with Child Protection and Domestic and Family Violence Sectors: Trialling a Living Lab Approach","title-short":"Building Collaboration with Child Protection and Domestic and Family Violence Sectors","volume":"51","author":[{"family":"Wendt","given":"Sarah"},{"family":"Bastian","given":"Carmela"},{"family":"Jones","given":"Michelle"}],"issued":{"date-parts":[["2021",4,3]]}}}],"schema":"https://github.com/citation-style-language/schema/raw/master/csl-citation.json"} </w:instrText>
                  </w:r>
                  <w:r w:rsidRPr="0094447D">
                    <w:fldChar w:fldCharType="separate"/>
                  </w:r>
                  <w:r w:rsidRPr="0094447D">
                    <w:t>(Honisett et al., 2022; Wendt et al., 2021)</w:t>
                  </w:r>
                  <w:r w:rsidRPr="0094447D">
                    <w:fldChar w:fldCharType="end"/>
                  </w:r>
                  <w:r w:rsidRPr="0094447D">
                    <w:t>.</w:t>
                  </w:r>
                  <w:r w:rsidR="002412D3">
                    <w:t xml:space="preserve"> Several </w:t>
                  </w:r>
                  <w:r w:rsidR="002412D3" w:rsidRPr="0039082F">
                    <w:t>FaRS and</w:t>
                  </w:r>
                  <w:r w:rsidR="00EE15F5">
                    <w:t xml:space="preserve"> dual</w:t>
                  </w:r>
                  <w:r w:rsidR="002412D3" w:rsidRPr="0039082F">
                    <w:t xml:space="preserve"> FaRS SFVS service providers identified a need for </w:t>
                  </w:r>
                  <w:r w:rsidR="00C62556">
                    <w:t>more</w:t>
                  </w:r>
                  <w:r w:rsidR="002412D3" w:rsidRPr="0039082F">
                    <w:t xml:space="preserve"> outcome-based reporting, adding that the current system creates duplicative reporting across DEX and internal case reporting</w:t>
                  </w:r>
                  <w:r w:rsidR="002412D3">
                    <w:t xml:space="preserve"> </w:t>
                  </w:r>
                  <w:r w:rsidR="002412D3">
                    <w:fldChar w:fldCharType="begin"/>
                  </w:r>
                  <w:r w:rsidR="00E41D03">
                    <w:instrText xml:space="preserve"> ADDIN ZOTERO_ITEM CSL_CITATION {"citationID":"M0EAdMx6","properties":{"formattedCitation":"(Honisett et al., 2022; Kulkarni, 2019)","plainCitation":"(Honisett et al., 2022; Kulkarni, 2019)","noteIndex":0},"citationItems":[{"id":4721,"uris":["http://zotero.org/groups/5691188/items/W9BNSM2E"],"itemData":{"id":4721,"type":"article-journal","abstract":"Objectives: Explore the feasibility of an integrated Child and Family Hub within Victorian Community Health Services (CHS) to identify and respond to family adversities as preventable determinants of child mental health problems.\nMethods: Thirteen Victorian CHS staff and government policy makers (PMs), recruited via snowball sampling, participated in semi-structured interviews exploring: 1) barriers and facilitators for implementing a hub; 2) feasibility of a proposed integrated hub; and 3) resources needed to scale and sustain a hub. Transcripts were analysed employing framework analysis.\nResults: 1) Barriers included inadequate and activity-based funding, inability to fund community paediatricians and inadequate workforce competencies. Facilitators included CHS engagement with vulnerable communities and readiness to act. 2) The proposed hub model was identified as feasible to implement. Local co-design, co-location, and virtual delivery would support hub implementation. 3) To sustainably scale a hub, clear policy leadership and workforce and funding model reviews are needed.\nConclusions: A hub was perceived as feasible when based in CHS; however, local and systemwide issues need consideration to support its sustainable scaling. Implications for public health: Findings will inform the scaling of hub models of care across Victoria and other states to potentially optimise broader child and family health outcomes.","container-title":"Australian and New Zealand Journal of Public Health","DOI":"10.1111/1753-6405.13292","ISSN":"13260200","issue":"6","journalAbbreviation":"Australian and New Zealand Journal of Public Health","language":"en","page":"784-793","source":"DOI.org (Crossref)","title":"The feasibility of a Child and Family Hub within Victorian Community Health Services: a qualitative study","title-short":"The feasibility of a Child and Family Hub within Victorian Community Health Services","volume":"46","author":[{"family":"Honisett","given":"Suzy"},{"family":"Hall","given":"Teresa"},{"family":"Hiscock","given":"Harriet"},{"family":"Goldfeld","given":"Sharon"}],"issued":{"date-parts":[["2022",12]]}}},{"id":4574,"uris":["http://zotero.org/groups/5691188/items/TZPFHZIQ"],"itemData":{"id":4574,"type":"article-journal","abstract":"Over the past 50 years, programs serving intimate partner violence (IPV) survivors have expanded nationally. However, despite IPV program growth service gaps remain, particularly for the most marginalized and vulnerable survivor populations. Emerging practice models call for reimagining current IPV service delivery within an intersectional feminist, trauma-informed framework. An overview of intersectional (e.g. survivor-centered, full-frame, culturally specific) and trauma-informed IPV service approaches will be presented highlighting their shared emphasis on power sharing, authentic survivor-advocate relationships, individualized services, and robust systems advocacy. These approaches have the potential to transform IPV services and narrow service gaps if organizations can embed key elements into program design, implementation and evaluation processes. Recommendations for moving the IPV field forward include: 1) expanding survivors’ roles/input; 2) strengthening funding streams and organizational commitment to antioppressive, survivor-defined, trauma-informed services; 3) forging cross-sector advocacy relationships; and 4) building knowledge through research and evaluation.","container-title":"Journal of Family Violence","DOI":"10.1007/s10896-018-0001-5","ISSN":"0885-7482, 1573-2851","issue":"1","journalAbbreviation":"J Fam Viol","language":"en","page":"55-64","source":"DOI.org (Crossref)","title":"Intersectional Trauma-Informed Intimate Partner Violence (IPV) Services: Narrowing the Gap between IPV Service Delivery and Survivor Needs","title-short":"Intersectional Trauma-Informed Intimate Partner Violence (IPV) Services","volume":"34","author":[{"family":"Kulkarni","given":"Shanti"}],"issued":{"date-parts":[["2019",1,15]]}}}],"schema":"https://github.com/citation-style-language/schema/raw/master/csl-citation.json"} </w:instrText>
                  </w:r>
                  <w:r w:rsidR="002412D3">
                    <w:fldChar w:fldCharType="separate"/>
                  </w:r>
                  <w:r w:rsidR="002412D3" w:rsidRPr="00AC138C">
                    <w:rPr>
                      <w:rFonts w:ascii="Arial" w:hAnsi="Arial" w:cs="Arial"/>
                    </w:rPr>
                    <w:t>(Honisett et al., 2022; Kulkarni, 2019)</w:t>
                  </w:r>
                  <w:r w:rsidR="002412D3">
                    <w:fldChar w:fldCharType="end"/>
                  </w:r>
                  <w:r w:rsidR="002412D3">
                    <w:t xml:space="preserve">. Currently, FaRS and SFVS have a mixture of activity and outcome-focused measures based around number of </w:t>
                  </w:r>
                  <w:r w:rsidR="00E614D3">
                    <w:t xml:space="preserve">service users </w:t>
                  </w:r>
                  <w:r w:rsidR="002412D3">
                    <w:t xml:space="preserve">assisted and service provided and the percentage of </w:t>
                  </w:r>
                  <w:r w:rsidR="00E614D3">
                    <w:t>service users</w:t>
                  </w:r>
                  <w:r w:rsidR="002412D3">
                    <w:t xml:space="preserve"> with improved independence, participation, and </w:t>
                  </w:r>
                  <w:r w:rsidR="002412D3">
                    <w:lastRenderedPageBreak/>
                    <w:t xml:space="preserve">well-being, as well as </w:t>
                  </w:r>
                  <w:r w:rsidR="002412D3" w:rsidRPr="008B7518">
                    <w:t xml:space="preserve">AWP activities completed according to scope, quality, timeframes, and budget. </w:t>
                  </w:r>
                </w:p>
                <w:p w14:paraId="6E7D1CB3" w14:textId="5A4EF009" w:rsidR="0088115F" w:rsidRPr="0088115F" w:rsidRDefault="0088115F" w:rsidP="0088115F">
                  <w:pPr>
                    <w:pStyle w:val="Text"/>
                  </w:pPr>
                  <w:r w:rsidRPr="00EE2797">
                    <w:t xml:space="preserve">Several FaRS and SFVS service providers noted that current DEX </w:t>
                  </w:r>
                  <w:r w:rsidR="00233884" w:rsidRPr="00EE2797">
                    <w:t xml:space="preserve">reporting </w:t>
                  </w:r>
                  <w:r w:rsidRPr="00EE2797">
                    <w:t>fails to capture the nuance of service demand</w:t>
                  </w:r>
                  <w:r w:rsidR="003A53C1">
                    <w:t xml:space="preserve">, the </w:t>
                  </w:r>
                  <w:r w:rsidR="001D1403" w:rsidRPr="00EE2797">
                    <w:t>service user</w:t>
                  </w:r>
                  <w:r w:rsidRPr="00EE2797">
                    <w:t xml:space="preserve"> journey and the extent of work required for effective and impactful service delivery.</w:t>
                  </w:r>
                  <w:r w:rsidR="009E709F" w:rsidRPr="00EE2797">
                    <w:t xml:space="preserve"> This included accounting for the additional work being undertaken by staff to meet the complex needs of service users, including </w:t>
                  </w:r>
                  <w:r w:rsidR="006A64EF" w:rsidRPr="00EE2797">
                    <w:t>case management</w:t>
                  </w:r>
                  <w:r w:rsidR="00820887" w:rsidRPr="00EE2797">
                    <w:t>.</w:t>
                  </w:r>
                  <w:r w:rsidR="00820887">
                    <w:t xml:space="preserve"> </w:t>
                  </w:r>
                  <w:r w:rsidRPr="0088115F">
                    <w:t xml:space="preserve">Interpretation and application of SCORE reporting processes was </w:t>
                  </w:r>
                  <w:r w:rsidR="00A0381F">
                    <w:t>said</w:t>
                  </w:r>
                  <w:r w:rsidRPr="0088115F">
                    <w:t xml:space="preserve"> to vary across services. Some expressed concern that the variations in how people report with SCORE may lead to potential inaccuracies in the recording of participant progress, depending on how a particular program worked and how a participant engaged with it over time. This included participation in a program being staggered due to wait times and other life circumstances</w:t>
                  </w:r>
                  <w:r w:rsidR="00043196">
                    <w:t xml:space="preserve"> and</w:t>
                  </w:r>
                  <w:r w:rsidRPr="0088115F">
                    <w:t xml:space="preserve"> difference in scoring depending on what type of counselling is being delivered, and people scoring themselves lower after successfully completing a program and having increased self-awareness</w:t>
                  </w:r>
                  <w:r w:rsidR="00B906D7">
                    <w:t>.</w:t>
                  </w:r>
                  <w:r w:rsidRPr="0088115F">
                    <w:t xml:space="preserve"> </w:t>
                  </w:r>
                </w:p>
                <w:p w14:paraId="50C2E35B" w14:textId="54488F7F" w:rsidR="0088115F" w:rsidRPr="0088115F" w:rsidRDefault="0088115F" w:rsidP="0088115F">
                  <w:pPr>
                    <w:pStyle w:val="Text"/>
                  </w:pPr>
                  <w:r w:rsidRPr="0088115F">
                    <w:t>In addition,</w:t>
                  </w:r>
                  <w:r w:rsidR="00103CC1">
                    <w:t xml:space="preserve"> s</w:t>
                  </w:r>
                  <w:r w:rsidR="00DF142F">
                    <w:t>everal</w:t>
                  </w:r>
                  <w:r w:rsidRPr="0088115F">
                    <w:t xml:space="preserve"> FaRS and SFVS service provider</w:t>
                  </w:r>
                  <w:r w:rsidR="00270230">
                    <w:t>s</w:t>
                  </w:r>
                  <w:r w:rsidRPr="0088115F">
                    <w:t xml:space="preserve"> said that nuances around service user </w:t>
                  </w:r>
                  <w:r w:rsidR="00B906D7">
                    <w:t>retention</w:t>
                  </w:r>
                  <w:r w:rsidRPr="0088115F">
                    <w:t xml:space="preserve"> rates – for example those who leave MBCPs after completing the court mandated number of sessions – cannot be captured due to the lack of space for qualitative reflections. Some FaRS providers also felt that DEX was inappropriate for brief interventions or group work, in which the intervention cannot reasonably be expected to achieve outcomes on its own but may contribute as part of a broader service response. Several FaRS and SFVS service providers </w:t>
                  </w:r>
                  <w:r w:rsidR="00C62556">
                    <w:t>also</w:t>
                  </w:r>
                  <w:r w:rsidRPr="0088115F">
                    <w:t xml:space="preserve"> said DEX does not adequately reflect the effort and resources which are invested in foundational work to build trust and rapport which as substantiated in available research </w:t>
                  </w:r>
                  <w:r w:rsidRPr="0088115F">
                    <w:fldChar w:fldCharType="begin"/>
                  </w:r>
                  <w:r w:rsidR="00E41D03">
                    <w:instrText xml:space="preserve"> ADDIN ZOTERO_ITEM CSL_CITATION {"citationID":"a1j7su2fll0","properties":{"formattedCitation":"(Brown et al., 2022; Honisett et al., 2022; Kulkarni, 2019)","plainCitation":"(Brown et al., 2022; Honisett et al., 2022; Kulkarni, 2019)","noteIndex":0},"citationItems":[{"id":4668,"uris":["http://zotero.org/groups/5691188/items/CEVFWE68"],"itemData":{"id":4668,"type":"article-journal","container-title":"Cochrane Database of Systematic Reviews","DOI":"10.1002/14651858.CD013648.pub2","ISSN":"14651858","issue":"10","language":"en","source":"DOI.org (Crossref)","title":"Survivor, family and professional experiences of psychosocial interventions for sexual abuse and violence: a qualitative evidence synthesis","title-short":"Survivor, family and professional experiences of psychosocial interventions for sexual abuse and violence","URL":"http://doi.wiley.com/10.1002/14651858.CD013648.pub2","volume":"2022","editor":[{"literal":"Cochrane Developmental, Psychosocial and Learning Problems Group"}],"author":[{"family":"Brown","given":"Sarah"},{"family":"Carter","given":"Grace J"},{"family":"Halliwell","given":"Gemma"},{"family":"Brown","given":"Katherine"},{"family":"Caswell","given":"Rachel"},{"family":"Howarth","given":"Emma"},{"family":"Feder","given":"Gene"},{"family":"O'Doherty","given":"Lorna"}],"accessed":{"date-parts":[["2024",10,4]]},"issued":{"date-parts":[["2022",10,4]]}}},{"id":4721,"uris":["http://zotero.org/groups/5691188/items/W9BNSM2E"],"itemData":{"id":4721,"type":"article-journal","abstract":"Objectives: Explore the feasibility of an integrated Child and Family Hub within Victorian Community Health Services (CHS) to identify and respond to family adversities as preventable determinants of child mental health problems.\nMethods: Thirteen Victorian CHS staff and government policy makers (PMs), recruited via snowball sampling, participated in semi-structured interviews exploring: 1) barriers and facilitators for implementing a hub; 2) feasibility of a proposed integrated hub; and 3) resources needed to scale and sustain a hub. Transcripts were analysed employing framework analysis.\nResults: 1) Barriers included inadequate and activity-based funding, inability to fund community paediatricians and inadequate workforce competencies. Facilitators included CHS engagement with vulnerable communities and readiness to act. 2) The proposed hub model was identified as feasible to implement. Local co-design, co-location, and virtual delivery would support hub implementation. 3) To sustainably scale a hub, clear policy leadership and workforce and funding model reviews are needed.\nConclusions: A hub was perceived as feasible when based in CHS; however, local and systemwide issues need consideration to support its sustainable scaling. Implications for public health: Findings will inform the scaling of hub models of care across Victoria and other states to potentially optimise broader child and family health outcomes.","container-title":"Australian and New Zealand Journal of Public Health","DOI":"10.1111/1753-6405.13292","ISSN":"13260200","issue":"6","journalAbbreviation":"Australian and New Zealand Journal of Public Health","language":"en","page":"784-793","source":"DOI.org (Crossref)","title":"The feasibility of a Child and Family Hub within Victorian Community Health Services: a qualitative study","title-short":"The feasibility of a Child and Family Hub within Victorian Community Health Services","volume":"46","author":[{"family":"Honisett","given":"Suzy"},{"family":"Hall","given":"Teresa"},{"family":"Hiscock","given":"Harriet"},{"family":"Goldfeld","given":"Sharon"}],"issued":{"date-parts":[["2022",12]]}}},{"id":4574,"uris":["http://zotero.org/groups/5691188/items/TZPFHZIQ"],"itemData":{"id":4574,"type":"article-journal","abstract":"Over the past 50 years, programs serving intimate partner violence (IPV) survivors have expanded nationally. However, despite IPV program growth service gaps remain, particularly for the most marginalized and vulnerable survivor populations. Emerging practice models call for reimagining current IPV service delivery within an intersectional feminist, trauma-informed framework. An overview of intersectional (e.g. survivor-centered, full-frame, culturally specific) and trauma-informed IPV service approaches will be presented highlighting their shared emphasis on power sharing, authentic survivor-advocate relationships, individualized services, and robust systems advocacy. These approaches have the potential to transform IPV services and narrow service gaps if organizations can embed key elements into program design, implementation and evaluation processes. Recommendations for moving the IPV field forward include: 1) expanding survivors’ roles/input; 2) strengthening funding streams and organizational commitment to antioppressive, survivor-defined, trauma-informed services; 3) forging cross-sector advocacy relationships; and 4) building knowledge through research and evaluation.","container-title":"Journal of Family Violence","DOI":"10.1007/s10896-018-0001-5","ISSN":"0885-7482, 1573-2851","issue":"1","journalAbbreviation":"J Fam Viol","language":"en","page":"55-64","source":"DOI.org (Crossref)","title":"Intersectional Trauma-Informed Intimate Partner Violence (IPV) Services: Narrowing the Gap between IPV Service Delivery and Survivor Needs","title-short":"Intersectional Trauma-Informed Intimate Partner Violence (IPV) Services","volume":"34","author":[{"family":"Kulkarni","given":"Shanti"}],"issued":{"date-parts":[["2019",1,15]]}}}],"schema":"https://github.com/citation-style-language/schema/raw/master/csl-citation.json"} </w:instrText>
                  </w:r>
                  <w:r w:rsidRPr="0088115F">
                    <w:fldChar w:fldCharType="separate"/>
                  </w:r>
                  <w:r w:rsidR="00AC138C" w:rsidRPr="00AC138C">
                    <w:rPr>
                      <w:rFonts w:ascii="Arial" w:hAnsi="Arial" w:cs="Arial"/>
                    </w:rPr>
                    <w:t>(Brown et al., 2022; Honisett et al., 2022; Kulkarni, 2019)</w:t>
                  </w:r>
                  <w:r w:rsidRPr="0088115F">
                    <w:fldChar w:fldCharType="end"/>
                  </w:r>
                  <w:r w:rsidRPr="0088115F">
                    <w:t xml:space="preserve"> is necessary to support complex </w:t>
                  </w:r>
                  <w:r w:rsidR="00E614D3">
                    <w:t>service users</w:t>
                  </w:r>
                  <w:r w:rsidRPr="0088115F">
                    <w:t>.</w:t>
                  </w:r>
                </w:p>
                <w:p w14:paraId="1A02C5D4" w14:textId="77777777" w:rsidR="00747152" w:rsidRDefault="00747152">
                  <w:pPr>
                    <w:rPr>
                      <w:i/>
                      <w:iCs/>
                    </w:rPr>
                  </w:pPr>
                  <w:r>
                    <w:rPr>
                      <w:i/>
                      <w:iCs/>
                    </w:rPr>
                    <w:br w:type="page"/>
                  </w:r>
                </w:p>
                <w:p w14:paraId="14C3663D" w14:textId="2022D2F3" w:rsidR="005674C7" w:rsidRPr="00104B4B" w:rsidRDefault="005674C7" w:rsidP="005674C7">
                  <w:pPr>
                    <w:pBdr>
                      <w:left w:val="single" w:sz="18" w:space="4" w:color="78B800" w:themeColor="accent1"/>
                    </w:pBdr>
                    <w:tabs>
                      <w:tab w:val="left" w:pos="8080"/>
                    </w:tabs>
                    <w:spacing w:after="0"/>
                    <w:ind w:left="851" w:right="949"/>
                    <w:rPr>
                      <w:i/>
                      <w:iCs/>
                    </w:rPr>
                  </w:pPr>
                  <w:r w:rsidRPr="00336D16">
                    <w:rPr>
                      <w:noProof/>
                    </w:rPr>
                    <w:lastRenderedPageBreak/>
                    <w:drawing>
                      <wp:anchor distT="0" distB="0" distL="114300" distR="114300" simplePos="0" relativeHeight="251658450" behindDoc="0" locked="1" layoutInCell="1" allowOverlap="1" wp14:anchorId="49FBE3D7" wp14:editId="4C0E6264">
                        <wp:simplePos x="0" y="0"/>
                        <wp:positionH relativeFrom="column">
                          <wp:posOffset>0</wp:posOffset>
                        </wp:positionH>
                        <wp:positionV relativeFrom="paragraph">
                          <wp:posOffset>0</wp:posOffset>
                        </wp:positionV>
                        <wp:extent cx="384810" cy="320040"/>
                        <wp:effectExtent l="0" t="0" r="0" b="3810"/>
                        <wp:wrapNone/>
                        <wp:docPr id="1115912808" name="Graphic 1115912808" descr="P4488#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912808" name="Graphic 1115912808" descr="P4488#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85DDA">
                    <w:rPr>
                      <w:i/>
                      <w:iCs/>
                    </w:rPr>
                    <w:t xml:space="preserve">[…] you could be scoring from two [sessions] and they're kind of stayed at the two [sessions] because there's other things that have come up for them, so the goals they've identified […] continue [to be] scored the same. I think that’s really admin heavy […], and [it] doesn’t […] reflect the actual work, the qualitative work […] that has gone into supporting those families or the individual […] I think there's limitations in terms of how we report that [to] really showcase the work that has happened </w:t>
                  </w:r>
                  <w:r w:rsidRPr="0040240B">
                    <w:rPr>
                      <w:b/>
                      <w:bCs/>
                      <w:i/>
                      <w:iCs/>
                    </w:rPr>
                    <w:t>– F</w:t>
                  </w:r>
                  <w:r>
                    <w:rPr>
                      <w:b/>
                      <w:bCs/>
                      <w:i/>
                      <w:iCs/>
                    </w:rPr>
                    <w:t>aRS service provider</w:t>
                  </w:r>
                </w:p>
                <w:p w14:paraId="7C83515D" w14:textId="77777777" w:rsidR="005674C7" w:rsidRDefault="005674C7" w:rsidP="005674C7">
                  <w:pPr>
                    <w:pStyle w:val="Text"/>
                  </w:pPr>
                </w:p>
                <w:p w14:paraId="54D54A2E" w14:textId="2881657C" w:rsidR="005674C7" w:rsidRDefault="005674C7" w:rsidP="005674C7">
                  <w:pPr>
                    <w:pStyle w:val="Text"/>
                  </w:pPr>
                  <w:r>
                    <w:t>Several FaRS and SFVS provider</w:t>
                  </w:r>
                  <w:r w:rsidR="00250CDA">
                    <w:t>s</w:t>
                  </w:r>
                  <w:r>
                    <w:t xml:space="preserve"> noted that d</w:t>
                  </w:r>
                  <w:r w:rsidRPr="00B85DDA">
                    <w:t xml:space="preserve">ata entry and reporting is time consuming for both counsellors and managers with administrative </w:t>
                  </w:r>
                  <w:r w:rsidR="00250CDA">
                    <w:t xml:space="preserve">work </w:t>
                  </w:r>
                  <w:r w:rsidRPr="00B85DDA">
                    <w:t xml:space="preserve">and </w:t>
                  </w:r>
                  <w:r w:rsidR="00250CDA">
                    <w:t>supervision</w:t>
                  </w:r>
                  <w:r w:rsidRPr="00B85DDA">
                    <w:t xml:space="preserve"> required to complete each effectively </w:t>
                  </w:r>
                  <w:r w:rsidR="00756613">
                    <w:t>and</w:t>
                  </w:r>
                  <w:r w:rsidRPr="00B85DDA">
                    <w:t xml:space="preserve"> some duplication of effort from internal systems.</w:t>
                  </w:r>
                  <w:r>
                    <w:t xml:space="preserve"> This reflects feedback provided by SFVS-funded ACCO service providers</w:t>
                  </w:r>
                  <w:r w:rsidR="00A70985">
                    <w:t xml:space="preserve"> </w:t>
                  </w:r>
                  <w:r w:rsidR="00B77E0C">
                    <w:t>(see</w:t>
                  </w:r>
                  <w:r>
                    <w:t xml:space="preserve"> </w:t>
                  </w:r>
                  <w:r w:rsidRPr="008E1B83">
                    <w:rPr>
                      <w:b/>
                    </w:rPr>
                    <w:t xml:space="preserve">Section </w:t>
                  </w:r>
                  <w:r w:rsidR="001F08B2" w:rsidRPr="008E1B83">
                    <w:rPr>
                      <w:b/>
                    </w:rPr>
                    <w:fldChar w:fldCharType="begin" w:fldLock="1"/>
                  </w:r>
                  <w:r w:rsidR="001F08B2" w:rsidRPr="008E1B83">
                    <w:rPr>
                      <w:b/>
                    </w:rPr>
                    <w:instrText xml:space="preserve"> REF _Ref205303865 \r \h </w:instrText>
                  </w:r>
                  <w:r w:rsidR="001F08B2">
                    <w:rPr>
                      <w:b/>
                      <w:bCs/>
                    </w:rPr>
                    <w:instrText xml:space="preserve"> \* MERGEFORMAT </w:instrText>
                  </w:r>
                  <w:r w:rsidR="001F08B2" w:rsidRPr="008E1B83">
                    <w:rPr>
                      <w:b/>
                    </w:rPr>
                  </w:r>
                  <w:r w:rsidR="001F08B2" w:rsidRPr="008E1B83">
                    <w:rPr>
                      <w:b/>
                    </w:rPr>
                    <w:fldChar w:fldCharType="separate"/>
                  </w:r>
                  <w:r w:rsidR="008F22E5">
                    <w:rPr>
                      <w:b/>
                    </w:rPr>
                    <w:t>6.4.3</w:t>
                  </w:r>
                  <w:r w:rsidR="001F08B2" w:rsidRPr="008E1B83">
                    <w:rPr>
                      <w:b/>
                    </w:rPr>
                    <w:fldChar w:fldCharType="end"/>
                  </w:r>
                  <w:r w:rsidR="00B77E0C">
                    <w:t xml:space="preserve"> for more detail). </w:t>
                  </w:r>
                </w:p>
                <w:p w14:paraId="158BA80C" w14:textId="6A9D403D" w:rsidR="005674C7" w:rsidRPr="00C7526D" w:rsidRDefault="005674C7" w:rsidP="005674C7">
                  <w:pPr>
                    <w:pBdr>
                      <w:left w:val="single" w:sz="18" w:space="4" w:color="78B800" w:themeColor="accent1"/>
                    </w:pBdr>
                    <w:tabs>
                      <w:tab w:val="left" w:pos="8080"/>
                    </w:tabs>
                    <w:spacing w:after="0"/>
                    <w:ind w:left="851" w:right="949"/>
                    <w:rPr>
                      <w:i/>
                      <w:iCs/>
                    </w:rPr>
                  </w:pPr>
                  <w:r w:rsidRPr="00336D16">
                    <w:rPr>
                      <w:noProof/>
                    </w:rPr>
                    <w:drawing>
                      <wp:anchor distT="0" distB="0" distL="114300" distR="114300" simplePos="0" relativeHeight="251658451" behindDoc="0" locked="1" layoutInCell="1" allowOverlap="1" wp14:anchorId="384925BF" wp14:editId="0C8451AC">
                        <wp:simplePos x="0" y="0"/>
                        <wp:positionH relativeFrom="column">
                          <wp:posOffset>0</wp:posOffset>
                        </wp:positionH>
                        <wp:positionV relativeFrom="paragraph">
                          <wp:posOffset>0</wp:posOffset>
                        </wp:positionV>
                        <wp:extent cx="384810" cy="320040"/>
                        <wp:effectExtent l="0" t="0" r="0" b="3810"/>
                        <wp:wrapNone/>
                        <wp:docPr id="753113787" name="Graphic 753113787" descr="P4491#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113787" name="Graphic 753113787" descr="P4491#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55167">
                    <w:rPr>
                      <w:i/>
                      <w:iCs/>
                    </w:rPr>
                    <w:t>[…] all the data stuff that’s coming in now […] [is] demanding […] so sometimes you’re taking away the time with the client</w:t>
                  </w:r>
                  <w:r>
                    <w:rPr>
                      <w:b/>
                      <w:bCs/>
                      <w:i/>
                      <w:iCs/>
                    </w:rPr>
                    <w:t xml:space="preserve"> –</w:t>
                  </w:r>
                  <w:r w:rsidR="00E012DB">
                    <w:rPr>
                      <w:b/>
                      <w:bCs/>
                      <w:i/>
                      <w:iCs/>
                    </w:rPr>
                    <w:t xml:space="preserve"> </w:t>
                  </w:r>
                  <w:r>
                    <w:rPr>
                      <w:b/>
                      <w:bCs/>
                      <w:i/>
                      <w:iCs/>
                    </w:rPr>
                    <w:t>SFVS service provider</w:t>
                  </w:r>
                </w:p>
                <w:p w14:paraId="29BA85F7" w14:textId="77777777" w:rsidR="005674C7" w:rsidRDefault="005674C7" w:rsidP="005674C7">
                  <w:pPr>
                    <w:pStyle w:val="Text"/>
                  </w:pPr>
                </w:p>
                <w:p w14:paraId="7A01703E" w14:textId="7015FD55" w:rsidR="00A70985" w:rsidRPr="00312715" w:rsidRDefault="00A70985" w:rsidP="00A70985">
                  <w:pPr>
                    <w:pBdr>
                      <w:left w:val="single" w:sz="18" w:space="4" w:color="78B800" w:themeColor="accent1"/>
                    </w:pBdr>
                    <w:tabs>
                      <w:tab w:val="left" w:pos="8080"/>
                    </w:tabs>
                    <w:spacing w:after="0"/>
                    <w:ind w:left="851" w:right="949"/>
                    <w:rPr>
                      <w:b/>
                      <w:bCs/>
                      <w:i/>
                      <w:iCs/>
                    </w:rPr>
                  </w:pPr>
                  <w:r w:rsidRPr="00336D16">
                    <w:rPr>
                      <w:noProof/>
                    </w:rPr>
                    <w:drawing>
                      <wp:anchor distT="0" distB="0" distL="114300" distR="114300" simplePos="0" relativeHeight="251658452" behindDoc="0" locked="1" layoutInCell="1" allowOverlap="1" wp14:anchorId="243BF5C8" wp14:editId="21287929">
                        <wp:simplePos x="0" y="0"/>
                        <wp:positionH relativeFrom="column">
                          <wp:posOffset>0</wp:posOffset>
                        </wp:positionH>
                        <wp:positionV relativeFrom="paragraph">
                          <wp:posOffset>0</wp:posOffset>
                        </wp:positionV>
                        <wp:extent cx="384810" cy="320040"/>
                        <wp:effectExtent l="0" t="0" r="0" b="3810"/>
                        <wp:wrapNone/>
                        <wp:docPr id="318338606" name="Graphic 318338606" descr="P4493#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338606" name="Graphic 318338606" descr="P4493#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90B6F">
                    <w:rPr>
                      <w:i/>
                      <w:iCs/>
                    </w:rPr>
                    <w:t>So, if I look at particularly just my patch that I'm holding here for all of our translating interpretive services, we're actually using [another funding source] […] [that] enables us to engage interpreters but […] we can't actually report that against [FaRS] when we come to the AWP because it's not mapped to it</w:t>
                  </w:r>
                  <w:r>
                    <w:rPr>
                      <w:i/>
                      <w:iCs/>
                    </w:rPr>
                    <w:t xml:space="preserve"> </w:t>
                  </w:r>
                  <w:r w:rsidRPr="0040240B">
                    <w:rPr>
                      <w:b/>
                      <w:bCs/>
                      <w:i/>
                      <w:iCs/>
                    </w:rPr>
                    <w:t>– F</w:t>
                  </w:r>
                  <w:r>
                    <w:rPr>
                      <w:b/>
                      <w:bCs/>
                      <w:i/>
                      <w:iCs/>
                    </w:rPr>
                    <w:t>aRS service provider</w:t>
                  </w:r>
                </w:p>
                <w:p w14:paraId="575F31AC" w14:textId="77777777" w:rsidR="00A70985" w:rsidRDefault="00A70985" w:rsidP="005674C7">
                  <w:pPr>
                    <w:pStyle w:val="Text"/>
                  </w:pPr>
                </w:p>
                <w:p w14:paraId="474D5499" w14:textId="12B56766" w:rsidR="00820887" w:rsidRDefault="005674C7" w:rsidP="005674C7">
                  <w:pPr>
                    <w:pStyle w:val="Text"/>
                  </w:pPr>
                  <w:r>
                    <w:t xml:space="preserve">Some FaRS service providers noted that AWPs and </w:t>
                  </w:r>
                  <w:r w:rsidR="00C62556">
                    <w:t>KPIs</w:t>
                  </w:r>
                  <w:r>
                    <w:t xml:space="preserve"> were not being refreshed often enough to reflect current demand and service delivery. Other FaRS providers suggested objectives and expectations for funding </w:t>
                  </w:r>
                  <w:r w:rsidR="008D4887">
                    <w:t xml:space="preserve">could be clearer </w:t>
                  </w:r>
                  <w:r>
                    <w:t xml:space="preserve">without being prescriptive to support place-based approaches. </w:t>
                  </w:r>
                  <w:r w:rsidR="00CA586F">
                    <w:t>While</w:t>
                  </w:r>
                  <w:r>
                    <w:t xml:space="preserve"> t</w:t>
                  </w:r>
                  <w:r w:rsidRPr="00B85DDA">
                    <w:t>he flexibility of FaRS</w:t>
                  </w:r>
                  <w:r w:rsidR="00055C17">
                    <w:t xml:space="preserve"> and</w:t>
                  </w:r>
                  <w:r w:rsidRPr="00B85DDA">
                    <w:t xml:space="preserve"> SFVS gives great freedom in application </w:t>
                  </w:r>
                  <w:r>
                    <w:t xml:space="preserve">it </w:t>
                  </w:r>
                  <w:r w:rsidRPr="00B85DDA">
                    <w:t xml:space="preserve">means </w:t>
                  </w:r>
                  <w:r>
                    <w:t xml:space="preserve">the Department’s </w:t>
                  </w:r>
                  <w:r w:rsidRPr="00B85DDA">
                    <w:t>expectations are not</w:t>
                  </w:r>
                  <w:r>
                    <w:t xml:space="preserve"> always</w:t>
                  </w:r>
                  <w:r w:rsidRPr="00B85DDA">
                    <w:t xml:space="preserve"> clear.</w:t>
                  </w:r>
                </w:p>
                <w:p w14:paraId="0BDF3DB7" w14:textId="55C6311B" w:rsidR="005674C7" w:rsidRDefault="005674C7" w:rsidP="005674C7">
                  <w:pPr>
                    <w:pBdr>
                      <w:left w:val="single" w:sz="18" w:space="4" w:color="78B800" w:themeColor="accent1"/>
                    </w:pBdr>
                    <w:tabs>
                      <w:tab w:val="left" w:pos="8080"/>
                    </w:tabs>
                    <w:spacing w:after="0"/>
                    <w:ind w:left="851" w:right="949"/>
                    <w:rPr>
                      <w:b/>
                      <w:bCs/>
                      <w:i/>
                      <w:iCs/>
                    </w:rPr>
                  </w:pPr>
                  <w:r w:rsidRPr="002E7992">
                    <w:rPr>
                      <w:noProof/>
                    </w:rPr>
                    <w:drawing>
                      <wp:anchor distT="0" distB="0" distL="114300" distR="114300" simplePos="0" relativeHeight="251658453" behindDoc="0" locked="1" layoutInCell="1" allowOverlap="1" wp14:anchorId="6E430015" wp14:editId="7286547C">
                        <wp:simplePos x="0" y="0"/>
                        <wp:positionH relativeFrom="column">
                          <wp:posOffset>0</wp:posOffset>
                        </wp:positionH>
                        <wp:positionV relativeFrom="paragraph">
                          <wp:posOffset>0</wp:posOffset>
                        </wp:positionV>
                        <wp:extent cx="384810" cy="320040"/>
                        <wp:effectExtent l="0" t="0" r="0" b="3810"/>
                        <wp:wrapNone/>
                        <wp:docPr id="607191858" name="Graphic 607191858" descr="P4496#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191858" name="Graphic 607191858" descr="P4496#y1">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rcRect l="14456" t="21277" r="14903" b="20068"/>
                                <a:stretch/>
                              </pic:blipFill>
                              <pic:spPr bwMode="auto">
                                <a:xfrm>
                                  <a:off x="0" y="0"/>
                                  <a:ext cx="38481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45151">
                    <w:rPr>
                      <w:i/>
                      <w:iCs/>
                    </w:rPr>
                    <w:t xml:space="preserve">I was thinking that it would actually be really good to have some sort of standard </w:t>
                  </w:r>
                  <w:r w:rsidR="002A757C">
                    <w:rPr>
                      <w:i/>
                      <w:iCs/>
                    </w:rPr>
                    <w:t>Program Logic</w:t>
                  </w:r>
                  <w:r w:rsidRPr="00C45151">
                    <w:rPr>
                      <w:i/>
                      <w:iCs/>
                    </w:rPr>
                    <w:t xml:space="preserve"> for FaRS services across the board and it might be hard with the diversity of services but then if we can have that and then do the program mapping with the different FaRS service offering</w:t>
                  </w:r>
                  <w:r>
                    <w:rPr>
                      <w:i/>
                      <w:iCs/>
                    </w:rPr>
                    <w:t>s</w:t>
                  </w:r>
                  <w:r w:rsidRPr="00C45151">
                    <w:rPr>
                      <w:i/>
                      <w:iCs/>
                    </w:rPr>
                    <w:t xml:space="preserve"> and then clear referral pathways, you know, that could support referrals </w:t>
                  </w:r>
                  <w:r w:rsidRPr="002E7992">
                    <w:rPr>
                      <w:b/>
                      <w:bCs/>
                      <w:i/>
                      <w:iCs/>
                    </w:rPr>
                    <w:t xml:space="preserve">– </w:t>
                  </w:r>
                  <w:r>
                    <w:rPr>
                      <w:b/>
                      <w:bCs/>
                      <w:i/>
                      <w:iCs/>
                    </w:rPr>
                    <w:t>FaRS s</w:t>
                  </w:r>
                  <w:r w:rsidRPr="002E7992">
                    <w:rPr>
                      <w:b/>
                      <w:bCs/>
                      <w:i/>
                      <w:iCs/>
                    </w:rPr>
                    <w:t>ervice provider</w:t>
                  </w:r>
                </w:p>
                <w:p w14:paraId="6A2D3CD5" w14:textId="77777777" w:rsidR="00B52F04" w:rsidRDefault="00B52F04">
                  <w:pPr>
                    <w:rPr>
                      <w:lang w:val="en-US"/>
                    </w:rPr>
                  </w:pPr>
                  <w:bookmarkStart w:id="539" w:name="_Toc204606662"/>
                  <w:bookmarkStart w:id="540" w:name="_Toc204606669"/>
                  <w:bookmarkStart w:id="541" w:name="_Toc204856757"/>
                  <w:bookmarkEnd w:id="539"/>
                  <w:bookmarkEnd w:id="540"/>
                  <w:r>
                    <w:rPr>
                      <w:lang w:val="en-US"/>
                    </w:rPr>
                    <w:br w:type="page"/>
                  </w:r>
                </w:p>
                <w:p w14:paraId="443CB361" w14:textId="77777777" w:rsidR="00B52F04" w:rsidRPr="00B52F04" w:rsidRDefault="00B52F04" w:rsidP="00B52F04">
                  <w:pPr>
                    <w:pStyle w:val="Text"/>
                    <w:spacing w:before="12600"/>
                    <w:ind w:left="357"/>
                    <w:rPr>
                      <w:b/>
                      <w:bCs/>
                      <w:color w:val="FFFFFF" w:themeColor="background1"/>
                      <w:sz w:val="24"/>
                      <w:szCs w:val="24"/>
                    </w:rPr>
                  </w:pPr>
                </w:p>
                <w:p w14:paraId="7C1A2F64" w14:textId="0053B4E2" w:rsidR="00C4066E" w:rsidDel="00967ECF" w:rsidRDefault="00B52F04" w:rsidP="00B52F04">
                  <w:pPr>
                    <w:pStyle w:val="Text"/>
                    <w:spacing w:before="12600"/>
                    <w:ind w:left="357"/>
                    <w:rPr>
                      <w:b/>
                      <w:color w:val="FFFFFF" w:themeColor="background1"/>
                      <w:sz w:val="72"/>
                      <w:szCs w:val="72"/>
                    </w:rPr>
                  </w:pPr>
                  <w:r>
                    <w:rPr>
                      <w:b/>
                      <w:bCs/>
                      <w:color w:val="FFFFFF" w:themeColor="background1"/>
                      <w:sz w:val="72"/>
                      <w:szCs w:val="72"/>
                    </w:rPr>
                    <w:t>Appendi</w:t>
                  </w:r>
                  <w:r w:rsidR="00C85F88">
                    <w:rPr>
                      <w:b/>
                      <w:bCs/>
                      <w:color w:val="FFFFFF" w:themeColor="background1"/>
                      <w:sz w:val="72"/>
                      <w:szCs w:val="72"/>
                    </w:rPr>
                    <w:t>ces</w:t>
                  </w:r>
                  <w:r w:rsidRPr="00B52F04" w:rsidDel="00967ECF">
                    <w:rPr>
                      <w:b/>
                      <w:bCs/>
                      <w:noProof/>
                      <w:color w:val="FFFFFF" w:themeColor="background1"/>
                      <w:sz w:val="72"/>
                      <w:szCs w:val="72"/>
                    </w:rPr>
                    <w:t xml:space="preserve"> </w:t>
                  </w:r>
                  <w:r w:rsidRPr="00B52F04" w:rsidDel="00967ECF">
                    <w:rPr>
                      <w:b/>
                      <w:bCs/>
                      <w:noProof/>
                      <w:sz w:val="72"/>
                      <w:szCs w:val="72"/>
                    </w:rPr>
                    <w:drawing>
                      <wp:anchor distT="0" distB="0" distL="114300" distR="114300" simplePos="0" relativeHeight="251658246" behindDoc="1" locked="1" layoutInCell="1" allowOverlap="1" wp14:anchorId="6C019AC1" wp14:editId="22A1FB38">
                        <wp:simplePos x="0" y="0"/>
                        <wp:positionH relativeFrom="page">
                          <wp:align>right</wp:align>
                        </wp:positionH>
                        <wp:positionV relativeFrom="margin">
                          <wp:align>center</wp:align>
                        </wp:positionV>
                        <wp:extent cx="7549200" cy="10674000"/>
                        <wp:effectExtent l="0" t="0" r="0" b="0"/>
                        <wp:wrapNone/>
                        <wp:docPr id="909121355" name="Picture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121355" name="Picture 11">
                                  <a:extLst>
                                    <a:ext uri="{C183D7F6-B498-43B3-948B-1728B52AA6E4}">
                                      <adec:decorative xmlns:adec="http://schemas.microsoft.com/office/drawing/2017/decorative" val="1"/>
                                    </a:ext>
                                  </a:extLst>
                                </pic:cNvPr>
                                <pic:cNvPicPr>
                                  <a:picLocks noChangeAspect="1" noChangeArrowheads="1"/>
                                </pic:cNvPicPr>
                              </pic:nvPicPr>
                              <pic:blipFill>
                                <a:blip r:embed="rId127" cstate="print">
                                  <a:extLst>
                                    <a:ext uri="{28A0092B-C50C-407E-A947-70E740481C1C}">
                                      <a14:useLocalDpi xmlns:a14="http://schemas.microsoft.com/office/drawing/2010/main" val="0"/>
                                    </a:ext>
                                  </a:extLst>
                                </a:blip>
                                <a:stretch>
                                  <a:fillRect/>
                                </a:stretch>
                              </pic:blipFill>
                              <pic:spPr bwMode="auto">
                                <a:xfrm>
                                  <a:off x="0" y="0"/>
                                  <a:ext cx="7549200" cy="10674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bCs/>
                      <w:noProof/>
                      <w:color w:val="FFFFFF" w:themeColor="background1"/>
                      <w:sz w:val="72"/>
                      <w:szCs w:val="72"/>
                    </w:rPr>
                    <w:br w:type="page"/>
                  </w:r>
                </w:p>
                <w:p w14:paraId="765D233C" w14:textId="1F9EDE3D" w:rsidR="007C66A5" w:rsidRPr="003371DC" w:rsidRDefault="00EF26D9" w:rsidP="00EB0F9B">
                  <w:pPr>
                    <w:pStyle w:val="Appendix"/>
                  </w:pPr>
                  <w:bookmarkStart w:id="542" w:name="Appendix_A"/>
                  <w:bookmarkStart w:id="543" w:name="_Toc204856760"/>
                  <w:bookmarkStart w:id="544" w:name="_Toc208906865"/>
                  <w:bookmarkEnd w:id="541"/>
                  <w:bookmarkEnd w:id="542"/>
                  <w:r w:rsidRPr="003371DC">
                    <w:lastRenderedPageBreak/>
                    <w:t>Glossary</w:t>
                  </w:r>
                  <w:bookmarkEnd w:id="543"/>
                  <w:bookmarkEnd w:id="544"/>
                  <w:r w:rsidRPr="003371DC">
                    <w:t xml:space="preserve"> </w:t>
                  </w:r>
                </w:p>
                <w:tbl>
                  <w:tblPr>
                    <w:tblStyle w:val="ACTableDesign"/>
                    <w:tblW w:w="0" w:type="auto"/>
                    <w:tblLook w:val="04A0" w:firstRow="1" w:lastRow="0" w:firstColumn="1" w:lastColumn="0" w:noHBand="0" w:noVBand="1"/>
                  </w:tblPr>
                  <w:tblGrid>
                    <w:gridCol w:w="3399"/>
                    <w:gridCol w:w="5610"/>
                  </w:tblGrid>
                  <w:tr w:rsidR="007C66A5" w:rsidRPr="00782EEB" w14:paraId="0BF84F20" w14:textId="77777777" w:rsidTr="00321BC5">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dxa"/>
                        <w:shd w:val="clear" w:color="auto" w:fill="007E00" w:themeFill="accent3"/>
                      </w:tcPr>
                      <w:p w14:paraId="507A3DBE" w14:textId="77777777" w:rsidR="007C66A5" w:rsidRPr="000266B1" w:rsidRDefault="007C66A5" w:rsidP="00566847">
                        <w:pPr>
                          <w:pStyle w:val="TableText"/>
                          <w:rPr>
                            <w:b/>
                            <w:bCs/>
                          </w:rPr>
                        </w:pPr>
                        <w:r w:rsidRPr="000266B1">
                          <w:rPr>
                            <w:b/>
                            <w:bCs/>
                          </w:rPr>
                          <w:t>Term</w:t>
                        </w:r>
                      </w:p>
                    </w:tc>
                    <w:tc>
                      <w:tcPr>
                        <w:tcW w:w="0" w:type="dxa"/>
                        <w:shd w:val="clear" w:color="auto" w:fill="007E00" w:themeFill="accent3"/>
                      </w:tcPr>
                      <w:p w14:paraId="7C9F727E" w14:textId="77777777" w:rsidR="007C66A5" w:rsidRPr="000266B1" w:rsidRDefault="007C66A5">
                        <w:pPr>
                          <w:pStyle w:val="TableText"/>
                          <w:cnfStyle w:val="100000000000" w:firstRow="1" w:lastRow="0" w:firstColumn="0" w:lastColumn="0" w:oddVBand="0" w:evenVBand="0" w:oddHBand="0" w:evenHBand="0" w:firstRowFirstColumn="0" w:firstRowLastColumn="0" w:lastRowFirstColumn="0" w:lastRowLastColumn="0"/>
                          <w:rPr>
                            <w:b/>
                            <w:bCs/>
                          </w:rPr>
                        </w:pPr>
                        <w:r w:rsidRPr="000266B1">
                          <w:rPr>
                            <w:b/>
                            <w:bCs/>
                          </w:rPr>
                          <w:t xml:space="preserve">Definition </w:t>
                        </w:r>
                      </w:p>
                    </w:tc>
                  </w:tr>
                  <w:tr w:rsidR="00EB6FD4" w:rsidRPr="00782EEB" w14:paraId="5B57813F" w14:textId="77777777" w:rsidTr="00773ED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9" w:type="dxa"/>
                      </w:tcPr>
                      <w:p w14:paraId="5D2753F1" w14:textId="36896D04" w:rsidR="00EB6FD4" w:rsidRPr="006E539D" w:rsidRDefault="00EB6FD4" w:rsidP="00D62DC4">
                        <w:pPr>
                          <w:pStyle w:val="TableText"/>
                        </w:pPr>
                        <w:r>
                          <w:t>4AP2</w:t>
                        </w:r>
                      </w:p>
                    </w:tc>
                    <w:tc>
                      <w:tcPr>
                        <w:tcW w:w="5610" w:type="dxa"/>
                      </w:tcPr>
                      <w:p w14:paraId="48CC2941" w14:textId="4469D087" w:rsidR="00EB6FD4" w:rsidRPr="006E539D" w:rsidRDefault="002D57E5" w:rsidP="00D62DC4">
                        <w:pPr>
                          <w:pStyle w:val="TableText"/>
                          <w:cnfStyle w:val="000000100000" w:firstRow="0" w:lastRow="0" w:firstColumn="0" w:lastColumn="0" w:oddVBand="0" w:evenVBand="0" w:oddHBand="1" w:evenHBand="0" w:firstRowFirstColumn="0" w:firstRowLastColumn="0" w:lastRowFirstColumn="0" w:lastRowLastColumn="0"/>
                        </w:pPr>
                        <w:r>
                          <w:rPr>
                            <w:szCs w:val="21"/>
                            <w:lang w:val="en-NZ"/>
                          </w:rPr>
                          <w:t xml:space="preserve">4AP2 refers to providers who received SFVS funding as part of the </w:t>
                        </w:r>
                        <w:r w:rsidRPr="005B7D0B">
                          <w:rPr>
                            <w:lang w:val="en-NZ"/>
                          </w:rPr>
                          <w:t xml:space="preserve">Fourth Action Plan of the </w:t>
                        </w:r>
                        <w:r w:rsidRPr="00253268">
                          <w:rPr>
                            <w:i/>
                            <w:iCs/>
                            <w:lang w:val="en-NZ"/>
                          </w:rPr>
                          <w:t>National Plan to Reduce Violence against Women and their Children 2010-2022</w:t>
                        </w:r>
                        <w:r>
                          <w:rPr>
                            <w:i/>
                            <w:iCs/>
                            <w:szCs w:val="21"/>
                            <w:lang w:val="en-NZ"/>
                          </w:rPr>
                          <w:t xml:space="preserve"> </w:t>
                        </w:r>
                        <w:r w:rsidRPr="007F0FD5">
                          <w:rPr>
                            <w:i/>
                            <w:iCs/>
                            <w:szCs w:val="21"/>
                            <w:lang w:val="en-NZ"/>
                          </w:rPr>
                          <w:fldChar w:fldCharType="begin"/>
                        </w:r>
                        <w:r>
                          <w:rPr>
                            <w:i/>
                            <w:iCs/>
                            <w:szCs w:val="21"/>
                            <w:lang w:val="en-NZ"/>
                          </w:rPr>
                          <w:instrText xml:space="preserve"> ADDIN ZOTERO_ITEM CSL_CITATION {"citationID":"ajuov40m3s","properties":{"formattedCitation":"(Department of Social Services, 2019)","plainCitation":"(Department of Social Services, 2019)","noteIndex":0},"citationItems":[{"id":5609,"uris":["http://zotero.org/groups/5691188/items/RPQAH2UM"],"itemData":{"id":5609,"type":"report","title":"Fourth Action Plan – National Plan to Reduce Violence against Women and their Children","URL":"https://plan4womenssafety.dss.gov.au/the-national-plan/fourth-action-plan/","author":[{"literal":"Department of Social Services"}],"accessed":{"date-parts":[["2025",7,15]]},"issued":{"date-parts":[["2019"]]}}}],"schema":"https://github.com/citation-style-language/schema/raw/master/csl-citation.json"} </w:instrText>
                        </w:r>
                        <w:r w:rsidRPr="007F0FD5">
                          <w:rPr>
                            <w:i/>
                            <w:iCs/>
                            <w:szCs w:val="21"/>
                            <w:lang w:val="en-NZ"/>
                          </w:rPr>
                          <w:fldChar w:fldCharType="separate"/>
                        </w:r>
                        <w:r w:rsidRPr="00AC138C">
                          <w:rPr>
                            <w:rFonts w:cs="Arial"/>
                          </w:rPr>
                          <w:t>(Department of Social Services, 2019)</w:t>
                        </w:r>
                        <w:r w:rsidRPr="007F0FD5">
                          <w:rPr>
                            <w:i/>
                            <w:iCs/>
                            <w:szCs w:val="21"/>
                            <w:lang w:val="en-NZ"/>
                          </w:rPr>
                          <w:fldChar w:fldCharType="end"/>
                        </w:r>
                        <w:r>
                          <w:rPr>
                            <w:szCs w:val="21"/>
                            <w:lang w:val="en-NZ"/>
                          </w:rPr>
                          <w:t>.</w:t>
                        </w:r>
                      </w:p>
                    </w:tc>
                  </w:tr>
                  <w:tr w:rsidR="00D62DC4" w:rsidRPr="00782EEB" w14:paraId="0609A1A9" w14:textId="77777777" w:rsidTr="00773ED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9" w:type="dxa"/>
                      </w:tcPr>
                      <w:p w14:paraId="12AA7ED0" w14:textId="6F2C9FDE" w:rsidR="00D62DC4" w:rsidRPr="006E539D" w:rsidRDefault="00D62DC4" w:rsidP="00D62DC4">
                        <w:pPr>
                          <w:pStyle w:val="TableText"/>
                        </w:pPr>
                        <w:r w:rsidRPr="006E539D">
                          <w:t>ACCO</w:t>
                        </w:r>
                      </w:p>
                    </w:tc>
                    <w:tc>
                      <w:tcPr>
                        <w:tcW w:w="5610" w:type="dxa"/>
                      </w:tcPr>
                      <w:p w14:paraId="31CFA56A" w14:textId="3EAD8FB6" w:rsidR="00D62DC4" w:rsidRPr="006E539D" w:rsidRDefault="00D62DC4" w:rsidP="00D62DC4">
                        <w:pPr>
                          <w:pStyle w:val="TableText"/>
                          <w:cnfStyle w:val="000000010000" w:firstRow="0" w:lastRow="0" w:firstColumn="0" w:lastColumn="0" w:oddVBand="0" w:evenVBand="0" w:oddHBand="0" w:evenHBand="1" w:firstRowFirstColumn="0" w:firstRowLastColumn="0" w:lastRowFirstColumn="0" w:lastRowLastColumn="0"/>
                        </w:pPr>
                        <w:r w:rsidRPr="006E539D">
                          <w:t xml:space="preserve">Aboriginal </w:t>
                        </w:r>
                        <w:r w:rsidR="002923CD">
                          <w:t xml:space="preserve">and Torres Strait Islander </w:t>
                        </w:r>
                        <w:r w:rsidRPr="006E539D">
                          <w:t xml:space="preserve">Community Controlled Organisations </w:t>
                        </w:r>
                      </w:p>
                    </w:tc>
                  </w:tr>
                  <w:tr w:rsidR="00D62DC4" w:rsidRPr="00782EEB" w14:paraId="0DA546B6" w14:textId="77777777" w:rsidTr="00773ED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9" w:type="dxa"/>
                      </w:tcPr>
                      <w:p w14:paraId="3A8B952E" w14:textId="3418B82F" w:rsidR="00D62DC4" w:rsidRPr="006E539D" w:rsidRDefault="00D62DC4" w:rsidP="00D62DC4">
                        <w:pPr>
                          <w:pStyle w:val="TableText"/>
                        </w:pPr>
                        <w:r w:rsidRPr="006E539D">
                          <w:t>ACT</w:t>
                        </w:r>
                      </w:p>
                    </w:tc>
                    <w:tc>
                      <w:tcPr>
                        <w:tcW w:w="5610" w:type="dxa"/>
                      </w:tcPr>
                      <w:p w14:paraId="17E6D5D0" w14:textId="335EB473" w:rsidR="00D62DC4" w:rsidRPr="006E539D" w:rsidRDefault="00D62DC4" w:rsidP="00D62DC4">
                        <w:pPr>
                          <w:pStyle w:val="TableText"/>
                          <w:cnfStyle w:val="000000100000" w:firstRow="0" w:lastRow="0" w:firstColumn="0" w:lastColumn="0" w:oddVBand="0" w:evenVBand="0" w:oddHBand="1" w:evenHBand="0" w:firstRowFirstColumn="0" w:firstRowLastColumn="0" w:lastRowFirstColumn="0" w:lastRowLastColumn="0"/>
                        </w:pPr>
                        <w:r w:rsidRPr="006E539D">
                          <w:t xml:space="preserve">Australian Capital Territory </w:t>
                        </w:r>
                      </w:p>
                    </w:tc>
                  </w:tr>
                  <w:tr w:rsidR="00D574B2" w:rsidRPr="00782EEB" w14:paraId="4F3DCB5D" w14:textId="77777777" w:rsidTr="00773ED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9" w:type="dxa"/>
                      </w:tcPr>
                      <w:p w14:paraId="7FE1C675" w14:textId="509421AF" w:rsidR="00D574B2" w:rsidRPr="006E539D" w:rsidRDefault="00735426" w:rsidP="006E539D">
                        <w:pPr>
                          <w:pStyle w:val="TableText"/>
                        </w:pPr>
                        <w:r w:rsidRPr="006E539D">
                          <w:t xml:space="preserve">Advocacy/Support </w:t>
                        </w:r>
                      </w:p>
                    </w:tc>
                    <w:tc>
                      <w:tcPr>
                        <w:tcW w:w="5610" w:type="dxa"/>
                      </w:tcPr>
                      <w:p w14:paraId="1387791B" w14:textId="62AFE3ED" w:rsidR="00D574B2" w:rsidRPr="006E539D" w:rsidRDefault="0059131C" w:rsidP="006E539D">
                        <w:pPr>
                          <w:pStyle w:val="TableText"/>
                          <w:cnfStyle w:val="000000010000" w:firstRow="0" w:lastRow="0" w:firstColumn="0" w:lastColumn="0" w:oddVBand="0" w:evenVBand="0" w:oddHBand="0" w:evenHBand="1" w:firstRowFirstColumn="0" w:firstRowLastColumn="0" w:lastRowFirstColumn="0" w:lastRowLastColumn="0"/>
                        </w:pPr>
                        <w:r w:rsidRPr="006E539D">
                          <w:t>Providing support to a family member making an appearance in the Family Court or Children’s Courts</w:t>
                        </w:r>
                        <w:r w:rsidR="00826947" w:rsidRPr="006E539D">
                          <w:t xml:space="preserve"> </w:t>
                        </w:r>
                        <w:r w:rsidR="00826947" w:rsidRPr="008E1B83">
                          <w:fldChar w:fldCharType="begin"/>
                        </w:r>
                        <w:r w:rsidR="00E41D03">
                          <w:instrText xml:space="preserve"> ADDIN ZOTERO_ITEM CSL_CITATION {"citationID":"a1fh1m1cp66","properties":{"formattedCitation":"(Gilmour, n.d.)","plainCitation":"(Gilmour, n.d.)","noteIndex":0},"citationItems":[{"id":5618,"uris":["http://zotero.org/groups/5691188/items/5EVSZRXJ"],"itemData":{"id":5618,"type":"article-journal","language":"en","source":"Zotero","title":"Program Specific Guidance for Outcome 2.1 Families and Communities Program in the Data Exchange","author":[{"family":"Gilmour","given":"Katrina"}]}}],"schema":"https://github.com/citation-style-language/schema/raw/master/csl-citation.json"} </w:instrText>
                        </w:r>
                        <w:r w:rsidR="00826947" w:rsidRPr="008E1B83">
                          <w:fldChar w:fldCharType="separate"/>
                        </w:r>
                        <w:r w:rsidR="00E41D03" w:rsidRPr="00E41D03">
                          <w:rPr>
                            <w:rFonts w:cs="Arial"/>
                          </w:rPr>
                          <w:t>(Gilmour, n.d.)</w:t>
                        </w:r>
                        <w:r w:rsidR="00826947" w:rsidRPr="008E1B83">
                          <w:fldChar w:fldCharType="end"/>
                        </w:r>
                      </w:p>
                    </w:tc>
                  </w:tr>
                  <w:tr w:rsidR="00D62DC4" w:rsidRPr="00782EEB" w14:paraId="29E017C7" w14:textId="77777777" w:rsidTr="00773ED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9" w:type="dxa"/>
                      </w:tcPr>
                      <w:p w14:paraId="345B4405" w14:textId="265CB36D" w:rsidR="00D62DC4" w:rsidRDefault="00D62DC4" w:rsidP="00D62DC4">
                        <w:pPr>
                          <w:pStyle w:val="TableText"/>
                        </w:pPr>
                        <w:r w:rsidRPr="006E539D">
                          <w:t>AIATSIS</w:t>
                        </w:r>
                      </w:p>
                    </w:tc>
                    <w:tc>
                      <w:tcPr>
                        <w:tcW w:w="5610" w:type="dxa"/>
                      </w:tcPr>
                      <w:p w14:paraId="2C4D3B13" w14:textId="4D5C1551" w:rsidR="00D62DC4" w:rsidRDefault="00D62DC4" w:rsidP="00D62DC4">
                        <w:pPr>
                          <w:pStyle w:val="TableText"/>
                          <w:cnfStyle w:val="000000100000" w:firstRow="0" w:lastRow="0" w:firstColumn="0" w:lastColumn="0" w:oddVBand="0" w:evenVBand="0" w:oddHBand="1" w:evenHBand="0" w:firstRowFirstColumn="0" w:firstRowLastColumn="0" w:lastRowFirstColumn="0" w:lastRowLastColumn="0"/>
                        </w:pPr>
                        <w:r w:rsidRPr="006E539D">
                          <w:t>Australian Institute of Aboriginal and Torres Strait Islander Studies</w:t>
                        </w:r>
                      </w:p>
                    </w:tc>
                  </w:tr>
                  <w:tr w:rsidR="00382C89" w:rsidRPr="00782EEB" w14:paraId="3C4F316C" w14:textId="77777777" w:rsidTr="00773ED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9" w:type="dxa"/>
                      </w:tcPr>
                      <w:p w14:paraId="5DFDBD0B" w14:textId="29BF7351" w:rsidR="00382C89" w:rsidRPr="006E539D" w:rsidRDefault="00382C89" w:rsidP="006E539D">
                        <w:pPr>
                          <w:pStyle w:val="TableText"/>
                        </w:pPr>
                        <w:r>
                          <w:t>AIFS</w:t>
                        </w:r>
                      </w:p>
                    </w:tc>
                    <w:tc>
                      <w:tcPr>
                        <w:tcW w:w="5610" w:type="dxa"/>
                      </w:tcPr>
                      <w:p w14:paraId="6A4A37E5" w14:textId="39EE249B" w:rsidR="00382C89" w:rsidRPr="006E539D" w:rsidRDefault="00382C89" w:rsidP="006E539D">
                        <w:pPr>
                          <w:pStyle w:val="TableText"/>
                          <w:cnfStyle w:val="000000010000" w:firstRow="0" w:lastRow="0" w:firstColumn="0" w:lastColumn="0" w:oddVBand="0" w:evenVBand="0" w:oddHBand="0" w:evenHBand="1" w:firstRowFirstColumn="0" w:firstRowLastColumn="0" w:lastRowFirstColumn="0" w:lastRowLastColumn="0"/>
                        </w:pPr>
                        <w:r>
                          <w:t xml:space="preserve">Australian Institute of Family Studies </w:t>
                        </w:r>
                      </w:p>
                    </w:tc>
                  </w:tr>
                  <w:tr w:rsidR="007C66A5" w:rsidRPr="00782EEB" w14:paraId="37B0D748" w14:textId="77777777" w:rsidTr="00773ED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9" w:type="dxa"/>
                      </w:tcPr>
                      <w:p w14:paraId="0BD525A2" w14:textId="77777777" w:rsidR="007C66A5" w:rsidRPr="006E539D" w:rsidRDefault="007C66A5">
                        <w:pPr>
                          <w:pStyle w:val="TableText"/>
                        </w:pPr>
                        <w:r w:rsidRPr="006E539D">
                          <w:t>ANROWS</w:t>
                        </w:r>
                      </w:p>
                    </w:tc>
                    <w:tc>
                      <w:tcPr>
                        <w:tcW w:w="5610" w:type="dxa"/>
                      </w:tcPr>
                      <w:p w14:paraId="0B11748C" w14:textId="77777777" w:rsidR="007C66A5" w:rsidRPr="006E539D" w:rsidRDefault="007C66A5">
                        <w:pPr>
                          <w:pStyle w:val="TableText"/>
                          <w:cnfStyle w:val="000000100000" w:firstRow="0" w:lastRow="0" w:firstColumn="0" w:lastColumn="0" w:oddVBand="0" w:evenVBand="0" w:oddHBand="1" w:evenHBand="0" w:firstRowFirstColumn="0" w:firstRowLastColumn="0" w:lastRowFirstColumn="0" w:lastRowLastColumn="0"/>
                        </w:pPr>
                        <w:r w:rsidRPr="006E539D">
                          <w:t xml:space="preserve">Australia’s National Research Organisation for Women’s Safety </w:t>
                        </w:r>
                      </w:p>
                    </w:tc>
                  </w:tr>
                  <w:tr w:rsidR="007C66A5" w:rsidRPr="00782EEB" w14:paraId="4F8334A9" w14:textId="77777777" w:rsidTr="00773ED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9" w:type="dxa"/>
                      </w:tcPr>
                      <w:p w14:paraId="163FB662" w14:textId="77777777" w:rsidR="007C66A5" w:rsidRPr="006E539D" w:rsidRDefault="007C66A5">
                        <w:pPr>
                          <w:pStyle w:val="TableText"/>
                        </w:pPr>
                        <w:r w:rsidRPr="006E539D">
                          <w:t xml:space="preserve">AOD </w:t>
                        </w:r>
                      </w:p>
                    </w:tc>
                    <w:tc>
                      <w:tcPr>
                        <w:tcW w:w="5610" w:type="dxa"/>
                      </w:tcPr>
                      <w:p w14:paraId="25447D2F" w14:textId="77777777" w:rsidR="007C66A5" w:rsidRPr="006E539D" w:rsidRDefault="007C66A5">
                        <w:pPr>
                          <w:pStyle w:val="TableText"/>
                          <w:cnfStyle w:val="000000010000" w:firstRow="0" w:lastRow="0" w:firstColumn="0" w:lastColumn="0" w:oddVBand="0" w:evenVBand="0" w:oddHBand="0" w:evenHBand="1" w:firstRowFirstColumn="0" w:firstRowLastColumn="0" w:lastRowFirstColumn="0" w:lastRowLastColumn="0"/>
                        </w:pPr>
                        <w:r w:rsidRPr="006E539D">
                          <w:t xml:space="preserve">Alcohol and other drugs </w:t>
                        </w:r>
                      </w:p>
                    </w:tc>
                  </w:tr>
                  <w:tr w:rsidR="00B20478" w:rsidRPr="00782EEB" w14:paraId="092A71BD" w14:textId="77777777" w:rsidTr="00773ED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9" w:type="dxa"/>
                      </w:tcPr>
                      <w:p w14:paraId="167A31D5" w14:textId="51D936E4" w:rsidR="00B20478" w:rsidRPr="006E539D" w:rsidRDefault="00B20478">
                        <w:pPr>
                          <w:pStyle w:val="TableText"/>
                        </w:pPr>
                        <w:r w:rsidRPr="006E539D">
                          <w:t>AVITH</w:t>
                        </w:r>
                      </w:p>
                    </w:tc>
                    <w:tc>
                      <w:tcPr>
                        <w:tcW w:w="5610" w:type="dxa"/>
                      </w:tcPr>
                      <w:p w14:paraId="68D687F3" w14:textId="279842B3" w:rsidR="00B20478" w:rsidRPr="006E539D" w:rsidRDefault="00B20478" w:rsidP="00B20478">
                        <w:pPr>
                          <w:pStyle w:val="TableText"/>
                          <w:cnfStyle w:val="000000100000" w:firstRow="0" w:lastRow="0" w:firstColumn="0" w:lastColumn="0" w:oddVBand="0" w:evenVBand="0" w:oddHBand="1" w:evenHBand="0" w:firstRowFirstColumn="0" w:firstRowLastColumn="0" w:lastRowFirstColumn="0" w:lastRowLastColumn="0"/>
                        </w:pPr>
                        <w:r w:rsidRPr="006E539D">
                          <w:t xml:space="preserve">Adolescent violence in the home </w:t>
                        </w:r>
                      </w:p>
                    </w:tc>
                  </w:tr>
                  <w:tr w:rsidR="003B3376" w:rsidRPr="00782EEB" w14:paraId="0B7EA475" w14:textId="77777777" w:rsidTr="00773ED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9" w:type="dxa"/>
                      </w:tcPr>
                      <w:p w14:paraId="4452E72D" w14:textId="13CB9C7C" w:rsidR="003B3376" w:rsidRPr="006E539D" w:rsidRDefault="003B3376" w:rsidP="006E539D">
                        <w:pPr>
                          <w:pStyle w:val="TableText"/>
                        </w:pPr>
                        <w:r w:rsidRPr="006E539D">
                          <w:t>AWP</w:t>
                        </w:r>
                      </w:p>
                    </w:tc>
                    <w:tc>
                      <w:tcPr>
                        <w:tcW w:w="5610" w:type="dxa"/>
                      </w:tcPr>
                      <w:p w14:paraId="77DAB498" w14:textId="77777777" w:rsidR="003B3376" w:rsidRDefault="003B3376" w:rsidP="006E539D">
                        <w:pPr>
                          <w:pStyle w:val="TableText"/>
                          <w:cnfStyle w:val="000000010000" w:firstRow="0" w:lastRow="0" w:firstColumn="0" w:lastColumn="0" w:oddVBand="0" w:evenVBand="0" w:oddHBand="0" w:evenHBand="1" w:firstRowFirstColumn="0" w:firstRowLastColumn="0" w:lastRowFirstColumn="0" w:lastRowLastColumn="0"/>
                        </w:pPr>
                        <w:r w:rsidRPr="006E539D">
                          <w:t xml:space="preserve">Activity Work Plan </w:t>
                        </w:r>
                      </w:p>
                      <w:p w14:paraId="3B7B7D31" w14:textId="33FAFE4B" w:rsidR="00BB2070" w:rsidRPr="006E539D" w:rsidRDefault="00BB2070" w:rsidP="006E539D">
                        <w:pPr>
                          <w:pStyle w:val="TableText"/>
                          <w:cnfStyle w:val="000000010000" w:firstRow="0" w:lastRow="0" w:firstColumn="0" w:lastColumn="0" w:oddVBand="0" w:evenVBand="0" w:oddHBand="0" w:evenHBand="1" w:firstRowFirstColumn="0" w:firstRowLastColumn="0" w:lastRowFirstColumn="0" w:lastRowLastColumn="0"/>
                        </w:pPr>
                        <w:r w:rsidRPr="008E1B83">
                          <w:t xml:space="preserve">Document </w:t>
                        </w:r>
                        <w:r w:rsidR="00696CF3">
                          <w:t>which</w:t>
                        </w:r>
                        <w:r w:rsidRPr="008E1B83">
                          <w:t xml:space="preserve"> details activities that a grant recipient will implement under the Grant Agreement. The AWP is negotiated with, and approved by, the Department </w:t>
                        </w:r>
                        <w:r w:rsidRPr="008E1B83">
                          <w:fldChar w:fldCharType="begin"/>
                        </w:r>
                        <w:r w:rsidR="00E41D03">
                          <w:instrText xml:space="preserve"> ADDIN ZOTERO_ITEM CSL_CITATION {"citationID":"BSnZ4hCx","properties":{"formattedCitation":"(Department of Social Services, 2021a)","plainCitation":"(Department of Social Services, 2021a)","noteIndex":0},"citationItems":[{"id":4671,"uris":["http://zotero.org/groups/5691188/items/8PWCMD8P"],"itemData":{"id":4671,"type":"document","title":"Family and Relationship Services Operational Guidelines","author":[{"family":"Department of Social Services","given":""}],"issued":{"date-parts":[["2021",7,1]]}}}],"schema":"https://github.com/citation-style-language/schema/raw/master/csl-citation.json"} </w:instrText>
                        </w:r>
                        <w:r w:rsidRPr="008E1B83">
                          <w:fldChar w:fldCharType="separate"/>
                        </w:r>
                        <w:r w:rsidRPr="006E539D">
                          <w:t>(Department of Social Services, 2021a)</w:t>
                        </w:r>
                        <w:r w:rsidRPr="008E1B83">
                          <w:fldChar w:fldCharType="end"/>
                        </w:r>
                      </w:p>
                    </w:tc>
                  </w:tr>
                  <w:tr w:rsidR="00B6341A" w:rsidRPr="00782EEB" w14:paraId="1E840C4F" w14:textId="77777777" w:rsidTr="00773ED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9" w:type="dxa"/>
                      </w:tcPr>
                      <w:p w14:paraId="06ED5D37" w14:textId="5C947102" w:rsidR="00B6341A" w:rsidRPr="006E539D" w:rsidRDefault="00B6341A" w:rsidP="006E539D">
                        <w:pPr>
                          <w:pStyle w:val="TableText"/>
                        </w:pPr>
                        <w:r>
                          <w:t>BCR</w:t>
                        </w:r>
                      </w:p>
                    </w:tc>
                    <w:tc>
                      <w:tcPr>
                        <w:tcW w:w="5610" w:type="dxa"/>
                      </w:tcPr>
                      <w:p w14:paraId="5B1DBA61" w14:textId="543E2B30" w:rsidR="00B6341A" w:rsidRPr="006E539D" w:rsidRDefault="00B6341A" w:rsidP="006E539D">
                        <w:pPr>
                          <w:pStyle w:val="TableText"/>
                          <w:cnfStyle w:val="000000100000" w:firstRow="0" w:lastRow="0" w:firstColumn="0" w:lastColumn="0" w:oddVBand="0" w:evenVBand="0" w:oddHBand="1" w:evenHBand="0" w:firstRowFirstColumn="0" w:firstRowLastColumn="0" w:lastRowFirstColumn="0" w:lastRowLastColumn="0"/>
                        </w:pPr>
                        <w:r>
                          <w:t xml:space="preserve">Benefit-cost ratio </w:t>
                        </w:r>
                      </w:p>
                    </w:tc>
                  </w:tr>
                  <w:tr w:rsidR="007C66A5" w:rsidRPr="00782EEB" w14:paraId="5104FCD6" w14:textId="77777777" w:rsidTr="00773ED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9" w:type="dxa"/>
                      </w:tcPr>
                      <w:p w14:paraId="77882742" w14:textId="77777777" w:rsidR="007C66A5" w:rsidRPr="006E539D" w:rsidRDefault="007C66A5">
                        <w:pPr>
                          <w:pStyle w:val="TableText"/>
                        </w:pPr>
                        <w:r w:rsidRPr="006E539D">
                          <w:t>CALD</w:t>
                        </w:r>
                      </w:p>
                    </w:tc>
                    <w:tc>
                      <w:tcPr>
                        <w:tcW w:w="5610" w:type="dxa"/>
                      </w:tcPr>
                      <w:p w14:paraId="00AB3EC3" w14:textId="77777777" w:rsidR="007F79C3" w:rsidRPr="006E539D" w:rsidRDefault="007C66A5">
                        <w:pPr>
                          <w:pStyle w:val="TableText"/>
                          <w:cnfStyle w:val="000000010000" w:firstRow="0" w:lastRow="0" w:firstColumn="0" w:lastColumn="0" w:oddVBand="0" w:evenVBand="0" w:oddHBand="0" w:evenHBand="1" w:firstRowFirstColumn="0" w:firstRowLastColumn="0" w:lastRowFirstColumn="0" w:lastRowLastColumn="0"/>
                        </w:pPr>
                        <w:r w:rsidRPr="006E539D">
                          <w:t xml:space="preserve">Culturally and Linguistically Diverse. </w:t>
                        </w:r>
                      </w:p>
                      <w:p w14:paraId="3D571673" w14:textId="57B21600" w:rsidR="007C66A5" w:rsidRPr="006E539D" w:rsidRDefault="007C66A5">
                        <w:pPr>
                          <w:pStyle w:val="TableText"/>
                          <w:cnfStyle w:val="000000010000" w:firstRow="0" w:lastRow="0" w:firstColumn="0" w:lastColumn="0" w:oddVBand="0" w:evenVBand="0" w:oddHBand="0" w:evenHBand="1" w:firstRowFirstColumn="0" w:firstRowLastColumn="0" w:lastRowFirstColumn="0" w:lastRowLastColumn="0"/>
                        </w:pPr>
                      </w:p>
                    </w:tc>
                  </w:tr>
                  <w:tr w:rsidR="00155865" w:rsidRPr="00782EEB" w14:paraId="343C9C61" w14:textId="77777777" w:rsidTr="00773ED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9" w:type="dxa"/>
                      </w:tcPr>
                      <w:p w14:paraId="74B2DA2E" w14:textId="54C29FEC" w:rsidR="00155865" w:rsidRPr="006E539D" w:rsidRDefault="00155865" w:rsidP="006E539D">
                        <w:pPr>
                          <w:pStyle w:val="TableText"/>
                        </w:pPr>
                        <w:r>
                          <w:t>CBA</w:t>
                        </w:r>
                      </w:p>
                    </w:tc>
                    <w:tc>
                      <w:tcPr>
                        <w:tcW w:w="5610" w:type="dxa"/>
                      </w:tcPr>
                      <w:p w14:paraId="0C6906F5" w14:textId="7F9DAE09" w:rsidR="00155865" w:rsidRPr="006E539D" w:rsidRDefault="00155865" w:rsidP="006E539D">
                        <w:pPr>
                          <w:pStyle w:val="TableText"/>
                          <w:cnfStyle w:val="000000100000" w:firstRow="0" w:lastRow="0" w:firstColumn="0" w:lastColumn="0" w:oddVBand="0" w:evenVBand="0" w:oddHBand="1" w:evenHBand="0" w:firstRowFirstColumn="0" w:firstRowLastColumn="0" w:lastRowFirstColumn="0" w:lastRowLastColumn="0"/>
                        </w:pPr>
                        <w:r>
                          <w:t>C</w:t>
                        </w:r>
                        <w:r w:rsidR="007E3322">
                          <w:t xml:space="preserve">ost-benefit analysis </w:t>
                        </w:r>
                      </w:p>
                    </w:tc>
                  </w:tr>
                  <w:tr w:rsidR="00CD73F3" w:rsidRPr="00782EEB" w14:paraId="3B89A31C" w14:textId="77777777" w:rsidTr="00773ED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9" w:type="dxa"/>
                      </w:tcPr>
                      <w:p w14:paraId="5783EC62" w14:textId="77777777" w:rsidR="00CD73F3" w:rsidRPr="006E539D" w:rsidRDefault="00CD73F3" w:rsidP="00CD73F3">
                        <w:pPr>
                          <w:pStyle w:val="TableText"/>
                        </w:pPr>
                        <w:r>
                          <w:t xml:space="preserve">CIE Study </w:t>
                        </w:r>
                      </w:p>
                    </w:tc>
                    <w:tc>
                      <w:tcPr>
                        <w:tcW w:w="5610" w:type="dxa"/>
                      </w:tcPr>
                      <w:p w14:paraId="7B104DE7" w14:textId="18CC60E1" w:rsidR="00CD73F3" w:rsidRPr="006E539D" w:rsidRDefault="00CD73F3" w:rsidP="00CD73F3">
                        <w:pPr>
                          <w:pStyle w:val="TableText"/>
                          <w:cnfStyle w:val="000000010000" w:firstRow="0" w:lastRow="0" w:firstColumn="0" w:lastColumn="0" w:oddVBand="0" w:evenVBand="0" w:oddHBand="0" w:evenHBand="1" w:firstRowFirstColumn="0" w:firstRowLastColumn="0" w:lastRowFirstColumn="0" w:lastRowLastColumn="0"/>
                        </w:pPr>
                        <w:r w:rsidRPr="000A3409">
                          <w:t xml:space="preserve">Centre for International Economics Study </w:t>
                        </w:r>
                        <w:r w:rsidR="000A3409" w:rsidRPr="000A3409">
                          <w:fldChar w:fldCharType="begin"/>
                        </w:r>
                        <w:r w:rsidR="00E41D03">
                          <w:instrText xml:space="preserve"> ADDIN ZOTERO_ITEM CSL_CITATION {"citationID":"a1atasahrrs","properties":{"formattedCitation":"(Centre for International Economics, 2023)","plainCitation":"(Centre for International Economics, 2023)","noteIndex":0},"citationItems":[{"id":4581,"uris":["http://zotero.org/groups/5691188/items/C9G9CYCG"],"itemData":{"id":4581,"type":"report","publisher":"CIE","title":"Family and Relationship Services Economic  Evaluation: Using cost-benefit analysis to assess the value of services","URL":"https://frsa.org.au/wp-content/uploads/2023/09/CIE-Final-Report_FRSA_Family-and-Relationship-Services-Evaluation-11092023.pdf","author":[{"family":"Centre for International Economics","given":""}],"issued":{"date-parts":[["2023"]]}}}],"schema":"https://github.com/citation-style-language/schema/raw/master/csl-citation.json"} </w:instrText>
                        </w:r>
                        <w:r w:rsidR="000A3409" w:rsidRPr="000A3409">
                          <w:fldChar w:fldCharType="separate"/>
                        </w:r>
                        <w:r w:rsidR="00AC138C" w:rsidRPr="006E539D">
                          <w:t>(Centre for International Economics, 2023)</w:t>
                        </w:r>
                        <w:r w:rsidR="000A3409" w:rsidRPr="000A3409">
                          <w:fldChar w:fldCharType="end"/>
                        </w:r>
                      </w:p>
                    </w:tc>
                  </w:tr>
                  <w:tr w:rsidR="007C66A5" w:rsidRPr="00782EEB" w14:paraId="25B423B9" w14:textId="77777777" w:rsidTr="00773ED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9" w:type="dxa"/>
                      </w:tcPr>
                      <w:p w14:paraId="041E2485" w14:textId="77777777" w:rsidR="007C66A5" w:rsidRPr="006E539D" w:rsidRDefault="007C66A5">
                        <w:pPr>
                          <w:pStyle w:val="TableText"/>
                        </w:pPr>
                        <w:r w:rsidRPr="70B44A2E">
                          <w:rPr>
                            <w:lang w:val="en-NZ"/>
                          </w:rPr>
                          <w:t xml:space="preserve">Community capacity building </w:t>
                        </w:r>
                      </w:p>
                    </w:tc>
                    <w:tc>
                      <w:tcPr>
                        <w:tcW w:w="5610" w:type="dxa"/>
                      </w:tcPr>
                      <w:p w14:paraId="136BB2B9" w14:textId="77777777" w:rsidR="007C66A5" w:rsidRPr="006E539D" w:rsidRDefault="007C66A5">
                        <w:pPr>
                          <w:pStyle w:val="TableText"/>
                          <w:cnfStyle w:val="000000100000" w:firstRow="0" w:lastRow="0" w:firstColumn="0" w:lastColumn="0" w:oddVBand="0" w:evenVBand="0" w:oddHBand="1" w:evenHBand="0" w:firstRowFirstColumn="0" w:firstRowLastColumn="0" w:lastRowFirstColumn="0" w:lastRowLastColumn="0"/>
                        </w:pPr>
                        <w:r w:rsidRPr="006E539D">
                          <w:t xml:space="preserve">Developing a community’s skills in strengthening family relationships </w:t>
                        </w:r>
                      </w:p>
                    </w:tc>
                  </w:tr>
                  <w:tr w:rsidR="007C66A5" w:rsidRPr="00782EEB" w14:paraId="6885E84C" w14:textId="77777777" w:rsidTr="00773ED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9" w:type="dxa"/>
                      </w:tcPr>
                      <w:p w14:paraId="0ACB32BF" w14:textId="77777777" w:rsidR="007C66A5" w:rsidRPr="006E539D" w:rsidRDefault="007C66A5">
                        <w:pPr>
                          <w:pStyle w:val="TableText"/>
                        </w:pPr>
                        <w:r w:rsidRPr="006E539D">
                          <w:t xml:space="preserve">Commonwealth Child Safe Framework </w:t>
                        </w:r>
                      </w:p>
                    </w:tc>
                    <w:tc>
                      <w:tcPr>
                        <w:tcW w:w="5610" w:type="dxa"/>
                      </w:tcPr>
                      <w:p w14:paraId="30668841" w14:textId="77777777" w:rsidR="007C66A5" w:rsidRPr="006E539D" w:rsidRDefault="007C66A5">
                        <w:pPr>
                          <w:pStyle w:val="TableText"/>
                          <w:cnfStyle w:val="000000010000" w:firstRow="0" w:lastRow="0" w:firstColumn="0" w:lastColumn="0" w:oddVBand="0" w:evenVBand="0" w:oddHBand="0" w:evenHBand="1" w:firstRowFirstColumn="0" w:firstRowLastColumn="0" w:lastRowFirstColumn="0" w:lastRowLastColumn="0"/>
                        </w:pPr>
                        <w:r w:rsidRPr="70B44A2E">
                          <w:rPr>
                            <w:lang w:val="en-NZ"/>
                          </w:rPr>
                          <w:t>A whole-of-government policy that sets minimum standards for creating and embedding a child safe culture and practice in Commonwealth entities and Commonwealth funded third parties</w:t>
                        </w:r>
                      </w:p>
                    </w:tc>
                  </w:tr>
                  <w:tr w:rsidR="007C66A5" w:rsidRPr="00782EEB" w14:paraId="11DD0A37" w14:textId="77777777" w:rsidTr="00773ED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9" w:type="dxa"/>
                      </w:tcPr>
                      <w:p w14:paraId="742D9EC5" w14:textId="77777777" w:rsidR="007C66A5" w:rsidRPr="006E539D" w:rsidRDefault="007C66A5">
                        <w:pPr>
                          <w:pStyle w:val="TableText"/>
                        </w:pPr>
                        <w:r w:rsidRPr="006E539D">
                          <w:t xml:space="preserve">Counselling </w:t>
                        </w:r>
                      </w:p>
                    </w:tc>
                    <w:tc>
                      <w:tcPr>
                        <w:tcW w:w="5610" w:type="dxa"/>
                      </w:tcPr>
                      <w:p w14:paraId="1530F2BD" w14:textId="77777777" w:rsidR="007C66A5" w:rsidRPr="006E539D" w:rsidRDefault="007C66A5">
                        <w:pPr>
                          <w:pStyle w:val="TableText"/>
                          <w:cnfStyle w:val="000000100000" w:firstRow="0" w:lastRow="0" w:firstColumn="0" w:lastColumn="0" w:oddVBand="0" w:evenVBand="0" w:oddHBand="1" w:evenHBand="0" w:firstRowFirstColumn="0" w:firstRowLastColumn="0" w:lastRowFirstColumn="0" w:lastRowLastColumn="0"/>
                        </w:pPr>
                        <w:r w:rsidRPr="006E539D">
                          <w:t>Counselling for couples, families, children, or vulnerable people experiencing relationships issues</w:t>
                        </w:r>
                      </w:p>
                    </w:tc>
                  </w:tr>
                  <w:tr w:rsidR="00B6341A" w:rsidRPr="00782EEB" w14:paraId="595BDDFE" w14:textId="77777777" w:rsidTr="00773ED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9" w:type="dxa"/>
                        <w:shd w:val="clear" w:color="auto" w:fill="FFFFFF" w:themeFill="text1"/>
                      </w:tcPr>
                      <w:p w14:paraId="37569E7A" w14:textId="6DDD4320" w:rsidR="00B6341A" w:rsidRPr="006E539D" w:rsidRDefault="00B6341A" w:rsidP="006E539D">
                        <w:pPr>
                          <w:pStyle w:val="TableText"/>
                        </w:pPr>
                        <w:r w:rsidRPr="00B6341A">
                          <w:lastRenderedPageBreak/>
                          <w:t>CSEW</w:t>
                        </w:r>
                      </w:p>
                    </w:tc>
                    <w:tc>
                      <w:tcPr>
                        <w:tcW w:w="5610" w:type="dxa"/>
                        <w:shd w:val="clear" w:color="auto" w:fill="FFFFFF" w:themeFill="text1"/>
                      </w:tcPr>
                      <w:p w14:paraId="110A75F4" w14:textId="485AAA00" w:rsidR="00B6341A" w:rsidRPr="006E539D" w:rsidRDefault="00B6341A" w:rsidP="006E539D">
                        <w:pPr>
                          <w:pStyle w:val="TableText"/>
                          <w:cnfStyle w:val="000000010000" w:firstRow="0" w:lastRow="0" w:firstColumn="0" w:lastColumn="0" w:oddVBand="0" w:evenVBand="0" w:oddHBand="0" w:evenHBand="1" w:firstRowFirstColumn="0" w:firstRowLastColumn="0" w:lastRowFirstColumn="0" w:lastRowLastColumn="0"/>
                        </w:pPr>
                        <w:r w:rsidRPr="00B6341A">
                          <w:t>Crime Survey for England and Wales</w:t>
                        </w:r>
                      </w:p>
                    </w:tc>
                  </w:tr>
                  <w:tr w:rsidR="00694624" w:rsidRPr="00782EEB" w14:paraId="3E04B603" w14:textId="77777777" w:rsidTr="00773ED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9" w:type="dxa"/>
                      </w:tcPr>
                      <w:p w14:paraId="4C042C3A" w14:textId="0B5F3717" w:rsidR="00694624" w:rsidRPr="006E539D" w:rsidRDefault="00694624">
                        <w:pPr>
                          <w:pStyle w:val="TableText"/>
                        </w:pPr>
                        <w:r w:rsidRPr="006E539D">
                          <w:t>CPV</w:t>
                        </w:r>
                      </w:p>
                    </w:tc>
                    <w:tc>
                      <w:tcPr>
                        <w:tcW w:w="5610" w:type="dxa"/>
                      </w:tcPr>
                      <w:p w14:paraId="572192AC" w14:textId="73A3AF19" w:rsidR="00694624" w:rsidRPr="006E539D" w:rsidRDefault="00694624">
                        <w:pPr>
                          <w:pStyle w:val="TableText"/>
                          <w:cnfStyle w:val="000000100000" w:firstRow="0" w:lastRow="0" w:firstColumn="0" w:lastColumn="0" w:oddVBand="0" w:evenVBand="0" w:oddHBand="1" w:evenHBand="0" w:firstRowFirstColumn="0" w:firstRowLastColumn="0" w:lastRowFirstColumn="0" w:lastRowLastColumn="0"/>
                        </w:pPr>
                        <w:r w:rsidRPr="006E539D">
                          <w:t>Child-to-parent violence</w:t>
                        </w:r>
                      </w:p>
                    </w:tc>
                  </w:tr>
                  <w:tr w:rsidR="007C66A5" w:rsidRPr="00782EEB" w14:paraId="57AF4AD8" w14:textId="77777777" w:rsidTr="00773ED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9" w:type="dxa"/>
                      </w:tcPr>
                      <w:p w14:paraId="67DD9361" w14:textId="77777777" w:rsidR="007C66A5" w:rsidRPr="006E539D" w:rsidRDefault="007C66A5">
                        <w:pPr>
                          <w:pStyle w:val="TableText"/>
                        </w:pPr>
                        <w:r w:rsidRPr="006E539D">
                          <w:t>CPS</w:t>
                        </w:r>
                      </w:p>
                    </w:tc>
                    <w:tc>
                      <w:tcPr>
                        <w:tcW w:w="5610" w:type="dxa"/>
                      </w:tcPr>
                      <w:p w14:paraId="3A6BE14E" w14:textId="77777777" w:rsidR="007C66A5" w:rsidRPr="006E539D" w:rsidRDefault="007C66A5">
                        <w:pPr>
                          <w:pStyle w:val="TableText"/>
                          <w:cnfStyle w:val="000000010000" w:firstRow="0" w:lastRow="0" w:firstColumn="0" w:lastColumn="0" w:oddVBand="0" w:evenVBand="0" w:oddHBand="0" w:evenHBand="1" w:firstRowFirstColumn="0" w:firstRowLastColumn="0" w:lastRowFirstColumn="0" w:lastRowLastColumn="0"/>
                        </w:pPr>
                        <w:r w:rsidRPr="006E539D">
                          <w:t xml:space="preserve">Child protection services </w:t>
                        </w:r>
                      </w:p>
                    </w:tc>
                  </w:tr>
                  <w:tr w:rsidR="007C66A5" w:rsidRPr="00782EEB" w14:paraId="63E72190" w14:textId="77777777" w:rsidTr="00773ED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9" w:type="dxa"/>
                      </w:tcPr>
                      <w:p w14:paraId="7AD734AE" w14:textId="77777777" w:rsidR="007C66A5" w:rsidRPr="006E539D" w:rsidRDefault="007C66A5">
                        <w:pPr>
                          <w:pStyle w:val="TableText"/>
                        </w:pPr>
                        <w:r w:rsidRPr="006E539D">
                          <w:t>CSC</w:t>
                        </w:r>
                      </w:p>
                    </w:tc>
                    <w:tc>
                      <w:tcPr>
                        <w:tcW w:w="5610" w:type="dxa"/>
                      </w:tcPr>
                      <w:p w14:paraId="2D0CECDA" w14:textId="77777777" w:rsidR="007C66A5" w:rsidRPr="006E539D" w:rsidRDefault="007C66A5">
                        <w:pPr>
                          <w:pStyle w:val="TableText"/>
                          <w:cnfStyle w:val="000000100000" w:firstRow="0" w:lastRow="0" w:firstColumn="0" w:lastColumn="0" w:oddVBand="0" w:evenVBand="0" w:oddHBand="1" w:evenHBand="0" w:firstRowFirstColumn="0" w:firstRowLastColumn="0" w:lastRowFirstColumn="0" w:lastRowLastColumn="0"/>
                        </w:pPr>
                        <w:r w:rsidRPr="006E539D">
                          <w:t xml:space="preserve">Child Specific Counselling </w:t>
                        </w:r>
                      </w:p>
                    </w:tc>
                  </w:tr>
                  <w:tr w:rsidR="00382C89" w:rsidRPr="00782EEB" w14:paraId="2CA2141E" w14:textId="77777777" w:rsidTr="00773ED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9" w:type="dxa"/>
                      </w:tcPr>
                      <w:p w14:paraId="0B65A391" w14:textId="66CCE13C" w:rsidR="00382C89" w:rsidRPr="006E539D" w:rsidRDefault="00382C89" w:rsidP="006E539D">
                        <w:pPr>
                          <w:pStyle w:val="TableText"/>
                        </w:pPr>
                        <w:r>
                          <w:t xml:space="preserve">DALY </w:t>
                        </w:r>
                      </w:p>
                    </w:tc>
                    <w:tc>
                      <w:tcPr>
                        <w:tcW w:w="5610" w:type="dxa"/>
                      </w:tcPr>
                      <w:p w14:paraId="5540A90C" w14:textId="7E0DA51C" w:rsidR="00382C89" w:rsidRPr="006E539D" w:rsidRDefault="00382C89" w:rsidP="006E539D">
                        <w:pPr>
                          <w:pStyle w:val="TableText"/>
                          <w:cnfStyle w:val="000000010000" w:firstRow="0" w:lastRow="0" w:firstColumn="0" w:lastColumn="0" w:oddVBand="0" w:evenVBand="0" w:oddHBand="0" w:evenHBand="1" w:firstRowFirstColumn="0" w:firstRowLastColumn="0" w:lastRowFirstColumn="0" w:lastRowLastColumn="0"/>
                        </w:pPr>
                        <w:r>
                          <w:t xml:space="preserve">Disability-adjusted life year </w:t>
                        </w:r>
                      </w:p>
                    </w:tc>
                  </w:tr>
                  <w:tr w:rsidR="007C66A5" w:rsidRPr="00782EEB" w14:paraId="11B7F39E" w14:textId="77777777" w:rsidTr="00773ED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9" w:type="dxa"/>
                      </w:tcPr>
                      <w:p w14:paraId="34FF7E42" w14:textId="77777777" w:rsidR="007C66A5" w:rsidRPr="006E539D" w:rsidRDefault="007C66A5">
                        <w:pPr>
                          <w:pStyle w:val="TableText"/>
                        </w:pPr>
                        <w:r w:rsidRPr="006E539D">
                          <w:t>DEX</w:t>
                        </w:r>
                      </w:p>
                    </w:tc>
                    <w:tc>
                      <w:tcPr>
                        <w:tcW w:w="5610" w:type="dxa"/>
                      </w:tcPr>
                      <w:p w14:paraId="489B87DD" w14:textId="77777777" w:rsidR="007C66A5" w:rsidRPr="006E539D" w:rsidRDefault="007C66A5">
                        <w:pPr>
                          <w:pStyle w:val="TableText"/>
                          <w:cnfStyle w:val="000000100000" w:firstRow="0" w:lastRow="0" w:firstColumn="0" w:lastColumn="0" w:oddVBand="0" w:evenVBand="0" w:oddHBand="1" w:evenHBand="0" w:firstRowFirstColumn="0" w:firstRowLastColumn="0" w:lastRowFirstColumn="0" w:lastRowLastColumn="0"/>
                        </w:pPr>
                        <w:r w:rsidRPr="006E539D">
                          <w:t>Data Exchange</w:t>
                        </w:r>
                      </w:p>
                    </w:tc>
                  </w:tr>
                  <w:tr w:rsidR="003B3376" w:rsidRPr="00782EEB" w14:paraId="54E3B21C" w14:textId="77777777" w:rsidTr="00773ED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9" w:type="dxa"/>
                      </w:tcPr>
                      <w:p w14:paraId="28E8B144" w14:textId="1A81A442" w:rsidR="003B3376" w:rsidRPr="006E539D" w:rsidRDefault="003B3376" w:rsidP="006E539D">
                        <w:pPr>
                          <w:pStyle w:val="TableText"/>
                        </w:pPr>
                        <w:r w:rsidRPr="006E539D">
                          <w:t>DEX-SCORE</w:t>
                        </w:r>
                      </w:p>
                    </w:tc>
                    <w:tc>
                      <w:tcPr>
                        <w:tcW w:w="5610" w:type="dxa"/>
                      </w:tcPr>
                      <w:p w14:paraId="6C815E22" w14:textId="1ACCF816" w:rsidR="00CE2922" w:rsidRPr="006E539D" w:rsidRDefault="0067752A" w:rsidP="008E1B83">
                        <w:pPr>
                          <w:pStyle w:val="TableText"/>
                          <w:cnfStyle w:val="000000010000" w:firstRow="0" w:lastRow="0" w:firstColumn="0" w:lastColumn="0" w:oddVBand="0" w:evenVBand="0" w:oddHBand="0" w:evenHBand="1" w:firstRowFirstColumn="0" w:firstRowLastColumn="0" w:lastRowFirstColumn="0" w:lastRowLastColumn="0"/>
                        </w:pPr>
                        <w:r w:rsidRPr="006E539D">
                          <w:t xml:space="preserve">SCORE is designed to measure the result of a service </w:t>
                        </w:r>
                        <w:r w:rsidR="00363860" w:rsidRPr="006E539D">
                          <w:t>users’</w:t>
                        </w:r>
                        <w:r w:rsidRPr="006E539D">
                          <w:t xml:space="preserve"> interaction with a funded service. This data helps </w:t>
                        </w:r>
                        <w:r w:rsidR="00CE2922" w:rsidRPr="006E539D">
                          <w:t>build an</w:t>
                        </w:r>
                        <w:r w:rsidRPr="006E539D">
                          <w:t xml:space="preserve"> understand</w:t>
                        </w:r>
                        <w:r w:rsidR="00CE2922" w:rsidRPr="006E539D">
                          <w:t xml:space="preserve">ing of </w:t>
                        </w:r>
                        <w:r w:rsidRPr="006E539D">
                          <w:t xml:space="preserve">the impact the service is making on a service </w:t>
                        </w:r>
                        <w:r w:rsidR="00A004B9" w:rsidRPr="006E539D">
                          <w:t>user’s</w:t>
                        </w:r>
                        <w:r w:rsidRPr="006E539D">
                          <w:t xml:space="preserve"> life. </w:t>
                        </w:r>
                        <w:r w:rsidR="00363860" w:rsidRPr="006E539D">
                          <w:t xml:space="preserve">SCORE capture occurs at a </w:t>
                        </w:r>
                        <w:r w:rsidR="007F7D2C" w:rsidRPr="006E539D">
                          <w:t>point</w:t>
                        </w:r>
                        <w:r w:rsidR="00363860" w:rsidRPr="006E539D">
                          <w:t xml:space="preserve"> in time in a service users service journey where a practitioner notes changes, or at logical review points (e.g. beginning, middle, and end of service provision).</w:t>
                        </w:r>
                      </w:p>
                      <w:p w14:paraId="530CCC37" w14:textId="273CDBAD" w:rsidR="0067752A" w:rsidRPr="006E539D" w:rsidRDefault="00CE2922" w:rsidP="006E539D">
                        <w:pPr>
                          <w:pStyle w:val="TableText"/>
                          <w:cnfStyle w:val="000000010000" w:firstRow="0" w:lastRow="0" w:firstColumn="0" w:lastColumn="0" w:oddVBand="0" w:evenVBand="0" w:oddHBand="0" w:evenHBand="1" w:firstRowFirstColumn="0" w:firstRowLastColumn="0" w:lastRowFirstColumn="0" w:lastRowLastColumn="0"/>
                        </w:pPr>
                        <w:r w:rsidRPr="006E539D">
                          <w:t xml:space="preserve">Organisations report </w:t>
                        </w:r>
                        <w:r w:rsidR="00363860" w:rsidRPr="006E539D">
                          <w:t xml:space="preserve">to DEX </w:t>
                        </w:r>
                        <w:r w:rsidRPr="006E539D">
                          <w:t xml:space="preserve">against several </w:t>
                        </w:r>
                        <w:r w:rsidR="0067752A" w:rsidRPr="006E539D">
                          <w:t xml:space="preserve">SCORE </w:t>
                        </w:r>
                        <w:r w:rsidRPr="006E539D">
                          <w:t xml:space="preserve">domains </w:t>
                        </w:r>
                        <w:r w:rsidR="0067752A" w:rsidRPr="006E539D">
                          <w:t>to measure client outcomes using their own tools and methods</w:t>
                        </w:r>
                        <w:r w:rsidR="00363860" w:rsidRPr="006E539D">
                          <w:t xml:space="preserve">. </w:t>
                        </w:r>
                      </w:p>
                      <w:p w14:paraId="01E54DBB" w14:textId="0E7815CF" w:rsidR="0067752A" w:rsidRPr="006E539D" w:rsidRDefault="0067752A" w:rsidP="006E539D">
                        <w:pPr>
                          <w:pStyle w:val="TableText"/>
                          <w:cnfStyle w:val="000000010000" w:firstRow="0" w:lastRow="0" w:firstColumn="0" w:lastColumn="0" w:oddVBand="0" w:evenVBand="0" w:oddHBand="0" w:evenHBand="1" w:firstRowFirstColumn="0" w:firstRowLastColumn="0" w:lastRowFirstColumn="0" w:lastRowLastColumn="0"/>
                        </w:pPr>
                        <w:r w:rsidRPr="006E539D">
                          <w:t>SCORE may be reported through a practitioner assessment, a client self-assessment, support person assessment, or a joint assessment</w:t>
                        </w:r>
                        <w:r w:rsidR="00363860" w:rsidRPr="006E539D">
                          <w:t xml:space="preserve">. </w:t>
                        </w:r>
                      </w:p>
                    </w:tc>
                  </w:tr>
                  <w:tr w:rsidR="007C66A5" w:rsidRPr="00782EEB" w14:paraId="59E17140" w14:textId="77777777" w:rsidTr="00773ED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9" w:type="dxa"/>
                      </w:tcPr>
                      <w:p w14:paraId="5909AF11" w14:textId="77777777" w:rsidR="007C66A5" w:rsidRPr="006E539D" w:rsidRDefault="007C66A5">
                        <w:pPr>
                          <w:pStyle w:val="TableText"/>
                        </w:pPr>
                        <w:r w:rsidRPr="006E539D">
                          <w:t xml:space="preserve">Education and skills training </w:t>
                        </w:r>
                      </w:p>
                    </w:tc>
                    <w:tc>
                      <w:tcPr>
                        <w:tcW w:w="5610" w:type="dxa"/>
                      </w:tcPr>
                      <w:p w14:paraId="638E01A1" w14:textId="77777777" w:rsidR="007C66A5" w:rsidRPr="006E539D" w:rsidRDefault="007C66A5">
                        <w:pPr>
                          <w:pStyle w:val="TableText"/>
                          <w:cnfStyle w:val="000000100000" w:firstRow="0" w:lastRow="0" w:firstColumn="0" w:lastColumn="0" w:oddVBand="0" w:evenVBand="0" w:oddHBand="1" w:evenHBand="0" w:firstRowFirstColumn="0" w:firstRowLastColumn="0" w:lastRowFirstColumn="0" w:lastRowLastColumn="0"/>
                        </w:pPr>
                        <w:r w:rsidRPr="006E539D">
                          <w:t xml:space="preserve">Relationship education courses or skills and education training for families, children, and couples. </w:t>
                        </w:r>
                      </w:p>
                    </w:tc>
                  </w:tr>
                  <w:tr w:rsidR="00C921FB" w:rsidRPr="00782EEB" w14:paraId="27D4B8F5" w14:textId="77777777" w:rsidTr="00773ED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9" w:type="dxa"/>
                      </w:tcPr>
                      <w:p w14:paraId="07BD81CD" w14:textId="1B4818EF" w:rsidR="00C921FB" w:rsidRPr="006E539D" w:rsidRDefault="00C921FB">
                        <w:pPr>
                          <w:pStyle w:val="TableText"/>
                        </w:pPr>
                        <w:r>
                          <w:t>EOI</w:t>
                        </w:r>
                      </w:p>
                    </w:tc>
                    <w:tc>
                      <w:tcPr>
                        <w:tcW w:w="5610" w:type="dxa"/>
                      </w:tcPr>
                      <w:p w14:paraId="0C294F52" w14:textId="633FB5BF" w:rsidR="00C921FB" w:rsidRPr="006E539D" w:rsidRDefault="00C921FB">
                        <w:pPr>
                          <w:pStyle w:val="TableText"/>
                          <w:cnfStyle w:val="000000010000" w:firstRow="0" w:lastRow="0" w:firstColumn="0" w:lastColumn="0" w:oddVBand="0" w:evenVBand="0" w:oddHBand="0" w:evenHBand="1" w:firstRowFirstColumn="0" w:firstRowLastColumn="0" w:lastRowFirstColumn="0" w:lastRowLastColumn="0"/>
                        </w:pPr>
                        <w:r>
                          <w:t>Expression of Interest</w:t>
                        </w:r>
                      </w:p>
                    </w:tc>
                  </w:tr>
                  <w:tr w:rsidR="007C66A5" w:rsidRPr="00782EEB" w14:paraId="32789BE5" w14:textId="77777777" w:rsidTr="00773ED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9" w:type="dxa"/>
                      </w:tcPr>
                      <w:p w14:paraId="15527BF4" w14:textId="629BDF3F" w:rsidR="007C66A5" w:rsidRPr="006E539D" w:rsidRDefault="00D62DC4">
                        <w:pPr>
                          <w:pStyle w:val="TableText"/>
                        </w:pPr>
                        <w:r>
                          <w:rPr>
                            <w:lang w:val="en-NZ"/>
                          </w:rPr>
                          <w:t>FaC</w:t>
                        </w:r>
                      </w:p>
                    </w:tc>
                    <w:tc>
                      <w:tcPr>
                        <w:tcW w:w="5610" w:type="dxa"/>
                      </w:tcPr>
                      <w:p w14:paraId="16317DEB" w14:textId="1A9A3855" w:rsidR="00B6267D" w:rsidRPr="00253268" w:rsidRDefault="00B6267D" w:rsidP="00B6267D">
                        <w:pPr>
                          <w:pStyle w:val="TableText"/>
                          <w:cnfStyle w:val="000000100000" w:firstRow="0" w:lastRow="0" w:firstColumn="0" w:lastColumn="0" w:oddVBand="0" w:evenVBand="0" w:oddHBand="1" w:evenHBand="0" w:firstRowFirstColumn="0" w:firstRowLastColumn="0" w:lastRowFirstColumn="0" w:lastRowLastColumn="0"/>
                        </w:pPr>
                        <w:r>
                          <w:t xml:space="preserve">Families and Children Activity </w:t>
                        </w:r>
                      </w:p>
                      <w:p w14:paraId="1869EB67" w14:textId="4D29922A" w:rsidR="00D62DC4" w:rsidRPr="00B6267D" w:rsidRDefault="007C66A5" w:rsidP="00B6267D">
                        <w:pPr>
                          <w:pStyle w:val="TableText"/>
                          <w:cnfStyle w:val="000000100000" w:firstRow="0" w:lastRow="0" w:firstColumn="0" w:lastColumn="0" w:oddVBand="0" w:evenVBand="0" w:oddHBand="1" w:evenHBand="0" w:firstRowFirstColumn="0" w:firstRowLastColumn="0" w:lastRowFirstColumn="0" w:lastRowLastColumn="0"/>
                        </w:pPr>
                        <w:r w:rsidRPr="70B44A2E">
                          <w:rPr>
                            <w:lang w:val="en-NZ"/>
                          </w:rPr>
                          <w:t xml:space="preserve">The FaC </w:t>
                        </w:r>
                        <w:r w:rsidR="00822652">
                          <w:rPr>
                            <w:lang w:val="en-NZ"/>
                          </w:rPr>
                          <w:t xml:space="preserve">activity </w:t>
                        </w:r>
                        <w:r w:rsidRPr="70B44A2E">
                          <w:rPr>
                            <w:lang w:val="en-NZ"/>
                          </w:rPr>
                          <w:t xml:space="preserve">is delivered by the Australian Department of Social Services under the Families and Communities Program and aims to support families, strengthen relationships, improve the wellbeing of children and young people and increase participation of people in community life to enhance family and community functioning </w:t>
                        </w:r>
                        <w:r w:rsidRPr="008E1B83">
                          <w:fldChar w:fldCharType="begin"/>
                        </w:r>
                        <w:r w:rsidR="00E41D03">
                          <w:instrText xml:space="preserve"> ADDIN ZOTERO_ITEM CSL_CITATION {"citationID":"4MACrMN4","properties":{"formattedCitation":"(Department of Social Services, 2021a)","plainCitation":"(Department of Social Services, 2021a)","noteIndex":0},"citationItems":[{"id":4671,"uris":["http://zotero.org/groups/5691188/items/8PWCMD8P"],"itemData":{"id":4671,"type":"document","title":"Family and Relationship Services Operational Guidelines","author":[{"family":"Department of Social Services","given":""}],"issued":{"date-parts":[["2021",7,1]]}}}],"schema":"https://github.com/citation-style-language/schema/raw/master/csl-citation.json"} </w:instrText>
                        </w:r>
                        <w:r w:rsidRPr="008E1B83">
                          <w:fldChar w:fldCharType="separate"/>
                        </w:r>
                        <w:r w:rsidRPr="70B44A2E">
                          <w:rPr>
                            <w:lang w:val="en-NZ"/>
                          </w:rPr>
                          <w:t>(Department of Social Services, 2021a)</w:t>
                        </w:r>
                        <w:r w:rsidRPr="008E1B83">
                          <w:fldChar w:fldCharType="end"/>
                        </w:r>
                        <w:r w:rsidR="00D62DC4">
                          <w:t>.</w:t>
                        </w:r>
                      </w:p>
                    </w:tc>
                  </w:tr>
                  <w:tr w:rsidR="007C66A5" w:rsidRPr="00782EEB" w14:paraId="3C32636F" w14:textId="77777777" w:rsidTr="00773ED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9" w:type="dxa"/>
                      </w:tcPr>
                      <w:p w14:paraId="580172FC" w14:textId="5B63686C" w:rsidR="007C66A5" w:rsidRPr="008E1B83" w:rsidRDefault="007C66A5">
                        <w:pPr>
                          <w:pStyle w:val="TableText"/>
                          <w:rPr>
                            <w:lang w:val="en-NZ"/>
                          </w:rPr>
                        </w:pPr>
                        <w:r w:rsidRPr="70B44A2E">
                          <w:rPr>
                            <w:lang w:val="en-NZ"/>
                          </w:rPr>
                          <w:t>FaRS</w:t>
                        </w:r>
                      </w:p>
                    </w:tc>
                    <w:tc>
                      <w:tcPr>
                        <w:tcW w:w="5610" w:type="dxa"/>
                      </w:tcPr>
                      <w:p w14:paraId="4AA522BC" w14:textId="33EBD830" w:rsidR="007C66A5" w:rsidRPr="006E539D" w:rsidRDefault="007C66A5">
                        <w:pPr>
                          <w:pStyle w:val="TableText"/>
                          <w:cnfStyle w:val="000000010000" w:firstRow="0" w:lastRow="0" w:firstColumn="0" w:lastColumn="0" w:oddVBand="0" w:evenVBand="0" w:oddHBand="0" w:evenHBand="1" w:firstRowFirstColumn="0" w:firstRowLastColumn="0" w:lastRowFirstColumn="0" w:lastRowLastColumn="0"/>
                        </w:pPr>
                        <w:r w:rsidRPr="70B44A2E">
                          <w:rPr>
                            <w:lang w:val="en-NZ"/>
                          </w:rPr>
                          <w:t xml:space="preserve">Family and Relationships Services is a sub-activity of the Families and Children Activity of the Families and Communities Program. FaRS provide early intervention and prevention services and focus on at-risk families including those at risk of breakdown, with children at risk of abuse or neglect, and/or experiencing disadvantage or vulnerability. FaRS is funded by the Department to deliver broad-based counselling and education to families of different forms and sizes. FaRS services focus primarily on early intervention and prevention and are targeted to critical family transition points including formation, extension, and separation. The Department funds grant </w:t>
                        </w:r>
                        <w:r w:rsidRPr="70B44A2E">
                          <w:rPr>
                            <w:lang w:val="en-NZ"/>
                          </w:rPr>
                          <w:lastRenderedPageBreak/>
                          <w:t xml:space="preserve">recipients to deliver FaRS in specified service areas </w:t>
                        </w:r>
                        <w:r w:rsidRPr="008E1B83">
                          <w:fldChar w:fldCharType="begin"/>
                        </w:r>
                        <w:r w:rsidR="00E41D03">
                          <w:instrText xml:space="preserve"> ADDIN ZOTERO_ITEM CSL_CITATION {"citationID":"HuyU78PZ","properties":{"formattedCitation":"(Department of Social Services, 2021a)","plainCitation":"(Department of Social Services, 2021a)","noteIndex":0},"citationItems":[{"id":4671,"uris":["http://zotero.org/groups/5691188/items/8PWCMD8P"],"itemData":{"id":4671,"type":"document","title":"Family and Relationship Services Operational Guidelines","author":[{"family":"Department of Social Services","given":""}],"issued":{"date-parts":[["2021",7,1]]}}}],"schema":"https://github.com/citation-style-language/schema/raw/master/csl-citation.json"} </w:instrText>
                        </w:r>
                        <w:r w:rsidRPr="008E1B83">
                          <w:fldChar w:fldCharType="separate"/>
                        </w:r>
                        <w:r w:rsidRPr="70B44A2E">
                          <w:rPr>
                            <w:lang w:val="en-NZ"/>
                          </w:rPr>
                          <w:t>(Department of Social Services, 2021a)</w:t>
                        </w:r>
                        <w:r w:rsidRPr="008E1B83">
                          <w:fldChar w:fldCharType="end"/>
                        </w:r>
                        <w:r w:rsidRPr="70B44A2E">
                          <w:rPr>
                            <w:lang w:val="en-NZ"/>
                          </w:rPr>
                          <w:t xml:space="preserve">. </w:t>
                        </w:r>
                      </w:p>
                    </w:tc>
                  </w:tr>
                  <w:tr w:rsidR="007C66A5" w:rsidRPr="00782EEB" w14:paraId="503B3D48" w14:textId="77777777" w:rsidTr="00773ED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9" w:type="dxa"/>
                      </w:tcPr>
                      <w:p w14:paraId="741D6AB2" w14:textId="77777777" w:rsidR="007C66A5" w:rsidRPr="008E1B83" w:rsidRDefault="007C66A5">
                        <w:pPr>
                          <w:pStyle w:val="TableText"/>
                        </w:pPr>
                        <w:r w:rsidRPr="008E1B83">
                          <w:lastRenderedPageBreak/>
                          <w:t>FNAAFV</w:t>
                        </w:r>
                      </w:p>
                    </w:tc>
                    <w:tc>
                      <w:tcPr>
                        <w:tcW w:w="5610" w:type="dxa"/>
                      </w:tcPr>
                      <w:p w14:paraId="2793128C" w14:textId="77777777" w:rsidR="007C66A5" w:rsidRPr="008E1B83" w:rsidRDefault="007C66A5">
                        <w:pPr>
                          <w:pStyle w:val="TableText"/>
                          <w:cnfStyle w:val="000000100000" w:firstRow="0" w:lastRow="0" w:firstColumn="0" w:lastColumn="0" w:oddVBand="0" w:evenVBand="0" w:oddHBand="1" w:evenHBand="0" w:firstRowFirstColumn="0" w:firstRowLastColumn="0" w:lastRowFirstColumn="0" w:lastRowLastColumn="0"/>
                        </w:pPr>
                        <w:r w:rsidRPr="008E1B83">
                          <w:t>First Nations Advocates Against Family Violence</w:t>
                        </w:r>
                      </w:p>
                    </w:tc>
                  </w:tr>
                  <w:tr w:rsidR="00CD73F3" w:rsidRPr="00782EEB" w14:paraId="548ECDD4" w14:textId="77777777" w:rsidTr="00773ED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9" w:type="dxa"/>
                      </w:tcPr>
                      <w:p w14:paraId="7FF8F3AD" w14:textId="77777777" w:rsidR="00CD73F3" w:rsidRPr="008E1B83" w:rsidRDefault="00CD73F3" w:rsidP="00CD73F3">
                        <w:pPr>
                          <w:pStyle w:val="TableText"/>
                        </w:pPr>
                        <w:r w:rsidRPr="0038475F">
                          <w:t>FRSA</w:t>
                        </w:r>
                      </w:p>
                    </w:tc>
                    <w:tc>
                      <w:tcPr>
                        <w:tcW w:w="5610" w:type="dxa"/>
                      </w:tcPr>
                      <w:p w14:paraId="0CA9437D" w14:textId="77777777" w:rsidR="00CD73F3" w:rsidRPr="008E1B83" w:rsidRDefault="00CD73F3" w:rsidP="00CD73F3">
                        <w:pPr>
                          <w:pStyle w:val="TableText"/>
                          <w:cnfStyle w:val="000000010000" w:firstRow="0" w:lastRow="0" w:firstColumn="0" w:lastColumn="0" w:oddVBand="0" w:evenVBand="0" w:oddHBand="0" w:evenHBand="1" w:firstRowFirstColumn="0" w:firstRowLastColumn="0" w:lastRowFirstColumn="0" w:lastRowLastColumn="0"/>
                        </w:pPr>
                        <w:r w:rsidRPr="0038475F">
                          <w:t xml:space="preserve">Family and Relationship Services Australia </w:t>
                        </w:r>
                      </w:p>
                    </w:tc>
                  </w:tr>
                  <w:tr w:rsidR="007C66A5" w:rsidRPr="00782EEB" w14:paraId="7BE732A9" w14:textId="77777777" w:rsidTr="00773ED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9" w:type="dxa"/>
                      </w:tcPr>
                      <w:p w14:paraId="0BAAC462" w14:textId="77777777" w:rsidR="007C66A5" w:rsidRPr="008E1B83" w:rsidRDefault="007C66A5">
                        <w:pPr>
                          <w:pStyle w:val="TableText"/>
                        </w:pPr>
                        <w:r w:rsidRPr="008E1B83">
                          <w:t>FRSP</w:t>
                        </w:r>
                      </w:p>
                    </w:tc>
                    <w:tc>
                      <w:tcPr>
                        <w:tcW w:w="5610" w:type="dxa"/>
                      </w:tcPr>
                      <w:p w14:paraId="00050E7C" w14:textId="77777777" w:rsidR="007C66A5" w:rsidRDefault="007C66A5">
                        <w:pPr>
                          <w:pStyle w:val="TableText"/>
                          <w:cnfStyle w:val="000000100000" w:firstRow="0" w:lastRow="0" w:firstColumn="0" w:lastColumn="0" w:oddVBand="0" w:evenVBand="0" w:oddHBand="1" w:evenHBand="0" w:firstRowFirstColumn="0" w:firstRowLastColumn="0" w:lastRowFirstColumn="0" w:lastRowLastColumn="0"/>
                        </w:pPr>
                        <w:r w:rsidRPr="008E1B83">
                          <w:t xml:space="preserve">Family Relationship Services Program </w:t>
                        </w:r>
                      </w:p>
                      <w:p w14:paraId="313C932F" w14:textId="06DE04C9" w:rsidR="00423DFA" w:rsidRPr="008E1B83" w:rsidRDefault="00423DFA">
                        <w:pPr>
                          <w:pStyle w:val="TableText"/>
                          <w:cnfStyle w:val="000000100000" w:firstRow="0" w:lastRow="0" w:firstColumn="0" w:lastColumn="0" w:oddVBand="0" w:evenVBand="0" w:oddHBand="1" w:evenHBand="0" w:firstRowFirstColumn="0" w:firstRowLastColumn="0" w:lastRowFirstColumn="0" w:lastRowLastColumn="0"/>
                        </w:pPr>
                        <w:r w:rsidRPr="0CAE5FDE">
                          <w:rPr>
                            <w:lang w:val="en-NZ"/>
                          </w:rPr>
                          <w:t xml:space="preserve">FRSP is currently administered by the Attorney Generals Department. </w:t>
                        </w:r>
                        <w:r w:rsidR="000C6B12" w:rsidRPr="0CAE5FDE">
                          <w:rPr>
                            <w:lang w:val="en-NZ"/>
                          </w:rPr>
                          <w:t xml:space="preserve">It aims to improve the wellbeing of Australian families, particularly those with children who are separating, or are at risk of separation. It provides </w:t>
                        </w:r>
                        <w:r w:rsidR="00684968" w:rsidRPr="0CAE5FDE">
                          <w:rPr>
                            <w:lang w:val="en-NZ"/>
                          </w:rPr>
                          <w:t>community-based</w:t>
                        </w:r>
                        <w:r w:rsidR="000C6B12" w:rsidRPr="0CAE5FDE">
                          <w:rPr>
                            <w:lang w:val="en-NZ"/>
                          </w:rPr>
                          <w:t xml:space="preserve"> services to help separate or </w:t>
                        </w:r>
                        <w:r w:rsidR="006C75E9" w:rsidRPr="0CAE5FDE">
                          <w:rPr>
                            <w:lang w:val="en-NZ"/>
                          </w:rPr>
                          <w:t>separating</w:t>
                        </w:r>
                        <w:r w:rsidR="000C6B12" w:rsidRPr="0CAE5FDE">
                          <w:rPr>
                            <w:lang w:val="en-NZ"/>
                          </w:rPr>
                          <w:t xml:space="preserve"> families to avoid court processes and supports heathier </w:t>
                        </w:r>
                        <w:r w:rsidR="006C75E9" w:rsidRPr="0CAE5FDE">
                          <w:rPr>
                            <w:lang w:val="en-NZ"/>
                          </w:rPr>
                          <w:t>transitions</w:t>
                        </w:r>
                        <w:r w:rsidR="000C6B12" w:rsidRPr="0CAE5FDE">
                          <w:rPr>
                            <w:lang w:val="en-NZ"/>
                          </w:rPr>
                          <w:t xml:space="preserve"> through range of offerings including </w:t>
                        </w:r>
                        <w:r w:rsidR="006C75E9" w:rsidRPr="0CAE5FDE">
                          <w:rPr>
                            <w:lang w:val="en-NZ"/>
                          </w:rPr>
                          <w:t xml:space="preserve">but not limited to </w:t>
                        </w:r>
                        <w:r w:rsidR="000C6B12" w:rsidRPr="0CAE5FDE">
                          <w:rPr>
                            <w:lang w:val="en-NZ"/>
                          </w:rPr>
                          <w:t xml:space="preserve">family law counselling, </w:t>
                        </w:r>
                        <w:r w:rsidR="006C75E9" w:rsidRPr="0CAE5FDE">
                          <w:rPr>
                            <w:lang w:val="en-NZ"/>
                          </w:rPr>
                          <w:t xml:space="preserve">family dispute resolution, and parenting orders programs. </w:t>
                        </w:r>
                      </w:p>
                    </w:tc>
                  </w:tr>
                  <w:tr w:rsidR="00826947" w:rsidRPr="00782EEB" w14:paraId="3E321F58" w14:textId="77777777" w:rsidTr="00773ED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9" w:type="dxa"/>
                      </w:tcPr>
                      <w:p w14:paraId="4CB78EFE" w14:textId="4CD3D13F" w:rsidR="00826947" w:rsidRPr="008E1B83" w:rsidRDefault="00826947" w:rsidP="006E539D">
                        <w:pPr>
                          <w:pStyle w:val="TableText"/>
                        </w:pPr>
                        <w:r w:rsidRPr="008E1B83">
                          <w:t>HILDA</w:t>
                        </w:r>
                      </w:p>
                    </w:tc>
                    <w:tc>
                      <w:tcPr>
                        <w:tcW w:w="5610" w:type="dxa"/>
                      </w:tcPr>
                      <w:p w14:paraId="38F58668" w14:textId="11D9B4B8" w:rsidR="00826947" w:rsidRPr="008E1B83" w:rsidRDefault="00181AC9" w:rsidP="006E539D">
                        <w:pPr>
                          <w:pStyle w:val="TableText"/>
                          <w:cnfStyle w:val="000000010000" w:firstRow="0" w:lastRow="0" w:firstColumn="0" w:lastColumn="0" w:oddVBand="0" w:evenVBand="0" w:oddHBand="0" w:evenHBand="1" w:firstRowFirstColumn="0" w:firstRowLastColumn="0" w:lastRowFirstColumn="0" w:lastRowLastColumn="0"/>
                        </w:pPr>
                        <w:r w:rsidRPr="008E1B83">
                          <w:t>Household, Income and Labour Dynamics in Australia</w:t>
                        </w:r>
                      </w:p>
                    </w:tc>
                  </w:tr>
                  <w:tr w:rsidR="007C66A5" w:rsidRPr="00782EEB" w14:paraId="276BD2C9" w14:textId="77777777" w:rsidTr="00773ED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9" w:type="dxa"/>
                      </w:tcPr>
                      <w:p w14:paraId="6F8F6D43" w14:textId="77777777" w:rsidR="007C66A5" w:rsidRPr="006E539D" w:rsidRDefault="007C66A5">
                        <w:pPr>
                          <w:pStyle w:val="TableText"/>
                        </w:pPr>
                        <w:r w:rsidRPr="006E539D">
                          <w:t>HREC</w:t>
                        </w:r>
                      </w:p>
                    </w:tc>
                    <w:tc>
                      <w:tcPr>
                        <w:tcW w:w="5610" w:type="dxa"/>
                      </w:tcPr>
                      <w:p w14:paraId="6C5F8485" w14:textId="77777777" w:rsidR="007C66A5" w:rsidRPr="006E539D" w:rsidRDefault="007C66A5">
                        <w:pPr>
                          <w:pStyle w:val="TableText"/>
                          <w:cnfStyle w:val="000000100000" w:firstRow="0" w:lastRow="0" w:firstColumn="0" w:lastColumn="0" w:oddVBand="0" w:evenVBand="0" w:oddHBand="1" w:evenHBand="0" w:firstRowFirstColumn="0" w:firstRowLastColumn="0" w:lastRowFirstColumn="0" w:lastRowLastColumn="0"/>
                        </w:pPr>
                        <w:r w:rsidRPr="006E539D">
                          <w:t>Human Research Ethics Committee</w:t>
                        </w:r>
                      </w:p>
                    </w:tc>
                  </w:tr>
                  <w:tr w:rsidR="00181AC9" w:rsidRPr="00782EEB" w14:paraId="2EFB3A55" w14:textId="77777777" w:rsidTr="00773ED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9" w:type="dxa"/>
                      </w:tcPr>
                      <w:p w14:paraId="0B2EE83D" w14:textId="2B578DCB" w:rsidR="00181AC9" w:rsidRPr="006E539D" w:rsidRDefault="00181AC9" w:rsidP="006E539D">
                        <w:pPr>
                          <w:pStyle w:val="TableText"/>
                        </w:pPr>
                        <w:r w:rsidRPr="006E539D">
                          <w:t xml:space="preserve">Information/Advice/Referral </w:t>
                        </w:r>
                      </w:p>
                    </w:tc>
                    <w:tc>
                      <w:tcPr>
                        <w:tcW w:w="5610" w:type="dxa"/>
                      </w:tcPr>
                      <w:p w14:paraId="2190117A" w14:textId="3528C8C5" w:rsidR="00181AC9" w:rsidRPr="006E539D" w:rsidRDefault="002B3CBE" w:rsidP="006E539D">
                        <w:pPr>
                          <w:pStyle w:val="TableText"/>
                          <w:cnfStyle w:val="000000010000" w:firstRow="0" w:lastRow="0" w:firstColumn="0" w:lastColumn="0" w:oddVBand="0" w:evenVBand="0" w:oddHBand="0" w:evenHBand="1" w:firstRowFirstColumn="0" w:firstRowLastColumn="0" w:lastRowFirstColumn="0" w:lastRowLastColumn="0"/>
                        </w:pPr>
                        <w:r w:rsidRPr="006E539D">
                          <w:t xml:space="preserve">Information session, brokerage to obtain other services or referral to another service (e.g. legal, mental health etc.) </w:t>
                        </w:r>
                        <w:r w:rsidRPr="008E1B83">
                          <w:fldChar w:fldCharType="begin"/>
                        </w:r>
                        <w:r w:rsidR="00E41D03">
                          <w:instrText xml:space="preserve"> ADDIN ZOTERO_ITEM CSL_CITATION {"citationID":"8qYoLwuM","properties":{"formattedCitation":"(Gilmour, n.d.)","plainCitation":"(Gilmour, n.d.)","noteIndex":0},"citationItems":[{"id":5618,"uris":["http://zotero.org/groups/5691188/items/5EVSZRXJ"],"itemData":{"id":5618,"type":"article-journal","language":"en","source":"Zotero","title":"Program Specific Guidance for Outcome 2.1 Families and Communities Program in the Data Exchange","author":[{"family":"Gilmour","given":"Katrina"}]}}],"schema":"https://github.com/citation-style-language/schema/raw/master/csl-citation.json"} </w:instrText>
                        </w:r>
                        <w:r w:rsidRPr="008E1B83">
                          <w:fldChar w:fldCharType="separate"/>
                        </w:r>
                        <w:r w:rsidR="00E41D03" w:rsidRPr="00E41D03">
                          <w:rPr>
                            <w:rFonts w:cs="Arial"/>
                          </w:rPr>
                          <w:t>(Gilmour, n.d.)</w:t>
                        </w:r>
                        <w:r w:rsidRPr="008E1B83">
                          <w:fldChar w:fldCharType="end"/>
                        </w:r>
                      </w:p>
                    </w:tc>
                  </w:tr>
                  <w:tr w:rsidR="002B3CBE" w:rsidRPr="00782EEB" w14:paraId="3C58D968" w14:textId="77777777" w:rsidTr="00773ED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9" w:type="dxa"/>
                      </w:tcPr>
                      <w:p w14:paraId="371ED12A" w14:textId="1489F82F" w:rsidR="002B3CBE" w:rsidRPr="006E539D" w:rsidRDefault="002B3CBE" w:rsidP="006E539D">
                        <w:pPr>
                          <w:pStyle w:val="TableText"/>
                        </w:pPr>
                        <w:r w:rsidRPr="006E539D">
                          <w:t xml:space="preserve">Intake and assessment </w:t>
                        </w:r>
                      </w:p>
                    </w:tc>
                    <w:tc>
                      <w:tcPr>
                        <w:tcW w:w="5610" w:type="dxa"/>
                      </w:tcPr>
                      <w:p w14:paraId="344B0057" w14:textId="4B8DDA0C" w:rsidR="002B3CBE" w:rsidRPr="006E539D" w:rsidRDefault="002B3CBE" w:rsidP="006E539D">
                        <w:pPr>
                          <w:pStyle w:val="TableText"/>
                          <w:cnfStyle w:val="000000100000" w:firstRow="0" w:lastRow="0" w:firstColumn="0" w:lastColumn="0" w:oddVBand="0" w:evenVBand="0" w:oddHBand="1" w:evenHBand="0" w:firstRowFirstColumn="0" w:firstRowLastColumn="0" w:lastRowFirstColumn="0" w:lastRowLastColumn="0"/>
                        </w:pPr>
                        <w:r w:rsidRPr="70B44A2E">
                          <w:rPr>
                            <w:lang w:val="en-NZ"/>
                          </w:rPr>
                          <w:t xml:space="preserve">Assessing a client in an initial session </w:t>
                        </w:r>
                        <w:r w:rsidRPr="008E1B83">
                          <w:fldChar w:fldCharType="begin"/>
                        </w:r>
                        <w:r w:rsidR="00E41D03">
                          <w:instrText xml:space="preserve"> ADDIN ZOTERO_ITEM CSL_CITATION {"citationID":"tLG4lFzR","properties":{"formattedCitation":"(Gilmour, n.d.)","plainCitation":"(Gilmour, n.d.)","noteIndex":0},"citationItems":[{"id":5618,"uris":["http://zotero.org/groups/5691188/items/5EVSZRXJ"],"itemData":{"id":5618,"type":"article-journal","language":"en","source":"Zotero","title":"Program Specific Guidance for Outcome 2.1 Families and Communities Program in the Data Exchange","author":[{"family":"Gilmour","given":"Katrina"}]}}],"schema":"https://github.com/citation-style-language/schema/raw/master/csl-citation.json"} </w:instrText>
                        </w:r>
                        <w:r w:rsidRPr="008E1B83">
                          <w:fldChar w:fldCharType="separate"/>
                        </w:r>
                        <w:r w:rsidR="00E41D03" w:rsidRPr="00E41D03">
                          <w:rPr>
                            <w:rFonts w:cs="Arial"/>
                          </w:rPr>
                          <w:t>(Gilmour, n.d.)</w:t>
                        </w:r>
                        <w:r w:rsidRPr="008E1B83">
                          <w:fldChar w:fldCharType="end"/>
                        </w:r>
                      </w:p>
                    </w:tc>
                  </w:tr>
                  <w:tr w:rsidR="008901C1" w:rsidRPr="00782EEB" w14:paraId="653A7507" w14:textId="77777777" w:rsidTr="00773ED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9" w:type="dxa"/>
                      </w:tcPr>
                      <w:p w14:paraId="03DBFFC3" w14:textId="1BD9C6D2" w:rsidR="008901C1" w:rsidRPr="006E539D" w:rsidRDefault="008901C1" w:rsidP="006E539D">
                        <w:pPr>
                          <w:pStyle w:val="TableText"/>
                        </w:pPr>
                        <w:r w:rsidRPr="006E539D">
                          <w:t>IPV</w:t>
                        </w:r>
                      </w:p>
                    </w:tc>
                    <w:tc>
                      <w:tcPr>
                        <w:tcW w:w="5610" w:type="dxa"/>
                      </w:tcPr>
                      <w:p w14:paraId="29EF87D3" w14:textId="167795E5" w:rsidR="008901C1" w:rsidRPr="006E539D" w:rsidRDefault="008901C1" w:rsidP="006E539D">
                        <w:pPr>
                          <w:pStyle w:val="TableText"/>
                          <w:cnfStyle w:val="000000010000" w:firstRow="0" w:lastRow="0" w:firstColumn="0" w:lastColumn="0" w:oddVBand="0" w:evenVBand="0" w:oddHBand="0" w:evenHBand="1" w:firstRowFirstColumn="0" w:firstRowLastColumn="0" w:lastRowFirstColumn="0" w:lastRowLastColumn="0"/>
                        </w:pPr>
                        <w:r w:rsidRPr="006E539D">
                          <w:t>Intimate partner violence</w:t>
                        </w:r>
                      </w:p>
                    </w:tc>
                  </w:tr>
                  <w:tr w:rsidR="00AA17CA" w:rsidRPr="00782EEB" w14:paraId="6A88F60C" w14:textId="77777777" w:rsidTr="00773ED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9" w:type="dxa"/>
                      </w:tcPr>
                      <w:p w14:paraId="503EE10C" w14:textId="44F27D4A" w:rsidR="00AA17CA" w:rsidRPr="006E539D" w:rsidRDefault="00AA17CA" w:rsidP="006E539D">
                        <w:pPr>
                          <w:pStyle w:val="TableText"/>
                        </w:pPr>
                        <w:r>
                          <w:t xml:space="preserve">IRIS </w:t>
                        </w:r>
                      </w:p>
                    </w:tc>
                    <w:tc>
                      <w:tcPr>
                        <w:tcW w:w="5610" w:type="dxa"/>
                      </w:tcPr>
                      <w:p w14:paraId="174C709D" w14:textId="393CC5AD" w:rsidR="00AA17CA" w:rsidRPr="006E539D" w:rsidRDefault="00AA17CA" w:rsidP="006E539D">
                        <w:pPr>
                          <w:pStyle w:val="TableText"/>
                          <w:cnfStyle w:val="000000100000" w:firstRow="0" w:lastRow="0" w:firstColumn="0" w:lastColumn="0" w:oddVBand="0" w:evenVBand="0" w:oddHBand="1" w:evenHBand="0" w:firstRowFirstColumn="0" w:firstRowLastColumn="0" w:lastRowFirstColumn="0" w:lastRowLastColumn="0"/>
                        </w:pPr>
                        <w:r w:rsidRPr="00AA17CA">
                          <w:t xml:space="preserve">Identification and Referral to Improve Safety </w:t>
                        </w:r>
                      </w:p>
                    </w:tc>
                  </w:tr>
                  <w:tr w:rsidR="003B3376" w:rsidRPr="00782EEB" w14:paraId="7C02F26C" w14:textId="77777777" w:rsidTr="00773ED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9" w:type="dxa"/>
                      </w:tcPr>
                      <w:p w14:paraId="24CFA395" w14:textId="5EB9F2B5" w:rsidR="003B3376" w:rsidRPr="006E539D" w:rsidRDefault="003B3376" w:rsidP="006E539D">
                        <w:pPr>
                          <w:pStyle w:val="TableText"/>
                        </w:pPr>
                        <w:r w:rsidRPr="006E539D">
                          <w:t>KPI</w:t>
                        </w:r>
                      </w:p>
                    </w:tc>
                    <w:tc>
                      <w:tcPr>
                        <w:tcW w:w="5610" w:type="dxa"/>
                      </w:tcPr>
                      <w:p w14:paraId="4CC350E3" w14:textId="39FD702F" w:rsidR="003B3376" w:rsidRPr="006E539D" w:rsidRDefault="003B3376" w:rsidP="006E539D">
                        <w:pPr>
                          <w:pStyle w:val="TableText"/>
                          <w:cnfStyle w:val="000000010000" w:firstRow="0" w:lastRow="0" w:firstColumn="0" w:lastColumn="0" w:oddVBand="0" w:evenVBand="0" w:oddHBand="0" w:evenHBand="1" w:firstRowFirstColumn="0" w:firstRowLastColumn="0" w:lastRowFirstColumn="0" w:lastRowLastColumn="0"/>
                        </w:pPr>
                        <w:r w:rsidRPr="006E539D">
                          <w:t xml:space="preserve">Key performance indicator </w:t>
                        </w:r>
                      </w:p>
                    </w:tc>
                  </w:tr>
                  <w:tr w:rsidR="00EC4C2B" w:rsidRPr="00782EEB" w14:paraId="488D2632" w14:textId="77777777" w:rsidTr="00773ED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9" w:type="dxa"/>
                      </w:tcPr>
                      <w:p w14:paraId="333248DB" w14:textId="687554F9" w:rsidR="00EC4C2B" w:rsidRPr="00EC4C2B" w:rsidRDefault="00EC4C2B" w:rsidP="006E539D">
                        <w:pPr>
                          <w:pStyle w:val="TableText"/>
                        </w:pPr>
                        <w:r w:rsidRPr="00F650E2">
                          <w:rPr>
                            <w:lang w:val="en-NZ"/>
                          </w:rPr>
                          <w:t>LGBTIQA+</w:t>
                        </w:r>
                      </w:p>
                    </w:tc>
                    <w:tc>
                      <w:tcPr>
                        <w:tcW w:w="5610" w:type="dxa"/>
                      </w:tcPr>
                      <w:p w14:paraId="2B21BE45" w14:textId="45D250F5" w:rsidR="00EC4C2B" w:rsidRPr="006E539D" w:rsidRDefault="0039645D" w:rsidP="006E539D">
                        <w:pPr>
                          <w:pStyle w:val="TableText"/>
                          <w:cnfStyle w:val="000000100000" w:firstRow="0" w:lastRow="0" w:firstColumn="0" w:lastColumn="0" w:oddVBand="0" w:evenVBand="0" w:oddHBand="1" w:evenHBand="0" w:firstRowFirstColumn="0" w:firstRowLastColumn="0" w:lastRowFirstColumn="0" w:lastRowLastColumn="0"/>
                        </w:pPr>
                        <w:r>
                          <w:t>Les</w:t>
                        </w:r>
                        <w:r w:rsidRPr="0039645D">
                          <w:t>bian, gay, bisexual, trans/transgender, intersex, queer, and other sexuality (including asexual), gender, and bodily diverse people</w:t>
                        </w:r>
                      </w:p>
                    </w:tc>
                  </w:tr>
                  <w:tr w:rsidR="007C66A5" w:rsidRPr="00782EEB" w14:paraId="0D8C2F83" w14:textId="77777777" w:rsidTr="00773ED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9" w:type="dxa"/>
                      </w:tcPr>
                      <w:p w14:paraId="6E823538" w14:textId="77777777" w:rsidR="007C66A5" w:rsidRPr="006E539D" w:rsidRDefault="007C66A5">
                        <w:pPr>
                          <w:pStyle w:val="TableText"/>
                        </w:pPr>
                        <w:r w:rsidRPr="006E539D">
                          <w:t>MBCP</w:t>
                        </w:r>
                      </w:p>
                    </w:tc>
                    <w:tc>
                      <w:tcPr>
                        <w:tcW w:w="5610" w:type="dxa"/>
                      </w:tcPr>
                      <w:p w14:paraId="14409B22" w14:textId="77777777" w:rsidR="007C66A5" w:rsidRPr="006E539D" w:rsidRDefault="007C66A5">
                        <w:pPr>
                          <w:pStyle w:val="TableText"/>
                          <w:cnfStyle w:val="000000010000" w:firstRow="0" w:lastRow="0" w:firstColumn="0" w:lastColumn="0" w:oddVBand="0" w:evenVBand="0" w:oddHBand="0" w:evenHBand="1" w:firstRowFirstColumn="0" w:firstRowLastColumn="0" w:lastRowFirstColumn="0" w:lastRowLastColumn="0"/>
                        </w:pPr>
                        <w:r w:rsidRPr="006E539D">
                          <w:t xml:space="preserve">Men’s Behaviour Change Program </w:t>
                        </w:r>
                      </w:p>
                    </w:tc>
                  </w:tr>
                  <w:tr w:rsidR="007E3322" w:rsidRPr="00782EEB" w14:paraId="3353B9B2" w14:textId="77777777" w:rsidTr="00773ED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9" w:type="dxa"/>
                      </w:tcPr>
                      <w:p w14:paraId="103323EC" w14:textId="7793BDC8" w:rsidR="007E3322" w:rsidRPr="006E539D" w:rsidRDefault="007E3322" w:rsidP="006E539D">
                        <w:pPr>
                          <w:pStyle w:val="TableText"/>
                        </w:pPr>
                        <w:r>
                          <w:t>NGO</w:t>
                        </w:r>
                      </w:p>
                    </w:tc>
                    <w:tc>
                      <w:tcPr>
                        <w:tcW w:w="5610" w:type="dxa"/>
                      </w:tcPr>
                      <w:p w14:paraId="14F5C358" w14:textId="3E3EBC43" w:rsidR="007E3322" w:rsidRPr="006E539D" w:rsidRDefault="007E3322" w:rsidP="006E539D">
                        <w:pPr>
                          <w:pStyle w:val="TableText"/>
                          <w:cnfStyle w:val="000000100000" w:firstRow="0" w:lastRow="0" w:firstColumn="0" w:lastColumn="0" w:oddVBand="0" w:evenVBand="0" w:oddHBand="1" w:evenHBand="0" w:firstRowFirstColumn="0" w:firstRowLastColumn="0" w:lastRowFirstColumn="0" w:lastRowLastColumn="0"/>
                        </w:pPr>
                        <w:r>
                          <w:t>Non-government organisation</w:t>
                        </w:r>
                      </w:p>
                    </w:tc>
                  </w:tr>
                  <w:tr w:rsidR="002B3CBE" w:rsidRPr="00782EEB" w14:paraId="3E790C08" w14:textId="77777777" w:rsidTr="00773ED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9" w:type="dxa"/>
                      </w:tcPr>
                      <w:p w14:paraId="0C5DB421" w14:textId="19E57A7E" w:rsidR="002B3CBE" w:rsidRPr="640D46D3" w:rsidRDefault="002B3CBE">
                        <w:pPr>
                          <w:pStyle w:val="TableText"/>
                          <w:rPr>
                            <w:lang w:val="en-NZ"/>
                          </w:rPr>
                        </w:pPr>
                        <w:r>
                          <w:rPr>
                            <w:lang w:val="en-NZ"/>
                          </w:rPr>
                          <w:t xml:space="preserve">Partnership approach for FaRS and SFVS </w:t>
                        </w:r>
                      </w:p>
                    </w:tc>
                    <w:tc>
                      <w:tcPr>
                        <w:tcW w:w="5610" w:type="dxa"/>
                      </w:tcPr>
                      <w:p w14:paraId="1013384D" w14:textId="768F2753" w:rsidR="006E1559" w:rsidRDefault="006E1559" w:rsidP="008E1B83">
                        <w:pPr>
                          <w:pStyle w:val="TableText"/>
                          <w:cnfStyle w:val="000000010000" w:firstRow="0" w:lastRow="0" w:firstColumn="0" w:lastColumn="0" w:oddVBand="0" w:evenVBand="0" w:oddHBand="0" w:evenHBand="1" w:firstRowFirstColumn="0" w:firstRowLastColumn="0" w:lastRowFirstColumn="0" w:lastRowLastColumn="0"/>
                        </w:pPr>
                        <w:r w:rsidRPr="70B44A2E">
                          <w:rPr>
                            <w:lang w:val="en-NZ"/>
                          </w:rPr>
                          <w:t xml:space="preserve">All organisations are required to participate in the partnership approach. For FaRS, participation means organisations must record </w:t>
                        </w:r>
                        <w:r w:rsidR="005217A7">
                          <w:rPr>
                            <w:lang w:val="en-NZ"/>
                          </w:rPr>
                          <w:t>service users</w:t>
                        </w:r>
                        <w:r w:rsidR="00826697">
                          <w:rPr>
                            <w:lang w:val="en-NZ"/>
                          </w:rPr>
                          <w:t>’</w:t>
                        </w:r>
                        <w:r w:rsidRPr="70B44A2E">
                          <w:rPr>
                            <w:lang w:val="en-NZ"/>
                          </w:rPr>
                          <w:t xml:space="preserve"> outcomes, known as Standard Client/Community Outcomes Reporting (SCORE) reporting. Organisations are not required to collect extended demographics data from their </w:t>
                        </w:r>
                        <w:r w:rsidR="005217A7">
                          <w:rPr>
                            <w:lang w:val="en-NZ"/>
                          </w:rPr>
                          <w:t>service users</w:t>
                        </w:r>
                        <w:r w:rsidR="007F7D2C" w:rsidRPr="70B44A2E">
                          <w:rPr>
                            <w:lang w:val="en-NZ"/>
                          </w:rPr>
                          <w:t xml:space="preserve"> but</w:t>
                        </w:r>
                        <w:r w:rsidRPr="70B44A2E">
                          <w:rPr>
                            <w:lang w:val="en-NZ"/>
                          </w:rPr>
                          <w:t xml:space="preserve"> may choose to do so for their own purposes. Organisations must meet the following minimum requirements: </w:t>
                        </w:r>
                      </w:p>
                      <w:p w14:paraId="4C638903" w14:textId="270C77D5" w:rsidR="006E1559" w:rsidRPr="000A0FB9" w:rsidRDefault="006E1559" w:rsidP="006E1559">
                        <w:pPr>
                          <w:pStyle w:val="TableBullet1"/>
                          <w:cnfStyle w:val="000000010000" w:firstRow="0" w:lastRow="0" w:firstColumn="0" w:lastColumn="0" w:oddVBand="0" w:evenVBand="0" w:oddHBand="0" w:evenHBand="1" w:firstRowFirstColumn="0" w:firstRowLastColumn="0" w:lastRowFirstColumn="0" w:lastRowLastColumn="0"/>
                        </w:pPr>
                        <w:r w:rsidRPr="70B44A2E">
                          <w:rPr>
                            <w:lang w:val="en-NZ"/>
                          </w:rPr>
                          <w:t>Report an initial and at least one subsequent Circumstances SCORE for at least 50</w:t>
                        </w:r>
                        <w:r w:rsidR="00CA16E3" w:rsidRPr="70B44A2E">
                          <w:rPr>
                            <w:lang w:val="en-NZ"/>
                          </w:rPr>
                          <w:t>%</w:t>
                        </w:r>
                        <w:r w:rsidRPr="70B44A2E">
                          <w:rPr>
                            <w:lang w:val="en-NZ"/>
                          </w:rPr>
                          <w:t xml:space="preserve"> of identified </w:t>
                        </w:r>
                        <w:r w:rsidR="005217A7">
                          <w:rPr>
                            <w:lang w:val="en-NZ"/>
                          </w:rPr>
                          <w:t>service users.</w:t>
                        </w:r>
                      </w:p>
                      <w:p w14:paraId="4A93225A" w14:textId="1E5ABBA8" w:rsidR="006E1559" w:rsidRDefault="006E1559" w:rsidP="00665BBA">
                        <w:pPr>
                          <w:pStyle w:val="TableBullet1"/>
                          <w:cnfStyle w:val="000000010000" w:firstRow="0" w:lastRow="0" w:firstColumn="0" w:lastColumn="0" w:oddVBand="0" w:evenVBand="0" w:oddHBand="0" w:evenHBand="1" w:firstRowFirstColumn="0" w:firstRowLastColumn="0" w:lastRowFirstColumn="0" w:lastRowLastColumn="0"/>
                        </w:pPr>
                        <w:r w:rsidRPr="70B44A2E">
                          <w:rPr>
                            <w:lang w:val="en-NZ"/>
                          </w:rPr>
                          <w:lastRenderedPageBreak/>
                          <w:t>Report an initial and at least one subsequent Goals SCORE for at least 50</w:t>
                        </w:r>
                        <w:r w:rsidR="00CA16E3" w:rsidRPr="70B44A2E">
                          <w:rPr>
                            <w:lang w:val="en-NZ"/>
                          </w:rPr>
                          <w:t>%</w:t>
                        </w:r>
                        <w:r w:rsidRPr="70B44A2E">
                          <w:rPr>
                            <w:lang w:val="en-NZ"/>
                          </w:rPr>
                          <w:t xml:space="preserve"> of identified </w:t>
                        </w:r>
                        <w:r w:rsidR="007F7D2C" w:rsidRPr="70B44A2E">
                          <w:rPr>
                            <w:lang w:val="en-NZ"/>
                          </w:rPr>
                          <w:t>service users.</w:t>
                        </w:r>
                        <w:r w:rsidRPr="70B44A2E">
                          <w:rPr>
                            <w:lang w:val="en-NZ"/>
                          </w:rPr>
                          <w:t xml:space="preserve"> </w:t>
                        </w:r>
                      </w:p>
                      <w:p w14:paraId="01D40965" w14:textId="3242D1CC" w:rsidR="002B3CBE" w:rsidRPr="006E539D" w:rsidRDefault="006E1559" w:rsidP="008E1B83">
                        <w:pPr>
                          <w:pStyle w:val="TableBullet1"/>
                          <w:cnfStyle w:val="000000010000" w:firstRow="0" w:lastRow="0" w:firstColumn="0" w:lastColumn="0" w:oddVBand="0" w:evenVBand="0" w:oddHBand="0" w:evenHBand="1" w:firstRowFirstColumn="0" w:firstRowLastColumn="0" w:lastRowFirstColumn="0" w:lastRowLastColumn="0"/>
                        </w:pPr>
                        <w:r w:rsidRPr="70B44A2E">
                          <w:rPr>
                            <w:lang w:val="en-NZ"/>
                          </w:rPr>
                          <w:t>Report Satisfaction SCOREs for at least 10</w:t>
                        </w:r>
                        <w:r w:rsidR="00CA16E3" w:rsidRPr="70B44A2E">
                          <w:rPr>
                            <w:lang w:val="en-NZ"/>
                          </w:rPr>
                          <w:t>%</w:t>
                        </w:r>
                        <w:r w:rsidRPr="70B44A2E">
                          <w:rPr>
                            <w:lang w:val="en-NZ"/>
                          </w:rPr>
                          <w:t xml:space="preserve"> of identified </w:t>
                        </w:r>
                        <w:r w:rsidR="007F7D2C" w:rsidRPr="70B44A2E">
                          <w:rPr>
                            <w:lang w:val="en-NZ"/>
                          </w:rPr>
                          <w:t xml:space="preserve">service </w:t>
                        </w:r>
                        <w:r w:rsidR="006F3028" w:rsidRPr="70B44A2E">
                          <w:rPr>
                            <w:lang w:val="en-NZ"/>
                          </w:rPr>
                          <w:t>users</w:t>
                        </w:r>
                        <w:r w:rsidRPr="70B44A2E">
                          <w:rPr>
                            <w:lang w:val="en-NZ"/>
                          </w:rPr>
                          <w:t xml:space="preserve">. A SCORE assessment is recorded at least twice for each </w:t>
                        </w:r>
                        <w:r w:rsidR="005217A7">
                          <w:rPr>
                            <w:lang w:val="en-NZ"/>
                          </w:rPr>
                          <w:t>service user</w:t>
                        </w:r>
                        <w:r w:rsidRPr="70B44A2E">
                          <w:rPr>
                            <w:lang w:val="en-NZ"/>
                          </w:rPr>
                          <w:t xml:space="preserve"> – once towards the beginning of service delivery and once again towards the end. Where practical, organisations can record multiple SCORE assessments for a </w:t>
                        </w:r>
                        <w:r w:rsidR="005217A7">
                          <w:rPr>
                            <w:lang w:val="en-NZ"/>
                          </w:rPr>
                          <w:t>service user</w:t>
                        </w:r>
                        <w:r w:rsidRPr="70B44A2E">
                          <w:rPr>
                            <w:lang w:val="en-NZ"/>
                          </w:rPr>
                          <w:t xml:space="preserve"> at regular intervals to track how the </w:t>
                        </w:r>
                        <w:r w:rsidR="005217A7">
                          <w:rPr>
                            <w:lang w:val="en-NZ"/>
                          </w:rPr>
                          <w:t>service user’</w:t>
                        </w:r>
                        <w:r w:rsidRPr="70B44A2E">
                          <w:rPr>
                            <w:lang w:val="en-NZ"/>
                          </w:rPr>
                          <w:t>s outcomes change over time. Please refer to the Data Exchange Protocols (section 7) for more information</w:t>
                        </w:r>
                      </w:p>
                    </w:tc>
                  </w:tr>
                  <w:tr w:rsidR="00155865" w:rsidRPr="00782EEB" w14:paraId="039CB187" w14:textId="77777777" w:rsidTr="00773ED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9" w:type="dxa"/>
                      </w:tcPr>
                      <w:p w14:paraId="0FE7DC97" w14:textId="393411E1" w:rsidR="00155865" w:rsidRDefault="00155865">
                        <w:pPr>
                          <w:pStyle w:val="TableText"/>
                          <w:rPr>
                            <w:lang w:val="en-NZ"/>
                          </w:rPr>
                        </w:pPr>
                        <w:r w:rsidRPr="00155865">
                          <w:rPr>
                            <w:szCs w:val="21"/>
                          </w:rPr>
                          <w:lastRenderedPageBreak/>
                          <w:t>PF</w:t>
                        </w:r>
                        <w:r>
                          <w:rPr>
                            <w:szCs w:val="21"/>
                          </w:rPr>
                          <w:t>R</w:t>
                        </w:r>
                      </w:p>
                    </w:tc>
                    <w:tc>
                      <w:tcPr>
                        <w:tcW w:w="5610" w:type="dxa"/>
                      </w:tcPr>
                      <w:p w14:paraId="4D063E9B" w14:textId="3296168C" w:rsidR="00155865" w:rsidRPr="71B5681B" w:rsidRDefault="00155865" w:rsidP="008E1B83">
                        <w:pPr>
                          <w:pStyle w:val="TableText"/>
                          <w:cnfStyle w:val="000000100000" w:firstRow="0" w:lastRow="0" w:firstColumn="0" w:lastColumn="0" w:oddVBand="0" w:evenVBand="0" w:oddHBand="1" w:evenHBand="0" w:firstRowFirstColumn="0" w:firstRowLastColumn="0" w:lastRowFirstColumn="0" w:lastRowLastColumn="0"/>
                        </w:pPr>
                        <w:r w:rsidRPr="00155865">
                          <w:rPr>
                            <w:szCs w:val="21"/>
                          </w:rPr>
                          <w:t>Promoting First Relationships</w:t>
                        </w:r>
                      </w:p>
                    </w:tc>
                  </w:tr>
                  <w:tr w:rsidR="00711889" w:rsidRPr="00782EEB" w14:paraId="587BEB54" w14:textId="77777777" w:rsidTr="00773ED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9" w:type="dxa"/>
                      </w:tcPr>
                      <w:p w14:paraId="3E0DD3E6" w14:textId="3B89727E" w:rsidR="00711889" w:rsidRDefault="00711889" w:rsidP="006E539D">
                        <w:pPr>
                          <w:pStyle w:val="TableText"/>
                          <w:rPr>
                            <w:lang w:val="en-NZ"/>
                          </w:rPr>
                        </w:pPr>
                        <w:r>
                          <w:t>Priority FaRS clients</w:t>
                        </w:r>
                      </w:p>
                    </w:tc>
                    <w:tc>
                      <w:tcPr>
                        <w:tcW w:w="5610" w:type="dxa"/>
                      </w:tcPr>
                      <w:p w14:paraId="79D2BDD2" w14:textId="77777777" w:rsidR="00711889" w:rsidRPr="000A0FB9" w:rsidRDefault="00711889" w:rsidP="008E1B83">
                        <w:pPr>
                          <w:pStyle w:val="TableText"/>
                          <w:cnfStyle w:val="000000010000" w:firstRow="0" w:lastRow="0" w:firstColumn="0" w:lastColumn="0" w:oddVBand="0" w:evenVBand="0" w:oddHBand="0" w:evenHBand="1" w:firstRowFirstColumn="0" w:firstRowLastColumn="0" w:lastRowFirstColumn="0" w:lastRowLastColumn="0"/>
                        </w:pPr>
                        <w:r w:rsidRPr="71B5681B">
                          <w:rPr>
                            <w:lang w:val="en-AU"/>
                          </w:rPr>
                          <w:t xml:space="preserve">Families, couples, children and individuals, but priority should be given to: </w:t>
                        </w:r>
                      </w:p>
                      <w:p w14:paraId="24C90DF0" w14:textId="77777777" w:rsidR="00711889" w:rsidRPr="000A0FB9" w:rsidRDefault="00711889" w:rsidP="008E1B83">
                        <w:pPr>
                          <w:pStyle w:val="TableBullet1"/>
                          <w:cnfStyle w:val="000000010000" w:firstRow="0" w:lastRow="0" w:firstColumn="0" w:lastColumn="0" w:oddVBand="0" w:evenVBand="0" w:oddHBand="0" w:evenHBand="1" w:firstRowFirstColumn="0" w:firstRowLastColumn="0" w:lastRowFirstColumn="0" w:lastRowLastColumn="0"/>
                        </w:pPr>
                        <w:r w:rsidRPr="000A0FB9">
                          <w:t>couples forming long-term relationships</w:t>
                        </w:r>
                      </w:p>
                      <w:p w14:paraId="50287259" w14:textId="77777777" w:rsidR="00711889" w:rsidRPr="000A0FB9" w:rsidRDefault="00711889" w:rsidP="008E1B83">
                        <w:pPr>
                          <w:pStyle w:val="TableBullet1"/>
                          <w:cnfStyle w:val="000000010000" w:firstRow="0" w:lastRow="0" w:firstColumn="0" w:lastColumn="0" w:oddVBand="0" w:evenVBand="0" w:oddHBand="0" w:evenHBand="1" w:firstRowFirstColumn="0" w:firstRowLastColumn="0" w:lastRowFirstColumn="0" w:lastRowLastColumn="0"/>
                        </w:pPr>
                        <w:r w:rsidRPr="000A0FB9">
                          <w:t>families experiencing relationship issues or at risk of breakdown</w:t>
                        </w:r>
                      </w:p>
                      <w:p w14:paraId="3AB7A915" w14:textId="77777777" w:rsidR="00711889" w:rsidRPr="000A0FB9" w:rsidRDefault="00711889" w:rsidP="008E1B83">
                        <w:pPr>
                          <w:pStyle w:val="TableBullet1"/>
                          <w:cnfStyle w:val="000000010000" w:firstRow="0" w:lastRow="0" w:firstColumn="0" w:lastColumn="0" w:oddVBand="0" w:evenVBand="0" w:oddHBand="0" w:evenHBand="1" w:firstRowFirstColumn="0" w:firstRowLastColumn="0" w:lastRowFirstColumn="0" w:lastRowLastColumn="0"/>
                        </w:pPr>
                        <w:r w:rsidRPr="000A0FB9">
                          <w:t>families with children at risk of abuse or neglect</w:t>
                        </w:r>
                      </w:p>
                      <w:p w14:paraId="32DE61EC" w14:textId="77777777" w:rsidR="00711889" w:rsidRPr="000A0FB9" w:rsidRDefault="00711889" w:rsidP="008E1B83">
                        <w:pPr>
                          <w:pStyle w:val="TableBullet1"/>
                          <w:cnfStyle w:val="000000010000" w:firstRow="0" w:lastRow="0" w:firstColumn="0" w:lastColumn="0" w:oddVBand="0" w:evenVBand="0" w:oddHBand="0" w:evenHBand="1" w:firstRowFirstColumn="0" w:firstRowLastColumn="0" w:lastRowFirstColumn="0" w:lastRowLastColumn="0"/>
                        </w:pPr>
                        <w:r w:rsidRPr="000A0FB9">
                          <w:t>families experiencing disadvantage or vulnerability</w:t>
                        </w:r>
                      </w:p>
                      <w:p w14:paraId="3386E13F" w14:textId="115D66C8" w:rsidR="00711889" w:rsidRDefault="00711889" w:rsidP="008E1B83">
                        <w:pPr>
                          <w:pStyle w:val="TableBullet1"/>
                          <w:cnfStyle w:val="000000010000" w:firstRow="0" w:lastRow="0" w:firstColumn="0" w:lastColumn="0" w:oddVBand="0" w:evenVBand="0" w:oddHBand="0" w:evenHBand="1" w:firstRowFirstColumn="0" w:firstRowLastColumn="0" w:lastRowFirstColumn="0" w:lastRowLastColumn="0"/>
                        </w:pPr>
                        <w:r w:rsidRPr="000A0FB9">
                          <w:rPr>
                            <w:lang w:val="en-AU"/>
                          </w:rPr>
                          <w:t xml:space="preserve">individuals, couples, children and families who are experiencing or at risk of family or </w:t>
                        </w:r>
                        <w:r w:rsidR="006A5016">
                          <w:t>family</w:t>
                        </w:r>
                        <w:r>
                          <w:t xml:space="preserve"> violence </w:t>
                        </w:r>
                        <w:r w:rsidR="0096142C" w:rsidRPr="006E539D">
                          <w:rPr>
                            <w:lang w:val="en-AU"/>
                          </w:rPr>
                          <w:fldChar w:fldCharType="begin"/>
                        </w:r>
                        <w:r w:rsidR="00E41D03">
                          <w:rPr>
                            <w:lang w:val="en-AU"/>
                          </w:rPr>
                          <w:instrText xml:space="preserve"> ADDIN ZOTERO_ITEM CSL_CITATION {"citationID":"ain1nlkg8e","properties":{"formattedCitation":"(Department of Social Services, 2021a)","plainCitation":"(Department of Social Services, 2021a)","noteIndex":0},"citationItems":[{"id":4671,"uris":["http://zotero.org/groups/5691188/items/8PWCMD8P"],"itemData":{"id":4671,"type":"document","title":"Family and Relationship Services Operational Guidelines","author":[{"family":"Department of Social Services","given":""}],"issued":{"date-parts":[["2021",7,1]]}}}],"schema":"https://github.com/citation-style-language/schema/raw/master/csl-citation.json"} </w:instrText>
                        </w:r>
                        <w:r w:rsidR="0096142C" w:rsidRPr="006E539D">
                          <w:rPr>
                            <w:lang w:val="en-AU"/>
                          </w:rPr>
                          <w:fldChar w:fldCharType="separate"/>
                        </w:r>
                        <w:r w:rsidR="00E41D03" w:rsidRPr="00E41D03">
                          <w:rPr>
                            <w:rFonts w:cs="Arial"/>
                          </w:rPr>
                          <w:t>(Department of Social Services, 2021a)</w:t>
                        </w:r>
                        <w:r w:rsidR="0096142C" w:rsidRPr="006E539D">
                          <w:rPr>
                            <w:lang w:val="en-AU"/>
                          </w:rPr>
                          <w:fldChar w:fldCharType="end"/>
                        </w:r>
                      </w:p>
                    </w:tc>
                  </w:tr>
                  <w:tr w:rsidR="00711889" w:rsidRPr="00782EEB" w14:paraId="2D18D034" w14:textId="77777777" w:rsidTr="00773ED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9" w:type="dxa"/>
                      </w:tcPr>
                      <w:p w14:paraId="7C416C3D" w14:textId="11C84B0E" w:rsidR="00711889" w:rsidRDefault="00711889" w:rsidP="006E539D">
                        <w:pPr>
                          <w:pStyle w:val="TableText"/>
                          <w:rPr>
                            <w:lang w:val="en-NZ"/>
                          </w:rPr>
                        </w:pPr>
                        <w:r>
                          <w:t>Priority SFVS clients</w:t>
                        </w:r>
                      </w:p>
                    </w:tc>
                    <w:tc>
                      <w:tcPr>
                        <w:tcW w:w="5610" w:type="dxa"/>
                      </w:tcPr>
                      <w:p w14:paraId="4BF4021F" w14:textId="77777777" w:rsidR="00711889" w:rsidRDefault="00711889" w:rsidP="008E1B83">
                        <w:pPr>
                          <w:pStyle w:val="TableText"/>
                          <w:cnfStyle w:val="000000100000" w:firstRow="0" w:lastRow="0" w:firstColumn="0" w:lastColumn="0" w:oddVBand="0" w:evenVBand="0" w:oddHBand="1" w:evenHBand="0" w:firstRowFirstColumn="0" w:firstRowLastColumn="0" w:lastRowFirstColumn="0" w:lastRowLastColumn="0"/>
                        </w:pPr>
                        <w:r w:rsidRPr="71B5681B">
                          <w:rPr>
                            <w:lang w:val="en-AU"/>
                          </w:rPr>
                          <w:t xml:space="preserve">Families, couples, children and individuals, but priority should be given to: </w:t>
                        </w:r>
                      </w:p>
                      <w:p w14:paraId="6B023547" w14:textId="77777777" w:rsidR="00711889" w:rsidRPr="000A0FB9" w:rsidRDefault="00711889" w:rsidP="008E1B83">
                        <w:pPr>
                          <w:pStyle w:val="TableBullet1"/>
                          <w:cnfStyle w:val="000000100000" w:firstRow="0" w:lastRow="0" w:firstColumn="0" w:lastColumn="0" w:oddVBand="0" w:evenVBand="0" w:oddHBand="1" w:evenHBand="0" w:firstRowFirstColumn="0" w:firstRowLastColumn="0" w:lastRowFirstColumn="0" w:lastRowLastColumn="0"/>
                        </w:pPr>
                        <w:r w:rsidRPr="000A0FB9">
                          <w:t>people who identify as Aboriginal and Torres Strait Islander</w:t>
                        </w:r>
                      </w:p>
                      <w:p w14:paraId="4EC2D2B6" w14:textId="77777777" w:rsidR="00711889" w:rsidRPr="000A0FB9" w:rsidRDefault="00711889" w:rsidP="008E1B83">
                        <w:pPr>
                          <w:pStyle w:val="TableBullet1"/>
                          <w:cnfStyle w:val="000000100000" w:firstRow="0" w:lastRow="0" w:firstColumn="0" w:lastColumn="0" w:oddVBand="0" w:evenVBand="0" w:oddHBand="1" w:evenHBand="0" w:firstRowFirstColumn="0" w:firstRowLastColumn="0" w:lastRowFirstColumn="0" w:lastRowLastColumn="0"/>
                        </w:pPr>
                        <w:r w:rsidRPr="000A0FB9">
                          <w:t>people from cultural and linguistically diverse backgrounds</w:t>
                        </w:r>
                      </w:p>
                      <w:p w14:paraId="231A7BF1" w14:textId="77777777" w:rsidR="00711889" w:rsidRPr="000A0FB9" w:rsidRDefault="00711889" w:rsidP="008E1B83">
                        <w:pPr>
                          <w:pStyle w:val="TableBullet1"/>
                          <w:cnfStyle w:val="000000100000" w:firstRow="0" w:lastRow="0" w:firstColumn="0" w:lastColumn="0" w:oddVBand="0" w:evenVBand="0" w:oddHBand="1" w:evenHBand="0" w:firstRowFirstColumn="0" w:firstRowLastColumn="0" w:lastRowFirstColumn="0" w:lastRowLastColumn="0"/>
                        </w:pPr>
                        <w:r w:rsidRPr="000A0FB9">
                          <w:t>women with disability</w:t>
                        </w:r>
                      </w:p>
                      <w:p w14:paraId="4A118EA3" w14:textId="77777777" w:rsidR="00711889" w:rsidRPr="000A0FB9" w:rsidRDefault="00711889" w:rsidP="008E1B83">
                        <w:pPr>
                          <w:pStyle w:val="TableBullet1"/>
                          <w:cnfStyle w:val="000000100000" w:firstRow="0" w:lastRow="0" w:firstColumn="0" w:lastColumn="0" w:oddVBand="0" w:evenVBand="0" w:oddHBand="1" w:evenHBand="0" w:firstRowFirstColumn="0" w:firstRowLastColumn="0" w:lastRowFirstColumn="0" w:lastRowLastColumn="0"/>
                        </w:pPr>
                        <w:r w:rsidRPr="000A0FB9">
                          <w:t>children and young people</w:t>
                        </w:r>
                      </w:p>
                      <w:p w14:paraId="1E99E500" w14:textId="77777777" w:rsidR="00711889" w:rsidRPr="000A0FB9" w:rsidRDefault="00711889" w:rsidP="008E1B83">
                        <w:pPr>
                          <w:pStyle w:val="TableBullet1"/>
                          <w:cnfStyle w:val="000000100000" w:firstRow="0" w:lastRow="0" w:firstColumn="0" w:lastColumn="0" w:oddVBand="0" w:evenVBand="0" w:oddHBand="1" w:evenHBand="0" w:firstRowFirstColumn="0" w:firstRowLastColumn="0" w:lastRowFirstColumn="0" w:lastRowLastColumn="0"/>
                        </w:pPr>
                        <w:r w:rsidRPr="000A0FB9">
                          <w:t>LGBTIQ communities</w:t>
                        </w:r>
                      </w:p>
                      <w:p w14:paraId="74E26A66" w14:textId="6BD2F20B" w:rsidR="00711889" w:rsidRPr="00057810" w:rsidRDefault="00711889" w:rsidP="008E1B83">
                        <w:pPr>
                          <w:pStyle w:val="TableBullet1"/>
                          <w:cnfStyle w:val="000000100000" w:firstRow="0" w:lastRow="0" w:firstColumn="0" w:lastColumn="0" w:oddVBand="0" w:evenVBand="0" w:oddHBand="1" w:evenHBand="0" w:firstRowFirstColumn="0" w:firstRowLastColumn="0" w:lastRowFirstColumn="0" w:lastRowLastColumn="0"/>
                          <w:rPr>
                            <w:lang w:val="en-AU"/>
                          </w:rPr>
                        </w:pPr>
                        <w:r w:rsidRPr="312CA5E5">
                          <w:rPr>
                            <w:lang w:val="en-AU"/>
                          </w:rPr>
                          <w:t>people who use violence</w:t>
                        </w:r>
                        <w:r w:rsidR="00057810">
                          <w:rPr>
                            <w:lang w:val="en-AU"/>
                          </w:rPr>
                          <w:t xml:space="preserve"> </w:t>
                        </w:r>
                        <w:r w:rsidR="00D82C83" w:rsidRPr="006B1808">
                          <w:rPr>
                            <w:lang w:val="en-AU"/>
                          </w:rPr>
                          <w:fldChar w:fldCharType="begin"/>
                        </w:r>
                        <w:r w:rsidR="00E41D03">
                          <w:rPr>
                            <w:lang w:val="en-AU"/>
                          </w:rPr>
                          <w:instrText xml:space="preserve"> ADDIN ZOTERO_ITEM CSL_CITATION {"citationID":"uJUQoP8S","properties":{"formattedCitation":"(Department of Social Services, 2021b)","plainCitation":"(Department of Social Services, 2021b)","noteIndex":0},"citationItems":[{"id":4672,"uris":["http://zotero.org/groups/5691188/items/XE5X4C4F"],"itemData":{"id":4672,"type":"document","title":"Family and Relationship Services -  Specialised Family Violence Services Operational Guidelines","author":[{"family":"Department of Social Services","given":""}],"issued":{"date-parts":[["2021",7,1]]}}}],"schema":"https://github.com/citation-style-language/schema/raw/master/csl-citation.json"} </w:instrText>
                        </w:r>
                        <w:r w:rsidR="00D82C83" w:rsidRPr="006B1808">
                          <w:rPr>
                            <w:lang w:val="en-AU"/>
                          </w:rPr>
                          <w:fldChar w:fldCharType="separate"/>
                        </w:r>
                        <w:r w:rsidR="00D82C83" w:rsidRPr="006B1808">
                          <w:t>(Department of Social Services, 2021b)</w:t>
                        </w:r>
                        <w:r w:rsidR="00D82C83" w:rsidRPr="006B1808">
                          <w:rPr>
                            <w:lang w:val="en-AU"/>
                          </w:rPr>
                          <w:fldChar w:fldCharType="end"/>
                        </w:r>
                      </w:p>
                    </w:tc>
                  </w:tr>
                  <w:tr w:rsidR="00B6341A" w:rsidRPr="00782EEB" w14:paraId="40BB5F3F" w14:textId="77777777" w:rsidTr="00773ED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9" w:type="dxa"/>
                      </w:tcPr>
                      <w:p w14:paraId="09590DE5" w14:textId="270DF926" w:rsidR="00B6341A" w:rsidRDefault="00B6341A" w:rsidP="006E539D">
                        <w:pPr>
                          <w:pStyle w:val="TableText"/>
                        </w:pPr>
                        <w:r w:rsidRPr="00B6341A">
                          <w:t>QALY</w:t>
                        </w:r>
                      </w:p>
                    </w:tc>
                    <w:tc>
                      <w:tcPr>
                        <w:tcW w:w="5610" w:type="dxa"/>
                      </w:tcPr>
                      <w:p w14:paraId="3876CDA1" w14:textId="2E18E94B" w:rsidR="00B6341A" w:rsidRPr="71B5681B" w:rsidRDefault="00B6341A" w:rsidP="008E1B83">
                        <w:pPr>
                          <w:pStyle w:val="TableText"/>
                          <w:cnfStyle w:val="000000010000" w:firstRow="0" w:lastRow="0" w:firstColumn="0" w:lastColumn="0" w:oddVBand="0" w:evenVBand="0" w:oddHBand="0" w:evenHBand="1" w:firstRowFirstColumn="0" w:firstRowLastColumn="0" w:lastRowFirstColumn="0" w:lastRowLastColumn="0"/>
                          <w:rPr>
                            <w:lang w:val="en-AU"/>
                          </w:rPr>
                        </w:pPr>
                        <w:r w:rsidRPr="00B6341A">
                          <w:t xml:space="preserve">Quality Adjusted Life Year </w:t>
                        </w:r>
                      </w:p>
                    </w:tc>
                  </w:tr>
                  <w:tr w:rsidR="00BB2070" w:rsidRPr="00782EEB" w14:paraId="70964162" w14:textId="77777777" w:rsidTr="00773ED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9" w:type="dxa"/>
                      </w:tcPr>
                      <w:p w14:paraId="0545AC79" w14:textId="5CFEE7D4" w:rsidR="00BB2070" w:rsidRDefault="00BB2070" w:rsidP="0096142C">
                        <w:pPr>
                          <w:pStyle w:val="TableText"/>
                          <w:rPr>
                            <w:lang w:val="en-NZ"/>
                          </w:rPr>
                        </w:pPr>
                        <w:r>
                          <w:rPr>
                            <w:lang w:val="en-NZ"/>
                          </w:rPr>
                          <w:t xml:space="preserve">RNR </w:t>
                        </w:r>
                      </w:p>
                    </w:tc>
                    <w:tc>
                      <w:tcPr>
                        <w:tcW w:w="5610" w:type="dxa"/>
                      </w:tcPr>
                      <w:p w14:paraId="5CF65135" w14:textId="462E33B8" w:rsidR="00BB2070" w:rsidRDefault="00BB2070" w:rsidP="00665BBA">
                        <w:pPr>
                          <w:pStyle w:val="TableText"/>
                          <w:cnfStyle w:val="000000100000" w:firstRow="0" w:lastRow="0" w:firstColumn="0" w:lastColumn="0" w:oddVBand="0" w:evenVBand="0" w:oddHBand="1" w:evenHBand="0" w:firstRowFirstColumn="0" w:firstRowLastColumn="0" w:lastRowFirstColumn="0" w:lastRowLastColumn="0"/>
                          <w:rPr>
                            <w:szCs w:val="21"/>
                          </w:rPr>
                        </w:pPr>
                        <w:r>
                          <w:rPr>
                            <w:szCs w:val="21"/>
                          </w:rPr>
                          <w:t xml:space="preserve">Risk need responsivity </w:t>
                        </w:r>
                      </w:p>
                    </w:tc>
                  </w:tr>
                  <w:tr w:rsidR="007C66A5" w:rsidRPr="00782EEB" w14:paraId="66D11194" w14:textId="77777777" w:rsidTr="00773ED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9" w:type="dxa"/>
                      </w:tcPr>
                      <w:p w14:paraId="5869B39E" w14:textId="1E840C44" w:rsidR="007C66A5" w:rsidRPr="640D46D3" w:rsidRDefault="006E1559">
                        <w:pPr>
                          <w:pStyle w:val="TableText"/>
                          <w:rPr>
                            <w:lang w:val="en-NZ"/>
                          </w:rPr>
                        </w:pPr>
                        <w:r>
                          <w:rPr>
                            <w:lang w:val="en-NZ"/>
                          </w:rPr>
                          <w:t>R</w:t>
                        </w:r>
                        <w:r w:rsidR="0096142C">
                          <w:rPr>
                            <w:lang w:val="en-NZ"/>
                          </w:rPr>
                          <w:t>OI</w:t>
                        </w:r>
                      </w:p>
                    </w:tc>
                    <w:tc>
                      <w:tcPr>
                        <w:tcW w:w="5610" w:type="dxa"/>
                      </w:tcPr>
                      <w:p w14:paraId="6A1C9D72" w14:textId="41BD3E3C" w:rsidR="007C66A5" w:rsidRPr="00E150A1" w:rsidRDefault="0096142C">
                        <w:pPr>
                          <w:pStyle w:val="TableText"/>
                          <w:cnfStyle w:val="000000010000" w:firstRow="0" w:lastRow="0" w:firstColumn="0" w:lastColumn="0" w:oddVBand="0" w:evenVBand="0" w:oddHBand="0" w:evenHBand="1" w:firstRowFirstColumn="0" w:firstRowLastColumn="0" w:lastRowFirstColumn="0" w:lastRowLastColumn="0"/>
                          <w:rPr>
                            <w:szCs w:val="21"/>
                          </w:rPr>
                        </w:pPr>
                        <w:r>
                          <w:rPr>
                            <w:szCs w:val="21"/>
                          </w:rPr>
                          <w:t>Return on investment</w:t>
                        </w:r>
                      </w:p>
                    </w:tc>
                  </w:tr>
                  <w:tr w:rsidR="007C66A5" w:rsidRPr="00782EEB" w14:paraId="1E89C17B" w14:textId="77777777" w:rsidTr="00773ED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9" w:type="dxa"/>
                      </w:tcPr>
                      <w:p w14:paraId="7D9C3B92" w14:textId="77777777" w:rsidR="007C66A5" w:rsidRPr="00BD3DF6" w:rsidRDefault="007C66A5">
                        <w:pPr>
                          <w:pStyle w:val="TableText"/>
                          <w:rPr>
                            <w:szCs w:val="21"/>
                          </w:rPr>
                        </w:pPr>
                        <w:r w:rsidRPr="00BD3DF6">
                          <w:rPr>
                            <w:szCs w:val="21"/>
                          </w:rPr>
                          <w:t>SCORE Reporting</w:t>
                        </w:r>
                      </w:p>
                    </w:tc>
                    <w:tc>
                      <w:tcPr>
                        <w:tcW w:w="5610" w:type="dxa"/>
                      </w:tcPr>
                      <w:p w14:paraId="6DA643F3" w14:textId="77777777" w:rsidR="007C66A5" w:rsidRPr="00BD3DF6" w:rsidRDefault="007C66A5">
                        <w:pPr>
                          <w:pStyle w:val="TableText"/>
                          <w:cnfStyle w:val="000000100000" w:firstRow="0" w:lastRow="0" w:firstColumn="0" w:lastColumn="0" w:oddVBand="0" w:evenVBand="0" w:oddHBand="1" w:evenHBand="0" w:firstRowFirstColumn="0" w:firstRowLastColumn="0" w:lastRowFirstColumn="0" w:lastRowLastColumn="0"/>
                          <w:rPr>
                            <w:szCs w:val="21"/>
                          </w:rPr>
                        </w:pPr>
                        <w:r w:rsidRPr="00BD3DF6">
                          <w:rPr>
                            <w:szCs w:val="21"/>
                          </w:rPr>
                          <w:t>Standard Client/Community Outcomes Reporting</w:t>
                        </w:r>
                      </w:p>
                    </w:tc>
                  </w:tr>
                  <w:tr w:rsidR="007C66A5" w:rsidRPr="00782EEB" w14:paraId="38AD84E5" w14:textId="77777777" w:rsidTr="00773ED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9" w:type="dxa"/>
                      </w:tcPr>
                      <w:p w14:paraId="25D05D6F" w14:textId="1999F38D" w:rsidR="007C66A5" w:rsidRPr="00BD3DF6" w:rsidRDefault="003B3376">
                        <w:pPr>
                          <w:pStyle w:val="TableText"/>
                          <w:rPr>
                            <w:szCs w:val="21"/>
                          </w:rPr>
                        </w:pPr>
                        <w:r>
                          <w:rPr>
                            <w:szCs w:val="21"/>
                          </w:rPr>
                          <w:t xml:space="preserve">SEIFA </w:t>
                        </w:r>
                      </w:p>
                    </w:tc>
                    <w:tc>
                      <w:tcPr>
                        <w:tcW w:w="5610" w:type="dxa"/>
                      </w:tcPr>
                      <w:p w14:paraId="459D2552" w14:textId="77777777" w:rsidR="007C66A5" w:rsidRPr="00BD3DF6" w:rsidRDefault="007C66A5">
                        <w:pPr>
                          <w:pStyle w:val="TableText"/>
                          <w:cnfStyle w:val="000000010000" w:firstRow="0" w:lastRow="0" w:firstColumn="0" w:lastColumn="0" w:oddVBand="0" w:evenVBand="0" w:oddHBand="0" w:evenHBand="1" w:firstRowFirstColumn="0" w:firstRowLastColumn="0" w:lastRowFirstColumn="0" w:lastRowLastColumn="0"/>
                          <w:rPr>
                            <w:szCs w:val="21"/>
                          </w:rPr>
                        </w:pPr>
                        <w:r w:rsidRPr="00BD3DF6">
                          <w:rPr>
                            <w:szCs w:val="21"/>
                          </w:rPr>
                          <w:t>Socio-Economic Indexes for Areas</w:t>
                        </w:r>
                      </w:p>
                    </w:tc>
                  </w:tr>
                  <w:tr w:rsidR="007C66A5" w:rsidRPr="00782EEB" w14:paraId="4989A185" w14:textId="77777777" w:rsidTr="00773ED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9" w:type="dxa"/>
                      </w:tcPr>
                      <w:p w14:paraId="73D01151" w14:textId="77777777" w:rsidR="007C66A5" w:rsidRPr="00BD3DF6" w:rsidRDefault="007C66A5">
                        <w:pPr>
                          <w:pStyle w:val="TableText"/>
                          <w:rPr>
                            <w:szCs w:val="21"/>
                          </w:rPr>
                        </w:pPr>
                        <w:r w:rsidRPr="00BD3DF6">
                          <w:rPr>
                            <w:szCs w:val="21"/>
                          </w:rPr>
                          <w:t>SFVS</w:t>
                        </w:r>
                      </w:p>
                    </w:tc>
                    <w:tc>
                      <w:tcPr>
                        <w:tcW w:w="5610" w:type="dxa"/>
                      </w:tcPr>
                      <w:p w14:paraId="10353F3F" w14:textId="13CB7266" w:rsidR="007C66A5" w:rsidRPr="00BD3DF6" w:rsidRDefault="007C66A5">
                        <w:pPr>
                          <w:pStyle w:val="TableText"/>
                          <w:cnfStyle w:val="000000100000" w:firstRow="0" w:lastRow="0" w:firstColumn="0" w:lastColumn="0" w:oddVBand="0" w:evenVBand="0" w:oddHBand="1" w:evenHBand="0" w:firstRowFirstColumn="0" w:firstRowLastColumn="0" w:lastRowFirstColumn="0" w:lastRowLastColumn="0"/>
                          <w:rPr>
                            <w:szCs w:val="21"/>
                            <w:lang w:val="en-NZ"/>
                          </w:rPr>
                        </w:pPr>
                        <w:r w:rsidRPr="00BD3DF6">
                          <w:rPr>
                            <w:szCs w:val="21"/>
                            <w:lang w:val="en-NZ"/>
                          </w:rPr>
                          <w:t xml:space="preserve">The Specialised Family Violence Services (SFVS) program is a component of the Family and Relationship </w:t>
                        </w:r>
                        <w:r w:rsidRPr="00BD3DF6">
                          <w:rPr>
                            <w:szCs w:val="21"/>
                            <w:lang w:val="en-NZ"/>
                          </w:rPr>
                          <w:lastRenderedPageBreak/>
                          <w:t xml:space="preserve">Services sub-activity under the Families and Children Activity of the Families and Communities Program. SFVS uses a whole-of-family approach to strengthen family and community functioning and improve personal and family safety by providing support to individuals, couples, children and families who are experiencing, witnessing or at risk of family or domestic violence. This also includes help to individuals who use violent or abusive behaviour </w:t>
                        </w:r>
                        <w:r w:rsidRPr="00BD3DF6">
                          <w:rPr>
                            <w:szCs w:val="21"/>
                            <w:lang w:val="en-NZ"/>
                          </w:rPr>
                          <w:fldChar w:fldCharType="begin"/>
                        </w:r>
                        <w:r w:rsidR="00E41D03">
                          <w:rPr>
                            <w:szCs w:val="21"/>
                            <w:lang w:val="en-NZ"/>
                          </w:rPr>
                          <w:instrText xml:space="preserve"> ADDIN ZOTERO_ITEM CSL_CITATION {"citationID":"ttmgt9hh","properties":{"formattedCitation":"(Department of Social Services, 2021a)","plainCitation":"(Department of Social Services, 2021a)","noteIndex":0},"citationItems":[{"id":4671,"uris":["http://zotero.org/groups/5691188/items/8PWCMD8P"],"itemData":{"id":4671,"type":"document","title":"Family and Relationship Services Operational Guidelines","author":[{"family":"Department of Social Services","given":""}],"issued":{"date-parts":[["2021",7,1]]}}}],"schema":"https://github.com/citation-style-language/schema/raw/master/csl-citation.json"} </w:instrText>
                        </w:r>
                        <w:r w:rsidRPr="00BD3DF6">
                          <w:rPr>
                            <w:szCs w:val="21"/>
                            <w:lang w:val="en-NZ"/>
                          </w:rPr>
                          <w:fldChar w:fldCharType="separate"/>
                        </w:r>
                        <w:r w:rsidRPr="00BD3DF6">
                          <w:rPr>
                            <w:rFonts w:cs="Arial"/>
                            <w:szCs w:val="21"/>
                          </w:rPr>
                          <w:t>(Department of Social Services, 2021a)</w:t>
                        </w:r>
                        <w:r w:rsidRPr="00BD3DF6">
                          <w:rPr>
                            <w:szCs w:val="21"/>
                            <w:lang w:val="en-NZ"/>
                          </w:rPr>
                          <w:fldChar w:fldCharType="end"/>
                        </w:r>
                        <w:r w:rsidRPr="00BD3DF6">
                          <w:rPr>
                            <w:szCs w:val="21"/>
                            <w:lang w:val="en-NZ"/>
                          </w:rPr>
                          <w:t xml:space="preserve">. </w:t>
                        </w:r>
                      </w:p>
                      <w:p w14:paraId="65C8203D" w14:textId="17F8F871" w:rsidR="007C66A5" w:rsidRPr="00BD3DF6" w:rsidRDefault="007C66A5">
                        <w:pPr>
                          <w:pStyle w:val="TableText"/>
                          <w:cnfStyle w:val="000000100000" w:firstRow="0" w:lastRow="0" w:firstColumn="0" w:lastColumn="0" w:oddVBand="0" w:evenVBand="0" w:oddHBand="1" w:evenHBand="0" w:firstRowFirstColumn="0" w:firstRowLastColumn="0" w:lastRowFirstColumn="0" w:lastRowLastColumn="0"/>
                          <w:rPr>
                            <w:szCs w:val="21"/>
                          </w:rPr>
                        </w:pPr>
                        <w:r w:rsidRPr="00BD3DF6">
                          <w:rPr>
                            <w:szCs w:val="21"/>
                          </w:rPr>
                          <w:t xml:space="preserve">The Department funds grant recipients to deliver SFVS in areas of need based on factors such as a demonstrated need for </w:t>
                        </w:r>
                        <w:r w:rsidR="006A5016">
                          <w:t>family</w:t>
                        </w:r>
                        <w:r w:rsidRPr="00BD3DF6">
                          <w:rPr>
                            <w:szCs w:val="21"/>
                          </w:rPr>
                          <w:t xml:space="preserve"> violence services, community demographics and location, and the capability of grant recipients to target services towards groups of people who are particularly vulnerable to experiencing family and domestic violence.</w:t>
                        </w:r>
                      </w:p>
                    </w:tc>
                  </w:tr>
                  <w:tr w:rsidR="007C66A5" w:rsidRPr="00782EEB" w14:paraId="5972BD94" w14:textId="77777777" w:rsidTr="00773ED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9" w:type="dxa"/>
                      </w:tcPr>
                      <w:p w14:paraId="7FC7D709" w14:textId="77777777" w:rsidR="007C66A5" w:rsidRPr="006E539D" w:rsidRDefault="007C66A5">
                        <w:pPr>
                          <w:pStyle w:val="TableText"/>
                        </w:pPr>
                        <w:r w:rsidRPr="006E539D">
                          <w:lastRenderedPageBreak/>
                          <w:t>SNAICC</w:t>
                        </w:r>
                      </w:p>
                    </w:tc>
                    <w:tc>
                      <w:tcPr>
                        <w:tcW w:w="5610" w:type="dxa"/>
                      </w:tcPr>
                      <w:p w14:paraId="3091839C" w14:textId="77777777" w:rsidR="007C66A5" w:rsidRPr="008E1B83" w:rsidRDefault="007C66A5">
                        <w:pPr>
                          <w:pStyle w:val="TableText"/>
                          <w:cnfStyle w:val="000000010000" w:firstRow="0" w:lastRow="0" w:firstColumn="0" w:lastColumn="0" w:oddVBand="0" w:evenVBand="0" w:oddHBand="0" w:evenHBand="1" w:firstRowFirstColumn="0" w:firstRowLastColumn="0" w:lastRowFirstColumn="0" w:lastRowLastColumn="0"/>
                        </w:pPr>
                        <w:r w:rsidRPr="008E1B83">
                          <w:t xml:space="preserve">National Voice for Our Children (formerly known as Secretariat of National Aboriginal and Islander Child Care) </w:t>
                        </w:r>
                      </w:p>
                    </w:tc>
                  </w:tr>
                  <w:tr w:rsidR="007C66A5" w:rsidRPr="00782EEB" w14:paraId="2EC75539" w14:textId="77777777" w:rsidTr="00773ED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9" w:type="dxa"/>
                      </w:tcPr>
                      <w:p w14:paraId="21DFC2AA" w14:textId="77777777" w:rsidR="007C66A5" w:rsidRPr="006E539D" w:rsidRDefault="007C66A5">
                        <w:pPr>
                          <w:pStyle w:val="TableText"/>
                        </w:pPr>
                        <w:r w:rsidRPr="006E539D">
                          <w:t xml:space="preserve">The Department </w:t>
                        </w:r>
                      </w:p>
                    </w:tc>
                    <w:tc>
                      <w:tcPr>
                        <w:tcW w:w="5610" w:type="dxa"/>
                      </w:tcPr>
                      <w:p w14:paraId="203BBCD1" w14:textId="77777777" w:rsidR="007C66A5" w:rsidRPr="006E539D" w:rsidRDefault="007C66A5">
                        <w:pPr>
                          <w:pStyle w:val="TableText"/>
                          <w:cnfStyle w:val="000000100000" w:firstRow="0" w:lastRow="0" w:firstColumn="0" w:lastColumn="0" w:oddVBand="0" w:evenVBand="0" w:oddHBand="1" w:evenHBand="0" w:firstRowFirstColumn="0" w:firstRowLastColumn="0" w:lastRowFirstColumn="0" w:lastRowLastColumn="0"/>
                        </w:pPr>
                        <w:r w:rsidRPr="006E539D">
                          <w:t>Department of Social Services</w:t>
                        </w:r>
                      </w:p>
                    </w:tc>
                  </w:tr>
                  <w:tr w:rsidR="006E539D" w:rsidRPr="00782EEB" w14:paraId="227A19AC" w14:textId="77777777" w:rsidTr="00773ED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9" w:type="dxa"/>
                      </w:tcPr>
                      <w:p w14:paraId="550AEC6B" w14:textId="77777777" w:rsidR="006E539D" w:rsidRDefault="006E539D" w:rsidP="00665BBA">
                        <w:pPr>
                          <w:pStyle w:val="TableText"/>
                        </w:pPr>
                        <w:r w:rsidRPr="70B44A2E">
                          <w:rPr>
                            <w:lang w:val="en-NZ"/>
                          </w:rPr>
                          <w:t>Unidentified service users for FaRS and SFVS</w:t>
                        </w:r>
                      </w:p>
                      <w:p w14:paraId="0AD90526" w14:textId="1EB74D1B" w:rsidR="006E539D" w:rsidRPr="006E539D" w:rsidRDefault="006E539D" w:rsidP="00665BBA">
                        <w:pPr>
                          <w:pStyle w:val="TableText"/>
                        </w:pPr>
                      </w:p>
                    </w:tc>
                    <w:tc>
                      <w:tcPr>
                        <w:tcW w:w="5610" w:type="dxa"/>
                      </w:tcPr>
                      <w:p w14:paraId="42A72D1A" w14:textId="4C5CC563" w:rsidR="006E539D" w:rsidRPr="006E539D" w:rsidRDefault="006E539D" w:rsidP="00665BBA">
                        <w:pPr>
                          <w:pStyle w:val="TableText"/>
                          <w:cnfStyle w:val="000000010000" w:firstRow="0" w:lastRow="0" w:firstColumn="0" w:lastColumn="0" w:oddVBand="0" w:evenVBand="0" w:oddHBand="0" w:evenHBand="1" w:firstRowFirstColumn="0" w:firstRowLastColumn="0" w:lastRowFirstColumn="0" w:lastRowLastColumn="0"/>
                        </w:pPr>
                        <w:r w:rsidRPr="71B5681B">
                          <w:rPr>
                            <w:lang w:val="en-AU"/>
                          </w:rPr>
                          <w:t>No more than 10</w:t>
                        </w:r>
                        <w:r w:rsidR="00CA16E3">
                          <w:rPr>
                            <w:lang w:val="en-AU"/>
                          </w:rPr>
                          <w:t>%</w:t>
                        </w:r>
                        <w:r w:rsidRPr="71B5681B">
                          <w:rPr>
                            <w:lang w:val="en-AU"/>
                          </w:rPr>
                          <w:t xml:space="preserve"> of an organisation’s </w:t>
                        </w:r>
                        <w:r w:rsidR="005217A7">
                          <w:rPr>
                            <w:lang w:val="en-AU"/>
                          </w:rPr>
                          <w:t>service users</w:t>
                        </w:r>
                        <w:r w:rsidRPr="71B5681B">
                          <w:rPr>
                            <w:lang w:val="en-AU"/>
                          </w:rPr>
                          <w:t xml:space="preserve"> in a reporting period should be recorded as unidentified s</w:t>
                        </w:r>
                        <w:r>
                          <w:rPr>
                            <w:lang w:val="en-AU"/>
                          </w:rPr>
                          <w:t>ervice users</w:t>
                        </w:r>
                        <w:r w:rsidRPr="71B5681B">
                          <w:rPr>
                            <w:lang w:val="en-AU"/>
                          </w:rPr>
                          <w:t xml:space="preserve">. The Department expects organisations to deliver services to </w:t>
                        </w:r>
                        <w:r w:rsidR="005217A7">
                          <w:rPr>
                            <w:lang w:val="en-AU"/>
                          </w:rPr>
                          <w:t>service users</w:t>
                        </w:r>
                        <w:r w:rsidRPr="71B5681B">
                          <w:rPr>
                            <w:lang w:val="en-AU"/>
                          </w:rPr>
                          <w:t xml:space="preserve"> who are known to their staff. While organisations might deliver education, skills or information sessions to groups of people, they should collect </w:t>
                        </w:r>
                        <w:r w:rsidR="005217A7">
                          <w:rPr>
                            <w:lang w:val="en-AU"/>
                          </w:rPr>
                          <w:t>service user</w:t>
                        </w:r>
                        <w:r w:rsidRPr="71B5681B">
                          <w:rPr>
                            <w:lang w:val="en-AU"/>
                          </w:rPr>
                          <w:t xml:space="preserve"> details for each individual participant and record them as individual </w:t>
                        </w:r>
                        <w:r w:rsidR="005217A7">
                          <w:rPr>
                            <w:lang w:val="en-AU"/>
                          </w:rPr>
                          <w:t>service user</w:t>
                        </w:r>
                        <w:r w:rsidRPr="71B5681B">
                          <w:rPr>
                            <w:lang w:val="en-AU"/>
                          </w:rPr>
                          <w:t xml:space="preserve">s in the Data Exchange, where possible. The Data Exchange Protocols provide further guidance on recording unidentified </w:t>
                        </w:r>
                        <w:r>
                          <w:rPr>
                            <w:lang w:val="en-AU"/>
                          </w:rPr>
                          <w:t>service users.</w:t>
                        </w:r>
                      </w:p>
                    </w:tc>
                  </w:tr>
                  <w:tr w:rsidR="00BC22C4" w:rsidRPr="00782EEB" w14:paraId="324B59F6" w14:textId="77777777" w:rsidTr="00773ED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9" w:type="dxa"/>
                      </w:tcPr>
                      <w:p w14:paraId="44BAC6A8" w14:textId="6CACBA44" w:rsidR="00BC22C4" w:rsidRPr="70B44A2E" w:rsidRDefault="00BC22C4" w:rsidP="00665BBA">
                        <w:pPr>
                          <w:pStyle w:val="TableText"/>
                          <w:rPr>
                            <w:lang w:val="en-NZ"/>
                          </w:rPr>
                        </w:pPr>
                        <w:r>
                          <w:rPr>
                            <w:lang w:val="en-NZ"/>
                          </w:rPr>
                          <w:t>VAW</w:t>
                        </w:r>
                      </w:p>
                    </w:tc>
                    <w:tc>
                      <w:tcPr>
                        <w:tcW w:w="5610" w:type="dxa"/>
                      </w:tcPr>
                      <w:p w14:paraId="4C63F8C4" w14:textId="717032C9" w:rsidR="00BC22C4" w:rsidRPr="71B5681B" w:rsidRDefault="00BC22C4" w:rsidP="00665BBA">
                        <w:pPr>
                          <w:pStyle w:val="TableText"/>
                          <w:cnfStyle w:val="000000100000" w:firstRow="0" w:lastRow="0" w:firstColumn="0" w:lastColumn="0" w:oddVBand="0" w:evenVBand="0" w:oddHBand="1" w:evenHBand="0" w:firstRowFirstColumn="0" w:firstRowLastColumn="0" w:lastRowFirstColumn="0" w:lastRowLastColumn="0"/>
                          <w:rPr>
                            <w:lang w:val="en-AU"/>
                          </w:rPr>
                        </w:pPr>
                        <w:r>
                          <w:rPr>
                            <w:lang w:val="en-AU"/>
                          </w:rPr>
                          <w:t>Violence against women</w:t>
                        </w:r>
                      </w:p>
                    </w:tc>
                  </w:tr>
                  <w:tr w:rsidR="00172B56" w:rsidRPr="00782EEB" w14:paraId="16819CBE" w14:textId="77777777" w:rsidTr="00773ED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9" w:type="dxa"/>
                      </w:tcPr>
                      <w:p w14:paraId="791697AA" w14:textId="0B65BD1B" w:rsidR="00172B56" w:rsidRDefault="00172B56" w:rsidP="00665BBA">
                        <w:pPr>
                          <w:pStyle w:val="TableText"/>
                        </w:pPr>
                        <w:r>
                          <w:t>WHO</w:t>
                        </w:r>
                      </w:p>
                    </w:tc>
                    <w:tc>
                      <w:tcPr>
                        <w:tcW w:w="5610" w:type="dxa"/>
                      </w:tcPr>
                      <w:p w14:paraId="72C54F56" w14:textId="0886330B" w:rsidR="00172B56" w:rsidRDefault="00172B56" w:rsidP="00665BBA">
                        <w:pPr>
                          <w:pStyle w:val="TableText"/>
                          <w:cnfStyle w:val="000000010000" w:firstRow="0" w:lastRow="0" w:firstColumn="0" w:lastColumn="0" w:oddVBand="0" w:evenVBand="0" w:oddHBand="0" w:evenHBand="1" w:firstRowFirstColumn="0" w:firstRowLastColumn="0" w:lastRowFirstColumn="0" w:lastRowLastColumn="0"/>
                          <w:rPr>
                            <w:lang w:val="en-AU"/>
                          </w:rPr>
                        </w:pPr>
                        <w:r>
                          <w:rPr>
                            <w:lang w:val="en-AU"/>
                          </w:rPr>
                          <w:t xml:space="preserve">World Health Organisation </w:t>
                        </w:r>
                      </w:p>
                    </w:tc>
                  </w:tr>
                  <w:tr w:rsidR="003337D4" w:rsidRPr="00782EEB" w14:paraId="646841C0" w14:textId="77777777" w:rsidTr="00773ED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9" w:type="dxa"/>
                      </w:tcPr>
                      <w:p w14:paraId="0BBF1210" w14:textId="712A1796" w:rsidR="003337D4" w:rsidRDefault="003337D4" w:rsidP="00665BBA">
                        <w:pPr>
                          <w:pStyle w:val="TableText"/>
                        </w:pPr>
                        <w:r>
                          <w:t>WSIPP</w:t>
                        </w:r>
                      </w:p>
                    </w:tc>
                    <w:tc>
                      <w:tcPr>
                        <w:tcW w:w="5610" w:type="dxa"/>
                      </w:tcPr>
                      <w:p w14:paraId="3C24A204" w14:textId="24BB05FA" w:rsidR="003337D4" w:rsidRPr="71B5681B" w:rsidRDefault="00C703B3" w:rsidP="00665BBA">
                        <w:pPr>
                          <w:pStyle w:val="TableText"/>
                          <w:cnfStyle w:val="000000100000" w:firstRow="0" w:lastRow="0" w:firstColumn="0" w:lastColumn="0" w:oddVBand="0" w:evenVBand="0" w:oddHBand="1" w:evenHBand="0" w:firstRowFirstColumn="0" w:firstRowLastColumn="0" w:lastRowFirstColumn="0" w:lastRowLastColumn="0"/>
                          <w:rPr>
                            <w:lang w:val="en-AU"/>
                          </w:rPr>
                        </w:pPr>
                        <w:r>
                          <w:rPr>
                            <w:lang w:val="en-AU"/>
                          </w:rPr>
                          <w:t xml:space="preserve">Washington State Institute of Public Policy </w:t>
                        </w:r>
                      </w:p>
                    </w:tc>
                  </w:tr>
                  <w:tr w:rsidR="00D62DC4" w:rsidRPr="00782EEB" w14:paraId="47D9375A" w14:textId="77777777" w:rsidTr="00773ED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9" w:type="dxa"/>
                      </w:tcPr>
                      <w:p w14:paraId="23955F3C" w14:textId="13744DA3" w:rsidR="00D62DC4" w:rsidRDefault="00D62DC4" w:rsidP="00D62DC4">
                        <w:pPr>
                          <w:pStyle w:val="TableText"/>
                        </w:pPr>
                        <w:r>
                          <w:t>YLD</w:t>
                        </w:r>
                      </w:p>
                    </w:tc>
                    <w:tc>
                      <w:tcPr>
                        <w:tcW w:w="5610" w:type="dxa"/>
                      </w:tcPr>
                      <w:p w14:paraId="347356E4" w14:textId="6FD32B12" w:rsidR="00D62DC4" w:rsidRDefault="00D62DC4" w:rsidP="00D62DC4">
                        <w:pPr>
                          <w:pStyle w:val="TableText"/>
                          <w:cnfStyle w:val="000000010000" w:firstRow="0" w:lastRow="0" w:firstColumn="0" w:lastColumn="0" w:oddVBand="0" w:evenVBand="0" w:oddHBand="0" w:evenHBand="1" w:firstRowFirstColumn="0" w:firstRowLastColumn="0" w:lastRowFirstColumn="0" w:lastRowLastColumn="0"/>
                        </w:pPr>
                        <w:r>
                          <w:t>Y</w:t>
                        </w:r>
                        <w:r w:rsidRPr="00690065">
                          <w:t>ears lived with disability or illness</w:t>
                        </w:r>
                      </w:p>
                    </w:tc>
                  </w:tr>
                  <w:tr w:rsidR="00D62DC4" w:rsidRPr="00782EEB" w14:paraId="5BEC45E5" w14:textId="77777777" w:rsidTr="00773ED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9" w:type="dxa"/>
                      </w:tcPr>
                      <w:p w14:paraId="10392A65" w14:textId="52C9586C" w:rsidR="00D62DC4" w:rsidRDefault="00D62DC4" w:rsidP="00D62DC4">
                        <w:pPr>
                          <w:pStyle w:val="TableText"/>
                        </w:pPr>
                        <w:r>
                          <w:t>YLL</w:t>
                        </w:r>
                      </w:p>
                    </w:tc>
                    <w:tc>
                      <w:tcPr>
                        <w:tcW w:w="5610" w:type="dxa"/>
                      </w:tcPr>
                      <w:p w14:paraId="7C1C1205" w14:textId="16EF477D" w:rsidR="00D62DC4" w:rsidRDefault="00D62DC4" w:rsidP="00D62DC4">
                        <w:pPr>
                          <w:pStyle w:val="TableText"/>
                          <w:cnfStyle w:val="000000100000" w:firstRow="0" w:lastRow="0" w:firstColumn="0" w:lastColumn="0" w:oddVBand="0" w:evenVBand="0" w:oddHBand="1" w:evenHBand="0" w:firstRowFirstColumn="0" w:firstRowLastColumn="0" w:lastRowFirstColumn="0" w:lastRowLastColumn="0"/>
                          <w:rPr>
                            <w:lang w:val="en-AU"/>
                          </w:rPr>
                        </w:pPr>
                        <w:r>
                          <w:t>Y</w:t>
                        </w:r>
                        <w:r w:rsidRPr="00690065">
                          <w:t xml:space="preserve">ears of life lost </w:t>
                        </w:r>
                      </w:p>
                    </w:tc>
                  </w:tr>
                </w:tbl>
                <w:p w14:paraId="655C2488" w14:textId="77777777" w:rsidR="00012DAC" w:rsidRDefault="00012DAC" w:rsidP="00012DAC">
                  <w:pPr>
                    <w:tabs>
                      <w:tab w:val="left" w:pos="2880"/>
                    </w:tabs>
                  </w:pPr>
                </w:p>
                <w:p w14:paraId="65AA4474" w14:textId="57A6327E" w:rsidR="00012DAC" w:rsidRPr="00012DAC" w:rsidRDefault="00012DAC" w:rsidP="003371DC">
                  <w:pPr>
                    <w:sectPr w:rsidR="00012DAC" w:rsidRPr="00012DAC" w:rsidSect="005A23BE">
                      <w:footerReference w:type="default" r:id="rId128"/>
                      <w:pgSz w:w="11909" w:h="16834" w:code="9"/>
                      <w:pgMar w:top="1440" w:right="1440" w:bottom="1440" w:left="1440" w:header="720" w:footer="720" w:gutter="0"/>
                      <w:cols w:space="720"/>
                      <w:docGrid w:linePitch="360"/>
                    </w:sectPr>
                  </w:pPr>
                  <w:r>
                    <w:t xml:space="preserve"> </w:t>
                  </w:r>
                </w:p>
                <w:p w14:paraId="375CC255" w14:textId="2C721795" w:rsidR="006B0087" w:rsidRDefault="00CB0E93" w:rsidP="00253268">
                  <w:pPr>
                    <w:pStyle w:val="Appendix"/>
                    <w:rPr>
                      <w:lang w:val="en-NZ"/>
                    </w:rPr>
                  </w:pPr>
                  <w:bookmarkStart w:id="545" w:name="Appendix_B"/>
                  <w:bookmarkStart w:id="546" w:name="_Toc208906866"/>
                  <w:bookmarkStart w:id="547" w:name="_Toc204856761"/>
                  <w:bookmarkStart w:id="548" w:name="OLE_LINK1"/>
                  <w:bookmarkEnd w:id="545"/>
                  <w:r>
                    <w:rPr>
                      <w:lang w:val="en-NZ"/>
                    </w:rPr>
                    <w:lastRenderedPageBreak/>
                    <w:t xml:space="preserve">FaRS and SFVS </w:t>
                  </w:r>
                  <w:r w:rsidR="002A757C">
                    <w:rPr>
                      <w:lang w:val="en-NZ"/>
                    </w:rPr>
                    <w:t>P</w:t>
                  </w:r>
                  <w:r>
                    <w:rPr>
                      <w:lang w:val="en-NZ"/>
                    </w:rPr>
                    <w:t xml:space="preserve">rogram </w:t>
                  </w:r>
                  <w:r w:rsidR="002A757C">
                    <w:rPr>
                      <w:lang w:val="en-NZ"/>
                    </w:rPr>
                    <w:t>L</w:t>
                  </w:r>
                  <w:r>
                    <w:rPr>
                      <w:lang w:val="en-NZ"/>
                    </w:rPr>
                    <w:t>ogics</w:t>
                  </w:r>
                  <w:bookmarkEnd w:id="546"/>
                </w:p>
                <w:p w14:paraId="6E83C998" w14:textId="77777777" w:rsidR="002D2AC1" w:rsidRDefault="002D2AC1" w:rsidP="002D2AC1">
                  <w:pPr>
                    <w:pStyle w:val="Text"/>
                  </w:pPr>
                </w:p>
                <w:p w14:paraId="7FE07391" w14:textId="594B4098" w:rsidR="002D2AC1" w:rsidRDefault="002D2AC1" w:rsidP="00DA50A0">
                  <w:pPr>
                    <w:pStyle w:val="Text"/>
                    <w:jc w:val="left"/>
                  </w:pPr>
                  <w:r w:rsidRPr="002D2AC1">
                    <w:rPr>
                      <w:noProof/>
                    </w:rPr>
                    <w:drawing>
                      <wp:inline distT="0" distB="0" distL="0" distR="0" wp14:anchorId="69595ECC" wp14:editId="3B2F4925">
                        <wp:extent cx="9318811" cy="5029200"/>
                        <wp:effectExtent l="0" t="0" r="0" b="0"/>
                        <wp:docPr id="1716468107"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468107" name="Picture 1">
                                  <a:extLst>
                                    <a:ext uri="{C183D7F6-B498-43B3-948B-1728B52AA6E4}">
                                      <adec:decorative xmlns:adec="http://schemas.microsoft.com/office/drawing/2017/decorative" val="1"/>
                                    </a:ext>
                                  </a:extLst>
                                </pic:cNvPr>
                                <pic:cNvPicPr/>
                              </pic:nvPicPr>
                              <pic:blipFill>
                                <a:blip r:embed="rId129"/>
                                <a:stretch>
                                  <a:fillRect/>
                                </a:stretch>
                              </pic:blipFill>
                              <pic:spPr>
                                <a:xfrm>
                                  <a:off x="0" y="0"/>
                                  <a:ext cx="9386433" cy="5065695"/>
                                </a:xfrm>
                                <a:prstGeom prst="rect">
                                  <a:avLst/>
                                </a:prstGeom>
                              </pic:spPr>
                            </pic:pic>
                          </a:graphicData>
                        </a:graphic>
                      </wp:inline>
                    </w:drawing>
                  </w:r>
                </w:p>
                <w:p w14:paraId="0D168237" w14:textId="77777777" w:rsidR="002D2AC1" w:rsidRDefault="002D2AC1" w:rsidP="002D2AC1">
                  <w:pPr>
                    <w:pStyle w:val="Text"/>
                  </w:pPr>
                </w:p>
                <w:p w14:paraId="6DE84E6A" w14:textId="0E36DA17" w:rsidR="006B0087" w:rsidRPr="002D2AC1" w:rsidRDefault="00DA50A0" w:rsidP="008E1B83">
                  <w:pPr>
                    <w:pStyle w:val="Text"/>
                    <w:jc w:val="left"/>
                    <w:sectPr w:rsidR="006B0087" w:rsidRPr="002D2AC1" w:rsidSect="006B0087">
                      <w:headerReference w:type="even" r:id="rId130"/>
                      <w:headerReference w:type="default" r:id="rId131"/>
                      <w:footerReference w:type="default" r:id="rId132"/>
                      <w:headerReference w:type="first" r:id="rId133"/>
                      <w:pgSz w:w="16834" w:h="11909" w:orient="landscape" w:code="9"/>
                      <w:pgMar w:top="1440" w:right="1440" w:bottom="1440" w:left="1440" w:header="720" w:footer="720" w:gutter="0"/>
                      <w:cols w:space="720"/>
                      <w:docGrid w:linePitch="360"/>
                    </w:sectPr>
                  </w:pPr>
                  <w:r w:rsidRPr="00DA50A0">
                    <w:rPr>
                      <w:noProof/>
                    </w:rPr>
                    <w:drawing>
                      <wp:inline distT="0" distB="0" distL="0" distR="0" wp14:anchorId="1409C853" wp14:editId="2015D3F4">
                        <wp:extent cx="8657617" cy="5347623"/>
                        <wp:effectExtent l="0" t="0" r="0" b="5715"/>
                        <wp:docPr id="681287438"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287438" name="Picture 1">
                                  <a:extLst>
                                    <a:ext uri="{C183D7F6-B498-43B3-948B-1728B52AA6E4}">
                                      <adec:decorative xmlns:adec="http://schemas.microsoft.com/office/drawing/2017/decorative" val="1"/>
                                    </a:ext>
                                  </a:extLst>
                                </pic:cNvPr>
                                <pic:cNvPicPr/>
                              </pic:nvPicPr>
                              <pic:blipFill>
                                <a:blip r:embed="rId134"/>
                                <a:stretch>
                                  <a:fillRect/>
                                </a:stretch>
                              </pic:blipFill>
                              <pic:spPr>
                                <a:xfrm>
                                  <a:off x="0" y="0"/>
                                  <a:ext cx="8743216" cy="5400496"/>
                                </a:xfrm>
                                <a:prstGeom prst="rect">
                                  <a:avLst/>
                                </a:prstGeom>
                              </pic:spPr>
                            </pic:pic>
                          </a:graphicData>
                        </a:graphic>
                      </wp:inline>
                    </w:drawing>
                  </w:r>
                  <w:bookmarkEnd w:id="547"/>
                </w:p>
                <w:p w14:paraId="5D8C9B5F" w14:textId="2C91EDB3" w:rsidR="00B55B6C" w:rsidRDefault="00B55B6C" w:rsidP="00253268">
                  <w:pPr>
                    <w:pStyle w:val="Appendix"/>
                    <w:rPr>
                      <w:lang w:val="en-NZ"/>
                    </w:rPr>
                  </w:pPr>
                  <w:bookmarkStart w:id="549" w:name="Appendix_C"/>
                  <w:bookmarkStart w:id="550" w:name="_Toc204856762"/>
                  <w:bookmarkStart w:id="551" w:name="_Toc208906867"/>
                  <w:bookmarkEnd w:id="548"/>
                  <w:bookmarkEnd w:id="549"/>
                  <w:r>
                    <w:rPr>
                      <w:lang w:val="en-NZ"/>
                    </w:rPr>
                    <w:lastRenderedPageBreak/>
                    <w:t>Sampling approach</w:t>
                  </w:r>
                  <w:bookmarkEnd w:id="550"/>
                  <w:bookmarkEnd w:id="551"/>
                </w:p>
                <w:p w14:paraId="200E0FAA" w14:textId="77777777" w:rsidR="00877AFF" w:rsidRDefault="00877AFF" w:rsidP="00877AFF">
                  <w:pPr>
                    <w:pStyle w:val="Text"/>
                    <w:rPr>
                      <w:lang w:val="en-GB"/>
                    </w:rPr>
                  </w:pPr>
                  <w:r>
                    <w:rPr>
                      <w:lang w:val="en-GB"/>
                    </w:rPr>
                    <w:t xml:space="preserve">The evaluation team worked with the Department to develop the following sampling framework to guide engagement with service providers and service users. </w:t>
                  </w:r>
                </w:p>
                <w:p w14:paraId="567B9F09" w14:textId="77777777" w:rsidR="00877AFF" w:rsidRDefault="00877AFF" w:rsidP="00877AFF">
                  <w:pPr>
                    <w:pStyle w:val="Text-BodyHeading"/>
                  </w:pPr>
                  <w:r>
                    <w:t xml:space="preserve">Service providers </w:t>
                  </w:r>
                </w:p>
                <w:p w14:paraId="5F90F189" w14:textId="40EFC54A" w:rsidR="00877AFF" w:rsidRDefault="00877AFF" w:rsidP="00877AFF">
                  <w:pPr>
                    <w:pStyle w:val="Text"/>
                    <w:rPr>
                      <w:lang w:val="en-GB"/>
                    </w:rPr>
                  </w:pPr>
                  <w:r>
                    <w:rPr>
                      <w:lang w:val="en-GB"/>
                    </w:rPr>
                    <w:t xml:space="preserve">The evaluation team sought to engage up to 80 staff from service offering FaRS and/or SFVS funded services, along with </w:t>
                  </w:r>
                  <w:r w:rsidR="008C7BAF">
                    <w:rPr>
                      <w:lang w:val="en-GB"/>
                    </w:rPr>
                    <w:t>2</w:t>
                  </w:r>
                  <w:r>
                    <w:rPr>
                      <w:lang w:val="en-GB"/>
                    </w:rPr>
                    <w:t xml:space="preserve"> Aboriginal and Torres Strait Islander peak bodies who specialised in family violence prevention and children’s wellbeing. These engagement</w:t>
                  </w:r>
                  <w:r w:rsidR="007F7D2C">
                    <w:rPr>
                      <w:lang w:val="en-GB"/>
                    </w:rPr>
                    <w:t>s</w:t>
                  </w:r>
                  <w:r>
                    <w:rPr>
                      <w:lang w:val="en-GB"/>
                    </w:rPr>
                    <w:t xml:space="preserve"> occurred through a mixture of online and in-person focus groups. All service provider organisations who offer FaRS and/or SFVS funded services were invited to engage in focus groups and to support the recruitment of service users for interviews and surveys. </w:t>
                  </w:r>
                  <w:r w:rsidRPr="007D2E71">
                    <w:rPr>
                      <w:b/>
                      <w:bCs/>
                      <w:lang w:val="en-GB"/>
                    </w:rPr>
                    <w:fldChar w:fldCharType="begin" w:fldLock="1"/>
                  </w:r>
                  <w:r w:rsidRPr="007D2E71">
                    <w:rPr>
                      <w:b/>
                      <w:bCs/>
                      <w:lang w:val="en-GB"/>
                    </w:rPr>
                    <w:instrText xml:space="preserve"> REF _Ref203049400 \h  \* MERGEFORMAT </w:instrText>
                  </w:r>
                  <w:r w:rsidRPr="007D2E71">
                    <w:rPr>
                      <w:b/>
                      <w:bCs/>
                      <w:lang w:val="en-GB"/>
                    </w:rPr>
                  </w:r>
                  <w:r w:rsidRPr="007D2E71">
                    <w:rPr>
                      <w:b/>
                      <w:bCs/>
                      <w:lang w:val="en-GB"/>
                    </w:rPr>
                    <w:fldChar w:fldCharType="separate"/>
                  </w:r>
                  <w:r w:rsidR="008F22E5" w:rsidRPr="008F22E5">
                    <w:rPr>
                      <w:rStyle w:val="Text-Bold"/>
                      <w:szCs w:val="22"/>
                    </w:rPr>
                    <w:t xml:space="preserve">Table </w:t>
                  </w:r>
                  <w:r w:rsidR="008F22E5" w:rsidRPr="008F22E5">
                    <w:rPr>
                      <w:b/>
                      <w:bCs/>
                      <w:noProof/>
                    </w:rPr>
                    <w:t>50</w:t>
                  </w:r>
                  <w:r w:rsidRPr="007D2E71">
                    <w:rPr>
                      <w:b/>
                      <w:bCs/>
                      <w:lang w:val="en-GB"/>
                    </w:rPr>
                    <w:fldChar w:fldCharType="end"/>
                  </w:r>
                  <w:r w:rsidRPr="007D2E71">
                    <w:rPr>
                      <w:b/>
                      <w:bCs/>
                      <w:lang w:val="en-GB"/>
                    </w:rPr>
                    <w:t xml:space="preserve"> </w:t>
                  </w:r>
                  <w:r>
                    <w:rPr>
                      <w:lang w:val="en-GB"/>
                    </w:rPr>
                    <w:t xml:space="preserve">below sets out the sampling framework for service providers, as well as Aboriginal and Torres Strait Islander peak bodies. </w:t>
                  </w:r>
                </w:p>
                <w:p w14:paraId="568F09BB" w14:textId="21BBA2BB" w:rsidR="00877AFF" w:rsidRPr="00811E31" w:rsidRDefault="00877AFF" w:rsidP="00811E31">
                  <w:pPr>
                    <w:pStyle w:val="TableFigure-Header"/>
                    <w:spacing w:line="276" w:lineRule="auto"/>
                    <w:rPr>
                      <w:rStyle w:val="Text-Bold"/>
                      <w:b/>
                      <w:szCs w:val="21"/>
                      <w:lang w:val="en-NZ"/>
                    </w:rPr>
                  </w:pPr>
                  <w:bookmarkStart w:id="552" w:name="_Ref203049400"/>
                  <w:r w:rsidRPr="00811E31">
                    <w:rPr>
                      <w:rStyle w:val="Text-Bold"/>
                      <w:b/>
                      <w:szCs w:val="21"/>
                      <w:lang w:val="en-NZ"/>
                    </w:rPr>
                    <w:t xml:space="preserve">Table </w:t>
                  </w:r>
                  <w:r w:rsidRPr="00811E31">
                    <w:rPr>
                      <w:rStyle w:val="Text-Bold"/>
                      <w:b/>
                      <w:szCs w:val="21"/>
                    </w:rPr>
                    <w:fldChar w:fldCharType="begin"/>
                  </w:r>
                  <w:r w:rsidRPr="00811E31">
                    <w:rPr>
                      <w:szCs w:val="21"/>
                    </w:rPr>
                    <w:instrText xml:space="preserve"> SEQ Table \* ARABIC </w:instrText>
                  </w:r>
                  <w:r w:rsidRPr="00811E31">
                    <w:rPr>
                      <w:rStyle w:val="Text-Bold"/>
                      <w:b/>
                      <w:szCs w:val="21"/>
                    </w:rPr>
                    <w:fldChar w:fldCharType="separate"/>
                  </w:r>
                  <w:r w:rsidR="008D2566">
                    <w:rPr>
                      <w:noProof/>
                      <w:szCs w:val="21"/>
                    </w:rPr>
                    <w:t>50</w:t>
                  </w:r>
                  <w:r w:rsidRPr="00811E31">
                    <w:rPr>
                      <w:rStyle w:val="Text-Bold"/>
                      <w:b/>
                      <w:szCs w:val="21"/>
                    </w:rPr>
                    <w:fldChar w:fldCharType="end"/>
                  </w:r>
                  <w:bookmarkEnd w:id="552"/>
                  <w:r w:rsidRPr="00811E31">
                    <w:rPr>
                      <w:rStyle w:val="Text-Bold"/>
                      <w:b/>
                      <w:szCs w:val="21"/>
                      <w:lang w:val="en-NZ"/>
                    </w:rPr>
                    <w:t>: Sampling framework for service providers and peak bodies</w:t>
                  </w:r>
                </w:p>
                <w:tbl>
                  <w:tblPr>
                    <w:tblStyle w:val="ACTableDesign"/>
                    <w:tblW w:w="5000" w:type="pct"/>
                    <w:tblLook w:val="04A0" w:firstRow="1" w:lastRow="0" w:firstColumn="1" w:lastColumn="0" w:noHBand="0" w:noVBand="1"/>
                  </w:tblPr>
                  <w:tblGrid>
                    <w:gridCol w:w="1789"/>
                    <w:gridCol w:w="1897"/>
                    <w:gridCol w:w="1981"/>
                    <w:gridCol w:w="1844"/>
                    <w:gridCol w:w="1512"/>
                  </w:tblGrid>
                  <w:tr w:rsidR="00100845" w:rsidRPr="00422041" w14:paraId="140ACD65" w14:textId="77777777" w:rsidTr="008F7DC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pct"/>
                        <w:shd w:val="clear" w:color="auto" w:fill="007E00" w:themeFill="accent3"/>
                      </w:tcPr>
                      <w:p w14:paraId="48753987" w14:textId="77777777" w:rsidR="00877AFF" w:rsidRPr="005D1301" w:rsidRDefault="00877AFF">
                        <w:pPr>
                          <w:pStyle w:val="TableFigure-Header"/>
                        </w:pPr>
                        <w:r w:rsidRPr="005D1301">
                          <w:t>Provider type</w:t>
                        </w:r>
                      </w:p>
                    </w:tc>
                    <w:tc>
                      <w:tcPr>
                        <w:tcW w:w="1051" w:type="pct"/>
                        <w:shd w:val="clear" w:color="auto" w:fill="007E00" w:themeFill="accent3"/>
                      </w:tcPr>
                      <w:p w14:paraId="542CCDC7" w14:textId="77777777" w:rsidR="00877AFF" w:rsidRPr="005D1301" w:rsidRDefault="00877AFF">
                        <w:pPr>
                          <w:pStyle w:val="TableFigure-Header"/>
                          <w:cnfStyle w:val="100000000000" w:firstRow="1" w:lastRow="0" w:firstColumn="0" w:lastColumn="0" w:oddVBand="0" w:evenVBand="0" w:oddHBand="0" w:evenHBand="0" w:firstRowFirstColumn="0" w:firstRowLastColumn="0" w:lastRowFirstColumn="0" w:lastRowLastColumn="0"/>
                        </w:pPr>
                        <w:r w:rsidRPr="005D1301">
                          <w:t>Total provider population</w:t>
                        </w:r>
                      </w:p>
                    </w:tc>
                    <w:tc>
                      <w:tcPr>
                        <w:tcW w:w="1098" w:type="pct"/>
                        <w:shd w:val="clear" w:color="auto" w:fill="007E00" w:themeFill="accent3"/>
                      </w:tcPr>
                      <w:p w14:paraId="55DF2E0C" w14:textId="77777777" w:rsidR="00877AFF" w:rsidRPr="005D1301" w:rsidRDefault="00877AFF">
                        <w:pPr>
                          <w:pStyle w:val="TableFigure-Header"/>
                          <w:cnfStyle w:val="100000000000" w:firstRow="1" w:lastRow="0" w:firstColumn="0" w:lastColumn="0" w:oddVBand="0" w:evenVBand="0" w:oddHBand="0" w:evenHBand="0" w:firstRowFirstColumn="0" w:firstRowLastColumn="0" w:lastRowFirstColumn="0" w:lastRowLastColumn="0"/>
                        </w:pPr>
                        <w:r w:rsidRPr="005D1301">
                          <w:t>Number of focus groups</w:t>
                        </w:r>
                      </w:p>
                    </w:tc>
                    <w:tc>
                      <w:tcPr>
                        <w:tcW w:w="1022" w:type="pct"/>
                        <w:shd w:val="clear" w:color="auto" w:fill="007E00" w:themeFill="accent3"/>
                      </w:tcPr>
                      <w:p w14:paraId="6DF66BA2" w14:textId="77777777" w:rsidR="00877AFF" w:rsidRPr="005D1301" w:rsidRDefault="00877AFF">
                        <w:pPr>
                          <w:pStyle w:val="TableFigure-Header"/>
                          <w:cnfStyle w:val="100000000000" w:firstRow="1" w:lastRow="0" w:firstColumn="0" w:lastColumn="0" w:oddVBand="0" w:evenVBand="0" w:oddHBand="0" w:evenHBand="0" w:firstRowFirstColumn="0" w:firstRowLastColumn="0" w:lastRowFirstColumn="0" w:lastRowLastColumn="0"/>
                        </w:pPr>
                        <w:r w:rsidRPr="005D1301">
                          <w:t>Number of participants</w:t>
                        </w:r>
                      </w:p>
                    </w:tc>
                    <w:tc>
                      <w:tcPr>
                        <w:tcW w:w="838" w:type="pct"/>
                        <w:shd w:val="clear" w:color="auto" w:fill="007E00" w:themeFill="accent3"/>
                      </w:tcPr>
                      <w:p w14:paraId="218C078F" w14:textId="77777777" w:rsidR="00877AFF" w:rsidRPr="005D1301" w:rsidRDefault="00877AFF">
                        <w:pPr>
                          <w:pStyle w:val="TableFigure-Header"/>
                          <w:cnfStyle w:val="100000000000" w:firstRow="1" w:lastRow="0" w:firstColumn="0" w:lastColumn="0" w:oddVBand="0" w:evenVBand="0" w:oddHBand="0" w:evenHBand="0" w:firstRowFirstColumn="0" w:firstRowLastColumn="0" w:lastRowFirstColumn="0" w:lastRowLastColumn="0"/>
                        </w:pPr>
                        <w:r>
                          <w:t>Engagement method</w:t>
                        </w:r>
                      </w:p>
                    </w:tc>
                  </w:tr>
                  <w:tr w:rsidR="00657CAF" w14:paraId="7F180307" w14:textId="77777777" w:rsidTr="007837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1" w:type="pct"/>
                        <w:shd w:val="clear" w:color="auto" w:fill="auto"/>
                      </w:tcPr>
                      <w:p w14:paraId="7D766A5D" w14:textId="77777777" w:rsidR="00877AFF" w:rsidRPr="00811E31" w:rsidRDefault="00877AFF" w:rsidP="00811E31">
                        <w:pPr>
                          <w:pStyle w:val="TableText"/>
                        </w:pPr>
                        <w:r w:rsidRPr="00811E31">
                          <w:t>SFVS service providers</w:t>
                        </w:r>
                      </w:p>
                    </w:tc>
                    <w:tc>
                      <w:tcPr>
                        <w:tcW w:w="1051" w:type="pct"/>
                        <w:shd w:val="clear" w:color="auto" w:fill="auto"/>
                      </w:tcPr>
                      <w:p w14:paraId="42DB6759" w14:textId="77777777" w:rsidR="00877AFF" w:rsidRPr="00811E31" w:rsidRDefault="00877AFF" w:rsidP="00811E31">
                        <w:pPr>
                          <w:pStyle w:val="TableText"/>
                          <w:cnfStyle w:val="000000100000" w:firstRow="0" w:lastRow="0" w:firstColumn="0" w:lastColumn="0" w:oddVBand="0" w:evenVBand="0" w:oddHBand="1" w:evenHBand="0" w:firstRowFirstColumn="0" w:firstRowLastColumn="0" w:lastRowFirstColumn="0" w:lastRowLastColumn="0"/>
                        </w:pPr>
                        <w:r w:rsidRPr="00811E31">
                          <w:t>n=38</w:t>
                        </w:r>
                      </w:p>
                    </w:tc>
                    <w:tc>
                      <w:tcPr>
                        <w:tcW w:w="1098" w:type="pct"/>
                        <w:shd w:val="clear" w:color="auto" w:fill="auto"/>
                      </w:tcPr>
                      <w:p w14:paraId="76189B05" w14:textId="77777777" w:rsidR="00877AFF" w:rsidRPr="00811E31" w:rsidRDefault="00877AFF" w:rsidP="00811E31">
                        <w:pPr>
                          <w:pStyle w:val="TableText"/>
                          <w:cnfStyle w:val="000000100000" w:firstRow="0" w:lastRow="0" w:firstColumn="0" w:lastColumn="0" w:oddVBand="0" w:evenVBand="0" w:oddHBand="1" w:evenHBand="0" w:firstRowFirstColumn="0" w:firstRowLastColumn="0" w:lastRowFirstColumn="0" w:lastRowLastColumn="0"/>
                        </w:pPr>
                        <w:r w:rsidRPr="00811E31">
                          <w:t>n=3</w:t>
                        </w:r>
                      </w:p>
                    </w:tc>
                    <w:tc>
                      <w:tcPr>
                        <w:tcW w:w="1022" w:type="pct"/>
                        <w:shd w:val="clear" w:color="auto" w:fill="auto"/>
                      </w:tcPr>
                      <w:p w14:paraId="28FFF8EB" w14:textId="77777777" w:rsidR="00877AFF" w:rsidRPr="00811E31" w:rsidRDefault="00877AFF" w:rsidP="00811E31">
                        <w:pPr>
                          <w:pStyle w:val="TableText"/>
                          <w:cnfStyle w:val="000000100000" w:firstRow="0" w:lastRow="0" w:firstColumn="0" w:lastColumn="0" w:oddVBand="0" w:evenVBand="0" w:oddHBand="1" w:evenHBand="0" w:firstRowFirstColumn="0" w:firstRowLastColumn="0" w:lastRowFirstColumn="0" w:lastRowLastColumn="0"/>
                        </w:pPr>
                        <w:r w:rsidRPr="00811E31">
                          <w:t xml:space="preserve">n≥16 </w:t>
                        </w:r>
                      </w:p>
                    </w:tc>
                    <w:tc>
                      <w:tcPr>
                        <w:tcW w:w="838" w:type="pct"/>
                        <w:vMerge w:val="restart"/>
                        <w:shd w:val="clear" w:color="auto" w:fill="auto"/>
                      </w:tcPr>
                      <w:p w14:paraId="7EFD0AA3" w14:textId="77777777" w:rsidR="00877AFF" w:rsidRPr="00811E31" w:rsidRDefault="00877AFF" w:rsidP="00811E31">
                        <w:pPr>
                          <w:pStyle w:val="TableText"/>
                          <w:cnfStyle w:val="000000100000" w:firstRow="0" w:lastRow="0" w:firstColumn="0" w:lastColumn="0" w:oddVBand="0" w:evenVBand="0" w:oddHBand="1" w:evenHBand="0" w:firstRowFirstColumn="0" w:firstRowLastColumn="0" w:lastRowFirstColumn="0" w:lastRowLastColumn="0"/>
                        </w:pPr>
                        <w:r w:rsidRPr="00811E31">
                          <w:t>90-minute online focus group</w:t>
                        </w:r>
                      </w:p>
                      <w:p w14:paraId="4C8E030E" w14:textId="77777777" w:rsidR="00877AFF" w:rsidRPr="00811E31" w:rsidRDefault="00877AFF" w:rsidP="00811E31">
                        <w:pPr>
                          <w:pStyle w:val="TableText"/>
                          <w:cnfStyle w:val="000000100000" w:firstRow="0" w:lastRow="0" w:firstColumn="0" w:lastColumn="0" w:oddVBand="0" w:evenVBand="0" w:oddHBand="1" w:evenHBand="0" w:firstRowFirstColumn="0" w:firstRowLastColumn="0" w:lastRowFirstColumn="0" w:lastRowLastColumn="0"/>
                        </w:pPr>
                      </w:p>
                    </w:tc>
                  </w:tr>
                  <w:tr w:rsidR="00657CAF" w14:paraId="732A30EA" w14:textId="77777777" w:rsidTr="0078378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1" w:type="pct"/>
                        <w:shd w:val="clear" w:color="auto" w:fill="auto"/>
                      </w:tcPr>
                      <w:p w14:paraId="573926AB" w14:textId="77777777" w:rsidR="00877AFF" w:rsidRPr="00811E31" w:rsidRDefault="00877AFF" w:rsidP="00811E31">
                        <w:pPr>
                          <w:pStyle w:val="TableText"/>
                        </w:pPr>
                        <w:r w:rsidRPr="00811E31">
                          <w:t>FaRS service providers</w:t>
                        </w:r>
                      </w:p>
                    </w:tc>
                    <w:tc>
                      <w:tcPr>
                        <w:tcW w:w="1051" w:type="pct"/>
                        <w:shd w:val="clear" w:color="auto" w:fill="auto"/>
                      </w:tcPr>
                      <w:p w14:paraId="468D432A" w14:textId="77777777" w:rsidR="00877AFF" w:rsidRPr="00811E31" w:rsidRDefault="00877AFF" w:rsidP="00811E31">
                        <w:pPr>
                          <w:pStyle w:val="TableText"/>
                          <w:cnfStyle w:val="000000010000" w:firstRow="0" w:lastRow="0" w:firstColumn="0" w:lastColumn="0" w:oddVBand="0" w:evenVBand="0" w:oddHBand="0" w:evenHBand="1" w:firstRowFirstColumn="0" w:firstRowLastColumn="0" w:lastRowFirstColumn="0" w:lastRowLastColumn="0"/>
                        </w:pPr>
                        <w:r w:rsidRPr="00811E31">
                          <w:t>n=82</w:t>
                        </w:r>
                      </w:p>
                    </w:tc>
                    <w:tc>
                      <w:tcPr>
                        <w:tcW w:w="1098" w:type="pct"/>
                        <w:shd w:val="clear" w:color="auto" w:fill="auto"/>
                      </w:tcPr>
                      <w:p w14:paraId="34568251" w14:textId="77777777" w:rsidR="00877AFF" w:rsidRPr="00811E31" w:rsidRDefault="00877AFF" w:rsidP="00811E31">
                        <w:pPr>
                          <w:pStyle w:val="TableText"/>
                          <w:cnfStyle w:val="000000010000" w:firstRow="0" w:lastRow="0" w:firstColumn="0" w:lastColumn="0" w:oddVBand="0" w:evenVBand="0" w:oddHBand="0" w:evenHBand="1" w:firstRowFirstColumn="0" w:firstRowLastColumn="0" w:lastRowFirstColumn="0" w:lastRowLastColumn="0"/>
                        </w:pPr>
                        <w:r w:rsidRPr="00811E31">
                          <w:t>n=6</w:t>
                        </w:r>
                      </w:p>
                    </w:tc>
                    <w:tc>
                      <w:tcPr>
                        <w:tcW w:w="1022" w:type="pct"/>
                        <w:shd w:val="clear" w:color="auto" w:fill="auto"/>
                      </w:tcPr>
                      <w:p w14:paraId="75D23204" w14:textId="77777777" w:rsidR="00877AFF" w:rsidRPr="00811E31" w:rsidRDefault="00877AFF" w:rsidP="00811E31">
                        <w:pPr>
                          <w:pStyle w:val="TableText"/>
                          <w:cnfStyle w:val="000000010000" w:firstRow="0" w:lastRow="0" w:firstColumn="0" w:lastColumn="0" w:oddVBand="0" w:evenVBand="0" w:oddHBand="0" w:evenHBand="1" w:firstRowFirstColumn="0" w:firstRowLastColumn="0" w:lastRowFirstColumn="0" w:lastRowLastColumn="0"/>
                        </w:pPr>
                        <w:r w:rsidRPr="00811E31">
                          <w:t xml:space="preserve">n≥48 </w:t>
                        </w:r>
                      </w:p>
                    </w:tc>
                    <w:tc>
                      <w:tcPr>
                        <w:tcW w:w="838" w:type="pct"/>
                        <w:vMerge/>
                        <w:shd w:val="clear" w:color="auto" w:fill="auto"/>
                      </w:tcPr>
                      <w:p w14:paraId="1BD5C66E" w14:textId="77777777" w:rsidR="00877AFF" w:rsidRPr="00811E31" w:rsidRDefault="00877AFF" w:rsidP="00811E31">
                        <w:pPr>
                          <w:pStyle w:val="TableText"/>
                          <w:cnfStyle w:val="000000010000" w:firstRow="0" w:lastRow="0" w:firstColumn="0" w:lastColumn="0" w:oddVBand="0" w:evenVBand="0" w:oddHBand="0" w:evenHBand="1" w:firstRowFirstColumn="0" w:firstRowLastColumn="0" w:lastRowFirstColumn="0" w:lastRowLastColumn="0"/>
                        </w:pPr>
                      </w:p>
                    </w:tc>
                  </w:tr>
                  <w:tr w:rsidR="00657CAF" w14:paraId="18EC92DD" w14:textId="77777777" w:rsidTr="007837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1" w:type="pct"/>
                        <w:shd w:val="clear" w:color="auto" w:fill="auto"/>
                      </w:tcPr>
                      <w:p w14:paraId="34A381BC" w14:textId="77777777" w:rsidR="00877AFF" w:rsidRPr="00811E31" w:rsidRDefault="00877AFF" w:rsidP="00811E31">
                        <w:pPr>
                          <w:pStyle w:val="TableText"/>
                        </w:pPr>
                        <w:r w:rsidRPr="00811E31">
                          <w:t>Men’s Behaviour Change Providers</w:t>
                        </w:r>
                      </w:p>
                    </w:tc>
                    <w:tc>
                      <w:tcPr>
                        <w:tcW w:w="1051" w:type="pct"/>
                        <w:shd w:val="clear" w:color="auto" w:fill="auto"/>
                      </w:tcPr>
                      <w:p w14:paraId="7FB4E588" w14:textId="77777777" w:rsidR="00877AFF" w:rsidRPr="00811E31" w:rsidRDefault="00877AFF" w:rsidP="00811E31">
                        <w:pPr>
                          <w:pStyle w:val="TableText"/>
                          <w:cnfStyle w:val="000000100000" w:firstRow="0" w:lastRow="0" w:firstColumn="0" w:lastColumn="0" w:oddVBand="0" w:evenVBand="0" w:oddHBand="1" w:evenHBand="0" w:firstRowFirstColumn="0" w:firstRowLastColumn="0" w:lastRowFirstColumn="0" w:lastRowLastColumn="0"/>
                        </w:pPr>
                        <w:r w:rsidRPr="00811E31">
                          <w:t>n=10</w:t>
                        </w:r>
                      </w:p>
                    </w:tc>
                    <w:tc>
                      <w:tcPr>
                        <w:tcW w:w="1098" w:type="pct"/>
                        <w:shd w:val="clear" w:color="auto" w:fill="auto"/>
                      </w:tcPr>
                      <w:p w14:paraId="59D6833F" w14:textId="77777777" w:rsidR="00877AFF" w:rsidRPr="00811E31" w:rsidRDefault="00877AFF" w:rsidP="00811E31">
                        <w:pPr>
                          <w:pStyle w:val="TableText"/>
                          <w:cnfStyle w:val="000000100000" w:firstRow="0" w:lastRow="0" w:firstColumn="0" w:lastColumn="0" w:oddVBand="0" w:evenVBand="0" w:oddHBand="1" w:evenHBand="0" w:firstRowFirstColumn="0" w:firstRowLastColumn="0" w:lastRowFirstColumn="0" w:lastRowLastColumn="0"/>
                        </w:pPr>
                        <w:r w:rsidRPr="00811E31">
                          <w:t xml:space="preserve">n=2 </w:t>
                        </w:r>
                      </w:p>
                    </w:tc>
                    <w:tc>
                      <w:tcPr>
                        <w:tcW w:w="1022" w:type="pct"/>
                        <w:shd w:val="clear" w:color="auto" w:fill="auto"/>
                      </w:tcPr>
                      <w:p w14:paraId="1575F702" w14:textId="77777777" w:rsidR="00877AFF" w:rsidRPr="00811E31" w:rsidRDefault="00877AFF" w:rsidP="00811E31">
                        <w:pPr>
                          <w:pStyle w:val="TableText"/>
                          <w:cnfStyle w:val="000000100000" w:firstRow="0" w:lastRow="0" w:firstColumn="0" w:lastColumn="0" w:oddVBand="0" w:evenVBand="0" w:oddHBand="1" w:evenHBand="0" w:firstRowFirstColumn="0" w:firstRowLastColumn="0" w:lastRowFirstColumn="0" w:lastRowLastColumn="0"/>
                        </w:pPr>
                        <w:r w:rsidRPr="00811E31">
                          <w:t xml:space="preserve">n=10 </w:t>
                        </w:r>
                      </w:p>
                    </w:tc>
                    <w:tc>
                      <w:tcPr>
                        <w:tcW w:w="838" w:type="pct"/>
                        <w:vMerge/>
                        <w:shd w:val="clear" w:color="auto" w:fill="auto"/>
                      </w:tcPr>
                      <w:p w14:paraId="6991C983" w14:textId="77777777" w:rsidR="00877AFF" w:rsidRPr="00811E31" w:rsidRDefault="00877AFF" w:rsidP="00811E31">
                        <w:pPr>
                          <w:pStyle w:val="TableText"/>
                          <w:cnfStyle w:val="000000100000" w:firstRow="0" w:lastRow="0" w:firstColumn="0" w:lastColumn="0" w:oddVBand="0" w:evenVBand="0" w:oddHBand="1" w:evenHBand="0" w:firstRowFirstColumn="0" w:firstRowLastColumn="0" w:lastRowFirstColumn="0" w:lastRowLastColumn="0"/>
                        </w:pPr>
                      </w:p>
                    </w:tc>
                  </w:tr>
                  <w:tr w:rsidR="00657CAF" w14:paraId="46E86CC4" w14:textId="77777777" w:rsidTr="0078378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1" w:type="pct"/>
                        <w:shd w:val="clear" w:color="auto" w:fill="auto"/>
                      </w:tcPr>
                      <w:p w14:paraId="46CAEDD2" w14:textId="77777777" w:rsidR="00877AFF" w:rsidRPr="00811E31" w:rsidRDefault="00877AFF" w:rsidP="00811E31">
                        <w:pPr>
                          <w:pStyle w:val="TableText"/>
                        </w:pPr>
                        <w:r w:rsidRPr="00811E31">
                          <w:t>Child Specific Counselling service providers</w:t>
                        </w:r>
                      </w:p>
                    </w:tc>
                    <w:tc>
                      <w:tcPr>
                        <w:tcW w:w="1051" w:type="pct"/>
                        <w:shd w:val="clear" w:color="auto" w:fill="auto"/>
                      </w:tcPr>
                      <w:p w14:paraId="72125A57" w14:textId="77777777" w:rsidR="00877AFF" w:rsidRPr="00811E31" w:rsidRDefault="00877AFF" w:rsidP="00811E31">
                        <w:pPr>
                          <w:pStyle w:val="TableText"/>
                          <w:cnfStyle w:val="000000010000" w:firstRow="0" w:lastRow="0" w:firstColumn="0" w:lastColumn="0" w:oddVBand="0" w:evenVBand="0" w:oddHBand="0" w:evenHBand="1" w:firstRowFirstColumn="0" w:firstRowLastColumn="0" w:lastRowFirstColumn="0" w:lastRowLastColumn="0"/>
                        </w:pPr>
                        <w:r w:rsidRPr="00811E31">
                          <w:t>n=8</w:t>
                        </w:r>
                      </w:p>
                    </w:tc>
                    <w:tc>
                      <w:tcPr>
                        <w:tcW w:w="1098" w:type="pct"/>
                        <w:shd w:val="clear" w:color="auto" w:fill="auto"/>
                      </w:tcPr>
                      <w:p w14:paraId="4520BFA1" w14:textId="77777777" w:rsidR="00877AFF" w:rsidRPr="00811E31" w:rsidRDefault="00877AFF" w:rsidP="00811E31">
                        <w:pPr>
                          <w:pStyle w:val="TableText"/>
                          <w:cnfStyle w:val="000000010000" w:firstRow="0" w:lastRow="0" w:firstColumn="0" w:lastColumn="0" w:oddVBand="0" w:evenVBand="0" w:oddHBand="0" w:evenHBand="1" w:firstRowFirstColumn="0" w:firstRowLastColumn="0" w:lastRowFirstColumn="0" w:lastRowLastColumn="0"/>
                        </w:pPr>
                        <w:r w:rsidRPr="00811E31">
                          <w:t>n=1</w:t>
                        </w:r>
                      </w:p>
                    </w:tc>
                    <w:tc>
                      <w:tcPr>
                        <w:tcW w:w="1022" w:type="pct"/>
                        <w:shd w:val="clear" w:color="auto" w:fill="auto"/>
                      </w:tcPr>
                      <w:p w14:paraId="14645F6E" w14:textId="77777777" w:rsidR="00877AFF" w:rsidRPr="00811E31" w:rsidRDefault="00877AFF" w:rsidP="00811E31">
                        <w:pPr>
                          <w:pStyle w:val="TableText"/>
                          <w:cnfStyle w:val="000000010000" w:firstRow="0" w:lastRow="0" w:firstColumn="0" w:lastColumn="0" w:oddVBand="0" w:evenVBand="0" w:oddHBand="0" w:evenHBand="1" w:firstRowFirstColumn="0" w:firstRowLastColumn="0" w:lastRowFirstColumn="0" w:lastRowLastColumn="0"/>
                        </w:pPr>
                        <w:r w:rsidRPr="00811E31">
                          <w:t xml:space="preserve">n=8 </w:t>
                        </w:r>
                      </w:p>
                    </w:tc>
                    <w:tc>
                      <w:tcPr>
                        <w:tcW w:w="838" w:type="pct"/>
                        <w:vMerge/>
                        <w:shd w:val="clear" w:color="auto" w:fill="auto"/>
                      </w:tcPr>
                      <w:p w14:paraId="69ADAD90" w14:textId="77777777" w:rsidR="00877AFF" w:rsidRPr="00811E31" w:rsidRDefault="00877AFF" w:rsidP="00811E31">
                        <w:pPr>
                          <w:pStyle w:val="TableText"/>
                          <w:cnfStyle w:val="000000010000" w:firstRow="0" w:lastRow="0" w:firstColumn="0" w:lastColumn="0" w:oddVBand="0" w:evenVBand="0" w:oddHBand="0" w:evenHBand="1" w:firstRowFirstColumn="0" w:firstRowLastColumn="0" w:lastRowFirstColumn="0" w:lastRowLastColumn="0"/>
                        </w:pPr>
                      </w:p>
                    </w:tc>
                  </w:tr>
                  <w:tr w:rsidR="00121690" w14:paraId="38457898" w14:textId="77777777" w:rsidTr="007837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1" w:type="pct"/>
                        <w:shd w:val="clear" w:color="auto" w:fill="auto"/>
                      </w:tcPr>
                      <w:p w14:paraId="5DA173EB" w14:textId="77777777" w:rsidR="00877AFF" w:rsidRPr="00811E31" w:rsidRDefault="00877AFF" w:rsidP="00811E31">
                        <w:pPr>
                          <w:pStyle w:val="TableText"/>
                        </w:pPr>
                        <w:r w:rsidRPr="00811E31">
                          <w:t xml:space="preserve">ACCO service providers </w:t>
                        </w:r>
                      </w:p>
                    </w:tc>
                    <w:tc>
                      <w:tcPr>
                        <w:tcW w:w="1051" w:type="pct"/>
                        <w:shd w:val="clear" w:color="auto" w:fill="auto"/>
                      </w:tcPr>
                      <w:p w14:paraId="15E8DA9C" w14:textId="77777777" w:rsidR="00877AFF" w:rsidRPr="00811E31" w:rsidRDefault="00877AFF" w:rsidP="00811E31">
                        <w:pPr>
                          <w:pStyle w:val="TableText"/>
                          <w:cnfStyle w:val="000000100000" w:firstRow="0" w:lastRow="0" w:firstColumn="0" w:lastColumn="0" w:oddVBand="0" w:evenVBand="0" w:oddHBand="1" w:evenHBand="0" w:firstRowFirstColumn="0" w:firstRowLastColumn="0" w:lastRowFirstColumn="0" w:lastRowLastColumn="0"/>
                        </w:pPr>
                        <w:r w:rsidRPr="00811E31">
                          <w:t>n=5</w:t>
                        </w:r>
                      </w:p>
                    </w:tc>
                    <w:tc>
                      <w:tcPr>
                        <w:tcW w:w="1098" w:type="pct"/>
                        <w:shd w:val="clear" w:color="auto" w:fill="auto"/>
                      </w:tcPr>
                      <w:p w14:paraId="21175D27" w14:textId="77777777" w:rsidR="00877AFF" w:rsidRPr="00811E31" w:rsidRDefault="00877AFF" w:rsidP="00811E31">
                        <w:pPr>
                          <w:pStyle w:val="TableText"/>
                          <w:cnfStyle w:val="000000100000" w:firstRow="0" w:lastRow="0" w:firstColumn="0" w:lastColumn="0" w:oddVBand="0" w:evenVBand="0" w:oddHBand="1" w:evenHBand="0" w:firstRowFirstColumn="0" w:firstRowLastColumn="0" w:lastRowFirstColumn="0" w:lastRowLastColumn="0"/>
                        </w:pPr>
                        <w:r w:rsidRPr="00811E31">
                          <w:t>n=5</w:t>
                        </w:r>
                      </w:p>
                    </w:tc>
                    <w:tc>
                      <w:tcPr>
                        <w:tcW w:w="1022" w:type="pct"/>
                        <w:shd w:val="clear" w:color="auto" w:fill="auto"/>
                      </w:tcPr>
                      <w:p w14:paraId="185D69C7" w14:textId="77777777" w:rsidR="00877AFF" w:rsidRPr="00811E31" w:rsidRDefault="00877AFF" w:rsidP="00811E31">
                        <w:pPr>
                          <w:pStyle w:val="TableText"/>
                          <w:cnfStyle w:val="000000100000" w:firstRow="0" w:lastRow="0" w:firstColumn="0" w:lastColumn="0" w:oddVBand="0" w:evenVBand="0" w:oddHBand="1" w:evenHBand="0" w:firstRowFirstColumn="0" w:firstRowLastColumn="0" w:lastRowFirstColumn="0" w:lastRowLastColumn="0"/>
                        </w:pPr>
                        <w:r w:rsidRPr="00811E31">
                          <w:t>≥16</w:t>
                        </w:r>
                      </w:p>
                    </w:tc>
                    <w:tc>
                      <w:tcPr>
                        <w:tcW w:w="838" w:type="pct"/>
                        <w:shd w:val="clear" w:color="auto" w:fill="auto"/>
                      </w:tcPr>
                      <w:p w14:paraId="52AFAB24" w14:textId="58B0982D" w:rsidR="00877AFF" w:rsidRPr="00811E31" w:rsidRDefault="00EF1F60" w:rsidP="00811E31">
                        <w:pPr>
                          <w:pStyle w:val="TableText"/>
                          <w:cnfStyle w:val="000000100000" w:firstRow="0" w:lastRow="0" w:firstColumn="0" w:lastColumn="0" w:oddVBand="0" w:evenVBand="0" w:oddHBand="1" w:evenHBand="0" w:firstRowFirstColumn="0" w:firstRowLastColumn="0" w:lastRowFirstColumn="0" w:lastRowLastColumn="0"/>
                        </w:pPr>
                        <w:r w:rsidRPr="00811E31">
                          <w:t>60-minute focus group</w:t>
                        </w:r>
                      </w:p>
                    </w:tc>
                  </w:tr>
                  <w:tr w:rsidR="00121690" w14:paraId="3EDA5B55" w14:textId="77777777" w:rsidTr="0078378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1" w:type="pct"/>
                        <w:shd w:val="clear" w:color="auto" w:fill="auto"/>
                      </w:tcPr>
                      <w:p w14:paraId="5C302400" w14:textId="77777777" w:rsidR="00877AFF" w:rsidRPr="00811E31" w:rsidRDefault="00877AFF" w:rsidP="00811E31">
                        <w:pPr>
                          <w:pStyle w:val="TableText"/>
                        </w:pPr>
                        <w:r w:rsidRPr="00811E31">
                          <w:t xml:space="preserve">Northern Territory non-ACCO service providers </w:t>
                        </w:r>
                      </w:p>
                    </w:tc>
                    <w:tc>
                      <w:tcPr>
                        <w:tcW w:w="1051" w:type="pct"/>
                        <w:shd w:val="clear" w:color="auto" w:fill="auto"/>
                      </w:tcPr>
                      <w:p w14:paraId="3DE20A76" w14:textId="77777777" w:rsidR="00877AFF" w:rsidRPr="00811E31" w:rsidRDefault="00877AFF" w:rsidP="00811E31">
                        <w:pPr>
                          <w:pStyle w:val="TableText"/>
                          <w:cnfStyle w:val="000000010000" w:firstRow="0" w:lastRow="0" w:firstColumn="0" w:lastColumn="0" w:oddVBand="0" w:evenVBand="0" w:oddHBand="0" w:evenHBand="1" w:firstRowFirstColumn="0" w:firstRowLastColumn="0" w:lastRowFirstColumn="0" w:lastRowLastColumn="0"/>
                        </w:pPr>
                        <w:r w:rsidRPr="00811E31">
                          <w:t xml:space="preserve">n=3 </w:t>
                        </w:r>
                      </w:p>
                    </w:tc>
                    <w:tc>
                      <w:tcPr>
                        <w:tcW w:w="1098" w:type="pct"/>
                        <w:shd w:val="clear" w:color="auto" w:fill="auto"/>
                      </w:tcPr>
                      <w:p w14:paraId="23B83160" w14:textId="77777777" w:rsidR="00877AFF" w:rsidRPr="00811E31" w:rsidRDefault="00877AFF" w:rsidP="00811E31">
                        <w:pPr>
                          <w:pStyle w:val="TableText"/>
                          <w:cnfStyle w:val="000000010000" w:firstRow="0" w:lastRow="0" w:firstColumn="0" w:lastColumn="0" w:oddVBand="0" w:evenVBand="0" w:oddHBand="0" w:evenHBand="1" w:firstRowFirstColumn="0" w:firstRowLastColumn="0" w:lastRowFirstColumn="0" w:lastRowLastColumn="0"/>
                        </w:pPr>
                        <w:r w:rsidRPr="00811E31">
                          <w:t xml:space="preserve">n=1 </w:t>
                        </w:r>
                      </w:p>
                    </w:tc>
                    <w:tc>
                      <w:tcPr>
                        <w:tcW w:w="1022" w:type="pct"/>
                        <w:shd w:val="clear" w:color="auto" w:fill="auto"/>
                      </w:tcPr>
                      <w:p w14:paraId="6C4B07EA" w14:textId="77777777" w:rsidR="00877AFF" w:rsidRPr="00811E31" w:rsidRDefault="00877AFF" w:rsidP="00811E31">
                        <w:pPr>
                          <w:pStyle w:val="TableText"/>
                          <w:cnfStyle w:val="000000010000" w:firstRow="0" w:lastRow="0" w:firstColumn="0" w:lastColumn="0" w:oddVBand="0" w:evenVBand="0" w:oddHBand="0" w:evenHBand="1" w:firstRowFirstColumn="0" w:firstRowLastColumn="0" w:lastRowFirstColumn="0" w:lastRowLastColumn="0"/>
                        </w:pPr>
                        <w:r w:rsidRPr="00811E31">
                          <w:t>n≥2</w:t>
                        </w:r>
                      </w:p>
                    </w:tc>
                    <w:tc>
                      <w:tcPr>
                        <w:tcW w:w="838" w:type="pct"/>
                        <w:shd w:val="clear" w:color="auto" w:fill="auto"/>
                      </w:tcPr>
                      <w:p w14:paraId="157B8642" w14:textId="470396D5" w:rsidR="00877AFF" w:rsidRPr="00811E31" w:rsidRDefault="00EF1F60" w:rsidP="00811E31">
                        <w:pPr>
                          <w:pStyle w:val="TableText"/>
                          <w:cnfStyle w:val="000000010000" w:firstRow="0" w:lastRow="0" w:firstColumn="0" w:lastColumn="0" w:oddVBand="0" w:evenVBand="0" w:oddHBand="0" w:evenHBand="1" w:firstRowFirstColumn="0" w:firstRowLastColumn="0" w:lastRowFirstColumn="0" w:lastRowLastColumn="0"/>
                        </w:pPr>
                        <w:r w:rsidRPr="00811E31">
                          <w:t>60-minute focus group</w:t>
                        </w:r>
                      </w:p>
                    </w:tc>
                  </w:tr>
                  <w:tr w:rsidR="00121690" w14:paraId="10813DAE" w14:textId="77777777" w:rsidTr="007837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1" w:type="pct"/>
                        <w:shd w:val="clear" w:color="auto" w:fill="auto"/>
                      </w:tcPr>
                      <w:p w14:paraId="59EE9F0C" w14:textId="77777777" w:rsidR="00877AFF" w:rsidRPr="00811E31" w:rsidRDefault="00877AFF" w:rsidP="00811E31">
                        <w:pPr>
                          <w:pStyle w:val="TableText"/>
                        </w:pPr>
                        <w:r w:rsidRPr="00811E31">
                          <w:t xml:space="preserve">First Nations Advocates Against Family Violence </w:t>
                        </w:r>
                      </w:p>
                    </w:tc>
                    <w:tc>
                      <w:tcPr>
                        <w:tcW w:w="1051" w:type="pct"/>
                        <w:shd w:val="clear" w:color="auto" w:fill="auto"/>
                      </w:tcPr>
                      <w:p w14:paraId="32588107" w14:textId="77777777" w:rsidR="00877AFF" w:rsidRPr="00811E31" w:rsidRDefault="00877AFF" w:rsidP="00811E31">
                        <w:pPr>
                          <w:pStyle w:val="TableText"/>
                          <w:cnfStyle w:val="000000100000" w:firstRow="0" w:lastRow="0" w:firstColumn="0" w:lastColumn="0" w:oddVBand="0" w:evenVBand="0" w:oddHBand="1" w:evenHBand="0" w:firstRowFirstColumn="0" w:firstRowLastColumn="0" w:lastRowFirstColumn="0" w:lastRowLastColumn="0"/>
                        </w:pPr>
                        <w:r w:rsidRPr="00811E31">
                          <w:t>n=1</w:t>
                        </w:r>
                      </w:p>
                    </w:tc>
                    <w:tc>
                      <w:tcPr>
                        <w:tcW w:w="1098" w:type="pct"/>
                        <w:shd w:val="clear" w:color="auto" w:fill="auto"/>
                      </w:tcPr>
                      <w:p w14:paraId="085AB214" w14:textId="77777777" w:rsidR="00877AFF" w:rsidRPr="00811E31" w:rsidRDefault="00877AFF" w:rsidP="00811E31">
                        <w:pPr>
                          <w:pStyle w:val="TableText"/>
                          <w:cnfStyle w:val="000000100000" w:firstRow="0" w:lastRow="0" w:firstColumn="0" w:lastColumn="0" w:oddVBand="0" w:evenVBand="0" w:oddHBand="1" w:evenHBand="0" w:firstRowFirstColumn="0" w:firstRowLastColumn="0" w:lastRowFirstColumn="0" w:lastRowLastColumn="0"/>
                        </w:pPr>
                        <w:r w:rsidRPr="00811E31">
                          <w:t>n=1</w:t>
                        </w:r>
                      </w:p>
                    </w:tc>
                    <w:tc>
                      <w:tcPr>
                        <w:tcW w:w="1022" w:type="pct"/>
                        <w:shd w:val="clear" w:color="auto" w:fill="auto"/>
                      </w:tcPr>
                      <w:p w14:paraId="1A6E5626" w14:textId="77777777" w:rsidR="00877AFF" w:rsidRPr="00811E31" w:rsidRDefault="00877AFF" w:rsidP="00811E31">
                        <w:pPr>
                          <w:pStyle w:val="TableText"/>
                          <w:cnfStyle w:val="000000100000" w:firstRow="0" w:lastRow="0" w:firstColumn="0" w:lastColumn="0" w:oddVBand="0" w:evenVBand="0" w:oddHBand="1" w:evenHBand="0" w:firstRowFirstColumn="0" w:firstRowLastColumn="0" w:lastRowFirstColumn="0" w:lastRowLastColumn="0"/>
                        </w:pPr>
                        <w:r w:rsidRPr="00811E31">
                          <w:t>n≥3</w:t>
                        </w:r>
                      </w:p>
                    </w:tc>
                    <w:tc>
                      <w:tcPr>
                        <w:tcW w:w="838" w:type="pct"/>
                        <w:shd w:val="clear" w:color="auto" w:fill="auto"/>
                      </w:tcPr>
                      <w:p w14:paraId="15EBC214" w14:textId="77777777" w:rsidR="00877AFF" w:rsidRPr="00811E31" w:rsidRDefault="00877AFF" w:rsidP="00811E31">
                        <w:pPr>
                          <w:pStyle w:val="TableText"/>
                          <w:cnfStyle w:val="000000100000" w:firstRow="0" w:lastRow="0" w:firstColumn="0" w:lastColumn="0" w:oddVBand="0" w:evenVBand="0" w:oddHBand="1" w:evenHBand="0" w:firstRowFirstColumn="0" w:firstRowLastColumn="0" w:lastRowFirstColumn="0" w:lastRowLastColumn="0"/>
                        </w:pPr>
                        <w:r w:rsidRPr="00811E31">
                          <w:t xml:space="preserve">60-minute focus group </w:t>
                        </w:r>
                      </w:p>
                    </w:tc>
                  </w:tr>
                  <w:tr w:rsidR="00121690" w14:paraId="0BD269B6" w14:textId="77777777" w:rsidTr="0078378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1" w:type="pct"/>
                        <w:shd w:val="clear" w:color="auto" w:fill="auto"/>
                      </w:tcPr>
                      <w:p w14:paraId="4927E978" w14:textId="77777777" w:rsidR="00877AFF" w:rsidRPr="00811E31" w:rsidRDefault="00877AFF" w:rsidP="00811E31">
                        <w:pPr>
                          <w:pStyle w:val="TableText"/>
                        </w:pPr>
                        <w:r w:rsidRPr="00811E31">
                          <w:t>National Voice for Children (SNAICC)</w:t>
                        </w:r>
                      </w:p>
                    </w:tc>
                    <w:tc>
                      <w:tcPr>
                        <w:tcW w:w="1051" w:type="pct"/>
                        <w:shd w:val="clear" w:color="auto" w:fill="auto"/>
                      </w:tcPr>
                      <w:p w14:paraId="1B346F59" w14:textId="77777777" w:rsidR="00877AFF" w:rsidRPr="00811E31" w:rsidRDefault="00877AFF" w:rsidP="00811E31">
                        <w:pPr>
                          <w:pStyle w:val="TableText"/>
                          <w:cnfStyle w:val="000000010000" w:firstRow="0" w:lastRow="0" w:firstColumn="0" w:lastColumn="0" w:oddVBand="0" w:evenVBand="0" w:oddHBand="0" w:evenHBand="1" w:firstRowFirstColumn="0" w:firstRowLastColumn="0" w:lastRowFirstColumn="0" w:lastRowLastColumn="0"/>
                        </w:pPr>
                        <w:r w:rsidRPr="00811E31">
                          <w:t xml:space="preserve">n=1 </w:t>
                        </w:r>
                      </w:p>
                    </w:tc>
                    <w:tc>
                      <w:tcPr>
                        <w:tcW w:w="1098" w:type="pct"/>
                        <w:shd w:val="clear" w:color="auto" w:fill="auto"/>
                      </w:tcPr>
                      <w:p w14:paraId="45A05923" w14:textId="77777777" w:rsidR="00877AFF" w:rsidRPr="00811E31" w:rsidRDefault="00877AFF" w:rsidP="00811E31">
                        <w:pPr>
                          <w:pStyle w:val="TableText"/>
                          <w:cnfStyle w:val="000000010000" w:firstRow="0" w:lastRow="0" w:firstColumn="0" w:lastColumn="0" w:oddVBand="0" w:evenVBand="0" w:oddHBand="0" w:evenHBand="1" w:firstRowFirstColumn="0" w:firstRowLastColumn="0" w:lastRowFirstColumn="0" w:lastRowLastColumn="0"/>
                        </w:pPr>
                        <w:r w:rsidRPr="00811E31">
                          <w:t>n=1</w:t>
                        </w:r>
                      </w:p>
                    </w:tc>
                    <w:tc>
                      <w:tcPr>
                        <w:tcW w:w="1022" w:type="pct"/>
                        <w:shd w:val="clear" w:color="auto" w:fill="auto"/>
                      </w:tcPr>
                      <w:p w14:paraId="33886936" w14:textId="77777777" w:rsidR="00877AFF" w:rsidRPr="00811E31" w:rsidRDefault="00877AFF" w:rsidP="00811E31">
                        <w:pPr>
                          <w:pStyle w:val="TableText"/>
                          <w:cnfStyle w:val="000000010000" w:firstRow="0" w:lastRow="0" w:firstColumn="0" w:lastColumn="0" w:oddVBand="0" w:evenVBand="0" w:oddHBand="0" w:evenHBand="1" w:firstRowFirstColumn="0" w:firstRowLastColumn="0" w:lastRowFirstColumn="0" w:lastRowLastColumn="0"/>
                        </w:pPr>
                        <w:r w:rsidRPr="00811E31">
                          <w:t>n≥3</w:t>
                        </w:r>
                      </w:p>
                    </w:tc>
                    <w:tc>
                      <w:tcPr>
                        <w:tcW w:w="838" w:type="pct"/>
                        <w:shd w:val="clear" w:color="auto" w:fill="auto"/>
                      </w:tcPr>
                      <w:p w14:paraId="1338F9C3" w14:textId="77777777" w:rsidR="00877AFF" w:rsidRPr="00811E31" w:rsidRDefault="00877AFF" w:rsidP="00811E31">
                        <w:pPr>
                          <w:pStyle w:val="TableText"/>
                          <w:cnfStyle w:val="000000010000" w:firstRow="0" w:lastRow="0" w:firstColumn="0" w:lastColumn="0" w:oddVBand="0" w:evenVBand="0" w:oddHBand="0" w:evenHBand="1" w:firstRowFirstColumn="0" w:firstRowLastColumn="0" w:lastRowFirstColumn="0" w:lastRowLastColumn="0"/>
                        </w:pPr>
                        <w:r w:rsidRPr="00811E31">
                          <w:t>60-minute focus group</w:t>
                        </w:r>
                      </w:p>
                    </w:tc>
                  </w:tr>
                </w:tbl>
                <w:p w14:paraId="222E239E" w14:textId="0FE16C17" w:rsidR="00877AFF" w:rsidRDefault="00877AFF" w:rsidP="00877AFF">
                  <w:pPr>
                    <w:pStyle w:val="Text"/>
                    <w:rPr>
                      <w:lang w:val="en-GB"/>
                    </w:rPr>
                  </w:pPr>
                  <w:r>
                    <w:rPr>
                      <w:lang w:val="en-GB"/>
                    </w:rPr>
                    <w:br/>
                  </w:r>
                  <w:r w:rsidRPr="003A45D1">
                    <w:rPr>
                      <w:lang w:val="en-GB"/>
                    </w:rPr>
                    <w:t xml:space="preserve">The </w:t>
                  </w:r>
                  <w:r>
                    <w:rPr>
                      <w:lang w:val="en-GB"/>
                    </w:rPr>
                    <w:t>evaluation sought</w:t>
                  </w:r>
                  <w:r w:rsidRPr="003A45D1">
                    <w:rPr>
                      <w:lang w:val="en-GB"/>
                    </w:rPr>
                    <w:t xml:space="preserve"> to elicit data from a diverse cross-section of services providers and service users. All FaRS and SFVS service providers </w:t>
                  </w:r>
                  <w:r>
                    <w:rPr>
                      <w:lang w:val="en-GB"/>
                    </w:rPr>
                    <w:t>were</w:t>
                  </w:r>
                  <w:r w:rsidRPr="003A45D1">
                    <w:rPr>
                      <w:lang w:val="en-GB"/>
                    </w:rPr>
                    <w:t xml:space="preserve"> invited to express interest in </w:t>
                  </w:r>
                  <w:r w:rsidRPr="003A45D1">
                    <w:rPr>
                      <w:lang w:val="en-GB"/>
                    </w:rPr>
                    <w:lastRenderedPageBreak/>
                    <w:t xml:space="preserve">participating in a focus group. Expressions of interest </w:t>
                  </w:r>
                  <w:r>
                    <w:rPr>
                      <w:lang w:val="en-GB"/>
                    </w:rPr>
                    <w:t>were then</w:t>
                  </w:r>
                  <w:r w:rsidRPr="003A45D1">
                    <w:rPr>
                      <w:lang w:val="en-GB"/>
                    </w:rPr>
                    <w:t xml:space="preserve"> assessed against the criteria outlined in </w:t>
                  </w:r>
                  <w:r w:rsidRPr="00440C9C">
                    <w:rPr>
                      <w:b/>
                      <w:bCs/>
                      <w:lang w:val="en-GB"/>
                    </w:rPr>
                    <w:fldChar w:fldCharType="begin" w:fldLock="1"/>
                  </w:r>
                  <w:r w:rsidRPr="00440C9C">
                    <w:rPr>
                      <w:b/>
                      <w:bCs/>
                      <w:lang w:val="en-GB"/>
                    </w:rPr>
                    <w:instrText xml:space="preserve"> REF _Ref202465818 \h  \* MERGEFORMAT </w:instrText>
                  </w:r>
                  <w:r w:rsidRPr="00440C9C">
                    <w:rPr>
                      <w:b/>
                      <w:bCs/>
                      <w:lang w:val="en-GB"/>
                    </w:rPr>
                  </w:r>
                  <w:r w:rsidRPr="00440C9C">
                    <w:rPr>
                      <w:b/>
                      <w:bCs/>
                      <w:lang w:val="en-GB"/>
                    </w:rPr>
                    <w:fldChar w:fldCharType="separate"/>
                  </w:r>
                  <w:r w:rsidR="008F22E5" w:rsidRPr="008F22E5">
                    <w:rPr>
                      <w:rStyle w:val="Text-Bold"/>
                      <w:szCs w:val="22"/>
                    </w:rPr>
                    <w:t xml:space="preserve">Table </w:t>
                  </w:r>
                  <w:r w:rsidR="008F22E5" w:rsidRPr="008F22E5">
                    <w:rPr>
                      <w:b/>
                      <w:bCs/>
                      <w:noProof/>
                    </w:rPr>
                    <w:t>51</w:t>
                  </w:r>
                  <w:r w:rsidRPr="00440C9C">
                    <w:rPr>
                      <w:b/>
                      <w:bCs/>
                      <w:lang w:val="en-GB"/>
                    </w:rPr>
                    <w:fldChar w:fldCharType="end"/>
                  </w:r>
                  <w:r>
                    <w:rPr>
                      <w:b/>
                      <w:bCs/>
                      <w:lang w:val="en-GB"/>
                    </w:rPr>
                    <w:t xml:space="preserve"> </w:t>
                  </w:r>
                  <w:r>
                    <w:rPr>
                      <w:lang w:val="en-GB"/>
                    </w:rPr>
                    <w:t xml:space="preserve">below </w:t>
                  </w:r>
                  <w:r w:rsidRPr="003A45D1">
                    <w:rPr>
                      <w:lang w:val="en-GB"/>
                    </w:rPr>
                    <w:t xml:space="preserve">to ensure a diversity of service provider organisations. Where any gaps arise, the evaluation team </w:t>
                  </w:r>
                  <w:r>
                    <w:rPr>
                      <w:lang w:val="en-GB"/>
                    </w:rPr>
                    <w:t>reached</w:t>
                  </w:r>
                  <w:r w:rsidRPr="003A45D1">
                    <w:rPr>
                      <w:lang w:val="en-GB"/>
                    </w:rPr>
                    <w:t xml:space="preserve"> out specifically to recruit service provider organisations with relevant profiles to fill the gap.</w:t>
                  </w:r>
                </w:p>
                <w:p w14:paraId="5F191639" w14:textId="0CD0F0E5" w:rsidR="00877AFF" w:rsidRPr="00811E31" w:rsidRDefault="00877AFF" w:rsidP="00811E31">
                  <w:pPr>
                    <w:pStyle w:val="TableFigure-Header"/>
                    <w:spacing w:line="276" w:lineRule="auto"/>
                    <w:rPr>
                      <w:rStyle w:val="Text-Bold"/>
                      <w:b/>
                      <w:szCs w:val="21"/>
                      <w:lang w:val="en-NZ"/>
                    </w:rPr>
                  </w:pPr>
                  <w:bookmarkStart w:id="553" w:name="_Ref202465818"/>
                  <w:r w:rsidRPr="00811E31">
                    <w:rPr>
                      <w:rStyle w:val="Text-Bold"/>
                      <w:b/>
                      <w:szCs w:val="21"/>
                      <w:lang w:val="en-NZ"/>
                    </w:rPr>
                    <w:t xml:space="preserve">Table </w:t>
                  </w:r>
                  <w:r w:rsidRPr="00811E31">
                    <w:rPr>
                      <w:rStyle w:val="Text-Bold"/>
                      <w:b/>
                      <w:szCs w:val="21"/>
                    </w:rPr>
                    <w:fldChar w:fldCharType="begin"/>
                  </w:r>
                  <w:r w:rsidRPr="00811E31">
                    <w:rPr>
                      <w:szCs w:val="21"/>
                    </w:rPr>
                    <w:instrText xml:space="preserve"> SEQ Table \* ARABIC </w:instrText>
                  </w:r>
                  <w:r w:rsidRPr="00811E31">
                    <w:rPr>
                      <w:rStyle w:val="Text-Bold"/>
                      <w:b/>
                      <w:szCs w:val="21"/>
                    </w:rPr>
                    <w:fldChar w:fldCharType="separate"/>
                  </w:r>
                  <w:r w:rsidR="008D2566">
                    <w:rPr>
                      <w:noProof/>
                      <w:szCs w:val="21"/>
                    </w:rPr>
                    <w:t>51</w:t>
                  </w:r>
                  <w:r w:rsidRPr="00811E31">
                    <w:rPr>
                      <w:rStyle w:val="Text-Bold"/>
                      <w:b/>
                      <w:szCs w:val="21"/>
                    </w:rPr>
                    <w:fldChar w:fldCharType="end"/>
                  </w:r>
                  <w:bookmarkEnd w:id="553"/>
                  <w:r w:rsidRPr="00811E31">
                    <w:rPr>
                      <w:rStyle w:val="Text-Bold"/>
                      <w:b/>
                      <w:szCs w:val="21"/>
                      <w:lang w:val="en-NZ"/>
                    </w:rPr>
                    <w:t>: Service provider sampling criteria</w:t>
                  </w:r>
                </w:p>
                <w:tbl>
                  <w:tblPr>
                    <w:tblStyle w:val="ACTableDesign"/>
                    <w:tblW w:w="5000" w:type="pct"/>
                    <w:tblLook w:val="04A0" w:firstRow="1" w:lastRow="0" w:firstColumn="1" w:lastColumn="0" w:noHBand="0" w:noVBand="1"/>
                  </w:tblPr>
                  <w:tblGrid>
                    <w:gridCol w:w="2550"/>
                    <w:gridCol w:w="6473"/>
                  </w:tblGrid>
                  <w:tr w:rsidR="00877AFF" w:rsidRPr="00422041" w14:paraId="3162CE84" w14:textId="77777777" w:rsidTr="008F7DC5">
                    <w:trPr>
                      <w:cnfStyle w:val="100000000000" w:firstRow="1" w:lastRow="0" w:firstColumn="0" w:lastColumn="0" w:oddVBand="0" w:evenVBand="0" w:oddHBand="0" w:evenHBand="0" w:firstRowFirstColumn="0" w:firstRowLastColumn="0" w:lastRowFirstColumn="0" w:lastRowLastColumn="0"/>
                      <w:trHeight w:val="186"/>
                    </w:trPr>
                    <w:tc>
                      <w:tcPr>
                        <w:cnfStyle w:val="001000000000" w:firstRow="0" w:lastRow="0" w:firstColumn="1" w:lastColumn="0" w:oddVBand="0" w:evenVBand="0" w:oddHBand="0" w:evenHBand="0" w:firstRowFirstColumn="0" w:firstRowLastColumn="0" w:lastRowFirstColumn="0" w:lastRowLastColumn="0"/>
                        <w:tcW w:w="1413" w:type="pct"/>
                        <w:shd w:val="clear" w:color="auto" w:fill="007E00" w:themeFill="accent3"/>
                      </w:tcPr>
                      <w:p w14:paraId="607680E4" w14:textId="77777777" w:rsidR="00877AFF" w:rsidRPr="00796455" w:rsidRDefault="00877AFF">
                        <w:pPr>
                          <w:pStyle w:val="TableFigure-Header"/>
                        </w:pPr>
                        <w:r w:rsidRPr="00796455">
                          <w:t xml:space="preserve">Dimension </w:t>
                        </w:r>
                      </w:p>
                    </w:tc>
                    <w:tc>
                      <w:tcPr>
                        <w:tcW w:w="3587" w:type="pct"/>
                        <w:shd w:val="clear" w:color="auto" w:fill="007E00" w:themeFill="accent3"/>
                      </w:tcPr>
                      <w:p w14:paraId="3D3B9228" w14:textId="77777777" w:rsidR="00877AFF" w:rsidRPr="00796455" w:rsidRDefault="00877AFF">
                        <w:pPr>
                          <w:pStyle w:val="TableFigure-Header"/>
                          <w:cnfStyle w:val="100000000000" w:firstRow="1" w:lastRow="0" w:firstColumn="0" w:lastColumn="0" w:oddVBand="0" w:evenVBand="0" w:oddHBand="0" w:evenHBand="0" w:firstRowFirstColumn="0" w:firstRowLastColumn="0" w:lastRowFirstColumn="0" w:lastRowLastColumn="0"/>
                        </w:pPr>
                        <w:r w:rsidRPr="00796455">
                          <w:t>Total provider population</w:t>
                        </w:r>
                      </w:p>
                    </w:tc>
                  </w:tr>
                  <w:tr w:rsidR="00121690" w14:paraId="2C43D9B9" w14:textId="77777777" w:rsidTr="0078378F">
                    <w:trPr>
                      <w:cnfStyle w:val="000000100000" w:firstRow="0" w:lastRow="0" w:firstColumn="0" w:lastColumn="0" w:oddVBand="0" w:evenVBand="0" w:oddHBand="1" w:evenHBand="0" w:firstRowFirstColumn="0" w:firstRowLastColumn="0" w:lastRowFirstColumn="0" w:lastRowLastColumn="0"/>
                      <w:trHeight w:val="506"/>
                    </w:trPr>
                    <w:tc>
                      <w:tcPr>
                        <w:cnfStyle w:val="001000000000" w:firstRow="0" w:lastRow="0" w:firstColumn="1" w:lastColumn="0" w:oddVBand="0" w:evenVBand="0" w:oddHBand="0" w:evenHBand="0" w:firstRowFirstColumn="0" w:firstRowLastColumn="0" w:lastRowFirstColumn="0" w:lastRowLastColumn="0"/>
                        <w:tcW w:w="1413" w:type="pct"/>
                        <w:shd w:val="clear" w:color="auto" w:fill="auto"/>
                      </w:tcPr>
                      <w:p w14:paraId="36996A75" w14:textId="77777777" w:rsidR="00877AFF" w:rsidRPr="00532DA7" w:rsidRDefault="00877AFF">
                        <w:pPr>
                          <w:pStyle w:val="TableText"/>
                        </w:pPr>
                        <w:r w:rsidRPr="00532DA7">
                          <w:t>Services provided</w:t>
                        </w:r>
                      </w:p>
                    </w:tc>
                    <w:tc>
                      <w:tcPr>
                        <w:tcW w:w="3587" w:type="pct"/>
                        <w:shd w:val="clear" w:color="auto" w:fill="auto"/>
                      </w:tcPr>
                      <w:p w14:paraId="3695CF70" w14:textId="77777777" w:rsidR="00877AFF" w:rsidRPr="00532DA7" w:rsidRDefault="00877AFF">
                        <w:pPr>
                          <w:pStyle w:val="TableText"/>
                          <w:cnfStyle w:val="000000100000" w:firstRow="0" w:lastRow="0" w:firstColumn="0" w:lastColumn="0" w:oddVBand="0" w:evenVBand="0" w:oddHBand="1" w:evenHBand="0" w:firstRowFirstColumn="0" w:firstRowLastColumn="0" w:lastRowFirstColumn="0" w:lastRowLastColumn="0"/>
                        </w:pPr>
                        <w:r w:rsidRPr="5B5AA9F8">
                          <w:rPr>
                            <w:lang w:val="en-NZ"/>
                          </w:rPr>
                          <w:t>FaRS, SFVS or both</w:t>
                        </w:r>
                      </w:p>
                    </w:tc>
                  </w:tr>
                  <w:tr w:rsidR="00121690" w14:paraId="6A1F3B01" w14:textId="77777777" w:rsidTr="0078378F">
                    <w:trPr>
                      <w:cnfStyle w:val="000000010000" w:firstRow="0" w:lastRow="0" w:firstColumn="0" w:lastColumn="0" w:oddVBand="0" w:evenVBand="0" w:oddHBand="0" w:evenHBand="1" w:firstRowFirstColumn="0" w:firstRowLastColumn="0" w:lastRowFirstColumn="0" w:lastRowLastColumn="0"/>
                      <w:trHeight w:val="494"/>
                    </w:trPr>
                    <w:tc>
                      <w:tcPr>
                        <w:cnfStyle w:val="001000000000" w:firstRow="0" w:lastRow="0" w:firstColumn="1" w:lastColumn="0" w:oddVBand="0" w:evenVBand="0" w:oddHBand="0" w:evenHBand="0" w:firstRowFirstColumn="0" w:firstRowLastColumn="0" w:lastRowFirstColumn="0" w:lastRowLastColumn="0"/>
                        <w:tcW w:w="1413" w:type="pct"/>
                        <w:shd w:val="clear" w:color="auto" w:fill="auto"/>
                      </w:tcPr>
                      <w:p w14:paraId="42046679" w14:textId="77777777" w:rsidR="00877AFF" w:rsidRPr="00171E3F" w:rsidRDefault="00877AFF">
                        <w:pPr>
                          <w:pStyle w:val="TableText"/>
                        </w:pPr>
                        <w:r>
                          <w:t xml:space="preserve">Activity type </w:t>
                        </w:r>
                      </w:p>
                    </w:tc>
                    <w:tc>
                      <w:tcPr>
                        <w:tcW w:w="3587" w:type="pct"/>
                        <w:shd w:val="clear" w:color="auto" w:fill="auto"/>
                      </w:tcPr>
                      <w:p w14:paraId="3DDC08BF" w14:textId="77777777" w:rsidR="00877AFF" w:rsidRDefault="00877AFF">
                        <w:pPr>
                          <w:pStyle w:val="TableText"/>
                          <w:cnfStyle w:val="000000010000" w:firstRow="0" w:lastRow="0" w:firstColumn="0" w:lastColumn="0" w:oddVBand="0" w:evenVBand="0" w:oddHBand="0" w:evenHBand="1" w:firstRowFirstColumn="0" w:firstRowLastColumn="0" w:lastRowFirstColumn="0" w:lastRowLastColumn="0"/>
                        </w:pPr>
                        <w:r>
                          <w:t>Number of services provided across each key activity, including:</w:t>
                        </w:r>
                      </w:p>
                      <w:p w14:paraId="3D486A98" w14:textId="77777777" w:rsidR="00877AFF" w:rsidRPr="0031574E" w:rsidRDefault="00877AFF">
                        <w:pPr>
                          <w:pStyle w:val="TableBullet1"/>
                          <w:cnfStyle w:val="000000010000" w:firstRow="0" w:lastRow="0" w:firstColumn="0" w:lastColumn="0" w:oddVBand="0" w:evenVBand="0" w:oddHBand="0" w:evenHBand="1" w:firstRowFirstColumn="0" w:firstRowLastColumn="0" w:lastRowFirstColumn="0" w:lastRowLastColumn="0"/>
                        </w:pPr>
                        <w:r>
                          <w:t>i</w:t>
                        </w:r>
                        <w:r w:rsidRPr="0031574E">
                          <w:t xml:space="preserve">ntake and assessment </w:t>
                        </w:r>
                      </w:p>
                      <w:p w14:paraId="1E2E0F94" w14:textId="77777777" w:rsidR="00877AFF" w:rsidRPr="0031574E" w:rsidRDefault="00877AFF">
                        <w:pPr>
                          <w:pStyle w:val="TableBullet1"/>
                          <w:cnfStyle w:val="000000010000" w:firstRow="0" w:lastRow="0" w:firstColumn="0" w:lastColumn="0" w:oddVBand="0" w:evenVBand="0" w:oddHBand="0" w:evenHBand="1" w:firstRowFirstColumn="0" w:firstRowLastColumn="0" w:lastRowFirstColumn="0" w:lastRowLastColumn="0"/>
                        </w:pPr>
                        <w:r w:rsidRPr="0031574E">
                          <w:t xml:space="preserve">information and referral </w:t>
                        </w:r>
                      </w:p>
                      <w:p w14:paraId="681869BE" w14:textId="77777777" w:rsidR="00877AFF" w:rsidRPr="0031574E" w:rsidRDefault="00877AFF">
                        <w:pPr>
                          <w:pStyle w:val="TableBullet1"/>
                          <w:cnfStyle w:val="000000010000" w:firstRow="0" w:lastRow="0" w:firstColumn="0" w:lastColumn="0" w:oddVBand="0" w:evenVBand="0" w:oddHBand="0" w:evenHBand="1" w:firstRowFirstColumn="0" w:firstRowLastColumn="0" w:lastRowFirstColumn="0" w:lastRowLastColumn="0"/>
                        </w:pPr>
                        <w:r w:rsidRPr="0031574E">
                          <w:t>advocacy and support</w:t>
                        </w:r>
                      </w:p>
                      <w:p w14:paraId="0B9D9B15" w14:textId="77777777" w:rsidR="00877AFF" w:rsidRPr="0031574E" w:rsidRDefault="00877AFF">
                        <w:pPr>
                          <w:pStyle w:val="TableBullet1"/>
                          <w:cnfStyle w:val="000000010000" w:firstRow="0" w:lastRow="0" w:firstColumn="0" w:lastColumn="0" w:oddVBand="0" w:evenVBand="0" w:oddHBand="0" w:evenHBand="1" w:firstRowFirstColumn="0" w:firstRowLastColumn="0" w:lastRowFirstColumn="0" w:lastRowLastColumn="0"/>
                        </w:pPr>
                        <w:r w:rsidRPr="0031574E">
                          <w:t>education and skills training</w:t>
                        </w:r>
                      </w:p>
                      <w:p w14:paraId="38532E2D" w14:textId="77777777" w:rsidR="00877AFF" w:rsidRDefault="00877AFF">
                        <w:pPr>
                          <w:pStyle w:val="TableBullet1"/>
                          <w:cnfStyle w:val="000000010000" w:firstRow="0" w:lastRow="0" w:firstColumn="0" w:lastColumn="0" w:oddVBand="0" w:evenVBand="0" w:oddHBand="0" w:evenHBand="1" w:firstRowFirstColumn="0" w:firstRowLastColumn="0" w:lastRowFirstColumn="0" w:lastRowLastColumn="0"/>
                        </w:pPr>
                        <w:r w:rsidRPr="0031574E">
                          <w:t>counselling</w:t>
                        </w:r>
                      </w:p>
                    </w:tc>
                  </w:tr>
                  <w:tr w:rsidR="00121690" w14:paraId="431F0EA1" w14:textId="77777777" w:rsidTr="0078378F">
                    <w:trPr>
                      <w:cnfStyle w:val="000000100000" w:firstRow="0" w:lastRow="0" w:firstColumn="0" w:lastColumn="0" w:oddVBand="0" w:evenVBand="0" w:oddHBand="1" w:evenHBand="0" w:firstRowFirstColumn="0" w:firstRowLastColumn="0" w:lastRowFirstColumn="0" w:lastRowLastColumn="0"/>
                      <w:trHeight w:val="506"/>
                    </w:trPr>
                    <w:tc>
                      <w:tcPr>
                        <w:cnfStyle w:val="001000000000" w:firstRow="0" w:lastRow="0" w:firstColumn="1" w:lastColumn="0" w:oddVBand="0" w:evenVBand="0" w:oddHBand="0" w:evenHBand="0" w:firstRowFirstColumn="0" w:firstRowLastColumn="0" w:lastRowFirstColumn="0" w:lastRowLastColumn="0"/>
                        <w:tcW w:w="1413" w:type="pct"/>
                        <w:shd w:val="clear" w:color="auto" w:fill="auto"/>
                      </w:tcPr>
                      <w:p w14:paraId="4B277A37" w14:textId="77777777" w:rsidR="00877AFF" w:rsidRPr="00532DA7" w:rsidRDefault="00877AFF">
                        <w:pPr>
                          <w:pStyle w:val="TableText"/>
                        </w:pPr>
                        <w:r w:rsidRPr="00532DA7">
                          <w:t>Size</w:t>
                        </w:r>
                      </w:p>
                    </w:tc>
                    <w:tc>
                      <w:tcPr>
                        <w:tcW w:w="3587" w:type="pct"/>
                        <w:shd w:val="clear" w:color="auto" w:fill="auto"/>
                      </w:tcPr>
                      <w:p w14:paraId="44887C8D" w14:textId="7547CDAE" w:rsidR="00877AFF" w:rsidRPr="00532DA7" w:rsidRDefault="00877AFF">
                        <w:pPr>
                          <w:pStyle w:val="TableText"/>
                          <w:cnfStyle w:val="000000100000" w:firstRow="0" w:lastRow="0" w:firstColumn="0" w:lastColumn="0" w:oddVBand="0" w:evenVBand="0" w:oddHBand="1" w:evenHBand="0" w:firstRowFirstColumn="0" w:firstRowLastColumn="0" w:lastRowFirstColumn="0" w:lastRowLastColumn="0"/>
                        </w:pPr>
                        <w:r w:rsidRPr="5B5AA9F8">
                          <w:rPr>
                            <w:lang w:val="en-NZ"/>
                          </w:rPr>
                          <w:t xml:space="preserve">Number of individual FaRS and/or SFVS </w:t>
                        </w:r>
                        <w:r w:rsidR="00E614D3">
                          <w:rPr>
                            <w:lang w:val="en-NZ"/>
                          </w:rPr>
                          <w:t xml:space="preserve">service </w:t>
                        </w:r>
                        <w:r w:rsidR="007F7D2C">
                          <w:rPr>
                            <w:lang w:val="en-NZ"/>
                          </w:rPr>
                          <w:t>users</w:t>
                        </w:r>
                        <w:r w:rsidRPr="5B5AA9F8">
                          <w:rPr>
                            <w:lang w:val="en-NZ"/>
                          </w:rPr>
                          <w:t xml:space="preserve"> (ensuring a cross-section of small, medium and large providers) </w:t>
                        </w:r>
                      </w:p>
                    </w:tc>
                  </w:tr>
                  <w:tr w:rsidR="00121690" w14:paraId="42988364" w14:textId="77777777" w:rsidTr="0078378F">
                    <w:trPr>
                      <w:cnfStyle w:val="000000010000" w:firstRow="0" w:lastRow="0" w:firstColumn="0" w:lastColumn="0" w:oddVBand="0" w:evenVBand="0" w:oddHBand="0" w:evenHBand="1" w:firstRowFirstColumn="0" w:firstRowLastColumn="0" w:lastRowFirstColumn="0" w:lastRowLastColumn="0"/>
                      <w:trHeight w:val="506"/>
                    </w:trPr>
                    <w:tc>
                      <w:tcPr>
                        <w:cnfStyle w:val="001000000000" w:firstRow="0" w:lastRow="0" w:firstColumn="1" w:lastColumn="0" w:oddVBand="0" w:evenVBand="0" w:oddHBand="0" w:evenHBand="0" w:firstRowFirstColumn="0" w:firstRowLastColumn="0" w:lastRowFirstColumn="0" w:lastRowLastColumn="0"/>
                        <w:tcW w:w="1413" w:type="pct"/>
                        <w:shd w:val="clear" w:color="auto" w:fill="auto"/>
                      </w:tcPr>
                      <w:p w14:paraId="1981156D" w14:textId="77777777" w:rsidR="00877AFF" w:rsidRPr="00532DA7" w:rsidRDefault="00877AFF">
                        <w:pPr>
                          <w:pStyle w:val="TableText"/>
                        </w:pPr>
                        <w:r w:rsidRPr="00532DA7">
                          <w:t>Location</w:t>
                        </w:r>
                      </w:p>
                    </w:tc>
                    <w:tc>
                      <w:tcPr>
                        <w:tcW w:w="3587" w:type="pct"/>
                        <w:shd w:val="clear" w:color="auto" w:fill="auto"/>
                      </w:tcPr>
                      <w:p w14:paraId="081FAF66" w14:textId="77777777" w:rsidR="00877AFF" w:rsidRPr="00532DA7" w:rsidRDefault="00877AFF">
                        <w:pPr>
                          <w:pStyle w:val="TableText"/>
                          <w:cnfStyle w:val="000000010000" w:firstRow="0" w:lastRow="0" w:firstColumn="0" w:lastColumn="0" w:oddVBand="0" w:evenVBand="0" w:oddHBand="0" w:evenHBand="1" w:firstRowFirstColumn="0" w:firstRowLastColumn="0" w:lastRowFirstColumn="0" w:lastRowLastColumn="0"/>
                        </w:pPr>
                        <w:r w:rsidRPr="00532DA7">
                          <w:t>State or territory of operation</w:t>
                        </w:r>
                      </w:p>
                    </w:tc>
                  </w:tr>
                  <w:tr w:rsidR="00121690" w14:paraId="6A17887B" w14:textId="77777777" w:rsidTr="0078378F">
                    <w:trPr>
                      <w:cnfStyle w:val="000000100000" w:firstRow="0" w:lastRow="0" w:firstColumn="0" w:lastColumn="0" w:oddVBand="0" w:evenVBand="0" w:oddHBand="1" w:evenHBand="0" w:firstRowFirstColumn="0" w:firstRowLastColumn="0" w:lastRowFirstColumn="0" w:lastRowLastColumn="0"/>
                      <w:trHeight w:val="506"/>
                    </w:trPr>
                    <w:tc>
                      <w:tcPr>
                        <w:cnfStyle w:val="001000000000" w:firstRow="0" w:lastRow="0" w:firstColumn="1" w:lastColumn="0" w:oddVBand="0" w:evenVBand="0" w:oddHBand="0" w:evenHBand="0" w:firstRowFirstColumn="0" w:firstRowLastColumn="0" w:lastRowFirstColumn="0" w:lastRowLastColumn="0"/>
                        <w:tcW w:w="1413" w:type="pct"/>
                        <w:shd w:val="clear" w:color="auto" w:fill="auto"/>
                      </w:tcPr>
                      <w:p w14:paraId="6FF57B07" w14:textId="77777777" w:rsidR="00877AFF" w:rsidRPr="00532DA7" w:rsidRDefault="00877AFF">
                        <w:pPr>
                          <w:pStyle w:val="TableText"/>
                        </w:pPr>
                        <w:r w:rsidRPr="00532DA7">
                          <w:t>Remoteness</w:t>
                        </w:r>
                      </w:p>
                    </w:tc>
                    <w:tc>
                      <w:tcPr>
                        <w:tcW w:w="3587" w:type="pct"/>
                        <w:shd w:val="clear" w:color="auto" w:fill="auto"/>
                      </w:tcPr>
                      <w:p w14:paraId="377DA45E" w14:textId="77777777" w:rsidR="00877AFF" w:rsidRPr="00532DA7" w:rsidRDefault="00877AFF">
                        <w:pPr>
                          <w:pStyle w:val="TableText"/>
                          <w:cnfStyle w:val="000000100000" w:firstRow="0" w:lastRow="0" w:firstColumn="0" w:lastColumn="0" w:oddVBand="0" w:evenVBand="0" w:oddHBand="1" w:evenHBand="0" w:firstRowFirstColumn="0" w:firstRowLastColumn="0" w:lastRowFirstColumn="0" w:lastRowLastColumn="0"/>
                        </w:pPr>
                        <w:r w:rsidRPr="00532DA7">
                          <w:t>Remoteness Area (RA)</w:t>
                        </w:r>
                      </w:p>
                    </w:tc>
                  </w:tr>
                  <w:tr w:rsidR="00121690" w14:paraId="332A43B5" w14:textId="77777777" w:rsidTr="0078378F">
                    <w:trPr>
                      <w:cnfStyle w:val="000000010000" w:firstRow="0" w:lastRow="0" w:firstColumn="0" w:lastColumn="0" w:oddVBand="0" w:evenVBand="0" w:oddHBand="0" w:evenHBand="1" w:firstRowFirstColumn="0" w:firstRowLastColumn="0" w:lastRowFirstColumn="0" w:lastRowLastColumn="0"/>
                      <w:trHeight w:val="506"/>
                    </w:trPr>
                    <w:tc>
                      <w:tcPr>
                        <w:cnfStyle w:val="001000000000" w:firstRow="0" w:lastRow="0" w:firstColumn="1" w:lastColumn="0" w:oddVBand="0" w:evenVBand="0" w:oddHBand="0" w:evenHBand="0" w:firstRowFirstColumn="0" w:firstRowLastColumn="0" w:lastRowFirstColumn="0" w:lastRowLastColumn="0"/>
                        <w:tcW w:w="1413" w:type="pct"/>
                        <w:shd w:val="clear" w:color="auto" w:fill="auto"/>
                      </w:tcPr>
                      <w:p w14:paraId="23DBCAD3" w14:textId="77777777" w:rsidR="00877AFF" w:rsidRPr="00532DA7" w:rsidRDefault="00877AFF">
                        <w:pPr>
                          <w:pStyle w:val="TableText"/>
                        </w:pPr>
                        <w:r w:rsidRPr="00532DA7">
                          <w:t>Level of socioeconomic advantage</w:t>
                        </w:r>
                      </w:p>
                    </w:tc>
                    <w:tc>
                      <w:tcPr>
                        <w:tcW w:w="3587" w:type="pct"/>
                        <w:shd w:val="clear" w:color="auto" w:fill="auto"/>
                      </w:tcPr>
                      <w:p w14:paraId="4200C8F5" w14:textId="77777777" w:rsidR="00877AFF" w:rsidRPr="00532DA7" w:rsidRDefault="00877AFF">
                        <w:pPr>
                          <w:pStyle w:val="TableText"/>
                          <w:cnfStyle w:val="000000010000" w:firstRow="0" w:lastRow="0" w:firstColumn="0" w:lastColumn="0" w:oddVBand="0" w:evenVBand="0" w:oddHBand="0" w:evenHBand="1" w:firstRowFirstColumn="0" w:firstRowLastColumn="0" w:lastRowFirstColumn="0" w:lastRowLastColumn="0"/>
                        </w:pPr>
                        <w:r w:rsidRPr="00532DA7">
                          <w:t>Socio-Economic Indexes for Areas (SEIFA) Index of Relative Socio-Economic Disadvantage (IRSD)</w:t>
                        </w:r>
                      </w:p>
                    </w:tc>
                  </w:tr>
                  <w:tr w:rsidR="00121690" w14:paraId="2AAA855F" w14:textId="77777777" w:rsidTr="0078378F">
                    <w:trPr>
                      <w:cnfStyle w:val="000000100000" w:firstRow="0" w:lastRow="0" w:firstColumn="0" w:lastColumn="0" w:oddVBand="0" w:evenVBand="0" w:oddHBand="1" w:evenHBand="0" w:firstRowFirstColumn="0" w:firstRowLastColumn="0" w:lastRowFirstColumn="0" w:lastRowLastColumn="0"/>
                      <w:trHeight w:val="506"/>
                    </w:trPr>
                    <w:tc>
                      <w:tcPr>
                        <w:cnfStyle w:val="001000000000" w:firstRow="0" w:lastRow="0" w:firstColumn="1" w:lastColumn="0" w:oddVBand="0" w:evenVBand="0" w:oddHBand="0" w:evenHBand="0" w:firstRowFirstColumn="0" w:firstRowLastColumn="0" w:lastRowFirstColumn="0" w:lastRowLastColumn="0"/>
                        <w:tcW w:w="1413" w:type="pct"/>
                        <w:shd w:val="clear" w:color="auto" w:fill="auto"/>
                      </w:tcPr>
                      <w:p w14:paraId="77745563" w14:textId="77777777" w:rsidR="00877AFF" w:rsidRPr="00532DA7" w:rsidRDefault="00877AFF">
                        <w:pPr>
                          <w:pStyle w:val="TableText"/>
                        </w:pPr>
                        <w:r w:rsidRPr="00532DA7">
                          <w:t>Service provision to people with disability</w:t>
                        </w:r>
                      </w:p>
                    </w:tc>
                    <w:tc>
                      <w:tcPr>
                        <w:tcW w:w="3587" w:type="pct"/>
                        <w:shd w:val="clear" w:color="auto" w:fill="auto"/>
                      </w:tcPr>
                      <w:p w14:paraId="44FCA09D" w14:textId="4F2A3838" w:rsidR="00877AFF" w:rsidRPr="00532DA7" w:rsidRDefault="00877AFF">
                        <w:pPr>
                          <w:pStyle w:val="TableText"/>
                          <w:cnfStyle w:val="000000100000" w:firstRow="0" w:lastRow="0" w:firstColumn="0" w:lastColumn="0" w:oddVBand="0" w:evenVBand="0" w:oddHBand="1" w:evenHBand="0" w:firstRowFirstColumn="0" w:firstRowLastColumn="0" w:lastRowFirstColumn="0" w:lastRowLastColumn="0"/>
                        </w:pPr>
                        <w:r w:rsidRPr="39A61848">
                          <w:rPr>
                            <w:lang w:val="en-NZ"/>
                          </w:rPr>
                          <w:t xml:space="preserve">Number and percentage of services provided to </w:t>
                        </w:r>
                        <w:r w:rsidR="00E614D3" w:rsidRPr="39A61848">
                          <w:rPr>
                            <w:lang w:val="en-NZ"/>
                          </w:rPr>
                          <w:t xml:space="preserve">service </w:t>
                        </w:r>
                        <w:r w:rsidR="007F7D2C" w:rsidRPr="39A61848">
                          <w:rPr>
                            <w:lang w:val="en-NZ"/>
                          </w:rPr>
                          <w:t>users</w:t>
                        </w:r>
                        <w:r w:rsidRPr="39A61848">
                          <w:rPr>
                            <w:lang w:val="en-NZ"/>
                          </w:rPr>
                          <w:t xml:space="preserve"> with disability</w:t>
                        </w:r>
                      </w:p>
                    </w:tc>
                  </w:tr>
                  <w:tr w:rsidR="00121690" w14:paraId="5EB38C37" w14:textId="77777777" w:rsidTr="0078378F">
                    <w:trPr>
                      <w:cnfStyle w:val="000000010000" w:firstRow="0" w:lastRow="0" w:firstColumn="0" w:lastColumn="0" w:oddVBand="0" w:evenVBand="0" w:oddHBand="0" w:evenHBand="1" w:firstRowFirstColumn="0" w:firstRowLastColumn="0" w:lastRowFirstColumn="0" w:lastRowLastColumn="0"/>
                      <w:trHeight w:val="506"/>
                    </w:trPr>
                    <w:tc>
                      <w:tcPr>
                        <w:cnfStyle w:val="001000000000" w:firstRow="0" w:lastRow="0" w:firstColumn="1" w:lastColumn="0" w:oddVBand="0" w:evenVBand="0" w:oddHBand="0" w:evenHBand="0" w:firstRowFirstColumn="0" w:firstRowLastColumn="0" w:lastRowFirstColumn="0" w:lastRowLastColumn="0"/>
                        <w:tcW w:w="1413" w:type="pct"/>
                        <w:shd w:val="clear" w:color="auto" w:fill="auto"/>
                      </w:tcPr>
                      <w:p w14:paraId="6ACB5B49" w14:textId="77777777" w:rsidR="00877AFF" w:rsidRPr="00532DA7" w:rsidRDefault="00877AFF">
                        <w:pPr>
                          <w:pStyle w:val="TableText"/>
                        </w:pPr>
                        <w:r w:rsidRPr="00532DA7">
                          <w:t>Service provision to CALD people</w:t>
                        </w:r>
                      </w:p>
                    </w:tc>
                    <w:tc>
                      <w:tcPr>
                        <w:tcW w:w="3587" w:type="pct"/>
                        <w:shd w:val="clear" w:color="auto" w:fill="auto"/>
                      </w:tcPr>
                      <w:p w14:paraId="1679EE31" w14:textId="21BB9283" w:rsidR="00877AFF" w:rsidRPr="00532DA7" w:rsidRDefault="00877AFF">
                        <w:pPr>
                          <w:pStyle w:val="TableText"/>
                          <w:cnfStyle w:val="000000010000" w:firstRow="0" w:lastRow="0" w:firstColumn="0" w:lastColumn="0" w:oddVBand="0" w:evenVBand="0" w:oddHBand="0" w:evenHBand="1" w:firstRowFirstColumn="0" w:firstRowLastColumn="0" w:lastRowFirstColumn="0" w:lastRowLastColumn="0"/>
                        </w:pPr>
                        <w:r w:rsidRPr="00532DA7">
                          <w:t xml:space="preserve">Number and percentage of services provided to CALD </w:t>
                        </w:r>
                        <w:r w:rsidR="00E614D3">
                          <w:t xml:space="preserve">service users </w:t>
                        </w:r>
                      </w:p>
                    </w:tc>
                  </w:tr>
                  <w:tr w:rsidR="00121690" w14:paraId="10A9C284" w14:textId="77777777" w:rsidTr="0078378F">
                    <w:trPr>
                      <w:cnfStyle w:val="000000100000" w:firstRow="0" w:lastRow="0" w:firstColumn="0" w:lastColumn="0" w:oddVBand="0" w:evenVBand="0" w:oddHBand="1" w:evenHBand="0" w:firstRowFirstColumn="0" w:firstRowLastColumn="0" w:lastRowFirstColumn="0" w:lastRowLastColumn="0"/>
                      <w:trHeight w:val="506"/>
                    </w:trPr>
                    <w:tc>
                      <w:tcPr>
                        <w:cnfStyle w:val="001000000000" w:firstRow="0" w:lastRow="0" w:firstColumn="1" w:lastColumn="0" w:oddVBand="0" w:evenVBand="0" w:oddHBand="0" w:evenHBand="0" w:firstRowFirstColumn="0" w:firstRowLastColumn="0" w:lastRowFirstColumn="0" w:lastRowLastColumn="0"/>
                        <w:tcW w:w="1413" w:type="pct"/>
                        <w:shd w:val="clear" w:color="auto" w:fill="auto"/>
                      </w:tcPr>
                      <w:p w14:paraId="2916FF96" w14:textId="77777777" w:rsidR="00877AFF" w:rsidRPr="00532DA7" w:rsidRDefault="00877AFF">
                        <w:pPr>
                          <w:pStyle w:val="TableText"/>
                        </w:pPr>
                        <w:r w:rsidRPr="00532DA7">
                          <w:t>Specialisation</w:t>
                        </w:r>
                      </w:p>
                    </w:tc>
                    <w:tc>
                      <w:tcPr>
                        <w:tcW w:w="3587" w:type="pct"/>
                        <w:shd w:val="clear" w:color="auto" w:fill="auto"/>
                      </w:tcPr>
                      <w:p w14:paraId="7257DCA7" w14:textId="77777777" w:rsidR="00877AFF" w:rsidRDefault="00877AFF">
                        <w:pPr>
                          <w:pStyle w:val="Text"/>
                          <w:cnfStyle w:val="000000100000" w:firstRow="0" w:lastRow="0" w:firstColumn="0" w:lastColumn="0" w:oddVBand="0" w:evenVBand="0" w:oddHBand="1" w:evenHBand="0" w:firstRowFirstColumn="0" w:firstRowLastColumn="0" w:lastRowFirstColumn="0" w:lastRowLastColumn="0"/>
                        </w:pPr>
                        <w:r>
                          <w:t>Provides one or more of the following:</w:t>
                        </w:r>
                      </w:p>
                      <w:p w14:paraId="2FB8F798" w14:textId="77777777" w:rsidR="00877AFF" w:rsidRDefault="00877AFF">
                        <w:pPr>
                          <w:pStyle w:val="TableBullet1"/>
                          <w:cnfStyle w:val="000000100000" w:firstRow="0" w:lastRow="0" w:firstColumn="0" w:lastColumn="0" w:oddVBand="0" w:evenVBand="0" w:oddHBand="1" w:evenHBand="0" w:firstRowFirstColumn="0" w:firstRowLastColumn="0" w:lastRowFirstColumn="0" w:lastRowLastColumn="0"/>
                        </w:pPr>
                        <w:r>
                          <w:t>Child Specific Counselling Services</w:t>
                        </w:r>
                      </w:p>
                      <w:p w14:paraId="65FF3EAF" w14:textId="77777777" w:rsidR="00877AFF" w:rsidRDefault="00877AFF">
                        <w:pPr>
                          <w:pStyle w:val="TableBullet1"/>
                          <w:cnfStyle w:val="000000100000" w:firstRow="0" w:lastRow="0" w:firstColumn="0" w:lastColumn="0" w:oddVBand="0" w:evenVBand="0" w:oddHBand="1" w:evenHBand="0" w:firstRowFirstColumn="0" w:firstRowLastColumn="0" w:lastRowFirstColumn="0" w:lastRowLastColumn="0"/>
                        </w:pPr>
                        <w:r w:rsidRPr="16E7D14D">
                          <w:rPr>
                            <w:lang w:val="en-AU"/>
                          </w:rPr>
                          <w:t>Men’s Behaviour Change Program</w:t>
                        </w:r>
                      </w:p>
                      <w:p w14:paraId="0C14AFD2" w14:textId="77777777" w:rsidR="00877AFF" w:rsidRDefault="00877AFF">
                        <w:pPr>
                          <w:pStyle w:val="TableBullet1"/>
                          <w:cnfStyle w:val="000000100000" w:firstRow="0" w:lastRow="0" w:firstColumn="0" w:lastColumn="0" w:oddVBand="0" w:evenVBand="0" w:oddHBand="1" w:evenHBand="0" w:firstRowFirstColumn="0" w:firstRowLastColumn="0" w:lastRowFirstColumn="0" w:lastRowLastColumn="0"/>
                        </w:pPr>
                        <w:r>
                          <w:t>Faith-based services</w:t>
                        </w:r>
                      </w:p>
                    </w:tc>
                  </w:tr>
                </w:tbl>
                <w:p w14:paraId="5B97F068" w14:textId="505EB290" w:rsidR="00877AFF" w:rsidRPr="007472B6" w:rsidRDefault="00877AFF" w:rsidP="00877AFF">
                  <w:pPr>
                    <w:pStyle w:val="Text-BodyHeading"/>
                  </w:pPr>
                  <w:bookmarkStart w:id="554" w:name="_Ref202892874"/>
                  <w:r>
                    <w:t>Service users</w:t>
                  </w:r>
                  <w:bookmarkEnd w:id="554"/>
                </w:p>
                <w:p w14:paraId="6EEEB74C" w14:textId="77777777" w:rsidR="00877AFF" w:rsidRDefault="00877AFF" w:rsidP="00877AFF">
                  <w:pPr>
                    <w:pStyle w:val="Text"/>
                  </w:pPr>
                  <w:r>
                    <w:t>The evaluation sought to conduct 110</w:t>
                  </w:r>
                  <w:r w:rsidRPr="00E320D9">
                    <w:t xml:space="preserve"> </w:t>
                  </w:r>
                  <w:r>
                    <w:t xml:space="preserve">individual </w:t>
                  </w:r>
                  <w:r w:rsidRPr="00E320D9">
                    <w:t>interviews with adult service users, with specific targets</w:t>
                  </w:r>
                  <w:r>
                    <w:t xml:space="preserve"> </w:t>
                  </w:r>
                  <w:r w:rsidRPr="00E320D9">
                    <w:t>for service users identifying as belonging to each priority cohort</w:t>
                  </w:r>
                  <w:r>
                    <w:t>. As part of this process the</w:t>
                  </w:r>
                  <w:r w:rsidRPr="00E320D9">
                    <w:t xml:space="preserve"> evaluation team </w:t>
                  </w:r>
                  <w:r>
                    <w:t>sought to engage</w:t>
                  </w:r>
                  <w:r w:rsidRPr="00E320D9">
                    <w:t xml:space="preserve"> a minimum number of service users across both FaRS and SFVS. The </w:t>
                  </w:r>
                  <w:r>
                    <w:t xml:space="preserve">sampling </w:t>
                  </w:r>
                  <w:r w:rsidRPr="00E320D9">
                    <w:t>approach to</w:t>
                  </w:r>
                  <w:r>
                    <w:t xml:space="preserve"> adult</w:t>
                  </w:r>
                  <w:r w:rsidRPr="00E320D9">
                    <w:t xml:space="preserve"> </w:t>
                  </w:r>
                  <w:r>
                    <w:t xml:space="preserve">service users is </w:t>
                  </w:r>
                  <w:r w:rsidRPr="00E320D9">
                    <w:t>purposive.</w:t>
                  </w:r>
                  <w:r>
                    <w:t xml:space="preserve"> </w:t>
                  </w:r>
                </w:p>
                <w:p w14:paraId="56FABF91" w14:textId="3C7198E1" w:rsidR="00877AFF" w:rsidRDefault="00877AFF" w:rsidP="00877AFF">
                  <w:pPr>
                    <w:pStyle w:val="Text"/>
                  </w:pPr>
                  <w:r w:rsidRPr="001301D8">
                    <w:t xml:space="preserve">Several population groups are identified in KEQ 3 as priority cohorts for the evaluation. These are derived from the cohorts which are priorities for the FaRS and SFVS programs (see the Program Logics in </w:t>
                  </w:r>
                  <w:hyperlink w:anchor="Appendix_F" w:history="1">
                    <w:r w:rsidR="00A03201" w:rsidRPr="00704711">
                      <w:rPr>
                        <w:rStyle w:val="Hyperlink"/>
                        <w:rFonts w:asciiTheme="minorHAnsi" w:hAnsiTheme="minorHAnsi"/>
                        <w:b/>
                        <w:bCs/>
                      </w:rPr>
                      <w:t xml:space="preserve">Appendix </w:t>
                    </w:r>
                    <w:r w:rsidR="00702E91">
                      <w:rPr>
                        <w:rStyle w:val="Hyperlink"/>
                        <w:rFonts w:asciiTheme="minorHAnsi" w:hAnsiTheme="minorHAnsi"/>
                        <w:b/>
                        <w:bCs/>
                      </w:rPr>
                      <w:t>B</w:t>
                    </w:r>
                  </w:hyperlink>
                  <w:r w:rsidRPr="00D03FCD">
                    <w:t>).</w:t>
                  </w:r>
                  <w:r w:rsidRPr="001301D8">
                    <w:t xml:space="preserve"> To ensure service user perspectives </w:t>
                  </w:r>
                  <w:r>
                    <w:t xml:space="preserve">were </w:t>
                  </w:r>
                  <w:r w:rsidRPr="001301D8">
                    <w:t xml:space="preserve">included in </w:t>
                  </w:r>
                  <w:r w:rsidRPr="001301D8">
                    <w:lastRenderedPageBreak/>
                    <w:t xml:space="preserve">consideration of KEQ 3, service users from the following priority cohorts </w:t>
                  </w:r>
                  <w:r>
                    <w:t>were</w:t>
                  </w:r>
                  <w:r w:rsidRPr="001301D8">
                    <w:t xml:space="preserve"> sought out specifically:</w:t>
                  </w:r>
                </w:p>
                <w:p w14:paraId="6C93F950" w14:textId="77777777" w:rsidR="00877AFF" w:rsidRDefault="00877AFF" w:rsidP="00A96B32">
                  <w:pPr>
                    <w:pStyle w:val="Bullet1"/>
                  </w:pPr>
                  <w:r>
                    <w:t xml:space="preserve">Aboriginal and Torres Strait Islander people </w:t>
                  </w:r>
                </w:p>
                <w:p w14:paraId="03D05186" w14:textId="77777777" w:rsidR="00877AFF" w:rsidRDefault="00877AFF" w:rsidP="00A96B32">
                  <w:pPr>
                    <w:pStyle w:val="Bullet1"/>
                  </w:pPr>
                  <w:r>
                    <w:t xml:space="preserve">people living with a disability </w:t>
                  </w:r>
                </w:p>
                <w:p w14:paraId="69D4450A" w14:textId="77777777" w:rsidR="00877AFF" w:rsidRDefault="00877AFF" w:rsidP="00A96B32">
                  <w:pPr>
                    <w:pStyle w:val="Bullet1"/>
                  </w:pPr>
                  <w:r>
                    <w:t>people identifying as lesbian, gay, bisexual, transgender, queer/questioning, intersex, and/or asexual (LGBTQIA+)</w:t>
                  </w:r>
                </w:p>
                <w:p w14:paraId="0F6975CA" w14:textId="648BD0AC" w:rsidR="00877AFF" w:rsidRDefault="00877AFF" w:rsidP="00A96B32">
                  <w:pPr>
                    <w:pStyle w:val="Bullet1"/>
                  </w:pPr>
                  <w:r>
                    <w:t>people identifying as culturally and linguistically diverse (CALD) (</w:t>
                  </w:r>
                  <w:r w:rsidRPr="009006FC">
                    <w:t>persons who identify as having a cultural background outside of the predominant Anglo-Australian culture/heritage, for example in cultural/ethnic identity, language, country of birth, heritage/ancestry, national origin, race, and/or colour)</w:t>
                  </w:r>
                  <w:r>
                    <w:t>.</w:t>
                  </w:r>
                  <w:r w:rsidR="00E055C8">
                    <w:rPr>
                      <w:rFonts w:ascii="ZWAdobeF" w:hAnsi="ZWAdobeF" w:cs="ZWAdobeF"/>
                      <w:sz w:val="2"/>
                      <w:szCs w:val="2"/>
                    </w:rPr>
                    <w:t>20F</w:t>
                  </w:r>
                  <w:r w:rsidRPr="00292952">
                    <w:rPr>
                      <w:rStyle w:val="FootnoteReference"/>
                    </w:rPr>
                    <w:footnoteReference w:id="22"/>
                  </w:r>
                </w:p>
                <w:p w14:paraId="5BD88219" w14:textId="77777777" w:rsidR="00877AFF" w:rsidRDefault="00877AFF" w:rsidP="00877AFF">
                  <w:pPr>
                    <w:pStyle w:val="Bullet1"/>
                    <w:numPr>
                      <w:ilvl w:val="0"/>
                      <w:numId w:val="0"/>
                    </w:numPr>
                  </w:pPr>
                  <w:r>
                    <w:t>The evaluation also sought to conduct 15 interviews with service users aged 7 to 17 accessing CSC</w:t>
                  </w:r>
                  <w:r w:rsidRPr="00E320D9">
                    <w:t xml:space="preserve">. Due to the small sample size, a convenience sampling approach </w:t>
                  </w:r>
                  <w:r>
                    <w:t>was used</w:t>
                  </w:r>
                  <w:r w:rsidRPr="00E320D9">
                    <w:t xml:space="preserve"> in which young people who meet the inclusion criteria </w:t>
                  </w:r>
                  <w:r>
                    <w:t>were</w:t>
                  </w:r>
                  <w:r w:rsidRPr="00E320D9">
                    <w:t xml:space="preserve"> recruited irrespective of whether they belong to any priority cohort.</w:t>
                  </w:r>
                  <w:r>
                    <w:t xml:space="preserve"> </w:t>
                  </w:r>
                </w:p>
                <w:p w14:paraId="1C03F05F" w14:textId="3E16F09D" w:rsidR="00877AFF" w:rsidRPr="00E320D9" w:rsidRDefault="00877AFF" w:rsidP="00877AFF">
                  <w:pPr>
                    <w:pStyle w:val="Text"/>
                  </w:pPr>
                  <w:r w:rsidRPr="00E320D9">
                    <w:t>A</w:t>
                  </w:r>
                  <w:r>
                    <w:t>n overall</w:t>
                  </w:r>
                  <w:r w:rsidRPr="00E320D9">
                    <w:t xml:space="preserve"> sample size of </w:t>
                  </w:r>
                  <w:r>
                    <w:t>125</w:t>
                  </w:r>
                  <w:r w:rsidRPr="00E320D9">
                    <w:t xml:space="preserve"> </w:t>
                  </w:r>
                  <w:r>
                    <w:t>service user interviews</w:t>
                  </w:r>
                  <w:r w:rsidRPr="00E320D9">
                    <w:t xml:space="preserve"> strikes a balance between feasibility and the ability to gather meaningful insights.</w:t>
                  </w:r>
                  <w:r>
                    <w:t xml:space="preserve"> </w:t>
                  </w:r>
                  <w:r w:rsidR="00EF1F60" w:rsidRPr="00EF1F60">
                    <w:rPr>
                      <w:b/>
                      <w:bCs/>
                    </w:rPr>
                    <w:fldChar w:fldCharType="begin" w:fldLock="1"/>
                  </w:r>
                  <w:r w:rsidR="00EF1F60" w:rsidRPr="00EF1F60">
                    <w:rPr>
                      <w:b/>
                      <w:bCs/>
                    </w:rPr>
                    <w:instrText xml:space="preserve"> REF _Ref205324321 \h </w:instrText>
                  </w:r>
                  <w:r w:rsidR="00EF1F60">
                    <w:rPr>
                      <w:b/>
                      <w:bCs/>
                    </w:rPr>
                    <w:instrText xml:space="preserve"> \* MERGEFORMAT </w:instrText>
                  </w:r>
                  <w:r w:rsidR="00EF1F60" w:rsidRPr="00EF1F60">
                    <w:rPr>
                      <w:b/>
                      <w:bCs/>
                    </w:rPr>
                  </w:r>
                  <w:r w:rsidR="00EF1F60" w:rsidRPr="00EF1F60">
                    <w:rPr>
                      <w:b/>
                      <w:bCs/>
                    </w:rPr>
                    <w:fldChar w:fldCharType="separate"/>
                  </w:r>
                  <w:r w:rsidR="008F22E5" w:rsidRPr="008F22E5">
                    <w:rPr>
                      <w:rStyle w:val="Text-Bold"/>
                      <w:szCs w:val="22"/>
                    </w:rPr>
                    <w:t>Table</w:t>
                  </w:r>
                  <w:r w:rsidR="008F22E5" w:rsidRPr="008F22E5">
                    <w:rPr>
                      <w:rStyle w:val="Text-Bold"/>
                      <w:bCs/>
                      <w:szCs w:val="22"/>
                    </w:rPr>
                    <w:t xml:space="preserve"> </w:t>
                  </w:r>
                  <w:r w:rsidR="008F22E5" w:rsidRPr="008F22E5">
                    <w:rPr>
                      <w:rStyle w:val="Text-Bold"/>
                      <w:bCs/>
                      <w:noProof/>
                      <w:szCs w:val="22"/>
                    </w:rPr>
                    <w:t>52</w:t>
                  </w:r>
                  <w:r w:rsidR="00EF1F60" w:rsidRPr="00EF1F60">
                    <w:rPr>
                      <w:b/>
                      <w:bCs/>
                    </w:rPr>
                    <w:fldChar w:fldCharType="end"/>
                  </w:r>
                  <w:r w:rsidR="00150A5B">
                    <w:rPr>
                      <w:b/>
                      <w:bCs/>
                    </w:rPr>
                    <w:t xml:space="preserve"> </w:t>
                  </w:r>
                  <w:r w:rsidRPr="00E320D9">
                    <w:t xml:space="preserve">below outlines the </w:t>
                  </w:r>
                  <w:r>
                    <w:t xml:space="preserve">sampling framework for </w:t>
                  </w:r>
                  <w:r w:rsidRPr="00E320D9">
                    <w:t xml:space="preserve">service users for interviews. </w:t>
                  </w:r>
                </w:p>
                <w:p w14:paraId="5E292694" w14:textId="43B5A71B" w:rsidR="00877AFF" w:rsidRPr="00811E31" w:rsidRDefault="00767B14" w:rsidP="00811E31">
                  <w:pPr>
                    <w:pStyle w:val="TableFigure-Header"/>
                    <w:spacing w:line="276" w:lineRule="auto"/>
                    <w:rPr>
                      <w:rStyle w:val="Text-Bold"/>
                      <w:b/>
                      <w:szCs w:val="21"/>
                      <w:lang w:val="en-NZ"/>
                    </w:rPr>
                  </w:pPr>
                  <w:bookmarkStart w:id="555" w:name="_Ref205324321"/>
                  <w:r w:rsidRPr="00811E31">
                    <w:rPr>
                      <w:rStyle w:val="Text-Bold"/>
                      <w:b/>
                      <w:szCs w:val="21"/>
                      <w:lang w:val="en-NZ"/>
                    </w:rPr>
                    <w:t xml:space="preserve">Table </w:t>
                  </w:r>
                  <w:r w:rsidR="00877AFF" w:rsidRPr="00811E31">
                    <w:rPr>
                      <w:rStyle w:val="Text-Bold"/>
                      <w:b/>
                      <w:szCs w:val="21"/>
                    </w:rPr>
                    <w:fldChar w:fldCharType="begin"/>
                  </w:r>
                  <w:r w:rsidR="00877AFF" w:rsidRPr="00811E31">
                    <w:rPr>
                      <w:rStyle w:val="Text-Bold"/>
                      <w:b/>
                      <w:szCs w:val="21"/>
                    </w:rPr>
                    <w:instrText xml:space="preserve"> SEQ Table \* ARABIC </w:instrText>
                  </w:r>
                  <w:r w:rsidR="00877AFF" w:rsidRPr="00811E31">
                    <w:rPr>
                      <w:rStyle w:val="Text-Bold"/>
                      <w:b/>
                      <w:szCs w:val="21"/>
                    </w:rPr>
                    <w:fldChar w:fldCharType="separate"/>
                  </w:r>
                  <w:r w:rsidR="008D2566">
                    <w:rPr>
                      <w:rStyle w:val="Text-Bold"/>
                      <w:b/>
                      <w:noProof/>
                      <w:szCs w:val="21"/>
                    </w:rPr>
                    <w:t>52</w:t>
                  </w:r>
                  <w:r w:rsidR="00877AFF" w:rsidRPr="00811E31">
                    <w:rPr>
                      <w:rStyle w:val="Text-Bold"/>
                      <w:b/>
                      <w:szCs w:val="21"/>
                    </w:rPr>
                    <w:fldChar w:fldCharType="end"/>
                  </w:r>
                  <w:bookmarkEnd w:id="555"/>
                  <w:r w:rsidR="00877AFF" w:rsidRPr="00811E31">
                    <w:rPr>
                      <w:rStyle w:val="Text-Bold"/>
                      <w:b/>
                      <w:szCs w:val="21"/>
                      <w:lang w:val="en-NZ"/>
                    </w:rPr>
                    <w:t>: Sampling framework for service user interviews</w:t>
                  </w:r>
                </w:p>
                <w:tbl>
                  <w:tblPr>
                    <w:tblStyle w:val="ACTableDesign30"/>
                    <w:tblW w:w="0" w:type="auto"/>
                    <w:tblLook w:val="04A0" w:firstRow="1" w:lastRow="0" w:firstColumn="1" w:lastColumn="0" w:noHBand="0" w:noVBand="1"/>
                  </w:tblPr>
                  <w:tblGrid>
                    <w:gridCol w:w="1649"/>
                    <w:gridCol w:w="2002"/>
                    <w:gridCol w:w="1798"/>
                    <w:gridCol w:w="2026"/>
                    <w:gridCol w:w="1548"/>
                  </w:tblGrid>
                  <w:tr w:rsidR="00877AFF" w:rsidRPr="00FF1E8F" w14:paraId="54B415BF" w14:textId="77777777" w:rsidTr="00811E31">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649" w:type="dxa"/>
                        <w:shd w:val="clear" w:color="auto" w:fill="007E00" w:themeFill="accent3"/>
                      </w:tcPr>
                      <w:p w14:paraId="6BB9F333" w14:textId="77777777" w:rsidR="00877AFF" w:rsidRPr="00FF1E8F" w:rsidRDefault="00877AFF">
                        <w:pPr>
                          <w:pStyle w:val="TableFigure-Header"/>
                          <w:rPr>
                            <w:color w:val="FFFFFF" w:themeColor="background1"/>
                          </w:rPr>
                        </w:pPr>
                        <w:r w:rsidRPr="00FF1E8F">
                          <w:rPr>
                            <w:b/>
                            <w:color w:val="FFFFFF" w:themeColor="background1"/>
                          </w:rPr>
                          <w:t>Service user group</w:t>
                        </w:r>
                      </w:p>
                    </w:tc>
                    <w:tc>
                      <w:tcPr>
                        <w:tcW w:w="2002" w:type="dxa"/>
                        <w:shd w:val="clear" w:color="auto" w:fill="007E00" w:themeFill="accent3"/>
                      </w:tcPr>
                      <w:p w14:paraId="57B3D9E5" w14:textId="77777777" w:rsidR="00877AFF" w:rsidRPr="00FF1E8F" w:rsidRDefault="00877AFF">
                        <w:pPr>
                          <w:pStyle w:val="TableFigure-Header"/>
                          <w:cnfStyle w:val="100000000000" w:firstRow="1" w:lastRow="0" w:firstColumn="0" w:lastColumn="0" w:oddVBand="0" w:evenVBand="0" w:oddHBand="0" w:evenHBand="0" w:firstRowFirstColumn="0" w:firstRowLastColumn="0" w:lastRowFirstColumn="0" w:lastRowLastColumn="0"/>
                          <w:rPr>
                            <w:color w:val="FFFFFF" w:themeColor="background1"/>
                          </w:rPr>
                        </w:pPr>
                        <w:r w:rsidRPr="00FF1E8F">
                          <w:rPr>
                            <w:b/>
                            <w:color w:val="FFFFFF" w:themeColor="background1"/>
                          </w:rPr>
                          <w:t>Target cohort</w:t>
                        </w:r>
                      </w:p>
                    </w:tc>
                    <w:tc>
                      <w:tcPr>
                        <w:tcW w:w="1798" w:type="dxa"/>
                        <w:shd w:val="clear" w:color="auto" w:fill="007E00" w:themeFill="accent3"/>
                      </w:tcPr>
                      <w:p w14:paraId="29BB1576" w14:textId="77777777" w:rsidR="00877AFF" w:rsidRPr="00FF1E8F" w:rsidRDefault="00877AFF">
                        <w:pPr>
                          <w:pStyle w:val="TableFigure-Header"/>
                          <w:cnfStyle w:val="100000000000" w:firstRow="1" w:lastRow="0" w:firstColumn="0" w:lastColumn="0" w:oddVBand="0" w:evenVBand="0" w:oddHBand="0" w:evenHBand="0" w:firstRowFirstColumn="0" w:firstRowLastColumn="0" w:lastRowFirstColumn="0" w:lastRowLastColumn="0"/>
                          <w:rPr>
                            <w:color w:val="FFFFFF" w:themeColor="background1"/>
                          </w:rPr>
                        </w:pPr>
                        <w:r w:rsidRPr="00FF1E8F">
                          <w:rPr>
                            <w:b/>
                            <w:color w:val="FFFFFF" w:themeColor="background1"/>
                          </w:rPr>
                          <w:t>Sample</w:t>
                        </w:r>
                      </w:p>
                    </w:tc>
                    <w:tc>
                      <w:tcPr>
                        <w:tcW w:w="2026" w:type="dxa"/>
                        <w:shd w:val="clear" w:color="auto" w:fill="007E00" w:themeFill="accent3"/>
                      </w:tcPr>
                      <w:p w14:paraId="09331F98" w14:textId="77777777" w:rsidR="00877AFF" w:rsidRPr="00FF1E8F" w:rsidRDefault="00877AFF">
                        <w:pPr>
                          <w:pStyle w:val="TableFigure-Header"/>
                          <w:cnfStyle w:val="100000000000" w:firstRow="1" w:lastRow="0" w:firstColumn="0" w:lastColumn="0" w:oddVBand="0" w:evenVBand="0" w:oddHBand="0" w:evenHBand="0" w:firstRowFirstColumn="0" w:firstRowLastColumn="0" w:lastRowFirstColumn="0" w:lastRowLastColumn="0"/>
                          <w:rPr>
                            <w:color w:val="FFFFFF" w:themeColor="background1"/>
                          </w:rPr>
                        </w:pPr>
                        <w:r w:rsidRPr="00FF1E8F">
                          <w:rPr>
                            <w:b/>
                            <w:color w:val="FFFFFF" w:themeColor="background1"/>
                          </w:rPr>
                          <w:t>Program split</w:t>
                        </w:r>
                      </w:p>
                    </w:tc>
                    <w:tc>
                      <w:tcPr>
                        <w:tcW w:w="1548" w:type="dxa"/>
                        <w:shd w:val="clear" w:color="auto" w:fill="007E00" w:themeFill="accent3"/>
                      </w:tcPr>
                      <w:p w14:paraId="094FC7E3" w14:textId="77777777" w:rsidR="00877AFF" w:rsidRPr="00FF1E8F" w:rsidRDefault="00877AFF">
                        <w:pPr>
                          <w:pStyle w:val="TableFigure-Header"/>
                          <w:cnfStyle w:val="100000000000" w:firstRow="1" w:lastRow="0" w:firstColumn="0" w:lastColumn="0" w:oddVBand="0" w:evenVBand="0" w:oddHBand="0" w:evenHBand="0" w:firstRowFirstColumn="0" w:firstRowLastColumn="0" w:lastRowFirstColumn="0" w:lastRowLastColumn="0"/>
                          <w:rPr>
                            <w:b/>
                            <w:color w:val="FFFFFF" w:themeColor="background1"/>
                          </w:rPr>
                        </w:pPr>
                        <w:r>
                          <w:rPr>
                            <w:b/>
                            <w:color w:val="FFFFFF" w:themeColor="background1"/>
                          </w:rPr>
                          <w:t xml:space="preserve">Engagement method </w:t>
                        </w:r>
                      </w:p>
                    </w:tc>
                  </w:tr>
                  <w:tr w:rsidR="00657CAF" w:rsidRPr="00FF1E8F" w14:paraId="7458888C" w14:textId="77777777" w:rsidTr="007837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9" w:type="dxa"/>
                        <w:vMerge w:val="restart"/>
                        <w:shd w:val="clear" w:color="auto" w:fill="auto"/>
                      </w:tcPr>
                      <w:p w14:paraId="1BB328C4" w14:textId="77777777" w:rsidR="00877AFF" w:rsidRPr="00FF1E8F" w:rsidRDefault="00877AFF">
                        <w:pPr>
                          <w:pStyle w:val="TableText"/>
                        </w:pPr>
                        <w:r w:rsidRPr="00FF1E8F">
                          <w:t>Adults (age 18+)</w:t>
                        </w:r>
                      </w:p>
                    </w:tc>
                    <w:tc>
                      <w:tcPr>
                        <w:tcW w:w="2002" w:type="dxa"/>
                        <w:vMerge w:val="restart"/>
                        <w:shd w:val="clear" w:color="auto" w:fill="auto"/>
                      </w:tcPr>
                      <w:p w14:paraId="432F9BA7" w14:textId="77777777" w:rsidR="00877AFF" w:rsidRPr="00FF1E8F" w:rsidRDefault="00877AFF">
                        <w:pPr>
                          <w:pStyle w:val="TableText"/>
                          <w:cnfStyle w:val="000000100000" w:firstRow="0" w:lastRow="0" w:firstColumn="0" w:lastColumn="0" w:oddVBand="0" w:evenVBand="0" w:oddHBand="1" w:evenHBand="0" w:firstRowFirstColumn="0" w:firstRowLastColumn="0" w:lastRowFirstColumn="0" w:lastRowLastColumn="0"/>
                        </w:pPr>
                        <w:r w:rsidRPr="00FF1E8F">
                          <w:t>Individuals living with disability</w:t>
                        </w:r>
                      </w:p>
                    </w:tc>
                    <w:tc>
                      <w:tcPr>
                        <w:tcW w:w="1798" w:type="dxa"/>
                        <w:vMerge w:val="restart"/>
                        <w:shd w:val="clear" w:color="auto" w:fill="auto"/>
                      </w:tcPr>
                      <w:p w14:paraId="14733534" w14:textId="77777777" w:rsidR="00877AFF" w:rsidRPr="00FF1E8F" w:rsidRDefault="00877AFF">
                        <w:pPr>
                          <w:pStyle w:val="TableText"/>
                          <w:cnfStyle w:val="000000100000" w:firstRow="0" w:lastRow="0" w:firstColumn="0" w:lastColumn="0" w:oddVBand="0" w:evenVBand="0" w:oddHBand="1" w:evenHBand="0" w:firstRowFirstColumn="0" w:firstRowLastColumn="0" w:lastRowFirstColumn="0" w:lastRowLastColumn="0"/>
                        </w:pPr>
                        <w:r w:rsidRPr="00FF1E8F">
                          <w:t>N=10</w:t>
                        </w:r>
                      </w:p>
                    </w:tc>
                    <w:tc>
                      <w:tcPr>
                        <w:tcW w:w="2026" w:type="dxa"/>
                        <w:shd w:val="clear" w:color="auto" w:fill="auto"/>
                      </w:tcPr>
                      <w:p w14:paraId="22CCD612" w14:textId="77777777" w:rsidR="00877AFF" w:rsidRPr="00FF1E8F" w:rsidRDefault="00877AFF">
                        <w:pPr>
                          <w:pStyle w:val="TableText"/>
                          <w:cnfStyle w:val="000000100000" w:firstRow="0" w:lastRow="0" w:firstColumn="0" w:lastColumn="0" w:oddVBand="0" w:evenVBand="0" w:oddHBand="1" w:evenHBand="0" w:firstRowFirstColumn="0" w:firstRowLastColumn="0" w:lastRowFirstColumn="0" w:lastRowLastColumn="0"/>
                        </w:pPr>
                        <w:r w:rsidRPr="00FF1E8F">
                          <w:rPr>
                            <w:lang w:val="en-AU"/>
                          </w:rPr>
                          <w:t>FaRS: n</w:t>
                        </w:r>
                        <w:r w:rsidRPr="00FF1E8F">
                          <w:rPr>
                            <w:rFonts w:cs="Arial"/>
                            <w:lang w:val="en-AU"/>
                          </w:rPr>
                          <w:t>≥</w:t>
                        </w:r>
                        <w:r w:rsidRPr="00FF1E8F">
                          <w:rPr>
                            <w:lang w:val="en-AU"/>
                          </w:rPr>
                          <w:t>5</w:t>
                        </w:r>
                      </w:p>
                    </w:tc>
                    <w:tc>
                      <w:tcPr>
                        <w:tcW w:w="1548" w:type="dxa"/>
                        <w:vMerge w:val="restart"/>
                        <w:shd w:val="clear" w:color="auto" w:fill="auto"/>
                      </w:tcPr>
                      <w:p w14:paraId="273D43A3" w14:textId="77777777" w:rsidR="00877AFF" w:rsidRPr="00FF1E8F" w:rsidRDefault="00877AFF">
                        <w:pPr>
                          <w:pStyle w:val="TableText"/>
                          <w:cnfStyle w:val="000000100000" w:firstRow="0" w:lastRow="0" w:firstColumn="0" w:lastColumn="0" w:oddVBand="0" w:evenVBand="0" w:oddHBand="1" w:evenHBand="0" w:firstRowFirstColumn="0" w:firstRowLastColumn="0" w:lastRowFirstColumn="0" w:lastRowLastColumn="0"/>
                          <w:rPr>
                            <w:lang w:val="en-AU"/>
                          </w:rPr>
                        </w:pPr>
                        <w:r>
                          <w:rPr>
                            <w:lang w:val="en-AU"/>
                          </w:rPr>
                          <w:t xml:space="preserve">60-minute individual interview </w:t>
                        </w:r>
                      </w:p>
                    </w:tc>
                  </w:tr>
                  <w:tr w:rsidR="00657CAF" w:rsidRPr="00FF1E8F" w14:paraId="588942A7" w14:textId="77777777" w:rsidTr="0078378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9" w:type="dxa"/>
                        <w:vMerge/>
                        <w:shd w:val="clear" w:color="auto" w:fill="auto"/>
                      </w:tcPr>
                      <w:p w14:paraId="037B55E1" w14:textId="77777777" w:rsidR="00877AFF" w:rsidRPr="00FF1E8F" w:rsidRDefault="00877AFF">
                        <w:pPr>
                          <w:pStyle w:val="TableText"/>
                        </w:pPr>
                      </w:p>
                    </w:tc>
                    <w:tc>
                      <w:tcPr>
                        <w:tcW w:w="2002" w:type="dxa"/>
                        <w:vMerge/>
                        <w:shd w:val="clear" w:color="auto" w:fill="auto"/>
                      </w:tcPr>
                      <w:p w14:paraId="2D9A4552" w14:textId="77777777" w:rsidR="00877AFF" w:rsidRPr="00FF1E8F" w:rsidRDefault="00877AFF">
                        <w:pPr>
                          <w:pStyle w:val="TableText"/>
                          <w:cnfStyle w:val="000000010000" w:firstRow="0" w:lastRow="0" w:firstColumn="0" w:lastColumn="0" w:oddVBand="0" w:evenVBand="0" w:oddHBand="0" w:evenHBand="1" w:firstRowFirstColumn="0" w:firstRowLastColumn="0" w:lastRowFirstColumn="0" w:lastRowLastColumn="0"/>
                        </w:pPr>
                      </w:p>
                    </w:tc>
                    <w:tc>
                      <w:tcPr>
                        <w:tcW w:w="1798" w:type="dxa"/>
                        <w:vMerge/>
                        <w:shd w:val="clear" w:color="auto" w:fill="auto"/>
                      </w:tcPr>
                      <w:p w14:paraId="1262378E" w14:textId="77777777" w:rsidR="00877AFF" w:rsidRPr="00FF1E8F" w:rsidRDefault="00877AFF">
                        <w:pPr>
                          <w:pStyle w:val="TableText"/>
                          <w:cnfStyle w:val="000000010000" w:firstRow="0" w:lastRow="0" w:firstColumn="0" w:lastColumn="0" w:oddVBand="0" w:evenVBand="0" w:oddHBand="0" w:evenHBand="1" w:firstRowFirstColumn="0" w:firstRowLastColumn="0" w:lastRowFirstColumn="0" w:lastRowLastColumn="0"/>
                        </w:pPr>
                      </w:p>
                    </w:tc>
                    <w:tc>
                      <w:tcPr>
                        <w:tcW w:w="2026" w:type="dxa"/>
                        <w:shd w:val="clear" w:color="auto" w:fill="auto"/>
                      </w:tcPr>
                      <w:p w14:paraId="5CF9F11D" w14:textId="77777777" w:rsidR="00877AFF" w:rsidRPr="00FF1E8F" w:rsidRDefault="00877AFF">
                        <w:pPr>
                          <w:pStyle w:val="TableText"/>
                          <w:cnfStyle w:val="000000010000" w:firstRow="0" w:lastRow="0" w:firstColumn="0" w:lastColumn="0" w:oddVBand="0" w:evenVBand="0" w:oddHBand="0" w:evenHBand="1" w:firstRowFirstColumn="0" w:firstRowLastColumn="0" w:lastRowFirstColumn="0" w:lastRowLastColumn="0"/>
                        </w:pPr>
                        <w:r w:rsidRPr="00FF1E8F">
                          <w:t>SFVS: n</w:t>
                        </w:r>
                        <w:r w:rsidRPr="00FF1E8F">
                          <w:rPr>
                            <w:rFonts w:cs="Arial"/>
                          </w:rPr>
                          <w:t>≥</w:t>
                        </w:r>
                        <w:r w:rsidRPr="00FF1E8F">
                          <w:t>5</w:t>
                        </w:r>
                      </w:p>
                    </w:tc>
                    <w:tc>
                      <w:tcPr>
                        <w:tcW w:w="1548" w:type="dxa"/>
                        <w:vMerge/>
                        <w:shd w:val="clear" w:color="auto" w:fill="auto"/>
                      </w:tcPr>
                      <w:p w14:paraId="7BA3DE04" w14:textId="77777777" w:rsidR="00877AFF" w:rsidRPr="00FF1E8F" w:rsidRDefault="00877AFF">
                        <w:pPr>
                          <w:pStyle w:val="TableText"/>
                          <w:cnfStyle w:val="000000010000" w:firstRow="0" w:lastRow="0" w:firstColumn="0" w:lastColumn="0" w:oddVBand="0" w:evenVBand="0" w:oddHBand="0" w:evenHBand="1" w:firstRowFirstColumn="0" w:firstRowLastColumn="0" w:lastRowFirstColumn="0" w:lastRowLastColumn="0"/>
                        </w:pPr>
                      </w:p>
                    </w:tc>
                  </w:tr>
                  <w:tr w:rsidR="00657CAF" w:rsidRPr="00FF1E8F" w14:paraId="4ADF08BC" w14:textId="77777777" w:rsidTr="007837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9" w:type="dxa"/>
                        <w:vMerge/>
                        <w:shd w:val="clear" w:color="auto" w:fill="auto"/>
                      </w:tcPr>
                      <w:p w14:paraId="24CEDC9B" w14:textId="77777777" w:rsidR="00877AFF" w:rsidRPr="00FF1E8F" w:rsidRDefault="00877AFF">
                        <w:pPr>
                          <w:pStyle w:val="TableText"/>
                        </w:pPr>
                      </w:p>
                    </w:tc>
                    <w:tc>
                      <w:tcPr>
                        <w:tcW w:w="2002" w:type="dxa"/>
                        <w:vMerge w:val="restart"/>
                        <w:shd w:val="clear" w:color="auto" w:fill="auto"/>
                      </w:tcPr>
                      <w:p w14:paraId="2EF1FB47" w14:textId="77777777" w:rsidR="00877AFF" w:rsidRPr="00FF1E8F" w:rsidRDefault="00877AFF">
                        <w:pPr>
                          <w:pStyle w:val="TableText"/>
                          <w:cnfStyle w:val="000000100000" w:firstRow="0" w:lastRow="0" w:firstColumn="0" w:lastColumn="0" w:oddVBand="0" w:evenVBand="0" w:oddHBand="1" w:evenHBand="0" w:firstRowFirstColumn="0" w:firstRowLastColumn="0" w:lastRowFirstColumn="0" w:lastRowLastColumn="0"/>
                        </w:pPr>
                        <w:r w:rsidRPr="00FF1E8F">
                          <w:t>Individuals identifying as CALD</w:t>
                        </w:r>
                      </w:p>
                    </w:tc>
                    <w:tc>
                      <w:tcPr>
                        <w:tcW w:w="1798" w:type="dxa"/>
                        <w:vMerge w:val="restart"/>
                        <w:shd w:val="clear" w:color="auto" w:fill="auto"/>
                      </w:tcPr>
                      <w:p w14:paraId="1441ABE3" w14:textId="77777777" w:rsidR="00877AFF" w:rsidRPr="00FF1E8F" w:rsidRDefault="00877AFF">
                        <w:pPr>
                          <w:pStyle w:val="TableText"/>
                          <w:cnfStyle w:val="000000100000" w:firstRow="0" w:lastRow="0" w:firstColumn="0" w:lastColumn="0" w:oddVBand="0" w:evenVBand="0" w:oddHBand="1" w:evenHBand="0" w:firstRowFirstColumn="0" w:firstRowLastColumn="0" w:lastRowFirstColumn="0" w:lastRowLastColumn="0"/>
                        </w:pPr>
                        <w:r w:rsidRPr="00FF1E8F">
                          <w:t>N=10</w:t>
                        </w:r>
                      </w:p>
                    </w:tc>
                    <w:tc>
                      <w:tcPr>
                        <w:tcW w:w="2026" w:type="dxa"/>
                        <w:shd w:val="clear" w:color="auto" w:fill="auto"/>
                      </w:tcPr>
                      <w:p w14:paraId="366BD5D1" w14:textId="77777777" w:rsidR="00877AFF" w:rsidRPr="00FF1E8F" w:rsidRDefault="00877AFF">
                        <w:pPr>
                          <w:pStyle w:val="TableText"/>
                          <w:cnfStyle w:val="000000100000" w:firstRow="0" w:lastRow="0" w:firstColumn="0" w:lastColumn="0" w:oddVBand="0" w:evenVBand="0" w:oddHBand="1" w:evenHBand="0" w:firstRowFirstColumn="0" w:firstRowLastColumn="0" w:lastRowFirstColumn="0" w:lastRowLastColumn="0"/>
                        </w:pPr>
                        <w:r w:rsidRPr="00FF1E8F">
                          <w:rPr>
                            <w:lang w:val="en-AU"/>
                          </w:rPr>
                          <w:t>FaRS: n</w:t>
                        </w:r>
                        <w:r w:rsidRPr="00FF1E8F">
                          <w:rPr>
                            <w:rFonts w:cs="Arial"/>
                            <w:lang w:val="en-AU"/>
                          </w:rPr>
                          <w:t>≥</w:t>
                        </w:r>
                        <w:r w:rsidRPr="00FF1E8F">
                          <w:rPr>
                            <w:lang w:val="en-AU"/>
                          </w:rPr>
                          <w:t>5</w:t>
                        </w:r>
                      </w:p>
                    </w:tc>
                    <w:tc>
                      <w:tcPr>
                        <w:tcW w:w="1548" w:type="dxa"/>
                        <w:vMerge/>
                        <w:shd w:val="clear" w:color="auto" w:fill="auto"/>
                      </w:tcPr>
                      <w:p w14:paraId="61F68F29" w14:textId="77777777" w:rsidR="00877AFF" w:rsidRPr="00FF1E8F" w:rsidRDefault="00877AFF">
                        <w:pPr>
                          <w:pStyle w:val="TableText"/>
                          <w:cnfStyle w:val="000000100000" w:firstRow="0" w:lastRow="0" w:firstColumn="0" w:lastColumn="0" w:oddVBand="0" w:evenVBand="0" w:oddHBand="1" w:evenHBand="0" w:firstRowFirstColumn="0" w:firstRowLastColumn="0" w:lastRowFirstColumn="0" w:lastRowLastColumn="0"/>
                          <w:rPr>
                            <w:lang w:val="en-AU"/>
                          </w:rPr>
                        </w:pPr>
                      </w:p>
                    </w:tc>
                  </w:tr>
                  <w:tr w:rsidR="00657CAF" w:rsidRPr="00FF1E8F" w14:paraId="0ED91CCA" w14:textId="77777777" w:rsidTr="0078378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9" w:type="dxa"/>
                        <w:vMerge/>
                        <w:shd w:val="clear" w:color="auto" w:fill="auto"/>
                      </w:tcPr>
                      <w:p w14:paraId="695F0343" w14:textId="77777777" w:rsidR="00877AFF" w:rsidRPr="00FF1E8F" w:rsidRDefault="00877AFF">
                        <w:pPr>
                          <w:pStyle w:val="TableText"/>
                        </w:pPr>
                      </w:p>
                    </w:tc>
                    <w:tc>
                      <w:tcPr>
                        <w:tcW w:w="2002" w:type="dxa"/>
                        <w:vMerge/>
                        <w:shd w:val="clear" w:color="auto" w:fill="auto"/>
                      </w:tcPr>
                      <w:p w14:paraId="7D0D21EA" w14:textId="77777777" w:rsidR="00877AFF" w:rsidRPr="00FF1E8F" w:rsidRDefault="00877AFF">
                        <w:pPr>
                          <w:pStyle w:val="TableText"/>
                          <w:cnfStyle w:val="000000010000" w:firstRow="0" w:lastRow="0" w:firstColumn="0" w:lastColumn="0" w:oddVBand="0" w:evenVBand="0" w:oddHBand="0" w:evenHBand="1" w:firstRowFirstColumn="0" w:firstRowLastColumn="0" w:lastRowFirstColumn="0" w:lastRowLastColumn="0"/>
                        </w:pPr>
                      </w:p>
                    </w:tc>
                    <w:tc>
                      <w:tcPr>
                        <w:tcW w:w="1798" w:type="dxa"/>
                        <w:vMerge/>
                        <w:shd w:val="clear" w:color="auto" w:fill="auto"/>
                      </w:tcPr>
                      <w:p w14:paraId="7BDB0285" w14:textId="77777777" w:rsidR="00877AFF" w:rsidRPr="00FF1E8F" w:rsidRDefault="00877AFF">
                        <w:pPr>
                          <w:pStyle w:val="TableText"/>
                          <w:cnfStyle w:val="000000010000" w:firstRow="0" w:lastRow="0" w:firstColumn="0" w:lastColumn="0" w:oddVBand="0" w:evenVBand="0" w:oddHBand="0" w:evenHBand="1" w:firstRowFirstColumn="0" w:firstRowLastColumn="0" w:lastRowFirstColumn="0" w:lastRowLastColumn="0"/>
                        </w:pPr>
                      </w:p>
                    </w:tc>
                    <w:tc>
                      <w:tcPr>
                        <w:tcW w:w="2026" w:type="dxa"/>
                        <w:shd w:val="clear" w:color="auto" w:fill="auto"/>
                      </w:tcPr>
                      <w:p w14:paraId="1BFC938B" w14:textId="77777777" w:rsidR="00877AFF" w:rsidRPr="00FF1E8F" w:rsidRDefault="00877AFF">
                        <w:pPr>
                          <w:pStyle w:val="TableText"/>
                          <w:cnfStyle w:val="000000010000" w:firstRow="0" w:lastRow="0" w:firstColumn="0" w:lastColumn="0" w:oddVBand="0" w:evenVBand="0" w:oddHBand="0" w:evenHBand="1" w:firstRowFirstColumn="0" w:firstRowLastColumn="0" w:lastRowFirstColumn="0" w:lastRowLastColumn="0"/>
                        </w:pPr>
                        <w:r w:rsidRPr="00FF1E8F">
                          <w:t>SFVS: n</w:t>
                        </w:r>
                        <w:r w:rsidRPr="00FF1E8F">
                          <w:rPr>
                            <w:rFonts w:cs="Arial"/>
                          </w:rPr>
                          <w:t>≥</w:t>
                        </w:r>
                        <w:r w:rsidRPr="00FF1E8F">
                          <w:t>5</w:t>
                        </w:r>
                      </w:p>
                    </w:tc>
                    <w:tc>
                      <w:tcPr>
                        <w:tcW w:w="1548" w:type="dxa"/>
                        <w:vMerge/>
                        <w:shd w:val="clear" w:color="auto" w:fill="auto"/>
                      </w:tcPr>
                      <w:p w14:paraId="43B4EC46" w14:textId="77777777" w:rsidR="00877AFF" w:rsidRPr="00FF1E8F" w:rsidRDefault="00877AFF">
                        <w:pPr>
                          <w:pStyle w:val="TableText"/>
                          <w:cnfStyle w:val="000000010000" w:firstRow="0" w:lastRow="0" w:firstColumn="0" w:lastColumn="0" w:oddVBand="0" w:evenVBand="0" w:oddHBand="0" w:evenHBand="1" w:firstRowFirstColumn="0" w:firstRowLastColumn="0" w:lastRowFirstColumn="0" w:lastRowLastColumn="0"/>
                        </w:pPr>
                      </w:p>
                    </w:tc>
                  </w:tr>
                  <w:tr w:rsidR="00657CAF" w:rsidRPr="00FF1E8F" w14:paraId="0CD80D58" w14:textId="77777777" w:rsidTr="007837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9" w:type="dxa"/>
                        <w:vMerge/>
                        <w:shd w:val="clear" w:color="auto" w:fill="auto"/>
                      </w:tcPr>
                      <w:p w14:paraId="3A321F51" w14:textId="77777777" w:rsidR="00877AFF" w:rsidRPr="00FF1E8F" w:rsidRDefault="00877AFF">
                        <w:pPr>
                          <w:pStyle w:val="TableText"/>
                        </w:pPr>
                      </w:p>
                    </w:tc>
                    <w:tc>
                      <w:tcPr>
                        <w:tcW w:w="2002" w:type="dxa"/>
                        <w:vMerge w:val="restart"/>
                        <w:shd w:val="clear" w:color="auto" w:fill="auto"/>
                      </w:tcPr>
                      <w:p w14:paraId="2FE8272A" w14:textId="77777777" w:rsidR="00877AFF" w:rsidRPr="00FF1E8F" w:rsidRDefault="00877AFF">
                        <w:pPr>
                          <w:pStyle w:val="TableText"/>
                          <w:cnfStyle w:val="000000100000" w:firstRow="0" w:lastRow="0" w:firstColumn="0" w:lastColumn="0" w:oddVBand="0" w:evenVBand="0" w:oddHBand="1" w:evenHBand="0" w:firstRowFirstColumn="0" w:firstRowLastColumn="0" w:lastRowFirstColumn="0" w:lastRowLastColumn="0"/>
                        </w:pPr>
                        <w:r w:rsidRPr="00FF1E8F">
                          <w:t xml:space="preserve">Individuals identifying as LGBTQIA+ </w:t>
                        </w:r>
                      </w:p>
                    </w:tc>
                    <w:tc>
                      <w:tcPr>
                        <w:tcW w:w="1798" w:type="dxa"/>
                        <w:vMerge w:val="restart"/>
                        <w:shd w:val="clear" w:color="auto" w:fill="auto"/>
                      </w:tcPr>
                      <w:p w14:paraId="78334DB2" w14:textId="77777777" w:rsidR="00877AFF" w:rsidRPr="00FF1E8F" w:rsidRDefault="00877AFF">
                        <w:pPr>
                          <w:pStyle w:val="TableText"/>
                          <w:cnfStyle w:val="000000100000" w:firstRow="0" w:lastRow="0" w:firstColumn="0" w:lastColumn="0" w:oddVBand="0" w:evenVBand="0" w:oddHBand="1" w:evenHBand="0" w:firstRowFirstColumn="0" w:firstRowLastColumn="0" w:lastRowFirstColumn="0" w:lastRowLastColumn="0"/>
                        </w:pPr>
                        <w:r w:rsidRPr="00FF1E8F">
                          <w:t>N=10</w:t>
                        </w:r>
                      </w:p>
                    </w:tc>
                    <w:tc>
                      <w:tcPr>
                        <w:tcW w:w="2026" w:type="dxa"/>
                        <w:shd w:val="clear" w:color="auto" w:fill="auto"/>
                      </w:tcPr>
                      <w:p w14:paraId="6338A4E4" w14:textId="77777777" w:rsidR="00877AFF" w:rsidRPr="00FF1E8F" w:rsidRDefault="00877AFF">
                        <w:pPr>
                          <w:pStyle w:val="TableText"/>
                          <w:cnfStyle w:val="000000100000" w:firstRow="0" w:lastRow="0" w:firstColumn="0" w:lastColumn="0" w:oddVBand="0" w:evenVBand="0" w:oddHBand="1" w:evenHBand="0" w:firstRowFirstColumn="0" w:firstRowLastColumn="0" w:lastRowFirstColumn="0" w:lastRowLastColumn="0"/>
                        </w:pPr>
                        <w:r w:rsidRPr="00FF1E8F">
                          <w:rPr>
                            <w:lang w:val="en-AU"/>
                          </w:rPr>
                          <w:t>FaRS: n</w:t>
                        </w:r>
                        <w:r w:rsidRPr="00FF1E8F">
                          <w:rPr>
                            <w:rFonts w:cs="Arial"/>
                            <w:lang w:val="en-AU"/>
                          </w:rPr>
                          <w:t>≥</w:t>
                        </w:r>
                        <w:r w:rsidRPr="00FF1E8F">
                          <w:rPr>
                            <w:lang w:val="en-AU"/>
                          </w:rPr>
                          <w:t>5</w:t>
                        </w:r>
                      </w:p>
                    </w:tc>
                    <w:tc>
                      <w:tcPr>
                        <w:tcW w:w="1548" w:type="dxa"/>
                        <w:vMerge/>
                        <w:shd w:val="clear" w:color="auto" w:fill="auto"/>
                      </w:tcPr>
                      <w:p w14:paraId="0F1AA928" w14:textId="77777777" w:rsidR="00877AFF" w:rsidRPr="00FF1E8F" w:rsidRDefault="00877AFF">
                        <w:pPr>
                          <w:pStyle w:val="TableText"/>
                          <w:cnfStyle w:val="000000100000" w:firstRow="0" w:lastRow="0" w:firstColumn="0" w:lastColumn="0" w:oddVBand="0" w:evenVBand="0" w:oddHBand="1" w:evenHBand="0" w:firstRowFirstColumn="0" w:firstRowLastColumn="0" w:lastRowFirstColumn="0" w:lastRowLastColumn="0"/>
                          <w:rPr>
                            <w:lang w:val="en-AU"/>
                          </w:rPr>
                        </w:pPr>
                      </w:p>
                    </w:tc>
                  </w:tr>
                  <w:tr w:rsidR="00657CAF" w:rsidRPr="00FF1E8F" w14:paraId="06341385" w14:textId="77777777" w:rsidTr="0078378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9" w:type="dxa"/>
                        <w:vMerge/>
                        <w:shd w:val="clear" w:color="auto" w:fill="auto"/>
                      </w:tcPr>
                      <w:p w14:paraId="5784AA15" w14:textId="77777777" w:rsidR="00877AFF" w:rsidRPr="00FF1E8F" w:rsidRDefault="00877AFF">
                        <w:pPr>
                          <w:pStyle w:val="TableText"/>
                        </w:pPr>
                      </w:p>
                    </w:tc>
                    <w:tc>
                      <w:tcPr>
                        <w:tcW w:w="2002" w:type="dxa"/>
                        <w:vMerge/>
                        <w:shd w:val="clear" w:color="auto" w:fill="auto"/>
                      </w:tcPr>
                      <w:p w14:paraId="177DBB8D" w14:textId="77777777" w:rsidR="00877AFF" w:rsidRPr="00FF1E8F" w:rsidRDefault="00877AFF">
                        <w:pPr>
                          <w:pStyle w:val="TableText"/>
                          <w:cnfStyle w:val="000000010000" w:firstRow="0" w:lastRow="0" w:firstColumn="0" w:lastColumn="0" w:oddVBand="0" w:evenVBand="0" w:oddHBand="0" w:evenHBand="1" w:firstRowFirstColumn="0" w:firstRowLastColumn="0" w:lastRowFirstColumn="0" w:lastRowLastColumn="0"/>
                        </w:pPr>
                      </w:p>
                    </w:tc>
                    <w:tc>
                      <w:tcPr>
                        <w:tcW w:w="1798" w:type="dxa"/>
                        <w:vMerge/>
                        <w:shd w:val="clear" w:color="auto" w:fill="auto"/>
                      </w:tcPr>
                      <w:p w14:paraId="4D90D47B" w14:textId="77777777" w:rsidR="00877AFF" w:rsidRPr="00FF1E8F" w:rsidRDefault="00877AFF">
                        <w:pPr>
                          <w:pStyle w:val="TableText"/>
                          <w:cnfStyle w:val="000000010000" w:firstRow="0" w:lastRow="0" w:firstColumn="0" w:lastColumn="0" w:oddVBand="0" w:evenVBand="0" w:oddHBand="0" w:evenHBand="1" w:firstRowFirstColumn="0" w:firstRowLastColumn="0" w:lastRowFirstColumn="0" w:lastRowLastColumn="0"/>
                        </w:pPr>
                      </w:p>
                    </w:tc>
                    <w:tc>
                      <w:tcPr>
                        <w:tcW w:w="2026" w:type="dxa"/>
                        <w:shd w:val="clear" w:color="auto" w:fill="auto"/>
                      </w:tcPr>
                      <w:p w14:paraId="48345EBB" w14:textId="77777777" w:rsidR="00877AFF" w:rsidRPr="00FF1E8F" w:rsidRDefault="00877AFF">
                        <w:pPr>
                          <w:pStyle w:val="TableText"/>
                          <w:cnfStyle w:val="000000010000" w:firstRow="0" w:lastRow="0" w:firstColumn="0" w:lastColumn="0" w:oddVBand="0" w:evenVBand="0" w:oddHBand="0" w:evenHBand="1" w:firstRowFirstColumn="0" w:firstRowLastColumn="0" w:lastRowFirstColumn="0" w:lastRowLastColumn="0"/>
                        </w:pPr>
                        <w:r w:rsidRPr="00FF1E8F">
                          <w:t>SFVS: n</w:t>
                        </w:r>
                        <w:r w:rsidRPr="00FF1E8F">
                          <w:rPr>
                            <w:rFonts w:cs="Arial"/>
                          </w:rPr>
                          <w:t>≥</w:t>
                        </w:r>
                        <w:r w:rsidRPr="00FF1E8F">
                          <w:t>5</w:t>
                        </w:r>
                      </w:p>
                    </w:tc>
                    <w:tc>
                      <w:tcPr>
                        <w:tcW w:w="1548" w:type="dxa"/>
                        <w:vMerge/>
                        <w:shd w:val="clear" w:color="auto" w:fill="auto"/>
                      </w:tcPr>
                      <w:p w14:paraId="1C2302EE" w14:textId="77777777" w:rsidR="00877AFF" w:rsidRPr="00FF1E8F" w:rsidRDefault="00877AFF">
                        <w:pPr>
                          <w:pStyle w:val="TableText"/>
                          <w:cnfStyle w:val="000000010000" w:firstRow="0" w:lastRow="0" w:firstColumn="0" w:lastColumn="0" w:oddVBand="0" w:evenVBand="0" w:oddHBand="0" w:evenHBand="1" w:firstRowFirstColumn="0" w:firstRowLastColumn="0" w:lastRowFirstColumn="0" w:lastRowLastColumn="0"/>
                        </w:pPr>
                      </w:p>
                    </w:tc>
                  </w:tr>
                  <w:tr w:rsidR="00657CAF" w:rsidRPr="00FF1E8F" w14:paraId="6C441591" w14:textId="77777777" w:rsidTr="0078378F">
                    <w:trPr>
                      <w:cnfStyle w:val="000000100000" w:firstRow="0" w:lastRow="0" w:firstColumn="0" w:lastColumn="0" w:oddVBand="0" w:evenVBand="0" w:oddHBand="1" w:evenHBand="0" w:firstRowFirstColumn="0" w:firstRowLastColumn="0" w:lastRowFirstColumn="0" w:lastRowLastColumn="0"/>
                      <w:trHeight w:val="999"/>
                    </w:trPr>
                    <w:tc>
                      <w:tcPr>
                        <w:cnfStyle w:val="001000000000" w:firstRow="0" w:lastRow="0" w:firstColumn="1" w:lastColumn="0" w:oddVBand="0" w:evenVBand="0" w:oddHBand="0" w:evenHBand="0" w:firstRowFirstColumn="0" w:firstRowLastColumn="0" w:lastRowFirstColumn="0" w:lastRowLastColumn="0"/>
                        <w:tcW w:w="1649" w:type="dxa"/>
                        <w:vMerge/>
                        <w:shd w:val="clear" w:color="auto" w:fill="auto"/>
                      </w:tcPr>
                      <w:p w14:paraId="16DD8B7E" w14:textId="77777777" w:rsidR="00877AFF" w:rsidRPr="00FF1E8F" w:rsidRDefault="00877AFF">
                        <w:pPr>
                          <w:pStyle w:val="TableText"/>
                        </w:pPr>
                      </w:p>
                    </w:tc>
                    <w:tc>
                      <w:tcPr>
                        <w:tcW w:w="2002" w:type="dxa"/>
                        <w:shd w:val="clear" w:color="auto" w:fill="auto"/>
                      </w:tcPr>
                      <w:p w14:paraId="4C3D20C3" w14:textId="77777777" w:rsidR="00877AFF" w:rsidRPr="00FF1E8F" w:rsidRDefault="00877AFF">
                        <w:pPr>
                          <w:pStyle w:val="TableText"/>
                          <w:cnfStyle w:val="000000100000" w:firstRow="0" w:lastRow="0" w:firstColumn="0" w:lastColumn="0" w:oddVBand="0" w:evenVBand="0" w:oddHBand="1" w:evenHBand="0" w:firstRowFirstColumn="0" w:firstRowLastColumn="0" w:lastRowFirstColumn="0" w:lastRowLastColumn="0"/>
                        </w:pPr>
                        <w:r w:rsidRPr="00FF1E8F">
                          <w:t>Individuals engaging in Men’s Behaviour Change Programs</w:t>
                        </w:r>
                      </w:p>
                    </w:tc>
                    <w:tc>
                      <w:tcPr>
                        <w:tcW w:w="1798" w:type="dxa"/>
                        <w:shd w:val="clear" w:color="auto" w:fill="auto"/>
                      </w:tcPr>
                      <w:p w14:paraId="601EB753" w14:textId="77777777" w:rsidR="00877AFF" w:rsidRPr="00FF1E8F" w:rsidRDefault="00877AFF">
                        <w:pPr>
                          <w:pStyle w:val="TableText"/>
                          <w:cnfStyle w:val="000000100000" w:firstRow="0" w:lastRow="0" w:firstColumn="0" w:lastColumn="0" w:oddVBand="0" w:evenVBand="0" w:oddHBand="1" w:evenHBand="0" w:firstRowFirstColumn="0" w:firstRowLastColumn="0" w:lastRowFirstColumn="0" w:lastRowLastColumn="0"/>
                        </w:pPr>
                        <w:r w:rsidRPr="00FF1E8F">
                          <w:t>N=10</w:t>
                        </w:r>
                      </w:p>
                    </w:tc>
                    <w:tc>
                      <w:tcPr>
                        <w:tcW w:w="2026" w:type="dxa"/>
                        <w:shd w:val="clear" w:color="auto" w:fill="auto"/>
                      </w:tcPr>
                      <w:p w14:paraId="156BC6DE" w14:textId="77777777" w:rsidR="00877AFF" w:rsidRPr="00FF1E8F" w:rsidRDefault="00877AFF">
                        <w:pPr>
                          <w:pStyle w:val="TableText"/>
                          <w:cnfStyle w:val="000000100000" w:firstRow="0" w:lastRow="0" w:firstColumn="0" w:lastColumn="0" w:oddVBand="0" w:evenVBand="0" w:oddHBand="1" w:evenHBand="0" w:firstRowFirstColumn="0" w:firstRowLastColumn="0" w:lastRowFirstColumn="0" w:lastRowLastColumn="0"/>
                        </w:pPr>
                        <w:r w:rsidRPr="00FF1E8F">
                          <w:t>SFVS only</w:t>
                        </w:r>
                      </w:p>
                    </w:tc>
                    <w:tc>
                      <w:tcPr>
                        <w:tcW w:w="1548" w:type="dxa"/>
                        <w:vMerge/>
                        <w:shd w:val="clear" w:color="auto" w:fill="auto"/>
                      </w:tcPr>
                      <w:p w14:paraId="62B8F2B6" w14:textId="77777777" w:rsidR="00877AFF" w:rsidRPr="00FF1E8F" w:rsidRDefault="00877AFF">
                        <w:pPr>
                          <w:pStyle w:val="TableText"/>
                          <w:cnfStyle w:val="000000100000" w:firstRow="0" w:lastRow="0" w:firstColumn="0" w:lastColumn="0" w:oddVBand="0" w:evenVBand="0" w:oddHBand="1" w:evenHBand="0" w:firstRowFirstColumn="0" w:firstRowLastColumn="0" w:lastRowFirstColumn="0" w:lastRowLastColumn="0"/>
                        </w:pPr>
                      </w:p>
                    </w:tc>
                  </w:tr>
                  <w:tr w:rsidR="00657CAF" w:rsidRPr="00FF1E8F" w14:paraId="7B09407A" w14:textId="77777777" w:rsidTr="0078378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9" w:type="dxa"/>
                        <w:vMerge/>
                        <w:shd w:val="clear" w:color="auto" w:fill="auto"/>
                      </w:tcPr>
                      <w:p w14:paraId="0AFC59A2" w14:textId="77777777" w:rsidR="00877AFF" w:rsidRPr="00FF1E8F" w:rsidRDefault="00877AFF">
                        <w:pPr>
                          <w:pStyle w:val="TableText"/>
                        </w:pPr>
                      </w:p>
                    </w:tc>
                    <w:tc>
                      <w:tcPr>
                        <w:tcW w:w="2002" w:type="dxa"/>
                        <w:vMerge w:val="restart"/>
                        <w:shd w:val="clear" w:color="auto" w:fill="auto"/>
                      </w:tcPr>
                      <w:p w14:paraId="0E075C5E" w14:textId="77777777" w:rsidR="00877AFF" w:rsidRPr="00FF1E8F" w:rsidRDefault="00877AFF">
                        <w:pPr>
                          <w:pStyle w:val="TableText"/>
                          <w:cnfStyle w:val="000000010000" w:firstRow="0" w:lastRow="0" w:firstColumn="0" w:lastColumn="0" w:oddVBand="0" w:evenVBand="0" w:oddHBand="0" w:evenHBand="1" w:firstRowFirstColumn="0" w:firstRowLastColumn="0" w:lastRowFirstColumn="0" w:lastRowLastColumn="0"/>
                        </w:pPr>
                        <w:r w:rsidRPr="00FF1E8F">
                          <w:t>Service users not identifying as belonging to a priority cohort</w:t>
                        </w:r>
                      </w:p>
                    </w:tc>
                    <w:tc>
                      <w:tcPr>
                        <w:tcW w:w="1798" w:type="dxa"/>
                        <w:vMerge w:val="restart"/>
                        <w:shd w:val="clear" w:color="auto" w:fill="auto"/>
                      </w:tcPr>
                      <w:p w14:paraId="4B6F44AF" w14:textId="77777777" w:rsidR="00877AFF" w:rsidRPr="00FF1E8F" w:rsidRDefault="00877AFF">
                        <w:pPr>
                          <w:pStyle w:val="TableText"/>
                          <w:cnfStyle w:val="000000010000" w:firstRow="0" w:lastRow="0" w:firstColumn="0" w:lastColumn="0" w:oddVBand="0" w:evenVBand="0" w:oddHBand="0" w:evenHBand="1" w:firstRowFirstColumn="0" w:firstRowLastColumn="0" w:lastRowFirstColumn="0" w:lastRowLastColumn="0"/>
                        </w:pPr>
                        <w:r w:rsidRPr="00FF1E8F">
                          <w:t>N=</w:t>
                        </w:r>
                        <w:r>
                          <w:t>5</w:t>
                        </w:r>
                        <w:r w:rsidRPr="00FF1E8F">
                          <w:rPr>
                            <w:rFonts w:cs="Arial"/>
                          </w:rPr>
                          <w:t>0</w:t>
                        </w:r>
                      </w:p>
                    </w:tc>
                    <w:tc>
                      <w:tcPr>
                        <w:tcW w:w="2026" w:type="dxa"/>
                        <w:shd w:val="clear" w:color="auto" w:fill="auto"/>
                      </w:tcPr>
                      <w:p w14:paraId="06AAD2CE" w14:textId="77777777" w:rsidR="00877AFF" w:rsidRPr="00FF1E8F" w:rsidRDefault="00877AFF">
                        <w:pPr>
                          <w:pStyle w:val="TableText"/>
                          <w:cnfStyle w:val="000000010000" w:firstRow="0" w:lastRow="0" w:firstColumn="0" w:lastColumn="0" w:oddVBand="0" w:evenVBand="0" w:oddHBand="0" w:evenHBand="1" w:firstRowFirstColumn="0" w:firstRowLastColumn="0" w:lastRowFirstColumn="0" w:lastRowLastColumn="0"/>
                        </w:pPr>
                        <w:r w:rsidRPr="00FF1E8F">
                          <w:rPr>
                            <w:lang w:val="en-AU"/>
                          </w:rPr>
                          <w:t>FaRS: n</w:t>
                        </w:r>
                        <w:r w:rsidRPr="00FF1E8F">
                          <w:rPr>
                            <w:rFonts w:cs="Arial"/>
                            <w:lang w:val="en-AU"/>
                          </w:rPr>
                          <w:t>≥</w:t>
                        </w:r>
                        <w:r>
                          <w:rPr>
                            <w:rFonts w:cs="Arial"/>
                            <w:lang w:val="en-AU"/>
                          </w:rPr>
                          <w:t>25</w:t>
                        </w:r>
                      </w:p>
                    </w:tc>
                    <w:tc>
                      <w:tcPr>
                        <w:tcW w:w="1548" w:type="dxa"/>
                        <w:vMerge/>
                        <w:shd w:val="clear" w:color="auto" w:fill="auto"/>
                      </w:tcPr>
                      <w:p w14:paraId="6265EB85" w14:textId="77777777" w:rsidR="00877AFF" w:rsidRPr="00FF1E8F" w:rsidRDefault="00877AFF">
                        <w:pPr>
                          <w:pStyle w:val="TableText"/>
                          <w:cnfStyle w:val="000000010000" w:firstRow="0" w:lastRow="0" w:firstColumn="0" w:lastColumn="0" w:oddVBand="0" w:evenVBand="0" w:oddHBand="0" w:evenHBand="1" w:firstRowFirstColumn="0" w:firstRowLastColumn="0" w:lastRowFirstColumn="0" w:lastRowLastColumn="0"/>
                          <w:rPr>
                            <w:lang w:val="en-AU"/>
                          </w:rPr>
                        </w:pPr>
                      </w:p>
                    </w:tc>
                  </w:tr>
                  <w:tr w:rsidR="00657CAF" w:rsidRPr="00FF1E8F" w14:paraId="58B60F5B" w14:textId="77777777" w:rsidTr="007837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9" w:type="dxa"/>
                        <w:vMerge/>
                        <w:shd w:val="clear" w:color="auto" w:fill="auto"/>
                      </w:tcPr>
                      <w:p w14:paraId="2CFB8F7E" w14:textId="77777777" w:rsidR="00877AFF" w:rsidRPr="00FF1E8F" w:rsidRDefault="00877AFF">
                        <w:pPr>
                          <w:pStyle w:val="TableText"/>
                        </w:pPr>
                      </w:p>
                    </w:tc>
                    <w:tc>
                      <w:tcPr>
                        <w:tcW w:w="2002" w:type="dxa"/>
                        <w:vMerge/>
                        <w:shd w:val="clear" w:color="auto" w:fill="auto"/>
                      </w:tcPr>
                      <w:p w14:paraId="49BCA253" w14:textId="77777777" w:rsidR="00877AFF" w:rsidRPr="00FF1E8F" w:rsidRDefault="00877AFF">
                        <w:pPr>
                          <w:pStyle w:val="TableText"/>
                          <w:cnfStyle w:val="000000100000" w:firstRow="0" w:lastRow="0" w:firstColumn="0" w:lastColumn="0" w:oddVBand="0" w:evenVBand="0" w:oddHBand="1" w:evenHBand="0" w:firstRowFirstColumn="0" w:firstRowLastColumn="0" w:lastRowFirstColumn="0" w:lastRowLastColumn="0"/>
                        </w:pPr>
                      </w:p>
                    </w:tc>
                    <w:tc>
                      <w:tcPr>
                        <w:tcW w:w="1798" w:type="dxa"/>
                        <w:vMerge/>
                        <w:shd w:val="clear" w:color="auto" w:fill="auto"/>
                      </w:tcPr>
                      <w:p w14:paraId="64AC23EA" w14:textId="77777777" w:rsidR="00877AFF" w:rsidRPr="00FF1E8F" w:rsidRDefault="00877AFF">
                        <w:pPr>
                          <w:pStyle w:val="TableText"/>
                          <w:cnfStyle w:val="000000100000" w:firstRow="0" w:lastRow="0" w:firstColumn="0" w:lastColumn="0" w:oddVBand="0" w:evenVBand="0" w:oddHBand="1" w:evenHBand="0" w:firstRowFirstColumn="0" w:firstRowLastColumn="0" w:lastRowFirstColumn="0" w:lastRowLastColumn="0"/>
                        </w:pPr>
                      </w:p>
                    </w:tc>
                    <w:tc>
                      <w:tcPr>
                        <w:tcW w:w="2026" w:type="dxa"/>
                        <w:shd w:val="clear" w:color="auto" w:fill="auto"/>
                      </w:tcPr>
                      <w:p w14:paraId="3AEAB913" w14:textId="77777777" w:rsidR="00877AFF" w:rsidRPr="00FF1E8F" w:rsidRDefault="00877AFF">
                        <w:pPr>
                          <w:pStyle w:val="TableText"/>
                          <w:cnfStyle w:val="000000100000" w:firstRow="0" w:lastRow="0" w:firstColumn="0" w:lastColumn="0" w:oddVBand="0" w:evenVBand="0" w:oddHBand="1" w:evenHBand="0" w:firstRowFirstColumn="0" w:firstRowLastColumn="0" w:lastRowFirstColumn="0" w:lastRowLastColumn="0"/>
                        </w:pPr>
                        <w:r w:rsidRPr="00FF1E8F">
                          <w:t>SFVS: n</w:t>
                        </w:r>
                        <w:r w:rsidRPr="00FF1E8F">
                          <w:rPr>
                            <w:rFonts w:cs="Arial"/>
                          </w:rPr>
                          <w:t>≥</w:t>
                        </w:r>
                        <w:r>
                          <w:rPr>
                            <w:rFonts w:cs="Arial"/>
                          </w:rPr>
                          <w:t>25</w:t>
                        </w:r>
                      </w:p>
                    </w:tc>
                    <w:tc>
                      <w:tcPr>
                        <w:tcW w:w="1548" w:type="dxa"/>
                        <w:vMerge/>
                        <w:shd w:val="clear" w:color="auto" w:fill="auto"/>
                      </w:tcPr>
                      <w:p w14:paraId="59CAEB69" w14:textId="77777777" w:rsidR="00877AFF" w:rsidRPr="00FF1E8F" w:rsidRDefault="00877AFF">
                        <w:pPr>
                          <w:pStyle w:val="TableText"/>
                          <w:cnfStyle w:val="000000100000" w:firstRow="0" w:lastRow="0" w:firstColumn="0" w:lastColumn="0" w:oddVBand="0" w:evenVBand="0" w:oddHBand="1" w:evenHBand="0" w:firstRowFirstColumn="0" w:firstRowLastColumn="0" w:lastRowFirstColumn="0" w:lastRowLastColumn="0"/>
                        </w:pPr>
                      </w:p>
                    </w:tc>
                  </w:tr>
                  <w:tr w:rsidR="00657CAF" w:rsidRPr="00FF1E8F" w14:paraId="001BCB19" w14:textId="77777777" w:rsidTr="0078378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9" w:type="dxa"/>
                        <w:vMerge/>
                        <w:shd w:val="clear" w:color="auto" w:fill="auto"/>
                      </w:tcPr>
                      <w:p w14:paraId="5B780BB2" w14:textId="77777777" w:rsidR="00877AFF" w:rsidRPr="00FF1E8F" w:rsidRDefault="00877AFF">
                        <w:pPr>
                          <w:pStyle w:val="TableText"/>
                        </w:pPr>
                      </w:p>
                    </w:tc>
                    <w:tc>
                      <w:tcPr>
                        <w:tcW w:w="2002" w:type="dxa"/>
                        <w:shd w:val="clear" w:color="auto" w:fill="auto"/>
                      </w:tcPr>
                      <w:p w14:paraId="27658C40" w14:textId="77777777" w:rsidR="00877AFF" w:rsidRPr="00FF1E8F" w:rsidRDefault="00877AFF">
                        <w:pPr>
                          <w:pStyle w:val="TableText"/>
                          <w:cnfStyle w:val="000000010000" w:firstRow="0" w:lastRow="0" w:firstColumn="0" w:lastColumn="0" w:oddVBand="0" w:evenVBand="0" w:oddHBand="0" w:evenHBand="1" w:firstRowFirstColumn="0" w:firstRowLastColumn="0" w:lastRowFirstColumn="0" w:lastRowLastColumn="0"/>
                        </w:pPr>
                        <w:r>
                          <w:t xml:space="preserve">Aboriginal and Torres Strait </w:t>
                        </w:r>
                        <w:r>
                          <w:lastRenderedPageBreak/>
                          <w:t xml:space="preserve">Islander service users accessing services from SFVS-funded ACCO service providers </w:t>
                        </w:r>
                      </w:p>
                    </w:tc>
                    <w:tc>
                      <w:tcPr>
                        <w:tcW w:w="1798" w:type="dxa"/>
                        <w:shd w:val="clear" w:color="auto" w:fill="auto"/>
                      </w:tcPr>
                      <w:p w14:paraId="7DC22BE4" w14:textId="77777777" w:rsidR="00877AFF" w:rsidRPr="00FF1E8F" w:rsidRDefault="00877AFF">
                        <w:pPr>
                          <w:pStyle w:val="TableText"/>
                          <w:cnfStyle w:val="000000010000" w:firstRow="0" w:lastRow="0" w:firstColumn="0" w:lastColumn="0" w:oddVBand="0" w:evenVBand="0" w:oddHBand="0" w:evenHBand="1" w:firstRowFirstColumn="0" w:firstRowLastColumn="0" w:lastRowFirstColumn="0" w:lastRowLastColumn="0"/>
                        </w:pPr>
                        <w:r>
                          <w:lastRenderedPageBreak/>
                          <w:t>n=20</w:t>
                        </w:r>
                      </w:p>
                    </w:tc>
                    <w:tc>
                      <w:tcPr>
                        <w:tcW w:w="2026" w:type="dxa"/>
                        <w:shd w:val="clear" w:color="auto" w:fill="auto"/>
                      </w:tcPr>
                      <w:p w14:paraId="084D753F" w14:textId="4ED93F81" w:rsidR="00877AFF" w:rsidRDefault="00ED477C">
                        <w:pPr>
                          <w:pStyle w:val="TableText"/>
                          <w:cnfStyle w:val="000000010000" w:firstRow="0" w:lastRow="0" w:firstColumn="0" w:lastColumn="0" w:oddVBand="0" w:evenVBand="0" w:oddHBand="0" w:evenHBand="1" w:firstRowFirstColumn="0" w:firstRowLastColumn="0" w:lastRowFirstColumn="0" w:lastRowLastColumn="0"/>
                        </w:pPr>
                        <w:r w:rsidRPr="0CAE5FDE">
                          <w:rPr>
                            <w:lang w:val="en-NZ"/>
                          </w:rPr>
                          <w:t xml:space="preserve">FaRS: </w:t>
                        </w:r>
                        <w:r w:rsidR="004053BB" w:rsidRPr="0CAE5FDE">
                          <w:rPr>
                            <w:lang w:val="en-NZ"/>
                          </w:rPr>
                          <w:t>n=1</w:t>
                        </w:r>
                        <w:r w:rsidR="00877AFF" w:rsidRPr="0CAE5FDE">
                          <w:rPr>
                            <w:lang w:val="en-NZ"/>
                          </w:rPr>
                          <w:t xml:space="preserve"> </w:t>
                        </w:r>
                      </w:p>
                      <w:p w14:paraId="1D1AD652" w14:textId="3036F393" w:rsidR="00ED477C" w:rsidRPr="00ED477C" w:rsidRDefault="00ED477C" w:rsidP="00ED477C">
                        <w:pPr>
                          <w:pStyle w:val="TableText"/>
                          <w:cnfStyle w:val="000000010000" w:firstRow="0" w:lastRow="0" w:firstColumn="0" w:lastColumn="0" w:oddVBand="0" w:evenVBand="0" w:oddHBand="0" w:evenHBand="1" w:firstRowFirstColumn="0" w:firstRowLastColumn="0" w:lastRowFirstColumn="0" w:lastRowLastColumn="0"/>
                        </w:pPr>
                        <w:r>
                          <w:lastRenderedPageBreak/>
                          <w:t>SFVS: n=5</w:t>
                        </w:r>
                      </w:p>
                    </w:tc>
                    <w:tc>
                      <w:tcPr>
                        <w:tcW w:w="1548" w:type="dxa"/>
                        <w:vMerge/>
                        <w:shd w:val="clear" w:color="auto" w:fill="auto"/>
                      </w:tcPr>
                      <w:p w14:paraId="299CD172" w14:textId="77777777" w:rsidR="00877AFF" w:rsidRDefault="00877AFF">
                        <w:pPr>
                          <w:pStyle w:val="TableText"/>
                          <w:cnfStyle w:val="000000010000" w:firstRow="0" w:lastRow="0" w:firstColumn="0" w:lastColumn="0" w:oddVBand="0" w:evenVBand="0" w:oddHBand="0" w:evenHBand="1" w:firstRowFirstColumn="0" w:firstRowLastColumn="0" w:lastRowFirstColumn="0" w:lastRowLastColumn="0"/>
                        </w:pPr>
                      </w:p>
                    </w:tc>
                  </w:tr>
                  <w:tr w:rsidR="00121690" w:rsidRPr="00FF1E8F" w14:paraId="5938080B" w14:textId="77777777" w:rsidTr="007837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9" w:type="dxa"/>
                        <w:shd w:val="clear" w:color="auto" w:fill="auto"/>
                      </w:tcPr>
                      <w:p w14:paraId="454B38E7" w14:textId="77777777" w:rsidR="00877AFF" w:rsidRPr="00FF1E8F" w:rsidRDefault="00877AFF">
                        <w:pPr>
                          <w:pStyle w:val="TableText"/>
                        </w:pPr>
                        <w:r w:rsidRPr="00FF1E8F">
                          <w:t>Young people (aged between 7 and 17 years)</w:t>
                        </w:r>
                      </w:p>
                    </w:tc>
                    <w:tc>
                      <w:tcPr>
                        <w:tcW w:w="2002" w:type="dxa"/>
                        <w:shd w:val="clear" w:color="auto" w:fill="auto"/>
                      </w:tcPr>
                      <w:p w14:paraId="71D2BFF2" w14:textId="77777777" w:rsidR="00877AFF" w:rsidRPr="00FF1E8F" w:rsidRDefault="00877AFF">
                        <w:pPr>
                          <w:pStyle w:val="TableText"/>
                          <w:cnfStyle w:val="000000100000" w:firstRow="0" w:lastRow="0" w:firstColumn="0" w:lastColumn="0" w:oddVBand="0" w:evenVBand="0" w:oddHBand="1" w:evenHBand="0" w:firstRowFirstColumn="0" w:firstRowLastColumn="0" w:lastRowFirstColumn="0" w:lastRowLastColumn="0"/>
                        </w:pPr>
                        <w:r w:rsidRPr="00FF1E8F">
                          <w:t>Child Specific Counselling service user</w:t>
                        </w:r>
                      </w:p>
                    </w:tc>
                    <w:tc>
                      <w:tcPr>
                        <w:tcW w:w="1798" w:type="dxa"/>
                        <w:shd w:val="clear" w:color="auto" w:fill="auto"/>
                      </w:tcPr>
                      <w:p w14:paraId="3D1AA0D3" w14:textId="77777777" w:rsidR="00877AFF" w:rsidRPr="00FF1E8F" w:rsidRDefault="00877AFF">
                        <w:pPr>
                          <w:pStyle w:val="TableText"/>
                          <w:cnfStyle w:val="000000100000" w:firstRow="0" w:lastRow="0" w:firstColumn="0" w:lastColumn="0" w:oddVBand="0" w:evenVBand="0" w:oddHBand="1" w:evenHBand="0" w:firstRowFirstColumn="0" w:firstRowLastColumn="0" w:lastRowFirstColumn="0" w:lastRowLastColumn="0"/>
                        </w:pPr>
                        <w:r w:rsidRPr="00FF1E8F">
                          <w:t>N=15</w:t>
                        </w:r>
                      </w:p>
                    </w:tc>
                    <w:tc>
                      <w:tcPr>
                        <w:tcW w:w="2026" w:type="dxa"/>
                        <w:shd w:val="clear" w:color="auto" w:fill="auto"/>
                      </w:tcPr>
                      <w:p w14:paraId="41988682" w14:textId="77777777" w:rsidR="00877AFF" w:rsidRPr="00FF1E8F" w:rsidRDefault="00877AFF">
                        <w:pPr>
                          <w:pStyle w:val="TableText"/>
                          <w:cnfStyle w:val="000000100000" w:firstRow="0" w:lastRow="0" w:firstColumn="0" w:lastColumn="0" w:oddVBand="0" w:evenVBand="0" w:oddHBand="1" w:evenHBand="0" w:firstRowFirstColumn="0" w:firstRowLastColumn="0" w:lastRowFirstColumn="0" w:lastRowLastColumn="0"/>
                        </w:pPr>
                        <w:r w:rsidRPr="00FF1E8F">
                          <w:t>Note Child Specific Counselling is currently only provided by eight Relationships Australia member organisations.</w:t>
                        </w:r>
                      </w:p>
                    </w:tc>
                    <w:tc>
                      <w:tcPr>
                        <w:tcW w:w="1548" w:type="dxa"/>
                        <w:shd w:val="clear" w:color="auto" w:fill="auto"/>
                      </w:tcPr>
                      <w:p w14:paraId="136D0A7D" w14:textId="77777777" w:rsidR="00877AFF" w:rsidRPr="00FF1E8F" w:rsidRDefault="00877AFF">
                        <w:pPr>
                          <w:pStyle w:val="TableText"/>
                          <w:cnfStyle w:val="000000100000" w:firstRow="0" w:lastRow="0" w:firstColumn="0" w:lastColumn="0" w:oddVBand="0" w:evenVBand="0" w:oddHBand="1" w:evenHBand="0" w:firstRowFirstColumn="0" w:firstRowLastColumn="0" w:lastRowFirstColumn="0" w:lastRowLastColumn="0"/>
                        </w:pPr>
                        <w:r>
                          <w:t>30-minute individual interview</w:t>
                        </w:r>
                      </w:p>
                    </w:tc>
                  </w:tr>
                </w:tbl>
                <w:p w14:paraId="55997565" w14:textId="694C8EE6" w:rsidR="00877AFF" w:rsidRPr="0044088E" w:rsidRDefault="00877AFF" w:rsidP="00877AFF">
                  <w:pPr>
                    <w:pStyle w:val="Text"/>
                  </w:pPr>
                  <w:r>
                    <w:rPr>
                      <w:lang w:val="en-GB"/>
                    </w:rPr>
                    <w:br/>
                  </w:r>
                  <w:r w:rsidRPr="006A50C1">
                    <w:t xml:space="preserve">The evaluation team </w:t>
                  </w:r>
                  <w:r>
                    <w:t>also developed</w:t>
                  </w:r>
                  <w:r w:rsidRPr="006A50C1">
                    <w:t xml:space="preserve"> and disseminate</w:t>
                  </w:r>
                  <w:r>
                    <w:t>d</w:t>
                  </w:r>
                  <w:r w:rsidRPr="006A50C1">
                    <w:t xml:space="preserve"> an online survey for service users</w:t>
                  </w:r>
                  <w:r>
                    <w:t xml:space="preserve"> and sought 150 survey responses</w:t>
                  </w:r>
                  <w:r w:rsidRPr="006A50C1">
                    <w:t>.</w:t>
                  </w:r>
                  <w:r>
                    <w:t xml:space="preserve"> </w:t>
                  </w:r>
                  <w:r w:rsidRPr="0044088E">
                    <w:t xml:space="preserve">As part of </w:t>
                  </w:r>
                  <w:r>
                    <w:t>this cohort</w:t>
                  </w:r>
                  <w:r w:rsidRPr="0044088E">
                    <w:t xml:space="preserve">, </w:t>
                  </w:r>
                  <w:r>
                    <w:t>the evaluation sought to</w:t>
                  </w:r>
                  <w:r w:rsidRPr="0044088E">
                    <w:t xml:space="preserve"> recruit a minimum of:</w:t>
                  </w:r>
                </w:p>
                <w:p w14:paraId="7B399701" w14:textId="77777777" w:rsidR="00877AFF" w:rsidRPr="0044088E" w:rsidRDefault="00877AFF" w:rsidP="00A96B32">
                  <w:pPr>
                    <w:pStyle w:val="Bullet1"/>
                  </w:pPr>
                  <w:r w:rsidRPr="0044088E">
                    <w:t xml:space="preserve">25 young service users aged between 12 and 17 years old, inclusive. </w:t>
                  </w:r>
                </w:p>
                <w:p w14:paraId="6B62F01B" w14:textId="77777777" w:rsidR="00877AFF" w:rsidRPr="0044088E" w:rsidRDefault="00877AFF" w:rsidP="00A96B32">
                  <w:pPr>
                    <w:pStyle w:val="Bullet1"/>
                  </w:pPr>
                  <w:r w:rsidRPr="0044088E">
                    <w:t>25 participants in Men’s Behaviour Change programs</w:t>
                  </w:r>
                </w:p>
                <w:p w14:paraId="4DA227A1" w14:textId="77777777" w:rsidR="00877AFF" w:rsidRPr="0044088E" w:rsidRDefault="00877AFF" w:rsidP="00A96B32">
                  <w:pPr>
                    <w:pStyle w:val="Bullet1"/>
                  </w:pPr>
                  <w:r w:rsidRPr="0044088E">
                    <w:t>25 Aboriginal and/or Torres Strait Islander service users.</w:t>
                  </w:r>
                </w:p>
                <w:p w14:paraId="60D73403" w14:textId="62A14ED4" w:rsidR="00877AFF" w:rsidRDefault="00877AFF" w:rsidP="00877AFF">
                  <w:pPr>
                    <w:pStyle w:val="Text"/>
                  </w:pPr>
                  <w:r w:rsidRPr="00FC2F69">
                    <w:t xml:space="preserve">An approach which combines elements of purposive and convenience sampling </w:t>
                  </w:r>
                  <w:r>
                    <w:t>was used to</w:t>
                  </w:r>
                  <w:r w:rsidRPr="00FC2F69">
                    <w:t xml:space="preserve"> achieve the desired sample size. The initial approach </w:t>
                  </w:r>
                  <w:r>
                    <w:t>involved</w:t>
                  </w:r>
                  <w:r w:rsidRPr="00FC2F69">
                    <w:t xml:space="preserve"> FaRS and SFVS service providers inviting all eligible service users to respond to the survey (where it is safe to do so). The evaluation team </w:t>
                  </w:r>
                  <w:r>
                    <w:t>conducted</w:t>
                  </w:r>
                  <w:r w:rsidRPr="00FC2F69">
                    <w:t xml:space="preserve"> a stocktake of responses </w:t>
                  </w:r>
                  <w:r w:rsidR="00A972D4">
                    <w:t xml:space="preserve">at the </w:t>
                  </w:r>
                  <w:r w:rsidRPr="00FC2F69">
                    <w:t xml:space="preserve">midpoint </w:t>
                  </w:r>
                  <w:r w:rsidR="00A972D4">
                    <w:t>of</w:t>
                  </w:r>
                  <w:r w:rsidRPr="00FC2F69">
                    <w:t xml:space="preserve"> the consultation period to assess any gaps in responses from target cohorts and </w:t>
                  </w:r>
                  <w:r>
                    <w:t>sought</w:t>
                  </w:r>
                  <w:r w:rsidRPr="00FC2F69">
                    <w:t xml:space="preserve"> to recruit further participants </w:t>
                  </w:r>
                  <w:r w:rsidR="00A972D4">
                    <w:t>through</w:t>
                  </w:r>
                  <w:r w:rsidRPr="00FC2F69">
                    <w:t xml:space="preserve"> more targeted recruitment (i.e. by directly approaching certain service providers to support recruitment to the survey) to achieve the desired sample size.</w:t>
                  </w:r>
                </w:p>
                <w:p w14:paraId="3AF33FD7" w14:textId="6F20203F" w:rsidR="00877AFF" w:rsidRDefault="00877AFF" w:rsidP="00877AFF">
                  <w:pPr>
                    <w:pStyle w:val="Text"/>
                  </w:pPr>
                  <w:r w:rsidRPr="00144DC0">
                    <w:rPr>
                      <w:b/>
                      <w:bCs/>
                    </w:rPr>
                    <w:fldChar w:fldCharType="begin" w:fldLock="1"/>
                  </w:r>
                  <w:r w:rsidRPr="00144DC0">
                    <w:rPr>
                      <w:b/>
                      <w:bCs/>
                    </w:rPr>
                    <w:instrText xml:space="preserve"> REF _Ref203047454 \h  \* MERGEFORMAT </w:instrText>
                  </w:r>
                  <w:r w:rsidRPr="00144DC0">
                    <w:rPr>
                      <w:b/>
                      <w:bCs/>
                    </w:rPr>
                  </w:r>
                  <w:r w:rsidRPr="00144DC0">
                    <w:rPr>
                      <w:b/>
                      <w:bCs/>
                    </w:rPr>
                    <w:fldChar w:fldCharType="separate"/>
                  </w:r>
                  <w:r w:rsidR="008F22E5" w:rsidRPr="1D280572">
                    <w:rPr>
                      <w:rStyle w:val="Text-Bold"/>
                      <w:szCs w:val="22"/>
                    </w:rPr>
                    <w:t xml:space="preserve">Table </w:t>
                  </w:r>
                  <w:r w:rsidR="008F22E5" w:rsidRPr="008F22E5">
                    <w:rPr>
                      <w:b/>
                      <w:bCs/>
                      <w:noProof/>
                    </w:rPr>
                    <w:t>53</w:t>
                  </w:r>
                  <w:r w:rsidRPr="00144DC0">
                    <w:rPr>
                      <w:b/>
                      <w:bCs/>
                    </w:rPr>
                    <w:fldChar w:fldCharType="end"/>
                  </w:r>
                  <w:r>
                    <w:rPr>
                      <w:b/>
                      <w:bCs/>
                    </w:rPr>
                    <w:t xml:space="preserve"> </w:t>
                  </w:r>
                  <w:r>
                    <w:t xml:space="preserve">below sets </w:t>
                  </w:r>
                  <w:r w:rsidRPr="00AC07E4">
                    <w:t>out the inclusion criteria for adult and child participants</w:t>
                  </w:r>
                  <w:r>
                    <w:t xml:space="preserve"> for both interviews and surveys</w:t>
                  </w:r>
                  <w:r w:rsidRPr="00AC07E4">
                    <w:t xml:space="preserve">. Any person satisfying the inclusion criteria below </w:t>
                  </w:r>
                  <w:r>
                    <w:t>was</w:t>
                  </w:r>
                  <w:r w:rsidRPr="00AC07E4">
                    <w:t xml:space="preserve"> eligible to participate. These criteria </w:t>
                  </w:r>
                  <w:r>
                    <w:t>were</w:t>
                  </w:r>
                  <w:r w:rsidRPr="00AC07E4">
                    <w:t xml:space="preserve"> applied by service providers to identify potential participants for the evaluation.</w:t>
                  </w:r>
                </w:p>
                <w:p w14:paraId="20E4F266" w14:textId="314FCBD2" w:rsidR="00877AFF" w:rsidRPr="00925CD2" w:rsidRDefault="00877AFF" w:rsidP="00EF1F60">
                  <w:pPr>
                    <w:pStyle w:val="TableFigure-Header"/>
                    <w:rPr>
                      <w:rStyle w:val="Text-Bold"/>
                      <w:b/>
                      <w:sz w:val="22"/>
                      <w:szCs w:val="22"/>
                      <w:lang w:val="en-NZ"/>
                    </w:rPr>
                  </w:pPr>
                  <w:bookmarkStart w:id="556" w:name="_Ref203050018"/>
                  <w:bookmarkStart w:id="557" w:name="_Ref203047454"/>
                  <w:r w:rsidRPr="1D280572">
                    <w:rPr>
                      <w:rStyle w:val="Text-Bold"/>
                      <w:b/>
                      <w:sz w:val="22"/>
                      <w:szCs w:val="22"/>
                      <w:lang w:val="en-NZ"/>
                    </w:rPr>
                    <w:t>Table</w:t>
                  </w:r>
                  <w:bookmarkEnd w:id="556"/>
                  <w:r w:rsidRPr="1D280572">
                    <w:rPr>
                      <w:rStyle w:val="Text-Bold"/>
                      <w:b/>
                      <w:sz w:val="22"/>
                      <w:szCs w:val="22"/>
                      <w:lang w:val="en-NZ"/>
                    </w:rPr>
                    <w:t xml:space="preserve"> </w:t>
                  </w:r>
                  <w:r w:rsidRPr="00925CD2">
                    <w:rPr>
                      <w:rStyle w:val="Text-Bold"/>
                      <w:b/>
                      <w:sz w:val="22"/>
                      <w:szCs w:val="22"/>
                    </w:rPr>
                    <w:fldChar w:fldCharType="begin"/>
                  </w:r>
                  <w:r>
                    <w:instrText xml:space="preserve"> SEQ Table \* ARABIC </w:instrText>
                  </w:r>
                  <w:r w:rsidRPr="00925CD2">
                    <w:rPr>
                      <w:rStyle w:val="Text-Bold"/>
                      <w:b/>
                      <w:sz w:val="22"/>
                      <w:szCs w:val="22"/>
                    </w:rPr>
                    <w:fldChar w:fldCharType="separate"/>
                  </w:r>
                  <w:r w:rsidR="008D2566">
                    <w:rPr>
                      <w:noProof/>
                    </w:rPr>
                    <w:t>53</w:t>
                  </w:r>
                  <w:r w:rsidRPr="00925CD2">
                    <w:rPr>
                      <w:rStyle w:val="Text-Bold"/>
                      <w:b/>
                      <w:sz w:val="22"/>
                      <w:szCs w:val="22"/>
                    </w:rPr>
                    <w:fldChar w:fldCharType="end"/>
                  </w:r>
                  <w:bookmarkEnd w:id="557"/>
                  <w:r w:rsidRPr="1D280572">
                    <w:rPr>
                      <w:rStyle w:val="Text-Bold"/>
                      <w:b/>
                      <w:sz w:val="22"/>
                      <w:szCs w:val="22"/>
                      <w:lang w:val="en-NZ"/>
                    </w:rPr>
                    <w:t>: Service user interview and survey inclusion criteria</w:t>
                  </w:r>
                </w:p>
                <w:tbl>
                  <w:tblPr>
                    <w:tblStyle w:val="ACTableDesign20"/>
                    <w:tblW w:w="5000" w:type="pct"/>
                    <w:tblLook w:val="04A0" w:firstRow="1" w:lastRow="0" w:firstColumn="1" w:lastColumn="0" w:noHBand="0" w:noVBand="1"/>
                  </w:tblPr>
                  <w:tblGrid>
                    <w:gridCol w:w="3088"/>
                    <w:gridCol w:w="3089"/>
                    <w:gridCol w:w="2846"/>
                  </w:tblGrid>
                  <w:tr w:rsidR="00877AFF" w:rsidRPr="00BB1E4A" w14:paraId="7FB10BB8" w14:textId="77777777" w:rsidTr="00811E31">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711" w:type="pct"/>
                        <w:shd w:val="clear" w:color="auto" w:fill="007E00" w:themeFill="accent3"/>
                      </w:tcPr>
                      <w:p w14:paraId="0A33FDFD" w14:textId="77777777" w:rsidR="00877AFF" w:rsidRPr="002811B3" w:rsidRDefault="00877AFF">
                        <w:pPr>
                          <w:pStyle w:val="TableFigure-Header"/>
                          <w:rPr>
                            <w:color w:val="FFFFFF" w:themeColor="background1"/>
                          </w:rPr>
                        </w:pPr>
                        <w:r w:rsidRPr="002811B3">
                          <w:rPr>
                            <w:b/>
                            <w:color w:val="FFFFFF" w:themeColor="background1"/>
                          </w:rPr>
                          <w:t>Adult service users</w:t>
                        </w:r>
                      </w:p>
                    </w:tc>
                    <w:tc>
                      <w:tcPr>
                        <w:tcW w:w="1712" w:type="pct"/>
                        <w:shd w:val="clear" w:color="auto" w:fill="007E00" w:themeFill="accent3"/>
                      </w:tcPr>
                      <w:p w14:paraId="07A3789A" w14:textId="77777777" w:rsidR="00877AFF" w:rsidRPr="002811B3" w:rsidRDefault="00877AFF">
                        <w:pPr>
                          <w:pStyle w:val="TableFigure-Header"/>
                          <w:cnfStyle w:val="100000000000" w:firstRow="1" w:lastRow="0" w:firstColumn="0" w:lastColumn="0" w:oddVBand="0" w:evenVBand="0" w:oddHBand="0" w:evenHBand="0" w:firstRowFirstColumn="0" w:firstRowLastColumn="0" w:lastRowFirstColumn="0" w:lastRowLastColumn="0"/>
                          <w:rPr>
                            <w:color w:val="FFFFFF" w:themeColor="background1"/>
                          </w:rPr>
                        </w:pPr>
                        <w:r w:rsidRPr="002811B3">
                          <w:rPr>
                            <w:b/>
                            <w:color w:val="FFFFFF" w:themeColor="background1"/>
                          </w:rPr>
                          <w:t>Young service users</w:t>
                        </w:r>
                      </w:p>
                    </w:tc>
                    <w:tc>
                      <w:tcPr>
                        <w:tcW w:w="1577" w:type="pct"/>
                        <w:shd w:val="clear" w:color="auto" w:fill="007E00" w:themeFill="accent3"/>
                      </w:tcPr>
                      <w:p w14:paraId="25566D6F" w14:textId="77777777" w:rsidR="00877AFF" w:rsidRPr="002811B3" w:rsidRDefault="00877AFF">
                        <w:pPr>
                          <w:pStyle w:val="TableFigure-Header"/>
                          <w:cnfStyle w:val="100000000000" w:firstRow="1" w:lastRow="0" w:firstColumn="0" w:lastColumn="0" w:oddVBand="0" w:evenVBand="0" w:oddHBand="0" w:evenHBand="0" w:firstRowFirstColumn="0" w:firstRowLastColumn="0" w:lastRowFirstColumn="0" w:lastRowLastColumn="0"/>
                          <w:rPr>
                            <w:b/>
                            <w:color w:val="FFFFFF" w:themeColor="background1"/>
                          </w:rPr>
                        </w:pPr>
                        <w:r w:rsidRPr="002811B3">
                          <w:rPr>
                            <w:b/>
                            <w:color w:val="FFFFFF" w:themeColor="background1"/>
                          </w:rPr>
                          <w:t>Men’s Behaviour Change Program Service Users</w:t>
                        </w:r>
                      </w:p>
                    </w:tc>
                  </w:tr>
                  <w:tr w:rsidR="00877AFF" w:rsidRPr="00BB1E4A" w14:paraId="2A2C0EA1" w14:textId="77777777" w:rsidTr="007837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3"/>
                        <w:shd w:val="clear" w:color="auto" w:fill="EBECED" w:themeFill="text2"/>
                      </w:tcPr>
                      <w:p w14:paraId="461B8E3A" w14:textId="77777777" w:rsidR="00877AFF" w:rsidRPr="00A873D9" w:rsidRDefault="00877AFF">
                        <w:pPr>
                          <w:rPr>
                            <w:rFonts w:eastAsia="Arial" w:cs="Times New Roman"/>
                            <w:b/>
                            <w:bCs/>
                            <w:color w:val="auto"/>
                            <w:lang w:val="en-US"/>
                          </w:rPr>
                        </w:pPr>
                        <w:r w:rsidRPr="00A873D9">
                          <w:rPr>
                            <w:b/>
                            <w:bCs/>
                          </w:rPr>
                          <w:t>Inclusion criteria</w:t>
                        </w:r>
                      </w:p>
                    </w:tc>
                  </w:tr>
                  <w:tr w:rsidR="002D66C6" w:rsidRPr="00BB1E4A" w14:paraId="67EE85C1" w14:textId="77777777" w:rsidTr="0078378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pct"/>
                        <w:shd w:val="clear" w:color="auto" w:fill="auto"/>
                      </w:tcPr>
                      <w:p w14:paraId="7739FBDE" w14:textId="77777777" w:rsidR="00877AFF" w:rsidRPr="00BB1E4A" w:rsidRDefault="00877AFF">
                        <w:pPr>
                          <w:pStyle w:val="TableText"/>
                        </w:pPr>
                        <w:r w:rsidRPr="00BB1E4A">
                          <w:t>Aged 18 or over</w:t>
                        </w:r>
                      </w:p>
                    </w:tc>
                    <w:tc>
                      <w:tcPr>
                        <w:tcW w:w="0" w:type="pct"/>
                        <w:shd w:val="clear" w:color="auto" w:fill="auto"/>
                      </w:tcPr>
                      <w:p w14:paraId="06807B7F" w14:textId="77777777" w:rsidR="00877AFF" w:rsidRPr="00BB1E4A" w:rsidRDefault="00877AFF">
                        <w:pPr>
                          <w:pStyle w:val="TableText"/>
                          <w:cnfStyle w:val="000000010000" w:firstRow="0" w:lastRow="0" w:firstColumn="0" w:lastColumn="0" w:oddVBand="0" w:evenVBand="0" w:oddHBand="0" w:evenHBand="1" w:firstRowFirstColumn="0" w:firstRowLastColumn="0" w:lastRowFirstColumn="0" w:lastRowLastColumn="0"/>
                        </w:pPr>
                        <w:r w:rsidRPr="00BB1E4A">
                          <w:t>Aged between 7 and 17 years (inclusive)</w:t>
                        </w:r>
                      </w:p>
                    </w:tc>
                    <w:tc>
                      <w:tcPr>
                        <w:tcW w:w="0" w:type="pct"/>
                        <w:shd w:val="clear" w:color="auto" w:fill="auto"/>
                      </w:tcPr>
                      <w:p w14:paraId="0A0E76C1" w14:textId="77777777" w:rsidR="00877AFF" w:rsidRPr="00BB1E4A" w:rsidRDefault="00877AFF">
                        <w:pPr>
                          <w:pStyle w:val="TableText"/>
                          <w:cnfStyle w:val="000000010000" w:firstRow="0" w:lastRow="0" w:firstColumn="0" w:lastColumn="0" w:oddVBand="0" w:evenVBand="0" w:oddHBand="0" w:evenHBand="1" w:firstRowFirstColumn="0" w:firstRowLastColumn="0" w:lastRowFirstColumn="0" w:lastRowLastColumn="0"/>
                        </w:pPr>
                        <w:r w:rsidRPr="00BB1E4A">
                          <w:t>Aged 18 or over</w:t>
                        </w:r>
                      </w:p>
                    </w:tc>
                  </w:tr>
                  <w:tr w:rsidR="002D66C6" w:rsidRPr="00BB1E4A" w14:paraId="676C4B32" w14:textId="77777777" w:rsidTr="0078378F">
                    <w:trPr>
                      <w:cnfStyle w:val="000000100000" w:firstRow="0" w:lastRow="0" w:firstColumn="0" w:lastColumn="0" w:oddVBand="0" w:evenVBand="0" w:oddHBand="1" w:evenHBand="0" w:firstRowFirstColumn="0" w:firstRowLastColumn="0" w:lastRowFirstColumn="0" w:lastRowLastColumn="0"/>
                      <w:trHeight w:val="74"/>
                    </w:trPr>
                    <w:tc>
                      <w:tcPr>
                        <w:cnfStyle w:val="001000000000" w:firstRow="0" w:lastRow="0" w:firstColumn="1" w:lastColumn="0" w:oddVBand="0" w:evenVBand="0" w:oddHBand="0" w:evenHBand="0" w:firstRowFirstColumn="0" w:firstRowLastColumn="0" w:lastRowFirstColumn="0" w:lastRowLastColumn="0"/>
                        <w:tcW w:w="0" w:type="pct"/>
                        <w:shd w:val="clear" w:color="auto" w:fill="auto"/>
                      </w:tcPr>
                      <w:p w14:paraId="448E2D6E" w14:textId="77777777" w:rsidR="00877AFF" w:rsidRPr="00BB1E4A" w:rsidRDefault="00877AFF">
                        <w:pPr>
                          <w:pStyle w:val="TableText"/>
                        </w:pPr>
                        <w:r w:rsidRPr="00BB1E4A">
                          <w:t>Located in Australia</w:t>
                        </w:r>
                      </w:p>
                    </w:tc>
                    <w:tc>
                      <w:tcPr>
                        <w:tcW w:w="0" w:type="pct"/>
                        <w:shd w:val="clear" w:color="auto" w:fill="auto"/>
                      </w:tcPr>
                      <w:p w14:paraId="1D71B984" w14:textId="77777777" w:rsidR="00877AFF" w:rsidRPr="00BB1E4A" w:rsidRDefault="00877AFF">
                        <w:pPr>
                          <w:pStyle w:val="TableText"/>
                          <w:cnfStyle w:val="000000100000" w:firstRow="0" w:lastRow="0" w:firstColumn="0" w:lastColumn="0" w:oddVBand="0" w:evenVBand="0" w:oddHBand="1" w:evenHBand="0" w:firstRowFirstColumn="0" w:firstRowLastColumn="0" w:lastRowFirstColumn="0" w:lastRowLastColumn="0"/>
                        </w:pPr>
                        <w:r w:rsidRPr="00BB1E4A">
                          <w:t>Located in Australia</w:t>
                        </w:r>
                      </w:p>
                    </w:tc>
                    <w:tc>
                      <w:tcPr>
                        <w:tcW w:w="0" w:type="pct"/>
                        <w:shd w:val="clear" w:color="auto" w:fill="auto"/>
                      </w:tcPr>
                      <w:p w14:paraId="2EE6CDA7" w14:textId="77777777" w:rsidR="00877AFF" w:rsidRPr="00BB1E4A" w:rsidRDefault="00877AFF">
                        <w:pPr>
                          <w:pStyle w:val="TableText"/>
                          <w:cnfStyle w:val="000000100000" w:firstRow="0" w:lastRow="0" w:firstColumn="0" w:lastColumn="0" w:oddVBand="0" w:evenVBand="0" w:oddHBand="1" w:evenHBand="0" w:firstRowFirstColumn="0" w:firstRowLastColumn="0" w:lastRowFirstColumn="0" w:lastRowLastColumn="0"/>
                        </w:pPr>
                        <w:r w:rsidRPr="00BB1E4A">
                          <w:t>Located in Australia</w:t>
                        </w:r>
                      </w:p>
                    </w:tc>
                  </w:tr>
                  <w:tr w:rsidR="002D66C6" w:rsidRPr="00BB1E4A" w14:paraId="570C005A" w14:textId="77777777" w:rsidTr="0078378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pct"/>
                        <w:shd w:val="clear" w:color="auto" w:fill="auto"/>
                      </w:tcPr>
                      <w:p w14:paraId="408D9A9A" w14:textId="77777777" w:rsidR="00877AFF" w:rsidRPr="00BB1E4A" w:rsidRDefault="00877AFF">
                        <w:pPr>
                          <w:pStyle w:val="TableText"/>
                        </w:pPr>
                        <w:r w:rsidRPr="5B5AA9F8">
                          <w:rPr>
                            <w:lang w:val="en-NZ"/>
                          </w:rPr>
                          <w:lastRenderedPageBreak/>
                          <w:t>Received at least one FaRS and/or SFVS service within the past 12 months</w:t>
                        </w:r>
                      </w:p>
                    </w:tc>
                    <w:tc>
                      <w:tcPr>
                        <w:tcW w:w="0" w:type="pct"/>
                        <w:shd w:val="clear" w:color="auto" w:fill="auto"/>
                      </w:tcPr>
                      <w:p w14:paraId="1370CCD5" w14:textId="77777777" w:rsidR="00877AFF" w:rsidRPr="00BB1E4A" w:rsidRDefault="00877AFF">
                        <w:pPr>
                          <w:pStyle w:val="TableText"/>
                          <w:cnfStyle w:val="000000010000" w:firstRow="0" w:lastRow="0" w:firstColumn="0" w:lastColumn="0" w:oddVBand="0" w:evenVBand="0" w:oddHBand="0" w:evenHBand="1" w:firstRowFirstColumn="0" w:firstRowLastColumn="0" w:lastRowFirstColumn="0" w:lastRowLastColumn="0"/>
                        </w:pPr>
                        <w:r w:rsidRPr="00BB1E4A">
                          <w:t>Has engaged with a professional in a Child Specific Counselling SFVS service within the last 12 months</w:t>
                        </w:r>
                      </w:p>
                    </w:tc>
                    <w:tc>
                      <w:tcPr>
                        <w:tcW w:w="0" w:type="pct"/>
                        <w:shd w:val="clear" w:color="auto" w:fill="auto"/>
                      </w:tcPr>
                      <w:p w14:paraId="696EB469" w14:textId="77777777" w:rsidR="00877AFF" w:rsidRPr="00BB1E4A" w:rsidRDefault="00877AFF">
                        <w:pPr>
                          <w:pStyle w:val="TableText"/>
                          <w:cnfStyle w:val="000000010000" w:firstRow="0" w:lastRow="0" w:firstColumn="0" w:lastColumn="0" w:oddVBand="0" w:evenVBand="0" w:oddHBand="0" w:evenHBand="1" w:firstRowFirstColumn="0" w:firstRowLastColumn="0" w:lastRowFirstColumn="0" w:lastRowLastColumn="0"/>
                        </w:pPr>
                        <w:r w:rsidRPr="5B5AA9F8">
                          <w:rPr>
                            <w:lang w:val="en-NZ"/>
                          </w:rPr>
                          <w:t>Received at least one service from a FaRS funded MBCP within the past 12 months</w:t>
                        </w:r>
                      </w:p>
                    </w:tc>
                  </w:tr>
                  <w:tr w:rsidR="002D66C6" w:rsidRPr="00BB1E4A" w14:paraId="139762CE" w14:textId="77777777" w:rsidTr="007837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pct"/>
                        <w:shd w:val="clear" w:color="auto" w:fill="auto"/>
                      </w:tcPr>
                      <w:p w14:paraId="02765F3B" w14:textId="77777777" w:rsidR="00877AFF" w:rsidRPr="00BB1E4A" w:rsidRDefault="00877AFF">
                        <w:pPr>
                          <w:pStyle w:val="TableText"/>
                        </w:pPr>
                        <w:r w:rsidRPr="5B5AA9F8">
                          <w:rPr>
                            <w:lang w:val="en-NZ"/>
                          </w:rPr>
                          <w:t>Is able to provide informed consent</w:t>
                        </w:r>
                      </w:p>
                    </w:tc>
                    <w:tc>
                      <w:tcPr>
                        <w:tcW w:w="0" w:type="pct"/>
                        <w:shd w:val="clear" w:color="auto" w:fill="auto"/>
                      </w:tcPr>
                      <w:p w14:paraId="12300871" w14:textId="77777777" w:rsidR="00877AFF" w:rsidRPr="00BB1E4A" w:rsidRDefault="00877AFF">
                        <w:pPr>
                          <w:pStyle w:val="TableText"/>
                          <w:cnfStyle w:val="000000100000" w:firstRow="0" w:lastRow="0" w:firstColumn="0" w:lastColumn="0" w:oddVBand="0" w:evenVBand="0" w:oddHBand="1" w:evenHBand="0" w:firstRowFirstColumn="0" w:firstRowLastColumn="0" w:lastRowFirstColumn="0" w:lastRowLastColumn="0"/>
                        </w:pPr>
                        <w:r w:rsidRPr="00BB1E4A">
                          <w:t>Has a parent or guardian who is suitable to provide consent and who consents to their participation OR has the capacity to provide consent independently of their parent/guardian (if the young person is aged 16-18)</w:t>
                        </w:r>
                      </w:p>
                    </w:tc>
                    <w:tc>
                      <w:tcPr>
                        <w:tcW w:w="0" w:type="pct"/>
                        <w:shd w:val="clear" w:color="auto" w:fill="auto"/>
                      </w:tcPr>
                      <w:p w14:paraId="57C09EC2" w14:textId="77777777" w:rsidR="00877AFF" w:rsidRPr="00BB1E4A" w:rsidRDefault="00877AFF">
                        <w:pPr>
                          <w:pStyle w:val="TableText"/>
                          <w:cnfStyle w:val="000000100000" w:firstRow="0" w:lastRow="0" w:firstColumn="0" w:lastColumn="0" w:oddVBand="0" w:evenVBand="0" w:oddHBand="1" w:evenHBand="0" w:firstRowFirstColumn="0" w:firstRowLastColumn="0" w:lastRowFirstColumn="0" w:lastRowLastColumn="0"/>
                        </w:pPr>
                        <w:r w:rsidRPr="5B5AA9F8">
                          <w:rPr>
                            <w:lang w:val="en-NZ"/>
                          </w:rPr>
                          <w:t>Is able to provide informed consent</w:t>
                        </w:r>
                      </w:p>
                    </w:tc>
                  </w:tr>
                  <w:tr w:rsidR="002D66C6" w:rsidRPr="00BB1E4A" w14:paraId="66204E02" w14:textId="77777777" w:rsidTr="0078378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pct"/>
                        <w:shd w:val="clear" w:color="auto" w:fill="auto"/>
                      </w:tcPr>
                      <w:p w14:paraId="31B622A6" w14:textId="77777777" w:rsidR="00877AFF" w:rsidRPr="00BB1E4A" w:rsidRDefault="00877AFF">
                        <w:pPr>
                          <w:pStyle w:val="TableText"/>
                        </w:pPr>
                        <w:r w:rsidRPr="5B5AA9F8">
                          <w:rPr>
                            <w:lang w:val="en-NZ"/>
                          </w:rPr>
                          <w:t xml:space="preserve">Has been assessed by their service provider as being in circumstances that will enable them to safely participate in the evaluation. There are a number of questions service providers may consider to assess this for adults: </w:t>
                        </w:r>
                      </w:p>
                      <w:p w14:paraId="335BFB6B" w14:textId="77777777" w:rsidR="00877AFF" w:rsidRPr="00BB1E4A" w:rsidRDefault="00877AFF">
                        <w:pPr>
                          <w:pStyle w:val="TableBullet1"/>
                        </w:pPr>
                        <w:r w:rsidRPr="5B5AA9F8">
                          <w:rPr>
                            <w:lang w:val="en-NZ"/>
                          </w:rPr>
                          <w:t>Is there a risk that participating in the evaluation will expose the service user to harm or exacerbate any existing risk?</w:t>
                        </w:r>
                      </w:p>
                      <w:p w14:paraId="6AC90BCA" w14:textId="77777777" w:rsidR="00877AFF" w:rsidRPr="00BB1E4A" w:rsidRDefault="00877AFF">
                        <w:pPr>
                          <w:pStyle w:val="TableBullet1"/>
                        </w:pPr>
                        <w:r w:rsidRPr="5B5AA9F8">
                          <w:rPr>
                            <w:lang w:val="en-NZ"/>
                          </w:rPr>
                          <w:t>Is there any other risk, wellbeing or structural issue that may cause that service user to be exposed to harm as a result of participating in the evaluation?</w:t>
                        </w:r>
                      </w:p>
                      <w:p w14:paraId="3DD62F02" w14:textId="77777777" w:rsidR="00877AFF" w:rsidRPr="00BB1E4A" w:rsidRDefault="00877AFF">
                        <w:pPr>
                          <w:rPr>
                            <w:rFonts w:eastAsia="Arial" w:cs="Times New Roman"/>
                            <w:lang w:val="en-US"/>
                          </w:rPr>
                        </w:pPr>
                      </w:p>
                    </w:tc>
                    <w:tc>
                      <w:tcPr>
                        <w:tcW w:w="0" w:type="pct"/>
                        <w:shd w:val="clear" w:color="auto" w:fill="auto"/>
                      </w:tcPr>
                      <w:p w14:paraId="5CD6257C" w14:textId="77777777" w:rsidR="00877AFF" w:rsidRPr="00BB1E4A" w:rsidRDefault="00877AFF">
                        <w:pPr>
                          <w:cnfStyle w:val="000000010000" w:firstRow="0" w:lastRow="0" w:firstColumn="0" w:lastColumn="0" w:oddVBand="0" w:evenVBand="0" w:oddHBand="0" w:evenHBand="1" w:firstRowFirstColumn="0" w:firstRowLastColumn="0" w:lastRowFirstColumn="0" w:lastRowLastColumn="0"/>
                          <w:rPr>
                            <w:rFonts w:eastAsia="Arial" w:cs="Times New Roman"/>
                            <w:lang w:val="en-US"/>
                          </w:rPr>
                        </w:pPr>
                        <w:r w:rsidRPr="00BB1E4A">
                          <w:rPr>
                            <w:rStyle w:val="TableTextChar"/>
                          </w:rPr>
                          <w:t xml:space="preserve">Has been assessed by their service provider as being in circumstances that will enable them to safely participate in the evaluation. </w:t>
                        </w:r>
                        <w:r w:rsidRPr="00BB1E4A">
                          <w:rPr>
                            <w:rStyle w:val="TableTextChar"/>
                            <w:lang w:val="en-US"/>
                          </w:rPr>
                          <w:t>There are a number of questions service providers may consider to assess this</w:t>
                        </w:r>
                        <w:r w:rsidRPr="00BB1E4A">
                          <w:rPr>
                            <w:rFonts w:eastAsia="Arial" w:cs="Times New Roman"/>
                            <w:lang w:val="en-US"/>
                          </w:rPr>
                          <w:t xml:space="preserve">: </w:t>
                        </w:r>
                      </w:p>
                      <w:p w14:paraId="1E68E402" w14:textId="77777777" w:rsidR="00877AFF" w:rsidRPr="00BB1E4A" w:rsidRDefault="00877AFF">
                        <w:pPr>
                          <w:pStyle w:val="TableBullet1"/>
                          <w:cnfStyle w:val="000000010000" w:firstRow="0" w:lastRow="0" w:firstColumn="0" w:lastColumn="0" w:oddVBand="0" w:evenVBand="0" w:oddHBand="0" w:evenHBand="1" w:firstRowFirstColumn="0" w:firstRowLastColumn="0" w:lastRowFirstColumn="0" w:lastRowLastColumn="0"/>
                        </w:pPr>
                        <w:r w:rsidRPr="5B5AA9F8">
                          <w:rPr>
                            <w:lang w:val="en-NZ"/>
                          </w:rPr>
                          <w:t>Is there a risk that participating in the evaluation will expose the young service user to harm or exacerbate any existing risk?</w:t>
                        </w:r>
                      </w:p>
                      <w:p w14:paraId="38FFF206" w14:textId="77777777" w:rsidR="00877AFF" w:rsidRPr="00BB1E4A" w:rsidRDefault="00877AFF">
                        <w:pPr>
                          <w:pStyle w:val="TableBullet1"/>
                          <w:cnfStyle w:val="000000010000" w:firstRow="0" w:lastRow="0" w:firstColumn="0" w:lastColumn="0" w:oddVBand="0" w:evenVBand="0" w:oddHBand="0" w:evenHBand="1" w:firstRowFirstColumn="0" w:firstRowLastColumn="0" w:lastRowFirstColumn="0" w:lastRowLastColumn="0"/>
                        </w:pPr>
                        <w:r w:rsidRPr="5B5AA9F8">
                          <w:rPr>
                            <w:lang w:val="en-NZ"/>
                          </w:rPr>
                          <w:t>Is there any other risk, wellbeing or structural issue that may cause that young service user to be exposed to harm as a result of participating in the evaluation?</w:t>
                        </w:r>
                      </w:p>
                    </w:tc>
                    <w:tc>
                      <w:tcPr>
                        <w:tcW w:w="0" w:type="pct"/>
                        <w:shd w:val="clear" w:color="auto" w:fill="auto"/>
                      </w:tcPr>
                      <w:p w14:paraId="4DF4AD17" w14:textId="77777777" w:rsidR="00877AFF" w:rsidRPr="00BB1E4A" w:rsidRDefault="00877AFF">
                        <w:pPr>
                          <w:pStyle w:val="TableText"/>
                          <w:cnfStyle w:val="000000010000" w:firstRow="0" w:lastRow="0" w:firstColumn="0" w:lastColumn="0" w:oddVBand="0" w:evenVBand="0" w:oddHBand="0" w:evenHBand="1" w:firstRowFirstColumn="0" w:firstRowLastColumn="0" w:lastRowFirstColumn="0" w:lastRowLastColumn="0"/>
                        </w:pPr>
                        <w:r w:rsidRPr="5B5AA9F8">
                          <w:rPr>
                            <w:lang w:val="en-NZ"/>
                          </w:rPr>
                          <w:t>Both the MBCP service user and the victim survivor are actively engaged in case management (as indicated by the MBCP service provider).</w:t>
                        </w:r>
                      </w:p>
                      <w:p w14:paraId="3EA12E30" w14:textId="77777777" w:rsidR="00877AFF" w:rsidRPr="00BB1E4A" w:rsidRDefault="00877AFF">
                        <w:pPr>
                          <w:pStyle w:val="TableText"/>
                          <w:cnfStyle w:val="000000010000" w:firstRow="0" w:lastRow="0" w:firstColumn="0" w:lastColumn="0" w:oddVBand="0" w:evenVBand="0" w:oddHBand="0" w:evenHBand="1" w:firstRowFirstColumn="0" w:firstRowLastColumn="0" w:lastRowFirstColumn="0" w:lastRowLastColumn="0"/>
                        </w:pPr>
                      </w:p>
                      <w:p w14:paraId="4875B151" w14:textId="77777777" w:rsidR="00877AFF" w:rsidRPr="00BB1E4A" w:rsidRDefault="00877AFF">
                        <w:pPr>
                          <w:pStyle w:val="TableText"/>
                          <w:cnfStyle w:val="000000010000" w:firstRow="0" w:lastRow="0" w:firstColumn="0" w:lastColumn="0" w:oddVBand="0" w:evenVBand="0" w:oddHBand="0" w:evenHBand="1" w:firstRowFirstColumn="0" w:firstRowLastColumn="0" w:lastRowFirstColumn="0" w:lastRowLastColumn="0"/>
                        </w:pPr>
                        <w:r w:rsidRPr="5B5AA9F8">
                          <w:rPr>
                            <w:lang w:val="en-NZ"/>
                          </w:rPr>
                          <w:t>The MBCP service user has been assessed by their service provider as being in circumstances that mean that their participation will not exacerbate any risks.</w:t>
                        </w:r>
                      </w:p>
                    </w:tc>
                  </w:tr>
                  <w:tr w:rsidR="00877AFF" w:rsidRPr="00BB1E4A" w14:paraId="227FBECD" w14:textId="77777777" w:rsidTr="007837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3"/>
                        <w:shd w:val="clear" w:color="auto" w:fill="EBECED" w:themeFill="text2"/>
                      </w:tcPr>
                      <w:p w14:paraId="005D9DEA" w14:textId="77777777" w:rsidR="00877AFF" w:rsidRPr="00BB1E4A" w:rsidRDefault="00877AFF">
                        <w:pPr>
                          <w:pStyle w:val="TableFigure-Header"/>
                        </w:pPr>
                        <w:r w:rsidRPr="00BB1E4A">
                          <w:t>Exclusion criteria</w:t>
                        </w:r>
                      </w:p>
                    </w:tc>
                  </w:tr>
                  <w:tr w:rsidR="002D66C6" w:rsidRPr="00BB1E4A" w14:paraId="65827B9D" w14:textId="77777777" w:rsidTr="0078378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pct"/>
                        <w:shd w:val="clear" w:color="auto" w:fill="auto"/>
                      </w:tcPr>
                      <w:p w14:paraId="19C77912" w14:textId="77777777" w:rsidR="00877AFF" w:rsidRPr="00BB1E4A" w:rsidRDefault="00877AFF">
                        <w:pPr>
                          <w:pStyle w:val="TableText"/>
                        </w:pPr>
                        <w:r w:rsidRPr="00BB1E4A">
                          <w:t>Has expressly not consented to be contacted for survey/research/evaluation purposes</w:t>
                        </w:r>
                      </w:p>
                    </w:tc>
                    <w:tc>
                      <w:tcPr>
                        <w:tcW w:w="0" w:type="pct"/>
                        <w:shd w:val="clear" w:color="auto" w:fill="auto"/>
                      </w:tcPr>
                      <w:p w14:paraId="147C6B0D" w14:textId="77777777" w:rsidR="00877AFF" w:rsidRPr="00BB1E4A" w:rsidRDefault="00877AFF">
                        <w:pPr>
                          <w:pStyle w:val="TableText"/>
                          <w:cnfStyle w:val="000000010000" w:firstRow="0" w:lastRow="0" w:firstColumn="0" w:lastColumn="0" w:oddVBand="0" w:evenVBand="0" w:oddHBand="0" w:evenHBand="1" w:firstRowFirstColumn="0" w:firstRowLastColumn="0" w:lastRowFirstColumn="0" w:lastRowLastColumn="0"/>
                        </w:pPr>
                        <w:r w:rsidRPr="00BB1E4A">
                          <w:t>Relevant person (young person or parent/guardian) has expressly not consented to be contacted for survey/research/evaluation purposes</w:t>
                        </w:r>
                      </w:p>
                    </w:tc>
                    <w:tc>
                      <w:tcPr>
                        <w:tcW w:w="0" w:type="pct"/>
                        <w:shd w:val="clear" w:color="auto" w:fill="auto"/>
                      </w:tcPr>
                      <w:p w14:paraId="04239E74" w14:textId="77777777" w:rsidR="00877AFF" w:rsidRPr="00BB1E4A" w:rsidRDefault="00877AFF">
                        <w:pPr>
                          <w:pStyle w:val="TableText"/>
                          <w:cnfStyle w:val="000000010000" w:firstRow="0" w:lastRow="0" w:firstColumn="0" w:lastColumn="0" w:oddVBand="0" w:evenVBand="0" w:oddHBand="0" w:evenHBand="1" w:firstRowFirstColumn="0" w:firstRowLastColumn="0" w:lastRowFirstColumn="0" w:lastRowLastColumn="0"/>
                        </w:pPr>
                        <w:r w:rsidRPr="00BB1E4A">
                          <w:t>Has expressly not consented to be contacted for survey/research/evaluation purposes</w:t>
                        </w:r>
                      </w:p>
                    </w:tc>
                  </w:tr>
                </w:tbl>
                <w:p w14:paraId="59CD2E12" w14:textId="77777777" w:rsidR="00877AFF" w:rsidRDefault="00877AFF" w:rsidP="00877AFF">
                  <w:pPr>
                    <w:pStyle w:val="Text"/>
                  </w:pPr>
                </w:p>
                <w:p w14:paraId="2F6D41EE" w14:textId="3AA940E0" w:rsidR="00877AFF" w:rsidRDefault="00877AFF" w:rsidP="00877AFF">
                  <w:pPr>
                    <w:pStyle w:val="Text"/>
                  </w:pPr>
                  <w:r>
                    <w:t xml:space="preserve">The evaluation originally sought to conduct 800 surveys and 105 interviews. This was revised to 150 survey responses and 125 interviews in April 2025 to offset difficulties experienced with recruiting </w:t>
                  </w:r>
                  <w:r w:rsidR="002D0D5F">
                    <w:t>SFVS service users</w:t>
                  </w:r>
                  <w:r w:rsidR="001F08B2">
                    <w:t>.</w:t>
                  </w:r>
                  <w:r>
                    <w:t xml:space="preserve"> </w:t>
                  </w:r>
                </w:p>
                <w:p w14:paraId="16B6245B" w14:textId="74611D29" w:rsidR="00877AFF" w:rsidRDefault="00877AFF" w:rsidP="00877AFF">
                  <w:pPr>
                    <w:pStyle w:val="Text"/>
                  </w:pPr>
                  <w:r>
                    <w:lastRenderedPageBreak/>
                    <w:t xml:space="preserve">The overall </w:t>
                  </w:r>
                  <w:r w:rsidRPr="00324B0C">
                    <w:t xml:space="preserve">sampling approach </w:t>
                  </w:r>
                  <w:r>
                    <w:t xml:space="preserve">was </w:t>
                  </w:r>
                  <w:r w:rsidRPr="00324B0C">
                    <w:t>not designed to provide a statistically powered sample of FaRS and SFVS service users. I</w:t>
                  </w:r>
                  <w:r>
                    <w:t>nstead, i</w:t>
                  </w:r>
                  <w:r w:rsidRPr="00324B0C">
                    <w:t xml:space="preserve">t </w:t>
                  </w:r>
                  <w:r>
                    <w:t>was</w:t>
                  </w:r>
                  <w:r w:rsidRPr="00324B0C">
                    <w:t xml:space="preserve"> designed to capture and provide qualitative data from across a cross-section of service users. Inputs from interviews</w:t>
                  </w:r>
                  <w:r>
                    <w:t xml:space="preserve"> </w:t>
                  </w:r>
                  <w:r w:rsidRPr="00324B0C">
                    <w:t xml:space="preserve">with service users </w:t>
                  </w:r>
                  <w:r>
                    <w:t xml:space="preserve">have been </w:t>
                  </w:r>
                  <w:r w:rsidRPr="00324B0C">
                    <w:t xml:space="preserve">triangulated with inputs from the </w:t>
                  </w:r>
                  <w:r>
                    <w:t xml:space="preserve">service user </w:t>
                  </w:r>
                  <w:r w:rsidRPr="00324B0C">
                    <w:t>survey</w:t>
                  </w:r>
                  <w:r w:rsidR="00326202">
                    <w:t xml:space="preserve"> and service-level performance and administrative data. </w:t>
                  </w:r>
                </w:p>
                <w:p w14:paraId="46D5B507" w14:textId="1E6BC62E" w:rsidR="00E54B75" w:rsidRDefault="00E54B75" w:rsidP="00E54B75">
                  <w:r>
                    <w:br w:type="page"/>
                  </w:r>
                </w:p>
                <w:p w14:paraId="30BB170E" w14:textId="107E4435" w:rsidR="00B55B6C" w:rsidRDefault="00B55B6C" w:rsidP="00253268">
                  <w:pPr>
                    <w:pStyle w:val="Appendix"/>
                    <w:rPr>
                      <w:lang w:val="en-NZ"/>
                    </w:rPr>
                  </w:pPr>
                  <w:bookmarkStart w:id="558" w:name="Appendix_D"/>
                  <w:bookmarkStart w:id="559" w:name="_Toc204856763"/>
                  <w:bookmarkStart w:id="560" w:name="_Toc208906868"/>
                  <w:bookmarkEnd w:id="558"/>
                  <w:r>
                    <w:rPr>
                      <w:lang w:val="en-NZ"/>
                    </w:rPr>
                    <w:lastRenderedPageBreak/>
                    <w:t>Recruitment approach</w:t>
                  </w:r>
                  <w:bookmarkEnd w:id="559"/>
                  <w:bookmarkEnd w:id="560"/>
                  <w:r>
                    <w:rPr>
                      <w:lang w:val="en-NZ"/>
                    </w:rPr>
                    <w:t xml:space="preserve"> </w:t>
                  </w:r>
                </w:p>
                <w:p w14:paraId="7B3C2DB9" w14:textId="6091BC07" w:rsidR="00877AFF" w:rsidRDefault="00877AFF" w:rsidP="00877AFF">
                  <w:pPr>
                    <w:pStyle w:val="Text"/>
                  </w:pPr>
                  <w:r w:rsidRPr="003A3267">
                    <w:rPr>
                      <w:lang w:val="en-GB"/>
                    </w:rPr>
                    <w:t xml:space="preserve">Both service provider staff and service users </w:t>
                  </w:r>
                  <w:r>
                    <w:rPr>
                      <w:lang w:val="en-GB"/>
                    </w:rPr>
                    <w:t>were</w:t>
                  </w:r>
                  <w:r w:rsidRPr="003A3267">
                    <w:rPr>
                      <w:lang w:val="en-GB"/>
                    </w:rPr>
                    <w:t xml:space="preserve"> recruited to participate in the evaluation through service providers. Recruitment </w:t>
                  </w:r>
                  <w:r>
                    <w:rPr>
                      <w:lang w:val="en-GB"/>
                    </w:rPr>
                    <w:t>occurred</w:t>
                  </w:r>
                  <w:r w:rsidRPr="003A3267">
                    <w:rPr>
                      <w:lang w:val="en-GB"/>
                    </w:rPr>
                    <w:t xml:space="preserve"> through a preliminary e-mail sent by the department to all service providers funded under FaRS and/or SFVS introducing the evaluation. The evaluation team </w:t>
                  </w:r>
                  <w:r>
                    <w:rPr>
                      <w:lang w:val="en-GB"/>
                    </w:rPr>
                    <w:t>then</w:t>
                  </w:r>
                  <w:r w:rsidRPr="003A3267">
                    <w:rPr>
                      <w:lang w:val="en-GB"/>
                    </w:rPr>
                    <w:t xml:space="preserve"> follow</w:t>
                  </w:r>
                  <w:r>
                    <w:rPr>
                      <w:lang w:val="en-GB"/>
                    </w:rPr>
                    <w:t>ed</w:t>
                  </w:r>
                  <w:r w:rsidRPr="003A3267">
                    <w:rPr>
                      <w:lang w:val="en-GB"/>
                    </w:rPr>
                    <w:t xml:space="preserve"> up with a subsequent email relating to the evaluation and how service providers can help</w:t>
                  </w:r>
                  <w:r>
                    <w:rPr>
                      <w:lang w:val="en-GB"/>
                    </w:rPr>
                    <w:t xml:space="preserve">. </w:t>
                  </w:r>
                  <w:r w:rsidRPr="00324B0C">
                    <w:t xml:space="preserve">All FaRS and SFVS service providers </w:t>
                  </w:r>
                  <w:r>
                    <w:t>were</w:t>
                  </w:r>
                  <w:r w:rsidRPr="00324B0C">
                    <w:t xml:space="preserve"> invited to </w:t>
                  </w:r>
                  <w:r>
                    <w:t xml:space="preserve">nominate staff members for focus groups and </w:t>
                  </w:r>
                  <w:r w:rsidRPr="00324B0C">
                    <w:t xml:space="preserve">identify eligible service users to participate in interview </w:t>
                  </w:r>
                  <w:r>
                    <w:t xml:space="preserve">or survey. </w:t>
                  </w:r>
                </w:p>
                <w:p w14:paraId="43ED9950" w14:textId="77777777" w:rsidR="00877AFF" w:rsidRDefault="00877AFF" w:rsidP="00877AFF">
                  <w:pPr>
                    <w:pStyle w:val="Text-BodyHeading"/>
                  </w:pPr>
                  <w:r>
                    <w:t xml:space="preserve">Service provider focus groups </w:t>
                  </w:r>
                </w:p>
                <w:p w14:paraId="0D1F64A3" w14:textId="0A631086" w:rsidR="00877AFF" w:rsidRDefault="00877AFF" w:rsidP="00877AFF">
                  <w:pPr>
                    <w:pStyle w:val="Text"/>
                  </w:pPr>
                  <w:r w:rsidRPr="00982BEF">
                    <w:t xml:space="preserve">Following the </w:t>
                  </w:r>
                  <w:r w:rsidR="00E54B75">
                    <w:t>D</w:t>
                  </w:r>
                  <w:r w:rsidRPr="00982BEF">
                    <w:t xml:space="preserve">epartment’s introductory email, the evaluation team </w:t>
                  </w:r>
                  <w:r>
                    <w:t>sent all</w:t>
                  </w:r>
                  <w:r w:rsidRPr="00982BEF">
                    <w:t xml:space="preserve"> FaRS and SFVS providers an email inviting the organisation to express interest in participating in a focus group and to nominate one staff member to take part. Service providers </w:t>
                  </w:r>
                  <w:r>
                    <w:t>were</w:t>
                  </w:r>
                  <w:r w:rsidRPr="00982BEF">
                    <w:t xml:space="preserve"> asked to express interest by sending an email to the evaluation team</w:t>
                  </w:r>
                  <w:r>
                    <w:t xml:space="preserve"> nominating a staff member to participate</w:t>
                  </w:r>
                  <w:r w:rsidRPr="00982BEF">
                    <w:t xml:space="preserve">. Because service provider staff </w:t>
                  </w:r>
                  <w:r>
                    <w:t>participated</w:t>
                  </w:r>
                  <w:r w:rsidRPr="00982BEF">
                    <w:t xml:space="preserve"> as part of their usual work hours additional remuneration </w:t>
                  </w:r>
                  <w:r>
                    <w:t>was</w:t>
                  </w:r>
                  <w:r w:rsidRPr="00982BEF">
                    <w:t xml:space="preserve"> not necessary and</w:t>
                  </w:r>
                  <w:r>
                    <w:t xml:space="preserve"> was not</w:t>
                  </w:r>
                  <w:r w:rsidRPr="00982BEF">
                    <w:t xml:space="preserve"> supplied. </w:t>
                  </w:r>
                </w:p>
                <w:p w14:paraId="08647B23" w14:textId="5D5AEC3B" w:rsidR="00877AFF" w:rsidRDefault="00877AFF" w:rsidP="00877AFF">
                  <w:pPr>
                    <w:pStyle w:val="Text"/>
                  </w:pPr>
                  <w:r w:rsidRPr="00982BEF">
                    <w:t xml:space="preserve">The evaluation team </w:t>
                  </w:r>
                  <w:r>
                    <w:t>assessed</w:t>
                  </w:r>
                  <w:r w:rsidRPr="00982BEF">
                    <w:t xml:space="preserve"> the number and distribution of expressions of interest, and apply the criteria set out in </w:t>
                  </w:r>
                  <w:r w:rsidRPr="00AA2DA1">
                    <w:rPr>
                      <w:b/>
                      <w:bCs/>
                    </w:rPr>
                    <w:fldChar w:fldCharType="begin" w:fldLock="1"/>
                  </w:r>
                  <w:r w:rsidRPr="00AA2DA1">
                    <w:rPr>
                      <w:b/>
                      <w:bCs/>
                    </w:rPr>
                    <w:instrText xml:space="preserve"> REF _Ref202465818 \h </w:instrText>
                  </w:r>
                  <w:r>
                    <w:rPr>
                      <w:b/>
                      <w:bCs/>
                    </w:rPr>
                    <w:instrText xml:space="preserve"> \* MERGEFORMAT </w:instrText>
                  </w:r>
                  <w:r w:rsidRPr="00AA2DA1">
                    <w:rPr>
                      <w:b/>
                      <w:bCs/>
                    </w:rPr>
                  </w:r>
                  <w:r w:rsidRPr="00AA2DA1">
                    <w:rPr>
                      <w:b/>
                      <w:bCs/>
                    </w:rPr>
                    <w:fldChar w:fldCharType="separate"/>
                  </w:r>
                  <w:r w:rsidR="008F22E5" w:rsidRPr="008F22E5">
                    <w:rPr>
                      <w:rStyle w:val="Text-Bold"/>
                      <w:szCs w:val="22"/>
                    </w:rPr>
                    <w:t xml:space="preserve">Table </w:t>
                  </w:r>
                  <w:r w:rsidR="008F22E5" w:rsidRPr="008F22E5">
                    <w:rPr>
                      <w:b/>
                      <w:bCs/>
                      <w:noProof/>
                    </w:rPr>
                    <w:t>51</w:t>
                  </w:r>
                  <w:r w:rsidRPr="00AA2DA1">
                    <w:rPr>
                      <w:b/>
                      <w:bCs/>
                    </w:rPr>
                    <w:fldChar w:fldCharType="end"/>
                  </w:r>
                  <w:r>
                    <w:t xml:space="preserve"> above </w:t>
                  </w:r>
                  <w:r w:rsidRPr="00982BEF">
                    <w:t xml:space="preserve">to ensure a diversity of service provider organisations. Based on this assessment, the evaluation team </w:t>
                  </w:r>
                  <w:r>
                    <w:t>selected</w:t>
                  </w:r>
                  <w:r w:rsidRPr="00982BEF">
                    <w:t xml:space="preserve"> service provider organisations for inclusion in the focus groups and </w:t>
                  </w:r>
                  <w:r>
                    <w:t>extended</w:t>
                  </w:r>
                  <w:r w:rsidRPr="00982BEF">
                    <w:t xml:space="preserve"> an invitation to participate to their nominated staff member. </w:t>
                  </w:r>
                </w:p>
                <w:p w14:paraId="10D3BC80" w14:textId="77777777" w:rsidR="00877AFF" w:rsidRDefault="00877AFF" w:rsidP="00877AFF">
                  <w:pPr>
                    <w:pStyle w:val="Text-BodyHeading"/>
                  </w:pPr>
                  <w:bookmarkStart w:id="561" w:name="_Ref202893074"/>
                  <w:r>
                    <w:t>Adult service users</w:t>
                  </w:r>
                  <w:bookmarkEnd w:id="561"/>
                  <w:r>
                    <w:t xml:space="preserve"> </w:t>
                  </w:r>
                </w:p>
                <w:p w14:paraId="25F323F0" w14:textId="264EF6EE" w:rsidR="00877AFF" w:rsidRPr="00EA3663" w:rsidRDefault="004345D5" w:rsidP="00877AFF">
                  <w:pPr>
                    <w:pStyle w:val="Text"/>
                    <w:rPr>
                      <w:lang w:val="en-GB"/>
                    </w:rPr>
                  </w:pPr>
                  <w:r>
                    <w:rPr>
                      <w:lang w:val="en-GB"/>
                    </w:rPr>
                    <w:t xml:space="preserve">Many </w:t>
                  </w:r>
                  <w:r w:rsidR="00877AFF" w:rsidRPr="00EA3663">
                    <w:rPr>
                      <w:lang w:val="en-GB"/>
                    </w:rPr>
                    <w:t>FaRS and SFVS service</w:t>
                  </w:r>
                  <w:r w:rsidR="00326202">
                    <w:rPr>
                      <w:lang w:val="en-GB"/>
                    </w:rPr>
                    <w:t xml:space="preserve"> users</w:t>
                  </w:r>
                  <w:r w:rsidR="00877AFF" w:rsidRPr="00EA3663">
                    <w:rPr>
                      <w:lang w:val="en-GB"/>
                    </w:rPr>
                    <w:t xml:space="preserve"> </w:t>
                  </w:r>
                  <w:r>
                    <w:rPr>
                      <w:lang w:val="en-GB"/>
                    </w:rPr>
                    <w:t>were</w:t>
                  </w:r>
                  <w:r w:rsidR="00877AFF" w:rsidRPr="00EA3663">
                    <w:rPr>
                      <w:lang w:val="en-GB"/>
                    </w:rPr>
                    <w:t xml:space="preserve"> experiencing or at risk of experiencing family violence and/or trauma or distress. To ensure recruitment to participate in </w:t>
                  </w:r>
                  <w:r w:rsidR="00877AFF">
                    <w:rPr>
                      <w:lang w:val="en-GB"/>
                    </w:rPr>
                    <w:t>the evaluation was</w:t>
                  </w:r>
                  <w:r w:rsidR="00877AFF" w:rsidRPr="00EA3663">
                    <w:rPr>
                      <w:lang w:val="en-GB"/>
                    </w:rPr>
                    <w:t xml:space="preserve"> ethical, safe, and trauma-informed, the evaluation team </w:t>
                  </w:r>
                  <w:r w:rsidR="00877AFF">
                    <w:rPr>
                      <w:lang w:val="en-GB"/>
                    </w:rPr>
                    <w:t>recruited</w:t>
                  </w:r>
                  <w:r w:rsidR="00877AFF" w:rsidRPr="00EA3663">
                    <w:rPr>
                      <w:lang w:val="en-GB"/>
                    </w:rPr>
                    <w:t xml:space="preserve"> service users through service providers. This approach leverage</w:t>
                  </w:r>
                  <w:r w:rsidR="00877AFF">
                    <w:rPr>
                      <w:lang w:val="en-GB"/>
                    </w:rPr>
                    <w:t>d</w:t>
                  </w:r>
                  <w:r w:rsidR="00877AFF" w:rsidRPr="00EA3663">
                    <w:rPr>
                      <w:lang w:val="en-GB"/>
                    </w:rPr>
                    <w:t xml:space="preserve"> the established trust between service users and </w:t>
                  </w:r>
                  <w:r w:rsidR="00326202">
                    <w:rPr>
                      <w:lang w:val="en-GB"/>
                    </w:rPr>
                    <w:t>services</w:t>
                  </w:r>
                  <w:r w:rsidR="00877AFF" w:rsidRPr="00EA3663">
                    <w:rPr>
                      <w:lang w:val="en-GB"/>
                    </w:rPr>
                    <w:t xml:space="preserve">, ensuring that recruitment </w:t>
                  </w:r>
                  <w:r w:rsidR="00877AFF">
                    <w:rPr>
                      <w:lang w:val="en-GB"/>
                    </w:rPr>
                    <w:t>was</w:t>
                  </w:r>
                  <w:r w:rsidR="00877AFF" w:rsidRPr="00EA3663">
                    <w:rPr>
                      <w:lang w:val="en-GB"/>
                    </w:rPr>
                    <w:t xml:space="preserve"> carried out by trusted individuals or groups familiar to the participants. This </w:t>
                  </w:r>
                  <w:r w:rsidR="00877AFF">
                    <w:rPr>
                      <w:lang w:val="en-GB"/>
                    </w:rPr>
                    <w:t>helped to</w:t>
                  </w:r>
                  <w:r w:rsidR="00877AFF" w:rsidRPr="00EA3663">
                    <w:rPr>
                      <w:lang w:val="en-GB"/>
                    </w:rPr>
                    <w:t xml:space="preserve"> create a safe environment for participants </w:t>
                  </w:r>
                  <w:r w:rsidR="00CA586F">
                    <w:rPr>
                      <w:lang w:val="en-GB"/>
                    </w:rPr>
                    <w:t>while</w:t>
                  </w:r>
                  <w:r w:rsidR="00877AFF">
                    <w:rPr>
                      <w:lang w:val="en-GB"/>
                    </w:rPr>
                    <w:t xml:space="preserve"> also increasing</w:t>
                  </w:r>
                  <w:r w:rsidR="00877AFF" w:rsidRPr="00EA3663">
                    <w:rPr>
                      <w:lang w:val="en-GB"/>
                    </w:rPr>
                    <w:t xml:space="preserve"> the likelihood of higher engagement and participation</w:t>
                  </w:r>
                  <w:r w:rsidR="00877AFF">
                    <w:rPr>
                      <w:lang w:val="en-GB"/>
                    </w:rPr>
                    <w:t xml:space="preserve">. </w:t>
                  </w:r>
                </w:p>
                <w:p w14:paraId="7BB672D2" w14:textId="202F695F" w:rsidR="00877AFF" w:rsidRDefault="00877AFF" w:rsidP="00877AFF">
                  <w:pPr>
                    <w:pStyle w:val="Text"/>
                    <w:rPr>
                      <w:lang w:val="en-GB"/>
                    </w:rPr>
                  </w:pPr>
                  <w:r w:rsidRPr="00EA3663">
                    <w:rPr>
                      <w:lang w:val="en-GB"/>
                    </w:rPr>
                    <w:t xml:space="preserve">All SFVS and FaRS service providers </w:t>
                  </w:r>
                  <w:r>
                    <w:rPr>
                      <w:lang w:val="en-GB"/>
                    </w:rPr>
                    <w:t>were</w:t>
                  </w:r>
                  <w:r w:rsidRPr="00EA3663">
                    <w:rPr>
                      <w:lang w:val="en-GB"/>
                    </w:rPr>
                    <w:t xml:space="preserve"> asked to identify service users who met the inclusion criteria</w:t>
                  </w:r>
                  <w:r>
                    <w:rPr>
                      <w:lang w:val="en-GB"/>
                    </w:rPr>
                    <w:t xml:space="preserve"> outlined in</w:t>
                  </w:r>
                  <w:r>
                    <w:rPr>
                      <w:b/>
                      <w:bCs/>
                      <w:lang w:val="en-GB"/>
                    </w:rPr>
                    <w:t xml:space="preserve"> </w:t>
                  </w:r>
                  <w:r w:rsidRPr="00277BFA">
                    <w:rPr>
                      <w:b/>
                      <w:bCs/>
                      <w:lang w:val="en-GB"/>
                    </w:rPr>
                    <w:fldChar w:fldCharType="begin" w:fldLock="1"/>
                  </w:r>
                  <w:r w:rsidRPr="00277BFA">
                    <w:rPr>
                      <w:b/>
                      <w:bCs/>
                      <w:lang w:val="en-GB"/>
                    </w:rPr>
                    <w:instrText xml:space="preserve"> REF _Ref203047454 \h  \* MERGEFORMAT </w:instrText>
                  </w:r>
                  <w:r w:rsidRPr="00277BFA">
                    <w:rPr>
                      <w:b/>
                      <w:bCs/>
                      <w:lang w:val="en-GB"/>
                    </w:rPr>
                  </w:r>
                  <w:r w:rsidRPr="00277BFA">
                    <w:rPr>
                      <w:b/>
                      <w:bCs/>
                      <w:lang w:val="en-GB"/>
                    </w:rPr>
                    <w:fldChar w:fldCharType="separate"/>
                  </w:r>
                  <w:r w:rsidR="008F22E5" w:rsidRPr="1D280572">
                    <w:rPr>
                      <w:rStyle w:val="Text-Bold"/>
                      <w:szCs w:val="22"/>
                    </w:rPr>
                    <w:t xml:space="preserve">Table </w:t>
                  </w:r>
                  <w:r w:rsidR="008F22E5" w:rsidRPr="008F22E5">
                    <w:rPr>
                      <w:b/>
                      <w:bCs/>
                      <w:noProof/>
                    </w:rPr>
                    <w:t>53</w:t>
                  </w:r>
                  <w:r w:rsidRPr="00277BFA">
                    <w:rPr>
                      <w:b/>
                      <w:bCs/>
                      <w:lang w:val="en-GB"/>
                    </w:rPr>
                    <w:fldChar w:fldCharType="end"/>
                  </w:r>
                  <w:r w:rsidRPr="00EA3663">
                    <w:rPr>
                      <w:lang w:val="en-GB"/>
                    </w:rPr>
                    <w:t xml:space="preserve"> </w:t>
                  </w:r>
                  <w:r>
                    <w:rPr>
                      <w:lang w:val="en-GB"/>
                    </w:rPr>
                    <w:t xml:space="preserve">above </w:t>
                  </w:r>
                  <w:r w:rsidRPr="00EA3663">
                    <w:rPr>
                      <w:lang w:val="en-GB"/>
                    </w:rPr>
                    <w:t>and who they assess</w:t>
                  </w:r>
                  <w:r>
                    <w:rPr>
                      <w:lang w:val="en-GB"/>
                    </w:rPr>
                    <w:t>ed</w:t>
                  </w:r>
                  <w:r w:rsidRPr="00EA3663">
                    <w:rPr>
                      <w:lang w:val="en-GB"/>
                    </w:rPr>
                    <w:t xml:space="preserve"> as being in circumstances that will enable them to safely participate in the evaluation. Services </w:t>
                  </w:r>
                  <w:r>
                    <w:rPr>
                      <w:lang w:val="en-GB"/>
                    </w:rPr>
                    <w:t>had</w:t>
                  </w:r>
                  <w:r w:rsidRPr="00EA3663">
                    <w:rPr>
                      <w:lang w:val="en-GB"/>
                    </w:rPr>
                    <w:t xml:space="preserve"> varied approaches to undertaking risk assessments depending on their </w:t>
                  </w:r>
                  <w:r w:rsidR="00424081" w:rsidRPr="00EA3663">
                    <w:rPr>
                      <w:lang w:val="en-GB"/>
                    </w:rPr>
                    <w:t>area</w:t>
                  </w:r>
                  <w:r w:rsidRPr="00EA3663">
                    <w:rPr>
                      <w:lang w:val="en-GB"/>
                    </w:rPr>
                    <w:t xml:space="preserve"> of operation. States and territories, as well as individual organisations, ha</w:t>
                  </w:r>
                  <w:r>
                    <w:rPr>
                      <w:lang w:val="en-GB"/>
                    </w:rPr>
                    <w:t>d</w:t>
                  </w:r>
                  <w:r w:rsidRPr="00EA3663">
                    <w:rPr>
                      <w:lang w:val="en-GB"/>
                    </w:rPr>
                    <w:t xml:space="preserve"> differing protocols and tools in place for risk identification and management (including risks of family violence and risks to child safety). Service providers </w:t>
                  </w:r>
                  <w:r>
                    <w:rPr>
                      <w:lang w:val="en-GB"/>
                    </w:rPr>
                    <w:t>were</w:t>
                  </w:r>
                  <w:r w:rsidRPr="00EA3663">
                    <w:rPr>
                      <w:lang w:val="en-GB"/>
                    </w:rPr>
                    <w:t xml:space="preserve"> expected to assess any risk to their </w:t>
                  </w:r>
                  <w:r w:rsidR="00E614D3">
                    <w:rPr>
                      <w:lang w:val="en-GB"/>
                    </w:rPr>
                    <w:t xml:space="preserve">service </w:t>
                  </w:r>
                  <w:r w:rsidR="007F7D2C">
                    <w:rPr>
                      <w:lang w:val="en-GB"/>
                    </w:rPr>
                    <w:t>users</w:t>
                  </w:r>
                  <w:r w:rsidRPr="00EA3663">
                    <w:rPr>
                      <w:lang w:val="en-GB"/>
                    </w:rPr>
                    <w:t xml:space="preserve"> consistent with their organisational policies and procedures, and relevant jurisdiction-specific protocols. In applying these frameworks, service providers </w:t>
                  </w:r>
                  <w:r>
                    <w:rPr>
                      <w:lang w:val="en-GB"/>
                    </w:rPr>
                    <w:t>were asked to draw</w:t>
                  </w:r>
                  <w:r w:rsidRPr="00EA3663">
                    <w:rPr>
                      <w:lang w:val="en-GB"/>
                    </w:rPr>
                    <w:t xml:space="preserve"> on their knowledge of the service user, their context and history. Service providers </w:t>
                  </w:r>
                  <w:r>
                    <w:rPr>
                      <w:lang w:val="en-GB"/>
                    </w:rPr>
                    <w:t xml:space="preserve">were asked to </w:t>
                  </w:r>
                  <w:r w:rsidRPr="00EA3663">
                    <w:rPr>
                      <w:lang w:val="en-GB"/>
                    </w:rPr>
                    <w:t>exercise their professional judgment and discretion to select potentially eligible service users for screening.</w:t>
                  </w:r>
                </w:p>
                <w:p w14:paraId="215FCAD1" w14:textId="31BF36E0" w:rsidR="00877AFF" w:rsidRDefault="00877AFF" w:rsidP="00877AFF">
                  <w:pPr>
                    <w:pStyle w:val="Bullet1"/>
                    <w:numPr>
                      <w:ilvl w:val="0"/>
                      <w:numId w:val="0"/>
                    </w:numPr>
                    <w:rPr>
                      <w:lang w:val="en-GB"/>
                    </w:rPr>
                  </w:pPr>
                  <w:r w:rsidRPr="007D3634">
                    <w:rPr>
                      <w:lang w:val="en-GB"/>
                    </w:rPr>
                    <w:t xml:space="preserve">The evaluation team </w:t>
                  </w:r>
                  <w:r>
                    <w:rPr>
                      <w:lang w:val="en-GB"/>
                    </w:rPr>
                    <w:t>engaged</w:t>
                  </w:r>
                  <w:r w:rsidRPr="007D3634">
                    <w:rPr>
                      <w:lang w:val="en-GB"/>
                    </w:rPr>
                    <w:t xml:space="preserve"> service providers early, especially those working in high demand or under-resourced settings, to establish relationships, and foster trust. The evaluation team </w:t>
                  </w:r>
                  <w:r>
                    <w:rPr>
                      <w:lang w:val="en-GB"/>
                    </w:rPr>
                    <w:t>supported</w:t>
                  </w:r>
                  <w:r w:rsidRPr="007D3634">
                    <w:rPr>
                      <w:lang w:val="en-GB"/>
                    </w:rPr>
                    <w:t xml:space="preserve"> them to tailor the recruitment process to </w:t>
                  </w:r>
                  <w:r w:rsidR="00C921FB">
                    <w:rPr>
                      <w:lang w:val="en-GB"/>
                    </w:rPr>
                    <w:t>suit</w:t>
                  </w:r>
                  <w:r w:rsidRPr="007D3634">
                    <w:rPr>
                      <w:lang w:val="en-GB"/>
                    </w:rPr>
                    <w:t xml:space="preserve"> </w:t>
                  </w:r>
                  <w:r w:rsidR="00E614D3">
                    <w:rPr>
                      <w:lang w:val="en-GB"/>
                    </w:rPr>
                    <w:t xml:space="preserve">service </w:t>
                  </w:r>
                  <w:r w:rsidR="007F7D2C">
                    <w:rPr>
                      <w:lang w:val="en-GB"/>
                    </w:rPr>
                    <w:t>users</w:t>
                  </w:r>
                  <w:r w:rsidRPr="007D3634">
                    <w:rPr>
                      <w:lang w:val="en-GB"/>
                    </w:rPr>
                    <w:t xml:space="preserve">. To </w:t>
                  </w:r>
                  <w:r w:rsidRPr="007D3634">
                    <w:rPr>
                      <w:lang w:val="en-GB"/>
                    </w:rPr>
                    <w:lastRenderedPageBreak/>
                    <w:t>support this process</w:t>
                  </w:r>
                  <w:r>
                    <w:rPr>
                      <w:lang w:val="en-GB"/>
                    </w:rPr>
                    <w:t xml:space="preserve">, </w:t>
                  </w:r>
                  <w:r w:rsidRPr="007D3634">
                    <w:rPr>
                      <w:lang w:val="en-GB"/>
                    </w:rPr>
                    <w:t xml:space="preserve">the evaluation team </w:t>
                  </w:r>
                  <w:r>
                    <w:rPr>
                      <w:lang w:val="en-GB"/>
                    </w:rPr>
                    <w:t>prepared</w:t>
                  </w:r>
                  <w:r w:rsidRPr="007D3634">
                    <w:rPr>
                      <w:lang w:val="en-GB"/>
                    </w:rPr>
                    <w:t xml:space="preserve"> a video presentation to guide service providers on ethical recruitment of service users</w:t>
                  </w:r>
                  <w:r>
                    <w:rPr>
                      <w:lang w:val="en-GB"/>
                    </w:rPr>
                    <w:t xml:space="preserve"> and updated recruitment material in response to service provider requests to reduce its complexity. </w:t>
                  </w:r>
                </w:p>
                <w:p w14:paraId="72F47662" w14:textId="77777777" w:rsidR="00877AFF" w:rsidRPr="00EA3663" w:rsidRDefault="00877AFF" w:rsidP="00877AFF">
                  <w:pPr>
                    <w:pStyle w:val="Text"/>
                    <w:rPr>
                      <w:lang w:val="en-GB"/>
                    </w:rPr>
                  </w:pPr>
                  <w:r>
                    <w:rPr>
                      <w:lang w:val="en-GB"/>
                    </w:rPr>
                    <w:t xml:space="preserve">All adult interview and survey participants were offered a $50 or $25 grocery voucher respectively as a form of remuneration. </w:t>
                  </w:r>
                </w:p>
                <w:p w14:paraId="7BAF9EEE" w14:textId="77777777" w:rsidR="00877AFF" w:rsidRPr="003A3267" w:rsidRDefault="00877AFF" w:rsidP="00877AFF">
                  <w:pPr>
                    <w:pStyle w:val="Text"/>
                    <w:rPr>
                      <w:lang w:val="en-GB"/>
                    </w:rPr>
                  </w:pPr>
                  <w:r w:rsidRPr="003A3267">
                    <w:rPr>
                      <w:lang w:val="en-GB"/>
                    </w:rPr>
                    <w:t xml:space="preserve">Recruiting service users through service providers </w:t>
                  </w:r>
                  <w:r>
                    <w:rPr>
                      <w:lang w:val="en-GB"/>
                    </w:rPr>
                    <w:t>raised</w:t>
                  </w:r>
                  <w:r w:rsidRPr="003A3267">
                    <w:rPr>
                      <w:lang w:val="en-GB"/>
                    </w:rPr>
                    <w:t xml:space="preserve"> risk</w:t>
                  </w:r>
                  <w:r>
                    <w:rPr>
                      <w:lang w:val="en-GB"/>
                    </w:rPr>
                    <w:t>s</w:t>
                  </w:r>
                  <w:r w:rsidRPr="003A3267">
                    <w:rPr>
                      <w:lang w:val="en-GB"/>
                    </w:rPr>
                    <w:t xml:space="preserve"> of coercion in the recruitment process. Several measures </w:t>
                  </w:r>
                  <w:r>
                    <w:rPr>
                      <w:lang w:val="en-GB"/>
                    </w:rPr>
                    <w:t>were taken</w:t>
                  </w:r>
                  <w:r w:rsidRPr="003A3267">
                    <w:rPr>
                      <w:lang w:val="en-GB"/>
                    </w:rPr>
                    <w:t xml:space="preserve"> to mitigate this</w:t>
                  </w:r>
                  <w:r>
                    <w:rPr>
                      <w:lang w:val="en-GB"/>
                    </w:rPr>
                    <w:t xml:space="preserve">: </w:t>
                  </w:r>
                </w:p>
                <w:p w14:paraId="1B71104B" w14:textId="48A18DA2" w:rsidR="00877AFF" w:rsidRPr="003A3267" w:rsidRDefault="00877AFF" w:rsidP="00A96B32">
                  <w:pPr>
                    <w:pStyle w:val="Bullet1"/>
                  </w:pPr>
                  <w:r w:rsidRPr="15339DE4">
                    <w:t>Participation vouchers were provided at the beginning of each engagement via email, text, or physically and participants were reminded that they can withdraw at any time, and this will not impact their ability to use the voucher.</w:t>
                  </w:r>
                </w:p>
                <w:p w14:paraId="5B8ABC3A" w14:textId="77777777" w:rsidR="00877AFF" w:rsidRPr="00A96B32" w:rsidRDefault="00877AFF" w:rsidP="00A96B32">
                  <w:pPr>
                    <w:pStyle w:val="Bullet1"/>
                  </w:pPr>
                  <w:r w:rsidRPr="00A96B32">
                    <w:t xml:space="preserve">The PICFs made it clear that responses provided by service users are confidential (unless it is necessary to share the information for their safety or the safety of others) and accordingly service providers will not be aware of responses provided. </w:t>
                  </w:r>
                </w:p>
                <w:p w14:paraId="7463D2A3" w14:textId="77777777" w:rsidR="00877AFF" w:rsidRPr="00A96B32" w:rsidRDefault="00877AFF" w:rsidP="00A96B32">
                  <w:pPr>
                    <w:pStyle w:val="Bullet1"/>
                  </w:pPr>
                  <w:r w:rsidRPr="00A96B32">
                    <w:t xml:space="preserve">All PICFs emphasised that participation is optional, that services providers will not be informed whether someone participated in an interview (unless it is necessary to share the information for their safety or the safety of others), and that withdrawal will not impact the service user’s ability to access services. </w:t>
                  </w:r>
                </w:p>
                <w:p w14:paraId="3494A1B0" w14:textId="77777777" w:rsidR="00877AFF" w:rsidRPr="00A96B32" w:rsidRDefault="00877AFF" w:rsidP="00A96B32">
                  <w:pPr>
                    <w:pStyle w:val="Bullet1"/>
                  </w:pPr>
                  <w:r w:rsidRPr="00A96B32">
                    <w:t xml:space="preserve">Each interview guide included a note reminding interviewers to re-establish consent with participants before each interview. </w:t>
                  </w:r>
                </w:p>
                <w:p w14:paraId="450BBB1F" w14:textId="0B05AC4B" w:rsidR="00877AFF" w:rsidRPr="00570D2F" w:rsidRDefault="00877AFF" w:rsidP="00877AFF">
                  <w:pPr>
                    <w:pStyle w:val="Text-BodyHeading"/>
                    <w:rPr>
                      <w:rStyle w:val="Text-Bold"/>
                      <w:b/>
                      <w:bCs w:val="0"/>
                    </w:rPr>
                  </w:pPr>
                  <w:r w:rsidRPr="00570D2F">
                    <w:rPr>
                      <w:rStyle w:val="Text-Bold"/>
                      <w:b/>
                      <w:bCs w:val="0"/>
                    </w:rPr>
                    <w:t xml:space="preserve">Adult service user interview recruitment </w:t>
                  </w:r>
                </w:p>
                <w:p w14:paraId="6F64F7C7" w14:textId="1FA864F7" w:rsidR="00877AFF" w:rsidRPr="00EA3663" w:rsidRDefault="00877AFF" w:rsidP="00877AFF">
                  <w:pPr>
                    <w:pStyle w:val="Text"/>
                    <w:rPr>
                      <w:lang w:val="en-GB"/>
                    </w:rPr>
                  </w:pPr>
                  <w:r w:rsidRPr="00EA3663">
                    <w:rPr>
                      <w:lang w:val="en-GB"/>
                    </w:rPr>
                    <w:t xml:space="preserve">The evaluation team </w:t>
                  </w:r>
                  <w:r>
                    <w:rPr>
                      <w:lang w:val="en-GB"/>
                    </w:rPr>
                    <w:t>asked</w:t>
                  </w:r>
                  <w:r w:rsidRPr="00EA3663">
                    <w:rPr>
                      <w:lang w:val="en-GB"/>
                    </w:rPr>
                    <w:t xml:space="preserve"> service providers to directly reach out </w:t>
                  </w:r>
                  <w:r w:rsidR="00465185">
                    <w:rPr>
                      <w:lang w:val="en-GB"/>
                    </w:rPr>
                    <w:t>in-person</w:t>
                  </w:r>
                  <w:r w:rsidRPr="00EA3663">
                    <w:rPr>
                      <w:lang w:val="en-GB"/>
                    </w:rPr>
                    <w:t xml:space="preserve"> or by phone (unless the service user has expressed a preference for another form of communication) to the service users they have assessed as potential participants to gauge their interest and willingness to participate</w:t>
                  </w:r>
                  <w:r>
                    <w:rPr>
                      <w:lang w:val="en-GB"/>
                    </w:rPr>
                    <w:t xml:space="preserve"> in an interview</w:t>
                  </w:r>
                  <w:r w:rsidRPr="00EA3663">
                    <w:rPr>
                      <w:lang w:val="en-GB"/>
                    </w:rPr>
                    <w:t>. Where the service user expresse</w:t>
                  </w:r>
                  <w:r>
                    <w:rPr>
                      <w:lang w:val="en-GB"/>
                    </w:rPr>
                    <w:t>d</w:t>
                  </w:r>
                  <w:r w:rsidRPr="00EA3663">
                    <w:rPr>
                      <w:lang w:val="en-GB"/>
                    </w:rPr>
                    <w:t xml:space="preserve"> interest in participating in the evaluation, </w:t>
                  </w:r>
                  <w:r>
                    <w:rPr>
                      <w:lang w:val="en-GB"/>
                    </w:rPr>
                    <w:t xml:space="preserve">either they or </w:t>
                  </w:r>
                  <w:r w:rsidRPr="00EA3663">
                    <w:rPr>
                      <w:lang w:val="en-GB"/>
                    </w:rPr>
                    <w:t>the service provider</w:t>
                  </w:r>
                  <w:r>
                    <w:rPr>
                      <w:lang w:val="en-GB"/>
                    </w:rPr>
                    <w:t xml:space="preserve"> (on their behalf)</w:t>
                  </w:r>
                  <w:r w:rsidRPr="00EA3663">
                    <w:rPr>
                      <w:lang w:val="en-GB"/>
                    </w:rPr>
                    <w:t xml:space="preserve"> </w:t>
                  </w:r>
                  <w:r>
                    <w:rPr>
                      <w:lang w:val="en-GB"/>
                    </w:rPr>
                    <w:t>completed</w:t>
                  </w:r>
                  <w:r w:rsidRPr="00EA3663">
                    <w:rPr>
                      <w:lang w:val="en-GB"/>
                    </w:rPr>
                    <w:t xml:space="preserve"> a short Expression of Interest (EOI) form</w:t>
                  </w:r>
                  <w:r>
                    <w:rPr>
                      <w:lang w:val="en-GB"/>
                    </w:rPr>
                    <w:t xml:space="preserve">. </w:t>
                  </w:r>
                  <w:r w:rsidRPr="00EA3663">
                    <w:rPr>
                      <w:lang w:val="en-GB"/>
                    </w:rPr>
                    <w:t>The service provider</w:t>
                  </w:r>
                  <w:r>
                    <w:rPr>
                      <w:lang w:val="en-GB"/>
                    </w:rPr>
                    <w:t>s</w:t>
                  </w:r>
                  <w:r w:rsidRPr="00EA3663">
                    <w:rPr>
                      <w:lang w:val="en-GB"/>
                    </w:rPr>
                    <w:t xml:space="preserve"> </w:t>
                  </w:r>
                  <w:r>
                    <w:rPr>
                      <w:lang w:val="en-GB"/>
                    </w:rPr>
                    <w:t>were asked to only</w:t>
                  </w:r>
                  <w:r w:rsidRPr="00EA3663">
                    <w:rPr>
                      <w:lang w:val="en-GB"/>
                    </w:rPr>
                    <w:t xml:space="preserve"> share the information requested in the form with the service user’s consent. As part of the assessment and recruitment process, service providers </w:t>
                  </w:r>
                  <w:r>
                    <w:rPr>
                      <w:lang w:val="en-GB"/>
                    </w:rPr>
                    <w:t>were</w:t>
                  </w:r>
                  <w:r w:rsidRPr="00EA3663">
                    <w:rPr>
                      <w:lang w:val="en-GB"/>
                    </w:rPr>
                    <w:t xml:space="preserve"> asked to assess the safest way to contact individual </w:t>
                  </w:r>
                  <w:r w:rsidR="00E614D3">
                    <w:rPr>
                      <w:lang w:val="en-GB"/>
                    </w:rPr>
                    <w:t xml:space="preserve">service </w:t>
                  </w:r>
                  <w:r w:rsidR="007F7D2C">
                    <w:rPr>
                      <w:lang w:val="en-GB"/>
                    </w:rPr>
                    <w:t>users.</w:t>
                  </w:r>
                  <w:r w:rsidRPr="00EA3663">
                    <w:rPr>
                      <w:lang w:val="en-GB"/>
                    </w:rPr>
                    <w:t xml:space="preserve"> The form includes questions relating to:</w:t>
                  </w:r>
                </w:p>
                <w:p w14:paraId="0F827153" w14:textId="77777777" w:rsidR="00877AFF" w:rsidRPr="00A96B32" w:rsidRDefault="00877AFF" w:rsidP="00A96B32">
                  <w:pPr>
                    <w:pStyle w:val="Bullet1"/>
                  </w:pPr>
                  <w:r w:rsidRPr="00A96B32">
                    <w:t>the service user’s contact details and preferred method of contact</w:t>
                  </w:r>
                </w:p>
                <w:p w14:paraId="1A424383" w14:textId="77777777" w:rsidR="00877AFF" w:rsidRPr="00A96B32" w:rsidRDefault="00877AFF" w:rsidP="00A96B32">
                  <w:pPr>
                    <w:pStyle w:val="Bullet1"/>
                  </w:pPr>
                  <w:r w:rsidRPr="00A96B32">
                    <w:t>whether the person lives with a disability</w:t>
                  </w:r>
                </w:p>
                <w:p w14:paraId="7B24C191" w14:textId="77777777" w:rsidR="00877AFF" w:rsidRPr="00A96B32" w:rsidRDefault="00877AFF" w:rsidP="00A96B32">
                  <w:pPr>
                    <w:pStyle w:val="Bullet1"/>
                  </w:pPr>
                  <w:r w:rsidRPr="00A96B32">
                    <w:t>whether the person identifies as belonging to a culturally or linguistically diverse community</w:t>
                  </w:r>
                </w:p>
                <w:p w14:paraId="4C22D4BB" w14:textId="77777777" w:rsidR="00877AFF" w:rsidRPr="00A96B32" w:rsidRDefault="00877AFF" w:rsidP="00A96B32">
                  <w:pPr>
                    <w:pStyle w:val="Bullet1"/>
                  </w:pPr>
                  <w:r w:rsidRPr="00A96B32">
                    <w:t>whether the person identifies as LGBTQIA+.</w:t>
                  </w:r>
                </w:p>
                <w:p w14:paraId="6F47E9EA" w14:textId="2B80A85F" w:rsidR="00877AFF" w:rsidRPr="00EA3663" w:rsidRDefault="00877AFF" w:rsidP="00877AFF">
                  <w:pPr>
                    <w:pStyle w:val="Text"/>
                    <w:rPr>
                      <w:lang w:val="en-GB"/>
                    </w:rPr>
                  </w:pPr>
                  <w:r w:rsidRPr="00EA3663">
                    <w:rPr>
                      <w:lang w:val="en-GB"/>
                    </w:rPr>
                    <w:t xml:space="preserve">The EOI form </w:t>
                  </w:r>
                  <w:r>
                    <w:rPr>
                      <w:lang w:val="en-GB"/>
                    </w:rPr>
                    <w:t>was</w:t>
                  </w:r>
                  <w:r w:rsidRPr="00EA3663">
                    <w:rPr>
                      <w:lang w:val="en-GB"/>
                    </w:rPr>
                    <w:t xml:space="preserve"> hosted in Qualtrics, a secure online survey platform that allows for confidential and/or anonymous survey completion using encrypted and secured servers based in Australia. </w:t>
                  </w:r>
                  <w:r>
                    <w:rPr>
                      <w:lang w:val="en-GB"/>
                    </w:rPr>
                    <w:t xml:space="preserve">The EOI form was shareable in multiple formats including a hyperlink and QR code. </w:t>
                  </w:r>
                  <w:r w:rsidRPr="00EA3663">
                    <w:rPr>
                      <w:lang w:val="en-GB"/>
                    </w:rPr>
                    <w:t xml:space="preserve">EOI forms submitted to </w:t>
                  </w:r>
                  <w:r>
                    <w:rPr>
                      <w:lang w:val="en-GB"/>
                    </w:rPr>
                    <w:t xml:space="preserve">the evaluation team </w:t>
                  </w:r>
                  <w:r w:rsidRPr="00EA3663">
                    <w:rPr>
                      <w:lang w:val="en-GB"/>
                    </w:rPr>
                    <w:t>w</w:t>
                  </w:r>
                  <w:r>
                    <w:rPr>
                      <w:lang w:val="en-GB"/>
                    </w:rPr>
                    <w:t>ere</w:t>
                  </w:r>
                  <w:r w:rsidRPr="00EA3663">
                    <w:rPr>
                      <w:lang w:val="en-GB"/>
                    </w:rPr>
                    <w:t xml:space="preserve"> accessible only to approved members of the evaluation team and once downloaded from Qualtrics w</w:t>
                  </w:r>
                  <w:r>
                    <w:rPr>
                      <w:lang w:val="en-GB"/>
                    </w:rPr>
                    <w:t>ere</w:t>
                  </w:r>
                  <w:r w:rsidRPr="00EA3663">
                    <w:rPr>
                      <w:lang w:val="en-GB"/>
                    </w:rPr>
                    <w:t xml:space="preserve"> housed in locked folders</w:t>
                  </w:r>
                  <w:r>
                    <w:rPr>
                      <w:lang w:val="en-GB"/>
                    </w:rPr>
                    <w:t xml:space="preserve">. </w:t>
                  </w:r>
                  <w:r w:rsidRPr="00EA3663">
                    <w:rPr>
                      <w:lang w:val="en-GB"/>
                    </w:rPr>
                    <w:t xml:space="preserve">As EOI forms </w:t>
                  </w:r>
                  <w:r>
                    <w:rPr>
                      <w:lang w:val="en-GB"/>
                    </w:rPr>
                    <w:t>were</w:t>
                  </w:r>
                  <w:r w:rsidRPr="00EA3663">
                    <w:rPr>
                      <w:lang w:val="en-GB"/>
                    </w:rPr>
                    <w:t xml:space="preserve"> received, the evaluation team </w:t>
                  </w:r>
                  <w:r>
                    <w:rPr>
                      <w:lang w:val="en-GB"/>
                    </w:rPr>
                    <w:t>used</w:t>
                  </w:r>
                  <w:r w:rsidRPr="00EA3663">
                    <w:rPr>
                      <w:lang w:val="en-GB"/>
                    </w:rPr>
                    <w:t xml:space="preserve"> a purposive sample of service users </w:t>
                  </w:r>
                  <w:r w:rsidRPr="00EA3663">
                    <w:rPr>
                      <w:lang w:val="en-GB"/>
                    </w:rPr>
                    <w:lastRenderedPageBreak/>
                    <w:t xml:space="preserve">based on the sampling framework set out </w:t>
                  </w:r>
                  <w:r>
                    <w:rPr>
                      <w:lang w:val="en-GB"/>
                    </w:rPr>
                    <w:t xml:space="preserve">above. </w:t>
                  </w:r>
                  <w:r w:rsidRPr="00EA3663">
                    <w:rPr>
                      <w:lang w:val="en-GB"/>
                    </w:rPr>
                    <w:t>The evaluation team contact</w:t>
                  </w:r>
                  <w:r>
                    <w:rPr>
                      <w:lang w:val="en-GB"/>
                    </w:rPr>
                    <w:t>ed</w:t>
                  </w:r>
                  <w:r w:rsidRPr="00EA3663">
                    <w:rPr>
                      <w:lang w:val="en-GB"/>
                    </w:rPr>
                    <w:t xml:space="preserve"> the selected service user to arrange an interview</w:t>
                  </w:r>
                  <w:r>
                    <w:rPr>
                      <w:lang w:val="en-GB"/>
                    </w:rPr>
                    <w:t xml:space="preserve"> and</w:t>
                  </w:r>
                  <w:r w:rsidRPr="00EA3663">
                    <w:rPr>
                      <w:lang w:val="en-GB"/>
                    </w:rPr>
                    <w:t xml:space="preserve"> to establish:</w:t>
                  </w:r>
                </w:p>
                <w:p w14:paraId="34E5A9FF" w14:textId="77777777" w:rsidR="00877AFF" w:rsidRPr="00A96B32" w:rsidRDefault="00877AFF" w:rsidP="00A96B32">
                  <w:pPr>
                    <w:pStyle w:val="Bullet1"/>
                  </w:pPr>
                  <w:r w:rsidRPr="00A96B32">
                    <w:t>whether the person requires an interpreter to provide informed consent and to participate fully in an interview</w:t>
                  </w:r>
                </w:p>
                <w:p w14:paraId="69B77C5E" w14:textId="77777777" w:rsidR="00877AFF" w:rsidRPr="00A96B32" w:rsidRDefault="00877AFF" w:rsidP="00A96B32">
                  <w:pPr>
                    <w:pStyle w:val="Bullet1"/>
                  </w:pPr>
                  <w:r w:rsidRPr="00A96B32">
                    <w:t>whether they have a preference as to the gender of their interviewer</w:t>
                  </w:r>
                </w:p>
                <w:p w14:paraId="3F2B0F18" w14:textId="77777777" w:rsidR="00877AFF" w:rsidRPr="00A96B32" w:rsidRDefault="00877AFF" w:rsidP="00A96B32">
                  <w:pPr>
                    <w:pStyle w:val="Bullet1"/>
                  </w:pPr>
                  <w:r w:rsidRPr="00A96B32">
                    <w:t>whether the person has other accessibility needs</w:t>
                  </w:r>
                </w:p>
                <w:p w14:paraId="71EEE99A" w14:textId="77777777" w:rsidR="00877AFF" w:rsidRPr="00A96B32" w:rsidRDefault="00877AFF" w:rsidP="00A96B32">
                  <w:pPr>
                    <w:pStyle w:val="Bullet1"/>
                  </w:pPr>
                  <w:r w:rsidRPr="00A96B32">
                    <w:t>whether the person would like to have a family member or support person at the interview, and the name of the person (to enable the service provider to screen for safety).</w:t>
                  </w:r>
                </w:p>
                <w:p w14:paraId="5228E51A" w14:textId="2CBCECEB" w:rsidR="00877AFF" w:rsidRPr="00570D2F" w:rsidRDefault="00877AFF" w:rsidP="00877AFF">
                  <w:pPr>
                    <w:pStyle w:val="Text-BodyHeading"/>
                    <w:rPr>
                      <w:rStyle w:val="Text-Bold"/>
                      <w:b/>
                      <w:bCs w:val="0"/>
                    </w:rPr>
                  </w:pPr>
                  <w:r w:rsidRPr="00570D2F">
                    <w:rPr>
                      <w:rStyle w:val="Text-Bold"/>
                      <w:b/>
                      <w:bCs w:val="0"/>
                    </w:rPr>
                    <w:t xml:space="preserve">Adult survey user recruitment </w:t>
                  </w:r>
                </w:p>
                <w:p w14:paraId="05E9E5A6" w14:textId="0611EED6" w:rsidR="00877AFF" w:rsidRPr="00EA3663" w:rsidRDefault="00877AFF" w:rsidP="00877AFF">
                  <w:pPr>
                    <w:pStyle w:val="Text"/>
                    <w:rPr>
                      <w:lang w:val="en-GB"/>
                    </w:rPr>
                  </w:pPr>
                  <w:r w:rsidRPr="00EA3663">
                    <w:rPr>
                      <w:lang w:val="en-GB"/>
                    </w:rPr>
                    <w:t xml:space="preserve">To recruit adult service users to respond to the survey, </w:t>
                  </w:r>
                  <w:r>
                    <w:rPr>
                      <w:lang w:val="en-GB"/>
                    </w:rPr>
                    <w:t>the evaluation team emailed</w:t>
                  </w:r>
                  <w:r w:rsidRPr="00EA3663">
                    <w:rPr>
                      <w:lang w:val="en-GB"/>
                    </w:rPr>
                    <w:t xml:space="preserve"> all FaRS and SFVS service providers requesting them to invite their service users by email or text to complete the survey. </w:t>
                  </w:r>
                  <w:r>
                    <w:rPr>
                      <w:lang w:val="en-GB"/>
                    </w:rPr>
                    <w:t xml:space="preserve">The survey was shareable in multiple formats including a hyperlink and QR code. </w:t>
                  </w:r>
                  <w:r w:rsidRPr="00EA3663">
                    <w:rPr>
                      <w:lang w:val="en-GB"/>
                    </w:rPr>
                    <w:t xml:space="preserve">For MBCP service users, surveys </w:t>
                  </w:r>
                  <w:r>
                    <w:rPr>
                      <w:lang w:val="en-GB"/>
                    </w:rPr>
                    <w:t>were o</w:t>
                  </w:r>
                  <w:r w:rsidRPr="00EA3663">
                    <w:rPr>
                      <w:lang w:val="en-GB"/>
                    </w:rPr>
                    <w:t xml:space="preserve">nly sent by the service provider to MBCP service users who </w:t>
                  </w:r>
                  <w:r>
                    <w:rPr>
                      <w:lang w:val="en-GB"/>
                    </w:rPr>
                    <w:t>wer</w:t>
                  </w:r>
                  <w:r w:rsidRPr="00EA3663">
                    <w:rPr>
                      <w:lang w:val="en-GB"/>
                    </w:rPr>
                    <w:t xml:space="preserve">e currently receiving active case management and for whom the victim survivor </w:t>
                  </w:r>
                  <w:r>
                    <w:rPr>
                      <w:lang w:val="en-GB"/>
                    </w:rPr>
                    <w:t>was</w:t>
                  </w:r>
                  <w:r w:rsidRPr="00EA3663">
                    <w:rPr>
                      <w:lang w:val="en-GB"/>
                    </w:rPr>
                    <w:t xml:space="preserve"> also currently receiving active case management to ensure </w:t>
                  </w:r>
                  <w:r>
                    <w:rPr>
                      <w:lang w:val="en-GB"/>
                    </w:rPr>
                    <w:t xml:space="preserve">safety. This distinct approach for MBCP service users is outlined below. </w:t>
                  </w:r>
                </w:p>
                <w:p w14:paraId="6C6A42C4" w14:textId="6200E2E3" w:rsidR="00877AFF" w:rsidRPr="00570D2F" w:rsidRDefault="00877AFF" w:rsidP="00877AFF">
                  <w:pPr>
                    <w:pStyle w:val="Text-BodyHeading"/>
                    <w:rPr>
                      <w:rStyle w:val="Text-Bold"/>
                      <w:b/>
                      <w:bCs w:val="0"/>
                    </w:rPr>
                  </w:pPr>
                  <w:r w:rsidRPr="00570D2F">
                    <w:rPr>
                      <w:rStyle w:val="Text-Bold"/>
                      <w:b/>
                      <w:bCs w:val="0"/>
                    </w:rPr>
                    <w:t xml:space="preserve">MBCP service user recruitment </w:t>
                  </w:r>
                </w:p>
                <w:p w14:paraId="439051C3" w14:textId="720DDFC2" w:rsidR="00877AFF" w:rsidRDefault="004345D5" w:rsidP="00877AFF">
                  <w:pPr>
                    <w:pStyle w:val="Text"/>
                  </w:pPr>
                  <w:r>
                    <w:t>T</w:t>
                  </w:r>
                  <w:r w:rsidR="00877AFF">
                    <w:t>he evaluation used additional eligibility criteria for MBCP service users a</w:t>
                  </w:r>
                  <w:r w:rsidR="00877AFF" w:rsidRPr="00B1233B">
                    <w:t xml:space="preserve">s </w:t>
                  </w:r>
                  <w:r w:rsidR="00877AFF">
                    <w:t xml:space="preserve">outlined above in </w:t>
                  </w:r>
                  <w:r w:rsidR="00EF1F60" w:rsidRPr="00EF1F60">
                    <w:rPr>
                      <w:b/>
                      <w:bCs/>
                    </w:rPr>
                    <w:fldChar w:fldCharType="begin" w:fldLock="1"/>
                  </w:r>
                  <w:r w:rsidR="00EF1F60" w:rsidRPr="00EF1F60">
                    <w:rPr>
                      <w:b/>
                      <w:bCs/>
                    </w:rPr>
                    <w:instrText xml:space="preserve"> REF _Ref203047454 \h </w:instrText>
                  </w:r>
                  <w:r w:rsidR="00EF1F60">
                    <w:rPr>
                      <w:b/>
                      <w:bCs/>
                    </w:rPr>
                    <w:instrText xml:space="preserve"> \* MERGEFORMAT </w:instrText>
                  </w:r>
                  <w:r w:rsidR="00EF1F60" w:rsidRPr="00EF1F60">
                    <w:rPr>
                      <w:b/>
                      <w:bCs/>
                    </w:rPr>
                  </w:r>
                  <w:r w:rsidR="00EF1F60" w:rsidRPr="00EF1F60">
                    <w:rPr>
                      <w:b/>
                      <w:bCs/>
                    </w:rPr>
                    <w:fldChar w:fldCharType="separate"/>
                  </w:r>
                  <w:r w:rsidR="008F22E5" w:rsidRPr="1D280572">
                    <w:rPr>
                      <w:rStyle w:val="Text-Bold"/>
                      <w:szCs w:val="22"/>
                    </w:rPr>
                    <w:t xml:space="preserve">Table </w:t>
                  </w:r>
                  <w:r w:rsidR="008F22E5" w:rsidRPr="008F22E5">
                    <w:rPr>
                      <w:b/>
                      <w:bCs/>
                      <w:noProof/>
                    </w:rPr>
                    <w:t>53</w:t>
                  </w:r>
                  <w:r w:rsidR="00EF1F60" w:rsidRPr="00EF1F60">
                    <w:rPr>
                      <w:b/>
                      <w:bCs/>
                    </w:rPr>
                    <w:fldChar w:fldCharType="end"/>
                  </w:r>
                  <w:r w:rsidR="00877AFF">
                    <w:t>. This included a requirement that all</w:t>
                  </w:r>
                  <w:r w:rsidR="00877AFF" w:rsidRPr="00B1233B">
                    <w:t xml:space="preserve"> interviews with</w:t>
                  </w:r>
                  <w:r w:rsidR="00877AFF">
                    <w:t xml:space="preserve"> MBCP</w:t>
                  </w:r>
                  <w:r w:rsidR="00877AFF" w:rsidRPr="00B1233B">
                    <w:t xml:space="preserve"> service users </w:t>
                  </w:r>
                  <w:r w:rsidR="00877AFF">
                    <w:t>were held</w:t>
                  </w:r>
                  <w:r w:rsidR="00877AFF" w:rsidRPr="00B1233B">
                    <w:t xml:space="preserve"> face-to-face</w:t>
                  </w:r>
                  <w:r w:rsidR="00877AFF">
                    <w:t>. All these criteria and requirements were implemented to ensure the safety of pe</w:t>
                  </w:r>
                  <w:r w:rsidR="00AF603D">
                    <w:t>ople who use violence</w:t>
                  </w:r>
                  <w:r w:rsidR="00877AFF">
                    <w:t xml:space="preserve">, victim survivors, and the evaluation team. </w:t>
                  </w:r>
                </w:p>
                <w:p w14:paraId="129D89B9" w14:textId="77777777" w:rsidR="00877AFF" w:rsidRPr="00B1233B" w:rsidRDefault="00877AFF" w:rsidP="00877AFF">
                  <w:pPr>
                    <w:pStyle w:val="Text"/>
                  </w:pPr>
                  <w:r>
                    <w:t xml:space="preserve">The evaluation team worked with service providers to identify MBCP service users who were appropriate for engagement. </w:t>
                  </w:r>
                  <w:r w:rsidRPr="00B1233B">
                    <w:t>The following process will be undertaken to support recruitment:</w:t>
                  </w:r>
                </w:p>
                <w:p w14:paraId="40B9368E" w14:textId="77777777" w:rsidR="00877AFF" w:rsidRPr="00B1233B" w:rsidRDefault="00877AFF" w:rsidP="00A96B32">
                  <w:pPr>
                    <w:pStyle w:val="Bullet1"/>
                  </w:pPr>
                  <w:r w:rsidRPr="00A96B32">
                    <w:rPr>
                      <w:b/>
                      <w:bCs/>
                    </w:rPr>
                    <w:t>Step 1:</w:t>
                  </w:r>
                  <w:r w:rsidRPr="00B1233B">
                    <w:t xml:space="preserve"> </w:t>
                  </w:r>
                  <w:r>
                    <w:t>Two</w:t>
                  </w:r>
                  <w:r w:rsidRPr="00B1233B">
                    <w:t xml:space="preserve"> virtual focus groups </w:t>
                  </w:r>
                  <w:r>
                    <w:t>were</w:t>
                  </w:r>
                  <w:r w:rsidRPr="00B1233B">
                    <w:t xml:space="preserve"> with MBCP service providers. All 10 </w:t>
                  </w:r>
                  <w:r>
                    <w:t xml:space="preserve">MBCP </w:t>
                  </w:r>
                  <w:r w:rsidRPr="00B1233B">
                    <w:t>service</w:t>
                  </w:r>
                  <w:r>
                    <w:t xml:space="preserve"> providers</w:t>
                  </w:r>
                  <w:r w:rsidRPr="00B1233B">
                    <w:t xml:space="preserve"> </w:t>
                  </w:r>
                  <w:r>
                    <w:t>were</w:t>
                  </w:r>
                  <w:r w:rsidRPr="00B1233B">
                    <w:t xml:space="preserve"> invited to participate with one representative attending from each service provider. The primary aim of the focus group </w:t>
                  </w:r>
                  <w:r>
                    <w:t xml:space="preserve">was </w:t>
                  </w:r>
                  <w:r w:rsidRPr="00B1233B">
                    <w:t xml:space="preserve">to collect data for the purposes of the Evaluation. A secondary aim of the focus group </w:t>
                  </w:r>
                  <w:r>
                    <w:t>was</w:t>
                  </w:r>
                  <w:r w:rsidRPr="00B1233B">
                    <w:t xml:space="preserve"> to support recruitment of service users to subsequent interviews. Accordingly, time </w:t>
                  </w:r>
                  <w:r>
                    <w:t>was</w:t>
                  </w:r>
                  <w:r w:rsidRPr="00B1233B">
                    <w:t xml:space="preserve"> allocated in these focus groups to discuss the recruitment approach with participating service providers and </w:t>
                  </w:r>
                  <w:r>
                    <w:t xml:space="preserve">to identify necessary changes </w:t>
                  </w:r>
                  <w:r w:rsidRPr="00B1233B">
                    <w:t>t</w:t>
                  </w:r>
                  <w:r>
                    <w:t>o</w:t>
                  </w:r>
                  <w:r w:rsidRPr="00B1233B">
                    <w:t xml:space="preserve"> the approach to recruitment to ensure that it aligns with the methods used by service providers. </w:t>
                  </w:r>
                </w:p>
                <w:p w14:paraId="1C6EAFD8" w14:textId="15ED318C" w:rsidR="00877AFF" w:rsidRPr="00B1233B" w:rsidRDefault="00877AFF" w:rsidP="00A96B32">
                  <w:pPr>
                    <w:pStyle w:val="Bullet1"/>
                  </w:pPr>
                  <w:r w:rsidRPr="00A96B32">
                    <w:rPr>
                      <w:b/>
                      <w:bCs/>
                    </w:rPr>
                    <w:t>Step 2:</w:t>
                  </w:r>
                  <w:r w:rsidRPr="00B1233B">
                    <w:t xml:space="preserve"> A screening process</w:t>
                  </w:r>
                  <w:r>
                    <w:t xml:space="preserve"> was </w:t>
                  </w:r>
                  <w:r w:rsidRPr="00B1233B">
                    <w:t xml:space="preserve">undertaken </w:t>
                  </w:r>
                  <w:r>
                    <w:t>by</w:t>
                  </w:r>
                  <w:r w:rsidRPr="00B1233B">
                    <w:t xml:space="preserve"> service users. In addition to the screening criteria, a prerequisite for recruitment of MBCP service users </w:t>
                  </w:r>
                  <w:r>
                    <w:t>was</w:t>
                  </w:r>
                  <w:r w:rsidRPr="00B1233B">
                    <w:t xml:space="preserve"> that they must be currently receiving active case management and the victim survivor must also be receiving active case management from a service provider. </w:t>
                  </w:r>
                </w:p>
                <w:p w14:paraId="5D5CA52B" w14:textId="4792855D" w:rsidR="00877AFF" w:rsidRPr="00B1233B" w:rsidRDefault="00877AFF" w:rsidP="00A96B32">
                  <w:pPr>
                    <w:pStyle w:val="Bullet1"/>
                  </w:pPr>
                  <w:r w:rsidRPr="00A96B32">
                    <w:rPr>
                      <w:b/>
                    </w:rPr>
                    <w:t>Step 3:</w:t>
                  </w:r>
                  <w:r w:rsidRPr="00B1233B">
                    <w:t xml:space="preserve"> The EOI process </w:t>
                  </w:r>
                  <w:r>
                    <w:t>was</w:t>
                  </w:r>
                  <w:r w:rsidRPr="00B1233B">
                    <w:t xml:space="preserve"> conducted</w:t>
                  </w:r>
                  <w:r w:rsidR="00293267">
                    <w:t>.</w:t>
                  </w:r>
                  <w:r w:rsidRPr="00B1233B">
                    <w:t xml:space="preserve"> Once </w:t>
                  </w:r>
                  <w:r>
                    <w:t xml:space="preserve">eligible </w:t>
                  </w:r>
                  <w:r w:rsidRPr="00B1233B">
                    <w:t xml:space="preserve">service users who </w:t>
                  </w:r>
                  <w:r>
                    <w:t>were</w:t>
                  </w:r>
                  <w:r w:rsidRPr="00B1233B">
                    <w:t xml:space="preserve"> interested in participating in the evaluation </w:t>
                  </w:r>
                  <w:r>
                    <w:t>were</w:t>
                  </w:r>
                  <w:r w:rsidRPr="00B1233B">
                    <w:t xml:space="preserve"> identified, the evaluation </w:t>
                  </w:r>
                  <w:r>
                    <w:t>team contacted</w:t>
                  </w:r>
                  <w:r w:rsidRPr="00B1233B">
                    <w:t xml:space="preserve"> the service provider to ensure that the participant is currently receiving MBCP services and active case management and to confirm that it is safe and appropriate for the service user to participate. A risk assessment and management protocol </w:t>
                  </w:r>
                  <w:r>
                    <w:t xml:space="preserve">was </w:t>
                  </w:r>
                  <w:r w:rsidRPr="00B1233B">
                    <w:t xml:space="preserve">established with service </w:t>
                  </w:r>
                  <w:r w:rsidRPr="00B1233B">
                    <w:lastRenderedPageBreak/>
                    <w:t xml:space="preserve">providers for each service user to ensure that the necessary supports and risk mitigation strategies </w:t>
                  </w:r>
                  <w:r>
                    <w:t>were</w:t>
                  </w:r>
                  <w:r w:rsidRPr="00B1233B">
                    <w:t xml:space="preserve"> in place. The evaluation team </w:t>
                  </w:r>
                  <w:r>
                    <w:t>then contacted</w:t>
                  </w:r>
                  <w:r w:rsidRPr="00B1233B">
                    <w:t xml:space="preserve"> participants and schedule a face-to-face interview. </w:t>
                  </w:r>
                </w:p>
                <w:p w14:paraId="46394933" w14:textId="62D147D9" w:rsidR="00877AFF" w:rsidRPr="00B1233B" w:rsidRDefault="00877AFF" w:rsidP="00A96B32">
                  <w:pPr>
                    <w:pStyle w:val="Bullet1"/>
                  </w:pPr>
                  <w:r w:rsidRPr="00A96B32">
                    <w:rPr>
                      <w:b/>
                    </w:rPr>
                    <w:t>Step 4:</w:t>
                  </w:r>
                  <w:r w:rsidRPr="00B1233B">
                    <w:t xml:space="preserve"> The day before the scheduled interview with MBCP service users, the evaluation team </w:t>
                  </w:r>
                  <w:r>
                    <w:t>contacted</w:t>
                  </w:r>
                  <w:r w:rsidRPr="00B1233B">
                    <w:t xml:space="preserve"> the service provider to ensure that the risk level is still as it was at recruitment, and that it </w:t>
                  </w:r>
                  <w:r>
                    <w:t>was</w:t>
                  </w:r>
                  <w:r w:rsidRPr="00B1233B">
                    <w:t xml:space="preserve"> still safe and appropriate for the service user to participate. If circumstances change and it </w:t>
                  </w:r>
                  <w:r>
                    <w:t>wa</w:t>
                  </w:r>
                  <w:r w:rsidRPr="00B1233B">
                    <w:t xml:space="preserve">s no longer safe or appropriate for the service user to participate based on the service provider’s assessment of the situation, the interview </w:t>
                  </w:r>
                  <w:r>
                    <w:t xml:space="preserve">was to </w:t>
                  </w:r>
                  <w:r w:rsidRPr="00B1233B">
                    <w:t>be postponed to a later date (if feasible) or cancelled, if required.</w:t>
                  </w:r>
                  <w:r w:rsidR="00E055C8">
                    <w:rPr>
                      <w:rFonts w:ascii="ZWAdobeF" w:hAnsi="ZWAdobeF" w:cs="ZWAdobeF"/>
                      <w:sz w:val="2"/>
                      <w:szCs w:val="2"/>
                    </w:rPr>
                    <w:t>21F</w:t>
                  </w:r>
                  <w:r w:rsidRPr="00292952">
                    <w:rPr>
                      <w:rStyle w:val="FootnoteReference"/>
                    </w:rPr>
                    <w:footnoteReference w:id="23"/>
                  </w:r>
                  <w:r>
                    <w:t xml:space="preserve"> </w:t>
                  </w:r>
                </w:p>
                <w:p w14:paraId="1EB9F68E" w14:textId="77777777" w:rsidR="00877AFF" w:rsidRPr="00B1233B" w:rsidRDefault="00877AFF" w:rsidP="00A96B32">
                  <w:pPr>
                    <w:pStyle w:val="Bullet1"/>
                  </w:pPr>
                  <w:r w:rsidRPr="00A96B32">
                    <w:rPr>
                      <w:b/>
                    </w:rPr>
                    <w:t>Step 5:</w:t>
                  </w:r>
                  <w:r w:rsidRPr="00B1233B">
                    <w:t xml:space="preserve"> In conducting interviews with MBCP service users, the evaluation team </w:t>
                  </w:r>
                  <w:r>
                    <w:t xml:space="preserve">sought </w:t>
                  </w:r>
                  <w:r w:rsidRPr="00B1233B">
                    <w:t xml:space="preserve">to </w:t>
                  </w:r>
                  <w:r>
                    <w:t>safeguard</w:t>
                  </w:r>
                  <w:r w:rsidRPr="00B1233B">
                    <w:t xml:space="preserve"> against non-collusive practice </w:t>
                  </w:r>
                  <w:r>
                    <w:t xml:space="preserve">through an approach </w:t>
                  </w:r>
                  <w:r w:rsidRPr="00B1233B">
                    <w:t>that prioritise</w:t>
                  </w:r>
                  <w:r>
                    <w:t>d</w:t>
                  </w:r>
                  <w:r w:rsidRPr="00B1233B">
                    <w:t xml:space="preserve"> accountability and minimise</w:t>
                  </w:r>
                  <w:r>
                    <w:t>d</w:t>
                  </w:r>
                  <w:r w:rsidRPr="00B1233B">
                    <w:t xml:space="preserve"> potential bias. To uphold this standard, the presence of individuals in the interview room </w:t>
                  </w:r>
                  <w:r>
                    <w:t>was</w:t>
                  </w:r>
                  <w:r w:rsidRPr="00B1233B">
                    <w:t xml:space="preserve"> carefully considered. If during recruitment, the evaluation team determine</w:t>
                  </w:r>
                  <w:r>
                    <w:t>d</w:t>
                  </w:r>
                  <w:r w:rsidRPr="00B1233B">
                    <w:t xml:space="preserve"> that it might be inappropriate for the designated service provider to attend the interview due to a conflict of interest or perceived bias, another staff member from the organisation who </w:t>
                  </w:r>
                  <w:r>
                    <w:t>wa</w:t>
                  </w:r>
                  <w:r w:rsidRPr="00B1233B">
                    <w:t xml:space="preserve">s not directly involved in the participant's case </w:t>
                  </w:r>
                  <w:r>
                    <w:t>was to be</w:t>
                  </w:r>
                  <w:r w:rsidRPr="00B1233B">
                    <w:t xml:space="preserve"> invited by the evaluation team to attend the interview. This third party </w:t>
                  </w:r>
                  <w:r>
                    <w:t>was to serve</w:t>
                  </w:r>
                  <w:r w:rsidRPr="00B1233B">
                    <w:t xml:space="preserve"> as a neutral observer, fostering an environment conducive to open dialogue while safeguarding against collusion.</w:t>
                  </w:r>
                  <w:r>
                    <w:t xml:space="preserve"> This did not occur for any MBCP interview.</w:t>
                  </w:r>
                  <w:r w:rsidRPr="00B1233B">
                    <w:t xml:space="preserve"> This interview structure aim</w:t>
                  </w:r>
                  <w:r>
                    <w:t>ed</w:t>
                  </w:r>
                  <w:r w:rsidRPr="00B1233B">
                    <w:t xml:space="preserve"> to reinforce ethical practice and maintain the integrity of the process and safety of a</w:t>
                  </w:r>
                  <w:r>
                    <w:t>ll</w:t>
                  </w:r>
                  <w:r w:rsidRPr="00B1233B">
                    <w:t xml:space="preserve"> individuals involved.</w:t>
                  </w:r>
                </w:p>
                <w:p w14:paraId="5F3474EF" w14:textId="77777777" w:rsidR="00877AFF" w:rsidRDefault="00877AFF" w:rsidP="00A96B32">
                  <w:pPr>
                    <w:pStyle w:val="Bullet1"/>
                  </w:pPr>
                  <w:r w:rsidRPr="00A96B32">
                    <w:rPr>
                      <w:b/>
                    </w:rPr>
                    <w:t>Step 6:</w:t>
                  </w:r>
                  <w:r w:rsidRPr="00B1233B">
                    <w:t xml:space="preserve"> Post-interview, the evaluation team </w:t>
                  </w:r>
                  <w:r>
                    <w:t>called</w:t>
                  </w:r>
                  <w:r w:rsidRPr="00B1233B">
                    <w:t xml:space="preserve"> the service user’s service provider to check in with them and provide a debrief about the engagement. The evaluation team </w:t>
                  </w:r>
                  <w:r>
                    <w:t>encouraged</w:t>
                  </w:r>
                  <w:r w:rsidRPr="00B1233B">
                    <w:t xml:space="preserve"> the service provider to follow up with the service user. The debrief, and relevant follow up, </w:t>
                  </w:r>
                  <w:r>
                    <w:t>was</w:t>
                  </w:r>
                  <w:r w:rsidRPr="00B1233B">
                    <w:t xml:space="preserve"> guided by the service provider.</w:t>
                  </w:r>
                </w:p>
                <w:p w14:paraId="7A76DC5F" w14:textId="77777777" w:rsidR="00877AFF" w:rsidRDefault="00877AFF" w:rsidP="00877AFF">
                  <w:pPr>
                    <w:pStyle w:val="Text-BodyHeading"/>
                  </w:pPr>
                  <w:r>
                    <w:t xml:space="preserve">Young service users </w:t>
                  </w:r>
                </w:p>
                <w:p w14:paraId="266412CF" w14:textId="6ECFABE1" w:rsidR="00727234" w:rsidRDefault="00877AFF" w:rsidP="00877AFF">
                  <w:pPr>
                    <w:pStyle w:val="Text"/>
                  </w:pPr>
                  <w:r>
                    <w:t>The evaluation sought to engage with young people who ha</w:t>
                  </w:r>
                  <w:r w:rsidR="005E0C64">
                    <w:t>d</w:t>
                  </w:r>
                  <w:r>
                    <w:t xml:space="preserve"> participated in </w:t>
                  </w:r>
                  <w:r w:rsidR="00570D2F">
                    <w:t>CSC</w:t>
                  </w:r>
                  <w:r>
                    <w:t xml:space="preserve"> services under the SFVS program. Service providers delivering </w:t>
                  </w:r>
                  <w:r w:rsidR="00570D2F">
                    <w:t>CSC</w:t>
                  </w:r>
                  <w:r>
                    <w:t xml:space="preserve"> services under SFVS were asked to identify young service users who meet the inclusion criteria </w:t>
                  </w:r>
                  <w:r w:rsidR="00EF1F60">
                    <w:t xml:space="preserve">outlined above in </w:t>
                  </w:r>
                  <w:r w:rsidR="00EF1F60" w:rsidRPr="00EF1F60">
                    <w:rPr>
                      <w:b/>
                      <w:bCs/>
                    </w:rPr>
                    <w:fldChar w:fldCharType="begin" w:fldLock="1"/>
                  </w:r>
                  <w:r w:rsidR="00EF1F60" w:rsidRPr="00EF1F60">
                    <w:rPr>
                      <w:b/>
                      <w:bCs/>
                    </w:rPr>
                    <w:instrText xml:space="preserve"> REF _Ref203047454 \h </w:instrText>
                  </w:r>
                  <w:r w:rsidR="00EF1F60">
                    <w:rPr>
                      <w:b/>
                      <w:bCs/>
                    </w:rPr>
                    <w:instrText xml:space="preserve"> \* MERGEFORMAT </w:instrText>
                  </w:r>
                  <w:r w:rsidR="00EF1F60" w:rsidRPr="00EF1F60">
                    <w:rPr>
                      <w:b/>
                      <w:bCs/>
                    </w:rPr>
                  </w:r>
                  <w:r w:rsidR="00EF1F60" w:rsidRPr="00EF1F60">
                    <w:rPr>
                      <w:b/>
                      <w:bCs/>
                    </w:rPr>
                    <w:fldChar w:fldCharType="separate"/>
                  </w:r>
                  <w:r w:rsidR="008F22E5" w:rsidRPr="1D280572">
                    <w:rPr>
                      <w:rStyle w:val="Text-Bold"/>
                      <w:szCs w:val="22"/>
                    </w:rPr>
                    <w:t xml:space="preserve">Table </w:t>
                  </w:r>
                  <w:r w:rsidR="008F22E5" w:rsidRPr="008F22E5">
                    <w:rPr>
                      <w:b/>
                      <w:bCs/>
                      <w:noProof/>
                    </w:rPr>
                    <w:t>53</w:t>
                  </w:r>
                  <w:r w:rsidR="00EF1F60" w:rsidRPr="00EF1F60">
                    <w:rPr>
                      <w:b/>
                      <w:bCs/>
                    </w:rPr>
                    <w:fldChar w:fldCharType="end"/>
                  </w:r>
                  <w:r w:rsidR="00EF1F60">
                    <w:t xml:space="preserve"> </w:t>
                  </w:r>
                  <w:r>
                    <w:t xml:space="preserve">and who they assessed as being in circumstances that enabled them to safely participate in the evaluation. As the service provider has knowledge of both the child and their parent or guardian, the evaluation team relied on providers to ensure that the child was suitable to safely participate, and that the parent or guardian was suitable to provide consent. </w:t>
                  </w:r>
                </w:p>
                <w:p w14:paraId="39FD6AC8" w14:textId="07ABD003" w:rsidR="00877AFF" w:rsidRPr="00570D2F" w:rsidRDefault="00877AFF" w:rsidP="00877AFF">
                  <w:pPr>
                    <w:pStyle w:val="Text-BodyHeading"/>
                    <w:rPr>
                      <w:rStyle w:val="Text-Bold"/>
                      <w:b/>
                      <w:bCs w:val="0"/>
                    </w:rPr>
                  </w:pPr>
                  <w:r w:rsidRPr="00570D2F">
                    <w:rPr>
                      <w:rStyle w:val="Text-Bold"/>
                      <w:b/>
                      <w:bCs w:val="0"/>
                    </w:rPr>
                    <w:t xml:space="preserve">Young service user interviews </w:t>
                  </w:r>
                </w:p>
                <w:p w14:paraId="49F659E4" w14:textId="344608ED" w:rsidR="00877AFF" w:rsidRDefault="00877AFF" w:rsidP="00877AFF">
                  <w:pPr>
                    <w:pStyle w:val="Text"/>
                  </w:pPr>
                  <w:r>
                    <w:t xml:space="preserve">Service providers were asked to identify young people aged 7-17, who fit the eligibility criteria for participating in an interview. All interviews were held in-person. For the purposes of this evaluation, consent from the parent/guardian consent from all service users who are under 18 years old was sought, unless they are aged 16 and over and are deemed by the service provider to have the capacity to give independent consent (a mature minor). Service providers </w:t>
                  </w:r>
                  <w:r>
                    <w:lastRenderedPageBreak/>
                    <w:t>were expected to have their own systems in place to ensure they obtain</w:t>
                  </w:r>
                  <w:r w:rsidR="00A6637B">
                    <w:t>ed</w:t>
                  </w:r>
                  <w:r>
                    <w:t xml:space="preserve"> written consent from a parent or guardian to work individually with the child or young person.</w:t>
                  </w:r>
                </w:p>
                <w:p w14:paraId="0AE35480" w14:textId="77777777" w:rsidR="00877AFF" w:rsidRDefault="00877AFF" w:rsidP="00877AFF">
                  <w:pPr>
                    <w:pStyle w:val="Text"/>
                  </w:pPr>
                  <w:r>
                    <w:t xml:space="preserve">The evaluation team asked service providers to directly reach out to the young service user they have assessed as potential participants, and to their parent/guardian where necessary to gauge their interest and willingness to participate in an interview. </w:t>
                  </w:r>
                </w:p>
                <w:p w14:paraId="4E2D6FB7" w14:textId="39CD641C" w:rsidR="00877AFF" w:rsidRDefault="00877AFF" w:rsidP="00877AFF">
                  <w:pPr>
                    <w:pStyle w:val="Text"/>
                  </w:pPr>
                  <w:r>
                    <w:t xml:space="preserve">Where the young person (and where relevant their parent/guardian) expressed interest in participating in the evaluation, the service provider completed </w:t>
                  </w:r>
                  <w:r w:rsidR="00570D2F">
                    <w:t>the</w:t>
                  </w:r>
                  <w:r>
                    <w:t xml:space="preserve"> EOI form. The service provider only </w:t>
                  </w:r>
                  <w:r w:rsidR="00570D2F">
                    <w:t>shared</w:t>
                  </w:r>
                  <w:r>
                    <w:t xml:space="preserve"> the information requested in the form with the young person’s assent and where required their parent/guardian’s consent. </w:t>
                  </w:r>
                </w:p>
                <w:p w14:paraId="330AF5F3" w14:textId="45F467AE" w:rsidR="00877AFF" w:rsidRDefault="00877AFF" w:rsidP="00877AFF">
                  <w:pPr>
                    <w:pStyle w:val="Text"/>
                  </w:pPr>
                  <w:r>
                    <w:t>The evaluation team then contacted the young person or their parent/guardian (as appropriate) to confirm they have understood the research and that they still consent</w:t>
                  </w:r>
                  <w:r w:rsidR="00570D2F">
                    <w:t>ed</w:t>
                  </w:r>
                  <w:r>
                    <w:t xml:space="preserve"> to participate. Where consent was provided, the evaluation team arranged an interview. The evaluation team also liaised their parent/guardian to establish:</w:t>
                  </w:r>
                </w:p>
                <w:p w14:paraId="468A43D8" w14:textId="77777777" w:rsidR="00877AFF" w:rsidRDefault="00877AFF" w:rsidP="00A96B32">
                  <w:pPr>
                    <w:pStyle w:val="Bullet1"/>
                  </w:pPr>
                  <w:r>
                    <w:t>whether the young person required an interpreter to provide informed consent and to participate fully in an interview</w:t>
                  </w:r>
                </w:p>
                <w:p w14:paraId="415983C5" w14:textId="77777777" w:rsidR="00877AFF" w:rsidRDefault="00877AFF" w:rsidP="00A96B32">
                  <w:pPr>
                    <w:pStyle w:val="Bullet1"/>
                  </w:pPr>
                  <w:r>
                    <w:t>whether they had a preference as to the gender of their interviewer</w:t>
                  </w:r>
                </w:p>
                <w:p w14:paraId="2220EF4A" w14:textId="77777777" w:rsidR="00877AFF" w:rsidRDefault="00877AFF" w:rsidP="00A96B32">
                  <w:pPr>
                    <w:pStyle w:val="Bullet1"/>
                  </w:pPr>
                  <w:r>
                    <w:t>whether the young person had other accessibility needs</w:t>
                  </w:r>
                </w:p>
                <w:p w14:paraId="6488B1BD" w14:textId="77777777" w:rsidR="00877AFF" w:rsidRDefault="00877AFF" w:rsidP="00A96B32">
                  <w:pPr>
                    <w:pStyle w:val="Bullet1"/>
                  </w:pPr>
                  <w:r>
                    <w:t>whether the young person wanted to have a family member or support person at the interview, and the name of the person (to enable the service provider to screen for safety).</w:t>
                  </w:r>
                </w:p>
                <w:p w14:paraId="6B1780EA" w14:textId="77777777" w:rsidR="00877AFF" w:rsidRPr="00F72B58" w:rsidRDefault="00877AFF" w:rsidP="00A302A7">
                  <w:pPr>
                    <w:pStyle w:val="Bullet1"/>
                    <w:numPr>
                      <w:ilvl w:val="0"/>
                      <w:numId w:val="0"/>
                    </w:numPr>
                  </w:pPr>
                  <w:r w:rsidRPr="00F80A64">
                    <w:t xml:space="preserve">The </w:t>
                  </w:r>
                  <w:r>
                    <w:t xml:space="preserve">evaluation’s </w:t>
                  </w:r>
                  <w:r w:rsidRPr="00F80A64">
                    <w:t xml:space="preserve">Children’s Engagement Lead </w:t>
                  </w:r>
                  <w:r>
                    <w:t>led all</w:t>
                  </w:r>
                  <w:r w:rsidRPr="00F80A64">
                    <w:t xml:space="preserve"> direct engagement with children and young people, and young service users </w:t>
                  </w:r>
                  <w:r>
                    <w:t xml:space="preserve">were </w:t>
                  </w:r>
                  <w:r w:rsidRPr="00F80A64">
                    <w:t xml:space="preserve">provided with the names of their interviewers prior to their interview. The approach to engagement </w:t>
                  </w:r>
                  <w:r>
                    <w:t>was</w:t>
                  </w:r>
                  <w:r w:rsidRPr="00F80A64">
                    <w:t xml:space="preserve"> adapted based on the age and </w:t>
                  </w:r>
                  <w:r>
                    <w:t xml:space="preserve">development </w:t>
                  </w:r>
                  <w:r w:rsidRPr="00F80A64">
                    <w:t>stage of the young person and</w:t>
                  </w:r>
                  <w:r>
                    <w:t xml:space="preserve"> included </w:t>
                  </w:r>
                  <w:r w:rsidRPr="00F80A64">
                    <w:t>observational and play-based engagement</w:t>
                  </w:r>
                  <w:r>
                    <w:t>,</w:t>
                  </w:r>
                  <w:r w:rsidRPr="00F80A64">
                    <w:t xml:space="preserve"> as well as semi-structured interviews. </w:t>
                  </w:r>
                </w:p>
                <w:p w14:paraId="7FB9885D" w14:textId="25684BD2" w:rsidR="00877AFF" w:rsidRPr="00570D2F" w:rsidRDefault="00877AFF" w:rsidP="00877AFF">
                  <w:pPr>
                    <w:pStyle w:val="Text-BodyHeading"/>
                    <w:rPr>
                      <w:rStyle w:val="Text-Bold"/>
                      <w:b/>
                      <w:bCs w:val="0"/>
                    </w:rPr>
                  </w:pPr>
                  <w:r w:rsidRPr="00570D2F">
                    <w:rPr>
                      <w:rStyle w:val="Text-Bold"/>
                      <w:b/>
                      <w:bCs w:val="0"/>
                    </w:rPr>
                    <w:t xml:space="preserve">Young service user surveys </w:t>
                  </w:r>
                </w:p>
                <w:p w14:paraId="2F947F1F" w14:textId="44561C6A" w:rsidR="00877AFF" w:rsidRPr="005B018F" w:rsidRDefault="00877AFF" w:rsidP="00877AFF">
                  <w:pPr>
                    <w:pStyle w:val="Text"/>
                  </w:pPr>
                  <w:r w:rsidRPr="005B018F">
                    <w:t xml:space="preserve">To recruit young people to respond to the survey, </w:t>
                  </w:r>
                  <w:r>
                    <w:t>the evaluation team</w:t>
                  </w:r>
                  <w:r w:rsidRPr="005B018F">
                    <w:t xml:space="preserve"> provide</w:t>
                  </w:r>
                  <w:r>
                    <w:t>d</w:t>
                  </w:r>
                  <w:r w:rsidRPr="005B018F">
                    <w:t xml:space="preserve"> service providers with the link to the survey and information about the evaluation, encouraging them to invite </w:t>
                  </w:r>
                  <w:r w:rsidR="00E614D3">
                    <w:t>service users</w:t>
                  </w:r>
                  <w:r w:rsidRPr="005B018F" w:rsidDel="00E614D3">
                    <w:t xml:space="preserve"> </w:t>
                  </w:r>
                  <w:r w:rsidRPr="005B018F">
                    <w:t>to complete the survey where they consider it safe to do so, and in line with the inclusion and exclusion criteria.</w:t>
                  </w:r>
                  <w:r>
                    <w:t xml:space="preserve"> </w:t>
                  </w:r>
                  <w:r w:rsidRPr="005B018F">
                    <w:t>In assessing the safety of the child or young person’s environment, the service provider</w:t>
                  </w:r>
                  <w:r>
                    <w:t>s wer</w:t>
                  </w:r>
                  <w:r w:rsidRPr="005B018F">
                    <w:t>e asked to consider the risk of family members or others accessing their personal information (</w:t>
                  </w:r>
                  <w:r w:rsidR="009C00AD">
                    <w:t>e.g.</w:t>
                  </w:r>
                  <w:r w:rsidRPr="005B018F">
                    <w:t xml:space="preserve"> watching them complete the survey). </w:t>
                  </w:r>
                </w:p>
                <w:p w14:paraId="6EDD937D" w14:textId="77777777" w:rsidR="00877AFF" w:rsidRPr="005B018F" w:rsidRDefault="00877AFF" w:rsidP="00877AFF">
                  <w:pPr>
                    <w:pStyle w:val="Text"/>
                  </w:pPr>
                  <w:r w:rsidRPr="005B018F">
                    <w:t xml:space="preserve">Where a service provider assesses a young service user to be eligible and in circumstances which </w:t>
                  </w:r>
                  <w:r>
                    <w:t>enabled</w:t>
                  </w:r>
                  <w:r w:rsidRPr="005B018F">
                    <w:t xml:space="preserve"> them to complete the survey safely, they </w:t>
                  </w:r>
                  <w:r>
                    <w:t>were</w:t>
                  </w:r>
                  <w:r w:rsidRPr="005B018F">
                    <w:t xml:space="preserve"> asked to send the survey link:</w:t>
                  </w:r>
                </w:p>
                <w:p w14:paraId="45700A56" w14:textId="77777777" w:rsidR="00877AFF" w:rsidRDefault="00877AFF" w:rsidP="00A96B32">
                  <w:pPr>
                    <w:pStyle w:val="Bullet1"/>
                  </w:pPr>
                  <w:r>
                    <w:t>directly to the young service user, where the young person is aged 16 or older and is assessed by the service provider as being a mature minor</w:t>
                  </w:r>
                </w:p>
                <w:p w14:paraId="24BB7859" w14:textId="15621F63" w:rsidR="00767B14" w:rsidRDefault="00877AFF" w:rsidP="005441CB">
                  <w:pPr>
                    <w:pStyle w:val="Bullet1"/>
                  </w:pPr>
                  <w:r w:rsidRPr="00A96B32">
                    <w:t>to the parent/guardian of the young person where the young service user is under 16 or is not a mature minor. The parent/guardian was asked to provide consent before the young person completes the survey.</w:t>
                  </w:r>
                </w:p>
                <w:p w14:paraId="5BEDD139" w14:textId="77777777" w:rsidR="00925CD2" w:rsidRDefault="00925CD2" w:rsidP="00A6637B">
                  <w:pPr>
                    <w:pStyle w:val="Bullet1"/>
                    <w:numPr>
                      <w:ilvl w:val="0"/>
                      <w:numId w:val="0"/>
                    </w:numPr>
                  </w:pPr>
                </w:p>
                <w:p w14:paraId="51BCB4D4" w14:textId="2F7C4DF4" w:rsidR="00931B7D" w:rsidRDefault="00931B7D" w:rsidP="00931B7D">
                  <w:pPr>
                    <w:pStyle w:val="Appendix"/>
                  </w:pPr>
                  <w:bookmarkStart w:id="562" w:name="Appendix_E"/>
                  <w:bookmarkStart w:id="563" w:name="_Toc205300723"/>
                  <w:bookmarkStart w:id="564" w:name="_Toc205300815"/>
                  <w:bookmarkStart w:id="565" w:name="_Toc205301062"/>
                  <w:bookmarkStart w:id="566" w:name="_Toc208906869"/>
                  <w:bookmarkEnd w:id="562"/>
                  <w:bookmarkEnd w:id="563"/>
                  <w:bookmarkEnd w:id="564"/>
                  <w:bookmarkEnd w:id="565"/>
                  <w:r w:rsidRPr="003367ED">
                    <w:lastRenderedPageBreak/>
                    <w:t>Service user demographic data – participant sample</w:t>
                  </w:r>
                  <w:bookmarkEnd w:id="566"/>
                </w:p>
                <w:p w14:paraId="0226993E" w14:textId="5F42801A" w:rsidR="00046998" w:rsidRPr="00811E31" w:rsidRDefault="00046998" w:rsidP="00EF1F60">
                  <w:pPr>
                    <w:pStyle w:val="TableFigure-Header"/>
                    <w:rPr>
                      <w:szCs w:val="21"/>
                      <w:lang w:val="en-NZ"/>
                    </w:rPr>
                  </w:pPr>
                  <w:bookmarkStart w:id="567" w:name="_Toc205413092"/>
                  <w:bookmarkStart w:id="568" w:name="_Toc205413146"/>
                  <w:r w:rsidRPr="00811E31">
                    <w:rPr>
                      <w:rStyle w:val="Text-Bold"/>
                      <w:b/>
                      <w:szCs w:val="21"/>
                    </w:rPr>
                    <w:t xml:space="preserve">Figure </w:t>
                  </w:r>
                  <w:r w:rsidR="00C64C3D" w:rsidRPr="00811E31">
                    <w:rPr>
                      <w:rStyle w:val="Text-Bold"/>
                      <w:b/>
                      <w:szCs w:val="21"/>
                    </w:rPr>
                    <w:fldChar w:fldCharType="begin"/>
                  </w:r>
                  <w:r w:rsidR="00C64C3D" w:rsidRPr="00811E31">
                    <w:rPr>
                      <w:rStyle w:val="Text-Bold"/>
                      <w:b/>
                      <w:szCs w:val="21"/>
                    </w:rPr>
                    <w:instrText xml:space="preserve"> SEQ Figure \* ARABIC </w:instrText>
                  </w:r>
                  <w:r w:rsidR="00C64C3D" w:rsidRPr="00811E31">
                    <w:rPr>
                      <w:rStyle w:val="Text-Bold"/>
                      <w:b/>
                      <w:szCs w:val="21"/>
                    </w:rPr>
                    <w:fldChar w:fldCharType="separate"/>
                  </w:r>
                  <w:r w:rsidR="008D2566">
                    <w:rPr>
                      <w:rStyle w:val="Text-Bold"/>
                      <w:b/>
                      <w:noProof/>
                      <w:szCs w:val="21"/>
                    </w:rPr>
                    <w:t>49</w:t>
                  </w:r>
                  <w:r w:rsidR="00C64C3D" w:rsidRPr="00811E31">
                    <w:rPr>
                      <w:rStyle w:val="Text-Bold"/>
                      <w:b/>
                      <w:szCs w:val="21"/>
                    </w:rPr>
                    <w:fldChar w:fldCharType="end"/>
                  </w:r>
                  <w:r w:rsidR="00EF1F60" w:rsidRPr="00811E31">
                    <w:rPr>
                      <w:rStyle w:val="Text-Bold"/>
                      <w:b/>
                      <w:szCs w:val="21"/>
                    </w:rPr>
                    <w:t xml:space="preserve">: </w:t>
                  </w:r>
                  <w:r w:rsidR="00E81983" w:rsidRPr="00811E31">
                    <w:rPr>
                      <w:rStyle w:val="Text-Bold"/>
                      <w:b/>
                      <w:szCs w:val="21"/>
                    </w:rPr>
                    <w:t xml:space="preserve">Service user interview demographics </w:t>
                  </w:r>
                  <w:r w:rsidRPr="00811E31">
                    <w:rPr>
                      <w:rStyle w:val="Text-Bold"/>
                      <w:b/>
                      <w:szCs w:val="21"/>
                    </w:rPr>
                    <w:t>– gender</w:t>
                  </w:r>
                  <w:r w:rsidR="00E055C8">
                    <w:rPr>
                      <w:rStyle w:val="Text-Bold"/>
                      <w:rFonts w:ascii="ZWAdobeF" w:hAnsi="ZWAdobeF" w:cs="ZWAdobeF"/>
                      <w:sz w:val="2"/>
                      <w:szCs w:val="2"/>
                    </w:rPr>
                    <w:t>22F</w:t>
                  </w:r>
                  <w:r w:rsidR="00767B14" w:rsidRPr="00811E31">
                    <w:rPr>
                      <w:rStyle w:val="FootnoteReference"/>
                      <w:szCs w:val="21"/>
                    </w:rPr>
                    <w:footnoteReference w:id="24"/>
                  </w:r>
                  <w:bookmarkEnd w:id="567"/>
                  <w:bookmarkEnd w:id="568"/>
                </w:p>
                <w:p w14:paraId="47BD7D0E" w14:textId="4BD51E33" w:rsidR="00FA3C47" w:rsidRPr="00FA3C47" w:rsidRDefault="00FA3C47" w:rsidP="00046998">
                  <w:pPr>
                    <w:pStyle w:val="Text"/>
                    <w:rPr>
                      <w:b/>
                      <w:bCs/>
                    </w:rPr>
                  </w:pPr>
                  <w:r>
                    <w:rPr>
                      <w:noProof/>
                    </w:rPr>
                    <w:drawing>
                      <wp:inline distT="0" distB="0" distL="0" distR="0" wp14:anchorId="6BE38196" wp14:editId="336DA946">
                        <wp:extent cx="5513294" cy="3299011"/>
                        <wp:effectExtent l="0" t="0" r="11430" b="15875"/>
                        <wp:docPr id="2020268698" name="Chart 1">
                          <a:extLst xmlns:a="http://schemas.openxmlformats.org/drawingml/2006/main">
                            <a:ext uri="{FF2B5EF4-FFF2-40B4-BE49-F238E27FC236}">
                              <a16:creationId xmlns:a16="http://schemas.microsoft.com/office/drawing/2014/main" id="{ED1AA141-CB41-3CEE-B7DD-E5C97A411BA6}"/>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5"/>
                          </a:graphicData>
                        </a:graphic>
                      </wp:inline>
                    </w:drawing>
                  </w:r>
                  <w:r w:rsidRPr="596BDFB0">
                    <w:rPr>
                      <w:i/>
                      <w:iCs/>
                      <w:sz w:val="20"/>
                    </w:rPr>
                    <w:t>Source: Service user interview data</w:t>
                  </w:r>
                </w:p>
                <w:p w14:paraId="096376D0" w14:textId="294A01A6" w:rsidR="00280BE0" w:rsidRPr="00811E31" w:rsidRDefault="00280BE0" w:rsidP="00EF1F60">
                  <w:pPr>
                    <w:pStyle w:val="TableFigure-Header"/>
                    <w:rPr>
                      <w:szCs w:val="21"/>
                      <w:lang w:val="en-NZ"/>
                    </w:rPr>
                  </w:pPr>
                  <w:bookmarkStart w:id="569" w:name="_Toc205413093"/>
                  <w:bookmarkStart w:id="570" w:name="_Toc205413147"/>
                  <w:r w:rsidRPr="00811E31">
                    <w:rPr>
                      <w:rStyle w:val="Text-Bold"/>
                      <w:b/>
                      <w:szCs w:val="21"/>
                    </w:rPr>
                    <w:t xml:space="preserve">Figure </w:t>
                  </w:r>
                  <w:r w:rsidR="00C64C3D" w:rsidRPr="00811E31">
                    <w:rPr>
                      <w:rStyle w:val="Text-Bold"/>
                      <w:b/>
                      <w:szCs w:val="21"/>
                    </w:rPr>
                    <w:fldChar w:fldCharType="begin"/>
                  </w:r>
                  <w:r w:rsidR="00C64C3D" w:rsidRPr="00811E31">
                    <w:rPr>
                      <w:rStyle w:val="Text-Bold"/>
                      <w:b/>
                      <w:szCs w:val="21"/>
                    </w:rPr>
                    <w:instrText xml:space="preserve"> SEQ Figure \* ARABIC </w:instrText>
                  </w:r>
                  <w:r w:rsidR="00C64C3D" w:rsidRPr="00811E31">
                    <w:rPr>
                      <w:rStyle w:val="Text-Bold"/>
                      <w:b/>
                      <w:szCs w:val="21"/>
                    </w:rPr>
                    <w:fldChar w:fldCharType="separate"/>
                  </w:r>
                  <w:r w:rsidR="008D2566">
                    <w:rPr>
                      <w:rStyle w:val="Text-Bold"/>
                      <w:b/>
                      <w:noProof/>
                      <w:szCs w:val="21"/>
                    </w:rPr>
                    <w:t>50</w:t>
                  </w:r>
                  <w:r w:rsidR="00C64C3D" w:rsidRPr="00811E31">
                    <w:rPr>
                      <w:rStyle w:val="Text-Bold"/>
                      <w:b/>
                      <w:szCs w:val="21"/>
                    </w:rPr>
                    <w:fldChar w:fldCharType="end"/>
                  </w:r>
                  <w:r w:rsidR="00EF1F60" w:rsidRPr="00811E31">
                    <w:rPr>
                      <w:rStyle w:val="Text-Bold"/>
                      <w:b/>
                      <w:szCs w:val="21"/>
                    </w:rPr>
                    <w:t>:</w:t>
                  </w:r>
                  <w:r w:rsidRPr="00811E31">
                    <w:rPr>
                      <w:rStyle w:val="Text-Bold"/>
                      <w:b/>
                      <w:szCs w:val="21"/>
                    </w:rPr>
                    <w:t xml:space="preserve"> </w:t>
                  </w:r>
                  <w:r w:rsidR="00E81983" w:rsidRPr="00811E31">
                    <w:rPr>
                      <w:rStyle w:val="Text-Bold"/>
                      <w:b/>
                      <w:szCs w:val="21"/>
                    </w:rPr>
                    <w:t xml:space="preserve">Service user interview demographics – </w:t>
                  </w:r>
                  <w:r w:rsidRPr="00811E31" w:rsidDel="00E81983">
                    <w:rPr>
                      <w:rStyle w:val="Text-Bold"/>
                      <w:b/>
                      <w:szCs w:val="21"/>
                    </w:rPr>
                    <w:t>a</w:t>
                  </w:r>
                  <w:r w:rsidRPr="00811E31">
                    <w:rPr>
                      <w:rStyle w:val="Text-Bold"/>
                      <w:b/>
                      <w:szCs w:val="21"/>
                    </w:rPr>
                    <w:t>ge</w:t>
                  </w:r>
                  <w:r w:rsidR="00E055C8">
                    <w:rPr>
                      <w:rStyle w:val="Text-Bold"/>
                      <w:rFonts w:ascii="ZWAdobeF" w:hAnsi="ZWAdobeF" w:cs="ZWAdobeF"/>
                      <w:sz w:val="2"/>
                      <w:szCs w:val="2"/>
                    </w:rPr>
                    <w:t>23F</w:t>
                  </w:r>
                  <w:r w:rsidR="00E8004B" w:rsidRPr="00811E31">
                    <w:rPr>
                      <w:rStyle w:val="FootnoteReference"/>
                      <w:szCs w:val="21"/>
                    </w:rPr>
                    <w:footnoteReference w:id="25"/>
                  </w:r>
                  <w:bookmarkEnd w:id="569"/>
                  <w:bookmarkEnd w:id="570"/>
                </w:p>
                <w:p w14:paraId="0803D7F5" w14:textId="3DA92182" w:rsidR="002534E0" w:rsidRPr="00925CD2" w:rsidRDefault="00A671CC" w:rsidP="596BDFB0">
                  <w:pPr>
                    <w:pStyle w:val="Text"/>
                    <w:rPr>
                      <w:i/>
                      <w:iCs/>
                      <w:sz w:val="20"/>
                    </w:rPr>
                  </w:pPr>
                  <w:r>
                    <w:rPr>
                      <w:noProof/>
                    </w:rPr>
                    <w:drawing>
                      <wp:inline distT="0" distB="0" distL="0" distR="0" wp14:anchorId="4DE910E6" wp14:editId="1103C424">
                        <wp:extent cx="5665694" cy="3245223"/>
                        <wp:effectExtent l="0" t="0" r="11430" b="12700"/>
                        <wp:docPr id="266570593" name="Chart 1">
                          <a:extLst xmlns:a="http://schemas.openxmlformats.org/drawingml/2006/main">
                            <a:ext uri="{FF2B5EF4-FFF2-40B4-BE49-F238E27FC236}">
                              <a16:creationId xmlns:a16="http://schemas.microsoft.com/office/drawing/2014/main" id="{D3132B22-2279-AF2A-E7C7-7EA7BEC1711C}"/>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6"/>
                          </a:graphicData>
                        </a:graphic>
                      </wp:inline>
                    </w:drawing>
                  </w:r>
                  <w:r w:rsidR="00FA3C47" w:rsidRPr="596BDFB0">
                    <w:rPr>
                      <w:i/>
                      <w:iCs/>
                      <w:sz w:val="20"/>
                    </w:rPr>
                    <w:t>Source: Service user interview data</w:t>
                  </w:r>
                </w:p>
                <w:p w14:paraId="5539E19E" w14:textId="70274CC7" w:rsidR="00FA3C47" w:rsidRPr="00811E31" w:rsidRDefault="00FA3C47" w:rsidP="00811E31">
                  <w:pPr>
                    <w:pStyle w:val="TableFigure-Header"/>
                    <w:spacing w:line="276" w:lineRule="auto"/>
                    <w:rPr>
                      <w:rStyle w:val="Text-Bold"/>
                      <w:b/>
                      <w:szCs w:val="21"/>
                      <w:lang w:val="en-NZ"/>
                    </w:rPr>
                  </w:pPr>
                  <w:bookmarkStart w:id="571" w:name="_Toc205413094"/>
                  <w:bookmarkStart w:id="572" w:name="_Toc205413148"/>
                  <w:r w:rsidRPr="00811E31">
                    <w:rPr>
                      <w:rStyle w:val="Text-Bold"/>
                      <w:b/>
                      <w:szCs w:val="21"/>
                      <w:lang w:val="en-NZ"/>
                    </w:rPr>
                    <w:lastRenderedPageBreak/>
                    <w:t xml:space="preserve">Figure </w:t>
                  </w:r>
                  <w:r w:rsidR="00C64C3D" w:rsidRPr="00811E31">
                    <w:rPr>
                      <w:rStyle w:val="Text-Bold"/>
                      <w:b/>
                      <w:szCs w:val="21"/>
                      <w:lang w:val="en-NZ"/>
                    </w:rPr>
                    <w:fldChar w:fldCharType="begin"/>
                  </w:r>
                  <w:r w:rsidR="00C64C3D" w:rsidRPr="00811E31">
                    <w:rPr>
                      <w:rStyle w:val="Text-Bold"/>
                      <w:b/>
                      <w:szCs w:val="21"/>
                      <w:lang w:val="en-NZ"/>
                    </w:rPr>
                    <w:instrText xml:space="preserve"> SEQ Figure \* ARABIC </w:instrText>
                  </w:r>
                  <w:r w:rsidR="00C64C3D" w:rsidRPr="00811E31">
                    <w:rPr>
                      <w:rStyle w:val="Text-Bold"/>
                      <w:b/>
                      <w:szCs w:val="21"/>
                      <w:lang w:val="en-NZ"/>
                    </w:rPr>
                    <w:fldChar w:fldCharType="separate"/>
                  </w:r>
                  <w:r w:rsidR="008D2566">
                    <w:rPr>
                      <w:rStyle w:val="Text-Bold"/>
                      <w:b/>
                      <w:noProof/>
                      <w:szCs w:val="21"/>
                      <w:lang w:val="en-NZ"/>
                    </w:rPr>
                    <w:t>51</w:t>
                  </w:r>
                  <w:r w:rsidR="00C64C3D" w:rsidRPr="00811E31">
                    <w:rPr>
                      <w:rStyle w:val="Text-Bold"/>
                      <w:b/>
                      <w:szCs w:val="21"/>
                      <w:lang w:val="en-NZ"/>
                    </w:rPr>
                    <w:fldChar w:fldCharType="end"/>
                  </w:r>
                  <w:r w:rsidRPr="00811E31">
                    <w:rPr>
                      <w:rStyle w:val="Text-Bold"/>
                      <w:b/>
                      <w:szCs w:val="21"/>
                      <w:lang w:val="en-NZ"/>
                    </w:rPr>
                    <w:t>: Service user interview demographics – priority cohorts</w:t>
                  </w:r>
                  <w:bookmarkEnd w:id="571"/>
                  <w:bookmarkEnd w:id="572"/>
                </w:p>
                <w:p w14:paraId="7591B5CB" w14:textId="0D2C1BD8" w:rsidR="001D01B8" w:rsidRPr="0069004B" w:rsidRDefault="00153106" w:rsidP="00046998">
                  <w:pPr>
                    <w:pStyle w:val="Text"/>
                    <w:rPr>
                      <w:b/>
                      <w:bCs/>
                    </w:rPr>
                  </w:pPr>
                  <w:r>
                    <w:rPr>
                      <w:noProof/>
                    </w:rPr>
                    <w:drawing>
                      <wp:inline distT="0" distB="0" distL="0" distR="0" wp14:anchorId="71FF2236" wp14:editId="58884728">
                        <wp:extent cx="5862918" cy="3792071"/>
                        <wp:effectExtent l="0" t="0" r="5080" b="18415"/>
                        <wp:docPr id="799872287" name="Chart 1">
                          <a:extLst xmlns:a="http://schemas.openxmlformats.org/drawingml/2006/main">
                            <a:ext uri="{FF2B5EF4-FFF2-40B4-BE49-F238E27FC236}">
                              <a16:creationId xmlns:a16="http://schemas.microsoft.com/office/drawing/2014/main" id="{8ADDB5CD-B470-863E-C4C5-2A13AAC80157}"/>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7"/>
                          </a:graphicData>
                        </a:graphic>
                      </wp:inline>
                    </w:drawing>
                  </w:r>
                  <w:r w:rsidR="00FA3C47" w:rsidRPr="596BDFB0">
                    <w:rPr>
                      <w:i/>
                      <w:iCs/>
                      <w:sz w:val="20"/>
                    </w:rPr>
                    <w:t>Source: Service user interview data</w:t>
                  </w:r>
                </w:p>
                <w:p w14:paraId="521A93A7" w14:textId="2873C855" w:rsidR="00046998" w:rsidRPr="00811E31" w:rsidRDefault="00046998" w:rsidP="00811E31">
                  <w:pPr>
                    <w:pStyle w:val="Caption"/>
                    <w:rPr>
                      <w:b w:val="0"/>
                      <w:bCs/>
                      <w:sz w:val="21"/>
                      <w:szCs w:val="21"/>
                    </w:rPr>
                  </w:pPr>
                  <w:bookmarkStart w:id="573" w:name="_Toc205413095"/>
                  <w:bookmarkStart w:id="574" w:name="_Toc205413149"/>
                  <w:r w:rsidRPr="00811E31">
                    <w:rPr>
                      <w:rStyle w:val="Text-Bold"/>
                      <w:b/>
                      <w:sz w:val="21"/>
                      <w:szCs w:val="21"/>
                    </w:rPr>
                    <w:t xml:space="preserve">Figure </w:t>
                  </w:r>
                  <w:r w:rsidR="00C64C3D" w:rsidRPr="00811E31">
                    <w:rPr>
                      <w:rStyle w:val="Text-Bold"/>
                      <w:b/>
                      <w:sz w:val="21"/>
                      <w:szCs w:val="21"/>
                    </w:rPr>
                    <w:fldChar w:fldCharType="begin"/>
                  </w:r>
                  <w:r w:rsidR="00C64C3D" w:rsidRPr="00811E31">
                    <w:rPr>
                      <w:rStyle w:val="Text-Bold"/>
                      <w:b/>
                      <w:sz w:val="21"/>
                      <w:szCs w:val="21"/>
                    </w:rPr>
                    <w:instrText xml:space="preserve"> SEQ Figure \* ARABIC </w:instrText>
                  </w:r>
                  <w:r w:rsidR="00C64C3D" w:rsidRPr="00811E31">
                    <w:rPr>
                      <w:rStyle w:val="Text-Bold"/>
                      <w:b/>
                      <w:sz w:val="21"/>
                      <w:szCs w:val="21"/>
                    </w:rPr>
                    <w:fldChar w:fldCharType="separate"/>
                  </w:r>
                  <w:r w:rsidR="008D2566">
                    <w:rPr>
                      <w:rStyle w:val="Text-Bold"/>
                      <w:b/>
                      <w:noProof/>
                      <w:sz w:val="21"/>
                      <w:szCs w:val="21"/>
                    </w:rPr>
                    <w:t>52</w:t>
                  </w:r>
                  <w:r w:rsidR="00C64C3D" w:rsidRPr="00811E31">
                    <w:rPr>
                      <w:rStyle w:val="Text-Bold"/>
                      <w:b/>
                      <w:sz w:val="21"/>
                      <w:szCs w:val="21"/>
                    </w:rPr>
                    <w:fldChar w:fldCharType="end"/>
                  </w:r>
                  <w:r w:rsidR="00FA3C47" w:rsidRPr="00811E31">
                    <w:rPr>
                      <w:rStyle w:val="Text-Bold"/>
                      <w:b/>
                      <w:sz w:val="21"/>
                      <w:szCs w:val="21"/>
                    </w:rPr>
                    <w:t>:</w:t>
                  </w:r>
                  <w:r w:rsidRPr="00811E31">
                    <w:rPr>
                      <w:rStyle w:val="Text-Bold"/>
                      <w:b/>
                      <w:sz w:val="21"/>
                      <w:szCs w:val="21"/>
                    </w:rPr>
                    <w:t xml:space="preserve"> </w:t>
                  </w:r>
                  <w:r w:rsidR="00E81983" w:rsidRPr="00811E31">
                    <w:rPr>
                      <w:rStyle w:val="Text-Bold"/>
                      <w:b/>
                      <w:sz w:val="21"/>
                      <w:szCs w:val="21"/>
                    </w:rPr>
                    <w:t xml:space="preserve">Service user interview demographics – </w:t>
                  </w:r>
                  <w:r w:rsidRPr="00811E31">
                    <w:rPr>
                      <w:rStyle w:val="Text-Bold"/>
                      <w:b/>
                      <w:sz w:val="21"/>
                      <w:szCs w:val="21"/>
                    </w:rPr>
                    <w:t>state and territory</w:t>
                  </w:r>
                  <w:r w:rsidR="00E055C8">
                    <w:rPr>
                      <w:rStyle w:val="Text-Bold"/>
                      <w:rFonts w:ascii="ZWAdobeF" w:hAnsi="ZWAdobeF" w:cs="ZWAdobeF"/>
                      <w:sz w:val="2"/>
                      <w:szCs w:val="2"/>
                    </w:rPr>
                    <w:t>24F</w:t>
                  </w:r>
                  <w:r w:rsidR="00E8004B" w:rsidRPr="00811E31">
                    <w:rPr>
                      <w:rStyle w:val="FootnoteReference"/>
                      <w:sz w:val="21"/>
                      <w:szCs w:val="21"/>
                    </w:rPr>
                    <w:footnoteReference w:id="26"/>
                  </w:r>
                  <w:bookmarkEnd w:id="573"/>
                  <w:bookmarkEnd w:id="574"/>
                  <w:r w:rsidRPr="00811E31">
                    <w:rPr>
                      <w:sz w:val="21"/>
                      <w:szCs w:val="21"/>
                    </w:rPr>
                    <w:t xml:space="preserve"> </w:t>
                  </w:r>
                </w:p>
                <w:p w14:paraId="30500909" w14:textId="3A23D578" w:rsidR="001E28F0" w:rsidRDefault="00493D72" w:rsidP="596BDFB0">
                  <w:pPr>
                    <w:pStyle w:val="Text"/>
                    <w:rPr>
                      <w:i/>
                      <w:iCs/>
                      <w:sz w:val="20"/>
                    </w:rPr>
                  </w:pPr>
                  <w:r>
                    <w:rPr>
                      <w:noProof/>
                    </w:rPr>
                    <w:drawing>
                      <wp:inline distT="0" distB="0" distL="0" distR="0" wp14:anchorId="20F3A7DA" wp14:editId="5981B63D">
                        <wp:extent cx="5782235" cy="3209364"/>
                        <wp:effectExtent l="0" t="0" r="9525" b="10160"/>
                        <wp:docPr id="803036337" name="Chart 1">
                          <a:extLst xmlns:a="http://schemas.openxmlformats.org/drawingml/2006/main">
                            <a:ext uri="{FF2B5EF4-FFF2-40B4-BE49-F238E27FC236}">
                              <a16:creationId xmlns:a16="http://schemas.microsoft.com/office/drawing/2014/main" id="{03328E8B-E97E-C25E-BED8-C27818FFEE50}"/>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8"/>
                          </a:graphicData>
                        </a:graphic>
                      </wp:inline>
                    </w:drawing>
                  </w:r>
                  <w:r w:rsidR="00FA3C47" w:rsidRPr="596BDFB0">
                    <w:rPr>
                      <w:i/>
                      <w:iCs/>
                      <w:sz w:val="20"/>
                    </w:rPr>
                    <w:t>Source: Service user interview data</w:t>
                  </w:r>
                </w:p>
                <w:p w14:paraId="034327B5" w14:textId="5739B639" w:rsidR="00FA3C47" w:rsidRPr="00811E31" w:rsidRDefault="00FA3C47" w:rsidP="00811E31">
                  <w:pPr>
                    <w:pStyle w:val="TableFigure-Header"/>
                    <w:spacing w:line="276" w:lineRule="auto"/>
                    <w:rPr>
                      <w:rStyle w:val="Text-Bold"/>
                      <w:b/>
                      <w:szCs w:val="21"/>
                      <w:lang w:val="en-NZ"/>
                    </w:rPr>
                  </w:pPr>
                  <w:bookmarkStart w:id="575" w:name="_Toc205413096"/>
                  <w:bookmarkStart w:id="576" w:name="_Toc205413150"/>
                  <w:r w:rsidRPr="00811E31">
                    <w:rPr>
                      <w:rStyle w:val="Text-Bold"/>
                      <w:b/>
                      <w:szCs w:val="21"/>
                      <w:lang w:val="en-NZ"/>
                    </w:rPr>
                    <w:lastRenderedPageBreak/>
                    <w:t xml:space="preserve">Figure </w:t>
                  </w:r>
                  <w:r w:rsidR="00C64C3D" w:rsidRPr="00811E31">
                    <w:rPr>
                      <w:rStyle w:val="Text-Bold"/>
                      <w:b/>
                      <w:szCs w:val="21"/>
                      <w:lang w:val="en-NZ"/>
                    </w:rPr>
                    <w:fldChar w:fldCharType="begin"/>
                  </w:r>
                  <w:r w:rsidR="00C64C3D" w:rsidRPr="00811E31">
                    <w:rPr>
                      <w:rStyle w:val="Text-Bold"/>
                      <w:b/>
                      <w:szCs w:val="21"/>
                      <w:lang w:val="en-NZ"/>
                    </w:rPr>
                    <w:instrText xml:space="preserve"> SEQ Figure \* ARABIC </w:instrText>
                  </w:r>
                  <w:r w:rsidR="00C64C3D" w:rsidRPr="00811E31">
                    <w:rPr>
                      <w:rStyle w:val="Text-Bold"/>
                      <w:b/>
                      <w:szCs w:val="21"/>
                      <w:lang w:val="en-NZ"/>
                    </w:rPr>
                    <w:fldChar w:fldCharType="separate"/>
                  </w:r>
                  <w:r w:rsidR="008D2566">
                    <w:rPr>
                      <w:rStyle w:val="Text-Bold"/>
                      <w:b/>
                      <w:noProof/>
                      <w:szCs w:val="21"/>
                      <w:lang w:val="en-NZ"/>
                    </w:rPr>
                    <w:t>53</w:t>
                  </w:r>
                  <w:r w:rsidR="00C64C3D" w:rsidRPr="00811E31">
                    <w:rPr>
                      <w:rStyle w:val="Text-Bold"/>
                      <w:b/>
                      <w:szCs w:val="21"/>
                      <w:lang w:val="en-NZ"/>
                    </w:rPr>
                    <w:fldChar w:fldCharType="end"/>
                  </w:r>
                  <w:r w:rsidRPr="00811E31">
                    <w:rPr>
                      <w:rStyle w:val="Text-Bold"/>
                      <w:b/>
                      <w:szCs w:val="21"/>
                      <w:lang w:val="en-NZ"/>
                    </w:rPr>
                    <w:t>: Service user interview demographics – geographic location</w:t>
                  </w:r>
                  <w:bookmarkEnd w:id="575"/>
                  <w:bookmarkEnd w:id="576"/>
                </w:p>
                <w:p w14:paraId="5399DE61" w14:textId="214E35DC" w:rsidR="00FA3C47" w:rsidRDefault="00E8004B" w:rsidP="00046998">
                  <w:pPr>
                    <w:pStyle w:val="Text"/>
                  </w:pPr>
                  <w:r>
                    <w:rPr>
                      <w:noProof/>
                    </w:rPr>
                    <w:drawing>
                      <wp:inline distT="0" distB="0" distL="0" distR="0" wp14:anchorId="640BF40A" wp14:editId="7F1EBE91">
                        <wp:extent cx="5589917" cy="3252158"/>
                        <wp:effectExtent l="0" t="0" r="10795" b="5715"/>
                        <wp:docPr id="666624274" name="Chart 1">
                          <a:extLst xmlns:a="http://schemas.openxmlformats.org/drawingml/2006/main">
                            <a:ext uri="{FF2B5EF4-FFF2-40B4-BE49-F238E27FC236}">
                              <a16:creationId xmlns:a16="http://schemas.microsoft.com/office/drawing/2014/main" id="{6E2CBFB7-A85C-81EA-7379-3D4B7CE35DDF}"/>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9"/>
                          </a:graphicData>
                        </a:graphic>
                      </wp:inline>
                    </w:drawing>
                  </w:r>
                  <w:r w:rsidR="00FA3C47" w:rsidRPr="596BDFB0">
                    <w:rPr>
                      <w:i/>
                      <w:iCs/>
                      <w:sz w:val="20"/>
                    </w:rPr>
                    <w:t>Source: Service user interview data</w:t>
                  </w:r>
                </w:p>
                <w:p w14:paraId="7F1F82F9" w14:textId="77777777" w:rsidR="00727234" w:rsidRDefault="00727234">
                  <w:pPr>
                    <w:rPr>
                      <w:b/>
                      <w:bCs/>
                      <w:color w:val="36424A" w:themeColor="background2"/>
                      <w:spacing w:val="2"/>
                      <w:lang w:val="en-GB"/>
                    </w:rPr>
                  </w:pPr>
                  <w:r>
                    <w:br w:type="page"/>
                  </w:r>
                </w:p>
                <w:p w14:paraId="466D052A" w14:textId="3B98152E" w:rsidR="00894467" w:rsidRDefault="00046998" w:rsidP="00A96B32">
                  <w:pPr>
                    <w:pStyle w:val="Text-BodyHeading"/>
                  </w:pPr>
                  <w:r>
                    <w:lastRenderedPageBreak/>
                    <w:t>Service user survey –</w:t>
                  </w:r>
                  <w:r w:rsidR="00894467">
                    <w:t xml:space="preserve"> demographics </w:t>
                  </w:r>
                </w:p>
                <w:p w14:paraId="467586EB" w14:textId="035E542C" w:rsidR="00894467" w:rsidRPr="00811E31" w:rsidRDefault="00173329" w:rsidP="00406F23">
                  <w:pPr>
                    <w:pStyle w:val="Caption"/>
                    <w:rPr>
                      <w:color w:val="36424A" w:themeColor="accent2"/>
                      <w:sz w:val="21"/>
                      <w:szCs w:val="21"/>
                    </w:rPr>
                  </w:pPr>
                  <w:bookmarkStart w:id="577" w:name="_Toc205413097"/>
                  <w:bookmarkStart w:id="578" w:name="_Toc205413151"/>
                  <w:r w:rsidRPr="00811E31">
                    <w:rPr>
                      <w:rStyle w:val="Text-Bold"/>
                      <w:b/>
                      <w:sz w:val="21"/>
                      <w:szCs w:val="21"/>
                    </w:rPr>
                    <w:t xml:space="preserve">Figure </w:t>
                  </w:r>
                  <w:r w:rsidR="00C64C3D" w:rsidRPr="00811E31">
                    <w:rPr>
                      <w:rStyle w:val="Text-Bold"/>
                      <w:b/>
                      <w:sz w:val="21"/>
                      <w:szCs w:val="21"/>
                    </w:rPr>
                    <w:fldChar w:fldCharType="begin"/>
                  </w:r>
                  <w:r w:rsidR="00C64C3D" w:rsidRPr="00811E31">
                    <w:rPr>
                      <w:rStyle w:val="Text-Bold"/>
                      <w:b/>
                      <w:sz w:val="21"/>
                      <w:szCs w:val="21"/>
                    </w:rPr>
                    <w:instrText xml:space="preserve"> SEQ Figure \* ARABIC </w:instrText>
                  </w:r>
                  <w:r w:rsidR="00C64C3D" w:rsidRPr="00811E31">
                    <w:rPr>
                      <w:rStyle w:val="Text-Bold"/>
                      <w:b/>
                      <w:sz w:val="21"/>
                      <w:szCs w:val="21"/>
                    </w:rPr>
                    <w:fldChar w:fldCharType="separate"/>
                  </w:r>
                  <w:r w:rsidR="008D2566">
                    <w:rPr>
                      <w:rStyle w:val="Text-Bold"/>
                      <w:b/>
                      <w:noProof/>
                      <w:sz w:val="21"/>
                      <w:szCs w:val="21"/>
                    </w:rPr>
                    <w:t>54</w:t>
                  </w:r>
                  <w:r w:rsidR="00C64C3D" w:rsidRPr="00811E31">
                    <w:rPr>
                      <w:rStyle w:val="Text-Bold"/>
                      <w:b/>
                      <w:sz w:val="21"/>
                      <w:szCs w:val="21"/>
                    </w:rPr>
                    <w:fldChar w:fldCharType="end"/>
                  </w:r>
                  <w:r w:rsidRPr="00811E31">
                    <w:rPr>
                      <w:rStyle w:val="Text-Bold"/>
                      <w:b/>
                      <w:sz w:val="21"/>
                      <w:szCs w:val="21"/>
                    </w:rPr>
                    <w:t>: Service user survey</w:t>
                  </w:r>
                  <w:r w:rsidR="00894467" w:rsidRPr="00811E31">
                    <w:rPr>
                      <w:rStyle w:val="Text-Bold"/>
                      <w:b/>
                      <w:sz w:val="21"/>
                      <w:szCs w:val="21"/>
                    </w:rPr>
                    <w:t xml:space="preserve"> demographics </w:t>
                  </w:r>
                  <w:r w:rsidRPr="00811E31">
                    <w:rPr>
                      <w:rStyle w:val="Text-Bold"/>
                      <w:b/>
                      <w:sz w:val="21"/>
                      <w:szCs w:val="21"/>
                    </w:rPr>
                    <w:t>-</w:t>
                  </w:r>
                  <w:r w:rsidR="00894467" w:rsidRPr="00811E31">
                    <w:rPr>
                      <w:rStyle w:val="Text-Bold"/>
                      <w:b/>
                      <w:sz w:val="21"/>
                      <w:szCs w:val="21"/>
                    </w:rPr>
                    <w:t xml:space="preserve"> gender</w:t>
                  </w:r>
                  <w:r w:rsidR="00E055C8">
                    <w:rPr>
                      <w:rStyle w:val="Text-Bold"/>
                      <w:rFonts w:ascii="ZWAdobeF" w:hAnsi="ZWAdobeF" w:cs="ZWAdobeF"/>
                      <w:sz w:val="2"/>
                      <w:szCs w:val="2"/>
                    </w:rPr>
                    <w:t>25F</w:t>
                  </w:r>
                  <w:r w:rsidR="0069004B" w:rsidRPr="00811E31">
                    <w:rPr>
                      <w:rStyle w:val="FootnoteReference"/>
                      <w:sz w:val="21"/>
                      <w:szCs w:val="21"/>
                    </w:rPr>
                    <w:footnoteReference w:id="27"/>
                  </w:r>
                  <w:bookmarkEnd w:id="577"/>
                  <w:bookmarkEnd w:id="578"/>
                </w:p>
                <w:p w14:paraId="38D7EE33" w14:textId="435EE28A" w:rsidR="008E1F27" w:rsidRPr="00030778" w:rsidRDefault="0069004B" w:rsidP="596BDFB0">
                  <w:pPr>
                    <w:rPr>
                      <w:b/>
                      <w:bCs/>
                      <w:color w:val="36424A" w:themeColor="accent2"/>
                    </w:rPr>
                  </w:pPr>
                  <w:r>
                    <w:rPr>
                      <w:noProof/>
                    </w:rPr>
                    <w:drawing>
                      <wp:inline distT="0" distB="0" distL="0" distR="0" wp14:anchorId="26A3072A" wp14:editId="31796957">
                        <wp:extent cx="5745192" cy="3398807"/>
                        <wp:effectExtent l="0" t="0" r="8255" b="11430"/>
                        <wp:docPr id="620201555" name="Chart 1">
                          <a:extLst xmlns:a="http://schemas.openxmlformats.org/drawingml/2006/main">
                            <a:ext uri="{FF2B5EF4-FFF2-40B4-BE49-F238E27FC236}">
                              <a16:creationId xmlns:a16="http://schemas.microsoft.com/office/drawing/2014/main" id="{DA71463E-A3BB-01AC-17E8-96F731CF395E}"/>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0"/>
                          </a:graphicData>
                        </a:graphic>
                      </wp:inline>
                    </w:drawing>
                  </w:r>
                  <w:r w:rsidR="00FA3C47" w:rsidRPr="596BDFB0">
                    <w:rPr>
                      <w:i/>
                      <w:iCs/>
                      <w:sz w:val="20"/>
                    </w:rPr>
                    <w:t>Source: Service user survey data</w:t>
                  </w:r>
                </w:p>
                <w:p w14:paraId="4ED9EC46" w14:textId="5A7AB821" w:rsidR="008E1F27" w:rsidRPr="00811E31" w:rsidRDefault="008E1F27" w:rsidP="008E1F27">
                  <w:pPr>
                    <w:pStyle w:val="Caption"/>
                    <w:rPr>
                      <w:sz w:val="21"/>
                      <w:szCs w:val="21"/>
                    </w:rPr>
                  </w:pPr>
                  <w:bookmarkStart w:id="579" w:name="_Toc205413098"/>
                  <w:bookmarkStart w:id="580" w:name="_Toc205413152"/>
                  <w:r w:rsidRPr="00811E31">
                    <w:rPr>
                      <w:rStyle w:val="Text-Bold"/>
                      <w:b/>
                      <w:sz w:val="21"/>
                      <w:szCs w:val="21"/>
                    </w:rPr>
                    <w:t xml:space="preserve">Figure </w:t>
                  </w:r>
                  <w:r w:rsidR="00C64C3D" w:rsidRPr="00811E31">
                    <w:rPr>
                      <w:rStyle w:val="Text-Bold"/>
                      <w:b/>
                      <w:sz w:val="21"/>
                      <w:szCs w:val="21"/>
                    </w:rPr>
                    <w:fldChar w:fldCharType="begin"/>
                  </w:r>
                  <w:r w:rsidR="00C64C3D" w:rsidRPr="00811E31">
                    <w:rPr>
                      <w:rStyle w:val="Text-Bold"/>
                      <w:b/>
                      <w:sz w:val="21"/>
                      <w:szCs w:val="21"/>
                    </w:rPr>
                    <w:instrText xml:space="preserve"> SEQ Figure \* ARABIC </w:instrText>
                  </w:r>
                  <w:r w:rsidR="00C64C3D" w:rsidRPr="00811E31">
                    <w:rPr>
                      <w:rStyle w:val="Text-Bold"/>
                      <w:b/>
                      <w:sz w:val="21"/>
                      <w:szCs w:val="21"/>
                    </w:rPr>
                    <w:fldChar w:fldCharType="separate"/>
                  </w:r>
                  <w:r w:rsidR="008D2566">
                    <w:rPr>
                      <w:rStyle w:val="Text-Bold"/>
                      <w:b/>
                      <w:noProof/>
                      <w:sz w:val="21"/>
                      <w:szCs w:val="21"/>
                    </w:rPr>
                    <w:t>55</w:t>
                  </w:r>
                  <w:r w:rsidR="00C64C3D" w:rsidRPr="00811E31">
                    <w:rPr>
                      <w:rStyle w:val="Text-Bold"/>
                      <w:b/>
                      <w:sz w:val="21"/>
                      <w:szCs w:val="21"/>
                    </w:rPr>
                    <w:fldChar w:fldCharType="end"/>
                  </w:r>
                  <w:r w:rsidRPr="00811E31">
                    <w:rPr>
                      <w:rStyle w:val="Text-Bold"/>
                      <w:b/>
                      <w:sz w:val="21"/>
                      <w:szCs w:val="21"/>
                    </w:rPr>
                    <w:t>: Service user survey demographics - age</w:t>
                  </w:r>
                  <w:r w:rsidR="00E055C8">
                    <w:rPr>
                      <w:rStyle w:val="Text-Bold"/>
                      <w:rFonts w:ascii="ZWAdobeF" w:hAnsi="ZWAdobeF" w:cs="ZWAdobeF"/>
                      <w:sz w:val="2"/>
                      <w:szCs w:val="2"/>
                    </w:rPr>
                    <w:t>26F</w:t>
                  </w:r>
                  <w:r w:rsidR="00655679" w:rsidRPr="00811E31">
                    <w:rPr>
                      <w:rStyle w:val="FootnoteReference"/>
                      <w:sz w:val="21"/>
                      <w:szCs w:val="21"/>
                    </w:rPr>
                    <w:footnoteReference w:id="28"/>
                  </w:r>
                  <w:bookmarkEnd w:id="579"/>
                  <w:bookmarkEnd w:id="580"/>
                </w:p>
                <w:p w14:paraId="194A19CA" w14:textId="77777777" w:rsidR="008E1F27" w:rsidRPr="00655679" w:rsidRDefault="00655679" w:rsidP="001D47A4">
                  <w:pPr>
                    <w:pStyle w:val="TableFigure-Header"/>
                    <w:rPr>
                      <w:color w:val="36424A" w:themeColor="background2"/>
                    </w:rPr>
                  </w:pPr>
                  <w:r w:rsidRPr="00655679">
                    <w:rPr>
                      <w:noProof/>
                      <w:color w:val="36424A" w:themeColor="background2"/>
                    </w:rPr>
                    <w:drawing>
                      <wp:inline distT="0" distB="0" distL="0" distR="0" wp14:anchorId="320AD3A3" wp14:editId="1960F982">
                        <wp:extent cx="5181600" cy="3028950"/>
                        <wp:effectExtent l="0" t="0" r="0" b="0"/>
                        <wp:docPr id="1316236987" name="Chart 1">
                          <a:extLst xmlns:a="http://schemas.openxmlformats.org/drawingml/2006/main">
                            <a:ext uri="{FF2B5EF4-FFF2-40B4-BE49-F238E27FC236}">
                              <a16:creationId xmlns:a16="http://schemas.microsoft.com/office/drawing/2014/main" id="{9E8844C2-40A3-03AF-42FF-17B5B5449D9E}"/>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1"/>
                          </a:graphicData>
                        </a:graphic>
                      </wp:inline>
                    </w:drawing>
                  </w:r>
                </w:p>
                <w:p w14:paraId="4ACC247D" w14:textId="59FF48B2" w:rsidR="008E1F27" w:rsidRPr="00406F23" w:rsidRDefault="00406F23" w:rsidP="00406F23">
                  <w:pPr>
                    <w:rPr>
                      <w:rFonts w:cstheme="minorHAnsi"/>
                      <w:b/>
                      <w:bCs/>
                      <w:color w:val="36424A" w:themeColor="accent2"/>
                    </w:rPr>
                  </w:pPr>
                  <w:r w:rsidRPr="00FA3C47">
                    <w:rPr>
                      <w:i/>
                      <w:iCs/>
                      <w:sz w:val="20"/>
                    </w:rPr>
                    <w:t xml:space="preserve">Source: Service user </w:t>
                  </w:r>
                  <w:r>
                    <w:rPr>
                      <w:i/>
                      <w:iCs/>
                      <w:sz w:val="20"/>
                    </w:rPr>
                    <w:t>survey</w:t>
                  </w:r>
                  <w:r w:rsidRPr="00FA3C47">
                    <w:rPr>
                      <w:i/>
                      <w:iCs/>
                      <w:sz w:val="20"/>
                    </w:rPr>
                    <w:t xml:space="preserve"> data</w:t>
                  </w:r>
                </w:p>
                <w:p w14:paraId="14A09B8A" w14:textId="386FA23F" w:rsidR="00334329" w:rsidRPr="00811E31" w:rsidRDefault="001D47A4" w:rsidP="001D47A4">
                  <w:pPr>
                    <w:pStyle w:val="TableFigure-Header"/>
                    <w:rPr>
                      <w:rStyle w:val="Text-Bold"/>
                      <w:b/>
                      <w:szCs w:val="21"/>
                      <w:lang w:val="en-NZ"/>
                    </w:rPr>
                  </w:pPr>
                  <w:bookmarkStart w:id="581" w:name="_Toc205413099"/>
                  <w:bookmarkStart w:id="582" w:name="_Toc205413153"/>
                  <w:r w:rsidRPr="00811E31">
                    <w:rPr>
                      <w:rStyle w:val="Text-Bold"/>
                      <w:b/>
                      <w:szCs w:val="21"/>
                      <w:lang w:val="en-NZ"/>
                    </w:rPr>
                    <w:lastRenderedPageBreak/>
                    <w:t xml:space="preserve">Figure </w:t>
                  </w:r>
                  <w:r w:rsidR="00C64C3D" w:rsidRPr="00811E31">
                    <w:rPr>
                      <w:rStyle w:val="Text-Bold"/>
                      <w:b/>
                      <w:szCs w:val="21"/>
                      <w:lang w:val="en-NZ"/>
                    </w:rPr>
                    <w:fldChar w:fldCharType="begin"/>
                  </w:r>
                  <w:r w:rsidR="00C64C3D" w:rsidRPr="00811E31">
                    <w:rPr>
                      <w:rStyle w:val="Text-Bold"/>
                      <w:b/>
                      <w:szCs w:val="21"/>
                      <w:lang w:val="en-NZ"/>
                    </w:rPr>
                    <w:instrText xml:space="preserve"> SEQ Figure \* ARABIC </w:instrText>
                  </w:r>
                  <w:r w:rsidR="00C64C3D" w:rsidRPr="00811E31">
                    <w:rPr>
                      <w:rStyle w:val="Text-Bold"/>
                      <w:b/>
                      <w:szCs w:val="21"/>
                      <w:lang w:val="en-NZ"/>
                    </w:rPr>
                    <w:fldChar w:fldCharType="separate"/>
                  </w:r>
                  <w:r w:rsidR="008D2566">
                    <w:rPr>
                      <w:rStyle w:val="Text-Bold"/>
                      <w:b/>
                      <w:noProof/>
                      <w:szCs w:val="21"/>
                      <w:lang w:val="en-NZ"/>
                    </w:rPr>
                    <w:t>56</w:t>
                  </w:r>
                  <w:r w:rsidR="00C64C3D" w:rsidRPr="00811E31">
                    <w:rPr>
                      <w:rStyle w:val="Text-Bold"/>
                      <w:b/>
                      <w:szCs w:val="21"/>
                      <w:lang w:val="en-NZ"/>
                    </w:rPr>
                    <w:fldChar w:fldCharType="end"/>
                  </w:r>
                  <w:r w:rsidRPr="00811E31">
                    <w:rPr>
                      <w:rStyle w:val="Text-Bold"/>
                      <w:b/>
                      <w:szCs w:val="21"/>
                      <w:lang w:val="en-NZ"/>
                    </w:rPr>
                    <w:t xml:space="preserve">: Service user survey demographics </w:t>
                  </w:r>
                  <w:r w:rsidR="00A6637B" w:rsidRPr="00811E31">
                    <w:rPr>
                      <w:rStyle w:val="Text-Bold"/>
                      <w:b/>
                      <w:szCs w:val="21"/>
                      <w:lang w:val="en-NZ"/>
                    </w:rPr>
                    <w:t>–</w:t>
                  </w:r>
                  <w:r w:rsidRPr="00811E31">
                    <w:rPr>
                      <w:rStyle w:val="Text-Bold"/>
                      <w:b/>
                      <w:szCs w:val="21"/>
                      <w:lang w:val="en-NZ"/>
                    </w:rPr>
                    <w:t xml:space="preserve"> </w:t>
                  </w:r>
                  <w:bookmarkEnd w:id="581"/>
                  <w:bookmarkEnd w:id="582"/>
                  <w:r w:rsidR="00A6637B" w:rsidRPr="00811E31">
                    <w:rPr>
                      <w:rStyle w:val="Text-Bold"/>
                      <w:b/>
                      <w:szCs w:val="21"/>
                      <w:lang w:val="en-NZ"/>
                    </w:rPr>
                    <w:t>Priority cohorts</w:t>
                  </w:r>
                </w:p>
                <w:p w14:paraId="5985F423" w14:textId="0CB434F0" w:rsidR="00DA6005" w:rsidRDefault="00E81983" w:rsidP="00406F23">
                  <w:r>
                    <w:rPr>
                      <w:noProof/>
                    </w:rPr>
                    <w:drawing>
                      <wp:inline distT="0" distB="0" distL="0" distR="0" wp14:anchorId="4CEBDAC4" wp14:editId="19CAEFDF">
                        <wp:extent cx="5650302" cy="3588589"/>
                        <wp:effectExtent l="0" t="0" r="7620" b="12065"/>
                        <wp:docPr id="1108324978" name="Chart 1">
                          <a:extLst xmlns:a="http://schemas.openxmlformats.org/drawingml/2006/main">
                            <a:ext uri="{FF2B5EF4-FFF2-40B4-BE49-F238E27FC236}">
                              <a16:creationId xmlns:a16="http://schemas.microsoft.com/office/drawing/2014/main" id="{09DCD981-5B24-AC6E-8A92-F09C62E99AD0}"/>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2"/>
                          </a:graphicData>
                        </a:graphic>
                      </wp:inline>
                    </w:drawing>
                  </w:r>
                  <w:r w:rsidR="00406F23" w:rsidRPr="596BDFB0">
                    <w:rPr>
                      <w:i/>
                      <w:iCs/>
                      <w:sz w:val="20"/>
                    </w:rPr>
                    <w:t>Source: Service user survey data</w:t>
                  </w:r>
                </w:p>
                <w:p w14:paraId="6B3DB603" w14:textId="52479C44" w:rsidR="004311C5" w:rsidRPr="00811E31" w:rsidRDefault="004B255E" w:rsidP="00FA3C47">
                  <w:pPr>
                    <w:pStyle w:val="Caption"/>
                    <w:rPr>
                      <w:sz w:val="21"/>
                      <w:szCs w:val="21"/>
                    </w:rPr>
                  </w:pPr>
                  <w:bookmarkStart w:id="583" w:name="_Toc205413100"/>
                  <w:bookmarkStart w:id="584" w:name="_Toc205413154"/>
                  <w:r w:rsidRPr="00811E31">
                    <w:rPr>
                      <w:rStyle w:val="Text-Bold"/>
                      <w:b/>
                      <w:sz w:val="21"/>
                      <w:szCs w:val="21"/>
                    </w:rPr>
                    <w:lastRenderedPageBreak/>
                    <w:t xml:space="preserve">Figure </w:t>
                  </w:r>
                  <w:r w:rsidR="00C64C3D" w:rsidRPr="00811E31">
                    <w:rPr>
                      <w:rStyle w:val="Text-Bold"/>
                      <w:b/>
                      <w:sz w:val="21"/>
                      <w:szCs w:val="21"/>
                    </w:rPr>
                    <w:fldChar w:fldCharType="begin"/>
                  </w:r>
                  <w:r w:rsidR="00C64C3D" w:rsidRPr="00811E31">
                    <w:rPr>
                      <w:rStyle w:val="Text-Bold"/>
                      <w:b/>
                      <w:sz w:val="21"/>
                      <w:szCs w:val="21"/>
                    </w:rPr>
                    <w:instrText xml:space="preserve"> SEQ Figure \* ARABIC </w:instrText>
                  </w:r>
                  <w:r w:rsidR="00C64C3D" w:rsidRPr="00811E31">
                    <w:rPr>
                      <w:rStyle w:val="Text-Bold"/>
                      <w:b/>
                      <w:sz w:val="21"/>
                      <w:szCs w:val="21"/>
                    </w:rPr>
                    <w:fldChar w:fldCharType="separate"/>
                  </w:r>
                  <w:r w:rsidR="008D2566">
                    <w:rPr>
                      <w:rStyle w:val="Text-Bold"/>
                      <w:b/>
                      <w:noProof/>
                      <w:sz w:val="21"/>
                      <w:szCs w:val="21"/>
                    </w:rPr>
                    <w:t>57</w:t>
                  </w:r>
                  <w:r w:rsidR="00C64C3D" w:rsidRPr="00811E31">
                    <w:rPr>
                      <w:rStyle w:val="Text-Bold"/>
                      <w:b/>
                      <w:sz w:val="21"/>
                      <w:szCs w:val="21"/>
                    </w:rPr>
                    <w:fldChar w:fldCharType="end"/>
                  </w:r>
                  <w:r w:rsidR="00FA3C47" w:rsidRPr="00811E31">
                    <w:rPr>
                      <w:rStyle w:val="Text-Bold"/>
                      <w:b/>
                      <w:sz w:val="21"/>
                      <w:szCs w:val="21"/>
                    </w:rPr>
                    <w:t>:</w:t>
                  </w:r>
                  <w:r w:rsidRPr="00811E31">
                    <w:rPr>
                      <w:rStyle w:val="Text-Bold"/>
                      <w:b/>
                      <w:sz w:val="21"/>
                      <w:szCs w:val="21"/>
                    </w:rPr>
                    <w:t xml:space="preserve"> </w:t>
                  </w:r>
                  <w:r w:rsidR="004311C5" w:rsidRPr="00811E31">
                    <w:rPr>
                      <w:rStyle w:val="Text-Bold"/>
                      <w:b/>
                      <w:sz w:val="21"/>
                      <w:szCs w:val="21"/>
                    </w:rPr>
                    <w:t xml:space="preserve">Service user survey demographics </w:t>
                  </w:r>
                  <w:r w:rsidR="00046998" w:rsidRPr="00811E31">
                    <w:rPr>
                      <w:rStyle w:val="Text-Bold"/>
                      <w:b/>
                      <w:sz w:val="21"/>
                      <w:szCs w:val="21"/>
                    </w:rPr>
                    <w:t>–</w:t>
                  </w:r>
                  <w:r w:rsidR="004311C5" w:rsidRPr="00811E31">
                    <w:rPr>
                      <w:rStyle w:val="Text-Bold"/>
                      <w:b/>
                      <w:sz w:val="21"/>
                      <w:szCs w:val="21"/>
                    </w:rPr>
                    <w:t xml:space="preserve"> </w:t>
                  </w:r>
                  <w:r w:rsidR="00046998" w:rsidRPr="00811E31">
                    <w:rPr>
                      <w:rStyle w:val="Text-Bold"/>
                      <w:b/>
                      <w:sz w:val="21"/>
                      <w:szCs w:val="21"/>
                    </w:rPr>
                    <w:t>state and territory</w:t>
                  </w:r>
                  <w:r w:rsidR="00E055C8">
                    <w:rPr>
                      <w:rStyle w:val="Text-Bold"/>
                      <w:rFonts w:ascii="ZWAdobeF" w:hAnsi="ZWAdobeF" w:cs="ZWAdobeF"/>
                      <w:sz w:val="2"/>
                      <w:szCs w:val="2"/>
                    </w:rPr>
                    <w:t>27F</w:t>
                  </w:r>
                  <w:r w:rsidR="00FB6F35" w:rsidRPr="00811E31">
                    <w:rPr>
                      <w:rStyle w:val="FootnoteReference"/>
                      <w:sz w:val="21"/>
                      <w:szCs w:val="21"/>
                    </w:rPr>
                    <w:footnoteReference w:id="29"/>
                  </w:r>
                  <w:bookmarkEnd w:id="583"/>
                  <w:bookmarkEnd w:id="584"/>
                  <w:r w:rsidR="00046998" w:rsidRPr="00811E31">
                    <w:rPr>
                      <w:sz w:val="21"/>
                      <w:szCs w:val="21"/>
                    </w:rPr>
                    <w:t xml:space="preserve"> </w:t>
                  </w:r>
                </w:p>
                <w:p w14:paraId="397C8FDF" w14:textId="3E57B690" w:rsidR="001D47A4" w:rsidRDefault="00FB6F35" w:rsidP="596BDFB0">
                  <w:pPr>
                    <w:rPr>
                      <w:i/>
                      <w:iCs/>
                      <w:color w:val="36424A" w:themeColor="background2"/>
                    </w:rPr>
                  </w:pPr>
                  <w:r w:rsidRPr="00FB6F35">
                    <w:rPr>
                      <w:noProof/>
                      <w:color w:val="36424A" w:themeColor="background2"/>
                    </w:rPr>
                    <w:drawing>
                      <wp:inline distT="0" distB="0" distL="0" distR="0" wp14:anchorId="595167FF" wp14:editId="3850AC3F">
                        <wp:extent cx="5731933" cy="3767666"/>
                        <wp:effectExtent l="0" t="0" r="2540" b="4445"/>
                        <wp:docPr id="119747654" name="Chart 1">
                          <a:extLst xmlns:a="http://schemas.openxmlformats.org/drawingml/2006/main">
                            <a:ext uri="{FF2B5EF4-FFF2-40B4-BE49-F238E27FC236}">
                              <a16:creationId xmlns:a16="http://schemas.microsoft.com/office/drawing/2014/main" id="{274AAA7F-5F21-2FD9-4A3C-A298B6D68B1C}"/>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3"/>
                          </a:graphicData>
                        </a:graphic>
                      </wp:inline>
                    </w:drawing>
                  </w:r>
                  <w:r w:rsidR="003367ED" w:rsidRPr="596BDFB0">
                    <w:rPr>
                      <w:rStyle w:val="TextChar"/>
                      <w:i/>
                      <w:iCs/>
                      <w:sz w:val="20"/>
                    </w:rPr>
                    <w:t>Source: Service user survey data</w:t>
                  </w:r>
                  <w:r w:rsidR="003367ED" w:rsidRPr="596BDFB0">
                    <w:rPr>
                      <w:i/>
                      <w:iCs/>
                      <w:color w:val="36424A" w:themeColor="background2"/>
                      <w:sz w:val="20"/>
                    </w:rPr>
                    <w:t xml:space="preserve"> </w:t>
                  </w:r>
                </w:p>
                <w:p w14:paraId="27BE7DA5" w14:textId="77777777" w:rsidR="008C3E62" w:rsidRDefault="008C3E62" w:rsidP="00A030B4">
                  <w:pPr>
                    <w:rPr>
                      <w:i/>
                      <w:iCs/>
                      <w:color w:val="36424A" w:themeColor="background2"/>
                    </w:rPr>
                  </w:pPr>
                  <w:bookmarkStart w:id="585" w:name="_Toc205300724"/>
                  <w:bookmarkStart w:id="586" w:name="_Toc205300816"/>
                  <w:bookmarkStart w:id="587" w:name="_Toc205300882"/>
                  <w:bookmarkStart w:id="588" w:name="_Toc205300969"/>
                  <w:bookmarkStart w:id="589" w:name="_Toc205301064"/>
                  <w:bookmarkEnd w:id="585"/>
                  <w:bookmarkEnd w:id="586"/>
                  <w:bookmarkEnd w:id="587"/>
                  <w:bookmarkEnd w:id="588"/>
                  <w:bookmarkEnd w:id="589"/>
                </w:p>
                <w:p w14:paraId="7735C071" w14:textId="77777777" w:rsidR="003367ED" w:rsidRDefault="003367ED" w:rsidP="00A030B4">
                  <w:pPr>
                    <w:rPr>
                      <w:i/>
                      <w:iCs/>
                      <w:color w:val="36424A" w:themeColor="background2"/>
                    </w:rPr>
                  </w:pPr>
                  <w:bookmarkStart w:id="590" w:name="_Toc205300725"/>
                  <w:bookmarkStart w:id="591" w:name="_Toc205300817"/>
                  <w:bookmarkStart w:id="592" w:name="_Toc205300883"/>
                  <w:bookmarkStart w:id="593" w:name="_Toc205300970"/>
                  <w:bookmarkStart w:id="594" w:name="_Toc205301065"/>
                  <w:bookmarkEnd w:id="590"/>
                  <w:bookmarkEnd w:id="591"/>
                  <w:bookmarkEnd w:id="592"/>
                  <w:bookmarkEnd w:id="593"/>
                  <w:bookmarkEnd w:id="594"/>
                </w:p>
                <w:p w14:paraId="694135EF" w14:textId="77777777" w:rsidR="003367ED" w:rsidRDefault="003367ED" w:rsidP="00A030B4">
                  <w:pPr>
                    <w:rPr>
                      <w:i/>
                      <w:iCs/>
                      <w:color w:val="36424A" w:themeColor="background2"/>
                    </w:rPr>
                  </w:pPr>
                </w:p>
                <w:p w14:paraId="68BB9AD0" w14:textId="77777777" w:rsidR="003367ED" w:rsidRDefault="003367ED" w:rsidP="00A030B4">
                  <w:pPr>
                    <w:rPr>
                      <w:i/>
                      <w:iCs/>
                      <w:color w:val="36424A" w:themeColor="background2"/>
                    </w:rPr>
                  </w:pPr>
                </w:p>
                <w:p w14:paraId="2943C9CC" w14:textId="77777777" w:rsidR="005217A7" w:rsidRDefault="005217A7" w:rsidP="00A030B4">
                  <w:pPr>
                    <w:rPr>
                      <w:i/>
                      <w:iCs/>
                      <w:color w:val="36424A" w:themeColor="background2"/>
                    </w:rPr>
                    <w:sectPr w:rsidR="005217A7" w:rsidSect="00552E19">
                      <w:pgSz w:w="11909" w:h="16834" w:code="9"/>
                      <w:pgMar w:top="1440" w:right="1440" w:bottom="1440" w:left="1440" w:header="720" w:footer="720" w:gutter="0"/>
                      <w:cols w:space="720"/>
                      <w:docGrid w:linePitch="360"/>
                    </w:sectPr>
                  </w:pPr>
                </w:p>
                <w:p w14:paraId="43375EF2" w14:textId="0671DDAA" w:rsidR="00894467" w:rsidRPr="00894467" w:rsidRDefault="00927DA0" w:rsidP="00253268">
                  <w:pPr>
                    <w:pStyle w:val="Appendix"/>
                    <w:rPr>
                      <w:lang w:val="en-NZ"/>
                    </w:rPr>
                  </w:pPr>
                  <w:bookmarkStart w:id="595" w:name="Appendix_F"/>
                  <w:bookmarkStart w:id="596" w:name="_Toc204856767"/>
                  <w:bookmarkStart w:id="597" w:name="_Toc208906870"/>
                  <w:bookmarkEnd w:id="595"/>
                  <w:r>
                    <w:rPr>
                      <w:lang w:val="en-NZ"/>
                    </w:rPr>
                    <w:lastRenderedPageBreak/>
                    <w:t>DEX data</w:t>
                  </w:r>
                  <w:bookmarkEnd w:id="596"/>
                  <w:bookmarkEnd w:id="597"/>
                </w:p>
                <w:p w14:paraId="0C96AD3C" w14:textId="2748F523" w:rsidR="00F81C8C" w:rsidRDefault="00311C86" w:rsidP="00321BC5">
                  <w:pPr>
                    <w:pStyle w:val="Text"/>
                  </w:pPr>
                  <w:r w:rsidRPr="00311C86">
                    <w:t>Changes between earliest and latest available assessments per client per outcome were analysed using the nonparametric Wilcoxon statistical test for relevant outcomes and for clients with at least two SCORE assessments per domain. A Bonferroni adjustment to the threshold for statistical significance was applied based on the total number of pairwise tests conducted for all cohorts and all domains including those not presented (1,132 tests). Test results are provided in summary tables below.</w:t>
                  </w:r>
                </w:p>
                <w:p w14:paraId="3956787B" w14:textId="56B76B19" w:rsidR="00931B7D" w:rsidRPr="00894467" w:rsidRDefault="005441CB" w:rsidP="00931B7D">
                  <w:pPr>
                    <w:pStyle w:val="Text-BodyHeading"/>
                  </w:pPr>
                  <w:r>
                    <w:t xml:space="preserve">DEX data – </w:t>
                  </w:r>
                  <w:r w:rsidR="00931B7D">
                    <w:t xml:space="preserve">FaRS and SFVS </w:t>
                  </w:r>
                </w:p>
                <w:p w14:paraId="09FDE549" w14:textId="7C4A2B93" w:rsidR="00066FF4" w:rsidRPr="00811E31" w:rsidRDefault="00AC48C1" w:rsidP="00DE647E">
                  <w:pPr>
                    <w:pStyle w:val="TableFigure-Header"/>
                    <w:rPr>
                      <w:szCs w:val="21"/>
                    </w:rPr>
                  </w:pPr>
                  <w:r w:rsidRPr="00811E31">
                    <w:rPr>
                      <w:rStyle w:val="Text-Bold"/>
                      <w:b/>
                      <w:szCs w:val="21"/>
                      <w:lang w:val="en-NZ"/>
                    </w:rPr>
                    <w:t xml:space="preserve">Table </w:t>
                  </w:r>
                  <w:r w:rsidR="00811EAA" w:rsidRPr="00811E31">
                    <w:rPr>
                      <w:rStyle w:val="Text-Bold"/>
                      <w:szCs w:val="21"/>
                    </w:rPr>
                    <w:fldChar w:fldCharType="begin"/>
                  </w:r>
                  <w:r w:rsidR="00811EAA" w:rsidRPr="00811E31">
                    <w:rPr>
                      <w:szCs w:val="21"/>
                    </w:rPr>
                    <w:instrText xml:space="preserve"> SEQ Table \* ARABIC </w:instrText>
                  </w:r>
                  <w:r w:rsidR="00811EAA" w:rsidRPr="00811E31">
                    <w:rPr>
                      <w:rStyle w:val="Text-Bold"/>
                      <w:szCs w:val="21"/>
                    </w:rPr>
                    <w:fldChar w:fldCharType="separate"/>
                  </w:r>
                  <w:r w:rsidR="008D2566">
                    <w:rPr>
                      <w:noProof/>
                      <w:szCs w:val="21"/>
                    </w:rPr>
                    <w:t>54</w:t>
                  </w:r>
                  <w:r w:rsidR="00811EAA" w:rsidRPr="00811E31">
                    <w:rPr>
                      <w:rStyle w:val="Text-Bold"/>
                      <w:szCs w:val="21"/>
                    </w:rPr>
                    <w:fldChar w:fldCharType="end"/>
                  </w:r>
                  <w:r w:rsidR="008C3E62" w:rsidRPr="00811E31">
                    <w:rPr>
                      <w:rStyle w:val="Text-Bold"/>
                      <w:b/>
                      <w:szCs w:val="21"/>
                      <w:lang w:val="en-NZ"/>
                    </w:rPr>
                    <w:t>:</w:t>
                  </w:r>
                  <w:r w:rsidRPr="00811E31">
                    <w:rPr>
                      <w:rStyle w:val="Text-Bold"/>
                      <w:b/>
                      <w:szCs w:val="21"/>
                      <w:lang w:val="en-NZ"/>
                    </w:rPr>
                    <w:t xml:space="preserve"> Mean earliest-to-latest SCORE change (within</w:t>
                  </w:r>
                  <w:r w:rsidR="00AD2261" w:rsidRPr="00811E31">
                    <w:rPr>
                      <w:rStyle w:val="Text-Bold"/>
                      <w:b/>
                      <w:szCs w:val="21"/>
                      <w:lang w:val="en-NZ"/>
                    </w:rPr>
                    <w:t xml:space="preserve"> subjects</w:t>
                  </w:r>
                  <w:r w:rsidRPr="00811E31">
                    <w:rPr>
                      <w:rStyle w:val="Text-Bold"/>
                      <w:b/>
                      <w:szCs w:val="21"/>
                      <w:lang w:val="en-NZ"/>
                    </w:rPr>
                    <w:t>) by Activit</w:t>
                  </w:r>
                  <w:r w:rsidR="00811E31">
                    <w:rPr>
                      <w:rStyle w:val="Text-Bold"/>
                      <w:b/>
                      <w:szCs w:val="21"/>
                      <w:lang w:val="en-NZ"/>
                    </w:rPr>
                    <w:t xml:space="preserve">y, July 2021 to June 2024 </w:t>
                  </w:r>
                </w:p>
                <w:tbl>
                  <w:tblPr>
                    <w:tblStyle w:val="ACTableDesign4"/>
                    <w:tblW w:w="0" w:type="auto"/>
                    <w:tblLook w:val="04A0" w:firstRow="1" w:lastRow="0" w:firstColumn="1" w:lastColumn="0" w:noHBand="0" w:noVBand="1"/>
                  </w:tblPr>
                  <w:tblGrid>
                    <w:gridCol w:w="1260"/>
                    <w:gridCol w:w="1701"/>
                    <w:gridCol w:w="5026"/>
                    <w:gridCol w:w="1199"/>
                    <w:gridCol w:w="1650"/>
                    <w:gridCol w:w="859"/>
                    <w:gridCol w:w="782"/>
                    <w:gridCol w:w="1471"/>
                  </w:tblGrid>
                  <w:tr w:rsidR="0058455B" w:rsidRPr="007A1075" w14:paraId="37676D85" w14:textId="77777777" w:rsidTr="0058455B">
                    <w:trPr>
                      <w:cnfStyle w:val="100000000000" w:firstRow="1" w:lastRow="0" w:firstColumn="0" w:lastColumn="0" w:oddVBand="0" w:evenVBand="0" w:oddHBand="0" w:evenHBand="0" w:firstRowFirstColumn="0" w:firstRowLastColumn="0" w:lastRowFirstColumn="0" w:lastRowLastColumn="0"/>
                      <w:trHeight w:val="990"/>
                    </w:trPr>
                    <w:tc>
                      <w:tcPr>
                        <w:cnfStyle w:val="001000000000" w:firstRow="0" w:lastRow="0" w:firstColumn="1" w:lastColumn="0" w:oddVBand="0" w:evenVBand="0" w:oddHBand="0" w:evenHBand="0" w:firstRowFirstColumn="0" w:firstRowLastColumn="0" w:lastRowFirstColumn="0" w:lastRowLastColumn="0"/>
                        <w:tcW w:w="1273" w:type="dxa"/>
                        <w:shd w:val="clear" w:color="auto" w:fill="007E00" w:themeFill="accent3"/>
                        <w:hideMark/>
                      </w:tcPr>
                      <w:p w14:paraId="6AD7AFEB" w14:textId="77777777" w:rsidR="0058455B" w:rsidRPr="007A1075" w:rsidRDefault="0058455B">
                        <w:pPr>
                          <w:jc w:val="center"/>
                          <w:rPr>
                            <w:bCs/>
                            <w:iCs/>
                            <w:color w:val="FFFFFF" w:themeColor="background1"/>
                            <w:sz w:val="18"/>
                            <w:szCs w:val="18"/>
                          </w:rPr>
                        </w:pPr>
                        <w:r w:rsidRPr="007A1075">
                          <w:rPr>
                            <w:bCs/>
                            <w:iCs/>
                            <w:color w:val="FFFFFF" w:themeColor="background1"/>
                            <w:sz w:val="18"/>
                            <w:szCs w:val="18"/>
                          </w:rPr>
                          <w:t>Activity</w:t>
                        </w:r>
                      </w:p>
                    </w:tc>
                    <w:tc>
                      <w:tcPr>
                        <w:tcW w:w="1701" w:type="dxa"/>
                        <w:shd w:val="clear" w:color="auto" w:fill="007E00" w:themeFill="accent3"/>
                        <w:noWrap/>
                        <w:hideMark/>
                      </w:tcPr>
                      <w:p w14:paraId="6F84B837" w14:textId="77777777" w:rsidR="0058455B" w:rsidRPr="007A1075" w:rsidRDefault="0058455B">
                        <w:pPr>
                          <w:jc w:val="center"/>
                          <w:cnfStyle w:val="100000000000" w:firstRow="1" w:lastRow="0" w:firstColumn="0" w:lastColumn="0" w:oddVBand="0" w:evenVBand="0" w:oddHBand="0" w:evenHBand="0" w:firstRowFirstColumn="0" w:firstRowLastColumn="0" w:lastRowFirstColumn="0" w:lastRowLastColumn="0"/>
                          <w:rPr>
                            <w:bCs/>
                            <w:iCs/>
                            <w:color w:val="FFFFFF" w:themeColor="background1"/>
                            <w:sz w:val="18"/>
                            <w:szCs w:val="18"/>
                          </w:rPr>
                        </w:pPr>
                        <w:r w:rsidRPr="007A1075">
                          <w:rPr>
                            <w:bCs/>
                            <w:iCs/>
                            <w:color w:val="FFFFFF" w:themeColor="background1"/>
                            <w:sz w:val="18"/>
                            <w:szCs w:val="18"/>
                          </w:rPr>
                          <w:t>Outcome type</w:t>
                        </w:r>
                      </w:p>
                    </w:tc>
                    <w:tc>
                      <w:tcPr>
                        <w:tcW w:w="5026" w:type="dxa"/>
                        <w:shd w:val="clear" w:color="auto" w:fill="007E00" w:themeFill="accent3"/>
                        <w:noWrap/>
                        <w:hideMark/>
                      </w:tcPr>
                      <w:p w14:paraId="519BFAE8" w14:textId="77777777" w:rsidR="0058455B" w:rsidRPr="007A1075" w:rsidRDefault="0058455B">
                        <w:pPr>
                          <w:jc w:val="center"/>
                          <w:cnfStyle w:val="100000000000" w:firstRow="1" w:lastRow="0" w:firstColumn="0" w:lastColumn="0" w:oddVBand="0" w:evenVBand="0" w:oddHBand="0" w:evenHBand="0" w:firstRowFirstColumn="0" w:firstRowLastColumn="0" w:lastRowFirstColumn="0" w:lastRowLastColumn="0"/>
                          <w:rPr>
                            <w:bCs/>
                            <w:iCs/>
                            <w:color w:val="FFFFFF" w:themeColor="background1"/>
                            <w:sz w:val="18"/>
                            <w:szCs w:val="18"/>
                          </w:rPr>
                        </w:pPr>
                        <w:r w:rsidRPr="007A1075">
                          <w:rPr>
                            <w:bCs/>
                            <w:iCs/>
                            <w:color w:val="FFFFFF" w:themeColor="background1"/>
                            <w:sz w:val="18"/>
                            <w:szCs w:val="18"/>
                          </w:rPr>
                          <w:t>Domain</w:t>
                        </w:r>
                      </w:p>
                    </w:tc>
                    <w:tc>
                      <w:tcPr>
                        <w:tcW w:w="1211" w:type="dxa"/>
                        <w:shd w:val="clear" w:color="auto" w:fill="007E00" w:themeFill="accent3"/>
                        <w:hideMark/>
                      </w:tcPr>
                      <w:p w14:paraId="67F589E5" w14:textId="77777777" w:rsidR="0058455B" w:rsidRPr="007A1075" w:rsidRDefault="0058455B">
                        <w:pPr>
                          <w:jc w:val="center"/>
                          <w:cnfStyle w:val="100000000000" w:firstRow="1" w:lastRow="0" w:firstColumn="0" w:lastColumn="0" w:oddVBand="0" w:evenVBand="0" w:oddHBand="0" w:evenHBand="0" w:firstRowFirstColumn="0" w:firstRowLastColumn="0" w:lastRowFirstColumn="0" w:lastRowLastColumn="0"/>
                          <w:rPr>
                            <w:bCs/>
                            <w:iCs/>
                            <w:color w:val="FFFFFF" w:themeColor="background1"/>
                            <w:sz w:val="18"/>
                            <w:szCs w:val="18"/>
                          </w:rPr>
                        </w:pPr>
                        <w:r w:rsidRPr="007A1075">
                          <w:rPr>
                            <w:bCs/>
                            <w:iCs/>
                            <w:color w:val="FFFFFF" w:themeColor="background1"/>
                            <w:sz w:val="18"/>
                            <w:szCs w:val="18"/>
                          </w:rPr>
                          <w:t>SCORE change (mean)</w:t>
                        </w:r>
                      </w:p>
                    </w:tc>
                    <w:tc>
                      <w:tcPr>
                        <w:tcW w:w="1650" w:type="dxa"/>
                        <w:shd w:val="clear" w:color="auto" w:fill="007E00" w:themeFill="accent3"/>
                        <w:noWrap/>
                        <w:hideMark/>
                      </w:tcPr>
                      <w:p w14:paraId="51B7FA72" w14:textId="77777777" w:rsidR="0058455B" w:rsidRPr="007A1075" w:rsidRDefault="0058455B">
                        <w:pPr>
                          <w:jc w:val="center"/>
                          <w:cnfStyle w:val="100000000000" w:firstRow="1" w:lastRow="0" w:firstColumn="0" w:lastColumn="0" w:oddVBand="0" w:evenVBand="0" w:oddHBand="0" w:evenHBand="0" w:firstRowFirstColumn="0" w:firstRowLastColumn="0" w:lastRowFirstColumn="0" w:lastRowLastColumn="0"/>
                          <w:rPr>
                            <w:bCs/>
                            <w:iCs/>
                            <w:color w:val="FFFFFF" w:themeColor="background1"/>
                            <w:sz w:val="18"/>
                            <w:szCs w:val="18"/>
                          </w:rPr>
                        </w:pPr>
                        <w:r w:rsidRPr="007A1075">
                          <w:rPr>
                            <w:bCs/>
                            <w:iCs/>
                            <w:color w:val="FFFFFF" w:themeColor="background1"/>
                            <w:sz w:val="18"/>
                            <w:szCs w:val="18"/>
                          </w:rPr>
                          <w:t>Wilcoxon</w:t>
                        </w:r>
                      </w:p>
                    </w:tc>
                    <w:tc>
                      <w:tcPr>
                        <w:tcW w:w="826" w:type="dxa"/>
                        <w:shd w:val="clear" w:color="auto" w:fill="007E00" w:themeFill="accent3"/>
                        <w:noWrap/>
                        <w:hideMark/>
                      </w:tcPr>
                      <w:p w14:paraId="1A0FC29B" w14:textId="77777777" w:rsidR="0058455B" w:rsidRPr="007A1075" w:rsidRDefault="0058455B">
                        <w:pPr>
                          <w:jc w:val="center"/>
                          <w:cnfStyle w:val="100000000000" w:firstRow="1" w:lastRow="0" w:firstColumn="0" w:lastColumn="0" w:oddVBand="0" w:evenVBand="0" w:oddHBand="0" w:evenHBand="0" w:firstRowFirstColumn="0" w:firstRowLastColumn="0" w:lastRowFirstColumn="0" w:lastRowLastColumn="0"/>
                          <w:rPr>
                            <w:bCs/>
                            <w:iCs/>
                            <w:color w:val="FFFFFF" w:themeColor="background1"/>
                            <w:sz w:val="18"/>
                            <w:szCs w:val="18"/>
                          </w:rPr>
                        </w:pPr>
                        <w:r w:rsidRPr="007A1075">
                          <w:rPr>
                            <w:bCs/>
                            <w:iCs/>
                            <w:color w:val="FFFFFF" w:themeColor="background1"/>
                            <w:sz w:val="18"/>
                            <w:szCs w:val="18"/>
                          </w:rPr>
                          <w:t>n</w:t>
                        </w:r>
                      </w:p>
                    </w:tc>
                    <w:tc>
                      <w:tcPr>
                        <w:tcW w:w="782" w:type="dxa"/>
                        <w:shd w:val="clear" w:color="auto" w:fill="007E00" w:themeFill="accent3"/>
                        <w:noWrap/>
                        <w:hideMark/>
                      </w:tcPr>
                      <w:p w14:paraId="69A969F4" w14:textId="77777777" w:rsidR="0058455B" w:rsidRPr="007A1075" w:rsidRDefault="0058455B">
                        <w:pPr>
                          <w:jc w:val="center"/>
                          <w:cnfStyle w:val="100000000000" w:firstRow="1" w:lastRow="0" w:firstColumn="0" w:lastColumn="0" w:oddVBand="0" w:evenVBand="0" w:oddHBand="0" w:evenHBand="0" w:firstRowFirstColumn="0" w:firstRowLastColumn="0" w:lastRowFirstColumn="0" w:lastRowLastColumn="0"/>
                          <w:rPr>
                            <w:bCs/>
                            <w:iCs/>
                            <w:color w:val="FFFFFF" w:themeColor="background1"/>
                            <w:sz w:val="18"/>
                            <w:szCs w:val="18"/>
                          </w:rPr>
                        </w:pPr>
                        <w:r w:rsidRPr="007A1075">
                          <w:rPr>
                            <w:bCs/>
                            <w:iCs/>
                            <w:color w:val="FFFFFF" w:themeColor="background1"/>
                            <w:sz w:val="18"/>
                            <w:szCs w:val="18"/>
                          </w:rPr>
                          <w:t>p</w:t>
                        </w:r>
                      </w:p>
                    </w:tc>
                    <w:tc>
                      <w:tcPr>
                        <w:tcW w:w="1479" w:type="dxa"/>
                        <w:shd w:val="clear" w:color="auto" w:fill="007E00" w:themeFill="accent3"/>
                        <w:hideMark/>
                      </w:tcPr>
                      <w:p w14:paraId="2352B7F1" w14:textId="75017FAA" w:rsidR="0058455B" w:rsidRPr="007A1075" w:rsidRDefault="0058455B">
                        <w:pPr>
                          <w:jc w:val="center"/>
                          <w:cnfStyle w:val="100000000000" w:firstRow="1" w:lastRow="0" w:firstColumn="0" w:lastColumn="0" w:oddVBand="0" w:evenVBand="0" w:oddHBand="0" w:evenHBand="0" w:firstRowFirstColumn="0" w:firstRowLastColumn="0" w:lastRowFirstColumn="0" w:lastRowLastColumn="0"/>
                          <w:rPr>
                            <w:bCs/>
                            <w:iCs/>
                            <w:color w:val="FFFFFF" w:themeColor="background1"/>
                            <w:sz w:val="18"/>
                            <w:szCs w:val="18"/>
                          </w:rPr>
                        </w:pPr>
                        <w:r>
                          <w:rPr>
                            <w:bCs/>
                            <w:iCs/>
                            <w:color w:val="FFFFFF" w:themeColor="background1"/>
                            <w:sz w:val="18"/>
                            <w:szCs w:val="18"/>
                          </w:rPr>
                          <w:t>Service users</w:t>
                        </w:r>
                        <w:r w:rsidRPr="007A1075">
                          <w:rPr>
                            <w:bCs/>
                            <w:iCs/>
                            <w:color w:val="FFFFFF" w:themeColor="background1"/>
                            <w:sz w:val="18"/>
                            <w:szCs w:val="18"/>
                          </w:rPr>
                          <w:t xml:space="preserve"> with positive change (%, n)</w:t>
                        </w:r>
                      </w:p>
                    </w:tc>
                  </w:tr>
                  <w:tr w:rsidR="0058455B" w:rsidRPr="007A1075" w14:paraId="78EC01E2" w14:textId="77777777" w:rsidTr="00BC358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0" w:type="dxa"/>
                        <w:vMerge w:val="restart"/>
                        <w:shd w:val="clear" w:color="auto" w:fill="auto"/>
                        <w:vAlign w:val="top"/>
                        <w:hideMark/>
                      </w:tcPr>
                      <w:p w14:paraId="15E16069" w14:textId="77777777" w:rsidR="0058455B" w:rsidRPr="0058455B" w:rsidRDefault="0058455B" w:rsidP="0058455B">
                        <w:pPr>
                          <w:pStyle w:val="TableText"/>
                          <w:rPr>
                            <w:color w:val="auto"/>
                            <w:lang w:val="en-NZ"/>
                          </w:rPr>
                        </w:pPr>
                        <w:r w:rsidRPr="57F92EFB">
                          <w:rPr>
                            <w:color w:val="auto"/>
                            <w:lang w:val="en-NZ"/>
                          </w:rPr>
                          <w:t>FaRS</w:t>
                        </w:r>
                      </w:p>
                    </w:tc>
                    <w:tc>
                      <w:tcPr>
                        <w:tcW w:w="0" w:type="dxa"/>
                        <w:vMerge w:val="restart"/>
                        <w:shd w:val="clear" w:color="auto" w:fill="auto"/>
                        <w:noWrap/>
                        <w:vAlign w:val="top"/>
                        <w:hideMark/>
                      </w:tcPr>
                      <w:p w14:paraId="023C4E80" w14:textId="77777777" w:rsidR="0058455B" w:rsidRPr="0058455B" w:rsidRDefault="0058455B" w:rsidP="0058455B">
                        <w:pPr>
                          <w:pStyle w:val="TableText"/>
                          <w:cnfStyle w:val="000000100000" w:firstRow="0" w:lastRow="0" w:firstColumn="0" w:lastColumn="0" w:oddVBand="0" w:evenVBand="0" w:oddHBand="1" w:evenHBand="0" w:firstRowFirstColumn="0" w:firstRowLastColumn="0" w:lastRowFirstColumn="0" w:lastRowLastColumn="0"/>
                          <w:rPr>
                            <w:color w:val="auto"/>
                          </w:rPr>
                        </w:pPr>
                        <w:r w:rsidRPr="0058455B">
                          <w:rPr>
                            <w:color w:val="auto"/>
                          </w:rPr>
                          <w:t>Circumstances</w:t>
                        </w:r>
                      </w:p>
                    </w:tc>
                    <w:tc>
                      <w:tcPr>
                        <w:tcW w:w="0" w:type="dxa"/>
                        <w:shd w:val="clear" w:color="auto" w:fill="auto"/>
                        <w:noWrap/>
                        <w:vAlign w:val="top"/>
                        <w:hideMark/>
                      </w:tcPr>
                      <w:p w14:paraId="5E9C3A5F" w14:textId="77777777" w:rsidR="0058455B" w:rsidRPr="0058455B" w:rsidRDefault="0058455B" w:rsidP="0058455B">
                        <w:pPr>
                          <w:pStyle w:val="TableText"/>
                          <w:cnfStyle w:val="000000100000" w:firstRow="0" w:lastRow="0" w:firstColumn="0" w:lastColumn="0" w:oddVBand="0" w:evenVBand="0" w:oddHBand="1" w:evenHBand="0" w:firstRowFirstColumn="0" w:firstRowLastColumn="0" w:lastRowFirstColumn="0" w:lastRowLastColumn="0"/>
                          <w:rPr>
                            <w:color w:val="auto"/>
                          </w:rPr>
                        </w:pPr>
                        <w:r w:rsidRPr="0058455B">
                          <w:rPr>
                            <w:color w:val="auto"/>
                          </w:rPr>
                          <w:t>Family functioning</w:t>
                        </w:r>
                      </w:p>
                    </w:tc>
                    <w:tc>
                      <w:tcPr>
                        <w:tcW w:w="0" w:type="dxa"/>
                        <w:shd w:val="clear" w:color="auto" w:fill="auto"/>
                        <w:noWrap/>
                        <w:vAlign w:val="top"/>
                        <w:hideMark/>
                      </w:tcPr>
                      <w:p w14:paraId="2A783F5C" w14:textId="77777777" w:rsidR="0058455B" w:rsidRPr="0058455B" w:rsidRDefault="0058455B" w:rsidP="0058455B">
                        <w:pPr>
                          <w:pStyle w:val="TableText"/>
                          <w:cnfStyle w:val="000000100000" w:firstRow="0" w:lastRow="0" w:firstColumn="0" w:lastColumn="0" w:oddVBand="0" w:evenVBand="0" w:oddHBand="1" w:evenHBand="0" w:firstRowFirstColumn="0" w:firstRowLastColumn="0" w:lastRowFirstColumn="0" w:lastRowLastColumn="0"/>
                          <w:rPr>
                            <w:color w:val="auto"/>
                          </w:rPr>
                        </w:pPr>
                        <w:r w:rsidRPr="0058455B">
                          <w:rPr>
                            <w:color w:val="auto"/>
                          </w:rPr>
                          <w:t>0.8</w:t>
                        </w:r>
                      </w:p>
                    </w:tc>
                    <w:tc>
                      <w:tcPr>
                        <w:tcW w:w="0" w:type="dxa"/>
                        <w:shd w:val="clear" w:color="auto" w:fill="auto"/>
                        <w:noWrap/>
                        <w:vAlign w:val="top"/>
                        <w:hideMark/>
                      </w:tcPr>
                      <w:p w14:paraId="622365AA" w14:textId="77777777" w:rsidR="0058455B" w:rsidRPr="0058455B" w:rsidRDefault="0058455B" w:rsidP="0058455B">
                        <w:pPr>
                          <w:pStyle w:val="TableText"/>
                          <w:cnfStyle w:val="000000100000" w:firstRow="0" w:lastRow="0" w:firstColumn="0" w:lastColumn="0" w:oddVBand="0" w:evenVBand="0" w:oddHBand="1" w:evenHBand="0" w:firstRowFirstColumn="0" w:firstRowLastColumn="0" w:lastRowFirstColumn="0" w:lastRowLastColumn="0"/>
                          <w:rPr>
                            <w:color w:val="auto"/>
                          </w:rPr>
                        </w:pPr>
                        <w:r w:rsidRPr="0058455B">
                          <w:rPr>
                            <w:color w:val="auto"/>
                          </w:rPr>
                          <w:t>225513256.5</w:t>
                        </w:r>
                      </w:p>
                    </w:tc>
                    <w:tc>
                      <w:tcPr>
                        <w:tcW w:w="0" w:type="dxa"/>
                        <w:shd w:val="clear" w:color="auto" w:fill="auto"/>
                        <w:noWrap/>
                        <w:vAlign w:val="top"/>
                        <w:hideMark/>
                      </w:tcPr>
                      <w:p w14:paraId="03002246" w14:textId="03E156FA" w:rsidR="0058455B" w:rsidRPr="0058455B" w:rsidRDefault="0058455B" w:rsidP="0058455B">
                        <w:pPr>
                          <w:pStyle w:val="TableText"/>
                          <w:cnfStyle w:val="000000100000" w:firstRow="0" w:lastRow="0" w:firstColumn="0" w:lastColumn="0" w:oddVBand="0" w:evenVBand="0" w:oddHBand="1" w:evenHBand="0" w:firstRowFirstColumn="0" w:firstRowLastColumn="0" w:lastRowFirstColumn="0" w:lastRowLastColumn="0"/>
                          <w:rPr>
                            <w:color w:val="auto"/>
                          </w:rPr>
                        </w:pPr>
                        <w:r w:rsidRPr="0058455B">
                          <w:rPr>
                            <w:color w:val="auto"/>
                          </w:rPr>
                          <w:t>66</w:t>
                        </w:r>
                        <w:r>
                          <w:rPr>
                            <w:color w:val="auto"/>
                          </w:rPr>
                          <w:t>,</w:t>
                        </w:r>
                        <w:r w:rsidRPr="0058455B">
                          <w:rPr>
                            <w:color w:val="auto"/>
                          </w:rPr>
                          <w:t>488</w:t>
                        </w:r>
                      </w:p>
                    </w:tc>
                    <w:tc>
                      <w:tcPr>
                        <w:tcW w:w="0" w:type="dxa"/>
                        <w:shd w:val="clear" w:color="auto" w:fill="auto"/>
                        <w:noWrap/>
                        <w:vAlign w:val="top"/>
                        <w:hideMark/>
                      </w:tcPr>
                      <w:p w14:paraId="372F800B" w14:textId="77777777" w:rsidR="0058455B" w:rsidRPr="0058455B" w:rsidRDefault="0058455B" w:rsidP="0058455B">
                        <w:pPr>
                          <w:pStyle w:val="TableText"/>
                          <w:cnfStyle w:val="000000100000" w:firstRow="0" w:lastRow="0" w:firstColumn="0" w:lastColumn="0" w:oddVBand="0" w:evenVBand="0" w:oddHBand="1" w:evenHBand="0" w:firstRowFirstColumn="0" w:firstRowLastColumn="0" w:lastRowFirstColumn="0" w:lastRowLastColumn="0"/>
                          <w:rPr>
                            <w:color w:val="auto"/>
                          </w:rPr>
                        </w:pPr>
                        <w:r w:rsidRPr="0058455B">
                          <w:rPr>
                            <w:color w:val="auto"/>
                          </w:rPr>
                          <w:t>&lt;.001</w:t>
                        </w:r>
                      </w:p>
                    </w:tc>
                    <w:tc>
                      <w:tcPr>
                        <w:tcW w:w="0" w:type="dxa"/>
                        <w:shd w:val="clear" w:color="auto" w:fill="auto"/>
                        <w:noWrap/>
                        <w:vAlign w:val="top"/>
                        <w:hideMark/>
                      </w:tcPr>
                      <w:p w14:paraId="344FEAB5" w14:textId="5AFAA752" w:rsidR="0058455B" w:rsidRPr="0058455B" w:rsidRDefault="0058455B" w:rsidP="0058455B">
                        <w:pPr>
                          <w:pStyle w:val="TableText"/>
                          <w:cnfStyle w:val="000000100000" w:firstRow="0" w:lastRow="0" w:firstColumn="0" w:lastColumn="0" w:oddVBand="0" w:evenVBand="0" w:oddHBand="1" w:evenHBand="0" w:firstRowFirstColumn="0" w:firstRowLastColumn="0" w:lastRowFirstColumn="0" w:lastRowLastColumn="0"/>
                          <w:rPr>
                            <w:color w:val="auto"/>
                          </w:rPr>
                        </w:pPr>
                        <w:r w:rsidRPr="0058455B">
                          <w:rPr>
                            <w:color w:val="auto"/>
                          </w:rPr>
                          <w:t>54.9% (n=36,522)</w:t>
                        </w:r>
                      </w:p>
                    </w:tc>
                  </w:tr>
                  <w:tr w:rsidR="0058455B" w:rsidRPr="007A1075" w14:paraId="78CA2982" w14:textId="77777777" w:rsidTr="00BC3586">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0" w:type="dxa"/>
                        <w:vMerge/>
                        <w:shd w:val="clear" w:color="auto" w:fill="auto"/>
                        <w:vAlign w:val="top"/>
                        <w:hideMark/>
                      </w:tcPr>
                      <w:p w14:paraId="11113D08" w14:textId="77777777" w:rsidR="0058455B" w:rsidRPr="0058455B" w:rsidRDefault="0058455B" w:rsidP="0058455B">
                        <w:pPr>
                          <w:pStyle w:val="TableText"/>
                          <w:rPr>
                            <w:color w:val="auto"/>
                          </w:rPr>
                        </w:pPr>
                      </w:p>
                    </w:tc>
                    <w:tc>
                      <w:tcPr>
                        <w:tcW w:w="0" w:type="dxa"/>
                        <w:vMerge/>
                        <w:shd w:val="clear" w:color="auto" w:fill="auto"/>
                        <w:vAlign w:val="top"/>
                        <w:hideMark/>
                      </w:tcPr>
                      <w:p w14:paraId="5D5F0E2F" w14:textId="77777777" w:rsidR="0058455B" w:rsidRPr="0058455B" w:rsidRDefault="0058455B" w:rsidP="0058455B">
                        <w:pPr>
                          <w:pStyle w:val="TableText"/>
                          <w:cnfStyle w:val="000000010000" w:firstRow="0" w:lastRow="0" w:firstColumn="0" w:lastColumn="0" w:oddVBand="0" w:evenVBand="0" w:oddHBand="0" w:evenHBand="1" w:firstRowFirstColumn="0" w:firstRowLastColumn="0" w:lastRowFirstColumn="0" w:lastRowLastColumn="0"/>
                          <w:rPr>
                            <w:color w:val="auto"/>
                          </w:rPr>
                        </w:pPr>
                      </w:p>
                    </w:tc>
                    <w:tc>
                      <w:tcPr>
                        <w:tcW w:w="0" w:type="dxa"/>
                        <w:shd w:val="clear" w:color="auto" w:fill="auto"/>
                        <w:noWrap/>
                        <w:vAlign w:val="top"/>
                        <w:hideMark/>
                      </w:tcPr>
                      <w:p w14:paraId="22AFF658" w14:textId="77777777" w:rsidR="0058455B" w:rsidRPr="0058455B" w:rsidRDefault="0058455B" w:rsidP="0058455B">
                        <w:pPr>
                          <w:pStyle w:val="TableText"/>
                          <w:cnfStyle w:val="000000010000" w:firstRow="0" w:lastRow="0" w:firstColumn="0" w:lastColumn="0" w:oddVBand="0" w:evenVBand="0" w:oddHBand="0" w:evenHBand="1" w:firstRowFirstColumn="0" w:firstRowLastColumn="0" w:lastRowFirstColumn="0" w:lastRowLastColumn="0"/>
                          <w:rPr>
                            <w:color w:val="auto"/>
                            <w:lang w:val="en-NZ"/>
                          </w:rPr>
                        </w:pPr>
                        <w:r w:rsidRPr="57F92EFB">
                          <w:rPr>
                            <w:color w:val="auto"/>
                            <w:lang w:val="en-NZ"/>
                          </w:rPr>
                          <w:t>Mental health, wellbeing and self-care</w:t>
                        </w:r>
                      </w:p>
                    </w:tc>
                    <w:tc>
                      <w:tcPr>
                        <w:tcW w:w="0" w:type="dxa"/>
                        <w:shd w:val="clear" w:color="auto" w:fill="auto"/>
                        <w:noWrap/>
                        <w:vAlign w:val="top"/>
                        <w:hideMark/>
                      </w:tcPr>
                      <w:p w14:paraId="538A5C91" w14:textId="77777777" w:rsidR="0058455B" w:rsidRPr="0058455B" w:rsidRDefault="0058455B" w:rsidP="0058455B">
                        <w:pPr>
                          <w:pStyle w:val="TableText"/>
                          <w:cnfStyle w:val="000000010000" w:firstRow="0" w:lastRow="0" w:firstColumn="0" w:lastColumn="0" w:oddVBand="0" w:evenVBand="0" w:oddHBand="0" w:evenHBand="1" w:firstRowFirstColumn="0" w:firstRowLastColumn="0" w:lastRowFirstColumn="0" w:lastRowLastColumn="0"/>
                          <w:rPr>
                            <w:color w:val="auto"/>
                          </w:rPr>
                        </w:pPr>
                        <w:r w:rsidRPr="0058455B">
                          <w:rPr>
                            <w:color w:val="auto"/>
                          </w:rPr>
                          <w:t>0.8</w:t>
                        </w:r>
                      </w:p>
                    </w:tc>
                    <w:tc>
                      <w:tcPr>
                        <w:tcW w:w="0" w:type="dxa"/>
                        <w:shd w:val="clear" w:color="auto" w:fill="auto"/>
                        <w:noWrap/>
                        <w:vAlign w:val="top"/>
                        <w:hideMark/>
                      </w:tcPr>
                      <w:p w14:paraId="7E0E1544" w14:textId="77777777" w:rsidR="0058455B" w:rsidRPr="0058455B" w:rsidRDefault="0058455B" w:rsidP="0058455B">
                        <w:pPr>
                          <w:pStyle w:val="TableText"/>
                          <w:cnfStyle w:val="000000010000" w:firstRow="0" w:lastRow="0" w:firstColumn="0" w:lastColumn="0" w:oddVBand="0" w:evenVBand="0" w:oddHBand="0" w:evenHBand="1" w:firstRowFirstColumn="0" w:firstRowLastColumn="0" w:lastRowFirstColumn="0" w:lastRowLastColumn="0"/>
                          <w:rPr>
                            <w:color w:val="auto"/>
                          </w:rPr>
                        </w:pPr>
                        <w:r w:rsidRPr="0058455B">
                          <w:rPr>
                            <w:color w:val="auto"/>
                          </w:rPr>
                          <w:t>189422241</w:t>
                        </w:r>
                      </w:p>
                    </w:tc>
                    <w:tc>
                      <w:tcPr>
                        <w:tcW w:w="0" w:type="dxa"/>
                        <w:shd w:val="clear" w:color="auto" w:fill="auto"/>
                        <w:noWrap/>
                        <w:vAlign w:val="top"/>
                        <w:hideMark/>
                      </w:tcPr>
                      <w:p w14:paraId="7D52D5CC" w14:textId="04EFD617" w:rsidR="0058455B" w:rsidRPr="0058455B" w:rsidRDefault="0058455B" w:rsidP="0058455B">
                        <w:pPr>
                          <w:pStyle w:val="TableText"/>
                          <w:cnfStyle w:val="000000010000" w:firstRow="0" w:lastRow="0" w:firstColumn="0" w:lastColumn="0" w:oddVBand="0" w:evenVBand="0" w:oddHBand="0" w:evenHBand="1" w:firstRowFirstColumn="0" w:firstRowLastColumn="0" w:lastRowFirstColumn="0" w:lastRowLastColumn="0"/>
                          <w:rPr>
                            <w:color w:val="auto"/>
                          </w:rPr>
                        </w:pPr>
                        <w:r w:rsidRPr="0058455B">
                          <w:rPr>
                            <w:color w:val="auto"/>
                          </w:rPr>
                          <w:t>61</w:t>
                        </w:r>
                        <w:r>
                          <w:rPr>
                            <w:color w:val="auto"/>
                          </w:rPr>
                          <w:t>,</w:t>
                        </w:r>
                        <w:r w:rsidRPr="0058455B">
                          <w:rPr>
                            <w:color w:val="auto"/>
                          </w:rPr>
                          <w:t>150</w:t>
                        </w:r>
                      </w:p>
                    </w:tc>
                    <w:tc>
                      <w:tcPr>
                        <w:tcW w:w="0" w:type="dxa"/>
                        <w:shd w:val="clear" w:color="auto" w:fill="auto"/>
                        <w:noWrap/>
                        <w:vAlign w:val="top"/>
                        <w:hideMark/>
                      </w:tcPr>
                      <w:p w14:paraId="6DE0FC4D" w14:textId="77777777" w:rsidR="0058455B" w:rsidRPr="0058455B" w:rsidRDefault="0058455B" w:rsidP="0058455B">
                        <w:pPr>
                          <w:pStyle w:val="TableText"/>
                          <w:cnfStyle w:val="000000010000" w:firstRow="0" w:lastRow="0" w:firstColumn="0" w:lastColumn="0" w:oddVBand="0" w:evenVBand="0" w:oddHBand="0" w:evenHBand="1" w:firstRowFirstColumn="0" w:firstRowLastColumn="0" w:lastRowFirstColumn="0" w:lastRowLastColumn="0"/>
                          <w:rPr>
                            <w:color w:val="auto"/>
                          </w:rPr>
                        </w:pPr>
                        <w:r w:rsidRPr="0058455B">
                          <w:rPr>
                            <w:color w:val="auto"/>
                          </w:rPr>
                          <w:t>&lt;.001</w:t>
                        </w:r>
                      </w:p>
                    </w:tc>
                    <w:tc>
                      <w:tcPr>
                        <w:tcW w:w="0" w:type="dxa"/>
                        <w:shd w:val="clear" w:color="auto" w:fill="auto"/>
                        <w:noWrap/>
                        <w:vAlign w:val="top"/>
                        <w:hideMark/>
                      </w:tcPr>
                      <w:p w14:paraId="6B3C064A" w14:textId="5C8401AD" w:rsidR="0058455B" w:rsidRPr="0058455B" w:rsidRDefault="0058455B" w:rsidP="0058455B">
                        <w:pPr>
                          <w:pStyle w:val="TableText"/>
                          <w:cnfStyle w:val="000000010000" w:firstRow="0" w:lastRow="0" w:firstColumn="0" w:lastColumn="0" w:oddVBand="0" w:evenVBand="0" w:oddHBand="0" w:evenHBand="1" w:firstRowFirstColumn="0" w:firstRowLastColumn="0" w:lastRowFirstColumn="0" w:lastRowLastColumn="0"/>
                          <w:rPr>
                            <w:color w:val="auto"/>
                          </w:rPr>
                        </w:pPr>
                        <w:r w:rsidRPr="0058455B">
                          <w:rPr>
                            <w:color w:val="auto"/>
                          </w:rPr>
                          <w:t>55.5% (n=33,940)</w:t>
                        </w:r>
                      </w:p>
                    </w:tc>
                  </w:tr>
                  <w:tr w:rsidR="0058455B" w:rsidRPr="007A1075" w14:paraId="0B4AC741" w14:textId="77777777" w:rsidTr="00BC358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0" w:type="dxa"/>
                        <w:vMerge/>
                        <w:shd w:val="clear" w:color="auto" w:fill="auto"/>
                        <w:vAlign w:val="top"/>
                        <w:hideMark/>
                      </w:tcPr>
                      <w:p w14:paraId="7EA75E54" w14:textId="77777777" w:rsidR="0058455B" w:rsidRPr="0058455B" w:rsidRDefault="0058455B" w:rsidP="0058455B">
                        <w:pPr>
                          <w:pStyle w:val="TableText"/>
                          <w:rPr>
                            <w:color w:val="auto"/>
                          </w:rPr>
                        </w:pPr>
                      </w:p>
                    </w:tc>
                    <w:tc>
                      <w:tcPr>
                        <w:tcW w:w="0" w:type="dxa"/>
                        <w:vMerge/>
                        <w:shd w:val="clear" w:color="auto" w:fill="auto"/>
                        <w:vAlign w:val="top"/>
                        <w:hideMark/>
                      </w:tcPr>
                      <w:p w14:paraId="75DAB153" w14:textId="77777777" w:rsidR="0058455B" w:rsidRPr="0058455B" w:rsidRDefault="0058455B" w:rsidP="0058455B">
                        <w:pPr>
                          <w:pStyle w:val="TableText"/>
                          <w:cnfStyle w:val="000000100000" w:firstRow="0" w:lastRow="0" w:firstColumn="0" w:lastColumn="0" w:oddVBand="0" w:evenVBand="0" w:oddHBand="1" w:evenHBand="0" w:firstRowFirstColumn="0" w:firstRowLastColumn="0" w:lastRowFirstColumn="0" w:lastRowLastColumn="0"/>
                          <w:rPr>
                            <w:color w:val="auto"/>
                          </w:rPr>
                        </w:pPr>
                      </w:p>
                    </w:tc>
                    <w:tc>
                      <w:tcPr>
                        <w:tcW w:w="0" w:type="dxa"/>
                        <w:shd w:val="clear" w:color="auto" w:fill="auto"/>
                        <w:noWrap/>
                        <w:vAlign w:val="top"/>
                        <w:hideMark/>
                      </w:tcPr>
                      <w:p w14:paraId="61D1C43F" w14:textId="77777777" w:rsidR="0058455B" w:rsidRPr="0058455B" w:rsidRDefault="0058455B" w:rsidP="0058455B">
                        <w:pPr>
                          <w:pStyle w:val="TableText"/>
                          <w:cnfStyle w:val="000000100000" w:firstRow="0" w:lastRow="0" w:firstColumn="0" w:lastColumn="0" w:oddVBand="0" w:evenVBand="0" w:oddHBand="1" w:evenHBand="0" w:firstRowFirstColumn="0" w:firstRowLastColumn="0" w:lastRowFirstColumn="0" w:lastRowLastColumn="0"/>
                          <w:rPr>
                            <w:color w:val="auto"/>
                          </w:rPr>
                        </w:pPr>
                        <w:r w:rsidRPr="0058455B">
                          <w:rPr>
                            <w:color w:val="auto"/>
                          </w:rPr>
                          <w:t>Personal and family safety</w:t>
                        </w:r>
                      </w:p>
                    </w:tc>
                    <w:tc>
                      <w:tcPr>
                        <w:tcW w:w="0" w:type="dxa"/>
                        <w:shd w:val="clear" w:color="auto" w:fill="auto"/>
                        <w:noWrap/>
                        <w:vAlign w:val="top"/>
                        <w:hideMark/>
                      </w:tcPr>
                      <w:p w14:paraId="476291E8" w14:textId="77777777" w:rsidR="0058455B" w:rsidRPr="0058455B" w:rsidRDefault="0058455B" w:rsidP="0058455B">
                        <w:pPr>
                          <w:pStyle w:val="TableText"/>
                          <w:cnfStyle w:val="000000100000" w:firstRow="0" w:lastRow="0" w:firstColumn="0" w:lastColumn="0" w:oddVBand="0" w:evenVBand="0" w:oddHBand="1" w:evenHBand="0" w:firstRowFirstColumn="0" w:firstRowLastColumn="0" w:lastRowFirstColumn="0" w:lastRowLastColumn="0"/>
                          <w:rPr>
                            <w:color w:val="auto"/>
                          </w:rPr>
                        </w:pPr>
                        <w:r w:rsidRPr="0058455B">
                          <w:rPr>
                            <w:color w:val="auto"/>
                          </w:rPr>
                          <w:t>0.56</w:t>
                        </w:r>
                      </w:p>
                    </w:tc>
                    <w:tc>
                      <w:tcPr>
                        <w:tcW w:w="0" w:type="dxa"/>
                        <w:shd w:val="clear" w:color="auto" w:fill="auto"/>
                        <w:noWrap/>
                        <w:vAlign w:val="top"/>
                        <w:hideMark/>
                      </w:tcPr>
                      <w:p w14:paraId="2B845623" w14:textId="77777777" w:rsidR="0058455B" w:rsidRPr="0058455B" w:rsidRDefault="0058455B" w:rsidP="0058455B">
                        <w:pPr>
                          <w:pStyle w:val="TableText"/>
                          <w:cnfStyle w:val="000000100000" w:firstRow="0" w:lastRow="0" w:firstColumn="0" w:lastColumn="0" w:oddVBand="0" w:evenVBand="0" w:oddHBand="1" w:evenHBand="0" w:firstRowFirstColumn="0" w:firstRowLastColumn="0" w:lastRowFirstColumn="0" w:lastRowLastColumn="0"/>
                          <w:rPr>
                            <w:color w:val="auto"/>
                          </w:rPr>
                        </w:pPr>
                        <w:r w:rsidRPr="0058455B">
                          <w:rPr>
                            <w:color w:val="auto"/>
                          </w:rPr>
                          <w:t>126318319.5</w:t>
                        </w:r>
                      </w:p>
                    </w:tc>
                    <w:tc>
                      <w:tcPr>
                        <w:tcW w:w="0" w:type="dxa"/>
                        <w:shd w:val="clear" w:color="auto" w:fill="auto"/>
                        <w:noWrap/>
                        <w:vAlign w:val="top"/>
                        <w:hideMark/>
                      </w:tcPr>
                      <w:p w14:paraId="0EE942ED" w14:textId="67341ECA" w:rsidR="0058455B" w:rsidRPr="0058455B" w:rsidRDefault="0058455B" w:rsidP="0058455B">
                        <w:pPr>
                          <w:pStyle w:val="TableText"/>
                          <w:cnfStyle w:val="000000100000" w:firstRow="0" w:lastRow="0" w:firstColumn="0" w:lastColumn="0" w:oddVBand="0" w:evenVBand="0" w:oddHBand="1" w:evenHBand="0" w:firstRowFirstColumn="0" w:firstRowLastColumn="0" w:lastRowFirstColumn="0" w:lastRowLastColumn="0"/>
                          <w:rPr>
                            <w:color w:val="auto"/>
                          </w:rPr>
                        </w:pPr>
                        <w:r w:rsidRPr="0058455B">
                          <w:rPr>
                            <w:color w:val="auto"/>
                          </w:rPr>
                          <w:t>42</w:t>
                        </w:r>
                        <w:r>
                          <w:rPr>
                            <w:color w:val="auto"/>
                          </w:rPr>
                          <w:t>,</w:t>
                        </w:r>
                        <w:r w:rsidRPr="0058455B">
                          <w:rPr>
                            <w:color w:val="auto"/>
                          </w:rPr>
                          <w:t>074</w:t>
                        </w:r>
                      </w:p>
                    </w:tc>
                    <w:tc>
                      <w:tcPr>
                        <w:tcW w:w="0" w:type="dxa"/>
                        <w:shd w:val="clear" w:color="auto" w:fill="auto"/>
                        <w:noWrap/>
                        <w:vAlign w:val="top"/>
                        <w:hideMark/>
                      </w:tcPr>
                      <w:p w14:paraId="25B93925" w14:textId="77777777" w:rsidR="0058455B" w:rsidRPr="0058455B" w:rsidRDefault="0058455B" w:rsidP="0058455B">
                        <w:pPr>
                          <w:pStyle w:val="TableText"/>
                          <w:cnfStyle w:val="000000100000" w:firstRow="0" w:lastRow="0" w:firstColumn="0" w:lastColumn="0" w:oddVBand="0" w:evenVBand="0" w:oddHBand="1" w:evenHBand="0" w:firstRowFirstColumn="0" w:firstRowLastColumn="0" w:lastRowFirstColumn="0" w:lastRowLastColumn="0"/>
                          <w:rPr>
                            <w:color w:val="auto"/>
                          </w:rPr>
                        </w:pPr>
                        <w:r w:rsidRPr="0058455B">
                          <w:rPr>
                            <w:color w:val="auto"/>
                          </w:rPr>
                          <w:t>&lt;.001</w:t>
                        </w:r>
                      </w:p>
                    </w:tc>
                    <w:tc>
                      <w:tcPr>
                        <w:tcW w:w="0" w:type="dxa"/>
                        <w:shd w:val="clear" w:color="auto" w:fill="auto"/>
                        <w:noWrap/>
                        <w:vAlign w:val="top"/>
                        <w:hideMark/>
                      </w:tcPr>
                      <w:p w14:paraId="4DD1F903" w14:textId="55F95E18" w:rsidR="0058455B" w:rsidRPr="0058455B" w:rsidRDefault="0058455B" w:rsidP="0058455B">
                        <w:pPr>
                          <w:pStyle w:val="TableText"/>
                          <w:cnfStyle w:val="000000100000" w:firstRow="0" w:lastRow="0" w:firstColumn="0" w:lastColumn="0" w:oddVBand="0" w:evenVBand="0" w:oddHBand="1" w:evenHBand="0" w:firstRowFirstColumn="0" w:firstRowLastColumn="0" w:lastRowFirstColumn="0" w:lastRowLastColumn="0"/>
                          <w:rPr>
                            <w:color w:val="auto"/>
                          </w:rPr>
                        </w:pPr>
                        <w:r w:rsidRPr="0058455B">
                          <w:rPr>
                            <w:color w:val="auto"/>
                          </w:rPr>
                          <w:t>42.6% (n=17,913)</w:t>
                        </w:r>
                      </w:p>
                    </w:tc>
                  </w:tr>
                  <w:tr w:rsidR="0058455B" w:rsidRPr="007A1075" w14:paraId="4C740BA4" w14:textId="77777777" w:rsidTr="00BC3586">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0" w:type="dxa"/>
                        <w:vMerge/>
                        <w:shd w:val="clear" w:color="auto" w:fill="auto"/>
                        <w:vAlign w:val="top"/>
                        <w:hideMark/>
                      </w:tcPr>
                      <w:p w14:paraId="4ECAAFF3" w14:textId="77777777" w:rsidR="0058455B" w:rsidRPr="0058455B" w:rsidRDefault="0058455B" w:rsidP="0058455B">
                        <w:pPr>
                          <w:pStyle w:val="TableText"/>
                          <w:rPr>
                            <w:color w:val="auto"/>
                          </w:rPr>
                        </w:pPr>
                      </w:p>
                    </w:tc>
                    <w:tc>
                      <w:tcPr>
                        <w:tcW w:w="0" w:type="dxa"/>
                        <w:vMerge w:val="restart"/>
                        <w:shd w:val="clear" w:color="auto" w:fill="auto"/>
                        <w:noWrap/>
                        <w:vAlign w:val="top"/>
                        <w:hideMark/>
                      </w:tcPr>
                      <w:p w14:paraId="50CCE4FA" w14:textId="77777777" w:rsidR="0058455B" w:rsidRPr="0058455B" w:rsidRDefault="0058455B" w:rsidP="0058455B">
                        <w:pPr>
                          <w:pStyle w:val="TableText"/>
                          <w:cnfStyle w:val="000000010000" w:firstRow="0" w:lastRow="0" w:firstColumn="0" w:lastColumn="0" w:oddVBand="0" w:evenVBand="0" w:oddHBand="0" w:evenHBand="1" w:firstRowFirstColumn="0" w:firstRowLastColumn="0" w:lastRowFirstColumn="0" w:lastRowLastColumn="0"/>
                          <w:rPr>
                            <w:color w:val="auto"/>
                          </w:rPr>
                        </w:pPr>
                        <w:r w:rsidRPr="0058455B">
                          <w:rPr>
                            <w:color w:val="auto"/>
                          </w:rPr>
                          <w:t>Goals</w:t>
                        </w:r>
                      </w:p>
                    </w:tc>
                    <w:tc>
                      <w:tcPr>
                        <w:tcW w:w="0" w:type="dxa"/>
                        <w:shd w:val="clear" w:color="auto" w:fill="auto"/>
                        <w:noWrap/>
                        <w:vAlign w:val="top"/>
                        <w:hideMark/>
                      </w:tcPr>
                      <w:p w14:paraId="5F7933A5" w14:textId="77777777" w:rsidR="0058455B" w:rsidRPr="0058455B" w:rsidRDefault="0058455B" w:rsidP="0058455B">
                        <w:pPr>
                          <w:pStyle w:val="TableText"/>
                          <w:cnfStyle w:val="000000010000" w:firstRow="0" w:lastRow="0" w:firstColumn="0" w:lastColumn="0" w:oddVBand="0" w:evenVBand="0" w:oddHBand="0" w:evenHBand="1" w:firstRowFirstColumn="0" w:firstRowLastColumn="0" w:lastRowFirstColumn="0" w:lastRowLastColumn="0"/>
                          <w:rPr>
                            <w:color w:val="auto"/>
                          </w:rPr>
                        </w:pPr>
                        <w:r w:rsidRPr="0058455B">
                          <w:rPr>
                            <w:color w:val="auto"/>
                          </w:rPr>
                          <w:t>Changed behaviours</w:t>
                        </w:r>
                      </w:p>
                    </w:tc>
                    <w:tc>
                      <w:tcPr>
                        <w:tcW w:w="0" w:type="dxa"/>
                        <w:shd w:val="clear" w:color="auto" w:fill="auto"/>
                        <w:noWrap/>
                        <w:vAlign w:val="top"/>
                        <w:hideMark/>
                      </w:tcPr>
                      <w:p w14:paraId="47BF1F33" w14:textId="77777777" w:rsidR="0058455B" w:rsidRPr="0058455B" w:rsidRDefault="0058455B" w:rsidP="0058455B">
                        <w:pPr>
                          <w:pStyle w:val="TableText"/>
                          <w:cnfStyle w:val="000000010000" w:firstRow="0" w:lastRow="0" w:firstColumn="0" w:lastColumn="0" w:oddVBand="0" w:evenVBand="0" w:oddHBand="0" w:evenHBand="1" w:firstRowFirstColumn="0" w:firstRowLastColumn="0" w:lastRowFirstColumn="0" w:lastRowLastColumn="0"/>
                          <w:rPr>
                            <w:color w:val="auto"/>
                          </w:rPr>
                        </w:pPr>
                        <w:r w:rsidRPr="0058455B">
                          <w:rPr>
                            <w:color w:val="auto"/>
                          </w:rPr>
                          <w:t>1.06</w:t>
                        </w:r>
                      </w:p>
                    </w:tc>
                    <w:tc>
                      <w:tcPr>
                        <w:tcW w:w="0" w:type="dxa"/>
                        <w:shd w:val="clear" w:color="auto" w:fill="auto"/>
                        <w:noWrap/>
                        <w:vAlign w:val="top"/>
                        <w:hideMark/>
                      </w:tcPr>
                      <w:p w14:paraId="0A1CD4B4" w14:textId="77777777" w:rsidR="0058455B" w:rsidRPr="0058455B" w:rsidRDefault="0058455B" w:rsidP="0058455B">
                        <w:pPr>
                          <w:pStyle w:val="TableText"/>
                          <w:cnfStyle w:val="000000010000" w:firstRow="0" w:lastRow="0" w:firstColumn="0" w:lastColumn="0" w:oddVBand="0" w:evenVBand="0" w:oddHBand="0" w:evenHBand="1" w:firstRowFirstColumn="0" w:firstRowLastColumn="0" w:lastRowFirstColumn="0" w:lastRowLastColumn="0"/>
                          <w:rPr>
                            <w:color w:val="auto"/>
                          </w:rPr>
                        </w:pPr>
                        <w:r w:rsidRPr="0058455B">
                          <w:rPr>
                            <w:color w:val="auto"/>
                          </w:rPr>
                          <w:t>55321950</w:t>
                        </w:r>
                      </w:p>
                    </w:tc>
                    <w:tc>
                      <w:tcPr>
                        <w:tcW w:w="0" w:type="dxa"/>
                        <w:shd w:val="clear" w:color="auto" w:fill="auto"/>
                        <w:noWrap/>
                        <w:vAlign w:val="top"/>
                        <w:hideMark/>
                      </w:tcPr>
                      <w:p w14:paraId="0F18A375" w14:textId="528A86F3" w:rsidR="0058455B" w:rsidRPr="0058455B" w:rsidRDefault="0058455B" w:rsidP="0058455B">
                        <w:pPr>
                          <w:pStyle w:val="TableText"/>
                          <w:cnfStyle w:val="000000010000" w:firstRow="0" w:lastRow="0" w:firstColumn="0" w:lastColumn="0" w:oddVBand="0" w:evenVBand="0" w:oddHBand="0" w:evenHBand="1" w:firstRowFirstColumn="0" w:firstRowLastColumn="0" w:lastRowFirstColumn="0" w:lastRowLastColumn="0"/>
                          <w:rPr>
                            <w:color w:val="auto"/>
                          </w:rPr>
                        </w:pPr>
                        <w:r w:rsidRPr="0058455B">
                          <w:rPr>
                            <w:color w:val="auto"/>
                          </w:rPr>
                          <w:t>42</w:t>
                        </w:r>
                        <w:r>
                          <w:rPr>
                            <w:color w:val="auto"/>
                          </w:rPr>
                          <w:t>,</w:t>
                        </w:r>
                        <w:r w:rsidRPr="0058455B">
                          <w:rPr>
                            <w:color w:val="auto"/>
                          </w:rPr>
                          <w:t>922</w:t>
                        </w:r>
                      </w:p>
                    </w:tc>
                    <w:tc>
                      <w:tcPr>
                        <w:tcW w:w="0" w:type="dxa"/>
                        <w:shd w:val="clear" w:color="auto" w:fill="auto"/>
                        <w:noWrap/>
                        <w:vAlign w:val="top"/>
                        <w:hideMark/>
                      </w:tcPr>
                      <w:p w14:paraId="3F437D78" w14:textId="77777777" w:rsidR="0058455B" w:rsidRPr="0058455B" w:rsidRDefault="0058455B" w:rsidP="0058455B">
                        <w:pPr>
                          <w:pStyle w:val="TableText"/>
                          <w:cnfStyle w:val="000000010000" w:firstRow="0" w:lastRow="0" w:firstColumn="0" w:lastColumn="0" w:oddVBand="0" w:evenVBand="0" w:oddHBand="0" w:evenHBand="1" w:firstRowFirstColumn="0" w:firstRowLastColumn="0" w:lastRowFirstColumn="0" w:lastRowLastColumn="0"/>
                          <w:rPr>
                            <w:color w:val="auto"/>
                          </w:rPr>
                        </w:pPr>
                        <w:r w:rsidRPr="0058455B">
                          <w:rPr>
                            <w:color w:val="auto"/>
                          </w:rPr>
                          <w:t>&lt;.001</w:t>
                        </w:r>
                      </w:p>
                    </w:tc>
                    <w:tc>
                      <w:tcPr>
                        <w:tcW w:w="0" w:type="dxa"/>
                        <w:shd w:val="clear" w:color="auto" w:fill="auto"/>
                        <w:noWrap/>
                        <w:vAlign w:val="top"/>
                        <w:hideMark/>
                      </w:tcPr>
                      <w:p w14:paraId="1B3146C1" w14:textId="41E9D66C" w:rsidR="0058455B" w:rsidRPr="0058455B" w:rsidRDefault="0058455B" w:rsidP="0058455B">
                        <w:pPr>
                          <w:pStyle w:val="TableText"/>
                          <w:cnfStyle w:val="000000010000" w:firstRow="0" w:lastRow="0" w:firstColumn="0" w:lastColumn="0" w:oddVBand="0" w:evenVBand="0" w:oddHBand="0" w:evenHBand="1" w:firstRowFirstColumn="0" w:firstRowLastColumn="0" w:lastRowFirstColumn="0" w:lastRowLastColumn="0"/>
                          <w:rPr>
                            <w:color w:val="auto"/>
                          </w:rPr>
                        </w:pPr>
                        <w:r w:rsidRPr="0058455B">
                          <w:rPr>
                            <w:color w:val="auto"/>
                          </w:rPr>
                          <w:t>64.5% (n=27,682)</w:t>
                        </w:r>
                      </w:p>
                    </w:tc>
                  </w:tr>
                  <w:tr w:rsidR="0058455B" w:rsidRPr="007A1075" w14:paraId="43B2383A" w14:textId="77777777" w:rsidTr="00BC358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0" w:type="dxa"/>
                        <w:vMerge/>
                        <w:shd w:val="clear" w:color="auto" w:fill="auto"/>
                        <w:vAlign w:val="top"/>
                        <w:hideMark/>
                      </w:tcPr>
                      <w:p w14:paraId="1AEF6EE4" w14:textId="77777777" w:rsidR="0058455B" w:rsidRPr="0058455B" w:rsidRDefault="0058455B" w:rsidP="0058455B">
                        <w:pPr>
                          <w:pStyle w:val="TableText"/>
                          <w:rPr>
                            <w:color w:val="auto"/>
                          </w:rPr>
                        </w:pPr>
                      </w:p>
                    </w:tc>
                    <w:tc>
                      <w:tcPr>
                        <w:tcW w:w="0" w:type="dxa"/>
                        <w:vMerge/>
                        <w:shd w:val="clear" w:color="auto" w:fill="auto"/>
                        <w:vAlign w:val="top"/>
                        <w:hideMark/>
                      </w:tcPr>
                      <w:p w14:paraId="6E7DF246" w14:textId="77777777" w:rsidR="0058455B" w:rsidRPr="0058455B" w:rsidRDefault="0058455B" w:rsidP="0058455B">
                        <w:pPr>
                          <w:pStyle w:val="TableText"/>
                          <w:cnfStyle w:val="000000100000" w:firstRow="0" w:lastRow="0" w:firstColumn="0" w:lastColumn="0" w:oddVBand="0" w:evenVBand="0" w:oddHBand="1" w:evenHBand="0" w:firstRowFirstColumn="0" w:firstRowLastColumn="0" w:lastRowFirstColumn="0" w:lastRowLastColumn="0"/>
                          <w:rPr>
                            <w:color w:val="auto"/>
                          </w:rPr>
                        </w:pPr>
                      </w:p>
                    </w:tc>
                    <w:tc>
                      <w:tcPr>
                        <w:tcW w:w="0" w:type="dxa"/>
                        <w:shd w:val="clear" w:color="auto" w:fill="auto"/>
                        <w:noWrap/>
                        <w:vAlign w:val="top"/>
                        <w:hideMark/>
                      </w:tcPr>
                      <w:p w14:paraId="70C45246" w14:textId="77777777" w:rsidR="0058455B" w:rsidRPr="0058455B" w:rsidRDefault="0058455B" w:rsidP="0058455B">
                        <w:pPr>
                          <w:pStyle w:val="TableText"/>
                          <w:cnfStyle w:val="000000100000" w:firstRow="0" w:lastRow="0" w:firstColumn="0" w:lastColumn="0" w:oddVBand="0" w:evenVBand="0" w:oddHBand="1" w:evenHBand="0" w:firstRowFirstColumn="0" w:firstRowLastColumn="0" w:lastRowFirstColumn="0" w:lastRowLastColumn="0"/>
                          <w:rPr>
                            <w:color w:val="auto"/>
                          </w:rPr>
                        </w:pPr>
                        <w:r w:rsidRPr="0058455B">
                          <w:rPr>
                            <w:color w:val="auto"/>
                          </w:rPr>
                          <w:t>Changed impact of immediate crisis</w:t>
                        </w:r>
                      </w:p>
                    </w:tc>
                    <w:tc>
                      <w:tcPr>
                        <w:tcW w:w="0" w:type="dxa"/>
                        <w:shd w:val="clear" w:color="auto" w:fill="auto"/>
                        <w:noWrap/>
                        <w:vAlign w:val="top"/>
                        <w:hideMark/>
                      </w:tcPr>
                      <w:p w14:paraId="36954888" w14:textId="77777777" w:rsidR="0058455B" w:rsidRPr="0058455B" w:rsidRDefault="0058455B" w:rsidP="0058455B">
                        <w:pPr>
                          <w:pStyle w:val="TableText"/>
                          <w:cnfStyle w:val="000000100000" w:firstRow="0" w:lastRow="0" w:firstColumn="0" w:lastColumn="0" w:oddVBand="0" w:evenVBand="0" w:oddHBand="1" w:evenHBand="0" w:firstRowFirstColumn="0" w:firstRowLastColumn="0" w:lastRowFirstColumn="0" w:lastRowLastColumn="0"/>
                          <w:rPr>
                            <w:color w:val="auto"/>
                          </w:rPr>
                        </w:pPr>
                        <w:r w:rsidRPr="0058455B">
                          <w:rPr>
                            <w:color w:val="auto"/>
                          </w:rPr>
                          <w:t>1.09</w:t>
                        </w:r>
                      </w:p>
                    </w:tc>
                    <w:tc>
                      <w:tcPr>
                        <w:tcW w:w="0" w:type="dxa"/>
                        <w:shd w:val="clear" w:color="auto" w:fill="auto"/>
                        <w:noWrap/>
                        <w:vAlign w:val="top"/>
                        <w:hideMark/>
                      </w:tcPr>
                      <w:p w14:paraId="180C620D" w14:textId="77777777" w:rsidR="0058455B" w:rsidRPr="0058455B" w:rsidRDefault="0058455B" w:rsidP="0058455B">
                        <w:pPr>
                          <w:pStyle w:val="TableText"/>
                          <w:cnfStyle w:val="000000100000" w:firstRow="0" w:lastRow="0" w:firstColumn="0" w:lastColumn="0" w:oddVBand="0" w:evenVBand="0" w:oddHBand="1" w:evenHBand="0" w:firstRowFirstColumn="0" w:firstRowLastColumn="0" w:lastRowFirstColumn="0" w:lastRowLastColumn="0"/>
                          <w:rPr>
                            <w:color w:val="auto"/>
                          </w:rPr>
                        </w:pPr>
                        <w:r w:rsidRPr="0058455B">
                          <w:rPr>
                            <w:color w:val="auto"/>
                          </w:rPr>
                          <w:t>17802843.5</w:t>
                        </w:r>
                      </w:p>
                    </w:tc>
                    <w:tc>
                      <w:tcPr>
                        <w:tcW w:w="0" w:type="dxa"/>
                        <w:shd w:val="clear" w:color="auto" w:fill="auto"/>
                        <w:noWrap/>
                        <w:vAlign w:val="top"/>
                        <w:hideMark/>
                      </w:tcPr>
                      <w:p w14:paraId="2E1A3BA1" w14:textId="7E5D492D" w:rsidR="0058455B" w:rsidRPr="0058455B" w:rsidRDefault="0058455B" w:rsidP="0058455B">
                        <w:pPr>
                          <w:pStyle w:val="TableText"/>
                          <w:cnfStyle w:val="000000100000" w:firstRow="0" w:lastRow="0" w:firstColumn="0" w:lastColumn="0" w:oddVBand="0" w:evenVBand="0" w:oddHBand="1" w:evenHBand="0" w:firstRowFirstColumn="0" w:firstRowLastColumn="0" w:lastRowFirstColumn="0" w:lastRowLastColumn="0"/>
                          <w:rPr>
                            <w:color w:val="auto"/>
                          </w:rPr>
                        </w:pPr>
                        <w:r w:rsidRPr="0058455B">
                          <w:rPr>
                            <w:color w:val="auto"/>
                          </w:rPr>
                          <w:t>22</w:t>
                        </w:r>
                        <w:r>
                          <w:rPr>
                            <w:color w:val="auto"/>
                          </w:rPr>
                          <w:t>,</w:t>
                        </w:r>
                        <w:r w:rsidRPr="0058455B">
                          <w:rPr>
                            <w:color w:val="auto"/>
                          </w:rPr>
                          <w:t>742</w:t>
                        </w:r>
                      </w:p>
                    </w:tc>
                    <w:tc>
                      <w:tcPr>
                        <w:tcW w:w="0" w:type="dxa"/>
                        <w:shd w:val="clear" w:color="auto" w:fill="auto"/>
                        <w:noWrap/>
                        <w:vAlign w:val="top"/>
                        <w:hideMark/>
                      </w:tcPr>
                      <w:p w14:paraId="3F6E5E17" w14:textId="77777777" w:rsidR="0058455B" w:rsidRPr="0058455B" w:rsidRDefault="0058455B" w:rsidP="0058455B">
                        <w:pPr>
                          <w:pStyle w:val="TableText"/>
                          <w:cnfStyle w:val="000000100000" w:firstRow="0" w:lastRow="0" w:firstColumn="0" w:lastColumn="0" w:oddVBand="0" w:evenVBand="0" w:oddHBand="1" w:evenHBand="0" w:firstRowFirstColumn="0" w:firstRowLastColumn="0" w:lastRowFirstColumn="0" w:lastRowLastColumn="0"/>
                          <w:rPr>
                            <w:color w:val="auto"/>
                          </w:rPr>
                        </w:pPr>
                        <w:r w:rsidRPr="0058455B">
                          <w:rPr>
                            <w:color w:val="auto"/>
                          </w:rPr>
                          <w:t>&lt;.001</w:t>
                        </w:r>
                      </w:p>
                    </w:tc>
                    <w:tc>
                      <w:tcPr>
                        <w:tcW w:w="0" w:type="dxa"/>
                        <w:shd w:val="clear" w:color="auto" w:fill="auto"/>
                        <w:noWrap/>
                        <w:vAlign w:val="top"/>
                        <w:hideMark/>
                      </w:tcPr>
                      <w:p w14:paraId="081C6097" w14:textId="7F0828A9" w:rsidR="0058455B" w:rsidRPr="0058455B" w:rsidRDefault="0058455B" w:rsidP="0058455B">
                        <w:pPr>
                          <w:pStyle w:val="TableText"/>
                          <w:cnfStyle w:val="000000100000" w:firstRow="0" w:lastRow="0" w:firstColumn="0" w:lastColumn="0" w:oddVBand="0" w:evenVBand="0" w:oddHBand="1" w:evenHBand="0" w:firstRowFirstColumn="0" w:firstRowLastColumn="0" w:lastRowFirstColumn="0" w:lastRowLastColumn="0"/>
                          <w:rPr>
                            <w:color w:val="auto"/>
                          </w:rPr>
                        </w:pPr>
                        <w:r w:rsidRPr="0058455B">
                          <w:rPr>
                            <w:color w:val="auto"/>
                          </w:rPr>
                          <w:t>66.4% (n=15,105)</w:t>
                        </w:r>
                      </w:p>
                    </w:tc>
                  </w:tr>
                  <w:tr w:rsidR="0058455B" w:rsidRPr="007A1075" w14:paraId="4040E2FA" w14:textId="77777777" w:rsidTr="00BC3586">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0" w:type="dxa"/>
                        <w:vMerge/>
                        <w:shd w:val="clear" w:color="auto" w:fill="auto"/>
                        <w:vAlign w:val="top"/>
                        <w:hideMark/>
                      </w:tcPr>
                      <w:p w14:paraId="2723EBD4" w14:textId="77777777" w:rsidR="0058455B" w:rsidRPr="0058455B" w:rsidRDefault="0058455B" w:rsidP="0058455B">
                        <w:pPr>
                          <w:pStyle w:val="TableText"/>
                          <w:rPr>
                            <w:color w:val="auto"/>
                          </w:rPr>
                        </w:pPr>
                      </w:p>
                    </w:tc>
                    <w:tc>
                      <w:tcPr>
                        <w:tcW w:w="0" w:type="dxa"/>
                        <w:vMerge/>
                        <w:shd w:val="clear" w:color="auto" w:fill="auto"/>
                        <w:vAlign w:val="top"/>
                        <w:hideMark/>
                      </w:tcPr>
                      <w:p w14:paraId="281AE6EE" w14:textId="77777777" w:rsidR="0058455B" w:rsidRPr="0058455B" w:rsidRDefault="0058455B" w:rsidP="0058455B">
                        <w:pPr>
                          <w:pStyle w:val="TableText"/>
                          <w:cnfStyle w:val="000000010000" w:firstRow="0" w:lastRow="0" w:firstColumn="0" w:lastColumn="0" w:oddVBand="0" w:evenVBand="0" w:oddHBand="0" w:evenHBand="1" w:firstRowFirstColumn="0" w:firstRowLastColumn="0" w:lastRowFirstColumn="0" w:lastRowLastColumn="0"/>
                          <w:rPr>
                            <w:color w:val="auto"/>
                          </w:rPr>
                        </w:pPr>
                      </w:p>
                    </w:tc>
                    <w:tc>
                      <w:tcPr>
                        <w:tcW w:w="0" w:type="dxa"/>
                        <w:shd w:val="clear" w:color="auto" w:fill="auto"/>
                        <w:noWrap/>
                        <w:vAlign w:val="top"/>
                        <w:hideMark/>
                      </w:tcPr>
                      <w:p w14:paraId="2B19F3CE" w14:textId="77777777" w:rsidR="0058455B" w:rsidRPr="0058455B" w:rsidRDefault="0058455B" w:rsidP="0058455B">
                        <w:pPr>
                          <w:pStyle w:val="TableText"/>
                          <w:cnfStyle w:val="000000010000" w:firstRow="0" w:lastRow="0" w:firstColumn="0" w:lastColumn="0" w:oddVBand="0" w:evenVBand="0" w:oddHBand="0" w:evenHBand="1" w:firstRowFirstColumn="0" w:firstRowLastColumn="0" w:lastRowFirstColumn="0" w:lastRowLastColumn="0"/>
                          <w:rPr>
                            <w:color w:val="auto"/>
                          </w:rPr>
                        </w:pPr>
                        <w:r w:rsidRPr="0058455B">
                          <w:rPr>
                            <w:color w:val="auto"/>
                          </w:rPr>
                          <w:t>Changed knowledge and access to information</w:t>
                        </w:r>
                      </w:p>
                    </w:tc>
                    <w:tc>
                      <w:tcPr>
                        <w:tcW w:w="0" w:type="dxa"/>
                        <w:shd w:val="clear" w:color="auto" w:fill="auto"/>
                        <w:noWrap/>
                        <w:vAlign w:val="top"/>
                        <w:hideMark/>
                      </w:tcPr>
                      <w:p w14:paraId="1DAAFA48" w14:textId="77777777" w:rsidR="0058455B" w:rsidRPr="0058455B" w:rsidRDefault="0058455B" w:rsidP="0058455B">
                        <w:pPr>
                          <w:pStyle w:val="TableText"/>
                          <w:cnfStyle w:val="000000010000" w:firstRow="0" w:lastRow="0" w:firstColumn="0" w:lastColumn="0" w:oddVBand="0" w:evenVBand="0" w:oddHBand="0" w:evenHBand="1" w:firstRowFirstColumn="0" w:firstRowLastColumn="0" w:lastRowFirstColumn="0" w:lastRowLastColumn="0"/>
                          <w:rPr>
                            <w:color w:val="auto"/>
                          </w:rPr>
                        </w:pPr>
                        <w:r w:rsidRPr="0058455B">
                          <w:rPr>
                            <w:color w:val="auto"/>
                          </w:rPr>
                          <w:t>1.15</w:t>
                        </w:r>
                      </w:p>
                    </w:tc>
                    <w:tc>
                      <w:tcPr>
                        <w:tcW w:w="0" w:type="dxa"/>
                        <w:shd w:val="clear" w:color="auto" w:fill="auto"/>
                        <w:noWrap/>
                        <w:vAlign w:val="top"/>
                        <w:hideMark/>
                      </w:tcPr>
                      <w:p w14:paraId="43506AD5" w14:textId="77777777" w:rsidR="0058455B" w:rsidRPr="0058455B" w:rsidRDefault="0058455B" w:rsidP="0058455B">
                        <w:pPr>
                          <w:pStyle w:val="TableText"/>
                          <w:cnfStyle w:val="000000010000" w:firstRow="0" w:lastRow="0" w:firstColumn="0" w:lastColumn="0" w:oddVBand="0" w:evenVBand="0" w:oddHBand="0" w:evenHBand="1" w:firstRowFirstColumn="0" w:firstRowLastColumn="0" w:lastRowFirstColumn="0" w:lastRowLastColumn="0"/>
                          <w:rPr>
                            <w:color w:val="auto"/>
                          </w:rPr>
                        </w:pPr>
                        <w:r w:rsidRPr="0058455B">
                          <w:rPr>
                            <w:color w:val="auto"/>
                          </w:rPr>
                          <w:t>82701853</w:t>
                        </w:r>
                      </w:p>
                    </w:tc>
                    <w:tc>
                      <w:tcPr>
                        <w:tcW w:w="0" w:type="dxa"/>
                        <w:shd w:val="clear" w:color="auto" w:fill="auto"/>
                        <w:noWrap/>
                        <w:vAlign w:val="top"/>
                        <w:hideMark/>
                      </w:tcPr>
                      <w:p w14:paraId="7F1F3C93" w14:textId="444C8F41" w:rsidR="0058455B" w:rsidRPr="0058455B" w:rsidRDefault="0058455B" w:rsidP="0058455B">
                        <w:pPr>
                          <w:pStyle w:val="TableText"/>
                          <w:cnfStyle w:val="000000010000" w:firstRow="0" w:lastRow="0" w:firstColumn="0" w:lastColumn="0" w:oddVBand="0" w:evenVBand="0" w:oddHBand="0" w:evenHBand="1" w:firstRowFirstColumn="0" w:firstRowLastColumn="0" w:lastRowFirstColumn="0" w:lastRowLastColumn="0"/>
                          <w:rPr>
                            <w:color w:val="auto"/>
                          </w:rPr>
                        </w:pPr>
                        <w:r w:rsidRPr="0058455B">
                          <w:rPr>
                            <w:color w:val="auto"/>
                          </w:rPr>
                          <w:t>50</w:t>
                        </w:r>
                        <w:r>
                          <w:rPr>
                            <w:color w:val="auto"/>
                          </w:rPr>
                          <w:t>,</w:t>
                        </w:r>
                        <w:r w:rsidRPr="0058455B">
                          <w:rPr>
                            <w:color w:val="auto"/>
                          </w:rPr>
                          <w:t>037</w:t>
                        </w:r>
                      </w:p>
                    </w:tc>
                    <w:tc>
                      <w:tcPr>
                        <w:tcW w:w="0" w:type="dxa"/>
                        <w:shd w:val="clear" w:color="auto" w:fill="auto"/>
                        <w:noWrap/>
                        <w:vAlign w:val="top"/>
                        <w:hideMark/>
                      </w:tcPr>
                      <w:p w14:paraId="6C63D361" w14:textId="77777777" w:rsidR="0058455B" w:rsidRPr="0058455B" w:rsidRDefault="0058455B" w:rsidP="0058455B">
                        <w:pPr>
                          <w:pStyle w:val="TableText"/>
                          <w:cnfStyle w:val="000000010000" w:firstRow="0" w:lastRow="0" w:firstColumn="0" w:lastColumn="0" w:oddVBand="0" w:evenVBand="0" w:oddHBand="0" w:evenHBand="1" w:firstRowFirstColumn="0" w:firstRowLastColumn="0" w:lastRowFirstColumn="0" w:lastRowLastColumn="0"/>
                          <w:rPr>
                            <w:color w:val="auto"/>
                          </w:rPr>
                        </w:pPr>
                        <w:r w:rsidRPr="0058455B">
                          <w:rPr>
                            <w:color w:val="auto"/>
                          </w:rPr>
                          <w:t>&lt;.001</w:t>
                        </w:r>
                      </w:p>
                    </w:tc>
                    <w:tc>
                      <w:tcPr>
                        <w:tcW w:w="0" w:type="dxa"/>
                        <w:shd w:val="clear" w:color="auto" w:fill="auto"/>
                        <w:noWrap/>
                        <w:vAlign w:val="top"/>
                        <w:hideMark/>
                      </w:tcPr>
                      <w:p w14:paraId="4CB1135E" w14:textId="5E369794" w:rsidR="0058455B" w:rsidRPr="0058455B" w:rsidRDefault="0058455B" w:rsidP="0058455B">
                        <w:pPr>
                          <w:pStyle w:val="TableText"/>
                          <w:cnfStyle w:val="000000010000" w:firstRow="0" w:lastRow="0" w:firstColumn="0" w:lastColumn="0" w:oddVBand="0" w:evenVBand="0" w:oddHBand="0" w:evenHBand="1" w:firstRowFirstColumn="0" w:firstRowLastColumn="0" w:lastRowFirstColumn="0" w:lastRowLastColumn="0"/>
                          <w:rPr>
                            <w:color w:val="auto"/>
                          </w:rPr>
                        </w:pPr>
                        <w:r w:rsidRPr="0058455B">
                          <w:rPr>
                            <w:color w:val="auto"/>
                          </w:rPr>
                          <w:t>66.2% (n=33,137)</w:t>
                        </w:r>
                      </w:p>
                    </w:tc>
                  </w:tr>
                  <w:tr w:rsidR="0058455B" w:rsidRPr="007A1075" w14:paraId="466C5247" w14:textId="77777777" w:rsidTr="00BC358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0" w:type="dxa"/>
                        <w:vMerge/>
                        <w:shd w:val="clear" w:color="auto" w:fill="auto"/>
                        <w:vAlign w:val="top"/>
                        <w:hideMark/>
                      </w:tcPr>
                      <w:p w14:paraId="145064E5" w14:textId="77777777" w:rsidR="0058455B" w:rsidRPr="0058455B" w:rsidRDefault="0058455B" w:rsidP="0058455B">
                        <w:pPr>
                          <w:pStyle w:val="TableText"/>
                          <w:rPr>
                            <w:color w:val="auto"/>
                          </w:rPr>
                        </w:pPr>
                      </w:p>
                    </w:tc>
                    <w:tc>
                      <w:tcPr>
                        <w:tcW w:w="0" w:type="dxa"/>
                        <w:vMerge/>
                        <w:shd w:val="clear" w:color="auto" w:fill="auto"/>
                        <w:vAlign w:val="top"/>
                        <w:hideMark/>
                      </w:tcPr>
                      <w:p w14:paraId="6B3B5106" w14:textId="77777777" w:rsidR="0058455B" w:rsidRPr="0058455B" w:rsidRDefault="0058455B" w:rsidP="0058455B">
                        <w:pPr>
                          <w:pStyle w:val="TableText"/>
                          <w:cnfStyle w:val="000000100000" w:firstRow="0" w:lastRow="0" w:firstColumn="0" w:lastColumn="0" w:oddVBand="0" w:evenVBand="0" w:oddHBand="1" w:evenHBand="0" w:firstRowFirstColumn="0" w:firstRowLastColumn="0" w:lastRowFirstColumn="0" w:lastRowLastColumn="0"/>
                          <w:rPr>
                            <w:color w:val="auto"/>
                          </w:rPr>
                        </w:pPr>
                      </w:p>
                    </w:tc>
                    <w:tc>
                      <w:tcPr>
                        <w:tcW w:w="0" w:type="dxa"/>
                        <w:shd w:val="clear" w:color="auto" w:fill="auto"/>
                        <w:noWrap/>
                        <w:vAlign w:val="top"/>
                        <w:hideMark/>
                      </w:tcPr>
                      <w:p w14:paraId="5DA036FC" w14:textId="77777777" w:rsidR="0058455B" w:rsidRPr="0058455B" w:rsidRDefault="0058455B" w:rsidP="0058455B">
                        <w:pPr>
                          <w:pStyle w:val="TableText"/>
                          <w:cnfStyle w:val="000000100000" w:firstRow="0" w:lastRow="0" w:firstColumn="0" w:lastColumn="0" w:oddVBand="0" w:evenVBand="0" w:oddHBand="1" w:evenHBand="0" w:firstRowFirstColumn="0" w:firstRowLastColumn="0" w:lastRowFirstColumn="0" w:lastRowLastColumn="0"/>
                          <w:rPr>
                            <w:color w:val="auto"/>
                          </w:rPr>
                        </w:pPr>
                        <w:r w:rsidRPr="0058455B">
                          <w:rPr>
                            <w:color w:val="auto"/>
                          </w:rPr>
                          <w:t>Changed skills</w:t>
                        </w:r>
                      </w:p>
                    </w:tc>
                    <w:tc>
                      <w:tcPr>
                        <w:tcW w:w="0" w:type="dxa"/>
                        <w:shd w:val="clear" w:color="auto" w:fill="auto"/>
                        <w:noWrap/>
                        <w:vAlign w:val="top"/>
                        <w:hideMark/>
                      </w:tcPr>
                      <w:p w14:paraId="666A3949" w14:textId="77777777" w:rsidR="0058455B" w:rsidRPr="0058455B" w:rsidRDefault="0058455B" w:rsidP="0058455B">
                        <w:pPr>
                          <w:pStyle w:val="TableText"/>
                          <w:cnfStyle w:val="000000100000" w:firstRow="0" w:lastRow="0" w:firstColumn="0" w:lastColumn="0" w:oddVBand="0" w:evenVBand="0" w:oddHBand="1" w:evenHBand="0" w:firstRowFirstColumn="0" w:firstRowLastColumn="0" w:lastRowFirstColumn="0" w:lastRowLastColumn="0"/>
                          <w:rPr>
                            <w:color w:val="auto"/>
                          </w:rPr>
                        </w:pPr>
                        <w:r w:rsidRPr="0058455B">
                          <w:rPr>
                            <w:color w:val="auto"/>
                          </w:rPr>
                          <w:t>1.03</w:t>
                        </w:r>
                      </w:p>
                    </w:tc>
                    <w:tc>
                      <w:tcPr>
                        <w:tcW w:w="0" w:type="dxa"/>
                        <w:shd w:val="clear" w:color="auto" w:fill="auto"/>
                        <w:noWrap/>
                        <w:vAlign w:val="top"/>
                        <w:hideMark/>
                      </w:tcPr>
                      <w:p w14:paraId="14249A43" w14:textId="77777777" w:rsidR="0058455B" w:rsidRPr="0058455B" w:rsidRDefault="0058455B" w:rsidP="0058455B">
                        <w:pPr>
                          <w:pStyle w:val="TableText"/>
                          <w:cnfStyle w:val="000000100000" w:firstRow="0" w:lastRow="0" w:firstColumn="0" w:lastColumn="0" w:oddVBand="0" w:evenVBand="0" w:oddHBand="1" w:evenHBand="0" w:firstRowFirstColumn="0" w:firstRowLastColumn="0" w:lastRowFirstColumn="0" w:lastRowLastColumn="0"/>
                          <w:rPr>
                            <w:color w:val="auto"/>
                          </w:rPr>
                        </w:pPr>
                        <w:r w:rsidRPr="0058455B">
                          <w:rPr>
                            <w:color w:val="auto"/>
                          </w:rPr>
                          <w:t>97075543.5</w:t>
                        </w:r>
                      </w:p>
                    </w:tc>
                    <w:tc>
                      <w:tcPr>
                        <w:tcW w:w="0" w:type="dxa"/>
                        <w:shd w:val="clear" w:color="auto" w:fill="auto"/>
                        <w:noWrap/>
                        <w:vAlign w:val="top"/>
                        <w:hideMark/>
                      </w:tcPr>
                      <w:p w14:paraId="5B3EAFAA" w14:textId="449C5565" w:rsidR="0058455B" w:rsidRPr="0058455B" w:rsidRDefault="0058455B" w:rsidP="0058455B">
                        <w:pPr>
                          <w:pStyle w:val="TableText"/>
                          <w:cnfStyle w:val="000000100000" w:firstRow="0" w:lastRow="0" w:firstColumn="0" w:lastColumn="0" w:oddVBand="0" w:evenVBand="0" w:oddHBand="1" w:evenHBand="0" w:firstRowFirstColumn="0" w:firstRowLastColumn="0" w:lastRowFirstColumn="0" w:lastRowLastColumn="0"/>
                          <w:rPr>
                            <w:color w:val="auto"/>
                          </w:rPr>
                        </w:pPr>
                        <w:r w:rsidRPr="0058455B">
                          <w:rPr>
                            <w:color w:val="auto"/>
                          </w:rPr>
                          <w:t>53</w:t>
                        </w:r>
                        <w:r>
                          <w:rPr>
                            <w:color w:val="auto"/>
                          </w:rPr>
                          <w:t>,</w:t>
                        </w:r>
                        <w:r w:rsidRPr="0058455B">
                          <w:rPr>
                            <w:color w:val="auto"/>
                          </w:rPr>
                          <w:t>207</w:t>
                        </w:r>
                      </w:p>
                    </w:tc>
                    <w:tc>
                      <w:tcPr>
                        <w:tcW w:w="0" w:type="dxa"/>
                        <w:shd w:val="clear" w:color="auto" w:fill="auto"/>
                        <w:noWrap/>
                        <w:vAlign w:val="top"/>
                        <w:hideMark/>
                      </w:tcPr>
                      <w:p w14:paraId="0EE5F6DC" w14:textId="77777777" w:rsidR="0058455B" w:rsidRPr="0058455B" w:rsidRDefault="0058455B" w:rsidP="0058455B">
                        <w:pPr>
                          <w:pStyle w:val="TableText"/>
                          <w:cnfStyle w:val="000000100000" w:firstRow="0" w:lastRow="0" w:firstColumn="0" w:lastColumn="0" w:oddVBand="0" w:evenVBand="0" w:oddHBand="1" w:evenHBand="0" w:firstRowFirstColumn="0" w:firstRowLastColumn="0" w:lastRowFirstColumn="0" w:lastRowLastColumn="0"/>
                          <w:rPr>
                            <w:color w:val="auto"/>
                          </w:rPr>
                        </w:pPr>
                        <w:r w:rsidRPr="0058455B">
                          <w:rPr>
                            <w:color w:val="auto"/>
                          </w:rPr>
                          <w:t>&lt;.001</w:t>
                        </w:r>
                      </w:p>
                    </w:tc>
                    <w:tc>
                      <w:tcPr>
                        <w:tcW w:w="0" w:type="dxa"/>
                        <w:shd w:val="clear" w:color="auto" w:fill="auto"/>
                        <w:noWrap/>
                        <w:vAlign w:val="top"/>
                        <w:hideMark/>
                      </w:tcPr>
                      <w:p w14:paraId="273C1131" w14:textId="5311AC72" w:rsidR="0058455B" w:rsidRPr="0058455B" w:rsidRDefault="0058455B" w:rsidP="0058455B">
                        <w:pPr>
                          <w:pStyle w:val="TableText"/>
                          <w:cnfStyle w:val="000000100000" w:firstRow="0" w:lastRow="0" w:firstColumn="0" w:lastColumn="0" w:oddVBand="0" w:evenVBand="0" w:oddHBand="1" w:evenHBand="0" w:firstRowFirstColumn="0" w:firstRowLastColumn="0" w:lastRowFirstColumn="0" w:lastRowLastColumn="0"/>
                          <w:rPr>
                            <w:color w:val="auto"/>
                          </w:rPr>
                        </w:pPr>
                        <w:r w:rsidRPr="0058455B">
                          <w:rPr>
                            <w:color w:val="auto"/>
                          </w:rPr>
                          <w:t>63.9% (n=33,985)</w:t>
                        </w:r>
                      </w:p>
                    </w:tc>
                  </w:tr>
                  <w:tr w:rsidR="0058455B" w:rsidRPr="007A1075" w14:paraId="5B6F8924" w14:textId="77777777" w:rsidTr="00BC3586">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0" w:type="dxa"/>
                        <w:vMerge/>
                        <w:shd w:val="clear" w:color="auto" w:fill="auto"/>
                        <w:vAlign w:val="top"/>
                        <w:hideMark/>
                      </w:tcPr>
                      <w:p w14:paraId="449D4097" w14:textId="77777777" w:rsidR="0058455B" w:rsidRPr="0058455B" w:rsidRDefault="0058455B" w:rsidP="0058455B">
                        <w:pPr>
                          <w:pStyle w:val="TableText"/>
                          <w:rPr>
                            <w:color w:val="auto"/>
                          </w:rPr>
                        </w:pPr>
                      </w:p>
                    </w:tc>
                    <w:tc>
                      <w:tcPr>
                        <w:tcW w:w="0" w:type="dxa"/>
                        <w:vMerge/>
                        <w:shd w:val="clear" w:color="auto" w:fill="auto"/>
                        <w:vAlign w:val="top"/>
                        <w:hideMark/>
                      </w:tcPr>
                      <w:p w14:paraId="5FC3AFAE" w14:textId="77777777" w:rsidR="0058455B" w:rsidRPr="0058455B" w:rsidRDefault="0058455B" w:rsidP="0058455B">
                        <w:pPr>
                          <w:pStyle w:val="TableText"/>
                          <w:cnfStyle w:val="000000010000" w:firstRow="0" w:lastRow="0" w:firstColumn="0" w:lastColumn="0" w:oddVBand="0" w:evenVBand="0" w:oddHBand="0" w:evenHBand="1" w:firstRowFirstColumn="0" w:firstRowLastColumn="0" w:lastRowFirstColumn="0" w:lastRowLastColumn="0"/>
                          <w:rPr>
                            <w:color w:val="auto"/>
                          </w:rPr>
                        </w:pPr>
                      </w:p>
                    </w:tc>
                    <w:tc>
                      <w:tcPr>
                        <w:tcW w:w="0" w:type="dxa"/>
                        <w:shd w:val="clear" w:color="auto" w:fill="auto"/>
                        <w:noWrap/>
                        <w:vAlign w:val="top"/>
                        <w:hideMark/>
                      </w:tcPr>
                      <w:p w14:paraId="71378358" w14:textId="77777777" w:rsidR="0058455B" w:rsidRPr="0058455B" w:rsidRDefault="0058455B" w:rsidP="0058455B">
                        <w:pPr>
                          <w:pStyle w:val="TableText"/>
                          <w:cnfStyle w:val="000000010000" w:firstRow="0" w:lastRow="0" w:firstColumn="0" w:lastColumn="0" w:oddVBand="0" w:evenVBand="0" w:oddHBand="0" w:evenHBand="1" w:firstRowFirstColumn="0" w:firstRowLastColumn="0" w:lastRowFirstColumn="0" w:lastRowLastColumn="0"/>
                          <w:rPr>
                            <w:color w:val="auto"/>
                            <w:lang w:val="en-NZ"/>
                          </w:rPr>
                        </w:pPr>
                        <w:r w:rsidRPr="57F92EFB">
                          <w:rPr>
                            <w:color w:val="auto"/>
                            <w:lang w:val="en-NZ"/>
                          </w:rPr>
                          <w:t>Empowerment, choice and control to make own decisions</w:t>
                        </w:r>
                      </w:p>
                    </w:tc>
                    <w:tc>
                      <w:tcPr>
                        <w:tcW w:w="0" w:type="dxa"/>
                        <w:shd w:val="clear" w:color="auto" w:fill="auto"/>
                        <w:noWrap/>
                        <w:vAlign w:val="top"/>
                        <w:hideMark/>
                      </w:tcPr>
                      <w:p w14:paraId="79B6BEB3" w14:textId="77777777" w:rsidR="0058455B" w:rsidRPr="0058455B" w:rsidRDefault="0058455B" w:rsidP="0058455B">
                        <w:pPr>
                          <w:pStyle w:val="TableText"/>
                          <w:cnfStyle w:val="000000010000" w:firstRow="0" w:lastRow="0" w:firstColumn="0" w:lastColumn="0" w:oddVBand="0" w:evenVBand="0" w:oddHBand="0" w:evenHBand="1" w:firstRowFirstColumn="0" w:firstRowLastColumn="0" w:lastRowFirstColumn="0" w:lastRowLastColumn="0"/>
                          <w:rPr>
                            <w:color w:val="auto"/>
                          </w:rPr>
                        </w:pPr>
                        <w:r w:rsidRPr="0058455B">
                          <w:rPr>
                            <w:color w:val="auto"/>
                          </w:rPr>
                          <w:t>0.96</w:t>
                        </w:r>
                      </w:p>
                    </w:tc>
                    <w:tc>
                      <w:tcPr>
                        <w:tcW w:w="0" w:type="dxa"/>
                        <w:shd w:val="clear" w:color="auto" w:fill="auto"/>
                        <w:noWrap/>
                        <w:vAlign w:val="top"/>
                        <w:hideMark/>
                      </w:tcPr>
                      <w:p w14:paraId="72BEE36B" w14:textId="77777777" w:rsidR="0058455B" w:rsidRPr="0058455B" w:rsidRDefault="0058455B" w:rsidP="0058455B">
                        <w:pPr>
                          <w:pStyle w:val="TableText"/>
                          <w:cnfStyle w:val="000000010000" w:firstRow="0" w:lastRow="0" w:firstColumn="0" w:lastColumn="0" w:oddVBand="0" w:evenVBand="0" w:oddHBand="0" w:evenHBand="1" w:firstRowFirstColumn="0" w:firstRowLastColumn="0" w:lastRowFirstColumn="0" w:lastRowLastColumn="0"/>
                          <w:rPr>
                            <w:color w:val="auto"/>
                          </w:rPr>
                        </w:pPr>
                        <w:r w:rsidRPr="0058455B">
                          <w:rPr>
                            <w:color w:val="auto"/>
                          </w:rPr>
                          <w:t>68534107.5</w:t>
                        </w:r>
                      </w:p>
                    </w:tc>
                    <w:tc>
                      <w:tcPr>
                        <w:tcW w:w="0" w:type="dxa"/>
                        <w:shd w:val="clear" w:color="auto" w:fill="auto"/>
                        <w:noWrap/>
                        <w:vAlign w:val="top"/>
                        <w:hideMark/>
                      </w:tcPr>
                      <w:p w14:paraId="20276C98" w14:textId="7C56661F" w:rsidR="0058455B" w:rsidRPr="0058455B" w:rsidRDefault="0058455B" w:rsidP="0058455B">
                        <w:pPr>
                          <w:pStyle w:val="TableText"/>
                          <w:cnfStyle w:val="000000010000" w:firstRow="0" w:lastRow="0" w:firstColumn="0" w:lastColumn="0" w:oddVBand="0" w:evenVBand="0" w:oddHBand="0" w:evenHBand="1" w:firstRowFirstColumn="0" w:firstRowLastColumn="0" w:lastRowFirstColumn="0" w:lastRowLastColumn="0"/>
                          <w:rPr>
                            <w:color w:val="auto"/>
                          </w:rPr>
                        </w:pPr>
                        <w:r w:rsidRPr="0058455B">
                          <w:rPr>
                            <w:color w:val="auto"/>
                          </w:rPr>
                          <w:t>40</w:t>
                        </w:r>
                        <w:r>
                          <w:rPr>
                            <w:color w:val="auto"/>
                          </w:rPr>
                          <w:t>,</w:t>
                        </w:r>
                        <w:r w:rsidRPr="0058455B">
                          <w:rPr>
                            <w:color w:val="auto"/>
                          </w:rPr>
                          <w:t>682</w:t>
                        </w:r>
                      </w:p>
                    </w:tc>
                    <w:tc>
                      <w:tcPr>
                        <w:tcW w:w="0" w:type="dxa"/>
                        <w:shd w:val="clear" w:color="auto" w:fill="auto"/>
                        <w:noWrap/>
                        <w:vAlign w:val="top"/>
                        <w:hideMark/>
                      </w:tcPr>
                      <w:p w14:paraId="237DCC47" w14:textId="77777777" w:rsidR="0058455B" w:rsidRPr="0058455B" w:rsidRDefault="0058455B" w:rsidP="0058455B">
                        <w:pPr>
                          <w:pStyle w:val="TableText"/>
                          <w:cnfStyle w:val="000000010000" w:firstRow="0" w:lastRow="0" w:firstColumn="0" w:lastColumn="0" w:oddVBand="0" w:evenVBand="0" w:oddHBand="0" w:evenHBand="1" w:firstRowFirstColumn="0" w:firstRowLastColumn="0" w:lastRowFirstColumn="0" w:lastRowLastColumn="0"/>
                          <w:rPr>
                            <w:color w:val="auto"/>
                          </w:rPr>
                        </w:pPr>
                        <w:r w:rsidRPr="0058455B">
                          <w:rPr>
                            <w:color w:val="auto"/>
                          </w:rPr>
                          <w:t>&lt;.001</w:t>
                        </w:r>
                      </w:p>
                    </w:tc>
                    <w:tc>
                      <w:tcPr>
                        <w:tcW w:w="0" w:type="dxa"/>
                        <w:shd w:val="clear" w:color="auto" w:fill="auto"/>
                        <w:noWrap/>
                        <w:vAlign w:val="top"/>
                        <w:hideMark/>
                      </w:tcPr>
                      <w:p w14:paraId="2C127717" w14:textId="691917DF" w:rsidR="0058455B" w:rsidRPr="0058455B" w:rsidRDefault="0058455B" w:rsidP="0058455B">
                        <w:pPr>
                          <w:pStyle w:val="TableText"/>
                          <w:cnfStyle w:val="000000010000" w:firstRow="0" w:lastRow="0" w:firstColumn="0" w:lastColumn="0" w:oddVBand="0" w:evenVBand="0" w:oddHBand="0" w:evenHBand="1" w:firstRowFirstColumn="0" w:firstRowLastColumn="0" w:lastRowFirstColumn="0" w:lastRowLastColumn="0"/>
                          <w:rPr>
                            <w:color w:val="auto"/>
                          </w:rPr>
                        </w:pPr>
                        <w:r w:rsidRPr="0058455B">
                          <w:rPr>
                            <w:color w:val="auto"/>
                          </w:rPr>
                          <w:t>61.0% (n=24,818)</w:t>
                        </w:r>
                      </w:p>
                    </w:tc>
                  </w:tr>
                  <w:tr w:rsidR="0058455B" w:rsidRPr="007A1075" w14:paraId="61C95C00" w14:textId="77777777" w:rsidTr="00BC358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0" w:type="dxa"/>
                        <w:vMerge/>
                        <w:shd w:val="clear" w:color="auto" w:fill="auto"/>
                        <w:vAlign w:val="top"/>
                        <w:hideMark/>
                      </w:tcPr>
                      <w:p w14:paraId="60ED1779" w14:textId="77777777" w:rsidR="0058455B" w:rsidRPr="0058455B" w:rsidRDefault="0058455B" w:rsidP="0058455B">
                        <w:pPr>
                          <w:pStyle w:val="TableText"/>
                          <w:rPr>
                            <w:color w:val="auto"/>
                          </w:rPr>
                        </w:pPr>
                      </w:p>
                    </w:tc>
                    <w:tc>
                      <w:tcPr>
                        <w:tcW w:w="0" w:type="dxa"/>
                        <w:vMerge/>
                        <w:shd w:val="clear" w:color="auto" w:fill="auto"/>
                        <w:vAlign w:val="top"/>
                        <w:hideMark/>
                      </w:tcPr>
                      <w:p w14:paraId="02AA5E4B" w14:textId="77777777" w:rsidR="0058455B" w:rsidRPr="0058455B" w:rsidRDefault="0058455B" w:rsidP="0058455B">
                        <w:pPr>
                          <w:pStyle w:val="TableText"/>
                          <w:cnfStyle w:val="000000100000" w:firstRow="0" w:lastRow="0" w:firstColumn="0" w:lastColumn="0" w:oddVBand="0" w:evenVBand="0" w:oddHBand="1" w:evenHBand="0" w:firstRowFirstColumn="0" w:firstRowLastColumn="0" w:lastRowFirstColumn="0" w:lastRowLastColumn="0"/>
                          <w:rPr>
                            <w:color w:val="auto"/>
                          </w:rPr>
                        </w:pPr>
                      </w:p>
                    </w:tc>
                    <w:tc>
                      <w:tcPr>
                        <w:tcW w:w="0" w:type="dxa"/>
                        <w:shd w:val="clear" w:color="auto" w:fill="auto"/>
                        <w:noWrap/>
                        <w:vAlign w:val="top"/>
                        <w:hideMark/>
                      </w:tcPr>
                      <w:p w14:paraId="5CF014D9" w14:textId="77777777" w:rsidR="0058455B" w:rsidRPr="0058455B" w:rsidRDefault="0058455B" w:rsidP="0058455B">
                        <w:pPr>
                          <w:pStyle w:val="TableText"/>
                          <w:cnfStyle w:val="000000100000" w:firstRow="0" w:lastRow="0" w:firstColumn="0" w:lastColumn="0" w:oddVBand="0" w:evenVBand="0" w:oddHBand="1" w:evenHBand="0" w:firstRowFirstColumn="0" w:firstRowLastColumn="0" w:lastRowFirstColumn="0" w:lastRowLastColumn="0"/>
                          <w:rPr>
                            <w:color w:val="auto"/>
                          </w:rPr>
                        </w:pPr>
                        <w:r w:rsidRPr="0058455B">
                          <w:rPr>
                            <w:color w:val="auto"/>
                          </w:rPr>
                          <w:t>Engagement with relevant support services</w:t>
                        </w:r>
                      </w:p>
                    </w:tc>
                    <w:tc>
                      <w:tcPr>
                        <w:tcW w:w="0" w:type="dxa"/>
                        <w:shd w:val="clear" w:color="auto" w:fill="auto"/>
                        <w:noWrap/>
                        <w:vAlign w:val="top"/>
                        <w:hideMark/>
                      </w:tcPr>
                      <w:p w14:paraId="015CAC1E" w14:textId="77777777" w:rsidR="0058455B" w:rsidRPr="0058455B" w:rsidRDefault="0058455B" w:rsidP="0058455B">
                        <w:pPr>
                          <w:pStyle w:val="TableText"/>
                          <w:cnfStyle w:val="000000100000" w:firstRow="0" w:lastRow="0" w:firstColumn="0" w:lastColumn="0" w:oddVBand="0" w:evenVBand="0" w:oddHBand="1" w:evenHBand="0" w:firstRowFirstColumn="0" w:firstRowLastColumn="0" w:lastRowFirstColumn="0" w:lastRowLastColumn="0"/>
                          <w:rPr>
                            <w:color w:val="auto"/>
                          </w:rPr>
                        </w:pPr>
                        <w:r w:rsidRPr="0058455B">
                          <w:rPr>
                            <w:color w:val="auto"/>
                          </w:rPr>
                          <w:t>0.94</w:t>
                        </w:r>
                      </w:p>
                    </w:tc>
                    <w:tc>
                      <w:tcPr>
                        <w:tcW w:w="0" w:type="dxa"/>
                        <w:shd w:val="clear" w:color="auto" w:fill="auto"/>
                        <w:noWrap/>
                        <w:vAlign w:val="top"/>
                        <w:hideMark/>
                      </w:tcPr>
                      <w:p w14:paraId="5B43B8DD" w14:textId="77777777" w:rsidR="0058455B" w:rsidRPr="0058455B" w:rsidRDefault="0058455B" w:rsidP="0058455B">
                        <w:pPr>
                          <w:pStyle w:val="TableText"/>
                          <w:cnfStyle w:val="000000100000" w:firstRow="0" w:lastRow="0" w:firstColumn="0" w:lastColumn="0" w:oddVBand="0" w:evenVBand="0" w:oddHBand="1" w:evenHBand="0" w:firstRowFirstColumn="0" w:firstRowLastColumn="0" w:lastRowFirstColumn="0" w:lastRowLastColumn="0"/>
                          <w:rPr>
                            <w:color w:val="auto"/>
                          </w:rPr>
                        </w:pPr>
                        <w:r w:rsidRPr="0058455B">
                          <w:rPr>
                            <w:color w:val="auto"/>
                          </w:rPr>
                          <w:t>38408386.5</w:t>
                        </w:r>
                      </w:p>
                    </w:tc>
                    <w:tc>
                      <w:tcPr>
                        <w:tcW w:w="0" w:type="dxa"/>
                        <w:shd w:val="clear" w:color="auto" w:fill="auto"/>
                        <w:noWrap/>
                        <w:vAlign w:val="top"/>
                        <w:hideMark/>
                      </w:tcPr>
                      <w:p w14:paraId="5017D871" w14:textId="0DE39B1E" w:rsidR="0058455B" w:rsidRPr="0058455B" w:rsidRDefault="0058455B" w:rsidP="0058455B">
                        <w:pPr>
                          <w:pStyle w:val="TableText"/>
                          <w:cnfStyle w:val="000000100000" w:firstRow="0" w:lastRow="0" w:firstColumn="0" w:lastColumn="0" w:oddVBand="0" w:evenVBand="0" w:oddHBand="1" w:evenHBand="0" w:firstRowFirstColumn="0" w:firstRowLastColumn="0" w:lastRowFirstColumn="0" w:lastRowLastColumn="0"/>
                          <w:rPr>
                            <w:color w:val="auto"/>
                          </w:rPr>
                        </w:pPr>
                        <w:r w:rsidRPr="0058455B">
                          <w:rPr>
                            <w:color w:val="auto"/>
                          </w:rPr>
                          <w:t>28</w:t>
                        </w:r>
                        <w:r>
                          <w:rPr>
                            <w:color w:val="auto"/>
                          </w:rPr>
                          <w:t>,</w:t>
                        </w:r>
                        <w:r w:rsidRPr="0058455B">
                          <w:rPr>
                            <w:color w:val="auto"/>
                          </w:rPr>
                          <w:t>319</w:t>
                        </w:r>
                      </w:p>
                    </w:tc>
                    <w:tc>
                      <w:tcPr>
                        <w:tcW w:w="0" w:type="dxa"/>
                        <w:shd w:val="clear" w:color="auto" w:fill="auto"/>
                        <w:noWrap/>
                        <w:vAlign w:val="top"/>
                        <w:hideMark/>
                      </w:tcPr>
                      <w:p w14:paraId="3DD74A68" w14:textId="77777777" w:rsidR="0058455B" w:rsidRPr="0058455B" w:rsidRDefault="0058455B" w:rsidP="0058455B">
                        <w:pPr>
                          <w:pStyle w:val="TableText"/>
                          <w:cnfStyle w:val="000000100000" w:firstRow="0" w:lastRow="0" w:firstColumn="0" w:lastColumn="0" w:oddVBand="0" w:evenVBand="0" w:oddHBand="1" w:evenHBand="0" w:firstRowFirstColumn="0" w:firstRowLastColumn="0" w:lastRowFirstColumn="0" w:lastRowLastColumn="0"/>
                          <w:rPr>
                            <w:color w:val="auto"/>
                          </w:rPr>
                        </w:pPr>
                        <w:r w:rsidRPr="0058455B">
                          <w:rPr>
                            <w:color w:val="auto"/>
                          </w:rPr>
                          <w:t>&lt;.001</w:t>
                        </w:r>
                      </w:p>
                    </w:tc>
                    <w:tc>
                      <w:tcPr>
                        <w:tcW w:w="0" w:type="dxa"/>
                        <w:shd w:val="clear" w:color="auto" w:fill="auto"/>
                        <w:noWrap/>
                        <w:vAlign w:val="top"/>
                        <w:hideMark/>
                      </w:tcPr>
                      <w:p w14:paraId="074E4C14" w14:textId="74C99D62" w:rsidR="0058455B" w:rsidRPr="0058455B" w:rsidRDefault="0058455B" w:rsidP="0058455B">
                        <w:pPr>
                          <w:pStyle w:val="TableText"/>
                          <w:cnfStyle w:val="000000100000" w:firstRow="0" w:lastRow="0" w:firstColumn="0" w:lastColumn="0" w:oddVBand="0" w:evenVBand="0" w:oddHBand="1" w:evenHBand="0" w:firstRowFirstColumn="0" w:firstRowLastColumn="0" w:lastRowFirstColumn="0" w:lastRowLastColumn="0"/>
                          <w:rPr>
                            <w:color w:val="auto"/>
                          </w:rPr>
                        </w:pPr>
                        <w:r w:rsidRPr="0058455B">
                          <w:rPr>
                            <w:color w:val="auto"/>
                          </w:rPr>
                          <w:t>60.4% (n=17,110)</w:t>
                        </w:r>
                      </w:p>
                    </w:tc>
                  </w:tr>
                  <w:tr w:rsidR="0058455B" w:rsidRPr="007A1075" w14:paraId="46333A81" w14:textId="77777777" w:rsidTr="00BC3586">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0" w:type="dxa"/>
                        <w:vMerge w:val="restart"/>
                        <w:shd w:val="clear" w:color="auto" w:fill="auto"/>
                        <w:vAlign w:val="top"/>
                        <w:hideMark/>
                      </w:tcPr>
                      <w:p w14:paraId="04DB69CF" w14:textId="5B5F8AD5" w:rsidR="0058455B" w:rsidRPr="0058455B" w:rsidRDefault="0058455B" w:rsidP="0058455B">
                        <w:pPr>
                          <w:pStyle w:val="TableText"/>
                          <w:rPr>
                            <w:color w:val="auto"/>
                          </w:rPr>
                        </w:pPr>
                        <w:r w:rsidRPr="0058455B">
                          <w:rPr>
                            <w:color w:val="auto"/>
                          </w:rPr>
                          <w:t>SFVS (incl. 4AP</w:t>
                        </w:r>
                        <w:r w:rsidR="00E91A9D">
                          <w:rPr>
                            <w:color w:val="auto"/>
                          </w:rPr>
                          <w:t>2</w:t>
                        </w:r>
                        <w:r w:rsidRPr="0058455B">
                          <w:rPr>
                            <w:color w:val="auto"/>
                          </w:rPr>
                          <w:t>)</w:t>
                        </w:r>
                      </w:p>
                    </w:tc>
                    <w:tc>
                      <w:tcPr>
                        <w:tcW w:w="0" w:type="dxa"/>
                        <w:vMerge w:val="restart"/>
                        <w:shd w:val="clear" w:color="auto" w:fill="auto"/>
                        <w:noWrap/>
                        <w:vAlign w:val="top"/>
                        <w:hideMark/>
                      </w:tcPr>
                      <w:p w14:paraId="7076DCB3" w14:textId="77777777" w:rsidR="0058455B" w:rsidRPr="0058455B" w:rsidRDefault="0058455B" w:rsidP="0058455B">
                        <w:pPr>
                          <w:pStyle w:val="TableText"/>
                          <w:cnfStyle w:val="000000010000" w:firstRow="0" w:lastRow="0" w:firstColumn="0" w:lastColumn="0" w:oddVBand="0" w:evenVBand="0" w:oddHBand="0" w:evenHBand="1" w:firstRowFirstColumn="0" w:firstRowLastColumn="0" w:lastRowFirstColumn="0" w:lastRowLastColumn="0"/>
                          <w:rPr>
                            <w:color w:val="auto"/>
                          </w:rPr>
                        </w:pPr>
                        <w:r w:rsidRPr="0058455B">
                          <w:rPr>
                            <w:color w:val="auto"/>
                          </w:rPr>
                          <w:t>Circumstances</w:t>
                        </w:r>
                      </w:p>
                    </w:tc>
                    <w:tc>
                      <w:tcPr>
                        <w:tcW w:w="0" w:type="dxa"/>
                        <w:shd w:val="clear" w:color="auto" w:fill="auto"/>
                        <w:noWrap/>
                        <w:vAlign w:val="top"/>
                        <w:hideMark/>
                      </w:tcPr>
                      <w:p w14:paraId="1AFDA934" w14:textId="77777777" w:rsidR="0058455B" w:rsidRPr="0058455B" w:rsidRDefault="0058455B" w:rsidP="0058455B">
                        <w:pPr>
                          <w:pStyle w:val="TableText"/>
                          <w:cnfStyle w:val="000000010000" w:firstRow="0" w:lastRow="0" w:firstColumn="0" w:lastColumn="0" w:oddVBand="0" w:evenVBand="0" w:oddHBand="0" w:evenHBand="1" w:firstRowFirstColumn="0" w:firstRowLastColumn="0" w:lastRowFirstColumn="0" w:lastRowLastColumn="0"/>
                          <w:rPr>
                            <w:color w:val="auto"/>
                          </w:rPr>
                        </w:pPr>
                        <w:r w:rsidRPr="0058455B">
                          <w:rPr>
                            <w:color w:val="auto"/>
                          </w:rPr>
                          <w:t>Family functioning</w:t>
                        </w:r>
                      </w:p>
                    </w:tc>
                    <w:tc>
                      <w:tcPr>
                        <w:tcW w:w="0" w:type="dxa"/>
                        <w:shd w:val="clear" w:color="auto" w:fill="auto"/>
                        <w:noWrap/>
                        <w:vAlign w:val="top"/>
                        <w:hideMark/>
                      </w:tcPr>
                      <w:p w14:paraId="1050F235" w14:textId="77777777" w:rsidR="0058455B" w:rsidRPr="0058455B" w:rsidRDefault="0058455B" w:rsidP="0058455B">
                        <w:pPr>
                          <w:pStyle w:val="TableText"/>
                          <w:cnfStyle w:val="000000010000" w:firstRow="0" w:lastRow="0" w:firstColumn="0" w:lastColumn="0" w:oddVBand="0" w:evenVBand="0" w:oddHBand="0" w:evenHBand="1" w:firstRowFirstColumn="0" w:firstRowLastColumn="0" w:lastRowFirstColumn="0" w:lastRowLastColumn="0"/>
                          <w:rPr>
                            <w:color w:val="auto"/>
                          </w:rPr>
                        </w:pPr>
                        <w:r w:rsidRPr="0058455B">
                          <w:rPr>
                            <w:color w:val="auto"/>
                          </w:rPr>
                          <w:t>0.8</w:t>
                        </w:r>
                      </w:p>
                    </w:tc>
                    <w:tc>
                      <w:tcPr>
                        <w:tcW w:w="0" w:type="dxa"/>
                        <w:shd w:val="clear" w:color="auto" w:fill="auto"/>
                        <w:noWrap/>
                        <w:vAlign w:val="top"/>
                        <w:hideMark/>
                      </w:tcPr>
                      <w:p w14:paraId="0C688538" w14:textId="77777777" w:rsidR="0058455B" w:rsidRPr="0058455B" w:rsidRDefault="0058455B" w:rsidP="0058455B">
                        <w:pPr>
                          <w:pStyle w:val="TableText"/>
                          <w:cnfStyle w:val="000000010000" w:firstRow="0" w:lastRow="0" w:firstColumn="0" w:lastColumn="0" w:oddVBand="0" w:evenVBand="0" w:oddHBand="0" w:evenHBand="1" w:firstRowFirstColumn="0" w:firstRowLastColumn="0" w:lastRowFirstColumn="0" w:lastRowLastColumn="0"/>
                          <w:rPr>
                            <w:color w:val="auto"/>
                          </w:rPr>
                        </w:pPr>
                        <w:r w:rsidRPr="0058455B">
                          <w:rPr>
                            <w:color w:val="auto"/>
                          </w:rPr>
                          <w:t>1404284.5</w:t>
                        </w:r>
                      </w:p>
                    </w:tc>
                    <w:tc>
                      <w:tcPr>
                        <w:tcW w:w="0" w:type="dxa"/>
                        <w:shd w:val="clear" w:color="auto" w:fill="auto"/>
                        <w:noWrap/>
                        <w:vAlign w:val="top"/>
                        <w:hideMark/>
                      </w:tcPr>
                      <w:p w14:paraId="20CB5E08" w14:textId="38571F6F" w:rsidR="0058455B" w:rsidRPr="0058455B" w:rsidRDefault="0058455B" w:rsidP="0058455B">
                        <w:pPr>
                          <w:pStyle w:val="TableText"/>
                          <w:cnfStyle w:val="000000010000" w:firstRow="0" w:lastRow="0" w:firstColumn="0" w:lastColumn="0" w:oddVBand="0" w:evenVBand="0" w:oddHBand="0" w:evenHBand="1" w:firstRowFirstColumn="0" w:firstRowLastColumn="0" w:lastRowFirstColumn="0" w:lastRowLastColumn="0"/>
                          <w:rPr>
                            <w:color w:val="auto"/>
                          </w:rPr>
                        </w:pPr>
                        <w:r w:rsidRPr="0058455B">
                          <w:rPr>
                            <w:color w:val="auto"/>
                          </w:rPr>
                          <w:t>5</w:t>
                        </w:r>
                        <w:r>
                          <w:rPr>
                            <w:color w:val="auto"/>
                          </w:rPr>
                          <w:t>,</w:t>
                        </w:r>
                        <w:r w:rsidRPr="0058455B">
                          <w:rPr>
                            <w:color w:val="auto"/>
                          </w:rPr>
                          <w:t>307</w:t>
                        </w:r>
                      </w:p>
                    </w:tc>
                    <w:tc>
                      <w:tcPr>
                        <w:tcW w:w="0" w:type="dxa"/>
                        <w:shd w:val="clear" w:color="auto" w:fill="auto"/>
                        <w:noWrap/>
                        <w:vAlign w:val="top"/>
                        <w:hideMark/>
                      </w:tcPr>
                      <w:p w14:paraId="34E32496" w14:textId="77777777" w:rsidR="0058455B" w:rsidRPr="0058455B" w:rsidRDefault="0058455B" w:rsidP="0058455B">
                        <w:pPr>
                          <w:pStyle w:val="TableText"/>
                          <w:cnfStyle w:val="000000010000" w:firstRow="0" w:lastRow="0" w:firstColumn="0" w:lastColumn="0" w:oddVBand="0" w:evenVBand="0" w:oddHBand="0" w:evenHBand="1" w:firstRowFirstColumn="0" w:firstRowLastColumn="0" w:lastRowFirstColumn="0" w:lastRowLastColumn="0"/>
                          <w:rPr>
                            <w:color w:val="auto"/>
                          </w:rPr>
                        </w:pPr>
                        <w:r w:rsidRPr="0058455B">
                          <w:rPr>
                            <w:color w:val="auto"/>
                          </w:rPr>
                          <w:t>&lt;.001</w:t>
                        </w:r>
                      </w:p>
                    </w:tc>
                    <w:tc>
                      <w:tcPr>
                        <w:tcW w:w="0" w:type="dxa"/>
                        <w:shd w:val="clear" w:color="auto" w:fill="auto"/>
                        <w:noWrap/>
                        <w:vAlign w:val="top"/>
                        <w:hideMark/>
                      </w:tcPr>
                      <w:p w14:paraId="08FF5381" w14:textId="5DC4837A" w:rsidR="0058455B" w:rsidRPr="0058455B" w:rsidRDefault="0058455B" w:rsidP="0058455B">
                        <w:pPr>
                          <w:pStyle w:val="TableText"/>
                          <w:cnfStyle w:val="000000010000" w:firstRow="0" w:lastRow="0" w:firstColumn="0" w:lastColumn="0" w:oddVBand="0" w:evenVBand="0" w:oddHBand="0" w:evenHBand="1" w:firstRowFirstColumn="0" w:firstRowLastColumn="0" w:lastRowFirstColumn="0" w:lastRowLastColumn="0"/>
                          <w:rPr>
                            <w:color w:val="auto"/>
                          </w:rPr>
                        </w:pPr>
                        <w:r w:rsidRPr="0058455B">
                          <w:rPr>
                            <w:color w:val="auto"/>
                          </w:rPr>
                          <w:t>54.9% (n=2,911)</w:t>
                        </w:r>
                      </w:p>
                    </w:tc>
                  </w:tr>
                  <w:tr w:rsidR="0058455B" w:rsidRPr="007A1075" w14:paraId="69895FE6" w14:textId="77777777" w:rsidTr="00BC358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0" w:type="dxa"/>
                        <w:vMerge/>
                        <w:shd w:val="clear" w:color="auto" w:fill="auto"/>
                        <w:vAlign w:val="top"/>
                        <w:hideMark/>
                      </w:tcPr>
                      <w:p w14:paraId="36583B02" w14:textId="77777777" w:rsidR="0058455B" w:rsidRPr="0058455B" w:rsidRDefault="0058455B" w:rsidP="0058455B">
                        <w:pPr>
                          <w:pStyle w:val="TableText"/>
                          <w:rPr>
                            <w:color w:val="auto"/>
                          </w:rPr>
                        </w:pPr>
                      </w:p>
                    </w:tc>
                    <w:tc>
                      <w:tcPr>
                        <w:tcW w:w="0" w:type="dxa"/>
                        <w:vMerge/>
                        <w:shd w:val="clear" w:color="auto" w:fill="auto"/>
                        <w:vAlign w:val="top"/>
                        <w:hideMark/>
                      </w:tcPr>
                      <w:p w14:paraId="71DC94E3" w14:textId="77777777" w:rsidR="0058455B" w:rsidRPr="0058455B" w:rsidRDefault="0058455B" w:rsidP="0058455B">
                        <w:pPr>
                          <w:pStyle w:val="TableText"/>
                          <w:cnfStyle w:val="000000100000" w:firstRow="0" w:lastRow="0" w:firstColumn="0" w:lastColumn="0" w:oddVBand="0" w:evenVBand="0" w:oddHBand="1" w:evenHBand="0" w:firstRowFirstColumn="0" w:firstRowLastColumn="0" w:lastRowFirstColumn="0" w:lastRowLastColumn="0"/>
                          <w:rPr>
                            <w:color w:val="auto"/>
                          </w:rPr>
                        </w:pPr>
                      </w:p>
                    </w:tc>
                    <w:tc>
                      <w:tcPr>
                        <w:tcW w:w="0" w:type="dxa"/>
                        <w:shd w:val="clear" w:color="auto" w:fill="auto"/>
                        <w:noWrap/>
                        <w:vAlign w:val="top"/>
                        <w:hideMark/>
                      </w:tcPr>
                      <w:p w14:paraId="3648CE83" w14:textId="77777777" w:rsidR="0058455B" w:rsidRPr="0058455B" w:rsidRDefault="0058455B" w:rsidP="0058455B">
                        <w:pPr>
                          <w:pStyle w:val="TableText"/>
                          <w:cnfStyle w:val="000000100000" w:firstRow="0" w:lastRow="0" w:firstColumn="0" w:lastColumn="0" w:oddVBand="0" w:evenVBand="0" w:oddHBand="1" w:evenHBand="0" w:firstRowFirstColumn="0" w:firstRowLastColumn="0" w:lastRowFirstColumn="0" w:lastRowLastColumn="0"/>
                          <w:rPr>
                            <w:color w:val="auto"/>
                            <w:lang w:val="en-NZ"/>
                          </w:rPr>
                        </w:pPr>
                        <w:r w:rsidRPr="57F92EFB">
                          <w:rPr>
                            <w:color w:val="auto"/>
                            <w:lang w:val="en-NZ"/>
                          </w:rPr>
                          <w:t>Mental health, wellbeing and self-care</w:t>
                        </w:r>
                      </w:p>
                    </w:tc>
                    <w:tc>
                      <w:tcPr>
                        <w:tcW w:w="0" w:type="dxa"/>
                        <w:shd w:val="clear" w:color="auto" w:fill="auto"/>
                        <w:noWrap/>
                        <w:vAlign w:val="top"/>
                        <w:hideMark/>
                      </w:tcPr>
                      <w:p w14:paraId="22274FC8" w14:textId="77777777" w:rsidR="0058455B" w:rsidRPr="0058455B" w:rsidRDefault="0058455B" w:rsidP="0058455B">
                        <w:pPr>
                          <w:pStyle w:val="TableText"/>
                          <w:cnfStyle w:val="000000100000" w:firstRow="0" w:lastRow="0" w:firstColumn="0" w:lastColumn="0" w:oddVBand="0" w:evenVBand="0" w:oddHBand="1" w:evenHBand="0" w:firstRowFirstColumn="0" w:firstRowLastColumn="0" w:lastRowFirstColumn="0" w:lastRowLastColumn="0"/>
                          <w:rPr>
                            <w:color w:val="auto"/>
                          </w:rPr>
                        </w:pPr>
                        <w:r w:rsidRPr="0058455B">
                          <w:rPr>
                            <w:color w:val="auto"/>
                          </w:rPr>
                          <w:t>0.84</w:t>
                        </w:r>
                      </w:p>
                    </w:tc>
                    <w:tc>
                      <w:tcPr>
                        <w:tcW w:w="0" w:type="dxa"/>
                        <w:shd w:val="clear" w:color="auto" w:fill="auto"/>
                        <w:noWrap/>
                        <w:vAlign w:val="top"/>
                        <w:hideMark/>
                      </w:tcPr>
                      <w:p w14:paraId="592C7D7A" w14:textId="77777777" w:rsidR="0058455B" w:rsidRPr="0058455B" w:rsidRDefault="0058455B" w:rsidP="0058455B">
                        <w:pPr>
                          <w:pStyle w:val="TableText"/>
                          <w:cnfStyle w:val="000000100000" w:firstRow="0" w:lastRow="0" w:firstColumn="0" w:lastColumn="0" w:oddVBand="0" w:evenVBand="0" w:oddHBand="1" w:evenHBand="0" w:firstRowFirstColumn="0" w:firstRowLastColumn="0" w:lastRowFirstColumn="0" w:lastRowLastColumn="0"/>
                          <w:rPr>
                            <w:color w:val="auto"/>
                          </w:rPr>
                        </w:pPr>
                        <w:r w:rsidRPr="0058455B">
                          <w:rPr>
                            <w:color w:val="auto"/>
                          </w:rPr>
                          <w:t>1464457</w:t>
                        </w:r>
                      </w:p>
                    </w:tc>
                    <w:tc>
                      <w:tcPr>
                        <w:tcW w:w="0" w:type="dxa"/>
                        <w:shd w:val="clear" w:color="auto" w:fill="auto"/>
                        <w:noWrap/>
                        <w:vAlign w:val="top"/>
                        <w:hideMark/>
                      </w:tcPr>
                      <w:p w14:paraId="1AD698A6" w14:textId="2D71AFE0" w:rsidR="0058455B" w:rsidRPr="0058455B" w:rsidRDefault="0058455B" w:rsidP="0058455B">
                        <w:pPr>
                          <w:pStyle w:val="TableText"/>
                          <w:cnfStyle w:val="000000100000" w:firstRow="0" w:lastRow="0" w:firstColumn="0" w:lastColumn="0" w:oddVBand="0" w:evenVBand="0" w:oddHBand="1" w:evenHBand="0" w:firstRowFirstColumn="0" w:firstRowLastColumn="0" w:lastRowFirstColumn="0" w:lastRowLastColumn="0"/>
                          <w:rPr>
                            <w:color w:val="auto"/>
                          </w:rPr>
                        </w:pPr>
                        <w:r w:rsidRPr="0058455B">
                          <w:rPr>
                            <w:color w:val="auto"/>
                          </w:rPr>
                          <w:t>5</w:t>
                        </w:r>
                        <w:r>
                          <w:rPr>
                            <w:color w:val="auto"/>
                          </w:rPr>
                          <w:t>,</w:t>
                        </w:r>
                        <w:r w:rsidRPr="0058455B">
                          <w:rPr>
                            <w:color w:val="auto"/>
                          </w:rPr>
                          <w:t>523</w:t>
                        </w:r>
                      </w:p>
                    </w:tc>
                    <w:tc>
                      <w:tcPr>
                        <w:tcW w:w="0" w:type="dxa"/>
                        <w:shd w:val="clear" w:color="auto" w:fill="auto"/>
                        <w:noWrap/>
                        <w:vAlign w:val="top"/>
                        <w:hideMark/>
                      </w:tcPr>
                      <w:p w14:paraId="35AADE4A" w14:textId="77777777" w:rsidR="0058455B" w:rsidRPr="0058455B" w:rsidRDefault="0058455B" w:rsidP="0058455B">
                        <w:pPr>
                          <w:pStyle w:val="TableText"/>
                          <w:cnfStyle w:val="000000100000" w:firstRow="0" w:lastRow="0" w:firstColumn="0" w:lastColumn="0" w:oddVBand="0" w:evenVBand="0" w:oddHBand="1" w:evenHBand="0" w:firstRowFirstColumn="0" w:firstRowLastColumn="0" w:lastRowFirstColumn="0" w:lastRowLastColumn="0"/>
                          <w:rPr>
                            <w:color w:val="auto"/>
                          </w:rPr>
                        </w:pPr>
                        <w:r w:rsidRPr="0058455B">
                          <w:rPr>
                            <w:color w:val="auto"/>
                          </w:rPr>
                          <w:t>&lt;.001</w:t>
                        </w:r>
                      </w:p>
                    </w:tc>
                    <w:tc>
                      <w:tcPr>
                        <w:tcW w:w="0" w:type="dxa"/>
                        <w:shd w:val="clear" w:color="auto" w:fill="auto"/>
                        <w:noWrap/>
                        <w:vAlign w:val="top"/>
                        <w:hideMark/>
                      </w:tcPr>
                      <w:p w14:paraId="771E8962" w14:textId="41CAB73B" w:rsidR="0058455B" w:rsidRPr="0058455B" w:rsidRDefault="0058455B" w:rsidP="0058455B">
                        <w:pPr>
                          <w:pStyle w:val="TableText"/>
                          <w:cnfStyle w:val="000000100000" w:firstRow="0" w:lastRow="0" w:firstColumn="0" w:lastColumn="0" w:oddVBand="0" w:evenVBand="0" w:oddHBand="1" w:evenHBand="0" w:firstRowFirstColumn="0" w:firstRowLastColumn="0" w:lastRowFirstColumn="0" w:lastRowLastColumn="0"/>
                          <w:rPr>
                            <w:color w:val="auto"/>
                          </w:rPr>
                        </w:pPr>
                        <w:r w:rsidRPr="0058455B">
                          <w:rPr>
                            <w:color w:val="auto"/>
                          </w:rPr>
                          <w:t>56.0% (n=3,092)</w:t>
                        </w:r>
                      </w:p>
                    </w:tc>
                  </w:tr>
                  <w:tr w:rsidR="0058455B" w:rsidRPr="007A1075" w14:paraId="3C64D49F" w14:textId="77777777" w:rsidTr="00BC3586">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0" w:type="dxa"/>
                        <w:vMerge/>
                        <w:shd w:val="clear" w:color="auto" w:fill="auto"/>
                        <w:vAlign w:val="top"/>
                        <w:hideMark/>
                      </w:tcPr>
                      <w:p w14:paraId="5630D897" w14:textId="77777777" w:rsidR="0058455B" w:rsidRPr="0058455B" w:rsidRDefault="0058455B" w:rsidP="0058455B">
                        <w:pPr>
                          <w:pStyle w:val="TableText"/>
                          <w:rPr>
                            <w:color w:val="auto"/>
                          </w:rPr>
                        </w:pPr>
                      </w:p>
                    </w:tc>
                    <w:tc>
                      <w:tcPr>
                        <w:tcW w:w="0" w:type="dxa"/>
                        <w:vMerge/>
                        <w:shd w:val="clear" w:color="auto" w:fill="auto"/>
                        <w:vAlign w:val="top"/>
                        <w:hideMark/>
                      </w:tcPr>
                      <w:p w14:paraId="2AF1F11F" w14:textId="77777777" w:rsidR="0058455B" w:rsidRPr="0058455B" w:rsidRDefault="0058455B" w:rsidP="0058455B">
                        <w:pPr>
                          <w:pStyle w:val="TableText"/>
                          <w:cnfStyle w:val="000000010000" w:firstRow="0" w:lastRow="0" w:firstColumn="0" w:lastColumn="0" w:oddVBand="0" w:evenVBand="0" w:oddHBand="0" w:evenHBand="1" w:firstRowFirstColumn="0" w:firstRowLastColumn="0" w:lastRowFirstColumn="0" w:lastRowLastColumn="0"/>
                          <w:rPr>
                            <w:color w:val="auto"/>
                          </w:rPr>
                        </w:pPr>
                      </w:p>
                    </w:tc>
                    <w:tc>
                      <w:tcPr>
                        <w:tcW w:w="0" w:type="dxa"/>
                        <w:shd w:val="clear" w:color="auto" w:fill="auto"/>
                        <w:noWrap/>
                        <w:vAlign w:val="top"/>
                        <w:hideMark/>
                      </w:tcPr>
                      <w:p w14:paraId="1EBC0B0E" w14:textId="77777777" w:rsidR="0058455B" w:rsidRPr="0058455B" w:rsidRDefault="0058455B" w:rsidP="0058455B">
                        <w:pPr>
                          <w:pStyle w:val="TableText"/>
                          <w:cnfStyle w:val="000000010000" w:firstRow="0" w:lastRow="0" w:firstColumn="0" w:lastColumn="0" w:oddVBand="0" w:evenVBand="0" w:oddHBand="0" w:evenHBand="1" w:firstRowFirstColumn="0" w:firstRowLastColumn="0" w:lastRowFirstColumn="0" w:lastRowLastColumn="0"/>
                          <w:rPr>
                            <w:color w:val="auto"/>
                          </w:rPr>
                        </w:pPr>
                        <w:r w:rsidRPr="0058455B">
                          <w:rPr>
                            <w:color w:val="auto"/>
                          </w:rPr>
                          <w:t>Personal and family safety</w:t>
                        </w:r>
                      </w:p>
                    </w:tc>
                    <w:tc>
                      <w:tcPr>
                        <w:tcW w:w="0" w:type="dxa"/>
                        <w:shd w:val="clear" w:color="auto" w:fill="auto"/>
                        <w:noWrap/>
                        <w:vAlign w:val="top"/>
                        <w:hideMark/>
                      </w:tcPr>
                      <w:p w14:paraId="2F00D4EE" w14:textId="77777777" w:rsidR="0058455B" w:rsidRPr="0058455B" w:rsidRDefault="0058455B" w:rsidP="0058455B">
                        <w:pPr>
                          <w:pStyle w:val="TableText"/>
                          <w:cnfStyle w:val="000000010000" w:firstRow="0" w:lastRow="0" w:firstColumn="0" w:lastColumn="0" w:oddVBand="0" w:evenVBand="0" w:oddHBand="0" w:evenHBand="1" w:firstRowFirstColumn="0" w:firstRowLastColumn="0" w:lastRowFirstColumn="0" w:lastRowLastColumn="0"/>
                          <w:rPr>
                            <w:color w:val="auto"/>
                          </w:rPr>
                        </w:pPr>
                        <w:r w:rsidRPr="0058455B">
                          <w:rPr>
                            <w:color w:val="auto"/>
                          </w:rPr>
                          <w:t>0.91</w:t>
                        </w:r>
                      </w:p>
                    </w:tc>
                    <w:tc>
                      <w:tcPr>
                        <w:tcW w:w="0" w:type="dxa"/>
                        <w:shd w:val="clear" w:color="auto" w:fill="auto"/>
                        <w:noWrap/>
                        <w:vAlign w:val="top"/>
                        <w:hideMark/>
                      </w:tcPr>
                      <w:p w14:paraId="4DF574D1" w14:textId="77777777" w:rsidR="0058455B" w:rsidRPr="0058455B" w:rsidRDefault="0058455B" w:rsidP="0058455B">
                        <w:pPr>
                          <w:pStyle w:val="TableText"/>
                          <w:cnfStyle w:val="000000010000" w:firstRow="0" w:lastRow="0" w:firstColumn="0" w:lastColumn="0" w:oddVBand="0" w:evenVBand="0" w:oddHBand="0" w:evenHBand="1" w:firstRowFirstColumn="0" w:firstRowLastColumn="0" w:lastRowFirstColumn="0" w:lastRowLastColumn="0"/>
                          <w:rPr>
                            <w:color w:val="auto"/>
                          </w:rPr>
                        </w:pPr>
                        <w:r w:rsidRPr="0058455B">
                          <w:rPr>
                            <w:color w:val="auto"/>
                          </w:rPr>
                          <w:t>1761403.5</w:t>
                        </w:r>
                      </w:p>
                    </w:tc>
                    <w:tc>
                      <w:tcPr>
                        <w:tcW w:w="0" w:type="dxa"/>
                        <w:shd w:val="clear" w:color="auto" w:fill="auto"/>
                        <w:noWrap/>
                        <w:vAlign w:val="top"/>
                        <w:hideMark/>
                      </w:tcPr>
                      <w:p w14:paraId="5C8F6545" w14:textId="3078F567" w:rsidR="0058455B" w:rsidRPr="0058455B" w:rsidRDefault="0058455B" w:rsidP="0058455B">
                        <w:pPr>
                          <w:pStyle w:val="TableText"/>
                          <w:cnfStyle w:val="000000010000" w:firstRow="0" w:lastRow="0" w:firstColumn="0" w:lastColumn="0" w:oddVBand="0" w:evenVBand="0" w:oddHBand="0" w:evenHBand="1" w:firstRowFirstColumn="0" w:firstRowLastColumn="0" w:lastRowFirstColumn="0" w:lastRowLastColumn="0"/>
                          <w:rPr>
                            <w:color w:val="auto"/>
                          </w:rPr>
                        </w:pPr>
                        <w:r w:rsidRPr="0058455B">
                          <w:rPr>
                            <w:color w:val="auto"/>
                          </w:rPr>
                          <w:t>6</w:t>
                        </w:r>
                        <w:r>
                          <w:rPr>
                            <w:color w:val="auto"/>
                          </w:rPr>
                          <w:t>,</w:t>
                        </w:r>
                        <w:r w:rsidRPr="0058455B">
                          <w:rPr>
                            <w:color w:val="auto"/>
                          </w:rPr>
                          <w:t>292</w:t>
                        </w:r>
                      </w:p>
                    </w:tc>
                    <w:tc>
                      <w:tcPr>
                        <w:tcW w:w="0" w:type="dxa"/>
                        <w:shd w:val="clear" w:color="auto" w:fill="auto"/>
                        <w:noWrap/>
                        <w:vAlign w:val="top"/>
                        <w:hideMark/>
                      </w:tcPr>
                      <w:p w14:paraId="042CDEC3" w14:textId="77777777" w:rsidR="0058455B" w:rsidRPr="0058455B" w:rsidRDefault="0058455B" w:rsidP="0058455B">
                        <w:pPr>
                          <w:pStyle w:val="TableText"/>
                          <w:cnfStyle w:val="000000010000" w:firstRow="0" w:lastRow="0" w:firstColumn="0" w:lastColumn="0" w:oddVBand="0" w:evenVBand="0" w:oddHBand="0" w:evenHBand="1" w:firstRowFirstColumn="0" w:firstRowLastColumn="0" w:lastRowFirstColumn="0" w:lastRowLastColumn="0"/>
                          <w:rPr>
                            <w:color w:val="auto"/>
                          </w:rPr>
                        </w:pPr>
                        <w:r w:rsidRPr="0058455B">
                          <w:rPr>
                            <w:color w:val="auto"/>
                          </w:rPr>
                          <w:t>&lt;.001</w:t>
                        </w:r>
                      </w:p>
                    </w:tc>
                    <w:tc>
                      <w:tcPr>
                        <w:tcW w:w="0" w:type="dxa"/>
                        <w:shd w:val="clear" w:color="auto" w:fill="auto"/>
                        <w:noWrap/>
                        <w:vAlign w:val="top"/>
                        <w:hideMark/>
                      </w:tcPr>
                      <w:p w14:paraId="486A9862" w14:textId="1F2A2BB0" w:rsidR="0058455B" w:rsidRPr="0058455B" w:rsidRDefault="0058455B" w:rsidP="0058455B">
                        <w:pPr>
                          <w:pStyle w:val="TableText"/>
                          <w:cnfStyle w:val="000000010000" w:firstRow="0" w:lastRow="0" w:firstColumn="0" w:lastColumn="0" w:oddVBand="0" w:evenVBand="0" w:oddHBand="0" w:evenHBand="1" w:firstRowFirstColumn="0" w:firstRowLastColumn="0" w:lastRowFirstColumn="0" w:lastRowLastColumn="0"/>
                          <w:rPr>
                            <w:color w:val="auto"/>
                          </w:rPr>
                        </w:pPr>
                        <w:r w:rsidRPr="0058455B">
                          <w:rPr>
                            <w:color w:val="auto"/>
                          </w:rPr>
                          <w:t>57.0% (n=3,585)</w:t>
                        </w:r>
                      </w:p>
                    </w:tc>
                  </w:tr>
                  <w:tr w:rsidR="0058455B" w:rsidRPr="007A1075" w14:paraId="029BD9BF" w14:textId="77777777" w:rsidTr="00BC358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0" w:type="dxa"/>
                        <w:vMerge/>
                        <w:shd w:val="clear" w:color="auto" w:fill="auto"/>
                        <w:vAlign w:val="top"/>
                        <w:hideMark/>
                      </w:tcPr>
                      <w:p w14:paraId="033DBC9F" w14:textId="77777777" w:rsidR="0058455B" w:rsidRPr="0058455B" w:rsidRDefault="0058455B" w:rsidP="0058455B">
                        <w:pPr>
                          <w:pStyle w:val="TableText"/>
                          <w:rPr>
                            <w:color w:val="auto"/>
                          </w:rPr>
                        </w:pPr>
                      </w:p>
                    </w:tc>
                    <w:tc>
                      <w:tcPr>
                        <w:tcW w:w="0" w:type="dxa"/>
                        <w:vMerge w:val="restart"/>
                        <w:shd w:val="clear" w:color="auto" w:fill="auto"/>
                        <w:noWrap/>
                        <w:vAlign w:val="top"/>
                        <w:hideMark/>
                      </w:tcPr>
                      <w:p w14:paraId="7279BF9A" w14:textId="77777777" w:rsidR="0058455B" w:rsidRPr="0058455B" w:rsidRDefault="0058455B" w:rsidP="0058455B">
                        <w:pPr>
                          <w:pStyle w:val="TableText"/>
                          <w:cnfStyle w:val="000000100000" w:firstRow="0" w:lastRow="0" w:firstColumn="0" w:lastColumn="0" w:oddVBand="0" w:evenVBand="0" w:oddHBand="1" w:evenHBand="0" w:firstRowFirstColumn="0" w:firstRowLastColumn="0" w:lastRowFirstColumn="0" w:lastRowLastColumn="0"/>
                          <w:rPr>
                            <w:color w:val="auto"/>
                          </w:rPr>
                        </w:pPr>
                        <w:r w:rsidRPr="0058455B">
                          <w:rPr>
                            <w:color w:val="auto"/>
                          </w:rPr>
                          <w:t>Goals</w:t>
                        </w:r>
                      </w:p>
                    </w:tc>
                    <w:tc>
                      <w:tcPr>
                        <w:tcW w:w="0" w:type="dxa"/>
                        <w:shd w:val="clear" w:color="auto" w:fill="auto"/>
                        <w:noWrap/>
                        <w:vAlign w:val="top"/>
                        <w:hideMark/>
                      </w:tcPr>
                      <w:p w14:paraId="43B87EB8" w14:textId="77777777" w:rsidR="0058455B" w:rsidRPr="0058455B" w:rsidRDefault="0058455B" w:rsidP="0058455B">
                        <w:pPr>
                          <w:pStyle w:val="TableText"/>
                          <w:cnfStyle w:val="000000100000" w:firstRow="0" w:lastRow="0" w:firstColumn="0" w:lastColumn="0" w:oddVBand="0" w:evenVBand="0" w:oddHBand="1" w:evenHBand="0" w:firstRowFirstColumn="0" w:firstRowLastColumn="0" w:lastRowFirstColumn="0" w:lastRowLastColumn="0"/>
                          <w:rPr>
                            <w:color w:val="auto"/>
                          </w:rPr>
                        </w:pPr>
                        <w:r w:rsidRPr="0058455B">
                          <w:rPr>
                            <w:color w:val="auto"/>
                          </w:rPr>
                          <w:t>Changed behaviours</w:t>
                        </w:r>
                      </w:p>
                    </w:tc>
                    <w:tc>
                      <w:tcPr>
                        <w:tcW w:w="0" w:type="dxa"/>
                        <w:shd w:val="clear" w:color="auto" w:fill="auto"/>
                        <w:noWrap/>
                        <w:vAlign w:val="top"/>
                        <w:hideMark/>
                      </w:tcPr>
                      <w:p w14:paraId="17E2287F" w14:textId="77777777" w:rsidR="0058455B" w:rsidRPr="0058455B" w:rsidRDefault="0058455B" w:rsidP="0058455B">
                        <w:pPr>
                          <w:pStyle w:val="TableText"/>
                          <w:cnfStyle w:val="000000100000" w:firstRow="0" w:lastRow="0" w:firstColumn="0" w:lastColumn="0" w:oddVBand="0" w:evenVBand="0" w:oddHBand="1" w:evenHBand="0" w:firstRowFirstColumn="0" w:firstRowLastColumn="0" w:lastRowFirstColumn="0" w:lastRowLastColumn="0"/>
                          <w:rPr>
                            <w:color w:val="auto"/>
                          </w:rPr>
                        </w:pPr>
                        <w:r w:rsidRPr="0058455B">
                          <w:rPr>
                            <w:color w:val="auto"/>
                          </w:rPr>
                          <w:t>0.89</w:t>
                        </w:r>
                      </w:p>
                    </w:tc>
                    <w:tc>
                      <w:tcPr>
                        <w:tcW w:w="0" w:type="dxa"/>
                        <w:shd w:val="clear" w:color="auto" w:fill="auto"/>
                        <w:noWrap/>
                        <w:vAlign w:val="top"/>
                        <w:hideMark/>
                      </w:tcPr>
                      <w:p w14:paraId="5A3846D5" w14:textId="77777777" w:rsidR="0058455B" w:rsidRPr="0058455B" w:rsidRDefault="0058455B" w:rsidP="0058455B">
                        <w:pPr>
                          <w:pStyle w:val="TableText"/>
                          <w:cnfStyle w:val="000000100000" w:firstRow="0" w:lastRow="0" w:firstColumn="0" w:lastColumn="0" w:oddVBand="0" w:evenVBand="0" w:oddHBand="1" w:evenHBand="0" w:firstRowFirstColumn="0" w:firstRowLastColumn="0" w:lastRowFirstColumn="0" w:lastRowLastColumn="0"/>
                          <w:rPr>
                            <w:color w:val="auto"/>
                          </w:rPr>
                        </w:pPr>
                        <w:r w:rsidRPr="0058455B">
                          <w:rPr>
                            <w:color w:val="auto"/>
                          </w:rPr>
                          <w:t>675204.5</w:t>
                        </w:r>
                      </w:p>
                    </w:tc>
                    <w:tc>
                      <w:tcPr>
                        <w:tcW w:w="0" w:type="dxa"/>
                        <w:shd w:val="clear" w:color="auto" w:fill="auto"/>
                        <w:noWrap/>
                        <w:vAlign w:val="top"/>
                        <w:hideMark/>
                      </w:tcPr>
                      <w:p w14:paraId="3C024A26" w14:textId="06C56D92" w:rsidR="0058455B" w:rsidRPr="0058455B" w:rsidRDefault="0058455B" w:rsidP="0058455B">
                        <w:pPr>
                          <w:pStyle w:val="TableText"/>
                          <w:cnfStyle w:val="000000100000" w:firstRow="0" w:lastRow="0" w:firstColumn="0" w:lastColumn="0" w:oddVBand="0" w:evenVBand="0" w:oddHBand="1" w:evenHBand="0" w:firstRowFirstColumn="0" w:firstRowLastColumn="0" w:lastRowFirstColumn="0" w:lastRowLastColumn="0"/>
                          <w:rPr>
                            <w:color w:val="auto"/>
                          </w:rPr>
                        </w:pPr>
                        <w:r w:rsidRPr="0058455B">
                          <w:rPr>
                            <w:color w:val="auto"/>
                          </w:rPr>
                          <w:t>3</w:t>
                        </w:r>
                        <w:r>
                          <w:rPr>
                            <w:color w:val="auto"/>
                          </w:rPr>
                          <w:t>,</w:t>
                        </w:r>
                        <w:r w:rsidRPr="0058455B">
                          <w:rPr>
                            <w:color w:val="auto"/>
                          </w:rPr>
                          <w:t>864</w:t>
                        </w:r>
                      </w:p>
                    </w:tc>
                    <w:tc>
                      <w:tcPr>
                        <w:tcW w:w="0" w:type="dxa"/>
                        <w:shd w:val="clear" w:color="auto" w:fill="auto"/>
                        <w:noWrap/>
                        <w:vAlign w:val="top"/>
                        <w:hideMark/>
                      </w:tcPr>
                      <w:p w14:paraId="3EE35571" w14:textId="77777777" w:rsidR="0058455B" w:rsidRPr="0058455B" w:rsidRDefault="0058455B" w:rsidP="0058455B">
                        <w:pPr>
                          <w:pStyle w:val="TableText"/>
                          <w:cnfStyle w:val="000000100000" w:firstRow="0" w:lastRow="0" w:firstColumn="0" w:lastColumn="0" w:oddVBand="0" w:evenVBand="0" w:oddHBand="1" w:evenHBand="0" w:firstRowFirstColumn="0" w:firstRowLastColumn="0" w:lastRowFirstColumn="0" w:lastRowLastColumn="0"/>
                          <w:rPr>
                            <w:color w:val="auto"/>
                          </w:rPr>
                        </w:pPr>
                        <w:r w:rsidRPr="0058455B">
                          <w:rPr>
                            <w:color w:val="auto"/>
                          </w:rPr>
                          <w:t>&lt;.001</w:t>
                        </w:r>
                      </w:p>
                    </w:tc>
                    <w:tc>
                      <w:tcPr>
                        <w:tcW w:w="0" w:type="dxa"/>
                        <w:shd w:val="clear" w:color="auto" w:fill="auto"/>
                        <w:noWrap/>
                        <w:vAlign w:val="top"/>
                        <w:hideMark/>
                      </w:tcPr>
                      <w:p w14:paraId="3251AE63" w14:textId="7B8D0737" w:rsidR="0058455B" w:rsidRPr="0058455B" w:rsidRDefault="0058455B" w:rsidP="0058455B">
                        <w:pPr>
                          <w:pStyle w:val="TableText"/>
                          <w:cnfStyle w:val="000000100000" w:firstRow="0" w:lastRow="0" w:firstColumn="0" w:lastColumn="0" w:oddVBand="0" w:evenVBand="0" w:oddHBand="1" w:evenHBand="0" w:firstRowFirstColumn="0" w:firstRowLastColumn="0" w:lastRowFirstColumn="0" w:lastRowLastColumn="0"/>
                          <w:rPr>
                            <w:color w:val="auto"/>
                          </w:rPr>
                        </w:pPr>
                        <w:r w:rsidRPr="0058455B">
                          <w:rPr>
                            <w:color w:val="auto"/>
                          </w:rPr>
                          <w:t>57.2% (n=2,209)</w:t>
                        </w:r>
                      </w:p>
                    </w:tc>
                  </w:tr>
                  <w:tr w:rsidR="0058455B" w:rsidRPr="007A1075" w14:paraId="17F71B08" w14:textId="77777777" w:rsidTr="00BC3586">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0" w:type="dxa"/>
                        <w:vMerge/>
                        <w:shd w:val="clear" w:color="auto" w:fill="auto"/>
                        <w:vAlign w:val="top"/>
                        <w:hideMark/>
                      </w:tcPr>
                      <w:p w14:paraId="2FFD1655" w14:textId="77777777" w:rsidR="0058455B" w:rsidRPr="0058455B" w:rsidRDefault="0058455B" w:rsidP="0058455B">
                        <w:pPr>
                          <w:pStyle w:val="TableText"/>
                          <w:rPr>
                            <w:color w:val="auto"/>
                          </w:rPr>
                        </w:pPr>
                      </w:p>
                    </w:tc>
                    <w:tc>
                      <w:tcPr>
                        <w:tcW w:w="0" w:type="dxa"/>
                        <w:vMerge/>
                        <w:shd w:val="clear" w:color="auto" w:fill="auto"/>
                        <w:vAlign w:val="top"/>
                        <w:hideMark/>
                      </w:tcPr>
                      <w:p w14:paraId="1B4E7939" w14:textId="77777777" w:rsidR="0058455B" w:rsidRPr="0058455B" w:rsidRDefault="0058455B" w:rsidP="0058455B">
                        <w:pPr>
                          <w:pStyle w:val="TableText"/>
                          <w:cnfStyle w:val="000000010000" w:firstRow="0" w:lastRow="0" w:firstColumn="0" w:lastColumn="0" w:oddVBand="0" w:evenVBand="0" w:oddHBand="0" w:evenHBand="1" w:firstRowFirstColumn="0" w:firstRowLastColumn="0" w:lastRowFirstColumn="0" w:lastRowLastColumn="0"/>
                          <w:rPr>
                            <w:color w:val="auto"/>
                          </w:rPr>
                        </w:pPr>
                      </w:p>
                    </w:tc>
                    <w:tc>
                      <w:tcPr>
                        <w:tcW w:w="0" w:type="dxa"/>
                        <w:shd w:val="clear" w:color="auto" w:fill="auto"/>
                        <w:noWrap/>
                        <w:vAlign w:val="top"/>
                        <w:hideMark/>
                      </w:tcPr>
                      <w:p w14:paraId="2C8D4EFC" w14:textId="77777777" w:rsidR="0058455B" w:rsidRPr="0058455B" w:rsidRDefault="0058455B" w:rsidP="0058455B">
                        <w:pPr>
                          <w:pStyle w:val="TableText"/>
                          <w:cnfStyle w:val="000000010000" w:firstRow="0" w:lastRow="0" w:firstColumn="0" w:lastColumn="0" w:oddVBand="0" w:evenVBand="0" w:oddHBand="0" w:evenHBand="1" w:firstRowFirstColumn="0" w:firstRowLastColumn="0" w:lastRowFirstColumn="0" w:lastRowLastColumn="0"/>
                          <w:rPr>
                            <w:color w:val="auto"/>
                          </w:rPr>
                        </w:pPr>
                        <w:r w:rsidRPr="0058455B">
                          <w:rPr>
                            <w:color w:val="auto"/>
                          </w:rPr>
                          <w:t>Changed impact of immediate crisis</w:t>
                        </w:r>
                      </w:p>
                    </w:tc>
                    <w:tc>
                      <w:tcPr>
                        <w:tcW w:w="0" w:type="dxa"/>
                        <w:shd w:val="clear" w:color="auto" w:fill="auto"/>
                        <w:noWrap/>
                        <w:vAlign w:val="top"/>
                        <w:hideMark/>
                      </w:tcPr>
                      <w:p w14:paraId="441BD3C4" w14:textId="77777777" w:rsidR="0058455B" w:rsidRPr="0058455B" w:rsidRDefault="0058455B" w:rsidP="0058455B">
                        <w:pPr>
                          <w:pStyle w:val="TableText"/>
                          <w:cnfStyle w:val="000000010000" w:firstRow="0" w:lastRow="0" w:firstColumn="0" w:lastColumn="0" w:oddVBand="0" w:evenVBand="0" w:oddHBand="0" w:evenHBand="1" w:firstRowFirstColumn="0" w:firstRowLastColumn="0" w:lastRowFirstColumn="0" w:lastRowLastColumn="0"/>
                          <w:rPr>
                            <w:color w:val="auto"/>
                          </w:rPr>
                        </w:pPr>
                        <w:r w:rsidRPr="0058455B">
                          <w:rPr>
                            <w:color w:val="auto"/>
                          </w:rPr>
                          <w:t>1.17</w:t>
                        </w:r>
                      </w:p>
                    </w:tc>
                    <w:tc>
                      <w:tcPr>
                        <w:tcW w:w="0" w:type="dxa"/>
                        <w:shd w:val="clear" w:color="auto" w:fill="auto"/>
                        <w:noWrap/>
                        <w:vAlign w:val="top"/>
                        <w:hideMark/>
                      </w:tcPr>
                      <w:p w14:paraId="7A97E535" w14:textId="77777777" w:rsidR="0058455B" w:rsidRPr="0058455B" w:rsidRDefault="0058455B" w:rsidP="0058455B">
                        <w:pPr>
                          <w:pStyle w:val="TableText"/>
                          <w:cnfStyle w:val="000000010000" w:firstRow="0" w:lastRow="0" w:firstColumn="0" w:lastColumn="0" w:oddVBand="0" w:evenVBand="0" w:oddHBand="0" w:evenHBand="1" w:firstRowFirstColumn="0" w:firstRowLastColumn="0" w:lastRowFirstColumn="0" w:lastRowLastColumn="0"/>
                          <w:rPr>
                            <w:color w:val="auto"/>
                          </w:rPr>
                        </w:pPr>
                        <w:r w:rsidRPr="0058455B">
                          <w:rPr>
                            <w:color w:val="auto"/>
                          </w:rPr>
                          <w:t>234809.5</w:t>
                        </w:r>
                      </w:p>
                    </w:tc>
                    <w:tc>
                      <w:tcPr>
                        <w:tcW w:w="0" w:type="dxa"/>
                        <w:shd w:val="clear" w:color="auto" w:fill="auto"/>
                        <w:noWrap/>
                        <w:vAlign w:val="top"/>
                        <w:hideMark/>
                      </w:tcPr>
                      <w:p w14:paraId="30412EBF" w14:textId="1EDDC5E8" w:rsidR="0058455B" w:rsidRPr="0058455B" w:rsidRDefault="0058455B" w:rsidP="0058455B">
                        <w:pPr>
                          <w:pStyle w:val="TableText"/>
                          <w:cnfStyle w:val="000000010000" w:firstRow="0" w:lastRow="0" w:firstColumn="0" w:lastColumn="0" w:oddVBand="0" w:evenVBand="0" w:oddHBand="0" w:evenHBand="1" w:firstRowFirstColumn="0" w:firstRowLastColumn="0" w:lastRowFirstColumn="0" w:lastRowLastColumn="0"/>
                          <w:rPr>
                            <w:color w:val="auto"/>
                          </w:rPr>
                        </w:pPr>
                        <w:r w:rsidRPr="0058455B">
                          <w:rPr>
                            <w:color w:val="auto"/>
                          </w:rPr>
                          <w:t>2</w:t>
                        </w:r>
                        <w:r>
                          <w:rPr>
                            <w:color w:val="auto"/>
                          </w:rPr>
                          <w:t>,</w:t>
                        </w:r>
                        <w:r w:rsidRPr="0058455B">
                          <w:rPr>
                            <w:color w:val="auto"/>
                          </w:rPr>
                          <w:t>871</w:t>
                        </w:r>
                      </w:p>
                    </w:tc>
                    <w:tc>
                      <w:tcPr>
                        <w:tcW w:w="0" w:type="dxa"/>
                        <w:shd w:val="clear" w:color="auto" w:fill="auto"/>
                        <w:noWrap/>
                        <w:vAlign w:val="top"/>
                        <w:hideMark/>
                      </w:tcPr>
                      <w:p w14:paraId="4FAB1F0A" w14:textId="77777777" w:rsidR="0058455B" w:rsidRPr="0058455B" w:rsidRDefault="0058455B" w:rsidP="0058455B">
                        <w:pPr>
                          <w:pStyle w:val="TableText"/>
                          <w:cnfStyle w:val="000000010000" w:firstRow="0" w:lastRow="0" w:firstColumn="0" w:lastColumn="0" w:oddVBand="0" w:evenVBand="0" w:oddHBand="0" w:evenHBand="1" w:firstRowFirstColumn="0" w:firstRowLastColumn="0" w:lastRowFirstColumn="0" w:lastRowLastColumn="0"/>
                          <w:rPr>
                            <w:color w:val="auto"/>
                          </w:rPr>
                        </w:pPr>
                        <w:r w:rsidRPr="0058455B">
                          <w:rPr>
                            <w:color w:val="auto"/>
                          </w:rPr>
                          <w:t>&lt;.001</w:t>
                        </w:r>
                      </w:p>
                    </w:tc>
                    <w:tc>
                      <w:tcPr>
                        <w:tcW w:w="0" w:type="dxa"/>
                        <w:shd w:val="clear" w:color="auto" w:fill="auto"/>
                        <w:noWrap/>
                        <w:vAlign w:val="top"/>
                        <w:hideMark/>
                      </w:tcPr>
                      <w:p w14:paraId="72D2B1AC" w14:textId="6579B8EF" w:rsidR="0058455B" w:rsidRPr="0058455B" w:rsidRDefault="0058455B" w:rsidP="0058455B">
                        <w:pPr>
                          <w:pStyle w:val="TableText"/>
                          <w:cnfStyle w:val="000000010000" w:firstRow="0" w:lastRow="0" w:firstColumn="0" w:lastColumn="0" w:oddVBand="0" w:evenVBand="0" w:oddHBand="0" w:evenHBand="1" w:firstRowFirstColumn="0" w:firstRowLastColumn="0" w:lastRowFirstColumn="0" w:lastRowLastColumn="0"/>
                          <w:rPr>
                            <w:color w:val="auto"/>
                          </w:rPr>
                        </w:pPr>
                        <w:r w:rsidRPr="0058455B">
                          <w:rPr>
                            <w:color w:val="auto"/>
                          </w:rPr>
                          <w:t>67.3% (n=1,932)</w:t>
                        </w:r>
                      </w:p>
                    </w:tc>
                  </w:tr>
                  <w:tr w:rsidR="0058455B" w:rsidRPr="007A1075" w14:paraId="33B92D6E" w14:textId="77777777" w:rsidTr="00BC358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0" w:type="dxa"/>
                        <w:vMerge/>
                        <w:shd w:val="clear" w:color="auto" w:fill="auto"/>
                        <w:vAlign w:val="top"/>
                        <w:hideMark/>
                      </w:tcPr>
                      <w:p w14:paraId="7DD4CC02" w14:textId="77777777" w:rsidR="0058455B" w:rsidRPr="0058455B" w:rsidRDefault="0058455B" w:rsidP="0058455B">
                        <w:pPr>
                          <w:pStyle w:val="TableText"/>
                          <w:rPr>
                            <w:color w:val="auto"/>
                          </w:rPr>
                        </w:pPr>
                      </w:p>
                    </w:tc>
                    <w:tc>
                      <w:tcPr>
                        <w:tcW w:w="0" w:type="dxa"/>
                        <w:vMerge/>
                        <w:shd w:val="clear" w:color="auto" w:fill="auto"/>
                        <w:vAlign w:val="top"/>
                        <w:hideMark/>
                      </w:tcPr>
                      <w:p w14:paraId="67A35B37" w14:textId="77777777" w:rsidR="0058455B" w:rsidRPr="0058455B" w:rsidRDefault="0058455B" w:rsidP="0058455B">
                        <w:pPr>
                          <w:pStyle w:val="TableText"/>
                          <w:cnfStyle w:val="000000100000" w:firstRow="0" w:lastRow="0" w:firstColumn="0" w:lastColumn="0" w:oddVBand="0" w:evenVBand="0" w:oddHBand="1" w:evenHBand="0" w:firstRowFirstColumn="0" w:firstRowLastColumn="0" w:lastRowFirstColumn="0" w:lastRowLastColumn="0"/>
                          <w:rPr>
                            <w:color w:val="auto"/>
                          </w:rPr>
                        </w:pPr>
                      </w:p>
                    </w:tc>
                    <w:tc>
                      <w:tcPr>
                        <w:tcW w:w="0" w:type="dxa"/>
                        <w:shd w:val="clear" w:color="auto" w:fill="auto"/>
                        <w:noWrap/>
                        <w:vAlign w:val="top"/>
                        <w:hideMark/>
                      </w:tcPr>
                      <w:p w14:paraId="00EF3BCE" w14:textId="77777777" w:rsidR="0058455B" w:rsidRPr="0058455B" w:rsidRDefault="0058455B" w:rsidP="0058455B">
                        <w:pPr>
                          <w:pStyle w:val="TableText"/>
                          <w:cnfStyle w:val="000000100000" w:firstRow="0" w:lastRow="0" w:firstColumn="0" w:lastColumn="0" w:oddVBand="0" w:evenVBand="0" w:oddHBand="1" w:evenHBand="0" w:firstRowFirstColumn="0" w:firstRowLastColumn="0" w:lastRowFirstColumn="0" w:lastRowLastColumn="0"/>
                          <w:rPr>
                            <w:color w:val="auto"/>
                          </w:rPr>
                        </w:pPr>
                        <w:r w:rsidRPr="0058455B">
                          <w:rPr>
                            <w:color w:val="auto"/>
                          </w:rPr>
                          <w:t>Changed knowledge and access to information</w:t>
                        </w:r>
                      </w:p>
                    </w:tc>
                    <w:tc>
                      <w:tcPr>
                        <w:tcW w:w="0" w:type="dxa"/>
                        <w:shd w:val="clear" w:color="auto" w:fill="auto"/>
                        <w:noWrap/>
                        <w:vAlign w:val="top"/>
                        <w:hideMark/>
                      </w:tcPr>
                      <w:p w14:paraId="74D5F3BF" w14:textId="77777777" w:rsidR="0058455B" w:rsidRPr="0058455B" w:rsidRDefault="0058455B" w:rsidP="0058455B">
                        <w:pPr>
                          <w:pStyle w:val="TableText"/>
                          <w:cnfStyle w:val="000000100000" w:firstRow="0" w:lastRow="0" w:firstColumn="0" w:lastColumn="0" w:oddVBand="0" w:evenVBand="0" w:oddHBand="1" w:evenHBand="0" w:firstRowFirstColumn="0" w:firstRowLastColumn="0" w:lastRowFirstColumn="0" w:lastRowLastColumn="0"/>
                          <w:rPr>
                            <w:color w:val="auto"/>
                          </w:rPr>
                        </w:pPr>
                        <w:r w:rsidRPr="0058455B">
                          <w:rPr>
                            <w:color w:val="auto"/>
                          </w:rPr>
                          <w:t>1.07</w:t>
                        </w:r>
                      </w:p>
                    </w:tc>
                    <w:tc>
                      <w:tcPr>
                        <w:tcW w:w="0" w:type="dxa"/>
                        <w:shd w:val="clear" w:color="auto" w:fill="auto"/>
                        <w:noWrap/>
                        <w:vAlign w:val="top"/>
                        <w:hideMark/>
                      </w:tcPr>
                      <w:p w14:paraId="4EF4E325" w14:textId="77777777" w:rsidR="0058455B" w:rsidRPr="0058455B" w:rsidRDefault="0058455B" w:rsidP="0058455B">
                        <w:pPr>
                          <w:pStyle w:val="TableText"/>
                          <w:cnfStyle w:val="000000100000" w:firstRow="0" w:lastRow="0" w:firstColumn="0" w:lastColumn="0" w:oddVBand="0" w:evenVBand="0" w:oddHBand="1" w:evenHBand="0" w:firstRowFirstColumn="0" w:firstRowLastColumn="0" w:lastRowFirstColumn="0" w:lastRowLastColumn="0"/>
                          <w:rPr>
                            <w:color w:val="auto"/>
                          </w:rPr>
                        </w:pPr>
                        <w:r w:rsidRPr="0058455B">
                          <w:rPr>
                            <w:color w:val="auto"/>
                          </w:rPr>
                          <w:t>605980</w:t>
                        </w:r>
                      </w:p>
                    </w:tc>
                    <w:tc>
                      <w:tcPr>
                        <w:tcW w:w="0" w:type="dxa"/>
                        <w:shd w:val="clear" w:color="auto" w:fill="auto"/>
                        <w:noWrap/>
                        <w:vAlign w:val="top"/>
                        <w:hideMark/>
                      </w:tcPr>
                      <w:p w14:paraId="23BAD218" w14:textId="390D92D9" w:rsidR="0058455B" w:rsidRPr="0058455B" w:rsidRDefault="0058455B" w:rsidP="0058455B">
                        <w:pPr>
                          <w:pStyle w:val="TableText"/>
                          <w:cnfStyle w:val="000000100000" w:firstRow="0" w:lastRow="0" w:firstColumn="0" w:lastColumn="0" w:oddVBand="0" w:evenVBand="0" w:oddHBand="1" w:evenHBand="0" w:firstRowFirstColumn="0" w:firstRowLastColumn="0" w:lastRowFirstColumn="0" w:lastRowLastColumn="0"/>
                          <w:rPr>
                            <w:color w:val="auto"/>
                          </w:rPr>
                        </w:pPr>
                        <w:r w:rsidRPr="0058455B">
                          <w:rPr>
                            <w:color w:val="auto"/>
                          </w:rPr>
                          <w:t>4</w:t>
                        </w:r>
                        <w:r>
                          <w:rPr>
                            <w:color w:val="auto"/>
                          </w:rPr>
                          <w:t>,</w:t>
                        </w:r>
                        <w:r w:rsidRPr="0058455B">
                          <w:rPr>
                            <w:color w:val="auto"/>
                          </w:rPr>
                          <w:t>347</w:t>
                        </w:r>
                      </w:p>
                    </w:tc>
                    <w:tc>
                      <w:tcPr>
                        <w:tcW w:w="0" w:type="dxa"/>
                        <w:shd w:val="clear" w:color="auto" w:fill="auto"/>
                        <w:noWrap/>
                        <w:vAlign w:val="top"/>
                        <w:hideMark/>
                      </w:tcPr>
                      <w:p w14:paraId="511A996A" w14:textId="77777777" w:rsidR="0058455B" w:rsidRPr="0058455B" w:rsidRDefault="0058455B" w:rsidP="0058455B">
                        <w:pPr>
                          <w:pStyle w:val="TableText"/>
                          <w:cnfStyle w:val="000000100000" w:firstRow="0" w:lastRow="0" w:firstColumn="0" w:lastColumn="0" w:oddVBand="0" w:evenVBand="0" w:oddHBand="1" w:evenHBand="0" w:firstRowFirstColumn="0" w:firstRowLastColumn="0" w:lastRowFirstColumn="0" w:lastRowLastColumn="0"/>
                          <w:rPr>
                            <w:color w:val="auto"/>
                          </w:rPr>
                        </w:pPr>
                        <w:r w:rsidRPr="0058455B">
                          <w:rPr>
                            <w:color w:val="auto"/>
                          </w:rPr>
                          <w:t>&lt;.001</w:t>
                        </w:r>
                      </w:p>
                    </w:tc>
                    <w:tc>
                      <w:tcPr>
                        <w:tcW w:w="0" w:type="dxa"/>
                        <w:shd w:val="clear" w:color="auto" w:fill="auto"/>
                        <w:noWrap/>
                        <w:vAlign w:val="top"/>
                        <w:hideMark/>
                      </w:tcPr>
                      <w:p w14:paraId="047C6847" w14:textId="6AAACDBF" w:rsidR="0058455B" w:rsidRPr="0058455B" w:rsidRDefault="0058455B" w:rsidP="0058455B">
                        <w:pPr>
                          <w:pStyle w:val="TableText"/>
                          <w:cnfStyle w:val="000000100000" w:firstRow="0" w:lastRow="0" w:firstColumn="0" w:lastColumn="0" w:oddVBand="0" w:evenVBand="0" w:oddHBand="1" w:evenHBand="0" w:firstRowFirstColumn="0" w:firstRowLastColumn="0" w:lastRowFirstColumn="0" w:lastRowLastColumn="0"/>
                          <w:rPr>
                            <w:color w:val="auto"/>
                          </w:rPr>
                        </w:pPr>
                        <w:r w:rsidRPr="0058455B">
                          <w:rPr>
                            <w:color w:val="auto"/>
                          </w:rPr>
                          <w:t>63.8% (n=2,772)</w:t>
                        </w:r>
                      </w:p>
                    </w:tc>
                  </w:tr>
                  <w:tr w:rsidR="0058455B" w:rsidRPr="007A1075" w14:paraId="589D5B00" w14:textId="77777777" w:rsidTr="00BC3586">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0" w:type="dxa"/>
                        <w:vMerge/>
                        <w:shd w:val="clear" w:color="auto" w:fill="auto"/>
                        <w:vAlign w:val="top"/>
                        <w:hideMark/>
                      </w:tcPr>
                      <w:p w14:paraId="6210B34B" w14:textId="77777777" w:rsidR="0058455B" w:rsidRPr="0058455B" w:rsidRDefault="0058455B" w:rsidP="0058455B">
                        <w:pPr>
                          <w:pStyle w:val="TableText"/>
                          <w:rPr>
                            <w:color w:val="auto"/>
                          </w:rPr>
                        </w:pPr>
                      </w:p>
                    </w:tc>
                    <w:tc>
                      <w:tcPr>
                        <w:tcW w:w="0" w:type="dxa"/>
                        <w:vMerge/>
                        <w:shd w:val="clear" w:color="auto" w:fill="auto"/>
                        <w:vAlign w:val="top"/>
                        <w:hideMark/>
                      </w:tcPr>
                      <w:p w14:paraId="35BB3863" w14:textId="77777777" w:rsidR="0058455B" w:rsidRPr="0058455B" w:rsidRDefault="0058455B" w:rsidP="0058455B">
                        <w:pPr>
                          <w:pStyle w:val="TableText"/>
                          <w:cnfStyle w:val="000000010000" w:firstRow="0" w:lastRow="0" w:firstColumn="0" w:lastColumn="0" w:oddVBand="0" w:evenVBand="0" w:oddHBand="0" w:evenHBand="1" w:firstRowFirstColumn="0" w:firstRowLastColumn="0" w:lastRowFirstColumn="0" w:lastRowLastColumn="0"/>
                          <w:rPr>
                            <w:color w:val="auto"/>
                          </w:rPr>
                        </w:pPr>
                      </w:p>
                    </w:tc>
                    <w:tc>
                      <w:tcPr>
                        <w:tcW w:w="0" w:type="dxa"/>
                        <w:shd w:val="clear" w:color="auto" w:fill="auto"/>
                        <w:noWrap/>
                        <w:vAlign w:val="top"/>
                        <w:hideMark/>
                      </w:tcPr>
                      <w:p w14:paraId="6A6EF645" w14:textId="77777777" w:rsidR="0058455B" w:rsidRPr="0058455B" w:rsidRDefault="0058455B" w:rsidP="0058455B">
                        <w:pPr>
                          <w:pStyle w:val="TableText"/>
                          <w:cnfStyle w:val="000000010000" w:firstRow="0" w:lastRow="0" w:firstColumn="0" w:lastColumn="0" w:oddVBand="0" w:evenVBand="0" w:oddHBand="0" w:evenHBand="1" w:firstRowFirstColumn="0" w:firstRowLastColumn="0" w:lastRowFirstColumn="0" w:lastRowLastColumn="0"/>
                          <w:rPr>
                            <w:color w:val="auto"/>
                          </w:rPr>
                        </w:pPr>
                        <w:r w:rsidRPr="0058455B">
                          <w:rPr>
                            <w:color w:val="auto"/>
                          </w:rPr>
                          <w:t>Changed skills</w:t>
                        </w:r>
                      </w:p>
                    </w:tc>
                    <w:tc>
                      <w:tcPr>
                        <w:tcW w:w="0" w:type="dxa"/>
                        <w:shd w:val="clear" w:color="auto" w:fill="auto"/>
                        <w:noWrap/>
                        <w:vAlign w:val="top"/>
                        <w:hideMark/>
                      </w:tcPr>
                      <w:p w14:paraId="3DEA99C5" w14:textId="77777777" w:rsidR="0058455B" w:rsidRPr="0058455B" w:rsidRDefault="0058455B" w:rsidP="0058455B">
                        <w:pPr>
                          <w:pStyle w:val="TableText"/>
                          <w:cnfStyle w:val="000000010000" w:firstRow="0" w:lastRow="0" w:firstColumn="0" w:lastColumn="0" w:oddVBand="0" w:evenVBand="0" w:oddHBand="0" w:evenHBand="1" w:firstRowFirstColumn="0" w:firstRowLastColumn="0" w:lastRowFirstColumn="0" w:lastRowLastColumn="0"/>
                          <w:rPr>
                            <w:color w:val="auto"/>
                          </w:rPr>
                        </w:pPr>
                        <w:r w:rsidRPr="0058455B">
                          <w:rPr>
                            <w:color w:val="auto"/>
                          </w:rPr>
                          <w:t>0.92</w:t>
                        </w:r>
                      </w:p>
                    </w:tc>
                    <w:tc>
                      <w:tcPr>
                        <w:tcW w:w="0" w:type="dxa"/>
                        <w:shd w:val="clear" w:color="auto" w:fill="auto"/>
                        <w:noWrap/>
                        <w:vAlign w:val="top"/>
                        <w:hideMark/>
                      </w:tcPr>
                      <w:p w14:paraId="6C19F933" w14:textId="77777777" w:rsidR="0058455B" w:rsidRPr="0058455B" w:rsidRDefault="0058455B" w:rsidP="0058455B">
                        <w:pPr>
                          <w:pStyle w:val="TableText"/>
                          <w:cnfStyle w:val="000000010000" w:firstRow="0" w:lastRow="0" w:firstColumn="0" w:lastColumn="0" w:oddVBand="0" w:evenVBand="0" w:oddHBand="0" w:evenHBand="1" w:firstRowFirstColumn="0" w:firstRowLastColumn="0" w:lastRowFirstColumn="0" w:lastRowLastColumn="0"/>
                          <w:rPr>
                            <w:color w:val="auto"/>
                          </w:rPr>
                        </w:pPr>
                        <w:r w:rsidRPr="0058455B">
                          <w:rPr>
                            <w:color w:val="auto"/>
                          </w:rPr>
                          <w:t>616577</w:t>
                        </w:r>
                      </w:p>
                    </w:tc>
                    <w:tc>
                      <w:tcPr>
                        <w:tcW w:w="0" w:type="dxa"/>
                        <w:shd w:val="clear" w:color="auto" w:fill="auto"/>
                        <w:noWrap/>
                        <w:vAlign w:val="top"/>
                        <w:hideMark/>
                      </w:tcPr>
                      <w:p w14:paraId="3B7A032D" w14:textId="5025B1B3" w:rsidR="0058455B" w:rsidRPr="0058455B" w:rsidRDefault="0058455B" w:rsidP="0058455B">
                        <w:pPr>
                          <w:pStyle w:val="TableText"/>
                          <w:cnfStyle w:val="000000010000" w:firstRow="0" w:lastRow="0" w:firstColumn="0" w:lastColumn="0" w:oddVBand="0" w:evenVBand="0" w:oddHBand="0" w:evenHBand="1" w:firstRowFirstColumn="0" w:firstRowLastColumn="0" w:lastRowFirstColumn="0" w:lastRowLastColumn="0"/>
                          <w:rPr>
                            <w:color w:val="auto"/>
                          </w:rPr>
                        </w:pPr>
                        <w:r w:rsidRPr="0058455B">
                          <w:rPr>
                            <w:color w:val="auto"/>
                          </w:rPr>
                          <w:t>3</w:t>
                        </w:r>
                        <w:r>
                          <w:rPr>
                            <w:color w:val="auto"/>
                          </w:rPr>
                          <w:t>,</w:t>
                        </w:r>
                        <w:r w:rsidRPr="0058455B">
                          <w:rPr>
                            <w:color w:val="auto"/>
                          </w:rPr>
                          <w:t>939</w:t>
                        </w:r>
                      </w:p>
                    </w:tc>
                    <w:tc>
                      <w:tcPr>
                        <w:tcW w:w="0" w:type="dxa"/>
                        <w:shd w:val="clear" w:color="auto" w:fill="auto"/>
                        <w:noWrap/>
                        <w:vAlign w:val="top"/>
                        <w:hideMark/>
                      </w:tcPr>
                      <w:p w14:paraId="52D8B3AE" w14:textId="77777777" w:rsidR="0058455B" w:rsidRPr="0058455B" w:rsidRDefault="0058455B" w:rsidP="0058455B">
                        <w:pPr>
                          <w:pStyle w:val="TableText"/>
                          <w:cnfStyle w:val="000000010000" w:firstRow="0" w:lastRow="0" w:firstColumn="0" w:lastColumn="0" w:oddVBand="0" w:evenVBand="0" w:oddHBand="0" w:evenHBand="1" w:firstRowFirstColumn="0" w:firstRowLastColumn="0" w:lastRowFirstColumn="0" w:lastRowLastColumn="0"/>
                          <w:rPr>
                            <w:color w:val="auto"/>
                          </w:rPr>
                        </w:pPr>
                        <w:r w:rsidRPr="0058455B">
                          <w:rPr>
                            <w:color w:val="auto"/>
                          </w:rPr>
                          <w:t>&lt;.001</w:t>
                        </w:r>
                      </w:p>
                    </w:tc>
                    <w:tc>
                      <w:tcPr>
                        <w:tcW w:w="0" w:type="dxa"/>
                        <w:shd w:val="clear" w:color="auto" w:fill="auto"/>
                        <w:noWrap/>
                        <w:vAlign w:val="top"/>
                        <w:hideMark/>
                      </w:tcPr>
                      <w:p w14:paraId="5E720E59" w14:textId="0A228E94" w:rsidR="0058455B" w:rsidRPr="0058455B" w:rsidRDefault="0058455B" w:rsidP="0058455B">
                        <w:pPr>
                          <w:pStyle w:val="TableText"/>
                          <w:cnfStyle w:val="000000010000" w:firstRow="0" w:lastRow="0" w:firstColumn="0" w:lastColumn="0" w:oddVBand="0" w:evenVBand="0" w:oddHBand="0" w:evenHBand="1" w:firstRowFirstColumn="0" w:firstRowLastColumn="0" w:lastRowFirstColumn="0" w:lastRowLastColumn="0"/>
                          <w:rPr>
                            <w:color w:val="auto"/>
                          </w:rPr>
                        </w:pPr>
                        <w:r w:rsidRPr="0058455B">
                          <w:rPr>
                            <w:color w:val="auto"/>
                          </w:rPr>
                          <w:t>58.8% (n=2,318)</w:t>
                        </w:r>
                      </w:p>
                    </w:tc>
                  </w:tr>
                  <w:tr w:rsidR="0058455B" w:rsidRPr="007A1075" w14:paraId="50E171B5" w14:textId="77777777" w:rsidTr="00BC358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0" w:type="dxa"/>
                        <w:vMerge/>
                        <w:shd w:val="clear" w:color="auto" w:fill="auto"/>
                        <w:vAlign w:val="top"/>
                        <w:hideMark/>
                      </w:tcPr>
                      <w:p w14:paraId="27B8F3B5" w14:textId="77777777" w:rsidR="0058455B" w:rsidRPr="0058455B" w:rsidRDefault="0058455B" w:rsidP="0058455B">
                        <w:pPr>
                          <w:pStyle w:val="TableText"/>
                          <w:rPr>
                            <w:color w:val="auto"/>
                          </w:rPr>
                        </w:pPr>
                      </w:p>
                    </w:tc>
                    <w:tc>
                      <w:tcPr>
                        <w:tcW w:w="0" w:type="dxa"/>
                        <w:vMerge/>
                        <w:shd w:val="clear" w:color="auto" w:fill="auto"/>
                        <w:vAlign w:val="top"/>
                        <w:hideMark/>
                      </w:tcPr>
                      <w:p w14:paraId="7D6A1F06" w14:textId="77777777" w:rsidR="0058455B" w:rsidRPr="0058455B" w:rsidRDefault="0058455B" w:rsidP="0058455B">
                        <w:pPr>
                          <w:pStyle w:val="TableText"/>
                          <w:cnfStyle w:val="000000100000" w:firstRow="0" w:lastRow="0" w:firstColumn="0" w:lastColumn="0" w:oddVBand="0" w:evenVBand="0" w:oddHBand="1" w:evenHBand="0" w:firstRowFirstColumn="0" w:firstRowLastColumn="0" w:lastRowFirstColumn="0" w:lastRowLastColumn="0"/>
                          <w:rPr>
                            <w:color w:val="auto"/>
                          </w:rPr>
                        </w:pPr>
                      </w:p>
                    </w:tc>
                    <w:tc>
                      <w:tcPr>
                        <w:tcW w:w="0" w:type="dxa"/>
                        <w:shd w:val="clear" w:color="auto" w:fill="auto"/>
                        <w:noWrap/>
                        <w:vAlign w:val="top"/>
                        <w:hideMark/>
                      </w:tcPr>
                      <w:p w14:paraId="6B3512D4" w14:textId="77777777" w:rsidR="0058455B" w:rsidRPr="0058455B" w:rsidRDefault="0058455B" w:rsidP="0058455B">
                        <w:pPr>
                          <w:pStyle w:val="TableText"/>
                          <w:cnfStyle w:val="000000100000" w:firstRow="0" w:lastRow="0" w:firstColumn="0" w:lastColumn="0" w:oddVBand="0" w:evenVBand="0" w:oddHBand="1" w:evenHBand="0" w:firstRowFirstColumn="0" w:firstRowLastColumn="0" w:lastRowFirstColumn="0" w:lastRowLastColumn="0"/>
                          <w:rPr>
                            <w:color w:val="auto"/>
                            <w:lang w:val="en-NZ"/>
                          </w:rPr>
                        </w:pPr>
                        <w:r w:rsidRPr="57F92EFB">
                          <w:rPr>
                            <w:color w:val="auto"/>
                            <w:lang w:val="en-NZ"/>
                          </w:rPr>
                          <w:t>Empowerment, choice and control to make own decisions</w:t>
                        </w:r>
                      </w:p>
                    </w:tc>
                    <w:tc>
                      <w:tcPr>
                        <w:tcW w:w="0" w:type="dxa"/>
                        <w:shd w:val="clear" w:color="auto" w:fill="auto"/>
                        <w:noWrap/>
                        <w:vAlign w:val="top"/>
                        <w:hideMark/>
                      </w:tcPr>
                      <w:p w14:paraId="6E202D59" w14:textId="77777777" w:rsidR="0058455B" w:rsidRPr="0058455B" w:rsidRDefault="0058455B" w:rsidP="0058455B">
                        <w:pPr>
                          <w:pStyle w:val="TableText"/>
                          <w:cnfStyle w:val="000000100000" w:firstRow="0" w:lastRow="0" w:firstColumn="0" w:lastColumn="0" w:oddVBand="0" w:evenVBand="0" w:oddHBand="1" w:evenHBand="0" w:firstRowFirstColumn="0" w:firstRowLastColumn="0" w:lastRowFirstColumn="0" w:lastRowLastColumn="0"/>
                          <w:rPr>
                            <w:color w:val="auto"/>
                          </w:rPr>
                        </w:pPr>
                        <w:r w:rsidRPr="0058455B">
                          <w:rPr>
                            <w:color w:val="auto"/>
                          </w:rPr>
                          <w:t>1.05</w:t>
                        </w:r>
                      </w:p>
                    </w:tc>
                    <w:tc>
                      <w:tcPr>
                        <w:tcW w:w="0" w:type="dxa"/>
                        <w:shd w:val="clear" w:color="auto" w:fill="auto"/>
                        <w:noWrap/>
                        <w:vAlign w:val="top"/>
                        <w:hideMark/>
                      </w:tcPr>
                      <w:p w14:paraId="6378A38B" w14:textId="77777777" w:rsidR="0058455B" w:rsidRPr="0058455B" w:rsidRDefault="0058455B" w:rsidP="0058455B">
                        <w:pPr>
                          <w:pStyle w:val="TableText"/>
                          <w:cnfStyle w:val="000000100000" w:firstRow="0" w:lastRow="0" w:firstColumn="0" w:lastColumn="0" w:oddVBand="0" w:evenVBand="0" w:oddHBand="1" w:evenHBand="0" w:firstRowFirstColumn="0" w:firstRowLastColumn="0" w:lastRowFirstColumn="0" w:lastRowLastColumn="0"/>
                          <w:rPr>
                            <w:color w:val="auto"/>
                          </w:rPr>
                        </w:pPr>
                        <w:r w:rsidRPr="0058455B">
                          <w:rPr>
                            <w:color w:val="auto"/>
                          </w:rPr>
                          <w:t>655602</w:t>
                        </w:r>
                      </w:p>
                    </w:tc>
                    <w:tc>
                      <w:tcPr>
                        <w:tcW w:w="0" w:type="dxa"/>
                        <w:shd w:val="clear" w:color="auto" w:fill="auto"/>
                        <w:noWrap/>
                        <w:vAlign w:val="top"/>
                        <w:hideMark/>
                      </w:tcPr>
                      <w:p w14:paraId="26270136" w14:textId="6ED4CDBB" w:rsidR="0058455B" w:rsidRPr="0058455B" w:rsidRDefault="0058455B" w:rsidP="0058455B">
                        <w:pPr>
                          <w:pStyle w:val="TableText"/>
                          <w:cnfStyle w:val="000000100000" w:firstRow="0" w:lastRow="0" w:firstColumn="0" w:lastColumn="0" w:oddVBand="0" w:evenVBand="0" w:oddHBand="1" w:evenHBand="0" w:firstRowFirstColumn="0" w:firstRowLastColumn="0" w:lastRowFirstColumn="0" w:lastRowLastColumn="0"/>
                          <w:rPr>
                            <w:color w:val="auto"/>
                          </w:rPr>
                        </w:pPr>
                        <w:r w:rsidRPr="0058455B">
                          <w:rPr>
                            <w:color w:val="auto"/>
                          </w:rPr>
                          <w:t>4</w:t>
                        </w:r>
                        <w:r>
                          <w:rPr>
                            <w:color w:val="auto"/>
                          </w:rPr>
                          <w:t>,</w:t>
                        </w:r>
                        <w:r w:rsidRPr="0058455B">
                          <w:rPr>
                            <w:color w:val="auto"/>
                          </w:rPr>
                          <w:t>257</w:t>
                        </w:r>
                      </w:p>
                    </w:tc>
                    <w:tc>
                      <w:tcPr>
                        <w:tcW w:w="0" w:type="dxa"/>
                        <w:shd w:val="clear" w:color="auto" w:fill="auto"/>
                        <w:noWrap/>
                        <w:vAlign w:val="top"/>
                        <w:hideMark/>
                      </w:tcPr>
                      <w:p w14:paraId="416635CE" w14:textId="77777777" w:rsidR="0058455B" w:rsidRPr="0058455B" w:rsidRDefault="0058455B" w:rsidP="0058455B">
                        <w:pPr>
                          <w:pStyle w:val="TableText"/>
                          <w:cnfStyle w:val="000000100000" w:firstRow="0" w:lastRow="0" w:firstColumn="0" w:lastColumn="0" w:oddVBand="0" w:evenVBand="0" w:oddHBand="1" w:evenHBand="0" w:firstRowFirstColumn="0" w:firstRowLastColumn="0" w:lastRowFirstColumn="0" w:lastRowLastColumn="0"/>
                          <w:rPr>
                            <w:color w:val="auto"/>
                          </w:rPr>
                        </w:pPr>
                        <w:r w:rsidRPr="0058455B">
                          <w:rPr>
                            <w:color w:val="auto"/>
                          </w:rPr>
                          <w:t>&lt;.001</w:t>
                        </w:r>
                      </w:p>
                    </w:tc>
                    <w:tc>
                      <w:tcPr>
                        <w:tcW w:w="0" w:type="dxa"/>
                        <w:shd w:val="clear" w:color="auto" w:fill="auto"/>
                        <w:noWrap/>
                        <w:vAlign w:val="top"/>
                        <w:hideMark/>
                      </w:tcPr>
                      <w:p w14:paraId="092AFABA" w14:textId="71C8D572" w:rsidR="0058455B" w:rsidRPr="0058455B" w:rsidRDefault="0058455B" w:rsidP="0058455B">
                        <w:pPr>
                          <w:pStyle w:val="TableText"/>
                          <w:cnfStyle w:val="000000100000" w:firstRow="0" w:lastRow="0" w:firstColumn="0" w:lastColumn="0" w:oddVBand="0" w:evenVBand="0" w:oddHBand="1" w:evenHBand="0" w:firstRowFirstColumn="0" w:firstRowLastColumn="0" w:lastRowFirstColumn="0" w:lastRowLastColumn="0"/>
                          <w:rPr>
                            <w:color w:val="auto"/>
                          </w:rPr>
                        </w:pPr>
                        <w:r w:rsidRPr="0058455B">
                          <w:rPr>
                            <w:color w:val="auto"/>
                          </w:rPr>
                          <w:t>62.2% (n=2,648)</w:t>
                        </w:r>
                      </w:p>
                    </w:tc>
                  </w:tr>
                  <w:tr w:rsidR="0058455B" w:rsidRPr="007A1075" w14:paraId="723F9863" w14:textId="77777777" w:rsidTr="00BC3586">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0" w:type="dxa"/>
                        <w:vMerge/>
                        <w:shd w:val="clear" w:color="auto" w:fill="auto"/>
                        <w:vAlign w:val="top"/>
                        <w:hideMark/>
                      </w:tcPr>
                      <w:p w14:paraId="73D4192C" w14:textId="77777777" w:rsidR="0058455B" w:rsidRPr="0058455B" w:rsidRDefault="0058455B" w:rsidP="0058455B">
                        <w:pPr>
                          <w:pStyle w:val="TableText"/>
                          <w:rPr>
                            <w:color w:val="auto"/>
                          </w:rPr>
                        </w:pPr>
                      </w:p>
                    </w:tc>
                    <w:tc>
                      <w:tcPr>
                        <w:tcW w:w="0" w:type="dxa"/>
                        <w:vMerge/>
                        <w:shd w:val="clear" w:color="auto" w:fill="auto"/>
                        <w:vAlign w:val="top"/>
                        <w:hideMark/>
                      </w:tcPr>
                      <w:p w14:paraId="2AD6A6D2" w14:textId="77777777" w:rsidR="0058455B" w:rsidRPr="0058455B" w:rsidRDefault="0058455B" w:rsidP="0058455B">
                        <w:pPr>
                          <w:pStyle w:val="TableText"/>
                          <w:cnfStyle w:val="000000010000" w:firstRow="0" w:lastRow="0" w:firstColumn="0" w:lastColumn="0" w:oddVBand="0" w:evenVBand="0" w:oddHBand="0" w:evenHBand="1" w:firstRowFirstColumn="0" w:firstRowLastColumn="0" w:lastRowFirstColumn="0" w:lastRowLastColumn="0"/>
                          <w:rPr>
                            <w:color w:val="auto"/>
                          </w:rPr>
                        </w:pPr>
                      </w:p>
                    </w:tc>
                    <w:tc>
                      <w:tcPr>
                        <w:tcW w:w="0" w:type="dxa"/>
                        <w:shd w:val="clear" w:color="auto" w:fill="auto"/>
                        <w:noWrap/>
                        <w:vAlign w:val="top"/>
                        <w:hideMark/>
                      </w:tcPr>
                      <w:p w14:paraId="07CA8741" w14:textId="77777777" w:rsidR="0058455B" w:rsidRPr="0058455B" w:rsidRDefault="0058455B" w:rsidP="0058455B">
                        <w:pPr>
                          <w:pStyle w:val="TableText"/>
                          <w:cnfStyle w:val="000000010000" w:firstRow="0" w:lastRow="0" w:firstColumn="0" w:lastColumn="0" w:oddVBand="0" w:evenVBand="0" w:oddHBand="0" w:evenHBand="1" w:firstRowFirstColumn="0" w:firstRowLastColumn="0" w:lastRowFirstColumn="0" w:lastRowLastColumn="0"/>
                          <w:rPr>
                            <w:color w:val="auto"/>
                          </w:rPr>
                        </w:pPr>
                        <w:r w:rsidRPr="0058455B">
                          <w:rPr>
                            <w:color w:val="auto"/>
                          </w:rPr>
                          <w:t>Engagement with relevant support services</w:t>
                        </w:r>
                      </w:p>
                    </w:tc>
                    <w:tc>
                      <w:tcPr>
                        <w:tcW w:w="0" w:type="dxa"/>
                        <w:shd w:val="clear" w:color="auto" w:fill="auto"/>
                        <w:noWrap/>
                        <w:vAlign w:val="top"/>
                        <w:hideMark/>
                      </w:tcPr>
                      <w:p w14:paraId="7FB38E98" w14:textId="77777777" w:rsidR="0058455B" w:rsidRPr="0058455B" w:rsidRDefault="0058455B" w:rsidP="0058455B">
                        <w:pPr>
                          <w:pStyle w:val="TableText"/>
                          <w:cnfStyle w:val="000000010000" w:firstRow="0" w:lastRow="0" w:firstColumn="0" w:lastColumn="0" w:oddVBand="0" w:evenVBand="0" w:oddHBand="0" w:evenHBand="1" w:firstRowFirstColumn="0" w:firstRowLastColumn="0" w:lastRowFirstColumn="0" w:lastRowLastColumn="0"/>
                          <w:rPr>
                            <w:color w:val="auto"/>
                          </w:rPr>
                        </w:pPr>
                        <w:r w:rsidRPr="0058455B">
                          <w:rPr>
                            <w:color w:val="auto"/>
                          </w:rPr>
                          <w:t>0.96</w:t>
                        </w:r>
                      </w:p>
                    </w:tc>
                    <w:tc>
                      <w:tcPr>
                        <w:tcW w:w="0" w:type="dxa"/>
                        <w:shd w:val="clear" w:color="auto" w:fill="auto"/>
                        <w:noWrap/>
                        <w:vAlign w:val="top"/>
                        <w:hideMark/>
                      </w:tcPr>
                      <w:p w14:paraId="26725016" w14:textId="77777777" w:rsidR="0058455B" w:rsidRPr="0058455B" w:rsidRDefault="0058455B" w:rsidP="0058455B">
                        <w:pPr>
                          <w:pStyle w:val="TableText"/>
                          <w:cnfStyle w:val="000000010000" w:firstRow="0" w:lastRow="0" w:firstColumn="0" w:lastColumn="0" w:oddVBand="0" w:evenVBand="0" w:oddHBand="0" w:evenHBand="1" w:firstRowFirstColumn="0" w:firstRowLastColumn="0" w:lastRowFirstColumn="0" w:lastRowLastColumn="0"/>
                          <w:rPr>
                            <w:color w:val="auto"/>
                          </w:rPr>
                        </w:pPr>
                        <w:r w:rsidRPr="0058455B">
                          <w:rPr>
                            <w:color w:val="auto"/>
                          </w:rPr>
                          <w:t>433624.5</w:t>
                        </w:r>
                      </w:p>
                    </w:tc>
                    <w:tc>
                      <w:tcPr>
                        <w:tcW w:w="0" w:type="dxa"/>
                        <w:shd w:val="clear" w:color="auto" w:fill="auto"/>
                        <w:noWrap/>
                        <w:vAlign w:val="top"/>
                        <w:hideMark/>
                      </w:tcPr>
                      <w:p w14:paraId="0A772101" w14:textId="30E87AF7" w:rsidR="0058455B" w:rsidRPr="0058455B" w:rsidRDefault="0058455B" w:rsidP="0058455B">
                        <w:pPr>
                          <w:pStyle w:val="TableText"/>
                          <w:cnfStyle w:val="000000010000" w:firstRow="0" w:lastRow="0" w:firstColumn="0" w:lastColumn="0" w:oddVBand="0" w:evenVBand="0" w:oddHBand="0" w:evenHBand="1" w:firstRowFirstColumn="0" w:firstRowLastColumn="0" w:lastRowFirstColumn="0" w:lastRowLastColumn="0"/>
                          <w:rPr>
                            <w:color w:val="auto"/>
                          </w:rPr>
                        </w:pPr>
                        <w:r w:rsidRPr="0058455B">
                          <w:rPr>
                            <w:color w:val="auto"/>
                          </w:rPr>
                          <w:t>3</w:t>
                        </w:r>
                        <w:r>
                          <w:rPr>
                            <w:color w:val="auto"/>
                          </w:rPr>
                          <w:t>,</w:t>
                        </w:r>
                        <w:r w:rsidRPr="0058455B">
                          <w:rPr>
                            <w:color w:val="auto"/>
                          </w:rPr>
                          <w:t>144</w:t>
                        </w:r>
                      </w:p>
                    </w:tc>
                    <w:tc>
                      <w:tcPr>
                        <w:tcW w:w="0" w:type="dxa"/>
                        <w:shd w:val="clear" w:color="auto" w:fill="auto"/>
                        <w:noWrap/>
                        <w:vAlign w:val="top"/>
                        <w:hideMark/>
                      </w:tcPr>
                      <w:p w14:paraId="1739E202" w14:textId="77777777" w:rsidR="0058455B" w:rsidRPr="0058455B" w:rsidRDefault="0058455B" w:rsidP="0058455B">
                        <w:pPr>
                          <w:pStyle w:val="TableText"/>
                          <w:cnfStyle w:val="000000010000" w:firstRow="0" w:lastRow="0" w:firstColumn="0" w:lastColumn="0" w:oddVBand="0" w:evenVBand="0" w:oddHBand="0" w:evenHBand="1" w:firstRowFirstColumn="0" w:firstRowLastColumn="0" w:lastRowFirstColumn="0" w:lastRowLastColumn="0"/>
                          <w:rPr>
                            <w:color w:val="auto"/>
                          </w:rPr>
                        </w:pPr>
                        <w:r w:rsidRPr="0058455B">
                          <w:rPr>
                            <w:color w:val="auto"/>
                          </w:rPr>
                          <w:t>&lt;.001</w:t>
                        </w:r>
                      </w:p>
                    </w:tc>
                    <w:tc>
                      <w:tcPr>
                        <w:tcW w:w="0" w:type="dxa"/>
                        <w:shd w:val="clear" w:color="auto" w:fill="auto"/>
                        <w:noWrap/>
                        <w:vAlign w:val="top"/>
                        <w:hideMark/>
                      </w:tcPr>
                      <w:p w14:paraId="22A01483" w14:textId="2D4CE7EC" w:rsidR="0058455B" w:rsidRPr="0058455B" w:rsidRDefault="0058455B" w:rsidP="0058455B">
                        <w:pPr>
                          <w:pStyle w:val="TableText"/>
                          <w:cnfStyle w:val="000000010000" w:firstRow="0" w:lastRow="0" w:firstColumn="0" w:lastColumn="0" w:oddVBand="0" w:evenVBand="0" w:oddHBand="0" w:evenHBand="1" w:firstRowFirstColumn="0" w:firstRowLastColumn="0" w:lastRowFirstColumn="0" w:lastRowLastColumn="0"/>
                          <w:rPr>
                            <w:color w:val="auto"/>
                          </w:rPr>
                        </w:pPr>
                        <w:r w:rsidRPr="0058455B">
                          <w:rPr>
                            <w:color w:val="auto"/>
                          </w:rPr>
                          <w:t>58.3% (n=1,833)</w:t>
                        </w:r>
                      </w:p>
                    </w:tc>
                  </w:tr>
                </w:tbl>
                <w:p w14:paraId="7960CCB3" w14:textId="2D6AC71F" w:rsidR="00AC48C1" w:rsidRPr="00AC48C1" w:rsidRDefault="00DD5451" w:rsidP="00AC48C1">
                  <w:pPr>
                    <w:rPr>
                      <w:rFonts w:ascii="Arial" w:eastAsia="Aptos" w:hAnsi="Arial" w:cs="Arial"/>
                      <w:sz w:val="20"/>
                    </w:rPr>
                  </w:pPr>
                  <w:r>
                    <w:rPr>
                      <w:i/>
                      <w:sz w:val="20"/>
                      <w:szCs w:val="18"/>
                    </w:rPr>
                    <w:t xml:space="preserve">Source: DEX-SCORE data </w:t>
                  </w:r>
                </w:p>
                <w:p w14:paraId="68519898" w14:textId="77777777" w:rsidR="00B057C7" w:rsidRPr="00AC48C1" w:rsidRDefault="00B057C7" w:rsidP="00AC48C1">
                  <w:pPr>
                    <w:rPr>
                      <w:rFonts w:ascii="Arial" w:eastAsia="Aptos" w:hAnsi="Arial" w:cs="Arial"/>
                      <w:sz w:val="20"/>
                    </w:rPr>
                  </w:pPr>
                </w:p>
                <w:p w14:paraId="3738A995" w14:textId="0963EA7F" w:rsidR="00843EE4" w:rsidRDefault="003A0B76" w:rsidP="00321BC5">
                  <w:pPr>
                    <w:pStyle w:val="Text-BodyHeading"/>
                    <w:rPr>
                      <w:rStyle w:val="Text-Bold"/>
                      <w:b/>
                      <w:szCs w:val="22"/>
                      <w:lang w:val="en-NZ"/>
                    </w:rPr>
                  </w:pPr>
                  <w:r>
                    <w:lastRenderedPageBreak/>
                    <w:t xml:space="preserve">Delivery mode </w:t>
                  </w:r>
                  <w:bookmarkStart w:id="598" w:name="_Ref204603556"/>
                </w:p>
                <w:p w14:paraId="50E03D56" w14:textId="470C0D15" w:rsidR="003A0B76" w:rsidRPr="00811E31" w:rsidRDefault="00210A2E" w:rsidP="002618D3">
                  <w:pPr>
                    <w:pStyle w:val="TableFigure-Header"/>
                    <w:rPr>
                      <w:szCs w:val="21"/>
                    </w:rPr>
                  </w:pPr>
                  <w:r w:rsidRPr="00811E31">
                    <w:rPr>
                      <w:rStyle w:val="Text-Bold"/>
                      <w:b/>
                      <w:szCs w:val="21"/>
                      <w:lang w:val="en-NZ"/>
                    </w:rPr>
                    <w:t xml:space="preserve">Table </w:t>
                  </w:r>
                  <w:r w:rsidRPr="00811E31">
                    <w:rPr>
                      <w:rStyle w:val="Text-Bold"/>
                      <w:b/>
                      <w:szCs w:val="21"/>
                    </w:rPr>
                    <w:fldChar w:fldCharType="begin"/>
                  </w:r>
                  <w:r w:rsidRPr="00811E31">
                    <w:rPr>
                      <w:szCs w:val="21"/>
                    </w:rPr>
                    <w:instrText xml:space="preserve"> SEQ Table \* ARABIC </w:instrText>
                  </w:r>
                  <w:r w:rsidRPr="00811E31">
                    <w:rPr>
                      <w:rStyle w:val="Text-Bold"/>
                      <w:b/>
                      <w:szCs w:val="21"/>
                    </w:rPr>
                    <w:fldChar w:fldCharType="separate"/>
                  </w:r>
                  <w:r w:rsidR="008D2566">
                    <w:rPr>
                      <w:noProof/>
                      <w:szCs w:val="21"/>
                    </w:rPr>
                    <w:t>55</w:t>
                  </w:r>
                  <w:r w:rsidRPr="00811E31">
                    <w:rPr>
                      <w:rStyle w:val="Text-Bold"/>
                      <w:b/>
                      <w:szCs w:val="21"/>
                    </w:rPr>
                    <w:fldChar w:fldCharType="end"/>
                  </w:r>
                  <w:bookmarkEnd w:id="598"/>
                  <w:r w:rsidRPr="00811E31">
                    <w:rPr>
                      <w:rStyle w:val="Text-Bold"/>
                      <w:b/>
                      <w:szCs w:val="21"/>
                      <w:lang w:val="en-NZ"/>
                    </w:rPr>
                    <w:t xml:space="preserve">: Mean earliest-to-latest SCORE change (within-subjects) by delivery mode, FaRS </w:t>
                  </w:r>
                  <w:r w:rsidR="00E614D3" w:rsidRPr="00811E31">
                    <w:rPr>
                      <w:rStyle w:val="Text-Bold"/>
                      <w:b/>
                      <w:szCs w:val="21"/>
                      <w:lang w:val="en-NZ"/>
                    </w:rPr>
                    <w:t>service users</w:t>
                  </w:r>
                  <w:r w:rsidR="00811E31" w:rsidRPr="00811E31">
                    <w:rPr>
                      <w:rStyle w:val="Text-Bold"/>
                      <w:b/>
                      <w:szCs w:val="21"/>
                      <w:lang w:val="en-NZ"/>
                    </w:rPr>
                    <w:t>, July 2021 to June 2024</w:t>
                  </w:r>
                </w:p>
                <w:tbl>
                  <w:tblPr>
                    <w:tblStyle w:val="ListTable3-Accent31"/>
                    <w:tblW w:w="140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25"/>
                    <w:gridCol w:w="1402"/>
                    <w:gridCol w:w="2151"/>
                    <w:gridCol w:w="2182"/>
                    <w:gridCol w:w="1310"/>
                    <w:gridCol w:w="1784"/>
                    <w:gridCol w:w="1172"/>
                    <w:gridCol w:w="1027"/>
                    <w:gridCol w:w="1669"/>
                  </w:tblGrid>
                  <w:tr w:rsidR="00F3116F" w:rsidRPr="007A1075" w14:paraId="1B89B5AD" w14:textId="77777777" w:rsidTr="00520E3A">
                    <w:trPr>
                      <w:cnfStyle w:val="100000000000" w:firstRow="1" w:lastRow="0" w:firstColumn="0" w:lastColumn="0" w:oddVBand="0" w:evenVBand="0" w:oddHBand="0" w:evenHBand="0" w:firstRowFirstColumn="0" w:firstRowLastColumn="0" w:lastRowFirstColumn="0" w:lastRowLastColumn="0"/>
                      <w:trHeight w:val="583"/>
                    </w:trPr>
                    <w:tc>
                      <w:tcPr>
                        <w:cnfStyle w:val="001000000100" w:firstRow="0" w:lastRow="0" w:firstColumn="1" w:lastColumn="0" w:oddVBand="0" w:evenVBand="0" w:oddHBand="0" w:evenHBand="0" w:firstRowFirstColumn="1" w:firstRowLastColumn="0" w:lastRowFirstColumn="0" w:lastRowLastColumn="0"/>
                        <w:tcW w:w="1325" w:type="dxa"/>
                        <w:tcBorders>
                          <w:bottom w:val="none" w:sz="0" w:space="0" w:color="auto"/>
                          <w:right w:val="none" w:sz="0" w:space="0" w:color="auto"/>
                        </w:tcBorders>
                        <w:hideMark/>
                      </w:tcPr>
                      <w:p w14:paraId="396275DB" w14:textId="77777777" w:rsidR="002618D3" w:rsidRPr="007A1075" w:rsidRDefault="002618D3" w:rsidP="00321BC5">
                        <w:pPr>
                          <w:pStyle w:val="TableText"/>
                        </w:pPr>
                        <w:r w:rsidRPr="007A1075">
                          <w:t>Activity</w:t>
                        </w:r>
                      </w:p>
                    </w:tc>
                    <w:tc>
                      <w:tcPr>
                        <w:tcW w:w="1402" w:type="dxa"/>
                        <w:hideMark/>
                      </w:tcPr>
                      <w:p w14:paraId="11501446" w14:textId="77777777" w:rsidR="002618D3" w:rsidRPr="007A1075" w:rsidRDefault="002618D3" w:rsidP="00321BC5">
                        <w:pPr>
                          <w:pStyle w:val="TableText"/>
                          <w:cnfStyle w:val="100000000000" w:firstRow="1" w:lastRow="0" w:firstColumn="0" w:lastColumn="0" w:oddVBand="0" w:evenVBand="0" w:oddHBand="0" w:evenHBand="0" w:firstRowFirstColumn="0" w:firstRowLastColumn="0" w:lastRowFirstColumn="0" w:lastRowLastColumn="0"/>
                        </w:pPr>
                        <w:r w:rsidRPr="007A1075">
                          <w:t>Delivery mode</w:t>
                        </w:r>
                      </w:p>
                    </w:tc>
                    <w:tc>
                      <w:tcPr>
                        <w:tcW w:w="2151" w:type="dxa"/>
                        <w:hideMark/>
                      </w:tcPr>
                      <w:p w14:paraId="4826805F" w14:textId="77777777" w:rsidR="002618D3" w:rsidRPr="007A1075" w:rsidRDefault="002618D3" w:rsidP="00321BC5">
                        <w:pPr>
                          <w:pStyle w:val="TableText"/>
                          <w:cnfStyle w:val="100000000000" w:firstRow="1" w:lastRow="0" w:firstColumn="0" w:lastColumn="0" w:oddVBand="0" w:evenVBand="0" w:oddHBand="0" w:evenHBand="0" w:firstRowFirstColumn="0" w:firstRowLastColumn="0" w:lastRowFirstColumn="0" w:lastRowLastColumn="0"/>
                        </w:pPr>
                        <w:r w:rsidRPr="007A1075">
                          <w:t>Outcome type</w:t>
                        </w:r>
                      </w:p>
                    </w:tc>
                    <w:tc>
                      <w:tcPr>
                        <w:tcW w:w="2182" w:type="dxa"/>
                        <w:noWrap/>
                        <w:hideMark/>
                      </w:tcPr>
                      <w:p w14:paraId="0817862C" w14:textId="77777777" w:rsidR="002618D3" w:rsidRPr="007A1075" w:rsidRDefault="002618D3" w:rsidP="00321BC5">
                        <w:pPr>
                          <w:pStyle w:val="TableText"/>
                          <w:cnfStyle w:val="100000000000" w:firstRow="1" w:lastRow="0" w:firstColumn="0" w:lastColumn="0" w:oddVBand="0" w:evenVBand="0" w:oddHBand="0" w:evenHBand="0" w:firstRowFirstColumn="0" w:firstRowLastColumn="0" w:lastRowFirstColumn="0" w:lastRowLastColumn="0"/>
                        </w:pPr>
                        <w:r w:rsidRPr="007A1075">
                          <w:t>Domain</w:t>
                        </w:r>
                      </w:p>
                    </w:tc>
                    <w:tc>
                      <w:tcPr>
                        <w:tcW w:w="1310" w:type="dxa"/>
                        <w:hideMark/>
                      </w:tcPr>
                      <w:p w14:paraId="0982E84E" w14:textId="77777777" w:rsidR="002618D3" w:rsidRPr="007A1075" w:rsidRDefault="002618D3" w:rsidP="00321BC5">
                        <w:pPr>
                          <w:pStyle w:val="TableText"/>
                          <w:cnfStyle w:val="100000000000" w:firstRow="1" w:lastRow="0" w:firstColumn="0" w:lastColumn="0" w:oddVBand="0" w:evenVBand="0" w:oddHBand="0" w:evenHBand="0" w:firstRowFirstColumn="0" w:firstRowLastColumn="0" w:lastRowFirstColumn="0" w:lastRowLastColumn="0"/>
                        </w:pPr>
                        <w:r w:rsidRPr="007A1075">
                          <w:t>SCORE change (mean)</w:t>
                        </w:r>
                      </w:p>
                    </w:tc>
                    <w:tc>
                      <w:tcPr>
                        <w:tcW w:w="1784" w:type="dxa"/>
                        <w:noWrap/>
                        <w:hideMark/>
                      </w:tcPr>
                      <w:p w14:paraId="7E16B327" w14:textId="77777777" w:rsidR="002618D3" w:rsidRPr="007A1075" w:rsidRDefault="002618D3" w:rsidP="00321BC5">
                        <w:pPr>
                          <w:pStyle w:val="TableText"/>
                          <w:cnfStyle w:val="100000000000" w:firstRow="1" w:lastRow="0" w:firstColumn="0" w:lastColumn="0" w:oddVBand="0" w:evenVBand="0" w:oddHBand="0" w:evenHBand="0" w:firstRowFirstColumn="0" w:firstRowLastColumn="0" w:lastRowFirstColumn="0" w:lastRowLastColumn="0"/>
                        </w:pPr>
                        <w:r w:rsidRPr="007A1075">
                          <w:t>Wilcoxon</w:t>
                        </w:r>
                      </w:p>
                    </w:tc>
                    <w:tc>
                      <w:tcPr>
                        <w:tcW w:w="1172" w:type="dxa"/>
                        <w:noWrap/>
                        <w:hideMark/>
                      </w:tcPr>
                      <w:p w14:paraId="47E3CF8F" w14:textId="77777777" w:rsidR="002618D3" w:rsidRPr="007A1075" w:rsidRDefault="002618D3" w:rsidP="00321BC5">
                        <w:pPr>
                          <w:pStyle w:val="TableText"/>
                          <w:cnfStyle w:val="100000000000" w:firstRow="1" w:lastRow="0" w:firstColumn="0" w:lastColumn="0" w:oddVBand="0" w:evenVBand="0" w:oddHBand="0" w:evenHBand="0" w:firstRowFirstColumn="0" w:firstRowLastColumn="0" w:lastRowFirstColumn="0" w:lastRowLastColumn="0"/>
                        </w:pPr>
                        <w:r w:rsidRPr="007A1075">
                          <w:t>n</w:t>
                        </w:r>
                      </w:p>
                    </w:tc>
                    <w:tc>
                      <w:tcPr>
                        <w:tcW w:w="1027" w:type="dxa"/>
                        <w:noWrap/>
                        <w:hideMark/>
                      </w:tcPr>
                      <w:p w14:paraId="099E8C7A" w14:textId="77777777" w:rsidR="002618D3" w:rsidRPr="007A1075" w:rsidRDefault="002618D3" w:rsidP="00321BC5">
                        <w:pPr>
                          <w:pStyle w:val="TableText"/>
                          <w:cnfStyle w:val="100000000000" w:firstRow="1" w:lastRow="0" w:firstColumn="0" w:lastColumn="0" w:oddVBand="0" w:evenVBand="0" w:oddHBand="0" w:evenHBand="0" w:firstRowFirstColumn="0" w:firstRowLastColumn="0" w:lastRowFirstColumn="0" w:lastRowLastColumn="0"/>
                        </w:pPr>
                        <w:r w:rsidRPr="007A1075">
                          <w:t>p</w:t>
                        </w:r>
                      </w:p>
                    </w:tc>
                    <w:tc>
                      <w:tcPr>
                        <w:tcW w:w="1669" w:type="dxa"/>
                        <w:hideMark/>
                      </w:tcPr>
                      <w:p w14:paraId="227FCA89" w14:textId="6E74529C" w:rsidR="002618D3" w:rsidRPr="007A1075" w:rsidRDefault="002618D3" w:rsidP="00321BC5">
                        <w:pPr>
                          <w:pStyle w:val="TableText"/>
                          <w:cnfStyle w:val="100000000000" w:firstRow="1" w:lastRow="0" w:firstColumn="0" w:lastColumn="0" w:oddVBand="0" w:evenVBand="0" w:oddHBand="0" w:evenHBand="0" w:firstRowFirstColumn="0" w:firstRowLastColumn="0" w:lastRowFirstColumn="0" w:lastRowLastColumn="0"/>
                        </w:pPr>
                        <w:r>
                          <w:t>Service users</w:t>
                        </w:r>
                        <w:r w:rsidRPr="007A1075">
                          <w:t xml:space="preserve"> with positive change (%, n)</w:t>
                        </w:r>
                      </w:p>
                    </w:tc>
                  </w:tr>
                  <w:tr w:rsidR="00F3116F" w:rsidRPr="007A1075" w14:paraId="1D6F3EE2" w14:textId="77777777" w:rsidTr="00520E3A">
                    <w:trPr>
                      <w:cnfStyle w:val="000000100000" w:firstRow="0" w:lastRow="0" w:firstColumn="0" w:lastColumn="0" w:oddVBand="0" w:evenVBand="0" w:oddHBand="1" w:evenHBand="0" w:firstRowFirstColumn="0" w:firstRowLastColumn="0" w:lastRowFirstColumn="0" w:lastRowLastColumn="0"/>
                      <w:trHeight w:val="291"/>
                    </w:trPr>
                    <w:tc>
                      <w:tcPr>
                        <w:cnfStyle w:val="001000000000" w:firstRow="0" w:lastRow="0" w:firstColumn="1" w:lastColumn="0" w:oddVBand="0" w:evenVBand="0" w:oddHBand="0" w:evenHBand="0" w:firstRowFirstColumn="0" w:firstRowLastColumn="0" w:lastRowFirstColumn="0" w:lastRowLastColumn="0"/>
                        <w:tcW w:w="1325" w:type="dxa"/>
                        <w:vMerge w:val="restart"/>
                        <w:tcBorders>
                          <w:top w:val="none" w:sz="0" w:space="0" w:color="auto"/>
                          <w:bottom w:val="none" w:sz="0" w:space="0" w:color="auto"/>
                          <w:right w:val="none" w:sz="0" w:space="0" w:color="auto"/>
                        </w:tcBorders>
                        <w:hideMark/>
                      </w:tcPr>
                      <w:p w14:paraId="0D0B6167" w14:textId="77777777" w:rsidR="002618D3" w:rsidRPr="00811E31" w:rsidRDefault="002618D3" w:rsidP="00800D89">
                        <w:pPr>
                          <w:pStyle w:val="TableText"/>
                          <w:rPr>
                            <w:b w:val="0"/>
                            <w:bCs w:val="0"/>
                            <w:lang w:val="en-NZ"/>
                          </w:rPr>
                        </w:pPr>
                        <w:r w:rsidRPr="00811E31">
                          <w:rPr>
                            <w:b w:val="0"/>
                            <w:bCs w:val="0"/>
                            <w:lang w:val="en-NZ"/>
                          </w:rPr>
                          <w:t>FaRS</w:t>
                        </w:r>
                      </w:p>
                    </w:tc>
                    <w:tc>
                      <w:tcPr>
                        <w:tcW w:w="1402" w:type="dxa"/>
                        <w:vMerge w:val="restart"/>
                        <w:tcBorders>
                          <w:top w:val="none" w:sz="0" w:space="0" w:color="auto"/>
                          <w:bottom w:val="none" w:sz="0" w:space="0" w:color="auto"/>
                        </w:tcBorders>
                        <w:hideMark/>
                      </w:tcPr>
                      <w:p w14:paraId="08A45EB3" w14:textId="77777777" w:rsidR="002618D3" w:rsidRPr="00321BC5" w:rsidRDefault="002618D3" w:rsidP="00800D89">
                        <w:pPr>
                          <w:pStyle w:val="TableText"/>
                          <w:cnfStyle w:val="000000100000" w:firstRow="0" w:lastRow="0" w:firstColumn="0" w:lastColumn="0" w:oddVBand="0" w:evenVBand="0" w:oddHBand="1" w:evenHBand="0" w:firstRowFirstColumn="0" w:firstRowLastColumn="0" w:lastRowFirstColumn="0" w:lastRowLastColumn="0"/>
                        </w:pPr>
                        <w:r w:rsidRPr="00321BC5">
                          <w:t>F2F</w:t>
                        </w:r>
                      </w:p>
                    </w:tc>
                    <w:tc>
                      <w:tcPr>
                        <w:tcW w:w="2151" w:type="dxa"/>
                        <w:vMerge w:val="restart"/>
                        <w:tcBorders>
                          <w:top w:val="none" w:sz="0" w:space="0" w:color="auto"/>
                          <w:bottom w:val="none" w:sz="0" w:space="0" w:color="auto"/>
                        </w:tcBorders>
                        <w:hideMark/>
                      </w:tcPr>
                      <w:p w14:paraId="24D1A7EF" w14:textId="77777777" w:rsidR="002618D3" w:rsidRPr="00321BC5" w:rsidRDefault="002618D3" w:rsidP="00800D89">
                        <w:pPr>
                          <w:pStyle w:val="TableText"/>
                          <w:cnfStyle w:val="000000100000" w:firstRow="0" w:lastRow="0" w:firstColumn="0" w:lastColumn="0" w:oddVBand="0" w:evenVBand="0" w:oddHBand="1" w:evenHBand="0" w:firstRowFirstColumn="0" w:firstRowLastColumn="0" w:lastRowFirstColumn="0" w:lastRowLastColumn="0"/>
                        </w:pPr>
                        <w:r w:rsidRPr="00321BC5">
                          <w:t>Circumstances</w:t>
                        </w:r>
                      </w:p>
                    </w:tc>
                    <w:tc>
                      <w:tcPr>
                        <w:tcW w:w="2182" w:type="dxa"/>
                        <w:tcBorders>
                          <w:top w:val="none" w:sz="0" w:space="0" w:color="auto"/>
                          <w:bottom w:val="none" w:sz="0" w:space="0" w:color="auto"/>
                        </w:tcBorders>
                        <w:noWrap/>
                        <w:hideMark/>
                      </w:tcPr>
                      <w:p w14:paraId="1A244A6D" w14:textId="77777777" w:rsidR="002618D3" w:rsidRPr="00321BC5" w:rsidRDefault="002618D3" w:rsidP="00800D89">
                        <w:pPr>
                          <w:pStyle w:val="TableText"/>
                          <w:cnfStyle w:val="000000100000" w:firstRow="0" w:lastRow="0" w:firstColumn="0" w:lastColumn="0" w:oddVBand="0" w:evenVBand="0" w:oddHBand="1" w:evenHBand="0" w:firstRowFirstColumn="0" w:firstRowLastColumn="0" w:lastRowFirstColumn="0" w:lastRowLastColumn="0"/>
                        </w:pPr>
                        <w:r w:rsidRPr="00321BC5">
                          <w:t>Family functioning</w:t>
                        </w:r>
                      </w:p>
                    </w:tc>
                    <w:tc>
                      <w:tcPr>
                        <w:tcW w:w="1310" w:type="dxa"/>
                        <w:tcBorders>
                          <w:top w:val="none" w:sz="0" w:space="0" w:color="auto"/>
                          <w:bottom w:val="none" w:sz="0" w:space="0" w:color="auto"/>
                        </w:tcBorders>
                        <w:noWrap/>
                        <w:hideMark/>
                      </w:tcPr>
                      <w:p w14:paraId="7D47FFD3" w14:textId="77777777" w:rsidR="002618D3" w:rsidRPr="007A1075" w:rsidRDefault="002618D3" w:rsidP="00800D89">
                        <w:pPr>
                          <w:pStyle w:val="TableText"/>
                          <w:cnfStyle w:val="000000100000" w:firstRow="0" w:lastRow="0" w:firstColumn="0" w:lastColumn="0" w:oddVBand="0" w:evenVBand="0" w:oddHBand="1" w:evenHBand="0" w:firstRowFirstColumn="0" w:firstRowLastColumn="0" w:lastRowFirstColumn="0" w:lastRowLastColumn="0"/>
                        </w:pPr>
                        <w:r w:rsidRPr="007A1075">
                          <w:t>0.85</w:t>
                        </w:r>
                      </w:p>
                    </w:tc>
                    <w:tc>
                      <w:tcPr>
                        <w:tcW w:w="1784" w:type="dxa"/>
                        <w:tcBorders>
                          <w:top w:val="none" w:sz="0" w:space="0" w:color="auto"/>
                          <w:bottom w:val="none" w:sz="0" w:space="0" w:color="auto"/>
                        </w:tcBorders>
                        <w:noWrap/>
                        <w:hideMark/>
                      </w:tcPr>
                      <w:p w14:paraId="4E2E45C0" w14:textId="77777777" w:rsidR="002618D3" w:rsidRPr="007A1075" w:rsidRDefault="002618D3" w:rsidP="00800D89">
                        <w:pPr>
                          <w:pStyle w:val="TableText"/>
                          <w:cnfStyle w:val="000000100000" w:firstRow="0" w:lastRow="0" w:firstColumn="0" w:lastColumn="0" w:oddVBand="0" w:evenVBand="0" w:oddHBand="1" w:evenHBand="0" w:firstRowFirstColumn="0" w:firstRowLastColumn="0" w:lastRowFirstColumn="0" w:lastRowLastColumn="0"/>
                        </w:pPr>
                        <w:r w:rsidRPr="007A1075">
                          <w:t>37162243</w:t>
                        </w:r>
                      </w:p>
                    </w:tc>
                    <w:tc>
                      <w:tcPr>
                        <w:tcW w:w="1172" w:type="dxa"/>
                        <w:tcBorders>
                          <w:top w:val="none" w:sz="0" w:space="0" w:color="auto"/>
                          <w:bottom w:val="none" w:sz="0" w:space="0" w:color="auto"/>
                        </w:tcBorders>
                        <w:noWrap/>
                        <w:hideMark/>
                      </w:tcPr>
                      <w:p w14:paraId="6036B994" w14:textId="49959725" w:rsidR="002618D3" w:rsidRPr="007A1075" w:rsidRDefault="002618D3" w:rsidP="00800D89">
                        <w:pPr>
                          <w:pStyle w:val="TableText"/>
                          <w:cnfStyle w:val="000000100000" w:firstRow="0" w:lastRow="0" w:firstColumn="0" w:lastColumn="0" w:oddVBand="0" w:evenVBand="0" w:oddHBand="1" w:evenHBand="0" w:firstRowFirstColumn="0" w:firstRowLastColumn="0" w:lastRowFirstColumn="0" w:lastRowLastColumn="0"/>
                        </w:pPr>
                        <w:r w:rsidRPr="007A1075">
                          <w:t>29</w:t>
                        </w:r>
                        <w:r>
                          <w:t>,</w:t>
                        </w:r>
                        <w:r w:rsidRPr="007A1075">
                          <w:t>329</w:t>
                        </w:r>
                      </w:p>
                    </w:tc>
                    <w:tc>
                      <w:tcPr>
                        <w:tcW w:w="1027" w:type="dxa"/>
                        <w:tcBorders>
                          <w:top w:val="none" w:sz="0" w:space="0" w:color="auto"/>
                          <w:bottom w:val="none" w:sz="0" w:space="0" w:color="auto"/>
                        </w:tcBorders>
                        <w:noWrap/>
                        <w:hideMark/>
                      </w:tcPr>
                      <w:p w14:paraId="2E7A5302" w14:textId="77777777" w:rsidR="002618D3" w:rsidRPr="007A1075" w:rsidRDefault="002618D3" w:rsidP="00800D89">
                        <w:pPr>
                          <w:pStyle w:val="TableText"/>
                          <w:cnfStyle w:val="000000100000" w:firstRow="0" w:lastRow="0" w:firstColumn="0" w:lastColumn="0" w:oddVBand="0" w:evenVBand="0" w:oddHBand="1" w:evenHBand="0" w:firstRowFirstColumn="0" w:firstRowLastColumn="0" w:lastRowFirstColumn="0" w:lastRowLastColumn="0"/>
                        </w:pPr>
                        <w:r w:rsidRPr="007A1075">
                          <w:t>&lt;.001</w:t>
                        </w:r>
                      </w:p>
                    </w:tc>
                    <w:tc>
                      <w:tcPr>
                        <w:tcW w:w="1669" w:type="dxa"/>
                        <w:tcBorders>
                          <w:top w:val="none" w:sz="0" w:space="0" w:color="auto"/>
                          <w:bottom w:val="none" w:sz="0" w:space="0" w:color="auto"/>
                        </w:tcBorders>
                        <w:noWrap/>
                        <w:hideMark/>
                      </w:tcPr>
                      <w:p w14:paraId="25CF5150" w14:textId="12F1C868" w:rsidR="002618D3" w:rsidRPr="007A1075" w:rsidRDefault="002618D3" w:rsidP="00800D89">
                        <w:pPr>
                          <w:pStyle w:val="TableText"/>
                          <w:cnfStyle w:val="000000100000" w:firstRow="0" w:lastRow="0" w:firstColumn="0" w:lastColumn="0" w:oddVBand="0" w:evenVBand="0" w:oddHBand="1" w:evenHBand="0" w:firstRowFirstColumn="0" w:firstRowLastColumn="0" w:lastRowFirstColumn="0" w:lastRowLastColumn="0"/>
                        </w:pPr>
                        <w:r w:rsidRPr="007A1075">
                          <w:t>56.2% (n=16</w:t>
                        </w:r>
                        <w:r>
                          <w:t>,</w:t>
                        </w:r>
                        <w:r w:rsidRPr="007A1075">
                          <w:t>472)</w:t>
                        </w:r>
                      </w:p>
                    </w:tc>
                  </w:tr>
                  <w:tr w:rsidR="00F3116F" w:rsidRPr="007A1075" w14:paraId="3C721E2C" w14:textId="77777777" w:rsidTr="00520E3A">
                    <w:trPr>
                      <w:trHeight w:val="291"/>
                    </w:trPr>
                    <w:tc>
                      <w:tcPr>
                        <w:cnfStyle w:val="001000000000" w:firstRow="0" w:lastRow="0" w:firstColumn="1" w:lastColumn="0" w:oddVBand="0" w:evenVBand="0" w:oddHBand="0" w:evenHBand="0" w:firstRowFirstColumn="0" w:firstRowLastColumn="0" w:lastRowFirstColumn="0" w:lastRowLastColumn="0"/>
                        <w:tcW w:w="1325" w:type="dxa"/>
                        <w:vMerge/>
                        <w:tcBorders>
                          <w:right w:val="none" w:sz="0" w:space="0" w:color="auto"/>
                        </w:tcBorders>
                        <w:hideMark/>
                      </w:tcPr>
                      <w:p w14:paraId="4FCC2F41" w14:textId="77777777" w:rsidR="002618D3" w:rsidRPr="007A1075" w:rsidRDefault="002618D3" w:rsidP="00800D89">
                        <w:pPr>
                          <w:pStyle w:val="TableText"/>
                        </w:pPr>
                      </w:p>
                    </w:tc>
                    <w:tc>
                      <w:tcPr>
                        <w:tcW w:w="1402" w:type="dxa"/>
                        <w:vMerge/>
                        <w:hideMark/>
                      </w:tcPr>
                      <w:p w14:paraId="673DB192" w14:textId="77777777" w:rsidR="002618D3" w:rsidRPr="00321BC5" w:rsidRDefault="002618D3" w:rsidP="00800D89">
                        <w:pPr>
                          <w:pStyle w:val="TableText"/>
                          <w:cnfStyle w:val="000000000000" w:firstRow="0" w:lastRow="0" w:firstColumn="0" w:lastColumn="0" w:oddVBand="0" w:evenVBand="0" w:oddHBand="0" w:evenHBand="0" w:firstRowFirstColumn="0" w:firstRowLastColumn="0" w:lastRowFirstColumn="0" w:lastRowLastColumn="0"/>
                        </w:pPr>
                      </w:p>
                    </w:tc>
                    <w:tc>
                      <w:tcPr>
                        <w:tcW w:w="2151" w:type="dxa"/>
                        <w:vMerge/>
                        <w:hideMark/>
                      </w:tcPr>
                      <w:p w14:paraId="44D20987" w14:textId="77777777" w:rsidR="002618D3" w:rsidRPr="00321BC5" w:rsidRDefault="002618D3" w:rsidP="00800D89">
                        <w:pPr>
                          <w:pStyle w:val="TableText"/>
                          <w:cnfStyle w:val="000000000000" w:firstRow="0" w:lastRow="0" w:firstColumn="0" w:lastColumn="0" w:oddVBand="0" w:evenVBand="0" w:oddHBand="0" w:evenHBand="0" w:firstRowFirstColumn="0" w:firstRowLastColumn="0" w:lastRowFirstColumn="0" w:lastRowLastColumn="0"/>
                        </w:pPr>
                      </w:p>
                    </w:tc>
                    <w:tc>
                      <w:tcPr>
                        <w:tcW w:w="2182" w:type="dxa"/>
                        <w:noWrap/>
                        <w:hideMark/>
                      </w:tcPr>
                      <w:p w14:paraId="48C45191" w14:textId="77777777" w:rsidR="002618D3" w:rsidRPr="00321BC5" w:rsidRDefault="002618D3" w:rsidP="00800D89">
                        <w:pPr>
                          <w:pStyle w:val="TableText"/>
                          <w:cnfStyle w:val="000000000000" w:firstRow="0" w:lastRow="0" w:firstColumn="0" w:lastColumn="0" w:oddVBand="0" w:evenVBand="0" w:oddHBand="0" w:evenHBand="0" w:firstRowFirstColumn="0" w:firstRowLastColumn="0" w:lastRowFirstColumn="0" w:lastRowLastColumn="0"/>
                        </w:pPr>
                        <w:r w:rsidRPr="00321BC5">
                          <w:rPr>
                            <w:lang w:val="en-NZ"/>
                          </w:rPr>
                          <w:t>Mental health, wellbeing and self-care</w:t>
                        </w:r>
                      </w:p>
                    </w:tc>
                    <w:tc>
                      <w:tcPr>
                        <w:tcW w:w="1310" w:type="dxa"/>
                        <w:noWrap/>
                        <w:hideMark/>
                      </w:tcPr>
                      <w:p w14:paraId="2E79F321" w14:textId="77777777" w:rsidR="002618D3" w:rsidRPr="007A1075" w:rsidRDefault="002618D3" w:rsidP="00800D89">
                        <w:pPr>
                          <w:pStyle w:val="TableText"/>
                          <w:cnfStyle w:val="000000000000" w:firstRow="0" w:lastRow="0" w:firstColumn="0" w:lastColumn="0" w:oddVBand="0" w:evenVBand="0" w:oddHBand="0" w:evenHBand="0" w:firstRowFirstColumn="0" w:firstRowLastColumn="0" w:lastRowFirstColumn="0" w:lastRowLastColumn="0"/>
                        </w:pPr>
                        <w:r w:rsidRPr="007A1075">
                          <w:t>0.89</w:t>
                        </w:r>
                      </w:p>
                    </w:tc>
                    <w:tc>
                      <w:tcPr>
                        <w:tcW w:w="1784" w:type="dxa"/>
                        <w:noWrap/>
                        <w:hideMark/>
                      </w:tcPr>
                      <w:p w14:paraId="17710F75" w14:textId="77777777" w:rsidR="002618D3" w:rsidRPr="007A1075" w:rsidRDefault="002618D3" w:rsidP="00800D89">
                        <w:pPr>
                          <w:pStyle w:val="TableText"/>
                          <w:cnfStyle w:val="000000000000" w:firstRow="0" w:lastRow="0" w:firstColumn="0" w:lastColumn="0" w:oddVBand="0" w:evenVBand="0" w:oddHBand="0" w:evenHBand="0" w:firstRowFirstColumn="0" w:firstRowLastColumn="0" w:lastRowFirstColumn="0" w:lastRowLastColumn="0"/>
                        </w:pPr>
                        <w:r w:rsidRPr="007A1075">
                          <w:t>29523347</w:t>
                        </w:r>
                      </w:p>
                    </w:tc>
                    <w:tc>
                      <w:tcPr>
                        <w:tcW w:w="1172" w:type="dxa"/>
                        <w:noWrap/>
                        <w:hideMark/>
                      </w:tcPr>
                      <w:p w14:paraId="676AC681" w14:textId="3F6B4F30" w:rsidR="002618D3" w:rsidRPr="007A1075" w:rsidRDefault="002618D3" w:rsidP="00800D89">
                        <w:pPr>
                          <w:pStyle w:val="TableText"/>
                          <w:cnfStyle w:val="000000000000" w:firstRow="0" w:lastRow="0" w:firstColumn="0" w:lastColumn="0" w:oddVBand="0" w:evenVBand="0" w:oddHBand="0" w:evenHBand="0" w:firstRowFirstColumn="0" w:firstRowLastColumn="0" w:lastRowFirstColumn="0" w:lastRowLastColumn="0"/>
                        </w:pPr>
                        <w:r w:rsidRPr="007A1075">
                          <w:t>26</w:t>
                        </w:r>
                        <w:r>
                          <w:t>,</w:t>
                        </w:r>
                        <w:r w:rsidRPr="007A1075">
                          <w:t>987</w:t>
                        </w:r>
                      </w:p>
                    </w:tc>
                    <w:tc>
                      <w:tcPr>
                        <w:tcW w:w="1027" w:type="dxa"/>
                        <w:noWrap/>
                        <w:hideMark/>
                      </w:tcPr>
                      <w:p w14:paraId="064E3C40" w14:textId="77777777" w:rsidR="002618D3" w:rsidRPr="007A1075" w:rsidRDefault="002618D3" w:rsidP="00800D89">
                        <w:pPr>
                          <w:pStyle w:val="TableText"/>
                          <w:cnfStyle w:val="000000000000" w:firstRow="0" w:lastRow="0" w:firstColumn="0" w:lastColumn="0" w:oddVBand="0" w:evenVBand="0" w:oddHBand="0" w:evenHBand="0" w:firstRowFirstColumn="0" w:firstRowLastColumn="0" w:lastRowFirstColumn="0" w:lastRowLastColumn="0"/>
                        </w:pPr>
                        <w:r w:rsidRPr="007A1075">
                          <w:t>&lt;.001</w:t>
                        </w:r>
                      </w:p>
                    </w:tc>
                    <w:tc>
                      <w:tcPr>
                        <w:tcW w:w="1669" w:type="dxa"/>
                        <w:noWrap/>
                        <w:hideMark/>
                      </w:tcPr>
                      <w:p w14:paraId="026A209F" w14:textId="5E12B218" w:rsidR="002618D3" w:rsidRPr="007A1075" w:rsidRDefault="002618D3" w:rsidP="00800D89">
                        <w:pPr>
                          <w:pStyle w:val="TableText"/>
                          <w:cnfStyle w:val="000000000000" w:firstRow="0" w:lastRow="0" w:firstColumn="0" w:lastColumn="0" w:oddVBand="0" w:evenVBand="0" w:oddHBand="0" w:evenHBand="0" w:firstRowFirstColumn="0" w:firstRowLastColumn="0" w:lastRowFirstColumn="0" w:lastRowLastColumn="0"/>
                        </w:pPr>
                        <w:r w:rsidRPr="007A1075">
                          <w:t>59.1% (n=15</w:t>
                        </w:r>
                        <w:r>
                          <w:t>,</w:t>
                        </w:r>
                        <w:r w:rsidRPr="007A1075">
                          <w:t>945)</w:t>
                        </w:r>
                      </w:p>
                    </w:tc>
                  </w:tr>
                  <w:tr w:rsidR="00F3116F" w:rsidRPr="007A1075" w14:paraId="17BC0D92" w14:textId="77777777" w:rsidTr="00520E3A">
                    <w:trPr>
                      <w:cnfStyle w:val="000000100000" w:firstRow="0" w:lastRow="0" w:firstColumn="0" w:lastColumn="0" w:oddVBand="0" w:evenVBand="0" w:oddHBand="1" w:evenHBand="0" w:firstRowFirstColumn="0" w:firstRowLastColumn="0" w:lastRowFirstColumn="0" w:lastRowLastColumn="0"/>
                      <w:trHeight w:val="291"/>
                    </w:trPr>
                    <w:tc>
                      <w:tcPr>
                        <w:cnfStyle w:val="001000000000" w:firstRow="0" w:lastRow="0" w:firstColumn="1" w:lastColumn="0" w:oddVBand="0" w:evenVBand="0" w:oddHBand="0" w:evenHBand="0" w:firstRowFirstColumn="0" w:firstRowLastColumn="0" w:lastRowFirstColumn="0" w:lastRowLastColumn="0"/>
                        <w:tcW w:w="1325" w:type="dxa"/>
                        <w:vMerge/>
                        <w:tcBorders>
                          <w:top w:val="none" w:sz="0" w:space="0" w:color="auto"/>
                          <w:bottom w:val="none" w:sz="0" w:space="0" w:color="auto"/>
                          <w:right w:val="none" w:sz="0" w:space="0" w:color="auto"/>
                        </w:tcBorders>
                        <w:hideMark/>
                      </w:tcPr>
                      <w:p w14:paraId="00FC507D" w14:textId="77777777" w:rsidR="002618D3" w:rsidRPr="007A1075" w:rsidRDefault="002618D3" w:rsidP="00800D89">
                        <w:pPr>
                          <w:pStyle w:val="TableText"/>
                        </w:pPr>
                      </w:p>
                    </w:tc>
                    <w:tc>
                      <w:tcPr>
                        <w:tcW w:w="1402" w:type="dxa"/>
                        <w:vMerge/>
                        <w:tcBorders>
                          <w:top w:val="none" w:sz="0" w:space="0" w:color="auto"/>
                          <w:bottom w:val="none" w:sz="0" w:space="0" w:color="auto"/>
                        </w:tcBorders>
                        <w:hideMark/>
                      </w:tcPr>
                      <w:p w14:paraId="6AA86F00" w14:textId="77777777" w:rsidR="002618D3" w:rsidRPr="00321BC5" w:rsidRDefault="002618D3" w:rsidP="00800D89">
                        <w:pPr>
                          <w:pStyle w:val="TableText"/>
                          <w:cnfStyle w:val="000000100000" w:firstRow="0" w:lastRow="0" w:firstColumn="0" w:lastColumn="0" w:oddVBand="0" w:evenVBand="0" w:oddHBand="1" w:evenHBand="0" w:firstRowFirstColumn="0" w:firstRowLastColumn="0" w:lastRowFirstColumn="0" w:lastRowLastColumn="0"/>
                        </w:pPr>
                      </w:p>
                    </w:tc>
                    <w:tc>
                      <w:tcPr>
                        <w:tcW w:w="2151" w:type="dxa"/>
                        <w:vMerge/>
                        <w:tcBorders>
                          <w:top w:val="none" w:sz="0" w:space="0" w:color="auto"/>
                          <w:bottom w:val="none" w:sz="0" w:space="0" w:color="auto"/>
                        </w:tcBorders>
                        <w:hideMark/>
                      </w:tcPr>
                      <w:p w14:paraId="5AB7378E" w14:textId="77777777" w:rsidR="002618D3" w:rsidRPr="00321BC5" w:rsidRDefault="002618D3" w:rsidP="00800D89">
                        <w:pPr>
                          <w:pStyle w:val="TableText"/>
                          <w:cnfStyle w:val="000000100000" w:firstRow="0" w:lastRow="0" w:firstColumn="0" w:lastColumn="0" w:oddVBand="0" w:evenVBand="0" w:oddHBand="1" w:evenHBand="0" w:firstRowFirstColumn="0" w:firstRowLastColumn="0" w:lastRowFirstColumn="0" w:lastRowLastColumn="0"/>
                        </w:pPr>
                      </w:p>
                    </w:tc>
                    <w:tc>
                      <w:tcPr>
                        <w:tcW w:w="2182" w:type="dxa"/>
                        <w:tcBorders>
                          <w:top w:val="none" w:sz="0" w:space="0" w:color="auto"/>
                          <w:bottom w:val="none" w:sz="0" w:space="0" w:color="auto"/>
                        </w:tcBorders>
                        <w:noWrap/>
                        <w:hideMark/>
                      </w:tcPr>
                      <w:p w14:paraId="41DB1EBF" w14:textId="77777777" w:rsidR="002618D3" w:rsidRPr="00321BC5" w:rsidRDefault="002618D3" w:rsidP="00800D89">
                        <w:pPr>
                          <w:pStyle w:val="TableText"/>
                          <w:cnfStyle w:val="000000100000" w:firstRow="0" w:lastRow="0" w:firstColumn="0" w:lastColumn="0" w:oddVBand="0" w:evenVBand="0" w:oddHBand="1" w:evenHBand="0" w:firstRowFirstColumn="0" w:firstRowLastColumn="0" w:lastRowFirstColumn="0" w:lastRowLastColumn="0"/>
                        </w:pPr>
                        <w:r w:rsidRPr="00321BC5">
                          <w:t>Personal and family safety</w:t>
                        </w:r>
                      </w:p>
                    </w:tc>
                    <w:tc>
                      <w:tcPr>
                        <w:tcW w:w="1310" w:type="dxa"/>
                        <w:tcBorders>
                          <w:top w:val="none" w:sz="0" w:space="0" w:color="auto"/>
                          <w:bottom w:val="none" w:sz="0" w:space="0" w:color="auto"/>
                        </w:tcBorders>
                        <w:noWrap/>
                        <w:hideMark/>
                      </w:tcPr>
                      <w:p w14:paraId="0E376F44" w14:textId="77777777" w:rsidR="002618D3" w:rsidRPr="007A1075" w:rsidRDefault="002618D3" w:rsidP="00800D89">
                        <w:pPr>
                          <w:pStyle w:val="TableText"/>
                          <w:cnfStyle w:val="000000100000" w:firstRow="0" w:lastRow="0" w:firstColumn="0" w:lastColumn="0" w:oddVBand="0" w:evenVBand="0" w:oddHBand="1" w:evenHBand="0" w:firstRowFirstColumn="0" w:firstRowLastColumn="0" w:lastRowFirstColumn="0" w:lastRowLastColumn="0"/>
                        </w:pPr>
                        <w:r w:rsidRPr="007A1075">
                          <w:t>0.65</w:t>
                        </w:r>
                      </w:p>
                    </w:tc>
                    <w:tc>
                      <w:tcPr>
                        <w:tcW w:w="1784" w:type="dxa"/>
                        <w:tcBorders>
                          <w:top w:val="none" w:sz="0" w:space="0" w:color="auto"/>
                          <w:bottom w:val="none" w:sz="0" w:space="0" w:color="auto"/>
                        </w:tcBorders>
                        <w:noWrap/>
                        <w:hideMark/>
                      </w:tcPr>
                      <w:p w14:paraId="7FB42A10" w14:textId="77777777" w:rsidR="002618D3" w:rsidRPr="007A1075" w:rsidRDefault="002618D3" w:rsidP="00800D89">
                        <w:pPr>
                          <w:pStyle w:val="TableText"/>
                          <w:cnfStyle w:val="000000100000" w:firstRow="0" w:lastRow="0" w:firstColumn="0" w:lastColumn="0" w:oddVBand="0" w:evenVBand="0" w:oddHBand="1" w:evenHBand="0" w:firstRowFirstColumn="0" w:firstRowLastColumn="0" w:lastRowFirstColumn="0" w:lastRowLastColumn="0"/>
                        </w:pPr>
                        <w:r w:rsidRPr="007A1075">
                          <w:t>14280141</w:t>
                        </w:r>
                      </w:p>
                    </w:tc>
                    <w:tc>
                      <w:tcPr>
                        <w:tcW w:w="1172" w:type="dxa"/>
                        <w:tcBorders>
                          <w:top w:val="none" w:sz="0" w:space="0" w:color="auto"/>
                          <w:bottom w:val="none" w:sz="0" w:space="0" w:color="auto"/>
                        </w:tcBorders>
                        <w:noWrap/>
                        <w:hideMark/>
                      </w:tcPr>
                      <w:p w14:paraId="3DBEA804" w14:textId="13B26728" w:rsidR="002618D3" w:rsidRPr="007A1075" w:rsidRDefault="002618D3" w:rsidP="00800D89">
                        <w:pPr>
                          <w:pStyle w:val="TableText"/>
                          <w:cnfStyle w:val="000000100000" w:firstRow="0" w:lastRow="0" w:firstColumn="0" w:lastColumn="0" w:oddVBand="0" w:evenVBand="0" w:oddHBand="1" w:evenHBand="0" w:firstRowFirstColumn="0" w:firstRowLastColumn="0" w:lastRowFirstColumn="0" w:lastRowLastColumn="0"/>
                        </w:pPr>
                        <w:r w:rsidRPr="007A1075">
                          <w:t>15</w:t>
                        </w:r>
                        <w:r>
                          <w:t>,</w:t>
                        </w:r>
                        <w:r w:rsidRPr="007A1075">
                          <w:t>770</w:t>
                        </w:r>
                      </w:p>
                    </w:tc>
                    <w:tc>
                      <w:tcPr>
                        <w:tcW w:w="1027" w:type="dxa"/>
                        <w:tcBorders>
                          <w:top w:val="none" w:sz="0" w:space="0" w:color="auto"/>
                          <w:bottom w:val="none" w:sz="0" w:space="0" w:color="auto"/>
                        </w:tcBorders>
                        <w:noWrap/>
                        <w:hideMark/>
                      </w:tcPr>
                      <w:p w14:paraId="56407333" w14:textId="77777777" w:rsidR="002618D3" w:rsidRPr="007A1075" w:rsidRDefault="002618D3" w:rsidP="00800D89">
                        <w:pPr>
                          <w:pStyle w:val="TableText"/>
                          <w:cnfStyle w:val="000000100000" w:firstRow="0" w:lastRow="0" w:firstColumn="0" w:lastColumn="0" w:oddVBand="0" w:evenVBand="0" w:oddHBand="1" w:evenHBand="0" w:firstRowFirstColumn="0" w:firstRowLastColumn="0" w:lastRowFirstColumn="0" w:lastRowLastColumn="0"/>
                        </w:pPr>
                        <w:r w:rsidRPr="007A1075">
                          <w:t>&lt;.001</w:t>
                        </w:r>
                      </w:p>
                    </w:tc>
                    <w:tc>
                      <w:tcPr>
                        <w:tcW w:w="1669" w:type="dxa"/>
                        <w:tcBorders>
                          <w:top w:val="none" w:sz="0" w:space="0" w:color="auto"/>
                          <w:bottom w:val="none" w:sz="0" w:space="0" w:color="auto"/>
                        </w:tcBorders>
                        <w:noWrap/>
                        <w:hideMark/>
                      </w:tcPr>
                      <w:p w14:paraId="01904BE4" w14:textId="42CF397A" w:rsidR="002618D3" w:rsidRPr="007A1075" w:rsidRDefault="002618D3" w:rsidP="00800D89">
                        <w:pPr>
                          <w:pStyle w:val="TableText"/>
                          <w:cnfStyle w:val="000000100000" w:firstRow="0" w:lastRow="0" w:firstColumn="0" w:lastColumn="0" w:oddVBand="0" w:evenVBand="0" w:oddHBand="1" w:evenHBand="0" w:firstRowFirstColumn="0" w:firstRowLastColumn="0" w:lastRowFirstColumn="0" w:lastRowLastColumn="0"/>
                        </w:pPr>
                        <w:r w:rsidRPr="007A1075">
                          <w:t>45.6% (n=7</w:t>
                        </w:r>
                        <w:r>
                          <w:t>,</w:t>
                        </w:r>
                        <w:r w:rsidRPr="007A1075">
                          <w:t>196)</w:t>
                        </w:r>
                      </w:p>
                    </w:tc>
                  </w:tr>
                  <w:tr w:rsidR="00F3116F" w:rsidRPr="007A1075" w14:paraId="44AB4FDA" w14:textId="77777777" w:rsidTr="00520E3A">
                    <w:trPr>
                      <w:trHeight w:val="291"/>
                    </w:trPr>
                    <w:tc>
                      <w:tcPr>
                        <w:cnfStyle w:val="001000000000" w:firstRow="0" w:lastRow="0" w:firstColumn="1" w:lastColumn="0" w:oddVBand="0" w:evenVBand="0" w:oddHBand="0" w:evenHBand="0" w:firstRowFirstColumn="0" w:firstRowLastColumn="0" w:lastRowFirstColumn="0" w:lastRowLastColumn="0"/>
                        <w:tcW w:w="1325" w:type="dxa"/>
                        <w:vMerge/>
                        <w:tcBorders>
                          <w:right w:val="none" w:sz="0" w:space="0" w:color="auto"/>
                        </w:tcBorders>
                        <w:hideMark/>
                      </w:tcPr>
                      <w:p w14:paraId="2461662B" w14:textId="77777777" w:rsidR="002618D3" w:rsidRPr="007A1075" w:rsidRDefault="002618D3" w:rsidP="00800D89">
                        <w:pPr>
                          <w:pStyle w:val="TableText"/>
                        </w:pPr>
                      </w:p>
                    </w:tc>
                    <w:tc>
                      <w:tcPr>
                        <w:tcW w:w="1402" w:type="dxa"/>
                        <w:vMerge/>
                        <w:hideMark/>
                      </w:tcPr>
                      <w:p w14:paraId="47995394" w14:textId="77777777" w:rsidR="002618D3" w:rsidRPr="00321BC5" w:rsidRDefault="002618D3" w:rsidP="00800D89">
                        <w:pPr>
                          <w:pStyle w:val="TableText"/>
                          <w:cnfStyle w:val="000000000000" w:firstRow="0" w:lastRow="0" w:firstColumn="0" w:lastColumn="0" w:oddVBand="0" w:evenVBand="0" w:oddHBand="0" w:evenHBand="0" w:firstRowFirstColumn="0" w:firstRowLastColumn="0" w:lastRowFirstColumn="0" w:lastRowLastColumn="0"/>
                        </w:pPr>
                      </w:p>
                    </w:tc>
                    <w:tc>
                      <w:tcPr>
                        <w:tcW w:w="2151" w:type="dxa"/>
                        <w:vMerge w:val="restart"/>
                        <w:hideMark/>
                      </w:tcPr>
                      <w:p w14:paraId="60282FB1" w14:textId="77777777" w:rsidR="002618D3" w:rsidRPr="00321BC5" w:rsidRDefault="002618D3" w:rsidP="00800D89">
                        <w:pPr>
                          <w:pStyle w:val="TableText"/>
                          <w:cnfStyle w:val="000000000000" w:firstRow="0" w:lastRow="0" w:firstColumn="0" w:lastColumn="0" w:oddVBand="0" w:evenVBand="0" w:oddHBand="0" w:evenHBand="0" w:firstRowFirstColumn="0" w:firstRowLastColumn="0" w:lastRowFirstColumn="0" w:lastRowLastColumn="0"/>
                        </w:pPr>
                        <w:r w:rsidRPr="00321BC5">
                          <w:t>Goals</w:t>
                        </w:r>
                      </w:p>
                    </w:tc>
                    <w:tc>
                      <w:tcPr>
                        <w:tcW w:w="2182" w:type="dxa"/>
                        <w:noWrap/>
                        <w:hideMark/>
                      </w:tcPr>
                      <w:p w14:paraId="00BA7012" w14:textId="77777777" w:rsidR="002618D3" w:rsidRPr="00321BC5" w:rsidRDefault="002618D3" w:rsidP="00800D89">
                        <w:pPr>
                          <w:pStyle w:val="TableText"/>
                          <w:cnfStyle w:val="000000000000" w:firstRow="0" w:lastRow="0" w:firstColumn="0" w:lastColumn="0" w:oddVBand="0" w:evenVBand="0" w:oddHBand="0" w:evenHBand="0" w:firstRowFirstColumn="0" w:firstRowLastColumn="0" w:lastRowFirstColumn="0" w:lastRowLastColumn="0"/>
                        </w:pPr>
                        <w:r w:rsidRPr="00321BC5">
                          <w:t>Changed behaviours</w:t>
                        </w:r>
                      </w:p>
                    </w:tc>
                    <w:tc>
                      <w:tcPr>
                        <w:tcW w:w="1310" w:type="dxa"/>
                        <w:noWrap/>
                        <w:hideMark/>
                      </w:tcPr>
                      <w:p w14:paraId="0B6A230E" w14:textId="77777777" w:rsidR="002618D3" w:rsidRPr="007A1075" w:rsidRDefault="002618D3" w:rsidP="00800D89">
                        <w:pPr>
                          <w:pStyle w:val="TableText"/>
                          <w:cnfStyle w:val="000000000000" w:firstRow="0" w:lastRow="0" w:firstColumn="0" w:lastColumn="0" w:oddVBand="0" w:evenVBand="0" w:oddHBand="0" w:evenHBand="0" w:firstRowFirstColumn="0" w:firstRowLastColumn="0" w:lastRowFirstColumn="0" w:lastRowLastColumn="0"/>
                        </w:pPr>
                        <w:r w:rsidRPr="007A1075">
                          <w:t>1.13</w:t>
                        </w:r>
                      </w:p>
                    </w:tc>
                    <w:tc>
                      <w:tcPr>
                        <w:tcW w:w="1784" w:type="dxa"/>
                        <w:noWrap/>
                        <w:hideMark/>
                      </w:tcPr>
                      <w:p w14:paraId="01CF92A1" w14:textId="77777777" w:rsidR="002618D3" w:rsidRPr="007A1075" w:rsidRDefault="002618D3" w:rsidP="00800D89">
                        <w:pPr>
                          <w:pStyle w:val="TableText"/>
                          <w:cnfStyle w:val="000000000000" w:firstRow="0" w:lastRow="0" w:firstColumn="0" w:lastColumn="0" w:oddVBand="0" w:evenVBand="0" w:oddHBand="0" w:evenHBand="0" w:firstRowFirstColumn="0" w:firstRowLastColumn="0" w:lastRowFirstColumn="0" w:lastRowLastColumn="0"/>
                        </w:pPr>
                        <w:r w:rsidRPr="007A1075">
                          <w:t>10728370</w:t>
                        </w:r>
                      </w:p>
                    </w:tc>
                    <w:tc>
                      <w:tcPr>
                        <w:tcW w:w="1172" w:type="dxa"/>
                        <w:noWrap/>
                        <w:hideMark/>
                      </w:tcPr>
                      <w:p w14:paraId="1338CE7F" w14:textId="1B776EE5" w:rsidR="002618D3" w:rsidRPr="007A1075" w:rsidRDefault="002618D3" w:rsidP="00800D89">
                        <w:pPr>
                          <w:pStyle w:val="TableText"/>
                          <w:cnfStyle w:val="000000000000" w:firstRow="0" w:lastRow="0" w:firstColumn="0" w:lastColumn="0" w:oddVBand="0" w:evenVBand="0" w:oddHBand="0" w:evenHBand="0" w:firstRowFirstColumn="0" w:firstRowLastColumn="0" w:lastRowFirstColumn="0" w:lastRowLastColumn="0"/>
                        </w:pPr>
                        <w:r w:rsidRPr="007A1075">
                          <w:t>20</w:t>
                        </w:r>
                        <w:r>
                          <w:t>,</w:t>
                        </w:r>
                        <w:r w:rsidRPr="007A1075">
                          <w:t>664</w:t>
                        </w:r>
                      </w:p>
                    </w:tc>
                    <w:tc>
                      <w:tcPr>
                        <w:tcW w:w="1027" w:type="dxa"/>
                        <w:noWrap/>
                        <w:hideMark/>
                      </w:tcPr>
                      <w:p w14:paraId="0556891D" w14:textId="77777777" w:rsidR="002618D3" w:rsidRPr="007A1075" w:rsidRDefault="002618D3" w:rsidP="00800D89">
                        <w:pPr>
                          <w:pStyle w:val="TableText"/>
                          <w:cnfStyle w:val="000000000000" w:firstRow="0" w:lastRow="0" w:firstColumn="0" w:lastColumn="0" w:oddVBand="0" w:evenVBand="0" w:oddHBand="0" w:evenHBand="0" w:firstRowFirstColumn="0" w:firstRowLastColumn="0" w:lastRowFirstColumn="0" w:lastRowLastColumn="0"/>
                        </w:pPr>
                        <w:r w:rsidRPr="007A1075">
                          <w:t>&lt;.001</w:t>
                        </w:r>
                      </w:p>
                    </w:tc>
                    <w:tc>
                      <w:tcPr>
                        <w:tcW w:w="1669" w:type="dxa"/>
                        <w:noWrap/>
                        <w:hideMark/>
                      </w:tcPr>
                      <w:p w14:paraId="63D6DB63" w14:textId="1A6F4158" w:rsidR="002618D3" w:rsidRPr="007A1075" w:rsidRDefault="002618D3" w:rsidP="00800D89">
                        <w:pPr>
                          <w:pStyle w:val="TableText"/>
                          <w:cnfStyle w:val="000000000000" w:firstRow="0" w:lastRow="0" w:firstColumn="0" w:lastColumn="0" w:oddVBand="0" w:evenVBand="0" w:oddHBand="0" w:evenHBand="0" w:firstRowFirstColumn="0" w:firstRowLastColumn="0" w:lastRowFirstColumn="0" w:lastRowLastColumn="0"/>
                        </w:pPr>
                        <w:r w:rsidRPr="007A1075">
                          <w:t>66.2% (n=13</w:t>
                        </w:r>
                        <w:r>
                          <w:t>,</w:t>
                        </w:r>
                        <w:r w:rsidRPr="007A1075">
                          <w:t>687)</w:t>
                        </w:r>
                      </w:p>
                    </w:tc>
                  </w:tr>
                  <w:tr w:rsidR="00F3116F" w:rsidRPr="007A1075" w14:paraId="12F28322" w14:textId="77777777" w:rsidTr="00520E3A">
                    <w:trPr>
                      <w:cnfStyle w:val="000000100000" w:firstRow="0" w:lastRow="0" w:firstColumn="0" w:lastColumn="0" w:oddVBand="0" w:evenVBand="0" w:oddHBand="1" w:evenHBand="0" w:firstRowFirstColumn="0" w:firstRowLastColumn="0" w:lastRowFirstColumn="0" w:lastRowLastColumn="0"/>
                      <w:trHeight w:val="291"/>
                    </w:trPr>
                    <w:tc>
                      <w:tcPr>
                        <w:cnfStyle w:val="001000000000" w:firstRow="0" w:lastRow="0" w:firstColumn="1" w:lastColumn="0" w:oddVBand="0" w:evenVBand="0" w:oddHBand="0" w:evenHBand="0" w:firstRowFirstColumn="0" w:firstRowLastColumn="0" w:lastRowFirstColumn="0" w:lastRowLastColumn="0"/>
                        <w:tcW w:w="1325" w:type="dxa"/>
                        <w:vMerge/>
                        <w:tcBorders>
                          <w:top w:val="none" w:sz="0" w:space="0" w:color="auto"/>
                          <w:bottom w:val="none" w:sz="0" w:space="0" w:color="auto"/>
                          <w:right w:val="none" w:sz="0" w:space="0" w:color="auto"/>
                        </w:tcBorders>
                        <w:hideMark/>
                      </w:tcPr>
                      <w:p w14:paraId="7B23291F" w14:textId="77777777" w:rsidR="002618D3" w:rsidRPr="007A1075" w:rsidRDefault="002618D3" w:rsidP="00800D89">
                        <w:pPr>
                          <w:pStyle w:val="TableText"/>
                        </w:pPr>
                      </w:p>
                    </w:tc>
                    <w:tc>
                      <w:tcPr>
                        <w:tcW w:w="1402" w:type="dxa"/>
                        <w:vMerge/>
                        <w:tcBorders>
                          <w:top w:val="none" w:sz="0" w:space="0" w:color="auto"/>
                          <w:bottom w:val="none" w:sz="0" w:space="0" w:color="auto"/>
                        </w:tcBorders>
                        <w:hideMark/>
                      </w:tcPr>
                      <w:p w14:paraId="0EED7CAE" w14:textId="77777777" w:rsidR="002618D3" w:rsidRPr="00321BC5" w:rsidRDefault="002618D3" w:rsidP="00800D89">
                        <w:pPr>
                          <w:pStyle w:val="TableText"/>
                          <w:cnfStyle w:val="000000100000" w:firstRow="0" w:lastRow="0" w:firstColumn="0" w:lastColumn="0" w:oddVBand="0" w:evenVBand="0" w:oddHBand="1" w:evenHBand="0" w:firstRowFirstColumn="0" w:firstRowLastColumn="0" w:lastRowFirstColumn="0" w:lastRowLastColumn="0"/>
                        </w:pPr>
                      </w:p>
                    </w:tc>
                    <w:tc>
                      <w:tcPr>
                        <w:tcW w:w="2151" w:type="dxa"/>
                        <w:vMerge/>
                        <w:tcBorders>
                          <w:top w:val="none" w:sz="0" w:space="0" w:color="auto"/>
                          <w:bottom w:val="none" w:sz="0" w:space="0" w:color="auto"/>
                        </w:tcBorders>
                        <w:hideMark/>
                      </w:tcPr>
                      <w:p w14:paraId="47D4E0C6" w14:textId="77777777" w:rsidR="002618D3" w:rsidRPr="00321BC5" w:rsidRDefault="002618D3" w:rsidP="00800D89">
                        <w:pPr>
                          <w:pStyle w:val="TableText"/>
                          <w:cnfStyle w:val="000000100000" w:firstRow="0" w:lastRow="0" w:firstColumn="0" w:lastColumn="0" w:oddVBand="0" w:evenVBand="0" w:oddHBand="1" w:evenHBand="0" w:firstRowFirstColumn="0" w:firstRowLastColumn="0" w:lastRowFirstColumn="0" w:lastRowLastColumn="0"/>
                        </w:pPr>
                      </w:p>
                    </w:tc>
                    <w:tc>
                      <w:tcPr>
                        <w:tcW w:w="2182" w:type="dxa"/>
                        <w:tcBorders>
                          <w:top w:val="none" w:sz="0" w:space="0" w:color="auto"/>
                          <w:bottom w:val="none" w:sz="0" w:space="0" w:color="auto"/>
                        </w:tcBorders>
                        <w:noWrap/>
                        <w:hideMark/>
                      </w:tcPr>
                      <w:p w14:paraId="4CBFE34C" w14:textId="77777777" w:rsidR="002618D3" w:rsidRPr="00321BC5" w:rsidRDefault="002618D3" w:rsidP="00800D89">
                        <w:pPr>
                          <w:pStyle w:val="TableText"/>
                          <w:cnfStyle w:val="000000100000" w:firstRow="0" w:lastRow="0" w:firstColumn="0" w:lastColumn="0" w:oddVBand="0" w:evenVBand="0" w:oddHBand="1" w:evenHBand="0" w:firstRowFirstColumn="0" w:firstRowLastColumn="0" w:lastRowFirstColumn="0" w:lastRowLastColumn="0"/>
                        </w:pPr>
                        <w:r w:rsidRPr="00321BC5">
                          <w:t>Changed impact of immediate crisis</w:t>
                        </w:r>
                      </w:p>
                    </w:tc>
                    <w:tc>
                      <w:tcPr>
                        <w:tcW w:w="1310" w:type="dxa"/>
                        <w:tcBorders>
                          <w:top w:val="none" w:sz="0" w:space="0" w:color="auto"/>
                          <w:bottom w:val="none" w:sz="0" w:space="0" w:color="auto"/>
                        </w:tcBorders>
                        <w:noWrap/>
                        <w:hideMark/>
                      </w:tcPr>
                      <w:p w14:paraId="787FAC81" w14:textId="77777777" w:rsidR="002618D3" w:rsidRPr="007A1075" w:rsidRDefault="002618D3" w:rsidP="00800D89">
                        <w:pPr>
                          <w:pStyle w:val="TableText"/>
                          <w:cnfStyle w:val="000000100000" w:firstRow="0" w:lastRow="0" w:firstColumn="0" w:lastColumn="0" w:oddVBand="0" w:evenVBand="0" w:oddHBand="1" w:evenHBand="0" w:firstRowFirstColumn="0" w:firstRowLastColumn="0" w:lastRowFirstColumn="0" w:lastRowLastColumn="0"/>
                        </w:pPr>
                        <w:r w:rsidRPr="007A1075">
                          <w:t>1.21</w:t>
                        </w:r>
                      </w:p>
                    </w:tc>
                    <w:tc>
                      <w:tcPr>
                        <w:tcW w:w="1784" w:type="dxa"/>
                        <w:tcBorders>
                          <w:top w:val="none" w:sz="0" w:space="0" w:color="auto"/>
                          <w:bottom w:val="none" w:sz="0" w:space="0" w:color="auto"/>
                        </w:tcBorders>
                        <w:noWrap/>
                        <w:hideMark/>
                      </w:tcPr>
                      <w:p w14:paraId="5509BF28" w14:textId="77777777" w:rsidR="002618D3" w:rsidRPr="007A1075" w:rsidRDefault="002618D3" w:rsidP="00800D89">
                        <w:pPr>
                          <w:pStyle w:val="TableText"/>
                          <w:cnfStyle w:val="000000100000" w:firstRow="0" w:lastRow="0" w:firstColumn="0" w:lastColumn="0" w:oddVBand="0" w:evenVBand="0" w:oddHBand="1" w:evenHBand="0" w:firstRowFirstColumn="0" w:firstRowLastColumn="0" w:lastRowFirstColumn="0" w:lastRowLastColumn="0"/>
                        </w:pPr>
                        <w:r w:rsidRPr="007A1075">
                          <w:t>2860503</w:t>
                        </w:r>
                      </w:p>
                    </w:tc>
                    <w:tc>
                      <w:tcPr>
                        <w:tcW w:w="1172" w:type="dxa"/>
                        <w:tcBorders>
                          <w:top w:val="none" w:sz="0" w:space="0" w:color="auto"/>
                          <w:bottom w:val="none" w:sz="0" w:space="0" w:color="auto"/>
                        </w:tcBorders>
                        <w:noWrap/>
                        <w:hideMark/>
                      </w:tcPr>
                      <w:p w14:paraId="71F749C1" w14:textId="3220ED3F" w:rsidR="002618D3" w:rsidRPr="007A1075" w:rsidRDefault="002618D3" w:rsidP="00800D89">
                        <w:pPr>
                          <w:pStyle w:val="TableText"/>
                          <w:cnfStyle w:val="000000100000" w:firstRow="0" w:lastRow="0" w:firstColumn="0" w:lastColumn="0" w:oddVBand="0" w:evenVBand="0" w:oddHBand="1" w:evenHBand="0" w:firstRowFirstColumn="0" w:firstRowLastColumn="0" w:lastRowFirstColumn="0" w:lastRowLastColumn="0"/>
                        </w:pPr>
                        <w:r w:rsidRPr="007A1075">
                          <w:t>11</w:t>
                        </w:r>
                        <w:r>
                          <w:t>,</w:t>
                        </w:r>
                        <w:r w:rsidRPr="007A1075">
                          <w:t>457</w:t>
                        </w:r>
                      </w:p>
                    </w:tc>
                    <w:tc>
                      <w:tcPr>
                        <w:tcW w:w="1027" w:type="dxa"/>
                        <w:tcBorders>
                          <w:top w:val="none" w:sz="0" w:space="0" w:color="auto"/>
                          <w:bottom w:val="none" w:sz="0" w:space="0" w:color="auto"/>
                        </w:tcBorders>
                        <w:noWrap/>
                        <w:hideMark/>
                      </w:tcPr>
                      <w:p w14:paraId="36D5645B" w14:textId="77777777" w:rsidR="002618D3" w:rsidRPr="007A1075" w:rsidRDefault="002618D3" w:rsidP="00800D89">
                        <w:pPr>
                          <w:pStyle w:val="TableText"/>
                          <w:cnfStyle w:val="000000100000" w:firstRow="0" w:lastRow="0" w:firstColumn="0" w:lastColumn="0" w:oddVBand="0" w:evenVBand="0" w:oddHBand="1" w:evenHBand="0" w:firstRowFirstColumn="0" w:firstRowLastColumn="0" w:lastRowFirstColumn="0" w:lastRowLastColumn="0"/>
                        </w:pPr>
                        <w:r w:rsidRPr="007A1075">
                          <w:t>&lt;.001</w:t>
                        </w:r>
                      </w:p>
                    </w:tc>
                    <w:tc>
                      <w:tcPr>
                        <w:tcW w:w="1669" w:type="dxa"/>
                        <w:tcBorders>
                          <w:top w:val="none" w:sz="0" w:space="0" w:color="auto"/>
                          <w:bottom w:val="none" w:sz="0" w:space="0" w:color="auto"/>
                        </w:tcBorders>
                        <w:noWrap/>
                        <w:hideMark/>
                      </w:tcPr>
                      <w:p w14:paraId="3377B89F" w14:textId="3C0ED9A2" w:rsidR="002618D3" w:rsidRPr="007A1075" w:rsidRDefault="002618D3" w:rsidP="00800D89">
                        <w:pPr>
                          <w:pStyle w:val="TableText"/>
                          <w:cnfStyle w:val="000000100000" w:firstRow="0" w:lastRow="0" w:firstColumn="0" w:lastColumn="0" w:oddVBand="0" w:evenVBand="0" w:oddHBand="1" w:evenHBand="0" w:firstRowFirstColumn="0" w:firstRowLastColumn="0" w:lastRowFirstColumn="0" w:lastRowLastColumn="0"/>
                        </w:pPr>
                        <w:r w:rsidRPr="007A1075">
                          <w:t>69.4% (n=7</w:t>
                        </w:r>
                        <w:r>
                          <w:t>,</w:t>
                        </w:r>
                        <w:r w:rsidRPr="007A1075">
                          <w:t>948)</w:t>
                        </w:r>
                      </w:p>
                    </w:tc>
                  </w:tr>
                  <w:tr w:rsidR="00F3116F" w:rsidRPr="007A1075" w14:paraId="32BECBE0" w14:textId="77777777" w:rsidTr="00520E3A">
                    <w:trPr>
                      <w:trHeight w:val="291"/>
                    </w:trPr>
                    <w:tc>
                      <w:tcPr>
                        <w:cnfStyle w:val="001000000000" w:firstRow="0" w:lastRow="0" w:firstColumn="1" w:lastColumn="0" w:oddVBand="0" w:evenVBand="0" w:oddHBand="0" w:evenHBand="0" w:firstRowFirstColumn="0" w:firstRowLastColumn="0" w:lastRowFirstColumn="0" w:lastRowLastColumn="0"/>
                        <w:tcW w:w="1325" w:type="dxa"/>
                        <w:vMerge/>
                        <w:tcBorders>
                          <w:right w:val="none" w:sz="0" w:space="0" w:color="auto"/>
                        </w:tcBorders>
                        <w:hideMark/>
                      </w:tcPr>
                      <w:p w14:paraId="7C9D5AE2" w14:textId="77777777" w:rsidR="002618D3" w:rsidRPr="007A1075" w:rsidRDefault="002618D3" w:rsidP="00800D89">
                        <w:pPr>
                          <w:pStyle w:val="TableText"/>
                        </w:pPr>
                      </w:p>
                    </w:tc>
                    <w:tc>
                      <w:tcPr>
                        <w:tcW w:w="1402" w:type="dxa"/>
                        <w:vMerge/>
                        <w:hideMark/>
                      </w:tcPr>
                      <w:p w14:paraId="3BB47E66" w14:textId="77777777" w:rsidR="002618D3" w:rsidRPr="00321BC5" w:rsidRDefault="002618D3" w:rsidP="00800D89">
                        <w:pPr>
                          <w:pStyle w:val="TableText"/>
                          <w:cnfStyle w:val="000000000000" w:firstRow="0" w:lastRow="0" w:firstColumn="0" w:lastColumn="0" w:oddVBand="0" w:evenVBand="0" w:oddHBand="0" w:evenHBand="0" w:firstRowFirstColumn="0" w:firstRowLastColumn="0" w:lastRowFirstColumn="0" w:lastRowLastColumn="0"/>
                        </w:pPr>
                      </w:p>
                    </w:tc>
                    <w:tc>
                      <w:tcPr>
                        <w:tcW w:w="2151" w:type="dxa"/>
                        <w:vMerge/>
                        <w:hideMark/>
                      </w:tcPr>
                      <w:p w14:paraId="1661D0EB" w14:textId="77777777" w:rsidR="002618D3" w:rsidRPr="00321BC5" w:rsidRDefault="002618D3" w:rsidP="00800D89">
                        <w:pPr>
                          <w:pStyle w:val="TableText"/>
                          <w:cnfStyle w:val="000000000000" w:firstRow="0" w:lastRow="0" w:firstColumn="0" w:lastColumn="0" w:oddVBand="0" w:evenVBand="0" w:oddHBand="0" w:evenHBand="0" w:firstRowFirstColumn="0" w:firstRowLastColumn="0" w:lastRowFirstColumn="0" w:lastRowLastColumn="0"/>
                        </w:pPr>
                      </w:p>
                    </w:tc>
                    <w:tc>
                      <w:tcPr>
                        <w:tcW w:w="2182" w:type="dxa"/>
                        <w:noWrap/>
                        <w:hideMark/>
                      </w:tcPr>
                      <w:p w14:paraId="4198943F" w14:textId="77777777" w:rsidR="002618D3" w:rsidRPr="00321BC5" w:rsidRDefault="002618D3" w:rsidP="00800D89">
                        <w:pPr>
                          <w:pStyle w:val="TableText"/>
                          <w:cnfStyle w:val="000000000000" w:firstRow="0" w:lastRow="0" w:firstColumn="0" w:lastColumn="0" w:oddVBand="0" w:evenVBand="0" w:oddHBand="0" w:evenHBand="0" w:firstRowFirstColumn="0" w:firstRowLastColumn="0" w:lastRowFirstColumn="0" w:lastRowLastColumn="0"/>
                        </w:pPr>
                        <w:r w:rsidRPr="00321BC5">
                          <w:t>Changed knowledge and access to information</w:t>
                        </w:r>
                      </w:p>
                    </w:tc>
                    <w:tc>
                      <w:tcPr>
                        <w:tcW w:w="1310" w:type="dxa"/>
                        <w:noWrap/>
                        <w:hideMark/>
                      </w:tcPr>
                      <w:p w14:paraId="157C1CAA" w14:textId="77777777" w:rsidR="002618D3" w:rsidRPr="007A1075" w:rsidRDefault="002618D3" w:rsidP="00800D89">
                        <w:pPr>
                          <w:pStyle w:val="TableText"/>
                          <w:cnfStyle w:val="000000000000" w:firstRow="0" w:lastRow="0" w:firstColumn="0" w:lastColumn="0" w:oddVBand="0" w:evenVBand="0" w:oddHBand="0" w:evenHBand="0" w:firstRowFirstColumn="0" w:firstRowLastColumn="0" w:lastRowFirstColumn="0" w:lastRowLastColumn="0"/>
                        </w:pPr>
                        <w:r w:rsidRPr="007A1075">
                          <w:t>1.36</w:t>
                        </w:r>
                      </w:p>
                    </w:tc>
                    <w:tc>
                      <w:tcPr>
                        <w:tcW w:w="1784" w:type="dxa"/>
                        <w:noWrap/>
                        <w:hideMark/>
                      </w:tcPr>
                      <w:p w14:paraId="55646F30" w14:textId="77777777" w:rsidR="002618D3" w:rsidRPr="007A1075" w:rsidRDefault="002618D3" w:rsidP="00800D89">
                        <w:pPr>
                          <w:pStyle w:val="TableText"/>
                          <w:cnfStyle w:val="000000000000" w:firstRow="0" w:lastRow="0" w:firstColumn="0" w:lastColumn="0" w:oddVBand="0" w:evenVBand="0" w:oddHBand="0" w:evenHBand="0" w:firstRowFirstColumn="0" w:firstRowLastColumn="0" w:lastRowFirstColumn="0" w:lastRowLastColumn="0"/>
                        </w:pPr>
                        <w:r w:rsidRPr="007A1075">
                          <w:t>9944109</w:t>
                        </w:r>
                      </w:p>
                    </w:tc>
                    <w:tc>
                      <w:tcPr>
                        <w:tcW w:w="1172" w:type="dxa"/>
                        <w:noWrap/>
                        <w:hideMark/>
                      </w:tcPr>
                      <w:p w14:paraId="090A5E94" w14:textId="505819B1" w:rsidR="002618D3" w:rsidRPr="007A1075" w:rsidRDefault="002618D3" w:rsidP="00800D89">
                        <w:pPr>
                          <w:pStyle w:val="TableText"/>
                          <w:cnfStyle w:val="000000000000" w:firstRow="0" w:lastRow="0" w:firstColumn="0" w:lastColumn="0" w:oddVBand="0" w:evenVBand="0" w:oddHBand="0" w:evenHBand="0" w:firstRowFirstColumn="0" w:firstRowLastColumn="0" w:lastRowFirstColumn="0" w:lastRowLastColumn="0"/>
                        </w:pPr>
                        <w:r w:rsidRPr="007A1075">
                          <w:t>22</w:t>
                        </w:r>
                        <w:r>
                          <w:t>,</w:t>
                        </w:r>
                        <w:r w:rsidRPr="007A1075">
                          <w:t>025</w:t>
                        </w:r>
                      </w:p>
                    </w:tc>
                    <w:tc>
                      <w:tcPr>
                        <w:tcW w:w="1027" w:type="dxa"/>
                        <w:noWrap/>
                        <w:hideMark/>
                      </w:tcPr>
                      <w:p w14:paraId="6DDB1AF2" w14:textId="77777777" w:rsidR="002618D3" w:rsidRPr="007A1075" w:rsidRDefault="002618D3" w:rsidP="00800D89">
                        <w:pPr>
                          <w:pStyle w:val="TableText"/>
                          <w:cnfStyle w:val="000000000000" w:firstRow="0" w:lastRow="0" w:firstColumn="0" w:lastColumn="0" w:oddVBand="0" w:evenVBand="0" w:oddHBand="0" w:evenHBand="0" w:firstRowFirstColumn="0" w:firstRowLastColumn="0" w:lastRowFirstColumn="0" w:lastRowLastColumn="0"/>
                        </w:pPr>
                        <w:r w:rsidRPr="007A1075">
                          <w:t>&lt;.001</w:t>
                        </w:r>
                      </w:p>
                    </w:tc>
                    <w:tc>
                      <w:tcPr>
                        <w:tcW w:w="1669" w:type="dxa"/>
                        <w:noWrap/>
                        <w:hideMark/>
                      </w:tcPr>
                      <w:p w14:paraId="09A5A530" w14:textId="056F93F0" w:rsidR="002618D3" w:rsidRPr="007A1075" w:rsidRDefault="002618D3" w:rsidP="00800D89">
                        <w:pPr>
                          <w:pStyle w:val="TableText"/>
                          <w:cnfStyle w:val="000000000000" w:firstRow="0" w:lastRow="0" w:firstColumn="0" w:lastColumn="0" w:oddVBand="0" w:evenVBand="0" w:oddHBand="0" w:evenHBand="0" w:firstRowFirstColumn="0" w:firstRowLastColumn="0" w:lastRowFirstColumn="0" w:lastRowLastColumn="0"/>
                        </w:pPr>
                        <w:r w:rsidRPr="007A1075">
                          <w:t>71.2% (n=15</w:t>
                        </w:r>
                        <w:r>
                          <w:t>,</w:t>
                        </w:r>
                        <w:r w:rsidRPr="007A1075">
                          <w:t>681)</w:t>
                        </w:r>
                      </w:p>
                    </w:tc>
                  </w:tr>
                  <w:tr w:rsidR="00F3116F" w:rsidRPr="007A1075" w14:paraId="57ADB891" w14:textId="77777777" w:rsidTr="00520E3A">
                    <w:trPr>
                      <w:cnfStyle w:val="000000100000" w:firstRow="0" w:lastRow="0" w:firstColumn="0" w:lastColumn="0" w:oddVBand="0" w:evenVBand="0" w:oddHBand="1" w:evenHBand="0" w:firstRowFirstColumn="0" w:firstRowLastColumn="0" w:lastRowFirstColumn="0" w:lastRowLastColumn="0"/>
                      <w:trHeight w:val="291"/>
                    </w:trPr>
                    <w:tc>
                      <w:tcPr>
                        <w:cnfStyle w:val="001000000000" w:firstRow="0" w:lastRow="0" w:firstColumn="1" w:lastColumn="0" w:oddVBand="0" w:evenVBand="0" w:oddHBand="0" w:evenHBand="0" w:firstRowFirstColumn="0" w:firstRowLastColumn="0" w:lastRowFirstColumn="0" w:lastRowLastColumn="0"/>
                        <w:tcW w:w="1325" w:type="dxa"/>
                        <w:vMerge/>
                        <w:tcBorders>
                          <w:top w:val="none" w:sz="0" w:space="0" w:color="auto"/>
                          <w:bottom w:val="none" w:sz="0" w:space="0" w:color="auto"/>
                          <w:right w:val="none" w:sz="0" w:space="0" w:color="auto"/>
                        </w:tcBorders>
                        <w:hideMark/>
                      </w:tcPr>
                      <w:p w14:paraId="5CA01502" w14:textId="77777777" w:rsidR="002618D3" w:rsidRPr="007A1075" w:rsidRDefault="002618D3" w:rsidP="00800D89">
                        <w:pPr>
                          <w:pStyle w:val="TableText"/>
                        </w:pPr>
                      </w:p>
                    </w:tc>
                    <w:tc>
                      <w:tcPr>
                        <w:tcW w:w="1402" w:type="dxa"/>
                        <w:vMerge/>
                        <w:tcBorders>
                          <w:top w:val="none" w:sz="0" w:space="0" w:color="auto"/>
                          <w:bottom w:val="none" w:sz="0" w:space="0" w:color="auto"/>
                        </w:tcBorders>
                        <w:hideMark/>
                      </w:tcPr>
                      <w:p w14:paraId="0452D641" w14:textId="77777777" w:rsidR="002618D3" w:rsidRPr="00321BC5" w:rsidRDefault="002618D3" w:rsidP="00800D89">
                        <w:pPr>
                          <w:pStyle w:val="TableText"/>
                          <w:cnfStyle w:val="000000100000" w:firstRow="0" w:lastRow="0" w:firstColumn="0" w:lastColumn="0" w:oddVBand="0" w:evenVBand="0" w:oddHBand="1" w:evenHBand="0" w:firstRowFirstColumn="0" w:firstRowLastColumn="0" w:lastRowFirstColumn="0" w:lastRowLastColumn="0"/>
                        </w:pPr>
                      </w:p>
                    </w:tc>
                    <w:tc>
                      <w:tcPr>
                        <w:tcW w:w="2151" w:type="dxa"/>
                        <w:vMerge/>
                        <w:tcBorders>
                          <w:top w:val="none" w:sz="0" w:space="0" w:color="auto"/>
                          <w:bottom w:val="none" w:sz="0" w:space="0" w:color="auto"/>
                        </w:tcBorders>
                        <w:hideMark/>
                      </w:tcPr>
                      <w:p w14:paraId="78F23DFF" w14:textId="77777777" w:rsidR="002618D3" w:rsidRPr="00321BC5" w:rsidRDefault="002618D3" w:rsidP="00800D89">
                        <w:pPr>
                          <w:pStyle w:val="TableText"/>
                          <w:cnfStyle w:val="000000100000" w:firstRow="0" w:lastRow="0" w:firstColumn="0" w:lastColumn="0" w:oddVBand="0" w:evenVBand="0" w:oddHBand="1" w:evenHBand="0" w:firstRowFirstColumn="0" w:firstRowLastColumn="0" w:lastRowFirstColumn="0" w:lastRowLastColumn="0"/>
                        </w:pPr>
                      </w:p>
                    </w:tc>
                    <w:tc>
                      <w:tcPr>
                        <w:tcW w:w="2182" w:type="dxa"/>
                        <w:tcBorders>
                          <w:top w:val="none" w:sz="0" w:space="0" w:color="auto"/>
                          <w:bottom w:val="none" w:sz="0" w:space="0" w:color="auto"/>
                        </w:tcBorders>
                        <w:noWrap/>
                        <w:hideMark/>
                      </w:tcPr>
                      <w:p w14:paraId="00415D4C" w14:textId="77777777" w:rsidR="002618D3" w:rsidRPr="00321BC5" w:rsidRDefault="002618D3" w:rsidP="00800D89">
                        <w:pPr>
                          <w:pStyle w:val="TableText"/>
                          <w:cnfStyle w:val="000000100000" w:firstRow="0" w:lastRow="0" w:firstColumn="0" w:lastColumn="0" w:oddVBand="0" w:evenVBand="0" w:oddHBand="1" w:evenHBand="0" w:firstRowFirstColumn="0" w:firstRowLastColumn="0" w:lastRowFirstColumn="0" w:lastRowLastColumn="0"/>
                        </w:pPr>
                        <w:r w:rsidRPr="00321BC5">
                          <w:t>Changed skills</w:t>
                        </w:r>
                      </w:p>
                    </w:tc>
                    <w:tc>
                      <w:tcPr>
                        <w:tcW w:w="1310" w:type="dxa"/>
                        <w:tcBorders>
                          <w:top w:val="none" w:sz="0" w:space="0" w:color="auto"/>
                          <w:bottom w:val="none" w:sz="0" w:space="0" w:color="auto"/>
                        </w:tcBorders>
                        <w:noWrap/>
                        <w:hideMark/>
                      </w:tcPr>
                      <w:p w14:paraId="66A4D13F" w14:textId="77777777" w:rsidR="002618D3" w:rsidRPr="007A1075" w:rsidRDefault="002618D3" w:rsidP="00800D89">
                        <w:pPr>
                          <w:pStyle w:val="TableText"/>
                          <w:cnfStyle w:val="000000100000" w:firstRow="0" w:lastRow="0" w:firstColumn="0" w:lastColumn="0" w:oddVBand="0" w:evenVBand="0" w:oddHBand="1" w:evenHBand="0" w:firstRowFirstColumn="0" w:firstRowLastColumn="0" w:lastRowFirstColumn="0" w:lastRowLastColumn="0"/>
                        </w:pPr>
                        <w:r w:rsidRPr="007A1075">
                          <w:t>1.14</w:t>
                        </w:r>
                      </w:p>
                    </w:tc>
                    <w:tc>
                      <w:tcPr>
                        <w:tcW w:w="1784" w:type="dxa"/>
                        <w:tcBorders>
                          <w:top w:val="none" w:sz="0" w:space="0" w:color="auto"/>
                          <w:bottom w:val="none" w:sz="0" w:space="0" w:color="auto"/>
                        </w:tcBorders>
                        <w:noWrap/>
                        <w:hideMark/>
                      </w:tcPr>
                      <w:p w14:paraId="5BFC5745" w14:textId="77777777" w:rsidR="002618D3" w:rsidRPr="007A1075" w:rsidRDefault="002618D3" w:rsidP="00800D89">
                        <w:pPr>
                          <w:pStyle w:val="TableText"/>
                          <w:cnfStyle w:val="000000100000" w:firstRow="0" w:lastRow="0" w:firstColumn="0" w:lastColumn="0" w:oddVBand="0" w:evenVBand="0" w:oddHBand="1" w:evenHBand="0" w:firstRowFirstColumn="0" w:firstRowLastColumn="0" w:lastRowFirstColumn="0" w:lastRowLastColumn="0"/>
                        </w:pPr>
                        <w:r w:rsidRPr="007A1075">
                          <w:t>12905605.5</w:t>
                        </w:r>
                      </w:p>
                    </w:tc>
                    <w:tc>
                      <w:tcPr>
                        <w:tcW w:w="1172" w:type="dxa"/>
                        <w:tcBorders>
                          <w:top w:val="none" w:sz="0" w:space="0" w:color="auto"/>
                          <w:bottom w:val="none" w:sz="0" w:space="0" w:color="auto"/>
                        </w:tcBorders>
                        <w:noWrap/>
                        <w:hideMark/>
                      </w:tcPr>
                      <w:p w14:paraId="7AACE42E" w14:textId="05539D4A" w:rsidR="002618D3" w:rsidRPr="007A1075" w:rsidRDefault="002618D3" w:rsidP="00800D89">
                        <w:pPr>
                          <w:pStyle w:val="TableText"/>
                          <w:cnfStyle w:val="000000100000" w:firstRow="0" w:lastRow="0" w:firstColumn="0" w:lastColumn="0" w:oddVBand="0" w:evenVBand="0" w:oddHBand="1" w:evenHBand="0" w:firstRowFirstColumn="0" w:firstRowLastColumn="0" w:lastRowFirstColumn="0" w:lastRowLastColumn="0"/>
                        </w:pPr>
                        <w:r w:rsidRPr="007A1075">
                          <w:t>22</w:t>
                        </w:r>
                        <w:r>
                          <w:t>,</w:t>
                        </w:r>
                        <w:r w:rsidRPr="007A1075">
                          <w:t>193</w:t>
                        </w:r>
                      </w:p>
                    </w:tc>
                    <w:tc>
                      <w:tcPr>
                        <w:tcW w:w="1027" w:type="dxa"/>
                        <w:tcBorders>
                          <w:top w:val="none" w:sz="0" w:space="0" w:color="auto"/>
                          <w:bottom w:val="none" w:sz="0" w:space="0" w:color="auto"/>
                        </w:tcBorders>
                        <w:noWrap/>
                        <w:hideMark/>
                      </w:tcPr>
                      <w:p w14:paraId="55BAAB0D" w14:textId="77777777" w:rsidR="002618D3" w:rsidRPr="007A1075" w:rsidRDefault="002618D3" w:rsidP="00800D89">
                        <w:pPr>
                          <w:pStyle w:val="TableText"/>
                          <w:cnfStyle w:val="000000100000" w:firstRow="0" w:lastRow="0" w:firstColumn="0" w:lastColumn="0" w:oddVBand="0" w:evenVBand="0" w:oddHBand="1" w:evenHBand="0" w:firstRowFirstColumn="0" w:firstRowLastColumn="0" w:lastRowFirstColumn="0" w:lastRowLastColumn="0"/>
                        </w:pPr>
                        <w:r w:rsidRPr="007A1075">
                          <w:t>&lt;.001</w:t>
                        </w:r>
                      </w:p>
                    </w:tc>
                    <w:tc>
                      <w:tcPr>
                        <w:tcW w:w="1669" w:type="dxa"/>
                        <w:tcBorders>
                          <w:top w:val="none" w:sz="0" w:space="0" w:color="auto"/>
                          <w:bottom w:val="none" w:sz="0" w:space="0" w:color="auto"/>
                        </w:tcBorders>
                        <w:noWrap/>
                        <w:hideMark/>
                      </w:tcPr>
                      <w:p w14:paraId="7540F2C0" w14:textId="18459BF8" w:rsidR="002618D3" w:rsidRPr="007A1075" w:rsidRDefault="002618D3" w:rsidP="00800D89">
                        <w:pPr>
                          <w:pStyle w:val="TableText"/>
                          <w:cnfStyle w:val="000000100000" w:firstRow="0" w:lastRow="0" w:firstColumn="0" w:lastColumn="0" w:oddVBand="0" w:evenVBand="0" w:oddHBand="1" w:evenHBand="0" w:firstRowFirstColumn="0" w:firstRowLastColumn="0" w:lastRowFirstColumn="0" w:lastRowLastColumn="0"/>
                        </w:pPr>
                        <w:r w:rsidRPr="007A1075">
                          <w:t>66.7% (n=14</w:t>
                        </w:r>
                        <w:r>
                          <w:t>,</w:t>
                        </w:r>
                        <w:r w:rsidRPr="007A1075">
                          <w:t>803)</w:t>
                        </w:r>
                      </w:p>
                    </w:tc>
                  </w:tr>
                  <w:tr w:rsidR="00F3116F" w:rsidRPr="007A1075" w14:paraId="512F3A82" w14:textId="77777777" w:rsidTr="00520E3A">
                    <w:trPr>
                      <w:trHeight w:val="291"/>
                    </w:trPr>
                    <w:tc>
                      <w:tcPr>
                        <w:cnfStyle w:val="001000000000" w:firstRow="0" w:lastRow="0" w:firstColumn="1" w:lastColumn="0" w:oddVBand="0" w:evenVBand="0" w:oddHBand="0" w:evenHBand="0" w:firstRowFirstColumn="0" w:firstRowLastColumn="0" w:lastRowFirstColumn="0" w:lastRowLastColumn="0"/>
                        <w:tcW w:w="1325" w:type="dxa"/>
                        <w:vMerge/>
                        <w:tcBorders>
                          <w:right w:val="none" w:sz="0" w:space="0" w:color="auto"/>
                        </w:tcBorders>
                        <w:hideMark/>
                      </w:tcPr>
                      <w:p w14:paraId="3E8E8697" w14:textId="77777777" w:rsidR="002618D3" w:rsidRPr="007A1075" w:rsidRDefault="002618D3" w:rsidP="00800D89">
                        <w:pPr>
                          <w:pStyle w:val="TableText"/>
                        </w:pPr>
                      </w:p>
                    </w:tc>
                    <w:tc>
                      <w:tcPr>
                        <w:tcW w:w="1402" w:type="dxa"/>
                        <w:vMerge/>
                        <w:hideMark/>
                      </w:tcPr>
                      <w:p w14:paraId="7CCE289E" w14:textId="77777777" w:rsidR="002618D3" w:rsidRPr="00321BC5" w:rsidRDefault="002618D3" w:rsidP="00800D89">
                        <w:pPr>
                          <w:pStyle w:val="TableText"/>
                          <w:cnfStyle w:val="000000000000" w:firstRow="0" w:lastRow="0" w:firstColumn="0" w:lastColumn="0" w:oddVBand="0" w:evenVBand="0" w:oddHBand="0" w:evenHBand="0" w:firstRowFirstColumn="0" w:firstRowLastColumn="0" w:lastRowFirstColumn="0" w:lastRowLastColumn="0"/>
                        </w:pPr>
                      </w:p>
                    </w:tc>
                    <w:tc>
                      <w:tcPr>
                        <w:tcW w:w="2151" w:type="dxa"/>
                        <w:vMerge/>
                        <w:hideMark/>
                      </w:tcPr>
                      <w:p w14:paraId="0BF92678" w14:textId="77777777" w:rsidR="002618D3" w:rsidRPr="00321BC5" w:rsidRDefault="002618D3" w:rsidP="00800D89">
                        <w:pPr>
                          <w:pStyle w:val="TableText"/>
                          <w:cnfStyle w:val="000000000000" w:firstRow="0" w:lastRow="0" w:firstColumn="0" w:lastColumn="0" w:oddVBand="0" w:evenVBand="0" w:oddHBand="0" w:evenHBand="0" w:firstRowFirstColumn="0" w:firstRowLastColumn="0" w:lastRowFirstColumn="0" w:lastRowLastColumn="0"/>
                        </w:pPr>
                      </w:p>
                    </w:tc>
                    <w:tc>
                      <w:tcPr>
                        <w:tcW w:w="2182" w:type="dxa"/>
                        <w:noWrap/>
                        <w:hideMark/>
                      </w:tcPr>
                      <w:p w14:paraId="704580D0" w14:textId="77777777" w:rsidR="002618D3" w:rsidRPr="00321BC5" w:rsidRDefault="002618D3" w:rsidP="00800D89">
                        <w:pPr>
                          <w:pStyle w:val="TableText"/>
                          <w:cnfStyle w:val="000000000000" w:firstRow="0" w:lastRow="0" w:firstColumn="0" w:lastColumn="0" w:oddVBand="0" w:evenVBand="0" w:oddHBand="0" w:evenHBand="0" w:firstRowFirstColumn="0" w:firstRowLastColumn="0" w:lastRowFirstColumn="0" w:lastRowLastColumn="0"/>
                        </w:pPr>
                        <w:r w:rsidRPr="00321BC5">
                          <w:rPr>
                            <w:lang w:val="en-NZ"/>
                          </w:rPr>
                          <w:t>Empowerment, choice and control to make own decisions</w:t>
                        </w:r>
                      </w:p>
                    </w:tc>
                    <w:tc>
                      <w:tcPr>
                        <w:tcW w:w="1310" w:type="dxa"/>
                        <w:noWrap/>
                        <w:hideMark/>
                      </w:tcPr>
                      <w:p w14:paraId="356BA6BF" w14:textId="77777777" w:rsidR="002618D3" w:rsidRPr="007A1075" w:rsidRDefault="002618D3" w:rsidP="00800D89">
                        <w:pPr>
                          <w:pStyle w:val="TableText"/>
                          <w:cnfStyle w:val="000000000000" w:firstRow="0" w:lastRow="0" w:firstColumn="0" w:lastColumn="0" w:oddVBand="0" w:evenVBand="0" w:oddHBand="0" w:evenHBand="0" w:firstRowFirstColumn="0" w:firstRowLastColumn="0" w:lastRowFirstColumn="0" w:lastRowLastColumn="0"/>
                        </w:pPr>
                        <w:r w:rsidRPr="007A1075">
                          <w:t>1.11</w:t>
                        </w:r>
                      </w:p>
                    </w:tc>
                    <w:tc>
                      <w:tcPr>
                        <w:tcW w:w="1784" w:type="dxa"/>
                        <w:noWrap/>
                        <w:hideMark/>
                      </w:tcPr>
                      <w:p w14:paraId="7DE8B889" w14:textId="77777777" w:rsidR="002618D3" w:rsidRPr="007A1075" w:rsidRDefault="002618D3" w:rsidP="00800D89">
                        <w:pPr>
                          <w:pStyle w:val="TableText"/>
                          <w:cnfStyle w:val="000000000000" w:firstRow="0" w:lastRow="0" w:firstColumn="0" w:lastColumn="0" w:oddVBand="0" w:evenVBand="0" w:oddHBand="0" w:evenHBand="0" w:firstRowFirstColumn="0" w:firstRowLastColumn="0" w:lastRowFirstColumn="0" w:lastRowLastColumn="0"/>
                        </w:pPr>
                        <w:r w:rsidRPr="007A1075">
                          <w:t>7996427</w:t>
                        </w:r>
                      </w:p>
                    </w:tc>
                    <w:tc>
                      <w:tcPr>
                        <w:tcW w:w="1172" w:type="dxa"/>
                        <w:noWrap/>
                        <w:hideMark/>
                      </w:tcPr>
                      <w:p w14:paraId="63FC6717" w14:textId="11B725FC" w:rsidR="002618D3" w:rsidRPr="007A1075" w:rsidRDefault="002618D3" w:rsidP="00800D89">
                        <w:pPr>
                          <w:pStyle w:val="TableText"/>
                          <w:cnfStyle w:val="000000000000" w:firstRow="0" w:lastRow="0" w:firstColumn="0" w:lastColumn="0" w:oddVBand="0" w:evenVBand="0" w:oddHBand="0" w:evenHBand="0" w:firstRowFirstColumn="0" w:firstRowLastColumn="0" w:lastRowFirstColumn="0" w:lastRowLastColumn="0"/>
                        </w:pPr>
                        <w:r w:rsidRPr="007A1075">
                          <w:t>16</w:t>
                        </w:r>
                        <w:r>
                          <w:t>,</w:t>
                        </w:r>
                        <w:r w:rsidRPr="007A1075">
                          <w:t>737</w:t>
                        </w:r>
                      </w:p>
                    </w:tc>
                    <w:tc>
                      <w:tcPr>
                        <w:tcW w:w="1027" w:type="dxa"/>
                        <w:noWrap/>
                        <w:hideMark/>
                      </w:tcPr>
                      <w:p w14:paraId="650BB8FE" w14:textId="77777777" w:rsidR="002618D3" w:rsidRPr="007A1075" w:rsidRDefault="002618D3" w:rsidP="00800D89">
                        <w:pPr>
                          <w:pStyle w:val="TableText"/>
                          <w:cnfStyle w:val="000000000000" w:firstRow="0" w:lastRow="0" w:firstColumn="0" w:lastColumn="0" w:oddVBand="0" w:evenVBand="0" w:oddHBand="0" w:evenHBand="0" w:firstRowFirstColumn="0" w:firstRowLastColumn="0" w:lastRowFirstColumn="0" w:lastRowLastColumn="0"/>
                        </w:pPr>
                        <w:r w:rsidRPr="007A1075">
                          <w:t>&lt;.001</w:t>
                        </w:r>
                      </w:p>
                    </w:tc>
                    <w:tc>
                      <w:tcPr>
                        <w:tcW w:w="1669" w:type="dxa"/>
                        <w:noWrap/>
                        <w:hideMark/>
                      </w:tcPr>
                      <w:p w14:paraId="0DC4C7BC" w14:textId="492C6EC7" w:rsidR="002618D3" w:rsidRPr="007A1075" w:rsidRDefault="002618D3" w:rsidP="00800D89">
                        <w:pPr>
                          <w:pStyle w:val="TableText"/>
                          <w:cnfStyle w:val="000000000000" w:firstRow="0" w:lastRow="0" w:firstColumn="0" w:lastColumn="0" w:oddVBand="0" w:evenVBand="0" w:oddHBand="0" w:evenHBand="0" w:firstRowFirstColumn="0" w:firstRowLastColumn="0" w:lastRowFirstColumn="0" w:lastRowLastColumn="0"/>
                        </w:pPr>
                        <w:r w:rsidRPr="007A1075">
                          <w:t>64.5% (n=10</w:t>
                        </w:r>
                        <w:r>
                          <w:t>,</w:t>
                        </w:r>
                        <w:r w:rsidRPr="007A1075">
                          <w:t>791)</w:t>
                        </w:r>
                      </w:p>
                    </w:tc>
                  </w:tr>
                  <w:tr w:rsidR="00F3116F" w:rsidRPr="007A1075" w14:paraId="7927119E" w14:textId="77777777" w:rsidTr="00520E3A">
                    <w:trPr>
                      <w:cnfStyle w:val="000000100000" w:firstRow="0" w:lastRow="0" w:firstColumn="0" w:lastColumn="0" w:oddVBand="0" w:evenVBand="0" w:oddHBand="1" w:evenHBand="0" w:firstRowFirstColumn="0" w:firstRowLastColumn="0" w:lastRowFirstColumn="0" w:lastRowLastColumn="0"/>
                      <w:trHeight w:val="291"/>
                    </w:trPr>
                    <w:tc>
                      <w:tcPr>
                        <w:cnfStyle w:val="001000000000" w:firstRow="0" w:lastRow="0" w:firstColumn="1" w:lastColumn="0" w:oddVBand="0" w:evenVBand="0" w:oddHBand="0" w:evenHBand="0" w:firstRowFirstColumn="0" w:firstRowLastColumn="0" w:lastRowFirstColumn="0" w:lastRowLastColumn="0"/>
                        <w:tcW w:w="1325" w:type="dxa"/>
                        <w:vMerge/>
                        <w:tcBorders>
                          <w:top w:val="none" w:sz="0" w:space="0" w:color="auto"/>
                          <w:bottom w:val="none" w:sz="0" w:space="0" w:color="auto"/>
                          <w:right w:val="none" w:sz="0" w:space="0" w:color="auto"/>
                        </w:tcBorders>
                        <w:hideMark/>
                      </w:tcPr>
                      <w:p w14:paraId="1BE46472" w14:textId="77777777" w:rsidR="002618D3" w:rsidRPr="007A1075" w:rsidRDefault="002618D3" w:rsidP="00800D89">
                        <w:pPr>
                          <w:pStyle w:val="TableText"/>
                        </w:pPr>
                      </w:p>
                    </w:tc>
                    <w:tc>
                      <w:tcPr>
                        <w:tcW w:w="1402" w:type="dxa"/>
                        <w:vMerge/>
                        <w:tcBorders>
                          <w:top w:val="none" w:sz="0" w:space="0" w:color="auto"/>
                          <w:bottom w:val="none" w:sz="0" w:space="0" w:color="auto"/>
                        </w:tcBorders>
                        <w:hideMark/>
                      </w:tcPr>
                      <w:p w14:paraId="23EE2D60" w14:textId="77777777" w:rsidR="002618D3" w:rsidRPr="00321BC5" w:rsidRDefault="002618D3" w:rsidP="00800D89">
                        <w:pPr>
                          <w:pStyle w:val="TableText"/>
                          <w:cnfStyle w:val="000000100000" w:firstRow="0" w:lastRow="0" w:firstColumn="0" w:lastColumn="0" w:oddVBand="0" w:evenVBand="0" w:oddHBand="1" w:evenHBand="0" w:firstRowFirstColumn="0" w:firstRowLastColumn="0" w:lastRowFirstColumn="0" w:lastRowLastColumn="0"/>
                        </w:pPr>
                      </w:p>
                    </w:tc>
                    <w:tc>
                      <w:tcPr>
                        <w:tcW w:w="2151" w:type="dxa"/>
                        <w:vMerge/>
                        <w:tcBorders>
                          <w:top w:val="none" w:sz="0" w:space="0" w:color="auto"/>
                          <w:bottom w:val="none" w:sz="0" w:space="0" w:color="auto"/>
                        </w:tcBorders>
                        <w:hideMark/>
                      </w:tcPr>
                      <w:p w14:paraId="034F8C0D" w14:textId="77777777" w:rsidR="002618D3" w:rsidRPr="00321BC5" w:rsidRDefault="002618D3" w:rsidP="00800D89">
                        <w:pPr>
                          <w:pStyle w:val="TableText"/>
                          <w:cnfStyle w:val="000000100000" w:firstRow="0" w:lastRow="0" w:firstColumn="0" w:lastColumn="0" w:oddVBand="0" w:evenVBand="0" w:oddHBand="1" w:evenHBand="0" w:firstRowFirstColumn="0" w:firstRowLastColumn="0" w:lastRowFirstColumn="0" w:lastRowLastColumn="0"/>
                        </w:pPr>
                      </w:p>
                    </w:tc>
                    <w:tc>
                      <w:tcPr>
                        <w:tcW w:w="2182" w:type="dxa"/>
                        <w:tcBorders>
                          <w:top w:val="none" w:sz="0" w:space="0" w:color="auto"/>
                          <w:bottom w:val="none" w:sz="0" w:space="0" w:color="auto"/>
                        </w:tcBorders>
                        <w:noWrap/>
                        <w:hideMark/>
                      </w:tcPr>
                      <w:p w14:paraId="1DBC8FD6" w14:textId="77777777" w:rsidR="002618D3" w:rsidRPr="00321BC5" w:rsidRDefault="002618D3" w:rsidP="00800D89">
                        <w:pPr>
                          <w:pStyle w:val="TableText"/>
                          <w:cnfStyle w:val="000000100000" w:firstRow="0" w:lastRow="0" w:firstColumn="0" w:lastColumn="0" w:oddVBand="0" w:evenVBand="0" w:oddHBand="1" w:evenHBand="0" w:firstRowFirstColumn="0" w:firstRowLastColumn="0" w:lastRowFirstColumn="0" w:lastRowLastColumn="0"/>
                        </w:pPr>
                        <w:r w:rsidRPr="00321BC5">
                          <w:t>Engagement with relevant support services</w:t>
                        </w:r>
                      </w:p>
                    </w:tc>
                    <w:tc>
                      <w:tcPr>
                        <w:tcW w:w="1310" w:type="dxa"/>
                        <w:tcBorders>
                          <w:top w:val="none" w:sz="0" w:space="0" w:color="auto"/>
                          <w:bottom w:val="none" w:sz="0" w:space="0" w:color="auto"/>
                        </w:tcBorders>
                        <w:noWrap/>
                        <w:hideMark/>
                      </w:tcPr>
                      <w:p w14:paraId="65E6D8AA" w14:textId="77777777" w:rsidR="002618D3" w:rsidRPr="007A1075" w:rsidRDefault="002618D3" w:rsidP="00800D89">
                        <w:pPr>
                          <w:pStyle w:val="TableText"/>
                          <w:cnfStyle w:val="000000100000" w:firstRow="0" w:lastRow="0" w:firstColumn="0" w:lastColumn="0" w:oddVBand="0" w:evenVBand="0" w:oddHBand="1" w:evenHBand="0" w:firstRowFirstColumn="0" w:firstRowLastColumn="0" w:lastRowFirstColumn="0" w:lastRowLastColumn="0"/>
                        </w:pPr>
                        <w:r w:rsidRPr="007A1075">
                          <w:t>1.07</w:t>
                        </w:r>
                      </w:p>
                    </w:tc>
                    <w:tc>
                      <w:tcPr>
                        <w:tcW w:w="1784" w:type="dxa"/>
                        <w:tcBorders>
                          <w:top w:val="none" w:sz="0" w:space="0" w:color="auto"/>
                          <w:bottom w:val="none" w:sz="0" w:space="0" w:color="auto"/>
                        </w:tcBorders>
                        <w:noWrap/>
                        <w:hideMark/>
                      </w:tcPr>
                      <w:p w14:paraId="6412CD05" w14:textId="77777777" w:rsidR="002618D3" w:rsidRPr="007A1075" w:rsidRDefault="002618D3" w:rsidP="00800D89">
                        <w:pPr>
                          <w:pStyle w:val="TableText"/>
                          <w:cnfStyle w:val="000000100000" w:firstRow="0" w:lastRow="0" w:firstColumn="0" w:lastColumn="0" w:oddVBand="0" w:evenVBand="0" w:oddHBand="1" w:evenHBand="0" w:firstRowFirstColumn="0" w:firstRowLastColumn="0" w:lastRowFirstColumn="0" w:lastRowLastColumn="0"/>
                        </w:pPr>
                        <w:r w:rsidRPr="007A1075">
                          <w:t>3455734.5</w:t>
                        </w:r>
                      </w:p>
                    </w:tc>
                    <w:tc>
                      <w:tcPr>
                        <w:tcW w:w="1172" w:type="dxa"/>
                        <w:tcBorders>
                          <w:top w:val="none" w:sz="0" w:space="0" w:color="auto"/>
                          <w:bottom w:val="none" w:sz="0" w:space="0" w:color="auto"/>
                        </w:tcBorders>
                        <w:noWrap/>
                        <w:hideMark/>
                      </w:tcPr>
                      <w:p w14:paraId="40501BCC" w14:textId="72D299BA" w:rsidR="002618D3" w:rsidRPr="007A1075" w:rsidRDefault="002618D3" w:rsidP="00800D89">
                        <w:pPr>
                          <w:pStyle w:val="TableText"/>
                          <w:cnfStyle w:val="000000100000" w:firstRow="0" w:lastRow="0" w:firstColumn="0" w:lastColumn="0" w:oddVBand="0" w:evenVBand="0" w:oddHBand="1" w:evenHBand="0" w:firstRowFirstColumn="0" w:firstRowLastColumn="0" w:lastRowFirstColumn="0" w:lastRowLastColumn="0"/>
                        </w:pPr>
                        <w:r w:rsidRPr="007A1075">
                          <w:t>10</w:t>
                        </w:r>
                        <w:r>
                          <w:t>,</w:t>
                        </w:r>
                        <w:r w:rsidRPr="007A1075">
                          <w:t>677</w:t>
                        </w:r>
                      </w:p>
                    </w:tc>
                    <w:tc>
                      <w:tcPr>
                        <w:tcW w:w="1027" w:type="dxa"/>
                        <w:tcBorders>
                          <w:top w:val="none" w:sz="0" w:space="0" w:color="auto"/>
                          <w:bottom w:val="none" w:sz="0" w:space="0" w:color="auto"/>
                        </w:tcBorders>
                        <w:noWrap/>
                        <w:hideMark/>
                      </w:tcPr>
                      <w:p w14:paraId="5C4738ED" w14:textId="77777777" w:rsidR="002618D3" w:rsidRPr="007A1075" w:rsidRDefault="002618D3" w:rsidP="00800D89">
                        <w:pPr>
                          <w:pStyle w:val="TableText"/>
                          <w:cnfStyle w:val="000000100000" w:firstRow="0" w:lastRow="0" w:firstColumn="0" w:lastColumn="0" w:oddVBand="0" w:evenVBand="0" w:oddHBand="1" w:evenHBand="0" w:firstRowFirstColumn="0" w:firstRowLastColumn="0" w:lastRowFirstColumn="0" w:lastRowLastColumn="0"/>
                        </w:pPr>
                        <w:r w:rsidRPr="007A1075">
                          <w:t>&lt;.001</w:t>
                        </w:r>
                      </w:p>
                    </w:tc>
                    <w:tc>
                      <w:tcPr>
                        <w:tcW w:w="1669" w:type="dxa"/>
                        <w:tcBorders>
                          <w:top w:val="none" w:sz="0" w:space="0" w:color="auto"/>
                          <w:bottom w:val="none" w:sz="0" w:space="0" w:color="auto"/>
                        </w:tcBorders>
                        <w:noWrap/>
                        <w:hideMark/>
                      </w:tcPr>
                      <w:p w14:paraId="335FB171" w14:textId="1F7412AE" w:rsidR="002618D3" w:rsidRPr="007A1075" w:rsidRDefault="002618D3" w:rsidP="00800D89">
                        <w:pPr>
                          <w:pStyle w:val="TableText"/>
                          <w:cnfStyle w:val="000000100000" w:firstRow="0" w:lastRow="0" w:firstColumn="0" w:lastColumn="0" w:oddVBand="0" w:evenVBand="0" w:oddHBand="1" w:evenHBand="0" w:firstRowFirstColumn="0" w:firstRowLastColumn="0" w:lastRowFirstColumn="0" w:lastRowLastColumn="0"/>
                        </w:pPr>
                        <w:r w:rsidRPr="007A1075">
                          <w:t>64.5% (n=6</w:t>
                        </w:r>
                        <w:r>
                          <w:t>,</w:t>
                        </w:r>
                        <w:r w:rsidRPr="007A1075">
                          <w:t>886)</w:t>
                        </w:r>
                      </w:p>
                    </w:tc>
                  </w:tr>
                  <w:tr w:rsidR="00F3116F" w:rsidRPr="007A1075" w14:paraId="3A16DC9D" w14:textId="77777777" w:rsidTr="00520E3A">
                    <w:trPr>
                      <w:trHeight w:val="96"/>
                    </w:trPr>
                    <w:tc>
                      <w:tcPr>
                        <w:cnfStyle w:val="001000000000" w:firstRow="0" w:lastRow="0" w:firstColumn="1" w:lastColumn="0" w:oddVBand="0" w:evenVBand="0" w:oddHBand="0" w:evenHBand="0" w:firstRowFirstColumn="0" w:firstRowLastColumn="0" w:lastRowFirstColumn="0" w:lastRowLastColumn="0"/>
                        <w:tcW w:w="1325" w:type="dxa"/>
                        <w:vMerge/>
                        <w:tcBorders>
                          <w:right w:val="none" w:sz="0" w:space="0" w:color="auto"/>
                        </w:tcBorders>
                        <w:hideMark/>
                      </w:tcPr>
                      <w:p w14:paraId="6ADBC4DF" w14:textId="77777777" w:rsidR="002618D3" w:rsidRPr="007A1075" w:rsidRDefault="002618D3" w:rsidP="00800D89">
                        <w:pPr>
                          <w:pStyle w:val="TableText"/>
                        </w:pPr>
                      </w:p>
                    </w:tc>
                    <w:tc>
                      <w:tcPr>
                        <w:tcW w:w="1402" w:type="dxa"/>
                        <w:vMerge w:val="restart"/>
                        <w:hideMark/>
                      </w:tcPr>
                      <w:p w14:paraId="0C1C7D33" w14:textId="77777777" w:rsidR="002618D3" w:rsidRPr="00321BC5" w:rsidRDefault="002618D3" w:rsidP="00800D89">
                        <w:pPr>
                          <w:pStyle w:val="TableText"/>
                          <w:cnfStyle w:val="000000000000" w:firstRow="0" w:lastRow="0" w:firstColumn="0" w:lastColumn="0" w:oddVBand="0" w:evenVBand="0" w:oddHBand="0" w:evenHBand="0" w:firstRowFirstColumn="0" w:firstRowLastColumn="0" w:lastRowFirstColumn="0" w:lastRowLastColumn="0"/>
                        </w:pPr>
                        <w:r w:rsidRPr="00321BC5">
                          <w:t>Not reported</w:t>
                        </w:r>
                      </w:p>
                    </w:tc>
                    <w:tc>
                      <w:tcPr>
                        <w:tcW w:w="2151" w:type="dxa"/>
                        <w:vMerge w:val="restart"/>
                        <w:hideMark/>
                      </w:tcPr>
                      <w:p w14:paraId="3BFBCD71" w14:textId="77777777" w:rsidR="002618D3" w:rsidRPr="00321BC5" w:rsidRDefault="002618D3" w:rsidP="00800D89">
                        <w:pPr>
                          <w:pStyle w:val="TableText"/>
                          <w:cnfStyle w:val="000000000000" w:firstRow="0" w:lastRow="0" w:firstColumn="0" w:lastColumn="0" w:oddVBand="0" w:evenVBand="0" w:oddHBand="0" w:evenHBand="0" w:firstRowFirstColumn="0" w:firstRowLastColumn="0" w:lastRowFirstColumn="0" w:lastRowLastColumn="0"/>
                        </w:pPr>
                        <w:r w:rsidRPr="00321BC5">
                          <w:t>Circumstances</w:t>
                        </w:r>
                      </w:p>
                    </w:tc>
                    <w:tc>
                      <w:tcPr>
                        <w:tcW w:w="2182" w:type="dxa"/>
                        <w:noWrap/>
                        <w:hideMark/>
                      </w:tcPr>
                      <w:p w14:paraId="46053F91" w14:textId="77777777" w:rsidR="002618D3" w:rsidRPr="00321BC5" w:rsidRDefault="002618D3" w:rsidP="00800D89">
                        <w:pPr>
                          <w:pStyle w:val="TableText"/>
                          <w:cnfStyle w:val="000000000000" w:firstRow="0" w:lastRow="0" w:firstColumn="0" w:lastColumn="0" w:oddVBand="0" w:evenVBand="0" w:oddHBand="0" w:evenHBand="0" w:firstRowFirstColumn="0" w:firstRowLastColumn="0" w:lastRowFirstColumn="0" w:lastRowLastColumn="0"/>
                        </w:pPr>
                        <w:r w:rsidRPr="00321BC5">
                          <w:t>Family functioning</w:t>
                        </w:r>
                      </w:p>
                    </w:tc>
                    <w:tc>
                      <w:tcPr>
                        <w:tcW w:w="1310" w:type="dxa"/>
                        <w:noWrap/>
                        <w:hideMark/>
                      </w:tcPr>
                      <w:p w14:paraId="52647D82" w14:textId="77777777" w:rsidR="002618D3" w:rsidRPr="007A1075" w:rsidRDefault="002618D3" w:rsidP="00800D89">
                        <w:pPr>
                          <w:pStyle w:val="TableText"/>
                          <w:cnfStyle w:val="000000000000" w:firstRow="0" w:lastRow="0" w:firstColumn="0" w:lastColumn="0" w:oddVBand="0" w:evenVBand="0" w:oddHBand="0" w:evenHBand="0" w:firstRowFirstColumn="0" w:firstRowLastColumn="0" w:lastRowFirstColumn="0" w:lastRowLastColumn="0"/>
                        </w:pPr>
                        <w:r w:rsidRPr="007A1075">
                          <w:t>0.68</w:t>
                        </w:r>
                      </w:p>
                    </w:tc>
                    <w:tc>
                      <w:tcPr>
                        <w:tcW w:w="1784" w:type="dxa"/>
                        <w:noWrap/>
                        <w:hideMark/>
                      </w:tcPr>
                      <w:p w14:paraId="742FCA47" w14:textId="77777777" w:rsidR="002618D3" w:rsidRPr="007A1075" w:rsidRDefault="002618D3" w:rsidP="00800D89">
                        <w:pPr>
                          <w:pStyle w:val="TableText"/>
                          <w:cnfStyle w:val="000000000000" w:firstRow="0" w:lastRow="0" w:firstColumn="0" w:lastColumn="0" w:oddVBand="0" w:evenVBand="0" w:oddHBand="0" w:evenHBand="0" w:firstRowFirstColumn="0" w:firstRowLastColumn="0" w:lastRowFirstColumn="0" w:lastRowLastColumn="0"/>
                        </w:pPr>
                        <w:r w:rsidRPr="007A1075">
                          <w:t>14649364.5</w:t>
                        </w:r>
                      </w:p>
                    </w:tc>
                    <w:tc>
                      <w:tcPr>
                        <w:tcW w:w="1172" w:type="dxa"/>
                        <w:noWrap/>
                        <w:hideMark/>
                      </w:tcPr>
                      <w:p w14:paraId="686FEEC4" w14:textId="4178CA76" w:rsidR="002618D3" w:rsidRPr="007A1075" w:rsidRDefault="002618D3" w:rsidP="00800D89">
                        <w:pPr>
                          <w:pStyle w:val="TableText"/>
                          <w:cnfStyle w:val="000000000000" w:firstRow="0" w:lastRow="0" w:firstColumn="0" w:lastColumn="0" w:oddVBand="0" w:evenVBand="0" w:oddHBand="0" w:evenHBand="0" w:firstRowFirstColumn="0" w:firstRowLastColumn="0" w:lastRowFirstColumn="0" w:lastRowLastColumn="0"/>
                        </w:pPr>
                        <w:r w:rsidRPr="007A1075">
                          <w:t>14</w:t>
                        </w:r>
                        <w:r>
                          <w:t>,</w:t>
                        </w:r>
                        <w:r w:rsidRPr="007A1075">
                          <w:t>180</w:t>
                        </w:r>
                      </w:p>
                    </w:tc>
                    <w:tc>
                      <w:tcPr>
                        <w:tcW w:w="1027" w:type="dxa"/>
                        <w:noWrap/>
                        <w:hideMark/>
                      </w:tcPr>
                      <w:p w14:paraId="2927C17A" w14:textId="77777777" w:rsidR="002618D3" w:rsidRPr="007A1075" w:rsidRDefault="002618D3" w:rsidP="00800D89">
                        <w:pPr>
                          <w:pStyle w:val="TableText"/>
                          <w:cnfStyle w:val="000000000000" w:firstRow="0" w:lastRow="0" w:firstColumn="0" w:lastColumn="0" w:oddVBand="0" w:evenVBand="0" w:oddHBand="0" w:evenHBand="0" w:firstRowFirstColumn="0" w:firstRowLastColumn="0" w:lastRowFirstColumn="0" w:lastRowLastColumn="0"/>
                        </w:pPr>
                        <w:r w:rsidRPr="007A1075">
                          <w:t>&lt;.001</w:t>
                        </w:r>
                      </w:p>
                    </w:tc>
                    <w:tc>
                      <w:tcPr>
                        <w:tcW w:w="1669" w:type="dxa"/>
                        <w:noWrap/>
                        <w:hideMark/>
                      </w:tcPr>
                      <w:p w14:paraId="75362ADA" w14:textId="1EF5EAE3" w:rsidR="002618D3" w:rsidRPr="007A1075" w:rsidRDefault="002618D3" w:rsidP="00800D89">
                        <w:pPr>
                          <w:pStyle w:val="TableText"/>
                          <w:cnfStyle w:val="000000000000" w:firstRow="0" w:lastRow="0" w:firstColumn="0" w:lastColumn="0" w:oddVBand="0" w:evenVBand="0" w:oddHBand="0" w:evenHBand="0" w:firstRowFirstColumn="0" w:firstRowLastColumn="0" w:lastRowFirstColumn="0" w:lastRowLastColumn="0"/>
                        </w:pPr>
                        <w:r w:rsidRPr="007A1075">
                          <w:t>52.5% (n=7</w:t>
                        </w:r>
                        <w:r>
                          <w:t>,</w:t>
                        </w:r>
                        <w:r w:rsidRPr="007A1075">
                          <w:t>451)</w:t>
                        </w:r>
                      </w:p>
                    </w:tc>
                  </w:tr>
                  <w:tr w:rsidR="00F3116F" w:rsidRPr="007A1075" w14:paraId="23F526EE" w14:textId="77777777" w:rsidTr="00520E3A">
                    <w:trPr>
                      <w:cnfStyle w:val="000000100000" w:firstRow="0" w:lastRow="0" w:firstColumn="0" w:lastColumn="0" w:oddVBand="0" w:evenVBand="0" w:oddHBand="1" w:evenHBand="0" w:firstRowFirstColumn="0" w:firstRowLastColumn="0" w:lastRowFirstColumn="0" w:lastRowLastColumn="0"/>
                      <w:trHeight w:val="291"/>
                    </w:trPr>
                    <w:tc>
                      <w:tcPr>
                        <w:cnfStyle w:val="001000000000" w:firstRow="0" w:lastRow="0" w:firstColumn="1" w:lastColumn="0" w:oddVBand="0" w:evenVBand="0" w:oddHBand="0" w:evenHBand="0" w:firstRowFirstColumn="0" w:firstRowLastColumn="0" w:lastRowFirstColumn="0" w:lastRowLastColumn="0"/>
                        <w:tcW w:w="1325" w:type="dxa"/>
                        <w:vMerge/>
                        <w:tcBorders>
                          <w:top w:val="none" w:sz="0" w:space="0" w:color="auto"/>
                          <w:bottom w:val="none" w:sz="0" w:space="0" w:color="auto"/>
                          <w:right w:val="none" w:sz="0" w:space="0" w:color="auto"/>
                        </w:tcBorders>
                        <w:hideMark/>
                      </w:tcPr>
                      <w:p w14:paraId="1A1A50C6" w14:textId="77777777" w:rsidR="002618D3" w:rsidRPr="007A1075" w:rsidRDefault="002618D3" w:rsidP="00800D89">
                        <w:pPr>
                          <w:pStyle w:val="TableText"/>
                        </w:pPr>
                      </w:p>
                    </w:tc>
                    <w:tc>
                      <w:tcPr>
                        <w:tcW w:w="1402" w:type="dxa"/>
                        <w:vMerge/>
                        <w:tcBorders>
                          <w:top w:val="none" w:sz="0" w:space="0" w:color="auto"/>
                          <w:bottom w:val="none" w:sz="0" w:space="0" w:color="auto"/>
                        </w:tcBorders>
                        <w:hideMark/>
                      </w:tcPr>
                      <w:p w14:paraId="7E997852" w14:textId="77777777" w:rsidR="002618D3" w:rsidRPr="00321BC5" w:rsidRDefault="002618D3" w:rsidP="00800D89">
                        <w:pPr>
                          <w:pStyle w:val="TableText"/>
                          <w:cnfStyle w:val="000000100000" w:firstRow="0" w:lastRow="0" w:firstColumn="0" w:lastColumn="0" w:oddVBand="0" w:evenVBand="0" w:oddHBand="1" w:evenHBand="0" w:firstRowFirstColumn="0" w:firstRowLastColumn="0" w:lastRowFirstColumn="0" w:lastRowLastColumn="0"/>
                        </w:pPr>
                      </w:p>
                    </w:tc>
                    <w:tc>
                      <w:tcPr>
                        <w:tcW w:w="2151" w:type="dxa"/>
                        <w:vMerge/>
                        <w:tcBorders>
                          <w:top w:val="none" w:sz="0" w:space="0" w:color="auto"/>
                          <w:bottom w:val="none" w:sz="0" w:space="0" w:color="auto"/>
                        </w:tcBorders>
                        <w:hideMark/>
                      </w:tcPr>
                      <w:p w14:paraId="60A9CB10" w14:textId="77777777" w:rsidR="002618D3" w:rsidRPr="00321BC5" w:rsidRDefault="002618D3" w:rsidP="00800D89">
                        <w:pPr>
                          <w:pStyle w:val="TableText"/>
                          <w:cnfStyle w:val="000000100000" w:firstRow="0" w:lastRow="0" w:firstColumn="0" w:lastColumn="0" w:oddVBand="0" w:evenVBand="0" w:oddHBand="1" w:evenHBand="0" w:firstRowFirstColumn="0" w:firstRowLastColumn="0" w:lastRowFirstColumn="0" w:lastRowLastColumn="0"/>
                        </w:pPr>
                      </w:p>
                    </w:tc>
                    <w:tc>
                      <w:tcPr>
                        <w:tcW w:w="2182" w:type="dxa"/>
                        <w:tcBorders>
                          <w:top w:val="none" w:sz="0" w:space="0" w:color="auto"/>
                          <w:bottom w:val="none" w:sz="0" w:space="0" w:color="auto"/>
                        </w:tcBorders>
                        <w:noWrap/>
                        <w:hideMark/>
                      </w:tcPr>
                      <w:p w14:paraId="6CE00697" w14:textId="77777777" w:rsidR="002618D3" w:rsidRPr="00321BC5" w:rsidRDefault="002618D3" w:rsidP="00800D89">
                        <w:pPr>
                          <w:pStyle w:val="TableText"/>
                          <w:cnfStyle w:val="000000100000" w:firstRow="0" w:lastRow="0" w:firstColumn="0" w:lastColumn="0" w:oddVBand="0" w:evenVBand="0" w:oddHBand="1" w:evenHBand="0" w:firstRowFirstColumn="0" w:firstRowLastColumn="0" w:lastRowFirstColumn="0" w:lastRowLastColumn="0"/>
                        </w:pPr>
                        <w:r w:rsidRPr="00321BC5">
                          <w:rPr>
                            <w:lang w:val="en-NZ"/>
                          </w:rPr>
                          <w:t>Mental health, wellbeing and self-care</w:t>
                        </w:r>
                      </w:p>
                    </w:tc>
                    <w:tc>
                      <w:tcPr>
                        <w:tcW w:w="1310" w:type="dxa"/>
                        <w:tcBorders>
                          <w:top w:val="none" w:sz="0" w:space="0" w:color="auto"/>
                          <w:bottom w:val="none" w:sz="0" w:space="0" w:color="auto"/>
                        </w:tcBorders>
                        <w:noWrap/>
                        <w:hideMark/>
                      </w:tcPr>
                      <w:p w14:paraId="6969D0A1" w14:textId="77777777" w:rsidR="002618D3" w:rsidRPr="007A1075" w:rsidRDefault="002618D3" w:rsidP="00800D89">
                        <w:pPr>
                          <w:pStyle w:val="TableText"/>
                          <w:cnfStyle w:val="000000100000" w:firstRow="0" w:lastRow="0" w:firstColumn="0" w:lastColumn="0" w:oddVBand="0" w:evenVBand="0" w:oddHBand="1" w:evenHBand="0" w:firstRowFirstColumn="0" w:firstRowLastColumn="0" w:lastRowFirstColumn="0" w:lastRowLastColumn="0"/>
                        </w:pPr>
                        <w:r w:rsidRPr="007A1075">
                          <w:t>0.63</w:t>
                        </w:r>
                      </w:p>
                    </w:tc>
                    <w:tc>
                      <w:tcPr>
                        <w:tcW w:w="1784" w:type="dxa"/>
                        <w:tcBorders>
                          <w:top w:val="none" w:sz="0" w:space="0" w:color="auto"/>
                          <w:bottom w:val="none" w:sz="0" w:space="0" w:color="auto"/>
                        </w:tcBorders>
                        <w:noWrap/>
                        <w:hideMark/>
                      </w:tcPr>
                      <w:p w14:paraId="1B75A168" w14:textId="77777777" w:rsidR="002618D3" w:rsidRPr="007A1075" w:rsidRDefault="002618D3" w:rsidP="00800D89">
                        <w:pPr>
                          <w:pStyle w:val="TableText"/>
                          <w:cnfStyle w:val="000000100000" w:firstRow="0" w:lastRow="0" w:firstColumn="0" w:lastColumn="0" w:oddVBand="0" w:evenVBand="0" w:oddHBand="1" w:evenHBand="0" w:firstRowFirstColumn="0" w:firstRowLastColumn="0" w:lastRowFirstColumn="0" w:lastRowLastColumn="0"/>
                        </w:pPr>
                        <w:r w:rsidRPr="007A1075">
                          <w:t>10648090.5</w:t>
                        </w:r>
                      </w:p>
                    </w:tc>
                    <w:tc>
                      <w:tcPr>
                        <w:tcW w:w="1172" w:type="dxa"/>
                        <w:tcBorders>
                          <w:top w:val="none" w:sz="0" w:space="0" w:color="auto"/>
                          <w:bottom w:val="none" w:sz="0" w:space="0" w:color="auto"/>
                        </w:tcBorders>
                        <w:noWrap/>
                        <w:hideMark/>
                      </w:tcPr>
                      <w:p w14:paraId="0ABDE25C" w14:textId="4E0A0C14" w:rsidR="002618D3" w:rsidRPr="007A1075" w:rsidRDefault="002618D3" w:rsidP="00800D89">
                        <w:pPr>
                          <w:pStyle w:val="TableText"/>
                          <w:cnfStyle w:val="000000100000" w:firstRow="0" w:lastRow="0" w:firstColumn="0" w:lastColumn="0" w:oddVBand="0" w:evenVBand="0" w:oddHBand="1" w:evenHBand="0" w:firstRowFirstColumn="0" w:firstRowLastColumn="0" w:lastRowFirstColumn="0" w:lastRowLastColumn="0"/>
                        </w:pPr>
                        <w:r w:rsidRPr="007A1075">
                          <w:t>12</w:t>
                        </w:r>
                        <w:r>
                          <w:t>,</w:t>
                        </w:r>
                        <w:r w:rsidRPr="007A1075">
                          <w:t>060</w:t>
                        </w:r>
                      </w:p>
                    </w:tc>
                    <w:tc>
                      <w:tcPr>
                        <w:tcW w:w="1027" w:type="dxa"/>
                        <w:tcBorders>
                          <w:top w:val="none" w:sz="0" w:space="0" w:color="auto"/>
                          <w:bottom w:val="none" w:sz="0" w:space="0" w:color="auto"/>
                        </w:tcBorders>
                        <w:noWrap/>
                        <w:hideMark/>
                      </w:tcPr>
                      <w:p w14:paraId="31A19327" w14:textId="77777777" w:rsidR="002618D3" w:rsidRPr="007A1075" w:rsidRDefault="002618D3" w:rsidP="00800D89">
                        <w:pPr>
                          <w:pStyle w:val="TableText"/>
                          <w:cnfStyle w:val="000000100000" w:firstRow="0" w:lastRow="0" w:firstColumn="0" w:lastColumn="0" w:oddVBand="0" w:evenVBand="0" w:oddHBand="1" w:evenHBand="0" w:firstRowFirstColumn="0" w:firstRowLastColumn="0" w:lastRowFirstColumn="0" w:lastRowLastColumn="0"/>
                        </w:pPr>
                        <w:r w:rsidRPr="007A1075">
                          <w:t>&lt;.001</w:t>
                        </w:r>
                      </w:p>
                    </w:tc>
                    <w:tc>
                      <w:tcPr>
                        <w:tcW w:w="1669" w:type="dxa"/>
                        <w:tcBorders>
                          <w:top w:val="none" w:sz="0" w:space="0" w:color="auto"/>
                          <w:bottom w:val="none" w:sz="0" w:space="0" w:color="auto"/>
                        </w:tcBorders>
                        <w:noWrap/>
                        <w:hideMark/>
                      </w:tcPr>
                      <w:p w14:paraId="1E970DB2" w14:textId="39EDD33D" w:rsidR="002618D3" w:rsidRPr="007A1075" w:rsidRDefault="002618D3" w:rsidP="00800D89">
                        <w:pPr>
                          <w:pStyle w:val="TableText"/>
                          <w:cnfStyle w:val="000000100000" w:firstRow="0" w:lastRow="0" w:firstColumn="0" w:lastColumn="0" w:oddVBand="0" w:evenVBand="0" w:oddHBand="1" w:evenHBand="0" w:firstRowFirstColumn="0" w:firstRowLastColumn="0" w:lastRowFirstColumn="0" w:lastRowLastColumn="0"/>
                        </w:pPr>
                        <w:r w:rsidRPr="007A1075">
                          <w:t>50.5% (n=6</w:t>
                        </w:r>
                        <w:r>
                          <w:t>,</w:t>
                        </w:r>
                        <w:r w:rsidRPr="007A1075">
                          <w:t>096)</w:t>
                        </w:r>
                      </w:p>
                    </w:tc>
                  </w:tr>
                  <w:tr w:rsidR="00F3116F" w:rsidRPr="007A1075" w14:paraId="26916E79" w14:textId="77777777" w:rsidTr="00520E3A">
                    <w:trPr>
                      <w:trHeight w:val="291"/>
                    </w:trPr>
                    <w:tc>
                      <w:tcPr>
                        <w:cnfStyle w:val="001000000000" w:firstRow="0" w:lastRow="0" w:firstColumn="1" w:lastColumn="0" w:oddVBand="0" w:evenVBand="0" w:oddHBand="0" w:evenHBand="0" w:firstRowFirstColumn="0" w:firstRowLastColumn="0" w:lastRowFirstColumn="0" w:lastRowLastColumn="0"/>
                        <w:tcW w:w="1325" w:type="dxa"/>
                        <w:vMerge/>
                        <w:tcBorders>
                          <w:right w:val="none" w:sz="0" w:space="0" w:color="auto"/>
                        </w:tcBorders>
                        <w:hideMark/>
                      </w:tcPr>
                      <w:p w14:paraId="0EE333F5" w14:textId="77777777" w:rsidR="002618D3" w:rsidRPr="007A1075" w:rsidRDefault="002618D3" w:rsidP="00800D89">
                        <w:pPr>
                          <w:pStyle w:val="TableText"/>
                        </w:pPr>
                      </w:p>
                    </w:tc>
                    <w:tc>
                      <w:tcPr>
                        <w:tcW w:w="1402" w:type="dxa"/>
                        <w:vMerge/>
                        <w:hideMark/>
                      </w:tcPr>
                      <w:p w14:paraId="3D4CFA06" w14:textId="77777777" w:rsidR="002618D3" w:rsidRPr="00321BC5" w:rsidRDefault="002618D3" w:rsidP="00800D89">
                        <w:pPr>
                          <w:pStyle w:val="TableText"/>
                          <w:cnfStyle w:val="000000000000" w:firstRow="0" w:lastRow="0" w:firstColumn="0" w:lastColumn="0" w:oddVBand="0" w:evenVBand="0" w:oddHBand="0" w:evenHBand="0" w:firstRowFirstColumn="0" w:firstRowLastColumn="0" w:lastRowFirstColumn="0" w:lastRowLastColumn="0"/>
                        </w:pPr>
                      </w:p>
                    </w:tc>
                    <w:tc>
                      <w:tcPr>
                        <w:tcW w:w="2151" w:type="dxa"/>
                        <w:vMerge/>
                        <w:hideMark/>
                      </w:tcPr>
                      <w:p w14:paraId="4D207E9D" w14:textId="77777777" w:rsidR="002618D3" w:rsidRPr="00321BC5" w:rsidRDefault="002618D3" w:rsidP="00800D89">
                        <w:pPr>
                          <w:pStyle w:val="TableText"/>
                          <w:cnfStyle w:val="000000000000" w:firstRow="0" w:lastRow="0" w:firstColumn="0" w:lastColumn="0" w:oddVBand="0" w:evenVBand="0" w:oddHBand="0" w:evenHBand="0" w:firstRowFirstColumn="0" w:firstRowLastColumn="0" w:lastRowFirstColumn="0" w:lastRowLastColumn="0"/>
                        </w:pPr>
                      </w:p>
                    </w:tc>
                    <w:tc>
                      <w:tcPr>
                        <w:tcW w:w="2182" w:type="dxa"/>
                        <w:noWrap/>
                        <w:hideMark/>
                      </w:tcPr>
                      <w:p w14:paraId="72A61CFB" w14:textId="77777777" w:rsidR="002618D3" w:rsidRPr="00321BC5" w:rsidRDefault="002618D3" w:rsidP="00800D89">
                        <w:pPr>
                          <w:pStyle w:val="TableText"/>
                          <w:cnfStyle w:val="000000000000" w:firstRow="0" w:lastRow="0" w:firstColumn="0" w:lastColumn="0" w:oddVBand="0" w:evenVBand="0" w:oddHBand="0" w:evenHBand="0" w:firstRowFirstColumn="0" w:firstRowLastColumn="0" w:lastRowFirstColumn="0" w:lastRowLastColumn="0"/>
                        </w:pPr>
                        <w:r w:rsidRPr="00321BC5">
                          <w:t>Personal and family safety</w:t>
                        </w:r>
                      </w:p>
                    </w:tc>
                    <w:tc>
                      <w:tcPr>
                        <w:tcW w:w="1310" w:type="dxa"/>
                        <w:noWrap/>
                        <w:hideMark/>
                      </w:tcPr>
                      <w:p w14:paraId="69B2C21E" w14:textId="77777777" w:rsidR="002618D3" w:rsidRPr="007A1075" w:rsidRDefault="002618D3" w:rsidP="00800D89">
                        <w:pPr>
                          <w:pStyle w:val="TableText"/>
                          <w:cnfStyle w:val="000000000000" w:firstRow="0" w:lastRow="0" w:firstColumn="0" w:lastColumn="0" w:oddVBand="0" w:evenVBand="0" w:oddHBand="0" w:evenHBand="0" w:firstRowFirstColumn="0" w:firstRowLastColumn="0" w:lastRowFirstColumn="0" w:lastRowLastColumn="0"/>
                        </w:pPr>
                        <w:r w:rsidRPr="007A1075">
                          <w:t>0.44</w:t>
                        </w:r>
                      </w:p>
                    </w:tc>
                    <w:tc>
                      <w:tcPr>
                        <w:tcW w:w="1784" w:type="dxa"/>
                        <w:noWrap/>
                        <w:hideMark/>
                      </w:tcPr>
                      <w:p w14:paraId="09CDD956" w14:textId="77777777" w:rsidR="002618D3" w:rsidRPr="007A1075" w:rsidRDefault="002618D3" w:rsidP="00800D89">
                        <w:pPr>
                          <w:pStyle w:val="TableText"/>
                          <w:cnfStyle w:val="000000000000" w:firstRow="0" w:lastRow="0" w:firstColumn="0" w:lastColumn="0" w:oddVBand="0" w:evenVBand="0" w:oddHBand="0" w:evenHBand="0" w:firstRowFirstColumn="0" w:firstRowLastColumn="0" w:lastRowFirstColumn="0" w:lastRowLastColumn="0"/>
                        </w:pPr>
                        <w:r w:rsidRPr="007A1075">
                          <w:t>9938616.5</w:t>
                        </w:r>
                      </w:p>
                    </w:tc>
                    <w:tc>
                      <w:tcPr>
                        <w:tcW w:w="1172" w:type="dxa"/>
                        <w:noWrap/>
                        <w:hideMark/>
                      </w:tcPr>
                      <w:p w14:paraId="391762F4" w14:textId="3EA78236" w:rsidR="002618D3" w:rsidRPr="007A1075" w:rsidRDefault="002618D3" w:rsidP="00800D89">
                        <w:pPr>
                          <w:pStyle w:val="TableText"/>
                          <w:cnfStyle w:val="000000000000" w:firstRow="0" w:lastRow="0" w:firstColumn="0" w:lastColumn="0" w:oddVBand="0" w:evenVBand="0" w:oddHBand="0" w:evenHBand="0" w:firstRowFirstColumn="0" w:firstRowLastColumn="0" w:lastRowFirstColumn="0" w:lastRowLastColumn="0"/>
                        </w:pPr>
                        <w:r w:rsidRPr="007A1075">
                          <w:t>10</w:t>
                        </w:r>
                        <w:r>
                          <w:t>,</w:t>
                        </w:r>
                        <w:r w:rsidRPr="007A1075">
                          <w:t>207</w:t>
                        </w:r>
                      </w:p>
                    </w:tc>
                    <w:tc>
                      <w:tcPr>
                        <w:tcW w:w="1027" w:type="dxa"/>
                        <w:noWrap/>
                        <w:hideMark/>
                      </w:tcPr>
                      <w:p w14:paraId="513BF2A5" w14:textId="77777777" w:rsidR="002618D3" w:rsidRPr="007A1075" w:rsidRDefault="002618D3" w:rsidP="00800D89">
                        <w:pPr>
                          <w:pStyle w:val="TableText"/>
                          <w:cnfStyle w:val="000000000000" w:firstRow="0" w:lastRow="0" w:firstColumn="0" w:lastColumn="0" w:oddVBand="0" w:evenVBand="0" w:oddHBand="0" w:evenHBand="0" w:firstRowFirstColumn="0" w:firstRowLastColumn="0" w:lastRowFirstColumn="0" w:lastRowLastColumn="0"/>
                        </w:pPr>
                        <w:r w:rsidRPr="007A1075">
                          <w:t>&lt;.001</w:t>
                        </w:r>
                      </w:p>
                    </w:tc>
                    <w:tc>
                      <w:tcPr>
                        <w:tcW w:w="1669" w:type="dxa"/>
                        <w:noWrap/>
                        <w:hideMark/>
                      </w:tcPr>
                      <w:p w14:paraId="03D89324" w14:textId="412F653D" w:rsidR="002618D3" w:rsidRPr="007A1075" w:rsidRDefault="002618D3" w:rsidP="00800D89">
                        <w:pPr>
                          <w:pStyle w:val="TableText"/>
                          <w:cnfStyle w:val="000000000000" w:firstRow="0" w:lastRow="0" w:firstColumn="0" w:lastColumn="0" w:oddVBand="0" w:evenVBand="0" w:oddHBand="0" w:evenHBand="0" w:firstRowFirstColumn="0" w:firstRowLastColumn="0" w:lastRowFirstColumn="0" w:lastRowLastColumn="0"/>
                        </w:pPr>
                        <w:r w:rsidRPr="007A1075">
                          <w:t>39.3% (n=4</w:t>
                        </w:r>
                        <w:r>
                          <w:t>,</w:t>
                        </w:r>
                        <w:r w:rsidRPr="007A1075">
                          <w:t>015)</w:t>
                        </w:r>
                      </w:p>
                    </w:tc>
                  </w:tr>
                  <w:tr w:rsidR="00F3116F" w:rsidRPr="007A1075" w14:paraId="1EF920AE" w14:textId="77777777" w:rsidTr="00520E3A">
                    <w:trPr>
                      <w:cnfStyle w:val="000000100000" w:firstRow="0" w:lastRow="0" w:firstColumn="0" w:lastColumn="0" w:oddVBand="0" w:evenVBand="0" w:oddHBand="1" w:evenHBand="0" w:firstRowFirstColumn="0" w:firstRowLastColumn="0" w:lastRowFirstColumn="0" w:lastRowLastColumn="0"/>
                      <w:trHeight w:val="291"/>
                    </w:trPr>
                    <w:tc>
                      <w:tcPr>
                        <w:cnfStyle w:val="001000000000" w:firstRow="0" w:lastRow="0" w:firstColumn="1" w:lastColumn="0" w:oddVBand="0" w:evenVBand="0" w:oddHBand="0" w:evenHBand="0" w:firstRowFirstColumn="0" w:firstRowLastColumn="0" w:lastRowFirstColumn="0" w:lastRowLastColumn="0"/>
                        <w:tcW w:w="1325" w:type="dxa"/>
                        <w:vMerge/>
                        <w:tcBorders>
                          <w:top w:val="none" w:sz="0" w:space="0" w:color="auto"/>
                          <w:bottom w:val="none" w:sz="0" w:space="0" w:color="auto"/>
                          <w:right w:val="none" w:sz="0" w:space="0" w:color="auto"/>
                        </w:tcBorders>
                        <w:hideMark/>
                      </w:tcPr>
                      <w:p w14:paraId="3447D9BF" w14:textId="77777777" w:rsidR="002618D3" w:rsidRPr="007A1075" w:rsidRDefault="002618D3" w:rsidP="00800D89">
                        <w:pPr>
                          <w:pStyle w:val="TableText"/>
                        </w:pPr>
                      </w:p>
                    </w:tc>
                    <w:tc>
                      <w:tcPr>
                        <w:tcW w:w="1402" w:type="dxa"/>
                        <w:vMerge/>
                        <w:tcBorders>
                          <w:top w:val="none" w:sz="0" w:space="0" w:color="auto"/>
                          <w:bottom w:val="none" w:sz="0" w:space="0" w:color="auto"/>
                        </w:tcBorders>
                        <w:hideMark/>
                      </w:tcPr>
                      <w:p w14:paraId="43793A4C" w14:textId="77777777" w:rsidR="002618D3" w:rsidRPr="00321BC5" w:rsidRDefault="002618D3" w:rsidP="00800D89">
                        <w:pPr>
                          <w:pStyle w:val="TableText"/>
                          <w:cnfStyle w:val="000000100000" w:firstRow="0" w:lastRow="0" w:firstColumn="0" w:lastColumn="0" w:oddVBand="0" w:evenVBand="0" w:oddHBand="1" w:evenHBand="0" w:firstRowFirstColumn="0" w:firstRowLastColumn="0" w:lastRowFirstColumn="0" w:lastRowLastColumn="0"/>
                        </w:pPr>
                      </w:p>
                    </w:tc>
                    <w:tc>
                      <w:tcPr>
                        <w:tcW w:w="2151" w:type="dxa"/>
                        <w:vMerge w:val="restart"/>
                        <w:tcBorders>
                          <w:top w:val="none" w:sz="0" w:space="0" w:color="auto"/>
                          <w:bottom w:val="none" w:sz="0" w:space="0" w:color="auto"/>
                        </w:tcBorders>
                        <w:hideMark/>
                      </w:tcPr>
                      <w:p w14:paraId="1CBE3B25" w14:textId="77777777" w:rsidR="002618D3" w:rsidRPr="00321BC5" w:rsidRDefault="002618D3" w:rsidP="00800D89">
                        <w:pPr>
                          <w:pStyle w:val="TableText"/>
                          <w:cnfStyle w:val="000000100000" w:firstRow="0" w:lastRow="0" w:firstColumn="0" w:lastColumn="0" w:oddVBand="0" w:evenVBand="0" w:oddHBand="1" w:evenHBand="0" w:firstRowFirstColumn="0" w:firstRowLastColumn="0" w:lastRowFirstColumn="0" w:lastRowLastColumn="0"/>
                        </w:pPr>
                        <w:r w:rsidRPr="00321BC5">
                          <w:t>Goals</w:t>
                        </w:r>
                      </w:p>
                    </w:tc>
                    <w:tc>
                      <w:tcPr>
                        <w:tcW w:w="2182" w:type="dxa"/>
                        <w:tcBorders>
                          <w:top w:val="none" w:sz="0" w:space="0" w:color="auto"/>
                          <w:bottom w:val="none" w:sz="0" w:space="0" w:color="auto"/>
                        </w:tcBorders>
                        <w:noWrap/>
                        <w:hideMark/>
                      </w:tcPr>
                      <w:p w14:paraId="48EFC37F" w14:textId="77777777" w:rsidR="002618D3" w:rsidRPr="00321BC5" w:rsidRDefault="002618D3" w:rsidP="00800D89">
                        <w:pPr>
                          <w:pStyle w:val="TableText"/>
                          <w:cnfStyle w:val="000000100000" w:firstRow="0" w:lastRow="0" w:firstColumn="0" w:lastColumn="0" w:oddVBand="0" w:evenVBand="0" w:oddHBand="1" w:evenHBand="0" w:firstRowFirstColumn="0" w:firstRowLastColumn="0" w:lastRowFirstColumn="0" w:lastRowLastColumn="0"/>
                        </w:pPr>
                        <w:r w:rsidRPr="00321BC5">
                          <w:t>Changed behaviours</w:t>
                        </w:r>
                      </w:p>
                    </w:tc>
                    <w:tc>
                      <w:tcPr>
                        <w:tcW w:w="1310" w:type="dxa"/>
                        <w:tcBorders>
                          <w:top w:val="none" w:sz="0" w:space="0" w:color="auto"/>
                          <w:bottom w:val="none" w:sz="0" w:space="0" w:color="auto"/>
                        </w:tcBorders>
                        <w:noWrap/>
                        <w:hideMark/>
                      </w:tcPr>
                      <w:p w14:paraId="312BBCCC" w14:textId="77777777" w:rsidR="002618D3" w:rsidRPr="007A1075" w:rsidRDefault="002618D3" w:rsidP="00800D89">
                        <w:pPr>
                          <w:pStyle w:val="TableText"/>
                          <w:cnfStyle w:val="000000100000" w:firstRow="0" w:lastRow="0" w:firstColumn="0" w:lastColumn="0" w:oddVBand="0" w:evenVBand="0" w:oddHBand="1" w:evenHBand="0" w:firstRowFirstColumn="0" w:firstRowLastColumn="0" w:lastRowFirstColumn="0" w:lastRowLastColumn="0"/>
                        </w:pPr>
                        <w:r w:rsidRPr="007A1075">
                          <w:t>0.91</w:t>
                        </w:r>
                      </w:p>
                    </w:tc>
                    <w:tc>
                      <w:tcPr>
                        <w:tcW w:w="1784" w:type="dxa"/>
                        <w:tcBorders>
                          <w:top w:val="none" w:sz="0" w:space="0" w:color="auto"/>
                          <w:bottom w:val="none" w:sz="0" w:space="0" w:color="auto"/>
                        </w:tcBorders>
                        <w:noWrap/>
                        <w:hideMark/>
                      </w:tcPr>
                      <w:p w14:paraId="75F6B9E5" w14:textId="77777777" w:rsidR="002618D3" w:rsidRPr="007A1075" w:rsidRDefault="002618D3" w:rsidP="00800D89">
                        <w:pPr>
                          <w:pStyle w:val="TableText"/>
                          <w:cnfStyle w:val="000000100000" w:firstRow="0" w:lastRow="0" w:firstColumn="0" w:lastColumn="0" w:oddVBand="0" w:evenVBand="0" w:oddHBand="1" w:evenHBand="0" w:firstRowFirstColumn="0" w:firstRowLastColumn="0" w:lastRowFirstColumn="0" w:lastRowLastColumn="0"/>
                        </w:pPr>
                        <w:r w:rsidRPr="007A1075">
                          <w:t>1271291</w:t>
                        </w:r>
                      </w:p>
                    </w:tc>
                    <w:tc>
                      <w:tcPr>
                        <w:tcW w:w="1172" w:type="dxa"/>
                        <w:tcBorders>
                          <w:top w:val="none" w:sz="0" w:space="0" w:color="auto"/>
                          <w:bottom w:val="none" w:sz="0" w:space="0" w:color="auto"/>
                        </w:tcBorders>
                        <w:noWrap/>
                        <w:hideMark/>
                      </w:tcPr>
                      <w:p w14:paraId="15467397" w14:textId="457F3D3F" w:rsidR="002618D3" w:rsidRPr="007A1075" w:rsidRDefault="002618D3" w:rsidP="00800D89">
                        <w:pPr>
                          <w:pStyle w:val="TableText"/>
                          <w:cnfStyle w:val="000000100000" w:firstRow="0" w:lastRow="0" w:firstColumn="0" w:lastColumn="0" w:oddVBand="0" w:evenVBand="0" w:oddHBand="1" w:evenHBand="0" w:firstRowFirstColumn="0" w:firstRowLastColumn="0" w:lastRowFirstColumn="0" w:lastRowLastColumn="0"/>
                        </w:pPr>
                        <w:r w:rsidRPr="007A1075">
                          <w:t>5</w:t>
                        </w:r>
                        <w:r>
                          <w:t>,</w:t>
                        </w:r>
                        <w:r w:rsidRPr="007A1075">
                          <w:t>603</w:t>
                        </w:r>
                      </w:p>
                    </w:tc>
                    <w:tc>
                      <w:tcPr>
                        <w:tcW w:w="1027" w:type="dxa"/>
                        <w:tcBorders>
                          <w:top w:val="none" w:sz="0" w:space="0" w:color="auto"/>
                          <w:bottom w:val="none" w:sz="0" w:space="0" w:color="auto"/>
                        </w:tcBorders>
                        <w:noWrap/>
                        <w:hideMark/>
                      </w:tcPr>
                      <w:p w14:paraId="4ACD22D3" w14:textId="77777777" w:rsidR="002618D3" w:rsidRPr="007A1075" w:rsidRDefault="002618D3" w:rsidP="00800D89">
                        <w:pPr>
                          <w:pStyle w:val="TableText"/>
                          <w:cnfStyle w:val="000000100000" w:firstRow="0" w:lastRow="0" w:firstColumn="0" w:lastColumn="0" w:oddVBand="0" w:evenVBand="0" w:oddHBand="1" w:evenHBand="0" w:firstRowFirstColumn="0" w:firstRowLastColumn="0" w:lastRowFirstColumn="0" w:lastRowLastColumn="0"/>
                        </w:pPr>
                        <w:r w:rsidRPr="007A1075">
                          <w:t>&lt;.001</w:t>
                        </w:r>
                      </w:p>
                    </w:tc>
                    <w:tc>
                      <w:tcPr>
                        <w:tcW w:w="1669" w:type="dxa"/>
                        <w:tcBorders>
                          <w:top w:val="none" w:sz="0" w:space="0" w:color="auto"/>
                          <w:bottom w:val="none" w:sz="0" w:space="0" w:color="auto"/>
                        </w:tcBorders>
                        <w:noWrap/>
                        <w:hideMark/>
                      </w:tcPr>
                      <w:p w14:paraId="3ABDD09E" w14:textId="7FE44B12" w:rsidR="002618D3" w:rsidRPr="007A1075" w:rsidRDefault="002618D3" w:rsidP="00800D89">
                        <w:pPr>
                          <w:pStyle w:val="TableText"/>
                          <w:cnfStyle w:val="000000100000" w:firstRow="0" w:lastRow="0" w:firstColumn="0" w:lastColumn="0" w:oddVBand="0" w:evenVBand="0" w:oddHBand="1" w:evenHBand="0" w:firstRowFirstColumn="0" w:firstRowLastColumn="0" w:lastRowFirstColumn="0" w:lastRowLastColumn="0"/>
                        </w:pPr>
                        <w:r w:rsidRPr="007A1075">
                          <w:t>59.6% (n=3</w:t>
                        </w:r>
                        <w:r>
                          <w:t>,</w:t>
                        </w:r>
                        <w:r w:rsidRPr="007A1075">
                          <w:t>337)</w:t>
                        </w:r>
                      </w:p>
                    </w:tc>
                  </w:tr>
                  <w:tr w:rsidR="00F3116F" w:rsidRPr="007A1075" w14:paraId="345A88A2" w14:textId="77777777" w:rsidTr="00520E3A">
                    <w:trPr>
                      <w:trHeight w:val="291"/>
                    </w:trPr>
                    <w:tc>
                      <w:tcPr>
                        <w:cnfStyle w:val="001000000000" w:firstRow="0" w:lastRow="0" w:firstColumn="1" w:lastColumn="0" w:oddVBand="0" w:evenVBand="0" w:oddHBand="0" w:evenHBand="0" w:firstRowFirstColumn="0" w:firstRowLastColumn="0" w:lastRowFirstColumn="0" w:lastRowLastColumn="0"/>
                        <w:tcW w:w="1325" w:type="dxa"/>
                        <w:vMerge/>
                        <w:tcBorders>
                          <w:right w:val="none" w:sz="0" w:space="0" w:color="auto"/>
                        </w:tcBorders>
                        <w:hideMark/>
                      </w:tcPr>
                      <w:p w14:paraId="56678089" w14:textId="77777777" w:rsidR="002618D3" w:rsidRPr="007A1075" w:rsidRDefault="002618D3" w:rsidP="00800D89">
                        <w:pPr>
                          <w:pStyle w:val="TableText"/>
                        </w:pPr>
                      </w:p>
                    </w:tc>
                    <w:tc>
                      <w:tcPr>
                        <w:tcW w:w="1402" w:type="dxa"/>
                        <w:vMerge/>
                        <w:hideMark/>
                      </w:tcPr>
                      <w:p w14:paraId="5BBAF2FE" w14:textId="77777777" w:rsidR="002618D3" w:rsidRPr="00321BC5" w:rsidRDefault="002618D3" w:rsidP="00800D89">
                        <w:pPr>
                          <w:pStyle w:val="TableText"/>
                          <w:cnfStyle w:val="000000000000" w:firstRow="0" w:lastRow="0" w:firstColumn="0" w:lastColumn="0" w:oddVBand="0" w:evenVBand="0" w:oddHBand="0" w:evenHBand="0" w:firstRowFirstColumn="0" w:firstRowLastColumn="0" w:lastRowFirstColumn="0" w:lastRowLastColumn="0"/>
                        </w:pPr>
                      </w:p>
                    </w:tc>
                    <w:tc>
                      <w:tcPr>
                        <w:tcW w:w="2151" w:type="dxa"/>
                        <w:vMerge/>
                        <w:hideMark/>
                      </w:tcPr>
                      <w:p w14:paraId="2E08D157" w14:textId="77777777" w:rsidR="002618D3" w:rsidRPr="00321BC5" w:rsidRDefault="002618D3" w:rsidP="00800D89">
                        <w:pPr>
                          <w:pStyle w:val="TableText"/>
                          <w:cnfStyle w:val="000000000000" w:firstRow="0" w:lastRow="0" w:firstColumn="0" w:lastColumn="0" w:oddVBand="0" w:evenVBand="0" w:oddHBand="0" w:evenHBand="0" w:firstRowFirstColumn="0" w:firstRowLastColumn="0" w:lastRowFirstColumn="0" w:lastRowLastColumn="0"/>
                        </w:pPr>
                      </w:p>
                    </w:tc>
                    <w:tc>
                      <w:tcPr>
                        <w:tcW w:w="2182" w:type="dxa"/>
                        <w:noWrap/>
                        <w:hideMark/>
                      </w:tcPr>
                      <w:p w14:paraId="2353D2FE" w14:textId="77777777" w:rsidR="002618D3" w:rsidRPr="00321BC5" w:rsidRDefault="002618D3" w:rsidP="00800D89">
                        <w:pPr>
                          <w:pStyle w:val="TableText"/>
                          <w:cnfStyle w:val="000000000000" w:firstRow="0" w:lastRow="0" w:firstColumn="0" w:lastColumn="0" w:oddVBand="0" w:evenVBand="0" w:oddHBand="0" w:evenHBand="0" w:firstRowFirstColumn="0" w:firstRowLastColumn="0" w:lastRowFirstColumn="0" w:lastRowLastColumn="0"/>
                        </w:pPr>
                        <w:r w:rsidRPr="00321BC5">
                          <w:t>Changed impact of immediate crisis</w:t>
                        </w:r>
                      </w:p>
                    </w:tc>
                    <w:tc>
                      <w:tcPr>
                        <w:tcW w:w="1310" w:type="dxa"/>
                        <w:noWrap/>
                        <w:hideMark/>
                      </w:tcPr>
                      <w:p w14:paraId="61D232B0" w14:textId="77777777" w:rsidR="002618D3" w:rsidRPr="007A1075" w:rsidRDefault="002618D3" w:rsidP="00800D89">
                        <w:pPr>
                          <w:pStyle w:val="TableText"/>
                          <w:cnfStyle w:val="000000000000" w:firstRow="0" w:lastRow="0" w:firstColumn="0" w:lastColumn="0" w:oddVBand="0" w:evenVBand="0" w:oddHBand="0" w:evenHBand="0" w:firstRowFirstColumn="0" w:firstRowLastColumn="0" w:lastRowFirstColumn="0" w:lastRowLastColumn="0"/>
                        </w:pPr>
                        <w:r w:rsidRPr="007A1075">
                          <w:t>0.77</w:t>
                        </w:r>
                      </w:p>
                    </w:tc>
                    <w:tc>
                      <w:tcPr>
                        <w:tcW w:w="1784" w:type="dxa"/>
                        <w:noWrap/>
                        <w:hideMark/>
                      </w:tcPr>
                      <w:p w14:paraId="57EF70AA" w14:textId="77777777" w:rsidR="002618D3" w:rsidRPr="007A1075" w:rsidRDefault="002618D3" w:rsidP="00800D89">
                        <w:pPr>
                          <w:pStyle w:val="TableText"/>
                          <w:cnfStyle w:val="000000000000" w:firstRow="0" w:lastRow="0" w:firstColumn="0" w:lastColumn="0" w:oddVBand="0" w:evenVBand="0" w:oddHBand="0" w:evenHBand="0" w:firstRowFirstColumn="0" w:firstRowLastColumn="0" w:lastRowFirstColumn="0" w:lastRowLastColumn="0"/>
                        </w:pPr>
                        <w:r w:rsidRPr="007A1075">
                          <w:t>878643.5</w:t>
                        </w:r>
                      </w:p>
                    </w:tc>
                    <w:tc>
                      <w:tcPr>
                        <w:tcW w:w="1172" w:type="dxa"/>
                        <w:noWrap/>
                        <w:hideMark/>
                      </w:tcPr>
                      <w:p w14:paraId="17C204B9" w14:textId="60963904" w:rsidR="002618D3" w:rsidRPr="007A1075" w:rsidRDefault="002618D3" w:rsidP="00800D89">
                        <w:pPr>
                          <w:pStyle w:val="TableText"/>
                          <w:cnfStyle w:val="000000000000" w:firstRow="0" w:lastRow="0" w:firstColumn="0" w:lastColumn="0" w:oddVBand="0" w:evenVBand="0" w:oddHBand="0" w:evenHBand="0" w:firstRowFirstColumn="0" w:firstRowLastColumn="0" w:lastRowFirstColumn="0" w:lastRowLastColumn="0"/>
                        </w:pPr>
                        <w:r w:rsidRPr="007A1075">
                          <w:t>3</w:t>
                        </w:r>
                        <w:r>
                          <w:t>,</w:t>
                        </w:r>
                        <w:r w:rsidRPr="007A1075">
                          <w:t>450</w:t>
                        </w:r>
                      </w:p>
                    </w:tc>
                    <w:tc>
                      <w:tcPr>
                        <w:tcW w:w="1027" w:type="dxa"/>
                        <w:noWrap/>
                        <w:hideMark/>
                      </w:tcPr>
                      <w:p w14:paraId="093BF451" w14:textId="77777777" w:rsidR="002618D3" w:rsidRPr="007A1075" w:rsidRDefault="002618D3" w:rsidP="00800D89">
                        <w:pPr>
                          <w:pStyle w:val="TableText"/>
                          <w:cnfStyle w:val="000000000000" w:firstRow="0" w:lastRow="0" w:firstColumn="0" w:lastColumn="0" w:oddVBand="0" w:evenVBand="0" w:oddHBand="0" w:evenHBand="0" w:firstRowFirstColumn="0" w:firstRowLastColumn="0" w:lastRowFirstColumn="0" w:lastRowLastColumn="0"/>
                        </w:pPr>
                        <w:r w:rsidRPr="007A1075">
                          <w:t>&lt;.001</w:t>
                        </w:r>
                      </w:p>
                    </w:tc>
                    <w:tc>
                      <w:tcPr>
                        <w:tcW w:w="1669" w:type="dxa"/>
                        <w:noWrap/>
                        <w:hideMark/>
                      </w:tcPr>
                      <w:p w14:paraId="5C18895C" w14:textId="00A8CF50" w:rsidR="002618D3" w:rsidRPr="007A1075" w:rsidRDefault="002618D3" w:rsidP="00800D89">
                        <w:pPr>
                          <w:pStyle w:val="TableText"/>
                          <w:cnfStyle w:val="000000000000" w:firstRow="0" w:lastRow="0" w:firstColumn="0" w:lastColumn="0" w:oddVBand="0" w:evenVBand="0" w:oddHBand="0" w:evenHBand="0" w:firstRowFirstColumn="0" w:firstRowLastColumn="0" w:lastRowFirstColumn="0" w:lastRowLastColumn="0"/>
                        </w:pPr>
                        <w:r w:rsidRPr="007A1075">
                          <w:t>58.0% (n=2</w:t>
                        </w:r>
                        <w:r>
                          <w:t>,</w:t>
                        </w:r>
                        <w:r w:rsidRPr="007A1075">
                          <w:t>002)</w:t>
                        </w:r>
                      </w:p>
                    </w:tc>
                  </w:tr>
                  <w:tr w:rsidR="00F3116F" w:rsidRPr="007A1075" w14:paraId="1A1DD9F9" w14:textId="77777777" w:rsidTr="00520E3A">
                    <w:trPr>
                      <w:cnfStyle w:val="000000100000" w:firstRow="0" w:lastRow="0" w:firstColumn="0" w:lastColumn="0" w:oddVBand="0" w:evenVBand="0" w:oddHBand="1" w:evenHBand="0" w:firstRowFirstColumn="0" w:firstRowLastColumn="0" w:lastRowFirstColumn="0" w:lastRowLastColumn="0"/>
                      <w:trHeight w:val="291"/>
                    </w:trPr>
                    <w:tc>
                      <w:tcPr>
                        <w:cnfStyle w:val="001000000000" w:firstRow="0" w:lastRow="0" w:firstColumn="1" w:lastColumn="0" w:oddVBand="0" w:evenVBand="0" w:oddHBand="0" w:evenHBand="0" w:firstRowFirstColumn="0" w:firstRowLastColumn="0" w:lastRowFirstColumn="0" w:lastRowLastColumn="0"/>
                        <w:tcW w:w="1325" w:type="dxa"/>
                        <w:vMerge/>
                        <w:tcBorders>
                          <w:top w:val="none" w:sz="0" w:space="0" w:color="auto"/>
                          <w:bottom w:val="none" w:sz="0" w:space="0" w:color="auto"/>
                          <w:right w:val="none" w:sz="0" w:space="0" w:color="auto"/>
                        </w:tcBorders>
                        <w:hideMark/>
                      </w:tcPr>
                      <w:p w14:paraId="10386C25" w14:textId="77777777" w:rsidR="002618D3" w:rsidRPr="007A1075" w:rsidRDefault="002618D3" w:rsidP="00800D89">
                        <w:pPr>
                          <w:pStyle w:val="TableText"/>
                        </w:pPr>
                      </w:p>
                    </w:tc>
                    <w:tc>
                      <w:tcPr>
                        <w:tcW w:w="1402" w:type="dxa"/>
                        <w:vMerge/>
                        <w:tcBorders>
                          <w:top w:val="none" w:sz="0" w:space="0" w:color="auto"/>
                          <w:bottom w:val="none" w:sz="0" w:space="0" w:color="auto"/>
                        </w:tcBorders>
                        <w:hideMark/>
                      </w:tcPr>
                      <w:p w14:paraId="5F99913F" w14:textId="77777777" w:rsidR="002618D3" w:rsidRPr="00321BC5" w:rsidRDefault="002618D3" w:rsidP="00800D89">
                        <w:pPr>
                          <w:pStyle w:val="TableText"/>
                          <w:cnfStyle w:val="000000100000" w:firstRow="0" w:lastRow="0" w:firstColumn="0" w:lastColumn="0" w:oddVBand="0" w:evenVBand="0" w:oddHBand="1" w:evenHBand="0" w:firstRowFirstColumn="0" w:firstRowLastColumn="0" w:lastRowFirstColumn="0" w:lastRowLastColumn="0"/>
                        </w:pPr>
                      </w:p>
                    </w:tc>
                    <w:tc>
                      <w:tcPr>
                        <w:tcW w:w="2151" w:type="dxa"/>
                        <w:vMerge/>
                        <w:tcBorders>
                          <w:top w:val="none" w:sz="0" w:space="0" w:color="auto"/>
                          <w:bottom w:val="none" w:sz="0" w:space="0" w:color="auto"/>
                        </w:tcBorders>
                        <w:hideMark/>
                      </w:tcPr>
                      <w:p w14:paraId="2165F482" w14:textId="77777777" w:rsidR="002618D3" w:rsidRPr="00321BC5" w:rsidRDefault="002618D3" w:rsidP="00800D89">
                        <w:pPr>
                          <w:pStyle w:val="TableText"/>
                          <w:cnfStyle w:val="000000100000" w:firstRow="0" w:lastRow="0" w:firstColumn="0" w:lastColumn="0" w:oddVBand="0" w:evenVBand="0" w:oddHBand="1" w:evenHBand="0" w:firstRowFirstColumn="0" w:firstRowLastColumn="0" w:lastRowFirstColumn="0" w:lastRowLastColumn="0"/>
                        </w:pPr>
                      </w:p>
                    </w:tc>
                    <w:tc>
                      <w:tcPr>
                        <w:tcW w:w="2182" w:type="dxa"/>
                        <w:tcBorders>
                          <w:top w:val="none" w:sz="0" w:space="0" w:color="auto"/>
                          <w:bottom w:val="none" w:sz="0" w:space="0" w:color="auto"/>
                        </w:tcBorders>
                        <w:noWrap/>
                        <w:hideMark/>
                      </w:tcPr>
                      <w:p w14:paraId="5F61D1CD" w14:textId="77777777" w:rsidR="002618D3" w:rsidRPr="00321BC5" w:rsidRDefault="002618D3" w:rsidP="00800D89">
                        <w:pPr>
                          <w:pStyle w:val="TableText"/>
                          <w:cnfStyle w:val="000000100000" w:firstRow="0" w:lastRow="0" w:firstColumn="0" w:lastColumn="0" w:oddVBand="0" w:evenVBand="0" w:oddHBand="1" w:evenHBand="0" w:firstRowFirstColumn="0" w:firstRowLastColumn="0" w:lastRowFirstColumn="0" w:lastRowLastColumn="0"/>
                        </w:pPr>
                        <w:r w:rsidRPr="00321BC5">
                          <w:t>Changed knowledge and access to information</w:t>
                        </w:r>
                      </w:p>
                    </w:tc>
                    <w:tc>
                      <w:tcPr>
                        <w:tcW w:w="1310" w:type="dxa"/>
                        <w:tcBorders>
                          <w:top w:val="none" w:sz="0" w:space="0" w:color="auto"/>
                          <w:bottom w:val="none" w:sz="0" w:space="0" w:color="auto"/>
                        </w:tcBorders>
                        <w:noWrap/>
                        <w:hideMark/>
                      </w:tcPr>
                      <w:p w14:paraId="46BA969D" w14:textId="77777777" w:rsidR="002618D3" w:rsidRPr="007A1075" w:rsidRDefault="002618D3" w:rsidP="00800D89">
                        <w:pPr>
                          <w:pStyle w:val="TableText"/>
                          <w:cnfStyle w:val="000000100000" w:firstRow="0" w:lastRow="0" w:firstColumn="0" w:lastColumn="0" w:oddVBand="0" w:evenVBand="0" w:oddHBand="1" w:evenHBand="0" w:firstRowFirstColumn="0" w:firstRowLastColumn="0" w:lastRowFirstColumn="0" w:lastRowLastColumn="0"/>
                        </w:pPr>
                        <w:r w:rsidRPr="007A1075">
                          <w:t>0.83</w:t>
                        </w:r>
                      </w:p>
                    </w:tc>
                    <w:tc>
                      <w:tcPr>
                        <w:tcW w:w="1784" w:type="dxa"/>
                        <w:tcBorders>
                          <w:top w:val="none" w:sz="0" w:space="0" w:color="auto"/>
                          <w:bottom w:val="none" w:sz="0" w:space="0" w:color="auto"/>
                        </w:tcBorders>
                        <w:noWrap/>
                        <w:hideMark/>
                      </w:tcPr>
                      <w:p w14:paraId="7F30E983" w14:textId="77777777" w:rsidR="002618D3" w:rsidRPr="007A1075" w:rsidRDefault="002618D3" w:rsidP="00800D89">
                        <w:pPr>
                          <w:pStyle w:val="TableText"/>
                          <w:cnfStyle w:val="000000100000" w:firstRow="0" w:lastRow="0" w:firstColumn="0" w:lastColumn="0" w:oddVBand="0" w:evenVBand="0" w:oddHBand="1" w:evenHBand="0" w:firstRowFirstColumn="0" w:firstRowLastColumn="0" w:lastRowFirstColumn="0" w:lastRowLastColumn="0"/>
                        </w:pPr>
                        <w:r w:rsidRPr="007A1075">
                          <w:t>8561548</w:t>
                        </w:r>
                      </w:p>
                    </w:tc>
                    <w:tc>
                      <w:tcPr>
                        <w:tcW w:w="1172" w:type="dxa"/>
                        <w:tcBorders>
                          <w:top w:val="none" w:sz="0" w:space="0" w:color="auto"/>
                          <w:bottom w:val="none" w:sz="0" w:space="0" w:color="auto"/>
                        </w:tcBorders>
                        <w:noWrap/>
                        <w:hideMark/>
                      </w:tcPr>
                      <w:p w14:paraId="127B36B0" w14:textId="2F7A3CD5" w:rsidR="002618D3" w:rsidRPr="007A1075" w:rsidRDefault="002618D3" w:rsidP="00800D89">
                        <w:pPr>
                          <w:pStyle w:val="TableText"/>
                          <w:cnfStyle w:val="000000100000" w:firstRow="0" w:lastRow="0" w:firstColumn="0" w:lastColumn="0" w:oddVBand="0" w:evenVBand="0" w:oddHBand="1" w:evenHBand="0" w:firstRowFirstColumn="0" w:firstRowLastColumn="0" w:lastRowFirstColumn="0" w:lastRowLastColumn="0"/>
                        </w:pPr>
                        <w:r w:rsidRPr="007A1075">
                          <w:t>11</w:t>
                        </w:r>
                        <w:r>
                          <w:t>,</w:t>
                        </w:r>
                        <w:r w:rsidRPr="007A1075">
                          <w:t>710</w:t>
                        </w:r>
                      </w:p>
                    </w:tc>
                    <w:tc>
                      <w:tcPr>
                        <w:tcW w:w="1027" w:type="dxa"/>
                        <w:tcBorders>
                          <w:top w:val="none" w:sz="0" w:space="0" w:color="auto"/>
                          <w:bottom w:val="none" w:sz="0" w:space="0" w:color="auto"/>
                        </w:tcBorders>
                        <w:noWrap/>
                        <w:hideMark/>
                      </w:tcPr>
                      <w:p w14:paraId="1BEDA73A" w14:textId="77777777" w:rsidR="002618D3" w:rsidRPr="007A1075" w:rsidRDefault="002618D3" w:rsidP="00800D89">
                        <w:pPr>
                          <w:pStyle w:val="TableText"/>
                          <w:cnfStyle w:val="000000100000" w:firstRow="0" w:lastRow="0" w:firstColumn="0" w:lastColumn="0" w:oddVBand="0" w:evenVBand="0" w:oddHBand="1" w:evenHBand="0" w:firstRowFirstColumn="0" w:firstRowLastColumn="0" w:lastRowFirstColumn="0" w:lastRowLastColumn="0"/>
                        </w:pPr>
                        <w:r w:rsidRPr="007A1075">
                          <w:t>&lt;.001</w:t>
                        </w:r>
                      </w:p>
                    </w:tc>
                    <w:tc>
                      <w:tcPr>
                        <w:tcW w:w="1669" w:type="dxa"/>
                        <w:tcBorders>
                          <w:top w:val="none" w:sz="0" w:space="0" w:color="auto"/>
                          <w:bottom w:val="none" w:sz="0" w:space="0" w:color="auto"/>
                        </w:tcBorders>
                        <w:noWrap/>
                        <w:hideMark/>
                      </w:tcPr>
                      <w:p w14:paraId="073512C6" w14:textId="03803C51" w:rsidR="002618D3" w:rsidRPr="007A1075" w:rsidRDefault="002618D3" w:rsidP="00800D89">
                        <w:pPr>
                          <w:pStyle w:val="TableText"/>
                          <w:cnfStyle w:val="000000100000" w:firstRow="0" w:lastRow="0" w:firstColumn="0" w:lastColumn="0" w:oddVBand="0" w:evenVBand="0" w:oddHBand="1" w:evenHBand="0" w:firstRowFirstColumn="0" w:firstRowLastColumn="0" w:lastRowFirstColumn="0" w:lastRowLastColumn="0"/>
                        </w:pPr>
                        <w:r w:rsidRPr="007A1075">
                          <w:t>59.0% (n=6</w:t>
                        </w:r>
                        <w:r>
                          <w:t>,</w:t>
                        </w:r>
                        <w:r w:rsidRPr="007A1075">
                          <w:t>910)</w:t>
                        </w:r>
                      </w:p>
                    </w:tc>
                  </w:tr>
                  <w:tr w:rsidR="00F3116F" w:rsidRPr="007A1075" w14:paraId="59E41F3A" w14:textId="77777777" w:rsidTr="00520E3A">
                    <w:trPr>
                      <w:trHeight w:val="291"/>
                    </w:trPr>
                    <w:tc>
                      <w:tcPr>
                        <w:cnfStyle w:val="001000000000" w:firstRow="0" w:lastRow="0" w:firstColumn="1" w:lastColumn="0" w:oddVBand="0" w:evenVBand="0" w:oddHBand="0" w:evenHBand="0" w:firstRowFirstColumn="0" w:firstRowLastColumn="0" w:lastRowFirstColumn="0" w:lastRowLastColumn="0"/>
                        <w:tcW w:w="1325" w:type="dxa"/>
                        <w:vMerge/>
                        <w:tcBorders>
                          <w:right w:val="none" w:sz="0" w:space="0" w:color="auto"/>
                        </w:tcBorders>
                        <w:hideMark/>
                      </w:tcPr>
                      <w:p w14:paraId="063FE719" w14:textId="77777777" w:rsidR="002618D3" w:rsidRPr="007A1075" w:rsidRDefault="002618D3" w:rsidP="00800D89">
                        <w:pPr>
                          <w:pStyle w:val="TableText"/>
                        </w:pPr>
                      </w:p>
                    </w:tc>
                    <w:tc>
                      <w:tcPr>
                        <w:tcW w:w="1402" w:type="dxa"/>
                        <w:vMerge/>
                        <w:hideMark/>
                      </w:tcPr>
                      <w:p w14:paraId="5C91620D" w14:textId="77777777" w:rsidR="002618D3" w:rsidRPr="00321BC5" w:rsidRDefault="002618D3" w:rsidP="00800D89">
                        <w:pPr>
                          <w:pStyle w:val="TableText"/>
                          <w:cnfStyle w:val="000000000000" w:firstRow="0" w:lastRow="0" w:firstColumn="0" w:lastColumn="0" w:oddVBand="0" w:evenVBand="0" w:oddHBand="0" w:evenHBand="0" w:firstRowFirstColumn="0" w:firstRowLastColumn="0" w:lastRowFirstColumn="0" w:lastRowLastColumn="0"/>
                        </w:pPr>
                      </w:p>
                    </w:tc>
                    <w:tc>
                      <w:tcPr>
                        <w:tcW w:w="2151" w:type="dxa"/>
                        <w:vMerge/>
                        <w:hideMark/>
                      </w:tcPr>
                      <w:p w14:paraId="506B80DC" w14:textId="77777777" w:rsidR="002618D3" w:rsidRPr="00321BC5" w:rsidRDefault="002618D3" w:rsidP="00800D89">
                        <w:pPr>
                          <w:pStyle w:val="TableText"/>
                          <w:cnfStyle w:val="000000000000" w:firstRow="0" w:lastRow="0" w:firstColumn="0" w:lastColumn="0" w:oddVBand="0" w:evenVBand="0" w:oddHBand="0" w:evenHBand="0" w:firstRowFirstColumn="0" w:firstRowLastColumn="0" w:lastRowFirstColumn="0" w:lastRowLastColumn="0"/>
                        </w:pPr>
                      </w:p>
                    </w:tc>
                    <w:tc>
                      <w:tcPr>
                        <w:tcW w:w="2182" w:type="dxa"/>
                        <w:noWrap/>
                        <w:hideMark/>
                      </w:tcPr>
                      <w:p w14:paraId="473B6697" w14:textId="77777777" w:rsidR="002618D3" w:rsidRPr="00321BC5" w:rsidRDefault="002618D3" w:rsidP="00800D89">
                        <w:pPr>
                          <w:pStyle w:val="TableText"/>
                          <w:cnfStyle w:val="000000000000" w:firstRow="0" w:lastRow="0" w:firstColumn="0" w:lastColumn="0" w:oddVBand="0" w:evenVBand="0" w:oddHBand="0" w:evenHBand="0" w:firstRowFirstColumn="0" w:firstRowLastColumn="0" w:lastRowFirstColumn="0" w:lastRowLastColumn="0"/>
                        </w:pPr>
                        <w:r w:rsidRPr="00321BC5">
                          <w:t>Changed skills</w:t>
                        </w:r>
                      </w:p>
                    </w:tc>
                    <w:tc>
                      <w:tcPr>
                        <w:tcW w:w="1310" w:type="dxa"/>
                        <w:noWrap/>
                        <w:hideMark/>
                      </w:tcPr>
                      <w:p w14:paraId="4CDB938F" w14:textId="77777777" w:rsidR="002618D3" w:rsidRPr="007A1075" w:rsidRDefault="002618D3" w:rsidP="00800D89">
                        <w:pPr>
                          <w:pStyle w:val="TableText"/>
                          <w:cnfStyle w:val="000000000000" w:firstRow="0" w:lastRow="0" w:firstColumn="0" w:lastColumn="0" w:oddVBand="0" w:evenVBand="0" w:oddHBand="0" w:evenHBand="0" w:firstRowFirstColumn="0" w:firstRowLastColumn="0" w:lastRowFirstColumn="0" w:lastRowLastColumn="0"/>
                        </w:pPr>
                        <w:r w:rsidRPr="007A1075">
                          <w:t>0.91</w:t>
                        </w:r>
                      </w:p>
                    </w:tc>
                    <w:tc>
                      <w:tcPr>
                        <w:tcW w:w="1784" w:type="dxa"/>
                        <w:noWrap/>
                        <w:hideMark/>
                      </w:tcPr>
                      <w:p w14:paraId="1EB8B396" w14:textId="77777777" w:rsidR="002618D3" w:rsidRPr="007A1075" w:rsidRDefault="002618D3" w:rsidP="00800D89">
                        <w:pPr>
                          <w:pStyle w:val="TableText"/>
                          <w:cnfStyle w:val="000000000000" w:firstRow="0" w:lastRow="0" w:firstColumn="0" w:lastColumn="0" w:oddVBand="0" w:evenVBand="0" w:oddHBand="0" w:evenHBand="0" w:firstRowFirstColumn="0" w:firstRowLastColumn="0" w:lastRowFirstColumn="0" w:lastRowLastColumn="0"/>
                        </w:pPr>
                        <w:r w:rsidRPr="007A1075">
                          <w:t>7872701</w:t>
                        </w:r>
                      </w:p>
                    </w:tc>
                    <w:tc>
                      <w:tcPr>
                        <w:tcW w:w="1172" w:type="dxa"/>
                        <w:noWrap/>
                        <w:hideMark/>
                      </w:tcPr>
                      <w:p w14:paraId="2ECE44C7" w14:textId="34E5B847" w:rsidR="002618D3" w:rsidRPr="007A1075" w:rsidRDefault="002618D3" w:rsidP="00800D89">
                        <w:pPr>
                          <w:pStyle w:val="TableText"/>
                          <w:cnfStyle w:val="000000000000" w:firstRow="0" w:lastRow="0" w:firstColumn="0" w:lastColumn="0" w:oddVBand="0" w:evenVBand="0" w:oddHBand="0" w:evenHBand="0" w:firstRowFirstColumn="0" w:firstRowLastColumn="0" w:lastRowFirstColumn="0" w:lastRowLastColumn="0"/>
                        </w:pPr>
                        <w:r w:rsidRPr="007A1075">
                          <w:t>12</w:t>
                        </w:r>
                        <w:r>
                          <w:t>,</w:t>
                        </w:r>
                        <w:r w:rsidRPr="007A1075">
                          <w:t>700</w:t>
                        </w:r>
                      </w:p>
                    </w:tc>
                    <w:tc>
                      <w:tcPr>
                        <w:tcW w:w="1027" w:type="dxa"/>
                        <w:noWrap/>
                        <w:hideMark/>
                      </w:tcPr>
                      <w:p w14:paraId="3A31647A" w14:textId="77777777" w:rsidR="002618D3" w:rsidRPr="007A1075" w:rsidRDefault="002618D3" w:rsidP="00800D89">
                        <w:pPr>
                          <w:pStyle w:val="TableText"/>
                          <w:cnfStyle w:val="000000000000" w:firstRow="0" w:lastRow="0" w:firstColumn="0" w:lastColumn="0" w:oddVBand="0" w:evenVBand="0" w:oddHBand="0" w:evenHBand="0" w:firstRowFirstColumn="0" w:firstRowLastColumn="0" w:lastRowFirstColumn="0" w:lastRowLastColumn="0"/>
                        </w:pPr>
                        <w:r w:rsidRPr="007A1075">
                          <w:t>&lt;.001</w:t>
                        </w:r>
                      </w:p>
                    </w:tc>
                    <w:tc>
                      <w:tcPr>
                        <w:tcW w:w="1669" w:type="dxa"/>
                        <w:noWrap/>
                        <w:hideMark/>
                      </w:tcPr>
                      <w:p w14:paraId="13E88287" w14:textId="30F4B026" w:rsidR="002618D3" w:rsidRPr="007A1075" w:rsidRDefault="002618D3" w:rsidP="00800D89">
                        <w:pPr>
                          <w:pStyle w:val="TableText"/>
                          <w:cnfStyle w:val="000000000000" w:firstRow="0" w:lastRow="0" w:firstColumn="0" w:lastColumn="0" w:oddVBand="0" w:evenVBand="0" w:oddHBand="0" w:evenHBand="0" w:firstRowFirstColumn="0" w:firstRowLastColumn="0" w:lastRowFirstColumn="0" w:lastRowLastColumn="0"/>
                        </w:pPr>
                        <w:r w:rsidRPr="007A1075">
                          <w:t>60.3% (n=7</w:t>
                        </w:r>
                        <w:r>
                          <w:t>,</w:t>
                        </w:r>
                        <w:r w:rsidRPr="007A1075">
                          <w:t>656)</w:t>
                        </w:r>
                      </w:p>
                    </w:tc>
                  </w:tr>
                  <w:tr w:rsidR="00F3116F" w:rsidRPr="007A1075" w14:paraId="72C70B9F" w14:textId="77777777" w:rsidTr="00520E3A">
                    <w:trPr>
                      <w:cnfStyle w:val="000000100000" w:firstRow="0" w:lastRow="0" w:firstColumn="0" w:lastColumn="0" w:oddVBand="0" w:evenVBand="0" w:oddHBand="1" w:evenHBand="0" w:firstRowFirstColumn="0" w:firstRowLastColumn="0" w:lastRowFirstColumn="0" w:lastRowLastColumn="0"/>
                      <w:trHeight w:val="291"/>
                    </w:trPr>
                    <w:tc>
                      <w:tcPr>
                        <w:cnfStyle w:val="001000000000" w:firstRow="0" w:lastRow="0" w:firstColumn="1" w:lastColumn="0" w:oddVBand="0" w:evenVBand="0" w:oddHBand="0" w:evenHBand="0" w:firstRowFirstColumn="0" w:firstRowLastColumn="0" w:lastRowFirstColumn="0" w:lastRowLastColumn="0"/>
                        <w:tcW w:w="1325" w:type="dxa"/>
                        <w:vMerge/>
                        <w:tcBorders>
                          <w:top w:val="none" w:sz="0" w:space="0" w:color="auto"/>
                          <w:bottom w:val="none" w:sz="0" w:space="0" w:color="auto"/>
                          <w:right w:val="none" w:sz="0" w:space="0" w:color="auto"/>
                        </w:tcBorders>
                        <w:hideMark/>
                      </w:tcPr>
                      <w:p w14:paraId="1F8ED807" w14:textId="77777777" w:rsidR="002618D3" w:rsidRPr="007A1075" w:rsidRDefault="002618D3" w:rsidP="00800D89">
                        <w:pPr>
                          <w:pStyle w:val="TableText"/>
                        </w:pPr>
                      </w:p>
                    </w:tc>
                    <w:tc>
                      <w:tcPr>
                        <w:tcW w:w="1402" w:type="dxa"/>
                        <w:vMerge/>
                        <w:tcBorders>
                          <w:top w:val="none" w:sz="0" w:space="0" w:color="auto"/>
                          <w:bottom w:val="none" w:sz="0" w:space="0" w:color="auto"/>
                        </w:tcBorders>
                        <w:hideMark/>
                      </w:tcPr>
                      <w:p w14:paraId="460243DB" w14:textId="77777777" w:rsidR="002618D3" w:rsidRPr="00321BC5" w:rsidRDefault="002618D3" w:rsidP="00800D89">
                        <w:pPr>
                          <w:pStyle w:val="TableText"/>
                          <w:cnfStyle w:val="000000100000" w:firstRow="0" w:lastRow="0" w:firstColumn="0" w:lastColumn="0" w:oddVBand="0" w:evenVBand="0" w:oddHBand="1" w:evenHBand="0" w:firstRowFirstColumn="0" w:firstRowLastColumn="0" w:lastRowFirstColumn="0" w:lastRowLastColumn="0"/>
                        </w:pPr>
                      </w:p>
                    </w:tc>
                    <w:tc>
                      <w:tcPr>
                        <w:tcW w:w="2151" w:type="dxa"/>
                        <w:vMerge/>
                        <w:tcBorders>
                          <w:top w:val="none" w:sz="0" w:space="0" w:color="auto"/>
                          <w:bottom w:val="none" w:sz="0" w:space="0" w:color="auto"/>
                        </w:tcBorders>
                        <w:hideMark/>
                      </w:tcPr>
                      <w:p w14:paraId="5FF2150E" w14:textId="77777777" w:rsidR="002618D3" w:rsidRPr="00321BC5" w:rsidRDefault="002618D3" w:rsidP="00800D89">
                        <w:pPr>
                          <w:pStyle w:val="TableText"/>
                          <w:cnfStyle w:val="000000100000" w:firstRow="0" w:lastRow="0" w:firstColumn="0" w:lastColumn="0" w:oddVBand="0" w:evenVBand="0" w:oddHBand="1" w:evenHBand="0" w:firstRowFirstColumn="0" w:firstRowLastColumn="0" w:lastRowFirstColumn="0" w:lastRowLastColumn="0"/>
                        </w:pPr>
                      </w:p>
                    </w:tc>
                    <w:tc>
                      <w:tcPr>
                        <w:tcW w:w="2182" w:type="dxa"/>
                        <w:tcBorders>
                          <w:top w:val="none" w:sz="0" w:space="0" w:color="auto"/>
                          <w:bottom w:val="none" w:sz="0" w:space="0" w:color="auto"/>
                        </w:tcBorders>
                        <w:noWrap/>
                        <w:hideMark/>
                      </w:tcPr>
                      <w:p w14:paraId="651E9486" w14:textId="77777777" w:rsidR="002618D3" w:rsidRPr="00321BC5" w:rsidRDefault="002618D3" w:rsidP="00800D89">
                        <w:pPr>
                          <w:pStyle w:val="TableText"/>
                          <w:cnfStyle w:val="000000100000" w:firstRow="0" w:lastRow="0" w:firstColumn="0" w:lastColumn="0" w:oddVBand="0" w:evenVBand="0" w:oddHBand="1" w:evenHBand="0" w:firstRowFirstColumn="0" w:firstRowLastColumn="0" w:lastRowFirstColumn="0" w:lastRowLastColumn="0"/>
                        </w:pPr>
                        <w:r w:rsidRPr="00321BC5">
                          <w:rPr>
                            <w:lang w:val="en-NZ"/>
                          </w:rPr>
                          <w:t>Empowerment, choice and control to make own decisions</w:t>
                        </w:r>
                      </w:p>
                    </w:tc>
                    <w:tc>
                      <w:tcPr>
                        <w:tcW w:w="1310" w:type="dxa"/>
                        <w:tcBorders>
                          <w:top w:val="none" w:sz="0" w:space="0" w:color="auto"/>
                          <w:bottom w:val="none" w:sz="0" w:space="0" w:color="auto"/>
                        </w:tcBorders>
                        <w:noWrap/>
                        <w:hideMark/>
                      </w:tcPr>
                      <w:p w14:paraId="6134BBBC" w14:textId="77777777" w:rsidR="002618D3" w:rsidRPr="007A1075" w:rsidRDefault="002618D3" w:rsidP="00800D89">
                        <w:pPr>
                          <w:pStyle w:val="TableText"/>
                          <w:cnfStyle w:val="000000100000" w:firstRow="0" w:lastRow="0" w:firstColumn="0" w:lastColumn="0" w:oddVBand="0" w:evenVBand="0" w:oddHBand="1" w:evenHBand="0" w:firstRowFirstColumn="0" w:firstRowLastColumn="0" w:lastRowFirstColumn="0" w:lastRowLastColumn="0"/>
                        </w:pPr>
                        <w:r w:rsidRPr="007A1075">
                          <w:t>0.86</w:t>
                        </w:r>
                      </w:p>
                    </w:tc>
                    <w:tc>
                      <w:tcPr>
                        <w:tcW w:w="1784" w:type="dxa"/>
                        <w:tcBorders>
                          <w:top w:val="none" w:sz="0" w:space="0" w:color="auto"/>
                          <w:bottom w:val="none" w:sz="0" w:space="0" w:color="auto"/>
                        </w:tcBorders>
                        <w:noWrap/>
                        <w:hideMark/>
                      </w:tcPr>
                      <w:p w14:paraId="3F12FA15" w14:textId="77777777" w:rsidR="002618D3" w:rsidRPr="007A1075" w:rsidRDefault="002618D3" w:rsidP="00800D89">
                        <w:pPr>
                          <w:pStyle w:val="TableText"/>
                          <w:cnfStyle w:val="000000100000" w:firstRow="0" w:lastRow="0" w:firstColumn="0" w:lastColumn="0" w:oddVBand="0" w:evenVBand="0" w:oddHBand="1" w:evenHBand="0" w:firstRowFirstColumn="0" w:firstRowLastColumn="0" w:lastRowFirstColumn="0" w:lastRowLastColumn="0"/>
                        </w:pPr>
                        <w:r w:rsidRPr="007A1075">
                          <w:t>6121886</w:t>
                        </w:r>
                      </w:p>
                    </w:tc>
                    <w:tc>
                      <w:tcPr>
                        <w:tcW w:w="1172" w:type="dxa"/>
                        <w:tcBorders>
                          <w:top w:val="none" w:sz="0" w:space="0" w:color="auto"/>
                          <w:bottom w:val="none" w:sz="0" w:space="0" w:color="auto"/>
                        </w:tcBorders>
                        <w:noWrap/>
                        <w:hideMark/>
                      </w:tcPr>
                      <w:p w14:paraId="5610C8DA" w14:textId="1EABF5B1" w:rsidR="002618D3" w:rsidRPr="007A1075" w:rsidRDefault="002618D3" w:rsidP="00800D89">
                        <w:pPr>
                          <w:pStyle w:val="TableText"/>
                          <w:cnfStyle w:val="000000100000" w:firstRow="0" w:lastRow="0" w:firstColumn="0" w:lastColumn="0" w:oddVBand="0" w:evenVBand="0" w:oddHBand="1" w:evenHBand="0" w:firstRowFirstColumn="0" w:firstRowLastColumn="0" w:lastRowFirstColumn="0" w:lastRowLastColumn="0"/>
                        </w:pPr>
                        <w:r w:rsidRPr="007A1075">
                          <w:t>9</w:t>
                        </w:r>
                        <w:r>
                          <w:t>,</w:t>
                        </w:r>
                        <w:r w:rsidRPr="007A1075">
                          <w:t>965</w:t>
                        </w:r>
                      </w:p>
                    </w:tc>
                    <w:tc>
                      <w:tcPr>
                        <w:tcW w:w="1027" w:type="dxa"/>
                        <w:tcBorders>
                          <w:top w:val="none" w:sz="0" w:space="0" w:color="auto"/>
                          <w:bottom w:val="none" w:sz="0" w:space="0" w:color="auto"/>
                        </w:tcBorders>
                        <w:noWrap/>
                        <w:hideMark/>
                      </w:tcPr>
                      <w:p w14:paraId="5CF62923" w14:textId="77777777" w:rsidR="002618D3" w:rsidRPr="007A1075" w:rsidRDefault="002618D3" w:rsidP="00800D89">
                        <w:pPr>
                          <w:pStyle w:val="TableText"/>
                          <w:cnfStyle w:val="000000100000" w:firstRow="0" w:lastRow="0" w:firstColumn="0" w:lastColumn="0" w:oddVBand="0" w:evenVBand="0" w:oddHBand="1" w:evenHBand="0" w:firstRowFirstColumn="0" w:firstRowLastColumn="0" w:lastRowFirstColumn="0" w:lastRowLastColumn="0"/>
                        </w:pPr>
                        <w:r w:rsidRPr="007A1075">
                          <w:t>&lt;.001</w:t>
                        </w:r>
                      </w:p>
                    </w:tc>
                    <w:tc>
                      <w:tcPr>
                        <w:tcW w:w="1669" w:type="dxa"/>
                        <w:tcBorders>
                          <w:top w:val="none" w:sz="0" w:space="0" w:color="auto"/>
                          <w:bottom w:val="none" w:sz="0" w:space="0" w:color="auto"/>
                        </w:tcBorders>
                        <w:noWrap/>
                        <w:hideMark/>
                      </w:tcPr>
                      <w:p w14:paraId="6A950AAA" w14:textId="3A194711" w:rsidR="002618D3" w:rsidRPr="007A1075" w:rsidRDefault="002618D3" w:rsidP="00800D89">
                        <w:pPr>
                          <w:pStyle w:val="TableText"/>
                          <w:cnfStyle w:val="000000100000" w:firstRow="0" w:lastRow="0" w:firstColumn="0" w:lastColumn="0" w:oddVBand="0" w:evenVBand="0" w:oddHBand="1" w:evenHBand="0" w:firstRowFirstColumn="0" w:firstRowLastColumn="0" w:lastRowFirstColumn="0" w:lastRowLastColumn="0"/>
                        </w:pPr>
                        <w:r w:rsidRPr="007A1075">
                          <w:t>60.0% (n=5</w:t>
                        </w:r>
                        <w:r>
                          <w:t>,</w:t>
                        </w:r>
                        <w:r w:rsidRPr="007A1075">
                          <w:t>979)</w:t>
                        </w:r>
                      </w:p>
                    </w:tc>
                  </w:tr>
                  <w:tr w:rsidR="00F3116F" w:rsidRPr="007A1075" w14:paraId="022E7966" w14:textId="77777777" w:rsidTr="00520E3A">
                    <w:trPr>
                      <w:trHeight w:val="291"/>
                    </w:trPr>
                    <w:tc>
                      <w:tcPr>
                        <w:cnfStyle w:val="001000000000" w:firstRow="0" w:lastRow="0" w:firstColumn="1" w:lastColumn="0" w:oddVBand="0" w:evenVBand="0" w:oddHBand="0" w:evenHBand="0" w:firstRowFirstColumn="0" w:firstRowLastColumn="0" w:lastRowFirstColumn="0" w:lastRowLastColumn="0"/>
                        <w:tcW w:w="1325" w:type="dxa"/>
                        <w:vMerge/>
                        <w:tcBorders>
                          <w:right w:val="none" w:sz="0" w:space="0" w:color="auto"/>
                        </w:tcBorders>
                        <w:hideMark/>
                      </w:tcPr>
                      <w:p w14:paraId="5915DA3B" w14:textId="77777777" w:rsidR="002618D3" w:rsidRPr="007A1075" w:rsidRDefault="002618D3" w:rsidP="00800D89">
                        <w:pPr>
                          <w:pStyle w:val="TableText"/>
                        </w:pPr>
                      </w:p>
                    </w:tc>
                    <w:tc>
                      <w:tcPr>
                        <w:tcW w:w="1402" w:type="dxa"/>
                        <w:vMerge/>
                        <w:hideMark/>
                      </w:tcPr>
                      <w:p w14:paraId="3661F2DC" w14:textId="77777777" w:rsidR="002618D3" w:rsidRPr="00321BC5" w:rsidRDefault="002618D3" w:rsidP="00800D89">
                        <w:pPr>
                          <w:pStyle w:val="TableText"/>
                          <w:cnfStyle w:val="000000000000" w:firstRow="0" w:lastRow="0" w:firstColumn="0" w:lastColumn="0" w:oddVBand="0" w:evenVBand="0" w:oddHBand="0" w:evenHBand="0" w:firstRowFirstColumn="0" w:firstRowLastColumn="0" w:lastRowFirstColumn="0" w:lastRowLastColumn="0"/>
                        </w:pPr>
                      </w:p>
                    </w:tc>
                    <w:tc>
                      <w:tcPr>
                        <w:tcW w:w="2151" w:type="dxa"/>
                        <w:vMerge/>
                        <w:hideMark/>
                      </w:tcPr>
                      <w:p w14:paraId="66AEAB33" w14:textId="77777777" w:rsidR="002618D3" w:rsidRPr="00321BC5" w:rsidRDefault="002618D3" w:rsidP="00800D89">
                        <w:pPr>
                          <w:pStyle w:val="TableText"/>
                          <w:cnfStyle w:val="000000000000" w:firstRow="0" w:lastRow="0" w:firstColumn="0" w:lastColumn="0" w:oddVBand="0" w:evenVBand="0" w:oddHBand="0" w:evenHBand="0" w:firstRowFirstColumn="0" w:firstRowLastColumn="0" w:lastRowFirstColumn="0" w:lastRowLastColumn="0"/>
                        </w:pPr>
                      </w:p>
                    </w:tc>
                    <w:tc>
                      <w:tcPr>
                        <w:tcW w:w="2182" w:type="dxa"/>
                        <w:noWrap/>
                        <w:hideMark/>
                      </w:tcPr>
                      <w:p w14:paraId="55EAB617" w14:textId="77777777" w:rsidR="002618D3" w:rsidRPr="00321BC5" w:rsidRDefault="002618D3" w:rsidP="00800D89">
                        <w:pPr>
                          <w:pStyle w:val="TableText"/>
                          <w:cnfStyle w:val="000000000000" w:firstRow="0" w:lastRow="0" w:firstColumn="0" w:lastColumn="0" w:oddVBand="0" w:evenVBand="0" w:oddHBand="0" w:evenHBand="0" w:firstRowFirstColumn="0" w:firstRowLastColumn="0" w:lastRowFirstColumn="0" w:lastRowLastColumn="0"/>
                        </w:pPr>
                        <w:r w:rsidRPr="00321BC5">
                          <w:t>Engagement with relevant support services</w:t>
                        </w:r>
                      </w:p>
                    </w:tc>
                    <w:tc>
                      <w:tcPr>
                        <w:tcW w:w="1310" w:type="dxa"/>
                        <w:noWrap/>
                        <w:hideMark/>
                      </w:tcPr>
                      <w:p w14:paraId="28588625" w14:textId="77777777" w:rsidR="002618D3" w:rsidRPr="007A1075" w:rsidRDefault="002618D3" w:rsidP="00800D89">
                        <w:pPr>
                          <w:pStyle w:val="TableText"/>
                          <w:cnfStyle w:val="000000000000" w:firstRow="0" w:lastRow="0" w:firstColumn="0" w:lastColumn="0" w:oddVBand="0" w:evenVBand="0" w:oddHBand="0" w:evenHBand="0" w:firstRowFirstColumn="0" w:firstRowLastColumn="0" w:lastRowFirstColumn="0" w:lastRowLastColumn="0"/>
                        </w:pPr>
                        <w:r w:rsidRPr="007A1075">
                          <w:t>0.71</w:t>
                        </w:r>
                      </w:p>
                    </w:tc>
                    <w:tc>
                      <w:tcPr>
                        <w:tcW w:w="1784" w:type="dxa"/>
                        <w:noWrap/>
                        <w:hideMark/>
                      </w:tcPr>
                      <w:p w14:paraId="671F0198" w14:textId="77777777" w:rsidR="002618D3" w:rsidRPr="007A1075" w:rsidRDefault="002618D3" w:rsidP="00800D89">
                        <w:pPr>
                          <w:pStyle w:val="TableText"/>
                          <w:cnfStyle w:val="000000000000" w:firstRow="0" w:lastRow="0" w:firstColumn="0" w:lastColumn="0" w:oddVBand="0" w:evenVBand="0" w:oddHBand="0" w:evenHBand="0" w:firstRowFirstColumn="0" w:firstRowLastColumn="0" w:lastRowFirstColumn="0" w:lastRowLastColumn="0"/>
                        </w:pPr>
                        <w:r w:rsidRPr="007A1075">
                          <w:t>5840973.5</w:t>
                        </w:r>
                      </w:p>
                    </w:tc>
                    <w:tc>
                      <w:tcPr>
                        <w:tcW w:w="1172" w:type="dxa"/>
                        <w:noWrap/>
                        <w:hideMark/>
                      </w:tcPr>
                      <w:p w14:paraId="2B8D215A" w14:textId="547C5295" w:rsidR="002618D3" w:rsidRPr="007A1075" w:rsidRDefault="002618D3" w:rsidP="00800D89">
                        <w:pPr>
                          <w:pStyle w:val="TableText"/>
                          <w:cnfStyle w:val="000000000000" w:firstRow="0" w:lastRow="0" w:firstColumn="0" w:lastColumn="0" w:oddVBand="0" w:evenVBand="0" w:oddHBand="0" w:evenHBand="0" w:firstRowFirstColumn="0" w:firstRowLastColumn="0" w:lastRowFirstColumn="0" w:lastRowLastColumn="0"/>
                        </w:pPr>
                        <w:r w:rsidRPr="007A1075">
                          <w:t>8</w:t>
                        </w:r>
                        <w:r>
                          <w:t>,</w:t>
                        </w:r>
                        <w:r w:rsidRPr="007A1075">
                          <w:t>724</w:t>
                        </w:r>
                      </w:p>
                    </w:tc>
                    <w:tc>
                      <w:tcPr>
                        <w:tcW w:w="1027" w:type="dxa"/>
                        <w:noWrap/>
                        <w:hideMark/>
                      </w:tcPr>
                      <w:p w14:paraId="60453A35" w14:textId="77777777" w:rsidR="002618D3" w:rsidRPr="007A1075" w:rsidRDefault="002618D3" w:rsidP="00800D89">
                        <w:pPr>
                          <w:pStyle w:val="TableText"/>
                          <w:cnfStyle w:val="000000000000" w:firstRow="0" w:lastRow="0" w:firstColumn="0" w:lastColumn="0" w:oddVBand="0" w:evenVBand="0" w:oddHBand="0" w:evenHBand="0" w:firstRowFirstColumn="0" w:firstRowLastColumn="0" w:lastRowFirstColumn="0" w:lastRowLastColumn="0"/>
                        </w:pPr>
                        <w:r w:rsidRPr="007A1075">
                          <w:t>&lt;.001</w:t>
                        </w:r>
                      </w:p>
                    </w:tc>
                    <w:tc>
                      <w:tcPr>
                        <w:tcW w:w="1669" w:type="dxa"/>
                        <w:noWrap/>
                        <w:hideMark/>
                      </w:tcPr>
                      <w:p w14:paraId="5AD6EC27" w14:textId="5B7BBDB8" w:rsidR="002618D3" w:rsidRPr="007A1075" w:rsidRDefault="002618D3" w:rsidP="00800D89">
                        <w:pPr>
                          <w:pStyle w:val="TableText"/>
                          <w:cnfStyle w:val="000000000000" w:firstRow="0" w:lastRow="0" w:firstColumn="0" w:lastColumn="0" w:oddVBand="0" w:evenVBand="0" w:oddHBand="0" w:evenHBand="0" w:firstRowFirstColumn="0" w:firstRowLastColumn="0" w:lastRowFirstColumn="0" w:lastRowLastColumn="0"/>
                        </w:pPr>
                        <w:r w:rsidRPr="007A1075">
                          <w:t>53.5% (n=4</w:t>
                        </w:r>
                        <w:r>
                          <w:t>,</w:t>
                        </w:r>
                        <w:r w:rsidRPr="007A1075">
                          <w:t>671)</w:t>
                        </w:r>
                      </w:p>
                    </w:tc>
                  </w:tr>
                  <w:tr w:rsidR="00F3116F" w:rsidRPr="007A1075" w14:paraId="69364713" w14:textId="77777777" w:rsidTr="00520E3A">
                    <w:trPr>
                      <w:cnfStyle w:val="000000100000" w:firstRow="0" w:lastRow="0" w:firstColumn="0" w:lastColumn="0" w:oddVBand="0" w:evenVBand="0" w:oddHBand="1" w:evenHBand="0" w:firstRowFirstColumn="0" w:firstRowLastColumn="0" w:lastRowFirstColumn="0" w:lastRowLastColumn="0"/>
                      <w:trHeight w:val="291"/>
                    </w:trPr>
                    <w:tc>
                      <w:tcPr>
                        <w:cnfStyle w:val="001000000000" w:firstRow="0" w:lastRow="0" w:firstColumn="1" w:lastColumn="0" w:oddVBand="0" w:evenVBand="0" w:oddHBand="0" w:evenHBand="0" w:firstRowFirstColumn="0" w:firstRowLastColumn="0" w:lastRowFirstColumn="0" w:lastRowLastColumn="0"/>
                        <w:tcW w:w="1325" w:type="dxa"/>
                        <w:vMerge/>
                        <w:tcBorders>
                          <w:top w:val="none" w:sz="0" w:space="0" w:color="auto"/>
                          <w:bottom w:val="none" w:sz="0" w:space="0" w:color="auto"/>
                          <w:right w:val="none" w:sz="0" w:space="0" w:color="auto"/>
                        </w:tcBorders>
                        <w:hideMark/>
                      </w:tcPr>
                      <w:p w14:paraId="4BF400BE" w14:textId="77777777" w:rsidR="002618D3" w:rsidRPr="007A1075" w:rsidRDefault="002618D3" w:rsidP="00800D89">
                        <w:pPr>
                          <w:pStyle w:val="TableText"/>
                        </w:pPr>
                      </w:p>
                    </w:tc>
                    <w:tc>
                      <w:tcPr>
                        <w:tcW w:w="1402" w:type="dxa"/>
                        <w:vMerge w:val="restart"/>
                        <w:tcBorders>
                          <w:top w:val="none" w:sz="0" w:space="0" w:color="auto"/>
                          <w:bottom w:val="none" w:sz="0" w:space="0" w:color="auto"/>
                        </w:tcBorders>
                        <w:hideMark/>
                      </w:tcPr>
                      <w:p w14:paraId="6ACD45D3" w14:textId="77777777" w:rsidR="002618D3" w:rsidRPr="00321BC5" w:rsidRDefault="002618D3" w:rsidP="00800D89">
                        <w:pPr>
                          <w:pStyle w:val="TableText"/>
                          <w:cnfStyle w:val="000000100000" w:firstRow="0" w:lastRow="0" w:firstColumn="0" w:lastColumn="0" w:oddVBand="0" w:evenVBand="0" w:oddHBand="1" w:evenHBand="0" w:firstRowFirstColumn="0" w:firstRowLastColumn="0" w:lastRowFirstColumn="0" w:lastRowLastColumn="0"/>
                        </w:pPr>
                        <w:r w:rsidRPr="00321BC5">
                          <w:t>Virtual</w:t>
                        </w:r>
                      </w:p>
                    </w:tc>
                    <w:tc>
                      <w:tcPr>
                        <w:tcW w:w="2151" w:type="dxa"/>
                        <w:vMerge w:val="restart"/>
                        <w:tcBorders>
                          <w:top w:val="none" w:sz="0" w:space="0" w:color="auto"/>
                          <w:bottom w:val="none" w:sz="0" w:space="0" w:color="auto"/>
                        </w:tcBorders>
                        <w:hideMark/>
                      </w:tcPr>
                      <w:p w14:paraId="5FFCA776" w14:textId="77777777" w:rsidR="002618D3" w:rsidRPr="00321BC5" w:rsidRDefault="002618D3" w:rsidP="00800D89">
                        <w:pPr>
                          <w:pStyle w:val="TableText"/>
                          <w:cnfStyle w:val="000000100000" w:firstRow="0" w:lastRow="0" w:firstColumn="0" w:lastColumn="0" w:oddVBand="0" w:evenVBand="0" w:oddHBand="1" w:evenHBand="0" w:firstRowFirstColumn="0" w:firstRowLastColumn="0" w:lastRowFirstColumn="0" w:lastRowLastColumn="0"/>
                        </w:pPr>
                        <w:r w:rsidRPr="00321BC5">
                          <w:t>Circumstances</w:t>
                        </w:r>
                      </w:p>
                    </w:tc>
                    <w:tc>
                      <w:tcPr>
                        <w:tcW w:w="2182" w:type="dxa"/>
                        <w:tcBorders>
                          <w:top w:val="none" w:sz="0" w:space="0" w:color="auto"/>
                          <w:bottom w:val="none" w:sz="0" w:space="0" w:color="auto"/>
                        </w:tcBorders>
                        <w:noWrap/>
                        <w:hideMark/>
                      </w:tcPr>
                      <w:p w14:paraId="7AB144C9" w14:textId="77777777" w:rsidR="002618D3" w:rsidRPr="00321BC5" w:rsidRDefault="002618D3" w:rsidP="00800D89">
                        <w:pPr>
                          <w:pStyle w:val="TableText"/>
                          <w:cnfStyle w:val="000000100000" w:firstRow="0" w:lastRow="0" w:firstColumn="0" w:lastColumn="0" w:oddVBand="0" w:evenVBand="0" w:oddHBand="1" w:evenHBand="0" w:firstRowFirstColumn="0" w:firstRowLastColumn="0" w:lastRowFirstColumn="0" w:lastRowLastColumn="0"/>
                        </w:pPr>
                        <w:r w:rsidRPr="00321BC5">
                          <w:t>Family functioning</w:t>
                        </w:r>
                      </w:p>
                    </w:tc>
                    <w:tc>
                      <w:tcPr>
                        <w:tcW w:w="1310" w:type="dxa"/>
                        <w:tcBorders>
                          <w:top w:val="none" w:sz="0" w:space="0" w:color="auto"/>
                          <w:bottom w:val="none" w:sz="0" w:space="0" w:color="auto"/>
                        </w:tcBorders>
                        <w:noWrap/>
                        <w:hideMark/>
                      </w:tcPr>
                      <w:p w14:paraId="7DA8DAF0" w14:textId="77777777" w:rsidR="002618D3" w:rsidRPr="007A1075" w:rsidRDefault="002618D3" w:rsidP="00800D89">
                        <w:pPr>
                          <w:pStyle w:val="TableText"/>
                          <w:cnfStyle w:val="000000100000" w:firstRow="0" w:lastRow="0" w:firstColumn="0" w:lastColumn="0" w:oddVBand="0" w:evenVBand="0" w:oddHBand="1" w:evenHBand="0" w:firstRowFirstColumn="0" w:firstRowLastColumn="0" w:lastRowFirstColumn="0" w:lastRowLastColumn="0"/>
                        </w:pPr>
                        <w:r w:rsidRPr="007A1075">
                          <w:t>0.78</w:t>
                        </w:r>
                      </w:p>
                    </w:tc>
                    <w:tc>
                      <w:tcPr>
                        <w:tcW w:w="1784" w:type="dxa"/>
                        <w:tcBorders>
                          <w:top w:val="none" w:sz="0" w:space="0" w:color="auto"/>
                          <w:bottom w:val="none" w:sz="0" w:space="0" w:color="auto"/>
                        </w:tcBorders>
                        <w:noWrap/>
                        <w:hideMark/>
                      </w:tcPr>
                      <w:p w14:paraId="51E41635" w14:textId="77777777" w:rsidR="002618D3" w:rsidRPr="007A1075" w:rsidRDefault="002618D3" w:rsidP="00800D89">
                        <w:pPr>
                          <w:pStyle w:val="TableText"/>
                          <w:cnfStyle w:val="000000100000" w:firstRow="0" w:lastRow="0" w:firstColumn="0" w:lastColumn="0" w:oddVBand="0" w:evenVBand="0" w:oddHBand="1" w:evenHBand="0" w:firstRowFirstColumn="0" w:firstRowLastColumn="0" w:lastRowFirstColumn="0" w:lastRowLastColumn="0"/>
                        </w:pPr>
                        <w:r w:rsidRPr="007A1075">
                          <w:t>8519614.5</w:t>
                        </w:r>
                      </w:p>
                    </w:tc>
                    <w:tc>
                      <w:tcPr>
                        <w:tcW w:w="1172" w:type="dxa"/>
                        <w:tcBorders>
                          <w:top w:val="none" w:sz="0" w:space="0" w:color="auto"/>
                          <w:bottom w:val="none" w:sz="0" w:space="0" w:color="auto"/>
                        </w:tcBorders>
                        <w:noWrap/>
                        <w:hideMark/>
                      </w:tcPr>
                      <w:p w14:paraId="3634D42F" w14:textId="78A3D0B7" w:rsidR="002618D3" w:rsidRPr="007A1075" w:rsidRDefault="002618D3" w:rsidP="00800D89">
                        <w:pPr>
                          <w:pStyle w:val="TableText"/>
                          <w:cnfStyle w:val="000000100000" w:firstRow="0" w:lastRow="0" w:firstColumn="0" w:lastColumn="0" w:oddVBand="0" w:evenVBand="0" w:oddHBand="1" w:evenHBand="0" w:firstRowFirstColumn="0" w:firstRowLastColumn="0" w:lastRowFirstColumn="0" w:lastRowLastColumn="0"/>
                        </w:pPr>
                        <w:r w:rsidRPr="007A1075">
                          <w:t>14</w:t>
                        </w:r>
                        <w:r>
                          <w:t>,</w:t>
                        </w:r>
                        <w:r w:rsidRPr="007A1075">
                          <w:t>207</w:t>
                        </w:r>
                      </w:p>
                    </w:tc>
                    <w:tc>
                      <w:tcPr>
                        <w:tcW w:w="1027" w:type="dxa"/>
                        <w:tcBorders>
                          <w:top w:val="none" w:sz="0" w:space="0" w:color="auto"/>
                          <w:bottom w:val="none" w:sz="0" w:space="0" w:color="auto"/>
                        </w:tcBorders>
                        <w:noWrap/>
                        <w:hideMark/>
                      </w:tcPr>
                      <w:p w14:paraId="23BCDC41" w14:textId="77777777" w:rsidR="002618D3" w:rsidRPr="007A1075" w:rsidRDefault="002618D3" w:rsidP="00800D89">
                        <w:pPr>
                          <w:pStyle w:val="TableText"/>
                          <w:cnfStyle w:val="000000100000" w:firstRow="0" w:lastRow="0" w:firstColumn="0" w:lastColumn="0" w:oddVBand="0" w:evenVBand="0" w:oddHBand="1" w:evenHBand="0" w:firstRowFirstColumn="0" w:firstRowLastColumn="0" w:lastRowFirstColumn="0" w:lastRowLastColumn="0"/>
                        </w:pPr>
                        <w:r w:rsidRPr="007A1075">
                          <w:t>&lt;.001</w:t>
                        </w:r>
                      </w:p>
                    </w:tc>
                    <w:tc>
                      <w:tcPr>
                        <w:tcW w:w="1669" w:type="dxa"/>
                        <w:tcBorders>
                          <w:top w:val="none" w:sz="0" w:space="0" w:color="auto"/>
                          <w:bottom w:val="none" w:sz="0" w:space="0" w:color="auto"/>
                        </w:tcBorders>
                        <w:noWrap/>
                        <w:hideMark/>
                      </w:tcPr>
                      <w:p w14:paraId="1F5A608A" w14:textId="17C51563" w:rsidR="002618D3" w:rsidRPr="007A1075" w:rsidRDefault="002618D3" w:rsidP="00800D89">
                        <w:pPr>
                          <w:pStyle w:val="TableText"/>
                          <w:cnfStyle w:val="000000100000" w:firstRow="0" w:lastRow="0" w:firstColumn="0" w:lastColumn="0" w:oddVBand="0" w:evenVBand="0" w:oddHBand="1" w:evenHBand="0" w:firstRowFirstColumn="0" w:firstRowLastColumn="0" w:lastRowFirstColumn="0" w:lastRowLastColumn="0"/>
                        </w:pPr>
                        <w:r w:rsidRPr="007A1075">
                          <w:t>52.2% (n=7</w:t>
                        </w:r>
                        <w:r>
                          <w:t>,</w:t>
                        </w:r>
                        <w:r w:rsidRPr="007A1075">
                          <w:t>411)</w:t>
                        </w:r>
                      </w:p>
                    </w:tc>
                  </w:tr>
                  <w:tr w:rsidR="00F3116F" w:rsidRPr="007A1075" w14:paraId="171A0364" w14:textId="77777777" w:rsidTr="00520E3A">
                    <w:trPr>
                      <w:trHeight w:val="291"/>
                    </w:trPr>
                    <w:tc>
                      <w:tcPr>
                        <w:cnfStyle w:val="001000000000" w:firstRow="0" w:lastRow="0" w:firstColumn="1" w:lastColumn="0" w:oddVBand="0" w:evenVBand="0" w:oddHBand="0" w:evenHBand="0" w:firstRowFirstColumn="0" w:firstRowLastColumn="0" w:lastRowFirstColumn="0" w:lastRowLastColumn="0"/>
                        <w:tcW w:w="1325" w:type="dxa"/>
                        <w:vMerge/>
                        <w:tcBorders>
                          <w:right w:val="none" w:sz="0" w:space="0" w:color="auto"/>
                        </w:tcBorders>
                        <w:hideMark/>
                      </w:tcPr>
                      <w:p w14:paraId="6251A5E7" w14:textId="77777777" w:rsidR="002618D3" w:rsidRPr="007A1075" w:rsidRDefault="002618D3" w:rsidP="00800D89">
                        <w:pPr>
                          <w:pStyle w:val="TableText"/>
                        </w:pPr>
                      </w:p>
                    </w:tc>
                    <w:tc>
                      <w:tcPr>
                        <w:tcW w:w="1402" w:type="dxa"/>
                        <w:vMerge/>
                        <w:hideMark/>
                      </w:tcPr>
                      <w:p w14:paraId="71566E60" w14:textId="77777777" w:rsidR="002618D3" w:rsidRPr="00321BC5" w:rsidRDefault="002618D3" w:rsidP="00800D89">
                        <w:pPr>
                          <w:pStyle w:val="TableText"/>
                          <w:cnfStyle w:val="000000000000" w:firstRow="0" w:lastRow="0" w:firstColumn="0" w:lastColumn="0" w:oddVBand="0" w:evenVBand="0" w:oddHBand="0" w:evenHBand="0" w:firstRowFirstColumn="0" w:firstRowLastColumn="0" w:lastRowFirstColumn="0" w:lastRowLastColumn="0"/>
                        </w:pPr>
                      </w:p>
                    </w:tc>
                    <w:tc>
                      <w:tcPr>
                        <w:tcW w:w="2151" w:type="dxa"/>
                        <w:vMerge/>
                        <w:hideMark/>
                      </w:tcPr>
                      <w:p w14:paraId="1BD54274" w14:textId="77777777" w:rsidR="002618D3" w:rsidRPr="00321BC5" w:rsidRDefault="002618D3" w:rsidP="00800D89">
                        <w:pPr>
                          <w:pStyle w:val="TableText"/>
                          <w:cnfStyle w:val="000000000000" w:firstRow="0" w:lastRow="0" w:firstColumn="0" w:lastColumn="0" w:oddVBand="0" w:evenVBand="0" w:oddHBand="0" w:evenHBand="0" w:firstRowFirstColumn="0" w:firstRowLastColumn="0" w:lastRowFirstColumn="0" w:lastRowLastColumn="0"/>
                        </w:pPr>
                      </w:p>
                    </w:tc>
                    <w:tc>
                      <w:tcPr>
                        <w:tcW w:w="2182" w:type="dxa"/>
                        <w:noWrap/>
                        <w:hideMark/>
                      </w:tcPr>
                      <w:p w14:paraId="5F630D11" w14:textId="77777777" w:rsidR="002618D3" w:rsidRPr="00321BC5" w:rsidRDefault="002618D3" w:rsidP="00800D89">
                        <w:pPr>
                          <w:pStyle w:val="TableText"/>
                          <w:cnfStyle w:val="000000000000" w:firstRow="0" w:lastRow="0" w:firstColumn="0" w:lastColumn="0" w:oddVBand="0" w:evenVBand="0" w:oddHBand="0" w:evenHBand="0" w:firstRowFirstColumn="0" w:firstRowLastColumn="0" w:lastRowFirstColumn="0" w:lastRowLastColumn="0"/>
                        </w:pPr>
                        <w:r w:rsidRPr="00321BC5">
                          <w:rPr>
                            <w:lang w:val="en-NZ"/>
                          </w:rPr>
                          <w:t>Mental health, wellbeing and self-care</w:t>
                        </w:r>
                      </w:p>
                    </w:tc>
                    <w:tc>
                      <w:tcPr>
                        <w:tcW w:w="1310" w:type="dxa"/>
                        <w:noWrap/>
                        <w:hideMark/>
                      </w:tcPr>
                      <w:p w14:paraId="75F93677" w14:textId="77777777" w:rsidR="002618D3" w:rsidRPr="007A1075" w:rsidRDefault="002618D3" w:rsidP="00800D89">
                        <w:pPr>
                          <w:pStyle w:val="TableText"/>
                          <w:cnfStyle w:val="000000000000" w:firstRow="0" w:lastRow="0" w:firstColumn="0" w:lastColumn="0" w:oddVBand="0" w:evenVBand="0" w:oddHBand="0" w:evenHBand="0" w:firstRowFirstColumn="0" w:firstRowLastColumn="0" w:lastRowFirstColumn="0" w:lastRowLastColumn="0"/>
                        </w:pPr>
                        <w:r w:rsidRPr="007A1075">
                          <w:t>0.73</w:t>
                        </w:r>
                      </w:p>
                    </w:tc>
                    <w:tc>
                      <w:tcPr>
                        <w:tcW w:w="1784" w:type="dxa"/>
                        <w:noWrap/>
                        <w:hideMark/>
                      </w:tcPr>
                      <w:p w14:paraId="74AB65A5" w14:textId="77777777" w:rsidR="002618D3" w:rsidRPr="007A1075" w:rsidRDefault="002618D3" w:rsidP="00800D89">
                        <w:pPr>
                          <w:pStyle w:val="TableText"/>
                          <w:cnfStyle w:val="000000000000" w:firstRow="0" w:lastRow="0" w:firstColumn="0" w:lastColumn="0" w:oddVBand="0" w:evenVBand="0" w:oddHBand="0" w:evenHBand="0" w:firstRowFirstColumn="0" w:firstRowLastColumn="0" w:lastRowFirstColumn="0" w:lastRowLastColumn="0"/>
                        </w:pPr>
                        <w:r w:rsidRPr="007A1075">
                          <w:t>8173719</w:t>
                        </w:r>
                      </w:p>
                    </w:tc>
                    <w:tc>
                      <w:tcPr>
                        <w:tcW w:w="1172" w:type="dxa"/>
                        <w:noWrap/>
                        <w:hideMark/>
                      </w:tcPr>
                      <w:p w14:paraId="6E6752DD" w14:textId="3C15F803" w:rsidR="002618D3" w:rsidRPr="007A1075" w:rsidRDefault="002618D3" w:rsidP="00800D89">
                        <w:pPr>
                          <w:pStyle w:val="TableText"/>
                          <w:cnfStyle w:val="000000000000" w:firstRow="0" w:lastRow="0" w:firstColumn="0" w:lastColumn="0" w:oddVBand="0" w:evenVBand="0" w:oddHBand="0" w:evenHBand="0" w:firstRowFirstColumn="0" w:firstRowLastColumn="0" w:lastRowFirstColumn="0" w:lastRowLastColumn="0"/>
                        </w:pPr>
                        <w:r w:rsidRPr="007A1075">
                          <w:t>13</w:t>
                        </w:r>
                        <w:r>
                          <w:t>,</w:t>
                        </w:r>
                        <w:r w:rsidRPr="007A1075">
                          <w:t>581</w:t>
                        </w:r>
                      </w:p>
                    </w:tc>
                    <w:tc>
                      <w:tcPr>
                        <w:tcW w:w="1027" w:type="dxa"/>
                        <w:noWrap/>
                        <w:hideMark/>
                      </w:tcPr>
                      <w:p w14:paraId="0CE2E618" w14:textId="77777777" w:rsidR="002618D3" w:rsidRPr="007A1075" w:rsidRDefault="002618D3" w:rsidP="00800D89">
                        <w:pPr>
                          <w:pStyle w:val="TableText"/>
                          <w:cnfStyle w:val="000000000000" w:firstRow="0" w:lastRow="0" w:firstColumn="0" w:lastColumn="0" w:oddVBand="0" w:evenVBand="0" w:oddHBand="0" w:evenHBand="0" w:firstRowFirstColumn="0" w:firstRowLastColumn="0" w:lastRowFirstColumn="0" w:lastRowLastColumn="0"/>
                        </w:pPr>
                        <w:r w:rsidRPr="007A1075">
                          <w:t>&lt;.001</w:t>
                        </w:r>
                      </w:p>
                    </w:tc>
                    <w:tc>
                      <w:tcPr>
                        <w:tcW w:w="1669" w:type="dxa"/>
                        <w:noWrap/>
                        <w:hideMark/>
                      </w:tcPr>
                      <w:p w14:paraId="77A1D94B" w14:textId="3115AC15" w:rsidR="002618D3" w:rsidRPr="007A1075" w:rsidRDefault="002618D3" w:rsidP="00800D89">
                        <w:pPr>
                          <w:pStyle w:val="TableText"/>
                          <w:cnfStyle w:val="000000000000" w:firstRow="0" w:lastRow="0" w:firstColumn="0" w:lastColumn="0" w:oddVBand="0" w:evenVBand="0" w:oddHBand="0" w:evenHBand="0" w:firstRowFirstColumn="0" w:firstRowLastColumn="0" w:lastRowFirstColumn="0" w:lastRowLastColumn="0"/>
                        </w:pPr>
                        <w:r w:rsidRPr="007A1075">
                          <w:t>51.1% (n=6</w:t>
                        </w:r>
                        <w:r>
                          <w:t>,</w:t>
                        </w:r>
                        <w:r w:rsidRPr="007A1075">
                          <w:t>936)</w:t>
                        </w:r>
                      </w:p>
                    </w:tc>
                  </w:tr>
                  <w:tr w:rsidR="00F3116F" w:rsidRPr="007A1075" w14:paraId="3F86BBB9" w14:textId="77777777" w:rsidTr="00520E3A">
                    <w:trPr>
                      <w:cnfStyle w:val="000000100000" w:firstRow="0" w:lastRow="0" w:firstColumn="0" w:lastColumn="0" w:oddVBand="0" w:evenVBand="0" w:oddHBand="1" w:evenHBand="0" w:firstRowFirstColumn="0" w:firstRowLastColumn="0" w:lastRowFirstColumn="0" w:lastRowLastColumn="0"/>
                      <w:trHeight w:val="291"/>
                    </w:trPr>
                    <w:tc>
                      <w:tcPr>
                        <w:cnfStyle w:val="001000000000" w:firstRow="0" w:lastRow="0" w:firstColumn="1" w:lastColumn="0" w:oddVBand="0" w:evenVBand="0" w:oddHBand="0" w:evenHBand="0" w:firstRowFirstColumn="0" w:firstRowLastColumn="0" w:lastRowFirstColumn="0" w:lastRowLastColumn="0"/>
                        <w:tcW w:w="1325" w:type="dxa"/>
                        <w:vMerge/>
                        <w:tcBorders>
                          <w:top w:val="none" w:sz="0" w:space="0" w:color="auto"/>
                          <w:bottom w:val="none" w:sz="0" w:space="0" w:color="auto"/>
                          <w:right w:val="none" w:sz="0" w:space="0" w:color="auto"/>
                        </w:tcBorders>
                        <w:hideMark/>
                      </w:tcPr>
                      <w:p w14:paraId="5C00D198" w14:textId="77777777" w:rsidR="002618D3" w:rsidRPr="007A1075" w:rsidRDefault="002618D3" w:rsidP="00800D89">
                        <w:pPr>
                          <w:pStyle w:val="TableText"/>
                        </w:pPr>
                      </w:p>
                    </w:tc>
                    <w:tc>
                      <w:tcPr>
                        <w:tcW w:w="1402" w:type="dxa"/>
                        <w:vMerge/>
                        <w:tcBorders>
                          <w:top w:val="none" w:sz="0" w:space="0" w:color="auto"/>
                          <w:bottom w:val="none" w:sz="0" w:space="0" w:color="auto"/>
                        </w:tcBorders>
                        <w:hideMark/>
                      </w:tcPr>
                      <w:p w14:paraId="26758BE3" w14:textId="77777777" w:rsidR="002618D3" w:rsidRPr="00321BC5" w:rsidRDefault="002618D3" w:rsidP="00800D89">
                        <w:pPr>
                          <w:pStyle w:val="TableText"/>
                          <w:cnfStyle w:val="000000100000" w:firstRow="0" w:lastRow="0" w:firstColumn="0" w:lastColumn="0" w:oddVBand="0" w:evenVBand="0" w:oddHBand="1" w:evenHBand="0" w:firstRowFirstColumn="0" w:firstRowLastColumn="0" w:lastRowFirstColumn="0" w:lastRowLastColumn="0"/>
                        </w:pPr>
                      </w:p>
                    </w:tc>
                    <w:tc>
                      <w:tcPr>
                        <w:tcW w:w="2151" w:type="dxa"/>
                        <w:vMerge/>
                        <w:tcBorders>
                          <w:top w:val="none" w:sz="0" w:space="0" w:color="auto"/>
                          <w:bottom w:val="none" w:sz="0" w:space="0" w:color="auto"/>
                        </w:tcBorders>
                        <w:hideMark/>
                      </w:tcPr>
                      <w:p w14:paraId="06844AE0" w14:textId="77777777" w:rsidR="002618D3" w:rsidRPr="00321BC5" w:rsidRDefault="002618D3" w:rsidP="00800D89">
                        <w:pPr>
                          <w:pStyle w:val="TableText"/>
                          <w:cnfStyle w:val="000000100000" w:firstRow="0" w:lastRow="0" w:firstColumn="0" w:lastColumn="0" w:oddVBand="0" w:evenVBand="0" w:oddHBand="1" w:evenHBand="0" w:firstRowFirstColumn="0" w:firstRowLastColumn="0" w:lastRowFirstColumn="0" w:lastRowLastColumn="0"/>
                        </w:pPr>
                      </w:p>
                    </w:tc>
                    <w:tc>
                      <w:tcPr>
                        <w:tcW w:w="2182" w:type="dxa"/>
                        <w:tcBorders>
                          <w:top w:val="none" w:sz="0" w:space="0" w:color="auto"/>
                          <w:bottom w:val="none" w:sz="0" w:space="0" w:color="auto"/>
                        </w:tcBorders>
                        <w:noWrap/>
                        <w:hideMark/>
                      </w:tcPr>
                      <w:p w14:paraId="1C392AD3" w14:textId="77777777" w:rsidR="002618D3" w:rsidRPr="00321BC5" w:rsidRDefault="002618D3" w:rsidP="00800D89">
                        <w:pPr>
                          <w:pStyle w:val="TableText"/>
                          <w:cnfStyle w:val="000000100000" w:firstRow="0" w:lastRow="0" w:firstColumn="0" w:lastColumn="0" w:oddVBand="0" w:evenVBand="0" w:oddHBand="1" w:evenHBand="0" w:firstRowFirstColumn="0" w:firstRowLastColumn="0" w:lastRowFirstColumn="0" w:lastRowLastColumn="0"/>
                        </w:pPr>
                        <w:r w:rsidRPr="00321BC5">
                          <w:t>Personal and family safety</w:t>
                        </w:r>
                      </w:p>
                    </w:tc>
                    <w:tc>
                      <w:tcPr>
                        <w:tcW w:w="1310" w:type="dxa"/>
                        <w:tcBorders>
                          <w:top w:val="none" w:sz="0" w:space="0" w:color="auto"/>
                          <w:bottom w:val="none" w:sz="0" w:space="0" w:color="auto"/>
                        </w:tcBorders>
                        <w:noWrap/>
                        <w:hideMark/>
                      </w:tcPr>
                      <w:p w14:paraId="582CA403" w14:textId="77777777" w:rsidR="002618D3" w:rsidRPr="007A1075" w:rsidRDefault="002618D3" w:rsidP="00800D89">
                        <w:pPr>
                          <w:pStyle w:val="TableText"/>
                          <w:cnfStyle w:val="000000100000" w:firstRow="0" w:lastRow="0" w:firstColumn="0" w:lastColumn="0" w:oddVBand="0" w:evenVBand="0" w:oddHBand="1" w:evenHBand="0" w:firstRowFirstColumn="0" w:firstRowLastColumn="0" w:lastRowFirstColumn="0" w:lastRowLastColumn="0"/>
                        </w:pPr>
                        <w:r w:rsidRPr="007A1075">
                          <w:t>0.51</w:t>
                        </w:r>
                      </w:p>
                    </w:tc>
                    <w:tc>
                      <w:tcPr>
                        <w:tcW w:w="1784" w:type="dxa"/>
                        <w:tcBorders>
                          <w:top w:val="none" w:sz="0" w:space="0" w:color="auto"/>
                          <w:bottom w:val="none" w:sz="0" w:space="0" w:color="auto"/>
                        </w:tcBorders>
                        <w:noWrap/>
                        <w:hideMark/>
                      </w:tcPr>
                      <w:p w14:paraId="439CEC3E" w14:textId="77777777" w:rsidR="002618D3" w:rsidRPr="007A1075" w:rsidRDefault="002618D3" w:rsidP="00800D89">
                        <w:pPr>
                          <w:pStyle w:val="TableText"/>
                          <w:cnfStyle w:val="000000100000" w:firstRow="0" w:lastRow="0" w:firstColumn="0" w:lastColumn="0" w:oddVBand="0" w:evenVBand="0" w:oddHBand="1" w:evenHBand="0" w:firstRowFirstColumn="0" w:firstRowLastColumn="0" w:lastRowFirstColumn="0" w:lastRowLastColumn="0"/>
                        </w:pPr>
                        <w:r w:rsidRPr="007A1075">
                          <w:t>6262358.5</w:t>
                        </w:r>
                      </w:p>
                    </w:tc>
                    <w:tc>
                      <w:tcPr>
                        <w:tcW w:w="1172" w:type="dxa"/>
                        <w:tcBorders>
                          <w:top w:val="none" w:sz="0" w:space="0" w:color="auto"/>
                          <w:bottom w:val="none" w:sz="0" w:space="0" w:color="auto"/>
                        </w:tcBorders>
                        <w:noWrap/>
                        <w:hideMark/>
                      </w:tcPr>
                      <w:p w14:paraId="761FE89A" w14:textId="3F96D3E6" w:rsidR="002618D3" w:rsidRPr="007A1075" w:rsidRDefault="002618D3" w:rsidP="00800D89">
                        <w:pPr>
                          <w:pStyle w:val="TableText"/>
                          <w:cnfStyle w:val="000000100000" w:firstRow="0" w:lastRow="0" w:firstColumn="0" w:lastColumn="0" w:oddVBand="0" w:evenVBand="0" w:oddHBand="1" w:evenHBand="0" w:firstRowFirstColumn="0" w:firstRowLastColumn="0" w:lastRowFirstColumn="0" w:lastRowLastColumn="0"/>
                        </w:pPr>
                        <w:r w:rsidRPr="007A1075">
                          <w:t>10</w:t>
                        </w:r>
                        <w:r>
                          <w:t>,</w:t>
                        </w:r>
                        <w:r w:rsidRPr="007A1075">
                          <w:t>149</w:t>
                        </w:r>
                      </w:p>
                    </w:tc>
                    <w:tc>
                      <w:tcPr>
                        <w:tcW w:w="1027" w:type="dxa"/>
                        <w:tcBorders>
                          <w:top w:val="none" w:sz="0" w:space="0" w:color="auto"/>
                          <w:bottom w:val="none" w:sz="0" w:space="0" w:color="auto"/>
                        </w:tcBorders>
                        <w:noWrap/>
                        <w:hideMark/>
                      </w:tcPr>
                      <w:p w14:paraId="412B533B" w14:textId="77777777" w:rsidR="002618D3" w:rsidRPr="007A1075" w:rsidRDefault="002618D3" w:rsidP="00800D89">
                        <w:pPr>
                          <w:pStyle w:val="TableText"/>
                          <w:cnfStyle w:val="000000100000" w:firstRow="0" w:lastRow="0" w:firstColumn="0" w:lastColumn="0" w:oddVBand="0" w:evenVBand="0" w:oddHBand="1" w:evenHBand="0" w:firstRowFirstColumn="0" w:firstRowLastColumn="0" w:lastRowFirstColumn="0" w:lastRowLastColumn="0"/>
                        </w:pPr>
                        <w:r w:rsidRPr="007A1075">
                          <w:t>&lt;.001</w:t>
                        </w:r>
                      </w:p>
                    </w:tc>
                    <w:tc>
                      <w:tcPr>
                        <w:tcW w:w="1669" w:type="dxa"/>
                        <w:tcBorders>
                          <w:top w:val="none" w:sz="0" w:space="0" w:color="auto"/>
                          <w:bottom w:val="none" w:sz="0" w:space="0" w:color="auto"/>
                        </w:tcBorders>
                        <w:noWrap/>
                        <w:hideMark/>
                      </w:tcPr>
                      <w:p w14:paraId="3624DEDE" w14:textId="424ED1DA" w:rsidR="002618D3" w:rsidRPr="007A1075" w:rsidRDefault="002618D3" w:rsidP="00800D89">
                        <w:pPr>
                          <w:pStyle w:val="TableText"/>
                          <w:cnfStyle w:val="000000100000" w:firstRow="0" w:lastRow="0" w:firstColumn="0" w:lastColumn="0" w:oddVBand="0" w:evenVBand="0" w:oddHBand="1" w:evenHBand="0" w:firstRowFirstColumn="0" w:firstRowLastColumn="0" w:lastRowFirstColumn="0" w:lastRowLastColumn="0"/>
                        </w:pPr>
                        <w:r w:rsidRPr="007A1075">
                          <w:t>37.9% (n=3</w:t>
                        </w:r>
                        <w:r>
                          <w:t>,</w:t>
                        </w:r>
                        <w:r w:rsidRPr="007A1075">
                          <w:t>851)</w:t>
                        </w:r>
                      </w:p>
                    </w:tc>
                  </w:tr>
                  <w:tr w:rsidR="00F3116F" w:rsidRPr="007A1075" w14:paraId="722CDB62" w14:textId="77777777" w:rsidTr="00520E3A">
                    <w:trPr>
                      <w:trHeight w:val="291"/>
                    </w:trPr>
                    <w:tc>
                      <w:tcPr>
                        <w:cnfStyle w:val="001000000000" w:firstRow="0" w:lastRow="0" w:firstColumn="1" w:lastColumn="0" w:oddVBand="0" w:evenVBand="0" w:oddHBand="0" w:evenHBand="0" w:firstRowFirstColumn="0" w:firstRowLastColumn="0" w:lastRowFirstColumn="0" w:lastRowLastColumn="0"/>
                        <w:tcW w:w="1325" w:type="dxa"/>
                        <w:vMerge/>
                        <w:tcBorders>
                          <w:right w:val="none" w:sz="0" w:space="0" w:color="auto"/>
                        </w:tcBorders>
                        <w:hideMark/>
                      </w:tcPr>
                      <w:p w14:paraId="2EDC7037" w14:textId="77777777" w:rsidR="002618D3" w:rsidRPr="007A1075" w:rsidRDefault="002618D3" w:rsidP="00800D89">
                        <w:pPr>
                          <w:pStyle w:val="TableText"/>
                        </w:pPr>
                      </w:p>
                    </w:tc>
                    <w:tc>
                      <w:tcPr>
                        <w:tcW w:w="1402" w:type="dxa"/>
                        <w:vMerge/>
                        <w:hideMark/>
                      </w:tcPr>
                      <w:p w14:paraId="59C9B6CF" w14:textId="77777777" w:rsidR="002618D3" w:rsidRPr="00321BC5" w:rsidRDefault="002618D3" w:rsidP="00800D89">
                        <w:pPr>
                          <w:pStyle w:val="TableText"/>
                          <w:cnfStyle w:val="000000000000" w:firstRow="0" w:lastRow="0" w:firstColumn="0" w:lastColumn="0" w:oddVBand="0" w:evenVBand="0" w:oddHBand="0" w:evenHBand="0" w:firstRowFirstColumn="0" w:firstRowLastColumn="0" w:lastRowFirstColumn="0" w:lastRowLastColumn="0"/>
                        </w:pPr>
                      </w:p>
                    </w:tc>
                    <w:tc>
                      <w:tcPr>
                        <w:tcW w:w="2151" w:type="dxa"/>
                        <w:vMerge w:val="restart"/>
                        <w:hideMark/>
                      </w:tcPr>
                      <w:p w14:paraId="2A771252" w14:textId="77777777" w:rsidR="002618D3" w:rsidRPr="00321BC5" w:rsidRDefault="002618D3" w:rsidP="00800D89">
                        <w:pPr>
                          <w:pStyle w:val="TableText"/>
                          <w:cnfStyle w:val="000000000000" w:firstRow="0" w:lastRow="0" w:firstColumn="0" w:lastColumn="0" w:oddVBand="0" w:evenVBand="0" w:oddHBand="0" w:evenHBand="0" w:firstRowFirstColumn="0" w:firstRowLastColumn="0" w:lastRowFirstColumn="0" w:lastRowLastColumn="0"/>
                        </w:pPr>
                        <w:r w:rsidRPr="00321BC5">
                          <w:t>Goals</w:t>
                        </w:r>
                      </w:p>
                    </w:tc>
                    <w:tc>
                      <w:tcPr>
                        <w:tcW w:w="2182" w:type="dxa"/>
                        <w:noWrap/>
                        <w:hideMark/>
                      </w:tcPr>
                      <w:p w14:paraId="35069594" w14:textId="77777777" w:rsidR="002618D3" w:rsidRPr="00321BC5" w:rsidRDefault="002618D3" w:rsidP="00800D89">
                        <w:pPr>
                          <w:pStyle w:val="TableText"/>
                          <w:cnfStyle w:val="000000000000" w:firstRow="0" w:lastRow="0" w:firstColumn="0" w:lastColumn="0" w:oddVBand="0" w:evenVBand="0" w:oddHBand="0" w:evenHBand="0" w:firstRowFirstColumn="0" w:firstRowLastColumn="0" w:lastRowFirstColumn="0" w:lastRowLastColumn="0"/>
                        </w:pPr>
                        <w:r w:rsidRPr="00321BC5">
                          <w:t>Changed behaviours</w:t>
                        </w:r>
                      </w:p>
                    </w:tc>
                    <w:tc>
                      <w:tcPr>
                        <w:tcW w:w="1310" w:type="dxa"/>
                        <w:noWrap/>
                        <w:hideMark/>
                      </w:tcPr>
                      <w:p w14:paraId="58A514AC" w14:textId="77777777" w:rsidR="002618D3" w:rsidRPr="007A1075" w:rsidRDefault="002618D3" w:rsidP="00800D89">
                        <w:pPr>
                          <w:pStyle w:val="TableText"/>
                          <w:cnfStyle w:val="000000000000" w:firstRow="0" w:lastRow="0" w:firstColumn="0" w:lastColumn="0" w:oddVBand="0" w:evenVBand="0" w:oddHBand="0" w:evenHBand="0" w:firstRowFirstColumn="0" w:firstRowLastColumn="0" w:lastRowFirstColumn="0" w:lastRowLastColumn="0"/>
                        </w:pPr>
                        <w:r w:rsidRPr="007A1075">
                          <w:t>0.99</w:t>
                        </w:r>
                      </w:p>
                    </w:tc>
                    <w:tc>
                      <w:tcPr>
                        <w:tcW w:w="1784" w:type="dxa"/>
                        <w:noWrap/>
                        <w:hideMark/>
                      </w:tcPr>
                      <w:p w14:paraId="5016F661" w14:textId="77777777" w:rsidR="002618D3" w:rsidRPr="007A1075" w:rsidRDefault="002618D3" w:rsidP="00800D89">
                        <w:pPr>
                          <w:pStyle w:val="TableText"/>
                          <w:cnfStyle w:val="000000000000" w:firstRow="0" w:lastRow="0" w:firstColumn="0" w:lastColumn="0" w:oddVBand="0" w:evenVBand="0" w:oddHBand="0" w:evenHBand="0" w:firstRowFirstColumn="0" w:firstRowLastColumn="0" w:lastRowFirstColumn="0" w:lastRowLastColumn="0"/>
                        </w:pPr>
                        <w:r w:rsidRPr="007A1075">
                          <w:t>2441469.5</w:t>
                        </w:r>
                      </w:p>
                    </w:tc>
                    <w:tc>
                      <w:tcPr>
                        <w:tcW w:w="1172" w:type="dxa"/>
                        <w:noWrap/>
                        <w:hideMark/>
                      </w:tcPr>
                      <w:p w14:paraId="1BF6D6A9" w14:textId="7B073932" w:rsidR="002618D3" w:rsidRPr="007A1075" w:rsidRDefault="002618D3" w:rsidP="00800D89">
                        <w:pPr>
                          <w:pStyle w:val="TableText"/>
                          <w:cnfStyle w:val="000000000000" w:firstRow="0" w:lastRow="0" w:firstColumn="0" w:lastColumn="0" w:oddVBand="0" w:evenVBand="0" w:oddHBand="0" w:evenHBand="0" w:firstRowFirstColumn="0" w:firstRowLastColumn="0" w:lastRowFirstColumn="0" w:lastRowLastColumn="0"/>
                        </w:pPr>
                        <w:r w:rsidRPr="007A1075">
                          <w:t>9</w:t>
                        </w:r>
                        <w:r>
                          <w:t>,</w:t>
                        </w:r>
                        <w:r w:rsidRPr="007A1075">
                          <w:t>709</w:t>
                        </w:r>
                      </w:p>
                    </w:tc>
                    <w:tc>
                      <w:tcPr>
                        <w:tcW w:w="1027" w:type="dxa"/>
                        <w:noWrap/>
                        <w:hideMark/>
                      </w:tcPr>
                      <w:p w14:paraId="6795C8B1" w14:textId="77777777" w:rsidR="002618D3" w:rsidRPr="007A1075" w:rsidRDefault="002618D3" w:rsidP="00800D89">
                        <w:pPr>
                          <w:pStyle w:val="TableText"/>
                          <w:cnfStyle w:val="000000000000" w:firstRow="0" w:lastRow="0" w:firstColumn="0" w:lastColumn="0" w:oddVBand="0" w:evenVBand="0" w:oddHBand="0" w:evenHBand="0" w:firstRowFirstColumn="0" w:firstRowLastColumn="0" w:lastRowFirstColumn="0" w:lastRowLastColumn="0"/>
                        </w:pPr>
                        <w:r w:rsidRPr="007A1075">
                          <w:t>&lt;.001</w:t>
                        </w:r>
                      </w:p>
                    </w:tc>
                    <w:tc>
                      <w:tcPr>
                        <w:tcW w:w="1669" w:type="dxa"/>
                        <w:noWrap/>
                        <w:hideMark/>
                      </w:tcPr>
                      <w:p w14:paraId="78410A16" w14:textId="05415C2D" w:rsidR="002618D3" w:rsidRPr="007A1075" w:rsidRDefault="002618D3" w:rsidP="00800D89">
                        <w:pPr>
                          <w:pStyle w:val="TableText"/>
                          <w:cnfStyle w:val="000000000000" w:firstRow="0" w:lastRow="0" w:firstColumn="0" w:lastColumn="0" w:oddVBand="0" w:evenVBand="0" w:oddHBand="0" w:evenHBand="0" w:firstRowFirstColumn="0" w:firstRowLastColumn="0" w:lastRowFirstColumn="0" w:lastRowLastColumn="0"/>
                        </w:pPr>
                        <w:r w:rsidRPr="007A1075">
                          <w:t>62.9% (n=6</w:t>
                        </w:r>
                        <w:r>
                          <w:t>,</w:t>
                        </w:r>
                        <w:r w:rsidRPr="007A1075">
                          <w:t>108)</w:t>
                        </w:r>
                      </w:p>
                    </w:tc>
                  </w:tr>
                  <w:tr w:rsidR="00F3116F" w:rsidRPr="007A1075" w14:paraId="2BDF149A" w14:textId="77777777" w:rsidTr="00520E3A">
                    <w:trPr>
                      <w:cnfStyle w:val="000000100000" w:firstRow="0" w:lastRow="0" w:firstColumn="0" w:lastColumn="0" w:oddVBand="0" w:evenVBand="0" w:oddHBand="1" w:evenHBand="0" w:firstRowFirstColumn="0" w:firstRowLastColumn="0" w:lastRowFirstColumn="0" w:lastRowLastColumn="0"/>
                      <w:trHeight w:val="291"/>
                    </w:trPr>
                    <w:tc>
                      <w:tcPr>
                        <w:cnfStyle w:val="001000000000" w:firstRow="0" w:lastRow="0" w:firstColumn="1" w:lastColumn="0" w:oddVBand="0" w:evenVBand="0" w:oddHBand="0" w:evenHBand="0" w:firstRowFirstColumn="0" w:firstRowLastColumn="0" w:lastRowFirstColumn="0" w:lastRowLastColumn="0"/>
                        <w:tcW w:w="1325" w:type="dxa"/>
                        <w:vMerge/>
                        <w:tcBorders>
                          <w:top w:val="none" w:sz="0" w:space="0" w:color="auto"/>
                          <w:bottom w:val="none" w:sz="0" w:space="0" w:color="auto"/>
                          <w:right w:val="none" w:sz="0" w:space="0" w:color="auto"/>
                        </w:tcBorders>
                        <w:hideMark/>
                      </w:tcPr>
                      <w:p w14:paraId="3DE9464C" w14:textId="77777777" w:rsidR="002618D3" w:rsidRPr="007A1075" w:rsidRDefault="002618D3" w:rsidP="00800D89">
                        <w:pPr>
                          <w:pStyle w:val="TableText"/>
                        </w:pPr>
                      </w:p>
                    </w:tc>
                    <w:tc>
                      <w:tcPr>
                        <w:tcW w:w="1402" w:type="dxa"/>
                        <w:vMerge/>
                        <w:tcBorders>
                          <w:top w:val="none" w:sz="0" w:space="0" w:color="auto"/>
                          <w:bottom w:val="none" w:sz="0" w:space="0" w:color="auto"/>
                        </w:tcBorders>
                        <w:hideMark/>
                      </w:tcPr>
                      <w:p w14:paraId="393AA9A7" w14:textId="77777777" w:rsidR="002618D3" w:rsidRPr="00321BC5" w:rsidRDefault="002618D3" w:rsidP="00800D89">
                        <w:pPr>
                          <w:pStyle w:val="TableText"/>
                          <w:cnfStyle w:val="000000100000" w:firstRow="0" w:lastRow="0" w:firstColumn="0" w:lastColumn="0" w:oddVBand="0" w:evenVBand="0" w:oddHBand="1" w:evenHBand="0" w:firstRowFirstColumn="0" w:firstRowLastColumn="0" w:lastRowFirstColumn="0" w:lastRowLastColumn="0"/>
                        </w:pPr>
                      </w:p>
                    </w:tc>
                    <w:tc>
                      <w:tcPr>
                        <w:tcW w:w="2151" w:type="dxa"/>
                        <w:vMerge/>
                        <w:tcBorders>
                          <w:top w:val="none" w:sz="0" w:space="0" w:color="auto"/>
                          <w:bottom w:val="none" w:sz="0" w:space="0" w:color="auto"/>
                        </w:tcBorders>
                        <w:hideMark/>
                      </w:tcPr>
                      <w:p w14:paraId="1A8B2F8E" w14:textId="77777777" w:rsidR="002618D3" w:rsidRPr="00321BC5" w:rsidRDefault="002618D3" w:rsidP="00800D89">
                        <w:pPr>
                          <w:pStyle w:val="TableText"/>
                          <w:cnfStyle w:val="000000100000" w:firstRow="0" w:lastRow="0" w:firstColumn="0" w:lastColumn="0" w:oddVBand="0" w:evenVBand="0" w:oddHBand="1" w:evenHBand="0" w:firstRowFirstColumn="0" w:firstRowLastColumn="0" w:lastRowFirstColumn="0" w:lastRowLastColumn="0"/>
                        </w:pPr>
                      </w:p>
                    </w:tc>
                    <w:tc>
                      <w:tcPr>
                        <w:tcW w:w="2182" w:type="dxa"/>
                        <w:tcBorders>
                          <w:top w:val="none" w:sz="0" w:space="0" w:color="auto"/>
                          <w:bottom w:val="none" w:sz="0" w:space="0" w:color="auto"/>
                        </w:tcBorders>
                        <w:noWrap/>
                        <w:hideMark/>
                      </w:tcPr>
                      <w:p w14:paraId="68AC23CA" w14:textId="77777777" w:rsidR="002618D3" w:rsidRPr="00321BC5" w:rsidRDefault="002618D3" w:rsidP="00800D89">
                        <w:pPr>
                          <w:pStyle w:val="TableText"/>
                          <w:cnfStyle w:val="000000100000" w:firstRow="0" w:lastRow="0" w:firstColumn="0" w:lastColumn="0" w:oddVBand="0" w:evenVBand="0" w:oddHBand="1" w:evenHBand="0" w:firstRowFirstColumn="0" w:firstRowLastColumn="0" w:lastRowFirstColumn="0" w:lastRowLastColumn="0"/>
                        </w:pPr>
                        <w:r w:rsidRPr="00321BC5">
                          <w:t>Changed impact of immediate crisis</w:t>
                        </w:r>
                      </w:p>
                    </w:tc>
                    <w:tc>
                      <w:tcPr>
                        <w:tcW w:w="1310" w:type="dxa"/>
                        <w:tcBorders>
                          <w:top w:val="none" w:sz="0" w:space="0" w:color="auto"/>
                          <w:bottom w:val="none" w:sz="0" w:space="0" w:color="auto"/>
                        </w:tcBorders>
                        <w:noWrap/>
                        <w:hideMark/>
                      </w:tcPr>
                      <w:p w14:paraId="2EE5E7FB" w14:textId="77777777" w:rsidR="002618D3" w:rsidRPr="007A1075" w:rsidRDefault="002618D3" w:rsidP="00800D89">
                        <w:pPr>
                          <w:pStyle w:val="TableText"/>
                          <w:cnfStyle w:val="000000100000" w:firstRow="0" w:lastRow="0" w:firstColumn="0" w:lastColumn="0" w:oddVBand="0" w:evenVBand="0" w:oddHBand="1" w:evenHBand="0" w:firstRowFirstColumn="0" w:firstRowLastColumn="0" w:lastRowFirstColumn="0" w:lastRowLastColumn="0"/>
                        </w:pPr>
                        <w:r w:rsidRPr="007A1075">
                          <w:t>0.97</w:t>
                        </w:r>
                      </w:p>
                    </w:tc>
                    <w:tc>
                      <w:tcPr>
                        <w:tcW w:w="1784" w:type="dxa"/>
                        <w:tcBorders>
                          <w:top w:val="none" w:sz="0" w:space="0" w:color="auto"/>
                          <w:bottom w:val="none" w:sz="0" w:space="0" w:color="auto"/>
                        </w:tcBorders>
                        <w:noWrap/>
                        <w:hideMark/>
                      </w:tcPr>
                      <w:p w14:paraId="45015BBB" w14:textId="77777777" w:rsidR="002618D3" w:rsidRPr="007A1075" w:rsidRDefault="002618D3" w:rsidP="00800D89">
                        <w:pPr>
                          <w:pStyle w:val="TableText"/>
                          <w:cnfStyle w:val="000000100000" w:firstRow="0" w:lastRow="0" w:firstColumn="0" w:lastColumn="0" w:oddVBand="0" w:evenVBand="0" w:oddHBand="1" w:evenHBand="0" w:firstRowFirstColumn="0" w:firstRowLastColumn="0" w:lastRowFirstColumn="0" w:lastRowLastColumn="0"/>
                        </w:pPr>
                        <w:r w:rsidRPr="007A1075">
                          <w:t>586046</w:t>
                        </w:r>
                      </w:p>
                    </w:tc>
                    <w:tc>
                      <w:tcPr>
                        <w:tcW w:w="1172" w:type="dxa"/>
                        <w:tcBorders>
                          <w:top w:val="none" w:sz="0" w:space="0" w:color="auto"/>
                          <w:bottom w:val="none" w:sz="0" w:space="0" w:color="auto"/>
                        </w:tcBorders>
                        <w:noWrap/>
                        <w:hideMark/>
                      </w:tcPr>
                      <w:p w14:paraId="6028DCB7" w14:textId="0A0FC603" w:rsidR="002618D3" w:rsidRPr="007A1075" w:rsidRDefault="002618D3" w:rsidP="00800D89">
                        <w:pPr>
                          <w:pStyle w:val="TableText"/>
                          <w:cnfStyle w:val="000000100000" w:firstRow="0" w:lastRow="0" w:firstColumn="0" w:lastColumn="0" w:oddVBand="0" w:evenVBand="0" w:oddHBand="1" w:evenHBand="0" w:firstRowFirstColumn="0" w:firstRowLastColumn="0" w:lastRowFirstColumn="0" w:lastRowLastColumn="0"/>
                        </w:pPr>
                        <w:r w:rsidRPr="007A1075">
                          <w:t>4</w:t>
                        </w:r>
                        <w:r>
                          <w:t>,</w:t>
                        </w:r>
                        <w:r w:rsidRPr="007A1075">
                          <w:t>072</w:t>
                        </w:r>
                      </w:p>
                    </w:tc>
                    <w:tc>
                      <w:tcPr>
                        <w:tcW w:w="1027" w:type="dxa"/>
                        <w:tcBorders>
                          <w:top w:val="none" w:sz="0" w:space="0" w:color="auto"/>
                          <w:bottom w:val="none" w:sz="0" w:space="0" w:color="auto"/>
                        </w:tcBorders>
                        <w:noWrap/>
                        <w:hideMark/>
                      </w:tcPr>
                      <w:p w14:paraId="1AA832C6" w14:textId="77777777" w:rsidR="002618D3" w:rsidRPr="007A1075" w:rsidRDefault="002618D3" w:rsidP="00800D89">
                        <w:pPr>
                          <w:pStyle w:val="TableText"/>
                          <w:cnfStyle w:val="000000100000" w:firstRow="0" w:lastRow="0" w:firstColumn="0" w:lastColumn="0" w:oddVBand="0" w:evenVBand="0" w:oddHBand="1" w:evenHBand="0" w:firstRowFirstColumn="0" w:firstRowLastColumn="0" w:lastRowFirstColumn="0" w:lastRowLastColumn="0"/>
                        </w:pPr>
                        <w:r w:rsidRPr="007A1075">
                          <w:t>&lt;.001</w:t>
                        </w:r>
                      </w:p>
                    </w:tc>
                    <w:tc>
                      <w:tcPr>
                        <w:tcW w:w="1669" w:type="dxa"/>
                        <w:tcBorders>
                          <w:top w:val="none" w:sz="0" w:space="0" w:color="auto"/>
                          <w:bottom w:val="none" w:sz="0" w:space="0" w:color="auto"/>
                        </w:tcBorders>
                        <w:noWrap/>
                        <w:hideMark/>
                      </w:tcPr>
                      <w:p w14:paraId="41B084AF" w14:textId="6D087B21" w:rsidR="002618D3" w:rsidRPr="007A1075" w:rsidRDefault="002618D3" w:rsidP="00800D89">
                        <w:pPr>
                          <w:pStyle w:val="TableText"/>
                          <w:cnfStyle w:val="000000100000" w:firstRow="0" w:lastRow="0" w:firstColumn="0" w:lastColumn="0" w:oddVBand="0" w:evenVBand="0" w:oddHBand="1" w:evenHBand="0" w:firstRowFirstColumn="0" w:firstRowLastColumn="0" w:lastRowFirstColumn="0" w:lastRowLastColumn="0"/>
                        </w:pPr>
                        <w:r w:rsidRPr="007A1075">
                          <w:t>63.9% (n=2</w:t>
                        </w:r>
                        <w:r>
                          <w:t>,</w:t>
                        </w:r>
                        <w:r w:rsidRPr="007A1075">
                          <w:t>604)</w:t>
                        </w:r>
                      </w:p>
                    </w:tc>
                  </w:tr>
                  <w:tr w:rsidR="00F3116F" w:rsidRPr="007A1075" w14:paraId="32B07499" w14:textId="77777777" w:rsidTr="00520E3A">
                    <w:trPr>
                      <w:trHeight w:val="291"/>
                    </w:trPr>
                    <w:tc>
                      <w:tcPr>
                        <w:cnfStyle w:val="001000000000" w:firstRow="0" w:lastRow="0" w:firstColumn="1" w:lastColumn="0" w:oddVBand="0" w:evenVBand="0" w:oddHBand="0" w:evenHBand="0" w:firstRowFirstColumn="0" w:firstRowLastColumn="0" w:lastRowFirstColumn="0" w:lastRowLastColumn="0"/>
                        <w:tcW w:w="1325" w:type="dxa"/>
                        <w:vMerge/>
                        <w:tcBorders>
                          <w:right w:val="none" w:sz="0" w:space="0" w:color="auto"/>
                        </w:tcBorders>
                        <w:hideMark/>
                      </w:tcPr>
                      <w:p w14:paraId="2826286C" w14:textId="77777777" w:rsidR="002618D3" w:rsidRPr="007A1075" w:rsidRDefault="002618D3" w:rsidP="00800D89">
                        <w:pPr>
                          <w:pStyle w:val="TableText"/>
                        </w:pPr>
                      </w:p>
                    </w:tc>
                    <w:tc>
                      <w:tcPr>
                        <w:tcW w:w="1402" w:type="dxa"/>
                        <w:vMerge/>
                        <w:hideMark/>
                      </w:tcPr>
                      <w:p w14:paraId="5AE96DDB" w14:textId="77777777" w:rsidR="002618D3" w:rsidRPr="00321BC5" w:rsidRDefault="002618D3" w:rsidP="00800D89">
                        <w:pPr>
                          <w:pStyle w:val="TableText"/>
                          <w:cnfStyle w:val="000000000000" w:firstRow="0" w:lastRow="0" w:firstColumn="0" w:lastColumn="0" w:oddVBand="0" w:evenVBand="0" w:oddHBand="0" w:evenHBand="0" w:firstRowFirstColumn="0" w:firstRowLastColumn="0" w:lastRowFirstColumn="0" w:lastRowLastColumn="0"/>
                        </w:pPr>
                      </w:p>
                    </w:tc>
                    <w:tc>
                      <w:tcPr>
                        <w:tcW w:w="2151" w:type="dxa"/>
                        <w:vMerge/>
                        <w:hideMark/>
                      </w:tcPr>
                      <w:p w14:paraId="4828545B" w14:textId="77777777" w:rsidR="002618D3" w:rsidRPr="00321BC5" w:rsidRDefault="002618D3" w:rsidP="00800D89">
                        <w:pPr>
                          <w:pStyle w:val="TableText"/>
                          <w:cnfStyle w:val="000000000000" w:firstRow="0" w:lastRow="0" w:firstColumn="0" w:lastColumn="0" w:oddVBand="0" w:evenVBand="0" w:oddHBand="0" w:evenHBand="0" w:firstRowFirstColumn="0" w:firstRowLastColumn="0" w:lastRowFirstColumn="0" w:lastRowLastColumn="0"/>
                        </w:pPr>
                      </w:p>
                    </w:tc>
                    <w:tc>
                      <w:tcPr>
                        <w:tcW w:w="2182" w:type="dxa"/>
                        <w:noWrap/>
                        <w:hideMark/>
                      </w:tcPr>
                      <w:p w14:paraId="4E39132E" w14:textId="77777777" w:rsidR="002618D3" w:rsidRPr="00321BC5" w:rsidRDefault="002618D3" w:rsidP="00800D89">
                        <w:pPr>
                          <w:pStyle w:val="TableText"/>
                          <w:cnfStyle w:val="000000000000" w:firstRow="0" w:lastRow="0" w:firstColumn="0" w:lastColumn="0" w:oddVBand="0" w:evenVBand="0" w:oddHBand="0" w:evenHBand="0" w:firstRowFirstColumn="0" w:firstRowLastColumn="0" w:lastRowFirstColumn="0" w:lastRowLastColumn="0"/>
                        </w:pPr>
                        <w:r w:rsidRPr="00321BC5">
                          <w:t>Changed knowledge and access to information</w:t>
                        </w:r>
                      </w:p>
                    </w:tc>
                    <w:tc>
                      <w:tcPr>
                        <w:tcW w:w="1310" w:type="dxa"/>
                        <w:noWrap/>
                        <w:hideMark/>
                      </w:tcPr>
                      <w:p w14:paraId="7EA1A9AB" w14:textId="77777777" w:rsidR="002618D3" w:rsidRPr="007A1075" w:rsidRDefault="002618D3" w:rsidP="00800D89">
                        <w:pPr>
                          <w:pStyle w:val="TableText"/>
                          <w:cnfStyle w:val="000000000000" w:firstRow="0" w:lastRow="0" w:firstColumn="0" w:lastColumn="0" w:oddVBand="0" w:evenVBand="0" w:oddHBand="0" w:evenHBand="0" w:firstRowFirstColumn="0" w:firstRowLastColumn="0" w:lastRowFirstColumn="0" w:lastRowLastColumn="0"/>
                        </w:pPr>
                        <w:r w:rsidRPr="007A1075">
                          <w:t>1.08</w:t>
                        </w:r>
                      </w:p>
                    </w:tc>
                    <w:tc>
                      <w:tcPr>
                        <w:tcW w:w="1784" w:type="dxa"/>
                        <w:noWrap/>
                        <w:hideMark/>
                      </w:tcPr>
                      <w:p w14:paraId="1AF6FCC9" w14:textId="77777777" w:rsidR="002618D3" w:rsidRPr="007A1075" w:rsidRDefault="002618D3" w:rsidP="00800D89">
                        <w:pPr>
                          <w:pStyle w:val="TableText"/>
                          <w:cnfStyle w:val="000000000000" w:firstRow="0" w:lastRow="0" w:firstColumn="0" w:lastColumn="0" w:oddVBand="0" w:evenVBand="0" w:oddHBand="0" w:evenHBand="0" w:firstRowFirstColumn="0" w:firstRowLastColumn="0" w:lastRowFirstColumn="0" w:lastRowLastColumn="0"/>
                        </w:pPr>
                        <w:r w:rsidRPr="007A1075">
                          <w:t>2819564</w:t>
                        </w:r>
                      </w:p>
                    </w:tc>
                    <w:tc>
                      <w:tcPr>
                        <w:tcW w:w="1172" w:type="dxa"/>
                        <w:noWrap/>
                        <w:hideMark/>
                      </w:tcPr>
                      <w:p w14:paraId="104C61A5" w14:textId="5A699EE2" w:rsidR="002618D3" w:rsidRPr="007A1075" w:rsidRDefault="002618D3" w:rsidP="00800D89">
                        <w:pPr>
                          <w:pStyle w:val="TableText"/>
                          <w:cnfStyle w:val="000000000000" w:firstRow="0" w:lastRow="0" w:firstColumn="0" w:lastColumn="0" w:oddVBand="0" w:evenVBand="0" w:oddHBand="0" w:evenHBand="0" w:firstRowFirstColumn="0" w:firstRowLastColumn="0" w:lastRowFirstColumn="0" w:lastRowLastColumn="0"/>
                        </w:pPr>
                        <w:r w:rsidRPr="007A1075">
                          <w:t>1</w:t>
                        </w:r>
                        <w:r>
                          <w:t>,</w:t>
                        </w:r>
                        <w:r w:rsidRPr="007A1075">
                          <w:t>0244</w:t>
                        </w:r>
                      </w:p>
                    </w:tc>
                    <w:tc>
                      <w:tcPr>
                        <w:tcW w:w="1027" w:type="dxa"/>
                        <w:noWrap/>
                        <w:hideMark/>
                      </w:tcPr>
                      <w:p w14:paraId="5D4ABA60" w14:textId="77777777" w:rsidR="002618D3" w:rsidRPr="007A1075" w:rsidRDefault="002618D3" w:rsidP="00800D89">
                        <w:pPr>
                          <w:pStyle w:val="TableText"/>
                          <w:cnfStyle w:val="000000000000" w:firstRow="0" w:lastRow="0" w:firstColumn="0" w:lastColumn="0" w:oddVBand="0" w:evenVBand="0" w:oddHBand="0" w:evenHBand="0" w:firstRowFirstColumn="0" w:firstRowLastColumn="0" w:lastRowFirstColumn="0" w:lastRowLastColumn="0"/>
                        </w:pPr>
                        <w:r w:rsidRPr="007A1075">
                          <w:t>&lt;.001</w:t>
                        </w:r>
                      </w:p>
                    </w:tc>
                    <w:tc>
                      <w:tcPr>
                        <w:tcW w:w="1669" w:type="dxa"/>
                        <w:noWrap/>
                        <w:hideMark/>
                      </w:tcPr>
                      <w:p w14:paraId="16DCE100" w14:textId="60DB96B2" w:rsidR="002618D3" w:rsidRPr="007A1075" w:rsidRDefault="002618D3" w:rsidP="00800D89">
                        <w:pPr>
                          <w:pStyle w:val="TableText"/>
                          <w:cnfStyle w:val="000000000000" w:firstRow="0" w:lastRow="0" w:firstColumn="0" w:lastColumn="0" w:oddVBand="0" w:evenVBand="0" w:oddHBand="0" w:evenHBand="0" w:firstRowFirstColumn="0" w:firstRowLastColumn="0" w:lastRowFirstColumn="0" w:lastRowLastColumn="0"/>
                        </w:pPr>
                        <w:r w:rsidRPr="007A1075">
                          <w:t>63.2% (n=64</w:t>
                        </w:r>
                        <w:r>
                          <w:t>,</w:t>
                        </w:r>
                        <w:r w:rsidRPr="007A1075">
                          <w:t>74)</w:t>
                        </w:r>
                      </w:p>
                    </w:tc>
                  </w:tr>
                  <w:tr w:rsidR="00F3116F" w:rsidRPr="007A1075" w14:paraId="0C3D5A38" w14:textId="77777777" w:rsidTr="00520E3A">
                    <w:trPr>
                      <w:cnfStyle w:val="000000100000" w:firstRow="0" w:lastRow="0" w:firstColumn="0" w:lastColumn="0" w:oddVBand="0" w:evenVBand="0" w:oddHBand="1" w:evenHBand="0" w:firstRowFirstColumn="0" w:firstRowLastColumn="0" w:lastRowFirstColumn="0" w:lastRowLastColumn="0"/>
                      <w:trHeight w:val="291"/>
                    </w:trPr>
                    <w:tc>
                      <w:tcPr>
                        <w:cnfStyle w:val="001000000000" w:firstRow="0" w:lastRow="0" w:firstColumn="1" w:lastColumn="0" w:oddVBand="0" w:evenVBand="0" w:oddHBand="0" w:evenHBand="0" w:firstRowFirstColumn="0" w:firstRowLastColumn="0" w:lastRowFirstColumn="0" w:lastRowLastColumn="0"/>
                        <w:tcW w:w="1325" w:type="dxa"/>
                        <w:vMerge/>
                        <w:tcBorders>
                          <w:top w:val="none" w:sz="0" w:space="0" w:color="auto"/>
                          <w:bottom w:val="none" w:sz="0" w:space="0" w:color="auto"/>
                          <w:right w:val="none" w:sz="0" w:space="0" w:color="auto"/>
                        </w:tcBorders>
                        <w:hideMark/>
                      </w:tcPr>
                      <w:p w14:paraId="3675E2E1" w14:textId="77777777" w:rsidR="002618D3" w:rsidRPr="007A1075" w:rsidRDefault="002618D3" w:rsidP="00800D89">
                        <w:pPr>
                          <w:pStyle w:val="TableText"/>
                        </w:pPr>
                      </w:p>
                    </w:tc>
                    <w:tc>
                      <w:tcPr>
                        <w:tcW w:w="1402" w:type="dxa"/>
                        <w:vMerge/>
                        <w:tcBorders>
                          <w:top w:val="none" w:sz="0" w:space="0" w:color="auto"/>
                          <w:bottom w:val="none" w:sz="0" w:space="0" w:color="auto"/>
                        </w:tcBorders>
                        <w:hideMark/>
                      </w:tcPr>
                      <w:p w14:paraId="638DAEA6" w14:textId="77777777" w:rsidR="002618D3" w:rsidRPr="00321BC5" w:rsidRDefault="002618D3" w:rsidP="00800D89">
                        <w:pPr>
                          <w:pStyle w:val="TableText"/>
                          <w:cnfStyle w:val="000000100000" w:firstRow="0" w:lastRow="0" w:firstColumn="0" w:lastColumn="0" w:oddVBand="0" w:evenVBand="0" w:oddHBand="1" w:evenHBand="0" w:firstRowFirstColumn="0" w:firstRowLastColumn="0" w:lastRowFirstColumn="0" w:lastRowLastColumn="0"/>
                        </w:pPr>
                      </w:p>
                    </w:tc>
                    <w:tc>
                      <w:tcPr>
                        <w:tcW w:w="2151" w:type="dxa"/>
                        <w:vMerge/>
                        <w:tcBorders>
                          <w:top w:val="none" w:sz="0" w:space="0" w:color="auto"/>
                          <w:bottom w:val="none" w:sz="0" w:space="0" w:color="auto"/>
                        </w:tcBorders>
                        <w:hideMark/>
                      </w:tcPr>
                      <w:p w14:paraId="4D71F922" w14:textId="77777777" w:rsidR="002618D3" w:rsidRPr="00321BC5" w:rsidRDefault="002618D3" w:rsidP="00800D89">
                        <w:pPr>
                          <w:pStyle w:val="TableText"/>
                          <w:cnfStyle w:val="000000100000" w:firstRow="0" w:lastRow="0" w:firstColumn="0" w:lastColumn="0" w:oddVBand="0" w:evenVBand="0" w:oddHBand="1" w:evenHBand="0" w:firstRowFirstColumn="0" w:firstRowLastColumn="0" w:lastRowFirstColumn="0" w:lastRowLastColumn="0"/>
                        </w:pPr>
                      </w:p>
                    </w:tc>
                    <w:tc>
                      <w:tcPr>
                        <w:tcW w:w="2182" w:type="dxa"/>
                        <w:tcBorders>
                          <w:top w:val="none" w:sz="0" w:space="0" w:color="auto"/>
                          <w:bottom w:val="none" w:sz="0" w:space="0" w:color="auto"/>
                        </w:tcBorders>
                        <w:noWrap/>
                        <w:hideMark/>
                      </w:tcPr>
                      <w:p w14:paraId="286F7D99" w14:textId="77777777" w:rsidR="002618D3" w:rsidRPr="00321BC5" w:rsidRDefault="002618D3" w:rsidP="00800D89">
                        <w:pPr>
                          <w:pStyle w:val="TableText"/>
                          <w:cnfStyle w:val="000000100000" w:firstRow="0" w:lastRow="0" w:firstColumn="0" w:lastColumn="0" w:oddVBand="0" w:evenVBand="0" w:oddHBand="1" w:evenHBand="0" w:firstRowFirstColumn="0" w:firstRowLastColumn="0" w:lastRowFirstColumn="0" w:lastRowLastColumn="0"/>
                        </w:pPr>
                        <w:r w:rsidRPr="00321BC5">
                          <w:t>Changed skills</w:t>
                        </w:r>
                      </w:p>
                    </w:tc>
                    <w:tc>
                      <w:tcPr>
                        <w:tcW w:w="1310" w:type="dxa"/>
                        <w:tcBorders>
                          <w:top w:val="none" w:sz="0" w:space="0" w:color="auto"/>
                          <w:bottom w:val="none" w:sz="0" w:space="0" w:color="auto"/>
                        </w:tcBorders>
                        <w:noWrap/>
                        <w:hideMark/>
                      </w:tcPr>
                      <w:p w14:paraId="58320DCE" w14:textId="77777777" w:rsidR="002618D3" w:rsidRPr="007A1075" w:rsidRDefault="002618D3" w:rsidP="00800D89">
                        <w:pPr>
                          <w:pStyle w:val="TableText"/>
                          <w:cnfStyle w:val="000000100000" w:firstRow="0" w:lastRow="0" w:firstColumn="0" w:lastColumn="0" w:oddVBand="0" w:evenVBand="0" w:oddHBand="1" w:evenHBand="0" w:firstRowFirstColumn="0" w:firstRowLastColumn="0" w:lastRowFirstColumn="0" w:lastRowLastColumn="0"/>
                        </w:pPr>
                        <w:r w:rsidRPr="007A1075">
                          <w:t>0.92</w:t>
                        </w:r>
                      </w:p>
                    </w:tc>
                    <w:tc>
                      <w:tcPr>
                        <w:tcW w:w="1784" w:type="dxa"/>
                        <w:tcBorders>
                          <w:top w:val="none" w:sz="0" w:space="0" w:color="auto"/>
                          <w:bottom w:val="none" w:sz="0" w:space="0" w:color="auto"/>
                        </w:tcBorders>
                        <w:noWrap/>
                        <w:hideMark/>
                      </w:tcPr>
                      <w:p w14:paraId="13486CA8" w14:textId="77777777" w:rsidR="002618D3" w:rsidRPr="007A1075" w:rsidRDefault="002618D3" w:rsidP="00800D89">
                        <w:pPr>
                          <w:pStyle w:val="TableText"/>
                          <w:cnfStyle w:val="000000100000" w:firstRow="0" w:lastRow="0" w:firstColumn="0" w:lastColumn="0" w:oddVBand="0" w:evenVBand="0" w:oddHBand="1" w:evenHBand="0" w:firstRowFirstColumn="0" w:firstRowLastColumn="0" w:lastRowFirstColumn="0" w:lastRowLastColumn="0"/>
                        </w:pPr>
                        <w:r w:rsidRPr="007A1075">
                          <w:t>3804629</w:t>
                        </w:r>
                      </w:p>
                    </w:tc>
                    <w:tc>
                      <w:tcPr>
                        <w:tcW w:w="1172" w:type="dxa"/>
                        <w:tcBorders>
                          <w:top w:val="none" w:sz="0" w:space="0" w:color="auto"/>
                          <w:bottom w:val="none" w:sz="0" w:space="0" w:color="auto"/>
                        </w:tcBorders>
                        <w:noWrap/>
                        <w:hideMark/>
                      </w:tcPr>
                      <w:p w14:paraId="5C7D342F" w14:textId="77777777" w:rsidR="002618D3" w:rsidRPr="007A1075" w:rsidRDefault="002618D3" w:rsidP="00800D89">
                        <w:pPr>
                          <w:pStyle w:val="TableText"/>
                          <w:cnfStyle w:val="000000100000" w:firstRow="0" w:lastRow="0" w:firstColumn="0" w:lastColumn="0" w:oddVBand="0" w:evenVBand="0" w:oddHBand="1" w:evenHBand="0" w:firstRowFirstColumn="0" w:firstRowLastColumn="0" w:lastRowFirstColumn="0" w:lastRowLastColumn="0"/>
                        </w:pPr>
                        <w:r w:rsidRPr="007A1075">
                          <w:t>11225</w:t>
                        </w:r>
                      </w:p>
                    </w:tc>
                    <w:tc>
                      <w:tcPr>
                        <w:tcW w:w="1027" w:type="dxa"/>
                        <w:tcBorders>
                          <w:top w:val="none" w:sz="0" w:space="0" w:color="auto"/>
                          <w:bottom w:val="none" w:sz="0" w:space="0" w:color="auto"/>
                        </w:tcBorders>
                        <w:noWrap/>
                        <w:hideMark/>
                      </w:tcPr>
                      <w:p w14:paraId="4A47D008" w14:textId="77777777" w:rsidR="002618D3" w:rsidRPr="007A1075" w:rsidRDefault="002618D3" w:rsidP="00800D89">
                        <w:pPr>
                          <w:pStyle w:val="TableText"/>
                          <w:cnfStyle w:val="000000100000" w:firstRow="0" w:lastRow="0" w:firstColumn="0" w:lastColumn="0" w:oddVBand="0" w:evenVBand="0" w:oddHBand="1" w:evenHBand="0" w:firstRowFirstColumn="0" w:firstRowLastColumn="0" w:lastRowFirstColumn="0" w:lastRowLastColumn="0"/>
                        </w:pPr>
                        <w:r w:rsidRPr="007A1075">
                          <w:t>&lt;.001</w:t>
                        </w:r>
                      </w:p>
                    </w:tc>
                    <w:tc>
                      <w:tcPr>
                        <w:tcW w:w="1669" w:type="dxa"/>
                        <w:tcBorders>
                          <w:top w:val="none" w:sz="0" w:space="0" w:color="auto"/>
                          <w:bottom w:val="none" w:sz="0" w:space="0" w:color="auto"/>
                        </w:tcBorders>
                        <w:noWrap/>
                        <w:hideMark/>
                      </w:tcPr>
                      <w:p w14:paraId="40049E65" w14:textId="2F0D382D" w:rsidR="002618D3" w:rsidRPr="007A1075" w:rsidRDefault="002618D3" w:rsidP="00800D89">
                        <w:pPr>
                          <w:pStyle w:val="TableText"/>
                          <w:cnfStyle w:val="000000100000" w:firstRow="0" w:lastRow="0" w:firstColumn="0" w:lastColumn="0" w:oddVBand="0" w:evenVBand="0" w:oddHBand="1" w:evenHBand="0" w:firstRowFirstColumn="0" w:firstRowLastColumn="0" w:lastRowFirstColumn="0" w:lastRowLastColumn="0"/>
                        </w:pPr>
                        <w:r w:rsidRPr="007A1075">
                          <w:t>60.2% (n=6</w:t>
                        </w:r>
                        <w:r>
                          <w:t>,</w:t>
                        </w:r>
                        <w:r w:rsidRPr="007A1075">
                          <w:t>760)</w:t>
                        </w:r>
                      </w:p>
                    </w:tc>
                  </w:tr>
                  <w:tr w:rsidR="00F3116F" w:rsidRPr="007A1075" w14:paraId="4E1A9ED4" w14:textId="77777777" w:rsidTr="00520E3A">
                    <w:trPr>
                      <w:trHeight w:val="291"/>
                    </w:trPr>
                    <w:tc>
                      <w:tcPr>
                        <w:cnfStyle w:val="001000000000" w:firstRow="0" w:lastRow="0" w:firstColumn="1" w:lastColumn="0" w:oddVBand="0" w:evenVBand="0" w:oddHBand="0" w:evenHBand="0" w:firstRowFirstColumn="0" w:firstRowLastColumn="0" w:lastRowFirstColumn="0" w:lastRowLastColumn="0"/>
                        <w:tcW w:w="1325" w:type="dxa"/>
                        <w:vMerge/>
                        <w:tcBorders>
                          <w:right w:val="none" w:sz="0" w:space="0" w:color="auto"/>
                        </w:tcBorders>
                        <w:hideMark/>
                      </w:tcPr>
                      <w:p w14:paraId="28BABB6F" w14:textId="77777777" w:rsidR="002618D3" w:rsidRPr="007A1075" w:rsidRDefault="002618D3" w:rsidP="00800D89">
                        <w:pPr>
                          <w:pStyle w:val="TableText"/>
                        </w:pPr>
                      </w:p>
                    </w:tc>
                    <w:tc>
                      <w:tcPr>
                        <w:tcW w:w="1402" w:type="dxa"/>
                        <w:vMerge/>
                        <w:hideMark/>
                      </w:tcPr>
                      <w:p w14:paraId="1EB567CB" w14:textId="77777777" w:rsidR="002618D3" w:rsidRPr="00321BC5" w:rsidRDefault="002618D3" w:rsidP="00800D89">
                        <w:pPr>
                          <w:pStyle w:val="TableText"/>
                          <w:cnfStyle w:val="000000000000" w:firstRow="0" w:lastRow="0" w:firstColumn="0" w:lastColumn="0" w:oddVBand="0" w:evenVBand="0" w:oddHBand="0" w:evenHBand="0" w:firstRowFirstColumn="0" w:firstRowLastColumn="0" w:lastRowFirstColumn="0" w:lastRowLastColumn="0"/>
                        </w:pPr>
                      </w:p>
                    </w:tc>
                    <w:tc>
                      <w:tcPr>
                        <w:tcW w:w="2151" w:type="dxa"/>
                        <w:vMerge/>
                        <w:hideMark/>
                      </w:tcPr>
                      <w:p w14:paraId="305BA1C0" w14:textId="77777777" w:rsidR="002618D3" w:rsidRPr="00321BC5" w:rsidRDefault="002618D3" w:rsidP="00800D89">
                        <w:pPr>
                          <w:pStyle w:val="TableText"/>
                          <w:cnfStyle w:val="000000000000" w:firstRow="0" w:lastRow="0" w:firstColumn="0" w:lastColumn="0" w:oddVBand="0" w:evenVBand="0" w:oddHBand="0" w:evenHBand="0" w:firstRowFirstColumn="0" w:firstRowLastColumn="0" w:lastRowFirstColumn="0" w:lastRowLastColumn="0"/>
                        </w:pPr>
                      </w:p>
                    </w:tc>
                    <w:tc>
                      <w:tcPr>
                        <w:tcW w:w="2182" w:type="dxa"/>
                        <w:noWrap/>
                        <w:hideMark/>
                      </w:tcPr>
                      <w:p w14:paraId="465915C5" w14:textId="77777777" w:rsidR="002618D3" w:rsidRPr="00321BC5" w:rsidRDefault="002618D3" w:rsidP="00800D89">
                        <w:pPr>
                          <w:pStyle w:val="TableText"/>
                          <w:cnfStyle w:val="000000000000" w:firstRow="0" w:lastRow="0" w:firstColumn="0" w:lastColumn="0" w:oddVBand="0" w:evenVBand="0" w:oddHBand="0" w:evenHBand="0" w:firstRowFirstColumn="0" w:firstRowLastColumn="0" w:lastRowFirstColumn="0" w:lastRowLastColumn="0"/>
                        </w:pPr>
                        <w:r w:rsidRPr="00321BC5">
                          <w:rPr>
                            <w:lang w:val="en-NZ"/>
                          </w:rPr>
                          <w:t>Empowerment, choice and control to make own decisions</w:t>
                        </w:r>
                      </w:p>
                    </w:tc>
                    <w:tc>
                      <w:tcPr>
                        <w:tcW w:w="1310" w:type="dxa"/>
                        <w:noWrap/>
                        <w:hideMark/>
                      </w:tcPr>
                      <w:p w14:paraId="62A50A4B" w14:textId="77777777" w:rsidR="002618D3" w:rsidRPr="007A1075" w:rsidRDefault="002618D3" w:rsidP="00800D89">
                        <w:pPr>
                          <w:pStyle w:val="TableText"/>
                          <w:cnfStyle w:val="000000000000" w:firstRow="0" w:lastRow="0" w:firstColumn="0" w:lastColumn="0" w:oddVBand="0" w:evenVBand="0" w:oddHBand="0" w:evenHBand="0" w:firstRowFirstColumn="0" w:firstRowLastColumn="0" w:lastRowFirstColumn="0" w:lastRowLastColumn="0"/>
                        </w:pPr>
                        <w:r w:rsidRPr="007A1075">
                          <w:t>0.75</w:t>
                        </w:r>
                      </w:p>
                    </w:tc>
                    <w:tc>
                      <w:tcPr>
                        <w:tcW w:w="1784" w:type="dxa"/>
                        <w:noWrap/>
                        <w:hideMark/>
                      </w:tcPr>
                      <w:p w14:paraId="7088D661" w14:textId="77777777" w:rsidR="002618D3" w:rsidRPr="007A1075" w:rsidRDefault="002618D3" w:rsidP="00800D89">
                        <w:pPr>
                          <w:pStyle w:val="TableText"/>
                          <w:cnfStyle w:val="000000000000" w:firstRow="0" w:lastRow="0" w:firstColumn="0" w:lastColumn="0" w:oddVBand="0" w:evenVBand="0" w:oddHBand="0" w:evenHBand="0" w:firstRowFirstColumn="0" w:firstRowLastColumn="0" w:lastRowFirstColumn="0" w:lastRowLastColumn="0"/>
                        </w:pPr>
                        <w:r w:rsidRPr="007A1075">
                          <w:t>2988772</w:t>
                        </w:r>
                      </w:p>
                    </w:tc>
                    <w:tc>
                      <w:tcPr>
                        <w:tcW w:w="1172" w:type="dxa"/>
                        <w:noWrap/>
                        <w:hideMark/>
                      </w:tcPr>
                      <w:p w14:paraId="4C954019" w14:textId="77777777" w:rsidR="002618D3" w:rsidRPr="007A1075" w:rsidRDefault="002618D3" w:rsidP="00800D89">
                        <w:pPr>
                          <w:pStyle w:val="TableText"/>
                          <w:cnfStyle w:val="000000000000" w:firstRow="0" w:lastRow="0" w:firstColumn="0" w:lastColumn="0" w:oddVBand="0" w:evenVBand="0" w:oddHBand="0" w:evenHBand="0" w:firstRowFirstColumn="0" w:firstRowLastColumn="0" w:lastRowFirstColumn="0" w:lastRowLastColumn="0"/>
                        </w:pPr>
                        <w:r w:rsidRPr="007A1075">
                          <w:t>8541</w:t>
                        </w:r>
                      </w:p>
                    </w:tc>
                    <w:tc>
                      <w:tcPr>
                        <w:tcW w:w="1027" w:type="dxa"/>
                        <w:noWrap/>
                        <w:hideMark/>
                      </w:tcPr>
                      <w:p w14:paraId="14C8D879" w14:textId="77777777" w:rsidR="002618D3" w:rsidRPr="007A1075" w:rsidRDefault="002618D3" w:rsidP="00800D89">
                        <w:pPr>
                          <w:pStyle w:val="TableText"/>
                          <w:cnfStyle w:val="000000000000" w:firstRow="0" w:lastRow="0" w:firstColumn="0" w:lastColumn="0" w:oddVBand="0" w:evenVBand="0" w:oddHBand="0" w:evenHBand="0" w:firstRowFirstColumn="0" w:firstRowLastColumn="0" w:lastRowFirstColumn="0" w:lastRowLastColumn="0"/>
                        </w:pPr>
                        <w:r w:rsidRPr="007A1075">
                          <w:t>&lt;.001</w:t>
                        </w:r>
                      </w:p>
                    </w:tc>
                    <w:tc>
                      <w:tcPr>
                        <w:tcW w:w="1669" w:type="dxa"/>
                        <w:noWrap/>
                        <w:hideMark/>
                      </w:tcPr>
                      <w:p w14:paraId="7825682E" w14:textId="4F1E4A42" w:rsidR="002618D3" w:rsidRPr="007A1075" w:rsidRDefault="002618D3" w:rsidP="00800D89">
                        <w:pPr>
                          <w:pStyle w:val="TableText"/>
                          <w:cnfStyle w:val="000000000000" w:firstRow="0" w:lastRow="0" w:firstColumn="0" w:lastColumn="0" w:oddVBand="0" w:evenVBand="0" w:oddHBand="0" w:evenHBand="0" w:firstRowFirstColumn="0" w:firstRowLastColumn="0" w:lastRowFirstColumn="0" w:lastRowLastColumn="0"/>
                        </w:pPr>
                        <w:r w:rsidRPr="007A1075">
                          <w:t>53.0% (n=4</w:t>
                        </w:r>
                        <w:r>
                          <w:t>,</w:t>
                        </w:r>
                        <w:r w:rsidRPr="007A1075">
                          <w:t>531)</w:t>
                        </w:r>
                      </w:p>
                    </w:tc>
                  </w:tr>
                  <w:tr w:rsidR="00F3116F" w:rsidRPr="007A1075" w14:paraId="174D2E57" w14:textId="77777777" w:rsidTr="00520E3A">
                    <w:trPr>
                      <w:cnfStyle w:val="000000100000" w:firstRow="0" w:lastRow="0" w:firstColumn="0" w:lastColumn="0" w:oddVBand="0" w:evenVBand="0" w:oddHBand="1" w:evenHBand="0" w:firstRowFirstColumn="0" w:firstRowLastColumn="0" w:lastRowFirstColumn="0" w:lastRowLastColumn="0"/>
                      <w:trHeight w:val="291"/>
                    </w:trPr>
                    <w:tc>
                      <w:tcPr>
                        <w:cnfStyle w:val="001000000000" w:firstRow="0" w:lastRow="0" w:firstColumn="1" w:lastColumn="0" w:oddVBand="0" w:evenVBand="0" w:oddHBand="0" w:evenHBand="0" w:firstRowFirstColumn="0" w:firstRowLastColumn="0" w:lastRowFirstColumn="0" w:lastRowLastColumn="0"/>
                        <w:tcW w:w="1325" w:type="dxa"/>
                        <w:vMerge/>
                        <w:tcBorders>
                          <w:top w:val="none" w:sz="0" w:space="0" w:color="auto"/>
                          <w:bottom w:val="none" w:sz="0" w:space="0" w:color="auto"/>
                          <w:right w:val="none" w:sz="0" w:space="0" w:color="auto"/>
                        </w:tcBorders>
                        <w:hideMark/>
                      </w:tcPr>
                      <w:p w14:paraId="6E4BF711" w14:textId="77777777" w:rsidR="002618D3" w:rsidRPr="007A1075" w:rsidRDefault="002618D3" w:rsidP="00800D89">
                        <w:pPr>
                          <w:pStyle w:val="TableText"/>
                        </w:pPr>
                      </w:p>
                    </w:tc>
                    <w:tc>
                      <w:tcPr>
                        <w:tcW w:w="1402" w:type="dxa"/>
                        <w:vMerge/>
                        <w:tcBorders>
                          <w:top w:val="none" w:sz="0" w:space="0" w:color="auto"/>
                          <w:bottom w:val="none" w:sz="0" w:space="0" w:color="auto"/>
                        </w:tcBorders>
                        <w:hideMark/>
                      </w:tcPr>
                      <w:p w14:paraId="73522F06" w14:textId="77777777" w:rsidR="002618D3" w:rsidRPr="007A1075" w:rsidRDefault="002618D3" w:rsidP="00800D89">
                        <w:pPr>
                          <w:pStyle w:val="TableText"/>
                          <w:cnfStyle w:val="000000100000" w:firstRow="0" w:lastRow="0" w:firstColumn="0" w:lastColumn="0" w:oddVBand="0" w:evenVBand="0" w:oddHBand="1" w:evenHBand="0" w:firstRowFirstColumn="0" w:firstRowLastColumn="0" w:lastRowFirstColumn="0" w:lastRowLastColumn="0"/>
                        </w:pPr>
                      </w:p>
                    </w:tc>
                    <w:tc>
                      <w:tcPr>
                        <w:tcW w:w="2151" w:type="dxa"/>
                        <w:vMerge/>
                        <w:tcBorders>
                          <w:top w:val="none" w:sz="0" w:space="0" w:color="auto"/>
                          <w:bottom w:val="none" w:sz="0" w:space="0" w:color="auto"/>
                        </w:tcBorders>
                        <w:hideMark/>
                      </w:tcPr>
                      <w:p w14:paraId="32E2F018" w14:textId="77777777" w:rsidR="002618D3" w:rsidRPr="007A1075" w:rsidRDefault="002618D3" w:rsidP="00800D89">
                        <w:pPr>
                          <w:pStyle w:val="TableText"/>
                          <w:cnfStyle w:val="000000100000" w:firstRow="0" w:lastRow="0" w:firstColumn="0" w:lastColumn="0" w:oddVBand="0" w:evenVBand="0" w:oddHBand="1" w:evenHBand="0" w:firstRowFirstColumn="0" w:firstRowLastColumn="0" w:lastRowFirstColumn="0" w:lastRowLastColumn="0"/>
                        </w:pPr>
                      </w:p>
                    </w:tc>
                    <w:tc>
                      <w:tcPr>
                        <w:tcW w:w="2182" w:type="dxa"/>
                        <w:tcBorders>
                          <w:top w:val="none" w:sz="0" w:space="0" w:color="auto"/>
                          <w:bottom w:val="none" w:sz="0" w:space="0" w:color="auto"/>
                        </w:tcBorders>
                        <w:noWrap/>
                        <w:hideMark/>
                      </w:tcPr>
                      <w:p w14:paraId="47218662" w14:textId="77777777" w:rsidR="002618D3" w:rsidRPr="00321BC5" w:rsidRDefault="002618D3" w:rsidP="00800D89">
                        <w:pPr>
                          <w:pStyle w:val="TableText"/>
                          <w:cnfStyle w:val="000000100000" w:firstRow="0" w:lastRow="0" w:firstColumn="0" w:lastColumn="0" w:oddVBand="0" w:evenVBand="0" w:oddHBand="1" w:evenHBand="0" w:firstRowFirstColumn="0" w:firstRowLastColumn="0" w:lastRowFirstColumn="0" w:lastRowLastColumn="0"/>
                        </w:pPr>
                        <w:r w:rsidRPr="00321BC5">
                          <w:t>Engagement with relevant support services</w:t>
                        </w:r>
                      </w:p>
                    </w:tc>
                    <w:tc>
                      <w:tcPr>
                        <w:tcW w:w="1310" w:type="dxa"/>
                        <w:tcBorders>
                          <w:top w:val="none" w:sz="0" w:space="0" w:color="auto"/>
                          <w:bottom w:val="none" w:sz="0" w:space="0" w:color="auto"/>
                        </w:tcBorders>
                        <w:noWrap/>
                        <w:hideMark/>
                      </w:tcPr>
                      <w:p w14:paraId="6C2D4A3F" w14:textId="77777777" w:rsidR="002618D3" w:rsidRPr="007A1075" w:rsidRDefault="002618D3" w:rsidP="00800D89">
                        <w:pPr>
                          <w:pStyle w:val="TableText"/>
                          <w:cnfStyle w:val="000000100000" w:firstRow="0" w:lastRow="0" w:firstColumn="0" w:lastColumn="0" w:oddVBand="0" w:evenVBand="0" w:oddHBand="1" w:evenHBand="0" w:firstRowFirstColumn="0" w:firstRowLastColumn="0" w:lastRowFirstColumn="0" w:lastRowLastColumn="0"/>
                        </w:pPr>
                        <w:r w:rsidRPr="007A1075">
                          <w:t>1.04</w:t>
                        </w:r>
                      </w:p>
                    </w:tc>
                    <w:tc>
                      <w:tcPr>
                        <w:tcW w:w="1784" w:type="dxa"/>
                        <w:tcBorders>
                          <w:top w:val="none" w:sz="0" w:space="0" w:color="auto"/>
                          <w:bottom w:val="none" w:sz="0" w:space="0" w:color="auto"/>
                        </w:tcBorders>
                        <w:noWrap/>
                        <w:hideMark/>
                      </w:tcPr>
                      <w:p w14:paraId="20863B44" w14:textId="77777777" w:rsidR="002618D3" w:rsidRPr="007A1075" w:rsidRDefault="002618D3" w:rsidP="00800D89">
                        <w:pPr>
                          <w:pStyle w:val="TableText"/>
                          <w:cnfStyle w:val="000000100000" w:firstRow="0" w:lastRow="0" w:firstColumn="0" w:lastColumn="0" w:oddVBand="0" w:evenVBand="0" w:oddHBand="1" w:evenHBand="0" w:firstRowFirstColumn="0" w:firstRowLastColumn="0" w:lastRowFirstColumn="0" w:lastRowLastColumn="0"/>
                        </w:pPr>
                        <w:r w:rsidRPr="007A1075">
                          <w:t>891143</w:t>
                        </w:r>
                      </w:p>
                    </w:tc>
                    <w:tc>
                      <w:tcPr>
                        <w:tcW w:w="1172" w:type="dxa"/>
                        <w:tcBorders>
                          <w:top w:val="none" w:sz="0" w:space="0" w:color="auto"/>
                          <w:bottom w:val="none" w:sz="0" w:space="0" w:color="auto"/>
                        </w:tcBorders>
                        <w:noWrap/>
                        <w:hideMark/>
                      </w:tcPr>
                      <w:p w14:paraId="589C543A" w14:textId="77777777" w:rsidR="002618D3" w:rsidRPr="007A1075" w:rsidRDefault="002618D3" w:rsidP="00800D89">
                        <w:pPr>
                          <w:pStyle w:val="TableText"/>
                          <w:cnfStyle w:val="000000100000" w:firstRow="0" w:lastRow="0" w:firstColumn="0" w:lastColumn="0" w:oddVBand="0" w:evenVBand="0" w:oddHBand="1" w:evenHBand="0" w:firstRowFirstColumn="0" w:firstRowLastColumn="0" w:lastRowFirstColumn="0" w:lastRowLastColumn="0"/>
                        </w:pPr>
                        <w:r w:rsidRPr="007A1075">
                          <w:t>5053</w:t>
                        </w:r>
                      </w:p>
                    </w:tc>
                    <w:tc>
                      <w:tcPr>
                        <w:tcW w:w="1027" w:type="dxa"/>
                        <w:tcBorders>
                          <w:top w:val="none" w:sz="0" w:space="0" w:color="auto"/>
                          <w:bottom w:val="none" w:sz="0" w:space="0" w:color="auto"/>
                        </w:tcBorders>
                        <w:noWrap/>
                        <w:hideMark/>
                      </w:tcPr>
                      <w:p w14:paraId="00581B94" w14:textId="77777777" w:rsidR="002618D3" w:rsidRPr="007A1075" w:rsidRDefault="002618D3" w:rsidP="00800D89">
                        <w:pPr>
                          <w:pStyle w:val="TableText"/>
                          <w:cnfStyle w:val="000000100000" w:firstRow="0" w:lastRow="0" w:firstColumn="0" w:lastColumn="0" w:oddVBand="0" w:evenVBand="0" w:oddHBand="1" w:evenHBand="0" w:firstRowFirstColumn="0" w:firstRowLastColumn="0" w:lastRowFirstColumn="0" w:lastRowLastColumn="0"/>
                        </w:pPr>
                        <w:r w:rsidRPr="007A1075">
                          <w:t>&lt;.001</w:t>
                        </w:r>
                      </w:p>
                    </w:tc>
                    <w:tc>
                      <w:tcPr>
                        <w:tcW w:w="1669" w:type="dxa"/>
                        <w:tcBorders>
                          <w:top w:val="none" w:sz="0" w:space="0" w:color="auto"/>
                          <w:bottom w:val="none" w:sz="0" w:space="0" w:color="auto"/>
                        </w:tcBorders>
                        <w:noWrap/>
                        <w:hideMark/>
                      </w:tcPr>
                      <w:p w14:paraId="4F269C76" w14:textId="7B3E5ED6" w:rsidR="002618D3" w:rsidRPr="007A1075" w:rsidRDefault="002618D3" w:rsidP="00800D89">
                        <w:pPr>
                          <w:pStyle w:val="TableText"/>
                          <w:cnfStyle w:val="000000100000" w:firstRow="0" w:lastRow="0" w:firstColumn="0" w:lastColumn="0" w:oddVBand="0" w:evenVBand="0" w:oddHBand="1" w:evenHBand="0" w:firstRowFirstColumn="0" w:firstRowLastColumn="0" w:lastRowFirstColumn="0" w:lastRowLastColumn="0"/>
                        </w:pPr>
                        <w:r w:rsidRPr="007A1075">
                          <w:t>62.7% (n=3</w:t>
                        </w:r>
                        <w:r>
                          <w:t>,</w:t>
                        </w:r>
                        <w:r w:rsidRPr="007A1075">
                          <w:t>167)</w:t>
                        </w:r>
                      </w:p>
                    </w:tc>
                  </w:tr>
                </w:tbl>
                <w:p w14:paraId="4CE66088" w14:textId="77777777" w:rsidR="00BE3916" w:rsidRDefault="00DD5451" w:rsidP="15DD266E">
                  <w:pPr>
                    <w:rPr>
                      <w:i/>
                      <w:sz w:val="20"/>
                      <w:szCs w:val="18"/>
                    </w:rPr>
                  </w:pPr>
                  <w:r>
                    <w:rPr>
                      <w:i/>
                      <w:sz w:val="20"/>
                      <w:szCs w:val="18"/>
                    </w:rPr>
                    <w:t xml:space="preserve">Source: DEX-SCORE data </w:t>
                  </w:r>
                </w:p>
                <w:p w14:paraId="7DA00F8B" w14:textId="77777777" w:rsidR="00BE3916" w:rsidRDefault="00BE3916" w:rsidP="15DD266E">
                  <w:pPr>
                    <w:rPr>
                      <w:i/>
                      <w:sz w:val="20"/>
                      <w:szCs w:val="18"/>
                    </w:rPr>
                  </w:pPr>
                </w:p>
                <w:p w14:paraId="79246128" w14:textId="77777777" w:rsidR="00BE3916" w:rsidRDefault="00BE3916" w:rsidP="15DD266E">
                  <w:pPr>
                    <w:rPr>
                      <w:i/>
                      <w:sz w:val="20"/>
                      <w:szCs w:val="18"/>
                    </w:rPr>
                  </w:pPr>
                </w:p>
                <w:p w14:paraId="18023A44" w14:textId="77777777" w:rsidR="00BE3916" w:rsidRDefault="00BE3916" w:rsidP="15DD266E">
                  <w:pPr>
                    <w:rPr>
                      <w:i/>
                      <w:sz w:val="20"/>
                      <w:szCs w:val="18"/>
                    </w:rPr>
                  </w:pPr>
                </w:p>
                <w:p w14:paraId="1CCB3484" w14:textId="77777777" w:rsidR="00BE3916" w:rsidRDefault="00BE3916" w:rsidP="15DD266E">
                  <w:pPr>
                    <w:rPr>
                      <w:i/>
                      <w:sz w:val="20"/>
                      <w:szCs w:val="18"/>
                    </w:rPr>
                  </w:pPr>
                </w:p>
                <w:p w14:paraId="35A8AA4C" w14:textId="77777777" w:rsidR="00BE3916" w:rsidRDefault="00BE3916" w:rsidP="15DD266E">
                  <w:pPr>
                    <w:rPr>
                      <w:i/>
                      <w:sz w:val="20"/>
                      <w:szCs w:val="18"/>
                    </w:rPr>
                  </w:pPr>
                </w:p>
                <w:p w14:paraId="7181E441" w14:textId="77777777" w:rsidR="00BE3916" w:rsidRDefault="00BE3916" w:rsidP="15DD266E">
                  <w:pPr>
                    <w:rPr>
                      <w:i/>
                      <w:sz w:val="20"/>
                      <w:szCs w:val="18"/>
                    </w:rPr>
                  </w:pPr>
                </w:p>
                <w:p w14:paraId="5FD1349D" w14:textId="77777777" w:rsidR="00BE3916" w:rsidRDefault="00BE3916" w:rsidP="15DD266E">
                  <w:pPr>
                    <w:rPr>
                      <w:i/>
                      <w:sz w:val="20"/>
                      <w:szCs w:val="18"/>
                    </w:rPr>
                  </w:pPr>
                </w:p>
                <w:p w14:paraId="1B161D28" w14:textId="77777777" w:rsidR="00BE3916" w:rsidRDefault="00BE3916" w:rsidP="15DD266E">
                  <w:pPr>
                    <w:rPr>
                      <w:i/>
                      <w:sz w:val="20"/>
                      <w:szCs w:val="18"/>
                    </w:rPr>
                  </w:pPr>
                </w:p>
                <w:p w14:paraId="1A468C32" w14:textId="77777777" w:rsidR="00066FF4" w:rsidRDefault="00066FF4" w:rsidP="15DD266E">
                  <w:pPr>
                    <w:rPr>
                      <w:i/>
                      <w:sz w:val="20"/>
                      <w:szCs w:val="18"/>
                    </w:rPr>
                  </w:pPr>
                </w:p>
                <w:p w14:paraId="61110282" w14:textId="77777777" w:rsidR="00800D89" w:rsidRDefault="00800D89" w:rsidP="15DD266E">
                  <w:pPr>
                    <w:rPr>
                      <w:i/>
                      <w:sz w:val="20"/>
                      <w:szCs w:val="18"/>
                    </w:rPr>
                  </w:pPr>
                </w:p>
                <w:p w14:paraId="1C52A386" w14:textId="1CAC5A6F" w:rsidR="00EB3F3C" w:rsidRPr="00DD5451" w:rsidRDefault="00972274" w:rsidP="00DD5451">
                  <w:pPr>
                    <w:rPr>
                      <w:i/>
                      <w:sz w:val="20"/>
                      <w:szCs w:val="18"/>
                    </w:rPr>
                  </w:pPr>
                </w:p>
              </w:sdtContent>
            </w:sdt>
          </w:sdtContent>
        </w:sdt>
      </w:sdtContent>
    </w:sdt>
    <w:p w14:paraId="13B5961C" w14:textId="07B9A888" w:rsidR="007611DA" w:rsidRPr="00811E31" w:rsidRDefault="007611DA" w:rsidP="007611DA">
      <w:pPr>
        <w:pStyle w:val="TableFigure-Header"/>
        <w:rPr>
          <w:rStyle w:val="Text-Bold"/>
          <w:b/>
          <w:szCs w:val="21"/>
          <w:lang w:val="en-NZ"/>
        </w:rPr>
      </w:pPr>
      <w:bookmarkStart w:id="599" w:name="_Ref204603816"/>
      <w:r w:rsidRPr="00811E31">
        <w:rPr>
          <w:rStyle w:val="Text-Bold"/>
          <w:b/>
          <w:szCs w:val="21"/>
          <w:lang w:val="en-NZ"/>
        </w:rPr>
        <w:lastRenderedPageBreak/>
        <w:t xml:space="preserve">Table </w:t>
      </w:r>
      <w:r w:rsidRPr="00811E31">
        <w:rPr>
          <w:rStyle w:val="Text-Bold"/>
          <w:b/>
          <w:szCs w:val="21"/>
        </w:rPr>
        <w:fldChar w:fldCharType="begin"/>
      </w:r>
      <w:r w:rsidRPr="00811E31">
        <w:rPr>
          <w:szCs w:val="21"/>
        </w:rPr>
        <w:instrText xml:space="preserve"> SEQ Table \* ARABIC </w:instrText>
      </w:r>
      <w:r w:rsidRPr="00811E31">
        <w:rPr>
          <w:rStyle w:val="Text-Bold"/>
          <w:b/>
          <w:szCs w:val="21"/>
        </w:rPr>
        <w:fldChar w:fldCharType="separate"/>
      </w:r>
      <w:r w:rsidR="008D2566">
        <w:rPr>
          <w:noProof/>
          <w:szCs w:val="21"/>
        </w:rPr>
        <w:t>56</w:t>
      </w:r>
      <w:r w:rsidRPr="00811E31">
        <w:rPr>
          <w:rStyle w:val="Text-Bold"/>
          <w:b/>
          <w:szCs w:val="21"/>
        </w:rPr>
        <w:fldChar w:fldCharType="end"/>
      </w:r>
      <w:bookmarkEnd w:id="599"/>
      <w:r w:rsidRPr="00811E31">
        <w:rPr>
          <w:rStyle w:val="Text-Bold"/>
          <w:b/>
          <w:szCs w:val="21"/>
          <w:lang w:val="en-NZ"/>
        </w:rPr>
        <w:t xml:space="preserve">: Mean earliest-to-latest SCORE change (within-subjects) by delivery mode, SFVS </w:t>
      </w:r>
      <w:r w:rsidR="00E614D3" w:rsidRPr="00811E31">
        <w:rPr>
          <w:rStyle w:val="Text-Bold"/>
          <w:b/>
          <w:szCs w:val="21"/>
          <w:lang w:val="en-NZ"/>
        </w:rPr>
        <w:t>service users</w:t>
      </w:r>
      <w:r w:rsidR="00811E31" w:rsidRPr="00811E31">
        <w:rPr>
          <w:rStyle w:val="Text-Bold"/>
          <w:b/>
          <w:szCs w:val="21"/>
          <w:lang w:val="en-NZ"/>
        </w:rPr>
        <w:t>, July 2021 to June 2024</w:t>
      </w:r>
    </w:p>
    <w:tbl>
      <w:tblPr>
        <w:tblStyle w:val="ListTable3-Accent31"/>
        <w:tblW w:w="139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8"/>
        <w:gridCol w:w="1134"/>
        <w:gridCol w:w="1701"/>
        <w:gridCol w:w="3402"/>
        <w:gridCol w:w="1417"/>
        <w:gridCol w:w="1276"/>
        <w:gridCol w:w="850"/>
        <w:gridCol w:w="1280"/>
        <w:gridCol w:w="1900"/>
      </w:tblGrid>
      <w:tr w:rsidR="00874B35" w:rsidRPr="007A1075" w14:paraId="7654396E" w14:textId="77777777" w:rsidTr="00520E3A">
        <w:trPr>
          <w:cnfStyle w:val="100000000000" w:firstRow="1" w:lastRow="0" w:firstColumn="0" w:lastColumn="0" w:oddVBand="0" w:evenVBand="0" w:oddHBand="0" w:evenHBand="0" w:firstRowFirstColumn="0" w:firstRowLastColumn="0" w:lastRowFirstColumn="0" w:lastRowLastColumn="0"/>
          <w:trHeight w:val="580"/>
        </w:trPr>
        <w:tc>
          <w:tcPr>
            <w:cnfStyle w:val="001000000100" w:firstRow="0" w:lastRow="0" w:firstColumn="1" w:lastColumn="0" w:oddVBand="0" w:evenVBand="0" w:oddHBand="0" w:evenHBand="0" w:firstRowFirstColumn="1" w:firstRowLastColumn="0" w:lastRowFirstColumn="0" w:lastRowLastColumn="0"/>
            <w:tcW w:w="0" w:type="dxa"/>
            <w:tcBorders>
              <w:bottom w:val="none" w:sz="0" w:space="0" w:color="auto"/>
              <w:right w:val="none" w:sz="0" w:space="0" w:color="auto"/>
            </w:tcBorders>
            <w:hideMark/>
          </w:tcPr>
          <w:p w14:paraId="309375E9" w14:textId="77777777" w:rsidR="00FE25CC" w:rsidRPr="007A1075" w:rsidRDefault="00FE25CC" w:rsidP="00800D89">
            <w:pPr>
              <w:pStyle w:val="TableText"/>
            </w:pPr>
            <w:r w:rsidRPr="007A1075">
              <w:t>Activity</w:t>
            </w:r>
          </w:p>
        </w:tc>
        <w:tc>
          <w:tcPr>
            <w:tcW w:w="0" w:type="dxa"/>
            <w:hideMark/>
          </w:tcPr>
          <w:p w14:paraId="241F27D0" w14:textId="77777777" w:rsidR="00FE25CC" w:rsidRPr="007A1075" w:rsidRDefault="00FE25CC" w:rsidP="00800D89">
            <w:pPr>
              <w:pStyle w:val="TableText"/>
              <w:cnfStyle w:val="100000000000" w:firstRow="1" w:lastRow="0" w:firstColumn="0" w:lastColumn="0" w:oddVBand="0" w:evenVBand="0" w:oddHBand="0" w:evenHBand="0" w:firstRowFirstColumn="0" w:firstRowLastColumn="0" w:lastRowFirstColumn="0" w:lastRowLastColumn="0"/>
            </w:pPr>
            <w:r w:rsidRPr="007A1075">
              <w:t>Delivery mode</w:t>
            </w:r>
          </w:p>
        </w:tc>
        <w:tc>
          <w:tcPr>
            <w:tcW w:w="0" w:type="dxa"/>
            <w:hideMark/>
          </w:tcPr>
          <w:p w14:paraId="5A472AEE" w14:textId="77777777" w:rsidR="00FE25CC" w:rsidRPr="007A1075" w:rsidRDefault="00FE25CC" w:rsidP="00800D89">
            <w:pPr>
              <w:pStyle w:val="TableText"/>
              <w:cnfStyle w:val="100000000000" w:firstRow="1" w:lastRow="0" w:firstColumn="0" w:lastColumn="0" w:oddVBand="0" w:evenVBand="0" w:oddHBand="0" w:evenHBand="0" w:firstRowFirstColumn="0" w:firstRowLastColumn="0" w:lastRowFirstColumn="0" w:lastRowLastColumn="0"/>
            </w:pPr>
            <w:r w:rsidRPr="007A1075">
              <w:t>Outcome type</w:t>
            </w:r>
          </w:p>
        </w:tc>
        <w:tc>
          <w:tcPr>
            <w:tcW w:w="0" w:type="dxa"/>
            <w:noWrap/>
            <w:hideMark/>
          </w:tcPr>
          <w:p w14:paraId="7746DA87" w14:textId="77777777" w:rsidR="00FE25CC" w:rsidRPr="007A1075" w:rsidRDefault="00FE25CC" w:rsidP="00800D89">
            <w:pPr>
              <w:pStyle w:val="TableText"/>
              <w:cnfStyle w:val="100000000000" w:firstRow="1" w:lastRow="0" w:firstColumn="0" w:lastColumn="0" w:oddVBand="0" w:evenVBand="0" w:oddHBand="0" w:evenHBand="0" w:firstRowFirstColumn="0" w:firstRowLastColumn="0" w:lastRowFirstColumn="0" w:lastRowLastColumn="0"/>
            </w:pPr>
            <w:r w:rsidRPr="007A1075">
              <w:t>Domain</w:t>
            </w:r>
          </w:p>
        </w:tc>
        <w:tc>
          <w:tcPr>
            <w:tcW w:w="0" w:type="dxa"/>
            <w:hideMark/>
          </w:tcPr>
          <w:p w14:paraId="743A66B9" w14:textId="77777777" w:rsidR="00FE25CC" w:rsidRPr="007A1075" w:rsidRDefault="00FE25CC" w:rsidP="00800D89">
            <w:pPr>
              <w:pStyle w:val="TableText"/>
              <w:cnfStyle w:val="100000000000" w:firstRow="1" w:lastRow="0" w:firstColumn="0" w:lastColumn="0" w:oddVBand="0" w:evenVBand="0" w:oddHBand="0" w:evenHBand="0" w:firstRowFirstColumn="0" w:firstRowLastColumn="0" w:lastRowFirstColumn="0" w:lastRowLastColumn="0"/>
            </w:pPr>
            <w:r w:rsidRPr="007A1075">
              <w:t>SCORE change (mean)</w:t>
            </w:r>
          </w:p>
        </w:tc>
        <w:tc>
          <w:tcPr>
            <w:tcW w:w="0" w:type="dxa"/>
            <w:noWrap/>
            <w:hideMark/>
          </w:tcPr>
          <w:p w14:paraId="7F83C6CE" w14:textId="77777777" w:rsidR="00FE25CC" w:rsidRPr="007A1075" w:rsidRDefault="00FE25CC" w:rsidP="00800D89">
            <w:pPr>
              <w:pStyle w:val="TableText"/>
              <w:cnfStyle w:val="100000000000" w:firstRow="1" w:lastRow="0" w:firstColumn="0" w:lastColumn="0" w:oddVBand="0" w:evenVBand="0" w:oddHBand="0" w:evenHBand="0" w:firstRowFirstColumn="0" w:firstRowLastColumn="0" w:lastRowFirstColumn="0" w:lastRowLastColumn="0"/>
            </w:pPr>
            <w:r w:rsidRPr="007A1075">
              <w:t>Wilcoxon</w:t>
            </w:r>
          </w:p>
        </w:tc>
        <w:tc>
          <w:tcPr>
            <w:tcW w:w="0" w:type="dxa"/>
            <w:noWrap/>
            <w:hideMark/>
          </w:tcPr>
          <w:p w14:paraId="7D6ED9EC" w14:textId="77777777" w:rsidR="00FE25CC" w:rsidRPr="007A1075" w:rsidRDefault="00FE25CC" w:rsidP="00800D89">
            <w:pPr>
              <w:pStyle w:val="TableText"/>
              <w:cnfStyle w:val="100000000000" w:firstRow="1" w:lastRow="0" w:firstColumn="0" w:lastColumn="0" w:oddVBand="0" w:evenVBand="0" w:oddHBand="0" w:evenHBand="0" w:firstRowFirstColumn="0" w:firstRowLastColumn="0" w:lastRowFirstColumn="0" w:lastRowLastColumn="0"/>
            </w:pPr>
            <w:r w:rsidRPr="007A1075">
              <w:t>n</w:t>
            </w:r>
          </w:p>
        </w:tc>
        <w:tc>
          <w:tcPr>
            <w:tcW w:w="0" w:type="dxa"/>
            <w:noWrap/>
            <w:hideMark/>
          </w:tcPr>
          <w:p w14:paraId="20AB3423" w14:textId="77777777" w:rsidR="00FE25CC" w:rsidRPr="007A1075" w:rsidRDefault="00FE25CC" w:rsidP="00800D89">
            <w:pPr>
              <w:pStyle w:val="TableText"/>
              <w:cnfStyle w:val="100000000000" w:firstRow="1" w:lastRow="0" w:firstColumn="0" w:lastColumn="0" w:oddVBand="0" w:evenVBand="0" w:oddHBand="0" w:evenHBand="0" w:firstRowFirstColumn="0" w:firstRowLastColumn="0" w:lastRowFirstColumn="0" w:lastRowLastColumn="0"/>
            </w:pPr>
            <w:r w:rsidRPr="007A1075">
              <w:t>p</w:t>
            </w:r>
          </w:p>
        </w:tc>
        <w:tc>
          <w:tcPr>
            <w:tcW w:w="0" w:type="dxa"/>
            <w:hideMark/>
          </w:tcPr>
          <w:p w14:paraId="62FBF0DD" w14:textId="5D39FCEA" w:rsidR="00FE25CC" w:rsidRPr="007A1075" w:rsidRDefault="00402977" w:rsidP="00800D89">
            <w:pPr>
              <w:pStyle w:val="TableText"/>
              <w:cnfStyle w:val="100000000000" w:firstRow="1" w:lastRow="0" w:firstColumn="0" w:lastColumn="0" w:oddVBand="0" w:evenVBand="0" w:oddHBand="0" w:evenHBand="0" w:firstRowFirstColumn="0" w:firstRowLastColumn="0" w:lastRowFirstColumn="0" w:lastRowLastColumn="0"/>
            </w:pPr>
            <w:r>
              <w:t>Service users</w:t>
            </w:r>
            <w:r w:rsidR="00FE25CC" w:rsidRPr="007A1075">
              <w:t xml:space="preserve"> with positive change (%, n)</w:t>
            </w:r>
          </w:p>
        </w:tc>
      </w:tr>
      <w:tr w:rsidR="006771BF" w:rsidRPr="007A1075" w14:paraId="161805B5" w14:textId="77777777" w:rsidTr="00520E3A">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88" w:type="dxa"/>
            <w:vMerge w:val="restart"/>
            <w:tcBorders>
              <w:top w:val="none" w:sz="0" w:space="0" w:color="auto"/>
              <w:bottom w:val="none" w:sz="0" w:space="0" w:color="auto"/>
              <w:right w:val="none" w:sz="0" w:space="0" w:color="auto"/>
            </w:tcBorders>
            <w:hideMark/>
          </w:tcPr>
          <w:p w14:paraId="182C276D" w14:textId="5FAAEF03" w:rsidR="00FE25CC" w:rsidRPr="00321BC5" w:rsidRDefault="00FE25CC" w:rsidP="00800D89">
            <w:pPr>
              <w:pStyle w:val="TableText"/>
              <w:rPr>
                <w:b w:val="0"/>
              </w:rPr>
            </w:pPr>
            <w:r w:rsidRPr="00811E31">
              <w:rPr>
                <w:b w:val="0"/>
                <w:bCs w:val="0"/>
              </w:rPr>
              <w:t xml:space="preserve">SFVS (incl. </w:t>
            </w:r>
            <w:r w:rsidR="00E91A9D" w:rsidRPr="00811E31">
              <w:rPr>
                <w:b w:val="0"/>
                <w:bCs w:val="0"/>
              </w:rPr>
              <w:t>4AP2</w:t>
            </w:r>
            <w:r w:rsidR="00E91A9D" w:rsidRPr="00E91A9D">
              <w:t>)</w:t>
            </w:r>
          </w:p>
        </w:tc>
        <w:tc>
          <w:tcPr>
            <w:tcW w:w="1134" w:type="dxa"/>
            <w:vMerge w:val="restart"/>
            <w:tcBorders>
              <w:top w:val="none" w:sz="0" w:space="0" w:color="auto"/>
              <w:bottom w:val="none" w:sz="0" w:space="0" w:color="auto"/>
            </w:tcBorders>
            <w:hideMark/>
          </w:tcPr>
          <w:p w14:paraId="70F13AD0" w14:textId="77777777" w:rsidR="00FE25CC" w:rsidRPr="00800D89" w:rsidRDefault="00FE25CC" w:rsidP="00800D89">
            <w:pPr>
              <w:pStyle w:val="TableText"/>
              <w:cnfStyle w:val="000000100000" w:firstRow="0" w:lastRow="0" w:firstColumn="0" w:lastColumn="0" w:oddVBand="0" w:evenVBand="0" w:oddHBand="1" w:evenHBand="0" w:firstRowFirstColumn="0" w:firstRowLastColumn="0" w:lastRowFirstColumn="0" w:lastRowLastColumn="0"/>
            </w:pPr>
            <w:r w:rsidRPr="00800D89">
              <w:t>F2F</w:t>
            </w:r>
          </w:p>
        </w:tc>
        <w:tc>
          <w:tcPr>
            <w:tcW w:w="1701" w:type="dxa"/>
            <w:vMerge w:val="restart"/>
            <w:tcBorders>
              <w:top w:val="none" w:sz="0" w:space="0" w:color="auto"/>
              <w:bottom w:val="none" w:sz="0" w:space="0" w:color="auto"/>
            </w:tcBorders>
            <w:hideMark/>
          </w:tcPr>
          <w:p w14:paraId="716A42EF" w14:textId="77777777" w:rsidR="00FE25CC" w:rsidRPr="00800D89" w:rsidRDefault="00FE25CC" w:rsidP="00800D89">
            <w:pPr>
              <w:pStyle w:val="TableText"/>
              <w:cnfStyle w:val="000000100000" w:firstRow="0" w:lastRow="0" w:firstColumn="0" w:lastColumn="0" w:oddVBand="0" w:evenVBand="0" w:oddHBand="1" w:evenHBand="0" w:firstRowFirstColumn="0" w:firstRowLastColumn="0" w:lastRowFirstColumn="0" w:lastRowLastColumn="0"/>
            </w:pPr>
            <w:r w:rsidRPr="00800D89">
              <w:t>Circumstances</w:t>
            </w:r>
          </w:p>
        </w:tc>
        <w:tc>
          <w:tcPr>
            <w:tcW w:w="3402" w:type="dxa"/>
            <w:tcBorders>
              <w:top w:val="none" w:sz="0" w:space="0" w:color="auto"/>
              <w:bottom w:val="none" w:sz="0" w:space="0" w:color="auto"/>
            </w:tcBorders>
            <w:noWrap/>
            <w:hideMark/>
          </w:tcPr>
          <w:p w14:paraId="1496B0F4" w14:textId="77777777" w:rsidR="00FE25CC" w:rsidRPr="00800D89" w:rsidRDefault="00FE25CC" w:rsidP="00800D89">
            <w:pPr>
              <w:pStyle w:val="TableText"/>
              <w:cnfStyle w:val="000000100000" w:firstRow="0" w:lastRow="0" w:firstColumn="0" w:lastColumn="0" w:oddVBand="0" w:evenVBand="0" w:oddHBand="1" w:evenHBand="0" w:firstRowFirstColumn="0" w:firstRowLastColumn="0" w:lastRowFirstColumn="0" w:lastRowLastColumn="0"/>
            </w:pPr>
            <w:r w:rsidRPr="00800D89">
              <w:t>Family functioning</w:t>
            </w:r>
          </w:p>
        </w:tc>
        <w:tc>
          <w:tcPr>
            <w:tcW w:w="1417" w:type="dxa"/>
            <w:tcBorders>
              <w:top w:val="none" w:sz="0" w:space="0" w:color="auto"/>
              <w:bottom w:val="none" w:sz="0" w:space="0" w:color="auto"/>
            </w:tcBorders>
            <w:noWrap/>
            <w:hideMark/>
          </w:tcPr>
          <w:p w14:paraId="740F4A4B" w14:textId="77777777" w:rsidR="00FE25CC" w:rsidRPr="007A1075" w:rsidRDefault="00FE25CC" w:rsidP="00800D89">
            <w:pPr>
              <w:pStyle w:val="TableText"/>
              <w:cnfStyle w:val="000000100000" w:firstRow="0" w:lastRow="0" w:firstColumn="0" w:lastColumn="0" w:oddVBand="0" w:evenVBand="0" w:oddHBand="1" w:evenHBand="0" w:firstRowFirstColumn="0" w:firstRowLastColumn="0" w:lastRowFirstColumn="0" w:lastRowLastColumn="0"/>
            </w:pPr>
            <w:r w:rsidRPr="007A1075">
              <w:t>0.83</w:t>
            </w:r>
          </w:p>
        </w:tc>
        <w:tc>
          <w:tcPr>
            <w:tcW w:w="1276" w:type="dxa"/>
            <w:tcBorders>
              <w:top w:val="none" w:sz="0" w:space="0" w:color="auto"/>
              <w:bottom w:val="none" w:sz="0" w:space="0" w:color="auto"/>
            </w:tcBorders>
            <w:noWrap/>
            <w:hideMark/>
          </w:tcPr>
          <w:p w14:paraId="09A20E4B" w14:textId="77777777" w:rsidR="00FE25CC" w:rsidRPr="007A1075" w:rsidRDefault="00FE25CC" w:rsidP="00800D89">
            <w:pPr>
              <w:pStyle w:val="TableText"/>
              <w:cnfStyle w:val="000000100000" w:firstRow="0" w:lastRow="0" w:firstColumn="0" w:lastColumn="0" w:oddVBand="0" w:evenVBand="0" w:oddHBand="1" w:evenHBand="0" w:firstRowFirstColumn="0" w:firstRowLastColumn="0" w:lastRowFirstColumn="0" w:lastRowLastColumn="0"/>
            </w:pPr>
            <w:r w:rsidRPr="007A1075">
              <w:t>313271.5</w:t>
            </w:r>
          </w:p>
        </w:tc>
        <w:tc>
          <w:tcPr>
            <w:tcW w:w="850" w:type="dxa"/>
            <w:tcBorders>
              <w:top w:val="none" w:sz="0" w:space="0" w:color="auto"/>
              <w:bottom w:val="none" w:sz="0" w:space="0" w:color="auto"/>
            </w:tcBorders>
            <w:noWrap/>
            <w:hideMark/>
          </w:tcPr>
          <w:p w14:paraId="290B0E37" w14:textId="2D3E9068" w:rsidR="00FE25CC" w:rsidRPr="007A1075" w:rsidRDefault="00FE25CC" w:rsidP="00800D89">
            <w:pPr>
              <w:pStyle w:val="TableText"/>
              <w:cnfStyle w:val="000000100000" w:firstRow="0" w:lastRow="0" w:firstColumn="0" w:lastColumn="0" w:oddVBand="0" w:evenVBand="0" w:oddHBand="1" w:evenHBand="0" w:firstRowFirstColumn="0" w:firstRowLastColumn="0" w:lastRowFirstColumn="0" w:lastRowLastColumn="0"/>
            </w:pPr>
            <w:r w:rsidRPr="007A1075">
              <w:t>2</w:t>
            </w:r>
            <w:r w:rsidR="00E96DF5">
              <w:t>,</w:t>
            </w:r>
            <w:r w:rsidRPr="007A1075">
              <w:t>745</w:t>
            </w:r>
          </w:p>
        </w:tc>
        <w:tc>
          <w:tcPr>
            <w:tcW w:w="1280" w:type="dxa"/>
            <w:tcBorders>
              <w:top w:val="none" w:sz="0" w:space="0" w:color="auto"/>
              <w:bottom w:val="none" w:sz="0" w:space="0" w:color="auto"/>
            </w:tcBorders>
            <w:noWrap/>
            <w:hideMark/>
          </w:tcPr>
          <w:p w14:paraId="282D2BF3" w14:textId="77777777" w:rsidR="00FE25CC" w:rsidRPr="007A1075" w:rsidRDefault="00FE25CC" w:rsidP="00800D89">
            <w:pPr>
              <w:pStyle w:val="TableText"/>
              <w:cnfStyle w:val="000000100000" w:firstRow="0" w:lastRow="0" w:firstColumn="0" w:lastColumn="0" w:oddVBand="0" w:evenVBand="0" w:oddHBand="1" w:evenHBand="0" w:firstRowFirstColumn="0" w:firstRowLastColumn="0" w:lastRowFirstColumn="0" w:lastRowLastColumn="0"/>
            </w:pPr>
            <w:r w:rsidRPr="007A1075">
              <w:t>&lt;.001</w:t>
            </w:r>
          </w:p>
        </w:tc>
        <w:tc>
          <w:tcPr>
            <w:tcW w:w="1900" w:type="dxa"/>
            <w:tcBorders>
              <w:top w:val="none" w:sz="0" w:space="0" w:color="auto"/>
              <w:bottom w:val="none" w:sz="0" w:space="0" w:color="auto"/>
            </w:tcBorders>
            <w:noWrap/>
            <w:hideMark/>
          </w:tcPr>
          <w:p w14:paraId="67FBC631" w14:textId="0B7440F8" w:rsidR="00FE25CC" w:rsidRPr="007A1075" w:rsidRDefault="00FE25CC" w:rsidP="00800D89">
            <w:pPr>
              <w:pStyle w:val="TableText"/>
              <w:cnfStyle w:val="000000100000" w:firstRow="0" w:lastRow="0" w:firstColumn="0" w:lastColumn="0" w:oddVBand="0" w:evenVBand="0" w:oddHBand="1" w:evenHBand="0" w:firstRowFirstColumn="0" w:firstRowLastColumn="0" w:lastRowFirstColumn="0" w:lastRowLastColumn="0"/>
            </w:pPr>
            <w:r w:rsidRPr="007A1075">
              <w:t>54.1% (n=1</w:t>
            </w:r>
            <w:r w:rsidR="00E96DF5">
              <w:t>,</w:t>
            </w:r>
            <w:r w:rsidRPr="007A1075">
              <w:t>486)</w:t>
            </w:r>
          </w:p>
        </w:tc>
      </w:tr>
      <w:tr w:rsidR="006771BF" w:rsidRPr="007A1075" w14:paraId="2C792E3B" w14:textId="77777777" w:rsidTr="00520E3A">
        <w:trPr>
          <w:trHeight w:val="290"/>
        </w:trPr>
        <w:tc>
          <w:tcPr>
            <w:cnfStyle w:val="001000000000" w:firstRow="0" w:lastRow="0" w:firstColumn="1" w:lastColumn="0" w:oddVBand="0" w:evenVBand="0" w:oddHBand="0" w:evenHBand="0" w:firstRowFirstColumn="0" w:firstRowLastColumn="0" w:lastRowFirstColumn="0" w:lastRowLastColumn="0"/>
            <w:tcW w:w="988" w:type="dxa"/>
            <w:vMerge/>
            <w:tcBorders>
              <w:right w:val="none" w:sz="0" w:space="0" w:color="auto"/>
            </w:tcBorders>
            <w:hideMark/>
          </w:tcPr>
          <w:p w14:paraId="347D5BA2" w14:textId="77777777" w:rsidR="00FE25CC" w:rsidRPr="00FE25CC" w:rsidRDefault="00FE25CC" w:rsidP="00800D89">
            <w:pPr>
              <w:pStyle w:val="TableText"/>
            </w:pPr>
          </w:p>
        </w:tc>
        <w:tc>
          <w:tcPr>
            <w:tcW w:w="1134" w:type="dxa"/>
            <w:vMerge/>
            <w:hideMark/>
          </w:tcPr>
          <w:p w14:paraId="48312CEB" w14:textId="77777777" w:rsidR="00FE25CC" w:rsidRPr="00800D89" w:rsidRDefault="00FE25CC" w:rsidP="00800D89">
            <w:pPr>
              <w:pStyle w:val="TableText"/>
              <w:cnfStyle w:val="000000000000" w:firstRow="0" w:lastRow="0" w:firstColumn="0" w:lastColumn="0" w:oddVBand="0" w:evenVBand="0" w:oddHBand="0" w:evenHBand="0" w:firstRowFirstColumn="0" w:firstRowLastColumn="0" w:lastRowFirstColumn="0" w:lastRowLastColumn="0"/>
            </w:pPr>
          </w:p>
        </w:tc>
        <w:tc>
          <w:tcPr>
            <w:tcW w:w="1701" w:type="dxa"/>
            <w:vMerge/>
            <w:hideMark/>
          </w:tcPr>
          <w:p w14:paraId="21950FC3" w14:textId="77777777" w:rsidR="00FE25CC" w:rsidRPr="00800D89" w:rsidRDefault="00FE25CC" w:rsidP="00800D89">
            <w:pPr>
              <w:pStyle w:val="TableText"/>
              <w:cnfStyle w:val="000000000000" w:firstRow="0" w:lastRow="0" w:firstColumn="0" w:lastColumn="0" w:oddVBand="0" w:evenVBand="0" w:oddHBand="0" w:evenHBand="0" w:firstRowFirstColumn="0" w:firstRowLastColumn="0" w:lastRowFirstColumn="0" w:lastRowLastColumn="0"/>
            </w:pPr>
          </w:p>
        </w:tc>
        <w:tc>
          <w:tcPr>
            <w:tcW w:w="3402" w:type="dxa"/>
            <w:noWrap/>
            <w:hideMark/>
          </w:tcPr>
          <w:p w14:paraId="6E8A5DE4" w14:textId="77777777" w:rsidR="00FE25CC" w:rsidRPr="00800D89" w:rsidRDefault="00FE25CC" w:rsidP="00800D89">
            <w:pPr>
              <w:pStyle w:val="TableText"/>
              <w:cnfStyle w:val="000000000000" w:firstRow="0" w:lastRow="0" w:firstColumn="0" w:lastColumn="0" w:oddVBand="0" w:evenVBand="0" w:oddHBand="0" w:evenHBand="0" w:firstRowFirstColumn="0" w:firstRowLastColumn="0" w:lastRowFirstColumn="0" w:lastRowLastColumn="0"/>
            </w:pPr>
            <w:r w:rsidRPr="57F92EFB">
              <w:rPr>
                <w:lang w:val="en-NZ"/>
              </w:rPr>
              <w:t>Mental health, wellbeing and self-care</w:t>
            </w:r>
          </w:p>
        </w:tc>
        <w:tc>
          <w:tcPr>
            <w:tcW w:w="1417" w:type="dxa"/>
            <w:noWrap/>
            <w:hideMark/>
          </w:tcPr>
          <w:p w14:paraId="4D40DA8E" w14:textId="77777777" w:rsidR="00FE25CC" w:rsidRPr="007A1075" w:rsidRDefault="00FE25CC" w:rsidP="00800D89">
            <w:pPr>
              <w:pStyle w:val="TableText"/>
              <w:cnfStyle w:val="000000000000" w:firstRow="0" w:lastRow="0" w:firstColumn="0" w:lastColumn="0" w:oddVBand="0" w:evenVBand="0" w:oddHBand="0" w:evenHBand="0" w:firstRowFirstColumn="0" w:firstRowLastColumn="0" w:lastRowFirstColumn="0" w:lastRowLastColumn="0"/>
            </w:pPr>
            <w:r w:rsidRPr="007A1075">
              <w:t>0.89</w:t>
            </w:r>
          </w:p>
        </w:tc>
        <w:tc>
          <w:tcPr>
            <w:tcW w:w="1276" w:type="dxa"/>
            <w:noWrap/>
            <w:hideMark/>
          </w:tcPr>
          <w:p w14:paraId="4C0D54A0" w14:textId="77777777" w:rsidR="00FE25CC" w:rsidRPr="007A1075" w:rsidRDefault="00FE25CC" w:rsidP="00800D89">
            <w:pPr>
              <w:pStyle w:val="TableText"/>
              <w:cnfStyle w:val="000000000000" w:firstRow="0" w:lastRow="0" w:firstColumn="0" w:lastColumn="0" w:oddVBand="0" w:evenVBand="0" w:oddHBand="0" w:evenHBand="0" w:firstRowFirstColumn="0" w:firstRowLastColumn="0" w:lastRowFirstColumn="0" w:lastRowLastColumn="0"/>
            </w:pPr>
            <w:r w:rsidRPr="007A1075">
              <w:t>307110</w:t>
            </w:r>
          </w:p>
        </w:tc>
        <w:tc>
          <w:tcPr>
            <w:tcW w:w="850" w:type="dxa"/>
            <w:noWrap/>
            <w:hideMark/>
          </w:tcPr>
          <w:p w14:paraId="36744C34" w14:textId="4F510CA5" w:rsidR="00FE25CC" w:rsidRPr="007A1075" w:rsidRDefault="00FE25CC" w:rsidP="00800D89">
            <w:pPr>
              <w:pStyle w:val="TableText"/>
              <w:cnfStyle w:val="000000000000" w:firstRow="0" w:lastRow="0" w:firstColumn="0" w:lastColumn="0" w:oddVBand="0" w:evenVBand="0" w:oddHBand="0" w:evenHBand="0" w:firstRowFirstColumn="0" w:firstRowLastColumn="0" w:lastRowFirstColumn="0" w:lastRowLastColumn="0"/>
            </w:pPr>
            <w:r w:rsidRPr="007A1075">
              <w:t>2</w:t>
            </w:r>
            <w:r w:rsidR="00E96DF5">
              <w:t>,</w:t>
            </w:r>
            <w:r w:rsidRPr="007A1075">
              <w:t>806</w:t>
            </w:r>
          </w:p>
        </w:tc>
        <w:tc>
          <w:tcPr>
            <w:tcW w:w="1280" w:type="dxa"/>
            <w:noWrap/>
            <w:hideMark/>
          </w:tcPr>
          <w:p w14:paraId="269C24B5" w14:textId="77777777" w:rsidR="00FE25CC" w:rsidRPr="007A1075" w:rsidRDefault="00FE25CC" w:rsidP="00800D89">
            <w:pPr>
              <w:pStyle w:val="TableText"/>
              <w:cnfStyle w:val="000000000000" w:firstRow="0" w:lastRow="0" w:firstColumn="0" w:lastColumn="0" w:oddVBand="0" w:evenVBand="0" w:oddHBand="0" w:evenHBand="0" w:firstRowFirstColumn="0" w:firstRowLastColumn="0" w:lastRowFirstColumn="0" w:lastRowLastColumn="0"/>
            </w:pPr>
            <w:r w:rsidRPr="007A1075">
              <w:t>&lt;.001</w:t>
            </w:r>
          </w:p>
        </w:tc>
        <w:tc>
          <w:tcPr>
            <w:tcW w:w="1900" w:type="dxa"/>
            <w:noWrap/>
            <w:hideMark/>
          </w:tcPr>
          <w:p w14:paraId="4F3907F9" w14:textId="23E8162A" w:rsidR="00FE25CC" w:rsidRPr="007A1075" w:rsidRDefault="00FE25CC" w:rsidP="00800D89">
            <w:pPr>
              <w:pStyle w:val="TableText"/>
              <w:cnfStyle w:val="000000000000" w:firstRow="0" w:lastRow="0" w:firstColumn="0" w:lastColumn="0" w:oddVBand="0" w:evenVBand="0" w:oddHBand="0" w:evenHBand="0" w:firstRowFirstColumn="0" w:firstRowLastColumn="0" w:lastRowFirstColumn="0" w:lastRowLastColumn="0"/>
            </w:pPr>
            <w:r w:rsidRPr="007A1075">
              <w:t>57.3% (n=1</w:t>
            </w:r>
            <w:r w:rsidR="00E96DF5">
              <w:t>,</w:t>
            </w:r>
            <w:r w:rsidRPr="007A1075">
              <w:t>607)</w:t>
            </w:r>
          </w:p>
        </w:tc>
      </w:tr>
      <w:tr w:rsidR="006771BF" w:rsidRPr="007A1075" w14:paraId="7912B145" w14:textId="77777777" w:rsidTr="00520E3A">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88" w:type="dxa"/>
            <w:vMerge/>
            <w:tcBorders>
              <w:top w:val="none" w:sz="0" w:space="0" w:color="auto"/>
              <w:bottom w:val="none" w:sz="0" w:space="0" w:color="auto"/>
              <w:right w:val="none" w:sz="0" w:space="0" w:color="auto"/>
            </w:tcBorders>
            <w:hideMark/>
          </w:tcPr>
          <w:p w14:paraId="76706B6A" w14:textId="77777777" w:rsidR="00FE25CC" w:rsidRPr="00FE25CC" w:rsidRDefault="00FE25CC" w:rsidP="00800D89">
            <w:pPr>
              <w:pStyle w:val="TableText"/>
            </w:pPr>
          </w:p>
        </w:tc>
        <w:tc>
          <w:tcPr>
            <w:tcW w:w="1134" w:type="dxa"/>
            <w:vMerge/>
            <w:tcBorders>
              <w:top w:val="none" w:sz="0" w:space="0" w:color="auto"/>
              <w:bottom w:val="none" w:sz="0" w:space="0" w:color="auto"/>
            </w:tcBorders>
            <w:hideMark/>
          </w:tcPr>
          <w:p w14:paraId="51D5C05C" w14:textId="77777777" w:rsidR="00FE25CC" w:rsidRPr="00800D89" w:rsidRDefault="00FE25CC" w:rsidP="00800D89">
            <w:pPr>
              <w:pStyle w:val="TableText"/>
              <w:cnfStyle w:val="000000100000" w:firstRow="0" w:lastRow="0" w:firstColumn="0" w:lastColumn="0" w:oddVBand="0" w:evenVBand="0" w:oddHBand="1" w:evenHBand="0" w:firstRowFirstColumn="0" w:firstRowLastColumn="0" w:lastRowFirstColumn="0" w:lastRowLastColumn="0"/>
            </w:pPr>
          </w:p>
        </w:tc>
        <w:tc>
          <w:tcPr>
            <w:tcW w:w="1701" w:type="dxa"/>
            <w:vMerge/>
            <w:tcBorders>
              <w:top w:val="none" w:sz="0" w:space="0" w:color="auto"/>
              <w:bottom w:val="none" w:sz="0" w:space="0" w:color="auto"/>
            </w:tcBorders>
            <w:hideMark/>
          </w:tcPr>
          <w:p w14:paraId="10417732" w14:textId="77777777" w:rsidR="00FE25CC" w:rsidRPr="00800D89" w:rsidRDefault="00FE25CC" w:rsidP="00800D89">
            <w:pPr>
              <w:pStyle w:val="TableText"/>
              <w:cnfStyle w:val="000000100000" w:firstRow="0" w:lastRow="0" w:firstColumn="0" w:lastColumn="0" w:oddVBand="0" w:evenVBand="0" w:oddHBand="1" w:evenHBand="0" w:firstRowFirstColumn="0" w:firstRowLastColumn="0" w:lastRowFirstColumn="0" w:lastRowLastColumn="0"/>
            </w:pPr>
          </w:p>
        </w:tc>
        <w:tc>
          <w:tcPr>
            <w:tcW w:w="3402" w:type="dxa"/>
            <w:tcBorders>
              <w:top w:val="none" w:sz="0" w:space="0" w:color="auto"/>
              <w:bottom w:val="none" w:sz="0" w:space="0" w:color="auto"/>
            </w:tcBorders>
            <w:noWrap/>
            <w:hideMark/>
          </w:tcPr>
          <w:p w14:paraId="3A86709D" w14:textId="77777777" w:rsidR="00FE25CC" w:rsidRPr="00800D89" w:rsidRDefault="00FE25CC" w:rsidP="00800D89">
            <w:pPr>
              <w:pStyle w:val="TableText"/>
              <w:cnfStyle w:val="000000100000" w:firstRow="0" w:lastRow="0" w:firstColumn="0" w:lastColumn="0" w:oddVBand="0" w:evenVBand="0" w:oddHBand="1" w:evenHBand="0" w:firstRowFirstColumn="0" w:firstRowLastColumn="0" w:lastRowFirstColumn="0" w:lastRowLastColumn="0"/>
            </w:pPr>
            <w:r w:rsidRPr="00800D89">
              <w:t>Personal and family safety</w:t>
            </w:r>
          </w:p>
        </w:tc>
        <w:tc>
          <w:tcPr>
            <w:tcW w:w="1417" w:type="dxa"/>
            <w:tcBorders>
              <w:top w:val="none" w:sz="0" w:space="0" w:color="auto"/>
              <w:bottom w:val="none" w:sz="0" w:space="0" w:color="auto"/>
            </w:tcBorders>
            <w:noWrap/>
            <w:hideMark/>
          </w:tcPr>
          <w:p w14:paraId="529AFA65" w14:textId="77777777" w:rsidR="00FE25CC" w:rsidRPr="007A1075" w:rsidRDefault="00FE25CC" w:rsidP="00800D89">
            <w:pPr>
              <w:pStyle w:val="TableText"/>
              <w:cnfStyle w:val="000000100000" w:firstRow="0" w:lastRow="0" w:firstColumn="0" w:lastColumn="0" w:oddVBand="0" w:evenVBand="0" w:oddHBand="1" w:evenHBand="0" w:firstRowFirstColumn="0" w:firstRowLastColumn="0" w:lastRowFirstColumn="0" w:lastRowLastColumn="0"/>
            </w:pPr>
            <w:r w:rsidRPr="007A1075">
              <w:t>0.79</w:t>
            </w:r>
          </w:p>
        </w:tc>
        <w:tc>
          <w:tcPr>
            <w:tcW w:w="1276" w:type="dxa"/>
            <w:tcBorders>
              <w:top w:val="none" w:sz="0" w:space="0" w:color="auto"/>
              <w:bottom w:val="none" w:sz="0" w:space="0" w:color="auto"/>
            </w:tcBorders>
            <w:noWrap/>
            <w:hideMark/>
          </w:tcPr>
          <w:p w14:paraId="1E84D9D9" w14:textId="77777777" w:rsidR="00FE25CC" w:rsidRPr="007A1075" w:rsidRDefault="00FE25CC" w:rsidP="00800D89">
            <w:pPr>
              <w:pStyle w:val="TableText"/>
              <w:cnfStyle w:val="000000100000" w:firstRow="0" w:lastRow="0" w:firstColumn="0" w:lastColumn="0" w:oddVBand="0" w:evenVBand="0" w:oddHBand="1" w:evenHBand="0" w:firstRowFirstColumn="0" w:firstRowLastColumn="0" w:lastRowFirstColumn="0" w:lastRowLastColumn="0"/>
            </w:pPr>
            <w:r w:rsidRPr="007A1075">
              <w:t>359503.5</w:t>
            </w:r>
          </w:p>
        </w:tc>
        <w:tc>
          <w:tcPr>
            <w:tcW w:w="850" w:type="dxa"/>
            <w:tcBorders>
              <w:top w:val="none" w:sz="0" w:space="0" w:color="auto"/>
              <w:bottom w:val="none" w:sz="0" w:space="0" w:color="auto"/>
            </w:tcBorders>
            <w:noWrap/>
            <w:hideMark/>
          </w:tcPr>
          <w:p w14:paraId="69A6158C" w14:textId="4A0AB2B7" w:rsidR="00FE25CC" w:rsidRPr="007A1075" w:rsidRDefault="00FE25CC" w:rsidP="00800D89">
            <w:pPr>
              <w:pStyle w:val="TableText"/>
              <w:cnfStyle w:val="000000100000" w:firstRow="0" w:lastRow="0" w:firstColumn="0" w:lastColumn="0" w:oddVBand="0" w:evenVBand="0" w:oddHBand="1" w:evenHBand="0" w:firstRowFirstColumn="0" w:firstRowLastColumn="0" w:lastRowFirstColumn="0" w:lastRowLastColumn="0"/>
            </w:pPr>
            <w:r w:rsidRPr="007A1075">
              <w:t>2</w:t>
            </w:r>
            <w:r w:rsidR="00E96DF5">
              <w:t>,</w:t>
            </w:r>
            <w:r w:rsidRPr="007A1075">
              <w:t>689</w:t>
            </w:r>
          </w:p>
        </w:tc>
        <w:tc>
          <w:tcPr>
            <w:tcW w:w="1280" w:type="dxa"/>
            <w:tcBorders>
              <w:top w:val="none" w:sz="0" w:space="0" w:color="auto"/>
              <w:bottom w:val="none" w:sz="0" w:space="0" w:color="auto"/>
            </w:tcBorders>
            <w:noWrap/>
            <w:hideMark/>
          </w:tcPr>
          <w:p w14:paraId="23959326" w14:textId="77777777" w:rsidR="00FE25CC" w:rsidRPr="007A1075" w:rsidRDefault="00FE25CC" w:rsidP="00800D89">
            <w:pPr>
              <w:pStyle w:val="TableText"/>
              <w:cnfStyle w:val="000000100000" w:firstRow="0" w:lastRow="0" w:firstColumn="0" w:lastColumn="0" w:oddVBand="0" w:evenVBand="0" w:oddHBand="1" w:evenHBand="0" w:firstRowFirstColumn="0" w:firstRowLastColumn="0" w:lastRowFirstColumn="0" w:lastRowLastColumn="0"/>
            </w:pPr>
            <w:r w:rsidRPr="007A1075">
              <w:t>&lt;.001</w:t>
            </w:r>
          </w:p>
        </w:tc>
        <w:tc>
          <w:tcPr>
            <w:tcW w:w="1900" w:type="dxa"/>
            <w:tcBorders>
              <w:top w:val="none" w:sz="0" w:space="0" w:color="auto"/>
              <w:bottom w:val="none" w:sz="0" w:space="0" w:color="auto"/>
            </w:tcBorders>
            <w:noWrap/>
            <w:hideMark/>
          </w:tcPr>
          <w:p w14:paraId="3C3AD2E0" w14:textId="4E2528E5" w:rsidR="00FE25CC" w:rsidRPr="007A1075" w:rsidRDefault="00FE25CC" w:rsidP="00800D89">
            <w:pPr>
              <w:pStyle w:val="TableText"/>
              <w:cnfStyle w:val="000000100000" w:firstRow="0" w:lastRow="0" w:firstColumn="0" w:lastColumn="0" w:oddVBand="0" w:evenVBand="0" w:oddHBand="1" w:evenHBand="0" w:firstRowFirstColumn="0" w:firstRowLastColumn="0" w:lastRowFirstColumn="0" w:lastRowLastColumn="0"/>
            </w:pPr>
            <w:r w:rsidRPr="007A1075">
              <w:t>52.1% (n=1</w:t>
            </w:r>
            <w:r w:rsidR="00E96DF5">
              <w:t>,</w:t>
            </w:r>
            <w:r w:rsidRPr="007A1075">
              <w:t>401)</w:t>
            </w:r>
          </w:p>
        </w:tc>
      </w:tr>
      <w:tr w:rsidR="006771BF" w:rsidRPr="007A1075" w14:paraId="2B1BC99F" w14:textId="77777777" w:rsidTr="00520E3A">
        <w:trPr>
          <w:trHeight w:val="290"/>
        </w:trPr>
        <w:tc>
          <w:tcPr>
            <w:cnfStyle w:val="001000000000" w:firstRow="0" w:lastRow="0" w:firstColumn="1" w:lastColumn="0" w:oddVBand="0" w:evenVBand="0" w:oddHBand="0" w:evenHBand="0" w:firstRowFirstColumn="0" w:firstRowLastColumn="0" w:lastRowFirstColumn="0" w:lastRowLastColumn="0"/>
            <w:tcW w:w="988" w:type="dxa"/>
            <w:vMerge/>
            <w:tcBorders>
              <w:right w:val="none" w:sz="0" w:space="0" w:color="auto"/>
            </w:tcBorders>
            <w:hideMark/>
          </w:tcPr>
          <w:p w14:paraId="42BC7FC9" w14:textId="77777777" w:rsidR="00FE25CC" w:rsidRPr="00FE25CC" w:rsidRDefault="00FE25CC" w:rsidP="00800D89">
            <w:pPr>
              <w:pStyle w:val="TableText"/>
            </w:pPr>
          </w:p>
        </w:tc>
        <w:tc>
          <w:tcPr>
            <w:tcW w:w="1134" w:type="dxa"/>
            <w:vMerge/>
            <w:hideMark/>
          </w:tcPr>
          <w:p w14:paraId="547F0AD9" w14:textId="77777777" w:rsidR="00FE25CC" w:rsidRPr="00800D89" w:rsidRDefault="00FE25CC" w:rsidP="00800D89">
            <w:pPr>
              <w:pStyle w:val="TableText"/>
              <w:cnfStyle w:val="000000000000" w:firstRow="0" w:lastRow="0" w:firstColumn="0" w:lastColumn="0" w:oddVBand="0" w:evenVBand="0" w:oddHBand="0" w:evenHBand="0" w:firstRowFirstColumn="0" w:firstRowLastColumn="0" w:lastRowFirstColumn="0" w:lastRowLastColumn="0"/>
            </w:pPr>
          </w:p>
        </w:tc>
        <w:tc>
          <w:tcPr>
            <w:tcW w:w="1701" w:type="dxa"/>
            <w:vMerge w:val="restart"/>
            <w:hideMark/>
          </w:tcPr>
          <w:p w14:paraId="28D015F4" w14:textId="77777777" w:rsidR="00FE25CC" w:rsidRPr="00800D89" w:rsidRDefault="00FE25CC" w:rsidP="00800D89">
            <w:pPr>
              <w:pStyle w:val="TableText"/>
              <w:cnfStyle w:val="000000000000" w:firstRow="0" w:lastRow="0" w:firstColumn="0" w:lastColumn="0" w:oddVBand="0" w:evenVBand="0" w:oddHBand="0" w:evenHBand="0" w:firstRowFirstColumn="0" w:firstRowLastColumn="0" w:lastRowFirstColumn="0" w:lastRowLastColumn="0"/>
            </w:pPr>
            <w:r w:rsidRPr="00800D89">
              <w:t>Goals</w:t>
            </w:r>
          </w:p>
        </w:tc>
        <w:tc>
          <w:tcPr>
            <w:tcW w:w="3402" w:type="dxa"/>
            <w:noWrap/>
            <w:hideMark/>
          </w:tcPr>
          <w:p w14:paraId="51E6F36D" w14:textId="77777777" w:rsidR="00FE25CC" w:rsidRPr="00800D89" w:rsidRDefault="00FE25CC" w:rsidP="00800D89">
            <w:pPr>
              <w:pStyle w:val="TableText"/>
              <w:cnfStyle w:val="000000000000" w:firstRow="0" w:lastRow="0" w:firstColumn="0" w:lastColumn="0" w:oddVBand="0" w:evenVBand="0" w:oddHBand="0" w:evenHBand="0" w:firstRowFirstColumn="0" w:firstRowLastColumn="0" w:lastRowFirstColumn="0" w:lastRowLastColumn="0"/>
            </w:pPr>
            <w:r w:rsidRPr="00800D89">
              <w:t>Changed behaviours</w:t>
            </w:r>
          </w:p>
        </w:tc>
        <w:tc>
          <w:tcPr>
            <w:tcW w:w="1417" w:type="dxa"/>
            <w:noWrap/>
            <w:hideMark/>
          </w:tcPr>
          <w:p w14:paraId="241588DF" w14:textId="77777777" w:rsidR="00FE25CC" w:rsidRPr="007A1075" w:rsidRDefault="00FE25CC" w:rsidP="00800D89">
            <w:pPr>
              <w:pStyle w:val="TableText"/>
              <w:cnfStyle w:val="000000000000" w:firstRow="0" w:lastRow="0" w:firstColumn="0" w:lastColumn="0" w:oddVBand="0" w:evenVBand="0" w:oddHBand="0" w:evenHBand="0" w:firstRowFirstColumn="0" w:firstRowLastColumn="0" w:lastRowFirstColumn="0" w:lastRowLastColumn="0"/>
            </w:pPr>
            <w:r w:rsidRPr="007A1075">
              <w:t>0.99</w:t>
            </w:r>
          </w:p>
        </w:tc>
        <w:tc>
          <w:tcPr>
            <w:tcW w:w="1276" w:type="dxa"/>
            <w:noWrap/>
            <w:hideMark/>
          </w:tcPr>
          <w:p w14:paraId="6930988B" w14:textId="77777777" w:rsidR="00FE25CC" w:rsidRPr="007A1075" w:rsidRDefault="00FE25CC" w:rsidP="00800D89">
            <w:pPr>
              <w:pStyle w:val="TableText"/>
              <w:cnfStyle w:val="000000000000" w:firstRow="0" w:lastRow="0" w:firstColumn="0" w:lastColumn="0" w:oddVBand="0" w:evenVBand="0" w:oddHBand="0" w:evenHBand="0" w:firstRowFirstColumn="0" w:firstRowLastColumn="0" w:lastRowFirstColumn="0" w:lastRowLastColumn="0"/>
            </w:pPr>
            <w:r w:rsidRPr="007A1075">
              <w:t>129703</w:t>
            </w:r>
          </w:p>
        </w:tc>
        <w:tc>
          <w:tcPr>
            <w:tcW w:w="850" w:type="dxa"/>
            <w:noWrap/>
            <w:hideMark/>
          </w:tcPr>
          <w:p w14:paraId="0858FBEB" w14:textId="73A0CFCC" w:rsidR="00FE25CC" w:rsidRPr="007A1075" w:rsidRDefault="00FE25CC" w:rsidP="00800D89">
            <w:pPr>
              <w:pStyle w:val="TableText"/>
              <w:cnfStyle w:val="000000000000" w:firstRow="0" w:lastRow="0" w:firstColumn="0" w:lastColumn="0" w:oddVBand="0" w:evenVBand="0" w:oddHBand="0" w:evenHBand="0" w:firstRowFirstColumn="0" w:firstRowLastColumn="0" w:lastRowFirstColumn="0" w:lastRowLastColumn="0"/>
            </w:pPr>
            <w:r w:rsidRPr="007A1075">
              <w:t>2</w:t>
            </w:r>
            <w:r w:rsidR="00E96DF5">
              <w:t>,</w:t>
            </w:r>
            <w:r w:rsidRPr="007A1075">
              <w:t>091</w:t>
            </w:r>
          </w:p>
        </w:tc>
        <w:tc>
          <w:tcPr>
            <w:tcW w:w="1280" w:type="dxa"/>
            <w:noWrap/>
            <w:hideMark/>
          </w:tcPr>
          <w:p w14:paraId="58C51DAB" w14:textId="77777777" w:rsidR="00FE25CC" w:rsidRPr="007A1075" w:rsidRDefault="00FE25CC" w:rsidP="00800D89">
            <w:pPr>
              <w:pStyle w:val="TableText"/>
              <w:cnfStyle w:val="000000000000" w:firstRow="0" w:lastRow="0" w:firstColumn="0" w:lastColumn="0" w:oddVBand="0" w:evenVBand="0" w:oddHBand="0" w:evenHBand="0" w:firstRowFirstColumn="0" w:firstRowLastColumn="0" w:lastRowFirstColumn="0" w:lastRowLastColumn="0"/>
            </w:pPr>
            <w:r w:rsidRPr="007A1075">
              <w:t>&lt;.001</w:t>
            </w:r>
          </w:p>
        </w:tc>
        <w:tc>
          <w:tcPr>
            <w:tcW w:w="1900" w:type="dxa"/>
            <w:noWrap/>
            <w:hideMark/>
          </w:tcPr>
          <w:p w14:paraId="1D1004E9" w14:textId="1EC20A6D" w:rsidR="00FE25CC" w:rsidRPr="007A1075" w:rsidRDefault="00FE25CC" w:rsidP="00800D89">
            <w:pPr>
              <w:pStyle w:val="TableText"/>
              <w:cnfStyle w:val="000000000000" w:firstRow="0" w:lastRow="0" w:firstColumn="0" w:lastColumn="0" w:oddVBand="0" w:evenVBand="0" w:oddHBand="0" w:evenHBand="0" w:firstRowFirstColumn="0" w:firstRowLastColumn="0" w:lastRowFirstColumn="0" w:lastRowLastColumn="0"/>
            </w:pPr>
            <w:r w:rsidRPr="007A1075">
              <w:t>59.9% (n=1</w:t>
            </w:r>
            <w:r w:rsidR="00E96DF5">
              <w:t>,</w:t>
            </w:r>
            <w:r w:rsidRPr="007A1075">
              <w:t>253)</w:t>
            </w:r>
          </w:p>
        </w:tc>
      </w:tr>
      <w:tr w:rsidR="006771BF" w:rsidRPr="007A1075" w14:paraId="70C0E625" w14:textId="77777777" w:rsidTr="00520E3A">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88" w:type="dxa"/>
            <w:vMerge/>
            <w:tcBorders>
              <w:top w:val="none" w:sz="0" w:space="0" w:color="auto"/>
              <w:bottom w:val="none" w:sz="0" w:space="0" w:color="auto"/>
              <w:right w:val="none" w:sz="0" w:space="0" w:color="auto"/>
            </w:tcBorders>
            <w:hideMark/>
          </w:tcPr>
          <w:p w14:paraId="30473F2E" w14:textId="77777777" w:rsidR="00FE25CC" w:rsidRPr="00FE25CC" w:rsidRDefault="00FE25CC" w:rsidP="00800D89">
            <w:pPr>
              <w:pStyle w:val="TableText"/>
            </w:pPr>
          </w:p>
        </w:tc>
        <w:tc>
          <w:tcPr>
            <w:tcW w:w="1134" w:type="dxa"/>
            <w:vMerge/>
            <w:tcBorders>
              <w:top w:val="none" w:sz="0" w:space="0" w:color="auto"/>
              <w:bottom w:val="none" w:sz="0" w:space="0" w:color="auto"/>
            </w:tcBorders>
            <w:hideMark/>
          </w:tcPr>
          <w:p w14:paraId="384F9FAD" w14:textId="77777777" w:rsidR="00FE25CC" w:rsidRPr="00800D89" w:rsidRDefault="00FE25CC" w:rsidP="00800D89">
            <w:pPr>
              <w:pStyle w:val="TableText"/>
              <w:cnfStyle w:val="000000100000" w:firstRow="0" w:lastRow="0" w:firstColumn="0" w:lastColumn="0" w:oddVBand="0" w:evenVBand="0" w:oddHBand="1" w:evenHBand="0" w:firstRowFirstColumn="0" w:firstRowLastColumn="0" w:lastRowFirstColumn="0" w:lastRowLastColumn="0"/>
            </w:pPr>
          </w:p>
        </w:tc>
        <w:tc>
          <w:tcPr>
            <w:tcW w:w="1701" w:type="dxa"/>
            <w:vMerge/>
            <w:tcBorders>
              <w:top w:val="none" w:sz="0" w:space="0" w:color="auto"/>
              <w:bottom w:val="none" w:sz="0" w:space="0" w:color="auto"/>
            </w:tcBorders>
            <w:hideMark/>
          </w:tcPr>
          <w:p w14:paraId="61AD9320" w14:textId="77777777" w:rsidR="00FE25CC" w:rsidRPr="00800D89" w:rsidRDefault="00FE25CC" w:rsidP="00800D89">
            <w:pPr>
              <w:pStyle w:val="TableText"/>
              <w:cnfStyle w:val="000000100000" w:firstRow="0" w:lastRow="0" w:firstColumn="0" w:lastColumn="0" w:oddVBand="0" w:evenVBand="0" w:oddHBand="1" w:evenHBand="0" w:firstRowFirstColumn="0" w:firstRowLastColumn="0" w:lastRowFirstColumn="0" w:lastRowLastColumn="0"/>
            </w:pPr>
          </w:p>
        </w:tc>
        <w:tc>
          <w:tcPr>
            <w:tcW w:w="3402" w:type="dxa"/>
            <w:tcBorders>
              <w:top w:val="none" w:sz="0" w:space="0" w:color="auto"/>
              <w:bottom w:val="none" w:sz="0" w:space="0" w:color="auto"/>
            </w:tcBorders>
            <w:noWrap/>
            <w:hideMark/>
          </w:tcPr>
          <w:p w14:paraId="5AF22650" w14:textId="77777777" w:rsidR="00FE25CC" w:rsidRPr="00800D89" w:rsidRDefault="00FE25CC" w:rsidP="00800D89">
            <w:pPr>
              <w:pStyle w:val="TableText"/>
              <w:cnfStyle w:val="000000100000" w:firstRow="0" w:lastRow="0" w:firstColumn="0" w:lastColumn="0" w:oddVBand="0" w:evenVBand="0" w:oddHBand="1" w:evenHBand="0" w:firstRowFirstColumn="0" w:firstRowLastColumn="0" w:lastRowFirstColumn="0" w:lastRowLastColumn="0"/>
            </w:pPr>
            <w:r w:rsidRPr="00800D89">
              <w:t>Changed impact of immediate crisis</w:t>
            </w:r>
          </w:p>
        </w:tc>
        <w:tc>
          <w:tcPr>
            <w:tcW w:w="1417" w:type="dxa"/>
            <w:tcBorders>
              <w:top w:val="none" w:sz="0" w:space="0" w:color="auto"/>
              <w:bottom w:val="none" w:sz="0" w:space="0" w:color="auto"/>
            </w:tcBorders>
            <w:noWrap/>
            <w:hideMark/>
          </w:tcPr>
          <w:p w14:paraId="16B4B64A" w14:textId="77777777" w:rsidR="00FE25CC" w:rsidRPr="007A1075" w:rsidRDefault="00FE25CC" w:rsidP="00800D89">
            <w:pPr>
              <w:pStyle w:val="TableText"/>
              <w:cnfStyle w:val="000000100000" w:firstRow="0" w:lastRow="0" w:firstColumn="0" w:lastColumn="0" w:oddVBand="0" w:evenVBand="0" w:oddHBand="1" w:evenHBand="0" w:firstRowFirstColumn="0" w:firstRowLastColumn="0" w:lastRowFirstColumn="0" w:lastRowLastColumn="0"/>
            </w:pPr>
            <w:r w:rsidRPr="007A1075">
              <w:t>0.97</w:t>
            </w:r>
          </w:p>
        </w:tc>
        <w:tc>
          <w:tcPr>
            <w:tcW w:w="1276" w:type="dxa"/>
            <w:tcBorders>
              <w:top w:val="none" w:sz="0" w:space="0" w:color="auto"/>
              <w:bottom w:val="none" w:sz="0" w:space="0" w:color="auto"/>
            </w:tcBorders>
            <w:noWrap/>
            <w:hideMark/>
          </w:tcPr>
          <w:p w14:paraId="2DC1E596" w14:textId="77777777" w:rsidR="00FE25CC" w:rsidRPr="007A1075" w:rsidRDefault="00FE25CC" w:rsidP="00800D89">
            <w:pPr>
              <w:pStyle w:val="TableText"/>
              <w:cnfStyle w:val="000000100000" w:firstRow="0" w:lastRow="0" w:firstColumn="0" w:lastColumn="0" w:oddVBand="0" w:evenVBand="0" w:oddHBand="1" w:evenHBand="0" w:firstRowFirstColumn="0" w:firstRowLastColumn="0" w:lastRowFirstColumn="0" w:lastRowLastColumn="0"/>
            </w:pPr>
            <w:r w:rsidRPr="007A1075">
              <w:t>52454.5</w:t>
            </w:r>
          </w:p>
        </w:tc>
        <w:tc>
          <w:tcPr>
            <w:tcW w:w="850" w:type="dxa"/>
            <w:tcBorders>
              <w:top w:val="none" w:sz="0" w:space="0" w:color="auto"/>
              <w:bottom w:val="none" w:sz="0" w:space="0" w:color="auto"/>
            </w:tcBorders>
            <w:noWrap/>
            <w:hideMark/>
          </w:tcPr>
          <w:p w14:paraId="029187E2" w14:textId="258C0A5E" w:rsidR="00FE25CC" w:rsidRPr="007A1075" w:rsidRDefault="00FE25CC" w:rsidP="00800D89">
            <w:pPr>
              <w:pStyle w:val="TableText"/>
              <w:cnfStyle w:val="000000100000" w:firstRow="0" w:lastRow="0" w:firstColumn="0" w:lastColumn="0" w:oddVBand="0" w:evenVBand="0" w:oddHBand="1" w:evenHBand="0" w:firstRowFirstColumn="0" w:firstRowLastColumn="0" w:lastRowFirstColumn="0" w:lastRowLastColumn="0"/>
            </w:pPr>
            <w:r w:rsidRPr="007A1075">
              <w:t>1</w:t>
            </w:r>
            <w:r w:rsidR="00E96DF5">
              <w:t>,</w:t>
            </w:r>
            <w:r w:rsidRPr="007A1075">
              <w:t>274</w:t>
            </w:r>
          </w:p>
        </w:tc>
        <w:tc>
          <w:tcPr>
            <w:tcW w:w="1280" w:type="dxa"/>
            <w:tcBorders>
              <w:top w:val="none" w:sz="0" w:space="0" w:color="auto"/>
              <w:bottom w:val="none" w:sz="0" w:space="0" w:color="auto"/>
            </w:tcBorders>
            <w:noWrap/>
            <w:hideMark/>
          </w:tcPr>
          <w:p w14:paraId="24169B28" w14:textId="77777777" w:rsidR="00FE25CC" w:rsidRPr="007A1075" w:rsidRDefault="00FE25CC" w:rsidP="00800D89">
            <w:pPr>
              <w:pStyle w:val="TableText"/>
              <w:cnfStyle w:val="000000100000" w:firstRow="0" w:lastRow="0" w:firstColumn="0" w:lastColumn="0" w:oddVBand="0" w:evenVBand="0" w:oddHBand="1" w:evenHBand="0" w:firstRowFirstColumn="0" w:firstRowLastColumn="0" w:lastRowFirstColumn="0" w:lastRowLastColumn="0"/>
            </w:pPr>
            <w:r w:rsidRPr="007A1075">
              <w:t>&lt;.001</w:t>
            </w:r>
          </w:p>
        </w:tc>
        <w:tc>
          <w:tcPr>
            <w:tcW w:w="1900" w:type="dxa"/>
            <w:tcBorders>
              <w:top w:val="none" w:sz="0" w:space="0" w:color="auto"/>
              <w:bottom w:val="none" w:sz="0" w:space="0" w:color="auto"/>
            </w:tcBorders>
            <w:noWrap/>
            <w:hideMark/>
          </w:tcPr>
          <w:p w14:paraId="124B0DE6" w14:textId="77777777" w:rsidR="00FE25CC" w:rsidRPr="007A1075" w:rsidRDefault="00FE25CC" w:rsidP="00800D89">
            <w:pPr>
              <w:pStyle w:val="TableText"/>
              <w:cnfStyle w:val="000000100000" w:firstRow="0" w:lastRow="0" w:firstColumn="0" w:lastColumn="0" w:oddVBand="0" w:evenVBand="0" w:oddHBand="1" w:evenHBand="0" w:firstRowFirstColumn="0" w:firstRowLastColumn="0" w:lastRowFirstColumn="0" w:lastRowLastColumn="0"/>
            </w:pPr>
            <w:r w:rsidRPr="007A1075">
              <w:t>57.9% (n=738)</w:t>
            </w:r>
          </w:p>
        </w:tc>
      </w:tr>
      <w:tr w:rsidR="006771BF" w:rsidRPr="007A1075" w14:paraId="254D9191" w14:textId="77777777" w:rsidTr="00520E3A">
        <w:trPr>
          <w:trHeight w:val="290"/>
        </w:trPr>
        <w:tc>
          <w:tcPr>
            <w:cnfStyle w:val="001000000000" w:firstRow="0" w:lastRow="0" w:firstColumn="1" w:lastColumn="0" w:oddVBand="0" w:evenVBand="0" w:oddHBand="0" w:evenHBand="0" w:firstRowFirstColumn="0" w:firstRowLastColumn="0" w:lastRowFirstColumn="0" w:lastRowLastColumn="0"/>
            <w:tcW w:w="988" w:type="dxa"/>
            <w:vMerge/>
            <w:tcBorders>
              <w:right w:val="none" w:sz="0" w:space="0" w:color="auto"/>
            </w:tcBorders>
            <w:hideMark/>
          </w:tcPr>
          <w:p w14:paraId="77B66EEF" w14:textId="77777777" w:rsidR="00FE25CC" w:rsidRPr="00FE25CC" w:rsidRDefault="00FE25CC" w:rsidP="00800D89">
            <w:pPr>
              <w:pStyle w:val="TableText"/>
            </w:pPr>
          </w:p>
        </w:tc>
        <w:tc>
          <w:tcPr>
            <w:tcW w:w="1134" w:type="dxa"/>
            <w:vMerge/>
            <w:hideMark/>
          </w:tcPr>
          <w:p w14:paraId="2CCAAFF3" w14:textId="77777777" w:rsidR="00FE25CC" w:rsidRPr="00800D89" w:rsidRDefault="00FE25CC" w:rsidP="00800D89">
            <w:pPr>
              <w:pStyle w:val="TableText"/>
              <w:cnfStyle w:val="000000000000" w:firstRow="0" w:lastRow="0" w:firstColumn="0" w:lastColumn="0" w:oddVBand="0" w:evenVBand="0" w:oddHBand="0" w:evenHBand="0" w:firstRowFirstColumn="0" w:firstRowLastColumn="0" w:lastRowFirstColumn="0" w:lastRowLastColumn="0"/>
            </w:pPr>
          </w:p>
        </w:tc>
        <w:tc>
          <w:tcPr>
            <w:tcW w:w="1701" w:type="dxa"/>
            <w:vMerge/>
            <w:hideMark/>
          </w:tcPr>
          <w:p w14:paraId="76CCD11E" w14:textId="77777777" w:rsidR="00FE25CC" w:rsidRPr="00800D89" w:rsidRDefault="00FE25CC" w:rsidP="00800D89">
            <w:pPr>
              <w:pStyle w:val="TableText"/>
              <w:cnfStyle w:val="000000000000" w:firstRow="0" w:lastRow="0" w:firstColumn="0" w:lastColumn="0" w:oddVBand="0" w:evenVBand="0" w:oddHBand="0" w:evenHBand="0" w:firstRowFirstColumn="0" w:firstRowLastColumn="0" w:lastRowFirstColumn="0" w:lastRowLastColumn="0"/>
            </w:pPr>
          </w:p>
        </w:tc>
        <w:tc>
          <w:tcPr>
            <w:tcW w:w="3402" w:type="dxa"/>
            <w:noWrap/>
            <w:hideMark/>
          </w:tcPr>
          <w:p w14:paraId="2A7F75EB" w14:textId="77777777" w:rsidR="00FE25CC" w:rsidRPr="00800D89" w:rsidRDefault="00FE25CC" w:rsidP="00800D89">
            <w:pPr>
              <w:pStyle w:val="TableText"/>
              <w:cnfStyle w:val="000000000000" w:firstRow="0" w:lastRow="0" w:firstColumn="0" w:lastColumn="0" w:oddVBand="0" w:evenVBand="0" w:oddHBand="0" w:evenHBand="0" w:firstRowFirstColumn="0" w:firstRowLastColumn="0" w:lastRowFirstColumn="0" w:lastRowLastColumn="0"/>
            </w:pPr>
            <w:r w:rsidRPr="00800D89">
              <w:t>Changed knowledge and access to information</w:t>
            </w:r>
          </w:p>
        </w:tc>
        <w:tc>
          <w:tcPr>
            <w:tcW w:w="1417" w:type="dxa"/>
            <w:noWrap/>
            <w:hideMark/>
          </w:tcPr>
          <w:p w14:paraId="76DB8253" w14:textId="77777777" w:rsidR="00FE25CC" w:rsidRPr="007A1075" w:rsidRDefault="00FE25CC" w:rsidP="00800D89">
            <w:pPr>
              <w:pStyle w:val="TableText"/>
              <w:cnfStyle w:val="000000000000" w:firstRow="0" w:lastRow="0" w:firstColumn="0" w:lastColumn="0" w:oddVBand="0" w:evenVBand="0" w:oddHBand="0" w:evenHBand="0" w:firstRowFirstColumn="0" w:firstRowLastColumn="0" w:lastRowFirstColumn="0" w:lastRowLastColumn="0"/>
            </w:pPr>
            <w:r w:rsidRPr="007A1075">
              <w:t>0.99</w:t>
            </w:r>
          </w:p>
        </w:tc>
        <w:tc>
          <w:tcPr>
            <w:tcW w:w="1276" w:type="dxa"/>
            <w:noWrap/>
            <w:hideMark/>
          </w:tcPr>
          <w:p w14:paraId="5E238EB4" w14:textId="77777777" w:rsidR="00FE25CC" w:rsidRPr="007A1075" w:rsidRDefault="00FE25CC" w:rsidP="00800D89">
            <w:pPr>
              <w:pStyle w:val="TableText"/>
              <w:cnfStyle w:val="000000000000" w:firstRow="0" w:lastRow="0" w:firstColumn="0" w:lastColumn="0" w:oddVBand="0" w:evenVBand="0" w:oddHBand="0" w:evenHBand="0" w:firstRowFirstColumn="0" w:firstRowLastColumn="0" w:lastRowFirstColumn="0" w:lastRowLastColumn="0"/>
            </w:pPr>
            <w:r w:rsidRPr="007A1075">
              <w:t>134041</w:t>
            </w:r>
          </w:p>
        </w:tc>
        <w:tc>
          <w:tcPr>
            <w:tcW w:w="850" w:type="dxa"/>
            <w:noWrap/>
            <w:hideMark/>
          </w:tcPr>
          <w:p w14:paraId="1526869B" w14:textId="6FC43705" w:rsidR="00FE25CC" w:rsidRPr="007A1075" w:rsidRDefault="00FE25CC" w:rsidP="00800D89">
            <w:pPr>
              <w:pStyle w:val="TableText"/>
              <w:cnfStyle w:val="000000000000" w:firstRow="0" w:lastRow="0" w:firstColumn="0" w:lastColumn="0" w:oddVBand="0" w:evenVBand="0" w:oddHBand="0" w:evenHBand="0" w:firstRowFirstColumn="0" w:firstRowLastColumn="0" w:lastRowFirstColumn="0" w:lastRowLastColumn="0"/>
            </w:pPr>
            <w:r w:rsidRPr="007A1075">
              <w:t>2</w:t>
            </w:r>
            <w:r w:rsidR="00E96DF5">
              <w:t>,</w:t>
            </w:r>
            <w:r w:rsidRPr="007A1075">
              <w:t>110</w:t>
            </w:r>
          </w:p>
        </w:tc>
        <w:tc>
          <w:tcPr>
            <w:tcW w:w="1280" w:type="dxa"/>
            <w:noWrap/>
            <w:hideMark/>
          </w:tcPr>
          <w:p w14:paraId="02069B6A" w14:textId="77777777" w:rsidR="00FE25CC" w:rsidRPr="007A1075" w:rsidRDefault="00FE25CC" w:rsidP="00800D89">
            <w:pPr>
              <w:pStyle w:val="TableText"/>
              <w:cnfStyle w:val="000000000000" w:firstRow="0" w:lastRow="0" w:firstColumn="0" w:lastColumn="0" w:oddVBand="0" w:evenVBand="0" w:oddHBand="0" w:evenHBand="0" w:firstRowFirstColumn="0" w:firstRowLastColumn="0" w:lastRowFirstColumn="0" w:lastRowLastColumn="0"/>
            </w:pPr>
            <w:r w:rsidRPr="007A1075">
              <w:t>&lt;.001</w:t>
            </w:r>
          </w:p>
        </w:tc>
        <w:tc>
          <w:tcPr>
            <w:tcW w:w="1900" w:type="dxa"/>
            <w:noWrap/>
            <w:hideMark/>
          </w:tcPr>
          <w:p w14:paraId="5284E056" w14:textId="2CBDD295" w:rsidR="00FE25CC" w:rsidRPr="007A1075" w:rsidRDefault="00FE25CC" w:rsidP="00800D89">
            <w:pPr>
              <w:pStyle w:val="TableText"/>
              <w:cnfStyle w:val="000000000000" w:firstRow="0" w:lastRow="0" w:firstColumn="0" w:lastColumn="0" w:oddVBand="0" w:evenVBand="0" w:oddHBand="0" w:evenHBand="0" w:firstRowFirstColumn="0" w:firstRowLastColumn="0" w:lastRowFirstColumn="0" w:lastRowLastColumn="0"/>
            </w:pPr>
            <w:r w:rsidRPr="007A1075">
              <w:t>59.6% (n=1</w:t>
            </w:r>
            <w:r w:rsidR="00E96DF5">
              <w:t>,</w:t>
            </w:r>
            <w:r w:rsidRPr="007A1075">
              <w:t>257)</w:t>
            </w:r>
          </w:p>
        </w:tc>
      </w:tr>
      <w:tr w:rsidR="006771BF" w:rsidRPr="007A1075" w14:paraId="6A0B2D79" w14:textId="77777777" w:rsidTr="00520E3A">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88" w:type="dxa"/>
            <w:vMerge/>
            <w:tcBorders>
              <w:top w:val="none" w:sz="0" w:space="0" w:color="auto"/>
              <w:bottom w:val="none" w:sz="0" w:space="0" w:color="auto"/>
              <w:right w:val="none" w:sz="0" w:space="0" w:color="auto"/>
            </w:tcBorders>
            <w:hideMark/>
          </w:tcPr>
          <w:p w14:paraId="4C30D484" w14:textId="77777777" w:rsidR="00FE25CC" w:rsidRPr="00FE25CC" w:rsidRDefault="00FE25CC" w:rsidP="00800D89">
            <w:pPr>
              <w:pStyle w:val="TableText"/>
            </w:pPr>
          </w:p>
        </w:tc>
        <w:tc>
          <w:tcPr>
            <w:tcW w:w="1134" w:type="dxa"/>
            <w:vMerge/>
            <w:tcBorders>
              <w:top w:val="none" w:sz="0" w:space="0" w:color="auto"/>
              <w:bottom w:val="none" w:sz="0" w:space="0" w:color="auto"/>
            </w:tcBorders>
            <w:hideMark/>
          </w:tcPr>
          <w:p w14:paraId="0855A040" w14:textId="77777777" w:rsidR="00FE25CC" w:rsidRPr="00800D89" w:rsidRDefault="00FE25CC" w:rsidP="00800D89">
            <w:pPr>
              <w:pStyle w:val="TableText"/>
              <w:cnfStyle w:val="000000100000" w:firstRow="0" w:lastRow="0" w:firstColumn="0" w:lastColumn="0" w:oddVBand="0" w:evenVBand="0" w:oddHBand="1" w:evenHBand="0" w:firstRowFirstColumn="0" w:firstRowLastColumn="0" w:lastRowFirstColumn="0" w:lastRowLastColumn="0"/>
            </w:pPr>
          </w:p>
        </w:tc>
        <w:tc>
          <w:tcPr>
            <w:tcW w:w="1701" w:type="dxa"/>
            <w:vMerge/>
            <w:tcBorders>
              <w:top w:val="none" w:sz="0" w:space="0" w:color="auto"/>
              <w:bottom w:val="none" w:sz="0" w:space="0" w:color="auto"/>
            </w:tcBorders>
            <w:hideMark/>
          </w:tcPr>
          <w:p w14:paraId="57F177FD" w14:textId="77777777" w:rsidR="00FE25CC" w:rsidRPr="00800D89" w:rsidRDefault="00FE25CC" w:rsidP="00800D89">
            <w:pPr>
              <w:pStyle w:val="TableText"/>
              <w:cnfStyle w:val="000000100000" w:firstRow="0" w:lastRow="0" w:firstColumn="0" w:lastColumn="0" w:oddVBand="0" w:evenVBand="0" w:oddHBand="1" w:evenHBand="0" w:firstRowFirstColumn="0" w:firstRowLastColumn="0" w:lastRowFirstColumn="0" w:lastRowLastColumn="0"/>
            </w:pPr>
          </w:p>
        </w:tc>
        <w:tc>
          <w:tcPr>
            <w:tcW w:w="3402" w:type="dxa"/>
            <w:tcBorders>
              <w:top w:val="none" w:sz="0" w:space="0" w:color="auto"/>
              <w:bottom w:val="none" w:sz="0" w:space="0" w:color="auto"/>
            </w:tcBorders>
            <w:noWrap/>
            <w:hideMark/>
          </w:tcPr>
          <w:p w14:paraId="6594FC59" w14:textId="77777777" w:rsidR="00FE25CC" w:rsidRPr="00800D89" w:rsidRDefault="00FE25CC" w:rsidP="00800D89">
            <w:pPr>
              <w:pStyle w:val="TableText"/>
              <w:cnfStyle w:val="000000100000" w:firstRow="0" w:lastRow="0" w:firstColumn="0" w:lastColumn="0" w:oddVBand="0" w:evenVBand="0" w:oddHBand="1" w:evenHBand="0" w:firstRowFirstColumn="0" w:firstRowLastColumn="0" w:lastRowFirstColumn="0" w:lastRowLastColumn="0"/>
            </w:pPr>
            <w:r w:rsidRPr="00800D89">
              <w:t>Changed skills</w:t>
            </w:r>
          </w:p>
        </w:tc>
        <w:tc>
          <w:tcPr>
            <w:tcW w:w="1417" w:type="dxa"/>
            <w:tcBorders>
              <w:top w:val="none" w:sz="0" w:space="0" w:color="auto"/>
              <w:bottom w:val="none" w:sz="0" w:space="0" w:color="auto"/>
            </w:tcBorders>
            <w:noWrap/>
            <w:hideMark/>
          </w:tcPr>
          <w:p w14:paraId="1FA1E190" w14:textId="77777777" w:rsidR="00FE25CC" w:rsidRPr="007A1075" w:rsidRDefault="00FE25CC" w:rsidP="00800D89">
            <w:pPr>
              <w:pStyle w:val="TableText"/>
              <w:cnfStyle w:val="000000100000" w:firstRow="0" w:lastRow="0" w:firstColumn="0" w:lastColumn="0" w:oddVBand="0" w:evenVBand="0" w:oddHBand="1" w:evenHBand="0" w:firstRowFirstColumn="0" w:firstRowLastColumn="0" w:lastRowFirstColumn="0" w:lastRowLastColumn="0"/>
            </w:pPr>
            <w:r w:rsidRPr="007A1075">
              <w:t>0.94</w:t>
            </w:r>
          </w:p>
        </w:tc>
        <w:tc>
          <w:tcPr>
            <w:tcW w:w="1276" w:type="dxa"/>
            <w:tcBorders>
              <w:top w:val="none" w:sz="0" w:space="0" w:color="auto"/>
              <w:bottom w:val="none" w:sz="0" w:space="0" w:color="auto"/>
            </w:tcBorders>
            <w:noWrap/>
            <w:hideMark/>
          </w:tcPr>
          <w:p w14:paraId="20571520" w14:textId="77777777" w:rsidR="00FE25CC" w:rsidRPr="007A1075" w:rsidRDefault="00FE25CC" w:rsidP="00800D89">
            <w:pPr>
              <w:pStyle w:val="TableText"/>
              <w:cnfStyle w:val="000000100000" w:firstRow="0" w:lastRow="0" w:firstColumn="0" w:lastColumn="0" w:oddVBand="0" w:evenVBand="0" w:oddHBand="1" w:evenHBand="0" w:firstRowFirstColumn="0" w:firstRowLastColumn="0" w:lastRowFirstColumn="0" w:lastRowLastColumn="0"/>
            </w:pPr>
            <w:r w:rsidRPr="007A1075">
              <w:t>154520.5</w:t>
            </w:r>
          </w:p>
        </w:tc>
        <w:tc>
          <w:tcPr>
            <w:tcW w:w="850" w:type="dxa"/>
            <w:tcBorders>
              <w:top w:val="none" w:sz="0" w:space="0" w:color="auto"/>
              <w:bottom w:val="none" w:sz="0" w:space="0" w:color="auto"/>
            </w:tcBorders>
            <w:noWrap/>
            <w:hideMark/>
          </w:tcPr>
          <w:p w14:paraId="47D22EDD" w14:textId="62A75201" w:rsidR="00FE25CC" w:rsidRPr="007A1075" w:rsidRDefault="00FE25CC" w:rsidP="00800D89">
            <w:pPr>
              <w:pStyle w:val="TableText"/>
              <w:cnfStyle w:val="000000100000" w:firstRow="0" w:lastRow="0" w:firstColumn="0" w:lastColumn="0" w:oddVBand="0" w:evenVBand="0" w:oddHBand="1" w:evenHBand="0" w:firstRowFirstColumn="0" w:firstRowLastColumn="0" w:lastRowFirstColumn="0" w:lastRowLastColumn="0"/>
            </w:pPr>
            <w:r w:rsidRPr="007A1075">
              <w:t>2</w:t>
            </w:r>
            <w:r w:rsidR="00E96DF5">
              <w:t>,</w:t>
            </w:r>
            <w:r w:rsidRPr="007A1075">
              <w:t>020</w:t>
            </w:r>
          </w:p>
        </w:tc>
        <w:tc>
          <w:tcPr>
            <w:tcW w:w="1280" w:type="dxa"/>
            <w:tcBorders>
              <w:top w:val="none" w:sz="0" w:space="0" w:color="auto"/>
              <w:bottom w:val="none" w:sz="0" w:space="0" w:color="auto"/>
            </w:tcBorders>
            <w:noWrap/>
            <w:hideMark/>
          </w:tcPr>
          <w:p w14:paraId="655C9DA3" w14:textId="77777777" w:rsidR="00FE25CC" w:rsidRPr="007A1075" w:rsidRDefault="00FE25CC" w:rsidP="00800D89">
            <w:pPr>
              <w:pStyle w:val="TableText"/>
              <w:cnfStyle w:val="000000100000" w:firstRow="0" w:lastRow="0" w:firstColumn="0" w:lastColumn="0" w:oddVBand="0" w:evenVBand="0" w:oddHBand="1" w:evenHBand="0" w:firstRowFirstColumn="0" w:firstRowLastColumn="0" w:lastRowFirstColumn="0" w:lastRowLastColumn="0"/>
            </w:pPr>
            <w:r w:rsidRPr="007A1075">
              <w:t>&lt;.001</w:t>
            </w:r>
          </w:p>
        </w:tc>
        <w:tc>
          <w:tcPr>
            <w:tcW w:w="1900" w:type="dxa"/>
            <w:tcBorders>
              <w:top w:val="none" w:sz="0" w:space="0" w:color="auto"/>
              <w:bottom w:val="none" w:sz="0" w:space="0" w:color="auto"/>
            </w:tcBorders>
            <w:noWrap/>
            <w:hideMark/>
          </w:tcPr>
          <w:p w14:paraId="2D186FC0" w14:textId="2421C43C" w:rsidR="00FE25CC" w:rsidRPr="007A1075" w:rsidRDefault="00FE25CC" w:rsidP="00800D89">
            <w:pPr>
              <w:pStyle w:val="TableText"/>
              <w:cnfStyle w:val="000000100000" w:firstRow="0" w:lastRow="0" w:firstColumn="0" w:lastColumn="0" w:oddVBand="0" w:evenVBand="0" w:oddHBand="1" w:evenHBand="0" w:firstRowFirstColumn="0" w:firstRowLastColumn="0" w:lastRowFirstColumn="0" w:lastRowLastColumn="0"/>
            </w:pPr>
            <w:r w:rsidRPr="007A1075">
              <w:t>59.2% (n=1</w:t>
            </w:r>
            <w:r w:rsidR="00E96DF5">
              <w:t>,</w:t>
            </w:r>
            <w:r w:rsidRPr="007A1075">
              <w:t>196)</w:t>
            </w:r>
          </w:p>
        </w:tc>
      </w:tr>
      <w:tr w:rsidR="006771BF" w:rsidRPr="007A1075" w14:paraId="0D71365B" w14:textId="77777777" w:rsidTr="00520E3A">
        <w:trPr>
          <w:trHeight w:val="290"/>
        </w:trPr>
        <w:tc>
          <w:tcPr>
            <w:cnfStyle w:val="001000000000" w:firstRow="0" w:lastRow="0" w:firstColumn="1" w:lastColumn="0" w:oddVBand="0" w:evenVBand="0" w:oddHBand="0" w:evenHBand="0" w:firstRowFirstColumn="0" w:firstRowLastColumn="0" w:lastRowFirstColumn="0" w:lastRowLastColumn="0"/>
            <w:tcW w:w="988" w:type="dxa"/>
            <w:vMerge/>
            <w:tcBorders>
              <w:right w:val="none" w:sz="0" w:space="0" w:color="auto"/>
            </w:tcBorders>
            <w:hideMark/>
          </w:tcPr>
          <w:p w14:paraId="67D0B59D" w14:textId="77777777" w:rsidR="00FE25CC" w:rsidRPr="00FE25CC" w:rsidRDefault="00FE25CC" w:rsidP="00800D89">
            <w:pPr>
              <w:pStyle w:val="TableText"/>
            </w:pPr>
          </w:p>
        </w:tc>
        <w:tc>
          <w:tcPr>
            <w:tcW w:w="1134" w:type="dxa"/>
            <w:vMerge/>
            <w:hideMark/>
          </w:tcPr>
          <w:p w14:paraId="4CD441A5" w14:textId="77777777" w:rsidR="00FE25CC" w:rsidRPr="00800D89" w:rsidRDefault="00FE25CC" w:rsidP="00800D89">
            <w:pPr>
              <w:pStyle w:val="TableText"/>
              <w:cnfStyle w:val="000000000000" w:firstRow="0" w:lastRow="0" w:firstColumn="0" w:lastColumn="0" w:oddVBand="0" w:evenVBand="0" w:oddHBand="0" w:evenHBand="0" w:firstRowFirstColumn="0" w:firstRowLastColumn="0" w:lastRowFirstColumn="0" w:lastRowLastColumn="0"/>
            </w:pPr>
          </w:p>
        </w:tc>
        <w:tc>
          <w:tcPr>
            <w:tcW w:w="1701" w:type="dxa"/>
            <w:vMerge/>
            <w:hideMark/>
          </w:tcPr>
          <w:p w14:paraId="05E72937" w14:textId="77777777" w:rsidR="00FE25CC" w:rsidRPr="00800D89" w:rsidRDefault="00FE25CC" w:rsidP="00800D89">
            <w:pPr>
              <w:pStyle w:val="TableText"/>
              <w:cnfStyle w:val="000000000000" w:firstRow="0" w:lastRow="0" w:firstColumn="0" w:lastColumn="0" w:oddVBand="0" w:evenVBand="0" w:oddHBand="0" w:evenHBand="0" w:firstRowFirstColumn="0" w:firstRowLastColumn="0" w:lastRowFirstColumn="0" w:lastRowLastColumn="0"/>
            </w:pPr>
          </w:p>
        </w:tc>
        <w:tc>
          <w:tcPr>
            <w:tcW w:w="3402" w:type="dxa"/>
            <w:noWrap/>
            <w:hideMark/>
          </w:tcPr>
          <w:p w14:paraId="1024E765" w14:textId="77777777" w:rsidR="00FE25CC" w:rsidRPr="00800D89" w:rsidRDefault="00FE25CC" w:rsidP="00800D89">
            <w:pPr>
              <w:pStyle w:val="TableText"/>
              <w:cnfStyle w:val="000000000000" w:firstRow="0" w:lastRow="0" w:firstColumn="0" w:lastColumn="0" w:oddVBand="0" w:evenVBand="0" w:oddHBand="0" w:evenHBand="0" w:firstRowFirstColumn="0" w:firstRowLastColumn="0" w:lastRowFirstColumn="0" w:lastRowLastColumn="0"/>
            </w:pPr>
            <w:r w:rsidRPr="57F92EFB">
              <w:rPr>
                <w:lang w:val="en-NZ"/>
              </w:rPr>
              <w:t>Empowerment, choice and control to make own decisions</w:t>
            </w:r>
          </w:p>
        </w:tc>
        <w:tc>
          <w:tcPr>
            <w:tcW w:w="1417" w:type="dxa"/>
            <w:noWrap/>
            <w:hideMark/>
          </w:tcPr>
          <w:p w14:paraId="72CDBAF2" w14:textId="77777777" w:rsidR="00FE25CC" w:rsidRPr="007A1075" w:rsidRDefault="00FE25CC" w:rsidP="00800D89">
            <w:pPr>
              <w:pStyle w:val="TableText"/>
              <w:cnfStyle w:val="000000000000" w:firstRow="0" w:lastRow="0" w:firstColumn="0" w:lastColumn="0" w:oddVBand="0" w:evenVBand="0" w:oddHBand="0" w:evenHBand="0" w:firstRowFirstColumn="0" w:firstRowLastColumn="0" w:lastRowFirstColumn="0" w:lastRowLastColumn="0"/>
            </w:pPr>
            <w:r w:rsidRPr="007A1075">
              <w:t>0.92</w:t>
            </w:r>
          </w:p>
        </w:tc>
        <w:tc>
          <w:tcPr>
            <w:tcW w:w="1276" w:type="dxa"/>
            <w:noWrap/>
            <w:hideMark/>
          </w:tcPr>
          <w:p w14:paraId="5989CB07" w14:textId="77777777" w:rsidR="00FE25CC" w:rsidRPr="007A1075" w:rsidRDefault="00FE25CC" w:rsidP="00800D89">
            <w:pPr>
              <w:pStyle w:val="TableText"/>
              <w:cnfStyle w:val="000000000000" w:firstRow="0" w:lastRow="0" w:firstColumn="0" w:lastColumn="0" w:oddVBand="0" w:evenVBand="0" w:oddHBand="0" w:evenHBand="0" w:firstRowFirstColumn="0" w:firstRowLastColumn="0" w:lastRowFirstColumn="0" w:lastRowLastColumn="0"/>
            </w:pPr>
            <w:r w:rsidRPr="007A1075">
              <w:t>139794.5</w:t>
            </w:r>
          </w:p>
        </w:tc>
        <w:tc>
          <w:tcPr>
            <w:tcW w:w="850" w:type="dxa"/>
            <w:noWrap/>
            <w:hideMark/>
          </w:tcPr>
          <w:p w14:paraId="163EA1CA" w14:textId="0FF4A6DC" w:rsidR="00FE25CC" w:rsidRPr="007A1075" w:rsidRDefault="00FE25CC" w:rsidP="00800D89">
            <w:pPr>
              <w:pStyle w:val="TableText"/>
              <w:cnfStyle w:val="000000000000" w:firstRow="0" w:lastRow="0" w:firstColumn="0" w:lastColumn="0" w:oddVBand="0" w:evenVBand="0" w:oddHBand="0" w:evenHBand="0" w:firstRowFirstColumn="0" w:firstRowLastColumn="0" w:lastRowFirstColumn="0" w:lastRowLastColumn="0"/>
            </w:pPr>
            <w:r w:rsidRPr="007A1075">
              <w:t>1</w:t>
            </w:r>
            <w:r w:rsidR="00E96DF5">
              <w:t>,</w:t>
            </w:r>
            <w:r w:rsidRPr="007A1075">
              <w:t>900</w:t>
            </w:r>
          </w:p>
        </w:tc>
        <w:tc>
          <w:tcPr>
            <w:tcW w:w="1280" w:type="dxa"/>
            <w:noWrap/>
            <w:hideMark/>
          </w:tcPr>
          <w:p w14:paraId="7BD1787A" w14:textId="77777777" w:rsidR="00FE25CC" w:rsidRPr="007A1075" w:rsidRDefault="00FE25CC" w:rsidP="00800D89">
            <w:pPr>
              <w:pStyle w:val="TableText"/>
              <w:cnfStyle w:val="000000000000" w:firstRow="0" w:lastRow="0" w:firstColumn="0" w:lastColumn="0" w:oddVBand="0" w:evenVBand="0" w:oddHBand="0" w:evenHBand="0" w:firstRowFirstColumn="0" w:firstRowLastColumn="0" w:lastRowFirstColumn="0" w:lastRowLastColumn="0"/>
            </w:pPr>
            <w:r w:rsidRPr="007A1075">
              <w:t>&lt;.001</w:t>
            </w:r>
          </w:p>
        </w:tc>
        <w:tc>
          <w:tcPr>
            <w:tcW w:w="1900" w:type="dxa"/>
            <w:noWrap/>
            <w:hideMark/>
          </w:tcPr>
          <w:p w14:paraId="2E07E612" w14:textId="28F81DC1" w:rsidR="00FE25CC" w:rsidRPr="007A1075" w:rsidRDefault="00FE25CC" w:rsidP="00800D89">
            <w:pPr>
              <w:pStyle w:val="TableText"/>
              <w:cnfStyle w:val="000000000000" w:firstRow="0" w:lastRow="0" w:firstColumn="0" w:lastColumn="0" w:oddVBand="0" w:evenVBand="0" w:oddHBand="0" w:evenHBand="0" w:firstRowFirstColumn="0" w:firstRowLastColumn="0" w:lastRowFirstColumn="0" w:lastRowLastColumn="0"/>
            </w:pPr>
            <w:r w:rsidRPr="007A1075">
              <w:t>58.2% (n=1</w:t>
            </w:r>
            <w:r w:rsidR="00E96DF5">
              <w:t>,</w:t>
            </w:r>
            <w:r w:rsidRPr="007A1075">
              <w:t>106)</w:t>
            </w:r>
          </w:p>
        </w:tc>
      </w:tr>
      <w:tr w:rsidR="006771BF" w:rsidRPr="007A1075" w14:paraId="25650221" w14:textId="77777777" w:rsidTr="00520E3A">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88" w:type="dxa"/>
            <w:vMerge/>
            <w:tcBorders>
              <w:top w:val="none" w:sz="0" w:space="0" w:color="auto"/>
              <w:bottom w:val="none" w:sz="0" w:space="0" w:color="auto"/>
              <w:right w:val="none" w:sz="0" w:space="0" w:color="auto"/>
            </w:tcBorders>
            <w:hideMark/>
          </w:tcPr>
          <w:p w14:paraId="4D1E3FDD" w14:textId="77777777" w:rsidR="00FE25CC" w:rsidRPr="00FE25CC" w:rsidRDefault="00FE25CC" w:rsidP="00800D89">
            <w:pPr>
              <w:pStyle w:val="TableText"/>
            </w:pPr>
          </w:p>
        </w:tc>
        <w:tc>
          <w:tcPr>
            <w:tcW w:w="1134" w:type="dxa"/>
            <w:vMerge/>
            <w:tcBorders>
              <w:top w:val="none" w:sz="0" w:space="0" w:color="auto"/>
              <w:bottom w:val="none" w:sz="0" w:space="0" w:color="auto"/>
            </w:tcBorders>
            <w:hideMark/>
          </w:tcPr>
          <w:p w14:paraId="1C84E71E" w14:textId="77777777" w:rsidR="00FE25CC" w:rsidRPr="00800D89" w:rsidRDefault="00FE25CC" w:rsidP="00800D89">
            <w:pPr>
              <w:pStyle w:val="TableText"/>
              <w:cnfStyle w:val="000000100000" w:firstRow="0" w:lastRow="0" w:firstColumn="0" w:lastColumn="0" w:oddVBand="0" w:evenVBand="0" w:oddHBand="1" w:evenHBand="0" w:firstRowFirstColumn="0" w:firstRowLastColumn="0" w:lastRowFirstColumn="0" w:lastRowLastColumn="0"/>
            </w:pPr>
          </w:p>
        </w:tc>
        <w:tc>
          <w:tcPr>
            <w:tcW w:w="1701" w:type="dxa"/>
            <w:vMerge/>
            <w:tcBorders>
              <w:top w:val="none" w:sz="0" w:space="0" w:color="auto"/>
              <w:bottom w:val="none" w:sz="0" w:space="0" w:color="auto"/>
            </w:tcBorders>
            <w:hideMark/>
          </w:tcPr>
          <w:p w14:paraId="31A3253E" w14:textId="77777777" w:rsidR="00FE25CC" w:rsidRPr="00800D89" w:rsidRDefault="00FE25CC" w:rsidP="00800D89">
            <w:pPr>
              <w:pStyle w:val="TableText"/>
              <w:cnfStyle w:val="000000100000" w:firstRow="0" w:lastRow="0" w:firstColumn="0" w:lastColumn="0" w:oddVBand="0" w:evenVBand="0" w:oddHBand="1" w:evenHBand="0" w:firstRowFirstColumn="0" w:firstRowLastColumn="0" w:lastRowFirstColumn="0" w:lastRowLastColumn="0"/>
            </w:pPr>
          </w:p>
        </w:tc>
        <w:tc>
          <w:tcPr>
            <w:tcW w:w="3402" w:type="dxa"/>
            <w:tcBorders>
              <w:top w:val="none" w:sz="0" w:space="0" w:color="auto"/>
              <w:bottom w:val="none" w:sz="0" w:space="0" w:color="auto"/>
            </w:tcBorders>
            <w:noWrap/>
            <w:hideMark/>
          </w:tcPr>
          <w:p w14:paraId="5AD88FF7" w14:textId="77777777" w:rsidR="00FE25CC" w:rsidRPr="00800D89" w:rsidRDefault="00FE25CC" w:rsidP="00800D89">
            <w:pPr>
              <w:pStyle w:val="TableText"/>
              <w:cnfStyle w:val="000000100000" w:firstRow="0" w:lastRow="0" w:firstColumn="0" w:lastColumn="0" w:oddVBand="0" w:evenVBand="0" w:oddHBand="1" w:evenHBand="0" w:firstRowFirstColumn="0" w:firstRowLastColumn="0" w:lastRowFirstColumn="0" w:lastRowLastColumn="0"/>
            </w:pPr>
            <w:r w:rsidRPr="00800D89">
              <w:t>Engagement with relevant support services</w:t>
            </w:r>
          </w:p>
        </w:tc>
        <w:tc>
          <w:tcPr>
            <w:tcW w:w="1417" w:type="dxa"/>
            <w:tcBorders>
              <w:top w:val="none" w:sz="0" w:space="0" w:color="auto"/>
              <w:bottom w:val="none" w:sz="0" w:space="0" w:color="auto"/>
            </w:tcBorders>
            <w:noWrap/>
            <w:hideMark/>
          </w:tcPr>
          <w:p w14:paraId="4117EBC5" w14:textId="77777777" w:rsidR="00FE25CC" w:rsidRPr="007A1075" w:rsidRDefault="00FE25CC" w:rsidP="00800D89">
            <w:pPr>
              <w:pStyle w:val="TableText"/>
              <w:cnfStyle w:val="000000100000" w:firstRow="0" w:lastRow="0" w:firstColumn="0" w:lastColumn="0" w:oddVBand="0" w:evenVBand="0" w:oddHBand="1" w:evenHBand="0" w:firstRowFirstColumn="0" w:firstRowLastColumn="0" w:lastRowFirstColumn="0" w:lastRowLastColumn="0"/>
            </w:pPr>
            <w:r w:rsidRPr="007A1075">
              <w:t>0.78</w:t>
            </w:r>
          </w:p>
        </w:tc>
        <w:tc>
          <w:tcPr>
            <w:tcW w:w="1276" w:type="dxa"/>
            <w:tcBorders>
              <w:top w:val="none" w:sz="0" w:space="0" w:color="auto"/>
              <w:bottom w:val="none" w:sz="0" w:space="0" w:color="auto"/>
            </w:tcBorders>
            <w:noWrap/>
            <w:hideMark/>
          </w:tcPr>
          <w:p w14:paraId="4DBCB3C4" w14:textId="77777777" w:rsidR="00FE25CC" w:rsidRPr="007A1075" w:rsidRDefault="00FE25CC" w:rsidP="00800D89">
            <w:pPr>
              <w:pStyle w:val="TableText"/>
              <w:cnfStyle w:val="000000100000" w:firstRow="0" w:lastRow="0" w:firstColumn="0" w:lastColumn="0" w:oddVBand="0" w:evenVBand="0" w:oddHBand="1" w:evenHBand="0" w:firstRowFirstColumn="0" w:firstRowLastColumn="0" w:lastRowFirstColumn="0" w:lastRowLastColumn="0"/>
            </w:pPr>
            <w:r w:rsidRPr="007A1075">
              <w:t>124363.5</w:t>
            </w:r>
          </w:p>
        </w:tc>
        <w:tc>
          <w:tcPr>
            <w:tcW w:w="850" w:type="dxa"/>
            <w:tcBorders>
              <w:top w:val="none" w:sz="0" w:space="0" w:color="auto"/>
              <w:bottom w:val="none" w:sz="0" w:space="0" w:color="auto"/>
            </w:tcBorders>
            <w:noWrap/>
            <w:hideMark/>
          </w:tcPr>
          <w:p w14:paraId="5B493FD1" w14:textId="5411AB49" w:rsidR="00FE25CC" w:rsidRPr="007A1075" w:rsidRDefault="00FE25CC" w:rsidP="00800D89">
            <w:pPr>
              <w:pStyle w:val="TableText"/>
              <w:cnfStyle w:val="000000100000" w:firstRow="0" w:lastRow="0" w:firstColumn="0" w:lastColumn="0" w:oddVBand="0" w:evenVBand="0" w:oddHBand="1" w:evenHBand="0" w:firstRowFirstColumn="0" w:firstRowLastColumn="0" w:lastRowFirstColumn="0" w:lastRowLastColumn="0"/>
            </w:pPr>
            <w:r w:rsidRPr="007A1075">
              <w:t>1</w:t>
            </w:r>
            <w:r w:rsidR="00E96DF5">
              <w:t>,</w:t>
            </w:r>
            <w:r w:rsidRPr="007A1075">
              <w:t>441</w:t>
            </w:r>
          </w:p>
        </w:tc>
        <w:tc>
          <w:tcPr>
            <w:tcW w:w="1280" w:type="dxa"/>
            <w:tcBorders>
              <w:top w:val="none" w:sz="0" w:space="0" w:color="auto"/>
              <w:bottom w:val="none" w:sz="0" w:space="0" w:color="auto"/>
            </w:tcBorders>
            <w:noWrap/>
            <w:hideMark/>
          </w:tcPr>
          <w:p w14:paraId="2422180F" w14:textId="77777777" w:rsidR="00FE25CC" w:rsidRPr="007A1075" w:rsidRDefault="00FE25CC" w:rsidP="00800D89">
            <w:pPr>
              <w:pStyle w:val="TableText"/>
              <w:cnfStyle w:val="000000100000" w:firstRow="0" w:lastRow="0" w:firstColumn="0" w:lastColumn="0" w:oddVBand="0" w:evenVBand="0" w:oddHBand="1" w:evenHBand="0" w:firstRowFirstColumn="0" w:firstRowLastColumn="0" w:lastRowFirstColumn="0" w:lastRowLastColumn="0"/>
            </w:pPr>
            <w:r w:rsidRPr="007A1075">
              <w:t>&lt;.001</w:t>
            </w:r>
          </w:p>
        </w:tc>
        <w:tc>
          <w:tcPr>
            <w:tcW w:w="1900" w:type="dxa"/>
            <w:tcBorders>
              <w:top w:val="none" w:sz="0" w:space="0" w:color="auto"/>
              <w:bottom w:val="none" w:sz="0" w:space="0" w:color="auto"/>
            </w:tcBorders>
            <w:noWrap/>
            <w:hideMark/>
          </w:tcPr>
          <w:p w14:paraId="4B01B6D7" w14:textId="77777777" w:rsidR="00FE25CC" w:rsidRPr="007A1075" w:rsidRDefault="00FE25CC" w:rsidP="00800D89">
            <w:pPr>
              <w:pStyle w:val="TableText"/>
              <w:cnfStyle w:val="000000100000" w:firstRow="0" w:lastRow="0" w:firstColumn="0" w:lastColumn="0" w:oddVBand="0" w:evenVBand="0" w:oddHBand="1" w:evenHBand="0" w:firstRowFirstColumn="0" w:firstRowLastColumn="0" w:lastRowFirstColumn="0" w:lastRowLastColumn="0"/>
            </w:pPr>
            <w:r w:rsidRPr="007A1075">
              <w:t>52.0% (n=749)</w:t>
            </w:r>
          </w:p>
        </w:tc>
      </w:tr>
      <w:tr w:rsidR="006771BF" w:rsidRPr="007A1075" w14:paraId="3985619A" w14:textId="77777777" w:rsidTr="00520E3A">
        <w:trPr>
          <w:trHeight w:val="290"/>
        </w:trPr>
        <w:tc>
          <w:tcPr>
            <w:cnfStyle w:val="001000000000" w:firstRow="0" w:lastRow="0" w:firstColumn="1" w:lastColumn="0" w:oddVBand="0" w:evenVBand="0" w:oddHBand="0" w:evenHBand="0" w:firstRowFirstColumn="0" w:firstRowLastColumn="0" w:lastRowFirstColumn="0" w:lastRowLastColumn="0"/>
            <w:tcW w:w="988" w:type="dxa"/>
            <w:vMerge/>
            <w:tcBorders>
              <w:right w:val="none" w:sz="0" w:space="0" w:color="auto"/>
            </w:tcBorders>
            <w:hideMark/>
          </w:tcPr>
          <w:p w14:paraId="1AE37E93" w14:textId="77777777" w:rsidR="00FE25CC" w:rsidRPr="00FE25CC" w:rsidRDefault="00FE25CC" w:rsidP="00800D89">
            <w:pPr>
              <w:pStyle w:val="TableText"/>
            </w:pPr>
          </w:p>
        </w:tc>
        <w:tc>
          <w:tcPr>
            <w:tcW w:w="1134" w:type="dxa"/>
            <w:vMerge w:val="restart"/>
            <w:hideMark/>
          </w:tcPr>
          <w:p w14:paraId="247B8A79" w14:textId="77777777" w:rsidR="00FE25CC" w:rsidRPr="00800D89" w:rsidRDefault="00FE25CC" w:rsidP="00800D89">
            <w:pPr>
              <w:pStyle w:val="TableText"/>
              <w:cnfStyle w:val="000000000000" w:firstRow="0" w:lastRow="0" w:firstColumn="0" w:lastColumn="0" w:oddVBand="0" w:evenVBand="0" w:oddHBand="0" w:evenHBand="0" w:firstRowFirstColumn="0" w:firstRowLastColumn="0" w:lastRowFirstColumn="0" w:lastRowLastColumn="0"/>
            </w:pPr>
            <w:r w:rsidRPr="00800D89">
              <w:t>Not reported</w:t>
            </w:r>
          </w:p>
        </w:tc>
        <w:tc>
          <w:tcPr>
            <w:tcW w:w="1701" w:type="dxa"/>
            <w:vMerge w:val="restart"/>
            <w:hideMark/>
          </w:tcPr>
          <w:p w14:paraId="327BF8DC" w14:textId="77777777" w:rsidR="00FE25CC" w:rsidRPr="00800D89" w:rsidRDefault="00FE25CC" w:rsidP="00800D89">
            <w:pPr>
              <w:pStyle w:val="TableText"/>
              <w:cnfStyle w:val="000000000000" w:firstRow="0" w:lastRow="0" w:firstColumn="0" w:lastColumn="0" w:oddVBand="0" w:evenVBand="0" w:oddHBand="0" w:evenHBand="0" w:firstRowFirstColumn="0" w:firstRowLastColumn="0" w:lastRowFirstColumn="0" w:lastRowLastColumn="0"/>
            </w:pPr>
            <w:r w:rsidRPr="00800D89">
              <w:t>Circumstances</w:t>
            </w:r>
          </w:p>
        </w:tc>
        <w:tc>
          <w:tcPr>
            <w:tcW w:w="3402" w:type="dxa"/>
            <w:noWrap/>
            <w:hideMark/>
          </w:tcPr>
          <w:p w14:paraId="5906CC8A" w14:textId="77777777" w:rsidR="00FE25CC" w:rsidRPr="00800D89" w:rsidRDefault="00FE25CC" w:rsidP="00800D89">
            <w:pPr>
              <w:pStyle w:val="TableText"/>
              <w:cnfStyle w:val="000000000000" w:firstRow="0" w:lastRow="0" w:firstColumn="0" w:lastColumn="0" w:oddVBand="0" w:evenVBand="0" w:oddHBand="0" w:evenHBand="0" w:firstRowFirstColumn="0" w:firstRowLastColumn="0" w:lastRowFirstColumn="0" w:lastRowLastColumn="0"/>
            </w:pPr>
            <w:r w:rsidRPr="00800D89">
              <w:t>Family functioning</w:t>
            </w:r>
          </w:p>
        </w:tc>
        <w:tc>
          <w:tcPr>
            <w:tcW w:w="1417" w:type="dxa"/>
            <w:noWrap/>
            <w:hideMark/>
          </w:tcPr>
          <w:p w14:paraId="74E1A1F2" w14:textId="77777777" w:rsidR="00FE25CC" w:rsidRPr="007A1075" w:rsidRDefault="00FE25CC" w:rsidP="00800D89">
            <w:pPr>
              <w:pStyle w:val="TableText"/>
              <w:cnfStyle w:val="000000000000" w:firstRow="0" w:lastRow="0" w:firstColumn="0" w:lastColumn="0" w:oddVBand="0" w:evenVBand="0" w:oddHBand="0" w:evenHBand="0" w:firstRowFirstColumn="0" w:firstRowLastColumn="0" w:lastRowFirstColumn="0" w:lastRowLastColumn="0"/>
            </w:pPr>
            <w:r w:rsidRPr="007A1075">
              <w:t>0.68</w:t>
            </w:r>
          </w:p>
        </w:tc>
        <w:tc>
          <w:tcPr>
            <w:tcW w:w="1276" w:type="dxa"/>
            <w:noWrap/>
            <w:hideMark/>
          </w:tcPr>
          <w:p w14:paraId="0F0EBCA0" w14:textId="77777777" w:rsidR="00FE25CC" w:rsidRPr="007A1075" w:rsidRDefault="00FE25CC" w:rsidP="00800D89">
            <w:pPr>
              <w:pStyle w:val="TableText"/>
              <w:cnfStyle w:val="000000000000" w:firstRow="0" w:lastRow="0" w:firstColumn="0" w:lastColumn="0" w:oddVBand="0" w:evenVBand="0" w:oddHBand="0" w:evenHBand="0" w:firstRowFirstColumn="0" w:firstRowLastColumn="0" w:lastRowFirstColumn="0" w:lastRowLastColumn="0"/>
            </w:pPr>
            <w:r w:rsidRPr="007A1075">
              <w:t>105430.5</w:t>
            </w:r>
          </w:p>
        </w:tc>
        <w:tc>
          <w:tcPr>
            <w:tcW w:w="850" w:type="dxa"/>
            <w:noWrap/>
            <w:hideMark/>
          </w:tcPr>
          <w:p w14:paraId="4366F568" w14:textId="596F9F5B" w:rsidR="00FE25CC" w:rsidRPr="007A1075" w:rsidRDefault="00FE25CC" w:rsidP="00800D89">
            <w:pPr>
              <w:pStyle w:val="TableText"/>
              <w:cnfStyle w:val="000000000000" w:firstRow="0" w:lastRow="0" w:firstColumn="0" w:lastColumn="0" w:oddVBand="0" w:evenVBand="0" w:oddHBand="0" w:evenHBand="0" w:firstRowFirstColumn="0" w:firstRowLastColumn="0" w:lastRowFirstColumn="0" w:lastRowLastColumn="0"/>
            </w:pPr>
            <w:r w:rsidRPr="007A1075">
              <w:t>1</w:t>
            </w:r>
            <w:r w:rsidR="00E96DF5">
              <w:t>,</w:t>
            </w:r>
            <w:r w:rsidRPr="007A1075">
              <w:t>161</w:t>
            </w:r>
          </w:p>
        </w:tc>
        <w:tc>
          <w:tcPr>
            <w:tcW w:w="1280" w:type="dxa"/>
            <w:noWrap/>
            <w:hideMark/>
          </w:tcPr>
          <w:p w14:paraId="5FE161DC" w14:textId="77777777" w:rsidR="00FE25CC" w:rsidRPr="007A1075" w:rsidRDefault="00FE25CC" w:rsidP="00800D89">
            <w:pPr>
              <w:pStyle w:val="TableText"/>
              <w:cnfStyle w:val="000000000000" w:firstRow="0" w:lastRow="0" w:firstColumn="0" w:lastColumn="0" w:oddVBand="0" w:evenVBand="0" w:oddHBand="0" w:evenHBand="0" w:firstRowFirstColumn="0" w:firstRowLastColumn="0" w:lastRowFirstColumn="0" w:lastRowLastColumn="0"/>
            </w:pPr>
            <w:r w:rsidRPr="007A1075">
              <w:t>&lt;.001</w:t>
            </w:r>
          </w:p>
        </w:tc>
        <w:tc>
          <w:tcPr>
            <w:tcW w:w="1900" w:type="dxa"/>
            <w:noWrap/>
            <w:hideMark/>
          </w:tcPr>
          <w:p w14:paraId="64740EE9" w14:textId="77777777" w:rsidR="00FE25CC" w:rsidRPr="007A1075" w:rsidRDefault="00FE25CC" w:rsidP="00800D89">
            <w:pPr>
              <w:pStyle w:val="TableText"/>
              <w:cnfStyle w:val="000000000000" w:firstRow="0" w:lastRow="0" w:firstColumn="0" w:lastColumn="0" w:oddVBand="0" w:evenVBand="0" w:oddHBand="0" w:evenHBand="0" w:firstRowFirstColumn="0" w:firstRowLastColumn="0" w:lastRowFirstColumn="0" w:lastRowLastColumn="0"/>
            </w:pPr>
            <w:r w:rsidRPr="007A1075">
              <w:t>53.7% (n=623)</w:t>
            </w:r>
          </w:p>
        </w:tc>
      </w:tr>
      <w:tr w:rsidR="006771BF" w:rsidRPr="007A1075" w14:paraId="2F96BD20" w14:textId="77777777" w:rsidTr="00520E3A">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88" w:type="dxa"/>
            <w:vMerge/>
            <w:tcBorders>
              <w:top w:val="none" w:sz="0" w:space="0" w:color="auto"/>
              <w:bottom w:val="none" w:sz="0" w:space="0" w:color="auto"/>
              <w:right w:val="none" w:sz="0" w:space="0" w:color="auto"/>
            </w:tcBorders>
            <w:hideMark/>
          </w:tcPr>
          <w:p w14:paraId="12E3EEC4" w14:textId="77777777" w:rsidR="00FE25CC" w:rsidRPr="00FE25CC" w:rsidRDefault="00FE25CC" w:rsidP="00800D89">
            <w:pPr>
              <w:pStyle w:val="TableText"/>
            </w:pPr>
          </w:p>
        </w:tc>
        <w:tc>
          <w:tcPr>
            <w:tcW w:w="1134" w:type="dxa"/>
            <w:vMerge/>
            <w:tcBorders>
              <w:top w:val="none" w:sz="0" w:space="0" w:color="auto"/>
              <w:bottom w:val="none" w:sz="0" w:space="0" w:color="auto"/>
            </w:tcBorders>
            <w:hideMark/>
          </w:tcPr>
          <w:p w14:paraId="4D4B7DD0" w14:textId="77777777" w:rsidR="00FE25CC" w:rsidRPr="00800D89" w:rsidRDefault="00FE25CC" w:rsidP="00800D89">
            <w:pPr>
              <w:pStyle w:val="TableText"/>
              <w:cnfStyle w:val="000000100000" w:firstRow="0" w:lastRow="0" w:firstColumn="0" w:lastColumn="0" w:oddVBand="0" w:evenVBand="0" w:oddHBand="1" w:evenHBand="0" w:firstRowFirstColumn="0" w:firstRowLastColumn="0" w:lastRowFirstColumn="0" w:lastRowLastColumn="0"/>
            </w:pPr>
          </w:p>
        </w:tc>
        <w:tc>
          <w:tcPr>
            <w:tcW w:w="1701" w:type="dxa"/>
            <w:vMerge/>
            <w:tcBorders>
              <w:top w:val="none" w:sz="0" w:space="0" w:color="auto"/>
              <w:bottom w:val="none" w:sz="0" w:space="0" w:color="auto"/>
            </w:tcBorders>
            <w:hideMark/>
          </w:tcPr>
          <w:p w14:paraId="64267FA2" w14:textId="77777777" w:rsidR="00FE25CC" w:rsidRPr="00800D89" w:rsidRDefault="00FE25CC" w:rsidP="00800D89">
            <w:pPr>
              <w:pStyle w:val="TableText"/>
              <w:cnfStyle w:val="000000100000" w:firstRow="0" w:lastRow="0" w:firstColumn="0" w:lastColumn="0" w:oddVBand="0" w:evenVBand="0" w:oddHBand="1" w:evenHBand="0" w:firstRowFirstColumn="0" w:firstRowLastColumn="0" w:lastRowFirstColumn="0" w:lastRowLastColumn="0"/>
            </w:pPr>
          </w:p>
        </w:tc>
        <w:tc>
          <w:tcPr>
            <w:tcW w:w="3402" w:type="dxa"/>
            <w:tcBorders>
              <w:top w:val="none" w:sz="0" w:space="0" w:color="auto"/>
              <w:bottom w:val="none" w:sz="0" w:space="0" w:color="auto"/>
            </w:tcBorders>
            <w:noWrap/>
            <w:hideMark/>
          </w:tcPr>
          <w:p w14:paraId="33FB5959" w14:textId="77777777" w:rsidR="00FE25CC" w:rsidRPr="00800D89" w:rsidRDefault="00FE25CC" w:rsidP="00800D89">
            <w:pPr>
              <w:pStyle w:val="TableText"/>
              <w:cnfStyle w:val="000000100000" w:firstRow="0" w:lastRow="0" w:firstColumn="0" w:lastColumn="0" w:oddVBand="0" w:evenVBand="0" w:oddHBand="1" w:evenHBand="0" w:firstRowFirstColumn="0" w:firstRowLastColumn="0" w:lastRowFirstColumn="0" w:lastRowLastColumn="0"/>
            </w:pPr>
            <w:r w:rsidRPr="57F92EFB">
              <w:rPr>
                <w:lang w:val="en-NZ"/>
              </w:rPr>
              <w:t>Mental health, wellbeing and self-care</w:t>
            </w:r>
          </w:p>
        </w:tc>
        <w:tc>
          <w:tcPr>
            <w:tcW w:w="1417" w:type="dxa"/>
            <w:tcBorders>
              <w:top w:val="none" w:sz="0" w:space="0" w:color="auto"/>
              <w:bottom w:val="none" w:sz="0" w:space="0" w:color="auto"/>
            </w:tcBorders>
            <w:noWrap/>
            <w:hideMark/>
          </w:tcPr>
          <w:p w14:paraId="4C9F6999" w14:textId="77777777" w:rsidR="00FE25CC" w:rsidRPr="007A1075" w:rsidRDefault="00FE25CC" w:rsidP="00800D89">
            <w:pPr>
              <w:pStyle w:val="TableText"/>
              <w:cnfStyle w:val="000000100000" w:firstRow="0" w:lastRow="0" w:firstColumn="0" w:lastColumn="0" w:oddVBand="0" w:evenVBand="0" w:oddHBand="1" w:evenHBand="0" w:firstRowFirstColumn="0" w:firstRowLastColumn="0" w:lastRowFirstColumn="0" w:lastRowLastColumn="0"/>
            </w:pPr>
            <w:r w:rsidRPr="007A1075">
              <w:t>0.71</w:t>
            </w:r>
          </w:p>
        </w:tc>
        <w:tc>
          <w:tcPr>
            <w:tcW w:w="1276" w:type="dxa"/>
            <w:tcBorders>
              <w:top w:val="none" w:sz="0" w:space="0" w:color="auto"/>
              <w:bottom w:val="none" w:sz="0" w:space="0" w:color="auto"/>
            </w:tcBorders>
            <w:noWrap/>
            <w:hideMark/>
          </w:tcPr>
          <w:p w14:paraId="1AA2EA40" w14:textId="77777777" w:rsidR="00FE25CC" w:rsidRPr="007A1075" w:rsidRDefault="00FE25CC" w:rsidP="00800D89">
            <w:pPr>
              <w:pStyle w:val="TableText"/>
              <w:cnfStyle w:val="000000100000" w:firstRow="0" w:lastRow="0" w:firstColumn="0" w:lastColumn="0" w:oddVBand="0" w:evenVBand="0" w:oddHBand="1" w:evenHBand="0" w:firstRowFirstColumn="0" w:firstRowLastColumn="0" w:lastRowFirstColumn="0" w:lastRowLastColumn="0"/>
            </w:pPr>
            <w:r w:rsidRPr="007A1075">
              <w:t>88294</w:t>
            </w:r>
          </w:p>
        </w:tc>
        <w:tc>
          <w:tcPr>
            <w:tcW w:w="850" w:type="dxa"/>
            <w:tcBorders>
              <w:top w:val="none" w:sz="0" w:space="0" w:color="auto"/>
              <w:bottom w:val="none" w:sz="0" w:space="0" w:color="auto"/>
            </w:tcBorders>
            <w:noWrap/>
            <w:hideMark/>
          </w:tcPr>
          <w:p w14:paraId="770160A7" w14:textId="326C5065" w:rsidR="00FE25CC" w:rsidRPr="007A1075" w:rsidRDefault="00FE25CC" w:rsidP="00800D89">
            <w:pPr>
              <w:pStyle w:val="TableText"/>
              <w:cnfStyle w:val="000000100000" w:firstRow="0" w:lastRow="0" w:firstColumn="0" w:lastColumn="0" w:oddVBand="0" w:evenVBand="0" w:oddHBand="1" w:evenHBand="0" w:firstRowFirstColumn="0" w:firstRowLastColumn="0" w:lastRowFirstColumn="0" w:lastRowLastColumn="0"/>
            </w:pPr>
            <w:r w:rsidRPr="007A1075">
              <w:t>1</w:t>
            </w:r>
            <w:r w:rsidR="00E96DF5">
              <w:t>,</w:t>
            </w:r>
            <w:r w:rsidRPr="007A1075">
              <w:t>179</w:t>
            </w:r>
          </w:p>
        </w:tc>
        <w:tc>
          <w:tcPr>
            <w:tcW w:w="1280" w:type="dxa"/>
            <w:tcBorders>
              <w:top w:val="none" w:sz="0" w:space="0" w:color="auto"/>
              <w:bottom w:val="none" w:sz="0" w:space="0" w:color="auto"/>
            </w:tcBorders>
            <w:noWrap/>
            <w:hideMark/>
          </w:tcPr>
          <w:p w14:paraId="0AE5EAD8" w14:textId="77777777" w:rsidR="00FE25CC" w:rsidRPr="007A1075" w:rsidRDefault="00FE25CC" w:rsidP="00800D89">
            <w:pPr>
              <w:pStyle w:val="TableText"/>
              <w:cnfStyle w:val="000000100000" w:firstRow="0" w:lastRow="0" w:firstColumn="0" w:lastColumn="0" w:oddVBand="0" w:evenVBand="0" w:oddHBand="1" w:evenHBand="0" w:firstRowFirstColumn="0" w:firstRowLastColumn="0" w:lastRowFirstColumn="0" w:lastRowLastColumn="0"/>
            </w:pPr>
            <w:r w:rsidRPr="007A1075">
              <w:t>&lt;.001</w:t>
            </w:r>
          </w:p>
        </w:tc>
        <w:tc>
          <w:tcPr>
            <w:tcW w:w="1900" w:type="dxa"/>
            <w:tcBorders>
              <w:top w:val="none" w:sz="0" w:space="0" w:color="auto"/>
              <w:bottom w:val="none" w:sz="0" w:space="0" w:color="auto"/>
            </w:tcBorders>
            <w:noWrap/>
            <w:hideMark/>
          </w:tcPr>
          <w:p w14:paraId="316F23D5" w14:textId="77777777" w:rsidR="00FE25CC" w:rsidRPr="007A1075" w:rsidRDefault="00FE25CC" w:rsidP="00800D89">
            <w:pPr>
              <w:pStyle w:val="TableText"/>
              <w:cnfStyle w:val="000000100000" w:firstRow="0" w:lastRow="0" w:firstColumn="0" w:lastColumn="0" w:oddVBand="0" w:evenVBand="0" w:oddHBand="1" w:evenHBand="0" w:firstRowFirstColumn="0" w:firstRowLastColumn="0" w:lastRowFirstColumn="0" w:lastRowLastColumn="0"/>
            </w:pPr>
            <w:r w:rsidRPr="007A1075">
              <w:t>52.4% (n=618)</w:t>
            </w:r>
          </w:p>
        </w:tc>
      </w:tr>
      <w:tr w:rsidR="006771BF" w:rsidRPr="007A1075" w14:paraId="325C3E82" w14:textId="77777777" w:rsidTr="00520E3A">
        <w:trPr>
          <w:trHeight w:val="290"/>
        </w:trPr>
        <w:tc>
          <w:tcPr>
            <w:cnfStyle w:val="001000000000" w:firstRow="0" w:lastRow="0" w:firstColumn="1" w:lastColumn="0" w:oddVBand="0" w:evenVBand="0" w:oddHBand="0" w:evenHBand="0" w:firstRowFirstColumn="0" w:firstRowLastColumn="0" w:lastRowFirstColumn="0" w:lastRowLastColumn="0"/>
            <w:tcW w:w="988" w:type="dxa"/>
            <w:vMerge/>
            <w:tcBorders>
              <w:right w:val="none" w:sz="0" w:space="0" w:color="auto"/>
            </w:tcBorders>
            <w:hideMark/>
          </w:tcPr>
          <w:p w14:paraId="15A290B5" w14:textId="77777777" w:rsidR="00FE25CC" w:rsidRPr="00FE25CC" w:rsidRDefault="00FE25CC" w:rsidP="00800D89">
            <w:pPr>
              <w:pStyle w:val="TableText"/>
            </w:pPr>
          </w:p>
        </w:tc>
        <w:tc>
          <w:tcPr>
            <w:tcW w:w="1134" w:type="dxa"/>
            <w:vMerge/>
            <w:hideMark/>
          </w:tcPr>
          <w:p w14:paraId="18961A51" w14:textId="77777777" w:rsidR="00FE25CC" w:rsidRPr="00800D89" w:rsidRDefault="00FE25CC" w:rsidP="00800D89">
            <w:pPr>
              <w:pStyle w:val="TableText"/>
              <w:cnfStyle w:val="000000000000" w:firstRow="0" w:lastRow="0" w:firstColumn="0" w:lastColumn="0" w:oddVBand="0" w:evenVBand="0" w:oddHBand="0" w:evenHBand="0" w:firstRowFirstColumn="0" w:firstRowLastColumn="0" w:lastRowFirstColumn="0" w:lastRowLastColumn="0"/>
            </w:pPr>
          </w:p>
        </w:tc>
        <w:tc>
          <w:tcPr>
            <w:tcW w:w="1701" w:type="dxa"/>
            <w:vMerge/>
            <w:hideMark/>
          </w:tcPr>
          <w:p w14:paraId="517C4F7F" w14:textId="77777777" w:rsidR="00FE25CC" w:rsidRPr="00800D89" w:rsidRDefault="00FE25CC" w:rsidP="00800D89">
            <w:pPr>
              <w:pStyle w:val="TableText"/>
              <w:cnfStyle w:val="000000000000" w:firstRow="0" w:lastRow="0" w:firstColumn="0" w:lastColumn="0" w:oddVBand="0" w:evenVBand="0" w:oddHBand="0" w:evenHBand="0" w:firstRowFirstColumn="0" w:firstRowLastColumn="0" w:lastRowFirstColumn="0" w:lastRowLastColumn="0"/>
            </w:pPr>
          </w:p>
        </w:tc>
        <w:tc>
          <w:tcPr>
            <w:tcW w:w="3402" w:type="dxa"/>
            <w:noWrap/>
            <w:hideMark/>
          </w:tcPr>
          <w:p w14:paraId="29028C36" w14:textId="77777777" w:rsidR="00FE25CC" w:rsidRPr="00800D89" w:rsidRDefault="00FE25CC" w:rsidP="00800D89">
            <w:pPr>
              <w:pStyle w:val="TableText"/>
              <w:cnfStyle w:val="000000000000" w:firstRow="0" w:lastRow="0" w:firstColumn="0" w:lastColumn="0" w:oddVBand="0" w:evenVBand="0" w:oddHBand="0" w:evenHBand="0" w:firstRowFirstColumn="0" w:firstRowLastColumn="0" w:lastRowFirstColumn="0" w:lastRowLastColumn="0"/>
            </w:pPr>
            <w:r w:rsidRPr="00800D89">
              <w:t>Personal and family safety</w:t>
            </w:r>
          </w:p>
        </w:tc>
        <w:tc>
          <w:tcPr>
            <w:tcW w:w="1417" w:type="dxa"/>
            <w:noWrap/>
            <w:hideMark/>
          </w:tcPr>
          <w:p w14:paraId="61C9BB9F" w14:textId="77777777" w:rsidR="00FE25CC" w:rsidRPr="007A1075" w:rsidRDefault="00FE25CC" w:rsidP="00800D89">
            <w:pPr>
              <w:pStyle w:val="TableText"/>
              <w:cnfStyle w:val="000000000000" w:firstRow="0" w:lastRow="0" w:firstColumn="0" w:lastColumn="0" w:oddVBand="0" w:evenVBand="0" w:oddHBand="0" w:evenHBand="0" w:firstRowFirstColumn="0" w:firstRowLastColumn="0" w:lastRowFirstColumn="0" w:lastRowLastColumn="0"/>
            </w:pPr>
            <w:r w:rsidRPr="007A1075">
              <w:t>1.14</w:t>
            </w:r>
          </w:p>
        </w:tc>
        <w:tc>
          <w:tcPr>
            <w:tcW w:w="1276" w:type="dxa"/>
            <w:noWrap/>
            <w:hideMark/>
          </w:tcPr>
          <w:p w14:paraId="132FB1F5" w14:textId="77777777" w:rsidR="00FE25CC" w:rsidRPr="007A1075" w:rsidRDefault="00FE25CC" w:rsidP="00800D89">
            <w:pPr>
              <w:pStyle w:val="TableText"/>
              <w:cnfStyle w:val="000000000000" w:firstRow="0" w:lastRow="0" w:firstColumn="0" w:lastColumn="0" w:oddVBand="0" w:evenVBand="0" w:oddHBand="0" w:evenHBand="0" w:firstRowFirstColumn="0" w:firstRowLastColumn="0" w:lastRowFirstColumn="0" w:lastRowLastColumn="0"/>
            </w:pPr>
            <w:r w:rsidRPr="007A1075">
              <w:t>153219</w:t>
            </w:r>
          </w:p>
        </w:tc>
        <w:tc>
          <w:tcPr>
            <w:tcW w:w="850" w:type="dxa"/>
            <w:noWrap/>
            <w:hideMark/>
          </w:tcPr>
          <w:p w14:paraId="27CACCC3" w14:textId="76BE6AC7" w:rsidR="00FE25CC" w:rsidRPr="007A1075" w:rsidRDefault="00FE25CC" w:rsidP="00800D89">
            <w:pPr>
              <w:pStyle w:val="TableText"/>
              <w:cnfStyle w:val="000000000000" w:firstRow="0" w:lastRow="0" w:firstColumn="0" w:lastColumn="0" w:oddVBand="0" w:evenVBand="0" w:oddHBand="0" w:evenHBand="0" w:firstRowFirstColumn="0" w:firstRowLastColumn="0" w:lastRowFirstColumn="0" w:lastRowLastColumn="0"/>
            </w:pPr>
            <w:r w:rsidRPr="007A1075">
              <w:t>2</w:t>
            </w:r>
            <w:r w:rsidR="00E96DF5">
              <w:t>,</w:t>
            </w:r>
            <w:r w:rsidRPr="007A1075">
              <w:t>184</w:t>
            </w:r>
          </w:p>
        </w:tc>
        <w:tc>
          <w:tcPr>
            <w:tcW w:w="1280" w:type="dxa"/>
            <w:noWrap/>
            <w:hideMark/>
          </w:tcPr>
          <w:p w14:paraId="2A1E16A1" w14:textId="77777777" w:rsidR="00FE25CC" w:rsidRPr="007A1075" w:rsidRDefault="00FE25CC" w:rsidP="00800D89">
            <w:pPr>
              <w:pStyle w:val="TableText"/>
              <w:cnfStyle w:val="000000000000" w:firstRow="0" w:lastRow="0" w:firstColumn="0" w:lastColumn="0" w:oddVBand="0" w:evenVBand="0" w:oddHBand="0" w:evenHBand="0" w:firstRowFirstColumn="0" w:firstRowLastColumn="0" w:lastRowFirstColumn="0" w:lastRowLastColumn="0"/>
            </w:pPr>
            <w:r w:rsidRPr="007A1075">
              <w:t>&lt;.001</w:t>
            </w:r>
          </w:p>
        </w:tc>
        <w:tc>
          <w:tcPr>
            <w:tcW w:w="1900" w:type="dxa"/>
            <w:noWrap/>
            <w:hideMark/>
          </w:tcPr>
          <w:p w14:paraId="5F56E465" w14:textId="09F44EC3" w:rsidR="00FE25CC" w:rsidRPr="007A1075" w:rsidRDefault="00FE25CC" w:rsidP="00800D89">
            <w:pPr>
              <w:pStyle w:val="TableText"/>
              <w:cnfStyle w:val="000000000000" w:firstRow="0" w:lastRow="0" w:firstColumn="0" w:lastColumn="0" w:oddVBand="0" w:evenVBand="0" w:oddHBand="0" w:evenHBand="0" w:firstRowFirstColumn="0" w:firstRowLastColumn="0" w:lastRowFirstColumn="0" w:lastRowLastColumn="0"/>
            </w:pPr>
            <w:r w:rsidRPr="007A1075">
              <w:t>65.1% (n=1</w:t>
            </w:r>
            <w:r w:rsidR="00E96DF5">
              <w:t>,</w:t>
            </w:r>
            <w:r w:rsidRPr="007A1075">
              <w:t>421)</w:t>
            </w:r>
          </w:p>
        </w:tc>
      </w:tr>
      <w:tr w:rsidR="006771BF" w:rsidRPr="007A1075" w14:paraId="2F97569D" w14:textId="77777777" w:rsidTr="00520E3A">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88" w:type="dxa"/>
            <w:vMerge/>
            <w:tcBorders>
              <w:top w:val="none" w:sz="0" w:space="0" w:color="auto"/>
              <w:bottom w:val="none" w:sz="0" w:space="0" w:color="auto"/>
              <w:right w:val="none" w:sz="0" w:space="0" w:color="auto"/>
            </w:tcBorders>
            <w:hideMark/>
          </w:tcPr>
          <w:p w14:paraId="3BF583E9" w14:textId="77777777" w:rsidR="00FE25CC" w:rsidRPr="00FE25CC" w:rsidRDefault="00FE25CC" w:rsidP="00800D89">
            <w:pPr>
              <w:pStyle w:val="TableText"/>
            </w:pPr>
          </w:p>
        </w:tc>
        <w:tc>
          <w:tcPr>
            <w:tcW w:w="1134" w:type="dxa"/>
            <w:vMerge/>
            <w:tcBorders>
              <w:top w:val="none" w:sz="0" w:space="0" w:color="auto"/>
              <w:bottom w:val="none" w:sz="0" w:space="0" w:color="auto"/>
            </w:tcBorders>
            <w:hideMark/>
          </w:tcPr>
          <w:p w14:paraId="54D25F4E" w14:textId="77777777" w:rsidR="00FE25CC" w:rsidRPr="00800D89" w:rsidRDefault="00FE25CC" w:rsidP="00800D89">
            <w:pPr>
              <w:pStyle w:val="TableText"/>
              <w:cnfStyle w:val="000000100000" w:firstRow="0" w:lastRow="0" w:firstColumn="0" w:lastColumn="0" w:oddVBand="0" w:evenVBand="0" w:oddHBand="1" w:evenHBand="0" w:firstRowFirstColumn="0" w:firstRowLastColumn="0" w:lastRowFirstColumn="0" w:lastRowLastColumn="0"/>
            </w:pPr>
          </w:p>
        </w:tc>
        <w:tc>
          <w:tcPr>
            <w:tcW w:w="1701" w:type="dxa"/>
            <w:vMerge w:val="restart"/>
            <w:tcBorders>
              <w:top w:val="none" w:sz="0" w:space="0" w:color="auto"/>
              <w:bottom w:val="none" w:sz="0" w:space="0" w:color="auto"/>
            </w:tcBorders>
            <w:hideMark/>
          </w:tcPr>
          <w:p w14:paraId="259F0F20" w14:textId="77777777" w:rsidR="00FE25CC" w:rsidRPr="00800D89" w:rsidRDefault="00FE25CC" w:rsidP="00800D89">
            <w:pPr>
              <w:pStyle w:val="TableText"/>
              <w:cnfStyle w:val="000000100000" w:firstRow="0" w:lastRow="0" w:firstColumn="0" w:lastColumn="0" w:oddVBand="0" w:evenVBand="0" w:oddHBand="1" w:evenHBand="0" w:firstRowFirstColumn="0" w:firstRowLastColumn="0" w:lastRowFirstColumn="0" w:lastRowLastColumn="0"/>
            </w:pPr>
            <w:r w:rsidRPr="00800D89">
              <w:t>Goals</w:t>
            </w:r>
          </w:p>
        </w:tc>
        <w:tc>
          <w:tcPr>
            <w:tcW w:w="3402" w:type="dxa"/>
            <w:tcBorders>
              <w:top w:val="none" w:sz="0" w:space="0" w:color="auto"/>
              <w:bottom w:val="none" w:sz="0" w:space="0" w:color="auto"/>
            </w:tcBorders>
            <w:noWrap/>
            <w:hideMark/>
          </w:tcPr>
          <w:p w14:paraId="621405A8" w14:textId="77777777" w:rsidR="00FE25CC" w:rsidRPr="00800D89" w:rsidRDefault="00FE25CC" w:rsidP="00800D89">
            <w:pPr>
              <w:pStyle w:val="TableText"/>
              <w:cnfStyle w:val="000000100000" w:firstRow="0" w:lastRow="0" w:firstColumn="0" w:lastColumn="0" w:oddVBand="0" w:evenVBand="0" w:oddHBand="1" w:evenHBand="0" w:firstRowFirstColumn="0" w:firstRowLastColumn="0" w:lastRowFirstColumn="0" w:lastRowLastColumn="0"/>
            </w:pPr>
            <w:r w:rsidRPr="00800D89">
              <w:t>Changed behaviours</w:t>
            </w:r>
          </w:p>
        </w:tc>
        <w:tc>
          <w:tcPr>
            <w:tcW w:w="1417" w:type="dxa"/>
            <w:tcBorders>
              <w:top w:val="none" w:sz="0" w:space="0" w:color="auto"/>
              <w:bottom w:val="none" w:sz="0" w:space="0" w:color="auto"/>
            </w:tcBorders>
            <w:noWrap/>
            <w:hideMark/>
          </w:tcPr>
          <w:p w14:paraId="3529DF5D" w14:textId="77777777" w:rsidR="00FE25CC" w:rsidRPr="007A1075" w:rsidRDefault="00FE25CC" w:rsidP="00800D89">
            <w:pPr>
              <w:pStyle w:val="TableText"/>
              <w:cnfStyle w:val="000000100000" w:firstRow="0" w:lastRow="0" w:firstColumn="0" w:lastColumn="0" w:oddVBand="0" w:evenVBand="0" w:oddHBand="1" w:evenHBand="0" w:firstRowFirstColumn="0" w:firstRowLastColumn="0" w:lastRowFirstColumn="0" w:lastRowLastColumn="0"/>
            </w:pPr>
            <w:r w:rsidRPr="007A1075">
              <w:t>0.69</w:t>
            </w:r>
          </w:p>
        </w:tc>
        <w:tc>
          <w:tcPr>
            <w:tcW w:w="1276" w:type="dxa"/>
            <w:tcBorders>
              <w:top w:val="none" w:sz="0" w:space="0" w:color="auto"/>
              <w:bottom w:val="none" w:sz="0" w:space="0" w:color="auto"/>
            </w:tcBorders>
            <w:noWrap/>
            <w:hideMark/>
          </w:tcPr>
          <w:p w14:paraId="226ACAC1" w14:textId="77777777" w:rsidR="00FE25CC" w:rsidRPr="007A1075" w:rsidRDefault="00FE25CC" w:rsidP="00800D89">
            <w:pPr>
              <w:pStyle w:val="TableText"/>
              <w:cnfStyle w:val="000000100000" w:firstRow="0" w:lastRow="0" w:firstColumn="0" w:lastColumn="0" w:oddVBand="0" w:evenVBand="0" w:oddHBand="1" w:evenHBand="0" w:firstRowFirstColumn="0" w:firstRowLastColumn="0" w:lastRowFirstColumn="0" w:lastRowLastColumn="0"/>
            </w:pPr>
            <w:r w:rsidRPr="007A1075">
              <w:t>43708.5</w:t>
            </w:r>
          </w:p>
        </w:tc>
        <w:tc>
          <w:tcPr>
            <w:tcW w:w="850" w:type="dxa"/>
            <w:tcBorders>
              <w:top w:val="none" w:sz="0" w:space="0" w:color="auto"/>
              <w:bottom w:val="none" w:sz="0" w:space="0" w:color="auto"/>
            </w:tcBorders>
            <w:noWrap/>
            <w:hideMark/>
          </w:tcPr>
          <w:p w14:paraId="75F10B07" w14:textId="77777777" w:rsidR="00FE25CC" w:rsidRPr="007A1075" w:rsidRDefault="00FE25CC" w:rsidP="00800D89">
            <w:pPr>
              <w:pStyle w:val="TableText"/>
              <w:cnfStyle w:val="000000100000" w:firstRow="0" w:lastRow="0" w:firstColumn="0" w:lastColumn="0" w:oddVBand="0" w:evenVBand="0" w:oddHBand="1" w:evenHBand="0" w:firstRowFirstColumn="0" w:firstRowLastColumn="0" w:lastRowFirstColumn="0" w:lastRowLastColumn="0"/>
            </w:pPr>
            <w:r w:rsidRPr="007A1075">
              <w:t>753</w:t>
            </w:r>
          </w:p>
        </w:tc>
        <w:tc>
          <w:tcPr>
            <w:tcW w:w="1280" w:type="dxa"/>
            <w:tcBorders>
              <w:top w:val="none" w:sz="0" w:space="0" w:color="auto"/>
              <w:bottom w:val="none" w:sz="0" w:space="0" w:color="auto"/>
            </w:tcBorders>
            <w:noWrap/>
            <w:hideMark/>
          </w:tcPr>
          <w:p w14:paraId="3B40FF3C" w14:textId="77777777" w:rsidR="00FE25CC" w:rsidRPr="007A1075" w:rsidRDefault="00FE25CC" w:rsidP="00800D89">
            <w:pPr>
              <w:pStyle w:val="TableText"/>
              <w:cnfStyle w:val="000000100000" w:firstRow="0" w:lastRow="0" w:firstColumn="0" w:lastColumn="0" w:oddVBand="0" w:evenVBand="0" w:oddHBand="1" w:evenHBand="0" w:firstRowFirstColumn="0" w:firstRowLastColumn="0" w:lastRowFirstColumn="0" w:lastRowLastColumn="0"/>
            </w:pPr>
            <w:r w:rsidRPr="007A1075">
              <w:t>&lt;.001</w:t>
            </w:r>
          </w:p>
        </w:tc>
        <w:tc>
          <w:tcPr>
            <w:tcW w:w="1900" w:type="dxa"/>
            <w:tcBorders>
              <w:top w:val="none" w:sz="0" w:space="0" w:color="auto"/>
              <w:bottom w:val="none" w:sz="0" w:space="0" w:color="auto"/>
            </w:tcBorders>
            <w:noWrap/>
            <w:hideMark/>
          </w:tcPr>
          <w:p w14:paraId="478C65A8" w14:textId="77777777" w:rsidR="00FE25CC" w:rsidRPr="007A1075" w:rsidRDefault="00FE25CC" w:rsidP="00800D89">
            <w:pPr>
              <w:pStyle w:val="TableText"/>
              <w:cnfStyle w:val="000000100000" w:firstRow="0" w:lastRow="0" w:firstColumn="0" w:lastColumn="0" w:oddVBand="0" w:evenVBand="0" w:oddHBand="1" w:evenHBand="0" w:firstRowFirstColumn="0" w:firstRowLastColumn="0" w:lastRowFirstColumn="0" w:lastRowLastColumn="0"/>
            </w:pPr>
            <w:r w:rsidRPr="007A1075">
              <w:t>51.4% (n=387)</w:t>
            </w:r>
          </w:p>
        </w:tc>
      </w:tr>
      <w:tr w:rsidR="006771BF" w:rsidRPr="007A1075" w14:paraId="71F91FCE" w14:textId="77777777" w:rsidTr="00520E3A">
        <w:trPr>
          <w:trHeight w:val="290"/>
        </w:trPr>
        <w:tc>
          <w:tcPr>
            <w:cnfStyle w:val="001000000000" w:firstRow="0" w:lastRow="0" w:firstColumn="1" w:lastColumn="0" w:oddVBand="0" w:evenVBand="0" w:oddHBand="0" w:evenHBand="0" w:firstRowFirstColumn="0" w:firstRowLastColumn="0" w:lastRowFirstColumn="0" w:lastRowLastColumn="0"/>
            <w:tcW w:w="988" w:type="dxa"/>
            <w:vMerge/>
            <w:tcBorders>
              <w:right w:val="none" w:sz="0" w:space="0" w:color="auto"/>
            </w:tcBorders>
            <w:hideMark/>
          </w:tcPr>
          <w:p w14:paraId="4B445C78" w14:textId="77777777" w:rsidR="00FE25CC" w:rsidRPr="00FE25CC" w:rsidRDefault="00FE25CC" w:rsidP="00800D89">
            <w:pPr>
              <w:pStyle w:val="TableText"/>
            </w:pPr>
          </w:p>
        </w:tc>
        <w:tc>
          <w:tcPr>
            <w:tcW w:w="1134" w:type="dxa"/>
            <w:vMerge/>
            <w:hideMark/>
          </w:tcPr>
          <w:p w14:paraId="189C4016" w14:textId="77777777" w:rsidR="00FE25CC" w:rsidRPr="00800D89" w:rsidRDefault="00FE25CC" w:rsidP="00800D89">
            <w:pPr>
              <w:pStyle w:val="TableText"/>
              <w:cnfStyle w:val="000000000000" w:firstRow="0" w:lastRow="0" w:firstColumn="0" w:lastColumn="0" w:oddVBand="0" w:evenVBand="0" w:oddHBand="0" w:evenHBand="0" w:firstRowFirstColumn="0" w:firstRowLastColumn="0" w:lastRowFirstColumn="0" w:lastRowLastColumn="0"/>
            </w:pPr>
          </w:p>
        </w:tc>
        <w:tc>
          <w:tcPr>
            <w:tcW w:w="1701" w:type="dxa"/>
            <w:vMerge/>
            <w:hideMark/>
          </w:tcPr>
          <w:p w14:paraId="3D535353" w14:textId="77777777" w:rsidR="00FE25CC" w:rsidRPr="00800D89" w:rsidRDefault="00FE25CC" w:rsidP="00800D89">
            <w:pPr>
              <w:pStyle w:val="TableText"/>
              <w:cnfStyle w:val="000000000000" w:firstRow="0" w:lastRow="0" w:firstColumn="0" w:lastColumn="0" w:oddVBand="0" w:evenVBand="0" w:oddHBand="0" w:evenHBand="0" w:firstRowFirstColumn="0" w:firstRowLastColumn="0" w:lastRowFirstColumn="0" w:lastRowLastColumn="0"/>
            </w:pPr>
          </w:p>
        </w:tc>
        <w:tc>
          <w:tcPr>
            <w:tcW w:w="3402" w:type="dxa"/>
            <w:noWrap/>
            <w:hideMark/>
          </w:tcPr>
          <w:p w14:paraId="40B06DFF" w14:textId="77777777" w:rsidR="00FE25CC" w:rsidRPr="00800D89" w:rsidRDefault="00FE25CC" w:rsidP="00800D89">
            <w:pPr>
              <w:pStyle w:val="TableText"/>
              <w:cnfStyle w:val="000000000000" w:firstRow="0" w:lastRow="0" w:firstColumn="0" w:lastColumn="0" w:oddVBand="0" w:evenVBand="0" w:oddHBand="0" w:evenHBand="0" w:firstRowFirstColumn="0" w:firstRowLastColumn="0" w:lastRowFirstColumn="0" w:lastRowLastColumn="0"/>
            </w:pPr>
            <w:r w:rsidRPr="00800D89">
              <w:t>Changed impact of immediate crisis</w:t>
            </w:r>
          </w:p>
        </w:tc>
        <w:tc>
          <w:tcPr>
            <w:tcW w:w="1417" w:type="dxa"/>
            <w:noWrap/>
            <w:hideMark/>
          </w:tcPr>
          <w:p w14:paraId="4B78971E" w14:textId="77777777" w:rsidR="00FE25CC" w:rsidRPr="007A1075" w:rsidRDefault="00FE25CC" w:rsidP="00800D89">
            <w:pPr>
              <w:pStyle w:val="TableText"/>
              <w:cnfStyle w:val="000000000000" w:firstRow="0" w:lastRow="0" w:firstColumn="0" w:lastColumn="0" w:oddVBand="0" w:evenVBand="0" w:oddHBand="0" w:evenHBand="0" w:firstRowFirstColumn="0" w:firstRowLastColumn="0" w:lastRowFirstColumn="0" w:lastRowLastColumn="0"/>
            </w:pPr>
            <w:r w:rsidRPr="007A1075">
              <w:t>1.5</w:t>
            </w:r>
          </w:p>
        </w:tc>
        <w:tc>
          <w:tcPr>
            <w:tcW w:w="1276" w:type="dxa"/>
            <w:noWrap/>
            <w:hideMark/>
          </w:tcPr>
          <w:p w14:paraId="6C4A3EAD" w14:textId="77777777" w:rsidR="00FE25CC" w:rsidRPr="007A1075" w:rsidRDefault="00FE25CC" w:rsidP="00800D89">
            <w:pPr>
              <w:pStyle w:val="TableText"/>
              <w:cnfStyle w:val="000000000000" w:firstRow="0" w:lastRow="0" w:firstColumn="0" w:lastColumn="0" w:oddVBand="0" w:evenVBand="0" w:oddHBand="0" w:evenHBand="0" w:firstRowFirstColumn="0" w:firstRowLastColumn="0" w:lastRowFirstColumn="0" w:lastRowLastColumn="0"/>
            </w:pPr>
            <w:r w:rsidRPr="007A1075">
              <w:t>13436</w:t>
            </w:r>
          </w:p>
        </w:tc>
        <w:tc>
          <w:tcPr>
            <w:tcW w:w="850" w:type="dxa"/>
            <w:noWrap/>
            <w:hideMark/>
          </w:tcPr>
          <w:p w14:paraId="77535873" w14:textId="77777777" w:rsidR="00FE25CC" w:rsidRPr="007A1075" w:rsidRDefault="00FE25CC" w:rsidP="00800D89">
            <w:pPr>
              <w:pStyle w:val="TableText"/>
              <w:cnfStyle w:val="000000000000" w:firstRow="0" w:lastRow="0" w:firstColumn="0" w:lastColumn="0" w:oddVBand="0" w:evenVBand="0" w:oddHBand="0" w:evenHBand="0" w:firstRowFirstColumn="0" w:firstRowLastColumn="0" w:lastRowFirstColumn="0" w:lastRowLastColumn="0"/>
            </w:pPr>
            <w:r w:rsidRPr="007A1075">
              <w:t>949</w:t>
            </w:r>
          </w:p>
        </w:tc>
        <w:tc>
          <w:tcPr>
            <w:tcW w:w="1280" w:type="dxa"/>
            <w:noWrap/>
            <w:hideMark/>
          </w:tcPr>
          <w:p w14:paraId="5375194E" w14:textId="77777777" w:rsidR="00FE25CC" w:rsidRPr="007A1075" w:rsidRDefault="00FE25CC" w:rsidP="00800D89">
            <w:pPr>
              <w:pStyle w:val="TableText"/>
              <w:cnfStyle w:val="000000000000" w:firstRow="0" w:lastRow="0" w:firstColumn="0" w:lastColumn="0" w:oddVBand="0" w:evenVBand="0" w:oddHBand="0" w:evenHBand="0" w:firstRowFirstColumn="0" w:firstRowLastColumn="0" w:lastRowFirstColumn="0" w:lastRowLastColumn="0"/>
            </w:pPr>
            <w:r w:rsidRPr="007A1075">
              <w:t>&lt;.001</w:t>
            </w:r>
          </w:p>
        </w:tc>
        <w:tc>
          <w:tcPr>
            <w:tcW w:w="1900" w:type="dxa"/>
            <w:noWrap/>
            <w:hideMark/>
          </w:tcPr>
          <w:p w14:paraId="4E58A3F8" w14:textId="77777777" w:rsidR="00FE25CC" w:rsidRPr="007A1075" w:rsidRDefault="00FE25CC" w:rsidP="00800D89">
            <w:pPr>
              <w:pStyle w:val="TableText"/>
              <w:cnfStyle w:val="000000000000" w:firstRow="0" w:lastRow="0" w:firstColumn="0" w:lastColumn="0" w:oddVBand="0" w:evenVBand="0" w:oddHBand="0" w:evenHBand="0" w:firstRowFirstColumn="0" w:firstRowLastColumn="0" w:lastRowFirstColumn="0" w:lastRowLastColumn="0"/>
            </w:pPr>
            <w:r w:rsidRPr="007A1075">
              <w:t>83.2% (n=790)</w:t>
            </w:r>
          </w:p>
        </w:tc>
      </w:tr>
      <w:tr w:rsidR="006771BF" w:rsidRPr="007A1075" w14:paraId="0FC156A5" w14:textId="77777777" w:rsidTr="00520E3A">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88" w:type="dxa"/>
            <w:vMerge/>
            <w:tcBorders>
              <w:top w:val="none" w:sz="0" w:space="0" w:color="auto"/>
              <w:bottom w:val="none" w:sz="0" w:space="0" w:color="auto"/>
              <w:right w:val="none" w:sz="0" w:space="0" w:color="auto"/>
            </w:tcBorders>
            <w:hideMark/>
          </w:tcPr>
          <w:p w14:paraId="7C1B3934" w14:textId="77777777" w:rsidR="00FE25CC" w:rsidRPr="00FE25CC" w:rsidRDefault="00FE25CC" w:rsidP="00800D89">
            <w:pPr>
              <w:pStyle w:val="TableText"/>
            </w:pPr>
          </w:p>
        </w:tc>
        <w:tc>
          <w:tcPr>
            <w:tcW w:w="1134" w:type="dxa"/>
            <w:vMerge/>
            <w:tcBorders>
              <w:top w:val="none" w:sz="0" w:space="0" w:color="auto"/>
              <w:bottom w:val="none" w:sz="0" w:space="0" w:color="auto"/>
            </w:tcBorders>
            <w:hideMark/>
          </w:tcPr>
          <w:p w14:paraId="3B6E8C75" w14:textId="77777777" w:rsidR="00FE25CC" w:rsidRPr="00800D89" w:rsidRDefault="00FE25CC" w:rsidP="00800D89">
            <w:pPr>
              <w:pStyle w:val="TableText"/>
              <w:cnfStyle w:val="000000100000" w:firstRow="0" w:lastRow="0" w:firstColumn="0" w:lastColumn="0" w:oddVBand="0" w:evenVBand="0" w:oddHBand="1" w:evenHBand="0" w:firstRowFirstColumn="0" w:firstRowLastColumn="0" w:lastRowFirstColumn="0" w:lastRowLastColumn="0"/>
            </w:pPr>
          </w:p>
        </w:tc>
        <w:tc>
          <w:tcPr>
            <w:tcW w:w="1701" w:type="dxa"/>
            <w:vMerge/>
            <w:tcBorders>
              <w:top w:val="none" w:sz="0" w:space="0" w:color="auto"/>
              <w:bottom w:val="none" w:sz="0" w:space="0" w:color="auto"/>
            </w:tcBorders>
            <w:hideMark/>
          </w:tcPr>
          <w:p w14:paraId="1B0F350E" w14:textId="77777777" w:rsidR="00FE25CC" w:rsidRPr="00800D89" w:rsidRDefault="00FE25CC" w:rsidP="00800D89">
            <w:pPr>
              <w:pStyle w:val="TableText"/>
              <w:cnfStyle w:val="000000100000" w:firstRow="0" w:lastRow="0" w:firstColumn="0" w:lastColumn="0" w:oddVBand="0" w:evenVBand="0" w:oddHBand="1" w:evenHBand="0" w:firstRowFirstColumn="0" w:firstRowLastColumn="0" w:lastRowFirstColumn="0" w:lastRowLastColumn="0"/>
            </w:pPr>
          </w:p>
        </w:tc>
        <w:tc>
          <w:tcPr>
            <w:tcW w:w="3402" w:type="dxa"/>
            <w:tcBorders>
              <w:top w:val="none" w:sz="0" w:space="0" w:color="auto"/>
              <w:bottom w:val="none" w:sz="0" w:space="0" w:color="auto"/>
            </w:tcBorders>
            <w:noWrap/>
            <w:hideMark/>
          </w:tcPr>
          <w:p w14:paraId="317317AE" w14:textId="77777777" w:rsidR="00FE25CC" w:rsidRPr="00800D89" w:rsidRDefault="00FE25CC" w:rsidP="00800D89">
            <w:pPr>
              <w:pStyle w:val="TableText"/>
              <w:cnfStyle w:val="000000100000" w:firstRow="0" w:lastRow="0" w:firstColumn="0" w:lastColumn="0" w:oddVBand="0" w:evenVBand="0" w:oddHBand="1" w:evenHBand="0" w:firstRowFirstColumn="0" w:firstRowLastColumn="0" w:lastRowFirstColumn="0" w:lastRowLastColumn="0"/>
            </w:pPr>
            <w:r w:rsidRPr="00800D89">
              <w:t>Changed knowledge and access to information</w:t>
            </w:r>
          </w:p>
        </w:tc>
        <w:tc>
          <w:tcPr>
            <w:tcW w:w="1417" w:type="dxa"/>
            <w:tcBorders>
              <w:top w:val="none" w:sz="0" w:space="0" w:color="auto"/>
              <w:bottom w:val="none" w:sz="0" w:space="0" w:color="auto"/>
            </w:tcBorders>
            <w:noWrap/>
            <w:hideMark/>
          </w:tcPr>
          <w:p w14:paraId="27602D87" w14:textId="77777777" w:rsidR="00FE25CC" w:rsidRPr="007A1075" w:rsidRDefault="00FE25CC" w:rsidP="00800D89">
            <w:pPr>
              <w:pStyle w:val="TableText"/>
              <w:cnfStyle w:val="000000100000" w:firstRow="0" w:lastRow="0" w:firstColumn="0" w:lastColumn="0" w:oddVBand="0" w:evenVBand="0" w:oddHBand="1" w:evenHBand="0" w:firstRowFirstColumn="0" w:firstRowLastColumn="0" w:lastRowFirstColumn="0" w:lastRowLastColumn="0"/>
            </w:pPr>
            <w:r w:rsidRPr="007A1075">
              <w:t>1.31</w:t>
            </w:r>
          </w:p>
        </w:tc>
        <w:tc>
          <w:tcPr>
            <w:tcW w:w="1276" w:type="dxa"/>
            <w:tcBorders>
              <w:top w:val="none" w:sz="0" w:space="0" w:color="auto"/>
              <w:bottom w:val="none" w:sz="0" w:space="0" w:color="auto"/>
            </w:tcBorders>
            <w:noWrap/>
            <w:hideMark/>
          </w:tcPr>
          <w:p w14:paraId="2FBF5A2D" w14:textId="77777777" w:rsidR="00FE25CC" w:rsidRPr="007A1075" w:rsidRDefault="00FE25CC" w:rsidP="00800D89">
            <w:pPr>
              <w:pStyle w:val="TableText"/>
              <w:cnfStyle w:val="000000100000" w:firstRow="0" w:lastRow="0" w:firstColumn="0" w:lastColumn="0" w:oddVBand="0" w:evenVBand="0" w:oddHBand="1" w:evenHBand="0" w:firstRowFirstColumn="0" w:firstRowLastColumn="0" w:lastRowFirstColumn="0" w:lastRowLastColumn="0"/>
            </w:pPr>
            <w:r w:rsidRPr="007A1075">
              <w:t>42693</w:t>
            </w:r>
          </w:p>
        </w:tc>
        <w:tc>
          <w:tcPr>
            <w:tcW w:w="850" w:type="dxa"/>
            <w:tcBorders>
              <w:top w:val="none" w:sz="0" w:space="0" w:color="auto"/>
              <w:bottom w:val="none" w:sz="0" w:space="0" w:color="auto"/>
            </w:tcBorders>
            <w:noWrap/>
            <w:hideMark/>
          </w:tcPr>
          <w:p w14:paraId="5AF34AC9" w14:textId="20E3ED29" w:rsidR="00FE25CC" w:rsidRPr="007A1075" w:rsidRDefault="00FE25CC" w:rsidP="00800D89">
            <w:pPr>
              <w:pStyle w:val="TableText"/>
              <w:cnfStyle w:val="000000100000" w:firstRow="0" w:lastRow="0" w:firstColumn="0" w:lastColumn="0" w:oddVBand="0" w:evenVBand="0" w:oddHBand="1" w:evenHBand="0" w:firstRowFirstColumn="0" w:firstRowLastColumn="0" w:lastRowFirstColumn="0" w:lastRowLastColumn="0"/>
            </w:pPr>
            <w:r w:rsidRPr="007A1075">
              <w:t>1</w:t>
            </w:r>
            <w:r w:rsidR="00E96DF5">
              <w:t>,</w:t>
            </w:r>
            <w:r w:rsidRPr="007A1075">
              <w:t>271</w:t>
            </w:r>
          </w:p>
        </w:tc>
        <w:tc>
          <w:tcPr>
            <w:tcW w:w="1280" w:type="dxa"/>
            <w:tcBorders>
              <w:top w:val="none" w:sz="0" w:space="0" w:color="auto"/>
              <w:bottom w:val="none" w:sz="0" w:space="0" w:color="auto"/>
            </w:tcBorders>
            <w:noWrap/>
            <w:hideMark/>
          </w:tcPr>
          <w:p w14:paraId="4288E413" w14:textId="77777777" w:rsidR="00FE25CC" w:rsidRPr="007A1075" w:rsidRDefault="00FE25CC" w:rsidP="00800D89">
            <w:pPr>
              <w:pStyle w:val="TableText"/>
              <w:cnfStyle w:val="000000100000" w:firstRow="0" w:lastRow="0" w:firstColumn="0" w:lastColumn="0" w:oddVBand="0" w:evenVBand="0" w:oddHBand="1" w:evenHBand="0" w:firstRowFirstColumn="0" w:firstRowLastColumn="0" w:lastRowFirstColumn="0" w:lastRowLastColumn="0"/>
            </w:pPr>
            <w:r w:rsidRPr="007A1075">
              <w:t>&lt;.001</w:t>
            </w:r>
          </w:p>
        </w:tc>
        <w:tc>
          <w:tcPr>
            <w:tcW w:w="1900" w:type="dxa"/>
            <w:tcBorders>
              <w:top w:val="none" w:sz="0" w:space="0" w:color="auto"/>
              <w:bottom w:val="none" w:sz="0" w:space="0" w:color="auto"/>
            </w:tcBorders>
            <w:noWrap/>
            <w:hideMark/>
          </w:tcPr>
          <w:p w14:paraId="18A28BB0" w14:textId="77777777" w:rsidR="00FE25CC" w:rsidRPr="007A1075" w:rsidRDefault="00FE25CC" w:rsidP="00800D89">
            <w:pPr>
              <w:pStyle w:val="TableText"/>
              <w:cnfStyle w:val="000000100000" w:firstRow="0" w:lastRow="0" w:firstColumn="0" w:lastColumn="0" w:oddVBand="0" w:evenVBand="0" w:oddHBand="1" w:evenHBand="0" w:firstRowFirstColumn="0" w:firstRowLastColumn="0" w:lastRowFirstColumn="0" w:lastRowLastColumn="0"/>
            </w:pPr>
            <w:r w:rsidRPr="007A1075">
              <w:t>73.5% (n=934)</w:t>
            </w:r>
          </w:p>
        </w:tc>
      </w:tr>
      <w:tr w:rsidR="006771BF" w:rsidRPr="007A1075" w14:paraId="293117FE" w14:textId="77777777" w:rsidTr="00520E3A">
        <w:trPr>
          <w:trHeight w:val="290"/>
        </w:trPr>
        <w:tc>
          <w:tcPr>
            <w:cnfStyle w:val="001000000000" w:firstRow="0" w:lastRow="0" w:firstColumn="1" w:lastColumn="0" w:oddVBand="0" w:evenVBand="0" w:oddHBand="0" w:evenHBand="0" w:firstRowFirstColumn="0" w:firstRowLastColumn="0" w:lastRowFirstColumn="0" w:lastRowLastColumn="0"/>
            <w:tcW w:w="988" w:type="dxa"/>
            <w:vMerge/>
            <w:tcBorders>
              <w:right w:val="none" w:sz="0" w:space="0" w:color="auto"/>
            </w:tcBorders>
            <w:hideMark/>
          </w:tcPr>
          <w:p w14:paraId="56D3EAD6" w14:textId="77777777" w:rsidR="00FE25CC" w:rsidRPr="00FE25CC" w:rsidRDefault="00FE25CC" w:rsidP="00800D89">
            <w:pPr>
              <w:pStyle w:val="TableText"/>
            </w:pPr>
          </w:p>
        </w:tc>
        <w:tc>
          <w:tcPr>
            <w:tcW w:w="1134" w:type="dxa"/>
            <w:vMerge/>
            <w:hideMark/>
          </w:tcPr>
          <w:p w14:paraId="1AE4FAB2" w14:textId="77777777" w:rsidR="00FE25CC" w:rsidRPr="00800D89" w:rsidRDefault="00FE25CC" w:rsidP="00800D89">
            <w:pPr>
              <w:pStyle w:val="TableText"/>
              <w:cnfStyle w:val="000000000000" w:firstRow="0" w:lastRow="0" w:firstColumn="0" w:lastColumn="0" w:oddVBand="0" w:evenVBand="0" w:oddHBand="0" w:evenHBand="0" w:firstRowFirstColumn="0" w:firstRowLastColumn="0" w:lastRowFirstColumn="0" w:lastRowLastColumn="0"/>
            </w:pPr>
          </w:p>
        </w:tc>
        <w:tc>
          <w:tcPr>
            <w:tcW w:w="1701" w:type="dxa"/>
            <w:vMerge/>
            <w:hideMark/>
          </w:tcPr>
          <w:p w14:paraId="5D72482B" w14:textId="77777777" w:rsidR="00FE25CC" w:rsidRPr="00800D89" w:rsidRDefault="00FE25CC" w:rsidP="00800D89">
            <w:pPr>
              <w:pStyle w:val="TableText"/>
              <w:cnfStyle w:val="000000000000" w:firstRow="0" w:lastRow="0" w:firstColumn="0" w:lastColumn="0" w:oddVBand="0" w:evenVBand="0" w:oddHBand="0" w:evenHBand="0" w:firstRowFirstColumn="0" w:firstRowLastColumn="0" w:lastRowFirstColumn="0" w:lastRowLastColumn="0"/>
            </w:pPr>
          </w:p>
        </w:tc>
        <w:tc>
          <w:tcPr>
            <w:tcW w:w="3402" w:type="dxa"/>
            <w:noWrap/>
            <w:hideMark/>
          </w:tcPr>
          <w:p w14:paraId="04477ABB" w14:textId="77777777" w:rsidR="00FE25CC" w:rsidRPr="00800D89" w:rsidRDefault="00FE25CC" w:rsidP="00800D89">
            <w:pPr>
              <w:pStyle w:val="TableText"/>
              <w:cnfStyle w:val="000000000000" w:firstRow="0" w:lastRow="0" w:firstColumn="0" w:lastColumn="0" w:oddVBand="0" w:evenVBand="0" w:oddHBand="0" w:evenHBand="0" w:firstRowFirstColumn="0" w:firstRowLastColumn="0" w:lastRowFirstColumn="0" w:lastRowLastColumn="0"/>
            </w:pPr>
            <w:r w:rsidRPr="00800D89">
              <w:t>Changed skills</w:t>
            </w:r>
          </w:p>
        </w:tc>
        <w:tc>
          <w:tcPr>
            <w:tcW w:w="1417" w:type="dxa"/>
            <w:noWrap/>
            <w:hideMark/>
          </w:tcPr>
          <w:p w14:paraId="453C1AFF" w14:textId="77777777" w:rsidR="00FE25CC" w:rsidRPr="007A1075" w:rsidRDefault="00FE25CC" w:rsidP="00800D89">
            <w:pPr>
              <w:pStyle w:val="TableText"/>
              <w:cnfStyle w:val="000000000000" w:firstRow="0" w:lastRow="0" w:firstColumn="0" w:lastColumn="0" w:oddVBand="0" w:evenVBand="0" w:oddHBand="0" w:evenHBand="0" w:firstRowFirstColumn="0" w:firstRowLastColumn="0" w:lastRowFirstColumn="0" w:lastRowLastColumn="0"/>
            </w:pPr>
            <w:r w:rsidRPr="007A1075">
              <w:t>0.99</w:t>
            </w:r>
          </w:p>
        </w:tc>
        <w:tc>
          <w:tcPr>
            <w:tcW w:w="1276" w:type="dxa"/>
            <w:noWrap/>
            <w:hideMark/>
          </w:tcPr>
          <w:p w14:paraId="2DE471EB" w14:textId="77777777" w:rsidR="00FE25CC" w:rsidRPr="007A1075" w:rsidRDefault="00FE25CC" w:rsidP="00800D89">
            <w:pPr>
              <w:pStyle w:val="TableText"/>
              <w:cnfStyle w:val="000000000000" w:firstRow="0" w:lastRow="0" w:firstColumn="0" w:lastColumn="0" w:oddVBand="0" w:evenVBand="0" w:oddHBand="0" w:evenHBand="0" w:firstRowFirstColumn="0" w:firstRowLastColumn="0" w:lastRowFirstColumn="0" w:lastRowLastColumn="0"/>
            </w:pPr>
            <w:r w:rsidRPr="007A1075">
              <w:t>33495</w:t>
            </w:r>
          </w:p>
        </w:tc>
        <w:tc>
          <w:tcPr>
            <w:tcW w:w="850" w:type="dxa"/>
            <w:noWrap/>
            <w:hideMark/>
          </w:tcPr>
          <w:p w14:paraId="2FF31093" w14:textId="64484CF2" w:rsidR="00FE25CC" w:rsidRPr="007A1075" w:rsidRDefault="00FE25CC" w:rsidP="00800D89">
            <w:pPr>
              <w:pStyle w:val="TableText"/>
              <w:cnfStyle w:val="000000000000" w:firstRow="0" w:lastRow="0" w:firstColumn="0" w:lastColumn="0" w:oddVBand="0" w:evenVBand="0" w:oddHBand="0" w:evenHBand="0" w:firstRowFirstColumn="0" w:firstRowLastColumn="0" w:lastRowFirstColumn="0" w:lastRowLastColumn="0"/>
            </w:pPr>
            <w:r w:rsidRPr="007A1075">
              <w:t>1</w:t>
            </w:r>
            <w:r w:rsidR="00E96DF5">
              <w:t>,</w:t>
            </w:r>
            <w:r w:rsidRPr="007A1075">
              <w:t>028</w:t>
            </w:r>
          </w:p>
        </w:tc>
        <w:tc>
          <w:tcPr>
            <w:tcW w:w="1280" w:type="dxa"/>
            <w:noWrap/>
            <w:hideMark/>
          </w:tcPr>
          <w:p w14:paraId="1ACFA6D4" w14:textId="77777777" w:rsidR="00FE25CC" w:rsidRPr="007A1075" w:rsidRDefault="00FE25CC" w:rsidP="00800D89">
            <w:pPr>
              <w:pStyle w:val="TableText"/>
              <w:cnfStyle w:val="000000000000" w:firstRow="0" w:lastRow="0" w:firstColumn="0" w:lastColumn="0" w:oddVBand="0" w:evenVBand="0" w:oddHBand="0" w:evenHBand="0" w:firstRowFirstColumn="0" w:firstRowLastColumn="0" w:lastRowFirstColumn="0" w:lastRowLastColumn="0"/>
            </w:pPr>
            <w:r w:rsidRPr="007A1075">
              <w:t>&lt;.001</w:t>
            </w:r>
          </w:p>
        </w:tc>
        <w:tc>
          <w:tcPr>
            <w:tcW w:w="1900" w:type="dxa"/>
            <w:noWrap/>
            <w:hideMark/>
          </w:tcPr>
          <w:p w14:paraId="2B3FDB2C" w14:textId="77777777" w:rsidR="00FE25CC" w:rsidRPr="007A1075" w:rsidRDefault="00FE25CC" w:rsidP="00800D89">
            <w:pPr>
              <w:pStyle w:val="TableText"/>
              <w:cnfStyle w:val="000000000000" w:firstRow="0" w:lastRow="0" w:firstColumn="0" w:lastColumn="0" w:oddVBand="0" w:evenVBand="0" w:oddHBand="0" w:evenHBand="0" w:firstRowFirstColumn="0" w:firstRowLastColumn="0" w:lastRowFirstColumn="0" w:lastRowLastColumn="0"/>
            </w:pPr>
            <w:r w:rsidRPr="007A1075">
              <w:t>62.1% (n=638)</w:t>
            </w:r>
          </w:p>
        </w:tc>
      </w:tr>
      <w:tr w:rsidR="006771BF" w:rsidRPr="007A1075" w14:paraId="58AEB41D" w14:textId="77777777" w:rsidTr="00520E3A">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88" w:type="dxa"/>
            <w:vMerge/>
            <w:tcBorders>
              <w:top w:val="none" w:sz="0" w:space="0" w:color="auto"/>
              <w:bottom w:val="none" w:sz="0" w:space="0" w:color="auto"/>
              <w:right w:val="none" w:sz="0" w:space="0" w:color="auto"/>
            </w:tcBorders>
            <w:hideMark/>
          </w:tcPr>
          <w:p w14:paraId="525E95A0" w14:textId="77777777" w:rsidR="00FE25CC" w:rsidRPr="00FE25CC" w:rsidRDefault="00FE25CC" w:rsidP="00800D89">
            <w:pPr>
              <w:pStyle w:val="TableText"/>
            </w:pPr>
          </w:p>
        </w:tc>
        <w:tc>
          <w:tcPr>
            <w:tcW w:w="1134" w:type="dxa"/>
            <w:vMerge/>
            <w:tcBorders>
              <w:top w:val="none" w:sz="0" w:space="0" w:color="auto"/>
              <w:bottom w:val="none" w:sz="0" w:space="0" w:color="auto"/>
            </w:tcBorders>
            <w:hideMark/>
          </w:tcPr>
          <w:p w14:paraId="119F0407" w14:textId="77777777" w:rsidR="00FE25CC" w:rsidRPr="00800D89" w:rsidRDefault="00FE25CC" w:rsidP="00800D89">
            <w:pPr>
              <w:pStyle w:val="TableText"/>
              <w:cnfStyle w:val="000000100000" w:firstRow="0" w:lastRow="0" w:firstColumn="0" w:lastColumn="0" w:oddVBand="0" w:evenVBand="0" w:oddHBand="1" w:evenHBand="0" w:firstRowFirstColumn="0" w:firstRowLastColumn="0" w:lastRowFirstColumn="0" w:lastRowLastColumn="0"/>
            </w:pPr>
          </w:p>
        </w:tc>
        <w:tc>
          <w:tcPr>
            <w:tcW w:w="1701" w:type="dxa"/>
            <w:vMerge/>
            <w:tcBorders>
              <w:top w:val="none" w:sz="0" w:space="0" w:color="auto"/>
              <w:bottom w:val="none" w:sz="0" w:space="0" w:color="auto"/>
            </w:tcBorders>
            <w:hideMark/>
          </w:tcPr>
          <w:p w14:paraId="1C6A3F69" w14:textId="77777777" w:rsidR="00FE25CC" w:rsidRPr="00800D89" w:rsidRDefault="00FE25CC" w:rsidP="00800D89">
            <w:pPr>
              <w:pStyle w:val="TableText"/>
              <w:cnfStyle w:val="000000100000" w:firstRow="0" w:lastRow="0" w:firstColumn="0" w:lastColumn="0" w:oddVBand="0" w:evenVBand="0" w:oddHBand="1" w:evenHBand="0" w:firstRowFirstColumn="0" w:firstRowLastColumn="0" w:lastRowFirstColumn="0" w:lastRowLastColumn="0"/>
            </w:pPr>
          </w:p>
        </w:tc>
        <w:tc>
          <w:tcPr>
            <w:tcW w:w="3402" w:type="dxa"/>
            <w:tcBorders>
              <w:top w:val="none" w:sz="0" w:space="0" w:color="auto"/>
              <w:bottom w:val="none" w:sz="0" w:space="0" w:color="auto"/>
            </w:tcBorders>
            <w:noWrap/>
            <w:hideMark/>
          </w:tcPr>
          <w:p w14:paraId="330F61D5" w14:textId="4E1709D6" w:rsidR="00FE25CC" w:rsidRPr="00800D89" w:rsidRDefault="00402977" w:rsidP="00800D89">
            <w:pPr>
              <w:pStyle w:val="TableText"/>
              <w:cnfStyle w:val="000000100000" w:firstRow="0" w:lastRow="0" w:firstColumn="0" w:lastColumn="0" w:oddVBand="0" w:evenVBand="0" w:oddHBand="1" w:evenHBand="0" w:firstRowFirstColumn="0" w:firstRowLastColumn="0" w:lastRowFirstColumn="0" w:lastRowLastColumn="0"/>
            </w:pPr>
            <w:r w:rsidRPr="57F92EFB">
              <w:rPr>
                <w:lang w:val="en-NZ"/>
              </w:rPr>
              <w:t>Empowerment, choice and control to make own decisions</w:t>
            </w:r>
          </w:p>
        </w:tc>
        <w:tc>
          <w:tcPr>
            <w:tcW w:w="1417" w:type="dxa"/>
            <w:tcBorders>
              <w:top w:val="none" w:sz="0" w:space="0" w:color="auto"/>
              <w:bottom w:val="none" w:sz="0" w:space="0" w:color="auto"/>
            </w:tcBorders>
            <w:noWrap/>
            <w:hideMark/>
          </w:tcPr>
          <w:p w14:paraId="7028F52E" w14:textId="77777777" w:rsidR="00FE25CC" w:rsidRPr="007A1075" w:rsidRDefault="00FE25CC" w:rsidP="00800D89">
            <w:pPr>
              <w:pStyle w:val="TableText"/>
              <w:cnfStyle w:val="000000100000" w:firstRow="0" w:lastRow="0" w:firstColumn="0" w:lastColumn="0" w:oddVBand="0" w:evenVBand="0" w:oddHBand="1" w:evenHBand="0" w:firstRowFirstColumn="0" w:firstRowLastColumn="0" w:lastRowFirstColumn="0" w:lastRowLastColumn="0"/>
            </w:pPr>
            <w:r w:rsidRPr="007A1075">
              <w:t>1.31</w:t>
            </w:r>
          </w:p>
        </w:tc>
        <w:tc>
          <w:tcPr>
            <w:tcW w:w="1276" w:type="dxa"/>
            <w:tcBorders>
              <w:top w:val="none" w:sz="0" w:space="0" w:color="auto"/>
              <w:bottom w:val="none" w:sz="0" w:space="0" w:color="auto"/>
            </w:tcBorders>
            <w:noWrap/>
            <w:hideMark/>
          </w:tcPr>
          <w:p w14:paraId="6E52C684" w14:textId="77777777" w:rsidR="00FE25CC" w:rsidRPr="007A1075" w:rsidRDefault="00FE25CC" w:rsidP="00800D89">
            <w:pPr>
              <w:pStyle w:val="TableText"/>
              <w:cnfStyle w:val="000000100000" w:firstRow="0" w:lastRow="0" w:firstColumn="0" w:lastColumn="0" w:oddVBand="0" w:evenVBand="0" w:oddHBand="1" w:evenHBand="0" w:firstRowFirstColumn="0" w:firstRowLastColumn="0" w:lastRowFirstColumn="0" w:lastRowLastColumn="0"/>
            </w:pPr>
            <w:r w:rsidRPr="007A1075">
              <w:t>55815</w:t>
            </w:r>
          </w:p>
        </w:tc>
        <w:tc>
          <w:tcPr>
            <w:tcW w:w="850" w:type="dxa"/>
            <w:tcBorders>
              <w:top w:val="none" w:sz="0" w:space="0" w:color="auto"/>
              <w:bottom w:val="none" w:sz="0" w:space="0" w:color="auto"/>
            </w:tcBorders>
            <w:noWrap/>
            <w:hideMark/>
          </w:tcPr>
          <w:p w14:paraId="7896A9DD" w14:textId="34A68C95" w:rsidR="00FE25CC" w:rsidRPr="007A1075" w:rsidRDefault="00FE25CC" w:rsidP="00800D89">
            <w:pPr>
              <w:pStyle w:val="TableText"/>
              <w:cnfStyle w:val="000000100000" w:firstRow="0" w:lastRow="0" w:firstColumn="0" w:lastColumn="0" w:oddVBand="0" w:evenVBand="0" w:oddHBand="1" w:evenHBand="0" w:firstRowFirstColumn="0" w:firstRowLastColumn="0" w:lastRowFirstColumn="0" w:lastRowLastColumn="0"/>
            </w:pPr>
            <w:r w:rsidRPr="007A1075">
              <w:t>1</w:t>
            </w:r>
            <w:r w:rsidR="00E96DF5">
              <w:t>,</w:t>
            </w:r>
            <w:r w:rsidRPr="007A1075">
              <w:t>351</w:t>
            </w:r>
          </w:p>
        </w:tc>
        <w:tc>
          <w:tcPr>
            <w:tcW w:w="1280" w:type="dxa"/>
            <w:tcBorders>
              <w:top w:val="none" w:sz="0" w:space="0" w:color="auto"/>
              <w:bottom w:val="none" w:sz="0" w:space="0" w:color="auto"/>
            </w:tcBorders>
            <w:noWrap/>
            <w:hideMark/>
          </w:tcPr>
          <w:p w14:paraId="46FF837D" w14:textId="77777777" w:rsidR="00FE25CC" w:rsidRPr="007A1075" w:rsidRDefault="00FE25CC" w:rsidP="00800D89">
            <w:pPr>
              <w:pStyle w:val="TableText"/>
              <w:cnfStyle w:val="000000100000" w:firstRow="0" w:lastRow="0" w:firstColumn="0" w:lastColumn="0" w:oddVBand="0" w:evenVBand="0" w:oddHBand="1" w:evenHBand="0" w:firstRowFirstColumn="0" w:firstRowLastColumn="0" w:lastRowFirstColumn="0" w:lastRowLastColumn="0"/>
            </w:pPr>
            <w:r w:rsidRPr="007A1075">
              <w:t>&lt;.001</w:t>
            </w:r>
          </w:p>
        </w:tc>
        <w:tc>
          <w:tcPr>
            <w:tcW w:w="1900" w:type="dxa"/>
            <w:tcBorders>
              <w:top w:val="none" w:sz="0" w:space="0" w:color="auto"/>
              <w:bottom w:val="none" w:sz="0" w:space="0" w:color="auto"/>
            </w:tcBorders>
            <w:noWrap/>
            <w:hideMark/>
          </w:tcPr>
          <w:p w14:paraId="53642428" w14:textId="77777777" w:rsidR="00FE25CC" w:rsidRPr="007A1075" w:rsidRDefault="00FE25CC" w:rsidP="00800D89">
            <w:pPr>
              <w:pStyle w:val="TableText"/>
              <w:cnfStyle w:val="000000100000" w:firstRow="0" w:lastRow="0" w:firstColumn="0" w:lastColumn="0" w:oddVBand="0" w:evenVBand="0" w:oddHBand="1" w:evenHBand="0" w:firstRowFirstColumn="0" w:firstRowLastColumn="0" w:lastRowFirstColumn="0" w:lastRowLastColumn="0"/>
            </w:pPr>
            <w:r w:rsidRPr="007A1075">
              <w:t>69.4% (n=938)</w:t>
            </w:r>
          </w:p>
        </w:tc>
      </w:tr>
      <w:tr w:rsidR="006771BF" w:rsidRPr="007A1075" w14:paraId="7DB517E8" w14:textId="77777777" w:rsidTr="00520E3A">
        <w:trPr>
          <w:trHeight w:val="290"/>
        </w:trPr>
        <w:tc>
          <w:tcPr>
            <w:cnfStyle w:val="001000000000" w:firstRow="0" w:lastRow="0" w:firstColumn="1" w:lastColumn="0" w:oddVBand="0" w:evenVBand="0" w:oddHBand="0" w:evenHBand="0" w:firstRowFirstColumn="0" w:firstRowLastColumn="0" w:lastRowFirstColumn="0" w:lastRowLastColumn="0"/>
            <w:tcW w:w="988" w:type="dxa"/>
            <w:vMerge/>
            <w:tcBorders>
              <w:right w:val="none" w:sz="0" w:space="0" w:color="auto"/>
            </w:tcBorders>
            <w:hideMark/>
          </w:tcPr>
          <w:p w14:paraId="0231DEF0" w14:textId="77777777" w:rsidR="00FE25CC" w:rsidRPr="00FE25CC" w:rsidRDefault="00FE25CC" w:rsidP="00800D89">
            <w:pPr>
              <w:pStyle w:val="TableText"/>
            </w:pPr>
          </w:p>
        </w:tc>
        <w:tc>
          <w:tcPr>
            <w:tcW w:w="1134" w:type="dxa"/>
            <w:vMerge/>
            <w:hideMark/>
          </w:tcPr>
          <w:p w14:paraId="4E4242F3" w14:textId="77777777" w:rsidR="00FE25CC" w:rsidRPr="00800D89" w:rsidRDefault="00FE25CC" w:rsidP="00800D89">
            <w:pPr>
              <w:pStyle w:val="TableText"/>
              <w:cnfStyle w:val="000000000000" w:firstRow="0" w:lastRow="0" w:firstColumn="0" w:lastColumn="0" w:oddVBand="0" w:evenVBand="0" w:oddHBand="0" w:evenHBand="0" w:firstRowFirstColumn="0" w:firstRowLastColumn="0" w:lastRowFirstColumn="0" w:lastRowLastColumn="0"/>
            </w:pPr>
          </w:p>
        </w:tc>
        <w:tc>
          <w:tcPr>
            <w:tcW w:w="1701" w:type="dxa"/>
            <w:vMerge/>
            <w:hideMark/>
          </w:tcPr>
          <w:p w14:paraId="5F0F5319" w14:textId="77777777" w:rsidR="00FE25CC" w:rsidRPr="00800D89" w:rsidRDefault="00FE25CC" w:rsidP="00800D89">
            <w:pPr>
              <w:pStyle w:val="TableText"/>
              <w:cnfStyle w:val="000000000000" w:firstRow="0" w:lastRow="0" w:firstColumn="0" w:lastColumn="0" w:oddVBand="0" w:evenVBand="0" w:oddHBand="0" w:evenHBand="0" w:firstRowFirstColumn="0" w:firstRowLastColumn="0" w:lastRowFirstColumn="0" w:lastRowLastColumn="0"/>
            </w:pPr>
          </w:p>
        </w:tc>
        <w:tc>
          <w:tcPr>
            <w:tcW w:w="3402" w:type="dxa"/>
            <w:noWrap/>
            <w:hideMark/>
          </w:tcPr>
          <w:p w14:paraId="69F3C95C" w14:textId="77777777" w:rsidR="00FE25CC" w:rsidRPr="00800D89" w:rsidRDefault="00FE25CC" w:rsidP="00800D89">
            <w:pPr>
              <w:pStyle w:val="TableText"/>
              <w:cnfStyle w:val="000000000000" w:firstRow="0" w:lastRow="0" w:firstColumn="0" w:lastColumn="0" w:oddVBand="0" w:evenVBand="0" w:oddHBand="0" w:evenHBand="0" w:firstRowFirstColumn="0" w:firstRowLastColumn="0" w:lastRowFirstColumn="0" w:lastRowLastColumn="0"/>
            </w:pPr>
            <w:r w:rsidRPr="00800D89">
              <w:t>Engagement with relevant support services</w:t>
            </w:r>
          </w:p>
        </w:tc>
        <w:tc>
          <w:tcPr>
            <w:tcW w:w="1417" w:type="dxa"/>
            <w:noWrap/>
            <w:hideMark/>
          </w:tcPr>
          <w:p w14:paraId="4880C21C" w14:textId="77777777" w:rsidR="00FE25CC" w:rsidRPr="007A1075" w:rsidRDefault="00FE25CC" w:rsidP="00800D89">
            <w:pPr>
              <w:pStyle w:val="TableText"/>
              <w:cnfStyle w:val="000000000000" w:firstRow="0" w:lastRow="0" w:firstColumn="0" w:lastColumn="0" w:oddVBand="0" w:evenVBand="0" w:oddHBand="0" w:evenHBand="0" w:firstRowFirstColumn="0" w:firstRowLastColumn="0" w:lastRowFirstColumn="0" w:lastRowLastColumn="0"/>
            </w:pPr>
            <w:r w:rsidRPr="007A1075">
              <w:t>1.25</w:t>
            </w:r>
          </w:p>
        </w:tc>
        <w:tc>
          <w:tcPr>
            <w:tcW w:w="1276" w:type="dxa"/>
            <w:noWrap/>
            <w:hideMark/>
          </w:tcPr>
          <w:p w14:paraId="0EA39766" w14:textId="77777777" w:rsidR="00FE25CC" w:rsidRPr="007A1075" w:rsidRDefault="00FE25CC" w:rsidP="00800D89">
            <w:pPr>
              <w:pStyle w:val="TableText"/>
              <w:cnfStyle w:val="000000000000" w:firstRow="0" w:lastRow="0" w:firstColumn="0" w:lastColumn="0" w:oddVBand="0" w:evenVBand="0" w:oddHBand="0" w:evenHBand="0" w:firstRowFirstColumn="0" w:firstRowLastColumn="0" w:lastRowFirstColumn="0" w:lastRowLastColumn="0"/>
            </w:pPr>
            <w:r w:rsidRPr="007A1075">
              <w:t>28609.5</w:t>
            </w:r>
          </w:p>
        </w:tc>
        <w:tc>
          <w:tcPr>
            <w:tcW w:w="850" w:type="dxa"/>
            <w:noWrap/>
            <w:hideMark/>
          </w:tcPr>
          <w:p w14:paraId="34F3D4C2" w14:textId="5E3FC70F" w:rsidR="00FE25CC" w:rsidRPr="007A1075" w:rsidRDefault="00FE25CC" w:rsidP="00800D89">
            <w:pPr>
              <w:pStyle w:val="TableText"/>
              <w:cnfStyle w:val="000000000000" w:firstRow="0" w:lastRow="0" w:firstColumn="0" w:lastColumn="0" w:oddVBand="0" w:evenVBand="0" w:oddHBand="0" w:evenHBand="0" w:firstRowFirstColumn="0" w:firstRowLastColumn="0" w:lastRowFirstColumn="0" w:lastRowLastColumn="0"/>
            </w:pPr>
            <w:r w:rsidRPr="007A1075">
              <w:t>1</w:t>
            </w:r>
            <w:r w:rsidR="00E96DF5">
              <w:t>,</w:t>
            </w:r>
            <w:r w:rsidRPr="007A1075">
              <w:t>053</w:t>
            </w:r>
          </w:p>
        </w:tc>
        <w:tc>
          <w:tcPr>
            <w:tcW w:w="1280" w:type="dxa"/>
            <w:noWrap/>
            <w:hideMark/>
          </w:tcPr>
          <w:p w14:paraId="0935F2DE" w14:textId="77777777" w:rsidR="00FE25CC" w:rsidRPr="007A1075" w:rsidRDefault="00FE25CC" w:rsidP="00800D89">
            <w:pPr>
              <w:pStyle w:val="TableText"/>
              <w:cnfStyle w:val="000000000000" w:firstRow="0" w:lastRow="0" w:firstColumn="0" w:lastColumn="0" w:oddVBand="0" w:evenVBand="0" w:oddHBand="0" w:evenHBand="0" w:firstRowFirstColumn="0" w:firstRowLastColumn="0" w:lastRowFirstColumn="0" w:lastRowLastColumn="0"/>
            </w:pPr>
            <w:r w:rsidRPr="007A1075">
              <w:t>&lt;.001</w:t>
            </w:r>
          </w:p>
        </w:tc>
        <w:tc>
          <w:tcPr>
            <w:tcW w:w="1900" w:type="dxa"/>
            <w:noWrap/>
            <w:hideMark/>
          </w:tcPr>
          <w:p w14:paraId="75B2E0B3" w14:textId="77777777" w:rsidR="00FE25CC" w:rsidRPr="007A1075" w:rsidRDefault="00FE25CC" w:rsidP="00800D89">
            <w:pPr>
              <w:pStyle w:val="TableText"/>
              <w:cnfStyle w:val="000000000000" w:firstRow="0" w:lastRow="0" w:firstColumn="0" w:lastColumn="0" w:oddVBand="0" w:evenVBand="0" w:oddHBand="0" w:evenHBand="0" w:firstRowFirstColumn="0" w:firstRowLastColumn="0" w:lastRowFirstColumn="0" w:lastRowLastColumn="0"/>
            </w:pPr>
            <w:r w:rsidRPr="007A1075">
              <w:t>67.7% (n=713)</w:t>
            </w:r>
          </w:p>
        </w:tc>
      </w:tr>
      <w:tr w:rsidR="006771BF" w:rsidRPr="007A1075" w14:paraId="099AAFD9" w14:textId="77777777" w:rsidTr="00520E3A">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88" w:type="dxa"/>
            <w:vMerge/>
            <w:tcBorders>
              <w:top w:val="none" w:sz="0" w:space="0" w:color="auto"/>
              <w:bottom w:val="none" w:sz="0" w:space="0" w:color="auto"/>
              <w:right w:val="none" w:sz="0" w:space="0" w:color="auto"/>
            </w:tcBorders>
            <w:hideMark/>
          </w:tcPr>
          <w:p w14:paraId="76DFDC26" w14:textId="77777777" w:rsidR="00FE25CC" w:rsidRPr="00FE25CC" w:rsidRDefault="00FE25CC" w:rsidP="00800D89">
            <w:pPr>
              <w:pStyle w:val="TableText"/>
            </w:pPr>
          </w:p>
        </w:tc>
        <w:tc>
          <w:tcPr>
            <w:tcW w:w="1134" w:type="dxa"/>
            <w:vMerge w:val="restart"/>
            <w:tcBorders>
              <w:top w:val="none" w:sz="0" w:space="0" w:color="auto"/>
              <w:bottom w:val="none" w:sz="0" w:space="0" w:color="auto"/>
            </w:tcBorders>
            <w:hideMark/>
          </w:tcPr>
          <w:p w14:paraId="050D923F" w14:textId="77777777" w:rsidR="00FE25CC" w:rsidRPr="00800D89" w:rsidRDefault="00FE25CC" w:rsidP="00800D89">
            <w:pPr>
              <w:pStyle w:val="TableText"/>
              <w:cnfStyle w:val="000000100000" w:firstRow="0" w:lastRow="0" w:firstColumn="0" w:lastColumn="0" w:oddVBand="0" w:evenVBand="0" w:oddHBand="1" w:evenHBand="0" w:firstRowFirstColumn="0" w:firstRowLastColumn="0" w:lastRowFirstColumn="0" w:lastRowLastColumn="0"/>
            </w:pPr>
            <w:r w:rsidRPr="00800D89">
              <w:t>Virtual</w:t>
            </w:r>
          </w:p>
        </w:tc>
        <w:tc>
          <w:tcPr>
            <w:tcW w:w="1701" w:type="dxa"/>
            <w:vMerge w:val="restart"/>
            <w:tcBorders>
              <w:top w:val="none" w:sz="0" w:space="0" w:color="auto"/>
              <w:bottom w:val="none" w:sz="0" w:space="0" w:color="auto"/>
            </w:tcBorders>
            <w:hideMark/>
          </w:tcPr>
          <w:p w14:paraId="74B038D9" w14:textId="77777777" w:rsidR="00FE25CC" w:rsidRPr="00800D89" w:rsidRDefault="00FE25CC" w:rsidP="00800D89">
            <w:pPr>
              <w:pStyle w:val="TableText"/>
              <w:cnfStyle w:val="000000100000" w:firstRow="0" w:lastRow="0" w:firstColumn="0" w:lastColumn="0" w:oddVBand="0" w:evenVBand="0" w:oddHBand="1" w:evenHBand="0" w:firstRowFirstColumn="0" w:firstRowLastColumn="0" w:lastRowFirstColumn="0" w:lastRowLastColumn="0"/>
            </w:pPr>
            <w:r w:rsidRPr="00800D89">
              <w:t>Circumstances</w:t>
            </w:r>
          </w:p>
        </w:tc>
        <w:tc>
          <w:tcPr>
            <w:tcW w:w="3402" w:type="dxa"/>
            <w:tcBorders>
              <w:top w:val="none" w:sz="0" w:space="0" w:color="auto"/>
              <w:bottom w:val="none" w:sz="0" w:space="0" w:color="auto"/>
            </w:tcBorders>
            <w:noWrap/>
            <w:hideMark/>
          </w:tcPr>
          <w:p w14:paraId="2781E55A" w14:textId="77777777" w:rsidR="00FE25CC" w:rsidRPr="00800D89" w:rsidRDefault="00FE25CC" w:rsidP="00800D89">
            <w:pPr>
              <w:pStyle w:val="TableText"/>
              <w:cnfStyle w:val="000000100000" w:firstRow="0" w:lastRow="0" w:firstColumn="0" w:lastColumn="0" w:oddVBand="0" w:evenVBand="0" w:oddHBand="1" w:evenHBand="0" w:firstRowFirstColumn="0" w:firstRowLastColumn="0" w:lastRowFirstColumn="0" w:lastRowLastColumn="0"/>
            </w:pPr>
            <w:r w:rsidRPr="00800D89">
              <w:t>Family functioning</w:t>
            </w:r>
          </w:p>
        </w:tc>
        <w:tc>
          <w:tcPr>
            <w:tcW w:w="1417" w:type="dxa"/>
            <w:tcBorders>
              <w:top w:val="none" w:sz="0" w:space="0" w:color="auto"/>
              <w:bottom w:val="none" w:sz="0" w:space="0" w:color="auto"/>
            </w:tcBorders>
            <w:noWrap/>
            <w:hideMark/>
          </w:tcPr>
          <w:p w14:paraId="3D4885BD" w14:textId="77777777" w:rsidR="00FE25CC" w:rsidRPr="007A1075" w:rsidRDefault="00FE25CC" w:rsidP="00800D89">
            <w:pPr>
              <w:pStyle w:val="TableText"/>
              <w:cnfStyle w:val="000000100000" w:firstRow="0" w:lastRow="0" w:firstColumn="0" w:lastColumn="0" w:oddVBand="0" w:evenVBand="0" w:oddHBand="1" w:evenHBand="0" w:firstRowFirstColumn="0" w:firstRowLastColumn="0" w:lastRowFirstColumn="0" w:lastRowLastColumn="0"/>
            </w:pPr>
            <w:r w:rsidRPr="007A1075">
              <w:t>0.88</w:t>
            </w:r>
          </w:p>
        </w:tc>
        <w:tc>
          <w:tcPr>
            <w:tcW w:w="1276" w:type="dxa"/>
            <w:tcBorders>
              <w:top w:val="none" w:sz="0" w:space="0" w:color="auto"/>
              <w:bottom w:val="none" w:sz="0" w:space="0" w:color="auto"/>
            </w:tcBorders>
            <w:noWrap/>
            <w:hideMark/>
          </w:tcPr>
          <w:p w14:paraId="223F678C" w14:textId="77777777" w:rsidR="00FE25CC" w:rsidRPr="007A1075" w:rsidRDefault="00FE25CC" w:rsidP="00800D89">
            <w:pPr>
              <w:pStyle w:val="TableText"/>
              <w:cnfStyle w:val="000000100000" w:firstRow="0" w:lastRow="0" w:firstColumn="0" w:lastColumn="0" w:oddVBand="0" w:evenVBand="0" w:oddHBand="1" w:evenHBand="0" w:firstRowFirstColumn="0" w:firstRowLastColumn="0" w:lastRowFirstColumn="0" w:lastRowLastColumn="0"/>
            </w:pPr>
            <w:r w:rsidRPr="007A1075">
              <w:t>12142.5</w:t>
            </w:r>
          </w:p>
        </w:tc>
        <w:tc>
          <w:tcPr>
            <w:tcW w:w="850" w:type="dxa"/>
            <w:tcBorders>
              <w:top w:val="none" w:sz="0" w:space="0" w:color="auto"/>
              <w:bottom w:val="none" w:sz="0" w:space="0" w:color="auto"/>
            </w:tcBorders>
            <w:noWrap/>
            <w:hideMark/>
          </w:tcPr>
          <w:p w14:paraId="75742F10" w14:textId="77777777" w:rsidR="00FE25CC" w:rsidRPr="007A1075" w:rsidRDefault="00FE25CC" w:rsidP="00800D89">
            <w:pPr>
              <w:pStyle w:val="TableText"/>
              <w:cnfStyle w:val="000000100000" w:firstRow="0" w:lastRow="0" w:firstColumn="0" w:lastColumn="0" w:oddVBand="0" w:evenVBand="0" w:oddHBand="1" w:evenHBand="0" w:firstRowFirstColumn="0" w:firstRowLastColumn="0" w:lastRowFirstColumn="0" w:lastRowLastColumn="0"/>
            </w:pPr>
            <w:r w:rsidRPr="007A1075">
              <w:t>633</w:t>
            </w:r>
          </w:p>
        </w:tc>
        <w:tc>
          <w:tcPr>
            <w:tcW w:w="1280" w:type="dxa"/>
            <w:tcBorders>
              <w:top w:val="none" w:sz="0" w:space="0" w:color="auto"/>
              <w:bottom w:val="none" w:sz="0" w:space="0" w:color="auto"/>
            </w:tcBorders>
            <w:noWrap/>
            <w:hideMark/>
          </w:tcPr>
          <w:p w14:paraId="053E646A" w14:textId="77777777" w:rsidR="00FE25CC" w:rsidRPr="007A1075" w:rsidRDefault="00FE25CC" w:rsidP="00800D89">
            <w:pPr>
              <w:pStyle w:val="TableText"/>
              <w:cnfStyle w:val="000000100000" w:firstRow="0" w:lastRow="0" w:firstColumn="0" w:lastColumn="0" w:oddVBand="0" w:evenVBand="0" w:oddHBand="1" w:evenHBand="0" w:firstRowFirstColumn="0" w:firstRowLastColumn="0" w:lastRowFirstColumn="0" w:lastRowLastColumn="0"/>
            </w:pPr>
            <w:r w:rsidRPr="007A1075">
              <w:t>&lt;.001</w:t>
            </w:r>
          </w:p>
        </w:tc>
        <w:tc>
          <w:tcPr>
            <w:tcW w:w="1900" w:type="dxa"/>
            <w:tcBorders>
              <w:top w:val="none" w:sz="0" w:space="0" w:color="auto"/>
              <w:bottom w:val="none" w:sz="0" w:space="0" w:color="auto"/>
            </w:tcBorders>
            <w:noWrap/>
            <w:hideMark/>
          </w:tcPr>
          <w:p w14:paraId="459EE3B1" w14:textId="77777777" w:rsidR="00FE25CC" w:rsidRPr="007A1075" w:rsidRDefault="00FE25CC" w:rsidP="00800D89">
            <w:pPr>
              <w:pStyle w:val="TableText"/>
              <w:cnfStyle w:val="000000100000" w:firstRow="0" w:lastRow="0" w:firstColumn="0" w:lastColumn="0" w:oddVBand="0" w:evenVBand="0" w:oddHBand="1" w:evenHBand="0" w:firstRowFirstColumn="0" w:firstRowLastColumn="0" w:lastRowFirstColumn="0" w:lastRowLastColumn="0"/>
            </w:pPr>
            <w:r w:rsidRPr="007A1075">
              <w:t>55.8% (n=353)</w:t>
            </w:r>
          </w:p>
        </w:tc>
      </w:tr>
      <w:tr w:rsidR="006771BF" w:rsidRPr="007A1075" w14:paraId="4B633D1A" w14:textId="77777777" w:rsidTr="00520E3A">
        <w:trPr>
          <w:trHeight w:val="290"/>
        </w:trPr>
        <w:tc>
          <w:tcPr>
            <w:cnfStyle w:val="001000000000" w:firstRow="0" w:lastRow="0" w:firstColumn="1" w:lastColumn="0" w:oddVBand="0" w:evenVBand="0" w:oddHBand="0" w:evenHBand="0" w:firstRowFirstColumn="0" w:firstRowLastColumn="0" w:lastRowFirstColumn="0" w:lastRowLastColumn="0"/>
            <w:tcW w:w="988" w:type="dxa"/>
            <w:vMerge/>
            <w:tcBorders>
              <w:right w:val="none" w:sz="0" w:space="0" w:color="auto"/>
            </w:tcBorders>
            <w:hideMark/>
          </w:tcPr>
          <w:p w14:paraId="224290EB" w14:textId="77777777" w:rsidR="00FE25CC" w:rsidRPr="00FE25CC" w:rsidRDefault="00FE25CC" w:rsidP="00800D89">
            <w:pPr>
              <w:pStyle w:val="TableText"/>
            </w:pPr>
          </w:p>
        </w:tc>
        <w:tc>
          <w:tcPr>
            <w:tcW w:w="1134" w:type="dxa"/>
            <w:vMerge/>
            <w:hideMark/>
          </w:tcPr>
          <w:p w14:paraId="6EBE5C90" w14:textId="77777777" w:rsidR="00FE25CC" w:rsidRPr="00800D89" w:rsidRDefault="00FE25CC" w:rsidP="00800D89">
            <w:pPr>
              <w:pStyle w:val="TableText"/>
              <w:cnfStyle w:val="000000000000" w:firstRow="0" w:lastRow="0" w:firstColumn="0" w:lastColumn="0" w:oddVBand="0" w:evenVBand="0" w:oddHBand="0" w:evenHBand="0" w:firstRowFirstColumn="0" w:firstRowLastColumn="0" w:lastRowFirstColumn="0" w:lastRowLastColumn="0"/>
            </w:pPr>
          </w:p>
        </w:tc>
        <w:tc>
          <w:tcPr>
            <w:tcW w:w="1701" w:type="dxa"/>
            <w:vMerge/>
            <w:hideMark/>
          </w:tcPr>
          <w:p w14:paraId="17F1EE4F" w14:textId="77777777" w:rsidR="00FE25CC" w:rsidRPr="00800D89" w:rsidRDefault="00FE25CC" w:rsidP="00800D89">
            <w:pPr>
              <w:pStyle w:val="TableText"/>
              <w:cnfStyle w:val="000000000000" w:firstRow="0" w:lastRow="0" w:firstColumn="0" w:lastColumn="0" w:oddVBand="0" w:evenVBand="0" w:oddHBand="0" w:evenHBand="0" w:firstRowFirstColumn="0" w:firstRowLastColumn="0" w:lastRowFirstColumn="0" w:lastRowLastColumn="0"/>
            </w:pPr>
          </w:p>
        </w:tc>
        <w:tc>
          <w:tcPr>
            <w:tcW w:w="3402" w:type="dxa"/>
            <w:noWrap/>
            <w:hideMark/>
          </w:tcPr>
          <w:p w14:paraId="3750190D" w14:textId="77777777" w:rsidR="00FE25CC" w:rsidRPr="00800D89" w:rsidRDefault="00FE25CC" w:rsidP="00800D89">
            <w:pPr>
              <w:pStyle w:val="TableText"/>
              <w:cnfStyle w:val="000000000000" w:firstRow="0" w:lastRow="0" w:firstColumn="0" w:lastColumn="0" w:oddVBand="0" w:evenVBand="0" w:oddHBand="0" w:evenHBand="0" w:firstRowFirstColumn="0" w:firstRowLastColumn="0" w:lastRowFirstColumn="0" w:lastRowLastColumn="0"/>
            </w:pPr>
            <w:r w:rsidRPr="57F92EFB">
              <w:rPr>
                <w:lang w:val="en-NZ"/>
              </w:rPr>
              <w:t>Mental health, wellbeing and self-care</w:t>
            </w:r>
          </w:p>
        </w:tc>
        <w:tc>
          <w:tcPr>
            <w:tcW w:w="1417" w:type="dxa"/>
            <w:noWrap/>
            <w:hideMark/>
          </w:tcPr>
          <w:p w14:paraId="16DDE516" w14:textId="77777777" w:rsidR="00FE25CC" w:rsidRPr="007A1075" w:rsidRDefault="00FE25CC" w:rsidP="00800D89">
            <w:pPr>
              <w:pStyle w:val="TableText"/>
              <w:cnfStyle w:val="000000000000" w:firstRow="0" w:lastRow="0" w:firstColumn="0" w:lastColumn="0" w:oddVBand="0" w:evenVBand="0" w:oddHBand="0" w:evenHBand="0" w:firstRowFirstColumn="0" w:firstRowLastColumn="0" w:lastRowFirstColumn="0" w:lastRowLastColumn="0"/>
            </w:pPr>
            <w:r w:rsidRPr="007A1075">
              <w:t>0.92</w:t>
            </w:r>
          </w:p>
        </w:tc>
        <w:tc>
          <w:tcPr>
            <w:tcW w:w="1276" w:type="dxa"/>
            <w:noWrap/>
            <w:hideMark/>
          </w:tcPr>
          <w:p w14:paraId="59AA3CE8" w14:textId="77777777" w:rsidR="00FE25CC" w:rsidRPr="007A1075" w:rsidRDefault="00FE25CC" w:rsidP="00800D89">
            <w:pPr>
              <w:pStyle w:val="TableText"/>
              <w:cnfStyle w:val="000000000000" w:firstRow="0" w:lastRow="0" w:firstColumn="0" w:lastColumn="0" w:oddVBand="0" w:evenVBand="0" w:oddHBand="0" w:evenHBand="0" w:firstRowFirstColumn="0" w:firstRowLastColumn="0" w:lastRowFirstColumn="0" w:lastRowLastColumn="0"/>
            </w:pPr>
            <w:r w:rsidRPr="007A1075">
              <w:t>17482</w:t>
            </w:r>
          </w:p>
        </w:tc>
        <w:tc>
          <w:tcPr>
            <w:tcW w:w="850" w:type="dxa"/>
            <w:noWrap/>
            <w:hideMark/>
          </w:tcPr>
          <w:p w14:paraId="72EF67CB" w14:textId="77777777" w:rsidR="00FE25CC" w:rsidRPr="007A1075" w:rsidRDefault="00FE25CC" w:rsidP="00800D89">
            <w:pPr>
              <w:pStyle w:val="TableText"/>
              <w:cnfStyle w:val="000000000000" w:firstRow="0" w:lastRow="0" w:firstColumn="0" w:lastColumn="0" w:oddVBand="0" w:evenVBand="0" w:oddHBand="0" w:evenHBand="0" w:firstRowFirstColumn="0" w:firstRowLastColumn="0" w:lastRowFirstColumn="0" w:lastRowLastColumn="0"/>
            </w:pPr>
            <w:r w:rsidRPr="007A1075">
              <w:t>688</w:t>
            </w:r>
          </w:p>
        </w:tc>
        <w:tc>
          <w:tcPr>
            <w:tcW w:w="1280" w:type="dxa"/>
            <w:noWrap/>
            <w:hideMark/>
          </w:tcPr>
          <w:p w14:paraId="656DDCF1" w14:textId="77777777" w:rsidR="00FE25CC" w:rsidRPr="007A1075" w:rsidRDefault="00FE25CC" w:rsidP="00800D89">
            <w:pPr>
              <w:pStyle w:val="TableText"/>
              <w:cnfStyle w:val="000000000000" w:firstRow="0" w:lastRow="0" w:firstColumn="0" w:lastColumn="0" w:oddVBand="0" w:evenVBand="0" w:oddHBand="0" w:evenHBand="0" w:firstRowFirstColumn="0" w:firstRowLastColumn="0" w:lastRowFirstColumn="0" w:lastRowLastColumn="0"/>
            </w:pPr>
            <w:r w:rsidRPr="007A1075">
              <w:t>&lt;.001</w:t>
            </w:r>
          </w:p>
        </w:tc>
        <w:tc>
          <w:tcPr>
            <w:tcW w:w="1900" w:type="dxa"/>
            <w:noWrap/>
            <w:hideMark/>
          </w:tcPr>
          <w:p w14:paraId="42C1EFAE" w14:textId="77777777" w:rsidR="00FE25CC" w:rsidRPr="007A1075" w:rsidRDefault="00FE25CC" w:rsidP="00800D89">
            <w:pPr>
              <w:pStyle w:val="TableText"/>
              <w:cnfStyle w:val="000000000000" w:firstRow="0" w:lastRow="0" w:firstColumn="0" w:lastColumn="0" w:oddVBand="0" w:evenVBand="0" w:oddHBand="0" w:evenHBand="0" w:firstRowFirstColumn="0" w:firstRowLastColumn="0" w:lastRowFirstColumn="0" w:lastRowLastColumn="0"/>
            </w:pPr>
            <w:r w:rsidRPr="007A1075">
              <w:t>55.7% (n=383)</w:t>
            </w:r>
          </w:p>
        </w:tc>
      </w:tr>
      <w:tr w:rsidR="00E4315A" w:rsidRPr="007A1075" w14:paraId="4AEA5EE0" w14:textId="77777777" w:rsidTr="00520E3A">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0" w:type="dxa"/>
            <w:vMerge/>
            <w:tcBorders>
              <w:top w:val="none" w:sz="0" w:space="0" w:color="auto"/>
              <w:bottom w:val="none" w:sz="0" w:space="0" w:color="auto"/>
              <w:right w:val="none" w:sz="0" w:space="0" w:color="auto"/>
            </w:tcBorders>
          </w:tcPr>
          <w:p w14:paraId="25A8C076" w14:textId="77777777" w:rsidR="00FE25CC" w:rsidRPr="00FE25CC" w:rsidRDefault="00FE25CC" w:rsidP="00800D89">
            <w:pPr>
              <w:pStyle w:val="TableText"/>
              <w:rPr>
                <w:b w:val="0"/>
              </w:rPr>
            </w:pPr>
          </w:p>
        </w:tc>
        <w:tc>
          <w:tcPr>
            <w:tcW w:w="0" w:type="dxa"/>
            <w:vMerge/>
            <w:tcBorders>
              <w:top w:val="none" w:sz="0" w:space="0" w:color="auto"/>
              <w:bottom w:val="none" w:sz="0" w:space="0" w:color="auto"/>
            </w:tcBorders>
            <w:hideMark/>
          </w:tcPr>
          <w:p w14:paraId="55EC2DCE" w14:textId="77777777" w:rsidR="00FE25CC" w:rsidRPr="00800D89" w:rsidRDefault="00FE25CC" w:rsidP="00800D89">
            <w:pPr>
              <w:pStyle w:val="TableText"/>
              <w:cnfStyle w:val="000000100000" w:firstRow="0" w:lastRow="0" w:firstColumn="0" w:lastColumn="0" w:oddVBand="0" w:evenVBand="0" w:oddHBand="1" w:evenHBand="0" w:firstRowFirstColumn="0" w:firstRowLastColumn="0" w:lastRowFirstColumn="0" w:lastRowLastColumn="0"/>
            </w:pPr>
          </w:p>
        </w:tc>
        <w:tc>
          <w:tcPr>
            <w:tcW w:w="0" w:type="dxa"/>
            <w:vMerge w:val="restart"/>
            <w:tcBorders>
              <w:top w:val="none" w:sz="0" w:space="0" w:color="auto"/>
              <w:bottom w:val="none" w:sz="0" w:space="0" w:color="auto"/>
            </w:tcBorders>
            <w:hideMark/>
          </w:tcPr>
          <w:p w14:paraId="60A627DA" w14:textId="69078D06" w:rsidR="00FE25CC" w:rsidRPr="00800D89" w:rsidRDefault="00402977" w:rsidP="00800D89">
            <w:pPr>
              <w:pStyle w:val="TableText"/>
              <w:cnfStyle w:val="000000100000" w:firstRow="0" w:lastRow="0" w:firstColumn="0" w:lastColumn="0" w:oddVBand="0" w:evenVBand="0" w:oddHBand="1" w:evenHBand="0" w:firstRowFirstColumn="0" w:firstRowLastColumn="0" w:lastRowFirstColumn="0" w:lastRowLastColumn="0"/>
            </w:pPr>
            <w:r w:rsidRPr="00800D89">
              <w:t>Goals</w:t>
            </w:r>
          </w:p>
        </w:tc>
        <w:tc>
          <w:tcPr>
            <w:tcW w:w="0" w:type="dxa"/>
            <w:tcBorders>
              <w:top w:val="none" w:sz="0" w:space="0" w:color="auto"/>
              <w:bottom w:val="none" w:sz="0" w:space="0" w:color="auto"/>
            </w:tcBorders>
            <w:noWrap/>
            <w:hideMark/>
          </w:tcPr>
          <w:p w14:paraId="6153C53D" w14:textId="77777777" w:rsidR="00FE25CC" w:rsidRPr="00800D89" w:rsidRDefault="00FE25CC" w:rsidP="00800D89">
            <w:pPr>
              <w:pStyle w:val="TableText"/>
              <w:cnfStyle w:val="000000100000" w:firstRow="0" w:lastRow="0" w:firstColumn="0" w:lastColumn="0" w:oddVBand="0" w:evenVBand="0" w:oddHBand="1" w:evenHBand="0" w:firstRowFirstColumn="0" w:firstRowLastColumn="0" w:lastRowFirstColumn="0" w:lastRowLastColumn="0"/>
            </w:pPr>
            <w:r w:rsidRPr="00800D89">
              <w:t>Personal and family safety</w:t>
            </w:r>
          </w:p>
        </w:tc>
        <w:tc>
          <w:tcPr>
            <w:tcW w:w="0" w:type="dxa"/>
            <w:tcBorders>
              <w:top w:val="none" w:sz="0" w:space="0" w:color="auto"/>
              <w:bottom w:val="none" w:sz="0" w:space="0" w:color="auto"/>
            </w:tcBorders>
            <w:noWrap/>
            <w:hideMark/>
          </w:tcPr>
          <w:p w14:paraId="65C29657" w14:textId="77777777" w:rsidR="00FE25CC" w:rsidRPr="007A1075" w:rsidRDefault="00FE25CC" w:rsidP="00800D89">
            <w:pPr>
              <w:pStyle w:val="TableText"/>
              <w:cnfStyle w:val="000000100000" w:firstRow="0" w:lastRow="0" w:firstColumn="0" w:lastColumn="0" w:oddVBand="0" w:evenVBand="0" w:oddHBand="1" w:evenHBand="0" w:firstRowFirstColumn="0" w:firstRowLastColumn="0" w:lastRowFirstColumn="0" w:lastRowLastColumn="0"/>
            </w:pPr>
            <w:r w:rsidRPr="007A1075">
              <w:t>0.78</w:t>
            </w:r>
          </w:p>
        </w:tc>
        <w:tc>
          <w:tcPr>
            <w:tcW w:w="0" w:type="dxa"/>
            <w:tcBorders>
              <w:top w:val="none" w:sz="0" w:space="0" w:color="auto"/>
              <w:bottom w:val="none" w:sz="0" w:space="0" w:color="auto"/>
            </w:tcBorders>
            <w:noWrap/>
            <w:hideMark/>
          </w:tcPr>
          <w:p w14:paraId="750E77FF" w14:textId="77777777" w:rsidR="00FE25CC" w:rsidRPr="007A1075" w:rsidRDefault="00FE25CC" w:rsidP="00800D89">
            <w:pPr>
              <w:pStyle w:val="TableText"/>
              <w:cnfStyle w:val="000000100000" w:firstRow="0" w:lastRow="0" w:firstColumn="0" w:lastColumn="0" w:oddVBand="0" w:evenVBand="0" w:oddHBand="1" w:evenHBand="0" w:firstRowFirstColumn="0" w:firstRowLastColumn="0" w:lastRowFirstColumn="0" w:lastRowLastColumn="0"/>
            </w:pPr>
            <w:r w:rsidRPr="007A1075">
              <w:t>23187.5</w:t>
            </w:r>
          </w:p>
        </w:tc>
        <w:tc>
          <w:tcPr>
            <w:tcW w:w="0" w:type="dxa"/>
            <w:tcBorders>
              <w:top w:val="none" w:sz="0" w:space="0" w:color="auto"/>
              <w:bottom w:val="none" w:sz="0" w:space="0" w:color="auto"/>
            </w:tcBorders>
            <w:noWrap/>
            <w:hideMark/>
          </w:tcPr>
          <w:p w14:paraId="471E5D29" w14:textId="77777777" w:rsidR="00FE25CC" w:rsidRPr="007A1075" w:rsidRDefault="00FE25CC" w:rsidP="00800D89">
            <w:pPr>
              <w:pStyle w:val="TableText"/>
              <w:cnfStyle w:val="000000100000" w:firstRow="0" w:lastRow="0" w:firstColumn="0" w:lastColumn="0" w:oddVBand="0" w:evenVBand="0" w:oddHBand="1" w:evenHBand="0" w:firstRowFirstColumn="0" w:firstRowLastColumn="0" w:lastRowFirstColumn="0" w:lastRowLastColumn="0"/>
            </w:pPr>
            <w:r w:rsidRPr="007A1075">
              <w:t>679</w:t>
            </w:r>
          </w:p>
        </w:tc>
        <w:tc>
          <w:tcPr>
            <w:tcW w:w="0" w:type="dxa"/>
            <w:tcBorders>
              <w:top w:val="none" w:sz="0" w:space="0" w:color="auto"/>
              <w:bottom w:val="none" w:sz="0" w:space="0" w:color="auto"/>
            </w:tcBorders>
            <w:noWrap/>
            <w:hideMark/>
          </w:tcPr>
          <w:p w14:paraId="72E8BA8B" w14:textId="77777777" w:rsidR="00FE25CC" w:rsidRPr="007A1075" w:rsidRDefault="00FE25CC" w:rsidP="00800D89">
            <w:pPr>
              <w:pStyle w:val="TableText"/>
              <w:cnfStyle w:val="000000100000" w:firstRow="0" w:lastRow="0" w:firstColumn="0" w:lastColumn="0" w:oddVBand="0" w:evenVBand="0" w:oddHBand="1" w:evenHBand="0" w:firstRowFirstColumn="0" w:firstRowLastColumn="0" w:lastRowFirstColumn="0" w:lastRowLastColumn="0"/>
            </w:pPr>
            <w:r w:rsidRPr="007A1075">
              <w:t>&lt;.001</w:t>
            </w:r>
          </w:p>
        </w:tc>
        <w:tc>
          <w:tcPr>
            <w:tcW w:w="0" w:type="dxa"/>
            <w:tcBorders>
              <w:top w:val="none" w:sz="0" w:space="0" w:color="auto"/>
              <w:bottom w:val="none" w:sz="0" w:space="0" w:color="auto"/>
            </w:tcBorders>
            <w:noWrap/>
            <w:hideMark/>
          </w:tcPr>
          <w:p w14:paraId="65495FBA" w14:textId="77777777" w:rsidR="00FE25CC" w:rsidRPr="007A1075" w:rsidRDefault="00FE25CC" w:rsidP="00800D89">
            <w:pPr>
              <w:pStyle w:val="TableText"/>
              <w:cnfStyle w:val="000000100000" w:firstRow="0" w:lastRow="0" w:firstColumn="0" w:lastColumn="0" w:oddVBand="0" w:evenVBand="0" w:oddHBand="1" w:evenHBand="0" w:firstRowFirstColumn="0" w:firstRowLastColumn="0" w:lastRowFirstColumn="0" w:lastRowLastColumn="0"/>
            </w:pPr>
            <w:r w:rsidRPr="007A1075">
              <w:t>51.5% (n=350)</w:t>
            </w:r>
          </w:p>
        </w:tc>
      </w:tr>
      <w:tr w:rsidR="00E4315A" w:rsidRPr="007A1075" w14:paraId="140FEEA3" w14:textId="77777777" w:rsidTr="00520E3A">
        <w:trPr>
          <w:trHeight w:val="290"/>
        </w:trPr>
        <w:tc>
          <w:tcPr>
            <w:cnfStyle w:val="001000000000" w:firstRow="0" w:lastRow="0" w:firstColumn="1" w:lastColumn="0" w:oddVBand="0" w:evenVBand="0" w:oddHBand="0" w:evenHBand="0" w:firstRowFirstColumn="0" w:firstRowLastColumn="0" w:lastRowFirstColumn="0" w:lastRowLastColumn="0"/>
            <w:tcW w:w="0" w:type="dxa"/>
            <w:vMerge/>
            <w:tcBorders>
              <w:right w:val="none" w:sz="0" w:space="0" w:color="auto"/>
            </w:tcBorders>
            <w:hideMark/>
          </w:tcPr>
          <w:p w14:paraId="1C469E54" w14:textId="77777777" w:rsidR="00FE25CC" w:rsidRPr="00FE25CC" w:rsidRDefault="00FE25CC" w:rsidP="00800D89">
            <w:pPr>
              <w:pStyle w:val="TableText"/>
              <w:rPr>
                <w:b w:val="0"/>
              </w:rPr>
            </w:pPr>
          </w:p>
        </w:tc>
        <w:tc>
          <w:tcPr>
            <w:tcW w:w="0" w:type="dxa"/>
            <w:vMerge/>
            <w:hideMark/>
          </w:tcPr>
          <w:p w14:paraId="5C34C605" w14:textId="77777777" w:rsidR="00FE25CC" w:rsidRPr="00800D89" w:rsidRDefault="00FE25CC" w:rsidP="00800D89">
            <w:pPr>
              <w:pStyle w:val="TableText"/>
              <w:cnfStyle w:val="000000000000" w:firstRow="0" w:lastRow="0" w:firstColumn="0" w:lastColumn="0" w:oddVBand="0" w:evenVBand="0" w:oddHBand="0" w:evenHBand="0" w:firstRowFirstColumn="0" w:firstRowLastColumn="0" w:lastRowFirstColumn="0" w:lastRowLastColumn="0"/>
            </w:pPr>
          </w:p>
        </w:tc>
        <w:tc>
          <w:tcPr>
            <w:tcW w:w="0" w:type="dxa"/>
            <w:vMerge/>
            <w:hideMark/>
          </w:tcPr>
          <w:p w14:paraId="6F9D8EEC" w14:textId="6B9EA06A" w:rsidR="00FE25CC" w:rsidRPr="00800D89" w:rsidRDefault="00FE25CC" w:rsidP="00800D89">
            <w:pPr>
              <w:pStyle w:val="TableText"/>
              <w:cnfStyle w:val="000000000000" w:firstRow="0" w:lastRow="0" w:firstColumn="0" w:lastColumn="0" w:oddVBand="0" w:evenVBand="0" w:oddHBand="0" w:evenHBand="0" w:firstRowFirstColumn="0" w:firstRowLastColumn="0" w:lastRowFirstColumn="0" w:lastRowLastColumn="0"/>
            </w:pPr>
          </w:p>
        </w:tc>
        <w:tc>
          <w:tcPr>
            <w:tcW w:w="0" w:type="dxa"/>
            <w:noWrap/>
            <w:hideMark/>
          </w:tcPr>
          <w:p w14:paraId="0A80DD29" w14:textId="77777777" w:rsidR="00FE25CC" w:rsidRPr="00800D89" w:rsidRDefault="00FE25CC" w:rsidP="00800D89">
            <w:pPr>
              <w:pStyle w:val="TableText"/>
              <w:cnfStyle w:val="000000000000" w:firstRow="0" w:lastRow="0" w:firstColumn="0" w:lastColumn="0" w:oddVBand="0" w:evenVBand="0" w:oddHBand="0" w:evenHBand="0" w:firstRowFirstColumn="0" w:firstRowLastColumn="0" w:lastRowFirstColumn="0" w:lastRowLastColumn="0"/>
            </w:pPr>
            <w:r w:rsidRPr="00800D89">
              <w:t>Changed behaviours</w:t>
            </w:r>
          </w:p>
        </w:tc>
        <w:tc>
          <w:tcPr>
            <w:tcW w:w="0" w:type="dxa"/>
            <w:noWrap/>
            <w:hideMark/>
          </w:tcPr>
          <w:p w14:paraId="0CB13741" w14:textId="77777777" w:rsidR="00FE25CC" w:rsidRPr="007A1075" w:rsidRDefault="00FE25CC" w:rsidP="00800D89">
            <w:pPr>
              <w:pStyle w:val="TableText"/>
              <w:cnfStyle w:val="000000000000" w:firstRow="0" w:lastRow="0" w:firstColumn="0" w:lastColumn="0" w:oddVBand="0" w:evenVBand="0" w:oddHBand="0" w:evenHBand="0" w:firstRowFirstColumn="0" w:firstRowLastColumn="0" w:lastRowFirstColumn="0" w:lastRowLastColumn="0"/>
            </w:pPr>
            <w:r w:rsidRPr="007A1075">
              <w:t>0.89</w:t>
            </w:r>
          </w:p>
        </w:tc>
        <w:tc>
          <w:tcPr>
            <w:tcW w:w="0" w:type="dxa"/>
            <w:noWrap/>
            <w:hideMark/>
          </w:tcPr>
          <w:p w14:paraId="05A1656D" w14:textId="77777777" w:rsidR="00FE25CC" w:rsidRPr="007A1075" w:rsidRDefault="00FE25CC" w:rsidP="00800D89">
            <w:pPr>
              <w:pStyle w:val="TableText"/>
              <w:cnfStyle w:val="000000000000" w:firstRow="0" w:lastRow="0" w:firstColumn="0" w:lastColumn="0" w:oddVBand="0" w:evenVBand="0" w:oddHBand="0" w:evenHBand="0" w:firstRowFirstColumn="0" w:firstRowLastColumn="0" w:lastRowFirstColumn="0" w:lastRowLastColumn="0"/>
            </w:pPr>
            <w:r w:rsidRPr="007A1075">
              <w:t>9114.5</w:t>
            </w:r>
          </w:p>
        </w:tc>
        <w:tc>
          <w:tcPr>
            <w:tcW w:w="0" w:type="dxa"/>
            <w:noWrap/>
            <w:hideMark/>
          </w:tcPr>
          <w:p w14:paraId="1BBCAB8A" w14:textId="77777777" w:rsidR="00FE25CC" w:rsidRPr="007A1075" w:rsidRDefault="00FE25CC" w:rsidP="00800D89">
            <w:pPr>
              <w:pStyle w:val="TableText"/>
              <w:cnfStyle w:val="000000000000" w:firstRow="0" w:lastRow="0" w:firstColumn="0" w:lastColumn="0" w:oddVBand="0" w:evenVBand="0" w:oddHBand="0" w:evenHBand="0" w:firstRowFirstColumn="0" w:firstRowLastColumn="0" w:lastRowFirstColumn="0" w:lastRowLastColumn="0"/>
            </w:pPr>
            <w:r w:rsidRPr="007A1075">
              <w:t>456</w:t>
            </w:r>
          </w:p>
        </w:tc>
        <w:tc>
          <w:tcPr>
            <w:tcW w:w="0" w:type="dxa"/>
            <w:noWrap/>
            <w:hideMark/>
          </w:tcPr>
          <w:p w14:paraId="300D95AA" w14:textId="77777777" w:rsidR="00FE25CC" w:rsidRPr="007A1075" w:rsidRDefault="00FE25CC" w:rsidP="00800D89">
            <w:pPr>
              <w:pStyle w:val="TableText"/>
              <w:cnfStyle w:val="000000000000" w:firstRow="0" w:lastRow="0" w:firstColumn="0" w:lastColumn="0" w:oddVBand="0" w:evenVBand="0" w:oddHBand="0" w:evenHBand="0" w:firstRowFirstColumn="0" w:firstRowLastColumn="0" w:lastRowFirstColumn="0" w:lastRowLastColumn="0"/>
            </w:pPr>
            <w:r w:rsidRPr="007A1075">
              <w:t>&lt;.001</w:t>
            </w:r>
          </w:p>
        </w:tc>
        <w:tc>
          <w:tcPr>
            <w:tcW w:w="0" w:type="dxa"/>
            <w:noWrap/>
            <w:hideMark/>
          </w:tcPr>
          <w:p w14:paraId="14336E02" w14:textId="77777777" w:rsidR="00FE25CC" w:rsidRPr="007A1075" w:rsidRDefault="00FE25CC" w:rsidP="00800D89">
            <w:pPr>
              <w:pStyle w:val="TableText"/>
              <w:cnfStyle w:val="000000000000" w:firstRow="0" w:lastRow="0" w:firstColumn="0" w:lastColumn="0" w:oddVBand="0" w:evenVBand="0" w:oddHBand="0" w:evenHBand="0" w:firstRowFirstColumn="0" w:firstRowLastColumn="0" w:lastRowFirstColumn="0" w:lastRowLastColumn="0"/>
            </w:pPr>
            <w:r w:rsidRPr="007A1075">
              <w:t>53.7% (n=245)</w:t>
            </w:r>
          </w:p>
        </w:tc>
      </w:tr>
      <w:tr w:rsidR="00E4315A" w:rsidRPr="007A1075" w14:paraId="2180848C" w14:textId="77777777" w:rsidTr="00520E3A">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0" w:type="dxa"/>
            <w:vMerge/>
            <w:tcBorders>
              <w:top w:val="none" w:sz="0" w:space="0" w:color="auto"/>
              <w:bottom w:val="none" w:sz="0" w:space="0" w:color="auto"/>
              <w:right w:val="none" w:sz="0" w:space="0" w:color="auto"/>
            </w:tcBorders>
            <w:hideMark/>
          </w:tcPr>
          <w:p w14:paraId="4242A7A0" w14:textId="77777777" w:rsidR="00FE25CC" w:rsidRPr="00FE25CC" w:rsidRDefault="00FE25CC" w:rsidP="00800D89">
            <w:pPr>
              <w:pStyle w:val="TableText"/>
              <w:rPr>
                <w:b w:val="0"/>
              </w:rPr>
            </w:pPr>
          </w:p>
        </w:tc>
        <w:tc>
          <w:tcPr>
            <w:tcW w:w="0" w:type="dxa"/>
            <w:vMerge/>
            <w:tcBorders>
              <w:top w:val="none" w:sz="0" w:space="0" w:color="auto"/>
              <w:bottom w:val="none" w:sz="0" w:space="0" w:color="auto"/>
            </w:tcBorders>
            <w:hideMark/>
          </w:tcPr>
          <w:p w14:paraId="122578C0" w14:textId="77777777" w:rsidR="00FE25CC" w:rsidRPr="00800D89" w:rsidRDefault="00FE25CC" w:rsidP="00800D89">
            <w:pPr>
              <w:pStyle w:val="TableText"/>
              <w:cnfStyle w:val="000000100000" w:firstRow="0" w:lastRow="0" w:firstColumn="0" w:lastColumn="0" w:oddVBand="0" w:evenVBand="0" w:oddHBand="1" w:evenHBand="0" w:firstRowFirstColumn="0" w:firstRowLastColumn="0" w:lastRowFirstColumn="0" w:lastRowLastColumn="0"/>
            </w:pPr>
          </w:p>
        </w:tc>
        <w:tc>
          <w:tcPr>
            <w:tcW w:w="0" w:type="dxa"/>
            <w:vMerge/>
            <w:tcBorders>
              <w:top w:val="none" w:sz="0" w:space="0" w:color="auto"/>
              <w:bottom w:val="none" w:sz="0" w:space="0" w:color="auto"/>
            </w:tcBorders>
            <w:hideMark/>
          </w:tcPr>
          <w:p w14:paraId="42960623" w14:textId="77777777" w:rsidR="00FE25CC" w:rsidRPr="00800D89" w:rsidRDefault="00FE25CC" w:rsidP="00800D89">
            <w:pPr>
              <w:pStyle w:val="TableText"/>
              <w:cnfStyle w:val="000000100000" w:firstRow="0" w:lastRow="0" w:firstColumn="0" w:lastColumn="0" w:oddVBand="0" w:evenVBand="0" w:oddHBand="1" w:evenHBand="0" w:firstRowFirstColumn="0" w:firstRowLastColumn="0" w:lastRowFirstColumn="0" w:lastRowLastColumn="0"/>
            </w:pPr>
          </w:p>
        </w:tc>
        <w:tc>
          <w:tcPr>
            <w:tcW w:w="0" w:type="dxa"/>
            <w:tcBorders>
              <w:top w:val="none" w:sz="0" w:space="0" w:color="auto"/>
              <w:bottom w:val="none" w:sz="0" w:space="0" w:color="auto"/>
            </w:tcBorders>
            <w:noWrap/>
            <w:hideMark/>
          </w:tcPr>
          <w:p w14:paraId="107642E3" w14:textId="77777777" w:rsidR="00FE25CC" w:rsidRPr="00800D89" w:rsidRDefault="00FE25CC" w:rsidP="00800D89">
            <w:pPr>
              <w:pStyle w:val="TableText"/>
              <w:cnfStyle w:val="000000100000" w:firstRow="0" w:lastRow="0" w:firstColumn="0" w:lastColumn="0" w:oddVBand="0" w:evenVBand="0" w:oddHBand="1" w:evenHBand="0" w:firstRowFirstColumn="0" w:firstRowLastColumn="0" w:lastRowFirstColumn="0" w:lastRowLastColumn="0"/>
            </w:pPr>
            <w:r w:rsidRPr="00800D89">
              <w:t>Changed impact of immediate crisis</w:t>
            </w:r>
          </w:p>
        </w:tc>
        <w:tc>
          <w:tcPr>
            <w:tcW w:w="0" w:type="dxa"/>
            <w:tcBorders>
              <w:top w:val="none" w:sz="0" w:space="0" w:color="auto"/>
              <w:bottom w:val="none" w:sz="0" w:space="0" w:color="auto"/>
            </w:tcBorders>
            <w:noWrap/>
            <w:hideMark/>
          </w:tcPr>
          <w:p w14:paraId="23F0AD99" w14:textId="77777777" w:rsidR="00FE25CC" w:rsidRPr="007A1075" w:rsidRDefault="00FE25CC" w:rsidP="00800D89">
            <w:pPr>
              <w:pStyle w:val="TableText"/>
              <w:cnfStyle w:val="000000100000" w:firstRow="0" w:lastRow="0" w:firstColumn="0" w:lastColumn="0" w:oddVBand="0" w:evenVBand="0" w:oddHBand="1" w:evenHBand="0" w:firstRowFirstColumn="0" w:firstRowLastColumn="0" w:lastRowFirstColumn="0" w:lastRowLastColumn="0"/>
            </w:pPr>
            <w:r w:rsidRPr="007A1075">
              <w:t>1.07</w:t>
            </w:r>
          </w:p>
        </w:tc>
        <w:tc>
          <w:tcPr>
            <w:tcW w:w="0" w:type="dxa"/>
            <w:tcBorders>
              <w:top w:val="none" w:sz="0" w:space="0" w:color="auto"/>
              <w:bottom w:val="none" w:sz="0" w:space="0" w:color="auto"/>
            </w:tcBorders>
            <w:noWrap/>
            <w:hideMark/>
          </w:tcPr>
          <w:p w14:paraId="634083B9" w14:textId="77777777" w:rsidR="00FE25CC" w:rsidRPr="007A1075" w:rsidRDefault="00FE25CC" w:rsidP="00800D89">
            <w:pPr>
              <w:pStyle w:val="TableText"/>
              <w:cnfStyle w:val="000000100000" w:firstRow="0" w:lastRow="0" w:firstColumn="0" w:lastColumn="0" w:oddVBand="0" w:evenVBand="0" w:oddHBand="1" w:evenHBand="0" w:firstRowFirstColumn="0" w:firstRowLastColumn="0" w:lastRowFirstColumn="0" w:lastRowLastColumn="0"/>
            </w:pPr>
            <w:r w:rsidRPr="007A1075">
              <w:t>2670</w:t>
            </w:r>
          </w:p>
        </w:tc>
        <w:tc>
          <w:tcPr>
            <w:tcW w:w="0" w:type="dxa"/>
            <w:tcBorders>
              <w:top w:val="none" w:sz="0" w:space="0" w:color="auto"/>
              <w:bottom w:val="none" w:sz="0" w:space="0" w:color="auto"/>
            </w:tcBorders>
            <w:noWrap/>
            <w:hideMark/>
          </w:tcPr>
          <w:p w14:paraId="3D0A3270" w14:textId="77777777" w:rsidR="00FE25CC" w:rsidRPr="007A1075" w:rsidRDefault="00FE25CC" w:rsidP="00800D89">
            <w:pPr>
              <w:pStyle w:val="TableText"/>
              <w:cnfStyle w:val="000000100000" w:firstRow="0" w:lastRow="0" w:firstColumn="0" w:lastColumn="0" w:oddVBand="0" w:evenVBand="0" w:oddHBand="1" w:evenHBand="0" w:firstRowFirstColumn="0" w:firstRowLastColumn="0" w:lastRowFirstColumn="0" w:lastRowLastColumn="0"/>
            </w:pPr>
            <w:r w:rsidRPr="007A1075">
              <w:t>265</w:t>
            </w:r>
          </w:p>
        </w:tc>
        <w:tc>
          <w:tcPr>
            <w:tcW w:w="0" w:type="dxa"/>
            <w:tcBorders>
              <w:top w:val="none" w:sz="0" w:space="0" w:color="auto"/>
              <w:bottom w:val="none" w:sz="0" w:space="0" w:color="auto"/>
            </w:tcBorders>
            <w:noWrap/>
            <w:hideMark/>
          </w:tcPr>
          <w:p w14:paraId="4B3DD18C" w14:textId="77777777" w:rsidR="00FE25CC" w:rsidRPr="007A1075" w:rsidRDefault="00FE25CC" w:rsidP="00800D89">
            <w:pPr>
              <w:pStyle w:val="TableText"/>
              <w:cnfStyle w:val="000000100000" w:firstRow="0" w:lastRow="0" w:firstColumn="0" w:lastColumn="0" w:oddVBand="0" w:evenVBand="0" w:oddHBand="1" w:evenHBand="0" w:firstRowFirstColumn="0" w:firstRowLastColumn="0" w:lastRowFirstColumn="0" w:lastRowLastColumn="0"/>
            </w:pPr>
            <w:r w:rsidRPr="007A1075">
              <w:t>&lt;.001</w:t>
            </w:r>
          </w:p>
        </w:tc>
        <w:tc>
          <w:tcPr>
            <w:tcW w:w="0" w:type="dxa"/>
            <w:tcBorders>
              <w:top w:val="none" w:sz="0" w:space="0" w:color="auto"/>
              <w:bottom w:val="none" w:sz="0" w:space="0" w:color="auto"/>
            </w:tcBorders>
            <w:noWrap/>
            <w:hideMark/>
          </w:tcPr>
          <w:p w14:paraId="1D9CC00D" w14:textId="77777777" w:rsidR="00FE25CC" w:rsidRPr="007A1075" w:rsidRDefault="00FE25CC" w:rsidP="00800D89">
            <w:pPr>
              <w:pStyle w:val="TableText"/>
              <w:cnfStyle w:val="000000100000" w:firstRow="0" w:lastRow="0" w:firstColumn="0" w:lastColumn="0" w:oddVBand="0" w:evenVBand="0" w:oddHBand="1" w:evenHBand="0" w:firstRowFirstColumn="0" w:firstRowLastColumn="0" w:lastRowFirstColumn="0" w:lastRowLastColumn="0"/>
            </w:pPr>
            <w:r w:rsidRPr="007A1075">
              <w:t>60.8% (n=161)</w:t>
            </w:r>
          </w:p>
        </w:tc>
      </w:tr>
      <w:tr w:rsidR="00E4315A" w:rsidRPr="007A1075" w14:paraId="22D36E3E" w14:textId="77777777" w:rsidTr="00520E3A">
        <w:trPr>
          <w:trHeight w:val="290"/>
        </w:trPr>
        <w:tc>
          <w:tcPr>
            <w:cnfStyle w:val="001000000000" w:firstRow="0" w:lastRow="0" w:firstColumn="1" w:lastColumn="0" w:oddVBand="0" w:evenVBand="0" w:oddHBand="0" w:evenHBand="0" w:firstRowFirstColumn="0" w:firstRowLastColumn="0" w:lastRowFirstColumn="0" w:lastRowLastColumn="0"/>
            <w:tcW w:w="0" w:type="dxa"/>
            <w:vMerge/>
            <w:tcBorders>
              <w:right w:val="none" w:sz="0" w:space="0" w:color="auto"/>
            </w:tcBorders>
            <w:hideMark/>
          </w:tcPr>
          <w:p w14:paraId="5A69AFD2" w14:textId="77777777" w:rsidR="00FE25CC" w:rsidRPr="00FE25CC" w:rsidRDefault="00FE25CC" w:rsidP="00800D89">
            <w:pPr>
              <w:pStyle w:val="TableText"/>
              <w:rPr>
                <w:b w:val="0"/>
              </w:rPr>
            </w:pPr>
          </w:p>
        </w:tc>
        <w:tc>
          <w:tcPr>
            <w:tcW w:w="0" w:type="dxa"/>
            <w:vMerge/>
            <w:hideMark/>
          </w:tcPr>
          <w:p w14:paraId="238AF7A3" w14:textId="77777777" w:rsidR="00FE25CC" w:rsidRPr="00800D89" w:rsidRDefault="00FE25CC" w:rsidP="00800D89">
            <w:pPr>
              <w:pStyle w:val="TableText"/>
              <w:cnfStyle w:val="000000000000" w:firstRow="0" w:lastRow="0" w:firstColumn="0" w:lastColumn="0" w:oddVBand="0" w:evenVBand="0" w:oddHBand="0" w:evenHBand="0" w:firstRowFirstColumn="0" w:firstRowLastColumn="0" w:lastRowFirstColumn="0" w:lastRowLastColumn="0"/>
            </w:pPr>
          </w:p>
        </w:tc>
        <w:tc>
          <w:tcPr>
            <w:tcW w:w="0" w:type="dxa"/>
            <w:vMerge/>
            <w:hideMark/>
          </w:tcPr>
          <w:p w14:paraId="254AF4B8" w14:textId="77777777" w:rsidR="00FE25CC" w:rsidRPr="00800D89" w:rsidRDefault="00FE25CC" w:rsidP="00800D89">
            <w:pPr>
              <w:pStyle w:val="TableText"/>
              <w:cnfStyle w:val="000000000000" w:firstRow="0" w:lastRow="0" w:firstColumn="0" w:lastColumn="0" w:oddVBand="0" w:evenVBand="0" w:oddHBand="0" w:evenHBand="0" w:firstRowFirstColumn="0" w:firstRowLastColumn="0" w:lastRowFirstColumn="0" w:lastRowLastColumn="0"/>
            </w:pPr>
          </w:p>
        </w:tc>
        <w:tc>
          <w:tcPr>
            <w:tcW w:w="0" w:type="dxa"/>
            <w:noWrap/>
            <w:hideMark/>
          </w:tcPr>
          <w:p w14:paraId="479AFBC7" w14:textId="77777777" w:rsidR="00FE25CC" w:rsidRPr="00800D89" w:rsidRDefault="00FE25CC" w:rsidP="00800D89">
            <w:pPr>
              <w:pStyle w:val="TableText"/>
              <w:cnfStyle w:val="000000000000" w:firstRow="0" w:lastRow="0" w:firstColumn="0" w:lastColumn="0" w:oddVBand="0" w:evenVBand="0" w:oddHBand="0" w:evenHBand="0" w:firstRowFirstColumn="0" w:firstRowLastColumn="0" w:lastRowFirstColumn="0" w:lastRowLastColumn="0"/>
            </w:pPr>
            <w:r w:rsidRPr="00800D89">
              <w:t>Changed knowledge and access to information</w:t>
            </w:r>
          </w:p>
        </w:tc>
        <w:tc>
          <w:tcPr>
            <w:tcW w:w="0" w:type="dxa"/>
            <w:noWrap/>
            <w:hideMark/>
          </w:tcPr>
          <w:p w14:paraId="1FB9DF55" w14:textId="77777777" w:rsidR="00FE25CC" w:rsidRPr="007A1075" w:rsidRDefault="00FE25CC" w:rsidP="00800D89">
            <w:pPr>
              <w:pStyle w:val="TableText"/>
              <w:cnfStyle w:val="000000000000" w:firstRow="0" w:lastRow="0" w:firstColumn="0" w:lastColumn="0" w:oddVBand="0" w:evenVBand="0" w:oddHBand="0" w:evenHBand="0" w:firstRowFirstColumn="0" w:firstRowLastColumn="0" w:lastRowFirstColumn="0" w:lastRowLastColumn="0"/>
            </w:pPr>
            <w:r w:rsidRPr="007A1075">
              <w:t>0.94</w:t>
            </w:r>
          </w:p>
        </w:tc>
        <w:tc>
          <w:tcPr>
            <w:tcW w:w="0" w:type="dxa"/>
            <w:noWrap/>
            <w:hideMark/>
          </w:tcPr>
          <w:p w14:paraId="38B971C8" w14:textId="77777777" w:rsidR="00FE25CC" w:rsidRPr="007A1075" w:rsidRDefault="00FE25CC" w:rsidP="00800D89">
            <w:pPr>
              <w:pStyle w:val="TableText"/>
              <w:cnfStyle w:val="000000000000" w:firstRow="0" w:lastRow="0" w:firstColumn="0" w:lastColumn="0" w:oddVBand="0" w:evenVBand="0" w:oddHBand="0" w:evenHBand="0" w:firstRowFirstColumn="0" w:firstRowLastColumn="0" w:lastRowFirstColumn="0" w:lastRowLastColumn="0"/>
            </w:pPr>
            <w:r w:rsidRPr="007A1075">
              <w:t>7487</w:t>
            </w:r>
          </w:p>
        </w:tc>
        <w:tc>
          <w:tcPr>
            <w:tcW w:w="0" w:type="dxa"/>
            <w:noWrap/>
            <w:hideMark/>
          </w:tcPr>
          <w:p w14:paraId="3D4EDE72" w14:textId="77777777" w:rsidR="00FE25CC" w:rsidRPr="007A1075" w:rsidRDefault="00FE25CC" w:rsidP="00800D89">
            <w:pPr>
              <w:pStyle w:val="TableText"/>
              <w:cnfStyle w:val="000000000000" w:firstRow="0" w:lastRow="0" w:firstColumn="0" w:lastColumn="0" w:oddVBand="0" w:evenVBand="0" w:oddHBand="0" w:evenHBand="0" w:firstRowFirstColumn="0" w:firstRowLastColumn="0" w:lastRowFirstColumn="0" w:lastRowLastColumn="0"/>
            </w:pPr>
            <w:r w:rsidRPr="007A1075">
              <w:t>407</w:t>
            </w:r>
          </w:p>
        </w:tc>
        <w:tc>
          <w:tcPr>
            <w:tcW w:w="0" w:type="dxa"/>
            <w:noWrap/>
            <w:hideMark/>
          </w:tcPr>
          <w:p w14:paraId="15B89E9F" w14:textId="77777777" w:rsidR="00FE25CC" w:rsidRPr="007A1075" w:rsidRDefault="00FE25CC" w:rsidP="00800D89">
            <w:pPr>
              <w:pStyle w:val="TableText"/>
              <w:cnfStyle w:val="000000000000" w:firstRow="0" w:lastRow="0" w:firstColumn="0" w:lastColumn="0" w:oddVBand="0" w:evenVBand="0" w:oddHBand="0" w:evenHBand="0" w:firstRowFirstColumn="0" w:firstRowLastColumn="0" w:lastRowFirstColumn="0" w:lastRowLastColumn="0"/>
            </w:pPr>
            <w:r w:rsidRPr="007A1075">
              <w:t>&lt;.001</w:t>
            </w:r>
          </w:p>
        </w:tc>
        <w:tc>
          <w:tcPr>
            <w:tcW w:w="0" w:type="dxa"/>
            <w:noWrap/>
            <w:hideMark/>
          </w:tcPr>
          <w:p w14:paraId="66AA001E" w14:textId="77777777" w:rsidR="00FE25CC" w:rsidRPr="007A1075" w:rsidRDefault="00FE25CC" w:rsidP="00800D89">
            <w:pPr>
              <w:pStyle w:val="TableText"/>
              <w:cnfStyle w:val="000000000000" w:firstRow="0" w:lastRow="0" w:firstColumn="0" w:lastColumn="0" w:oddVBand="0" w:evenVBand="0" w:oddHBand="0" w:evenHBand="0" w:firstRowFirstColumn="0" w:firstRowLastColumn="0" w:lastRowFirstColumn="0" w:lastRowLastColumn="0"/>
            </w:pPr>
            <w:r w:rsidRPr="007A1075">
              <w:t>59.2% (n=241)</w:t>
            </w:r>
          </w:p>
        </w:tc>
      </w:tr>
      <w:tr w:rsidR="00E4315A" w:rsidRPr="007A1075" w14:paraId="6E9D4A02" w14:textId="77777777" w:rsidTr="00520E3A">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0" w:type="dxa"/>
            <w:vMerge/>
            <w:tcBorders>
              <w:top w:val="none" w:sz="0" w:space="0" w:color="auto"/>
              <w:bottom w:val="none" w:sz="0" w:space="0" w:color="auto"/>
              <w:right w:val="none" w:sz="0" w:space="0" w:color="auto"/>
            </w:tcBorders>
            <w:hideMark/>
          </w:tcPr>
          <w:p w14:paraId="24391738" w14:textId="77777777" w:rsidR="00FE25CC" w:rsidRPr="00FE25CC" w:rsidRDefault="00FE25CC" w:rsidP="00800D89">
            <w:pPr>
              <w:pStyle w:val="TableText"/>
              <w:rPr>
                <w:b w:val="0"/>
              </w:rPr>
            </w:pPr>
          </w:p>
        </w:tc>
        <w:tc>
          <w:tcPr>
            <w:tcW w:w="0" w:type="dxa"/>
            <w:vMerge/>
            <w:tcBorders>
              <w:top w:val="none" w:sz="0" w:space="0" w:color="auto"/>
              <w:bottom w:val="none" w:sz="0" w:space="0" w:color="auto"/>
            </w:tcBorders>
            <w:hideMark/>
          </w:tcPr>
          <w:p w14:paraId="3D3C78E4" w14:textId="77777777" w:rsidR="00FE25CC" w:rsidRPr="00800D89" w:rsidRDefault="00FE25CC" w:rsidP="00800D89">
            <w:pPr>
              <w:pStyle w:val="TableText"/>
              <w:cnfStyle w:val="000000100000" w:firstRow="0" w:lastRow="0" w:firstColumn="0" w:lastColumn="0" w:oddVBand="0" w:evenVBand="0" w:oddHBand="1" w:evenHBand="0" w:firstRowFirstColumn="0" w:firstRowLastColumn="0" w:lastRowFirstColumn="0" w:lastRowLastColumn="0"/>
            </w:pPr>
          </w:p>
        </w:tc>
        <w:tc>
          <w:tcPr>
            <w:tcW w:w="0" w:type="dxa"/>
            <w:vMerge/>
            <w:tcBorders>
              <w:top w:val="none" w:sz="0" w:space="0" w:color="auto"/>
              <w:bottom w:val="none" w:sz="0" w:space="0" w:color="auto"/>
            </w:tcBorders>
            <w:hideMark/>
          </w:tcPr>
          <w:p w14:paraId="53F6897C" w14:textId="77777777" w:rsidR="00FE25CC" w:rsidRPr="00800D89" w:rsidRDefault="00FE25CC" w:rsidP="00800D89">
            <w:pPr>
              <w:pStyle w:val="TableText"/>
              <w:cnfStyle w:val="000000100000" w:firstRow="0" w:lastRow="0" w:firstColumn="0" w:lastColumn="0" w:oddVBand="0" w:evenVBand="0" w:oddHBand="1" w:evenHBand="0" w:firstRowFirstColumn="0" w:firstRowLastColumn="0" w:lastRowFirstColumn="0" w:lastRowLastColumn="0"/>
            </w:pPr>
          </w:p>
        </w:tc>
        <w:tc>
          <w:tcPr>
            <w:tcW w:w="0" w:type="dxa"/>
            <w:tcBorders>
              <w:top w:val="none" w:sz="0" w:space="0" w:color="auto"/>
              <w:bottom w:val="none" w:sz="0" w:space="0" w:color="auto"/>
            </w:tcBorders>
            <w:noWrap/>
            <w:hideMark/>
          </w:tcPr>
          <w:p w14:paraId="34053EE7" w14:textId="77777777" w:rsidR="00FE25CC" w:rsidRPr="00800D89" w:rsidRDefault="00FE25CC" w:rsidP="00800D89">
            <w:pPr>
              <w:pStyle w:val="TableText"/>
              <w:cnfStyle w:val="000000100000" w:firstRow="0" w:lastRow="0" w:firstColumn="0" w:lastColumn="0" w:oddVBand="0" w:evenVBand="0" w:oddHBand="1" w:evenHBand="0" w:firstRowFirstColumn="0" w:firstRowLastColumn="0" w:lastRowFirstColumn="0" w:lastRowLastColumn="0"/>
            </w:pPr>
            <w:r w:rsidRPr="00800D89">
              <w:t>Changed skills</w:t>
            </w:r>
          </w:p>
        </w:tc>
        <w:tc>
          <w:tcPr>
            <w:tcW w:w="0" w:type="dxa"/>
            <w:tcBorders>
              <w:top w:val="none" w:sz="0" w:space="0" w:color="auto"/>
              <w:bottom w:val="none" w:sz="0" w:space="0" w:color="auto"/>
            </w:tcBorders>
            <w:noWrap/>
            <w:hideMark/>
          </w:tcPr>
          <w:p w14:paraId="484AEA20" w14:textId="77777777" w:rsidR="00FE25CC" w:rsidRPr="007A1075" w:rsidRDefault="00FE25CC" w:rsidP="00800D89">
            <w:pPr>
              <w:pStyle w:val="TableText"/>
              <w:cnfStyle w:val="000000100000" w:firstRow="0" w:lastRow="0" w:firstColumn="0" w:lastColumn="0" w:oddVBand="0" w:evenVBand="0" w:oddHBand="1" w:evenHBand="0" w:firstRowFirstColumn="0" w:firstRowLastColumn="0" w:lastRowFirstColumn="0" w:lastRowLastColumn="0"/>
            </w:pPr>
            <w:r w:rsidRPr="007A1075">
              <w:t>0.85</w:t>
            </w:r>
          </w:p>
        </w:tc>
        <w:tc>
          <w:tcPr>
            <w:tcW w:w="0" w:type="dxa"/>
            <w:tcBorders>
              <w:top w:val="none" w:sz="0" w:space="0" w:color="auto"/>
              <w:bottom w:val="none" w:sz="0" w:space="0" w:color="auto"/>
            </w:tcBorders>
            <w:noWrap/>
            <w:hideMark/>
          </w:tcPr>
          <w:p w14:paraId="7D04AF07" w14:textId="77777777" w:rsidR="00FE25CC" w:rsidRPr="007A1075" w:rsidRDefault="00FE25CC" w:rsidP="00800D89">
            <w:pPr>
              <w:pStyle w:val="TableText"/>
              <w:cnfStyle w:val="000000100000" w:firstRow="0" w:lastRow="0" w:firstColumn="0" w:lastColumn="0" w:oddVBand="0" w:evenVBand="0" w:oddHBand="1" w:evenHBand="0" w:firstRowFirstColumn="0" w:firstRowLastColumn="0" w:lastRowFirstColumn="0" w:lastRowLastColumn="0"/>
            </w:pPr>
            <w:r w:rsidRPr="007A1075">
              <w:t>5372</w:t>
            </w:r>
          </w:p>
        </w:tc>
        <w:tc>
          <w:tcPr>
            <w:tcW w:w="0" w:type="dxa"/>
            <w:tcBorders>
              <w:top w:val="none" w:sz="0" w:space="0" w:color="auto"/>
              <w:bottom w:val="none" w:sz="0" w:space="0" w:color="auto"/>
            </w:tcBorders>
            <w:noWrap/>
            <w:hideMark/>
          </w:tcPr>
          <w:p w14:paraId="37BBA4D7" w14:textId="77777777" w:rsidR="00FE25CC" w:rsidRPr="007A1075" w:rsidRDefault="00FE25CC" w:rsidP="00800D89">
            <w:pPr>
              <w:pStyle w:val="TableText"/>
              <w:cnfStyle w:val="000000100000" w:firstRow="0" w:lastRow="0" w:firstColumn="0" w:lastColumn="0" w:oddVBand="0" w:evenVBand="0" w:oddHBand="1" w:evenHBand="0" w:firstRowFirstColumn="0" w:firstRowLastColumn="0" w:lastRowFirstColumn="0" w:lastRowLastColumn="0"/>
            </w:pPr>
            <w:r w:rsidRPr="007A1075">
              <w:t>380</w:t>
            </w:r>
          </w:p>
        </w:tc>
        <w:tc>
          <w:tcPr>
            <w:tcW w:w="0" w:type="dxa"/>
            <w:tcBorders>
              <w:top w:val="none" w:sz="0" w:space="0" w:color="auto"/>
              <w:bottom w:val="none" w:sz="0" w:space="0" w:color="auto"/>
            </w:tcBorders>
            <w:noWrap/>
            <w:hideMark/>
          </w:tcPr>
          <w:p w14:paraId="34AFAB57" w14:textId="77777777" w:rsidR="00FE25CC" w:rsidRPr="007A1075" w:rsidRDefault="00FE25CC" w:rsidP="00800D89">
            <w:pPr>
              <w:pStyle w:val="TableText"/>
              <w:cnfStyle w:val="000000100000" w:firstRow="0" w:lastRow="0" w:firstColumn="0" w:lastColumn="0" w:oddVBand="0" w:evenVBand="0" w:oddHBand="1" w:evenHBand="0" w:firstRowFirstColumn="0" w:firstRowLastColumn="0" w:lastRowFirstColumn="0" w:lastRowLastColumn="0"/>
            </w:pPr>
            <w:r w:rsidRPr="007A1075">
              <w:t>&lt;.001</w:t>
            </w:r>
          </w:p>
        </w:tc>
        <w:tc>
          <w:tcPr>
            <w:tcW w:w="0" w:type="dxa"/>
            <w:tcBorders>
              <w:top w:val="none" w:sz="0" w:space="0" w:color="auto"/>
              <w:bottom w:val="none" w:sz="0" w:space="0" w:color="auto"/>
            </w:tcBorders>
            <w:noWrap/>
            <w:hideMark/>
          </w:tcPr>
          <w:p w14:paraId="524CFD46" w14:textId="77777777" w:rsidR="00FE25CC" w:rsidRPr="007A1075" w:rsidRDefault="00FE25CC" w:rsidP="00800D89">
            <w:pPr>
              <w:pStyle w:val="TableText"/>
              <w:cnfStyle w:val="000000100000" w:firstRow="0" w:lastRow="0" w:firstColumn="0" w:lastColumn="0" w:oddVBand="0" w:evenVBand="0" w:oddHBand="1" w:evenHBand="0" w:firstRowFirstColumn="0" w:firstRowLastColumn="0" w:lastRowFirstColumn="0" w:lastRowLastColumn="0"/>
            </w:pPr>
            <w:r w:rsidRPr="007A1075">
              <w:t>53.7% (n=204)</w:t>
            </w:r>
          </w:p>
        </w:tc>
      </w:tr>
      <w:tr w:rsidR="00E4315A" w:rsidRPr="007A1075" w14:paraId="632F58EF" w14:textId="77777777" w:rsidTr="00520E3A">
        <w:trPr>
          <w:trHeight w:val="96"/>
        </w:trPr>
        <w:tc>
          <w:tcPr>
            <w:cnfStyle w:val="001000000000" w:firstRow="0" w:lastRow="0" w:firstColumn="1" w:lastColumn="0" w:oddVBand="0" w:evenVBand="0" w:oddHBand="0" w:evenHBand="0" w:firstRowFirstColumn="0" w:firstRowLastColumn="0" w:lastRowFirstColumn="0" w:lastRowLastColumn="0"/>
            <w:tcW w:w="0" w:type="dxa"/>
            <w:vMerge/>
            <w:tcBorders>
              <w:right w:val="none" w:sz="0" w:space="0" w:color="auto"/>
            </w:tcBorders>
            <w:hideMark/>
          </w:tcPr>
          <w:p w14:paraId="232D17EE" w14:textId="77777777" w:rsidR="00FE25CC" w:rsidRPr="00FE25CC" w:rsidRDefault="00FE25CC" w:rsidP="00800D89">
            <w:pPr>
              <w:pStyle w:val="TableText"/>
              <w:rPr>
                <w:b w:val="0"/>
              </w:rPr>
            </w:pPr>
          </w:p>
        </w:tc>
        <w:tc>
          <w:tcPr>
            <w:tcW w:w="0" w:type="dxa"/>
            <w:vMerge/>
            <w:hideMark/>
          </w:tcPr>
          <w:p w14:paraId="13FBB9D7" w14:textId="77777777" w:rsidR="00FE25CC" w:rsidRPr="00800D89" w:rsidRDefault="00FE25CC" w:rsidP="00800D89">
            <w:pPr>
              <w:pStyle w:val="TableText"/>
              <w:cnfStyle w:val="000000000000" w:firstRow="0" w:lastRow="0" w:firstColumn="0" w:lastColumn="0" w:oddVBand="0" w:evenVBand="0" w:oddHBand="0" w:evenHBand="0" w:firstRowFirstColumn="0" w:firstRowLastColumn="0" w:lastRowFirstColumn="0" w:lastRowLastColumn="0"/>
            </w:pPr>
          </w:p>
        </w:tc>
        <w:tc>
          <w:tcPr>
            <w:tcW w:w="0" w:type="dxa"/>
            <w:vMerge/>
            <w:hideMark/>
          </w:tcPr>
          <w:p w14:paraId="3B151F4F" w14:textId="77777777" w:rsidR="00FE25CC" w:rsidRPr="00800D89" w:rsidRDefault="00FE25CC" w:rsidP="00800D89">
            <w:pPr>
              <w:pStyle w:val="TableText"/>
              <w:cnfStyle w:val="000000000000" w:firstRow="0" w:lastRow="0" w:firstColumn="0" w:lastColumn="0" w:oddVBand="0" w:evenVBand="0" w:oddHBand="0" w:evenHBand="0" w:firstRowFirstColumn="0" w:firstRowLastColumn="0" w:lastRowFirstColumn="0" w:lastRowLastColumn="0"/>
            </w:pPr>
          </w:p>
        </w:tc>
        <w:tc>
          <w:tcPr>
            <w:tcW w:w="0" w:type="dxa"/>
            <w:noWrap/>
            <w:hideMark/>
          </w:tcPr>
          <w:p w14:paraId="345EE800" w14:textId="77777777" w:rsidR="00FE25CC" w:rsidRPr="00800D89" w:rsidRDefault="00FE25CC" w:rsidP="00800D89">
            <w:pPr>
              <w:pStyle w:val="TableText"/>
              <w:cnfStyle w:val="000000000000" w:firstRow="0" w:lastRow="0" w:firstColumn="0" w:lastColumn="0" w:oddVBand="0" w:evenVBand="0" w:oddHBand="0" w:evenHBand="0" w:firstRowFirstColumn="0" w:firstRowLastColumn="0" w:lastRowFirstColumn="0" w:lastRowLastColumn="0"/>
            </w:pPr>
            <w:r w:rsidRPr="57F92EFB">
              <w:rPr>
                <w:lang w:val="en-NZ"/>
              </w:rPr>
              <w:t>Empowerment, choice and control to make own decisions</w:t>
            </w:r>
          </w:p>
        </w:tc>
        <w:tc>
          <w:tcPr>
            <w:tcW w:w="0" w:type="dxa"/>
            <w:noWrap/>
            <w:hideMark/>
          </w:tcPr>
          <w:p w14:paraId="37F71AB9" w14:textId="77777777" w:rsidR="00FE25CC" w:rsidRPr="007A1075" w:rsidRDefault="00FE25CC" w:rsidP="00800D89">
            <w:pPr>
              <w:pStyle w:val="TableText"/>
              <w:cnfStyle w:val="000000000000" w:firstRow="0" w:lastRow="0" w:firstColumn="0" w:lastColumn="0" w:oddVBand="0" w:evenVBand="0" w:oddHBand="0" w:evenHBand="0" w:firstRowFirstColumn="0" w:firstRowLastColumn="0" w:lastRowFirstColumn="0" w:lastRowLastColumn="0"/>
            </w:pPr>
            <w:r w:rsidRPr="007A1075">
              <w:t>0.88</w:t>
            </w:r>
          </w:p>
        </w:tc>
        <w:tc>
          <w:tcPr>
            <w:tcW w:w="0" w:type="dxa"/>
            <w:noWrap/>
            <w:hideMark/>
          </w:tcPr>
          <w:p w14:paraId="1DC8F311" w14:textId="77777777" w:rsidR="00FE25CC" w:rsidRPr="007A1075" w:rsidRDefault="00FE25CC" w:rsidP="00800D89">
            <w:pPr>
              <w:pStyle w:val="TableText"/>
              <w:cnfStyle w:val="000000000000" w:firstRow="0" w:lastRow="0" w:firstColumn="0" w:lastColumn="0" w:oddVBand="0" w:evenVBand="0" w:oddHBand="0" w:evenHBand="0" w:firstRowFirstColumn="0" w:firstRowLastColumn="0" w:lastRowFirstColumn="0" w:lastRowLastColumn="0"/>
            </w:pPr>
            <w:r w:rsidRPr="007A1075">
              <w:t>7281</w:t>
            </w:r>
          </w:p>
        </w:tc>
        <w:tc>
          <w:tcPr>
            <w:tcW w:w="0" w:type="dxa"/>
            <w:noWrap/>
            <w:hideMark/>
          </w:tcPr>
          <w:p w14:paraId="41218E12" w14:textId="77777777" w:rsidR="00FE25CC" w:rsidRPr="007A1075" w:rsidRDefault="00FE25CC" w:rsidP="00800D89">
            <w:pPr>
              <w:pStyle w:val="TableText"/>
              <w:cnfStyle w:val="000000000000" w:firstRow="0" w:lastRow="0" w:firstColumn="0" w:lastColumn="0" w:oddVBand="0" w:evenVBand="0" w:oddHBand="0" w:evenHBand="0" w:firstRowFirstColumn="0" w:firstRowLastColumn="0" w:lastRowFirstColumn="0" w:lastRowLastColumn="0"/>
            </w:pPr>
            <w:r w:rsidRPr="007A1075">
              <w:t>443</w:t>
            </w:r>
          </w:p>
        </w:tc>
        <w:tc>
          <w:tcPr>
            <w:tcW w:w="0" w:type="dxa"/>
            <w:noWrap/>
            <w:hideMark/>
          </w:tcPr>
          <w:p w14:paraId="3F541989" w14:textId="77777777" w:rsidR="00FE25CC" w:rsidRPr="007A1075" w:rsidRDefault="00FE25CC" w:rsidP="00800D89">
            <w:pPr>
              <w:pStyle w:val="TableText"/>
              <w:cnfStyle w:val="000000000000" w:firstRow="0" w:lastRow="0" w:firstColumn="0" w:lastColumn="0" w:oddVBand="0" w:evenVBand="0" w:oddHBand="0" w:evenHBand="0" w:firstRowFirstColumn="0" w:firstRowLastColumn="0" w:lastRowFirstColumn="0" w:lastRowLastColumn="0"/>
            </w:pPr>
            <w:r w:rsidRPr="007A1075">
              <w:t>&lt;.001</w:t>
            </w:r>
          </w:p>
        </w:tc>
        <w:tc>
          <w:tcPr>
            <w:tcW w:w="0" w:type="dxa"/>
            <w:noWrap/>
            <w:hideMark/>
          </w:tcPr>
          <w:p w14:paraId="1864842C" w14:textId="77777777" w:rsidR="00FE25CC" w:rsidRPr="007A1075" w:rsidRDefault="00FE25CC" w:rsidP="00800D89">
            <w:pPr>
              <w:pStyle w:val="TableText"/>
              <w:cnfStyle w:val="000000000000" w:firstRow="0" w:lastRow="0" w:firstColumn="0" w:lastColumn="0" w:oddVBand="0" w:evenVBand="0" w:oddHBand="0" w:evenHBand="0" w:firstRowFirstColumn="0" w:firstRowLastColumn="0" w:lastRowFirstColumn="0" w:lastRowLastColumn="0"/>
            </w:pPr>
            <w:r w:rsidRPr="007A1075">
              <w:t>57.3% (n=254)</w:t>
            </w:r>
          </w:p>
        </w:tc>
      </w:tr>
      <w:tr w:rsidR="00E4315A" w:rsidRPr="007A1075" w14:paraId="7C838A52" w14:textId="77777777" w:rsidTr="00520E3A">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0" w:type="dxa"/>
            <w:vMerge/>
            <w:tcBorders>
              <w:top w:val="none" w:sz="0" w:space="0" w:color="auto"/>
              <w:bottom w:val="none" w:sz="0" w:space="0" w:color="auto"/>
              <w:right w:val="none" w:sz="0" w:space="0" w:color="auto"/>
            </w:tcBorders>
            <w:hideMark/>
          </w:tcPr>
          <w:p w14:paraId="2A73B792" w14:textId="77777777" w:rsidR="00FE25CC" w:rsidRPr="00FE25CC" w:rsidRDefault="00FE25CC" w:rsidP="00800D89">
            <w:pPr>
              <w:pStyle w:val="TableText"/>
              <w:rPr>
                <w:b w:val="0"/>
              </w:rPr>
            </w:pPr>
          </w:p>
        </w:tc>
        <w:tc>
          <w:tcPr>
            <w:tcW w:w="0" w:type="dxa"/>
            <w:vMerge/>
            <w:tcBorders>
              <w:top w:val="none" w:sz="0" w:space="0" w:color="auto"/>
              <w:bottom w:val="none" w:sz="0" w:space="0" w:color="auto"/>
            </w:tcBorders>
            <w:hideMark/>
          </w:tcPr>
          <w:p w14:paraId="34562159" w14:textId="77777777" w:rsidR="00FE25CC" w:rsidRPr="00800D89" w:rsidRDefault="00FE25CC" w:rsidP="00800D89">
            <w:pPr>
              <w:pStyle w:val="TableText"/>
              <w:cnfStyle w:val="000000100000" w:firstRow="0" w:lastRow="0" w:firstColumn="0" w:lastColumn="0" w:oddVBand="0" w:evenVBand="0" w:oddHBand="1" w:evenHBand="0" w:firstRowFirstColumn="0" w:firstRowLastColumn="0" w:lastRowFirstColumn="0" w:lastRowLastColumn="0"/>
            </w:pPr>
          </w:p>
        </w:tc>
        <w:tc>
          <w:tcPr>
            <w:tcW w:w="0" w:type="dxa"/>
            <w:vMerge/>
            <w:tcBorders>
              <w:top w:val="none" w:sz="0" w:space="0" w:color="auto"/>
              <w:bottom w:val="none" w:sz="0" w:space="0" w:color="auto"/>
            </w:tcBorders>
            <w:hideMark/>
          </w:tcPr>
          <w:p w14:paraId="674A2DD8" w14:textId="77777777" w:rsidR="00FE25CC" w:rsidRPr="00800D89" w:rsidRDefault="00FE25CC" w:rsidP="00800D89">
            <w:pPr>
              <w:pStyle w:val="TableText"/>
              <w:cnfStyle w:val="000000100000" w:firstRow="0" w:lastRow="0" w:firstColumn="0" w:lastColumn="0" w:oddVBand="0" w:evenVBand="0" w:oddHBand="1" w:evenHBand="0" w:firstRowFirstColumn="0" w:firstRowLastColumn="0" w:lastRowFirstColumn="0" w:lastRowLastColumn="0"/>
            </w:pPr>
          </w:p>
        </w:tc>
        <w:tc>
          <w:tcPr>
            <w:tcW w:w="0" w:type="dxa"/>
            <w:tcBorders>
              <w:top w:val="none" w:sz="0" w:space="0" w:color="auto"/>
              <w:bottom w:val="none" w:sz="0" w:space="0" w:color="auto"/>
            </w:tcBorders>
            <w:noWrap/>
            <w:hideMark/>
          </w:tcPr>
          <w:p w14:paraId="23CDA17F" w14:textId="77777777" w:rsidR="00FE25CC" w:rsidRPr="00800D89" w:rsidRDefault="00FE25CC" w:rsidP="00800D89">
            <w:pPr>
              <w:pStyle w:val="TableText"/>
              <w:cnfStyle w:val="000000100000" w:firstRow="0" w:lastRow="0" w:firstColumn="0" w:lastColumn="0" w:oddVBand="0" w:evenVBand="0" w:oddHBand="1" w:evenHBand="0" w:firstRowFirstColumn="0" w:firstRowLastColumn="0" w:lastRowFirstColumn="0" w:lastRowLastColumn="0"/>
            </w:pPr>
            <w:r w:rsidRPr="00800D89">
              <w:t>Engagement with relevant support services</w:t>
            </w:r>
          </w:p>
        </w:tc>
        <w:tc>
          <w:tcPr>
            <w:tcW w:w="0" w:type="dxa"/>
            <w:tcBorders>
              <w:top w:val="none" w:sz="0" w:space="0" w:color="auto"/>
              <w:bottom w:val="none" w:sz="0" w:space="0" w:color="auto"/>
            </w:tcBorders>
            <w:noWrap/>
            <w:hideMark/>
          </w:tcPr>
          <w:p w14:paraId="22B93970" w14:textId="77777777" w:rsidR="00FE25CC" w:rsidRPr="007A1075" w:rsidRDefault="00FE25CC" w:rsidP="00800D89">
            <w:pPr>
              <w:pStyle w:val="TableText"/>
              <w:cnfStyle w:val="000000100000" w:firstRow="0" w:lastRow="0" w:firstColumn="0" w:lastColumn="0" w:oddVBand="0" w:evenVBand="0" w:oddHBand="1" w:evenHBand="0" w:firstRowFirstColumn="0" w:firstRowLastColumn="0" w:lastRowFirstColumn="0" w:lastRowLastColumn="0"/>
            </w:pPr>
            <w:r w:rsidRPr="007A1075">
              <w:t>0.91</w:t>
            </w:r>
          </w:p>
        </w:tc>
        <w:tc>
          <w:tcPr>
            <w:tcW w:w="0" w:type="dxa"/>
            <w:tcBorders>
              <w:top w:val="none" w:sz="0" w:space="0" w:color="auto"/>
              <w:bottom w:val="none" w:sz="0" w:space="0" w:color="auto"/>
            </w:tcBorders>
            <w:noWrap/>
            <w:hideMark/>
          </w:tcPr>
          <w:p w14:paraId="36DD4F49" w14:textId="77777777" w:rsidR="00FE25CC" w:rsidRPr="007A1075" w:rsidRDefault="00FE25CC" w:rsidP="00800D89">
            <w:pPr>
              <w:pStyle w:val="TableText"/>
              <w:cnfStyle w:val="000000100000" w:firstRow="0" w:lastRow="0" w:firstColumn="0" w:lastColumn="0" w:oddVBand="0" w:evenVBand="0" w:oddHBand="1" w:evenHBand="0" w:firstRowFirstColumn="0" w:firstRowLastColumn="0" w:lastRowFirstColumn="0" w:lastRowLastColumn="0"/>
            </w:pPr>
            <w:r w:rsidRPr="007A1075">
              <w:t>2413.5</w:t>
            </w:r>
          </w:p>
        </w:tc>
        <w:tc>
          <w:tcPr>
            <w:tcW w:w="0" w:type="dxa"/>
            <w:tcBorders>
              <w:top w:val="none" w:sz="0" w:space="0" w:color="auto"/>
              <w:bottom w:val="none" w:sz="0" w:space="0" w:color="auto"/>
            </w:tcBorders>
            <w:noWrap/>
            <w:hideMark/>
          </w:tcPr>
          <w:p w14:paraId="633775F0" w14:textId="77777777" w:rsidR="00FE25CC" w:rsidRPr="007A1075" w:rsidRDefault="00FE25CC" w:rsidP="00800D89">
            <w:pPr>
              <w:pStyle w:val="TableText"/>
              <w:cnfStyle w:val="000000100000" w:firstRow="0" w:lastRow="0" w:firstColumn="0" w:lastColumn="0" w:oddVBand="0" w:evenVBand="0" w:oddHBand="1" w:evenHBand="0" w:firstRowFirstColumn="0" w:firstRowLastColumn="0" w:lastRowFirstColumn="0" w:lastRowLastColumn="0"/>
            </w:pPr>
            <w:r w:rsidRPr="007A1075">
              <w:t>251</w:t>
            </w:r>
          </w:p>
        </w:tc>
        <w:tc>
          <w:tcPr>
            <w:tcW w:w="0" w:type="dxa"/>
            <w:tcBorders>
              <w:top w:val="none" w:sz="0" w:space="0" w:color="auto"/>
              <w:bottom w:val="none" w:sz="0" w:space="0" w:color="auto"/>
            </w:tcBorders>
            <w:noWrap/>
            <w:hideMark/>
          </w:tcPr>
          <w:p w14:paraId="61B470E5" w14:textId="77777777" w:rsidR="00FE25CC" w:rsidRPr="007A1075" w:rsidRDefault="00FE25CC" w:rsidP="00800D89">
            <w:pPr>
              <w:pStyle w:val="TableText"/>
              <w:cnfStyle w:val="000000100000" w:firstRow="0" w:lastRow="0" w:firstColumn="0" w:lastColumn="0" w:oddVBand="0" w:evenVBand="0" w:oddHBand="1" w:evenHBand="0" w:firstRowFirstColumn="0" w:firstRowLastColumn="0" w:lastRowFirstColumn="0" w:lastRowLastColumn="0"/>
            </w:pPr>
            <w:r w:rsidRPr="007A1075">
              <w:t>&lt;.001</w:t>
            </w:r>
          </w:p>
        </w:tc>
        <w:tc>
          <w:tcPr>
            <w:tcW w:w="0" w:type="dxa"/>
            <w:tcBorders>
              <w:top w:val="none" w:sz="0" w:space="0" w:color="auto"/>
              <w:bottom w:val="none" w:sz="0" w:space="0" w:color="auto"/>
            </w:tcBorders>
            <w:noWrap/>
            <w:hideMark/>
          </w:tcPr>
          <w:p w14:paraId="625BF2EE" w14:textId="77777777" w:rsidR="00FE25CC" w:rsidRPr="007A1075" w:rsidRDefault="00FE25CC" w:rsidP="00800D89">
            <w:pPr>
              <w:pStyle w:val="TableText"/>
              <w:cnfStyle w:val="000000100000" w:firstRow="0" w:lastRow="0" w:firstColumn="0" w:lastColumn="0" w:oddVBand="0" w:evenVBand="0" w:oddHBand="1" w:evenHBand="0" w:firstRowFirstColumn="0" w:firstRowLastColumn="0" w:lastRowFirstColumn="0" w:lastRowLastColumn="0"/>
            </w:pPr>
            <w:r w:rsidRPr="007A1075">
              <w:t>56.2% (n=141)</w:t>
            </w:r>
          </w:p>
        </w:tc>
      </w:tr>
    </w:tbl>
    <w:p w14:paraId="107B450A" w14:textId="77777777" w:rsidR="00066FF4" w:rsidRDefault="00066FF4" w:rsidP="007611DA">
      <w:pPr>
        <w:pStyle w:val="Text-BodyHeading"/>
      </w:pPr>
    </w:p>
    <w:p w14:paraId="366AD00E" w14:textId="77777777" w:rsidR="00BE3916" w:rsidRDefault="00BE3916" w:rsidP="007611DA">
      <w:pPr>
        <w:pStyle w:val="Text-BodyHeading"/>
      </w:pPr>
    </w:p>
    <w:p w14:paraId="6BA45F07" w14:textId="77777777" w:rsidR="00BE3916" w:rsidRDefault="00BE3916" w:rsidP="007611DA">
      <w:pPr>
        <w:pStyle w:val="Text-BodyHeading"/>
      </w:pPr>
    </w:p>
    <w:p w14:paraId="6F21F239" w14:textId="77777777" w:rsidR="00E96DF5" w:rsidRDefault="00E96DF5" w:rsidP="007611DA">
      <w:pPr>
        <w:pStyle w:val="Text-BodyHeading"/>
      </w:pPr>
    </w:p>
    <w:p w14:paraId="00600241" w14:textId="77777777" w:rsidR="00E96DF5" w:rsidRDefault="00E96DF5" w:rsidP="007611DA">
      <w:pPr>
        <w:pStyle w:val="Text-BodyHeading"/>
      </w:pPr>
    </w:p>
    <w:p w14:paraId="4C5637CC" w14:textId="77777777" w:rsidR="007611DA" w:rsidRDefault="007611DA" w:rsidP="007611DA">
      <w:pPr>
        <w:pStyle w:val="Text-BodyHeading"/>
      </w:pPr>
      <w:r>
        <w:lastRenderedPageBreak/>
        <w:t xml:space="preserve">DEX data – CALD </w:t>
      </w:r>
    </w:p>
    <w:p w14:paraId="19B62B10" w14:textId="3E91E455" w:rsidR="00066FF4" w:rsidRPr="00811E31" w:rsidRDefault="007611DA" w:rsidP="00800D89">
      <w:pPr>
        <w:pStyle w:val="TableFigure-Header"/>
        <w:rPr>
          <w:szCs w:val="21"/>
        </w:rPr>
      </w:pPr>
      <w:bookmarkStart w:id="600" w:name="_Ref204604326"/>
      <w:r w:rsidRPr="00811E31">
        <w:rPr>
          <w:rStyle w:val="Text-Bold"/>
          <w:b/>
          <w:szCs w:val="21"/>
          <w:lang w:val="en-NZ"/>
        </w:rPr>
        <w:t xml:space="preserve">Table </w:t>
      </w:r>
      <w:r w:rsidRPr="00811E31">
        <w:rPr>
          <w:rStyle w:val="Text-Bold"/>
          <w:szCs w:val="21"/>
        </w:rPr>
        <w:fldChar w:fldCharType="begin"/>
      </w:r>
      <w:r w:rsidRPr="00811E31">
        <w:rPr>
          <w:szCs w:val="21"/>
        </w:rPr>
        <w:instrText xml:space="preserve"> SEQ Table \* ARABIC </w:instrText>
      </w:r>
      <w:r w:rsidRPr="00811E31">
        <w:rPr>
          <w:rStyle w:val="Text-Bold"/>
          <w:szCs w:val="21"/>
        </w:rPr>
        <w:fldChar w:fldCharType="separate"/>
      </w:r>
      <w:r w:rsidR="008D2566">
        <w:rPr>
          <w:noProof/>
          <w:szCs w:val="21"/>
        </w:rPr>
        <w:t>57</w:t>
      </w:r>
      <w:r w:rsidRPr="00811E31">
        <w:rPr>
          <w:rStyle w:val="Text-Bold"/>
          <w:szCs w:val="21"/>
        </w:rPr>
        <w:fldChar w:fldCharType="end"/>
      </w:r>
      <w:bookmarkEnd w:id="600"/>
      <w:r w:rsidRPr="00811E31">
        <w:rPr>
          <w:rStyle w:val="Text-Bold"/>
          <w:b/>
          <w:szCs w:val="21"/>
          <w:lang w:val="en-NZ"/>
        </w:rPr>
        <w:t xml:space="preserve">: Mean earliest-to-latest SCORE change (within-subjects) by CALD status, FaRS </w:t>
      </w:r>
      <w:r w:rsidR="00E614D3" w:rsidRPr="00811E31">
        <w:rPr>
          <w:rStyle w:val="Text-Bold"/>
          <w:b/>
          <w:szCs w:val="21"/>
          <w:lang w:val="en-NZ"/>
        </w:rPr>
        <w:t>service users</w:t>
      </w:r>
      <w:bookmarkStart w:id="601" w:name="_Ref204604428"/>
      <w:r w:rsidR="00811E31" w:rsidRPr="00811E31">
        <w:rPr>
          <w:rStyle w:val="Text-Bold"/>
          <w:b/>
          <w:szCs w:val="21"/>
          <w:lang w:val="en-NZ"/>
        </w:rPr>
        <w:t>, July 2021 to June 2024</w:t>
      </w:r>
    </w:p>
    <w:tbl>
      <w:tblPr>
        <w:tblStyle w:val="TableGrid221"/>
        <w:tblW w:w="13948" w:type="dxa"/>
        <w:tblInd w:w="0" w:type="dxa"/>
        <w:tblLayout w:type="fixed"/>
        <w:tblLook w:val="04A0" w:firstRow="1" w:lastRow="0" w:firstColumn="1" w:lastColumn="0" w:noHBand="0" w:noVBand="1"/>
      </w:tblPr>
      <w:tblGrid>
        <w:gridCol w:w="990"/>
        <w:gridCol w:w="990"/>
        <w:gridCol w:w="1701"/>
        <w:gridCol w:w="3769"/>
        <w:gridCol w:w="1192"/>
        <w:gridCol w:w="1537"/>
        <w:gridCol w:w="1148"/>
        <w:gridCol w:w="1148"/>
        <w:gridCol w:w="1473"/>
      </w:tblGrid>
      <w:tr w:rsidR="00402977" w:rsidRPr="00402977" w14:paraId="4A06F38D" w14:textId="77777777" w:rsidTr="00C57EA7">
        <w:trPr>
          <w:trHeight w:val="990"/>
        </w:trPr>
        <w:tc>
          <w:tcPr>
            <w:tcW w:w="990" w:type="dxa"/>
            <w:shd w:val="clear" w:color="auto" w:fill="007E00" w:themeFill="accent3"/>
            <w:hideMark/>
          </w:tcPr>
          <w:p w14:paraId="3208D6DC" w14:textId="77777777" w:rsidR="00402977" w:rsidRPr="00402977" w:rsidRDefault="00402977" w:rsidP="00402977">
            <w:pPr>
              <w:pStyle w:val="TableText"/>
              <w:rPr>
                <w:b/>
                <w:bCs/>
                <w:color w:val="FFFFFF" w:themeColor="background1"/>
              </w:rPr>
            </w:pPr>
            <w:r w:rsidRPr="00402977">
              <w:rPr>
                <w:b/>
                <w:bCs/>
                <w:color w:val="FFFFFF" w:themeColor="background1"/>
              </w:rPr>
              <w:t>Activity</w:t>
            </w:r>
          </w:p>
        </w:tc>
        <w:tc>
          <w:tcPr>
            <w:tcW w:w="990" w:type="dxa"/>
            <w:shd w:val="clear" w:color="auto" w:fill="007E00" w:themeFill="accent3"/>
            <w:hideMark/>
          </w:tcPr>
          <w:p w14:paraId="18277EFB" w14:textId="77777777" w:rsidR="00402977" w:rsidRPr="00402977" w:rsidRDefault="00402977" w:rsidP="00402977">
            <w:pPr>
              <w:pStyle w:val="TableText"/>
              <w:rPr>
                <w:b/>
                <w:bCs/>
                <w:color w:val="FFFFFF" w:themeColor="background1"/>
              </w:rPr>
            </w:pPr>
            <w:r w:rsidRPr="00402977">
              <w:rPr>
                <w:b/>
                <w:bCs/>
                <w:color w:val="FFFFFF" w:themeColor="background1"/>
              </w:rPr>
              <w:t>Cohort</w:t>
            </w:r>
          </w:p>
        </w:tc>
        <w:tc>
          <w:tcPr>
            <w:tcW w:w="1701" w:type="dxa"/>
            <w:shd w:val="clear" w:color="auto" w:fill="007E00" w:themeFill="accent3"/>
            <w:hideMark/>
          </w:tcPr>
          <w:p w14:paraId="3E3F1A7B" w14:textId="77777777" w:rsidR="00402977" w:rsidRPr="00402977" w:rsidRDefault="00402977" w:rsidP="00402977">
            <w:pPr>
              <w:pStyle w:val="TableText"/>
              <w:rPr>
                <w:b/>
                <w:bCs/>
                <w:color w:val="FFFFFF" w:themeColor="background1"/>
              </w:rPr>
            </w:pPr>
            <w:r w:rsidRPr="00402977">
              <w:rPr>
                <w:b/>
                <w:bCs/>
                <w:color w:val="FFFFFF" w:themeColor="background1"/>
              </w:rPr>
              <w:t>Outcome type</w:t>
            </w:r>
          </w:p>
        </w:tc>
        <w:tc>
          <w:tcPr>
            <w:tcW w:w="3769" w:type="dxa"/>
            <w:shd w:val="clear" w:color="auto" w:fill="007E00" w:themeFill="accent3"/>
            <w:noWrap/>
            <w:hideMark/>
          </w:tcPr>
          <w:p w14:paraId="15E7BC79" w14:textId="77777777" w:rsidR="00402977" w:rsidRPr="00402977" w:rsidRDefault="00402977" w:rsidP="00402977">
            <w:pPr>
              <w:pStyle w:val="TableText"/>
              <w:rPr>
                <w:b/>
                <w:bCs/>
                <w:color w:val="FFFFFF" w:themeColor="background1"/>
              </w:rPr>
            </w:pPr>
            <w:r w:rsidRPr="00402977">
              <w:rPr>
                <w:b/>
                <w:bCs/>
                <w:color w:val="FFFFFF" w:themeColor="background1"/>
              </w:rPr>
              <w:t>Domain</w:t>
            </w:r>
          </w:p>
        </w:tc>
        <w:tc>
          <w:tcPr>
            <w:tcW w:w="1192" w:type="dxa"/>
            <w:shd w:val="clear" w:color="auto" w:fill="007E00" w:themeFill="accent3"/>
            <w:hideMark/>
          </w:tcPr>
          <w:p w14:paraId="763634FC" w14:textId="77777777" w:rsidR="00402977" w:rsidRPr="00402977" w:rsidRDefault="00402977" w:rsidP="00402977">
            <w:pPr>
              <w:pStyle w:val="TableText"/>
              <w:rPr>
                <w:b/>
                <w:bCs/>
                <w:color w:val="FFFFFF" w:themeColor="background1"/>
              </w:rPr>
            </w:pPr>
            <w:r w:rsidRPr="00402977">
              <w:rPr>
                <w:b/>
                <w:bCs/>
                <w:color w:val="FFFFFF" w:themeColor="background1"/>
              </w:rPr>
              <w:t>SCORE change (mean)</w:t>
            </w:r>
          </w:p>
        </w:tc>
        <w:tc>
          <w:tcPr>
            <w:tcW w:w="1537" w:type="dxa"/>
            <w:shd w:val="clear" w:color="auto" w:fill="007E00" w:themeFill="accent3"/>
            <w:noWrap/>
            <w:hideMark/>
          </w:tcPr>
          <w:p w14:paraId="189BAF3F" w14:textId="77777777" w:rsidR="00402977" w:rsidRPr="00402977" w:rsidRDefault="00402977" w:rsidP="00402977">
            <w:pPr>
              <w:pStyle w:val="TableText"/>
              <w:rPr>
                <w:b/>
                <w:bCs/>
                <w:color w:val="FFFFFF" w:themeColor="background1"/>
              </w:rPr>
            </w:pPr>
            <w:r w:rsidRPr="00402977">
              <w:rPr>
                <w:b/>
                <w:bCs/>
                <w:color w:val="FFFFFF" w:themeColor="background1"/>
              </w:rPr>
              <w:t>Wilcoxon</w:t>
            </w:r>
          </w:p>
        </w:tc>
        <w:tc>
          <w:tcPr>
            <w:tcW w:w="1148" w:type="dxa"/>
            <w:shd w:val="clear" w:color="auto" w:fill="007E00" w:themeFill="accent3"/>
            <w:noWrap/>
            <w:hideMark/>
          </w:tcPr>
          <w:p w14:paraId="279EB591" w14:textId="77777777" w:rsidR="00402977" w:rsidRPr="00402977" w:rsidRDefault="00402977" w:rsidP="00402977">
            <w:pPr>
              <w:pStyle w:val="TableText"/>
              <w:rPr>
                <w:b/>
                <w:bCs/>
                <w:color w:val="FFFFFF" w:themeColor="background1"/>
              </w:rPr>
            </w:pPr>
            <w:r w:rsidRPr="00402977">
              <w:rPr>
                <w:b/>
                <w:bCs/>
                <w:color w:val="FFFFFF" w:themeColor="background1"/>
              </w:rPr>
              <w:t>n</w:t>
            </w:r>
          </w:p>
        </w:tc>
        <w:tc>
          <w:tcPr>
            <w:tcW w:w="1148" w:type="dxa"/>
            <w:shd w:val="clear" w:color="auto" w:fill="007E00" w:themeFill="accent3"/>
            <w:noWrap/>
            <w:hideMark/>
          </w:tcPr>
          <w:p w14:paraId="0EA83F90" w14:textId="77777777" w:rsidR="00402977" w:rsidRPr="00402977" w:rsidRDefault="00402977" w:rsidP="00402977">
            <w:pPr>
              <w:pStyle w:val="TableText"/>
              <w:rPr>
                <w:b/>
                <w:bCs/>
                <w:color w:val="FFFFFF" w:themeColor="background1"/>
              </w:rPr>
            </w:pPr>
            <w:r w:rsidRPr="00402977">
              <w:rPr>
                <w:b/>
                <w:bCs/>
                <w:color w:val="FFFFFF" w:themeColor="background1"/>
              </w:rPr>
              <w:t>p</w:t>
            </w:r>
          </w:p>
        </w:tc>
        <w:tc>
          <w:tcPr>
            <w:tcW w:w="1473" w:type="dxa"/>
            <w:shd w:val="clear" w:color="auto" w:fill="007E00" w:themeFill="accent3"/>
            <w:hideMark/>
          </w:tcPr>
          <w:p w14:paraId="679B4084" w14:textId="5F8361A5" w:rsidR="00402977" w:rsidRPr="00402977" w:rsidRDefault="00402977" w:rsidP="00402977">
            <w:pPr>
              <w:pStyle w:val="TableText"/>
              <w:rPr>
                <w:b/>
                <w:bCs/>
                <w:color w:val="FFFFFF" w:themeColor="background1"/>
              </w:rPr>
            </w:pPr>
            <w:r>
              <w:rPr>
                <w:b/>
                <w:bCs/>
                <w:color w:val="FFFFFF" w:themeColor="background1"/>
              </w:rPr>
              <w:t xml:space="preserve">Service users </w:t>
            </w:r>
            <w:r w:rsidRPr="00402977">
              <w:rPr>
                <w:b/>
                <w:bCs/>
                <w:color w:val="FFFFFF" w:themeColor="background1"/>
              </w:rPr>
              <w:t>with positive change (%, n)</w:t>
            </w:r>
          </w:p>
        </w:tc>
      </w:tr>
      <w:tr w:rsidR="00402977" w:rsidRPr="00402977" w14:paraId="43E8F734" w14:textId="77777777" w:rsidTr="00321BC5">
        <w:trPr>
          <w:trHeight w:val="290"/>
        </w:trPr>
        <w:tc>
          <w:tcPr>
            <w:tcW w:w="990" w:type="dxa"/>
            <w:vMerge w:val="restart"/>
            <w:hideMark/>
          </w:tcPr>
          <w:p w14:paraId="07BA3BC5" w14:textId="77777777" w:rsidR="00402977" w:rsidRPr="00402977" w:rsidRDefault="00402977" w:rsidP="00402977">
            <w:pPr>
              <w:pStyle w:val="TableText"/>
              <w:rPr>
                <w:lang w:val="en-NZ"/>
              </w:rPr>
            </w:pPr>
            <w:r w:rsidRPr="57F92EFB">
              <w:rPr>
                <w:lang w:val="en-NZ"/>
              </w:rPr>
              <w:t>FaRS</w:t>
            </w:r>
          </w:p>
        </w:tc>
        <w:tc>
          <w:tcPr>
            <w:tcW w:w="990" w:type="dxa"/>
            <w:vMerge w:val="restart"/>
            <w:hideMark/>
          </w:tcPr>
          <w:p w14:paraId="0E93BC5A" w14:textId="77777777" w:rsidR="00402977" w:rsidRPr="00402977" w:rsidRDefault="00402977" w:rsidP="00402977">
            <w:pPr>
              <w:pStyle w:val="TableText"/>
            </w:pPr>
            <w:r w:rsidRPr="00402977">
              <w:t>Non-CALD</w:t>
            </w:r>
          </w:p>
        </w:tc>
        <w:tc>
          <w:tcPr>
            <w:tcW w:w="1701" w:type="dxa"/>
            <w:vMerge w:val="restart"/>
            <w:hideMark/>
          </w:tcPr>
          <w:p w14:paraId="54AD7C9F" w14:textId="77777777" w:rsidR="00402977" w:rsidRPr="00402977" w:rsidRDefault="00402977" w:rsidP="00402977">
            <w:pPr>
              <w:pStyle w:val="TableText"/>
            </w:pPr>
            <w:r w:rsidRPr="00402977">
              <w:t>Circumstances</w:t>
            </w:r>
          </w:p>
        </w:tc>
        <w:tc>
          <w:tcPr>
            <w:tcW w:w="3769" w:type="dxa"/>
            <w:noWrap/>
            <w:hideMark/>
          </w:tcPr>
          <w:p w14:paraId="1E92B4E2" w14:textId="77777777" w:rsidR="00402977" w:rsidRPr="00402977" w:rsidRDefault="00402977" w:rsidP="00402977">
            <w:pPr>
              <w:pStyle w:val="TableText"/>
            </w:pPr>
            <w:r w:rsidRPr="00402977">
              <w:t>Family functioning</w:t>
            </w:r>
          </w:p>
        </w:tc>
        <w:tc>
          <w:tcPr>
            <w:tcW w:w="1192" w:type="dxa"/>
            <w:noWrap/>
            <w:hideMark/>
          </w:tcPr>
          <w:p w14:paraId="7D3202C3" w14:textId="77777777" w:rsidR="00402977" w:rsidRPr="00402977" w:rsidRDefault="00402977" w:rsidP="00402977">
            <w:pPr>
              <w:pStyle w:val="TableText"/>
            </w:pPr>
            <w:r w:rsidRPr="00402977">
              <w:t>0.83</w:t>
            </w:r>
          </w:p>
        </w:tc>
        <w:tc>
          <w:tcPr>
            <w:tcW w:w="1537" w:type="dxa"/>
            <w:noWrap/>
            <w:hideMark/>
          </w:tcPr>
          <w:p w14:paraId="02A0E9AE" w14:textId="77777777" w:rsidR="00402977" w:rsidRPr="00402977" w:rsidRDefault="00402977" w:rsidP="00402977">
            <w:pPr>
              <w:pStyle w:val="TableText"/>
            </w:pPr>
            <w:r w:rsidRPr="00402977">
              <w:t>71210393.5</w:t>
            </w:r>
          </w:p>
        </w:tc>
        <w:tc>
          <w:tcPr>
            <w:tcW w:w="1148" w:type="dxa"/>
            <w:noWrap/>
            <w:hideMark/>
          </w:tcPr>
          <w:p w14:paraId="72316EFB" w14:textId="4A55D944" w:rsidR="00402977" w:rsidRPr="00402977" w:rsidRDefault="00402977" w:rsidP="00402977">
            <w:pPr>
              <w:pStyle w:val="TableText"/>
            </w:pPr>
            <w:r w:rsidRPr="00402977">
              <w:t>38</w:t>
            </w:r>
            <w:r w:rsidR="00C57EA7">
              <w:t>,</w:t>
            </w:r>
            <w:r w:rsidRPr="00402977">
              <w:t>446</w:t>
            </w:r>
          </w:p>
        </w:tc>
        <w:tc>
          <w:tcPr>
            <w:tcW w:w="1148" w:type="dxa"/>
            <w:noWrap/>
            <w:hideMark/>
          </w:tcPr>
          <w:p w14:paraId="6D7B8AEB" w14:textId="77777777" w:rsidR="00402977" w:rsidRPr="00402977" w:rsidRDefault="00402977" w:rsidP="00402977">
            <w:pPr>
              <w:pStyle w:val="TableText"/>
            </w:pPr>
            <w:r w:rsidRPr="00402977">
              <w:t>&lt;.001</w:t>
            </w:r>
          </w:p>
        </w:tc>
        <w:tc>
          <w:tcPr>
            <w:tcW w:w="1473" w:type="dxa"/>
            <w:noWrap/>
            <w:hideMark/>
          </w:tcPr>
          <w:p w14:paraId="378D5454" w14:textId="755C1306" w:rsidR="00402977" w:rsidRPr="00402977" w:rsidRDefault="00402977" w:rsidP="00402977">
            <w:pPr>
              <w:pStyle w:val="TableText"/>
            </w:pPr>
            <w:r w:rsidRPr="00402977">
              <w:t>56.0% (n=21</w:t>
            </w:r>
            <w:r w:rsidR="00C57EA7">
              <w:t>,</w:t>
            </w:r>
            <w:r w:rsidRPr="00402977">
              <w:t>522)</w:t>
            </w:r>
          </w:p>
        </w:tc>
      </w:tr>
      <w:tr w:rsidR="00402977" w:rsidRPr="00402977" w14:paraId="4BC91B65" w14:textId="77777777" w:rsidTr="00321BC5">
        <w:trPr>
          <w:trHeight w:val="290"/>
        </w:trPr>
        <w:tc>
          <w:tcPr>
            <w:tcW w:w="990" w:type="dxa"/>
            <w:vMerge/>
            <w:hideMark/>
          </w:tcPr>
          <w:p w14:paraId="5B6053D1" w14:textId="77777777" w:rsidR="00402977" w:rsidRPr="00402977" w:rsidRDefault="00402977" w:rsidP="00402977">
            <w:pPr>
              <w:pStyle w:val="TableText"/>
            </w:pPr>
          </w:p>
        </w:tc>
        <w:tc>
          <w:tcPr>
            <w:tcW w:w="990" w:type="dxa"/>
            <w:vMerge/>
            <w:hideMark/>
          </w:tcPr>
          <w:p w14:paraId="197C4F2C" w14:textId="77777777" w:rsidR="00402977" w:rsidRPr="00402977" w:rsidRDefault="00402977" w:rsidP="00402977">
            <w:pPr>
              <w:pStyle w:val="TableText"/>
            </w:pPr>
          </w:p>
        </w:tc>
        <w:tc>
          <w:tcPr>
            <w:tcW w:w="1701" w:type="dxa"/>
            <w:vMerge/>
            <w:hideMark/>
          </w:tcPr>
          <w:p w14:paraId="50F60115" w14:textId="77777777" w:rsidR="00402977" w:rsidRPr="00402977" w:rsidRDefault="00402977" w:rsidP="00402977">
            <w:pPr>
              <w:pStyle w:val="TableText"/>
            </w:pPr>
          </w:p>
        </w:tc>
        <w:tc>
          <w:tcPr>
            <w:tcW w:w="3769" w:type="dxa"/>
            <w:noWrap/>
            <w:hideMark/>
          </w:tcPr>
          <w:p w14:paraId="08946204" w14:textId="77777777" w:rsidR="00402977" w:rsidRPr="00402977" w:rsidRDefault="00402977" w:rsidP="00402977">
            <w:pPr>
              <w:pStyle w:val="TableText"/>
            </w:pPr>
            <w:r w:rsidRPr="57F92EFB">
              <w:rPr>
                <w:lang w:val="en-NZ"/>
              </w:rPr>
              <w:t>Mental health, wellbeing and self-care</w:t>
            </w:r>
          </w:p>
        </w:tc>
        <w:tc>
          <w:tcPr>
            <w:tcW w:w="1192" w:type="dxa"/>
            <w:noWrap/>
            <w:hideMark/>
          </w:tcPr>
          <w:p w14:paraId="3F80EFB2" w14:textId="77777777" w:rsidR="00402977" w:rsidRPr="00402977" w:rsidRDefault="00402977" w:rsidP="00402977">
            <w:pPr>
              <w:pStyle w:val="TableText"/>
            </w:pPr>
            <w:r w:rsidRPr="00402977">
              <w:t>0.82</w:t>
            </w:r>
          </w:p>
        </w:tc>
        <w:tc>
          <w:tcPr>
            <w:tcW w:w="1537" w:type="dxa"/>
            <w:noWrap/>
            <w:hideMark/>
          </w:tcPr>
          <w:p w14:paraId="50785B00" w14:textId="77777777" w:rsidR="00402977" w:rsidRPr="00402977" w:rsidRDefault="00402977" w:rsidP="00402977">
            <w:pPr>
              <w:pStyle w:val="TableText"/>
            </w:pPr>
            <w:r w:rsidRPr="00402977">
              <w:t>59372541.5</w:t>
            </w:r>
          </w:p>
        </w:tc>
        <w:tc>
          <w:tcPr>
            <w:tcW w:w="1148" w:type="dxa"/>
            <w:noWrap/>
            <w:hideMark/>
          </w:tcPr>
          <w:p w14:paraId="3447F8F3" w14:textId="373BD5B1" w:rsidR="00402977" w:rsidRPr="00402977" w:rsidRDefault="00402977" w:rsidP="00402977">
            <w:pPr>
              <w:pStyle w:val="TableText"/>
            </w:pPr>
            <w:r w:rsidRPr="00402977">
              <w:t>35</w:t>
            </w:r>
            <w:r w:rsidR="00C57EA7">
              <w:t>,</w:t>
            </w:r>
            <w:r w:rsidRPr="00402977">
              <w:t>461</w:t>
            </w:r>
          </w:p>
        </w:tc>
        <w:tc>
          <w:tcPr>
            <w:tcW w:w="1148" w:type="dxa"/>
            <w:noWrap/>
            <w:hideMark/>
          </w:tcPr>
          <w:p w14:paraId="482655F9" w14:textId="77777777" w:rsidR="00402977" w:rsidRPr="00402977" w:rsidRDefault="00402977" w:rsidP="00402977">
            <w:pPr>
              <w:pStyle w:val="TableText"/>
            </w:pPr>
            <w:r w:rsidRPr="00402977">
              <w:t>&lt;.001</w:t>
            </w:r>
          </w:p>
        </w:tc>
        <w:tc>
          <w:tcPr>
            <w:tcW w:w="1473" w:type="dxa"/>
            <w:noWrap/>
            <w:hideMark/>
          </w:tcPr>
          <w:p w14:paraId="01BD072E" w14:textId="02C64CF6" w:rsidR="00402977" w:rsidRPr="00402977" w:rsidRDefault="00402977" w:rsidP="00402977">
            <w:pPr>
              <w:pStyle w:val="TableText"/>
            </w:pPr>
            <w:r w:rsidRPr="00402977">
              <w:t>56.1% (n=19</w:t>
            </w:r>
            <w:r w:rsidR="00C57EA7">
              <w:t>,</w:t>
            </w:r>
            <w:r w:rsidRPr="00402977">
              <w:t>900)</w:t>
            </w:r>
          </w:p>
        </w:tc>
      </w:tr>
      <w:tr w:rsidR="00402977" w:rsidRPr="00402977" w14:paraId="64358C56" w14:textId="77777777" w:rsidTr="00321BC5">
        <w:trPr>
          <w:trHeight w:val="290"/>
        </w:trPr>
        <w:tc>
          <w:tcPr>
            <w:tcW w:w="990" w:type="dxa"/>
            <w:vMerge/>
            <w:hideMark/>
          </w:tcPr>
          <w:p w14:paraId="7D2CC78F" w14:textId="77777777" w:rsidR="00402977" w:rsidRPr="00402977" w:rsidRDefault="00402977" w:rsidP="00402977">
            <w:pPr>
              <w:pStyle w:val="TableText"/>
            </w:pPr>
          </w:p>
        </w:tc>
        <w:tc>
          <w:tcPr>
            <w:tcW w:w="990" w:type="dxa"/>
            <w:vMerge/>
            <w:hideMark/>
          </w:tcPr>
          <w:p w14:paraId="39F0AFF0" w14:textId="77777777" w:rsidR="00402977" w:rsidRPr="00402977" w:rsidRDefault="00402977" w:rsidP="00402977">
            <w:pPr>
              <w:pStyle w:val="TableText"/>
            </w:pPr>
          </w:p>
        </w:tc>
        <w:tc>
          <w:tcPr>
            <w:tcW w:w="1701" w:type="dxa"/>
            <w:vMerge/>
            <w:hideMark/>
          </w:tcPr>
          <w:p w14:paraId="619A4EBF" w14:textId="77777777" w:rsidR="00402977" w:rsidRPr="00402977" w:rsidRDefault="00402977" w:rsidP="00402977">
            <w:pPr>
              <w:pStyle w:val="TableText"/>
            </w:pPr>
          </w:p>
        </w:tc>
        <w:tc>
          <w:tcPr>
            <w:tcW w:w="3769" w:type="dxa"/>
            <w:noWrap/>
            <w:hideMark/>
          </w:tcPr>
          <w:p w14:paraId="77CBD6F1" w14:textId="77777777" w:rsidR="00402977" w:rsidRPr="00402977" w:rsidRDefault="00402977" w:rsidP="00402977">
            <w:pPr>
              <w:pStyle w:val="TableText"/>
            </w:pPr>
            <w:r w:rsidRPr="00402977">
              <w:t>Personal and family safety</w:t>
            </w:r>
          </w:p>
        </w:tc>
        <w:tc>
          <w:tcPr>
            <w:tcW w:w="1192" w:type="dxa"/>
            <w:noWrap/>
            <w:hideMark/>
          </w:tcPr>
          <w:p w14:paraId="6201C86B" w14:textId="77777777" w:rsidR="00402977" w:rsidRPr="00402977" w:rsidRDefault="00402977" w:rsidP="00402977">
            <w:pPr>
              <w:pStyle w:val="TableText"/>
            </w:pPr>
            <w:r w:rsidRPr="00402977">
              <w:t>0.59</w:t>
            </w:r>
          </w:p>
        </w:tc>
        <w:tc>
          <w:tcPr>
            <w:tcW w:w="1537" w:type="dxa"/>
            <w:noWrap/>
            <w:hideMark/>
          </w:tcPr>
          <w:p w14:paraId="7972AE39" w14:textId="77777777" w:rsidR="00402977" w:rsidRPr="00402977" w:rsidRDefault="00402977" w:rsidP="00402977">
            <w:pPr>
              <w:pStyle w:val="TableText"/>
            </w:pPr>
            <w:r w:rsidRPr="00402977">
              <w:t>38632546</w:t>
            </w:r>
          </w:p>
        </w:tc>
        <w:tc>
          <w:tcPr>
            <w:tcW w:w="1148" w:type="dxa"/>
            <w:noWrap/>
            <w:hideMark/>
          </w:tcPr>
          <w:p w14:paraId="3F92BC7D" w14:textId="4430E232" w:rsidR="00402977" w:rsidRPr="00402977" w:rsidRDefault="00402977" w:rsidP="00402977">
            <w:pPr>
              <w:pStyle w:val="TableText"/>
            </w:pPr>
            <w:r w:rsidRPr="00402977">
              <w:t>23</w:t>
            </w:r>
            <w:r w:rsidR="00C57EA7">
              <w:t>,</w:t>
            </w:r>
            <w:r w:rsidRPr="00402977">
              <w:t>881</w:t>
            </w:r>
          </w:p>
        </w:tc>
        <w:tc>
          <w:tcPr>
            <w:tcW w:w="1148" w:type="dxa"/>
            <w:noWrap/>
            <w:hideMark/>
          </w:tcPr>
          <w:p w14:paraId="7B55E3F1" w14:textId="77777777" w:rsidR="00402977" w:rsidRPr="00402977" w:rsidRDefault="00402977" w:rsidP="00402977">
            <w:pPr>
              <w:pStyle w:val="TableText"/>
            </w:pPr>
            <w:r w:rsidRPr="00402977">
              <w:t>&lt;.001</w:t>
            </w:r>
          </w:p>
        </w:tc>
        <w:tc>
          <w:tcPr>
            <w:tcW w:w="1473" w:type="dxa"/>
            <w:noWrap/>
            <w:hideMark/>
          </w:tcPr>
          <w:p w14:paraId="2916A145" w14:textId="0268F41C" w:rsidR="00402977" w:rsidRPr="00402977" w:rsidRDefault="00402977" w:rsidP="00402977">
            <w:pPr>
              <w:pStyle w:val="TableText"/>
            </w:pPr>
            <w:r w:rsidRPr="00402977">
              <w:t>44.0% (n=10</w:t>
            </w:r>
            <w:r w:rsidR="00C57EA7">
              <w:t>,</w:t>
            </w:r>
            <w:r w:rsidRPr="00402977">
              <w:t>501)</w:t>
            </w:r>
          </w:p>
        </w:tc>
      </w:tr>
      <w:tr w:rsidR="00402977" w:rsidRPr="00402977" w14:paraId="30C66144" w14:textId="77777777" w:rsidTr="00321BC5">
        <w:trPr>
          <w:trHeight w:val="290"/>
        </w:trPr>
        <w:tc>
          <w:tcPr>
            <w:tcW w:w="990" w:type="dxa"/>
            <w:vMerge/>
            <w:hideMark/>
          </w:tcPr>
          <w:p w14:paraId="7555A8E3" w14:textId="77777777" w:rsidR="00402977" w:rsidRPr="00402977" w:rsidRDefault="00402977" w:rsidP="00402977">
            <w:pPr>
              <w:pStyle w:val="TableText"/>
            </w:pPr>
          </w:p>
        </w:tc>
        <w:tc>
          <w:tcPr>
            <w:tcW w:w="990" w:type="dxa"/>
            <w:vMerge/>
            <w:hideMark/>
          </w:tcPr>
          <w:p w14:paraId="723D1103" w14:textId="77777777" w:rsidR="00402977" w:rsidRPr="00402977" w:rsidRDefault="00402977" w:rsidP="00402977">
            <w:pPr>
              <w:pStyle w:val="TableText"/>
            </w:pPr>
          </w:p>
        </w:tc>
        <w:tc>
          <w:tcPr>
            <w:tcW w:w="1701" w:type="dxa"/>
            <w:vMerge w:val="restart"/>
            <w:hideMark/>
          </w:tcPr>
          <w:p w14:paraId="2BC2865E" w14:textId="77777777" w:rsidR="00402977" w:rsidRPr="00402977" w:rsidRDefault="00402977" w:rsidP="00402977">
            <w:pPr>
              <w:pStyle w:val="TableText"/>
            </w:pPr>
            <w:r w:rsidRPr="00402977">
              <w:t>Goals</w:t>
            </w:r>
          </w:p>
        </w:tc>
        <w:tc>
          <w:tcPr>
            <w:tcW w:w="3769" w:type="dxa"/>
            <w:noWrap/>
            <w:hideMark/>
          </w:tcPr>
          <w:p w14:paraId="60A99BBD" w14:textId="77777777" w:rsidR="00402977" w:rsidRPr="00402977" w:rsidRDefault="00402977" w:rsidP="00402977">
            <w:pPr>
              <w:pStyle w:val="TableText"/>
            </w:pPr>
            <w:r w:rsidRPr="00402977">
              <w:t>Changed behaviours</w:t>
            </w:r>
          </w:p>
        </w:tc>
        <w:tc>
          <w:tcPr>
            <w:tcW w:w="1192" w:type="dxa"/>
            <w:noWrap/>
            <w:hideMark/>
          </w:tcPr>
          <w:p w14:paraId="65C88876" w14:textId="77777777" w:rsidR="00402977" w:rsidRPr="00402977" w:rsidRDefault="00402977" w:rsidP="00402977">
            <w:pPr>
              <w:pStyle w:val="TableText"/>
            </w:pPr>
            <w:r w:rsidRPr="00402977">
              <w:t>1.09</w:t>
            </w:r>
          </w:p>
        </w:tc>
        <w:tc>
          <w:tcPr>
            <w:tcW w:w="1537" w:type="dxa"/>
            <w:noWrap/>
            <w:hideMark/>
          </w:tcPr>
          <w:p w14:paraId="5927F8CC" w14:textId="77777777" w:rsidR="00402977" w:rsidRPr="00402977" w:rsidRDefault="00402977" w:rsidP="00402977">
            <w:pPr>
              <w:pStyle w:val="TableText"/>
            </w:pPr>
            <w:r w:rsidRPr="00402977">
              <w:t>16571221</w:t>
            </w:r>
          </w:p>
        </w:tc>
        <w:tc>
          <w:tcPr>
            <w:tcW w:w="1148" w:type="dxa"/>
            <w:noWrap/>
            <w:hideMark/>
          </w:tcPr>
          <w:p w14:paraId="6D809375" w14:textId="17C13CCB" w:rsidR="00402977" w:rsidRPr="00402977" w:rsidRDefault="00402977" w:rsidP="00402977">
            <w:pPr>
              <w:pStyle w:val="TableText"/>
            </w:pPr>
            <w:r w:rsidRPr="00402977">
              <w:t>25</w:t>
            </w:r>
            <w:r w:rsidR="00C57EA7">
              <w:t>,</w:t>
            </w:r>
            <w:r w:rsidRPr="00402977">
              <w:t>414</w:t>
            </w:r>
          </w:p>
        </w:tc>
        <w:tc>
          <w:tcPr>
            <w:tcW w:w="1148" w:type="dxa"/>
            <w:noWrap/>
            <w:hideMark/>
          </w:tcPr>
          <w:p w14:paraId="78A5D82D" w14:textId="77777777" w:rsidR="00402977" w:rsidRPr="00402977" w:rsidRDefault="00402977" w:rsidP="00402977">
            <w:pPr>
              <w:pStyle w:val="TableText"/>
            </w:pPr>
            <w:r w:rsidRPr="00402977">
              <w:t>&lt;.001</w:t>
            </w:r>
          </w:p>
        </w:tc>
        <w:tc>
          <w:tcPr>
            <w:tcW w:w="1473" w:type="dxa"/>
            <w:noWrap/>
            <w:hideMark/>
          </w:tcPr>
          <w:p w14:paraId="0D632D1D" w14:textId="69EFA093" w:rsidR="00402977" w:rsidRPr="00402977" w:rsidRDefault="00402977" w:rsidP="00402977">
            <w:pPr>
              <w:pStyle w:val="TableText"/>
            </w:pPr>
            <w:r w:rsidRPr="00402977">
              <w:t>65.5% (n=16</w:t>
            </w:r>
            <w:r w:rsidR="00C57EA7">
              <w:t>,</w:t>
            </w:r>
            <w:r w:rsidRPr="00402977">
              <w:t>636)</w:t>
            </w:r>
          </w:p>
        </w:tc>
      </w:tr>
      <w:tr w:rsidR="00402977" w:rsidRPr="00402977" w14:paraId="201B0046" w14:textId="77777777" w:rsidTr="00321BC5">
        <w:trPr>
          <w:trHeight w:val="290"/>
        </w:trPr>
        <w:tc>
          <w:tcPr>
            <w:tcW w:w="990" w:type="dxa"/>
            <w:vMerge/>
            <w:hideMark/>
          </w:tcPr>
          <w:p w14:paraId="458E3C3A" w14:textId="77777777" w:rsidR="00402977" w:rsidRPr="00402977" w:rsidRDefault="00402977" w:rsidP="00402977">
            <w:pPr>
              <w:pStyle w:val="TableText"/>
            </w:pPr>
          </w:p>
        </w:tc>
        <w:tc>
          <w:tcPr>
            <w:tcW w:w="990" w:type="dxa"/>
            <w:vMerge/>
            <w:hideMark/>
          </w:tcPr>
          <w:p w14:paraId="7CA964B1" w14:textId="77777777" w:rsidR="00402977" w:rsidRPr="00402977" w:rsidRDefault="00402977" w:rsidP="00402977">
            <w:pPr>
              <w:pStyle w:val="TableText"/>
            </w:pPr>
          </w:p>
        </w:tc>
        <w:tc>
          <w:tcPr>
            <w:tcW w:w="1701" w:type="dxa"/>
            <w:vMerge/>
            <w:hideMark/>
          </w:tcPr>
          <w:p w14:paraId="0988E286" w14:textId="77777777" w:rsidR="00402977" w:rsidRPr="00402977" w:rsidRDefault="00402977" w:rsidP="00402977">
            <w:pPr>
              <w:pStyle w:val="TableText"/>
            </w:pPr>
          </w:p>
        </w:tc>
        <w:tc>
          <w:tcPr>
            <w:tcW w:w="3769" w:type="dxa"/>
            <w:noWrap/>
            <w:hideMark/>
          </w:tcPr>
          <w:p w14:paraId="6366EAD8" w14:textId="77777777" w:rsidR="00402977" w:rsidRPr="00402977" w:rsidRDefault="00402977" w:rsidP="00402977">
            <w:pPr>
              <w:pStyle w:val="TableText"/>
            </w:pPr>
            <w:r w:rsidRPr="00402977">
              <w:t>Changed impact of immediate crisis</w:t>
            </w:r>
          </w:p>
        </w:tc>
        <w:tc>
          <w:tcPr>
            <w:tcW w:w="1192" w:type="dxa"/>
            <w:noWrap/>
            <w:hideMark/>
          </w:tcPr>
          <w:p w14:paraId="7E4C5B33" w14:textId="77777777" w:rsidR="00402977" w:rsidRPr="00402977" w:rsidRDefault="00402977" w:rsidP="00402977">
            <w:pPr>
              <w:pStyle w:val="TableText"/>
            </w:pPr>
            <w:r w:rsidRPr="00402977">
              <w:t>1.07</w:t>
            </w:r>
          </w:p>
        </w:tc>
        <w:tc>
          <w:tcPr>
            <w:tcW w:w="1537" w:type="dxa"/>
            <w:noWrap/>
            <w:hideMark/>
          </w:tcPr>
          <w:p w14:paraId="5253A199" w14:textId="77777777" w:rsidR="00402977" w:rsidRPr="00402977" w:rsidRDefault="00402977" w:rsidP="00402977">
            <w:pPr>
              <w:pStyle w:val="TableText"/>
            </w:pPr>
            <w:r w:rsidRPr="00402977">
              <w:t>5743089.5</w:t>
            </w:r>
          </w:p>
        </w:tc>
        <w:tc>
          <w:tcPr>
            <w:tcW w:w="1148" w:type="dxa"/>
            <w:noWrap/>
            <w:hideMark/>
          </w:tcPr>
          <w:p w14:paraId="6D6B3DFA" w14:textId="0652B56B" w:rsidR="00402977" w:rsidRPr="00402977" w:rsidRDefault="00402977" w:rsidP="00402977">
            <w:pPr>
              <w:pStyle w:val="TableText"/>
            </w:pPr>
            <w:r w:rsidRPr="00402977">
              <w:t>12</w:t>
            </w:r>
            <w:r w:rsidR="00C57EA7">
              <w:t>,</w:t>
            </w:r>
            <w:r w:rsidRPr="00402977">
              <w:t>635</w:t>
            </w:r>
          </w:p>
        </w:tc>
        <w:tc>
          <w:tcPr>
            <w:tcW w:w="1148" w:type="dxa"/>
            <w:noWrap/>
            <w:hideMark/>
          </w:tcPr>
          <w:p w14:paraId="46358007" w14:textId="77777777" w:rsidR="00402977" w:rsidRPr="00402977" w:rsidRDefault="00402977" w:rsidP="00402977">
            <w:pPr>
              <w:pStyle w:val="TableText"/>
            </w:pPr>
            <w:r w:rsidRPr="00402977">
              <w:t>&lt;.001</w:t>
            </w:r>
          </w:p>
        </w:tc>
        <w:tc>
          <w:tcPr>
            <w:tcW w:w="1473" w:type="dxa"/>
            <w:noWrap/>
            <w:hideMark/>
          </w:tcPr>
          <w:p w14:paraId="0D7D6F14" w14:textId="6F459AE8" w:rsidR="00402977" w:rsidRPr="00402977" w:rsidRDefault="00402977" w:rsidP="00402977">
            <w:pPr>
              <w:pStyle w:val="TableText"/>
            </w:pPr>
            <w:r w:rsidRPr="00402977">
              <w:t>65.9% (n=8</w:t>
            </w:r>
            <w:r w:rsidR="00C57EA7">
              <w:t>,</w:t>
            </w:r>
            <w:r w:rsidRPr="00402977">
              <w:t>332)</w:t>
            </w:r>
          </w:p>
        </w:tc>
      </w:tr>
      <w:tr w:rsidR="00402977" w:rsidRPr="00402977" w14:paraId="3B579E65" w14:textId="77777777" w:rsidTr="00321BC5">
        <w:trPr>
          <w:trHeight w:val="290"/>
        </w:trPr>
        <w:tc>
          <w:tcPr>
            <w:tcW w:w="990" w:type="dxa"/>
            <w:vMerge/>
            <w:hideMark/>
          </w:tcPr>
          <w:p w14:paraId="46E64523" w14:textId="77777777" w:rsidR="00402977" w:rsidRPr="00402977" w:rsidRDefault="00402977" w:rsidP="00402977">
            <w:pPr>
              <w:pStyle w:val="TableText"/>
            </w:pPr>
          </w:p>
        </w:tc>
        <w:tc>
          <w:tcPr>
            <w:tcW w:w="990" w:type="dxa"/>
            <w:vMerge/>
            <w:hideMark/>
          </w:tcPr>
          <w:p w14:paraId="0AF7230A" w14:textId="77777777" w:rsidR="00402977" w:rsidRPr="00402977" w:rsidRDefault="00402977" w:rsidP="00402977">
            <w:pPr>
              <w:pStyle w:val="TableText"/>
            </w:pPr>
          </w:p>
        </w:tc>
        <w:tc>
          <w:tcPr>
            <w:tcW w:w="1701" w:type="dxa"/>
            <w:vMerge/>
            <w:hideMark/>
          </w:tcPr>
          <w:p w14:paraId="4607E982" w14:textId="77777777" w:rsidR="00402977" w:rsidRPr="00402977" w:rsidRDefault="00402977" w:rsidP="00402977">
            <w:pPr>
              <w:pStyle w:val="TableText"/>
            </w:pPr>
          </w:p>
        </w:tc>
        <w:tc>
          <w:tcPr>
            <w:tcW w:w="3769" w:type="dxa"/>
            <w:noWrap/>
            <w:hideMark/>
          </w:tcPr>
          <w:p w14:paraId="389606E1" w14:textId="77777777" w:rsidR="00402977" w:rsidRPr="00402977" w:rsidRDefault="00402977" w:rsidP="00402977">
            <w:pPr>
              <w:pStyle w:val="TableText"/>
            </w:pPr>
            <w:r w:rsidRPr="00402977">
              <w:t>Changed knowledge and access to information</w:t>
            </w:r>
          </w:p>
        </w:tc>
        <w:tc>
          <w:tcPr>
            <w:tcW w:w="1192" w:type="dxa"/>
            <w:noWrap/>
            <w:hideMark/>
          </w:tcPr>
          <w:p w14:paraId="6E92B9BB" w14:textId="77777777" w:rsidR="00402977" w:rsidRPr="00402977" w:rsidRDefault="00402977" w:rsidP="00402977">
            <w:pPr>
              <w:pStyle w:val="TableText"/>
            </w:pPr>
            <w:r w:rsidRPr="00402977">
              <w:t>1.24</w:t>
            </w:r>
          </w:p>
        </w:tc>
        <w:tc>
          <w:tcPr>
            <w:tcW w:w="1537" w:type="dxa"/>
            <w:noWrap/>
            <w:hideMark/>
          </w:tcPr>
          <w:p w14:paraId="0DEC2C87" w14:textId="77777777" w:rsidR="00402977" w:rsidRPr="00402977" w:rsidRDefault="00402977" w:rsidP="00402977">
            <w:pPr>
              <w:pStyle w:val="TableText"/>
            </w:pPr>
            <w:r w:rsidRPr="00402977">
              <w:t>24698444</w:t>
            </w:r>
          </w:p>
        </w:tc>
        <w:tc>
          <w:tcPr>
            <w:tcW w:w="1148" w:type="dxa"/>
            <w:noWrap/>
            <w:hideMark/>
          </w:tcPr>
          <w:p w14:paraId="3874F89B" w14:textId="37DDC85C" w:rsidR="00402977" w:rsidRPr="00402977" w:rsidRDefault="00402977" w:rsidP="00402977">
            <w:pPr>
              <w:pStyle w:val="TableText"/>
            </w:pPr>
            <w:r w:rsidRPr="00402977">
              <w:t>28</w:t>
            </w:r>
            <w:r w:rsidR="00C57EA7">
              <w:t>,</w:t>
            </w:r>
            <w:r w:rsidRPr="00402977">
              <w:t>864</w:t>
            </w:r>
          </w:p>
        </w:tc>
        <w:tc>
          <w:tcPr>
            <w:tcW w:w="1148" w:type="dxa"/>
            <w:noWrap/>
            <w:hideMark/>
          </w:tcPr>
          <w:p w14:paraId="7A7229AC" w14:textId="77777777" w:rsidR="00402977" w:rsidRPr="00402977" w:rsidRDefault="00402977" w:rsidP="00402977">
            <w:pPr>
              <w:pStyle w:val="TableText"/>
            </w:pPr>
            <w:r w:rsidRPr="00402977">
              <w:t>&lt;.001</w:t>
            </w:r>
          </w:p>
        </w:tc>
        <w:tc>
          <w:tcPr>
            <w:tcW w:w="1473" w:type="dxa"/>
            <w:noWrap/>
            <w:hideMark/>
          </w:tcPr>
          <w:p w14:paraId="08B5A3BF" w14:textId="36E5CD50" w:rsidR="00402977" w:rsidRPr="00402977" w:rsidRDefault="00402977" w:rsidP="00402977">
            <w:pPr>
              <w:pStyle w:val="TableText"/>
            </w:pPr>
            <w:r w:rsidRPr="00402977">
              <w:t>69.1% (n=19</w:t>
            </w:r>
            <w:r w:rsidR="00C57EA7">
              <w:t>,</w:t>
            </w:r>
            <w:r w:rsidRPr="00402977">
              <w:t>932)</w:t>
            </w:r>
          </w:p>
        </w:tc>
      </w:tr>
      <w:tr w:rsidR="00402977" w:rsidRPr="00402977" w14:paraId="1694E12B" w14:textId="77777777" w:rsidTr="00321BC5">
        <w:trPr>
          <w:trHeight w:val="290"/>
        </w:trPr>
        <w:tc>
          <w:tcPr>
            <w:tcW w:w="990" w:type="dxa"/>
            <w:vMerge/>
            <w:hideMark/>
          </w:tcPr>
          <w:p w14:paraId="2B645186" w14:textId="77777777" w:rsidR="00402977" w:rsidRPr="00402977" w:rsidRDefault="00402977" w:rsidP="00402977">
            <w:pPr>
              <w:pStyle w:val="TableText"/>
            </w:pPr>
          </w:p>
        </w:tc>
        <w:tc>
          <w:tcPr>
            <w:tcW w:w="990" w:type="dxa"/>
            <w:vMerge/>
            <w:hideMark/>
          </w:tcPr>
          <w:p w14:paraId="42984A6F" w14:textId="77777777" w:rsidR="00402977" w:rsidRPr="00402977" w:rsidRDefault="00402977" w:rsidP="00402977">
            <w:pPr>
              <w:pStyle w:val="TableText"/>
            </w:pPr>
          </w:p>
        </w:tc>
        <w:tc>
          <w:tcPr>
            <w:tcW w:w="1701" w:type="dxa"/>
            <w:vMerge/>
            <w:hideMark/>
          </w:tcPr>
          <w:p w14:paraId="676C6C79" w14:textId="77777777" w:rsidR="00402977" w:rsidRPr="00402977" w:rsidRDefault="00402977" w:rsidP="00402977">
            <w:pPr>
              <w:pStyle w:val="TableText"/>
            </w:pPr>
          </w:p>
        </w:tc>
        <w:tc>
          <w:tcPr>
            <w:tcW w:w="3769" w:type="dxa"/>
            <w:noWrap/>
            <w:hideMark/>
          </w:tcPr>
          <w:p w14:paraId="458A4A3A" w14:textId="77777777" w:rsidR="00402977" w:rsidRPr="00402977" w:rsidRDefault="00402977" w:rsidP="00402977">
            <w:pPr>
              <w:pStyle w:val="TableText"/>
            </w:pPr>
            <w:r w:rsidRPr="00402977">
              <w:t>Changed skills</w:t>
            </w:r>
          </w:p>
        </w:tc>
        <w:tc>
          <w:tcPr>
            <w:tcW w:w="1192" w:type="dxa"/>
            <w:noWrap/>
            <w:hideMark/>
          </w:tcPr>
          <w:p w14:paraId="654E7EF7" w14:textId="77777777" w:rsidR="00402977" w:rsidRPr="00402977" w:rsidRDefault="00402977" w:rsidP="00402977">
            <w:pPr>
              <w:pStyle w:val="TableText"/>
            </w:pPr>
            <w:r w:rsidRPr="00402977">
              <w:t>1.09</w:t>
            </w:r>
          </w:p>
        </w:tc>
        <w:tc>
          <w:tcPr>
            <w:tcW w:w="1537" w:type="dxa"/>
            <w:noWrap/>
            <w:hideMark/>
          </w:tcPr>
          <w:p w14:paraId="0F69B927" w14:textId="77777777" w:rsidR="00402977" w:rsidRPr="00402977" w:rsidRDefault="00402977" w:rsidP="00402977">
            <w:pPr>
              <w:pStyle w:val="TableText"/>
            </w:pPr>
            <w:r w:rsidRPr="00402977">
              <w:t>27874536.5</w:t>
            </w:r>
          </w:p>
        </w:tc>
        <w:tc>
          <w:tcPr>
            <w:tcW w:w="1148" w:type="dxa"/>
            <w:noWrap/>
            <w:hideMark/>
          </w:tcPr>
          <w:p w14:paraId="65F0C477" w14:textId="54CFAE34" w:rsidR="00402977" w:rsidRPr="00402977" w:rsidRDefault="00402977" w:rsidP="00402977">
            <w:pPr>
              <w:pStyle w:val="TableText"/>
            </w:pPr>
            <w:r w:rsidRPr="00402977">
              <w:t>30</w:t>
            </w:r>
            <w:r w:rsidR="00C57EA7">
              <w:t>,</w:t>
            </w:r>
            <w:r w:rsidRPr="00402977">
              <w:t>632</w:t>
            </w:r>
          </w:p>
        </w:tc>
        <w:tc>
          <w:tcPr>
            <w:tcW w:w="1148" w:type="dxa"/>
            <w:noWrap/>
            <w:hideMark/>
          </w:tcPr>
          <w:p w14:paraId="60ADE504" w14:textId="77777777" w:rsidR="00402977" w:rsidRPr="00402977" w:rsidRDefault="00402977" w:rsidP="00402977">
            <w:pPr>
              <w:pStyle w:val="TableText"/>
            </w:pPr>
            <w:r w:rsidRPr="00402977">
              <w:t>&lt;.001</w:t>
            </w:r>
          </w:p>
        </w:tc>
        <w:tc>
          <w:tcPr>
            <w:tcW w:w="1473" w:type="dxa"/>
            <w:noWrap/>
            <w:hideMark/>
          </w:tcPr>
          <w:p w14:paraId="0A37B7DA" w14:textId="47B3CFF2" w:rsidR="00402977" w:rsidRPr="00402977" w:rsidRDefault="00402977" w:rsidP="00402977">
            <w:pPr>
              <w:pStyle w:val="TableText"/>
            </w:pPr>
            <w:r w:rsidRPr="00402977">
              <w:t>66.2% (n=20</w:t>
            </w:r>
            <w:r w:rsidR="00C57EA7">
              <w:t>,</w:t>
            </w:r>
            <w:r w:rsidRPr="00402977">
              <w:t>273)</w:t>
            </w:r>
          </w:p>
        </w:tc>
      </w:tr>
      <w:tr w:rsidR="00402977" w:rsidRPr="00402977" w14:paraId="6FC9EB33" w14:textId="77777777" w:rsidTr="00321BC5">
        <w:trPr>
          <w:trHeight w:val="290"/>
        </w:trPr>
        <w:tc>
          <w:tcPr>
            <w:tcW w:w="990" w:type="dxa"/>
            <w:vMerge/>
            <w:hideMark/>
          </w:tcPr>
          <w:p w14:paraId="688EE039" w14:textId="77777777" w:rsidR="00402977" w:rsidRPr="00402977" w:rsidRDefault="00402977" w:rsidP="00402977">
            <w:pPr>
              <w:pStyle w:val="TableText"/>
            </w:pPr>
          </w:p>
        </w:tc>
        <w:tc>
          <w:tcPr>
            <w:tcW w:w="990" w:type="dxa"/>
            <w:vMerge/>
            <w:hideMark/>
          </w:tcPr>
          <w:p w14:paraId="4C3CCDFD" w14:textId="77777777" w:rsidR="00402977" w:rsidRPr="00402977" w:rsidRDefault="00402977" w:rsidP="00402977">
            <w:pPr>
              <w:pStyle w:val="TableText"/>
            </w:pPr>
          </w:p>
        </w:tc>
        <w:tc>
          <w:tcPr>
            <w:tcW w:w="1701" w:type="dxa"/>
            <w:vMerge/>
            <w:hideMark/>
          </w:tcPr>
          <w:p w14:paraId="53B7303C" w14:textId="77777777" w:rsidR="00402977" w:rsidRPr="00402977" w:rsidRDefault="00402977" w:rsidP="00402977">
            <w:pPr>
              <w:pStyle w:val="TableText"/>
            </w:pPr>
          </w:p>
        </w:tc>
        <w:tc>
          <w:tcPr>
            <w:tcW w:w="3769" w:type="dxa"/>
            <w:noWrap/>
            <w:hideMark/>
          </w:tcPr>
          <w:p w14:paraId="35C25905" w14:textId="77777777" w:rsidR="00402977" w:rsidRPr="00402977" w:rsidRDefault="00402977" w:rsidP="00402977">
            <w:pPr>
              <w:pStyle w:val="TableText"/>
            </w:pPr>
            <w:r w:rsidRPr="57F92EFB">
              <w:rPr>
                <w:lang w:val="en-NZ"/>
              </w:rPr>
              <w:t>Empowerment, choice and control to make own decisions</w:t>
            </w:r>
          </w:p>
        </w:tc>
        <w:tc>
          <w:tcPr>
            <w:tcW w:w="1192" w:type="dxa"/>
            <w:noWrap/>
            <w:hideMark/>
          </w:tcPr>
          <w:p w14:paraId="7BDDEBE1" w14:textId="77777777" w:rsidR="00402977" w:rsidRPr="00402977" w:rsidRDefault="00402977" w:rsidP="00402977">
            <w:pPr>
              <w:pStyle w:val="TableText"/>
            </w:pPr>
            <w:r w:rsidRPr="00402977">
              <w:t>1.03</w:t>
            </w:r>
          </w:p>
        </w:tc>
        <w:tc>
          <w:tcPr>
            <w:tcW w:w="1537" w:type="dxa"/>
            <w:noWrap/>
            <w:hideMark/>
          </w:tcPr>
          <w:p w14:paraId="0BAF197E" w14:textId="77777777" w:rsidR="00402977" w:rsidRPr="00402977" w:rsidRDefault="00402977" w:rsidP="00402977">
            <w:pPr>
              <w:pStyle w:val="TableText"/>
            </w:pPr>
            <w:r w:rsidRPr="00402977">
              <w:t>19833613.5</w:t>
            </w:r>
          </w:p>
        </w:tc>
        <w:tc>
          <w:tcPr>
            <w:tcW w:w="1148" w:type="dxa"/>
            <w:noWrap/>
            <w:hideMark/>
          </w:tcPr>
          <w:p w14:paraId="5771A8E6" w14:textId="4AF93A65" w:rsidR="00402977" w:rsidRPr="00402977" w:rsidRDefault="00402977" w:rsidP="00402977">
            <w:pPr>
              <w:pStyle w:val="TableText"/>
            </w:pPr>
            <w:r w:rsidRPr="00402977">
              <w:t>23</w:t>
            </w:r>
            <w:r w:rsidR="00C57EA7">
              <w:t>,</w:t>
            </w:r>
            <w:r w:rsidRPr="00402977">
              <w:t>179</w:t>
            </w:r>
          </w:p>
        </w:tc>
        <w:tc>
          <w:tcPr>
            <w:tcW w:w="1148" w:type="dxa"/>
            <w:noWrap/>
            <w:hideMark/>
          </w:tcPr>
          <w:p w14:paraId="3E696D40" w14:textId="77777777" w:rsidR="00402977" w:rsidRPr="00402977" w:rsidRDefault="00402977" w:rsidP="00402977">
            <w:pPr>
              <w:pStyle w:val="TableText"/>
            </w:pPr>
            <w:r w:rsidRPr="00402977">
              <w:t>&lt;.001</w:t>
            </w:r>
          </w:p>
        </w:tc>
        <w:tc>
          <w:tcPr>
            <w:tcW w:w="1473" w:type="dxa"/>
            <w:noWrap/>
            <w:hideMark/>
          </w:tcPr>
          <w:p w14:paraId="6D910717" w14:textId="3751122E" w:rsidR="00402977" w:rsidRPr="00402977" w:rsidRDefault="00402977" w:rsidP="00402977">
            <w:pPr>
              <w:pStyle w:val="TableText"/>
            </w:pPr>
            <w:r w:rsidRPr="00402977">
              <w:t>64.4% (n=14</w:t>
            </w:r>
            <w:r w:rsidR="00C57EA7">
              <w:t>,</w:t>
            </w:r>
            <w:r w:rsidRPr="00402977">
              <w:t>923)</w:t>
            </w:r>
          </w:p>
        </w:tc>
      </w:tr>
      <w:tr w:rsidR="00402977" w:rsidRPr="00402977" w14:paraId="1406379B" w14:textId="77777777" w:rsidTr="00321BC5">
        <w:trPr>
          <w:trHeight w:val="290"/>
        </w:trPr>
        <w:tc>
          <w:tcPr>
            <w:tcW w:w="990" w:type="dxa"/>
            <w:vMerge/>
            <w:hideMark/>
          </w:tcPr>
          <w:p w14:paraId="3050E875" w14:textId="77777777" w:rsidR="00402977" w:rsidRPr="00402977" w:rsidRDefault="00402977" w:rsidP="00402977">
            <w:pPr>
              <w:pStyle w:val="TableText"/>
            </w:pPr>
          </w:p>
        </w:tc>
        <w:tc>
          <w:tcPr>
            <w:tcW w:w="990" w:type="dxa"/>
            <w:vMerge/>
            <w:hideMark/>
          </w:tcPr>
          <w:p w14:paraId="2AF29DC2" w14:textId="77777777" w:rsidR="00402977" w:rsidRPr="00402977" w:rsidRDefault="00402977" w:rsidP="00402977">
            <w:pPr>
              <w:pStyle w:val="TableText"/>
            </w:pPr>
          </w:p>
        </w:tc>
        <w:tc>
          <w:tcPr>
            <w:tcW w:w="1701" w:type="dxa"/>
            <w:vMerge/>
            <w:hideMark/>
          </w:tcPr>
          <w:p w14:paraId="389AD95E" w14:textId="77777777" w:rsidR="00402977" w:rsidRPr="00402977" w:rsidRDefault="00402977" w:rsidP="00402977">
            <w:pPr>
              <w:pStyle w:val="TableText"/>
            </w:pPr>
          </w:p>
        </w:tc>
        <w:tc>
          <w:tcPr>
            <w:tcW w:w="3769" w:type="dxa"/>
            <w:noWrap/>
            <w:hideMark/>
          </w:tcPr>
          <w:p w14:paraId="2791C657" w14:textId="77777777" w:rsidR="00402977" w:rsidRPr="00402977" w:rsidRDefault="00402977" w:rsidP="00402977">
            <w:pPr>
              <w:pStyle w:val="TableText"/>
            </w:pPr>
            <w:r w:rsidRPr="00402977">
              <w:t>Engagement with relevant support services</w:t>
            </w:r>
          </w:p>
        </w:tc>
        <w:tc>
          <w:tcPr>
            <w:tcW w:w="1192" w:type="dxa"/>
            <w:noWrap/>
            <w:hideMark/>
          </w:tcPr>
          <w:p w14:paraId="1E72AD42" w14:textId="77777777" w:rsidR="00402977" w:rsidRPr="00402977" w:rsidRDefault="00402977" w:rsidP="00402977">
            <w:pPr>
              <w:pStyle w:val="TableText"/>
            </w:pPr>
            <w:r w:rsidRPr="00402977">
              <w:t>0.93</w:t>
            </w:r>
          </w:p>
        </w:tc>
        <w:tc>
          <w:tcPr>
            <w:tcW w:w="1537" w:type="dxa"/>
            <w:noWrap/>
            <w:hideMark/>
          </w:tcPr>
          <w:p w14:paraId="306D728D" w14:textId="77777777" w:rsidR="00402977" w:rsidRPr="00402977" w:rsidRDefault="00402977" w:rsidP="00402977">
            <w:pPr>
              <w:pStyle w:val="TableText"/>
            </w:pPr>
            <w:r w:rsidRPr="00402977">
              <w:t>12427044</w:t>
            </w:r>
          </w:p>
        </w:tc>
        <w:tc>
          <w:tcPr>
            <w:tcW w:w="1148" w:type="dxa"/>
            <w:noWrap/>
            <w:hideMark/>
          </w:tcPr>
          <w:p w14:paraId="71D06030" w14:textId="2F3B1B89" w:rsidR="00402977" w:rsidRPr="00402977" w:rsidRDefault="00402977" w:rsidP="00402977">
            <w:pPr>
              <w:pStyle w:val="TableText"/>
            </w:pPr>
            <w:r w:rsidRPr="00402977">
              <w:t>16</w:t>
            </w:r>
            <w:r w:rsidR="00C57EA7">
              <w:t>,</w:t>
            </w:r>
            <w:r w:rsidRPr="00402977">
              <w:t>027</w:t>
            </w:r>
          </w:p>
        </w:tc>
        <w:tc>
          <w:tcPr>
            <w:tcW w:w="1148" w:type="dxa"/>
            <w:noWrap/>
            <w:hideMark/>
          </w:tcPr>
          <w:p w14:paraId="620710E4" w14:textId="77777777" w:rsidR="00402977" w:rsidRPr="00402977" w:rsidRDefault="00402977" w:rsidP="00402977">
            <w:pPr>
              <w:pStyle w:val="TableText"/>
            </w:pPr>
            <w:r w:rsidRPr="00402977">
              <w:t>&lt;.001</w:t>
            </w:r>
          </w:p>
        </w:tc>
        <w:tc>
          <w:tcPr>
            <w:tcW w:w="1473" w:type="dxa"/>
            <w:noWrap/>
            <w:hideMark/>
          </w:tcPr>
          <w:p w14:paraId="441FD39E" w14:textId="5A3BF0ED" w:rsidR="00402977" w:rsidRPr="00402977" w:rsidRDefault="00402977" w:rsidP="00402977">
            <w:pPr>
              <w:pStyle w:val="TableText"/>
            </w:pPr>
            <w:r w:rsidRPr="00402977">
              <w:t>59.7% (n=9</w:t>
            </w:r>
            <w:r w:rsidR="00C57EA7">
              <w:t>,</w:t>
            </w:r>
            <w:r w:rsidRPr="00402977">
              <w:t>573)</w:t>
            </w:r>
          </w:p>
        </w:tc>
      </w:tr>
      <w:tr w:rsidR="00402977" w:rsidRPr="00402977" w14:paraId="245A9EA0" w14:textId="77777777" w:rsidTr="00321BC5">
        <w:trPr>
          <w:trHeight w:val="290"/>
        </w:trPr>
        <w:tc>
          <w:tcPr>
            <w:tcW w:w="990" w:type="dxa"/>
            <w:vMerge/>
            <w:hideMark/>
          </w:tcPr>
          <w:p w14:paraId="4D8FFBAA" w14:textId="77777777" w:rsidR="00402977" w:rsidRPr="00402977" w:rsidRDefault="00402977" w:rsidP="00402977">
            <w:pPr>
              <w:pStyle w:val="TableText"/>
            </w:pPr>
          </w:p>
        </w:tc>
        <w:tc>
          <w:tcPr>
            <w:tcW w:w="990" w:type="dxa"/>
            <w:vMerge w:val="restart"/>
            <w:hideMark/>
          </w:tcPr>
          <w:p w14:paraId="27B6981A" w14:textId="77777777" w:rsidR="00402977" w:rsidRPr="00402977" w:rsidRDefault="00402977" w:rsidP="00402977">
            <w:pPr>
              <w:pStyle w:val="TableText"/>
            </w:pPr>
            <w:r w:rsidRPr="00402977">
              <w:t>CALD</w:t>
            </w:r>
          </w:p>
        </w:tc>
        <w:tc>
          <w:tcPr>
            <w:tcW w:w="1701" w:type="dxa"/>
            <w:vMerge w:val="restart"/>
            <w:hideMark/>
          </w:tcPr>
          <w:p w14:paraId="22F5F424" w14:textId="77777777" w:rsidR="00402977" w:rsidRPr="00402977" w:rsidRDefault="00402977" w:rsidP="00402977">
            <w:pPr>
              <w:pStyle w:val="TableText"/>
            </w:pPr>
            <w:r w:rsidRPr="00402977">
              <w:t>Circumstances</w:t>
            </w:r>
          </w:p>
        </w:tc>
        <w:tc>
          <w:tcPr>
            <w:tcW w:w="3769" w:type="dxa"/>
            <w:noWrap/>
            <w:hideMark/>
          </w:tcPr>
          <w:p w14:paraId="50A3C29F" w14:textId="77777777" w:rsidR="00402977" w:rsidRPr="00402977" w:rsidRDefault="00402977" w:rsidP="00402977">
            <w:pPr>
              <w:pStyle w:val="TableText"/>
            </w:pPr>
            <w:r w:rsidRPr="00402977">
              <w:t>Family functioning</w:t>
            </w:r>
          </w:p>
        </w:tc>
        <w:tc>
          <w:tcPr>
            <w:tcW w:w="1192" w:type="dxa"/>
            <w:noWrap/>
            <w:hideMark/>
          </w:tcPr>
          <w:p w14:paraId="356E3AC9" w14:textId="77777777" w:rsidR="00402977" w:rsidRPr="00402977" w:rsidRDefault="00402977" w:rsidP="00402977">
            <w:pPr>
              <w:pStyle w:val="TableText"/>
            </w:pPr>
            <w:r w:rsidRPr="00402977">
              <w:t>0.76</w:t>
            </w:r>
          </w:p>
        </w:tc>
        <w:tc>
          <w:tcPr>
            <w:tcW w:w="1537" w:type="dxa"/>
            <w:noWrap/>
            <w:hideMark/>
          </w:tcPr>
          <w:p w14:paraId="60D1EF82" w14:textId="77777777" w:rsidR="00402977" w:rsidRPr="00402977" w:rsidRDefault="00402977" w:rsidP="00402977">
            <w:pPr>
              <w:pStyle w:val="TableText"/>
            </w:pPr>
            <w:r w:rsidRPr="00402977">
              <w:t>278174</w:t>
            </w:r>
          </w:p>
        </w:tc>
        <w:tc>
          <w:tcPr>
            <w:tcW w:w="1148" w:type="dxa"/>
            <w:noWrap/>
            <w:hideMark/>
          </w:tcPr>
          <w:p w14:paraId="70DE3ACC" w14:textId="1C797ECF" w:rsidR="00402977" w:rsidRPr="00402977" w:rsidRDefault="00402977" w:rsidP="00402977">
            <w:pPr>
              <w:pStyle w:val="TableText"/>
            </w:pPr>
            <w:r w:rsidRPr="00402977">
              <w:t>2</w:t>
            </w:r>
            <w:r w:rsidR="00C57EA7">
              <w:t>,5</w:t>
            </w:r>
            <w:r w:rsidRPr="00402977">
              <w:t>53</w:t>
            </w:r>
          </w:p>
        </w:tc>
        <w:tc>
          <w:tcPr>
            <w:tcW w:w="1148" w:type="dxa"/>
            <w:noWrap/>
            <w:hideMark/>
          </w:tcPr>
          <w:p w14:paraId="18828585" w14:textId="77777777" w:rsidR="00402977" w:rsidRPr="00402977" w:rsidRDefault="00402977" w:rsidP="00402977">
            <w:pPr>
              <w:pStyle w:val="TableText"/>
            </w:pPr>
            <w:r w:rsidRPr="00402977">
              <w:t>&lt;.001</w:t>
            </w:r>
          </w:p>
        </w:tc>
        <w:tc>
          <w:tcPr>
            <w:tcW w:w="1473" w:type="dxa"/>
            <w:noWrap/>
            <w:hideMark/>
          </w:tcPr>
          <w:p w14:paraId="6248F7E3" w14:textId="34B267C3" w:rsidR="00402977" w:rsidRPr="00402977" w:rsidRDefault="00402977" w:rsidP="00402977">
            <w:pPr>
              <w:pStyle w:val="TableText"/>
            </w:pPr>
            <w:r w:rsidRPr="00402977">
              <w:t>51.3% (n=1</w:t>
            </w:r>
            <w:r w:rsidR="00C57EA7">
              <w:t>,</w:t>
            </w:r>
            <w:r w:rsidRPr="00402977">
              <w:t>309)</w:t>
            </w:r>
          </w:p>
        </w:tc>
      </w:tr>
      <w:tr w:rsidR="00402977" w:rsidRPr="00402977" w14:paraId="6CDEE543" w14:textId="77777777" w:rsidTr="00321BC5">
        <w:trPr>
          <w:trHeight w:val="290"/>
        </w:trPr>
        <w:tc>
          <w:tcPr>
            <w:tcW w:w="990" w:type="dxa"/>
            <w:vMerge/>
            <w:hideMark/>
          </w:tcPr>
          <w:p w14:paraId="43842DD3" w14:textId="77777777" w:rsidR="00402977" w:rsidRPr="00402977" w:rsidRDefault="00402977" w:rsidP="00402977">
            <w:pPr>
              <w:pStyle w:val="TableText"/>
            </w:pPr>
          </w:p>
        </w:tc>
        <w:tc>
          <w:tcPr>
            <w:tcW w:w="990" w:type="dxa"/>
            <w:vMerge/>
            <w:hideMark/>
          </w:tcPr>
          <w:p w14:paraId="40DEDF5A" w14:textId="77777777" w:rsidR="00402977" w:rsidRPr="00402977" w:rsidRDefault="00402977" w:rsidP="00402977">
            <w:pPr>
              <w:pStyle w:val="TableText"/>
            </w:pPr>
          </w:p>
        </w:tc>
        <w:tc>
          <w:tcPr>
            <w:tcW w:w="1701" w:type="dxa"/>
            <w:vMerge/>
            <w:hideMark/>
          </w:tcPr>
          <w:p w14:paraId="412B6885" w14:textId="77777777" w:rsidR="00402977" w:rsidRPr="00402977" w:rsidRDefault="00402977" w:rsidP="00402977">
            <w:pPr>
              <w:pStyle w:val="TableText"/>
            </w:pPr>
          </w:p>
        </w:tc>
        <w:tc>
          <w:tcPr>
            <w:tcW w:w="3769" w:type="dxa"/>
            <w:noWrap/>
            <w:hideMark/>
          </w:tcPr>
          <w:p w14:paraId="39559494" w14:textId="77777777" w:rsidR="00402977" w:rsidRPr="00402977" w:rsidRDefault="00402977" w:rsidP="00402977">
            <w:pPr>
              <w:pStyle w:val="TableText"/>
            </w:pPr>
            <w:r w:rsidRPr="57F92EFB">
              <w:rPr>
                <w:lang w:val="en-NZ"/>
              </w:rPr>
              <w:t>Mental health, wellbeing and self-care</w:t>
            </w:r>
          </w:p>
        </w:tc>
        <w:tc>
          <w:tcPr>
            <w:tcW w:w="1192" w:type="dxa"/>
            <w:noWrap/>
            <w:hideMark/>
          </w:tcPr>
          <w:p w14:paraId="2331B893" w14:textId="77777777" w:rsidR="00402977" w:rsidRPr="00402977" w:rsidRDefault="00402977" w:rsidP="00402977">
            <w:pPr>
              <w:pStyle w:val="TableText"/>
            </w:pPr>
            <w:r w:rsidRPr="00402977">
              <w:t>0.74</w:t>
            </w:r>
          </w:p>
        </w:tc>
        <w:tc>
          <w:tcPr>
            <w:tcW w:w="1537" w:type="dxa"/>
            <w:noWrap/>
            <w:hideMark/>
          </w:tcPr>
          <w:p w14:paraId="4582ABD4" w14:textId="77777777" w:rsidR="00402977" w:rsidRPr="00402977" w:rsidRDefault="00402977" w:rsidP="00402977">
            <w:pPr>
              <w:pStyle w:val="TableText"/>
            </w:pPr>
            <w:r w:rsidRPr="00402977">
              <w:t>206791.5</w:t>
            </w:r>
          </w:p>
        </w:tc>
        <w:tc>
          <w:tcPr>
            <w:tcW w:w="1148" w:type="dxa"/>
            <w:noWrap/>
            <w:hideMark/>
          </w:tcPr>
          <w:p w14:paraId="4106C858" w14:textId="7C027FB8" w:rsidR="00402977" w:rsidRPr="00402977" w:rsidRDefault="00402977" w:rsidP="00402977">
            <w:pPr>
              <w:pStyle w:val="TableText"/>
            </w:pPr>
            <w:r w:rsidRPr="00402977">
              <w:t>2</w:t>
            </w:r>
            <w:r w:rsidR="00C57EA7">
              <w:t>,1</w:t>
            </w:r>
            <w:r w:rsidRPr="00402977">
              <w:t>08</w:t>
            </w:r>
          </w:p>
        </w:tc>
        <w:tc>
          <w:tcPr>
            <w:tcW w:w="1148" w:type="dxa"/>
            <w:noWrap/>
            <w:hideMark/>
          </w:tcPr>
          <w:p w14:paraId="3C40BA20" w14:textId="77777777" w:rsidR="00402977" w:rsidRPr="00402977" w:rsidRDefault="00402977" w:rsidP="00402977">
            <w:pPr>
              <w:pStyle w:val="TableText"/>
            </w:pPr>
            <w:r w:rsidRPr="00402977">
              <w:t>&lt;.001</w:t>
            </w:r>
          </w:p>
        </w:tc>
        <w:tc>
          <w:tcPr>
            <w:tcW w:w="1473" w:type="dxa"/>
            <w:noWrap/>
            <w:hideMark/>
          </w:tcPr>
          <w:p w14:paraId="1A313585" w14:textId="4B2FF2E5" w:rsidR="00402977" w:rsidRPr="00402977" w:rsidRDefault="00402977" w:rsidP="00402977">
            <w:pPr>
              <w:pStyle w:val="TableText"/>
            </w:pPr>
            <w:r w:rsidRPr="00402977">
              <w:t>51.8% (n=1</w:t>
            </w:r>
            <w:r w:rsidR="00C57EA7">
              <w:t>,</w:t>
            </w:r>
            <w:r w:rsidRPr="00402977">
              <w:t>091)</w:t>
            </w:r>
          </w:p>
        </w:tc>
      </w:tr>
      <w:tr w:rsidR="00402977" w:rsidRPr="00402977" w14:paraId="493EA301" w14:textId="77777777" w:rsidTr="00321BC5">
        <w:trPr>
          <w:trHeight w:val="290"/>
        </w:trPr>
        <w:tc>
          <w:tcPr>
            <w:tcW w:w="990" w:type="dxa"/>
            <w:vMerge/>
            <w:hideMark/>
          </w:tcPr>
          <w:p w14:paraId="3E0E3327" w14:textId="77777777" w:rsidR="00402977" w:rsidRPr="00402977" w:rsidRDefault="00402977" w:rsidP="00402977">
            <w:pPr>
              <w:pStyle w:val="TableText"/>
            </w:pPr>
          </w:p>
        </w:tc>
        <w:tc>
          <w:tcPr>
            <w:tcW w:w="990" w:type="dxa"/>
            <w:vMerge/>
            <w:hideMark/>
          </w:tcPr>
          <w:p w14:paraId="41CD23BA" w14:textId="77777777" w:rsidR="00402977" w:rsidRPr="00402977" w:rsidRDefault="00402977" w:rsidP="00402977">
            <w:pPr>
              <w:pStyle w:val="TableText"/>
            </w:pPr>
          </w:p>
        </w:tc>
        <w:tc>
          <w:tcPr>
            <w:tcW w:w="1701" w:type="dxa"/>
            <w:vMerge/>
            <w:hideMark/>
          </w:tcPr>
          <w:p w14:paraId="75E07820" w14:textId="77777777" w:rsidR="00402977" w:rsidRPr="00402977" w:rsidRDefault="00402977" w:rsidP="00402977">
            <w:pPr>
              <w:pStyle w:val="TableText"/>
            </w:pPr>
          </w:p>
        </w:tc>
        <w:tc>
          <w:tcPr>
            <w:tcW w:w="3769" w:type="dxa"/>
            <w:noWrap/>
            <w:hideMark/>
          </w:tcPr>
          <w:p w14:paraId="3F6D507F" w14:textId="77777777" w:rsidR="00402977" w:rsidRPr="00402977" w:rsidRDefault="00402977" w:rsidP="00402977">
            <w:pPr>
              <w:pStyle w:val="TableText"/>
            </w:pPr>
            <w:r w:rsidRPr="00402977">
              <w:t>Personal and family safety</w:t>
            </w:r>
          </w:p>
        </w:tc>
        <w:tc>
          <w:tcPr>
            <w:tcW w:w="1192" w:type="dxa"/>
            <w:noWrap/>
            <w:hideMark/>
          </w:tcPr>
          <w:p w14:paraId="5FB5EF20" w14:textId="77777777" w:rsidR="00402977" w:rsidRPr="00402977" w:rsidRDefault="00402977" w:rsidP="00402977">
            <w:pPr>
              <w:pStyle w:val="TableText"/>
            </w:pPr>
            <w:r w:rsidRPr="00402977">
              <w:t>0.7</w:t>
            </w:r>
          </w:p>
        </w:tc>
        <w:tc>
          <w:tcPr>
            <w:tcW w:w="1537" w:type="dxa"/>
            <w:noWrap/>
            <w:hideMark/>
          </w:tcPr>
          <w:p w14:paraId="61A39A68" w14:textId="77777777" w:rsidR="00402977" w:rsidRPr="00402977" w:rsidRDefault="00402977" w:rsidP="00402977">
            <w:pPr>
              <w:pStyle w:val="TableText"/>
            </w:pPr>
            <w:r w:rsidRPr="00402977">
              <w:t>126464.5</w:t>
            </w:r>
          </w:p>
        </w:tc>
        <w:tc>
          <w:tcPr>
            <w:tcW w:w="1148" w:type="dxa"/>
            <w:noWrap/>
            <w:hideMark/>
          </w:tcPr>
          <w:p w14:paraId="5C676451" w14:textId="09FAFEBD" w:rsidR="00402977" w:rsidRPr="00402977" w:rsidRDefault="00402977" w:rsidP="00402977">
            <w:pPr>
              <w:pStyle w:val="TableText"/>
            </w:pPr>
            <w:r w:rsidRPr="00402977">
              <w:t>1</w:t>
            </w:r>
            <w:r w:rsidR="00C57EA7">
              <w:t>,</w:t>
            </w:r>
            <w:r w:rsidRPr="00402977">
              <w:t>419</w:t>
            </w:r>
          </w:p>
        </w:tc>
        <w:tc>
          <w:tcPr>
            <w:tcW w:w="1148" w:type="dxa"/>
            <w:noWrap/>
            <w:hideMark/>
          </w:tcPr>
          <w:p w14:paraId="05805DC8" w14:textId="77777777" w:rsidR="00402977" w:rsidRPr="00402977" w:rsidRDefault="00402977" w:rsidP="00402977">
            <w:pPr>
              <w:pStyle w:val="TableText"/>
            </w:pPr>
            <w:r w:rsidRPr="00402977">
              <w:t>&lt;.001</w:t>
            </w:r>
          </w:p>
        </w:tc>
        <w:tc>
          <w:tcPr>
            <w:tcW w:w="1473" w:type="dxa"/>
            <w:noWrap/>
            <w:hideMark/>
          </w:tcPr>
          <w:p w14:paraId="289A79C8" w14:textId="77777777" w:rsidR="00402977" w:rsidRPr="00402977" w:rsidRDefault="00402977" w:rsidP="00402977">
            <w:pPr>
              <w:pStyle w:val="TableText"/>
            </w:pPr>
            <w:r w:rsidRPr="00402977">
              <w:t>46.9% (n=665)</w:t>
            </w:r>
          </w:p>
        </w:tc>
      </w:tr>
      <w:tr w:rsidR="00402977" w:rsidRPr="00402977" w14:paraId="0AC30B44" w14:textId="77777777" w:rsidTr="00321BC5">
        <w:trPr>
          <w:trHeight w:val="290"/>
        </w:trPr>
        <w:tc>
          <w:tcPr>
            <w:tcW w:w="990" w:type="dxa"/>
            <w:vMerge/>
            <w:hideMark/>
          </w:tcPr>
          <w:p w14:paraId="030043CB" w14:textId="77777777" w:rsidR="00402977" w:rsidRPr="00402977" w:rsidRDefault="00402977" w:rsidP="00402977">
            <w:pPr>
              <w:pStyle w:val="TableText"/>
            </w:pPr>
          </w:p>
        </w:tc>
        <w:tc>
          <w:tcPr>
            <w:tcW w:w="990" w:type="dxa"/>
            <w:vMerge/>
            <w:hideMark/>
          </w:tcPr>
          <w:p w14:paraId="3C3581D6" w14:textId="77777777" w:rsidR="00402977" w:rsidRPr="00402977" w:rsidRDefault="00402977" w:rsidP="00402977">
            <w:pPr>
              <w:pStyle w:val="TableText"/>
            </w:pPr>
          </w:p>
        </w:tc>
        <w:tc>
          <w:tcPr>
            <w:tcW w:w="1701" w:type="dxa"/>
            <w:vMerge w:val="restart"/>
            <w:hideMark/>
          </w:tcPr>
          <w:p w14:paraId="6BC2C655" w14:textId="77777777" w:rsidR="00402977" w:rsidRPr="00402977" w:rsidRDefault="00402977" w:rsidP="00402977">
            <w:pPr>
              <w:pStyle w:val="TableText"/>
            </w:pPr>
            <w:r w:rsidRPr="00402977">
              <w:t>Goals</w:t>
            </w:r>
          </w:p>
        </w:tc>
        <w:tc>
          <w:tcPr>
            <w:tcW w:w="3769" w:type="dxa"/>
            <w:noWrap/>
            <w:hideMark/>
          </w:tcPr>
          <w:p w14:paraId="2A3FA8AF" w14:textId="77777777" w:rsidR="00402977" w:rsidRPr="00402977" w:rsidRDefault="00402977" w:rsidP="00402977">
            <w:pPr>
              <w:pStyle w:val="TableText"/>
            </w:pPr>
            <w:r w:rsidRPr="00402977">
              <w:t>Changed behaviours</w:t>
            </w:r>
          </w:p>
        </w:tc>
        <w:tc>
          <w:tcPr>
            <w:tcW w:w="1192" w:type="dxa"/>
            <w:noWrap/>
            <w:hideMark/>
          </w:tcPr>
          <w:p w14:paraId="67371A83" w14:textId="77777777" w:rsidR="00402977" w:rsidRPr="00402977" w:rsidRDefault="00402977" w:rsidP="00402977">
            <w:pPr>
              <w:pStyle w:val="TableText"/>
            </w:pPr>
            <w:r w:rsidRPr="00402977">
              <w:t>0.93</w:t>
            </w:r>
          </w:p>
        </w:tc>
        <w:tc>
          <w:tcPr>
            <w:tcW w:w="1537" w:type="dxa"/>
            <w:noWrap/>
            <w:hideMark/>
          </w:tcPr>
          <w:p w14:paraId="480104BB" w14:textId="77777777" w:rsidR="00402977" w:rsidRPr="00402977" w:rsidRDefault="00402977" w:rsidP="00402977">
            <w:pPr>
              <w:pStyle w:val="TableText"/>
            </w:pPr>
            <w:r w:rsidRPr="00402977">
              <w:t>74385</w:t>
            </w:r>
          </w:p>
        </w:tc>
        <w:tc>
          <w:tcPr>
            <w:tcW w:w="1148" w:type="dxa"/>
            <w:noWrap/>
            <w:hideMark/>
          </w:tcPr>
          <w:p w14:paraId="6A1F5E69" w14:textId="059945F4" w:rsidR="00402977" w:rsidRPr="00402977" w:rsidRDefault="00402977" w:rsidP="00402977">
            <w:pPr>
              <w:pStyle w:val="TableText"/>
            </w:pPr>
            <w:r w:rsidRPr="00402977">
              <w:t>1</w:t>
            </w:r>
            <w:r w:rsidR="00C57EA7">
              <w:t>,</w:t>
            </w:r>
            <w:r w:rsidRPr="00402977">
              <w:t>468</w:t>
            </w:r>
          </w:p>
        </w:tc>
        <w:tc>
          <w:tcPr>
            <w:tcW w:w="1148" w:type="dxa"/>
            <w:noWrap/>
            <w:hideMark/>
          </w:tcPr>
          <w:p w14:paraId="5075D23D" w14:textId="77777777" w:rsidR="00402977" w:rsidRPr="00402977" w:rsidRDefault="00402977" w:rsidP="00402977">
            <w:pPr>
              <w:pStyle w:val="TableText"/>
            </w:pPr>
            <w:r w:rsidRPr="00402977">
              <w:t>&lt;.001</w:t>
            </w:r>
          </w:p>
        </w:tc>
        <w:tc>
          <w:tcPr>
            <w:tcW w:w="1473" w:type="dxa"/>
            <w:noWrap/>
            <w:hideMark/>
          </w:tcPr>
          <w:p w14:paraId="530F3DCF" w14:textId="77777777" w:rsidR="00402977" w:rsidRPr="00402977" w:rsidRDefault="00402977" w:rsidP="00402977">
            <w:pPr>
              <w:pStyle w:val="TableText"/>
            </w:pPr>
            <w:r w:rsidRPr="00402977">
              <w:t>59.3% (n=871)</w:t>
            </w:r>
          </w:p>
        </w:tc>
      </w:tr>
      <w:tr w:rsidR="00402977" w:rsidRPr="00402977" w14:paraId="4DB64AE0" w14:textId="77777777" w:rsidTr="00321BC5">
        <w:trPr>
          <w:trHeight w:val="290"/>
        </w:trPr>
        <w:tc>
          <w:tcPr>
            <w:tcW w:w="990" w:type="dxa"/>
            <w:vMerge/>
            <w:hideMark/>
          </w:tcPr>
          <w:p w14:paraId="7793D3BE" w14:textId="77777777" w:rsidR="00402977" w:rsidRPr="00402977" w:rsidRDefault="00402977" w:rsidP="00402977">
            <w:pPr>
              <w:pStyle w:val="TableText"/>
            </w:pPr>
          </w:p>
        </w:tc>
        <w:tc>
          <w:tcPr>
            <w:tcW w:w="990" w:type="dxa"/>
            <w:vMerge/>
            <w:hideMark/>
          </w:tcPr>
          <w:p w14:paraId="7D2F0805" w14:textId="77777777" w:rsidR="00402977" w:rsidRPr="00402977" w:rsidRDefault="00402977" w:rsidP="00402977">
            <w:pPr>
              <w:pStyle w:val="TableText"/>
            </w:pPr>
          </w:p>
        </w:tc>
        <w:tc>
          <w:tcPr>
            <w:tcW w:w="1701" w:type="dxa"/>
            <w:vMerge/>
            <w:hideMark/>
          </w:tcPr>
          <w:p w14:paraId="1053AC85" w14:textId="77777777" w:rsidR="00402977" w:rsidRPr="00402977" w:rsidRDefault="00402977" w:rsidP="00402977">
            <w:pPr>
              <w:pStyle w:val="TableText"/>
            </w:pPr>
          </w:p>
        </w:tc>
        <w:tc>
          <w:tcPr>
            <w:tcW w:w="3769" w:type="dxa"/>
            <w:noWrap/>
            <w:hideMark/>
          </w:tcPr>
          <w:p w14:paraId="750E11CD" w14:textId="77777777" w:rsidR="00402977" w:rsidRPr="00402977" w:rsidRDefault="00402977" w:rsidP="00402977">
            <w:pPr>
              <w:pStyle w:val="TableText"/>
            </w:pPr>
            <w:r w:rsidRPr="00402977">
              <w:t>Changed impact of immediate crisis</w:t>
            </w:r>
          </w:p>
        </w:tc>
        <w:tc>
          <w:tcPr>
            <w:tcW w:w="1192" w:type="dxa"/>
            <w:noWrap/>
            <w:hideMark/>
          </w:tcPr>
          <w:p w14:paraId="37CDDB1C" w14:textId="77777777" w:rsidR="00402977" w:rsidRPr="00402977" w:rsidRDefault="00402977" w:rsidP="00402977">
            <w:pPr>
              <w:pStyle w:val="TableText"/>
            </w:pPr>
            <w:r w:rsidRPr="00402977">
              <w:t>0.94</w:t>
            </w:r>
          </w:p>
        </w:tc>
        <w:tc>
          <w:tcPr>
            <w:tcW w:w="1537" w:type="dxa"/>
            <w:noWrap/>
            <w:hideMark/>
          </w:tcPr>
          <w:p w14:paraId="6F5BA1E7" w14:textId="77777777" w:rsidR="00402977" w:rsidRPr="00402977" w:rsidRDefault="00402977" w:rsidP="00402977">
            <w:pPr>
              <w:pStyle w:val="TableText"/>
            </w:pPr>
            <w:r w:rsidRPr="00402977">
              <w:t>16659.5</w:t>
            </w:r>
          </w:p>
        </w:tc>
        <w:tc>
          <w:tcPr>
            <w:tcW w:w="1148" w:type="dxa"/>
            <w:noWrap/>
            <w:hideMark/>
          </w:tcPr>
          <w:p w14:paraId="295F07DE" w14:textId="77777777" w:rsidR="00402977" w:rsidRPr="00402977" w:rsidRDefault="00402977" w:rsidP="00402977">
            <w:pPr>
              <w:pStyle w:val="TableText"/>
            </w:pPr>
            <w:r w:rsidRPr="00402977">
              <w:t>654</w:t>
            </w:r>
          </w:p>
        </w:tc>
        <w:tc>
          <w:tcPr>
            <w:tcW w:w="1148" w:type="dxa"/>
            <w:noWrap/>
            <w:hideMark/>
          </w:tcPr>
          <w:p w14:paraId="3DBD8752" w14:textId="77777777" w:rsidR="00402977" w:rsidRPr="00402977" w:rsidRDefault="00402977" w:rsidP="00402977">
            <w:pPr>
              <w:pStyle w:val="TableText"/>
            </w:pPr>
            <w:r w:rsidRPr="00402977">
              <w:t>&lt;.001</w:t>
            </w:r>
          </w:p>
        </w:tc>
        <w:tc>
          <w:tcPr>
            <w:tcW w:w="1473" w:type="dxa"/>
            <w:noWrap/>
            <w:hideMark/>
          </w:tcPr>
          <w:p w14:paraId="2AFD2D0E" w14:textId="77777777" w:rsidR="00402977" w:rsidRPr="00402977" w:rsidRDefault="00402977" w:rsidP="00402977">
            <w:pPr>
              <w:pStyle w:val="TableText"/>
            </w:pPr>
            <w:r w:rsidRPr="00402977">
              <w:t>60.4% (n=395)</w:t>
            </w:r>
          </w:p>
        </w:tc>
      </w:tr>
      <w:tr w:rsidR="00402977" w:rsidRPr="00402977" w14:paraId="77BF3B1E" w14:textId="77777777" w:rsidTr="00321BC5">
        <w:trPr>
          <w:trHeight w:val="290"/>
        </w:trPr>
        <w:tc>
          <w:tcPr>
            <w:tcW w:w="990" w:type="dxa"/>
            <w:vMerge/>
            <w:hideMark/>
          </w:tcPr>
          <w:p w14:paraId="65635694" w14:textId="77777777" w:rsidR="00402977" w:rsidRPr="00402977" w:rsidRDefault="00402977" w:rsidP="00402977">
            <w:pPr>
              <w:pStyle w:val="TableText"/>
            </w:pPr>
          </w:p>
        </w:tc>
        <w:tc>
          <w:tcPr>
            <w:tcW w:w="990" w:type="dxa"/>
            <w:vMerge/>
            <w:hideMark/>
          </w:tcPr>
          <w:p w14:paraId="2EFD587D" w14:textId="77777777" w:rsidR="00402977" w:rsidRPr="00402977" w:rsidRDefault="00402977" w:rsidP="00402977">
            <w:pPr>
              <w:pStyle w:val="TableText"/>
            </w:pPr>
          </w:p>
        </w:tc>
        <w:tc>
          <w:tcPr>
            <w:tcW w:w="1701" w:type="dxa"/>
            <w:vMerge/>
            <w:hideMark/>
          </w:tcPr>
          <w:p w14:paraId="48387C64" w14:textId="77777777" w:rsidR="00402977" w:rsidRPr="00402977" w:rsidRDefault="00402977" w:rsidP="00402977">
            <w:pPr>
              <w:pStyle w:val="TableText"/>
            </w:pPr>
          </w:p>
        </w:tc>
        <w:tc>
          <w:tcPr>
            <w:tcW w:w="3769" w:type="dxa"/>
            <w:noWrap/>
            <w:hideMark/>
          </w:tcPr>
          <w:p w14:paraId="3A08DF05" w14:textId="77777777" w:rsidR="00402977" w:rsidRPr="00402977" w:rsidRDefault="00402977" w:rsidP="00402977">
            <w:pPr>
              <w:pStyle w:val="TableText"/>
            </w:pPr>
            <w:r w:rsidRPr="00402977">
              <w:t>Changed knowledge and access to information</w:t>
            </w:r>
          </w:p>
        </w:tc>
        <w:tc>
          <w:tcPr>
            <w:tcW w:w="1192" w:type="dxa"/>
            <w:noWrap/>
            <w:hideMark/>
          </w:tcPr>
          <w:p w14:paraId="0160A2BB" w14:textId="77777777" w:rsidR="00402977" w:rsidRPr="00402977" w:rsidRDefault="00402977" w:rsidP="00402977">
            <w:pPr>
              <w:pStyle w:val="TableText"/>
            </w:pPr>
            <w:r w:rsidRPr="00402977">
              <w:t>1.29</w:t>
            </w:r>
          </w:p>
        </w:tc>
        <w:tc>
          <w:tcPr>
            <w:tcW w:w="1537" w:type="dxa"/>
            <w:noWrap/>
            <w:hideMark/>
          </w:tcPr>
          <w:p w14:paraId="734F803A" w14:textId="77777777" w:rsidR="00402977" w:rsidRPr="00402977" w:rsidRDefault="00402977" w:rsidP="00402977">
            <w:pPr>
              <w:pStyle w:val="TableText"/>
            </w:pPr>
            <w:r w:rsidRPr="00402977">
              <w:t>105644.5</w:t>
            </w:r>
          </w:p>
        </w:tc>
        <w:tc>
          <w:tcPr>
            <w:tcW w:w="1148" w:type="dxa"/>
            <w:noWrap/>
            <w:hideMark/>
          </w:tcPr>
          <w:p w14:paraId="4BF715ED" w14:textId="48133CD7" w:rsidR="00402977" w:rsidRPr="00402977" w:rsidRDefault="00402977" w:rsidP="00402977">
            <w:pPr>
              <w:pStyle w:val="TableText"/>
            </w:pPr>
            <w:r w:rsidRPr="00402977">
              <w:t>2</w:t>
            </w:r>
            <w:r w:rsidR="00C57EA7">
              <w:t>,</w:t>
            </w:r>
            <w:r w:rsidRPr="00402977">
              <w:t>066</w:t>
            </w:r>
          </w:p>
        </w:tc>
        <w:tc>
          <w:tcPr>
            <w:tcW w:w="1148" w:type="dxa"/>
            <w:noWrap/>
            <w:hideMark/>
          </w:tcPr>
          <w:p w14:paraId="6110F6D8" w14:textId="77777777" w:rsidR="00402977" w:rsidRPr="00402977" w:rsidRDefault="00402977" w:rsidP="00402977">
            <w:pPr>
              <w:pStyle w:val="TableText"/>
            </w:pPr>
            <w:r w:rsidRPr="00402977">
              <w:t>&lt;.001</w:t>
            </w:r>
          </w:p>
        </w:tc>
        <w:tc>
          <w:tcPr>
            <w:tcW w:w="1473" w:type="dxa"/>
            <w:noWrap/>
            <w:hideMark/>
          </w:tcPr>
          <w:p w14:paraId="62DA9CD3" w14:textId="32AD480A" w:rsidR="00402977" w:rsidRPr="00402977" w:rsidRDefault="00402977" w:rsidP="00402977">
            <w:pPr>
              <w:pStyle w:val="TableText"/>
            </w:pPr>
            <w:r w:rsidRPr="00402977">
              <w:t>69.8% (n=1</w:t>
            </w:r>
            <w:r w:rsidR="00C57EA7">
              <w:t>,</w:t>
            </w:r>
            <w:r w:rsidRPr="00402977">
              <w:t>442)</w:t>
            </w:r>
          </w:p>
        </w:tc>
      </w:tr>
      <w:tr w:rsidR="00402977" w:rsidRPr="00402977" w14:paraId="301F895F" w14:textId="77777777" w:rsidTr="00321BC5">
        <w:trPr>
          <w:trHeight w:val="290"/>
        </w:trPr>
        <w:tc>
          <w:tcPr>
            <w:tcW w:w="990" w:type="dxa"/>
            <w:vMerge/>
            <w:hideMark/>
          </w:tcPr>
          <w:p w14:paraId="7E4BE063" w14:textId="77777777" w:rsidR="00402977" w:rsidRPr="00402977" w:rsidRDefault="00402977" w:rsidP="00402977">
            <w:pPr>
              <w:pStyle w:val="TableText"/>
            </w:pPr>
          </w:p>
        </w:tc>
        <w:tc>
          <w:tcPr>
            <w:tcW w:w="990" w:type="dxa"/>
            <w:vMerge/>
            <w:hideMark/>
          </w:tcPr>
          <w:p w14:paraId="3FEC24C9" w14:textId="77777777" w:rsidR="00402977" w:rsidRPr="00402977" w:rsidRDefault="00402977" w:rsidP="00402977">
            <w:pPr>
              <w:pStyle w:val="TableText"/>
            </w:pPr>
          </w:p>
        </w:tc>
        <w:tc>
          <w:tcPr>
            <w:tcW w:w="1701" w:type="dxa"/>
            <w:vMerge/>
            <w:hideMark/>
          </w:tcPr>
          <w:p w14:paraId="614BFF5F" w14:textId="77777777" w:rsidR="00402977" w:rsidRPr="00402977" w:rsidRDefault="00402977" w:rsidP="00402977">
            <w:pPr>
              <w:pStyle w:val="TableText"/>
            </w:pPr>
          </w:p>
        </w:tc>
        <w:tc>
          <w:tcPr>
            <w:tcW w:w="3769" w:type="dxa"/>
            <w:noWrap/>
            <w:hideMark/>
          </w:tcPr>
          <w:p w14:paraId="3B90BCDF" w14:textId="77777777" w:rsidR="00402977" w:rsidRPr="00402977" w:rsidRDefault="00402977" w:rsidP="00402977">
            <w:pPr>
              <w:pStyle w:val="TableText"/>
            </w:pPr>
            <w:r w:rsidRPr="00402977">
              <w:t>Changed skills</w:t>
            </w:r>
          </w:p>
        </w:tc>
        <w:tc>
          <w:tcPr>
            <w:tcW w:w="1192" w:type="dxa"/>
            <w:noWrap/>
            <w:hideMark/>
          </w:tcPr>
          <w:p w14:paraId="3AAA9D4A" w14:textId="77777777" w:rsidR="00402977" w:rsidRPr="00402977" w:rsidRDefault="00402977" w:rsidP="00402977">
            <w:pPr>
              <w:pStyle w:val="TableText"/>
            </w:pPr>
            <w:r w:rsidRPr="00402977">
              <w:t>1.01</w:t>
            </w:r>
          </w:p>
        </w:tc>
        <w:tc>
          <w:tcPr>
            <w:tcW w:w="1537" w:type="dxa"/>
            <w:noWrap/>
            <w:hideMark/>
          </w:tcPr>
          <w:p w14:paraId="3E60F766" w14:textId="77777777" w:rsidR="00402977" w:rsidRPr="00402977" w:rsidRDefault="00402977" w:rsidP="00402977">
            <w:pPr>
              <w:pStyle w:val="TableText"/>
            </w:pPr>
            <w:r w:rsidRPr="00402977">
              <w:t>105198.5</w:t>
            </w:r>
          </w:p>
        </w:tc>
        <w:tc>
          <w:tcPr>
            <w:tcW w:w="1148" w:type="dxa"/>
            <w:noWrap/>
            <w:hideMark/>
          </w:tcPr>
          <w:p w14:paraId="28FFE3E4" w14:textId="050BBF15" w:rsidR="00402977" w:rsidRPr="00402977" w:rsidRDefault="00402977" w:rsidP="00402977">
            <w:pPr>
              <w:pStyle w:val="TableText"/>
            </w:pPr>
            <w:r w:rsidRPr="00402977">
              <w:t>1</w:t>
            </w:r>
            <w:r w:rsidR="00C57EA7">
              <w:t>,</w:t>
            </w:r>
            <w:r w:rsidRPr="00402977">
              <w:t>709</w:t>
            </w:r>
          </w:p>
        </w:tc>
        <w:tc>
          <w:tcPr>
            <w:tcW w:w="1148" w:type="dxa"/>
            <w:noWrap/>
            <w:hideMark/>
          </w:tcPr>
          <w:p w14:paraId="7BD66184" w14:textId="77777777" w:rsidR="00402977" w:rsidRPr="00402977" w:rsidRDefault="00402977" w:rsidP="00402977">
            <w:pPr>
              <w:pStyle w:val="TableText"/>
            </w:pPr>
            <w:r w:rsidRPr="00402977">
              <w:t>&lt;.001</w:t>
            </w:r>
          </w:p>
        </w:tc>
        <w:tc>
          <w:tcPr>
            <w:tcW w:w="1473" w:type="dxa"/>
            <w:noWrap/>
            <w:hideMark/>
          </w:tcPr>
          <w:p w14:paraId="6A67EDED" w14:textId="693CCF2E" w:rsidR="00402977" w:rsidRPr="00402977" w:rsidRDefault="00402977" w:rsidP="00402977">
            <w:pPr>
              <w:pStyle w:val="TableText"/>
            </w:pPr>
            <w:r w:rsidRPr="00402977">
              <w:t>62.8% (n=1</w:t>
            </w:r>
            <w:r w:rsidR="00C57EA7">
              <w:t>,</w:t>
            </w:r>
            <w:r w:rsidRPr="00402977">
              <w:t>073)</w:t>
            </w:r>
          </w:p>
        </w:tc>
      </w:tr>
      <w:tr w:rsidR="00402977" w:rsidRPr="00402977" w14:paraId="51486AC9" w14:textId="77777777" w:rsidTr="00321BC5">
        <w:trPr>
          <w:trHeight w:val="290"/>
        </w:trPr>
        <w:tc>
          <w:tcPr>
            <w:tcW w:w="990" w:type="dxa"/>
            <w:vMerge/>
            <w:hideMark/>
          </w:tcPr>
          <w:p w14:paraId="44E5C70C" w14:textId="77777777" w:rsidR="00402977" w:rsidRPr="00402977" w:rsidRDefault="00402977" w:rsidP="00402977">
            <w:pPr>
              <w:pStyle w:val="TableText"/>
            </w:pPr>
          </w:p>
        </w:tc>
        <w:tc>
          <w:tcPr>
            <w:tcW w:w="990" w:type="dxa"/>
            <w:vMerge/>
            <w:hideMark/>
          </w:tcPr>
          <w:p w14:paraId="3E11E06A" w14:textId="77777777" w:rsidR="00402977" w:rsidRPr="00402977" w:rsidRDefault="00402977" w:rsidP="00402977">
            <w:pPr>
              <w:pStyle w:val="TableText"/>
            </w:pPr>
          </w:p>
        </w:tc>
        <w:tc>
          <w:tcPr>
            <w:tcW w:w="1701" w:type="dxa"/>
            <w:vMerge/>
            <w:hideMark/>
          </w:tcPr>
          <w:p w14:paraId="4EDB202B" w14:textId="77777777" w:rsidR="00402977" w:rsidRPr="00402977" w:rsidRDefault="00402977" w:rsidP="00402977">
            <w:pPr>
              <w:pStyle w:val="TableText"/>
            </w:pPr>
          </w:p>
        </w:tc>
        <w:tc>
          <w:tcPr>
            <w:tcW w:w="3769" w:type="dxa"/>
            <w:noWrap/>
            <w:hideMark/>
          </w:tcPr>
          <w:p w14:paraId="476DED68" w14:textId="77777777" w:rsidR="00402977" w:rsidRPr="00402977" w:rsidRDefault="00402977" w:rsidP="00402977">
            <w:pPr>
              <w:pStyle w:val="TableText"/>
            </w:pPr>
            <w:r w:rsidRPr="57F92EFB">
              <w:rPr>
                <w:lang w:val="en-NZ"/>
              </w:rPr>
              <w:t>Empowerment, choice and control to make own decisions</w:t>
            </w:r>
          </w:p>
        </w:tc>
        <w:tc>
          <w:tcPr>
            <w:tcW w:w="1192" w:type="dxa"/>
            <w:noWrap/>
            <w:hideMark/>
          </w:tcPr>
          <w:p w14:paraId="5F399C2D" w14:textId="77777777" w:rsidR="00402977" w:rsidRPr="00402977" w:rsidRDefault="00402977" w:rsidP="00402977">
            <w:pPr>
              <w:pStyle w:val="TableText"/>
            </w:pPr>
            <w:r w:rsidRPr="00402977">
              <w:t>0.88</w:t>
            </w:r>
          </w:p>
        </w:tc>
        <w:tc>
          <w:tcPr>
            <w:tcW w:w="1537" w:type="dxa"/>
            <w:noWrap/>
            <w:hideMark/>
          </w:tcPr>
          <w:p w14:paraId="40294BAE" w14:textId="77777777" w:rsidR="00402977" w:rsidRPr="00402977" w:rsidRDefault="00402977" w:rsidP="00402977">
            <w:pPr>
              <w:pStyle w:val="TableText"/>
            </w:pPr>
            <w:r w:rsidRPr="00402977">
              <w:t>67197.5</w:t>
            </w:r>
          </w:p>
        </w:tc>
        <w:tc>
          <w:tcPr>
            <w:tcW w:w="1148" w:type="dxa"/>
            <w:noWrap/>
            <w:hideMark/>
          </w:tcPr>
          <w:p w14:paraId="0B492A2E" w14:textId="4DB18F53" w:rsidR="00402977" w:rsidRPr="00402977" w:rsidRDefault="00402977" w:rsidP="00402977">
            <w:pPr>
              <w:pStyle w:val="TableText"/>
            </w:pPr>
            <w:r w:rsidRPr="00402977">
              <w:t>1</w:t>
            </w:r>
            <w:r w:rsidR="00C57EA7">
              <w:t>,</w:t>
            </w:r>
            <w:r w:rsidRPr="00402977">
              <w:t>310</w:t>
            </w:r>
          </w:p>
        </w:tc>
        <w:tc>
          <w:tcPr>
            <w:tcW w:w="1148" w:type="dxa"/>
            <w:noWrap/>
            <w:hideMark/>
          </w:tcPr>
          <w:p w14:paraId="10E3E3A1" w14:textId="77777777" w:rsidR="00402977" w:rsidRPr="00402977" w:rsidRDefault="00402977" w:rsidP="00402977">
            <w:pPr>
              <w:pStyle w:val="TableText"/>
            </w:pPr>
            <w:r w:rsidRPr="00402977">
              <w:t>&lt;.001</w:t>
            </w:r>
          </w:p>
        </w:tc>
        <w:tc>
          <w:tcPr>
            <w:tcW w:w="1473" w:type="dxa"/>
            <w:noWrap/>
            <w:hideMark/>
          </w:tcPr>
          <w:p w14:paraId="11A064D1" w14:textId="77777777" w:rsidR="00402977" w:rsidRPr="00402977" w:rsidRDefault="00402977" w:rsidP="00402977">
            <w:pPr>
              <w:pStyle w:val="TableText"/>
            </w:pPr>
            <w:r w:rsidRPr="00402977">
              <w:t>60.0% (n=786)</w:t>
            </w:r>
          </w:p>
        </w:tc>
      </w:tr>
      <w:tr w:rsidR="00402977" w:rsidRPr="00402977" w14:paraId="538CF12D" w14:textId="77777777" w:rsidTr="00321BC5">
        <w:trPr>
          <w:trHeight w:val="290"/>
        </w:trPr>
        <w:tc>
          <w:tcPr>
            <w:tcW w:w="990" w:type="dxa"/>
            <w:vMerge/>
            <w:hideMark/>
          </w:tcPr>
          <w:p w14:paraId="62357816" w14:textId="77777777" w:rsidR="00402977" w:rsidRPr="00402977" w:rsidRDefault="00402977" w:rsidP="00402977">
            <w:pPr>
              <w:pStyle w:val="TableText"/>
            </w:pPr>
          </w:p>
        </w:tc>
        <w:tc>
          <w:tcPr>
            <w:tcW w:w="990" w:type="dxa"/>
            <w:vMerge/>
            <w:hideMark/>
          </w:tcPr>
          <w:p w14:paraId="384CC061" w14:textId="77777777" w:rsidR="00402977" w:rsidRPr="00402977" w:rsidRDefault="00402977" w:rsidP="00402977">
            <w:pPr>
              <w:pStyle w:val="TableText"/>
            </w:pPr>
          </w:p>
        </w:tc>
        <w:tc>
          <w:tcPr>
            <w:tcW w:w="1701" w:type="dxa"/>
            <w:vMerge/>
            <w:hideMark/>
          </w:tcPr>
          <w:p w14:paraId="737D21A7" w14:textId="77777777" w:rsidR="00402977" w:rsidRPr="00402977" w:rsidRDefault="00402977" w:rsidP="00402977">
            <w:pPr>
              <w:pStyle w:val="TableText"/>
            </w:pPr>
          </w:p>
        </w:tc>
        <w:tc>
          <w:tcPr>
            <w:tcW w:w="3769" w:type="dxa"/>
            <w:noWrap/>
            <w:hideMark/>
          </w:tcPr>
          <w:p w14:paraId="2280EA66" w14:textId="77777777" w:rsidR="00402977" w:rsidRPr="00402977" w:rsidRDefault="00402977" w:rsidP="00402977">
            <w:pPr>
              <w:pStyle w:val="TableText"/>
            </w:pPr>
            <w:r w:rsidRPr="00402977">
              <w:t>Engagement with relevant support services</w:t>
            </w:r>
          </w:p>
        </w:tc>
        <w:tc>
          <w:tcPr>
            <w:tcW w:w="1192" w:type="dxa"/>
            <w:noWrap/>
            <w:hideMark/>
          </w:tcPr>
          <w:p w14:paraId="46ACFFBB" w14:textId="77777777" w:rsidR="00402977" w:rsidRPr="00402977" w:rsidRDefault="00402977" w:rsidP="00402977">
            <w:pPr>
              <w:pStyle w:val="TableText"/>
            </w:pPr>
            <w:r w:rsidRPr="00402977">
              <w:t>0.92</w:t>
            </w:r>
          </w:p>
        </w:tc>
        <w:tc>
          <w:tcPr>
            <w:tcW w:w="1537" w:type="dxa"/>
            <w:noWrap/>
            <w:hideMark/>
          </w:tcPr>
          <w:p w14:paraId="75DB7702" w14:textId="77777777" w:rsidR="00402977" w:rsidRPr="00402977" w:rsidRDefault="00402977" w:rsidP="00402977">
            <w:pPr>
              <w:pStyle w:val="TableText"/>
            </w:pPr>
            <w:r w:rsidRPr="00402977">
              <w:t>43551.5</w:t>
            </w:r>
          </w:p>
        </w:tc>
        <w:tc>
          <w:tcPr>
            <w:tcW w:w="1148" w:type="dxa"/>
            <w:noWrap/>
            <w:hideMark/>
          </w:tcPr>
          <w:p w14:paraId="7F716BE7" w14:textId="77777777" w:rsidR="00402977" w:rsidRPr="00402977" w:rsidRDefault="00402977" w:rsidP="00402977">
            <w:pPr>
              <w:pStyle w:val="TableText"/>
            </w:pPr>
            <w:r w:rsidRPr="00402977">
              <w:t>971</w:t>
            </w:r>
          </w:p>
        </w:tc>
        <w:tc>
          <w:tcPr>
            <w:tcW w:w="1148" w:type="dxa"/>
            <w:noWrap/>
            <w:hideMark/>
          </w:tcPr>
          <w:p w14:paraId="3D457793" w14:textId="77777777" w:rsidR="00402977" w:rsidRPr="00402977" w:rsidRDefault="00402977" w:rsidP="00402977">
            <w:pPr>
              <w:pStyle w:val="TableText"/>
            </w:pPr>
            <w:r w:rsidRPr="00402977">
              <w:t>&lt;.001</w:t>
            </w:r>
          </w:p>
        </w:tc>
        <w:tc>
          <w:tcPr>
            <w:tcW w:w="1473" w:type="dxa"/>
            <w:noWrap/>
            <w:hideMark/>
          </w:tcPr>
          <w:p w14:paraId="2D092995" w14:textId="77777777" w:rsidR="00402977" w:rsidRPr="00402977" w:rsidRDefault="00402977" w:rsidP="00402977">
            <w:pPr>
              <w:pStyle w:val="TableText"/>
            </w:pPr>
            <w:r w:rsidRPr="00402977">
              <w:t>58.6% (n=569)</w:t>
            </w:r>
          </w:p>
        </w:tc>
      </w:tr>
    </w:tbl>
    <w:p w14:paraId="523DAF95" w14:textId="404A737A" w:rsidR="00E87B25" w:rsidRPr="009B0855" w:rsidRDefault="00DD5451" w:rsidP="009B0855">
      <w:pPr>
        <w:pStyle w:val="TableFigure-Notes"/>
      </w:pPr>
      <w:r>
        <w:rPr>
          <w:i/>
          <w:sz w:val="20"/>
          <w:lang w:val="en-AU"/>
        </w:rPr>
        <w:t xml:space="preserve">Source: DEX-SCORE data </w:t>
      </w:r>
    </w:p>
    <w:p w14:paraId="2A25DB2F" w14:textId="77777777" w:rsidR="00BE3916" w:rsidRDefault="00BE3916" w:rsidP="007611DA">
      <w:pPr>
        <w:pStyle w:val="TableFigure-Header"/>
        <w:rPr>
          <w:lang w:val="en-NZ"/>
        </w:rPr>
      </w:pPr>
    </w:p>
    <w:p w14:paraId="0D886DBE" w14:textId="77777777" w:rsidR="00BE3916" w:rsidRDefault="00BE3916" w:rsidP="007611DA">
      <w:pPr>
        <w:pStyle w:val="TableFigure-Header"/>
        <w:rPr>
          <w:lang w:val="en-NZ"/>
        </w:rPr>
      </w:pPr>
    </w:p>
    <w:p w14:paraId="44894AC3" w14:textId="77777777" w:rsidR="00BE3916" w:rsidRDefault="00BE3916" w:rsidP="007611DA">
      <w:pPr>
        <w:pStyle w:val="TableFigure-Header"/>
        <w:rPr>
          <w:lang w:val="en-NZ"/>
        </w:rPr>
      </w:pPr>
    </w:p>
    <w:p w14:paraId="4F2AC1FE" w14:textId="77777777" w:rsidR="00402977" w:rsidRDefault="00402977" w:rsidP="007611DA">
      <w:pPr>
        <w:pStyle w:val="TableFigure-Header"/>
      </w:pPr>
    </w:p>
    <w:p w14:paraId="69D40248" w14:textId="77777777" w:rsidR="00402977" w:rsidRDefault="00402977" w:rsidP="007611DA">
      <w:pPr>
        <w:pStyle w:val="TableFigure-Header"/>
      </w:pPr>
    </w:p>
    <w:p w14:paraId="309F5A1F" w14:textId="77777777" w:rsidR="00402977" w:rsidRDefault="00402977" w:rsidP="007611DA">
      <w:pPr>
        <w:pStyle w:val="TableFigure-Header"/>
      </w:pPr>
    </w:p>
    <w:p w14:paraId="1DC0D552" w14:textId="77777777" w:rsidR="00402977" w:rsidRDefault="00402977" w:rsidP="007611DA">
      <w:pPr>
        <w:pStyle w:val="TableFigure-Header"/>
      </w:pPr>
    </w:p>
    <w:p w14:paraId="4E4DF6AA" w14:textId="77777777" w:rsidR="00402977" w:rsidRDefault="00402977" w:rsidP="007611DA">
      <w:pPr>
        <w:pStyle w:val="TableFigure-Header"/>
      </w:pPr>
    </w:p>
    <w:p w14:paraId="782E64CB" w14:textId="77777777" w:rsidR="00402977" w:rsidRDefault="00402977" w:rsidP="007611DA">
      <w:pPr>
        <w:pStyle w:val="TableFigure-Header"/>
      </w:pPr>
    </w:p>
    <w:p w14:paraId="67AE20C2" w14:textId="77777777" w:rsidR="00402977" w:rsidRDefault="00402977" w:rsidP="007611DA">
      <w:pPr>
        <w:pStyle w:val="TableFigure-Header"/>
      </w:pPr>
    </w:p>
    <w:p w14:paraId="39F53744" w14:textId="77777777" w:rsidR="00402977" w:rsidRDefault="00402977" w:rsidP="007611DA">
      <w:pPr>
        <w:pStyle w:val="TableFigure-Header"/>
      </w:pPr>
    </w:p>
    <w:p w14:paraId="39BBE284" w14:textId="77777777" w:rsidR="00BE3916" w:rsidRDefault="00BE3916" w:rsidP="007611DA">
      <w:pPr>
        <w:pStyle w:val="TableFigure-Header"/>
        <w:rPr>
          <w:lang w:val="en-NZ"/>
        </w:rPr>
      </w:pPr>
    </w:p>
    <w:p w14:paraId="17636639" w14:textId="77777777" w:rsidR="00BE3916" w:rsidRDefault="00BE3916" w:rsidP="007611DA">
      <w:pPr>
        <w:pStyle w:val="TableFigure-Header"/>
        <w:rPr>
          <w:lang w:val="en-NZ"/>
        </w:rPr>
      </w:pPr>
    </w:p>
    <w:p w14:paraId="76DFD45E" w14:textId="210817E9" w:rsidR="00066FF4" w:rsidRPr="00811E31" w:rsidRDefault="005212D5" w:rsidP="00321BC5">
      <w:pPr>
        <w:pStyle w:val="TableFigure-Header"/>
        <w:rPr>
          <w:szCs w:val="21"/>
        </w:rPr>
      </w:pPr>
      <w:r w:rsidRPr="00811E31">
        <w:rPr>
          <w:rStyle w:val="Text-Bold"/>
          <w:b/>
          <w:szCs w:val="21"/>
          <w:lang w:val="en-NZ"/>
        </w:rPr>
        <w:lastRenderedPageBreak/>
        <w:t xml:space="preserve">Table </w:t>
      </w:r>
      <w:r w:rsidR="00811EAA" w:rsidRPr="00811E31">
        <w:rPr>
          <w:rStyle w:val="Text-Bold"/>
          <w:b/>
          <w:szCs w:val="21"/>
        </w:rPr>
        <w:fldChar w:fldCharType="begin"/>
      </w:r>
      <w:r w:rsidR="00811EAA" w:rsidRPr="00811E31">
        <w:rPr>
          <w:szCs w:val="21"/>
        </w:rPr>
        <w:instrText xml:space="preserve"> SEQ Table \* ARABIC </w:instrText>
      </w:r>
      <w:r w:rsidR="00811EAA" w:rsidRPr="00811E31">
        <w:rPr>
          <w:rStyle w:val="Text-Bold"/>
          <w:b/>
          <w:szCs w:val="21"/>
        </w:rPr>
        <w:fldChar w:fldCharType="separate"/>
      </w:r>
      <w:r w:rsidR="008D2566">
        <w:rPr>
          <w:noProof/>
          <w:szCs w:val="21"/>
        </w:rPr>
        <w:t>58</w:t>
      </w:r>
      <w:r w:rsidR="00811EAA" w:rsidRPr="00811E31">
        <w:rPr>
          <w:rStyle w:val="Text-Bold"/>
          <w:b/>
          <w:szCs w:val="21"/>
        </w:rPr>
        <w:fldChar w:fldCharType="end"/>
      </w:r>
      <w:r w:rsidRPr="00811E31">
        <w:rPr>
          <w:rStyle w:val="Text-Bold"/>
          <w:b/>
          <w:szCs w:val="21"/>
          <w:lang w:val="en-NZ"/>
        </w:rPr>
        <w:t>:</w:t>
      </w:r>
      <w:bookmarkEnd w:id="601"/>
      <w:r w:rsidR="007611DA" w:rsidRPr="00811E31">
        <w:rPr>
          <w:rStyle w:val="Text-Bold"/>
          <w:b/>
          <w:szCs w:val="21"/>
          <w:lang w:val="en-NZ"/>
        </w:rPr>
        <w:t xml:space="preserve"> Mean earliest-to-latest SCORE change (within-subjects) by CALD status, SFVS </w:t>
      </w:r>
      <w:r w:rsidR="00E614D3" w:rsidRPr="00811E31">
        <w:rPr>
          <w:rStyle w:val="Text-Bold"/>
          <w:b/>
          <w:szCs w:val="21"/>
          <w:lang w:val="en-NZ"/>
        </w:rPr>
        <w:t>service users</w:t>
      </w:r>
      <w:r w:rsidR="00811E31">
        <w:rPr>
          <w:rStyle w:val="Text-Bold"/>
          <w:b/>
          <w:szCs w:val="21"/>
          <w:lang w:val="en-NZ"/>
        </w:rPr>
        <w:t xml:space="preserve">, </w:t>
      </w:r>
      <w:r w:rsidR="00811E31" w:rsidRPr="00811E31">
        <w:rPr>
          <w:rStyle w:val="Text-Bold"/>
          <w:b/>
          <w:szCs w:val="21"/>
          <w:lang w:val="en-NZ"/>
        </w:rPr>
        <w:t>July 2021 to June 2024</w:t>
      </w:r>
    </w:p>
    <w:tbl>
      <w:tblPr>
        <w:tblStyle w:val="ListTable3-Accent3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5"/>
        <w:gridCol w:w="905"/>
        <w:gridCol w:w="1659"/>
        <w:gridCol w:w="3977"/>
        <w:gridCol w:w="1395"/>
        <w:gridCol w:w="1304"/>
        <w:gridCol w:w="1136"/>
        <w:gridCol w:w="1136"/>
        <w:gridCol w:w="1457"/>
      </w:tblGrid>
      <w:tr w:rsidR="00C57EA7" w:rsidRPr="007A1075" w14:paraId="139F0D61" w14:textId="77777777" w:rsidTr="00321BC5">
        <w:trPr>
          <w:cnfStyle w:val="100000000000" w:firstRow="1" w:lastRow="0" w:firstColumn="0" w:lastColumn="0" w:oddVBand="0" w:evenVBand="0" w:oddHBand="0" w:evenHBand="0" w:firstRowFirstColumn="0" w:firstRowLastColumn="0" w:lastRowFirstColumn="0" w:lastRowLastColumn="0"/>
          <w:trHeight w:val="870"/>
        </w:trPr>
        <w:tc>
          <w:tcPr>
            <w:cnfStyle w:val="001000000100" w:firstRow="0" w:lastRow="0" w:firstColumn="1" w:lastColumn="0" w:oddVBand="0" w:evenVBand="0" w:oddHBand="0" w:evenHBand="0" w:firstRowFirstColumn="1" w:firstRowLastColumn="0" w:lastRowFirstColumn="0" w:lastRowLastColumn="0"/>
            <w:tcW w:w="961" w:type="dxa"/>
            <w:hideMark/>
          </w:tcPr>
          <w:p w14:paraId="776912C7" w14:textId="77777777" w:rsidR="00C57EA7" w:rsidRPr="007A1075" w:rsidRDefault="00C57EA7" w:rsidP="00321BC5">
            <w:pPr>
              <w:pStyle w:val="TableText"/>
              <w:rPr>
                <w:bCs w:val="0"/>
              </w:rPr>
            </w:pPr>
            <w:r w:rsidRPr="007A1075">
              <w:t>Activity</w:t>
            </w:r>
          </w:p>
        </w:tc>
        <w:tc>
          <w:tcPr>
            <w:tcW w:w="892" w:type="dxa"/>
            <w:hideMark/>
          </w:tcPr>
          <w:p w14:paraId="15025C33" w14:textId="77777777" w:rsidR="00C57EA7" w:rsidRPr="007A1075" w:rsidRDefault="00C57EA7" w:rsidP="00321BC5">
            <w:pPr>
              <w:pStyle w:val="TableText"/>
              <w:cnfStyle w:val="100000000000" w:firstRow="1" w:lastRow="0" w:firstColumn="0" w:lastColumn="0" w:oddVBand="0" w:evenVBand="0" w:oddHBand="0" w:evenHBand="0" w:firstRowFirstColumn="0" w:firstRowLastColumn="0" w:lastRowFirstColumn="0" w:lastRowLastColumn="0"/>
              <w:rPr>
                <w:bCs w:val="0"/>
              </w:rPr>
            </w:pPr>
            <w:r w:rsidRPr="007A1075">
              <w:t>Cohort</w:t>
            </w:r>
          </w:p>
        </w:tc>
        <w:tc>
          <w:tcPr>
            <w:tcW w:w="1686" w:type="dxa"/>
            <w:hideMark/>
          </w:tcPr>
          <w:p w14:paraId="1697C667" w14:textId="77777777" w:rsidR="00C57EA7" w:rsidRPr="007A1075" w:rsidRDefault="00C57EA7" w:rsidP="00321BC5">
            <w:pPr>
              <w:pStyle w:val="TableText"/>
              <w:cnfStyle w:val="100000000000" w:firstRow="1" w:lastRow="0" w:firstColumn="0" w:lastColumn="0" w:oddVBand="0" w:evenVBand="0" w:oddHBand="0" w:evenHBand="0" w:firstRowFirstColumn="0" w:firstRowLastColumn="0" w:lastRowFirstColumn="0" w:lastRowLastColumn="0"/>
              <w:rPr>
                <w:bCs w:val="0"/>
              </w:rPr>
            </w:pPr>
            <w:r w:rsidRPr="007A1075">
              <w:t>Outcome type</w:t>
            </w:r>
          </w:p>
        </w:tc>
        <w:tc>
          <w:tcPr>
            <w:tcW w:w="3977" w:type="dxa"/>
            <w:noWrap/>
            <w:hideMark/>
          </w:tcPr>
          <w:p w14:paraId="57A327E5" w14:textId="77777777" w:rsidR="00C57EA7" w:rsidRPr="007A1075" w:rsidRDefault="00C57EA7" w:rsidP="00321BC5">
            <w:pPr>
              <w:pStyle w:val="TableText"/>
              <w:cnfStyle w:val="100000000000" w:firstRow="1" w:lastRow="0" w:firstColumn="0" w:lastColumn="0" w:oddVBand="0" w:evenVBand="0" w:oddHBand="0" w:evenHBand="0" w:firstRowFirstColumn="0" w:firstRowLastColumn="0" w:lastRowFirstColumn="0" w:lastRowLastColumn="0"/>
              <w:rPr>
                <w:bCs w:val="0"/>
              </w:rPr>
            </w:pPr>
            <w:r w:rsidRPr="007A1075">
              <w:t>Domain</w:t>
            </w:r>
          </w:p>
        </w:tc>
        <w:tc>
          <w:tcPr>
            <w:tcW w:w="1395" w:type="dxa"/>
            <w:hideMark/>
          </w:tcPr>
          <w:p w14:paraId="293E6B29" w14:textId="77777777" w:rsidR="00C57EA7" w:rsidRPr="007A1075" w:rsidRDefault="00C57EA7" w:rsidP="00321BC5">
            <w:pPr>
              <w:pStyle w:val="TableText"/>
              <w:cnfStyle w:val="100000000000" w:firstRow="1" w:lastRow="0" w:firstColumn="0" w:lastColumn="0" w:oddVBand="0" w:evenVBand="0" w:oddHBand="0" w:evenHBand="0" w:firstRowFirstColumn="0" w:firstRowLastColumn="0" w:lastRowFirstColumn="0" w:lastRowLastColumn="0"/>
              <w:rPr>
                <w:bCs w:val="0"/>
              </w:rPr>
            </w:pPr>
            <w:r w:rsidRPr="007A1075">
              <w:t>SCORE change (mean)</w:t>
            </w:r>
          </w:p>
        </w:tc>
        <w:tc>
          <w:tcPr>
            <w:tcW w:w="1304" w:type="dxa"/>
            <w:noWrap/>
            <w:hideMark/>
          </w:tcPr>
          <w:p w14:paraId="5AA1DE1B" w14:textId="77777777" w:rsidR="00C57EA7" w:rsidRPr="007A1075" w:rsidRDefault="00C57EA7" w:rsidP="00321BC5">
            <w:pPr>
              <w:pStyle w:val="TableText"/>
              <w:cnfStyle w:val="100000000000" w:firstRow="1" w:lastRow="0" w:firstColumn="0" w:lastColumn="0" w:oddVBand="0" w:evenVBand="0" w:oddHBand="0" w:evenHBand="0" w:firstRowFirstColumn="0" w:firstRowLastColumn="0" w:lastRowFirstColumn="0" w:lastRowLastColumn="0"/>
              <w:rPr>
                <w:bCs w:val="0"/>
              </w:rPr>
            </w:pPr>
            <w:r w:rsidRPr="007A1075">
              <w:t>Wilcoxon</w:t>
            </w:r>
          </w:p>
        </w:tc>
        <w:tc>
          <w:tcPr>
            <w:tcW w:w="1136" w:type="dxa"/>
            <w:noWrap/>
            <w:hideMark/>
          </w:tcPr>
          <w:p w14:paraId="0ED2A653" w14:textId="77777777" w:rsidR="00C57EA7" w:rsidRPr="007A1075" w:rsidRDefault="00C57EA7" w:rsidP="00321BC5">
            <w:pPr>
              <w:pStyle w:val="TableText"/>
              <w:cnfStyle w:val="100000000000" w:firstRow="1" w:lastRow="0" w:firstColumn="0" w:lastColumn="0" w:oddVBand="0" w:evenVBand="0" w:oddHBand="0" w:evenHBand="0" w:firstRowFirstColumn="0" w:firstRowLastColumn="0" w:lastRowFirstColumn="0" w:lastRowLastColumn="0"/>
              <w:rPr>
                <w:bCs w:val="0"/>
              </w:rPr>
            </w:pPr>
            <w:r w:rsidRPr="007A1075">
              <w:t>n</w:t>
            </w:r>
          </w:p>
        </w:tc>
        <w:tc>
          <w:tcPr>
            <w:tcW w:w="1136" w:type="dxa"/>
            <w:noWrap/>
            <w:hideMark/>
          </w:tcPr>
          <w:p w14:paraId="424382F0" w14:textId="77777777" w:rsidR="00C57EA7" w:rsidRPr="007A1075" w:rsidRDefault="00C57EA7" w:rsidP="00321BC5">
            <w:pPr>
              <w:pStyle w:val="TableText"/>
              <w:cnfStyle w:val="100000000000" w:firstRow="1" w:lastRow="0" w:firstColumn="0" w:lastColumn="0" w:oddVBand="0" w:evenVBand="0" w:oddHBand="0" w:evenHBand="0" w:firstRowFirstColumn="0" w:firstRowLastColumn="0" w:lastRowFirstColumn="0" w:lastRowLastColumn="0"/>
              <w:rPr>
                <w:bCs w:val="0"/>
              </w:rPr>
            </w:pPr>
            <w:r w:rsidRPr="007A1075">
              <w:t>p</w:t>
            </w:r>
          </w:p>
        </w:tc>
        <w:tc>
          <w:tcPr>
            <w:tcW w:w="1457" w:type="dxa"/>
            <w:hideMark/>
          </w:tcPr>
          <w:p w14:paraId="33030149" w14:textId="4732D122" w:rsidR="00C57EA7" w:rsidRPr="007A1075" w:rsidRDefault="00C57EA7" w:rsidP="00321BC5">
            <w:pPr>
              <w:pStyle w:val="TableText"/>
              <w:cnfStyle w:val="100000000000" w:firstRow="1" w:lastRow="0" w:firstColumn="0" w:lastColumn="0" w:oddVBand="0" w:evenVBand="0" w:oddHBand="0" w:evenHBand="0" w:firstRowFirstColumn="0" w:firstRowLastColumn="0" w:lastRowFirstColumn="0" w:lastRowLastColumn="0"/>
              <w:rPr>
                <w:bCs w:val="0"/>
              </w:rPr>
            </w:pPr>
            <w:r>
              <w:t xml:space="preserve">Service users </w:t>
            </w:r>
            <w:r w:rsidRPr="007A1075">
              <w:t>with positive change (%, n)</w:t>
            </w:r>
          </w:p>
        </w:tc>
      </w:tr>
      <w:tr w:rsidR="00C57EA7" w:rsidRPr="007A1075" w14:paraId="459DAEFD" w14:textId="77777777" w:rsidTr="00C57EA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61" w:type="dxa"/>
            <w:vMerge w:val="restart"/>
            <w:hideMark/>
          </w:tcPr>
          <w:p w14:paraId="7FD39A95" w14:textId="5E80F4F4" w:rsidR="00C57EA7" w:rsidRPr="001E5502" w:rsidRDefault="00C57EA7" w:rsidP="00321BC5">
            <w:pPr>
              <w:pStyle w:val="TableText"/>
              <w:rPr>
                <w:b w:val="0"/>
              </w:rPr>
            </w:pPr>
            <w:r w:rsidRPr="00811E31">
              <w:rPr>
                <w:b w:val="0"/>
                <w:bCs w:val="0"/>
              </w:rPr>
              <w:t>SFVS (incl. 4AP</w:t>
            </w:r>
            <w:r w:rsidR="00E91A9D" w:rsidRPr="00811E31">
              <w:rPr>
                <w:b w:val="0"/>
                <w:bCs w:val="0"/>
              </w:rPr>
              <w:t>2</w:t>
            </w:r>
            <w:r w:rsidRPr="00811E31">
              <w:rPr>
                <w:b w:val="0"/>
                <w:bCs w:val="0"/>
              </w:rPr>
              <w:t>)</w:t>
            </w:r>
          </w:p>
        </w:tc>
        <w:tc>
          <w:tcPr>
            <w:tcW w:w="892" w:type="dxa"/>
            <w:vMerge w:val="restart"/>
            <w:hideMark/>
          </w:tcPr>
          <w:p w14:paraId="73DE3060" w14:textId="77777777" w:rsidR="00C57EA7" w:rsidRPr="00321BC5" w:rsidRDefault="00C57EA7" w:rsidP="00321BC5">
            <w:pPr>
              <w:pStyle w:val="TableText"/>
              <w:cnfStyle w:val="000000100000" w:firstRow="0" w:lastRow="0" w:firstColumn="0" w:lastColumn="0" w:oddVBand="0" w:evenVBand="0" w:oddHBand="1" w:evenHBand="0" w:firstRowFirstColumn="0" w:firstRowLastColumn="0" w:lastRowFirstColumn="0" w:lastRowLastColumn="0"/>
            </w:pPr>
            <w:r w:rsidRPr="00321BC5">
              <w:t>Non-CALD</w:t>
            </w:r>
          </w:p>
        </w:tc>
        <w:tc>
          <w:tcPr>
            <w:tcW w:w="1686" w:type="dxa"/>
            <w:vMerge w:val="restart"/>
            <w:hideMark/>
          </w:tcPr>
          <w:p w14:paraId="2DF2C298" w14:textId="77777777" w:rsidR="00C57EA7" w:rsidRPr="00321BC5" w:rsidRDefault="00C57EA7" w:rsidP="00321BC5">
            <w:pPr>
              <w:pStyle w:val="TableText"/>
              <w:cnfStyle w:val="000000100000" w:firstRow="0" w:lastRow="0" w:firstColumn="0" w:lastColumn="0" w:oddVBand="0" w:evenVBand="0" w:oddHBand="1" w:evenHBand="0" w:firstRowFirstColumn="0" w:firstRowLastColumn="0" w:lastRowFirstColumn="0" w:lastRowLastColumn="0"/>
            </w:pPr>
            <w:r w:rsidRPr="00321BC5">
              <w:t>Circumstances</w:t>
            </w:r>
          </w:p>
        </w:tc>
        <w:tc>
          <w:tcPr>
            <w:tcW w:w="3977" w:type="dxa"/>
            <w:noWrap/>
            <w:hideMark/>
          </w:tcPr>
          <w:p w14:paraId="55201477" w14:textId="77777777" w:rsidR="00C57EA7" w:rsidRPr="00321BC5" w:rsidRDefault="00C57EA7" w:rsidP="00321BC5">
            <w:pPr>
              <w:pStyle w:val="TableText"/>
              <w:cnfStyle w:val="000000100000" w:firstRow="0" w:lastRow="0" w:firstColumn="0" w:lastColumn="0" w:oddVBand="0" w:evenVBand="0" w:oddHBand="1" w:evenHBand="0" w:firstRowFirstColumn="0" w:firstRowLastColumn="0" w:lastRowFirstColumn="0" w:lastRowLastColumn="0"/>
            </w:pPr>
            <w:r w:rsidRPr="00321BC5">
              <w:t>Family functioning</w:t>
            </w:r>
          </w:p>
        </w:tc>
        <w:tc>
          <w:tcPr>
            <w:tcW w:w="1395" w:type="dxa"/>
            <w:noWrap/>
            <w:hideMark/>
          </w:tcPr>
          <w:p w14:paraId="4ABDEB80" w14:textId="77777777" w:rsidR="00C57EA7" w:rsidRPr="007A1075" w:rsidRDefault="00C57EA7" w:rsidP="00321BC5">
            <w:pPr>
              <w:pStyle w:val="TableText"/>
              <w:cnfStyle w:val="000000100000" w:firstRow="0" w:lastRow="0" w:firstColumn="0" w:lastColumn="0" w:oddVBand="0" w:evenVBand="0" w:oddHBand="1" w:evenHBand="0" w:firstRowFirstColumn="0" w:firstRowLastColumn="0" w:lastRowFirstColumn="0" w:lastRowLastColumn="0"/>
            </w:pPr>
            <w:r w:rsidRPr="007A1075">
              <w:t>0.78</w:t>
            </w:r>
          </w:p>
        </w:tc>
        <w:tc>
          <w:tcPr>
            <w:tcW w:w="1304" w:type="dxa"/>
            <w:noWrap/>
            <w:hideMark/>
          </w:tcPr>
          <w:p w14:paraId="73007845" w14:textId="77777777" w:rsidR="00C57EA7" w:rsidRPr="007A1075" w:rsidRDefault="00C57EA7" w:rsidP="00321BC5">
            <w:pPr>
              <w:pStyle w:val="TableText"/>
              <w:cnfStyle w:val="000000100000" w:firstRow="0" w:lastRow="0" w:firstColumn="0" w:lastColumn="0" w:oddVBand="0" w:evenVBand="0" w:oddHBand="1" w:evenHBand="0" w:firstRowFirstColumn="0" w:firstRowLastColumn="0" w:lastRowFirstColumn="0" w:lastRowLastColumn="0"/>
            </w:pPr>
            <w:r w:rsidRPr="007A1075">
              <w:t>380785</w:t>
            </w:r>
          </w:p>
        </w:tc>
        <w:tc>
          <w:tcPr>
            <w:tcW w:w="1136" w:type="dxa"/>
            <w:noWrap/>
            <w:hideMark/>
          </w:tcPr>
          <w:p w14:paraId="7412E90C" w14:textId="64812E20" w:rsidR="00C57EA7" w:rsidRPr="007A1075" w:rsidRDefault="00C57EA7" w:rsidP="00321BC5">
            <w:pPr>
              <w:pStyle w:val="TableText"/>
              <w:cnfStyle w:val="000000100000" w:firstRow="0" w:lastRow="0" w:firstColumn="0" w:lastColumn="0" w:oddVBand="0" w:evenVBand="0" w:oddHBand="1" w:evenHBand="0" w:firstRowFirstColumn="0" w:firstRowLastColumn="0" w:lastRowFirstColumn="0" w:lastRowLastColumn="0"/>
            </w:pPr>
            <w:r w:rsidRPr="007A1075">
              <w:t>2</w:t>
            </w:r>
            <w:r>
              <w:t>,</w:t>
            </w:r>
            <w:r w:rsidRPr="007A1075">
              <w:t>784</w:t>
            </w:r>
          </w:p>
        </w:tc>
        <w:tc>
          <w:tcPr>
            <w:tcW w:w="1136" w:type="dxa"/>
            <w:noWrap/>
            <w:hideMark/>
          </w:tcPr>
          <w:p w14:paraId="1483667A" w14:textId="77777777" w:rsidR="00C57EA7" w:rsidRPr="007A1075" w:rsidRDefault="00C57EA7" w:rsidP="00321BC5">
            <w:pPr>
              <w:pStyle w:val="TableText"/>
              <w:cnfStyle w:val="000000100000" w:firstRow="0" w:lastRow="0" w:firstColumn="0" w:lastColumn="0" w:oddVBand="0" w:evenVBand="0" w:oddHBand="1" w:evenHBand="0" w:firstRowFirstColumn="0" w:firstRowLastColumn="0" w:lastRowFirstColumn="0" w:lastRowLastColumn="0"/>
            </w:pPr>
            <w:r w:rsidRPr="007A1075">
              <w:t>&lt;.001</w:t>
            </w:r>
          </w:p>
        </w:tc>
        <w:tc>
          <w:tcPr>
            <w:tcW w:w="1457" w:type="dxa"/>
            <w:noWrap/>
            <w:hideMark/>
          </w:tcPr>
          <w:p w14:paraId="0FFF0634" w14:textId="58D4755D" w:rsidR="00C57EA7" w:rsidRPr="007A1075" w:rsidRDefault="00C57EA7" w:rsidP="00321BC5">
            <w:pPr>
              <w:pStyle w:val="TableText"/>
              <w:cnfStyle w:val="000000100000" w:firstRow="0" w:lastRow="0" w:firstColumn="0" w:lastColumn="0" w:oddVBand="0" w:evenVBand="0" w:oddHBand="1" w:evenHBand="0" w:firstRowFirstColumn="0" w:firstRowLastColumn="0" w:lastRowFirstColumn="0" w:lastRowLastColumn="0"/>
            </w:pPr>
            <w:r w:rsidRPr="007A1075">
              <w:t>53.6% (n=1</w:t>
            </w:r>
            <w:r>
              <w:t>,</w:t>
            </w:r>
            <w:r w:rsidRPr="007A1075">
              <w:t>492)</w:t>
            </w:r>
          </w:p>
        </w:tc>
      </w:tr>
      <w:tr w:rsidR="00C57EA7" w:rsidRPr="007A1075" w14:paraId="7AC1629A" w14:textId="77777777" w:rsidTr="00C57EA7">
        <w:trPr>
          <w:trHeight w:val="290"/>
        </w:trPr>
        <w:tc>
          <w:tcPr>
            <w:cnfStyle w:val="001000000000" w:firstRow="0" w:lastRow="0" w:firstColumn="1" w:lastColumn="0" w:oddVBand="0" w:evenVBand="0" w:oddHBand="0" w:evenHBand="0" w:firstRowFirstColumn="0" w:firstRowLastColumn="0" w:lastRowFirstColumn="0" w:lastRowLastColumn="0"/>
            <w:tcW w:w="961" w:type="dxa"/>
            <w:vMerge/>
            <w:hideMark/>
          </w:tcPr>
          <w:p w14:paraId="4D4EFF4B" w14:textId="77777777" w:rsidR="00C57EA7" w:rsidRPr="00C57EA7" w:rsidRDefault="00C57EA7" w:rsidP="00321BC5">
            <w:pPr>
              <w:pStyle w:val="TableText"/>
            </w:pPr>
          </w:p>
        </w:tc>
        <w:tc>
          <w:tcPr>
            <w:tcW w:w="892" w:type="dxa"/>
            <w:vMerge/>
            <w:hideMark/>
          </w:tcPr>
          <w:p w14:paraId="6AA4C2D9" w14:textId="77777777" w:rsidR="00C57EA7" w:rsidRPr="00321BC5" w:rsidRDefault="00C57EA7" w:rsidP="00321BC5">
            <w:pPr>
              <w:pStyle w:val="TableText"/>
              <w:cnfStyle w:val="000000000000" w:firstRow="0" w:lastRow="0" w:firstColumn="0" w:lastColumn="0" w:oddVBand="0" w:evenVBand="0" w:oddHBand="0" w:evenHBand="0" w:firstRowFirstColumn="0" w:firstRowLastColumn="0" w:lastRowFirstColumn="0" w:lastRowLastColumn="0"/>
            </w:pPr>
          </w:p>
        </w:tc>
        <w:tc>
          <w:tcPr>
            <w:tcW w:w="1686" w:type="dxa"/>
            <w:vMerge/>
            <w:hideMark/>
          </w:tcPr>
          <w:p w14:paraId="4DD40088" w14:textId="77777777" w:rsidR="00C57EA7" w:rsidRPr="00321BC5" w:rsidRDefault="00C57EA7" w:rsidP="00321BC5">
            <w:pPr>
              <w:pStyle w:val="TableText"/>
              <w:cnfStyle w:val="000000000000" w:firstRow="0" w:lastRow="0" w:firstColumn="0" w:lastColumn="0" w:oddVBand="0" w:evenVBand="0" w:oddHBand="0" w:evenHBand="0" w:firstRowFirstColumn="0" w:firstRowLastColumn="0" w:lastRowFirstColumn="0" w:lastRowLastColumn="0"/>
            </w:pPr>
          </w:p>
        </w:tc>
        <w:tc>
          <w:tcPr>
            <w:tcW w:w="3977" w:type="dxa"/>
            <w:noWrap/>
            <w:hideMark/>
          </w:tcPr>
          <w:p w14:paraId="59254B5B" w14:textId="77777777" w:rsidR="00C57EA7" w:rsidRPr="00321BC5" w:rsidRDefault="00C57EA7" w:rsidP="00321BC5">
            <w:pPr>
              <w:pStyle w:val="TableText"/>
              <w:cnfStyle w:val="000000000000" w:firstRow="0" w:lastRow="0" w:firstColumn="0" w:lastColumn="0" w:oddVBand="0" w:evenVBand="0" w:oddHBand="0" w:evenHBand="0" w:firstRowFirstColumn="0" w:firstRowLastColumn="0" w:lastRowFirstColumn="0" w:lastRowLastColumn="0"/>
            </w:pPr>
            <w:r w:rsidRPr="00321BC5">
              <w:rPr>
                <w:lang w:val="en-NZ"/>
              </w:rPr>
              <w:t>Mental health, wellbeing and self-care</w:t>
            </w:r>
          </w:p>
        </w:tc>
        <w:tc>
          <w:tcPr>
            <w:tcW w:w="1395" w:type="dxa"/>
            <w:noWrap/>
            <w:hideMark/>
          </w:tcPr>
          <w:p w14:paraId="06C8B5C2" w14:textId="77777777" w:rsidR="00C57EA7" w:rsidRPr="007A1075" w:rsidRDefault="00C57EA7" w:rsidP="00321BC5">
            <w:pPr>
              <w:pStyle w:val="TableText"/>
              <w:cnfStyle w:val="000000000000" w:firstRow="0" w:lastRow="0" w:firstColumn="0" w:lastColumn="0" w:oddVBand="0" w:evenVBand="0" w:oddHBand="0" w:evenHBand="0" w:firstRowFirstColumn="0" w:firstRowLastColumn="0" w:lastRowFirstColumn="0" w:lastRowLastColumn="0"/>
            </w:pPr>
            <w:r w:rsidRPr="007A1075">
              <w:t>0.84</w:t>
            </w:r>
          </w:p>
        </w:tc>
        <w:tc>
          <w:tcPr>
            <w:tcW w:w="1304" w:type="dxa"/>
            <w:noWrap/>
            <w:hideMark/>
          </w:tcPr>
          <w:p w14:paraId="5CF182D4" w14:textId="77777777" w:rsidR="00C57EA7" w:rsidRPr="007A1075" w:rsidRDefault="00C57EA7" w:rsidP="00321BC5">
            <w:pPr>
              <w:pStyle w:val="TableText"/>
              <w:cnfStyle w:val="000000000000" w:firstRow="0" w:lastRow="0" w:firstColumn="0" w:lastColumn="0" w:oddVBand="0" w:evenVBand="0" w:oddHBand="0" w:evenHBand="0" w:firstRowFirstColumn="0" w:firstRowLastColumn="0" w:lastRowFirstColumn="0" w:lastRowLastColumn="0"/>
            </w:pPr>
            <w:r w:rsidRPr="007A1075">
              <w:t>353681</w:t>
            </w:r>
          </w:p>
        </w:tc>
        <w:tc>
          <w:tcPr>
            <w:tcW w:w="1136" w:type="dxa"/>
            <w:noWrap/>
            <w:hideMark/>
          </w:tcPr>
          <w:p w14:paraId="3834F76D" w14:textId="227A0888" w:rsidR="00C57EA7" w:rsidRPr="007A1075" w:rsidRDefault="00C57EA7" w:rsidP="00321BC5">
            <w:pPr>
              <w:pStyle w:val="TableText"/>
              <w:cnfStyle w:val="000000000000" w:firstRow="0" w:lastRow="0" w:firstColumn="0" w:lastColumn="0" w:oddVBand="0" w:evenVBand="0" w:oddHBand="0" w:evenHBand="0" w:firstRowFirstColumn="0" w:firstRowLastColumn="0" w:lastRowFirstColumn="0" w:lastRowLastColumn="0"/>
            </w:pPr>
            <w:r w:rsidRPr="007A1075">
              <w:t>2</w:t>
            </w:r>
            <w:r>
              <w:t>,</w:t>
            </w:r>
            <w:r w:rsidRPr="007A1075">
              <w:t>873</w:t>
            </w:r>
          </w:p>
        </w:tc>
        <w:tc>
          <w:tcPr>
            <w:tcW w:w="1136" w:type="dxa"/>
            <w:noWrap/>
            <w:hideMark/>
          </w:tcPr>
          <w:p w14:paraId="6304E677" w14:textId="77777777" w:rsidR="00C57EA7" w:rsidRPr="007A1075" w:rsidRDefault="00C57EA7" w:rsidP="00321BC5">
            <w:pPr>
              <w:pStyle w:val="TableText"/>
              <w:cnfStyle w:val="000000000000" w:firstRow="0" w:lastRow="0" w:firstColumn="0" w:lastColumn="0" w:oddVBand="0" w:evenVBand="0" w:oddHBand="0" w:evenHBand="0" w:firstRowFirstColumn="0" w:firstRowLastColumn="0" w:lastRowFirstColumn="0" w:lastRowLastColumn="0"/>
            </w:pPr>
            <w:r w:rsidRPr="007A1075">
              <w:t>&lt;.001</w:t>
            </w:r>
          </w:p>
        </w:tc>
        <w:tc>
          <w:tcPr>
            <w:tcW w:w="1457" w:type="dxa"/>
            <w:noWrap/>
            <w:hideMark/>
          </w:tcPr>
          <w:p w14:paraId="4E0A4337" w14:textId="16F0BACF" w:rsidR="00C57EA7" w:rsidRPr="007A1075" w:rsidRDefault="00C57EA7" w:rsidP="00321BC5">
            <w:pPr>
              <w:pStyle w:val="TableText"/>
              <w:cnfStyle w:val="000000000000" w:firstRow="0" w:lastRow="0" w:firstColumn="0" w:lastColumn="0" w:oddVBand="0" w:evenVBand="0" w:oddHBand="0" w:evenHBand="0" w:firstRowFirstColumn="0" w:firstRowLastColumn="0" w:lastRowFirstColumn="0" w:lastRowLastColumn="0"/>
            </w:pPr>
            <w:r w:rsidRPr="007A1075">
              <w:t>55.0% (n=1</w:t>
            </w:r>
            <w:r>
              <w:t>,</w:t>
            </w:r>
            <w:r w:rsidRPr="007A1075">
              <w:t>579)</w:t>
            </w:r>
          </w:p>
        </w:tc>
      </w:tr>
      <w:tr w:rsidR="00C57EA7" w:rsidRPr="007A1075" w14:paraId="27EC91AD" w14:textId="77777777" w:rsidTr="00C57EA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61" w:type="dxa"/>
            <w:vMerge/>
            <w:hideMark/>
          </w:tcPr>
          <w:p w14:paraId="67F0B50A" w14:textId="77777777" w:rsidR="00C57EA7" w:rsidRPr="00C57EA7" w:rsidRDefault="00C57EA7" w:rsidP="00321BC5">
            <w:pPr>
              <w:pStyle w:val="TableText"/>
            </w:pPr>
          </w:p>
        </w:tc>
        <w:tc>
          <w:tcPr>
            <w:tcW w:w="892" w:type="dxa"/>
            <w:vMerge/>
            <w:hideMark/>
          </w:tcPr>
          <w:p w14:paraId="185E2DA8" w14:textId="77777777" w:rsidR="00C57EA7" w:rsidRPr="00321BC5" w:rsidRDefault="00C57EA7" w:rsidP="00321BC5">
            <w:pPr>
              <w:pStyle w:val="TableText"/>
              <w:cnfStyle w:val="000000100000" w:firstRow="0" w:lastRow="0" w:firstColumn="0" w:lastColumn="0" w:oddVBand="0" w:evenVBand="0" w:oddHBand="1" w:evenHBand="0" w:firstRowFirstColumn="0" w:firstRowLastColumn="0" w:lastRowFirstColumn="0" w:lastRowLastColumn="0"/>
            </w:pPr>
          </w:p>
        </w:tc>
        <w:tc>
          <w:tcPr>
            <w:tcW w:w="1686" w:type="dxa"/>
            <w:vMerge/>
            <w:hideMark/>
          </w:tcPr>
          <w:p w14:paraId="700A4485" w14:textId="77777777" w:rsidR="00C57EA7" w:rsidRPr="00321BC5" w:rsidRDefault="00C57EA7" w:rsidP="00321BC5">
            <w:pPr>
              <w:pStyle w:val="TableText"/>
              <w:cnfStyle w:val="000000100000" w:firstRow="0" w:lastRow="0" w:firstColumn="0" w:lastColumn="0" w:oddVBand="0" w:evenVBand="0" w:oddHBand="1" w:evenHBand="0" w:firstRowFirstColumn="0" w:firstRowLastColumn="0" w:lastRowFirstColumn="0" w:lastRowLastColumn="0"/>
            </w:pPr>
          </w:p>
        </w:tc>
        <w:tc>
          <w:tcPr>
            <w:tcW w:w="3977" w:type="dxa"/>
            <w:noWrap/>
            <w:hideMark/>
          </w:tcPr>
          <w:p w14:paraId="54F38EE3" w14:textId="77777777" w:rsidR="00C57EA7" w:rsidRPr="00321BC5" w:rsidRDefault="00C57EA7" w:rsidP="00321BC5">
            <w:pPr>
              <w:pStyle w:val="TableText"/>
              <w:cnfStyle w:val="000000100000" w:firstRow="0" w:lastRow="0" w:firstColumn="0" w:lastColumn="0" w:oddVBand="0" w:evenVBand="0" w:oddHBand="1" w:evenHBand="0" w:firstRowFirstColumn="0" w:firstRowLastColumn="0" w:lastRowFirstColumn="0" w:lastRowLastColumn="0"/>
            </w:pPr>
            <w:r w:rsidRPr="00321BC5">
              <w:t>Personal and family safety</w:t>
            </w:r>
          </w:p>
        </w:tc>
        <w:tc>
          <w:tcPr>
            <w:tcW w:w="1395" w:type="dxa"/>
            <w:noWrap/>
            <w:hideMark/>
          </w:tcPr>
          <w:p w14:paraId="1EBD7BF3" w14:textId="77777777" w:rsidR="00C57EA7" w:rsidRPr="007A1075" w:rsidRDefault="00C57EA7" w:rsidP="00321BC5">
            <w:pPr>
              <w:pStyle w:val="TableText"/>
              <w:cnfStyle w:val="000000100000" w:firstRow="0" w:lastRow="0" w:firstColumn="0" w:lastColumn="0" w:oddVBand="0" w:evenVBand="0" w:oddHBand="1" w:evenHBand="0" w:firstRowFirstColumn="0" w:firstRowLastColumn="0" w:lastRowFirstColumn="0" w:lastRowLastColumn="0"/>
            </w:pPr>
            <w:r w:rsidRPr="007A1075">
              <w:t>0.93</w:t>
            </w:r>
          </w:p>
        </w:tc>
        <w:tc>
          <w:tcPr>
            <w:tcW w:w="1304" w:type="dxa"/>
            <w:noWrap/>
            <w:hideMark/>
          </w:tcPr>
          <w:p w14:paraId="6648D8D1" w14:textId="77777777" w:rsidR="00C57EA7" w:rsidRPr="007A1075" w:rsidRDefault="00C57EA7" w:rsidP="00321BC5">
            <w:pPr>
              <w:pStyle w:val="TableText"/>
              <w:cnfStyle w:val="000000100000" w:firstRow="0" w:lastRow="0" w:firstColumn="0" w:lastColumn="0" w:oddVBand="0" w:evenVBand="0" w:oddHBand="1" w:evenHBand="0" w:firstRowFirstColumn="0" w:firstRowLastColumn="0" w:lastRowFirstColumn="0" w:lastRowLastColumn="0"/>
            </w:pPr>
            <w:r w:rsidRPr="007A1075">
              <w:t>501206.5</w:t>
            </w:r>
          </w:p>
        </w:tc>
        <w:tc>
          <w:tcPr>
            <w:tcW w:w="1136" w:type="dxa"/>
            <w:noWrap/>
            <w:hideMark/>
          </w:tcPr>
          <w:p w14:paraId="13B2A4F7" w14:textId="451500FB" w:rsidR="00C57EA7" w:rsidRPr="007A1075" w:rsidRDefault="00C57EA7" w:rsidP="00321BC5">
            <w:pPr>
              <w:pStyle w:val="TableText"/>
              <w:cnfStyle w:val="000000100000" w:firstRow="0" w:lastRow="0" w:firstColumn="0" w:lastColumn="0" w:oddVBand="0" w:evenVBand="0" w:oddHBand="1" w:evenHBand="0" w:firstRowFirstColumn="0" w:firstRowLastColumn="0" w:lastRowFirstColumn="0" w:lastRowLastColumn="0"/>
            </w:pPr>
            <w:r w:rsidRPr="007A1075">
              <w:t>3</w:t>
            </w:r>
            <w:r>
              <w:t>,</w:t>
            </w:r>
            <w:r w:rsidRPr="007A1075">
              <w:t>556</w:t>
            </w:r>
          </w:p>
        </w:tc>
        <w:tc>
          <w:tcPr>
            <w:tcW w:w="1136" w:type="dxa"/>
            <w:noWrap/>
            <w:hideMark/>
          </w:tcPr>
          <w:p w14:paraId="476F65CE" w14:textId="77777777" w:rsidR="00C57EA7" w:rsidRPr="007A1075" w:rsidRDefault="00C57EA7" w:rsidP="00321BC5">
            <w:pPr>
              <w:pStyle w:val="TableText"/>
              <w:cnfStyle w:val="000000100000" w:firstRow="0" w:lastRow="0" w:firstColumn="0" w:lastColumn="0" w:oddVBand="0" w:evenVBand="0" w:oddHBand="1" w:evenHBand="0" w:firstRowFirstColumn="0" w:firstRowLastColumn="0" w:lastRowFirstColumn="0" w:lastRowLastColumn="0"/>
            </w:pPr>
            <w:r w:rsidRPr="007A1075">
              <w:t>&lt;.001</w:t>
            </w:r>
          </w:p>
        </w:tc>
        <w:tc>
          <w:tcPr>
            <w:tcW w:w="1457" w:type="dxa"/>
            <w:noWrap/>
            <w:hideMark/>
          </w:tcPr>
          <w:p w14:paraId="17A17405" w14:textId="6D7AAE4C" w:rsidR="00C57EA7" w:rsidRPr="007A1075" w:rsidRDefault="00C57EA7" w:rsidP="00321BC5">
            <w:pPr>
              <w:pStyle w:val="TableText"/>
              <w:cnfStyle w:val="000000100000" w:firstRow="0" w:lastRow="0" w:firstColumn="0" w:lastColumn="0" w:oddVBand="0" w:evenVBand="0" w:oddHBand="1" w:evenHBand="0" w:firstRowFirstColumn="0" w:firstRowLastColumn="0" w:lastRowFirstColumn="0" w:lastRowLastColumn="0"/>
            </w:pPr>
            <w:r w:rsidRPr="007A1075">
              <w:t>56.8% (n=2</w:t>
            </w:r>
            <w:r>
              <w:t>,</w:t>
            </w:r>
            <w:r w:rsidRPr="007A1075">
              <w:t>019)</w:t>
            </w:r>
          </w:p>
        </w:tc>
      </w:tr>
      <w:tr w:rsidR="00C57EA7" w:rsidRPr="007A1075" w14:paraId="45C67623" w14:textId="77777777" w:rsidTr="00C57EA7">
        <w:trPr>
          <w:trHeight w:val="290"/>
        </w:trPr>
        <w:tc>
          <w:tcPr>
            <w:cnfStyle w:val="001000000000" w:firstRow="0" w:lastRow="0" w:firstColumn="1" w:lastColumn="0" w:oddVBand="0" w:evenVBand="0" w:oddHBand="0" w:evenHBand="0" w:firstRowFirstColumn="0" w:firstRowLastColumn="0" w:lastRowFirstColumn="0" w:lastRowLastColumn="0"/>
            <w:tcW w:w="961" w:type="dxa"/>
            <w:vMerge/>
            <w:hideMark/>
          </w:tcPr>
          <w:p w14:paraId="399D539E" w14:textId="77777777" w:rsidR="00C57EA7" w:rsidRPr="00C57EA7" w:rsidRDefault="00C57EA7" w:rsidP="00321BC5">
            <w:pPr>
              <w:pStyle w:val="TableText"/>
            </w:pPr>
          </w:p>
        </w:tc>
        <w:tc>
          <w:tcPr>
            <w:tcW w:w="892" w:type="dxa"/>
            <w:vMerge/>
            <w:hideMark/>
          </w:tcPr>
          <w:p w14:paraId="639DAFF5" w14:textId="77777777" w:rsidR="00C57EA7" w:rsidRPr="00321BC5" w:rsidRDefault="00C57EA7" w:rsidP="00321BC5">
            <w:pPr>
              <w:pStyle w:val="TableText"/>
              <w:cnfStyle w:val="000000000000" w:firstRow="0" w:lastRow="0" w:firstColumn="0" w:lastColumn="0" w:oddVBand="0" w:evenVBand="0" w:oddHBand="0" w:evenHBand="0" w:firstRowFirstColumn="0" w:firstRowLastColumn="0" w:lastRowFirstColumn="0" w:lastRowLastColumn="0"/>
            </w:pPr>
          </w:p>
        </w:tc>
        <w:tc>
          <w:tcPr>
            <w:tcW w:w="1686" w:type="dxa"/>
            <w:vMerge w:val="restart"/>
            <w:hideMark/>
          </w:tcPr>
          <w:p w14:paraId="337448DC" w14:textId="77777777" w:rsidR="00C57EA7" w:rsidRPr="00321BC5" w:rsidRDefault="00C57EA7" w:rsidP="00321BC5">
            <w:pPr>
              <w:pStyle w:val="TableText"/>
              <w:cnfStyle w:val="000000000000" w:firstRow="0" w:lastRow="0" w:firstColumn="0" w:lastColumn="0" w:oddVBand="0" w:evenVBand="0" w:oddHBand="0" w:evenHBand="0" w:firstRowFirstColumn="0" w:firstRowLastColumn="0" w:lastRowFirstColumn="0" w:lastRowLastColumn="0"/>
            </w:pPr>
            <w:r w:rsidRPr="00321BC5">
              <w:t>Goals</w:t>
            </w:r>
          </w:p>
        </w:tc>
        <w:tc>
          <w:tcPr>
            <w:tcW w:w="3977" w:type="dxa"/>
            <w:noWrap/>
            <w:hideMark/>
          </w:tcPr>
          <w:p w14:paraId="0F1BE742" w14:textId="77777777" w:rsidR="00C57EA7" w:rsidRPr="00321BC5" w:rsidRDefault="00C57EA7" w:rsidP="00321BC5">
            <w:pPr>
              <w:pStyle w:val="TableText"/>
              <w:cnfStyle w:val="000000000000" w:firstRow="0" w:lastRow="0" w:firstColumn="0" w:lastColumn="0" w:oddVBand="0" w:evenVBand="0" w:oddHBand="0" w:evenHBand="0" w:firstRowFirstColumn="0" w:firstRowLastColumn="0" w:lastRowFirstColumn="0" w:lastRowLastColumn="0"/>
            </w:pPr>
            <w:r w:rsidRPr="00321BC5">
              <w:t>Changed behaviours</w:t>
            </w:r>
          </w:p>
        </w:tc>
        <w:tc>
          <w:tcPr>
            <w:tcW w:w="1395" w:type="dxa"/>
            <w:noWrap/>
            <w:hideMark/>
          </w:tcPr>
          <w:p w14:paraId="3C837F75" w14:textId="77777777" w:rsidR="00C57EA7" w:rsidRPr="007A1075" w:rsidRDefault="00C57EA7" w:rsidP="00321BC5">
            <w:pPr>
              <w:pStyle w:val="TableText"/>
              <w:cnfStyle w:val="000000000000" w:firstRow="0" w:lastRow="0" w:firstColumn="0" w:lastColumn="0" w:oddVBand="0" w:evenVBand="0" w:oddHBand="0" w:evenHBand="0" w:firstRowFirstColumn="0" w:firstRowLastColumn="0" w:lastRowFirstColumn="0" w:lastRowLastColumn="0"/>
            </w:pPr>
            <w:r w:rsidRPr="007A1075">
              <w:t>0.9</w:t>
            </w:r>
          </w:p>
        </w:tc>
        <w:tc>
          <w:tcPr>
            <w:tcW w:w="1304" w:type="dxa"/>
            <w:noWrap/>
            <w:hideMark/>
          </w:tcPr>
          <w:p w14:paraId="1BBD72FD" w14:textId="77777777" w:rsidR="00C57EA7" w:rsidRPr="007A1075" w:rsidRDefault="00C57EA7" w:rsidP="00321BC5">
            <w:pPr>
              <w:pStyle w:val="TableText"/>
              <w:cnfStyle w:val="000000000000" w:firstRow="0" w:lastRow="0" w:firstColumn="0" w:lastColumn="0" w:oddVBand="0" w:evenVBand="0" w:oddHBand="0" w:evenHBand="0" w:firstRowFirstColumn="0" w:firstRowLastColumn="0" w:lastRowFirstColumn="0" w:lastRowLastColumn="0"/>
            </w:pPr>
            <w:r w:rsidRPr="007A1075">
              <w:t>200479.5</w:t>
            </w:r>
          </w:p>
        </w:tc>
        <w:tc>
          <w:tcPr>
            <w:tcW w:w="1136" w:type="dxa"/>
            <w:noWrap/>
            <w:hideMark/>
          </w:tcPr>
          <w:p w14:paraId="4DF11253" w14:textId="2DF1BC3E" w:rsidR="00C57EA7" w:rsidRPr="007A1075" w:rsidRDefault="00C57EA7" w:rsidP="00321BC5">
            <w:pPr>
              <w:pStyle w:val="TableText"/>
              <w:cnfStyle w:val="000000000000" w:firstRow="0" w:lastRow="0" w:firstColumn="0" w:lastColumn="0" w:oddVBand="0" w:evenVBand="0" w:oddHBand="0" w:evenHBand="0" w:firstRowFirstColumn="0" w:firstRowLastColumn="0" w:lastRowFirstColumn="0" w:lastRowLastColumn="0"/>
            </w:pPr>
            <w:r w:rsidRPr="007A1075">
              <w:t>2</w:t>
            </w:r>
            <w:r>
              <w:t>,</w:t>
            </w:r>
            <w:r w:rsidRPr="007A1075">
              <w:t>140</w:t>
            </w:r>
          </w:p>
        </w:tc>
        <w:tc>
          <w:tcPr>
            <w:tcW w:w="1136" w:type="dxa"/>
            <w:noWrap/>
            <w:hideMark/>
          </w:tcPr>
          <w:p w14:paraId="3458DFC2" w14:textId="77777777" w:rsidR="00C57EA7" w:rsidRPr="007A1075" w:rsidRDefault="00C57EA7" w:rsidP="00321BC5">
            <w:pPr>
              <w:pStyle w:val="TableText"/>
              <w:cnfStyle w:val="000000000000" w:firstRow="0" w:lastRow="0" w:firstColumn="0" w:lastColumn="0" w:oddVBand="0" w:evenVBand="0" w:oddHBand="0" w:evenHBand="0" w:firstRowFirstColumn="0" w:firstRowLastColumn="0" w:lastRowFirstColumn="0" w:lastRowLastColumn="0"/>
            </w:pPr>
            <w:r w:rsidRPr="007A1075">
              <w:t>&lt;.001</w:t>
            </w:r>
          </w:p>
        </w:tc>
        <w:tc>
          <w:tcPr>
            <w:tcW w:w="1457" w:type="dxa"/>
            <w:noWrap/>
            <w:hideMark/>
          </w:tcPr>
          <w:p w14:paraId="508CD4A4" w14:textId="3C72B340" w:rsidR="00C57EA7" w:rsidRPr="007A1075" w:rsidRDefault="00C57EA7" w:rsidP="00321BC5">
            <w:pPr>
              <w:pStyle w:val="TableText"/>
              <w:cnfStyle w:val="000000000000" w:firstRow="0" w:lastRow="0" w:firstColumn="0" w:lastColumn="0" w:oddVBand="0" w:evenVBand="0" w:oddHBand="0" w:evenHBand="0" w:firstRowFirstColumn="0" w:firstRowLastColumn="0" w:lastRowFirstColumn="0" w:lastRowLastColumn="0"/>
            </w:pPr>
            <w:r w:rsidRPr="007A1075">
              <w:t>57.1% (n=1</w:t>
            </w:r>
            <w:r>
              <w:t>,</w:t>
            </w:r>
            <w:r w:rsidRPr="007A1075">
              <w:t>221)</w:t>
            </w:r>
          </w:p>
        </w:tc>
      </w:tr>
      <w:tr w:rsidR="00C57EA7" w:rsidRPr="007A1075" w14:paraId="5B31B700" w14:textId="77777777" w:rsidTr="00C57EA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61" w:type="dxa"/>
            <w:vMerge/>
            <w:hideMark/>
          </w:tcPr>
          <w:p w14:paraId="69AEFF65" w14:textId="77777777" w:rsidR="00C57EA7" w:rsidRPr="00C57EA7" w:rsidRDefault="00C57EA7" w:rsidP="00321BC5">
            <w:pPr>
              <w:pStyle w:val="TableText"/>
            </w:pPr>
          </w:p>
        </w:tc>
        <w:tc>
          <w:tcPr>
            <w:tcW w:w="892" w:type="dxa"/>
            <w:vMerge/>
            <w:hideMark/>
          </w:tcPr>
          <w:p w14:paraId="7988A7FE" w14:textId="77777777" w:rsidR="00C57EA7" w:rsidRPr="00321BC5" w:rsidRDefault="00C57EA7" w:rsidP="00321BC5">
            <w:pPr>
              <w:pStyle w:val="TableText"/>
              <w:cnfStyle w:val="000000100000" w:firstRow="0" w:lastRow="0" w:firstColumn="0" w:lastColumn="0" w:oddVBand="0" w:evenVBand="0" w:oddHBand="1" w:evenHBand="0" w:firstRowFirstColumn="0" w:firstRowLastColumn="0" w:lastRowFirstColumn="0" w:lastRowLastColumn="0"/>
            </w:pPr>
          </w:p>
        </w:tc>
        <w:tc>
          <w:tcPr>
            <w:tcW w:w="1686" w:type="dxa"/>
            <w:vMerge/>
            <w:hideMark/>
          </w:tcPr>
          <w:p w14:paraId="0AA1C778" w14:textId="77777777" w:rsidR="00C57EA7" w:rsidRPr="00321BC5" w:rsidRDefault="00C57EA7" w:rsidP="00321BC5">
            <w:pPr>
              <w:pStyle w:val="TableText"/>
              <w:cnfStyle w:val="000000100000" w:firstRow="0" w:lastRow="0" w:firstColumn="0" w:lastColumn="0" w:oddVBand="0" w:evenVBand="0" w:oddHBand="1" w:evenHBand="0" w:firstRowFirstColumn="0" w:firstRowLastColumn="0" w:lastRowFirstColumn="0" w:lastRowLastColumn="0"/>
            </w:pPr>
          </w:p>
        </w:tc>
        <w:tc>
          <w:tcPr>
            <w:tcW w:w="3977" w:type="dxa"/>
            <w:noWrap/>
            <w:hideMark/>
          </w:tcPr>
          <w:p w14:paraId="7B6DF45F" w14:textId="77777777" w:rsidR="00C57EA7" w:rsidRPr="00321BC5" w:rsidRDefault="00C57EA7" w:rsidP="00321BC5">
            <w:pPr>
              <w:pStyle w:val="TableText"/>
              <w:cnfStyle w:val="000000100000" w:firstRow="0" w:lastRow="0" w:firstColumn="0" w:lastColumn="0" w:oddVBand="0" w:evenVBand="0" w:oddHBand="1" w:evenHBand="0" w:firstRowFirstColumn="0" w:firstRowLastColumn="0" w:lastRowFirstColumn="0" w:lastRowLastColumn="0"/>
            </w:pPr>
            <w:r w:rsidRPr="00321BC5">
              <w:t>Changed impact of immediate crisis</w:t>
            </w:r>
          </w:p>
        </w:tc>
        <w:tc>
          <w:tcPr>
            <w:tcW w:w="1395" w:type="dxa"/>
            <w:noWrap/>
            <w:hideMark/>
          </w:tcPr>
          <w:p w14:paraId="4444E00A" w14:textId="77777777" w:rsidR="00C57EA7" w:rsidRPr="007A1075" w:rsidRDefault="00C57EA7" w:rsidP="00321BC5">
            <w:pPr>
              <w:pStyle w:val="TableText"/>
              <w:cnfStyle w:val="000000100000" w:firstRow="0" w:lastRow="0" w:firstColumn="0" w:lastColumn="0" w:oddVBand="0" w:evenVBand="0" w:oddHBand="1" w:evenHBand="0" w:firstRowFirstColumn="0" w:firstRowLastColumn="0" w:lastRowFirstColumn="0" w:lastRowLastColumn="0"/>
            </w:pPr>
            <w:r w:rsidRPr="007A1075">
              <w:t>1.24</w:t>
            </w:r>
          </w:p>
        </w:tc>
        <w:tc>
          <w:tcPr>
            <w:tcW w:w="1304" w:type="dxa"/>
            <w:noWrap/>
            <w:hideMark/>
          </w:tcPr>
          <w:p w14:paraId="2153BF78" w14:textId="77777777" w:rsidR="00C57EA7" w:rsidRPr="007A1075" w:rsidRDefault="00C57EA7" w:rsidP="00321BC5">
            <w:pPr>
              <w:pStyle w:val="TableText"/>
              <w:cnfStyle w:val="000000100000" w:firstRow="0" w:lastRow="0" w:firstColumn="0" w:lastColumn="0" w:oddVBand="0" w:evenVBand="0" w:oddHBand="1" w:evenHBand="0" w:firstRowFirstColumn="0" w:firstRowLastColumn="0" w:lastRowFirstColumn="0" w:lastRowLastColumn="0"/>
            </w:pPr>
            <w:r w:rsidRPr="007A1075">
              <w:t>52488</w:t>
            </w:r>
          </w:p>
        </w:tc>
        <w:tc>
          <w:tcPr>
            <w:tcW w:w="1136" w:type="dxa"/>
            <w:noWrap/>
            <w:hideMark/>
          </w:tcPr>
          <w:p w14:paraId="24E51E49" w14:textId="1D5D0FBC" w:rsidR="00C57EA7" w:rsidRPr="007A1075" w:rsidRDefault="00C57EA7" w:rsidP="00321BC5">
            <w:pPr>
              <w:pStyle w:val="TableText"/>
              <w:cnfStyle w:val="000000100000" w:firstRow="0" w:lastRow="0" w:firstColumn="0" w:lastColumn="0" w:oddVBand="0" w:evenVBand="0" w:oddHBand="1" w:evenHBand="0" w:firstRowFirstColumn="0" w:firstRowLastColumn="0" w:lastRowFirstColumn="0" w:lastRowLastColumn="0"/>
            </w:pPr>
            <w:r w:rsidRPr="007A1075">
              <w:t>1</w:t>
            </w:r>
            <w:r>
              <w:t>,</w:t>
            </w:r>
            <w:r w:rsidRPr="007A1075">
              <w:t>621</w:t>
            </w:r>
          </w:p>
        </w:tc>
        <w:tc>
          <w:tcPr>
            <w:tcW w:w="1136" w:type="dxa"/>
            <w:noWrap/>
            <w:hideMark/>
          </w:tcPr>
          <w:p w14:paraId="04C79922" w14:textId="77777777" w:rsidR="00C57EA7" w:rsidRPr="007A1075" w:rsidRDefault="00C57EA7" w:rsidP="00321BC5">
            <w:pPr>
              <w:pStyle w:val="TableText"/>
              <w:cnfStyle w:val="000000100000" w:firstRow="0" w:lastRow="0" w:firstColumn="0" w:lastColumn="0" w:oddVBand="0" w:evenVBand="0" w:oddHBand="1" w:evenHBand="0" w:firstRowFirstColumn="0" w:firstRowLastColumn="0" w:lastRowFirstColumn="0" w:lastRowLastColumn="0"/>
            </w:pPr>
            <w:r w:rsidRPr="007A1075">
              <w:t>&lt;.001</w:t>
            </w:r>
          </w:p>
        </w:tc>
        <w:tc>
          <w:tcPr>
            <w:tcW w:w="1457" w:type="dxa"/>
            <w:noWrap/>
            <w:hideMark/>
          </w:tcPr>
          <w:p w14:paraId="784A732E" w14:textId="69326040" w:rsidR="00C57EA7" w:rsidRPr="007A1075" w:rsidRDefault="00C57EA7" w:rsidP="00321BC5">
            <w:pPr>
              <w:pStyle w:val="TableText"/>
              <w:cnfStyle w:val="000000100000" w:firstRow="0" w:lastRow="0" w:firstColumn="0" w:lastColumn="0" w:oddVBand="0" w:evenVBand="0" w:oddHBand="1" w:evenHBand="0" w:firstRowFirstColumn="0" w:firstRowLastColumn="0" w:lastRowFirstColumn="0" w:lastRowLastColumn="0"/>
            </w:pPr>
            <w:r w:rsidRPr="007A1075">
              <w:t>70.4% (n=1</w:t>
            </w:r>
            <w:r>
              <w:t>,</w:t>
            </w:r>
            <w:r w:rsidRPr="007A1075">
              <w:t>141)</w:t>
            </w:r>
          </w:p>
        </w:tc>
      </w:tr>
      <w:tr w:rsidR="00C57EA7" w:rsidRPr="007A1075" w14:paraId="10AD2D33" w14:textId="77777777" w:rsidTr="00C57EA7">
        <w:trPr>
          <w:trHeight w:val="290"/>
        </w:trPr>
        <w:tc>
          <w:tcPr>
            <w:cnfStyle w:val="001000000000" w:firstRow="0" w:lastRow="0" w:firstColumn="1" w:lastColumn="0" w:oddVBand="0" w:evenVBand="0" w:oddHBand="0" w:evenHBand="0" w:firstRowFirstColumn="0" w:firstRowLastColumn="0" w:lastRowFirstColumn="0" w:lastRowLastColumn="0"/>
            <w:tcW w:w="961" w:type="dxa"/>
            <w:vMerge/>
            <w:hideMark/>
          </w:tcPr>
          <w:p w14:paraId="1D466E9E" w14:textId="77777777" w:rsidR="00C57EA7" w:rsidRPr="00C57EA7" w:rsidRDefault="00C57EA7" w:rsidP="00321BC5">
            <w:pPr>
              <w:pStyle w:val="TableText"/>
            </w:pPr>
          </w:p>
        </w:tc>
        <w:tc>
          <w:tcPr>
            <w:tcW w:w="892" w:type="dxa"/>
            <w:vMerge/>
            <w:hideMark/>
          </w:tcPr>
          <w:p w14:paraId="320E614A" w14:textId="77777777" w:rsidR="00C57EA7" w:rsidRPr="00321BC5" w:rsidRDefault="00C57EA7" w:rsidP="00321BC5">
            <w:pPr>
              <w:pStyle w:val="TableText"/>
              <w:cnfStyle w:val="000000000000" w:firstRow="0" w:lastRow="0" w:firstColumn="0" w:lastColumn="0" w:oddVBand="0" w:evenVBand="0" w:oddHBand="0" w:evenHBand="0" w:firstRowFirstColumn="0" w:firstRowLastColumn="0" w:lastRowFirstColumn="0" w:lastRowLastColumn="0"/>
            </w:pPr>
          </w:p>
        </w:tc>
        <w:tc>
          <w:tcPr>
            <w:tcW w:w="1686" w:type="dxa"/>
            <w:vMerge/>
            <w:hideMark/>
          </w:tcPr>
          <w:p w14:paraId="6CB72F11" w14:textId="77777777" w:rsidR="00C57EA7" w:rsidRPr="00321BC5" w:rsidRDefault="00C57EA7" w:rsidP="00321BC5">
            <w:pPr>
              <w:pStyle w:val="TableText"/>
              <w:cnfStyle w:val="000000000000" w:firstRow="0" w:lastRow="0" w:firstColumn="0" w:lastColumn="0" w:oddVBand="0" w:evenVBand="0" w:oddHBand="0" w:evenHBand="0" w:firstRowFirstColumn="0" w:firstRowLastColumn="0" w:lastRowFirstColumn="0" w:lastRowLastColumn="0"/>
            </w:pPr>
          </w:p>
        </w:tc>
        <w:tc>
          <w:tcPr>
            <w:tcW w:w="3977" w:type="dxa"/>
            <w:noWrap/>
            <w:hideMark/>
          </w:tcPr>
          <w:p w14:paraId="4A95A18D" w14:textId="77777777" w:rsidR="00C57EA7" w:rsidRPr="00321BC5" w:rsidRDefault="00C57EA7" w:rsidP="00321BC5">
            <w:pPr>
              <w:pStyle w:val="TableText"/>
              <w:cnfStyle w:val="000000000000" w:firstRow="0" w:lastRow="0" w:firstColumn="0" w:lastColumn="0" w:oddVBand="0" w:evenVBand="0" w:oddHBand="0" w:evenHBand="0" w:firstRowFirstColumn="0" w:firstRowLastColumn="0" w:lastRowFirstColumn="0" w:lastRowLastColumn="0"/>
            </w:pPr>
            <w:r w:rsidRPr="00321BC5">
              <w:t>Changed knowledge and access to information</w:t>
            </w:r>
          </w:p>
        </w:tc>
        <w:tc>
          <w:tcPr>
            <w:tcW w:w="1395" w:type="dxa"/>
            <w:noWrap/>
            <w:hideMark/>
          </w:tcPr>
          <w:p w14:paraId="69637A28" w14:textId="77777777" w:rsidR="00C57EA7" w:rsidRPr="007A1075" w:rsidRDefault="00C57EA7" w:rsidP="00321BC5">
            <w:pPr>
              <w:pStyle w:val="TableText"/>
              <w:cnfStyle w:val="000000000000" w:firstRow="0" w:lastRow="0" w:firstColumn="0" w:lastColumn="0" w:oddVBand="0" w:evenVBand="0" w:oddHBand="0" w:evenHBand="0" w:firstRowFirstColumn="0" w:firstRowLastColumn="0" w:lastRowFirstColumn="0" w:lastRowLastColumn="0"/>
            </w:pPr>
            <w:r w:rsidRPr="007A1075">
              <w:t>1.13</w:t>
            </w:r>
          </w:p>
        </w:tc>
        <w:tc>
          <w:tcPr>
            <w:tcW w:w="1304" w:type="dxa"/>
            <w:noWrap/>
            <w:hideMark/>
          </w:tcPr>
          <w:p w14:paraId="28524BDD" w14:textId="77777777" w:rsidR="00C57EA7" w:rsidRPr="007A1075" w:rsidRDefault="00C57EA7" w:rsidP="00321BC5">
            <w:pPr>
              <w:pStyle w:val="TableText"/>
              <w:cnfStyle w:val="000000000000" w:firstRow="0" w:lastRow="0" w:firstColumn="0" w:lastColumn="0" w:oddVBand="0" w:evenVBand="0" w:oddHBand="0" w:evenHBand="0" w:firstRowFirstColumn="0" w:firstRowLastColumn="0" w:lastRowFirstColumn="0" w:lastRowLastColumn="0"/>
            </w:pPr>
            <w:r w:rsidRPr="007A1075">
              <w:t>146116.5</w:t>
            </w:r>
          </w:p>
        </w:tc>
        <w:tc>
          <w:tcPr>
            <w:tcW w:w="1136" w:type="dxa"/>
            <w:noWrap/>
            <w:hideMark/>
          </w:tcPr>
          <w:p w14:paraId="7835365F" w14:textId="66A2A44D" w:rsidR="00C57EA7" w:rsidRPr="007A1075" w:rsidRDefault="00C57EA7" w:rsidP="00321BC5">
            <w:pPr>
              <w:pStyle w:val="TableText"/>
              <w:cnfStyle w:val="000000000000" w:firstRow="0" w:lastRow="0" w:firstColumn="0" w:lastColumn="0" w:oddVBand="0" w:evenVBand="0" w:oddHBand="0" w:evenHBand="0" w:firstRowFirstColumn="0" w:firstRowLastColumn="0" w:lastRowFirstColumn="0" w:lastRowLastColumn="0"/>
            </w:pPr>
            <w:r w:rsidRPr="007A1075">
              <w:t>2</w:t>
            </w:r>
            <w:r>
              <w:t>,</w:t>
            </w:r>
            <w:r w:rsidRPr="007A1075">
              <w:t>380</w:t>
            </w:r>
          </w:p>
        </w:tc>
        <w:tc>
          <w:tcPr>
            <w:tcW w:w="1136" w:type="dxa"/>
            <w:noWrap/>
            <w:hideMark/>
          </w:tcPr>
          <w:p w14:paraId="2C73D997" w14:textId="77777777" w:rsidR="00C57EA7" w:rsidRPr="007A1075" w:rsidRDefault="00C57EA7" w:rsidP="00321BC5">
            <w:pPr>
              <w:pStyle w:val="TableText"/>
              <w:cnfStyle w:val="000000000000" w:firstRow="0" w:lastRow="0" w:firstColumn="0" w:lastColumn="0" w:oddVBand="0" w:evenVBand="0" w:oddHBand="0" w:evenHBand="0" w:firstRowFirstColumn="0" w:firstRowLastColumn="0" w:lastRowFirstColumn="0" w:lastRowLastColumn="0"/>
            </w:pPr>
            <w:r w:rsidRPr="007A1075">
              <w:t>&lt;.001</w:t>
            </w:r>
          </w:p>
        </w:tc>
        <w:tc>
          <w:tcPr>
            <w:tcW w:w="1457" w:type="dxa"/>
            <w:noWrap/>
            <w:hideMark/>
          </w:tcPr>
          <w:p w14:paraId="736F5217" w14:textId="3F33C8C6" w:rsidR="00C57EA7" w:rsidRPr="007A1075" w:rsidRDefault="00C57EA7" w:rsidP="00321BC5">
            <w:pPr>
              <w:pStyle w:val="TableText"/>
              <w:cnfStyle w:val="000000000000" w:firstRow="0" w:lastRow="0" w:firstColumn="0" w:lastColumn="0" w:oddVBand="0" w:evenVBand="0" w:oddHBand="0" w:evenHBand="0" w:firstRowFirstColumn="0" w:firstRowLastColumn="0" w:lastRowFirstColumn="0" w:lastRowLastColumn="0"/>
            </w:pPr>
            <w:r w:rsidRPr="007A1075">
              <w:t>65.7% (n=1</w:t>
            </w:r>
            <w:r>
              <w:t>,</w:t>
            </w:r>
            <w:r w:rsidRPr="007A1075">
              <w:t>563)</w:t>
            </w:r>
          </w:p>
        </w:tc>
      </w:tr>
      <w:tr w:rsidR="00C57EA7" w:rsidRPr="007A1075" w14:paraId="30C2F156" w14:textId="77777777" w:rsidTr="00C57EA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61" w:type="dxa"/>
            <w:vMerge/>
            <w:hideMark/>
          </w:tcPr>
          <w:p w14:paraId="5EABC648" w14:textId="77777777" w:rsidR="00C57EA7" w:rsidRPr="00C57EA7" w:rsidRDefault="00C57EA7" w:rsidP="00321BC5">
            <w:pPr>
              <w:pStyle w:val="TableText"/>
            </w:pPr>
          </w:p>
        </w:tc>
        <w:tc>
          <w:tcPr>
            <w:tcW w:w="892" w:type="dxa"/>
            <w:vMerge/>
            <w:hideMark/>
          </w:tcPr>
          <w:p w14:paraId="7EE2A04E" w14:textId="77777777" w:rsidR="00C57EA7" w:rsidRPr="00321BC5" w:rsidRDefault="00C57EA7" w:rsidP="00321BC5">
            <w:pPr>
              <w:pStyle w:val="TableText"/>
              <w:cnfStyle w:val="000000100000" w:firstRow="0" w:lastRow="0" w:firstColumn="0" w:lastColumn="0" w:oddVBand="0" w:evenVBand="0" w:oddHBand="1" w:evenHBand="0" w:firstRowFirstColumn="0" w:firstRowLastColumn="0" w:lastRowFirstColumn="0" w:lastRowLastColumn="0"/>
            </w:pPr>
          </w:p>
        </w:tc>
        <w:tc>
          <w:tcPr>
            <w:tcW w:w="1686" w:type="dxa"/>
            <w:vMerge/>
            <w:hideMark/>
          </w:tcPr>
          <w:p w14:paraId="572CBC9B" w14:textId="77777777" w:rsidR="00C57EA7" w:rsidRPr="00321BC5" w:rsidRDefault="00C57EA7" w:rsidP="00321BC5">
            <w:pPr>
              <w:pStyle w:val="TableText"/>
              <w:cnfStyle w:val="000000100000" w:firstRow="0" w:lastRow="0" w:firstColumn="0" w:lastColumn="0" w:oddVBand="0" w:evenVBand="0" w:oddHBand="1" w:evenHBand="0" w:firstRowFirstColumn="0" w:firstRowLastColumn="0" w:lastRowFirstColumn="0" w:lastRowLastColumn="0"/>
            </w:pPr>
          </w:p>
        </w:tc>
        <w:tc>
          <w:tcPr>
            <w:tcW w:w="3977" w:type="dxa"/>
            <w:noWrap/>
            <w:hideMark/>
          </w:tcPr>
          <w:p w14:paraId="6A4C7247" w14:textId="77777777" w:rsidR="00C57EA7" w:rsidRPr="00321BC5" w:rsidRDefault="00C57EA7" w:rsidP="00321BC5">
            <w:pPr>
              <w:pStyle w:val="TableText"/>
              <w:cnfStyle w:val="000000100000" w:firstRow="0" w:lastRow="0" w:firstColumn="0" w:lastColumn="0" w:oddVBand="0" w:evenVBand="0" w:oddHBand="1" w:evenHBand="0" w:firstRowFirstColumn="0" w:firstRowLastColumn="0" w:lastRowFirstColumn="0" w:lastRowLastColumn="0"/>
            </w:pPr>
            <w:r w:rsidRPr="00321BC5">
              <w:t>Changed skills</w:t>
            </w:r>
          </w:p>
        </w:tc>
        <w:tc>
          <w:tcPr>
            <w:tcW w:w="1395" w:type="dxa"/>
            <w:noWrap/>
            <w:hideMark/>
          </w:tcPr>
          <w:p w14:paraId="11C9042F" w14:textId="77777777" w:rsidR="00C57EA7" w:rsidRPr="007A1075" w:rsidRDefault="00C57EA7" w:rsidP="00321BC5">
            <w:pPr>
              <w:pStyle w:val="TableText"/>
              <w:cnfStyle w:val="000000100000" w:firstRow="0" w:lastRow="0" w:firstColumn="0" w:lastColumn="0" w:oddVBand="0" w:evenVBand="0" w:oddHBand="1" w:evenHBand="0" w:firstRowFirstColumn="0" w:firstRowLastColumn="0" w:lastRowFirstColumn="0" w:lastRowLastColumn="0"/>
            </w:pPr>
            <w:r w:rsidRPr="007A1075">
              <w:t>0.9</w:t>
            </w:r>
          </w:p>
        </w:tc>
        <w:tc>
          <w:tcPr>
            <w:tcW w:w="1304" w:type="dxa"/>
            <w:noWrap/>
            <w:hideMark/>
          </w:tcPr>
          <w:p w14:paraId="67B23240" w14:textId="77777777" w:rsidR="00C57EA7" w:rsidRPr="007A1075" w:rsidRDefault="00C57EA7" w:rsidP="00321BC5">
            <w:pPr>
              <w:pStyle w:val="TableText"/>
              <w:cnfStyle w:val="000000100000" w:firstRow="0" w:lastRow="0" w:firstColumn="0" w:lastColumn="0" w:oddVBand="0" w:evenVBand="0" w:oddHBand="1" w:evenHBand="0" w:firstRowFirstColumn="0" w:firstRowLastColumn="0" w:lastRowFirstColumn="0" w:lastRowLastColumn="0"/>
            </w:pPr>
            <w:r w:rsidRPr="007A1075">
              <w:t>191876.5</w:t>
            </w:r>
          </w:p>
        </w:tc>
        <w:tc>
          <w:tcPr>
            <w:tcW w:w="1136" w:type="dxa"/>
            <w:noWrap/>
            <w:hideMark/>
          </w:tcPr>
          <w:p w14:paraId="3A3E9D6A" w14:textId="1DC2487F" w:rsidR="00C57EA7" w:rsidRPr="007A1075" w:rsidRDefault="00C57EA7" w:rsidP="00321BC5">
            <w:pPr>
              <w:pStyle w:val="TableText"/>
              <w:cnfStyle w:val="000000100000" w:firstRow="0" w:lastRow="0" w:firstColumn="0" w:lastColumn="0" w:oddVBand="0" w:evenVBand="0" w:oddHBand="1" w:evenHBand="0" w:firstRowFirstColumn="0" w:firstRowLastColumn="0" w:lastRowFirstColumn="0" w:lastRowLastColumn="0"/>
            </w:pPr>
            <w:r w:rsidRPr="007A1075">
              <w:t>2</w:t>
            </w:r>
            <w:r>
              <w:t>,</w:t>
            </w:r>
            <w:r w:rsidRPr="007A1075">
              <w:t>174</w:t>
            </w:r>
          </w:p>
        </w:tc>
        <w:tc>
          <w:tcPr>
            <w:tcW w:w="1136" w:type="dxa"/>
            <w:noWrap/>
            <w:hideMark/>
          </w:tcPr>
          <w:p w14:paraId="0F29AF06" w14:textId="77777777" w:rsidR="00C57EA7" w:rsidRPr="007A1075" w:rsidRDefault="00C57EA7" w:rsidP="00321BC5">
            <w:pPr>
              <w:pStyle w:val="TableText"/>
              <w:cnfStyle w:val="000000100000" w:firstRow="0" w:lastRow="0" w:firstColumn="0" w:lastColumn="0" w:oddVBand="0" w:evenVBand="0" w:oddHBand="1" w:evenHBand="0" w:firstRowFirstColumn="0" w:firstRowLastColumn="0" w:lastRowFirstColumn="0" w:lastRowLastColumn="0"/>
            </w:pPr>
            <w:r w:rsidRPr="007A1075">
              <w:t>&lt;.001</w:t>
            </w:r>
          </w:p>
        </w:tc>
        <w:tc>
          <w:tcPr>
            <w:tcW w:w="1457" w:type="dxa"/>
            <w:noWrap/>
            <w:hideMark/>
          </w:tcPr>
          <w:p w14:paraId="4D2C1F8B" w14:textId="561AEE8E" w:rsidR="00C57EA7" w:rsidRPr="007A1075" w:rsidRDefault="00C57EA7" w:rsidP="00321BC5">
            <w:pPr>
              <w:pStyle w:val="TableText"/>
              <w:cnfStyle w:val="000000100000" w:firstRow="0" w:lastRow="0" w:firstColumn="0" w:lastColumn="0" w:oddVBand="0" w:evenVBand="0" w:oddHBand="1" w:evenHBand="0" w:firstRowFirstColumn="0" w:firstRowLastColumn="0" w:lastRowFirstColumn="0" w:lastRowLastColumn="0"/>
            </w:pPr>
            <w:r w:rsidRPr="007A1075">
              <w:t>58.8% (n=1</w:t>
            </w:r>
            <w:r>
              <w:t>,</w:t>
            </w:r>
            <w:r w:rsidRPr="007A1075">
              <w:t>279)</w:t>
            </w:r>
          </w:p>
        </w:tc>
      </w:tr>
      <w:tr w:rsidR="00C57EA7" w:rsidRPr="007A1075" w14:paraId="2CBFC8FB" w14:textId="77777777" w:rsidTr="00C57EA7">
        <w:trPr>
          <w:trHeight w:val="290"/>
        </w:trPr>
        <w:tc>
          <w:tcPr>
            <w:cnfStyle w:val="001000000000" w:firstRow="0" w:lastRow="0" w:firstColumn="1" w:lastColumn="0" w:oddVBand="0" w:evenVBand="0" w:oddHBand="0" w:evenHBand="0" w:firstRowFirstColumn="0" w:firstRowLastColumn="0" w:lastRowFirstColumn="0" w:lastRowLastColumn="0"/>
            <w:tcW w:w="961" w:type="dxa"/>
            <w:vMerge/>
            <w:hideMark/>
          </w:tcPr>
          <w:p w14:paraId="41B141EA" w14:textId="77777777" w:rsidR="00C57EA7" w:rsidRPr="00C57EA7" w:rsidRDefault="00C57EA7" w:rsidP="00321BC5">
            <w:pPr>
              <w:pStyle w:val="TableText"/>
            </w:pPr>
          </w:p>
        </w:tc>
        <w:tc>
          <w:tcPr>
            <w:tcW w:w="892" w:type="dxa"/>
            <w:vMerge/>
            <w:hideMark/>
          </w:tcPr>
          <w:p w14:paraId="483A8766" w14:textId="77777777" w:rsidR="00C57EA7" w:rsidRPr="00321BC5" w:rsidRDefault="00C57EA7" w:rsidP="00321BC5">
            <w:pPr>
              <w:pStyle w:val="TableText"/>
              <w:cnfStyle w:val="000000000000" w:firstRow="0" w:lastRow="0" w:firstColumn="0" w:lastColumn="0" w:oddVBand="0" w:evenVBand="0" w:oddHBand="0" w:evenHBand="0" w:firstRowFirstColumn="0" w:firstRowLastColumn="0" w:lastRowFirstColumn="0" w:lastRowLastColumn="0"/>
            </w:pPr>
          </w:p>
        </w:tc>
        <w:tc>
          <w:tcPr>
            <w:tcW w:w="1686" w:type="dxa"/>
            <w:vMerge/>
            <w:hideMark/>
          </w:tcPr>
          <w:p w14:paraId="08692249" w14:textId="77777777" w:rsidR="00C57EA7" w:rsidRPr="00321BC5" w:rsidRDefault="00C57EA7" w:rsidP="00321BC5">
            <w:pPr>
              <w:pStyle w:val="TableText"/>
              <w:cnfStyle w:val="000000000000" w:firstRow="0" w:lastRow="0" w:firstColumn="0" w:lastColumn="0" w:oddVBand="0" w:evenVBand="0" w:oddHBand="0" w:evenHBand="0" w:firstRowFirstColumn="0" w:firstRowLastColumn="0" w:lastRowFirstColumn="0" w:lastRowLastColumn="0"/>
            </w:pPr>
          </w:p>
        </w:tc>
        <w:tc>
          <w:tcPr>
            <w:tcW w:w="3977" w:type="dxa"/>
            <w:noWrap/>
            <w:hideMark/>
          </w:tcPr>
          <w:p w14:paraId="4454EFE9" w14:textId="77777777" w:rsidR="00C57EA7" w:rsidRPr="00321BC5" w:rsidRDefault="00C57EA7" w:rsidP="00321BC5">
            <w:pPr>
              <w:pStyle w:val="TableText"/>
              <w:cnfStyle w:val="000000000000" w:firstRow="0" w:lastRow="0" w:firstColumn="0" w:lastColumn="0" w:oddVBand="0" w:evenVBand="0" w:oddHBand="0" w:evenHBand="0" w:firstRowFirstColumn="0" w:firstRowLastColumn="0" w:lastRowFirstColumn="0" w:lastRowLastColumn="0"/>
            </w:pPr>
            <w:r w:rsidRPr="00321BC5">
              <w:rPr>
                <w:lang w:val="en-NZ"/>
              </w:rPr>
              <w:t>Empowerment, choice and control to make own decisions</w:t>
            </w:r>
          </w:p>
        </w:tc>
        <w:tc>
          <w:tcPr>
            <w:tcW w:w="1395" w:type="dxa"/>
            <w:noWrap/>
            <w:hideMark/>
          </w:tcPr>
          <w:p w14:paraId="098489A0" w14:textId="77777777" w:rsidR="00C57EA7" w:rsidRPr="007A1075" w:rsidRDefault="00C57EA7" w:rsidP="00321BC5">
            <w:pPr>
              <w:pStyle w:val="TableText"/>
              <w:cnfStyle w:val="000000000000" w:firstRow="0" w:lastRow="0" w:firstColumn="0" w:lastColumn="0" w:oddVBand="0" w:evenVBand="0" w:oddHBand="0" w:evenHBand="0" w:firstRowFirstColumn="0" w:firstRowLastColumn="0" w:lastRowFirstColumn="0" w:lastRowLastColumn="0"/>
            </w:pPr>
            <w:r w:rsidRPr="007A1075">
              <w:t>1.06</w:t>
            </w:r>
          </w:p>
        </w:tc>
        <w:tc>
          <w:tcPr>
            <w:tcW w:w="1304" w:type="dxa"/>
            <w:noWrap/>
            <w:hideMark/>
          </w:tcPr>
          <w:p w14:paraId="3CA079A5" w14:textId="77777777" w:rsidR="00C57EA7" w:rsidRPr="007A1075" w:rsidRDefault="00C57EA7" w:rsidP="00321BC5">
            <w:pPr>
              <w:pStyle w:val="TableText"/>
              <w:cnfStyle w:val="000000000000" w:firstRow="0" w:lastRow="0" w:firstColumn="0" w:lastColumn="0" w:oddVBand="0" w:evenVBand="0" w:oddHBand="0" w:evenHBand="0" w:firstRowFirstColumn="0" w:firstRowLastColumn="0" w:lastRowFirstColumn="0" w:lastRowLastColumn="0"/>
            </w:pPr>
            <w:r w:rsidRPr="007A1075">
              <w:t>177377</w:t>
            </w:r>
          </w:p>
        </w:tc>
        <w:tc>
          <w:tcPr>
            <w:tcW w:w="1136" w:type="dxa"/>
            <w:noWrap/>
            <w:hideMark/>
          </w:tcPr>
          <w:p w14:paraId="73678375" w14:textId="78C184BC" w:rsidR="00C57EA7" w:rsidRPr="007A1075" w:rsidRDefault="00C57EA7" w:rsidP="00321BC5">
            <w:pPr>
              <w:pStyle w:val="TableText"/>
              <w:cnfStyle w:val="000000000000" w:firstRow="0" w:lastRow="0" w:firstColumn="0" w:lastColumn="0" w:oddVBand="0" w:evenVBand="0" w:oddHBand="0" w:evenHBand="0" w:firstRowFirstColumn="0" w:firstRowLastColumn="0" w:lastRowFirstColumn="0" w:lastRowLastColumn="0"/>
            </w:pPr>
            <w:r w:rsidRPr="007A1075">
              <w:t>2</w:t>
            </w:r>
            <w:r>
              <w:t>,</w:t>
            </w:r>
            <w:r w:rsidRPr="007A1075">
              <w:t>350</w:t>
            </w:r>
          </w:p>
        </w:tc>
        <w:tc>
          <w:tcPr>
            <w:tcW w:w="1136" w:type="dxa"/>
            <w:noWrap/>
            <w:hideMark/>
          </w:tcPr>
          <w:p w14:paraId="652B1B82" w14:textId="77777777" w:rsidR="00C57EA7" w:rsidRPr="007A1075" w:rsidRDefault="00C57EA7" w:rsidP="00321BC5">
            <w:pPr>
              <w:pStyle w:val="TableText"/>
              <w:cnfStyle w:val="000000000000" w:firstRow="0" w:lastRow="0" w:firstColumn="0" w:lastColumn="0" w:oddVBand="0" w:evenVBand="0" w:oddHBand="0" w:evenHBand="0" w:firstRowFirstColumn="0" w:firstRowLastColumn="0" w:lastRowFirstColumn="0" w:lastRowLastColumn="0"/>
            </w:pPr>
            <w:r w:rsidRPr="007A1075">
              <w:t>&lt;.001</w:t>
            </w:r>
          </w:p>
        </w:tc>
        <w:tc>
          <w:tcPr>
            <w:tcW w:w="1457" w:type="dxa"/>
            <w:noWrap/>
            <w:hideMark/>
          </w:tcPr>
          <w:p w14:paraId="41CB3BBE" w14:textId="03F46247" w:rsidR="00C57EA7" w:rsidRPr="007A1075" w:rsidRDefault="00C57EA7" w:rsidP="00321BC5">
            <w:pPr>
              <w:pStyle w:val="TableText"/>
              <w:cnfStyle w:val="000000000000" w:firstRow="0" w:lastRow="0" w:firstColumn="0" w:lastColumn="0" w:oddVBand="0" w:evenVBand="0" w:oddHBand="0" w:evenHBand="0" w:firstRowFirstColumn="0" w:firstRowLastColumn="0" w:lastRowFirstColumn="0" w:lastRowLastColumn="0"/>
            </w:pPr>
            <w:r w:rsidRPr="007A1075">
              <w:t>61.7% (n=1</w:t>
            </w:r>
            <w:r>
              <w:t>,</w:t>
            </w:r>
            <w:r w:rsidRPr="007A1075">
              <w:t>451)</w:t>
            </w:r>
          </w:p>
        </w:tc>
      </w:tr>
      <w:tr w:rsidR="00C57EA7" w:rsidRPr="007A1075" w14:paraId="59A95D38" w14:textId="77777777" w:rsidTr="00C57EA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61" w:type="dxa"/>
            <w:vMerge/>
            <w:hideMark/>
          </w:tcPr>
          <w:p w14:paraId="548E20AC" w14:textId="77777777" w:rsidR="00C57EA7" w:rsidRPr="00C57EA7" w:rsidRDefault="00C57EA7" w:rsidP="00321BC5">
            <w:pPr>
              <w:pStyle w:val="TableText"/>
            </w:pPr>
          </w:p>
        </w:tc>
        <w:tc>
          <w:tcPr>
            <w:tcW w:w="892" w:type="dxa"/>
            <w:vMerge/>
            <w:hideMark/>
          </w:tcPr>
          <w:p w14:paraId="6B883801" w14:textId="77777777" w:rsidR="00C57EA7" w:rsidRPr="00321BC5" w:rsidRDefault="00C57EA7" w:rsidP="00321BC5">
            <w:pPr>
              <w:pStyle w:val="TableText"/>
              <w:cnfStyle w:val="000000100000" w:firstRow="0" w:lastRow="0" w:firstColumn="0" w:lastColumn="0" w:oddVBand="0" w:evenVBand="0" w:oddHBand="1" w:evenHBand="0" w:firstRowFirstColumn="0" w:firstRowLastColumn="0" w:lastRowFirstColumn="0" w:lastRowLastColumn="0"/>
            </w:pPr>
          </w:p>
        </w:tc>
        <w:tc>
          <w:tcPr>
            <w:tcW w:w="1686" w:type="dxa"/>
            <w:vMerge/>
            <w:hideMark/>
          </w:tcPr>
          <w:p w14:paraId="63D9702D" w14:textId="77777777" w:rsidR="00C57EA7" w:rsidRPr="00321BC5" w:rsidRDefault="00C57EA7" w:rsidP="00321BC5">
            <w:pPr>
              <w:pStyle w:val="TableText"/>
              <w:cnfStyle w:val="000000100000" w:firstRow="0" w:lastRow="0" w:firstColumn="0" w:lastColumn="0" w:oddVBand="0" w:evenVBand="0" w:oddHBand="1" w:evenHBand="0" w:firstRowFirstColumn="0" w:firstRowLastColumn="0" w:lastRowFirstColumn="0" w:lastRowLastColumn="0"/>
            </w:pPr>
          </w:p>
        </w:tc>
        <w:tc>
          <w:tcPr>
            <w:tcW w:w="3977" w:type="dxa"/>
            <w:noWrap/>
            <w:hideMark/>
          </w:tcPr>
          <w:p w14:paraId="27B16B41" w14:textId="77777777" w:rsidR="00C57EA7" w:rsidRPr="00321BC5" w:rsidRDefault="00C57EA7" w:rsidP="00321BC5">
            <w:pPr>
              <w:pStyle w:val="TableText"/>
              <w:cnfStyle w:val="000000100000" w:firstRow="0" w:lastRow="0" w:firstColumn="0" w:lastColumn="0" w:oddVBand="0" w:evenVBand="0" w:oddHBand="1" w:evenHBand="0" w:firstRowFirstColumn="0" w:firstRowLastColumn="0" w:lastRowFirstColumn="0" w:lastRowLastColumn="0"/>
            </w:pPr>
            <w:r w:rsidRPr="00321BC5">
              <w:t>Engagement with relevant support services</w:t>
            </w:r>
          </w:p>
        </w:tc>
        <w:tc>
          <w:tcPr>
            <w:tcW w:w="1395" w:type="dxa"/>
            <w:noWrap/>
            <w:hideMark/>
          </w:tcPr>
          <w:p w14:paraId="5C6C6E95" w14:textId="77777777" w:rsidR="00C57EA7" w:rsidRPr="007A1075" w:rsidRDefault="00C57EA7" w:rsidP="00321BC5">
            <w:pPr>
              <w:pStyle w:val="TableText"/>
              <w:cnfStyle w:val="000000100000" w:firstRow="0" w:lastRow="0" w:firstColumn="0" w:lastColumn="0" w:oddVBand="0" w:evenVBand="0" w:oddHBand="1" w:evenHBand="0" w:firstRowFirstColumn="0" w:firstRowLastColumn="0" w:lastRowFirstColumn="0" w:lastRowLastColumn="0"/>
            </w:pPr>
            <w:r w:rsidRPr="007A1075">
              <w:t>1.02</w:t>
            </w:r>
          </w:p>
        </w:tc>
        <w:tc>
          <w:tcPr>
            <w:tcW w:w="1304" w:type="dxa"/>
            <w:noWrap/>
            <w:hideMark/>
          </w:tcPr>
          <w:p w14:paraId="46DB3F64" w14:textId="77777777" w:rsidR="00C57EA7" w:rsidRPr="007A1075" w:rsidRDefault="00C57EA7" w:rsidP="00321BC5">
            <w:pPr>
              <w:pStyle w:val="TableText"/>
              <w:cnfStyle w:val="000000100000" w:firstRow="0" w:lastRow="0" w:firstColumn="0" w:lastColumn="0" w:oddVBand="0" w:evenVBand="0" w:oddHBand="1" w:evenHBand="0" w:firstRowFirstColumn="0" w:firstRowLastColumn="0" w:lastRowFirstColumn="0" w:lastRowLastColumn="0"/>
            </w:pPr>
            <w:r w:rsidRPr="007A1075">
              <w:t>89282</w:t>
            </w:r>
          </w:p>
        </w:tc>
        <w:tc>
          <w:tcPr>
            <w:tcW w:w="1136" w:type="dxa"/>
            <w:noWrap/>
            <w:hideMark/>
          </w:tcPr>
          <w:p w14:paraId="641BC36E" w14:textId="67053524" w:rsidR="00C57EA7" w:rsidRPr="007A1075" w:rsidRDefault="00C57EA7" w:rsidP="00321BC5">
            <w:pPr>
              <w:pStyle w:val="TableText"/>
              <w:cnfStyle w:val="000000100000" w:firstRow="0" w:lastRow="0" w:firstColumn="0" w:lastColumn="0" w:oddVBand="0" w:evenVBand="0" w:oddHBand="1" w:evenHBand="0" w:firstRowFirstColumn="0" w:firstRowLastColumn="0" w:lastRowFirstColumn="0" w:lastRowLastColumn="0"/>
            </w:pPr>
            <w:r w:rsidRPr="007A1075">
              <w:t>1</w:t>
            </w:r>
            <w:r>
              <w:t>,</w:t>
            </w:r>
            <w:r w:rsidRPr="007A1075">
              <w:t>648</w:t>
            </w:r>
          </w:p>
        </w:tc>
        <w:tc>
          <w:tcPr>
            <w:tcW w:w="1136" w:type="dxa"/>
            <w:noWrap/>
            <w:hideMark/>
          </w:tcPr>
          <w:p w14:paraId="18254694" w14:textId="77777777" w:rsidR="00C57EA7" w:rsidRPr="007A1075" w:rsidRDefault="00C57EA7" w:rsidP="00321BC5">
            <w:pPr>
              <w:pStyle w:val="TableText"/>
              <w:cnfStyle w:val="000000100000" w:firstRow="0" w:lastRow="0" w:firstColumn="0" w:lastColumn="0" w:oddVBand="0" w:evenVBand="0" w:oddHBand="1" w:evenHBand="0" w:firstRowFirstColumn="0" w:firstRowLastColumn="0" w:lastRowFirstColumn="0" w:lastRowLastColumn="0"/>
            </w:pPr>
            <w:r w:rsidRPr="007A1075">
              <w:t>&lt;.001</w:t>
            </w:r>
          </w:p>
        </w:tc>
        <w:tc>
          <w:tcPr>
            <w:tcW w:w="1457" w:type="dxa"/>
            <w:noWrap/>
            <w:hideMark/>
          </w:tcPr>
          <w:p w14:paraId="691159A7" w14:textId="77777777" w:rsidR="00C57EA7" w:rsidRPr="007A1075" w:rsidRDefault="00C57EA7" w:rsidP="00321BC5">
            <w:pPr>
              <w:pStyle w:val="TableText"/>
              <w:cnfStyle w:val="000000100000" w:firstRow="0" w:lastRow="0" w:firstColumn="0" w:lastColumn="0" w:oddVBand="0" w:evenVBand="0" w:oddHBand="1" w:evenHBand="0" w:firstRowFirstColumn="0" w:firstRowLastColumn="0" w:lastRowFirstColumn="0" w:lastRowLastColumn="0"/>
            </w:pPr>
            <w:r w:rsidRPr="007A1075">
              <w:t>59.4% (n=979)</w:t>
            </w:r>
          </w:p>
        </w:tc>
      </w:tr>
      <w:tr w:rsidR="00C57EA7" w:rsidRPr="007A1075" w14:paraId="127F48AB" w14:textId="77777777" w:rsidTr="00C57EA7">
        <w:trPr>
          <w:trHeight w:val="290"/>
        </w:trPr>
        <w:tc>
          <w:tcPr>
            <w:cnfStyle w:val="001000000000" w:firstRow="0" w:lastRow="0" w:firstColumn="1" w:lastColumn="0" w:oddVBand="0" w:evenVBand="0" w:oddHBand="0" w:evenHBand="0" w:firstRowFirstColumn="0" w:firstRowLastColumn="0" w:lastRowFirstColumn="0" w:lastRowLastColumn="0"/>
            <w:tcW w:w="961" w:type="dxa"/>
            <w:vMerge/>
            <w:hideMark/>
          </w:tcPr>
          <w:p w14:paraId="516A095B" w14:textId="77777777" w:rsidR="00C57EA7" w:rsidRPr="00C57EA7" w:rsidRDefault="00C57EA7" w:rsidP="00321BC5">
            <w:pPr>
              <w:pStyle w:val="TableText"/>
            </w:pPr>
          </w:p>
        </w:tc>
        <w:tc>
          <w:tcPr>
            <w:tcW w:w="892" w:type="dxa"/>
            <w:vMerge w:val="restart"/>
            <w:hideMark/>
          </w:tcPr>
          <w:p w14:paraId="6BF5C3FE" w14:textId="77777777" w:rsidR="00C57EA7" w:rsidRPr="00321BC5" w:rsidRDefault="00C57EA7" w:rsidP="00321BC5">
            <w:pPr>
              <w:pStyle w:val="TableText"/>
              <w:cnfStyle w:val="000000000000" w:firstRow="0" w:lastRow="0" w:firstColumn="0" w:lastColumn="0" w:oddVBand="0" w:evenVBand="0" w:oddHBand="0" w:evenHBand="0" w:firstRowFirstColumn="0" w:firstRowLastColumn="0" w:lastRowFirstColumn="0" w:lastRowLastColumn="0"/>
            </w:pPr>
            <w:r w:rsidRPr="00321BC5">
              <w:t>CALD</w:t>
            </w:r>
          </w:p>
        </w:tc>
        <w:tc>
          <w:tcPr>
            <w:tcW w:w="1686" w:type="dxa"/>
            <w:vMerge w:val="restart"/>
            <w:hideMark/>
          </w:tcPr>
          <w:p w14:paraId="4E6CE29B" w14:textId="77777777" w:rsidR="00C57EA7" w:rsidRPr="00321BC5" w:rsidRDefault="00C57EA7" w:rsidP="00321BC5">
            <w:pPr>
              <w:pStyle w:val="TableText"/>
              <w:cnfStyle w:val="000000000000" w:firstRow="0" w:lastRow="0" w:firstColumn="0" w:lastColumn="0" w:oddVBand="0" w:evenVBand="0" w:oddHBand="0" w:evenHBand="0" w:firstRowFirstColumn="0" w:firstRowLastColumn="0" w:lastRowFirstColumn="0" w:lastRowLastColumn="0"/>
            </w:pPr>
            <w:r w:rsidRPr="00321BC5">
              <w:t>Circumstances</w:t>
            </w:r>
          </w:p>
        </w:tc>
        <w:tc>
          <w:tcPr>
            <w:tcW w:w="3977" w:type="dxa"/>
            <w:noWrap/>
            <w:hideMark/>
          </w:tcPr>
          <w:p w14:paraId="423E2D8C" w14:textId="77777777" w:rsidR="00C57EA7" w:rsidRPr="00321BC5" w:rsidRDefault="00C57EA7" w:rsidP="00321BC5">
            <w:pPr>
              <w:pStyle w:val="TableText"/>
              <w:cnfStyle w:val="000000000000" w:firstRow="0" w:lastRow="0" w:firstColumn="0" w:lastColumn="0" w:oddVBand="0" w:evenVBand="0" w:oddHBand="0" w:evenHBand="0" w:firstRowFirstColumn="0" w:firstRowLastColumn="0" w:lastRowFirstColumn="0" w:lastRowLastColumn="0"/>
            </w:pPr>
            <w:r w:rsidRPr="00321BC5">
              <w:t>Family functioning</w:t>
            </w:r>
          </w:p>
        </w:tc>
        <w:tc>
          <w:tcPr>
            <w:tcW w:w="1395" w:type="dxa"/>
            <w:noWrap/>
            <w:hideMark/>
          </w:tcPr>
          <w:p w14:paraId="66663A82" w14:textId="77777777" w:rsidR="00C57EA7" w:rsidRPr="007A1075" w:rsidRDefault="00C57EA7" w:rsidP="00321BC5">
            <w:pPr>
              <w:pStyle w:val="TableText"/>
              <w:cnfStyle w:val="000000000000" w:firstRow="0" w:lastRow="0" w:firstColumn="0" w:lastColumn="0" w:oddVBand="0" w:evenVBand="0" w:oddHBand="0" w:evenHBand="0" w:firstRowFirstColumn="0" w:firstRowLastColumn="0" w:lastRowFirstColumn="0" w:lastRowLastColumn="0"/>
            </w:pPr>
            <w:r w:rsidRPr="007A1075">
              <w:t>0.85</w:t>
            </w:r>
          </w:p>
        </w:tc>
        <w:tc>
          <w:tcPr>
            <w:tcW w:w="1304" w:type="dxa"/>
            <w:noWrap/>
            <w:hideMark/>
          </w:tcPr>
          <w:p w14:paraId="7ADF8795" w14:textId="77777777" w:rsidR="00C57EA7" w:rsidRPr="007A1075" w:rsidRDefault="00C57EA7" w:rsidP="00321BC5">
            <w:pPr>
              <w:pStyle w:val="TableText"/>
              <w:cnfStyle w:val="000000000000" w:firstRow="0" w:lastRow="0" w:firstColumn="0" w:lastColumn="0" w:oddVBand="0" w:evenVBand="0" w:oddHBand="0" w:evenHBand="0" w:firstRowFirstColumn="0" w:firstRowLastColumn="0" w:lastRowFirstColumn="0" w:lastRowLastColumn="0"/>
            </w:pPr>
            <w:r w:rsidRPr="007A1075">
              <w:t>930</w:t>
            </w:r>
          </w:p>
        </w:tc>
        <w:tc>
          <w:tcPr>
            <w:tcW w:w="1136" w:type="dxa"/>
            <w:noWrap/>
            <w:hideMark/>
          </w:tcPr>
          <w:p w14:paraId="6C6150B8" w14:textId="77777777" w:rsidR="00C57EA7" w:rsidRPr="007A1075" w:rsidRDefault="00C57EA7" w:rsidP="00321BC5">
            <w:pPr>
              <w:pStyle w:val="TableText"/>
              <w:cnfStyle w:val="000000000000" w:firstRow="0" w:lastRow="0" w:firstColumn="0" w:lastColumn="0" w:oddVBand="0" w:evenVBand="0" w:oddHBand="0" w:evenHBand="0" w:firstRowFirstColumn="0" w:firstRowLastColumn="0" w:lastRowFirstColumn="0" w:lastRowLastColumn="0"/>
            </w:pPr>
            <w:r w:rsidRPr="007A1075">
              <w:t>151</w:t>
            </w:r>
          </w:p>
        </w:tc>
        <w:tc>
          <w:tcPr>
            <w:tcW w:w="1136" w:type="dxa"/>
            <w:noWrap/>
            <w:hideMark/>
          </w:tcPr>
          <w:p w14:paraId="6C628AC4" w14:textId="77777777" w:rsidR="00C57EA7" w:rsidRPr="007A1075" w:rsidRDefault="00C57EA7" w:rsidP="00321BC5">
            <w:pPr>
              <w:pStyle w:val="TableText"/>
              <w:cnfStyle w:val="000000000000" w:firstRow="0" w:lastRow="0" w:firstColumn="0" w:lastColumn="0" w:oddVBand="0" w:evenVBand="0" w:oddHBand="0" w:evenHBand="0" w:firstRowFirstColumn="0" w:firstRowLastColumn="0" w:lastRowFirstColumn="0" w:lastRowLastColumn="0"/>
            </w:pPr>
            <w:r w:rsidRPr="007A1075">
              <w:t>&lt;.001</w:t>
            </w:r>
          </w:p>
        </w:tc>
        <w:tc>
          <w:tcPr>
            <w:tcW w:w="1457" w:type="dxa"/>
            <w:noWrap/>
            <w:hideMark/>
          </w:tcPr>
          <w:p w14:paraId="1B727F03" w14:textId="77777777" w:rsidR="00C57EA7" w:rsidRPr="007A1075" w:rsidRDefault="00C57EA7" w:rsidP="00321BC5">
            <w:pPr>
              <w:pStyle w:val="TableText"/>
              <w:cnfStyle w:val="000000000000" w:firstRow="0" w:lastRow="0" w:firstColumn="0" w:lastColumn="0" w:oddVBand="0" w:evenVBand="0" w:oddHBand="0" w:evenHBand="0" w:firstRowFirstColumn="0" w:firstRowLastColumn="0" w:lastRowFirstColumn="0" w:lastRowLastColumn="0"/>
            </w:pPr>
            <w:r w:rsidRPr="007A1075">
              <w:t>52.3% (n=79)</w:t>
            </w:r>
          </w:p>
        </w:tc>
      </w:tr>
      <w:tr w:rsidR="00C57EA7" w:rsidRPr="007A1075" w14:paraId="0CC33138" w14:textId="77777777" w:rsidTr="00C57EA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61" w:type="dxa"/>
            <w:vMerge/>
            <w:hideMark/>
          </w:tcPr>
          <w:p w14:paraId="381392E6" w14:textId="77777777" w:rsidR="00C57EA7" w:rsidRPr="00C57EA7" w:rsidRDefault="00C57EA7" w:rsidP="00321BC5">
            <w:pPr>
              <w:pStyle w:val="TableText"/>
            </w:pPr>
          </w:p>
        </w:tc>
        <w:tc>
          <w:tcPr>
            <w:tcW w:w="892" w:type="dxa"/>
            <w:vMerge/>
            <w:hideMark/>
          </w:tcPr>
          <w:p w14:paraId="61F76608" w14:textId="77777777" w:rsidR="00C57EA7" w:rsidRPr="00321BC5" w:rsidRDefault="00C57EA7" w:rsidP="00321BC5">
            <w:pPr>
              <w:pStyle w:val="TableText"/>
              <w:cnfStyle w:val="000000100000" w:firstRow="0" w:lastRow="0" w:firstColumn="0" w:lastColumn="0" w:oddVBand="0" w:evenVBand="0" w:oddHBand="1" w:evenHBand="0" w:firstRowFirstColumn="0" w:firstRowLastColumn="0" w:lastRowFirstColumn="0" w:lastRowLastColumn="0"/>
            </w:pPr>
          </w:p>
        </w:tc>
        <w:tc>
          <w:tcPr>
            <w:tcW w:w="1686" w:type="dxa"/>
            <w:vMerge/>
            <w:hideMark/>
          </w:tcPr>
          <w:p w14:paraId="6B1230FF" w14:textId="77777777" w:rsidR="00C57EA7" w:rsidRPr="00321BC5" w:rsidRDefault="00C57EA7" w:rsidP="00321BC5">
            <w:pPr>
              <w:pStyle w:val="TableText"/>
              <w:cnfStyle w:val="000000100000" w:firstRow="0" w:lastRow="0" w:firstColumn="0" w:lastColumn="0" w:oddVBand="0" w:evenVBand="0" w:oddHBand="1" w:evenHBand="0" w:firstRowFirstColumn="0" w:firstRowLastColumn="0" w:lastRowFirstColumn="0" w:lastRowLastColumn="0"/>
            </w:pPr>
          </w:p>
        </w:tc>
        <w:tc>
          <w:tcPr>
            <w:tcW w:w="3977" w:type="dxa"/>
            <w:noWrap/>
            <w:hideMark/>
          </w:tcPr>
          <w:p w14:paraId="33EE9CA6" w14:textId="77777777" w:rsidR="00C57EA7" w:rsidRPr="00321BC5" w:rsidRDefault="00C57EA7" w:rsidP="00321BC5">
            <w:pPr>
              <w:pStyle w:val="TableText"/>
              <w:cnfStyle w:val="000000100000" w:firstRow="0" w:lastRow="0" w:firstColumn="0" w:lastColumn="0" w:oddVBand="0" w:evenVBand="0" w:oddHBand="1" w:evenHBand="0" w:firstRowFirstColumn="0" w:firstRowLastColumn="0" w:lastRowFirstColumn="0" w:lastRowLastColumn="0"/>
            </w:pPr>
            <w:r w:rsidRPr="00321BC5">
              <w:rPr>
                <w:lang w:val="en-NZ"/>
              </w:rPr>
              <w:t>Mental health, wellbeing and self-care</w:t>
            </w:r>
          </w:p>
        </w:tc>
        <w:tc>
          <w:tcPr>
            <w:tcW w:w="1395" w:type="dxa"/>
            <w:noWrap/>
            <w:hideMark/>
          </w:tcPr>
          <w:p w14:paraId="63FC6970" w14:textId="77777777" w:rsidR="00C57EA7" w:rsidRPr="007A1075" w:rsidRDefault="00C57EA7" w:rsidP="00321BC5">
            <w:pPr>
              <w:pStyle w:val="TableText"/>
              <w:cnfStyle w:val="000000100000" w:firstRow="0" w:lastRow="0" w:firstColumn="0" w:lastColumn="0" w:oddVBand="0" w:evenVBand="0" w:oddHBand="1" w:evenHBand="0" w:firstRowFirstColumn="0" w:firstRowLastColumn="0" w:lastRowFirstColumn="0" w:lastRowLastColumn="0"/>
            </w:pPr>
            <w:r w:rsidRPr="007A1075">
              <w:t>0.94</w:t>
            </w:r>
          </w:p>
        </w:tc>
        <w:tc>
          <w:tcPr>
            <w:tcW w:w="1304" w:type="dxa"/>
            <w:noWrap/>
            <w:hideMark/>
          </w:tcPr>
          <w:p w14:paraId="6565E56C" w14:textId="77777777" w:rsidR="00C57EA7" w:rsidRPr="007A1075" w:rsidRDefault="00C57EA7" w:rsidP="00321BC5">
            <w:pPr>
              <w:pStyle w:val="TableText"/>
              <w:cnfStyle w:val="000000100000" w:firstRow="0" w:lastRow="0" w:firstColumn="0" w:lastColumn="0" w:oddVBand="0" w:evenVBand="0" w:oddHBand="1" w:evenHBand="0" w:firstRowFirstColumn="0" w:firstRowLastColumn="0" w:lastRowFirstColumn="0" w:lastRowLastColumn="0"/>
            </w:pPr>
            <w:r w:rsidRPr="007A1075">
              <w:t>1040</w:t>
            </w:r>
          </w:p>
        </w:tc>
        <w:tc>
          <w:tcPr>
            <w:tcW w:w="1136" w:type="dxa"/>
            <w:noWrap/>
            <w:hideMark/>
          </w:tcPr>
          <w:p w14:paraId="111F441E" w14:textId="77777777" w:rsidR="00C57EA7" w:rsidRPr="007A1075" w:rsidRDefault="00C57EA7" w:rsidP="00321BC5">
            <w:pPr>
              <w:pStyle w:val="TableText"/>
              <w:cnfStyle w:val="000000100000" w:firstRow="0" w:lastRow="0" w:firstColumn="0" w:lastColumn="0" w:oddVBand="0" w:evenVBand="0" w:oddHBand="1" w:evenHBand="0" w:firstRowFirstColumn="0" w:firstRowLastColumn="0" w:lastRowFirstColumn="0" w:lastRowLastColumn="0"/>
            </w:pPr>
            <w:r w:rsidRPr="007A1075">
              <w:t>179</w:t>
            </w:r>
          </w:p>
        </w:tc>
        <w:tc>
          <w:tcPr>
            <w:tcW w:w="1136" w:type="dxa"/>
            <w:noWrap/>
            <w:hideMark/>
          </w:tcPr>
          <w:p w14:paraId="7784EB3E" w14:textId="77777777" w:rsidR="00C57EA7" w:rsidRPr="007A1075" w:rsidRDefault="00C57EA7" w:rsidP="00321BC5">
            <w:pPr>
              <w:pStyle w:val="TableText"/>
              <w:cnfStyle w:val="000000100000" w:firstRow="0" w:lastRow="0" w:firstColumn="0" w:lastColumn="0" w:oddVBand="0" w:evenVBand="0" w:oddHBand="1" w:evenHBand="0" w:firstRowFirstColumn="0" w:firstRowLastColumn="0" w:lastRowFirstColumn="0" w:lastRowLastColumn="0"/>
            </w:pPr>
            <w:r w:rsidRPr="007A1075">
              <w:t>&lt;.001</w:t>
            </w:r>
          </w:p>
        </w:tc>
        <w:tc>
          <w:tcPr>
            <w:tcW w:w="1457" w:type="dxa"/>
            <w:noWrap/>
            <w:hideMark/>
          </w:tcPr>
          <w:p w14:paraId="41419A24" w14:textId="77777777" w:rsidR="00C57EA7" w:rsidRPr="007A1075" w:rsidRDefault="00C57EA7" w:rsidP="00321BC5">
            <w:pPr>
              <w:pStyle w:val="TableText"/>
              <w:cnfStyle w:val="000000100000" w:firstRow="0" w:lastRow="0" w:firstColumn="0" w:lastColumn="0" w:oddVBand="0" w:evenVBand="0" w:oddHBand="1" w:evenHBand="0" w:firstRowFirstColumn="0" w:firstRowLastColumn="0" w:lastRowFirstColumn="0" w:lastRowLastColumn="0"/>
            </w:pPr>
            <w:r w:rsidRPr="007A1075">
              <w:t>58.7% (n=105)</w:t>
            </w:r>
          </w:p>
        </w:tc>
      </w:tr>
      <w:tr w:rsidR="00C57EA7" w:rsidRPr="007A1075" w14:paraId="4DDD1328" w14:textId="77777777" w:rsidTr="00C57EA7">
        <w:trPr>
          <w:trHeight w:val="290"/>
        </w:trPr>
        <w:tc>
          <w:tcPr>
            <w:cnfStyle w:val="001000000000" w:firstRow="0" w:lastRow="0" w:firstColumn="1" w:lastColumn="0" w:oddVBand="0" w:evenVBand="0" w:oddHBand="0" w:evenHBand="0" w:firstRowFirstColumn="0" w:firstRowLastColumn="0" w:lastRowFirstColumn="0" w:lastRowLastColumn="0"/>
            <w:tcW w:w="961" w:type="dxa"/>
            <w:vMerge/>
            <w:hideMark/>
          </w:tcPr>
          <w:p w14:paraId="3743F887" w14:textId="77777777" w:rsidR="00C57EA7" w:rsidRPr="00C57EA7" w:rsidRDefault="00C57EA7" w:rsidP="00321BC5">
            <w:pPr>
              <w:pStyle w:val="TableText"/>
            </w:pPr>
          </w:p>
        </w:tc>
        <w:tc>
          <w:tcPr>
            <w:tcW w:w="892" w:type="dxa"/>
            <w:vMerge/>
            <w:hideMark/>
          </w:tcPr>
          <w:p w14:paraId="45A21BF3" w14:textId="77777777" w:rsidR="00C57EA7" w:rsidRPr="00321BC5" w:rsidRDefault="00C57EA7" w:rsidP="00321BC5">
            <w:pPr>
              <w:pStyle w:val="TableText"/>
              <w:cnfStyle w:val="000000000000" w:firstRow="0" w:lastRow="0" w:firstColumn="0" w:lastColumn="0" w:oddVBand="0" w:evenVBand="0" w:oddHBand="0" w:evenHBand="0" w:firstRowFirstColumn="0" w:firstRowLastColumn="0" w:lastRowFirstColumn="0" w:lastRowLastColumn="0"/>
            </w:pPr>
          </w:p>
        </w:tc>
        <w:tc>
          <w:tcPr>
            <w:tcW w:w="1686" w:type="dxa"/>
            <w:vMerge/>
            <w:hideMark/>
          </w:tcPr>
          <w:p w14:paraId="771708FF" w14:textId="77777777" w:rsidR="00C57EA7" w:rsidRPr="00321BC5" w:rsidRDefault="00C57EA7" w:rsidP="00321BC5">
            <w:pPr>
              <w:pStyle w:val="TableText"/>
              <w:cnfStyle w:val="000000000000" w:firstRow="0" w:lastRow="0" w:firstColumn="0" w:lastColumn="0" w:oddVBand="0" w:evenVBand="0" w:oddHBand="0" w:evenHBand="0" w:firstRowFirstColumn="0" w:firstRowLastColumn="0" w:lastRowFirstColumn="0" w:lastRowLastColumn="0"/>
            </w:pPr>
          </w:p>
        </w:tc>
        <w:tc>
          <w:tcPr>
            <w:tcW w:w="3977" w:type="dxa"/>
            <w:noWrap/>
            <w:hideMark/>
          </w:tcPr>
          <w:p w14:paraId="49C12907" w14:textId="77777777" w:rsidR="00C57EA7" w:rsidRPr="00321BC5" w:rsidRDefault="00C57EA7" w:rsidP="00321BC5">
            <w:pPr>
              <w:pStyle w:val="TableText"/>
              <w:cnfStyle w:val="000000000000" w:firstRow="0" w:lastRow="0" w:firstColumn="0" w:lastColumn="0" w:oddVBand="0" w:evenVBand="0" w:oddHBand="0" w:evenHBand="0" w:firstRowFirstColumn="0" w:firstRowLastColumn="0" w:lastRowFirstColumn="0" w:lastRowLastColumn="0"/>
            </w:pPr>
            <w:r w:rsidRPr="00321BC5">
              <w:t>Personal and family safety</w:t>
            </w:r>
          </w:p>
        </w:tc>
        <w:tc>
          <w:tcPr>
            <w:tcW w:w="1395" w:type="dxa"/>
            <w:noWrap/>
            <w:hideMark/>
          </w:tcPr>
          <w:p w14:paraId="124FDE44" w14:textId="77777777" w:rsidR="00C57EA7" w:rsidRPr="007A1075" w:rsidRDefault="00C57EA7" w:rsidP="00321BC5">
            <w:pPr>
              <w:pStyle w:val="TableText"/>
              <w:cnfStyle w:val="000000000000" w:firstRow="0" w:lastRow="0" w:firstColumn="0" w:lastColumn="0" w:oddVBand="0" w:evenVBand="0" w:oddHBand="0" w:evenHBand="0" w:firstRowFirstColumn="0" w:firstRowLastColumn="0" w:lastRowFirstColumn="0" w:lastRowLastColumn="0"/>
            </w:pPr>
            <w:r w:rsidRPr="007A1075">
              <w:t>0.86</w:t>
            </w:r>
          </w:p>
        </w:tc>
        <w:tc>
          <w:tcPr>
            <w:tcW w:w="1304" w:type="dxa"/>
            <w:noWrap/>
            <w:hideMark/>
          </w:tcPr>
          <w:p w14:paraId="1D0E9FB0" w14:textId="77777777" w:rsidR="00C57EA7" w:rsidRPr="007A1075" w:rsidRDefault="00C57EA7" w:rsidP="00321BC5">
            <w:pPr>
              <w:pStyle w:val="TableText"/>
              <w:cnfStyle w:val="000000000000" w:firstRow="0" w:lastRow="0" w:firstColumn="0" w:lastColumn="0" w:oddVBand="0" w:evenVBand="0" w:oddHBand="0" w:evenHBand="0" w:firstRowFirstColumn="0" w:firstRowLastColumn="0" w:lastRowFirstColumn="0" w:lastRowLastColumn="0"/>
            </w:pPr>
            <w:r w:rsidRPr="007A1075">
              <w:t>1109</w:t>
            </w:r>
          </w:p>
        </w:tc>
        <w:tc>
          <w:tcPr>
            <w:tcW w:w="1136" w:type="dxa"/>
            <w:noWrap/>
            <w:hideMark/>
          </w:tcPr>
          <w:p w14:paraId="5510D344" w14:textId="77777777" w:rsidR="00C57EA7" w:rsidRPr="007A1075" w:rsidRDefault="00C57EA7" w:rsidP="00321BC5">
            <w:pPr>
              <w:pStyle w:val="TableText"/>
              <w:cnfStyle w:val="000000000000" w:firstRow="0" w:lastRow="0" w:firstColumn="0" w:lastColumn="0" w:oddVBand="0" w:evenVBand="0" w:oddHBand="0" w:evenHBand="0" w:firstRowFirstColumn="0" w:firstRowLastColumn="0" w:lastRowFirstColumn="0" w:lastRowLastColumn="0"/>
            </w:pPr>
            <w:r w:rsidRPr="007A1075">
              <w:t>172</w:t>
            </w:r>
          </w:p>
        </w:tc>
        <w:tc>
          <w:tcPr>
            <w:tcW w:w="1136" w:type="dxa"/>
            <w:noWrap/>
            <w:hideMark/>
          </w:tcPr>
          <w:p w14:paraId="0185B79E" w14:textId="77777777" w:rsidR="00C57EA7" w:rsidRPr="007A1075" w:rsidRDefault="00C57EA7" w:rsidP="00321BC5">
            <w:pPr>
              <w:pStyle w:val="TableText"/>
              <w:cnfStyle w:val="000000000000" w:firstRow="0" w:lastRow="0" w:firstColumn="0" w:lastColumn="0" w:oddVBand="0" w:evenVBand="0" w:oddHBand="0" w:evenHBand="0" w:firstRowFirstColumn="0" w:firstRowLastColumn="0" w:lastRowFirstColumn="0" w:lastRowLastColumn="0"/>
            </w:pPr>
            <w:r w:rsidRPr="007A1075">
              <w:t>&lt;.001</w:t>
            </w:r>
          </w:p>
        </w:tc>
        <w:tc>
          <w:tcPr>
            <w:tcW w:w="1457" w:type="dxa"/>
            <w:noWrap/>
            <w:hideMark/>
          </w:tcPr>
          <w:p w14:paraId="01E1C8B2" w14:textId="77777777" w:rsidR="00C57EA7" w:rsidRPr="007A1075" w:rsidRDefault="00C57EA7" w:rsidP="00321BC5">
            <w:pPr>
              <w:pStyle w:val="TableText"/>
              <w:cnfStyle w:val="000000000000" w:firstRow="0" w:lastRow="0" w:firstColumn="0" w:lastColumn="0" w:oddVBand="0" w:evenVBand="0" w:oddHBand="0" w:evenHBand="0" w:firstRowFirstColumn="0" w:firstRowLastColumn="0" w:lastRowFirstColumn="0" w:lastRowLastColumn="0"/>
            </w:pPr>
            <w:r w:rsidRPr="007A1075">
              <w:t>57.6% (n=99)</w:t>
            </w:r>
          </w:p>
        </w:tc>
      </w:tr>
      <w:tr w:rsidR="00C57EA7" w:rsidRPr="007A1075" w14:paraId="7AA3702F" w14:textId="77777777" w:rsidTr="00C57EA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61" w:type="dxa"/>
            <w:vMerge/>
            <w:hideMark/>
          </w:tcPr>
          <w:p w14:paraId="3534B73D" w14:textId="77777777" w:rsidR="00C57EA7" w:rsidRPr="00C57EA7" w:rsidRDefault="00C57EA7" w:rsidP="00321BC5">
            <w:pPr>
              <w:pStyle w:val="TableText"/>
            </w:pPr>
          </w:p>
        </w:tc>
        <w:tc>
          <w:tcPr>
            <w:tcW w:w="892" w:type="dxa"/>
            <w:vMerge/>
            <w:hideMark/>
          </w:tcPr>
          <w:p w14:paraId="42667840" w14:textId="77777777" w:rsidR="00C57EA7" w:rsidRPr="00321BC5" w:rsidRDefault="00C57EA7" w:rsidP="00321BC5">
            <w:pPr>
              <w:pStyle w:val="TableText"/>
              <w:cnfStyle w:val="000000100000" w:firstRow="0" w:lastRow="0" w:firstColumn="0" w:lastColumn="0" w:oddVBand="0" w:evenVBand="0" w:oddHBand="1" w:evenHBand="0" w:firstRowFirstColumn="0" w:firstRowLastColumn="0" w:lastRowFirstColumn="0" w:lastRowLastColumn="0"/>
            </w:pPr>
          </w:p>
        </w:tc>
        <w:tc>
          <w:tcPr>
            <w:tcW w:w="1686" w:type="dxa"/>
            <w:vMerge w:val="restart"/>
            <w:hideMark/>
          </w:tcPr>
          <w:p w14:paraId="702007F6" w14:textId="77777777" w:rsidR="00C57EA7" w:rsidRPr="00321BC5" w:rsidRDefault="00C57EA7" w:rsidP="00321BC5">
            <w:pPr>
              <w:pStyle w:val="TableText"/>
              <w:cnfStyle w:val="000000100000" w:firstRow="0" w:lastRow="0" w:firstColumn="0" w:lastColumn="0" w:oddVBand="0" w:evenVBand="0" w:oddHBand="1" w:evenHBand="0" w:firstRowFirstColumn="0" w:firstRowLastColumn="0" w:lastRowFirstColumn="0" w:lastRowLastColumn="0"/>
            </w:pPr>
            <w:r w:rsidRPr="00321BC5">
              <w:t>Goals</w:t>
            </w:r>
          </w:p>
        </w:tc>
        <w:tc>
          <w:tcPr>
            <w:tcW w:w="3977" w:type="dxa"/>
            <w:noWrap/>
            <w:hideMark/>
          </w:tcPr>
          <w:p w14:paraId="17DE6AF8" w14:textId="77777777" w:rsidR="00C57EA7" w:rsidRPr="00321BC5" w:rsidRDefault="00C57EA7" w:rsidP="00321BC5">
            <w:pPr>
              <w:pStyle w:val="TableText"/>
              <w:cnfStyle w:val="000000100000" w:firstRow="0" w:lastRow="0" w:firstColumn="0" w:lastColumn="0" w:oddVBand="0" w:evenVBand="0" w:oddHBand="1" w:evenHBand="0" w:firstRowFirstColumn="0" w:firstRowLastColumn="0" w:lastRowFirstColumn="0" w:lastRowLastColumn="0"/>
            </w:pPr>
            <w:r w:rsidRPr="00321BC5">
              <w:t>Changed behaviours</w:t>
            </w:r>
          </w:p>
        </w:tc>
        <w:tc>
          <w:tcPr>
            <w:tcW w:w="1395" w:type="dxa"/>
            <w:noWrap/>
            <w:hideMark/>
          </w:tcPr>
          <w:p w14:paraId="4ABA76A6" w14:textId="77777777" w:rsidR="00C57EA7" w:rsidRPr="007A1075" w:rsidRDefault="00C57EA7" w:rsidP="00321BC5">
            <w:pPr>
              <w:pStyle w:val="TableText"/>
              <w:cnfStyle w:val="000000100000" w:firstRow="0" w:lastRow="0" w:firstColumn="0" w:lastColumn="0" w:oddVBand="0" w:evenVBand="0" w:oddHBand="1" w:evenHBand="0" w:firstRowFirstColumn="0" w:firstRowLastColumn="0" w:lastRowFirstColumn="0" w:lastRowLastColumn="0"/>
            </w:pPr>
            <w:r w:rsidRPr="007A1075">
              <w:t>0.77</w:t>
            </w:r>
          </w:p>
        </w:tc>
        <w:tc>
          <w:tcPr>
            <w:tcW w:w="1304" w:type="dxa"/>
            <w:noWrap/>
            <w:hideMark/>
          </w:tcPr>
          <w:p w14:paraId="6E668DE0" w14:textId="77777777" w:rsidR="00C57EA7" w:rsidRPr="007A1075" w:rsidRDefault="00C57EA7" w:rsidP="00321BC5">
            <w:pPr>
              <w:pStyle w:val="TableText"/>
              <w:cnfStyle w:val="000000100000" w:firstRow="0" w:lastRow="0" w:firstColumn="0" w:lastColumn="0" w:oddVBand="0" w:evenVBand="0" w:oddHBand="1" w:evenHBand="0" w:firstRowFirstColumn="0" w:firstRowLastColumn="0" w:lastRowFirstColumn="0" w:lastRowLastColumn="0"/>
            </w:pPr>
            <w:r w:rsidRPr="007A1075">
              <w:t>584</w:t>
            </w:r>
          </w:p>
        </w:tc>
        <w:tc>
          <w:tcPr>
            <w:tcW w:w="1136" w:type="dxa"/>
            <w:noWrap/>
            <w:hideMark/>
          </w:tcPr>
          <w:p w14:paraId="6F5DC6D4" w14:textId="77777777" w:rsidR="00C57EA7" w:rsidRPr="007A1075" w:rsidRDefault="00C57EA7" w:rsidP="00321BC5">
            <w:pPr>
              <w:pStyle w:val="TableText"/>
              <w:cnfStyle w:val="000000100000" w:firstRow="0" w:lastRow="0" w:firstColumn="0" w:lastColumn="0" w:oddVBand="0" w:evenVBand="0" w:oddHBand="1" w:evenHBand="0" w:firstRowFirstColumn="0" w:firstRowLastColumn="0" w:lastRowFirstColumn="0" w:lastRowLastColumn="0"/>
            </w:pPr>
            <w:r w:rsidRPr="007A1075">
              <w:t>121</w:t>
            </w:r>
          </w:p>
        </w:tc>
        <w:tc>
          <w:tcPr>
            <w:tcW w:w="1136" w:type="dxa"/>
            <w:noWrap/>
            <w:hideMark/>
          </w:tcPr>
          <w:p w14:paraId="7BA1A7FA" w14:textId="77777777" w:rsidR="00C57EA7" w:rsidRPr="007A1075" w:rsidRDefault="00C57EA7" w:rsidP="00321BC5">
            <w:pPr>
              <w:pStyle w:val="TableText"/>
              <w:cnfStyle w:val="000000100000" w:firstRow="0" w:lastRow="0" w:firstColumn="0" w:lastColumn="0" w:oddVBand="0" w:evenVBand="0" w:oddHBand="1" w:evenHBand="0" w:firstRowFirstColumn="0" w:firstRowLastColumn="0" w:lastRowFirstColumn="0" w:lastRowLastColumn="0"/>
            </w:pPr>
            <w:r w:rsidRPr="007A1075">
              <w:t>&lt;.001</w:t>
            </w:r>
          </w:p>
        </w:tc>
        <w:tc>
          <w:tcPr>
            <w:tcW w:w="1457" w:type="dxa"/>
            <w:noWrap/>
            <w:hideMark/>
          </w:tcPr>
          <w:p w14:paraId="03B6107E" w14:textId="77777777" w:rsidR="00C57EA7" w:rsidRPr="007A1075" w:rsidRDefault="00C57EA7" w:rsidP="00321BC5">
            <w:pPr>
              <w:pStyle w:val="TableText"/>
              <w:cnfStyle w:val="000000100000" w:firstRow="0" w:lastRow="0" w:firstColumn="0" w:lastColumn="0" w:oddVBand="0" w:evenVBand="0" w:oddHBand="1" w:evenHBand="0" w:firstRowFirstColumn="0" w:firstRowLastColumn="0" w:lastRowFirstColumn="0" w:lastRowLastColumn="0"/>
            </w:pPr>
            <w:r w:rsidRPr="007A1075">
              <w:t>53.7% (n=65)</w:t>
            </w:r>
          </w:p>
        </w:tc>
      </w:tr>
      <w:tr w:rsidR="00C57EA7" w:rsidRPr="007A1075" w14:paraId="4230C210" w14:textId="77777777" w:rsidTr="00C57EA7">
        <w:trPr>
          <w:trHeight w:val="290"/>
        </w:trPr>
        <w:tc>
          <w:tcPr>
            <w:cnfStyle w:val="001000000000" w:firstRow="0" w:lastRow="0" w:firstColumn="1" w:lastColumn="0" w:oddVBand="0" w:evenVBand="0" w:oddHBand="0" w:evenHBand="0" w:firstRowFirstColumn="0" w:firstRowLastColumn="0" w:lastRowFirstColumn="0" w:lastRowLastColumn="0"/>
            <w:tcW w:w="961" w:type="dxa"/>
            <w:vMerge/>
            <w:hideMark/>
          </w:tcPr>
          <w:p w14:paraId="6B13C70A" w14:textId="77777777" w:rsidR="00C57EA7" w:rsidRPr="00C57EA7" w:rsidRDefault="00C57EA7" w:rsidP="00321BC5">
            <w:pPr>
              <w:pStyle w:val="TableText"/>
            </w:pPr>
          </w:p>
        </w:tc>
        <w:tc>
          <w:tcPr>
            <w:tcW w:w="892" w:type="dxa"/>
            <w:vMerge/>
            <w:hideMark/>
          </w:tcPr>
          <w:p w14:paraId="70C7B028" w14:textId="77777777" w:rsidR="00C57EA7" w:rsidRPr="00321BC5" w:rsidRDefault="00C57EA7" w:rsidP="00321BC5">
            <w:pPr>
              <w:pStyle w:val="TableText"/>
              <w:cnfStyle w:val="000000000000" w:firstRow="0" w:lastRow="0" w:firstColumn="0" w:lastColumn="0" w:oddVBand="0" w:evenVBand="0" w:oddHBand="0" w:evenHBand="0" w:firstRowFirstColumn="0" w:firstRowLastColumn="0" w:lastRowFirstColumn="0" w:lastRowLastColumn="0"/>
            </w:pPr>
          </w:p>
        </w:tc>
        <w:tc>
          <w:tcPr>
            <w:tcW w:w="1686" w:type="dxa"/>
            <w:vMerge/>
            <w:hideMark/>
          </w:tcPr>
          <w:p w14:paraId="37BDF388" w14:textId="77777777" w:rsidR="00C57EA7" w:rsidRPr="00321BC5" w:rsidRDefault="00C57EA7" w:rsidP="00321BC5">
            <w:pPr>
              <w:pStyle w:val="TableText"/>
              <w:cnfStyle w:val="000000000000" w:firstRow="0" w:lastRow="0" w:firstColumn="0" w:lastColumn="0" w:oddVBand="0" w:evenVBand="0" w:oddHBand="0" w:evenHBand="0" w:firstRowFirstColumn="0" w:firstRowLastColumn="0" w:lastRowFirstColumn="0" w:lastRowLastColumn="0"/>
            </w:pPr>
          </w:p>
        </w:tc>
        <w:tc>
          <w:tcPr>
            <w:tcW w:w="3977" w:type="dxa"/>
            <w:noWrap/>
            <w:hideMark/>
          </w:tcPr>
          <w:p w14:paraId="0D346BC5" w14:textId="77777777" w:rsidR="00C57EA7" w:rsidRPr="00321BC5" w:rsidRDefault="00C57EA7" w:rsidP="00321BC5">
            <w:pPr>
              <w:pStyle w:val="TableText"/>
              <w:cnfStyle w:val="000000000000" w:firstRow="0" w:lastRow="0" w:firstColumn="0" w:lastColumn="0" w:oddVBand="0" w:evenVBand="0" w:oddHBand="0" w:evenHBand="0" w:firstRowFirstColumn="0" w:firstRowLastColumn="0" w:lastRowFirstColumn="0" w:lastRowLastColumn="0"/>
            </w:pPr>
            <w:r w:rsidRPr="00321BC5">
              <w:t>Changed impact of immediate crisis</w:t>
            </w:r>
          </w:p>
        </w:tc>
        <w:tc>
          <w:tcPr>
            <w:tcW w:w="1395" w:type="dxa"/>
            <w:noWrap/>
            <w:hideMark/>
          </w:tcPr>
          <w:p w14:paraId="2F17235C" w14:textId="77777777" w:rsidR="00C57EA7" w:rsidRPr="007A1075" w:rsidRDefault="00C57EA7" w:rsidP="00321BC5">
            <w:pPr>
              <w:pStyle w:val="TableText"/>
              <w:cnfStyle w:val="000000000000" w:firstRow="0" w:lastRow="0" w:firstColumn="0" w:lastColumn="0" w:oddVBand="0" w:evenVBand="0" w:oddHBand="0" w:evenHBand="0" w:firstRowFirstColumn="0" w:firstRowLastColumn="0" w:lastRowFirstColumn="0" w:lastRowLastColumn="0"/>
            </w:pPr>
            <w:r w:rsidRPr="007A1075">
              <w:t>1.14</w:t>
            </w:r>
          </w:p>
        </w:tc>
        <w:tc>
          <w:tcPr>
            <w:tcW w:w="1304" w:type="dxa"/>
            <w:noWrap/>
            <w:hideMark/>
          </w:tcPr>
          <w:p w14:paraId="25B43C24" w14:textId="77777777" w:rsidR="00C57EA7" w:rsidRPr="007A1075" w:rsidRDefault="00C57EA7" w:rsidP="00321BC5">
            <w:pPr>
              <w:pStyle w:val="TableText"/>
              <w:cnfStyle w:val="000000000000" w:firstRow="0" w:lastRow="0" w:firstColumn="0" w:lastColumn="0" w:oddVBand="0" w:evenVBand="0" w:oddHBand="0" w:evenHBand="0" w:firstRowFirstColumn="0" w:firstRowLastColumn="0" w:lastRowFirstColumn="0" w:lastRowLastColumn="0"/>
            </w:pPr>
            <w:r w:rsidRPr="007A1075">
              <w:t>130.5</w:t>
            </w:r>
          </w:p>
        </w:tc>
        <w:tc>
          <w:tcPr>
            <w:tcW w:w="1136" w:type="dxa"/>
            <w:noWrap/>
            <w:hideMark/>
          </w:tcPr>
          <w:p w14:paraId="0E740201" w14:textId="77777777" w:rsidR="00C57EA7" w:rsidRPr="007A1075" w:rsidRDefault="00C57EA7" w:rsidP="00321BC5">
            <w:pPr>
              <w:pStyle w:val="TableText"/>
              <w:cnfStyle w:val="000000000000" w:firstRow="0" w:lastRow="0" w:firstColumn="0" w:lastColumn="0" w:oddVBand="0" w:evenVBand="0" w:oddHBand="0" w:evenHBand="0" w:firstRowFirstColumn="0" w:firstRowLastColumn="0" w:lastRowFirstColumn="0" w:lastRowLastColumn="0"/>
            </w:pPr>
            <w:r w:rsidRPr="007A1075">
              <w:t>65</w:t>
            </w:r>
          </w:p>
        </w:tc>
        <w:tc>
          <w:tcPr>
            <w:tcW w:w="1136" w:type="dxa"/>
            <w:noWrap/>
            <w:hideMark/>
          </w:tcPr>
          <w:p w14:paraId="137D9A70" w14:textId="77777777" w:rsidR="00C57EA7" w:rsidRPr="007A1075" w:rsidRDefault="00C57EA7" w:rsidP="00321BC5">
            <w:pPr>
              <w:pStyle w:val="TableText"/>
              <w:cnfStyle w:val="000000000000" w:firstRow="0" w:lastRow="0" w:firstColumn="0" w:lastColumn="0" w:oddVBand="0" w:evenVBand="0" w:oddHBand="0" w:evenHBand="0" w:firstRowFirstColumn="0" w:firstRowLastColumn="0" w:lastRowFirstColumn="0" w:lastRowLastColumn="0"/>
            </w:pPr>
            <w:r w:rsidRPr="007A1075">
              <w:t>&lt;.001</w:t>
            </w:r>
          </w:p>
        </w:tc>
        <w:tc>
          <w:tcPr>
            <w:tcW w:w="1457" w:type="dxa"/>
            <w:noWrap/>
            <w:hideMark/>
          </w:tcPr>
          <w:p w14:paraId="549A6565" w14:textId="77777777" w:rsidR="00C57EA7" w:rsidRPr="007A1075" w:rsidRDefault="00C57EA7" w:rsidP="00321BC5">
            <w:pPr>
              <w:pStyle w:val="TableText"/>
              <w:cnfStyle w:val="000000000000" w:firstRow="0" w:lastRow="0" w:firstColumn="0" w:lastColumn="0" w:oddVBand="0" w:evenVBand="0" w:oddHBand="0" w:evenHBand="0" w:firstRowFirstColumn="0" w:firstRowLastColumn="0" w:lastRowFirstColumn="0" w:lastRowLastColumn="0"/>
            </w:pPr>
            <w:r w:rsidRPr="007A1075">
              <w:t>67.7% (n=44)</w:t>
            </w:r>
          </w:p>
        </w:tc>
      </w:tr>
      <w:tr w:rsidR="00C57EA7" w:rsidRPr="007A1075" w14:paraId="4994A715" w14:textId="77777777" w:rsidTr="00C57EA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61" w:type="dxa"/>
            <w:vMerge/>
            <w:hideMark/>
          </w:tcPr>
          <w:p w14:paraId="6391A8A4" w14:textId="77777777" w:rsidR="00C57EA7" w:rsidRPr="00C57EA7" w:rsidRDefault="00C57EA7" w:rsidP="00321BC5">
            <w:pPr>
              <w:pStyle w:val="TableText"/>
            </w:pPr>
          </w:p>
        </w:tc>
        <w:tc>
          <w:tcPr>
            <w:tcW w:w="892" w:type="dxa"/>
            <w:vMerge/>
            <w:hideMark/>
          </w:tcPr>
          <w:p w14:paraId="65FF8AB2" w14:textId="77777777" w:rsidR="00C57EA7" w:rsidRPr="00321BC5" w:rsidRDefault="00C57EA7" w:rsidP="00321BC5">
            <w:pPr>
              <w:pStyle w:val="TableText"/>
              <w:cnfStyle w:val="000000100000" w:firstRow="0" w:lastRow="0" w:firstColumn="0" w:lastColumn="0" w:oddVBand="0" w:evenVBand="0" w:oddHBand="1" w:evenHBand="0" w:firstRowFirstColumn="0" w:firstRowLastColumn="0" w:lastRowFirstColumn="0" w:lastRowLastColumn="0"/>
            </w:pPr>
          </w:p>
        </w:tc>
        <w:tc>
          <w:tcPr>
            <w:tcW w:w="1686" w:type="dxa"/>
            <w:vMerge/>
            <w:hideMark/>
          </w:tcPr>
          <w:p w14:paraId="1778B6D1" w14:textId="77777777" w:rsidR="00C57EA7" w:rsidRPr="00321BC5" w:rsidRDefault="00C57EA7" w:rsidP="00321BC5">
            <w:pPr>
              <w:pStyle w:val="TableText"/>
              <w:cnfStyle w:val="000000100000" w:firstRow="0" w:lastRow="0" w:firstColumn="0" w:lastColumn="0" w:oddVBand="0" w:evenVBand="0" w:oddHBand="1" w:evenHBand="0" w:firstRowFirstColumn="0" w:firstRowLastColumn="0" w:lastRowFirstColumn="0" w:lastRowLastColumn="0"/>
            </w:pPr>
          </w:p>
        </w:tc>
        <w:tc>
          <w:tcPr>
            <w:tcW w:w="3977" w:type="dxa"/>
            <w:noWrap/>
            <w:hideMark/>
          </w:tcPr>
          <w:p w14:paraId="0D0A35D6" w14:textId="77777777" w:rsidR="00C57EA7" w:rsidRPr="00321BC5" w:rsidRDefault="00C57EA7" w:rsidP="00321BC5">
            <w:pPr>
              <w:pStyle w:val="TableText"/>
              <w:cnfStyle w:val="000000100000" w:firstRow="0" w:lastRow="0" w:firstColumn="0" w:lastColumn="0" w:oddVBand="0" w:evenVBand="0" w:oddHBand="1" w:evenHBand="0" w:firstRowFirstColumn="0" w:firstRowLastColumn="0" w:lastRowFirstColumn="0" w:lastRowLastColumn="0"/>
            </w:pPr>
            <w:r w:rsidRPr="00321BC5">
              <w:t>Changed knowledge and access to information</w:t>
            </w:r>
          </w:p>
        </w:tc>
        <w:tc>
          <w:tcPr>
            <w:tcW w:w="1395" w:type="dxa"/>
            <w:noWrap/>
            <w:hideMark/>
          </w:tcPr>
          <w:p w14:paraId="5BC01846" w14:textId="77777777" w:rsidR="00C57EA7" w:rsidRPr="007A1075" w:rsidRDefault="00C57EA7" w:rsidP="00321BC5">
            <w:pPr>
              <w:pStyle w:val="TableText"/>
              <w:cnfStyle w:val="000000100000" w:firstRow="0" w:lastRow="0" w:firstColumn="0" w:lastColumn="0" w:oddVBand="0" w:evenVBand="0" w:oddHBand="1" w:evenHBand="0" w:firstRowFirstColumn="0" w:firstRowLastColumn="0" w:lastRowFirstColumn="0" w:lastRowLastColumn="0"/>
            </w:pPr>
            <w:r w:rsidRPr="007A1075">
              <w:t>0.8</w:t>
            </w:r>
          </w:p>
        </w:tc>
        <w:tc>
          <w:tcPr>
            <w:tcW w:w="1304" w:type="dxa"/>
            <w:noWrap/>
            <w:hideMark/>
          </w:tcPr>
          <w:p w14:paraId="737024D8" w14:textId="77777777" w:rsidR="00C57EA7" w:rsidRPr="007A1075" w:rsidRDefault="00C57EA7" w:rsidP="00321BC5">
            <w:pPr>
              <w:pStyle w:val="TableText"/>
              <w:cnfStyle w:val="000000100000" w:firstRow="0" w:lastRow="0" w:firstColumn="0" w:lastColumn="0" w:oddVBand="0" w:evenVBand="0" w:oddHBand="1" w:evenHBand="0" w:firstRowFirstColumn="0" w:firstRowLastColumn="0" w:lastRowFirstColumn="0" w:lastRowLastColumn="0"/>
            </w:pPr>
            <w:r w:rsidRPr="007A1075">
              <w:t>1667</w:t>
            </w:r>
          </w:p>
        </w:tc>
        <w:tc>
          <w:tcPr>
            <w:tcW w:w="1136" w:type="dxa"/>
            <w:noWrap/>
            <w:hideMark/>
          </w:tcPr>
          <w:p w14:paraId="3042767E" w14:textId="77777777" w:rsidR="00C57EA7" w:rsidRPr="007A1075" w:rsidRDefault="00C57EA7" w:rsidP="00321BC5">
            <w:pPr>
              <w:pStyle w:val="TableText"/>
              <w:cnfStyle w:val="000000100000" w:firstRow="0" w:lastRow="0" w:firstColumn="0" w:lastColumn="0" w:oddVBand="0" w:evenVBand="0" w:oddHBand="1" w:evenHBand="0" w:firstRowFirstColumn="0" w:firstRowLastColumn="0" w:lastRowFirstColumn="0" w:lastRowLastColumn="0"/>
            </w:pPr>
            <w:r w:rsidRPr="007A1075">
              <w:t>224</w:t>
            </w:r>
          </w:p>
        </w:tc>
        <w:tc>
          <w:tcPr>
            <w:tcW w:w="1136" w:type="dxa"/>
            <w:noWrap/>
            <w:hideMark/>
          </w:tcPr>
          <w:p w14:paraId="00C89BB7" w14:textId="77777777" w:rsidR="00C57EA7" w:rsidRPr="007A1075" w:rsidRDefault="00C57EA7" w:rsidP="00321BC5">
            <w:pPr>
              <w:pStyle w:val="TableText"/>
              <w:cnfStyle w:val="000000100000" w:firstRow="0" w:lastRow="0" w:firstColumn="0" w:lastColumn="0" w:oddVBand="0" w:evenVBand="0" w:oddHBand="1" w:evenHBand="0" w:firstRowFirstColumn="0" w:firstRowLastColumn="0" w:lastRowFirstColumn="0" w:lastRowLastColumn="0"/>
            </w:pPr>
            <w:r w:rsidRPr="007A1075">
              <w:t>&lt;.001</w:t>
            </w:r>
          </w:p>
        </w:tc>
        <w:tc>
          <w:tcPr>
            <w:tcW w:w="1457" w:type="dxa"/>
            <w:noWrap/>
            <w:hideMark/>
          </w:tcPr>
          <w:p w14:paraId="2B0A6A16" w14:textId="77777777" w:rsidR="00C57EA7" w:rsidRPr="007A1075" w:rsidRDefault="00C57EA7" w:rsidP="00321BC5">
            <w:pPr>
              <w:pStyle w:val="TableText"/>
              <w:cnfStyle w:val="000000100000" w:firstRow="0" w:lastRow="0" w:firstColumn="0" w:lastColumn="0" w:oddVBand="0" w:evenVBand="0" w:oddHBand="1" w:evenHBand="0" w:firstRowFirstColumn="0" w:firstRowLastColumn="0" w:lastRowFirstColumn="0" w:lastRowLastColumn="0"/>
            </w:pPr>
            <w:r w:rsidRPr="007A1075">
              <w:t>56.2% (n=126)</w:t>
            </w:r>
          </w:p>
        </w:tc>
      </w:tr>
      <w:tr w:rsidR="00C57EA7" w:rsidRPr="007A1075" w14:paraId="36933E5F" w14:textId="77777777" w:rsidTr="00C57EA7">
        <w:trPr>
          <w:trHeight w:val="290"/>
        </w:trPr>
        <w:tc>
          <w:tcPr>
            <w:cnfStyle w:val="001000000000" w:firstRow="0" w:lastRow="0" w:firstColumn="1" w:lastColumn="0" w:oddVBand="0" w:evenVBand="0" w:oddHBand="0" w:evenHBand="0" w:firstRowFirstColumn="0" w:firstRowLastColumn="0" w:lastRowFirstColumn="0" w:lastRowLastColumn="0"/>
            <w:tcW w:w="961" w:type="dxa"/>
            <w:vMerge/>
            <w:hideMark/>
          </w:tcPr>
          <w:p w14:paraId="66DAB4D8" w14:textId="77777777" w:rsidR="00C57EA7" w:rsidRPr="00C57EA7" w:rsidRDefault="00C57EA7" w:rsidP="00321BC5">
            <w:pPr>
              <w:pStyle w:val="TableText"/>
            </w:pPr>
          </w:p>
        </w:tc>
        <w:tc>
          <w:tcPr>
            <w:tcW w:w="892" w:type="dxa"/>
            <w:vMerge/>
            <w:hideMark/>
          </w:tcPr>
          <w:p w14:paraId="6F58AD50" w14:textId="77777777" w:rsidR="00C57EA7" w:rsidRPr="00321BC5" w:rsidRDefault="00C57EA7" w:rsidP="00321BC5">
            <w:pPr>
              <w:pStyle w:val="TableText"/>
              <w:cnfStyle w:val="000000000000" w:firstRow="0" w:lastRow="0" w:firstColumn="0" w:lastColumn="0" w:oddVBand="0" w:evenVBand="0" w:oddHBand="0" w:evenHBand="0" w:firstRowFirstColumn="0" w:firstRowLastColumn="0" w:lastRowFirstColumn="0" w:lastRowLastColumn="0"/>
            </w:pPr>
          </w:p>
        </w:tc>
        <w:tc>
          <w:tcPr>
            <w:tcW w:w="1686" w:type="dxa"/>
            <w:vMerge/>
            <w:hideMark/>
          </w:tcPr>
          <w:p w14:paraId="37FDD704" w14:textId="77777777" w:rsidR="00C57EA7" w:rsidRPr="00321BC5" w:rsidRDefault="00C57EA7" w:rsidP="00321BC5">
            <w:pPr>
              <w:pStyle w:val="TableText"/>
              <w:cnfStyle w:val="000000000000" w:firstRow="0" w:lastRow="0" w:firstColumn="0" w:lastColumn="0" w:oddVBand="0" w:evenVBand="0" w:oddHBand="0" w:evenHBand="0" w:firstRowFirstColumn="0" w:firstRowLastColumn="0" w:lastRowFirstColumn="0" w:lastRowLastColumn="0"/>
            </w:pPr>
          </w:p>
        </w:tc>
        <w:tc>
          <w:tcPr>
            <w:tcW w:w="3977" w:type="dxa"/>
            <w:noWrap/>
            <w:hideMark/>
          </w:tcPr>
          <w:p w14:paraId="202E7F29" w14:textId="77777777" w:rsidR="00C57EA7" w:rsidRPr="00321BC5" w:rsidRDefault="00C57EA7" w:rsidP="00321BC5">
            <w:pPr>
              <w:pStyle w:val="TableText"/>
              <w:cnfStyle w:val="000000000000" w:firstRow="0" w:lastRow="0" w:firstColumn="0" w:lastColumn="0" w:oddVBand="0" w:evenVBand="0" w:oddHBand="0" w:evenHBand="0" w:firstRowFirstColumn="0" w:firstRowLastColumn="0" w:lastRowFirstColumn="0" w:lastRowLastColumn="0"/>
            </w:pPr>
            <w:r w:rsidRPr="00321BC5">
              <w:t>Changed skills</w:t>
            </w:r>
          </w:p>
        </w:tc>
        <w:tc>
          <w:tcPr>
            <w:tcW w:w="1395" w:type="dxa"/>
            <w:noWrap/>
            <w:hideMark/>
          </w:tcPr>
          <w:p w14:paraId="32D0FF0B" w14:textId="77777777" w:rsidR="00C57EA7" w:rsidRPr="007A1075" w:rsidRDefault="00C57EA7" w:rsidP="00321BC5">
            <w:pPr>
              <w:pStyle w:val="TableText"/>
              <w:cnfStyle w:val="000000000000" w:firstRow="0" w:lastRow="0" w:firstColumn="0" w:lastColumn="0" w:oddVBand="0" w:evenVBand="0" w:oddHBand="0" w:evenHBand="0" w:firstRowFirstColumn="0" w:firstRowLastColumn="0" w:lastRowFirstColumn="0" w:lastRowLastColumn="0"/>
            </w:pPr>
            <w:r w:rsidRPr="007A1075">
              <w:t>0.81</w:t>
            </w:r>
          </w:p>
        </w:tc>
        <w:tc>
          <w:tcPr>
            <w:tcW w:w="1304" w:type="dxa"/>
            <w:noWrap/>
            <w:hideMark/>
          </w:tcPr>
          <w:p w14:paraId="16D516D9" w14:textId="77777777" w:rsidR="00C57EA7" w:rsidRPr="007A1075" w:rsidRDefault="00C57EA7" w:rsidP="00321BC5">
            <w:pPr>
              <w:pStyle w:val="TableText"/>
              <w:cnfStyle w:val="000000000000" w:firstRow="0" w:lastRow="0" w:firstColumn="0" w:lastColumn="0" w:oddVBand="0" w:evenVBand="0" w:oddHBand="0" w:evenHBand="0" w:firstRowFirstColumn="0" w:firstRowLastColumn="0" w:lastRowFirstColumn="0" w:lastRowLastColumn="0"/>
            </w:pPr>
            <w:r w:rsidRPr="007A1075">
              <w:t>725</w:t>
            </w:r>
          </w:p>
        </w:tc>
        <w:tc>
          <w:tcPr>
            <w:tcW w:w="1136" w:type="dxa"/>
            <w:noWrap/>
            <w:hideMark/>
          </w:tcPr>
          <w:p w14:paraId="07DA521C" w14:textId="77777777" w:rsidR="00C57EA7" w:rsidRPr="007A1075" w:rsidRDefault="00C57EA7" w:rsidP="00321BC5">
            <w:pPr>
              <w:pStyle w:val="TableText"/>
              <w:cnfStyle w:val="000000000000" w:firstRow="0" w:lastRow="0" w:firstColumn="0" w:lastColumn="0" w:oddVBand="0" w:evenVBand="0" w:oddHBand="0" w:evenHBand="0" w:firstRowFirstColumn="0" w:firstRowLastColumn="0" w:lastRowFirstColumn="0" w:lastRowLastColumn="0"/>
            </w:pPr>
            <w:r w:rsidRPr="007A1075">
              <w:t>127</w:t>
            </w:r>
          </w:p>
        </w:tc>
        <w:tc>
          <w:tcPr>
            <w:tcW w:w="1136" w:type="dxa"/>
            <w:noWrap/>
            <w:hideMark/>
          </w:tcPr>
          <w:p w14:paraId="5D8CB664" w14:textId="77777777" w:rsidR="00C57EA7" w:rsidRPr="007A1075" w:rsidRDefault="00C57EA7" w:rsidP="00321BC5">
            <w:pPr>
              <w:pStyle w:val="TableText"/>
              <w:cnfStyle w:val="000000000000" w:firstRow="0" w:lastRow="0" w:firstColumn="0" w:lastColumn="0" w:oddVBand="0" w:evenVBand="0" w:oddHBand="0" w:evenHBand="0" w:firstRowFirstColumn="0" w:firstRowLastColumn="0" w:lastRowFirstColumn="0" w:lastRowLastColumn="0"/>
            </w:pPr>
            <w:r w:rsidRPr="007A1075">
              <w:t>&lt;.001</w:t>
            </w:r>
          </w:p>
        </w:tc>
        <w:tc>
          <w:tcPr>
            <w:tcW w:w="1457" w:type="dxa"/>
            <w:noWrap/>
            <w:hideMark/>
          </w:tcPr>
          <w:p w14:paraId="7A3DF955" w14:textId="77777777" w:rsidR="00C57EA7" w:rsidRPr="007A1075" w:rsidRDefault="00C57EA7" w:rsidP="00321BC5">
            <w:pPr>
              <w:pStyle w:val="TableText"/>
              <w:cnfStyle w:val="000000000000" w:firstRow="0" w:lastRow="0" w:firstColumn="0" w:lastColumn="0" w:oddVBand="0" w:evenVBand="0" w:oddHBand="0" w:evenHBand="0" w:firstRowFirstColumn="0" w:firstRowLastColumn="0" w:lastRowFirstColumn="0" w:lastRowLastColumn="0"/>
            </w:pPr>
            <w:r w:rsidRPr="007A1075">
              <w:t>53.5% (n=68)</w:t>
            </w:r>
          </w:p>
        </w:tc>
      </w:tr>
      <w:tr w:rsidR="00C57EA7" w:rsidRPr="007A1075" w14:paraId="5AF34115" w14:textId="77777777" w:rsidTr="00C57EA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61" w:type="dxa"/>
            <w:vMerge/>
            <w:hideMark/>
          </w:tcPr>
          <w:p w14:paraId="49CC8C2A" w14:textId="77777777" w:rsidR="00C57EA7" w:rsidRPr="00C57EA7" w:rsidRDefault="00C57EA7" w:rsidP="00321BC5">
            <w:pPr>
              <w:pStyle w:val="TableText"/>
            </w:pPr>
          </w:p>
        </w:tc>
        <w:tc>
          <w:tcPr>
            <w:tcW w:w="892" w:type="dxa"/>
            <w:vMerge/>
            <w:hideMark/>
          </w:tcPr>
          <w:p w14:paraId="472A164D" w14:textId="77777777" w:rsidR="00C57EA7" w:rsidRPr="00321BC5" w:rsidRDefault="00C57EA7" w:rsidP="00321BC5">
            <w:pPr>
              <w:pStyle w:val="TableText"/>
              <w:cnfStyle w:val="000000100000" w:firstRow="0" w:lastRow="0" w:firstColumn="0" w:lastColumn="0" w:oddVBand="0" w:evenVBand="0" w:oddHBand="1" w:evenHBand="0" w:firstRowFirstColumn="0" w:firstRowLastColumn="0" w:lastRowFirstColumn="0" w:lastRowLastColumn="0"/>
            </w:pPr>
          </w:p>
        </w:tc>
        <w:tc>
          <w:tcPr>
            <w:tcW w:w="1686" w:type="dxa"/>
            <w:vMerge/>
            <w:hideMark/>
          </w:tcPr>
          <w:p w14:paraId="34A66928" w14:textId="77777777" w:rsidR="00C57EA7" w:rsidRPr="00321BC5" w:rsidRDefault="00C57EA7" w:rsidP="00321BC5">
            <w:pPr>
              <w:pStyle w:val="TableText"/>
              <w:cnfStyle w:val="000000100000" w:firstRow="0" w:lastRow="0" w:firstColumn="0" w:lastColumn="0" w:oddVBand="0" w:evenVBand="0" w:oddHBand="1" w:evenHBand="0" w:firstRowFirstColumn="0" w:firstRowLastColumn="0" w:lastRowFirstColumn="0" w:lastRowLastColumn="0"/>
            </w:pPr>
          </w:p>
        </w:tc>
        <w:tc>
          <w:tcPr>
            <w:tcW w:w="3977" w:type="dxa"/>
            <w:noWrap/>
            <w:hideMark/>
          </w:tcPr>
          <w:p w14:paraId="6F1CED8F" w14:textId="77777777" w:rsidR="00C57EA7" w:rsidRPr="00321BC5" w:rsidRDefault="00C57EA7" w:rsidP="00321BC5">
            <w:pPr>
              <w:pStyle w:val="TableText"/>
              <w:cnfStyle w:val="000000100000" w:firstRow="0" w:lastRow="0" w:firstColumn="0" w:lastColumn="0" w:oddVBand="0" w:evenVBand="0" w:oddHBand="1" w:evenHBand="0" w:firstRowFirstColumn="0" w:firstRowLastColumn="0" w:lastRowFirstColumn="0" w:lastRowLastColumn="0"/>
            </w:pPr>
            <w:r w:rsidRPr="00321BC5">
              <w:rPr>
                <w:lang w:val="en-NZ"/>
              </w:rPr>
              <w:t>Empowerment, choice and control to make own decisions</w:t>
            </w:r>
          </w:p>
        </w:tc>
        <w:tc>
          <w:tcPr>
            <w:tcW w:w="1395" w:type="dxa"/>
            <w:noWrap/>
            <w:hideMark/>
          </w:tcPr>
          <w:p w14:paraId="43D27279" w14:textId="77777777" w:rsidR="00C57EA7" w:rsidRPr="007A1075" w:rsidRDefault="00C57EA7" w:rsidP="00321BC5">
            <w:pPr>
              <w:pStyle w:val="TableText"/>
              <w:cnfStyle w:val="000000100000" w:firstRow="0" w:lastRow="0" w:firstColumn="0" w:lastColumn="0" w:oddVBand="0" w:evenVBand="0" w:oddHBand="1" w:evenHBand="0" w:firstRowFirstColumn="0" w:firstRowLastColumn="0" w:lastRowFirstColumn="0" w:lastRowLastColumn="0"/>
            </w:pPr>
            <w:r w:rsidRPr="007A1075">
              <w:t>1.1</w:t>
            </w:r>
          </w:p>
        </w:tc>
        <w:tc>
          <w:tcPr>
            <w:tcW w:w="1304" w:type="dxa"/>
            <w:noWrap/>
            <w:hideMark/>
          </w:tcPr>
          <w:p w14:paraId="7B7E589B" w14:textId="77777777" w:rsidR="00C57EA7" w:rsidRPr="007A1075" w:rsidRDefault="00C57EA7" w:rsidP="00321BC5">
            <w:pPr>
              <w:pStyle w:val="TableText"/>
              <w:cnfStyle w:val="000000100000" w:firstRow="0" w:lastRow="0" w:firstColumn="0" w:lastColumn="0" w:oddVBand="0" w:evenVBand="0" w:oddHBand="1" w:evenHBand="0" w:firstRowFirstColumn="0" w:firstRowLastColumn="0" w:lastRowFirstColumn="0" w:lastRowLastColumn="0"/>
            </w:pPr>
            <w:r w:rsidRPr="007A1075">
              <w:t>593.5</w:t>
            </w:r>
          </w:p>
        </w:tc>
        <w:tc>
          <w:tcPr>
            <w:tcW w:w="1136" w:type="dxa"/>
            <w:noWrap/>
            <w:hideMark/>
          </w:tcPr>
          <w:p w14:paraId="391A2B8B" w14:textId="77777777" w:rsidR="00C57EA7" w:rsidRPr="007A1075" w:rsidRDefault="00C57EA7" w:rsidP="00321BC5">
            <w:pPr>
              <w:pStyle w:val="TableText"/>
              <w:cnfStyle w:val="000000100000" w:firstRow="0" w:lastRow="0" w:firstColumn="0" w:lastColumn="0" w:oddVBand="0" w:evenVBand="0" w:oddHBand="1" w:evenHBand="0" w:firstRowFirstColumn="0" w:firstRowLastColumn="0" w:lastRowFirstColumn="0" w:lastRowLastColumn="0"/>
            </w:pPr>
            <w:r w:rsidRPr="007A1075">
              <w:t>129</w:t>
            </w:r>
          </w:p>
        </w:tc>
        <w:tc>
          <w:tcPr>
            <w:tcW w:w="1136" w:type="dxa"/>
            <w:noWrap/>
            <w:hideMark/>
          </w:tcPr>
          <w:p w14:paraId="3C054970" w14:textId="77777777" w:rsidR="00C57EA7" w:rsidRPr="007A1075" w:rsidRDefault="00C57EA7" w:rsidP="00321BC5">
            <w:pPr>
              <w:pStyle w:val="TableText"/>
              <w:cnfStyle w:val="000000100000" w:firstRow="0" w:lastRow="0" w:firstColumn="0" w:lastColumn="0" w:oddVBand="0" w:evenVBand="0" w:oddHBand="1" w:evenHBand="0" w:firstRowFirstColumn="0" w:firstRowLastColumn="0" w:lastRowFirstColumn="0" w:lastRowLastColumn="0"/>
            </w:pPr>
            <w:r w:rsidRPr="007A1075">
              <w:t>&lt;.001</w:t>
            </w:r>
          </w:p>
        </w:tc>
        <w:tc>
          <w:tcPr>
            <w:tcW w:w="1457" w:type="dxa"/>
            <w:noWrap/>
            <w:hideMark/>
          </w:tcPr>
          <w:p w14:paraId="31DF34A4" w14:textId="77777777" w:rsidR="00C57EA7" w:rsidRPr="007A1075" w:rsidRDefault="00C57EA7" w:rsidP="00321BC5">
            <w:pPr>
              <w:pStyle w:val="TableText"/>
              <w:cnfStyle w:val="000000100000" w:firstRow="0" w:lastRow="0" w:firstColumn="0" w:lastColumn="0" w:oddVBand="0" w:evenVBand="0" w:oddHBand="1" w:evenHBand="0" w:firstRowFirstColumn="0" w:firstRowLastColumn="0" w:lastRowFirstColumn="0" w:lastRowLastColumn="0"/>
            </w:pPr>
            <w:r w:rsidRPr="007A1075">
              <w:t>62.0% (n=80)</w:t>
            </w:r>
          </w:p>
        </w:tc>
      </w:tr>
      <w:tr w:rsidR="00C57EA7" w:rsidRPr="007A1075" w14:paraId="153E41AD" w14:textId="77777777" w:rsidTr="00C57EA7">
        <w:trPr>
          <w:trHeight w:val="290"/>
        </w:trPr>
        <w:tc>
          <w:tcPr>
            <w:cnfStyle w:val="001000000000" w:firstRow="0" w:lastRow="0" w:firstColumn="1" w:lastColumn="0" w:oddVBand="0" w:evenVBand="0" w:oddHBand="0" w:evenHBand="0" w:firstRowFirstColumn="0" w:firstRowLastColumn="0" w:lastRowFirstColumn="0" w:lastRowLastColumn="0"/>
            <w:tcW w:w="961" w:type="dxa"/>
            <w:vMerge/>
            <w:hideMark/>
          </w:tcPr>
          <w:p w14:paraId="4114A3BC" w14:textId="77777777" w:rsidR="00C57EA7" w:rsidRPr="00C57EA7" w:rsidRDefault="00C57EA7" w:rsidP="00321BC5">
            <w:pPr>
              <w:pStyle w:val="TableText"/>
            </w:pPr>
          </w:p>
        </w:tc>
        <w:tc>
          <w:tcPr>
            <w:tcW w:w="892" w:type="dxa"/>
            <w:vMerge/>
            <w:hideMark/>
          </w:tcPr>
          <w:p w14:paraId="4FDA4CB8" w14:textId="77777777" w:rsidR="00C57EA7" w:rsidRPr="00321BC5" w:rsidRDefault="00C57EA7" w:rsidP="00321BC5">
            <w:pPr>
              <w:pStyle w:val="TableText"/>
              <w:cnfStyle w:val="000000000000" w:firstRow="0" w:lastRow="0" w:firstColumn="0" w:lastColumn="0" w:oddVBand="0" w:evenVBand="0" w:oddHBand="0" w:evenHBand="0" w:firstRowFirstColumn="0" w:firstRowLastColumn="0" w:lastRowFirstColumn="0" w:lastRowLastColumn="0"/>
            </w:pPr>
          </w:p>
        </w:tc>
        <w:tc>
          <w:tcPr>
            <w:tcW w:w="1686" w:type="dxa"/>
            <w:vMerge/>
            <w:hideMark/>
          </w:tcPr>
          <w:p w14:paraId="04BE1E7E" w14:textId="77777777" w:rsidR="00C57EA7" w:rsidRPr="00321BC5" w:rsidRDefault="00C57EA7" w:rsidP="00321BC5">
            <w:pPr>
              <w:pStyle w:val="TableText"/>
              <w:cnfStyle w:val="000000000000" w:firstRow="0" w:lastRow="0" w:firstColumn="0" w:lastColumn="0" w:oddVBand="0" w:evenVBand="0" w:oddHBand="0" w:evenHBand="0" w:firstRowFirstColumn="0" w:firstRowLastColumn="0" w:lastRowFirstColumn="0" w:lastRowLastColumn="0"/>
            </w:pPr>
          </w:p>
        </w:tc>
        <w:tc>
          <w:tcPr>
            <w:tcW w:w="3977" w:type="dxa"/>
            <w:noWrap/>
            <w:hideMark/>
          </w:tcPr>
          <w:p w14:paraId="0CA46D9E" w14:textId="77777777" w:rsidR="00C57EA7" w:rsidRPr="00321BC5" w:rsidRDefault="00C57EA7" w:rsidP="00321BC5">
            <w:pPr>
              <w:pStyle w:val="TableText"/>
              <w:cnfStyle w:val="000000000000" w:firstRow="0" w:lastRow="0" w:firstColumn="0" w:lastColumn="0" w:oddVBand="0" w:evenVBand="0" w:oddHBand="0" w:evenHBand="0" w:firstRowFirstColumn="0" w:firstRowLastColumn="0" w:lastRowFirstColumn="0" w:lastRowLastColumn="0"/>
            </w:pPr>
            <w:r w:rsidRPr="00321BC5">
              <w:t>Engagement with relevant support services</w:t>
            </w:r>
          </w:p>
        </w:tc>
        <w:tc>
          <w:tcPr>
            <w:tcW w:w="1395" w:type="dxa"/>
            <w:noWrap/>
            <w:hideMark/>
          </w:tcPr>
          <w:p w14:paraId="1B0DEF76" w14:textId="77777777" w:rsidR="00C57EA7" w:rsidRPr="007A1075" w:rsidRDefault="00C57EA7" w:rsidP="00321BC5">
            <w:pPr>
              <w:pStyle w:val="TableText"/>
              <w:cnfStyle w:val="000000000000" w:firstRow="0" w:lastRow="0" w:firstColumn="0" w:lastColumn="0" w:oddVBand="0" w:evenVBand="0" w:oddHBand="0" w:evenHBand="0" w:firstRowFirstColumn="0" w:firstRowLastColumn="0" w:lastRowFirstColumn="0" w:lastRowLastColumn="0"/>
            </w:pPr>
            <w:r w:rsidRPr="007A1075">
              <w:t>1.05</w:t>
            </w:r>
          </w:p>
        </w:tc>
        <w:tc>
          <w:tcPr>
            <w:tcW w:w="1304" w:type="dxa"/>
            <w:noWrap/>
            <w:hideMark/>
          </w:tcPr>
          <w:p w14:paraId="00A84A07" w14:textId="77777777" w:rsidR="00C57EA7" w:rsidRPr="007A1075" w:rsidRDefault="00C57EA7" w:rsidP="00321BC5">
            <w:pPr>
              <w:pStyle w:val="TableText"/>
              <w:cnfStyle w:val="000000000000" w:firstRow="0" w:lastRow="0" w:firstColumn="0" w:lastColumn="0" w:oddVBand="0" w:evenVBand="0" w:oddHBand="0" w:evenHBand="0" w:firstRowFirstColumn="0" w:firstRowLastColumn="0" w:lastRowFirstColumn="0" w:lastRowLastColumn="0"/>
            </w:pPr>
            <w:r w:rsidRPr="007A1075">
              <w:t>165</w:t>
            </w:r>
          </w:p>
        </w:tc>
        <w:tc>
          <w:tcPr>
            <w:tcW w:w="1136" w:type="dxa"/>
            <w:noWrap/>
            <w:hideMark/>
          </w:tcPr>
          <w:p w14:paraId="532C9EF2" w14:textId="77777777" w:rsidR="00C57EA7" w:rsidRPr="007A1075" w:rsidRDefault="00C57EA7" w:rsidP="00321BC5">
            <w:pPr>
              <w:pStyle w:val="TableText"/>
              <w:cnfStyle w:val="000000000000" w:firstRow="0" w:lastRow="0" w:firstColumn="0" w:lastColumn="0" w:oddVBand="0" w:evenVBand="0" w:oddHBand="0" w:evenHBand="0" w:firstRowFirstColumn="0" w:firstRowLastColumn="0" w:lastRowFirstColumn="0" w:lastRowLastColumn="0"/>
            </w:pPr>
            <w:r w:rsidRPr="007A1075">
              <w:t>66</w:t>
            </w:r>
          </w:p>
        </w:tc>
        <w:tc>
          <w:tcPr>
            <w:tcW w:w="1136" w:type="dxa"/>
            <w:noWrap/>
            <w:hideMark/>
          </w:tcPr>
          <w:p w14:paraId="71DA90CA" w14:textId="77777777" w:rsidR="00C57EA7" w:rsidRPr="007A1075" w:rsidRDefault="00C57EA7" w:rsidP="00321BC5">
            <w:pPr>
              <w:pStyle w:val="TableText"/>
              <w:cnfStyle w:val="000000000000" w:firstRow="0" w:lastRow="0" w:firstColumn="0" w:lastColumn="0" w:oddVBand="0" w:evenVBand="0" w:oddHBand="0" w:evenHBand="0" w:firstRowFirstColumn="0" w:firstRowLastColumn="0" w:lastRowFirstColumn="0" w:lastRowLastColumn="0"/>
            </w:pPr>
            <w:r w:rsidRPr="007A1075">
              <w:t>&lt;.001</w:t>
            </w:r>
          </w:p>
        </w:tc>
        <w:tc>
          <w:tcPr>
            <w:tcW w:w="1457" w:type="dxa"/>
            <w:noWrap/>
            <w:hideMark/>
          </w:tcPr>
          <w:p w14:paraId="68F189BF" w14:textId="77777777" w:rsidR="00C57EA7" w:rsidRPr="007A1075" w:rsidRDefault="00C57EA7" w:rsidP="00321BC5">
            <w:pPr>
              <w:pStyle w:val="TableText"/>
              <w:cnfStyle w:val="000000000000" w:firstRow="0" w:lastRow="0" w:firstColumn="0" w:lastColumn="0" w:oddVBand="0" w:evenVBand="0" w:oddHBand="0" w:evenHBand="0" w:firstRowFirstColumn="0" w:firstRowLastColumn="0" w:lastRowFirstColumn="0" w:lastRowLastColumn="0"/>
            </w:pPr>
            <w:r w:rsidRPr="007A1075">
              <w:t>60.6% (n=40)</w:t>
            </w:r>
          </w:p>
        </w:tc>
      </w:tr>
    </w:tbl>
    <w:p w14:paraId="518AB96A" w14:textId="64F5B147" w:rsidR="007611DA" w:rsidRPr="00DD5451" w:rsidRDefault="00DD5451" w:rsidP="00DD5451">
      <w:pPr>
        <w:rPr>
          <w:rFonts w:ascii="Arial" w:eastAsia="Aptos" w:hAnsi="Arial" w:cs="Arial"/>
          <w:sz w:val="20"/>
        </w:rPr>
      </w:pPr>
      <w:r>
        <w:rPr>
          <w:i/>
          <w:sz w:val="20"/>
          <w:szCs w:val="18"/>
        </w:rPr>
        <w:t xml:space="preserve">Source: DEX-SCORE data </w:t>
      </w:r>
    </w:p>
    <w:p w14:paraId="7C2D519A" w14:textId="77777777" w:rsidR="00E87B25" w:rsidRDefault="00E87B25" w:rsidP="006363B1">
      <w:pPr>
        <w:pStyle w:val="Text"/>
      </w:pPr>
    </w:p>
    <w:p w14:paraId="652E9DC4" w14:textId="77777777" w:rsidR="00BE3916" w:rsidRDefault="00BE3916" w:rsidP="006363B1">
      <w:pPr>
        <w:pStyle w:val="Text"/>
      </w:pPr>
    </w:p>
    <w:p w14:paraId="1C8E686F" w14:textId="77777777" w:rsidR="00BE3916" w:rsidRDefault="00BE3916" w:rsidP="006363B1">
      <w:pPr>
        <w:pStyle w:val="Text"/>
      </w:pPr>
    </w:p>
    <w:p w14:paraId="035214D1" w14:textId="77777777" w:rsidR="00BE3916" w:rsidRDefault="00BE3916" w:rsidP="006363B1">
      <w:pPr>
        <w:pStyle w:val="Text"/>
      </w:pPr>
    </w:p>
    <w:p w14:paraId="7F34740B" w14:textId="77777777" w:rsidR="00C57EA7" w:rsidRDefault="00C57EA7" w:rsidP="006363B1">
      <w:pPr>
        <w:pStyle w:val="Text"/>
      </w:pPr>
    </w:p>
    <w:p w14:paraId="7E9AB6AF" w14:textId="77777777" w:rsidR="00BE3916" w:rsidRDefault="00BE3916" w:rsidP="006363B1">
      <w:pPr>
        <w:pStyle w:val="Text"/>
      </w:pPr>
    </w:p>
    <w:p w14:paraId="6B2E7369" w14:textId="77777777" w:rsidR="00C575E9" w:rsidRDefault="00C575E9" w:rsidP="006363B1">
      <w:pPr>
        <w:pStyle w:val="Text"/>
      </w:pPr>
    </w:p>
    <w:p w14:paraId="6520B8DE" w14:textId="77777777" w:rsidR="00811E31" w:rsidRDefault="00811E31" w:rsidP="006363B1">
      <w:pPr>
        <w:pStyle w:val="Text"/>
      </w:pPr>
    </w:p>
    <w:p w14:paraId="5EE478C2" w14:textId="77777777" w:rsidR="00BE3916" w:rsidRDefault="00BE3916" w:rsidP="006363B1">
      <w:pPr>
        <w:pStyle w:val="Text"/>
      </w:pPr>
    </w:p>
    <w:p w14:paraId="67BD8FDD" w14:textId="77777777" w:rsidR="007611DA" w:rsidRDefault="007611DA" w:rsidP="007611DA">
      <w:pPr>
        <w:pStyle w:val="Text-BodyHeading"/>
      </w:pPr>
      <w:r>
        <w:lastRenderedPageBreak/>
        <w:t xml:space="preserve">DEX data – disability </w:t>
      </w:r>
    </w:p>
    <w:p w14:paraId="65983550" w14:textId="7FE00319" w:rsidR="007611DA" w:rsidRPr="00C57EA7" w:rsidRDefault="007611DA" w:rsidP="00931B7D">
      <w:pPr>
        <w:pStyle w:val="TableFigure-Header"/>
      </w:pPr>
      <w:bookmarkStart w:id="602" w:name="_Ref204604546"/>
      <w:r w:rsidRPr="58DFBD8D">
        <w:rPr>
          <w:rStyle w:val="Text-Bold"/>
          <w:b/>
          <w:sz w:val="22"/>
          <w:szCs w:val="22"/>
          <w:lang w:val="en-NZ"/>
        </w:rPr>
        <w:t xml:space="preserve">Table </w:t>
      </w:r>
      <w:r w:rsidRPr="00925CD2">
        <w:rPr>
          <w:rStyle w:val="Text-Bold"/>
          <w:b/>
          <w:sz w:val="22"/>
          <w:szCs w:val="22"/>
        </w:rPr>
        <w:fldChar w:fldCharType="begin"/>
      </w:r>
      <w:r>
        <w:instrText xml:space="preserve"> SEQ Table \* ARABIC </w:instrText>
      </w:r>
      <w:r w:rsidRPr="00925CD2">
        <w:rPr>
          <w:rStyle w:val="Text-Bold"/>
          <w:b/>
          <w:sz w:val="22"/>
          <w:szCs w:val="22"/>
        </w:rPr>
        <w:fldChar w:fldCharType="separate"/>
      </w:r>
      <w:r w:rsidR="008D2566">
        <w:rPr>
          <w:noProof/>
        </w:rPr>
        <w:t>59</w:t>
      </w:r>
      <w:r w:rsidRPr="00925CD2">
        <w:rPr>
          <w:rStyle w:val="Text-Bold"/>
          <w:b/>
          <w:sz w:val="22"/>
          <w:szCs w:val="22"/>
        </w:rPr>
        <w:fldChar w:fldCharType="end"/>
      </w:r>
      <w:bookmarkEnd w:id="602"/>
      <w:r w:rsidRPr="58DFBD8D">
        <w:rPr>
          <w:rStyle w:val="Text-Bold"/>
          <w:b/>
          <w:sz w:val="22"/>
          <w:szCs w:val="22"/>
          <w:lang w:val="en-NZ"/>
        </w:rPr>
        <w:t xml:space="preserve">: Mean earliest-to-latest SCORE change (within-subjects) by disability status, FaRS </w:t>
      </w:r>
      <w:r w:rsidR="00E614D3" w:rsidRPr="58DFBD8D">
        <w:rPr>
          <w:rStyle w:val="Text-Bold"/>
          <w:b/>
          <w:sz w:val="22"/>
          <w:szCs w:val="22"/>
          <w:lang w:val="en-NZ"/>
        </w:rPr>
        <w:t>service users</w:t>
      </w:r>
      <w:r w:rsidR="00811E31">
        <w:rPr>
          <w:rStyle w:val="Text-Bold"/>
          <w:b/>
          <w:sz w:val="22"/>
          <w:szCs w:val="22"/>
          <w:lang w:val="en-NZ"/>
        </w:rPr>
        <w:t xml:space="preserve">, </w:t>
      </w:r>
      <w:r w:rsidR="00811E31" w:rsidRPr="00811E31">
        <w:rPr>
          <w:rStyle w:val="Text-Bold"/>
          <w:b/>
          <w:szCs w:val="21"/>
          <w:lang w:val="en-NZ"/>
        </w:rPr>
        <w:t>July 2021 to June 202</w:t>
      </w:r>
      <w:r w:rsidR="00811E31">
        <w:rPr>
          <w:rStyle w:val="Text-Bold"/>
          <w:b/>
          <w:szCs w:val="21"/>
          <w:lang w:val="en-NZ"/>
        </w:rPr>
        <w:t>4</w:t>
      </w:r>
      <w:r w:rsidR="00E614D3" w:rsidRPr="58DFBD8D">
        <w:rPr>
          <w:rStyle w:val="Text-Bold"/>
          <w:b/>
          <w:sz w:val="22"/>
          <w:szCs w:val="22"/>
          <w:lang w:val="en-NZ"/>
        </w:rPr>
        <w:t xml:space="preserve"> </w:t>
      </w:r>
    </w:p>
    <w:tbl>
      <w:tblPr>
        <w:tblStyle w:val="ListTable3-Accent3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8"/>
        <w:gridCol w:w="1166"/>
        <w:gridCol w:w="1669"/>
        <w:gridCol w:w="3692"/>
        <w:gridCol w:w="1341"/>
        <w:gridCol w:w="1439"/>
        <w:gridCol w:w="1123"/>
        <w:gridCol w:w="1123"/>
        <w:gridCol w:w="1403"/>
      </w:tblGrid>
      <w:tr w:rsidR="00BC3586" w:rsidRPr="007A1075" w14:paraId="4BC4AF67" w14:textId="77777777" w:rsidTr="00520E3A">
        <w:trPr>
          <w:cnfStyle w:val="100000000000" w:firstRow="1" w:lastRow="0" w:firstColumn="0" w:lastColumn="0" w:oddVBand="0" w:evenVBand="0" w:oddHBand="0" w:evenHBand="0" w:firstRowFirstColumn="0" w:firstRowLastColumn="0" w:lastRowFirstColumn="0" w:lastRowLastColumn="0"/>
          <w:trHeight w:val="870"/>
        </w:trPr>
        <w:tc>
          <w:tcPr>
            <w:cnfStyle w:val="001000000100" w:firstRow="0" w:lastRow="0" w:firstColumn="1" w:lastColumn="0" w:oddVBand="0" w:evenVBand="0" w:oddHBand="0" w:evenHBand="0" w:firstRowFirstColumn="1" w:firstRowLastColumn="0" w:lastRowFirstColumn="0" w:lastRowLastColumn="0"/>
            <w:tcW w:w="988" w:type="dxa"/>
            <w:tcBorders>
              <w:bottom w:val="none" w:sz="0" w:space="0" w:color="auto"/>
              <w:right w:val="none" w:sz="0" w:space="0" w:color="auto"/>
            </w:tcBorders>
            <w:hideMark/>
          </w:tcPr>
          <w:p w14:paraId="7684089D" w14:textId="77777777" w:rsidR="00105B8B" w:rsidRPr="007A1075" w:rsidRDefault="00105B8B" w:rsidP="00C62A15">
            <w:pPr>
              <w:pStyle w:val="TableText"/>
              <w:rPr>
                <w:bCs w:val="0"/>
              </w:rPr>
            </w:pPr>
            <w:r w:rsidRPr="007A1075">
              <w:t>Activity</w:t>
            </w:r>
          </w:p>
        </w:tc>
        <w:tc>
          <w:tcPr>
            <w:tcW w:w="1166" w:type="dxa"/>
            <w:hideMark/>
          </w:tcPr>
          <w:p w14:paraId="424B5624" w14:textId="77777777" w:rsidR="00105B8B" w:rsidRPr="007A1075" w:rsidRDefault="00105B8B" w:rsidP="00C62A15">
            <w:pPr>
              <w:pStyle w:val="TableText"/>
              <w:cnfStyle w:val="100000000000" w:firstRow="1" w:lastRow="0" w:firstColumn="0" w:lastColumn="0" w:oddVBand="0" w:evenVBand="0" w:oddHBand="0" w:evenHBand="0" w:firstRowFirstColumn="0" w:firstRowLastColumn="0" w:lastRowFirstColumn="0" w:lastRowLastColumn="0"/>
              <w:rPr>
                <w:bCs w:val="0"/>
              </w:rPr>
            </w:pPr>
            <w:r w:rsidRPr="007A1075">
              <w:t>Cohort</w:t>
            </w:r>
          </w:p>
        </w:tc>
        <w:tc>
          <w:tcPr>
            <w:tcW w:w="1669" w:type="dxa"/>
            <w:hideMark/>
          </w:tcPr>
          <w:p w14:paraId="5F346B3C" w14:textId="77777777" w:rsidR="00105B8B" w:rsidRPr="007A1075" w:rsidRDefault="00105B8B" w:rsidP="00C62A15">
            <w:pPr>
              <w:pStyle w:val="TableText"/>
              <w:cnfStyle w:val="100000000000" w:firstRow="1" w:lastRow="0" w:firstColumn="0" w:lastColumn="0" w:oddVBand="0" w:evenVBand="0" w:oddHBand="0" w:evenHBand="0" w:firstRowFirstColumn="0" w:firstRowLastColumn="0" w:lastRowFirstColumn="0" w:lastRowLastColumn="0"/>
              <w:rPr>
                <w:bCs w:val="0"/>
              </w:rPr>
            </w:pPr>
            <w:r w:rsidRPr="007A1075">
              <w:t>Outcome type</w:t>
            </w:r>
          </w:p>
        </w:tc>
        <w:tc>
          <w:tcPr>
            <w:tcW w:w="3692" w:type="dxa"/>
            <w:noWrap/>
            <w:hideMark/>
          </w:tcPr>
          <w:p w14:paraId="7902B390" w14:textId="77777777" w:rsidR="00105B8B" w:rsidRPr="007A1075" w:rsidRDefault="00105B8B" w:rsidP="00C62A15">
            <w:pPr>
              <w:pStyle w:val="TableText"/>
              <w:cnfStyle w:val="100000000000" w:firstRow="1" w:lastRow="0" w:firstColumn="0" w:lastColumn="0" w:oddVBand="0" w:evenVBand="0" w:oddHBand="0" w:evenHBand="0" w:firstRowFirstColumn="0" w:firstRowLastColumn="0" w:lastRowFirstColumn="0" w:lastRowLastColumn="0"/>
              <w:rPr>
                <w:bCs w:val="0"/>
              </w:rPr>
            </w:pPr>
            <w:r w:rsidRPr="007A1075">
              <w:t>Domain</w:t>
            </w:r>
          </w:p>
        </w:tc>
        <w:tc>
          <w:tcPr>
            <w:tcW w:w="1341" w:type="dxa"/>
            <w:hideMark/>
          </w:tcPr>
          <w:p w14:paraId="77AF8230" w14:textId="77777777" w:rsidR="00105B8B" w:rsidRPr="007A1075" w:rsidRDefault="00105B8B" w:rsidP="00C62A15">
            <w:pPr>
              <w:pStyle w:val="TableText"/>
              <w:cnfStyle w:val="100000000000" w:firstRow="1" w:lastRow="0" w:firstColumn="0" w:lastColumn="0" w:oddVBand="0" w:evenVBand="0" w:oddHBand="0" w:evenHBand="0" w:firstRowFirstColumn="0" w:firstRowLastColumn="0" w:lastRowFirstColumn="0" w:lastRowLastColumn="0"/>
              <w:rPr>
                <w:bCs w:val="0"/>
              </w:rPr>
            </w:pPr>
            <w:r w:rsidRPr="007A1075">
              <w:t>SCORE change (mean)</w:t>
            </w:r>
          </w:p>
        </w:tc>
        <w:tc>
          <w:tcPr>
            <w:tcW w:w="1439" w:type="dxa"/>
            <w:noWrap/>
            <w:hideMark/>
          </w:tcPr>
          <w:p w14:paraId="2322546A" w14:textId="77777777" w:rsidR="00105B8B" w:rsidRPr="007A1075" w:rsidRDefault="00105B8B" w:rsidP="00C62A15">
            <w:pPr>
              <w:pStyle w:val="TableText"/>
              <w:cnfStyle w:val="100000000000" w:firstRow="1" w:lastRow="0" w:firstColumn="0" w:lastColumn="0" w:oddVBand="0" w:evenVBand="0" w:oddHBand="0" w:evenHBand="0" w:firstRowFirstColumn="0" w:firstRowLastColumn="0" w:lastRowFirstColumn="0" w:lastRowLastColumn="0"/>
              <w:rPr>
                <w:bCs w:val="0"/>
              </w:rPr>
            </w:pPr>
            <w:r w:rsidRPr="007A1075">
              <w:t>Wilcoxon</w:t>
            </w:r>
          </w:p>
        </w:tc>
        <w:tc>
          <w:tcPr>
            <w:tcW w:w="1123" w:type="dxa"/>
            <w:noWrap/>
            <w:hideMark/>
          </w:tcPr>
          <w:p w14:paraId="770D2C6A" w14:textId="77777777" w:rsidR="00105B8B" w:rsidRPr="007A1075" w:rsidRDefault="00105B8B" w:rsidP="00C62A15">
            <w:pPr>
              <w:pStyle w:val="TableText"/>
              <w:cnfStyle w:val="100000000000" w:firstRow="1" w:lastRow="0" w:firstColumn="0" w:lastColumn="0" w:oddVBand="0" w:evenVBand="0" w:oddHBand="0" w:evenHBand="0" w:firstRowFirstColumn="0" w:firstRowLastColumn="0" w:lastRowFirstColumn="0" w:lastRowLastColumn="0"/>
              <w:rPr>
                <w:bCs w:val="0"/>
              </w:rPr>
            </w:pPr>
            <w:r w:rsidRPr="007A1075">
              <w:t>n</w:t>
            </w:r>
          </w:p>
        </w:tc>
        <w:tc>
          <w:tcPr>
            <w:tcW w:w="1123" w:type="dxa"/>
            <w:noWrap/>
            <w:hideMark/>
          </w:tcPr>
          <w:p w14:paraId="4F6DCA67" w14:textId="77777777" w:rsidR="00105B8B" w:rsidRPr="007A1075" w:rsidRDefault="00105B8B" w:rsidP="00C62A15">
            <w:pPr>
              <w:pStyle w:val="TableText"/>
              <w:cnfStyle w:val="100000000000" w:firstRow="1" w:lastRow="0" w:firstColumn="0" w:lastColumn="0" w:oddVBand="0" w:evenVBand="0" w:oddHBand="0" w:evenHBand="0" w:firstRowFirstColumn="0" w:firstRowLastColumn="0" w:lastRowFirstColumn="0" w:lastRowLastColumn="0"/>
              <w:rPr>
                <w:bCs w:val="0"/>
              </w:rPr>
            </w:pPr>
            <w:r w:rsidRPr="007A1075">
              <w:t>p</w:t>
            </w:r>
          </w:p>
        </w:tc>
        <w:tc>
          <w:tcPr>
            <w:tcW w:w="1403" w:type="dxa"/>
            <w:hideMark/>
          </w:tcPr>
          <w:p w14:paraId="41FAC0D6" w14:textId="5D9530B6" w:rsidR="00105B8B" w:rsidRPr="007A1075" w:rsidRDefault="005661B4" w:rsidP="00C62A15">
            <w:pPr>
              <w:pStyle w:val="TableText"/>
              <w:cnfStyle w:val="100000000000" w:firstRow="1" w:lastRow="0" w:firstColumn="0" w:lastColumn="0" w:oddVBand="0" w:evenVBand="0" w:oddHBand="0" w:evenHBand="0" w:firstRowFirstColumn="0" w:firstRowLastColumn="0" w:lastRowFirstColumn="0" w:lastRowLastColumn="0"/>
              <w:rPr>
                <w:bCs w:val="0"/>
              </w:rPr>
            </w:pPr>
            <w:r>
              <w:t>Service users</w:t>
            </w:r>
            <w:r w:rsidR="00105B8B" w:rsidRPr="007A1075">
              <w:t xml:space="preserve"> with positive change (%, n)</w:t>
            </w:r>
          </w:p>
        </w:tc>
      </w:tr>
      <w:tr w:rsidR="00BC3586" w:rsidRPr="007A1075" w14:paraId="4CF3956B" w14:textId="77777777" w:rsidTr="00520E3A">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88" w:type="dxa"/>
            <w:vMerge w:val="restart"/>
            <w:tcBorders>
              <w:top w:val="none" w:sz="0" w:space="0" w:color="auto"/>
              <w:bottom w:val="none" w:sz="0" w:space="0" w:color="auto"/>
              <w:right w:val="none" w:sz="0" w:space="0" w:color="auto"/>
            </w:tcBorders>
            <w:hideMark/>
          </w:tcPr>
          <w:p w14:paraId="2DEC2C47" w14:textId="77777777" w:rsidR="005661B4" w:rsidRPr="00811E31" w:rsidRDefault="005661B4" w:rsidP="005661B4">
            <w:pPr>
              <w:pStyle w:val="TableText"/>
              <w:rPr>
                <w:b w:val="0"/>
                <w:bCs w:val="0"/>
                <w:lang w:val="en-NZ"/>
              </w:rPr>
            </w:pPr>
            <w:r w:rsidRPr="00811E31">
              <w:rPr>
                <w:b w:val="0"/>
                <w:bCs w:val="0"/>
                <w:lang w:val="en-NZ"/>
              </w:rPr>
              <w:t>FaRS</w:t>
            </w:r>
          </w:p>
          <w:p w14:paraId="5389DE34" w14:textId="05050DB9" w:rsidR="005661B4" w:rsidRPr="007A1075" w:rsidRDefault="005661B4" w:rsidP="005661B4">
            <w:pPr>
              <w:pStyle w:val="TableText"/>
              <w:rPr>
                <w:b w:val="0"/>
                <w:bCs w:val="0"/>
              </w:rPr>
            </w:pPr>
          </w:p>
        </w:tc>
        <w:tc>
          <w:tcPr>
            <w:tcW w:w="1166" w:type="dxa"/>
            <w:vMerge w:val="restart"/>
            <w:tcBorders>
              <w:top w:val="none" w:sz="0" w:space="0" w:color="auto"/>
              <w:bottom w:val="none" w:sz="0" w:space="0" w:color="auto"/>
            </w:tcBorders>
            <w:hideMark/>
          </w:tcPr>
          <w:p w14:paraId="2CD5BCA8" w14:textId="77777777" w:rsidR="005661B4" w:rsidRPr="007A1075" w:rsidRDefault="005661B4" w:rsidP="005661B4">
            <w:pPr>
              <w:pStyle w:val="TableText"/>
              <w:cnfStyle w:val="000000100000" w:firstRow="0" w:lastRow="0" w:firstColumn="0" w:lastColumn="0" w:oddVBand="0" w:evenVBand="0" w:oddHBand="1" w:evenHBand="0" w:firstRowFirstColumn="0" w:firstRowLastColumn="0" w:lastRowFirstColumn="0" w:lastRowLastColumn="0"/>
            </w:pPr>
            <w:r w:rsidRPr="00E97A3C">
              <w:t>Persons without (or unknown) disabilities</w:t>
            </w:r>
          </w:p>
          <w:p w14:paraId="6B1E5E49" w14:textId="586B70DD" w:rsidR="005661B4" w:rsidRPr="007A1075" w:rsidRDefault="005661B4" w:rsidP="005661B4">
            <w:pPr>
              <w:pStyle w:val="TableText"/>
              <w:cnfStyle w:val="000000100000" w:firstRow="0" w:lastRow="0" w:firstColumn="0" w:lastColumn="0" w:oddVBand="0" w:evenVBand="0" w:oddHBand="1" w:evenHBand="0" w:firstRowFirstColumn="0" w:firstRowLastColumn="0" w:lastRowFirstColumn="0" w:lastRowLastColumn="0"/>
            </w:pPr>
          </w:p>
        </w:tc>
        <w:tc>
          <w:tcPr>
            <w:tcW w:w="1669" w:type="dxa"/>
            <w:vMerge w:val="restart"/>
            <w:tcBorders>
              <w:top w:val="none" w:sz="0" w:space="0" w:color="auto"/>
              <w:bottom w:val="none" w:sz="0" w:space="0" w:color="auto"/>
            </w:tcBorders>
            <w:hideMark/>
          </w:tcPr>
          <w:p w14:paraId="5DF2840A" w14:textId="77777777" w:rsidR="005661B4" w:rsidRPr="007A1075" w:rsidRDefault="005661B4" w:rsidP="005661B4">
            <w:pPr>
              <w:pStyle w:val="TableText"/>
              <w:cnfStyle w:val="000000100000" w:firstRow="0" w:lastRow="0" w:firstColumn="0" w:lastColumn="0" w:oddVBand="0" w:evenVBand="0" w:oddHBand="1" w:evenHBand="0" w:firstRowFirstColumn="0" w:firstRowLastColumn="0" w:lastRowFirstColumn="0" w:lastRowLastColumn="0"/>
            </w:pPr>
            <w:r w:rsidRPr="00E97A3C">
              <w:t>Circumstances</w:t>
            </w:r>
          </w:p>
          <w:p w14:paraId="0713F7DB" w14:textId="1EB341DD" w:rsidR="005661B4" w:rsidRPr="007A1075" w:rsidRDefault="005661B4" w:rsidP="005661B4">
            <w:pPr>
              <w:pStyle w:val="TableText"/>
              <w:cnfStyle w:val="000000100000" w:firstRow="0" w:lastRow="0" w:firstColumn="0" w:lastColumn="0" w:oddVBand="0" w:evenVBand="0" w:oddHBand="1" w:evenHBand="0" w:firstRowFirstColumn="0" w:firstRowLastColumn="0" w:lastRowFirstColumn="0" w:lastRowLastColumn="0"/>
            </w:pPr>
          </w:p>
        </w:tc>
        <w:tc>
          <w:tcPr>
            <w:tcW w:w="3692" w:type="dxa"/>
            <w:tcBorders>
              <w:top w:val="none" w:sz="0" w:space="0" w:color="auto"/>
              <w:bottom w:val="none" w:sz="0" w:space="0" w:color="auto"/>
            </w:tcBorders>
            <w:noWrap/>
            <w:hideMark/>
          </w:tcPr>
          <w:p w14:paraId="24183E3D" w14:textId="3466A5F1" w:rsidR="005661B4" w:rsidRPr="007A1075" w:rsidRDefault="005661B4" w:rsidP="005661B4">
            <w:pPr>
              <w:pStyle w:val="TableText"/>
              <w:cnfStyle w:val="000000100000" w:firstRow="0" w:lastRow="0" w:firstColumn="0" w:lastColumn="0" w:oddVBand="0" w:evenVBand="0" w:oddHBand="1" w:evenHBand="0" w:firstRowFirstColumn="0" w:firstRowLastColumn="0" w:lastRowFirstColumn="0" w:lastRowLastColumn="0"/>
            </w:pPr>
            <w:r w:rsidRPr="00E97A3C">
              <w:t>Family functioning</w:t>
            </w:r>
          </w:p>
        </w:tc>
        <w:tc>
          <w:tcPr>
            <w:tcW w:w="1341" w:type="dxa"/>
            <w:tcBorders>
              <w:top w:val="none" w:sz="0" w:space="0" w:color="auto"/>
              <w:bottom w:val="none" w:sz="0" w:space="0" w:color="auto"/>
            </w:tcBorders>
            <w:noWrap/>
            <w:hideMark/>
          </w:tcPr>
          <w:p w14:paraId="51186E0B" w14:textId="48D56C0B" w:rsidR="005661B4" w:rsidRPr="007A1075" w:rsidRDefault="005661B4" w:rsidP="005661B4">
            <w:pPr>
              <w:pStyle w:val="TableText"/>
              <w:cnfStyle w:val="000000100000" w:firstRow="0" w:lastRow="0" w:firstColumn="0" w:lastColumn="0" w:oddVBand="0" w:evenVBand="0" w:oddHBand="1" w:evenHBand="0" w:firstRowFirstColumn="0" w:firstRowLastColumn="0" w:lastRowFirstColumn="0" w:lastRowLastColumn="0"/>
            </w:pPr>
            <w:r w:rsidRPr="00E97A3C">
              <w:t>0.81</w:t>
            </w:r>
          </w:p>
        </w:tc>
        <w:tc>
          <w:tcPr>
            <w:tcW w:w="1439" w:type="dxa"/>
            <w:tcBorders>
              <w:top w:val="none" w:sz="0" w:space="0" w:color="auto"/>
              <w:bottom w:val="none" w:sz="0" w:space="0" w:color="auto"/>
            </w:tcBorders>
            <w:noWrap/>
            <w:hideMark/>
          </w:tcPr>
          <w:p w14:paraId="31428B91" w14:textId="68F8052A" w:rsidR="005661B4" w:rsidRPr="007A1075" w:rsidRDefault="005661B4" w:rsidP="005661B4">
            <w:pPr>
              <w:pStyle w:val="TableText"/>
              <w:cnfStyle w:val="000000100000" w:firstRow="0" w:lastRow="0" w:firstColumn="0" w:lastColumn="0" w:oddVBand="0" w:evenVBand="0" w:oddHBand="1" w:evenHBand="0" w:firstRowFirstColumn="0" w:firstRowLastColumn="0" w:lastRowFirstColumn="0" w:lastRowLastColumn="0"/>
            </w:pPr>
            <w:r w:rsidRPr="00E97A3C">
              <w:t>193773169</w:t>
            </w:r>
          </w:p>
        </w:tc>
        <w:tc>
          <w:tcPr>
            <w:tcW w:w="1123" w:type="dxa"/>
            <w:tcBorders>
              <w:top w:val="none" w:sz="0" w:space="0" w:color="auto"/>
              <w:bottom w:val="none" w:sz="0" w:space="0" w:color="auto"/>
            </w:tcBorders>
            <w:noWrap/>
            <w:hideMark/>
          </w:tcPr>
          <w:p w14:paraId="60F0FEE8" w14:textId="7ADE2792" w:rsidR="005661B4" w:rsidRPr="007A1075" w:rsidRDefault="005661B4" w:rsidP="005661B4">
            <w:pPr>
              <w:pStyle w:val="TableText"/>
              <w:cnfStyle w:val="000000100000" w:firstRow="0" w:lastRow="0" w:firstColumn="0" w:lastColumn="0" w:oddVBand="0" w:evenVBand="0" w:oddHBand="1" w:evenHBand="0" w:firstRowFirstColumn="0" w:firstRowLastColumn="0" w:lastRowFirstColumn="0" w:lastRowLastColumn="0"/>
            </w:pPr>
            <w:r w:rsidRPr="00E97A3C">
              <w:t>61</w:t>
            </w:r>
            <w:r>
              <w:t>,</w:t>
            </w:r>
            <w:r w:rsidRPr="00E97A3C">
              <w:t>884</w:t>
            </w:r>
          </w:p>
        </w:tc>
        <w:tc>
          <w:tcPr>
            <w:tcW w:w="1123" w:type="dxa"/>
            <w:tcBorders>
              <w:top w:val="none" w:sz="0" w:space="0" w:color="auto"/>
              <w:bottom w:val="none" w:sz="0" w:space="0" w:color="auto"/>
            </w:tcBorders>
            <w:noWrap/>
            <w:hideMark/>
          </w:tcPr>
          <w:p w14:paraId="18700431" w14:textId="67C91CB0" w:rsidR="005661B4" w:rsidRPr="007A1075" w:rsidRDefault="005661B4" w:rsidP="005661B4">
            <w:pPr>
              <w:pStyle w:val="TableText"/>
              <w:cnfStyle w:val="000000100000" w:firstRow="0" w:lastRow="0" w:firstColumn="0" w:lastColumn="0" w:oddVBand="0" w:evenVBand="0" w:oddHBand="1" w:evenHBand="0" w:firstRowFirstColumn="0" w:firstRowLastColumn="0" w:lastRowFirstColumn="0" w:lastRowLastColumn="0"/>
            </w:pPr>
            <w:r w:rsidRPr="00E97A3C">
              <w:t>&lt;.001</w:t>
            </w:r>
          </w:p>
        </w:tc>
        <w:tc>
          <w:tcPr>
            <w:tcW w:w="1403" w:type="dxa"/>
            <w:tcBorders>
              <w:top w:val="none" w:sz="0" w:space="0" w:color="auto"/>
              <w:bottom w:val="none" w:sz="0" w:space="0" w:color="auto"/>
            </w:tcBorders>
            <w:noWrap/>
            <w:hideMark/>
          </w:tcPr>
          <w:p w14:paraId="1C5D9396" w14:textId="5B020B9E" w:rsidR="005661B4" w:rsidRPr="007A1075" w:rsidRDefault="005661B4" w:rsidP="005661B4">
            <w:pPr>
              <w:pStyle w:val="TableText"/>
              <w:cnfStyle w:val="000000100000" w:firstRow="0" w:lastRow="0" w:firstColumn="0" w:lastColumn="0" w:oddVBand="0" w:evenVBand="0" w:oddHBand="1" w:evenHBand="0" w:firstRowFirstColumn="0" w:firstRowLastColumn="0" w:lastRowFirstColumn="0" w:lastRowLastColumn="0"/>
            </w:pPr>
            <w:r w:rsidRPr="00E97A3C">
              <w:t>55.0% (n=34</w:t>
            </w:r>
            <w:r>
              <w:t>,</w:t>
            </w:r>
            <w:r w:rsidRPr="00E97A3C">
              <w:t>043)</w:t>
            </w:r>
          </w:p>
        </w:tc>
      </w:tr>
      <w:tr w:rsidR="00BC3586" w:rsidRPr="007A1075" w14:paraId="25F3B660" w14:textId="77777777" w:rsidTr="00520E3A">
        <w:trPr>
          <w:trHeight w:val="290"/>
        </w:trPr>
        <w:tc>
          <w:tcPr>
            <w:cnfStyle w:val="001000000000" w:firstRow="0" w:lastRow="0" w:firstColumn="1" w:lastColumn="0" w:oddVBand="0" w:evenVBand="0" w:oddHBand="0" w:evenHBand="0" w:firstRowFirstColumn="0" w:firstRowLastColumn="0" w:lastRowFirstColumn="0" w:lastRowLastColumn="0"/>
            <w:tcW w:w="988" w:type="dxa"/>
            <w:vMerge/>
            <w:tcBorders>
              <w:right w:val="none" w:sz="0" w:space="0" w:color="auto"/>
            </w:tcBorders>
            <w:hideMark/>
          </w:tcPr>
          <w:p w14:paraId="37B7FEFE" w14:textId="77777777" w:rsidR="005661B4" w:rsidRPr="007A1075" w:rsidRDefault="005661B4" w:rsidP="005661B4">
            <w:pPr>
              <w:pStyle w:val="TableText"/>
            </w:pPr>
          </w:p>
        </w:tc>
        <w:tc>
          <w:tcPr>
            <w:tcW w:w="1166" w:type="dxa"/>
            <w:vMerge/>
            <w:hideMark/>
          </w:tcPr>
          <w:p w14:paraId="28BE16F0" w14:textId="77777777" w:rsidR="005661B4" w:rsidRPr="007A1075" w:rsidRDefault="005661B4" w:rsidP="005661B4">
            <w:pPr>
              <w:pStyle w:val="TableText"/>
              <w:cnfStyle w:val="000000000000" w:firstRow="0" w:lastRow="0" w:firstColumn="0" w:lastColumn="0" w:oddVBand="0" w:evenVBand="0" w:oddHBand="0" w:evenHBand="0" w:firstRowFirstColumn="0" w:firstRowLastColumn="0" w:lastRowFirstColumn="0" w:lastRowLastColumn="0"/>
            </w:pPr>
          </w:p>
        </w:tc>
        <w:tc>
          <w:tcPr>
            <w:tcW w:w="1669" w:type="dxa"/>
            <w:vMerge/>
            <w:hideMark/>
          </w:tcPr>
          <w:p w14:paraId="1F82C5AA" w14:textId="77777777" w:rsidR="005661B4" w:rsidRPr="007A1075" w:rsidRDefault="005661B4" w:rsidP="005661B4">
            <w:pPr>
              <w:pStyle w:val="TableText"/>
              <w:cnfStyle w:val="000000000000" w:firstRow="0" w:lastRow="0" w:firstColumn="0" w:lastColumn="0" w:oddVBand="0" w:evenVBand="0" w:oddHBand="0" w:evenHBand="0" w:firstRowFirstColumn="0" w:firstRowLastColumn="0" w:lastRowFirstColumn="0" w:lastRowLastColumn="0"/>
            </w:pPr>
          </w:p>
        </w:tc>
        <w:tc>
          <w:tcPr>
            <w:tcW w:w="3692" w:type="dxa"/>
            <w:noWrap/>
            <w:hideMark/>
          </w:tcPr>
          <w:p w14:paraId="76E5C161" w14:textId="5D8DF3ED" w:rsidR="005661B4" w:rsidRPr="007A1075" w:rsidRDefault="005661B4" w:rsidP="005661B4">
            <w:pPr>
              <w:pStyle w:val="TableText"/>
              <w:cnfStyle w:val="000000000000" w:firstRow="0" w:lastRow="0" w:firstColumn="0" w:lastColumn="0" w:oddVBand="0" w:evenVBand="0" w:oddHBand="0" w:evenHBand="0" w:firstRowFirstColumn="0" w:firstRowLastColumn="0" w:lastRowFirstColumn="0" w:lastRowLastColumn="0"/>
            </w:pPr>
            <w:r w:rsidRPr="57F92EFB">
              <w:rPr>
                <w:lang w:val="en-NZ"/>
              </w:rPr>
              <w:t>Mental health, wellbeing and self-care</w:t>
            </w:r>
          </w:p>
        </w:tc>
        <w:tc>
          <w:tcPr>
            <w:tcW w:w="1341" w:type="dxa"/>
            <w:noWrap/>
            <w:hideMark/>
          </w:tcPr>
          <w:p w14:paraId="67389009" w14:textId="3A201DB1" w:rsidR="005661B4" w:rsidRPr="007A1075" w:rsidRDefault="005661B4" w:rsidP="005661B4">
            <w:pPr>
              <w:pStyle w:val="TableText"/>
              <w:cnfStyle w:val="000000000000" w:firstRow="0" w:lastRow="0" w:firstColumn="0" w:lastColumn="0" w:oddVBand="0" w:evenVBand="0" w:oddHBand="0" w:evenHBand="0" w:firstRowFirstColumn="0" w:firstRowLastColumn="0" w:lastRowFirstColumn="0" w:lastRowLastColumn="0"/>
            </w:pPr>
            <w:r w:rsidRPr="00E97A3C">
              <w:t>0.79</w:t>
            </w:r>
          </w:p>
        </w:tc>
        <w:tc>
          <w:tcPr>
            <w:tcW w:w="1439" w:type="dxa"/>
            <w:noWrap/>
            <w:hideMark/>
          </w:tcPr>
          <w:p w14:paraId="7FFA9563" w14:textId="4CD27527" w:rsidR="005661B4" w:rsidRPr="007A1075" w:rsidRDefault="005661B4" w:rsidP="005661B4">
            <w:pPr>
              <w:pStyle w:val="TableText"/>
              <w:cnfStyle w:val="000000000000" w:firstRow="0" w:lastRow="0" w:firstColumn="0" w:lastColumn="0" w:oddVBand="0" w:evenVBand="0" w:oddHBand="0" w:evenHBand="0" w:firstRowFirstColumn="0" w:firstRowLastColumn="0" w:lastRowFirstColumn="0" w:lastRowLastColumn="0"/>
            </w:pPr>
            <w:r w:rsidRPr="00E97A3C">
              <w:t>163012115.5</w:t>
            </w:r>
          </w:p>
        </w:tc>
        <w:tc>
          <w:tcPr>
            <w:tcW w:w="1123" w:type="dxa"/>
            <w:noWrap/>
            <w:hideMark/>
          </w:tcPr>
          <w:p w14:paraId="4B41FB4A" w14:textId="37A111A3" w:rsidR="005661B4" w:rsidRPr="007A1075" w:rsidRDefault="005661B4" w:rsidP="005661B4">
            <w:pPr>
              <w:pStyle w:val="TableText"/>
              <w:cnfStyle w:val="000000000000" w:firstRow="0" w:lastRow="0" w:firstColumn="0" w:lastColumn="0" w:oddVBand="0" w:evenVBand="0" w:oddHBand="0" w:evenHBand="0" w:firstRowFirstColumn="0" w:firstRowLastColumn="0" w:lastRowFirstColumn="0" w:lastRowLastColumn="0"/>
            </w:pPr>
            <w:r w:rsidRPr="00E97A3C">
              <w:t>56</w:t>
            </w:r>
            <w:r>
              <w:t>,</w:t>
            </w:r>
            <w:r w:rsidRPr="00E97A3C">
              <w:t>730</w:t>
            </w:r>
          </w:p>
        </w:tc>
        <w:tc>
          <w:tcPr>
            <w:tcW w:w="1123" w:type="dxa"/>
            <w:noWrap/>
            <w:hideMark/>
          </w:tcPr>
          <w:p w14:paraId="3D521755" w14:textId="2D40DFC4" w:rsidR="005661B4" w:rsidRPr="007A1075" w:rsidRDefault="005661B4" w:rsidP="005661B4">
            <w:pPr>
              <w:pStyle w:val="TableText"/>
              <w:cnfStyle w:val="000000000000" w:firstRow="0" w:lastRow="0" w:firstColumn="0" w:lastColumn="0" w:oddVBand="0" w:evenVBand="0" w:oddHBand="0" w:evenHBand="0" w:firstRowFirstColumn="0" w:firstRowLastColumn="0" w:lastRowFirstColumn="0" w:lastRowLastColumn="0"/>
            </w:pPr>
            <w:r w:rsidRPr="00E97A3C">
              <w:t>&lt;.001</w:t>
            </w:r>
          </w:p>
        </w:tc>
        <w:tc>
          <w:tcPr>
            <w:tcW w:w="1403" w:type="dxa"/>
            <w:noWrap/>
            <w:hideMark/>
          </w:tcPr>
          <w:p w14:paraId="1155DC5E" w14:textId="5B6775C4" w:rsidR="005661B4" w:rsidRPr="007A1075" w:rsidRDefault="005661B4" w:rsidP="005661B4">
            <w:pPr>
              <w:pStyle w:val="TableText"/>
              <w:cnfStyle w:val="000000000000" w:firstRow="0" w:lastRow="0" w:firstColumn="0" w:lastColumn="0" w:oddVBand="0" w:evenVBand="0" w:oddHBand="0" w:evenHBand="0" w:firstRowFirstColumn="0" w:firstRowLastColumn="0" w:lastRowFirstColumn="0" w:lastRowLastColumn="0"/>
            </w:pPr>
            <w:r w:rsidRPr="00E97A3C">
              <w:t>55.5% (n=31</w:t>
            </w:r>
            <w:r>
              <w:t>,</w:t>
            </w:r>
            <w:r w:rsidRPr="00E97A3C">
              <w:t>467)</w:t>
            </w:r>
          </w:p>
        </w:tc>
      </w:tr>
      <w:tr w:rsidR="00BC3586" w:rsidRPr="007A1075" w14:paraId="4EB3518F" w14:textId="77777777" w:rsidTr="00520E3A">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88" w:type="dxa"/>
            <w:vMerge/>
            <w:tcBorders>
              <w:top w:val="none" w:sz="0" w:space="0" w:color="auto"/>
              <w:bottom w:val="none" w:sz="0" w:space="0" w:color="auto"/>
              <w:right w:val="none" w:sz="0" w:space="0" w:color="auto"/>
            </w:tcBorders>
            <w:hideMark/>
          </w:tcPr>
          <w:p w14:paraId="11A84B82" w14:textId="77777777" w:rsidR="005661B4" w:rsidRPr="007A1075" w:rsidRDefault="005661B4" w:rsidP="005661B4">
            <w:pPr>
              <w:pStyle w:val="TableText"/>
              <w:rPr>
                <w:b w:val="0"/>
                <w:bCs w:val="0"/>
              </w:rPr>
            </w:pPr>
          </w:p>
        </w:tc>
        <w:tc>
          <w:tcPr>
            <w:tcW w:w="1166" w:type="dxa"/>
            <w:vMerge/>
            <w:tcBorders>
              <w:top w:val="none" w:sz="0" w:space="0" w:color="auto"/>
              <w:bottom w:val="none" w:sz="0" w:space="0" w:color="auto"/>
            </w:tcBorders>
            <w:hideMark/>
          </w:tcPr>
          <w:p w14:paraId="00656A69" w14:textId="77777777" w:rsidR="005661B4" w:rsidRPr="007A1075" w:rsidRDefault="005661B4" w:rsidP="005661B4">
            <w:pPr>
              <w:pStyle w:val="TableText"/>
              <w:cnfStyle w:val="000000100000" w:firstRow="0" w:lastRow="0" w:firstColumn="0" w:lastColumn="0" w:oddVBand="0" w:evenVBand="0" w:oddHBand="1" w:evenHBand="0" w:firstRowFirstColumn="0" w:firstRowLastColumn="0" w:lastRowFirstColumn="0" w:lastRowLastColumn="0"/>
            </w:pPr>
          </w:p>
        </w:tc>
        <w:tc>
          <w:tcPr>
            <w:tcW w:w="1669" w:type="dxa"/>
            <w:vMerge/>
            <w:tcBorders>
              <w:top w:val="none" w:sz="0" w:space="0" w:color="auto"/>
              <w:bottom w:val="none" w:sz="0" w:space="0" w:color="auto"/>
            </w:tcBorders>
            <w:hideMark/>
          </w:tcPr>
          <w:p w14:paraId="4DAFE9C1" w14:textId="77777777" w:rsidR="005661B4" w:rsidRPr="007A1075" w:rsidRDefault="005661B4" w:rsidP="005661B4">
            <w:pPr>
              <w:pStyle w:val="TableText"/>
              <w:cnfStyle w:val="000000100000" w:firstRow="0" w:lastRow="0" w:firstColumn="0" w:lastColumn="0" w:oddVBand="0" w:evenVBand="0" w:oddHBand="1" w:evenHBand="0" w:firstRowFirstColumn="0" w:firstRowLastColumn="0" w:lastRowFirstColumn="0" w:lastRowLastColumn="0"/>
            </w:pPr>
          </w:p>
        </w:tc>
        <w:tc>
          <w:tcPr>
            <w:tcW w:w="3692" w:type="dxa"/>
            <w:tcBorders>
              <w:top w:val="none" w:sz="0" w:space="0" w:color="auto"/>
              <w:bottom w:val="none" w:sz="0" w:space="0" w:color="auto"/>
            </w:tcBorders>
            <w:noWrap/>
            <w:hideMark/>
          </w:tcPr>
          <w:p w14:paraId="70A76003" w14:textId="1CA73706" w:rsidR="005661B4" w:rsidRPr="007A1075" w:rsidRDefault="005661B4" w:rsidP="005661B4">
            <w:pPr>
              <w:pStyle w:val="TableText"/>
              <w:cnfStyle w:val="000000100000" w:firstRow="0" w:lastRow="0" w:firstColumn="0" w:lastColumn="0" w:oddVBand="0" w:evenVBand="0" w:oddHBand="1" w:evenHBand="0" w:firstRowFirstColumn="0" w:firstRowLastColumn="0" w:lastRowFirstColumn="0" w:lastRowLastColumn="0"/>
            </w:pPr>
            <w:r w:rsidRPr="00E97A3C">
              <w:t>Personal and family safety</w:t>
            </w:r>
          </w:p>
        </w:tc>
        <w:tc>
          <w:tcPr>
            <w:tcW w:w="1341" w:type="dxa"/>
            <w:tcBorders>
              <w:top w:val="none" w:sz="0" w:space="0" w:color="auto"/>
              <w:bottom w:val="none" w:sz="0" w:space="0" w:color="auto"/>
            </w:tcBorders>
            <w:noWrap/>
            <w:hideMark/>
          </w:tcPr>
          <w:p w14:paraId="601B4594" w14:textId="747A4B9B" w:rsidR="005661B4" w:rsidRPr="007A1075" w:rsidRDefault="005661B4" w:rsidP="005661B4">
            <w:pPr>
              <w:pStyle w:val="TableText"/>
              <w:cnfStyle w:val="000000100000" w:firstRow="0" w:lastRow="0" w:firstColumn="0" w:lastColumn="0" w:oddVBand="0" w:evenVBand="0" w:oddHBand="1" w:evenHBand="0" w:firstRowFirstColumn="0" w:firstRowLastColumn="0" w:lastRowFirstColumn="0" w:lastRowLastColumn="0"/>
            </w:pPr>
            <w:r w:rsidRPr="00E97A3C">
              <w:t>0.56</w:t>
            </w:r>
          </w:p>
        </w:tc>
        <w:tc>
          <w:tcPr>
            <w:tcW w:w="1439" w:type="dxa"/>
            <w:tcBorders>
              <w:top w:val="none" w:sz="0" w:space="0" w:color="auto"/>
              <w:bottom w:val="none" w:sz="0" w:space="0" w:color="auto"/>
            </w:tcBorders>
            <w:noWrap/>
            <w:hideMark/>
          </w:tcPr>
          <w:p w14:paraId="11492D96" w14:textId="0B96D957" w:rsidR="005661B4" w:rsidRPr="007A1075" w:rsidRDefault="005661B4" w:rsidP="005661B4">
            <w:pPr>
              <w:pStyle w:val="TableText"/>
              <w:cnfStyle w:val="000000100000" w:firstRow="0" w:lastRow="0" w:firstColumn="0" w:lastColumn="0" w:oddVBand="0" w:evenVBand="0" w:oddHBand="1" w:evenHBand="0" w:firstRowFirstColumn="0" w:firstRowLastColumn="0" w:lastRowFirstColumn="0" w:lastRowLastColumn="0"/>
            </w:pPr>
            <w:r w:rsidRPr="00E97A3C">
              <w:t>108398774</w:t>
            </w:r>
          </w:p>
        </w:tc>
        <w:tc>
          <w:tcPr>
            <w:tcW w:w="1123" w:type="dxa"/>
            <w:tcBorders>
              <w:top w:val="none" w:sz="0" w:space="0" w:color="auto"/>
              <w:bottom w:val="none" w:sz="0" w:space="0" w:color="auto"/>
            </w:tcBorders>
            <w:noWrap/>
            <w:hideMark/>
          </w:tcPr>
          <w:p w14:paraId="3F669FC5" w14:textId="392E6EF6" w:rsidR="005661B4" w:rsidRPr="007A1075" w:rsidRDefault="005661B4" w:rsidP="005661B4">
            <w:pPr>
              <w:pStyle w:val="TableText"/>
              <w:cnfStyle w:val="000000100000" w:firstRow="0" w:lastRow="0" w:firstColumn="0" w:lastColumn="0" w:oddVBand="0" w:evenVBand="0" w:oddHBand="1" w:evenHBand="0" w:firstRowFirstColumn="0" w:firstRowLastColumn="0" w:lastRowFirstColumn="0" w:lastRowLastColumn="0"/>
            </w:pPr>
            <w:r w:rsidRPr="00E97A3C">
              <w:t>39</w:t>
            </w:r>
            <w:r>
              <w:t>,</w:t>
            </w:r>
            <w:r w:rsidRPr="00E97A3C">
              <w:t>005</w:t>
            </w:r>
          </w:p>
        </w:tc>
        <w:tc>
          <w:tcPr>
            <w:tcW w:w="1123" w:type="dxa"/>
            <w:tcBorders>
              <w:top w:val="none" w:sz="0" w:space="0" w:color="auto"/>
              <w:bottom w:val="none" w:sz="0" w:space="0" w:color="auto"/>
            </w:tcBorders>
            <w:noWrap/>
            <w:hideMark/>
          </w:tcPr>
          <w:p w14:paraId="5F0C1EF5" w14:textId="29C0CFCD" w:rsidR="005661B4" w:rsidRPr="007A1075" w:rsidRDefault="005661B4" w:rsidP="005661B4">
            <w:pPr>
              <w:pStyle w:val="TableText"/>
              <w:cnfStyle w:val="000000100000" w:firstRow="0" w:lastRow="0" w:firstColumn="0" w:lastColumn="0" w:oddVBand="0" w:evenVBand="0" w:oddHBand="1" w:evenHBand="0" w:firstRowFirstColumn="0" w:firstRowLastColumn="0" w:lastRowFirstColumn="0" w:lastRowLastColumn="0"/>
            </w:pPr>
            <w:r w:rsidRPr="00E97A3C">
              <w:t>&lt;.001</w:t>
            </w:r>
          </w:p>
        </w:tc>
        <w:tc>
          <w:tcPr>
            <w:tcW w:w="1403" w:type="dxa"/>
            <w:tcBorders>
              <w:top w:val="none" w:sz="0" w:space="0" w:color="auto"/>
              <w:bottom w:val="none" w:sz="0" w:space="0" w:color="auto"/>
            </w:tcBorders>
            <w:noWrap/>
            <w:hideMark/>
          </w:tcPr>
          <w:p w14:paraId="6F0C8766" w14:textId="7572E924" w:rsidR="005661B4" w:rsidRPr="007A1075" w:rsidRDefault="005661B4" w:rsidP="005661B4">
            <w:pPr>
              <w:pStyle w:val="TableText"/>
              <w:cnfStyle w:val="000000100000" w:firstRow="0" w:lastRow="0" w:firstColumn="0" w:lastColumn="0" w:oddVBand="0" w:evenVBand="0" w:oddHBand="1" w:evenHBand="0" w:firstRowFirstColumn="0" w:firstRowLastColumn="0" w:lastRowFirstColumn="0" w:lastRowLastColumn="0"/>
            </w:pPr>
            <w:r w:rsidRPr="00E97A3C">
              <w:t>42.4% (n=16</w:t>
            </w:r>
            <w:r>
              <w:t>,</w:t>
            </w:r>
            <w:r w:rsidRPr="00E97A3C">
              <w:t>556)</w:t>
            </w:r>
          </w:p>
        </w:tc>
      </w:tr>
      <w:tr w:rsidR="00BC3586" w:rsidRPr="007A1075" w14:paraId="399F9F88" w14:textId="77777777" w:rsidTr="00520E3A">
        <w:trPr>
          <w:trHeight w:val="290"/>
        </w:trPr>
        <w:tc>
          <w:tcPr>
            <w:cnfStyle w:val="001000000000" w:firstRow="0" w:lastRow="0" w:firstColumn="1" w:lastColumn="0" w:oddVBand="0" w:evenVBand="0" w:oddHBand="0" w:evenHBand="0" w:firstRowFirstColumn="0" w:firstRowLastColumn="0" w:lastRowFirstColumn="0" w:lastRowLastColumn="0"/>
            <w:tcW w:w="988" w:type="dxa"/>
            <w:vMerge/>
            <w:tcBorders>
              <w:right w:val="none" w:sz="0" w:space="0" w:color="auto"/>
            </w:tcBorders>
            <w:hideMark/>
          </w:tcPr>
          <w:p w14:paraId="504CBE61" w14:textId="77777777" w:rsidR="005661B4" w:rsidRPr="007A1075" w:rsidRDefault="005661B4" w:rsidP="005661B4">
            <w:pPr>
              <w:pStyle w:val="TableText"/>
            </w:pPr>
          </w:p>
        </w:tc>
        <w:tc>
          <w:tcPr>
            <w:tcW w:w="1166" w:type="dxa"/>
            <w:vMerge/>
            <w:hideMark/>
          </w:tcPr>
          <w:p w14:paraId="2B306A81" w14:textId="77777777" w:rsidR="005661B4" w:rsidRPr="007A1075" w:rsidRDefault="005661B4" w:rsidP="005661B4">
            <w:pPr>
              <w:pStyle w:val="TableText"/>
              <w:cnfStyle w:val="000000000000" w:firstRow="0" w:lastRow="0" w:firstColumn="0" w:lastColumn="0" w:oddVBand="0" w:evenVBand="0" w:oddHBand="0" w:evenHBand="0" w:firstRowFirstColumn="0" w:firstRowLastColumn="0" w:lastRowFirstColumn="0" w:lastRowLastColumn="0"/>
            </w:pPr>
          </w:p>
        </w:tc>
        <w:tc>
          <w:tcPr>
            <w:tcW w:w="1669" w:type="dxa"/>
            <w:vMerge w:val="restart"/>
            <w:hideMark/>
          </w:tcPr>
          <w:p w14:paraId="6CBBE7A6" w14:textId="77777777" w:rsidR="005661B4" w:rsidRPr="007A1075" w:rsidRDefault="005661B4" w:rsidP="005661B4">
            <w:pPr>
              <w:pStyle w:val="TableText"/>
              <w:cnfStyle w:val="000000000000" w:firstRow="0" w:lastRow="0" w:firstColumn="0" w:lastColumn="0" w:oddVBand="0" w:evenVBand="0" w:oddHBand="0" w:evenHBand="0" w:firstRowFirstColumn="0" w:firstRowLastColumn="0" w:lastRowFirstColumn="0" w:lastRowLastColumn="0"/>
            </w:pPr>
            <w:r w:rsidRPr="00E97A3C">
              <w:t>Goals</w:t>
            </w:r>
          </w:p>
          <w:p w14:paraId="7B72937A" w14:textId="312B7F35" w:rsidR="005661B4" w:rsidRPr="007A1075" w:rsidRDefault="005661B4" w:rsidP="005661B4">
            <w:pPr>
              <w:pStyle w:val="TableText"/>
              <w:cnfStyle w:val="000000000000" w:firstRow="0" w:lastRow="0" w:firstColumn="0" w:lastColumn="0" w:oddVBand="0" w:evenVBand="0" w:oddHBand="0" w:evenHBand="0" w:firstRowFirstColumn="0" w:firstRowLastColumn="0" w:lastRowFirstColumn="0" w:lastRowLastColumn="0"/>
            </w:pPr>
          </w:p>
        </w:tc>
        <w:tc>
          <w:tcPr>
            <w:tcW w:w="3692" w:type="dxa"/>
            <w:noWrap/>
            <w:hideMark/>
          </w:tcPr>
          <w:p w14:paraId="7590AD7F" w14:textId="65F69B1C" w:rsidR="005661B4" w:rsidRPr="007A1075" w:rsidRDefault="005661B4" w:rsidP="005661B4">
            <w:pPr>
              <w:pStyle w:val="TableText"/>
              <w:cnfStyle w:val="000000000000" w:firstRow="0" w:lastRow="0" w:firstColumn="0" w:lastColumn="0" w:oddVBand="0" w:evenVBand="0" w:oddHBand="0" w:evenHBand="0" w:firstRowFirstColumn="0" w:firstRowLastColumn="0" w:lastRowFirstColumn="0" w:lastRowLastColumn="0"/>
            </w:pPr>
            <w:r w:rsidRPr="00E97A3C">
              <w:t>Changed behaviours</w:t>
            </w:r>
          </w:p>
        </w:tc>
        <w:tc>
          <w:tcPr>
            <w:tcW w:w="1341" w:type="dxa"/>
            <w:noWrap/>
            <w:hideMark/>
          </w:tcPr>
          <w:p w14:paraId="4A5CDCD8" w14:textId="413138EB" w:rsidR="005661B4" w:rsidRPr="007A1075" w:rsidRDefault="005661B4" w:rsidP="005661B4">
            <w:pPr>
              <w:pStyle w:val="TableText"/>
              <w:cnfStyle w:val="000000000000" w:firstRow="0" w:lastRow="0" w:firstColumn="0" w:lastColumn="0" w:oddVBand="0" w:evenVBand="0" w:oddHBand="0" w:evenHBand="0" w:firstRowFirstColumn="0" w:firstRowLastColumn="0" w:lastRowFirstColumn="0" w:lastRowLastColumn="0"/>
            </w:pPr>
            <w:r w:rsidRPr="00E97A3C">
              <w:t>1.07</w:t>
            </w:r>
          </w:p>
        </w:tc>
        <w:tc>
          <w:tcPr>
            <w:tcW w:w="1439" w:type="dxa"/>
            <w:noWrap/>
            <w:hideMark/>
          </w:tcPr>
          <w:p w14:paraId="6791201C" w14:textId="6CB1E6EA" w:rsidR="005661B4" w:rsidRPr="007A1075" w:rsidRDefault="005661B4" w:rsidP="005661B4">
            <w:pPr>
              <w:pStyle w:val="TableText"/>
              <w:cnfStyle w:val="000000000000" w:firstRow="0" w:lastRow="0" w:firstColumn="0" w:lastColumn="0" w:oddVBand="0" w:evenVBand="0" w:oddHBand="0" w:evenHBand="0" w:firstRowFirstColumn="0" w:firstRowLastColumn="0" w:lastRowFirstColumn="0" w:lastRowLastColumn="0"/>
            </w:pPr>
            <w:r w:rsidRPr="00E97A3C">
              <w:t>45355294</w:t>
            </w:r>
          </w:p>
        </w:tc>
        <w:tc>
          <w:tcPr>
            <w:tcW w:w="1123" w:type="dxa"/>
            <w:noWrap/>
            <w:hideMark/>
          </w:tcPr>
          <w:p w14:paraId="4589C39D" w14:textId="4563978D" w:rsidR="005661B4" w:rsidRPr="007A1075" w:rsidRDefault="005661B4" w:rsidP="005661B4">
            <w:pPr>
              <w:pStyle w:val="TableText"/>
              <w:cnfStyle w:val="000000000000" w:firstRow="0" w:lastRow="0" w:firstColumn="0" w:lastColumn="0" w:oddVBand="0" w:evenVBand="0" w:oddHBand="0" w:evenHBand="0" w:firstRowFirstColumn="0" w:firstRowLastColumn="0" w:lastRowFirstColumn="0" w:lastRowLastColumn="0"/>
            </w:pPr>
            <w:r w:rsidRPr="00E97A3C">
              <w:t>39</w:t>
            </w:r>
            <w:r>
              <w:t>,</w:t>
            </w:r>
            <w:r w:rsidRPr="00E97A3C">
              <w:t>405</w:t>
            </w:r>
          </w:p>
        </w:tc>
        <w:tc>
          <w:tcPr>
            <w:tcW w:w="1123" w:type="dxa"/>
            <w:noWrap/>
            <w:hideMark/>
          </w:tcPr>
          <w:p w14:paraId="51223806" w14:textId="2CD69D51" w:rsidR="005661B4" w:rsidRPr="007A1075" w:rsidRDefault="005661B4" w:rsidP="005661B4">
            <w:pPr>
              <w:pStyle w:val="TableText"/>
              <w:cnfStyle w:val="000000000000" w:firstRow="0" w:lastRow="0" w:firstColumn="0" w:lastColumn="0" w:oddVBand="0" w:evenVBand="0" w:oddHBand="0" w:evenHBand="0" w:firstRowFirstColumn="0" w:firstRowLastColumn="0" w:lastRowFirstColumn="0" w:lastRowLastColumn="0"/>
            </w:pPr>
            <w:r w:rsidRPr="00E97A3C">
              <w:t>&lt;.001</w:t>
            </w:r>
          </w:p>
        </w:tc>
        <w:tc>
          <w:tcPr>
            <w:tcW w:w="1403" w:type="dxa"/>
            <w:noWrap/>
            <w:hideMark/>
          </w:tcPr>
          <w:p w14:paraId="28CC1DCA" w14:textId="220EBED8" w:rsidR="005661B4" w:rsidRPr="007A1075" w:rsidRDefault="005661B4" w:rsidP="005661B4">
            <w:pPr>
              <w:pStyle w:val="TableText"/>
              <w:cnfStyle w:val="000000000000" w:firstRow="0" w:lastRow="0" w:firstColumn="0" w:lastColumn="0" w:oddVBand="0" w:evenVBand="0" w:oddHBand="0" w:evenHBand="0" w:firstRowFirstColumn="0" w:firstRowLastColumn="0" w:lastRowFirstColumn="0" w:lastRowLastColumn="0"/>
            </w:pPr>
            <w:r w:rsidRPr="00E97A3C">
              <w:t>65.0% (n=25</w:t>
            </w:r>
            <w:r>
              <w:t>,</w:t>
            </w:r>
            <w:r w:rsidRPr="00E97A3C">
              <w:t>595)</w:t>
            </w:r>
          </w:p>
        </w:tc>
      </w:tr>
      <w:tr w:rsidR="00BC3586" w:rsidRPr="007A1075" w14:paraId="6CAD60B4" w14:textId="77777777" w:rsidTr="00520E3A">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88" w:type="dxa"/>
            <w:vMerge/>
            <w:tcBorders>
              <w:top w:val="none" w:sz="0" w:space="0" w:color="auto"/>
              <w:bottom w:val="none" w:sz="0" w:space="0" w:color="auto"/>
              <w:right w:val="none" w:sz="0" w:space="0" w:color="auto"/>
            </w:tcBorders>
            <w:hideMark/>
          </w:tcPr>
          <w:p w14:paraId="3BB7F362" w14:textId="77777777" w:rsidR="005661B4" w:rsidRPr="007A1075" w:rsidRDefault="005661B4" w:rsidP="005661B4">
            <w:pPr>
              <w:pStyle w:val="TableText"/>
              <w:rPr>
                <w:b w:val="0"/>
                <w:bCs w:val="0"/>
              </w:rPr>
            </w:pPr>
          </w:p>
        </w:tc>
        <w:tc>
          <w:tcPr>
            <w:tcW w:w="1166" w:type="dxa"/>
            <w:vMerge/>
            <w:tcBorders>
              <w:top w:val="none" w:sz="0" w:space="0" w:color="auto"/>
              <w:bottom w:val="none" w:sz="0" w:space="0" w:color="auto"/>
            </w:tcBorders>
            <w:hideMark/>
          </w:tcPr>
          <w:p w14:paraId="1B00BB50" w14:textId="77777777" w:rsidR="005661B4" w:rsidRPr="007A1075" w:rsidRDefault="005661B4" w:rsidP="005661B4">
            <w:pPr>
              <w:pStyle w:val="TableText"/>
              <w:cnfStyle w:val="000000100000" w:firstRow="0" w:lastRow="0" w:firstColumn="0" w:lastColumn="0" w:oddVBand="0" w:evenVBand="0" w:oddHBand="1" w:evenHBand="0" w:firstRowFirstColumn="0" w:firstRowLastColumn="0" w:lastRowFirstColumn="0" w:lastRowLastColumn="0"/>
            </w:pPr>
          </w:p>
        </w:tc>
        <w:tc>
          <w:tcPr>
            <w:tcW w:w="1669" w:type="dxa"/>
            <w:vMerge/>
            <w:tcBorders>
              <w:top w:val="none" w:sz="0" w:space="0" w:color="auto"/>
              <w:bottom w:val="none" w:sz="0" w:space="0" w:color="auto"/>
            </w:tcBorders>
            <w:hideMark/>
          </w:tcPr>
          <w:p w14:paraId="061EB532" w14:textId="77777777" w:rsidR="005661B4" w:rsidRPr="007A1075" w:rsidRDefault="005661B4" w:rsidP="005661B4">
            <w:pPr>
              <w:pStyle w:val="TableText"/>
              <w:cnfStyle w:val="000000100000" w:firstRow="0" w:lastRow="0" w:firstColumn="0" w:lastColumn="0" w:oddVBand="0" w:evenVBand="0" w:oddHBand="1" w:evenHBand="0" w:firstRowFirstColumn="0" w:firstRowLastColumn="0" w:lastRowFirstColumn="0" w:lastRowLastColumn="0"/>
            </w:pPr>
          </w:p>
        </w:tc>
        <w:tc>
          <w:tcPr>
            <w:tcW w:w="3692" w:type="dxa"/>
            <w:tcBorders>
              <w:top w:val="none" w:sz="0" w:space="0" w:color="auto"/>
              <w:bottom w:val="none" w:sz="0" w:space="0" w:color="auto"/>
            </w:tcBorders>
            <w:noWrap/>
            <w:hideMark/>
          </w:tcPr>
          <w:p w14:paraId="6319FD6D" w14:textId="046AA320" w:rsidR="005661B4" w:rsidRPr="007A1075" w:rsidRDefault="005661B4" w:rsidP="005661B4">
            <w:pPr>
              <w:pStyle w:val="TableText"/>
              <w:cnfStyle w:val="000000100000" w:firstRow="0" w:lastRow="0" w:firstColumn="0" w:lastColumn="0" w:oddVBand="0" w:evenVBand="0" w:oddHBand="1" w:evenHBand="0" w:firstRowFirstColumn="0" w:firstRowLastColumn="0" w:lastRowFirstColumn="0" w:lastRowLastColumn="0"/>
            </w:pPr>
            <w:r w:rsidRPr="00E97A3C">
              <w:t>Changed impact of immediate crisis</w:t>
            </w:r>
          </w:p>
        </w:tc>
        <w:tc>
          <w:tcPr>
            <w:tcW w:w="1341" w:type="dxa"/>
            <w:tcBorders>
              <w:top w:val="none" w:sz="0" w:space="0" w:color="auto"/>
              <w:bottom w:val="none" w:sz="0" w:space="0" w:color="auto"/>
            </w:tcBorders>
            <w:noWrap/>
            <w:hideMark/>
          </w:tcPr>
          <w:p w14:paraId="771C3CA0" w14:textId="5787DE6D" w:rsidR="005661B4" w:rsidRPr="007A1075" w:rsidRDefault="005661B4" w:rsidP="005661B4">
            <w:pPr>
              <w:pStyle w:val="TableText"/>
              <w:cnfStyle w:val="000000100000" w:firstRow="0" w:lastRow="0" w:firstColumn="0" w:lastColumn="0" w:oddVBand="0" w:evenVBand="0" w:oddHBand="1" w:evenHBand="0" w:firstRowFirstColumn="0" w:firstRowLastColumn="0" w:lastRowFirstColumn="0" w:lastRowLastColumn="0"/>
            </w:pPr>
            <w:r w:rsidRPr="00E97A3C">
              <w:t>1.09</w:t>
            </w:r>
          </w:p>
        </w:tc>
        <w:tc>
          <w:tcPr>
            <w:tcW w:w="1439" w:type="dxa"/>
            <w:tcBorders>
              <w:top w:val="none" w:sz="0" w:space="0" w:color="auto"/>
              <w:bottom w:val="none" w:sz="0" w:space="0" w:color="auto"/>
            </w:tcBorders>
            <w:noWrap/>
            <w:hideMark/>
          </w:tcPr>
          <w:p w14:paraId="114EB3E6" w14:textId="786C8B81" w:rsidR="005661B4" w:rsidRPr="007A1075" w:rsidRDefault="005661B4" w:rsidP="005661B4">
            <w:pPr>
              <w:pStyle w:val="TableText"/>
              <w:cnfStyle w:val="000000100000" w:firstRow="0" w:lastRow="0" w:firstColumn="0" w:lastColumn="0" w:oddVBand="0" w:evenVBand="0" w:oddHBand="1" w:evenHBand="0" w:firstRowFirstColumn="0" w:firstRowLastColumn="0" w:lastRowFirstColumn="0" w:lastRowLastColumn="0"/>
            </w:pPr>
            <w:r w:rsidRPr="00E97A3C">
              <w:t>14823301.5</w:t>
            </w:r>
          </w:p>
        </w:tc>
        <w:tc>
          <w:tcPr>
            <w:tcW w:w="1123" w:type="dxa"/>
            <w:tcBorders>
              <w:top w:val="none" w:sz="0" w:space="0" w:color="auto"/>
              <w:bottom w:val="none" w:sz="0" w:space="0" w:color="auto"/>
            </w:tcBorders>
            <w:noWrap/>
            <w:hideMark/>
          </w:tcPr>
          <w:p w14:paraId="13583614" w14:textId="2E052216" w:rsidR="005661B4" w:rsidRPr="007A1075" w:rsidRDefault="005661B4" w:rsidP="005661B4">
            <w:pPr>
              <w:pStyle w:val="TableText"/>
              <w:cnfStyle w:val="000000100000" w:firstRow="0" w:lastRow="0" w:firstColumn="0" w:lastColumn="0" w:oddVBand="0" w:evenVBand="0" w:oddHBand="1" w:evenHBand="0" w:firstRowFirstColumn="0" w:firstRowLastColumn="0" w:lastRowFirstColumn="0" w:lastRowLastColumn="0"/>
            </w:pPr>
            <w:r w:rsidRPr="00E97A3C">
              <w:t>20</w:t>
            </w:r>
            <w:r>
              <w:t>,</w:t>
            </w:r>
            <w:r w:rsidRPr="00E97A3C">
              <w:t>879</w:t>
            </w:r>
          </w:p>
        </w:tc>
        <w:tc>
          <w:tcPr>
            <w:tcW w:w="1123" w:type="dxa"/>
            <w:tcBorders>
              <w:top w:val="none" w:sz="0" w:space="0" w:color="auto"/>
              <w:bottom w:val="none" w:sz="0" w:space="0" w:color="auto"/>
            </w:tcBorders>
            <w:noWrap/>
            <w:hideMark/>
          </w:tcPr>
          <w:p w14:paraId="3A1F6798" w14:textId="6D11CAD6" w:rsidR="005661B4" w:rsidRPr="007A1075" w:rsidRDefault="005661B4" w:rsidP="005661B4">
            <w:pPr>
              <w:pStyle w:val="TableText"/>
              <w:cnfStyle w:val="000000100000" w:firstRow="0" w:lastRow="0" w:firstColumn="0" w:lastColumn="0" w:oddVBand="0" w:evenVBand="0" w:oddHBand="1" w:evenHBand="0" w:firstRowFirstColumn="0" w:firstRowLastColumn="0" w:lastRowFirstColumn="0" w:lastRowLastColumn="0"/>
            </w:pPr>
            <w:r w:rsidRPr="00E97A3C">
              <w:t>&lt;.001</w:t>
            </w:r>
          </w:p>
        </w:tc>
        <w:tc>
          <w:tcPr>
            <w:tcW w:w="1403" w:type="dxa"/>
            <w:tcBorders>
              <w:top w:val="none" w:sz="0" w:space="0" w:color="auto"/>
              <w:bottom w:val="none" w:sz="0" w:space="0" w:color="auto"/>
            </w:tcBorders>
            <w:noWrap/>
            <w:hideMark/>
          </w:tcPr>
          <w:p w14:paraId="61D61340" w14:textId="163428BA" w:rsidR="005661B4" w:rsidRPr="007A1075" w:rsidRDefault="005661B4" w:rsidP="005661B4">
            <w:pPr>
              <w:pStyle w:val="TableText"/>
              <w:cnfStyle w:val="000000100000" w:firstRow="0" w:lastRow="0" w:firstColumn="0" w:lastColumn="0" w:oddVBand="0" w:evenVBand="0" w:oddHBand="1" w:evenHBand="0" w:firstRowFirstColumn="0" w:firstRowLastColumn="0" w:lastRowFirstColumn="0" w:lastRowLastColumn="0"/>
            </w:pPr>
            <w:r w:rsidRPr="00E97A3C">
              <w:t>66.7% (n=13</w:t>
            </w:r>
            <w:r>
              <w:t>,</w:t>
            </w:r>
            <w:r w:rsidRPr="00E97A3C">
              <w:t>927)</w:t>
            </w:r>
          </w:p>
        </w:tc>
      </w:tr>
      <w:tr w:rsidR="00BC3586" w:rsidRPr="007A1075" w14:paraId="6D7302A4" w14:textId="77777777" w:rsidTr="00520E3A">
        <w:trPr>
          <w:trHeight w:val="290"/>
        </w:trPr>
        <w:tc>
          <w:tcPr>
            <w:cnfStyle w:val="001000000000" w:firstRow="0" w:lastRow="0" w:firstColumn="1" w:lastColumn="0" w:oddVBand="0" w:evenVBand="0" w:oddHBand="0" w:evenHBand="0" w:firstRowFirstColumn="0" w:firstRowLastColumn="0" w:lastRowFirstColumn="0" w:lastRowLastColumn="0"/>
            <w:tcW w:w="988" w:type="dxa"/>
            <w:vMerge/>
            <w:tcBorders>
              <w:right w:val="none" w:sz="0" w:space="0" w:color="auto"/>
            </w:tcBorders>
            <w:hideMark/>
          </w:tcPr>
          <w:p w14:paraId="5263CD27" w14:textId="77777777" w:rsidR="005661B4" w:rsidRPr="007A1075" w:rsidRDefault="005661B4" w:rsidP="005661B4">
            <w:pPr>
              <w:pStyle w:val="TableText"/>
            </w:pPr>
          </w:p>
        </w:tc>
        <w:tc>
          <w:tcPr>
            <w:tcW w:w="1166" w:type="dxa"/>
            <w:vMerge/>
            <w:hideMark/>
          </w:tcPr>
          <w:p w14:paraId="59C2436F" w14:textId="77777777" w:rsidR="005661B4" w:rsidRPr="007A1075" w:rsidRDefault="005661B4" w:rsidP="005661B4">
            <w:pPr>
              <w:pStyle w:val="TableText"/>
              <w:cnfStyle w:val="000000000000" w:firstRow="0" w:lastRow="0" w:firstColumn="0" w:lastColumn="0" w:oddVBand="0" w:evenVBand="0" w:oddHBand="0" w:evenHBand="0" w:firstRowFirstColumn="0" w:firstRowLastColumn="0" w:lastRowFirstColumn="0" w:lastRowLastColumn="0"/>
            </w:pPr>
          </w:p>
        </w:tc>
        <w:tc>
          <w:tcPr>
            <w:tcW w:w="1669" w:type="dxa"/>
            <w:vMerge/>
            <w:hideMark/>
          </w:tcPr>
          <w:p w14:paraId="0CA1D33E" w14:textId="77777777" w:rsidR="005661B4" w:rsidRPr="007A1075" w:rsidRDefault="005661B4" w:rsidP="005661B4">
            <w:pPr>
              <w:pStyle w:val="TableText"/>
              <w:cnfStyle w:val="000000000000" w:firstRow="0" w:lastRow="0" w:firstColumn="0" w:lastColumn="0" w:oddVBand="0" w:evenVBand="0" w:oddHBand="0" w:evenHBand="0" w:firstRowFirstColumn="0" w:firstRowLastColumn="0" w:lastRowFirstColumn="0" w:lastRowLastColumn="0"/>
            </w:pPr>
          </w:p>
        </w:tc>
        <w:tc>
          <w:tcPr>
            <w:tcW w:w="3692" w:type="dxa"/>
            <w:noWrap/>
            <w:hideMark/>
          </w:tcPr>
          <w:p w14:paraId="3731A3CD" w14:textId="2AAED3B4" w:rsidR="005661B4" w:rsidRPr="007A1075" w:rsidRDefault="005661B4" w:rsidP="005661B4">
            <w:pPr>
              <w:pStyle w:val="TableText"/>
              <w:cnfStyle w:val="000000000000" w:firstRow="0" w:lastRow="0" w:firstColumn="0" w:lastColumn="0" w:oddVBand="0" w:evenVBand="0" w:oddHBand="0" w:evenHBand="0" w:firstRowFirstColumn="0" w:firstRowLastColumn="0" w:lastRowFirstColumn="0" w:lastRowLastColumn="0"/>
            </w:pPr>
            <w:r w:rsidRPr="00E97A3C">
              <w:t>Changed knowledge and access to information</w:t>
            </w:r>
          </w:p>
        </w:tc>
        <w:tc>
          <w:tcPr>
            <w:tcW w:w="1341" w:type="dxa"/>
            <w:noWrap/>
            <w:hideMark/>
          </w:tcPr>
          <w:p w14:paraId="0665C4BF" w14:textId="60B9B6D6" w:rsidR="005661B4" w:rsidRPr="007A1075" w:rsidRDefault="005661B4" w:rsidP="005661B4">
            <w:pPr>
              <w:pStyle w:val="TableText"/>
              <w:cnfStyle w:val="000000000000" w:firstRow="0" w:lastRow="0" w:firstColumn="0" w:lastColumn="0" w:oddVBand="0" w:evenVBand="0" w:oddHBand="0" w:evenHBand="0" w:firstRowFirstColumn="0" w:firstRowLastColumn="0" w:lastRowFirstColumn="0" w:lastRowLastColumn="0"/>
            </w:pPr>
            <w:r w:rsidRPr="00E97A3C">
              <w:t>1.15</w:t>
            </w:r>
          </w:p>
        </w:tc>
        <w:tc>
          <w:tcPr>
            <w:tcW w:w="1439" w:type="dxa"/>
            <w:noWrap/>
            <w:hideMark/>
          </w:tcPr>
          <w:p w14:paraId="09397BA0" w14:textId="7E02B999" w:rsidR="005661B4" w:rsidRPr="007A1075" w:rsidRDefault="005661B4" w:rsidP="005661B4">
            <w:pPr>
              <w:pStyle w:val="TableText"/>
              <w:cnfStyle w:val="000000000000" w:firstRow="0" w:lastRow="0" w:firstColumn="0" w:lastColumn="0" w:oddVBand="0" w:evenVBand="0" w:oddHBand="0" w:evenHBand="0" w:firstRowFirstColumn="0" w:firstRowLastColumn="0" w:lastRowFirstColumn="0" w:lastRowLastColumn="0"/>
            </w:pPr>
            <w:r w:rsidRPr="00E97A3C">
              <w:t>70663493</w:t>
            </w:r>
          </w:p>
        </w:tc>
        <w:tc>
          <w:tcPr>
            <w:tcW w:w="1123" w:type="dxa"/>
            <w:noWrap/>
            <w:hideMark/>
          </w:tcPr>
          <w:p w14:paraId="7D48715A" w14:textId="1380ED4B" w:rsidR="005661B4" w:rsidRPr="007A1075" w:rsidRDefault="005661B4" w:rsidP="005661B4">
            <w:pPr>
              <w:pStyle w:val="TableText"/>
              <w:cnfStyle w:val="000000000000" w:firstRow="0" w:lastRow="0" w:firstColumn="0" w:lastColumn="0" w:oddVBand="0" w:evenVBand="0" w:oddHBand="0" w:evenHBand="0" w:firstRowFirstColumn="0" w:firstRowLastColumn="0" w:lastRowFirstColumn="0" w:lastRowLastColumn="0"/>
            </w:pPr>
            <w:r w:rsidRPr="00E97A3C">
              <w:t>46</w:t>
            </w:r>
            <w:r>
              <w:t>,</w:t>
            </w:r>
            <w:r w:rsidRPr="00E97A3C">
              <w:t>652</w:t>
            </w:r>
          </w:p>
        </w:tc>
        <w:tc>
          <w:tcPr>
            <w:tcW w:w="1123" w:type="dxa"/>
            <w:noWrap/>
            <w:hideMark/>
          </w:tcPr>
          <w:p w14:paraId="5F318DCB" w14:textId="54E9D648" w:rsidR="005661B4" w:rsidRPr="007A1075" w:rsidRDefault="005661B4" w:rsidP="005661B4">
            <w:pPr>
              <w:pStyle w:val="TableText"/>
              <w:cnfStyle w:val="000000000000" w:firstRow="0" w:lastRow="0" w:firstColumn="0" w:lastColumn="0" w:oddVBand="0" w:evenVBand="0" w:oddHBand="0" w:evenHBand="0" w:firstRowFirstColumn="0" w:firstRowLastColumn="0" w:lastRowFirstColumn="0" w:lastRowLastColumn="0"/>
            </w:pPr>
            <w:r w:rsidRPr="00E97A3C">
              <w:t>&lt;.001</w:t>
            </w:r>
          </w:p>
        </w:tc>
        <w:tc>
          <w:tcPr>
            <w:tcW w:w="1403" w:type="dxa"/>
            <w:noWrap/>
            <w:hideMark/>
          </w:tcPr>
          <w:p w14:paraId="0B198794" w14:textId="7E662A9B" w:rsidR="005661B4" w:rsidRPr="007A1075" w:rsidRDefault="005661B4" w:rsidP="005661B4">
            <w:pPr>
              <w:pStyle w:val="TableText"/>
              <w:cnfStyle w:val="000000000000" w:firstRow="0" w:lastRow="0" w:firstColumn="0" w:lastColumn="0" w:oddVBand="0" w:evenVBand="0" w:oddHBand="0" w:evenHBand="0" w:firstRowFirstColumn="0" w:firstRowLastColumn="0" w:lastRowFirstColumn="0" w:lastRowLastColumn="0"/>
            </w:pPr>
            <w:r w:rsidRPr="00E97A3C">
              <w:t>66.3% (n=30</w:t>
            </w:r>
            <w:r>
              <w:t>,</w:t>
            </w:r>
            <w:r w:rsidRPr="00E97A3C">
              <w:t>948)</w:t>
            </w:r>
          </w:p>
        </w:tc>
      </w:tr>
      <w:tr w:rsidR="00BC3586" w:rsidRPr="007A1075" w14:paraId="1A3A91D3" w14:textId="77777777" w:rsidTr="00520E3A">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88" w:type="dxa"/>
            <w:vMerge/>
            <w:tcBorders>
              <w:top w:val="none" w:sz="0" w:space="0" w:color="auto"/>
              <w:bottom w:val="none" w:sz="0" w:space="0" w:color="auto"/>
              <w:right w:val="none" w:sz="0" w:space="0" w:color="auto"/>
            </w:tcBorders>
            <w:hideMark/>
          </w:tcPr>
          <w:p w14:paraId="70395186" w14:textId="77777777" w:rsidR="005661B4" w:rsidRPr="007A1075" w:rsidRDefault="005661B4" w:rsidP="005661B4">
            <w:pPr>
              <w:pStyle w:val="TableText"/>
              <w:rPr>
                <w:b w:val="0"/>
                <w:bCs w:val="0"/>
              </w:rPr>
            </w:pPr>
          </w:p>
        </w:tc>
        <w:tc>
          <w:tcPr>
            <w:tcW w:w="1166" w:type="dxa"/>
            <w:vMerge/>
            <w:tcBorders>
              <w:top w:val="none" w:sz="0" w:space="0" w:color="auto"/>
              <w:bottom w:val="none" w:sz="0" w:space="0" w:color="auto"/>
            </w:tcBorders>
            <w:hideMark/>
          </w:tcPr>
          <w:p w14:paraId="61F97CEF" w14:textId="77777777" w:rsidR="005661B4" w:rsidRPr="007A1075" w:rsidRDefault="005661B4" w:rsidP="005661B4">
            <w:pPr>
              <w:pStyle w:val="TableText"/>
              <w:cnfStyle w:val="000000100000" w:firstRow="0" w:lastRow="0" w:firstColumn="0" w:lastColumn="0" w:oddVBand="0" w:evenVBand="0" w:oddHBand="1" w:evenHBand="0" w:firstRowFirstColumn="0" w:firstRowLastColumn="0" w:lastRowFirstColumn="0" w:lastRowLastColumn="0"/>
            </w:pPr>
          </w:p>
        </w:tc>
        <w:tc>
          <w:tcPr>
            <w:tcW w:w="1669" w:type="dxa"/>
            <w:vMerge/>
            <w:tcBorders>
              <w:top w:val="none" w:sz="0" w:space="0" w:color="auto"/>
              <w:bottom w:val="none" w:sz="0" w:space="0" w:color="auto"/>
            </w:tcBorders>
            <w:hideMark/>
          </w:tcPr>
          <w:p w14:paraId="3B3AD562" w14:textId="77777777" w:rsidR="005661B4" w:rsidRPr="007A1075" w:rsidRDefault="005661B4" w:rsidP="005661B4">
            <w:pPr>
              <w:pStyle w:val="TableText"/>
              <w:cnfStyle w:val="000000100000" w:firstRow="0" w:lastRow="0" w:firstColumn="0" w:lastColumn="0" w:oddVBand="0" w:evenVBand="0" w:oddHBand="1" w:evenHBand="0" w:firstRowFirstColumn="0" w:firstRowLastColumn="0" w:lastRowFirstColumn="0" w:lastRowLastColumn="0"/>
            </w:pPr>
          </w:p>
        </w:tc>
        <w:tc>
          <w:tcPr>
            <w:tcW w:w="3692" w:type="dxa"/>
            <w:tcBorders>
              <w:top w:val="none" w:sz="0" w:space="0" w:color="auto"/>
              <w:bottom w:val="none" w:sz="0" w:space="0" w:color="auto"/>
            </w:tcBorders>
            <w:noWrap/>
            <w:hideMark/>
          </w:tcPr>
          <w:p w14:paraId="5B18F468" w14:textId="4EDE1375" w:rsidR="005661B4" w:rsidRPr="007A1075" w:rsidRDefault="005661B4" w:rsidP="005661B4">
            <w:pPr>
              <w:pStyle w:val="TableText"/>
              <w:cnfStyle w:val="000000100000" w:firstRow="0" w:lastRow="0" w:firstColumn="0" w:lastColumn="0" w:oddVBand="0" w:evenVBand="0" w:oddHBand="1" w:evenHBand="0" w:firstRowFirstColumn="0" w:firstRowLastColumn="0" w:lastRowFirstColumn="0" w:lastRowLastColumn="0"/>
            </w:pPr>
            <w:r w:rsidRPr="00E97A3C">
              <w:t>Changed skills</w:t>
            </w:r>
          </w:p>
        </w:tc>
        <w:tc>
          <w:tcPr>
            <w:tcW w:w="1341" w:type="dxa"/>
            <w:tcBorders>
              <w:top w:val="none" w:sz="0" w:space="0" w:color="auto"/>
              <w:bottom w:val="none" w:sz="0" w:space="0" w:color="auto"/>
            </w:tcBorders>
            <w:noWrap/>
            <w:hideMark/>
          </w:tcPr>
          <w:p w14:paraId="67651185" w14:textId="08B9BC9D" w:rsidR="005661B4" w:rsidRPr="007A1075" w:rsidRDefault="005661B4" w:rsidP="005661B4">
            <w:pPr>
              <w:pStyle w:val="TableText"/>
              <w:cnfStyle w:val="000000100000" w:firstRow="0" w:lastRow="0" w:firstColumn="0" w:lastColumn="0" w:oddVBand="0" w:evenVBand="0" w:oddHBand="1" w:evenHBand="0" w:firstRowFirstColumn="0" w:firstRowLastColumn="0" w:lastRowFirstColumn="0" w:lastRowLastColumn="0"/>
            </w:pPr>
            <w:r w:rsidRPr="00E97A3C">
              <w:t>1.03</w:t>
            </w:r>
          </w:p>
        </w:tc>
        <w:tc>
          <w:tcPr>
            <w:tcW w:w="1439" w:type="dxa"/>
            <w:tcBorders>
              <w:top w:val="none" w:sz="0" w:space="0" w:color="auto"/>
              <w:bottom w:val="none" w:sz="0" w:space="0" w:color="auto"/>
            </w:tcBorders>
            <w:noWrap/>
            <w:hideMark/>
          </w:tcPr>
          <w:p w14:paraId="2B5E100E" w14:textId="15F63C39" w:rsidR="005661B4" w:rsidRPr="007A1075" w:rsidRDefault="005661B4" w:rsidP="005661B4">
            <w:pPr>
              <w:pStyle w:val="TableText"/>
              <w:cnfStyle w:val="000000100000" w:firstRow="0" w:lastRow="0" w:firstColumn="0" w:lastColumn="0" w:oddVBand="0" w:evenVBand="0" w:oddHBand="1" w:evenHBand="0" w:firstRowFirstColumn="0" w:firstRowLastColumn="0" w:lastRowFirstColumn="0" w:lastRowLastColumn="0"/>
            </w:pPr>
            <w:r w:rsidRPr="00E97A3C">
              <w:t>82486878.5</w:t>
            </w:r>
          </w:p>
        </w:tc>
        <w:tc>
          <w:tcPr>
            <w:tcW w:w="1123" w:type="dxa"/>
            <w:tcBorders>
              <w:top w:val="none" w:sz="0" w:space="0" w:color="auto"/>
              <w:bottom w:val="none" w:sz="0" w:space="0" w:color="auto"/>
            </w:tcBorders>
            <w:noWrap/>
            <w:hideMark/>
          </w:tcPr>
          <w:p w14:paraId="529AC2C6" w14:textId="5F2A7FA9" w:rsidR="005661B4" w:rsidRPr="007A1075" w:rsidRDefault="005661B4" w:rsidP="005661B4">
            <w:pPr>
              <w:pStyle w:val="TableText"/>
              <w:cnfStyle w:val="000000100000" w:firstRow="0" w:lastRow="0" w:firstColumn="0" w:lastColumn="0" w:oddVBand="0" w:evenVBand="0" w:oddHBand="1" w:evenHBand="0" w:firstRowFirstColumn="0" w:firstRowLastColumn="0" w:lastRowFirstColumn="0" w:lastRowLastColumn="0"/>
            </w:pPr>
            <w:r w:rsidRPr="00E97A3C">
              <w:t>49</w:t>
            </w:r>
            <w:r>
              <w:t>,</w:t>
            </w:r>
            <w:r w:rsidRPr="00E97A3C">
              <w:t>425</w:t>
            </w:r>
          </w:p>
        </w:tc>
        <w:tc>
          <w:tcPr>
            <w:tcW w:w="1123" w:type="dxa"/>
            <w:tcBorders>
              <w:top w:val="none" w:sz="0" w:space="0" w:color="auto"/>
              <w:bottom w:val="none" w:sz="0" w:space="0" w:color="auto"/>
            </w:tcBorders>
            <w:noWrap/>
            <w:hideMark/>
          </w:tcPr>
          <w:p w14:paraId="162F1008" w14:textId="175FE1A3" w:rsidR="005661B4" w:rsidRPr="007A1075" w:rsidRDefault="005661B4" w:rsidP="005661B4">
            <w:pPr>
              <w:pStyle w:val="TableText"/>
              <w:cnfStyle w:val="000000100000" w:firstRow="0" w:lastRow="0" w:firstColumn="0" w:lastColumn="0" w:oddVBand="0" w:evenVBand="0" w:oddHBand="1" w:evenHBand="0" w:firstRowFirstColumn="0" w:firstRowLastColumn="0" w:lastRowFirstColumn="0" w:lastRowLastColumn="0"/>
            </w:pPr>
            <w:r w:rsidRPr="00E97A3C">
              <w:t>&lt;.001</w:t>
            </w:r>
          </w:p>
        </w:tc>
        <w:tc>
          <w:tcPr>
            <w:tcW w:w="1403" w:type="dxa"/>
            <w:tcBorders>
              <w:top w:val="none" w:sz="0" w:space="0" w:color="auto"/>
              <w:bottom w:val="none" w:sz="0" w:space="0" w:color="auto"/>
            </w:tcBorders>
            <w:noWrap/>
            <w:hideMark/>
          </w:tcPr>
          <w:p w14:paraId="2686BE2D" w14:textId="767F2C39" w:rsidR="005661B4" w:rsidRPr="007A1075" w:rsidRDefault="005661B4" w:rsidP="005661B4">
            <w:pPr>
              <w:pStyle w:val="TableText"/>
              <w:cnfStyle w:val="000000100000" w:firstRow="0" w:lastRow="0" w:firstColumn="0" w:lastColumn="0" w:oddVBand="0" w:evenVBand="0" w:oddHBand="1" w:evenHBand="0" w:firstRowFirstColumn="0" w:firstRowLastColumn="0" w:lastRowFirstColumn="0" w:lastRowLastColumn="0"/>
            </w:pPr>
            <w:r w:rsidRPr="00E97A3C">
              <w:t>64.1% (n=31</w:t>
            </w:r>
            <w:r>
              <w:t>,</w:t>
            </w:r>
            <w:r w:rsidRPr="00E97A3C">
              <w:t>670)</w:t>
            </w:r>
          </w:p>
        </w:tc>
      </w:tr>
      <w:tr w:rsidR="00BC3586" w:rsidRPr="007A1075" w14:paraId="2986A859" w14:textId="77777777" w:rsidTr="00520E3A">
        <w:trPr>
          <w:trHeight w:val="290"/>
        </w:trPr>
        <w:tc>
          <w:tcPr>
            <w:cnfStyle w:val="001000000000" w:firstRow="0" w:lastRow="0" w:firstColumn="1" w:lastColumn="0" w:oddVBand="0" w:evenVBand="0" w:oddHBand="0" w:evenHBand="0" w:firstRowFirstColumn="0" w:firstRowLastColumn="0" w:lastRowFirstColumn="0" w:lastRowLastColumn="0"/>
            <w:tcW w:w="988" w:type="dxa"/>
            <w:vMerge/>
            <w:tcBorders>
              <w:right w:val="none" w:sz="0" w:space="0" w:color="auto"/>
            </w:tcBorders>
            <w:hideMark/>
          </w:tcPr>
          <w:p w14:paraId="53F91E72" w14:textId="77777777" w:rsidR="005661B4" w:rsidRPr="007A1075" w:rsidRDefault="005661B4" w:rsidP="005661B4">
            <w:pPr>
              <w:pStyle w:val="TableText"/>
            </w:pPr>
          </w:p>
        </w:tc>
        <w:tc>
          <w:tcPr>
            <w:tcW w:w="1166" w:type="dxa"/>
            <w:vMerge/>
            <w:hideMark/>
          </w:tcPr>
          <w:p w14:paraId="1711F09B" w14:textId="77777777" w:rsidR="005661B4" w:rsidRPr="007A1075" w:rsidRDefault="005661B4" w:rsidP="005661B4">
            <w:pPr>
              <w:pStyle w:val="TableText"/>
              <w:cnfStyle w:val="000000000000" w:firstRow="0" w:lastRow="0" w:firstColumn="0" w:lastColumn="0" w:oddVBand="0" w:evenVBand="0" w:oddHBand="0" w:evenHBand="0" w:firstRowFirstColumn="0" w:firstRowLastColumn="0" w:lastRowFirstColumn="0" w:lastRowLastColumn="0"/>
            </w:pPr>
          </w:p>
        </w:tc>
        <w:tc>
          <w:tcPr>
            <w:tcW w:w="1669" w:type="dxa"/>
            <w:vMerge/>
            <w:hideMark/>
          </w:tcPr>
          <w:p w14:paraId="26482115" w14:textId="77777777" w:rsidR="005661B4" w:rsidRPr="007A1075" w:rsidRDefault="005661B4" w:rsidP="005661B4">
            <w:pPr>
              <w:pStyle w:val="TableText"/>
              <w:cnfStyle w:val="000000000000" w:firstRow="0" w:lastRow="0" w:firstColumn="0" w:lastColumn="0" w:oddVBand="0" w:evenVBand="0" w:oddHBand="0" w:evenHBand="0" w:firstRowFirstColumn="0" w:firstRowLastColumn="0" w:lastRowFirstColumn="0" w:lastRowLastColumn="0"/>
            </w:pPr>
          </w:p>
        </w:tc>
        <w:tc>
          <w:tcPr>
            <w:tcW w:w="3692" w:type="dxa"/>
            <w:noWrap/>
            <w:hideMark/>
          </w:tcPr>
          <w:p w14:paraId="3829F400" w14:textId="70DE9D9A" w:rsidR="005661B4" w:rsidRPr="007A1075" w:rsidRDefault="005661B4" w:rsidP="005661B4">
            <w:pPr>
              <w:pStyle w:val="TableText"/>
              <w:cnfStyle w:val="000000000000" w:firstRow="0" w:lastRow="0" w:firstColumn="0" w:lastColumn="0" w:oddVBand="0" w:evenVBand="0" w:oddHBand="0" w:evenHBand="0" w:firstRowFirstColumn="0" w:firstRowLastColumn="0" w:lastRowFirstColumn="0" w:lastRowLastColumn="0"/>
            </w:pPr>
            <w:r w:rsidRPr="57F92EFB">
              <w:rPr>
                <w:lang w:val="en-NZ"/>
              </w:rPr>
              <w:t>Empowerment, choice and control to make own decisions</w:t>
            </w:r>
          </w:p>
        </w:tc>
        <w:tc>
          <w:tcPr>
            <w:tcW w:w="1341" w:type="dxa"/>
            <w:noWrap/>
            <w:hideMark/>
          </w:tcPr>
          <w:p w14:paraId="3C8287E1" w14:textId="6CB8997B" w:rsidR="005661B4" w:rsidRPr="007A1075" w:rsidRDefault="005661B4" w:rsidP="005661B4">
            <w:pPr>
              <w:pStyle w:val="TableText"/>
              <w:cnfStyle w:val="000000000000" w:firstRow="0" w:lastRow="0" w:firstColumn="0" w:lastColumn="0" w:oddVBand="0" w:evenVBand="0" w:oddHBand="0" w:evenHBand="0" w:firstRowFirstColumn="0" w:firstRowLastColumn="0" w:lastRowFirstColumn="0" w:lastRowLastColumn="0"/>
            </w:pPr>
            <w:r w:rsidRPr="00E97A3C">
              <w:t>0.96</w:t>
            </w:r>
          </w:p>
        </w:tc>
        <w:tc>
          <w:tcPr>
            <w:tcW w:w="1439" w:type="dxa"/>
            <w:noWrap/>
            <w:hideMark/>
          </w:tcPr>
          <w:p w14:paraId="76A3A172" w14:textId="6C51931B" w:rsidR="005661B4" w:rsidRPr="007A1075" w:rsidRDefault="005661B4" w:rsidP="005661B4">
            <w:pPr>
              <w:pStyle w:val="TableText"/>
              <w:cnfStyle w:val="000000000000" w:firstRow="0" w:lastRow="0" w:firstColumn="0" w:lastColumn="0" w:oddVBand="0" w:evenVBand="0" w:oddHBand="0" w:evenHBand="0" w:firstRowFirstColumn="0" w:firstRowLastColumn="0" w:lastRowFirstColumn="0" w:lastRowLastColumn="0"/>
            </w:pPr>
            <w:r w:rsidRPr="00E97A3C">
              <w:t>58574025</w:t>
            </w:r>
          </w:p>
        </w:tc>
        <w:tc>
          <w:tcPr>
            <w:tcW w:w="1123" w:type="dxa"/>
            <w:noWrap/>
            <w:hideMark/>
          </w:tcPr>
          <w:p w14:paraId="7E758307" w14:textId="7C705493" w:rsidR="005661B4" w:rsidRPr="007A1075" w:rsidRDefault="005661B4" w:rsidP="005661B4">
            <w:pPr>
              <w:pStyle w:val="TableText"/>
              <w:cnfStyle w:val="000000000000" w:firstRow="0" w:lastRow="0" w:firstColumn="0" w:lastColumn="0" w:oddVBand="0" w:evenVBand="0" w:oddHBand="0" w:evenHBand="0" w:firstRowFirstColumn="0" w:firstRowLastColumn="0" w:lastRowFirstColumn="0" w:lastRowLastColumn="0"/>
            </w:pPr>
            <w:r w:rsidRPr="00E97A3C">
              <w:t>37</w:t>
            </w:r>
            <w:r>
              <w:t>,</w:t>
            </w:r>
            <w:r w:rsidRPr="00E97A3C">
              <w:t>763</w:t>
            </w:r>
          </w:p>
        </w:tc>
        <w:tc>
          <w:tcPr>
            <w:tcW w:w="1123" w:type="dxa"/>
            <w:noWrap/>
            <w:hideMark/>
          </w:tcPr>
          <w:p w14:paraId="7D30A40B" w14:textId="5128E144" w:rsidR="005661B4" w:rsidRPr="007A1075" w:rsidRDefault="005661B4" w:rsidP="005661B4">
            <w:pPr>
              <w:pStyle w:val="TableText"/>
              <w:cnfStyle w:val="000000000000" w:firstRow="0" w:lastRow="0" w:firstColumn="0" w:lastColumn="0" w:oddVBand="0" w:evenVBand="0" w:oddHBand="0" w:evenHBand="0" w:firstRowFirstColumn="0" w:firstRowLastColumn="0" w:lastRowFirstColumn="0" w:lastRowLastColumn="0"/>
            </w:pPr>
            <w:r w:rsidRPr="00E97A3C">
              <w:t>&lt;.001</w:t>
            </w:r>
          </w:p>
        </w:tc>
        <w:tc>
          <w:tcPr>
            <w:tcW w:w="1403" w:type="dxa"/>
            <w:noWrap/>
            <w:hideMark/>
          </w:tcPr>
          <w:p w14:paraId="4E12279E" w14:textId="7477B1E1" w:rsidR="005661B4" w:rsidRPr="007A1075" w:rsidRDefault="005661B4" w:rsidP="005661B4">
            <w:pPr>
              <w:pStyle w:val="TableText"/>
              <w:cnfStyle w:val="000000000000" w:firstRow="0" w:lastRow="0" w:firstColumn="0" w:lastColumn="0" w:oddVBand="0" w:evenVBand="0" w:oddHBand="0" w:evenHBand="0" w:firstRowFirstColumn="0" w:firstRowLastColumn="0" w:lastRowFirstColumn="0" w:lastRowLastColumn="0"/>
            </w:pPr>
            <w:r w:rsidRPr="00E97A3C">
              <w:t>61.0% (n=23</w:t>
            </w:r>
            <w:r>
              <w:t>,</w:t>
            </w:r>
            <w:r w:rsidRPr="00E97A3C">
              <w:t>034)</w:t>
            </w:r>
          </w:p>
        </w:tc>
      </w:tr>
      <w:tr w:rsidR="00BC3586" w:rsidRPr="007A1075" w14:paraId="47DA6244" w14:textId="77777777" w:rsidTr="00520E3A">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88" w:type="dxa"/>
            <w:vMerge/>
            <w:tcBorders>
              <w:top w:val="none" w:sz="0" w:space="0" w:color="auto"/>
              <w:bottom w:val="none" w:sz="0" w:space="0" w:color="auto"/>
              <w:right w:val="none" w:sz="0" w:space="0" w:color="auto"/>
            </w:tcBorders>
            <w:hideMark/>
          </w:tcPr>
          <w:p w14:paraId="2DF530E8" w14:textId="77777777" w:rsidR="005661B4" w:rsidRPr="007A1075" w:rsidRDefault="005661B4" w:rsidP="005661B4">
            <w:pPr>
              <w:pStyle w:val="TableText"/>
              <w:rPr>
                <w:b w:val="0"/>
                <w:bCs w:val="0"/>
              </w:rPr>
            </w:pPr>
          </w:p>
        </w:tc>
        <w:tc>
          <w:tcPr>
            <w:tcW w:w="1166" w:type="dxa"/>
            <w:vMerge/>
            <w:tcBorders>
              <w:top w:val="none" w:sz="0" w:space="0" w:color="auto"/>
              <w:bottom w:val="none" w:sz="0" w:space="0" w:color="auto"/>
            </w:tcBorders>
            <w:hideMark/>
          </w:tcPr>
          <w:p w14:paraId="3261EE34" w14:textId="77777777" w:rsidR="005661B4" w:rsidRPr="007A1075" w:rsidRDefault="005661B4" w:rsidP="005661B4">
            <w:pPr>
              <w:pStyle w:val="TableText"/>
              <w:cnfStyle w:val="000000100000" w:firstRow="0" w:lastRow="0" w:firstColumn="0" w:lastColumn="0" w:oddVBand="0" w:evenVBand="0" w:oddHBand="1" w:evenHBand="0" w:firstRowFirstColumn="0" w:firstRowLastColumn="0" w:lastRowFirstColumn="0" w:lastRowLastColumn="0"/>
            </w:pPr>
          </w:p>
        </w:tc>
        <w:tc>
          <w:tcPr>
            <w:tcW w:w="1669" w:type="dxa"/>
            <w:vMerge/>
            <w:tcBorders>
              <w:top w:val="none" w:sz="0" w:space="0" w:color="auto"/>
              <w:bottom w:val="none" w:sz="0" w:space="0" w:color="auto"/>
            </w:tcBorders>
            <w:hideMark/>
          </w:tcPr>
          <w:p w14:paraId="71FC0406" w14:textId="77777777" w:rsidR="005661B4" w:rsidRPr="007A1075" w:rsidRDefault="005661B4" w:rsidP="005661B4">
            <w:pPr>
              <w:pStyle w:val="TableText"/>
              <w:cnfStyle w:val="000000100000" w:firstRow="0" w:lastRow="0" w:firstColumn="0" w:lastColumn="0" w:oddVBand="0" w:evenVBand="0" w:oddHBand="1" w:evenHBand="0" w:firstRowFirstColumn="0" w:firstRowLastColumn="0" w:lastRowFirstColumn="0" w:lastRowLastColumn="0"/>
            </w:pPr>
          </w:p>
        </w:tc>
        <w:tc>
          <w:tcPr>
            <w:tcW w:w="3692" w:type="dxa"/>
            <w:tcBorders>
              <w:top w:val="none" w:sz="0" w:space="0" w:color="auto"/>
              <w:bottom w:val="none" w:sz="0" w:space="0" w:color="auto"/>
            </w:tcBorders>
            <w:noWrap/>
            <w:hideMark/>
          </w:tcPr>
          <w:p w14:paraId="6C3350CA" w14:textId="18CF4FA2" w:rsidR="005661B4" w:rsidRPr="007A1075" w:rsidRDefault="005661B4" w:rsidP="005661B4">
            <w:pPr>
              <w:pStyle w:val="TableText"/>
              <w:cnfStyle w:val="000000100000" w:firstRow="0" w:lastRow="0" w:firstColumn="0" w:lastColumn="0" w:oddVBand="0" w:evenVBand="0" w:oddHBand="1" w:evenHBand="0" w:firstRowFirstColumn="0" w:firstRowLastColumn="0" w:lastRowFirstColumn="0" w:lastRowLastColumn="0"/>
            </w:pPr>
            <w:r w:rsidRPr="00E97A3C">
              <w:t>Engagement with relevant support services</w:t>
            </w:r>
          </w:p>
        </w:tc>
        <w:tc>
          <w:tcPr>
            <w:tcW w:w="1341" w:type="dxa"/>
            <w:tcBorders>
              <w:top w:val="none" w:sz="0" w:space="0" w:color="auto"/>
              <w:bottom w:val="none" w:sz="0" w:space="0" w:color="auto"/>
            </w:tcBorders>
            <w:noWrap/>
            <w:hideMark/>
          </w:tcPr>
          <w:p w14:paraId="07AF43E8" w14:textId="7079A1A1" w:rsidR="005661B4" w:rsidRPr="007A1075" w:rsidRDefault="005661B4" w:rsidP="005661B4">
            <w:pPr>
              <w:pStyle w:val="TableText"/>
              <w:cnfStyle w:val="000000100000" w:firstRow="0" w:lastRow="0" w:firstColumn="0" w:lastColumn="0" w:oddVBand="0" w:evenVBand="0" w:oddHBand="1" w:evenHBand="0" w:firstRowFirstColumn="0" w:firstRowLastColumn="0" w:lastRowFirstColumn="0" w:lastRowLastColumn="0"/>
            </w:pPr>
            <w:r w:rsidRPr="00E97A3C">
              <w:t>0.94</w:t>
            </w:r>
          </w:p>
        </w:tc>
        <w:tc>
          <w:tcPr>
            <w:tcW w:w="1439" w:type="dxa"/>
            <w:tcBorders>
              <w:top w:val="none" w:sz="0" w:space="0" w:color="auto"/>
              <w:bottom w:val="none" w:sz="0" w:space="0" w:color="auto"/>
            </w:tcBorders>
            <w:noWrap/>
            <w:hideMark/>
          </w:tcPr>
          <w:p w14:paraId="69CCCBC2" w14:textId="3378AFCB" w:rsidR="005661B4" w:rsidRPr="007A1075" w:rsidRDefault="005661B4" w:rsidP="005661B4">
            <w:pPr>
              <w:pStyle w:val="TableText"/>
              <w:cnfStyle w:val="000000100000" w:firstRow="0" w:lastRow="0" w:firstColumn="0" w:lastColumn="0" w:oddVBand="0" w:evenVBand="0" w:oddHBand="1" w:evenHBand="0" w:firstRowFirstColumn="0" w:firstRowLastColumn="0" w:lastRowFirstColumn="0" w:lastRowLastColumn="0"/>
            </w:pPr>
            <w:r w:rsidRPr="00E97A3C">
              <w:t>32423845</w:t>
            </w:r>
          </w:p>
        </w:tc>
        <w:tc>
          <w:tcPr>
            <w:tcW w:w="1123" w:type="dxa"/>
            <w:tcBorders>
              <w:top w:val="none" w:sz="0" w:space="0" w:color="auto"/>
              <w:bottom w:val="none" w:sz="0" w:space="0" w:color="auto"/>
            </w:tcBorders>
            <w:noWrap/>
            <w:hideMark/>
          </w:tcPr>
          <w:p w14:paraId="70B1BF52" w14:textId="7C6997F7" w:rsidR="005661B4" w:rsidRPr="007A1075" w:rsidRDefault="005661B4" w:rsidP="005661B4">
            <w:pPr>
              <w:pStyle w:val="TableText"/>
              <w:cnfStyle w:val="000000100000" w:firstRow="0" w:lastRow="0" w:firstColumn="0" w:lastColumn="0" w:oddVBand="0" w:evenVBand="0" w:oddHBand="1" w:evenHBand="0" w:firstRowFirstColumn="0" w:firstRowLastColumn="0" w:lastRowFirstColumn="0" w:lastRowLastColumn="0"/>
            </w:pPr>
            <w:r w:rsidRPr="00E97A3C">
              <w:t>26</w:t>
            </w:r>
            <w:r>
              <w:t>,</w:t>
            </w:r>
            <w:r w:rsidRPr="00E97A3C">
              <w:t>147</w:t>
            </w:r>
          </w:p>
        </w:tc>
        <w:tc>
          <w:tcPr>
            <w:tcW w:w="1123" w:type="dxa"/>
            <w:tcBorders>
              <w:top w:val="none" w:sz="0" w:space="0" w:color="auto"/>
              <w:bottom w:val="none" w:sz="0" w:space="0" w:color="auto"/>
            </w:tcBorders>
            <w:noWrap/>
            <w:hideMark/>
          </w:tcPr>
          <w:p w14:paraId="6E059191" w14:textId="28D2FA0E" w:rsidR="005661B4" w:rsidRPr="007A1075" w:rsidRDefault="005661B4" w:rsidP="005661B4">
            <w:pPr>
              <w:pStyle w:val="TableText"/>
              <w:cnfStyle w:val="000000100000" w:firstRow="0" w:lastRow="0" w:firstColumn="0" w:lastColumn="0" w:oddVBand="0" w:evenVBand="0" w:oddHBand="1" w:evenHBand="0" w:firstRowFirstColumn="0" w:firstRowLastColumn="0" w:lastRowFirstColumn="0" w:lastRowLastColumn="0"/>
            </w:pPr>
            <w:r w:rsidRPr="00E97A3C">
              <w:t>&lt;.001</w:t>
            </w:r>
          </w:p>
        </w:tc>
        <w:tc>
          <w:tcPr>
            <w:tcW w:w="1403" w:type="dxa"/>
            <w:tcBorders>
              <w:top w:val="none" w:sz="0" w:space="0" w:color="auto"/>
              <w:bottom w:val="none" w:sz="0" w:space="0" w:color="auto"/>
            </w:tcBorders>
            <w:noWrap/>
            <w:hideMark/>
          </w:tcPr>
          <w:p w14:paraId="66AE4D5A" w14:textId="1B4E2AED" w:rsidR="005661B4" w:rsidRPr="007A1075" w:rsidRDefault="005661B4" w:rsidP="005661B4">
            <w:pPr>
              <w:pStyle w:val="TableText"/>
              <w:cnfStyle w:val="000000100000" w:firstRow="0" w:lastRow="0" w:firstColumn="0" w:lastColumn="0" w:oddVBand="0" w:evenVBand="0" w:oddHBand="1" w:evenHBand="0" w:firstRowFirstColumn="0" w:firstRowLastColumn="0" w:lastRowFirstColumn="0" w:lastRowLastColumn="0"/>
            </w:pPr>
            <w:r w:rsidRPr="00E97A3C">
              <w:t>60.6% (n=15</w:t>
            </w:r>
            <w:r>
              <w:t>,</w:t>
            </w:r>
            <w:r w:rsidRPr="00E97A3C">
              <w:t>847)</w:t>
            </w:r>
          </w:p>
        </w:tc>
      </w:tr>
      <w:tr w:rsidR="00BC3586" w:rsidRPr="007A1075" w14:paraId="47902378" w14:textId="77777777" w:rsidTr="00520E3A">
        <w:trPr>
          <w:trHeight w:val="290"/>
        </w:trPr>
        <w:tc>
          <w:tcPr>
            <w:cnfStyle w:val="001000000000" w:firstRow="0" w:lastRow="0" w:firstColumn="1" w:lastColumn="0" w:oddVBand="0" w:evenVBand="0" w:oddHBand="0" w:evenHBand="0" w:firstRowFirstColumn="0" w:firstRowLastColumn="0" w:lastRowFirstColumn="0" w:lastRowLastColumn="0"/>
            <w:tcW w:w="988" w:type="dxa"/>
            <w:vMerge/>
            <w:tcBorders>
              <w:right w:val="none" w:sz="0" w:space="0" w:color="auto"/>
            </w:tcBorders>
            <w:hideMark/>
          </w:tcPr>
          <w:p w14:paraId="1FF8AC1D" w14:textId="77777777" w:rsidR="005661B4" w:rsidRPr="007A1075" w:rsidRDefault="005661B4" w:rsidP="005661B4">
            <w:pPr>
              <w:pStyle w:val="TableText"/>
            </w:pPr>
          </w:p>
        </w:tc>
        <w:tc>
          <w:tcPr>
            <w:tcW w:w="1166" w:type="dxa"/>
            <w:vMerge w:val="restart"/>
            <w:hideMark/>
          </w:tcPr>
          <w:p w14:paraId="6F4BC817" w14:textId="77777777" w:rsidR="005661B4" w:rsidRPr="007A1075" w:rsidRDefault="005661B4" w:rsidP="005661B4">
            <w:pPr>
              <w:pStyle w:val="TableText"/>
              <w:cnfStyle w:val="000000000000" w:firstRow="0" w:lastRow="0" w:firstColumn="0" w:lastColumn="0" w:oddVBand="0" w:evenVBand="0" w:oddHBand="0" w:evenHBand="0" w:firstRowFirstColumn="0" w:firstRowLastColumn="0" w:lastRowFirstColumn="0" w:lastRowLastColumn="0"/>
            </w:pPr>
            <w:r w:rsidRPr="00E97A3C">
              <w:t>Persons with disabilities</w:t>
            </w:r>
          </w:p>
          <w:p w14:paraId="21EF8D1C" w14:textId="5232509F" w:rsidR="005661B4" w:rsidRPr="007A1075" w:rsidRDefault="005661B4" w:rsidP="005661B4">
            <w:pPr>
              <w:pStyle w:val="TableText"/>
              <w:cnfStyle w:val="000000000000" w:firstRow="0" w:lastRow="0" w:firstColumn="0" w:lastColumn="0" w:oddVBand="0" w:evenVBand="0" w:oddHBand="0" w:evenHBand="0" w:firstRowFirstColumn="0" w:firstRowLastColumn="0" w:lastRowFirstColumn="0" w:lastRowLastColumn="0"/>
            </w:pPr>
          </w:p>
        </w:tc>
        <w:tc>
          <w:tcPr>
            <w:tcW w:w="1669" w:type="dxa"/>
            <w:vMerge w:val="restart"/>
            <w:hideMark/>
          </w:tcPr>
          <w:p w14:paraId="69AF05A1" w14:textId="77777777" w:rsidR="005661B4" w:rsidRPr="007A1075" w:rsidRDefault="005661B4" w:rsidP="005661B4">
            <w:pPr>
              <w:pStyle w:val="TableText"/>
              <w:cnfStyle w:val="000000000000" w:firstRow="0" w:lastRow="0" w:firstColumn="0" w:lastColumn="0" w:oddVBand="0" w:evenVBand="0" w:oddHBand="0" w:evenHBand="0" w:firstRowFirstColumn="0" w:firstRowLastColumn="0" w:lastRowFirstColumn="0" w:lastRowLastColumn="0"/>
            </w:pPr>
            <w:r w:rsidRPr="00E97A3C">
              <w:lastRenderedPageBreak/>
              <w:t>Circumstances</w:t>
            </w:r>
          </w:p>
          <w:p w14:paraId="7E0523F7" w14:textId="4947FC83" w:rsidR="005661B4" w:rsidRPr="007A1075" w:rsidRDefault="005661B4" w:rsidP="005661B4">
            <w:pPr>
              <w:pStyle w:val="TableText"/>
              <w:cnfStyle w:val="000000000000" w:firstRow="0" w:lastRow="0" w:firstColumn="0" w:lastColumn="0" w:oddVBand="0" w:evenVBand="0" w:oddHBand="0" w:evenHBand="0" w:firstRowFirstColumn="0" w:firstRowLastColumn="0" w:lastRowFirstColumn="0" w:lastRowLastColumn="0"/>
            </w:pPr>
          </w:p>
        </w:tc>
        <w:tc>
          <w:tcPr>
            <w:tcW w:w="3692" w:type="dxa"/>
            <w:noWrap/>
            <w:hideMark/>
          </w:tcPr>
          <w:p w14:paraId="2641AECC" w14:textId="31BD70C7" w:rsidR="005661B4" w:rsidRPr="007A1075" w:rsidRDefault="005661B4" w:rsidP="005661B4">
            <w:pPr>
              <w:pStyle w:val="TableText"/>
              <w:cnfStyle w:val="000000000000" w:firstRow="0" w:lastRow="0" w:firstColumn="0" w:lastColumn="0" w:oddVBand="0" w:evenVBand="0" w:oddHBand="0" w:evenHBand="0" w:firstRowFirstColumn="0" w:firstRowLastColumn="0" w:lastRowFirstColumn="0" w:lastRowLastColumn="0"/>
            </w:pPr>
            <w:r w:rsidRPr="00E97A3C">
              <w:t>Family functioning</w:t>
            </w:r>
          </w:p>
        </w:tc>
        <w:tc>
          <w:tcPr>
            <w:tcW w:w="1341" w:type="dxa"/>
            <w:noWrap/>
            <w:hideMark/>
          </w:tcPr>
          <w:p w14:paraId="40DB8986" w14:textId="483C9963" w:rsidR="005661B4" w:rsidRPr="007A1075" w:rsidRDefault="005661B4" w:rsidP="005661B4">
            <w:pPr>
              <w:pStyle w:val="TableText"/>
              <w:cnfStyle w:val="000000000000" w:firstRow="0" w:lastRow="0" w:firstColumn="0" w:lastColumn="0" w:oddVBand="0" w:evenVBand="0" w:oddHBand="0" w:evenHBand="0" w:firstRowFirstColumn="0" w:firstRowLastColumn="0" w:lastRowFirstColumn="0" w:lastRowLastColumn="0"/>
            </w:pPr>
            <w:r w:rsidRPr="00E97A3C">
              <w:t>0.77</w:t>
            </w:r>
          </w:p>
        </w:tc>
        <w:tc>
          <w:tcPr>
            <w:tcW w:w="1439" w:type="dxa"/>
            <w:noWrap/>
            <w:hideMark/>
          </w:tcPr>
          <w:p w14:paraId="4137A31C" w14:textId="2A7B72FE" w:rsidR="005661B4" w:rsidRPr="007A1075" w:rsidRDefault="005661B4" w:rsidP="005661B4">
            <w:pPr>
              <w:pStyle w:val="TableText"/>
              <w:cnfStyle w:val="000000000000" w:firstRow="0" w:lastRow="0" w:firstColumn="0" w:lastColumn="0" w:oddVBand="0" w:evenVBand="0" w:oddHBand="0" w:evenHBand="0" w:firstRowFirstColumn="0" w:firstRowLastColumn="0" w:lastRowFirstColumn="0" w:lastRowLastColumn="0"/>
            </w:pPr>
            <w:r w:rsidRPr="00E97A3C">
              <w:t>1200154.5</w:t>
            </w:r>
          </w:p>
        </w:tc>
        <w:tc>
          <w:tcPr>
            <w:tcW w:w="1123" w:type="dxa"/>
            <w:noWrap/>
            <w:hideMark/>
          </w:tcPr>
          <w:p w14:paraId="0E794350" w14:textId="79F7D5A3" w:rsidR="005661B4" w:rsidRPr="007A1075" w:rsidRDefault="005661B4" w:rsidP="005661B4">
            <w:pPr>
              <w:pStyle w:val="TableText"/>
              <w:cnfStyle w:val="000000000000" w:firstRow="0" w:lastRow="0" w:firstColumn="0" w:lastColumn="0" w:oddVBand="0" w:evenVBand="0" w:oddHBand="0" w:evenHBand="0" w:firstRowFirstColumn="0" w:firstRowLastColumn="0" w:lastRowFirstColumn="0" w:lastRowLastColumn="0"/>
            </w:pPr>
            <w:r w:rsidRPr="00E97A3C">
              <w:t>4</w:t>
            </w:r>
            <w:r>
              <w:t>,</w:t>
            </w:r>
            <w:r w:rsidRPr="00E97A3C">
              <w:t>604</w:t>
            </w:r>
          </w:p>
        </w:tc>
        <w:tc>
          <w:tcPr>
            <w:tcW w:w="1123" w:type="dxa"/>
            <w:noWrap/>
            <w:hideMark/>
          </w:tcPr>
          <w:p w14:paraId="5D181B3E" w14:textId="319AAA32" w:rsidR="005661B4" w:rsidRPr="007A1075" w:rsidRDefault="005661B4" w:rsidP="005661B4">
            <w:pPr>
              <w:pStyle w:val="TableText"/>
              <w:cnfStyle w:val="000000000000" w:firstRow="0" w:lastRow="0" w:firstColumn="0" w:lastColumn="0" w:oddVBand="0" w:evenVBand="0" w:oddHBand="0" w:evenHBand="0" w:firstRowFirstColumn="0" w:firstRowLastColumn="0" w:lastRowFirstColumn="0" w:lastRowLastColumn="0"/>
            </w:pPr>
            <w:r w:rsidRPr="00E97A3C">
              <w:t>&lt;.001</w:t>
            </w:r>
          </w:p>
        </w:tc>
        <w:tc>
          <w:tcPr>
            <w:tcW w:w="1403" w:type="dxa"/>
            <w:noWrap/>
            <w:hideMark/>
          </w:tcPr>
          <w:p w14:paraId="00DA08CC" w14:textId="3832C0B2" w:rsidR="005661B4" w:rsidRPr="007A1075" w:rsidRDefault="005661B4" w:rsidP="005661B4">
            <w:pPr>
              <w:pStyle w:val="TableText"/>
              <w:cnfStyle w:val="000000000000" w:firstRow="0" w:lastRow="0" w:firstColumn="0" w:lastColumn="0" w:oddVBand="0" w:evenVBand="0" w:oddHBand="0" w:evenHBand="0" w:firstRowFirstColumn="0" w:firstRowLastColumn="0" w:lastRowFirstColumn="0" w:lastRowLastColumn="0"/>
            </w:pPr>
            <w:r w:rsidRPr="00E97A3C">
              <w:t>53.8% (n=2</w:t>
            </w:r>
            <w:r>
              <w:t>,</w:t>
            </w:r>
            <w:r w:rsidRPr="00E97A3C">
              <w:t>479)</w:t>
            </w:r>
          </w:p>
        </w:tc>
      </w:tr>
      <w:tr w:rsidR="00BC3586" w:rsidRPr="007A1075" w14:paraId="0B9C7386" w14:textId="77777777" w:rsidTr="00520E3A">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88" w:type="dxa"/>
            <w:vMerge/>
            <w:tcBorders>
              <w:top w:val="none" w:sz="0" w:space="0" w:color="auto"/>
              <w:bottom w:val="none" w:sz="0" w:space="0" w:color="auto"/>
              <w:right w:val="none" w:sz="0" w:space="0" w:color="auto"/>
            </w:tcBorders>
            <w:hideMark/>
          </w:tcPr>
          <w:p w14:paraId="7FAD969F" w14:textId="77777777" w:rsidR="005661B4" w:rsidRPr="007A1075" w:rsidRDefault="005661B4" w:rsidP="005661B4">
            <w:pPr>
              <w:pStyle w:val="TableText"/>
              <w:rPr>
                <w:b w:val="0"/>
                <w:bCs w:val="0"/>
              </w:rPr>
            </w:pPr>
          </w:p>
        </w:tc>
        <w:tc>
          <w:tcPr>
            <w:tcW w:w="1166" w:type="dxa"/>
            <w:vMerge/>
            <w:tcBorders>
              <w:top w:val="none" w:sz="0" w:space="0" w:color="auto"/>
              <w:bottom w:val="none" w:sz="0" w:space="0" w:color="auto"/>
            </w:tcBorders>
            <w:hideMark/>
          </w:tcPr>
          <w:p w14:paraId="417849DF" w14:textId="77777777" w:rsidR="005661B4" w:rsidRPr="007A1075" w:rsidRDefault="005661B4" w:rsidP="005661B4">
            <w:pPr>
              <w:pStyle w:val="TableText"/>
              <w:cnfStyle w:val="000000100000" w:firstRow="0" w:lastRow="0" w:firstColumn="0" w:lastColumn="0" w:oddVBand="0" w:evenVBand="0" w:oddHBand="1" w:evenHBand="0" w:firstRowFirstColumn="0" w:firstRowLastColumn="0" w:lastRowFirstColumn="0" w:lastRowLastColumn="0"/>
            </w:pPr>
          </w:p>
        </w:tc>
        <w:tc>
          <w:tcPr>
            <w:tcW w:w="1669" w:type="dxa"/>
            <w:vMerge/>
            <w:tcBorders>
              <w:top w:val="none" w:sz="0" w:space="0" w:color="auto"/>
              <w:bottom w:val="none" w:sz="0" w:space="0" w:color="auto"/>
            </w:tcBorders>
            <w:hideMark/>
          </w:tcPr>
          <w:p w14:paraId="3EB6D072" w14:textId="77777777" w:rsidR="005661B4" w:rsidRPr="007A1075" w:rsidRDefault="005661B4" w:rsidP="005661B4">
            <w:pPr>
              <w:pStyle w:val="TableText"/>
              <w:cnfStyle w:val="000000100000" w:firstRow="0" w:lastRow="0" w:firstColumn="0" w:lastColumn="0" w:oddVBand="0" w:evenVBand="0" w:oddHBand="1" w:evenHBand="0" w:firstRowFirstColumn="0" w:firstRowLastColumn="0" w:lastRowFirstColumn="0" w:lastRowLastColumn="0"/>
            </w:pPr>
          </w:p>
        </w:tc>
        <w:tc>
          <w:tcPr>
            <w:tcW w:w="3692" w:type="dxa"/>
            <w:tcBorders>
              <w:top w:val="none" w:sz="0" w:space="0" w:color="auto"/>
              <w:bottom w:val="none" w:sz="0" w:space="0" w:color="auto"/>
            </w:tcBorders>
            <w:noWrap/>
            <w:hideMark/>
          </w:tcPr>
          <w:p w14:paraId="0667767E" w14:textId="6335AADD" w:rsidR="005661B4" w:rsidRPr="007A1075" w:rsidRDefault="005661B4" w:rsidP="005661B4">
            <w:pPr>
              <w:pStyle w:val="TableText"/>
              <w:cnfStyle w:val="000000100000" w:firstRow="0" w:lastRow="0" w:firstColumn="0" w:lastColumn="0" w:oddVBand="0" w:evenVBand="0" w:oddHBand="1" w:evenHBand="0" w:firstRowFirstColumn="0" w:firstRowLastColumn="0" w:lastRowFirstColumn="0" w:lastRowLastColumn="0"/>
            </w:pPr>
            <w:r w:rsidRPr="57F92EFB">
              <w:rPr>
                <w:lang w:val="en-NZ"/>
              </w:rPr>
              <w:t>Mental health, wellbeing and self-care</w:t>
            </w:r>
          </w:p>
        </w:tc>
        <w:tc>
          <w:tcPr>
            <w:tcW w:w="1341" w:type="dxa"/>
            <w:tcBorders>
              <w:top w:val="none" w:sz="0" w:space="0" w:color="auto"/>
              <w:bottom w:val="none" w:sz="0" w:space="0" w:color="auto"/>
            </w:tcBorders>
            <w:noWrap/>
            <w:hideMark/>
          </w:tcPr>
          <w:p w14:paraId="4A39616A" w14:textId="29E55085" w:rsidR="005661B4" w:rsidRPr="007A1075" w:rsidRDefault="005661B4" w:rsidP="005661B4">
            <w:pPr>
              <w:pStyle w:val="TableText"/>
              <w:cnfStyle w:val="000000100000" w:firstRow="0" w:lastRow="0" w:firstColumn="0" w:lastColumn="0" w:oddVBand="0" w:evenVBand="0" w:oddHBand="1" w:evenHBand="0" w:firstRowFirstColumn="0" w:firstRowLastColumn="0" w:lastRowFirstColumn="0" w:lastRowLastColumn="0"/>
            </w:pPr>
            <w:r w:rsidRPr="00E97A3C">
              <w:t>0.82</w:t>
            </w:r>
          </w:p>
        </w:tc>
        <w:tc>
          <w:tcPr>
            <w:tcW w:w="1439" w:type="dxa"/>
            <w:tcBorders>
              <w:top w:val="none" w:sz="0" w:space="0" w:color="auto"/>
              <w:bottom w:val="none" w:sz="0" w:space="0" w:color="auto"/>
            </w:tcBorders>
            <w:noWrap/>
            <w:hideMark/>
          </w:tcPr>
          <w:p w14:paraId="165B0EB4" w14:textId="31746E7C" w:rsidR="005661B4" w:rsidRPr="007A1075" w:rsidRDefault="005661B4" w:rsidP="005661B4">
            <w:pPr>
              <w:pStyle w:val="TableText"/>
              <w:cnfStyle w:val="000000100000" w:firstRow="0" w:lastRow="0" w:firstColumn="0" w:lastColumn="0" w:oddVBand="0" w:evenVBand="0" w:oddHBand="1" w:evenHBand="0" w:firstRowFirstColumn="0" w:firstRowLastColumn="0" w:lastRowFirstColumn="0" w:lastRowLastColumn="0"/>
            </w:pPr>
            <w:r w:rsidRPr="00E97A3C">
              <w:t>991075.5</w:t>
            </w:r>
          </w:p>
        </w:tc>
        <w:tc>
          <w:tcPr>
            <w:tcW w:w="1123" w:type="dxa"/>
            <w:tcBorders>
              <w:top w:val="none" w:sz="0" w:space="0" w:color="auto"/>
              <w:bottom w:val="none" w:sz="0" w:space="0" w:color="auto"/>
            </w:tcBorders>
            <w:noWrap/>
            <w:hideMark/>
          </w:tcPr>
          <w:p w14:paraId="3E4FD825" w14:textId="33CBD89C" w:rsidR="005661B4" w:rsidRPr="007A1075" w:rsidRDefault="005661B4" w:rsidP="005661B4">
            <w:pPr>
              <w:pStyle w:val="TableText"/>
              <w:cnfStyle w:val="000000100000" w:firstRow="0" w:lastRow="0" w:firstColumn="0" w:lastColumn="0" w:oddVBand="0" w:evenVBand="0" w:oddHBand="1" w:evenHBand="0" w:firstRowFirstColumn="0" w:firstRowLastColumn="0" w:lastRowFirstColumn="0" w:lastRowLastColumn="0"/>
            </w:pPr>
            <w:r w:rsidRPr="00E97A3C">
              <w:t>4</w:t>
            </w:r>
            <w:r>
              <w:t>,</w:t>
            </w:r>
            <w:r w:rsidRPr="00E97A3C">
              <w:t>420</w:t>
            </w:r>
          </w:p>
        </w:tc>
        <w:tc>
          <w:tcPr>
            <w:tcW w:w="1123" w:type="dxa"/>
            <w:tcBorders>
              <w:top w:val="none" w:sz="0" w:space="0" w:color="auto"/>
              <w:bottom w:val="none" w:sz="0" w:space="0" w:color="auto"/>
            </w:tcBorders>
            <w:noWrap/>
            <w:hideMark/>
          </w:tcPr>
          <w:p w14:paraId="1823EB98" w14:textId="030A15CF" w:rsidR="005661B4" w:rsidRPr="007A1075" w:rsidRDefault="005661B4" w:rsidP="005661B4">
            <w:pPr>
              <w:pStyle w:val="TableText"/>
              <w:cnfStyle w:val="000000100000" w:firstRow="0" w:lastRow="0" w:firstColumn="0" w:lastColumn="0" w:oddVBand="0" w:evenVBand="0" w:oddHBand="1" w:evenHBand="0" w:firstRowFirstColumn="0" w:firstRowLastColumn="0" w:lastRowFirstColumn="0" w:lastRowLastColumn="0"/>
            </w:pPr>
            <w:r w:rsidRPr="00E97A3C">
              <w:t>&lt;.001</w:t>
            </w:r>
          </w:p>
        </w:tc>
        <w:tc>
          <w:tcPr>
            <w:tcW w:w="1403" w:type="dxa"/>
            <w:tcBorders>
              <w:top w:val="none" w:sz="0" w:space="0" w:color="auto"/>
              <w:bottom w:val="none" w:sz="0" w:space="0" w:color="auto"/>
            </w:tcBorders>
            <w:noWrap/>
            <w:hideMark/>
          </w:tcPr>
          <w:p w14:paraId="3511EC21" w14:textId="67ECF1A3" w:rsidR="005661B4" w:rsidRPr="007A1075" w:rsidRDefault="005661B4" w:rsidP="005661B4">
            <w:pPr>
              <w:pStyle w:val="TableText"/>
              <w:cnfStyle w:val="000000100000" w:firstRow="0" w:lastRow="0" w:firstColumn="0" w:lastColumn="0" w:oddVBand="0" w:evenVBand="0" w:oddHBand="1" w:evenHBand="0" w:firstRowFirstColumn="0" w:firstRowLastColumn="0" w:lastRowFirstColumn="0" w:lastRowLastColumn="0"/>
            </w:pPr>
            <w:r w:rsidRPr="00E97A3C">
              <w:t>56.0% (n=2</w:t>
            </w:r>
            <w:r>
              <w:t>,</w:t>
            </w:r>
            <w:r w:rsidRPr="00E97A3C">
              <w:t>473)</w:t>
            </w:r>
          </w:p>
        </w:tc>
      </w:tr>
      <w:tr w:rsidR="00BC3586" w:rsidRPr="007A1075" w14:paraId="674A0420" w14:textId="77777777" w:rsidTr="00520E3A">
        <w:trPr>
          <w:trHeight w:val="290"/>
        </w:trPr>
        <w:tc>
          <w:tcPr>
            <w:cnfStyle w:val="001000000000" w:firstRow="0" w:lastRow="0" w:firstColumn="1" w:lastColumn="0" w:oddVBand="0" w:evenVBand="0" w:oddHBand="0" w:evenHBand="0" w:firstRowFirstColumn="0" w:firstRowLastColumn="0" w:lastRowFirstColumn="0" w:lastRowLastColumn="0"/>
            <w:tcW w:w="988" w:type="dxa"/>
            <w:vMerge/>
            <w:tcBorders>
              <w:right w:val="none" w:sz="0" w:space="0" w:color="auto"/>
            </w:tcBorders>
            <w:hideMark/>
          </w:tcPr>
          <w:p w14:paraId="0C08A4BD" w14:textId="77777777" w:rsidR="005661B4" w:rsidRPr="007A1075" w:rsidRDefault="005661B4" w:rsidP="005661B4">
            <w:pPr>
              <w:pStyle w:val="TableText"/>
            </w:pPr>
          </w:p>
        </w:tc>
        <w:tc>
          <w:tcPr>
            <w:tcW w:w="1166" w:type="dxa"/>
            <w:vMerge/>
            <w:hideMark/>
          </w:tcPr>
          <w:p w14:paraId="42A49DF5" w14:textId="77777777" w:rsidR="005661B4" w:rsidRPr="007A1075" w:rsidRDefault="005661B4" w:rsidP="005661B4">
            <w:pPr>
              <w:pStyle w:val="TableText"/>
              <w:cnfStyle w:val="000000000000" w:firstRow="0" w:lastRow="0" w:firstColumn="0" w:lastColumn="0" w:oddVBand="0" w:evenVBand="0" w:oddHBand="0" w:evenHBand="0" w:firstRowFirstColumn="0" w:firstRowLastColumn="0" w:lastRowFirstColumn="0" w:lastRowLastColumn="0"/>
            </w:pPr>
          </w:p>
        </w:tc>
        <w:tc>
          <w:tcPr>
            <w:tcW w:w="1669" w:type="dxa"/>
            <w:vMerge/>
            <w:hideMark/>
          </w:tcPr>
          <w:p w14:paraId="404C9BCB" w14:textId="77777777" w:rsidR="005661B4" w:rsidRPr="007A1075" w:rsidRDefault="005661B4" w:rsidP="005661B4">
            <w:pPr>
              <w:pStyle w:val="TableText"/>
              <w:cnfStyle w:val="000000000000" w:firstRow="0" w:lastRow="0" w:firstColumn="0" w:lastColumn="0" w:oddVBand="0" w:evenVBand="0" w:oddHBand="0" w:evenHBand="0" w:firstRowFirstColumn="0" w:firstRowLastColumn="0" w:lastRowFirstColumn="0" w:lastRowLastColumn="0"/>
            </w:pPr>
          </w:p>
        </w:tc>
        <w:tc>
          <w:tcPr>
            <w:tcW w:w="3692" w:type="dxa"/>
            <w:noWrap/>
            <w:hideMark/>
          </w:tcPr>
          <w:p w14:paraId="560181C7" w14:textId="719C8339" w:rsidR="005661B4" w:rsidRPr="007A1075" w:rsidRDefault="005661B4" w:rsidP="005661B4">
            <w:pPr>
              <w:pStyle w:val="TableText"/>
              <w:cnfStyle w:val="000000000000" w:firstRow="0" w:lastRow="0" w:firstColumn="0" w:lastColumn="0" w:oddVBand="0" w:evenVBand="0" w:oddHBand="0" w:evenHBand="0" w:firstRowFirstColumn="0" w:firstRowLastColumn="0" w:lastRowFirstColumn="0" w:lastRowLastColumn="0"/>
            </w:pPr>
            <w:r w:rsidRPr="00E97A3C">
              <w:t>Personal and family safety</w:t>
            </w:r>
          </w:p>
        </w:tc>
        <w:tc>
          <w:tcPr>
            <w:tcW w:w="1341" w:type="dxa"/>
            <w:noWrap/>
            <w:hideMark/>
          </w:tcPr>
          <w:p w14:paraId="12DC90A1" w14:textId="21EABB76" w:rsidR="005661B4" w:rsidRPr="007A1075" w:rsidRDefault="005661B4" w:rsidP="005661B4">
            <w:pPr>
              <w:pStyle w:val="TableText"/>
              <w:cnfStyle w:val="000000000000" w:firstRow="0" w:lastRow="0" w:firstColumn="0" w:lastColumn="0" w:oddVBand="0" w:evenVBand="0" w:oddHBand="0" w:evenHBand="0" w:firstRowFirstColumn="0" w:firstRowLastColumn="0" w:lastRowFirstColumn="0" w:lastRowLastColumn="0"/>
            </w:pPr>
            <w:r w:rsidRPr="00E97A3C">
              <w:t>0.59</w:t>
            </w:r>
          </w:p>
        </w:tc>
        <w:tc>
          <w:tcPr>
            <w:tcW w:w="1439" w:type="dxa"/>
            <w:noWrap/>
            <w:hideMark/>
          </w:tcPr>
          <w:p w14:paraId="32A52218" w14:textId="6F2753CB" w:rsidR="005661B4" w:rsidRPr="007A1075" w:rsidRDefault="005661B4" w:rsidP="005661B4">
            <w:pPr>
              <w:pStyle w:val="TableText"/>
              <w:cnfStyle w:val="000000000000" w:firstRow="0" w:lastRow="0" w:firstColumn="0" w:lastColumn="0" w:oddVBand="0" w:evenVBand="0" w:oddHBand="0" w:evenHBand="0" w:firstRowFirstColumn="0" w:firstRowLastColumn="0" w:lastRowFirstColumn="0" w:lastRowLastColumn="0"/>
            </w:pPr>
            <w:r w:rsidRPr="00E97A3C">
              <w:t>685204.5</w:t>
            </w:r>
          </w:p>
        </w:tc>
        <w:tc>
          <w:tcPr>
            <w:tcW w:w="1123" w:type="dxa"/>
            <w:noWrap/>
            <w:hideMark/>
          </w:tcPr>
          <w:p w14:paraId="0419AFA4" w14:textId="70DAC7D8" w:rsidR="005661B4" w:rsidRPr="007A1075" w:rsidRDefault="005661B4" w:rsidP="005661B4">
            <w:pPr>
              <w:pStyle w:val="TableText"/>
              <w:cnfStyle w:val="000000000000" w:firstRow="0" w:lastRow="0" w:firstColumn="0" w:lastColumn="0" w:oddVBand="0" w:evenVBand="0" w:oddHBand="0" w:evenHBand="0" w:firstRowFirstColumn="0" w:firstRowLastColumn="0" w:lastRowFirstColumn="0" w:lastRowLastColumn="0"/>
            </w:pPr>
            <w:r w:rsidRPr="00E97A3C">
              <w:t>3</w:t>
            </w:r>
            <w:r>
              <w:t>,</w:t>
            </w:r>
            <w:r w:rsidRPr="00E97A3C">
              <w:t>069</w:t>
            </w:r>
          </w:p>
        </w:tc>
        <w:tc>
          <w:tcPr>
            <w:tcW w:w="1123" w:type="dxa"/>
            <w:noWrap/>
            <w:hideMark/>
          </w:tcPr>
          <w:p w14:paraId="6873CD8A" w14:textId="5522CDE7" w:rsidR="005661B4" w:rsidRPr="007A1075" w:rsidRDefault="005661B4" w:rsidP="005661B4">
            <w:pPr>
              <w:pStyle w:val="TableText"/>
              <w:cnfStyle w:val="000000000000" w:firstRow="0" w:lastRow="0" w:firstColumn="0" w:lastColumn="0" w:oddVBand="0" w:evenVBand="0" w:oddHBand="0" w:evenHBand="0" w:firstRowFirstColumn="0" w:firstRowLastColumn="0" w:lastRowFirstColumn="0" w:lastRowLastColumn="0"/>
            </w:pPr>
            <w:r w:rsidRPr="00E97A3C">
              <w:t>&lt;.001</w:t>
            </w:r>
          </w:p>
        </w:tc>
        <w:tc>
          <w:tcPr>
            <w:tcW w:w="1403" w:type="dxa"/>
            <w:noWrap/>
            <w:hideMark/>
          </w:tcPr>
          <w:p w14:paraId="3DA1125B" w14:textId="7819FB8C" w:rsidR="005661B4" w:rsidRPr="007A1075" w:rsidRDefault="005661B4" w:rsidP="005661B4">
            <w:pPr>
              <w:pStyle w:val="TableText"/>
              <w:cnfStyle w:val="000000000000" w:firstRow="0" w:lastRow="0" w:firstColumn="0" w:lastColumn="0" w:oddVBand="0" w:evenVBand="0" w:oddHBand="0" w:evenHBand="0" w:firstRowFirstColumn="0" w:firstRowLastColumn="0" w:lastRowFirstColumn="0" w:lastRowLastColumn="0"/>
            </w:pPr>
            <w:r w:rsidRPr="00E97A3C">
              <w:t>44.2% (n=1</w:t>
            </w:r>
            <w:r>
              <w:t>,</w:t>
            </w:r>
            <w:r w:rsidRPr="00E97A3C">
              <w:t>357)</w:t>
            </w:r>
          </w:p>
        </w:tc>
      </w:tr>
      <w:tr w:rsidR="00BC3586" w:rsidRPr="007A1075" w14:paraId="44F6FDD6" w14:textId="77777777" w:rsidTr="00520E3A">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88" w:type="dxa"/>
            <w:vMerge/>
            <w:tcBorders>
              <w:top w:val="none" w:sz="0" w:space="0" w:color="auto"/>
              <w:bottom w:val="none" w:sz="0" w:space="0" w:color="auto"/>
              <w:right w:val="none" w:sz="0" w:space="0" w:color="auto"/>
            </w:tcBorders>
            <w:hideMark/>
          </w:tcPr>
          <w:p w14:paraId="1D8D1C04" w14:textId="77777777" w:rsidR="005661B4" w:rsidRPr="007A1075" w:rsidRDefault="005661B4" w:rsidP="005661B4">
            <w:pPr>
              <w:pStyle w:val="TableText"/>
              <w:rPr>
                <w:b w:val="0"/>
                <w:bCs w:val="0"/>
              </w:rPr>
            </w:pPr>
          </w:p>
        </w:tc>
        <w:tc>
          <w:tcPr>
            <w:tcW w:w="1166" w:type="dxa"/>
            <w:vMerge/>
            <w:tcBorders>
              <w:top w:val="none" w:sz="0" w:space="0" w:color="auto"/>
              <w:bottom w:val="none" w:sz="0" w:space="0" w:color="auto"/>
            </w:tcBorders>
            <w:hideMark/>
          </w:tcPr>
          <w:p w14:paraId="49787781" w14:textId="77777777" w:rsidR="005661B4" w:rsidRPr="007A1075" w:rsidRDefault="005661B4" w:rsidP="005661B4">
            <w:pPr>
              <w:pStyle w:val="TableText"/>
              <w:cnfStyle w:val="000000100000" w:firstRow="0" w:lastRow="0" w:firstColumn="0" w:lastColumn="0" w:oddVBand="0" w:evenVBand="0" w:oddHBand="1" w:evenHBand="0" w:firstRowFirstColumn="0" w:firstRowLastColumn="0" w:lastRowFirstColumn="0" w:lastRowLastColumn="0"/>
            </w:pPr>
          </w:p>
        </w:tc>
        <w:tc>
          <w:tcPr>
            <w:tcW w:w="1669" w:type="dxa"/>
            <w:vMerge w:val="restart"/>
            <w:tcBorders>
              <w:top w:val="none" w:sz="0" w:space="0" w:color="auto"/>
              <w:bottom w:val="none" w:sz="0" w:space="0" w:color="auto"/>
            </w:tcBorders>
            <w:hideMark/>
          </w:tcPr>
          <w:p w14:paraId="23A4ED62" w14:textId="77777777" w:rsidR="005661B4" w:rsidRPr="007A1075" w:rsidRDefault="005661B4" w:rsidP="005661B4">
            <w:pPr>
              <w:pStyle w:val="TableText"/>
              <w:cnfStyle w:val="000000100000" w:firstRow="0" w:lastRow="0" w:firstColumn="0" w:lastColumn="0" w:oddVBand="0" w:evenVBand="0" w:oddHBand="1" w:evenHBand="0" w:firstRowFirstColumn="0" w:firstRowLastColumn="0" w:lastRowFirstColumn="0" w:lastRowLastColumn="0"/>
            </w:pPr>
            <w:r w:rsidRPr="00E97A3C">
              <w:t>Goals</w:t>
            </w:r>
          </w:p>
          <w:p w14:paraId="2D8D7697" w14:textId="0478A6D5" w:rsidR="005661B4" w:rsidRPr="007A1075" w:rsidRDefault="005661B4" w:rsidP="005661B4">
            <w:pPr>
              <w:pStyle w:val="TableText"/>
              <w:cnfStyle w:val="000000100000" w:firstRow="0" w:lastRow="0" w:firstColumn="0" w:lastColumn="0" w:oddVBand="0" w:evenVBand="0" w:oddHBand="1" w:evenHBand="0" w:firstRowFirstColumn="0" w:firstRowLastColumn="0" w:lastRowFirstColumn="0" w:lastRowLastColumn="0"/>
            </w:pPr>
          </w:p>
        </w:tc>
        <w:tc>
          <w:tcPr>
            <w:tcW w:w="3692" w:type="dxa"/>
            <w:tcBorders>
              <w:top w:val="none" w:sz="0" w:space="0" w:color="auto"/>
              <w:bottom w:val="none" w:sz="0" w:space="0" w:color="auto"/>
            </w:tcBorders>
            <w:noWrap/>
            <w:hideMark/>
          </w:tcPr>
          <w:p w14:paraId="270B59D2" w14:textId="1DF8C44D" w:rsidR="005661B4" w:rsidRPr="007A1075" w:rsidRDefault="005661B4" w:rsidP="005661B4">
            <w:pPr>
              <w:pStyle w:val="TableText"/>
              <w:cnfStyle w:val="000000100000" w:firstRow="0" w:lastRow="0" w:firstColumn="0" w:lastColumn="0" w:oddVBand="0" w:evenVBand="0" w:oddHBand="1" w:evenHBand="0" w:firstRowFirstColumn="0" w:firstRowLastColumn="0" w:lastRowFirstColumn="0" w:lastRowLastColumn="0"/>
            </w:pPr>
            <w:r w:rsidRPr="00E97A3C">
              <w:t>Changed behaviours</w:t>
            </w:r>
          </w:p>
        </w:tc>
        <w:tc>
          <w:tcPr>
            <w:tcW w:w="1341" w:type="dxa"/>
            <w:tcBorders>
              <w:top w:val="none" w:sz="0" w:space="0" w:color="auto"/>
              <w:bottom w:val="none" w:sz="0" w:space="0" w:color="auto"/>
            </w:tcBorders>
            <w:noWrap/>
            <w:hideMark/>
          </w:tcPr>
          <w:p w14:paraId="79819465" w14:textId="797E94C1" w:rsidR="005661B4" w:rsidRPr="007A1075" w:rsidRDefault="005661B4" w:rsidP="005661B4">
            <w:pPr>
              <w:pStyle w:val="TableText"/>
              <w:cnfStyle w:val="000000100000" w:firstRow="0" w:lastRow="0" w:firstColumn="0" w:lastColumn="0" w:oddVBand="0" w:evenVBand="0" w:oddHBand="1" w:evenHBand="0" w:firstRowFirstColumn="0" w:firstRowLastColumn="0" w:lastRowFirstColumn="0" w:lastRowLastColumn="0"/>
            </w:pPr>
            <w:r w:rsidRPr="00E97A3C">
              <w:t>0.93</w:t>
            </w:r>
          </w:p>
        </w:tc>
        <w:tc>
          <w:tcPr>
            <w:tcW w:w="1439" w:type="dxa"/>
            <w:tcBorders>
              <w:top w:val="none" w:sz="0" w:space="0" w:color="auto"/>
              <w:bottom w:val="none" w:sz="0" w:space="0" w:color="auto"/>
            </w:tcBorders>
            <w:noWrap/>
            <w:hideMark/>
          </w:tcPr>
          <w:p w14:paraId="7B26CEFD" w14:textId="7788D395" w:rsidR="005661B4" w:rsidRPr="007A1075" w:rsidRDefault="005661B4" w:rsidP="005661B4">
            <w:pPr>
              <w:pStyle w:val="TableText"/>
              <w:cnfStyle w:val="000000100000" w:firstRow="0" w:lastRow="0" w:firstColumn="0" w:lastColumn="0" w:oddVBand="0" w:evenVBand="0" w:oddHBand="1" w:evenHBand="0" w:firstRowFirstColumn="0" w:firstRowLastColumn="0" w:lastRowFirstColumn="0" w:lastRowLastColumn="0"/>
            </w:pPr>
            <w:r w:rsidRPr="00E97A3C">
              <w:t>490227</w:t>
            </w:r>
          </w:p>
        </w:tc>
        <w:tc>
          <w:tcPr>
            <w:tcW w:w="1123" w:type="dxa"/>
            <w:tcBorders>
              <w:top w:val="none" w:sz="0" w:space="0" w:color="auto"/>
              <w:bottom w:val="none" w:sz="0" w:space="0" w:color="auto"/>
            </w:tcBorders>
            <w:noWrap/>
            <w:hideMark/>
          </w:tcPr>
          <w:p w14:paraId="1ADFBA1F" w14:textId="5E6FDCD2" w:rsidR="005661B4" w:rsidRPr="007A1075" w:rsidRDefault="005661B4" w:rsidP="005661B4">
            <w:pPr>
              <w:pStyle w:val="TableText"/>
              <w:cnfStyle w:val="000000100000" w:firstRow="0" w:lastRow="0" w:firstColumn="0" w:lastColumn="0" w:oddVBand="0" w:evenVBand="0" w:oddHBand="1" w:evenHBand="0" w:firstRowFirstColumn="0" w:firstRowLastColumn="0" w:lastRowFirstColumn="0" w:lastRowLastColumn="0"/>
            </w:pPr>
            <w:r w:rsidRPr="00E97A3C">
              <w:t>3</w:t>
            </w:r>
            <w:r>
              <w:t>,</w:t>
            </w:r>
            <w:r w:rsidRPr="00E97A3C">
              <w:t>517</w:t>
            </w:r>
          </w:p>
        </w:tc>
        <w:tc>
          <w:tcPr>
            <w:tcW w:w="1123" w:type="dxa"/>
            <w:tcBorders>
              <w:top w:val="none" w:sz="0" w:space="0" w:color="auto"/>
              <w:bottom w:val="none" w:sz="0" w:space="0" w:color="auto"/>
            </w:tcBorders>
            <w:noWrap/>
            <w:hideMark/>
          </w:tcPr>
          <w:p w14:paraId="13F3F4A2" w14:textId="6FE2E291" w:rsidR="005661B4" w:rsidRPr="007A1075" w:rsidRDefault="005661B4" w:rsidP="005661B4">
            <w:pPr>
              <w:pStyle w:val="TableText"/>
              <w:cnfStyle w:val="000000100000" w:firstRow="0" w:lastRow="0" w:firstColumn="0" w:lastColumn="0" w:oddVBand="0" w:evenVBand="0" w:oddHBand="1" w:evenHBand="0" w:firstRowFirstColumn="0" w:firstRowLastColumn="0" w:lastRowFirstColumn="0" w:lastRowLastColumn="0"/>
            </w:pPr>
            <w:r w:rsidRPr="00E97A3C">
              <w:t>&lt;.001</w:t>
            </w:r>
          </w:p>
        </w:tc>
        <w:tc>
          <w:tcPr>
            <w:tcW w:w="1403" w:type="dxa"/>
            <w:tcBorders>
              <w:top w:val="none" w:sz="0" w:space="0" w:color="auto"/>
              <w:bottom w:val="none" w:sz="0" w:space="0" w:color="auto"/>
            </w:tcBorders>
            <w:noWrap/>
            <w:hideMark/>
          </w:tcPr>
          <w:p w14:paraId="10FC9544" w14:textId="56CC5381" w:rsidR="005661B4" w:rsidRPr="007A1075" w:rsidRDefault="005661B4" w:rsidP="005661B4">
            <w:pPr>
              <w:pStyle w:val="TableText"/>
              <w:cnfStyle w:val="000000100000" w:firstRow="0" w:lastRow="0" w:firstColumn="0" w:lastColumn="0" w:oddVBand="0" w:evenVBand="0" w:oddHBand="1" w:evenHBand="0" w:firstRowFirstColumn="0" w:firstRowLastColumn="0" w:lastRowFirstColumn="0" w:lastRowLastColumn="0"/>
            </w:pPr>
            <w:r w:rsidRPr="00E97A3C">
              <w:t>59.3% (n=2</w:t>
            </w:r>
            <w:r>
              <w:t>,</w:t>
            </w:r>
            <w:r w:rsidRPr="00E97A3C">
              <w:t>087)</w:t>
            </w:r>
          </w:p>
        </w:tc>
      </w:tr>
      <w:tr w:rsidR="00BC3586" w:rsidRPr="007A1075" w14:paraId="1389E1FA" w14:textId="77777777" w:rsidTr="00520E3A">
        <w:trPr>
          <w:trHeight w:val="290"/>
        </w:trPr>
        <w:tc>
          <w:tcPr>
            <w:cnfStyle w:val="001000000000" w:firstRow="0" w:lastRow="0" w:firstColumn="1" w:lastColumn="0" w:oddVBand="0" w:evenVBand="0" w:oddHBand="0" w:evenHBand="0" w:firstRowFirstColumn="0" w:firstRowLastColumn="0" w:lastRowFirstColumn="0" w:lastRowLastColumn="0"/>
            <w:tcW w:w="988" w:type="dxa"/>
            <w:vMerge/>
            <w:tcBorders>
              <w:right w:val="none" w:sz="0" w:space="0" w:color="auto"/>
            </w:tcBorders>
            <w:hideMark/>
          </w:tcPr>
          <w:p w14:paraId="5274D40E" w14:textId="77777777" w:rsidR="005661B4" w:rsidRPr="007A1075" w:rsidRDefault="005661B4" w:rsidP="005661B4">
            <w:pPr>
              <w:pStyle w:val="TableText"/>
            </w:pPr>
          </w:p>
        </w:tc>
        <w:tc>
          <w:tcPr>
            <w:tcW w:w="1166" w:type="dxa"/>
            <w:vMerge/>
            <w:hideMark/>
          </w:tcPr>
          <w:p w14:paraId="66F80AB4" w14:textId="77777777" w:rsidR="005661B4" w:rsidRPr="007A1075" w:rsidRDefault="005661B4" w:rsidP="005661B4">
            <w:pPr>
              <w:pStyle w:val="TableText"/>
              <w:cnfStyle w:val="000000000000" w:firstRow="0" w:lastRow="0" w:firstColumn="0" w:lastColumn="0" w:oddVBand="0" w:evenVBand="0" w:oddHBand="0" w:evenHBand="0" w:firstRowFirstColumn="0" w:firstRowLastColumn="0" w:lastRowFirstColumn="0" w:lastRowLastColumn="0"/>
            </w:pPr>
          </w:p>
        </w:tc>
        <w:tc>
          <w:tcPr>
            <w:tcW w:w="1669" w:type="dxa"/>
            <w:vMerge/>
            <w:hideMark/>
          </w:tcPr>
          <w:p w14:paraId="54BF91A0" w14:textId="77777777" w:rsidR="005661B4" w:rsidRPr="007A1075" w:rsidRDefault="005661B4" w:rsidP="005661B4">
            <w:pPr>
              <w:pStyle w:val="TableText"/>
              <w:cnfStyle w:val="000000000000" w:firstRow="0" w:lastRow="0" w:firstColumn="0" w:lastColumn="0" w:oddVBand="0" w:evenVBand="0" w:oddHBand="0" w:evenHBand="0" w:firstRowFirstColumn="0" w:firstRowLastColumn="0" w:lastRowFirstColumn="0" w:lastRowLastColumn="0"/>
            </w:pPr>
          </w:p>
        </w:tc>
        <w:tc>
          <w:tcPr>
            <w:tcW w:w="3692" w:type="dxa"/>
            <w:noWrap/>
            <w:hideMark/>
          </w:tcPr>
          <w:p w14:paraId="54429917" w14:textId="1782190F" w:rsidR="005661B4" w:rsidRPr="007A1075" w:rsidRDefault="005661B4" w:rsidP="005661B4">
            <w:pPr>
              <w:pStyle w:val="TableText"/>
              <w:cnfStyle w:val="000000000000" w:firstRow="0" w:lastRow="0" w:firstColumn="0" w:lastColumn="0" w:oddVBand="0" w:evenVBand="0" w:oddHBand="0" w:evenHBand="0" w:firstRowFirstColumn="0" w:firstRowLastColumn="0" w:lastRowFirstColumn="0" w:lastRowLastColumn="0"/>
            </w:pPr>
            <w:r w:rsidRPr="00E97A3C">
              <w:t>Changed impact of immediate crisis</w:t>
            </w:r>
          </w:p>
        </w:tc>
        <w:tc>
          <w:tcPr>
            <w:tcW w:w="1341" w:type="dxa"/>
            <w:noWrap/>
            <w:hideMark/>
          </w:tcPr>
          <w:p w14:paraId="19F7EBC3" w14:textId="548BAE13" w:rsidR="005661B4" w:rsidRPr="007A1075" w:rsidRDefault="005661B4" w:rsidP="005661B4">
            <w:pPr>
              <w:pStyle w:val="TableText"/>
              <w:cnfStyle w:val="000000000000" w:firstRow="0" w:lastRow="0" w:firstColumn="0" w:lastColumn="0" w:oddVBand="0" w:evenVBand="0" w:oddHBand="0" w:evenHBand="0" w:firstRowFirstColumn="0" w:firstRowLastColumn="0" w:lastRowFirstColumn="0" w:lastRowLastColumn="0"/>
            </w:pPr>
            <w:r w:rsidRPr="00E97A3C">
              <w:t>1.03</w:t>
            </w:r>
          </w:p>
        </w:tc>
        <w:tc>
          <w:tcPr>
            <w:tcW w:w="1439" w:type="dxa"/>
            <w:noWrap/>
            <w:hideMark/>
          </w:tcPr>
          <w:p w14:paraId="571C5A9A" w14:textId="16BE1A75" w:rsidR="005661B4" w:rsidRPr="007A1075" w:rsidRDefault="005661B4" w:rsidP="005661B4">
            <w:pPr>
              <w:pStyle w:val="TableText"/>
              <w:cnfStyle w:val="000000000000" w:firstRow="0" w:lastRow="0" w:firstColumn="0" w:lastColumn="0" w:oddVBand="0" w:evenVBand="0" w:oddHBand="0" w:evenHBand="0" w:firstRowFirstColumn="0" w:firstRowLastColumn="0" w:lastRowFirstColumn="0" w:lastRowLastColumn="0"/>
            </w:pPr>
            <w:r w:rsidRPr="00E97A3C">
              <w:t>135794.5</w:t>
            </w:r>
          </w:p>
        </w:tc>
        <w:tc>
          <w:tcPr>
            <w:tcW w:w="1123" w:type="dxa"/>
            <w:noWrap/>
            <w:hideMark/>
          </w:tcPr>
          <w:p w14:paraId="75CC99B6" w14:textId="1424E58F" w:rsidR="005661B4" w:rsidRPr="007A1075" w:rsidRDefault="005661B4" w:rsidP="005661B4">
            <w:pPr>
              <w:pStyle w:val="TableText"/>
              <w:cnfStyle w:val="000000000000" w:firstRow="0" w:lastRow="0" w:firstColumn="0" w:lastColumn="0" w:oddVBand="0" w:evenVBand="0" w:oddHBand="0" w:evenHBand="0" w:firstRowFirstColumn="0" w:firstRowLastColumn="0" w:lastRowFirstColumn="0" w:lastRowLastColumn="0"/>
            </w:pPr>
            <w:r w:rsidRPr="00E97A3C">
              <w:t>1</w:t>
            </w:r>
            <w:r>
              <w:t>,</w:t>
            </w:r>
            <w:r w:rsidRPr="00E97A3C">
              <w:t>863</w:t>
            </w:r>
          </w:p>
        </w:tc>
        <w:tc>
          <w:tcPr>
            <w:tcW w:w="1123" w:type="dxa"/>
            <w:noWrap/>
            <w:hideMark/>
          </w:tcPr>
          <w:p w14:paraId="4531DE2B" w14:textId="5A584684" w:rsidR="005661B4" w:rsidRPr="007A1075" w:rsidRDefault="005661B4" w:rsidP="005661B4">
            <w:pPr>
              <w:pStyle w:val="TableText"/>
              <w:cnfStyle w:val="000000000000" w:firstRow="0" w:lastRow="0" w:firstColumn="0" w:lastColumn="0" w:oddVBand="0" w:evenVBand="0" w:oddHBand="0" w:evenHBand="0" w:firstRowFirstColumn="0" w:firstRowLastColumn="0" w:lastRowFirstColumn="0" w:lastRowLastColumn="0"/>
            </w:pPr>
            <w:r w:rsidRPr="00E97A3C">
              <w:t>&lt;.001</w:t>
            </w:r>
          </w:p>
        </w:tc>
        <w:tc>
          <w:tcPr>
            <w:tcW w:w="1403" w:type="dxa"/>
            <w:noWrap/>
            <w:hideMark/>
          </w:tcPr>
          <w:p w14:paraId="2524E5A0" w14:textId="559CC0DA" w:rsidR="005661B4" w:rsidRPr="007A1075" w:rsidRDefault="005661B4" w:rsidP="005661B4">
            <w:pPr>
              <w:pStyle w:val="TableText"/>
              <w:cnfStyle w:val="000000000000" w:firstRow="0" w:lastRow="0" w:firstColumn="0" w:lastColumn="0" w:oddVBand="0" w:evenVBand="0" w:oddHBand="0" w:evenHBand="0" w:firstRowFirstColumn="0" w:firstRowLastColumn="0" w:lastRowFirstColumn="0" w:lastRowLastColumn="0"/>
            </w:pPr>
            <w:r w:rsidRPr="00E97A3C">
              <w:t>63.2% (n=1</w:t>
            </w:r>
            <w:r>
              <w:t>,</w:t>
            </w:r>
            <w:r w:rsidRPr="00E97A3C">
              <w:t>178)</w:t>
            </w:r>
          </w:p>
        </w:tc>
      </w:tr>
      <w:tr w:rsidR="00BC3586" w:rsidRPr="007A1075" w14:paraId="5F072B6E" w14:textId="77777777" w:rsidTr="00520E3A">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88" w:type="dxa"/>
            <w:vMerge/>
            <w:tcBorders>
              <w:top w:val="none" w:sz="0" w:space="0" w:color="auto"/>
              <w:bottom w:val="none" w:sz="0" w:space="0" w:color="auto"/>
              <w:right w:val="none" w:sz="0" w:space="0" w:color="auto"/>
            </w:tcBorders>
            <w:hideMark/>
          </w:tcPr>
          <w:p w14:paraId="2BAEE5CD" w14:textId="77777777" w:rsidR="005661B4" w:rsidRPr="007A1075" w:rsidRDefault="005661B4" w:rsidP="005661B4">
            <w:pPr>
              <w:pStyle w:val="TableText"/>
              <w:rPr>
                <w:b w:val="0"/>
                <w:bCs w:val="0"/>
              </w:rPr>
            </w:pPr>
          </w:p>
        </w:tc>
        <w:tc>
          <w:tcPr>
            <w:tcW w:w="1166" w:type="dxa"/>
            <w:vMerge/>
            <w:tcBorders>
              <w:top w:val="none" w:sz="0" w:space="0" w:color="auto"/>
              <w:bottom w:val="none" w:sz="0" w:space="0" w:color="auto"/>
            </w:tcBorders>
            <w:hideMark/>
          </w:tcPr>
          <w:p w14:paraId="6FB2A2DD" w14:textId="77777777" w:rsidR="005661B4" w:rsidRPr="007A1075" w:rsidRDefault="005661B4" w:rsidP="005661B4">
            <w:pPr>
              <w:pStyle w:val="TableText"/>
              <w:cnfStyle w:val="000000100000" w:firstRow="0" w:lastRow="0" w:firstColumn="0" w:lastColumn="0" w:oddVBand="0" w:evenVBand="0" w:oddHBand="1" w:evenHBand="0" w:firstRowFirstColumn="0" w:firstRowLastColumn="0" w:lastRowFirstColumn="0" w:lastRowLastColumn="0"/>
            </w:pPr>
          </w:p>
        </w:tc>
        <w:tc>
          <w:tcPr>
            <w:tcW w:w="1669" w:type="dxa"/>
            <w:vMerge/>
            <w:tcBorders>
              <w:top w:val="none" w:sz="0" w:space="0" w:color="auto"/>
              <w:bottom w:val="none" w:sz="0" w:space="0" w:color="auto"/>
            </w:tcBorders>
            <w:hideMark/>
          </w:tcPr>
          <w:p w14:paraId="331EFDBC" w14:textId="77777777" w:rsidR="005661B4" w:rsidRPr="007A1075" w:rsidRDefault="005661B4" w:rsidP="005661B4">
            <w:pPr>
              <w:pStyle w:val="TableText"/>
              <w:cnfStyle w:val="000000100000" w:firstRow="0" w:lastRow="0" w:firstColumn="0" w:lastColumn="0" w:oddVBand="0" w:evenVBand="0" w:oddHBand="1" w:evenHBand="0" w:firstRowFirstColumn="0" w:firstRowLastColumn="0" w:lastRowFirstColumn="0" w:lastRowLastColumn="0"/>
            </w:pPr>
          </w:p>
        </w:tc>
        <w:tc>
          <w:tcPr>
            <w:tcW w:w="3692" w:type="dxa"/>
            <w:tcBorders>
              <w:top w:val="none" w:sz="0" w:space="0" w:color="auto"/>
              <w:bottom w:val="none" w:sz="0" w:space="0" w:color="auto"/>
            </w:tcBorders>
            <w:noWrap/>
            <w:hideMark/>
          </w:tcPr>
          <w:p w14:paraId="46F8DC1B" w14:textId="6D83DCEC" w:rsidR="005661B4" w:rsidRPr="007A1075" w:rsidRDefault="005661B4" w:rsidP="005661B4">
            <w:pPr>
              <w:pStyle w:val="TableText"/>
              <w:cnfStyle w:val="000000100000" w:firstRow="0" w:lastRow="0" w:firstColumn="0" w:lastColumn="0" w:oddVBand="0" w:evenVBand="0" w:oddHBand="1" w:evenHBand="0" w:firstRowFirstColumn="0" w:firstRowLastColumn="0" w:lastRowFirstColumn="0" w:lastRowLastColumn="0"/>
            </w:pPr>
            <w:r w:rsidRPr="00E97A3C">
              <w:t>Changed knowledge and access to information</w:t>
            </w:r>
          </w:p>
        </w:tc>
        <w:tc>
          <w:tcPr>
            <w:tcW w:w="1341" w:type="dxa"/>
            <w:tcBorders>
              <w:top w:val="none" w:sz="0" w:space="0" w:color="auto"/>
              <w:bottom w:val="none" w:sz="0" w:space="0" w:color="auto"/>
            </w:tcBorders>
            <w:noWrap/>
            <w:hideMark/>
          </w:tcPr>
          <w:p w14:paraId="5420C43C" w14:textId="21C9A1DA" w:rsidR="005661B4" w:rsidRPr="007A1075" w:rsidRDefault="005661B4" w:rsidP="005661B4">
            <w:pPr>
              <w:pStyle w:val="TableText"/>
              <w:cnfStyle w:val="000000100000" w:firstRow="0" w:lastRow="0" w:firstColumn="0" w:lastColumn="0" w:oddVBand="0" w:evenVBand="0" w:oddHBand="1" w:evenHBand="0" w:firstRowFirstColumn="0" w:firstRowLastColumn="0" w:lastRowFirstColumn="0" w:lastRowLastColumn="0"/>
            </w:pPr>
            <w:r w:rsidRPr="00E97A3C">
              <w:t>1.06</w:t>
            </w:r>
          </w:p>
        </w:tc>
        <w:tc>
          <w:tcPr>
            <w:tcW w:w="1439" w:type="dxa"/>
            <w:tcBorders>
              <w:top w:val="none" w:sz="0" w:space="0" w:color="auto"/>
              <w:bottom w:val="none" w:sz="0" w:space="0" w:color="auto"/>
            </w:tcBorders>
            <w:noWrap/>
            <w:hideMark/>
          </w:tcPr>
          <w:p w14:paraId="08151621" w14:textId="3CDE37D3" w:rsidR="005661B4" w:rsidRPr="007A1075" w:rsidRDefault="005661B4" w:rsidP="005661B4">
            <w:pPr>
              <w:pStyle w:val="TableText"/>
              <w:cnfStyle w:val="000000100000" w:firstRow="0" w:lastRow="0" w:firstColumn="0" w:lastColumn="0" w:oddVBand="0" w:evenVBand="0" w:oddHBand="1" w:evenHBand="0" w:firstRowFirstColumn="0" w:firstRowLastColumn="0" w:lastRowFirstColumn="0" w:lastRowLastColumn="0"/>
            </w:pPr>
            <w:r w:rsidRPr="00E97A3C">
              <w:t>469150</w:t>
            </w:r>
          </w:p>
        </w:tc>
        <w:tc>
          <w:tcPr>
            <w:tcW w:w="1123" w:type="dxa"/>
            <w:tcBorders>
              <w:top w:val="none" w:sz="0" w:space="0" w:color="auto"/>
              <w:bottom w:val="none" w:sz="0" w:space="0" w:color="auto"/>
            </w:tcBorders>
            <w:noWrap/>
            <w:hideMark/>
          </w:tcPr>
          <w:p w14:paraId="2BFEABC8" w14:textId="2526CED2" w:rsidR="005661B4" w:rsidRPr="007A1075" w:rsidRDefault="005661B4" w:rsidP="005661B4">
            <w:pPr>
              <w:pStyle w:val="TableText"/>
              <w:cnfStyle w:val="000000100000" w:firstRow="0" w:lastRow="0" w:firstColumn="0" w:lastColumn="0" w:oddVBand="0" w:evenVBand="0" w:oddHBand="1" w:evenHBand="0" w:firstRowFirstColumn="0" w:firstRowLastColumn="0" w:lastRowFirstColumn="0" w:lastRowLastColumn="0"/>
            </w:pPr>
            <w:r w:rsidRPr="00E97A3C">
              <w:t>3</w:t>
            </w:r>
            <w:r>
              <w:t>,</w:t>
            </w:r>
            <w:r w:rsidRPr="00E97A3C">
              <w:t>385</w:t>
            </w:r>
          </w:p>
        </w:tc>
        <w:tc>
          <w:tcPr>
            <w:tcW w:w="1123" w:type="dxa"/>
            <w:tcBorders>
              <w:top w:val="none" w:sz="0" w:space="0" w:color="auto"/>
              <w:bottom w:val="none" w:sz="0" w:space="0" w:color="auto"/>
            </w:tcBorders>
            <w:noWrap/>
            <w:hideMark/>
          </w:tcPr>
          <w:p w14:paraId="6410EF8C" w14:textId="237F4B13" w:rsidR="005661B4" w:rsidRPr="007A1075" w:rsidRDefault="005661B4" w:rsidP="005661B4">
            <w:pPr>
              <w:pStyle w:val="TableText"/>
              <w:cnfStyle w:val="000000100000" w:firstRow="0" w:lastRow="0" w:firstColumn="0" w:lastColumn="0" w:oddVBand="0" w:evenVBand="0" w:oddHBand="1" w:evenHBand="0" w:firstRowFirstColumn="0" w:firstRowLastColumn="0" w:lastRowFirstColumn="0" w:lastRowLastColumn="0"/>
            </w:pPr>
            <w:r w:rsidRPr="00E97A3C">
              <w:t>&lt;.001</w:t>
            </w:r>
          </w:p>
        </w:tc>
        <w:tc>
          <w:tcPr>
            <w:tcW w:w="1403" w:type="dxa"/>
            <w:tcBorders>
              <w:top w:val="none" w:sz="0" w:space="0" w:color="auto"/>
              <w:bottom w:val="none" w:sz="0" w:space="0" w:color="auto"/>
            </w:tcBorders>
            <w:noWrap/>
            <w:hideMark/>
          </w:tcPr>
          <w:p w14:paraId="78C2AA2B" w14:textId="0F21B843" w:rsidR="005661B4" w:rsidRPr="007A1075" w:rsidRDefault="005661B4" w:rsidP="005661B4">
            <w:pPr>
              <w:pStyle w:val="TableText"/>
              <w:cnfStyle w:val="000000100000" w:firstRow="0" w:lastRow="0" w:firstColumn="0" w:lastColumn="0" w:oddVBand="0" w:evenVBand="0" w:oddHBand="1" w:evenHBand="0" w:firstRowFirstColumn="0" w:firstRowLastColumn="0" w:lastRowFirstColumn="0" w:lastRowLastColumn="0"/>
            </w:pPr>
            <w:r w:rsidRPr="00E97A3C">
              <w:t>64.7% (n=2</w:t>
            </w:r>
            <w:r>
              <w:t>,</w:t>
            </w:r>
            <w:r w:rsidRPr="00E97A3C">
              <w:t>189)</w:t>
            </w:r>
          </w:p>
        </w:tc>
      </w:tr>
      <w:tr w:rsidR="00BC3586" w:rsidRPr="007A1075" w14:paraId="4475B13E" w14:textId="77777777" w:rsidTr="00520E3A">
        <w:trPr>
          <w:trHeight w:val="290"/>
        </w:trPr>
        <w:tc>
          <w:tcPr>
            <w:cnfStyle w:val="001000000000" w:firstRow="0" w:lastRow="0" w:firstColumn="1" w:lastColumn="0" w:oddVBand="0" w:evenVBand="0" w:oddHBand="0" w:evenHBand="0" w:firstRowFirstColumn="0" w:firstRowLastColumn="0" w:lastRowFirstColumn="0" w:lastRowLastColumn="0"/>
            <w:tcW w:w="988" w:type="dxa"/>
            <w:vMerge/>
            <w:tcBorders>
              <w:right w:val="none" w:sz="0" w:space="0" w:color="auto"/>
            </w:tcBorders>
            <w:hideMark/>
          </w:tcPr>
          <w:p w14:paraId="311A05E3" w14:textId="77777777" w:rsidR="005661B4" w:rsidRPr="007A1075" w:rsidRDefault="005661B4" w:rsidP="005661B4">
            <w:pPr>
              <w:pStyle w:val="TableText"/>
            </w:pPr>
          </w:p>
        </w:tc>
        <w:tc>
          <w:tcPr>
            <w:tcW w:w="1166" w:type="dxa"/>
            <w:vMerge/>
            <w:hideMark/>
          </w:tcPr>
          <w:p w14:paraId="4E6090A8" w14:textId="77777777" w:rsidR="005661B4" w:rsidRPr="007A1075" w:rsidRDefault="005661B4" w:rsidP="005661B4">
            <w:pPr>
              <w:pStyle w:val="TableText"/>
              <w:cnfStyle w:val="000000000000" w:firstRow="0" w:lastRow="0" w:firstColumn="0" w:lastColumn="0" w:oddVBand="0" w:evenVBand="0" w:oddHBand="0" w:evenHBand="0" w:firstRowFirstColumn="0" w:firstRowLastColumn="0" w:lastRowFirstColumn="0" w:lastRowLastColumn="0"/>
            </w:pPr>
          </w:p>
        </w:tc>
        <w:tc>
          <w:tcPr>
            <w:tcW w:w="1669" w:type="dxa"/>
            <w:vMerge/>
            <w:hideMark/>
          </w:tcPr>
          <w:p w14:paraId="699A69E6" w14:textId="77777777" w:rsidR="005661B4" w:rsidRPr="007A1075" w:rsidRDefault="005661B4" w:rsidP="005661B4">
            <w:pPr>
              <w:pStyle w:val="TableText"/>
              <w:cnfStyle w:val="000000000000" w:firstRow="0" w:lastRow="0" w:firstColumn="0" w:lastColumn="0" w:oddVBand="0" w:evenVBand="0" w:oddHBand="0" w:evenHBand="0" w:firstRowFirstColumn="0" w:firstRowLastColumn="0" w:lastRowFirstColumn="0" w:lastRowLastColumn="0"/>
            </w:pPr>
          </w:p>
        </w:tc>
        <w:tc>
          <w:tcPr>
            <w:tcW w:w="3692" w:type="dxa"/>
            <w:noWrap/>
            <w:hideMark/>
          </w:tcPr>
          <w:p w14:paraId="63DD99D5" w14:textId="6444E507" w:rsidR="005661B4" w:rsidRPr="007A1075" w:rsidRDefault="005661B4" w:rsidP="005661B4">
            <w:pPr>
              <w:pStyle w:val="TableText"/>
              <w:cnfStyle w:val="000000000000" w:firstRow="0" w:lastRow="0" w:firstColumn="0" w:lastColumn="0" w:oddVBand="0" w:evenVBand="0" w:oddHBand="0" w:evenHBand="0" w:firstRowFirstColumn="0" w:firstRowLastColumn="0" w:lastRowFirstColumn="0" w:lastRowLastColumn="0"/>
            </w:pPr>
            <w:r w:rsidRPr="00E97A3C">
              <w:t>Changed skills</w:t>
            </w:r>
          </w:p>
        </w:tc>
        <w:tc>
          <w:tcPr>
            <w:tcW w:w="1341" w:type="dxa"/>
            <w:noWrap/>
            <w:hideMark/>
          </w:tcPr>
          <w:p w14:paraId="47637531" w14:textId="747A197B" w:rsidR="005661B4" w:rsidRPr="007A1075" w:rsidRDefault="005661B4" w:rsidP="005661B4">
            <w:pPr>
              <w:pStyle w:val="TableText"/>
              <w:cnfStyle w:val="000000000000" w:firstRow="0" w:lastRow="0" w:firstColumn="0" w:lastColumn="0" w:oddVBand="0" w:evenVBand="0" w:oddHBand="0" w:evenHBand="0" w:firstRowFirstColumn="0" w:firstRowLastColumn="0" w:lastRowFirstColumn="0" w:lastRowLastColumn="0"/>
            </w:pPr>
            <w:r w:rsidRPr="00E97A3C">
              <w:t>0.96</w:t>
            </w:r>
          </w:p>
        </w:tc>
        <w:tc>
          <w:tcPr>
            <w:tcW w:w="1439" w:type="dxa"/>
            <w:noWrap/>
            <w:hideMark/>
          </w:tcPr>
          <w:p w14:paraId="4D93B975" w14:textId="5FC78735" w:rsidR="005661B4" w:rsidRPr="007A1075" w:rsidRDefault="005661B4" w:rsidP="005661B4">
            <w:pPr>
              <w:pStyle w:val="TableText"/>
              <w:cnfStyle w:val="000000000000" w:firstRow="0" w:lastRow="0" w:firstColumn="0" w:lastColumn="0" w:oddVBand="0" w:evenVBand="0" w:oddHBand="0" w:evenHBand="0" w:firstRowFirstColumn="0" w:firstRowLastColumn="0" w:lastRowFirstColumn="0" w:lastRowLastColumn="0"/>
            </w:pPr>
            <w:r w:rsidRPr="00E97A3C">
              <w:t>589611</w:t>
            </w:r>
          </w:p>
        </w:tc>
        <w:tc>
          <w:tcPr>
            <w:tcW w:w="1123" w:type="dxa"/>
            <w:noWrap/>
            <w:hideMark/>
          </w:tcPr>
          <w:p w14:paraId="373EA37B" w14:textId="3D158C2C" w:rsidR="005661B4" w:rsidRPr="007A1075" w:rsidRDefault="005661B4" w:rsidP="005661B4">
            <w:pPr>
              <w:pStyle w:val="TableText"/>
              <w:cnfStyle w:val="000000000000" w:firstRow="0" w:lastRow="0" w:firstColumn="0" w:lastColumn="0" w:oddVBand="0" w:evenVBand="0" w:oddHBand="0" w:evenHBand="0" w:firstRowFirstColumn="0" w:firstRowLastColumn="0" w:lastRowFirstColumn="0" w:lastRowLastColumn="0"/>
            </w:pPr>
            <w:r w:rsidRPr="00E97A3C">
              <w:t>3</w:t>
            </w:r>
            <w:r>
              <w:t>,</w:t>
            </w:r>
            <w:r w:rsidRPr="00E97A3C">
              <w:t>782</w:t>
            </w:r>
          </w:p>
        </w:tc>
        <w:tc>
          <w:tcPr>
            <w:tcW w:w="1123" w:type="dxa"/>
            <w:noWrap/>
            <w:hideMark/>
          </w:tcPr>
          <w:p w14:paraId="791287B0" w14:textId="7972B97F" w:rsidR="005661B4" w:rsidRPr="007A1075" w:rsidRDefault="005661B4" w:rsidP="005661B4">
            <w:pPr>
              <w:pStyle w:val="TableText"/>
              <w:cnfStyle w:val="000000000000" w:firstRow="0" w:lastRow="0" w:firstColumn="0" w:lastColumn="0" w:oddVBand="0" w:evenVBand="0" w:oddHBand="0" w:evenHBand="0" w:firstRowFirstColumn="0" w:firstRowLastColumn="0" w:lastRowFirstColumn="0" w:lastRowLastColumn="0"/>
            </w:pPr>
            <w:r w:rsidRPr="00E97A3C">
              <w:t>&lt;.001</w:t>
            </w:r>
          </w:p>
        </w:tc>
        <w:tc>
          <w:tcPr>
            <w:tcW w:w="1403" w:type="dxa"/>
            <w:noWrap/>
            <w:hideMark/>
          </w:tcPr>
          <w:p w14:paraId="56EC5B41" w14:textId="3ECA2CDA" w:rsidR="005661B4" w:rsidRPr="007A1075" w:rsidRDefault="005661B4" w:rsidP="005661B4">
            <w:pPr>
              <w:pStyle w:val="TableText"/>
              <w:cnfStyle w:val="000000000000" w:firstRow="0" w:lastRow="0" w:firstColumn="0" w:lastColumn="0" w:oddVBand="0" w:evenVBand="0" w:oddHBand="0" w:evenHBand="0" w:firstRowFirstColumn="0" w:firstRowLastColumn="0" w:lastRowFirstColumn="0" w:lastRowLastColumn="0"/>
            </w:pPr>
            <w:r w:rsidRPr="00E97A3C">
              <w:t>61.2% (n=2</w:t>
            </w:r>
            <w:r>
              <w:t>,</w:t>
            </w:r>
            <w:r w:rsidRPr="00E97A3C">
              <w:t>315)</w:t>
            </w:r>
          </w:p>
        </w:tc>
      </w:tr>
      <w:tr w:rsidR="00BC3586" w:rsidRPr="007A1075" w14:paraId="31CB2A61" w14:textId="77777777" w:rsidTr="00520E3A">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88" w:type="dxa"/>
            <w:vMerge/>
            <w:tcBorders>
              <w:top w:val="none" w:sz="0" w:space="0" w:color="auto"/>
              <w:bottom w:val="none" w:sz="0" w:space="0" w:color="auto"/>
              <w:right w:val="none" w:sz="0" w:space="0" w:color="auto"/>
            </w:tcBorders>
            <w:hideMark/>
          </w:tcPr>
          <w:p w14:paraId="721D6F30" w14:textId="77777777" w:rsidR="005661B4" w:rsidRPr="007A1075" w:rsidRDefault="005661B4" w:rsidP="005661B4">
            <w:pPr>
              <w:pStyle w:val="TableText"/>
              <w:rPr>
                <w:b w:val="0"/>
                <w:bCs w:val="0"/>
              </w:rPr>
            </w:pPr>
          </w:p>
        </w:tc>
        <w:tc>
          <w:tcPr>
            <w:tcW w:w="1166" w:type="dxa"/>
            <w:vMerge/>
            <w:tcBorders>
              <w:top w:val="none" w:sz="0" w:space="0" w:color="auto"/>
              <w:bottom w:val="none" w:sz="0" w:space="0" w:color="auto"/>
            </w:tcBorders>
            <w:hideMark/>
          </w:tcPr>
          <w:p w14:paraId="6E3F7234" w14:textId="77777777" w:rsidR="005661B4" w:rsidRPr="007A1075" w:rsidRDefault="005661B4" w:rsidP="005661B4">
            <w:pPr>
              <w:pStyle w:val="TableText"/>
              <w:cnfStyle w:val="000000100000" w:firstRow="0" w:lastRow="0" w:firstColumn="0" w:lastColumn="0" w:oddVBand="0" w:evenVBand="0" w:oddHBand="1" w:evenHBand="0" w:firstRowFirstColumn="0" w:firstRowLastColumn="0" w:lastRowFirstColumn="0" w:lastRowLastColumn="0"/>
            </w:pPr>
          </w:p>
        </w:tc>
        <w:tc>
          <w:tcPr>
            <w:tcW w:w="1669" w:type="dxa"/>
            <w:vMerge/>
            <w:tcBorders>
              <w:top w:val="none" w:sz="0" w:space="0" w:color="auto"/>
              <w:bottom w:val="none" w:sz="0" w:space="0" w:color="auto"/>
            </w:tcBorders>
            <w:hideMark/>
          </w:tcPr>
          <w:p w14:paraId="130D3924" w14:textId="77777777" w:rsidR="005661B4" w:rsidRPr="007A1075" w:rsidRDefault="005661B4" w:rsidP="005661B4">
            <w:pPr>
              <w:pStyle w:val="TableText"/>
              <w:cnfStyle w:val="000000100000" w:firstRow="0" w:lastRow="0" w:firstColumn="0" w:lastColumn="0" w:oddVBand="0" w:evenVBand="0" w:oddHBand="1" w:evenHBand="0" w:firstRowFirstColumn="0" w:firstRowLastColumn="0" w:lastRowFirstColumn="0" w:lastRowLastColumn="0"/>
            </w:pPr>
          </w:p>
        </w:tc>
        <w:tc>
          <w:tcPr>
            <w:tcW w:w="3692" w:type="dxa"/>
            <w:tcBorders>
              <w:top w:val="none" w:sz="0" w:space="0" w:color="auto"/>
              <w:bottom w:val="none" w:sz="0" w:space="0" w:color="auto"/>
            </w:tcBorders>
            <w:noWrap/>
            <w:hideMark/>
          </w:tcPr>
          <w:p w14:paraId="7D55E47A" w14:textId="35BFAC3D" w:rsidR="005661B4" w:rsidRPr="007A1075" w:rsidRDefault="005661B4" w:rsidP="005661B4">
            <w:pPr>
              <w:pStyle w:val="TableText"/>
              <w:cnfStyle w:val="000000100000" w:firstRow="0" w:lastRow="0" w:firstColumn="0" w:lastColumn="0" w:oddVBand="0" w:evenVBand="0" w:oddHBand="1" w:evenHBand="0" w:firstRowFirstColumn="0" w:firstRowLastColumn="0" w:lastRowFirstColumn="0" w:lastRowLastColumn="0"/>
            </w:pPr>
            <w:r w:rsidRPr="57F92EFB">
              <w:rPr>
                <w:lang w:val="en-NZ"/>
              </w:rPr>
              <w:t>Empowerment, choice and control to make own decisions</w:t>
            </w:r>
          </w:p>
        </w:tc>
        <w:tc>
          <w:tcPr>
            <w:tcW w:w="1341" w:type="dxa"/>
            <w:tcBorders>
              <w:top w:val="none" w:sz="0" w:space="0" w:color="auto"/>
              <w:bottom w:val="none" w:sz="0" w:space="0" w:color="auto"/>
            </w:tcBorders>
            <w:noWrap/>
            <w:hideMark/>
          </w:tcPr>
          <w:p w14:paraId="632B2AAF" w14:textId="3D359AD2" w:rsidR="005661B4" w:rsidRPr="007A1075" w:rsidRDefault="005661B4" w:rsidP="005661B4">
            <w:pPr>
              <w:pStyle w:val="TableText"/>
              <w:cnfStyle w:val="000000100000" w:firstRow="0" w:lastRow="0" w:firstColumn="0" w:lastColumn="0" w:oddVBand="0" w:evenVBand="0" w:oddHBand="1" w:evenHBand="0" w:firstRowFirstColumn="0" w:firstRowLastColumn="0" w:lastRowFirstColumn="0" w:lastRowLastColumn="0"/>
            </w:pPr>
            <w:r w:rsidRPr="00E97A3C">
              <w:t>0.96</w:t>
            </w:r>
          </w:p>
        </w:tc>
        <w:tc>
          <w:tcPr>
            <w:tcW w:w="1439" w:type="dxa"/>
            <w:tcBorders>
              <w:top w:val="none" w:sz="0" w:space="0" w:color="auto"/>
              <w:bottom w:val="none" w:sz="0" w:space="0" w:color="auto"/>
            </w:tcBorders>
            <w:noWrap/>
            <w:hideMark/>
          </w:tcPr>
          <w:p w14:paraId="0A1159EA" w14:textId="175E894F" w:rsidR="005661B4" w:rsidRPr="007A1075" w:rsidRDefault="005661B4" w:rsidP="005661B4">
            <w:pPr>
              <w:pStyle w:val="TableText"/>
              <w:cnfStyle w:val="000000100000" w:firstRow="0" w:lastRow="0" w:firstColumn="0" w:lastColumn="0" w:oddVBand="0" w:evenVBand="0" w:oddHBand="1" w:evenHBand="0" w:firstRowFirstColumn="0" w:firstRowLastColumn="0" w:lastRowFirstColumn="0" w:lastRowLastColumn="0"/>
            </w:pPr>
            <w:r w:rsidRPr="00E97A3C">
              <w:t>389397</w:t>
            </w:r>
          </w:p>
        </w:tc>
        <w:tc>
          <w:tcPr>
            <w:tcW w:w="1123" w:type="dxa"/>
            <w:tcBorders>
              <w:top w:val="none" w:sz="0" w:space="0" w:color="auto"/>
              <w:bottom w:val="none" w:sz="0" w:space="0" w:color="auto"/>
            </w:tcBorders>
            <w:noWrap/>
            <w:hideMark/>
          </w:tcPr>
          <w:p w14:paraId="56B30D6B" w14:textId="6D89A4F0" w:rsidR="005661B4" w:rsidRPr="007A1075" w:rsidRDefault="005661B4" w:rsidP="005661B4">
            <w:pPr>
              <w:pStyle w:val="TableText"/>
              <w:cnfStyle w:val="000000100000" w:firstRow="0" w:lastRow="0" w:firstColumn="0" w:lastColumn="0" w:oddVBand="0" w:evenVBand="0" w:oddHBand="1" w:evenHBand="0" w:firstRowFirstColumn="0" w:firstRowLastColumn="0" w:lastRowFirstColumn="0" w:lastRowLastColumn="0"/>
            </w:pPr>
            <w:r w:rsidRPr="00E97A3C">
              <w:t>2</w:t>
            </w:r>
            <w:r>
              <w:t>,</w:t>
            </w:r>
            <w:r w:rsidRPr="00E97A3C">
              <w:t>919</w:t>
            </w:r>
          </w:p>
        </w:tc>
        <w:tc>
          <w:tcPr>
            <w:tcW w:w="1123" w:type="dxa"/>
            <w:tcBorders>
              <w:top w:val="none" w:sz="0" w:space="0" w:color="auto"/>
              <w:bottom w:val="none" w:sz="0" w:space="0" w:color="auto"/>
            </w:tcBorders>
            <w:noWrap/>
            <w:hideMark/>
          </w:tcPr>
          <w:p w14:paraId="2E16B08B" w14:textId="32D54652" w:rsidR="005661B4" w:rsidRPr="007A1075" w:rsidRDefault="005661B4" w:rsidP="005661B4">
            <w:pPr>
              <w:pStyle w:val="TableText"/>
              <w:cnfStyle w:val="000000100000" w:firstRow="0" w:lastRow="0" w:firstColumn="0" w:lastColumn="0" w:oddVBand="0" w:evenVBand="0" w:oddHBand="1" w:evenHBand="0" w:firstRowFirstColumn="0" w:firstRowLastColumn="0" w:lastRowFirstColumn="0" w:lastRowLastColumn="0"/>
            </w:pPr>
            <w:r w:rsidRPr="00E97A3C">
              <w:t>&lt;.001</w:t>
            </w:r>
          </w:p>
        </w:tc>
        <w:tc>
          <w:tcPr>
            <w:tcW w:w="1403" w:type="dxa"/>
            <w:tcBorders>
              <w:top w:val="none" w:sz="0" w:space="0" w:color="auto"/>
              <w:bottom w:val="none" w:sz="0" w:space="0" w:color="auto"/>
            </w:tcBorders>
            <w:noWrap/>
            <w:hideMark/>
          </w:tcPr>
          <w:p w14:paraId="377F82D6" w14:textId="740949B7" w:rsidR="005661B4" w:rsidRPr="007A1075" w:rsidRDefault="005661B4" w:rsidP="005661B4">
            <w:pPr>
              <w:pStyle w:val="TableText"/>
              <w:cnfStyle w:val="000000100000" w:firstRow="0" w:lastRow="0" w:firstColumn="0" w:lastColumn="0" w:oddVBand="0" w:evenVBand="0" w:oddHBand="1" w:evenHBand="0" w:firstRowFirstColumn="0" w:firstRowLastColumn="0" w:lastRowFirstColumn="0" w:lastRowLastColumn="0"/>
            </w:pPr>
            <w:r w:rsidRPr="00E97A3C">
              <w:t>61.1% (n=1</w:t>
            </w:r>
            <w:r>
              <w:t>,</w:t>
            </w:r>
            <w:r w:rsidRPr="00E97A3C">
              <w:t>784)</w:t>
            </w:r>
          </w:p>
        </w:tc>
      </w:tr>
      <w:tr w:rsidR="00BC3586" w:rsidRPr="007A1075" w14:paraId="3DF06458" w14:textId="77777777" w:rsidTr="00520E3A">
        <w:trPr>
          <w:trHeight w:val="290"/>
        </w:trPr>
        <w:tc>
          <w:tcPr>
            <w:cnfStyle w:val="001000000000" w:firstRow="0" w:lastRow="0" w:firstColumn="1" w:lastColumn="0" w:oddVBand="0" w:evenVBand="0" w:oddHBand="0" w:evenHBand="0" w:firstRowFirstColumn="0" w:firstRowLastColumn="0" w:lastRowFirstColumn="0" w:lastRowLastColumn="0"/>
            <w:tcW w:w="988" w:type="dxa"/>
            <w:vMerge/>
            <w:tcBorders>
              <w:right w:val="none" w:sz="0" w:space="0" w:color="auto"/>
            </w:tcBorders>
            <w:hideMark/>
          </w:tcPr>
          <w:p w14:paraId="5A258E86" w14:textId="77777777" w:rsidR="005661B4" w:rsidRPr="007A1075" w:rsidRDefault="005661B4" w:rsidP="005661B4">
            <w:pPr>
              <w:pStyle w:val="TableText"/>
            </w:pPr>
          </w:p>
        </w:tc>
        <w:tc>
          <w:tcPr>
            <w:tcW w:w="1166" w:type="dxa"/>
            <w:vMerge/>
            <w:hideMark/>
          </w:tcPr>
          <w:p w14:paraId="6DD988DD" w14:textId="77777777" w:rsidR="005661B4" w:rsidRPr="007A1075" w:rsidRDefault="005661B4" w:rsidP="005661B4">
            <w:pPr>
              <w:pStyle w:val="TableText"/>
              <w:cnfStyle w:val="000000000000" w:firstRow="0" w:lastRow="0" w:firstColumn="0" w:lastColumn="0" w:oddVBand="0" w:evenVBand="0" w:oddHBand="0" w:evenHBand="0" w:firstRowFirstColumn="0" w:firstRowLastColumn="0" w:lastRowFirstColumn="0" w:lastRowLastColumn="0"/>
            </w:pPr>
          </w:p>
        </w:tc>
        <w:tc>
          <w:tcPr>
            <w:tcW w:w="1669" w:type="dxa"/>
            <w:vMerge/>
            <w:hideMark/>
          </w:tcPr>
          <w:p w14:paraId="4D646C7D" w14:textId="77777777" w:rsidR="005661B4" w:rsidRPr="007A1075" w:rsidRDefault="005661B4" w:rsidP="005661B4">
            <w:pPr>
              <w:pStyle w:val="TableText"/>
              <w:cnfStyle w:val="000000000000" w:firstRow="0" w:lastRow="0" w:firstColumn="0" w:lastColumn="0" w:oddVBand="0" w:evenVBand="0" w:oddHBand="0" w:evenHBand="0" w:firstRowFirstColumn="0" w:firstRowLastColumn="0" w:lastRowFirstColumn="0" w:lastRowLastColumn="0"/>
            </w:pPr>
          </w:p>
        </w:tc>
        <w:tc>
          <w:tcPr>
            <w:tcW w:w="3692" w:type="dxa"/>
            <w:noWrap/>
            <w:hideMark/>
          </w:tcPr>
          <w:p w14:paraId="20A2C7F6" w14:textId="426A884C" w:rsidR="005661B4" w:rsidRPr="007A1075" w:rsidRDefault="005661B4" w:rsidP="005661B4">
            <w:pPr>
              <w:pStyle w:val="TableText"/>
              <w:cnfStyle w:val="000000000000" w:firstRow="0" w:lastRow="0" w:firstColumn="0" w:lastColumn="0" w:oddVBand="0" w:evenVBand="0" w:oddHBand="0" w:evenHBand="0" w:firstRowFirstColumn="0" w:firstRowLastColumn="0" w:lastRowFirstColumn="0" w:lastRowLastColumn="0"/>
            </w:pPr>
            <w:r w:rsidRPr="00E97A3C">
              <w:t>Engagement with relevant support services</w:t>
            </w:r>
          </w:p>
        </w:tc>
        <w:tc>
          <w:tcPr>
            <w:tcW w:w="1341" w:type="dxa"/>
            <w:noWrap/>
            <w:hideMark/>
          </w:tcPr>
          <w:p w14:paraId="1FDDE5F6" w14:textId="512391A5" w:rsidR="005661B4" w:rsidRPr="007A1075" w:rsidRDefault="005661B4" w:rsidP="005661B4">
            <w:pPr>
              <w:pStyle w:val="TableText"/>
              <w:cnfStyle w:val="000000000000" w:firstRow="0" w:lastRow="0" w:firstColumn="0" w:lastColumn="0" w:oddVBand="0" w:evenVBand="0" w:oddHBand="0" w:evenHBand="0" w:firstRowFirstColumn="0" w:firstRowLastColumn="0" w:lastRowFirstColumn="0" w:lastRowLastColumn="0"/>
            </w:pPr>
            <w:r w:rsidRPr="00E97A3C">
              <w:t>0.9</w:t>
            </w:r>
          </w:p>
        </w:tc>
        <w:tc>
          <w:tcPr>
            <w:tcW w:w="1439" w:type="dxa"/>
            <w:noWrap/>
            <w:hideMark/>
          </w:tcPr>
          <w:p w14:paraId="1ECBCDAF" w14:textId="33A552EC" w:rsidR="005661B4" w:rsidRPr="007A1075" w:rsidRDefault="005661B4" w:rsidP="005661B4">
            <w:pPr>
              <w:pStyle w:val="TableText"/>
              <w:cnfStyle w:val="000000000000" w:firstRow="0" w:lastRow="0" w:firstColumn="0" w:lastColumn="0" w:oddVBand="0" w:evenVBand="0" w:oddHBand="0" w:evenHBand="0" w:firstRowFirstColumn="0" w:firstRowLastColumn="0" w:lastRowFirstColumn="0" w:lastRowLastColumn="0"/>
            </w:pPr>
            <w:r w:rsidRPr="00E97A3C">
              <w:t>252994</w:t>
            </w:r>
          </w:p>
        </w:tc>
        <w:tc>
          <w:tcPr>
            <w:tcW w:w="1123" w:type="dxa"/>
            <w:noWrap/>
            <w:hideMark/>
          </w:tcPr>
          <w:p w14:paraId="0B9E78B6" w14:textId="1060D4EB" w:rsidR="005661B4" w:rsidRPr="007A1075" w:rsidRDefault="005661B4" w:rsidP="005661B4">
            <w:pPr>
              <w:pStyle w:val="TableText"/>
              <w:cnfStyle w:val="000000000000" w:firstRow="0" w:lastRow="0" w:firstColumn="0" w:lastColumn="0" w:oddVBand="0" w:evenVBand="0" w:oddHBand="0" w:evenHBand="0" w:firstRowFirstColumn="0" w:firstRowLastColumn="0" w:lastRowFirstColumn="0" w:lastRowLastColumn="0"/>
            </w:pPr>
            <w:r w:rsidRPr="00E97A3C">
              <w:t>2</w:t>
            </w:r>
            <w:r>
              <w:t>,</w:t>
            </w:r>
            <w:r w:rsidRPr="00E97A3C">
              <w:t>172</w:t>
            </w:r>
          </w:p>
        </w:tc>
        <w:tc>
          <w:tcPr>
            <w:tcW w:w="1123" w:type="dxa"/>
            <w:noWrap/>
            <w:hideMark/>
          </w:tcPr>
          <w:p w14:paraId="59899231" w14:textId="29331C3A" w:rsidR="005661B4" w:rsidRPr="007A1075" w:rsidRDefault="005661B4" w:rsidP="005661B4">
            <w:pPr>
              <w:pStyle w:val="TableText"/>
              <w:cnfStyle w:val="000000000000" w:firstRow="0" w:lastRow="0" w:firstColumn="0" w:lastColumn="0" w:oddVBand="0" w:evenVBand="0" w:oddHBand="0" w:evenHBand="0" w:firstRowFirstColumn="0" w:firstRowLastColumn="0" w:lastRowFirstColumn="0" w:lastRowLastColumn="0"/>
            </w:pPr>
            <w:r w:rsidRPr="00E97A3C">
              <w:t>&lt;.001</w:t>
            </w:r>
          </w:p>
        </w:tc>
        <w:tc>
          <w:tcPr>
            <w:tcW w:w="1403" w:type="dxa"/>
            <w:noWrap/>
            <w:hideMark/>
          </w:tcPr>
          <w:p w14:paraId="0DBA44DC" w14:textId="615A5537" w:rsidR="005661B4" w:rsidRPr="007A1075" w:rsidRDefault="005661B4" w:rsidP="005661B4">
            <w:pPr>
              <w:pStyle w:val="TableText"/>
              <w:cnfStyle w:val="000000000000" w:firstRow="0" w:lastRow="0" w:firstColumn="0" w:lastColumn="0" w:oddVBand="0" w:evenVBand="0" w:oddHBand="0" w:evenHBand="0" w:firstRowFirstColumn="0" w:firstRowLastColumn="0" w:lastRowFirstColumn="0" w:lastRowLastColumn="0"/>
            </w:pPr>
            <w:r w:rsidRPr="00E97A3C">
              <w:t>58.1% (n=1</w:t>
            </w:r>
            <w:r>
              <w:t>,</w:t>
            </w:r>
            <w:r w:rsidRPr="00E97A3C">
              <w:t>263)</w:t>
            </w:r>
          </w:p>
        </w:tc>
      </w:tr>
    </w:tbl>
    <w:p w14:paraId="313F95B8" w14:textId="6D591133" w:rsidR="009346A9" w:rsidRDefault="00DD5451" w:rsidP="00DD5451">
      <w:pPr>
        <w:rPr>
          <w:i/>
          <w:sz w:val="20"/>
          <w:szCs w:val="18"/>
        </w:rPr>
      </w:pPr>
      <w:r>
        <w:rPr>
          <w:i/>
          <w:sz w:val="20"/>
          <w:szCs w:val="18"/>
        </w:rPr>
        <w:t xml:space="preserve">Source: DEX-SCORE data </w:t>
      </w:r>
    </w:p>
    <w:p w14:paraId="63EF621A" w14:textId="77777777" w:rsidR="00BE3916" w:rsidRDefault="00BE3916" w:rsidP="15DD266E">
      <w:pPr>
        <w:rPr>
          <w:i/>
          <w:sz w:val="20"/>
          <w:szCs w:val="18"/>
        </w:rPr>
      </w:pPr>
    </w:p>
    <w:p w14:paraId="1A67901D" w14:textId="77777777" w:rsidR="00BE3916" w:rsidRDefault="00BE3916" w:rsidP="15DD266E">
      <w:pPr>
        <w:rPr>
          <w:i/>
          <w:sz w:val="20"/>
          <w:szCs w:val="18"/>
        </w:rPr>
      </w:pPr>
    </w:p>
    <w:p w14:paraId="0900765D" w14:textId="77777777" w:rsidR="00BE3916" w:rsidRDefault="00BE3916" w:rsidP="15DD266E">
      <w:pPr>
        <w:rPr>
          <w:i/>
          <w:sz w:val="20"/>
          <w:szCs w:val="18"/>
        </w:rPr>
      </w:pPr>
    </w:p>
    <w:p w14:paraId="4B6635D5" w14:textId="77777777" w:rsidR="00BE3916" w:rsidRDefault="00BE3916" w:rsidP="15DD266E">
      <w:pPr>
        <w:rPr>
          <w:i/>
          <w:sz w:val="20"/>
          <w:szCs w:val="18"/>
        </w:rPr>
      </w:pPr>
    </w:p>
    <w:p w14:paraId="26960199" w14:textId="77777777" w:rsidR="00BC3586" w:rsidRDefault="00BC3586" w:rsidP="15DD266E">
      <w:pPr>
        <w:rPr>
          <w:i/>
          <w:sz w:val="20"/>
          <w:szCs w:val="18"/>
        </w:rPr>
      </w:pPr>
    </w:p>
    <w:p w14:paraId="0CF6D9C4" w14:textId="77777777" w:rsidR="00BC3586" w:rsidRDefault="00BC3586" w:rsidP="15DD266E">
      <w:pPr>
        <w:rPr>
          <w:i/>
          <w:sz w:val="20"/>
          <w:szCs w:val="18"/>
        </w:rPr>
      </w:pPr>
    </w:p>
    <w:p w14:paraId="0E9907ED" w14:textId="77777777" w:rsidR="00BC3586" w:rsidRDefault="00BC3586" w:rsidP="15DD266E">
      <w:pPr>
        <w:rPr>
          <w:i/>
          <w:sz w:val="20"/>
          <w:szCs w:val="18"/>
        </w:rPr>
      </w:pPr>
    </w:p>
    <w:p w14:paraId="4BF76086" w14:textId="77777777" w:rsidR="00BC3586" w:rsidRDefault="00BC3586" w:rsidP="15DD266E">
      <w:pPr>
        <w:rPr>
          <w:i/>
          <w:sz w:val="20"/>
          <w:szCs w:val="18"/>
        </w:rPr>
      </w:pPr>
    </w:p>
    <w:p w14:paraId="41714B62" w14:textId="77777777" w:rsidR="00BC3586" w:rsidRDefault="00BC3586" w:rsidP="15DD266E">
      <w:pPr>
        <w:rPr>
          <w:i/>
          <w:sz w:val="20"/>
          <w:szCs w:val="18"/>
        </w:rPr>
      </w:pPr>
    </w:p>
    <w:p w14:paraId="1F5A8BAB" w14:textId="77777777" w:rsidR="00AD0226" w:rsidRPr="00DD5451" w:rsidRDefault="00AD0226" w:rsidP="15DD266E">
      <w:pPr>
        <w:rPr>
          <w:rFonts w:ascii="Arial" w:eastAsia="Aptos" w:hAnsi="Arial" w:cs="Arial"/>
          <w:sz w:val="20"/>
        </w:rPr>
      </w:pPr>
    </w:p>
    <w:p w14:paraId="74655328" w14:textId="180ADD5B" w:rsidR="007611DA" w:rsidRPr="00925CD2" w:rsidRDefault="007611DA" w:rsidP="007611DA">
      <w:pPr>
        <w:pStyle w:val="TableFigure-Header"/>
        <w:rPr>
          <w:rStyle w:val="Text-Bold"/>
          <w:b/>
          <w:sz w:val="22"/>
          <w:szCs w:val="22"/>
          <w:lang w:val="en-NZ"/>
        </w:rPr>
      </w:pPr>
      <w:bookmarkStart w:id="603" w:name="_Ref204604629"/>
      <w:r w:rsidRPr="7349D423">
        <w:rPr>
          <w:rStyle w:val="Text-Bold"/>
          <w:b/>
          <w:sz w:val="22"/>
          <w:szCs w:val="22"/>
          <w:lang w:val="en-NZ"/>
        </w:rPr>
        <w:lastRenderedPageBreak/>
        <w:t xml:space="preserve">Table </w:t>
      </w:r>
      <w:r w:rsidRPr="00925CD2">
        <w:rPr>
          <w:rStyle w:val="Text-Bold"/>
          <w:b/>
          <w:sz w:val="22"/>
          <w:szCs w:val="22"/>
        </w:rPr>
        <w:fldChar w:fldCharType="begin"/>
      </w:r>
      <w:r>
        <w:instrText xml:space="preserve"> SEQ Table \* ARABIC </w:instrText>
      </w:r>
      <w:r w:rsidRPr="00925CD2">
        <w:rPr>
          <w:rStyle w:val="Text-Bold"/>
          <w:b/>
          <w:sz w:val="22"/>
          <w:szCs w:val="22"/>
        </w:rPr>
        <w:fldChar w:fldCharType="separate"/>
      </w:r>
      <w:r w:rsidR="008D2566">
        <w:rPr>
          <w:noProof/>
        </w:rPr>
        <w:t>60</w:t>
      </w:r>
      <w:r w:rsidRPr="00925CD2">
        <w:rPr>
          <w:rStyle w:val="Text-Bold"/>
          <w:b/>
          <w:sz w:val="22"/>
          <w:szCs w:val="22"/>
        </w:rPr>
        <w:fldChar w:fldCharType="end"/>
      </w:r>
      <w:bookmarkEnd w:id="603"/>
      <w:r w:rsidRPr="7349D423">
        <w:rPr>
          <w:rStyle w:val="Text-Bold"/>
          <w:b/>
          <w:sz w:val="22"/>
          <w:szCs w:val="22"/>
          <w:lang w:val="en-NZ"/>
        </w:rPr>
        <w:t xml:space="preserve">: Mean earliest-to-latest SCORE change (within-subjects) by disability status, SFVS </w:t>
      </w:r>
      <w:r w:rsidR="00E614D3" w:rsidRPr="7349D423">
        <w:rPr>
          <w:rStyle w:val="Text-Bold"/>
          <w:b/>
          <w:sz w:val="22"/>
          <w:szCs w:val="22"/>
          <w:lang w:val="en-NZ"/>
        </w:rPr>
        <w:t>service users</w:t>
      </w:r>
      <w:r w:rsidR="00811E31" w:rsidRPr="00811E31">
        <w:rPr>
          <w:rStyle w:val="Text-Bold"/>
          <w:b/>
          <w:szCs w:val="21"/>
          <w:lang w:val="en-NZ"/>
        </w:rPr>
        <w:t>, July 2021 to June 2024</w:t>
      </w:r>
    </w:p>
    <w:tbl>
      <w:tblPr>
        <w:tblStyle w:val="ListTable3-Accent3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6"/>
        <w:gridCol w:w="1352"/>
        <w:gridCol w:w="1674"/>
        <w:gridCol w:w="3396"/>
        <w:gridCol w:w="1333"/>
        <w:gridCol w:w="1559"/>
        <w:gridCol w:w="1134"/>
        <w:gridCol w:w="992"/>
        <w:gridCol w:w="1418"/>
      </w:tblGrid>
      <w:tr w:rsidR="00AB4B83" w:rsidRPr="007A1075" w14:paraId="0C87F829" w14:textId="77777777" w:rsidTr="0078378F">
        <w:trPr>
          <w:cnfStyle w:val="100000000000" w:firstRow="1" w:lastRow="0" w:firstColumn="0" w:lastColumn="0" w:oddVBand="0" w:evenVBand="0" w:oddHBand="0" w:evenHBand="0" w:firstRowFirstColumn="0" w:firstRowLastColumn="0" w:lastRowFirstColumn="0" w:lastRowLastColumn="0"/>
          <w:trHeight w:val="870"/>
        </w:trPr>
        <w:tc>
          <w:tcPr>
            <w:cnfStyle w:val="001000000100" w:firstRow="0" w:lastRow="0" w:firstColumn="1" w:lastColumn="0" w:oddVBand="0" w:evenVBand="0" w:oddHBand="0" w:evenHBand="0" w:firstRowFirstColumn="1" w:firstRowLastColumn="0" w:lastRowFirstColumn="0" w:lastRowLastColumn="0"/>
            <w:tcW w:w="1086" w:type="dxa"/>
            <w:tcBorders>
              <w:bottom w:val="none" w:sz="0" w:space="0" w:color="auto"/>
              <w:right w:val="none" w:sz="0" w:space="0" w:color="auto"/>
            </w:tcBorders>
            <w:hideMark/>
          </w:tcPr>
          <w:p w14:paraId="558357EA" w14:textId="77777777" w:rsidR="00AB4B83" w:rsidRPr="007A1075" w:rsidRDefault="00AB4B83" w:rsidP="00321BC5">
            <w:pPr>
              <w:pStyle w:val="TableText"/>
              <w:rPr>
                <w:bCs w:val="0"/>
              </w:rPr>
            </w:pPr>
            <w:r w:rsidRPr="007A1075">
              <w:t>Activity</w:t>
            </w:r>
          </w:p>
        </w:tc>
        <w:tc>
          <w:tcPr>
            <w:tcW w:w="1352" w:type="dxa"/>
            <w:hideMark/>
          </w:tcPr>
          <w:p w14:paraId="2AD0919D" w14:textId="77777777" w:rsidR="00AB4B83" w:rsidRPr="007A1075" w:rsidRDefault="00AB4B83" w:rsidP="00321BC5">
            <w:pPr>
              <w:pStyle w:val="TableText"/>
              <w:cnfStyle w:val="100000000000" w:firstRow="1" w:lastRow="0" w:firstColumn="0" w:lastColumn="0" w:oddVBand="0" w:evenVBand="0" w:oddHBand="0" w:evenHBand="0" w:firstRowFirstColumn="0" w:firstRowLastColumn="0" w:lastRowFirstColumn="0" w:lastRowLastColumn="0"/>
              <w:rPr>
                <w:bCs w:val="0"/>
              </w:rPr>
            </w:pPr>
            <w:r w:rsidRPr="007A1075">
              <w:t>Cohort</w:t>
            </w:r>
          </w:p>
        </w:tc>
        <w:tc>
          <w:tcPr>
            <w:tcW w:w="1674" w:type="dxa"/>
            <w:hideMark/>
          </w:tcPr>
          <w:p w14:paraId="1E6EF334" w14:textId="77777777" w:rsidR="00AB4B83" w:rsidRPr="007A1075" w:rsidRDefault="00AB4B83" w:rsidP="00321BC5">
            <w:pPr>
              <w:pStyle w:val="TableText"/>
              <w:cnfStyle w:val="100000000000" w:firstRow="1" w:lastRow="0" w:firstColumn="0" w:lastColumn="0" w:oddVBand="0" w:evenVBand="0" w:oddHBand="0" w:evenHBand="0" w:firstRowFirstColumn="0" w:firstRowLastColumn="0" w:lastRowFirstColumn="0" w:lastRowLastColumn="0"/>
              <w:rPr>
                <w:bCs w:val="0"/>
              </w:rPr>
            </w:pPr>
            <w:r w:rsidRPr="007A1075">
              <w:t>Outcome type</w:t>
            </w:r>
          </w:p>
        </w:tc>
        <w:tc>
          <w:tcPr>
            <w:tcW w:w="3396" w:type="dxa"/>
            <w:noWrap/>
            <w:hideMark/>
          </w:tcPr>
          <w:p w14:paraId="2174CA17" w14:textId="77777777" w:rsidR="00AB4B83" w:rsidRPr="007A1075" w:rsidRDefault="00AB4B83" w:rsidP="00321BC5">
            <w:pPr>
              <w:pStyle w:val="TableText"/>
              <w:cnfStyle w:val="100000000000" w:firstRow="1" w:lastRow="0" w:firstColumn="0" w:lastColumn="0" w:oddVBand="0" w:evenVBand="0" w:oddHBand="0" w:evenHBand="0" w:firstRowFirstColumn="0" w:firstRowLastColumn="0" w:lastRowFirstColumn="0" w:lastRowLastColumn="0"/>
              <w:rPr>
                <w:bCs w:val="0"/>
              </w:rPr>
            </w:pPr>
            <w:r w:rsidRPr="007A1075">
              <w:t>Domain</w:t>
            </w:r>
          </w:p>
        </w:tc>
        <w:tc>
          <w:tcPr>
            <w:tcW w:w="1333" w:type="dxa"/>
            <w:hideMark/>
          </w:tcPr>
          <w:p w14:paraId="187990AD" w14:textId="77777777" w:rsidR="00AB4B83" w:rsidRPr="007A1075" w:rsidRDefault="00AB4B83" w:rsidP="00321BC5">
            <w:pPr>
              <w:pStyle w:val="TableText"/>
              <w:cnfStyle w:val="100000000000" w:firstRow="1" w:lastRow="0" w:firstColumn="0" w:lastColumn="0" w:oddVBand="0" w:evenVBand="0" w:oddHBand="0" w:evenHBand="0" w:firstRowFirstColumn="0" w:firstRowLastColumn="0" w:lastRowFirstColumn="0" w:lastRowLastColumn="0"/>
              <w:rPr>
                <w:bCs w:val="0"/>
              </w:rPr>
            </w:pPr>
            <w:r w:rsidRPr="007A1075">
              <w:t>SCORE change (mean)</w:t>
            </w:r>
          </w:p>
        </w:tc>
        <w:tc>
          <w:tcPr>
            <w:tcW w:w="1559" w:type="dxa"/>
            <w:noWrap/>
            <w:hideMark/>
          </w:tcPr>
          <w:p w14:paraId="0AAFF8CB" w14:textId="77777777" w:rsidR="00AB4B83" w:rsidRPr="007A1075" w:rsidRDefault="00AB4B83" w:rsidP="00321BC5">
            <w:pPr>
              <w:pStyle w:val="TableText"/>
              <w:cnfStyle w:val="100000000000" w:firstRow="1" w:lastRow="0" w:firstColumn="0" w:lastColumn="0" w:oddVBand="0" w:evenVBand="0" w:oddHBand="0" w:evenHBand="0" w:firstRowFirstColumn="0" w:firstRowLastColumn="0" w:lastRowFirstColumn="0" w:lastRowLastColumn="0"/>
              <w:rPr>
                <w:bCs w:val="0"/>
              </w:rPr>
            </w:pPr>
            <w:r w:rsidRPr="007A1075">
              <w:t>Wilcoxon</w:t>
            </w:r>
          </w:p>
        </w:tc>
        <w:tc>
          <w:tcPr>
            <w:tcW w:w="1134" w:type="dxa"/>
            <w:noWrap/>
            <w:hideMark/>
          </w:tcPr>
          <w:p w14:paraId="1BE84336" w14:textId="77777777" w:rsidR="00AB4B83" w:rsidRPr="007A1075" w:rsidRDefault="00AB4B83" w:rsidP="00321BC5">
            <w:pPr>
              <w:pStyle w:val="TableText"/>
              <w:cnfStyle w:val="100000000000" w:firstRow="1" w:lastRow="0" w:firstColumn="0" w:lastColumn="0" w:oddVBand="0" w:evenVBand="0" w:oddHBand="0" w:evenHBand="0" w:firstRowFirstColumn="0" w:firstRowLastColumn="0" w:lastRowFirstColumn="0" w:lastRowLastColumn="0"/>
              <w:rPr>
                <w:bCs w:val="0"/>
              </w:rPr>
            </w:pPr>
            <w:r w:rsidRPr="007A1075">
              <w:t>n</w:t>
            </w:r>
          </w:p>
        </w:tc>
        <w:tc>
          <w:tcPr>
            <w:tcW w:w="992" w:type="dxa"/>
            <w:noWrap/>
            <w:hideMark/>
          </w:tcPr>
          <w:p w14:paraId="386742B0" w14:textId="77777777" w:rsidR="00AB4B83" w:rsidRPr="007A1075" w:rsidRDefault="00AB4B83" w:rsidP="00321BC5">
            <w:pPr>
              <w:pStyle w:val="TableText"/>
              <w:cnfStyle w:val="100000000000" w:firstRow="1" w:lastRow="0" w:firstColumn="0" w:lastColumn="0" w:oddVBand="0" w:evenVBand="0" w:oddHBand="0" w:evenHBand="0" w:firstRowFirstColumn="0" w:firstRowLastColumn="0" w:lastRowFirstColumn="0" w:lastRowLastColumn="0"/>
              <w:rPr>
                <w:bCs w:val="0"/>
              </w:rPr>
            </w:pPr>
            <w:r w:rsidRPr="007A1075">
              <w:t>p</w:t>
            </w:r>
          </w:p>
        </w:tc>
        <w:tc>
          <w:tcPr>
            <w:tcW w:w="1418" w:type="dxa"/>
            <w:hideMark/>
          </w:tcPr>
          <w:p w14:paraId="6C762C22" w14:textId="0CCF7FF3" w:rsidR="00AB4B83" w:rsidRPr="007A1075" w:rsidRDefault="005661B4" w:rsidP="00321BC5">
            <w:pPr>
              <w:pStyle w:val="TableText"/>
              <w:cnfStyle w:val="100000000000" w:firstRow="1" w:lastRow="0" w:firstColumn="0" w:lastColumn="0" w:oddVBand="0" w:evenVBand="0" w:oddHBand="0" w:evenHBand="0" w:firstRowFirstColumn="0" w:firstRowLastColumn="0" w:lastRowFirstColumn="0" w:lastRowLastColumn="0"/>
              <w:rPr>
                <w:bCs w:val="0"/>
              </w:rPr>
            </w:pPr>
            <w:r>
              <w:t>Service users</w:t>
            </w:r>
            <w:r w:rsidR="00AB4B83" w:rsidRPr="007A1075">
              <w:t xml:space="preserve"> with positive change (%, n)</w:t>
            </w:r>
          </w:p>
        </w:tc>
      </w:tr>
      <w:tr w:rsidR="00AB4B83" w:rsidRPr="007A1075" w14:paraId="57C8F647" w14:textId="77777777" w:rsidTr="0078378F">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086" w:type="dxa"/>
            <w:vMerge w:val="restart"/>
            <w:tcBorders>
              <w:top w:val="none" w:sz="0" w:space="0" w:color="auto"/>
              <w:bottom w:val="none" w:sz="0" w:space="0" w:color="auto"/>
              <w:right w:val="none" w:sz="0" w:space="0" w:color="auto"/>
            </w:tcBorders>
            <w:hideMark/>
          </w:tcPr>
          <w:p w14:paraId="5747EE45" w14:textId="30226769" w:rsidR="00AB4B83" w:rsidRPr="00811E31" w:rsidRDefault="00AB4B83" w:rsidP="00321BC5">
            <w:pPr>
              <w:pStyle w:val="TableText"/>
              <w:rPr>
                <w:b w:val="0"/>
                <w:bCs w:val="0"/>
              </w:rPr>
            </w:pPr>
            <w:r w:rsidRPr="00811E31">
              <w:rPr>
                <w:b w:val="0"/>
                <w:bCs w:val="0"/>
              </w:rPr>
              <w:t>SFVS (incl. 4AP</w:t>
            </w:r>
            <w:r w:rsidR="00E91A9D" w:rsidRPr="00811E31">
              <w:rPr>
                <w:b w:val="0"/>
                <w:bCs w:val="0"/>
              </w:rPr>
              <w:t>2</w:t>
            </w:r>
            <w:r w:rsidRPr="00811E31">
              <w:rPr>
                <w:b w:val="0"/>
                <w:bCs w:val="0"/>
              </w:rPr>
              <w:t>)</w:t>
            </w:r>
          </w:p>
        </w:tc>
        <w:tc>
          <w:tcPr>
            <w:tcW w:w="1352" w:type="dxa"/>
            <w:vMerge w:val="restart"/>
            <w:tcBorders>
              <w:top w:val="none" w:sz="0" w:space="0" w:color="auto"/>
              <w:bottom w:val="none" w:sz="0" w:space="0" w:color="auto"/>
            </w:tcBorders>
            <w:hideMark/>
          </w:tcPr>
          <w:p w14:paraId="7D8CC1CD" w14:textId="77777777" w:rsidR="00AB4B83" w:rsidRPr="007A1075" w:rsidRDefault="00AB4B83" w:rsidP="00321BC5">
            <w:pPr>
              <w:pStyle w:val="TableText"/>
              <w:cnfStyle w:val="000000100000" w:firstRow="0" w:lastRow="0" w:firstColumn="0" w:lastColumn="0" w:oddVBand="0" w:evenVBand="0" w:oddHBand="1" w:evenHBand="0" w:firstRowFirstColumn="0" w:firstRowLastColumn="0" w:lastRowFirstColumn="0" w:lastRowLastColumn="0"/>
            </w:pPr>
            <w:r w:rsidRPr="007A1075">
              <w:t>Persons without (or unknown) disabilities</w:t>
            </w:r>
          </w:p>
        </w:tc>
        <w:tc>
          <w:tcPr>
            <w:tcW w:w="1674" w:type="dxa"/>
            <w:vMerge w:val="restart"/>
            <w:tcBorders>
              <w:top w:val="none" w:sz="0" w:space="0" w:color="auto"/>
              <w:bottom w:val="none" w:sz="0" w:space="0" w:color="auto"/>
            </w:tcBorders>
            <w:hideMark/>
          </w:tcPr>
          <w:p w14:paraId="1BF3D587" w14:textId="77777777" w:rsidR="00AB4B83" w:rsidRPr="007A1075" w:rsidRDefault="00AB4B83" w:rsidP="00321BC5">
            <w:pPr>
              <w:pStyle w:val="TableText"/>
              <w:cnfStyle w:val="000000100000" w:firstRow="0" w:lastRow="0" w:firstColumn="0" w:lastColumn="0" w:oddVBand="0" w:evenVBand="0" w:oddHBand="1" w:evenHBand="0" w:firstRowFirstColumn="0" w:firstRowLastColumn="0" w:lastRowFirstColumn="0" w:lastRowLastColumn="0"/>
            </w:pPr>
            <w:r w:rsidRPr="007A1075">
              <w:t>Circumstances</w:t>
            </w:r>
          </w:p>
        </w:tc>
        <w:tc>
          <w:tcPr>
            <w:tcW w:w="3396" w:type="dxa"/>
            <w:tcBorders>
              <w:top w:val="none" w:sz="0" w:space="0" w:color="auto"/>
              <w:bottom w:val="none" w:sz="0" w:space="0" w:color="auto"/>
            </w:tcBorders>
            <w:noWrap/>
            <w:hideMark/>
          </w:tcPr>
          <w:p w14:paraId="74535FDA" w14:textId="77777777" w:rsidR="00AB4B83" w:rsidRPr="007A1075" w:rsidRDefault="00AB4B83" w:rsidP="00321BC5">
            <w:pPr>
              <w:pStyle w:val="TableText"/>
              <w:cnfStyle w:val="000000100000" w:firstRow="0" w:lastRow="0" w:firstColumn="0" w:lastColumn="0" w:oddVBand="0" w:evenVBand="0" w:oddHBand="1" w:evenHBand="0" w:firstRowFirstColumn="0" w:firstRowLastColumn="0" w:lastRowFirstColumn="0" w:lastRowLastColumn="0"/>
            </w:pPr>
            <w:r w:rsidRPr="007A1075">
              <w:t>Family functioning</w:t>
            </w:r>
          </w:p>
        </w:tc>
        <w:tc>
          <w:tcPr>
            <w:tcW w:w="1333" w:type="dxa"/>
            <w:tcBorders>
              <w:top w:val="none" w:sz="0" w:space="0" w:color="auto"/>
              <w:bottom w:val="none" w:sz="0" w:space="0" w:color="auto"/>
            </w:tcBorders>
            <w:noWrap/>
            <w:hideMark/>
          </w:tcPr>
          <w:p w14:paraId="3D9116CC" w14:textId="77777777" w:rsidR="00AB4B83" w:rsidRPr="007A1075" w:rsidRDefault="00AB4B83" w:rsidP="00321BC5">
            <w:pPr>
              <w:pStyle w:val="TableText"/>
              <w:cnfStyle w:val="000000100000" w:firstRow="0" w:lastRow="0" w:firstColumn="0" w:lastColumn="0" w:oddVBand="0" w:evenVBand="0" w:oddHBand="1" w:evenHBand="0" w:firstRowFirstColumn="0" w:firstRowLastColumn="0" w:lastRowFirstColumn="0" w:lastRowLastColumn="0"/>
            </w:pPr>
            <w:r w:rsidRPr="007A1075">
              <w:t>0.8</w:t>
            </w:r>
          </w:p>
        </w:tc>
        <w:tc>
          <w:tcPr>
            <w:tcW w:w="1559" w:type="dxa"/>
            <w:tcBorders>
              <w:top w:val="none" w:sz="0" w:space="0" w:color="auto"/>
              <w:bottom w:val="none" w:sz="0" w:space="0" w:color="auto"/>
            </w:tcBorders>
            <w:noWrap/>
            <w:hideMark/>
          </w:tcPr>
          <w:p w14:paraId="02245978" w14:textId="77777777" w:rsidR="00AB4B83" w:rsidRPr="007A1075" w:rsidRDefault="00AB4B83" w:rsidP="00321BC5">
            <w:pPr>
              <w:pStyle w:val="TableText"/>
              <w:cnfStyle w:val="000000100000" w:firstRow="0" w:lastRow="0" w:firstColumn="0" w:lastColumn="0" w:oddVBand="0" w:evenVBand="0" w:oddHBand="1" w:evenHBand="0" w:firstRowFirstColumn="0" w:firstRowLastColumn="0" w:lastRowFirstColumn="0" w:lastRowLastColumn="0"/>
            </w:pPr>
            <w:r w:rsidRPr="007A1075">
              <w:t>1092166</w:t>
            </w:r>
          </w:p>
        </w:tc>
        <w:tc>
          <w:tcPr>
            <w:tcW w:w="1134" w:type="dxa"/>
            <w:tcBorders>
              <w:top w:val="none" w:sz="0" w:space="0" w:color="auto"/>
              <w:bottom w:val="none" w:sz="0" w:space="0" w:color="auto"/>
            </w:tcBorders>
            <w:noWrap/>
            <w:hideMark/>
          </w:tcPr>
          <w:p w14:paraId="4788FD67" w14:textId="70A487FC" w:rsidR="00AB4B83" w:rsidRPr="007A1075" w:rsidRDefault="00AB4B83" w:rsidP="00321BC5">
            <w:pPr>
              <w:pStyle w:val="TableText"/>
              <w:cnfStyle w:val="000000100000" w:firstRow="0" w:lastRow="0" w:firstColumn="0" w:lastColumn="0" w:oddVBand="0" w:evenVBand="0" w:oddHBand="1" w:evenHBand="0" w:firstRowFirstColumn="0" w:firstRowLastColumn="0" w:lastRowFirstColumn="0" w:lastRowLastColumn="0"/>
            </w:pPr>
            <w:r w:rsidRPr="007A1075">
              <w:t>4</w:t>
            </w:r>
            <w:r w:rsidR="006644D9">
              <w:t>,</w:t>
            </w:r>
            <w:r w:rsidRPr="007A1075">
              <w:t>675</w:t>
            </w:r>
          </w:p>
        </w:tc>
        <w:tc>
          <w:tcPr>
            <w:tcW w:w="992" w:type="dxa"/>
            <w:tcBorders>
              <w:top w:val="none" w:sz="0" w:space="0" w:color="auto"/>
              <w:bottom w:val="none" w:sz="0" w:space="0" w:color="auto"/>
            </w:tcBorders>
            <w:noWrap/>
            <w:hideMark/>
          </w:tcPr>
          <w:p w14:paraId="6D6E23B9" w14:textId="77777777" w:rsidR="00AB4B83" w:rsidRPr="007A1075" w:rsidRDefault="00AB4B83" w:rsidP="00321BC5">
            <w:pPr>
              <w:pStyle w:val="TableText"/>
              <w:cnfStyle w:val="000000100000" w:firstRow="0" w:lastRow="0" w:firstColumn="0" w:lastColumn="0" w:oddVBand="0" w:evenVBand="0" w:oddHBand="1" w:evenHBand="0" w:firstRowFirstColumn="0" w:firstRowLastColumn="0" w:lastRowFirstColumn="0" w:lastRowLastColumn="0"/>
            </w:pPr>
            <w:r w:rsidRPr="007A1075">
              <w:t>&lt;.001</w:t>
            </w:r>
          </w:p>
        </w:tc>
        <w:tc>
          <w:tcPr>
            <w:tcW w:w="1418" w:type="dxa"/>
            <w:tcBorders>
              <w:top w:val="none" w:sz="0" w:space="0" w:color="auto"/>
              <w:bottom w:val="none" w:sz="0" w:space="0" w:color="auto"/>
            </w:tcBorders>
            <w:noWrap/>
            <w:hideMark/>
          </w:tcPr>
          <w:p w14:paraId="355D4FBE" w14:textId="4334DA22" w:rsidR="00AB4B83" w:rsidRPr="007A1075" w:rsidRDefault="00AB4B83" w:rsidP="00321BC5">
            <w:pPr>
              <w:pStyle w:val="TableText"/>
              <w:cnfStyle w:val="000000100000" w:firstRow="0" w:lastRow="0" w:firstColumn="0" w:lastColumn="0" w:oddVBand="0" w:evenVBand="0" w:oddHBand="1" w:evenHBand="0" w:firstRowFirstColumn="0" w:firstRowLastColumn="0" w:lastRowFirstColumn="0" w:lastRowLastColumn="0"/>
            </w:pPr>
            <w:r w:rsidRPr="007A1075">
              <w:t>55.3% (n=2</w:t>
            </w:r>
            <w:r>
              <w:t>,</w:t>
            </w:r>
            <w:r w:rsidRPr="007A1075">
              <w:t>585)</w:t>
            </w:r>
          </w:p>
        </w:tc>
      </w:tr>
      <w:tr w:rsidR="00AB4B83" w:rsidRPr="007A1075" w14:paraId="4B2A0813" w14:textId="77777777" w:rsidTr="0078378F">
        <w:trPr>
          <w:trHeight w:val="290"/>
        </w:trPr>
        <w:tc>
          <w:tcPr>
            <w:cnfStyle w:val="001000000000" w:firstRow="0" w:lastRow="0" w:firstColumn="1" w:lastColumn="0" w:oddVBand="0" w:evenVBand="0" w:oddHBand="0" w:evenHBand="0" w:firstRowFirstColumn="0" w:firstRowLastColumn="0" w:lastRowFirstColumn="0" w:lastRowLastColumn="0"/>
            <w:tcW w:w="1086" w:type="dxa"/>
            <w:vMerge/>
            <w:tcBorders>
              <w:right w:val="none" w:sz="0" w:space="0" w:color="auto"/>
            </w:tcBorders>
            <w:hideMark/>
          </w:tcPr>
          <w:p w14:paraId="539CDBDB" w14:textId="77777777" w:rsidR="00AB4B83" w:rsidRPr="007A1075" w:rsidRDefault="00AB4B83" w:rsidP="00321BC5">
            <w:pPr>
              <w:pStyle w:val="TableText"/>
            </w:pPr>
          </w:p>
        </w:tc>
        <w:tc>
          <w:tcPr>
            <w:tcW w:w="1352" w:type="dxa"/>
            <w:vMerge/>
            <w:hideMark/>
          </w:tcPr>
          <w:p w14:paraId="43AB4723" w14:textId="77777777" w:rsidR="00AB4B83" w:rsidRPr="007A1075" w:rsidRDefault="00AB4B83" w:rsidP="00321BC5">
            <w:pPr>
              <w:pStyle w:val="TableText"/>
              <w:cnfStyle w:val="000000000000" w:firstRow="0" w:lastRow="0" w:firstColumn="0" w:lastColumn="0" w:oddVBand="0" w:evenVBand="0" w:oddHBand="0" w:evenHBand="0" w:firstRowFirstColumn="0" w:firstRowLastColumn="0" w:lastRowFirstColumn="0" w:lastRowLastColumn="0"/>
            </w:pPr>
          </w:p>
        </w:tc>
        <w:tc>
          <w:tcPr>
            <w:tcW w:w="1674" w:type="dxa"/>
            <w:vMerge/>
            <w:hideMark/>
          </w:tcPr>
          <w:p w14:paraId="1CD4D6BE" w14:textId="77777777" w:rsidR="00AB4B83" w:rsidRPr="007A1075" w:rsidRDefault="00AB4B83" w:rsidP="00321BC5">
            <w:pPr>
              <w:pStyle w:val="TableText"/>
              <w:cnfStyle w:val="000000000000" w:firstRow="0" w:lastRow="0" w:firstColumn="0" w:lastColumn="0" w:oddVBand="0" w:evenVBand="0" w:oddHBand="0" w:evenHBand="0" w:firstRowFirstColumn="0" w:firstRowLastColumn="0" w:lastRowFirstColumn="0" w:lastRowLastColumn="0"/>
            </w:pPr>
          </w:p>
        </w:tc>
        <w:tc>
          <w:tcPr>
            <w:tcW w:w="3396" w:type="dxa"/>
            <w:noWrap/>
            <w:hideMark/>
          </w:tcPr>
          <w:p w14:paraId="2C3F0660" w14:textId="77777777" w:rsidR="00AB4B83" w:rsidRPr="007A1075" w:rsidRDefault="00AB4B83" w:rsidP="00321BC5">
            <w:pPr>
              <w:pStyle w:val="TableText"/>
              <w:cnfStyle w:val="000000000000" w:firstRow="0" w:lastRow="0" w:firstColumn="0" w:lastColumn="0" w:oddVBand="0" w:evenVBand="0" w:oddHBand="0" w:evenHBand="0" w:firstRowFirstColumn="0" w:firstRowLastColumn="0" w:lastRowFirstColumn="0" w:lastRowLastColumn="0"/>
            </w:pPr>
            <w:r w:rsidRPr="57F92EFB">
              <w:rPr>
                <w:lang w:val="en-NZ"/>
              </w:rPr>
              <w:t>Mental health, wellbeing and self-care</w:t>
            </w:r>
          </w:p>
        </w:tc>
        <w:tc>
          <w:tcPr>
            <w:tcW w:w="1333" w:type="dxa"/>
            <w:noWrap/>
            <w:hideMark/>
          </w:tcPr>
          <w:p w14:paraId="08E45211" w14:textId="77777777" w:rsidR="00AB4B83" w:rsidRPr="007A1075" w:rsidRDefault="00AB4B83" w:rsidP="00321BC5">
            <w:pPr>
              <w:pStyle w:val="TableText"/>
              <w:cnfStyle w:val="000000000000" w:firstRow="0" w:lastRow="0" w:firstColumn="0" w:lastColumn="0" w:oddVBand="0" w:evenVBand="0" w:oddHBand="0" w:evenHBand="0" w:firstRowFirstColumn="0" w:firstRowLastColumn="0" w:lastRowFirstColumn="0" w:lastRowLastColumn="0"/>
            </w:pPr>
            <w:r w:rsidRPr="007A1075">
              <w:t>0.83</w:t>
            </w:r>
          </w:p>
        </w:tc>
        <w:tc>
          <w:tcPr>
            <w:tcW w:w="1559" w:type="dxa"/>
            <w:noWrap/>
            <w:hideMark/>
          </w:tcPr>
          <w:p w14:paraId="3A2D0AB4" w14:textId="77777777" w:rsidR="00AB4B83" w:rsidRPr="007A1075" w:rsidRDefault="00AB4B83" w:rsidP="00321BC5">
            <w:pPr>
              <w:pStyle w:val="TableText"/>
              <w:cnfStyle w:val="000000000000" w:firstRow="0" w:lastRow="0" w:firstColumn="0" w:lastColumn="0" w:oddVBand="0" w:evenVBand="0" w:oddHBand="0" w:evenHBand="0" w:firstRowFirstColumn="0" w:firstRowLastColumn="0" w:lastRowFirstColumn="0" w:lastRowLastColumn="0"/>
            </w:pPr>
            <w:r w:rsidRPr="007A1075">
              <w:t>1162895.5</w:t>
            </w:r>
          </w:p>
        </w:tc>
        <w:tc>
          <w:tcPr>
            <w:tcW w:w="1134" w:type="dxa"/>
            <w:noWrap/>
            <w:hideMark/>
          </w:tcPr>
          <w:p w14:paraId="6D005B87" w14:textId="3EF217AE" w:rsidR="00AB4B83" w:rsidRPr="007A1075" w:rsidRDefault="00AB4B83" w:rsidP="00321BC5">
            <w:pPr>
              <w:pStyle w:val="TableText"/>
              <w:cnfStyle w:val="000000000000" w:firstRow="0" w:lastRow="0" w:firstColumn="0" w:lastColumn="0" w:oddVBand="0" w:evenVBand="0" w:oddHBand="0" w:evenHBand="0" w:firstRowFirstColumn="0" w:firstRowLastColumn="0" w:lastRowFirstColumn="0" w:lastRowLastColumn="0"/>
            </w:pPr>
            <w:r w:rsidRPr="007A1075">
              <w:t>4</w:t>
            </w:r>
            <w:r w:rsidR="006644D9">
              <w:t>,</w:t>
            </w:r>
            <w:r w:rsidRPr="007A1075">
              <w:t>857</w:t>
            </w:r>
          </w:p>
        </w:tc>
        <w:tc>
          <w:tcPr>
            <w:tcW w:w="992" w:type="dxa"/>
            <w:noWrap/>
            <w:hideMark/>
          </w:tcPr>
          <w:p w14:paraId="41C43677" w14:textId="77777777" w:rsidR="00AB4B83" w:rsidRPr="007A1075" w:rsidRDefault="00AB4B83" w:rsidP="00321BC5">
            <w:pPr>
              <w:pStyle w:val="TableText"/>
              <w:cnfStyle w:val="000000000000" w:firstRow="0" w:lastRow="0" w:firstColumn="0" w:lastColumn="0" w:oddVBand="0" w:evenVBand="0" w:oddHBand="0" w:evenHBand="0" w:firstRowFirstColumn="0" w:firstRowLastColumn="0" w:lastRowFirstColumn="0" w:lastRowLastColumn="0"/>
            </w:pPr>
            <w:r w:rsidRPr="007A1075">
              <w:t>&lt;.001</w:t>
            </w:r>
          </w:p>
        </w:tc>
        <w:tc>
          <w:tcPr>
            <w:tcW w:w="1418" w:type="dxa"/>
            <w:noWrap/>
            <w:hideMark/>
          </w:tcPr>
          <w:p w14:paraId="1F6A46C7" w14:textId="12B9E5F8" w:rsidR="00AB4B83" w:rsidRPr="007A1075" w:rsidRDefault="00AB4B83" w:rsidP="00321BC5">
            <w:pPr>
              <w:pStyle w:val="TableText"/>
              <w:cnfStyle w:val="000000000000" w:firstRow="0" w:lastRow="0" w:firstColumn="0" w:lastColumn="0" w:oddVBand="0" w:evenVBand="0" w:oddHBand="0" w:evenHBand="0" w:firstRowFirstColumn="0" w:firstRowLastColumn="0" w:lastRowFirstColumn="0" w:lastRowLastColumn="0"/>
            </w:pPr>
            <w:r w:rsidRPr="007A1075">
              <w:t>56.0% (n=2</w:t>
            </w:r>
            <w:r>
              <w:t>,</w:t>
            </w:r>
            <w:r w:rsidRPr="007A1075">
              <w:t>719)</w:t>
            </w:r>
          </w:p>
        </w:tc>
      </w:tr>
      <w:tr w:rsidR="00AB4B83" w:rsidRPr="007A1075" w14:paraId="128F7E61" w14:textId="77777777" w:rsidTr="0078378F">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086" w:type="dxa"/>
            <w:vMerge/>
            <w:tcBorders>
              <w:top w:val="none" w:sz="0" w:space="0" w:color="auto"/>
              <w:bottom w:val="none" w:sz="0" w:space="0" w:color="auto"/>
              <w:right w:val="none" w:sz="0" w:space="0" w:color="auto"/>
            </w:tcBorders>
            <w:hideMark/>
          </w:tcPr>
          <w:p w14:paraId="26849B31" w14:textId="77777777" w:rsidR="00AB4B83" w:rsidRPr="007A1075" w:rsidRDefault="00AB4B83" w:rsidP="00321BC5">
            <w:pPr>
              <w:pStyle w:val="TableText"/>
              <w:rPr>
                <w:b w:val="0"/>
                <w:bCs w:val="0"/>
              </w:rPr>
            </w:pPr>
          </w:p>
        </w:tc>
        <w:tc>
          <w:tcPr>
            <w:tcW w:w="1352" w:type="dxa"/>
            <w:vMerge/>
            <w:tcBorders>
              <w:top w:val="none" w:sz="0" w:space="0" w:color="auto"/>
              <w:bottom w:val="none" w:sz="0" w:space="0" w:color="auto"/>
            </w:tcBorders>
            <w:hideMark/>
          </w:tcPr>
          <w:p w14:paraId="48427BEB" w14:textId="77777777" w:rsidR="00AB4B83" w:rsidRPr="007A1075" w:rsidRDefault="00AB4B83" w:rsidP="00321BC5">
            <w:pPr>
              <w:pStyle w:val="TableText"/>
              <w:cnfStyle w:val="000000100000" w:firstRow="0" w:lastRow="0" w:firstColumn="0" w:lastColumn="0" w:oddVBand="0" w:evenVBand="0" w:oddHBand="1" w:evenHBand="0" w:firstRowFirstColumn="0" w:firstRowLastColumn="0" w:lastRowFirstColumn="0" w:lastRowLastColumn="0"/>
            </w:pPr>
          </w:p>
        </w:tc>
        <w:tc>
          <w:tcPr>
            <w:tcW w:w="1674" w:type="dxa"/>
            <w:vMerge/>
            <w:tcBorders>
              <w:top w:val="none" w:sz="0" w:space="0" w:color="auto"/>
              <w:bottom w:val="none" w:sz="0" w:space="0" w:color="auto"/>
            </w:tcBorders>
            <w:hideMark/>
          </w:tcPr>
          <w:p w14:paraId="3998CD66" w14:textId="77777777" w:rsidR="00AB4B83" w:rsidRPr="007A1075" w:rsidRDefault="00AB4B83" w:rsidP="00321BC5">
            <w:pPr>
              <w:pStyle w:val="TableText"/>
              <w:cnfStyle w:val="000000100000" w:firstRow="0" w:lastRow="0" w:firstColumn="0" w:lastColumn="0" w:oddVBand="0" w:evenVBand="0" w:oddHBand="1" w:evenHBand="0" w:firstRowFirstColumn="0" w:firstRowLastColumn="0" w:lastRowFirstColumn="0" w:lastRowLastColumn="0"/>
            </w:pPr>
          </w:p>
        </w:tc>
        <w:tc>
          <w:tcPr>
            <w:tcW w:w="3396" w:type="dxa"/>
            <w:tcBorders>
              <w:top w:val="none" w:sz="0" w:space="0" w:color="auto"/>
              <w:bottom w:val="none" w:sz="0" w:space="0" w:color="auto"/>
            </w:tcBorders>
            <w:noWrap/>
            <w:hideMark/>
          </w:tcPr>
          <w:p w14:paraId="360C9287" w14:textId="77777777" w:rsidR="00AB4B83" w:rsidRPr="007A1075" w:rsidRDefault="00AB4B83" w:rsidP="00321BC5">
            <w:pPr>
              <w:pStyle w:val="TableText"/>
              <w:cnfStyle w:val="000000100000" w:firstRow="0" w:lastRow="0" w:firstColumn="0" w:lastColumn="0" w:oddVBand="0" w:evenVBand="0" w:oddHBand="1" w:evenHBand="0" w:firstRowFirstColumn="0" w:firstRowLastColumn="0" w:lastRowFirstColumn="0" w:lastRowLastColumn="0"/>
            </w:pPr>
            <w:r w:rsidRPr="007A1075">
              <w:t>Personal and family safety</w:t>
            </w:r>
          </w:p>
        </w:tc>
        <w:tc>
          <w:tcPr>
            <w:tcW w:w="1333" w:type="dxa"/>
            <w:tcBorders>
              <w:top w:val="none" w:sz="0" w:space="0" w:color="auto"/>
              <w:bottom w:val="none" w:sz="0" w:space="0" w:color="auto"/>
            </w:tcBorders>
            <w:noWrap/>
            <w:hideMark/>
          </w:tcPr>
          <w:p w14:paraId="1B5E2208" w14:textId="77777777" w:rsidR="00AB4B83" w:rsidRPr="007A1075" w:rsidRDefault="00AB4B83" w:rsidP="00321BC5">
            <w:pPr>
              <w:pStyle w:val="TableText"/>
              <w:cnfStyle w:val="000000100000" w:firstRow="0" w:lastRow="0" w:firstColumn="0" w:lastColumn="0" w:oddVBand="0" w:evenVBand="0" w:oddHBand="1" w:evenHBand="0" w:firstRowFirstColumn="0" w:firstRowLastColumn="0" w:lastRowFirstColumn="0" w:lastRowLastColumn="0"/>
            </w:pPr>
            <w:r w:rsidRPr="007A1075">
              <w:t>0.89</w:t>
            </w:r>
          </w:p>
        </w:tc>
        <w:tc>
          <w:tcPr>
            <w:tcW w:w="1559" w:type="dxa"/>
            <w:tcBorders>
              <w:top w:val="none" w:sz="0" w:space="0" w:color="auto"/>
              <w:bottom w:val="none" w:sz="0" w:space="0" w:color="auto"/>
            </w:tcBorders>
            <w:noWrap/>
            <w:hideMark/>
          </w:tcPr>
          <w:p w14:paraId="054C5058" w14:textId="77777777" w:rsidR="00AB4B83" w:rsidRPr="007A1075" w:rsidRDefault="00AB4B83" w:rsidP="00321BC5">
            <w:pPr>
              <w:pStyle w:val="TableText"/>
              <w:cnfStyle w:val="000000100000" w:firstRow="0" w:lastRow="0" w:firstColumn="0" w:lastColumn="0" w:oddVBand="0" w:evenVBand="0" w:oddHBand="1" w:evenHBand="0" w:firstRowFirstColumn="0" w:firstRowLastColumn="0" w:lastRowFirstColumn="0" w:lastRowLastColumn="0"/>
            </w:pPr>
            <w:r w:rsidRPr="007A1075">
              <w:t>1358440.5</w:t>
            </w:r>
          </w:p>
        </w:tc>
        <w:tc>
          <w:tcPr>
            <w:tcW w:w="1134" w:type="dxa"/>
            <w:tcBorders>
              <w:top w:val="none" w:sz="0" w:space="0" w:color="auto"/>
              <w:bottom w:val="none" w:sz="0" w:space="0" w:color="auto"/>
            </w:tcBorders>
            <w:noWrap/>
            <w:hideMark/>
          </w:tcPr>
          <w:p w14:paraId="5BB305BA" w14:textId="475E97FF" w:rsidR="00AB4B83" w:rsidRPr="007A1075" w:rsidRDefault="00AB4B83" w:rsidP="00321BC5">
            <w:pPr>
              <w:pStyle w:val="TableText"/>
              <w:cnfStyle w:val="000000100000" w:firstRow="0" w:lastRow="0" w:firstColumn="0" w:lastColumn="0" w:oddVBand="0" w:evenVBand="0" w:oddHBand="1" w:evenHBand="0" w:firstRowFirstColumn="0" w:firstRowLastColumn="0" w:lastRowFirstColumn="0" w:lastRowLastColumn="0"/>
            </w:pPr>
            <w:r w:rsidRPr="007A1075">
              <w:t>5</w:t>
            </w:r>
            <w:r w:rsidR="006644D9">
              <w:t>,</w:t>
            </w:r>
            <w:r w:rsidRPr="007A1075">
              <w:t>413</w:t>
            </w:r>
          </w:p>
        </w:tc>
        <w:tc>
          <w:tcPr>
            <w:tcW w:w="992" w:type="dxa"/>
            <w:tcBorders>
              <w:top w:val="none" w:sz="0" w:space="0" w:color="auto"/>
              <w:bottom w:val="none" w:sz="0" w:space="0" w:color="auto"/>
            </w:tcBorders>
            <w:noWrap/>
            <w:hideMark/>
          </w:tcPr>
          <w:p w14:paraId="7DEF8E87" w14:textId="77777777" w:rsidR="00AB4B83" w:rsidRPr="007A1075" w:rsidRDefault="00AB4B83" w:rsidP="00321BC5">
            <w:pPr>
              <w:pStyle w:val="TableText"/>
              <w:cnfStyle w:val="000000100000" w:firstRow="0" w:lastRow="0" w:firstColumn="0" w:lastColumn="0" w:oddVBand="0" w:evenVBand="0" w:oddHBand="1" w:evenHBand="0" w:firstRowFirstColumn="0" w:firstRowLastColumn="0" w:lastRowFirstColumn="0" w:lastRowLastColumn="0"/>
            </w:pPr>
            <w:r w:rsidRPr="007A1075">
              <w:t>&lt;.001</w:t>
            </w:r>
          </w:p>
        </w:tc>
        <w:tc>
          <w:tcPr>
            <w:tcW w:w="1418" w:type="dxa"/>
            <w:tcBorders>
              <w:top w:val="none" w:sz="0" w:space="0" w:color="auto"/>
              <w:bottom w:val="none" w:sz="0" w:space="0" w:color="auto"/>
            </w:tcBorders>
            <w:noWrap/>
            <w:hideMark/>
          </w:tcPr>
          <w:p w14:paraId="6A3BC8B4" w14:textId="63DD4A2E" w:rsidR="00AB4B83" w:rsidRPr="007A1075" w:rsidRDefault="00AB4B83" w:rsidP="00321BC5">
            <w:pPr>
              <w:pStyle w:val="TableText"/>
              <w:cnfStyle w:val="000000100000" w:firstRow="0" w:lastRow="0" w:firstColumn="0" w:lastColumn="0" w:oddVBand="0" w:evenVBand="0" w:oddHBand="1" w:evenHBand="0" w:firstRowFirstColumn="0" w:firstRowLastColumn="0" w:lastRowFirstColumn="0" w:lastRowLastColumn="0"/>
            </w:pPr>
            <w:r w:rsidRPr="007A1075">
              <w:t>56.6% (n=3</w:t>
            </w:r>
            <w:r>
              <w:t>,</w:t>
            </w:r>
            <w:r w:rsidRPr="007A1075">
              <w:t>063)</w:t>
            </w:r>
          </w:p>
        </w:tc>
      </w:tr>
      <w:tr w:rsidR="00AB4B83" w:rsidRPr="007A1075" w14:paraId="71EA714A" w14:textId="77777777" w:rsidTr="0078378F">
        <w:trPr>
          <w:trHeight w:val="290"/>
        </w:trPr>
        <w:tc>
          <w:tcPr>
            <w:cnfStyle w:val="001000000000" w:firstRow="0" w:lastRow="0" w:firstColumn="1" w:lastColumn="0" w:oddVBand="0" w:evenVBand="0" w:oddHBand="0" w:evenHBand="0" w:firstRowFirstColumn="0" w:firstRowLastColumn="0" w:lastRowFirstColumn="0" w:lastRowLastColumn="0"/>
            <w:tcW w:w="1086" w:type="dxa"/>
            <w:vMerge/>
            <w:tcBorders>
              <w:right w:val="none" w:sz="0" w:space="0" w:color="auto"/>
            </w:tcBorders>
            <w:hideMark/>
          </w:tcPr>
          <w:p w14:paraId="25F012AD" w14:textId="77777777" w:rsidR="00AB4B83" w:rsidRPr="007A1075" w:rsidRDefault="00AB4B83" w:rsidP="00321BC5">
            <w:pPr>
              <w:pStyle w:val="TableText"/>
            </w:pPr>
          </w:p>
        </w:tc>
        <w:tc>
          <w:tcPr>
            <w:tcW w:w="1352" w:type="dxa"/>
            <w:vMerge/>
            <w:hideMark/>
          </w:tcPr>
          <w:p w14:paraId="06093C9C" w14:textId="77777777" w:rsidR="00AB4B83" w:rsidRPr="007A1075" w:rsidRDefault="00AB4B83" w:rsidP="00321BC5">
            <w:pPr>
              <w:pStyle w:val="TableText"/>
              <w:cnfStyle w:val="000000000000" w:firstRow="0" w:lastRow="0" w:firstColumn="0" w:lastColumn="0" w:oddVBand="0" w:evenVBand="0" w:oddHBand="0" w:evenHBand="0" w:firstRowFirstColumn="0" w:firstRowLastColumn="0" w:lastRowFirstColumn="0" w:lastRowLastColumn="0"/>
            </w:pPr>
          </w:p>
        </w:tc>
        <w:tc>
          <w:tcPr>
            <w:tcW w:w="1674" w:type="dxa"/>
            <w:vMerge w:val="restart"/>
            <w:hideMark/>
          </w:tcPr>
          <w:p w14:paraId="2B66E445" w14:textId="77777777" w:rsidR="00AB4B83" w:rsidRPr="007A1075" w:rsidRDefault="00AB4B83" w:rsidP="00321BC5">
            <w:pPr>
              <w:pStyle w:val="TableText"/>
              <w:cnfStyle w:val="000000000000" w:firstRow="0" w:lastRow="0" w:firstColumn="0" w:lastColumn="0" w:oddVBand="0" w:evenVBand="0" w:oddHBand="0" w:evenHBand="0" w:firstRowFirstColumn="0" w:firstRowLastColumn="0" w:lastRowFirstColumn="0" w:lastRowLastColumn="0"/>
            </w:pPr>
            <w:r w:rsidRPr="007A1075">
              <w:t>Goals</w:t>
            </w:r>
          </w:p>
        </w:tc>
        <w:tc>
          <w:tcPr>
            <w:tcW w:w="3396" w:type="dxa"/>
            <w:noWrap/>
            <w:hideMark/>
          </w:tcPr>
          <w:p w14:paraId="254FFC5E" w14:textId="77777777" w:rsidR="00AB4B83" w:rsidRPr="007A1075" w:rsidRDefault="00AB4B83" w:rsidP="00321BC5">
            <w:pPr>
              <w:pStyle w:val="TableText"/>
              <w:cnfStyle w:val="000000000000" w:firstRow="0" w:lastRow="0" w:firstColumn="0" w:lastColumn="0" w:oddVBand="0" w:evenVBand="0" w:oddHBand="0" w:evenHBand="0" w:firstRowFirstColumn="0" w:firstRowLastColumn="0" w:lastRowFirstColumn="0" w:lastRowLastColumn="0"/>
            </w:pPr>
            <w:r w:rsidRPr="007A1075">
              <w:t>Changed behaviours</w:t>
            </w:r>
          </w:p>
        </w:tc>
        <w:tc>
          <w:tcPr>
            <w:tcW w:w="1333" w:type="dxa"/>
            <w:noWrap/>
            <w:hideMark/>
          </w:tcPr>
          <w:p w14:paraId="089158B3" w14:textId="77777777" w:rsidR="00AB4B83" w:rsidRPr="007A1075" w:rsidRDefault="00AB4B83" w:rsidP="00321BC5">
            <w:pPr>
              <w:pStyle w:val="TableText"/>
              <w:cnfStyle w:val="000000000000" w:firstRow="0" w:lastRow="0" w:firstColumn="0" w:lastColumn="0" w:oddVBand="0" w:evenVBand="0" w:oddHBand="0" w:evenHBand="0" w:firstRowFirstColumn="0" w:firstRowLastColumn="0" w:lastRowFirstColumn="0" w:lastRowLastColumn="0"/>
            </w:pPr>
            <w:r w:rsidRPr="007A1075">
              <w:t>0.88</w:t>
            </w:r>
          </w:p>
        </w:tc>
        <w:tc>
          <w:tcPr>
            <w:tcW w:w="1559" w:type="dxa"/>
            <w:noWrap/>
            <w:hideMark/>
          </w:tcPr>
          <w:p w14:paraId="4B04877E" w14:textId="77777777" w:rsidR="00AB4B83" w:rsidRPr="007A1075" w:rsidRDefault="00AB4B83" w:rsidP="00321BC5">
            <w:pPr>
              <w:pStyle w:val="TableText"/>
              <w:cnfStyle w:val="000000000000" w:firstRow="0" w:lastRow="0" w:firstColumn="0" w:lastColumn="0" w:oddVBand="0" w:evenVBand="0" w:oddHBand="0" w:evenHBand="0" w:firstRowFirstColumn="0" w:firstRowLastColumn="0" w:lastRowFirstColumn="0" w:lastRowLastColumn="0"/>
            </w:pPr>
            <w:r w:rsidRPr="007A1075">
              <w:t>511762.5</w:t>
            </w:r>
          </w:p>
        </w:tc>
        <w:tc>
          <w:tcPr>
            <w:tcW w:w="1134" w:type="dxa"/>
            <w:noWrap/>
            <w:hideMark/>
          </w:tcPr>
          <w:p w14:paraId="07CEDD05" w14:textId="2DCCDB03" w:rsidR="00AB4B83" w:rsidRPr="007A1075" w:rsidRDefault="00AB4B83" w:rsidP="00321BC5">
            <w:pPr>
              <w:pStyle w:val="TableText"/>
              <w:cnfStyle w:val="000000000000" w:firstRow="0" w:lastRow="0" w:firstColumn="0" w:lastColumn="0" w:oddVBand="0" w:evenVBand="0" w:oddHBand="0" w:evenHBand="0" w:firstRowFirstColumn="0" w:firstRowLastColumn="0" w:lastRowFirstColumn="0" w:lastRowLastColumn="0"/>
            </w:pPr>
            <w:r w:rsidRPr="007A1075">
              <w:t>3</w:t>
            </w:r>
            <w:r w:rsidR="006644D9">
              <w:t>,</w:t>
            </w:r>
            <w:r w:rsidRPr="007A1075">
              <w:t>309</w:t>
            </w:r>
          </w:p>
        </w:tc>
        <w:tc>
          <w:tcPr>
            <w:tcW w:w="992" w:type="dxa"/>
            <w:noWrap/>
            <w:hideMark/>
          </w:tcPr>
          <w:p w14:paraId="2601C00A" w14:textId="77777777" w:rsidR="00AB4B83" w:rsidRPr="007A1075" w:rsidRDefault="00AB4B83" w:rsidP="00321BC5">
            <w:pPr>
              <w:pStyle w:val="TableText"/>
              <w:cnfStyle w:val="000000000000" w:firstRow="0" w:lastRow="0" w:firstColumn="0" w:lastColumn="0" w:oddVBand="0" w:evenVBand="0" w:oddHBand="0" w:evenHBand="0" w:firstRowFirstColumn="0" w:firstRowLastColumn="0" w:lastRowFirstColumn="0" w:lastRowLastColumn="0"/>
            </w:pPr>
            <w:r w:rsidRPr="007A1075">
              <w:t>&lt;.001</w:t>
            </w:r>
          </w:p>
        </w:tc>
        <w:tc>
          <w:tcPr>
            <w:tcW w:w="1418" w:type="dxa"/>
            <w:noWrap/>
            <w:hideMark/>
          </w:tcPr>
          <w:p w14:paraId="2C311474" w14:textId="7623A59C" w:rsidR="00AB4B83" w:rsidRPr="007A1075" w:rsidRDefault="00AB4B83" w:rsidP="00321BC5">
            <w:pPr>
              <w:pStyle w:val="TableText"/>
              <w:cnfStyle w:val="000000000000" w:firstRow="0" w:lastRow="0" w:firstColumn="0" w:lastColumn="0" w:oddVBand="0" w:evenVBand="0" w:oddHBand="0" w:evenHBand="0" w:firstRowFirstColumn="0" w:firstRowLastColumn="0" w:lastRowFirstColumn="0" w:lastRowLastColumn="0"/>
            </w:pPr>
            <w:r w:rsidRPr="007A1075">
              <w:t>57.1% (n=1</w:t>
            </w:r>
            <w:r>
              <w:t>,</w:t>
            </w:r>
            <w:r w:rsidRPr="007A1075">
              <w:t>891)</w:t>
            </w:r>
          </w:p>
        </w:tc>
      </w:tr>
      <w:tr w:rsidR="00AB4B83" w:rsidRPr="007A1075" w14:paraId="0D24F316" w14:textId="77777777" w:rsidTr="0078378F">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086" w:type="dxa"/>
            <w:vMerge/>
            <w:tcBorders>
              <w:top w:val="none" w:sz="0" w:space="0" w:color="auto"/>
              <w:bottom w:val="none" w:sz="0" w:space="0" w:color="auto"/>
              <w:right w:val="none" w:sz="0" w:space="0" w:color="auto"/>
            </w:tcBorders>
            <w:hideMark/>
          </w:tcPr>
          <w:p w14:paraId="4A092B34" w14:textId="77777777" w:rsidR="00AB4B83" w:rsidRPr="007A1075" w:rsidRDefault="00AB4B83" w:rsidP="00321BC5">
            <w:pPr>
              <w:pStyle w:val="TableText"/>
              <w:rPr>
                <w:b w:val="0"/>
                <w:bCs w:val="0"/>
              </w:rPr>
            </w:pPr>
          </w:p>
        </w:tc>
        <w:tc>
          <w:tcPr>
            <w:tcW w:w="1352" w:type="dxa"/>
            <w:vMerge/>
            <w:tcBorders>
              <w:top w:val="none" w:sz="0" w:space="0" w:color="auto"/>
              <w:bottom w:val="none" w:sz="0" w:space="0" w:color="auto"/>
            </w:tcBorders>
            <w:hideMark/>
          </w:tcPr>
          <w:p w14:paraId="5CCB4587" w14:textId="77777777" w:rsidR="00AB4B83" w:rsidRPr="007A1075" w:rsidRDefault="00AB4B83" w:rsidP="00321BC5">
            <w:pPr>
              <w:pStyle w:val="TableText"/>
              <w:cnfStyle w:val="000000100000" w:firstRow="0" w:lastRow="0" w:firstColumn="0" w:lastColumn="0" w:oddVBand="0" w:evenVBand="0" w:oddHBand="1" w:evenHBand="0" w:firstRowFirstColumn="0" w:firstRowLastColumn="0" w:lastRowFirstColumn="0" w:lastRowLastColumn="0"/>
            </w:pPr>
          </w:p>
        </w:tc>
        <w:tc>
          <w:tcPr>
            <w:tcW w:w="1674" w:type="dxa"/>
            <w:vMerge/>
            <w:tcBorders>
              <w:top w:val="none" w:sz="0" w:space="0" w:color="auto"/>
              <w:bottom w:val="none" w:sz="0" w:space="0" w:color="auto"/>
            </w:tcBorders>
            <w:hideMark/>
          </w:tcPr>
          <w:p w14:paraId="7D372B80" w14:textId="77777777" w:rsidR="00AB4B83" w:rsidRPr="007A1075" w:rsidRDefault="00AB4B83" w:rsidP="00321BC5">
            <w:pPr>
              <w:pStyle w:val="TableText"/>
              <w:cnfStyle w:val="000000100000" w:firstRow="0" w:lastRow="0" w:firstColumn="0" w:lastColumn="0" w:oddVBand="0" w:evenVBand="0" w:oddHBand="1" w:evenHBand="0" w:firstRowFirstColumn="0" w:firstRowLastColumn="0" w:lastRowFirstColumn="0" w:lastRowLastColumn="0"/>
            </w:pPr>
          </w:p>
        </w:tc>
        <w:tc>
          <w:tcPr>
            <w:tcW w:w="3396" w:type="dxa"/>
            <w:tcBorders>
              <w:top w:val="none" w:sz="0" w:space="0" w:color="auto"/>
              <w:bottom w:val="none" w:sz="0" w:space="0" w:color="auto"/>
            </w:tcBorders>
            <w:noWrap/>
            <w:hideMark/>
          </w:tcPr>
          <w:p w14:paraId="488CB713" w14:textId="77777777" w:rsidR="00AB4B83" w:rsidRPr="007A1075" w:rsidRDefault="00AB4B83" w:rsidP="00321BC5">
            <w:pPr>
              <w:pStyle w:val="TableText"/>
              <w:cnfStyle w:val="000000100000" w:firstRow="0" w:lastRow="0" w:firstColumn="0" w:lastColumn="0" w:oddVBand="0" w:evenVBand="0" w:oddHBand="1" w:evenHBand="0" w:firstRowFirstColumn="0" w:firstRowLastColumn="0" w:lastRowFirstColumn="0" w:lastRowLastColumn="0"/>
            </w:pPr>
            <w:r w:rsidRPr="007A1075">
              <w:t>Changed impact of immediate crisis</w:t>
            </w:r>
          </w:p>
        </w:tc>
        <w:tc>
          <w:tcPr>
            <w:tcW w:w="1333" w:type="dxa"/>
            <w:tcBorders>
              <w:top w:val="none" w:sz="0" w:space="0" w:color="auto"/>
              <w:bottom w:val="none" w:sz="0" w:space="0" w:color="auto"/>
            </w:tcBorders>
            <w:noWrap/>
            <w:hideMark/>
          </w:tcPr>
          <w:p w14:paraId="59582B31" w14:textId="77777777" w:rsidR="00AB4B83" w:rsidRPr="007A1075" w:rsidRDefault="00AB4B83" w:rsidP="00321BC5">
            <w:pPr>
              <w:pStyle w:val="TableText"/>
              <w:cnfStyle w:val="000000100000" w:firstRow="0" w:lastRow="0" w:firstColumn="0" w:lastColumn="0" w:oddVBand="0" w:evenVBand="0" w:oddHBand="1" w:evenHBand="0" w:firstRowFirstColumn="0" w:firstRowLastColumn="0" w:lastRowFirstColumn="0" w:lastRowLastColumn="0"/>
            </w:pPr>
            <w:r w:rsidRPr="007A1075">
              <w:t>1.15</w:t>
            </w:r>
          </w:p>
        </w:tc>
        <w:tc>
          <w:tcPr>
            <w:tcW w:w="1559" w:type="dxa"/>
            <w:tcBorders>
              <w:top w:val="none" w:sz="0" w:space="0" w:color="auto"/>
              <w:bottom w:val="none" w:sz="0" w:space="0" w:color="auto"/>
            </w:tcBorders>
            <w:noWrap/>
            <w:hideMark/>
          </w:tcPr>
          <w:p w14:paraId="267DE818" w14:textId="77777777" w:rsidR="00AB4B83" w:rsidRPr="007A1075" w:rsidRDefault="00AB4B83" w:rsidP="00321BC5">
            <w:pPr>
              <w:pStyle w:val="TableText"/>
              <w:cnfStyle w:val="000000100000" w:firstRow="0" w:lastRow="0" w:firstColumn="0" w:lastColumn="0" w:oddVBand="0" w:evenVBand="0" w:oddHBand="1" w:evenHBand="0" w:firstRowFirstColumn="0" w:firstRowLastColumn="0" w:lastRowFirstColumn="0" w:lastRowLastColumn="0"/>
            </w:pPr>
            <w:r w:rsidRPr="007A1075">
              <w:t>181143.5</w:t>
            </w:r>
          </w:p>
        </w:tc>
        <w:tc>
          <w:tcPr>
            <w:tcW w:w="1134" w:type="dxa"/>
            <w:tcBorders>
              <w:top w:val="none" w:sz="0" w:space="0" w:color="auto"/>
              <w:bottom w:val="none" w:sz="0" w:space="0" w:color="auto"/>
            </w:tcBorders>
            <w:noWrap/>
            <w:hideMark/>
          </w:tcPr>
          <w:p w14:paraId="473DACC5" w14:textId="5E974F43" w:rsidR="00AB4B83" w:rsidRPr="007A1075" w:rsidRDefault="00AB4B83" w:rsidP="00321BC5">
            <w:pPr>
              <w:pStyle w:val="TableText"/>
              <w:cnfStyle w:val="000000100000" w:firstRow="0" w:lastRow="0" w:firstColumn="0" w:lastColumn="0" w:oddVBand="0" w:evenVBand="0" w:oddHBand="1" w:evenHBand="0" w:firstRowFirstColumn="0" w:firstRowLastColumn="0" w:lastRowFirstColumn="0" w:lastRowLastColumn="0"/>
            </w:pPr>
            <w:r w:rsidRPr="007A1075">
              <w:t>2</w:t>
            </w:r>
            <w:r w:rsidR="006644D9">
              <w:t>,</w:t>
            </w:r>
            <w:r w:rsidRPr="007A1075">
              <w:t>389</w:t>
            </w:r>
          </w:p>
        </w:tc>
        <w:tc>
          <w:tcPr>
            <w:tcW w:w="992" w:type="dxa"/>
            <w:tcBorders>
              <w:top w:val="none" w:sz="0" w:space="0" w:color="auto"/>
              <w:bottom w:val="none" w:sz="0" w:space="0" w:color="auto"/>
            </w:tcBorders>
            <w:noWrap/>
            <w:hideMark/>
          </w:tcPr>
          <w:p w14:paraId="2419E96B" w14:textId="77777777" w:rsidR="00AB4B83" w:rsidRPr="007A1075" w:rsidRDefault="00AB4B83" w:rsidP="00321BC5">
            <w:pPr>
              <w:pStyle w:val="TableText"/>
              <w:cnfStyle w:val="000000100000" w:firstRow="0" w:lastRow="0" w:firstColumn="0" w:lastColumn="0" w:oddVBand="0" w:evenVBand="0" w:oddHBand="1" w:evenHBand="0" w:firstRowFirstColumn="0" w:firstRowLastColumn="0" w:lastRowFirstColumn="0" w:lastRowLastColumn="0"/>
            </w:pPr>
            <w:r w:rsidRPr="007A1075">
              <w:t>&lt;.001</w:t>
            </w:r>
          </w:p>
        </w:tc>
        <w:tc>
          <w:tcPr>
            <w:tcW w:w="1418" w:type="dxa"/>
            <w:tcBorders>
              <w:top w:val="none" w:sz="0" w:space="0" w:color="auto"/>
              <w:bottom w:val="none" w:sz="0" w:space="0" w:color="auto"/>
            </w:tcBorders>
            <w:noWrap/>
            <w:hideMark/>
          </w:tcPr>
          <w:p w14:paraId="111C7E46" w14:textId="4DF17E9E" w:rsidR="00AB4B83" w:rsidRPr="007A1075" w:rsidRDefault="00AB4B83" w:rsidP="00321BC5">
            <w:pPr>
              <w:pStyle w:val="TableText"/>
              <w:cnfStyle w:val="000000100000" w:firstRow="0" w:lastRow="0" w:firstColumn="0" w:lastColumn="0" w:oddVBand="0" w:evenVBand="0" w:oddHBand="1" w:evenHBand="0" w:firstRowFirstColumn="0" w:firstRowLastColumn="0" w:lastRowFirstColumn="0" w:lastRowLastColumn="0"/>
            </w:pPr>
            <w:r w:rsidRPr="007A1075">
              <w:t>66.4% (n=1</w:t>
            </w:r>
            <w:r>
              <w:t>,</w:t>
            </w:r>
            <w:r w:rsidRPr="007A1075">
              <w:t>586)</w:t>
            </w:r>
          </w:p>
        </w:tc>
      </w:tr>
      <w:tr w:rsidR="00AB4B83" w:rsidRPr="007A1075" w14:paraId="03A2F3FF" w14:textId="77777777" w:rsidTr="0078378F">
        <w:trPr>
          <w:trHeight w:val="290"/>
        </w:trPr>
        <w:tc>
          <w:tcPr>
            <w:cnfStyle w:val="001000000000" w:firstRow="0" w:lastRow="0" w:firstColumn="1" w:lastColumn="0" w:oddVBand="0" w:evenVBand="0" w:oddHBand="0" w:evenHBand="0" w:firstRowFirstColumn="0" w:firstRowLastColumn="0" w:lastRowFirstColumn="0" w:lastRowLastColumn="0"/>
            <w:tcW w:w="1086" w:type="dxa"/>
            <w:vMerge/>
            <w:tcBorders>
              <w:right w:val="none" w:sz="0" w:space="0" w:color="auto"/>
            </w:tcBorders>
            <w:hideMark/>
          </w:tcPr>
          <w:p w14:paraId="5D8E5A8C" w14:textId="77777777" w:rsidR="00AB4B83" w:rsidRPr="007A1075" w:rsidRDefault="00AB4B83" w:rsidP="00321BC5">
            <w:pPr>
              <w:pStyle w:val="TableText"/>
            </w:pPr>
          </w:p>
        </w:tc>
        <w:tc>
          <w:tcPr>
            <w:tcW w:w="1352" w:type="dxa"/>
            <w:vMerge/>
            <w:hideMark/>
          </w:tcPr>
          <w:p w14:paraId="3934989B" w14:textId="77777777" w:rsidR="00AB4B83" w:rsidRPr="007A1075" w:rsidRDefault="00AB4B83" w:rsidP="00321BC5">
            <w:pPr>
              <w:pStyle w:val="TableText"/>
              <w:cnfStyle w:val="000000000000" w:firstRow="0" w:lastRow="0" w:firstColumn="0" w:lastColumn="0" w:oddVBand="0" w:evenVBand="0" w:oddHBand="0" w:evenHBand="0" w:firstRowFirstColumn="0" w:firstRowLastColumn="0" w:lastRowFirstColumn="0" w:lastRowLastColumn="0"/>
            </w:pPr>
          </w:p>
        </w:tc>
        <w:tc>
          <w:tcPr>
            <w:tcW w:w="1674" w:type="dxa"/>
            <w:vMerge/>
            <w:hideMark/>
          </w:tcPr>
          <w:p w14:paraId="31CF53CB" w14:textId="77777777" w:rsidR="00AB4B83" w:rsidRPr="007A1075" w:rsidRDefault="00AB4B83" w:rsidP="00321BC5">
            <w:pPr>
              <w:pStyle w:val="TableText"/>
              <w:cnfStyle w:val="000000000000" w:firstRow="0" w:lastRow="0" w:firstColumn="0" w:lastColumn="0" w:oddVBand="0" w:evenVBand="0" w:oddHBand="0" w:evenHBand="0" w:firstRowFirstColumn="0" w:firstRowLastColumn="0" w:lastRowFirstColumn="0" w:lastRowLastColumn="0"/>
            </w:pPr>
          </w:p>
        </w:tc>
        <w:tc>
          <w:tcPr>
            <w:tcW w:w="3396" w:type="dxa"/>
            <w:noWrap/>
            <w:hideMark/>
          </w:tcPr>
          <w:p w14:paraId="79CE5248" w14:textId="77777777" w:rsidR="00AB4B83" w:rsidRPr="007A1075" w:rsidRDefault="00AB4B83" w:rsidP="00321BC5">
            <w:pPr>
              <w:pStyle w:val="TableText"/>
              <w:cnfStyle w:val="000000000000" w:firstRow="0" w:lastRow="0" w:firstColumn="0" w:lastColumn="0" w:oddVBand="0" w:evenVBand="0" w:oddHBand="0" w:evenHBand="0" w:firstRowFirstColumn="0" w:firstRowLastColumn="0" w:lastRowFirstColumn="0" w:lastRowLastColumn="0"/>
            </w:pPr>
            <w:r w:rsidRPr="007A1075">
              <w:t>Changed knowledge and access to information</w:t>
            </w:r>
          </w:p>
        </w:tc>
        <w:tc>
          <w:tcPr>
            <w:tcW w:w="1333" w:type="dxa"/>
            <w:noWrap/>
            <w:hideMark/>
          </w:tcPr>
          <w:p w14:paraId="7B37958E" w14:textId="77777777" w:rsidR="00AB4B83" w:rsidRPr="007A1075" w:rsidRDefault="00AB4B83" w:rsidP="00321BC5">
            <w:pPr>
              <w:pStyle w:val="TableText"/>
              <w:cnfStyle w:val="000000000000" w:firstRow="0" w:lastRow="0" w:firstColumn="0" w:lastColumn="0" w:oddVBand="0" w:evenVBand="0" w:oddHBand="0" w:evenHBand="0" w:firstRowFirstColumn="0" w:firstRowLastColumn="0" w:lastRowFirstColumn="0" w:lastRowLastColumn="0"/>
            </w:pPr>
            <w:r w:rsidRPr="007A1075">
              <w:t>1.06</w:t>
            </w:r>
          </w:p>
        </w:tc>
        <w:tc>
          <w:tcPr>
            <w:tcW w:w="1559" w:type="dxa"/>
            <w:noWrap/>
            <w:hideMark/>
          </w:tcPr>
          <w:p w14:paraId="1E715D1A" w14:textId="77777777" w:rsidR="00AB4B83" w:rsidRPr="007A1075" w:rsidRDefault="00AB4B83" w:rsidP="00321BC5">
            <w:pPr>
              <w:pStyle w:val="TableText"/>
              <w:cnfStyle w:val="000000000000" w:firstRow="0" w:lastRow="0" w:firstColumn="0" w:lastColumn="0" w:oddVBand="0" w:evenVBand="0" w:oddHBand="0" w:evenHBand="0" w:firstRowFirstColumn="0" w:firstRowLastColumn="0" w:lastRowFirstColumn="0" w:lastRowLastColumn="0"/>
            </w:pPr>
            <w:r w:rsidRPr="007A1075">
              <w:t>462261.5</w:t>
            </w:r>
          </w:p>
        </w:tc>
        <w:tc>
          <w:tcPr>
            <w:tcW w:w="1134" w:type="dxa"/>
            <w:noWrap/>
            <w:hideMark/>
          </w:tcPr>
          <w:p w14:paraId="7E0D734D" w14:textId="61F2AEC4" w:rsidR="00AB4B83" w:rsidRPr="007A1075" w:rsidRDefault="00AB4B83" w:rsidP="00321BC5">
            <w:pPr>
              <w:pStyle w:val="TableText"/>
              <w:cnfStyle w:val="000000000000" w:firstRow="0" w:lastRow="0" w:firstColumn="0" w:lastColumn="0" w:oddVBand="0" w:evenVBand="0" w:oddHBand="0" w:evenHBand="0" w:firstRowFirstColumn="0" w:firstRowLastColumn="0" w:lastRowFirstColumn="0" w:lastRowLastColumn="0"/>
            </w:pPr>
            <w:r w:rsidRPr="007A1075">
              <w:t>3</w:t>
            </w:r>
            <w:r w:rsidR="006644D9">
              <w:t>,</w:t>
            </w:r>
            <w:r w:rsidRPr="007A1075">
              <w:t>738</w:t>
            </w:r>
          </w:p>
        </w:tc>
        <w:tc>
          <w:tcPr>
            <w:tcW w:w="992" w:type="dxa"/>
            <w:noWrap/>
            <w:hideMark/>
          </w:tcPr>
          <w:p w14:paraId="650D4E67" w14:textId="77777777" w:rsidR="00AB4B83" w:rsidRPr="007A1075" w:rsidRDefault="00AB4B83" w:rsidP="00321BC5">
            <w:pPr>
              <w:pStyle w:val="TableText"/>
              <w:cnfStyle w:val="000000000000" w:firstRow="0" w:lastRow="0" w:firstColumn="0" w:lastColumn="0" w:oddVBand="0" w:evenVBand="0" w:oddHBand="0" w:evenHBand="0" w:firstRowFirstColumn="0" w:firstRowLastColumn="0" w:lastRowFirstColumn="0" w:lastRowLastColumn="0"/>
            </w:pPr>
            <w:r w:rsidRPr="007A1075">
              <w:t>&lt;.001</w:t>
            </w:r>
          </w:p>
        </w:tc>
        <w:tc>
          <w:tcPr>
            <w:tcW w:w="1418" w:type="dxa"/>
            <w:noWrap/>
            <w:hideMark/>
          </w:tcPr>
          <w:p w14:paraId="4A85A1F4" w14:textId="6CDBF174" w:rsidR="00AB4B83" w:rsidRPr="007A1075" w:rsidRDefault="00AB4B83" w:rsidP="00321BC5">
            <w:pPr>
              <w:pStyle w:val="TableText"/>
              <w:cnfStyle w:val="000000000000" w:firstRow="0" w:lastRow="0" w:firstColumn="0" w:lastColumn="0" w:oddVBand="0" w:evenVBand="0" w:oddHBand="0" w:evenHBand="0" w:firstRowFirstColumn="0" w:firstRowLastColumn="0" w:lastRowFirstColumn="0" w:lastRowLastColumn="0"/>
            </w:pPr>
            <w:r w:rsidRPr="007A1075">
              <w:t>63.5% (n=2</w:t>
            </w:r>
            <w:r>
              <w:t>,</w:t>
            </w:r>
            <w:r w:rsidRPr="007A1075">
              <w:t>374)</w:t>
            </w:r>
          </w:p>
        </w:tc>
      </w:tr>
      <w:tr w:rsidR="00AB4B83" w:rsidRPr="007A1075" w14:paraId="31D309FF" w14:textId="77777777" w:rsidTr="0078378F">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086" w:type="dxa"/>
            <w:vMerge/>
            <w:tcBorders>
              <w:top w:val="none" w:sz="0" w:space="0" w:color="auto"/>
              <w:bottom w:val="none" w:sz="0" w:space="0" w:color="auto"/>
              <w:right w:val="none" w:sz="0" w:space="0" w:color="auto"/>
            </w:tcBorders>
            <w:hideMark/>
          </w:tcPr>
          <w:p w14:paraId="1D7735C3" w14:textId="77777777" w:rsidR="00AB4B83" w:rsidRPr="007A1075" w:rsidRDefault="00AB4B83" w:rsidP="00321BC5">
            <w:pPr>
              <w:pStyle w:val="TableText"/>
              <w:rPr>
                <w:b w:val="0"/>
                <w:bCs w:val="0"/>
              </w:rPr>
            </w:pPr>
          </w:p>
        </w:tc>
        <w:tc>
          <w:tcPr>
            <w:tcW w:w="1352" w:type="dxa"/>
            <w:vMerge/>
            <w:tcBorders>
              <w:top w:val="none" w:sz="0" w:space="0" w:color="auto"/>
              <w:bottom w:val="none" w:sz="0" w:space="0" w:color="auto"/>
            </w:tcBorders>
            <w:hideMark/>
          </w:tcPr>
          <w:p w14:paraId="01562F31" w14:textId="77777777" w:rsidR="00AB4B83" w:rsidRPr="007A1075" w:rsidRDefault="00AB4B83" w:rsidP="00321BC5">
            <w:pPr>
              <w:pStyle w:val="TableText"/>
              <w:cnfStyle w:val="000000100000" w:firstRow="0" w:lastRow="0" w:firstColumn="0" w:lastColumn="0" w:oddVBand="0" w:evenVBand="0" w:oddHBand="1" w:evenHBand="0" w:firstRowFirstColumn="0" w:firstRowLastColumn="0" w:lastRowFirstColumn="0" w:lastRowLastColumn="0"/>
            </w:pPr>
          </w:p>
        </w:tc>
        <w:tc>
          <w:tcPr>
            <w:tcW w:w="1674" w:type="dxa"/>
            <w:vMerge/>
            <w:tcBorders>
              <w:top w:val="none" w:sz="0" w:space="0" w:color="auto"/>
              <w:bottom w:val="none" w:sz="0" w:space="0" w:color="auto"/>
            </w:tcBorders>
            <w:hideMark/>
          </w:tcPr>
          <w:p w14:paraId="625D2ADD" w14:textId="77777777" w:rsidR="00AB4B83" w:rsidRPr="007A1075" w:rsidRDefault="00AB4B83" w:rsidP="00321BC5">
            <w:pPr>
              <w:pStyle w:val="TableText"/>
              <w:cnfStyle w:val="000000100000" w:firstRow="0" w:lastRow="0" w:firstColumn="0" w:lastColumn="0" w:oddVBand="0" w:evenVBand="0" w:oddHBand="1" w:evenHBand="0" w:firstRowFirstColumn="0" w:firstRowLastColumn="0" w:lastRowFirstColumn="0" w:lastRowLastColumn="0"/>
            </w:pPr>
          </w:p>
        </w:tc>
        <w:tc>
          <w:tcPr>
            <w:tcW w:w="3396" w:type="dxa"/>
            <w:tcBorders>
              <w:top w:val="none" w:sz="0" w:space="0" w:color="auto"/>
              <w:bottom w:val="none" w:sz="0" w:space="0" w:color="auto"/>
            </w:tcBorders>
            <w:noWrap/>
            <w:hideMark/>
          </w:tcPr>
          <w:p w14:paraId="2B4245BE" w14:textId="77777777" w:rsidR="00AB4B83" w:rsidRPr="007A1075" w:rsidRDefault="00AB4B83" w:rsidP="00321BC5">
            <w:pPr>
              <w:pStyle w:val="TableText"/>
              <w:cnfStyle w:val="000000100000" w:firstRow="0" w:lastRow="0" w:firstColumn="0" w:lastColumn="0" w:oddVBand="0" w:evenVBand="0" w:oddHBand="1" w:evenHBand="0" w:firstRowFirstColumn="0" w:firstRowLastColumn="0" w:lastRowFirstColumn="0" w:lastRowLastColumn="0"/>
            </w:pPr>
            <w:r w:rsidRPr="007A1075">
              <w:t>Changed skills</w:t>
            </w:r>
          </w:p>
        </w:tc>
        <w:tc>
          <w:tcPr>
            <w:tcW w:w="1333" w:type="dxa"/>
            <w:tcBorders>
              <w:top w:val="none" w:sz="0" w:space="0" w:color="auto"/>
              <w:bottom w:val="none" w:sz="0" w:space="0" w:color="auto"/>
            </w:tcBorders>
            <w:noWrap/>
            <w:hideMark/>
          </w:tcPr>
          <w:p w14:paraId="287A46B8" w14:textId="77777777" w:rsidR="00AB4B83" w:rsidRPr="007A1075" w:rsidRDefault="00AB4B83" w:rsidP="00321BC5">
            <w:pPr>
              <w:pStyle w:val="TableText"/>
              <w:cnfStyle w:val="000000100000" w:firstRow="0" w:lastRow="0" w:firstColumn="0" w:lastColumn="0" w:oddVBand="0" w:evenVBand="0" w:oddHBand="1" w:evenHBand="0" w:firstRowFirstColumn="0" w:firstRowLastColumn="0" w:lastRowFirstColumn="0" w:lastRowLastColumn="0"/>
            </w:pPr>
            <w:r w:rsidRPr="007A1075">
              <w:t>0.93</w:t>
            </w:r>
          </w:p>
        </w:tc>
        <w:tc>
          <w:tcPr>
            <w:tcW w:w="1559" w:type="dxa"/>
            <w:tcBorders>
              <w:top w:val="none" w:sz="0" w:space="0" w:color="auto"/>
              <w:bottom w:val="none" w:sz="0" w:space="0" w:color="auto"/>
            </w:tcBorders>
            <w:noWrap/>
            <w:hideMark/>
          </w:tcPr>
          <w:p w14:paraId="75F7B943" w14:textId="77777777" w:rsidR="00AB4B83" w:rsidRPr="007A1075" w:rsidRDefault="00AB4B83" w:rsidP="00321BC5">
            <w:pPr>
              <w:pStyle w:val="TableText"/>
              <w:cnfStyle w:val="000000100000" w:firstRow="0" w:lastRow="0" w:firstColumn="0" w:lastColumn="0" w:oddVBand="0" w:evenVBand="0" w:oddHBand="1" w:evenHBand="0" w:firstRowFirstColumn="0" w:firstRowLastColumn="0" w:lastRowFirstColumn="0" w:lastRowLastColumn="0"/>
            </w:pPr>
            <w:r w:rsidRPr="007A1075">
              <w:t>480686</w:t>
            </w:r>
          </w:p>
        </w:tc>
        <w:tc>
          <w:tcPr>
            <w:tcW w:w="1134" w:type="dxa"/>
            <w:tcBorders>
              <w:top w:val="none" w:sz="0" w:space="0" w:color="auto"/>
              <w:bottom w:val="none" w:sz="0" w:space="0" w:color="auto"/>
            </w:tcBorders>
            <w:noWrap/>
            <w:hideMark/>
          </w:tcPr>
          <w:p w14:paraId="3B8B36ED" w14:textId="216ACDF4" w:rsidR="00AB4B83" w:rsidRPr="007A1075" w:rsidRDefault="00AB4B83" w:rsidP="00321BC5">
            <w:pPr>
              <w:pStyle w:val="TableText"/>
              <w:cnfStyle w:val="000000100000" w:firstRow="0" w:lastRow="0" w:firstColumn="0" w:lastColumn="0" w:oddVBand="0" w:evenVBand="0" w:oddHBand="1" w:evenHBand="0" w:firstRowFirstColumn="0" w:firstRowLastColumn="0" w:lastRowFirstColumn="0" w:lastRowLastColumn="0"/>
            </w:pPr>
            <w:r w:rsidRPr="007A1075">
              <w:t>3</w:t>
            </w:r>
            <w:r w:rsidR="006644D9">
              <w:t>,</w:t>
            </w:r>
            <w:r w:rsidRPr="007A1075">
              <w:t>422</w:t>
            </w:r>
          </w:p>
        </w:tc>
        <w:tc>
          <w:tcPr>
            <w:tcW w:w="992" w:type="dxa"/>
            <w:tcBorders>
              <w:top w:val="none" w:sz="0" w:space="0" w:color="auto"/>
              <w:bottom w:val="none" w:sz="0" w:space="0" w:color="auto"/>
            </w:tcBorders>
            <w:noWrap/>
            <w:hideMark/>
          </w:tcPr>
          <w:p w14:paraId="66C6F80A" w14:textId="77777777" w:rsidR="00AB4B83" w:rsidRPr="007A1075" w:rsidRDefault="00AB4B83" w:rsidP="00321BC5">
            <w:pPr>
              <w:pStyle w:val="TableText"/>
              <w:cnfStyle w:val="000000100000" w:firstRow="0" w:lastRow="0" w:firstColumn="0" w:lastColumn="0" w:oddVBand="0" w:evenVBand="0" w:oddHBand="1" w:evenHBand="0" w:firstRowFirstColumn="0" w:firstRowLastColumn="0" w:lastRowFirstColumn="0" w:lastRowLastColumn="0"/>
            </w:pPr>
            <w:r w:rsidRPr="007A1075">
              <w:t>&lt;.001</w:t>
            </w:r>
          </w:p>
        </w:tc>
        <w:tc>
          <w:tcPr>
            <w:tcW w:w="1418" w:type="dxa"/>
            <w:tcBorders>
              <w:top w:val="none" w:sz="0" w:space="0" w:color="auto"/>
              <w:bottom w:val="none" w:sz="0" w:space="0" w:color="auto"/>
            </w:tcBorders>
            <w:noWrap/>
            <w:hideMark/>
          </w:tcPr>
          <w:p w14:paraId="7A267E95" w14:textId="18849C60" w:rsidR="00AB4B83" w:rsidRPr="007A1075" w:rsidRDefault="00AB4B83" w:rsidP="00321BC5">
            <w:pPr>
              <w:pStyle w:val="TableText"/>
              <w:cnfStyle w:val="000000100000" w:firstRow="0" w:lastRow="0" w:firstColumn="0" w:lastColumn="0" w:oddVBand="0" w:evenVBand="0" w:oddHBand="1" w:evenHBand="0" w:firstRowFirstColumn="0" w:firstRowLastColumn="0" w:lastRowFirstColumn="0" w:lastRowLastColumn="0"/>
            </w:pPr>
            <w:r w:rsidRPr="007A1075">
              <w:t>59.3% (n=2</w:t>
            </w:r>
            <w:r>
              <w:t>,</w:t>
            </w:r>
            <w:r w:rsidRPr="007A1075">
              <w:t>028)</w:t>
            </w:r>
          </w:p>
        </w:tc>
      </w:tr>
      <w:tr w:rsidR="00AB4B83" w:rsidRPr="007A1075" w14:paraId="441B1199" w14:textId="77777777" w:rsidTr="0078378F">
        <w:trPr>
          <w:trHeight w:val="290"/>
        </w:trPr>
        <w:tc>
          <w:tcPr>
            <w:cnfStyle w:val="001000000000" w:firstRow="0" w:lastRow="0" w:firstColumn="1" w:lastColumn="0" w:oddVBand="0" w:evenVBand="0" w:oddHBand="0" w:evenHBand="0" w:firstRowFirstColumn="0" w:firstRowLastColumn="0" w:lastRowFirstColumn="0" w:lastRowLastColumn="0"/>
            <w:tcW w:w="1086" w:type="dxa"/>
            <w:vMerge/>
            <w:tcBorders>
              <w:right w:val="none" w:sz="0" w:space="0" w:color="auto"/>
            </w:tcBorders>
            <w:hideMark/>
          </w:tcPr>
          <w:p w14:paraId="08335CD3" w14:textId="77777777" w:rsidR="00AB4B83" w:rsidRPr="007A1075" w:rsidRDefault="00AB4B83" w:rsidP="00321BC5">
            <w:pPr>
              <w:pStyle w:val="TableText"/>
            </w:pPr>
          </w:p>
        </w:tc>
        <w:tc>
          <w:tcPr>
            <w:tcW w:w="1352" w:type="dxa"/>
            <w:vMerge/>
            <w:hideMark/>
          </w:tcPr>
          <w:p w14:paraId="357CAE52" w14:textId="77777777" w:rsidR="00AB4B83" w:rsidRPr="007A1075" w:rsidRDefault="00AB4B83" w:rsidP="00321BC5">
            <w:pPr>
              <w:pStyle w:val="TableText"/>
              <w:cnfStyle w:val="000000000000" w:firstRow="0" w:lastRow="0" w:firstColumn="0" w:lastColumn="0" w:oddVBand="0" w:evenVBand="0" w:oddHBand="0" w:evenHBand="0" w:firstRowFirstColumn="0" w:firstRowLastColumn="0" w:lastRowFirstColumn="0" w:lastRowLastColumn="0"/>
            </w:pPr>
          </w:p>
        </w:tc>
        <w:tc>
          <w:tcPr>
            <w:tcW w:w="1674" w:type="dxa"/>
            <w:vMerge/>
            <w:hideMark/>
          </w:tcPr>
          <w:p w14:paraId="0B3844F4" w14:textId="77777777" w:rsidR="00AB4B83" w:rsidRPr="007A1075" w:rsidRDefault="00AB4B83" w:rsidP="00321BC5">
            <w:pPr>
              <w:pStyle w:val="TableText"/>
              <w:cnfStyle w:val="000000000000" w:firstRow="0" w:lastRow="0" w:firstColumn="0" w:lastColumn="0" w:oddVBand="0" w:evenVBand="0" w:oddHBand="0" w:evenHBand="0" w:firstRowFirstColumn="0" w:firstRowLastColumn="0" w:lastRowFirstColumn="0" w:lastRowLastColumn="0"/>
            </w:pPr>
          </w:p>
        </w:tc>
        <w:tc>
          <w:tcPr>
            <w:tcW w:w="3396" w:type="dxa"/>
            <w:noWrap/>
            <w:hideMark/>
          </w:tcPr>
          <w:p w14:paraId="08B9EADC" w14:textId="77777777" w:rsidR="00AB4B83" w:rsidRPr="007A1075" w:rsidRDefault="00AB4B83" w:rsidP="00321BC5">
            <w:pPr>
              <w:pStyle w:val="TableText"/>
              <w:cnfStyle w:val="000000000000" w:firstRow="0" w:lastRow="0" w:firstColumn="0" w:lastColumn="0" w:oddVBand="0" w:evenVBand="0" w:oddHBand="0" w:evenHBand="0" w:firstRowFirstColumn="0" w:firstRowLastColumn="0" w:lastRowFirstColumn="0" w:lastRowLastColumn="0"/>
            </w:pPr>
            <w:r w:rsidRPr="57F92EFB">
              <w:rPr>
                <w:lang w:val="en-NZ"/>
              </w:rPr>
              <w:t>Empowerment, choice and control to make own decisions</w:t>
            </w:r>
          </w:p>
        </w:tc>
        <w:tc>
          <w:tcPr>
            <w:tcW w:w="1333" w:type="dxa"/>
            <w:noWrap/>
            <w:hideMark/>
          </w:tcPr>
          <w:p w14:paraId="5F739F76" w14:textId="77777777" w:rsidR="00AB4B83" w:rsidRPr="007A1075" w:rsidRDefault="00AB4B83" w:rsidP="00321BC5">
            <w:pPr>
              <w:pStyle w:val="TableText"/>
              <w:cnfStyle w:val="000000000000" w:firstRow="0" w:lastRow="0" w:firstColumn="0" w:lastColumn="0" w:oddVBand="0" w:evenVBand="0" w:oddHBand="0" w:evenHBand="0" w:firstRowFirstColumn="0" w:firstRowLastColumn="0" w:lastRowFirstColumn="0" w:lastRowLastColumn="0"/>
            </w:pPr>
            <w:r w:rsidRPr="007A1075">
              <w:t>1.03</w:t>
            </w:r>
          </w:p>
        </w:tc>
        <w:tc>
          <w:tcPr>
            <w:tcW w:w="1559" w:type="dxa"/>
            <w:noWrap/>
            <w:hideMark/>
          </w:tcPr>
          <w:p w14:paraId="71B94BC7" w14:textId="77777777" w:rsidR="00AB4B83" w:rsidRPr="007A1075" w:rsidRDefault="00AB4B83" w:rsidP="00321BC5">
            <w:pPr>
              <w:pStyle w:val="TableText"/>
              <w:cnfStyle w:val="000000000000" w:firstRow="0" w:lastRow="0" w:firstColumn="0" w:lastColumn="0" w:oddVBand="0" w:evenVBand="0" w:oddHBand="0" w:evenHBand="0" w:firstRowFirstColumn="0" w:firstRowLastColumn="0" w:lastRowFirstColumn="0" w:lastRowLastColumn="0"/>
            </w:pPr>
            <w:r w:rsidRPr="007A1075">
              <w:t>512750.5</w:t>
            </w:r>
          </w:p>
        </w:tc>
        <w:tc>
          <w:tcPr>
            <w:tcW w:w="1134" w:type="dxa"/>
            <w:noWrap/>
            <w:hideMark/>
          </w:tcPr>
          <w:p w14:paraId="6C9D104B" w14:textId="6B42D091" w:rsidR="00AB4B83" w:rsidRPr="007A1075" w:rsidRDefault="00AB4B83" w:rsidP="00321BC5">
            <w:pPr>
              <w:pStyle w:val="TableText"/>
              <w:cnfStyle w:val="000000000000" w:firstRow="0" w:lastRow="0" w:firstColumn="0" w:lastColumn="0" w:oddVBand="0" w:evenVBand="0" w:oddHBand="0" w:evenHBand="0" w:firstRowFirstColumn="0" w:firstRowLastColumn="0" w:lastRowFirstColumn="0" w:lastRowLastColumn="0"/>
            </w:pPr>
            <w:r w:rsidRPr="007A1075">
              <w:t>3</w:t>
            </w:r>
            <w:r w:rsidR="006644D9">
              <w:t>,</w:t>
            </w:r>
            <w:r w:rsidRPr="007A1075">
              <w:t>695</w:t>
            </w:r>
          </w:p>
        </w:tc>
        <w:tc>
          <w:tcPr>
            <w:tcW w:w="992" w:type="dxa"/>
            <w:noWrap/>
            <w:hideMark/>
          </w:tcPr>
          <w:p w14:paraId="608708F3" w14:textId="77777777" w:rsidR="00AB4B83" w:rsidRPr="007A1075" w:rsidRDefault="00AB4B83" w:rsidP="00321BC5">
            <w:pPr>
              <w:pStyle w:val="TableText"/>
              <w:cnfStyle w:val="000000000000" w:firstRow="0" w:lastRow="0" w:firstColumn="0" w:lastColumn="0" w:oddVBand="0" w:evenVBand="0" w:oddHBand="0" w:evenHBand="0" w:firstRowFirstColumn="0" w:firstRowLastColumn="0" w:lastRowFirstColumn="0" w:lastRowLastColumn="0"/>
            </w:pPr>
            <w:r w:rsidRPr="007A1075">
              <w:t>&lt;.001</w:t>
            </w:r>
          </w:p>
        </w:tc>
        <w:tc>
          <w:tcPr>
            <w:tcW w:w="1418" w:type="dxa"/>
            <w:noWrap/>
            <w:hideMark/>
          </w:tcPr>
          <w:p w14:paraId="376F4E49" w14:textId="56841E65" w:rsidR="00AB4B83" w:rsidRPr="007A1075" w:rsidRDefault="00AB4B83" w:rsidP="00321BC5">
            <w:pPr>
              <w:pStyle w:val="TableText"/>
              <w:cnfStyle w:val="000000000000" w:firstRow="0" w:lastRow="0" w:firstColumn="0" w:lastColumn="0" w:oddVBand="0" w:evenVBand="0" w:oddHBand="0" w:evenHBand="0" w:firstRowFirstColumn="0" w:firstRowLastColumn="0" w:lastRowFirstColumn="0" w:lastRowLastColumn="0"/>
            </w:pPr>
            <w:r w:rsidRPr="007A1075">
              <w:t>62.3% (n=2</w:t>
            </w:r>
            <w:r>
              <w:t>,</w:t>
            </w:r>
            <w:r w:rsidRPr="007A1075">
              <w:t>302)</w:t>
            </w:r>
          </w:p>
        </w:tc>
      </w:tr>
      <w:tr w:rsidR="00AB4B83" w:rsidRPr="007A1075" w14:paraId="5B9D261A" w14:textId="77777777" w:rsidTr="0078378F">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086" w:type="dxa"/>
            <w:vMerge/>
            <w:tcBorders>
              <w:top w:val="none" w:sz="0" w:space="0" w:color="auto"/>
              <w:bottom w:val="none" w:sz="0" w:space="0" w:color="auto"/>
              <w:right w:val="none" w:sz="0" w:space="0" w:color="auto"/>
            </w:tcBorders>
            <w:hideMark/>
          </w:tcPr>
          <w:p w14:paraId="5D7EF492" w14:textId="77777777" w:rsidR="00AB4B83" w:rsidRPr="007A1075" w:rsidRDefault="00AB4B83" w:rsidP="00321BC5">
            <w:pPr>
              <w:pStyle w:val="TableText"/>
              <w:rPr>
                <w:b w:val="0"/>
                <w:bCs w:val="0"/>
              </w:rPr>
            </w:pPr>
          </w:p>
        </w:tc>
        <w:tc>
          <w:tcPr>
            <w:tcW w:w="1352" w:type="dxa"/>
            <w:vMerge/>
            <w:tcBorders>
              <w:top w:val="none" w:sz="0" w:space="0" w:color="auto"/>
              <w:bottom w:val="none" w:sz="0" w:space="0" w:color="auto"/>
            </w:tcBorders>
            <w:hideMark/>
          </w:tcPr>
          <w:p w14:paraId="6A7964A5" w14:textId="77777777" w:rsidR="00AB4B83" w:rsidRPr="007A1075" w:rsidRDefault="00AB4B83" w:rsidP="00321BC5">
            <w:pPr>
              <w:pStyle w:val="TableText"/>
              <w:cnfStyle w:val="000000100000" w:firstRow="0" w:lastRow="0" w:firstColumn="0" w:lastColumn="0" w:oddVBand="0" w:evenVBand="0" w:oddHBand="1" w:evenHBand="0" w:firstRowFirstColumn="0" w:firstRowLastColumn="0" w:lastRowFirstColumn="0" w:lastRowLastColumn="0"/>
            </w:pPr>
          </w:p>
        </w:tc>
        <w:tc>
          <w:tcPr>
            <w:tcW w:w="1674" w:type="dxa"/>
            <w:vMerge/>
            <w:tcBorders>
              <w:top w:val="none" w:sz="0" w:space="0" w:color="auto"/>
              <w:bottom w:val="none" w:sz="0" w:space="0" w:color="auto"/>
            </w:tcBorders>
            <w:hideMark/>
          </w:tcPr>
          <w:p w14:paraId="4E170574" w14:textId="77777777" w:rsidR="00AB4B83" w:rsidRPr="007A1075" w:rsidRDefault="00AB4B83" w:rsidP="00321BC5">
            <w:pPr>
              <w:pStyle w:val="TableText"/>
              <w:cnfStyle w:val="000000100000" w:firstRow="0" w:lastRow="0" w:firstColumn="0" w:lastColumn="0" w:oddVBand="0" w:evenVBand="0" w:oddHBand="1" w:evenHBand="0" w:firstRowFirstColumn="0" w:firstRowLastColumn="0" w:lastRowFirstColumn="0" w:lastRowLastColumn="0"/>
            </w:pPr>
          </w:p>
        </w:tc>
        <w:tc>
          <w:tcPr>
            <w:tcW w:w="3396" w:type="dxa"/>
            <w:tcBorders>
              <w:top w:val="none" w:sz="0" w:space="0" w:color="auto"/>
              <w:bottom w:val="none" w:sz="0" w:space="0" w:color="auto"/>
            </w:tcBorders>
            <w:noWrap/>
            <w:hideMark/>
          </w:tcPr>
          <w:p w14:paraId="6439021D" w14:textId="77777777" w:rsidR="00AB4B83" w:rsidRPr="007A1075" w:rsidRDefault="00AB4B83" w:rsidP="00321BC5">
            <w:pPr>
              <w:pStyle w:val="TableText"/>
              <w:cnfStyle w:val="000000100000" w:firstRow="0" w:lastRow="0" w:firstColumn="0" w:lastColumn="0" w:oddVBand="0" w:evenVBand="0" w:oddHBand="1" w:evenHBand="0" w:firstRowFirstColumn="0" w:firstRowLastColumn="0" w:lastRowFirstColumn="0" w:lastRowLastColumn="0"/>
            </w:pPr>
            <w:r w:rsidRPr="007A1075">
              <w:t>Engagement with relevant support services</w:t>
            </w:r>
          </w:p>
        </w:tc>
        <w:tc>
          <w:tcPr>
            <w:tcW w:w="1333" w:type="dxa"/>
            <w:tcBorders>
              <w:top w:val="none" w:sz="0" w:space="0" w:color="auto"/>
              <w:bottom w:val="none" w:sz="0" w:space="0" w:color="auto"/>
            </w:tcBorders>
            <w:noWrap/>
            <w:hideMark/>
          </w:tcPr>
          <w:p w14:paraId="7A12FD9B" w14:textId="77777777" w:rsidR="00AB4B83" w:rsidRPr="007A1075" w:rsidRDefault="00AB4B83" w:rsidP="00321BC5">
            <w:pPr>
              <w:pStyle w:val="TableText"/>
              <w:cnfStyle w:val="000000100000" w:firstRow="0" w:lastRow="0" w:firstColumn="0" w:lastColumn="0" w:oddVBand="0" w:evenVBand="0" w:oddHBand="1" w:evenHBand="0" w:firstRowFirstColumn="0" w:firstRowLastColumn="0" w:lastRowFirstColumn="0" w:lastRowLastColumn="0"/>
            </w:pPr>
            <w:r w:rsidRPr="007A1075">
              <w:t>0.95</w:t>
            </w:r>
          </w:p>
        </w:tc>
        <w:tc>
          <w:tcPr>
            <w:tcW w:w="1559" w:type="dxa"/>
            <w:tcBorders>
              <w:top w:val="none" w:sz="0" w:space="0" w:color="auto"/>
              <w:bottom w:val="none" w:sz="0" w:space="0" w:color="auto"/>
            </w:tcBorders>
            <w:noWrap/>
            <w:hideMark/>
          </w:tcPr>
          <w:p w14:paraId="459812CD" w14:textId="77777777" w:rsidR="00AB4B83" w:rsidRPr="007A1075" w:rsidRDefault="00AB4B83" w:rsidP="00321BC5">
            <w:pPr>
              <w:pStyle w:val="TableText"/>
              <w:cnfStyle w:val="000000100000" w:firstRow="0" w:lastRow="0" w:firstColumn="0" w:lastColumn="0" w:oddVBand="0" w:evenVBand="0" w:oddHBand="1" w:evenHBand="0" w:firstRowFirstColumn="0" w:firstRowLastColumn="0" w:lastRowFirstColumn="0" w:lastRowLastColumn="0"/>
            </w:pPr>
            <w:r w:rsidRPr="007A1075">
              <w:t>332973</w:t>
            </w:r>
          </w:p>
        </w:tc>
        <w:tc>
          <w:tcPr>
            <w:tcW w:w="1134" w:type="dxa"/>
            <w:tcBorders>
              <w:top w:val="none" w:sz="0" w:space="0" w:color="auto"/>
              <w:bottom w:val="none" w:sz="0" w:space="0" w:color="auto"/>
            </w:tcBorders>
            <w:noWrap/>
            <w:hideMark/>
          </w:tcPr>
          <w:p w14:paraId="76162719" w14:textId="73760840" w:rsidR="00AB4B83" w:rsidRPr="007A1075" w:rsidRDefault="00AB4B83" w:rsidP="00321BC5">
            <w:pPr>
              <w:pStyle w:val="TableText"/>
              <w:cnfStyle w:val="000000100000" w:firstRow="0" w:lastRow="0" w:firstColumn="0" w:lastColumn="0" w:oddVBand="0" w:evenVBand="0" w:oddHBand="1" w:evenHBand="0" w:firstRowFirstColumn="0" w:firstRowLastColumn="0" w:lastRowFirstColumn="0" w:lastRowLastColumn="0"/>
            </w:pPr>
            <w:r w:rsidRPr="007A1075">
              <w:t>2</w:t>
            </w:r>
            <w:r w:rsidR="006644D9">
              <w:t>,</w:t>
            </w:r>
            <w:r w:rsidRPr="007A1075">
              <w:t>720</w:t>
            </w:r>
          </w:p>
        </w:tc>
        <w:tc>
          <w:tcPr>
            <w:tcW w:w="992" w:type="dxa"/>
            <w:tcBorders>
              <w:top w:val="none" w:sz="0" w:space="0" w:color="auto"/>
              <w:bottom w:val="none" w:sz="0" w:space="0" w:color="auto"/>
            </w:tcBorders>
            <w:noWrap/>
            <w:hideMark/>
          </w:tcPr>
          <w:p w14:paraId="4AE6E81C" w14:textId="77777777" w:rsidR="00AB4B83" w:rsidRPr="007A1075" w:rsidRDefault="00AB4B83" w:rsidP="00321BC5">
            <w:pPr>
              <w:pStyle w:val="TableText"/>
              <w:cnfStyle w:val="000000100000" w:firstRow="0" w:lastRow="0" w:firstColumn="0" w:lastColumn="0" w:oddVBand="0" w:evenVBand="0" w:oddHBand="1" w:evenHBand="0" w:firstRowFirstColumn="0" w:firstRowLastColumn="0" w:lastRowFirstColumn="0" w:lastRowLastColumn="0"/>
            </w:pPr>
            <w:r w:rsidRPr="007A1075">
              <w:t>&lt;.001</w:t>
            </w:r>
          </w:p>
        </w:tc>
        <w:tc>
          <w:tcPr>
            <w:tcW w:w="1418" w:type="dxa"/>
            <w:tcBorders>
              <w:top w:val="none" w:sz="0" w:space="0" w:color="auto"/>
              <w:bottom w:val="none" w:sz="0" w:space="0" w:color="auto"/>
            </w:tcBorders>
            <w:noWrap/>
            <w:hideMark/>
          </w:tcPr>
          <w:p w14:paraId="17636818" w14:textId="5D98C70B" w:rsidR="00AB4B83" w:rsidRPr="007A1075" w:rsidRDefault="00AB4B83" w:rsidP="00321BC5">
            <w:pPr>
              <w:pStyle w:val="TableText"/>
              <w:cnfStyle w:val="000000100000" w:firstRow="0" w:lastRow="0" w:firstColumn="0" w:lastColumn="0" w:oddVBand="0" w:evenVBand="0" w:oddHBand="1" w:evenHBand="0" w:firstRowFirstColumn="0" w:firstRowLastColumn="0" w:lastRowFirstColumn="0" w:lastRowLastColumn="0"/>
            </w:pPr>
            <w:r w:rsidRPr="007A1075">
              <w:t>58.6% (n=1</w:t>
            </w:r>
            <w:r>
              <w:t>,</w:t>
            </w:r>
            <w:r w:rsidRPr="007A1075">
              <w:t>595)</w:t>
            </w:r>
          </w:p>
        </w:tc>
      </w:tr>
      <w:tr w:rsidR="00AB4B83" w:rsidRPr="007A1075" w14:paraId="4D228BB4" w14:textId="77777777" w:rsidTr="0078378F">
        <w:trPr>
          <w:trHeight w:val="290"/>
        </w:trPr>
        <w:tc>
          <w:tcPr>
            <w:cnfStyle w:val="001000000000" w:firstRow="0" w:lastRow="0" w:firstColumn="1" w:lastColumn="0" w:oddVBand="0" w:evenVBand="0" w:oddHBand="0" w:evenHBand="0" w:firstRowFirstColumn="0" w:firstRowLastColumn="0" w:lastRowFirstColumn="0" w:lastRowLastColumn="0"/>
            <w:tcW w:w="1086" w:type="dxa"/>
            <w:vMerge/>
            <w:tcBorders>
              <w:right w:val="none" w:sz="0" w:space="0" w:color="auto"/>
            </w:tcBorders>
            <w:hideMark/>
          </w:tcPr>
          <w:p w14:paraId="36CB94EE" w14:textId="77777777" w:rsidR="00AB4B83" w:rsidRPr="007A1075" w:rsidRDefault="00AB4B83" w:rsidP="00321BC5">
            <w:pPr>
              <w:pStyle w:val="TableText"/>
            </w:pPr>
          </w:p>
        </w:tc>
        <w:tc>
          <w:tcPr>
            <w:tcW w:w="1352" w:type="dxa"/>
            <w:vMerge w:val="restart"/>
            <w:hideMark/>
          </w:tcPr>
          <w:p w14:paraId="3B1D2E00" w14:textId="77777777" w:rsidR="00AB4B83" w:rsidRPr="007A1075" w:rsidRDefault="00AB4B83" w:rsidP="00321BC5">
            <w:pPr>
              <w:pStyle w:val="TableText"/>
              <w:cnfStyle w:val="000000000000" w:firstRow="0" w:lastRow="0" w:firstColumn="0" w:lastColumn="0" w:oddVBand="0" w:evenVBand="0" w:oddHBand="0" w:evenHBand="0" w:firstRowFirstColumn="0" w:firstRowLastColumn="0" w:lastRowFirstColumn="0" w:lastRowLastColumn="0"/>
            </w:pPr>
            <w:r w:rsidRPr="007A1075">
              <w:t>Persons with disabilities</w:t>
            </w:r>
          </w:p>
        </w:tc>
        <w:tc>
          <w:tcPr>
            <w:tcW w:w="1674" w:type="dxa"/>
            <w:vMerge w:val="restart"/>
            <w:hideMark/>
          </w:tcPr>
          <w:p w14:paraId="697A9109" w14:textId="77777777" w:rsidR="00AB4B83" w:rsidRPr="007A1075" w:rsidRDefault="00AB4B83" w:rsidP="00321BC5">
            <w:pPr>
              <w:pStyle w:val="TableText"/>
              <w:cnfStyle w:val="000000000000" w:firstRow="0" w:lastRow="0" w:firstColumn="0" w:lastColumn="0" w:oddVBand="0" w:evenVBand="0" w:oddHBand="0" w:evenHBand="0" w:firstRowFirstColumn="0" w:firstRowLastColumn="0" w:lastRowFirstColumn="0" w:lastRowLastColumn="0"/>
            </w:pPr>
            <w:r w:rsidRPr="007A1075">
              <w:t>Circumstances</w:t>
            </w:r>
          </w:p>
        </w:tc>
        <w:tc>
          <w:tcPr>
            <w:tcW w:w="3396" w:type="dxa"/>
            <w:noWrap/>
            <w:hideMark/>
          </w:tcPr>
          <w:p w14:paraId="1E1AFAB6" w14:textId="77777777" w:rsidR="00AB4B83" w:rsidRPr="007A1075" w:rsidRDefault="00AB4B83" w:rsidP="00321BC5">
            <w:pPr>
              <w:pStyle w:val="TableText"/>
              <w:cnfStyle w:val="000000000000" w:firstRow="0" w:lastRow="0" w:firstColumn="0" w:lastColumn="0" w:oddVBand="0" w:evenVBand="0" w:oddHBand="0" w:evenHBand="0" w:firstRowFirstColumn="0" w:firstRowLastColumn="0" w:lastRowFirstColumn="0" w:lastRowLastColumn="0"/>
            </w:pPr>
            <w:r w:rsidRPr="007A1075">
              <w:t>Family functioning</w:t>
            </w:r>
          </w:p>
        </w:tc>
        <w:tc>
          <w:tcPr>
            <w:tcW w:w="1333" w:type="dxa"/>
            <w:noWrap/>
            <w:hideMark/>
          </w:tcPr>
          <w:p w14:paraId="0C10D5F0" w14:textId="77777777" w:rsidR="00AB4B83" w:rsidRPr="007A1075" w:rsidRDefault="00AB4B83" w:rsidP="00321BC5">
            <w:pPr>
              <w:pStyle w:val="TableText"/>
              <w:cnfStyle w:val="000000000000" w:firstRow="0" w:lastRow="0" w:firstColumn="0" w:lastColumn="0" w:oddVBand="0" w:evenVBand="0" w:oddHBand="0" w:evenHBand="0" w:firstRowFirstColumn="0" w:firstRowLastColumn="0" w:lastRowFirstColumn="0" w:lastRowLastColumn="0"/>
            </w:pPr>
            <w:r w:rsidRPr="007A1075">
              <w:t>0.75</w:t>
            </w:r>
          </w:p>
        </w:tc>
        <w:tc>
          <w:tcPr>
            <w:tcW w:w="1559" w:type="dxa"/>
            <w:noWrap/>
            <w:hideMark/>
          </w:tcPr>
          <w:p w14:paraId="7CEC060A" w14:textId="77777777" w:rsidR="00AB4B83" w:rsidRPr="007A1075" w:rsidRDefault="00AB4B83" w:rsidP="00321BC5">
            <w:pPr>
              <w:pStyle w:val="TableText"/>
              <w:cnfStyle w:val="000000000000" w:firstRow="0" w:lastRow="0" w:firstColumn="0" w:lastColumn="0" w:oddVBand="0" w:evenVBand="0" w:oddHBand="0" w:evenHBand="0" w:firstRowFirstColumn="0" w:firstRowLastColumn="0" w:lastRowFirstColumn="0" w:lastRowLastColumn="0"/>
            </w:pPr>
            <w:r w:rsidRPr="007A1075">
              <w:t>19610</w:t>
            </w:r>
          </w:p>
        </w:tc>
        <w:tc>
          <w:tcPr>
            <w:tcW w:w="1134" w:type="dxa"/>
            <w:noWrap/>
            <w:hideMark/>
          </w:tcPr>
          <w:p w14:paraId="05B0B422" w14:textId="77777777" w:rsidR="00AB4B83" w:rsidRPr="007A1075" w:rsidRDefault="00AB4B83" w:rsidP="00321BC5">
            <w:pPr>
              <w:pStyle w:val="TableText"/>
              <w:cnfStyle w:val="000000000000" w:firstRow="0" w:lastRow="0" w:firstColumn="0" w:lastColumn="0" w:oddVBand="0" w:evenVBand="0" w:oddHBand="0" w:evenHBand="0" w:firstRowFirstColumn="0" w:firstRowLastColumn="0" w:lastRowFirstColumn="0" w:lastRowLastColumn="0"/>
            </w:pPr>
            <w:r w:rsidRPr="007A1075">
              <w:t>632</w:t>
            </w:r>
          </w:p>
        </w:tc>
        <w:tc>
          <w:tcPr>
            <w:tcW w:w="992" w:type="dxa"/>
            <w:noWrap/>
            <w:hideMark/>
          </w:tcPr>
          <w:p w14:paraId="66FB31A0" w14:textId="77777777" w:rsidR="00AB4B83" w:rsidRPr="007A1075" w:rsidRDefault="00AB4B83" w:rsidP="00321BC5">
            <w:pPr>
              <w:pStyle w:val="TableText"/>
              <w:cnfStyle w:val="000000000000" w:firstRow="0" w:lastRow="0" w:firstColumn="0" w:lastColumn="0" w:oddVBand="0" w:evenVBand="0" w:oddHBand="0" w:evenHBand="0" w:firstRowFirstColumn="0" w:firstRowLastColumn="0" w:lastRowFirstColumn="0" w:lastRowLastColumn="0"/>
            </w:pPr>
            <w:r w:rsidRPr="007A1075">
              <w:t>&lt;.001</w:t>
            </w:r>
          </w:p>
        </w:tc>
        <w:tc>
          <w:tcPr>
            <w:tcW w:w="1418" w:type="dxa"/>
            <w:noWrap/>
            <w:hideMark/>
          </w:tcPr>
          <w:p w14:paraId="4DABA695" w14:textId="77777777" w:rsidR="00AB4B83" w:rsidRPr="007A1075" w:rsidRDefault="00AB4B83" w:rsidP="00321BC5">
            <w:pPr>
              <w:pStyle w:val="TableText"/>
              <w:cnfStyle w:val="000000000000" w:firstRow="0" w:lastRow="0" w:firstColumn="0" w:lastColumn="0" w:oddVBand="0" w:evenVBand="0" w:oddHBand="0" w:evenHBand="0" w:firstRowFirstColumn="0" w:firstRowLastColumn="0" w:lastRowFirstColumn="0" w:lastRowLastColumn="0"/>
            </w:pPr>
            <w:r w:rsidRPr="007A1075">
              <w:t>51.6% (n=326)</w:t>
            </w:r>
          </w:p>
        </w:tc>
      </w:tr>
      <w:tr w:rsidR="00AB4B83" w:rsidRPr="007A1075" w14:paraId="46D38ED8" w14:textId="77777777" w:rsidTr="0078378F">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086" w:type="dxa"/>
            <w:vMerge/>
            <w:tcBorders>
              <w:top w:val="none" w:sz="0" w:space="0" w:color="auto"/>
              <w:bottom w:val="none" w:sz="0" w:space="0" w:color="auto"/>
              <w:right w:val="none" w:sz="0" w:space="0" w:color="auto"/>
            </w:tcBorders>
            <w:hideMark/>
          </w:tcPr>
          <w:p w14:paraId="41564F9B" w14:textId="77777777" w:rsidR="00AB4B83" w:rsidRPr="007A1075" w:rsidRDefault="00AB4B83" w:rsidP="00321BC5">
            <w:pPr>
              <w:pStyle w:val="TableText"/>
              <w:rPr>
                <w:b w:val="0"/>
                <w:bCs w:val="0"/>
              </w:rPr>
            </w:pPr>
          </w:p>
        </w:tc>
        <w:tc>
          <w:tcPr>
            <w:tcW w:w="1352" w:type="dxa"/>
            <w:vMerge/>
            <w:tcBorders>
              <w:top w:val="none" w:sz="0" w:space="0" w:color="auto"/>
              <w:bottom w:val="none" w:sz="0" w:space="0" w:color="auto"/>
            </w:tcBorders>
            <w:hideMark/>
          </w:tcPr>
          <w:p w14:paraId="2738D7A2" w14:textId="77777777" w:rsidR="00AB4B83" w:rsidRPr="007A1075" w:rsidRDefault="00AB4B83" w:rsidP="00321BC5">
            <w:pPr>
              <w:pStyle w:val="TableText"/>
              <w:cnfStyle w:val="000000100000" w:firstRow="0" w:lastRow="0" w:firstColumn="0" w:lastColumn="0" w:oddVBand="0" w:evenVBand="0" w:oddHBand="1" w:evenHBand="0" w:firstRowFirstColumn="0" w:firstRowLastColumn="0" w:lastRowFirstColumn="0" w:lastRowLastColumn="0"/>
            </w:pPr>
          </w:p>
        </w:tc>
        <w:tc>
          <w:tcPr>
            <w:tcW w:w="1674" w:type="dxa"/>
            <w:vMerge/>
            <w:tcBorders>
              <w:top w:val="none" w:sz="0" w:space="0" w:color="auto"/>
              <w:bottom w:val="none" w:sz="0" w:space="0" w:color="auto"/>
            </w:tcBorders>
            <w:hideMark/>
          </w:tcPr>
          <w:p w14:paraId="4AB53206" w14:textId="77777777" w:rsidR="00AB4B83" w:rsidRPr="007A1075" w:rsidRDefault="00AB4B83" w:rsidP="00321BC5">
            <w:pPr>
              <w:pStyle w:val="TableText"/>
              <w:cnfStyle w:val="000000100000" w:firstRow="0" w:lastRow="0" w:firstColumn="0" w:lastColumn="0" w:oddVBand="0" w:evenVBand="0" w:oddHBand="1" w:evenHBand="0" w:firstRowFirstColumn="0" w:firstRowLastColumn="0" w:lastRowFirstColumn="0" w:lastRowLastColumn="0"/>
            </w:pPr>
          </w:p>
        </w:tc>
        <w:tc>
          <w:tcPr>
            <w:tcW w:w="3396" w:type="dxa"/>
            <w:tcBorders>
              <w:top w:val="none" w:sz="0" w:space="0" w:color="auto"/>
              <w:bottom w:val="none" w:sz="0" w:space="0" w:color="auto"/>
            </w:tcBorders>
            <w:noWrap/>
            <w:hideMark/>
          </w:tcPr>
          <w:p w14:paraId="244CF7A8" w14:textId="77777777" w:rsidR="00AB4B83" w:rsidRPr="007A1075" w:rsidRDefault="00AB4B83" w:rsidP="00321BC5">
            <w:pPr>
              <w:pStyle w:val="TableText"/>
              <w:cnfStyle w:val="000000100000" w:firstRow="0" w:lastRow="0" w:firstColumn="0" w:lastColumn="0" w:oddVBand="0" w:evenVBand="0" w:oddHBand="1" w:evenHBand="0" w:firstRowFirstColumn="0" w:firstRowLastColumn="0" w:lastRowFirstColumn="0" w:lastRowLastColumn="0"/>
            </w:pPr>
            <w:r w:rsidRPr="57F92EFB">
              <w:rPr>
                <w:lang w:val="en-NZ"/>
              </w:rPr>
              <w:t>Mental health, wellbeing and self-care</w:t>
            </w:r>
          </w:p>
        </w:tc>
        <w:tc>
          <w:tcPr>
            <w:tcW w:w="1333" w:type="dxa"/>
            <w:tcBorders>
              <w:top w:val="none" w:sz="0" w:space="0" w:color="auto"/>
              <w:bottom w:val="none" w:sz="0" w:space="0" w:color="auto"/>
            </w:tcBorders>
            <w:noWrap/>
            <w:hideMark/>
          </w:tcPr>
          <w:p w14:paraId="37C5BBF4" w14:textId="77777777" w:rsidR="00AB4B83" w:rsidRPr="007A1075" w:rsidRDefault="00AB4B83" w:rsidP="00321BC5">
            <w:pPr>
              <w:pStyle w:val="TableText"/>
              <w:cnfStyle w:val="000000100000" w:firstRow="0" w:lastRow="0" w:firstColumn="0" w:lastColumn="0" w:oddVBand="0" w:evenVBand="0" w:oddHBand="1" w:evenHBand="0" w:firstRowFirstColumn="0" w:firstRowLastColumn="0" w:lastRowFirstColumn="0" w:lastRowLastColumn="0"/>
            </w:pPr>
            <w:r w:rsidRPr="007A1075">
              <w:t>0.86</w:t>
            </w:r>
          </w:p>
        </w:tc>
        <w:tc>
          <w:tcPr>
            <w:tcW w:w="1559" w:type="dxa"/>
            <w:tcBorders>
              <w:top w:val="none" w:sz="0" w:space="0" w:color="auto"/>
              <w:bottom w:val="none" w:sz="0" w:space="0" w:color="auto"/>
            </w:tcBorders>
            <w:noWrap/>
            <w:hideMark/>
          </w:tcPr>
          <w:p w14:paraId="37C843E7" w14:textId="77777777" w:rsidR="00AB4B83" w:rsidRPr="007A1075" w:rsidRDefault="00AB4B83" w:rsidP="00321BC5">
            <w:pPr>
              <w:pStyle w:val="TableText"/>
              <w:cnfStyle w:val="000000100000" w:firstRow="0" w:lastRow="0" w:firstColumn="0" w:lastColumn="0" w:oddVBand="0" w:evenVBand="0" w:oddHBand="1" w:evenHBand="0" w:firstRowFirstColumn="0" w:firstRowLastColumn="0" w:lastRowFirstColumn="0" w:lastRowLastColumn="0"/>
            </w:pPr>
            <w:r w:rsidRPr="007A1075">
              <w:t>17097.5</w:t>
            </w:r>
          </w:p>
        </w:tc>
        <w:tc>
          <w:tcPr>
            <w:tcW w:w="1134" w:type="dxa"/>
            <w:tcBorders>
              <w:top w:val="none" w:sz="0" w:space="0" w:color="auto"/>
              <w:bottom w:val="none" w:sz="0" w:space="0" w:color="auto"/>
            </w:tcBorders>
            <w:noWrap/>
            <w:hideMark/>
          </w:tcPr>
          <w:p w14:paraId="18E1BA9B" w14:textId="77777777" w:rsidR="00AB4B83" w:rsidRPr="007A1075" w:rsidRDefault="00AB4B83" w:rsidP="00321BC5">
            <w:pPr>
              <w:pStyle w:val="TableText"/>
              <w:cnfStyle w:val="000000100000" w:firstRow="0" w:lastRow="0" w:firstColumn="0" w:lastColumn="0" w:oddVBand="0" w:evenVBand="0" w:oddHBand="1" w:evenHBand="0" w:firstRowFirstColumn="0" w:firstRowLastColumn="0" w:lastRowFirstColumn="0" w:lastRowLastColumn="0"/>
            </w:pPr>
            <w:r w:rsidRPr="007A1075">
              <w:t>666</w:t>
            </w:r>
          </w:p>
        </w:tc>
        <w:tc>
          <w:tcPr>
            <w:tcW w:w="992" w:type="dxa"/>
            <w:tcBorders>
              <w:top w:val="none" w:sz="0" w:space="0" w:color="auto"/>
              <w:bottom w:val="none" w:sz="0" w:space="0" w:color="auto"/>
            </w:tcBorders>
            <w:noWrap/>
            <w:hideMark/>
          </w:tcPr>
          <w:p w14:paraId="26C07CF0" w14:textId="77777777" w:rsidR="00AB4B83" w:rsidRPr="007A1075" w:rsidRDefault="00AB4B83" w:rsidP="00321BC5">
            <w:pPr>
              <w:pStyle w:val="TableText"/>
              <w:cnfStyle w:val="000000100000" w:firstRow="0" w:lastRow="0" w:firstColumn="0" w:lastColumn="0" w:oddVBand="0" w:evenVBand="0" w:oddHBand="1" w:evenHBand="0" w:firstRowFirstColumn="0" w:firstRowLastColumn="0" w:lastRowFirstColumn="0" w:lastRowLastColumn="0"/>
            </w:pPr>
            <w:r w:rsidRPr="007A1075">
              <w:t>&lt;.001</w:t>
            </w:r>
          </w:p>
        </w:tc>
        <w:tc>
          <w:tcPr>
            <w:tcW w:w="1418" w:type="dxa"/>
            <w:tcBorders>
              <w:top w:val="none" w:sz="0" w:space="0" w:color="auto"/>
              <w:bottom w:val="none" w:sz="0" w:space="0" w:color="auto"/>
            </w:tcBorders>
            <w:noWrap/>
            <w:hideMark/>
          </w:tcPr>
          <w:p w14:paraId="4185D89B" w14:textId="77777777" w:rsidR="00AB4B83" w:rsidRPr="007A1075" w:rsidRDefault="00AB4B83" w:rsidP="00321BC5">
            <w:pPr>
              <w:pStyle w:val="TableText"/>
              <w:cnfStyle w:val="000000100000" w:firstRow="0" w:lastRow="0" w:firstColumn="0" w:lastColumn="0" w:oddVBand="0" w:evenVBand="0" w:oddHBand="1" w:evenHBand="0" w:firstRowFirstColumn="0" w:firstRowLastColumn="0" w:lastRowFirstColumn="0" w:lastRowLastColumn="0"/>
            </w:pPr>
            <w:r w:rsidRPr="007A1075">
              <w:t>56.0% (n=373)</w:t>
            </w:r>
          </w:p>
        </w:tc>
      </w:tr>
      <w:tr w:rsidR="00AB4B83" w:rsidRPr="007A1075" w14:paraId="1B385CA5" w14:textId="77777777" w:rsidTr="0078378F">
        <w:trPr>
          <w:trHeight w:val="290"/>
        </w:trPr>
        <w:tc>
          <w:tcPr>
            <w:cnfStyle w:val="001000000000" w:firstRow="0" w:lastRow="0" w:firstColumn="1" w:lastColumn="0" w:oddVBand="0" w:evenVBand="0" w:oddHBand="0" w:evenHBand="0" w:firstRowFirstColumn="0" w:firstRowLastColumn="0" w:lastRowFirstColumn="0" w:lastRowLastColumn="0"/>
            <w:tcW w:w="1086" w:type="dxa"/>
            <w:vMerge/>
            <w:tcBorders>
              <w:right w:val="none" w:sz="0" w:space="0" w:color="auto"/>
            </w:tcBorders>
            <w:hideMark/>
          </w:tcPr>
          <w:p w14:paraId="3D1BDAD2" w14:textId="77777777" w:rsidR="00AB4B83" w:rsidRPr="007A1075" w:rsidRDefault="00AB4B83" w:rsidP="00321BC5">
            <w:pPr>
              <w:pStyle w:val="TableText"/>
            </w:pPr>
          </w:p>
        </w:tc>
        <w:tc>
          <w:tcPr>
            <w:tcW w:w="1352" w:type="dxa"/>
            <w:vMerge/>
            <w:hideMark/>
          </w:tcPr>
          <w:p w14:paraId="70A688C5" w14:textId="77777777" w:rsidR="00AB4B83" w:rsidRPr="007A1075" w:rsidRDefault="00AB4B83" w:rsidP="00321BC5">
            <w:pPr>
              <w:pStyle w:val="TableText"/>
              <w:cnfStyle w:val="000000000000" w:firstRow="0" w:lastRow="0" w:firstColumn="0" w:lastColumn="0" w:oddVBand="0" w:evenVBand="0" w:oddHBand="0" w:evenHBand="0" w:firstRowFirstColumn="0" w:firstRowLastColumn="0" w:lastRowFirstColumn="0" w:lastRowLastColumn="0"/>
            </w:pPr>
          </w:p>
        </w:tc>
        <w:tc>
          <w:tcPr>
            <w:tcW w:w="1674" w:type="dxa"/>
            <w:vMerge/>
            <w:hideMark/>
          </w:tcPr>
          <w:p w14:paraId="3FD9EFA4" w14:textId="77777777" w:rsidR="00AB4B83" w:rsidRPr="007A1075" w:rsidRDefault="00AB4B83" w:rsidP="00321BC5">
            <w:pPr>
              <w:pStyle w:val="TableText"/>
              <w:cnfStyle w:val="000000000000" w:firstRow="0" w:lastRow="0" w:firstColumn="0" w:lastColumn="0" w:oddVBand="0" w:evenVBand="0" w:oddHBand="0" w:evenHBand="0" w:firstRowFirstColumn="0" w:firstRowLastColumn="0" w:lastRowFirstColumn="0" w:lastRowLastColumn="0"/>
            </w:pPr>
          </w:p>
        </w:tc>
        <w:tc>
          <w:tcPr>
            <w:tcW w:w="3396" w:type="dxa"/>
            <w:noWrap/>
            <w:hideMark/>
          </w:tcPr>
          <w:p w14:paraId="26CB4D02" w14:textId="77777777" w:rsidR="00AB4B83" w:rsidRPr="007A1075" w:rsidRDefault="00AB4B83" w:rsidP="00321BC5">
            <w:pPr>
              <w:pStyle w:val="TableText"/>
              <w:cnfStyle w:val="000000000000" w:firstRow="0" w:lastRow="0" w:firstColumn="0" w:lastColumn="0" w:oddVBand="0" w:evenVBand="0" w:oddHBand="0" w:evenHBand="0" w:firstRowFirstColumn="0" w:firstRowLastColumn="0" w:lastRowFirstColumn="0" w:lastRowLastColumn="0"/>
            </w:pPr>
            <w:r w:rsidRPr="007A1075">
              <w:t>Personal and family safety</w:t>
            </w:r>
          </w:p>
        </w:tc>
        <w:tc>
          <w:tcPr>
            <w:tcW w:w="1333" w:type="dxa"/>
            <w:noWrap/>
            <w:hideMark/>
          </w:tcPr>
          <w:p w14:paraId="605604D1" w14:textId="77777777" w:rsidR="00AB4B83" w:rsidRPr="007A1075" w:rsidRDefault="00AB4B83" w:rsidP="00321BC5">
            <w:pPr>
              <w:pStyle w:val="TableText"/>
              <w:cnfStyle w:val="000000000000" w:firstRow="0" w:lastRow="0" w:firstColumn="0" w:lastColumn="0" w:oddVBand="0" w:evenVBand="0" w:oddHBand="0" w:evenHBand="0" w:firstRowFirstColumn="0" w:firstRowLastColumn="0" w:lastRowFirstColumn="0" w:lastRowLastColumn="0"/>
            </w:pPr>
            <w:r w:rsidRPr="007A1075">
              <w:t>1.02</w:t>
            </w:r>
          </w:p>
        </w:tc>
        <w:tc>
          <w:tcPr>
            <w:tcW w:w="1559" w:type="dxa"/>
            <w:noWrap/>
            <w:hideMark/>
          </w:tcPr>
          <w:p w14:paraId="5F039D84" w14:textId="77777777" w:rsidR="00AB4B83" w:rsidRPr="007A1075" w:rsidRDefault="00AB4B83" w:rsidP="00321BC5">
            <w:pPr>
              <w:pStyle w:val="TableText"/>
              <w:cnfStyle w:val="000000000000" w:firstRow="0" w:lastRow="0" w:firstColumn="0" w:lastColumn="0" w:oddVBand="0" w:evenVBand="0" w:oddHBand="0" w:evenHBand="0" w:firstRowFirstColumn="0" w:firstRowLastColumn="0" w:lastRowFirstColumn="0" w:lastRowLastColumn="0"/>
            </w:pPr>
            <w:r w:rsidRPr="007A1075">
              <w:t>25802</w:t>
            </w:r>
          </w:p>
        </w:tc>
        <w:tc>
          <w:tcPr>
            <w:tcW w:w="1134" w:type="dxa"/>
            <w:noWrap/>
            <w:hideMark/>
          </w:tcPr>
          <w:p w14:paraId="28BEB7C2" w14:textId="77777777" w:rsidR="00AB4B83" w:rsidRPr="007A1075" w:rsidRDefault="00AB4B83" w:rsidP="00321BC5">
            <w:pPr>
              <w:pStyle w:val="TableText"/>
              <w:cnfStyle w:val="000000000000" w:firstRow="0" w:lastRow="0" w:firstColumn="0" w:lastColumn="0" w:oddVBand="0" w:evenVBand="0" w:oddHBand="0" w:evenHBand="0" w:firstRowFirstColumn="0" w:firstRowLastColumn="0" w:lastRowFirstColumn="0" w:lastRowLastColumn="0"/>
            </w:pPr>
            <w:r w:rsidRPr="007A1075">
              <w:t>879</w:t>
            </w:r>
          </w:p>
        </w:tc>
        <w:tc>
          <w:tcPr>
            <w:tcW w:w="992" w:type="dxa"/>
            <w:noWrap/>
            <w:hideMark/>
          </w:tcPr>
          <w:p w14:paraId="379C490C" w14:textId="77777777" w:rsidR="00AB4B83" w:rsidRPr="007A1075" w:rsidRDefault="00AB4B83" w:rsidP="00321BC5">
            <w:pPr>
              <w:pStyle w:val="TableText"/>
              <w:cnfStyle w:val="000000000000" w:firstRow="0" w:lastRow="0" w:firstColumn="0" w:lastColumn="0" w:oddVBand="0" w:evenVBand="0" w:oddHBand="0" w:evenHBand="0" w:firstRowFirstColumn="0" w:firstRowLastColumn="0" w:lastRowFirstColumn="0" w:lastRowLastColumn="0"/>
            </w:pPr>
            <w:r w:rsidRPr="007A1075">
              <w:t>&lt;.001</w:t>
            </w:r>
          </w:p>
        </w:tc>
        <w:tc>
          <w:tcPr>
            <w:tcW w:w="1418" w:type="dxa"/>
            <w:noWrap/>
            <w:hideMark/>
          </w:tcPr>
          <w:p w14:paraId="01AB1459" w14:textId="77777777" w:rsidR="00AB4B83" w:rsidRPr="007A1075" w:rsidRDefault="00AB4B83" w:rsidP="00321BC5">
            <w:pPr>
              <w:pStyle w:val="TableText"/>
              <w:cnfStyle w:val="000000000000" w:firstRow="0" w:lastRow="0" w:firstColumn="0" w:lastColumn="0" w:oddVBand="0" w:evenVBand="0" w:oddHBand="0" w:evenHBand="0" w:firstRowFirstColumn="0" w:firstRowLastColumn="0" w:lastRowFirstColumn="0" w:lastRowLastColumn="0"/>
            </w:pPr>
            <w:r w:rsidRPr="007A1075">
              <w:t>59.4% (n=522)</w:t>
            </w:r>
          </w:p>
        </w:tc>
      </w:tr>
      <w:tr w:rsidR="00AB4B83" w:rsidRPr="007A1075" w14:paraId="2D9D1CE4" w14:textId="77777777" w:rsidTr="0078378F">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086" w:type="dxa"/>
            <w:vMerge/>
            <w:tcBorders>
              <w:top w:val="none" w:sz="0" w:space="0" w:color="auto"/>
              <w:bottom w:val="none" w:sz="0" w:space="0" w:color="auto"/>
              <w:right w:val="none" w:sz="0" w:space="0" w:color="auto"/>
            </w:tcBorders>
            <w:hideMark/>
          </w:tcPr>
          <w:p w14:paraId="5C46F644" w14:textId="77777777" w:rsidR="00AB4B83" w:rsidRPr="007A1075" w:rsidRDefault="00AB4B83" w:rsidP="00321BC5">
            <w:pPr>
              <w:pStyle w:val="TableText"/>
              <w:rPr>
                <w:b w:val="0"/>
                <w:bCs w:val="0"/>
              </w:rPr>
            </w:pPr>
          </w:p>
        </w:tc>
        <w:tc>
          <w:tcPr>
            <w:tcW w:w="1352" w:type="dxa"/>
            <w:vMerge/>
            <w:tcBorders>
              <w:top w:val="none" w:sz="0" w:space="0" w:color="auto"/>
              <w:bottom w:val="none" w:sz="0" w:space="0" w:color="auto"/>
            </w:tcBorders>
            <w:hideMark/>
          </w:tcPr>
          <w:p w14:paraId="296274C2" w14:textId="77777777" w:rsidR="00AB4B83" w:rsidRPr="007A1075" w:rsidRDefault="00AB4B83" w:rsidP="00321BC5">
            <w:pPr>
              <w:pStyle w:val="TableText"/>
              <w:cnfStyle w:val="000000100000" w:firstRow="0" w:lastRow="0" w:firstColumn="0" w:lastColumn="0" w:oddVBand="0" w:evenVBand="0" w:oddHBand="1" w:evenHBand="0" w:firstRowFirstColumn="0" w:firstRowLastColumn="0" w:lastRowFirstColumn="0" w:lastRowLastColumn="0"/>
            </w:pPr>
          </w:p>
        </w:tc>
        <w:tc>
          <w:tcPr>
            <w:tcW w:w="1674" w:type="dxa"/>
            <w:vMerge w:val="restart"/>
            <w:tcBorders>
              <w:top w:val="none" w:sz="0" w:space="0" w:color="auto"/>
              <w:bottom w:val="none" w:sz="0" w:space="0" w:color="auto"/>
            </w:tcBorders>
            <w:hideMark/>
          </w:tcPr>
          <w:p w14:paraId="4125F917" w14:textId="77777777" w:rsidR="00AB4B83" w:rsidRPr="007A1075" w:rsidRDefault="00AB4B83" w:rsidP="00321BC5">
            <w:pPr>
              <w:pStyle w:val="TableText"/>
              <w:cnfStyle w:val="000000100000" w:firstRow="0" w:lastRow="0" w:firstColumn="0" w:lastColumn="0" w:oddVBand="0" w:evenVBand="0" w:oddHBand="1" w:evenHBand="0" w:firstRowFirstColumn="0" w:firstRowLastColumn="0" w:lastRowFirstColumn="0" w:lastRowLastColumn="0"/>
            </w:pPr>
            <w:r w:rsidRPr="007A1075">
              <w:t>Goals</w:t>
            </w:r>
          </w:p>
        </w:tc>
        <w:tc>
          <w:tcPr>
            <w:tcW w:w="3396" w:type="dxa"/>
            <w:tcBorders>
              <w:top w:val="none" w:sz="0" w:space="0" w:color="auto"/>
              <w:bottom w:val="none" w:sz="0" w:space="0" w:color="auto"/>
            </w:tcBorders>
            <w:noWrap/>
            <w:hideMark/>
          </w:tcPr>
          <w:p w14:paraId="68D1AD30" w14:textId="77777777" w:rsidR="00AB4B83" w:rsidRPr="007A1075" w:rsidRDefault="00AB4B83" w:rsidP="00321BC5">
            <w:pPr>
              <w:pStyle w:val="TableText"/>
              <w:cnfStyle w:val="000000100000" w:firstRow="0" w:lastRow="0" w:firstColumn="0" w:lastColumn="0" w:oddVBand="0" w:evenVBand="0" w:oddHBand="1" w:evenHBand="0" w:firstRowFirstColumn="0" w:firstRowLastColumn="0" w:lastRowFirstColumn="0" w:lastRowLastColumn="0"/>
            </w:pPr>
            <w:r w:rsidRPr="007A1075">
              <w:t>Changed behaviours</w:t>
            </w:r>
          </w:p>
        </w:tc>
        <w:tc>
          <w:tcPr>
            <w:tcW w:w="1333" w:type="dxa"/>
            <w:tcBorders>
              <w:top w:val="none" w:sz="0" w:space="0" w:color="auto"/>
              <w:bottom w:val="none" w:sz="0" w:space="0" w:color="auto"/>
            </w:tcBorders>
            <w:noWrap/>
            <w:hideMark/>
          </w:tcPr>
          <w:p w14:paraId="4EEDEF5E" w14:textId="77777777" w:rsidR="00AB4B83" w:rsidRPr="007A1075" w:rsidRDefault="00AB4B83" w:rsidP="00321BC5">
            <w:pPr>
              <w:pStyle w:val="TableText"/>
              <w:cnfStyle w:val="000000100000" w:firstRow="0" w:lastRow="0" w:firstColumn="0" w:lastColumn="0" w:oddVBand="0" w:evenVBand="0" w:oddHBand="1" w:evenHBand="0" w:firstRowFirstColumn="0" w:firstRowLastColumn="0" w:lastRowFirstColumn="0" w:lastRowLastColumn="0"/>
            </w:pPr>
            <w:r w:rsidRPr="007A1075">
              <w:t>0.94</w:t>
            </w:r>
          </w:p>
        </w:tc>
        <w:tc>
          <w:tcPr>
            <w:tcW w:w="1559" w:type="dxa"/>
            <w:tcBorders>
              <w:top w:val="none" w:sz="0" w:space="0" w:color="auto"/>
              <w:bottom w:val="none" w:sz="0" w:space="0" w:color="auto"/>
            </w:tcBorders>
            <w:noWrap/>
            <w:hideMark/>
          </w:tcPr>
          <w:p w14:paraId="1904B654" w14:textId="77777777" w:rsidR="00AB4B83" w:rsidRPr="007A1075" w:rsidRDefault="00AB4B83" w:rsidP="00321BC5">
            <w:pPr>
              <w:pStyle w:val="TableText"/>
              <w:cnfStyle w:val="000000100000" w:firstRow="0" w:lastRow="0" w:firstColumn="0" w:lastColumn="0" w:oddVBand="0" w:evenVBand="0" w:oddHBand="1" w:evenHBand="0" w:firstRowFirstColumn="0" w:firstRowLastColumn="0" w:lastRowFirstColumn="0" w:lastRowLastColumn="0"/>
            </w:pPr>
            <w:r w:rsidRPr="007A1075">
              <w:t>11191.5</w:t>
            </w:r>
          </w:p>
        </w:tc>
        <w:tc>
          <w:tcPr>
            <w:tcW w:w="1134" w:type="dxa"/>
            <w:tcBorders>
              <w:top w:val="none" w:sz="0" w:space="0" w:color="auto"/>
              <w:bottom w:val="none" w:sz="0" w:space="0" w:color="auto"/>
            </w:tcBorders>
            <w:noWrap/>
            <w:hideMark/>
          </w:tcPr>
          <w:p w14:paraId="64D36B70" w14:textId="77777777" w:rsidR="00AB4B83" w:rsidRPr="007A1075" w:rsidRDefault="00AB4B83" w:rsidP="00321BC5">
            <w:pPr>
              <w:pStyle w:val="TableText"/>
              <w:cnfStyle w:val="000000100000" w:firstRow="0" w:lastRow="0" w:firstColumn="0" w:lastColumn="0" w:oddVBand="0" w:evenVBand="0" w:oddHBand="1" w:evenHBand="0" w:firstRowFirstColumn="0" w:firstRowLastColumn="0" w:lastRowFirstColumn="0" w:lastRowLastColumn="0"/>
            </w:pPr>
            <w:r w:rsidRPr="007A1075">
              <w:t>555</w:t>
            </w:r>
          </w:p>
        </w:tc>
        <w:tc>
          <w:tcPr>
            <w:tcW w:w="992" w:type="dxa"/>
            <w:tcBorders>
              <w:top w:val="none" w:sz="0" w:space="0" w:color="auto"/>
              <w:bottom w:val="none" w:sz="0" w:space="0" w:color="auto"/>
            </w:tcBorders>
            <w:noWrap/>
            <w:hideMark/>
          </w:tcPr>
          <w:p w14:paraId="1DCD8700" w14:textId="77777777" w:rsidR="00AB4B83" w:rsidRPr="007A1075" w:rsidRDefault="00AB4B83" w:rsidP="00321BC5">
            <w:pPr>
              <w:pStyle w:val="TableText"/>
              <w:cnfStyle w:val="000000100000" w:firstRow="0" w:lastRow="0" w:firstColumn="0" w:lastColumn="0" w:oddVBand="0" w:evenVBand="0" w:oddHBand="1" w:evenHBand="0" w:firstRowFirstColumn="0" w:firstRowLastColumn="0" w:lastRowFirstColumn="0" w:lastRowLastColumn="0"/>
            </w:pPr>
            <w:r w:rsidRPr="007A1075">
              <w:t>&lt;.001</w:t>
            </w:r>
          </w:p>
        </w:tc>
        <w:tc>
          <w:tcPr>
            <w:tcW w:w="1418" w:type="dxa"/>
            <w:tcBorders>
              <w:top w:val="none" w:sz="0" w:space="0" w:color="auto"/>
              <w:bottom w:val="none" w:sz="0" w:space="0" w:color="auto"/>
            </w:tcBorders>
            <w:noWrap/>
            <w:hideMark/>
          </w:tcPr>
          <w:p w14:paraId="70C0C045" w14:textId="77777777" w:rsidR="00AB4B83" w:rsidRPr="007A1075" w:rsidRDefault="00AB4B83" w:rsidP="00321BC5">
            <w:pPr>
              <w:pStyle w:val="TableText"/>
              <w:cnfStyle w:val="000000100000" w:firstRow="0" w:lastRow="0" w:firstColumn="0" w:lastColumn="0" w:oddVBand="0" w:evenVBand="0" w:oddHBand="1" w:evenHBand="0" w:firstRowFirstColumn="0" w:firstRowLastColumn="0" w:lastRowFirstColumn="0" w:lastRowLastColumn="0"/>
            </w:pPr>
            <w:r w:rsidRPr="007A1075">
              <w:t>57.3% (n=318)</w:t>
            </w:r>
          </w:p>
        </w:tc>
      </w:tr>
      <w:tr w:rsidR="00AB4B83" w:rsidRPr="007A1075" w14:paraId="1B48C54A" w14:textId="77777777" w:rsidTr="0078378F">
        <w:trPr>
          <w:trHeight w:val="290"/>
        </w:trPr>
        <w:tc>
          <w:tcPr>
            <w:cnfStyle w:val="001000000000" w:firstRow="0" w:lastRow="0" w:firstColumn="1" w:lastColumn="0" w:oddVBand="0" w:evenVBand="0" w:oddHBand="0" w:evenHBand="0" w:firstRowFirstColumn="0" w:firstRowLastColumn="0" w:lastRowFirstColumn="0" w:lastRowLastColumn="0"/>
            <w:tcW w:w="1086" w:type="dxa"/>
            <w:vMerge/>
            <w:tcBorders>
              <w:right w:val="none" w:sz="0" w:space="0" w:color="auto"/>
            </w:tcBorders>
            <w:hideMark/>
          </w:tcPr>
          <w:p w14:paraId="7F6A1A2F" w14:textId="77777777" w:rsidR="00AB4B83" w:rsidRPr="007A1075" w:rsidRDefault="00AB4B83" w:rsidP="00321BC5">
            <w:pPr>
              <w:pStyle w:val="TableText"/>
            </w:pPr>
          </w:p>
        </w:tc>
        <w:tc>
          <w:tcPr>
            <w:tcW w:w="1352" w:type="dxa"/>
            <w:vMerge/>
            <w:hideMark/>
          </w:tcPr>
          <w:p w14:paraId="247B8898" w14:textId="77777777" w:rsidR="00AB4B83" w:rsidRPr="007A1075" w:rsidRDefault="00AB4B83" w:rsidP="00321BC5">
            <w:pPr>
              <w:pStyle w:val="TableText"/>
              <w:cnfStyle w:val="000000000000" w:firstRow="0" w:lastRow="0" w:firstColumn="0" w:lastColumn="0" w:oddVBand="0" w:evenVBand="0" w:oddHBand="0" w:evenHBand="0" w:firstRowFirstColumn="0" w:firstRowLastColumn="0" w:lastRowFirstColumn="0" w:lastRowLastColumn="0"/>
            </w:pPr>
          </w:p>
        </w:tc>
        <w:tc>
          <w:tcPr>
            <w:tcW w:w="1674" w:type="dxa"/>
            <w:vMerge/>
            <w:hideMark/>
          </w:tcPr>
          <w:p w14:paraId="3233EB16" w14:textId="77777777" w:rsidR="00AB4B83" w:rsidRPr="007A1075" w:rsidRDefault="00AB4B83" w:rsidP="00321BC5">
            <w:pPr>
              <w:pStyle w:val="TableText"/>
              <w:cnfStyle w:val="000000000000" w:firstRow="0" w:lastRow="0" w:firstColumn="0" w:lastColumn="0" w:oddVBand="0" w:evenVBand="0" w:oddHBand="0" w:evenHBand="0" w:firstRowFirstColumn="0" w:firstRowLastColumn="0" w:lastRowFirstColumn="0" w:lastRowLastColumn="0"/>
            </w:pPr>
          </w:p>
        </w:tc>
        <w:tc>
          <w:tcPr>
            <w:tcW w:w="3396" w:type="dxa"/>
            <w:noWrap/>
            <w:hideMark/>
          </w:tcPr>
          <w:p w14:paraId="0CCE89DB" w14:textId="77777777" w:rsidR="00AB4B83" w:rsidRPr="007A1075" w:rsidRDefault="00AB4B83" w:rsidP="00321BC5">
            <w:pPr>
              <w:pStyle w:val="TableText"/>
              <w:cnfStyle w:val="000000000000" w:firstRow="0" w:lastRow="0" w:firstColumn="0" w:lastColumn="0" w:oddVBand="0" w:evenVBand="0" w:oddHBand="0" w:evenHBand="0" w:firstRowFirstColumn="0" w:firstRowLastColumn="0" w:lastRowFirstColumn="0" w:lastRowLastColumn="0"/>
            </w:pPr>
            <w:r w:rsidRPr="007A1075">
              <w:t>Changed impact of immediate crisis</w:t>
            </w:r>
          </w:p>
        </w:tc>
        <w:tc>
          <w:tcPr>
            <w:tcW w:w="1333" w:type="dxa"/>
            <w:noWrap/>
            <w:hideMark/>
          </w:tcPr>
          <w:p w14:paraId="6A8B4862" w14:textId="77777777" w:rsidR="00AB4B83" w:rsidRPr="007A1075" w:rsidRDefault="00AB4B83" w:rsidP="00321BC5">
            <w:pPr>
              <w:pStyle w:val="TableText"/>
              <w:cnfStyle w:val="000000000000" w:firstRow="0" w:lastRow="0" w:firstColumn="0" w:lastColumn="0" w:oddVBand="0" w:evenVBand="0" w:oddHBand="0" w:evenHBand="0" w:firstRowFirstColumn="0" w:firstRowLastColumn="0" w:lastRowFirstColumn="0" w:lastRowLastColumn="0"/>
            </w:pPr>
            <w:r w:rsidRPr="007A1075">
              <w:t>1.24</w:t>
            </w:r>
          </w:p>
        </w:tc>
        <w:tc>
          <w:tcPr>
            <w:tcW w:w="1559" w:type="dxa"/>
            <w:noWrap/>
            <w:hideMark/>
          </w:tcPr>
          <w:p w14:paraId="7C64CFC8" w14:textId="77777777" w:rsidR="00AB4B83" w:rsidRPr="007A1075" w:rsidRDefault="00AB4B83" w:rsidP="00321BC5">
            <w:pPr>
              <w:pStyle w:val="TableText"/>
              <w:cnfStyle w:val="000000000000" w:firstRow="0" w:lastRow="0" w:firstColumn="0" w:lastColumn="0" w:oddVBand="0" w:evenVBand="0" w:oddHBand="0" w:evenHBand="0" w:firstRowFirstColumn="0" w:firstRowLastColumn="0" w:lastRowFirstColumn="0" w:lastRowLastColumn="0"/>
            </w:pPr>
            <w:r w:rsidRPr="007A1075">
              <w:t>2868</w:t>
            </w:r>
          </w:p>
        </w:tc>
        <w:tc>
          <w:tcPr>
            <w:tcW w:w="1134" w:type="dxa"/>
            <w:noWrap/>
            <w:hideMark/>
          </w:tcPr>
          <w:p w14:paraId="42843959" w14:textId="77777777" w:rsidR="00AB4B83" w:rsidRPr="007A1075" w:rsidRDefault="00AB4B83" w:rsidP="00321BC5">
            <w:pPr>
              <w:pStyle w:val="TableText"/>
              <w:cnfStyle w:val="000000000000" w:firstRow="0" w:lastRow="0" w:firstColumn="0" w:lastColumn="0" w:oddVBand="0" w:evenVBand="0" w:oddHBand="0" w:evenHBand="0" w:firstRowFirstColumn="0" w:firstRowLastColumn="0" w:lastRowFirstColumn="0" w:lastRowLastColumn="0"/>
            </w:pPr>
            <w:r w:rsidRPr="007A1075">
              <w:t>482</w:t>
            </w:r>
          </w:p>
        </w:tc>
        <w:tc>
          <w:tcPr>
            <w:tcW w:w="992" w:type="dxa"/>
            <w:noWrap/>
            <w:hideMark/>
          </w:tcPr>
          <w:p w14:paraId="6598D163" w14:textId="77777777" w:rsidR="00AB4B83" w:rsidRPr="007A1075" w:rsidRDefault="00AB4B83" w:rsidP="00321BC5">
            <w:pPr>
              <w:pStyle w:val="TableText"/>
              <w:cnfStyle w:val="000000000000" w:firstRow="0" w:lastRow="0" w:firstColumn="0" w:lastColumn="0" w:oddVBand="0" w:evenVBand="0" w:oddHBand="0" w:evenHBand="0" w:firstRowFirstColumn="0" w:firstRowLastColumn="0" w:lastRowFirstColumn="0" w:lastRowLastColumn="0"/>
            </w:pPr>
            <w:r w:rsidRPr="007A1075">
              <w:t>&lt;.001</w:t>
            </w:r>
          </w:p>
        </w:tc>
        <w:tc>
          <w:tcPr>
            <w:tcW w:w="1418" w:type="dxa"/>
            <w:noWrap/>
            <w:hideMark/>
          </w:tcPr>
          <w:p w14:paraId="32A5BCCD" w14:textId="77777777" w:rsidR="00AB4B83" w:rsidRPr="007A1075" w:rsidRDefault="00AB4B83" w:rsidP="00321BC5">
            <w:pPr>
              <w:pStyle w:val="TableText"/>
              <w:cnfStyle w:val="000000000000" w:firstRow="0" w:lastRow="0" w:firstColumn="0" w:lastColumn="0" w:oddVBand="0" w:evenVBand="0" w:oddHBand="0" w:evenHBand="0" w:firstRowFirstColumn="0" w:firstRowLastColumn="0" w:lastRowFirstColumn="0" w:lastRowLastColumn="0"/>
            </w:pPr>
            <w:r w:rsidRPr="007A1075">
              <w:t>71.8% (n=346)</w:t>
            </w:r>
          </w:p>
        </w:tc>
      </w:tr>
      <w:tr w:rsidR="00AB4B83" w:rsidRPr="007A1075" w14:paraId="0B748C82" w14:textId="77777777" w:rsidTr="0078378F">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086" w:type="dxa"/>
            <w:vMerge/>
            <w:tcBorders>
              <w:top w:val="none" w:sz="0" w:space="0" w:color="auto"/>
              <w:bottom w:val="none" w:sz="0" w:space="0" w:color="auto"/>
              <w:right w:val="none" w:sz="0" w:space="0" w:color="auto"/>
            </w:tcBorders>
            <w:hideMark/>
          </w:tcPr>
          <w:p w14:paraId="51C55FEE" w14:textId="77777777" w:rsidR="00AB4B83" w:rsidRPr="007A1075" w:rsidRDefault="00AB4B83" w:rsidP="00321BC5">
            <w:pPr>
              <w:pStyle w:val="TableText"/>
              <w:rPr>
                <w:b w:val="0"/>
                <w:bCs w:val="0"/>
              </w:rPr>
            </w:pPr>
          </w:p>
        </w:tc>
        <w:tc>
          <w:tcPr>
            <w:tcW w:w="1352" w:type="dxa"/>
            <w:vMerge/>
            <w:tcBorders>
              <w:top w:val="none" w:sz="0" w:space="0" w:color="auto"/>
              <w:bottom w:val="none" w:sz="0" w:space="0" w:color="auto"/>
            </w:tcBorders>
            <w:hideMark/>
          </w:tcPr>
          <w:p w14:paraId="1BFE0235" w14:textId="77777777" w:rsidR="00AB4B83" w:rsidRPr="007A1075" w:rsidRDefault="00AB4B83" w:rsidP="00321BC5">
            <w:pPr>
              <w:pStyle w:val="TableText"/>
              <w:cnfStyle w:val="000000100000" w:firstRow="0" w:lastRow="0" w:firstColumn="0" w:lastColumn="0" w:oddVBand="0" w:evenVBand="0" w:oddHBand="1" w:evenHBand="0" w:firstRowFirstColumn="0" w:firstRowLastColumn="0" w:lastRowFirstColumn="0" w:lastRowLastColumn="0"/>
            </w:pPr>
          </w:p>
        </w:tc>
        <w:tc>
          <w:tcPr>
            <w:tcW w:w="1674" w:type="dxa"/>
            <w:vMerge/>
            <w:tcBorders>
              <w:top w:val="none" w:sz="0" w:space="0" w:color="auto"/>
              <w:bottom w:val="none" w:sz="0" w:space="0" w:color="auto"/>
            </w:tcBorders>
            <w:hideMark/>
          </w:tcPr>
          <w:p w14:paraId="7AA76F6F" w14:textId="77777777" w:rsidR="00AB4B83" w:rsidRPr="007A1075" w:rsidRDefault="00AB4B83" w:rsidP="00321BC5">
            <w:pPr>
              <w:pStyle w:val="TableText"/>
              <w:cnfStyle w:val="000000100000" w:firstRow="0" w:lastRow="0" w:firstColumn="0" w:lastColumn="0" w:oddVBand="0" w:evenVBand="0" w:oddHBand="1" w:evenHBand="0" w:firstRowFirstColumn="0" w:firstRowLastColumn="0" w:lastRowFirstColumn="0" w:lastRowLastColumn="0"/>
            </w:pPr>
          </w:p>
        </w:tc>
        <w:tc>
          <w:tcPr>
            <w:tcW w:w="3396" w:type="dxa"/>
            <w:tcBorders>
              <w:top w:val="none" w:sz="0" w:space="0" w:color="auto"/>
              <w:bottom w:val="none" w:sz="0" w:space="0" w:color="auto"/>
            </w:tcBorders>
            <w:noWrap/>
            <w:hideMark/>
          </w:tcPr>
          <w:p w14:paraId="046B00C5" w14:textId="77777777" w:rsidR="00AB4B83" w:rsidRPr="007A1075" w:rsidRDefault="00AB4B83" w:rsidP="00321BC5">
            <w:pPr>
              <w:pStyle w:val="TableText"/>
              <w:cnfStyle w:val="000000100000" w:firstRow="0" w:lastRow="0" w:firstColumn="0" w:lastColumn="0" w:oddVBand="0" w:evenVBand="0" w:oddHBand="1" w:evenHBand="0" w:firstRowFirstColumn="0" w:firstRowLastColumn="0" w:lastRowFirstColumn="0" w:lastRowLastColumn="0"/>
            </w:pPr>
            <w:r w:rsidRPr="007A1075">
              <w:t>Changed knowledge and access to information</w:t>
            </w:r>
          </w:p>
        </w:tc>
        <w:tc>
          <w:tcPr>
            <w:tcW w:w="1333" w:type="dxa"/>
            <w:tcBorders>
              <w:top w:val="none" w:sz="0" w:space="0" w:color="auto"/>
              <w:bottom w:val="none" w:sz="0" w:space="0" w:color="auto"/>
            </w:tcBorders>
            <w:noWrap/>
            <w:hideMark/>
          </w:tcPr>
          <w:p w14:paraId="18093A65" w14:textId="77777777" w:rsidR="00AB4B83" w:rsidRPr="007A1075" w:rsidRDefault="00AB4B83" w:rsidP="00321BC5">
            <w:pPr>
              <w:pStyle w:val="TableText"/>
              <w:cnfStyle w:val="000000100000" w:firstRow="0" w:lastRow="0" w:firstColumn="0" w:lastColumn="0" w:oddVBand="0" w:evenVBand="0" w:oddHBand="1" w:evenHBand="0" w:firstRowFirstColumn="0" w:firstRowLastColumn="0" w:lastRowFirstColumn="0" w:lastRowLastColumn="0"/>
            </w:pPr>
            <w:r w:rsidRPr="007A1075">
              <w:t>1.16</w:t>
            </w:r>
          </w:p>
        </w:tc>
        <w:tc>
          <w:tcPr>
            <w:tcW w:w="1559" w:type="dxa"/>
            <w:tcBorders>
              <w:top w:val="none" w:sz="0" w:space="0" w:color="auto"/>
              <w:bottom w:val="none" w:sz="0" w:space="0" w:color="auto"/>
            </w:tcBorders>
            <w:noWrap/>
            <w:hideMark/>
          </w:tcPr>
          <w:p w14:paraId="3511EA57" w14:textId="77777777" w:rsidR="00AB4B83" w:rsidRPr="007A1075" w:rsidRDefault="00AB4B83" w:rsidP="00321BC5">
            <w:pPr>
              <w:pStyle w:val="TableText"/>
              <w:cnfStyle w:val="000000100000" w:firstRow="0" w:lastRow="0" w:firstColumn="0" w:lastColumn="0" w:oddVBand="0" w:evenVBand="0" w:oddHBand="1" w:evenHBand="0" w:firstRowFirstColumn="0" w:firstRowLastColumn="0" w:lastRowFirstColumn="0" w:lastRowLastColumn="0"/>
            </w:pPr>
            <w:r w:rsidRPr="007A1075">
              <w:t>9669.5</w:t>
            </w:r>
          </w:p>
        </w:tc>
        <w:tc>
          <w:tcPr>
            <w:tcW w:w="1134" w:type="dxa"/>
            <w:tcBorders>
              <w:top w:val="none" w:sz="0" w:space="0" w:color="auto"/>
              <w:bottom w:val="none" w:sz="0" w:space="0" w:color="auto"/>
            </w:tcBorders>
            <w:noWrap/>
            <w:hideMark/>
          </w:tcPr>
          <w:p w14:paraId="0B57E78C" w14:textId="77777777" w:rsidR="00AB4B83" w:rsidRPr="007A1075" w:rsidRDefault="00AB4B83" w:rsidP="00321BC5">
            <w:pPr>
              <w:pStyle w:val="TableText"/>
              <w:cnfStyle w:val="000000100000" w:firstRow="0" w:lastRow="0" w:firstColumn="0" w:lastColumn="0" w:oddVBand="0" w:evenVBand="0" w:oddHBand="1" w:evenHBand="0" w:firstRowFirstColumn="0" w:firstRowLastColumn="0" w:lastRowFirstColumn="0" w:lastRowLastColumn="0"/>
            </w:pPr>
            <w:r w:rsidRPr="007A1075">
              <w:t>609</w:t>
            </w:r>
          </w:p>
        </w:tc>
        <w:tc>
          <w:tcPr>
            <w:tcW w:w="992" w:type="dxa"/>
            <w:tcBorders>
              <w:top w:val="none" w:sz="0" w:space="0" w:color="auto"/>
              <w:bottom w:val="none" w:sz="0" w:space="0" w:color="auto"/>
            </w:tcBorders>
            <w:noWrap/>
            <w:hideMark/>
          </w:tcPr>
          <w:p w14:paraId="465A9477" w14:textId="77777777" w:rsidR="00AB4B83" w:rsidRPr="007A1075" w:rsidRDefault="00AB4B83" w:rsidP="00321BC5">
            <w:pPr>
              <w:pStyle w:val="TableText"/>
              <w:cnfStyle w:val="000000100000" w:firstRow="0" w:lastRow="0" w:firstColumn="0" w:lastColumn="0" w:oddVBand="0" w:evenVBand="0" w:oddHBand="1" w:evenHBand="0" w:firstRowFirstColumn="0" w:firstRowLastColumn="0" w:lastRowFirstColumn="0" w:lastRowLastColumn="0"/>
            </w:pPr>
            <w:r w:rsidRPr="007A1075">
              <w:t>&lt;.001</w:t>
            </w:r>
          </w:p>
        </w:tc>
        <w:tc>
          <w:tcPr>
            <w:tcW w:w="1418" w:type="dxa"/>
            <w:tcBorders>
              <w:top w:val="none" w:sz="0" w:space="0" w:color="auto"/>
              <w:bottom w:val="none" w:sz="0" w:space="0" w:color="auto"/>
            </w:tcBorders>
            <w:noWrap/>
            <w:hideMark/>
          </w:tcPr>
          <w:p w14:paraId="1BFE7253" w14:textId="77777777" w:rsidR="00AB4B83" w:rsidRPr="007A1075" w:rsidRDefault="00AB4B83" w:rsidP="00321BC5">
            <w:pPr>
              <w:pStyle w:val="TableText"/>
              <w:cnfStyle w:val="000000100000" w:firstRow="0" w:lastRow="0" w:firstColumn="0" w:lastColumn="0" w:oddVBand="0" w:evenVBand="0" w:oddHBand="1" w:evenHBand="0" w:firstRowFirstColumn="0" w:firstRowLastColumn="0" w:lastRowFirstColumn="0" w:lastRowLastColumn="0"/>
            </w:pPr>
            <w:r w:rsidRPr="007A1075">
              <w:t>65.4% (n=398)</w:t>
            </w:r>
          </w:p>
        </w:tc>
      </w:tr>
      <w:tr w:rsidR="00AB4B83" w:rsidRPr="007A1075" w14:paraId="1B155DEE" w14:textId="77777777" w:rsidTr="0078378F">
        <w:trPr>
          <w:trHeight w:val="290"/>
        </w:trPr>
        <w:tc>
          <w:tcPr>
            <w:cnfStyle w:val="001000000000" w:firstRow="0" w:lastRow="0" w:firstColumn="1" w:lastColumn="0" w:oddVBand="0" w:evenVBand="0" w:oddHBand="0" w:evenHBand="0" w:firstRowFirstColumn="0" w:firstRowLastColumn="0" w:lastRowFirstColumn="0" w:lastRowLastColumn="0"/>
            <w:tcW w:w="1086" w:type="dxa"/>
            <w:vMerge/>
            <w:tcBorders>
              <w:right w:val="none" w:sz="0" w:space="0" w:color="auto"/>
            </w:tcBorders>
            <w:hideMark/>
          </w:tcPr>
          <w:p w14:paraId="113F0D1A" w14:textId="77777777" w:rsidR="00AB4B83" w:rsidRPr="007A1075" w:rsidRDefault="00AB4B83" w:rsidP="00321BC5">
            <w:pPr>
              <w:pStyle w:val="TableText"/>
            </w:pPr>
          </w:p>
        </w:tc>
        <w:tc>
          <w:tcPr>
            <w:tcW w:w="1352" w:type="dxa"/>
            <w:vMerge/>
            <w:hideMark/>
          </w:tcPr>
          <w:p w14:paraId="3AE668ED" w14:textId="77777777" w:rsidR="00AB4B83" w:rsidRPr="007A1075" w:rsidRDefault="00AB4B83" w:rsidP="00321BC5">
            <w:pPr>
              <w:pStyle w:val="TableText"/>
              <w:cnfStyle w:val="000000000000" w:firstRow="0" w:lastRow="0" w:firstColumn="0" w:lastColumn="0" w:oddVBand="0" w:evenVBand="0" w:oddHBand="0" w:evenHBand="0" w:firstRowFirstColumn="0" w:firstRowLastColumn="0" w:lastRowFirstColumn="0" w:lastRowLastColumn="0"/>
            </w:pPr>
          </w:p>
        </w:tc>
        <w:tc>
          <w:tcPr>
            <w:tcW w:w="1674" w:type="dxa"/>
            <w:vMerge/>
            <w:hideMark/>
          </w:tcPr>
          <w:p w14:paraId="345414B4" w14:textId="77777777" w:rsidR="00AB4B83" w:rsidRPr="007A1075" w:rsidRDefault="00AB4B83" w:rsidP="00321BC5">
            <w:pPr>
              <w:pStyle w:val="TableText"/>
              <w:cnfStyle w:val="000000000000" w:firstRow="0" w:lastRow="0" w:firstColumn="0" w:lastColumn="0" w:oddVBand="0" w:evenVBand="0" w:oddHBand="0" w:evenHBand="0" w:firstRowFirstColumn="0" w:firstRowLastColumn="0" w:lastRowFirstColumn="0" w:lastRowLastColumn="0"/>
            </w:pPr>
          </w:p>
        </w:tc>
        <w:tc>
          <w:tcPr>
            <w:tcW w:w="3396" w:type="dxa"/>
            <w:noWrap/>
            <w:hideMark/>
          </w:tcPr>
          <w:p w14:paraId="18AB179B" w14:textId="77777777" w:rsidR="00AB4B83" w:rsidRPr="007A1075" w:rsidRDefault="00AB4B83" w:rsidP="00321BC5">
            <w:pPr>
              <w:pStyle w:val="TableText"/>
              <w:cnfStyle w:val="000000000000" w:firstRow="0" w:lastRow="0" w:firstColumn="0" w:lastColumn="0" w:oddVBand="0" w:evenVBand="0" w:oddHBand="0" w:evenHBand="0" w:firstRowFirstColumn="0" w:firstRowLastColumn="0" w:lastRowFirstColumn="0" w:lastRowLastColumn="0"/>
            </w:pPr>
            <w:r w:rsidRPr="007A1075">
              <w:t>Changed skills</w:t>
            </w:r>
          </w:p>
        </w:tc>
        <w:tc>
          <w:tcPr>
            <w:tcW w:w="1333" w:type="dxa"/>
            <w:noWrap/>
            <w:hideMark/>
          </w:tcPr>
          <w:p w14:paraId="76B56375" w14:textId="77777777" w:rsidR="00AB4B83" w:rsidRPr="007A1075" w:rsidRDefault="00AB4B83" w:rsidP="00321BC5">
            <w:pPr>
              <w:pStyle w:val="TableText"/>
              <w:cnfStyle w:val="000000000000" w:firstRow="0" w:lastRow="0" w:firstColumn="0" w:lastColumn="0" w:oddVBand="0" w:evenVBand="0" w:oddHBand="0" w:evenHBand="0" w:firstRowFirstColumn="0" w:firstRowLastColumn="0" w:lastRowFirstColumn="0" w:lastRowLastColumn="0"/>
            </w:pPr>
            <w:r w:rsidRPr="007A1075">
              <w:t>0.87</w:t>
            </w:r>
          </w:p>
        </w:tc>
        <w:tc>
          <w:tcPr>
            <w:tcW w:w="1559" w:type="dxa"/>
            <w:noWrap/>
            <w:hideMark/>
          </w:tcPr>
          <w:p w14:paraId="27B56AA7" w14:textId="77777777" w:rsidR="00AB4B83" w:rsidRPr="007A1075" w:rsidRDefault="00AB4B83" w:rsidP="00321BC5">
            <w:pPr>
              <w:pStyle w:val="TableText"/>
              <w:cnfStyle w:val="000000000000" w:firstRow="0" w:lastRow="0" w:firstColumn="0" w:lastColumn="0" w:oddVBand="0" w:evenVBand="0" w:oddHBand="0" w:evenHBand="0" w:firstRowFirstColumn="0" w:firstRowLastColumn="0" w:lastRowFirstColumn="0" w:lastRowLastColumn="0"/>
            </w:pPr>
            <w:r w:rsidRPr="007A1075">
              <w:t>8102</w:t>
            </w:r>
          </w:p>
        </w:tc>
        <w:tc>
          <w:tcPr>
            <w:tcW w:w="1134" w:type="dxa"/>
            <w:noWrap/>
            <w:hideMark/>
          </w:tcPr>
          <w:p w14:paraId="75C958EA" w14:textId="77777777" w:rsidR="00AB4B83" w:rsidRPr="007A1075" w:rsidRDefault="00AB4B83" w:rsidP="00321BC5">
            <w:pPr>
              <w:pStyle w:val="TableText"/>
              <w:cnfStyle w:val="000000000000" w:firstRow="0" w:lastRow="0" w:firstColumn="0" w:lastColumn="0" w:oddVBand="0" w:evenVBand="0" w:oddHBand="0" w:evenHBand="0" w:firstRowFirstColumn="0" w:firstRowLastColumn="0" w:lastRowFirstColumn="0" w:lastRowLastColumn="0"/>
            </w:pPr>
            <w:r w:rsidRPr="007A1075">
              <w:t>517</w:t>
            </w:r>
          </w:p>
        </w:tc>
        <w:tc>
          <w:tcPr>
            <w:tcW w:w="992" w:type="dxa"/>
            <w:noWrap/>
            <w:hideMark/>
          </w:tcPr>
          <w:p w14:paraId="4864F774" w14:textId="77777777" w:rsidR="00AB4B83" w:rsidRPr="007A1075" w:rsidRDefault="00AB4B83" w:rsidP="00321BC5">
            <w:pPr>
              <w:pStyle w:val="TableText"/>
              <w:cnfStyle w:val="000000000000" w:firstRow="0" w:lastRow="0" w:firstColumn="0" w:lastColumn="0" w:oddVBand="0" w:evenVBand="0" w:oddHBand="0" w:evenHBand="0" w:firstRowFirstColumn="0" w:firstRowLastColumn="0" w:lastRowFirstColumn="0" w:lastRowLastColumn="0"/>
            </w:pPr>
            <w:r w:rsidRPr="007A1075">
              <w:t>&lt;.001</w:t>
            </w:r>
          </w:p>
        </w:tc>
        <w:tc>
          <w:tcPr>
            <w:tcW w:w="1418" w:type="dxa"/>
            <w:noWrap/>
            <w:hideMark/>
          </w:tcPr>
          <w:p w14:paraId="6475ED16" w14:textId="77777777" w:rsidR="00AB4B83" w:rsidRPr="007A1075" w:rsidRDefault="00AB4B83" w:rsidP="00321BC5">
            <w:pPr>
              <w:pStyle w:val="TableText"/>
              <w:cnfStyle w:val="000000000000" w:firstRow="0" w:lastRow="0" w:firstColumn="0" w:lastColumn="0" w:oddVBand="0" w:evenVBand="0" w:oddHBand="0" w:evenHBand="0" w:firstRowFirstColumn="0" w:firstRowLastColumn="0" w:lastRowFirstColumn="0" w:lastRowLastColumn="0"/>
            </w:pPr>
            <w:r w:rsidRPr="007A1075">
              <w:t>56.1% (n=290)</w:t>
            </w:r>
          </w:p>
        </w:tc>
      </w:tr>
      <w:tr w:rsidR="00AB4B83" w:rsidRPr="007A1075" w14:paraId="2EF9F2A4" w14:textId="77777777" w:rsidTr="0078378F">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086" w:type="dxa"/>
            <w:vMerge/>
            <w:tcBorders>
              <w:top w:val="none" w:sz="0" w:space="0" w:color="auto"/>
              <w:bottom w:val="none" w:sz="0" w:space="0" w:color="auto"/>
              <w:right w:val="none" w:sz="0" w:space="0" w:color="auto"/>
            </w:tcBorders>
            <w:hideMark/>
          </w:tcPr>
          <w:p w14:paraId="1DC12D62" w14:textId="77777777" w:rsidR="00AB4B83" w:rsidRPr="007A1075" w:rsidRDefault="00AB4B83" w:rsidP="00321BC5">
            <w:pPr>
              <w:pStyle w:val="TableText"/>
              <w:rPr>
                <w:b w:val="0"/>
                <w:bCs w:val="0"/>
              </w:rPr>
            </w:pPr>
          </w:p>
        </w:tc>
        <w:tc>
          <w:tcPr>
            <w:tcW w:w="1352" w:type="dxa"/>
            <w:vMerge/>
            <w:tcBorders>
              <w:top w:val="none" w:sz="0" w:space="0" w:color="auto"/>
              <w:bottom w:val="none" w:sz="0" w:space="0" w:color="auto"/>
            </w:tcBorders>
            <w:hideMark/>
          </w:tcPr>
          <w:p w14:paraId="16F6CBBD" w14:textId="77777777" w:rsidR="00AB4B83" w:rsidRPr="007A1075" w:rsidRDefault="00AB4B83" w:rsidP="00321BC5">
            <w:pPr>
              <w:pStyle w:val="TableText"/>
              <w:cnfStyle w:val="000000100000" w:firstRow="0" w:lastRow="0" w:firstColumn="0" w:lastColumn="0" w:oddVBand="0" w:evenVBand="0" w:oddHBand="1" w:evenHBand="0" w:firstRowFirstColumn="0" w:firstRowLastColumn="0" w:lastRowFirstColumn="0" w:lastRowLastColumn="0"/>
            </w:pPr>
          </w:p>
        </w:tc>
        <w:tc>
          <w:tcPr>
            <w:tcW w:w="1674" w:type="dxa"/>
            <w:vMerge/>
            <w:tcBorders>
              <w:top w:val="none" w:sz="0" w:space="0" w:color="auto"/>
              <w:bottom w:val="none" w:sz="0" w:space="0" w:color="auto"/>
            </w:tcBorders>
            <w:hideMark/>
          </w:tcPr>
          <w:p w14:paraId="14F2E1E9" w14:textId="77777777" w:rsidR="00AB4B83" w:rsidRPr="007A1075" w:rsidRDefault="00AB4B83" w:rsidP="00321BC5">
            <w:pPr>
              <w:pStyle w:val="TableText"/>
              <w:cnfStyle w:val="000000100000" w:firstRow="0" w:lastRow="0" w:firstColumn="0" w:lastColumn="0" w:oddVBand="0" w:evenVBand="0" w:oddHBand="1" w:evenHBand="0" w:firstRowFirstColumn="0" w:firstRowLastColumn="0" w:lastRowFirstColumn="0" w:lastRowLastColumn="0"/>
            </w:pPr>
          </w:p>
        </w:tc>
        <w:tc>
          <w:tcPr>
            <w:tcW w:w="3396" w:type="dxa"/>
            <w:tcBorders>
              <w:top w:val="none" w:sz="0" w:space="0" w:color="auto"/>
              <w:bottom w:val="none" w:sz="0" w:space="0" w:color="auto"/>
            </w:tcBorders>
            <w:noWrap/>
            <w:hideMark/>
          </w:tcPr>
          <w:p w14:paraId="44D16FBA" w14:textId="77777777" w:rsidR="00AB4B83" w:rsidRPr="007A1075" w:rsidRDefault="00AB4B83" w:rsidP="00321BC5">
            <w:pPr>
              <w:pStyle w:val="TableText"/>
              <w:cnfStyle w:val="000000100000" w:firstRow="0" w:lastRow="0" w:firstColumn="0" w:lastColumn="0" w:oddVBand="0" w:evenVBand="0" w:oddHBand="1" w:evenHBand="0" w:firstRowFirstColumn="0" w:firstRowLastColumn="0" w:lastRowFirstColumn="0" w:lastRowLastColumn="0"/>
            </w:pPr>
            <w:r w:rsidRPr="57F92EFB">
              <w:rPr>
                <w:lang w:val="en-NZ"/>
              </w:rPr>
              <w:t>Empowerment, choice and control to make own decisions</w:t>
            </w:r>
          </w:p>
        </w:tc>
        <w:tc>
          <w:tcPr>
            <w:tcW w:w="1333" w:type="dxa"/>
            <w:tcBorders>
              <w:top w:val="none" w:sz="0" w:space="0" w:color="auto"/>
              <w:bottom w:val="none" w:sz="0" w:space="0" w:color="auto"/>
            </w:tcBorders>
            <w:noWrap/>
            <w:hideMark/>
          </w:tcPr>
          <w:p w14:paraId="31B8025F" w14:textId="77777777" w:rsidR="00AB4B83" w:rsidRPr="007A1075" w:rsidRDefault="00AB4B83" w:rsidP="00321BC5">
            <w:pPr>
              <w:pStyle w:val="TableText"/>
              <w:cnfStyle w:val="000000100000" w:firstRow="0" w:lastRow="0" w:firstColumn="0" w:lastColumn="0" w:oddVBand="0" w:evenVBand="0" w:oddHBand="1" w:evenHBand="0" w:firstRowFirstColumn="0" w:firstRowLastColumn="0" w:lastRowFirstColumn="0" w:lastRowLastColumn="0"/>
            </w:pPr>
            <w:r w:rsidRPr="007A1075">
              <w:t>1.18</w:t>
            </w:r>
          </w:p>
        </w:tc>
        <w:tc>
          <w:tcPr>
            <w:tcW w:w="1559" w:type="dxa"/>
            <w:tcBorders>
              <w:top w:val="none" w:sz="0" w:space="0" w:color="auto"/>
              <w:bottom w:val="none" w:sz="0" w:space="0" w:color="auto"/>
            </w:tcBorders>
            <w:noWrap/>
            <w:hideMark/>
          </w:tcPr>
          <w:p w14:paraId="7B3FBB25" w14:textId="77777777" w:rsidR="00AB4B83" w:rsidRPr="007A1075" w:rsidRDefault="00AB4B83" w:rsidP="00321BC5">
            <w:pPr>
              <w:pStyle w:val="TableText"/>
              <w:cnfStyle w:val="000000100000" w:firstRow="0" w:lastRow="0" w:firstColumn="0" w:lastColumn="0" w:oddVBand="0" w:evenVBand="0" w:oddHBand="1" w:evenHBand="0" w:firstRowFirstColumn="0" w:firstRowLastColumn="0" w:lastRowFirstColumn="0" w:lastRowLastColumn="0"/>
            </w:pPr>
            <w:r w:rsidRPr="007A1075">
              <w:t>8725</w:t>
            </w:r>
          </w:p>
        </w:tc>
        <w:tc>
          <w:tcPr>
            <w:tcW w:w="1134" w:type="dxa"/>
            <w:tcBorders>
              <w:top w:val="none" w:sz="0" w:space="0" w:color="auto"/>
              <w:bottom w:val="none" w:sz="0" w:space="0" w:color="auto"/>
            </w:tcBorders>
            <w:noWrap/>
            <w:hideMark/>
          </w:tcPr>
          <w:p w14:paraId="56FB62F7" w14:textId="77777777" w:rsidR="00AB4B83" w:rsidRPr="007A1075" w:rsidRDefault="00AB4B83" w:rsidP="00321BC5">
            <w:pPr>
              <w:pStyle w:val="TableText"/>
              <w:cnfStyle w:val="000000100000" w:firstRow="0" w:lastRow="0" w:firstColumn="0" w:lastColumn="0" w:oddVBand="0" w:evenVBand="0" w:oddHBand="1" w:evenHBand="0" w:firstRowFirstColumn="0" w:firstRowLastColumn="0" w:lastRowFirstColumn="0" w:lastRowLastColumn="0"/>
            </w:pPr>
            <w:r w:rsidRPr="007A1075">
              <w:t>562</w:t>
            </w:r>
          </w:p>
        </w:tc>
        <w:tc>
          <w:tcPr>
            <w:tcW w:w="992" w:type="dxa"/>
            <w:tcBorders>
              <w:top w:val="none" w:sz="0" w:space="0" w:color="auto"/>
              <w:bottom w:val="none" w:sz="0" w:space="0" w:color="auto"/>
            </w:tcBorders>
            <w:noWrap/>
            <w:hideMark/>
          </w:tcPr>
          <w:p w14:paraId="0510868F" w14:textId="77777777" w:rsidR="00AB4B83" w:rsidRPr="007A1075" w:rsidRDefault="00AB4B83" w:rsidP="00321BC5">
            <w:pPr>
              <w:pStyle w:val="TableText"/>
              <w:cnfStyle w:val="000000100000" w:firstRow="0" w:lastRow="0" w:firstColumn="0" w:lastColumn="0" w:oddVBand="0" w:evenVBand="0" w:oddHBand="1" w:evenHBand="0" w:firstRowFirstColumn="0" w:firstRowLastColumn="0" w:lastRowFirstColumn="0" w:lastRowLastColumn="0"/>
            </w:pPr>
            <w:r w:rsidRPr="007A1075">
              <w:t>&lt;.001</w:t>
            </w:r>
          </w:p>
        </w:tc>
        <w:tc>
          <w:tcPr>
            <w:tcW w:w="1418" w:type="dxa"/>
            <w:tcBorders>
              <w:top w:val="none" w:sz="0" w:space="0" w:color="auto"/>
              <w:bottom w:val="none" w:sz="0" w:space="0" w:color="auto"/>
            </w:tcBorders>
            <w:noWrap/>
            <w:hideMark/>
          </w:tcPr>
          <w:p w14:paraId="6606D3D8" w14:textId="77777777" w:rsidR="00AB4B83" w:rsidRPr="007A1075" w:rsidRDefault="00AB4B83" w:rsidP="00321BC5">
            <w:pPr>
              <w:pStyle w:val="TableText"/>
              <w:cnfStyle w:val="000000100000" w:firstRow="0" w:lastRow="0" w:firstColumn="0" w:lastColumn="0" w:oddVBand="0" w:evenVBand="0" w:oddHBand="1" w:evenHBand="0" w:firstRowFirstColumn="0" w:firstRowLastColumn="0" w:lastRowFirstColumn="0" w:lastRowLastColumn="0"/>
            </w:pPr>
            <w:r w:rsidRPr="007A1075">
              <w:t>61.6% (n=346)</w:t>
            </w:r>
          </w:p>
        </w:tc>
      </w:tr>
      <w:tr w:rsidR="00AB4B83" w:rsidRPr="007A1075" w14:paraId="57E91322" w14:textId="77777777" w:rsidTr="0078378F">
        <w:trPr>
          <w:trHeight w:val="290"/>
        </w:trPr>
        <w:tc>
          <w:tcPr>
            <w:cnfStyle w:val="001000000000" w:firstRow="0" w:lastRow="0" w:firstColumn="1" w:lastColumn="0" w:oddVBand="0" w:evenVBand="0" w:oddHBand="0" w:evenHBand="0" w:firstRowFirstColumn="0" w:firstRowLastColumn="0" w:lastRowFirstColumn="0" w:lastRowLastColumn="0"/>
            <w:tcW w:w="1086" w:type="dxa"/>
            <w:vMerge/>
            <w:tcBorders>
              <w:right w:val="none" w:sz="0" w:space="0" w:color="auto"/>
            </w:tcBorders>
            <w:hideMark/>
          </w:tcPr>
          <w:p w14:paraId="45DE4A01" w14:textId="77777777" w:rsidR="00AB4B83" w:rsidRPr="007A1075" w:rsidRDefault="00AB4B83" w:rsidP="00321BC5">
            <w:pPr>
              <w:pStyle w:val="TableText"/>
            </w:pPr>
          </w:p>
        </w:tc>
        <w:tc>
          <w:tcPr>
            <w:tcW w:w="1352" w:type="dxa"/>
            <w:vMerge/>
            <w:hideMark/>
          </w:tcPr>
          <w:p w14:paraId="7BC9ECB0" w14:textId="77777777" w:rsidR="00AB4B83" w:rsidRPr="007A1075" w:rsidRDefault="00AB4B83" w:rsidP="00321BC5">
            <w:pPr>
              <w:pStyle w:val="TableText"/>
              <w:cnfStyle w:val="000000000000" w:firstRow="0" w:lastRow="0" w:firstColumn="0" w:lastColumn="0" w:oddVBand="0" w:evenVBand="0" w:oddHBand="0" w:evenHBand="0" w:firstRowFirstColumn="0" w:firstRowLastColumn="0" w:lastRowFirstColumn="0" w:lastRowLastColumn="0"/>
            </w:pPr>
          </w:p>
        </w:tc>
        <w:tc>
          <w:tcPr>
            <w:tcW w:w="1674" w:type="dxa"/>
            <w:vMerge/>
            <w:hideMark/>
          </w:tcPr>
          <w:p w14:paraId="0C8A2476" w14:textId="77777777" w:rsidR="00AB4B83" w:rsidRPr="007A1075" w:rsidRDefault="00AB4B83" w:rsidP="00321BC5">
            <w:pPr>
              <w:pStyle w:val="TableText"/>
              <w:cnfStyle w:val="000000000000" w:firstRow="0" w:lastRow="0" w:firstColumn="0" w:lastColumn="0" w:oddVBand="0" w:evenVBand="0" w:oddHBand="0" w:evenHBand="0" w:firstRowFirstColumn="0" w:firstRowLastColumn="0" w:lastRowFirstColumn="0" w:lastRowLastColumn="0"/>
            </w:pPr>
          </w:p>
        </w:tc>
        <w:tc>
          <w:tcPr>
            <w:tcW w:w="3396" w:type="dxa"/>
            <w:noWrap/>
            <w:hideMark/>
          </w:tcPr>
          <w:p w14:paraId="2AA5748C" w14:textId="77777777" w:rsidR="00AB4B83" w:rsidRPr="007A1075" w:rsidRDefault="00AB4B83" w:rsidP="00321BC5">
            <w:pPr>
              <w:pStyle w:val="TableText"/>
              <w:cnfStyle w:val="000000000000" w:firstRow="0" w:lastRow="0" w:firstColumn="0" w:lastColumn="0" w:oddVBand="0" w:evenVBand="0" w:oddHBand="0" w:evenHBand="0" w:firstRowFirstColumn="0" w:firstRowLastColumn="0" w:lastRowFirstColumn="0" w:lastRowLastColumn="0"/>
            </w:pPr>
            <w:r w:rsidRPr="007A1075">
              <w:t>Engagement with relevant support services</w:t>
            </w:r>
          </w:p>
        </w:tc>
        <w:tc>
          <w:tcPr>
            <w:tcW w:w="1333" w:type="dxa"/>
            <w:noWrap/>
            <w:hideMark/>
          </w:tcPr>
          <w:p w14:paraId="2874E2BF" w14:textId="77777777" w:rsidR="00AB4B83" w:rsidRPr="007A1075" w:rsidRDefault="00AB4B83" w:rsidP="00321BC5">
            <w:pPr>
              <w:pStyle w:val="TableText"/>
              <w:cnfStyle w:val="000000000000" w:firstRow="0" w:lastRow="0" w:firstColumn="0" w:lastColumn="0" w:oddVBand="0" w:evenVBand="0" w:oddHBand="0" w:evenHBand="0" w:firstRowFirstColumn="0" w:firstRowLastColumn="0" w:lastRowFirstColumn="0" w:lastRowLastColumn="0"/>
            </w:pPr>
            <w:r w:rsidRPr="007A1075">
              <w:t>1.02</w:t>
            </w:r>
          </w:p>
        </w:tc>
        <w:tc>
          <w:tcPr>
            <w:tcW w:w="1559" w:type="dxa"/>
            <w:noWrap/>
            <w:hideMark/>
          </w:tcPr>
          <w:p w14:paraId="272B8298" w14:textId="77777777" w:rsidR="00AB4B83" w:rsidRPr="007A1075" w:rsidRDefault="00AB4B83" w:rsidP="00321BC5">
            <w:pPr>
              <w:pStyle w:val="TableText"/>
              <w:cnfStyle w:val="000000000000" w:firstRow="0" w:lastRow="0" w:firstColumn="0" w:lastColumn="0" w:oddVBand="0" w:evenVBand="0" w:oddHBand="0" w:evenHBand="0" w:firstRowFirstColumn="0" w:firstRowLastColumn="0" w:lastRowFirstColumn="0" w:lastRowLastColumn="0"/>
            </w:pPr>
            <w:r w:rsidRPr="007A1075">
              <w:t>6628</w:t>
            </w:r>
          </w:p>
        </w:tc>
        <w:tc>
          <w:tcPr>
            <w:tcW w:w="1134" w:type="dxa"/>
            <w:noWrap/>
            <w:hideMark/>
          </w:tcPr>
          <w:p w14:paraId="4B3DC674" w14:textId="77777777" w:rsidR="00AB4B83" w:rsidRPr="007A1075" w:rsidRDefault="00AB4B83" w:rsidP="00321BC5">
            <w:pPr>
              <w:pStyle w:val="TableText"/>
              <w:cnfStyle w:val="000000000000" w:firstRow="0" w:lastRow="0" w:firstColumn="0" w:lastColumn="0" w:oddVBand="0" w:evenVBand="0" w:oddHBand="0" w:evenHBand="0" w:firstRowFirstColumn="0" w:firstRowLastColumn="0" w:lastRowFirstColumn="0" w:lastRowLastColumn="0"/>
            </w:pPr>
            <w:r w:rsidRPr="007A1075">
              <w:t>424</w:t>
            </w:r>
          </w:p>
        </w:tc>
        <w:tc>
          <w:tcPr>
            <w:tcW w:w="992" w:type="dxa"/>
            <w:noWrap/>
            <w:hideMark/>
          </w:tcPr>
          <w:p w14:paraId="1BF323B0" w14:textId="77777777" w:rsidR="00AB4B83" w:rsidRPr="007A1075" w:rsidRDefault="00AB4B83" w:rsidP="00321BC5">
            <w:pPr>
              <w:pStyle w:val="TableText"/>
              <w:cnfStyle w:val="000000000000" w:firstRow="0" w:lastRow="0" w:firstColumn="0" w:lastColumn="0" w:oddVBand="0" w:evenVBand="0" w:oddHBand="0" w:evenHBand="0" w:firstRowFirstColumn="0" w:firstRowLastColumn="0" w:lastRowFirstColumn="0" w:lastRowLastColumn="0"/>
            </w:pPr>
            <w:r w:rsidRPr="007A1075">
              <w:t>&lt;.001</w:t>
            </w:r>
          </w:p>
        </w:tc>
        <w:tc>
          <w:tcPr>
            <w:tcW w:w="1418" w:type="dxa"/>
            <w:noWrap/>
            <w:hideMark/>
          </w:tcPr>
          <w:p w14:paraId="59ACDEB8" w14:textId="77777777" w:rsidR="00AB4B83" w:rsidRPr="007A1075" w:rsidRDefault="00AB4B83" w:rsidP="00321BC5">
            <w:pPr>
              <w:pStyle w:val="TableText"/>
              <w:cnfStyle w:val="000000000000" w:firstRow="0" w:lastRow="0" w:firstColumn="0" w:lastColumn="0" w:oddVBand="0" w:evenVBand="0" w:oddHBand="0" w:evenHBand="0" w:firstRowFirstColumn="0" w:firstRowLastColumn="0" w:lastRowFirstColumn="0" w:lastRowLastColumn="0"/>
            </w:pPr>
            <w:r w:rsidRPr="007A1075">
              <w:t>56.1% (n=238)</w:t>
            </w:r>
          </w:p>
        </w:tc>
      </w:tr>
    </w:tbl>
    <w:p w14:paraId="6BCE1790" w14:textId="77777777" w:rsidR="00066FF4" w:rsidRDefault="00066FF4" w:rsidP="00066FF4">
      <w:pPr>
        <w:rPr>
          <w:i/>
          <w:sz w:val="20"/>
          <w:szCs w:val="18"/>
        </w:rPr>
      </w:pPr>
      <w:r>
        <w:rPr>
          <w:i/>
          <w:sz w:val="20"/>
          <w:szCs w:val="18"/>
        </w:rPr>
        <w:t xml:space="preserve">Source: DEX-SCORE data </w:t>
      </w:r>
    </w:p>
    <w:p w14:paraId="77912AFB" w14:textId="77777777" w:rsidR="00066FF4" w:rsidRDefault="00066FF4" w:rsidP="00DD5451">
      <w:pPr>
        <w:rPr>
          <w:i/>
          <w:sz w:val="20"/>
          <w:szCs w:val="18"/>
        </w:rPr>
      </w:pPr>
    </w:p>
    <w:p w14:paraId="253B6C84" w14:textId="77777777" w:rsidR="00066FF4" w:rsidRDefault="00066FF4" w:rsidP="00DD5451">
      <w:pPr>
        <w:rPr>
          <w:i/>
          <w:sz w:val="20"/>
          <w:szCs w:val="18"/>
        </w:rPr>
      </w:pPr>
    </w:p>
    <w:p w14:paraId="723C5446" w14:textId="77777777" w:rsidR="00BE3916" w:rsidRDefault="00BE3916" w:rsidP="15DD266E">
      <w:pPr>
        <w:rPr>
          <w:i/>
          <w:sz w:val="20"/>
          <w:szCs w:val="18"/>
        </w:rPr>
      </w:pPr>
    </w:p>
    <w:p w14:paraId="515FD24F" w14:textId="77777777" w:rsidR="00BE3916" w:rsidRDefault="00BE3916" w:rsidP="15DD266E">
      <w:pPr>
        <w:rPr>
          <w:i/>
          <w:sz w:val="20"/>
          <w:szCs w:val="18"/>
        </w:rPr>
      </w:pPr>
    </w:p>
    <w:p w14:paraId="06CFDCD4" w14:textId="77777777" w:rsidR="00BC3586" w:rsidRDefault="00BC3586" w:rsidP="15DD266E">
      <w:pPr>
        <w:rPr>
          <w:i/>
          <w:sz w:val="20"/>
          <w:szCs w:val="18"/>
        </w:rPr>
      </w:pPr>
    </w:p>
    <w:p w14:paraId="07524077" w14:textId="77777777" w:rsidR="00BC3586" w:rsidRDefault="00BC3586" w:rsidP="15DD266E">
      <w:pPr>
        <w:rPr>
          <w:i/>
          <w:sz w:val="20"/>
          <w:szCs w:val="18"/>
        </w:rPr>
      </w:pPr>
    </w:p>
    <w:p w14:paraId="37578D03" w14:textId="77777777" w:rsidR="00BC3586" w:rsidRDefault="00BC3586" w:rsidP="15DD266E">
      <w:pPr>
        <w:rPr>
          <w:i/>
          <w:sz w:val="20"/>
          <w:szCs w:val="18"/>
        </w:rPr>
      </w:pPr>
    </w:p>
    <w:p w14:paraId="304C6258" w14:textId="77777777" w:rsidR="00BC3586" w:rsidRDefault="00BC3586" w:rsidP="15DD266E">
      <w:pPr>
        <w:rPr>
          <w:i/>
          <w:sz w:val="20"/>
          <w:szCs w:val="18"/>
        </w:rPr>
      </w:pPr>
    </w:p>
    <w:p w14:paraId="6F315E46" w14:textId="77777777" w:rsidR="00BE3916" w:rsidRDefault="00BE3916" w:rsidP="15DD266E">
      <w:pPr>
        <w:rPr>
          <w:i/>
          <w:sz w:val="20"/>
          <w:szCs w:val="18"/>
        </w:rPr>
      </w:pPr>
    </w:p>
    <w:p w14:paraId="500E3EEA" w14:textId="77777777" w:rsidR="00BE3916" w:rsidRDefault="00BE3916" w:rsidP="15DD266E">
      <w:pPr>
        <w:rPr>
          <w:i/>
          <w:sz w:val="20"/>
          <w:szCs w:val="18"/>
        </w:rPr>
      </w:pPr>
    </w:p>
    <w:p w14:paraId="2C552312" w14:textId="57A0E813" w:rsidR="00AF3A95" w:rsidRDefault="005441CB" w:rsidP="00931B7D">
      <w:pPr>
        <w:pStyle w:val="Text"/>
      </w:pPr>
      <w:r>
        <w:rPr>
          <w:rStyle w:val="Text-BodyHeadingChar"/>
        </w:rPr>
        <w:lastRenderedPageBreak/>
        <w:t xml:space="preserve">DEX data - </w:t>
      </w:r>
      <w:r w:rsidR="00AF3A95" w:rsidRPr="00931B7D">
        <w:rPr>
          <w:rStyle w:val="Text-BodyHeadingChar"/>
        </w:rPr>
        <w:t>Aboriginal and Torres Strait Islander</w:t>
      </w:r>
    </w:p>
    <w:p w14:paraId="398B751A" w14:textId="32B2E096" w:rsidR="00DD5451" w:rsidRPr="00BC3586" w:rsidRDefault="00221C9C" w:rsidP="00811E31">
      <w:pPr>
        <w:pStyle w:val="Caption"/>
      </w:pPr>
      <w:r w:rsidRPr="00925CD2">
        <w:rPr>
          <w:rStyle w:val="Text-Bold"/>
          <w:b/>
        </w:rPr>
        <w:t xml:space="preserve">Table </w:t>
      </w:r>
      <w:r w:rsidRPr="00925CD2">
        <w:rPr>
          <w:rStyle w:val="Text-Bold"/>
          <w:b/>
        </w:rPr>
        <w:fldChar w:fldCharType="begin"/>
      </w:r>
      <w:r>
        <w:instrText xml:space="preserve"> SEQ Table \* ARABIC </w:instrText>
      </w:r>
      <w:r w:rsidRPr="00925CD2">
        <w:rPr>
          <w:rStyle w:val="Text-Bold"/>
          <w:b/>
        </w:rPr>
        <w:fldChar w:fldCharType="separate"/>
      </w:r>
      <w:r w:rsidR="008D2566">
        <w:rPr>
          <w:noProof/>
        </w:rPr>
        <w:t>61</w:t>
      </w:r>
      <w:r w:rsidRPr="00925CD2">
        <w:rPr>
          <w:rStyle w:val="Text-Bold"/>
          <w:b/>
        </w:rPr>
        <w:fldChar w:fldCharType="end"/>
      </w:r>
      <w:r w:rsidRPr="00925CD2">
        <w:rPr>
          <w:rStyle w:val="Text-Bold"/>
          <w:b/>
        </w:rPr>
        <w:t xml:space="preserve">: Mean earliest-to-latest SCORE change (within-subjects) by Aboriginal and Torres Strait Islander status, FaRS </w:t>
      </w:r>
      <w:r w:rsidR="00E614D3" w:rsidRPr="00925CD2">
        <w:rPr>
          <w:rStyle w:val="Text-Bold"/>
          <w:b/>
        </w:rPr>
        <w:t>service users</w:t>
      </w:r>
      <w:r w:rsidR="00811E31" w:rsidRPr="00811E31">
        <w:rPr>
          <w:rStyle w:val="Text-Bold"/>
          <w:b/>
          <w:sz w:val="21"/>
          <w:szCs w:val="21"/>
        </w:rPr>
        <w:t>, July 2021 to June 2024</w:t>
      </w:r>
      <w:r w:rsidR="00E614D3" w:rsidRPr="00925CD2">
        <w:rPr>
          <w:rStyle w:val="Text-Bold"/>
          <w:b/>
        </w:rPr>
        <w:t xml:space="preserve"> </w:t>
      </w:r>
    </w:p>
    <w:tbl>
      <w:tblPr>
        <w:tblStyle w:val="ListTable3-Accent3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8"/>
        <w:gridCol w:w="1380"/>
        <w:gridCol w:w="1688"/>
        <w:gridCol w:w="3766"/>
        <w:gridCol w:w="1455"/>
        <w:gridCol w:w="1443"/>
        <w:gridCol w:w="859"/>
        <w:gridCol w:w="790"/>
        <w:gridCol w:w="1455"/>
      </w:tblGrid>
      <w:tr w:rsidR="00C575E9" w:rsidRPr="007A1075" w14:paraId="17227B36" w14:textId="77777777" w:rsidTr="001267B9">
        <w:trPr>
          <w:cnfStyle w:val="100000000000" w:firstRow="1" w:lastRow="0" w:firstColumn="0" w:lastColumn="0" w:oddVBand="0" w:evenVBand="0" w:oddHBand="0" w:evenHBand="0" w:firstRowFirstColumn="0" w:firstRowLastColumn="0" w:lastRowFirstColumn="0" w:lastRowLastColumn="0"/>
          <w:trHeight w:val="870"/>
        </w:trPr>
        <w:tc>
          <w:tcPr>
            <w:cnfStyle w:val="001000000100" w:firstRow="0" w:lastRow="0" w:firstColumn="1" w:lastColumn="0" w:oddVBand="0" w:evenVBand="0" w:oddHBand="0" w:evenHBand="0" w:firstRowFirstColumn="1" w:firstRowLastColumn="0" w:lastRowFirstColumn="0" w:lastRowLastColumn="0"/>
            <w:tcW w:w="1122" w:type="dxa"/>
            <w:hideMark/>
          </w:tcPr>
          <w:p w14:paraId="03DFDFA4" w14:textId="77777777" w:rsidR="00C575E9" w:rsidRPr="007A1075" w:rsidRDefault="00C575E9" w:rsidP="001267B9">
            <w:pPr>
              <w:pStyle w:val="TableText"/>
              <w:rPr>
                <w:bCs w:val="0"/>
              </w:rPr>
            </w:pPr>
            <w:r w:rsidRPr="007A1075">
              <w:t>Activity</w:t>
            </w:r>
          </w:p>
        </w:tc>
        <w:tc>
          <w:tcPr>
            <w:tcW w:w="1407" w:type="dxa"/>
            <w:hideMark/>
          </w:tcPr>
          <w:p w14:paraId="3E93360C" w14:textId="77777777" w:rsidR="00C575E9" w:rsidRPr="007A1075" w:rsidRDefault="00C575E9" w:rsidP="001267B9">
            <w:pPr>
              <w:pStyle w:val="TableText"/>
              <w:cnfStyle w:val="100000000000" w:firstRow="1" w:lastRow="0" w:firstColumn="0" w:lastColumn="0" w:oddVBand="0" w:evenVBand="0" w:oddHBand="0" w:evenHBand="0" w:firstRowFirstColumn="0" w:firstRowLastColumn="0" w:lastRowFirstColumn="0" w:lastRowLastColumn="0"/>
              <w:rPr>
                <w:bCs w:val="0"/>
              </w:rPr>
            </w:pPr>
            <w:r w:rsidRPr="007A1075">
              <w:t>Cohort</w:t>
            </w:r>
          </w:p>
        </w:tc>
        <w:tc>
          <w:tcPr>
            <w:tcW w:w="1697" w:type="dxa"/>
            <w:hideMark/>
          </w:tcPr>
          <w:p w14:paraId="308D4F4A" w14:textId="77777777" w:rsidR="00C575E9" w:rsidRPr="007A1075" w:rsidRDefault="00C575E9" w:rsidP="001267B9">
            <w:pPr>
              <w:pStyle w:val="TableText"/>
              <w:cnfStyle w:val="100000000000" w:firstRow="1" w:lastRow="0" w:firstColumn="0" w:lastColumn="0" w:oddVBand="0" w:evenVBand="0" w:oddHBand="0" w:evenHBand="0" w:firstRowFirstColumn="0" w:firstRowLastColumn="0" w:lastRowFirstColumn="0" w:lastRowLastColumn="0"/>
              <w:rPr>
                <w:bCs w:val="0"/>
              </w:rPr>
            </w:pPr>
            <w:r w:rsidRPr="007A1075">
              <w:t>Outcome type</w:t>
            </w:r>
          </w:p>
        </w:tc>
        <w:tc>
          <w:tcPr>
            <w:tcW w:w="3766" w:type="dxa"/>
            <w:noWrap/>
            <w:hideMark/>
          </w:tcPr>
          <w:p w14:paraId="3827970F" w14:textId="77777777" w:rsidR="00C575E9" w:rsidRPr="007A1075" w:rsidRDefault="00C575E9" w:rsidP="001267B9">
            <w:pPr>
              <w:pStyle w:val="TableText"/>
              <w:cnfStyle w:val="100000000000" w:firstRow="1" w:lastRow="0" w:firstColumn="0" w:lastColumn="0" w:oddVBand="0" w:evenVBand="0" w:oddHBand="0" w:evenHBand="0" w:firstRowFirstColumn="0" w:firstRowLastColumn="0" w:lastRowFirstColumn="0" w:lastRowLastColumn="0"/>
              <w:rPr>
                <w:bCs w:val="0"/>
              </w:rPr>
            </w:pPr>
            <w:r w:rsidRPr="007A1075">
              <w:t>Domain</w:t>
            </w:r>
          </w:p>
        </w:tc>
        <w:tc>
          <w:tcPr>
            <w:tcW w:w="1455" w:type="dxa"/>
            <w:hideMark/>
          </w:tcPr>
          <w:p w14:paraId="61DAF7BC" w14:textId="77777777" w:rsidR="00C575E9" w:rsidRPr="007A1075" w:rsidRDefault="00C575E9" w:rsidP="001267B9">
            <w:pPr>
              <w:pStyle w:val="TableText"/>
              <w:cnfStyle w:val="100000000000" w:firstRow="1" w:lastRow="0" w:firstColumn="0" w:lastColumn="0" w:oddVBand="0" w:evenVBand="0" w:oddHBand="0" w:evenHBand="0" w:firstRowFirstColumn="0" w:firstRowLastColumn="0" w:lastRowFirstColumn="0" w:lastRowLastColumn="0"/>
              <w:rPr>
                <w:bCs w:val="0"/>
              </w:rPr>
            </w:pPr>
            <w:r w:rsidRPr="007A1075">
              <w:t>SCORE change (mean)</w:t>
            </w:r>
          </w:p>
        </w:tc>
        <w:tc>
          <w:tcPr>
            <w:tcW w:w="1393" w:type="dxa"/>
            <w:noWrap/>
            <w:hideMark/>
          </w:tcPr>
          <w:p w14:paraId="285EC69C" w14:textId="77777777" w:rsidR="00C575E9" w:rsidRPr="007A1075" w:rsidRDefault="00C575E9" w:rsidP="001267B9">
            <w:pPr>
              <w:pStyle w:val="TableText"/>
              <w:cnfStyle w:val="100000000000" w:firstRow="1" w:lastRow="0" w:firstColumn="0" w:lastColumn="0" w:oddVBand="0" w:evenVBand="0" w:oddHBand="0" w:evenHBand="0" w:firstRowFirstColumn="0" w:firstRowLastColumn="0" w:lastRowFirstColumn="0" w:lastRowLastColumn="0"/>
              <w:rPr>
                <w:bCs w:val="0"/>
              </w:rPr>
            </w:pPr>
            <w:r w:rsidRPr="007A1075">
              <w:t>Wilcoxon</w:t>
            </w:r>
          </w:p>
        </w:tc>
        <w:tc>
          <w:tcPr>
            <w:tcW w:w="859" w:type="dxa"/>
            <w:noWrap/>
            <w:hideMark/>
          </w:tcPr>
          <w:p w14:paraId="56F603F2" w14:textId="77777777" w:rsidR="00C575E9" w:rsidRPr="007A1075" w:rsidRDefault="00C575E9" w:rsidP="001267B9">
            <w:pPr>
              <w:pStyle w:val="TableText"/>
              <w:cnfStyle w:val="100000000000" w:firstRow="1" w:lastRow="0" w:firstColumn="0" w:lastColumn="0" w:oddVBand="0" w:evenVBand="0" w:oddHBand="0" w:evenHBand="0" w:firstRowFirstColumn="0" w:firstRowLastColumn="0" w:lastRowFirstColumn="0" w:lastRowLastColumn="0"/>
              <w:rPr>
                <w:bCs w:val="0"/>
              </w:rPr>
            </w:pPr>
            <w:r w:rsidRPr="007A1075">
              <w:t>n</w:t>
            </w:r>
          </w:p>
        </w:tc>
        <w:tc>
          <w:tcPr>
            <w:tcW w:w="790" w:type="dxa"/>
            <w:noWrap/>
            <w:hideMark/>
          </w:tcPr>
          <w:p w14:paraId="37023A60" w14:textId="77777777" w:rsidR="00C575E9" w:rsidRPr="007A1075" w:rsidRDefault="00C575E9" w:rsidP="001267B9">
            <w:pPr>
              <w:pStyle w:val="TableText"/>
              <w:cnfStyle w:val="100000000000" w:firstRow="1" w:lastRow="0" w:firstColumn="0" w:lastColumn="0" w:oddVBand="0" w:evenVBand="0" w:oddHBand="0" w:evenHBand="0" w:firstRowFirstColumn="0" w:firstRowLastColumn="0" w:lastRowFirstColumn="0" w:lastRowLastColumn="0"/>
              <w:rPr>
                <w:bCs w:val="0"/>
              </w:rPr>
            </w:pPr>
            <w:r w:rsidRPr="007A1075">
              <w:t>p</w:t>
            </w:r>
          </w:p>
        </w:tc>
        <w:tc>
          <w:tcPr>
            <w:tcW w:w="1455" w:type="dxa"/>
            <w:hideMark/>
          </w:tcPr>
          <w:p w14:paraId="6B863815" w14:textId="77777777" w:rsidR="00C575E9" w:rsidRPr="007A1075" w:rsidRDefault="00C575E9" w:rsidP="001267B9">
            <w:pPr>
              <w:pStyle w:val="TableText"/>
              <w:cnfStyle w:val="100000000000" w:firstRow="1" w:lastRow="0" w:firstColumn="0" w:lastColumn="0" w:oddVBand="0" w:evenVBand="0" w:oddHBand="0" w:evenHBand="0" w:firstRowFirstColumn="0" w:firstRowLastColumn="0" w:lastRowFirstColumn="0" w:lastRowLastColumn="0"/>
              <w:rPr>
                <w:bCs w:val="0"/>
              </w:rPr>
            </w:pPr>
            <w:r>
              <w:t>Service users</w:t>
            </w:r>
            <w:r w:rsidRPr="007A1075">
              <w:t xml:space="preserve"> with positive change (%, n)</w:t>
            </w:r>
          </w:p>
        </w:tc>
      </w:tr>
      <w:tr w:rsidR="000F5648" w:rsidRPr="007A1075" w14:paraId="2EE4111C" w14:textId="77777777" w:rsidTr="001267B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122" w:type="dxa"/>
            <w:vMerge w:val="restart"/>
            <w:hideMark/>
          </w:tcPr>
          <w:p w14:paraId="20DD8A94" w14:textId="6A853BD4" w:rsidR="000F5648" w:rsidRPr="00811E31" w:rsidRDefault="000F5648" w:rsidP="000F5648">
            <w:pPr>
              <w:pStyle w:val="TableText"/>
              <w:rPr>
                <w:b w:val="0"/>
                <w:bCs w:val="0"/>
                <w:lang w:val="en-NZ"/>
              </w:rPr>
            </w:pPr>
            <w:r w:rsidRPr="00811E31">
              <w:rPr>
                <w:b w:val="0"/>
                <w:bCs w:val="0"/>
                <w:lang w:val="en-NZ"/>
              </w:rPr>
              <w:t>FaRS</w:t>
            </w:r>
          </w:p>
        </w:tc>
        <w:tc>
          <w:tcPr>
            <w:tcW w:w="1407" w:type="dxa"/>
            <w:vMerge w:val="restart"/>
            <w:hideMark/>
          </w:tcPr>
          <w:p w14:paraId="6E1A1FF0" w14:textId="77777777" w:rsidR="000F5648" w:rsidRPr="007A1075" w:rsidRDefault="000F5648" w:rsidP="000F5648">
            <w:pPr>
              <w:pStyle w:val="TableText"/>
              <w:cnfStyle w:val="000000100000" w:firstRow="0" w:lastRow="0" w:firstColumn="0" w:lastColumn="0" w:oddVBand="0" w:evenVBand="0" w:oddHBand="1" w:evenHBand="0" w:firstRowFirstColumn="0" w:firstRowLastColumn="0" w:lastRowFirstColumn="0" w:lastRowLastColumn="0"/>
            </w:pPr>
            <w:r w:rsidRPr="00E73041">
              <w:t>Non-First Nations (or unknown)</w:t>
            </w:r>
          </w:p>
          <w:p w14:paraId="7B4821A9" w14:textId="77777777" w:rsidR="000F5648" w:rsidRPr="007A1075" w:rsidRDefault="000F5648" w:rsidP="000F5648">
            <w:pPr>
              <w:pStyle w:val="TableText"/>
              <w:cnfStyle w:val="000000100000" w:firstRow="0" w:lastRow="0" w:firstColumn="0" w:lastColumn="0" w:oddVBand="0" w:evenVBand="0" w:oddHBand="1" w:evenHBand="0" w:firstRowFirstColumn="0" w:firstRowLastColumn="0" w:lastRowFirstColumn="0" w:lastRowLastColumn="0"/>
            </w:pPr>
          </w:p>
        </w:tc>
        <w:tc>
          <w:tcPr>
            <w:tcW w:w="1697" w:type="dxa"/>
            <w:vMerge w:val="restart"/>
            <w:hideMark/>
          </w:tcPr>
          <w:p w14:paraId="19404AC1" w14:textId="77777777" w:rsidR="000F5648" w:rsidRPr="007A1075" w:rsidRDefault="000F5648" w:rsidP="000F5648">
            <w:pPr>
              <w:pStyle w:val="TableText"/>
              <w:cnfStyle w:val="000000100000" w:firstRow="0" w:lastRow="0" w:firstColumn="0" w:lastColumn="0" w:oddVBand="0" w:evenVBand="0" w:oddHBand="1" w:evenHBand="0" w:firstRowFirstColumn="0" w:firstRowLastColumn="0" w:lastRowFirstColumn="0" w:lastRowLastColumn="0"/>
            </w:pPr>
            <w:r w:rsidRPr="007A1075">
              <w:t>Circumstances</w:t>
            </w:r>
          </w:p>
        </w:tc>
        <w:tc>
          <w:tcPr>
            <w:tcW w:w="3766" w:type="dxa"/>
            <w:noWrap/>
            <w:hideMark/>
          </w:tcPr>
          <w:p w14:paraId="5280996A" w14:textId="77777777" w:rsidR="000F5648" w:rsidRPr="007A1075" w:rsidRDefault="000F5648" w:rsidP="000F5648">
            <w:pPr>
              <w:pStyle w:val="TableText"/>
              <w:cnfStyle w:val="000000100000" w:firstRow="0" w:lastRow="0" w:firstColumn="0" w:lastColumn="0" w:oddVBand="0" w:evenVBand="0" w:oddHBand="1" w:evenHBand="0" w:firstRowFirstColumn="0" w:firstRowLastColumn="0" w:lastRowFirstColumn="0" w:lastRowLastColumn="0"/>
            </w:pPr>
            <w:r w:rsidRPr="007A1075">
              <w:t>Family functioning</w:t>
            </w:r>
          </w:p>
        </w:tc>
        <w:tc>
          <w:tcPr>
            <w:tcW w:w="1455" w:type="dxa"/>
            <w:noWrap/>
            <w:hideMark/>
          </w:tcPr>
          <w:p w14:paraId="2A8A6667" w14:textId="2D07BD47" w:rsidR="000F5648" w:rsidRPr="007A1075" w:rsidRDefault="000F5648" w:rsidP="000F5648">
            <w:pPr>
              <w:pStyle w:val="TableText"/>
              <w:cnfStyle w:val="000000100000" w:firstRow="0" w:lastRow="0" w:firstColumn="0" w:lastColumn="0" w:oddVBand="0" w:evenVBand="0" w:oddHBand="1" w:evenHBand="0" w:firstRowFirstColumn="0" w:firstRowLastColumn="0" w:lastRowFirstColumn="0" w:lastRowLastColumn="0"/>
            </w:pPr>
            <w:r w:rsidRPr="00401089">
              <w:t>0.8</w:t>
            </w:r>
          </w:p>
        </w:tc>
        <w:tc>
          <w:tcPr>
            <w:tcW w:w="1393" w:type="dxa"/>
            <w:noWrap/>
            <w:hideMark/>
          </w:tcPr>
          <w:p w14:paraId="1A8750AA" w14:textId="7954240D" w:rsidR="000F5648" w:rsidRPr="007A1075" w:rsidRDefault="2C9FADB7" w:rsidP="000F5648">
            <w:pPr>
              <w:pStyle w:val="TableText"/>
              <w:cnfStyle w:val="000000100000" w:firstRow="0" w:lastRow="0" w:firstColumn="0" w:lastColumn="0" w:oddVBand="0" w:evenVBand="0" w:oddHBand="1" w:evenHBand="0" w:firstRowFirstColumn="0" w:firstRowLastColumn="0" w:lastRowFirstColumn="0" w:lastRowLastColumn="0"/>
            </w:pPr>
            <w:r>
              <w:t>211968696</w:t>
            </w:r>
          </w:p>
        </w:tc>
        <w:tc>
          <w:tcPr>
            <w:tcW w:w="859" w:type="dxa"/>
            <w:noWrap/>
            <w:hideMark/>
          </w:tcPr>
          <w:p w14:paraId="542E5C07" w14:textId="01ED366B" w:rsidR="000F5648" w:rsidRPr="007A1075" w:rsidRDefault="000F5648" w:rsidP="000F5648">
            <w:pPr>
              <w:pStyle w:val="TableText"/>
              <w:cnfStyle w:val="000000100000" w:firstRow="0" w:lastRow="0" w:firstColumn="0" w:lastColumn="0" w:oddVBand="0" w:evenVBand="0" w:oddHBand="1" w:evenHBand="0" w:firstRowFirstColumn="0" w:firstRowLastColumn="0" w:lastRowFirstColumn="0" w:lastRowLastColumn="0"/>
            </w:pPr>
            <w:r w:rsidRPr="00401089">
              <w:t>64</w:t>
            </w:r>
            <w:r>
              <w:t>,</w:t>
            </w:r>
            <w:r w:rsidRPr="00401089">
              <w:t>313</w:t>
            </w:r>
          </w:p>
        </w:tc>
        <w:tc>
          <w:tcPr>
            <w:tcW w:w="790" w:type="dxa"/>
            <w:noWrap/>
            <w:hideMark/>
          </w:tcPr>
          <w:p w14:paraId="118D6352" w14:textId="424F7DF9" w:rsidR="000F5648" w:rsidRPr="007A1075" w:rsidRDefault="000F5648" w:rsidP="000F5648">
            <w:pPr>
              <w:pStyle w:val="TableText"/>
              <w:cnfStyle w:val="000000100000" w:firstRow="0" w:lastRow="0" w:firstColumn="0" w:lastColumn="0" w:oddVBand="0" w:evenVBand="0" w:oddHBand="1" w:evenHBand="0" w:firstRowFirstColumn="0" w:firstRowLastColumn="0" w:lastRowFirstColumn="0" w:lastRowLastColumn="0"/>
            </w:pPr>
            <w:r w:rsidRPr="00401089">
              <w:t>&lt;.001</w:t>
            </w:r>
          </w:p>
        </w:tc>
        <w:tc>
          <w:tcPr>
            <w:tcW w:w="1455" w:type="dxa"/>
            <w:noWrap/>
            <w:hideMark/>
          </w:tcPr>
          <w:p w14:paraId="7827EE0B" w14:textId="541B8F7C" w:rsidR="000F5648" w:rsidRPr="007A1075" w:rsidRDefault="000F5648" w:rsidP="000F5648">
            <w:pPr>
              <w:pStyle w:val="TableText"/>
              <w:cnfStyle w:val="000000100000" w:firstRow="0" w:lastRow="0" w:firstColumn="0" w:lastColumn="0" w:oddVBand="0" w:evenVBand="0" w:oddHBand="1" w:evenHBand="0" w:firstRowFirstColumn="0" w:firstRowLastColumn="0" w:lastRowFirstColumn="0" w:lastRowLastColumn="0"/>
            </w:pPr>
            <w:r w:rsidRPr="00401089">
              <w:t>54.9% (n=35</w:t>
            </w:r>
            <w:r>
              <w:t>,</w:t>
            </w:r>
            <w:r w:rsidRPr="00401089">
              <w:t>333)</w:t>
            </w:r>
          </w:p>
        </w:tc>
      </w:tr>
      <w:tr w:rsidR="000F5648" w:rsidRPr="007A1075" w14:paraId="6290B5E8" w14:textId="77777777" w:rsidTr="001267B9">
        <w:trPr>
          <w:trHeight w:val="290"/>
        </w:trPr>
        <w:tc>
          <w:tcPr>
            <w:cnfStyle w:val="001000000000" w:firstRow="0" w:lastRow="0" w:firstColumn="1" w:lastColumn="0" w:oddVBand="0" w:evenVBand="0" w:oddHBand="0" w:evenHBand="0" w:firstRowFirstColumn="0" w:firstRowLastColumn="0" w:lastRowFirstColumn="0" w:lastRowLastColumn="0"/>
            <w:tcW w:w="1122" w:type="dxa"/>
            <w:vMerge/>
            <w:hideMark/>
          </w:tcPr>
          <w:p w14:paraId="7E713569" w14:textId="77777777" w:rsidR="00826536" w:rsidRPr="007A1075" w:rsidRDefault="00826536" w:rsidP="000F5648">
            <w:pPr>
              <w:pStyle w:val="TableText"/>
            </w:pPr>
          </w:p>
        </w:tc>
        <w:tc>
          <w:tcPr>
            <w:tcW w:w="1407" w:type="dxa"/>
            <w:vMerge/>
            <w:hideMark/>
          </w:tcPr>
          <w:p w14:paraId="581AFFF8" w14:textId="77777777" w:rsidR="000F5648" w:rsidRPr="007A1075" w:rsidRDefault="000F5648" w:rsidP="000F5648">
            <w:pPr>
              <w:pStyle w:val="TableText"/>
              <w:cnfStyle w:val="000000000000" w:firstRow="0" w:lastRow="0" w:firstColumn="0" w:lastColumn="0" w:oddVBand="0" w:evenVBand="0" w:oddHBand="0" w:evenHBand="0" w:firstRowFirstColumn="0" w:firstRowLastColumn="0" w:lastRowFirstColumn="0" w:lastRowLastColumn="0"/>
            </w:pPr>
          </w:p>
        </w:tc>
        <w:tc>
          <w:tcPr>
            <w:tcW w:w="1697" w:type="dxa"/>
            <w:vMerge/>
            <w:hideMark/>
          </w:tcPr>
          <w:p w14:paraId="1EDAACA1" w14:textId="77777777" w:rsidR="000F5648" w:rsidRPr="007A1075" w:rsidRDefault="000F5648" w:rsidP="000F5648">
            <w:pPr>
              <w:pStyle w:val="TableText"/>
              <w:cnfStyle w:val="000000000000" w:firstRow="0" w:lastRow="0" w:firstColumn="0" w:lastColumn="0" w:oddVBand="0" w:evenVBand="0" w:oddHBand="0" w:evenHBand="0" w:firstRowFirstColumn="0" w:firstRowLastColumn="0" w:lastRowFirstColumn="0" w:lastRowLastColumn="0"/>
            </w:pPr>
          </w:p>
        </w:tc>
        <w:tc>
          <w:tcPr>
            <w:tcW w:w="3766" w:type="dxa"/>
            <w:noWrap/>
            <w:hideMark/>
          </w:tcPr>
          <w:p w14:paraId="461D66AB" w14:textId="77777777" w:rsidR="000F5648" w:rsidRPr="007A1075" w:rsidRDefault="00826536" w:rsidP="000F5648">
            <w:pPr>
              <w:pStyle w:val="TableText"/>
              <w:cnfStyle w:val="000000000000" w:firstRow="0" w:lastRow="0" w:firstColumn="0" w:lastColumn="0" w:oddVBand="0" w:evenVBand="0" w:oddHBand="0" w:evenHBand="0" w:firstRowFirstColumn="0" w:firstRowLastColumn="0" w:lastRowFirstColumn="0" w:lastRowLastColumn="0"/>
            </w:pPr>
            <w:r w:rsidRPr="57F92EFB">
              <w:rPr>
                <w:lang w:val="en-NZ"/>
              </w:rPr>
              <w:t>Mental health, wellbeing and self-care</w:t>
            </w:r>
          </w:p>
        </w:tc>
        <w:tc>
          <w:tcPr>
            <w:tcW w:w="1455" w:type="dxa"/>
            <w:noWrap/>
            <w:hideMark/>
          </w:tcPr>
          <w:p w14:paraId="70F88137" w14:textId="016B9697" w:rsidR="000F5648" w:rsidRPr="007A1075" w:rsidRDefault="000F5648" w:rsidP="000F5648">
            <w:pPr>
              <w:pStyle w:val="TableText"/>
              <w:cnfStyle w:val="000000000000" w:firstRow="0" w:lastRow="0" w:firstColumn="0" w:lastColumn="0" w:oddVBand="0" w:evenVBand="0" w:oddHBand="0" w:evenHBand="0" w:firstRowFirstColumn="0" w:firstRowLastColumn="0" w:lastRowFirstColumn="0" w:lastRowLastColumn="0"/>
            </w:pPr>
            <w:r w:rsidRPr="00401089">
              <w:t>0.79</w:t>
            </w:r>
          </w:p>
        </w:tc>
        <w:tc>
          <w:tcPr>
            <w:tcW w:w="1393" w:type="dxa"/>
            <w:noWrap/>
            <w:hideMark/>
          </w:tcPr>
          <w:p w14:paraId="4FA27D48" w14:textId="2BF81264" w:rsidR="000F5648" w:rsidRPr="007A1075" w:rsidRDefault="3F928D94" w:rsidP="55BF83EA">
            <w:pPr>
              <w:pStyle w:val="TableText"/>
              <w:cnfStyle w:val="000000000000" w:firstRow="0" w:lastRow="0" w:firstColumn="0" w:lastColumn="0" w:oddVBand="0" w:evenVBand="0" w:oddHBand="0" w:evenHBand="0" w:firstRowFirstColumn="0" w:firstRowLastColumn="0" w:lastRowFirstColumn="0" w:lastRowLastColumn="0"/>
            </w:pPr>
            <w:r w:rsidRPr="55BF83EA">
              <w:t>177667854.5</w:t>
            </w:r>
          </w:p>
          <w:p w14:paraId="088205AF" w14:textId="4596D9DD" w:rsidR="000F5648" w:rsidRPr="007A1075" w:rsidRDefault="000F5648" w:rsidP="000F5648">
            <w:pPr>
              <w:pStyle w:val="TableText"/>
              <w:cnfStyle w:val="000000000000" w:firstRow="0" w:lastRow="0" w:firstColumn="0" w:lastColumn="0" w:oddVBand="0" w:evenVBand="0" w:oddHBand="0" w:evenHBand="0" w:firstRowFirstColumn="0" w:firstRowLastColumn="0" w:lastRowFirstColumn="0" w:lastRowLastColumn="0"/>
            </w:pPr>
          </w:p>
        </w:tc>
        <w:tc>
          <w:tcPr>
            <w:tcW w:w="859" w:type="dxa"/>
            <w:noWrap/>
            <w:hideMark/>
          </w:tcPr>
          <w:p w14:paraId="7F20B0DC" w14:textId="044D6537" w:rsidR="000F5648" w:rsidRPr="007A1075" w:rsidRDefault="000F5648" w:rsidP="000F5648">
            <w:pPr>
              <w:pStyle w:val="TableText"/>
              <w:cnfStyle w:val="000000000000" w:firstRow="0" w:lastRow="0" w:firstColumn="0" w:lastColumn="0" w:oddVBand="0" w:evenVBand="0" w:oddHBand="0" w:evenHBand="0" w:firstRowFirstColumn="0" w:firstRowLastColumn="0" w:lastRowFirstColumn="0" w:lastRowLastColumn="0"/>
            </w:pPr>
            <w:r w:rsidRPr="00401089">
              <w:t>59</w:t>
            </w:r>
            <w:r>
              <w:t>,</w:t>
            </w:r>
            <w:r w:rsidRPr="00401089">
              <w:t>022</w:t>
            </w:r>
          </w:p>
        </w:tc>
        <w:tc>
          <w:tcPr>
            <w:tcW w:w="790" w:type="dxa"/>
            <w:noWrap/>
            <w:hideMark/>
          </w:tcPr>
          <w:p w14:paraId="242DE128" w14:textId="2DEBECE8" w:rsidR="000F5648" w:rsidRPr="007A1075" w:rsidRDefault="000F5648" w:rsidP="000F5648">
            <w:pPr>
              <w:pStyle w:val="TableText"/>
              <w:cnfStyle w:val="000000000000" w:firstRow="0" w:lastRow="0" w:firstColumn="0" w:lastColumn="0" w:oddVBand="0" w:evenVBand="0" w:oddHBand="0" w:evenHBand="0" w:firstRowFirstColumn="0" w:firstRowLastColumn="0" w:lastRowFirstColumn="0" w:lastRowLastColumn="0"/>
            </w:pPr>
            <w:r w:rsidRPr="00401089">
              <w:t>&lt;.001</w:t>
            </w:r>
          </w:p>
        </w:tc>
        <w:tc>
          <w:tcPr>
            <w:tcW w:w="1455" w:type="dxa"/>
            <w:noWrap/>
            <w:hideMark/>
          </w:tcPr>
          <w:p w14:paraId="0F23917A" w14:textId="405C6675" w:rsidR="000F5648" w:rsidRPr="007A1075" w:rsidRDefault="000F5648" w:rsidP="000F5648">
            <w:pPr>
              <w:pStyle w:val="TableText"/>
              <w:cnfStyle w:val="000000000000" w:firstRow="0" w:lastRow="0" w:firstColumn="0" w:lastColumn="0" w:oddVBand="0" w:evenVBand="0" w:oddHBand="0" w:evenHBand="0" w:firstRowFirstColumn="0" w:firstRowLastColumn="0" w:lastRowFirstColumn="0" w:lastRowLastColumn="0"/>
            </w:pPr>
            <w:r w:rsidRPr="00401089">
              <w:t>55.5% (n=32</w:t>
            </w:r>
            <w:r>
              <w:t>,</w:t>
            </w:r>
            <w:r w:rsidRPr="00401089">
              <w:t>764)</w:t>
            </w:r>
          </w:p>
        </w:tc>
      </w:tr>
      <w:tr w:rsidR="000F5648" w:rsidRPr="007A1075" w14:paraId="7A0FB9E5" w14:textId="77777777" w:rsidTr="001267B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122" w:type="dxa"/>
            <w:vMerge/>
            <w:hideMark/>
          </w:tcPr>
          <w:p w14:paraId="649F7526" w14:textId="77777777" w:rsidR="00826536" w:rsidRPr="007A1075" w:rsidRDefault="00826536" w:rsidP="000F5648">
            <w:pPr>
              <w:pStyle w:val="TableText"/>
            </w:pPr>
          </w:p>
        </w:tc>
        <w:tc>
          <w:tcPr>
            <w:tcW w:w="1407" w:type="dxa"/>
            <w:vMerge/>
            <w:hideMark/>
          </w:tcPr>
          <w:p w14:paraId="545E13E9" w14:textId="77777777" w:rsidR="000F5648" w:rsidRPr="007A1075" w:rsidRDefault="000F5648" w:rsidP="000F5648">
            <w:pPr>
              <w:pStyle w:val="TableText"/>
              <w:cnfStyle w:val="000000100000" w:firstRow="0" w:lastRow="0" w:firstColumn="0" w:lastColumn="0" w:oddVBand="0" w:evenVBand="0" w:oddHBand="1" w:evenHBand="0" w:firstRowFirstColumn="0" w:firstRowLastColumn="0" w:lastRowFirstColumn="0" w:lastRowLastColumn="0"/>
            </w:pPr>
          </w:p>
        </w:tc>
        <w:tc>
          <w:tcPr>
            <w:tcW w:w="1697" w:type="dxa"/>
            <w:vMerge/>
            <w:hideMark/>
          </w:tcPr>
          <w:p w14:paraId="382EBB12" w14:textId="77777777" w:rsidR="000F5648" w:rsidRPr="007A1075" w:rsidRDefault="000F5648" w:rsidP="000F5648">
            <w:pPr>
              <w:pStyle w:val="TableText"/>
              <w:cnfStyle w:val="000000100000" w:firstRow="0" w:lastRow="0" w:firstColumn="0" w:lastColumn="0" w:oddVBand="0" w:evenVBand="0" w:oddHBand="1" w:evenHBand="0" w:firstRowFirstColumn="0" w:firstRowLastColumn="0" w:lastRowFirstColumn="0" w:lastRowLastColumn="0"/>
            </w:pPr>
          </w:p>
        </w:tc>
        <w:tc>
          <w:tcPr>
            <w:tcW w:w="3766" w:type="dxa"/>
            <w:noWrap/>
            <w:hideMark/>
          </w:tcPr>
          <w:p w14:paraId="73CB6AD1" w14:textId="77777777" w:rsidR="000F5648" w:rsidRPr="007A1075" w:rsidRDefault="000F5648" w:rsidP="000F5648">
            <w:pPr>
              <w:pStyle w:val="TableText"/>
              <w:cnfStyle w:val="000000100000" w:firstRow="0" w:lastRow="0" w:firstColumn="0" w:lastColumn="0" w:oddVBand="0" w:evenVBand="0" w:oddHBand="1" w:evenHBand="0" w:firstRowFirstColumn="0" w:firstRowLastColumn="0" w:lastRowFirstColumn="0" w:lastRowLastColumn="0"/>
            </w:pPr>
            <w:r w:rsidRPr="007A1075">
              <w:t>Personal and family safety</w:t>
            </w:r>
          </w:p>
        </w:tc>
        <w:tc>
          <w:tcPr>
            <w:tcW w:w="1455" w:type="dxa"/>
            <w:noWrap/>
            <w:hideMark/>
          </w:tcPr>
          <w:p w14:paraId="5DCDC67D" w14:textId="4448F58D" w:rsidR="000F5648" w:rsidRPr="007A1075" w:rsidRDefault="000F5648" w:rsidP="000F5648">
            <w:pPr>
              <w:pStyle w:val="TableText"/>
              <w:cnfStyle w:val="000000100000" w:firstRow="0" w:lastRow="0" w:firstColumn="0" w:lastColumn="0" w:oddVBand="0" w:evenVBand="0" w:oddHBand="1" w:evenHBand="0" w:firstRowFirstColumn="0" w:firstRowLastColumn="0" w:lastRowFirstColumn="0" w:lastRowLastColumn="0"/>
            </w:pPr>
            <w:r w:rsidRPr="00401089">
              <w:t>0.56</w:t>
            </w:r>
          </w:p>
        </w:tc>
        <w:tc>
          <w:tcPr>
            <w:tcW w:w="1393" w:type="dxa"/>
            <w:noWrap/>
            <w:hideMark/>
          </w:tcPr>
          <w:p w14:paraId="3A449F46" w14:textId="66E64FFB" w:rsidR="000F5648" w:rsidRPr="007A1075" w:rsidRDefault="44A377F9" w:rsidP="000F5648">
            <w:pPr>
              <w:pStyle w:val="TableText"/>
              <w:cnfStyle w:val="000000100000" w:firstRow="0" w:lastRow="0" w:firstColumn="0" w:lastColumn="0" w:oddVBand="0" w:evenVBand="0" w:oddHBand="1" w:evenHBand="0" w:firstRowFirstColumn="0" w:firstRowLastColumn="0" w:lastRowFirstColumn="0" w:lastRowLastColumn="0"/>
            </w:pPr>
            <w:r>
              <w:t>118366768</w:t>
            </w:r>
          </w:p>
        </w:tc>
        <w:tc>
          <w:tcPr>
            <w:tcW w:w="859" w:type="dxa"/>
            <w:noWrap/>
            <w:hideMark/>
          </w:tcPr>
          <w:p w14:paraId="759F0F8D" w14:textId="2830A741" w:rsidR="000F5648" w:rsidRPr="007A1075" w:rsidRDefault="000F5648" w:rsidP="000F5648">
            <w:pPr>
              <w:pStyle w:val="TableText"/>
              <w:cnfStyle w:val="000000100000" w:firstRow="0" w:lastRow="0" w:firstColumn="0" w:lastColumn="0" w:oddVBand="0" w:evenVBand="0" w:oddHBand="1" w:evenHBand="0" w:firstRowFirstColumn="0" w:firstRowLastColumn="0" w:lastRowFirstColumn="0" w:lastRowLastColumn="0"/>
            </w:pPr>
            <w:r w:rsidRPr="00401089">
              <w:t>40</w:t>
            </w:r>
            <w:r>
              <w:t>,</w:t>
            </w:r>
            <w:r w:rsidRPr="00401089">
              <w:t>537</w:t>
            </w:r>
          </w:p>
        </w:tc>
        <w:tc>
          <w:tcPr>
            <w:tcW w:w="790" w:type="dxa"/>
            <w:noWrap/>
            <w:hideMark/>
          </w:tcPr>
          <w:p w14:paraId="72248D3B" w14:textId="755980C2" w:rsidR="000F5648" w:rsidRPr="007A1075" w:rsidRDefault="000F5648" w:rsidP="000F5648">
            <w:pPr>
              <w:pStyle w:val="TableText"/>
              <w:cnfStyle w:val="000000100000" w:firstRow="0" w:lastRow="0" w:firstColumn="0" w:lastColumn="0" w:oddVBand="0" w:evenVBand="0" w:oddHBand="1" w:evenHBand="0" w:firstRowFirstColumn="0" w:firstRowLastColumn="0" w:lastRowFirstColumn="0" w:lastRowLastColumn="0"/>
            </w:pPr>
            <w:r w:rsidRPr="00401089">
              <w:t>&lt;.001</w:t>
            </w:r>
          </w:p>
        </w:tc>
        <w:tc>
          <w:tcPr>
            <w:tcW w:w="1455" w:type="dxa"/>
            <w:noWrap/>
            <w:hideMark/>
          </w:tcPr>
          <w:p w14:paraId="7F4AF7C2" w14:textId="33D36B40" w:rsidR="000F5648" w:rsidRPr="007A1075" w:rsidRDefault="000F5648" w:rsidP="000F5648">
            <w:pPr>
              <w:pStyle w:val="TableText"/>
              <w:cnfStyle w:val="000000100000" w:firstRow="0" w:lastRow="0" w:firstColumn="0" w:lastColumn="0" w:oddVBand="0" w:evenVBand="0" w:oddHBand="1" w:evenHBand="0" w:firstRowFirstColumn="0" w:firstRowLastColumn="0" w:lastRowFirstColumn="0" w:lastRowLastColumn="0"/>
            </w:pPr>
            <w:r w:rsidRPr="00401089">
              <w:t>42.6% (n=17</w:t>
            </w:r>
            <w:r>
              <w:t>,</w:t>
            </w:r>
            <w:r w:rsidRPr="00401089">
              <w:t>260)</w:t>
            </w:r>
          </w:p>
        </w:tc>
      </w:tr>
      <w:tr w:rsidR="000F5648" w:rsidRPr="007A1075" w14:paraId="34193A2A" w14:textId="77777777" w:rsidTr="001267B9">
        <w:trPr>
          <w:trHeight w:val="290"/>
        </w:trPr>
        <w:tc>
          <w:tcPr>
            <w:cnfStyle w:val="001000000000" w:firstRow="0" w:lastRow="0" w:firstColumn="1" w:lastColumn="0" w:oddVBand="0" w:evenVBand="0" w:oddHBand="0" w:evenHBand="0" w:firstRowFirstColumn="0" w:firstRowLastColumn="0" w:lastRowFirstColumn="0" w:lastRowLastColumn="0"/>
            <w:tcW w:w="1122" w:type="dxa"/>
            <w:vMerge/>
            <w:hideMark/>
          </w:tcPr>
          <w:p w14:paraId="485B8019" w14:textId="77777777" w:rsidR="00826536" w:rsidRPr="007A1075" w:rsidRDefault="00826536" w:rsidP="000F5648">
            <w:pPr>
              <w:pStyle w:val="TableText"/>
            </w:pPr>
          </w:p>
        </w:tc>
        <w:tc>
          <w:tcPr>
            <w:tcW w:w="1407" w:type="dxa"/>
            <w:vMerge/>
            <w:hideMark/>
          </w:tcPr>
          <w:p w14:paraId="794E2D4C" w14:textId="77777777" w:rsidR="000F5648" w:rsidRPr="007A1075" w:rsidRDefault="000F5648" w:rsidP="000F5648">
            <w:pPr>
              <w:pStyle w:val="TableText"/>
              <w:cnfStyle w:val="000000000000" w:firstRow="0" w:lastRow="0" w:firstColumn="0" w:lastColumn="0" w:oddVBand="0" w:evenVBand="0" w:oddHBand="0" w:evenHBand="0" w:firstRowFirstColumn="0" w:firstRowLastColumn="0" w:lastRowFirstColumn="0" w:lastRowLastColumn="0"/>
            </w:pPr>
          </w:p>
        </w:tc>
        <w:tc>
          <w:tcPr>
            <w:tcW w:w="1697" w:type="dxa"/>
            <w:vMerge w:val="restart"/>
            <w:hideMark/>
          </w:tcPr>
          <w:p w14:paraId="472CC43B" w14:textId="77777777" w:rsidR="000F5648" w:rsidRPr="007A1075" w:rsidRDefault="000F5648" w:rsidP="000F5648">
            <w:pPr>
              <w:pStyle w:val="TableText"/>
              <w:cnfStyle w:val="000000000000" w:firstRow="0" w:lastRow="0" w:firstColumn="0" w:lastColumn="0" w:oddVBand="0" w:evenVBand="0" w:oddHBand="0" w:evenHBand="0" w:firstRowFirstColumn="0" w:firstRowLastColumn="0" w:lastRowFirstColumn="0" w:lastRowLastColumn="0"/>
            </w:pPr>
            <w:r w:rsidRPr="007A1075">
              <w:t>Goals</w:t>
            </w:r>
          </w:p>
        </w:tc>
        <w:tc>
          <w:tcPr>
            <w:tcW w:w="3766" w:type="dxa"/>
            <w:noWrap/>
            <w:hideMark/>
          </w:tcPr>
          <w:p w14:paraId="1B70DC95" w14:textId="77777777" w:rsidR="000F5648" w:rsidRPr="007A1075" w:rsidRDefault="000F5648" w:rsidP="000F5648">
            <w:pPr>
              <w:pStyle w:val="TableText"/>
              <w:cnfStyle w:val="000000000000" w:firstRow="0" w:lastRow="0" w:firstColumn="0" w:lastColumn="0" w:oddVBand="0" w:evenVBand="0" w:oddHBand="0" w:evenHBand="0" w:firstRowFirstColumn="0" w:firstRowLastColumn="0" w:lastRowFirstColumn="0" w:lastRowLastColumn="0"/>
            </w:pPr>
            <w:r w:rsidRPr="007A1075">
              <w:t>Changed behaviours</w:t>
            </w:r>
          </w:p>
        </w:tc>
        <w:tc>
          <w:tcPr>
            <w:tcW w:w="1455" w:type="dxa"/>
            <w:noWrap/>
            <w:hideMark/>
          </w:tcPr>
          <w:p w14:paraId="53CB0F1A" w14:textId="6034E42C" w:rsidR="000F5648" w:rsidRPr="007A1075" w:rsidRDefault="000F5648" w:rsidP="000F5648">
            <w:pPr>
              <w:pStyle w:val="TableText"/>
              <w:cnfStyle w:val="000000000000" w:firstRow="0" w:lastRow="0" w:firstColumn="0" w:lastColumn="0" w:oddVBand="0" w:evenVBand="0" w:oddHBand="0" w:evenHBand="0" w:firstRowFirstColumn="0" w:firstRowLastColumn="0" w:lastRowFirstColumn="0" w:lastRowLastColumn="0"/>
            </w:pPr>
            <w:r w:rsidRPr="00401089">
              <w:t>1.06</w:t>
            </w:r>
          </w:p>
        </w:tc>
        <w:tc>
          <w:tcPr>
            <w:tcW w:w="1393" w:type="dxa"/>
            <w:noWrap/>
            <w:hideMark/>
          </w:tcPr>
          <w:p w14:paraId="300F4385" w14:textId="088C826B" w:rsidR="000F5648" w:rsidRPr="007A1075" w:rsidRDefault="000F5648" w:rsidP="000F5648">
            <w:pPr>
              <w:pStyle w:val="TableText"/>
              <w:cnfStyle w:val="000000000000" w:firstRow="0" w:lastRow="0" w:firstColumn="0" w:lastColumn="0" w:oddVBand="0" w:evenVBand="0" w:oddHBand="0" w:evenHBand="0" w:firstRowFirstColumn="0" w:firstRowLastColumn="0" w:lastRowFirstColumn="0" w:lastRowLastColumn="0"/>
            </w:pPr>
            <w:r w:rsidRPr="00401089">
              <w:t>51630214</w:t>
            </w:r>
          </w:p>
        </w:tc>
        <w:tc>
          <w:tcPr>
            <w:tcW w:w="859" w:type="dxa"/>
            <w:noWrap/>
            <w:hideMark/>
          </w:tcPr>
          <w:p w14:paraId="549E0E72" w14:textId="38D97BDF" w:rsidR="000F5648" w:rsidRPr="007A1075" w:rsidRDefault="000F5648" w:rsidP="000F5648">
            <w:pPr>
              <w:pStyle w:val="TableText"/>
              <w:cnfStyle w:val="000000000000" w:firstRow="0" w:lastRow="0" w:firstColumn="0" w:lastColumn="0" w:oddVBand="0" w:evenVBand="0" w:oddHBand="0" w:evenHBand="0" w:firstRowFirstColumn="0" w:firstRowLastColumn="0" w:lastRowFirstColumn="0" w:lastRowLastColumn="0"/>
            </w:pPr>
            <w:r w:rsidRPr="00401089">
              <w:t>41</w:t>
            </w:r>
            <w:r>
              <w:t>,</w:t>
            </w:r>
            <w:r w:rsidRPr="00401089">
              <w:t>313</w:t>
            </w:r>
          </w:p>
        </w:tc>
        <w:tc>
          <w:tcPr>
            <w:tcW w:w="790" w:type="dxa"/>
            <w:noWrap/>
            <w:hideMark/>
          </w:tcPr>
          <w:p w14:paraId="4E9D100B" w14:textId="104003FD" w:rsidR="000F5648" w:rsidRPr="007A1075" w:rsidRDefault="000F5648" w:rsidP="000F5648">
            <w:pPr>
              <w:pStyle w:val="TableText"/>
              <w:cnfStyle w:val="000000000000" w:firstRow="0" w:lastRow="0" w:firstColumn="0" w:lastColumn="0" w:oddVBand="0" w:evenVBand="0" w:oddHBand="0" w:evenHBand="0" w:firstRowFirstColumn="0" w:firstRowLastColumn="0" w:lastRowFirstColumn="0" w:lastRowLastColumn="0"/>
            </w:pPr>
            <w:r w:rsidRPr="00401089">
              <w:t>&lt;.001</w:t>
            </w:r>
          </w:p>
        </w:tc>
        <w:tc>
          <w:tcPr>
            <w:tcW w:w="1455" w:type="dxa"/>
            <w:noWrap/>
            <w:hideMark/>
          </w:tcPr>
          <w:p w14:paraId="7A7D4DA9" w14:textId="50C63A6F" w:rsidR="000F5648" w:rsidRPr="007A1075" w:rsidRDefault="000F5648" w:rsidP="000F5648">
            <w:pPr>
              <w:pStyle w:val="TableText"/>
              <w:cnfStyle w:val="000000000000" w:firstRow="0" w:lastRow="0" w:firstColumn="0" w:lastColumn="0" w:oddVBand="0" w:evenVBand="0" w:oddHBand="0" w:evenHBand="0" w:firstRowFirstColumn="0" w:firstRowLastColumn="0" w:lastRowFirstColumn="0" w:lastRowLastColumn="0"/>
            </w:pPr>
            <w:r w:rsidRPr="00401089">
              <w:t>64.6% (n=26</w:t>
            </w:r>
            <w:r>
              <w:t>,</w:t>
            </w:r>
            <w:r w:rsidRPr="00401089">
              <w:t>702)</w:t>
            </w:r>
          </w:p>
        </w:tc>
      </w:tr>
      <w:tr w:rsidR="000F5648" w:rsidRPr="007A1075" w14:paraId="1115358F" w14:textId="77777777" w:rsidTr="001267B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122" w:type="dxa"/>
            <w:vMerge/>
            <w:hideMark/>
          </w:tcPr>
          <w:p w14:paraId="46D93B25" w14:textId="77777777" w:rsidR="00826536" w:rsidRPr="007A1075" w:rsidRDefault="00826536" w:rsidP="000F5648">
            <w:pPr>
              <w:pStyle w:val="TableText"/>
            </w:pPr>
          </w:p>
        </w:tc>
        <w:tc>
          <w:tcPr>
            <w:tcW w:w="1407" w:type="dxa"/>
            <w:vMerge/>
            <w:hideMark/>
          </w:tcPr>
          <w:p w14:paraId="16BEC4C6" w14:textId="77777777" w:rsidR="000F5648" w:rsidRPr="007A1075" w:rsidRDefault="000F5648" w:rsidP="000F5648">
            <w:pPr>
              <w:pStyle w:val="TableText"/>
              <w:cnfStyle w:val="000000100000" w:firstRow="0" w:lastRow="0" w:firstColumn="0" w:lastColumn="0" w:oddVBand="0" w:evenVBand="0" w:oddHBand="1" w:evenHBand="0" w:firstRowFirstColumn="0" w:firstRowLastColumn="0" w:lastRowFirstColumn="0" w:lastRowLastColumn="0"/>
            </w:pPr>
          </w:p>
        </w:tc>
        <w:tc>
          <w:tcPr>
            <w:tcW w:w="1697" w:type="dxa"/>
            <w:vMerge/>
            <w:hideMark/>
          </w:tcPr>
          <w:p w14:paraId="2F8F9A9A" w14:textId="77777777" w:rsidR="000F5648" w:rsidRPr="007A1075" w:rsidRDefault="000F5648" w:rsidP="000F5648">
            <w:pPr>
              <w:pStyle w:val="TableText"/>
              <w:cnfStyle w:val="000000100000" w:firstRow="0" w:lastRow="0" w:firstColumn="0" w:lastColumn="0" w:oddVBand="0" w:evenVBand="0" w:oddHBand="1" w:evenHBand="0" w:firstRowFirstColumn="0" w:firstRowLastColumn="0" w:lastRowFirstColumn="0" w:lastRowLastColumn="0"/>
            </w:pPr>
          </w:p>
        </w:tc>
        <w:tc>
          <w:tcPr>
            <w:tcW w:w="3766" w:type="dxa"/>
            <w:noWrap/>
            <w:hideMark/>
          </w:tcPr>
          <w:p w14:paraId="332AC20A" w14:textId="77777777" w:rsidR="000F5648" w:rsidRPr="007A1075" w:rsidRDefault="000F5648" w:rsidP="000F5648">
            <w:pPr>
              <w:pStyle w:val="TableText"/>
              <w:cnfStyle w:val="000000100000" w:firstRow="0" w:lastRow="0" w:firstColumn="0" w:lastColumn="0" w:oddVBand="0" w:evenVBand="0" w:oddHBand="1" w:evenHBand="0" w:firstRowFirstColumn="0" w:firstRowLastColumn="0" w:lastRowFirstColumn="0" w:lastRowLastColumn="0"/>
            </w:pPr>
            <w:r w:rsidRPr="007A1075">
              <w:t>Changed impact of immediate crisis</w:t>
            </w:r>
          </w:p>
        </w:tc>
        <w:tc>
          <w:tcPr>
            <w:tcW w:w="1455" w:type="dxa"/>
            <w:noWrap/>
            <w:hideMark/>
          </w:tcPr>
          <w:p w14:paraId="0A62C70A" w14:textId="01A3C826" w:rsidR="000F5648" w:rsidRPr="007A1075" w:rsidRDefault="000F5648" w:rsidP="000F5648">
            <w:pPr>
              <w:pStyle w:val="TableText"/>
              <w:cnfStyle w:val="000000100000" w:firstRow="0" w:lastRow="0" w:firstColumn="0" w:lastColumn="0" w:oddVBand="0" w:evenVBand="0" w:oddHBand="1" w:evenHBand="0" w:firstRowFirstColumn="0" w:firstRowLastColumn="0" w:lastRowFirstColumn="0" w:lastRowLastColumn="0"/>
            </w:pPr>
            <w:r w:rsidRPr="00401089">
              <w:t>1.09</w:t>
            </w:r>
          </w:p>
        </w:tc>
        <w:tc>
          <w:tcPr>
            <w:tcW w:w="1393" w:type="dxa"/>
            <w:noWrap/>
            <w:hideMark/>
          </w:tcPr>
          <w:p w14:paraId="0A7A701A" w14:textId="17B0F895" w:rsidR="000F5648" w:rsidRPr="007A1075" w:rsidRDefault="000F5648" w:rsidP="000F5648">
            <w:pPr>
              <w:pStyle w:val="TableText"/>
              <w:cnfStyle w:val="000000100000" w:firstRow="0" w:lastRow="0" w:firstColumn="0" w:lastColumn="0" w:oddVBand="0" w:evenVBand="0" w:oddHBand="1" w:evenHBand="0" w:firstRowFirstColumn="0" w:firstRowLastColumn="0" w:lastRowFirstColumn="0" w:lastRowLastColumn="0"/>
            </w:pPr>
            <w:r w:rsidRPr="00401089">
              <w:t>16515248</w:t>
            </w:r>
          </w:p>
        </w:tc>
        <w:tc>
          <w:tcPr>
            <w:tcW w:w="859" w:type="dxa"/>
            <w:noWrap/>
            <w:hideMark/>
          </w:tcPr>
          <w:p w14:paraId="162B4208" w14:textId="691E1284" w:rsidR="000F5648" w:rsidRPr="007A1075" w:rsidRDefault="000F5648" w:rsidP="000F5648">
            <w:pPr>
              <w:pStyle w:val="TableText"/>
              <w:cnfStyle w:val="000000100000" w:firstRow="0" w:lastRow="0" w:firstColumn="0" w:lastColumn="0" w:oddVBand="0" w:evenVBand="0" w:oddHBand="1" w:evenHBand="0" w:firstRowFirstColumn="0" w:firstRowLastColumn="0" w:lastRowFirstColumn="0" w:lastRowLastColumn="0"/>
            </w:pPr>
            <w:r w:rsidRPr="00401089">
              <w:t>21</w:t>
            </w:r>
            <w:r>
              <w:t>,</w:t>
            </w:r>
            <w:r w:rsidRPr="00401089">
              <w:t>964</w:t>
            </w:r>
          </w:p>
        </w:tc>
        <w:tc>
          <w:tcPr>
            <w:tcW w:w="790" w:type="dxa"/>
            <w:noWrap/>
            <w:hideMark/>
          </w:tcPr>
          <w:p w14:paraId="1490E34F" w14:textId="7A701712" w:rsidR="000F5648" w:rsidRPr="007A1075" w:rsidRDefault="000F5648" w:rsidP="000F5648">
            <w:pPr>
              <w:pStyle w:val="TableText"/>
              <w:cnfStyle w:val="000000100000" w:firstRow="0" w:lastRow="0" w:firstColumn="0" w:lastColumn="0" w:oddVBand="0" w:evenVBand="0" w:oddHBand="1" w:evenHBand="0" w:firstRowFirstColumn="0" w:firstRowLastColumn="0" w:lastRowFirstColumn="0" w:lastRowLastColumn="0"/>
            </w:pPr>
            <w:r w:rsidRPr="00401089">
              <w:t>&lt;.001</w:t>
            </w:r>
          </w:p>
        </w:tc>
        <w:tc>
          <w:tcPr>
            <w:tcW w:w="1455" w:type="dxa"/>
            <w:noWrap/>
            <w:hideMark/>
          </w:tcPr>
          <w:p w14:paraId="156CFC3C" w14:textId="5FBC9967" w:rsidR="000F5648" w:rsidRPr="007A1075" w:rsidRDefault="000F5648" w:rsidP="000F5648">
            <w:pPr>
              <w:pStyle w:val="TableText"/>
              <w:cnfStyle w:val="000000100000" w:firstRow="0" w:lastRow="0" w:firstColumn="0" w:lastColumn="0" w:oddVBand="0" w:evenVBand="0" w:oddHBand="1" w:evenHBand="0" w:firstRowFirstColumn="0" w:firstRowLastColumn="0" w:lastRowFirstColumn="0" w:lastRowLastColumn="0"/>
            </w:pPr>
            <w:r w:rsidRPr="00401089">
              <w:t>66.7% (n=14</w:t>
            </w:r>
            <w:r>
              <w:t>,</w:t>
            </w:r>
            <w:r w:rsidRPr="00401089">
              <w:t>651)</w:t>
            </w:r>
          </w:p>
        </w:tc>
      </w:tr>
      <w:tr w:rsidR="000F5648" w:rsidRPr="007A1075" w14:paraId="43897443" w14:textId="77777777" w:rsidTr="001267B9">
        <w:trPr>
          <w:trHeight w:val="290"/>
        </w:trPr>
        <w:tc>
          <w:tcPr>
            <w:cnfStyle w:val="001000000000" w:firstRow="0" w:lastRow="0" w:firstColumn="1" w:lastColumn="0" w:oddVBand="0" w:evenVBand="0" w:oddHBand="0" w:evenHBand="0" w:firstRowFirstColumn="0" w:firstRowLastColumn="0" w:lastRowFirstColumn="0" w:lastRowLastColumn="0"/>
            <w:tcW w:w="1122" w:type="dxa"/>
            <w:vMerge/>
            <w:hideMark/>
          </w:tcPr>
          <w:p w14:paraId="75B4656B" w14:textId="77777777" w:rsidR="00826536" w:rsidRPr="007A1075" w:rsidRDefault="00826536" w:rsidP="000F5648">
            <w:pPr>
              <w:pStyle w:val="TableText"/>
            </w:pPr>
          </w:p>
        </w:tc>
        <w:tc>
          <w:tcPr>
            <w:tcW w:w="1407" w:type="dxa"/>
            <w:vMerge/>
            <w:hideMark/>
          </w:tcPr>
          <w:p w14:paraId="24A3BC19" w14:textId="77777777" w:rsidR="000F5648" w:rsidRPr="007A1075" w:rsidRDefault="000F5648" w:rsidP="000F5648">
            <w:pPr>
              <w:pStyle w:val="TableText"/>
              <w:cnfStyle w:val="000000000000" w:firstRow="0" w:lastRow="0" w:firstColumn="0" w:lastColumn="0" w:oddVBand="0" w:evenVBand="0" w:oddHBand="0" w:evenHBand="0" w:firstRowFirstColumn="0" w:firstRowLastColumn="0" w:lastRowFirstColumn="0" w:lastRowLastColumn="0"/>
            </w:pPr>
          </w:p>
        </w:tc>
        <w:tc>
          <w:tcPr>
            <w:tcW w:w="1697" w:type="dxa"/>
            <w:vMerge/>
            <w:hideMark/>
          </w:tcPr>
          <w:p w14:paraId="3873D93C" w14:textId="77777777" w:rsidR="000F5648" w:rsidRPr="007A1075" w:rsidRDefault="000F5648" w:rsidP="000F5648">
            <w:pPr>
              <w:pStyle w:val="TableText"/>
              <w:cnfStyle w:val="000000000000" w:firstRow="0" w:lastRow="0" w:firstColumn="0" w:lastColumn="0" w:oddVBand="0" w:evenVBand="0" w:oddHBand="0" w:evenHBand="0" w:firstRowFirstColumn="0" w:firstRowLastColumn="0" w:lastRowFirstColumn="0" w:lastRowLastColumn="0"/>
            </w:pPr>
          </w:p>
        </w:tc>
        <w:tc>
          <w:tcPr>
            <w:tcW w:w="3766" w:type="dxa"/>
            <w:noWrap/>
            <w:hideMark/>
          </w:tcPr>
          <w:p w14:paraId="4F619795" w14:textId="77777777" w:rsidR="000F5648" w:rsidRPr="007A1075" w:rsidRDefault="000F5648" w:rsidP="000F5648">
            <w:pPr>
              <w:pStyle w:val="TableText"/>
              <w:cnfStyle w:val="000000000000" w:firstRow="0" w:lastRow="0" w:firstColumn="0" w:lastColumn="0" w:oddVBand="0" w:evenVBand="0" w:oddHBand="0" w:evenHBand="0" w:firstRowFirstColumn="0" w:firstRowLastColumn="0" w:lastRowFirstColumn="0" w:lastRowLastColumn="0"/>
            </w:pPr>
            <w:r w:rsidRPr="007A1075">
              <w:t>Changed knowledge and access to information</w:t>
            </w:r>
          </w:p>
        </w:tc>
        <w:tc>
          <w:tcPr>
            <w:tcW w:w="1455" w:type="dxa"/>
            <w:noWrap/>
            <w:hideMark/>
          </w:tcPr>
          <w:p w14:paraId="6E00FF3A" w14:textId="6D1D0DBF" w:rsidR="000F5648" w:rsidRPr="007A1075" w:rsidRDefault="000F5648" w:rsidP="000F5648">
            <w:pPr>
              <w:pStyle w:val="TableText"/>
              <w:cnfStyle w:val="000000000000" w:firstRow="0" w:lastRow="0" w:firstColumn="0" w:lastColumn="0" w:oddVBand="0" w:evenVBand="0" w:oddHBand="0" w:evenHBand="0" w:firstRowFirstColumn="0" w:firstRowLastColumn="0" w:lastRowFirstColumn="0" w:lastRowLastColumn="0"/>
            </w:pPr>
            <w:r w:rsidRPr="00401089">
              <w:t>1.14</w:t>
            </w:r>
          </w:p>
        </w:tc>
        <w:tc>
          <w:tcPr>
            <w:tcW w:w="1393" w:type="dxa"/>
            <w:noWrap/>
            <w:hideMark/>
          </w:tcPr>
          <w:p w14:paraId="374C3494" w14:textId="7450981F" w:rsidR="000F5648" w:rsidRPr="007A1075" w:rsidRDefault="000F5648" w:rsidP="000F5648">
            <w:pPr>
              <w:pStyle w:val="TableText"/>
              <w:cnfStyle w:val="000000000000" w:firstRow="0" w:lastRow="0" w:firstColumn="0" w:lastColumn="0" w:oddVBand="0" w:evenVBand="0" w:oddHBand="0" w:evenHBand="0" w:firstRowFirstColumn="0" w:firstRowLastColumn="0" w:lastRowFirstColumn="0" w:lastRowLastColumn="0"/>
            </w:pPr>
            <w:r w:rsidRPr="00401089">
              <w:t>77338065</w:t>
            </w:r>
          </w:p>
        </w:tc>
        <w:tc>
          <w:tcPr>
            <w:tcW w:w="859" w:type="dxa"/>
            <w:noWrap/>
            <w:hideMark/>
          </w:tcPr>
          <w:p w14:paraId="0189E9CF" w14:textId="05A7C3E2" w:rsidR="000F5648" w:rsidRPr="007A1075" w:rsidRDefault="000F5648" w:rsidP="000F5648">
            <w:pPr>
              <w:pStyle w:val="TableText"/>
              <w:cnfStyle w:val="000000000000" w:firstRow="0" w:lastRow="0" w:firstColumn="0" w:lastColumn="0" w:oddVBand="0" w:evenVBand="0" w:oddHBand="0" w:evenHBand="0" w:firstRowFirstColumn="0" w:firstRowLastColumn="0" w:lastRowFirstColumn="0" w:lastRowLastColumn="0"/>
            </w:pPr>
            <w:r w:rsidRPr="00401089">
              <w:t>48</w:t>
            </w:r>
            <w:r>
              <w:t>,</w:t>
            </w:r>
            <w:r w:rsidRPr="00401089">
              <w:t>264</w:t>
            </w:r>
          </w:p>
        </w:tc>
        <w:tc>
          <w:tcPr>
            <w:tcW w:w="790" w:type="dxa"/>
            <w:noWrap/>
            <w:hideMark/>
          </w:tcPr>
          <w:p w14:paraId="22DB6E16" w14:textId="3DB188E2" w:rsidR="000F5648" w:rsidRPr="007A1075" w:rsidRDefault="000F5648" w:rsidP="000F5648">
            <w:pPr>
              <w:pStyle w:val="TableText"/>
              <w:cnfStyle w:val="000000000000" w:firstRow="0" w:lastRow="0" w:firstColumn="0" w:lastColumn="0" w:oddVBand="0" w:evenVBand="0" w:oddHBand="0" w:evenHBand="0" w:firstRowFirstColumn="0" w:firstRowLastColumn="0" w:lastRowFirstColumn="0" w:lastRowLastColumn="0"/>
            </w:pPr>
            <w:r w:rsidRPr="00401089">
              <w:t>&lt;.001</w:t>
            </w:r>
          </w:p>
        </w:tc>
        <w:tc>
          <w:tcPr>
            <w:tcW w:w="1455" w:type="dxa"/>
            <w:noWrap/>
            <w:hideMark/>
          </w:tcPr>
          <w:p w14:paraId="571B0B32" w14:textId="6155DF87" w:rsidR="000F5648" w:rsidRPr="007A1075" w:rsidRDefault="000F5648" w:rsidP="000F5648">
            <w:pPr>
              <w:pStyle w:val="TableText"/>
              <w:cnfStyle w:val="000000000000" w:firstRow="0" w:lastRow="0" w:firstColumn="0" w:lastColumn="0" w:oddVBand="0" w:evenVBand="0" w:oddHBand="0" w:evenHBand="0" w:firstRowFirstColumn="0" w:firstRowLastColumn="0" w:lastRowFirstColumn="0" w:lastRowLastColumn="0"/>
            </w:pPr>
            <w:r w:rsidRPr="00401089">
              <w:t>66.2% (n=31</w:t>
            </w:r>
            <w:r>
              <w:t>,</w:t>
            </w:r>
            <w:r w:rsidRPr="00401089">
              <w:t>959)</w:t>
            </w:r>
          </w:p>
        </w:tc>
      </w:tr>
      <w:tr w:rsidR="000F5648" w:rsidRPr="007A1075" w14:paraId="470E2BDA" w14:textId="77777777" w:rsidTr="001267B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122" w:type="dxa"/>
            <w:vMerge/>
            <w:hideMark/>
          </w:tcPr>
          <w:p w14:paraId="0B3E1080" w14:textId="77777777" w:rsidR="00826536" w:rsidRPr="007A1075" w:rsidRDefault="00826536" w:rsidP="000F5648">
            <w:pPr>
              <w:pStyle w:val="TableText"/>
            </w:pPr>
          </w:p>
        </w:tc>
        <w:tc>
          <w:tcPr>
            <w:tcW w:w="1407" w:type="dxa"/>
            <w:vMerge/>
            <w:hideMark/>
          </w:tcPr>
          <w:p w14:paraId="670BB007" w14:textId="77777777" w:rsidR="000F5648" w:rsidRPr="007A1075" w:rsidRDefault="000F5648" w:rsidP="000F5648">
            <w:pPr>
              <w:pStyle w:val="TableText"/>
              <w:cnfStyle w:val="000000100000" w:firstRow="0" w:lastRow="0" w:firstColumn="0" w:lastColumn="0" w:oddVBand="0" w:evenVBand="0" w:oddHBand="1" w:evenHBand="0" w:firstRowFirstColumn="0" w:firstRowLastColumn="0" w:lastRowFirstColumn="0" w:lastRowLastColumn="0"/>
            </w:pPr>
          </w:p>
        </w:tc>
        <w:tc>
          <w:tcPr>
            <w:tcW w:w="1697" w:type="dxa"/>
            <w:vMerge/>
            <w:hideMark/>
          </w:tcPr>
          <w:p w14:paraId="466CD8DB" w14:textId="77777777" w:rsidR="000F5648" w:rsidRPr="007A1075" w:rsidRDefault="000F5648" w:rsidP="000F5648">
            <w:pPr>
              <w:pStyle w:val="TableText"/>
              <w:cnfStyle w:val="000000100000" w:firstRow="0" w:lastRow="0" w:firstColumn="0" w:lastColumn="0" w:oddVBand="0" w:evenVBand="0" w:oddHBand="1" w:evenHBand="0" w:firstRowFirstColumn="0" w:firstRowLastColumn="0" w:lastRowFirstColumn="0" w:lastRowLastColumn="0"/>
            </w:pPr>
          </w:p>
        </w:tc>
        <w:tc>
          <w:tcPr>
            <w:tcW w:w="3766" w:type="dxa"/>
            <w:noWrap/>
            <w:hideMark/>
          </w:tcPr>
          <w:p w14:paraId="58C81B01" w14:textId="77777777" w:rsidR="000F5648" w:rsidRPr="007A1075" w:rsidRDefault="000F5648" w:rsidP="000F5648">
            <w:pPr>
              <w:pStyle w:val="TableText"/>
              <w:cnfStyle w:val="000000100000" w:firstRow="0" w:lastRow="0" w:firstColumn="0" w:lastColumn="0" w:oddVBand="0" w:evenVBand="0" w:oddHBand="1" w:evenHBand="0" w:firstRowFirstColumn="0" w:firstRowLastColumn="0" w:lastRowFirstColumn="0" w:lastRowLastColumn="0"/>
            </w:pPr>
            <w:r w:rsidRPr="007A1075">
              <w:t>Changed skills</w:t>
            </w:r>
          </w:p>
        </w:tc>
        <w:tc>
          <w:tcPr>
            <w:tcW w:w="1455" w:type="dxa"/>
            <w:noWrap/>
            <w:hideMark/>
          </w:tcPr>
          <w:p w14:paraId="0FC0E037" w14:textId="207E7D2C" w:rsidR="000F5648" w:rsidRPr="007A1075" w:rsidRDefault="000F5648" w:rsidP="000F5648">
            <w:pPr>
              <w:pStyle w:val="TableText"/>
              <w:cnfStyle w:val="000000100000" w:firstRow="0" w:lastRow="0" w:firstColumn="0" w:lastColumn="0" w:oddVBand="0" w:evenVBand="0" w:oddHBand="1" w:evenHBand="0" w:firstRowFirstColumn="0" w:firstRowLastColumn="0" w:lastRowFirstColumn="0" w:lastRowLastColumn="0"/>
            </w:pPr>
            <w:r w:rsidRPr="00401089">
              <w:t>1.02</w:t>
            </w:r>
          </w:p>
        </w:tc>
        <w:tc>
          <w:tcPr>
            <w:tcW w:w="1393" w:type="dxa"/>
            <w:noWrap/>
            <w:hideMark/>
          </w:tcPr>
          <w:p w14:paraId="75665234" w14:textId="77ADBB18" w:rsidR="000F5648" w:rsidRPr="007A1075" w:rsidRDefault="000F5648" w:rsidP="000F5648">
            <w:pPr>
              <w:pStyle w:val="TableText"/>
              <w:cnfStyle w:val="000000100000" w:firstRow="0" w:lastRow="0" w:firstColumn="0" w:lastColumn="0" w:oddVBand="0" w:evenVBand="0" w:oddHBand="1" w:evenHBand="0" w:firstRowFirstColumn="0" w:firstRowLastColumn="0" w:lastRowFirstColumn="0" w:lastRowLastColumn="0"/>
            </w:pPr>
            <w:r w:rsidRPr="00401089">
              <w:t>90448086</w:t>
            </w:r>
          </w:p>
        </w:tc>
        <w:tc>
          <w:tcPr>
            <w:tcW w:w="859" w:type="dxa"/>
            <w:noWrap/>
            <w:hideMark/>
          </w:tcPr>
          <w:p w14:paraId="716C85E1" w14:textId="49673B97" w:rsidR="000F5648" w:rsidRPr="007A1075" w:rsidRDefault="000F5648" w:rsidP="000F5648">
            <w:pPr>
              <w:pStyle w:val="TableText"/>
              <w:cnfStyle w:val="000000100000" w:firstRow="0" w:lastRow="0" w:firstColumn="0" w:lastColumn="0" w:oddVBand="0" w:evenVBand="0" w:oddHBand="1" w:evenHBand="0" w:firstRowFirstColumn="0" w:firstRowLastColumn="0" w:lastRowFirstColumn="0" w:lastRowLastColumn="0"/>
            </w:pPr>
            <w:r w:rsidRPr="00401089">
              <w:t>51</w:t>
            </w:r>
            <w:r>
              <w:t>,</w:t>
            </w:r>
            <w:r w:rsidRPr="00401089">
              <w:t>185</w:t>
            </w:r>
          </w:p>
        </w:tc>
        <w:tc>
          <w:tcPr>
            <w:tcW w:w="790" w:type="dxa"/>
            <w:noWrap/>
            <w:hideMark/>
          </w:tcPr>
          <w:p w14:paraId="6B5905A4" w14:textId="3E779633" w:rsidR="000F5648" w:rsidRPr="007A1075" w:rsidRDefault="000F5648" w:rsidP="000F5648">
            <w:pPr>
              <w:pStyle w:val="TableText"/>
              <w:cnfStyle w:val="000000100000" w:firstRow="0" w:lastRow="0" w:firstColumn="0" w:lastColumn="0" w:oddVBand="0" w:evenVBand="0" w:oddHBand="1" w:evenHBand="0" w:firstRowFirstColumn="0" w:firstRowLastColumn="0" w:lastRowFirstColumn="0" w:lastRowLastColumn="0"/>
            </w:pPr>
            <w:r w:rsidRPr="00401089">
              <w:t>&lt;.001</w:t>
            </w:r>
          </w:p>
        </w:tc>
        <w:tc>
          <w:tcPr>
            <w:tcW w:w="1455" w:type="dxa"/>
            <w:noWrap/>
            <w:hideMark/>
          </w:tcPr>
          <w:p w14:paraId="513A5CFD" w14:textId="366D3973" w:rsidR="000F5648" w:rsidRPr="007A1075" w:rsidRDefault="000F5648" w:rsidP="000F5648">
            <w:pPr>
              <w:pStyle w:val="TableText"/>
              <w:cnfStyle w:val="000000100000" w:firstRow="0" w:lastRow="0" w:firstColumn="0" w:lastColumn="0" w:oddVBand="0" w:evenVBand="0" w:oddHBand="1" w:evenHBand="0" w:firstRowFirstColumn="0" w:firstRowLastColumn="0" w:lastRowFirstColumn="0" w:lastRowLastColumn="0"/>
            </w:pPr>
            <w:r w:rsidRPr="00401089">
              <w:t>63.9% (n=32</w:t>
            </w:r>
            <w:r>
              <w:t>,</w:t>
            </w:r>
            <w:r w:rsidRPr="00401089">
              <w:t>721)</w:t>
            </w:r>
          </w:p>
        </w:tc>
      </w:tr>
      <w:tr w:rsidR="000F5648" w:rsidRPr="007A1075" w14:paraId="5306B911" w14:textId="77777777" w:rsidTr="001267B9">
        <w:trPr>
          <w:trHeight w:val="290"/>
        </w:trPr>
        <w:tc>
          <w:tcPr>
            <w:cnfStyle w:val="001000000000" w:firstRow="0" w:lastRow="0" w:firstColumn="1" w:lastColumn="0" w:oddVBand="0" w:evenVBand="0" w:oddHBand="0" w:evenHBand="0" w:firstRowFirstColumn="0" w:firstRowLastColumn="0" w:lastRowFirstColumn="0" w:lastRowLastColumn="0"/>
            <w:tcW w:w="1122" w:type="dxa"/>
            <w:vMerge/>
            <w:hideMark/>
          </w:tcPr>
          <w:p w14:paraId="05B53127" w14:textId="77777777" w:rsidR="00826536" w:rsidRPr="007A1075" w:rsidRDefault="00826536" w:rsidP="000F5648">
            <w:pPr>
              <w:pStyle w:val="TableText"/>
            </w:pPr>
          </w:p>
        </w:tc>
        <w:tc>
          <w:tcPr>
            <w:tcW w:w="1407" w:type="dxa"/>
            <w:vMerge/>
            <w:hideMark/>
          </w:tcPr>
          <w:p w14:paraId="132B4850" w14:textId="77777777" w:rsidR="000F5648" w:rsidRPr="007A1075" w:rsidRDefault="000F5648" w:rsidP="000F5648">
            <w:pPr>
              <w:pStyle w:val="TableText"/>
              <w:cnfStyle w:val="000000000000" w:firstRow="0" w:lastRow="0" w:firstColumn="0" w:lastColumn="0" w:oddVBand="0" w:evenVBand="0" w:oddHBand="0" w:evenHBand="0" w:firstRowFirstColumn="0" w:firstRowLastColumn="0" w:lastRowFirstColumn="0" w:lastRowLastColumn="0"/>
            </w:pPr>
          </w:p>
        </w:tc>
        <w:tc>
          <w:tcPr>
            <w:tcW w:w="1697" w:type="dxa"/>
            <w:vMerge/>
            <w:hideMark/>
          </w:tcPr>
          <w:p w14:paraId="7E81DFCE" w14:textId="77777777" w:rsidR="000F5648" w:rsidRPr="007A1075" w:rsidRDefault="000F5648" w:rsidP="000F5648">
            <w:pPr>
              <w:pStyle w:val="TableText"/>
              <w:cnfStyle w:val="000000000000" w:firstRow="0" w:lastRow="0" w:firstColumn="0" w:lastColumn="0" w:oddVBand="0" w:evenVBand="0" w:oddHBand="0" w:evenHBand="0" w:firstRowFirstColumn="0" w:firstRowLastColumn="0" w:lastRowFirstColumn="0" w:lastRowLastColumn="0"/>
            </w:pPr>
          </w:p>
        </w:tc>
        <w:tc>
          <w:tcPr>
            <w:tcW w:w="3766" w:type="dxa"/>
            <w:noWrap/>
            <w:hideMark/>
          </w:tcPr>
          <w:p w14:paraId="5773CB42" w14:textId="77777777" w:rsidR="000F5648" w:rsidRPr="007A1075" w:rsidRDefault="00826536" w:rsidP="000F5648">
            <w:pPr>
              <w:pStyle w:val="TableText"/>
              <w:cnfStyle w:val="000000000000" w:firstRow="0" w:lastRow="0" w:firstColumn="0" w:lastColumn="0" w:oddVBand="0" w:evenVBand="0" w:oddHBand="0" w:evenHBand="0" w:firstRowFirstColumn="0" w:firstRowLastColumn="0" w:lastRowFirstColumn="0" w:lastRowLastColumn="0"/>
            </w:pPr>
            <w:r w:rsidRPr="57F92EFB">
              <w:rPr>
                <w:lang w:val="en-NZ"/>
              </w:rPr>
              <w:t>Empowerment, choice and control to make own decisions</w:t>
            </w:r>
          </w:p>
        </w:tc>
        <w:tc>
          <w:tcPr>
            <w:tcW w:w="1455" w:type="dxa"/>
            <w:noWrap/>
            <w:hideMark/>
          </w:tcPr>
          <w:p w14:paraId="104992B3" w14:textId="4449514F" w:rsidR="000F5648" w:rsidRPr="007A1075" w:rsidRDefault="000F5648" w:rsidP="000F5648">
            <w:pPr>
              <w:pStyle w:val="TableText"/>
              <w:cnfStyle w:val="000000000000" w:firstRow="0" w:lastRow="0" w:firstColumn="0" w:lastColumn="0" w:oddVBand="0" w:evenVBand="0" w:oddHBand="0" w:evenHBand="0" w:firstRowFirstColumn="0" w:firstRowLastColumn="0" w:lastRowFirstColumn="0" w:lastRowLastColumn="0"/>
            </w:pPr>
            <w:r w:rsidRPr="00401089">
              <w:t>0.96</w:t>
            </w:r>
          </w:p>
        </w:tc>
        <w:tc>
          <w:tcPr>
            <w:tcW w:w="1393" w:type="dxa"/>
            <w:noWrap/>
            <w:hideMark/>
          </w:tcPr>
          <w:p w14:paraId="718D89D5" w14:textId="480A8629" w:rsidR="000F5648" w:rsidRPr="007A1075" w:rsidRDefault="000F5648" w:rsidP="000F5648">
            <w:pPr>
              <w:pStyle w:val="TableText"/>
              <w:cnfStyle w:val="000000000000" w:firstRow="0" w:lastRow="0" w:firstColumn="0" w:lastColumn="0" w:oddVBand="0" w:evenVBand="0" w:oddHBand="0" w:evenHBand="0" w:firstRowFirstColumn="0" w:firstRowLastColumn="0" w:lastRowFirstColumn="0" w:lastRowLastColumn="0"/>
            </w:pPr>
            <w:r w:rsidRPr="00401089">
              <w:t>64170559</w:t>
            </w:r>
          </w:p>
        </w:tc>
        <w:tc>
          <w:tcPr>
            <w:tcW w:w="859" w:type="dxa"/>
            <w:noWrap/>
            <w:hideMark/>
          </w:tcPr>
          <w:p w14:paraId="5DEDA20B" w14:textId="78609481" w:rsidR="000F5648" w:rsidRPr="007A1075" w:rsidRDefault="000F5648" w:rsidP="000F5648">
            <w:pPr>
              <w:pStyle w:val="TableText"/>
              <w:cnfStyle w:val="000000000000" w:firstRow="0" w:lastRow="0" w:firstColumn="0" w:lastColumn="0" w:oddVBand="0" w:evenVBand="0" w:oddHBand="0" w:evenHBand="0" w:firstRowFirstColumn="0" w:firstRowLastColumn="0" w:lastRowFirstColumn="0" w:lastRowLastColumn="0"/>
            </w:pPr>
            <w:r w:rsidRPr="00401089">
              <w:t>39</w:t>
            </w:r>
            <w:r>
              <w:t>,</w:t>
            </w:r>
            <w:r w:rsidRPr="00401089">
              <w:t>222</w:t>
            </w:r>
          </w:p>
        </w:tc>
        <w:tc>
          <w:tcPr>
            <w:tcW w:w="790" w:type="dxa"/>
            <w:noWrap/>
            <w:hideMark/>
          </w:tcPr>
          <w:p w14:paraId="006E6EF8" w14:textId="3BF45200" w:rsidR="000F5648" w:rsidRPr="007A1075" w:rsidRDefault="000F5648" w:rsidP="000F5648">
            <w:pPr>
              <w:pStyle w:val="TableText"/>
              <w:cnfStyle w:val="000000000000" w:firstRow="0" w:lastRow="0" w:firstColumn="0" w:lastColumn="0" w:oddVBand="0" w:evenVBand="0" w:oddHBand="0" w:evenHBand="0" w:firstRowFirstColumn="0" w:firstRowLastColumn="0" w:lastRowFirstColumn="0" w:lastRowLastColumn="0"/>
            </w:pPr>
            <w:r w:rsidRPr="00401089">
              <w:t>&lt;.001</w:t>
            </w:r>
          </w:p>
        </w:tc>
        <w:tc>
          <w:tcPr>
            <w:tcW w:w="1455" w:type="dxa"/>
            <w:noWrap/>
            <w:hideMark/>
          </w:tcPr>
          <w:p w14:paraId="27A3D3F2" w14:textId="1741D0D7" w:rsidR="000F5648" w:rsidRPr="007A1075" w:rsidRDefault="000F5648" w:rsidP="000F5648">
            <w:pPr>
              <w:pStyle w:val="TableText"/>
              <w:cnfStyle w:val="000000000000" w:firstRow="0" w:lastRow="0" w:firstColumn="0" w:lastColumn="0" w:oddVBand="0" w:evenVBand="0" w:oddHBand="0" w:evenHBand="0" w:firstRowFirstColumn="0" w:firstRowLastColumn="0" w:lastRowFirstColumn="0" w:lastRowLastColumn="0"/>
            </w:pPr>
            <w:r w:rsidRPr="00401089">
              <w:t>60.9% (n=23</w:t>
            </w:r>
            <w:r>
              <w:t>,</w:t>
            </w:r>
            <w:r w:rsidRPr="00401089">
              <w:t>903)</w:t>
            </w:r>
          </w:p>
        </w:tc>
      </w:tr>
      <w:tr w:rsidR="000F5648" w:rsidRPr="007A1075" w14:paraId="719D5BDB" w14:textId="77777777" w:rsidTr="001267B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122" w:type="dxa"/>
            <w:vMerge/>
            <w:hideMark/>
          </w:tcPr>
          <w:p w14:paraId="43F69176" w14:textId="77777777" w:rsidR="00826536" w:rsidRPr="007A1075" w:rsidRDefault="00826536" w:rsidP="000F5648">
            <w:pPr>
              <w:pStyle w:val="TableText"/>
            </w:pPr>
          </w:p>
        </w:tc>
        <w:tc>
          <w:tcPr>
            <w:tcW w:w="1407" w:type="dxa"/>
            <w:vMerge/>
            <w:hideMark/>
          </w:tcPr>
          <w:p w14:paraId="65373A93" w14:textId="77777777" w:rsidR="000F5648" w:rsidRPr="007A1075" w:rsidRDefault="000F5648" w:rsidP="000F5648">
            <w:pPr>
              <w:pStyle w:val="TableText"/>
              <w:cnfStyle w:val="000000100000" w:firstRow="0" w:lastRow="0" w:firstColumn="0" w:lastColumn="0" w:oddVBand="0" w:evenVBand="0" w:oddHBand="1" w:evenHBand="0" w:firstRowFirstColumn="0" w:firstRowLastColumn="0" w:lastRowFirstColumn="0" w:lastRowLastColumn="0"/>
            </w:pPr>
          </w:p>
        </w:tc>
        <w:tc>
          <w:tcPr>
            <w:tcW w:w="1697" w:type="dxa"/>
            <w:vMerge/>
            <w:hideMark/>
          </w:tcPr>
          <w:p w14:paraId="12CF0A06" w14:textId="77777777" w:rsidR="000F5648" w:rsidRPr="007A1075" w:rsidRDefault="000F5648" w:rsidP="000F5648">
            <w:pPr>
              <w:pStyle w:val="TableText"/>
              <w:cnfStyle w:val="000000100000" w:firstRow="0" w:lastRow="0" w:firstColumn="0" w:lastColumn="0" w:oddVBand="0" w:evenVBand="0" w:oddHBand="1" w:evenHBand="0" w:firstRowFirstColumn="0" w:firstRowLastColumn="0" w:lastRowFirstColumn="0" w:lastRowLastColumn="0"/>
            </w:pPr>
          </w:p>
        </w:tc>
        <w:tc>
          <w:tcPr>
            <w:tcW w:w="3766" w:type="dxa"/>
            <w:noWrap/>
            <w:hideMark/>
          </w:tcPr>
          <w:p w14:paraId="2BC03BE2" w14:textId="77777777" w:rsidR="000F5648" w:rsidRPr="007A1075" w:rsidRDefault="000F5648" w:rsidP="000F5648">
            <w:pPr>
              <w:pStyle w:val="TableText"/>
              <w:cnfStyle w:val="000000100000" w:firstRow="0" w:lastRow="0" w:firstColumn="0" w:lastColumn="0" w:oddVBand="0" w:evenVBand="0" w:oddHBand="1" w:evenHBand="0" w:firstRowFirstColumn="0" w:firstRowLastColumn="0" w:lastRowFirstColumn="0" w:lastRowLastColumn="0"/>
            </w:pPr>
            <w:r w:rsidRPr="007A1075">
              <w:t>Engagement with relevant support services</w:t>
            </w:r>
          </w:p>
        </w:tc>
        <w:tc>
          <w:tcPr>
            <w:tcW w:w="1455" w:type="dxa"/>
            <w:noWrap/>
            <w:hideMark/>
          </w:tcPr>
          <w:p w14:paraId="08C60D52" w14:textId="2B4A7A0C" w:rsidR="000F5648" w:rsidRPr="007A1075" w:rsidRDefault="000F5648" w:rsidP="000F5648">
            <w:pPr>
              <w:pStyle w:val="TableText"/>
              <w:cnfStyle w:val="000000100000" w:firstRow="0" w:lastRow="0" w:firstColumn="0" w:lastColumn="0" w:oddVBand="0" w:evenVBand="0" w:oddHBand="1" w:evenHBand="0" w:firstRowFirstColumn="0" w:firstRowLastColumn="0" w:lastRowFirstColumn="0" w:lastRowLastColumn="0"/>
            </w:pPr>
            <w:r w:rsidRPr="00401089">
              <w:t>0.94</w:t>
            </w:r>
          </w:p>
        </w:tc>
        <w:tc>
          <w:tcPr>
            <w:tcW w:w="1393" w:type="dxa"/>
            <w:noWrap/>
            <w:hideMark/>
          </w:tcPr>
          <w:p w14:paraId="30F9A974" w14:textId="1741001F" w:rsidR="000F5648" w:rsidRPr="007A1075" w:rsidRDefault="000F5648" w:rsidP="000F5648">
            <w:pPr>
              <w:pStyle w:val="TableText"/>
              <w:cnfStyle w:val="000000100000" w:firstRow="0" w:lastRow="0" w:firstColumn="0" w:lastColumn="0" w:oddVBand="0" w:evenVBand="0" w:oddHBand="1" w:evenHBand="0" w:firstRowFirstColumn="0" w:firstRowLastColumn="0" w:lastRowFirstColumn="0" w:lastRowLastColumn="0"/>
            </w:pPr>
            <w:r w:rsidRPr="00401089">
              <w:t>35470137</w:t>
            </w:r>
          </w:p>
        </w:tc>
        <w:tc>
          <w:tcPr>
            <w:tcW w:w="859" w:type="dxa"/>
            <w:noWrap/>
            <w:hideMark/>
          </w:tcPr>
          <w:p w14:paraId="74E6967D" w14:textId="166532DD" w:rsidR="000F5648" w:rsidRPr="007A1075" w:rsidRDefault="000F5648" w:rsidP="000F5648">
            <w:pPr>
              <w:pStyle w:val="TableText"/>
              <w:cnfStyle w:val="000000100000" w:firstRow="0" w:lastRow="0" w:firstColumn="0" w:lastColumn="0" w:oddVBand="0" w:evenVBand="0" w:oddHBand="1" w:evenHBand="0" w:firstRowFirstColumn="0" w:firstRowLastColumn="0" w:lastRowFirstColumn="0" w:lastRowLastColumn="0"/>
            </w:pPr>
            <w:r w:rsidRPr="00401089">
              <w:t>27</w:t>
            </w:r>
            <w:r>
              <w:t>,</w:t>
            </w:r>
            <w:r w:rsidRPr="00401089">
              <w:t>175</w:t>
            </w:r>
          </w:p>
        </w:tc>
        <w:tc>
          <w:tcPr>
            <w:tcW w:w="790" w:type="dxa"/>
            <w:noWrap/>
            <w:hideMark/>
          </w:tcPr>
          <w:p w14:paraId="4D2820F6" w14:textId="0AD84E56" w:rsidR="000F5648" w:rsidRPr="007A1075" w:rsidRDefault="000F5648" w:rsidP="000F5648">
            <w:pPr>
              <w:pStyle w:val="TableText"/>
              <w:cnfStyle w:val="000000100000" w:firstRow="0" w:lastRow="0" w:firstColumn="0" w:lastColumn="0" w:oddVBand="0" w:evenVBand="0" w:oddHBand="1" w:evenHBand="0" w:firstRowFirstColumn="0" w:firstRowLastColumn="0" w:lastRowFirstColumn="0" w:lastRowLastColumn="0"/>
            </w:pPr>
            <w:r w:rsidRPr="00401089">
              <w:t>&lt;.001</w:t>
            </w:r>
          </w:p>
        </w:tc>
        <w:tc>
          <w:tcPr>
            <w:tcW w:w="1455" w:type="dxa"/>
            <w:noWrap/>
            <w:hideMark/>
          </w:tcPr>
          <w:p w14:paraId="17855868" w14:textId="52F57656" w:rsidR="000F5648" w:rsidRPr="007A1075" w:rsidRDefault="000F5648" w:rsidP="000F5648">
            <w:pPr>
              <w:pStyle w:val="TableText"/>
              <w:cnfStyle w:val="000000100000" w:firstRow="0" w:lastRow="0" w:firstColumn="0" w:lastColumn="0" w:oddVBand="0" w:evenVBand="0" w:oddHBand="1" w:evenHBand="0" w:firstRowFirstColumn="0" w:firstRowLastColumn="0" w:lastRowFirstColumn="0" w:lastRowLastColumn="0"/>
            </w:pPr>
            <w:r w:rsidRPr="00401089">
              <w:t>60.6% (n=16</w:t>
            </w:r>
            <w:r>
              <w:t>,</w:t>
            </w:r>
            <w:r w:rsidRPr="00401089">
              <w:t>463)</w:t>
            </w:r>
          </w:p>
        </w:tc>
      </w:tr>
      <w:tr w:rsidR="000F5648" w:rsidRPr="007A1075" w14:paraId="59F96EFF" w14:textId="77777777" w:rsidTr="001267B9">
        <w:trPr>
          <w:trHeight w:val="290"/>
        </w:trPr>
        <w:tc>
          <w:tcPr>
            <w:cnfStyle w:val="001000000000" w:firstRow="0" w:lastRow="0" w:firstColumn="1" w:lastColumn="0" w:oddVBand="0" w:evenVBand="0" w:oddHBand="0" w:evenHBand="0" w:firstRowFirstColumn="0" w:firstRowLastColumn="0" w:lastRowFirstColumn="0" w:lastRowLastColumn="0"/>
            <w:tcW w:w="1122" w:type="dxa"/>
            <w:vMerge/>
            <w:hideMark/>
          </w:tcPr>
          <w:p w14:paraId="3CD9C4BD" w14:textId="77777777" w:rsidR="00826536" w:rsidRPr="007A1075" w:rsidRDefault="00826536" w:rsidP="000F5648">
            <w:pPr>
              <w:pStyle w:val="TableText"/>
            </w:pPr>
          </w:p>
        </w:tc>
        <w:tc>
          <w:tcPr>
            <w:tcW w:w="1407" w:type="dxa"/>
            <w:vMerge w:val="restart"/>
            <w:hideMark/>
          </w:tcPr>
          <w:p w14:paraId="095D5AF5" w14:textId="77777777" w:rsidR="000F5648" w:rsidRPr="007A1075" w:rsidRDefault="000F5648" w:rsidP="000F5648">
            <w:pPr>
              <w:pStyle w:val="TableText"/>
              <w:cnfStyle w:val="000000000000" w:firstRow="0" w:lastRow="0" w:firstColumn="0" w:lastColumn="0" w:oddVBand="0" w:evenVBand="0" w:oddHBand="0" w:evenHBand="0" w:firstRowFirstColumn="0" w:firstRowLastColumn="0" w:lastRowFirstColumn="0" w:lastRowLastColumn="0"/>
            </w:pPr>
            <w:r w:rsidRPr="00E73041">
              <w:t>First Nations</w:t>
            </w:r>
          </w:p>
          <w:p w14:paraId="5D7729BE" w14:textId="77777777" w:rsidR="000F5648" w:rsidRPr="007A1075" w:rsidRDefault="000F5648" w:rsidP="000F5648">
            <w:pPr>
              <w:pStyle w:val="TableText"/>
              <w:cnfStyle w:val="000000000000" w:firstRow="0" w:lastRow="0" w:firstColumn="0" w:lastColumn="0" w:oddVBand="0" w:evenVBand="0" w:oddHBand="0" w:evenHBand="0" w:firstRowFirstColumn="0" w:firstRowLastColumn="0" w:lastRowFirstColumn="0" w:lastRowLastColumn="0"/>
            </w:pPr>
          </w:p>
        </w:tc>
        <w:tc>
          <w:tcPr>
            <w:tcW w:w="1697" w:type="dxa"/>
            <w:vMerge w:val="restart"/>
            <w:hideMark/>
          </w:tcPr>
          <w:p w14:paraId="3F893577" w14:textId="77777777" w:rsidR="000F5648" w:rsidRPr="007A1075" w:rsidRDefault="000F5648" w:rsidP="000F5648">
            <w:pPr>
              <w:pStyle w:val="TableText"/>
              <w:cnfStyle w:val="000000000000" w:firstRow="0" w:lastRow="0" w:firstColumn="0" w:lastColumn="0" w:oddVBand="0" w:evenVBand="0" w:oddHBand="0" w:evenHBand="0" w:firstRowFirstColumn="0" w:firstRowLastColumn="0" w:lastRowFirstColumn="0" w:lastRowLastColumn="0"/>
            </w:pPr>
            <w:r w:rsidRPr="007A1075">
              <w:lastRenderedPageBreak/>
              <w:t>Circumstances</w:t>
            </w:r>
          </w:p>
        </w:tc>
        <w:tc>
          <w:tcPr>
            <w:tcW w:w="3766" w:type="dxa"/>
            <w:noWrap/>
            <w:hideMark/>
          </w:tcPr>
          <w:p w14:paraId="0DD4EF19" w14:textId="77777777" w:rsidR="000F5648" w:rsidRPr="007A1075" w:rsidRDefault="000F5648" w:rsidP="000F5648">
            <w:pPr>
              <w:pStyle w:val="TableText"/>
              <w:cnfStyle w:val="000000000000" w:firstRow="0" w:lastRow="0" w:firstColumn="0" w:lastColumn="0" w:oddVBand="0" w:evenVBand="0" w:oddHBand="0" w:evenHBand="0" w:firstRowFirstColumn="0" w:firstRowLastColumn="0" w:lastRowFirstColumn="0" w:lastRowLastColumn="0"/>
            </w:pPr>
            <w:r w:rsidRPr="007A1075">
              <w:t>Family functioning</w:t>
            </w:r>
          </w:p>
        </w:tc>
        <w:tc>
          <w:tcPr>
            <w:tcW w:w="1455" w:type="dxa"/>
            <w:noWrap/>
            <w:hideMark/>
          </w:tcPr>
          <w:p w14:paraId="3CE555E5" w14:textId="5A754C62" w:rsidR="000F5648" w:rsidRPr="007A1075" w:rsidRDefault="000F5648" w:rsidP="000F5648">
            <w:pPr>
              <w:pStyle w:val="TableText"/>
              <w:cnfStyle w:val="000000000000" w:firstRow="0" w:lastRow="0" w:firstColumn="0" w:lastColumn="0" w:oddVBand="0" w:evenVBand="0" w:oddHBand="0" w:evenHBand="0" w:firstRowFirstColumn="0" w:firstRowLastColumn="0" w:lastRowFirstColumn="0" w:lastRowLastColumn="0"/>
            </w:pPr>
            <w:r w:rsidRPr="00401089">
              <w:t>0.87</w:t>
            </w:r>
          </w:p>
        </w:tc>
        <w:tc>
          <w:tcPr>
            <w:tcW w:w="1393" w:type="dxa"/>
            <w:noWrap/>
            <w:hideMark/>
          </w:tcPr>
          <w:p w14:paraId="451CF46E" w14:textId="5F21C0C8" w:rsidR="000F5648" w:rsidRPr="007A1075" w:rsidRDefault="000F5648" w:rsidP="000F5648">
            <w:pPr>
              <w:pStyle w:val="TableText"/>
              <w:cnfStyle w:val="000000000000" w:firstRow="0" w:lastRow="0" w:firstColumn="0" w:lastColumn="0" w:oddVBand="0" w:evenVBand="0" w:oddHBand="0" w:evenHBand="0" w:firstRowFirstColumn="0" w:firstRowLastColumn="0" w:lastRowFirstColumn="0" w:lastRowLastColumn="0"/>
            </w:pPr>
            <w:r w:rsidRPr="00401089">
              <w:t>208863</w:t>
            </w:r>
          </w:p>
        </w:tc>
        <w:tc>
          <w:tcPr>
            <w:tcW w:w="859" w:type="dxa"/>
            <w:noWrap/>
            <w:hideMark/>
          </w:tcPr>
          <w:p w14:paraId="02D9E952" w14:textId="7E3A0296" w:rsidR="000F5648" w:rsidRPr="007A1075" w:rsidRDefault="000F5648" w:rsidP="000F5648">
            <w:pPr>
              <w:pStyle w:val="TableText"/>
              <w:cnfStyle w:val="000000000000" w:firstRow="0" w:lastRow="0" w:firstColumn="0" w:lastColumn="0" w:oddVBand="0" w:evenVBand="0" w:oddHBand="0" w:evenHBand="0" w:firstRowFirstColumn="0" w:firstRowLastColumn="0" w:lastRowFirstColumn="0" w:lastRowLastColumn="0"/>
            </w:pPr>
            <w:r w:rsidRPr="00401089">
              <w:t>2</w:t>
            </w:r>
            <w:r>
              <w:t>,</w:t>
            </w:r>
            <w:r w:rsidRPr="00401089">
              <w:t>175</w:t>
            </w:r>
          </w:p>
        </w:tc>
        <w:tc>
          <w:tcPr>
            <w:tcW w:w="790" w:type="dxa"/>
            <w:noWrap/>
            <w:hideMark/>
          </w:tcPr>
          <w:p w14:paraId="7CD89B98" w14:textId="761FD75C" w:rsidR="000F5648" w:rsidRPr="007A1075" w:rsidRDefault="000F5648" w:rsidP="000F5648">
            <w:pPr>
              <w:pStyle w:val="TableText"/>
              <w:cnfStyle w:val="000000000000" w:firstRow="0" w:lastRow="0" w:firstColumn="0" w:lastColumn="0" w:oddVBand="0" w:evenVBand="0" w:oddHBand="0" w:evenHBand="0" w:firstRowFirstColumn="0" w:firstRowLastColumn="0" w:lastRowFirstColumn="0" w:lastRowLastColumn="0"/>
            </w:pPr>
            <w:r w:rsidRPr="00401089">
              <w:t>&lt;.001</w:t>
            </w:r>
          </w:p>
        </w:tc>
        <w:tc>
          <w:tcPr>
            <w:tcW w:w="1455" w:type="dxa"/>
            <w:noWrap/>
            <w:hideMark/>
          </w:tcPr>
          <w:p w14:paraId="1CD607E4" w14:textId="2DC99DDB" w:rsidR="000F5648" w:rsidRPr="007A1075" w:rsidRDefault="000F5648" w:rsidP="000F5648">
            <w:pPr>
              <w:pStyle w:val="TableText"/>
              <w:cnfStyle w:val="000000000000" w:firstRow="0" w:lastRow="0" w:firstColumn="0" w:lastColumn="0" w:oddVBand="0" w:evenVBand="0" w:oddHBand="0" w:evenHBand="0" w:firstRowFirstColumn="0" w:firstRowLastColumn="0" w:lastRowFirstColumn="0" w:lastRowLastColumn="0"/>
            </w:pPr>
            <w:r w:rsidRPr="00401089">
              <w:t>54.7% (n=1</w:t>
            </w:r>
            <w:r>
              <w:t>,</w:t>
            </w:r>
            <w:r w:rsidRPr="00401089">
              <w:t>189)</w:t>
            </w:r>
          </w:p>
        </w:tc>
      </w:tr>
      <w:tr w:rsidR="000F5648" w:rsidRPr="007A1075" w14:paraId="71E56A97" w14:textId="77777777" w:rsidTr="001267B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122" w:type="dxa"/>
            <w:vMerge/>
            <w:hideMark/>
          </w:tcPr>
          <w:p w14:paraId="51241D2E" w14:textId="77777777" w:rsidR="00826536" w:rsidRPr="007A1075" w:rsidRDefault="00826536" w:rsidP="000F5648">
            <w:pPr>
              <w:pStyle w:val="TableText"/>
            </w:pPr>
          </w:p>
        </w:tc>
        <w:tc>
          <w:tcPr>
            <w:tcW w:w="1407" w:type="dxa"/>
            <w:vMerge/>
            <w:hideMark/>
          </w:tcPr>
          <w:p w14:paraId="718040CE" w14:textId="77777777" w:rsidR="000F5648" w:rsidRPr="007A1075" w:rsidRDefault="000F5648" w:rsidP="000F5648">
            <w:pPr>
              <w:pStyle w:val="TableText"/>
              <w:cnfStyle w:val="000000100000" w:firstRow="0" w:lastRow="0" w:firstColumn="0" w:lastColumn="0" w:oddVBand="0" w:evenVBand="0" w:oddHBand="1" w:evenHBand="0" w:firstRowFirstColumn="0" w:firstRowLastColumn="0" w:lastRowFirstColumn="0" w:lastRowLastColumn="0"/>
            </w:pPr>
          </w:p>
        </w:tc>
        <w:tc>
          <w:tcPr>
            <w:tcW w:w="1697" w:type="dxa"/>
            <w:vMerge/>
            <w:hideMark/>
          </w:tcPr>
          <w:p w14:paraId="60430988" w14:textId="77777777" w:rsidR="000F5648" w:rsidRPr="007A1075" w:rsidRDefault="000F5648" w:rsidP="000F5648">
            <w:pPr>
              <w:pStyle w:val="TableText"/>
              <w:cnfStyle w:val="000000100000" w:firstRow="0" w:lastRow="0" w:firstColumn="0" w:lastColumn="0" w:oddVBand="0" w:evenVBand="0" w:oddHBand="1" w:evenHBand="0" w:firstRowFirstColumn="0" w:firstRowLastColumn="0" w:lastRowFirstColumn="0" w:lastRowLastColumn="0"/>
            </w:pPr>
          </w:p>
        </w:tc>
        <w:tc>
          <w:tcPr>
            <w:tcW w:w="3766" w:type="dxa"/>
            <w:noWrap/>
            <w:hideMark/>
          </w:tcPr>
          <w:p w14:paraId="06D1996D" w14:textId="77777777" w:rsidR="000F5648" w:rsidRPr="007A1075" w:rsidRDefault="00826536" w:rsidP="000F5648">
            <w:pPr>
              <w:pStyle w:val="TableText"/>
              <w:cnfStyle w:val="000000100000" w:firstRow="0" w:lastRow="0" w:firstColumn="0" w:lastColumn="0" w:oddVBand="0" w:evenVBand="0" w:oddHBand="1" w:evenHBand="0" w:firstRowFirstColumn="0" w:firstRowLastColumn="0" w:lastRowFirstColumn="0" w:lastRowLastColumn="0"/>
            </w:pPr>
            <w:r w:rsidRPr="57F92EFB">
              <w:rPr>
                <w:lang w:val="en-NZ"/>
              </w:rPr>
              <w:t>Mental health, wellbeing and self-care</w:t>
            </w:r>
          </w:p>
        </w:tc>
        <w:tc>
          <w:tcPr>
            <w:tcW w:w="1455" w:type="dxa"/>
            <w:noWrap/>
            <w:hideMark/>
          </w:tcPr>
          <w:p w14:paraId="31F7971B" w14:textId="5A9B74FD" w:rsidR="000F5648" w:rsidRPr="007A1075" w:rsidRDefault="000F5648" w:rsidP="000F5648">
            <w:pPr>
              <w:pStyle w:val="TableText"/>
              <w:cnfStyle w:val="000000100000" w:firstRow="0" w:lastRow="0" w:firstColumn="0" w:lastColumn="0" w:oddVBand="0" w:evenVBand="0" w:oddHBand="1" w:evenHBand="0" w:firstRowFirstColumn="0" w:firstRowLastColumn="0" w:lastRowFirstColumn="0" w:lastRowLastColumn="0"/>
            </w:pPr>
            <w:r w:rsidRPr="00401089">
              <w:t>0.88</w:t>
            </w:r>
          </w:p>
        </w:tc>
        <w:tc>
          <w:tcPr>
            <w:tcW w:w="1393" w:type="dxa"/>
            <w:noWrap/>
            <w:hideMark/>
          </w:tcPr>
          <w:p w14:paraId="026CBC9B" w14:textId="7AEAFAA9" w:rsidR="000F5648" w:rsidRPr="007A1075" w:rsidRDefault="000F5648" w:rsidP="000F5648">
            <w:pPr>
              <w:pStyle w:val="TableText"/>
              <w:cnfStyle w:val="000000100000" w:firstRow="0" w:lastRow="0" w:firstColumn="0" w:lastColumn="0" w:oddVBand="0" w:evenVBand="0" w:oddHBand="1" w:evenHBand="0" w:firstRowFirstColumn="0" w:firstRowLastColumn="0" w:lastRowFirstColumn="0" w:lastRowLastColumn="0"/>
            </w:pPr>
            <w:r w:rsidRPr="00401089">
              <w:t>186566</w:t>
            </w:r>
          </w:p>
        </w:tc>
        <w:tc>
          <w:tcPr>
            <w:tcW w:w="859" w:type="dxa"/>
            <w:noWrap/>
            <w:hideMark/>
          </w:tcPr>
          <w:p w14:paraId="208C38F6" w14:textId="4C1BD2A9" w:rsidR="000F5648" w:rsidRPr="007A1075" w:rsidRDefault="000F5648" w:rsidP="000F5648">
            <w:pPr>
              <w:pStyle w:val="TableText"/>
              <w:cnfStyle w:val="000000100000" w:firstRow="0" w:lastRow="0" w:firstColumn="0" w:lastColumn="0" w:oddVBand="0" w:evenVBand="0" w:oddHBand="1" w:evenHBand="0" w:firstRowFirstColumn="0" w:firstRowLastColumn="0" w:lastRowFirstColumn="0" w:lastRowLastColumn="0"/>
            </w:pPr>
            <w:r w:rsidRPr="00401089">
              <w:t>2</w:t>
            </w:r>
            <w:r>
              <w:t>,</w:t>
            </w:r>
            <w:r w:rsidRPr="00401089">
              <w:t>128</w:t>
            </w:r>
          </w:p>
        </w:tc>
        <w:tc>
          <w:tcPr>
            <w:tcW w:w="790" w:type="dxa"/>
            <w:noWrap/>
            <w:hideMark/>
          </w:tcPr>
          <w:p w14:paraId="3E72071E" w14:textId="71489A07" w:rsidR="000F5648" w:rsidRPr="007A1075" w:rsidRDefault="000F5648" w:rsidP="000F5648">
            <w:pPr>
              <w:pStyle w:val="TableText"/>
              <w:cnfStyle w:val="000000100000" w:firstRow="0" w:lastRow="0" w:firstColumn="0" w:lastColumn="0" w:oddVBand="0" w:evenVBand="0" w:oddHBand="1" w:evenHBand="0" w:firstRowFirstColumn="0" w:firstRowLastColumn="0" w:lastRowFirstColumn="0" w:lastRowLastColumn="0"/>
            </w:pPr>
            <w:r w:rsidRPr="00401089">
              <w:t>&lt;.001</w:t>
            </w:r>
          </w:p>
        </w:tc>
        <w:tc>
          <w:tcPr>
            <w:tcW w:w="1455" w:type="dxa"/>
            <w:noWrap/>
            <w:hideMark/>
          </w:tcPr>
          <w:p w14:paraId="3787DAE6" w14:textId="2AB9A184" w:rsidR="000F5648" w:rsidRPr="007A1075" w:rsidRDefault="000F5648" w:rsidP="000F5648">
            <w:pPr>
              <w:pStyle w:val="TableText"/>
              <w:cnfStyle w:val="000000100000" w:firstRow="0" w:lastRow="0" w:firstColumn="0" w:lastColumn="0" w:oddVBand="0" w:evenVBand="0" w:oddHBand="1" w:evenHBand="0" w:firstRowFirstColumn="0" w:firstRowLastColumn="0" w:lastRowFirstColumn="0" w:lastRowLastColumn="0"/>
            </w:pPr>
            <w:r w:rsidRPr="00401089">
              <w:t>55.3% (n=1</w:t>
            </w:r>
            <w:r>
              <w:t>,</w:t>
            </w:r>
            <w:r w:rsidRPr="00401089">
              <w:t>176)</w:t>
            </w:r>
          </w:p>
        </w:tc>
      </w:tr>
      <w:tr w:rsidR="000F5648" w:rsidRPr="007A1075" w14:paraId="0F6FDF08" w14:textId="77777777" w:rsidTr="001267B9">
        <w:trPr>
          <w:trHeight w:val="290"/>
        </w:trPr>
        <w:tc>
          <w:tcPr>
            <w:cnfStyle w:val="001000000000" w:firstRow="0" w:lastRow="0" w:firstColumn="1" w:lastColumn="0" w:oddVBand="0" w:evenVBand="0" w:oddHBand="0" w:evenHBand="0" w:firstRowFirstColumn="0" w:firstRowLastColumn="0" w:lastRowFirstColumn="0" w:lastRowLastColumn="0"/>
            <w:tcW w:w="1122" w:type="dxa"/>
            <w:vMerge/>
            <w:hideMark/>
          </w:tcPr>
          <w:p w14:paraId="0937162C" w14:textId="77777777" w:rsidR="00826536" w:rsidRPr="007A1075" w:rsidRDefault="00826536" w:rsidP="000F5648">
            <w:pPr>
              <w:pStyle w:val="TableText"/>
            </w:pPr>
          </w:p>
        </w:tc>
        <w:tc>
          <w:tcPr>
            <w:tcW w:w="1407" w:type="dxa"/>
            <w:vMerge/>
            <w:hideMark/>
          </w:tcPr>
          <w:p w14:paraId="215A5E71" w14:textId="77777777" w:rsidR="000F5648" w:rsidRPr="007A1075" w:rsidRDefault="000F5648" w:rsidP="000F5648">
            <w:pPr>
              <w:pStyle w:val="TableText"/>
              <w:cnfStyle w:val="000000000000" w:firstRow="0" w:lastRow="0" w:firstColumn="0" w:lastColumn="0" w:oddVBand="0" w:evenVBand="0" w:oddHBand="0" w:evenHBand="0" w:firstRowFirstColumn="0" w:firstRowLastColumn="0" w:lastRowFirstColumn="0" w:lastRowLastColumn="0"/>
            </w:pPr>
          </w:p>
        </w:tc>
        <w:tc>
          <w:tcPr>
            <w:tcW w:w="1697" w:type="dxa"/>
            <w:vMerge/>
            <w:hideMark/>
          </w:tcPr>
          <w:p w14:paraId="22E5E154" w14:textId="77777777" w:rsidR="000F5648" w:rsidRPr="007A1075" w:rsidRDefault="000F5648" w:rsidP="000F5648">
            <w:pPr>
              <w:pStyle w:val="TableText"/>
              <w:cnfStyle w:val="000000000000" w:firstRow="0" w:lastRow="0" w:firstColumn="0" w:lastColumn="0" w:oddVBand="0" w:evenVBand="0" w:oddHBand="0" w:evenHBand="0" w:firstRowFirstColumn="0" w:firstRowLastColumn="0" w:lastRowFirstColumn="0" w:lastRowLastColumn="0"/>
            </w:pPr>
          </w:p>
        </w:tc>
        <w:tc>
          <w:tcPr>
            <w:tcW w:w="3766" w:type="dxa"/>
            <w:noWrap/>
            <w:hideMark/>
          </w:tcPr>
          <w:p w14:paraId="680229E8" w14:textId="77777777" w:rsidR="000F5648" w:rsidRPr="007A1075" w:rsidRDefault="000F5648" w:rsidP="000F5648">
            <w:pPr>
              <w:pStyle w:val="TableText"/>
              <w:cnfStyle w:val="000000000000" w:firstRow="0" w:lastRow="0" w:firstColumn="0" w:lastColumn="0" w:oddVBand="0" w:evenVBand="0" w:oddHBand="0" w:evenHBand="0" w:firstRowFirstColumn="0" w:firstRowLastColumn="0" w:lastRowFirstColumn="0" w:lastRowLastColumn="0"/>
            </w:pPr>
            <w:r w:rsidRPr="007A1075">
              <w:t>Personal and family safety</w:t>
            </w:r>
          </w:p>
        </w:tc>
        <w:tc>
          <w:tcPr>
            <w:tcW w:w="1455" w:type="dxa"/>
            <w:noWrap/>
            <w:hideMark/>
          </w:tcPr>
          <w:p w14:paraId="360E93AE" w14:textId="42CF8206" w:rsidR="000F5648" w:rsidRPr="007A1075" w:rsidRDefault="000F5648" w:rsidP="000F5648">
            <w:pPr>
              <w:pStyle w:val="TableText"/>
              <w:cnfStyle w:val="000000000000" w:firstRow="0" w:lastRow="0" w:firstColumn="0" w:lastColumn="0" w:oddVBand="0" w:evenVBand="0" w:oddHBand="0" w:evenHBand="0" w:firstRowFirstColumn="0" w:firstRowLastColumn="0" w:lastRowFirstColumn="0" w:lastRowLastColumn="0"/>
            </w:pPr>
            <w:r w:rsidRPr="00401089">
              <w:t>0.58</w:t>
            </w:r>
          </w:p>
        </w:tc>
        <w:tc>
          <w:tcPr>
            <w:tcW w:w="1393" w:type="dxa"/>
            <w:noWrap/>
            <w:hideMark/>
          </w:tcPr>
          <w:p w14:paraId="6844515A" w14:textId="21C94897" w:rsidR="000F5648" w:rsidRPr="007A1075" w:rsidRDefault="000F5648" w:rsidP="000F5648">
            <w:pPr>
              <w:pStyle w:val="TableText"/>
              <w:cnfStyle w:val="000000000000" w:firstRow="0" w:lastRow="0" w:firstColumn="0" w:lastColumn="0" w:oddVBand="0" w:evenVBand="0" w:oddHBand="0" w:evenHBand="0" w:firstRowFirstColumn="0" w:firstRowLastColumn="0" w:lastRowFirstColumn="0" w:lastRowLastColumn="0"/>
            </w:pPr>
            <w:r w:rsidRPr="00401089">
              <w:t>125344.5</w:t>
            </w:r>
          </w:p>
        </w:tc>
        <w:tc>
          <w:tcPr>
            <w:tcW w:w="859" w:type="dxa"/>
            <w:noWrap/>
            <w:hideMark/>
          </w:tcPr>
          <w:p w14:paraId="1FF1CD0D" w14:textId="5666EEF4" w:rsidR="000F5648" w:rsidRPr="007A1075" w:rsidRDefault="000F5648" w:rsidP="000F5648">
            <w:pPr>
              <w:pStyle w:val="TableText"/>
              <w:cnfStyle w:val="000000000000" w:firstRow="0" w:lastRow="0" w:firstColumn="0" w:lastColumn="0" w:oddVBand="0" w:evenVBand="0" w:oddHBand="0" w:evenHBand="0" w:firstRowFirstColumn="0" w:firstRowLastColumn="0" w:lastRowFirstColumn="0" w:lastRowLastColumn="0"/>
            </w:pPr>
            <w:r w:rsidRPr="00401089">
              <w:t>1</w:t>
            </w:r>
            <w:r>
              <w:t>,</w:t>
            </w:r>
            <w:r w:rsidRPr="00401089">
              <w:t>537</w:t>
            </w:r>
          </w:p>
        </w:tc>
        <w:tc>
          <w:tcPr>
            <w:tcW w:w="790" w:type="dxa"/>
            <w:noWrap/>
            <w:hideMark/>
          </w:tcPr>
          <w:p w14:paraId="1A544005" w14:textId="477A742C" w:rsidR="000F5648" w:rsidRPr="007A1075" w:rsidRDefault="000F5648" w:rsidP="000F5648">
            <w:pPr>
              <w:pStyle w:val="TableText"/>
              <w:cnfStyle w:val="000000000000" w:firstRow="0" w:lastRow="0" w:firstColumn="0" w:lastColumn="0" w:oddVBand="0" w:evenVBand="0" w:oddHBand="0" w:evenHBand="0" w:firstRowFirstColumn="0" w:firstRowLastColumn="0" w:lastRowFirstColumn="0" w:lastRowLastColumn="0"/>
            </w:pPr>
            <w:r w:rsidRPr="00401089">
              <w:t>&lt;.001</w:t>
            </w:r>
          </w:p>
        </w:tc>
        <w:tc>
          <w:tcPr>
            <w:tcW w:w="1455" w:type="dxa"/>
            <w:noWrap/>
            <w:hideMark/>
          </w:tcPr>
          <w:p w14:paraId="2D28C08E" w14:textId="68BFBAD2" w:rsidR="000F5648" w:rsidRPr="007A1075" w:rsidRDefault="000F5648" w:rsidP="000F5648">
            <w:pPr>
              <w:pStyle w:val="TableText"/>
              <w:cnfStyle w:val="000000000000" w:firstRow="0" w:lastRow="0" w:firstColumn="0" w:lastColumn="0" w:oddVBand="0" w:evenVBand="0" w:oddHBand="0" w:evenHBand="0" w:firstRowFirstColumn="0" w:firstRowLastColumn="0" w:lastRowFirstColumn="0" w:lastRowLastColumn="0"/>
            </w:pPr>
            <w:r w:rsidRPr="00401089">
              <w:t>42.5% (n=653)</w:t>
            </w:r>
          </w:p>
        </w:tc>
      </w:tr>
      <w:tr w:rsidR="000F5648" w:rsidRPr="007A1075" w14:paraId="41D0F738" w14:textId="77777777" w:rsidTr="001267B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122" w:type="dxa"/>
            <w:vMerge/>
            <w:hideMark/>
          </w:tcPr>
          <w:p w14:paraId="51CBE868" w14:textId="77777777" w:rsidR="00826536" w:rsidRPr="007A1075" w:rsidRDefault="00826536" w:rsidP="000F5648">
            <w:pPr>
              <w:pStyle w:val="TableText"/>
            </w:pPr>
          </w:p>
        </w:tc>
        <w:tc>
          <w:tcPr>
            <w:tcW w:w="1407" w:type="dxa"/>
            <w:vMerge/>
            <w:hideMark/>
          </w:tcPr>
          <w:p w14:paraId="169FC7F5" w14:textId="77777777" w:rsidR="000F5648" w:rsidRPr="007A1075" w:rsidRDefault="000F5648" w:rsidP="000F5648">
            <w:pPr>
              <w:pStyle w:val="TableText"/>
              <w:cnfStyle w:val="000000100000" w:firstRow="0" w:lastRow="0" w:firstColumn="0" w:lastColumn="0" w:oddVBand="0" w:evenVBand="0" w:oddHBand="1" w:evenHBand="0" w:firstRowFirstColumn="0" w:firstRowLastColumn="0" w:lastRowFirstColumn="0" w:lastRowLastColumn="0"/>
            </w:pPr>
          </w:p>
        </w:tc>
        <w:tc>
          <w:tcPr>
            <w:tcW w:w="1697" w:type="dxa"/>
            <w:vMerge w:val="restart"/>
            <w:hideMark/>
          </w:tcPr>
          <w:p w14:paraId="0AC6C43E" w14:textId="77777777" w:rsidR="000F5648" w:rsidRPr="007A1075" w:rsidRDefault="000F5648" w:rsidP="000F5648">
            <w:pPr>
              <w:pStyle w:val="TableText"/>
              <w:cnfStyle w:val="000000100000" w:firstRow="0" w:lastRow="0" w:firstColumn="0" w:lastColumn="0" w:oddVBand="0" w:evenVBand="0" w:oddHBand="1" w:evenHBand="0" w:firstRowFirstColumn="0" w:firstRowLastColumn="0" w:lastRowFirstColumn="0" w:lastRowLastColumn="0"/>
            </w:pPr>
            <w:r w:rsidRPr="007A1075">
              <w:t>Goals</w:t>
            </w:r>
          </w:p>
        </w:tc>
        <w:tc>
          <w:tcPr>
            <w:tcW w:w="3766" w:type="dxa"/>
            <w:noWrap/>
            <w:hideMark/>
          </w:tcPr>
          <w:p w14:paraId="066347E2" w14:textId="77777777" w:rsidR="000F5648" w:rsidRPr="007A1075" w:rsidRDefault="000F5648" w:rsidP="000F5648">
            <w:pPr>
              <w:pStyle w:val="TableText"/>
              <w:cnfStyle w:val="000000100000" w:firstRow="0" w:lastRow="0" w:firstColumn="0" w:lastColumn="0" w:oddVBand="0" w:evenVBand="0" w:oddHBand="1" w:evenHBand="0" w:firstRowFirstColumn="0" w:firstRowLastColumn="0" w:lastRowFirstColumn="0" w:lastRowLastColumn="0"/>
            </w:pPr>
            <w:r w:rsidRPr="007A1075">
              <w:t>Changed behaviours</w:t>
            </w:r>
          </w:p>
        </w:tc>
        <w:tc>
          <w:tcPr>
            <w:tcW w:w="1455" w:type="dxa"/>
            <w:noWrap/>
            <w:hideMark/>
          </w:tcPr>
          <w:p w14:paraId="29C955E9" w14:textId="20E78401" w:rsidR="000F5648" w:rsidRPr="007A1075" w:rsidRDefault="000F5648" w:rsidP="000F5648">
            <w:pPr>
              <w:pStyle w:val="TableText"/>
              <w:cnfStyle w:val="000000100000" w:firstRow="0" w:lastRow="0" w:firstColumn="0" w:lastColumn="0" w:oddVBand="0" w:evenVBand="0" w:oddHBand="1" w:evenHBand="0" w:firstRowFirstColumn="0" w:firstRowLastColumn="0" w:lastRowFirstColumn="0" w:lastRowLastColumn="0"/>
            </w:pPr>
            <w:r w:rsidRPr="00401089">
              <w:t>1.06</w:t>
            </w:r>
          </w:p>
        </w:tc>
        <w:tc>
          <w:tcPr>
            <w:tcW w:w="1393" w:type="dxa"/>
            <w:noWrap/>
            <w:hideMark/>
          </w:tcPr>
          <w:p w14:paraId="2BF196F3" w14:textId="19141711" w:rsidR="000F5648" w:rsidRPr="007A1075" w:rsidRDefault="000F5648" w:rsidP="000F5648">
            <w:pPr>
              <w:pStyle w:val="TableText"/>
              <w:cnfStyle w:val="000000100000" w:firstRow="0" w:lastRow="0" w:firstColumn="0" w:lastColumn="0" w:oddVBand="0" w:evenVBand="0" w:oddHBand="1" w:evenHBand="0" w:firstRowFirstColumn="0" w:firstRowLastColumn="0" w:lastRowFirstColumn="0" w:lastRowLastColumn="0"/>
            </w:pPr>
            <w:r w:rsidRPr="00401089">
              <w:t>61843</w:t>
            </w:r>
          </w:p>
        </w:tc>
        <w:tc>
          <w:tcPr>
            <w:tcW w:w="859" w:type="dxa"/>
            <w:noWrap/>
            <w:hideMark/>
          </w:tcPr>
          <w:p w14:paraId="6E38B0CE" w14:textId="2CED03E2" w:rsidR="000F5648" w:rsidRPr="007A1075" w:rsidRDefault="000F5648" w:rsidP="000F5648">
            <w:pPr>
              <w:pStyle w:val="TableText"/>
              <w:cnfStyle w:val="000000100000" w:firstRow="0" w:lastRow="0" w:firstColumn="0" w:lastColumn="0" w:oddVBand="0" w:evenVBand="0" w:oddHBand="1" w:evenHBand="0" w:firstRowFirstColumn="0" w:firstRowLastColumn="0" w:lastRowFirstColumn="0" w:lastRowLastColumn="0"/>
            </w:pPr>
            <w:r w:rsidRPr="00401089">
              <w:t>1</w:t>
            </w:r>
            <w:r>
              <w:t>,</w:t>
            </w:r>
            <w:r w:rsidRPr="00401089">
              <w:t>609</w:t>
            </w:r>
          </w:p>
        </w:tc>
        <w:tc>
          <w:tcPr>
            <w:tcW w:w="790" w:type="dxa"/>
            <w:noWrap/>
            <w:hideMark/>
          </w:tcPr>
          <w:p w14:paraId="0FE3C873" w14:textId="7C3DBF6C" w:rsidR="000F5648" w:rsidRPr="007A1075" w:rsidRDefault="000F5648" w:rsidP="000F5648">
            <w:pPr>
              <w:pStyle w:val="TableText"/>
              <w:cnfStyle w:val="000000100000" w:firstRow="0" w:lastRow="0" w:firstColumn="0" w:lastColumn="0" w:oddVBand="0" w:evenVBand="0" w:oddHBand="1" w:evenHBand="0" w:firstRowFirstColumn="0" w:firstRowLastColumn="0" w:lastRowFirstColumn="0" w:lastRowLastColumn="0"/>
            </w:pPr>
            <w:r w:rsidRPr="00401089">
              <w:t>&lt;.001</w:t>
            </w:r>
          </w:p>
        </w:tc>
        <w:tc>
          <w:tcPr>
            <w:tcW w:w="1455" w:type="dxa"/>
            <w:noWrap/>
            <w:hideMark/>
          </w:tcPr>
          <w:p w14:paraId="308D8FC3" w14:textId="6B63B920" w:rsidR="000F5648" w:rsidRPr="007A1075" w:rsidRDefault="000F5648" w:rsidP="000F5648">
            <w:pPr>
              <w:pStyle w:val="TableText"/>
              <w:cnfStyle w:val="000000100000" w:firstRow="0" w:lastRow="0" w:firstColumn="0" w:lastColumn="0" w:oddVBand="0" w:evenVBand="0" w:oddHBand="1" w:evenHBand="0" w:firstRowFirstColumn="0" w:firstRowLastColumn="0" w:lastRowFirstColumn="0" w:lastRowLastColumn="0"/>
            </w:pPr>
            <w:r w:rsidRPr="00401089">
              <w:t>60.9% (n=980)</w:t>
            </w:r>
          </w:p>
        </w:tc>
      </w:tr>
      <w:tr w:rsidR="000F5648" w:rsidRPr="007A1075" w14:paraId="775CAF04" w14:textId="77777777" w:rsidTr="001267B9">
        <w:trPr>
          <w:trHeight w:val="290"/>
        </w:trPr>
        <w:tc>
          <w:tcPr>
            <w:cnfStyle w:val="001000000000" w:firstRow="0" w:lastRow="0" w:firstColumn="1" w:lastColumn="0" w:oddVBand="0" w:evenVBand="0" w:oddHBand="0" w:evenHBand="0" w:firstRowFirstColumn="0" w:firstRowLastColumn="0" w:lastRowFirstColumn="0" w:lastRowLastColumn="0"/>
            <w:tcW w:w="1122" w:type="dxa"/>
            <w:vMerge/>
            <w:hideMark/>
          </w:tcPr>
          <w:p w14:paraId="08A8EED9" w14:textId="77777777" w:rsidR="00826536" w:rsidRPr="007A1075" w:rsidRDefault="00826536" w:rsidP="000F5648">
            <w:pPr>
              <w:pStyle w:val="TableText"/>
            </w:pPr>
          </w:p>
        </w:tc>
        <w:tc>
          <w:tcPr>
            <w:tcW w:w="1407" w:type="dxa"/>
            <w:vMerge/>
            <w:hideMark/>
          </w:tcPr>
          <w:p w14:paraId="53DFA398" w14:textId="77777777" w:rsidR="000F5648" w:rsidRPr="007A1075" w:rsidRDefault="000F5648" w:rsidP="000F5648">
            <w:pPr>
              <w:pStyle w:val="TableText"/>
              <w:cnfStyle w:val="000000000000" w:firstRow="0" w:lastRow="0" w:firstColumn="0" w:lastColumn="0" w:oddVBand="0" w:evenVBand="0" w:oddHBand="0" w:evenHBand="0" w:firstRowFirstColumn="0" w:firstRowLastColumn="0" w:lastRowFirstColumn="0" w:lastRowLastColumn="0"/>
            </w:pPr>
          </w:p>
        </w:tc>
        <w:tc>
          <w:tcPr>
            <w:tcW w:w="1697" w:type="dxa"/>
            <w:vMerge/>
            <w:hideMark/>
          </w:tcPr>
          <w:p w14:paraId="4593D0DD" w14:textId="77777777" w:rsidR="000F5648" w:rsidRPr="007A1075" w:rsidRDefault="000F5648" w:rsidP="000F5648">
            <w:pPr>
              <w:pStyle w:val="TableText"/>
              <w:cnfStyle w:val="000000000000" w:firstRow="0" w:lastRow="0" w:firstColumn="0" w:lastColumn="0" w:oddVBand="0" w:evenVBand="0" w:oddHBand="0" w:evenHBand="0" w:firstRowFirstColumn="0" w:firstRowLastColumn="0" w:lastRowFirstColumn="0" w:lastRowLastColumn="0"/>
            </w:pPr>
          </w:p>
        </w:tc>
        <w:tc>
          <w:tcPr>
            <w:tcW w:w="3766" w:type="dxa"/>
            <w:noWrap/>
            <w:hideMark/>
          </w:tcPr>
          <w:p w14:paraId="52C09589" w14:textId="77777777" w:rsidR="000F5648" w:rsidRPr="007A1075" w:rsidRDefault="000F5648" w:rsidP="000F5648">
            <w:pPr>
              <w:pStyle w:val="TableText"/>
              <w:cnfStyle w:val="000000000000" w:firstRow="0" w:lastRow="0" w:firstColumn="0" w:lastColumn="0" w:oddVBand="0" w:evenVBand="0" w:oddHBand="0" w:evenHBand="0" w:firstRowFirstColumn="0" w:firstRowLastColumn="0" w:lastRowFirstColumn="0" w:lastRowLastColumn="0"/>
            </w:pPr>
            <w:r w:rsidRPr="007A1075">
              <w:t>Changed impact of immediate crisis</w:t>
            </w:r>
          </w:p>
        </w:tc>
        <w:tc>
          <w:tcPr>
            <w:tcW w:w="1455" w:type="dxa"/>
            <w:noWrap/>
            <w:hideMark/>
          </w:tcPr>
          <w:p w14:paraId="41358E26" w14:textId="08F4E164" w:rsidR="000F5648" w:rsidRPr="007A1075" w:rsidRDefault="000F5648" w:rsidP="000F5648">
            <w:pPr>
              <w:pStyle w:val="TableText"/>
              <w:cnfStyle w:val="000000000000" w:firstRow="0" w:lastRow="0" w:firstColumn="0" w:lastColumn="0" w:oddVBand="0" w:evenVBand="0" w:oddHBand="0" w:evenHBand="0" w:firstRowFirstColumn="0" w:firstRowLastColumn="0" w:lastRowFirstColumn="0" w:lastRowLastColumn="0"/>
            </w:pPr>
            <w:r w:rsidRPr="00401089">
              <w:t>0.94</w:t>
            </w:r>
          </w:p>
        </w:tc>
        <w:tc>
          <w:tcPr>
            <w:tcW w:w="1393" w:type="dxa"/>
            <w:noWrap/>
            <w:hideMark/>
          </w:tcPr>
          <w:p w14:paraId="3E9B186E" w14:textId="3FD580AF" w:rsidR="000F5648" w:rsidRPr="007A1075" w:rsidRDefault="000F5648" w:rsidP="000F5648">
            <w:pPr>
              <w:pStyle w:val="TableText"/>
              <w:cnfStyle w:val="000000000000" w:firstRow="0" w:lastRow="0" w:firstColumn="0" w:lastColumn="0" w:oddVBand="0" w:evenVBand="0" w:oddHBand="0" w:evenHBand="0" w:firstRowFirstColumn="0" w:firstRowLastColumn="0" w:lastRowFirstColumn="0" w:lastRowLastColumn="0"/>
            </w:pPr>
            <w:r w:rsidRPr="00401089">
              <w:t>24270.5</w:t>
            </w:r>
          </w:p>
        </w:tc>
        <w:tc>
          <w:tcPr>
            <w:tcW w:w="859" w:type="dxa"/>
            <w:noWrap/>
            <w:hideMark/>
          </w:tcPr>
          <w:p w14:paraId="5F04F885" w14:textId="01CC6BFF" w:rsidR="000F5648" w:rsidRPr="007A1075" w:rsidRDefault="000F5648" w:rsidP="000F5648">
            <w:pPr>
              <w:pStyle w:val="TableText"/>
              <w:cnfStyle w:val="000000000000" w:firstRow="0" w:lastRow="0" w:firstColumn="0" w:lastColumn="0" w:oddVBand="0" w:evenVBand="0" w:oddHBand="0" w:evenHBand="0" w:firstRowFirstColumn="0" w:firstRowLastColumn="0" w:lastRowFirstColumn="0" w:lastRowLastColumn="0"/>
            </w:pPr>
            <w:r w:rsidRPr="00401089">
              <w:t>778</w:t>
            </w:r>
          </w:p>
        </w:tc>
        <w:tc>
          <w:tcPr>
            <w:tcW w:w="790" w:type="dxa"/>
            <w:noWrap/>
            <w:hideMark/>
          </w:tcPr>
          <w:p w14:paraId="5CBEE7DF" w14:textId="34863250" w:rsidR="000F5648" w:rsidRPr="007A1075" w:rsidRDefault="000F5648" w:rsidP="000F5648">
            <w:pPr>
              <w:pStyle w:val="TableText"/>
              <w:cnfStyle w:val="000000000000" w:firstRow="0" w:lastRow="0" w:firstColumn="0" w:lastColumn="0" w:oddVBand="0" w:evenVBand="0" w:oddHBand="0" w:evenHBand="0" w:firstRowFirstColumn="0" w:firstRowLastColumn="0" w:lastRowFirstColumn="0" w:lastRowLastColumn="0"/>
            </w:pPr>
            <w:r w:rsidRPr="00401089">
              <w:t>&lt;.001</w:t>
            </w:r>
          </w:p>
        </w:tc>
        <w:tc>
          <w:tcPr>
            <w:tcW w:w="1455" w:type="dxa"/>
            <w:noWrap/>
            <w:hideMark/>
          </w:tcPr>
          <w:p w14:paraId="22D242E2" w14:textId="4234C499" w:rsidR="000F5648" w:rsidRPr="007A1075" w:rsidRDefault="000F5648" w:rsidP="000F5648">
            <w:pPr>
              <w:pStyle w:val="TableText"/>
              <w:cnfStyle w:val="000000000000" w:firstRow="0" w:lastRow="0" w:firstColumn="0" w:lastColumn="0" w:oddVBand="0" w:evenVBand="0" w:oddHBand="0" w:evenHBand="0" w:firstRowFirstColumn="0" w:firstRowLastColumn="0" w:lastRowFirstColumn="0" w:lastRowLastColumn="0"/>
            </w:pPr>
            <w:r w:rsidRPr="00401089">
              <w:t>58.4% (n=454)</w:t>
            </w:r>
          </w:p>
        </w:tc>
      </w:tr>
      <w:tr w:rsidR="000F5648" w:rsidRPr="007A1075" w14:paraId="5C32603E" w14:textId="77777777" w:rsidTr="001267B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122" w:type="dxa"/>
            <w:vMerge/>
            <w:hideMark/>
          </w:tcPr>
          <w:p w14:paraId="39B32144" w14:textId="77777777" w:rsidR="00826536" w:rsidRPr="007A1075" w:rsidRDefault="00826536" w:rsidP="000F5648">
            <w:pPr>
              <w:pStyle w:val="TableText"/>
            </w:pPr>
          </w:p>
        </w:tc>
        <w:tc>
          <w:tcPr>
            <w:tcW w:w="1407" w:type="dxa"/>
            <w:vMerge/>
            <w:hideMark/>
          </w:tcPr>
          <w:p w14:paraId="28100E70" w14:textId="77777777" w:rsidR="000F5648" w:rsidRPr="007A1075" w:rsidRDefault="000F5648" w:rsidP="000F5648">
            <w:pPr>
              <w:pStyle w:val="TableText"/>
              <w:cnfStyle w:val="000000100000" w:firstRow="0" w:lastRow="0" w:firstColumn="0" w:lastColumn="0" w:oddVBand="0" w:evenVBand="0" w:oddHBand="1" w:evenHBand="0" w:firstRowFirstColumn="0" w:firstRowLastColumn="0" w:lastRowFirstColumn="0" w:lastRowLastColumn="0"/>
            </w:pPr>
          </w:p>
        </w:tc>
        <w:tc>
          <w:tcPr>
            <w:tcW w:w="1697" w:type="dxa"/>
            <w:vMerge/>
            <w:hideMark/>
          </w:tcPr>
          <w:p w14:paraId="0B06A546" w14:textId="77777777" w:rsidR="000F5648" w:rsidRPr="007A1075" w:rsidRDefault="000F5648" w:rsidP="000F5648">
            <w:pPr>
              <w:pStyle w:val="TableText"/>
              <w:cnfStyle w:val="000000100000" w:firstRow="0" w:lastRow="0" w:firstColumn="0" w:lastColumn="0" w:oddVBand="0" w:evenVBand="0" w:oddHBand="1" w:evenHBand="0" w:firstRowFirstColumn="0" w:firstRowLastColumn="0" w:lastRowFirstColumn="0" w:lastRowLastColumn="0"/>
            </w:pPr>
          </w:p>
        </w:tc>
        <w:tc>
          <w:tcPr>
            <w:tcW w:w="3766" w:type="dxa"/>
            <w:noWrap/>
            <w:hideMark/>
          </w:tcPr>
          <w:p w14:paraId="18FF25F4" w14:textId="77777777" w:rsidR="000F5648" w:rsidRPr="007A1075" w:rsidRDefault="000F5648" w:rsidP="000F5648">
            <w:pPr>
              <w:pStyle w:val="TableText"/>
              <w:cnfStyle w:val="000000100000" w:firstRow="0" w:lastRow="0" w:firstColumn="0" w:lastColumn="0" w:oddVBand="0" w:evenVBand="0" w:oddHBand="1" w:evenHBand="0" w:firstRowFirstColumn="0" w:firstRowLastColumn="0" w:lastRowFirstColumn="0" w:lastRowLastColumn="0"/>
            </w:pPr>
            <w:r w:rsidRPr="007A1075">
              <w:t>Changed knowledge and access to information</w:t>
            </w:r>
          </w:p>
        </w:tc>
        <w:tc>
          <w:tcPr>
            <w:tcW w:w="1455" w:type="dxa"/>
            <w:noWrap/>
            <w:hideMark/>
          </w:tcPr>
          <w:p w14:paraId="0F5FCBF9" w14:textId="12CE7EBB" w:rsidR="000F5648" w:rsidRPr="007A1075" w:rsidRDefault="000F5648" w:rsidP="000F5648">
            <w:pPr>
              <w:pStyle w:val="TableText"/>
              <w:cnfStyle w:val="000000100000" w:firstRow="0" w:lastRow="0" w:firstColumn="0" w:lastColumn="0" w:oddVBand="0" w:evenVBand="0" w:oddHBand="1" w:evenHBand="0" w:firstRowFirstColumn="0" w:firstRowLastColumn="0" w:lastRowFirstColumn="0" w:lastRowLastColumn="0"/>
            </w:pPr>
            <w:r w:rsidRPr="00401089">
              <w:t>1.21</w:t>
            </w:r>
          </w:p>
        </w:tc>
        <w:tc>
          <w:tcPr>
            <w:tcW w:w="1393" w:type="dxa"/>
            <w:noWrap/>
            <w:hideMark/>
          </w:tcPr>
          <w:p w14:paraId="6920CA20" w14:textId="3E7BE5B2" w:rsidR="000F5648" w:rsidRPr="007A1075" w:rsidRDefault="000F5648" w:rsidP="000F5648">
            <w:pPr>
              <w:pStyle w:val="TableText"/>
              <w:cnfStyle w:val="000000100000" w:firstRow="0" w:lastRow="0" w:firstColumn="0" w:lastColumn="0" w:oddVBand="0" w:evenVBand="0" w:oddHBand="1" w:evenHBand="0" w:firstRowFirstColumn="0" w:firstRowLastColumn="0" w:lastRowFirstColumn="0" w:lastRowLastColumn="0"/>
            </w:pPr>
            <w:r w:rsidRPr="00401089">
              <w:t>89337</w:t>
            </w:r>
          </w:p>
        </w:tc>
        <w:tc>
          <w:tcPr>
            <w:tcW w:w="859" w:type="dxa"/>
            <w:noWrap/>
            <w:hideMark/>
          </w:tcPr>
          <w:p w14:paraId="29F71015" w14:textId="25F9810D" w:rsidR="000F5648" w:rsidRPr="007A1075" w:rsidRDefault="000F5648" w:rsidP="000F5648">
            <w:pPr>
              <w:pStyle w:val="TableText"/>
              <w:cnfStyle w:val="000000100000" w:firstRow="0" w:lastRow="0" w:firstColumn="0" w:lastColumn="0" w:oddVBand="0" w:evenVBand="0" w:oddHBand="1" w:evenHBand="0" w:firstRowFirstColumn="0" w:firstRowLastColumn="0" w:lastRowFirstColumn="0" w:lastRowLastColumn="0"/>
            </w:pPr>
            <w:r w:rsidRPr="00401089">
              <w:t>1</w:t>
            </w:r>
            <w:r>
              <w:t>,</w:t>
            </w:r>
            <w:r w:rsidRPr="00401089">
              <w:t>773</w:t>
            </w:r>
          </w:p>
        </w:tc>
        <w:tc>
          <w:tcPr>
            <w:tcW w:w="790" w:type="dxa"/>
            <w:noWrap/>
            <w:hideMark/>
          </w:tcPr>
          <w:p w14:paraId="0630C309" w14:textId="7D7B7F2A" w:rsidR="000F5648" w:rsidRPr="007A1075" w:rsidRDefault="000F5648" w:rsidP="000F5648">
            <w:pPr>
              <w:pStyle w:val="TableText"/>
              <w:cnfStyle w:val="000000100000" w:firstRow="0" w:lastRow="0" w:firstColumn="0" w:lastColumn="0" w:oddVBand="0" w:evenVBand="0" w:oddHBand="1" w:evenHBand="0" w:firstRowFirstColumn="0" w:firstRowLastColumn="0" w:lastRowFirstColumn="0" w:lastRowLastColumn="0"/>
            </w:pPr>
            <w:r w:rsidRPr="00401089">
              <w:t>&lt;.001</w:t>
            </w:r>
          </w:p>
        </w:tc>
        <w:tc>
          <w:tcPr>
            <w:tcW w:w="1455" w:type="dxa"/>
            <w:noWrap/>
            <w:hideMark/>
          </w:tcPr>
          <w:p w14:paraId="17B6D5BD" w14:textId="26A120C9" w:rsidR="000F5648" w:rsidRPr="007A1075" w:rsidRDefault="000F5648" w:rsidP="000F5648">
            <w:pPr>
              <w:pStyle w:val="TableText"/>
              <w:cnfStyle w:val="000000100000" w:firstRow="0" w:lastRow="0" w:firstColumn="0" w:lastColumn="0" w:oddVBand="0" w:evenVBand="0" w:oddHBand="1" w:evenHBand="0" w:firstRowFirstColumn="0" w:firstRowLastColumn="0" w:lastRowFirstColumn="0" w:lastRowLastColumn="0"/>
            </w:pPr>
            <w:r w:rsidRPr="00401089">
              <w:t>66.4% (n=1</w:t>
            </w:r>
            <w:r>
              <w:t>,</w:t>
            </w:r>
            <w:r w:rsidRPr="00401089">
              <w:t>178)</w:t>
            </w:r>
          </w:p>
        </w:tc>
      </w:tr>
      <w:tr w:rsidR="000F5648" w:rsidRPr="007A1075" w14:paraId="78F01788" w14:textId="77777777" w:rsidTr="001267B9">
        <w:trPr>
          <w:trHeight w:val="290"/>
        </w:trPr>
        <w:tc>
          <w:tcPr>
            <w:cnfStyle w:val="001000000000" w:firstRow="0" w:lastRow="0" w:firstColumn="1" w:lastColumn="0" w:oddVBand="0" w:evenVBand="0" w:oddHBand="0" w:evenHBand="0" w:firstRowFirstColumn="0" w:firstRowLastColumn="0" w:lastRowFirstColumn="0" w:lastRowLastColumn="0"/>
            <w:tcW w:w="1122" w:type="dxa"/>
            <w:vMerge/>
            <w:hideMark/>
          </w:tcPr>
          <w:p w14:paraId="13A3074A" w14:textId="77777777" w:rsidR="00826536" w:rsidRPr="007A1075" w:rsidRDefault="00826536" w:rsidP="000F5648">
            <w:pPr>
              <w:pStyle w:val="TableText"/>
            </w:pPr>
          </w:p>
        </w:tc>
        <w:tc>
          <w:tcPr>
            <w:tcW w:w="1407" w:type="dxa"/>
            <w:vMerge/>
            <w:hideMark/>
          </w:tcPr>
          <w:p w14:paraId="705B5069" w14:textId="77777777" w:rsidR="000F5648" w:rsidRPr="007A1075" w:rsidRDefault="000F5648" w:rsidP="000F5648">
            <w:pPr>
              <w:pStyle w:val="TableText"/>
              <w:cnfStyle w:val="000000000000" w:firstRow="0" w:lastRow="0" w:firstColumn="0" w:lastColumn="0" w:oddVBand="0" w:evenVBand="0" w:oddHBand="0" w:evenHBand="0" w:firstRowFirstColumn="0" w:firstRowLastColumn="0" w:lastRowFirstColumn="0" w:lastRowLastColumn="0"/>
            </w:pPr>
          </w:p>
        </w:tc>
        <w:tc>
          <w:tcPr>
            <w:tcW w:w="1697" w:type="dxa"/>
            <w:vMerge/>
            <w:hideMark/>
          </w:tcPr>
          <w:p w14:paraId="7A28C4A0" w14:textId="77777777" w:rsidR="000F5648" w:rsidRPr="007A1075" w:rsidRDefault="000F5648" w:rsidP="000F5648">
            <w:pPr>
              <w:pStyle w:val="TableText"/>
              <w:cnfStyle w:val="000000000000" w:firstRow="0" w:lastRow="0" w:firstColumn="0" w:lastColumn="0" w:oddVBand="0" w:evenVBand="0" w:oddHBand="0" w:evenHBand="0" w:firstRowFirstColumn="0" w:firstRowLastColumn="0" w:lastRowFirstColumn="0" w:lastRowLastColumn="0"/>
            </w:pPr>
          </w:p>
        </w:tc>
        <w:tc>
          <w:tcPr>
            <w:tcW w:w="3766" w:type="dxa"/>
            <w:noWrap/>
            <w:hideMark/>
          </w:tcPr>
          <w:p w14:paraId="090C3154" w14:textId="77777777" w:rsidR="000F5648" w:rsidRPr="007A1075" w:rsidRDefault="000F5648" w:rsidP="000F5648">
            <w:pPr>
              <w:pStyle w:val="TableText"/>
              <w:cnfStyle w:val="000000000000" w:firstRow="0" w:lastRow="0" w:firstColumn="0" w:lastColumn="0" w:oddVBand="0" w:evenVBand="0" w:oddHBand="0" w:evenHBand="0" w:firstRowFirstColumn="0" w:firstRowLastColumn="0" w:lastRowFirstColumn="0" w:lastRowLastColumn="0"/>
            </w:pPr>
            <w:r w:rsidRPr="007A1075">
              <w:t>Changed skills</w:t>
            </w:r>
          </w:p>
        </w:tc>
        <w:tc>
          <w:tcPr>
            <w:tcW w:w="1455" w:type="dxa"/>
            <w:noWrap/>
            <w:hideMark/>
          </w:tcPr>
          <w:p w14:paraId="33CD1917" w14:textId="08C2FDBA" w:rsidR="000F5648" w:rsidRPr="007A1075" w:rsidRDefault="000F5648" w:rsidP="000F5648">
            <w:pPr>
              <w:pStyle w:val="TableText"/>
              <w:cnfStyle w:val="000000000000" w:firstRow="0" w:lastRow="0" w:firstColumn="0" w:lastColumn="0" w:oddVBand="0" w:evenVBand="0" w:oddHBand="0" w:evenHBand="0" w:firstRowFirstColumn="0" w:firstRowLastColumn="0" w:lastRowFirstColumn="0" w:lastRowLastColumn="0"/>
            </w:pPr>
            <w:r w:rsidRPr="00401089">
              <w:t>1.08</w:t>
            </w:r>
          </w:p>
        </w:tc>
        <w:tc>
          <w:tcPr>
            <w:tcW w:w="1393" w:type="dxa"/>
            <w:noWrap/>
            <w:hideMark/>
          </w:tcPr>
          <w:p w14:paraId="5E485C53" w14:textId="1580010E" w:rsidR="000F5648" w:rsidRPr="007A1075" w:rsidRDefault="000F5648" w:rsidP="000F5648">
            <w:pPr>
              <w:pStyle w:val="TableText"/>
              <w:cnfStyle w:val="000000000000" w:firstRow="0" w:lastRow="0" w:firstColumn="0" w:lastColumn="0" w:oddVBand="0" w:evenVBand="0" w:oddHBand="0" w:evenHBand="0" w:firstRowFirstColumn="0" w:firstRowLastColumn="0" w:lastRowFirstColumn="0" w:lastRowLastColumn="0"/>
            </w:pPr>
            <w:r w:rsidRPr="00401089">
              <w:t>115840</w:t>
            </w:r>
          </w:p>
        </w:tc>
        <w:tc>
          <w:tcPr>
            <w:tcW w:w="859" w:type="dxa"/>
            <w:noWrap/>
            <w:hideMark/>
          </w:tcPr>
          <w:p w14:paraId="190AB53F" w14:textId="5D457910" w:rsidR="000F5648" w:rsidRPr="007A1075" w:rsidRDefault="000F5648" w:rsidP="000F5648">
            <w:pPr>
              <w:pStyle w:val="TableText"/>
              <w:cnfStyle w:val="000000000000" w:firstRow="0" w:lastRow="0" w:firstColumn="0" w:lastColumn="0" w:oddVBand="0" w:evenVBand="0" w:oddHBand="0" w:evenHBand="0" w:firstRowFirstColumn="0" w:firstRowLastColumn="0" w:lastRowFirstColumn="0" w:lastRowLastColumn="0"/>
            </w:pPr>
            <w:r w:rsidRPr="00401089">
              <w:t>2</w:t>
            </w:r>
            <w:r>
              <w:t>,</w:t>
            </w:r>
            <w:r w:rsidRPr="00401089">
              <w:t>022</w:t>
            </w:r>
          </w:p>
        </w:tc>
        <w:tc>
          <w:tcPr>
            <w:tcW w:w="790" w:type="dxa"/>
            <w:noWrap/>
            <w:hideMark/>
          </w:tcPr>
          <w:p w14:paraId="4AD7E43D" w14:textId="2E9116C5" w:rsidR="000F5648" w:rsidRPr="007A1075" w:rsidRDefault="000F5648" w:rsidP="000F5648">
            <w:pPr>
              <w:pStyle w:val="TableText"/>
              <w:cnfStyle w:val="000000000000" w:firstRow="0" w:lastRow="0" w:firstColumn="0" w:lastColumn="0" w:oddVBand="0" w:evenVBand="0" w:oddHBand="0" w:evenHBand="0" w:firstRowFirstColumn="0" w:firstRowLastColumn="0" w:lastRowFirstColumn="0" w:lastRowLastColumn="0"/>
            </w:pPr>
            <w:r w:rsidRPr="00401089">
              <w:t>&lt;.001</w:t>
            </w:r>
          </w:p>
        </w:tc>
        <w:tc>
          <w:tcPr>
            <w:tcW w:w="1455" w:type="dxa"/>
            <w:noWrap/>
            <w:hideMark/>
          </w:tcPr>
          <w:p w14:paraId="575BD465" w14:textId="0E738CCC" w:rsidR="000F5648" w:rsidRPr="007A1075" w:rsidRDefault="000F5648" w:rsidP="000F5648">
            <w:pPr>
              <w:pStyle w:val="TableText"/>
              <w:cnfStyle w:val="000000000000" w:firstRow="0" w:lastRow="0" w:firstColumn="0" w:lastColumn="0" w:oddVBand="0" w:evenVBand="0" w:oddHBand="0" w:evenHBand="0" w:firstRowFirstColumn="0" w:firstRowLastColumn="0" w:lastRowFirstColumn="0" w:lastRowLastColumn="0"/>
            </w:pPr>
            <w:r w:rsidRPr="00401089">
              <w:t>62.5% (n=1</w:t>
            </w:r>
            <w:r>
              <w:t>,</w:t>
            </w:r>
            <w:r w:rsidRPr="00401089">
              <w:t>264)</w:t>
            </w:r>
          </w:p>
        </w:tc>
      </w:tr>
      <w:tr w:rsidR="000F5648" w:rsidRPr="007A1075" w14:paraId="33AB8035" w14:textId="77777777" w:rsidTr="001267B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122" w:type="dxa"/>
            <w:vMerge/>
            <w:hideMark/>
          </w:tcPr>
          <w:p w14:paraId="2DC3AB60" w14:textId="77777777" w:rsidR="00826536" w:rsidRPr="007A1075" w:rsidRDefault="00826536" w:rsidP="000F5648">
            <w:pPr>
              <w:pStyle w:val="TableText"/>
            </w:pPr>
          </w:p>
        </w:tc>
        <w:tc>
          <w:tcPr>
            <w:tcW w:w="1407" w:type="dxa"/>
            <w:vMerge/>
            <w:hideMark/>
          </w:tcPr>
          <w:p w14:paraId="46925C2A" w14:textId="77777777" w:rsidR="000F5648" w:rsidRPr="007A1075" w:rsidRDefault="000F5648" w:rsidP="000F5648">
            <w:pPr>
              <w:pStyle w:val="TableText"/>
              <w:cnfStyle w:val="000000100000" w:firstRow="0" w:lastRow="0" w:firstColumn="0" w:lastColumn="0" w:oddVBand="0" w:evenVBand="0" w:oddHBand="1" w:evenHBand="0" w:firstRowFirstColumn="0" w:firstRowLastColumn="0" w:lastRowFirstColumn="0" w:lastRowLastColumn="0"/>
            </w:pPr>
          </w:p>
        </w:tc>
        <w:tc>
          <w:tcPr>
            <w:tcW w:w="1697" w:type="dxa"/>
            <w:vMerge/>
            <w:hideMark/>
          </w:tcPr>
          <w:p w14:paraId="77E68C60" w14:textId="77777777" w:rsidR="000F5648" w:rsidRPr="007A1075" w:rsidRDefault="000F5648" w:rsidP="000F5648">
            <w:pPr>
              <w:pStyle w:val="TableText"/>
              <w:cnfStyle w:val="000000100000" w:firstRow="0" w:lastRow="0" w:firstColumn="0" w:lastColumn="0" w:oddVBand="0" w:evenVBand="0" w:oddHBand="1" w:evenHBand="0" w:firstRowFirstColumn="0" w:firstRowLastColumn="0" w:lastRowFirstColumn="0" w:lastRowLastColumn="0"/>
            </w:pPr>
          </w:p>
        </w:tc>
        <w:tc>
          <w:tcPr>
            <w:tcW w:w="3766" w:type="dxa"/>
            <w:noWrap/>
            <w:hideMark/>
          </w:tcPr>
          <w:p w14:paraId="62A425E6" w14:textId="77777777" w:rsidR="000F5648" w:rsidRPr="007A1075" w:rsidRDefault="00826536" w:rsidP="000F5648">
            <w:pPr>
              <w:pStyle w:val="TableText"/>
              <w:cnfStyle w:val="000000100000" w:firstRow="0" w:lastRow="0" w:firstColumn="0" w:lastColumn="0" w:oddVBand="0" w:evenVBand="0" w:oddHBand="1" w:evenHBand="0" w:firstRowFirstColumn="0" w:firstRowLastColumn="0" w:lastRowFirstColumn="0" w:lastRowLastColumn="0"/>
            </w:pPr>
            <w:r w:rsidRPr="57F92EFB">
              <w:rPr>
                <w:lang w:val="en-NZ"/>
              </w:rPr>
              <w:t>Empowerment, choice and control to make own decisions</w:t>
            </w:r>
          </w:p>
        </w:tc>
        <w:tc>
          <w:tcPr>
            <w:tcW w:w="1455" w:type="dxa"/>
            <w:noWrap/>
            <w:hideMark/>
          </w:tcPr>
          <w:p w14:paraId="4E4EDF77" w14:textId="460DD9E9" w:rsidR="000F5648" w:rsidRPr="007A1075" w:rsidRDefault="000F5648" w:rsidP="000F5648">
            <w:pPr>
              <w:pStyle w:val="TableText"/>
              <w:cnfStyle w:val="000000100000" w:firstRow="0" w:lastRow="0" w:firstColumn="0" w:lastColumn="0" w:oddVBand="0" w:evenVBand="0" w:oddHBand="1" w:evenHBand="0" w:firstRowFirstColumn="0" w:firstRowLastColumn="0" w:lastRowFirstColumn="0" w:lastRowLastColumn="0"/>
            </w:pPr>
            <w:r w:rsidRPr="00401089">
              <w:t>1.07</w:t>
            </w:r>
          </w:p>
        </w:tc>
        <w:tc>
          <w:tcPr>
            <w:tcW w:w="1393" w:type="dxa"/>
            <w:noWrap/>
            <w:hideMark/>
          </w:tcPr>
          <w:p w14:paraId="42DFBC2F" w14:textId="3685DA9D" w:rsidR="000F5648" w:rsidRPr="007A1075" w:rsidRDefault="000F5648" w:rsidP="000F5648">
            <w:pPr>
              <w:pStyle w:val="TableText"/>
              <w:cnfStyle w:val="000000100000" w:firstRow="0" w:lastRow="0" w:firstColumn="0" w:lastColumn="0" w:oddVBand="0" w:evenVBand="0" w:oddHBand="1" w:evenHBand="0" w:firstRowFirstColumn="0" w:firstRowLastColumn="0" w:lastRowFirstColumn="0" w:lastRowLastColumn="0"/>
            </w:pPr>
            <w:r w:rsidRPr="00401089">
              <w:t>71388</w:t>
            </w:r>
          </w:p>
        </w:tc>
        <w:tc>
          <w:tcPr>
            <w:tcW w:w="859" w:type="dxa"/>
            <w:noWrap/>
            <w:hideMark/>
          </w:tcPr>
          <w:p w14:paraId="1C433CC1" w14:textId="3178BDA6" w:rsidR="000F5648" w:rsidRPr="007A1075" w:rsidRDefault="000F5648" w:rsidP="000F5648">
            <w:pPr>
              <w:pStyle w:val="TableText"/>
              <w:cnfStyle w:val="000000100000" w:firstRow="0" w:lastRow="0" w:firstColumn="0" w:lastColumn="0" w:oddVBand="0" w:evenVBand="0" w:oddHBand="1" w:evenHBand="0" w:firstRowFirstColumn="0" w:firstRowLastColumn="0" w:lastRowFirstColumn="0" w:lastRowLastColumn="0"/>
            </w:pPr>
            <w:r w:rsidRPr="00401089">
              <w:t>1</w:t>
            </w:r>
            <w:r>
              <w:t>,</w:t>
            </w:r>
            <w:r w:rsidRPr="00401089">
              <w:t>460</w:t>
            </w:r>
          </w:p>
        </w:tc>
        <w:tc>
          <w:tcPr>
            <w:tcW w:w="790" w:type="dxa"/>
            <w:noWrap/>
            <w:hideMark/>
          </w:tcPr>
          <w:p w14:paraId="5A7E7E3F" w14:textId="601504D9" w:rsidR="000F5648" w:rsidRPr="007A1075" w:rsidRDefault="000F5648" w:rsidP="000F5648">
            <w:pPr>
              <w:pStyle w:val="TableText"/>
              <w:cnfStyle w:val="000000100000" w:firstRow="0" w:lastRow="0" w:firstColumn="0" w:lastColumn="0" w:oddVBand="0" w:evenVBand="0" w:oddHBand="1" w:evenHBand="0" w:firstRowFirstColumn="0" w:firstRowLastColumn="0" w:lastRowFirstColumn="0" w:lastRowLastColumn="0"/>
            </w:pPr>
            <w:r w:rsidRPr="00401089">
              <w:t>&lt;.001</w:t>
            </w:r>
          </w:p>
        </w:tc>
        <w:tc>
          <w:tcPr>
            <w:tcW w:w="1455" w:type="dxa"/>
            <w:noWrap/>
            <w:hideMark/>
          </w:tcPr>
          <w:p w14:paraId="41BE1153" w14:textId="2AF7F4E5" w:rsidR="000F5648" w:rsidRPr="007A1075" w:rsidRDefault="000F5648" w:rsidP="000F5648">
            <w:pPr>
              <w:pStyle w:val="TableText"/>
              <w:cnfStyle w:val="000000100000" w:firstRow="0" w:lastRow="0" w:firstColumn="0" w:lastColumn="0" w:oddVBand="0" w:evenVBand="0" w:oddHBand="1" w:evenHBand="0" w:firstRowFirstColumn="0" w:firstRowLastColumn="0" w:lastRowFirstColumn="0" w:lastRowLastColumn="0"/>
            </w:pPr>
            <w:r w:rsidRPr="00401089">
              <w:t>62.7% (n=915)</w:t>
            </w:r>
          </w:p>
        </w:tc>
      </w:tr>
      <w:tr w:rsidR="000F5648" w:rsidRPr="007A1075" w14:paraId="5E65F6D8" w14:textId="77777777" w:rsidTr="001267B9">
        <w:trPr>
          <w:trHeight w:val="290"/>
        </w:trPr>
        <w:tc>
          <w:tcPr>
            <w:cnfStyle w:val="001000000000" w:firstRow="0" w:lastRow="0" w:firstColumn="1" w:lastColumn="0" w:oddVBand="0" w:evenVBand="0" w:oddHBand="0" w:evenHBand="0" w:firstRowFirstColumn="0" w:firstRowLastColumn="0" w:lastRowFirstColumn="0" w:lastRowLastColumn="0"/>
            <w:tcW w:w="1122" w:type="dxa"/>
            <w:vMerge/>
            <w:hideMark/>
          </w:tcPr>
          <w:p w14:paraId="5562500A" w14:textId="77777777" w:rsidR="00826536" w:rsidRPr="007A1075" w:rsidRDefault="00826536" w:rsidP="000F5648">
            <w:pPr>
              <w:pStyle w:val="TableText"/>
            </w:pPr>
          </w:p>
        </w:tc>
        <w:tc>
          <w:tcPr>
            <w:tcW w:w="1407" w:type="dxa"/>
            <w:vMerge/>
            <w:hideMark/>
          </w:tcPr>
          <w:p w14:paraId="37A560DB" w14:textId="77777777" w:rsidR="000F5648" w:rsidRPr="007A1075" w:rsidRDefault="000F5648" w:rsidP="000F5648">
            <w:pPr>
              <w:pStyle w:val="TableText"/>
              <w:cnfStyle w:val="000000000000" w:firstRow="0" w:lastRow="0" w:firstColumn="0" w:lastColumn="0" w:oddVBand="0" w:evenVBand="0" w:oddHBand="0" w:evenHBand="0" w:firstRowFirstColumn="0" w:firstRowLastColumn="0" w:lastRowFirstColumn="0" w:lastRowLastColumn="0"/>
            </w:pPr>
          </w:p>
        </w:tc>
        <w:tc>
          <w:tcPr>
            <w:tcW w:w="1697" w:type="dxa"/>
            <w:vMerge/>
            <w:hideMark/>
          </w:tcPr>
          <w:p w14:paraId="5E818780" w14:textId="77777777" w:rsidR="000F5648" w:rsidRPr="007A1075" w:rsidRDefault="000F5648" w:rsidP="000F5648">
            <w:pPr>
              <w:pStyle w:val="TableText"/>
              <w:cnfStyle w:val="000000000000" w:firstRow="0" w:lastRow="0" w:firstColumn="0" w:lastColumn="0" w:oddVBand="0" w:evenVBand="0" w:oddHBand="0" w:evenHBand="0" w:firstRowFirstColumn="0" w:firstRowLastColumn="0" w:lastRowFirstColumn="0" w:lastRowLastColumn="0"/>
            </w:pPr>
          </w:p>
        </w:tc>
        <w:tc>
          <w:tcPr>
            <w:tcW w:w="3766" w:type="dxa"/>
            <w:noWrap/>
            <w:hideMark/>
          </w:tcPr>
          <w:p w14:paraId="2A382074" w14:textId="77777777" w:rsidR="000F5648" w:rsidRPr="007A1075" w:rsidRDefault="000F5648" w:rsidP="000F5648">
            <w:pPr>
              <w:pStyle w:val="TableText"/>
              <w:cnfStyle w:val="000000000000" w:firstRow="0" w:lastRow="0" w:firstColumn="0" w:lastColumn="0" w:oddVBand="0" w:evenVBand="0" w:oddHBand="0" w:evenHBand="0" w:firstRowFirstColumn="0" w:firstRowLastColumn="0" w:lastRowFirstColumn="0" w:lastRowLastColumn="0"/>
            </w:pPr>
            <w:r w:rsidRPr="007A1075">
              <w:t>Engagement with relevant support services</w:t>
            </w:r>
          </w:p>
        </w:tc>
        <w:tc>
          <w:tcPr>
            <w:tcW w:w="1455" w:type="dxa"/>
            <w:noWrap/>
            <w:hideMark/>
          </w:tcPr>
          <w:p w14:paraId="4641CBA5" w14:textId="0740F446" w:rsidR="000F5648" w:rsidRPr="007A1075" w:rsidRDefault="000F5648" w:rsidP="000F5648">
            <w:pPr>
              <w:pStyle w:val="TableText"/>
              <w:cnfStyle w:val="000000000000" w:firstRow="0" w:lastRow="0" w:firstColumn="0" w:lastColumn="0" w:oddVBand="0" w:evenVBand="0" w:oddHBand="0" w:evenHBand="0" w:firstRowFirstColumn="0" w:firstRowLastColumn="0" w:lastRowFirstColumn="0" w:lastRowLastColumn="0"/>
            </w:pPr>
            <w:r w:rsidRPr="00401089">
              <w:t>0.88</w:t>
            </w:r>
          </w:p>
        </w:tc>
        <w:tc>
          <w:tcPr>
            <w:tcW w:w="1393" w:type="dxa"/>
            <w:noWrap/>
            <w:hideMark/>
          </w:tcPr>
          <w:p w14:paraId="652E5A0C" w14:textId="13DD111B" w:rsidR="000F5648" w:rsidRPr="007A1075" w:rsidRDefault="000F5648" w:rsidP="000F5648">
            <w:pPr>
              <w:pStyle w:val="TableText"/>
              <w:cnfStyle w:val="000000000000" w:firstRow="0" w:lastRow="0" w:firstColumn="0" w:lastColumn="0" w:oddVBand="0" w:evenVBand="0" w:oddHBand="0" w:evenHBand="0" w:firstRowFirstColumn="0" w:firstRowLastColumn="0" w:lastRowFirstColumn="0" w:lastRowLastColumn="0"/>
            </w:pPr>
            <w:r w:rsidRPr="00401089">
              <w:t>58044.5</w:t>
            </w:r>
          </w:p>
        </w:tc>
        <w:tc>
          <w:tcPr>
            <w:tcW w:w="859" w:type="dxa"/>
            <w:noWrap/>
            <w:hideMark/>
          </w:tcPr>
          <w:p w14:paraId="3E4167C9" w14:textId="087BB571" w:rsidR="000F5648" w:rsidRPr="007A1075" w:rsidRDefault="000F5648" w:rsidP="000F5648">
            <w:pPr>
              <w:pStyle w:val="TableText"/>
              <w:cnfStyle w:val="000000000000" w:firstRow="0" w:lastRow="0" w:firstColumn="0" w:lastColumn="0" w:oddVBand="0" w:evenVBand="0" w:oddHBand="0" w:evenHBand="0" w:firstRowFirstColumn="0" w:firstRowLastColumn="0" w:lastRowFirstColumn="0" w:lastRowLastColumn="0"/>
            </w:pPr>
            <w:r w:rsidRPr="00401089">
              <w:t>1</w:t>
            </w:r>
            <w:r>
              <w:t>,</w:t>
            </w:r>
            <w:r w:rsidRPr="00401089">
              <w:t>144</w:t>
            </w:r>
          </w:p>
        </w:tc>
        <w:tc>
          <w:tcPr>
            <w:tcW w:w="790" w:type="dxa"/>
            <w:noWrap/>
            <w:hideMark/>
          </w:tcPr>
          <w:p w14:paraId="6E37534C" w14:textId="3F85A789" w:rsidR="000F5648" w:rsidRPr="007A1075" w:rsidRDefault="000F5648" w:rsidP="000F5648">
            <w:pPr>
              <w:pStyle w:val="TableText"/>
              <w:cnfStyle w:val="000000000000" w:firstRow="0" w:lastRow="0" w:firstColumn="0" w:lastColumn="0" w:oddVBand="0" w:evenVBand="0" w:oddHBand="0" w:evenHBand="0" w:firstRowFirstColumn="0" w:firstRowLastColumn="0" w:lastRowFirstColumn="0" w:lastRowLastColumn="0"/>
            </w:pPr>
            <w:r w:rsidRPr="00401089">
              <w:t>&lt;.001</w:t>
            </w:r>
          </w:p>
        </w:tc>
        <w:tc>
          <w:tcPr>
            <w:tcW w:w="1455" w:type="dxa"/>
            <w:noWrap/>
            <w:hideMark/>
          </w:tcPr>
          <w:p w14:paraId="5B837D2C" w14:textId="0CB25334" w:rsidR="000F5648" w:rsidRPr="007A1075" w:rsidRDefault="000F5648" w:rsidP="000F5648">
            <w:pPr>
              <w:pStyle w:val="TableText"/>
              <w:cnfStyle w:val="000000000000" w:firstRow="0" w:lastRow="0" w:firstColumn="0" w:lastColumn="0" w:oddVBand="0" w:evenVBand="0" w:oddHBand="0" w:evenHBand="0" w:firstRowFirstColumn="0" w:firstRowLastColumn="0" w:lastRowFirstColumn="0" w:lastRowLastColumn="0"/>
            </w:pPr>
            <w:r w:rsidRPr="00401089">
              <w:t>56.6% (n=647)</w:t>
            </w:r>
          </w:p>
        </w:tc>
      </w:tr>
    </w:tbl>
    <w:p w14:paraId="1591FEC2" w14:textId="77777777" w:rsidR="00BC3586" w:rsidRDefault="00BC3586" w:rsidP="00BC3586">
      <w:pPr>
        <w:rPr>
          <w:i/>
          <w:sz w:val="20"/>
          <w:szCs w:val="18"/>
        </w:rPr>
      </w:pPr>
      <w:r>
        <w:rPr>
          <w:i/>
          <w:sz w:val="20"/>
          <w:szCs w:val="18"/>
        </w:rPr>
        <w:t xml:space="preserve">Source: DEX-SCORE data </w:t>
      </w:r>
    </w:p>
    <w:p w14:paraId="6E4AB0A2" w14:textId="77777777" w:rsidR="00BE3916" w:rsidRDefault="00BE3916" w:rsidP="15DD266E">
      <w:pPr>
        <w:rPr>
          <w:rFonts w:ascii="Arial" w:eastAsia="Aptos" w:hAnsi="Arial" w:cs="Arial"/>
          <w:sz w:val="20"/>
        </w:rPr>
      </w:pPr>
    </w:p>
    <w:p w14:paraId="225EAAAE" w14:textId="77777777" w:rsidR="00BC3586" w:rsidRDefault="00BC3586" w:rsidP="15DD266E">
      <w:pPr>
        <w:rPr>
          <w:rFonts w:ascii="Arial" w:eastAsia="Aptos" w:hAnsi="Arial" w:cs="Arial"/>
          <w:sz w:val="20"/>
        </w:rPr>
      </w:pPr>
    </w:p>
    <w:p w14:paraId="72A41502" w14:textId="77777777" w:rsidR="00BC3586" w:rsidRDefault="00BC3586" w:rsidP="15DD266E">
      <w:pPr>
        <w:rPr>
          <w:rFonts w:ascii="Arial" w:eastAsia="Aptos" w:hAnsi="Arial" w:cs="Arial"/>
          <w:sz w:val="20"/>
        </w:rPr>
      </w:pPr>
    </w:p>
    <w:p w14:paraId="3744106C" w14:textId="77777777" w:rsidR="00BC3586" w:rsidRDefault="00BC3586" w:rsidP="15DD266E">
      <w:pPr>
        <w:rPr>
          <w:rFonts w:ascii="Arial" w:eastAsia="Aptos" w:hAnsi="Arial" w:cs="Arial"/>
          <w:sz w:val="20"/>
        </w:rPr>
      </w:pPr>
    </w:p>
    <w:p w14:paraId="5635B677" w14:textId="77777777" w:rsidR="00BC3586" w:rsidRDefault="00BC3586" w:rsidP="15DD266E">
      <w:pPr>
        <w:rPr>
          <w:rFonts w:ascii="Arial" w:eastAsia="Aptos" w:hAnsi="Arial" w:cs="Arial"/>
          <w:sz w:val="20"/>
        </w:rPr>
      </w:pPr>
    </w:p>
    <w:p w14:paraId="24BBDD15" w14:textId="77777777" w:rsidR="00BC3586" w:rsidRPr="00AC48C1" w:rsidRDefault="00BC3586" w:rsidP="15DD266E">
      <w:pPr>
        <w:rPr>
          <w:rFonts w:ascii="Arial" w:eastAsia="Aptos" w:hAnsi="Arial" w:cs="Arial"/>
          <w:sz w:val="20"/>
        </w:rPr>
      </w:pPr>
    </w:p>
    <w:p w14:paraId="3D67323E" w14:textId="77777777" w:rsidR="005661B4" w:rsidRDefault="005661B4" w:rsidP="15DD266E">
      <w:pPr>
        <w:rPr>
          <w:rFonts w:ascii="Arial" w:eastAsia="Aptos" w:hAnsi="Arial" w:cs="Arial"/>
          <w:sz w:val="20"/>
        </w:rPr>
      </w:pPr>
    </w:p>
    <w:p w14:paraId="3CF282C4" w14:textId="77777777" w:rsidR="005661B4" w:rsidRDefault="005661B4" w:rsidP="15DD266E">
      <w:pPr>
        <w:rPr>
          <w:rFonts w:ascii="Arial" w:eastAsia="Aptos" w:hAnsi="Arial" w:cs="Arial"/>
          <w:sz w:val="20"/>
        </w:rPr>
      </w:pPr>
    </w:p>
    <w:p w14:paraId="23FCDBD0" w14:textId="77777777" w:rsidR="000F5648" w:rsidRDefault="000F5648" w:rsidP="15DD266E">
      <w:pPr>
        <w:rPr>
          <w:rFonts w:ascii="Arial" w:eastAsia="Aptos" w:hAnsi="Arial" w:cs="Arial"/>
          <w:sz w:val="20"/>
        </w:rPr>
      </w:pPr>
    </w:p>
    <w:p w14:paraId="7AFAE614" w14:textId="23F6FF16" w:rsidR="00811EAA" w:rsidRPr="00925CD2" w:rsidRDefault="00811EAA" w:rsidP="00811E31">
      <w:pPr>
        <w:pStyle w:val="TableFigure-Header"/>
        <w:spacing w:line="276" w:lineRule="auto"/>
        <w:jc w:val="both"/>
        <w:rPr>
          <w:rStyle w:val="Text-Bold"/>
          <w:b/>
          <w:sz w:val="22"/>
          <w:szCs w:val="22"/>
          <w:lang w:val="en-NZ"/>
        </w:rPr>
      </w:pPr>
      <w:r w:rsidRPr="7349D423">
        <w:rPr>
          <w:rStyle w:val="Text-Bold"/>
          <w:b/>
          <w:sz w:val="22"/>
          <w:szCs w:val="22"/>
          <w:lang w:val="en-NZ"/>
        </w:rPr>
        <w:lastRenderedPageBreak/>
        <w:t xml:space="preserve">Table </w:t>
      </w:r>
      <w:r w:rsidRPr="00925CD2">
        <w:rPr>
          <w:rStyle w:val="Text-Bold"/>
          <w:b/>
          <w:sz w:val="22"/>
          <w:szCs w:val="22"/>
        </w:rPr>
        <w:fldChar w:fldCharType="begin"/>
      </w:r>
      <w:r>
        <w:instrText xml:space="preserve"> SEQ Table \* ARABIC </w:instrText>
      </w:r>
      <w:r w:rsidRPr="00925CD2">
        <w:rPr>
          <w:rStyle w:val="Text-Bold"/>
          <w:b/>
          <w:sz w:val="22"/>
          <w:szCs w:val="22"/>
        </w:rPr>
        <w:fldChar w:fldCharType="separate"/>
      </w:r>
      <w:r w:rsidR="008D2566">
        <w:rPr>
          <w:noProof/>
        </w:rPr>
        <w:t>62</w:t>
      </w:r>
      <w:r w:rsidRPr="00925CD2">
        <w:rPr>
          <w:rStyle w:val="Text-Bold"/>
          <w:b/>
          <w:sz w:val="22"/>
          <w:szCs w:val="22"/>
        </w:rPr>
        <w:fldChar w:fldCharType="end"/>
      </w:r>
      <w:r w:rsidRPr="7349D423">
        <w:rPr>
          <w:rStyle w:val="Text-Bold"/>
          <w:b/>
          <w:sz w:val="22"/>
          <w:szCs w:val="22"/>
          <w:lang w:val="en-NZ"/>
        </w:rPr>
        <w:t xml:space="preserve">: Mean earliest-to-latest SCORE change (within-subjects) by </w:t>
      </w:r>
      <w:r w:rsidR="005072EF" w:rsidRPr="7349D423">
        <w:rPr>
          <w:rStyle w:val="Text-Bold"/>
          <w:b/>
          <w:sz w:val="22"/>
          <w:szCs w:val="22"/>
          <w:lang w:val="en-NZ"/>
        </w:rPr>
        <w:t>Aboriginal and Torres Strait Islander</w:t>
      </w:r>
      <w:r w:rsidRPr="7349D423">
        <w:rPr>
          <w:rStyle w:val="Text-Bold"/>
          <w:b/>
          <w:sz w:val="22"/>
          <w:szCs w:val="22"/>
          <w:lang w:val="en-NZ"/>
        </w:rPr>
        <w:t xml:space="preserve"> status, SFVS </w:t>
      </w:r>
      <w:r w:rsidR="00E614D3" w:rsidRPr="7349D423">
        <w:rPr>
          <w:rStyle w:val="Text-Bold"/>
          <w:b/>
          <w:sz w:val="22"/>
          <w:szCs w:val="22"/>
          <w:lang w:val="en-NZ"/>
        </w:rPr>
        <w:t>service users</w:t>
      </w:r>
      <w:r w:rsidR="00811E31" w:rsidRPr="00811E31">
        <w:rPr>
          <w:rStyle w:val="Text-Bold"/>
          <w:b/>
          <w:szCs w:val="21"/>
          <w:lang w:val="en-NZ"/>
        </w:rPr>
        <w:t>, July 2021 to June 2024</w:t>
      </w:r>
      <w:r w:rsidR="00E614D3" w:rsidRPr="7349D423">
        <w:rPr>
          <w:rStyle w:val="Text-Bold"/>
          <w:b/>
          <w:sz w:val="22"/>
          <w:szCs w:val="22"/>
          <w:lang w:val="en-NZ"/>
        </w:rPr>
        <w:t xml:space="preserve"> </w:t>
      </w:r>
    </w:p>
    <w:tbl>
      <w:tblPr>
        <w:tblStyle w:val="ListTable3-Accent3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2"/>
        <w:gridCol w:w="1407"/>
        <w:gridCol w:w="1697"/>
        <w:gridCol w:w="3766"/>
        <w:gridCol w:w="1455"/>
        <w:gridCol w:w="1393"/>
        <w:gridCol w:w="859"/>
        <w:gridCol w:w="790"/>
        <w:gridCol w:w="1455"/>
      </w:tblGrid>
      <w:tr w:rsidR="005B31C6" w:rsidRPr="007A1075" w14:paraId="1849EA9B" w14:textId="77777777" w:rsidTr="0078378F">
        <w:trPr>
          <w:cnfStyle w:val="100000000000" w:firstRow="1" w:lastRow="0" w:firstColumn="0" w:lastColumn="0" w:oddVBand="0" w:evenVBand="0" w:oddHBand="0" w:evenHBand="0" w:firstRowFirstColumn="0" w:firstRowLastColumn="0" w:lastRowFirstColumn="0" w:lastRowLastColumn="0"/>
          <w:trHeight w:val="870"/>
        </w:trPr>
        <w:tc>
          <w:tcPr>
            <w:cnfStyle w:val="001000000100" w:firstRow="0" w:lastRow="0" w:firstColumn="1" w:lastColumn="0" w:oddVBand="0" w:evenVBand="0" w:oddHBand="0" w:evenHBand="0" w:firstRowFirstColumn="1" w:firstRowLastColumn="0" w:lastRowFirstColumn="0" w:lastRowLastColumn="0"/>
            <w:tcW w:w="1122" w:type="dxa"/>
            <w:tcBorders>
              <w:bottom w:val="none" w:sz="0" w:space="0" w:color="auto"/>
              <w:right w:val="none" w:sz="0" w:space="0" w:color="auto"/>
            </w:tcBorders>
            <w:hideMark/>
          </w:tcPr>
          <w:p w14:paraId="3E360A34" w14:textId="77777777" w:rsidR="005661B4" w:rsidRPr="007A1075" w:rsidRDefault="005661B4" w:rsidP="00B47904">
            <w:pPr>
              <w:pStyle w:val="TableText"/>
              <w:rPr>
                <w:bCs w:val="0"/>
              </w:rPr>
            </w:pPr>
            <w:r w:rsidRPr="007A1075">
              <w:t>Activity</w:t>
            </w:r>
          </w:p>
        </w:tc>
        <w:tc>
          <w:tcPr>
            <w:tcW w:w="1407" w:type="dxa"/>
            <w:hideMark/>
          </w:tcPr>
          <w:p w14:paraId="3A325079" w14:textId="77777777" w:rsidR="005661B4" w:rsidRPr="007A1075" w:rsidRDefault="005661B4" w:rsidP="00B47904">
            <w:pPr>
              <w:pStyle w:val="TableText"/>
              <w:cnfStyle w:val="100000000000" w:firstRow="1" w:lastRow="0" w:firstColumn="0" w:lastColumn="0" w:oddVBand="0" w:evenVBand="0" w:oddHBand="0" w:evenHBand="0" w:firstRowFirstColumn="0" w:firstRowLastColumn="0" w:lastRowFirstColumn="0" w:lastRowLastColumn="0"/>
              <w:rPr>
                <w:bCs w:val="0"/>
              </w:rPr>
            </w:pPr>
            <w:r w:rsidRPr="007A1075">
              <w:t>Cohort</w:t>
            </w:r>
          </w:p>
        </w:tc>
        <w:tc>
          <w:tcPr>
            <w:tcW w:w="1697" w:type="dxa"/>
            <w:hideMark/>
          </w:tcPr>
          <w:p w14:paraId="3745F4CB" w14:textId="77777777" w:rsidR="005661B4" w:rsidRPr="007A1075" w:rsidRDefault="005661B4" w:rsidP="00B47904">
            <w:pPr>
              <w:pStyle w:val="TableText"/>
              <w:cnfStyle w:val="100000000000" w:firstRow="1" w:lastRow="0" w:firstColumn="0" w:lastColumn="0" w:oddVBand="0" w:evenVBand="0" w:oddHBand="0" w:evenHBand="0" w:firstRowFirstColumn="0" w:firstRowLastColumn="0" w:lastRowFirstColumn="0" w:lastRowLastColumn="0"/>
              <w:rPr>
                <w:bCs w:val="0"/>
              </w:rPr>
            </w:pPr>
            <w:r w:rsidRPr="007A1075">
              <w:t>Outcome type</w:t>
            </w:r>
          </w:p>
        </w:tc>
        <w:tc>
          <w:tcPr>
            <w:tcW w:w="3766" w:type="dxa"/>
            <w:noWrap/>
            <w:hideMark/>
          </w:tcPr>
          <w:p w14:paraId="11CCEA7D" w14:textId="77777777" w:rsidR="005661B4" w:rsidRPr="007A1075" w:rsidRDefault="005661B4" w:rsidP="00B47904">
            <w:pPr>
              <w:pStyle w:val="TableText"/>
              <w:cnfStyle w:val="100000000000" w:firstRow="1" w:lastRow="0" w:firstColumn="0" w:lastColumn="0" w:oddVBand="0" w:evenVBand="0" w:oddHBand="0" w:evenHBand="0" w:firstRowFirstColumn="0" w:firstRowLastColumn="0" w:lastRowFirstColumn="0" w:lastRowLastColumn="0"/>
              <w:rPr>
                <w:bCs w:val="0"/>
              </w:rPr>
            </w:pPr>
            <w:r w:rsidRPr="007A1075">
              <w:t>Domain</w:t>
            </w:r>
          </w:p>
        </w:tc>
        <w:tc>
          <w:tcPr>
            <w:tcW w:w="1455" w:type="dxa"/>
            <w:hideMark/>
          </w:tcPr>
          <w:p w14:paraId="7D4C6F9C" w14:textId="77777777" w:rsidR="005661B4" w:rsidRPr="007A1075" w:rsidRDefault="005661B4" w:rsidP="00B47904">
            <w:pPr>
              <w:pStyle w:val="TableText"/>
              <w:cnfStyle w:val="100000000000" w:firstRow="1" w:lastRow="0" w:firstColumn="0" w:lastColumn="0" w:oddVBand="0" w:evenVBand="0" w:oddHBand="0" w:evenHBand="0" w:firstRowFirstColumn="0" w:firstRowLastColumn="0" w:lastRowFirstColumn="0" w:lastRowLastColumn="0"/>
              <w:rPr>
                <w:bCs w:val="0"/>
              </w:rPr>
            </w:pPr>
            <w:r w:rsidRPr="007A1075">
              <w:t>SCORE change (mean)</w:t>
            </w:r>
          </w:p>
        </w:tc>
        <w:tc>
          <w:tcPr>
            <w:tcW w:w="1393" w:type="dxa"/>
            <w:noWrap/>
            <w:hideMark/>
          </w:tcPr>
          <w:p w14:paraId="7862A855" w14:textId="77777777" w:rsidR="005661B4" w:rsidRPr="007A1075" w:rsidRDefault="005661B4" w:rsidP="00B47904">
            <w:pPr>
              <w:pStyle w:val="TableText"/>
              <w:cnfStyle w:val="100000000000" w:firstRow="1" w:lastRow="0" w:firstColumn="0" w:lastColumn="0" w:oddVBand="0" w:evenVBand="0" w:oddHBand="0" w:evenHBand="0" w:firstRowFirstColumn="0" w:firstRowLastColumn="0" w:lastRowFirstColumn="0" w:lastRowLastColumn="0"/>
              <w:rPr>
                <w:bCs w:val="0"/>
              </w:rPr>
            </w:pPr>
            <w:r w:rsidRPr="007A1075">
              <w:t>Wilcoxon</w:t>
            </w:r>
          </w:p>
        </w:tc>
        <w:tc>
          <w:tcPr>
            <w:tcW w:w="859" w:type="dxa"/>
            <w:noWrap/>
            <w:hideMark/>
          </w:tcPr>
          <w:p w14:paraId="7BE0BE09" w14:textId="77777777" w:rsidR="005661B4" w:rsidRPr="007A1075" w:rsidRDefault="005661B4" w:rsidP="00B47904">
            <w:pPr>
              <w:pStyle w:val="TableText"/>
              <w:cnfStyle w:val="100000000000" w:firstRow="1" w:lastRow="0" w:firstColumn="0" w:lastColumn="0" w:oddVBand="0" w:evenVBand="0" w:oddHBand="0" w:evenHBand="0" w:firstRowFirstColumn="0" w:firstRowLastColumn="0" w:lastRowFirstColumn="0" w:lastRowLastColumn="0"/>
              <w:rPr>
                <w:bCs w:val="0"/>
              </w:rPr>
            </w:pPr>
            <w:r w:rsidRPr="007A1075">
              <w:t>n</w:t>
            </w:r>
          </w:p>
        </w:tc>
        <w:tc>
          <w:tcPr>
            <w:tcW w:w="790" w:type="dxa"/>
            <w:noWrap/>
            <w:hideMark/>
          </w:tcPr>
          <w:p w14:paraId="77E75487" w14:textId="77777777" w:rsidR="005661B4" w:rsidRPr="007A1075" w:rsidRDefault="005661B4" w:rsidP="00B47904">
            <w:pPr>
              <w:pStyle w:val="TableText"/>
              <w:cnfStyle w:val="100000000000" w:firstRow="1" w:lastRow="0" w:firstColumn="0" w:lastColumn="0" w:oddVBand="0" w:evenVBand="0" w:oddHBand="0" w:evenHBand="0" w:firstRowFirstColumn="0" w:firstRowLastColumn="0" w:lastRowFirstColumn="0" w:lastRowLastColumn="0"/>
              <w:rPr>
                <w:bCs w:val="0"/>
              </w:rPr>
            </w:pPr>
            <w:r w:rsidRPr="007A1075">
              <w:t>p</w:t>
            </w:r>
          </w:p>
        </w:tc>
        <w:tc>
          <w:tcPr>
            <w:tcW w:w="1455" w:type="dxa"/>
            <w:hideMark/>
          </w:tcPr>
          <w:p w14:paraId="00A2C997" w14:textId="77777777" w:rsidR="005661B4" w:rsidRPr="007A1075" w:rsidRDefault="005661B4" w:rsidP="00B47904">
            <w:pPr>
              <w:pStyle w:val="TableText"/>
              <w:cnfStyle w:val="100000000000" w:firstRow="1" w:lastRow="0" w:firstColumn="0" w:lastColumn="0" w:oddVBand="0" w:evenVBand="0" w:oddHBand="0" w:evenHBand="0" w:firstRowFirstColumn="0" w:firstRowLastColumn="0" w:lastRowFirstColumn="0" w:lastRowLastColumn="0"/>
              <w:rPr>
                <w:bCs w:val="0"/>
              </w:rPr>
            </w:pPr>
            <w:r>
              <w:t>Service users</w:t>
            </w:r>
            <w:r w:rsidRPr="007A1075">
              <w:t xml:space="preserve"> with positive change (%, n)</w:t>
            </w:r>
          </w:p>
        </w:tc>
      </w:tr>
      <w:tr w:rsidR="00826536" w:rsidRPr="007A1075" w14:paraId="6B72CF5B" w14:textId="77777777" w:rsidTr="0078378F">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122" w:type="dxa"/>
            <w:vMerge w:val="restart"/>
            <w:tcBorders>
              <w:top w:val="none" w:sz="0" w:space="0" w:color="auto"/>
              <w:bottom w:val="none" w:sz="0" w:space="0" w:color="auto"/>
              <w:right w:val="none" w:sz="0" w:space="0" w:color="auto"/>
            </w:tcBorders>
            <w:hideMark/>
          </w:tcPr>
          <w:p w14:paraId="59C72D1F" w14:textId="54A71913" w:rsidR="00826536" w:rsidRPr="00811E31" w:rsidRDefault="00E91A9D" w:rsidP="00826536">
            <w:pPr>
              <w:pStyle w:val="TableText"/>
              <w:rPr>
                <w:b w:val="0"/>
                <w:bCs w:val="0"/>
                <w:lang w:val="en-NZ"/>
              </w:rPr>
            </w:pPr>
            <w:r w:rsidRPr="00811E31">
              <w:rPr>
                <w:b w:val="0"/>
                <w:bCs w:val="0"/>
                <w:lang w:val="en-NZ"/>
              </w:rPr>
              <w:t>SFVS (including 4AP2)</w:t>
            </w:r>
          </w:p>
        </w:tc>
        <w:tc>
          <w:tcPr>
            <w:tcW w:w="1407" w:type="dxa"/>
            <w:vMerge w:val="restart"/>
            <w:tcBorders>
              <w:top w:val="none" w:sz="0" w:space="0" w:color="auto"/>
              <w:bottom w:val="none" w:sz="0" w:space="0" w:color="auto"/>
            </w:tcBorders>
            <w:hideMark/>
          </w:tcPr>
          <w:p w14:paraId="5BAD2ED1" w14:textId="77777777" w:rsidR="00826536" w:rsidRPr="007A1075" w:rsidRDefault="00826536" w:rsidP="00826536">
            <w:pPr>
              <w:pStyle w:val="TableText"/>
              <w:cnfStyle w:val="000000100000" w:firstRow="0" w:lastRow="0" w:firstColumn="0" w:lastColumn="0" w:oddVBand="0" w:evenVBand="0" w:oddHBand="1" w:evenHBand="0" w:firstRowFirstColumn="0" w:firstRowLastColumn="0" w:lastRowFirstColumn="0" w:lastRowLastColumn="0"/>
            </w:pPr>
            <w:r w:rsidRPr="00E73041">
              <w:t>Non-First Nations (or unknown)</w:t>
            </w:r>
          </w:p>
          <w:p w14:paraId="491AE134" w14:textId="6B314190" w:rsidR="00826536" w:rsidRPr="007A1075" w:rsidRDefault="00826536" w:rsidP="00826536">
            <w:pPr>
              <w:pStyle w:val="TableText"/>
              <w:cnfStyle w:val="000000100000" w:firstRow="0" w:lastRow="0" w:firstColumn="0" w:lastColumn="0" w:oddVBand="0" w:evenVBand="0" w:oddHBand="1" w:evenHBand="0" w:firstRowFirstColumn="0" w:firstRowLastColumn="0" w:lastRowFirstColumn="0" w:lastRowLastColumn="0"/>
            </w:pPr>
          </w:p>
        </w:tc>
        <w:tc>
          <w:tcPr>
            <w:tcW w:w="1697" w:type="dxa"/>
            <w:vMerge w:val="restart"/>
            <w:tcBorders>
              <w:top w:val="none" w:sz="0" w:space="0" w:color="auto"/>
              <w:bottom w:val="none" w:sz="0" w:space="0" w:color="auto"/>
            </w:tcBorders>
            <w:hideMark/>
          </w:tcPr>
          <w:p w14:paraId="273E5B4A" w14:textId="77777777" w:rsidR="00826536" w:rsidRPr="007A1075" w:rsidRDefault="00826536" w:rsidP="00826536">
            <w:pPr>
              <w:pStyle w:val="TableText"/>
              <w:cnfStyle w:val="000000100000" w:firstRow="0" w:lastRow="0" w:firstColumn="0" w:lastColumn="0" w:oddVBand="0" w:evenVBand="0" w:oddHBand="1" w:evenHBand="0" w:firstRowFirstColumn="0" w:firstRowLastColumn="0" w:lastRowFirstColumn="0" w:lastRowLastColumn="0"/>
            </w:pPr>
            <w:r w:rsidRPr="007A1075">
              <w:t>Circumstances</w:t>
            </w:r>
          </w:p>
        </w:tc>
        <w:tc>
          <w:tcPr>
            <w:tcW w:w="3766" w:type="dxa"/>
            <w:tcBorders>
              <w:top w:val="none" w:sz="0" w:space="0" w:color="auto"/>
              <w:bottom w:val="none" w:sz="0" w:space="0" w:color="auto"/>
            </w:tcBorders>
            <w:noWrap/>
            <w:hideMark/>
          </w:tcPr>
          <w:p w14:paraId="1E40DFBB" w14:textId="77777777" w:rsidR="00826536" w:rsidRPr="007A1075" w:rsidRDefault="00826536" w:rsidP="00826536">
            <w:pPr>
              <w:pStyle w:val="TableText"/>
              <w:cnfStyle w:val="000000100000" w:firstRow="0" w:lastRow="0" w:firstColumn="0" w:lastColumn="0" w:oddVBand="0" w:evenVBand="0" w:oddHBand="1" w:evenHBand="0" w:firstRowFirstColumn="0" w:firstRowLastColumn="0" w:lastRowFirstColumn="0" w:lastRowLastColumn="0"/>
            </w:pPr>
            <w:r w:rsidRPr="007A1075">
              <w:t>Family functioning</w:t>
            </w:r>
          </w:p>
        </w:tc>
        <w:tc>
          <w:tcPr>
            <w:tcW w:w="1455" w:type="dxa"/>
            <w:tcBorders>
              <w:top w:val="none" w:sz="0" w:space="0" w:color="auto"/>
              <w:bottom w:val="none" w:sz="0" w:space="0" w:color="auto"/>
            </w:tcBorders>
            <w:noWrap/>
            <w:hideMark/>
          </w:tcPr>
          <w:p w14:paraId="39D3C51A" w14:textId="3DFD2973" w:rsidR="00826536" w:rsidRPr="007A1075" w:rsidRDefault="00826536" w:rsidP="00826536">
            <w:pPr>
              <w:pStyle w:val="TableText"/>
              <w:cnfStyle w:val="000000100000" w:firstRow="0" w:lastRow="0" w:firstColumn="0" w:lastColumn="0" w:oddVBand="0" w:evenVBand="0" w:oddHBand="1" w:evenHBand="0" w:firstRowFirstColumn="0" w:firstRowLastColumn="0" w:lastRowFirstColumn="0" w:lastRowLastColumn="0"/>
            </w:pPr>
            <w:r w:rsidRPr="007A1075">
              <w:t>0.</w:t>
            </w:r>
            <w:r w:rsidR="00D7681F" w:rsidRPr="00A9677F">
              <w:t>81</w:t>
            </w:r>
          </w:p>
        </w:tc>
        <w:tc>
          <w:tcPr>
            <w:tcW w:w="1393" w:type="dxa"/>
            <w:tcBorders>
              <w:top w:val="none" w:sz="0" w:space="0" w:color="auto"/>
              <w:bottom w:val="none" w:sz="0" w:space="0" w:color="auto"/>
            </w:tcBorders>
            <w:noWrap/>
            <w:hideMark/>
          </w:tcPr>
          <w:p w14:paraId="0C3D4AD1" w14:textId="1337F3BC" w:rsidR="00826536" w:rsidRPr="007A1075" w:rsidRDefault="00D7681F" w:rsidP="00826536">
            <w:pPr>
              <w:pStyle w:val="TableText"/>
              <w:cnfStyle w:val="000000100000" w:firstRow="0" w:lastRow="0" w:firstColumn="0" w:lastColumn="0" w:oddVBand="0" w:evenVBand="0" w:oddHBand="1" w:evenHBand="0" w:firstRowFirstColumn="0" w:firstRowLastColumn="0" w:lastRowFirstColumn="0" w:lastRowLastColumn="0"/>
            </w:pPr>
            <w:r w:rsidRPr="00A9677F">
              <w:t>1217416</w:t>
            </w:r>
          </w:p>
        </w:tc>
        <w:tc>
          <w:tcPr>
            <w:tcW w:w="859" w:type="dxa"/>
            <w:tcBorders>
              <w:top w:val="none" w:sz="0" w:space="0" w:color="auto"/>
              <w:bottom w:val="none" w:sz="0" w:space="0" w:color="auto"/>
            </w:tcBorders>
            <w:noWrap/>
            <w:hideMark/>
          </w:tcPr>
          <w:p w14:paraId="266BFBA2" w14:textId="2074F65B" w:rsidR="00826536" w:rsidRPr="007A1075" w:rsidRDefault="00D7681F" w:rsidP="00826536">
            <w:pPr>
              <w:pStyle w:val="TableText"/>
              <w:cnfStyle w:val="000000100000" w:firstRow="0" w:lastRow="0" w:firstColumn="0" w:lastColumn="0" w:oddVBand="0" w:evenVBand="0" w:oddHBand="1" w:evenHBand="0" w:firstRowFirstColumn="0" w:firstRowLastColumn="0" w:lastRowFirstColumn="0" w:lastRowLastColumn="0"/>
            </w:pPr>
            <w:r w:rsidRPr="00A9677F">
              <w:t>5006</w:t>
            </w:r>
          </w:p>
        </w:tc>
        <w:tc>
          <w:tcPr>
            <w:tcW w:w="790" w:type="dxa"/>
            <w:tcBorders>
              <w:top w:val="none" w:sz="0" w:space="0" w:color="auto"/>
              <w:bottom w:val="none" w:sz="0" w:space="0" w:color="auto"/>
            </w:tcBorders>
            <w:noWrap/>
            <w:hideMark/>
          </w:tcPr>
          <w:p w14:paraId="17A1492D" w14:textId="77777777" w:rsidR="00826536" w:rsidRPr="007A1075" w:rsidRDefault="00826536" w:rsidP="00826536">
            <w:pPr>
              <w:pStyle w:val="TableText"/>
              <w:cnfStyle w:val="000000100000" w:firstRow="0" w:lastRow="0" w:firstColumn="0" w:lastColumn="0" w:oddVBand="0" w:evenVBand="0" w:oddHBand="1" w:evenHBand="0" w:firstRowFirstColumn="0" w:firstRowLastColumn="0" w:lastRowFirstColumn="0" w:lastRowLastColumn="0"/>
            </w:pPr>
            <w:r w:rsidRPr="007A1075">
              <w:t>&lt;.001</w:t>
            </w:r>
          </w:p>
        </w:tc>
        <w:tc>
          <w:tcPr>
            <w:tcW w:w="1455" w:type="dxa"/>
            <w:tcBorders>
              <w:top w:val="none" w:sz="0" w:space="0" w:color="auto"/>
              <w:bottom w:val="none" w:sz="0" w:space="0" w:color="auto"/>
            </w:tcBorders>
            <w:noWrap/>
            <w:hideMark/>
          </w:tcPr>
          <w:p w14:paraId="2180F63A" w14:textId="59743990" w:rsidR="00826536" w:rsidRPr="007A1075" w:rsidRDefault="00826536" w:rsidP="00826536">
            <w:pPr>
              <w:pStyle w:val="TableText"/>
              <w:cnfStyle w:val="000000100000" w:firstRow="0" w:lastRow="0" w:firstColumn="0" w:lastColumn="0" w:oddVBand="0" w:evenVBand="0" w:oddHBand="1" w:evenHBand="0" w:firstRowFirstColumn="0" w:firstRowLastColumn="0" w:lastRowFirstColumn="0" w:lastRowLastColumn="0"/>
            </w:pPr>
            <w:r w:rsidRPr="00E44990">
              <w:t>55.3% (n=2770)</w:t>
            </w:r>
          </w:p>
        </w:tc>
      </w:tr>
      <w:tr w:rsidR="00826536" w:rsidRPr="007A1075" w14:paraId="3C29541B" w14:textId="77777777" w:rsidTr="0078378F">
        <w:trPr>
          <w:trHeight w:val="290"/>
        </w:trPr>
        <w:tc>
          <w:tcPr>
            <w:cnfStyle w:val="001000000000" w:firstRow="0" w:lastRow="0" w:firstColumn="1" w:lastColumn="0" w:oddVBand="0" w:evenVBand="0" w:oddHBand="0" w:evenHBand="0" w:firstRowFirstColumn="0" w:firstRowLastColumn="0" w:lastRowFirstColumn="0" w:lastRowLastColumn="0"/>
            <w:tcW w:w="1122" w:type="dxa"/>
            <w:vMerge/>
            <w:tcBorders>
              <w:right w:val="none" w:sz="0" w:space="0" w:color="auto"/>
            </w:tcBorders>
            <w:hideMark/>
          </w:tcPr>
          <w:p w14:paraId="2E89D06B" w14:textId="77777777" w:rsidR="00826536" w:rsidRPr="007A1075" w:rsidRDefault="00826536" w:rsidP="00826536">
            <w:pPr>
              <w:pStyle w:val="TableText"/>
            </w:pPr>
          </w:p>
        </w:tc>
        <w:tc>
          <w:tcPr>
            <w:tcW w:w="1407" w:type="dxa"/>
            <w:vMerge/>
            <w:hideMark/>
          </w:tcPr>
          <w:p w14:paraId="780D642C" w14:textId="77777777" w:rsidR="00826536" w:rsidRPr="007A1075" w:rsidRDefault="00826536" w:rsidP="00826536">
            <w:pPr>
              <w:pStyle w:val="TableText"/>
              <w:cnfStyle w:val="000000000000" w:firstRow="0" w:lastRow="0" w:firstColumn="0" w:lastColumn="0" w:oddVBand="0" w:evenVBand="0" w:oddHBand="0" w:evenHBand="0" w:firstRowFirstColumn="0" w:firstRowLastColumn="0" w:lastRowFirstColumn="0" w:lastRowLastColumn="0"/>
            </w:pPr>
          </w:p>
        </w:tc>
        <w:tc>
          <w:tcPr>
            <w:tcW w:w="1697" w:type="dxa"/>
            <w:vMerge/>
            <w:hideMark/>
          </w:tcPr>
          <w:p w14:paraId="34C8DAE1" w14:textId="77777777" w:rsidR="00826536" w:rsidRPr="007A1075" w:rsidRDefault="00826536" w:rsidP="00826536">
            <w:pPr>
              <w:pStyle w:val="TableText"/>
              <w:cnfStyle w:val="000000000000" w:firstRow="0" w:lastRow="0" w:firstColumn="0" w:lastColumn="0" w:oddVBand="0" w:evenVBand="0" w:oddHBand="0" w:evenHBand="0" w:firstRowFirstColumn="0" w:firstRowLastColumn="0" w:lastRowFirstColumn="0" w:lastRowLastColumn="0"/>
            </w:pPr>
          </w:p>
        </w:tc>
        <w:tc>
          <w:tcPr>
            <w:tcW w:w="3766" w:type="dxa"/>
            <w:noWrap/>
            <w:hideMark/>
          </w:tcPr>
          <w:p w14:paraId="1881BCFD" w14:textId="77777777" w:rsidR="00826536" w:rsidRPr="007A1075" w:rsidRDefault="00826536" w:rsidP="00826536">
            <w:pPr>
              <w:pStyle w:val="TableText"/>
              <w:cnfStyle w:val="000000000000" w:firstRow="0" w:lastRow="0" w:firstColumn="0" w:lastColumn="0" w:oddVBand="0" w:evenVBand="0" w:oddHBand="0" w:evenHBand="0" w:firstRowFirstColumn="0" w:firstRowLastColumn="0" w:lastRowFirstColumn="0" w:lastRowLastColumn="0"/>
            </w:pPr>
            <w:r w:rsidRPr="57F92EFB">
              <w:rPr>
                <w:lang w:val="en-NZ"/>
              </w:rPr>
              <w:t>Mental health, wellbeing and self-care</w:t>
            </w:r>
          </w:p>
        </w:tc>
        <w:tc>
          <w:tcPr>
            <w:tcW w:w="1455" w:type="dxa"/>
            <w:noWrap/>
            <w:hideMark/>
          </w:tcPr>
          <w:p w14:paraId="443BE1D1" w14:textId="1C7A4AF9" w:rsidR="00826536" w:rsidRPr="007A1075" w:rsidRDefault="00826536" w:rsidP="00826536">
            <w:pPr>
              <w:pStyle w:val="TableText"/>
              <w:cnfStyle w:val="000000000000" w:firstRow="0" w:lastRow="0" w:firstColumn="0" w:lastColumn="0" w:oddVBand="0" w:evenVBand="0" w:oddHBand="0" w:evenHBand="0" w:firstRowFirstColumn="0" w:firstRowLastColumn="0" w:lastRowFirstColumn="0" w:lastRowLastColumn="0"/>
            </w:pPr>
            <w:r w:rsidRPr="007A1075">
              <w:t>0.</w:t>
            </w:r>
            <w:r w:rsidR="00D7681F" w:rsidRPr="00A9677F">
              <w:t>85</w:t>
            </w:r>
          </w:p>
        </w:tc>
        <w:tc>
          <w:tcPr>
            <w:tcW w:w="1393" w:type="dxa"/>
            <w:noWrap/>
            <w:hideMark/>
          </w:tcPr>
          <w:p w14:paraId="4852F9B3" w14:textId="479B63A5" w:rsidR="00826536" w:rsidRPr="007A1075" w:rsidRDefault="00D7681F" w:rsidP="00826536">
            <w:pPr>
              <w:pStyle w:val="TableText"/>
              <w:cnfStyle w:val="000000000000" w:firstRow="0" w:lastRow="0" w:firstColumn="0" w:lastColumn="0" w:oddVBand="0" w:evenVBand="0" w:oddHBand="0" w:evenHBand="0" w:firstRowFirstColumn="0" w:firstRowLastColumn="0" w:lastRowFirstColumn="0" w:lastRowLastColumn="0"/>
            </w:pPr>
            <w:r w:rsidRPr="00A9677F">
              <w:t>1288794</w:t>
            </w:r>
          </w:p>
        </w:tc>
        <w:tc>
          <w:tcPr>
            <w:tcW w:w="859" w:type="dxa"/>
            <w:noWrap/>
            <w:hideMark/>
          </w:tcPr>
          <w:p w14:paraId="32421BA6" w14:textId="5ADD0AA6" w:rsidR="00826536" w:rsidRPr="007A1075" w:rsidRDefault="00D7681F" w:rsidP="00826536">
            <w:pPr>
              <w:pStyle w:val="TableText"/>
              <w:cnfStyle w:val="000000000000" w:firstRow="0" w:lastRow="0" w:firstColumn="0" w:lastColumn="0" w:oddVBand="0" w:evenVBand="0" w:oddHBand="0" w:evenHBand="0" w:firstRowFirstColumn="0" w:firstRowLastColumn="0" w:lastRowFirstColumn="0" w:lastRowLastColumn="0"/>
            </w:pPr>
            <w:r w:rsidRPr="00A9677F">
              <w:t>5204</w:t>
            </w:r>
          </w:p>
        </w:tc>
        <w:tc>
          <w:tcPr>
            <w:tcW w:w="790" w:type="dxa"/>
            <w:noWrap/>
            <w:hideMark/>
          </w:tcPr>
          <w:p w14:paraId="2D2B7E0E" w14:textId="77777777" w:rsidR="00826536" w:rsidRPr="007A1075" w:rsidRDefault="00826536" w:rsidP="00826536">
            <w:pPr>
              <w:pStyle w:val="TableText"/>
              <w:cnfStyle w:val="000000000000" w:firstRow="0" w:lastRow="0" w:firstColumn="0" w:lastColumn="0" w:oddVBand="0" w:evenVBand="0" w:oddHBand="0" w:evenHBand="0" w:firstRowFirstColumn="0" w:firstRowLastColumn="0" w:lastRowFirstColumn="0" w:lastRowLastColumn="0"/>
            </w:pPr>
            <w:r w:rsidRPr="007A1075">
              <w:t>&lt;.001</w:t>
            </w:r>
          </w:p>
        </w:tc>
        <w:tc>
          <w:tcPr>
            <w:tcW w:w="1455" w:type="dxa"/>
            <w:noWrap/>
            <w:hideMark/>
          </w:tcPr>
          <w:p w14:paraId="788FB540" w14:textId="5DFC2C48" w:rsidR="00826536" w:rsidRPr="007A1075" w:rsidRDefault="00826536" w:rsidP="00826536">
            <w:pPr>
              <w:pStyle w:val="TableText"/>
              <w:cnfStyle w:val="000000000000" w:firstRow="0" w:lastRow="0" w:firstColumn="0" w:lastColumn="0" w:oddVBand="0" w:evenVBand="0" w:oddHBand="0" w:evenHBand="0" w:firstRowFirstColumn="0" w:firstRowLastColumn="0" w:lastRowFirstColumn="0" w:lastRowLastColumn="0"/>
            </w:pPr>
            <w:r w:rsidRPr="00E44990">
              <w:t>56.4% (n=2933)</w:t>
            </w:r>
          </w:p>
        </w:tc>
      </w:tr>
      <w:tr w:rsidR="00826536" w:rsidRPr="007A1075" w14:paraId="69EEBA6C" w14:textId="77777777" w:rsidTr="0078378F">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122" w:type="dxa"/>
            <w:vMerge/>
            <w:tcBorders>
              <w:top w:val="none" w:sz="0" w:space="0" w:color="auto"/>
              <w:bottom w:val="none" w:sz="0" w:space="0" w:color="auto"/>
              <w:right w:val="none" w:sz="0" w:space="0" w:color="auto"/>
            </w:tcBorders>
            <w:hideMark/>
          </w:tcPr>
          <w:p w14:paraId="188C7364" w14:textId="77777777" w:rsidR="00826536" w:rsidRPr="007A1075" w:rsidRDefault="00826536" w:rsidP="00826536">
            <w:pPr>
              <w:pStyle w:val="TableText"/>
            </w:pPr>
          </w:p>
        </w:tc>
        <w:tc>
          <w:tcPr>
            <w:tcW w:w="1407" w:type="dxa"/>
            <w:vMerge/>
            <w:tcBorders>
              <w:top w:val="none" w:sz="0" w:space="0" w:color="auto"/>
              <w:bottom w:val="none" w:sz="0" w:space="0" w:color="auto"/>
            </w:tcBorders>
            <w:hideMark/>
          </w:tcPr>
          <w:p w14:paraId="5F33862A" w14:textId="77777777" w:rsidR="00826536" w:rsidRPr="007A1075" w:rsidRDefault="00826536" w:rsidP="00826536">
            <w:pPr>
              <w:pStyle w:val="TableText"/>
              <w:cnfStyle w:val="000000100000" w:firstRow="0" w:lastRow="0" w:firstColumn="0" w:lastColumn="0" w:oddVBand="0" w:evenVBand="0" w:oddHBand="1" w:evenHBand="0" w:firstRowFirstColumn="0" w:firstRowLastColumn="0" w:lastRowFirstColumn="0" w:lastRowLastColumn="0"/>
            </w:pPr>
          </w:p>
        </w:tc>
        <w:tc>
          <w:tcPr>
            <w:tcW w:w="1697" w:type="dxa"/>
            <w:vMerge/>
            <w:tcBorders>
              <w:top w:val="none" w:sz="0" w:space="0" w:color="auto"/>
              <w:bottom w:val="none" w:sz="0" w:space="0" w:color="auto"/>
            </w:tcBorders>
            <w:hideMark/>
          </w:tcPr>
          <w:p w14:paraId="56AED3FF" w14:textId="77777777" w:rsidR="00826536" w:rsidRPr="007A1075" w:rsidRDefault="00826536" w:rsidP="00826536">
            <w:pPr>
              <w:pStyle w:val="TableText"/>
              <w:cnfStyle w:val="000000100000" w:firstRow="0" w:lastRow="0" w:firstColumn="0" w:lastColumn="0" w:oddVBand="0" w:evenVBand="0" w:oddHBand="1" w:evenHBand="0" w:firstRowFirstColumn="0" w:firstRowLastColumn="0" w:lastRowFirstColumn="0" w:lastRowLastColumn="0"/>
            </w:pPr>
          </w:p>
        </w:tc>
        <w:tc>
          <w:tcPr>
            <w:tcW w:w="3766" w:type="dxa"/>
            <w:tcBorders>
              <w:top w:val="none" w:sz="0" w:space="0" w:color="auto"/>
              <w:bottom w:val="none" w:sz="0" w:space="0" w:color="auto"/>
            </w:tcBorders>
            <w:noWrap/>
            <w:hideMark/>
          </w:tcPr>
          <w:p w14:paraId="0C07B635" w14:textId="77777777" w:rsidR="00826536" w:rsidRPr="007A1075" w:rsidRDefault="00826536" w:rsidP="00826536">
            <w:pPr>
              <w:pStyle w:val="TableText"/>
              <w:cnfStyle w:val="000000100000" w:firstRow="0" w:lastRow="0" w:firstColumn="0" w:lastColumn="0" w:oddVBand="0" w:evenVBand="0" w:oddHBand="1" w:evenHBand="0" w:firstRowFirstColumn="0" w:firstRowLastColumn="0" w:lastRowFirstColumn="0" w:lastRowLastColumn="0"/>
            </w:pPr>
            <w:r w:rsidRPr="007A1075">
              <w:t>Personal and family safety</w:t>
            </w:r>
          </w:p>
        </w:tc>
        <w:tc>
          <w:tcPr>
            <w:tcW w:w="1455" w:type="dxa"/>
            <w:tcBorders>
              <w:top w:val="none" w:sz="0" w:space="0" w:color="auto"/>
              <w:bottom w:val="none" w:sz="0" w:space="0" w:color="auto"/>
            </w:tcBorders>
            <w:noWrap/>
            <w:hideMark/>
          </w:tcPr>
          <w:p w14:paraId="1EE5B731" w14:textId="0198436F" w:rsidR="00826536" w:rsidRPr="007A1075" w:rsidRDefault="00826536" w:rsidP="00826536">
            <w:pPr>
              <w:pStyle w:val="TableText"/>
              <w:cnfStyle w:val="000000100000" w:firstRow="0" w:lastRow="0" w:firstColumn="0" w:lastColumn="0" w:oddVBand="0" w:evenVBand="0" w:oddHBand="1" w:evenHBand="0" w:firstRowFirstColumn="0" w:firstRowLastColumn="0" w:lastRowFirstColumn="0" w:lastRowLastColumn="0"/>
            </w:pPr>
            <w:r w:rsidRPr="007A1075">
              <w:t>0.</w:t>
            </w:r>
            <w:r w:rsidR="00D7681F" w:rsidRPr="00A9677F">
              <w:t>92</w:t>
            </w:r>
          </w:p>
        </w:tc>
        <w:tc>
          <w:tcPr>
            <w:tcW w:w="1393" w:type="dxa"/>
            <w:tcBorders>
              <w:top w:val="none" w:sz="0" w:space="0" w:color="auto"/>
              <w:bottom w:val="none" w:sz="0" w:space="0" w:color="auto"/>
            </w:tcBorders>
            <w:noWrap/>
            <w:hideMark/>
          </w:tcPr>
          <w:p w14:paraId="6DB1A585" w14:textId="76A8C3D1" w:rsidR="00826536" w:rsidRPr="007A1075" w:rsidRDefault="00D7681F" w:rsidP="00826536">
            <w:pPr>
              <w:pStyle w:val="TableText"/>
              <w:cnfStyle w:val="000000100000" w:firstRow="0" w:lastRow="0" w:firstColumn="0" w:lastColumn="0" w:oddVBand="0" w:evenVBand="0" w:oddHBand="1" w:evenHBand="0" w:firstRowFirstColumn="0" w:firstRowLastColumn="0" w:lastRowFirstColumn="0" w:lastRowLastColumn="0"/>
            </w:pPr>
            <w:r w:rsidRPr="00A9677F">
              <w:t>1513754</w:t>
            </w:r>
          </w:p>
        </w:tc>
        <w:tc>
          <w:tcPr>
            <w:tcW w:w="859" w:type="dxa"/>
            <w:tcBorders>
              <w:top w:val="none" w:sz="0" w:space="0" w:color="auto"/>
              <w:bottom w:val="none" w:sz="0" w:space="0" w:color="auto"/>
            </w:tcBorders>
            <w:noWrap/>
            <w:hideMark/>
          </w:tcPr>
          <w:p w14:paraId="5327CD89" w14:textId="1DF81E22" w:rsidR="00826536" w:rsidRPr="007A1075" w:rsidRDefault="00D7681F" w:rsidP="00826536">
            <w:pPr>
              <w:pStyle w:val="TableText"/>
              <w:cnfStyle w:val="000000100000" w:firstRow="0" w:lastRow="0" w:firstColumn="0" w:lastColumn="0" w:oddVBand="0" w:evenVBand="0" w:oddHBand="1" w:evenHBand="0" w:firstRowFirstColumn="0" w:firstRowLastColumn="0" w:lastRowFirstColumn="0" w:lastRowLastColumn="0"/>
            </w:pPr>
            <w:r w:rsidRPr="00A9677F">
              <w:t>5865</w:t>
            </w:r>
          </w:p>
        </w:tc>
        <w:tc>
          <w:tcPr>
            <w:tcW w:w="790" w:type="dxa"/>
            <w:tcBorders>
              <w:top w:val="none" w:sz="0" w:space="0" w:color="auto"/>
              <w:bottom w:val="none" w:sz="0" w:space="0" w:color="auto"/>
            </w:tcBorders>
            <w:noWrap/>
            <w:hideMark/>
          </w:tcPr>
          <w:p w14:paraId="3904E21A" w14:textId="77777777" w:rsidR="00826536" w:rsidRPr="007A1075" w:rsidRDefault="00826536" w:rsidP="00826536">
            <w:pPr>
              <w:pStyle w:val="TableText"/>
              <w:cnfStyle w:val="000000100000" w:firstRow="0" w:lastRow="0" w:firstColumn="0" w:lastColumn="0" w:oddVBand="0" w:evenVBand="0" w:oddHBand="1" w:evenHBand="0" w:firstRowFirstColumn="0" w:firstRowLastColumn="0" w:lastRowFirstColumn="0" w:lastRowLastColumn="0"/>
            </w:pPr>
            <w:r w:rsidRPr="007A1075">
              <w:t>&lt;.001</w:t>
            </w:r>
          </w:p>
        </w:tc>
        <w:tc>
          <w:tcPr>
            <w:tcW w:w="1455" w:type="dxa"/>
            <w:tcBorders>
              <w:top w:val="none" w:sz="0" w:space="0" w:color="auto"/>
              <w:bottom w:val="none" w:sz="0" w:space="0" w:color="auto"/>
            </w:tcBorders>
            <w:noWrap/>
            <w:hideMark/>
          </w:tcPr>
          <w:p w14:paraId="0B62D76A" w14:textId="1022D13A" w:rsidR="00826536" w:rsidRPr="007A1075" w:rsidRDefault="00826536" w:rsidP="00826536">
            <w:pPr>
              <w:pStyle w:val="TableText"/>
              <w:cnfStyle w:val="000000100000" w:firstRow="0" w:lastRow="0" w:firstColumn="0" w:lastColumn="0" w:oddVBand="0" w:evenVBand="0" w:oddHBand="1" w:evenHBand="0" w:firstRowFirstColumn="0" w:firstRowLastColumn="0" w:lastRowFirstColumn="0" w:lastRowLastColumn="0"/>
            </w:pPr>
            <w:r w:rsidRPr="00E44990">
              <w:t>57.2% (n=3356)</w:t>
            </w:r>
          </w:p>
        </w:tc>
      </w:tr>
      <w:tr w:rsidR="00826536" w:rsidRPr="007A1075" w14:paraId="5C986547" w14:textId="77777777" w:rsidTr="0078378F">
        <w:trPr>
          <w:trHeight w:val="290"/>
        </w:trPr>
        <w:tc>
          <w:tcPr>
            <w:cnfStyle w:val="001000000000" w:firstRow="0" w:lastRow="0" w:firstColumn="1" w:lastColumn="0" w:oddVBand="0" w:evenVBand="0" w:oddHBand="0" w:evenHBand="0" w:firstRowFirstColumn="0" w:firstRowLastColumn="0" w:lastRowFirstColumn="0" w:lastRowLastColumn="0"/>
            <w:tcW w:w="1122" w:type="dxa"/>
            <w:vMerge/>
            <w:tcBorders>
              <w:right w:val="none" w:sz="0" w:space="0" w:color="auto"/>
            </w:tcBorders>
            <w:hideMark/>
          </w:tcPr>
          <w:p w14:paraId="0672B4ED" w14:textId="77777777" w:rsidR="00826536" w:rsidRPr="007A1075" w:rsidRDefault="00826536" w:rsidP="00826536">
            <w:pPr>
              <w:pStyle w:val="TableText"/>
            </w:pPr>
          </w:p>
        </w:tc>
        <w:tc>
          <w:tcPr>
            <w:tcW w:w="1407" w:type="dxa"/>
            <w:vMerge/>
            <w:hideMark/>
          </w:tcPr>
          <w:p w14:paraId="7993ACF4" w14:textId="77777777" w:rsidR="00826536" w:rsidRPr="007A1075" w:rsidRDefault="00826536" w:rsidP="00826536">
            <w:pPr>
              <w:pStyle w:val="TableText"/>
              <w:cnfStyle w:val="000000000000" w:firstRow="0" w:lastRow="0" w:firstColumn="0" w:lastColumn="0" w:oddVBand="0" w:evenVBand="0" w:oddHBand="0" w:evenHBand="0" w:firstRowFirstColumn="0" w:firstRowLastColumn="0" w:lastRowFirstColumn="0" w:lastRowLastColumn="0"/>
            </w:pPr>
          </w:p>
        </w:tc>
        <w:tc>
          <w:tcPr>
            <w:tcW w:w="1697" w:type="dxa"/>
            <w:vMerge w:val="restart"/>
            <w:hideMark/>
          </w:tcPr>
          <w:p w14:paraId="315F0A12" w14:textId="77777777" w:rsidR="00826536" w:rsidRPr="007A1075" w:rsidRDefault="00826536" w:rsidP="00826536">
            <w:pPr>
              <w:pStyle w:val="TableText"/>
              <w:cnfStyle w:val="000000000000" w:firstRow="0" w:lastRow="0" w:firstColumn="0" w:lastColumn="0" w:oddVBand="0" w:evenVBand="0" w:oddHBand="0" w:evenHBand="0" w:firstRowFirstColumn="0" w:firstRowLastColumn="0" w:lastRowFirstColumn="0" w:lastRowLastColumn="0"/>
            </w:pPr>
            <w:r w:rsidRPr="007A1075">
              <w:t>Goals</w:t>
            </w:r>
          </w:p>
        </w:tc>
        <w:tc>
          <w:tcPr>
            <w:tcW w:w="3766" w:type="dxa"/>
            <w:noWrap/>
            <w:hideMark/>
          </w:tcPr>
          <w:p w14:paraId="26123114" w14:textId="77777777" w:rsidR="00826536" w:rsidRPr="007A1075" w:rsidRDefault="00826536" w:rsidP="00826536">
            <w:pPr>
              <w:pStyle w:val="TableText"/>
              <w:cnfStyle w:val="000000000000" w:firstRow="0" w:lastRow="0" w:firstColumn="0" w:lastColumn="0" w:oddVBand="0" w:evenVBand="0" w:oddHBand="0" w:evenHBand="0" w:firstRowFirstColumn="0" w:firstRowLastColumn="0" w:lastRowFirstColumn="0" w:lastRowLastColumn="0"/>
            </w:pPr>
            <w:r w:rsidRPr="007A1075">
              <w:t>Changed behaviours</w:t>
            </w:r>
          </w:p>
        </w:tc>
        <w:tc>
          <w:tcPr>
            <w:tcW w:w="1455" w:type="dxa"/>
            <w:noWrap/>
            <w:hideMark/>
          </w:tcPr>
          <w:p w14:paraId="22F18C42" w14:textId="03D3804E" w:rsidR="00826536" w:rsidRPr="007A1075" w:rsidRDefault="00D7681F" w:rsidP="00826536">
            <w:pPr>
              <w:pStyle w:val="TableText"/>
              <w:cnfStyle w:val="000000000000" w:firstRow="0" w:lastRow="0" w:firstColumn="0" w:lastColumn="0" w:oddVBand="0" w:evenVBand="0" w:oddHBand="0" w:evenHBand="0" w:firstRowFirstColumn="0" w:firstRowLastColumn="0" w:lastRowFirstColumn="0" w:lastRowLastColumn="0"/>
            </w:pPr>
            <w:r w:rsidRPr="00A9677F">
              <w:t>0.9</w:t>
            </w:r>
          </w:p>
        </w:tc>
        <w:tc>
          <w:tcPr>
            <w:tcW w:w="1393" w:type="dxa"/>
            <w:noWrap/>
            <w:hideMark/>
          </w:tcPr>
          <w:p w14:paraId="279E781A" w14:textId="3580944F" w:rsidR="00826536" w:rsidRPr="007A1075" w:rsidRDefault="00D7681F" w:rsidP="00826536">
            <w:pPr>
              <w:pStyle w:val="TableText"/>
              <w:cnfStyle w:val="000000000000" w:firstRow="0" w:lastRow="0" w:firstColumn="0" w:lastColumn="0" w:oddVBand="0" w:evenVBand="0" w:oddHBand="0" w:evenHBand="0" w:firstRowFirstColumn="0" w:firstRowLastColumn="0" w:lastRowFirstColumn="0" w:lastRowLastColumn="0"/>
            </w:pPr>
            <w:r w:rsidRPr="00A9677F">
              <w:t>581974</w:t>
            </w:r>
          </w:p>
        </w:tc>
        <w:tc>
          <w:tcPr>
            <w:tcW w:w="859" w:type="dxa"/>
            <w:noWrap/>
            <w:hideMark/>
          </w:tcPr>
          <w:p w14:paraId="057232CC" w14:textId="1833CBD9" w:rsidR="00826536" w:rsidRPr="007A1075" w:rsidRDefault="00D7681F" w:rsidP="00826536">
            <w:pPr>
              <w:pStyle w:val="TableText"/>
              <w:cnfStyle w:val="000000000000" w:firstRow="0" w:lastRow="0" w:firstColumn="0" w:lastColumn="0" w:oddVBand="0" w:evenVBand="0" w:oddHBand="0" w:evenHBand="0" w:firstRowFirstColumn="0" w:firstRowLastColumn="0" w:lastRowFirstColumn="0" w:lastRowLastColumn="0"/>
            </w:pPr>
            <w:r w:rsidRPr="00A9677F">
              <w:t>3617</w:t>
            </w:r>
          </w:p>
        </w:tc>
        <w:tc>
          <w:tcPr>
            <w:tcW w:w="790" w:type="dxa"/>
            <w:noWrap/>
            <w:hideMark/>
          </w:tcPr>
          <w:p w14:paraId="09137C2D" w14:textId="77777777" w:rsidR="00826536" w:rsidRPr="007A1075" w:rsidRDefault="00826536" w:rsidP="00826536">
            <w:pPr>
              <w:pStyle w:val="TableText"/>
              <w:cnfStyle w:val="000000000000" w:firstRow="0" w:lastRow="0" w:firstColumn="0" w:lastColumn="0" w:oddVBand="0" w:evenVBand="0" w:oddHBand="0" w:evenHBand="0" w:firstRowFirstColumn="0" w:firstRowLastColumn="0" w:lastRowFirstColumn="0" w:lastRowLastColumn="0"/>
            </w:pPr>
            <w:r w:rsidRPr="007A1075">
              <w:t>&lt;.001</w:t>
            </w:r>
          </w:p>
        </w:tc>
        <w:tc>
          <w:tcPr>
            <w:tcW w:w="1455" w:type="dxa"/>
            <w:noWrap/>
            <w:hideMark/>
          </w:tcPr>
          <w:p w14:paraId="4B8F8970" w14:textId="04515707" w:rsidR="00826536" w:rsidRPr="007A1075" w:rsidRDefault="00826536" w:rsidP="00826536">
            <w:pPr>
              <w:pStyle w:val="TableText"/>
              <w:cnfStyle w:val="000000000000" w:firstRow="0" w:lastRow="0" w:firstColumn="0" w:lastColumn="0" w:oddVBand="0" w:evenVBand="0" w:oddHBand="0" w:evenHBand="0" w:firstRowFirstColumn="0" w:firstRowLastColumn="0" w:lastRowFirstColumn="0" w:lastRowLastColumn="0"/>
            </w:pPr>
            <w:r w:rsidRPr="00E44990">
              <w:t>57.4% (n=2075)</w:t>
            </w:r>
          </w:p>
        </w:tc>
      </w:tr>
      <w:tr w:rsidR="00826536" w:rsidRPr="007A1075" w14:paraId="23771E32" w14:textId="77777777" w:rsidTr="0078378F">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122" w:type="dxa"/>
            <w:vMerge/>
            <w:tcBorders>
              <w:top w:val="none" w:sz="0" w:space="0" w:color="auto"/>
              <w:bottom w:val="none" w:sz="0" w:space="0" w:color="auto"/>
              <w:right w:val="none" w:sz="0" w:space="0" w:color="auto"/>
            </w:tcBorders>
            <w:hideMark/>
          </w:tcPr>
          <w:p w14:paraId="5D723B98" w14:textId="77777777" w:rsidR="00826536" w:rsidRPr="007A1075" w:rsidRDefault="00826536" w:rsidP="00826536">
            <w:pPr>
              <w:pStyle w:val="TableText"/>
            </w:pPr>
          </w:p>
        </w:tc>
        <w:tc>
          <w:tcPr>
            <w:tcW w:w="1407" w:type="dxa"/>
            <w:vMerge/>
            <w:tcBorders>
              <w:top w:val="none" w:sz="0" w:space="0" w:color="auto"/>
              <w:bottom w:val="none" w:sz="0" w:space="0" w:color="auto"/>
            </w:tcBorders>
            <w:hideMark/>
          </w:tcPr>
          <w:p w14:paraId="02651827" w14:textId="77777777" w:rsidR="00826536" w:rsidRPr="007A1075" w:rsidRDefault="00826536" w:rsidP="00826536">
            <w:pPr>
              <w:pStyle w:val="TableText"/>
              <w:cnfStyle w:val="000000100000" w:firstRow="0" w:lastRow="0" w:firstColumn="0" w:lastColumn="0" w:oddVBand="0" w:evenVBand="0" w:oddHBand="1" w:evenHBand="0" w:firstRowFirstColumn="0" w:firstRowLastColumn="0" w:lastRowFirstColumn="0" w:lastRowLastColumn="0"/>
            </w:pPr>
          </w:p>
        </w:tc>
        <w:tc>
          <w:tcPr>
            <w:tcW w:w="1697" w:type="dxa"/>
            <w:vMerge/>
            <w:tcBorders>
              <w:top w:val="none" w:sz="0" w:space="0" w:color="auto"/>
              <w:bottom w:val="none" w:sz="0" w:space="0" w:color="auto"/>
            </w:tcBorders>
            <w:hideMark/>
          </w:tcPr>
          <w:p w14:paraId="7B5C5327" w14:textId="77777777" w:rsidR="00826536" w:rsidRPr="007A1075" w:rsidRDefault="00826536" w:rsidP="00826536">
            <w:pPr>
              <w:pStyle w:val="TableText"/>
              <w:cnfStyle w:val="000000100000" w:firstRow="0" w:lastRow="0" w:firstColumn="0" w:lastColumn="0" w:oddVBand="0" w:evenVBand="0" w:oddHBand="1" w:evenHBand="0" w:firstRowFirstColumn="0" w:firstRowLastColumn="0" w:lastRowFirstColumn="0" w:lastRowLastColumn="0"/>
            </w:pPr>
          </w:p>
        </w:tc>
        <w:tc>
          <w:tcPr>
            <w:tcW w:w="3766" w:type="dxa"/>
            <w:tcBorders>
              <w:top w:val="none" w:sz="0" w:space="0" w:color="auto"/>
              <w:bottom w:val="none" w:sz="0" w:space="0" w:color="auto"/>
            </w:tcBorders>
            <w:noWrap/>
            <w:hideMark/>
          </w:tcPr>
          <w:p w14:paraId="1FEEE7D9" w14:textId="77777777" w:rsidR="00826536" w:rsidRPr="007A1075" w:rsidRDefault="00826536" w:rsidP="00826536">
            <w:pPr>
              <w:pStyle w:val="TableText"/>
              <w:cnfStyle w:val="000000100000" w:firstRow="0" w:lastRow="0" w:firstColumn="0" w:lastColumn="0" w:oddVBand="0" w:evenVBand="0" w:oddHBand="1" w:evenHBand="0" w:firstRowFirstColumn="0" w:firstRowLastColumn="0" w:lastRowFirstColumn="0" w:lastRowLastColumn="0"/>
            </w:pPr>
            <w:r w:rsidRPr="007A1075">
              <w:t>Changed impact of immediate crisis</w:t>
            </w:r>
          </w:p>
        </w:tc>
        <w:tc>
          <w:tcPr>
            <w:tcW w:w="1455" w:type="dxa"/>
            <w:tcBorders>
              <w:top w:val="none" w:sz="0" w:space="0" w:color="auto"/>
              <w:bottom w:val="none" w:sz="0" w:space="0" w:color="auto"/>
            </w:tcBorders>
            <w:noWrap/>
            <w:hideMark/>
          </w:tcPr>
          <w:p w14:paraId="2B4130CC" w14:textId="05982A0A" w:rsidR="00826536" w:rsidRPr="007A1075" w:rsidRDefault="00826536" w:rsidP="00826536">
            <w:pPr>
              <w:pStyle w:val="TableText"/>
              <w:cnfStyle w:val="000000100000" w:firstRow="0" w:lastRow="0" w:firstColumn="0" w:lastColumn="0" w:oddVBand="0" w:evenVBand="0" w:oddHBand="1" w:evenHBand="0" w:firstRowFirstColumn="0" w:firstRowLastColumn="0" w:lastRowFirstColumn="0" w:lastRowLastColumn="0"/>
            </w:pPr>
            <w:r w:rsidRPr="007A1075">
              <w:t>1.</w:t>
            </w:r>
            <w:r w:rsidR="00D7681F" w:rsidRPr="00A9677F">
              <w:t>17</w:t>
            </w:r>
          </w:p>
        </w:tc>
        <w:tc>
          <w:tcPr>
            <w:tcW w:w="1393" w:type="dxa"/>
            <w:tcBorders>
              <w:top w:val="none" w:sz="0" w:space="0" w:color="auto"/>
              <w:bottom w:val="none" w:sz="0" w:space="0" w:color="auto"/>
            </w:tcBorders>
            <w:noWrap/>
            <w:hideMark/>
          </w:tcPr>
          <w:p w14:paraId="7EF9C817" w14:textId="1BF32899" w:rsidR="00826536" w:rsidRPr="007A1075" w:rsidRDefault="00D7681F" w:rsidP="00826536">
            <w:pPr>
              <w:pStyle w:val="TableText"/>
              <w:cnfStyle w:val="000000100000" w:firstRow="0" w:lastRow="0" w:firstColumn="0" w:lastColumn="0" w:oddVBand="0" w:evenVBand="0" w:oddHBand="1" w:evenHBand="0" w:firstRowFirstColumn="0" w:firstRowLastColumn="0" w:lastRowFirstColumn="0" w:lastRowLastColumn="0"/>
            </w:pPr>
            <w:r w:rsidRPr="00A9677F">
              <w:t>197106</w:t>
            </w:r>
          </w:p>
        </w:tc>
        <w:tc>
          <w:tcPr>
            <w:tcW w:w="859" w:type="dxa"/>
            <w:tcBorders>
              <w:top w:val="none" w:sz="0" w:space="0" w:color="auto"/>
              <w:bottom w:val="none" w:sz="0" w:space="0" w:color="auto"/>
            </w:tcBorders>
            <w:noWrap/>
            <w:hideMark/>
          </w:tcPr>
          <w:p w14:paraId="4F7E0D38" w14:textId="7C785BA3" w:rsidR="00826536" w:rsidRPr="007A1075" w:rsidRDefault="00D7681F" w:rsidP="00826536">
            <w:pPr>
              <w:pStyle w:val="TableText"/>
              <w:cnfStyle w:val="000000100000" w:firstRow="0" w:lastRow="0" w:firstColumn="0" w:lastColumn="0" w:oddVBand="0" w:evenVBand="0" w:oddHBand="1" w:evenHBand="0" w:firstRowFirstColumn="0" w:firstRowLastColumn="0" w:lastRowFirstColumn="0" w:lastRowLastColumn="0"/>
            </w:pPr>
            <w:r w:rsidRPr="00A9677F">
              <w:t>2643</w:t>
            </w:r>
          </w:p>
        </w:tc>
        <w:tc>
          <w:tcPr>
            <w:tcW w:w="790" w:type="dxa"/>
            <w:tcBorders>
              <w:top w:val="none" w:sz="0" w:space="0" w:color="auto"/>
              <w:bottom w:val="none" w:sz="0" w:space="0" w:color="auto"/>
            </w:tcBorders>
            <w:noWrap/>
            <w:hideMark/>
          </w:tcPr>
          <w:p w14:paraId="31CE08B8" w14:textId="77777777" w:rsidR="00826536" w:rsidRPr="007A1075" w:rsidRDefault="00826536" w:rsidP="00826536">
            <w:pPr>
              <w:pStyle w:val="TableText"/>
              <w:cnfStyle w:val="000000100000" w:firstRow="0" w:lastRow="0" w:firstColumn="0" w:lastColumn="0" w:oddVBand="0" w:evenVBand="0" w:oddHBand="1" w:evenHBand="0" w:firstRowFirstColumn="0" w:firstRowLastColumn="0" w:lastRowFirstColumn="0" w:lastRowLastColumn="0"/>
            </w:pPr>
            <w:r w:rsidRPr="007A1075">
              <w:t>&lt;.001</w:t>
            </w:r>
          </w:p>
        </w:tc>
        <w:tc>
          <w:tcPr>
            <w:tcW w:w="1455" w:type="dxa"/>
            <w:tcBorders>
              <w:top w:val="none" w:sz="0" w:space="0" w:color="auto"/>
              <w:bottom w:val="none" w:sz="0" w:space="0" w:color="auto"/>
            </w:tcBorders>
            <w:noWrap/>
            <w:hideMark/>
          </w:tcPr>
          <w:p w14:paraId="4831397C" w14:textId="08045807" w:rsidR="00826536" w:rsidRPr="007A1075" w:rsidRDefault="00826536" w:rsidP="00826536">
            <w:pPr>
              <w:pStyle w:val="TableText"/>
              <w:cnfStyle w:val="000000100000" w:firstRow="0" w:lastRow="0" w:firstColumn="0" w:lastColumn="0" w:oddVBand="0" w:evenVBand="0" w:oddHBand="1" w:evenHBand="0" w:firstRowFirstColumn="0" w:firstRowLastColumn="0" w:lastRowFirstColumn="0" w:lastRowLastColumn="0"/>
            </w:pPr>
            <w:r w:rsidRPr="00E44990">
              <w:t>67.4% (n=1781)</w:t>
            </w:r>
          </w:p>
        </w:tc>
      </w:tr>
      <w:tr w:rsidR="00826536" w:rsidRPr="007A1075" w14:paraId="701B0F9F" w14:textId="77777777" w:rsidTr="0078378F">
        <w:trPr>
          <w:trHeight w:val="290"/>
        </w:trPr>
        <w:tc>
          <w:tcPr>
            <w:cnfStyle w:val="001000000000" w:firstRow="0" w:lastRow="0" w:firstColumn="1" w:lastColumn="0" w:oddVBand="0" w:evenVBand="0" w:oddHBand="0" w:evenHBand="0" w:firstRowFirstColumn="0" w:firstRowLastColumn="0" w:lastRowFirstColumn="0" w:lastRowLastColumn="0"/>
            <w:tcW w:w="1122" w:type="dxa"/>
            <w:vMerge/>
            <w:tcBorders>
              <w:right w:val="none" w:sz="0" w:space="0" w:color="auto"/>
            </w:tcBorders>
            <w:hideMark/>
          </w:tcPr>
          <w:p w14:paraId="2BCE16F8" w14:textId="77777777" w:rsidR="00826536" w:rsidRPr="007A1075" w:rsidRDefault="00826536" w:rsidP="00826536">
            <w:pPr>
              <w:pStyle w:val="TableText"/>
            </w:pPr>
          </w:p>
        </w:tc>
        <w:tc>
          <w:tcPr>
            <w:tcW w:w="1407" w:type="dxa"/>
            <w:vMerge/>
            <w:hideMark/>
          </w:tcPr>
          <w:p w14:paraId="1C53E16B" w14:textId="77777777" w:rsidR="00826536" w:rsidRPr="007A1075" w:rsidRDefault="00826536" w:rsidP="00826536">
            <w:pPr>
              <w:pStyle w:val="TableText"/>
              <w:cnfStyle w:val="000000000000" w:firstRow="0" w:lastRow="0" w:firstColumn="0" w:lastColumn="0" w:oddVBand="0" w:evenVBand="0" w:oddHBand="0" w:evenHBand="0" w:firstRowFirstColumn="0" w:firstRowLastColumn="0" w:lastRowFirstColumn="0" w:lastRowLastColumn="0"/>
            </w:pPr>
          </w:p>
        </w:tc>
        <w:tc>
          <w:tcPr>
            <w:tcW w:w="1697" w:type="dxa"/>
            <w:vMerge/>
            <w:hideMark/>
          </w:tcPr>
          <w:p w14:paraId="58FB779F" w14:textId="77777777" w:rsidR="00826536" w:rsidRPr="007A1075" w:rsidRDefault="00826536" w:rsidP="00826536">
            <w:pPr>
              <w:pStyle w:val="TableText"/>
              <w:cnfStyle w:val="000000000000" w:firstRow="0" w:lastRow="0" w:firstColumn="0" w:lastColumn="0" w:oddVBand="0" w:evenVBand="0" w:oddHBand="0" w:evenHBand="0" w:firstRowFirstColumn="0" w:firstRowLastColumn="0" w:lastRowFirstColumn="0" w:lastRowLastColumn="0"/>
            </w:pPr>
          </w:p>
        </w:tc>
        <w:tc>
          <w:tcPr>
            <w:tcW w:w="3766" w:type="dxa"/>
            <w:noWrap/>
            <w:hideMark/>
          </w:tcPr>
          <w:p w14:paraId="4228FFFB" w14:textId="77777777" w:rsidR="00826536" w:rsidRPr="007A1075" w:rsidRDefault="00826536" w:rsidP="00826536">
            <w:pPr>
              <w:pStyle w:val="TableText"/>
              <w:cnfStyle w:val="000000000000" w:firstRow="0" w:lastRow="0" w:firstColumn="0" w:lastColumn="0" w:oddVBand="0" w:evenVBand="0" w:oddHBand="0" w:evenHBand="0" w:firstRowFirstColumn="0" w:firstRowLastColumn="0" w:lastRowFirstColumn="0" w:lastRowLastColumn="0"/>
            </w:pPr>
            <w:r w:rsidRPr="007A1075">
              <w:t>Changed knowledge and access to information</w:t>
            </w:r>
          </w:p>
        </w:tc>
        <w:tc>
          <w:tcPr>
            <w:tcW w:w="1455" w:type="dxa"/>
            <w:noWrap/>
            <w:hideMark/>
          </w:tcPr>
          <w:p w14:paraId="39F10545" w14:textId="72CB71FA" w:rsidR="00826536" w:rsidRPr="007A1075" w:rsidRDefault="00826536" w:rsidP="00826536">
            <w:pPr>
              <w:pStyle w:val="TableText"/>
              <w:cnfStyle w:val="000000000000" w:firstRow="0" w:lastRow="0" w:firstColumn="0" w:lastColumn="0" w:oddVBand="0" w:evenVBand="0" w:oddHBand="0" w:evenHBand="0" w:firstRowFirstColumn="0" w:firstRowLastColumn="0" w:lastRowFirstColumn="0" w:lastRowLastColumn="0"/>
            </w:pPr>
            <w:r w:rsidRPr="007A1075">
              <w:t>1.</w:t>
            </w:r>
            <w:r w:rsidR="00D7681F" w:rsidRPr="00A9677F">
              <w:t>07</w:t>
            </w:r>
          </w:p>
        </w:tc>
        <w:tc>
          <w:tcPr>
            <w:tcW w:w="1393" w:type="dxa"/>
            <w:noWrap/>
            <w:hideMark/>
          </w:tcPr>
          <w:p w14:paraId="6E63EDAC" w14:textId="19B7B413" w:rsidR="00826536" w:rsidRPr="007A1075" w:rsidRDefault="00D7681F" w:rsidP="00826536">
            <w:pPr>
              <w:pStyle w:val="TableText"/>
              <w:cnfStyle w:val="000000000000" w:firstRow="0" w:lastRow="0" w:firstColumn="0" w:lastColumn="0" w:oddVBand="0" w:evenVBand="0" w:oddHBand="0" w:evenHBand="0" w:firstRowFirstColumn="0" w:firstRowLastColumn="0" w:lastRowFirstColumn="0" w:lastRowLastColumn="0"/>
            </w:pPr>
            <w:r w:rsidRPr="00A9677F">
              <w:t>533072</w:t>
            </w:r>
          </w:p>
        </w:tc>
        <w:tc>
          <w:tcPr>
            <w:tcW w:w="859" w:type="dxa"/>
            <w:noWrap/>
            <w:hideMark/>
          </w:tcPr>
          <w:p w14:paraId="0AA1D5E0" w14:textId="07744B18" w:rsidR="00826536" w:rsidRPr="007A1075" w:rsidRDefault="00D7681F" w:rsidP="00826536">
            <w:pPr>
              <w:pStyle w:val="TableText"/>
              <w:cnfStyle w:val="000000000000" w:firstRow="0" w:lastRow="0" w:firstColumn="0" w:lastColumn="0" w:oddVBand="0" w:evenVBand="0" w:oddHBand="0" w:evenHBand="0" w:firstRowFirstColumn="0" w:firstRowLastColumn="0" w:lastRowFirstColumn="0" w:lastRowLastColumn="0"/>
            </w:pPr>
            <w:r w:rsidRPr="00A9677F">
              <w:t>4051</w:t>
            </w:r>
          </w:p>
        </w:tc>
        <w:tc>
          <w:tcPr>
            <w:tcW w:w="790" w:type="dxa"/>
            <w:noWrap/>
            <w:hideMark/>
          </w:tcPr>
          <w:p w14:paraId="7D96A58C" w14:textId="77777777" w:rsidR="00826536" w:rsidRPr="007A1075" w:rsidRDefault="00826536" w:rsidP="00826536">
            <w:pPr>
              <w:pStyle w:val="TableText"/>
              <w:cnfStyle w:val="000000000000" w:firstRow="0" w:lastRow="0" w:firstColumn="0" w:lastColumn="0" w:oddVBand="0" w:evenVBand="0" w:oddHBand="0" w:evenHBand="0" w:firstRowFirstColumn="0" w:firstRowLastColumn="0" w:lastRowFirstColumn="0" w:lastRowLastColumn="0"/>
            </w:pPr>
            <w:r w:rsidRPr="007A1075">
              <w:t>&lt;.001</w:t>
            </w:r>
          </w:p>
        </w:tc>
        <w:tc>
          <w:tcPr>
            <w:tcW w:w="1455" w:type="dxa"/>
            <w:noWrap/>
            <w:hideMark/>
          </w:tcPr>
          <w:p w14:paraId="1759EE63" w14:textId="13E9ADF8" w:rsidR="00826536" w:rsidRPr="007A1075" w:rsidRDefault="00826536" w:rsidP="00826536">
            <w:pPr>
              <w:pStyle w:val="TableText"/>
              <w:cnfStyle w:val="000000000000" w:firstRow="0" w:lastRow="0" w:firstColumn="0" w:lastColumn="0" w:oddVBand="0" w:evenVBand="0" w:oddHBand="0" w:evenHBand="0" w:firstRowFirstColumn="0" w:firstRowLastColumn="0" w:lastRowFirstColumn="0" w:lastRowLastColumn="0"/>
            </w:pPr>
            <w:r w:rsidRPr="00E44990">
              <w:t>63.7% (n=2582)</w:t>
            </w:r>
          </w:p>
        </w:tc>
      </w:tr>
      <w:tr w:rsidR="00826536" w:rsidRPr="007A1075" w14:paraId="2E53381C" w14:textId="77777777" w:rsidTr="0078378F">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122" w:type="dxa"/>
            <w:vMerge/>
            <w:tcBorders>
              <w:top w:val="none" w:sz="0" w:space="0" w:color="auto"/>
              <w:bottom w:val="none" w:sz="0" w:space="0" w:color="auto"/>
              <w:right w:val="none" w:sz="0" w:space="0" w:color="auto"/>
            </w:tcBorders>
            <w:hideMark/>
          </w:tcPr>
          <w:p w14:paraId="593347C9" w14:textId="77777777" w:rsidR="00826536" w:rsidRPr="007A1075" w:rsidRDefault="00826536" w:rsidP="00826536">
            <w:pPr>
              <w:pStyle w:val="TableText"/>
            </w:pPr>
          </w:p>
        </w:tc>
        <w:tc>
          <w:tcPr>
            <w:tcW w:w="1407" w:type="dxa"/>
            <w:vMerge/>
            <w:tcBorders>
              <w:top w:val="none" w:sz="0" w:space="0" w:color="auto"/>
              <w:bottom w:val="none" w:sz="0" w:space="0" w:color="auto"/>
            </w:tcBorders>
            <w:hideMark/>
          </w:tcPr>
          <w:p w14:paraId="1F55E222" w14:textId="77777777" w:rsidR="00826536" w:rsidRPr="007A1075" w:rsidRDefault="00826536" w:rsidP="00826536">
            <w:pPr>
              <w:pStyle w:val="TableText"/>
              <w:cnfStyle w:val="000000100000" w:firstRow="0" w:lastRow="0" w:firstColumn="0" w:lastColumn="0" w:oddVBand="0" w:evenVBand="0" w:oddHBand="1" w:evenHBand="0" w:firstRowFirstColumn="0" w:firstRowLastColumn="0" w:lastRowFirstColumn="0" w:lastRowLastColumn="0"/>
            </w:pPr>
          </w:p>
        </w:tc>
        <w:tc>
          <w:tcPr>
            <w:tcW w:w="1697" w:type="dxa"/>
            <w:vMerge/>
            <w:tcBorders>
              <w:top w:val="none" w:sz="0" w:space="0" w:color="auto"/>
              <w:bottom w:val="none" w:sz="0" w:space="0" w:color="auto"/>
            </w:tcBorders>
            <w:hideMark/>
          </w:tcPr>
          <w:p w14:paraId="3CD0EC59" w14:textId="77777777" w:rsidR="00826536" w:rsidRPr="007A1075" w:rsidRDefault="00826536" w:rsidP="00826536">
            <w:pPr>
              <w:pStyle w:val="TableText"/>
              <w:cnfStyle w:val="000000100000" w:firstRow="0" w:lastRow="0" w:firstColumn="0" w:lastColumn="0" w:oddVBand="0" w:evenVBand="0" w:oddHBand="1" w:evenHBand="0" w:firstRowFirstColumn="0" w:firstRowLastColumn="0" w:lastRowFirstColumn="0" w:lastRowLastColumn="0"/>
            </w:pPr>
          </w:p>
        </w:tc>
        <w:tc>
          <w:tcPr>
            <w:tcW w:w="3766" w:type="dxa"/>
            <w:tcBorders>
              <w:top w:val="none" w:sz="0" w:space="0" w:color="auto"/>
              <w:bottom w:val="none" w:sz="0" w:space="0" w:color="auto"/>
            </w:tcBorders>
            <w:noWrap/>
            <w:hideMark/>
          </w:tcPr>
          <w:p w14:paraId="3607DC70" w14:textId="77777777" w:rsidR="00826536" w:rsidRPr="007A1075" w:rsidRDefault="00826536" w:rsidP="00826536">
            <w:pPr>
              <w:pStyle w:val="TableText"/>
              <w:cnfStyle w:val="000000100000" w:firstRow="0" w:lastRow="0" w:firstColumn="0" w:lastColumn="0" w:oddVBand="0" w:evenVBand="0" w:oddHBand="1" w:evenHBand="0" w:firstRowFirstColumn="0" w:firstRowLastColumn="0" w:lastRowFirstColumn="0" w:lastRowLastColumn="0"/>
            </w:pPr>
            <w:r w:rsidRPr="007A1075">
              <w:t>Changed skills</w:t>
            </w:r>
          </w:p>
        </w:tc>
        <w:tc>
          <w:tcPr>
            <w:tcW w:w="1455" w:type="dxa"/>
            <w:tcBorders>
              <w:top w:val="none" w:sz="0" w:space="0" w:color="auto"/>
              <w:bottom w:val="none" w:sz="0" w:space="0" w:color="auto"/>
            </w:tcBorders>
            <w:noWrap/>
            <w:hideMark/>
          </w:tcPr>
          <w:p w14:paraId="66A080D0" w14:textId="7CE2048D" w:rsidR="00826536" w:rsidRPr="007A1075" w:rsidRDefault="00D7681F" w:rsidP="00826536">
            <w:pPr>
              <w:pStyle w:val="TableText"/>
              <w:cnfStyle w:val="000000100000" w:firstRow="0" w:lastRow="0" w:firstColumn="0" w:lastColumn="0" w:oddVBand="0" w:evenVBand="0" w:oddHBand="1" w:evenHBand="0" w:firstRowFirstColumn="0" w:firstRowLastColumn="0" w:lastRowFirstColumn="0" w:lastRowLastColumn="0"/>
            </w:pPr>
            <w:r w:rsidRPr="00A9677F">
              <w:t>0.93</w:t>
            </w:r>
          </w:p>
        </w:tc>
        <w:tc>
          <w:tcPr>
            <w:tcW w:w="1393" w:type="dxa"/>
            <w:tcBorders>
              <w:top w:val="none" w:sz="0" w:space="0" w:color="auto"/>
              <w:bottom w:val="none" w:sz="0" w:space="0" w:color="auto"/>
            </w:tcBorders>
            <w:noWrap/>
            <w:hideMark/>
          </w:tcPr>
          <w:p w14:paraId="367A9A62" w14:textId="6F5C168D" w:rsidR="00826536" w:rsidRPr="007A1075" w:rsidRDefault="00D7681F" w:rsidP="00826536">
            <w:pPr>
              <w:pStyle w:val="TableText"/>
              <w:cnfStyle w:val="000000100000" w:firstRow="0" w:lastRow="0" w:firstColumn="0" w:lastColumn="0" w:oddVBand="0" w:evenVBand="0" w:oddHBand="1" w:evenHBand="0" w:firstRowFirstColumn="0" w:firstRowLastColumn="0" w:lastRowFirstColumn="0" w:lastRowLastColumn="0"/>
            </w:pPr>
            <w:r w:rsidRPr="00A9677F">
              <w:t>530439.5</w:t>
            </w:r>
          </w:p>
        </w:tc>
        <w:tc>
          <w:tcPr>
            <w:tcW w:w="859" w:type="dxa"/>
            <w:tcBorders>
              <w:top w:val="none" w:sz="0" w:space="0" w:color="auto"/>
              <w:bottom w:val="none" w:sz="0" w:space="0" w:color="auto"/>
            </w:tcBorders>
            <w:noWrap/>
            <w:hideMark/>
          </w:tcPr>
          <w:p w14:paraId="18816DE2" w14:textId="762FF8E0" w:rsidR="00826536" w:rsidRPr="007A1075" w:rsidRDefault="00D7681F" w:rsidP="00826536">
            <w:pPr>
              <w:pStyle w:val="TableText"/>
              <w:cnfStyle w:val="000000100000" w:firstRow="0" w:lastRow="0" w:firstColumn="0" w:lastColumn="0" w:oddVBand="0" w:evenVBand="0" w:oddHBand="1" w:evenHBand="0" w:firstRowFirstColumn="0" w:firstRowLastColumn="0" w:lastRowFirstColumn="0" w:lastRowLastColumn="0"/>
            </w:pPr>
            <w:r w:rsidRPr="00A9677F">
              <w:t>3680</w:t>
            </w:r>
          </w:p>
        </w:tc>
        <w:tc>
          <w:tcPr>
            <w:tcW w:w="790" w:type="dxa"/>
            <w:tcBorders>
              <w:top w:val="none" w:sz="0" w:space="0" w:color="auto"/>
              <w:bottom w:val="none" w:sz="0" w:space="0" w:color="auto"/>
            </w:tcBorders>
            <w:noWrap/>
            <w:hideMark/>
          </w:tcPr>
          <w:p w14:paraId="38612722" w14:textId="77777777" w:rsidR="00826536" w:rsidRPr="007A1075" w:rsidRDefault="00826536" w:rsidP="00826536">
            <w:pPr>
              <w:pStyle w:val="TableText"/>
              <w:cnfStyle w:val="000000100000" w:firstRow="0" w:lastRow="0" w:firstColumn="0" w:lastColumn="0" w:oddVBand="0" w:evenVBand="0" w:oddHBand="1" w:evenHBand="0" w:firstRowFirstColumn="0" w:firstRowLastColumn="0" w:lastRowFirstColumn="0" w:lastRowLastColumn="0"/>
            </w:pPr>
            <w:r w:rsidRPr="007A1075">
              <w:t>&lt;.001</w:t>
            </w:r>
          </w:p>
        </w:tc>
        <w:tc>
          <w:tcPr>
            <w:tcW w:w="1455" w:type="dxa"/>
            <w:tcBorders>
              <w:top w:val="none" w:sz="0" w:space="0" w:color="auto"/>
              <w:bottom w:val="none" w:sz="0" w:space="0" w:color="auto"/>
            </w:tcBorders>
            <w:noWrap/>
            <w:hideMark/>
          </w:tcPr>
          <w:p w14:paraId="02270764" w14:textId="7D734905" w:rsidR="00826536" w:rsidRPr="007A1075" w:rsidRDefault="00826536" w:rsidP="00826536">
            <w:pPr>
              <w:pStyle w:val="TableText"/>
              <w:cnfStyle w:val="000000100000" w:firstRow="0" w:lastRow="0" w:firstColumn="0" w:lastColumn="0" w:oddVBand="0" w:evenVBand="0" w:oddHBand="1" w:evenHBand="0" w:firstRowFirstColumn="0" w:firstRowLastColumn="0" w:lastRowFirstColumn="0" w:lastRowLastColumn="0"/>
            </w:pPr>
            <w:r w:rsidRPr="00E44990">
              <w:t>59.0% (n=2171)</w:t>
            </w:r>
          </w:p>
        </w:tc>
      </w:tr>
      <w:tr w:rsidR="00826536" w:rsidRPr="007A1075" w14:paraId="557C2942" w14:textId="77777777" w:rsidTr="0078378F">
        <w:trPr>
          <w:trHeight w:val="290"/>
        </w:trPr>
        <w:tc>
          <w:tcPr>
            <w:cnfStyle w:val="001000000000" w:firstRow="0" w:lastRow="0" w:firstColumn="1" w:lastColumn="0" w:oddVBand="0" w:evenVBand="0" w:oddHBand="0" w:evenHBand="0" w:firstRowFirstColumn="0" w:firstRowLastColumn="0" w:lastRowFirstColumn="0" w:lastRowLastColumn="0"/>
            <w:tcW w:w="1122" w:type="dxa"/>
            <w:vMerge/>
            <w:tcBorders>
              <w:right w:val="none" w:sz="0" w:space="0" w:color="auto"/>
            </w:tcBorders>
            <w:hideMark/>
          </w:tcPr>
          <w:p w14:paraId="499C472A" w14:textId="77777777" w:rsidR="00826536" w:rsidRPr="007A1075" w:rsidRDefault="00826536" w:rsidP="00826536">
            <w:pPr>
              <w:pStyle w:val="TableText"/>
            </w:pPr>
          </w:p>
        </w:tc>
        <w:tc>
          <w:tcPr>
            <w:tcW w:w="1407" w:type="dxa"/>
            <w:vMerge/>
            <w:hideMark/>
          </w:tcPr>
          <w:p w14:paraId="0B63018F" w14:textId="77777777" w:rsidR="00826536" w:rsidRPr="007A1075" w:rsidRDefault="00826536" w:rsidP="00826536">
            <w:pPr>
              <w:pStyle w:val="TableText"/>
              <w:cnfStyle w:val="000000000000" w:firstRow="0" w:lastRow="0" w:firstColumn="0" w:lastColumn="0" w:oddVBand="0" w:evenVBand="0" w:oddHBand="0" w:evenHBand="0" w:firstRowFirstColumn="0" w:firstRowLastColumn="0" w:lastRowFirstColumn="0" w:lastRowLastColumn="0"/>
            </w:pPr>
          </w:p>
        </w:tc>
        <w:tc>
          <w:tcPr>
            <w:tcW w:w="1697" w:type="dxa"/>
            <w:vMerge/>
            <w:hideMark/>
          </w:tcPr>
          <w:p w14:paraId="703F829E" w14:textId="77777777" w:rsidR="00826536" w:rsidRPr="007A1075" w:rsidRDefault="00826536" w:rsidP="00826536">
            <w:pPr>
              <w:pStyle w:val="TableText"/>
              <w:cnfStyle w:val="000000000000" w:firstRow="0" w:lastRow="0" w:firstColumn="0" w:lastColumn="0" w:oddVBand="0" w:evenVBand="0" w:oddHBand="0" w:evenHBand="0" w:firstRowFirstColumn="0" w:firstRowLastColumn="0" w:lastRowFirstColumn="0" w:lastRowLastColumn="0"/>
            </w:pPr>
          </w:p>
        </w:tc>
        <w:tc>
          <w:tcPr>
            <w:tcW w:w="3766" w:type="dxa"/>
            <w:noWrap/>
            <w:hideMark/>
          </w:tcPr>
          <w:p w14:paraId="4F82E607" w14:textId="77777777" w:rsidR="00826536" w:rsidRPr="007A1075" w:rsidRDefault="00826536" w:rsidP="00826536">
            <w:pPr>
              <w:pStyle w:val="TableText"/>
              <w:cnfStyle w:val="000000000000" w:firstRow="0" w:lastRow="0" w:firstColumn="0" w:lastColumn="0" w:oddVBand="0" w:evenVBand="0" w:oddHBand="0" w:evenHBand="0" w:firstRowFirstColumn="0" w:firstRowLastColumn="0" w:lastRowFirstColumn="0" w:lastRowLastColumn="0"/>
            </w:pPr>
            <w:r w:rsidRPr="57F92EFB">
              <w:rPr>
                <w:lang w:val="en-NZ"/>
              </w:rPr>
              <w:t>Empowerment, choice and control to make own decisions</w:t>
            </w:r>
          </w:p>
        </w:tc>
        <w:tc>
          <w:tcPr>
            <w:tcW w:w="1455" w:type="dxa"/>
            <w:noWrap/>
            <w:hideMark/>
          </w:tcPr>
          <w:p w14:paraId="6BBF737B" w14:textId="5E3A3D50" w:rsidR="00826536" w:rsidRPr="007A1075" w:rsidRDefault="00D7681F" w:rsidP="00826536">
            <w:pPr>
              <w:pStyle w:val="TableText"/>
              <w:cnfStyle w:val="000000000000" w:firstRow="0" w:lastRow="0" w:firstColumn="0" w:lastColumn="0" w:oddVBand="0" w:evenVBand="0" w:oddHBand="0" w:evenHBand="0" w:firstRowFirstColumn="0" w:firstRowLastColumn="0" w:lastRowFirstColumn="0" w:lastRowLastColumn="0"/>
            </w:pPr>
            <w:r w:rsidRPr="00A9677F">
              <w:t>1.06</w:t>
            </w:r>
          </w:p>
        </w:tc>
        <w:tc>
          <w:tcPr>
            <w:tcW w:w="1393" w:type="dxa"/>
            <w:noWrap/>
            <w:hideMark/>
          </w:tcPr>
          <w:p w14:paraId="2ABE26D4" w14:textId="202C590F" w:rsidR="00826536" w:rsidRPr="007A1075" w:rsidRDefault="00D7681F" w:rsidP="00826536">
            <w:pPr>
              <w:pStyle w:val="TableText"/>
              <w:cnfStyle w:val="000000000000" w:firstRow="0" w:lastRow="0" w:firstColumn="0" w:lastColumn="0" w:oddVBand="0" w:evenVBand="0" w:oddHBand="0" w:evenHBand="0" w:firstRowFirstColumn="0" w:firstRowLastColumn="0" w:lastRowFirstColumn="0" w:lastRowLastColumn="0"/>
            </w:pPr>
            <w:r w:rsidRPr="00A9677F">
              <w:t>569636</w:t>
            </w:r>
          </w:p>
        </w:tc>
        <w:tc>
          <w:tcPr>
            <w:tcW w:w="859" w:type="dxa"/>
            <w:noWrap/>
            <w:hideMark/>
          </w:tcPr>
          <w:p w14:paraId="5BE45148" w14:textId="7B757089" w:rsidR="00826536" w:rsidRPr="007A1075" w:rsidRDefault="00D7681F" w:rsidP="00826536">
            <w:pPr>
              <w:pStyle w:val="TableText"/>
              <w:cnfStyle w:val="000000000000" w:firstRow="0" w:lastRow="0" w:firstColumn="0" w:lastColumn="0" w:oddVBand="0" w:evenVBand="0" w:oddHBand="0" w:evenHBand="0" w:firstRowFirstColumn="0" w:firstRowLastColumn="0" w:lastRowFirstColumn="0" w:lastRowLastColumn="0"/>
            </w:pPr>
            <w:r w:rsidRPr="00A9677F">
              <w:t>3982</w:t>
            </w:r>
          </w:p>
        </w:tc>
        <w:tc>
          <w:tcPr>
            <w:tcW w:w="790" w:type="dxa"/>
            <w:noWrap/>
            <w:hideMark/>
          </w:tcPr>
          <w:p w14:paraId="610F0ED2" w14:textId="77777777" w:rsidR="00826536" w:rsidRPr="007A1075" w:rsidRDefault="00826536" w:rsidP="00826536">
            <w:pPr>
              <w:pStyle w:val="TableText"/>
              <w:cnfStyle w:val="000000000000" w:firstRow="0" w:lastRow="0" w:firstColumn="0" w:lastColumn="0" w:oddVBand="0" w:evenVBand="0" w:oddHBand="0" w:evenHBand="0" w:firstRowFirstColumn="0" w:firstRowLastColumn="0" w:lastRowFirstColumn="0" w:lastRowLastColumn="0"/>
            </w:pPr>
            <w:r w:rsidRPr="007A1075">
              <w:t>&lt;.001</w:t>
            </w:r>
          </w:p>
        </w:tc>
        <w:tc>
          <w:tcPr>
            <w:tcW w:w="1455" w:type="dxa"/>
            <w:noWrap/>
            <w:hideMark/>
          </w:tcPr>
          <w:p w14:paraId="19B87C10" w14:textId="14678082" w:rsidR="00826536" w:rsidRPr="007A1075" w:rsidRDefault="00826536" w:rsidP="00826536">
            <w:pPr>
              <w:pStyle w:val="TableText"/>
              <w:cnfStyle w:val="000000000000" w:firstRow="0" w:lastRow="0" w:firstColumn="0" w:lastColumn="0" w:oddVBand="0" w:evenVBand="0" w:oddHBand="0" w:evenHBand="0" w:firstRowFirstColumn="0" w:firstRowLastColumn="0" w:lastRowFirstColumn="0" w:lastRowLastColumn="0"/>
            </w:pPr>
            <w:r w:rsidRPr="00E44990">
              <w:t>62.6% (n=2491)</w:t>
            </w:r>
          </w:p>
        </w:tc>
      </w:tr>
      <w:tr w:rsidR="00826536" w:rsidRPr="007A1075" w14:paraId="722618E1" w14:textId="77777777" w:rsidTr="0078378F">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122" w:type="dxa"/>
            <w:vMerge/>
            <w:tcBorders>
              <w:top w:val="none" w:sz="0" w:space="0" w:color="auto"/>
              <w:bottom w:val="none" w:sz="0" w:space="0" w:color="auto"/>
              <w:right w:val="none" w:sz="0" w:space="0" w:color="auto"/>
            </w:tcBorders>
            <w:hideMark/>
          </w:tcPr>
          <w:p w14:paraId="1747B2B4" w14:textId="77777777" w:rsidR="00826536" w:rsidRPr="007A1075" w:rsidRDefault="00826536" w:rsidP="00826536">
            <w:pPr>
              <w:pStyle w:val="TableText"/>
            </w:pPr>
          </w:p>
        </w:tc>
        <w:tc>
          <w:tcPr>
            <w:tcW w:w="1407" w:type="dxa"/>
            <w:vMerge/>
            <w:tcBorders>
              <w:top w:val="none" w:sz="0" w:space="0" w:color="auto"/>
              <w:bottom w:val="none" w:sz="0" w:space="0" w:color="auto"/>
            </w:tcBorders>
            <w:hideMark/>
          </w:tcPr>
          <w:p w14:paraId="349F622E" w14:textId="77777777" w:rsidR="00826536" w:rsidRPr="007A1075" w:rsidRDefault="00826536" w:rsidP="00826536">
            <w:pPr>
              <w:pStyle w:val="TableText"/>
              <w:cnfStyle w:val="000000100000" w:firstRow="0" w:lastRow="0" w:firstColumn="0" w:lastColumn="0" w:oddVBand="0" w:evenVBand="0" w:oddHBand="1" w:evenHBand="0" w:firstRowFirstColumn="0" w:firstRowLastColumn="0" w:lastRowFirstColumn="0" w:lastRowLastColumn="0"/>
            </w:pPr>
          </w:p>
        </w:tc>
        <w:tc>
          <w:tcPr>
            <w:tcW w:w="1697" w:type="dxa"/>
            <w:vMerge/>
            <w:tcBorders>
              <w:top w:val="none" w:sz="0" w:space="0" w:color="auto"/>
              <w:bottom w:val="none" w:sz="0" w:space="0" w:color="auto"/>
            </w:tcBorders>
            <w:hideMark/>
          </w:tcPr>
          <w:p w14:paraId="618660CA" w14:textId="77777777" w:rsidR="00826536" w:rsidRPr="007A1075" w:rsidRDefault="00826536" w:rsidP="00826536">
            <w:pPr>
              <w:pStyle w:val="TableText"/>
              <w:cnfStyle w:val="000000100000" w:firstRow="0" w:lastRow="0" w:firstColumn="0" w:lastColumn="0" w:oddVBand="0" w:evenVBand="0" w:oddHBand="1" w:evenHBand="0" w:firstRowFirstColumn="0" w:firstRowLastColumn="0" w:lastRowFirstColumn="0" w:lastRowLastColumn="0"/>
            </w:pPr>
          </w:p>
        </w:tc>
        <w:tc>
          <w:tcPr>
            <w:tcW w:w="3766" w:type="dxa"/>
            <w:tcBorders>
              <w:top w:val="none" w:sz="0" w:space="0" w:color="auto"/>
              <w:bottom w:val="none" w:sz="0" w:space="0" w:color="auto"/>
            </w:tcBorders>
            <w:noWrap/>
            <w:hideMark/>
          </w:tcPr>
          <w:p w14:paraId="7B3C1CAA" w14:textId="77777777" w:rsidR="00826536" w:rsidRPr="007A1075" w:rsidRDefault="00826536" w:rsidP="00826536">
            <w:pPr>
              <w:pStyle w:val="TableText"/>
              <w:cnfStyle w:val="000000100000" w:firstRow="0" w:lastRow="0" w:firstColumn="0" w:lastColumn="0" w:oddVBand="0" w:evenVBand="0" w:oddHBand="1" w:evenHBand="0" w:firstRowFirstColumn="0" w:firstRowLastColumn="0" w:lastRowFirstColumn="0" w:lastRowLastColumn="0"/>
            </w:pPr>
            <w:r w:rsidRPr="007A1075">
              <w:t>Engagement with relevant support services</w:t>
            </w:r>
          </w:p>
        </w:tc>
        <w:tc>
          <w:tcPr>
            <w:tcW w:w="1455" w:type="dxa"/>
            <w:tcBorders>
              <w:top w:val="none" w:sz="0" w:space="0" w:color="auto"/>
              <w:bottom w:val="none" w:sz="0" w:space="0" w:color="auto"/>
            </w:tcBorders>
            <w:noWrap/>
            <w:hideMark/>
          </w:tcPr>
          <w:p w14:paraId="4C24AC8E" w14:textId="1ADDFA3F" w:rsidR="00826536" w:rsidRPr="007A1075" w:rsidRDefault="00826536" w:rsidP="00826536">
            <w:pPr>
              <w:pStyle w:val="TableText"/>
              <w:cnfStyle w:val="000000100000" w:firstRow="0" w:lastRow="0" w:firstColumn="0" w:lastColumn="0" w:oddVBand="0" w:evenVBand="0" w:oddHBand="1" w:evenHBand="0" w:firstRowFirstColumn="0" w:firstRowLastColumn="0" w:lastRowFirstColumn="0" w:lastRowLastColumn="0"/>
            </w:pPr>
            <w:r w:rsidRPr="007A1075">
              <w:t>0.</w:t>
            </w:r>
            <w:r w:rsidR="00D7681F" w:rsidRPr="00A9677F">
              <w:t>96</w:t>
            </w:r>
          </w:p>
        </w:tc>
        <w:tc>
          <w:tcPr>
            <w:tcW w:w="1393" w:type="dxa"/>
            <w:tcBorders>
              <w:top w:val="none" w:sz="0" w:space="0" w:color="auto"/>
              <w:bottom w:val="none" w:sz="0" w:space="0" w:color="auto"/>
            </w:tcBorders>
            <w:noWrap/>
            <w:hideMark/>
          </w:tcPr>
          <w:p w14:paraId="35FC94BC" w14:textId="3C813223" w:rsidR="00826536" w:rsidRPr="007A1075" w:rsidRDefault="00D7681F" w:rsidP="00826536">
            <w:pPr>
              <w:pStyle w:val="TableText"/>
              <w:cnfStyle w:val="000000100000" w:firstRow="0" w:lastRow="0" w:firstColumn="0" w:lastColumn="0" w:oddVBand="0" w:evenVBand="0" w:oddHBand="1" w:evenHBand="0" w:firstRowFirstColumn="0" w:firstRowLastColumn="0" w:lastRowFirstColumn="0" w:lastRowLastColumn="0"/>
            </w:pPr>
            <w:r w:rsidRPr="00A9677F">
              <w:t>366741.5</w:t>
            </w:r>
          </w:p>
        </w:tc>
        <w:tc>
          <w:tcPr>
            <w:tcW w:w="859" w:type="dxa"/>
            <w:tcBorders>
              <w:top w:val="none" w:sz="0" w:space="0" w:color="auto"/>
              <w:bottom w:val="none" w:sz="0" w:space="0" w:color="auto"/>
            </w:tcBorders>
            <w:noWrap/>
            <w:hideMark/>
          </w:tcPr>
          <w:p w14:paraId="35E2BF46" w14:textId="05B84078" w:rsidR="00826536" w:rsidRPr="007A1075" w:rsidRDefault="00D7681F" w:rsidP="00826536">
            <w:pPr>
              <w:pStyle w:val="TableText"/>
              <w:cnfStyle w:val="000000100000" w:firstRow="0" w:lastRow="0" w:firstColumn="0" w:lastColumn="0" w:oddVBand="0" w:evenVBand="0" w:oddHBand="1" w:evenHBand="0" w:firstRowFirstColumn="0" w:firstRowLastColumn="0" w:lastRowFirstColumn="0" w:lastRowLastColumn="0"/>
            </w:pPr>
            <w:r w:rsidRPr="00A9677F">
              <w:t>2883</w:t>
            </w:r>
          </w:p>
        </w:tc>
        <w:tc>
          <w:tcPr>
            <w:tcW w:w="790" w:type="dxa"/>
            <w:tcBorders>
              <w:top w:val="none" w:sz="0" w:space="0" w:color="auto"/>
              <w:bottom w:val="none" w:sz="0" w:space="0" w:color="auto"/>
            </w:tcBorders>
            <w:noWrap/>
            <w:hideMark/>
          </w:tcPr>
          <w:p w14:paraId="56D0A523" w14:textId="77777777" w:rsidR="00826536" w:rsidRPr="007A1075" w:rsidRDefault="00826536" w:rsidP="00826536">
            <w:pPr>
              <w:pStyle w:val="TableText"/>
              <w:cnfStyle w:val="000000100000" w:firstRow="0" w:lastRow="0" w:firstColumn="0" w:lastColumn="0" w:oddVBand="0" w:evenVBand="0" w:oddHBand="1" w:evenHBand="0" w:firstRowFirstColumn="0" w:firstRowLastColumn="0" w:lastRowFirstColumn="0" w:lastRowLastColumn="0"/>
            </w:pPr>
            <w:r w:rsidRPr="007A1075">
              <w:t>&lt;.001</w:t>
            </w:r>
          </w:p>
        </w:tc>
        <w:tc>
          <w:tcPr>
            <w:tcW w:w="1455" w:type="dxa"/>
            <w:tcBorders>
              <w:top w:val="none" w:sz="0" w:space="0" w:color="auto"/>
              <w:bottom w:val="none" w:sz="0" w:space="0" w:color="auto"/>
            </w:tcBorders>
            <w:noWrap/>
            <w:hideMark/>
          </w:tcPr>
          <w:p w14:paraId="1D5C1F36" w14:textId="5B29DE47" w:rsidR="00826536" w:rsidRPr="007A1075" w:rsidRDefault="00826536" w:rsidP="00826536">
            <w:pPr>
              <w:pStyle w:val="TableText"/>
              <w:cnfStyle w:val="000000100000" w:firstRow="0" w:lastRow="0" w:firstColumn="0" w:lastColumn="0" w:oddVBand="0" w:evenVBand="0" w:oddHBand="1" w:evenHBand="0" w:firstRowFirstColumn="0" w:firstRowLastColumn="0" w:lastRowFirstColumn="0" w:lastRowLastColumn="0"/>
            </w:pPr>
            <w:r w:rsidRPr="00E44990">
              <w:t>58.6% (n=1688)</w:t>
            </w:r>
          </w:p>
        </w:tc>
      </w:tr>
      <w:tr w:rsidR="00826536" w:rsidRPr="007A1075" w14:paraId="6E088AF0" w14:textId="77777777" w:rsidTr="0078378F">
        <w:trPr>
          <w:trHeight w:val="290"/>
        </w:trPr>
        <w:tc>
          <w:tcPr>
            <w:cnfStyle w:val="001000000000" w:firstRow="0" w:lastRow="0" w:firstColumn="1" w:lastColumn="0" w:oddVBand="0" w:evenVBand="0" w:oddHBand="0" w:evenHBand="0" w:firstRowFirstColumn="0" w:firstRowLastColumn="0" w:lastRowFirstColumn="0" w:lastRowLastColumn="0"/>
            <w:tcW w:w="1122" w:type="dxa"/>
            <w:vMerge/>
            <w:tcBorders>
              <w:right w:val="none" w:sz="0" w:space="0" w:color="auto"/>
            </w:tcBorders>
            <w:hideMark/>
          </w:tcPr>
          <w:p w14:paraId="3A956DC5" w14:textId="77777777" w:rsidR="00826536" w:rsidRPr="007A1075" w:rsidRDefault="00826536" w:rsidP="00826536">
            <w:pPr>
              <w:pStyle w:val="TableText"/>
            </w:pPr>
          </w:p>
        </w:tc>
        <w:tc>
          <w:tcPr>
            <w:tcW w:w="1407" w:type="dxa"/>
            <w:vMerge w:val="restart"/>
            <w:hideMark/>
          </w:tcPr>
          <w:p w14:paraId="31F6DD53" w14:textId="77777777" w:rsidR="00826536" w:rsidRPr="007A1075" w:rsidRDefault="00826536" w:rsidP="00826536">
            <w:pPr>
              <w:pStyle w:val="TableText"/>
              <w:cnfStyle w:val="000000000000" w:firstRow="0" w:lastRow="0" w:firstColumn="0" w:lastColumn="0" w:oddVBand="0" w:evenVBand="0" w:oddHBand="0" w:evenHBand="0" w:firstRowFirstColumn="0" w:firstRowLastColumn="0" w:lastRowFirstColumn="0" w:lastRowLastColumn="0"/>
            </w:pPr>
            <w:r w:rsidRPr="00E73041">
              <w:t>First Nations</w:t>
            </w:r>
          </w:p>
          <w:p w14:paraId="11A0E620" w14:textId="1DE9EB5C" w:rsidR="00826536" w:rsidRPr="007A1075" w:rsidRDefault="00826536" w:rsidP="00826536">
            <w:pPr>
              <w:pStyle w:val="TableText"/>
              <w:cnfStyle w:val="000000000000" w:firstRow="0" w:lastRow="0" w:firstColumn="0" w:lastColumn="0" w:oddVBand="0" w:evenVBand="0" w:oddHBand="0" w:evenHBand="0" w:firstRowFirstColumn="0" w:firstRowLastColumn="0" w:lastRowFirstColumn="0" w:lastRowLastColumn="0"/>
            </w:pPr>
          </w:p>
        </w:tc>
        <w:tc>
          <w:tcPr>
            <w:tcW w:w="1697" w:type="dxa"/>
            <w:vMerge w:val="restart"/>
            <w:hideMark/>
          </w:tcPr>
          <w:p w14:paraId="64A91F02" w14:textId="77777777" w:rsidR="00826536" w:rsidRPr="007A1075" w:rsidRDefault="00826536" w:rsidP="00826536">
            <w:pPr>
              <w:pStyle w:val="TableText"/>
              <w:cnfStyle w:val="000000000000" w:firstRow="0" w:lastRow="0" w:firstColumn="0" w:lastColumn="0" w:oddVBand="0" w:evenVBand="0" w:oddHBand="0" w:evenHBand="0" w:firstRowFirstColumn="0" w:firstRowLastColumn="0" w:lastRowFirstColumn="0" w:lastRowLastColumn="0"/>
            </w:pPr>
            <w:r w:rsidRPr="007A1075">
              <w:t>Circumstances</w:t>
            </w:r>
          </w:p>
        </w:tc>
        <w:tc>
          <w:tcPr>
            <w:tcW w:w="3766" w:type="dxa"/>
            <w:noWrap/>
            <w:hideMark/>
          </w:tcPr>
          <w:p w14:paraId="47177135" w14:textId="77777777" w:rsidR="00826536" w:rsidRPr="007A1075" w:rsidRDefault="00826536" w:rsidP="00826536">
            <w:pPr>
              <w:pStyle w:val="TableText"/>
              <w:cnfStyle w:val="000000000000" w:firstRow="0" w:lastRow="0" w:firstColumn="0" w:lastColumn="0" w:oddVBand="0" w:evenVBand="0" w:oddHBand="0" w:evenHBand="0" w:firstRowFirstColumn="0" w:firstRowLastColumn="0" w:lastRowFirstColumn="0" w:lastRowLastColumn="0"/>
            </w:pPr>
            <w:r w:rsidRPr="007A1075">
              <w:t>Family functioning</w:t>
            </w:r>
          </w:p>
        </w:tc>
        <w:tc>
          <w:tcPr>
            <w:tcW w:w="1455" w:type="dxa"/>
            <w:noWrap/>
            <w:hideMark/>
          </w:tcPr>
          <w:p w14:paraId="695EE427" w14:textId="681A1479" w:rsidR="00826536" w:rsidRPr="007A1075" w:rsidRDefault="00826536" w:rsidP="00826536">
            <w:pPr>
              <w:pStyle w:val="TableText"/>
              <w:cnfStyle w:val="000000000000" w:firstRow="0" w:lastRow="0" w:firstColumn="0" w:lastColumn="0" w:oddVBand="0" w:evenVBand="0" w:oddHBand="0" w:evenHBand="0" w:firstRowFirstColumn="0" w:firstRowLastColumn="0" w:lastRowFirstColumn="0" w:lastRowLastColumn="0"/>
            </w:pPr>
            <w:r w:rsidRPr="007A1075">
              <w:t>0.</w:t>
            </w:r>
            <w:r w:rsidR="00D7681F" w:rsidRPr="00A9677F">
              <w:t>55</w:t>
            </w:r>
          </w:p>
        </w:tc>
        <w:tc>
          <w:tcPr>
            <w:tcW w:w="1393" w:type="dxa"/>
            <w:noWrap/>
            <w:hideMark/>
          </w:tcPr>
          <w:p w14:paraId="7863AD91" w14:textId="7978F4EE" w:rsidR="00826536" w:rsidRPr="007A1075" w:rsidRDefault="00D7681F" w:rsidP="00826536">
            <w:pPr>
              <w:pStyle w:val="TableText"/>
              <w:cnfStyle w:val="000000000000" w:firstRow="0" w:lastRow="0" w:firstColumn="0" w:lastColumn="0" w:oddVBand="0" w:evenVBand="0" w:oddHBand="0" w:evenHBand="0" w:firstRowFirstColumn="0" w:firstRowLastColumn="0" w:lastRowFirstColumn="0" w:lastRowLastColumn="0"/>
            </w:pPr>
            <w:r w:rsidRPr="00A9677F">
              <w:t>6575.5</w:t>
            </w:r>
          </w:p>
        </w:tc>
        <w:tc>
          <w:tcPr>
            <w:tcW w:w="859" w:type="dxa"/>
            <w:noWrap/>
            <w:hideMark/>
          </w:tcPr>
          <w:p w14:paraId="2306881E" w14:textId="5ECF4FFE" w:rsidR="00826536" w:rsidRPr="007A1075" w:rsidRDefault="00D7681F" w:rsidP="00826536">
            <w:pPr>
              <w:pStyle w:val="TableText"/>
              <w:cnfStyle w:val="000000000000" w:firstRow="0" w:lastRow="0" w:firstColumn="0" w:lastColumn="0" w:oddVBand="0" w:evenVBand="0" w:oddHBand="0" w:evenHBand="0" w:firstRowFirstColumn="0" w:firstRowLastColumn="0" w:lastRowFirstColumn="0" w:lastRowLastColumn="0"/>
            </w:pPr>
            <w:r w:rsidRPr="00A9677F">
              <w:t>301</w:t>
            </w:r>
          </w:p>
        </w:tc>
        <w:tc>
          <w:tcPr>
            <w:tcW w:w="790" w:type="dxa"/>
            <w:noWrap/>
            <w:hideMark/>
          </w:tcPr>
          <w:p w14:paraId="4CA0A4DD" w14:textId="77777777" w:rsidR="00826536" w:rsidRPr="007A1075" w:rsidRDefault="00826536" w:rsidP="00826536">
            <w:pPr>
              <w:pStyle w:val="TableText"/>
              <w:cnfStyle w:val="000000000000" w:firstRow="0" w:lastRow="0" w:firstColumn="0" w:lastColumn="0" w:oddVBand="0" w:evenVBand="0" w:oddHBand="0" w:evenHBand="0" w:firstRowFirstColumn="0" w:firstRowLastColumn="0" w:lastRowFirstColumn="0" w:lastRowLastColumn="0"/>
            </w:pPr>
            <w:r w:rsidRPr="007A1075">
              <w:t>&lt;.001</w:t>
            </w:r>
          </w:p>
        </w:tc>
        <w:tc>
          <w:tcPr>
            <w:tcW w:w="1455" w:type="dxa"/>
            <w:noWrap/>
            <w:hideMark/>
          </w:tcPr>
          <w:p w14:paraId="49E19471" w14:textId="61D53D81" w:rsidR="00826536" w:rsidRPr="007A1075" w:rsidRDefault="00826536" w:rsidP="00826536">
            <w:pPr>
              <w:pStyle w:val="TableText"/>
              <w:cnfStyle w:val="000000000000" w:firstRow="0" w:lastRow="0" w:firstColumn="0" w:lastColumn="0" w:oddVBand="0" w:evenVBand="0" w:oddHBand="0" w:evenHBand="0" w:firstRowFirstColumn="0" w:firstRowLastColumn="0" w:lastRowFirstColumn="0" w:lastRowLastColumn="0"/>
            </w:pPr>
            <w:r w:rsidRPr="00E44990">
              <w:t>46.8% (n=141)</w:t>
            </w:r>
          </w:p>
        </w:tc>
      </w:tr>
      <w:tr w:rsidR="00826536" w:rsidRPr="007A1075" w14:paraId="440A7631" w14:textId="77777777" w:rsidTr="0078378F">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122" w:type="dxa"/>
            <w:vMerge/>
            <w:tcBorders>
              <w:top w:val="none" w:sz="0" w:space="0" w:color="auto"/>
              <w:bottom w:val="none" w:sz="0" w:space="0" w:color="auto"/>
              <w:right w:val="none" w:sz="0" w:space="0" w:color="auto"/>
            </w:tcBorders>
            <w:hideMark/>
          </w:tcPr>
          <w:p w14:paraId="58C71BDC" w14:textId="77777777" w:rsidR="00826536" w:rsidRPr="007A1075" w:rsidRDefault="00826536" w:rsidP="00826536">
            <w:pPr>
              <w:pStyle w:val="TableText"/>
            </w:pPr>
          </w:p>
        </w:tc>
        <w:tc>
          <w:tcPr>
            <w:tcW w:w="1407" w:type="dxa"/>
            <w:vMerge/>
            <w:tcBorders>
              <w:top w:val="none" w:sz="0" w:space="0" w:color="auto"/>
              <w:bottom w:val="none" w:sz="0" w:space="0" w:color="auto"/>
            </w:tcBorders>
            <w:hideMark/>
          </w:tcPr>
          <w:p w14:paraId="6984BEBB" w14:textId="77777777" w:rsidR="00826536" w:rsidRPr="007A1075" w:rsidRDefault="00826536" w:rsidP="00826536">
            <w:pPr>
              <w:pStyle w:val="TableText"/>
              <w:cnfStyle w:val="000000100000" w:firstRow="0" w:lastRow="0" w:firstColumn="0" w:lastColumn="0" w:oddVBand="0" w:evenVBand="0" w:oddHBand="1" w:evenHBand="0" w:firstRowFirstColumn="0" w:firstRowLastColumn="0" w:lastRowFirstColumn="0" w:lastRowLastColumn="0"/>
            </w:pPr>
          </w:p>
        </w:tc>
        <w:tc>
          <w:tcPr>
            <w:tcW w:w="1697" w:type="dxa"/>
            <w:vMerge/>
            <w:tcBorders>
              <w:top w:val="none" w:sz="0" w:space="0" w:color="auto"/>
              <w:bottom w:val="none" w:sz="0" w:space="0" w:color="auto"/>
            </w:tcBorders>
            <w:hideMark/>
          </w:tcPr>
          <w:p w14:paraId="2495F6C9" w14:textId="77777777" w:rsidR="00826536" w:rsidRPr="007A1075" w:rsidRDefault="00826536" w:rsidP="00826536">
            <w:pPr>
              <w:pStyle w:val="TableText"/>
              <w:cnfStyle w:val="000000100000" w:firstRow="0" w:lastRow="0" w:firstColumn="0" w:lastColumn="0" w:oddVBand="0" w:evenVBand="0" w:oddHBand="1" w:evenHBand="0" w:firstRowFirstColumn="0" w:firstRowLastColumn="0" w:lastRowFirstColumn="0" w:lastRowLastColumn="0"/>
            </w:pPr>
          </w:p>
        </w:tc>
        <w:tc>
          <w:tcPr>
            <w:tcW w:w="3766" w:type="dxa"/>
            <w:tcBorders>
              <w:top w:val="none" w:sz="0" w:space="0" w:color="auto"/>
              <w:bottom w:val="none" w:sz="0" w:space="0" w:color="auto"/>
            </w:tcBorders>
            <w:noWrap/>
            <w:hideMark/>
          </w:tcPr>
          <w:p w14:paraId="2829313F" w14:textId="77777777" w:rsidR="00826536" w:rsidRPr="007A1075" w:rsidRDefault="00826536" w:rsidP="00826536">
            <w:pPr>
              <w:pStyle w:val="TableText"/>
              <w:cnfStyle w:val="000000100000" w:firstRow="0" w:lastRow="0" w:firstColumn="0" w:lastColumn="0" w:oddVBand="0" w:evenVBand="0" w:oddHBand="1" w:evenHBand="0" w:firstRowFirstColumn="0" w:firstRowLastColumn="0" w:lastRowFirstColumn="0" w:lastRowLastColumn="0"/>
            </w:pPr>
            <w:r w:rsidRPr="57F92EFB">
              <w:rPr>
                <w:lang w:val="en-NZ"/>
              </w:rPr>
              <w:t>Mental health, wellbeing and self-care</w:t>
            </w:r>
          </w:p>
        </w:tc>
        <w:tc>
          <w:tcPr>
            <w:tcW w:w="1455" w:type="dxa"/>
            <w:tcBorders>
              <w:top w:val="none" w:sz="0" w:space="0" w:color="auto"/>
              <w:bottom w:val="none" w:sz="0" w:space="0" w:color="auto"/>
            </w:tcBorders>
            <w:noWrap/>
            <w:hideMark/>
          </w:tcPr>
          <w:p w14:paraId="4F530884" w14:textId="1491B865" w:rsidR="00826536" w:rsidRPr="007A1075" w:rsidRDefault="00826536" w:rsidP="00826536">
            <w:pPr>
              <w:pStyle w:val="TableText"/>
              <w:cnfStyle w:val="000000100000" w:firstRow="0" w:lastRow="0" w:firstColumn="0" w:lastColumn="0" w:oddVBand="0" w:evenVBand="0" w:oddHBand="1" w:evenHBand="0" w:firstRowFirstColumn="0" w:firstRowLastColumn="0" w:lastRowFirstColumn="0" w:lastRowLastColumn="0"/>
            </w:pPr>
            <w:r w:rsidRPr="007A1075">
              <w:t>0.</w:t>
            </w:r>
            <w:r w:rsidR="00D7681F" w:rsidRPr="00A9677F">
              <w:t>65</w:t>
            </w:r>
          </w:p>
        </w:tc>
        <w:tc>
          <w:tcPr>
            <w:tcW w:w="1393" w:type="dxa"/>
            <w:tcBorders>
              <w:top w:val="none" w:sz="0" w:space="0" w:color="auto"/>
              <w:bottom w:val="none" w:sz="0" w:space="0" w:color="auto"/>
            </w:tcBorders>
            <w:noWrap/>
            <w:hideMark/>
          </w:tcPr>
          <w:p w14:paraId="3F7A867F" w14:textId="1C20E32C" w:rsidR="00826536" w:rsidRPr="007A1075" w:rsidRDefault="00D7681F" w:rsidP="00826536">
            <w:pPr>
              <w:pStyle w:val="TableText"/>
              <w:cnfStyle w:val="000000100000" w:firstRow="0" w:lastRow="0" w:firstColumn="0" w:lastColumn="0" w:oddVBand="0" w:evenVBand="0" w:oddHBand="1" w:evenHBand="0" w:firstRowFirstColumn="0" w:firstRowLastColumn="0" w:lastRowFirstColumn="0" w:lastRowLastColumn="0"/>
            </w:pPr>
            <w:r w:rsidRPr="00A9677F">
              <w:t>5615.5</w:t>
            </w:r>
          </w:p>
        </w:tc>
        <w:tc>
          <w:tcPr>
            <w:tcW w:w="859" w:type="dxa"/>
            <w:tcBorders>
              <w:top w:val="none" w:sz="0" w:space="0" w:color="auto"/>
              <w:bottom w:val="none" w:sz="0" w:space="0" w:color="auto"/>
            </w:tcBorders>
            <w:noWrap/>
            <w:hideMark/>
          </w:tcPr>
          <w:p w14:paraId="5A86881B" w14:textId="64AADDA0" w:rsidR="00826536" w:rsidRPr="007A1075" w:rsidRDefault="00D7681F" w:rsidP="00826536">
            <w:pPr>
              <w:pStyle w:val="TableText"/>
              <w:cnfStyle w:val="000000100000" w:firstRow="0" w:lastRow="0" w:firstColumn="0" w:lastColumn="0" w:oddVBand="0" w:evenVBand="0" w:oddHBand="1" w:evenHBand="0" w:firstRowFirstColumn="0" w:firstRowLastColumn="0" w:lastRowFirstColumn="0" w:lastRowLastColumn="0"/>
            </w:pPr>
            <w:r w:rsidRPr="00A9677F">
              <w:t>319</w:t>
            </w:r>
          </w:p>
        </w:tc>
        <w:tc>
          <w:tcPr>
            <w:tcW w:w="790" w:type="dxa"/>
            <w:tcBorders>
              <w:top w:val="none" w:sz="0" w:space="0" w:color="auto"/>
              <w:bottom w:val="none" w:sz="0" w:space="0" w:color="auto"/>
            </w:tcBorders>
            <w:noWrap/>
            <w:hideMark/>
          </w:tcPr>
          <w:p w14:paraId="76206912" w14:textId="77777777" w:rsidR="00826536" w:rsidRPr="007A1075" w:rsidRDefault="00826536" w:rsidP="00826536">
            <w:pPr>
              <w:pStyle w:val="TableText"/>
              <w:cnfStyle w:val="000000100000" w:firstRow="0" w:lastRow="0" w:firstColumn="0" w:lastColumn="0" w:oddVBand="0" w:evenVBand="0" w:oddHBand="1" w:evenHBand="0" w:firstRowFirstColumn="0" w:firstRowLastColumn="0" w:lastRowFirstColumn="0" w:lastRowLastColumn="0"/>
            </w:pPr>
            <w:r w:rsidRPr="007A1075">
              <w:t>&lt;.001</w:t>
            </w:r>
          </w:p>
        </w:tc>
        <w:tc>
          <w:tcPr>
            <w:tcW w:w="1455" w:type="dxa"/>
            <w:tcBorders>
              <w:top w:val="none" w:sz="0" w:space="0" w:color="auto"/>
              <w:bottom w:val="none" w:sz="0" w:space="0" w:color="auto"/>
            </w:tcBorders>
            <w:noWrap/>
            <w:hideMark/>
          </w:tcPr>
          <w:p w14:paraId="546BBBA4" w14:textId="7D139D81" w:rsidR="00826536" w:rsidRPr="007A1075" w:rsidRDefault="00826536" w:rsidP="00826536">
            <w:pPr>
              <w:pStyle w:val="TableText"/>
              <w:cnfStyle w:val="000000100000" w:firstRow="0" w:lastRow="0" w:firstColumn="0" w:lastColumn="0" w:oddVBand="0" w:evenVBand="0" w:oddHBand="1" w:evenHBand="0" w:firstRowFirstColumn="0" w:firstRowLastColumn="0" w:lastRowFirstColumn="0" w:lastRowLastColumn="0"/>
            </w:pPr>
            <w:r w:rsidRPr="00E44990">
              <w:t>49.8% (n=159)</w:t>
            </w:r>
          </w:p>
        </w:tc>
      </w:tr>
      <w:tr w:rsidR="00826536" w:rsidRPr="007A1075" w14:paraId="24245DD7" w14:textId="77777777" w:rsidTr="0078378F">
        <w:trPr>
          <w:trHeight w:val="290"/>
        </w:trPr>
        <w:tc>
          <w:tcPr>
            <w:cnfStyle w:val="001000000000" w:firstRow="0" w:lastRow="0" w:firstColumn="1" w:lastColumn="0" w:oddVBand="0" w:evenVBand="0" w:oddHBand="0" w:evenHBand="0" w:firstRowFirstColumn="0" w:firstRowLastColumn="0" w:lastRowFirstColumn="0" w:lastRowLastColumn="0"/>
            <w:tcW w:w="1122" w:type="dxa"/>
            <w:vMerge/>
            <w:tcBorders>
              <w:right w:val="none" w:sz="0" w:space="0" w:color="auto"/>
            </w:tcBorders>
            <w:hideMark/>
          </w:tcPr>
          <w:p w14:paraId="60651A0E" w14:textId="77777777" w:rsidR="00826536" w:rsidRPr="007A1075" w:rsidRDefault="00826536" w:rsidP="00826536">
            <w:pPr>
              <w:pStyle w:val="TableText"/>
            </w:pPr>
          </w:p>
        </w:tc>
        <w:tc>
          <w:tcPr>
            <w:tcW w:w="1407" w:type="dxa"/>
            <w:vMerge/>
            <w:hideMark/>
          </w:tcPr>
          <w:p w14:paraId="21A56647" w14:textId="77777777" w:rsidR="00826536" w:rsidRPr="007A1075" w:rsidRDefault="00826536" w:rsidP="00826536">
            <w:pPr>
              <w:pStyle w:val="TableText"/>
              <w:cnfStyle w:val="000000000000" w:firstRow="0" w:lastRow="0" w:firstColumn="0" w:lastColumn="0" w:oddVBand="0" w:evenVBand="0" w:oddHBand="0" w:evenHBand="0" w:firstRowFirstColumn="0" w:firstRowLastColumn="0" w:lastRowFirstColumn="0" w:lastRowLastColumn="0"/>
            </w:pPr>
          </w:p>
        </w:tc>
        <w:tc>
          <w:tcPr>
            <w:tcW w:w="1697" w:type="dxa"/>
            <w:vMerge/>
            <w:hideMark/>
          </w:tcPr>
          <w:p w14:paraId="61516771" w14:textId="77777777" w:rsidR="00826536" w:rsidRPr="007A1075" w:rsidRDefault="00826536" w:rsidP="00826536">
            <w:pPr>
              <w:pStyle w:val="TableText"/>
              <w:cnfStyle w:val="000000000000" w:firstRow="0" w:lastRow="0" w:firstColumn="0" w:lastColumn="0" w:oddVBand="0" w:evenVBand="0" w:oddHBand="0" w:evenHBand="0" w:firstRowFirstColumn="0" w:firstRowLastColumn="0" w:lastRowFirstColumn="0" w:lastRowLastColumn="0"/>
            </w:pPr>
          </w:p>
        </w:tc>
        <w:tc>
          <w:tcPr>
            <w:tcW w:w="3766" w:type="dxa"/>
            <w:noWrap/>
            <w:hideMark/>
          </w:tcPr>
          <w:p w14:paraId="0AFA35FE" w14:textId="77777777" w:rsidR="00826536" w:rsidRPr="007A1075" w:rsidRDefault="00826536" w:rsidP="00826536">
            <w:pPr>
              <w:pStyle w:val="TableText"/>
              <w:cnfStyle w:val="000000000000" w:firstRow="0" w:lastRow="0" w:firstColumn="0" w:lastColumn="0" w:oddVBand="0" w:evenVBand="0" w:oddHBand="0" w:evenHBand="0" w:firstRowFirstColumn="0" w:firstRowLastColumn="0" w:lastRowFirstColumn="0" w:lastRowLastColumn="0"/>
            </w:pPr>
            <w:r w:rsidRPr="007A1075">
              <w:t>Personal and family safety</w:t>
            </w:r>
          </w:p>
        </w:tc>
        <w:tc>
          <w:tcPr>
            <w:tcW w:w="1455" w:type="dxa"/>
            <w:noWrap/>
            <w:hideMark/>
          </w:tcPr>
          <w:p w14:paraId="3BF5FFE1" w14:textId="7B3016F3" w:rsidR="00826536" w:rsidRPr="007A1075" w:rsidRDefault="00826536" w:rsidP="00826536">
            <w:pPr>
              <w:pStyle w:val="TableText"/>
              <w:cnfStyle w:val="000000000000" w:firstRow="0" w:lastRow="0" w:firstColumn="0" w:lastColumn="0" w:oddVBand="0" w:evenVBand="0" w:oddHBand="0" w:evenHBand="0" w:firstRowFirstColumn="0" w:firstRowLastColumn="0" w:lastRowFirstColumn="0" w:lastRowLastColumn="0"/>
            </w:pPr>
            <w:r w:rsidRPr="007A1075">
              <w:t>0.</w:t>
            </w:r>
            <w:r w:rsidR="00D7681F" w:rsidRPr="00A9677F">
              <w:t>84</w:t>
            </w:r>
          </w:p>
        </w:tc>
        <w:tc>
          <w:tcPr>
            <w:tcW w:w="1393" w:type="dxa"/>
            <w:noWrap/>
            <w:hideMark/>
          </w:tcPr>
          <w:p w14:paraId="676633D3" w14:textId="7210A7FC" w:rsidR="00826536" w:rsidRPr="007A1075" w:rsidRDefault="00D7681F" w:rsidP="00826536">
            <w:pPr>
              <w:pStyle w:val="TableText"/>
              <w:cnfStyle w:val="000000000000" w:firstRow="0" w:lastRow="0" w:firstColumn="0" w:lastColumn="0" w:oddVBand="0" w:evenVBand="0" w:oddHBand="0" w:evenHBand="0" w:firstRowFirstColumn="0" w:firstRowLastColumn="0" w:lastRowFirstColumn="0" w:lastRowLastColumn="0"/>
            </w:pPr>
            <w:r w:rsidRPr="00A9677F">
              <w:t>9375</w:t>
            </w:r>
          </w:p>
        </w:tc>
        <w:tc>
          <w:tcPr>
            <w:tcW w:w="859" w:type="dxa"/>
            <w:noWrap/>
            <w:hideMark/>
          </w:tcPr>
          <w:p w14:paraId="56DF24BB" w14:textId="6D35CF50" w:rsidR="00826536" w:rsidRPr="007A1075" w:rsidRDefault="00D7681F" w:rsidP="00826536">
            <w:pPr>
              <w:pStyle w:val="TableText"/>
              <w:cnfStyle w:val="000000000000" w:firstRow="0" w:lastRow="0" w:firstColumn="0" w:lastColumn="0" w:oddVBand="0" w:evenVBand="0" w:oddHBand="0" w:evenHBand="0" w:firstRowFirstColumn="0" w:firstRowLastColumn="0" w:lastRowFirstColumn="0" w:lastRowLastColumn="0"/>
            </w:pPr>
            <w:r w:rsidRPr="00A9677F">
              <w:t>427</w:t>
            </w:r>
          </w:p>
        </w:tc>
        <w:tc>
          <w:tcPr>
            <w:tcW w:w="790" w:type="dxa"/>
            <w:noWrap/>
            <w:hideMark/>
          </w:tcPr>
          <w:p w14:paraId="4990F62C" w14:textId="77777777" w:rsidR="00826536" w:rsidRPr="007A1075" w:rsidRDefault="00826536" w:rsidP="00826536">
            <w:pPr>
              <w:pStyle w:val="TableText"/>
              <w:cnfStyle w:val="000000000000" w:firstRow="0" w:lastRow="0" w:firstColumn="0" w:lastColumn="0" w:oddVBand="0" w:evenVBand="0" w:oddHBand="0" w:evenHBand="0" w:firstRowFirstColumn="0" w:firstRowLastColumn="0" w:lastRowFirstColumn="0" w:lastRowLastColumn="0"/>
            </w:pPr>
            <w:r w:rsidRPr="007A1075">
              <w:t>&lt;.001</w:t>
            </w:r>
          </w:p>
        </w:tc>
        <w:tc>
          <w:tcPr>
            <w:tcW w:w="1455" w:type="dxa"/>
            <w:noWrap/>
            <w:hideMark/>
          </w:tcPr>
          <w:p w14:paraId="5940C076" w14:textId="166210FD" w:rsidR="00826536" w:rsidRPr="007A1075" w:rsidRDefault="00826536" w:rsidP="00826536">
            <w:pPr>
              <w:pStyle w:val="TableText"/>
              <w:cnfStyle w:val="000000000000" w:firstRow="0" w:lastRow="0" w:firstColumn="0" w:lastColumn="0" w:oddVBand="0" w:evenVBand="0" w:oddHBand="0" w:evenHBand="0" w:firstRowFirstColumn="0" w:firstRowLastColumn="0" w:lastRowFirstColumn="0" w:lastRowLastColumn="0"/>
            </w:pPr>
            <w:r w:rsidRPr="00E44990">
              <w:t>53.6% (n=229)</w:t>
            </w:r>
          </w:p>
        </w:tc>
      </w:tr>
      <w:tr w:rsidR="00826536" w:rsidRPr="007A1075" w14:paraId="2C9AF1F4" w14:textId="77777777" w:rsidTr="0078378F">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122" w:type="dxa"/>
            <w:vMerge/>
            <w:tcBorders>
              <w:top w:val="none" w:sz="0" w:space="0" w:color="auto"/>
              <w:bottom w:val="none" w:sz="0" w:space="0" w:color="auto"/>
              <w:right w:val="none" w:sz="0" w:space="0" w:color="auto"/>
            </w:tcBorders>
            <w:hideMark/>
          </w:tcPr>
          <w:p w14:paraId="2230B4F5" w14:textId="77777777" w:rsidR="00826536" w:rsidRPr="007A1075" w:rsidRDefault="00826536" w:rsidP="00826536">
            <w:pPr>
              <w:pStyle w:val="TableText"/>
            </w:pPr>
          </w:p>
        </w:tc>
        <w:tc>
          <w:tcPr>
            <w:tcW w:w="1407" w:type="dxa"/>
            <w:vMerge/>
            <w:tcBorders>
              <w:top w:val="none" w:sz="0" w:space="0" w:color="auto"/>
              <w:bottom w:val="none" w:sz="0" w:space="0" w:color="auto"/>
            </w:tcBorders>
            <w:hideMark/>
          </w:tcPr>
          <w:p w14:paraId="419AE928" w14:textId="77777777" w:rsidR="00826536" w:rsidRPr="007A1075" w:rsidRDefault="00826536" w:rsidP="00826536">
            <w:pPr>
              <w:pStyle w:val="TableText"/>
              <w:cnfStyle w:val="000000100000" w:firstRow="0" w:lastRow="0" w:firstColumn="0" w:lastColumn="0" w:oddVBand="0" w:evenVBand="0" w:oddHBand="1" w:evenHBand="0" w:firstRowFirstColumn="0" w:firstRowLastColumn="0" w:lastRowFirstColumn="0" w:lastRowLastColumn="0"/>
            </w:pPr>
          </w:p>
        </w:tc>
        <w:tc>
          <w:tcPr>
            <w:tcW w:w="1697" w:type="dxa"/>
            <w:vMerge w:val="restart"/>
            <w:tcBorders>
              <w:top w:val="none" w:sz="0" w:space="0" w:color="auto"/>
              <w:bottom w:val="none" w:sz="0" w:space="0" w:color="auto"/>
            </w:tcBorders>
            <w:hideMark/>
          </w:tcPr>
          <w:p w14:paraId="6EEF6850" w14:textId="77777777" w:rsidR="00826536" w:rsidRPr="007A1075" w:rsidRDefault="00826536" w:rsidP="00826536">
            <w:pPr>
              <w:pStyle w:val="TableText"/>
              <w:cnfStyle w:val="000000100000" w:firstRow="0" w:lastRow="0" w:firstColumn="0" w:lastColumn="0" w:oddVBand="0" w:evenVBand="0" w:oddHBand="1" w:evenHBand="0" w:firstRowFirstColumn="0" w:firstRowLastColumn="0" w:lastRowFirstColumn="0" w:lastRowLastColumn="0"/>
            </w:pPr>
            <w:r w:rsidRPr="007A1075">
              <w:t>Goals</w:t>
            </w:r>
          </w:p>
        </w:tc>
        <w:tc>
          <w:tcPr>
            <w:tcW w:w="3766" w:type="dxa"/>
            <w:tcBorders>
              <w:top w:val="none" w:sz="0" w:space="0" w:color="auto"/>
              <w:bottom w:val="none" w:sz="0" w:space="0" w:color="auto"/>
            </w:tcBorders>
            <w:noWrap/>
            <w:hideMark/>
          </w:tcPr>
          <w:p w14:paraId="7181BB85" w14:textId="77777777" w:rsidR="00826536" w:rsidRPr="007A1075" w:rsidRDefault="00826536" w:rsidP="00826536">
            <w:pPr>
              <w:pStyle w:val="TableText"/>
              <w:cnfStyle w:val="000000100000" w:firstRow="0" w:lastRow="0" w:firstColumn="0" w:lastColumn="0" w:oddVBand="0" w:evenVBand="0" w:oddHBand="1" w:evenHBand="0" w:firstRowFirstColumn="0" w:firstRowLastColumn="0" w:lastRowFirstColumn="0" w:lastRowLastColumn="0"/>
            </w:pPr>
            <w:r w:rsidRPr="007A1075">
              <w:t>Changed behaviours</w:t>
            </w:r>
          </w:p>
        </w:tc>
        <w:tc>
          <w:tcPr>
            <w:tcW w:w="1455" w:type="dxa"/>
            <w:tcBorders>
              <w:top w:val="none" w:sz="0" w:space="0" w:color="auto"/>
              <w:bottom w:val="none" w:sz="0" w:space="0" w:color="auto"/>
            </w:tcBorders>
            <w:noWrap/>
            <w:hideMark/>
          </w:tcPr>
          <w:p w14:paraId="1903E444" w14:textId="2B33170B" w:rsidR="00826536" w:rsidRPr="007A1075" w:rsidRDefault="00D7681F" w:rsidP="00826536">
            <w:pPr>
              <w:pStyle w:val="TableText"/>
              <w:cnfStyle w:val="000000100000" w:firstRow="0" w:lastRow="0" w:firstColumn="0" w:lastColumn="0" w:oddVBand="0" w:evenVBand="0" w:oddHBand="1" w:evenHBand="0" w:firstRowFirstColumn="0" w:firstRowLastColumn="0" w:lastRowFirstColumn="0" w:lastRowLastColumn="0"/>
            </w:pPr>
            <w:r w:rsidRPr="00A9677F">
              <w:t>0.75</w:t>
            </w:r>
          </w:p>
        </w:tc>
        <w:tc>
          <w:tcPr>
            <w:tcW w:w="1393" w:type="dxa"/>
            <w:tcBorders>
              <w:top w:val="none" w:sz="0" w:space="0" w:color="auto"/>
              <w:bottom w:val="none" w:sz="0" w:space="0" w:color="auto"/>
            </w:tcBorders>
            <w:noWrap/>
            <w:hideMark/>
          </w:tcPr>
          <w:p w14:paraId="4558BD6D" w14:textId="5F3E39A0" w:rsidR="00826536" w:rsidRPr="007A1075" w:rsidRDefault="00D7681F" w:rsidP="00826536">
            <w:pPr>
              <w:pStyle w:val="TableText"/>
              <w:cnfStyle w:val="000000100000" w:firstRow="0" w:lastRow="0" w:firstColumn="0" w:lastColumn="0" w:oddVBand="0" w:evenVBand="0" w:oddHBand="1" w:evenHBand="0" w:firstRowFirstColumn="0" w:firstRowLastColumn="0" w:lastRowFirstColumn="0" w:lastRowLastColumn="0"/>
            </w:pPr>
            <w:r w:rsidRPr="00A9677F">
              <w:t>3456</w:t>
            </w:r>
          </w:p>
        </w:tc>
        <w:tc>
          <w:tcPr>
            <w:tcW w:w="859" w:type="dxa"/>
            <w:tcBorders>
              <w:top w:val="none" w:sz="0" w:space="0" w:color="auto"/>
              <w:bottom w:val="none" w:sz="0" w:space="0" w:color="auto"/>
            </w:tcBorders>
            <w:noWrap/>
            <w:hideMark/>
          </w:tcPr>
          <w:p w14:paraId="7867C554" w14:textId="46F18751" w:rsidR="00826536" w:rsidRPr="007A1075" w:rsidRDefault="00D7681F" w:rsidP="00826536">
            <w:pPr>
              <w:pStyle w:val="TableText"/>
              <w:cnfStyle w:val="000000100000" w:firstRow="0" w:lastRow="0" w:firstColumn="0" w:lastColumn="0" w:oddVBand="0" w:evenVBand="0" w:oddHBand="1" w:evenHBand="0" w:firstRowFirstColumn="0" w:firstRowLastColumn="0" w:lastRowFirstColumn="0" w:lastRowLastColumn="0"/>
            </w:pPr>
            <w:r w:rsidRPr="00A9677F">
              <w:t>247</w:t>
            </w:r>
          </w:p>
        </w:tc>
        <w:tc>
          <w:tcPr>
            <w:tcW w:w="790" w:type="dxa"/>
            <w:tcBorders>
              <w:top w:val="none" w:sz="0" w:space="0" w:color="auto"/>
              <w:bottom w:val="none" w:sz="0" w:space="0" w:color="auto"/>
            </w:tcBorders>
            <w:noWrap/>
            <w:hideMark/>
          </w:tcPr>
          <w:p w14:paraId="400A1356" w14:textId="77777777" w:rsidR="00826536" w:rsidRPr="007A1075" w:rsidRDefault="00826536" w:rsidP="00826536">
            <w:pPr>
              <w:pStyle w:val="TableText"/>
              <w:cnfStyle w:val="000000100000" w:firstRow="0" w:lastRow="0" w:firstColumn="0" w:lastColumn="0" w:oddVBand="0" w:evenVBand="0" w:oddHBand="1" w:evenHBand="0" w:firstRowFirstColumn="0" w:firstRowLastColumn="0" w:lastRowFirstColumn="0" w:lastRowLastColumn="0"/>
            </w:pPr>
            <w:r w:rsidRPr="007A1075">
              <w:t>&lt;.001</w:t>
            </w:r>
          </w:p>
        </w:tc>
        <w:tc>
          <w:tcPr>
            <w:tcW w:w="1455" w:type="dxa"/>
            <w:tcBorders>
              <w:top w:val="none" w:sz="0" w:space="0" w:color="auto"/>
              <w:bottom w:val="none" w:sz="0" w:space="0" w:color="auto"/>
            </w:tcBorders>
            <w:noWrap/>
            <w:hideMark/>
          </w:tcPr>
          <w:p w14:paraId="5D94B2C4" w14:textId="6BD71B63" w:rsidR="00826536" w:rsidRPr="007A1075" w:rsidRDefault="00826536" w:rsidP="00826536">
            <w:pPr>
              <w:pStyle w:val="TableText"/>
              <w:cnfStyle w:val="000000100000" w:firstRow="0" w:lastRow="0" w:firstColumn="0" w:lastColumn="0" w:oddVBand="0" w:evenVBand="0" w:oddHBand="1" w:evenHBand="0" w:firstRowFirstColumn="0" w:firstRowLastColumn="0" w:lastRowFirstColumn="0" w:lastRowLastColumn="0"/>
            </w:pPr>
            <w:r w:rsidRPr="00E44990">
              <w:t>54.3% (n=134)</w:t>
            </w:r>
          </w:p>
        </w:tc>
      </w:tr>
      <w:tr w:rsidR="00826536" w:rsidRPr="007A1075" w14:paraId="698D68C0" w14:textId="77777777" w:rsidTr="0078378F">
        <w:trPr>
          <w:trHeight w:val="290"/>
        </w:trPr>
        <w:tc>
          <w:tcPr>
            <w:cnfStyle w:val="001000000000" w:firstRow="0" w:lastRow="0" w:firstColumn="1" w:lastColumn="0" w:oddVBand="0" w:evenVBand="0" w:oddHBand="0" w:evenHBand="0" w:firstRowFirstColumn="0" w:firstRowLastColumn="0" w:lastRowFirstColumn="0" w:lastRowLastColumn="0"/>
            <w:tcW w:w="1122" w:type="dxa"/>
            <w:vMerge/>
            <w:tcBorders>
              <w:right w:val="none" w:sz="0" w:space="0" w:color="auto"/>
            </w:tcBorders>
            <w:hideMark/>
          </w:tcPr>
          <w:p w14:paraId="4F40F4EE" w14:textId="77777777" w:rsidR="00826536" w:rsidRPr="007A1075" w:rsidRDefault="00826536" w:rsidP="00826536">
            <w:pPr>
              <w:pStyle w:val="TableText"/>
            </w:pPr>
          </w:p>
        </w:tc>
        <w:tc>
          <w:tcPr>
            <w:tcW w:w="1407" w:type="dxa"/>
            <w:vMerge/>
            <w:hideMark/>
          </w:tcPr>
          <w:p w14:paraId="0A013FC2" w14:textId="77777777" w:rsidR="00826536" w:rsidRPr="007A1075" w:rsidRDefault="00826536" w:rsidP="00826536">
            <w:pPr>
              <w:pStyle w:val="TableText"/>
              <w:cnfStyle w:val="000000000000" w:firstRow="0" w:lastRow="0" w:firstColumn="0" w:lastColumn="0" w:oddVBand="0" w:evenVBand="0" w:oddHBand="0" w:evenHBand="0" w:firstRowFirstColumn="0" w:firstRowLastColumn="0" w:lastRowFirstColumn="0" w:lastRowLastColumn="0"/>
            </w:pPr>
          </w:p>
        </w:tc>
        <w:tc>
          <w:tcPr>
            <w:tcW w:w="1697" w:type="dxa"/>
            <w:vMerge/>
            <w:hideMark/>
          </w:tcPr>
          <w:p w14:paraId="6CF79B2A" w14:textId="77777777" w:rsidR="00826536" w:rsidRPr="007A1075" w:rsidRDefault="00826536" w:rsidP="00826536">
            <w:pPr>
              <w:pStyle w:val="TableText"/>
              <w:cnfStyle w:val="000000000000" w:firstRow="0" w:lastRow="0" w:firstColumn="0" w:lastColumn="0" w:oddVBand="0" w:evenVBand="0" w:oddHBand="0" w:evenHBand="0" w:firstRowFirstColumn="0" w:firstRowLastColumn="0" w:lastRowFirstColumn="0" w:lastRowLastColumn="0"/>
            </w:pPr>
          </w:p>
        </w:tc>
        <w:tc>
          <w:tcPr>
            <w:tcW w:w="3766" w:type="dxa"/>
            <w:noWrap/>
            <w:hideMark/>
          </w:tcPr>
          <w:p w14:paraId="7208821B" w14:textId="77777777" w:rsidR="00826536" w:rsidRPr="007A1075" w:rsidRDefault="00826536" w:rsidP="00826536">
            <w:pPr>
              <w:pStyle w:val="TableText"/>
              <w:cnfStyle w:val="000000000000" w:firstRow="0" w:lastRow="0" w:firstColumn="0" w:lastColumn="0" w:oddVBand="0" w:evenVBand="0" w:oddHBand="0" w:evenHBand="0" w:firstRowFirstColumn="0" w:firstRowLastColumn="0" w:lastRowFirstColumn="0" w:lastRowLastColumn="0"/>
            </w:pPr>
            <w:r w:rsidRPr="007A1075">
              <w:t>Changed impact of immediate crisis</w:t>
            </w:r>
          </w:p>
        </w:tc>
        <w:tc>
          <w:tcPr>
            <w:tcW w:w="1455" w:type="dxa"/>
            <w:noWrap/>
            <w:hideMark/>
          </w:tcPr>
          <w:p w14:paraId="4B743CB8" w14:textId="1CA30573" w:rsidR="00826536" w:rsidRPr="007A1075" w:rsidRDefault="00D7681F" w:rsidP="00826536">
            <w:pPr>
              <w:pStyle w:val="TableText"/>
              <w:cnfStyle w:val="000000000000" w:firstRow="0" w:lastRow="0" w:firstColumn="0" w:lastColumn="0" w:oddVBand="0" w:evenVBand="0" w:oddHBand="0" w:evenHBand="0" w:firstRowFirstColumn="0" w:firstRowLastColumn="0" w:lastRowFirstColumn="0" w:lastRowLastColumn="0"/>
            </w:pPr>
            <w:r w:rsidRPr="00A9677F">
              <w:t>1.13</w:t>
            </w:r>
          </w:p>
        </w:tc>
        <w:tc>
          <w:tcPr>
            <w:tcW w:w="1393" w:type="dxa"/>
            <w:noWrap/>
            <w:hideMark/>
          </w:tcPr>
          <w:p w14:paraId="454A42DF" w14:textId="77FDD0D5" w:rsidR="00826536" w:rsidRPr="007A1075" w:rsidRDefault="00D7681F" w:rsidP="00826536">
            <w:pPr>
              <w:pStyle w:val="TableText"/>
              <w:cnfStyle w:val="000000000000" w:firstRow="0" w:lastRow="0" w:firstColumn="0" w:lastColumn="0" w:oddVBand="0" w:evenVBand="0" w:oddHBand="0" w:evenHBand="0" w:firstRowFirstColumn="0" w:firstRowLastColumn="0" w:lastRowFirstColumn="0" w:lastRowLastColumn="0"/>
            </w:pPr>
            <w:r w:rsidRPr="00A9677F">
              <w:t>1652</w:t>
            </w:r>
          </w:p>
        </w:tc>
        <w:tc>
          <w:tcPr>
            <w:tcW w:w="859" w:type="dxa"/>
            <w:noWrap/>
            <w:hideMark/>
          </w:tcPr>
          <w:p w14:paraId="4CF451A8" w14:textId="6FC70282" w:rsidR="00826536" w:rsidRPr="007A1075" w:rsidRDefault="00D7681F" w:rsidP="00826536">
            <w:pPr>
              <w:pStyle w:val="TableText"/>
              <w:cnfStyle w:val="000000000000" w:firstRow="0" w:lastRow="0" w:firstColumn="0" w:lastColumn="0" w:oddVBand="0" w:evenVBand="0" w:oddHBand="0" w:evenHBand="0" w:firstRowFirstColumn="0" w:firstRowLastColumn="0" w:lastRowFirstColumn="0" w:lastRowLastColumn="0"/>
            </w:pPr>
            <w:r w:rsidRPr="00A9677F">
              <w:t>228</w:t>
            </w:r>
          </w:p>
        </w:tc>
        <w:tc>
          <w:tcPr>
            <w:tcW w:w="790" w:type="dxa"/>
            <w:noWrap/>
            <w:hideMark/>
          </w:tcPr>
          <w:p w14:paraId="53ED8268" w14:textId="77777777" w:rsidR="00826536" w:rsidRPr="007A1075" w:rsidRDefault="00826536" w:rsidP="00826536">
            <w:pPr>
              <w:pStyle w:val="TableText"/>
              <w:cnfStyle w:val="000000000000" w:firstRow="0" w:lastRow="0" w:firstColumn="0" w:lastColumn="0" w:oddVBand="0" w:evenVBand="0" w:oddHBand="0" w:evenHBand="0" w:firstRowFirstColumn="0" w:firstRowLastColumn="0" w:lastRowFirstColumn="0" w:lastRowLastColumn="0"/>
            </w:pPr>
            <w:r w:rsidRPr="007A1075">
              <w:t>&lt;.001</w:t>
            </w:r>
          </w:p>
        </w:tc>
        <w:tc>
          <w:tcPr>
            <w:tcW w:w="1455" w:type="dxa"/>
            <w:noWrap/>
            <w:hideMark/>
          </w:tcPr>
          <w:p w14:paraId="59B0AA98" w14:textId="3611F102" w:rsidR="00826536" w:rsidRPr="007A1075" w:rsidRDefault="00826536" w:rsidP="00826536">
            <w:pPr>
              <w:pStyle w:val="TableText"/>
              <w:cnfStyle w:val="000000000000" w:firstRow="0" w:lastRow="0" w:firstColumn="0" w:lastColumn="0" w:oddVBand="0" w:evenVBand="0" w:oddHBand="0" w:evenHBand="0" w:firstRowFirstColumn="0" w:firstRowLastColumn="0" w:lastRowFirstColumn="0" w:lastRowLastColumn="0"/>
            </w:pPr>
            <w:r w:rsidRPr="00E44990">
              <w:t>66.2% (n=151)</w:t>
            </w:r>
          </w:p>
        </w:tc>
      </w:tr>
      <w:tr w:rsidR="00826536" w:rsidRPr="007A1075" w14:paraId="5ECB69F3" w14:textId="77777777" w:rsidTr="0078378F">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122" w:type="dxa"/>
            <w:vMerge/>
            <w:tcBorders>
              <w:top w:val="none" w:sz="0" w:space="0" w:color="auto"/>
              <w:bottom w:val="none" w:sz="0" w:space="0" w:color="auto"/>
              <w:right w:val="none" w:sz="0" w:space="0" w:color="auto"/>
            </w:tcBorders>
            <w:hideMark/>
          </w:tcPr>
          <w:p w14:paraId="70F87E4A" w14:textId="77777777" w:rsidR="00826536" w:rsidRPr="007A1075" w:rsidRDefault="00826536" w:rsidP="00826536">
            <w:pPr>
              <w:pStyle w:val="TableText"/>
            </w:pPr>
          </w:p>
        </w:tc>
        <w:tc>
          <w:tcPr>
            <w:tcW w:w="1407" w:type="dxa"/>
            <w:vMerge/>
            <w:tcBorders>
              <w:top w:val="none" w:sz="0" w:space="0" w:color="auto"/>
              <w:bottom w:val="none" w:sz="0" w:space="0" w:color="auto"/>
            </w:tcBorders>
            <w:hideMark/>
          </w:tcPr>
          <w:p w14:paraId="0811D658" w14:textId="77777777" w:rsidR="00826536" w:rsidRPr="007A1075" w:rsidRDefault="00826536" w:rsidP="00826536">
            <w:pPr>
              <w:pStyle w:val="TableText"/>
              <w:cnfStyle w:val="000000100000" w:firstRow="0" w:lastRow="0" w:firstColumn="0" w:lastColumn="0" w:oddVBand="0" w:evenVBand="0" w:oddHBand="1" w:evenHBand="0" w:firstRowFirstColumn="0" w:firstRowLastColumn="0" w:lastRowFirstColumn="0" w:lastRowLastColumn="0"/>
            </w:pPr>
          </w:p>
        </w:tc>
        <w:tc>
          <w:tcPr>
            <w:tcW w:w="1697" w:type="dxa"/>
            <w:vMerge/>
            <w:tcBorders>
              <w:top w:val="none" w:sz="0" w:space="0" w:color="auto"/>
              <w:bottom w:val="none" w:sz="0" w:space="0" w:color="auto"/>
            </w:tcBorders>
            <w:hideMark/>
          </w:tcPr>
          <w:p w14:paraId="2F58B261" w14:textId="77777777" w:rsidR="00826536" w:rsidRPr="007A1075" w:rsidRDefault="00826536" w:rsidP="00826536">
            <w:pPr>
              <w:pStyle w:val="TableText"/>
              <w:cnfStyle w:val="000000100000" w:firstRow="0" w:lastRow="0" w:firstColumn="0" w:lastColumn="0" w:oddVBand="0" w:evenVBand="0" w:oddHBand="1" w:evenHBand="0" w:firstRowFirstColumn="0" w:firstRowLastColumn="0" w:lastRowFirstColumn="0" w:lastRowLastColumn="0"/>
            </w:pPr>
          </w:p>
        </w:tc>
        <w:tc>
          <w:tcPr>
            <w:tcW w:w="3766" w:type="dxa"/>
            <w:tcBorders>
              <w:top w:val="none" w:sz="0" w:space="0" w:color="auto"/>
              <w:bottom w:val="none" w:sz="0" w:space="0" w:color="auto"/>
            </w:tcBorders>
            <w:noWrap/>
            <w:hideMark/>
          </w:tcPr>
          <w:p w14:paraId="78C006DB" w14:textId="77777777" w:rsidR="00826536" w:rsidRPr="007A1075" w:rsidRDefault="00826536" w:rsidP="00826536">
            <w:pPr>
              <w:pStyle w:val="TableText"/>
              <w:cnfStyle w:val="000000100000" w:firstRow="0" w:lastRow="0" w:firstColumn="0" w:lastColumn="0" w:oddVBand="0" w:evenVBand="0" w:oddHBand="1" w:evenHBand="0" w:firstRowFirstColumn="0" w:firstRowLastColumn="0" w:lastRowFirstColumn="0" w:lastRowLastColumn="0"/>
            </w:pPr>
            <w:r w:rsidRPr="007A1075">
              <w:t>Changed knowledge and access to information</w:t>
            </w:r>
          </w:p>
        </w:tc>
        <w:tc>
          <w:tcPr>
            <w:tcW w:w="1455" w:type="dxa"/>
            <w:tcBorders>
              <w:top w:val="none" w:sz="0" w:space="0" w:color="auto"/>
              <w:bottom w:val="none" w:sz="0" w:space="0" w:color="auto"/>
            </w:tcBorders>
            <w:noWrap/>
            <w:hideMark/>
          </w:tcPr>
          <w:p w14:paraId="79D3F4AB" w14:textId="0145CAA6" w:rsidR="00826536" w:rsidRPr="007A1075" w:rsidRDefault="00826536" w:rsidP="00826536">
            <w:pPr>
              <w:pStyle w:val="TableText"/>
              <w:cnfStyle w:val="000000100000" w:firstRow="0" w:lastRow="0" w:firstColumn="0" w:lastColumn="0" w:oddVBand="0" w:evenVBand="0" w:oddHBand="1" w:evenHBand="0" w:firstRowFirstColumn="0" w:firstRowLastColumn="0" w:lastRowFirstColumn="0" w:lastRowLastColumn="0"/>
            </w:pPr>
            <w:r w:rsidRPr="007A1075">
              <w:t>1.</w:t>
            </w:r>
            <w:r w:rsidR="00D7681F" w:rsidRPr="00A9677F">
              <w:t>17</w:t>
            </w:r>
          </w:p>
        </w:tc>
        <w:tc>
          <w:tcPr>
            <w:tcW w:w="1393" w:type="dxa"/>
            <w:tcBorders>
              <w:top w:val="none" w:sz="0" w:space="0" w:color="auto"/>
              <w:bottom w:val="none" w:sz="0" w:space="0" w:color="auto"/>
            </w:tcBorders>
            <w:noWrap/>
            <w:hideMark/>
          </w:tcPr>
          <w:p w14:paraId="535E40BA" w14:textId="4829247A" w:rsidR="00826536" w:rsidRPr="007A1075" w:rsidRDefault="00D7681F" w:rsidP="00826536">
            <w:pPr>
              <w:pStyle w:val="TableText"/>
              <w:cnfStyle w:val="000000100000" w:firstRow="0" w:lastRow="0" w:firstColumn="0" w:lastColumn="0" w:oddVBand="0" w:evenVBand="0" w:oddHBand="1" w:evenHBand="0" w:firstRowFirstColumn="0" w:firstRowLastColumn="0" w:lastRowFirstColumn="0" w:lastRowLastColumn="0"/>
            </w:pPr>
            <w:r w:rsidRPr="00A9677F">
              <w:t>2334.5</w:t>
            </w:r>
          </w:p>
        </w:tc>
        <w:tc>
          <w:tcPr>
            <w:tcW w:w="859" w:type="dxa"/>
            <w:tcBorders>
              <w:top w:val="none" w:sz="0" w:space="0" w:color="auto"/>
              <w:bottom w:val="none" w:sz="0" w:space="0" w:color="auto"/>
            </w:tcBorders>
            <w:noWrap/>
            <w:hideMark/>
          </w:tcPr>
          <w:p w14:paraId="61E5FC1B" w14:textId="13EDC8B5" w:rsidR="00826536" w:rsidRPr="007A1075" w:rsidRDefault="00D7681F" w:rsidP="00826536">
            <w:pPr>
              <w:pStyle w:val="TableText"/>
              <w:cnfStyle w:val="000000100000" w:firstRow="0" w:lastRow="0" w:firstColumn="0" w:lastColumn="0" w:oddVBand="0" w:evenVBand="0" w:oddHBand="1" w:evenHBand="0" w:firstRowFirstColumn="0" w:firstRowLastColumn="0" w:lastRowFirstColumn="0" w:lastRowLastColumn="0"/>
            </w:pPr>
            <w:r w:rsidRPr="00A9677F">
              <w:t>296</w:t>
            </w:r>
          </w:p>
        </w:tc>
        <w:tc>
          <w:tcPr>
            <w:tcW w:w="790" w:type="dxa"/>
            <w:tcBorders>
              <w:top w:val="none" w:sz="0" w:space="0" w:color="auto"/>
              <w:bottom w:val="none" w:sz="0" w:space="0" w:color="auto"/>
            </w:tcBorders>
            <w:noWrap/>
            <w:hideMark/>
          </w:tcPr>
          <w:p w14:paraId="4F057E29" w14:textId="77777777" w:rsidR="00826536" w:rsidRPr="007A1075" w:rsidRDefault="00826536" w:rsidP="00826536">
            <w:pPr>
              <w:pStyle w:val="TableText"/>
              <w:cnfStyle w:val="000000100000" w:firstRow="0" w:lastRow="0" w:firstColumn="0" w:lastColumn="0" w:oddVBand="0" w:evenVBand="0" w:oddHBand="1" w:evenHBand="0" w:firstRowFirstColumn="0" w:firstRowLastColumn="0" w:lastRowFirstColumn="0" w:lastRowLastColumn="0"/>
            </w:pPr>
            <w:r w:rsidRPr="007A1075">
              <w:t>&lt;.001</w:t>
            </w:r>
          </w:p>
        </w:tc>
        <w:tc>
          <w:tcPr>
            <w:tcW w:w="1455" w:type="dxa"/>
            <w:tcBorders>
              <w:top w:val="none" w:sz="0" w:space="0" w:color="auto"/>
              <w:bottom w:val="none" w:sz="0" w:space="0" w:color="auto"/>
            </w:tcBorders>
            <w:noWrap/>
            <w:hideMark/>
          </w:tcPr>
          <w:p w14:paraId="20C5C962" w14:textId="199814C1" w:rsidR="00826536" w:rsidRPr="007A1075" w:rsidRDefault="00826536" w:rsidP="00826536">
            <w:pPr>
              <w:pStyle w:val="TableText"/>
              <w:cnfStyle w:val="000000100000" w:firstRow="0" w:lastRow="0" w:firstColumn="0" w:lastColumn="0" w:oddVBand="0" w:evenVBand="0" w:oddHBand="1" w:evenHBand="0" w:firstRowFirstColumn="0" w:firstRowLastColumn="0" w:lastRowFirstColumn="0" w:lastRowLastColumn="0"/>
            </w:pPr>
            <w:r w:rsidRPr="00E44990">
              <w:t>64.2% (n=190)</w:t>
            </w:r>
          </w:p>
        </w:tc>
      </w:tr>
      <w:tr w:rsidR="00826536" w:rsidRPr="007A1075" w14:paraId="44635F6F" w14:textId="77777777" w:rsidTr="0078378F">
        <w:trPr>
          <w:trHeight w:val="290"/>
        </w:trPr>
        <w:tc>
          <w:tcPr>
            <w:cnfStyle w:val="001000000000" w:firstRow="0" w:lastRow="0" w:firstColumn="1" w:lastColumn="0" w:oddVBand="0" w:evenVBand="0" w:oddHBand="0" w:evenHBand="0" w:firstRowFirstColumn="0" w:firstRowLastColumn="0" w:lastRowFirstColumn="0" w:lastRowLastColumn="0"/>
            <w:tcW w:w="1122" w:type="dxa"/>
            <w:vMerge/>
            <w:tcBorders>
              <w:right w:val="none" w:sz="0" w:space="0" w:color="auto"/>
            </w:tcBorders>
            <w:hideMark/>
          </w:tcPr>
          <w:p w14:paraId="3CAC75B4" w14:textId="77777777" w:rsidR="00826536" w:rsidRPr="007A1075" w:rsidRDefault="00826536" w:rsidP="00826536">
            <w:pPr>
              <w:pStyle w:val="TableText"/>
            </w:pPr>
          </w:p>
        </w:tc>
        <w:tc>
          <w:tcPr>
            <w:tcW w:w="1407" w:type="dxa"/>
            <w:vMerge/>
            <w:hideMark/>
          </w:tcPr>
          <w:p w14:paraId="3F2C5FD8" w14:textId="77777777" w:rsidR="00826536" w:rsidRPr="007A1075" w:rsidRDefault="00826536" w:rsidP="00826536">
            <w:pPr>
              <w:pStyle w:val="TableText"/>
              <w:cnfStyle w:val="000000000000" w:firstRow="0" w:lastRow="0" w:firstColumn="0" w:lastColumn="0" w:oddVBand="0" w:evenVBand="0" w:oddHBand="0" w:evenHBand="0" w:firstRowFirstColumn="0" w:firstRowLastColumn="0" w:lastRowFirstColumn="0" w:lastRowLastColumn="0"/>
            </w:pPr>
          </w:p>
        </w:tc>
        <w:tc>
          <w:tcPr>
            <w:tcW w:w="1697" w:type="dxa"/>
            <w:vMerge/>
            <w:hideMark/>
          </w:tcPr>
          <w:p w14:paraId="2465B910" w14:textId="77777777" w:rsidR="00826536" w:rsidRPr="007A1075" w:rsidRDefault="00826536" w:rsidP="00826536">
            <w:pPr>
              <w:pStyle w:val="TableText"/>
              <w:cnfStyle w:val="000000000000" w:firstRow="0" w:lastRow="0" w:firstColumn="0" w:lastColumn="0" w:oddVBand="0" w:evenVBand="0" w:oddHBand="0" w:evenHBand="0" w:firstRowFirstColumn="0" w:firstRowLastColumn="0" w:lastRowFirstColumn="0" w:lastRowLastColumn="0"/>
            </w:pPr>
          </w:p>
        </w:tc>
        <w:tc>
          <w:tcPr>
            <w:tcW w:w="3766" w:type="dxa"/>
            <w:noWrap/>
            <w:hideMark/>
          </w:tcPr>
          <w:p w14:paraId="6D795B40" w14:textId="77777777" w:rsidR="00826536" w:rsidRPr="007A1075" w:rsidRDefault="00826536" w:rsidP="00826536">
            <w:pPr>
              <w:pStyle w:val="TableText"/>
              <w:cnfStyle w:val="000000000000" w:firstRow="0" w:lastRow="0" w:firstColumn="0" w:lastColumn="0" w:oddVBand="0" w:evenVBand="0" w:oddHBand="0" w:evenHBand="0" w:firstRowFirstColumn="0" w:firstRowLastColumn="0" w:lastRowFirstColumn="0" w:lastRowLastColumn="0"/>
            </w:pPr>
            <w:r w:rsidRPr="007A1075">
              <w:t>Changed skills</w:t>
            </w:r>
          </w:p>
        </w:tc>
        <w:tc>
          <w:tcPr>
            <w:tcW w:w="1455" w:type="dxa"/>
            <w:noWrap/>
            <w:hideMark/>
          </w:tcPr>
          <w:p w14:paraId="63AE882E" w14:textId="465F54EA" w:rsidR="00826536" w:rsidRPr="007A1075" w:rsidRDefault="00D7681F" w:rsidP="00826536">
            <w:pPr>
              <w:pStyle w:val="TableText"/>
              <w:cnfStyle w:val="000000000000" w:firstRow="0" w:lastRow="0" w:firstColumn="0" w:lastColumn="0" w:oddVBand="0" w:evenVBand="0" w:oddHBand="0" w:evenHBand="0" w:firstRowFirstColumn="0" w:firstRowLastColumn="0" w:lastRowFirstColumn="0" w:lastRowLastColumn="0"/>
            </w:pPr>
            <w:r w:rsidRPr="00A9677F">
              <w:t>0.8</w:t>
            </w:r>
          </w:p>
        </w:tc>
        <w:tc>
          <w:tcPr>
            <w:tcW w:w="1393" w:type="dxa"/>
            <w:noWrap/>
            <w:hideMark/>
          </w:tcPr>
          <w:p w14:paraId="39AB3623" w14:textId="67E8F896" w:rsidR="00826536" w:rsidRPr="007A1075" w:rsidRDefault="00D7681F" w:rsidP="00826536">
            <w:pPr>
              <w:pStyle w:val="TableText"/>
              <w:cnfStyle w:val="000000000000" w:firstRow="0" w:lastRow="0" w:firstColumn="0" w:lastColumn="0" w:oddVBand="0" w:evenVBand="0" w:oddHBand="0" w:evenHBand="0" w:firstRowFirstColumn="0" w:firstRowLastColumn="0" w:lastRowFirstColumn="0" w:lastRowLastColumn="0"/>
            </w:pPr>
            <w:r w:rsidRPr="00A9677F">
              <w:t>3243</w:t>
            </w:r>
          </w:p>
        </w:tc>
        <w:tc>
          <w:tcPr>
            <w:tcW w:w="859" w:type="dxa"/>
            <w:noWrap/>
            <w:hideMark/>
          </w:tcPr>
          <w:p w14:paraId="7848A5FE" w14:textId="76C6EF3B" w:rsidR="00826536" w:rsidRPr="007A1075" w:rsidRDefault="00D7681F" w:rsidP="00826536">
            <w:pPr>
              <w:pStyle w:val="TableText"/>
              <w:cnfStyle w:val="000000000000" w:firstRow="0" w:lastRow="0" w:firstColumn="0" w:lastColumn="0" w:oddVBand="0" w:evenVBand="0" w:oddHBand="0" w:evenHBand="0" w:firstRowFirstColumn="0" w:firstRowLastColumn="0" w:lastRowFirstColumn="0" w:lastRowLastColumn="0"/>
            </w:pPr>
            <w:r w:rsidRPr="00A9677F">
              <w:t>259</w:t>
            </w:r>
          </w:p>
        </w:tc>
        <w:tc>
          <w:tcPr>
            <w:tcW w:w="790" w:type="dxa"/>
            <w:noWrap/>
            <w:hideMark/>
          </w:tcPr>
          <w:p w14:paraId="1614F3D7" w14:textId="77777777" w:rsidR="00826536" w:rsidRPr="007A1075" w:rsidRDefault="00826536" w:rsidP="00826536">
            <w:pPr>
              <w:pStyle w:val="TableText"/>
              <w:cnfStyle w:val="000000000000" w:firstRow="0" w:lastRow="0" w:firstColumn="0" w:lastColumn="0" w:oddVBand="0" w:evenVBand="0" w:oddHBand="0" w:evenHBand="0" w:firstRowFirstColumn="0" w:firstRowLastColumn="0" w:lastRowFirstColumn="0" w:lastRowLastColumn="0"/>
            </w:pPr>
            <w:r w:rsidRPr="007A1075">
              <w:t>&lt;.001</w:t>
            </w:r>
          </w:p>
        </w:tc>
        <w:tc>
          <w:tcPr>
            <w:tcW w:w="1455" w:type="dxa"/>
            <w:noWrap/>
            <w:hideMark/>
          </w:tcPr>
          <w:p w14:paraId="3CDB4E9B" w14:textId="07860CC8" w:rsidR="00826536" w:rsidRPr="007A1075" w:rsidRDefault="00826536" w:rsidP="00826536">
            <w:pPr>
              <w:pStyle w:val="TableText"/>
              <w:cnfStyle w:val="000000000000" w:firstRow="0" w:lastRow="0" w:firstColumn="0" w:lastColumn="0" w:oddVBand="0" w:evenVBand="0" w:oddHBand="0" w:evenHBand="0" w:firstRowFirstColumn="0" w:firstRowLastColumn="0" w:lastRowFirstColumn="0" w:lastRowLastColumn="0"/>
            </w:pPr>
            <w:r w:rsidRPr="00E44990">
              <w:t>56.8% (n=147)</w:t>
            </w:r>
          </w:p>
        </w:tc>
      </w:tr>
      <w:tr w:rsidR="00826536" w:rsidRPr="007A1075" w14:paraId="120D2E8C" w14:textId="77777777" w:rsidTr="0078378F">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122" w:type="dxa"/>
            <w:vMerge/>
            <w:tcBorders>
              <w:top w:val="none" w:sz="0" w:space="0" w:color="auto"/>
              <w:bottom w:val="none" w:sz="0" w:space="0" w:color="auto"/>
              <w:right w:val="none" w:sz="0" w:space="0" w:color="auto"/>
            </w:tcBorders>
            <w:hideMark/>
          </w:tcPr>
          <w:p w14:paraId="3350F7F9" w14:textId="77777777" w:rsidR="00826536" w:rsidRPr="007A1075" w:rsidRDefault="00826536" w:rsidP="00826536">
            <w:pPr>
              <w:pStyle w:val="TableText"/>
            </w:pPr>
          </w:p>
        </w:tc>
        <w:tc>
          <w:tcPr>
            <w:tcW w:w="1407" w:type="dxa"/>
            <w:vMerge/>
            <w:tcBorders>
              <w:top w:val="none" w:sz="0" w:space="0" w:color="auto"/>
              <w:bottom w:val="none" w:sz="0" w:space="0" w:color="auto"/>
            </w:tcBorders>
            <w:hideMark/>
          </w:tcPr>
          <w:p w14:paraId="4445CC58" w14:textId="77777777" w:rsidR="00826536" w:rsidRPr="007A1075" w:rsidRDefault="00826536" w:rsidP="00826536">
            <w:pPr>
              <w:pStyle w:val="TableText"/>
              <w:cnfStyle w:val="000000100000" w:firstRow="0" w:lastRow="0" w:firstColumn="0" w:lastColumn="0" w:oddVBand="0" w:evenVBand="0" w:oddHBand="1" w:evenHBand="0" w:firstRowFirstColumn="0" w:firstRowLastColumn="0" w:lastRowFirstColumn="0" w:lastRowLastColumn="0"/>
            </w:pPr>
          </w:p>
        </w:tc>
        <w:tc>
          <w:tcPr>
            <w:tcW w:w="1697" w:type="dxa"/>
            <w:vMerge/>
            <w:tcBorders>
              <w:top w:val="none" w:sz="0" w:space="0" w:color="auto"/>
              <w:bottom w:val="none" w:sz="0" w:space="0" w:color="auto"/>
            </w:tcBorders>
            <w:hideMark/>
          </w:tcPr>
          <w:p w14:paraId="44BD3159" w14:textId="77777777" w:rsidR="00826536" w:rsidRPr="007A1075" w:rsidRDefault="00826536" w:rsidP="00826536">
            <w:pPr>
              <w:pStyle w:val="TableText"/>
              <w:cnfStyle w:val="000000100000" w:firstRow="0" w:lastRow="0" w:firstColumn="0" w:lastColumn="0" w:oddVBand="0" w:evenVBand="0" w:oddHBand="1" w:evenHBand="0" w:firstRowFirstColumn="0" w:firstRowLastColumn="0" w:lastRowFirstColumn="0" w:lastRowLastColumn="0"/>
            </w:pPr>
          </w:p>
        </w:tc>
        <w:tc>
          <w:tcPr>
            <w:tcW w:w="3766" w:type="dxa"/>
            <w:tcBorders>
              <w:top w:val="none" w:sz="0" w:space="0" w:color="auto"/>
              <w:bottom w:val="none" w:sz="0" w:space="0" w:color="auto"/>
            </w:tcBorders>
            <w:noWrap/>
            <w:hideMark/>
          </w:tcPr>
          <w:p w14:paraId="291AF3F5" w14:textId="77777777" w:rsidR="00826536" w:rsidRPr="007A1075" w:rsidRDefault="00826536" w:rsidP="00826536">
            <w:pPr>
              <w:pStyle w:val="TableText"/>
              <w:cnfStyle w:val="000000100000" w:firstRow="0" w:lastRow="0" w:firstColumn="0" w:lastColumn="0" w:oddVBand="0" w:evenVBand="0" w:oddHBand="1" w:evenHBand="0" w:firstRowFirstColumn="0" w:firstRowLastColumn="0" w:lastRowFirstColumn="0" w:lastRowLastColumn="0"/>
            </w:pPr>
            <w:r w:rsidRPr="57F92EFB">
              <w:rPr>
                <w:lang w:val="en-NZ"/>
              </w:rPr>
              <w:t>Empowerment, choice and control to make own decisions</w:t>
            </w:r>
          </w:p>
        </w:tc>
        <w:tc>
          <w:tcPr>
            <w:tcW w:w="1455" w:type="dxa"/>
            <w:tcBorders>
              <w:top w:val="none" w:sz="0" w:space="0" w:color="auto"/>
              <w:bottom w:val="none" w:sz="0" w:space="0" w:color="auto"/>
            </w:tcBorders>
            <w:noWrap/>
            <w:hideMark/>
          </w:tcPr>
          <w:p w14:paraId="0A0DC291" w14:textId="541C859A" w:rsidR="00826536" w:rsidRPr="007A1075" w:rsidRDefault="00D7681F" w:rsidP="00826536">
            <w:pPr>
              <w:pStyle w:val="TableText"/>
              <w:cnfStyle w:val="000000100000" w:firstRow="0" w:lastRow="0" w:firstColumn="0" w:lastColumn="0" w:oddVBand="0" w:evenVBand="0" w:oddHBand="1" w:evenHBand="0" w:firstRowFirstColumn="0" w:firstRowLastColumn="0" w:lastRowFirstColumn="0" w:lastRowLastColumn="0"/>
            </w:pPr>
            <w:r w:rsidRPr="00A9677F">
              <w:t>0.89</w:t>
            </w:r>
          </w:p>
        </w:tc>
        <w:tc>
          <w:tcPr>
            <w:tcW w:w="1393" w:type="dxa"/>
            <w:tcBorders>
              <w:top w:val="none" w:sz="0" w:space="0" w:color="auto"/>
              <w:bottom w:val="none" w:sz="0" w:space="0" w:color="auto"/>
            </w:tcBorders>
            <w:noWrap/>
            <w:hideMark/>
          </w:tcPr>
          <w:p w14:paraId="4CEDEFDE" w14:textId="1FB399ED" w:rsidR="00826536" w:rsidRPr="007A1075" w:rsidRDefault="00D7681F" w:rsidP="00826536">
            <w:pPr>
              <w:pStyle w:val="TableText"/>
              <w:cnfStyle w:val="000000100000" w:firstRow="0" w:lastRow="0" w:firstColumn="0" w:lastColumn="0" w:oddVBand="0" w:evenVBand="0" w:oddHBand="1" w:evenHBand="0" w:firstRowFirstColumn="0" w:firstRowLastColumn="0" w:lastRowFirstColumn="0" w:lastRowLastColumn="0"/>
            </w:pPr>
            <w:r w:rsidRPr="00A9677F">
              <w:t>3021</w:t>
            </w:r>
          </w:p>
        </w:tc>
        <w:tc>
          <w:tcPr>
            <w:tcW w:w="859" w:type="dxa"/>
            <w:tcBorders>
              <w:top w:val="none" w:sz="0" w:space="0" w:color="auto"/>
              <w:bottom w:val="none" w:sz="0" w:space="0" w:color="auto"/>
            </w:tcBorders>
            <w:noWrap/>
            <w:hideMark/>
          </w:tcPr>
          <w:p w14:paraId="5F180485" w14:textId="71B9286C" w:rsidR="00826536" w:rsidRPr="007A1075" w:rsidRDefault="00D7681F" w:rsidP="00826536">
            <w:pPr>
              <w:pStyle w:val="TableText"/>
              <w:cnfStyle w:val="000000100000" w:firstRow="0" w:lastRow="0" w:firstColumn="0" w:lastColumn="0" w:oddVBand="0" w:evenVBand="0" w:oddHBand="1" w:evenHBand="0" w:firstRowFirstColumn="0" w:firstRowLastColumn="0" w:lastRowFirstColumn="0" w:lastRowLastColumn="0"/>
            </w:pPr>
            <w:r w:rsidRPr="00A9677F">
              <w:t>275</w:t>
            </w:r>
          </w:p>
        </w:tc>
        <w:tc>
          <w:tcPr>
            <w:tcW w:w="790" w:type="dxa"/>
            <w:tcBorders>
              <w:top w:val="none" w:sz="0" w:space="0" w:color="auto"/>
              <w:bottom w:val="none" w:sz="0" w:space="0" w:color="auto"/>
            </w:tcBorders>
            <w:noWrap/>
            <w:hideMark/>
          </w:tcPr>
          <w:p w14:paraId="3772393C" w14:textId="77777777" w:rsidR="00826536" w:rsidRPr="007A1075" w:rsidRDefault="00826536" w:rsidP="00826536">
            <w:pPr>
              <w:pStyle w:val="TableText"/>
              <w:cnfStyle w:val="000000100000" w:firstRow="0" w:lastRow="0" w:firstColumn="0" w:lastColumn="0" w:oddVBand="0" w:evenVBand="0" w:oddHBand="1" w:evenHBand="0" w:firstRowFirstColumn="0" w:firstRowLastColumn="0" w:lastRowFirstColumn="0" w:lastRowLastColumn="0"/>
            </w:pPr>
            <w:r w:rsidRPr="007A1075">
              <w:t>&lt;.001</w:t>
            </w:r>
          </w:p>
        </w:tc>
        <w:tc>
          <w:tcPr>
            <w:tcW w:w="1455" w:type="dxa"/>
            <w:tcBorders>
              <w:top w:val="none" w:sz="0" w:space="0" w:color="auto"/>
              <w:bottom w:val="none" w:sz="0" w:space="0" w:color="auto"/>
            </w:tcBorders>
            <w:noWrap/>
            <w:hideMark/>
          </w:tcPr>
          <w:p w14:paraId="340A813F" w14:textId="203908EB" w:rsidR="00826536" w:rsidRPr="007A1075" w:rsidRDefault="00826536" w:rsidP="00826536">
            <w:pPr>
              <w:pStyle w:val="TableText"/>
              <w:cnfStyle w:val="000000100000" w:firstRow="0" w:lastRow="0" w:firstColumn="0" w:lastColumn="0" w:oddVBand="0" w:evenVBand="0" w:oddHBand="1" w:evenHBand="0" w:firstRowFirstColumn="0" w:firstRowLastColumn="0" w:lastRowFirstColumn="0" w:lastRowLastColumn="0"/>
            </w:pPr>
            <w:r w:rsidRPr="00E44990">
              <w:t>57.1% (n=157)</w:t>
            </w:r>
          </w:p>
        </w:tc>
      </w:tr>
      <w:tr w:rsidR="00826536" w:rsidRPr="007A1075" w14:paraId="3C6EC7AF" w14:textId="77777777" w:rsidTr="0078378F">
        <w:trPr>
          <w:trHeight w:val="290"/>
        </w:trPr>
        <w:tc>
          <w:tcPr>
            <w:cnfStyle w:val="001000000000" w:firstRow="0" w:lastRow="0" w:firstColumn="1" w:lastColumn="0" w:oddVBand="0" w:evenVBand="0" w:oddHBand="0" w:evenHBand="0" w:firstRowFirstColumn="0" w:firstRowLastColumn="0" w:lastRowFirstColumn="0" w:lastRowLastColumn="0"/>
            <w:tcW w:w="1122" w:type="dxa"/>
            <w:vMerge/>
            <w:tcBorders>
              <w:right w:val="none" w:sz="0" w:space="0" w:color="auto"/>
            </w:tcBorders>
            <w:hideMark/>
          </w:tcPr>
          <w:p w14:paraId="1EBF707A" w14:textId="77777777" w:rsidR="00826536" w:rsidRPr="007A1075" w:rsidRDefault="00826536" w:rsidP="00826536">
            <w:pPr>
              <w:pStyle w:val="TableText"/>
            </w:pPr>
          </w:p>
        </w:tc>
        <w:tc>
          <w:tcPr>
            <w:tcW w:w="1407" w:type="dxa"/>
            <w:vMerge/>
            <w:hideMark/>
          </w:tcPr>
          <w:p w14:paraId="314AB3F7" w14:textId="77777777" w:rsidR="00826536" w:rsidRPr="007A1075" w:rsidRDefault="00826536" w:rsidP="00826536">
            <w:pPr>
              <w:pStyle w:val="TableText"/>
              <w:cnfStyle w:val="000000000000" w:firstRow="0" w:lastRow="0" w:firstColumn="0" w:lastColumn="0" w:oddVBand="0" w:evenVBand="0" w:oddHBand="0" w:evenHBand="0" w:firstRowFirstColumn="0" w:firstRowLastColumn="0" w:lastRowFirstColumn="0" w:lastRowLastColumn="0"/>
            </w:pPr>
          </w:p>
        </w:tc>
        <w:tc>
          <w:tcPr>
            <w:tcW w:w="1697" w:type="dxa"/>
            <w:vMerge/>
            <w:hideMark/>
          </w:tcPr>
          <w:p w14:paraId="19E6D4B0" w14:textId="77777777" w:rsidR="00826536" w:rsidRPr="007A1075" w:rsidRDefault="00826536" w:rsidP="00826536">
            <w:pPr>
              <w:pStyle w:val="TableText"/>
              <w:cnfStyle w:val="000000000000" w:firstRow="0" w:lastRow="0" w:firstColumn="0" w:lastColumn="0" w:oddVBand="0" w:evenVBand="0" w:oddHBand="0" w:evenHBand="0" w:firstRowFirstColumn="0" w:firstRowLastColumn="0" w:lastRowFirstColumn="0" w:lastRowLastColumn="0"/>
            </w:pPr>
          </w:p>
        </w:tc>
        <w:tc>
          <w:tcPr>
            <w:tcW w:w="3766" w:type="dxa"/>
            <w:noWrap/>
            <w:hideMark/>
          </w:tcPr>
          <w:p w14:paraId="477A2221" w14:textId="77777777" w:rsidR="00826536" w:rsidRPr="007A1075" w:rsidRDefault="00826536" w:rsidP="00826536">
            <w:pPr>
              <w:pStyle w:val="TableText"/>
              <w:cnfStyle w:val="000000000000" w:firstRow="0" w:lastRow="0" w:firstColumn="0" w:lastColumn="0" w:oddVBand="0" w:evenVBand="0" w:oddHBand="0" w:evenHBand="0" w:firstRowFirstColumn="0" w:firstRowLastColumn="0" w:lastRowFirstColumn="0" w:lastRowLastColumn="0"/>
            </w:pPr>
            <w:r w:rsidRPr="007A1075">
              <w:t>Engagement with relevant support services</w:t>
            </w:r>
          </w:p>
        </w:tc>
        <w:tc>
          <w:tcPr>
            <w:tcW w:w="1455" w:type="dxa"/>
            <w:noWrap/>
            <w:hideMark/>
          </w:tcPr>
          <w:p w14:paraId="337C1CB0" w14:textId="08551079" w:rsidR="00826536" w:rsidRPr="007A1075" w:rsidRDefault="00826536" w:rsidP="00826536">
            <w:pPr>
              <w:pStyle w:val="TableText"/>
              <w:cnfStyle w:val="000000000000" w:firstRow="0" w:lastRow="0" w:firstColumn="0" w:lastColumn="0" w:oddVBand="0" w:evenVBand="0" w:oddHBand="0" w:evenHBand="0" w:firstRowFirstColumn="0" w:firstRowLastColumn="0" w:lastRowFirstColumn="0" w:lastRowLastColumn="0"/>
            </w:pPr>
            <w:r w:rsidRPr="007A1075">
              <w:t>0.</w:t>
            </w:r>
            <w:r w:rsidR="00D7681F" w:rsidRPr="00A9677F">
              <w:t>94</w:t>
            </w:r>
          </w:p>
        </w:tc>
        <w:tc>
          <w:tcPr>
            <w:tcW w:w="1393" w:type="dxa"/>
            <w:noWrap/>
            <w:hideMark/>
          </w:tcPr>
          <w:p w14:paraId="3B655777" w14:textId="5200F40E" w:rsidR="00826536" w:rsidRPr="007A1075" w:rsidRDefault="00D7681F" w:rsidP="00826536">
            <w:pPr>
              <w:pStyle w:val="TableText"/>
              <w:cnfStyle w:val="000000000000" w:firstRow="0" w:lastRow="0" w:firstColumn="0" w:lastColumn="0" w:oddVBand="0" w:evenVBand="0" w:oddHBand="0" w:evenHBand="0" w:firstRowFirstColumn="0" w:firstRowLastColumn="0" w:lastRowFirstColumn="0" w:lastRowLastColumn="0"/>
            </w:pPr>
            <w:r w:rsidRPr="00A9677F">
              <w:t>2779</w:t>
            </w:r>
          </w:p>
        </w:tc>
        <w:tc>
          <w:tcPr>
            <w:tcW w:w="859" w:type="dxa"/>
            <w:noWrap/>
            <w:hideMark/>
          </w:tcPr>
          <w:p w14:paraId="39D94DAB" w14:textId="27B9DD83" w:rsidR="00826536" w:rsidRPr="007A1075" w:rsidRDefault="00D7681F" w:rsidP="00826536">
            <w:pPr>
              <w:pStyle w:val="TableText"/>
              <w:cnfStyle w:val="000000000000" w:firstRow="0" w:lastRow="0" w:firstColumn="0" w:lastColumn="0" w:oddVBand="0" w:evenVBand="0" w:oddHBand="0" w:evenHBand="0" w:firstRowFirstColumn="0" w:firstRowLastColumn="0" w:lastRowFirstColumn="0" w:lastRowLastColumn="0"/>
            </w:pPr>
            <w:r w:rsidRPr="00A9677F">
              <w:t>261</w:t>
            </w:r>
          </w:p>
        </w:tc>
        <w:tc>
          <w:tcPr>
            <w:tcW w:w="790" w:type="dxa"/>
            <w:noWrap/>
            <w:hideMark/>
          </w:tcPr>
          <w:p w14:paraId="60856000" w14:textId="77777777" w:rsidR="00826536" w:rsidRPr="007A1075" w:rsidRDefault="00826536" w:rsidP="00826536">
            <w:pPr>
              <w:pStyle w:val="TableText"/>
              <w:cnfStyle w:val="000000000000" w:firstRow="0" w:lastRow="0" w:firstColumn="0" w:lastColumn="0" w:oddVBand="0" w:evenVBand="0" w:oddHBand="0" w:evenHBand="0" w:firstRowFirstColumn="0" w:firstRowLastColumn="0" w:lastRowFirstColumn="0" w:lastRowLastColumn="0"/>
            </w:pPr>
            <w:r w:rsidRPr="007A1075">
              <w:t>&lt;.001</w:t>
            </w:r>
          </w:p>
        </w:tc>
        <w:tc>
          <w:tcPr>
            <w:tcW w:w="1455" w:type="dxa"/>
            <w:noWrap/>
            <w:hideMark/>
          </w:tcPr>
          <w:p w14:paraId="77C0D9C1" w14:textId="7803805F" w:rsidR="00826536" w:rsidRPr="007A1075" w:rsidRDefault="00826536" w:rsidP="00826536">
            <w:pPr>
              <w:pStyle w:val="TableText"/>
              <w:cnfStyle w:val="000000000000" w:firstRow="0" w:lastRow="0" w:firstColumn="0" w:lastColumn="0" w:oddVBand="0" w:evenVBand="0" w:oddHBand="0" w:evenHBand="0" w:firstRowFirstColumn="0" w:firstRowLastColumn="0" w:lastRowFirstColumn="0" w:lastRowLastColumn="0"/>
            </w:pPr>
            <w:r w:rsidRPr="00E44990">
              <w:t>55.6% (n=145)</w:t>
            </w:r>
          </w:p>
        </w:tc>
      </w:tr>
    </w:tbl>
    <w:p w14:paraId="6BFE1896" w14:textId="77777777" w:rsidR="00DD5451" w:rsidRDefault="00DD5451" w:rsidP="00DD5451">
      <w:pPr>
        <w:rPr>
          <w:i/>
          <w:sz w:val="20"/>
          <w:szCs w:val="18"/>
        </w:rPr>
      </w:pPr>
      <w:r>
        <w:rPr>
          <w:i/>
          <w:sz w:val="20"/>
          <w:szCs w:val="18"/>
        </w:rPr>
        <w:t xml:space="preserve">Source: DEX-SCORE data </w:t>
      </w:r>
    </w:p>
    <w:p w14:paraId="5C732A37" w14:textId="77777777" w:rsidR="00BE3916" w:rsidRDefault="00BE3916" w:rsidP="15DD266E">
      <w:pPr>
        <w:rPr>
          <w:i/>
          <w:sz w:val="20"/>
          <w:szCs w:val="18"/>
        </w:rPr>
      </w:pPr>
    </w:p>
    <w:p w14:paraId="03CF66A4" w14:textId="77777777" w:rsidR="00BE3916" w:rsidRDefault="00BE3916" w:rsidP="15DD266E">
      <w:pPr>
        <w:rPr>
          <w:i/>
          <w:sz w:val="20"/>
          <w:szCs w:val="18"/>
        </w:rPr>
      </w:pPr>
    </w:p>
    <w:p w14:paraId="67E272DD" w14:textId="77777777" w:rsidR="00BE3916" w:rsidRDefault="00BE3916" w:rsidP="15DD266E">
      <w:pPr>
        <w:rPr>
          <w:i/>
          <w:sz w:val="20"/>
          <w:szCs w:val="18"/>
        </w:rPr>
      </w:pPr>
    </w:p>
    <w:p w14:paraId="5AE7C16B" w14:textId="77777777" w:rsidR="00D90D2A" w:rsidRDefault="00D90D2A" w:rsidP="15DD266E">
      <w:pPr>
        <w:rPr>
          <w:i/>
          <w:sz w:val="20"/>
          <w:szCs w:val="18"/>
        </w:rPr>
      </w:pPr>
    </w:p>
    <w:p w14:paraId="397A1A33" w14:textId="77777777" w:rsidR="00D90D2A" w:rsidRDefault="00D90D2A" w:rsidP="15DD266E">
      <w:pPr>
        <w:rPr>
          <w:i/>
          <w:sz w:val="20"/>
          <w:szCs w:val="18"/>
        </w:rPr>
      </w:pPr>
    </w:p>
    <w:p w14:paraId="3BC29D28" w14:textId="77777777" w:rsidR="00BC3586" w:rsidRDefault="00BC3586" w:rsidP="15DD266E">
      <w:pPr>
        <w:rPr>
          <w:i/>
          <w:sz w:val="20"/>
          <w:szCs w:val="18"/>
        </w:rPr>
      </w:pPr>
    </w:p>
    <w:p w14:paraId="44709E34" w14:textId="77777777" w:rsidR="00BC3586" w:rsidRDefault="00BC3586" w:rsidP="15DD266E">
      <w:pPr>
        <w:rPr>
          <w:i/>
          <w:sz w:val="20"/>
          <w:szCs w:val="18"/>
        </w:rPr>
      </w:pPr>
    </w:p>
    <w:p w14:paraId="77164992" w14:textId="77777777" w:rsidR="00BC3586" w:rsidRDefault="00BC3586" w:rsidP="15DD266E">
      <w:pPr>
        <w:rPr>
          <w:i/>
          <w:sz w:val="20"/>
          <w:szCs w:val="18"/>
        </w:rPr>
      </w:pPr>
    </w:p>
    <w:p w14:paraId="10E23AF5" w14:textId="77777777" w:rsidR="00BC3586" w:rsidRDefault="00BC3586" w:rsidP="15DD266E">
      <w:pPr>
        <w:rPr>
          <w:i/>
          <w:sz w:val="20"/>
          <w:szCs w:val="18"/>
        </w:rPr>
      </w:pPr>
    </w:p>
    <w:p w14:paraId="6050C303" w14:textId="77777777" w:rsidR="00302B4E" w:rsidRDefault="00302B4E" w:rsidP="15DD266E">
      <w:pPr>
        <w:rPr>
          <w:i/>
          <w:sz w:val="20"/>
          <w:szCs w:val="18"/>
        </w:rPr>
      </w:pPr>
    </w:p>
    <w:p w14:paraId="633342AD" w14:textId="1CB28D30" w:rsidR="007611DA" w:rsidRDefault="007611DA" w:rsidP="007611DA">
      <w:pPr>
        <w:pStyle w:val="Text-BodyHeading"/>
      </w:pPr>
      <w:r>
        <w:lastRenderedPageBreak/>
        <w:t xml:space="preserve">DEX data – gender </w:t>
      </w:r>
    </w:p>
    <w:p w14:paraId="33FE6193" w14:textId="751EB35F" w:rsidR="007611DA" w:rsidRPr="00925CD2" w:rsidRDefault="007611DA" w:rsidP="00811E31">
      <w:pPr>
        <w:pStyle w:val="TableFigure-Header"/>
        <w:spacing w:line="276" w:lineRule="auto"/>
        <w:rPr>
          <w:rStyle w:val="Text-Bold"/>
          <w:b/>
          <w:sz w:val="22"/>
          <w:szCs w:val="22"/>
          <w:lang w:val="en-NZ"/>
        </w:rPr>
      </w:pPr>
      <w:bookmarkStart w:id="604" w:name="_Ref204605211"/>
      <w:r w:rsidRPr="58DFBD8D">
        <w:rPr>
          <w:rStyle w:val="Text-Bold"/>
          <w:b/>
          <w:sz w:val="22"/>
          <w:szCs w:val="22"/>
          <w:lang w:val="en-NZ"/>
        </w:rPr>
        <w:t xml:space="preserve">Table </w:t>
      </w:r>
      <w:r w:rsidRPr="00925CD2">
        <w:rPr>
          <w:rStyle w:val="Text-Bold"/>
          <w:b/>
          <w:sz w:val="22"/>
          <w:szCs w:val="22"/>
        </w:rPr>
        <w:fldChar w:fldCharType="begin"/>
      </w:r>
      <w:r>
        <w:instrText xml:space="preserve"> SEQ Table \* ARABIC </w:instrText>
      </w:r>
      <w:r w:rsidRPr="00925CD2">
        <w:rPr>
          <w:rStyle w:val="Text-Bold"/>
          <w:b/>
          <w:sz w:val="22"/>
          <w:szCs w:val="22"/>
        </w:rPr>
        <w:fldChar w:fldCharType="separate"/>
      </w:r>
      <w:r w:rsidR="008D2566">
        <w:rPr>
          <w:noProof/>
        </w:rPr>
        <w:t>63</w:t>
      </w:r>
      <w:r w:rsidRPr="00925CD2">
        <w:rPr>
          <w:rStyle w:val="Text-Bold"/>
          <w:b/>
          <w:sz w:val="22"/>
          <w:szCs w:val="22"/>
        </w:rPr>
        <w:fldChar w:fldCharType="end"/>
      </w:r>
      <w:bookmarkEnd w:id="604"/>
      <w:r w:rsidRPr="58DFBD8D">
        <w:rPr>
          <w:rStyle w:val="Text-Bold"/>
          <w:b/>
          <w:sz w:val="22"/>
          <w:szCs w:val="22"/>
          <w:lang w:val="en-NZ"/>
        </w:rPr>
        <w:t xml:space="preserve">: Mean earliest-to-latest SCORE change (within-subjects) by gender, FaRS </w:t>
      </w:r>
      <w:r w:rsidR="00E614D3" w:rsidRPr="58DFBD8D">
        <w:rPr>
          <w:rStyle w:val="Text-Bold"/>
          <w:b/>
          <w:sz w:val="22"/>
          <w:szCs w:val="22"/>
          <w:lang w:val="en-NZ"/>
        </w:rPr>
        <w:t>service users</w:t>
      </w:r>
      <w:r w:rsidR="00811E31" w:rsidRPr="00811E31">
        <w:rPr>
          <w:rStyle w:val="Text-Bold"/>
          <w:b/>
          <w:szCs w:val="21"/>
          <w:lang w:val="en-NZ"/>
        </w:rPr>
        <w:t>, July 2021 to June 2024</w:t>
      </w:r>
    </w:p>
    <w:tbl>
      <w:tblPr>
        <w:tblStyle w:val="ListTable3-Accent3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5"/>
        <w:gridCol w:w="1022"/>
        <w:gridCol w:w="1605"/>
        <w:gridCol w:w="1629"/>
        <w:gridCol w:w="963"/>
        <w:gridCol w:w="1326"/>
        <w:gridCol w:w="859"/>
        <w:gridCol w:w="748"/>
        <w:gridCol w:w="4760"/>
      </w:tblGrid>
      <w:tr w:rsidR="002824DD" w:rsidRPr="007A1075" w14:paraId="63CEBFF5" w14:textId="77777777" w:rsidTr="0078378F">
        <w:trPr>
          <w:cnfStyle w:val="100000000000" w:firstRow="1" w:lastRow="0" w:firstColumn="0" w:lastColumn="0" w:oddVBand="0" w:evenVBand="0" w:oddHBand="0" w:evenHBand="0" w:firstRowFirstColumn="0" w:firstRowLastColumn="0" w:lastRowFirstColumn="0" w:lastRowLastColumn="0"/>
          <w:trHeight w:val="870"/>
        </w:trPr>
        <w:tc>
          <w:tcPr>
            <w:cnfStyle w:val="001000000100" w:firstRow="0" w:lastRow="0" w:firstColumn="1" w:lastColumn="0" w:oddVBand="0" w:evenVBand="0" w:oddHBand="0" w:evenHBand="0" w:firstRowFirstColumn="1" w:firstRowLastColumn="0" w:lastRowFirstColumn="0" w:lastRowLastColumn="0"/>
            <w:tcW w:w="975" w:type="dxa"/>
            <w:tcBorders>
              <w:bottom w:val="none" w:sz="0" w:space="0" w:color="auto"/>
              <w:right w:val="none" w:sz="0" w:space="0" w:color="auto"/>
            </w:tcBorders>
            <w:hideMark/>
          </w:tcPr>
          <w:p w14:paraId="16B65968" w14:textId="77777777" w:rsidR="00D90D2A" w:rsidRPr="007A1075" w:rsidRDefault="00D90D2A" w:rsidP="001267B9">
            <w:pPr>
              <w:pStyle w:val="TableText"/>
              <w:rPr>
                <w:bCs w:val="0"/>
              </w:rPr>
            </w:pPr>
            <w:r w:rsidRPr="007A1075">
              <w:t>Activity</w:t>
            </w:r>
          </w:p>
        </w:tc>
        <w:tc>
          <w:tcPr>
            <w:tcW w:w="1022" w:type="dxa"/>
            <w:hideMark/>
          </w:tcPr>
          <w:p w14:paraId="6C90956A" w14:textId="77777777" w:rsidR="00D90D2A" w:rsidRPr="007A1075" w:rsidRDefault="00D90D2A" w:rsidP="001267B9">
            <w:pPr>
              <w:pStyle w:val="TableText"/>
              <w:cnfStyle w:val="100000000000" w:firstRow="1" w:lastRow="0" w:firstColumn="0" w:lastColumn="0" w:oddVBand="0" w:evenVBand="0" w:oddHBand="0" w:evenHBand="0" w:firstRowFirstColumn="0" w:firstRowLastColumn="0" w:lastRowFirstColumn="0" w:lastRowLastColumn="0"/>
              <w:rPr>
                <w:bCs w:val="0"/>
              </w:rPr>
            </w:pPr>
            <w:r w:rsidRPr="007A1075">
              <w:t>Cohort</w:t>
            </w:r>
          </w:p>
        </w:tc>
        <w:tc>
          <w:tcPr>
            <w:tcW w:w="1605" w:type="dxa"/>
            <w:hideMark/>
          </w:tcPr>
          <w:p w14:paraId="01C0EAEA" w14:textId="77777777" w:rsidR="00D90D2A" w:rsidRPr="007A1075" w:rsidRDefault="00D90D2A" w:rsidP="001267B9">
            <w:pPr>
              <w:pStyle w:val="TableText"/>
              <w:cnfStyle w:val="100000000000" w:firstRow="1" w:lastRow="0" w:firstColumn="0" w:lastColumn="0" w:oddVBand="0" w:evenVBand="0" w:oddHBand="0" w:evenHBand="0" w:firstRowFirstColumn="0" w:firstRowLastColumn="0" w:lastRowFirstColumn="0" w:lastRowLastColumn="0"/>
              <w:rPr>
                <w:bCs w:val="0"/>
              </w:rPr>
            </w:pPr>
            <w:r w:rsidRPr="007A1075">
              <w:t>Outcome type</w:t>
            </w:r>
          </w:p>
        </w:tc>
        <w:tc>
          <w:tcPr>
            <w:tcW w:w="1629" w:type="dxa"/>
            <w:noWrap/>
            <w:hideMark/>
          </w:tcPr>
          <w:p w14:paraId="6100B998" w14:textId="77777777" w:rsidR="00D90D2A" w:rsidRPr="007A1075" w:rsidRDefault="00D90D2A" w:rsidP="001267B9">
            <w:pPr>
              <w:pStyle w:val="TableText"/>
              <w:cnfStyle w:val="100000000000" w:firstRow="1" w:lastRow="0" w:firstColumn="0" w:lastColumn="0" w:oddVBand="0" w:evenVBand="0" w:oddHBand="0" w:evenHBand="0" w:firstRowFirstColumn="0" w:firstRowLastColumn="0" w:lastRowFirstColumn="0" w:lastRowLastColumn="0"/>
              <w:rPr>
                <w:bCs w:val="0"/>
              </w:rPr>
            </w:pPr>
            <w:r w:rsidRPr="007A1075">
              <w:t>Domain</w:t>
            </w:r>
          </w:p>
        </w:tc>
        <w:tc>
          <w:tcPr>
            <w:tcW w:w="963" w:type="dxa"/>
            <w:hideMark/>
          </w:tcPr>
          <w:p w14:paraId="73DCEAF6" w14:textId="77777777" w:rsidR="00D90D2A" w:rsidRPr="007A1075" w:rsidRDefault="00D90D2A" w:rsidP="001267B9">
            <w:pPr>
              <w:pStyle w:val="TableText"/>
              <w:cnfStyle w:val="100000000000" w:firstRow="1" w:lastRow="0" w:firstColumn="0" w:lastColumn="0" w:oddVBand="0" w:evenVBand="0" w:oddHBand="0" w:evenHBand="0" w:firstRowFirstColumn="0" w:firstRowLastColumn="0" w:lastRowFirstColumn="0" w:lastRowLastColumn="0"/>
              <w:rPr>
                <w:bCs w:val="0"/>
              </w:rPr>
            </w:pPr>
            <w:r w:rsidRPr="007A1075">
              <w:t>SCORE change (mean)</w:t>
            </w:r>
          </w:p>
        </w:tc>
        <w:tc>
          <w:tcPr>
            <w:tcW w:w="1326" w:type="dxa"/>
            <w:noWrap/>
            <w:hideMark/>
          </w:tcPr>
          <w:p w14:paraId="7D2EE20A" w14:textId="77777777" w:rsidR="00D90D2A" w:rsidRPr="007A1075" w:rsidRDefault="00D90D2A" w:rsidP="001267B9">
            <w:pPr>
              <w:pStyle w:val="TableText"/>
              <w:cnfStyle w:val="100000000000" w:firstRow="1" w:lastRow="0" w:firstColumn="0" w:lastColumn="0" w:oddVBand="0" w:evenVBand="0" w:oddHBand="0" w:evenHBand="0" w:firstRowFirstColumn="0" w:firstRowLastColumn="0" w:lastRowFirstColumn="0" w:lastRowLastColumn="0"/>
              <w:rPr>
                <w:bCs w:val="0"/>
              </w:rPr>
            </w:pPr>
            <w:r w:rsidRPr="007A1075">
              <w:t>Wilcoxon</w:t>
            </w:r>
          </w:p>
        </w:tc>
        <w:tc>
          <w:tcPr>
            <w:tcW w:w="859" w:type="dxa"/>
            <w:noWrap/>
            <w:hideMark/>
          </w:tcPr>
          <w:p w14:paraId="0AA29172" w14:textId="77777777" w:rsidR="00D90D2A" w:rsidRPr="007A1075" w:rsidRDefault="00D90D2A" w:rsidP="001267B9">
            <w:pPr>
              <w:pStyle w:val="TableText"/>
              <w:cnfStyle w:val="100000000000" w:firstRow="1" w:lastRow="0" w:firstColumn="0" w:lastColumn="0" w:oddVBand="0" w:evenVBand="0" w:oddHBand="0" w:evenHBand="0" w:firstRowFirstColumn="0" w:firstRowLastColumn="0" w:lastRowFirstColumn="0" w:lastRowLastColumn="0"/>
              <w:rPr>
                <w:bCs w:val="0"/>
              </w:rPr>
            </w:pPr>
            <w:r w:rsidRPr="007A1075">
              <w:t>n</w:t>
            </w:r>
          </w:p>
        </w:tc>
        <w:tc>
          <w:tcPr>
            <w:tcW w:w="748" w:type="dxa"/>
            <w:noWrap/>
            <w:hideMark/>
          </w:tcPr>
          <w:p w14:paraId="19B286FA" w14:textId="77777777" w:rsidR="00D90D2A" w:rsidRPr="007A1075" w:rsidRDefault="00D90D2A" w:rsidP="001267B9">
            <w:pPr>
              <w:pStyle w:val="TableText"/>
              <w:cnfStyle w:val="100000000000" w:firstRow="1" w:lastRow="0" w:firstColumn="0" w:lastColumn="0" w:oddVBand="0" w:evenVBand="0" w:oddHBand="0" w:evenHBand="0" w:firstRowFirstColumn="0" w:firstRowLastColumn="0" w:lastRowFirstColumn="0" w:lastRowLastColumn="0"/>
              <w:rPr>
                <w:bCs w:val="0"/>
              </w:rPr>
            </w:pPr>
            <w:r w:rsidRPr="007A1075">
              <w:t>p</w:t>
            </w:r>
          </w:p>
        </w:tc>
        <w:tc>
          <w:tcPr>
            <w:tcW w:w="4760" w:type="dxa"/>
            <w:hideMark/>
          </w:tcPr>
          <w:p w14:paraId="70F0E003" w14:textId="77777777" w:rsidR="00D90D2A" w:rsidRPr="007A1075" w:rsidRDefault="00D90D2A" w:rsidP="001267B9">
            <w:pPr>
              <w:pStyle w:val="TableText"/>
              <w:cnfStyle w:val="100000000000" w:firstRow="1" w:lastRow="0" w:firstColumn="0" w:lastColumn="0" w:oddVBand="0" w:evenVBand="0" w:oddHBand="0" w:evenHBand="0" w:firstRowFirstColumn="0" w:firstRowLastColumn="0" w:lastRowFirstColumn="0" w:lastRowLastColumn="0"/>
              <w:rPr>
                <w:bCs w:val="0"/>
              </w:rPr>
            </w:pPr>
            <w:r>
              <w:t>Service users</w:t>
            </w:r>
            <w:r w:rsidRPr="007A1075">
              <w:t xml:space="preserve"> with positive change (%, n)</w:t>
            </w:r>
          </w:p>
        </w:tc>
      </w:tr>
      <w:tr w:rsidR="004A49D1" w:rsidRPr="007A1075" w14:paraId="51BFF0F6" w14:textId="77777777" w:rsidTr="0078378F">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75" w:type="dxa"/>
            <w:vMerge w:val="restart"/>
            <w:tcBorders>
              <w:top w:val="none" w:sz="0" w:space="0" w:color="auto"/>
              <w:bottom w:val="none" w:sz="0" w:space="0" w:color="auto"/>
              <w:right w:val="none" w:sz="0" w:space="0" w:color="auto"/>
            </w:tcBorders>
            <w:hideMark/>
          </w:tcPr>
          <w:p w14:paraId="0DA7175D" w14:textId="77777777" w:rsidR="0033101B" w:rsidRPr="00811E31" w:rsidRDefault="0033101B" w:rsidP="0033101B">
            <w:pPr>
              <w:pStyle w:val="TableText"/>
              <w:rPr>
                <w:b w:val="0"/>
                <w:bCs w:val="0"/>
                <w:lang w:val="en-NZ"/>
              </w:rPr>
            </w:pPr>
            <w:r w:rsidRPr="00811E31">
              <w:rPr>
                <w:b w:val="0"/>
                <w:bCs w:val="0"/>
                <w:lang w:val="en-NZ"/>
              </w:rPr>
              <w:t>FaRS</w:t>
            </w:r>
          </w:p>
        </w:tc>
        <w:tc>
          <w:tcPr>
            <w:tcW w:w="1022" w:type="dxa"/>
            <w:vMerge w:val="restart"/>
            <w:tcBorders>
              <w:top w:val="none" w:sz="0" w:space="0" w:color="auto"/>
              <w:bottom w:val="none" w:sz="0" w:space="0" w:color="auto"/>
            </w:tcBorders>
            <w:hideMark/>
          </w:tcPr>
          <w:p w14:paraId="5E37F9D7" w14:textId="2C973F3B" w:rsidR="0033101B" w:rsidRPr="007A1075" w:rsidRDefault="0033101B" w:rsidP="0033101B">
            <w:pPr>
              <w:pStyle w:val="TableText"/>
              <w:cnfStyle w:val="000000100000" w:firstRow="0" w:lastRow="0" w:firstColumn="0" w:lastColumn="0" w:oddVBand="0" w:evenVBand="0" w:oddHBand="1" w:evenHBand="0" w:firstRowFirstColumn="0" w:firstRowLastColumn="0" w:lastRowFirstColumn="0" w:lastRowLastColumn="0"/>
            </w:pPr>
          </w:p>
          <w:p w14:paraId="247889A5" w14:textId="3D41EBCB" w:rsidR="0033101B" w:rsidRPr="007A1075" w:rsidRDefault="09481D35" w:rsidP="0033101B">
            <w:pPr>
              <w:pStyle w:val="TableText"/>
              <w:cnfStyle w:val="000000100000" w:firstRow="0" w:lastRow="0" w:firstColumn="0" w:lastColumn="0" w:oddVBand="0" w:evenVBand="0" w:oddHBand="1" w:evenHBand="0" w:firstRowFirstColumn="0" w:firstRowLastColumn="0" w:lastRowFirstColumn="0" w:lastRowLastColumn="0"/>
              <w:rPr>
                <w:szCs w:val="21"/>
              </w:rPr>
            </w:pPr>
            <w:r>
              <w:t>Females</w:t>
            </w:r>
          </w:p>
        </w:tc>
        <w:tc>
          <w:tcPr>
            <w:tcW w:w="1605" w:type="dxa"/>
            <w:vMerge w:val="restart"/>
            <w:tcBorders>
              <w:top w:val="none" w:sz="0" w:space="0" w:color="auto"/>
              <w:bottom w:val="none" w:sz="0" w:space="0" w:color="auto"/>
            </w:tcBorders>
            <w:hideMark/>
          </w:tcPr>
          <w:p w14:paraId="3F453EEE" w14:textId="77777777" w:rsidR="0033101B" w:rsidRPr="007A1075" w:rsidRDefault="0033101B" w:rsidP="0033101B">
            <w:pPr>
              <w:pStyle w:val="TableText"/>
              <w:cnfStyle w:val="000000100000" w:firstRow="0" w:lastRow="0" w:firstColumn="0" w:lastColumn="0" w:oddVBand="0" w:evenVBand="0" w:oddHBand="1" w:evenHBand="0" w:firstRowFirstColumn="0" w:firstRowLastColumn="0" w:lastRowFirstColumn="0" w:lastRowLastColumn="0"/>
            </w:pPr>
            <w:r w:rsidRPr="007A1075">
              <w:t>Circumstances</w:t>
            </w:r>
          </w:p>
        </w:tc>
        <w:tc>
          <w:tcPr>
            <w:tcW w:w="1629" w:type="dxa"/>
            <w:tcBorders>
              <w:top w:val="none" w:sz="0" w:space="0" w:color="auto"/>
              <w:bottom w:val="none" w:sz="0" w:space="0" w:color="auto"/>
            </w:tcBorders>
            <w:noWrap/>
            <w:hideMark/>
          </w:tcPr>
          <w:p w14:paraId="5E8C0EF2" w14:textId="77777777" w:rsidR="0033101B" w:rsidRPr="007A1075" w:rsidRDefault="0033101B" w:rsidP="0033101B">
            <w:pPr>
              <w:pStyle w:val="TableText"/>
              <w:cnfStyle w:val="000000100000" w:firstRow="0" w:lastRow="0" w:firstColumn="0" w:lastColumn="0" w:oddVBand="0" w:evenVBand="0" w:oddHBand="1" w:evenHBand="0" w:firstRowFirstColumn="0" w:firstRowLastColumn="0" w:lastRowFirstColumn="0" w:lastRowLastColumn="0"/>
            </w:pPr>
            <w:r w:rsidRPr="007A1075">
              <w:t>Family functioning</w:t>
            </w:r>
          </w:p>
        </w:tc>
        <w:tc>
          <w:tcPr>
            <w:tcW w:w="963" w:type="dxa"/>
            <w:tcBorders>
              <w:top w:val="none" w:sz="0" w:space="0" w:color="auto"/>
              <w:bottom w:val="none" w:sz="0" w:space="0" w:color="auto"/>
            </w:tcBorders>
            <w:noWrap/>
            <w:hideMark/>
          </w:tcPr>
          <w:p w14:paraId="3E2635A0" w14:textId="5D1E68BF" w:rsidR="0033101B" w:rsidRPr="007A1075" w:rsidRDefault="0033101B" w:rsidP="0033101B">
            <w:pPr>
              <w:pStyle w:val="TableText"/>
              <w:cnfStyle w:val="000000100000" w:firstRow="0" w:lastRow="0" w:firstColumn="0" w:lastColumn="0" w:oddVBand="0" w:evenVBand="0" w:oddHBand="1" w:evenHBand="0" w:firstRowFirstColumn="0" w:firstRowLastColumn="0" w:lastRowFirstColumn="0" w:lastRowLastColumn="0"/>
            </w:pPr>
            <w:r w:rsidRPr="0076737F">
              <w:t>0.82</w:t>
            </w:r>
          </w:p>
        </w:tc>
        <w:tc>
          <w:tcPr>
            <w:tcW w:w="1326" w:type="dxa"/>
            <w:tcBorders>
              <w:top w:val="none" w:sz="0" w:space="0" w:color="auto"/>
              <w:bottom w:val="none" w:sz="0" w:space="0" w:color="auto"/>
            </w:tcBorders>
            <w:noWrap/>
            <w:hideMark/>
          </w:tcPr>
          <w:p w14:paraId="5AE4218D" w14:textId="4B05E5BF" w:rsidR="0033101B" w:rsidRPr="007A1075" w:rsidRDefault="0033101B" w:rsidP="0033101B">
            <w:pPr>
              <w:pStyle w:val="TableText"/>
              <w:cnfStyle w:val="000000100000" w:firstRow="0" w:lastRow="0" w:firstColumn="0" w:lastColumn="0" w:oddVBand="0" w:evenVBand="0" w:oddHBand="1" w:evenHBand="0" w:firstRowFirstColumn="0" w:firstRowLastColumn="0" w:lastRowFirstColumn="0" w:lastRowLastColumn="0"/>
            </w:pPr>
            <w:r w:rsidRPr="0076737F">
              <w:t>28650418.5</w:t>
            </w:r>
          </w:p>
        </w:tc>
        <w:tc>
          <w:tcPr>
            <w:tcW w:w="859" w:type="dxa"/>
            <w:tcBorders>
              <w:top w:val="none" w:sz="0" w:space="0" w:color="auto"/>
              <w:bottom w:val="none" w:sz="0" w:space="0" w:color="auto"/>
            </w:tcBorders>
            <w:noWrap/>
            <w:hideMark/>
          </w:tcPr>
          <w:p w14:paraId="7CE803AC" w14:textId="6466D7E3" w:rsidR="0033101B" w:rsidRPr="007A1075" w:rsidRDefault="0033101B" w:rsidP="0033101B">
            <w:pPr>
              <w:pStyle w:val="TableText"/>
              <w:cnfStyle w:val="000000100000" w:firstRow="0" w:lastRow="0" w:firstColumn="0" w:lastColumn="0" w:oddVBand="0" w:evenVBand="0" w:oddHBand="1" w:evenHBand="0" w:firstRowFirstColumn="0" w:firstRowLastColumn="0" w:lastRowFirstColumn="0" w:lastRowLastColumn="0"/>
            </w:pPr>
            <w:r w:rsidRPr="0076737F">
              <w:t>24</w:t>
            </w:r>
            <w:r>
              <w:t>,</w:t>
            </w:r>
            <w:r w:rsidRPr="0076737F">
              <w:t>337</w:t>
            </w:r>
          </w:p>
        </w:tc>
        <w:tc>
          <w:tcPr>
            <w:tcW w:w="748" w:type="dxa"/>
            <w:tcBorders>
              <w:top w:val="none" w:sz="0" w:space="0" w:color="auto"/>
              <w:bottom w:val="none" w:sz="0" w:space="0" w:color="auto"/>
            </w:tcBorders>
            <w:noWrap/>
            <w:hideMark/>
          </w:tcPr>
          <w:p w14:paraId="6BE1DB70" w14:textId="5F54759D" w:rsidR="0033101B" w:rsidRPr="007A1075" w:rsidRDefault="0033101B" w:rsidP="0033101B">
            <w:pPr>
              <w:pStyle w:val="TableText"/>
              <w:cnfStyle w:val="000000100000" w:firstRow="0" w:lastRow="0" w:firstColumn="0" w:lastColumn="0" w:oddVBand="0" w:evenVBand="0" w:oddHBand="1" w:evenHBand="0" w:firstRowFirstColumn="0" w:firstRowLastColumn="0" w:lastRowFirstColumn="0" w:lastRowLastColumn="0"/>
            </w:pPr>
            <w:r w:rsidRPr="0076737F">
              <w:t>&lt;.001</w:t>
            </w:r>
          </w:p>
        </w:tc>
        <w:tc>
          <w:tcPr>
            <w:tcW w:w="4760" w:type="dxa"/>
            <w:tcBorders>
              <w:top w:val="none" w:sz="0" w:space="0" w:color="auto"/>
              <w:bottom w:val="none" w:sz="0" w:space="0" w:color="auto"/>
            </w:tcBorders>
            <w:noWrap/>
            <w:hideMark/>
          </w:tcPr>
          <w:p w14:paraId="52AC3E90" w14:textId="41617541" w:rsidR="0033101B" w:rsidRPr="007A1075" w:rsidRDefault="0033101B" w:rsidP="0033101B">
            <w:pPr>
              <w:pStyle w:val="TableText"/>
              <w:cnfStyle w:val="000000100000" w:firstRow="0" w:lastRow="0" w:firstColumn="0" w:lastColumn="0" w:oddVBand="0" w:evenVBand="0" w:oddHBand="1" w:evenHBand="0" w:firstRowFirstColumn="0" w:firstRowLastColumn="0" w:lastRowFirstColumn="0" w:lastRowLastColumn="0"/>
            </w:pPr>
            <w:r w:rsidRPr="0076737F">
              <w:t>55.4% (n=1</w:t>
            </w:r>
            <w:r w:rsidR="04F98C70">
              <w:t>3</w:t>
            </w:r>
            <w:r w:rsidR="285786CC">
              <w:t>,</w:t>
            </w:r>
            <w:r w:rsidR="04F98C70">
              <w:t>483</w:t>
            </w:r>
            <w:r w:rsidRPr="0076737F">
              <w:t>)</w:t>
            </w:r>
          </w:p>
        </w:tc>
      </w:tr>
      <w:tr w:rsidR="004A49D1" w:rsidRPr="007A1075" w14:paraId="57A7A748" w14:textId="77777777" w:rsidTr="0078378F">
        <w:trPr>
          <w:trHeight w:val="290"/>
        </w:trPr>
        <w:tc>
          <w:tcPr>
            <w:cnfStyle w:val="001000000000" w:firstRow="0" w:lastRow="0" w:firstColumn="1" w:lastColumn="0" w:oddVBand="0" w:evenVBand="0" w:oddHBand="0" w:evenHBand="0" w:firstRowFirstColumn="0" w:firstRowLastColumn="0" w:lastRowFirstColumn="0" w:lastRowLastColumn="0"/>
            <w:tcW w:w="975" w:type="dxa"/>
            <w:vMerge/>
            <w:tcBorders>
              <w:right w:val="none" w:sz="0" w:space="0" w:color="auto"/>
            </w:tcBorders>
            <w:hideMark/>
          </w:tcPr>
          <w:p w14:paraId="6A2FF3B7" w14:textId="77777777" w:rsidR="00826536" w:rsidRPr="007A1075" w:rsidRDefault="00826536" w:rsidP="0033101B">
            <w:pPr>
              <w:pStyle w:val="TableText"/>
            </w:pPr>
          </w:p>
        </w:tc>
        <w:tc>
          <w:tcPr>
            <w:tcW w:w="1022" w:type="dxa"/>
            <w:vMerge/>
            <w:hideMark/>
          </w:tcPr>
          <w:p w14:paraId="4CA59869" w14:textId="77777777" w:rsidR="0033101B" w:rsidRPr="007A1075" w:rsidRDefault="0033101B" w:rsidP="0033101B">
            <w:pPr>
              <w:pStyle w:val="TableText"/>
              <w:cnfStyle w:val="000000000000" w:firstRow="0" w:lastRow="0" w:firstColumn="0" w:lastColumn="0" w:oddVBand="0" w:evenVBand="0" w:oddHBand="0" w:evenHBand="0" w:firstRowFirstColumn="0" w:firstRowLastColumn="0" w:lastRowFirstColumn="0" w:lastRowLastColumn="0"/>
            </w:pPr>
          </w:p>
        </w:tc>
        <w:tc>
          <w:tcPr>
            <w:tcW w:w="1605" w:type="dxa"/>
            <w:vMerge/>
            <w:hideMark/>
          </w:tcPr>
          <w:p w14:paraId="07D4C153" w14:textId="77777777" w:rsidR="0033101B" w:rsidRPr="007A1075" w:rsidRDefault="0033101B" w:rsidP="0033101B">
            <w:pPr>
              <w:pStyle w:val="TableText"/>
              <w:cnfStyle w:val="000000000000" w:firstRow="0" w:lastRow="0" w:firstColumn="0" w:lastColumn="0" w:oddVBand="0" w:evenVBand="0" w:oddHBand="0" w:evenHBand="0" w:firstRowFirstColumn="0" w:firstRowLastColumn="0" w:lastRowFirstColumn="0" w:lastRowLastColumn="0"/>
            </w:pPr>
          </w:p>
        </w:tc>
        <w:tc>
          <w:tcPr>
            <w:tcW w:w="1629" w:type="dxa"/>
            <w:noWrap/>
            <w:hideMark/>
          </w:tcPr>
          <w:p w14:paraId="08094414" w14:textId="77777777" w:rsidR="0033101B" w:rsidRPr="007A1075" w:rsidRDefault="00826536" w:rsidP="0033101B">
            <w:pPr>
              <w:pStyle w:val="TableText"/>
              <w:cnfStyle w:val="000000000000" w:firstRow="0" w:lastRow="0" w:firstColumn="0" w:lastColumn="0" w:oddVBand="0" w:evenVBand="0" w:oddHBand="0" w:evenHBand="0" w:firstRowFirstColumn="0" w:firstRowLastColumn="0" w:lastRowFirstColumn="0" w:lastRowLastColumn="0"/>
            </w:pPr>
            <w:r w:rsidRPr="57F92EFB">
              <w:rPr>
                <w:lang w:val="en-NZ"/>
              </w:rPr>
              <w:t>Mental health, wellbeing and self-care</w:t>
            </w:r>
          </w:p>
        </w:tc>
        <w:tc>
          <w:tcPr>
            <w:tcW w:w="963" w:type="dxa"/>
            <w:noWrap/>
            <w:hideMark/>
          </w:tcPr>
          <w:p w14:paraId="66856C36" w14:textId="124CE876" w:rsidR="0033101B" w:rsidRPr="007A1075" w:rsidRDefault="0033101B" w:rsidP="0033101B">
            <w:pPr>
              <w:pStyle w:val="TableText"/>
              <w:cnfStyle w:val="000000000000" w:firstRow="0" w:lastRow="0" w:firstColumn="0" w:lastColumn="0" w:oddVBand="0" w:evenVBand="0" w:oddHBand="0" w:evenHBand="0" w:firstRowFirstColumn="0" w:firstRowLastColumn="0" w:lastRowFirstColumn="0" w:lastRowLastColumn="0"/>
            </w:pPr>
            <w:r w:rsidRPr="0076737F">
              <w:t>0.83</w:t>
            </w:r>
          </w:p>
        </w:tc>
        <w:tc>
          <w:tcPr>
            <w:tcW w:w="1326" w:type="dxa"/>
            <w:noWrap/>
            <w:hideMark/>
          </w:tcPr>
          <w:p w14:paraId="27952F42" w14:textId="342ED117" w:rsidR="0033101B" w:rsidRPr="007A1075" w:rsidRDefault="0033101B" w:rsidP="0033101B">
            <w:pPr>
              <w:pStyle w:val="TableText"/>
              <w:cnfStyle w:val="000000000000" w:firstRow="0" w:lastRow="0" w:firstColumn="0" w:lastColumn="0" w:oddVBand="0" w:evenVBand="0" w:oddHBand="0" w:evenHBand="0" w:firstRowFirstColumn="0" w:firstRowLastColumn="0" w:lastRowFirstColumn="0" w:lastRowLastColumn="0"/>
            </w:pPr>
            <w:r w:rsidRPr="0076737F">
              <w:t>23236832.5</w:t>
            </w:r>
          </w:p>
        </w:tc>
        <w:tc>
          <w:tcPr>
            <w:tcW w:w="859" w:type="dxa"/>
            <w:noWrap/>
            <w:hideMark/>
          </w:tcPr>
          <w:p w14:paraId="2142B013" w14:textId="58751B3F" w:rsidR="0033101B" w:rsidRPr="007A1075" w:rsidRDefault="0033101B" w:rsidP="0033101B">
            <w:pPr>
              <w:pStyle w:val="TableText"/>
              <w:cnfStyle w:val="000000000000" w:firstRow="0" w:lastRow="0" w:firstColumn="0" w:lastColumn="0" w:oddVBand="0" w:evenVBand="0" w:oddHBand="0" w:evenHBand="0" w:firstRowFirstColumn="0" w:firstRowLastColumn="0" w:lastRowFirstColumn="0" w:lastRowLastColumn="0"/>
            </w:pPr>
            <w:r w:rsidRPr="0076737F">
              <w:t>22</w:t>
            </w:r>
            <w:r>
              <w:t>,</w:t>
            </w:r>
            <w:r w:rsidRPr="0076737F">
              <w:t>566</w:t>
            </w:r>
          </w:p>
        </w:tc>
        <w:tc>
          <w:tcPr>
            <w:tcW w:w="748" w:type="dxa"/>
            <w:noWrap/>
            <w:hideMark/>
          </w:tcPr>
          <w:p w14:paraId="16698C1E" w14:textId="05F80B0F" w:rsidR="0033101B" w:rsidRPr="007A1075" w:rsidRDefault="0033101B" w:rsidP="0033101B">
            <w:pPr>
              <w:pStyle w:val="TableText"/>
              <w:cnfStyle w:val="000000000000" w:firstRow="0" w:lastRow="0" w:firstColumn="0" w:lastColumn="0" w:oddVBand="0" w:evenVBand="0" w:oddHBand="0" w:evenHBand="0" w:firstRowFirstColumn="0" w:firstRowLastColumn="0" w:lastRowFirstColumn="0" w:lastRowLastColumn="0"/>
            </w:pPr>
            <w:r w:rsidRPr="0076737F">
              <w:t>&lt;.001</w:t>
            </w:r>
          </w:p>
        </w:tc>
        <w:tc>
          <w:tcPr>
            <w:tcW w:w="4760" w:type="dxa"/>
            <w:noWrap/>
            <w:hideMark/>
          </w:tcPr>
          <w:p w14:paraId="6A310BC0" w14:textId="0D9FA03C" w:rsidR="0033101B" w:rsidRPr="007A1075" w:rsidRDefault="0033101B" w:rsidP="0033101B">
            <w:pPr>
              <w:pStyle w:val="TableText"/>
              <w:cnfStyle w:val="000000000000" w:firstRow="0" w:lastRow="0" w:firstColumn="0" w:lastColumn="0" w:oddVBand="0" w:evenVBand="0" w:oddHBand="0" w:evenHBand="0" w:firstRowFirstColumn="0" w:firstRowLastColumn="0" w:lastRowFirstColumn="0" w:lastRowLastColumn="0"/>
            </w:pPr>
            <w:r w:rsidRPr="0076737F">
              <w:t>56.6% (n=12</w:t>
            </w:r>
            <w:r>
              <w:t>,</w:t>
            </w:r>
            <w:r w:rsidRPr="0076737F">
              <w:t>774)</w:t>
            </w:r>
          </w:p>
        </w:tc>
      </w:tr>
      <w:tr w:rsidR="004A49D1" w:rsidRPr="007A1075" w14:paraId="6FBB73A5" w14:textId="77777777" w:rsidTr="0078378F">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75" w:type="dxa"/>
            <w:vMerge/>
            <w:tcBorders>
              <w:top w:val="none" w:sz="0" w:space="0" w:color="auto"/>
              <w:bottom w:val="none" w:sz="0" w:space="0" w:color="auto"/>
              <w:right w:val="none" w:sz="0" w:space="0" w:color="auto"/>
            </w:tcBorders>
            <w:hideMark/>
          </w:tcPr>
          <w:p w14:paraId="73F53C13" w14:textId="77777777" w:rsidR="00826536" w:rsidRPr="007A1075" w:rsidRDefault="00826536" w:rsidP="0033101B">
            <w:pPr>
              <w:pStyle w:val="TableText"/>
            </w:pPr>
          </w:p>
        </w:tc>
        <w:tc>
          <w:tcPr>
            <w:tcW w:w="1022" w:type="dxa"/>
            <w:vMerge/>
            <w:tcBorders>
              <w:top w:val="none" w:sz="0" w:space="0" w:color="auto"/>
              <w:bottom w:val="none" w:sz="0" w:space="0" w:color="auto"/>
            </w:tcBorders>
            <w:hideMark/>
          </w:tcPr>
          <w:p w14:paraId="220E8C88" w14:textId="77777777" w:rsidR="0033101B" w:rsidRPr="007A1075" w:rsidRDefault="0033101B" w:rsidP="0033101B">
            <w:pPr>
              <w:pStyle w:val="TableText"/>
              <w:cnfStyle w:val="000000100000" w:firstRow="0" w:lastRow="0" w:firstColumn="0" w:lastColumn="0" w:oddVBand="0" w:evenVBand="0" w:oddHBand="1" w:evenHBand="0" w:firstRowFirstColumn="0" w:firstRowLastColumn="0" w:lastRowFirstColumn="0" w:lastRowLastColumn="0"/>
            </w:pPr>
          </w:p>
        </w:tc>
        <w:tc>
          <w:tcPr>
            <w:tcW w:w="1605" w:type="dxa"/>
            <w:vMerge/>
            <w:tcBorders>
              <w:top w:val="none" w:sz="0" w:space="0" w:color="auto"/>
              <w:bottom w:val="none" w:sz="0" w:space="0" w:color="auto"/>
            </w:tcBorders>
            <w:hideMark/>
          </w:tcPr>
          <w:p w14:paraId="2331F8FA" w14:textId="77777777" w:rsidR="0033101B" w:rsidRPr="007A1075" w:rsidRDefault="0033101B" w:rsidP="0033101B">
            <w:pPr>
              <w:pStyle w:val="TableText"/>
              <w:cnfStyle w:val="000000100000" w:firstRow="0" w:lastRow="0" w:firstColumn="0" w:lastColumn="0" w:oddVBand="0" w:evenVBand="0" w:oddHBand="1" w:evenHBand="0" w:firstRowFirstColumn="0" w:firstRowLastColumn="0" w:lastRowFirstColumn="0" w:lastRowLastColumn="0"/>
            </w:pPr>
          </w:p>
        </w:tc>
        <w:tc>
          <w:tcPr>
            <w:tcW w:w="1629" w:type="dxa"/>
            <w:tcBorders>
              <w:top w:val="none" w:sz="0" w:space="0" w:color="auto"/>
              <w:bottom w:val="none" w:sz="0" w:space="0" w:color="auto"/>
            </w:tcBorders>
            <w:noWrap/>
            <w:hideMark/>
          </w:tcPr>
          <w:p w14:paraId="4F2951CE" w14:textId="77777777" w:rsidR="0033101B" w:rsidRPr="007A1075" w:rsidRDefault="0033101B" w:rsidP="0033101B">
            <w:pPr>
              <w:pStyle w:val="TableText"/>
              <w:cnfStyle w:val="000000100000" w:firstRow="0" w:lastRow="0" w:firstColumn="0" w:lastColumn="0" w:oddVBand="0" w:evenVBand="0" w:oddHBand="1" w:evenHBand="0" w:firstRowFirstColumn="0" w:firstRowLastColumn="0" w:lastRowFirstColumn="0" w:lastRowLastColumn="0"/>
            </w:pPr>
            <w:r w:rsidRPr="007A1075">
              <w:t>Personal and family safety</w:t>
            </w:r>
          </w:p>
        </w:tc>
        <w:tc>
          <w:tcPr>
            <w:tcW w:w="963" w:type="dxa"/>
            <w:tcBorders>
              <w:top w:val="none" w:sz="0" w:space="0" w:color="auto"/>
              <w:bottom w:val="none" w:sz="0" w:space="0" w:color="auto"/>
            </w:tcBorders>
            <w:noWrap/>
            <w:hideMark/>
          </w:tcPr>
          <w:p w14:paraId="7F343482" w14:textId="2A31106F" w:rsidR="0033101B" w:rsidRPr="007A1075" w:rsidRDefault="0033101B" w:rsidP="0033101B">
            <w:pPr>
              <w:pStyle w:val="TableText"/>
              <w:cnfStyle w:val="000000100000" w:firstRow="0" w:lastRow="0" w:firstColumn="0" w:lastColumn="0" w:oddVBand="0" w:evenVBand="0" w:oddHBand="1" w:evenHBand="0" w:firstRowFirstColumn="0" w:firstRowLastColumn="0" w:lastRowFirstColumn="0" w:lastRowLastColumn="0"/>
            </w:pPr>
            <w:r w:rsidRPr="0076737F">
              <w:t>0.62</w:t>
            </w:r>
          </w:p>
        </w:tc>
        <w:tc>
          <w:tcPr>
            <w:tcW w:w="1326" w:type="dxa"/>
            <w:tcBorders>
              <w:top w:val="none" w:sz="0" w:space="0" w:color="auto"/>
              <w:bottom w:val="none" w:sz="0" w:space="0" w:color="auto"/>
            </w:tcBorders>
            <w:noWrap/>
            <w:hideMark/>
          </w:tcPr>
          <w:p w14:paraId="10CF55EB" w14:textId="1DCEC135" w:rsidR="0033101B" w:rsidRPr="007A1075" w:rsidRDefault="0033101B" w:rsidP="0033101B">
            <w:pPr>
              <w:pStyle w:val="TableText"/>
              <w:cnfStyle w:val="000000100000" w:firstRow="0" w:lastRow="0" w:firstColumn="0" w:lastColumn="0" w:oddVBand="0" w:evenVBand="0" w:oddHBand="1" w:evenHBand="0" w:firstRowFirstColumn="0" w:firstRowLastColumn="0" w:lastRowFirstColumn="0" w:lastRowLastColumn="0"/>
            </w:pPr>
            <w:r w:rsidRPr="0076737F">
              <w:t>15206209</w:t>
            </w:r>
          </w:p>
        </w:tc>
        <w:tc>
          <w:tcPr>
            <w:tcW w:w="859" w:type="dxa"/>
            <w:tcBorders>
              <w:top w:val="none" w:sz="0" w:space="0" w:color="auto"/>
              <w:bottom w:val="none" w:sz="0" w:space="0" w:color="auto"/>
            </w:tcBorders>
            <w:noWrap/>
            <w:hideMark/>
          </w:tcPr>
          <w:p w14:paraId="7D1FC10E" w14:textId="1FA31C6D" w:rsidR="0033101B" w:rsidRPr="007A1075" w:rsidRDefault="0033101B" w:rsidP="0033101B">
            <w:pPr>
              <w:pStyle w:val="TableText"/>
              <w:cnfStyle w:val="000000100000" w:firstRow="0" w:lastRow="0" w:firstColumn="0" w:lastColumn="0" w:oddVBand="0" w:evenVBand="0" w:oddHBand="1" w:evenHBand="0" w:firstRowFirstColumn="0" w:firstRowLastColumn="0" w:lastRowFirstColumn="0" w:lastRowLastColumn="0"/>
            </w:pPr>
            <w:r w:rsidRPr="0076737F">
              <w:t>15</w:t>
            </w:r>
            <w:r>
              <w:t>,</w:t>
            </w:r>
            <w:r w:rsidRPr="0076737F">
              <w:t>022</w:t>
            </w:r>
          </w:p>
        </w:tc>
        <w:tc>
          <w:tcPr>
            <w:tcW w:w="748" w:type="dxa"/>
            <w:tcBorders>
              <w:top w:val="none" w:sz="0" w:space="0" w:color="auto"/>
              <w:bottom w:val="none" w:sz="0" w:space="0" w:color="auto"/>
            </w:tcBorders>
            <w:noWrap/>
            <w:hideMark/>
          </w:tcPr>
          <w:p w14:paraId="463E2820" w14:textId="3621E784" w:rsidR="0033101B" w:rsidRPr="007A1075" w:rsidRDefault="0033101B" w:rsidP="0033101B">
            <w:pPr>
              <w:pStyle w:val="TableText"/>
              <w:cnfStyle w:val="000000100000" w:firstRow="0" w:lastRow="0" w:firstColumn="0" w:lastColumn="0" w:oddVBand="0" w:evenVBand="0" w:oddHBand="1" w:evenHBand="0" w:firstRowFirstColumn="0" w:firstRowLastColumn="0" w:lastRowFirstColumn="0" w:lastRowLastColumn="0"/>
            </w:pPr>
            <w:r w:rsidRPr="0076737F">
              <w:t>&lt;.001</w:t>
            </w:r>
          </w:p>
        </w:tc>
        <w:tc>
          <w:tcPr>
            <w:tcW w:w="4760" w:type="dxa"/>
            <w:tcBorders>
              <w:top w:val="none" w:sz="0" w:space="0" w:color="auto"/>
              <w:bottom w:val="none" w:sz="0" w:space="0" w:color="auto"/>
            </w:tcBorders>
            <w:noWrap/>
            <w:hideMark/>
          </w:tcPr>
          <w:p w14:paraId="59963F25" w14:textId="1D97E178" w:rsidR="0033101B" w:rsidRPr="007A1075" w:rsidRDefault="0033101B" w:rsidP="0033101B">
            <w:pPr>
              <w:pStyle w:val="TableText"/>
              <w:cnfStyle w:val="000000100000" w:firstRow="0" w:lastRow="0" w:firstColumn="0" w:lastColumn="0" w:oddVBand="0" w:evenVBand="0" w:oddHBand="1" w:evenHBand="0" w:firstRowFirstColumn="0" w:firstRowLastColumn="0" w:lastRowFirstColumn="0" w:lastRowLastColumn="0"/>
            </w:pPr>
            <w:r w:rsidRPr="0076737F">
              <w:t>45.5% (n=6</w:t>
            </w:r>
            <w:r>
              <w:t>,</w:t>
            </w:r>
            <w:r w:rsidRPr="0076737F">
              <w:t>833)</w:t>
            </w:r>
          </w:p>
        </w:tc>
      </w:tr>
      <w:tr w:rsidR="004A49D1" w:rsidRPr="007A1075" w14:paraId="6DF4E8BA" w14:textId="77777777" w:rsidTr="0078378F">
        <w:trPr>
          <w:trHeight w:val="290"/>
        </w:trPr>
        <w:tc>
          <w:tcPr>
            <w:cnfStyle w:val="001000000000" w:firstRow="0" w:lastRow="0" w:firstColumn="1" w:lastColumn="0" w:oddVBand="0" w:evenVBand="0" w:oddHBand="0" w:evenHBand="0" w:firstRowFirstColumn="0" w:firstRowLastColumn="0" w:lastRowFirstColumn="0" w:lastRowLastColumn="0"/>
            <w:tcW w:w="975" w:type="dxa"/>
            <w:vMerge/>
            <w:tcBorders>
              <w:right w:val="none" w:sz="0" w:space="0" w:color="auto"/>
            </w:tcBorders>
            <w:hideMark/>
          </w:tcPr>
          <w:p w14:paraId="7401B880" w14:textId="77777777" w:rsidR="00826536" w:rsidRPr="007A1075" w:rsidRDefault="00826536" w:rsidP="0033101B">
            <w:pPr>
              <w:pStyle w:val="TableText"/>
            </w:pPr>
          </w:p>
        </w:tc>
        <w:tc>
          <w:tcPr>
            <w:tcW w:w="1022" w:type="dxa"/>
            <w:vMerge/>
            <w:hideMark/>
          </w:tcPr>
          <w:p w14:paraId="011006DB" w14:textId="77777777" w:rsidR="0033101B" w:rsidRPr="007A1075" w:rsidRDefault="0033101B" w:rsidP="0033101B">
            <w:pPr>
              <w:pStyle w:val="TableText"/>
              <w:cnfStyle w:val="000000000000" w:firstRow="0" w:lastRow="0" w:firstColumn="0" w:lastColumn="0" w:oddVBand="0" w:evenVBand="0" w:oddHBand="0" w:evenHBand="0" w:firstRowFirstColumn="0" w:firstRowLastColumn="0" w:lastRowFirstColumn="0" w:lastRowLastColumn="0"/>
            </w:pPr>
          </w:p>
        </w:tc>
        <w:tc>
          <w:tcPr>
            <w:tcW w:w="1605" w:type="dxa"/>
            <w:vMerge w:val="restart"/>
            <w:hideMark/>
          </w:tcPr>
          <w:p w14:paraId="5EE3B8E1" w14:textId="77777777" w:rsidR="0033101B" w:rsidRPr="007A1075" w:rsidRDefault="0033101B" w:rsidP="0033101B">
            <w:pPr>
              <w:pStyle w:val="TableText"/>
              <w:cnfStyle w:val="000000000000" w:firstRow="0" w:lastRow="0" w:firstColumn="0" w:lastColumn="0" w:oddVBand="0" w:evenVBand="0" w:oddHBand="0" w:evenHBand="0" w:firstRowFirstColumn="0" w:firstRowLastColumn="0" w:lastRowFirstColumn="0" w:lastRowLastColumn="0"/>
            </w:pPr>
            <w:r w:rsidRPr="007A1075">
              <w:t>Goals</w:t>
            </w:r>
          </w:p>
        </w:tc>
        <w:tc>
          <w:tcPr>
            <w:tcW w:w="1629" w:type="dxa"/>
            <w:noWrap/>
            <w:hideMark/>
          </w:tcPr>
          <w:p w14:paraId="613867DA" w14:textId="77777777" w:rsidR="0033101B" w:rsidRPr="007A1075" w:rsidRDefault="0033101B" w:rsidP="0033101B">
            <w:pPr>
              <w:pStyle w:val="TableText"/>
              <w:cnfStyle w:val="000000000000" w:firstRow="0" w:lastRow="0" w:firstColumn="0" w:lastColumn="0" w:oddVBand="0" w:evenVBand="0" w:oddHBand="0" w:evenHBand="0" w:firstRowFirstColumn="0" w:firstRowLastColumn="0" w:lastRowFirstColumn="0" w:lastRowLastColumn="0"/>
            </w:pPr>
            <w:r w:rsidRPr="007A1075">
              <w:t>Changed behaviours</w:t>
            </w:r>
          </w:p>
        </w:tc>
        <w:tc>
          <w:tcPr>
            <w:tcW w:w="963" w:type="dxa"/>
            <w:noWrap/>
            <w:hideMark/>
          </w:tcPr>
          <w:p w14:paraId="4BF512E0" w14:textId="407C4488" w:rsidR="0033101B" w:rsidRPr="007A1075" w:rsidRDefault="0033101B" w:rsidP="0033101B">
            <w:pPr>
              <w:pStyle w:val="TableText"/>
              <w:cnfStyle w:val="000000000000" w:firstRow="0" w:lastRow="0" w:firstColumn="0" w:lastColumn="0" w:oddVBand="0" w:evenVBand="0" w:oddHBand="0" w:evenHBand="0" w:firstRowFirstColumn="0" w:firstRowLastColumn="0" w:lastRowFirstColumn="0" w:lastRowLastColumn="0"/>
            </w:pPr>
            <w:r w:rsidRPr="0076737F">
              <w:t>1.09</w:t>
            </w:r>
          </w:p>
        </w:tc>
        <w:tc>
          <w:tcPr>
            <w:tcW w:w="1326" w:type="dxa"/>
            <w:noWrap/>
            <w:hideMark/>
          </w:tcPr>
          <w:p w14:paraId="13E1FECF" w14:textId="01766CA4" w:rsidR="0033101B" w:rsidRPr="007A1075" w:rsidRDefault="0033101B" w:rsidP="0033101B">
            <w:pPr>
              <w:pStyle w:val="TableText"/>
              <w:cnfStyle w:val="000000000000" w:firstRow="0" w:lastRow="0" w:firstColumn="0" w:lastColumn="0" w:oddVBand="0" w:evenVBand="0" w:oddHBand="0" w:evenHBand="0" w:firstRowFirstColumn="0" w:firstRowLastColumn="0" w:lastRowFirstColumn="0" w:lastRowLastColumn="0"/>
            </w:pPr>
            <w:r w:rsidRPr="0076737F">
              <w:t>6460648.5</w:t>
            </w:r>
          </w:p>
        </w:tc>
        <w:tc>
          <w:tcPr>
            <w:tcW w:w="859" w:type="dxa"/>
            <w:noWrap/>
            <w:hideMark/>
          </w:tcPr>
          <w:p w14:paraId="5FF90019" w14:textId="4F864196" w:rsidR="0033101B" w:rsidRPr="007A1075" w:rsidRDefault="0033101B" w:rsidP="0033101B">
            <w:pPr>
              <w:pStyle w:val="TableText"/>
              <w:cnfStyle w:val="000000000000" w:firstRow="0" w:lastRow="0" w:firstColumn="0" w:lastColumn="0" w:oddVBand="0" w:evenVBand="0" w:oddHBand="0" w:evenHBand="0" w:firstRowFirstColumn="0" w:firstRowLastColumn="0" w:lastRowFirstColumn="0" w:lastRowLastColumn="0"/>
            </w:pPr>
            <w:r w:rsidRPr="0076737F">
              <w:t>15</w:t>
            </w:r>
            <w:r>
              <w:t>,</w:t>
            </w:r>
            <w:r w:rsidRPr="0076737F">
              <w:t>713</w:t>
            </w:r>
          </w:p>
        </w:tc>
        <w:tc>
          <w:tcPr>
            <w:tcW w:w="748" w:type="dxa"/>
            <w:noWrap/>
            <w:hideMark/>
          </w:tcPr>
          <w:p w14:paraId="6E85A20F" w14:textId="1337EC12" w:rsidR="0033101B" w:rsidRPr="007A1075" w:rsidRDefault="0033101B" w:rsidP="0033101B">
            <w:pPr>
              <w:pStyle w:val="TableText"/>
              <w:cnfStyle w:val="000000000000" w:firstRow="0" w:lastRow="0" w:firstColumn="0" w:lastColumn="0" w:oddVBand="0" w:evenVBand="0" w:oddHBand="0" w:evenHBand="0" w:firstRowFirstColumn="0" w:firstRowLastColumn="0" w:lastRowFirstColumn="0" w:lastRowLastColumn="0"/>
            </w:pPr>
            <w:r w:rsidRPr="0076737F">
              <w:t>&lt;.001</w:t>
            </w:r>
          </w:p>
        </w:tc>
        <w:tc>
          <w:tcPr>
            <w:tcW w:w="4760" w:type="dxa"/>
            <w:noWrap/>
            <w:hideMark/>
          </w:tcPr>
          <w:p w14:paraId="17A717A2" w14:textId="7B1DE5CC" w:rsidR="0033101B" w:rsidRPr="007A1075" w:rsidRDefault="0033101B" w:rsidP="0033101B">
            <w:pPr>
              <w:pStyle w:val="TableText"/>
              <w:cnfStyle w:val="000000000000" w:firstRow="0" w:lastRow="0" w:firstColumn="0" w:lastColumn="0" w:oddVBand="0" w:evenVBand="0" w:oddHBand="0" w:evenHBand="0" w:firstRowFirstColumn="0" w:firstRowLastColumn="0" w:lastRowFirstColumn="0" w:lastRowLastColumn="0"/>
            </w:pPr>
            <w:r w:rsidRPr="0076737F">
              <w:t>65.5% (n=10</w:t>
            </w:r>
            <w:r>
              <w:t>,</w:t>
            </w:r>
            <w:r w:rsidRPr="0076737F">
              <w:t>285)</w:t>
            </w:r>
          </w:p>
        </w:tc>
      </w:tr>
      <w:tr w:rsidR="004A49D1" w:rsidRPr="007A1075" w14:paraId="7551E658" w14:textId="77777777" w:rsidTr="0078378F">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75" w:type="dxa"/>
            <w:vMerge/>
            <w:tcBorders>
              <w:top w:val="none" w:sz="0" w:space="0" w:color="auto"/>
              <w:bottom w:val="none" w:sz="0" w:space="0" w:color="auto"/>
              <w:right w:val="none" w:sz="0" w:space="0" w:color="auto"/>
            </w:tcBorders>
            <w:hideMark/>
          </w:tcPr>
          <w:p w14:paraId="0B23D0F3" w14:textId="77777777" w:rsidR="00826536" w:rsidRPr="007A1075" w:rsidRDefault="00826536" w:rsidP="0033101B">
            <w:pPr>
              <w:pStyle w:val="TableText"/>
            </w:pPr>
          </w:p>
        </w:tc>
        <w:tc>
          <w:tcPr>
            <w:tcW w:w="1022" w:type="dxa"/>
            <w:vMerge/>
            <w:tcBorders>
              <w:top w:val="none" w:sz="0" w:space="0" w:color="auto"/>
              <w:bottom w:val="none" w:sz="0" w:space="0" w:color="auto"/>
            </w:tcBorders>
            <w:hideMark/>
          </w:tcPr>
          <w:p w14:paraId="7813BE63" w14:textId="77777777" w:rsidR="0033101B" w:rsidRPr="007A1075" w:rsidRDefault="0033101B" w:rsidP="0033101B">
            <w:pPr>
              <w:pStyle w:val="TableText"/>
              <w:cnfStyle w:val="000000100000" w:firstRow="0" w:lastRow="0" w:firstColumn="0" w:lastColumn="0" w:oddVBand="0" w:evenVBand="0" w:oddHBand="1" w:evenHBand="0" w:firstRowFirstColumn="0" w:firstRowLastColumn="0" w:lastRowFirstColumn="0" w:lastRowLastColumn="0"/>
            </w:pPr>
          </w:p>
        </w:tc>
        <w:tc>
          <w:tcPr>
            <w:tcW w:w="1605" w:type="dxa"/>
            <w:vMerge/>
            <w:tcBorders>
              <w:top w:val="none" w:sz="0" w:space="0" w:color="auto"/>
              <w:bottom w:val="none" w:sz="0" w:space="0" w:color="auto"/>
            </w:tcBorders>
            <w:hideMark/>
          </w:tcPr>
          <w:p w14:paraId="287BC874" w14:textId="77777777" w:rsidR="0033101B" w:rsidRPr="007A1075" w:rsidRDefault="0033101B" w:rsidP="0033101B">
            <w:pPr>
              <w:pStyle w:val="TableText"/>
              <w:cnfStyle w:val="000000100000" w:firstRow="0" w:lastRow="0" w:firstColumn="0" w:lastColumn="0" w:oddVBand="0" w:evenVBand="0" w:oddHBand="1" w:evenHBand="0" w:firstRowFirstColumn="0" w:firstRowLastColumn="0" w:lastRowFirstColumn="0" w:lastRowLastColumn="0"/>
            </w:pPr>
          </w:p>
        </w:tc>
        <w:tc>
          <w:tcPr>
            <w:tcW w:w="1629" w:type="dxa"/>
            <w:tcBorders>
              <w:top w:val="none" w:sz="0" w:space="0" w:color="auto"/>
              <w:bottom w:val="none" w:sz="0" w:space="0" w:color="auto"/>
            </w:tcBorders>
            <w:noWrap/>
            <w:hideMark/>
          </w:tcPr>
          <w:p w14:paraId="2FC5D572" w14:textId="77777777" w:rsidR="0033101B" w:rsidRPr="007A1075" w:rsidRDefault="0033101B" w:rsidP="0033101B">
            <w:pPr>
              <w:pStyle w:val="TableText"/>
              <w:cnfStyle w:val="000000100000" w:firstRow="0" w:lastRow="0" w:firstColumn="0" w:lastColumn="0" w:oddVBand="0" w:evenVBand="0" w:oddHBand="1" w:evenHBand="0" w:firstRowFirstColumn="0" w:firstRowLastColumn="0" w:lastRowFirstColumn="0" w:lastRowLastColumn="0"/>
            </w:pPr>
            <w:r w:rsidRPr="007A1075">
              <w:t>Changed impact of immediate crisis</w:t>
            </w:r>
          </w:p>
        </w:tc>
        <w:tc>
          <w:tcPr>
            <w:tcW w:w="963" w:type="dxa"/>
            <w:tcBorders>
              <w:top w:val="none" w:sz="0" w:space="0" w:color="auto"/>
              <w:bottom w:val="none" w:sz="0" w:space="0" w:color="auto"/>
            </w:tcBorders>
            <w:noWrap/>
            <w:hideMark/>
          </w:tcPr>
          <w:p w14:paraId="539A3EF2" w14:textId="23873382" w:rsidR="0033101B" w:rsidRPr="007A1075" w:rsidRDefault="0033101B" w:rsidP="0033101B">
            <w:pPr>
              <w:pStyle w:val="TableText"/>
              <w:cnfStyle w:val="000000100000" w:firstRow="0" w:lastRow="0" w:firstColumn="0" w:lastColumn="0" w:oddVBand="0" w:evenVBand="0" w:oddHBand="1" w:evenHBand="0" w:firstRowFirstColumn="0" w:firstRowLastColumn="0" w:lastRowFirstColumn="0" w:lastRowLastColumn="0"/>
            </w:pPr>
            <w:r w:rsidRPr="0076737F">
              <w:t>1.05</w:t>
            </w:r>
          </w:p>
        </w:tc>
        <w:tc>
          <w:tcPr>
            <w:tcW w:w="1326" w:type="dxa"/>
            <w:tcBorders>
              <w:top w:val="none" w:sz="0" w:space="0" w:color="auto"/>
              <w:bottom w:val="none" w:sz="0" w:space="0" w:color="auto"/>
            </w:tcBorders>
            <w:noWrap/>
            <w:hideMark/>
          </w:tcPr>
          <w:p w14:paraId="5F6D9D28" w14:textId="0129B8AB" w:rsidR="0033101B" w:rsidRPr="007A1075" w:rsidRDefault="0033101B" w:rsidP="0033101B">
            <w:pPr>
              <w:pStyle w:val="TableText"/>
              <w:cnfStyle w:val="000000100000" w:firstRow="0" w:lastRow="0" w:firstColumn="0" w:lastColumn="0" w:oddVBand="0" w:evenVBand="0" w:oddHBand="1" w:evenHBand="0" w:firstRowFirstColumn="0" w:firstRowLastColumn="0" w:lastRowFirstColumn="0" w:lastRowLastColumn="0"/>
            </w:pPr>
            <w:r w:rsidRPr="0076737F">
              <w:t>2537232.5</w:t>
            </w:r>
          </w:p>
        </w:tc>
        <w:tc>
          <w:tcPr>
            <w:tcW w:w="859" w:type="dxa"/>
            <w:tcBorders>
              <w:top w:val="none" w:sz="0" w:space="0" w:color="auto"/>
              <w:bottom w:val="none" w:sz="0" w:space="0" w:color="auto"/>
            </w:tcBorders>
            <w:noWrap/>
            <w:hideMark/>
          </w:tcPr>
          <w:p w14:paraId="0B33002B" w14:textId="6C8EF5F9" w:rsidR="0033101B" w:rsidRPr="007A1075" w:rsidRDefault="0033101B" w:rsidP="0033101B">
            <w:pPr>
              <w:pStyle w:val="TableText"/>
              <w:cnfStyle w:val="000000100000" w:firstRow="0" w:lastRow="0" w:firstColumn="0" w:lastColumn="0" w:oddVBand="0" w:evenVBand="0" w:oddHBand="1" w:evenHBand="0" w:firstRowFirstColumn="0" w:firstRowLastColumn="0" w:lastRowFirstColumn="0" w:lastRowLastColumn="0"/>
            </w:pPr>
            <w:r w:rsidRPr="0076737F">
              <w:t>8</w:t>
            </w:r>
            <w:r>
              <w:t>,</w:t>
            </w:r>
            <w:r w:rsidRPr="0076737F">
              <w:t>168</w:t>
            </w:r>
          </w:p>
        </w:tc>
        <w:tc>
          <w:tcPr>
            <w:tcW w:w="748" w:type="dxa"/>
            <w:tcBorders>
              <w:top w:val="none" w:sz="0" w:space="0" w:color="auto"/>
              <w:bottom w:val="none" w:sz="0" w:space="0" w:color="auto"/>
            </w:tcBorders>
            <w:noWrap/>
            <w:hideMark/>
          </w:tcPr>
          <w:p w14:paraId="3E9A3608" w14:textId="49D7F9AA" w:rsidR="0033101B" w:rsidRPr="007A1075" w:rsidRDefault="0033101B" w:rsidP="0033101B">
            <w:pPr>
              <w:pStyle w:val="TableText"/>
              <w:cnfStyle w:val="000000100000" w:firstRow="0" w:lastRow="0" w:firstColumn="0" w:lastColumn="0" w:oddVBand="0" w:evenVBand="0" w:oddHBand="1" w:evenHBand="0" w:firstRowFirstColumn="0" w:firstRowLastColumn="0" w:lastRowFirstColumn="0" w:lastRowLastColumn="0"/>
            </w:pPr>
            <w:r w:rsidRPr="0076737F">
              <w:t>&lt;.001</w:t>
            </w:r>
          </w:p>
        </w:tc>
        <w:tc>
          <w:tcPr>
            <w:tcW w:w="4760" w:type="dxa"/>
            <w:tcBorders>
              <w:top w:val="none" w:sz="0" w:space="0" w:color="auto"/>
              <w:bottom w:val="none" w:sz="0" w:space="0" w:color="auto"/>
            </w:tcBorders>
            <w:noWrap/>
            <w:hideMark/>
          </w:tcPr>
          <w:p w14:paraId="3D17A487" w14:textId="3B6157EA" w:rsidR="0033101B" w:rsidRPr="007A1075" w:rsidRDefault="0033101B" w:rsidP="0033101B">
            <w:pPr>
              <w:pStyle w:val="TableText"/>
              <w:cnfStyle w:val="000000100000" w:firstRow="0" w:lastRow="0" w:firstColumn="0" w:lastColumn="0" w:oddVBand="0" w:evenVBand="0" w:oddHBand="1" w:evenHBand="0" w:firstRowFirstColumn="0" w:firstRowLastColumn="0" w:lastRowFirstColumn="0" w:lastRowLastColumn="0"/>
            </w:pPr>
            <w:r w:rsidRPr="0076737F">
              <w:t>65.3% (n=5</w:t>
            </w:r>
            <w:r>
              <w:t>,</w:t>
            </w:r>
            <w:r w:rsidRPr="0076737F">
              <w:t>335)</w:t>
            </w:r>
          </w:p>
        </w:tc>
      </w:tr>
      <w:tr w:rsidR="004A49D1" w:rsidRPr="007A1075" w14:paraId="24335E9E" w14:textId="77777777" w:rsidTr="0078378F">
        <w:trPr>
          <w:trHeight w:val="290"/>
        </w:trPr>
        <w:tc>
          <w:tcPr>
            <w:cnfStyle w:val="001000000000" w:firstRow="0" w:lastRow="0" w:firstColumn="1" w:lastColumn="0" w:oddVBand="0" w:evenVBand="0" w:oddHBand="0" w:evenHBand="0" w:firstRowFirstColumn="0" w:firstRowLastColumn="0" w:lastRowFirstColumn="0" w:lastRowLastColumn="0"/>
            <w:tcW w:w="975" w:type="dxa"/>
            <w:vMerge/>
            <w:tcBorders>
              <w:right w:val="none" w:sz="0" w:space="0" w:color="auto"/>
            </w:tcBorders>
            <w:hideMark/>
          </w:tcPr>
          <w:p w14:paraId="25254AEA" w14:textId="77777777" w:rsidR="00826536" w:rsidRPr="007A1075" w:rsidRDefault="00826536" w:rsidP="0033101B">
            <w:pPr>
              <w:pStyle w:val="TableText"/>
            </w:pPr>
          </w:p>
        </w:tc>
        <w:tc>
          <w:tcPr>
            <w:tcW w:w="1022" w:type="dxa"/>
            <w:vMerge/>
            <w:hideMark/>
          </w:tcPr>
          <w:p w14:paraId="22B7C881" w14:textId="77777777" w:rsidR="0033101B" w:rsidRPr="007A1075" w:rsidRDefault="0033101B" w:rsidP="0033101B">
            <w:pPr>
              <w:pStyle w:val="TableText"/>
              <w:cnfStyle w:val="000000000000" w:firstRow="0" w:lastRow="0" w:firstColumn="0" w:lastColumn="0" w:oddVBand="0" w:evenVBand="0" w:oddHBand="0" w:evenHBand="0" w:firstRowFirstColumn="0" w:firstRowLastColumn="0" w:lastRowFirstColumn="0" w:lastRowLastColumn="0"/>
            </w:pPr>
          </w:p>
        </w:tc>
        <w:tc>
          <w:tcPr>
            <w:tcW w:w="1605" w:type="dxa"/>
            <w:vMerge/>
            <w:hideMark/>
          </w:tcPr>
          <w:p w14:paraId="7F93BA00" w14:textId="77777777" w:rsidR="0033101B" w:rsidRPr="007A1075" w:rsidRDefault="0033101B" w:rsidP="0033101B">
            <w:pPr>
              <w:pStyle w:val="TableText"/>
              <w:cnfStyle w:val="000000000000" w:firstRow="0" w:lastRow="0" w:firstColumn="0" w:lastColumn="0" w:oddVBand="0" w:evenVBand="0" w:oddHBand="0" w:evenHBand="0" w:firstRowFirstColumn="0" w:firstRowLastColumn="0" w:lastRowFirstColumn="0" w:lastRowLastColumn="0"/>
            </w:pPr>
          </w:p>
        </w:tc>
        <w:tc>
          <w:tcPr>
            <w:tcW w:w="1629" w:type="dxa"/>
            <w:noWrap/>
            <w:hideMark/>
          </w:tcPr>
          <w:p w14:paraId="61539A98" w14:textId="77777777" w:rsidR="0033101B" w:rsidRPr="007A1075" w:rsidRDefault="0033101B" w:rsidP="0033101B">
            <w:pPr>
              <w:pStyle w:val="TableText"/>
              <w:cnfStyle w:val="000000000000" w:firstRow="0" w:lastRow="0" w:firstColumn="0" w:lastColumn="0" w:oddVBand="0" w:evenVBand="0" w:oddHBand="0" w:evenHBand="0" w:firstRowFirstColumn="0" w:firstRowLastColumn="0" w:lastRowFirstColumn="0" w:lastRowLastColumn="0"/>
            </w:pPr>
            <w:r w:rsidRPr="007A1075">
              <w:t>Changed knowledge and access to information</w:t>
            </w:r>
          </w:p>
        </w:tc>
        <w:tc>
          <w:tcPr>
            <w:tcW w:w="963" w:type="dxa"/>
            <w:noWrap/>
            <w:hideMark/>
          </w:tcPr>
          <w:p w14:paraId="5F5E9827" w14:textId="20173B51" w:rsidR="0033101B" w:rsidRPr="007A1075" w:rsidRDefault="0033101B" w:rsidP="0033101B">
            <w:pPr>
              <w:pStyle w:val="TableText"/>
              <w:cnfStyle w:val="000000000000" w:firstRow="0" w:lastRow="0" w:firstColumn="0" w:lastColumn="0" w:oddVBand="0" w:evenVBand="0" w:oddHBand="0" w:evenHBand="0" w:firstRowFirstColumn="0" w:firstRowLastColumn="0" w:lastRowFirstColumn="0" w:lastRowLastColumn="0"/>
            </w:pPr>
            <w:r w:rsidRPr="0076737F">
              <w:t>1.25</w:t>
            </w:r>
          </w:p>
        </w:tc>
        <w:tc>
          <w:tcPr>
            <w:tcW w:w="1326" w:type="dxa"/>
            <w:noWrap/>
            <w:hideMark/>
          </w:tcPr>
          <w:p w14:paraId="4AFFEF54" w14:textId="0451D7BA" w:rsidR="0033101B" w:rsidRPr="007A1075" w:rsidRDefault="0033101B" w:rsidP="0033101B">
            <w:pPr>
              <w:pStyle w:val="TableText"/>
              <w:cnfStyle w:val="000000000000" w:firstRow="0" w:lastRow="0" w:firstColumn="0" w:lastColumn="0" w:oddVBand="0" w:evenVBand="0" w:oddHBand="0" w:evenHBand="0" w:firstRowFirstColumn="0" w:firstRowLastColumn="0" w:lastRowFirstColumn="0" w:lastRowLastColumn="0"/>
            </w:pPr>
            <w:r w:rsidRPr="0076737F">
              <w:t>10125029</w:t>
            </w:r>
          </w:p>
        </w:tc>
        <w:tc>
          <w:tcPr>
            <w:tcW w:w="859" w:type="dxa"/>
            <w:noWrap/>
            <w:hideMark/>
          </w:tcPr>
          <w:p w14:paraId="578D3737" w14:textId="3AA66D06" w:rsidR="0033101B" w:rsidRPr="007A1075" w:rsidRDefault="0033101B" w:rsidP="0033101B">
            <w:pPr>
              <w:pStyle w:val="TableText"/>
              <w:cnfStyle w:val="000000000000" w:firstRow="0" w:lastRow="0" w:firstColumn="0" w:lastColumn="0" w:oddVBand="0" w:evenVBand="0" w:oddHBand="0" w:evenHBand="0" w:firstRowFirstColumn="0" w:firstRowLastColumn="0" w:lastRowFirstColumn="0" w:lastRowLastColumn="0"/>
            </w:pPr>
            <w:r w:rsidRPr="0076737F">
              <w:t>18</w:t>
            </w:r>
            <w:r>
              <w:t>,</w:t>
            </w:r>
            <w:r w:rsidRPr="0076737F">
              <w:t>380</w:t>
            </w:r>
          </w:p>
        </w:tc>
        <w:tc>
          <w:tcPr>
            <w:tcW w:w="748" w:type="dxa"/>
            <w:noWrap/>
            <w:hideMark/>
          </w:tcPr>
          <w:p w14:paraId="5F8C20AE" w14:textId="2288A622" w:rsidR="0033101B" w:rsidRPr="007A1075" w:rsidRDefault="0033101B" w:rsidP="0033101B">
            <w:pPr>
              <w:pStyle w:val="TableText"/>
              <w:cnfStyle w:val="000000000000" w:firstRow="0" w:lastRow="0" w:firstColumn="0" w:lastColumn="0" w:oddVBand="0" w:evenVBand="0" w:oddHBand="0" w:evenHBand="0" w:firstRowFirstColumn="0" w:firstRowLastColumn="0" w:lastRowFirstColumn="0" w:lastRowLastColumn="0"/>
            </w:pPr>
            <w:r w:rsidRPr="0076737F">
              <w:t>&lt;.001</w:t>
            </w:r>
          </w:p>
        </w:tc>
        <w:tc>
          <w:tcPr>
            <w:tcW w:w="4760" w:type="dxa"/>
            <w:noWrap/>
            <w:hideMark/>
          </w:tcPr>
          <w:p w14:paraId="1DCE9C0A" w14:textId="0B4E1204" w:rsidR="0033101B" w:rsidRPr="007A1075" w:rsidRDefault="0033101B" w:rsidP="0033101B">
            <w:pPr>
              <w:pStyle w:val="TableText"/>
              <w:cnfStyle w:val="000000000000" w:firstRow="0" w:lastRow="0" w:firstColumn="0" w:lastColumn="0" w:oddVBand="0" w:evenVBand="0" w:oddHBand="0" w:evenHBand="0" w:firstRowFirstColumn="0" w:firstRowLastColumn="0" w:lastRowFirstColumn="0" w:lastRowLastColumn="0"/>
            </w:pPr>
            <w:r w:rsidRPr="0076737F">
              <w:t>69.4% (n=12</w:t>
            </w:r>
            <w:r>
              <w:t>,</w:t>
            </w:r>
            <w:r w:rsidRPr="0076737F">
              <w:t>750)</w:t>
            </w:r>
          </w:p>
        </w:tc>
      </w:tr>
      <w:tr w:rsidR="004A49D1" w:rsidRPr="007A1075" w14:paraId="5C8E9070" w14:textId="77777777" w:rsidTr="0078378F">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75" w:type="dxa"/>
            <w:vMerge/>
            <w:tcBorders>
              <w:top w:val="none" w:sz="0" w:space="0" w:color="auto"/>
              <w:bottom w:val="none" w:sz="0" w:space="0" w:color="auto"/>
              <w:right w:val="none" w:sz="0" w:space="0" w:color="auto"/>
            </w:tcBorders>
            <w:hideMark/>
          </w:tcPr>
          <w:p w14:paraId="5FD99F36" w14:textId="77777777" w:rsidR="00826536" w:rsidRPr="007A1075" w:rsidRDefault="00826536" w:rsidP="0033101B">
            <w:pPr>
              <w:pStyle w:val="TableText"/>
            </w:pPr>
          </w:p>
        </w:tc>
        <w:tc>
          <w:tcPr>
            <w:tcW w:w="1022" w:type="dxa"/>
            <w:vMerge/>
            <w:tcBorders>
              <w:top w:val="none" w:sz="0" w:space="0" w:color="auto"/>
              <w:bottom w:val="none" w:sz="0" w:space="0" w:color="auto"/>
            </w:tcBorders>
            <w:hideMark/>
          </w:tcPr>
          <w:p w14:paraId="3ABDCD68" w14:textId="77777777" w:rsidR="0033101B" w:rsidRPr="007A1075" w:rsidRDefault="0033101B" w:rsidP="0033101B">
            <w:pPr>
              <w:pStyle w:val="TableText"/>
              <w:cnfStyle w:val="000000100000" w:firstRow="0" w:lastRow="0" w:firstColumn="0" w:lastColumn="0" w:oddVBand="0" w:evenVBand="0" w:oddHBand="1" w:evenHBand="0" w:firstRowFirstColumn="0" w:firstRowLastColumn="0" w:lastRowFirstColumn="0" w:lastRowLastColumn="0"/>
            </w:pPr>
          </w:p>
        </w:tc>
        <w:tc>
          <w:tcPr>
            <w:tcW w:w="1605" w:type="dxa"/>
            <w:vMerge/>
            <w:tcBorders>
              <w:top w:val="none" w:sz="0" w:space="0" w:color="auto"/>
              <w:bottom w:val="none" w:sz="0" w:space="0" w:color="auto"/>
            </w:tcBorders>
            <w:hideMark/>
          </w:tcPr>
          <w:p w14:paraId="1E7DF31D" w14:textId="77777777" w:rsidR="0033101B" w:rsidRPr="007A1075" w:rsidRDefault="0033101B" w:rsidP="0033101B">
            <w:pPr>
              <w:pStyle w:val="TableText"/>
              <w:cnfStyle w:val="000000100000" w:firstRow="0" w:lastRow="0" w:firstColumn="0" w:lastColumn="0" w:oddVBand="0" w:evenVBand="0" w:oddHBand="1" w:evenHBand="0" w:firstRowFirstColumn="0" w:firstRowLastColumn="0" w:lastRowFirstColumn="0" w:lastRowLastColumn="0"/>
            </w:pPr>
          </w:p>
        </w:tc>
        <w:tc>
          <w:tcPr>
            <w:tcW w:w="1629" w:type="dxa"/>
            <w:tcBorders>
              <w:top w:val="none" w:sz="0" w:space="0" w:color="auto"/>
              <w:bottom w:val="none" w:sz="0" w:space="0" w:color="auto"/>
            </w:tcBorders>
            <w:noWrap/>
            <w:hideMark/>
          </w:tcPr>
          <w:p w14:paraId="60E45B54" w14:textId="77777777" w:rsidR="0033101B" w:rsidRPr="007A1075" w:rsidRDefault="0033101B" w:rsidP="0033101B">
            <w:pPr>
              <w:pStyle w:val="TableText"/>
              <w:cnfStyle w:val="000000100000" w:firstRow="0" w:lastRow="0" w:firstColumn="0" w:lastColumn="0" w:oddVBand="0" w:evenVBand="0" w:oddHBand="1" w:evenHBand="0" w:firstRowFirstColumn="0" w:firstRowLastColumn="0" w:lastRowFirstColumn="0" w:lastRowLastColumn="0"/>
            </w:pPr>
            <w:r w:rsidRPr="007A1075">
              <w:t>Changed skills</w:t>
            </w:r>
          </w:p>
        </w:tc>
        <w:tc>
          <w:tcPr>
            <w:tcW w:w="963" w:type="dxa"/>
            <w:tcBorders>
              <w:top w:val="none" w:sz="0" w:space="0" w:color="auto"/>
              <w:bottom w:val="none" w:sz="0" w:space="0" w:color="auto"/>
            </w:tcBorders>
            <w:noWrap/>
            <w:hideMark/>
          </w:tcPr>
          <w:p w14:paraId="33907D68" w14:textId="59630904" w:rsidR="0033101B" w:rsidRPr="007A1075" w:rsidRDefault="0033101B" w:rsidP="0033101B">
            <w:pPr>
              <w:pStyle w:val="TableText"/>
              <w:cnfStyle w:val="000000100000" w:firstRow="0" w:lastRow="0" w:firstColumn="0" w:lastColumn="0" w:oddVBand="0" w:evenVBand="0" w:oddHBand="1" w:evenHBand="0" w:firstRowFirstColumn="0" w:firstRowLastColumn="0" w:lastRowFirstColumn="0" w:lastRowLastColumn="0"/>
            </w:pPr>
            <w:r w:rsidRPr="0076737F">
              <w:t>1.08</w:t>
            </w:r>
          </w:p>
        </w:tc>
        <w:tc>
          <w:tcPr>
            <w:tcW w:w="1326" w:type="dxa"/>
            <w:tcBorders>
              <w:top w:val="none" w:sz="0" w:space="0" w:color="auto"/>
              <w:bottom w:val="none" w:sz="0" w:space="0" w:color="auto"/>
            </w:tcBorders>
            <w:noWrap/>
            <w:hideMark/>
          </w:tcPr>
          <w:p w14:paraId="4927DB18" w14:textId="72C437C9" w:rsidR="0033101B" w:rsidRPr="007A1075" w:rsidRDefault="0033101B" w:rsidP="0033101B">
            <w:pPr>
              <w:pStyle w:val="TableText"/>
              <w:cnfStyle w:val="000000100000" w:firstRow="0" w:lastRow="0" w:firstColumn="0" w:lastColumn="0" w:oddVBand="0" w:evenVBand="0" w:oddHBand="1" w:evenHBand="0" w:firstRowFirstColumn="0" w:firstRowLastColumn="0" w:lastRowFirstColumn="0" w:lastRowLastColumn="0"/>
            </w:pPr>
            <w:r w:rsidRPr="0076737F">
              <w:t>11540639</w:t>
            </w:r>
          </w:p>
        </w:tc>
        <w:tc>
          <w:tcPr>
            <w:tcW w:w="859" w:type="dxa"/>
            <w:tcBorders>
              <w:top w:val="none" w:sz="0" w:space="0" w:color="auto"/>
              <w:bottom w:val="none" w:sz="0" w:space="0" w:color="auto"/>
            </w:tcBorders>
            <w:noWrap/>
            <w:hideMark/>
          </w:tcPr>
          <w:p w14:paraId="190CF92B" w14:textId="1DB14F95" w:rsidR="0033101B" w:rsidRPr="007A1075" w:rsidRDefault="0033101B" w:rsidP="0033101B">
            <w:pPr>
              <w:pStyle w:val="TableText"/>
              <w:cnfStyle w:val="000000100000" w:firstRow="0" w:lastRow="0" w:firstColumn="0" w:lastColumn="0" w:oddVBand="0" w:evenVBand="0" w:oddHBand="1" w:evenHBand="0" w:firstRowFirstColumn="0" w:firstRowLastColumn="0" w:lastRowFirstColumn="0" w:lastRowLastColumn="0"/>
            </w:pPr>
            <w:r w:rsidRPr="0076737F">
              <w:t>19</w:t>
            </w:r>
            <w:r>
              <w:t>,</w:t>
            </w:r>
            <w:r w:rsidRPr="0076737F">
              <w:t>207</w:t>
            </w:r>
          </w:p>
        </w:tc>
        <w:tc>
          <w:tcPr>
            <w:tcW w:w="748" w:type="dxa"/>
            <w:tcBorders>
              <w:top w:val="none" w:sz="0" w:space="0" w:color="auto"/>
              <w:bottom w:val="none" w:sz="0" w:space="0" w:color="auto"/>
            </w:tcBorders>
            <w:noWrap/>
            <w:hideMark/>
          </w:tcPr>
          <w:p w14:paraId="21BFAB1C" w14:textId="27B77781" w:rsidR="0033101B" w:rsidRPr="007A1075" w:rsidRDefault="0033101B" w:rsidP="0033101B">
            <w:pPr>
              <w:pStyle w:val="TableText"/>
              <w:cnfStyle w:val="000000100000" w:firstRow="0" w:lastRow="0" w:firstColumn="0" w:lastColumn="0" w:oddVBand="0" w:evenVBand="0" w:oddHBand="1" w:evenHBand="0" w:firstRowFirstColumn="0" w:firstRowLastColumn="0" w:lastRowFirstColumn="0" w:lastRowLastColumn="0"/>
            </w:pPr>
            <w:r w:rsidRPr="0076737F">
              <w:t>&lt;.001</w:t>
            </w:r>
          </w:p>
        </w:tc>
        <w:tc>
          <w:tcPr>
            <w:tcW w:w="4760" w:type="dxa"/>
            <w:tcBorders>
              <w:top w:val="none" w:sz="0" w:space="0" w:color="auto"/>
              <w:bottom w:val="none" w:sz="0" w:space="0" w:color="auto"/>
            </w:tcBorders>
            <w:noWrap/>
            <w:hideMark/>
          </w:tcPr>
          <w:p w14:paraId="51140565" w14:textId="7E455965" w:rsidR="0033101B" w:rsidRPr="007A1075" w:rsidRDefault="0033101B" w:rsidP="0033101B">
            <w:pPr>
              <w:pStyle w:val="TableText"/>
              <w:cnfStyle w:val="000000100000" w:firstRow="0" w:lastRow="0" w:firstColumn="0" w:lastColumn="0" w:oddVBand="0" w:evenVBand="0" w:oddHBand="1" w:evenHBand="0" w:firstRowFirstColumn="0" w:firstRowLastColumn="0" w:lastRowFirstColumn="0" w:lastRowLastColumn="0"/>
            </w:pPr>
            <w:r w:rsidRPr="0076737F">
              <w:t>66.1% (n=12</w:t>
            </w:r>
            <w:r>
              <w:t>,</w:t>
            </w:r>
            <w:r w:rsidRPr="0076737F">
              <w:t>704)</w:t>
            </w:r>
          </w:p>
        </w:tc>
      </w:tr>
      <w:tr w:rsidR="004A49D1" w:rsidRPr="007A1075" w14:paraId="098AF256" w14:textId="77777777" w:rsidTr="0078378F">
        <w:trPr>
          <w:trHeight w:val="290"/>
        </w:trPr>
        <w:tc>
          <w:tcPr>
            <w:cnfStyle w:val="001000000000" w:firstRow="0" w:lastRow="0" w:firstColumn="1" w:lastColumn="0" w:oddVBand="0" w:evenVBand="0" w:oddHBand="0" w:evenHBand="0" w:firstRowFirstColumn="0" w:firstRowLastColumn="0" w:lastRowFirstColumn="0" w:lastRowLastColumn="0"/>
            <w:tcW w:w="975" w:type="dxa"/>
            <w:vMerge/>
            <w:tcBorders>
              <w:right w:val="none" w:sz="0" w:space="0" w:color="auto"/>
            </w:tcBorders>
            <w:hideMark/>
          </w:tcPr>
          <w:p w14:paraId="4A94E41E" w14:textId="77777777" w:rsidR="00826536" w:rsidRPr="007A1075" w:rsidRDefault="00826536" w:rsidP="0033101B">
            <w:pPr>
              <w:pStyle w:val="TableText"/>
            </w:pPr>
          </w:p>
        </w:tc>
        <w:tc>
          <w:tcPr>
            <w:tcW w:w="1022" w:type="dxa"/>
            <w:vMerge/>
            <w:hideMark/>
          </w:tcPr>
          <w:p w14:paraId="4D0024DF" w14:textId="77777777" w:rsidR="0033101B" w:rsidRPr="007A1075" w:rsidRDefault="0033101B" w:rsidP="0033101B">
            <w:pPr>
              <w:pStyle w:val="TableText"/>
              <w:cnfStyle w:val="000000000000" w:firstRow="0" w:lastRow="0" w:firstColumn="0" w:lastColumn="0" w:oddVBand="0" w:evenVBand="0" w:oddHBand="0" w:evenHBand="0" w:firstRowFirstColumn="0" w:firstRowLastColumn="0" w:lastRowFirstColumn="0" w:lastRowLastColumn="0"/>
            </w:pPr>
          </w:p>
        </w:tc>
        <w:tc>
          <w:tcPr>
            <w:tcW w:w="1605" w:type="dxa"/>
            <w:vMerge/>
            <w:hideMark/>
          </w:tcPr>
          <w:p w14:paraId="19934DEA" w14:textId="77777777" w:rsidR="0033101B" w:rsidRPr="007A1075" w:rsidRDefault="0033101B" w:rsidP="0033101B">
            <w:pPr>
              <w:pStyle w:val="TableText"/>
              <w:cnfStyle w:val="000000000000" w:firstRow="0" w:lastRow="0" w:firstColumn="0" w:lastColumn="0" w:oddVBand="0" w:evenVBand="0" w:oddHBand="0" w:evenHBand="0" w:firstRowFirstColumn="0" w:firstRowLastColumn="0" w:lastRowFirstColumn="0" w:lastRowLastColumn="0"/>
            </w:pPr>
          </w:p>
        </w:tc>
        <w:tc>
          <w:tcPr>
            <w:tcW w:w="1629" w:type="dxa"/>
            <w:noWrap/>
            <w:hideMark/>
          </w:tcPr>
          <w:p w14:paraId="4320C7C0" w14:textId="77777777" w:rsidR="0033101B" w:rsidRPr="007A1075" w:rsidRDefault="00826536" w:rsidP="0033101B">
            <w:pPr>
              <w:pStyle w:val="TableText"/>
              <w:cnfStyle w:val="000000000000" w:firstRow="0" w:lastRow="0" w:firstColumn="0" w:lastColumn="0" w:oddVBand="0" w:evenVBand="0" w:oddHBand="0" w:evenHBand="0" w:firstRowFirstColumn="0" w:firstRowLastColumn="0" w:lastRowFirstColumn="0" w:lastRowLastColumn="0"/>
            </w:pPr>
            <w:r w:rsidRPr="57F92EFB">
              <w:rPr>
                <w:lang w:val="en-NZ"/>
              </w:rPr>
              <w:t>Empowerment, choice and control to make own decisions</w:t>
            </w:r>
          </w:p>
        </w:tc>
        <w:tc>
          <w:tcPr>
            <w:tcW w:w="963" w:type="dxa"/>
            <w:noWrap/>
            <w:hideMark/>
          </w:tcPr>
          <w:p w14:paraId="5B9BDE00" w14:textId="23377622" w:rsidR="0033101B" w:rsidRPr="007A1075" w:rsidRDefault="0033101B" w:rsidP="0033101B">
            <w:pPr>
              <w:pStyle w:val="TableText"/>
              <w:cnfStyle w:val="000000000000" w:firstRow="0" w:lastRow="0" w:firstColumn="0" w:lastColumn="0" w:oddVBand="0" w:evenVBand="0" w:oddHBand="0" w:evenHBand="0" w:firstRowFirstColumn="0" w:firstRowLastColumn="0" w:lastRowFirstColumn="0" w:lastRowLastColumn="0"/>
            </w:pPr>
            <w:r w:rsidRPr="0076737F">
              <w:t>1.05</w:t>
            </w:r>
          </w:p>
        </w:tc>
        <w:tc>
          <w:tcPr>
            <w:tcW w:w="1326" w:type="dxa"/>
            <w:noWrap/>
            <w:hideMark/>
          </w:tcPr>
          <w:p w14:paraId="05A08A42" w14:textId="387A4FA9" w:rsidR="0033101B" w:rsidRPr="007A1075" w:rsidRDefault="0033101B" w:rsidP="0033101B">
            <w:pPr>
              <w:pStyle w:val="TableText"/>
              <w:cnfStyle w:val="000000000000" w:firstRow="0" w:lastRow="0" w:firstColumn="0" w:lastColumn="0" w:oddVBand="0" w:evenVBand="0" w:oddHBand="0" w:evenHBand="0" w:firstRowFirstColumn="0" w:firstRowLastColumn="0" w:lastRowFirstColumn="0" w:lastRowLastColumn="0"/>
            </w:pPr>
            <w:r w:rsidRPr="0076737F">
              <w:t>7739518</w:t>
            </w:r>
          </w:p>
        </w:tc>
        <w:tc>
          <w:tcPr>
            <w:tcW w:w="859" w:type="dxa"/>
            <w:noWrap/>
            <w:hideMark/>
          </w:tcPr>
          <w:p w14:paraId="7AE4BACC" w14:textId="3646B6C9" w:rsidR="0033101B" w:rsidRPr="007A1075" w:rsidRDefault="0033101B" w:rsidP="0033101B">
            <w:pPr>
              <w:pStyle w:val="TableText"/>
              <w:cnfStyle w:val="000000000000" w:firstRow="0" w:lastRow="0" w:firstColumn="0" w:lastColumn="0" w:oddVBand="0" w:evenVBand="0" w:oddHBand="0" w:evenHBand="0" w:firstRowFirstColumn="0" w:firstRowLastColumn="0" w:lastRowFirstColumn="0" w:lastRowLastColumn="0"/>
            </w:pPr>
            <w:r w:rsidRPr="0076737F">
              <w:t>14</w:t>
            </w:r>
            <w:r>
              <w:t>,</w:t>
            </w:r>
            <w:r w:rsidRPr="0076737F">
              <w:t>917</w:t>
            </w:r>
          </w:p>
        </w:tc>
        <w:tc>
          <w:tcPr>
            <w:tcW w:w="748" w:type="dxa"/>
            <w:noWrap/>
            <w:hideMark/>
          </w:tcPr>
          <w:p w14:paraId="33DF267C" w14:textId="2A6F59CC" w:rsidR="0033101B" w:rsidRPr="007A1075" w:rsidRDefault="0033101B" w:rsidP="0033101B">
            <w:pPr>
              <w:pStyle w:val="TableText"/>
              <w:cnfStyle w:val="000000000000" w:firstRow="0" w:lastRow="0" w:firstColumn="0" w:lastColumn="0" w:oddVBand="0" w:evenVBand="0" w:oddHBand="0" w:evenHBand="0" w:firstRowFirstColumn="0" w:firstRowLastColumn="0" w:lastRowFirstColumn="0" w:lastRowLastColumn="0"/>
            </w:pPr>
            <w:r w:rsidRPr="0076737F">
              <w:t>&lt;.001</w:t>
            </w:r>
          </w:p>
        </w:tc>
        <w:tc>
          <w:tcPr>
            <w:tcW w:w="4760" w:type="dxa"/>
            <w:noWrap/>
            <w:hideMark/>
          </w:tcPr>
          <w:p w14:paraId="12D43EFD" w14:textId="52B3AE49" w:rsidR="0033101B" w:rsidRPr="007A1075" w:rsidRDefault="0033101B" w:rsidP="0033101B">
            <w:pPr>
              <w:pStyle w:val="TableText"/>
              <w:cnfStyle w:val="000000000000" w:firstRow="0" w:lastRow="0" w:firstColumn="0" w:lastColumn="0" w:oddVBand="0" w:evenVBand="0" w:oddHBand="0" w:evenHBand="0" w:firstRowFirstColumn="0" w:firstRowLastColumn="0" w:lastRowFirstColumn="0" w:lastRowLastColumn="0"/>
            </w:pPr>
            <w:r w:rsidRPr="0076737F">
              <w:t>64.9% (n=9</w:t>
            </w:r>
            <w:r>
              <w:t>,</w:t>
            </w:r>
            <w:r w:rsidRPr="0076737F">
              <w:t>683)</w:t>
            </w:r>
          </w:p>
        </w:tc>
      </w:tr>
      <w:tr w:rsidR="004A49D1" w:rsidRPr="007A1075" w14:paraId="3AC2C708" w14:textId="77777777" w:rsidTr="0078378F">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75" w:type="dxa"/>
            <w:vMerge/>
            <w:tcBorders>
              <w:top w:val="none" w:sz="0" w:space="0" w:color="auto"/>
              <w:bottom w:val="none" w:sz="0" w:space="0" w:color="auto"/>
              <w:right w:val="none" w:sz="0" w:space="0" w:color="auto"/>
            </w:tcBorders>
            <w:hideMark/>
          </w:tcPr>
          <w:p w14:paraId="3B7C870B" w14:textId="77777777" w:rsidR="00826536" w:rsidRPr="007A1075" w:rsidRDefault="00826536" w:rsidP="0033101B">
            <w:pPr>
              <w:pStyle w:val="TableText"/>
            </w:pPr>
          </w:p>
        </w:tc>
        <w:tc>
          <w:tcPr>
            <w:tcW w:w="1022" w:type="dxa"/>
            <w:vMerge/>
            <w:tcBorders>
              <w:top w:val="none" w:sz="0" w:space="0" w:color="auto"/>
              <w:bottom w:val="none" w:sz="0" w:space="0" w:color="auto"/>
            </w:tcBorders>
            <w:hideMark/>
          </w:tcPr>
          <w:p w14:paraId="335589CA" w14:textId="77777777" w:rsidR="0033101B" w:rsidRPr="007A1075" w:rsidRDefault="0033101B" w:rsidP="0033101B">
            <w:pPr>
              <w:pStyle w:val="TableText"/>
              <w:cnfStyle w:val="000000100000" w:firstRow="0" w:lastRow="0" w:firstColumn="0" w:lastColumn="0" w:oddVBand="0" w:evenVBand="0" w:oddHBand="1" w:evenHBand="0" w:firstRowFirstColumn="0" w:firstRowLastColumn="0" w:lastRowFirstColumn="0" w:lastRowLastColumn="0"/>
            </w:pPr>
          </w:p>
        </w:tc>
        <w:tc>
          <w:tcPr>
            <w:tcW w:w="1605" w:type="dxa"/>
            <w:vMerge/>
            <w:tcBorders>
              <w:top w:val="none" w:sz="0" w:space="0" w:color="auto"/>
              <w:bottom w:val="none" w:sz="0" w:space="0" w:color="auto"/>
            </w:tcBorders>
            <w:hideMark/>
          </w:tcPr>
          <w:p w14:paraId="7393C739" w14:textId="77777777" w:rsidR="0033101B" w:rsidRPr="007A1075" w:rsidRDefault="0033101B" w:rsidP="0033101B">
            <w:pPr>
              <w:pStyle w:val="TableText"/>
              <w:cnfStyle w:val="000000100000" w:firstRow="0" w:lastRow="0" w:firstColumn="0" w:lastColumn="0" w:oddVBand="0" w:evenVBand="0" w:oddHBand="1" w:evenHBand="0" w:firstRowFirstColumn="0" w:firstRowLastColumn="0" w:lastRowFirstColumn="0" w:lastRowLastColumn="0"/>
            </w:pPr>
          </w:p>
        </w:tc>
        <w:tc>
          <w:tcPr>
            <w:tcW w:w="1629" w:type="dxa"/>
            <w:tcBorders>
              <w:top w:val="none" w:sz="0" w:space="0" w:color="auto"/>
              <w:bottom w:val="none" w:sz="0" w:space="0" w:color="auto"/>
            </w:tcBorders>
            <w:noWrap/>
            <w:hideMark/>
          </w:tcPr>
          <w:p w14:paraId="074EC26F" w14:textId="77777777" w:rsidR="0033101B" w:rsidRPr="007A1075" w:rsidRDefault="0033101B" w:rsidP="0033101B">
            <w:pPr>
              <w:pStyle w:val="TableText"/>
              <w:cnfStyle w:val="000000100000" w:firstRow="0" w:lastRow="0" w:firstColumn="0" w:lastColumn="0" w:oddVBand="0" w:evenVBand="0" w:oddHBand="1" w:evenHBand="0" w:firstRowFirstColumn="0" w:firstRowLastColumn="0" w:lastRowFirstColumn="0" w:lastRowLastColumn="0"/>
            </w:pPr>
            <w:r w:rsidRPr="007A1075">
              <w:t xml:space="preserve">Engagement with relevant </w:t>
            </w:r>
            <w:r w:rsidRPr="007A1075">
              <w:lastRenderedPageBreak/>
              <w:t>support services</w:t>
            </w:r>
          </w:p>
        </w:tc>
        <w:tc>
          <w:tcPr>
            <w:tcW w:w="963" w:type="dxa"/>
            <w:tcBorders>
              <w:top w:val="none" w:sz="0" w:space="0" w:color="auto"/>
              <w:bottom w:val="none" w:sz="0" w:space="0" w:color="auto"/>
            </w:tcBorders>
            <w:noWrap/>
            <w:hideMark/>
          </w:tcPr>
          <w:p w14:paraId="7385BF03" w14:textId="2588BEE3" w:rsidR="0033101B" w:rsidRPr="007A1075" w:rsidRDefault="0033101B" w:rsidP="0033101B">
            <w:pPr>
              <w:pStyle w:val="TableText"/>
              <w:cnfStyle w:val="000000100000" w:firstRow="0" w:lastRow="0" w:firstColumn="0" w:lastColumn="0" w:oddVBand="0" w:evenVBand="0" w:oddHBand="1" w:evenHBand="0" w:firstRowFirstColumn="0" w:firstRowLastColumn="0" w:lastRowFirstColumn="0" w:lastRowLastColumn="0"/>
            </w:pPr>
            <w:r w:rsidRPr="0076737F">
              <w:lastRenderedPageBreak/>
              <w:t>0.93</w:t>
            </w:r>
          </w:p>
        </w:tc>
        <w:tc>
          <w:tcPr>
            <w:tcW w:w="1326" w:type="dxa"/>
            <w:tcBorders>
              <w:top w:val="none" w:sz="0" w:space="0" w:color="auto"/>
              <w:bottom w:val="none" w:sz="0" w:space="0" w:color="auto"/>
            </w:tcBorders>
            <w:noWrap/>
            <w:hideMark/>
          </w:tcPr>
          <w:p w14:paraId="6CFDDA1C" w14:textId="1C04750C" w:rsidR="0033101B" w:rsidRPr="007A1075" w:rsidRDefault="0033101B" w:rsidP="0033101B">
            <w:pPr>
              <w:pStyle w:val="TableText"/>
              <w:cnfStyle w:val="000000100000" w:firstRow="0" w:lastRow="0" w:firstColumn="0" w:lastColumn="0" w:oddVBand="0" w:evenVBand="0" w:oddHBand="1" w:evenHBand="0" w:firstRowFirstColumn="0" w:firstRowLastColumn="0" w:lastRowFirstColumn="0" w:lastRowLastColumn="0"/>
            </w:pPr>
            <w:r w:rsidRPr="0076737F">
              <w:t>4964442</w:t>
            </w:r>
          </w:p>
        </w:tc>
        <w:tc>
          <w:tcPr>
            <w:tcW w:w="859" w:type="dxa"/>
            <w:tcBorders>
              <w:top w:val="none" w:sz="0" w:space="0" w:color="auto"/>
              <w:bottom w:val="none" w:sz="0" w:space="0" w:color="auto"/>
            </w:tcBorders>
            <w:noWrap/>
            <w:hideMark/>
          </w:tcPr>
          <w:p w14:paraId="61A56678" w14:textId="51DF0493" w:rsidR="0033101B" w:rsidRPr="007A1075" w:rsidRDefault="0033101B" w:rsidP="0033101B">
            <w:pPr>
              <w:pStyle w:val="TableText"/>
              <w:cnfStyle w:val="000000100000" w:firstRow="0" w:lastRow="0" w:firstColumn="0" w:lastColumn="0" w:oddVBand="0" w:evenVBand="0" w:oddHBand="1" w:evenHBand="0" w:firstRowFirstColumn="0" w:firstRowLastColumn="0" w:lastRowFirstColumn="0" w:lastRowLastColumn="0"/>
            </w:pPr>
            <w:r w:rsidRPr="0076737F">
              <w:t>10</w:t>
            </w:r>
            <w:r>
              <w:t>,</w:t>
            </w:r>
            <w:r w:rsidRPr="0076737F">
              <w:t>107</w:t>
            </w:r>
          </w:p>
        </w:tc>
        <w:tc>
          <w:tcPr>
            <w:tcW w:w="748" w:type="dxa"/>
            <w:tcBorders>
              <w:top w:val="none" w:sz="0" w:space="0" w:color="auto"/>
              <w:bottom w:val="none" w:sz="0" w:space="0" w:color="auto"/>
            </w:tcBorders>
            <w:noWrap/>
            <w:hideMark/>
          </w:tcPr>
          <w:p w14:paraId="21590501" w14:textId="5AFFDC55" w:rsidR="0033101B" w:rsidRPr="007A1075" w:rsidRDefault="0033101B" w:rsidP="0033101B">
            <w:pPr>
              <w:pStyle w:val="TableText"/>
              <w:cnfStyle w:val="000000100000" w:firstRow="0" w:lastRow="0" w:firstColumn="0" w:lastColumn="0" w:oddVBand="0" w:evenVBand="0" w:oddHBand="1" w:evenHBand="0" w:firstRowFirstColumn="0" w:firstRowLastColumn="0" w:lastRowFirstColumn="0" w:lastRowLastColumn="0"/>
            </w:pPr>
            <w:r w:rsidRPr="0076737F">
              <w:t>&lt;.001</w:t>
            </w:r>
          </w:p>
        </w:tc>
        <w:tc>
          <w:tcPr>
            <w:tcW w:w="4760" w:type="dxa"/>
            <w:tcBorders>
              <w:top w:val="none" w:sz="0" w:space="0" w:color="auto"/>
              <w:bottom w:val="none" w:sz="0" w:space="0" w:color="auto"/>
            </w:tcBorders>
            <w:noWrap/>
            <w:hideMark/>
          </w:tcPr>
          <w:p w14:paraId="6F21B10E" w14:textId="638FE8F9" w:rsidR="0033101B" w:rsidRPr="007A1075" w:rsidRDefault="0033101B" w:rsidP="0033101B">
            <w:pPr>
              <w:pStyle w:val="TableText"/>
              <w:cnfStyle w:val="000000100000" w:firstRow="0" w:lastRow="0" w:firstColumn="0" w:lastColumn="0" w:oddVBand="0" w:evenVBand="0" w:oddHBand="1" w:evenHBand="0" w:firstRowFirstColumn="0" w:firstRowLastColumn="0" w:lastRowFirstColumn="0" w:lastRowLastColumn="0"/>
            </w:pPr>
            <w:r w:rsidRPr="0076737F">
              <w:t>59.5% (n=6</w:t>
            </w:r>
            <w:r>
              <w:t>,</w:t>
            </w:r>
            <w:r w:rsidRPr="0076737F">
              <w:t>016)</w:t>
            </w:r>
          </w:p>
        </w:tc>
      </w:tr>
      <w:tr w:rsidR="004A49D1" w:rsidRPr="007A1075" w14:paraId="20A16FE5" w14:textId="77777777" w:rsidTr="0078378F">
        <w:trPr>
          <w:trHeight w:val="290"/>
        </w:trPr>
        <w:tc>
          <w:tcPr>
            <w:cnfStyle w:val="001000000000" w:firstRow="0" w:lastRow="0" w:firstColumn="1" w:lastColumn="0" w:oddVBand="0" w:evenVBand="0" w:oddHBand="0" w:evenHBand="0" w:firstRowFirstColumn="0" w:firstRowLastColumn="0" w:lastRowFirstColumn="0" w:lastRowLastColumn="0"/>
            <w:tcW w:w="975" w:type="dxa"/>
            <w:vMerge/>
            <w:tcBorders>
              <w:right w:val="none" w:sz="0" w:space="0" w:color="auto"/>
            </w:tcBorders>
            <w:hideMark/>
          </w:tcPr>
          <w:p w14:paraId="5CA1BFAE" w14:textId="77777777" w:rsidR="00826536" w:rsidRPr="007A1075" w:rsidRDefault="00826536" w:rsidP="0033101B">
            <w:pPr>
              <w:pStyle w:val="TableText"/>
            </w:pPr>
          </w:p>
        </w:tc>
        <w:tc>
          <w:tcPr>
            <w:tcW w:w="1022" w:type="dxa"/>
            <w:vMerge w:val="restart"/>
            <w:hideMark/>
          </w:tcPr>
          <w:p w14:paraId="44436A93" w14:textId="52DC08A4" w:rsidR="0033101B" w:rsidRPr="007A1075" w:rsidRDefault="0033101B" w:rsidP="0033101B">
            <w:pPr>
              <w:pStyle w:val="TableText"/>
              <w:cnfStyle w:val="000000000000" w:firstRow="0" w:lastRow="0" w:firstColumn="0" w:lastColumn="0" w:oddVBand="0" w:evenVBand="0" w:oddHBand="0" w:evenHBand="0" w:firstRowFirstColumn="0" w:firstRowLastColumn="0" w:lastRowFirstColumn="0" w:lastRowLastColumn="0"/>
            </w:pPr>
          </w:p>
          <w:p w14:paraId="695C669C" w14:textId="7CF5A317" w:rsidR="0033101B" w:rsidRPr="007A1075" w:rsidRDefault="6871CACA" w:rsidP="0033101B">
            <w:pPr>
              <w:pStyle w:val="TableText"/>
              <w:cnfStyle w:val="000000000000" w:firstRow="0" w:lastRow="0" w:firstColumn="0" w:lastColumn="0" w:oddVBand="0" w:evenVBand="0" w:oddHBand="0" w:evenHBand="0" w:firstRowFirstColumn="0" w:firstRowLastColumn="0" w:lastRowFirstColumn="0" w:lastRowLastColumn="0"/>
              <w:rPr>
                <w:szCs w:val="21"/>
              </w:rPr>
            </w:pPr>
            <w:r>
              <w:t>Males</w:t>
            </w:r>
          </w:p>
        </w:tc>
        <w:tc>
          <w:tcPr>
            <w:tcW w:w="1605" w:type="dxa"/>
            <w:vMerge w:val="restart"/>
            <w:hideMark/>
          </w:tcPr>
          <w:p w14:paraId="18D96D61" w14:textId="77777777" w:rsidR="0033101B" w:rsidRPr="007A1075" w:rsidRDefault="0033101B" w:rsidP="0033101B">
            <w:pPr>
              <w:pStyle w:val="TableText"/>
              <w:cnfStyle w:val="000000000000" w:firstRow="0" w:lastRow="0" w:firstColumn="0" w:lastColumn="0" w:oddVBand="0" w:evenVBand="0" w:oddHBand="0" w:evenHBand="0" w:firstRowFirstColumn="0" w:firstRowLastColumn="0" w:lastRowFirstColumn="0" w:lastRowLastColumn="0"/>
            </w:pPr>
            <w:r w:rsidRPr="007A1075">
              <w:t>Circumstances</w:t>
            </w:r>
          </w:p>
        </w:tc>
        <w:tc>
          <w:tcPr>
            <w:tcW w:w="1629" w:type="dxa"/>
            <w:noWrap/>
            <w:hideMark/>
          </w:tcPr>
          <w:p w14:paraId="6845DBA2" w14:textId="77777777" w:rsidR="0033101B" w:rsidRPr="007A1075" w:rsidRDefault="0033101B" w:rsidP="0033101B">
            <w:pPr>
              <w:pStyle w:val="TableText"/>
              <w:cnfStyle w:val="000000000000" w:firstRow="0" w:lastRow="0" w:firstColumn="0" w:lastColumn="0" w:oddVBand="0" w:evenVBand="0" w:oddHBand="0" w:evenHBand="0" w:firstRowFirstColumn="0" w:firstRowLastColumn="0" w:lastRowFirstColumn="0" w:lastRowLastColumn="0"/>
            </w:pPr>
            <w:r w:rsidRPr="007A1075">
              <w:t>Family functioning</w:t>
            </w:r>
          </w:p>
        </w:tc>
        <w:tc>
          <w:tcPr>
            <w:tcW w:w="963" w:type="dxa"/>
            <w:noWrap/>
            <w:hideMark/>
          </w:tcPr>
          <w:p w14:paraId="5B07B4EF" w14:textId="255D1E6C" w:rsidR="0033101B" w:rsidRPr="007A1075" w:rsidRDefault="0033101B" w:rsidP="0033101B">
            <w:pPr>
              <w:pStyle w:val="TableText"/>
              <w:cnfStyle w:val="000000000000" w:firstRow="0" w:lastRow="0" w:firstColumn="0" w:lastColumn="0" w:oddVBand="0" w:evenVBand="0" w:oddHBand="0" w:evenHBand="0" w:firstRowFirstColumn="0" w:firstRowLastColumn="0" w:lastRowFirstColumn="0" w:lastRowLastColumn="0"/>
            </w:pPr>
            <w:r w:rsidRPr="0076737F">
              <w:t>0.84</w:t>
            </w:r>
          </w:p>
        </w:tc>
        <w:tc>
          <w:tcPr>
            <w:tcW w:w="1326" w:type="dxa"/>
            <w:noWrap/>
            <w:hideMark/>
          </w:tcPr>
          <w:p w14:paraId="51B521EB" w14:textId="38577E8E" w:rsidR="0033101B" w:rsidRPr="007A1075" w:rsidRDefault="0033101B" w:rsidP="0033101B">
            <w:pPr>
              <w:pStyle w:val="TableText"/>
              <w:cnfStyle w:val="000000000000" w:firstRow="0" w:lastRow="0" w:firstColumn="0" w:lastColumn="0" w:oddVBand="0" w:evenVBand="0" w:oddHBand="0" w:evenHBand="0" w:firstRowFirstColumn="0" w:firstRowLastColumn="0" w:lastRowFirstColumn="0" w:lastRowLastColumn="0"/>
            </w:pPr>
            <w:r w:rsidRPr="0076737F">
              <w:t>12031239</w:t>
            </w:r>
          </w:p>
        </w:tc>
        <w:tc>
          <w:tcPr>
            <w:tcW w:w="859" w:type="dxa"/>
            <w:noWrap/>
            <w:hideMark/>
          </w:tcPr>
          <w:p w14:paraId="2CE32032" w14:textId="412EFCB7" w:rsidR="0033101B" w:rsidRPr="007A1075" w:rsidRDefault="0033101B" w:rsidP="0033101B">
            <w:pPr>
              <w:pStyle w:val="TableText"/>
              <w:cnfStyle w:val="000000000000" w:firstRow="0" w:lastRow="0" w:firstColumn="0" w:lastColumn="0" w:oddVBand="0" w:evenVBand="0" w:oddHBand="0" w:evenHBand="0" w:firstRowFirstColumn="0" w:firstRowLastColumn="0" w:lastRowFirstColumn="0" w:lastRowLastColumn="0"/>
            </w:pPr>
            <w:r w:rsidRPr="0076737F">
              <w:t>16</w:t>
            </w:r>
            <w:r>
              <w:t>,</w:t>
            </w:r>
            <w:r w:rsidRPr="0076737F">
              <w:t>046</w:t>
            </w:r>
          </w:p>
        </w:tc>
        <w:tc>
          <w:tcPr>
            <w:tcW w:w="748" w:type="dxa"/>
            <w:noWrap/>
            <w:hideMark/>
          </w:tcPr>
          <w:p w14:paraId="2056E041" w14:textId="5082EE6B" w:rsidR="0033101B" w:rsidRPr="007A1075" w:rsidRDefault="0033101B" w:rsidP="0033101B">
            <w:pPr>
              <w:pStyle w:val="TableText"/>
              <w:cnfStyle w:val="000000000000" w:firstRow="0" w:lastRow="0" w:firstColumn="0" w:lastColumn="0" w:oddVBand="0" w:evenVBand="0" w:oddHBand="0" w:evenHBand="0" w:firstRowFirstColumn="0" w:firstRowLastColumn="0" w:lastRowFirstColumn="0" w:lastRowLastColumn="0"/>
            </w:pPr>
            <w:r w:rsidRPr="0076737F">
              <w:t>&lt;.001</w:t>
            </w:r>
          </w:p>
        </w:tc>
        <w:tc>
          <w:tcPr>
            <w:tcW w:w="4760" w:type="dxa"/>
            <w:noWrap/>
            <w:hideMark/>
          </w:tcPr>
          <w:p w14:paraId="3FE5D908" w14:textId="1F0C26B2" w:rsidR="0033101B" w:rsidRPr="007A1075" w:rsidRDefault="0033101B" w:rsidP="0033101B">
            <w:pPr>
              <w:pStyle w:val="TableText"/>
              <w:cnfStyle w:val="000000000000" w:firstRow="0" w:lastRow="0" w:firstColumn="0" w:lastColumn="0" w:oddVBand="0" w:evenVBand="0" w:oddHBand="0" w:evenHBand="0" w:firstRowFirstColumn="0" w:firstRowLastColumn="0" w:lastRowFirstColumn="0" w:lastRowLastColumn="0"/>
            </w:pPr>
            <w:r w:rsidRPr="0076737F">
              <w:t>56.3% (n=9</w:t>
            </w:r>
            <w:r>
              <w:t>,</w:t>
            </w:r>
            <w:r w:rsidRPr="0076737F">
              <w:t>035)</w:t>
            </w:r>
          </w:p>
        </w:tc>
      </w:tr>
      <w:tr w:rsidR="004A49D1" w:rsidRPr="007A1075" w14:paraId="58350E4A" w14:textId="77777777" w:rsidTr="0078378F">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75" w:type="dxa"/>
            <w:vMerge/>
            <w:tcBorders>
              <w:top w:val="none" w:sz="0" w:space="0" w:color="auto"/>
              <w:bottom w:val="none" w:sz="0" w:space="0" w:color="auto"/>
              <w:right w:val="none" w:sz="0" w:space="0" w:color="auto"/>
            </w:tcBorders>
            <w:hideMark/>
          </w:tcPr>
          <w:p w14:paraId="48F48B58" w14:textId="77777777" w:rsidR="00826536" w:rsidRPr="007A1075" w:rsidRDefault="00826536" w:rsidP="0033101B">
            <w:pPr>
              <w:pStyle w:val="TableText"/>
            </w:pPr>
          </w:p>
        </w:tc>
        <w:tc>
          <w:tcPr>
            <w:tcW w:w="1022" w:type="dxa"/>
            <w:vMerge/>
            <w:tcBorders>
              <w:top w:val="none" w:sz="0" w:space="0" w:color="auto"/>
              <w:bottom w:val="none" w:sz="0" w:space="0" w:color="auto"/>
            </w:tcBorders>
            <w:hideMark/>
          </w:tcPr>
          <w:p w14:paraId="68927E9E" w14:textId="77777777" w:rsidR="0033101B" w:rsidRPr="007A1075" w:rsidRDefault="0033101B" w:rsidP="0033101B">
            <w:pPr>
              <w:pStyle w:val="TableText"/>
              <w:cnfStyle w:val="000000100000" w:firstRow="0" w:lastRow="0" w:firstColumn="0" w:lastColumn="0" w:oddVBand="0" w:evenVBand="0" w:oddHBand="1" w:evenHBand="0" w:firstRowFirstColumn="0" w:firstRowLastColumn="0" w:lastRowFirstColumn="0" w:lastRowLastColumn="0"/>
            </w:pPr>
          </w:p>
        </w:tc>
        <w:tc>
          <w:tcPr>
            <w:tcW w:w="1605" w:type="dxa"/>
            <w:vMerge/>
            <w:tcBorders>
              <w:top w:val="none" w:sz="0" w:space="0" w:color="auto"/>
              <w:bottom w:val="none" w:sz="0" w:space="0" w:color="auto"/>
            </w:tcBorders>
            <w:hideMark/>
          </w:tcPr>
          <w:p w14:paraId="57105075" w14:textId="77777777" w:rsidR="0033101B" w:rsidRPr="007A1075" w:rsidRDefault="0033101B" w:rsidP="0033101B">
            <w:pPr>
              <w:pStyle w:val="TableText"/>
              <w:cnfStyle w:val="000000100000" w:firstRow="0" w:lastRow="0" w:firstColumn="0" w:lastColumn="0" w:oddVBand="0" w:evenVBand="0" w:oddHBand="1" w:evenHBand="0" w:firstRowFirstColumn="0" w:firstRowLastColumn="0" w:lastRowFirstColumn="0" w:lastRowLastColumn="0"/>
            </w:pPr>
          </w:p>
        </w:tc>
        <w:tc>
          <w:tcPr>
            <w:tcW w:w="1629" w:type="dxa"/>
            <w:tcBorders>
              <w:top w:val="none" w:sz="0" w:space="0" w:color="auto"/>
              <w:bottom w:val="none" w:sz="0" w:space="0" w:color="auto"/>
            </w:tcBorders>
            <w:noWrap/>
            <w:hideMark/>
          </w:tcPr>
          <w:p w14:paraId="27EB8946" w14:textId="77777777" w:rsidR="0033101B" w:rsidRPr="007A1075" w:rsidRDefault="00826536" w:rsidP="0033101B">
            <w:pPr>
              <w:pStyle w:val="TableText"/>
              <w:cnfStyle w:val="000000100000" w:firstRow="0" w:lastRow="0" w:firstColumn="0" w:lastColumn="0" w:oddVBand="0" w:evenVBand="0" w:oddHBand="1" w:evenHBand="0" w:firstRowFirstColumn="0" w:firstRowLastColumn="0" w:lastRowFirstColumn="0" w:lastRowLastColumn="0"/>
            </w:pPr>
            <w:r w:rsidRPr="57F92EFB">
              <w:rPr>
                <w:lang w:val="en-NZ"/>
              </w:rPr>
              <w:t>Mental health, wellbeing and self-care</w:t>
            </w:r>
          </w:p>
        </w:tc>
        <w:tc>
          <w:tcPr>
            <w:tcW w:w="963" w:type="dxa"/>
            <w:tcBorders>
              <w:top w:val="none" w:sz="0" w:space="0" w:color="auto"/>
              <w:bottom w:val="none" w:sz="0" w:space="0" w:color="auto"/>
            </w:tcBorders>
            <w:noWrap/>
            <w:hideMark/>
          </w:tcPr>
          <w:p w14:paraId="11FE0412" w14:textId="267E9F9E" w:rsidR="0033101B" w:rsidRPr="007A1075" w:rsidRDefault="0033101B" w:rsidP="0033101B">
            <w:pPr>
              <w:pStyle w:val="TableText"/>
              <w:cnfStyle w:val="000000100000" w:firstRow="0" w:lastRow="0" w:firstColumn="0" w:lastColumn="0" w:oddVBand="0" w:evenVBand="0" w:oddHBand="1" w:evenHBand="0" w:firstRowFirstColumn="0" w:firstRowLastColumn="0" w:lastRowFirstColumn="0" w:lastRowLastColumn="0"/>
            </w:pPr>
            <w:r w:rsidRPr="0076737F">
              <w:t>0.8</w:t>
            </w:r>
          </w:p>
        </w:tc>
        <w:tc>
          <w:tcPr>
            <w:tcW w:w="1326" w:type="dxa"/>
            <w:tcBorders>
              <w:top w:val="none" w:sz="0" w:space="0" w:color="auto"/>
              <w:bottom w:val="none" w:sz="0" w:space="0" w:color="auto"/>
            </w:tcBorders>
            <w:noWrap/>
            <w:hideMark/>
          </w:tcPr>
          <w:p w14:paraId="58EEDE82" w14:textId="37ABE96C" w:rsidR="0033101B" w:rsidRPr="007A1075" w:rsidRDefault="0033101B" w:rsidP="0033101B">
            <w:pPr>
              <w:pStyle w:val="TableText"/>
              <w:cnfStyle w:val="000000100000" w:firstRow="0" w:lastRow="0" w:firstColumn="0" w:lastColumn="0" w:oddVBand="0" w:evenVBand="0" w:oddHBand="1" w:evenHBand="0" w:firstRowFirstColumn="0" w:firstRowLastColumn="0" w:lastRowFirstColumn="0" w:lastRowLastColumn="0"/>
            </w:pPr>
            <w:r w:rsidRPr="0076737F">
              <w:t>10270918</w:t>
            </w:r>
          </w:p>
        </w:tc>
        <w:tc>
          <w:tcPr>
            <w:tcW w:w="859" w:type="dxa"/>
            <w:tcBorders>
              <w:top w:val="none" w:sz="0" w:space="0" w:color="auto"/>
              <w:bottom w:val="none" w:sz="0" w:space="0" w:color="auto"/>
            </w:tcBorders>
            <w:noWrap/>
            <w:hideMark/>
          </w:tcPr>
          <w:p w14:paraId="5EDB155D" w14:textId="353E4087" w:rsidR="0033101B" w:rsidRPr="007A1075" w:rsidRDefault="0033101B" w:rsidP="0033101B">
            <w:pPr>
              <w:pStyle w:val="TableText"/>
              <w:cnfStyle w:val="000000100000" w:firstRow="0" w:lastRow="0" w:firstColumn="0" w:lastColumn="0" w:oddVBand="0" w:evenVBand="0" w:oddHBand="1" w:evenHBand="0" w:firstRowFirstColumn="0" w:firstRowLastColumn="0" w:lastRowFirstColumn="0" w:lastRowLastColumn="0"/>
            </w:pPr>
            <w:r w:rsidRPr="0076737F">
              <w:t>14</w:t>
            </w:r>
            <w:r>
              <w:t>,</w:t>
            </w:r>
            <w:r w:rsidRPr="0076737F">
              <w:t>420</w:t>
            </w:r>
          </w:p>
        </w:tc>
        <w:tc>
          <w:tcPr>
            <w:tcW w:w="748" w:type="dxa"/>
            <w:tcBorders>
              <w:top w:val="none" w:sz="0" w:space="0" w:color="auto"/>
              <w:bottom w:val="none" w:sz="0" w:space="0" w:color="auto"/>
            </w:tcBorders>
            <w:noWrap/>
            <w:hideMark/>
          </w:tcPr>
          <w:p w14:paraId="15CF7F75" w14:textId="2FA139DF" w:rsidR="0033101B" w:rsidRPr="007A1075" w:rsidRDefault="0033101B" w:rsidP="0033101B">
            <w:pPr>
              <w:pStyle w:val="TableText"/>
              <w:cnfStyle w:val="000000100000" w:firstRow="0" w:lastRow="0" w:firstColumn="0" w:lastColumn="0" w:oddVBand="0" w:evenVBand="0" w:oddHBand="1" w:evenHBand="0" w:firstRowFirstColumn="0" w:firstRowLastColumn="0" w:lastRowFirstColumn="0" w:lastRowLastColumn="0"/>
            </w:pPr>
            <w:r w:rsidRPr="0076737F">
              <w:t>&lt;.001</w:t>
            </w:r>
          </w:p>
        </w:tc>
        <w:tc>
          <w:tcPr>
            <w:tcW w:w="4760" w:type="dxa"/>
            <w:tcBorders>
              <w:top w:val="none" w:sz="0" w:space="0" w:color="auto"/>
              <w:bottom w:val="none" w:sz="0" w:space="0" w:color="auto"/>
            </w:tcBorders>
            <w:noWrap/>
            <w:hideMark/>
          </w:tcPr>
          <w:p w14:paraId="545969D8" w14:textId="5165ED5A" w:rsidR="0033101B" w:rsidRPr="007A1075" w:rsidRDefault="0033101B" w:rsidP="0033101B">
            <w:pPr>
              <w:pStyle w:val="TableText"/>
              <w:cnfStyle w:val="000000100000" w:firstRow="0" w:lastRow="0" w:firstColumn="0" w:lastColumn="0" w:oddVBand="0" w:evenVBand="0" w:oddHBand="1" w:evenHBand="0" w:firstRowFirstColumn="0" w:firstRowLastColumn="0" w:lastRowFirstColumn="0" w:lastRowLastColumn="0"/>
            </w:pPr>
            <w:r w:rsidRPr="0076737F">
              <w:t>54.8% (n=7</w:t>
            </w:r>
            <w:r>
              <w:t>,</w:t>
            </w:r>
            <w:r w:rsidRPr="0076737F">
              <w:t>902)</w:t>
            </w:r>
          </w:p>
        </w:tc>
      </w:tr>
      <w:tr w:rsidR="004A49D1" w:rsidRPr="007A1075" w14:paraId="641DF07F" w14:textId="77777777" w:rsidTr="0078378F">
        <w:trPr>
          <w:trHeight w:val="290"/>
        </w:trPr>
        <w:tc>
          <w:tcPr>
            <w:cnfStyle w:val="001000000000" w:firstRow="0" w:lastRow="0" w:firstColumn="1" w:lastColumn="0" w:oddVBand="0" w:evenVBand="0" w:oddHBand="0" w:evenHBand="0" w:firstRowFirstColumn="0" w:firstRowLastColumn="0" w:lastRowFirstColumn="0" w:lastRowLastColumn="0"/>
            <w:tcW w:w="975" w:type="dxa"/>
            <w:vMerge/>
            <w:tcBorders>
              <w:right w:val="none" w:sz="0" w:space="0" w:color="auto"/>
            </w:tcBorders>
            <w:hideMark/>
          </w:tcPr>
          <w:p w14:paraId="45466918" w14:textId="77777777" w:rsidR="00826536" w:rsidRPr="007A1075" w:rsidRDefault="00826536" w:rsidP="0033101B">
            <w:pPr>
              <w:pStyle w:val="TableText"/>
            </w:pPr>
          </w:p>
        </w:tc>
        <w:tc>
          <w:tcPr>
            <w:tcW w:w="1022" w:type="dxa"/>
            <w:vMerge/>
            <w:hideMark/>
          </w:tcPr>
          <w:p w14:paraId="393A9BE8" w14:textId="77777777" w:rsidR="0033101B" w:rsidRPr="007A1075" w:rsidRDefault="0033101B" w:rsidP="0033101B">
            <w:pPr>
              <w:pStyle w:val="TableText"/>
              <w:cnfStyle w:val="000000000000" w:firstRow="0" w:lastRow="0" w:firstColumn="0" w:lastColumn="0" w:oddVBand="0" w:evenVBand="0" w:oddHBand="0" w:evenHBand="0" w:firstRowFirstColumn="0" w:firstRowLastColumn="0" w:lastRowFirstColumn="0" w:lastRowLastColumn="0"/>
            </w:pPr>
          </w:p>
        </w:tc>
        <w:tc>
          <w:tcPr>
            <w:tcW w:w="1605" w:type="dxa"/>
            <w:vMerge/>
            <w:hideMark/>
          </w:tcPr>
          <w:p w14:paraId="187BD31F" w14:textId="77777777" w:rsidR="0033101B" w:rsidRPr="007A1075" w:rsidRDefault="0033101B" w:rsidP="0033101B">
            <w:pPr>
              <w:pStyle w:val="TableText"/>
              <w:cnfStyle w:val="000000000000" w:firstRow="0" w:lastRow="0" w:firstColumn="0" w:lastColumn="0" w:oddVBand="0" w:evenVBand="0" w:oddHBand="0" w:evenHBand="0" w:firstRowFirstColumn="0" w:firstRowLastColumn="0" w:lastRowFirstColumn="0" w:lastRowLastColumn="0"/>
            </w:pPr>
          </w:p>
        </w:tc>
        <w:tc>
          <w:tcPr>
            <w:tcW w:w="1629" w:type="dxa"/>
            <w:noWrap/>
            <w:hideMark/>
          </w:tcPr>
          <w:p w14:paraId="615F1CCF" w14:textId="77777777" w:rsidR="0033101B" w:rsidRPr="007A1075" w:rsidRDefault="0033101B" w:rsidP="0033101B">
            <w:pPr>
              <w:pStyle w:val="TableText"/>
              <w:cnfStyle w:val="000000000000" w:firstRow="0" w:lastRow="0" w:firstColumn="0" w:lastColumn="0" w:oddVBand="0" w:evenVBand="0" w:oddHBand="0" w:evenHBand="0" w:firstRowFirstColumn="0" w:firstRowLastColumn="0" w:lastRowFirstColumn="0" w:lastRowLastColumn="0"/>
            </w:pPr>
            <w:r w:rsidRPr="007A1075">
              <w:t>Personal and family safety</w:t>
            </w:r>
          </w:p>
        </w:tc>
        <w:tc>
          <w:tcPr>
            <w:tcW w:w="963" w:type="dxa"/>
            <w:noWrap/>
            <w:hideMark/>
          </w:tcPr>
          <w:p w14:paraId="18E11528" w14:textId="09A98205" w:rsidR="0033101B" w:rsidRPr="007A1075" w:rsidRDefault="0033101B" w:rsidP="0033101B">
            <w:pPr>
              <w:pStyle w:val="TableText"/>
              <w:cnfStyle w:val="000000000000" w:firstRow="0" w:lastRow="0" w:firstColumn="0" w:lastColumn="0" w:oddVBand="0" w:evenVBand="0" w:oddHBand="0" w:evenHBand="0" w:firstRowFirstColumn="0" w:firstRowLastColumn="0" w:lastRowFirstColumn="0" w:lastRowLastColumn="0"/>
            </w:pPr>
            <w:r w:rsidRPr="0076737F">
              <w:t>0.56</w:t>
            </w:r>
          </w:p>
        </w:tc>
        <w:tc>
          <w:tcPr>
            <w:tcW w:w="1326" w:type="dxa"/>
            <w:noWrap/>
            <w:hideMark/>
          </w:tcPr>
          <w:p w14:paraId="0DF55ED9" w14:textId="28D89401" w:rsidR="0033101B" w:rsidRPr="007A1075" w:rsidRDefault="0033101B" w:rsidP="0033101B">
            <w:pPr>
              <w:pStyle w:val="TableText"/>
              <w:cnfStyle w:val="000000000000" w:firstRow="0" w:lastRow="0" w:firstColumn="0" w:lastColumn="0" w:oddVBand="0" w:evenVBand="0" w:oddHBand="0" w:evenHBand="0" w:firstRowFirstColumn="0" w:firstRowLastColumn="0" w:lastRowFirstColumn="0" w:lastRowLastColumn="0"/>
            </w:pPr>
            <w:r w:rsidRPr="0076737F">
              <w:t>6660335</w:t>
            </w:r>
          </w:p>
        </w:tc>
        <w:tc>
          <w:tcPr>
            <w:tcW w:w="859" w:type="dxa"/>
            <w:noWrap/>
            <w:hideMark/>
          </w:tcPr>
          <w:p w14:paraId="194470F8" w14:textId="16393D20" w:rsidR="0033101B" w:rsidRPr="007A1075" w:rsidRDefault="0033101B" w:rsidP="0033101B">
            <w:pPr>
              <w:pStyle w:val="TableText"/>
              <w:cnfStyle w:val="000000000000" w:firstRow="0" w:lastRow="0" w:firstColumn="0" w:lastColumn="0" w:oddVBand="0" w:evenVBand="0" w:oddHBand="0" w:evenHBand="0" w:firstRowFirstColumn="0" w:firstRowLastColumn="0" w:lastRowFirstColumn="0" w:lastRowLastColumn="0"/>
            </w:pPr>
            <w:r w:rsidRPr="0076737F">
              <w:t>9</w:t>
            </w:r>
            <w:r>
              <w:t>,</w:t>
            </w:r>
            <w:r w:rsidRPr="0076737F">
              <w:t>926</w:t>
            </w:r>
          </w:p>
        </w:tc>
        <w:tc>
          <w:tcPr>
            <w:tcW w:w="748" w:type="dxa"/>
            <w:noWrap/>
            <w:hideMark/>
          </w:tcPr>
          <w:p w14:paraId="71AE8E2B" w14:textId="53D78FCA" w:rsidR="0033101B" w:rsidRPr="007A1075" w:rsidRDefault="0033101B" w:rsidP="0033101B">
            <w:pPr>
              <w:pStyle w:val="TableText"/>
              <w:cnfStyle w:val="000000000000" w:firstRow="0" w:lastRow="0" w:firstColumn="0" w:lastColumn="0" w:oddVBand="0" w:evenVBand="0" w:oddHBand="0" w:evenHBand="0" w:firstRowFirstColumn="0" w:firstRowLastColumn="0" w:lastRowFirstColumn="0" w:lastRowLastColumn="0"/>
            </w:pPr>
            <w:r w:rsidRPr="0076737F">
              <w:t>&lt;.001</w:t>
            </w:r>
          </w:p>
        </w:tc>
        <w:tc>
          <w:tcPr>
            <w:tcW w:w="4760" w:type="dxa"/>
            <w:noWrap/>
            <w:hideMark/>
          </w:tcPr>
          <w:p w14:paraId="5090EAAD" w14:textId="65970F67" w:rsidR="0033101B" w:rsidRPr="007A1075" w:rsidRDefault="0033101B" w:rsidP="0033101B">
            <w:pPr>
              <w:pStyle w:val="TableText"/>
              <w:cnfStyle w:val="000000000000" w:firstRow="0" w:lastRow="0" w:firstColumn="0" w:lastColumn="0" w:oddVBand="0" w:evenVBand="0" w:oddHBand="0" w:evenHBand="0" w:firstRowFirstColumn="0" w:firstRowLastColumn="0" w:lastRowFirstColumn="0" w:lastRowLastColumn="0"/>
            </w:pPr>
            <w:r w:rsidRPr="0076737F">
              <w:t>42.1% (n=4</w:t>
            </w:r>
            <w:r>
              <w:t>,</w:t>
            </w:r>
            <w:r w:rsidRPr="0076737F">
              <w:t>181)</w:t>
            </w:r>
          </w:p>
        </w:tc>
      </w:tr>
      <w:tr w:rsidR="004A49D1" w:rsidRPr="007A1075" w14:paraId="5E62ED76" w14:textId="77777777" w:rsidTr="0078378F">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75" w:type="dxa"/>
            <w:vMerge/>
            <w:tcBorders>
              <w:top w:val="none" w:sz="0" w:space="0" w:color="auto"/>
              <w:bottom w:val="none" w:sz="0" w:space="0" w:color="auto"/>
              <w:right w:val="none" w:sz="0" w:space="0" w:color="auto"/>
            </w:tcBorders>
            <w:hideMark/>
          </w:tcPr>
          <w:p w14:paraId="0EEE50D2" w14:textId="77777777" w:rsidR="00826536" w:rsidRPr="007A1075" w:rsidRDefault="00826536" w:rsidP="0033101B">
            <w:pPr>
              <w:pStyle w:val="TableText"/>
            </w:pPr>
          </w:p>
        </w:tc>
        <w:tc>
          <w:tcPr>
            <w:tcW w:w="1022" w:type="dxa"/>
            <w:vMerge/>
            <w:tcBorders>
              <w:top w:val="none" w:sz="0" w:space="0" w:color="auto"/>
              <w:bottom w:val="none" w:sz="0" w:space="0" w:color="auto"/>
            </w:tcBorders>
            <w:hideMark/>
          </w:tcPr>
          <w:p w14:paraId="679F2FA0" w14:textId="77777777" w:rsidR="0033101B" w:rsidRPr="007A1075" w:rsidRDefault="0033101B" w:rsidP="0033101B">
            <w:pPr>
              <w:pStyle w:val="TableText"/>
              <w:cnfStyle w:val="000000100000" w:firstRow="0" w:lastRow="0" w:firstColumn="0" w:lastColumn="0" w:oddVBand="0" w:evenVBand="0" w:oddHBand="1" w:evenHBand="0" w:firstRowFirstColumn="0" w:firstRowLastColumn="0" w:lastRowFirstColumn="0" w:lastRowLastColumn="0"/>
            </w:pPr>
          </w:p>
        </w:tc>
        <w:tc>
          <w:tcPr>
            <w:tcW w:w="1605" w:type="dxa"/>
            <w:vMerge w:val="restart"/>
            <w:tcBorders>
              <w:top w:val="none" w:sz="0" w:space="0" w:color="auto"/>
              <w:bottom w:val="none" w:sz="0" w:space="0" w:color="auto"/>
            </w:tcBorders>
            <w:hideMark/>
          </w:tcPr>
          <w:p w14:paraId="60F2F4D3" w14:textId="77777777" w:rsidR="0033101B" w:rsidRPr="007A1075" w:rsidRDefault="0033101B" w:rsidP="0033101B">
            <w:pPr>
              <w:pStyle w:val="TableText"/>
              <w:cnfStyle w:val="000000100000" w:firstRow="0" w:lastRow="0" w:firstColumn="0" w:lastColumn="0" w:oddVBand="0" w:evenVBand="0" w:oddHBand="1" w:evenHBand="0" w:firstRowFirstColumn="0" w:firstRowLastColumn="0" w:lastRowFirstColumn="0" w:lastRowLastColumn="0"/>
            </w:pPr>
            <w:r w:rsidRPr="007A1075">
              <w:t>Goals</w:t>
            </w:r>
          </w:p>
        </w:tc>
        <w:tc>
          <w:tcPr>
            <w:tcW w:w="1629" w:type="dxa"/>
            <w:tcBorders>
              <w:top w:val="none" w:sz="0" w:space="0" w:color="auto"/>
              <w:bottom w:val="none" w:sz="0" w:space="0" w:color="auto"/>
            </w:tcBorders>
            <w:noWrap/>
            <w:hideMark/>
          </w:tcPr>
          <w:p w14:paraId="63A72B7A" w14:textId="77777777" w:rsidR="0033101B" w:rsidRPr="007A1075" w:rsidRDefault="0033101B" w:rsidP="0033101B">
            <w:pPr>
              <w:pStyle w:val="TableText"/>
              <w:cnfStyle w:val="000000100000" w:firstRow="0" w:lastRow="0" w:firstColumn="0" w:lastColumn="0" w:oddVBand="0" w:evenVBand="0" w:oddHBand="1" w:evenHBand="0" w:firstRowFirstColumn="0" w:firstRowLastColumn="0" w:lastRowFirstColumn="0" w:lastRowLastColumn="0"/>
            </w:pPr>
            <w:r w:rsidRPr="007A1075">
              <w:t>Changed behaviours</w:t>
            </w:r>
          </w:p>
        </w:tc>
        <w:tc>
          <w:tcPr>
            <w:tcW w:w="963" w:type="dxa"/>
            <w:tcBorders>
              <w:top w:val="none" w:sz="0" w:space="0" w:color="auto"/>
              <w:bottom w:val="none" w:sz="0" w:space="0" w:color="auto"/>
            </w:tcBorders>
            <w:noWrap/>
            <w:hideMark/>
          </w:tcPr>
          <w:p w14:paraId="1F3BC595" w14:textId="4CED026B" w:rsidR="0033101B" w:rsidRPr="007A1075" w:rsidRDefault="0033101B" w:rsidP="0033101B">
            <w:pPr>
              <w:pStyle w:val="TableText"/>
              <w:cnfStyle w:val="000000100000" w:firstRow="0" w:lastRow="0" w:firstColumn="0" w:lastColumn="0" w:oddVBand="0" w:evenVBand="0" w:oddHBand="1" w:evenHBand="0" w:firstRowFirstColumn="0" w:firstRowLastColumn="0" w:lastRowFirstColumn="0" w:lastRowLastColumn="0"/>
            </w:pPr>
            <w:r w:rsidRPr="0076737F">
              <w:t>1.08</w:t>
            </w:r>
          </w:p>
        </w:tc>
        <w:tc>
          <w:tcPr>
            <w:tcW w:w="1326" w:type="dxa"/>
            <w:tcBorders>
              <w:top w:val="none" w:sz="0" w:space="0" w:color="auto"/>
              <w:bottom w:val="none" w:sz="0" w:space="0" w:color="auto"/>
            </w:tcBorders>
            <w:noWrap/>
            <w:hideMark/>
          </w:tcPr>
          <w:p w14:paraId="5317ABEF" w14:textId="1E0D54EB" w:rsidR="0033101B" w:rsidRPr="007A1075" w:rsidRDefault="0033101B" w:rsidP="0033101B">
            <w:pPr>
              <w:pStyle w:val="TableText"/>
              <w:cnfStyle w:val="000000100000" w:firstRow="0" w:lastRow="0" w:firstColumn="0" w:lastColumn="0" w:oddVBand="0" w:evenVBand="0" w:oddHBand="1" w:evenHBand="0" w:firstRowFirstColumn="0" w:firstRowLastColumn="0" w:lastRowFirstColumn="0" w:lastRowLastColumn="0"/>
            </w:pPr>
            <w:r w:rsidRPr="0076737F">
              <w:t>2977708</w:t>
            </w:r>
          </w:p>
        </w:tc>
        <w:tc>
          <w:tcPr>
            <w:tcW w:w="859" w:type="dxa"/>
            <w:tcBorders>
              <w:top w:val="none" w:sz="0" w:space="0" w:color="auto"/>
              <w:bottom w:val="none" w:sz="0" w:space="0" w:color="auto"/>
            </w:tcBorders>
            <w:noWrap/>
            <w:hideMark/>
          </w:tcPr>
          <w:p w14:paraId="4E2BE29D" w14:textId="0D5E231A" w:rsidR="0033101B" w:rsidRPr="007A1075" w:rsidRDefault="0033101B" w:rsidP="0033101B">
            <w:pPr>
              <w:pStyle w:val="TableText"/>
              <w:cnfStyle w:val="000000100000" w:firstRow="0" w:lastRow="0" w:firstColumn="0" w:lastColumn="0" w:oddVBand="0" w:evenVBand="0" w:oddHBand="1" w:evenHBand="0" w:firstRowFirstColumn="0" w:firstRowLastColumn="0" w:lastRowFirstColumn="0" w:lastRowLastColumn="0"/>
            </w:pPr>
            <w:r w:rsidRPr="0076737F">
              <w:t>10</w:t>
            </w:r>
            <w:r>
              <w:t>,</w:t>
            </w:r>
            <w:r w:rsidRPr="0076737F">
              <w:t>784</w:t>
            </w:r>
          </w:p>
        </w:tc>
        <w:tc>
          <w:tcPr>
            <w:tcW w:w="748" w:type="dxa"/>
            <w:tcBorders>
              <w:top w:val="none" w:sz="0" w:space="0" w:color="auto"/>
              <w:bottom w:val="none" w:sz="0" w:space="0" w:color="auto"/>
            </w:tcBorders>
            <w:noWrap/>
            <w:hideMark/>
          </w:tcPr>
          <w:p w14:paraId="04A1855E" w14:textId="2B2329C4" w:rsidR="0033101B" w:rsidRPr="007A1075" w:rsidRDefault="0033101B" w:rsidP="0033101B">
            <w:pPr>
              <w:pStyle w:val="TableText"/>
              <w:cnfStyle w:val="000000100000" w:firstRow="0" w:lastRow="0" w:firstColumn="0" w:lastColumn="0" w:oddVBand="0" w:evenVBand="0" w:oddHBand="1" w:evenHBand="0" w:firstRowFirstColumn="0" w:firstRowLastColumn="0" w:lastRowFirstColumn="0" w:lastRowLastColumn="0"/>
            </w:pPr>
            <w:r w:rsidRPr="0076737F">
              <w:t>&lt;.001</w:t>
            </w:r>
          </w:p>
        </w:tc>
        <w:tc>
          <w:tcPr>
            <w:tcW w:w="4760" w:type="dxa"/>
            <w:tcBorders>
              <w:top w:val="none" w:sz="0" w:space="0" w:color="auto"/>
              <w:bottom w:val="none" w:sz="0" w:space="0" w:color="auto"/>
            </w:tcBorders>
            <w:noWrap/>
            <w:hideMark/>
          </w:tcPr>
          <w:p w14:paraId="438622F1" w14:textId="0985DEAC" w:rsidR="0033101B" w:rsidRPr="007A1075" w:rsidRDefault="0033101B" w:rsidP="0033101B">
            <w:pPr>
              <w:pStyle w:val="TableText"/>
              <w:cnfStyle w:val="000000100000" w:firstRow="0" w:lastRow="0" w:firstColumn="0" w:lastColumn="0" w:oddVBand="0" w:evenVBand="0" w:oddHBand="1" w:evenHBand="0" w:firstRowFirstColumn="0" w:firstRowLastColumn="0" w:lastRowFirstColumn="0" w:lastRowLastColumn="0"/>
            </w:pPr>
            <w:r w:rsidRPr="0076737F">
              <w:t>64.7% (n=6</w:t>
            </w:r>
            <w:r>
              <w:t>,</w:t>
            </w:r>
            <w:r w:rsidRPr="0076737F">
              <w:t>973)</w:t>
            </w:r>
          </w:p>
        </w:tc>
      </w:tr>
      <w:tr w:rsidR="004A49D1" w:rsidRPr="007A1075" w14:paraId="1C6068CC" w14:textId="77777777" w:rsidTr="0078378F">
        <w:trPr>
          <w:trHeight w:val="290"/>
        </w:trPr>
        <w:tc>
          <w:tcPr>
            <w:cnfStyle w:val="001000000000" w:firstRow="0" w:lastRow="0" w:firstColumn="1" w:lastColumn="0" w:oddVBand="0" w:evenVBand="0" w:oddHBand="0" w:evenHBand="0" w:firstRowFirstColumn="0" w:firstRowLastColumn="0" w:lastRowFirstColumn="0" w:lastRowLastColumn="0"/>
            <w:tcW w:w="975" w:type="dxa"/>
            <w:vMerge/>
            <w:tcBorders>
              <w:right w:val="none" w:sz="0" w:space="0" w:color="auto"/>
            </w:tcBorders>
            <w:hideMark/>
          </w:tcPr>
          <w:p w14:paraId="29AF7E5D" w14:textId="77777777" w:rsidR="00826536" w:rsidRPr="007A1075" w:rsidRDefault="00826536" w:rsidP="0033101B">
            <w:pPr>
              <w:pStyle w:val="TableText"/>
            </w:pPr>
          </w:p>
        </w:tc>
        <w:tc>
          <w:tcPr>
            <w:tcW w:w="1022" w:type="dxa"/>
            <w:vMerge/>
            <w:hideMark/>
          </w:tcPr>
          <w:p w14:paraId="4C8F873B" w14:textId="77777777" w:rsidR="0033101B" w:rsidRPr="007A1075" w:rsidRDefault="0033101B" w:rsidP="0033101B">
            <w:pPr>
              <w:pStyle w:val="TableText"/>
              <w:cnfStyle w:val="000000000000" w:firstRow="0" w:lastRow="0" w:firstColumn="0" w:lastColumn="0" w:oddVBand="0" w:evenVBand="0" w:oddHBand="0" w:evenHBand="0" w:firstRowFirstColumn="0" w:firstRowLastColumn="0" w:lastRowFirstColumn="0" w:lastRowLastColumn="0"/>
            </w:pPr>
          </w:p>
        </w:tc>
        <w:tc>
          <w:tcPr>
            <w:tcW w:w="1605" w:type="dxa"/>
            <w:vMerge/>
            <w:hideMark/>
          </w:tcPr>
          <w:p w14:paraId="3943CD48" w14:textId="77777777" w:rsidR="0033101B" w:rsidRPr="007A1075" w:rsidRDefault="0033101B" w:rsidP="0033101B">
            <w:pPr>
              <w:pStyle w:val="TableText"/>
              <w:cnfStyle w:val="000000000000" w:firstRow="0" w:lastRow="0" w:firstColumn="0" w:lastColumn="0" w:oddVBand="0" w:evenVBand="0" w:oddHBand="0" w:evenHBand="0" w:firstRowFirstColumn="0" w:firstRowLastColumn="0" w:lastRowFirstColumn="0" w:lastRowLastColumn="0"/>
            </w:pPr>
          </w:p>
        </w:tc>
        <w:tc>
          <w:tcPr>
            <w:tcW w:w="1629" w:type="dxa"/>
            <w:noWrap/>
            <w:hideMark/>
          </w:tcPr>
          <w:p w14:paraId="79271DBE" w14:textId="77777777" w:rsidR="0033101B" w:rsidRPr="007A1075" w:rsidRDefault="0033101B" w:rsidP="0033101B">
            <w:pPr>
              <w:pStyle w:val="TableText"/>
              <w:cnfStyle w:val="000000000000" w:firstRow="0" w:lastRow="0" w:firstColumn="0" w:lastColumn="0" w:oddVBand="0" w:evenVBand="0" w:oddHBand="0" w:evenHBand="0" w:firstRowFirstColumn="0" w:firstRowLastColumn="0" w:lastRowFirstColumn="0" w:lastRowLastColumn="0"/>
            </w:pPr>
            <w:r w:rsidRPr="007A1075">
              <w:t>Changed impact of immediate crisis</w:t>
            </w:r>
          </w:p>
        </w:tc>
        <w:tc>
          <w:tcPr>
            <w:tcW w:w="963" w:type="dxa"/>
            <w:noWrap/>
            <w:hideMark/>
          </w:tcPr>
          <w:p w14:paraId="6CACF303" w14:textId="62B27A83" w:rsidR="0033101B" w:rsidRPr="007A1075" w:rsidRDefault="0033101B" w:rsidP="0033101B">
            <w:pPr>
              <w:pStyle w:val="TableText"/>
              <w:cnfStyle w:val="000000000000" w:firstRow="0" w:lastRow="0" w:firstColumn="0" w:lastColumn="0" w:oddVBand="0" w:evenVBand="0" w:oddHBand="0" w:evenHBand="0" w:firstRowFirstColumn="0" w:firstRowLastColumn="0" w:lastRowFirstColumn="0" w:lastRowLastColumn="0"/>
            </w:pPr>
            <w:r w:rsidRPr="0076737F">
              <w:t>1.08</w:t>
            </w:r>
          </w:p>
        </w:tc>
        <w:tc>
          <w:tcPr>
            <w:tcW w:w="1326" w:type="dxa"/>
            <w:noWrap/>
            <w:hideMark/>
          </w:tcPr>
          <w:p w14:paraId="41F3B6FF" w14:textId="147BD74D" w:rsidR="0033101B" w:rsidRPr="007A1075" w:rsidRDefault="0033101B" w:rsidP="0033101B">
            <w:pPr>
              <w:pStyle w:val="TableText"/>
              <w:cnfStyle w:val="000000000000" w:firstRow="0" w:lastRow="0" w:firstColumn="0" w:lastColumn="0" w:oddVBand="0" w:evenVBand="0" w:oddHBand="0" w:evenHBand="0" w:firstRowFirstColumn="0" w:firstRowLastColumn="0" w:lastRowFirstColumn="0" w:lastRowLastColumn="0"/>
            </w:pPr>
            <w:r w:rsidRPr="0076737F">
              <w:t>766253</w:t>
            </w:r>
          </w:p>
        </w:tc>
        <w:tc>
          <w:tcPr>
            <w:tcW w:w="859" w:type="dxa"/>
            <w:noWrap/>
            <w:hideMark/>
          </w:tcPr>
          <w:p w14:paraId="3DC026AF" w14:textId="7C0C797A" w:rsidR="0033101B" w:rsidRPr="007A1075" w:rsidRDefault="0033101B" w:rsidP="0033101B">
            <w:pPr>
              <w:pStyle w:val="TableText"/>
              <w:cnfStyle w:val="000000000000" w:firstRow="0" w:lastRow="0" w:firstColumn="0" w:lastColumn="0" w:oddVBand="0" w:evenVBand="0" w:oddHBand="0" w:evenHBand="0" w:firstRowFirstColumn="0" w:firstRowLastColumn="0" w:lastRowFirstColumn="0" w:lastRowLastColumn="0"/>
            </w:pPr>
            <w:r w:rsidRPr="0076737F">
              <w:t>4</w:t>
            </w:r>
            <w:r>
              <w:t>,</w:t>
            </w:r>
            <w:r w:rsidRPr="0076737F">
              <w:t>863</w:t>
            </w:r>
          </w:p>
        </w:tc>
        <w:tc>
          <w:tcPr>
            <w:tcW w:w="748" w:type="dxa"/>
            <w:noWrap/>
            <w:hideMark/>
          </w:tcPr>
          <w:p w14:paraId="0F98DD72" w14:textId="329E536A" w:rsidR="0033101B" w:rsidRPr="007A1075" w:rsidRDefault="0033101B" w:rsidP="0033101B">
            <w:pPr>
              <w:pStyle w:val="TableText"/>
              <w:cnfStyle w:val="000000000000" w:firstRow="0" w:lastRow="0" w:firstColumn="0" w:lastColumn="0" w:oddVBand="0" w:evenVBand="0" w:oddHBand="0" w:evenHBand="0" w:firstRowFirstColumn="0" w:firstRowLastColumn="0" w:lastRowFirstColumn="0" w:lastRowLastColumn="0"/>
            </w:pPr>
            <w:r w:rsidRPr="0076737F">
              <w:t>&lt;.001</w:t>
            </w:r>
          </w:p>
        </w:tc>
        <w:tc>
          <w:tcPr>
            <w:tcW w:w="4760" w:type="dxa"/>
            <w:noWrap/>
            <w:hideMark/>
          </w:tcPr>
          <w:p w14:paraId="76741808" w14:textId="44775AA0" w:rsidR="0033101B" w:rsidRPr="007A1075" w:rsidRDefault="0033101B" w:rsidP="0033101B">
            <w:pPr>
              <w:pStyle w:val="TableText"/>
              <w:cnfStyle w:val="000000000000" w:firstRow="0" w:lastRow="0" w:firstColumn="0" w:lastColumn="0" w:oddVBand="0" w:evenVBand="0" w:oddHBand="0" w:evenHBand="0" w:firstRowFirstColumn="0" w:firstRowLastColumn="0" w:lastRowFirstColumn="0" w:lastRowLastColumn="0"/>
            </w:pPr>
            <w:r w:rsidRPr="0076737F">
              <w:t>66.4% (n=3</w:t>
            </w:r>
            <w:r>
              <w:t>,</w:t>
            </w:r>
            <w:r w:rsidRPr="0076737F">
              <w:t>228)</w:t>
            </w:r>
          </w:p>
        </w:tc>
      </w:tr>
      <w:tr w:rsidR="004A49D1" w:rsidRPr="007A1075" w14:paraId="6F24CAFA" w14:textId="77777777" w:rsidTr="0078378F">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75" w:type="dxa"/>
            <w:vMerge/>
            <w:tcBorders>
              <w:top w:val="none" w:sz="0" w:space="0" w:color="auto"/>
              <w:bottom w:val="none" w:sz="0" w:space="0" w:color="auto"/>
              <w:right w:val="none" w:sz="0" w:space="0" w:color="auto"/>
            </w:tcBorders>
            <w:hideMark/>
          </w:tcPr>
          <w:p w14:paraId="27D5D7ED" w14:textId="77777777" w:rsidR="00826536" w:rsidRPr="007A1075" w:rsidRDefault="00826536" w:rsidP="0033101B">
            <w:pPr>
              <w:pStyle w:val="TableText"/>
            </w:pPr>
          </w:p>
        </w:tc>
        <w:tc>
          <w:tcPr>
            <w:tcW w:w="1022" w:type="dxa"/>
            <w:vMerge/>
            <w:tcBorders>
              <w:top w:val="none" w:sz="0" w:space="0" w:color="auto"/>
              <w:bottom w:val="none" w:sz="0" w:space="0" w:color="auto"/>
            </w:tcBorders>
            <w:hideMark/>
          </w:tcPr>
          <w:p w14:paraId="51C965AE" w14:textId="77777777" w:rsidR="0033101B" w:rsidRPr="007A1075" w:rsidRDefault="0033101B" w:rsidP="0033101B">
            <w:pPr>
              <w:pStyle w:val="TableText"/>
              <w:cnfStyle w:val="000000100000" w:firstRow="0" w:lastRow="0" w:firstColumn="0" w:lastColumn="0" w:oddVBand="0" w:evenVBand="0" w:oddHBand="1" w:evenHBand="0" w:firstRowFirstColumn="0" w:firstRowLastColumn="0" w:lastRowFirstColumn="0" w:lastRowLastColumn="0"/>
            </w:pPr>
          </w:p>
        </w:tc>
        <w:tc>
          <w:tcPr>
            <w:tcW w:w="1605" w:type="dxa"/>
            <w:vMerge/>
            <w:tcBorders>
              <w:top w:val="none" w:sz="0" w:space="0" w:color="auto"/>
              <w:bottom w:val="none" w:sz="0" w:space="0" w:color="auto"/>
            </w:tcBorders>
            <w:hideMark/>
          </w:tcPr>
          <w:p w14:paraId="364EA219" w14:textId="77777777" w:rsidR="0033101B" w:rsidRPr="007A1075" w:rsidRDefault="0033101B" w:rsidP="0033101B">
            <w:pPr>
              <w:pStyle w:val="TableText"/>
              <w:cnfStyle w:val="000000100000" w:firstRow="0" w:lastRow="0" w:firstColumn="0" w:lastColumn="0" w:oddVBand="0" w:evenVBand="0" w:oddHBand="1" w:evenHBand="0" w:firstRowFirstColumn="0" w:firstRowLastColumn="0" w:lastRowFirstColumn="0" w:lastRowLastColumn="0"/>
            </w:pPr>
          </w:p>
        </w:tc>
        <w:tc>
          <w:tcPr>
            <w:tcW w:w="1629" w:type="dxa"/>
            <w:tcBorders>
              <w:top w:val="none" w:sz="0" w:space="0" w:color="auto"/>
              <w:bottom w:val="none" w:sz="0" w:space="0" w:color="auto"/>
            </w:tcBorders>
            <w:noWrap/>
            <w:hideMark/>
          </w:tcPr>
          <w:p w14:paraId="01AD636A" w14:textId="77777777" w:rsidR="0033101B" w:rsidRPr="007A1075" w:rsidRDefault="0033101B" w:rsidP="0033101B">
            <w:pPr>
              <w:pStyle w:val="TableText"/>
              <w:cnfStyle w:val="000000100000" w:firstRow="0" w:lastRow="0" w:firstColumn="0" w:lastColumn="0" w:oddVBand="0" w:evenVBand="0" w:oddHBand="1" w:evenHBand="0" w:firstRowFirstColumn="0" w:firstRowLastColumn="0" w:lastRowFirstColumn="0" w:lastRowLastColumn="0"/>
            </w:pPr>
            <w:r w:rsidRPr="007A1075">
              <w:t>Changed knowledge and access to information</w:t>
            </w:r>
          </w:p>
        </w:tc>
        <w:tc>
          <w:tcPr>
            <w:tcW w:w="963" w:type="dxa"/>
            <w:tcBorders>
              <w:top w:val="none" w:sz="0" w:space="0" w:color="auto"/>
              <w:bottom w:val="none" w:sz="0" w:space="0" w:color="auto"/>
            </w:tcBorders>
            <w:noWrap/>
            <w:hideMark/>
          </w:tcPr>
          <w:p w14:paraId="73CB942D" w14:textId="452E8671" w:rsidR="0033101B" w:rsidRPr="007A1075" w:rsidRDefault="0033101B" w:rsidP="0033101B">
            <w:pPr>
              <w:pStyle w:val="TableText"/>
              <w:cnfStyle w:val="000000100000" w:firstRow="0" w:lastRow="0" w:firstColumn="0" w:lastColumn="0" w:oddVBand="0" w:evenVBand="0" w:oddHBand="1" w:evenHBand="0" w:firstRowFirstColumn="0" w:firstRowLastColumn="0" w:lastRowFirstColumn="0" w:lastRowLastColumn="0"/>
            </w:pPr>
            <w:r w:rsidRPr="0076737F">
              <w:t>1.23</w:t>
            </w:r>
          </w:p>
        </w:tc>
        <w:tc>
          <w:tcPr>
            <w:tcW w:w="1326" w:type="dxa"/>
            <w:tcBorders>
              <w:top w:val="none" w:sz="0" w:space="0" w:color="auto"/>
              <w:bottom w:val="none" w:sz="0" w:space="0" w:color="auto"/>
            </w:tcBorders>
            <w:noWrap/>
            <w:hideMark/>
          </w:tcPr>
          <w:p w14:paraId="640064CE" w14:textId="025CFA94" w:rsidR="0033101B" w:rsidRPr="007A1075" w:rsidRDefault="0033101B" w:rsidP="0033101B">
            <w:pPr>
              <w:pStyle w:val="TableText"/>
              <w:cnfStyle w:val="000000100000" w:firstRow="0" w:lastRow="0" w:firstColumn="0" w:lastColumn="0" w:oddVBand="0" w:evenVBand="0" w:oddHBand="1" w:evenHBand="0" w:firstRowFirstColumn="0" w:firstRowLastColumn="0" w:lastRowFirstColumn="0" w:lastRowLastColumn="0"/>
            </w:pPr>
            <w:r w:rsidRPr="0076737F">
              <w:t>4119813</w:t>
            </w:r>
          </w:p>
        </w:tc>
        <w:tc>
          <w:tcPr>
            <w:tcW w:w="859" w:type="dxa"/>
            <w:tcBorders>
              <w:top w:val="none" w:sz="0" w:space="0" w:color="auto"/>
              <w:bottom w:val="none" w:sz="0" w:space="0" w:color="auto"/>
            </w:tcBorders>
            <w:noWrap/>
            <w:hideMark/>
          </w:tcPr>
          <w:p w14:paraId="7E281750" w14:textId="2BF40273" w:rsidR="0033101B" w:rsidRPr="007A1075" w:rsidRDefault="0033101B" w:rsidP="0033101B">
            <w:pPr>
              <w:pStyle w:val="TableText"/>
              <w:cnfStyle w:val="000000100000" w:firstRow="0" w:lastRow="0" w:firstColumn="0" w:lastColumn="0" w:oddVBand="0" w:evenVBand="0" w:oddHBand="1" w:evenHBand="0" w:firstRowFirstColumn="0" w:firstRowLastColumn="0" w:lastRowFirstColumn="0" w:lastRowLastColumn="0"/>
            </w:pPr>
            <w:r w:rsidRPr="0076737F">
              <w:t>12</w:t>
            </w:r>
            <w:r>
              <w:t>,</w:t>
            </w:r>
            <w:r w:rsidRPr="0076737F">
              <w:t>067</w:t>
            </w:r>
          </w:p>
        </w:tc>
        <w:tc>
          <w:tcPr>
            <w:tcW w:w="748" w:type="dxa"/>
            <w:tcBorders>
              <w:top w:val="none" w:sz="0" w:space="0" w:color="auto"/>
              <w:bottom w:val="none" w:sz="0" w:space="0" w:color="auto"/>
            </w:tcBorders>
            <w:noWrap/>
            <w:hideMark/>
          </w:tcPr>
          <w:p w14:paraId="63134827" w14:textId="5106F36E" w:rsidR="0033101B" w:rsidRPr="007A1075" w:rsidRDefault="0033101B" w:rsidP="0033101B">
            <w:pPr>
              <w:pStyle w:val="TableText"/>
              <w:cnfStyle w:val="000000100000" w:firstRow="0" w:lastRow="0" w:firstColumn="0" w:lastColumn="0" w:oddVBand="0" w:evenVBand="0" w:oddHBand="1" w:evenHBand="0" w:firstRowFirstColumn="0" w:firstRowLastColumn="0" w:lastRowFirstColumn="0" w:lastRowLastColumn="0"/>
            </w:pPr>
            <w:r w:rsidRPr="0076737F">
              <w:t>&lt;.001</w:t>
            </w:r>
          </w:p>
        </w:tc>
        <w:tc>
          <w:tcPr>
            <w:tcW w:w="4760" w:type="dxa"/>
            <w:tcBorders>
              <w:top w:val="none" w:sz="0" w:space="0" w:color="auto"/>
              <w:bottom w:val="none" w:sz="0" w:space="0" w:color="auto"/>
            </w:tcBorders>
            <w:noWrap/>
            <w:hideMark/>
          </w:tcPr>
          <w:p w14:paraId="75C3F62D" w14:textId="2213B90F" w:rsidR="0033101B" w:rsidRPr="007A1075" w:rsidRDefault="0033101B" w:rsidP="0033101B">
            <w:pPr>
              <w:pStyle w:val="TableText"/>
              <w:cnfStyle w:val="000000100000" w:firstRow="0" w:lastRow="0" w:firstColumn="0" w:lastColumn="0" w:oddVBand="0" w:evenVBand="0" w:oddHBand="1" w:evenHBand="0" w:firstRowFirstColumn="0" w:firstRowLastColumn="0" w:lastRowFirstColumn="0" w:lastRowLastColumn="0"/>
            </w:pPr>
            <w:r w:rsidRPr="0076737F">
              <w:t>68.6% (n=8</w:t>
            </w:r>
            <w:r>
              <w:t>,</w:t>
            </w:r>
            <w:r w:rsidRPr="0076737F">
              <w:t>272)</w:t>
            </w:r>
          </w:p>
        </w:tc>
      </w:tr>
      <w:tr w:rsidR="004A49D1" w:rsidRPr="007A1075" w14:paraId="7BE3746D" w14:textId="77777777" w:rsidTr="0078378F">
        <w:trPr>
          <w:trHeight w:val="290"/>
        </w:trPr>
        <w:tc>
          <w:tcPr>
            <w:cnfStyle w:val="001000000000" w:firstRow="0" w:lastRow="0" w:firstColumn="1" w:lastColumn="0" w:oddVBand="0" w:evenVBand="0" w:oddHBand="0" w:evenHBand="0" w:firstRowFirstColumn="0" w:firstRowLastColumn="0" w:lastRowFirstColumn="0" w:lastRowLastColumn="0"/>
            <w:tcW w:w="975" w:type="dxa"/>
            <w:vMerge/>
            <w:tcBorders>
              <w:right w:val="none" w:sz="0" w:space="0" w:color="auto"/>
            </w:tcBorders>
            <w:hideMark/>
          </w:tcPr>
          <w:p w14:paraId="0D77B97D" w14:textId="77777777" w:rsidR="00826536" w:rsidRPr="007A1075" w:rsidRDefault="00826536" w:rsidP="0033101B">
            <w:pPr>
              <w:pStyle w:val="TableText"/>
            </w:pPr>
          </w:p>
        </w:tc>
        <w:tc>
          <w:tcPr>
            <w:tcW w:w="1022" w:type="dxa"/>
            <w:vMerge/>
            <w:hideMark/>
          </w:tcPr>
          <w:p w14:paraId="451399B2" w14:textId="77777777" w:rsidR="0033101B" w:rsidRPr="007A1075" w:rsidRDefault="0033101B" w:rsidP="0033101B">
            <w:pPr>
              <w:pStyle w:val="TableText"/>
              <w:cnfStyle w:val="000000000000" w:firstRow="0" w:lastRow="0" w:firstColumn="0" w:lastColumn="0" w:oddVBand="0" w:evenVBand="0" w:oddHBand="0" w:evenHBand="0" w:firstRowFirstColumn="0" w:firstRowLastColumn="0" w:lastRowFirstColumn="0" w:lastRowLastColumn="0"/>
            </w:pPr>
          </w:p>
        </w:tc>
        <w:tc>
          <w:tcPr>
            <w:tcW w:w="1605" w:type="dxa"/>
            <w:vMerge/>
            <w:hideMark/>
          </w:tcPr>
          <w:p w14:paraId="1BFC1EBA" w14:textId="77777777" w:rsidR="0033101B" w:rsidRPr="007A1075" w:rsidRDefault="0033101B" w:rsidP="0033101B">
            <w:pPr>
              <w:pStyle w:val="TableText"/>
              <w:cnfStyle w:val="000000000000" w:firstRow="0" w:lastRow="0" w:firstColumn="0" w:lastColumn="0" w:oddVBand="0" w:evenVBand="0" w:oddHBand="0" w:evenHBand="0" w:firstRowFirstColumn="0" w:firstRowLastColumn="0" w:lastRowFirstColumn="0" w:lastRowLastColumn="0"/>
            </w:pPr>
          </w:p>
        </w:tc>
        <w:tc>
          <w:tcPr>
            <w:tcW w:w="1629" w:type="dxa"/>
            <w:noWrap/>
            <w:hideMark/>
          </w:tcPr>
          <w:p w14:paraId="32338FFA" w14:textId="77777777" w:rsidR="0033101B" w:rsidRPr="007A1075" w:rsidRDefault="0033101B" w:rsidP="0033101B">
            <w:pPr>
              <w:pStyle w:val="TableText"/>
              <w:cnfStyle w:val="000000000000" w:firstRow="0" w:lastRow="0" w:firstColumn="0" w:lastColumn="0" w:oddVBand="0" w:evenVBand="0" w:oddHBand="0" w:evenHBand="0" w:firstRowFirstColumn="0" w:firstRowLastColumn="0" w:lastRowFirstColumn="0" w:lastRowLastColumn="0"/>
            </w:pPr>
            <w:r w:rsidRPr="007A1075">
              <w:t>Changed skills</w:t>
            </w:r>
          </w:p>
        </w:tc>
        <w:tc>
          <w:tcPr>
            <w:tcW w:w="963" w:type="dxa"/>
            <w:noWrap/>
            <w:hideMark/>
          </w:tcPr>
          <w:p w14:paraId="7F272B74" w14:textId="4EA7D0FB" w:rsidR="0033101B" w:rsidRPr="007A1075" w:rsidRDefault="0033101B" w:rsidP="0033101B">
            <w:pPr>
              <w:pStyle w:val="TableText"/>
              <w:cnfStyle w:val="000000000000" w:firstRow="0" w:lastRow="0" w:firstColumn="0" w:lastColumn="0" w:oddVBand="0" w:evenVBand="0" w:oddHBand="0" w:evenHBand="0" w:firstRowFirstColumn="0" w:firstRowLastColumn="0" w:lastRowFirstColumn="0" w:lastRowLastColumn="0"/>
            </w:pPr>
            <w:r w:rsidRPr="0076737F">
              <w:t>1.09</w:t>
            </w:r>
          </w:p>
        </w:tc>
        <w:tc>
          <w:tcPr>
            <w:tcW w:w="1326" w:type="dxa"/>
            <w:noWrap/>
            <w:hideMark/>
          </w:tcPr>
          <w:p w14:paraId="1CBB05D7" w14:textId="52170F10" w:rsidR="0033101B" w:rsidRPr="007A1075" w:rsidRDefault="0033101B" w:rsidP="0033101B">
            <w:pPr>
              <w:pStyle w:val="TableText"/>
              <w:cnfStyle w:val="000000000000" w:firstRow="0" w:lastRow="0" w:firstColumn="0" w:lastColumn="0" w:oddVBand="0" w:evenVBand="0" w:oddHBand="0" w:evenHBand="0" w:firstRowFirstColumn="0" w:firstRowLastColumn="0" w:lastRowFirstColumn="0" w:lastRowLastColumn="0"/>
            </w:pPr>
            <w:r w:rsidRPr="0076737F">
              <w:t>4508582</w:t>
            </w:r>
          </w:p>
        </w:tc>
        <w:tc>
          <w:tcPr>
            <w:tcW w:w="859" w:type="dxa"/>
            <w:noWrap/>
            <w:hideMark/>
          </w:tcPr>
          <w:p w14:paraId="4DDBD6F5" w14:textId="29630F6E" w:rsidR="0033101B" w:rsidRPr="007A1075" w:rsidRDefault="0033101B" w:rsidP="0033101B">
            <w:pPr>
              <w:pStyle w:val="TableText"/>
              <w:cnfStyle w:val="000000000000" w:firstRow="0" w:lastRow="0" w:firstColumn="0" w:lastColumn="0" w:oddVBand="0" w:evenVBand="0" w:oddHBand="0" w:evenHBand="0" w:firstRowFirstColumn="0" w:firstRowLastColumn="0" w:lastRowFirstColumn="0" w:lastRowLastColumn="0"/>
            </w:pPr>
            <w:r w:rsidRPr="0076737F">
              <w:t>12</w:t>
            </w:r>
            <w:r>
              <w:t>,</w:t>
            </w:r>
            <w:r w:rsidRPr="0076737F">
              <w:t>701</w:t>
            </w:r>
          </w:p>
        </w:tc>
        <w:tc>
          <w:tcPr>
            <w:tcW w:w="748" w:type="dxa"/>
            <w:noWrap/>
            <w:hideMark/>
          </w:tcPr>
          <w:p w14:paraId="05D24448" w14:textId="5C39D401" w:rsidR="0033101B" w:rsidRPr="007A1075" w:rsidRDefault="0033101B" w:rsidP="0033101B">
            <w:pPr>
              <w:pStyle w:val="TableText"/>
              <w:cnfStyle w:val="000000000000" w:firstRow="0" w:lastRow="0" w:firstColumn="0" w:lastColumn="0" w:oddVBand="0" w:evenVBand="0" w:oddHBand="0" w:evenHBand="0" w:firstRowFirstColumn="0" w:firstRowLastColumn="0" w:lastRowFirstColumn="0" w:lastRowLastColumn="0"/>
            </w:pPr>
            <w:r w:rsidRPr="0076737F">
              <w:t>&lt;.001</w:t>
            </w:r>
          </w:p>
        </w:tc>
        <w:tc>
          <w:tcPr>
            <w:tcW w:w="4760" w:type="dxa"/>
            <w:noWrap/>
            <w:hideMark/>
          </w:tcPr>
          <w:p w14:paraId="6E92385F" w14:textId="7079FD06" w:rsidR="0033101B" w:rsidRPr="007A1075" w:rsidRDefault="0033101B" w:rsidP="0033101B">
            <w:pPr>
              <w:pStyle w:val="TableText"/>
              <w:cnfStyle w:val="000000000000" w:firstRow="0" w:lastRow="0" w:firstColumn="0" w:lastColumn="0" w:oddVBand="0" w:evenVBand="0" w:oddHBand="0" w:evenHBand="0" w:firstRowFirstColumn="0" w:firstRowLastColumn="0" w:lastRowFirstColumn="0" w:lastRowLastColumn="0"/>
            </w:pPr>
            <w:r w:rsidRPr="0076737F">
              <w:t>65.8% (n=8</w:t>
            </w:r>
            <w:r>
              <w:t>,</w:t>
            </w:r>
            <w:r w:rsidRPr="0076737F">
              <w:t>363)</w:t>
            </w:r>
          </w:p>
        </w:tc>
      </w:tr>
      <w:tr w:rsidR="004A49D1" w:rsidRPr="007A1075" w14:paraId="5D426FE7" w14:textId="77777777" w:rsidTr="0078378F">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75" w:type="dxa"/>
            <w:vMerge/>
            <w:tcBorders>
              <w:top w:val="none" w:sz="0" w:space="0" w:color="auto"/>
              <w:bottom w:val="none" w:sz="0" w:space="0" w:color="auto"/>
              <w:right w:val="none" w:sz="0" w:space="0" w:color="auto"/>
            </w:tcBorders>
            <w:hideMark/>
          </w:tcPr>
          <w:p w14:paraId="0BE1593B" w14:textId="77777777" w:rsidR="00826536" w:rsidRPr="007A1075" w:rsidRDefault="00826536" w:rsidP="0033101B">
            <w:pPr>
              <w:pStyle w:val="TableText"/>
            </w:pPr>
          </w:p>
        </w:tc>
        <w:tc>
          <w:tcPr>
            <w:tcW w:w="1022" w:type="dxa"/>
            <w:vMerge/>
            <w:tcBorders>
              <w:top w:val="none" w:sz="0" w:space="0" w:color="auto"/>
              <w:bottom w:val="none" w:sz="0" w:space="0" w:color="auto"/>
            </w:tcBorders>
            <w:hideMark/>
          </w:tcPr>
          <w:p w14:paraId="5F28F616" w14:textId="77777777" w:rsidR="0033101B" w:rsidRPr="007A1075" w:rsidRDefault="0033101B" w:rsidP="0033101B">
            <w:pPr>
              <w:pStyle w:val="TableText"/>
              <w:cnfStyle w:val="000000100000" w:firstRow="0" w:lastRow="0" w:firstColumn="0" w:lastColumn="0" w:oddVBand="0" w:evenVBand="0" w:oddHBand="1" w:evenHBand="0" w:firstRowFirstColumn="0" w:firstRowLastColumn="0" w:lastRowFirstColumn="0" w:lastRowLastColumn="0"/>
            </w:pPr>
          </w:p>
        </w:tc>
        <w:tc>
          <w:tcPr>
            <w:tcW w:w="1605" w:type="dxa"/>
            <w:vMerge/>
            <w:tcBorders>
              <w:top w:val="none" w:sz="0" w:space="0" w:color="auto"/>
              <w:bottom w:val="none" w:sz="0" w:space="0" w:color="auto"/>
            </w:tcBorders>
            <w:hideMark/>
          </w:tcPr>
          <w:p w14:paraId="41759909" w14:textId="77777777" w:rsidR="0033101B" w:rsidRPr="007A1075" w:rsidRDefault="0033101B" w:rsidP="0033101B">
            <w:pPr>
              <w:pStyle w:val="TableText"/>
              <w:cnfStyle w:val="000000100000" w:firstRow="0" w:lastRow="0" w:firstColumn="0" w:lastColumn="0" w:oddVBand="0" w:evenVBand="0" w:oddHBand="1" w:evenHBand="0" w:firstRowFirstColumn="0" w:firstRowLastColumn="0" w:lastRowFirstColumn="0" w:lastRowLastColumn="0"/>
            </w:pPr>
          </w:p>
        </w:tc>
        <w:tc>
          <w:tcPr>
            <w:tcW w:w="1629" w:type="dxa"/>
            <w:tcBorders>
              <w:top w:val="none" w:sz="0" w:space="0" w:color="auto"/>
              <w:bottom w:val="none" w:sz="0" w:space="0" w:color="auto"/>
            </w:tcBorders>
            <w:noWrap/>
            <w:hideMark/>
          </w:tcPr>
          <w:p w14:paraId="577CCF73" w14:textId="77777777" w:rsidR="0033101B" w:rsidRPr="007A1075" w:rsidRDefault="00826536" w:rsidP="0033101B">
            <w:pPr>
              <w:pStyle w:val="TableText"/>
              <w:cnfStyle w:val="000000100000" w:firstRow="0" w:lastRow="0" w:firstColumn="0" w:lastColumn="0" w:oddVBand="0" w:evenVBand="0" w:oddHBand="1" w:evenHBand="0" w:firstRowFirstColumn="0" w:firstRowLastColumn="0" w:lastRowFirstColumn="0" w:lastRowLastColumn="0"/>
            </w:pPr>
            <w:r w:rsidRPr="57F92EFB">
              <w:rPr>
                <w:lang w:val="en-NZ"/>
              </w:rPr>
              <w:t>Empowerment, choice and control to make own decisions</w:t>
            </w:r>
          </w:p>
        </w:tc>
        <w:tc>
          <w:tcPr>
            <w:tcW w:w="963" w:type="dxa"/>
            <w:tcBorders>
              <w:top w:val="none" w:sz="0" w:space="0" w:color="auto"/>
              <w:bottom w:val="none" w:sz="0" w:space="0" w:color="auto"/>
            </w:tcBorders>
            <w:noWrap/>
            <w:hideMark/>
          </w:tcPr>
          <w:p w14:paraId="6A2F5F2B" w14:textId="2836EC46" w:rsidR="0033101B" w:rsidRPr="007A1075" w:rsidRDefault="0033101B" w:rsidP="0033101B">
            <w:pPr>
              <w:pStyle w:val="TableText"/>
              <w:cnfStyle w:val="000000100000" w:firstRow="0" w:lastRow="0" w:firstColumn="0" w:lastColumn="0" w:oddVBand="0" w:evenVBand="0" w:oddHBand="1" w:evenHBand="0" w:firstRowFirstColumn="0" w:firstRowLastColumn="0" w:lastRowFirstColumn="0" w:lastRowLastColumn="0"/>
            </w:pPr>
            <w:r w:rsidRPr="0076737F">
              <w:t>0.99</w:t>
            </w:r>
          </w:p>
        </w:tc>
        <w:tc>
          <w:tcPr>
            <w:tcW w:w="1326" w:type="dxa"/>
            <w:tcBorders>
              <w:top w:val="none" w:sz="0" w:space="0" w:color="auto"/>
              <w:bottom w:val="none" w:sz="0" w:space="0" w:color="auto"/>
            </w:tcBorders>
            <w:noWrap/>
            <w:hideMark/>
          </w:tcPr>
          <w:p w14:paraId="3662E025" w14:textId="1B4A6196" w:rsidR="0033101B" w:rsidRPr="007A1075" w:rsidRDefault="0033101B" w:rsidP="0033101B">
            <w:pPr>
              <w:pStyle w:val="TableText"/>
              <w:cnfStyle w:val="000000100000" w:firstRow="0" w:lastRow="0" w:firstColumn="0" w:lastColumn="0" w:oddVBand="0" w:evenVBand="0" w:oddHBand="1" w:evenHBand="0" w:firstRowFirstColumn="0" w:firstRowLastColumn="0" w:lastRowFirstColumn="0" w:lastRowLastColumn="0"/>
            </w:pPr>
            <w:r w:rsidRPr="0076737F">
              <w:t>3407095</w:t>
            </w:r>
          </w:p>
        </w:tc>
        <w:tc>
          <w:tcPr>
            <w:tcW w:w="859" w:type="dxa"/>
            <w:tcBorders>
              <w:top w:val="none" w:sz="0" w:space="0" w:color="auto"/>
              <w:bottom w:val="none" w:sz="0" w:space="0" w:color="auto"/>
            </w:tcBorders>
            <w:noWrap/>
            <w:hideMark/>
          </w:tcPr>
          <w:p w14:paraId="0A3DB806" w14:textId="3E644C8A" w:rsidR="0033101B" w:rsidRPr="007A1075" w:rsidRDefault="0033101B" w:rsidP="0033101B">
            <w:pPr>
              <w:pStyle w:val="TableText"/>
              <w:cnfStyle w:val="000000100000" w:firstRow="0" w:lastRow="0" w:firstColumn="0" w:lastColumn="0" w:oddVBand="0" w:evenVBand="0" w:oddHBand="1" w:evenHBand="0" w:firstRowFirstColumn="0" w:firstRowLastColumn="0" w:lastRowFirstColumn="0" w:lastRowLastColumn="0"/>
            </w:pPr>
            <w:r w:rsidRPr="0076737F">
              <w:t>9</w:t>
            </w:r>
            <w:r>
              <w:t>,</w:t>
            </w:r>
            <w:r w:rsidRPr="0076737F">
              <w:t>197</w:t>
            </w:r>
          </w:p>
        </w:tc>
        <w:tc>
          <w:tcPr>
            <w:tcW w:w="748" w:type="dxa"/>
            <w:tcBorders>
              <w:top w:val="none" w:sz="0" w:space="0" w:color="auto"/>
              <w:bottom w:val="none" w:sz="0" w:space="0" w:color="auto"/>
            </w:tcBorders>
            <w:noWrap/>
            <w:hideMark/>
          </w:tcPr>
          <w:p w14:paraId="7CC963B7" w14:textId="2D7FD5AE" w:rsidR="0033101B" w:rsidRPr="007A1075" w:rsidRDefault="0033101B" w:rsidP="0033101B">
            <w:pPr>
              <w:pStyle w:val="TableText"/>
              <w:cnfStyle w:val="000000100000" w:firstRow="0" w:lastRow="0" w:firstColumn="0" w:lastColumn="0" w:oddVBand="0" w:evenVBand="0" w:oddHBand="1" w:evenHBand="0" w:firstRowFirstColumn="0" w:firstRowLastColumn="0" w:lastRowFirstColumn="0" w:lastRowLastColumn="0"/>
            </w:pPr>
            <w:r w:rsidRPr="0076737F">
              <w:t>&lt;.001</w:t>
            </w:r>
          </w:p>
        </w:tc>
        <w:tc>
          <w:tcPr>
            <w:tcW w:w="4760" w:type="dxa"/>
            <w:tcBorders>
              <w:top w:val="none" w:sz="0" w:space="0" w:color="auto"/>
              <w:bottom w:val="none" w:sz="0" w:space="0" w:color="auto"/>
            </w:tcBorders>
            <w:noWrap/>
            <w:hideMark/>
          </w:tcPr>
          <w:p w14:paraId="550363C2" w14:textId="7B29F000" w:rsidR="0033101B" w:rsidRPr="007A1075" w:rsidRDefault="0033101B" w:rsidP="0033101B">
            <w:pPr>
              <w:pStyle w:val="TableText"/>
              <w:cnfStyle w:val="000000100000" w:firstRow="0" w:lastRow="0" w:firstColumn="0" w:lastColumn="0" w:oddVBand="0" w:evenVBand="0" w:oddHBand="1" w:evenHBand="0" w:firstRowFirstColumn="0" w:firstRowLastColumn="0" w:lastRowFirstColumn="0" w:lastRowLastColumn="0"/>
            </w:pPr>
            <w:r w:rsidRPr="0076737F">
              <w:t>63.0% (n=5</w:t>
            </w:r>
            <w:r>
              <w:t>,</w:t>
            </w:r>
            <w:r w:rsidRPr="0076737F">
              <w:t>797)</w:t>
            </w:r>
          </w:p>
        </w:tc>
      </w:tr>
      <w:tr w:rsidR="004A49D1" w:rsidRPr="007A1075" w14:paraId="3E1D0A0F" w14:textId="77777777" w:rsidTr="0078378F">
        <w:trPr>
          <w:trHeight w:val="290"/>
        </w:trPr>
        <w:tc>
          <w:tcPr>
            <w:cnfStyle w:val="001000000000" w:firstRow="0" w:lastRow="0" w:firstColumn="1" w:lastColumn="0" w:oddVBand="0" w:evenVBand="0" w:oddHBand="0" w:evenHBand="0" w:firstRowFirstColumn="0" w:firstRowLastColumn="0" w:lastRowFirstColumn="0" w:lastRowLastColumn="0"/>
            <w:tcW w:w="975" w:type="dxa"/>
            <w:vMerge/>
            <w:tcBorders>
              <w:right w:val="none" w:sz="0" w:space="0" w:color="auto"/>
            </w:tcBorders>
            <w:hideMark/>
          </w:tcPr>
          <w:p w14:paraId="4EED6E2B" w14:textId="77777777" w:rsidR="00826536" w:rsidRPr="007A1075" w:rsidRDefault="00826536" w:rsidP="0033101B">
            <w:pPr>
              <w:pStyle w:val="TableText"/>
            </w:pPr>
          </w:p>
        </w:tc>
        <w:tc>
          <w:tcPr>
            <w:tcW w:w="1022" w:type="dxa"/>
            <w:vMerge/>
            <w:hideMark/>
          </w:tcPr>
          <w:p w14:paraId="05A83660" w14:textId="77777777" w:rsidR="0033101B" w:rsidRPr="007A1075" w:rsidRDefault="0033101B" w:rsidP="0033101B">
            <w:pPr>
              <w:pStyle w:val="TableText"/>
              <w:cnfStyle w:val="000000000000" w:firstRow="0" w:lastRow="0" w:firstColumn="0" w:lastColumn="0" w:oddVBand="0" w:evenVBand="0" w:oddHBand="0" w:evenHBand="0" w:firstRowFirstColumn="0" w:firstRowLastColumn="0" w:lastRowFirstColumn="0" w:lastRowLastColumn="0"/>
            </w:pPr>
          </w:p>
        </w:tc>
        <w:tc>
          <w:tcPr>
            <w:tcW w:w="1605" w:type="dxa"/>
            <w:vMerge/>
            <w:hideMark/>
          </w:tcPr>
          <w:p w14:paraId="213AB0AE" w14:textId="77777777" w:rsidR="0033101B" w:rsidRPr="007A1075" w:rsidRDefault="0033101B" w:rsidP="0033101B">
            <w:pPr>
              <w:pStyle w:val="TableText"/>
              <w:cnfStyle w:val="000000000000" w:firstRow="0" w:lastRow="0" w:firstColumn="0" w:lastColumn="0" w:oddVBand="0" w:evenVBand="0" w:oddHBand="0" w:evenHBand="0" w:firstRowFirstColumn="0" w:firstRowLastColumn="0" w:lastRowFirstColumn="0" w:lastRowLastColumn="0"/>
            </w:pPr>
          </w:p>
        </w:tc>
        <w:tc>
          <w:tcPr>
            <w:tcW w:w="1629" w:type="dxa"/>
            <w:noWrap/>
            <w:hideMark/>
          </w:tcPr>
          <w:p w14:paraId="6398D8B4" w14:textId="77777777" w:rsidR="0033101B" w:rsidRPr="007A1075" w:rsidRDefault="0033101B" w:rsidP="0033101B">
            <w:pPr>
              <w:pStyle w:val="TableText"/>
              <w:cnfStyle w:val="000000000000" w:firstRow="0" w:lastRow="0" w:firstColumn="0" w:lastColumn="0" w:oddVBand="0" w:evenVBand="0" w:oddHBand="0" w:evenHBand="0" w:firstRowFirstColumn="0" w:firstRowLastColumn="0" w:lastRowFirstColumn="0" w:lastRowLastColumn="0"/>
            </w:pPr>
            <w:r w:rsidRPr="007A1075">
              <w:t>Engagement with relevant support services</w:t>
            </w:r>
          </w:p>
        </w:tc>
        <w:tc>
          <w:tcPr>
            <w:tcW w:w="963" w:type="dxa"/>
            <w:noWrap/>
            <w:hideMark/>
          </w:tcPr>
          <w:p w14:paraId="79BE54E4" w14:textId="453893CB" w:rsidR="0033101B" w:rsidRPr="007A1075" w:rsidRDefault="0033101B" w:rsidP="0033101B">
            <w:pPr>
              <w:pStyle w:val="TableText"/>
              <w:cnfStyle w:val="000000000000" w:firstRow="0" w:lastRow="0" w:firstColumn="0" w:lastColumn="0" w:oddVBand="0" w:evenVBand="0" w:oddHBand="0" w:evenHBand="0" w:firstRowFirstColumn="0" w:firstRowLastColumn="0" w:lastRowFirstColumn="0" w:lastRowLastColumn="0"/>
            </w:pPr>
            <w:r w:rsidRPr="0076737F">
              <w:t>0.94</w:t>
            </w:r>
          </w:p>
        </w:tc>
        <w:tc>
          <w:tcPr>
            <w:tcW w:w="1326" w:type="dxa"/>
            <w:noWrap/>
            <w:hideMark/>
          </w:tcPr>
          <w:p w14:paraId="15CBB76D" w14:textId="3361AD44" w:rsidR="0033101B" w:rsidRPr="007A1075" w:rsidRDefault="0033101B" w:rsidP="0033101B">
            <w:pPr>
              <w:pStyle w:val="TableText"/>
              <w:cnfStyle w:val="000000000000" w:firstRow="0" w:lastRow="0" w:firstColumn="0" w:lastColumn="0" w:oddVBand="0" w:evenVBand="0" w:oddHBand="0" w:evenHBand="0" w:firstRowFirstColumn="0" w:firstRowLastColumn="0" w:lastRowFirstColumn="0" w:lastRowLastColumn="0"/>
            </w:pPr>
            <w:r w:rsidRPr="0076737F">
              <w:t>2078222</w:t>
            </w:r>
          </w:p>
        </w:tc>
        <w:tc>
          <w:tcPr>
            <w:tcW w:w="859" w:type="dxa"/>
            <w:noWrap/>
            <w:hideMark/>
          </w:tcPr>
          <w:p w14:paraId="4348892B" w14:textId="0C97A206" w:rsidR="0033101B" w:rsidRPr="007A1075" w:rsidRDefault="0033101B" w:rsidP="0033101B">
            <w:pPr>
              <w:pStyle w:val="TableText"/>
              <w:cnfStyle w:val="000000000000" w:firstRow="0" w:lastRow="0" w:firstColumn="0" w:lastColumn="0" w:oddVBand="0" w:evenVBand="0" w:oddHBand="0" w:evenHBand="0" w:firstRowFirstColumn="0" w:firstRowLastColumn="0" w:lastRowFirstColumn="0" w:lastRowLastColumn="0"/>
            </w:pPr>
            <w:r w:rsidRPr="0076737F">
              <w:t>6</w:t>
            </w:r>
            <w:r>
              <w:t>,</w:t>
            </w:r>
            <w:r w:rsidRPr="0076737F">
              <w:t>600</w:t>
            </w:r>
          </w:p>
        </w:tc>
        <w:tc>
          <w:tcPr>
            <w:tcW w:w="748" w:type="dxa"/>
            <w:noWrap/>
            <w:hideMark/>
          </w:tcPr>
          <w:p w14:paraId="50C315C8" w14:textId="1C4F1FB8" w:rsidR="0033101B" w:rsidRPr="007A1075" w:rsidRDefault="0033101B" w:rsidP="0033101B">
            <w:pPr>
              <w:pStyle w:val="TableText"/>
              <w:cnfStyle w:val="000000000000" w:firstRow="0" w:lastRow="0" w:firstColumn="0" w:lastColumn="0" w:oddVBand="0" w:evenVBand="0" w:oddHBand="0" w:evenHBand="0" w:firstRowFirstColumn="0" w:firstRowLastColumn="0" w:lastRowFirstColumn="0" w:lastRowLastColumn="0"/>
            </w:pPr>
            <w:r w:rsidRPr="0076737F">
              <w:t>&lt;.001</w:t>
            </w:r>
          </w:p>
        </w:tc>
        <w:tc>
          <w:tcPr>
            <w:tcW w:w="4760" w:type="dxa"/>
            <w:noWrap/>
            <w:hideMark/>
          </w:tcPr>
          <w:p w14:paraId="6727675B" w14:textId="219527FB" w:rsidR="0033101B" w:rsidRPr="007A1075" w:rsidRDefault="0033101B" w:rsidP="0033101B">
            <w:pPr>
              <w:pStyle w:val="TableText"/>
              <w:cnfStyle w:val="000000000000" w:firstRow="0" w:lastRow="0" w:firstColumn="0" w:lastColumn="0" w:oddVBand="0" w:evenVBand="0" w:oddHBand="0" w:evenHBand="0" w:firstRowFirstColumn="0" w:firstRowLastColumn="0" w:lastRowFirstColumn="0" w:lastRowLastColumn="0"/>
            </w:pPr>
            <w:r w:rsidRPr="0076737F">
              <w:t>60.0% (n=3</w:t>
            </w:r>
            <w:r>
              <w:t>,</w:t>
            </w:r>
            <w:r w:rsidRPr="0076737F">
              <w:t>960)</w:t>
            </w:r>
          </w:p>
        </w:tc>
      </w:tr>
    </w:tbl>
    <w:p w14:paraId="2B18D6A5" w14:textId="4D3D6771" w:rsidR="007611DA" w:rsidRPr="00925CD2" w:rsidRDefault="004D15F4" w:rsidP="00811E31">
      <w:pPr>
        <w:pStyle w:val="Caption"/>
        <w:jc w:val="both"/>
        <w:rPr>
          <w:rStyle w:val="Text-Bold"/>
          <w:szCs w:val="22"/>
        </w:rPr>
      </w:pPr>
      <w:r>
        <w:br w:type="page"/>
      </w:r>
      <w:r w:rsidR="00BC3586">
        <w:lastRenderedPageBreak/>
        <w:t xml:space="preserve">Table </w:t>
      </w:r>
      <w:r w:rsidR="00BC3586">
        <w:fldChar w:fldCharType="begin"/>
      </w:r>
      <w:r w:rsidR="00BC3586">
        <w:instrText xml:space="preserve"> SEQ Table \* ARABIC </w:instrText>
      </w:r>
      <w:r w:rsidR="00BC3586">
        <w:fldChar w:fldCharType="separate"/>
      </w:r>
      <w:r w:rsidR="008D2566">
        <w:rPr>
          <w:noProof/>
        </w:rPr>
        <w:t>64</w:t>
      </w:r>
      <w:r w:rsidR="00BC3586">
        <w:fldChar w:fldCharType="end"/>
      </w:r>
      <w:r w:rsidR="00BC3586">
        <w:t xml:space="preserve">: </w:t>
      </w:r>
      <w:r w:rsidR="00BC3586" w:rsidRPr="00CE2C5B">
        <w:t>Mean earliest-to-latest SCORE change (within-subjects) by gender, SFVS service users</w:t>
      </w:r>
      <w:r w:rsidR="00811E31" w:rsidRPr="00811E31">
        <w:rPr>
          <w:rStyle w:val="Text-Bold"/>
          <w:b/>
          <w:sz w:val="21"/>
          <w:szCs w:val="21"/>
        </w:rPr>
        <w:t>, July 2021 to June 2024</w:t>
      </w:r>
      <w:r w:rsidR="00E614D3" w:rsidRPr="7349D423">
        <w:rPr>
          <w:rStyle w:val="Text-Bold"/>
          <w:szCs w:val="22"/>
        </w:rPr>
        <w:t xml:space="preserve"> </w:t>
      </w:r>
    </w:p>
    <w:tbl>
      <w:tblPr>
        <w:tblStyle w:val="ListTable3-Accent31"/>
        <w:tblW w:w="0" w:type="auto"/>
        <w:tblLook w:val="04A0" w:firstRow="1" w:lastRow="0" w:firstColumn="1" w:lastColumn="0" w:noHBand="0" w:noVBand="1"/>
      </w:tblPr>
      <w:tblGrid>
        <w:gridCol w:w="1220"/>
        <w:gridCol w:w="1384"/>
        <w:gridCol w:w="1689"/>
        <w:gridCol w:w="3766"/>
        <w:gridCol w:w="1415"/>
        <w:gridCol w:w="1393"/>
        <w:gridCol w:w="859"/>
        <w:gridCol w:w="790"/>
        <w:gridCol w:w="1428"/>
      </w:tblGrid>
      <w:tr w:rsidR="00DC2E47" w:rsidRPr="007A1075" w14:paraId="4EB86E12" w14:textId="77777777" w:rsidTr="00DC2E47">
        <w:trPr>
          <w:cnfStyle w:val="100000000000" w:firstRow="1" w:lastRow="0" w:firstColumn="0" w:lastColumn="0" w:oddVBand="0" w:evenVBand="0" w:oddHBand="0" w:evenHBand="0" w:firstRowFirstColumn="0" w:firstRowLastColumn="0" w:lastRowFirstColumn="0" w:lastRowLastColumn="0"/>
          <w:trHeight w:val="870"/>
        </w:trPr>
        <w:tc>
          <w:tcPr>
            <w:cnfStyle w:val="001000000100" w:firstRow="0" w:lastRow="0" w:firstColumn="1" w:lastColumn="0" w:oddVBand="0" w:evenVBand="0" w:oddHBand="0" w:evenHBand="0" w:firstRowFirstColumn="1" w:firstRowLastColumn="0" w:lastRowFirstColumn="0" w:lastRowLastColumn="0"/>
            <w:tcW w:w="1122" w:type="dxa"/>
            <w:hideMark/>
          </w:tcPr>
          <w:p w14:paraId="7C36782E" w14:textId="77777777" w:rsidR="00D90D2A" w:rsidRPr="007A1075" w:rsidRDefault="00D90D2A" w:rsidP="001267B9">
            <w:pPr>
              <w:pStyle w:val="TableText"/>
              <w:rPr>
                <w:bCs w:val="0"/>
              </w:rPr>
            </w:pPr>
            <w:r w:rsidRPr="007A1075">
              <w:t>Activity</w:t>
            </w:r>
          </w:p>
        </w:tc>
        <w:tc>
          <w:tcPr>
            <w:tcW w:w="1407" w:type="dxa"/>
            <w:hideMark/>
          </w:tcPr>
          <w:p w14:paraId="50AD7079" w14:textId="77777777" w:rsidR="00D90D2A" w:rsidRPr="007A1075" w:rsidRDefault="00D90D2A" w:rsidP="001267B9">
            <w:pPr>
              <w:pStyle w:val="TableText"/>
              <w:cnfStyle w:val="100000000000" w:firstRow="1" w:lastRow="0" w:firstColumn="0" w:lastColumn="0" w:oddVBand="0" w:evenVBand="0" w:oddHBand="0" w:evenHBand="0" w:firstRowFirstColumn="0" w:firstRowLastColumn="0" w:lastRowFirstColumn="0" w:lastRowLastColumn="0"/>
              <w:rPr>
                <w:bCs w:val="0"/>
              </w:rPr>
            </w:pPr>
            <w:r w:rsidRPr="007A1075">
              <w:t>Cohort</w:t>
            </w:r>
          </w:p>
        </w:tc>
        <w:tc>
          <w:tcPr>
            <w:tcW w:w="1697" w:type="dxa"/>
            <w:hideMark/>
          </w:tcPr>
          <w:p w14:paraId="28C0C439" w14:textId="77777777" w:rsidR="00D90D2A" w:rsidRPr="007A1075" w:rsidRDefault="00D90D2A" w:rsidP="001267B9">
            <w:pPr>
              <w:pStyle w:val="TableText"/>
              <w:cnfStyle w:val="100000000000" w:firstRow="1" w:lastRow="0" w:firstColumn="0" w:lastColumn="0" w:oddVBand="0" w:evenVBand="0" w:oddHBand="0" w:evenHBand="0" w:firstRowFirstColumn="0" w:firstRowLastColumn="0" w:lastRowFirstColumn="0" w:lastRowLastColumn="0"/>
              <w:rPr>
                <w:bCs w:val="0"/>
              </w:rPr>
            </w:pPr>
            <w:r w:rsidRPr="007A1075">
              <w:t>Outcome type</w:t>
            </w:r>
          </w:p>
        </w:tc>
        <w:tc>
          <w:tcPr>
            <w:tcW w:w="3766" w:type="dxa"/>
            <w:noWrap/>
            <w:hideMark/>
          </w:tcPr>
          <w:p w14:paraId="063498A0" w14:textId="77777777" w:rsidR="00D90D2A" w:rsidRPr="007A1075" w:rsidRDefault="00D90D2A" w:rsidP="001267B9">
            <w:pPr>
              <w:pStyle w:val="TableText"/>
              <w:cnfStyle w:val="100000000000" w:firstRow="1" w:lastRow="0" w:firstColumn="0" w:lastColumn="0" w:oddVBand="0" w:evenVBand="0" w:oddHBand="0" w:evenHBand="0" w:firstRowFirstColumn="0" w:firstRowLastColumn="0" w:lastRowFirstColumn="0" w:lastRowLastColumn="0"/>
              <w:rPr>
                <w:bCs w:val="0"/>
              </w:rPr>
            </w:pPr>
            <w:r w:rsidRPr="007A1075">
              <w:t>Domain</w:t>
            </w:r>
          </w:p>
        </w:tc>
        <w:tc>
          <w:tcPr>
            <w:tcW w:w="1455" w:type="dxa"/>
            <w:hideMark/>
          </w:tcPr>
          <w:p w14:paraId="2ACFE467" w14:textId="77777777" w:rsidR="00D90D2A" w:rsidRPr="007A1075" w:rsidRDefault="00D90D2A" w:rsidP="001267B9">
            <w:pPr>
              <w:pStyle w:val="TableText"/>
              <w:cnfStyle w:val="100000000000" w:firstRow="1" w:lastRow="0" w:firstColumn="0" w:lastColumn="0" w:oddVBand="0" w:evenVBand="0" w:oddHBand="0" w:evenHBand="0" w:firstRowFirstColumn="0" w:firstRowLastColumn="0" w:lastRowFirstColumn="0" w:lastRowLastColumn="0"/>
              <w:rPr>
                <w:bCs w:val="0"/>
              </w:rPr>
            </w:pPr>
            <w:r w:rsidRPr="007A1075">
              <w:t>SCORE change (mean)</w:t>
            </w:r>
          </w:p>
        </w:tc>
        <w:tc>
          <w:tcPr>
            <w:tcW w:w="1393" w:type="dxa"/>
            <w:noWrap/>
            <w:hideMark/>
          </w:tcPr>
          <w:p w14:paraId="047A18B1" w14:textId="77777777" w:rsidR="00D90D2A" w:rsidRPr="007A1075" w:rsidRDefault="00D90D2A" w:rsidP="001267B9">
            <w:pPr>
              <w:pStyle w:val="TableText"/>
              <w:cnfStyle w:val="100000000000" w:firstRow="1" w:lastRow="0" w:firstColumn="0" w:lastColumn="0" w:oddVBand="0" w:evenVBand="0" w:oddHBand="0" w:evenHBand="0" w:firstRowFirstColumn="0" w:firstRowLastColumn="0" w:lastRowFirstColumn="0" w:lastRowLastColumn="0"/>
              <w:rPr>
                <w:bCs w:val="0"/>
              </w:rPr>
            </w:pPr>
            <w:r w:rsidRPr="007A1075">
              <w:t>Wilcoxon</w:t>
            </w:r>
          </w:p>
        </w:tc>
        <w:tc>
          <w:tcPr>
            <w:tcW w:w="859" w:type="dxa"/>
            <w:noWrap/>
            <w:hideMark/>
          </w:tcPr>
          <w:p w14:paraId="5B11E689" w14:textId="77777777" w:rsidR="00D90D2A" w:rsidRPr="007A1075" w:rsidRDefault="00D90D2A" w:rsidP="001267B9">
            <w:pPr>
              <w:pStyle w:val="TableText"/>
              <w:cnfStyle w:val="100000000000" w:firstRow="1" w:lastRow="0" w:firstColumn="0" w:lastColumn="0" w:oddVBand="0" w:evenVBand="0" w:oddHBand="0" w:evenHBand="0" w:firstRowFirstColumn="0" w:firstRowLastColumn="0" w:lastRowFirstColumn="0" w:lastRowLastColumn="0"/>
              <w:rPr>
                <w:bCs w:val="0"/>
              </w:rPr>
            </w:pPr>
            <w:r w:rsidRPr="007A1075">
              <w:t>n</w:t>
            </w:r>
          </w:p>
        </w:tc>
        <w:tc>
          <w:tcPr>
            <w:tcW w:w="790" w:type="dxa"/>
            <w:noWrap/>
            <w:hideMark/>
          </w:tcPr>
          <w:p w14:paraId="58C6045D" w14:textId="77777777" w:rsidR="00D90D2A" w:rsidRPr="007A1075" w:rsidRDefault="00D90D2A" w:rsidP="001267B9">
            <w:pPr>
              <w:pStyle w:val="TableText"/>
              <w:cnfStyle w:val="100000000000" w:firstRow="1" w:lastRow="0" w:firstColumn="0" w:lastColumn="0" w:oddVBand="0" w:evenVBand="0" w:oddHBand="0" w:evenHBand="0" w:firstRowFirstColumn="0" w:firstRowLastColumn="0" w:lastRowFirstColumn="0" w:lastRowLastColumn="0"/>
              <w:rPr>
                <w:bCs w:val="0"/>
              </w:rPr>
            </w:pPr>
            <w:r w:rsidRPr="007A1075">
              <w:t>p</w:t>
            </w:r>
          </w:p>
        </w:tc>
        <w:tc>
          <w:tcPr>
            <w:tcW w:w="1455" w:type="dxa"/>
            <w:hideMark/>
          </w:tcPr>
          <w:p w14:paraId="3FA24185" w14:textId="77777777" w:rsidR="00D90D2A" w:rsidRPr="007A1075" w:rsidRDefault="00D90D2A" w:rsidP="001267B9">
            <w:pPr>
              <w:pStyle w:val="TableText"/>
              <w:cnfStyle w:val="100000000000" w:firstRow="1" w:lastRow="0" w:firstColumn="0" w:lastColumn="0" w:oddVBand="0" w:evenVBand="0" w:oddHBand="0" w:evenHBand="0" w:firstRowFirstColumn="0" w:firstRowLastColumn="0" w:lastRowFirstColumn="0" w:lastRowLastColumn="0"/>
              <w:rPr>
                <w:bCs w:val="0"/>
              </w:rPr>
            </w:pPr>
            <w:r>
              <w:t>Service users</w:t>
            </w:r>
            <w:r w:rsidRPr="007A1075">
              <w:t xml:space="preserve"> with positive change (%, n)</w:t>
            </w:r>
          </w:p>
        </w:tc>
      </w:tr>
      <w:tr w:rsidR="00E22D67" w:rsidRPr="007A1075" w14:paraId="7A1F76E2" w14:textId="77777777" w:rsidTr="6B49CC8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0" w:type="dxa"/>
            <w:vMerge w:val="restart"/>
            <w:tcBorders>
              <w:top w:val="single" w:sz="4" w:space="0" w:color="auto"/>
              <w:left w:val="single" w:sz="4" w:space="0" w:color="auto"/>
              <w:bottom w:val="single" w:sz="4" w:space="0" w:color="auto"/>
              <w:right w:val="single" w:sz="4" w:space="0" w:color="auto"/>
            </w:tcBorders>
            <w:hideMark/>
          </w:tcPr>
          <w:p w14:paraId="146391D1" w14:textId="77777777" w:rsidR="00A03968" w:rsidRPr="00A44F28" w:rsidRDefault="00A03968" w:rsidP="00A03968">
            <w:pPr>
              <w:pStyle w:val="TableText"/>
              <w:rPr>
                <w:lang w:val="en-NZ"/>
              </w:rPr>
            </w:pPr>
            <w:r w:rsidRPr="00A44F28">
              <w:rPr>
                <w:lang w:val="en-NZ"/>
              </w:rPr>
              <w:t>SFVS (including 4AP2)</w:t>
            </w:r>
          </w:p>
        </w:tc>
        <w:tc>
          <w:tcPr>
            <w:tcW w:w="0" w:type="dxa"/>
            <w:vMerge w:val="restart"/>
            <w:tcBorders>
              <w:top w:val="single" w:sz="4" w:space="0" w:color="auto"/>
              <w:left w:val="single" w:sz="4" w:space="0" w:color="auto"/>
              <w:bottom w:val="single" w:sz="4" w:space="0" w:color="auto"/>
              <w:right w:val="single" w:sz="4" w:space="0" w:color="auto"/>
            </w:tcBorders>
            <w:hideMark/>
          </w:tcPr>
          <w:p w14:paraId="4ADDBA45" w14:textId="6FE7E957" w:rsidR="00A03968" w:rsidRPr="007A1075" w:rsidRDefault="00A03968" w:rsidP="00A03968">
            <w:pPr>
              <w:pStyle w:val="TableText"/>
              <w:cnfStyle w:val="000000100000" w:firstRow="0" w:lastRow="0" w:firstColumn="0" w:lastColumn="0" w:oddVBand="0" w:evenVBand="0" w:oddHBand="1" w:evenHBand="0" w:firstRowFirstColumn="0" w:firstRowLastColumn="0" w:lastRowFirstColumn="0" w:lastRowLastColumn="0"/>
            </w:pPr>
            <w:r w:rsidRPr="00E73041">
              <w:t>Non-First Nations (or unknown)</w:t>
            </w:r>
          </w:p>
          <w:p w14:paraId="373FBD83" w14:textId="5E11BABA" w:rsidR="00A03968" w:rsidRPr="007A1075" w:rsidRDefault="42452CA9" w:rsidP="00A03968">
            <w:pPr>
              <w:pStyle w:val="TableText"/>
              <w:cnfStyle w:val="000000100000" w:firstRow="0" w:lastRow="0" w:firstColumn="0" w:lastColumn="0" w:oddVBand="0" w:evenVBand="0" w:oddHBand="1" w:evenHBand="0" w:firstRowFirstColumn="0" w:firstRowLastColumn="0" w:lastRowFirstColumn="0" w:lastRowLastColumn="0"/>
              <w:rPr>
                <w:szCs w:val="21"/>
              </w:rPr>
            </w:pPr>
            <w:r>
              <w:t>Females</w:t>
            </w:r>
          </w:p>
        </w:tc>
        <w:tc>
          <w:tcPr>
            <w:tcW w:w="0" w:type="dxa"/>
            <w:vMerge w:val="restart"/>
            <w:tcBorders>
              <w:top w:val="single" w:sz="4" w:space="0" w:color="auto"/>
              <w:left w:val="single" w:sz="4" w:space="0" w:color="auto"/>
              <w:bottom w:val="single" w:sz="4" w:space="0" w:color="auto"/>
              <w:right w:val="single" w:sz="4" w:space="0" w:color="auto"/>
            </w:tcBorders>
            <w:hideMark/>
          </w:tcPr>
          <w:p w14:paraId="23561944" w14:textId="77777777" w:rsidR="00A03968" w:rsidRPr="007A1075" w:rsidRDefault="00A03968" w:rsidP="00A03968">
            <w:pPr>
              <w:pStyle w:val="TableText"/>
              <w:cnfStyle w:val="000000100000" w:firstRow="0" w:lastRow="0" w:firstColumn="0" w:lastColumn="0" w:oddVBand="0" w:evenVBand="0" w:oddHBand="1" w:evenHBand="0" w:firstRowFirstColumn="0" w:firstRowLastColumn="0" w:lastRowFirstColumn="0" w:lastRowLastColumn="0"/>
            </w:pPr>
            <w:r w:rsidRPr="007A1075">
              <w:t>Circumstances</w:t>
            </w:r>
          </w:p>
        </w:tc>
        <w:tc>
          <w:tcPr>
            <w:tcW w:w="0" w:type="dxa"/>
            <w:tcBorders>
              <w:top w:val="single" w:sz="4" w:space="0" w:color="auto"/>
              <w:left w:val="single" w:sz="4" w:space="0" w:color="auto"/>
              <w:bottom w:val="single" w:sz="4" w:space="0" w:color="auto"/>
              <w:right w:val="single" w:sz="4" w:space="0" w:color="auto"/>
            </w:tcBorders>
            <w:noWrap/>
            <w:hideMark/>
          </w:tcPr>
          <w:p w14:paraId="391414E7" w14:textId="77777777" w:rsidR="00A03968" w:rsidRPr="007A1075" w:rsidRDefault="00A03968" w:rsidP="00A03968">
            <w:pPr>
              <w:pStyle w:val="TableText"/>
              <w:cnfStyle w:val="000000100000" w:firstRow="0" w:lastRow="0" w:firstColumn="0" w:lastColumn="0" w:oddVBand="0" w:evenVBand="0" w:oddHBand="1" w:evenHBand="0" w:firstRowFirstColumn="0" w:firstRowLastColumn="0" w:lastRowFirstColumn="0" w:lastRowLastColumn="0"/>
            </w:pPr>
            <w:r w:rsidRPr="007A1075">
              <w:t>Family functioning</w:t>
            </w:r>
          </w:p>
        </w:tc>
        <w:tc>
          <w:tcPr>
            <w:tcW w:w="0" w:type="dxa"/>
            <w:tcBorders>
              <w:top w:val="single" w:sz="4" w:space="0" w:color="auto"/>
              <w:left w:val="single" w:sz="4" w:space="0" w:color="auto"/>
              <w:bottom w:val="single" w:sz="4" w:space="0" w:color="auto"/>
              <w:right w:val="single" w:sz="4" w:space="0" w:color="auto"/>
            </w:tcBorders>
            <w:noWrap/>
            <w:hideMark/>
          </w:tcPr>
          <w:p w14:paraId="5272BB88" w14:textId="5BAAB5C4" w:rsidR="00A03968" w:rsidRPr="007A1075" w:rsidRDefault="00A03968" w:rsidP="00A03968">
            <w:pPr>
              <w:pStyle w:val="TableText"/>
              <w:cnfStyle w:val="000000100000" w:firstRow="0" w:lastRow="0" w:firstColumn="0" w:lastColumn="0" w:oddVBand="0" w:evenVBand="0" w:oddHBand="1" w:evenHBand="0" w:firstRowFirstColumn="0" w:firstRowLastColumn="0" w:lastRowFirstColumn="0" w:lastRowLastColumn="0"/>
            </w:pPr>
            <w:r w:rsidRPr="005910F8">
              <w:t>0.78</w:t>
            </w:r>
          </w:p>
        </w:tc>
        <w:tc>
          <w:tcPr>
            <w:tcW w:w="0" w:type="dxa"/>
            <w:tcBorders>
              <w:top w:val="single" w:sz="4" w:space="0" w:color="auto"/>
              <w:left w:val="single" w:sz="4" w:space="0" w:color="auto"/>
              <w:bottom w:val="single" w:sz="4" w:space="0" w:color="auto"/>
              <w:right w:val="single" w:sz="4" w:space="0" w:color="auto"/>
            </w:tcBorders>
            <w:noWrap/>
            <w:hideMark/>
          </w:tcPr>
          <w:p w14:paraId="1691338A" w14:textId="4BAC30D6" w:rsidR="00A03968" w:rsidRPr="007A1075" w:rsidRDefault="00A03968" w:rsidP="00A03968">
            <w:pPr>
              <w:pStyle w:val="TableText"/>
              <w:cnfStyle w:val="000000100000" w:firstRow="0" w:lastRow="0" w:firstColumn="0" w:lastColumn="0" w:oddVBand="0" w:evenVBand="0" w:oddHBand="1" w:evenHBand="0" w:firstRowFirstColumn="0" w:firstRowLastColumn="0" w:lastRowFirstColumn="0" w:lastRowLastColumn="0"/>
            </w:pPr>
            <w:r w:rsidRPr="005910F8">
              <w:t>188497</w:t>
            </w:r>
          </w:p>
        </w:tc>
        <w:tc>
          <w:tcPr>
            <w:tcW w:w="0" w:type="dxa"/>
            <w:tcBorders>
              <w:top w:val="single" w:sz="4" w:space="0" w:color="auto"/>
              <w:left w:val="single" w:sz="4" w:space="0" w:color="auto"/>
              <w:bottom w:val="single" w:sz="4" w:space="0" w:color="auto"/>
              <w:right w:val="single" w:sz="4" w:space="0" w:color="auto"/>
            </w:tcBorders>
            <w:noWrap/>
            <w:hideMark/>
          </w:tcPr>
          <w:p w14:paraId="5B72F485" w14:textId="6CCA8B6F" w:rsidR="00A03968" w:rsidRPr="007A1075" w:rsidRDefault="00A03968" w:rsidP="00A03968">
            <w:pPr>
              <w:pStyle w:val="TableText"/>
              <w:cnfStyle w:val="000000100000" w:firstRow="0" w:lastRow="0" w:firstColumn="0" w:lastColumn="0" w:oddVBand="0" w:evenVBand="0" w:oddHBand="1" w:evenHBand="0" w:firstRowFirstColumn="0" w:firstRowLastColumn="0" w:lastRowFirstColumn="0" w:lastRowLastColumn="0"/>
            </w:pPr>
            <w:r w:rsidRPr="005910F8">
              <w:t>1</w:t>
            </w:r>
            <w:r>
              <w:t>,</w:t>
            </w:r>
            <w:r w:rsidRPr="005910F8">
              <w:t>933</w:t>
            </w:r>
          </w:p>
        </w:tc>
        <w:tc>
          <w:tcPr>
            <w:tcW w:w="0" w:type="dxa"/>
            <w:tcBorders>
              <w:top w:val="single" w:sz="4" w:space="0" w:color="auto"/>
              <w:left w:val="single" w:sz="4" w:space="0" w:color="auto"/>
              <w:bottom w:val="single" w:sz="4" w:space="0" w:color="auto"/>
              <w:right w:val="single" w:sz="4" w:space="0" w:color="auto"/>
            </w:tcBorders>
            <w:noWrap/>
            <w:hideMark/>
          </w:tcPr>
          <w:p w14:paraId="641B85C7" w14:textId="123EB33B" w:rsidR="00A03968" w:rsidRPr="007A1075" w:rsidRDefault="00A03968" w:rsidP="00A03968">
            <w:pPr>
              <w:pStyle w:val="TableText"/>
              <w:cnfStyle w:val="000000100000" w:firstRow="0" w:lastRow="0" w:firstColumn="0" w:lastColumn="0" w:oddVBand="0" w:evenVBand="0" w:oddHBand="1" w:evenHBand="0" w:firstRowFirstColumn="0" w:firstRowLastColumn="0" w:lastRowFirstColumn="0" w:lastRowLastColumn="0"/>
            </w:pPr>
            <w:r w:rsidRPr="005910F8">
              <w:t>&lt;.001</w:t>
            </w:r>
          </w:p>
        </w:tc>
        <w:tc>
          <w:tcPr>
            <w:tcW w:w="0" w:type="dxa"/>
            <w:tcBorders>
              <w:top w:val="single" w:sz="4" w:space="0" w:color="auto"/>
              <w:left w:val="single" w:sz="4" w:space="0" w:color="auto"/>
              <w:bottom w:val="single" w:sz="4" w:space="0" w:color="auto"/>
              <w:right w:val="single" w:sz="4" w:space="0" w:color="auto"/>
            </w:tcBorders>
            <w:noWrap/>
            <w:hideMark/>
          </w:tcPr>
          <w:p w14:paraId="0EE81FFA" w14:textId="2D9D11EF" w:rsidR="00A03968" w:rsidRPr="007A1075" w:rsidRDefault="00A03968" w:rsidP="00A03968">
            <w:pPr>
              <w:pStyle w:val="TableText"/>
              <w:cnfStyle w:val="000000100000" w:firstRow="0" w:lastRow="0" w:firstColumn="0" w:lastColumn="0" w:oddVBand="0" w:evenVBand="0" w:oddHBand="1" w:evenHBand="0" w:firstRowFirstColumn="0" w:firstRowLastColumn="0" w:lastRowFirstColumn="0" w:lastRowLastColumn="0"/>
            </w:pPr>
            <w:r w:rsidRPr="005910F8">
              <w:t>54.5% (n=1</w:t>
            </w:r>
            <w:r>
              <w:t>,</w:t>
            </w:r>
            <w:r w:rsidRPr="005910F8">
              <w:t>053)</w:t>
            </w:r>
          </w:p>
        </w:tc>
      </w:tr>
      <w:tr w:rsidR="00E22D67" w:rsidRPr="007A1075" w14:paraId="4BCF6F43" w14:textId="77777777" w:rsidTr="6B49CC8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cnfStyle w:val="001000000000" w:firstRow="0" w:lastRow="0" w:firstColumn="1" w:lastColumn="0" w:oddVBand="0" w:evenVBand="0" w:oddHBand="0" w:evenHBand="0" w:firstRowFirstColumn="0" w:firstRowLastColumn="0" w:lastRowFirstColumn="0" w:lastRowLastColumn="0"/>
            <w:tcW w:w="0" w:type="dxa"/>
            <w:vMerge/>
            <w:hideMark/>
          </w:tcPr>
          <w:p w14:paraId="2420BDBB" w14:textId="77777777" w:rsidR="00826536" w:rsidRPr="007A1075" w:rsidRDefault="00826536" w:rsidP="00A03968">
            <w:pPr>
              <w:pStyle w:val="TableText"/>
            </w:pPr>
          </w:p>
        </w:tc>
        <w:tc>
          <w:tcPr>
            <w:tcW w:w="0" w:type="dxa"/>
            <w:vMerge/>
            <w:hideMark/>
          </w:tcPr>
          <w:p w14:paraId="171B6BB4" w14:textId="77777777" w:rsidR="00A03968" w:rsidRPr="007A1075" w:rsidRDefault="00A03968" w:rsidP="00A03968">
            <w:pPr>
              <w:pStyle w:val="TableText"/>
              <w:cnfStyle w:val="000000000000" w:firstRow="0" w:lastRow="0" w:firstColumn="0" w:lastColumn="0" w:oddVBand="0" w:evenVBand="0" w:oddHBand="0" w:evenHBand="0" w:firstRowFirstColumn="0" w:firstRowLastColumn="0" w:lastRowFirstColumn="0" w:lastRowLastColumn="0"/>
            </w:pPr>
          </w:p>
        </w:tc>
        <w:tc>
          <w:tcPr>
            <w:tcW w:w="0" w:type="dxa"/>
            <w:vMerge/>
            <w:hideMark/>
          </w:tcPr>
          <w:p w14:paraId="11FF97C8" w14:textId="77777777" w:rsidR="00A03968" w:rsidRPr="007A1075" w:rsidRDefault="00A03968" w:rsidP="00A03968">
            <w:pPr>
              <w:pStyle w:val="TableText"/>
              <w:cnfStyle w:val="000000000000" w:firstRow="0" w:lastRow="0" w:firstColumn="0" w:lastColumn="0" w:oddVBand="0" w:evenVBand="0" w:oddHBand="0" w:evenHBand="0" w:firstRowFirstColumn="0" w:firstRowLastColumn="0" w:lastRowFirstColumn="0" w:lastRowLastColumn="0"/>
            </w:pPr>
          </w:p>
        </w:tc>
        <w:tc>
          <w:tcPr>
            <w:tcW w:w="0" w:type="dxa"/>
            <w:tcBorders>
              <w:top w:val="single" w:sz="4" w:space="0" w:color="auto"/>
              <w:left w:val="single" w:sz="4" w:space="0" w:color="auto"/>
              <w:bottom w:val="single" w:sz="4" w:space="0" w:color="auto"/>
              <w:right w:val="single" w:sz="4" w:space="0" w:color="auto"/>
            </w:tcBorders>
            <w:noWrap/>
            <w:hideMark/>
          </w:tcPr>
          <w:p w14:paraId="156EA0C3" w14:textId="77777777" w:rsidR="00A03968" w:rsidRPr="007A1075" w:rsidRDefault="00826536" w:rsidP="00A03968">
            <w:pPr>
              <w:pStyle w:val="TableText"/>
              <w:cnfStyle w:val="000000000000" w:firstRow="0" w:lastRow="0" w:firstColumn="0" w:lastColumn="0" w:oddVBand="0" w:evenVBand="0" w:oddHBand="0" w:evenHBand="0" w:firstRowFirstColumn="0" w:firstRowLastColumn="0" w:lastRowFirstColumn="0" w:lastRowLastColumn="0"/>
            </w:pPr>
            <w:r w:rsidRPr="57F92EFB">
              <w:rPr>
                <w:lang w:val="en-NZ"/>
              </w:rPr>
              <w:t>Mental health, wellbeing and self-care</w:t>
            </w:r>
          </w:p>
        </w:tc>
        <w:tc>
          <w:tcPr>
            <w:tcW w:w="0" w:type="dxa"/>
            <w:tcBorders>
              <w:top w:val="single" w:sz="4" w:space="0" w:color="auto"/>
              <w:left w:val="single" w:sz="4" w:space="0" w:color="auto"/>
              <w:bottom w:val="single" w:sz="4" w:space="0" w:color="auto"/>
              <w:right w:val="single" w:sz="4" w:space="0" w:color="auto"/>
            </w:tcBorders>
            <w:noWrap/>
            <w:hideMark/>
          </w:tcPr>
          <w:p w14:paraId="501A08CB" w14:textId="4A629E9A" w:rsidR="00A03968" w:rsidRPr="007A1075" w:rsidRDefault="00A03968" w:rsidP="00A03968">
            <w:pPr>
              <w:pStyle w:val="TableText"/>
              <w:cnfStyle w:val="000000000000" w:firstRow="0" w:lastRow="0" w:firstColumn="0" w:lastColumn="0" w:oddVBand="0" w:evenVBand="0" w:oddHBand="0" w:evenHBand="0" w:firstRowFirstColumn="0" w:firstRowLastColumn="0" w:lastRowFirstColumn="0" w:lastRowLastColumn="0"/>
            </w:pPr>
            <w:r w:rsidRPr="005910F8">
              <w:t>0.84</w:t>
            </w:r>
          </w:p>
        </w:tc>
        <w:tc>
          <w:tcPr>
            <w:tcW w:w="0" w:type="dxa"/>
            <w:tcBorders>
              <w:top w:val="single" w:sz="4" w:space="0" w:color="auto"/>
              <w:left w:val="single" w:sz="4" w:space="0" w:color="auto"/>
              <w:bottom w:val="single" w:sz="4" w:space="0" w:color="auto"/>
              <w:right w:val="single" w:sz="4" w:space="0" w:color="auto"/>
            </w:tcBorders>
            <w:noWrap/>
            <w:hideMark/>
          </w:tcPr>
          <w:p w14:paraId="11D0372E" w14:textId="678234C5" w:rsidR="00A03968" w:rsidRPr="007A1075" w:rsidRDefault="00A03968" w:rsidP="00A03968">
            <w:pPr>
              <w:pStyle w:val="TableText"/>
              <w:cnfStyle w:val="000000000000" w:firstRow="0" w:lastRow="0" w:firstColumn="0" w:lastColumn="0" w:oddVBand="0" w:evenVBand="0" w:oddHBand="0" w:evenHBand="0" w:firstRowFirstColumn="0" w:firstRowLastColumn="0" w:lastRowFirstColumn="0" w:lastRowLastColumn="0"/>
            </w:pPr>
            <w:r w:rsidRPr="005910F8">
              <w:t>175200</w:t>
            </w:r>
          </w:p>
        </w:tc>
        <w:tc>
          <w:tcPr>
            <w:tcW w:w="0" w:type="dxa"/>
            <w:tcBorders>
              <w:top w:val="single" w:sz="4" w:space="0" w:color="auto"/>
              <w:left w:val="single" w:sz="4" w:space="0" w:color="auto"/>
              <w:bottom w:val="single" w:sz="4" w:space="0" w:color="auto"/>
              <w:right w:val="single" w:sz="4" w:space="0" w:color="auto"/>
            </w:tcBorders>
            <w:noWrap/>
            <w:hideMark/>
          </w:tcPr>
          <w:p w14:paraId="7BE1949B" w14:textId="315424D3" w:rsidR="00A03968" w:rsidRPr="007A1075" w:rsidRDefault="00A03968" w:rsidP="00A03968">
            <w:pPr>
              <w:pStyle w:val="TableText"/>
              <w:cnfStyle w:val="000000000000" w:firstRow="0" w:lastRow="0" w:firstColumn="0" w:lastColumn="0" w:oddVBand="0" w:evenVBand="0" w:oddHBand="0" w:evenHBand="0" w:firstRowFirstColumn="0" w:firstRowLastColumn="0" w:lastRowFirstColumn="0" w:lastRowLastColumn="0"/>
            </w:pPr>
            <w:r w:rsidRPr="005910F8">
              <w:t>2</w:t>
            </w:r>
            <w:r>
              <w:t>,</w:t>
            </w:r>
            <w:r w:rsidRPr="005910F8">
              <w:t>040</w:t>
            </w:r>
          </w:p>
        </w:tc>
        <w:tc>
          <w:tcPr>
            <w:tcW w:w="0" w:type="dxa"/>
            <w:tcBorders>
              <w:top w:val="single" w:sz="4" w:space="0" w:color="auto"/>
              <w:left w:val="single" w:sz="4" w:space="0" w:color="auto"/>
              <w:bottom w:val="single" w:sz="4" w:space="0" w:color="auto"/>
              <w:right w:val="single" w:sz="4" w:space="0" w:color="auto"/>
            </w:tcBorders>
            <w:noWrap/>
            <w:hideMark/>
          </w:tcPr>
          <w:p w14:paraId="180F07A8" w14:textId="5DB8B2E6" w:rsidR="00A03968" w:rsidRPr="007A1075" w:rsidRDefault="00A03968" w:rsidP="00A03968">
            <w:pPr>
              <w:pStyle w:val="TableText"/>
              <w:cnfStyle w:val="000000000000" w:firstRow="0" w:lastRow="0" w:firstColumn="0" w:lastColumn="0" w:oddVBand="0" w:evenVBand="0" w:oddHBand="0" w:evenHBand="0" w:firstRowFirstColumn="0" w:firstRowLastColumn="0" w:lastRowFirstColumn="0" w:lastRowLastColumn="0"/>
            </w:pPr>
            <w:r w:rsidRPr="005910F8">
              <w:t>&lt;.001</w:t>
            </w:r>
          </w:p>
        </w:tc>
        <w:tc>
          <w:tcPr>
            <w:tcW w:w="0" w:type="dxa"/>
            <w:tcBorders>
              <w:top w:val="single" w:sz="4" w:space="0" w:color="auto"/>
              <w:left w:val="single" w:sz="4" w:space="0" w:color="auto"/>
              <w:bottom w:val="single" w:sz="4" w:space="0" w:color="auto"/>
              <w:right w:val="single" w:sz="4" w:space="0" w:color="auto"/>
            </w:tcBorders>
            <w:noWrap/>
            <w:hideMark/>
          </w:tcPr>
          <w:p w14:paraId="13A56990" w14:textId="2930DF18" w:rsidR="00A03968" w:rsidRPr="007A1075" w:rsidRDefault="00A03968" w:rsidP="00A03968">
            <w:pPr>
              <w:pStyle w:val="TableText"/>
              <w:cnfStyle w:val="000000000000" w:firstRow="0" w:lastRow="0" w:firstColumn="0" w:lastColumn="0" w:oddVBand="0" w:evenVBand="0" w:oddHBand="0" w:evenHBand="0" w:firstRowFirstColumn="0" w:firstRowLastColumn="0" w:lastRowFirstColumn="0" w:lastRowLastColumn="0"/>
            </w:pPr>
            <w:r w:rsidRPr="005910F8">
              <w:t>55.8% (n=1</w:t>
            </w:r>
            <w:r>
              <w:t>,</w:t>
            </w:r>
            <w:r w:rsidRPr="005910F8">
              <w:t>138)</w:t>
            </w:r>
          </w:p>
        </w:tc>
      </w:tr>
      <w:tr w:rsidR="00E22D67" w:rsidRPr="007A1075" w14:paraId="79BB6A70" w14:textId="77777777" w:rsidTr="6B49CC8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0" w:type="dxa"/>
            <w:vMerge/>
            <w:hideMark/>
          </w:tcPr>
          <w:p w14:paraId="6FEC2EC9" w14:textId="77777777" w:rsidR="00826536" w:rsidRPr="007A1075" w:rsidRDefault="00826536" w:rsidP="00A03968">
            <w:pPr>
              <w:pStyle w:val="TableText"/>
            </w:pPr>
          </w:p>
        </w:tc>
        <w:tc>
          <w:tcPr>
            <w:tcW w:w="0" w:type="dxa"/>
            <w:vMerge/>
            <w:hideMark/>
          </w:tcPr>
          <w:p w14:paraId="52CBBFDE" w14:textId="77777777" w:rsidR="00A03968" w:rsidRPr="007A1075" w:rsidRDefault="00A03968" w:rsidP="00A03968">
            <w:pPr>
              <w:pStyle w:val="TableText"/>
              <w:cnfStyle w:val="000000100000" w:firstRow="0" w:lastRow="0" w:firstColumn="0" w:lastColumn="0" w:oddVBand="0" w:evenVBand="0" w:oddHBand="1" w:evenHBand="0" w:firstRowFirstColumn="0" w:firstRowLastColumn="0" w:lastRowFirstColumn="0" w:lastRowLastColumn="0"/>
            </w:pPr>
          </w:p>
        </w:tc>
        <w:tc>
          <w:tcPr>
            <w:tcW w:w="0" w:type="dxa"/>
            <w:vMerge/>
            <w:hideMark/>
          </w:tcPr>
          <w:p w14:paraId="6D8C8262" w14:textId="77777777" w:rsidR="00A03968" w:rsidRPr="007A1075" w:rsidRDefault="00A03968" w:rsidP="00A03968">
            <w:pPr>
              <w:pStyle w:val="TableText"/>
              <w:cnfStyle w:val="000000100000" w:firstRow="0" w:lastRow="0" w:firstColumn="0" w:lastColumn="0" w:oddVBand="0" w:evenVBand="0" w:oddHBand="1" w:evenHBand="0" w:firstRowFirstColumn="0" w:firstRowLastColumn="0" w:lastRowFirstColumn="0" w:lastRowLastColumn="0"/>
            </w:pPr>
          </w:p>
        </w:tc>
        <w:tc>
          <w:tcPr>
            <w:tcW w:w="0" w:type="dxa"/>
            <w:tcBorders>
              <w:top w:val="single" w:sz="4" w:space="0" w:color="auto"/>
              <w:left w:val="single" w:sz="4" w:space="0" w:color="auto"/>
              <w:bottom w:val="single" w:sz="4" w:space="0" w:color="auto"/>
              <w:right w:val="single" w:sz="4" w:space="0" w:color="auto"/>
            </w:tcBorders>
            <w:noWrap/>
            <w:hideMark/>
          </w:tcPr>
          <w:p w14:paraId="4272E888" w14:textId="77777777" w:rsidR="00A03968" w:rsidRPr="007A1075" w:rsidRDefault="00A03968" w:rsidP="00A03968">
            <w:pPr>
              <w:pStyle w:val="TableText"/>
              <w:cnfStyle w:val="000000100000" w:firstRow="0" w:lastRow="0" w:firstColumn="0" w:lastColumn="0" w:oddVBand="0" w:evenVBand="0" w:oddHBand="1" w:evenHBand="0" w:firstRowFirstColumn="0" w:firstRowLastColumn="0" w:lastRowFirstColumn="0" w:lastRowLastColumn="0"/>
            </w:pPr>
            <w:r w:rsidRPr="007A1075">
              <w:t>Personal and family safety</w:t>
            </w:r>
          </w:p>
        </w:tc>
        <w:tc>
          <w:tcPr>
            <w:tcW w:w="0" w:type="dxa"/>
            <w:tcBorders>
              <w:top w:val="single" w:sz="4" w:space="0" w:color="auto"/>
              <w:left w:val="single" w:sz="4" w:space="0" w:color="auto"/>
              <w:bottom w:val="single" w:sz="4" w:space="0" w:color="auto"/>
              <w:right w:val="single" w:sz="4" w:space="0" w:color="auto"/>
            </w:tcBorders>
            <w:noWrap/>
            <w:hideMark/>
          </w:tcPr>
          <w:p w14:paraId="4D4F77DB" w14:textId="5C1695D7" w:rsidR="00A03968" w:rsidRPr="007A1075" w:rsidRDefault="00A03968" w:rsidP="00A03968">
            <w:pPr>
              <w:pStyle w:val="TableText"/>
              <w:cnfStyle w:val="000000100000" w:firstRow="0" w:lastRow="0" w:firstColumn="0" w:lastColumn="0" w:oddVBand="0" w:evenVBand="0" w:oddHBand="1" w:evenHBand="0" w:firstRowFirstColumn="0" w:firstRowLastColumn="0" w:lastRowFirstColumn="0" w:lastRowLastColumn="0"/>
            </w:pPr>
            <w:r w:rsidRPr="005910F8">
              <w:t>0.97</w:t>
            </w:r>
          </w:p>
        </w:tc>
        <w:tc>
          <w:tcPr>
            <w:tcW w:w="0" w:type="dxa"/>
            <w:tcBorders>
              <w:top w:val="single" w:sz="4" w:space="0" w:color="auto"/>
              <w:left w:val="single" w:sz="4" w:space="0" w:color="auto"/>
              <w:bottom w:val="single" w:sz="4" w:space="0" w:color="auto"/>
              <w:right w:val="single" w:sz="4" w:space="0" w:color="auto"/>
            </w:tcBorders>
            <w:noWrap/>
            <w:hideMark/>
          </w:tcPr>
          <w:p w14:paraId="7CB5ED36" w14:textId="53E89083" w:rsidR="00A03968" w:rsidRPr="007A1075" w:rsidRDefault="00A03968" w:rsidP="00A03968">
            <w:pPr>
              <w:pStyle w:val="TableText"/>
              <w:cnfStyle w:val="000000100000" w:firstRow="0" w:lastRow="0" w:firstColumn="0" w:lastColumn="0" w:oddVBand="0" w:evenVBand="0" w:oddHBand="1" w:evenHBand="0" w:firstRowFirstColumn="0" w:firstRowLastColumn="0" w:lastRowFirstColumn="0" w:lastRowLastColumn="0"/>
            </w:pPr>
            <w:r w:rsidRPr="005910F8">
              <w:t>263998.5</w:t>
            </w:r>
          </w:p>
        </w:tc>
        <w:tc>
          <w:tcPr>
            <w:tcW w:w="0" w:type="dxa"/>
            <w:tcBorders>
              <w:top w:val="single" w:sz="4" w:space="0" w:color="auto"/>
              <w:left w:val="single" w:sz="4" w:space="0" w:color="auto"/>
              <w:bottom w:val="single" w:sz="4" w:space="0" w:color="auto"/>
              <w:right w:val="single" w:sz="4" w:space="0" w:color="auto"/>
            </w:tcBorders>
            <w:noWrap/>
            <w:hideMark/>
          </w:tcPr>
          <w:p w14:paraId="6A5A3CF5" w14:textId="0415841A" w:rsidR="00A03968" w:rsidRPr="007A1075" w:rsidRDefault="00A03968" w:rsidP="00A03968">
            <w:pPr>
              <w:pStyle w:val="TableText"/>
              <w:cnfStyle w:val="000000100000" w:firstRow="0" w:lastRow="0" w:firstColumn="0" w:lastColumn="0" w:oddVBand="0" w:evenVBand="0" w:oddHBand="1" w:evenHBand="0" w:firstRowFirstColumn="0" w:firstRowLastColumn="0" w:lastRowFirstColumn="0" w:lastRowLastColumn="0"/>
            </w:pPr>
            <w:r w:rsidRPr="005910F8">
              <w:t>2</w:t>
            </w:r>
            <w:r>
              <w:t>,</w:t>
            </w:r>
            <w:r w:rsidRPr="005910F8">
              <w:t>669</w:t>
            </w:r>
          </w:p>
        </w:tc>
        <w:tc>
          <w:tcPr>
            <w:tcW w:w="0" w:type="dxa"/>
            <w:tcBorders>
              <w:top w:val="single" w:sz="4" w:space="0" w:color="auto"/>
              <w:left w:val="single" w:sz="4" w:space="0" w:color="auto"/>
              <w:bottom w:val="single" w:sz="4" w:space="0" w:color="auto"/>
              <w:right w:val="single" w:sz="4" w:space="0" w:color="auto"/>
            </w:tcBorders>
            <w:noWrap/>
            <w:hideMark/>
          </w:tcPr>
          <w:p w14:paraId="22E16516" w14:textId="756AF8FC" w:rsidR="00A03968" w:rsidRPr="007A1075" w:rsidRDefault="00A03968" w:rsidP="00A03968">
            <w:pPr>
              <w:pStyle w:val="TableText"/>
              <w:cnfStyle w:val="000000100000" w:firstRow="0" w:lastRow="0" w:firstColumn="0" w:lastColumn="0" w:oddVBand="0" w:evenVBand="0" w:oddHBand="1" w:evenHBand="0" w:firstRowFirstColumn="0" w:firstRowLastColumn="0" w:lastRowFirstColumn="0" w:lastRowLastColumn="0"/>
            </w:pPr>
            <w:r w:rsidRPr="005910F8">
              <w:t>&lt;.001</w:t>
            </w:r>
          </w:p>
        </w:tc>
        <w:tc>
          <w:tcPr>
            <w:tcW w:w="0" w:type="dxa"/>
            <w:tcBorders>
              <w:top w:val="single" w:sz="4" w:space="0" w:color="auto"/>
              <w:left w:val="single" w:sz="4" w:space="0" w:color="auto"/>
              <w:bottom w:val="single" w:sz="4" w:space="0" w:color="auto"/>
              <w:right w:val="single" w:sz="4" w:space="0" w:color="auto"/>
            </w:tcBorders>
            <w:noWrap/>
            <w:hideMark/>
          </w:tcPr>
          <w:p w14:paraId="3BEFCDEA" w14:textId="7E5E5D07" w:rsidR="00A03968" w:rsidRPr="007A1075" w:rsidRDefault="00A03968" w:rsidP="00A03968">
            <w:pPr>
              <w:pStyle w:val="TableText"/>
              <w:cnfStyle w:val="000000100000" w:firstRow="0" w:lastRow="0" w:firstColumn="0" w:lastColumn="0" w:oddVBand="0" w:evenVBand="0" w:oddHBand="1" w:evenHBand="0" w:firstRowFirstColumn="0" w:firstRowLastColumn="0" w:lastRowFirstColumn="0" w:lastRowLastColumn="0"/>
            </w:pPr>
            <w:r w:rsidRPr="005910F8">
              <w:t>59.3% (n=1</w:t>
            </w:r>
            <w:r>
              <w:t>,</w:t>
            </w:r>
            <w:r w:rsidRPr="005910F8">
              <w:t>582)</w:t>
            </w:r>
          </w:p>
        </w:tc>
      </w:tr>
      <w:tr w:rsidR="00E22D67" w:rsidRPr="007A1075" w14:paraId="190B71E9" w14:textId="77777777" w:rsidTr="6B49CC8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cnfStyle w:val="001000000000" w:firstRow="0" w:lastRow="0" w:firstColumn="1" w:lastColumn="0" w:oddVBand="0" w:evenVBand="0" w:oddHBand="0" w:evenHBand="0" w:firstRowFirstColumn="0" w:firstRowLastColumn="0" w:lastRowFirstColumn="0" w:lastRowLastColumn="0"/>
            <w:tcW w:w="0" w:type="dxa"/>
            <w:vMerge/>
            <w:hideMark/>
          </w:tcPr>
          <w:p w14:paraId="25EF4220" w14:textId="77777777" w:rsidR="00826536" w:rsidRPr="007A1075" w:rsidRDefault="00826536" w:rsidP="00A03968">
            <w:pPr>
              <w:pStyle w:val="TableText"/>
            </w:pPr>
          </w:p>
        </w:tc>
        <w:tc>
          <w:tcPr>
            <w:tcW w:w="0" w:type="dxa"/>
            <w:vMerge/>
            <w:hideMark/>
          </w:tcPr>
          <w:p w14:paraId="66C88DC7" w14:textId="77777777" w:rsidR="00A03968" w:rsidRPr="007A1075" w:rsidRDefault="00A03968" w:rsidP="00A03968">
            <w:pPr>
              <w:pStyle w:val="TableText"/>
              <w:cnfStyle w:val="000000000000" w:firstRow="0" w:lastRow="0" w:firstColumn="0" w:lastColumn="0" w:oddVBand="0" w:evenVBand="0" w:oddHBand="0" w:evenHBand="0" w:firstRowFirstColumn="0" w:firstRowLastColumn="0" w:lastRowFirstColumn="0" w:lastRowLastColumn="0"/>
            </w:pPr>
          </w:p>
        </w:tc>
        <w:tc>
          <w:tcPr>
            <w:tcW w:w="0" w:type="dxa"/>
            <w:vMerge w:val="restart"/>
            <w:tcBorders>
              <w:top w:val="single" w:sz="4" w:space="0" w:color="auto"/>
              <w:left w:val="single" w:sz="4" w:space="0" w:color="auto"/>
              <w:bottom w:val="single" w:sz="4" w:space="0" w:color="auto"/>
              <w:right w:val="single" w:sz="4" w:space="0" w:color="auto"/>
            </w:tcBorders>
            <w:hideMark/>
          </w:tcPr>
          <w:p w14:paraId="36F4086D" w14:textId="77777777" w:rsidR="00A03968" w:rsidRPr="007A1075" w:rsidRDefault="00A03968" w:rsidP="00A03968">
            <w:pPr>
              <w:pStyle w:val="TableText"/>
              <w:cnfStyle w:val="000000000000" w:firstRow="0" w:lastRow="0" w:firstColumn="0" w:lastColumn="0" w:oddVBand="0" w:evenVBand="0" w:oddHBand="0" w:evenHBand="0" w:firstRowFirstColumn="0" w:firstRowLastColumn="0" w:lastRowFirstColumn="0" w:lastRowLastColumn="0"/>
            </w:pPr>
            <w:r w:rsidRPr="007A1075">
              <w:t>Goals</w:t>
            </w:r>
          </w:p>
        </w:tc>
        <w:tc>
          <w:tcPr>
            <w:tcW w:w="0" w:type="dxa"/>
            <w:tcBorders>
              <w:top w:val="single" w:sz="4" w:space="0" w:color="auto"/>
              <w:left w:val="single" w:sz="4" w:space="0" w:color="auto"/>
              <w:bottom w:val="single" w:sz="4" w:space="0" w:color="auto"/>
              <w:right w:val="single" w:sz="4" w:space="0" w:color="auto"/>
            </w:tcBorders>
            <w:noWrap/>
            <w:hideMark/>
          </w:tcPr>
          <w:p w14:paraId="4AF3FE1C" w14:textId="77777777" w:rsidR="00A03968" w:rsidRPr="007A1075" w:rsidRDefault="00A03968" w:rsidP="00A03968">
            <w:pPr>
              <w:pStyle w:val="TableText"/>
              <w:cnfStyle w:val="000000000000" w:firstRow="0" w:lastRow="0" w:firstColumn="0" w:lastColumn="0" w:oddVBand="0" w:evenVBand="0" w:oddHBand="0" w:evenHBand="0" w:firstRowFirstColumn="0" w:firstRowLastColumn="0" w:lastRowFirstColumn="0" w:lastRowLastColumn="0"/>
            </w:pPr>
            <w:r w:rsidRPr="007A1075">
              <w:t>Changed behaviours</w:t>
            </w:r>
          </w:p>
        </w:tc>
        <w:tc>
          <w:tcPr>
            <w:tcW w:w="0" w:type="dxa"/>
            <w:tcBorders>
              <w:top w:val="single" w:sz="4" w:space="0" w:color="auto"/>
              <w:left w:val="single" w:sz="4" w:space="0" w:color="auto"/>
              <w:bottom w:val="single" w:sz="4" w:space="0" w:color="auto"/>
              <w:right w:val="single" w:sz="4" w:space="0" w:color="auto"/>
            </w:tcBorders>
            <w:noWrap/>
            <w:hideMark/>
          </w:tcPr>
          <w:p w14:paraId="0D686113" w14:textId="6A2D0BC7" w:rsidR="00A03968" w:rsidRPr="007A1075" w:rsidRDefault="00A03968" w:rsidP="00A03968">
            <w:pPr>
              <w:pStyle w:val="TableText"/>
              <w:cnfStyle w:val="000000000000" w:firstRow="0" w:lastRow="0" w:firstColumn="0" w:lastColumn="0" w:oddVBand="0" w:evenVBand="0" w:oddHBand="0" w:evenHBand="0" w:firstRowFirstColumn="0" w:firstRowLastColumn="0" w:lastRowFirstColumn="0" w:lastRowLastColumn="0"/>
            </w:pPr>
            <w:r w:rsidRPr="005910F8">
              <w:t>0.84</w:t>
            </w:r>
          </w:p>
        </w:tc>
        <w:tc>
          <w:tcPr>
            <w:tcW w:w="0" w:type="dxa"/>
            <w:tcBorders>
              <w:top w:val="single" w:sz="4" w:space="0" w:color="auto"/>
              <w:left w:val="single" w:sz="4" w:space="0" w:color="auto"/>
              <w:bottom w:val="single" w:sz="4" w:space="0" w:color="auto"/>
              <w:right w:val="single" w:sz="4" w:space="0" w:color="auto"/>
            </w:tcBorders>
            <w:noWrap/>
            <w:hideMark/>
          </w:tcPr>
          <w:p w14:paraId="7860D4C4" w14:textId="26657D2F" w:rsidR="00A03968" w:rsidRPr="007A1075" w:rsidRDefault="00A03968" w:rsidP="00A03968">
            <w:pPr>
              <w:pStyle w:val="TableText"/>
              <w:cnfStyle w:val="000000000000" w:firstRow="0" w:lastRow="0" w:firstColumn="0" w:lastColumn="0" w:oddVBand="0" w:evenVBand="0" w:oddHBand="0" w:evenHBand="0" w:firstRowFirstColumn="0" w:firstRowLastColumn="0" w:lastRowFirstColumn="0" w:lastRowLastColumn="0"/>
            </w:pPr>
            <w:r w:rsidRPr="005910F8">
              <w:t>79989</w:t>
            </w:r>
          </w:p>
        </w:tc>
        <w:tc>
          <w:tcPr>
            <w:tcW w:w="0" w:type="dxa"/>
            <w:tcBorders>
              <w:top w:val="single" w:sz="4" w:space="0" w:color="auto"/>
              <w:left w:val="single" w:sz="4" w:space="0" w:color="auto"/>
              <w:bottom w:val="single" w:sz="4" w:space="0" w:color="auto"/>
              <w:right w:val="single" w:sz="4" w:space="0" w:color="auto"/>
            </w:tcBorders>
            <w:noWrap/>
            <w:hideMark/>
          </w:tcPr>
          <w:p w14:paraId="35CF4C41" w14:textId="48799DEE" w:rsidR="00A03968" w:rsidRPr="007A1075" w:rsidRDefault="00A03968" w:rsidP="00A03968">
            <w:pPr>
              <w:pStyle w:val="TableText"/>
              <w:cnfStyle w:val="000000000000" w:firstRow="0" w:lastRow="0" w:firstColumn="0" w:lastColumn="0" w:oddVBand="0" w:evenVBand="0" w:oddHBand="0" w:evenHBand="0" w:firstRowFirstColumn="0" w:firstRowLastColumn="0" w:lastRowFirstColumn="0" w:lastRowLastColumn="0"/>
            </w:pPr>
            <w:r w:rsidRPr="005910F8">
              <w:t>1</w:t>
            </w:r>
            <w:r>
              <w:t>,</w:t>
            </w:r>
            <w:r w:rsidRPr="005910F8">
              <w:t>285</w:t>
            </w:r>
          </w:p>
        </w:tc>
        <w:tc>
          <w:tcPr>
            <w:tcW w:w="0" w:type="dxa"/>
            <w:tcBorders>
              <w:top w:val="single" w:sz="4" w:space="0" w:color="auto"/>
              <w:left w:val="single" w:sz="4" w:space="0" w:color="auto"/>
              <w:bottom w:val="single" w:sz="4" w:space="0" w:color="auto"/>
              <w:right w:val="single" w:sz="4" w:space="0" w:color="auto"/>
            </w:tcBorders>
            <w:noWrap/>
            <w:hideMark/>
          </w:tcPr>
          <w:p w14:paraId="6CAD2690" w14:textId="0922F4C5" w:rsidR="00A03968" w:rsidRPr="007A1075" w:rsidRDefault="00A03968" w:rsidP="00A03968">
            <w:pPr>
              <w:pStyle w:val="TableText"/>
              <w:cnfStyle w:val="000000000000" w:firstRow="0" w:lastRow="0" w:firstColumn="0" w:lastColumn="0" w:oddVBand="0" w:evenVBand="0" w:oddHBand="0" w:evenHBand="0" w:firstRowFirstColumn="0" w:firstRowLastColumn="0" w:lastRowFirstColumn="0" w:lastRowLastColumn="0"/>
            </w:pPr>
            <w:r w:rsidRPr="005910F8">
              <w:t>&lt;.001</w:t>
            </w:r>
          </w:p>
        </w:tc>
        <w:tc>
          <w:tcPr>
            <w:tcW w:w="0" w:type="dxa"/>
            <w:tcBorders>
              <w:top w:val="single" w:sz="4" w:space="0" w:color="auto"/>
              <w:left w:val="single" w:sz="4" w:space="0" w:color="auto"/>
              <w:bottom w:val="single" w:sz="4" w:space="0" w:color="auto"/>
              <w:right w:val="single" w:sz="4" w:space="0" w:color="auto"/>
            </w:tcBorders>
            <w:noWrap/>
            <w:hideMark/>
          </w:tcPr>
          <w:p w14:paraId="49AD510E" w14:textId="42ECB221" w:rsidR="00A03968" w:rsidRPr="007A1075" w:rsidRDefault="00A03968" w:rsidP="00A03968">
            <w:pPr>
              <w:pStyle w:val="TableText"/>
              <w:cnfStyle w:val="000000000000" w:firstRow="0" w:lastRow="0" w:firstColumn="0" w:lastColumn="0" w:oddVBand="0" w:evenVBand="0" w:oddHBand="0" w:evenHBand="0" w:firstRowFirstColumn="0" w:firstRowLastColumn="0" w:lastRowFirstColumn="0" w:lastRowLastColumn="0"/>
            </w:pPr>
            <w:r w:rsidRPr="005910F8">
              <w:t>56.5% (n=726)</w:t>
            </w:r>
          </w:p>
        </w:tc>
      </w:tr>
      <w:tr w:rsidR="00E22D67" w:rsidRPr="007A1075" w14:paraId="44E3B851" w14:textId="77777777" w:rsidTr="6B49CC8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0" w:type="dxa"/>
            <w:vMerge/>
            <w:hideMark/>
          </w:tcPr>
          <w:p w14:paraId="671DB9BB" w14:textId="77777777" w:rsidR="00826536" w:rsidRPr="007A1075" w:rsidRDefault="00826536" w:rsidP="00A03968">
            <w:pPr>
              <w:pStyle w:val="TableText"/>
            </w:pPr>
          </w:p>
        </w:tc>
        <w:tc>
          <w:tcPr>
            <w:tcW w:w="0" w:type="dxa"/>
            <w:vMerge/>
            <w:hideMark/>
          </w:tcPr>
          <w:p w14:paraId="7A6B1CB6" w14:textId="77777777" w:rsidR="00A03968" w:rsidRPr="007A1075" w:rsidRDefault="00A03968" w:rsidP="00A03968">
            <w:pPr>
              <w:pStyle w:val="TableText"/>
              <w:cnfStyle w:val="000000100000" w:firstRow="0" w:lastRow="0" w:firstColumn="0" w:lastColumn="0" w:oddVBand="0" w:evenVBand="0" w:oddHBand="1" w:evenHBand="0" w:firstRowFirstColumn="0" w:firstRowLastColumn="0" w:lastRowFirstColumn="0" w:lastRowLastColumn="0"/>
            </w:pPr>
          </w:p>
        </w:tc>
        <w:tc>
          <w:tcPr>
            <w:tcW w:w="0" w:type="dxa"/>
            <w:vMerge/>
            <w:hideMark/>
          </w:tcPr>
          <w:p w14:paraId="7A3973E4" w14:textId="77777777" w:rsidR="00A03968" w:rsidRPr="007A1075" w:rsidRDefault="00A03968" w:rsidP="00A03968">
            <w:pPr>
              <w:pStyle w:val="TableText"/>
              <w:cnfStyle w:val="000000100000" w:firstRow="0" w:lastRow="0" w:firstColumn="0" w:lastColumn="0" w:oddVBand="0" w:evenVBand="0" w:oddHBand="1" w:evenHBand="0" w:firstRowFirstColumn="0" w:firstRowLastColumn="0" w:lastRowFirstColumn="0" w:lastRowLastColumn="0"/>
            </w:pPr>
          </w:p>
        </w:tc>
        <w:tc>
          <w:tcPr>
            <w:tcW w:w="0" w:type="dxa"/>
            <w:tcBorders>
              <w:top w:val="single" w:sz="4" w:space="0" w:color="auto"/>
              <w:left w:val="single" w:sz="4" w:space="0" w:color="auto"/>
              <w:bottom w:val="single" w:sz="4" w:space="0" w:color="auto"/>
              <w:right w:val="single" w:sz="4" w:space="0" w:color="auto"/>
            </w:tcBorders>
            <w:noWrap/>
            <w:hideMark/>
          </w:tcPr>
          <w:p w14:paraId="091FE2C0" w14:textId="77777777" w:rsidR="00A03968" w:rsidRPr="007A1075" w:rsidRDefault="00A03968" w:rsidP="00A03968">
            <w:pPr>
              <w:pStyle w:val="TableText"/>
              <w:cnfStyle w:val="000000100000" w:firstRow="0" w:lastRow="0" w:firstColumn="0" w:lastColumn="0" w:oddVBand="0" w:evenVBand="0" w:oddHBand="1" w:evenHBand="0" w:firstRowFirstColumn="0" w:firstRowLastColumn="0" w:lastRowFirstColumn="0" w:lastRowLastColumn="0"/>
            </w:pPr>
            <w:r w:rsidRPr="007A1075">
              <w:t>Changed impact of immediate crisis</w:t>
            </w:r>
          </w:p>
        </w:tc>
        <w:tc>
          <w:tcPr>
            <w:tcW w:w="0" w:type="dxa"/>
            <w:tcBorders>
              <w:top w:val="single" w:sz="4" w:space="0" w:color="auto"/>
              <w:left w:val="single" w:sz="4" w:space="0" w:color="auto"/>
              <w:bottom w:val="single" w:sz="4" w:space="0" w:color="auto"/>
              <w:right w:val="single" w:sz="4" w:space="0" w:color="auto"/>
            </w:tcBorders>
            <w:noWrap/>
            <w:hideMark/>
          </w:tcPr>
          <w:p w14:paraId="274A890A" w14:textId="735A9EDC" w:rsidR="00A03968" w:rsidRPr="007A1075" w:rsidRDefault="00A03968" w:rsidP="00A03968">
            <w:pPr>
              <w:pStyle w:val="TableText"/>
              <w:cnfStyle w:val="000000100000" w:firstRow="0" w:lastRow="0" w:firstColumn="0" w:lastColumn="0" w:oddVBand="0" w:evenVBand="0" w:oddHBand="1" w:evenHBand="0" w:firstRowFirstColumn="0" w:firstRowLastColumn="0" w:lastRowFirstColumn="0" w:lastRowLastColumn="0"/>
            </w:pPr>
            <w:r w:rsidRPr="005910F8">
              <w:t>1.3</w:t>
            </w:r>
          </w:p>
        </w:tc>
        <w:tc>
          <w:tcPr>
            <w:tcW w:w="0" w:type="dxa"/>
            <w:tcBorders>
              <w:top w:val="single" w:sz="4" w:space="0" w:color="auto"/>
              <w:left w:val="single" w:sz="4" w:space="0" w:color="auto"/>
              <w:bottom w:val="single" w:sz="4" w:space="0" w:color="auto"/>
              <w:right w:val="single" w:sz="4" w:space="0" w:color="auto"/>
            </w:tcBorders>
            <w:noWrap/>
            <w:hideMark/>
          </w:tcPr>
          <w:p w14:paraId="7177FB54" w14:textId="293B398B" w:rsidR="00A03968" w:rsidRPr="007A1075" w:rsidRDefault="00A03968" w:rsidP="00A03968">
            <w:pPr>
              <w:pStyle w:val="TableText"/>
              <w:cnfStyle w:val="000000100000" w:firstRow="0" w:lastRow="0" w:firstColumn="0" w:lastColumn="0" w:oddVBand="0" w:evenVBand="0" w:oddHBand="1" w:evenHBand="0" w:firstRowFirstColumn="0" w:firstRowLastColumn="0" w:lastRowFirstColumn="0" w:lastRowLastColumn="0"/>
            </w:pPr>
            <w:r w:rsidRPr="005910F8">
              <w:t>29784.5</w:t>
            </w:r>
          </w:p>
        </w:tc>
        <w:tc>
          <w:tcPr>
            <w:tcW w:w="0" w:type="dxa"/>
            <w:tcBorders>
              <w:top w:val="single" w:sz="4" w:space="0" w:color="auto"/>
              <w:left w:val="single" w:sz="4" w:space="0" w:color="auto"/>
              <w:bottom w:val="single" w:sz="4" w:space="0" w:color="auto"/>
              <w:right w:val="single" w:sz="4" w:space="0" w:color="auto"/>
            </w:tcBorders>
            <w:noWrap/>
            <w:hideMark/>
          </w:tcPr>
          <w:p w14:paraId="22F1B649" w14:textId="7CAC8E0C" w:rsidR="00A03968" w:rsidRPr="007A1075" w:rsidRDefault="00A03968" w:rsidP="00A03968">
            <w:pPr>
              <w:pStyle w:val="TableText"/>
              <w:cnfStyle w:val="000000100000" w:firstRow="0" w:lastRow="0" w:firstColumn="0" w:lastColumn="0" w:oddVBand="0" w:evenVBand="0" w:oddHBand="1" w:evenHBand="0" w:firstRowFirstColumn="0" w:firstRowLastColumn="0" w:lastRowFirstColumn="0" w:lastRowLastColumn="0"/>
            </w:pPr>
            <w:r w:rsidRPr="005910F8">
              <w:t>1</w:t>
            </w:r>
            <w:r>
              <w:t>,</w:t>
            </w:r>
            <w:r w:rsidRPr="005910F8">
              <w:t>292</w:t>
            </w:r>
          </w:p>
        </w:tc>
        <w:tc>
          <w:tcPr>
            <w:tcW w:w="0" w:type="dxa"/>
            <w:tcBorders>
              <w:top w:val="single" w:sz="4" w:space="0" w:color="auto"/>
              <w:left w:val="single" w:sz="4" w:space="0" w:color="auto"/>
              <w:bottom w:val="single" w:sz="4" w:space="0" w:color="auto"/>
              <w:right w:val="single" w:sz="4" w:space="0" w:color="auto"/>
            </w:tcBorders>
            <w:noWrap/>
            <w:hideMark/>
          </w:tcPr>
          <w:p w14:paraId="2DEAD03C" w14:textId="11649D18" w:rsidR="00A03968" w:rsidRPr="007A1075" w:rsidRDefault="00A03968" w:rsidP="00A03968">
            <w:pPr>
              <w:pStyle w:val="TableText"/>
              <w:cnfStyle w:val="000000100000" w:firstRow="0" w:lastRow="0" w:firstColumn="0" w:lastColumn="0" w:oddVBand="0" w:evenVBand="0" w:oddHBand="1" w:evenHBand="0" w:firstRowFirstColumn="0" w:firstRowLastColumn="0" w:lastRowFirstColumn="0" w:lastRowLastColumn="0"/>
            </w:pPr>
            <w:r w:rsidRPr="005910F8">
              <w:t>&lt;.001</w:t>
            </w:r>
          </w:p>
        </w:tc>
        <w:tc>
          <w:tcPr>
            <w:tcW w:w="0" w:type="dxa"/>
            <w:tcBorders>
              <w:top w:val="single" w:sz="4" w:space="0" w:color="auto"/>
              <w:left w:val="single" w:sz="4" w:space="0" w:color="auto"/>
              <w:bottom w:val="single" w:sz="4" w:space="0" w:color="auto"/>
              <w:right w:val="single" w:sz="4" w:space="0" w:color="auto"/>
            </w:tcBorders>
            <w:noWrap/>
            <w:hideMark/>
          </w:tcPr>
          <w:p w14:paraId="24434CBD" w14:textId="6FB71F3F" w:rsidR="00A03968" w:rsidRPr="007A1075" w:rsidRDefault="00A03968" w:rsidP="00A03968">
            <w:pPr>
              <w:pStyle w:val="TableText"/>
              <w:cnfStyle w:val="000000100000" w:firstRow="0" w:lastRow="0" w:firstColumn="0" w:lastColumn="0" w:oddVBand="0" w:evenVBand="0" w:oddHBand="1" w:evenHBand="0" w:firstRowFirstColumn="0" w:firstRowLastColumn="0" w:lastRowFirstColumn="0" w:lastRowLastColumn="0"/>
            </w:pPr>
            <w:r w:rsidRPr="005910F8">
              <w:t>72.4% (n=935)</w:t>
            </w:r>
          </w:p>
        </w:tc>
      </w:tr>
      <w:tr w:rsidR="00E22D67" w:rsidRPr="007A1075" w14:paraId="191E9AF0" w14:textId="77777777" w:rsidTr="6B49CC8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cnfStyle w:val="001000000000" w:firstRow="0" w:lastRow="0" w:firstColumn="1" w:lastColumn="0" w:oddVBand="0" w:evenVBand="0" w:oddHBand="0" w:evenHBand="0" w:firstRowFirstColumn="0" w:firstRowLastColumn="0" w:lastRowFirstColumn="0" w:lastRowLastColumn="0"/>
            <w:tcW w:w="0" w:type="dxa"/>
            <w:vMerge/>
            <w:hideMark/>
          </w:tcPr>
          <w:p w14:paraId="6F22C41B" w14:textId="77777777" w:rsidR="00826536" w:rsidRPr="007A1075" w:rsidRDefault="00826536" w:rsidP="00A03968">
            <w:pPr>
              <w:pStyle w:val="TableText"/>
            </w:pPr>
          </w:p>
        </w:tc>
        <w:tc>
          <w:tcPr>
            <w:tcW w:w="0" w:type="dxa"/>
            <w:vMerge/>
            <w:hideMark/>
          </w:tcPr>
          <w:p w14:paraId="23CA20FE" w14:textId="77777777" w:rsidR="00A03968" w:rsidRPr="007A1075" w:rsidRDefault="00A03968" w:rsidP="00A03968">
            <w:pPr>
              <w:pStyle w:val="TableText"/>
              <w:cnfStyle w:val="000000000000" w:firstRow="0" w:lastRow="0" w:firstColumn="0" w:lastColumn="0" w:oddVBand="0" w:evenVBand="0" w:oddHBand="0" w:evenHBand="0" w:firstRowFirstColumn="0" w:firstRowLastColumn="0" w:lastRowFirstColumn="0" w:lastRowLastColumn="0"/>
            </w:pPr>
          </w:p>
        </w:tc>
        <w:tc>
          <w:tcPr>
            <w:tcW w:w="0" w:type="dxa"/>
            <w:vMerge/>
            <w:hideMark/>
          </w:tcPr>
          <w:p w14:paraId="1C607A61" w14:textId="77777777" w:rsidR="00A03968" w:rsidRPr="007A1075" w:rsidRDefault="00A03968" w:rsidP="00A03968">
            <w:pPr>
              <w:pStyle w:val="TableText"/>
              <w:cnfStyle w:val="000000000000" w:firstRow="0" w:lastRow="0" w:firstColumn="0" w:lastColumn="0" w:oddVBand="0" w:evenVBand="0" w:oddHBand="0" w:evenHBand="0" w:firstRowFirstColumn="0" w:firstRowLastColumn="0" w:lastRowFirstColumn="0" w:lastRowLastColumn="0"/>
            </w:pPr>
          </w:p>
        </w:tc>
        <w:tc>
          <w:tcPr>
            <w:tcW w:w="0" w:type="dxa"/>
            <w:tcBorders>
              <w:top w:val="single" w:sz="4" w:space="0" w:color="auto"/>
              <w:left w:val="single" w:sz="4" w:space="0" w:color="auto"/>
              <w:bottom w:val="single" w:sz="4" w:space="0" w:color="auto"/>
              <w:right w:val="single" w:sz="4" w:space="0" w:color="auto"/>
            </w:tcBorders>
            <w:noWrap/>
            <w:hideMark/>
          </w:tcPr>
          <w:p w14:paraId="3C43A75E" w14:textId="77777777" w:rsidR="00A03968" w:rsidRPr="007A1075" w:rsidRDefault="00A03968" w:rsidP="00A03968">
            <w:pPr>
              <w:pStyle w:val="TableText"/>
              <w:cnfStyle w:val="000000000000" w:firstRow="0" w:lastRow="0" w:firstColumn="0" w:lastColumn="0" w:oddVBand="0" w:evenVBand="0" w:oddHBand="0" w:evenHBand="0" w:firstRowFirstColumn="0" w:firstRowLastColumn="0" w:lastRowFirstColumn="0" w:lastRowLastColumn="0"/>
            </w:pPr>
            <w:r w:rsidRPr="007A1075">
              <w:t>Changed knowledge and access to information</w:t>
            </w:r>
          </w:p>
        </w:tc>
        <w:tc>
          <w:tcPr>
            <w:tcW w:w="0" w:type="dxa"/>
            <w:tcBorders>
              <w:top w:val="single" w:sz="4" w:space="0" w:color="auto"/>
              <w:left w:val="single" w:sz="4" w:space="0" w:color="auto"/>
              <w:bottom w:val="single" w:sz="4" w:space="0" w:color="auto"/>
              <w:right w:val="single" w:sz="4" w:space="0" w:color="auto"/>
            </w:tcBorders>
            <w:noWrap/>
            <w:hideMark/>
          </w:tcPr>
          <w:p w14:paraId="0A78899C" w14:textId="4F714492" w:rsidR="00A03968" w:rsidRPr="007A1075" w:rsidRDefault="00A03968" w:rsidP="00A03968">
            <w:pPr>
              <w:pStyle w:val="TableText"/>
              <w:cnfStyle w:val="000000000000" w:firstRow="0" w:lastRow="0" w:firstColumn="0" w:lastColumn="0" w:oddVBand="0" w:evenVBand="0" w:oddHBand="0" w:evenHBand="0" w:firstRowFirstColumn="0" w:firstRowLastColumn="0" w:lastRowFirstColumn="0" w:lastRowLastColumn="0"/>
            </w:pPr>
            <w:r w:rsidRPr="005910F8">
              <w:t>1.17</w:t>
            </w:r>
          </w:p>
        </w:tc>
        <w:tc>
          <w:tcPr>
            <w:tcW w:w="0" w:type="dxa"/>
            <w:tcBorders>
              <w:top w:val="single" w:sz="4" w:space="0" w:color="auto"/>
              <w:left w:val="single" w:sz="4" w:space="0" w:color="auto"/>
              <w:bottom w:val="single" w:sz="4" w:space="0" w:color="auto"/>
              <w:right w:val="single" w:sz="4" w:space="0" w:color="auto"/>
            </w:tcBorders>
            <w:noWrap/>
            <w:hideMark/>
          </w:tcPr>
          <w:p w14:paraId="4D43CB96" w14:textId="5C535F56" w:rsidR="00A03968" w:rsidRPr="007A1075" w:rsidRDefault="00A03968" w:rsidP="00A03968">
            <w:pPr>
              <w:pStyle w:val="TableText"/>
              <w:cnfStyle w:val="000000000000" w:firstRow="0" w:lastRow="0" w:firstColumn="0" w:lastColumn="0" w:oddVBand="0" w:evenVBand="0" w:oddHBand="0" w:evenHBand="0" w:firstRowFirstColumn="0" w:firstRowLastColumn="0" w:lastRowFirstColumn="0" w:lastRowLastColumn="0"/>
            </w:pPr>
            <w:r w:rsidRPr="005910F8">
              <w:t>81270.5</w:t>
            </w:r>
          </w:p>
        </w:tc>
        <w:tc>
          <w:tcPr>
            <w:tcW w:w="0" w:type="dxa"/>
            <w:tcBorders>
              <w:top w:val="single" w:sz="4" w:space="0" w:color="auto"/>
              <w:left w:val="single" w:sz="4" w:space="0" w:color="auto"/>
              <w:bottom w:val="single" w:sz="4" w:space="0" w:color="auto"/>
              <w:right w:val="single" w:sz="4" w:space="0" w:color="auto"/>
            </w:tcBorders>
            <w:noWrap/>
            <w:hideMark/>
          </w:tcPr>
          <w:p w14:paraId="3CE60FE3" w14:textId="6EE98979" w:rsidR="00A03968" w:rsidRPr="007A1075" w:rsidRDefault="00A03968" w:rsidP="00A03968">
            <w:pPr>
              <w:pStyle w:val="TableText"/>
              <w:cnfStyle w:val="000000000000" w:firstRow="0" w:lastRow="0" w:firstColumn="0" w:lastColumn="0" w:oddVBand="0" w:evenVBand="0" w:oddHBand="0" w:evenHBand="0" w:firstRowFirstColumn="0" w:firstRowLastColumn="0" w:lastRowFirstColumn="0" w:lastRowLastColumn="0"/>
            </w:pPr>
            <w:r w:rsidRPr="005910F8">
              <w:t>1</w:t>
            </w:r>
            <w:r>
              <w:t>,</w:t>
            </w:r>
            <w:r w:rsidRPr="005910F8">
              <w:t>813</w:t>
            </w:r>
          </w:p>
        </w:tc>
        <w:tc>
          <w:tcPr>
            <w:tcW w:w="0" w:type="dxa"/>
            <w:tcBorders>
              <w:top w:val="single" w:sz="4" w:space="0" w:color="auto"/>
              <w:left w:val="single" w:sz="4" w:space="0" w:color="auto"/>
              <w:bottom w:val="single" w:sz="4" w:space="0" w:color="auto"/>
              <w:right w:val="single" w:sz="4" w:space="0" w:color="auto"/>
            </w:tcBorders>
            <w:noWrap/>
            <w:hideMark/>
          </w:tcPr>
          <w:p w14:paraId="60FC3B80" w14:textId="640EA81A" w:rsidR="00A03968" w:rsidRPr="007A1075" w:rsidRDefault="00A03968" w:rsidP="00A03968">
            <w:pPr>
              <w:pStyle w:val="TableText"/>
              <w:cnfStyle w:val="000000000000" w:firstRow="0" w:lastRow="0" w:firstColumn="0" w:lastColumn="0" w:oddVBand="0" w:evenVBand="0" w:oddHBand="0" w:evenHBand="0" w:firstRowFirstColumn="0" w:firstRowLastColumn="0" w:lastRowFirstColumn="0" w:lastRowLastColumn="0"/>
            </w:pPr>
            <w:r w:rsidRPr="005910F8">
              <w:t>&lt;.001</w:t>
            </w:r>
          </w:p>
        </w:tc>
        <w:tc>
          <w:tcPr>
            <w:tcW w:w="0" w:type="dxa"/>
            <w:tcBorders>
              <w:top w:val="single" w:sz="4" w:space="0" w:color="auto"/>
              <w:left w:val="single" w:sz="4" w:space="0" w:color="auto"/>
              <w:bottom w:val="single" w:sz="4" w:space="0" w:color="auto"/>
              <w:right w:val="single" w:sz="4" w:space="0" w:color="auto"/>
            </w:tcBorders>
            <w:noWrap/>
            <w:hideMark/>
          </w:tcPr>
          <w:p w14:paraId="478374A4" w14:textId="2BCB5AC3" w:rsidR="00A03968" w:rsidRPr="007A1075" w:rsidRDefault="00A03968" w:rsidP="00A03968">
            <w:pPr>
              <w:pStyle w:val="TableText"/>
              <w:cnfStyle w:val="000000000000" w:firstRow="0" w:lastRow="0" w:firstColumn="0" w:lastColumn="0" w:oddVBand="0" w:evenVBand="0" w:oddHBand="0" w:evenHBand="0" w:firstRowFirstColumn="0" w:firstRowLastColumn="0" w:lastRowFirstColumn="0" w:lastRowLastColumn="0"/>
            </w:pPr>
            <w:r w:rsidRPr="005910F8">
              <w:t>66.6% (n=1</w:t>
            </w:r>
            <w:r>
              <w:t>,</w:t>
            </w:r>
            <w:r w:rsidRPr="005910F8">
              <w:t>208)</w:t>
            </w:r>
          </w:p>
        </w:tc>
      </w:tr>
      <w:tr w:rsidR="00E22D67" w:rsidRPr="007A1075" w14:paraId="7397B8DC" w14:textId="77777777" w:rsidTr="6B49CC8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0" w:type="dxa"/>
            <w:vMerge/>
            <w:hideMark/>
          </w:tcPr>
          <w:p w14:paraId="462A971E" w14:textId="77777777" w:rsidR="00826536" w:rsidRPr="007A1075" w:rsidRDefault="00826536" w:rsidP="00A03968">
            <w:pPr>
              <w:pStyle w:val="TableText"/>
            </w:pPr>
          </w:p>
        </w:tc>
        <w:tc>
          <w:tcPr>
            <w:tcW w:w="0" w:type="dxa"/>
            <w:vMerge/>
            <w:hideMark/>
          </w:tcPr>
          <w:p w14:paraId="6AF440FF" w14:textId="77777777" w:rsidR="00A03968" w:rsidRPr="007A1075" w:rsidRDefault="00A03968" w:rsidP="00A03968">
            <w:pPr>
              <w:pStyle w:val="TableText"/>
              <w:cnfStyle w:val="000000100000" w:firstRow="0" w:lastRow="0" w:firstColumn="0" w:lastColumn="0" w:oddVBand="0" w:evenVBand="0" w:oddHBand="1" w:evenHBand="0" w:firstRowFirstColumn="0" w:firstRowLastColumn="0" w:lastRowFirstColumn="0" w:lastRowLastColumn="0"/>
            </w:pPr>
          </w:p>
        </w:tc>
        <w:tc>
          <w:tcPr>
            <w:tcW w:w="0" w:type="dxa"/>
            <w:vMerge/>
            <w:hideMark/>
          </w:tcPr>
          <w:p w14:paraId="376E7471" w14:textId="77777777" w:rsidR="00A03968" w:rsidRPr="007A1075" w:rsidRDefault="00A03968" w:rsidP="00A03968">
            <w:pPr>
              <w:pStyle w:val="TableText"/>
              <w:cnfStyle w:val="000000100000" w:firstRow="0" w:lastRow="0" w:firstColumn="0" w:lastColumn="0" w:oddVBand="0" w:evenVBand="0" w:oddHBand="1" w:evenHBand="0" w:firstRowFirstColumn="0" w:firstRowLastColumn="0" w:lastRowFirstColumn="0" w:lastRowLastColumn="0"/>
            </w:pPr>
          </w:p>
        </w:tc>
        <w:tc>
          <w:tcPr>
            <w:tcW w:w="0" w:type="dxa"/>
            <w:tcBorders>
              <w:top w:val="single" w:sz="4" w:space="0" w:color="auto"/>
              <w:left w:val="single" w:sz="4" w:space="0" w:color="auto"/>
              <w:bottom w:val="single" w:sz="4" w:space="0" w:color="auto"/>
              <w:right w:val="single" w:sz="4" w:space="0" w:color="auto"/>
            </w:tcBorders>
            <w:noWrap/>
            <w:hideMark/>
          </w:tcPr>
          <w:p w14:paraId="2375EBFE" w14:textId="77777777" w:rsidR="00A03968" w:rsidRPr="007A1075" w:rsidRDefault="00A03968" w:rsidP="00A03968">
            <w:pPr>
              <w:pStyle w:val="TableText"/>
              <w:cnfStyle w:val="000000100000" w:firstRow="0" w:lastRow="0" w:firstColumn="0" w:lastColumn="0" w:oddVBand="0" w:evenVBand="0" w:oddHBand="1" w:evenHBand="0" w:firstRowFirstColumn="0" w:firstRowLastColumn="0" w:lastRowFirstColumn="0" w:lastRowLastColumn="0"/>
            </w:pPr>
            <w:r w:rsidRPr="007A1075">
              <w:t>Changed skills</w:t>
            </w:r>
          </w:p>
        </w:tc>
        <w:tc>
          <w:tcPr>
            <w:tcW w:w="0" w:type="dxa"/>
            <w:tcBorders>
              <w:top w:val="single" w:sz="4" w:space="0" w:color="auto"/>
              <w:left w:val="single" w:sz="4" w:space="0" w:color="auto"/>
              <w:bottom w:val="single" w:sz="4" w:space="0" w:color="auto"/>
              <w:right w:val="single" w:sz="4" w:space="0" w:color="auto"/>
            </w:tcBorders>
            <w:noWrap/>
            <w:hideMark/>
          </w:tcPr>
          <w:p w14:paraId="7DEB3A0C" w14:textId="4AD422E0" w:rsidR="00A03968" w:rsidRPr="007A1075" w:rsidRDefault="00A03968" w:rsidP="00A03968">
            <w:pPr>
              <w:pStyle w:val="TableText"/>
              <w:cnfStyle w:val="000000100000" w:firstRow="0" w:lastRow="0" w:firstColumn="0" w:lastColumn="0" w:oddVBand="0" w:evenVBand="0" w:oddHBand="1" w:evenHBand="0" w:firstRowFirstColumn="0" w:firstRowLastColumn="0" w:lastRowFirstColumn="0" w:lastRowLastColumn="0"/>
            </w:pPr>
            <w:r w:rsidRPr="005910F8">
              <w:t>0.94</w:t>
            </w:r>
          </w:p>
        </w:tc>
        <w:tc>
          <w:tcPr>
            <w:tcW w:w="0" w:type="dxa"/>
            <w:tcBorders>
              <w:top w:val="single" w:sz="4" w:space="0" w:color="auto"/>
              <w:left w:val="single" w:sz="4" w:space="0" w:color="auto"/>
              <w:bottom w:val="single" w:sz="4" w:space="0" w:color="auto"/>
              <w:right w:val="single" w:sz="4" w:space="0" w:color="auto"/>
            </w:tcBorders>
            <w:noWrap/>
            <w:hideMark/>
          </w:tcPr>
          <w:p w14:paraId="441EE934" w14:textId="19B089D6" w:rsidR="00A03968" w:rsidRPr="007A1075" w:rsidRDefault="00A03968" w:rsidP="00A03968">
            <w:pPr>
              <w:pStyle w:val="TableText"/>
              <w:cnfStyle w:val="000000100000" w:firstRow="0" w:lastRow="0" w:firstColumn="0" w:lastColumn="0" w:oddVBand="0" w:evenVBand="0" w:oddHBand="1" w:evenHBand="0" w:firstRowFirstColumn="0" w:firstRowLastColumn="0" w:lastRowFirstColumn="0" w:lastRowLastColumn="0"/>
            </w:pPr>
            <w:r w:rsidRPr="005910F8">
              <w:t>78249</w:t>
            </w:r>
          </w:p>
        </w:tc>
        <w:tc>
          <w:tcPr>
            <w:tcW w:w="0" w:type="dxa"/>
            <w:tcBorders>
              <w:top w:val="single" w:sz="4" w:space="0" w:color="auto"/>
              <w:left w:val="single" w:sz="4" w:space="0" w:color="auto"/>
              <w:bottom w:val="single" w:sz="4" w:space="0" w:color="auto"/>
              <w:right w:val="single" w:sz="4" w:space="0" w:color="auto"/>
            </w:tcBorders>
            <w:noWrap/>
            <w:hideMark/>
          </w:tcPr>
          <w:p w14:paraId="70E539B1" w14:textId="4014ABEC" w:rsidR="00A03968" w:rsidRPr="007A1075" w:rsidRDefault="00A03968" w:rsidP="00A03968">
            <w:pPr>
              <w:pStyle w:val="TableText"/>
              <w:cnfStyle w:val="000000100000" w:firstRow="0" w:lastRow="0" w:firstColumn="0" w:lastColumn="0" w:oddVBand="0" w:evenVBand="0" w:oddHBand="1" w:evenHBand="0" w:firstRowFirstColumn="0" w:firstRowLastColumn="0" w:lastRowFirstColumn="0" w:lastRowLastColumn="0"/>
            </w:pPr>
            <w:r w:rsidRPr="005910F8">
              <w:t>1</w:t>
            </w:r>
            <w:r>
              <w:t>,</w:t>
            </w:r>
            <w:r w:rsidRPr="005910F8">
              <w:t>560</w:t>
            </w:r>
          </w:p>
        </w:tc>
        <w:tc>
          <w:tcPr>
            <w:tcW w:w="0" w:type="dxa"/>
            <w:tcBorders>
              <w:top w:val="single" w:sz="4" w:space="0" w:color="auto"/>
              <w:left w:val="single" w:sz="4" w:space="0" w:color="auto"/>
              <w:bottom w:val="single" w:sz="4" w:space="0" w:color="auto"/>
              <w:right w:val="single" w:sz="4" w:space="0" w:color="auto"/>
            </w:tcBorders>
            <w:noWrap/>
            <w:hideMark/>
          </w:tcPr>
          <w:p w14:paraId="24E33848" w14:textId="346E5E91" w:rsidR="00A03968" w:rsidRPr="007A1075" w:rsidRDefault="00A03968" w:rsidP="00A03968">
            <w:pPr>
              <w:pStyle w:val="TableText"/>
              <w:cnfStyle w:val="000000100000" w:firstRow="0" w:lastRow="0" w:firstColumn="0" w:lastColumn="0" w:oddVBand="0" w:evenVBand="0" w:oddHBand="1" w:evenHBand="0" w:firstRowFirstColumn="0" w:firstRowLastColumn="0" w:lastRowFirstColumn="0" w:lastRowLastColumn="0"/>
            </w:pPr>
            <w:r w:rsidRPr="005910F8">
              <w:t>&lt;.001</w:t>
            </w:r>
          </w:p>
        </w:tc>
        <w:tc>
          <w:tcPr>
            <w:tcW w:w="0" w:type="dxa"/>
            <w:tcBorders>
              <w:top w:val="single" w:sz="4" w:space="0" w:color="auto"/>
              <w:left w:val="single" w:sz="4" w:space="0" w:color="auto"/>
              <w:bottom w:val="single" w:sz="4" w:space="0" w:color="auto"/>
              <w:right w:val="single" w:sz="4" w:space="0" w:color="auto"/>
            </w:tcBorders>
            <w:noWrap/>
            <w:hideMark/>
          </w:tcPr>
          <w:p w14:paraId="3BF2FB19" w14:textId="5F183E3F" w:rsidR="00A03968" w:rsidRPr="007A1075" w:rsidRDefault="00A03968" w:rsidP="00A03968">
            <w:pPr>
              <w:pStyle w:val="TableText"/>
              <w:cnfStyle w:val="000000100000" w:firstRow="0" w:lastRow="0" w:firstColumn="0" w:lastColumn="0" w:oddVBand="0" w:evenVBand="0" w:oddHBand="1" w:evenHBand="0" w:firstRowFirstColumn="0" w:firstRowLastColumn="0" w:lastRowFirstColumn="0" w:lastRowLastColumn="0"/>
            </w:pPr>
            <w:r w:rsidRPr="005910F8">
              <w:t>60.3% (n=941)</w:t>
            </w:r>
          </w:p>
        </w:tc>
      </w:tr>
      <w:tr w:rsidR="00E22D67" w:rsidRPr="007A1075" w14:paraId="5A3B951A" w14:textId="77777777" w:rsidTr="6B49CC8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cnfStyle w:val="001000000000" w:firstRow="0" w:lastRow="0" w:firstColumn="1" w:lastColumn="0" w:oddVBand="0" w:evenVBand="0" w:oddHBand="0" w:evenHBand="0" w:firstRowFirstColumn="0" w:firstRowLastColumn="0" w:lastRowFirstColumn="0" w:lastRowLastColumn="0"/>
            <w:tcW w:w="0" w:type="dxa"/>
            <w:vMerge/>
            <w:hideMark/>
          </w:tcPr>
          <w:p w14:paraId="1E9BB467" w14:textId="77777777" w:rsidR="00826536" w:rsidRPr="007A1075" w:rsidRDefault="00826536" w:rsidP="00A03968">
            <w:pPr>
              <w:pStyle w:val="TableText"/>
            </w:pPr>
          </w:p>
        </w:tc>
        <w:tc>
          <w:tcPr>
            <w:tcW w:w="0" w:type="dxa"/>
            <w:vMerge/>
            <w:hideMark/>
          </w:tcPr>
          <w:p w14:paraId="56649D39" w14:textId="77777777" w:rsidR="00A03968" w:rsidRPr="007A1075" w:rsidRDefault="00A03968" w:rsidP="00A03968">
            <w:pPr>
              <w:pStyle w:val="TableText"/>
              <w:cnfStyle w:val="000000000000" w:firstRow="0" w:lastRow="0" w:firstColumn="0" w:lastColumn="0" w:oddVBand="0" w:evenVBand="0" w:oddHBand="0" w:evenHBand="0" w:firstRowFirstColumn="0" w:firstRowLastColumn="0" w:lastRowFirstColumn="0" w:lastRowLastColumn="0"/>
            </w:pPr>
          </w:p>
        </w:tc>
        <w:tc>
          <w:tcPr>
            <w:tcW w:w="0" w:type="dxa"/>
            <w:vMerge/>
            <w:hideMark/>
          </w:tcPr>
          <w:p w14:paraId="6CF06A52" w14:textId="77777777" w:rsidR="00A03968" w:rsidRPr="007A1075" w:rsidRDefault="00A03968" w:rsidP="00A03968">
            <w:pPr>
              <w:pStyle w:val="TableText"/>
              <w:cnfStyle w:val="000000000000" w:firstRow="0" w:lastRow="0" w:firstColumn="0" w:lastColumn="0" w:oddVBand="0" w:evenVBand="0" w:oddHBand="0" w:evenHBand="0" w:firstRowFirstColumn="0" w:firstRowLastColumn="0" w:lastRowFirstColumn="0" w:lastRowLastColumn="0"/>
            </w:pPr>
          </w:p>
        </w:tc>
        <w:tc>
          <w:tcPr>
            <w:tcW w:w="0" w:type="dxa"/>
            <w:tcBorders>
              <w:top w:val="single" w:sz="4" w:space="0" w:color="auto"/>
              <w:left w:val="single" w:sz="4" w:space="0" w:color="auto"/>
              <w:bottom w:val="single" w:sz="4" w:space="0" w:color="auto"/>
              <w:right w:val="single" w:sz="4" w:space="0" w:color="auto"/>
            </w:tcBorders>
            <w:noWrap/>
            <w:hideMark/>
          </w:tcPr>
          <w:p w14:paraId="5E2BCB17" w14:textId="77777777" w:rsidR="00A03968" w:rsidRPr="007A1075" w:rsidRDefault="00826536" w:rsidP="00A03968">
            <w:pPr>
              <w:pStyle w:val="TableText"/>
              <w:cnfStyle w:val="000000000000" w:firstRow="0" w:lastRow="0" w:firstColumn="0" w:lastColumn="0" w:oddVBand="0" w:evenVBand="0" w:oddHBand="0" w:evenHBand="0" w:firstRowFirstColumn="0" w:firstRowLastColumn="0" w:lastRowFirstColumn="0" w:lastRowLastColumn="0"/>
            </w:pPr>
            <w:r w:rsidRPr="57F92EFB">
              <w:rPr>
                <w:lang w:val="en-NZ"/>
              </w:rPr>
              <w:t>Empowerment, choice and control to make own decisions</w:t>
            </w:r>
          </w:p>
        </w:tc>
        <w:tc>
          <w:tcPr>
            <w:tcW w:w="0" w:type="dxa"/>
            <w:tcBorders>
              <w:top w:val="single" w:sz="4" w:space="0" w:color="auto"/>
              <w:left w:val="single" w:sz="4" w:space="0" w:color="auto"/>
              <w:bottom w:val="single" w:sz="4" w:space="0" w:color="auto"/>
              <w:right w:val="single" w:sz="4" w:space="0" w:color="auto"/>
            </w:tcBorders>
            <w:noWrap/>
            <w:hideMark/>
          </w:tcPr>
          <w:p w14:paraId="511B2292" w14:textId="15ACE2FC" w:rsidR="00A03968" w:rsidRPr="007A1075" w:rsidRDefault="00A03968" w:rsidP="00A03968">
            <w:pPr>
              <w:pStyle w:val="TableText"/>
              <w:cnfStyle w:val="000000000000" w:firstRow="0" w:lastRow="0" w:firstColumn="0" w:lastColumn="0" w:oddVBand="0" w:evenVBand="0" w:oddHBand="0" w:evenHBand="0" w:firstRowFirstColumn="0" w:firstRowLastColumn="0" w:lastRowFirstColumn="0" w:lastRowLastColumn="0"/>
            </w:pPr>
            <w:r w:rsidRPr="005910F8">
              <w:t>1.13</w:t>
            </w:r>
          </w:p>
        </w:tc>
        <w:tc>
          <w:tcPr>
            <w:tcW w:w="0" w:type="dxa"/>
            <w:tcBorders>
              <w:top w:val="single" w:sz="4" w:space="0" w:color="auto"/>
              <w:left w:val="single" w:sz="4" w:space="0" w:color="auto"/>
              <w:bottom w:val="single" w:sz="4" w:space="0" w:color="auto"/>
              <w:right w:val="single" w:sz="4" w:space="0" w:color="auto"/>
            </w:tcBorders>
            <w:noWrap/>
            <w:hideMark/>
          </w:tcPr>
          <w:p w14:paraId="190A267D" w14:textId="3EC9EEAE" w:rsidR="00A03968" w:rsidRPr="007A1075" w:rsidRDefault="00A03968" w:rsidP="00A03968">
            <w:pPr>
              <w:pStyle w:val="TableText"/>
              <w:cnfStyle w:val="000000000000" w:firstRow="0" w:lastRow="0" w:firstColumn="0" w:lastColumn="0" w:oddVBand="0" w:evenVBand="0" w:oddHBand="0" w:evenHBand="0" w:firstRowFirstColumn="0" w:firstRowLastColumn="0" w:lastRowFirstColumn="0" w:lastRowLastColumn="0"/>
            </w:pPr>
            <w:r w:rsidRPr="005910F8">
              <w:t>96379.5</w:t>
            </w:r>
          </w:p>
        </w:tc>
        <w:tc>
          <w:tcPr>
            <w:tcW w:w="0" w:type="dxa"/>
            <w:tcBorders>
              <w:top w:val="single" w:sz="4" w:space="0" w:color="auto"/>
              <w:left w:val="single" w:sz="4" w:space="0" w:color="auto"/>
              <w:bottom w:val="single" w:sz="4" w:space="0" w:color="auto"/>
              <w:right w:val="single" w:sz="4" w:space="0" w:color="auto"/>
            </w:tcBorders>
            <w:noWrap/>
            <w:hideMark/>
          </w:tcPr>
          <w:p w14:paraId="35734F05" w14:textId="6858C07B" w:rsidR="00A03968" w:rsidRPr="007A1075" w:rsidRDefault="00A03968" w:rsidP="00A03968">
            <w:pPr>
              <w:pStyle w:val="TableText"/>
              <w:cnfStyle w:val="000000000000" w:firstRow="0" w:lastRow="0" w:firstColumn="0" w:lastColumn="0" w:oddVBand="0" w:evenVBand="0" w:oddHBand="0" w:evenHBand="0" w:firstRowFirstColumn="0" w:firstRowLastColumn="0" w:lastRowFirstColumn="0" w:lastRowLastColumn="0"/>
            </w:pPr>
            <w:r w:rsidRPr="005910F8">
              <w:t>1</w:t>
            </w:r>
            <w:r>
              <w:t>,</w:t>
            </w:r>
            <w:r w:rsidRPr="005910F8">
              <w:t>881</w:t>
            </w:r>
          </w:p>
        </w:tc>
        <w:tc>
          <w:tcPr>
            <w:tcW w:w="0" w:type="dxa"/>
            <w:tcBorders>
              <w:top w:val="single" w:sz="4" w:space="0" w:color="auto"/>
              <w:left w:val="single" w:sz="4" w:space="0" w:color="auto"/>
              <w:bottom w:val="single" w:sz="4" w:space="0" w:color="auto"/>
              <w:right w:val="single" w:sz="4" w:space="0" w:color="auto"/>
            </w:tcBorders>
            <w:noWrap/>
            <w:hideMark/>
          </w:tcPr>
          <w:p w14:paraId="23AB42D8" w14:textId="07B6C2AC" w:rsidR="00A03968" w:rsidRPr="007A1075" w:rsidRDefault="00A03968" w:rsidP="00A03968">
            <w:pPr>
              <w:pStyle w:val="TableText"/>
              <w:cnfStyle w:val="000000000000" w:firstRow="0" w:lastRow="0" w:firstColumn="0" w:lastColumn="0" w:oddVBand="0" w:evenVBand="0" w:oddHBand="0" w:evenHBand="0" w:firstRowFirstColumn="0" w:firstRowLastColumn="0" w:lastRowFirstColumn="0" w:lastRowLastColumn="0"/>
            </w:pPr>
            <w:r w:rsidRPr="005910F8">
              <w:t>&lt;.001</w:t>
            </w:r>
          </w:p>
        </w:tc>
        <w:tc>
          <w:tcPr>
            <w:tcW w:w="0" w:type="dxa"/>
            <w:tcBorders>
              <w:top w:val="single" w:sz="4" w:space="0" w:color="auto"/>
              <w:left w:val="single" w:sz="4" w:space="0" w:color="auto"/>
              <w:bottom w:val="single" w:sz="4" w:space="0" w:color="auto"/>
              <w:right w:val="single" w:sz="4" w:space="0" w:color="auto"/>
            </w:tcBorders>
            <w:noWrap/>
            <w:hideMark/>
          </w:tcPr>
          <w:p w14:paraId="7C300BA4" w14:textId="04F9F3F5" w:rsidR="00A03968" w:rsidRPr="007A1075" w:rsidRDefault="00A03968" w:rsidP="00A03968">
            <w:pPr>
              <w:pStyle w:val="TableText"/>
              <w:cnfStyle w:val="000000000000" w:firstRow="0" w:lastRow="0" w:firstColumn="0" w:lastColumn="0" w:oddVBand="0" w:evenVBand="0" w:oddHBand="0" w:evenHBand="0" w:firstRowFirstColumn="0" w:firstRowLastColumn="0" w:lastRowFirstColumn="0" w:lastRowLastColumn="0"/>
            </w:pPr>
            <w:r w:rsidRPr="005910F8">
              <w:t>64.3% (n=1</w:t>
            </w:r>
            <w:r>
              <w:t>,</w:t>
            </w:r>
            <w:r w:rsidRPr="005910F8">
              <w:t>209)</w:t>
            </w:r>
          </w:p>
        </w:tc>
      </w:tr>
      <w:tr w:rsidR="00E22D67" w:rsidRPr="007A1075" w14:paraId="68B74AF1" w14:textId="77777777" w:rsidTr="6B49CC8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0" w:type="dxa"/>
            <w:vMerge/>
            <w:hideMark/>
          </w:tcPr>
          <w:p w14:paraId="3AD3F078" w14:textId="77777777" w:rsidR="00826536" w:rsidRPr="007A1075" w:rsidRDefault="00826536" w:rsidP="00A03968">
            <w:pPr>
              <w:pStyle w:val="TableText"/>
            </w:pPr>
          </w:p>
        </w:tc>
        <w:tc>
          <w:tcPr>
            <w:tcW w:w="0" w:type="dxa"/>
            <w:vMerge/>
            <w:hideMark/>
          </w:tcPr>
          <w:p w14:paraId="6FBD0641" w14:textId="77777777" w:rsidR="00A03968" w:rsidRPr="007A1075" w:rsidRDefault="00A03968" w:rsidP="00A03968">
            <w:pPr>
              <w:pStyle w:val="TableText"/>
              <w:cnfStyle w:val="000000100000" w:firstRow="0" w:lastRow="0" w:firstColumn="0" w:lastColumn="0" w:oddVBand="0" w:evenVBand="0" w:oddHBand="1" w:evenHBand="0" w:firstRowFirstColumn="0" w:firstRowLastColumn="0" w:lastRowFirstColumn="0" w:lastRowLastColumn="0"/>
            </w:pPr>
          </w:p>
        </w:tc>
        <w:tc>
          <w:tcPr>
            <w:tcW w:w="0" w:type="dxa"/>
            <w:vMerge/>
            <w:hideMark/>
          </w:tcPr>
          <w:p w14:paraId="41A5E393" w14:textId="77777777" w:rsidR="00A03968" w:rsidRPr="007A1075" w:rsidRDefault="00A03968" w:rsidP="00A03968">
            <w:pPr>
              <w:pStyle w:val="TableText"/>
              <w:cnfStyle w:val="000000100000" w:firstRow="0" w:lastRow="0" w:firstColumn="0" w:lastColumn="0" w:oddVBand="0" w:evenVBand="0" w:oddHBand="1" w:evenHBand="0" w:firstRowFirstColumn="0" w:firstRowLastColumn="0" w:lastRowFirstColumn="0" w:lastRowLastColumn="0"/>
            </w:pPr>
          </w:p>
        </w:tc>
        <w:tc>
          <w:tcPr>
            <w:tcW w:w="0" w:type="dxa"/>
            <w:tcBorders>
              <w:top w:val="single" w:sz="4" w:space="0" w:color="auto"/>
              <w:left w:val="single" w:sz="4" w:space="0" w:color="auto"/>
              <w:bottom w:val="single" w:sz="4" w:space="0" w:color="auto"/>
              <w:right w:val="single" w:sz="4" w:space="0" w:color="auto"/>
            </w:tcBorders>
            <w:noWrap/>
            <w:hideMark/>
          </w:tcPr>
          <w:p w14:paraId="141850E7" w14:textId="77777777" w:rsidR="00A03968" w:rsidRPr="007A1075" w:rsidRDefault="00A03968" w:rsidP="00A03968">
            <w:pPr>
              <w:pStyle w:val="TableText"/>
              <w:cnfStyle w:val="000000100000" w:firstRow="0" w:lastRow="0" w:firstColumn="0" w:lastColumn="0" w:oddVBand="0" w:evenVBand="0" w:oddHBand="1" w:evenHBand="0" w:firstRowFirstColumn="0" w:firstRowLastColumn="0" w:lastRowFirstColumn="0" w:lastRowLastColumn="0"/>
            </w:pPr>
            <w:r w:rsidRPr="007A1075">
              <w:t>Engagement with relevant support services</w:t>
            </w:r>
          </w:p>
        </w:tc>
        <w:tc>
          <w:tcPr>
            <w:tcW w:w="0" w:type="dxa"/>
            <w:tcBorders>
              <w:top w:val="single" w:sz="4" w:space="0" w:color="auto"/>
              <w:left w:val="single" w:sz="4" w:space="0" w:color="auto"/>
              <w:bottom w:val="single" w:sz="4" w:space="0" w:color="auto"/>
              <w:right w:val="single" w:sz="4" w:space="0" w:color="auto"/>
            </w:tcBorders>
            <w:noWrap/>
            <w:hideMark/>
          </w:tcPr>
          <w:p w14:paraId="03E460E0" w14:textId="0A450BFC" w:rsidR="00A03968" w:rsidRPr="007A1075" w:rsidRDefault="00A03968" w:rsidP="00A03968">
            <w:pPr>
              <w:pStyle w:val="TableText"/>
              <w:cnfStyle w:val="000000100000" w:firstRow="0" w:lastRow="0" w:firstColumn="0" w:lastColumn="0" w:oddVBand="0" w:evenVBand="0" w:oddHBand="1" w:evenHBand="0" w:firstRowFirstColumn="0" w:firstRowLastColumn="0" w:lastRowFirstColumn="0" w:lastRowLastColumn="0"/>
            </w:pPr>
            <w:r w:rsidRPr="005910F8">
              <w:t>1.06</w:t>
            </w:r>
          </w:p>
        </w:tc>
        <w:tc>
          <w:tcPr>
            <w:tcW w:w="0" w:type="dxa"/>
            <w:tcBorders>
              <w:top w:val="single" w:sz="4" w:space="0" w:color="auto"/>
              <w:left w:val="single" w:sz="4" w:space="0" w:color="auto"/>
              <w:bottom w:val="single" w:sz="4" w:space="0" w:color="auto"/>
              <w:right w:val="single" w:sz="4" w:space="0" w:color="auto"/>
            </w:tcBorders>
            <w:noWrap/>
            <w:hideMark/>
          </w:tcPr>
          <w:p w14:paraId="6B651244" w14:textId="3881346E" w:rsidR="00A03968" w:rsidRPr="007A1075" w:rsidRDefault="00A03968" w:rsidP="00A03968">
            <w:pPr>
              <w:pStyle w:val="TableText"/>
              <w:cnfStyle w:val="000000100000" w:firstRow="0" w:lastRow="0" w:firstColumn="0" w:lastColumn="0" w:oddVBand="0" w:evenVBand="0" w:oddHBand="1" w:evenHBand="0" w:firstRowFirstColumn="0" w:firstRowLastColumn="0" w:lastRowFirstColumn="0" w:lastRowLastColumn="0"/>
            </w:pPr>
            <w:r w:rsidRPr="005910F8">
              <w:t>53592</w:t>
            </w:r>
          </w:p>
        </w:tc>
        <w:tc>
          <w:tcPr>
            <w:tcW w:w="0" w:type="dxa"/>
            <w:tcBorders>
              <w:top w:val="single" w:sz="4" w:space="0" w:color="auto"/>
              <w:left w:val="single" w:sz="4" w:space="0" w:color="auto"/>
              <w:bottom w:val="single" w:sz="4" w:space="0" w:color="auto"/>
              <w:right w:val="single" w:sz="4" w:space="0" w:color="auto"/>
            </w:tcBorders>
            <w:noWrap/>
            <w:hideMark/>
          </w:tcPr>
          <w:p w14:paraId="1F7AB0F1" w14:textId="00294658" w:rsidR="00A03968" w:rsidRPr="007A1075" w:rsidRDefault="00A03968" w:rsidP="00A03968">
            <w:pPr>
              <w:pStyle w:val="TableText"/>
              <w:cnfStyle w:val="000000100000" w:firstRow="0" w:lastRow="0" w:firstColumn="0" w:lastColumn="0" w:oddVBand="0" w:evenVBand="0" w:oddHBand="1" w:evenHBand="0" w:firstRowFirstColumn="0" w:firstRowLastColumn="0" w:lastRowFirstColumn="0" w:lastRowLastColumn="0"/>
            </w:pPr>
            <w:r w:rsidRPr="005910F8">
              <w:t>1</w:t>
            </w:r>
            <w:r>
              <w:t>,</w:t>
            </w:r>
            <w:r w:rsidRPr="005910F8">
              <w:t>302</w:t>
            </w:r>
          </w:p>
        </w:tc>
        <w:tc>
          <w:tcPr>
            <w:tcW w:w="0" w:type="dxa"/>
            <w:tcBorders>
              <w:top w:val="single" w:sz="4" w:space="0" w:color="auto"/>
              <w:left w:val="single" w:sz="4" w:space="0" w:color="auto"/>
              <w:bottom w:val="single" w:sz="4" w:space="0" w:color="auto"/>
              <w:right w:val="single" w:sz="4" w:space="0" w:color="auto"/>
            </w:tcBorders>
            <w:noWrap/>
            <w:hideMark/>
          </w:tcPr>
          <w:p w14:paraId="40E2D94E" w14:textId="73A38087" w:rsidR="00A03968" w:rsidRPr="007A1075" w:rsidRDefault="00A03968" w:rsidP="00A03968">
            <w:pPr>
              <w:pStyle w:val="TableText"/>
              <w:cnfStyle w:val="000000100000" w:firstRow="0" w:lastRow="0" w:firstColumn="0" w:lastColumn="0" w:oddVBand="0" w:evenVBand="0" w:oddHBand="1" w:evenHBand="0" w:firstRowFirstColumn="0" w:firstRowLastColumn="0" w:lastRowFirstColumn="0" w:lastRowLastColumn="0"/>
            </w:pPr>
            <w:r w:rsidRPr="005910F8">
              <w:t>&lt;.001</w:t>
            </w:r>
          </w:p>
        </w:tc>
        <w:tc>
          <w:tcPr>
            <w:tcW w:w="0" w:type="dxa"/>
            <w:tcBorders>
              <w:top w:val="single" w:sz="4" w:space="0" w:color="auto"/>
              <w:left w:val="single" w:sz="4" w:space="0" w:color="auto"/>
              <w:bottom w:val="single" w:sz="4" w:space="0" w:color="auto"/>
              <w:right w:val="single" w:sz="4" w:space="0" w:color="auto"/>
            </w:tcBorders>
            <w:noWrap/>
            <w:hideMark/>
          </w:tcPr>
          <w:p w14:paraId="59B75150" w14:textId="642F240D" w:rsidR="00A03968" w:rsidRPr="007A1075" w:rsidRDefault="00A03968" w:rsidP="00A03968">
            <w:pPr>
              <w:pStyle w:val="TableText"/>
              <w:cnfStyle w:val="000000100000" w:firstRow="0" w:lastRow="0" w:firstColumn="0" w:lastColumn="0" w:oddVBand="0" w:evenVBand="0" w:oddHBand="1" w:evenHBand="0" w:firstRowFirstColumn="0" w:firstRowLastColumn="0" w:lastRowFirstColumn="0" w:lastRowLastColumn="0"/>
            </w:pPr>
            <w:r w:rsidRPr="005910F8">
              <w:t>61.0% (n=794)</w:t>
            </w:r>
          </w:p>
        </w:tc>
      </w:tr>
      <w:tr w:rsidR="00E22D67" w:rsidRPr="007A1075" w14:paraId="237760A6" w14:textId="77777777" w:rsidTr="6B49CC8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cnfStyle w:val="001000000000" w:firstRow="0" w:lastRow="0" w:firstColumn="1" w:lastColumn="0" w:oddVBand="0" w:evenVBand="0" w:oddHBand="0" w:evenHBand="0" w:firstRowFirstColumn="0" w:firstRowLastColumn="0" w:lastRowFirstColumn="0" w:lastRowLastColumn="0"/>
            <w:tcW w:w="0" w:type="dxa"/>
            <w:vMerge/>
            <w:hideMark/>
          </w:tcPr>
          <w:p w14:paraId="5AC2FA6F" w14:textId="77777777" w:rsidR="00826536" w:rsidRPr="007A1075" w:rsidRDefault="00826536" w:rsidP="00A03968">
            <w:pPr>
              <w:pStyle w:val="TableText"/>
            </w:pPr>
          </w:p>
        </w:tc>
        <w:tc>
          <w:tcPr>
            <w:tcW w:w="0" w:type="dxa"/>
            <w:vMerge w:val="restart"/>
            <w:tcBorders>
              <w:top w:val="single" w:sz="4" w:space="0" w:color="auto"/>
              <w:left w:val="single" w:sz="4" w:space="0" w:color="auto"/>
              <w:bottom w:val="single" w:sz="4" w:space="0" w:color="auto"/>
              <w:right w:val="single" w:sz="4" w:space="0" w:color="auto"/>
            </w:tcBorders>
            <w:hideMark/>
          </w:tcPr>
          <w:p w14:paraId="050E49F9" w14:textId="6E4B0AE9" w:rsidR="00A03968" w:rsidRPr="007A1075" w:rsidRDefault="00A03968" w:rsidP="00A03968">
            <w:pPr>
              <w:pStyle w:val="TableText"/>
              <w:cnfStyle w:val="000000000000" w:firstRow="0" w:lastRow="0" w:firstColumn="0" w:lastColumn="0" w:oddVBand="0" w:evenVBand="0" w:oddHBand="0" w:evenHBand="0" w:firstRowFirstColumn="0" w:firstRowLastColumn="0" w:lastRowFirstColumn="0" w:lastRowLastColumn="0"/>
            </w:pPr>
            <w:r w:rsidRPr="00E73041">
              <w:t>First Nations</w:t>
            </w:r>
          </w:p>
          <w:p w14:paraId="10387A2D" w14:textId="37A9C559" w:rsidR="00A03968" w:rsidRPr="007A1075" w:rsidRDefault="5AA7A646" w:rsidP="00A03968">
            <w:pPr>
              <w:pStyle w:val="TableText"/>
              <w:cnfStyle w:val="000000000000" w:firstRow="0" w:lastRow="0" w:firstColumn="0" w:lastColumn="0" w:oddVBand="0" w:evenVBand="0" w:oddHBand="0" w:evenHBand="0" w:firstRowFirstColumn="0" w:firstRowLastColumn="0" w:lastRowFirstColumn="0" w:lastRowLastColumn="0"/>
              <w:rPr>
                <w:szCs w:val="21"/>
              </w:rPr>
            </w:pPr>
            <w:r>
              <w:t>Males</w:t>
            </w:r>
          </w:p>
        </w:tc>
        <w:tc>
          <w:tcPr>
            <w:tcW w:w="0" w:type="dxa"/>
            <w:vMerge w:val="restart"/>
            <w:tcBorders>
              <w:top w:val="single" w:sz="4" w:space="0" w:color="auto"/>
              <w:left w:val="single" w:sz="4" w:space="0" w:color="auto"/>
              <w:bottom w:val="single" w:sz="4" w:space="0" w:color="auto"/>
              <w:right w:val="single" w:sz="4" w:space="0" w:color="auto"/>
            </w:tcBorders>
            <w:hideMark/>
          </w:tcPr>
          <w:p w14:paraId="61B3C3F9" w14:textId="77777777" w:rsidR="00A03968" w:rsidRPr="007A1075" w:rsidRDefault="00A03968" w:rsidP="00A03968">
            <w:pPr>
              <w:pStyle w:val="TableText"/>
              <w:cnfStyle w:val="000000000000" w:firstRow="0" w:lastRow="0" w:firstColumn="0" w:lastColumn="0" w:oddVBand="0" w:evenVBand="0" w:oddHBand="0" w:evenHBand="0" w:firstRowFirstColumn="0" w:firstRowLastColumn="0" w:lastRowFirstColumn="0" w:lastRowLastColumn="0"/>
            </w:pPr>
            <w:r w:rsidRPr="007A1075">
              <w:t>Circumstances</w:t>
            </w:r>
          </w:p>
        </w:tc>
        <w:tc>
          <w:tcPr>
            <w:tcW w:w="0" w:type="dxa"/>
            <w:tcBorders>
              <w:top w:val="single" w:sz="4" w:space="0" w:color="auto"/>
              <w:left w:val="single" w:sz="4" w:space="0" w:color="auto"/>
              <w:bottom w:val="single" w:sz="4" w:space="0" w:color="auto"/>
              <w:right w:val="single" w:sz="4" w:space="0" w:color="auto"/>
            </w:tcBorders>
            <w:noWrap/>
            <w:hideMark/>
          </w:tcPr>
          <w:p w14:paraId="48720711" w14:textId="77777777" w:rsidR="00A03968" w:rsidRPr="007A1075" w:rsidRDefault="00A03968" w:rsidP="00A03968">
            <w:pPr>
              <w:pStyle w:val="TableText"/>
              <w:cnfStyle w:val="000000000000" w:firstRow="0" w:lastRow="0" w:firstColumn="0" w:lastColumn="0" w:oddVBand="0" w:evenVBand="0" w:oddHBand="0" w:evenHBand="0" w:firstRowFirstColumn="0" w:firstRowLastColumn="0" w:lastRowFirstColumn="0" w:lastRowLastColumn="0"/>
            </w:pPr>
            <w:r w:rsidRPr="007A1075">
              <w:t>Family functioning</w:t>
            </w:r>
          </w:p>
        </w:tc>
        <w:tc>
          <w:tcPr>
            <w:tcW w:w="0" w:type="dxa"/>
            <w:tcBorders>
              <w:top w:val="single" w:sz="4" w:space="0" w:color="auto"/>
              <w:left w:val="single" w:sz="4" w:space="0" w:color="auto"/>
              <w:bottom w:val="single" w:sz="4" w:space="0" w:color="auto"/>
              <w:right w:val="single" w:sz="4" w:space="0" w:color="auto"/>
            </w:tcBorders>
            <w:noWrap/>
            <w:hideMark/>
          </w:tcPr>
          <w:p w14:paraId="5985E852" w14:textId="01313872" w:rsidR="00A03968" w:rsidRPr="007A1075" w:rsidRDefault="00A03968" w:rsidP="00A03968">
            <w:pPr>
              <w:pStyle w:val="TableText"/>
              <w:cnfStyle w:val="000000000000" w:firstRow="0" w:lastRow="0" w:firstColumn="0" w:lastColumn="0" w:oddVBand="0" w:evenVBand="0" w:oddHBand="0" w:evenHBand="0" w:firstRowFirstColumn="0" w:firstRowLastColumn="0" w:lastRowFirstColumn="0" w:lastRowLastColumn="0"/>
            </w:pPr>
            <w:r w:rsidRPr="005910F8">
              <w:t>0.79</w:t>
            </w:r>
          </w:p>
        </w:tc>
        <w:tc>
          <w:tcPr>
            <w:tcW w:w="0" w:type="dxa"/>
            <w:tcBorders>
              <w:top w:val="single" w:sz="4" w:space="0" w:color="auto"/>
              <w:left w:val="single" w:sz="4" w:space="0" w:color="auto"/>
              <w:bottom w:val="single" w:sz="4" w:space="0" w:color="auto"/>
              <w:right w:val="single" w:sz="4" w:space="0" w:color="auto"/>
            </w:tcBorders>
            <w:noWrap/>
            <w:hideMark/>
          </w:tcPr>
          <w:p w14:paraId="012E8722" w14:textId="6C8B7512" w:rsidR="00A03968" w:rsidRPr="007A1075" w:rsidRDefault="00A03968" w:rsidP="00A03968">
            <w:pPr>
              <w:pStyle w:val="TableText"/>
              <w:cnfStyle w:val="000000000000" w:firstRow="0" w:lastRow="0" w:firstColumn="0" w:lastColumn="0" w:oddVBand="0" w:evenVBand="0" w:oddHBand="0" w:evenHBand="0" w:firstRowFirstColumn="0" w:firstRowLastColumn="0" w:lastRowFirstColumn="0" w:lastRowLastColumn="0"/>
            </w:pPr>
            <w:r w:rsidRPr="005910F8">
              <w:t>42048.5</w:t>
            </w:r>
          </w:p>
        </w:tc>
        <w:tc>
          <w:tcPr>
            <w:tcW w:w="0" w:type="dxa"/>
            <w:tcBorders>
              <w:top w:val="single" w:sz="4" w:space="0" w:color="auto"/>
              <w:left w:val="single" w:sz="4" w:space="0" w:color="auto"/>
              <w:bottom w:val="single" w:sz="4" w:space="0" w:color="auto"/>
              <w:right w:val="single" w:sz="4" w:space="0" w:color="auto"/>
            </w:tcBorders>
            <w:noWrap/>
            <w:hideMark/>
          </w:tcPr>
          <w:p w14:paraId="7102C1B2" w14:textId="3C6B45BE" w:rsidR="00A03968" w:rsidRPr="007A1075" w:rsidRDefault="00A03968" w:rsidP="00A03968">
            <w:pPr>
              <w:pStyle w:val="TableText"/>
              <w:cnfStyle w:val="000000000000" w:firstRow="0" w:lastRow="0" w:firstColumn="0" w:lastColumn="0" w:oddVBand="0" w:evenVBand="0" w:oddHBand="0" w:evenHBand="0" w:firstRowFirstColumn="0" w:firstRowLastColumn="0" w:lastRowFirstColumn="0" w:lastRowLastColumn="0"/>
            </w:pPr>
            <w:r w:rsidRPr="005910F8">
              <w:t>964</w:t>
            </w:r>
          </w:p>
        </w:tc>
        <w:tc>
          <w:tcPr>
            <w:tcW w:w="0" w:type="dxa"/>
            <w:tcBorders>
              <w:top w:val="single" w:sz="4" w:space="0" w:color="auto"/>
              <w:left w:val="single" w:sz="4" w:space="0" w:color="auto"/>
              <w:bottom w:val="single" w:sz="4" w:space="0" w:color="auto"/>
              <w:right w:val="single" w:sz="4" w:space="0" w:color="auto"/>
            </w:tcBorders>
            <w:noWrap/>
            <w:hideMark/>
          </w:tcPr>
          <w:p w14:paraId="11CDB929" w14:textId="36731EE2" w:rsidR="00A03968" w:rsidRPr="007A1075" w:rsidRDefault="00A03968" w:rsidP="00A03968">
            <w:pPr>
              <w:pStyle w:val="TableText"/>
              <w:cnfStyle w:val="000000000000" w:firstRow="0" w:lastRow="0" w:firstColumn="0" w:lastColumn="0" w:oddVBand="0" w:evenVBand="0" w:oddHBand="0" w:evenHBand="0" w:firstRowFirstColumn="0" w:firstRowLastColumn="0" w:lastRowFirstColumn="0" w:lastRowLastColumn="0"/>
            </w:pPr>
            <w:r w:rsidRPr="005910F8">
              <w:t>&lt;.001</w:t>
            </w:r>
          </w:p>
        </w:tc>
        <w:tc>
          <w:tcPr>
            <w:tcW w:w="0" w:type="dxa"/>
            <w:tcBorders>
              <w:top w:val="single" w:sz="4" w:space="0" w:color="auto"/>
              <w:left w:val="single" w:sz="4" w:space="0" w:color="auto"/>
              <w:bottom w:val="single" w:sz="4" w:space="0" w:color="auto"/>
              <w:right w:val="single" w:sz="4" w:space="0" w:color="auto"/>
            </w:tcBorders>
            <w:noWrap/>
            <w:hideMark/>
          </w:tcPr>
          <w:p w14:paraId="1C4523B4" w14:textId="0912C147" w:rsidR="00A03968" w:rsidRPr="007A1075" w:rsidRDefault="00A03968" w:rsidP="00A03968">
            <w:pPr>
              <w:pStyle w:val="TableText"/>
              <w:cnfStyle w:val="000000000000" w:firstRow="0" w:lastRow="0" w:firstColumn="0" w:lastColumn="0" w:oddVBand="0" w:evenVBand="0" w:oddHBand="0" w:evenHBand="0" w:firstRowFirstColumn="0" w:firstRowLastColumn="0" w:lastRowFirstColumn="0" w:lastRowLastColumn="0"/>
            </w:pPr>
            <w:r w:rsidRPr="005910F8">
              <w:t>51.6% (n=497)</w:t>
            </w:r>
          </w:p>
        </w:tc>
      </w:tr>
      <w:tr w:rsidR="00E22D67" w:rsidRPr="007A1075" w14:paraId="2B3567DA" w14:textId="77777777" w:rsidTr="6B49CC8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0" w:type="dxa"/>
            <w:vMerge/>
            <w:hideMark/>
          </w:tcPr>
          <w:p w14:paraId="35C372E2" w14:textId="77777777" w:rsidR="00826536" w:rsidRPr="007A1075" w:rsidRDefault="00826536" w:rsidP="00A03968">
            <w:pPr>
              <w:pStyle w:val="TableText"/>
            </w:pPr>
          </w:p>
        </w:tc>
        <w:tc>
          <w:tcPr>
            <w:tcW w:w="0" w:type="dxa"/>
            <w:vMerge/>
            <w:hideMark/>
          </w:tcPr>
          <w:p w14:paraId="261B12E2" w14:textId="77777777" w:rsidR="00A03968" w:rsidRPr="007A1075" w:rsidRDefault="00A03968" w:rsidP="00A03968">
            <w:pPr>
              <w:pStyle w:val="TableText"/>
              <w:cnfStyle w:val="000000100000" w:firstRow="0" w:lastRow="0" w:firstColumn="0" w:lastColumn="0" w:oddVBand="0" w:evenVBand="0" w:oddHBand="1" w:evenHBand="0" w:firstRowFirstColumn="0" w:firstRowLastColumn="0" w:lastRowFirstColumn="0" w:lastRowLastColumn="0"/>
            </w:pPr>
          </w:p>
        </w:tc>
        <w:tc>
          <w:tcPr>
            <w:tcW w:w="0" w:type="dxa"/>
            <w:vMerge/>
            <w:hideMark/>
          </w:tcPr>
          <w:p w14:paraId="77B02637" w14:textId="77777777" w:rsidR="00A03968" w:rsidRPr="007A1075" w:rsidRDefault="00A03968" w:rsidP="00A03968">
            <w:pPr>
              <w:pStyle w:val="TableText"/>
              <w:cnfStyle w:val="000000100000" w:firstRow="0" w:lastRow="0" w:firstColumn="0" w:lastColumn="0" w:oddVBand="0" w:evenVBand="0" w:oddHBand="1" w:evenHBand="0" w:firstRowFirstColumn="0" w:firstRowLastColumn="0" w:lastRowFirstColumn="0" w:lastRowLastColumn="0"/>
            </w:pPr>
          </w:p>
        </w:tc>
        <w:tc>
          <w:tcPr>
            <w:tcW w:w="0" w:type="dxa"/>
            <w:tcBorders>
              <w:top w:val="single" w:sz="4" w:space="0" w:color="auto"/>
              <w:left w:val="single" w:sz="4" w:space="0" w:color="auto"/>
              <w:bottom w:val="single" w:sz="4" w:space="0" w:color="auto"/>
              <w:right w:val="single" w:sz="4" w:space="0" w:color="auto"/>
            </w:tcBorders>
            <w:noWrap/>
            <w:hideMark/>
          </w:tcPr>
          <w:p w14:paraId="3BB6FC13" w14:textId="77777777" w:rsidR="00A03968" w:rsidRPr="007A1075" w:rsidRDefault="00826536" w:rsidP="00A03968">
            <w:pPr>
              <w:pStyle w:val="TableText"/>
              <w:cnfStyle w:val="000000100000" w:firstRow="0" w:lastRow="0" w:firstColumn="0" w:lastColumn="0" w:oddVBand="0" w:evenVBand="0" w:oddHBand="1" w:evenHBand="0" w:firstRowFirstColumn="0" w:firstRowLastColumn="0" w:lastRowFirstColumn="0" w:lastRowLastColumn="0"/>
            </w:pPr>
            <w:r w:rsidRPr="57F92EFB">
              <w:rPr>
                <w:lang w:val="en-NZ"/>
              </w:rPr>
              <w:t>Mental health, wellbeing and self-care</w:t>
            </w:r>
          </w:p>
        </w:tc>
        <w:tc>
          <w:tcPr>
            <w:tcW w:w="0" w:type="dxa"/>
            <w:tcBorders>
              <w:top w:val="single" w:sz="4" w:space="0" w:color="auto"/>
              <w:left w:val="single" w:sz="4" w:space="0" w:color="auto"/>
              <w:bottom w:val="single" w:sz="4" w:space="0" w:color="auto"/>
              <w:right w:val="single" w:sz="4" w:space="0" w:color="auto"/>
            </w:tcBorders>
            <w:noWrap/>
            <w:hideMark/>
          </w:tcPr>
          <w:p w14:paraId="75F1348C" w14:textId="32BA53A0" w:rsidR="00A03968" w:rsidRPr="007A1075" w:rsidRDefault="00A03968" w:rsidP="00A03968">
            <w:pPr>
              <w:pStyle w:val="TableText"/>
              <w:cnfStyle w:val="000000100000" w:firstRow="0" w:lastRow="0" w:firstColumn="0" w:lastColumn="0" w:oddVBand="0" w:evenVBand="0" w:oddHBand="1" w:evenHBand="0" w:firstRowFirstColumn="0" w:firstRowLastColumn="0" w:lastRowFirstColumn="0" w:lastRowLastColumn="0"/>
            </w:pPr>
            <w:r w:rsidRPr="005910F8">
              <w:t>0.84</w:t>
            </w:r>
          </w:p>
        </w:tc>
        <w:tc>
          <w:tcPr>
            <w:tcW w:w="0" w:type="dxa"/>
            <w:tcBorders>
              <w:top w:val="single" w:sz="4" w:space="0" w:color="auto"/>
              <w:left w:val="single" w:sz="4" w:space="0" w:color="auto"/>
              <w:bottom w:val="single" w:sz="4" w:space="0" w:color="auto"/>
              <w:right w:val="single" w:sz="4" w:space="0" w:color="auto"/>
            </w:tcBorders>
            <w:noWrap/>
            <w:hideMark/>
          </w:tcPr>
          <w:p w14:paraId="4179E249" w14:textId="3B12B9F8" w:rsidR="00A03968" w:rsidRPr="007A1075" w:rsidRDefault="00A03968" w:rsidP="00A03968">
            <w:pPr>
              <w:pStyle w:val="TableText"/>
              <w:cnfStyle w:val="000000100000" w:firstRow="0" w:lastRow="0" w:firstColumn="0" w:lastColumn="0" w:oddVBand="0" w:evenVBand="0" w:oddHBand="1" w:evenHBand="0" w:firstRowFirstColumn="0" w:firstRowLastColumn="0" w:lastRowFirstColumn="0" w:lastRowLastColumn="0"/>
            </w:pPr>
            <w:r w:rsidRPr="005910F8">
              <w:t>41919.5</w:t>
            </w:r>
          </w:p>
        </w:tc>
        <w:tc>
          <w:tcPr>
            <w:tcW w:w="0" w:type="dxa"/>
            <w:tcBorders>
              <w:top w:val="single" w:sz="4" w:space="0" w:color="auto"/>
              <w:left w:val="single" w:sz="4" w:space="0" w:color="auto"/>
              <w:bottom w:val="single" w:sz="4" w:space="0" w:color="auto"/>
              <w:right w:val="single" w:sz="4" w:space="0" w:color="auto"/>
            </w:tcBorders>
            <w:noWrap/>
            <w:hideMark/>
          </w:tcPr>
          <w:p w14:paraId="7BEAD512" w14:textId="24079B25" w:rsidR="00A03968" w:rsidRPr="007A1075" w:rsidRDefault="00A03968" w:rsidP="00A03968">
            <w:pPr>
              <w:pStyle w:val="TableText"/>
              <w:cnfStyle w:val="000000100000" w:firstRow="0" w:lastRow="0" w:firstColumn="0" w:lastColumn="0" w:oddVBand="0" w:evenVBand="0" w:oddHBand="1" w:evenHBand="0" w:firstRowFirstColumn="0" w:firstRowLastColumn="0" w:lastRowFirstColumn="0" w:lastRowLastColumn="0"/>
            </w:pPr>
            <w:r w:rsidRPr="005910F8">
              <w:t>973</w:t>
            </w:r>
          </w:p>
        </w:tc>
        <w:tc>
          <w:tcPr>
            <w:tcW w:w="0" w:type="dxa"/>
            <w:tcBorders>
              <w:top w:val="single" w:sz="4" w:space="0" w:color="auto"/>
              <w:left w:val="single" w:sz="4" w:space="0" w:color="auto"/>
              <w:bottom w:val="single" w:sz="4" w:space="0" w:color="auto"/>
              <w:right w:val="single" w:sz="4" w:space="0" w:color="auto"/>
            </w:tcBorders>
            <w:noWrap/>
            <w:hideMark/>
          </w:tcPr>
          <w:p w14:paraId="7AFD0979" w14:textId="35717F41" w:rsidR="00A03968" w:rsidRPr="007A1075" w:rsidRDefault="00A03968" w:rsidP="00A03968">
            <w:pPr>
              <w:pStyle w:val="TableText"/>
              <w:cnfStyle w:val="000000100000" w:firstRow="0" w:lastRow="0" w:firstColumn="0" w:lastColumn="0" w:oddVBand="0" w:evenVBand="0" w:oddHBand="1" w:evenHBand="0" w:firstRowFirstColumn="0" w:firstRowLastColumn="0" w:lastRowFirstColumn="0" w:lastRowLastColumn="0"/>
            </w:pPr>
            <w:r w:rsidRPr="005910F8">
              <w:t>&lt;.001</w:t>
            </w:r>
          </w:p>
        </w:tc>
        <w:tc>
          <w:tcPr>
            <w:tcW w:w="0" w:type="dxa"/>
            <w:tcBorders>
              <w:top w:val="single" w:sz="4" w:space="0" w:color="auto"/>
              <w:left w:val="single" w:sz="4" w:space="0" w:color="auto"/>
              <w:bottom w:val="single" w:sz="4" w:space="0" w:color="auto"/>
              <w:right w:val="single" w:sz="4" w:space="0" w:color="auto"/>
            </w:tcBorders>
            <w:noWrap/>
            <w:hideMark/>
          </w:tcPr>
          <w:p w14:paraId="58616390" w14:textId="4F23DFBC" w:rsidR="00A03968" w:rsidRPr="007A1075" w:rsidRDefault="00A03968" w:rsidP="00A03968">
            <w:pPr>
              <w:pStyle w:val="TableText"/>
              <w:cnfStyle w:val="000000100000" w:firstRow="0" w:lastRow="0" w:firstColumn="0" w:lastColumn="0" w:oddVBand="0" w:evenVBand="0" w:oddHBand="1" w:evenHBand="0" w:firstRowFirstColumn="0" w:firstRowLastColumn="0" w:lastRowFirstColumn="0" w:lastRowLastColumn="0"/>
            </w:pPr>
            <w:r w:rsidRPr="005910F8">
              <w:t>53.5% (n=521)</w:t>
            </w:r>
          </w:p>
        </w:tc>
      </w:tr>
      <w:tr w:rsidR="00E22D67" w:rsidRPr="007A1075" w14:paraId="37EE5134" w14:textId="77777777" w:rsidTr="6B49CC8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cnfStyle w:val="001000000000" w:firstRow="0" w:lastRow="0" w:firstColumn="1" w:lastColumn="0" w:oddVBand="0" w:evenVBand="0" w:oddHBand="0" w:evenHBand="0" w:firstRowFirstColumn="0" w:firstRowLastColumn="0" w:lastRowFirstColumn="0" w:lastRowLastColumn="0"/>
            <w:tcW w:w="0" w:type="dxa"/>
            <w:vMerge/>
            <w:hideMark/>
          </w:tcPr>
          <w:p w14:paraId="3ADDD62F" w14:textId="77777777" w:rsidR="00826536" w:rsidRPr="007A1075" w:rsidRDefault="00826536" w:rsidP="00A03968">
            <w:pPr>
              <w:pStyle w:val="TableText"/>
            </w:pPr>
          </w:p>
        </w:tc>
        <w:tc>
          <w:tcPr>
            <w:tcW w:w="0" w:type="dxa"/>
            <w:vMerge/>
            <w:hideMark/>
          </w:tcPr>
          <w:p w14:paraId="6B6EA78E" w14:textId="77777777" w:rsidR="00A03968" w:rsidRPr="007A1075" w:rsidRDefault="00A03968" w:rsidP="00A03968">
            <w:pPr>
              <w:pStyle w:val="TableText"/>
              <w:cnfStyle w:val="000000000000" w:firstRow="0" w:lastRow="0" w:firstColumn="0" w:lastColumn="0" w:oddVBand="0" w:evenVBand="0" w:oddHBand="0" w:evenHBand="0" w:firstRowFirstColumn="0" w:firstRowLastColumn="0" w:lastRowFirstColumn="0" w:lastRowLastColumn="0"/>
            </w:pPr>
          </w:p>
        </w:tc>
        <w:tc>
          <w:tcPr>
            <w:tcW w:w="0" w:type="dxa"/>
            <w:vMerge/>
            <w:hideMark/>
          </w:tcPr>
          <w:p w14:paraId="0F1EF4AA" w14:textId="77777777" w:rsidR="00A03968" w:rsidRPr="007A1075" w:rsidRDefault="00A03968" w:rsidP="00A03968">
            <w:pPr>
              <w:pStyle w:val="TableText"/>
              <w:cnfStyle w:val="000000000000" w:firstRow="0" w:lastRow="0" w:firstColumn="0" w:lastColumn="0" w:oddVBand="0" w:evenVBand="0" w:oddHBand="0" w:evenHBand="0" w:firstRowFirstColumn="0" w:firstRowLastColumn="0" w:lastRowFirstColumn="0" w:lastRowLastColumn="0"/>
            </w:pPr>
          </w:p>
        </w:tc>
        <w:tc>
          <w:tcPr>
            <w:tcW w:w="0" w:type="dxa"/>
            <w:tcBorders>
              <w:top w:val="single" w:sz="4" w:space="0" w:color="auto"/>
              <w:left w:val="single" w:sz="4" w:space="0" w:color="auto"/>
              <w:bottom w:val="single" w:sz="4" w:space="0" w:color="auto"/>
              <w:right w:val="single" w:sz="4" w:space="0" w:color="auto"/>
            </w:tcBorders>
            <w:noWrap/>
            <w:hideMark/>
          </w:tcPr>
          <w:p w14:paraId="319CDDD3" w14:textId="77777777" w:rsidR="00A03968" w:rsidRPr="007A1075" w:rsidRDefault="00A03968" w:rsidP="00A03968">
            <w:pPr>
              <w:pStyle w:val="TableText"/>
              <w:cnfStyle w:val="000000000000" w:firstRow="0" w:lastRow="0" w:firstColumn="0" w:lastColumn="0" w:oddVBand="0" w:evenVBand="0" w:oddHBand="0" w:evenHBand="0" w:firstRowFirstColumn="0" w:firstRowLastColumn="0" w:lastRowFirstColumn="0" w:lastRowLastColumn="0"/>
            </w:pPr>
            <w:r w:rsidRPr="007A1075">
              <w:t>Personal and family safety</w:t>
            </w:r>
          </w:p>
        </w:tc>
        <w:tc>
          <w:tcPr>
            <w:tcW w:w="0" w:type="dxa"/>
            <w:tcBorders>
              <w:top w:val="single" w:sz="4" w:space="0" w:color="auto"/>
              <w:left w:val="single" w:sz="4" w:space="0" w:color="auto"/>
              <w:bottom w:val="single" w:sz="4" w:space="0" w:color="auto"/>
              <w:right w:val="single" w:sz="4" w:space="0" w:color="auto"/>
            </w:tcBorders>
            <w:noWrap/>
            <w:hideMark/>
          </w:tcPr>
          <w:p w14:paraId="69F6A6BD" w14:textId="3A13BDBF" w:rsidR="00A03968" w:rsidRPr="007A1075" w:rsidRDefault="00A03968" w:rsidP="00A03968">
            <w:pPr>
              <w:pStyle w:val="TableText"/>
              <w:cnfStyle w:val="000000000000" w:firstRow="0" w:lastRow="0" w:firstColumn="0" w:lastColumn="0" w:oddVBand="0" w:evenVBand="0" w:oddHBand="0" w:evenHBand="0" w:firstRowFirstColumn="0" w:firstRowLastColumn="0" w:lastRowFirstColumn="0" w:lastRowLastColumn="0"/>
            </w:pPr>
            <w:r w:rsidRPr="005910F8">
              <w:t>0.8</w:t>
            </w:r>
          </w:p>
        </w:tc>
        <w:tc>
          <w:tcPr>
            <w:tcW w:w="0" w:type="dxa"/>
            <w:tcBorders>
              <w:top w:val="single" w:sz="4" w:space="0" w:color="auto"/>
              <w:left w:val="single" w:sz="4" w:space="0" w:color="auto"/>
              <w:bottom w:val="single" w:sz="4" w:space="0" w:color="auto"/>
              <w:right w:val="single" w:sz="4" w:space="0" w:color="auto"/>
            </w:tcBorders>
            <w:noWrap/>
            <w:hideMark/>
          </w:tcPr>
          <w:p w14:paraId="36679E9E" w14:textId="4CA9C4D5" w:rsidR="00A03968" w:rsidRPr="007A1075" w:rsidRDefault="00A03968" w:rsidP="00A03968">
            <w:pPr>
              <w:pStyle w:val="TableText"/>
              <w:cnfStyle w:val="000000000000" w:firstRow="0" w:lastRow="0" w:firstColumn="0" w:lastColumn="0" w:oddVBand="0" w:evenVBand="0" w:oddHBand="0" w:evenHBand="0" w:firstRowFirstColumn="0" w:firstRowLastColumn="0" w:lastRowFirstColumn="0" w:lastRowLastColumn="0"/>
            </w:pPr>
            <w:r w:rsidRPr="005910F8">
              <w:t>45588</w:t>
            </w:r>
          </w:p>
        </w:tc>
        <w:tc>
          <w:tcPr>
            <w:tcW w:w="0" w:type="dxa"/>
            <w:tcBorders>
              <w:top w:val="single" w:sz="4" w:space="0" w:color="auto"/>
              <w:left w:val="single" w:sz="4" w:space="0" w:color="auto"/>
              <w:bottom w:val="single" w:sz="4" w:space="0" w:color="auto"/>
              <w:right w:val="single" w:sz="4" w:space="0" w:color="auto"/>
            </w:tcBorders>
            <w:noWrap/>
            <w:hideMark/>
          </w:tcPr>
          <w:p w14:paraId="403CD3D6" w14:textId="0C3E6E33" w:rsidR="00A03968" w:rsidRPr="007A1075" w:rsidRDefault="00A03968" w:rsidP="00A03968">
            <w:pPr>
              <w:pStyle w:val="TableText"/>
              <w:cnfStyle w:val="000000000000" w:firstRow="0" w:lastRow="0" w:firstColumn="0" w:lastColumn="0" w:oddVBand="0" w:evenVBand="0" w:oddHBand="0" w:evenHBand="0" w:firstRowFirstColumn="0" w:firstRowLastColumn="0" w:lastRowFirstColumn="0" w:lastRowLastColumn="0"/>
            </w:pPr>
            <w:r w:rsidRPr="005910F8">
              <w:t>1</w:t>
            </w:r>
            <w:r>
              <w:t>,</w:t>
            </w:r>
            <w:r w:rsidRPr="005910F8">
              <w:t>001</w:t>
            </w:r>
          </w:p>
        </w:tc>
        <w:tc>
          <w:tcPr>
            <w:tcW w:w="0" w:type="dxa"/>
            <w:tcBorders>
              <w:top w:val="single" w:sz="4" w:space="0" w:color="auto"/>
              <w:left w:val="single" w:sz="4" w:space="0" w:color="auto"/>
              <w:bottom w:val="single" w:sz="4" w:space="0" w:color="auto"/>
              <w:right w:val="single" w:sz="4" w:space="0" w:color="auto"/>
            </w:tcBorders>
            <w:noWrap/>
            <w:hideMark/>
          </w:tcPr>
          <w:p w14:paraId="78979AAC" w14:textId="51DC37B4" w:rsidR="00A03968" w:rsidRPr="007A1075" w:rsidRDefault="00A03968" w:rsidP="00A03968">
            <w:pPr>
              <w:pStyle w:val="TableText"/>
              <w:cnfStyle w:val="000000000000" w:firstRow="0" w:lastRow="0" w:firstColumn="0" w:lastColumn="0" w:oddVBand="0" w:evenVBand="0" w:oddHBand="0" w:evenHBand="0" w:firstRowFirstColumn="0" w:firstRowLastColumn="0" w:lastRowFirstColumn="0" w:lastRowLastColumn="0"/>
            </w:pPr>
            <w:r w:rsidRPr="005910F8">
              <w:t>&lt;.001</w:t>
            </w:r>
          </w:p>
        </w:tc>
        <w:tc>
          <w:tcPr>
            <w:tcW w:w="0" w:type="dxa"/>
            <w:tcBorders>
              <w:top w:val="single" w:sz="4" w:space="0" w:color="auto"/>
              <w:left w:val="single" w:sz="4" w:space="0" w:color="auto"/>
              <w:bottom w:val="single" w:sz="4" w:space="0" w:color="auto"/>
              <w:right w:val="single" w:sz="4" w:space="0" w:color="auto"/>
            </w:tcBorders>
            <w:noWrap/>
            <w:hideMark/>
          </w:tcPr>
          <w:p w14:paraId="6B15A1D5" w14:textId="45A67C00" w:rsidR="00A03968" w:rsidRPr="007A1075" w:rsidRDefault="00A03968" w:rsidP="00A03968">
            <w:pPr>
              <w:pStyle w:val="TableText"/>
              <w:cnfStyle w:val="000000000000" w:firstRow="0" w:lastRow="0" w:firstColumn="0" w:lastColumn="0" w:oddVBand="0" w:evenVBand="0" w:oddHBand="0" w:evenHBand="0" w:firstRowFirstColumn="0" w:firstRowLastColumn="0" w:lastRowFirstColumn="0" w:lastRowLastColumn="0"/>
            </w:pPr>
            <w:r w:rsidRPr="005910F8">
              <w:t>50.0% (n=500)</w:t>
            </w:r>
          </w:p>
        </w:tc>
      </w:tr>
      <w:tr w:rsidR="00E22D67" w:rsidRPr="007A1075" w14:paraId="1D5E1915" w14:textId="77777777" w:rsidTr="6B49CC8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0" w:type="dxa"/>
            <w:vMerge/>
            <w:hideMark/>
          </w:tcPr>
          <w:p w14:paraId="4CAE163A" w14:textId="77777777" w:rsidR="00826536" w:rsidRPr="007A1075" w:rsidRDefault="00826536" w:rsidP="00A03968">
            <w:pPr>
              <w:pStyle w:val="TableText"/>
            </w:pPr>
          </w:p>
        </w:tc>
        <w:tc>
          <w:tcPr>
            <w:tcW w:w="0" w:type="dxa"/>
            <w:vMerge/>
            <w:hideMark/>
          </w:tcPr>
          <w:p w14:paraId="4D977CD8" w14:textId="77777777" w:rsidR="00A03968" w:rsidRPr="007A1075" w:rsidRDefault="00A03968" w:rsidP="00A03968">
            <w:pPr>
              <w:pStyle w:val="TableText"/>
              <w:cnfStyle w:val="000000100000" w:firstRow="0" w:lastRow="0" w:firstColumn="0" w:lastColumn="0" w:oddVBand="0" w:evenVBand="0" w:oddHBand="1" w:evenHBand="0" w:firstRowFirstColumn="0" w:firstRowLastColumn="0" w:lastRowFirstColumn="0" w:lastRowLastColumn="0"/>
            </w:pPr>
          </w:p>
        </w:tc>
        <w:tc>
          <w:tcPr>
            <w:tcW w:w="0" w:type="dxa"/>
            <w:vMerge w:val="restart"/>
            <w:tcBorders>
              <w:top w:val="single" w:sz="4" w:space="0" w:color="auto"/>
              <w:left w:val="single" w:sz="4" w:space="0" w:color="auto"/>
              <w:bottom w:val="single" w:sz="4" w:space="0" w:color="auto"/>
              <w:right w:val="single" w:sz="4" w:space="0" w:color="auto"/>
            </w:tcBorders>
            <w:hideMark/>
          </w:tcPr>
          <w:p w14:paraId="479D5923" w14:textId="77777777" w:rsidR="00A03968" w:rsidRPr="007A1075" w:rsidRDefault="00A03968" w:rsidP="00A03968">
            <w:pPr>
              <w:pStyle w:val="TableText"/>
              <w:cnfStyle w:val="000000100000" w:firstRow="0" w:lastRow="0" w:firstColumn="0" w:lastColumn="0" w:oddVBand="0" w:evenVBand="0" w:oddHBand="1" w:evenHBand="0" w:firstRowFirstColumn="0" w:firstRowLastColumn="0" w:lastRowFirstColumn="0" w:lastRowLastColumn="0"/>
            </w:pPr>
            <w:r w:rsidRPr="007A1075">
              <w:t>Goals</w:t>
            </w:r>
          </w:p>
        </w:tc>
        <w:tc>
          <w:tcPr>
            <w:tcW w:w="0" w:type="dxa"/>
            <w:tcBorders>
              <w:top w:val="single" w:sz="4" w:space="0" w:color="auto"/>
              <w:left w:val="single" w:sz="4" w:space="0" w:color="auto"/>
              <w:bottom w:val="single" w:sz="4" w:space="0" w:color="auto"/>
              <w:right w:val="single" w:sz="4" w:space="0" w:color="auto"/>
            </w:tcBorders>
            <w:noWrap/>
            <w:hideMark/>
          </w:tcPr>
          <w:p w14:paraId="7A71786A" w14:textId="77777777" w:rsidR="00A03968" w:rsidRPr="007A1075" w:rsidRDefault="00A03968" w:rsidP="00A03968">
            <w:pPr>
              <w:pStyle w:val="TableText"/>
              <w:cnfStyle w:val="000000100000" w:firstRow="0" w:lastRow="0" w:firstColumn="0" w:lastColumn="0" w:oddVBand="0" w:evenVBand="0" w:oddHBand="1" w:evenHBand="0" w:firstRowFirstColumn="0" w:firstRowLastColumn="0" w:lastRowFirstColumn="0" w:lastRowLastColumn="0"/>
            </w:pPr>
            <w:r w:rsidRPr="007A1075">
              <w:t>Changed behaviours</w:t>
            </w:r>
          </w:p>
        </w:tc>
        <w:tc>
          <w:tcPr>
            <w:tcW w:w="0" w:type="dxa"/>
            <w:tcBorders>
              <w:top w:val="single" w:sz="4" w:space="0" w:color="auto"/>
              <w:left w:val="single" w:sz="4" w:space="0" w:color="auto"/>
              <w:bottom w:val="single" w:sz="4" w:space="0" w:color="auto"/>
              <w:right w:val="single" w:sz="4" w:space="0" w:color="auto"/>
            </w:tcBorders>
            <w:noWrap/>
            <w:hideMark/>
          </w:tcPr>
          <w:p w14:paraId="6E257F81" w14:textId="76ACDF9E" w:rsidR="00A03968" w:rsidRPr="007A1075" w:rsidRDefault="00A03968" w:rsidP="00A03968">
            <w:pPr>
              <w:pStyle w:val="TableText"/>
              <w:cnfStyle w:val="000000100000" w:firstRow="0" w:lastRow="0" w:firstColumn="0" w:lastColumn="0" w:oddVBand="0" w:evenVBand="0" w:oddHBand="1" w:evenHBand="0" w:firstRowFirstColumn="0" w:firstRowLastColumn="0" w:lastRowFirstColumn="0" w:lastRowLastColumn="0"/>
            </w:pPr>
            <w:r w:rsidRPr="005910F8">
              <w:t>0.97</w:t>
            </w:r>
          </w:p>
        </w:tc>
        <w:tc>
          <w:tcPr>
            <w:tcW w:w="0" w:type="dxa"/>
            <w:tcBorders>
              <w:top w:val="single" w:sz="4" w:space="0" w:color="auto"/>
              <w:left w:val="single" w:sz="4" w:space="0" w:color="auto"/>
              <w:bottom w:val="single" w:sz="4" w:space="0" w:color="auto"/>
              <w:right w:val="single" w:sz="4" w:space="0" w:color="auto"/>
            </w:tcBorders>
            <w:noWrap/>
            <w:hideMark/>
          </w:tcPr>
          <w:p w14:paraId="2F996197" w14:textId="153B7B75" w:rsidR="00A03968" w:rsidRPr="007A1075" w:rsidRDefault="00A03968" w:rsidP="00A03968">
            <w:pPr>
              <w:pStyle w:val="TableText"/>
              <w:cnfStyle w:val="000000100000" w:firstRow="0" w:lastRow="0" w:firstColumn="0" w:lastColumn="0" w:oddVBand="0" w:evenVBand="0" w:oddHBand="1" w:evenHBand="0" w:firstRowFirstColumn="0" w:firstRowLastColumn="0" w:lastRowFirstColumn="0" w:lastRowLastColumn="0"/>
            </w:pPr>
            <w:r w:rsidRPr="005910F8">
              <w:t>34023</w:t>
            </w:r>
          </w:p>
        </w:tc>
        <w:tc>
          <w:tcPr>
            <w:tcW w:w="0" w:type="dxa"/>
            <w:tcBorders>
              <w:top w:val="single" w:sz="4" w:space="0" w:color="auto"/>
              <w:left w:val="single" w:sz="4" w:space="0" w:color="auto"/>
              <w:bottom w:val="single" w:sz="4" w:space="0" w:color="auto"/>
              <w:right w:val="single" w:sz="4" w:space="0" w:color="auto"/>
            </w:tcBorders>
            <w:noWrap/>
            <w:hideMark/>
          </w:tcPr>
          <w:p w14:paraId="2A419CB9" w14:textId="4F88ED4A" w:rsidR="00A03968" w:rsidRPr="007A1075" w:rsidRDefault="00A03968" w:rsidP="00A03968">
            <w:pPr>
              <w:pStyle w:val="TableText"/>
              <w:cnfStyle w:val="000000100000" w:firstRow="0" w:lastRow="0" w:firstColumn="0" w:lastColumn="0" w:oddVBand="0" w:evenVBand="0" w:oddHBand="1" w:evenHBand="0" w:firstRowFirstColumn="0" w:firstRowLastColumn="0" w:lastRowFirstColumn="0" w:lastRowLastColumn="0"/>
            </w:pPr>
            <w:r w:rsidRPr="005910F8">
              <w:t>948</w:t>
            </w:r>
          </w:p>
        </w:tc>
        <w:tc>
          <w:tcPr>
            <w:tcW w:w="0" w:type="dxa"/>
            <w:tcBorders>
              <w:top w:val="single" w:sz="4" w:space="0" w:color="auto"/>
              <w:left w:val="single" w:sz="4" w:space="0" w:color="auto"/>
              <w:bottom w:val="single" w:sz="4" w:space="0" w:color="auto"/>
              <w:right w:val="single" w:sz="4" w:space="0" w:color="auto"/>
            </w:tcBorders>
            <w:noWrap/>
            <w:hideMark/>
          </w:tcPr>
          <w:p w14:paraId="322627E5" w14:textId="5F881243" w:rsidR="00A03968" w:rsidRPr="007A1075" w:rsidRDefault="00A03968" w:rsidP="00A03968">
            <w:pPr>
              <w:pStyle w:val="TableText"/>
              <w:cnfStyle w:val="000000100000" w:firstRow="0" w:lastRow="0" w:firstColumn="0" w:lastColumn="0" w:oddVBand="0" w:evenVBand="0" w:oddHBand="1" w:evenHBand="0" w:firstRowFirstColumn="0" w:firstRowLastColumn="0" w:lastRowFirstColumn="0" w:lastRowLastColumn="0"/>
            </w:pPr>
            <w:r w:rsidRPr="005910F8">
              <w:t>&lt;.001</w:t>
            </w:r>
          </w:p>
        </w:tc>
        <w:tc>
          <w:tcPr>
            <w:tcW w:w="0" w:type="dxa"/>
            <w:tcBorders>
              <w:top w:val="single" w:sz="4" w:space="0" w:color="auto"/>
              <w:left w:val="single" w:sz="4" w:space="0" w:color="auto"/>
              <w:bottom w:val="single" w:sz="4" w:space="0" w:color="auto"/>
              <w:right w:val="single" w:sz="4" w:space="0" w:color="auto"/>
            </w:tcBorders>
            <w:noWrap/>
            <w:hideMark/>
          </w:tcPr>
          <w:p w14:paraId="7CD548FD" w14:textId="3F98B2A6" w:rsidR="00A03968" w:rsidRPr="007A1075" w:rsidRDefault="00A03968" w:rsidP="00A03968">
            <w:pPr>
              <w:pStyle w:val="TableText"/>
              <w:cnfStyle w:val="000000100000" w:firstRow="0" w:lastRow="0" w:firstColumn="0" w:lastColumn="0" w:oddVBand="0" w:evenVBand="0" w:oddHBand="1" w:evenHBand="0" w:firstRowFirstColumn="0" w:firstRowLastColumn="0" w:lastRowFirstColumn="0" w:lastRowLastColumn="0"/>
            </w:pPr>
            <w:r w:rsidRPr="005910F8">
              <w:t>57.5% (n=545)</w:t>
            </w:r>
          </w:p>
        </w:tc>
      </w:tr>
      <w:tr w:rsidR="00E22D67" w:rsidRPr="007A1075" w14:paraId="685E5574" w14:textId="77777777" w:rsidTr="6B49CC8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cnfStyle w:val="001000000000" w:firstRow="0" w:lastRow="0" w:firstColumn="1" w:lastColumn="0" w:oddVBand="0" w:evenVBand="0" w:oddHBand="0" w:evenHBand="0" w:firstRowFirstColumn="0" w:firstRowLastColumn="0" w:lastRowFirstColumn="0" w:lastRowLastColumn="0"/>
            <w:tcW w:w="0" w:type="dxa"/>
            <w:vMerge/>
            <w:hideMark/>
          </w:tcPr>
          <w:p w14:paraId="3DF5082E" w14:textId="77777777" w:rsidR="00826536" w:rsidRPr="007A1075" w:rsidRDefault="00826536" w:rsidP="00A03968">
            <w:pPr>
              <w:pStyle w:val="TableText"/>
            </w:pPr>
          </w:p>
        </w:tc>
        <w:tc>
          <w:tcPr>
            <w:tcW w:w="0" w:type="dxa"/>
            <w:vMerge/>
            <w:hideMark/>
          </w:tcPr>
          <w:p w14:paraId="7C47A679" w14:textId="77777777" w:rsidR="00A03968" w:rsidRPr="007A1075" w:rsidRDefault="00A03968" w:rsidP="00A03968">
            <w:pPr>
              <w:pStyle w:val="TableText"/>
              <w:cnfStyle w:val="000000000000" w:firstRow="0" w:lastRow="0" w:firstColumn="0" w:lastColumn="0" w:oddVBand="0" w:evenVBand="0" w:oddHBand="0" w:evenHBand="0" w:firstRowFirstColumn="0" w:firstRowLastColumn="0" w:lastRowFirstColumn="0" w:lastRowLastColumn="0"/>
            </w:pPr>
          </w:p>
        </w:tc>
        <w:tc>
          <w:tcPr>
            <w:tcW w:w="0" w:type="dxa"/>
            <w:vMerge/>
            <w:hideMark/>
          </w:tcPr>
          <w:p w14:paraId="63CA6106" w14:textId="77777777" w:rsidR="00A03968" w:rsidRPr="007A1075" w:rsidRDefault="00A03968" w:rsidP="00A03968">
            <w:pPr>
              <w:pStyle w:val="TableText"/>
              <w:cnfStyle w:val="000000000000" w:firstRow="0" w:lastRow="0" w:firstColumn="0" w:lastColumn="0" w:oddVBand="0" w:evenVBand="0" w:oddHBand="0" w:evenHBand="0" w:firstRowFirstColumn="0" w:firstRowLastColumn="0" w:lastRowFirstColumn="0" w:lastRowLastColumn="0"/>
            </w:pPr>
          </w:p>
        </w:tc>
        <w:tc>
          <w:tcPr>
            <w:tcW w:w="0" w:type="dxa"/>
            <w:tcBorders>
              <w:top w:val="single" w:sz="4" w:space="0" w:color="auto"/>
              <w:left w:val="single" w:sz="4" w:space="0" w:color="auto"/>
              <w:bottom w:val="single" w:sz="4" w:space="0" w:color="auto"/>
              <w:right w:val="single" w:sz="4" w:space="0" w:color="auto"/>
            </w:tcBorders>
            <w:noWrap/>
            <w:hideMark/>
          </w:tcPr>
          <w:p w14:paraId="65F900C3" w14:textId="77777777" w:rsidR="00A03968" w:rsidRPr="007A1075" w:rsidRDefault="00A03968" w:rsidP="00A03968">
            <w:pPr>
              <w:pStyle w:val="TableText"/>
              <w:cnfStyle w:val="000000000000" w:firstRow="0" w:lastRow="0" w:firstColumn="0" w:lastColumn="0" w:oddVBand="0" w:evenVBand="0" w:oddHBand="0" w:evenHBand="0" w:firstRowFirstColumn="0" w:firstRowLastColumn="0" w:lastRowFirstColumn="0" w:lastRowLastColumn="0"/>
            </w:pPr>
            <w:r w:rsidRPr="007A1075">
              <w:t>Changed impact of immediate crisis</w:t>
            </w:r>
          </w:p>
        </w:tc>
        <w:tc>
          <w:tcPr>
            <w:tcW w:w="0" w:type="dxa"/>
            <w:tcBorders>
              <w:top w:val="single" w:sz="4" w:space="0" w:color="auto"/>
              <w:left w:val="single" w:sz="4" w:space="0" w:color="auto"/>
              <w:bottom w:val="single" w:sz="4" w:space="0" w:color="auto"/>
              <w:right w:val="single" w:sz="4" w:space="0" w:color="auto"/>
            </w:tcBorders>
            <w:noWrap/>
            <w:hideMark/>
          </w:tcPr>
          <w:p w14:paraId="1C9F3406" w14:textId="0774C1DB" w:rsidR="00A03968" w:rsidRPr="007A1075" w:rsidRDefault="00A03968" w:rsidP="00A03968">
            <w:pPr>
              <w:pStyle w:val="TableText"/>
              <w:cnfStyle w:val="000000000000" w:firstRow="0" w:lastRow="0" w:firstColumn="0" w:lastColumn="0" w:oddVBand="0" w:evenVBand="0" w:oddHBand="0" w:evenHBand="0" w:firstRowFirstColumn="0" w:firstRowLastColumn="0" w:lastRowFirstColumn="0" w:lastRowLastColumn="0"/>
            </w:pPr>
            <w:r w:rsidRPr="005910F8">
              <w:t>1.03</w:t>
            </w:r>
          </w:p>
        </w:tc>
        <w:tc>
          <w:tcPr>
            <w:tcW w:w="0" w:type="dxa"/>
            <w:tcBorders>
              <w:top w:val="single" w:sz="4" w:space="0" w:color="auto"/>
              <w:left w:val="single" w:sz="4" w:space="0" w:color="auto"/>
              <w:bottom w:val="single" w:sz="4" w:space="0" w:color="auto"/>
              <w:right w:val="single" w:sz="4" w:space="0" w:color="auto"/>
            </w:tcBorders>
            <w:noWrap/>
            <w:hideMark/>
          </w:tcPr>
          <w:p w14:paraId="229B9556" w14:textId="493BBC68" w:rsidR="00A03968" w:rsidRPr="007A1075" w:rsidRDefault="00A03968" w:rsidP="00A03968">
            <w:pPr>
              <w:pStyle w:val="TableText"/>
              <w:cnfStyle w:val="000000000000" w:firstRow="0" w:lastRow="0" w:firstColumn="0" w:lastColumn="0" w:oddVBand="0" w:evenVBand="0" w:oddHBand="0" w:evenHBand="0" w:firstRowFirstColumn="0" w:firstRowLastColumn="0" w:lastRowFirstColumn="0" w:lastRowLastColumn="0"/>
            </w:pPr>
            <w:r w:rsidRPr="005910F8">
              <w:t>3918.5</w:t>
            </w:r>
          </w:p>
        </w:tc>
        <w:tc>
          <w:tcPr>
            <w:tcW w:w="0" w:type="dxa"/>
            <w:tcBorders>
              <w:top w:val="single" w:sz="4" w:space="0" w:color="auto"/>
              <w:left w:val="single" w:sz="4" w:space="0" w:color="auto"/>
              <w:bottom w:val="single" w:sz="4" w:space="0" w:color="auto"/>
              <w:right w:val="single" w:sz="4" w:space="0" w:color="auto"/>
            </w:tcBorders>
            <w:noWrap/>
            <w:hideMark/>
          </w:tcPr>
          <w:p w14:paraId="45BCBED6" w14:textId="0A101B2A" w:rsidR="00A03968" w:rsidRPr="007A1075" w:rsidRDefault="00A03968" w:rsidP="00A03968">
            <w:pPr>
              <w:pStyle w:val="TableText"/>
              <w:cnfStyle w:val="000000000000" w:firstRow="0" w:lastRow="0" w:firstColumn="0" w:lastColumn="0" w:oddVBand="0" w:evenVBand="0" w:oddHBand="0" w:evenHBand="0" w:firstRowFirstColumn="0" w:firstRowLastColumn="0" w:lastRowFirstColumn="0" w:lastRowLastColumn="0"/>
            </w:pPr>
            <w:r w:rsidRPr="005910F8">
              <w:t>370</w:t>
            </w:r>
          </w:p>
        </w:tc>
        <w:tc>
          <w:tcPr>
            <w:tcW w:w="0" w:type="dxa"/>
            <w:tcBorders>
              <w:top w:val="single" w:sz="4" w:space="0" w:color="auto"/>
              <w:left w:val="single" w:sz="4" w:space="0" w:color="auto"/>
              <w:bottom w:val="single" w:sz="4" w:space="0" w:color="auto"/>
              <w:right w:val="single" w:sz="4" w:space="0" w:color="auto"/>
            </w:tcBorders>
            <w:noWrap/>
            <w:hideMark/>
          </w:tcPr>
          <w:p w14:paraId="74F1F33A" w14:textId="2FE4D32A" w:rsidR="00A03968" w:rsidRPr="007A1075" w:rsidRDefault="00A03968" w:rsidP="00A03968">
            <w:pPr>
              <w:pStyle w:val="TableText"/>
              <w:cnfStyle w:val="000000000000" w:firstRow="0" w:lastRow="0" w:firstColumn="0" w:lastColumn="0" w:oddVBand="0" w:evenVBand="0" w:oddHBand="0" w:evenHBand="0" w:firstRowFirstColumn="0" w:firstRowLastColumn="0" w:lastRowFirstColumn="0" w:lastRowLastColumn="0"/>
            </w:pPr>
            <w:r w:rsidRPr="005910F8">
              <w:t>&lt;.001</w:t>
            </w:r>
          </w:p>
        </w:tc>
        <w:tc>
          <w:tcPr>
            <w:tcW w:w="0" w:type="dxa"/>
            <w:tcBorders>
              <w:top w:val="single" w:sz="4" w:space="0" w:color="auto"/>
              <w:left w:val="single" w:sz="4" w:space="0" w:color="auto"/>
              <w:bottom w:val="single" w:sz="4" w:space="0" w:color="auto"/>
              <w:right w:val="single" w:sz="4" w:space="0" w:color="auto"/>
            </w:tcBorders>
            <w:noWrap/>
            <w:hideMark/>
          </w:tcPr>
          <w:p w14:paraId="010CEFF6" w14:textId="3C89D412" w:rsidR="00A03968" w:rsidRPr="007A1075" w:rsidRDefault="00A03968" w:rsidP="00A03968">
            <w:pPr>
              <w:pStyle w:val="TableText"/>
              <w:cnfStyle w:val="000000000000" w:firstRow="0" w:lastRow="0" w:firstColumn="0" w:lastColumn="0" w:oddVBand="0" w:evenVBand="0" w:oddHBand="0" w:evenHBand="0" w:firstRowFirstColumn="0" w:firstRowLastColumn="0" w:lastRowFirstColumn="0" w:lastRowLastColumn="0"/>
            </w:pPr>
            <w:r w:rsidRPr="005910F8">
              <w:t>63.2% (n=234)</w:t>
            </w:r>
          </w:p>
        </w:tc>
      </w:tr>
      <w:tr w:rsidR="00E22D67" w:rsidRPr="007A1075" w14:paraId="18779C7A" w14:textId="77777777" w:rsidTr="6B49CC8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0" w:type="dxa"/>
            <w:vMerge/>
            <w:hideMark/>
          </w:tcPr>
          <w:p w14:paraId="06013FFA" w14:textId="77777777" w:rsidR="00826536" w:rsidRPr="007A1075" w:rsidRDefault="00826536" w:rsidP="00A03968">
            <w:pPr>
              <w:pStyle w:val="TableText"/>
            </w:pPr>
          </w:p>
        </w:tc>
        <w:tc>
          <w:tcPr>
            <w:tcW w:w="0" w:type="dxa"/>
            <w:vMerge/>
            <w:hideMark/>
          </w:tcPr>
          <w:p w14:paraId="790009EC" w14:textId="77777777" w:rsidR="00A03968" w:rsidRPr="007A1075" w:rsidRDefault="00A03968" w:rsidP="00A03968">
            <w:pPr>
              <w:pStyle w:val="TableText"/>
              <w:cnfStyle w:val="000000100000" w:firstRow="0" w:lastRow="0" w:firstColumn="0" w:lastColumn="0" w:oddVBand="0" w:evenVBand="0" w:oddHBand="1" w:evenHBand="0" w:firstRowFirstColumn="0" w:firstRowLastColumn="0" w:lastRowFirstColumn="0" w:lastRowLastColumn="0"/>
            </w:pPr>
          </w:p>
        </w:tc>
        <w:tc>
          <w:tcPr>
            <w:tcW w:w="0" w:type="dxa"/>
            <w:vMerge/>
            <w:hideMark/>
          </w:tcPr>
          <w:p w14:paraId="1189941B" w14:textId="77777777" w:rsidR="00A03968" w:rsidRPr="007A1075" w:rsidRDefault="00A03968" w:rsidP="00A03968">
            <w:pPr>
              <w:pStyle w:val="TableText"/>
              <w:cnfStyle w:val="000000100000" w:firstRow="0" w:lastRow="0" w:firstColumn="0" w:lastColumn="0" w:oddVBand="0" w:evenVBand="0" w:oddHBand="1" w:evenHBand="0" w:firstRowFirstColumn="0" w:firstRowLastColumn="0" w:lastRowFirstColumn="0" w:lastRowLastColumn="0"/>
            </w:pPr>
          </w:p>
        </w:tc>
        <w:tc>
          <w:tcPr>
            <w:tcW w:w="0" w:type="dxa"/>
            <w:tcBorders>
              <w:top w:val="single" w:sz="4" w:space="0" w:color="auto"/>
              <w:left w:val="single" w:sz="4" w:space="0" w:color="auto"/>
              <w:bottom w:val="single" w:sz="4" w:space="0" w:color="auto"/>
              <w:right w:val="single" w:sz="4" w:space="0" w:color="auto"/>
            </w:tcBorders>
            <w:noWrap/>
            <w:hideMark/>
          </w:tcPr>
          <w:p w14:paraId="66037C8A" w14:textId="77777777" w:rsidR="00A03968" w:rsidRPr="007A1075" w:rsidRDefault="00A03968" w:rsidP="00A03968">
            <w:pPr>
              <w:pStyle w:val="TableText"/>
              <w:cnfStyle w:val="000000100000" w:firstRow="0" w:lastRow="0" w:firstColumn="0" w:lastColumn="0" w:oddVBand="0" w:evenVBand="0" w:oddHBand="1" w:evenHBand="0" w:firstRowFirstColumn="0" w:firstRowLastColumn="0" w:lastRowFirstColumn="0" w:lastRowLastColumn="0"/>
            </w:pPr>
            <w:r w:rsidRPr="007A1075">
              <w:t>Changed knowledge and access to information</w:t>
            </w:r>
          </w:p>
        </w:tc>
        <w:tc>
          <w:tcPr>
            <w:tcW w:w="0" w:type="dxa"/>
            <w:tcBorders>
              <w:top w:val="single" w:sz="4" w:space="0" w:color="auto"/>
              <w:left w:val="single" w:sz="4" w:space="0" w:color="auto"/>
              <w:bottom w:val="single" w:sz="4" w:space="0" w:color="auto"/>
              <w:right w:val="single" w:sz="4" w:space="0" w:color="auto"/>
            </w:tcBorders>
            <w:noWrap/>
            <w:hideMark/>
          </w:tcPr>
          <w:p w14:paraId="2ECDA4D5" w14:textId="3FDB11B7" w:rsidR="00A03968" w:rsidRPr="007A1075" w:rsidRDefault="00A03968" w:rsidP="00A03968">
            <w:pPr>
              <w:pStyle w:val="TableText"/>
              <w:cnfStyle w:val="000000100000" w:firstRow="0" w:lastRow="0" w:firstColumn="0" w:lastColumn="0" w:oddVBand="0" w:evenVBand="0" w:oddHBand="1" w:evenHBand="0" w:firstRowFirstColumn="0" w:firstRowLastColumn="0" w:lastRowFirstColumn="0" w:lastRowLastColumn="0"/>
            </w:pPr>
            <w:r w:rsidRPr="005910F8">
              <w:t>0.97</w:t>
            </w:r>
          </w:p>
        </w:tc>
        <w:tc>
          <w:tcPr>
            <w:tcW w:w="0" w:type="dxa"/>
            <w:tcBorders>
              <w:top w:val="single" w:sz="4" w:space="0" w:color="auto"/>
              <w:left w:val="single" w:sz="4" w:space="0" w:color="auto"/>
              <w:bottom w:val="single" w:sz="4" w:space="0" w:color="auto"/>
              <w:right w:val="single" w:sz="4" w:space="0" w:color="auto"/>
            </w:tcBorders>
            <w:noWrap/>
            <w:hideMark/>
          </w:tcPr>
          <w:p w14:paraId="22394C08" w14:textId="0052C679" w:rsidR="00A03968" w:rsidRPr="007A1075" w:rsidRDefault="00A03968" w:rsidP="00A03968">
            <w:pPr>
              <w:pStyle w:val="TableText"/>
              <w:cnfStyle w:val="000000100000" w:firstRow="0" w:lastRow="0" w:firstColumn="0" w:lastColumn="0" w:oddVBand="0" w:evenVBand="0" w:oddHBand="1" w:evenHBand="0" w:firstRowFirstColumn="0" w:firstRowLastColumn="0" w:lastRowFirstColumn="0" w:lastRowLastColumn="0"/>
            </w:pPr>
            <w:r w:rsidRPr="005910F8">
              <w:t>18200</w:t>
            </w:r>
          </w:p>
        </w:tc>
        <w:tc>
          <w:tcPr>
            <w:tcW w:w="0" w:type="dxa"/>
            <w:tcBorders>
              <w:top w:val="single" w:sz="4" w:space="0" w:color="auto"/>
              <w:left w:val="single" w:sz="4" w:space="0" w:color="auto"/>
              <w:bottom w:val="single" w:sz="4" w:space="0" w:color="auto"/>
              <w:right w:val="single" w:sz="4" w:space="0" w:color="auto"/>
            </w:tcBorders>
            <w:noWrap/>
            <w:hideMark/>
          </w:tcPr>
          <w:p w14:paraId="0B26A1C8" w14:textId="21EED5EB" w:rsidR="00A03968" w:rsidRPr="007A1075" w:rsidRDefault="00A03968" w:rsidP="00A03968">
            <w:pPr>
              <w:pStyle w:val="TableText"/>
              <w:cnfStyle w:val="000000100000" w:firstRow="0" w:lastRow="0" w:firstColumn="0" w:lastColumn="0" w:oddVBand="0" w:evenVBand="0" w:oddHBand="1" w:evenHBand="0" w:firstRowFirstColumn="0" w:firstRowLastColumn="0" w:lastRowFirstColumn="0" w:lastRowLastColumn="0"/>
            </w:pPr>
            <w:r w:rsidRPr="005910F8">
              <w:t>762</w:t>
            </w:r>
          </w:p>
        </w:tc>
        <w:tc>
          <w:tcPr>
            <w:tcW w:w="0" w:type="dxa"/>
            <w:tcBorders>
              <w:top w:val="single" w:sz="4" w:space="0" w:color="auto"/>
              <w:left w:val="single" w:sz="4" w:space="0" w:color="auto"/>
              <w:bottom w:val="single" w:sz="4" w:space="0" w:color="auto"/>
              <w:right w:val="single" w:sz="4" w:space="0" w:color="auto"/>
            </w:tcBorders>
            <w:noWrap/>
            <w:hideMark/>
          </w:tcPr>
          <w:p w14:paraId="64192516" w14:textId="7FFF4A02" w:rsidR="00A03968" w:rsidRPr="007A1075" w:rsidRDefault="00A03968" w:rsidP="00A03968">
            <w:pPr>
              <w:pStyle w:val="TableText"/>
              <w:cnfStyle w:val="000000100000" w:firstRow="0" w:lastRow="0" w:firstColumn="0" w:lastColumn="0" w:oddVBand="0" w:evenVBand="0" w:oddHBand="1" w:evenHBand="0" w:firstRowFirstColumn="0" w:firstRowLastColumn="0" w:lastRowFirstColumn="0" w:lastRowLastColumn="0"/>
            </w:pPr>
            <w:r w:rsidRPr="005910F8">
              <w:t>&lt;.001</w:t>
            </w:r>
          </w:p>
        </w:tc>
        <w:tc>
          <w:tcPr>
            <w:tcW w:w="0" w:type="dxa"/>
            <w:tcBorders>
              <w:top w:val="single" w:sz="4" w:space="0" w:color="auto"/>
              <w:left w:val="single" w:sz="4" w:space="0" w:color="auto"/>
              <w:bottom w:val="single" w:sz="4" w:space="0" w:color="auto"/>
              <w:right w:val="single" w:sz="4" w:space="0" w:color="auto"/>
            </w:tcBorders>
            <w:noWrap/>
            <w:hideMark/>
          </w:tcPr>
          <w:p w14:paraId="33B09602" w14:textId="1654DE50" w:rsidR="00A03968" w:rsidRPr="007A1075" w:rsidRDefault="00A03968" w:rsidP="00A03968">
            <w:pPr>
              <w:pStyle w:val="TableText"/>
              <w:cnfStyle w:val="000000100000" w:firstRow="0" w:lastRow="0" w:firstColumn="0" w:lastColumn="0" w:oddVBand="0" w:evenVBand="0" w:oddHBand="1" w:evenHBand="0" w:firstRowFirstColumn="0" w:firstRowLastColumn="0" w:lastRowFirstColumn="0" w:lastRowLastColumn="0"/>
            </w:pPr>
            <w:r w:rsidRPr="005910F8">
              <w:t>60.9% (n=464)</w:t>
            </w:r>
          </w:p>
        </w:tc>
      </w:tr>
      <w:tr w:rsidR="00E22D67" w:rsidRPr="007A1075" w14:paraId="326F29EB" w14:textId="77777777" w:rsidTr="6B49CC8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cnfStyle w:val="001000000000" w:firstRow="0" w:lastRow="0" w:firstColumn="1" w:lastColumn="0" w:oddVBand="0" w:evenVBand="0" w:oddHBand="0" w:evenHBand="0" w:firstRowFirstColumn="0" w:firstRowLastColumn="0" w:lastRowFirstColumn="0" w:lastRowLastColumn="0"/>
            <w:tcW w:w="0" w:type="dxa"/>
            <w:vMerge/>
            <w:hideMark/>
          </w:tcPr>
          <w:p w14:paraId="3FBAAE51" w14:textId="77777777" w:rsidR="00826536" w:rsidRPr="007A1075" w:rsidRDefault="00826536" w:rsidP="00A03968">
            <w:pPr>
              <w:pStyle w:val="TableText"/>
            </w:pPr>
          </w:p>
        </w:tc>
        <w:tc>
          <w:tcPr>
            <w:tcW w:w="0" w:type="dxa"/>
            <w:vMerge/>
            <w:hideMark/>
          </w:tcPr>
          <w:p w14:paraId="77BE2387" w14:textId="77777777" w:rsidR="00A03968" w:rsidRPr="007A1075" w:rsidRDefault="00A03968" w:rsidP="00A03968">
            <w:pPr>
              <w:pStyle w:val="TableText"/>
              <w:cnfStyle w:val="000000000000" w:firstRow="0" w:lastRow="0" w:firstColumn="0" w:lastColumn="0" w:oddVBand="0" w:evenVBand="0" w:oddHBand="0" w:evenHBand="0" w:firstRowFirstColumn="0" w:firstRowLastColumn="0" w:lastRowFirstColumn="0" w:lastRowLastColumn="0"/>
            </w:pPr>
          </w:p>
        </w:tc>
        <w:tc>
          <w:tcPr>
            <w:tcW w:w="0" w:type="dxa"/>
            <w:vMerge/>
            <w:hideMark/>
          </w:tcPr>
          <w:p w14:paraId="5465E488" w14:textId="77777777" w:rsidR="00A03968" w:rsidRPr="007A1075" w:rsidRDefault="00A03968" w:rsidP="00A03968">
            <w:pPr>
              <w:pStyle w:val="TableText"/>
              <w:cnfStyle w:val="000000000000" w:firstRow="0" w:lastRow="0" w:firstColumn="0" w:lastColumn="0" w:oddVBand="0" w:evenVBand="0" w:oddHBand="0" w:evenHBand="0" w:firstRowFirstColumn="0" w:firstRowLastColumn="0" w:lastRowFirstColumn="0" w:lastRowLastColumn="0"/>
            </w:pPr>
          </w:p>
        </w:tc>
        <w:tc>
          <w:tcPr>
            <w:tcW w:w="0" w:type="dxa"/>
            <w:tcBorders>
              <w:top w:val="single" w:sz="4" w:space="0" w:color="auto"/>
              <w:left w:val="single" w:sz="4" w:space="0" w:color="auto"/>
              <w:bottom w:val="single" w:sz="4" w:space="0" w:color="auto"/>
              <w:right w:val="single" w:sz="4" w:space="0" w:color="auto"/>
            </w:tcBorders>
            <w:noWrap/>
            <w:hideMark/>
          </w:tcPr>
          <w:p w14:paraId="63FD2439" w14:textId="77777777" w:rsidR="00A03968" w:rsidRPr="007A1075" w:rsidRDefault="00A03968" w:rsidP="00A03968">
            <w:pPr>
              <w:pStyle w:val="TableText"/>
              <w:cnfStyle w:val="000000000000" w:firstRow="0" w:lastRow="0" w:firstColumn="0" w:lastColumn="0" w:oddVBand="0" w:evenVBand="0" w:oddHBand="0" w:evenHBand="0" w:firstRowFirstColumn="0" w:firstRowLastColumn="0" w:lastRowFirstColumn="0" w:lastRowLastColumn="0"/>
            </w:pPr>
            <w:r w:rsidRPr="007A1075">
              <w:t>Changed skills</w:t>
            </w:r>
          </w:p>
        </w:tc>
        <w:tc>
          <w:tcPr>
            <w:tcW w:w="0" w:type="dxa"/>
            <w:tcBorders>
              <w:top w:val="single" w:sz="4" w:space="0" w:color="auto"/>
              <w:left w:val="single" w:sz="4" w:space="0" w:color="auto"/>
              <w:bottom w:val="single" w:sz="4" w:space="0" w:color="auto"/>
              <w:right w:val="single" w:sz="4" w:space="0" w:color="auto"/>
            </w:tcBorders>
            <w:noWrap/>
            <w:hideMark/>
          </w:tcPr>
          <w:p w14:paraId="0163915A" w14:textId="71BBA70A" w:rsidR="00A03968" w:rsidRPr="007A1075" w:rsidRDefault="00A03968" w:rsidP="00A03968">
            <w:pPr>
              <w:pStyle w:val="TableText"/>
              <w:cnfStyle w:val="000000000000" w:firstRow="0" w:lastRow="0" w:firstColumn="0" w:lastColumn="0" w:oddVBand="0" w:evenVBand="0" w:oddHBand="0" w:evenHBand="0" w:firstRowFirstColumn="0" w:firstRowLastColumn="0" w:lastRowFirstColumn="0" w:lastRowLastColumn="0"/>
            </w:pPr>
            <w:r w:rsidRPr="005910F8">
              <w:t>0.81</w:t>
            </w:r>
          </w:p>
        </w:tc>
        <w:tc>
          <w:tcPr>
            <w:tcW w:w="0" w:type="dxa"/>
            <w:tcBorders>
              <w:top w:val="single" w:sz="4" w:space="0" w:color="auto"/>
              <w:left w:val="single" w:sz="4" w:space="0" w:color="auto"/>
              <w:bottom w:val="single" w:sz="4" w:space="0" w:color="auto"/>
              <w:right w:val="single" w:sz="4" w:space="0" w:color="auto"/>
            </w:tcBorders>
            <w:noWrap/>
            <w:hideMark/>
          </w:tcPr>
          <w:p w14:paraId="63CBD9B9" w14:textId="0664E010" w:rsidR="00A03968" w:rsidRPr="007A1075" w:rsidRDefault="00A03968" w:rsidP="00A03968">
            <w:pPr>
              <w:pStyle w:val="TableText"/>
              <w:cnfStyle w:val="000000000000" w:firstRow="0" w:lastRow="0" w:firstColumn="0" w:lastColumn="0" w:oddVBand="0" w:evenVBand="0" w:oddHBand="0" w:evenHBand="0" w:firstRowFirstColumn="0" w:firstRowLastColumn="0" w:lastRowFirstColumn="0" w:lastRowLastColumn="0"/>
            </w:pPr>
            <w:r w:rsidRPr="005910F8">
              <w:t>29885</w:t>
            </w:r>
          </w:p>
        </w:tc>
        <w:tc>
          <w:tcPr>
            <w:tcW w:w="0" w:type="dxa"/>
            <w:tcBorders>
              <w:top w:val="single" w:sz="4" w:space="0" w:color="auto"/>
              <w:left w:val="single" w:sz="4" w:space="0" w:color="auto"/>
              <w:bottom w:val="single" w:sz="4" w:space="0" w:color="auto"/>
              <w:right w:val="single" w:sz="4" w:space="0" w:color="auto"/>
            </w:tcBorders>
            <w:noWrap/>
            <w:hideMark/>
          </w:tcPr>
          <w:p w14:paraId="1E6C789C" w14:textId="49E6D430" w:rsidR="00A03968" w:rsidRPr="007A1075" w:rsidRDefault="00A03968" w:rsidP="00A03968">
            <w:pPr>
              <w:pStyle w:val="TableText"/>
              <w:cnfStyle w:val="000000000000" w:firstRow="0" w:lastRow="0" w:firstColumn="0" w:lastColumn="0" w:oddVBand="0" w:evenVBand="0" w:oddHBand="0" w:evenHBand="0" w:firstRowFirstColumn="0" w:firstRowLastColumn="0" w:lastRowFirstColumn="0" w:lastRowLastColumn="0"/>
            </w:pPr>
            <w:r w:rsidRPr="005910F8">
              <w:t>703</w:t>
            </w:r>
          </w:p>
        </w:tc>
        <w:tc>
          <w:tcPr>
            <w:tcW w:w="0" w:type="dxa"/>
            <w:tcBorders>
              <w:top w:val="single" w:sz="4" w:space="0" w:color="auto"/>
              <w:left w:val="single" w:sz="4" w:space="0" w:color="auto"/>
              <w:bottom w:val="single" w:sz="4" w:space="0" w:color="auto"/>
              <w:right w:val="single" w:sz="4" w:space="0" w:color="auto"/>
            </w:tcBorders>
            <w:noWrap/>
            <w:hideMark/>
          </w:tcPr>
          <w:p w14:paraId="425BB4EA" w14:textId="06889691" w:rsidR="00A03968" w:rsidRPr="007A1075" w:rsidRDefault="00A03968" w:rsidP="00A03968">
            <w:pPr>
              <w:pStyle w:val="TableText"/>
              <w:cnfStyle w:val="000000000000" w:firstRow="0" w:lastRow="0" w:firstColumn="0" w:lastColumn="0" w:oddVBand="0" w:evenVBand="0" w:oddHBand="0" w:evenHBand="0" w:firstRowFirstColumn="0" w:firstRowLastColumn="0" w:lastRowFirstColumn="0" w:lastRowLastColumn="0"/>
            </w:pPr>
            <w:r w:rsidRPr="005910F8">
              <w:t>&lt;.001</w:t>
            </w:r>
          </w:p>
        </w:tc>
        <w:tc>
          <w:tcPr>
            <w:tcW w:w="0" w:type="dxa"/>
            <w:tcBorders>
              <w:top w:val="single" w:sz="4" w:space="0" w:color="auto"/>
              <w:left w:val="single" w:sz="4" w:space="0" w:color="auto"/>
              <w:bottom w:val="single" w:sz="4" w:space="0" w:color="auto"/>
              <w:right w:val="single" w:sz="4" w:space="0" w:color="auto"/>
            </w:tcBorders>
            <w:noWrap/>
            <w:hideMark/>
          </w:tcPr>
          <w:p w14:paraId="53385058" w14:textId="7326D9E2" w:rsidR="00A03968" w:rsidRPr="007A1075" w:rsidRDefault="00A03968" w:rsidP="00A03968">
            <w:pPr>
              <w:pStyle w:val="TableText"/>
              <w:cnfStyle w:val="000000000000" w:firstRow="0" w:lastRow="0" w:firstColumn="0" w:lastColumn="0" w:oddVBand="0" w:evenVBand="0" w:oddHBand="0" w:evenHBand="0" w:firstRowFirstColumn="0" w:firstRowLastColumn="0" w:lastRowFirstColumn="0" w:lastRowLastColumn="0"/>
            </w:pPr>
            <w:r w:rsidRPr="005910F8">
              <w:t>55.2% (n=388)</w:t>
            </w:r>
          </w:p>
        </w:tc>
      </w:tr>
      <w:tr w:rsidR="00E22D67" w:rsidRPr="007A1075" w14:paraId="39BC1E0F" w14:textId="77777777" w:rsidTr="6B49CC8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0" w:type="dxa"/>
            <w:vMerge/>
            <w:hideMark/>
          </w:tcPr>
          <w:p w14:paraId="6DA7F010" w14:textId="77777777" w:rsidR="00826536" w:rsidRPr="007A1075" w:rsidRDefault="00826536" w:rsidP="00A03968">
            <w:pPr>
              <w:pStyle w:val="TableText"/>
            </w:pPr>
          </w:p>
        </w:tc>
        <w:tc>
          <w:tcPr>
            <w:tcW w:w="0" w:type="dxa"/>
            <w:vMerge/>
            <w:hideMark/>
          </w:tcPr>
          <w:p w14:paraId="5EB191E4" w14:textId="77777777" w:rsidR="00A03968" w:rsidRPr="007A1075" w:rsidRDefault="00A03968" w:rsidP="00A03968">
            <w:pPr>
              <w:pStyle w:val="TableText"/>
              <w:cnfStyle w:val="000000100000" w:firstRow="0" w:lastRow="0" w:firstColumn="0" w:lastColumn="0" w:oddVBand="0" w:evenVBand="0" w:oddHBand="1" w:evenHBand="0" w:firstRowFirstColumn="0" w:firstRowLastColumn="0" w:lastRowFirstColumn="0" w:lastRowLastColumn="0"/>
            </w:pPr>
          </w:p>
        </w:tc>
        <w:tc>
          <w:tcPr>
            <w:tcW w:w="0" w:type="dxa"/>
            <w:vMerge/>
            <w:hideMark/>
          </w:tcPr>
          <w:p w14:paraId="5D36D03D" w14:textId="77777777" w:rsidR="00A03968" w:rsidRPr="007A1075" w:rsidRDefault="00A03968" w:rsidP="00A03968">
            <w:pPr>
              <w:pStyle w:val="TableText"/>
              <w:cnfStyle w:val="000000100000" w:firstRow="0" w:lastRow="0" w:firstColumn="0" w:lastColumn="0" w:oddVBand="0" w:evenVBand="0" w:oddHBand="1" w:evenHBand="0" w:firstRowFirstColumn="0" w:firstRowLastColumn="0" w:lastRowFirstColumn="0" w:lastRowLastColumn="0"/>
            </w:pPr>
          </w:p>
        </w:tc>
        <w:tc>
          <w:tcPr>
            <w:tcW w:w="0" w:type="dxa"/>
            <w:tcBorders>
              <w:top w:val="single" w:sz="4" w:space="0" w:color="auto"/>
              <w:left w:val="single" w:sz="4" w:space="0" w:color="auto"/>
              <w:bottom w:val="single" w:sz="4" w:space="0" w:color="auto"/>
              <w:right w:val="single" w:sz="4" w:space="0" w:color="auto"/>
            </w:tcBorders>
            <w:noWrap/>
            <w:hideMark/>
          </w:tcPr>
          <w:p w14:paraId="1ADF8A08" w14:textId="77777777" w:rsidR="00A03968" w:rsidRPr="007A1075" w:rsidRDefault="00826536" w:rsidP="00A03968">
            <w:pPr>
              <w:pStyle w:val="TableText"/>
              <w:cnfStyle w:val="000000100000" w:firstRow="0" w:lastRow="0" w:firstColumn="0" w:lastColumn="0" w:oddVBand="0" w:evenVBand="0" w:oddHBand="1" w:evenHBand="0" w:firstRowFirstColumn="0" w:firstRowLastColumn="0" w:lastRowFirstColumn="0" w:lastRowLastColumn="0"/>
            </w:pPr>
            <w:r w:rsidRPr="57F92EFB">
              <w:rPr>
                <w:lang w:val="en-NZ"/>
              </w:rPr>
              <w:t>Empowerment, choice and control to make own decisions</w:t>
            </w:r>
          </w:p>
        </w:tc>
        <w:tc>
          <w:tcPr>
            <w:tcW w:w="0" w:type="dxa"/>
            <w:tcBorders>
              <w:top w:val="single" w:sz="4" w:space="0" w:color="auto"/>
              <w:left w:val="single" w:sz="4" w:space="0" w:color="auto"/>
              <w:bottom w:val="single" w:sz="4" w:space="0" w:color="auto"/>
              <w:right w:val="single" w:sz="4" w:space="0" w:color="auto"/>
            </w:tcBorders>
            <w:noWrap/>
            <w:hideMark/>
          </w:tcPr>
          <w:p w14:paraId="0CBF0E88" w14:textId="6CB4C115" w:rsidR="00A03968" w:rsidRPr="007A1075" w:rsidRDefault="00A03968" w:rsidP="00A03968">
            <w:pPr>
              <w:pStyle w:val="TableText"/>
              <w:cnfStyle w:val="000000100000" w:firstRow="0" w:lastRow="0" w:firstColumn="0" w:lastColumn="0" w:oddVBand="0" w:evenVBand="0" w:oddHBand="1" w:evenHBand="0" w:firstRowFirstColumn="0" w:firstRowLastColumn="0" w:lastRowFirstColumn="0" w:lastRowLastColumn="0"/>
            </w:pPr>
            <w:r w:rsidRPr="005910F8">
              <w:t>0.81</w:t>
            </w:r>
          </w:p>
        </w:tc>
        <w:tc>
          <w:tcPr>
            <w:tcW w:w="0" w:type="dxa"/>
            <w:tcBorders>
              <w:top w:val="single" w:sz="4" w:space="0" w:color="auto"/>
              <w:left w:val="single" w:sz="4" w:space="0" w:color="auto"/>
              <w:bottom w:val="single" w:sz="4" w:space="0" w:color="auto"/>
              <w:right w:val="single" w:sz="4" w:space="0" w:color="auto"/>
            </w:tcBorders>
            <w:noWrap/>
            <w:hideMark/>
          </w:tcPr>
          <w:p w14:paraId="189D1EAC" w14:textId="1C7B8A8C" w:rsidR="00A03968" w:rsidRPr="007A1075" w:rsidRDefault="00A03968" w:rsidP="00A03968">
            <w:pPr>
              <w:pStyle w:val="TableText"/>
              <w:cnfStyle w:val="000000100000" w:firstRow="0" w:lastRow="0" w:firstColumn="0" w:lastColumn="0" w:oddVBand="0" w:evenVBand="0" w:oddHBand="1" w:evenHBand="0" w:firstRowFirstColumn="0" w:firstRowLastColumn="0" w:lastRowFirstColumn="0" w:lastRowLastColumn="0"/>
            </w:pPr>
            <w:r w:rsidRPr="005910F8">
              <w:t>16751</w:t>
            </w:r>
          </w:p>
        </w:tc>
        <w:tc>
          <w:tcPr>
            <w:tcW w:w="0" w:type="dxa"/>
            <w:tcBorders>
              <w:top w:val="single" w:sz="4" w:space="0" w:color="auto"/>
              <w:left w:val="single" w:sz="4" w:space="0" w:color="auto"/>
              <w:bottom w:val="single" w:sz="4" w:space="0" w:color="auto"/>
              <w:right w:val="single" w:sz="4" w:space="0" w:color="auto"/>
            </w:tcBorders>
            <w:noWrap/>
            <w:hideMark/>
          </w:tcPr>
          <w:p w14:paraId="5EAE66DA" w14:textId="7E0B44E9" w:rsidR="00A03968" w:rsidRPr="007A1075" w:rsidRDefault="00A03968" w:rsidP="00A03968">
            <w:pPr>
              <w:pStyle w:val="TableText"/>
              <w:cnfStyle w:val="000000100000" w:firstRow="0" w:lastRow="0" w:firstColumn="0" w:lastColumn="0" w:oddVBand="0" w:evenVBand="0" w:oddHBand="1" w:evenHBand="0" w:firstRowFirstColumn="0" w:firstRowLastColumn="0" w:lastRowFirstColumn="0" w:lastRowLastColumn="0"/>
            </w:pPr>
            <w:r w:rsidRPr="005910F8">
              <w:t>564</w:t>
            </w:r>
          </w:p>
        </w:tc>
        <w:tc>
          <w:tcPr>
            <w:tcW w:w="0" w:type="dxa"/>
            <w:tcBorders>
              <w:top w:val="single" w:sz="4" w:space="0" w:color="auto"/>
              <w:left w:val="single" w:sz="4" w:space="0" w:color="auto"/>
              <w:bottom w:val="single" w:sz="4" w:space="0" w:color="auto"/>
              <w:right w:val="single" w:sz="4" w:space="0" w:color="auto"/>
            </w:tcBorders>
            <w:noWrap/>
            <w:hideMark/>
          </w:tcPr>
          <w:p w14:paraId="63ACA624" w14:textId="1C4C7D5B" w:rsidR="00A03968" w:rsidRPr="007A1075" w:rsidRDefault="00A03968" w:rsidP="00A03968">
            <w:pPr>
              <w:pStyle w:val="TableText"/>
              <w:cnfStyle w:val="000000100000" w:firstRow="0" w:lastRow="0" w:firstColumn="0" w:lastColumn="0" w:oddVBand="0" w:evenVBand="0" w:oddHBand="1" w:evenHBand="0" w:firstRowFirstColumn="0" w:firstRowLastColumn="0" w:lastRowFirstColumn="0" w:lastRowLastColumn="0"/>
            </w:pPr>
            <w:r w:rsidRPr="005910F8">
              <w:t>&lt;.001</w:t>
            </w:r>
          </w:p>
        </w:tc>
        <w:tc>
          <w:tcPr>
            <w:tcW w:w="0" w:type="dxa"/>
            <w:tcBorders>
              <w:top w:val="single" w:sz="4" w:space="0" w:color="auto"/>
              <w:left w:val="single" w:sz="4" w:space="0" w:color="auto"/>
              <w:bottom w:val="single" w:sz="4" w:space="0" w:color="auto"/>
              <w:right w:val="single" w:sz="4" w:space="0" w:color="auto"/>
            </w:tcBorders>
            <w:noWrap/>
            <w:hideMark/>
          </w:tcPr>
          <w:p w14:paraId="716E90F6" w14:textId="547C6683" w:rsidR="00A03968" w:rsidRPr="007A1075" w:rsidRDefault="00A03968" w:rsidP="00A03968">
            <w:pPr>
              <w:pStyle w:val="TableText"/>
              <w:cnfStyle w:val="000000100000" w:firstRow="0" w:lastRow="0" w:firstColumn="0" w:lastColumn="0" w:oddVBand="0" w:evenVBand="0" w:oddHBand="1" w:evenHBand="0" w:firstRowFirstColumn="0" w:firstRowLastColumn="0" w:lastRowFirstColumn="0" w:lastRowLastColumn="0"/>
            </w:pPr>
            <w:r w:rsidRPr="005910F8">
              <w:t>53.5% (n=302)</w:t>
            </w:r>
          </w:p>
        </w:tc>
      </w:tr>
      <w:tr w:rsidR="00E22D67" w:rsidRPr="007A1075" w14:paraId="73A57114" w14:textId="77777777" w:rsidTr="6B49CC8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cnfStyle w:val="001000000000" w:firstRow="0" w:lastRow="0" w:firstColumn="1" w:lastColumn="0" w:oddVBand="0" w:evenVBand="0" w:oddHBand="0" w:evenHBand="0" w:firstRowFirstColumn="0" w:firstRowLastColumn="0" w:lastRowFirstColumn="0" w:lastRowLastColumn="0"/>
            <w:tcW w:w="0" w:type="dxa"/>
            <w:vMerge/>
            <w:hideMark/>
          </w:tcPr>
          <w:p w14:paraId="00DA067C" w14:textId="77777777" w:rsidR="00826536" w:rsidRPr="007A1075" w:rsidRDefault="00826536" w:rsidP="00A03968">
            <w:pPr>
              <w:pStyle w:val="TableText"/>
            </w:pPr>
          </w:p>
        </w:tc>
        <w:tc>
          <w:tcPr>
            <w:tcW w:w="0" w:type="dxa"/>
            <w:vMerge/>
            <w:hideMark/>
          </w:tcPr>
          <w:p w14:paraId="47377F24" w14:textId="77777777" w:rsidR="00A03968" w:rsidRPr="007A1075" w:rsidRDefault="00A03968" w:rsidP="00A03968">
            <w:pPr>
              <w:pStyle w:val="TableText"/>
              <w:cnfStyle w:val="000000000000" w:firstRow="0" w:lastRow="0" w:firstColumn="0" w:lastColumn="0" w:oddVBand="0" w:evenVBand="0" w:oddHBand="0" w:evenHBand="0" w:firstRowFirstColumn="0" w:firstRowLastColumn="0" w:lastRowFirstColumn="0" w:lastRowLastColumn="0"/>
            </w:pPr>
          </w:p>
        </w:tc>
        <w:tc>
          <w:tcPr>
            <w:tcW w:w="0" w:type="dxa"/>
            <w:vMerge/>
            <w:hideMark/>
          </w:tcPr>
          <w:p w14:paraId="3715557B" w14:textId="77777777" w:rsidR="00A03968" w:rsidRPr="007A1075" w:rsidRDefault="00A03968" w:rsidP="00A03968">
            <w:pPr>
              <w:pStyle w:val="TableText"/>
              <w:cnfStyle w:val="000000000000" w:firstRow="0" w:lastRow="0" w:firstColumn="0" w:lastColumn="0" w:oddVBand="0" w:evenVBand="0" w:oddHBand="0" w:evenHBand="0" w:firstRowFirstColumn="0" w:firstRowLastColumn="0" w:lastRowFirstColumn="0" w:lastRowLastColumn="0"/>
            </w:pPr>
          </w:p>
        </w:tc>
        <w:tc>
          <w:tcPr>
            <w:tcW w:w="0" w:type="dxa"/>
            <w:tcBorders>
              <w:top w:val="single" w:sz="4" w:space="0" w:color="auto"/>
              <w:left w:val="single" w:sz="4" w:space="0" w:color="auto"/>
              <w:bottom w:val="single" w:sz="4" w:space="0" w:color="auto"/>
              <w:right w:val="single" w:sz="4" w:space="0" w:color="auto"/>
            </w:tcBorders>
            <w:noWrap/>
            <w:hideMark/>
          </w:tcPr>
          <w:p w14:paraId="487D26FA" w14:textId="77777777" w:rsidR="00A03968" w:rsidRPr="007A1075" w:rsidRDefault="00A03968" w:rsidP="00A03968">
            <w:pPr>
              <w:pStyle w:val="TableText"/>
              <w:cnfStyle w:val="000000000000" w:firstRow="0" w:lastRow="0" w:firstColumn="0" w:lastColumn="0" w:oddVBand="0" w:evenVBand="0" w:oddHBand="0" w:evenHBand="0" w:firstRowFirstColumn="0" w:firstRowLastColumn="0" w:lastRowFirstColumn="0" w:lastRowLastColumn="0"/>
            </w:pPr>
            <w:r w:rsidRPr="007A1075">
              <w:t>Engagement with relevant support services</w:t>
            </w:r>
          </w:p>
        </w:tc>
        <w:tc>
          <w:tcPr>
            <w:tcW w:w="0" w:type="dxa"/>
            <w:tcBorders>
              <w:top w:val="single" w:sz="4" w:space="0" w:color="auto"/>
              <w:left w:val="single" w:sz="4" w:space="0" w:color="auto"/>
              <w:bottom w:val="single" w:sz="4" w:space="0" w:color="auto"/>
              <w:right w:val="single" w:sz="4" w:space="0" w:color="auto"/>
            </w:tcBorders>
            <w:noWrap/>
            <w:hideMark/>
          </w:tcPr>
          <w:p w14:paraId="044D0FC1" w14:textId="67E09D6A" w:rsidR="00A03968" w:rsidRPr="007A1075" w:rsidRDefault="00A03968" w:rsidP="00A03968">
            <w:pPr>
              <w:pStyle w:val="TableText"/>
              <w:cnfStyle w:val="000000000000" w:firstRow="0" w:lastRow="0" w:firstColumn="0" w:lastColumn="0" w:oddVBand="0" w:evenVBand="0" w:oddHBand="0" w:evenHBand="0" w:firstRowFirstColumn="0" w:firstRowLastColumn="0" w:lastRowFirstColumn="0" w:lastRowLastColumn="0"/>
            </w:pPr>
            <w:r w:rsidRPr="005910F8">
              <w:t>0.9</w:t>
            </w:r>
          </w:p>
        </w:tc>
        <w:tc>
          <w:tcPr>
            <w:tcW w:w="0" w:type="dxa"/>
            <w:tcBorders>
              <w:top w:val="single" w:sz="4" w:space="0" w:color="auto"/>
              <w:left w:val="single" w:sz="4" w:space="0" w:color="auto"/>
              <w:bottom w:val="single" w:sz="4" w:space="0" w:color="auto"/>
              <w:right w:val="single" w:sz="4" w:space="0" w:color="auto"/>
            </w:tcBorders>
            <w:noWrap/>
            <w:hideMark/>
          </w:tcPr>
          <w:p w14:paraId="1B6204CE" w14:textId="42880D09" w:rsidR="00A03968" w:rsidRPr="007A1075" w:rsidRDefault="00A03968" w:rsidP="00A03968">
            <w:pPr>
              <w:pStyle w:val="TableText"/>
              <w:cnfStyle w:val="000000000000" w:firstRow="0" w:lastRow="0" w:firstColumn="0" w:lastColumn="0" w:oddVBand="0" w:evenVBand="0" w:oddHBand="0" w:evenHBand="0" w:firstRowFirstColumn="0" w:firstRowLastColumn="0" w:lastRowFirstColumn="0" w:lastRowLastColumn="0"/>
            </w:pPr>
            <w:r w:rsidRPr="005910F8">
              <w:t>5949.5</w:t>
            </w:r>
          </w:p>
        </w:tc>
        <w:tc>
          <w:tcPr>
            <w:tcW w:w="0" w:type="dxa"/>
            <w:tcBorders>
              <w:top w:val="single" w:sz="4" w:space="0" w:color="auto"/>
              <w:left w:val="single" w:sz="4" w:space="0" w:color="auto"/>
              <w:bottom w:val="single" w:sz="4" w:space="0" w:color="auto"/>
              <w:right w:val="single" w:sz="4" w:space="0" w:color="auto"/>
            </w:tcBorders>
            <w:noWrap/>
            <w:hideMark/>
          </w:tcPr>
          <w:p w14:paraId="1A5F1453" w14:textId="69232347" w:rsidR="00A03968" w:rsidRPr="007A1075" w:rsidRDefault="00A03968" w:rsidP="00A03968">
            <w:pPr>
              <w:pStyle w:val="TableText"/>
              <w:cnfStyle w:val="000000000000" w:firstRow="0" w:lastRow="0" w:firstColumn="0" w:lastColumn="0" w:oddVBand="0" w:evenVBand="0" w:oddHBand="0" w:evenHBand="0" w:firstRowFirstColumn="0" w:firstRowLastColumn="0" w:lastRowFirstColumn="0" w:lastRowLastColumn="0"/>
            </w:pPr>
            <w:r w:rsidRPr="005910F8">
              <w:t>386</w:t>
            </w:r>
          </w:p>
        </w:tc>
        <w:tc>
          <w:tcPr>
            <w:tcW w:w="0" w:type="dxa"/>
            <w:tcBorders>
              <w:top w:val="single" w:sz="4" w:space="0" w:color="auto"/>
              <w:left w:val="single" w:sz="4" w:space="0" w:color="auto"/>
              <w:bottom w:val="single" w:sz="4" w:space="0" w:color="auto"/>
              <w:right w:val="single" w:sz="4" w:space="0" w:color="auto"/>
            </w:tcBorders>
            <w:noWrap/>
            <w:hideMark/>
          </w:tcPr>
          <w:p w14:paraId="4C9B848D" w14:textId="0C15E098" w:rsidR="00A03968" w:rsidRPr="007A1075" w:rsidRDefault="00A03968" w:rsidP="00A03968">
            <w:pPr>
              <w:pStyle w:val="TableText"/>
              <w:cnfStyle w:val="000000000000" w:firstRow="0" w:lastRow="0" w:firstColumn="0" w:lastColumn="0" w:oddVBand="0" w:evenVBand="0" w:oddHBand="0" w:evenHBand="0" w:firstRowFirstColumn="0" w:firstRowLastColumn="0" w:lastRowFirstColumn="0" w:lastRowLastColumn="0"/>
            </w:pPr>
            <w:r w:rsidRPr="005910F8">
              <w:t>&lt;.001</w:t>
            </w:r>
          </w:p>
        </w:tc>
        <w:tc>
          <w:tcPr>
            <w:tcW w:w="0" w:type="dxa"/>
            <w:tcBorders>
              <w:top w:val="single" w:sz="4" w:space="0" w:color="auto"/>
              <w:left w:val="single" w:sz="4" w:space="0" w:color="auto"/>
              <w:bottom w:val="single" w:sz="4" w:space="0" w:color="auto"/>
              <w:right w:val="single" w:sz="4" w:space="0" w:color="auto"/>
            </w:tcBorders>
            <w:noWrap/>
            <w:hideMark/>
          </w:tcPr>
          <w:p w14:paraId="0538EB3F" w14:textId="7D777E8F" w:rsidR="00A03968" w:rsidRPr="007A1075" w:rsidRDefault="00A03968" w:rsidP="00A03968">
            <w:pPr>
              <w:pStyle w:val="TableText"/>
              <w:cnfStyle w:val="000000000000" w:firstRow="0" w:lastRow="0" w:firstColumn="0" w:lastColumn="0" w:oddVBand="0" w:evenVBand="0" w:oddHBand="0" w:evenHBand="0" w:firstRowFirstColumn="0" w:firstRowLastColumn="0" w:lastRowFirstColumn="0" w:lastRowLastColumn="0"/>
            </w:pPr>
            <w:r w:rsidRPr="005910F8">
              <w:t>54.1% (n=209)</w:t>
            </w:r>
          </w:p>
        </w:tc>
      </w:tr>
    </w:tbl>
    <w:p w14:paraId="2AC9F5F2" w14:textId="77777777" w:rsidR="00DD5451" w:rsidRPr="00AC48C1" w:rsidRDefault="00DD5451" w:rsidP="00DD5451">
      <w:pPr>
        <w:rPr>
          <w:rFonts w:ascii="Arial" w:eastAsia="Aptos" w:hAnsi="Arial" w:cs="Arial"/>
          <w:sz w:val="20"/>
        </w:rPr>
      </w:pPr>
      <w:r>
        <w:rPr>
          <w:i/>
          <w:sz w:val="20"/>
          <w:szCs w:val="18"/>
        </w:rPr>
        <w:t xml:space="preserve">Source: DEX-SCORE data </w:t>
      </w:r>
    </w:p>
    <w:p w14:paraId="312B406E" w14:textId="1E3826EA" w:rsidR="00302B4E" w:rsidRPr="00BC3586" w:rsidRDefault="004D15F4" w:rsidP="00BC3586">
      <w:pPr>
        <w:rPr>
          <w:b/>
          <w:color w:val="36424A" w:themeColor="background2"/>
          <w:spacing w:val="2"/>
          <w:lang w:val="en-GB"/>
        </w:rPr>
      </w:pPr>
      <w:r>
        <w:br w:type="page"/>
      </w:r>
    </w:p>
    <w:p w14:paraId="47EE4225" w14:textId="02E236D4" w:rsidR="009662B8" w:rsidRDefault="00DD5451" w:rsidP="007611DA">
      <w:pPr>
        <w:pStyle w:val="Text-BodyHeading"/>
      </w:pPr>
      <w:r>
        <w:lastRenderedPageBreak/>
        <w:t xml:space="preserve">DEX data </w:t>
      </w:r>
      <w:r w:rsidR="007611DA">
        <w:t xml:space="preserve">– </w:t>
      </w:r>
      <w:r w:rsidR="00BE3916">
        <w:t>age</w:t>
      </w:r>
      <w:r w:rsidR="007611DA">
        <w:t xml:space="preserve"> </w:t>
      </w:r>
    </w:p>
    <w:p w14:paraId="0A63CDFB" w14:textId="06BAD631" w:rsidR="007611DA" w:rsidRPr="00811E31" w:rsidRDefault="007611DA" w:rsidP="007611DA">
      <w:pPr>
        <w:pStyle w:val="TableFigure-Header"/>
        <w:rPr>
          <w:rStyle w:val="Text-Bold"/>
          <w:b/>
          <w:szCs w:val="21"/>
          <w:lang w:val="en-NZ"/>
        </w:rPr>
      </w:pPr>
      <w:bookmarkStart w:id="605" w:name="_Ref204605417"/>
      <w:r w:rsidRPr="00811E31">
        <w:rPr>
          <w:rStyle w:val="Text-Bold"/>
          <w:b/>
          <w:szCs w:val="21"/>
          <w:lang w:val="en-NZ"/>
        </w:rPr>
        <w:t xml:space="preserve">Table </w:t>
      </w:r>
      <w:r w:rsidRPr="00811E31">
        <w:rPr>
          <w:rStyle w:val="Text-Bold"/>
          <w:b/>
          <w:szCs w:val="21"/>
        </w:rPr>
        <w:fldChar w:fldCharType="begin"/>
      </w:r>
      <w:r w:rsidRPr="00811E31">
        <w:rPr>
          <w:szCs w:val="21"/>
        </w:rPr>
        <w:instrText xml:space="preserve"> SEQ Table \* ARABIC </w:instrText>
      </w:r>
      <w:r w:rsidRPr="00811E31">
        <w:rPr>
          <w:rStyle w:val="Text-Bold"/>
          <w:b/>
          <w:szCs w:val="21"/>
        </w:rPr>
        <w:fldChar w:fldCharType="separate"/>
      </w:r>
      <w:r w:rsidR="008D2566">
        <w:rPr>
          <w:noProof/>
          <w:szCs w:val="21"/>
        </w:rPr>
        <w:t>65</w:t>
      </w:r>
      <w:r w:rsidRPr="00811E31">
        <w:rPr>
          <w:rStyle w:val="Text-Bold"/>
          <w:b/>
          <w:szCs w:val="21"/>
        </w:rPr>
        <w:fldChar w:fldCharType="end"/>
      </w:r>
      <w:bookmarkEnd w:id="605"/>
      <w:r w:rsidRPr="00811E31">
        <w:rPr>
          <w:rStyle w:val="Text-Bold"/>
          <w:b/>
          <w:szCs w:val="21"/>
          <w:lang w:val="en-NZ"/>
        </w:rPr>
        <w:t xml:space="preserve">: Mean earliest-to-latest SCORE change (within-subjects) by age group, FaRS </w:t>
      </w:r>
      <w:r w:rsidR="00E614D3" w:rsidRPr="00811E31">
        <w:rPr>
          <w:rStyle w:val="Text-Bold"/>
          <w:b/>
          <w:szCs w:val="21"/>
          <w:lang w:val="en-NZ"/>
        </w:rPr>
        <w:t>service users</w:t>
      </w:r>
      <w:r w:rsidR="00811E31" w:rsidRPr="00811E31">
        <w:rPr>
          <w:rStyle w:val="Text-Bold"/>
          <w:b/>
          <w:szCs w:val="21"/>
          <w:lang w:val="en-NZ"/>
        </w:rPr>
        <w:t>, July 2021 to June 2024</w:t>
      </w:r>
    </w:p>
    <w:tbl>
      <w:tblPr>
        <w:tblStyle w:val="ListTable3-Accent3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5"/>
        <w:gridCol w:w="905"/>
        <w:gridCol w:w="1605"/>
        <w:gridCol w:w="3881"/>
        <w:gridCol w:w="993"/>
        <w:gridCol w:w="1559"/>
        <w:gridCol w:w="1134"/>
        <w:gridCol w:w="850"/>
        <w:gridCol w:w="1701"/>
      </w:tblGrid>
      <w:tr w:rsidR="00321BC5" w:rsidRPr="007A1075" w14:paraId="0B0E8DCA" w14:textId="77777777" w:rsidTr="0078378F">
        <w:trPr>
          <w:cnfStyle w:val="100000000000" w:firstRow="1" w:lastRow="0" w:firstColumn="0" w:lastColumn="0" w:oddVBand="0" w:evenVBand="0" w:oddHBand="0" w:evenHBand="0" w:firstRowFirstColumn="0" w:firstRowLastColumn="0" w:lastRowFirstColumn="0" w:lastRowLastColumn="0"/>
          <w:trHeight w:val="870"/>
        </w:trPr>
        <w:tc>
          <w:tcPr>
            <w:cnfStyle w:val="001000000100" w:firstRow="0" w:lastRow="0" w:firstColumn="1" w:lastColumn="0" w:oddVBand="0" w:evenVBand="0" w:oddHBand="0" w:evenHBand="0" w:firstRowFirstColumn="1" w:firstRowLastColumn="0" w:lastRowFirstColumn="0" w:lastRowLastColumn="0"/>
            <w:tcW w:w="0" w:type="dxa"/>
            <w:tcBorders>
              <w:bottom w:val="none" w:sz="0" w:space="0" w:color="auto"/>
              <w:right w:val="none" w:sz="0" w:space="0" w:color="auto"/>
            </w:tcBorders>
            <w:hideMark/>
          </w:tcPr>
          <w:p w14:paraId="00B4A837" w14:textId="77777777" w:rsidR="00A03968" w:rsidRPr="007A1075" w:rsidRDefault="00A03968" w:rsidP="001267B9">
            <w:pPr>
              <w:pStyle w:val="TableText"/>
              <w:rPr>
                <w:bCs w:val="0"/>
              </w:rPr>
            </w:pPr>
            <w:r w:rsidRPr="007A1075">
              <w:t>Activity</w:t>
            </w:r>
          </w:p>
        </w:tc>
        <w:tc>
          <w:tcPr>
            <w:tcW w:w="0" w:type="dxa"/>
            <w:hideMark/>
          </w:tcPr>
          <w:p w14:paraId="2DA5F45D" w14:textId="77777777" w:rsidR="00A03968" w:rsidRPr="007A1075" w:rsidRDefault="00A03968" w:rsidP="001267B9">
            <w:pPr>
              <w:pStyle w:val="TableText"/>
              <w:cnfStyle w:val="100000000000" w:firstRow="1" w:lastRow="0" w:firstColumn="0" w:lastColumn="0" w:oddVBand="0" w:evenVBand="0" w:oddHBand="0" w:evenHBand="0" w:firstRowFirstColumn="0" w:firstRowLastColumn="0" w:lastRowFirstColumn="0" w:lastRowLastColumn="0"/>
              <w:rPr>
                <w:bCs w:val="0"/>
              </w:rPr>
            </w:pPr>
            <w:r w:rsidRPr="007A1075">
              <w:t>Cohort</w:t>
            </w:r>
          </w:p>
        </w:tc>
        <w:tc>
          <w:tcPr>
            <w:tcW w:w="0" w:type="dxa"/>
            <w:hideMark/>
          </w:tcPr>
          <w:p w14:paraId="529C57F8" w14:textId="77777777" w:rsidR="00A03968" w:rsidRPr="007A1075" w:rsidRDefault="00A03968" w:rsidP="001267B9">
            <w:pPr>
              <w:pStyle w:val="TableText"/>
              <w:cnfStyle w:val="100000000000" w:firstRow="1" w:lastRow="0" w:firstColumn="0" w:lastColumn="0" w:oddVBand="0" w:evenVBand="0" w:oddHBand="0" w:evenHBand="0" w:firstRowFirstColumn="0" w:firstRowLastColumn="0" w:lastRowFirstColumn="0" w:lastRowLastColumn="0"/>
              <w:rPr>
                <w:bCs w:val="0"/>
              </w:rPr>
            </w:pPr>
            <w:r w:rsidRPr="007A1075">
              <w:t>Outcome type</w:t>
            </w:r>
          </w:p>
        </w:tc>
        <w:tc>
          <w:tcPr>
            <w:tcW w:w="3881" w:type="dxa"/>
            <w:noWrap/>
            <w:hideMark/>
          </w:tcPr>
          <w:p w14:paraId="52E7B5AC" w14:textId="77777777" w:rsidR="00A03968" w:rsidRPr="007A1075" w:rsidRDefault="00A03968" w:rsidP="001267B9">
            <w:pPr>
              <w:pStyle w:val="TableText"/>
              <w:cnfStyle w:val="100000000000" w:firstRow="1" w:lastRow="0" w:firstColumn="0" w:lastColumn="0" w:oddVBand="0" w:evenVBand="0" w:oddHBand="0" w:evenHBand="0" w:firstRowFirstColumn="0" w:firstRowLastColumn="0" w:lastRowFirstColumn="0" w:lastRowLastColumn="0"/>
              <w:rPr>
                <w:bCs w:val="0"/>
              </w:rPr>
            </w:pPr>
            <w:r w:rsidRPr="007A1075">
              <w:t>Domain</w:t>
            </w:r>
          </w:p>
        </w:tc>
        <w:tc>
          <w:tcPr>
            <w:tcW w:w="993" w:type="dxa"/>
            <w:hideMark/>
          </w:tcPr>
          <w:p w14:paraId="1E317149" w14:textId="77777777" w:rsidR="00A03968" w:rsidRPr="007A1075" w:rsidRDefault="00A03968" w:rsidP="001267B9">
            <w:pPr>
              <w:pStyle w:val="TableText"/>
              <w:cnfStyle w:val="100000000000" w:firstRow="1" w:lastRow="0" w:firstColumn="0" w:lastColumn="0" w:oddVBand="0" w:evenVBand="0" w:oddHBand="0" w:evenHBand="0" w:firstRowFirstColumn="0" w:firstRowLastColumn="0" w:lastRowFirstColumn="0" w:lastRowLastColumn="0"/>
              <w:rPr>
                <w:bCs w:val="0"/>
              </w:rPr>
            </w:pPr>
            <w:r w:rsidRPr="007A1075">
              <w:t>SCORE change (mean)</w:t>
            </w:r>
          </w:p>
        </w:tc>
        <w:tc>
          <w:tcPr>
            <w:tcW w:w="1559" w:type="dxa"/>
            <w:noWrap/>
            <w:hideMark/>
          </w:tcPr>
          <w:p w14:paraId="69D3C347" w14:textId="77777777" w:rsidR="00A03968" w:rsidRPr="007A1075" w:rsidRDefault="00A03968" w:rsidP="001267B9">
            <w:pPr>
              <w:pStyle w:val="TableText"/>
              <w:cnfStyle w:val="100000000000" w:firstRow="1" w:lastRow="0" w:firstColumn="0" w:lastColumn="0" w:oddVBand="0" w:evenVBand="0" w:oddHBand="0" w:evenHBand="0" w:firstRowFirstColumn="0" w:firstRowLastColumn="0" w:lastRowFirstColumn="0" w:lastRowLastColumn="0"/>
              <w:rPr>
                <w:bCs w:val="0"/>
              </w:rPr>
            </w:pPr>
            <w:r w:rsidRPr="007A1075">
              <w:t>Wilcoxon</w:t>
            </w:r>
          </w:p>
        </w:tc>
        <w:tc>
          <w:tcPr>
            <w:tcW w:w="1134" w:type="dxa"/>
            <w:noWrap/>
            <w:hideMark/>
          </w:tcPr>
          <w:p w14:paraId="7BF758C0" w14:textId="77777777" w:rsidR="00A03968" w:rsidRPr="007A1075" w:rsidRDefault="00A03968" w:rsidP="001267B9">
            <w:pPr>
              <w:pStyle w:val="TableText"/>
              <w:cnfStyle w:val="100000000000" w:firstRow="1" w:lastRow="0" w:firstColumn="0" w:lastColumn="0" w:oddVBand="0" w:evenVBand="0" w:oddHBand="0" w:evenHBand="0" w:firstRowFirstColumn="0" w:firstRowLastColumn="0" w:lastRowFirstColumn="0" w:lastRowLastColumn="0"/>
              <w:rPr>
                <w:bCs w:val="0"/>
              </w:rPr>
            </w:pPr>
            <w:r w:rsidRPr="007A1075">
              <w:t>n</w:t>
            </w:r>
          </w:p>
        </w:tc>
        <w:tc>
          <w:tcPr>
            <w:tcW w:w="850" w:type="dxa"/>
            <w:noWrap/>
            <w:hideMark/>
          </w:tcPr>
          <w:p w14:paraId="5B14B569" w14:textId="77777777" w:rsidR="00A03968" w:rsidRPr="007A1075" w:rsidRDefault="00A03968" w:rsidP="001267B9">
            <w:pPr>
              <w:pStyle w:val="TableText"/>
              <w:cnfStyle w:val="100000000000" w:firstRow="1" w:lastRow="0" w:firstColumn="0" w:lastColumn="0" w:oddVBand="0" w:evenVBand="0" w:oddHBand="0" w:evenHBand="0" w:firstRowFirstColumn="0" w:firstRowLastColumn="0" w:lastRowFirstColumn="0" w:lastRowLastColumn="0"/>
              <w:rPr>
                <w:bCs w:val="0"/>
              </w:rPr>
            </w:pPr>
            <w:r w:rsidRPr="007A1075">
              <w:t>p</w:t>
            </w:r>
          </w:p>
        </w:tc>
        <w:tc>
          <w:tcPr>
            <w:tcW w:w="1701" w:type="dxa"/>
            <w:hideMark/>
          </w:tcPr>
          <w:p w14:paraId="44805A21" w14:textId="77777777" w:rsidR="00A03968" w:rsidRPr="007A1075" w:rsidRDefault="00A03968" w:rsidP="001267B9">
            <w:pPr>
              <w:pStyle w:val="TableText"/>
              <w:cnfStyle w:val="100000000000" w:firstRow="1" w:lastRow="0" w:firstColumn="0" w:lastColumn="0" w:oddVBand="0" w:evenVBand="0" w:oddHBand="0" w:evenHBand="0" w:firstRowFirstColumn="0" w:firstRowLastColumn="0" w:lastRowFirstColumn="0" w:lastRowLastColumn="0"/>
              <w:rPr>
                <w:bCs w:val="0"/>
              </w:rPr>
            </w:pPr>
            <w:r>
              <w:t>Service users</w:t>
            </w:r>
            <w:r w:rsidRPr="007A1075">
              <w:t xml:space="preserve"> with positive change (%, n)</w:t>
            </w:r>
          </w:p>
        </w:tc>
      </w:tr>
      <w:tr w:rsidR="00680B14" w:rsidRPr="007A1075" w14:paraId="48DE147E" w14:textId="77777777" w:rsidTr="0078378F">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0" w:type="dxa"/>
            <w:vMerge w:val="restart"/>
            <w:tcBorders>
              <w:top w:val="none" w:sz="0" w:space="0" w:color="auto"/>
              <w:bottom w:val="none" w:sz="0" w:space="0" w:color="auto"/>
              <w:right w:val="none" w:sz="0" w:space="0" w:color="auto"/>
            </w:tcBorders>
            <w:hideMark/>
          </w:tcPr>
          <w:p w14:paraId="22354D2E" w14:textId="77777777" w:rsidR="00A03968" w:rsidRPr="00A44F28" w:rsidRDefault="001267B9" w:rsidP="001267B9">
            <w:pPr>
              <w:pStyle w:val="TableText"/>
              <w:rPr>
                <w:lang w:val="en-NZ"/>
              </w:rPr>
            </w:pPr>
            <w:r>
              <w:t>FaRS</w:t>
            </w:r>
          </w:p>
          <w:p w14:paraId="48624424" w14:textId="19064FEF" w:rsidR="00A03968" w:rsidRPr="00A44F28" w:rsidRDefault="00A03968" w:rsidP="001267B9">
            <w:pPr>
              <w:pStyle w:val="TableText"/>
              <w:rPr>
                <w:b w:val="0"/>
                <w:bCs w:val="0"/>
                <w:lang w:val="en-NZ"/>
              </w:rPr>
            </w:pPr>
          </w:p>
        </w:tc>
        <w:tc>
          <w:tcPr>
            <w:tcW w:w="0" w:type="dxa"/>
            <w:vMerge w:val="restart"/>
            <w:tcBorders>
              <w:top w:val="none" w:sz="0" w:space="0" w:color="auto"/>
              <w:bottom w:val="none" w:sz="0" w:space="0" w:color="auto"/>
            </w:tcBorders>
            <w:hideMark/>
          </w:tcPr>
          <w:p w14:paraId="07349969" w14:textId="77777777" w:rsidR="00A03968" w:rsidRPr="007A1075" w:rsidRDefault="001267B9" w:rsidP="001267B9">
            <w:pPr>
              <w:pStyle w:val="TableText"/>
              <w:cnfStyle w:val="000000100000" w:firstRow="0" w:lastRow="0" w:firstColumn="0" w:lastColumn="0" w:oddVBand="0" w:evenVBand="0" w:oddHBand="1" w:evenHBand="0" w:firstRowFirstColumn="0" w:firstRowLastColumn="0" w:lastRowFirstColumn="0" w:lastRowLastColumn="0"/>
            </w:pPr>
            <w:r>
              <w:t>Adults</w:t>
            </w:r>
          </w:p>
          <w:p w14:paraId="43FE0BEE" w14:textId="71DEB0E1" w:rsidR="00A03968" w:rsidRPr="007A1075" w:rsidRDefault="00A03968" w:rsidP="001267B9">
            <w:pPr>
              <w:pStyle w:val="TableText"/>
              <w:cnfStyle w:val="000000100000" w:firstRow="0" w:lastRow="0" w:firstColumn="0" w:lastColumn="0" w:oddVBand="0" w:evenVBand="0" w:oddHBand="1" w:evenHBand="0" w:firstRowFirstColumn="0" w:firstRowLastColumn="0" w:lastRowFirstColumn="0" w:lastRowLastColumn="0"/>
            </w:pPr>
          </w:p>
        </w:tc>
        <w:tc>
          <w:tcPr>
            <w:tcW w:w="0" w:type="dxa"/>
            <w:vMerge w:val="restart"/>
            <w:tcBorders>
              <w:top w:val="none" w:sz="0" w:space="0" w:color="auto"/>
              <w:bottom w:val="none" w:sz="0" w:space="0" w:color="auto"/>
            </w:tcBorders>
            <w:hideMark/>
          </w:tcPr>
          <w:p w14:paraId="4E9EF72E" w14:textId="77777777" w:rsidR="00A03968" w:rsidRPr="007A1075" w:rsidRDefault="001267B9" w:rsidP="001267B9">
            <w:pPr>
              <w:pStyle w:val="TableText"/>
              <w:cnfStyle w:val="000000100000" w:firstRow="0" w:lastRow="0" w:firstColumn="0" w:lastColumn="0" w:oddVBand="0" w:evenVBand="0" w:oddHBand="1" w:evenHBand="0" w:firstRowFirstColumn="0" w:firstRowLastColumn="0" w:lastRowFirstColumn="0" w:lastRowLastColumn="0"/>
            </w:pPr>
            <w:r>
              <w:t>Circumstances</w:t>
            </w:r>
          </w:p>
          <w:p w14:paraId="041C8673" w14:textId="07EDF364" w:rsidR="00A03968" w:rsidRPr="007A1075" w:rsidRDefault="00A03968" w:rsidP="001267B9">
            <w:pPr>
              <w:pStyle w:val="TableText"/>
              <w:cnfStyle w:val="000000100000" w:firstRow="0" w:lastRow="0" w:firstColumn="0" w:lastColumn="0" w:oddVBand="0" w:evenVBand="0" w:oddHBand="1" w:evenHBand="0" w:firstRowFirstColumn="0" w:firstRowLastColumn="0" w:lastRowFirstColumn="0" w:lastRowLastColumn="0"/>
            </w:pPr>
          </w:p>
        </w:tc>
        <w:tc>
          <w:tcPr>
            <w:tcW w:w="3881" w:type="dxa"/>
            <w:tcBorders>
              <w:top w:val="none" w:sz="0" w:space="0" w:color="auto"/>
              <w:bottom w:val="none" w:sz="0" w:space="0" w:color="auto"/>
            </w:tcBorders>
            <w:noWrap/>
            <w:hideMark/>
          </w:tcPr>
          <w:p w14:paraId="555EAD36" w14:textId="15F8AA54" w:rsidR="00A03968" w:rsidRPr="007A1075" w:rsidRDefault="001267B9" w:rsidP="001267B9">
            <w:pPr>
              <w:pStyle w:val="TableText"/>
              <w:cnfStyle w:val="000000100000" w:firstRow="0" w:lastRow="0" w:firstColumn="0" w:lastColumn="0" w:oddVBand="0" w:evenVBand="0" w:oddHBand="1" w:evenHBand="0" w:firstRowFirstColumn="0" w:firstRowLastColumn="0" w:lastRowFirstColumn="0" w:lastRowLastColumn="0"/>
            </w:pPr>
            <w:r>
              <w:t>Family functioning</w:t>
            </w:r>
          </w:p>
        </w:tc>
        <w:tc>
          <w:tcPr>
            <w:tcW w:w="993" w:type="dxa"/>
            <w:tcBorders>
              <w:top w:val="none" w:sz="0" w:space="0" w:color="auto"/>
              <w:bottom w:val="none" w:sz="0" w:space="0" w:color="auto"/>
            </w:tcBorders>
            <w:noWrap/>
            <w:hideMark/>
          </w:tcPr>
          <w:p w14:paraId="2C27DCBE" w14:textId="5EE6CD3B" w:rsidR="00A03968" w:rsidRPr="007A1075" w:rsidRDefault="001267B9" w:rsidP="001267B9">
            <w:pPr>
              <w:pStyle w:val="TableText"/>
              <w:cnfStyle w:val="000000100000" w:firstRow="0" w:lastRow="0" w:firstColumn="0" w:lastColumn="0" w:oddVBand="0" w:evenVBand="0" w:oddHBand="1" w:evenHBand="0" w:firstRowFirstColumn="0" w:firstRowLastColumn="0" w:lastRowFirstColumn="0" w:lastRowLastColumn="0"/>
            </w:pPr>
            <w:r>
              <w:t>0.78</w:t>
            </w:r>
          </w:p>
        </w:tc>
        <w:tc>
          <w:tcPr>
            <w:tcW w:w="0" w:type="dxa"/>
            <w:tcBorders>
              <w:top w:val="none" w:sz="0" w:space="0" w:color="auto"/>
              <w:bottom w:val="none" w:sz="0" w:space="0" w:color="auto"/>
            </w:tcBorders>
            <w:noWrap/>
            <w:hideMark/>
          </w:tcPr>
          <w:p w14:paraId="104C1CA0" w14:textId="06EE042C" w:rsidR="00A03968" w:rsidRPr="007A1075" w:rsidRDefault="001267B9" w:rsidP="001267B9">
            <w:pPr>
              <w:pStyle w:val="TableText"/>
              <w:cnfStyle w:val="000000100000" w:firstRow="0" w:lastRow="0" w:firstColumn="0" w:lastColumn="0" w:oddVBand="0" w:evenVBand="0" w:oddHBand="1" w:evenHBand="0" w:firstRowFirstColumn="0" w:firstRowLastColumn="0" w:lastRowFirstColumn="0" w:lastRowLastColumn="0"/>
            </w:pPr>
            <w:r>
              <w:t>193521509</w:t>
            </w:r>
          </w:p>
        </w:tc>
        <w:tc>
          <w:tcPr>
            <w:tcW w:w="0" w:type="dxa"/>
            <w:tcBorders>
              <w:top w:val="none" w:sz="0" w:space="0" w:color="auto"/>
              <w:bottom w:val="none" w:sz="0" w:space="0" w:color="auto"/>
            </w:tcBorders>
            <w:noWrap/>
            <w:hideMark/>
          </w:tcPr>
          <w:p w14:paraId="52F2D10F" w14:textId="0833979F" w:rsidR="00A03968" w:rsidRPr="007A1075" w:rsidRDefault="001267B9" w:rsidP="001267B9">
            <w:pPr>
              <w:pStyle w:val="TableText"/>
              <w:cnfStyle w:val="000000100000" w:firstRow="0" w:lastRow="0" w:firstColumn="0" w:lastColumn="0" w:oddVBand="0" w:evenVBand="0" w:oddHBand="1" w:evenHBand="0" w:firstRowFirstColumn="0" w:firstRowLastColumn="0" w:lastRowFirstColumn="0" w:lastRowLastColumn="0"/>
            </w:pPr>
            <w:r>
              <w:t>60</w:t>
            </w:r>
            <w:r w:rsidR="0087238F">
              <w:t>,</w:t>
            </w:r>
            <w:r>
              <w:t>992</w:t>
            </w:r>
          </w:p>
        </w:tc>
        <w:tc>
          <w:tcPr>
            <w:tcW w:w="0" w:type="dxa"/>
            <w:tcBorders>
              <w:top w:val="none" w:sz="0" w:space="0" w:color="auto"/>
              <w:bottom w:val="none" w:sz="0" w:space="0" w:color="auto"/>
            </w:tcBorders>
            <w:noWrap/>
            <w:hideMark/>
          </w:tcPr>
          <w:p w14:paraId="484B095C" w14:textId="0EF1355A" w:rsidR="00A03968" w:rsidRPr="007A1075" w:rsidRDefault="001267B9" w:rsidP="001267B9">
            <w:pPr>
              <w:pStyle w:val="TableText"/>
              <w:cnfStyle w:val="000000100000" w:firstRow="0" w:lastRow="0" w:firstColumn="0" w:lastColumn="0" w:oddVBand="0" w:evenVBand="0" w:oddHBand="1" w:evenHBand="0" w:firstRowFirstColumn="0" w:firstRowLastColumn="0" w:lastRowFirstColumn="0" w:lastRowLastColumn="0"/>
            </w:pPr>
            <w:r>
              <w:t>&lt;.001</w:t>
            </w:r>
          </w:p>
        </w:tc>
        <w:tc>
          <w:tcPr>
            <w:tcW w:w="0" w:type="dxa"/>
            <w:tcBorders>
              <w:top w:val="none" w:sz="0" w:space="0" w:color="auto"/>
              <w:bottom w:val="none" w:sz="0" w:space="0" w:color="auto"/>
            </w:tcBorders>
            <w:noWrap/>
            <w:hideMark/>
          </w:tcPr>
          <w:p w14:paraId="01B2F142" w14:textId="0111AABA" w:rsidR="00A03968" w:rsidRPr="007A1075" w:rsidRDefault="001267B9" w:rsidP="001267B9">
            <w:pPr>
              <w:pStyle w:val="TableText"/>
              <w:cnfStyle w:val="000000100000" w:firstRow="0" w:lastRow="0" w:firstColumn="0" w:lastColumn="0" w:oddVBand="0" w:evenVBand="0" w:oddHBand="1" w:evenHBand="0" w:firstRowFirstColumn="0" w:firstRowLastColumn="0" w:lastRowFirstColumn="0" w:lastRowLastColumn="0"/>
            </w:pPr>
            <w:r>
              <w:t>54.5% (n=33</w:t>
            </w:r>
            <w:r w:rsidR="0087238F">
              <w:t>,</w:t>
            </w:r>
            <w:r>
              <w:t>247)</w:t>
            </w:r>
          </w:p>
        </w:tc>
      </w:tr>
      <w:tr w:rsidR="00680B14" w:rsidRPr="007A1075" w14:paraId="46E8E00A" w14:textId="77777777" w:rsidTr="0078378F">
        <w:trPr>
          <w:trHeight w:val="290"/>
        </w:trPr>
        <w:tc>
          <w:tcPr>
            <w:cnfStyle w:val="001000000000" w:firstRow="0" w:lastRow="0" w:firstColumn="1" w:lastColumn="0" w:oddVBand="0" w:evenVBand="0" w:oddHBand="0" w:evenHBand="0" w:firstRowFirstColumn="0" w:firstRowLastColumn="0" w:lastRowFirstColumn="0" w:lastRowLastColumn="0"/>
            <w:tcW w:w="975" w:type="dxa"/>
            <w:vMerge/>
            <w:tcBorders>
              <w:right w:val="none" w:sz="0" w:space="0" w:color="auto"/>
            </w:tcBorders>
            <w:hideMark/>
          </w:tcPr>
          <w:p w14:paraId="0AC5035D" w14:textId="77777777" w:rsidR="00826536" w:rsidRPr="007A1075" w:rsidRDefault="00826536" w:rsidP="001267B9">
            <w:pPr>
              <w:pStyle w:val="TableText"/>
            </w:pPr>
          </w:p>
        </w:tc>
        <w:tc>
          <w:tcPr>
            <w:tcW w:w="905" w:type="dxa"/>
            <w:vMerge/>
            <w:hideMark/>
          </w:tcPr>
          <w:p w14:paraId="431ECC3E" w14:textId="77777777" w:rsidR="00A03968" w:rsidRPr="007A1075" w:rsidRDefault="00A03968" w:rsidP="001267B9">
            <w:pPr>
              <w:pStyle w:val="TableText"/>
              <w:cnfStyle w:val="000000000000" w:firstRow="0" w:lastRow="0" w:firstColumn="0" w:lastColumn="0" w:oddVBand="0" w:evenVBand="0" w:oddHBand="0" w:evenHBand="0" w:firstRowFirstColumn="0" w:firstRowLastColumn="0" w:lastRowFirstColumn="0" w:lastRowLastColumn="0"/>
            </w:pPr>
          </w:p>
        </w:tc>
        <w:tc>
          <w:tcPr>
            <w:tcW w:w="1605" w:type="dxa"/>
            <w:vMerge/>
            <w:hideMark/>
          </w:tcPr>
          <w:p w14:paraId="0F8E4EFA" w14:textId="77777777" w:rsidR="00A03968" w:rsidRPr="007A1075" w:rsidRDefault="00A03968" w:rsidP="001267B9">
            <w:pPr>
              <w:pStyle w:val="TableText"/>
              <w:cnfStyle w:val="000000000000" w:firstRow="0" w:lastRow="0" w:firstColumn="0" w:lastColumn="0" w:oddVBand="0" w:evenVBand="0" w:oddHBand="0" w:evenHBand="0" w:firstRowFirstColumn="0" w:firstRowLastColumn="0" w:lastRowFirstColumn="0" w:lastRowLastColumn="0"/>
            </w:pPr>
          </w:p>
        </w:tc>
        <w:tc>
          <w:tcPr>
            <w:tcW w:w="3881" w:type="dxa"/>
            <w:noWrap/>
            <w:hideMark/>
          </w:tcPr>
          <w:p w14:paraId="6178883D" w14:textId="3BF3DC43" w:rsidR="00A03968" w:rsidRPr="007A1075" w:rsidRDefault="001267B9" w:rsidP="001267B9">
            <w:pPr>
              <w:pStyle w:val="TableText"/>
              <w:cnfStyle w:val="000000000000" w:firstRow="0" w:lastRow="0" w:firstColumn="0" w:lastColumn="0" w:oddVBand="0" w:evenVBand="0" w:oddHBand="0" w:evenHBand="0" w:firstRowFirstColumn="0" w:firstRowLastColumn="0" w:lastRowFirstColumn="0" w:lastRowLastColumn="0"/>
            </w:pPr>
            <w:r w:rsidRPr="3AB749BF">
              <w:rPr>
                <w:lang w:val="en-NZ"/>
              </w:rPr>
              <w:t>Mental health, wellbeing and self-care</w:t>
            </w:r>
          </w:p>
        </w:tc>
        <w:tc>
          <w:tcPr>
            <w:tcW w:w="993" w:type="dxa"/>
            <w:noWrap/>
            <w:hideMark/>
          </w:tcPr>
          <w:p w14:paraId="680F6792" w14:textId="774CE3B8" w:rsidR="00A03968" w:rsidRPr="007A1075" w:rsidRDefault="001267B9" w:rsidP="001267B9">
            <w:pPr>
              <w:pStyle w:val="TableText"/>
              <w:cnfStyle w:val="000000000000" w:firstRow="0" w:lastRow="0" w:firstColumn="0" w:lastColumn="0" w:oddVBand="0" w:evenVBand="0" w:oddHBand="0" w:evenHBand="0" w:firstRowFirstColumn="0" w:firstRowLastColumn="0" w:lastRowFirstColumn="0" w:lastRowLastColumn="0"/>
            </w:pPr>
            <w:r>
              <w:t>0.76</w:t>
            </w:r>
          </w:p>
        </w:tc>
        <w:tc>
          <w:tcPr>
            <w:tcW w:w="1559" w:type="dxa"/>
            <w:noWrap/>
            <w:hideMark/>
          </w:tcPr>
          <w:p w14:paraId="32053CF5" w14:textId="4A4E4336" w:rsidR="00A03968" w:rsidRPr="007A1075" w:rsidRDefault="001267B9" w:rsidP="001267B9">
            <w:pPr>
              <w:pStyle w:val="TableText"/>
              <w:cnfStyle w:val="000000000000" w:firstRow="0" w:lastRow="0" w:firstColumn="0" w:lastColumn="0" w:oddVBand="0" w:evenVBand="0" w:oddHBand="0" w:evenHBand="0" w:firstRowFirstColumn="0" w:firstRowLastColumn="0" w:lastRowFirstColumn="0" w:lastRowLastColumn="0"/>
            </w:pPr>
            <w:r>
              <w:t>161649720.5</w:t>
            </w:r>
          </w:p>
        </w:tc>
        <w:tc>
          <w:tcPr>
            <w:tcW w:w="1134" w:type="dxa"/>
            <w:noWrap/>
            <w:hideMark/>
          </w:tcPr>
          <w:p w14:paraId="0E005295" w14:textId="3E4C64B6" w:rsidR="00A03968" w:rsidRPr="007A1075" w:rsidRDefault="001267B9" w:rsidP="001267B9">
            <w:pPr>
              <w:pStyle w:val="TableText"/>
              <w:cnfStyle w:val="000000000000" w:firstRow="0" w:lastRow="0" w:firstColumn="0" w:lastColumn="0" w:oddVBand="0" w:evenVBand="0" w:oddHBand="0" w:evenHBand="0" w:firstRowFirstColumn="0" w:firstRowLastColumn="0" w:lastRowFirstColumn="0" w:lastRowLastColumn="0"/>
            </w:pPr>
            <w:r>
              <w:t>55</w:t>
            </w:r>
            <w:r w:rsidR="0087238F">
              <w:t>,</w:t>
            </w:r>
            <w:r>
              <w:t>723</w:t>
            </w:r>
          </w:p>
        </w:tc>
        <w:tc>
          <w:tcPr>
            <w:tcW w:w="850" w:type="dxa"/>
            <w:noWrap/>
            <w:hideMark/>
          </w:tcPr>
          <w:p w14:paraId="3D6CCDDC" w14:textId="4F243E64" w:rsidR="00A03968" w:rsidRPr="007A1075" w:rsidRDefault="001267B9" w:rsidP="001267B9">
            <w:pPr>
              <w:pStyle w:val="TableText"/>
              <w:cnfStyle w:val="000000000000" w:firstRow="0" w:lastRow="0" w:firstColumn="0" w:lastColumn="0" w:oddVBand="0" w:evenVBand="0" w:oddHBand="0" w:evenHBand="0" w:firstRowFirstColumn="0" w:firstRowLastColumn="0" w:lastRowFirstColumn="0" w:lastRowLastColumn="0"/>
            </w:pPr>
            <w:r>
              <w:t>&lt;.001</w:t>
            </w:r>
          </w:p>
        </w:tc>
        <w:tc>
          <w:tcPr>
            <w:tcW w:w="1701" w:type="dxa"/>
            <w:noWrap/>
            <w:hideMark/>
          </w:tcPr>
          <w:p w14:paraId="12223F73" w14:textId="2C7E9023" w:rsidR="00A03968" w:rsidRPr="007A1075" w:rsidRDefault="001267B9" w:rsidP="001267B9">
            <w:pPr>
              <w:pStyle w:val="TableText"/>
              <w:cnfStyle w:val="000000000000" w:firstRow="0" w:lastRow="0" w:firstColumn="0" w:lastColumn="0" w:oddVBand="0" w:evenVBand="0" w:oddHBand="0" w:evenHBand="0" w:firstRowFirstColumn="0" w:firstRowLastColumn="0" w:lastRowFirstColumn="0" w:lastRowLastColumn="0"/>
            </w:pPr>
            <w:r>
              <w:t>54.7% (n=30</w:t>
            </w:r>
            <w:r w:rsidR="0087238F">
              <w:t>,</w:t>
            </w:r>
            <w:r>
              <w:t>487)</w:t>
            </w:r>
          </w:p>
        </w:tc>
      </w:tr>
      <w:tr w:rsidR="00680B14" w:rsidRPr="007A1075" w14:paraId="3DE5B7EB" w14:textId="77777777" w:rsidTr="0078378F">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75" w:type="dxa"/>
            <w:vMerge/>
            <w:tcBorders>
              <w:top w:val="none" w:sz="0" w:space="0" w:color="auto"/>
              <w:bottom w:val="none" w:sz="0" w:space="0" w:color="auto"/>
              <w:right w:val="none" w:sz="0" w:space="0" w:color="auto"/>
            </w:tcBorders>
            <w:hideMark/>
          </w:tcPr>
          <w:p w14:paraId="6EE7C17D" w14:textId="77777777" w:rsidR="00826536" w:rsidRPr="007A1075" w:rsidRDefault="00826536" w:rsidP="001267B9">
            <w:pPr>
              <w:pStyle w:val="TableText"/>
            </w:pPr>
          </w:p>
        </w:tc>
        <w:tc>
          <w:tcPr>
            <w:tcW w:w="905" w:type="dxa"/>
            <w:vMerge/>
            <w:tcBorders>
              <w:top w:val="none" w:sz="0" w:space="0" w:color="auto"/>
              <w:bottom w:val="none" w:sz="0" w:space="0" w:color="auto"/>
            </w:tcBorders>
            <w:hideMark/>
          </w:tcPr>
          <w:p w14:paraId="4BF6BACA" w14:textId="77777777" w:rsidR="00A03968" w:rsidRPr="007A1075" w:rsidRDefault="00A03968" w:rsidP="001267B9">
            <w:pPr>
              <w:pStyle w:val="TableText"/>
              <w:cnfStyle w:val="000000100000" w:firstRow="0" w:lastRow="0" w:firstColumn="0" w:lastColumn="0" w:oddVBand="0" w:evenVBand="0" w:oddHBand="1" w:evenHBand="0" w:firstRowFirstColumn="0" w:firstRowLastColumn="0" w:lastRowFirstColumn="0" w:lastRowLastColumn="0"/>
            </w:pPr>
          </w:p>
        </w:tc>
        <w:tc>
          <w:tcPr>
            <w:tcW w:w="1605" w:type="dxa"/>
            <w:vMerge/>
            <w:tcBorders>
              <w:top w:val="none" w:sz="0" w:space="0" w:color="auto"/>
              <w:bottom w:val="none" w:sz="0" w:space="0" w:color="auto"/>
            </w:tcBorders>
            <w:hideMark/>
          </w:tcPr>
          <w:p w14:paraId="5368C441" w14:textId="77777777" w:rsidR="00A03968" w:rsidRPr="007A1075" w:rsidRDefault="00A03968" w:rsidP="001267B9">
            <w:pPr>
              <w:pStyle w:val="TableText"/>
              <w:cnfStyle w:val="000000100000" w:firstRow="0" w:lastRow="0" w:firstColumn="0" w:lastColumn="0" w:oddVBand="0" w:evenVBand="0" w:oddHBand="1" w:evenHBand="0" w:firstRowFirstColumn="0" w:firstRowLastColumn="0" w:lastRowFirstColumn="0" w:lastRowLastColumn="0"/>
            </w:pPr>
          </w:p>
        </w:tc>
        <w:tc>
          <w:tcPr>
            <w:tcW w:w="3881" w:type="dxa"/>
            <w:tcBorders>
              <w:top w:val="none" w:sz="0" w:space="0" w:color="auto"/>
              <w:bottom w:val="none" w:sz="0" w:space="0" w:color="auto"/>
            </w:tcBorders>
            <w:noWrap/>
            <w:hideMark/>
          </w:tcPr>
          <w:p w14:paraId="753DC887" w14:textId="0D1C28CB" w:rsidR="00A03968" w:rsidRPr="007A1075" w:rsidRDefault="001267B9" w:rsidP="001267B9">
            <w:pPr>
              <w:pStyle w:val="TableText"/>
              <w:cnfStyle w:val="000000100000" w:firstRow="0" w:lastRow="0" w:firstColumn="0" w:lastColumn="0" w:oddVBand="0" w:evenVBand="0" w:oddHBand="1" w:evenHBand="0" w:firstRowFirstColumn="0" w:firstRowLastColumn="0" w:lastRowFirstColumn="0" w:lastRowLastColumn="0"/>
            </w:pPr>
            <w:r>
              <w:t>Personal and family safety</w:t>
            </w:r>
          </w:p>
        </w:tc>
        <w:tc>
          <w:tcPr>
            <w:tcW w:w="993" w:type="dxa"/>
            <w:tcBorders>
              <w:top w:val="none" w:sz="0" w:space="0" w:color="auto"/>
              <w:bottom w:val="none" w:sz="0" w:space="0" w:color="auto"/>
            </w:tcBorders>
            <w:noWrap/>
            <w:hideMark/>
          </w:tcPr>
          <w:p w14:paraId="5E42D7DB" w14:textId="4DB4FF1A" w:rsidR="00A03968" w:rsidRPr="007A1075" w:rsidRDefault="001267B9" w:rsidP="001267B9">
            <w:pPr>
              <w:pStyle w:val="TableText"/>
              <w:cnfStyle w:val="000000100000" w:firstRow="0" w:lastRow="0" w:firstColumn="0" w:lastColumn="0" w:oddVBand="0" w:evenVBand="0" w:oddHBand="1" w:evenHBand="0" w:firstRowFirstColumn="0" w:firstRowLastColumn="0" w:lastRowFirstColumn="0" w:lastRowLastColumn="0"/>
            </w:pPr>
            <w:r>
              <w:t>0.55</w:t>
            </w:r>
          </w:p>
        </w:tc>
        <w:tc>
          <w:tcPr>
            <w:tcW w:w="1559" w:type="dxa"/>
            <w:tcBorders>
              <w:top w:val="none" w:sz="0" w:space="0" w:color="auto"/>
              <w:bottom w:val="none" w:sz="0" w:space="0" w:color="auto"/>
            </w:tcBorders>
            <w:noWrap/>
            <w:hideMark/>
          </w:tcPr>
          <w:p w14:paraId="455FCD4B" w14:textId="518D14B1" w:rsidR="00A03968" w:rsidRPr="007A1075" w:rsidRDefault="001267B9" w:rsidP="001267B9">
            <w:pPr>
              <w:pStyle w:val="TableText"/>
              <w:cnfStyle w:val="000000100000" w:firstRow="0" w:lastRow="0" w:firstColumn="0" w:lastColumn="0" w:oddVBand="0" w:evenVBand="0" w:oddHBand="1" w:evenHBand="0" w:firstRowFirstColumn="0" w:firstRowLastColumn="0" w:lastRowFirstColumn="0" w:lastRowLastColumn="0"/>
            </w:pPr>
            <w:r>
              <w:t>108367080.5</w:t>
            </w:r>
          </w:p>
        </w:tc>
        <w:tc>
          <w:tcPr>
            <w:tcW w:w="1134" w:type="dxa"/>
            <w:tcBorders>
              <w:top w:val="none" w:sz="0" w:space="0" w:color="auto"/>
              <w:bottom w:val="none" w:sz="0" w:space="0" w:color="auto"/>
            </w:tcBorders>
            <w:noWrap/>
            <w:hideMark/>
          </w:tcPr>
          <w:p w14:paraId="07537CD5" w14:textId="6382E2B3" w:rsidR="00A03968" w:rsidRPr="007A1075" w:rsidRDefault="001267B9" w:rsidP="001267B9">
            <w:pPr>
              <w:pStyle w:val="TableText"/>
              <w:cnfStyle w:val="000000100000" w:firstRow="0" w:lastRow="0" w:firstColumn="0" w:lastColumn="0" w:oddVBand="0" w:evenVBand="0" w:oddHBand="1" w:evenHBand="0" w:firstRowFirstColumn="0" w:firstRowLastColumn="0" w:lastRowFirstColumn="0" w:lastRowLastColumn="0"/>
            </w:pPr>
            <w:r>
              <w:t>38</w:t>
            </w:r>
            <w:r w:rsidR="0087238F">
              <w:t>,</w:t>
            </w:r>
            <w:r>
              <w:t>622</w:t>
            </w:r>
          </w:p>
        </w:tc>
        <w:tc>
          <w:tcPr>
            <w:tcW w:w="850" w:type="dxa"/>
            <w:tcBorders>
              <w:top w:val="none" w:sz="0" w:space="0" w:color="auto"/>
              <w:bottom w:val="none" w:sz="0" w:space="0" w:color="auto"/>
            </w:tcBorders>
            <w:noWrap/>
            <w:hideMark/>
          </w:tcPr>
          <w:p w14:paraId="28E8AEE7" w14:textId="3FA75BD3" w:rsidR="00A03968" w:rsidRPr="007A1075" w:rsidRDefault="001267B9" w:rsidP="001267B9">
            <w:pPr>
              <w:pStyle w:val="TableText"/>
              <w:cnfStyle w:val="000000100000" w:firstRow="0" w:lastRow="0" w:firstColumn="0" w:lastColumn="0" w:oddVBand="0" w:evenVBand="0" w:oddHBand="1" w:evenHBand="0" w:firstRowFirstColumn="0" w:firstRowLastColumn="0" w:lastRowFirstColumn="0" w:lastRowLastColumn="0"/>
            </w:pPr>
            <w:r>
              <w:t>&lt;.001</w:t>
            </w:r>
          </w:p>
        </w:tc>
        <w:tc>
          <w:tcPr>
            <w:tcW w:w="1701" w:type="dxa"/>
            <w:tcBorders>
              <w:top w:val="none" w:sz="0" w:space="0" w:color="auto"/>
              <w:bottom w:val="none" w:sz="0" w:space="0" w:color="auto"/>
            </w:tcBorders>
            <w:noWrap/>
            <w:hideMark/>
          </w:tcPr>
          <w:p w14:paraId="018A9E40" w14:textId="5CCC1A78" w:rsidR="00A03968" w:rsidRPr="007A1075" w:rsidRDefault="001267B9" w:rsidP="001267B9">
            <w:pPr>
              <w:pStyle w:val="TableText"/>
              <w:cnfStyle w:val="000000100000" w:firstRow="0" w:lastRow="0" w:firstColumn="0" w:lastColumn="0" w:oddVBand="0" w:evenVBand="0" w:oddHBand="1" w:evenHBand="0" w:firstRowFirstColumn="0" w:firstRowLastColumn="0" w:lastRowFirstColumn="0" w:lastRowLastColumn="0"/>
            </w:pPr>
            <w:r>
              <w:t>42.4% (n=16</w:t>
            </w:r>
            <w:r w:rsidR="0087238F">
              <w:t>,</w:t>
            </w:r>
            <w:r>
              <w:t>387)</w:t>
            </w:r>
          </w:p>
        </w:tc>
      </w:tr>
      <w:tr w:rsidR="00680B14" w:rsidRPr="007A1075" w14:paraId="5C1676AC" w14:textId="77777777" w:rsidTr="0078378F">
        <w:trPr>
          <w:trHeight w:val="290"/>
        </w:trPr>
        <w:tc>
          <w:tcPr>
            <w:cnfStyle w:val="001000000000" w:firstRow="0" w:lastRow="0" w:firstColumn="1" w:lastColumn="0" w:oddVBand="0" w:evenVBand="0" w:oddHBand="0" w:evenHBand="0" w:firstRowFirstColumn="0" w:firstRowLastColumn="0" w:lastRowFirstColumn="0" w:lastRowLastColumn="0"/>
            <w:tcW w:w="975" w:type="dxa"/>
            <w:vMerge/>
            <w:tcBorders>
              <w:right w:val="none" w:sz="0" w:space="0" w:color="auto"/>
            </w:tcBorders>
            <w:hideMark/>
          </w:tcPr>
          <w:p w14:paraId="30CD94D4" w14:textId="77777777" w:rsidR="00826536" w:rsidRPr="007A1075" w:rsidRDefault="00826536" w:rsidP="001267B9">
            <w:pPr>
              <w:pStyle w:val="TableText"/>
            </w:pPr>
          </w:p>
        </w:tc>
        <w:tc>
          <w:tcPr>
            <w:tcW w:w="905" w:type="dxa"/>
            <w:vMerge/>
            <w:hideMark/>
          </w:tcPr>
          <w:p w14:paraId="59D361E1" w14:textId="77777777" w:rsidR="00A03968" w:rsidRPr="007A1075" w:rsidRDefault="00A03968" w:rsidP="001267B9">
            <w:pPr>
              <w:pStyle w:val="TableText"/>
              <w:cnfStyle w:val="000000000000" w:firstRow="0" w:lastRow="0" w:firstColumn="0" w:lastColumn="0" w:oddVBand="0" w:evenVBand="0" w:oddHBand="0" w:evenHBand="0" w:firstRowFirstColumn="0" w:firstRowLastColumn="0" w:lastRowFirstColumn="0" w:lastRowLastColumn="0"/>
            </w:pPr>
          </w:p>
        </w:tc>
        <w:tc>
          <w:tcPr>
            <w:tcW w:w="1605" w:type="dxa"/>
            <w:vMerge w:val="restart"/>
            <w:hideMark/>
          </w:tcPr>
          <w:p w14:paraId="4A4B0EA5" w14:textId="77777777" w:rsidR="00A03968" w:rsidRPr="007A1075" w:rsidRDefault="001267B9" w:rsidP="001267B9">
            <w:pPr>
              <w:pStyle w:val="TableText"/>
              <w:cnfStyle w:val="000000000000" w:firstRow="0" w:lastRow="0" w:firstColumn="0" w:lastColumn="0" w:oddVBand="0" w:evenVBand="0" w:oddHBand="0" w:evenHBand="0" w:firstRowFirstColumn="0" w:firstRowLastColumn="0" w:lastRowFirstColumn="0" w:lastRowLastColumn="0"/>
            </w:pPr>
            <w:r>
              <w:t>Goals</w:t>
            </w:r>
          </w:p>
          <w:p w14:paraId="1D5EDEEA" w14:textId="11F6F614" w:rsidR="00A03968" w:rsidRPr="007A1075" w:rsidRDefault="00A03968" w:rsidP="001267B9">
            <w:pPr>
              <w:pStyle w:val="TableText"/>
              <w:cnfStyle w:val="000000000000" w:firstRow="0" w:lastRow="0" w:firstColumn="0" w:lastColumn="0" w:oddVBand="0" w:evenVBand="0" w:oddHBand="0" w:evenHBand="0" w:firstRowFirstColumn="0" w:firstRowLastColumn="0" w:lastRowFirstColumn="0" w:lastRowLastColumn="0"/>
            </w:pPr>
          </w:p>
        </w:tc>
        <w:tc>
          <w:tcPr>
            <w:tcW w:w="3881" w:type="dxa"/>
            <w:noWrap/>
            <w:hideMark/>
          </w:tcPr>
          <w:p w14:paraId="5B9A793E" w14:textId="4EF0BA6C" w:rsidR="00A03968" w:rsidRPr="007A1075" w:rsidRDefault="001267B9" w:rsidP="001267B9">
            <w:pPr>
              <w:pStyle w:val="TableText"/>
              <w:cnfStyle w:val="000000000000" w:firstRow="0" w:lastRow="0" w:firstColumn="0" w:lastColumn="0" w:oddVBand="0" w:evenVBand="0" w:oddHBand="0" w:evenHBand="0" w:firstRowFirstColumn="0" w:firstRowLastColumn="0" w:lastRowFirstColumn="0" w:lastRowLastColumn="0"/>
            </w:pPr>
            <w:r>
              <w:t>Changed behaviours</w:t>
            </w:r>
          </w:p>
        </w:tc>
        <w:tc>
          <w:tcPr>
            <w:tcW w:w="993" w:type="dxa"/>
            <w:noWrap/>
            <w:hideMark/>
          </w:tcPr>
          <w:p w14:paraId="502A2F3E" w14:textId="3E88169A" w:rsidR="00A03968" w:rsidRPr="007A1075" w:rsidRDefault="001267B9" w:rsidP="001267B9">
            <w:pPr>
              <w:pStyle w:val="TableText"/>
              <w:cnfStyle w:val="000000000000" w:firstRow="0" w:lastRow="0" w:firstColumn="0" w:lastColumn="0" w:oddVBand="0" w:evenVBand="0" w:oddHBand="0" w:evenHBand="0" w:firstRowFirstColumn="0" w:firstRowLastColumn="0" w:lastRowFirstColumn="0" w:lastRowLastColumn="0"/>
            </w:pPr>
            <w:r>
              <w:t>1.03</w:t>
            </w:r>
          </w:p>
        </w:tc>
        <w:tc>
          <w:tcPr>
            <w:tcW w:w="1559" w:type="dxa"/>
            <w:noWrap/>
            <w:hideMark/>
          </w:tcPr>
          <w:p w14:paraId="7D6330B1" w14:textId="44B74FA3" w:rsidR="00A03968" w:rsidRPr="007A1075" w:rsidRDefault="001267B9" w:rsidP="001267B9">
            <w:pPr>
              <w:pStyle w:val="TableText"/>
              <w:cnfStyle w:val="000000000000" w:firstRow="0" w:lastRow="0" w:firstColumn="0" w:lastColumn="0" w:oddVBand="0" w:evenVBand="0" w:oddHBand="0" w:evenHBand="0" w:firstRowFirstColumn="0" w:firstRowLastColumn="0" w:lastRowFirstColumn="0" w:lastRowLastColumn="0"/>
            </w:pPr>
            <w:r>
              <w:t>45947461.5</w:t>
            </w:r>
          </w:p>
        </w:tc>
        <w:tc>
          <w:tcPr>
            <w:tcW w:w="1134" w:type="dxa"/>
            <w:noWrap/>
            <w:hideMark/>
          </w:tcPr>
          <w:p w14:paraId="614FE7F7" w14:textId="2F3FE5F7" w:rsidR="00A03968" w:rsidRPr="007A1075" w:rsidRDefault="001267B9" w:rsidP="001267B9">
            <w:pPr>
              <w:pStyle w:val="TableText"/>
              <w:cnfStyle w:val="000000000000" w:firstRow="0" w:lastRow="0" w:firstColumn="0" w:lastColumn="0" w:oddVBand="0" w:evenVBand="0" w:oddHBand="0" w:evenHBand="0" w:firstRowFirstColumn="0" w:firstRowLastColumn="0" w:lastRowFirstColumn="0" w:lastRowLastColumn="0"/>
            </w:pPr>
            <w:r>
              <w:t>38</w:t>
            </w:r>
            <w:r w:rsidR="0087238F">
              <w:t>,</w:t>
            </w:r>
            <w:r>
              <w:t>689</w:t>
            </w:r>
          </w:p>
        </w:tc>
        <w:tc>
          <w:tcPr>
            <w:tcW w:w="850" w:type="dxa"/>
            <w:noWrap/>
            <w:hideMark/>
          </w:tcPr>
          <w:p w14:paraId="5182DDB3" w14:textId="1FC9B3E4" w:rsidR="00A03968" w:rsidRPr="007A1075" w:rsidRDefault="001267B9" w:rsidP="001267B9">
            <w:pPr>
              <w:pStyle w:val="TableText"/>
              <w:cnfStyle w:val="000000000000" w:firstRow="0" w:lastRow="0" w:firstColumn="0" w:lastColumn="0" w:oddVBand="0" w:evenVBand="0" w:oddHBand="0" w:evenHBand="0" w:firstRowFirstColumn="0" w:firstRowLastColumn="0" w:lastRowFirstColumn="0" w:lastRowLastColumn="0"/>
            </w:pPr>
            <w:r>
              <w:t>&lt;.001</w:t>
            </w:r>
          </w:p>
        </w:tc>
        <w:tc>
          <w:tcPr>
            <w:tcW w:w="1701" w:type="dxa"/>
            <w:noWrap/>
            <w:hideMark/>
          </w:tcPr>
          <w:p w14:paraId="247FF63E" w14:textId="4B8BACF9" w:rsidR="00A03968" w:rsidRPr="007A1075" w:rsidRDefault="001267B9" w:rsidP="001267B9">
            <w:pPr>
              <w:pStyle w:val="TableText"/>
              <w:cnfStyle w:val="000000000000" w:firstRow="0" w:lastRow="0" w:firstColumn="0" w:lastColumn="0" w:oddVBand="0" w:evenVBand="0" w:oddHBand="0" w:evenHBand="0" w:firstRowFirstColumn="0" w:firstRowLastColumn="0" w:lastRowFirstColumn="0" w:lastRowLastColumn="0"/>
            </w:pPr>
            <w:r>
              <w:t>64.1% (n=24</w:t>
            </w:r>
            <w:r w:rsidR="0087238F">
              <w:t>,</w:t>
            </w:r>
            <w:r>
              <w:t>815)</w:t>
            </w:r>
          </w:p>
        </w:tc>
      </w:tr>
      <w:tr w:rsidR="00680B14" w:rsidRPr="007A1075" w14:paraId="7E8ACD05" w14:textId="77777777" w:rsidTr="0078378F">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75" w:type="dxa"/>
            <w:vMerge/>
            <w:tcBorders>
              <w:top w:val="none" w:sz="0" w:space="0" w:color="auto"/>
              <w:bottom w:val="none" w:sz="0" w:space="0" w:color="auto"/>
              <w:right w:val="none" w:sz="0" w:space="0" w:color="auto"/>
            </w:tcBorders>
            <w:hideMark/>
          </w:tcPr>
          <w:p w14:paraId="64D38FA1" w14:textId="77777777" w:rsidR="00826536" w:rsidRPr="007A1075" w:rsidRDefault="00826536" w:rsidP="001267B9">
            <w:pPr>
              <w:pStyle w:val="TableText"/>
            </w:pPr>
          </w:p>
        </w:tc>
        <w:tc>
          <w:tcPr>
            <w:tcW w:w="905" w:type="dxa"/>
            <w:vMerge/>
            <w:tcBorders>
              <w:top w:val="none" w:sz="0" w:space="0" w:color="auto"/>
              <w:bottom w:val="none" w:sz="0" w:space="0" w:color="auto"/>
            </w:tcBorders>
            <w:hideMark/>
          </w:tcPr>
          <w:p w14:paraId="233A09F4" w14:textId="77777777" w:rsidR="00A03968" w:rsidRPr="007A1075" w:rsidRDefault="00A03968" w:rsidP="001267B9">
            <w:pPr>
              <w:pStyle w:val="TableText"/>
              <w:cnfStyle w:val="000000100000" w:firstRow="0" w:lastRow="0" w:firstColumn="0" w:lastColumn="0" w:oddVBand="0" w:evenVBand="0" w:oddHBand="1" w:evenHBand="0" w:firstRowFirstColumn="0" w:firstRowLastColumn="0" w:lastRowFirstColumn="0" w:lastRowLastColumn="0"/>
            </w:pPr>
          </w:p>
        </w:tc>
        <w:tc>
          <w:tcPr>
            <w:tcW w:w="1605" w:type="dxa"/>
            <w:vMerge/>
            <w:tcBorders>
              <w:top w:val="none" w:sz="0" w:space="0" w:color="auto"/>
              <w:bottom w:val="none" w:sz="0" w:space="0" w:color="auto"/>
            </w:tcBorders>
            <w:hideMark/>
          </w:tcPr>
          <w:p w14:paraId="049C8FCA" w14:textId="77777777" w:rsidR="00A03968" w:rsidRPr="007A1075" w:rsidRDefault="00A03968" w:rsidP="001267B9">
            <w:pPr>
              <w:pStyle w:val="TableText"/>
              <w:cnfStyle w:val="000000100000" w:firstRow="0" w:lastRow="0" w:firstColumn="0" w:lastColumn="0" w:oddVBand="0" w:evenVBand="0" w:oddHBand="1" w:evenHBand="0" w:firstRowFirstColumn="0" w:firstRowLastColumn="0" w:lastRowFirstColumn="0" w:lastRowLastColumn="0"/>
            </w:pPr>
          </w:p>
        </w:tc>
        <w:tc>
          <w:tcPr>
            <w:tcW w:w="3881" w:type="dxa"/>
            <w:tcBorders>
              <w:top w:val="none" w:sz="0" w:space="0" w:color="auto"/>
              <w:bottom w:val="none" w:sz="0" w:space="0" w:color="auto"/>
            </w:tcBorders>
            <w:noWrap/>
            <w:hideMark/>
          </w:tcPr>
          <w:p w14:paraId="0544EA10" w14:textId="3A2F631E" w:rsidR="00A03968" w:rsidRPr="007A1075" w:rsidRDefault="001267B9" w:rsidP="001267B9">
            <w:pPr>
              <w:pStyle w:val="TableText"/>
              <w:cnfStyle w:val="000000100000" w:firstRow="0" w:lastRow="0" w:firstColumn="0" w:lastColumn="0" w:oddVBand="0" w:evenVBand="0" w:oddHBand="1" w:evenHBand="0" w:firstRowFirstColumn="0" w:firstRowLastColumn="0" w:lastRowFirstColumn="0" w:lastRowLastColumn="0"/>
            </w:pPr>
            <w:r>
              <w:t>Changed impact of immediate crisis</w:t>
            </w:r>
          </w:p>
        </w:tc>
        <w:tc>
          <w:tcPr>
            <w:tcW w:w="993" w:type="dxa"/>
            <w:tcBorders>
              <w:top w:val="none" w:sz="0" w:space="0" w:color="auto"/>
              <w:bottom w:val="none" w:sz="0" w:space="0" w:color="auto"/>
            </w:tcBorders>
            <w:noWrap/>
            <w:hideMark/>
          </w:tcPr>
          <w:p w14:paraId="3FD42BB3" w14:textId="0881DD7D" w:rsidR="00A03968" w:rsidRPr="007A1075" w:rsidRDefault="001267B9" w:rsidP="001267B9">
            <w:pPr>
              <w:pStyle w:val="TableText"/>
              <w:cnfStyle w:val="000000100000" w:firstRow="0" w:lastRow="0" w:firstColumn="0" w:lastColumn="0" w:oddVBand="0" w:evenVBand="0" w:oddHBand="1" w:evenHBand="0" w:firstRowFirstColumn="0" w:firstRowLastColumn="0" w:lastRowFirstColumn="0" w:lastRowLastColumn="0"/>
            </w:pPr>
            <w:r>
              <w:t>1.08</w:t>
            </w:r>
          </w:p>
        </w:tc>
        <w:tc>
          <w:tcPr>
            <w:tcW w:w="1559" w:type="dxa"/>
            <w:tcBorders>
              <w:top w:val="none" w:sz="0" w:space="0" w:color="auto"/>
              <w:bottom w:val="none" w:sz="0" w:space="0" w:color="auto"/>
            </w:tcBorders>
            <w:noWrap/>
            <w:hideMark/>
          </w:tcPr>
          <w:p w14:paraId="499D3B3B" w14:textId="0F33067B" w:rsidR="00A03968" w:rsidRPr="007A1075" w:rsidRDefault="001267B9" w:rsidP="001267B9">
            <w:pPr>
              <w:pStyle w:val="TableText"/>
              <w:cnfStyle w:val="000000100000" w:firstRow="0" w:lastRow="0" w:firstColumn="0" w:lastColumn="0" w:oddVBand="0" w:evenVBand="0" w:oddHBand="1" w:evenHBand="0" w:firstRowFirstColumn="0" w:firstRowLastColumn="0" w:lastRowFirstColumn="0" w:lastRowLastColumn="0"/>
            </w:pPr>
            <w:r>
              <w:t>14871042.5</w:t>
            </w:r>
          </w:p>
        </w:tc>
        <w:tc>
          <w:tcPr>
            <w:tcW w:w="1134" w:type="dxa"/>
            <w:tcBorders>
              <w:top w:val="none" w:sz="0" w:space="0" w:color="auto"/>
              <w:bottom w:val="none" w:sz="0" w:space="0" w:color="auto"/>
            </w:tcBorders>
            <w:noWrap/>
            <w:hideMark/>
          </w:tcPr>
          <w:p w14:paraId="2FF63208" w14:textId="4165EEA6" w:rsidR="00A03968" w:rsidRPr="007A1075" w:rsidRDefault="001267B9" w:rsidP="001267B9">
            <w:pPr>
              <w:pStyle w:val="TableText"/>
              <w:cnfStyle w:val="000000100000" w:firstRow="0" w:lastRow="0" w:firstColumn="0" w:lastColumn="0" w:oddVBand="0" w:evenVBand="0" w:oddHBand="1" w:evenHBand="0" w:firstRowFirstColumn="0" w:firstRowLastColumn="0" w:lastRowFirstColumn="0" w:lastRowLastColumn="0"/>
            </w:pPr>
            <w:r>
              <w:t>20</w:t>
            </w:r>
            <w:r w:rsidR="0087238F">
              <w:t>,</w:t>
            </w:r>
            <w:r>
              <w:t>651</w:t>
            </w:r>
          </w:p>
        </w:tc>
        <w:tc>
          <w:tcPr>
            <w:tcW w:w="850" w:type="dxa"/>
            <w:tcBorders>
              <w:top w:val="none" w:sz="0" w:space="0" w:color="auto"/>
              <w:bottom w:val="none" w:sz="0" w:space="0" w:color="auto"/>
            </w:tcBorders>
            <w:noWrap/>
            <w:hideMark/>
          </w:tcPr>
          <w:p w14:paraId="12EA3074" w14:textId="3BAC1E9F" w:rsidR="00A03968" w:rsidRPr="007A1075" w:rsidRDefault="001267B9" w:rsidP="001267B9">
            <w:pPr>
              <w:pStyle w:val="TableText"/>
              <w:cnfStyle w:val="000000100000" w:firstRow="0" w:lastRow="0" w:firstColumn="0" w:lastColumn="0" w:oddVBand="0" w:evenVBand="0" w:oddHBand="1" w:evenHBand="0" w:firstRowFirstColumn="0" w:firstRowLastColumn="0" w:lastRowFirstColumn="0" w:lastRowLastColumn="0"/>
            </w:pPr>
            <w:r>
              <w:t>&lt;.001</w:t>
            </w:r>
          </w:p>
        </w:tc>
        <w:tc>
          <w:tcPr>
            <w:tcW w:w="1701" w:type="dxa"/>
            <w:tcBorders>
              <w:top w:val="none" w:sz="0" w:space="0" w:color="auto"/>
              <w:bottom w:val="none" w:sz="0" w:space="0" w:color="auto"/>
            </w:tcBorders>
            <w:noWrap/>
            <w:hideMark/>
          </w:tcPr>
          <w:p w14:paraId="3D5199EC" w14:textId="6404ED76" w:rsidR="00A03968" w:rsidRPr="007A1075" w:rsidRDefault="001267B9" w:rsidP="001267B9">
            <w:pPr>
              <w:pStyle w:val="TableText"/>
              <w:cnfStyle w:val="000000100000" w:firstRow="0" w:lastRow="0" w:firstColumn="0" w:lastColumn="0" w:oddVBand="0" w:evenVBand="0" w:oddHBand="1" w:evenHBand="0" w:firstRowFirstColumn="0" w:firstRowLastColumn="0" w:lastRowFirstColumn="0" w:lastRowLastColumn="0"/>
            </w:pPr>
            <w:r>
              <w:t>66.5% (n=13</w:t>
            </w:r>
            <w:r w:rsidR="0087238F">
              <w:t>,</w:t>
            </w:r>
            <w:r>
              <w:t>737)</w:t>
            </w:r>
          </w:p>
        </w:tc>
      </w:tr>
      <w:tr w:rsidR="00680B14" w:rsidRPr="007A1075" w14:paraId="7B3CD22A" w14:textId="77777777" w:rsidTr="0078378F">
        <w:trPr>
          <w:trHeight w:val="290"/>
        </w:trPr>
        <w:tc>
          <w:tcPr>
            <w:cnfStyle w:val="001000000000" w:firstRow="0" w:lastRow="0" w:firstColumn="1" w:lastColumn="0" w:oddVBand="0" w:evenVBand="0" w:oddHBand="0" w:evenHBand="0" w:firstRowFirstColumn="0" w:firstRowLastColumn="0" w:lastRowFirstColumn="0" w:lastRowLastColumn="0"/>
            <w:tcW w:w="975" w:type="dxa"/>
            <w:vMerge/>
            <w:tcBorders>
              <w:right w:val="none" w:sz="0" w:space="0" w:color="auto"/>
            </w:tcBorders>
            <w:hideMark/>
          </w:tcPr>
          <w:p w14:paraId="2DE8344D" w14:textId="77777777" w:rsidR="00826536" w:rsidRPr="007A1075" w:rsidRDefault="00826536" w:rsidP="001267B9">
            <w:pPr>
              <w:pStyle w:val="TableText"/>
            </w:pPr>
          </w:p>
        </w:tc>
        <w:tc>
          <w:tcPr>
            <w:tcW w:w="905" w:type="dxa"/>
            <w:vMerge/>
            <w:hideMark/>
          </w:tcPr>
          <w:p w14:paraId="402B2EA3" w14:textId="77777777" w:rsidR="00A03968" w:rsidRPr="007A1075" w:rsidRDefault="00A03968" w:rsidP="001267B9">
            <w:pPr>
              <w:pStyle w:val="TableText"/>
              <w:cnfStyle w:val="000000000000" w:firstRow="0" w:lastRow="0" w:firstColumn="0" w:lastColumn="0" w:oddVBand="0" w:evenVBand="0" w:oddHBand="0" w:evenHBand="0" w:firstRowFirstColumn="0" w:firstRowLastColumn="0" w:lastRowFirstColumn="0" w:lastRowLastColumn="0"/>
            </w:pPr>
          </w:p>
        </w:tc>
        <w:tc>
          <w:tcPr>
            <w:tcW w:w="1605" w:type="dxa"/>
            <w:vMerge/>
            <w:hideMark/>
          </w:tcPr>
          <w:p w14:paraId="53A8F3B0" w14:textId="77777777" w:rsidR="00A03968" w:rsidRPr="007A1075" w:rsidRDefault="00A03968" w:rsidP="001267B9">
            <w:pPr>
              <w:pStyle w:val="TableText"/>
              <w:cnfStyle w:val="000000000000" w:firstRow="0" w:lastRow="0" w:firstColumn="0" w:lastColumn="0" w:oddVBand="0" w:evenVBand="0" w:oddHBand="0" w:evenHBand="0" w:firstRowFirstColumn="0" w:firstRowLastColumn="0" w:lastRowFirstColumn="0" w:lastRowLastColumn="0"/>
            </w:pPr>
          </w:p>
        </w:tc>
        <w:tc>
          <w:tcPr>
            <w:tcW w:w="3881" w:type="dxa"/>
            <w:noWrap/>
            <w:hideMark/>
          </w:tcPr>
          <w:p w14:paraId="139983ED" w14:textId="33D803F5" w:rsidR="00A03968" w:rsidRPr="007A1075" w:rsidRDefault="001267B9" w:rsidP="001267B9">
            <w:pPr>
              <w:pStyle w:val="TableText"/>
              <w:cnfStyle w:val="000000000000" w:firstRow="0" w:lastRow="0" w:firstColumn="0" w:lastColumn="0" w:oddVBand="0" w:evenVBand="0" w:oddHBand="0" w:evenHBand="0" w:firstRowFirstColumn="0" w:firstRowLastColumn="0" w:lastRowFirstColumn="0" w:lastRowLastColumn="0"/>
            </w:pPr>
            <w:r>
              <w:t>Changed knowledge and access to information</w:t>
            </w:r>
          </w:p>
        </w:tc>
        <w:tc>
          <w:tcPr>
            <w:tcW w:w="993" w:type="dxa"/>
            <w:noWrap/>
            <w:hideMark/>
          </w:tcPr>
          <w:p w14:paraId="0366DE8A" w14:textId="40CAB8E3" w:rsidR="00A03968" w:rsidRPr="007A1075" w:rsidRDefault="001267B9" w:rsidP="001267B9">
            <w:pPr>
              <w:pStyle w:val="TableText"/>
              <w:cnfStyle w:val="000000000000" w:firstRow="0" w:lastRow="0" w:firstColumn="0" w:lastColumn="0" w:oddVBand="0" w:evenVBand="0" w:oddHBand="0" w:evenHBand="0" w:firstRowFirstColumn="0" w:firstRowLastColumn="0" w:lastRowFirstColumn="0" w:lastRowLastColumn="0"/>
            </w:pPr>
            <w:r>
              <w:t>1.13</w:t>
            </w:r>
          </w:p>
        </w:tc>
        <w:tc>
          <w:tcPr>
            <w:tcW w:w="1559" w:type="dxa"/>
            <w:noWrap/>
            <w:hideMark/>
          </w:tcPr>
          <w:p w14:paraId="1C73F388" w14:textId="3F553FA6" w:rsidR="00A03968" w:rsidRPr="007A1075" w:rsidRDefault="001267B9" w:rsidP="001267B9">
            <w:pPr>
              <w:pStyle w:val="TableText"/>
              <w:cnfStyle w:val="000000000000" w:firstRow="0" w:lastRow="0" w:firstColumn="0" w:lastColumn="0" w:oddVBand="0" w:evenVBand="0" w:oddHBand="0" w:evenHBand="0" w:firstRowFirstColumn="0" w:firstRowLastColumn="0" w:lastRowFirstColumn="0" w:lastRowLastColumn="0"/>
            </w:pPr>
            <w:r>
              <w:t>69932899</w:t>
            </w:r>
          </w:p>
        </w:tc>
        <w:tc>
          <w:tcPr>
            <w:tcW w:w="1134" w:type="dxa"/>
            <w:noWrap/>
            <w:hideMark/>
          </w:tcPr>
          <w:p w14:paraId="27526001" w14:textId="7E813FCD" w:rsidR="00A03968" w:rsidRPr="007A1075" w:rsidRDefault="001267B9" w:rsidP="001267B9">
            <w:pPr>
              <w:pStyle w:val="TableText"/>
              <w:cnfStyle w:val="000000000000" w:firstRow="0" w:lastRow="0" w:firstColumn="0" w:lastColumn="0" w:oddVBand="0" w:evenVBand="0" w:oddHBand="0" w:evenHBand="0" w:firstRowFirstColumn="0" w:firstRowLastColumn="0" w:lastRowFirstColumn="0" w:lastRowLastColumn="0"/>
            </w:pPr>
            <w:r>
              <w:t>45</w:t>
            </w:r>
            <w:r w:rsidR="0087238F">
              <w:t>,</w:t>
            </w:r>
            <w:r>
              <w:t>589</w:t>
            </w:r>
          </w:p>
        </w:tc>
        <w:tc>
          <w:tcPr>
            <w:tcW w:w="850" w:type="dxa"/>
            <w:noWrap/>
            <w:hideMark/>
          </w:tcPr>
          <w:p w14:paraId="1E39D7AA" w14:textId="44F9AB6F" w:rsidR="00A03968" w:rsidRPr="007A1075" w:rsidRDefault="001267B9" w:rsidP="001267B9">
            <w:pPr>
              <w:pStyle w:val="TableText"/>
              <w:cnfStyle w:val="000000000000" w:firstRow="0" w:lastRow="0" w:firstColumn="0" w:lastColumn="0" w:oddVBand="0" w:evenVBand="0" w:oddHBand="0" w:evenHBand="0" w:firstRowFirstColumn="0" w:firstRowLastColumn="0" w:lastRowFirstColumn="0" w:lastRowLastColumn="0"/>
            </w:pPr>
            <w:r>
              <w:t>&lt;.001</w:t>
            </w:r>
          </w:p>
        </w:tc>
        <w:tc>
          <w:tcPr>
            <w:tcW w:w="1701" w:type="dxa"/>
            <w:noWrap/>
            <w:hideMark/>
          </w:tcPr>
          <w:p w14:paraId="2C134B4F" w14:textId="1258A2BA" w:rsidR="00A03968" w:rsidRPr="007A1075" w:rsidRDefault="001267B9" w:rsidP="001267B9">
            <w:pPr>
              <w:pStyle w:val="TableText"/>
              <w:cnfStyle w:val="000000000000" w:firstRow="0" w:lastRow="0" w:firstColumn="0" w:lastColumn="0" w:oddVBand="0" w:evenVBand="0" w:oddHBand="0" w:evenHBand="0" w:firstRowFirstColumn="0" w:firstRowLastColumn="0" w:lastRowFirstColumn="0" w:lastRowLastColumn="0"/>
            </w:pPr>
            <w:r>
              <w:t>66.2% (n=30</w:t>
            </w:r>
            <w:r w:rsidR="0087238F">
              <w:t>,</w:t>
            </w:r>
            <w:r>
              <w:t>169)</w:t>
            </w:r>
          </w:p>
        </w:tc>
      </w:tr>
      <w:tr w:rsidR="00680B14" w:rsidRPr="007A1075" w14:paraId="4A0B09A0" w14:textId="77777777" w:rsidTr="0078378F">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75" w:type="dxa"/>
            <w:vMerge/>
            <w:tcBorders>
              <w:top w:val="none" w:sz="0" w:space="0" w:color="auto"/>
              <w:bottom w:val="none" w:sz="0" w:space="0" w:color="auto"/>
              <w:right w:val="none" w:sz="0" w:space="0" w:color="auto"/>
            </w:tcBorders>
            <w:hideMark/>
          </w:tcPr>
          <w:p w14:paraId="67578580" w14:textId="77777777" w:rsidR="00826536" w:rsidRPr="007A1075" w:rsidRDefault="00826536" w:rsidP="001267B9">
            <w:pPr>
              <w:pStyle w:val="TableText"/>
            </w:pPr>
          </w:p>
        </w:tc>
        <w:tc>
          <w:tcPr>
            <w:tcW w:w="905" w:type="dxa"/>
            <w:vMerge/>
            <w:tcBorders>
              <w:top w:val="none" w:sz="0" w:space="0" w:color="auto"/>
              <w:bottom w:val="none" w:sz="0" w:space="0" w:color="auto"/>
            </w:tcBorders>
            <w:hideMark/>
          </w:tcPr>
          <w:p w14:paraId="23A95D3D" w14:textId="77777777" w:rsidR="00A03968" w:rsidRPr="007A1075" w:rsidRDefault="00A03968" w:rsidP="001267B9">
            <w:pPr>
              <w:pStyle w:val="TableText"/>
              <w:cnfStyle w:val="000000100000" w:firstRow="0" w:lastRow="0" w:firstColumn="0" w:lastColumn="0" w:oddVBand="0" w:evenVBand="0" w:oddHBand="1" w:evenHBand="0" w:firstRowFirstColumn="0" w:firstRowLastColumn="0" w:lastRowFirstColumn="0" w:lastRowLastColumn="0"/>
            </w:pPr>
          </w:p>
        </w:tc>
        <w:tc>
          <w:tcPr>
            <w:tcW w:w="1605" w:type="dxa"/>
            <w:vMerge/>
            <w:tcBorders>
              <w:top w:val="none" w:sz="0" w:space="0" w:color="auto"/>
              <w:bottom w:val="none" w:sz="0" w:space="0" w:color="auto"/>
            </w:tcBorders>
            <w:hideMark/>
          </w:tcPr>
          <w:p w14:paraId="336AA98E" w14:textId="77777777" w:rsidR="00A03968" w:rsidRPr="007A1075" w:rsidRDefault="00A03968" w:rsidP="001267B9">
            <w:pPr>
              <w:pStyle w:val="TableText"/>
              <w:cnfStyle w:val="000000100000" w:firstRow="0" w:lastRow="0" w:firstColumn="0" w:lastColumn="0" w:oddVBand="0" w:evenVBand="0" w:oddHBand="1" w:evenHBand="0" w:firstRowFirstColumn="0" w:firstRowLastColumn="0" w:lastRowFirstColumn="0" w:lastRowLastColumn="0"/>
            </w:pPr>
          </w:p>
        </w:tc>
        <w:tc>
          <w:tcPr>
            <w:tcW w:w="3881" w:type="dxa"/>
            <w:tcBorders>
              <w:top w:val="none" w:sz="0" w:space="0" w:color="auto"/>
              <w:bottom w:val="none" w:sz="0" w:space="0" w:color="auto"/>
            </w:tcBorders>
            <w:noWrap/>
            <w:hideMark/>
          </w:tcPr>
          <w:p w14:paraId="1DF76F80" w14:textId="54395060" w:rsidR="00A03968" w:rsidRPr="007A1075" w:rsidRDefault="001267B9" w:rsidP="001267B9">
            <w:pPr>
              <w:pStyle w:val="TableText"/>
              <w:cnfStyle w:val="000000100000" w:firstRow="0" w:lastRow="0" w:firstColumn="0" w:lastColumn="0" w:oddVBand="0" w:evenVBand="0" w:oddHBand="1" w:evenHBand="0" w:firstRowFirstColumn="0" w:firstRowLastColumn="0" w:lastRowFirstColumn="0" w:lastRowLastColumn="0"/>
            </w:pPr>
            <w:r>
              <w:t>Changed skills</w:t>
            </w:r>
          </w:p>
        </w:tc>
        <w:tc>
          <w:tcPr>
            <w:tcW w:w="993" w:type="dxa"/>
            <w:tcBorders>
              <w:top w:val="none" w:sz="0" w:space="0" w:color="auto"/>
              <w:bottom w:val="none" w:sz="0" w:space="0" w:color="auto"/>
            </w:tcBorders>
            <w:noWrap/>
            <w:hideMark/>
          </w:tcPr>
          <w:p w14:paraId="387D3CD8" w14:textId="2215C25C" w:rsidR="00A03968" w:rsidRPr="007A1075" w:rsidRDefault="001267B9" w:rsidP="001267B9">
            <w:pPr>
              <w:pStyle w:val="TableText"/>
              <w:cnfStyle w:val="000000100000" w:firstRow="0" w:lastRow="0" w:firstColumn="0" w:lastColumn="0" w:oddVBand="0" w:evenVBand="0" w:oddHBand="1" w:evenHBand="0" w:firstRowFirstColumn="0" w:firstRowLastColumn="0" w:lastRowFirstColumn="0" w:lastRowLastColumn="0"/>
            </w:pPr>
            <w:r>
              <w:t>1</w:t>
            </w:r>
          </w:p>
        </w:tc>
        <w:tc>
          <w:tcPr>
            <w:tcW w:w="1559" w:type="dxa"/>
            <w:tcBorders>
              <w:top w:val="none" w:sz="0" w:space="0" w:color="auto"/>
              <w:bottom w:val="none" w:sz="0" w:space="0" w:color="auto"/>
            </w:tcBorders>
            <w:noWrap/>
            <w:hideMark/>
          </w:tcPr>
          <w:p w14:paraId="3793FEEA" w14:textId="74CD587B" w:rsidR="00A03968" w:rsidRPr="007A1075" w:rsidRDefault="001267B9" w:rsidP="001267B9">
            <w:pPr>
              <w:pStyle w:val="TableText"/>
              <w:cnfStyle w:val="000000100000" w:firstRow="0" w:lastRow="0" w:firstColumn="0" w:lastColumn="0" w:oddVBand="0" w:evenVBand="0" w:oddHBand="1" w:evenHBand="0" w:firstRowFirstColumn="0" w:firstRowLastColumn="0" w:lastRowFirstColumn="0" w:lastRowLastColumn="0"/>
            </w:pPr>
            <w:r>
              <w:t>81980871</w:t>
            </w:r>
          </w:p>
        </w:tc>
        <w:tc>
          <w:tcPr>
            <w:tcW w:w="1134" w:type="dxa"/>
            <w:tcBorders>
              <w:top w:val="none" w:sz="0" w:space="0" w:color="auto"/>
              <w:bottom w:val="none" w:sz="0" w:space="0" w:color="auto"/>
            </w:tcBorders>
            <w:noWrap/>
            <w:hideMark/>
          </w:tcPr>
          <w:p w14:paraId="43A725AF" w14:textId="37AD8595" w:rsidR="00A03968" w:rsidRPr="007A1075" w:rsidRDefault="001267B9" w:rsidP="001267B9">
            <w:pPr>
              <w:pStyle w:val="TableText"/>
              <w:cnfStyle w:val="000000100000" w:firstRow="0" w:lastRow="0" w:firstColumn="0" w:lastColumn="0" w:oddVBand="0" w:evenVBand="0" w:oddHBand="1" w:evenHBand="0" w:firstRowFirstColumn="0" w:firstRowLastColumn="0" w:lastRowFirstColumn="0" w:lastRowLastColumn="0"/>
            </w:pPr>
            <w:r>
              <w:t>4</w:t>
            </w:r>
            <w:r w:rsidR="0087238F">
              <w:t>,</w:t>
            </w:r>
            <w:r>
              <w:t>8291</w:t>
            </w:r>
          </w:p>
        </w:tc>
        <w:tc>
          <w:tcPr>
            <w:tcW w:w="850" w:type="dxa"/>
            <w:tcBorders>
              <w:top w:val="none" w:sz="0" w:space="0" w:color="auto"/>
              <w:bottom w:val="none" w:sz="0" w:space="0" w:color="auto"/>
            </w:tcBorders>
            <w:noWrap/>
            <w:hideMark/>
          </w:tcPr>
          <w:p w14:paraId="7E5D79C5" w14:textId="39A240E0" w:rsidR="00A03968" w:rsidRPr="007A1075" w:rsidRDefault="001267B9" w:rsidP="001267B9">
            <w:pPr>
              <w:pStyle w:val="TableText"/>
              <w:cnfStyle w:val="000000100000" w:firstRow="0" w:lastRow="0" w:firstColumn="0" w:lastColumn="0" w:oddVBand="0" w:evenVBand="0" w:oddHBand="1" w:evenHBand="0" w:firstRowFirstColumn="0" w:firstRowLastColumn="0" w:lastRowFirstColumn="0" w:lastRowLastColumn="0"/>
            </w:pPr>
            <w:r>
              <w:t>&lt;.001</w:t>
            </w:r>
          </w:p>
        </w:tc>
        <w:tc>
          <w:tcPr>
            <w:tcW w:w="1701" w:type="dxa"/>
            <w:tcBorders>
              <w:top w:val="none" w:sz="0" w:space="0" w:color="auto"/>
              <w:bottom w:val="none" w:sz="0" w:space="0" w:color="auto"/>
            </w:tcBorders>
            <w:noWrap/>
            <w:hideMark/>
          </w:tcPr>
          <w:p w14:paraId="63157A8B" w14:textId="177EDFA4" w:rsidR="00A03968" w:rsidRPr="007A1075" w:rsidRDefault="001267B9" w:rsidP="001267B9">
            <w:pPr>
              <w:pStyle w:val="TableText"/>
              <w:cnfStyle w:val="000000100000" w:firstRow="0" w:lastRow="0" w:firstColumn="0" w:lastColumn="0" w:oddVBand="0" w:evenVBand="0" w:oddHBand="1" w:evenHBand="0" w:firstRowFirstColumn="0" w:firstRowLastColumn="0" w:lastRowFirstColumn="0" w:lastRowLastColumn="0"/>
            </w:pPr>
            <w:r>
              <w:t>63.3% (n=30</w:t>
            </w:r>
            <w:r w:rsidR="0087238F">
              <w:t>,</w:t>
            </w:r>
            <w:r>
              <w:t>575)</w:t>
            </w:r>
          </w:p>
        </w:tc>
      </w:tr>
      <w:tr w:rsidR="00680B14" w:rsidRPr="007A1075" w14:paraId="63A8DB9C" w14:textId="77777777" w:rsidTr="0078378F">
        <w:trPr>
          <w:trHeight w:val="290"/>
        </w:trPr>
        <w:tc>
          <w:tcPr>
            <w:cnfStyle w:val="001000000000" w:firstRow="0" w:lastRow="0" w:firstColumn="1" w:lastColumn="0" w:oddVBand="0" w:evenVBand="0" w:oddHBand="0" w:evenHBand="0" w:firstRowFirstColumn="0" w:firstRowLastColumn="0" w:lastRowFirstColumn="0" w:lastRowLastColumn="0"/>
            <w:tcW w:w="975" w:type="dxa"/>
            <w:vMerge/>
            <w:tcBorders>
              <w:right w:val="none" w:sz="0" w:space="0" w:color="auto"/>
            </w:tcBorders>
            <w:hideMark/>
          </w:tcPr>
          <w:p w14:paraId="247D24E1" w14:textId="77777777" w:rsidR="00826536" w:rsidRPr="007A1075" w:rsidRDefault="00826536" w:rsidP="001267B9">
            <w:pPr>
              <w:pStyle w:val="TableText"/>
            </w:pPr>
          </w:p>
        </w:tc>
        <w:tc>
          <w:tcPr>
            <w:tcW w:w="905" w:type="dxa"/>
            <w:vMerge/>
            <w:hideMark/>
          </w:tcPr>
          <w:p w14:paraId="6FFC98D6" w14:textId="77777777" w:rsidR="00A03968" w:rsidRPr="007A1075" w:rsidRDefault="00A03968" w:rsidP="001267B9">
            <w:pPr>
              <w:pStyle w:val="TableText"/>
              <w:cnfStyle w:val="000000000000" w:firstRow="0" w:lastRow="0" w:firstColumn="0" w:lastColumn="0" w:oddVBand="0" w:evenVBand="0" w:oddHBand="0" w:evenHBand="0" w:firstRowFirstColumn="0" w:firstRowLastColumn="0" w:lastRowFirstColumn="0" w:lastRowLastColumn="0"/>
            </w:pPr>
          </w:p>
        </w:tc>
        <w:tc>
          <w:tcPr>
            <w:tcW w:w="1605" w:type="dxa"/>
            <w:vMerge/>
            <w:hideMark/>
          </w:tcPr>
          <w:p w14:paraId="4880466C" w14:textId="77777777" w:rsidR="00A03968" w:rsidRPr="007A1075" w:rsidRDefault="00A03968" w:rsidP="001267B9">
            <w:pPr>
              <w:pStyle w:val="TableText"/>
              <w:cnfStyle w:val="000000000000" w:firstRow="0" w:lastRow="0" w:firstColumn="0" w:lastColumn="0" w:oddVBand="0" w:evenVBand="0" w:oddHBand="0" w:evenHBand="0" w:firstRowFirstColumn="0" w:firstRowLastColumn="0" w:lastRowFirstColumn="0" w:lastRowLastColumn="0"/>
            </w:pPr>
          </w:p>
        </w:tc>
        <w:tc>
          <w:tcPr>
            <w:tcW w:w="3881" w:type="dxa"/>
            <w:noWrap/>
            <w:hideMark/>
          </w:tcPr>
          <w:p w14:paraId="7C1A80A9" w14:textId="52CC4BB3" w:rsidR="00A03968" w:rsidRPr="007A1075" w:rsidRDefault="001267B9" w:rsidP="001267B9">
            <w:pPr>
              <w:pStyle w:val="TableText"/>
              <w:cnfStyle w:val="000000000000" w:firstRow="0" w:lastRow="0" w:firstColumn="0" w:lastColumn="0" w:oddVBand="0" w:evenVBand="0" w:oddHBand="0" w:evenHBand="0" w:firstRowFirstColumn="0" w:firstRowLastColumn="0" w:lastRowFirstColumn="0" w:lastRowLastColumn="0"/>
            </w:pPr>
            <w:r w:rsidRPr="3AB749BF">
              <w:rPr>
                <w:lang w:val="en-NZ"/>
              </w:rPr>
              <w:t>Empowerment, choice and control to make own decisions</w:t>
            </w:r>
          </w:p>
        </w:tc>
        <w:tc>
          <w:tcPr>
            <w:tcW w:w="993" w:type="dxa"/>
            <w:noWrap/>
            <w:hideMark/>
          </w:tcPr>
          <w:p w14:paraId="1FC6D506" w14:textId="6AADC4FF" w:rsidR="00A03968" w:rsidRPr="007A1075" w:rsidRDefault="001267B9" w:rsidP="001267B9">
            <w:pPr>
              <w:pStyle w:val="TableText"/>
              <w:cnfStyle w:val="000000000000" w:firstRow="0" w:lastRow="0" w:firstColumn="0" w:lastColumn="0" w:oddVBand="0" w:evenVBand="0" w:oddHBand="0" w:evenHBand="0" w:firstRowFirstColumn="0" w:firstRowLastColumn="0" w:lastRowFirstColumn="0" w:lastRowLastColumn="0"/>
            </w:pPr>
            <w:r>
              <w:t>0.92</w:t>
            </w:r>
          </w:p>
        </w:tc>
        <w:tc>
          <w:tcPr>
            <w:tcW w:w="1559" w:type="dxa"/>
            <w:noWrap/>
            <w:hideMark/>
          </w:tcPr>
          <w:p w14:paraId="29E703F3" w14:textId="5AC9DB7F" w:rsidR="00A03968" w:rsidRPr="007A1075" w:rsidRDefault="001267B9" w:rsidP="001267B9">
            <w:pPr>
              <w:pStyle w:val="TableText"/>
              <w:cnfStyle w:val="000000000000" w:firstRow="0" w:lastRow="0" w:firstColumn="0" w:lastColumn="0" w:oddVBand="0" w:evenVBand="0" w:oddHBand="0" w:evenHBand="0" w:firstRowFirstColumn="0" w:firstRowLastColumn="0" w:lastRowFirstColumn="0" w:lastRowLastColumn="0"/>
            </w:pPr>
            <w:r>
              <w:t>58723722</w:t>
            </w:r>
          </w:p>
        </w:tc>
        <w:tc>
          <w:tcPr>
            <w:tcW w:w="1134" w:type="dxa"/>
            <w:noWrap/>
            <w:hideMark/>
          </w:tcPr>
          <w:p w14:paraId="1E8F40AB" w14:textId="6D6086CE" w:rsidR="00A03968" w:rsidRPr="007A1075" w:rsidRDefault="001267B9" w:rsidP="001267B9">
            <w:pPr>
              <w:pStyle w:val="TableText"/>
              <w:cnfStyle w:val="000000000000" w:firstRow="0" w:lastRow="0" w:firstColumn="0" w:lastColumn="0" w:oddVBand="0" w:evenVBand="0" w:oddHBand="0" w:evenHBand="0" w:firstRowFirstColumn="0" w:firstRowLastColumn="0" w:lastRowFirstColumn="0" w:lastRowLastColumn="0"/>
            </w:pPr>
            <w:r>
              <w:t>36</w:t>
            </w:r>
            <w:r w:rsidR="0087238F">
              <w:t>,</w:t>
            </w:r>
            <w:r>
              <w:t>924</w:t>
            </w:r>
          </w:p>
        </w:tc>
        <w:tc>
          <w:tcPr>
            <w:tcW w:w="850" w:type="dxa"/>
            <w:noWrap/>
            <w:hideMark/>
          </w:tcPr>
          <w:p w14:paraId="78B0AD38" w14:textId="64A0096A" w:rsidR="00A03968" w:rsidRPr="007A1075" w:rsidRDefault="001267B9" w:rsidP="001267B9">
            <w:pPr>
              <w:pStyle w:val="TableText"/>
              <w:cnfStyle w:val="000000000000" w:firstRow="0" w:lastRow="0" w:firstColumn="0" w:lastColumn="0" w:oddVBand="0" w:evenVBand="0" w:oddHBand="0" w:evenHBand="0" w:firstRowFirstColumn="0" w:firstRowLastColumn="0" w:lastRowFirstColumn="0" w:lastRowLastColumn="0"/>
            </w:pPr>
            <w:r>
              <w:t>&lt;.001</w:t>
            </w:r>
          </w:p>
        </w:tc>
        <w:tc>
          <w:tcPr>
            <w:tcW w:w="1701" w:type="dxa"/>
            <w:noWrap/>
            <w:hideMark/>
          </w:tcPr>
          <w:p w14:paraId="2CF23A07" w14:textId="4B674828" w:rsidR="00A03968" w:rsidRPr="007A1075" w:rsidRDefault="001267B9" w:rsidP="001267B9">
            <w:pPr>
              <w:pStyle w:val="TableText"/>
              <w:cnfStyle w:val="000000000000" w:firstRow="0" w:lastRow="0" w:firstColumn="0" w:lastColumn="0" w:oddVBand="0" w:evenVBand="0" w:oddHBand="0" w:evenHBand="0" w:firstRowFirstColumn="0" w:firstRowLastColumn="0" w:lastRowFirstColumn="0" w:lastRowLastColumn="0"/>
            </w:pPr>
            <w:r>
              <w:t>60.2% (n=22</w:t>
            </w:r>
            <w:r w:rsidR="0087238F">
              <w:t>,</w:t>
            </w:r>
            <w:r>
              <w:t>245)</w:t>
            </w:r>
          </w:p>
        </w:tc>
      </w:tr>
      <w:tr w:rsidR="00680B14" w:rsidRPr="007A1075" w14:paraId="69253D48" w14:textId="77777777" w:rsidTr="0078378F">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75" w:type="dxa"/>
            <w:vMerge/>
            <w:tcBorders>
              <w:top w:val="none" w:sz="0" w:space="0" w:color="auto"/>
              <w:bottom w:val="none" w:sz="0" w:space="0" w:color="auto"/>
              <w:right w:val="none" w:sz="0" w:space="0" w:color="auto"/>
            </w:tcBorders>
            <w:hideMark/>
          </w:tcPr>
          <w:p w14:paraId="5FFDCAEF" w14:textId="77777777" w:rsidR="00826536" w:rsidRPr="007A1075" w:rsidRDefault="00826536" w:rsidP="001267B9">
            <w:pPr>
              <w:pStyle w:val="TableText"/>
            </w:pPr>
          </w:p>
        </w:tc>
        <w:tc>
          <w:tcPr>
            <w:tcW w:w="905" w:type="dxa"/>
            <w:vMerge/>
            <w:tcBorders>
              <w:top w:val="none" w:sz="0" w:space="0" w:color="auto"/>
              <w:bottom w:val="none" w:sz="0" w:space="0" w:color="auto"/>
            </w:tcBorders>
            <w:hideMark/>
          </w:tcPr>
          <w:p w14:paraId="265F15CE" w14:textId="77777777" w:rsidR="00A03968" w:rsidRPr="007A1075" w:rsidRDefault="00A03968" w:rsidP="001267B9">
            <w:pPr>
              <w:pStyle w:val="TableText"/>
              <w:cnfStyle w:val="000000100000" w:firstRow="0" w:lastRow="0" w:firstColumn="0" w:lastColumn="0" w:oddVBand="0" w:evenVBand="0" w:oddHBand="1" w:evenHBand="0" w:firstRowFirstColumn="0" w:firstRowLastColumn="0" w:lastRowFirstColumn="0" w:lastRowLastColumn="0"/>
            </w:pPr>
          </w:p>
        </w:tc>
        <w:tc>
          <w:tcPr>
            <w:tcW w:w="1605" w:type="dxa"/>
            <w:vMerge/>
            <w:tcBorders>
              <w:top w:val="none" w:sz="0" w:space="0" w:color="auto"/>
              <w:bottom w:val="none" w:sz="0" w:space="0" w:color="auto"/>
            </w:tcBorders>
            <w:hideMark/>
          </w:tcPr>
          <w:p w14:paraId="28D457A7" w14:textId="77777777" w:rsidR="00A03968" w:rsidRPr="007A1075" w:rsidRDefault="00A03968" w:rsidP="001267B9">
            <w:pPr>
              <w:pStyle w:val="TableText"/>
              <w:cnfStyle w:val="000000100000" w:firstRow="0" w:lastRow="0" w:firstColumn="0" w:lastColumn="0" w:oddVBand="0" w:evenVBand="0" w:oddHBand="1" w:evenHBand="0" w:firstRowFirstColumn="0" w:firstRowLastColumn="0" w:lastRowFirstColumn="0" w:lastRowLastColumn="0"/>
            </w:pPr>
          </w:p>
        </w:tc>
        <w:tc>
          <w:tcPr>
            <w:tcW w:w="3881" w:type="dxa"/>
            <w:tcBorders>
              <w:top w:val="none" w:sz="0" w:space="0" w:color="auto"/>
              <w:bottom w:val="none" w:sz="0" w:space="0" w:color="auto"/>
            </w:tcBorders>
            <w:noWrap/>
            <w:hideMark/>
          </w:tcPr>
          <w:p w14:paraId="75337702" w14:textId="5E134C53" w:rsidR="00A03968" w:rsidRPr="007A1075" w:rsidRDefault="001267B9" w:rsidP="001267B9">
            <w:pPr>
              <w:pStyle w:val="TableText"/>
              <w:cnfStyle w:val="000000100000" w:firstRow="0" w:lastRow="0" w:firstColumn="0" w:lastColumn="0" w:oddVBand="0" w:evenVBand="0" w:oddHBand="1" w:evenHBand="0" w:firstRowFirstColumn="0" w:firstRowLastColumn="0" w:lastRowFirstColumn="0" w:lastRowLastColumn="0"/>
            </w:pPr>
            <w:r>
              <w:t>Engagement with relevant support services</w:t>
            </w:r>
          </w:p>
        </w:tc>
        <w:tc>
          <w:tcPr>
            <w:tcW w:w="993" w:type="dxa"/>
            <w:tcBorders>
              <w:top w:val="none" w:sz="0" w:space="0" w:color="auto"/>
              <w:bottom w:val="none" w:sz="0" w:space="0" w:color="auto"/>
            </w:tcBorders>
            <w:noWrap/>
            <w:hideMark/>
          </w:tcPr>
          <w:p w14:paraId="526983A8" w14:textId="080A49F4" w:rsidR="00A03968" w:rsidRPr="007A1075" w:rsidRDefault="001267B9" w:rsidP="001267B9">
            <w:pPr>
              <w:pStyle w:val="TableText"/>
              <w:cnfStyle w:val="000000100000" w:firstRow="0" w:lastRow="0" w:firstColumn="0" w:lastColumn="0" w:oddVBand="0" w:evenVBand="0" w:oddHBand="1" w:evenHBand="0" w:firstRowFirstColumn="0" w:firstRowLastColumn="0" w:lastRowFirstColumn="0" w:lastRowLastColumn="0"/>
            </w:pPr>
            <w:r>
              <w:t>0.94</w:t>
            </w:r>
          </w:p>
        </w:tc>
        <w:tc>
          <w:tcPr>
            <w:tcW w:w="1559" w:type="dxa"/>
            <w:tcBorders>
              <w:top w:val="none" w:sz="0" w:space="0" w:color="auto"/>
              <w:bottom w:val="none" w:sz="0" w:space="0" w:color="auto"/>
            </w:tcBorders>
            <w:noWrap/>
            <w:hideMark/>
          </w:tcPr>
          <w:p w14:paraId="34ECAEA8" w14:textId="2AA879D7" w:rsidR="00A03968" w:rsidRPr="007A1075" w:rsidRDefault="001267B9" w:rsidP="001267B9">
            <w:pPr>
              <w:pStyle w:val="TableText"/>
              <w:cnfStyle w:val="000000100000" w:firstRow="0" w:lastRow="0" w:firstColumn="0" w:lastColumn="0" w:oddVBand="0" w:evenVBand="0" w:oddHBand="1" w:evenHBand="0" w:firstRowFirstColumn="0" w:firstRowLastColumn="0" w:lastRowFirstColumn="0" w:lastRowLastColumn="0"/>
            </w:pPr>
            <w:r>
              <w:t>31939798</w:t>
            </w:r>
          </w:p>
        </w:tc>
        <w:tc>
          <w:tcPr>
            <w:tcW w:w="1134" w:type="dxa"/>
            <w:tcBorders>
              <w:top w:val="none" w:sz="0" w:space="0" w:color="auto"/>
              <w:bottom w:val="none" w:sz="0" w:space="0" w:color="auto"/>
            </w:tcBorders>
            <w:noWrap/>
            <w:hideMark/>
          </w:tcPr>
          <w:p w14:paraId="76F528B6" w14:textId="44233767" w:rsidR="00A03968" w:rsidRPr="007A1075" w:rsidRDefault="001267B9" w:rsidP="001267B9">
            <w:pPr>
              <w:pStyle w:val="TableText"/>
              <w:cnfStyle w:val="000000100000" w:firstRow="0" w:lastRow="0" w:firstColumn="0" w:lastColumn="0" w:oddVBand="0" w:evenVBand="0" w:oddHBand="1" w:evenHBand="0" w:firstRowFirstColumn="0" w:firstRowLastColumn="0" w:lastRowFirstColumn="0" w:lastRowLastColumn="0"/>
            </w:pPr>
            <w:r>
              <w:t>25</w:t>
            </w:r>
            <w:r w:rsidR="0087238F">
              <w:t>,</w:t>
            </w:r>
            <w:r>
              <w:t>714</w:t>
            </w:r>
          </w:p>
        </w:tc>
        <w:tc>
          <w:tcPr>
            <w:tcW w:w="850" w:type="dxa"/>
            <w:tcBorders>
              <w:top w:val="none" w:sz="0" w:space="0" w:color="auto"/>
              <w:bottom w:val="none" w:sz="0" w:space="0" w:color="auto"/>
            </w:tcBorders>
            <w:noWrap/>
            <w:hideMark/>
          </w:tcPr>
          <w:p w14:paraId="3627CB79" w14:textId="160AA468" w:rsidR="00A03968" w:rsidRPr="007A1075" w:rsidRDefault="001267B9" w:rsidP="001267B9">
            <w:pPr>
              <w:pStyle w:val="TableText"/>
              <w:cnfStyle w:val="000000100000" w:firstRow="0" w:lastRow="0" w:firstColumn="0" w:lastColumn="0" w:oddVBand="0" w:evenVBand="0" w:oddHBand="1" w:evenHBand="0" w:firstRowFirstColumn="0" w:firstRowLastColumn="0" w:lastRowFirstColumn="0" w:lastRowLastColumn="0"/>
            </w:pPr>
            <w:r>
              <w:t>&lt;.001</w:t>
            </w:r>
          </w:p>
        </w:tc>
        <w:tc>
          <w:tcPr>
            <w:tcW w:w="1701" w:type="dxa"/>
            <w:tcBorders>
              <w:top w:val="none" w:sz="0" w:space="0" w:color="auto"/>
              <w:bottom w:val="none" w:sz="0" w:space="0" w:color="auto"/>
            </w:tcBorders>
            <w:noWrap/>
            <w:hideMark/>
          </w:tcPr>
          <w:p w14:paraId="2FB5B674" w14:textId="244D31F6" w:rsidR="00A03968" w:rsidRPr="007A1075" w:rsidRDefault="001267B9" w:rsidP="001267B9">
            <w:pPr>
              <w:pStyle w:val="TableText"/>
              <w:cnfStyle w:val="000000100000" w:firstRow="0" w:lastRow="0" w:firstColumn="0" w:lastColumn="0" w:oddVBand="0" w:evenVBand="0" w:oddHBand="1" w:evenHBand="0" w:firstRowFirstColumn="0" w:firstRowLastColumn="0" w:lastRowFirstColumn="0" w:lastRowLastColumn="0"/>
            </w:pPr>
            <w:r>
              <w:t>60.5% (n=15</w:t>
            </w:r>
            <w:r w:rsidR="0087238F">
              <w:t>,</w:t>
            </w:r>
            <w:r>
              <w:t>555)</w:t>
            </w:r>
          </w:p>
        </w:tc>
      </w:tr>
      <w:tr w:rsidR="00680B14" w:rsidRPr="007A1075" w14:paraId="44F85D1D" w14:textId="77777777" w:rsidTr="0078378F">
        <w:trPr>
          <w:trHeight w:val="290"/>
        </w:trPr>
        <w:tc>
          <w:tcPr>
            <w:cnfStyle w:val="001000000000" w:firstRow="0" w:lastRow="0" w:firstColumn="1" w:lastColumn="0" w:oddVBand="0" w:evenVBand="0" w:oddHBand="0" w:evenHBand="0" w:firstRowFirstColumn="0" w:firstRowLastColumn="0" w:lastRowFirstColumn="0" w:lastRowLastColumn="0"/>
            <w:tcW w:w="975" w:type="dxa"/>
            <w:vMerge/>
            <w:tcBorders>
              <w:right w:val="none" w:sz="0" w:space="0" w:color="auto"/>
            </w:tcBorders>
            <w:hideMark/>
          </w:tcPr>
          <w:p w14:paraId="54ACD563" w14:textId="77777777" w:rsidR="00826536" w:rsidRPr="007A1075" w:rsidRDefault="00826536" w:rsidP="001267B9">
            <w:pPr>
              <w:pStyle w:val="TableText"/>
            </w:pPr>
          </w:p>
        </w:tc>
        <w:tc>
          <w:tcPr>
            <w:tcW w:w="905" w:type="dxa"/>
            <w:vMerge w:val="restart"/>
            <w:hideMark/>
          </w:tcPr>
          <w:p w14:paraId="6241E7DE" w14:textId="77777777" w:rsidR="00A03968" w:rsidRPr="007A1075" w:rsidRDefault="001267B9" w:rsidP="001267B9">
            <w:pPr>
              <w:pStyle w:val="TableText"/>
              <w:cnfStyle w:val="000000000000" w:firstRow="0" w:lastRow="0" w:firstColumn="0" w:lastColumn="0" w:oddVBand="0" w:evenVBand="0" w:oddHBand="0" w:evenHBand="0" w:firstRowFirstColumn="0" w:firstRowLastColumn="0" w:lastRowFirstColumn="0" w:lastRowLastColumn="0"/>
            </w:pPr>
            <w:r>
              <w:t>Under 18 years</w:t>
            </w:r>
          </w:p>
          <w:p w14:paraId="10E917D9" w14:textId="54B5EC95" w:rsidR="00A03968" w:rsidRPr="007A1075" w:rsidRDefault="00A03968" w:rsidP="001267B9">
            <w:pPr>
              <w:pStyle w:val="TableText"/>
              <w:cnfStyle w:val="000000000000" w:firstRow="0" w:lastRow="0" w:firstColumn="0" w:lastColumn="0" w:oddVBand="0" w:evenVBand="0" w:oddHBand="0" w:evenHBand="0" w:firstRowFirstColumn="0" w:firstRowLastColumn="0" w:lastRowFirstColumn="0" w:lastRowLastColumn="0"/>
            </w:pPr>
          </w:p>
        </w:tc>
        <w:tc>
          <w:tcPr>
            <w:tcW w:w="1605" w:type="dxa"/>
            <w:vMerge w:val="restart"/>
            <w:hideMark/>
          </w:tcPr>
          <w:p w14:paraId="7DA5C3A7" w14:textId="77777777" w:rsidR="00A03968" w:rsidRPr="007A1075" w:rsidRDefault="001267B9" w:rsidP="001267B9">
            <w:pPr>
              <w:pStyle w:val="TableText"/>
              <w:cnfStyle w:val="000000000000" w:firstRow="0" w:lastRow="0" w:firstColumn="0" w:lastColumn="0" w:oddVBand="0" w:evenVBand="0" w:oddHBand="0" w:evenHBand="0" w:firstRowFirstColumn="0" w:firstRowLastColumn="0" w:lastRowFirstColumn="0" w:lastRowLastColumn="0"/>
            </w:pPr>
            <w:r>
              <w:t>Circumstances</w:t>
            </w:r>
          </w:p>
          <w:p w14:paraId="59448B4A" w14:textId="15692464" w:rsidR="00A03968" w:rsidRPr="007A1075" w:rsidRDefault="00A03968" w:rsidP="001267B9">
            <w:pPr>
              <w:pStyle w:val="TableText"/>
              <w:cnfStyle w:val="000000000000" w:firstRow="0" w:lastRow="0" w:firstColumn="0" w:lastColumn="0" w:oddVBand="0" w:evenVBand="0" w:oddHBand="0" w:evenHBand="0" w:firstRowFirstColumn="0" w:firstRowLastColumn="0" w:lastRowFirstColumn="0" w:lastRowLastColumn="0"/>
            </w:pPr>
          </w:p>
        </w:tc>
        <w:tc>
          <w:tcPr>
            <w:tcW w:w="3881" w:type="dxa"/>
            <w:noWrap/>
            <w:hideMark/>
          </w:tcPr>
          <w:p w14:paraId="35A07D36" w14:textId="5A9E7EE1" w:rsidR="00A03968" w:rsidRPr="007A1075" w:rsidRDefault="001267B9" w:rsidP="001267B9">
            <w:pPr>
              <w:pStyle w:val="TableText"/>
              <w:cnfStyle w:val="000000000000" w:firstRow="0" w:lastRow="0" w:firstColumn="0" w:lastColumn="0" w:oddVBand="0" w:evenVBand="0" w:oddHBand="0" w:evenHBand="0" w:firstRowFirstColumn="0" w:firstRowLastColumn="0" w:lastRowFirstColumn="0" w:lastRowLastColumn="0"/>
            </w:pPr>
            <w:r>
              <w:t>Family functioning</w:t>
            </w:r>
          </w:p>
        </w:tc>
        <w:tc>
          <w:tcPr>
            <w:tcW w:w="993" w:type="dxa"/>
            <w:noWrap/>
            <w:hideMark/>
          </w:tcPr>
          <w:p w14:paraId="68F04699" w14:textId="1301784C" w:rsidR="00A03968" w:rsidRPr="007A1075" w:rsidRDefault="001267B9" w:rsidP="001267B9">
            <w:pPr>
              <w:pStyle w:val="TableText"/>
              <w:cnfStyle w:val="000000000000" w:firstRow="0" w:lastRow="0" w:firstColumn="0" w:lastColumn="0" w:oddVBand="0" w:evenVBand="0" w:oddHBand="0" w:evenHBand="0" w:firstRowFirstColumn="0" w:firstRowLastColumn="0" w:lastRowFirstColumn="0" w:lastRowLastColumn="0"/>
            </w:pPr>
            <w:r>
              <w:t>1.06</w:t>
            </w:r>
          </w:p>
        </w:tc>
        <w:tc>
          <w:tcPr>
            <w:tcW w:w="1559" w:type="dxa"/>
            <w:noWrap/>
            <w:hideMark/>
          </w:tcPr>
          <w:p w14:paraId="64D14E72" w14:textId="13974706" w:rsidR="00A03968" w:rsidRPr="007A1075" w:rsidRDefault="001267B9" w:rsidP="001267B9">
            <w:pPr>
              <w:pStyle w:val="TableText"/>
              <w:cnfStyle w:val="000000000000" w:firstRow="0" w:lastRow="0" w:firstColumn="0" w:lastColumn="0" w:oddVBand="0" w:evenVBand="0" w:oddHBand="0" w:evenHBand="0" w:firstRowFirstColumn="0" w:firstRowLastColumn="0" w:lastRowFirstColumn="0" w:lastRowLastColumn="0"/>
            </w:pPr>
            <w:r>
              <w:t>1160552.5</w:t>
            </w:r>
          </w:p>
        </w:tc>
        <w:tc>
          <w:tcPr>
            <w:tcW w:w="1134" w:type="dxa"/>
            <w:noWrap/>
            <w:hideMark/>
          </w:tcPr>
          <w:p w14:paraId="4CBB56B6" w14:textId="54CD5F72" w:rsidR="00A03968" w:rsidRPr="007A1075" w:rsidRDefault="001267B9" w:rsidP="001267B9">
            <w:pPr>
              <w:pStyle w:val="TableText"/>
              <w:cnfStyle w:val="000000000000" w:firstRow="0" w:lastRow="0" w:firstColumn="0" w:lastColumn="0" w:oddVBand="0" w:evenVBand="0" w:oddHBand="0" w:evenHBand="0" w:firstRowFirstColumn="0" w:firstRowLastColumn="0" w:lastRowFirstColumn="0" w:lastRowLastColumn="0"/>
            </w:pPr>
            <w:r>
              <w:t>5</w:t>
            </w:r>
            <w:r w:rsidR="0087238F">
              <w:t>,</w:t>
            </w:r>
            <w:r>
              <w:t>376</w:t>
            </w:r>
          </w:p>
        </w:tc>
        <w:tc>
          <w:tcPr>
            <w:tcW w:w="850" w:type="dxa"/>
            <w:noWrap/>
            <w:hideMark/>
          </w:tcPr>
          <w:p w14:paraId="49FA6227" w14:textId="68153E23" w:rsidR="00A03968" w:rsidRPr="007A1075" w:rsidRDefault="001267B9" w:rsidP="001267B9">
            <w:pPr>
              <w:pStyle w:val="TableText"/>
              <w:cnfStyle w:val="000000000000" w:firstRow="0" w:lastRow="0" w:firstColumn="0" w:lastColumn="0" w:oddVBand="0" w:evenVBand="0" w:oddHBand="0" w:evenHBand="0" w:firstRowFirstColumn="0" w:firstRowLastColumn="0" w:lastRowFirstColumn="0" w:lastRowLastColumn="0"/>
            </w:pPr>
            <w:r>
              <w:t>&lt;.001</w:t>
            </w:r>
          </w:p>
        </w:tc>
        <w:tc>
          <w:tcPr>
            <w:tcW w:w="1701" w:type="dxa"/>
            <w:noWrap/>
            <w:hideMark/>
          </w:tcPr>
          <w:p w14:paraId="25944A6F" w14:textId="019E187D" w:rsidR="00A03968" w:rsidRPr="007A1075" w:rsidRDefault="001267B9" w:rsidP="001267B9">
            <w:pPr>
              <w:pStyle w:val="TableText"/>
              <w:cnfStyle w:val="000000000000" w:firstRow="0" w:lastRow="0" w:firstColumn="0" w:lastColumn="0" w:oddVBand="0" w:evenVBand="0" w:oddHBand="0" w:evenHBand="0" w:firstRowFirstColumn="0" w:firstRowLastColumn="0" w:lastRowFirstColumn="0" w:lastRowLastColumn="0"/>
            </w:pPr>
            <w:r>
              <w:t>59.6% (n=3</w:t>
            </w:r>
            <w:r w:rsidR="0087238F">
              <w:t>,</w:t>
            </w:r>
            <w:r>
              <w:t>202)</w:t>
            </w:r>
          </w:p>
        </w:tc>
      </w:tr>
      <w:tr w:rsidR="00680B14" w:rsidRPr="007A1075" w14:paraId="3204E9FA" w14:textId="77777777" w:rsidTr="0078378F">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75" w:type="dxa"/>
            <w:vMerge/>
            <w:tcBorders>
              <w:top w:val="none" w:sz="0" w:space="0" w:color="auto"/>
              <w:bottom w:val="none" w:sz="0" w:space="0" w:color="auto"/>
              <w:right w:val="none" w:sz="0" w:space="0" w:color="auto"/>
            </w:tcBorders>
            <w:hideMark/>
          </w:tcPr>
          <w:p w14:paraId="071904BE" w14:textId="77777777" w:rsidR="00826536" w:rsidRPr="007A1075" w:rsidRDefault="00826536" w:rsidP="001267B9">
            <w:pPr>
              <w:pStyle w:val="TableText"/>
            </w:pPr>
          </w:p>
        </w:tc>
        <w:tc>
          <w:tcPr>
            <w:tcW w:w="905" w:type="dxa"/>
            <w:vMerge/>
            <w:tcBorders>
              <w:top w:val="none" w:sz="0" w:space="0" w:color="auto"/>
              <w:bottom w:val="none" w:sz="0" w:space="0" w:color="auto"/>
            </w:tcBorders>
            <w:hideMark/>
          </w:tcPr>
          <w:p w14:paraId="65D7B361" w14:textId="77777777" w:rsidR="00A03968" w:rsidRPr="007A1075" w:rsidRDefault="00A03968" w:rsidP="001267B9">
            <w:pPr>
              <w:pStyle w:val="TableText"/>
              <w:cnfStyle w:val="000000100000" w:firstRow="0" w:lastRow="0" w:firstColumn="0" w:lastColumn="0" w:oddVBand="0" w:evenVBand="0" w:oddHBand="1" w:evenHBand="0" w:firstRowFirstColumn="0" w:firstRowLastColumn="0" w:lastRowFirstColumn="0" w:lastRowLastColumn="0"/>
            </w:pPr>
          </w:p>
        </w:tc>
        <w:tc>
          <w:tcPr>
            <w:tcW w:w="1605" w:type="dxa"/>
            <w:vMerge/>
            <w:tcBorders>
              <w:top w:val="none" w:sz="0" w:space="0" w:color="auto"/>
              <w:bottom w:val="none" w:sz="0" w:space="0" w:color="auto"/>
            </w:tcBorders>
            <w:hideMark/>
          </w:tcPr>
          <w:p w14:paraId="1F097F96" w14:textId="77777777" w:rsidR="00A03968" w:rsidRPr="007A1075" w:rsidRDefault="00A03968" w:rsidP="001267B9">
            <w:pPr>
              <w:pStyle w:val="TableText"/>
              <w:cnfStyle w:val="000000100000" w:firstRow="0" w:lastRow="0" w:firstColumn="0" w:lastColumn="0" w:oddVBand="0" w:evenVBand="0" w:oddHBand="1" w:evenHBand="0" w:firstRowFirstColumn="0" w:firstRowLastColumn="0" w:lastRowFirstColumn="0" w:lastRowLastColumn="0"/>
            </w:pPr>
          </w:p>
        </w:tc>
        <w:tc>
          <w:tcPr>
            <w:tcW w:w="3881" w:type="dxa"/>
            <w:tcBorders>
              <w:top w:val="none" w:sz="0" w:space="0" w:color="auto"/>
              <w:bottom w:val="none" w:sz="0" w:space="0" w:color="auto"/>
            </w:tcBorders>
            <w:noWrap/>
            <w:hideMark/>
          </w:tcPr>
          <w:p w14:paraId="4A704DD2" w14:textId="4AD0136F" w:rsidR="00A03968" w:rsidRPr="007A1075" w:rsidRDefault="001267B9" w:rsidP="001267B9">
            <w:pPr>
              <w:pStyle w:val="TableText"/>
              <w:cnfStyle w:val="000000100000" w:firstRow="0" w:lastRow="0" w:firstColumn="0" w:lastColumn="0" w:oddVBand="0" w:evenVBand="0" w:oddHBand="1" w:evenHBand="0" w:firstRowFirstColumn="0" w:firstRowLastColumn="0" w:lastRowFirstColumn="0" w:lastRowLastColumn="0"/>
            </w:pPr>
            <w:r w:rsidRPr="3AB749BF">
              <w:rPr>
                <w:lang w:val="en-NZ"/>
              </w:rPr>
              <w:t>Mental health, wellbeing and self-care</w:t>
            </w:r>
          </w:p>
        </w:tc>
        <w:tc>
          <w:tcPr>
            <w:tcW w:w="993" w:type="dxa"/>
            <w:tcBorders>
              <w:top w:val="none" w:sz="0" w:space="0" w:color="auto"/>
              <w:bottom w:val="none" w:sz="0" w:space="0" w:color="auto"/>
            </w:tcBorders>
            <w:noWrap/>
            <w:hideMark/>
          </w:tcPr>
          <w:p w14:paraId="51665132" w14:textId="09EF5D25" w:rsidR="00A03968" w:rsidRPr="007A1075" w:rsidRDefault="001267B9" w:rsidP="001267B9">
            <w:pPr>
              <w:pStyle w:val="TableText"/>
              <w:cnfStyle w:val="000000100000" w:firstRow="0" w:lastRow="0" w:firstColumn="0" w:lastColumn="0" w:oddVBand="0" w:evenVBand="0" w:oddHBand="1" w:evenHBand="0" w:firstRowFirstColumn="0" w:firstRowLastColumn="0" w:lastRowFirstColumn="0" w:lastRowLastColumn="0"/>
            </w:pPr>
            <w:r>
              <w:t>1.13</w:t>
            </w:r>
          </w:p>
        </w:tc>
        <w:tc>
          <w:tcPr>
            <w:tcW w:w="1559" w:type="dxa"/>
            <w:tcBorders>
              <w:top w:val="none" w:sz="0" w:space="0" w:color="auto"/>
              <w:bottom w:val="none" w:sz="0" w:space="0" w:color="auto"/>
            </w:tcBorders>
            <w:noWrap/>
            <w:hideMark/>
          </w:tcPr>
          <w:p w14:paraId="5D45D82F" w14:textId="0BF7070F" w:rsidR="00A03968" w:rsidRPr="007A1075" w:rsidRDefault="001267B9" w:rsidP="001267B9">
            <w:pPr>
              <w:pStyle w:val="TableText"/>
              <w:cnfStyle w:val="000000100000" w:firstRow="0" w:lastRow="0" w:firstColumn="0" w:lastColumn="0" w:oddVBand="0" w:evenVBand="0" w:oddHBand="1" w:evenHBand="0" w:firstRowFirstColumn="0" w:firstRowLastColumn="0" w:lastRowFirstColumn="0" w:lastRowLastColumn="0"/>
            </w:pPr>
            <w:r>
              <w:t>1020058.5</w:t>
            </w:r>
          </w:p>
        </w:tc>
        <w:tc>
          <w:tcPr>
            <w:tcW w:w="1134" w:type="dxa"/>
            <w:tcBorders>
              <w:top w:val="none" w:sz="0" w:space="0" w:color="auto"/>
              <w:bottom w:val="none" w:sz="0" w:space="0" w:color="auto"/>
            </w:tcBorders>
            <w:noWrap/>
            <w:hideMark/>
          </w:tcPr>
          <w:p w14:paraId="5B8367ED" w14:textId="35599035" w:rsidR="00A03968" w:rsidRPr="007A1075" w:rsidRDefault="001267B9" w:rsidP="001267B9">
            <w:pPr>
              <w:pStyle w:val="TableText"/>
              <w:cnfStyle w:val="000000100000" w:firstRow="0" w:lastRow="0" w:firstColumn="0" w:lastColumn="0" w:oddVBand="0" w:evenVBand="0" w:oddHBand="1" w:evenHBand="0" w:firstRowFirstColumn="0" w:firstRowLastColumn="0" w:lastRowFirstColumn="0" w:lastRowLastColumn="0"/>
            </w:pPr>
            <w:r>
              <w:t>5</w:t>
            </w:r>
            <w:r w:rsidR="0087238F">
              <w:t>,</w:t>
            </w:r>
            <w:r>
              <w:t>306</w:t>
            </w:r>
          </w:p>
        </w:tc>
        <w:tc>
          <w:tcPr>
            <w:tcW w:w="850" w:type="dxa"/>
            <w:tcBorders>
              <w:top w:val="none" w:sz="0" w:space="0" w:color="auto"/>
              <w:bottom w:val="none" w:sz="0" w:space="0" w:color="auto"/>
            </w:tcBorders>
            <w:noWrap/>
            <w:hideMark/>
          </w:tcPr>
          <w:p w14:paraId="5B36DBAB" w14:textId="3D5B0D23" w:rsidR="00A03968" w:rsidRPr="007A1075" w:rsidRDefault="001267B9" w:rsidP="001267B9">
            <w:pPr>
              <w:pStyle w:val="TableText"/>
              <w:cnfStyle w:val="000000100000" w:firstRow="0" w:lastRow="0" w:firstColumn="0" w:lastColumn="0" w:oddVBand="0" w:evenVBand="0" w:oddHBand="1" w:evenHBand="0" w:firstRowFirstColumn="0" w:firstRowLastColumn="0" w:lastRowFirstColumn="0" w:lastRowLastColumn="0"/>
            </w:pPr>
            <w:r>
              <w:t>&lt;.001</w:t>
            </w:r>
          </w:p>
        </w:tc>
        <w:tc>
          <w:tcPr>
            <w:tcW w:w="1701" w:type="dxa"/>
            <w:tcBorders>
              <w:top w:val="none" w:sz="0" w:space="0" w:color="auto"/>
              <w:bottom w:val="none" w:sz="0" w:space="0" w:color="auto"/>
            </w:tcBorders>
            <w:noWrap/>
            <w:hideMark/>
          </w:tcPr>
          <w:p w14:paraId="62961087" w14:textId="32BD3F07" w:rsidR="00A03968" w:rsidRPr="007A1075" w:rsidRDefault="001267B9" w:rsidP="001267B9">
            <w:pPr>
              <w:pStyle w:val="TableText"/>
              <w:cnfStyle w:val="000000100000" w:firstRow="0" w:lastRow="0" w:firstColumn="0" w:lastColumn="0" w:oddVBand="0" w:evenVBand="0" w:oddHBand="1" w:evenHBand="0" w:firstRowFirstColumn="0" w:firstRowLastColumn="0" w:lastRowFirstColumn="0" w:lastRowLastColumn="0"/>
            </w:pPr>
            <w:r>
              <w:t>63.8% (n=3</w:t>
            </w:r>
            <w:r w:rsidR="0087238F">
              <w:t>,</w:t>
            </w:r>
            <w:r>
              <w:t>383)</w:t>
            </w:r>
          </w:p>
        </w:tc>
      </w:tr>
      <w:tr w:rsidR="00680B14" w:rsidRPr="007A1075" w14:paraId="65736DCB" w14:textId="77777777" w:rsidTr="0078378F">
        <w:trPr>
          <w:trHeight w:val="290"/>
        </w:trPr>
        <w:tc>
          <w:tcPr>
            <w:cnfStyle w:val="001000000000" w:firstRow="0" w:lastRow="0" w:firstColumn="1" w:lastColumn="0" w:oddVBand="0" w:evenVBand="0" w:oddHBand="0" w:evenHBand="0" w:firstRowFirstColumn="0" w:firstRowLastColumn="0" w:lastRowFirstColumn="0" w:lastRowLastColumn="0"/>
            <w:tcW w:w="975" w:type="dxa"/>
            <w:vMerge/>
            <w:tcBorders>
              <w:right w:val="none" w:sz="0" w:space="0" w:color="auto"/>
            </w:tcBorders>
            <w:hideMark/>
          </w:tcPr>
          <w:p w14:paraId="0190FAFC" w14:textId="77777777" w:rsidR="00826536" w:rsidRPr="007A1075" w:rsidRDefault="00826536" w:rsidP="001267B9">
            <w:pPr>
              <w:pStyle w:val="TableText"/>
            </w:pPr>
          </w:p>
        </w:tc>
        <w:tc>
          <w:tcPr>
            <w:tcW w:w="905" w:type="dxa"/>
            <w:vMerge/>
            <w:hideMark/>
          </w:tcPr>
          <w:p w14:paraId="31F93CE3" w14:textId="77777777" w:rsidR="00A03968" w:rsidRPr="007A1075" w:rsidRDefault="00A03968" w:rsidP="001267B9">
            <w:pPr>
              <w:pStyle w:val="TableText"/>
              <w:cnfStyle w:val="000000000000" w:firstRow="0" w:lastRow="0" w:firstColumn="0" w:lastColumn="0" w:oddVBand="0" w:evenVBand="0" w:oddHBand="0" w:evenHBand="0" w:firstRowFirstColumn="0" w:firstRowLastColumn="0" w:lastRowFirstColumn="0" w:lastRowLastColumn="0"/>
            </w:pPr>
          </w:p>
        </w:tc>
        <w:tc>
          <w:tcPr>
            <w:tcW w:w="1605" w:type="dxa"/>
            <w:vMerge/>
            <w:hideMark/>
          </w:tcPr>
          <w:p w14:paraId="41A191CE" w14:textId="77777777" w:rsidR="00A03968" w:rsidRPr="007A1075" w:rsidRDefault="00A03968" w:rsidP="001267B9">
            <w:pPr>
              <w:pStyle w:val="TableText"/>
              <w:cnfStyle w:val="000000000000" w:firstRow="0" w:lastRow="0" w:firstColumn="0" w:lastColumn="0" w:oddVBand="0" w:evenVBand="0" w:oddHBand="0" w:evenHBand="0" w:firstRowFirstColumn="0" w:firstRowLastColumn="0" w:lastRowFirstColumn="0" w:lastRowLastColumn="0"/>
            </w:pPr>
          </w:p>
        </w:tc>
        <w:tc>
          <w:tcPr>
            <w:tcW w:w="3881" w:type="dxa"/>
            <w:noWrap/>
            <w:hideMark/>
          </w:tcPr>
          <w:p w14:paraId="6E6359CC" w14:textId="6D1B2936" w:rsidR="00A03968" w:rsidRPr="007A1075" w:rsidRDefault="001267B9" w:rsidP="001267B9">
            <w:pPr>
              <w:pStyle w:val="TableText"/>
              <w:cnfStyle w:val="000000000000" w:firstRow="0" w:lastRow="0" w:firstColumn="0" w:lastColumn="0" w:oddVBand="0" w:evenVBand="0" w:oddHBand="0" w:evenHBand="0" w:firstRowFirstColumn="0" w:firstRowLastColumn="0" w:lastRowFirstColumn="0" w:lastRowLastColumn="0"/>
            </w:pPr>
            <w:r>
              <w:t>Personal and family safety</w:t>
            </w:r>
          </w:p>
        </w:tc>
        <w:tc>
          <w:tcPr>
            <w:tcW w:w="993" w:type="dxa"/>
            <w:noWrap/>
            <w:hideMark/>
          </w:tcPr>
          <w:p w14:paraId="7478D40D" w14:textId="5DB325D5" w:rsidR="00A03968" w:rsidRPr="007A1075" w:rsidRDefault="001267B9" w:rsidP="001267B9">
            <w:pPr>
              <w:pStyle w:val="TableText"/>
              <w:cnfStyle w:val="000000000000" w:firstRow="0" w:lastRow="0" w:firstColumn="0" w:lastColumn="0" w:oddVBand="0" w:evenVBand="0" w:oddHBand="0" w:evenHBand="0" w:firstRowFirstColumn="0" w:firstRowLastColumn="0" w:lastRowFirstColumn="0" w:lastRowLastColumn="0"/>
            </w:pPr>
            <w:r>
              <w:t>0.63</w:t>
            </w:r>
          </w:p>
        </w:tc>
        <w:tc>
          <w:tcPr>
            <w:tcW w:w="1559" w:type="dxa"/>
            <w:noWrap/>
            <w:hideMark/>
          </w:tcPr>
          <w:p w14:paraId="5A6BFB1F" w14:textId="0E8174AA" w:rsidR="00A03968" w:rsidRPr="007A1075" w:rsidRDefault="001267B9" w:rsidP="001267B9">
            <w:pPr>
              <w:pStyle w:val="TableText"/>
              <w:cnfStyle w:val="000000000000" w:firstRow="0" w:lastRow="0" w:firstColumn="0" w:lastColumn="0" w:oddVBand="0" w:evenVBand="0" w:oddHBand="0" w:evenHBand="0" w:firstRowFirstColumn="0" w:firstRowLastColumn="0" w:lastRowFirstColumn="0" w:lastRowLastColumn="0"/>
            </w:pPr>
            <w:r>
              <w:t>639154</w:t>
            </w:r>
          </w:p>
        </w:tc>
        <w:tc>
          <w:tcPr>
            <w:tcW w:w="1134" w:type="dxa"/>
            <w:noWrap/>
            <w:hideMark/>
          </w:tcPr>
          <w:p w14:paraId="7B8DAC99" w14:textId="52F2E49C" w:rsidR="00A03968" w:rsidRPr="007A1075" w:rsidRDefault="001267B9" w:rsidP="001267B9">
            <w:pPr>
              <w:pStyle w:val="TableText"/>
              <w:cnfStyle w:val="000000000000" w:firstRow="0" w:lastRow="0" w:firstColumn="0" w:lastColumn="0" w:oddVBand="0" w:evenVBand="0" w:oddHBand="0" w:evenHBand="0" w:firstRowFirstColumn="0" w:firstRowLastColumn="0" w:lastRowFirstColumn="0" w:lastRowLastColumn="0"/>
            </w:pPr>
            <w:r>
              <w:t>3</w:t>
            </w:r>
            <w:r w:rsidR="0087238F">
              <w:t>,</w:t>
            </w:r>
            <w:r>
              <w:t>376</w:t>
            </w:r>
          </w:p>
        </w:tc>
        <w:tc>
          <w:tcPr>
            <w:tcW w:w="850" w:type="dxa"/>
            <w:noWrap/>
            <w:hideMark/>
          </w:tcPr>
          <w:p w14:paraId="05236FB5" w14:textId="740C8762" w:rsidR="00A03968" w:rsidRPr="007A1075" w:rsidRDefault="001267B9" w:rsidP="001267B9">
            <w:pPr>
              <w:pStyle w:val="TableText"/>
              <w:cnfStyle w:val="000000000000" w:firstRow="0" w:lastRow="0" w:firstColumn="0" w:lastColumn="0" w:oddVBand="0" w:evenVBand="0" w:oddHBand="0" w:evenHBand="0" w:firstRowFirstColumn="0" w:firstRowLastColumn="0" w:lastRowFirstColumn="0" w:lastRowLastColumn="0"/>
            </w:pPr>
            <w:r>
              <w:t>&lt;.001</w:t>
            </w:r>
          </w:p>
        </w:tc>
        <w:tc>
          <w:tcPr>
            <w:tcW w:w="1701" w:type="dxa"/>
            <w:noWrap/>
            <w:hideMark/>
          </w:tcPr>
          <w:p w14:paraId="3B812BA0" w14:textId="79E9B12B" w:rsidR="00A03968" w:rsidRPr="007A1075" w:rsidRDefault="001267B9" w:rsidP="001267B9">
            <w:pPr>
              <w:pStyle w:val="TableText"/>
              <w:cnfStyle w:val="000000000000" w:firstRow="0" w:lastRow="0" w:firstColumn="0" w:lastColumn="0" w:oddVBand="0" w:evenVBand="0" w:oddHBand="0" w:evenHBand="0" w:firstRowFirstColumn="0" w:firstRowLastColumn="0" w:lastRowFirstColumn="0" w:lastRowLastColumn="0"/>
            </w:pPr>
            <w:r>
              <w:t>44.4% (n=1</w:t>
            </w:r>
            <w:r w:rsidR="0087238F">
              <w:t>,</w:t>
            </w:r>
            <w:r>
              <w:t>500)</w:t>
            </w:r>
          </w:p>
        </w:tc>
      </w:tr>
      <w:tr w:rsidR="00680B14" w:rsidRPr="007A1075" w14:paraId="62BB6F9B" w14:textId="77777777" w:rsidTr="0078378F">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75" w:type="dxa"/>
            <w:vMerge/>
            <w:tcBorders>
              <w:top w:val="none" w:sz="0" w:space="0" w:color="auto"/>
              <w:bottom w:val="none" w:sz="0" w:space="0" w:color="auto"/>
              <w:right w:val="none" w:sz="0" w:space="0" w:color="auto"/>
            </w:tcBorders>
            <w:hideMark/>
          </w:tcPr>
          <w:p w14:paraId="1847E854" w14:textId="77777777" w:rsidR="00826536" w:rsidRPr="007A1075" w:rsidRDefault="00826536" w:rsidP="001267B9">
            <w:pPr>
              <w:pStyle w:val="TableText"/>
            </w:pPr>
          </w:p>
        </w:tc>
        <w:tc>
          <w:tcPr>
            <w:tcW w:w="905" w:type="dxa"/>
            <w:vMerge/>
            <w:tcBorders>
              <w:top w:val="none" w:sz="0" w:space="0" w:color="auto"/>
              <w:bottom w:val="none" w:sz="0" w:space="0" w:color="auto"/>
            </w:tcBorders>
            <w:hideMark/>
          </w:tcPr>
          <w:p w14:paraId="19A8A15B" w14:textId="77777777" w:rsidR="00A03968" w:rsidRPr="007A1075" w:rsidRDefault="00A03968" w:rsidP="001267B9">
            <w:pPr>
              <w:pStyle w:val="TableText"/>
              <w:cnfStyle w:val="000000100000" w:firstRow="0" w:lastRow="0" w:firstColumn="0" w:lastColumn="0" w:oddVBand="0" w:evenVBand="0" w:oddHBand="1" w:evenHBand="0" w:firstRowFirstColumn="0" w:firstRowLastColumn="0" w:lastRowFirstColumn="0" w:lastRowLastColumn="0"/>
            </w:pPr>
          </w:p>
        </w:tc>
        <w:tc>
          <w:tcPr>
            <w:tcW w:w="1605" w:type="dxa"/>
            <w:vMerge w:val="restart"/>
            <w:tcBorders>
              <w:top w:val="none" w:sz="0" w:space="0" w:color="auto"/>
              <w:bottom w:val="none" w:sz="0" w:space="0" w:color="auto"/>
            </w:tcBorders>
            <w:hideMark/>
          </w:tcPr>
          <w:p w14:paraId="33852ABF" w14:textId="77777777" w:rsidR="00A03968" w:rsidRPr="007A1075" w:rsidRDefault="001267B9" w:rsidP="001267B9">
            <w:pPr>
              <w:pStyle w:val="TableText"/>
              <w:cnfStyle w:val="000000100000" w:firstRow="0" w:lastRow="0" w:firstColumn="0" w:lastColumn="0" w:oddVBand="0" w:evenVBand="0" w:oddHBand="1" w:evenHBand="0" w:firstRowFirstColumn="0" w:firstRowLastColumn="0" w:lastRowFirstColumn="0" w:lastRowLastColumn="0"/>
            </w:pPr>
            <w:r>
              <w:t>Goals</w:t>
            </w:r>
          </w:p>
          <w:p w14:paraId="7542D46E" w14:textId="53F32FFF" w:rsidR="00A03968" w:rsidRPr="007A1075" w:rsidRDefault="00A03968" w:rsidP="001267B9">
            <w:pPr>
              <w:pStyle w:val="TableText"/>
              <w:cnfStyle w:val="000000100000" w:firstRow="0" w:lastRow="0" w:firstColumn="0" w:lastColumn="0" w:oddVBand="0" w:evenVBand="0" w:oddHBand="1" w:evenHBand="0" w:firstRowFirstColumn="0" w:firstRowLastColumn="0" w:lastRowFirstColumn="0" w:lastRowLastColumn="0"/>
            </w:pPr>
          </w:p>
        </w:tc>
        <w:tc>
          <w:tcPr>
            <w:tcW w:w="3881" w:type="dxa"/>
            <w:tcBorders>
              <w:top w:val="none" w:sz="0" w:space="0" w:color="auto"/>
              <w:bottom w:val="none" w:sz="0" w:space="0" w:color="auto"/>
            </w:tcBorders>
            <w:noWrap/>
            <w:hideMark/>
          </w:tcPr>
          <w:p w14:paraId="1FDC7EE4" w14:textId="220CB453" w:rsidR="00A03968" w:rsidRPr="007A1075" w:rsidRDefault="001267B9" w:rsidP="001267B9">
            <w:pPr>
              <w:pStyle w:val="TableText"/>
              <w:cnfStyle w:val="000000100000" w:firstRow="0" w:lastRow="0" w:firstColumn="0" w:lastColumn="0" w:oddVBand="0" w:evenVBand="0" w:oddHBand="1" w:evenHBand="0" w:firstRowFirstColumn="0" w:firstRowLastColumn="0" w:lastRowFirstColumn="0" w:lastRowLastColumn="0"/>
            </w:pPr>
            <w:r>
              <w:t>Changed behaviours</w:t>
            </w:r>
          </w:p>
        </w:tc>
        <w:tc>
          <w:tcPr>
            <w:tcW w:w="993" w:type="dxa"/>
            <w:tcBorders>
              <w:top w:val="none" w:sz="0" w:space="0" w:color="auto"/>
              <w:bottom w:val="none" w:sz="0" w:space="0" w:color="auto"/>
            </w:tcBorders>
            <w:noWrap/>
            <w:hideMark/>
          </w:tcPr>
          <w:p w14:paraId="68FCBF47" w14:textId="180DF4E3" w:rsidR="00A03968" w:rsidRPr="007A1075" w:rsidRDefault="001267B9" w:rsidP="001267B9">
            <w:pPr>
              <w:pStyle w:val="TableText"/>
              <w:cnfStyle w:val="000000100000" w:firstRow="0" w:lastRow="0" w:firstColumn="0" w:lastColumn="0" w:oddVBand="0" w:evenVBand="0" w:oddHBand="1" w:evenHBand="0" w:firstRowFirstColumn="0" w:firstRowLastColumn="0" w:lastRowFirstColumn="0" w:lastRowLastColumn="0"/>
            </w:pPr>
            <w:r>
              <w:t>1.32</w:t>
            </w:r>
          </w:p>
        </w:tc>
        <w:tc>
          <w:tcPr>
            <w:tcW w:w="1559" w:type="dxa"/>
            <w:tcBorders>
              <w:top w:val="none" w:sz="0" w:space="0" w:color="auto"/>
              <w:bottom w:val="none" w:sz="0" w:space="0" w:color="auto"/>
            </w:tcBorders>
            <w:noWrap/>
            <w:hideMark/>
          </w:tcPr>
          <w:p w14:paraId="4342E773" w14:textId="2712B6B9" w:rsidR="00A03968" w:rsidRPr="007A1075" w:rsidRDefault="001267B9" w:rsidP="001267B9">
            <w:pPr>
              <w:pStyle w:val="TableText"/>
              <w:cnfStyle w:val="000000100000" w:firstRow="0" w:lastRow="0" w:firstColumn="0" w:lastColumn="0" w:oddVBand="0" w:evenVBand="0" w:oddHBand="1" w:evenHBand="0" w:firstRowFirstColumn="0" w:firstRowLastColumn="0" w:lastRowFirstColumn="0" w:lastRowLastColumn="0"/>
            </w:pPr>
            <w:r>
              <w:t>396926</w:t>
            </w:r>
          </w:p>
        </w:tc>
        <w:tc>
          <w:tcPr>
            <w:tcW w:w="1134" w:type="dxa"/>
            <w:tcBorders>
              <w:top w:val="none" w:sz="0" w:space="0" w:color="auto"/>
              <w:bottom w:val="none" w:sz="0" w:space="0" w:color="auto"/>
            </w:tcBorders>
            <w:noWrap/>
            <w:hideMark/>
          </w:tcPr>
          <w:p w14:paraId="78B60CC0" w14:textId="42EA2E79" w:rsidR="00A03968" w:rsidRPr="007A1075" w:rsidRDefault="001267B9" w:rsidP="001267B9">
            <w:pPr>
              <w:pStyle w:val="TableText"/>
              <w:cnfStyle w:val="000000100000" w:firstRow="0" w:lastRow="0" w:firstColumn="0" w:lastColumn="0" w:oddVBand="0" w:evenVBand="0" w:oddHBand="1" w:evenHBand="0" w:firstRowFirstColumn="0" w:firstRowLastColumn="0" w:lastRowFirstColumn="0" w:lastRowLastColumn="0"/>
            </w:pPr>
            <w:r>
              <w:t>4</w:t>
            </w:r>
            <w:r w:rsidR="0087238F">
              <w:t>,</w:t>
            </w:r>
            <w:r>
              <w:t>144</w:t>
            </w:r>
          </w:p>
        </w:tc>
        <w:tc>
          <w:tcPr>
            <w:tcW w:w="850" w:type="dxa"/>
            <w:tcBorders>
              <w:top w:val="none" w:sz="0" w:space="0" w:color="auto"/>
              <w:bottom w:val="none" w:sz="0" w:space="0" w:color="auto"/>
            </w:tcBorders>
            <w:noWrap/>
            <w:hideMark/>
          </w:tcPr>
          <w:p w14:paraId="7B142A1E" w14:textId="4D3C44B7" w:rsidR="00A03968" w:rsidRPr="007A1075" w:rsidRDefault="001267B9" w:rsidP="001267B9">
            <w:pPr>
              <w:pStyle w:val="TableText"/>
              <w:cnfStyle w:val="000000100000" w:firstRow="0" w:lastRow="0" w:firstColumn="0" w:lastColumn="0" w:oddVBand="0" w:evenVBand="0" w:oddHBand="1" w:evenHBand="0" w:firstRowFirstColumn="0" w:firstRowLastColumn="0" w:lastRowFirstColumn="0" w:lastRowLastColumn="0"/>
            </w:pPr>
            <w:r>
              <w:t>&lt;.001</w:t>
            </w:r>
          </w:p>
        </w:tc>
        <w:tc>
          <w:tcPr>
            <w:tcW w:w="1701" w:type="dxa"/>
            <w:tcBorders>
              <w:top w:val="none" w:sz="0" w:space="0" w:color="auto"/>
              <w:bottom w:val="none" w:sz="0" w:space="0" w:color="auto"/>
            </w:tcBorders>
            <w:noWrap/>
            <w:hideMark/>
          </w:tcPr>
          <w:p w14:paraId="4FA0B137" w14:textId="4769437E" w:rsidR="00A03968" w:rsidRPr="007A1075" w:rsidRDefault="001267B9" w:rsidP="001267B9">
            <w:pPr>
              <w:pStyle w:val="TableText"/>
              <w:cnfStyle w:val="000000100000" w:firstRow="0" w:lastRow="0" w:firstColumn="0" w:lastColumn="0" w:oddVBand="0" w:evenVBand="0" w:oddHBand="1" w:evenHBand="0" w:firstRowFirstColumn="0" w:firstRowLastColumn="0" w:lastRowFirstColumn="0" w:lastRowLastColumn="0"/>
            </w:pPr>
            <w:r>
              <w:t>67.9% (n=2</w:t>
            </w:r>
            <w:r w:rsidR="0087238F">
              <w:t>,</w:t>
            </w:r>
            <w:r>
              <w:t>812)</w:t>
            </w:r>
          </w:p>
        </w:tc>
      </w:tr>
      <w:tr w:rsidR="00680B14" w:rsidRPr="007A1075" w14:paraId="12C9AEE9" w14:textId="77777777" w:rsidTr="0078378F">
        <w:trPr>
          <w:trHeight w:val="290"/>
        </w:trPr>
        <w:tc>
          <w:tcPr>
            <w:cnfStyle w:val="001000000000" w:firstRow="0" w:lastRow="0" w:firstColumn="1" w:lastColumn="0" w:oddVBand="0" w:evenVBand="0" w:oddHBand="0" w:evenHBand="0" w:firstRowFirstColumn="0" w:firstRowLastColumn="0" w:lastRowFirstColumn="0" w:lastRowLastColumn="0"/>
            <w:tcW w:w="975" w:type="dxa"/>
            <w:vMerge/>
            <w:tcBorders>
              <w:right w:val="none" w:sz="0" w:space="0" w:color="auto"/>
            </w:tcBorders>
            <w:hideMark/>
          </w:tcPr>
          <w:p w14:paraId="4BB58B56" w14:textId="77777777" w:rsidR="00826536" w:rsidRPr="007A1075" w:rsidRDefault="00826536" w:rsidP="001267B9">
            <w:pPr>
              <w:pStyle w:val="TableText"/>
            </w:pPr>
          </w:p>
        </w:tc>
        <w:tc>
          <w:tcPr>
            <w:tcW w:w="905" w:type="dxa"/>
            <w:vMerge/>
            <w:hideMark/>
          </w:tcPr>
          <w:p w14:paraId="0EAF5004" w14:textId="77777777" w:rsidR="00A03968" w:rsidRPr="007A1075" w:rsidRDefault="00A03968" w:rsidP="001267B9">
            <w:pPr>
              <w:pStyle w:val="TableText"/>
              <w:cnfStyle w:val="000000000000" w:firstRow="0" w:lastRow="0" w:firstColumn="0" w:lastColumn="0" w:oddVBand="0" w:evenVBand="0" w:oddHBand="0" w:evenHBand="0" w:firstRowFirstColumn="0" w:firstRowLastColumn="0" w:lastRowFirstColumn="0" w:lastRowLastColumn="0"/>
            </w:pPr>
          </w:p>
        </w:tc>
        <w:tc>
          <w:tcPr>
            <w:tcW w:w="1605" w:type="dxa"/>
            <w:vMerge/>
            <w:hideMark/>
          </w:tcPr>
          <w:p w14:paraId="769D60E6" w14:textId="77777777" w:rsidR="00A03968" w:rsidRPr="007A1075" w:rsidRDefault="00A03968" w:rsidP="001267B9">
            <w:pPr>
              <w:pStyle w:val="TableText"/>
              <w:cnfStyle w:val="000000000000" w:firstRow="0" w:lastRow="0" w:firstColumn="0" w:lastColumn="0" w:oddVBand="0" w:evenVBand="0" w:oddHBand="0" w:evenHBand="0" w:firstRowFirstColumn="0" w:firstRowLastColumn="0" w:lastRowFirstColumn="0" w:lastRowLastColumn="0"/>
            </w:pPr>
          </w:p>
        </w:tc>
        <w:tc>
          <w:tcPr>
            <w:tcW w:w="3881" w:type="dxa"/>
            <w:noWrap/>
            <w:hideMark/>
          </w:tcPr>
          <w:p w14:paraId="0E9B4148" w14:textId="3742990F" w:rsidR="00A03968" w:rsidRPr="007A1075" w:rsidRDefault="001267B9" w:rsidP="001267B9">
            <w:pPr>
              <w:pStyle w:val="TableText"/>
              <w:cnfStyle w:val="000000000000" w:firstRow="0" w:lastRow="0" w:firstColumn="0" w:lastColumn="0" w:oddVBand="0" w:evenVBand="0" w:oddHBand="0" w:evenHBand="0" w:firstRowFirstColumn="0" w:firstRowLastColumn="0" w:lastRowFirstColumn="0" w:lastRowLastColumn="0"/>
            </w:pPr>
            <w:r>
              <w:t>Changed impact of immediate crisis</w:t>
            </w:r>
          </w:p>
        </w:tc>
        <w:tc>
          <w:tcPr>
            <w:tcW w:w="993" w:type="dxa"/>
            <w:noWrap/>
            <w:hideMark/>
          </w:tcPr>
          <w:p w14:paraId="75242605" w14:textId="607DF617" w:rsidR="00A03968" w:rsidRPr="007A1075" w:rsidRDefault="001267B9" w:rsidP="001267B9">
            <w:pPr>
              <w:pStyle w:val="TableText"/>
              <w:cnfStyle w:val="000000000000" w:firstRow="0" w:lastRow="0" w:firstColumn="0" w:lastColumn="0" w:oddVBand="0" w:evenVBand="0" w:oddHBand="0" w:evenHBand="0" w:firstRowFirstColumn="0" w:firstRowLastColumn="0" w:lastRowFirstColumn="0" w:lastRowLastColumn="0"/>
            </w:pPr>
            <w:r>
              <w:t>1.11</w:t>
            </w:r>
          </w:p>
        </w:tc>
        <w:tc>
          <w:tcPr>
            <w:tcW w:w="1559" w:type="dxa"/>
            <w:noWrap/>
            <w:hideMark/>
          </w:tcPr>
          <w:p w14:paraId="06D376DF" w14:textId="29E56E25" w:rsidR="00A03968" w:rsidRPr="007A1075" w:rsidRDefault="001267B9" w:rsidP="001267B9">
            <w:pPr>
              <w:pStyle w:val="TableText"/>
              <w:cnfStyle w:val="000000000000" w:firstRow="0" w:lastRow="0" w:firstColumn="0" w:lastColumn="0" w:oddVBand="0" w:evenVBand="0" w:oddHBand="0" w:evenHBand="0" w:firstRowFirstColumn="0" w:firstRowLastColumn="0" w:lastRowFirstColumn="0" w:lastRowLastColumn="0"/>
            </w:pPr>
            <w:r>
              <w:t>120838.5</w:t>
            </w:r>
          </w:p>
        </w:tc>
        <w:tc>
          <w:tcPr>
            <w:tcW w:w="1134" w:type="dxa"/>
            <w:noWrap/>
            <w:hideMark/>
          </w:tcPr>
          <w:p w14:paraId="7983EF99" w14:textId="19D864DF" w:rsidR="00A03968" w:rsidRPr="007A1075" w:rsidRDefault="001267B9" w:rsidP="001267B9">
            <w:pPr>
              <w:pStyle w:val="TableText"/>
              <w:cnfStyle w:val="000000000000" w:firstRow="0" w:lastRow="0" w:firstColumn="0" w:lastColumn="0" w:oddVBand="0" w:evenVBand="0" w:oddHBand="0" w:evenHBand="0" w:firstRowFirstColumn="0" w:firstRowLastColumn="0" w:lastRowFirstColumn="0" w:lastRowLastColumn="0"/>
            </w:pPr>
            <w:r>
              <w:t>2</w:t>
            </w:r>
            <w:r w:rsidR="0087238F">
              <w:t>,</w:t>
            </w:r>
            <w:r>
              <w:t>035</w:t>
            </w:r>
          </w:p>
        </w:tc>
        <w:tc>
          <w:tcPr>
            <w:tcW w:w="850" w:type="dxa"/>
            <w:noWrap/>
            <w:hideMark/>
          </w:tcPr>
          <w:p w14:paraId="558BAF53" w14:textId="202FCCA6" w:rsidR="00A03968" w:rsidRPr="007A1075" w:rsidRDefault="001267B9" w:rsidP="001267B9">
            <w:pPr>
              <w:pStyle w:val="TableText"/>
              <w:cnfStyle w:val="000000000000" w:firstRow="0" w:lastRow="0" w:firstColumn="0" w:lastColumn="0" w:oddVBand="0" w:evenVBand="0" w:oddHBand="0" w:evenHBand="0" w:firstRowFirstColumn="0" w:firstRowLastColumn="0" w:lastRowFirstColumn="0" w:lastRowLastColumn="0"/>
            </w:pPr>
            <w:r>
              <w:t>&lt;.001</w:t>
            </w:r>
          </w:p>
        </w:tc>
        <w:tc>
          <w:tcPr>
            <w:tcW w:w="1701" w:type="dxa"/>
            <w:noWrap/>
            <w:hideMark/>
          </w:tcPr>
          <w:p w14:paraId="6AD1EEF9" w14:textId="4CAAC959" w:rsidR="00A03968" w:rsidRPr="007A1075" w:rsidRDefault="001267B9" w:rsidP="001267B9">
            <w:pPr>
              <w:pStyle w:val="TableText"/>
              <w:cnfStyle w:val="000000000000" w:firstRow="0" w:lastRow="0" w:firstColumn="0" w:lastColumn="0" w:oddVBand="0" w:evenVBand="0" w:oddHBand="0" w:evenHBand="0" w:firstRowFirstColumn="0" w:firstRowLastColumn="0" w:lastRowFirstColumn="0" w:lastRowLastColumn="0"/>
            </w:pPr>
            <w:r>
              <w:t>65.5% (n=1</w:t>
            </w:r>
            <w:r w:rsidR="0087238F">
              <w:t>,</w:t>
            </w:r>
            <w:r>
              <w:t>333)</w:t>
            </w:r>
          </w:p>
        </w:tc>
      </w:tr>
      <w:tr w:rsidR="00680B14" w:rsidRPr="007A1075" w14:paraId="7CA03E4E" w14:textId="77777777" w:rsidTr="0078378F">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75" w:type="dxa"/>
            <w:vMerge/>
            <w:tcBorders>
              <w:top w:val="none" w:sz="0" w:space="0" w:color="auto"/>
              <w:bottom w:val="none" w:sz="0" w:space="0" w:color="auto"/>
              <w:right w:val="none" w:sz="0" w:space="0" w:color="auto"/>
            </w:tcBorders>
            <w:hideMark/>
          </w:tcPr>
          <w:p w14:paraId="5E47DC36" w14:textId="77777777" w:rsidR="00826536" w:rsidRPr="007A1075" w:rsidRDefault="00826536" w:rsidP="001267B9">
            <w:pPr>
              <w:pStyle w:val="TableText"/>
            </w:pPr>
          </w:p>
        </w:tc>
        <w:tc>
          <w:tcPr>
            <w:tcW w:w="905" w:type="dxa"/>
            <w:vMerge/>
            <w:tcBorders>
              <w:top w:val="none" w:sz="0" w:space="0" w:color="auto"/>
              <w:bottom w:val="none" w:sz="0" w:space="0" w:color="auto"/>
            </w:tcBorders>
            <w:hideMark/>
          </w:tcPr>
          <w:p w14:paraId="05D7ECF8" w14:textId="77777777" w:rsidR="00A03968" w:rsidRPr="007A1075" w:rsidRDefault="00A03968" w:rsidP="001267B9">
            <w:pPr>
              <w:pStyle w:val="TableText"/>
              <w:cnfStyle w:val="000000100000" w:firstRow="0" w:lastRow="0" w:firstColumn="0" w:lastColumn="0" w:oddVBand="0" w:evenVBand="0" w:oddHBand="1" w:evenHBand="0" w:firstRowFirstColumn="0" w:firstRowLastColumn="0" w:lastRowFirstColumn="0" w:lastRowLastColumn="0"/>
            </w:pPr>
          </w:p>
        </w:tc>
        <w:tc>
          <w:tcPr>
            <w:tcW w:w="1605" w:type="dxa"/>
            <w:vMerge/>
            <w:tcBorders>
              <w:top w:val="none" w:sz="0" w:space="0" w:color="auto"/>
              <w:bottom w:val="none" w:sz="0" w:space="0" w:color="auto"/>
            </w:tcBorders>
            <w:hideMark/>
          </w:tcPr>
          <w:p w14:paraId="47AAA868" w14:textId="77777777" w:rsidR="00A03968" w:rsidRPr="007A1075" w:rsidRDefault="00A03968" w:rsidP="001267B9">
            <w:pPr>
              <w:pStyle w:val="TableText"/>
              <w:cnfStyle w:val="000000100000" w:firstRow="0" w:lastRow="0" w:firstColumn="0" w:lastColumn="0" w:oddVBand="0" w:evenVBand="0" w:oddHBand="1" w:evenHBand="0" w:firstRowFirstColumn="0" w:firstRowLastColumn="0" w:lastRowFirstColumn="0" w:lastRowLastColumn="0"/>
            </w:pPr>
          </w:p>
        </w:tc>
        <w:tc>
          <w:tcPr>
            <w:tcW w:w="3881" w:type="dxa"/>
            <w:tcBorders>
              <w:top w:val="none" w:sz="0" w:space="0" w:color="auto"/>
              <w:bottom w:val="none" w:sz="0" w:space="0" w:color="auto"/>
            </w:tcBorders>
            <w:noWrap/>
            <w:hideMark/>
          </w:tcPr>
          <w:p w14:paraId="790B6E1A" w14:textId="04A91C0D" w:rsidR="00A03968" w:rsidRPr="007A1075" w:rsidRDefault="001267B9" w:rsidP="001267B9">
            <w:pPr>
              <w:pStyle w:val="TableText"/>
              <w:cnfStyle w:val="000000100000" w:firstRow="0" w:lastRow="0" w:firstColumn="0" w:lastColumn="0" w:oddVBand="0" w:evenVBand="0" w:oddHBand="1" w:evenHBand="0" w:firstRowFirstColumn="0" w:firstRowLastColumn="0" w:lastRowFirstColumn="0" w:lastRowLastColumn="0"/>
            </w:pPr>
            <w:r>
              <w:t>Changed knowledge and access to information</w:t>
            </w:r>
          </w:p>
        </w:tc>
        <w:tc>
          <w:tcPr>
            <w:tcW w:w="993" w:type="dxa"/>
            <w:tcBorders>
              <w:top w:val="none" w:sz="0" w:space="0" w:color="auto"/>
              <w:bottom w:val="none" w:sz="0" w:space="0" w:color="auto"/>
            </w:tcBorders>
            <w:noWrap/>
            <w:hideMark/>
          </w:tcPr>
          <w:p w14:paraId="468BD0DC" w14:textId="00307AB7" w:rsidR="00A03968" w:rsidRPr="007A1075" w:rsidRDefault="001267B9" w:rsidP="001267B9">
            <w:pPr>
              <w:pStyle w:val="TableText"/>
              <w:cnfStyle w:val="000000100000" w:firstRow="0" w:lastRow="0" w:firstColumn="0" w:lastColumn="0" w:oddVBand="0" w:evenVBand="0" w:oddHBand="1" w:evenHBand="0" w:firstRowFirstColumn="0" w:firstRowLastColumn="0" w:lastRowFirstColumn="0" w:lastRowLastColumn="0"/>
            </w:pPr>
            <w:r>
              <w:t>1.3</w:t>
            </w:r>
          </w:p>
        </w:tc>
        <w:tc>
          <w:tcPr>
            <w:tcW w:w="1559" w:type="dxa"/>
            <w:tcBorders>
              <w:top w:val="none" w:sz="0" w:space="0" w:color="auto"/>
              <w:bottom w:val="none" w:sz="0" w:space="0" w:color="auto"/>
            </w:tcBorders>
            <w:noWrap/>
            <w:hideMark/>
          </w:tcPr>
          <w:p w14:paraId="7CD853AC" w14:textId="638EF507" w:rsidR="00A03968" w:rsidRPr="007A1075" w:rsidRDefault="001267B9" w:rsidP="001267B9">
            <w:pPr>
              <w:pStyle w:val="TableText"/>
              <w:cnfStyle w:val="000000100000" w:firstRow="0" w:lastRow="0" w:firstColumn="0" w:lastColumn="0" w:oddVBand="0" w:evenVBand="0" w:oddHBand="1" w:evenHBand="0" w:firstRowFirstColumn="0" w:firstRowLastColumn="0" w:lastRowFirstColumn="0" w:lastRowLastColumn="0"/>
            </w:pPr>
            <w:r>
              <w:t>492657</w:t>
            </w:r>
          </w:p>
        </w:tc>
        <w:tc>
          <w:tcPr>
            <w:tcW w:w="1134" w:type="dxa"/>
            <w:tcBorders>
              <w:top w:val="none" w:sz="0" w:space="0" w:color="auto"/>
              <w:bottom w:val="none" w:sz="0" w:space="0" w:color="auto"/>
            </w:tcBorders>
            <w:noWrap/>
            <w:hideMark/>
          </w:tcPr>
          <w:p w14:paraId="120EDFD4" w14:textId="50B5FB0C" w:rsidR="00A03968" w:rsidRPr="007A1075" w:rsidRDefault="001267B9" w:rsidP="001267B9">
            <w:pPr>
              <w:pStyle w:val="TableText"/>
              <w:cnfStyle w:val="000000100000" w:firstRow="0" w:lastRow="0" w:firstColumn="0" w:lastColumn="0" w:oddVBand="0" w:evenVBand="0" w:oddHBand="1" w:evenHBand="0" w:firstRowFirstColumn="0" w:firstRowLastColumn="0" w:lastRowFirstColumn="0" w:lastRowLastColumn="0"/>
            </w:pPr>
            <w:r>
              <w:t>4</w:t>
            </w:r>
            <w:r w:rsidR="0087238F">
              <w:t>,</w:t>
            </w:r>
            <w:r>
              <w:t>365</w:t>
            </w:r>
          </w:p>
        </w:tc>
        <w:tc>
          <w:tcPr>
            <w:tcW w:w="850" w:type="dxa"/>
            <w:tcBorders>
              <w:top w:val="none" w:sz="0" w:space="0" w:color="auto"/>
              <w:bottom w:val="none" w:sz="0" w:space="0" w:color="auto"/>
            </w:tcBorders>
            <w:noWrap/>
            <w:hideMark/>
          </w:tcPr>
          <w:p w14:paraId="5FAD82AF" w14:textId="6451005B" w:rsidR="00A03968" w:rsidRPr="007A1075" w:rsidRDefault="001267B9" w:rsidP="001267B9">
            <w:pPr>
              <w:pStyle w:val="TableText"/>
              <w:cnfStyle w:val="000000100000" w:firstRow="0" w:lastRow="0" w:firstColumn="0" w:lastColumn="0" w:oddVBand="0" w:evenVBand="0" w:oddHBand="1" w:evenHBand="0" w:firstRowFirstColumn="0" w:firstRowLastColumn="0" w:lastRowFirstColumn="0" w:lastRowLastColumn="0"/>
            </w:pPr>
            <w:r>
              <w:t>&lt;.001</w:t>
            </w:r>
          </w:p>
        </w:tc>
        <w:tc>
          <w:tcPr>
            <w:tcW w:w="1701" w:type="dxa"/>
            <w:tcBorders>
              <w:top w:val="none" w:sz="0" w:space="0" w:color="auto"/>
              <w:bottom w:val="none" w:sz="0" w:space="0" w:color="auto"/>
            </w:tcBorders>
            <w:noWrap/>
            <w:hideMark/>
          </w:tcPr>
          <w:p w14:paraId="1E7B5608" w14:textId="5FB33880" w:rsidR="00A03968" w:rsidRPr="007A1075" w:rsidRDefault="001267B9" w:rsidP="001267B9">
            <w:pPr>
              <w:pStyle w:val="TableText"/>
              <w:cnfStyle w:val="000000100000" w:firstRow="0" w:lastRow="0" w:firstColumn="0" w:lastColumn="0" w:oddVBand="0" w:evenVBand="0" w:oddHBand="1" w:evenHBand="0" w:firstRowFirstColumn="0" w:firstRowLastColumn="0" w:lastRowFirstColumn="0" w:lastRowLastColumn="0"/>
            </w:pPr>
            <w:r>
              <w:t>66.8% (n=2</w:t>
            </w:r>
            <w:r w:rsidR="0087238F">
              <w:t>,</w:t>
            </w:r>
            <w:r>
              <w:t>915)</w:t>
            </w:r>
          </w:p>
        </w:tc>
      </w:tr>
      <w:tr w:rsidR="00680B14" w:rsidRPr="007A1075" w14:paraId="68D7CC10" w14:textId="77777777" w:rsidTr="0078378F">
        <w:trPr>
          <w:trHeight w:val="290"/>
        </w:trPr>
        <w:tc>
          <w:tcPr>
            <w:cnfStyle w:val="001000000000" w:firstRow="0" w:lastRow="0" w:firstColumn="1" w:lastColumn="0" w:oddVBand="0" w:evenVBand="0" w:oddHBand="0" w:evenHBand="0" w:firstRowFirstColumn="0" w:firstRowLastColumn="0" w:lastRowFirstColumn="0" w:lastRowLastColumn="0"/>
            <w:tcW w:w="975" w:type="dxa"/>
            <w:vMerge/>
            <w:tcBorders>
              <w:right w:val="none" w:sz="0" w:space="0" w:color="auto"/>
            </w:tcBorders>
            <w:hideMark/>
          </w:tcPr>
          <w:p w14:paraId="2A832887" w14:textId="77777777" w:rsidR="00826536" w:rsidRPr="007A1075" w:rsidRDefault="00826536" w:rsidP="001267B9">
            <w:pPr>
              <w:pStyle w:val="TableText"/>
            </w:pPr>
          </w:p>
        </w:tc>
        <w:tc>
          <w:tcPr>
            <w:tcW w:w="905" w:type="dxa"/>
            <w:vMerge/>
            <w:hideMark/>
          </w:tcPr>
          <w:p w14:paraId="04B695FE" w14:textId="77777777" w:rsidR="00A03968" w:rsidRPr="007A1075" w:rsidRDefault="00A03968" w:rsidP="001267B9">
            <w:pPr>
              <w:pStyle w:val="TableText"/>
              <w:cnfStyle w:val="000000000000" w:firstRow="0" w:lastRow="0" w:firstColumn="0" w:lastColumn="0" w:oddVBand="0" w:evenVBand="0" w:oddHBand="0" w:evenHBand="0" w:firstRowFirstColumn="0" w:firstRowLastColumn="0" w:lastRowFirstColumn="0" w:lastRowLastColumn="0"/>
            </w:pPr>
          </w:p>
        </w:tc>
        <w:tc>
          <w:tcPr>
            <w:tcW w:w="1605" w:type="dxa"/>
            <w:vMerge/>
            <w:hideMark/>
          </w:tcPr>
          <w:p w14:paraId="6BA4E7AB" w14:textId="77777777" w:rsidR="00A03968" w:rsidRPr="007A1075" w:rsidRDefault="00A03968" w:rsidP="001267B9">
            <w:pPr>
              <w:pStyle w:val="TableText"/>
              <w:cnfStyle w:val="000000000000" w:firstRow="0" w:lastRow="0" w:firstColumn="0" w:lastColumn="0" w:oddVBand="0" w:evenVBand="0" w:oddHBand="0" w:evenHBand="0" w:firstRowFirstColumn="0" w:firstRowLastColumn="0" w:lastRowFirstColumn="0" w:lastRowLastColumn="0"/>
            </w:pPr>
          </w:p>
        </w:tc>
        <w:tc>
          <w:tcPr>
            <w:tcW w:w="3881" w:type="dxa"/>
            <w:noWrap/>
            <w:hideMark/>
          </w:tcPr>
          <w:p w14:paraId="30588661" w14:textId="45B5BE16" w:rsidR="00A03968" w:rsidRPr="007A1075" w:rsidRDefault="001267B9" w:rsidP="001267B9">
            <w:pPr>
              <w:pStyle w:val="TableText"/>
              <w:cnfStyle w:val="000000000000" w:firstRow="0" w:lastRow="0" w:firstColumn="0" w:lastColumn="0" w:oddVBand="0" w:evenVBand="0" w:oddHBand="0" w:evenHBand="0" w:firstRowFirstColumn="0" w:firstRowLastColumn="0" w:lastRowFirstColumn="0" w:lastRowLastColumn="0"/>
            </w:pPr>
            <w:r>
              <w:t>Changed skills</w:t>
            </w:r>
          </w:p>
        </w:tc>
        <w:tc>
          <w:tcPr>
            <w:tcW w:w="993" w:type="dxa"/>
            <w:noWrap/>
            <w:hideMark/>
          </w:tcPr>
          <w:p w14:paraId="4F28096F" w14:textId="7F9D4644" w:rsidR="00A03968" w:rsidRPr="007A1075" w:rsidRDefault="001267B9" w:rsidP="001267B9">
            <w:pPr>
              <w:pStyle w:val="TableText"/>
              <w:cnfStyle w:val="000000000000" w:firstRow="0" w:lastRow="0" w:firstColumn="0" w:lastColumn="0" w:oddVBand="0" w:evenVBand="0" w:oddHBand="0" w:evenHBand="0" w:firstRowFirstColumn="0" w:firstRowLastColumn="0" w:lastRowFirstColumn="0" w:lastRowLastColumn="0"/>
            </w:pPr>
            <w:r>
              <w:t>1.34</w:t>
            </w:r>
          </w:p>
        </w:tc>
        <w:tc>
          <w:tcPr>
            <w:tcW w:w="1559" w:type="dxa"/>
            <w:noWrap/>
            <w:hideMark/>
          </w:tcPr>
          <w:p w14:paraId="4DFECB21" w14:textId="69E0BEE4" w:rsidR="00A03968" w:rsidRPr="007A1075" w:rsidRDefault="001267B9" w:rsidP="001267B9">
            <w:pPr>
              <w:pStyle w:val="TableText"/>
              <w:cnfStyle w:val="000000000000" w:firstRow="0" w:lastRow="0" w:firstColumn="0" w:lastColumn="0" w:oddVBand="0" w:evenVBand="0" w:oddHBand="0" w:evenHBand="0" w:firstRowFirstColumn="0" w:firstRowLastColumn="0" w:lastRowFirstColumn="0" w:lastRowLastColumn="0"/>
            </w:pPr>
            <w:r>
              <w:t>585424</w:t>
            </w:r>
          </w:p>
        </w:tc>
        <w:tc>
          <w:tcPr>
            <w:tcW w:w="1134" w:type="dxa"/>
            <w:noWrap/>
            <w:hideMark/>
          </w:tcPr>
          <w:p w14:paraId="42C388BB" w14:textId="4A80F272" w:rsidR="00A03968" w:rsidRPr="007A1075" w:rsidRDefault="001267B9" w:rsidP="001267B9">
            <w:pPr>
              <w:pStyle w:val="TableText"/>
              <w:cnfStyle w:val="000000000000" w:firstRow="0" w:lastRow="0" w:firstColumn="0" w:lastColumn="0" w:oddVBand="0" w:evenVBand="0" w:oddHBand="0" w:evenHBand="0" w:firstRowFirstColumn="0" w:firstRowLastColumn="0" w:lastRowFirstColumn="0" w:lastRowLastColumn="0"/>
            </w:pPr>
            <w:r>
              <w:t>4</w:t>
            </w:r>
            <w:r w:rsidR="0087238F">
              <w:t>,</w:t>
            </w:r>
            <w:r>
              <w:t>806</w:t>
            </w:r>
          </w:p>
        </w:tc>
        <w:tc>
          <w:tcPr>
            <w:tcW w:w="850" w:type="dxa"/>
            <w:noWrap/>
            <w:hideMark/>
          </w:tcPr>
          <w:p w14:paraId="62613C4F" w14:textId="3BE4EAA2" w:rsidR="00A03968" w:rsidRPr="007A1075" w:rsidRDefault="001267B9" w:rsidP="001267B9">
            <w:pPr>
              <w:pStyle w:val="TableText"/>
              <w:cnfStyle w:val="000000000000" w:firstRow="0" w:lastRow="0" w:firstColumn="0" w:lastColumn="0" w:oddVBand="0" w:evenVBand="0" w:oddHBand="0" w:evenHBand="0" w:firstRowFirstColumn="0" w:firstRowLastColumn="0" w:lastRowFirstColumn="0" w:lastRowLastColumn="0"/>
            </w:pPr>
            <w:r>
              <w:t>&lt;.001</w:t>
            </w:r>
          </w:p>
        </w:tc>
        <w:tc>
          <w:tcPr>
            <w:tcW w:w="1701" w:type="dxa"/>
            <w:noWrap/>
            <w:hideMark/>
          </w:tcPr>
          <w:p w14:paraId="47537C63" w14:textId="2824C86E" w:rsidR="00A03968" w:rsidRPr="007A1075" w:rsidRDefault="001267B9" w:rsidP="001267B9">
            <w:pPr>
              <w:pStyle w:val="TableText"/>
              <w:cnfStyle w:val="000000000000" w:firstRow="0" w:lastRow="0" w:firstColumn="0" w:lastColumn="0" w:oddVBand="0" w:evenVBand="0" w:oddHBand="0" w:evenHBand="0" w:firstRowFirstColumn="0" w:firstRowLastColumn="0" w:lastRowFirstColumn="0" w:lastRowLastColumn="0"/>
            </w:pPr>
            <w:r>
              <w:t>69.6% (n=3</w:t>
            </w:r>
            <w:r w:rsidR="0087238F">
              <w:t>,</w:t>
            </w:r>
            <w:r>
              <w:t>343)</w:t>
            </w:r>
          </w:p>
        </w:tc>
      </w:tr>
      <w:tr w:rsidR="00680B14" w:rsidRPr="007A1075" w14:paraId="233A4EAA" w14:textId="77777777" w:rsidTr="0078378F">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75" w:type="dxa"/>
            <w:vMerge/>
            <w:tcBorders>
              <w:top w:val="none" w:sz="0" w:space="0" w:color="auto"/>
              <w:bottom w:val="none" w:sz="0" w:space="0" w:color="auto"/>
              <w:right w:val="none" w:sz="0" w:space="0" w:color="auto"/>
            </w:tcBorders>
            <w:hideMark/>
          </w:tcPr>
          <w:p w14:paraId="39BC6372" w14:textId="77777777" w:rsidR="00826536" w:rsidRPr="007A1075" w:rsidRDefault="00826536" w:rsidP="001267B9">
            <w:pPr>
              <w:pStyle w:val="TableText"/>
            </w:pPr>
          </w:p>
        </w:tc>
        <w:tc>
          <w:tcPr>
            <w:tcW w:w="905" w:type="dxa"/>
            <w:vMerge/>
            <w:tcBorders>
              <w:top w:val="none" w:sz="0" w:space="0" w:color="auto"/>
              <w:bottom w:val="none" w:sz="0" w:space="0" w:color="auto"/>
            </w:tcBorders>
            <w:hideMark/>
          </w:tcPr>
          <w:p w14:paraId="0B3FD9E5" w14:textId="77777777" w:rsidR="00A03968" w:rsidRPr="007A1075" w:rsidRDefault="00A03968" w:rsidP="001267B9">
            <w:pPr>
              <w:pStyle w:val="TableText"/>
              <w:cnfStyle w:val="000000100000" w:firstRow="0" w:lastRow="0" w:firstColumn="0" w:lastColumn="0" w:oddVBand="0" w:evenVBand="0" w:oddHBand="1" w:evenHBand="0" w:firstRowFirstColumn="0" w:firstRowLastColumn="0" w:lastRowFirstColumn="0" w:lastRowLastColumn="0"/>
            </w:pPr>
          </w:p>
        </w:tc>
        <w:tc>
          <w:tcPr>
            <w:tcW w:w="1605" w:type="dxa"/>
            <w:vMerge/>
            <w:tcBorders>
              <w:top w:val="none" w:sz="0" w:space="0" w:color="auto"/>
              <w:bottom w:val="none" w:sz="0" w:space="0" w:color="auto"/>
            </w:tcBorders>
            <w:hideMark/>
          </w:tcPr>
          <w:p w14:paraId="2B96D2A0" w14:textId="77777777" w:rsidR="00A03968" w:rsidRPr="007A1075" w:rsidRDefault="00A03968" w:rsidP="001267B9">
            <w:pPr>
              <w:pStyle w:val="TableText"/>
              <w:cnfStyle w:val="000000100000" w:firstRow="0" w:lastRow="0" w:firstColumn="0" w:lastColumn="0" w:oddVBand="0" w:evenVBand="0" w:oddHBand="1" w:evenHBand="0" w:firstRowFirstColumn="0" w:firstRowLastColumn="0" w:lastRowFirstColumn="0" w:lastRowLastColumn="0"/>
            </w:pPr>
          </w:p>
        </w:tc>
        <w:tc>
          <w:tcPr>
            <w:tcW w:w="3881" w:type="dxa"/>
            <w:tcBorders>
              <w:top w:val="none" w:sz="0" w:space="0" w:color="auto"/>
              <w:bottom w:val="none" w:sz="0" w:space="0" w:color="auto"/>
            </w:tcBorders>
            <w:noWrap/>
            <w:hideMark/>
          </w:tcPr>
          <w:p w14:paraId="541B12F3" w14:textId="40E9483F" w:rsidR="00A03968" w:rsidRPr="007A1075" w:rsidRDefault="001267B9" w:rsidP="001267B9">
            <w:pPr>
              <w:pStyle w:val="TableText"/>
              <w:cnfStyle w:val="000000100000" w:firstRow="0" w:lastRow="0" w:firstColumn="0" w:lastColumn="0" w:oddVBand="0" w:evenVBand="0" w:oddHBand="1" w:evenHBand="0" w:firstRowFirstColumn="0" w:firstRowLastColumn="0" w:lastRowFirstColumn="0" w:lastRowLastColumn="0"/>
            </w:pPr>
            <w:r w:rsidRPr="3AB749BF">
              <w:rPr>
                <w:lang w:val="en-NZ"/>
              </w:rPr>
              <w:t>Empowerment, choice and control to make own decisions</w:t>
            </w:r>
          </w:p>
        </w:tc>
        <w:tc>
          <w:tcPr>
            <w:tcW w:w="993" w:type="dxa"/>
            <w:tcBorders>
              <w:top w:val="none" w:sz="0" w:space="0" w:color="auto"/>
              <w:bottom w:val="none" w:sz="0" w:space="0" w:color="auto"/>
            </w:tcBorders>
            <w:noWrap/>
            <w:hideMark/>
          </w:tcPr>
          <w:p w14:paraId="2DB2D16A" w14:textId="6028F764" w:rsidR="00A03968" w:rsidRPr="007A1075" w:rsidRDefault="001267B9" w:rsidP="001267B9">
            <w:pPr>
              <w:pStyle w:val="TableText"/>
              <w:cnfStyle w:val="000000100000" w:firstRow="0" w:lastRow="0" w:firstColumn="0" w:lastColumn="0" w:oddVBand="0" w:evenVBand="0" w:oddHBand="1" w:evenHBand="0" w:firstRowFirstColumn="0" w:firstRowLastColumn="0" w:lastRowFirstColumn="0" w:lastRowLastColumn="0"/>
            </w:pPr>
            <w:r>
              <w:t>1.38</w:t>
            </w:r>
          </w:p>
        </w:tc>
        <w:tc>
          <w:tcPr>
            <w:tcW w:w="1559" w:type="dxa"/>
            <w:tcBorders>
              <w:top w:val="none" w:sz="0" w:space="0" w:color="auto"/>
              <w:bottom w:val="none" w:sz="0" w:space="0" w:color="auto"/>
            </w:tcBorders>
            <w:noWrap/>
            <w:hideMark/>
          </w:tcPr>
          <w:p w14:paraId="4018A0E1" w14:textId="1DCF2C6A" w:rsidR="00A03968" w:rsidRPr="007A1075" w:rsidRDefault="001267B9" w:rsidP="001267B9">
            <w:pPr>
              <w:pStyle w:val="TableText"/>
              <w:cnfStyle w:val="000000100000" w:firstRow="0" w:lastRow="0" w:firstColumn="0" w:lastColumn="0" w:oddVBand="0" w:evenVBand="0" w:oddHBand="1" w:evenHBand="0" w:firstRowFirstColumn="0" w:firstRowLastColumn="0" w:lastRowFirstColumn="0" w:lastRowLastColumn="0"/>
            </w:pPr>
            <w:r>
              <w:t>344957</w:t>
            </w:r>
          </w:p>
        </w:tc>
        <w:tc>
          <w:tcPr>
            <w:tcW w:w="1134" w:type="dxa"/>
            <w:tcBorders>
              <w:top w:val="none" w:sz="0" w:space="0" w:color="auto"/>
              <w:bottom w:val="none" w:sz="0" w:space="0" w:color="auto"/>
            </w:tcBorders>
            <w:noWrap/>
            <w:hideMark/>
          </w:tcPr>
          <w:p w14:paraId="0BE0BB9F" w14:textId="5F4EC501" w:rsidR="00A03968" w:rsidRPr="007A1075" w:rsidRDefault="001267B9" w:rsidP="001267B9">
            <w:pPr>
              <w:pStyle w:val="TableText"/>
              <w:cnfStyle w:val="000000100000" w:firstRow="0" w:lastRow="0" w:firstColumn="0" w:lastColumn="0" w:oddVBand="0" w:evenVBand="0" w:oddHBand="1" w:evenHBand="0" w:firstRowFirstColumn="0" w:firstRowLastColumn="0" w:lastRowFirstColumn="0" w:lastRowLastColumn="0"/>
            </w:pPr>
            <w:r>
              <w:t>3671</w:t>
            </w:r>
          </w:p>
        </w:tc>
        <w:tc>
          <w:tcPr>
            <w:tcW w:w="850" w:type="dxa"/>
            <w:tcBorders>
              <w:top w:val="none" w:sz="0" w:space="0" w:color="auto"/>
              <w:bottom w:val="none" w:sz="0" w:space="0" w:color="auto"/>
            </w:tcBorders>
            <w:noWrap/>
            <w:hideMark/>
          </w:tcPr>
          <w:p w14:paraId="478A7B1C" w14:textId="57D19EA0" w:rsidR="00A03968" w:rsidRPr="007A1075" w:rsidRDefault="001267B9" w:rsidP="001267B9">
            <w:pPr>
              <w:pStyle w:val="TableText"/>
              <w:cnfStyle w:val="000000100000" w:firstRow="0" w:lastRow="0" w:firstColumn="0" w:lastColumn="0" w:oddVBand="0" w:evenVBand="0" w:oddHBand="1" w:evenHBand="0" w:firstRowFirstColumn="0" w:firstRowLastColumn="0" w:lastRowFirstColumn="0" w:lastRowLastColumn="0"/>
            </w:pPr>
            <w:r>
              <w:t>&lt;.001</w:t>
            </w:r>
          </w:p>
        </w:tc>
        <w:tc>
          <w:tcPr>
            <w:tcW w:w="1701" w:type="dxa"/>
            <w:tcBorders>
              <w:top w:val="none" w:sz="0" w:space="0" w:color="auto"/>
              <w:bottom w:val="none" w:sz="0" w:space="0" w:color="auto"/>
            </w:tcBorders>
            <w:noWrap/>
            <w:hideMark/>
          </w:tcPr>
          <w:p w14:paraId="26A1AB6D" w14:textId="7EF5FD0C" w:rsidR="00A03968" w:rsidRPr="007A1075" w:rsidRDefault="001267B9" w:rsidP="001267B9">
            <w:pPr>
              <w:pStyle w:val="TableText"/>
              <w:cnfStyle w:val="000000100000" w:firstRow="0" w:lastRow="0" w:firstColumn="0" w:lastColumn="0" w:oddVBand="0" w:evenVBand="0" w:oddHBand="1" w:evenHBand="0" w:firstRowFirstColumn="0" w:firstRowLastColumn="0" w:lastRowFirstColumn="0" w:lastRowLastColumn="0"/>
            </w:pPr>
            <w:r>
              <w:t>68.6% (n=2</w:t>
            </w:r>
            <w:r w:rsidR="0087238F">
              <w:t>,</w:t>
            </w:r>
            <w:r>
              <w:t>520)</w:t>
            </w:r>
          </w:p>
        </w:tc>
      </w:tr>
      <w:tr w:rsidR="00680B14" w:rsidRPr="007A1075" w14:paraId="46BCA929" w14:textId="77777777" w:rsidTr="0078378F">
        <w:trPr>
          <w:trHeight w:val="290"/>
        </w:trPr>
        <w:tc>
          <w:tcPr>
            <w:cnfStyle w:val="001000000000" w:firstRow="0" w:lastRow="0" w:firstColumn="1" w:lastColumn="0" w:oddVBand="0" w:evenVBand="0" w:oddHBand="0" w:evenHBand="0" w:firstRowFirstColumn="0" w:firstRowLastColumn="0" w:lastRowFirstColumn="0" w:lastRowLastColumn="0"/>
            <w:tcW w:w="975" w:type="dxa"/>
            <w:vMerge/>
            <w:tcBorders>
              <w:right w:val="none" w:sz="0" w:space="0" w:color="auto"/>
            </w:tcBorders>
            <w:hideMark/>
          </w:tcPr>
          <w:p w14:paraId="0EE88FFA" w14:textId="77777777" w:rsidR="00826536" w:rsidRPr="007A1075" w:rsidRDefault="00826536" w:rsidP="001267B9">
            <w:pPr>
              <w:pStyle w:val="TableText"/>
            </w:pPr>
          </w:p>
        </w:tc>
        <w:tc>
          <w:tcPr>
            <w:tcW w:w="905" w:type="dxa"/>
            <w:vMerge/>
            <w:hideMark/>
          </w:tcPr>
          <w:p w14:paraId="0AE8107D" w14:textId="77777777" w:rsidR="00A03968" w:rsidRPr="007A1075" w:rsidRDefault="00A03968" w:rsidP="001267B9">
            <w:pPr>
              <w:pStyle w:val="TableText"/>
              <w:cnfStyle w:val="000000000000" w:firstRow="0" w:lastRow="0" w:firstColumn="0" w:lastColumn="0" w:oddVBand="0" w:evenVBand="0" w:oddHBand="0" w:evenHBand="0" w:firstRowFirstColumn="0" w:firstRowLastColumn="0" w:lastRowFirstColumn="0" w:lastRowLastColumn="0"/>
            </w:pPr>
          </w:p>
        </w:tc>
        <w:tc>
          <w:tcPr>
            <w:tcW w:w="1605" w:type="dxa"/>
            <w:vMerge/>
            <w:hideMark/>
          </w:tcPr>
          <w:p w14:paraId="03CD3466" w14:textId="77777777" w:rsidR="00A03968" w:rsidRPr="007A1075" w:rsidRDefault="00A03968" w:rsidP="001267B9">
            <w:pPr>
              <w:pStyle w:val="TableText"/>
              <w:cnfStyle w:val="000000000000" w:firstRow="0" w:lastRow="0" w:firstColumn="0" w:lastColumn="0" w:oddVBand="0" w:evenVBand="0" w:oddHBand="0" w:evenHBand="0" w:firstRowFirstColumn="0" w:firstRowLastColumn="0" w:lastRowFirstColumn="0" w:lastRowLastColumn="0"/>
            </w:pPr>
          </w:p>
        </w:tc>
        <w:tc>
          <w:tcPr>
            <w:tcW w:w="3881" w:type="dxa"/>
            <w:noWrap/>
            <w:hideMark/>
          </w:tcPr>
          <w:p w14:paraId="725FEE3D" w14:textId="4FF3EAF4" w:rsidR="00A03968" w:rsidRPr="007A1075" w:rsidRDefault="001267B9" w:rsidP="001267B9">
            <w:pPr>
              <w:pStyle w:val="TableText"/>
              <w:cnfStyle w:val="000000000000" w:firstRow="0" w:lastRow="0" w:firstColumn="0" w:lastColumn="0" w:oddVBand="0" w:evenVBand="0" w:oddHBand="0" w:evenHBand="0" w:firstRowFirstColumn="0" w:firstRowLastColumn="0" w:lastRowFirstColumn="0" w:lastRowLastColumn="0"/>
            </w:pPr>
            <w:r>
              <w:t>Engagement with relevant support services</w:t>
            </w:r>
          </w:p>
        </w:tc>
        <w:tc>
          <w:tcPr>
            <w:tcW w:w="993" w:type="dxa"/>
            <w:noWrap/>
            <w:hideMark/>
          </w:tcPr>
          <w:p w14:paraId="65439B69" w14:textId="444CA2C0" w:rsidR="00A03968" w:rsidRPr="007A1075" w:rsidRDefault="001267B9" w:rsidP="001267B9">
            <w:pPr>
              <w:pStyle w:val="TableText"/>
              <w:cnfStyle w:val="000000000000" w:firstRow="0" w:lastRow="0" w:firstColumn="0" w:lastColumn="0" w:oddVBand="0" w:evenVBand="0" w:oddHBand="0" w:evenHBand="0" w:firstRowFirstColumn="0" w:firstRowLastColumn="0" w:lastRowFirstColumn="0" w:lastRowLastColumn="0"/>
            </w:pPr>
            <w:r>
              <w:t>0.98</w:t>
            </w:r>
          </w:p>
        </w:tc>
        <w:tc>
          <w:tcPr>
            <w:tcW w:w="1559" w:type="dxa"/>
            <w:noWrap/>
            <w:hideMark/>
          </w:tcPr>
          <w:p w14:paraId="6DADF1B8" w14:textId="37037A27" w:rsidR="00A03968" w:rsidRPr="007A1075" w:rsidRDefault="001267B9" w:rsidP="001267B9">
            <w:pPr>
              <w:pStyle w:val="TableText"/>
              <w:cnfStyle w:val="000000000000" w:firstRow="0" w:lastRow="0" w:firstColumn="0" w:lastColumn="0" w:oddVBand="0" w:evenVBand="0" w:oddHBand="0" w:evenHBand="0" w:firstRowFirstColumn="0" w:firstRowLastColumn="0" w:lastRowFirstColumn="0" w:lastRowLastColumn="0"/>
            </w:pPr>
            <w:r>
              <w:t>280275.5</w:t>
            </w:r>
          </w:p>
        </w:tc>
        <w:tc>
          <w:tcPr>
            <w:tcW w:w="1134" w:type="dxa"/>
            <w:noWrap/>
            <w:hideMark/>
          </w:tcPr>
          <w:p w14:paraId="451F133C" w14:textId="3A903009" w:rsidR="00A03968" w:rsidRPr="007A1075" w:rsidRDefault="001267B9" w:rsidP="001267B9">
            <w:pPr>
              <w:pStyle w:val="TableText"/>
              <w:cnfStyle w:val="000000000000" w:firstRow="0" w:lastRow="0" w:firstColumn="0" w:lastColumn="0" w:oddVBand="0" w:evenVBand="0" w:oddHBand="0" w:evenHBand="0" w:firstRowFirstColumn="0" w:firstRowLastColumn="0" w:lastRowFirstColumn="0" w:lastRowLastColumn="0"/>
            </w:pPr>
            <w:r>
              <w:t>2</w:t>
            </w:r>
            <w:r w:rsidR="0087238F">
              <w:t>,</w:t>
            </w:r>
            <w:r>
              <w:t>548</w:t>
            </w:r>
          </w:p>
        </w:tc>
        <w:tc>
          <w:tcPr>
            <w:tcW w:w="850" w:type="dxa"/>
            <w:noWrap/>
            <w:hideMark/>
          </w:tcPr>
          <w:p w14:paraId="5431B425" w14:textId="0B70E4C3" w:rsidR="00A03968" w:rsidRPr="007A1075" w:rsidRDefault="001267B9" w:rsidP="001267B9">
            <w:pPr>
              <w:pStyle w:val="TableText"/>
              <w:cnfStyle w:val="000000000000" w:firstRow="0" w:lastRow="0" w:firstColumn="0" w:lastColumn="0" w:oddVBand="0" w:evenVBand="0" w:oddHBand="0" w:evenHBand="0" w:firstRowFirstColumn="0" w:firstRowLastColumn="0" w:lastRowFirstColumn="0" w:lastRowLastColumn="0"/>
            </w:pPr>
            <w:r>
              <w:t>&lt;.001</w:t>
            </w:r>
          </w:p>
        </w:tc>
        <w:tc>
          <w:tcPr>
            <w:tcW w:w="1701" w:type="dxa"/>
            <w:noWrap/>
            <w:hideMark/>
          </w:tcPr>
          <w:p w14:paraId="11D8D6FF" w14:textId="23F98A17" w:rsidR="00A03968" w:rsidRPr="007A1075" w:rsidRDefault="001267B9" w:rsidP="001267B9">
            <w:pPr>
              <w:pStyle w:val="TableText"/>
              <w:cnfStyle w:val="000000000000" w:firstRow="0" w:lastRow="0" w:firstColumn="0" w:lastColumn="0" w:oddVBand="0" w:evenVBand="0" w:oddHBand="0" w:evenHBand="0" w:firstRowFirstColumn="0" w:firstRowLastColumn="0" w:lastRowFirstColumn="0" w:lastRowLastColumn="0"/>
            </w:pPr>
            <w:r>
              <w:t>60.0% (n=1</w:t>
            </w:r>
            <w:r w:rsidR="0087238F">
              <w:t>,</w:t>
            </w:r>
            <w:r>
              <w:t>528)</w:t>
            </w:r>
          </w:p>
        </w:tc>
      </w:tr>
    </w:tbl>
    <w:p w14:paraId="6D102A7C" w14:textId="46EBEB43" w:rsidR="004D15F4" w:rsidRDefault="001430BE" w:rsidP="001430BE">
      <w:pPr>
        <w:rPr>
          <w:i/>
          <w:sz w:val="20"/>
          <w:szCs w:val="18"/>
        </w:rPr>
      </w:pPr>
      <w:r>
        <w:rPr>
          <w:i/>
          <w:sz w:val="20"/>
          <w:szCs w:val="18"/>
        </w:rPr>
        <w:t xml:space="preserve">Source: DEX-SCORE data </w:t>
      </w:r>
    </w:p>
    <w:p w14:paraId="6ECBDDE2" w14:textId="54FE583F" w:rsidR="00BE3916" w:rsidRDefault="00681F56">
      <w:pPr>
        <w:rPr>
          <w:i/>
          <w:sz w:val="20"/>
          <w:szCs w:val="18"/>
        </w:rPr>
      </w:pPr>
      <w:r>
        <w:rPr>
          <w:i/>
          <w:sz w:val="20"/>
          <w:szCs w:val="18"/>
        </w:rPr>
        <w:br w:type="page"/>
      </w:r>
    </w:p>
    <w:p w14:paraId="0E4F9E31" w14:textId="18D75DA5" w:rsidR="007611DA" w:rsidRPr="00811E31" w:rsidRDefault="007611DA" w:rsidP="00321BC5">
      <w:pPr>
        <w:rPr>
          <w:rStyle w:val="Text-Bold"/>
          <w:b w:val="0"/>
          <w:sz w:val="21"/>
          <w:szCs w:val="21"/>
        </w:rPr>
      </w:pPr>
      <w:bookmarkStart w:id="606" w:name="_Ref204605485"/>
      <w:r w:rsidRPr="00811E31">
        <w:rPr>
          <w:rStyle w:val="Text-Bold"/>
          <w:sz w:val="21"/>
          <w:szCs w:val="21"/>
        </w:rPr>
        <w:lastRenderedPageBreak/>
        <w:t xml:space="preserve">Table </w:t>
      </w:r>
      <w:r w:rsidRPr="00811E31">
        <w:rPr>
          <w:rStyle w:val="Text-Bold"/>
          <w:b w:val="0"/>
          <w:sz w:val="21"/>
          <w:szCs w:val="21"/>
        </w:rPr>
        <w:fldChar w:fldCharType="begin"/>
      </w:r>
      <w:r w:rsidRPr="00811E31">
        <w:rPr>
          <w:b/>
          <w:sz w:val="21"/>
          <w:szCs w:val="21"/>
        </w:rPr>
        <w:instrText xml:space="preserve"> SEQ Table \* ARABIC </w:instrText>
      </w:r>
      <w:r w:rsidRPr="00811E31">
        <w:rPr>
          <w:rStyle w:val="Text-Bold"/>
          <w:b w:val="0"/>
          <w:sz w:val="21"/>
          <w:szCs w:val="21"/>
        </w:rPr>
        <w:fldChar w:fldCharType="separate"/>
      </w:r>
      <w:r w:rsidR="008D2566">
        <w:rPr>
          <w:b/>
          <w:noProof/>
          <w:sz w:val="21"/>
          <w:szCs w:val="21"/>
        </w:rPr>
        <w:t>66</w:t>
      </w:r>
      <w:r w:rsidRPr="00811E31">
        <w:rPr>
          <w:rStyle w:val="Text-Bold"/>
          <w:b w:val="0"/>
          <w:sz w:val="21"/>
          <w:szCs w:val="21"/>
        </w:rPr>
        <w:fldChar w:fldCharType="end"/>
      </w:r>
      <w:bookmarkEnd w:id="606"/>
      <w:r w:rsidRPr="00811E31">
        <w:rPr>
          <w:rStyle w:val="Text-Bold"/>
          <w:bCs/>
          <w:sz w:val="21"/>
          <w:szCs w:val="21"/>
        </w:rPr>
        <w:t xml:space="preserve">: Mean earliest-to-latest SCORE change (within-subjects) by age group, SFVS </w:t>
      </w:r>
      <w:r w:rsidR="00E614D3" w:rsidRPr="00811E31">
        <w:rPr>
          <w:rStyle w:val="Text-Bold"/>
          <w:bCs/>
          <w:sz w:val="21"/>
          <w:szCs w:val="21"/>
        </w:rPr>
        <w:t>service users</w:t>
      </w:r>
      <w:r w:rsidR="00811E31" w:rsidRPr="00811E31">
        <w:rPr>
          <w:rStyle w:val="Text-Bold"/>
          <w:b w:val="0"/>
          <w:sz w:val="21"/>
          <w:szCs w:val="21"/>
        </w:rPr>
        <w:t xml:space="preserve">, </w:t>
      </w:r>
      <w:r w:rsidR="00811E31" w:rsidRPr="00811E31">
        <w:rPr>
          <w:rStyle w:val="Text-Bold"/>
          <w:bCs/>
          <w:sz w:val="21"/>
          <w:szCs w:val="21"/>
        </w:rPr>
        <w:t>July 2021 to June 2024</w:t>
      </w:r>
    </w:p>
    <w:tbl>
      <w:tblPr>
        <w:tblStyle w:val="ListTable3-Accent3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5"/>
        <w:gridCol w:w="905"/>
        <w:gridCol w:w="1605"/>
        <w:gridCol w:w="3881"/>
        <w:gridCol w:w="993"/>
        <w:gridCol w:w="1559"/>
        <w:gridCol w:w="1134"/>
        <w:gridCol w:w="850"/>
        <w:gridCol w:w="1701"/>
      </w:tblGrid>
      <w:tr w:rsidR="004110F4" w:rsidRPr="007A1075" w14:paraId="3F6F2A8B" w14:textId="77777777" w:rsidTr="0078378F">
        <w:trPr>
          <w:cnfStyle w:val="100000000000" w:firstRow="1" w:lastRow="0" w:firstColumn="0" w:lastColumn="0" w:oddVBand="0" w:evenVBand="0" w:oddHBand="0" w:evenHBand="0" w:firstRowFirstColumn="0" w:firstRowLastColumn="0" w:lastRowFirstColumn="0" w:lastRowLastColumn="0"/>
          <w:trHeight w:val="870"/>
        </w:trPr>
        <w:tc>
          <w:tcPr>
            <w:cnfStyle w:val="001000000100" w:firstRow="0" w:lastRow="0" w:firstColumn="1" w:lastColumn="0" w:oddVBand="0" w:evenVBand="0" w:oddHBand="0" w:evenHBand="0" w:firstRowFirstColumn="1" w:firstRowLastColumn="0" w:lastRowFirstColumn="0" w:lastRowLastColumn="0"/>
            <w:tcW w:w="0" w:type="dxa"/>
            <w:tcBorders>
              <w:bottom w:val="none" w:sz="0" w:space="0" w:color="auto"/>
              <w:right w:val="none" w:sz="0" w:space="0" w:color="auto"/>
            </w:tcBorders>
            <w:hideMark/>
          </w:tcPr>
          <w:p w14:paraId="64E13853" w14:textId="77777777" w:rsidR="00A03968" w:rsidRPr="007A1075" w:rsidRDefault="00A03968" w:rsidP="001267B9">
            <w:pPr>
              <w:pStyle w:val="TableText"/>
              <w:rPr>
                <w:bCs w:val="0"/>
              </w:rPr>
            </w:pPr>
            <w:r w:rsidRPr="007A1075">
              <w:t>Activity</w:t>
            </w:r>
          </w:p>
        </w:tc>
        <w:tc>
          <w:tcPr>
            <w:tcW w:w="0" w:type="dxa"/>
            <w:hideMark/>
          </w:tcPr>
          <w:p w14:paraId="2F3ABE64" w14:textId="77777777" w:rsidR="00A03968" w:rsidRPr="007A1075" w:rsidRDefault="00A03968" w:rsidP="001267B9">
            <w:pPr>
              <w:pStyle w:val="TableText"/>
              <w:cnfStyle w:val="100000000000" w:firstRow="1" w:lastRow="0" w:firstColumn="0" w:lastColumn="0" w:oddVBand="0" w:evenVBand="0" w:oddHBand="0" w:evenHBand="0" w:firstRowFirstColumn="0" w:firstRowLastColumn="0" w:lastRowFirstColumn="0" w:lastRowLastColumn="0"/>
              <w:rPr>
                <w:bCs w:val="0"/>
              </w:rPr>
            </w:pPr>
            <w:r w:rsidRPr="007A1075">
              <w:t>Cohort</w:t>
            </w:r>
          </w:p>
        </w:tc>
        <w:tc>
          <w:tcPr>
            <w:tcW w:w="0" w:type="dxa"/>
            <w:hideMark/>
          </w:tcPr>
          <w:p w14:paraId="7BA6CDED" w14:textId="77777777" w:rsidR="00A03968" w:rsidRPr="007A1075" w:rsidRDefault="00A03968" w:rsidP="001267B9">
            <w:pPr>
              <w:pStyle w:val="TableText"/>
              <w:cnfStyle w:val="100000000000" w:firstRow="1" w:lastRow="0" w:firstColumn="0" w:lastColumn="0" w:oddVBand="0" w:evenVBand="0" w:oddHBand="0" w:evenHBand="0" w:firstRowFirstColumn="0" w:firstRowLastColumn="0" w:lastRowFirstColumn="0" w:lastRowLastColumn="0"/>
              <w:rPr>
                <w:bCs w:val="0"/>
              </w:rPr>
            </w:pPr>
            <w:r w:rsidRPr="007A1075">
              <w:t>Outcome type</w:t>
            </w:r>
          </w:p>
        </w:tc>
        <w:tc>
          <w:tcPr>
            <w:tcW w:w="3881" w:type="dxa"/>
            <w:noWrap/>
            <w:hideMark/>
          </w:tcPr>
          <w:p w14:paraId="493707DD" w14:textId="77777777" w:rsidR="00A03968" w:rsidRPr="007A1075" w:rsidRDefault="00A03968" w:rsidP="001267B9">
            <w:pPr>
              <w:pStyle w:val="TableText"/>
              <w:cnfStyle w:val="100000000000" w:firstRow="1" w:lastRow="0" w:firstColumn="0" w:lastColumn="0" w:oddVBand="0" w:evenVBand="0" w:oddHBand="0" w:evenHBand="0" w:firstRowFirstColumn="0" w:firstRowLastColumn="0" w:lastRowFirstColumn="0" w:lastRowLastColumn="0"/>
              <w:rPr>
                <w:bCs w:val="0"/>
              </w:rPr>
            </w:pPr>
            <w:r w:rsidRPr="007A1075">
              <w:t>Domain</w:t>
            </w:r>
          </w:p>
        </w:tc>
        <w:tc>
          <w:tcPr>
            <w:tcW w:w="993" w:type="dxa"/>
            <w:hideMark/>
          </w:tcPr>
          <w:p w14:paraId="5F359268" w14:textId="77777777" w:rsidR="00A03968" w:rsidRPr="007A1075" w:rsidRDefault="00A03968" w:rsidP="001267B9">
            <w:pPr>
              <w:pStyle w:val="TableText"/>
              <w:cnfStyle w:val="100000000000" w:firstRow="1" w:lastRow="0" w:firstColumn="0" w:lastColumn="0" w:oddVBand="0" w:evenVBand="0" w:oddHBand="0" w:evenHBand="0" w:firstRowFirstColumn="0" w:firstRowLastColumn="0" w:lastRowFirstColumn="0" w:lastRowLastColumn="0"/>
              <w:rPr>
                <w:bCs w:val="0"/>
              </w:rPr>
            </w:pPr>
            <w:r w:rsidRPr="007A1075">
              <w:t>SCORE change (mean)</w:t>
            </w:r>
          </w:p>
        </w:tc>
        <w:tc>
          <w:tcPr>
            <w:tcW w:w="0" w:type="dxa"/>
            <w:noWrap/>
            <w:hideMark/>
          </w:tcPr>
          <w:p w14:paraId="253E99EB" w14:textId="77777777" w:rsidR="00A03968" w:rsidRPr="007A1075" w:rsidRDefault="00A03968" w:rsidP="001267B9">
            <w:pPr>
              <w:pStyle w:val="TableText"/>
              <w:cnfStyle w:val="100000000000" w:firstRow="1" w:lastRow="0" w:firstColumn="0" w:lastColumn="0" w:oddVBand="0" w:evenVBand="0" w:oddHBand="0" w:evenHBand="0" w:firstRowFirstColumn="0" w:firstRowLastColumn="0" w:lastRowFirstColumn="0" w:lastRowLastColumn="0"/>
              <w:rPr>
                <w:bCs w:val="0"/>
              </w:rPr>
            </w:pPr>
            <w:r w:rsidRPr="007A1075">
              <w:t>Wilcoxon</w:t>
            </w:r>
          </w:p>
        </w:tc>
        <w:tc>
          <w:tcPr>
            <w:tcW w:w="0" w:type="dxa"/>
            <w:noWrap/>
            <w:hideMark/>
          </w:tcPr>
          <w:p w14:paraId="6DA382B1" w14:textId="77777777" w:rsidR="00A03968" w:rsidRPr="007A1075" w:rsidRDefault="00A03968" w:rsidP="001267B9">
            <w:pPr>
              <w:pStyle w:val="TableText"/>
              <w:cnfStyle w:val="100000000000" w:firstRow="1" w:lastRow="0" w:firstColumn="0" w:lastColumn="0" w:oddVBand="0" w:evenVBand="0" w:oddHBand="0" w:evenHBand="0" w:firstRowFirstColumn="0" w:firstRowLastColumn="0" w:lastRowFirstColumn="0" w:lastRowLastColumn="0"/>
              <w:rPr>
                <w:bCs w:val="0"/>
              </w:rPr>
            </w:pPr>
            <w:r w:rsidRPr="007A1075">
              <w:t>n</w:t>
            </w:r>
          </w:p>
        </w:tc>
        <w:tc>
          <w:tcPr>
            <w:tcW w:w="0" w:type="dxa"/>
            <w:noWrap/>
            <w:hideMark/>
          </w:tcPr>
          <w:p w14:paraId="34D9B497" w14:textId="77777777" w:rsidR="00A03968" w:rsidRPr="007A1075" w:rsidRDefault="00A03968" w:rsidP="001267B9">
            <w:pPr>
              <w:pStyle w:val="TableText"/>
              <w:cnfStyle w:val="100000000000" w:firstRow="1" w:lastRow="0" w:firstColumn="0" w:lastColumn="0" w:oddVBand="0" w:evenVBand="0" w:oddHBand="0" w:evenHBand="0" w:firstRowFirstColumn="0" w:firstRowLastColumn="0" w:lastRowFirstColumn="0" w:lastRowLastColumn="0"/>
              <w:rPr>
                <w:bCs w:val="0"/>
              </w:rPr>
            </w:pPr>
            <w:r w:rsidRPr="007A1075">
              <w:t>p</w:t>
            </w:r>
          </w:p>
        </w:tc>
        <w:tc>
          <w:tcPr>
            <w:tcW w:w="0" w:type="dxa"/>
            <w:hideMark/>
          </w:tcPr>
          <w:p w14:paraId="1EF1DB1A" w14:textId="77777777" w:rsidR="00A03968" w:rsidRPr="007A1075" w:rsidRDefault="00A03968" w:rsidP="001267B9">
            <w:pPr>
              <w:pStyle w:val="TableText"/>
              <w:cnfStyle w:val="100000000000" w:firstRow="1" w:lastRow="0" w:firstColumn="0" w:lastColumn="0" w:oddVBand="0" w:evenVBand="0" w:oddHBand="0" w:evenHBand="0" w:firstRowFirstColumn="0" w:firstRowLastColumn="0" w:lastRowFirstColumn="0" w:lastRowLastColumn="0"/>
              <w:rPr>
                <w:bCs w:val="0"/>
              </w:rPr>
            </w:pPr>
            <w:r>
              <w:t>Service users</w:t>
            </w:r>
            <w:r w:rsidRPr="007A1075">
              <w:t xml:space="preserve"> with positive change (%, n)</w:t>
            </w:r>
          </w:p>
        </w:tc>
      </w:tr>
      <w:tr w:rsidR="00680B14" w:rsidRPr="007A1075" w14:paraId="74663A90" w14:textId="77777777" w:rsidTr="0078378F">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0" w:type="dxa"/>
            <w:vMerge w:val="restart"/>
            <w:tcBorders>
              <w:top w:val="none" w:sz="0" w:space="0" w:color="auto"/>
              <w:bottom w:val="none" w:sz="0" w:space="0" w:color="auto"/>
              <w:right w:val="none" w:sz="0" w:space="0" w:color="auto"/>
            </w:tcBorders>
            <w:hideMark/>
          </w:tcPr>
          <w:p w14:paraId="214E53CC" w14:textId="77777777" w:rsidR="002C1250" w:rsidRPr="00A44F28" w:rsidRDefault="002C1250" w:rsidP="002C1250">
            <w:pPr>
              <w:pStyle w:val="TableText"/>
              <w:rPr>
                <w:b w:val="0"/>
                <w:bCs w:val="0"/>
                <w:lang w:val="en-NZ"/>
              </w:rPr>
            </w:pPr>
            <w:r w:rsidRPr="009207A8">
              <w:rPr>
                <w:b w:val="0"/>
                <w:bCs w:val="0"/>
              </w:rPr>
              <w:t>SFVS (incl. 4AP)</w:t>
            </w:r>
          </w:p>
          <w:p w14:paraId="26BFF5E2" w14:textId="1ACF647A" w:rsidR="002C1250" w:rsidRPr="00A44F28" w:rsidRDefault="002C1250" w:rsidP="002C1250">
            <w:pPr>
              <w:pStyle w:val="TableText"/>
              <w:rPr>
                <w:b w:val="0"/>
                <w:bCs w:val="0"/>
                <w:lang w:val="en-NZ"/>
              </w:rPr>
            </w:pPr>
          </w:p>
        </w:tc>
        <w:tc>
          <w:tcPr>
            <w:tcW w:w="0" w:type="dxa"/>
            <w:vMerge w:val="restart"/>
            <w:tcBorders>
              <w:top w:val="none" w:sz="0" w:space="0" w:color="auto"/>
              <w:bottom w:val="none" w:sz="0" w:space="0" w:color="auto"/>
            </w:tcBorders>
            <w:hideMark/>
          </w:tcPr>
          <w:p w14:paraId="505D7FF1" w14:textId="77777777" w:rsidR="002C1250" w:rsidRPr="007A1075" w:rsidRDefault="002C1250" w:rsidP="002C1250">
            <w:pPr>
              <w:pStyle w:val="TableText"/>
              <w:cnfStyle w:val="000000100000" w:firstRow="0" w:lastRow="0" w:firstColumn="0" w:lastColumn="0" w:oddVBand="0" w:evenVBand="0" w:oddHBand="1" w:evenHBand="0" w:firstRowFirstColumn="0" w:firstRowLastColumn="0" w:lastRowFirstColumn="0" w:lastRowLastColumn="0"/>
            </w:pPr>
            <w:r w:rsidRPr="009207A8">
              <w:t>Adults</w:t>
            </w:r>
          </w:p>
          <w:p w14:paraId="557C5A4E" w14:textId="54F183E3" w:rsidR="002C1250" w:rsidRPr="007A1075" w:rsidRDefault="002C1250" w:rsidP="002C1250">
            <w:pPr>
              <w:pStyle w:val="TableText"/>
              <w:cnfStyle w:val="000000100000" w:firstRow="0" w:lastRow="0" w:firstColumn="0" w:lastColumn="0" w:oddVBand="0" w:evenVBand="0" w:oddHBand="1" w:evenHBand="0" w:firstRowFirstColumn="0" w:firstRowLastColumn="0" w:lastRowFirstColumn="0" w:lastRowLastColumn="0"/>
            </w:pPr>
          </w:p>
        </w:tc>
        <w:tc>
          <w:tcPr>
            <w:tcW w:w="0" w:type="dxa"/>
            <w:vMerge w:val="restart"/>
            <w:tcBorders>
              <w:top w:val="none" w:sz="0" w:space="0" w:color="auto"/>
              <w:bottom w:val="none" w:sz="0" w:space="0" w:color="auto"/>
            </w:tcBorders>
            <w:hideMark/>
          </w:tcPr>
          <w:p w14:paraId="2510F998" w14:textId="77777777" w:rsidR="002C1250" w:rsidRPr="007A1075" w:rsidRDefault="002C1250" w:rsidP="002C1250">
            <w:pPr>
              <w:pStyle w:val="TableText"/>
              <w:cnfStyle w:val="000000100000" w:firstRow="0" w:lastRow="0" w:firstColumn="0" w:lastColumn="0" w:oddVBand="0" w:evenVBand="0" w:oddHBand="1" w:evenHBand="0" w:firstRowFirstColumn="0" w:firstRowLastColumn="0" w:lastRowFirstColumn="0" w:lastRowLastColumn="0"/>
            </w:pPr>
            <w:r w:rsidRPr="009207A8">
              <w:t>Circumstances</w:t>
            </w:r>
          </w:p>
          <w:p w14:paraId="1EA14C49" w14:textId="2E0230A5" w:rsidR="002C1250" w:rsidRPr="007A1075" w:rsidRDefault="002C1250" w:rsidP="002C1250">
            <w:pPr>
              <w:pStyle w:val="TableText"/>
              <w:cnfStyle w:val="000000100000" w:firstRow="0" w:lastRow="0" w:firstColumn="0" w:lastColumn="0" w:oddVBand="0" w:evenVBand="0" w:oddHBand="1" w:evenHBand="0" w:firstRowFirstColumn="0" w:firstRowLastColumn="0" w:lastRowFirstColumn="0" w:lastRowLastColumn="0"/>
            </w:pPr>
          </w:p>
        </w:tc>
        <w:tc>
          <w:tcPr>
            <w:tcW w:w="3881" w:type="dxa"/>
            <w:tcBorders>
              <w:top w:val="none" w:sz="0" w:space="0" w:color="auto"/>
              <w:bottom w:val="none" w:sz="0" w:space="0" w:color="auto"/>
            </w:tcBorders>
            <w:noWrap/>
            <w:hideMark/>
          </w:tcPr>
          <w:p w14:paraId="2CF86037" w14:textId="45D12219" w:rsidR="002C1250" w:rsidRPr="007A1075" w:rsidRDefault="002C1250" w:rsidP="002C1250">
            <w:pPr>
              <w:pStyle w:val="TableText"/>
              <w:cnfStyle w:val="000000100000" w:firstRow="0" w:lastRow="0" w:firstColumn="0" w:lastColumn="0" w:oddVBand="0" w:evenVBand="0" w:oddHBand="1" w:evenHBand="0" w:firstRowFirstColumn="0" w:firstRowLastColumn="0" w:lastRowFirstColumn="0" w:lastRowLastColumn="0"/>
            </w:pPr>
            <w:r w:rsidRPr="009207A8">
              <w:t>Family functioning</w:t>
            </w:r>
          </w:p>
        </w:tc>
        <w:tc>
          <w:tcPr>
            <w:tcW w:w="993" w:type="dxa"/>
            <w:tcBorders>
              <w:top w:val="none" w:sz="0" w:space="0" w:color="auto"/>
              <w:bottom w:val="none" w:sz="0" w:space="0" w:color="auto"/>
            </w:tcBorders>
            <w:noWrap/>
            <w:hideMark/>
          </w:tcPr>
          <w:p w14:paraId="4F8FF3B3" w14:textId="7985B6E4" w:rsidR="002C1250" w:rsidRPr="007A1075" w:rsidRDefault="002C1250" w:rsidP="002C1250">
            <w:pPr>
              <w:pStyle w:val="TableText"/>
              <w:cnfStyle w:val="000000100000" w:firstRow="0" w:lastRow="0" w:firstColumn="0" w:lastColumn="0" w:oddVBand="0" w:evenVBand="0" w:oddHBand="1" w:evenHBand="0" w:firstRowFirstColumn="0" w:firstRowLastColumn="0" w:lastRowFirstColumn="0" w:lastRowLastColumn="0"/>
            </w:pPr>
            <w:r w:rsidRPr="009207A8">
              <w:t>0.82</w:t>
            </w:r>
          </w:p>
        </w:tc>
        <w:tc>
          <w:tcPr>
            <w:tcW w:w="1559" w:type="dxa"/>
            <w:tcBorders>
              <w:top w:val="none" w:sz="0" w:space="0" w:color="auto"/>
              <w:bottom w:val="none" w:sz="0" w:space="0" w:color="auto"/>
            </w:tcBorders>
            <w:noWrap/>
            <w:hideMark/>
          </w:tcPr>
          <w:p w14:paraId="6084EC12" w14:textId="63F002FB" w:rsidR="002C1250" w:rsidRPr="007A1075" w:rsidRDefault="002C1250" w:rsidP="002C1250">
            <w:pPr>
              <w:pStyle w:val="TableText"/>
              <w:cnfStyle w:val="000000100000" w:firstRow="0" w:lastRow="0" w:firstColumn="0" w:lastColumn="0" w:oddVBand="0" w:evenVBand="0" w:oddHBand="1" w:evenHBand="0" w:firstRowFirstColumn="0" w:firstRowLastColumn="0" w:lastRowFirstColumn="0" w:lastRowLastColumn="0"/>
            </w:pPr>
            <w:r w:rsidRPr="009207A8">
              <w:t>973064.5</w:t>
            </w:r>
          </w:p>
        </w:tc>
        <w:tc>
          <w:tcPr>
            <w:tcW w:w="1134" w:type="dxa"/>
            <w:tcBorders>
              <w:top w:val="none" w:sz="0" w:space="0" w:color="auto"/>
              <w:bottom w:val="none" w:sz="0" w:space="0" w:color="auto"/>
            </w:tcBorders>
            <w:noWrap/>
            <w:hideMark/>
          </w:tcPr>
          <w:p w14:paraId="66616AC5" w14:textId="777AB3D4" w:rsidR="002C1250" w:rsidRPr="007A1075" w:rsidRDefault="002C1250" w:rsidP="002C1250">
            <w:pPr>
              <w:pStyle w:val="TableText"/>
              <w:cnfStyle w:val="000000100000" w:firstRow="0" w:lastRow="0" w:firstColumn="0" w:lastColumn="0" w:oddVBand="0" w:evenVBand="0" w:oddHBand="1" w:evenHBand="0" w:firstRowFirstColumn="0" w:firstRowLastColumn="0" w:lastRowFirstColumn="0" w:lastRowLastColumn="0"/>
            </w:pPr>
            <w:r w:rsidRPr="009207A8">
              <w:t>4</w:t>
            </w:r>
            <w:r>
              <w:t>,</w:t>
            </w:r>
            <w:r w:rsidRPr="009207A8">
              <w:t>578</w:t>
            </w:r>
          </w:p>
        </w:tc>
        <w:tc>
          <w:tcPr>
            <w:tcW w:w="850" w:type="dxa"/>
            <w:tcBorders>
              <w:top w:val="none" w:sz="0" w:space="0" w:color="auto"/>
              <w:bottom w:val="none" w:sz="0" w:space="0" w:color="auto"/>
            </w:tcBorders>
            <w:noWrap/>
            <w:hideMark/>
          </w:tcPr>
          <w:p w14:paraId="4249E78D" w14:textId="0F5664F0" w:rsidR="002C1250" w:rsidRPr="007A1075" w:rsidRDefault="002C1250" w:rsidP="002C1250">
            <w:pPr>
              <w:pStyle w:val="TableText"/>
              <w:cnfStyle w:val="000000100000" w:firstRow="0" w:lastRow="0" w:firstColumn="0" w:lastColumn="0" w:oddVBand="0" w:evenVBand="0" w:oddHBand="1" w:evenHBand="0" w:firstRowFirstColumn="0" w:firstRowLastColumn="0" w:lastRowFirstColumn="0" w:lastRowLastColumn="0"/>
            </w:pPr>
            <w:r w:rsidRPr="009207A8">
              <w:t>&lt;.001</w:t>
            </w:r>
          </w:p>
        </w:tc>
        <w:tc>
          <w:tcPr>
            <w:tcW w:w="1701" w:type="dxa"/>
            <w:tcBorders>
              <w:top w:val="none" w:sz="0" w:space="0" w:color="auto"/>
              <w:bottom w:val="none" w:sz="0" w:space="0" w:color="auto"/>
            </w:tcBorders>
            <w:noWrap/>
            <w:hideMark/>
          </w:tcPr>
          <w:p w14:paraId="2844D9DA" w14:textId="14FE6CB2" w:rsidR="002C1250" w:rsidRPr="007A1075" w:rsidRDefault="002C1250" w:rsidP="002C1250">
            <w:pPr>
              <w:pStyle w:val="TableText"/>
              <w:cnfStyle w:val="000000100000" w:firstRow="0" w:lastRow="0" w:firstColumn="0" w:lastColumn="0" w:oddVBand="0" w:evenVBand="0" w:oddHBand="1" w:evenHBand="0" w:firstRowFirstColumn="0" w:firstRowLastColumn="0" w:lastRowFirstColumn="0" w:lastRowLastColumn="0"/>
            </w:pPr>
            <w:r w:rsidRPr="009207A8">
              <w:t>55.8% (n=2</w:t>
            </w:r>
            <w:r>
              <w:t>,</w:t>
            </w:r>
            <w:r w:rsidRPr="009207A8">
              <w:t>554)</w:t>
            </w:r>
          </w:p>
        </w:tc>
      </w:tr>
      <w:tr w:rsidR="00680B14" w:rsidRPr="007A1075" w14:paraId="06E8888C" w14:textId="77777777" w:rsidTr="0078378F">
        <w:trPr>
          <w:trHeight w:val="290"/>
        </w:trPr>
        <w:tc>
          <w:tcPr>
            <w:cnfStyle w:val="001000000000" w:firstRow="0" w:lastRow="0" w:firstColumn="1" w:lastColumn="0" w:oddVBand="0" w:evenVBand="0" w:oddHBand="0" w:evenHBand="0" w:firstRowFirstColumn="0" w:firstRowLastColumn="0" w:lastRowFirstColumn="0" w:lastRowLastColumn="0"/>
            <w:tcW w:w="0" w:type="dxa"/>
            <w:vMerge/>
            <w:tcBorders>
              <w:right w:val="none" w:sz="0" w:space="0" w:color="auto"/>
            </w:tcBorders>
            <w:hideMark/>
          </w:tcPr>
          <w:p w14:paraId="10E19343" w14:textId="77777777" w:rsidR="00826536" w:rsidRPr="007A1075" w:rsidRDefault="00826536" w:rsidP="002C1250">
            <w:pPr>
              <w:pStyle w:val="TableText"/>
            </w:pPr>
          </w:p>
        </w:tc>
        <w:tc>
          <w:tcPr>
            <w:tcW w:w="0" w:type="dxa"/>
            <w:vMerge/>
            <w:hideMark/>
          </w:tcPr>
          <w:p w14:paraId="38DB2903" w14:textId="77777777" w:rsidR="002C1250" w:rsidRPr="007A1075" w:rsidRDefault="002C1250" w:rsidP="002C1250">
            <w:pPr>
              <w:pStyle w:val="TableText"/>
              <w:cnfStyle w:val="000000000000" w:firstRow="0" w:lastRow="0" w:firstColumn="0" w:lastColumn="0" w:oddVBand="0" w:evenVBand="0" w:oddHBand="0" w:evenHBand="0" w:firstRowFirstColumn="0" w:firstRowLastColumn="0" w:lastRowFirstColumn="0" w:lastRowLastColumn="0"/>
            </w:pPr>
          </w:p>
        </w:tc>
        <w:tc>
          <w:tcPr>
            <w:tcW w:w="0" w:type="dxa"/>
            <w:vMerge/>
            <w:hideMark/>
          </w:tcPr>
          <w:p w14:paraId="4AC1305B" w14:textId="77777777" w:rsidR="002C1250" w:rsidRPr="007A1075" w:rsidRDefault="002C1250" w:rsidP="002C1250">
            <w:pPr>
              <w:pStyle w:val="TableText"/>
              <w:cnfStyle w:val="000000000000" w:firstRow="0" w:lastRow="0" w:firstColumn="0" w:lastColumn="0" w:oddVBand="0" w:evenVBand="0" w:oddHBand="0" w:evenHBand="0" w:firstRowFirstColumn="0" w:firstRowLastColumn="0" w:lastRowFirstColumn="0" w:lastRowLastColumn="0"/>
            </w:pPr>
          </w:p>
        </w:tc>
        <w:tc>
          <w:tcPr>
            <w:tcW w:w="3881" w:type="dxa"/>
            <w:noWrap/>
            <w:hideMark/>
          </w:tcPr>
          <w:p w14:paraId="7068EBD9" w14:textId="24CAEBC7" w:rsidR="002C1250" w:rsidRPr="007A1075" w:rsidRDefault="002C1250" w:rsidP="002C1250">
            <w:pPr>
              <w:pStyle w:val="TableText"/>
              <w:cnfStyle w:val="000000000000" w:firstRow="0" w:lastRow="0" w:firstColumn="0" w:lastColumn="0" w:oddVBand="0" w:evenVBand="0" w:oddHBand="0" w:evenHBand="0" w:firstRowFirstColumn="0" w:firstRowLastColumn="0" w:lastRowFirstColumn="0" w:lastRowLastColumn="0"/>
            </w:pPr>
            <w:r w:rsidRPr="7FE88950">
              <w:rPr>
                <w:lang w:val="en-NZ"/>
              </w:rPr>
              <w:t>Mental health, wellbeing and self-care</w:t>
            </w:r>
          </w:p>
        </w:tc>
        <w:tc>
          <w:tcPr>
            <w:tcW w:w="993" w:type="dxa"/>
            <w:noWrap/>
            <w:hideMark/>
          </w:tcPr>
          <w:p w14:paraId="042CC70B" w14:textId="534B72CB" w:rsidR="002C1250" w:rsidRPr="007A1075" w:rsidRDefault="002C1250" w:rsidP="002C1250">
            <w:pPr>
              <w:pStyle w:val="TableText"/>
              <w:cnfStyle w:val="000000000000" w:firstRow="0" w:lastRow="0" w:firstColumn="0" w:lastColumn="0" w:oddVBand="0" w:evenVBand="0" w:oddHBand="0" w:evenHBand="0" w:firstRowFirstColumn="0" w:firstRowLastColumn="0" w:lastRowFirstColumn="0" w:lastRowLastColumn="0"/>
            </w:pPr>
            <w:r w:rsidRPr="009207A8">
              <w:t>0.84</w:t>
            </w:r>
          </w:p>
        </w:tc>
        <w:tc>
          <w:tcPr>
            <w:tcW w:w="1559" w:type="dxa"/>
            <w:noWrap/>
            <w:hideMark/>
          </w:tcPr>
          <w:p w14:paraId="44DC90FE" w14:textId="1170D1C6" w:rsidR="002C1250" w:rsidRPr="007A1075" w:rsidRDefault="002C1250" w:rsidP="002C1250">
            <w:pPr>
              <w:pStyle w:val="TableText"/>
              <w:cnfStyle w:val="000000000000" w:firstRow="0" w:lastRow="0" w:firstColumn="0" w:lastColumn="0" w:oddVBand="0" w:evenVBand="0" w:oddHBand="0" w:evenHBand="0" w:firstRowFirstColumn="0" w:firstRowLastColumn="0" w:lastRowFirstColumn="0" w:lastRowLastColumn="0"/>
            </w:pPr>
            <w:r w:rsidRPr="009207A8">
              <w:t>1062158.5</w:t>
            </w:r>
          </w:p>
        </w:tc>
        <w:tc>
          <w:tcPr>
            <w:tcW w:w="1134" w:type="dxa"/>
            <w:noWrap/>
            <w:hideMark/>
          </w:tcPr>
          <w:p w14:paraId="5CB32941" w14:textId="1DDA8A55" w:rsidR="002C1250" w:rsidRPr="007A1075" w:rsidRDefault="002C1250" w:rsidP="002C1250">
            <w:pPr>
              <w:pStyle w:val="TableText"/>
              <w:cnfStyle w:val="000000000000" w:firstRow="0" w:lastRow="0" w:firstColumn="0" w:lastColumn="0" w:oddVBand="0" w:evenVBand="0" w:oddHBand="0" w:evenHBand="0" w:firstRowFirstColumn="0" w:firstRowLastColumn="0" w:lastRowFirstColumn="0" w:lastRowLastColumn="0"/>
            </w:pPr>
            <w:r w:rsidRPr="009207A8">
              <w:t>4</w:t>
            </w:r>
            <w:r>
              <w:t>,</w:t>
            </w:r>
            <w:r w:rsidRPr="009207A8">
              <w:t>801</w:t>
            </w:r>
          </w:p>
        </w:tc>
        <w:tc>
          <w:tcPr>
            <w:tcW w:w="850" w:type="dxa"/>
            <w:noWrap/>
            <w:hideMark/>
          </w:tcPr>
          <w:p w14:paraId="6042794E" w14:textId="5716F6B8" w:rsidR="002C1250" w:rsidRPr="007A1075" w:rsidRDefault="002C1250" w:rsidP="002C1250">
            <w:pPr>
              <w:pStyle w:val="TableText"/>
              <w:cnfStyle w:val="000000000000" w:firstRow="0" w:lastRow="0" w:firstColumn="0" w:lastColumn="0" w:oddVBand="0" w:evenVBand="0" w:oddHBand="0" w:evenHBand="0" w:firstRowFirstColumn="0" w:firstRowLastColumn="0" w:lastRowFirstColumn="0" w:lastRowLastColumn="0"/>
            </w:pPr>
            <w:r w:rsidRPr="009207A8">
              <w:t>&lt;.001</w:t>
            </w:r>
          </w:p>
        </w:tc>
        <w:tc>
          <w:tcPr>
            <w:tcW w:w="1701" w:type="dxa"/>
            <w:noWrap/>
            <w:hideMark/>
          </w:tcPr>
          <w:p w14:paraId="7134853E" w14:textId="5F4A2D68" w:rsidR="002C1250" w:rsidRPr="007A1075" w:rsidRDefault="002C1250" w:rsidP="002C1250">
            <w:pPr>
              <w:pStyle w:val="TableText"/>
              <w:cnfStyle w:val="000000000000" w:firstRow="0" w:lastRow="0" w:firstColumn="0" w:lastColumn="0" w:oddVBand="0" w:evenVBand="0" w:oddHBand="0" w:evenHBand="0" w:firstRowFirstColumn="0" w:firstRowLastColumn="0" w:lastRowFirstColumn="0" w:lastRowLastColumn="0"/>
            </w:pPr>
            <w:r w:rsidRPr="009207A8">
              <w:t>55.8% (n=2</w:t>
            </w:r>
            <w:r>
              <w:t>,</w:t>
            </w:r>
            <w:r w:rsidRPr="009207A8">
              <w:t>680)</w:t>
            </w:r>
          </w:p>
        </w:tc>
      </w:tr>
      <w:tr w:rsidR="00680B14" w:rsidRPr="007A1075" w14:paraId="536B720D" w14:textId="77777777" w:rsidTr="0078378F">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0" w:type="dxa"/>
            <w:vMerge/>
            <w:tcBorders>
              <w:top w:val="none" w:sz="0" w:space="0" w:color="auto"/>
              <w:bottom w:val="none" w:sz="0" w:space="0" w:color="auto"/>
              <w:right w:val="none" w:sz="0" w:space="0" w:color="auto"/>
            </w:tcBorders>
            <w:hideMark/>
          </w:tcPr>
          <w:p w14:paraId="21CB216D" w14:textId="77777777" w:rsidR="00826536" w:rsidRPr="007A1075" w:rsidRDefault="00826536" w:rsidP="002C1250">
            <w:pPr>
              <w:pStyle w:val="TableText"/>
              <w:rPr>
                <w:b w:val="0"/>
                <w:bCs w:val="0"/>
              </w:rPr>
            </w:pPr>
          </w:p>
        </w:tc>
        <w:tc>
          <w:tcPr>
            <w:tcW w:w="0" w:type="dxa"/>
            <w:vMerge/>
            <w:tcBorders>
              <w:top w:val="none" w:sz="0" w:space="0" w:color="auto"/>
              <w:bottom w:val="none" w:sz="0" w:space="0" w:color="auto"/>
            </w:tcBorders>
            <w:hideMark/>
          </w:tcPr>
          <w:p w14:paraId="08CE1FC7" w14:textId="77777777" w:rsidR="002C1250" w:rsidRPr="007A1075" w:rsidRDefault="002C1250" w:rsidP="002C1250">
            <w:pPr>
              <w:pStyle w:val="TableText"/>
              <w:cnfStyle w:val="000000100000" w:firstRow="0" w:lastRow="0" w:firstColumn="0" w:lastColumn="0" w:oddVBand="0" w:evenVBand="0" w:oddHBand="1" w:evenHBand="0" w:firstRowFirstColumn="0" w:firstRowLastColumn="0" w:lastRowFirstColumn="0" w:lastRowLastColumn="0"/>
            </w:pPr>
          </w:p>
        </w:tc>
        <w:tc>
          <w:tcPr>
            <w:tcW w:w="0" w:type="dxa"/>
            <w:vMerge/>
            <w:tcBorders>
              <w:top w:val="none" w:sz="0" w:space="0" w:color="auto"/>
              <w:bottom w:val="none" w:sz="0" w:space="0" w:color="auto"/>
            </w:tcBorders>
            <w:hideMark/>
          </w:tcPr>
          <w:p w14:paraId="66A5CC37" w14:textId="77777777" w:rsidR="002C1250" w:rsidRPr="007A1075" w:rsidRDefault="002C1250" w:rsidP="002C1250">
            <w:pPr>
              <w:pStyle w:val="TableText"/>
              <w:cnfStyle w:val="000000100000" w:firstRow="0" w:lastRow="0" w:firstColumn="0" w:lastColumn="0" w:oddVBand="0" w:evenVBand="0" w:oddHBand="1" w:evenHBand="0" w:firstRowFirstColumn="0" w:firstRowLastColumn="0" w:lastRowFirstColumn="0" w:lastRowLastColumn="0"/>
            </w:pPr>
          </w:p>
        </w:tc>
        <w:tc>
          <w:tcPr>
            <w:tcW w:w="3881" w:type="dxa"/>
            <w:tcBorders>
              <w:top w:val="none" w:sz="0" w:space="0" w:color="auto"/>
              <w:bottom w:val="none" w:sz="0" w:space="0" w:color="auto"/>
            </w:tcBorders>
            <w:noWrap/>
            <w:hideMark/>
          </w:tcPr>
          <w:p w14:paraId="0198394B" w14:textId="24966563" w:rsidR="002C1250" w:rsidRPr="007A1075" w:rsidRDefault="002C1250" w:rsidP="002C1250">
            <w:pPr>
              <w:pStyle w:val="TableText"/>
              <w:cnfStyle w:val="000000100000" w:firstRow="0" w:lastRow="0" w:firstColumn="0" w:lastColumn="0" w:oddVBand="0" w:evenVBand="0" w:oddHBand="1" w:evenHBand="0" w:firstRowFirstColumn="0" w:firstRowLastColumn="0" w:lastRowFirstColumn="0" w:lastRowLastColumn="0"/>
            </w:pPr>
            <w:r w:rsidRPr="009207A8">
              <w:t>Personal and family safety</w:t>
            </w:r>
          </w:p>
        </w:tc>
        <w:tc>
          <w:tcPr>
            <w:tcW w:w="993" w:type="dxa"/>
            <w:tcBorders>
              <w:top w:val="none" w:sz="0" w:space="0" w:color="auto"/>
              <w:bottom w:val="none" w:sz="0" w:space="0" w:color="auto"/>
            </w:tcBorders>
            <w:noWrap/>
            <w:hideMark/>
          </w:tcPr>
          <w:p w14:paraId="47DAA785" w14:textId="2C8FFF62" w:rsidR="002C1250" w:rsidRPr="007A1075" w:rsidRDefault="002C1250" w:rsidP="002C1250">
            <w:pPr>
              <w:pStyle w:val="TableText"/>
              <w:cnfStyle w:val="000000100000" w:firstRow="0" w:lastRow="0" w:firstColumn="0" w:lastColumn="0" w:oddVBand="0" w:evenVBand="0" w:oddHBand="1" w:evenHBand="0" w:firstRowFirstColumn="0" w:firstRowLastColumn="0" w:lastRowFirstColumn="0" w:lastRowLastColumn="0"/>
            </w:pPr>
            <w:r w:rsidRPr="009207A8">
              <w:t>0.93</w:t>
            </w:r>
          </w:p>
        </w:tc>
        <w:tc>
          <w:tcPr>
            <w:tcW w:w="1559" w:type="dxa"/>
            <w:tcBorders>
              <w:top w:val="none" w:sz="0" w:space="0" w:color="auto"/>
              <w:bottom w:val="none" w:sz="0" w:space="0" w:color="auto"/>
            </w:tcBorders>
            <w:noWrap/>
            <w:hideMark/>
          </w:tcPr>
          <w:p w14:paraId="2A5978C7" w14:textId="13FE084F" w:rsidR="002C1250" w:rsidRPr="007A1075" w:rsidRDefault="002C1250" w:rsidP="002C1250">
            <w:pPr>
              <w:pStyle w:val="TableText"/>
              <w:cnfStyle w:val="000000100000" w:firstRow="0" w:lastRow="0" w:firstColumn="0" w:lastColumn="0" w:oddVBand="0" w:evenVBand="0" w:oddHBand="1" w:evenHBand="0" w:firstRowFirstColumn="0" w:firstRowLastColumn="0" w:lastRowFirstColumn="0" w:lastRowLastColumn="0"/>
            </w:pPr>
            <w:r w:rsidRPr="009207A8">
              <w:t>1351010</w:t>
            </w:r>
          </w:p>
        </w:tc>
        <w:tc>
          <w:tcPr>
            <w:tcW w:w="1134" w:type="dxa"/>
            <w:tcBorders>
              <w:top w:val="none" w:sz="0" w:space="0" w:color="auto"/>
              <w:bottom w:val="none" w:sz="0" w:space="0" w:color="auto"/>
            </w:tcBorders>
            <w:noWrap/>
            <w:hideMark/>
          </w:tcPr>
          <w:p w14:paraId="457B38F8" w14:textId="1D869B8A" w:rsidR="002C1250" w:rsidRPr="007A1075" w:rsidRDefault="002C1250" w:rsidP="002C1250">
            <w:pPr>
              <w:pStyle w:val="TableText"/>
              <w:cnfStyle w:val="000000100000" w:firstRow="0" w:lastRow="0" w:firstColumn="0" w:lastColumn="0" w:oddVBand="0" w:evenVBand="0" w:oddHBand="1" w:evenHBand="0" w:firstRowFirstColumn="0" w:firstRowLastColumn="0" w:lastRowFirstColumn="0" w:lastRowLastColumn="0"/>
            </w:pPr>
            <w:r w:rsidRPr="009207A8">
              <w:t>5</w:t>
            </w:r>
            <w:r>
              <w:t>,</w:t>
            </w:r>
            <w:r w:rsidRPr="009207A8">
              <w:t>596</w:t>
            </w:r>
          </w:p>
        </w:tc>
        <w:tc>
          <w:tcPr>
            <w:tcW w:w="850" w:type="dxa"/>
            <w:tcBorders>
              <w:top w:val="none" w:sz="0" w:space="0" w:color="auto"/>
              <w:bottom w:val="none" w:sz="0" w:space="0" w:color="auto"/>
            </w:tcBorders>
            <w:noWrap/>
            <w:hideMark/>
          </w:tcPr>
          <w:p w14:paraId="2345514C" w14:textId="4133EE76" w:rsidR="002C1250" w:rsidRPr="007A1075" w:rsidRDefault="002C1250" w:rsidP="002C1250">
            <w:pPr>
              <w:pStyle w:val="TableText"/>
              <w:cnfStyle w:val="000000100000" w:firstRow="0" w:lastRow="0" w:firstColumn="0" w:lastColumn="0" w:oddVBand="0" w:evenVBand="0" w:oddHBand="1" w:evenHBand="0" w:firstRowFirstColumn="0" w:firstRowLastColumn="0" w:lastRowFirstColumn="0" w:lastRowLastColumn="0"/>
            </w:pPr>
            <w:r w:rsidRPr="009207A8">
              <w:t>&lt;.001</w:t>
            </w:r>
          </w:p>
        </w:tc>
        <w:tc>
          <w:tcPr>
            <w:tcW w:w="1701" w:type="dxa"/>
            <w:tcBorders>
              <w:top w:val="none" w:sz="0" w:space="0" w:color="auto"/>
              <w:bottom w:val="none" w:sz="0" w:space="0" w:color="auto"/>
            </w:tcBorders>
            <w:noWrap/>
            <w:hideMark/>
          </w:tcPr>
          <w:p w14:paraId="354C83DC" w14:textId="56FF3F73" w:rsidR="002C1250" w:rsidRPr="007A1075" w:rsidRDefault="002C1250" w:rsidP="002C1250">
            <w:pPr>
              <w:pStyle w:val="TableText"/>
              <w:cnfStyle w:val="000000100000" w:firstRow="0" w:lastRow="0" w:firstColumn="0" w:lastColumn="0" w:oddVBand="0" w:evenVBand="0" w:oddHBand="1" w:evenHBand="0" w:firstRowFirstColumn="0" w:firstRowLastColumn="0" w:lastRowFirstColumn="0" w:lastRowLastColumn="0"/>
            </w:pPr>
            <w:r w:rsidRPr="009207A8">
              <w:t>57.4% (n=3</w:t>
            </w:r>
            <w:r>
              <w:t>,</w:t>
            </w:r>
            <w:r w:rsidRPr="009207A8">
              <w:t>211)</w:t>
            </w:r>
          </w:p>
        </w:tc>
      </w:tr>
      <w:tr w:rsidR="00680B14" w:rsidRPr="007A1075" w14:paraId="662FBB7C" w14:textId="77777777" w:rsidTr="0078378F">
        <w:trPr>
          <w:trHeight w:val="290"/>
        </w:trPr>
        <w:tc>
          <w:tcPr>
            <w:cnfStyle w:val="001000000000" w:firstRow="0" w:lastRow="0" w:firstColumn="1" w:lastColumn="0" w:oddVBand="0" w:evenVBand="0" w:oddHBand="0" w:evenHBand="0" w:firstRowFirstColumn="0" w:firstRowLastColumn="0" w:lastRowFirstColumn="0" w:lastRowLastColumn="0"/>
            <w:tcW w:w="0" w:type="dxa"/>
            <w:vMerge/>
            <w:tcBorders>
              <w:right w:val="none" w:sz="0" w:space="0" w:color="auto"/>
            </w:tcBorders>
            <w:hideMark/>
          </w:tcPr>
          <w:p w14:paraId="5C034279" w14:textId="77777777" w:rsidR="00826536" w:rsidRPr="007A1075" w:rsidRDefault="00826536" w:rsidP="002C1250">
            <w:pPr>
              <w:pStyle w:val="TableText"/>
            </w:pPr>
          </w:p>
        </w:tc>
        <w:tc>
          <w:tcPr>
            <w:tcW w:w="0" w:type="dxa"/>
            <w:vMerge/>
            <w:hideMark/>
          </w:tcPr>
          <w:p w14:paraId="041A0F6D" w14:textId="77777777" w:rsidR="002C1250" w:rsidRPr="007A1075" w:rsidRDefault="002C1250" w:rsidP="002C1250">
            <w:pPr>
              <w:pStyle w:val="TableText"/>
              <w:cnfStyle w:val="000000000000" w:firstRow="0" w:lastRow="0" w:firstColumn="0" w:lastColumn="0" w:oddVBand="0" w:evenVBand="0" w:oddHBand="0" w:evenHBand="0" w:firstRowFirstColumn="0" w:firstRowLastColumn="0" w:lastRowFirstColumn="0" w:lastRowLastColumn="0"/>
            </w:pPr>
          </w:p>
        </w:tc>
        <w:tc>
          <w:tcPr>
            <w:tcW w:w="0" w:type="dxa"/>
            <w:vMerge w:val="restart"/>
            <w:hideMark/>
          </w:tcPr>
          <w:p w14:paraId="5E0E7667" w14:textId="77777777" w:rsidR="002C1250" w:rsidRPr="007A1075" w:rsidRDefault="002C1250" w:rsidP="002C1250">
            <w:pPr>
              <w:pStyle w:val="TableText"/>
              <w:cnfStyle w:val="000000000000" w:firstRow="0" w:lastRow="0" w:firstColumn="0" w:lastColumn="0" w:oddVBand="0" w:evenVBand="0" w:oddHBand="0" w:evenHBand="0" w:firstRowFirstColumn="0" w:firstRowLastColumn="0" w:lastRowFirstColumn="0" w:lastRowLastColumn="0"/>
            </w:pPr>
            <w:r w:rsidRPr="009207A8">
              <w:t>Goals</w:t>
            </w:r>
          </w:p>
          <w:p w14:paraId="76CE788C" w14:textId="7E88B82C" w:rsidR="002C1250" w:rsidRPr="007A1075" w:rsidRDefault="002C1250" w:rsidP="002C1250">
            <w:pPr>
              <w:pStyle w:val="TableText"/>
              <w:cnfStyle w:val="000000000000" w:firstRow="0" w:lastRow="0" w:firstColumn="0" w:lastColumn="0" w:oddVBand="0" w:evenVBand="0" w:oddHBand="0" w:evenHBand="0" w:firstRowFirstColumn="0" w:firstRowLastColumn="0" w:lastRowFirstColumn="0" w:lastRowLastColumn="0"/>
            </w:pPr>
          </w:p>
        </w:tc>
        <w:tc>
          <w:tcPr>
            <w:tcW w:w="3881" w:type="dxa"/>
            <w:noWrap/>
            <w:hideMark/>
          </w:tcPr>
          <w:p w14:paraId="69F39CA6" w14:textId="198579D8" w:rsidR="002C1250" w:rsidRPr="007A1075" w:rsidRDefault="002C1250" w:rsidP="002C1250">
            <w:pPr>
              <w:pStyle w:val="TableText"/>
              <w:cnfStyle w:val="000000000000" w:firstRow="0" w:lastRow="0" w:firstColumn="0" w:lastColumn="0" w:oddVBand="0" w:evenVBand="0" w:oddHBand="0" w:evenHBand="0" w:firstRowFirstColumn="0" w:firstRowLastColumn="0" w:lastRowFirstColumn="0" w:lastRowLastColumn="0"/>
            </w:pPr>
            <w:r w:rsidRPr="009207A8">
              <w:t>Changed behaviours</w:t>
            </w:r>
          </w:p>
        </w:tc>
        <w:tc>
          <w:tcPr>
            <w:tcW w:w="993" w:type="dxa"/>
            <w:noWrap/>
            <w:hideMark/>
          </w:tcPr>
          <w:p w14:paraId="41CD8E01" w14:textId="07F4CF8B" w:rsidR="002C1250" w:rsidRPr="007A1075" w:rsidRDefault="002C1250" w:rsidP="002C1250">
            <w:pPr>
              <w:pStyle w:val="TableText"/>
              <w:cnfStyle w:val="000000000000" w:firstRow="0" w:lastRow="0" w:firstColumn="0" w:lastColumn="0" w:oddVBand="0" w:evenVBand="0" w:oddHBand="0" w:evenHBand="0" w:firstRowFirstColumn="0" w:firstRowLastColumn="0" w:lastRowFirstColumn="0" w:lastRowLastColumn="0"/>
            </w:pPr>
            <w:r w:rsidRPr="009207A8">
              <w:t>0.88</w:t>
            </w:r>
          </w:p>
        </w:tc>
        <w:tc>
          <w:tcPr>
            <w:tcW w:w="1559" w:type="dxa"/>
            <w:noWrap/>
            <w:hideMark/>
          </w:tcPr>
          <w:p w14:paraId="05CDA651" w14:textId="5F64FDC1" w:rsidR="002C1250" w:rsidRPr="007A1075" w:rsidRDefault="002C1250" w:rsidP="002C1250">
            <w:pPr>
              <w:pStyle w:val="TableText"/>
              <w:cnfStyle w:val="000000000000" w:firstRow="0" w:lastRow="0" w:firstColumn="0" w:lastColumn="0" w:oddVBand="0" w:evenVBand="0" w:oddHBand="0" w:evenHBand="0" w:firstRowFirstColumn="0" w:firstRowLastColumn="0" w:lastRowFirstColumn="0" w:lastRowLastColumn="0"/>
            </w:pPr>
            <w:r w:rsidRPr="009207A8">
              <w:t>512363.5</w:t>
            </w:r>
          </w:p>
        </w:tc>
        <w:tc>
          <w:tcPr>
            <w:tcW w:w="1134" w:type="dxa"/>
            <w:noWrap/>
            <w:hideMark/>
          </w:tcPr>
          <w:p w14:paraId="3D721EC2" w14:textId="60A436FF" w:rsidR="002C1250" w:rsidRPr="007A1075" w:rsidRDefault="002C1250" w:rsidP="002C1250">
            <w:pPr>
              <w:pStyle w:val="TableText"/>
              <w:cnfStyle w:val="000000000000" w:firstRow="0" w:lastRow="0" w:firstColumn="0" w:lastColumn="0" w:oddVBand="0" w:evenVBand="0" w:oddHBand="0" w:evenHBand="0" w:firstRowFirstColumn="0" w:firstRowLastColumn="0" w:lastRowFirstColumn="0" w:lastRowLastColumn="0"/>
            </w:pPr>
            <w:r w:rsidRPr="009207A8">
              <w:t>3</w:t>
            </w:r>
            <w:r>
              <w:t>,</w:t>
            </w:r>
            <w:r w:rsidRPr="009207A8">
              <w:t>412</w:t>
            </w:r>
          </w:p>
        </w:tc>
        <w:tc>
          <w:tcPr>
            <w:tcW w:w="850" w:type="dxa"/>
            <w:noWrap/>
            <w:hideMark/>
          </w:tcPr>
          <w:p w14:paraId="5E12CE31" w14:textId="0A5C3688" w:rsidR="002C1250" w:rsidRPr="007A1075" w:rsidRDefault="002C1250" w:rsidP="002C1250">
            <w:pPr>
              <w:pStyle w:val="TableText"/>
              <w:cnfStyle w:val="000000000000" w:firstRow="0" w:lastRow="0" w:firstColumn="0" w:lastColumn="0" w:oddVBand="0" w:evenVBand="0" w:oddHBand="0" w:evenHBand="0" w:firstRowFirstColumn="0" w:firstRowLastColumn="0" w:lastRowFirstColumn="0" w:lastRowLastColumn="0"/>
            </w:pPr>
            <w:r w:rsidRPr="009207A8">
              <w:t>&lt;.001</w:t>
            </w:r>
          </w:p>
        </w:tc>
        <w:tc>
          <w:tcPr>
            <w:tcW w:w="1701" w:type="dxa"/>
            <w:noWrap/>
            <w:hideMark/>
          </w:tcPr>
          <w:p w14:paraId="127D2637" w14:textId="65B90834" w:rsidR="002C1250" w:rsidRPr="007A1075" w:rsidRDefault="002C1250" w:rsidP="002C1250">
            <w:pPr>
              <w:pStyle w:val="TableText"/>
              <w:cnfStyle w:val="000000000000" w:firstRow="0" w:lastRow="0" w:firstColumn="0" w:lastColumn="0" w:oddVBand="0" w:evenVBand="0" w:oddHBand="0" w:evenHBand="0" w:firstRowFirstColumn="0" w:firstRowLastColumn="0" w:lastRowFirstColumn="0" w:lastRowLastColumn="0"/>
            </w:pPr>
            <w:r w:rsidRPr="009207A8">
              <w:t>56.8% (n=1</w:t>
            </w:r>
            <w:r>
              <w:t>,</w:t>
            </w:r>
            <w:r w:rsidRPr="009207A8">
              <w:t>937)</w:t>
            </w:r>
          </w:p>
        </w:tc>
      </w:tr>
      <w:tr w:rsidR="00680B14" w:rsidRPr="007A1075" w14:paraId="4BCB7380" w14:textId="77777777" w:rsidTr="0078378F">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0" w:type="dxa"/>
            <w:vMerge/>
            <w:tcBorders>
              <w:top w:val="none" w:sz="0" w:space="0" w:color="auto"/>
              <w:bottom w:val="none" w:sz="0" w:space="0" w:color="auto"/>
              <w:right w:val="none" w:sz="0" w:space="0" w:color="auto"/>
            </w:tcBorders>
            <w:hideMark/>
          </w:tcPr>
          <w:p w14:paraId="50386408" w14:textId="77777777" w:rsidR="00826536" w:rsidRPr="007A1075" w:rsidRDefault="00826536" w:rsidP="002C1250">
            <w:pPr>
              <w:pStyle w:val="TableText"/>
              <w:rPr>
                <w:b w:val="0"/>
                <w:bCs w:val="0"/>
              </w:rPr>
            </w:pPr>
          </w:p>
        </w:tc>
        <w:tc>
          <w:tcPr>
            <w:tcW w:w="0" w:type="dxa"/>
            <w:vMerge/>
            <w:tcBorders>
              <w:top w:val="none" w:sz="0" w:space="0" w:color="auto"/>
              <w:bottom w:val="none" w:sz="0" w:space="0" w:color="auto"/>
            </w:tcBorders>
            <w:hideMark/>
          </w:tcPr>
          <w:p w14:paraId="1E625489" w14:textId="77777777" w:rsidR="002C1250" w:rsidRPr="007A1075" w:rsidRDefault="002C1250" w:rsidP="002C1250">
            <w:pPr>
              <w:pStyle w:val="TableText"/>
              <w:cnfStyle w:val="000000100000" w:firstRow="0" w:lastRow="0" w:firstColumn="0" w:lastColumn="0" w:oddVBand="0" w:evenVBand="0" w:oddHBand="1" w:evenHBand="0" w:firstRowFirstColumn="0" w:firstRowLastColumn="0" w:lastRowFirstColumn="0" w:lastRowLastColumn="0"/>
            </w:pPr>
          </w:p>
        </w:tc>
        <w:tc>
          <w:tcPr>
            <w:tcW w:w="0" w:type="dxa"/>
            <w:vMerge/>
            <w:tcBorders>
              <w:top w:val="none" w:sz="0" w:space="0" w:color="auto"/>
              <w:bottom w:val="none" w:sz="0" w:space="0" w:color="auto"/>
            </w:tcBorders>
            <w:hideMark/>
          </w:tcPr>
          <w:p w14:paraId="3D51C624" w14:textId="77777777" w:rsidR="002C1250" w:rsidRPr="007A1075" w:rsidRDefault="002C1250" w:rsidP="002C1250">
            <w:pPr>
              <w:pStyle w:val="TableText"/>
              <w:cnfStyle w:val="000000100000" w:firstRow="0" w:lastRow="0" w:firstColumn="0" w:lastColumn="0" w:oddVBand="0" w:evenVBand="0" w:oddHBand="1" w:evenHBand="0" w:firstRowFirstColumn="0" w:firstRowLastColumn="0" w:lastRowFirstColumn="0" w:lastRowLastColumn="0"/>
            </w:pPr>
          </w:p>
        </w:tc>
        <w:tc>
          <w:tcPr>
            <w:tcW w:w="3881" w:type="dxa"/>
            <w:tcBorders>
              <w:top w:val="none" w:sz="0" w:space="0" w:color="auto"/>
              <w:bottom w:val="none" w:sz="0" w:space="0" w:color="auto"/>
            </w:tcBorders>
            <w:noWrap/>
            <w:hideMark/>
          </w:tcPr>
          <w:p w14:paraId="052B19AA" w14:textId="3CA8273A" w:rsidR="002C1250" w:rsidRPr="007A1075" w:rsidRDefault="002C1250" w:rsidP="002C1250">
            <w:pPr>
              <w:pStyle w:val="TableText"/>
              <w:cnfStyle w:val="000000100000" w:firstRow="0" w:lastRow="0" w:firstColumn="0" w:lastColumn="0" w:oddVBand="0" w:evenVBand="0" w:oddHBand="1" w:evenHBand="0" w:firstRowFirstColumn="0" w:firstRowLastColumn="0" w:lastRowFirstColumn="0" w:lastRowLastColumn="0"/>
            </w:pPr>
            <w:r w:rsidRPr="009207A8">
              <w:t>Changed impact of immediate crisis</w:t>
            </w:r>
          </w:p>
        </w:tc>
        <w:tc>
          <w:tcPr>
            <w:tcW w:w="993" w:type="dxa"/>
            <w:tcBorders>
              <w:top w:val="none" w:sz="0" w:space="0" w:color="auto"/>
              <w:bottom w:val="none" w:sz="0" w:space="0" w:color="auto"/>
            </w:tcBorders>
            <w:noWrap/>
            <w:hideMark/>
          </w:tcPr>
          <w:p w14:paraId="61844647" w14:textId="040569AA" w:rsidR="002C1250" w:rsidRPr="007A1075" w:rsidRDefault="002C1250" w:rsidP="002C1250">
            <w:pPr>
              <w:pStyle w:val="TableText"/>
              <w:cnfStyle w:val="000000100000" w:firstRow="0" w:lastRow="0" w:firstColumn="0" w:lastColumn="0" w:oddVBand="0" w:evenVBand="0" w:oddHBand="1" w:evenHBand="0" w:firstRowFirstColumn="0" w:firstRowLastColumn="0" w:lastRowFirstColumn="0" w:lastRowLastColumn="0"/>
            </w:pPr>
            <w:r w:rsidRPr="009207A8">
              <w:t>1.16</w:t>
            </w:r>
          </w:p>
        </w:tc>
        <w:tc>
          <w:tcPr>
            <w:tcW w:w="1559" w:type="dxa"/>
            <w:tcBorders>
              <w:top w:val="none" w:sz="0" w:space="0" w:color="auto"/>
              <w:bottom w:val="none" w:sz="0" w:space="0" w:color="auto"/>
            </w:tcBorders>
            <w:noWrap/>
            <w:hideMark/>
          </w:tcPr>
          <w:p w14:paraId="2A89027D" w14:textId="1E726FF9" w:rsidR="002C1250" w:rsidRPr="007A1075" w:rsidRDefault="002C1250" w:rsidP="002C1250">
            <w:pPr>
              <w:pStyle w:val="TableText"/>
              <w:cnfStyle w:val="000000100000" w:firstRow="0" w:lastRow="0" w:firstColumn="0" w:lastColumn="0" w:oddVBand="0" w:evenVBand="0" w:oddHBand="1" w:evenHBand="0" w:firstRowFirstColumn="0" w:firstRowLastColumn="0" w:lastRowFirstColumn="0" w:lastRowLastColumn="0"/>
            </w:pPr>
            <w:r w:rsidRPr="009207A8">
              <w:t>191139</w:t>
            </w:r>
          </w:p>
        </w:tc>
        <w:tc>
          <w:tcPr>
            <w:tcW w:w="1134" w:type="dxa"/>
            <w:tcBorders>
              <w:top w:val="none" w:sz="0" w:space="0" w:color="auto"/>
              <w:bottom w:val="none" w:sz="0" w:space="0" w:color="auto"/>
            </w:tcBorders>
            <w:noWrap/>
            <w:hideMark/>
          </w:tcPr>
          <w:p w14:paraId="65313014" w14:textId="1E655B36" w:rsidR="002C1250" w:rsidRPr="007A1075" w:rsidRDefault="002C1250" w:rsidP="002C1250">
            <w:pPr>
              <w:pStyle w:val="TableText"/>
              <w:cnfStyle w:val="000000100000" w:firstRow="0" w:lastRow="0" w:firstColumn="0" w:lastColumn="0" w:oddVBand="0" w:evenVBand="0" w:oddHBand="1" w:evenHBand="0" w:firstRowFirstColumn="0" w:firstRowLastColumn="0" w:lastRowFirstColumn="0" w:lastRowLastColumn="0"/>
            </w:pPr>
            <w:r w:rsidRPr="009207A8">
              <w:t>2</w:t>
            </w:r>
            <w:r>
              <w:t>,</w:t>
            </w:r>
            <w:r w:rsidRPr="009207A8">
              <w:t>611</w:t>
            </w:r>
          </w:p>
        </w:tc>
        <w:tc>
          <w:tcPr>
            <w:tcW w:w="850" w:type="dxa"/>
            <w:tcBorders>
              <w:top w:val="none" w:sz="0" w:space="0" w:color="auto"/>
              <w:bottom w:val="none" w:sz="0" w:space="0" w:color="auto"/>
            </w:tcBorders>
            <w:noWrap/>
            <w:hideMark/>
          </w:tcPr>
          <w:p w14:paraId="2B0E51B9" w14:textId="2A5EE7B6" w:rsidR="002C1250" w:rsidRPr="007A1075" w:rsidRDefault="002C1250" w:rsidP="002C1250">
            <w:pPr>
              <w:pStyle w:val="TableText"/>
              <w:cnfStyle w:val="000000100000" w:firstRow="0" w:lastRow="0" w:firstColumn="0" w:lastColumn="0" w:oddVBand="0" w:evenVBand="0" w:oddHBand="1" w:evenHBand="0" w:firstRowFirstColumn="0" w:firstRowLastColumn="0" w:lastRowFirstColumn="0" w:lastRowLastColumn="0"/>
            </w:pPr>
            <w:r w:rsidRPr="009207A8">
              <w:t>&lt;.001</w:t>
            </w:r>
          </w:p>
        </w:tc>
        <w:tc>
          <w:tcPr>
            <w:tcW w:w="1701" w:type="dxa"/>
            <w:tcBorders>
              <w:top w:val="none" w:sz="0" w:space="0" w:color="auto"/>
              <w:bottom w:val="none" w:sz="0" w:space="0" w:color="auto"/>
            </w:tcBorders>
            <w:noWrap/>
            <w:hideMark/>
          </w:tcPr>
          <w:p w14:paraId="5F61F39B" w14:textId="6792E052" w:rsidR="002C1250" w:rsidRPr="007A1075" w:rsidRDefault="002C1250" w:rsidP="002C1250">
            <w:pPr>
              <w:pStyle w:val="TableText"/>
              <w:cnfStyle w:val="000000100000" w:firstRow="0" w:lastRow="0" w:firstColumn="0" w:lastColumn="0" w:oddVBand="0" w:evenVBand="0" w:oddHBand="1" w:evenHBand="0" w:firstRowFirstColumn="0" w:firstRowLastColumn="0" w:lastRowFirstColumn="0" w:lastRowLastColumn="0"/>
            </w:pPr>
            <w:r w:rsidRPr="009207A8">
              <w:t>67.5% (n=1</w:t>
            </w:r>
            <w:r>
              <w:t>,</w:t>
            </w:r>
            <w:r w:rsidRPr="009207A8">
              <w:t>763)</w:t>
            </w:r>
          </w:p>
        </w:tc>
      </w:tr>
      <w:tr w:rsidR="00680B14" w:rsidRPr="007A1075" w14:paraId="0750BE6C" w14:textId="77777777" w:rsidTr="0078378F">
        <w:trPr>
          <w:trHeight w:val="290"/>
        </w:trPr>
        <w:tc>
          <w:tcPr>
            <w:cnfStyle w:val="001000000000" w:firstRow="0" w:lastRow="0" w:firstColumn="1" w:lastColumn="0" w:oddVBand="0" w:evenVBand="0" w:oddHBand="0" w:evenHBand="0" w:firstRowFirstColumn="0" w:firstRowLastColumn="0" w:lastRowFirstColumn="0" w:lastRowLastColumn="0"/>
            <w:tcW w:w="0" w:type="dxa"/>
            <w:vMerge/>
            <w:tcBorders>
              <w:right w:val="none" w:sz="0" w:space="0" w:color="auto"/>
            </w:tcBorders>
            <w:hideMark/>
          </w:tcPr>
          <w:p w14:paraId="571AC872" w14:textId="77777777" w:rsidR="00826536" w:rsidRPr="007A1075" w:rsidRDefault="00826536" w:rsidP="002C1250">
            <w:pPr>
              <w:pStyle w:val="TableText"/>
            </w:pPr>
          </w:p>
        </w:tc>
        <w:tc>
          <w:tcPr>
            <w:tcW w:w="0" w:type="dxa"/>
            <w:vMerge/>
            <w:hideMark/>
          </w:tcPr>
          <w:p w14:paraId="39889A2D" w14:textId="77777777" w:rsidR="002C1250" w:rsidRPr="007A1075" w:rsidRDefault="002C1250" w:rsidP="002C1250">
            <w:pPr>
              <w:pStyle w:val="TableText"/>
              <w:cnfStyle w:val="000000000000" w:firstRow="0" w:lastRow="0" w:firstColumn="0" w:lastColumn="0" w:oddVBand="0" w:evenVBand="0" w:oddHBand="0" w:evenHBand="0" w:firstRowFirstColumn="0" w:firstRowLastColumn="0" w:lastRowFirstColumn="0" w:lastRowLastColumn="0"/>
            </w:pPr>
          </w:p>
        </w:tc>
        <w:tc>
          <w:tcPr>
            <w:tcW w:w="0" w:type="dxa"/>
            <w:vMerge/>
            <w:hideMark/>
          </w:tcPr>
          <w:p w14:paraId="488F853E" w14:textId="77777777" w:rsidR="002C1250" w:rsidRPr="007A1075" w:rsidRDefault="002C1250" w:rsidP="002C1250">
            <w:pPr>
              <w:pStyle w:val="TableText"/>
              <w:cnfStyle w:val="000000000000" w:firstRow="0" w:lastRow="0" w:firstColumn="0" w:lastColumn="0" w:oddVBand="0" w:evenVBand="0" w:oddHBand="0" w:evenHBand="0" w:firstRowFirstColumn="0" w:firstRowLastColumn="0" w:lastRowFirstColumn="0" w:lastRowLastColumn="0"/>
            </w:pPr>
          </w:p>
        </w:tc>
        <w:tc>
          <w:tcPr>
            <w:tcW w:w="3881" w:type="dxa"/>
            <w:noWrap/>
            <w:hideMark/>
          </w:tcPr>
          <w:p w14:paraId="44F76DA5" w14:textId="47144539" w:rsidR="002C1250" w:rsidRPr="007A1075" w:rsidRDefault="002C1250" w:rsidP="002C1250">
            <w:pPr>
              <w:pStyle w:val="TableText"/>
              <w:cnfStyle w:val="000000000000" w:firstRow="0" w:lastRow="0" w:firstColumn="0" w:lastColumn="0" w:oddVBand="0" w:evenVBand="0" w:oddHBand="0" w:evenHBand="0" w:firstRowFirstColumn="0" w:firstRowLastColumn="0" w:lastRowFirstColumn="0" w:lastRowLastColumn="0"/>
            </w:pPr>
            <w:r w:rsidRPr="009207A8">
              <w:t>Changed knowledge and access to information</w:t>
            </w:r>
          </w:p>
        </w:tc>
        <w:tc>
          <w:tcPr>
            <w:tcW w:w="993" w:type="dxa"/>
            <w:noWrap/>
            <w:hideMark/>
          </w:tcPr>
          <w:p w14:paraId="63362FC7" w14:textId="60AE411D" w:rsidR="002C1250" w:rsidRPr="007A1075" w:rsidRDefault="002C1250" w:rsidP="002C1250">
            <w:pPr>
              <w:pStyle w:val="TableText"/>
              <w:cnfStyle w:val="000000000000" w:firstRow="0" w:lastRow="0" w:firstColumn="0" w:lastColumn="0" w:oddVBand="0" w:evenVBand="0" w:oddHBand="0" w:evenHBand="0" w:firstRowFirstColumn="0" w:firstRowLastColumn="0" w:lastRowFirstColumn="0" w:lastRowLastColumn="0"/>
            </w:pPr>
            <w:r w:rsidRPr="009207A8">
              <w:t>1.09</w:t>
            </w:r>
          </w:p>
        </w:tc>
        <w:tc>
          <w:tcPr>
            <w:tcW w:w="1559" w:type="dxa"/>
            <w:noWrap/>
            <w:hideMark/>
          </w:tcPr>
          <w:p w14:paraId="30D3C128" w14:textId="0F7CBA8B" w:rsidR="002C1250" w:rsidRPr="007A1075" w:rsidRDefault="002C1250" w:rsidP="002C1250">
            <w:pPr>
              <w:pStyle w:val="TableText"/>
              <w:cnfStyle w:val="000000000000" w:firstRow="0" w:lastRow="0" w:firstColumn="0" w:lastColumn="0" w:oddVBand="0" w:evenVBand="0" w:oddHBand="0" w:evenHBand="0" w:firstRowFirstColumn="0" w:firstRowLastColumn="0" w:lastRowFirstColumn="0" w:lastRowLastColumn="0"/>
            </w:pPr>
            <w:r w:rsidRPr="009207A8">
              <w:t>444343.5</w:t>
            </w:r>
          </w:p>
        </w:tc>
        <w:tc>
          <w:tcPr>
            <w:tcW w:w="1134" w:type="dxa"/>
            <w:noWrap/>
            <w:hideMark/>
          </w:tcPr>
          <w:p w14:paraId="46A5E988" w14:textId="2E98555E" w:rsidR="002C1250" w:rsidRPr="007A1075" w:rsidRDefault="002C1250" w:rsidP="002C1250">
            <w:pPr>
              <w:pStyle w:val="TableText"/>
              <w:cnfStyle w:val="000000000000" w:firstRow="0" w:lastRow="0" w:firstColumn="0" w:lastColumn="0" w:oddVBand="0" w:evenVBand="0" w:oddHBand="0" w:evenHBand="0" w:firstRowFirstColumn="0" w:firstRowLastColumn="0" w:lastRowFirstColumn="0" w:lastRowLastColumn="0"/>
            </w:pPr>
            <w:r w:rsidRPr="009207A8">
              <w:t>3</w:t>
            </w:r>
            <w:r>
              <w:t>,</w:t>
            </w:r>
            <w:r w:rsidRPr="009207A8">
              <w:t>808</w:t>
            </w:r>
          </w:p>
        </w:tc>
        <w:tc>
          <w:tcPr>
            <w:tcW w:w="850" w:type="dxa"/>
            <w:noWrap/>
            <w:hideMark/>
          </w:tcPr>
          <w:p w14:paraId="65FCE39D" w14:textId="55E94B69" w:rsidR="002C1250" w:rsidRPr="007A1075" w:rsidRDefault="002C1250" w:rsidP="002C1250">
            <w:pPr>
              <w:pStyle w:val="TableText"/>
              <w:cnfStyle w:val="000000000000" w:firstRow="0" w:lastRow="0" w:firstColumn="0" w:lastColumn="0" w:oddVBand="0" w:evenVBand="0" w:oddHBand="0" w:evenHBand="0" w:firstRowFirstColumn="0" w:firstRowLastColumn="0" w:lastRowFirstColumn="0" w:lastRowLastColumn="0"/>
            </w:pPr>
            <w:r w:rsidRPr="009207A8">
              <w:t>&lt;.001</w:t>
            </w:r>
          </w:p>
        </w:tc>
        <w:tc>
          <w:tcPr>
            <w:tcW w:w="1701" w:type="dxa"/>
            <w:noWrap/>
            <w:hideMark/>
          </w:tcPr>
          <w:p w14:paraId="31B4FCBD" w14:textId="18D4ACC3" w:rsidR="002C1250" w:rsidRPr="007A1075" w:rsidRDefault="002C1250" w:rsidP="002C1250">
            <w:pPr>
              <w:pStyle w:val="TableText"/>
              <w:cnfStyle w:val="000000000000" w:firstRow="0" w:lastRow="0" w:firstColumn="0" w:lastColumn="0" w:oddVBand="0" w:evenVBand="0" w:oddHBand="0" w:evenHBand="0" w:firstRowFirstColumn="0" w:firstRowLastColumn="0" w:lastRowFirstColumn="0" w:lastRowLastColumn="0"/>
            </w:pPr>
            <w:r w:rsidRPr="009207A8">
              <w:t>64.7% (n=2</w:t>
            </w:r>
            <w:r>
              <w:t>,</w:t>
            </w:r>
            <w:r w:rsidRPr="009207A8">
              <w:t>463)</w:t>
            </w:r>
          </w:p>
        </w:tc>
      </w:tr>
      <w:tr w:rsidR="00680B14" w:rsidRPr="007A1075" w14:paraId="2759C631" w14:textId="77777777" w:rsidTr="0078378F">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0" w:type="dxa"/>
            <w:vMerge/>
            <w:tcBorders>
              <w:top w:val="none" w:sz="0" w:space="0" w:color="auto"/>
              <w:bottom w:val="none" w:sz="0" w:space="0" w:color="auto"/>
              <w:right w:val="none" w:sz="0" w:space="0" w:color="auto"/>
            </w:tcBorders>
            <w:hideMark/>
          </w:tcPr>
          <w:p w14:paraId="3FA5EDF5" w14:textId="77777777" w:rsidR="00826536" w:rsidRPr="007A1075" w:rsidRDefault="00826536" w:rsidP="002C1250">
            <w:pPr>
              <w:pStyle w:val="TableText"/>
              <w:rPr>
                <w:b w:val="0"/>
                <w:bCs w:val="0"/>
              </w:rPr>
            </w:pPr>
          </w:p>
        </w:tc>
        <w:tc>
          <w:tcPr>
            <w:tcW w:w="0" w:type="dxa"/>
            <w:vMerge/>
            <w:tcBorders>
              <w:top w:val="none" w:sz="0" w:space="0" w:color="auto"/>
              <w:bottom w:val="none" w:sz="0" w:space="0" w:color="auto"/>
            </w:tcBorders>
            <w:hideMark/>
          </w:tcPr>
          <w:p w14:paraId="5BA696BC" w14:textId="77777777" w:rsidR="002C1250" w:rsidRPr="007A1075" w:rsidRDefault="002C1250" w:rsidP="002C1250">
            <w:pPr>
              <w:pStyle w:val="TableText"/>
              <w:cnfStyle w:val="000000100000" w:firstRow="0" w:lastRow="0" w:firstColumn="0" w:lastColumn="0" w:oddVBand="0" w:evenVBand="0" w:oddHBand="1" w:evenHBand="0" w:firstRowFirstColumn="0" w:firstRowLastColumn="0" w:lastRowFirstColumn="0" w:lastRowLastColumn="0"/>
            </w:pPr>
          </w:p>
        </w:tc>
        <w:tc>
          <w:tcPr>
            <w:tcW w:w="0" w:type="dxa"/>
            <w:vMerge/>
            <w:tcBorders>
              <w:top w:val="none" w:sz="0" w:space="0" w:color="auto"/>
              <w:bottom w:val="none" w:sz="0" w:space="0" w:color="auto"/>
            </w:tcBorders>
            <w:hideMark/>
          </w:tcPr>
          <w:p w14:paraId="20F1961F" w14:textId="77777777" w:rsidR="002C1250" w:rsidRPr="007A1075" w:rsidRDefault="002C1250" w:rsidP="002C1250">
            <w:pPr>
              <w:pStyle w:val="TableText"/>
              <w:cnfStyle w:val="000000100000" w:firstRow="0" w:lastRow="0" w:firstColumn="0" w:lastColumn="0" w:oddVBand="0" w:evenVBand="0" w:oddHBand="1" w:evenHBand="0" w:firstRowFirstColumn="0" w:firstRowLastColumn="0" w:lastRowFirstColumn="0" w:lastRowLastColumn="0"/>
            </w:pPr>
          </w:p>
        </w:tc>
        <w:tc>
          <w:tcPr>
            <w:tcW w:w="3881" w:type="dxa"/>
            <w:tcBorders>
              <w:top w:val="none" w:sz="0" w:space="0" w:color="auto"/>
              <w:bottom w:val="none" w:sz="0" w:space="0" w:color="auto"/>
            </w:tcBorders>
            <w:noWrap/>
            <w:hideMark/>
          </w:tcPr>
          <w:p w14:paraId="6F18E559" w14:textId="5DE0A065" w:rsidR="002C1250" w:rsidRPr="007A1075" w:rsidRDefault="002C1250" w:rsidP="002C1250">
            <w:pPr>
              <w:pStyle w:val="TableText"/>
              <w:cnfStyle w:val="000000100000" w:firstRow="0" w:lastRow="0" w:firstColumn="0" w:lastColumn="0" w:oddVBand="0" w:evenVBand="0" w:oddHBand="1" w:evenHBand="0" w:firstRowFirstColumn="0" w:firstRowLastColumn="0" w:lastRowFirstColumn="0" w:lastRowLastColumn="0"/>
            </w:pPr>
            <w:r w:rsidRPr="009207A8">
              <w:t>Changed skills</w:t>
            </w:r>
          </w:p>
        </w:tc>
        <w:tc>
          <w:tcPr>
            <w:tcW w:w="993" w:type="dxa"/>
            <w:tcBorders>
              <w:top w:val="none" w:sz="0" w:space="0" w:color="auto"/>
              <w:bottom w:val="none" w:sz="0" w:space="0" w:color="auto"/>
            </w:tcBorders>
            <w:noWrap/>
            <w:hideMark/>
          </w:tcPr>
          <w:p w14:paraId="2923691D" w14:textId="09FA3F02" w:rsidR="002C1250" w:rsidRPr="007A1075" w:rsidRDefault="002C1250" w:rsidP="002C1250">
            <w:pPr>
              <w:pStyle w:val="TableText"/>
              <w:cnfStyle w:val="000000100000" w:firstRow="0" w:lastRow="0" w:firstColumn="0" w:lastColumn="0" w:oddVBand="0" w:evenVBand="0" w:oddHBand="1" w:evenHBand="0" w:firstRowFirstColumn="0" w:firstRowLastColumn="0" w:lastRowFirstColumn="0" w:lastRowLastColumn="0"/>
            </w:pPr>
            <w:r w:rsidRPr="009207A8">
              <w:t>0.91</w:t>
            </w:r>
          </w:p>
        </w:tc>
        <w:tc>
          <w:tcPr>
            <w:tcW w:w="1559" w:type="dxa"/>
            <w:tcBorders>
              <w:top w:val="none" w:sz="0" w:space="0" w:color="auto"/>
              <w:bottom w:val="none" w:sz="0" w:space="0" w:color="auto"/>
            </w:tcBorders>
            <w:noWrap/>
            <w:hideMark/>
          </w:tcPr>
          <w:p w14:paraId="4E845906" w14:textId="75CBBC8A" w:rsidR="002C1250" w:rsidRPr="007A1075" w:rsidRDefault="002C1250" w:rsidP="002C1250">
            <w:pPr>
              <w:pStyle w:val="TableText"/>
              <w:cnfStyle w:val="000000100000" w:firstRow="0" w:lastRow="0" w:firstColumn="0" w:lastColumn="0" w:oddVBand="0" w:evenVBand="0" w:oddHBand="1" w:evenHBand="0" w:firstRowFirstColumn="0" w:firstRowLastColumn="0" w:lastRowFirstColumn="0" w:lastRowLastColumn="0"/>
            </w:pPr>
            <w:r w:rsidRPr="009207A8">
              <w:t>443750</w:t>
            </w:r>
          </w:p>
        </w:tc>
        <w:tc>
          <w:tcPr>
            <w:tcW w:w="1134" w:type="dxa"/>
            <w:tcBorders>
              <w:top w:val="none" w:sz="0" w:space="0" w:color="auto"/>
              <w:bottom w:val="none" w:sz="0" w:space="0" w:color="auto"/>
            </w:tcBorders>
            <w:noWrap/>
            <w:hideMark/>
          </w:tcPr>
          <w:p w14:paraId="46580CB4" w14:textId="22EEF3FE" w:rsidR="002C1250" w:rsidRPr="007A1075" w:rsidRDefault="002C1250" w:rsidP="002C1250">
            <w:pPr>
              <w:pStyle w:val="TableText"/>
              <w:cnfStyle w:val="000000100000" w:firstRow="0" w:lastRow="0" w:firstColumn="0" w:lastColumn="0" w:oddVBand="0" w:evenVBand="0" w:oddHBand="1" w:evenHBand="0" w:firstRowFirstColumn="0" w:firstRowLastColumn="0" w:lastRowFirstColumn="0" w:lastRowLastColumn="0"/>
            </w:pPr>
            <w:r w:rsidRPr="009207A8">
              <w:t>3</w:t>
            </w:r>
            <w:r>
              <w:t>,</w:t>
            </w:r>
            <w:r w:rsidRPr="009207A8">
              <w:t>436</w:t>
            </w:r>
          </w:p>
        </w:tc>
        <w:tc>
          <w:tcPr>
            <w:tcW w:w="850" w:type="dxa"/>
            <w:tcBorders>
              <w:top w:val="none" w:sz="0" w:space="0" w:color="auto"/>
              <w:bottom w:val="none" w:sz="0" w:space="0" w:color="auto"/>
            </w:tcBorders>
            <w:noWrap/>
            <w:hideMark/>
          </w:tcPr>
          <w:p w14:paraId="3AEC20D8" w14:textId="0D21F05B" w:rsidR="002C1250" w:rsidRPr="007A1075" w:rsidRDefault="002C1250" w:rsidP="002C1250">
            <w:pPr>
              <w:pStyle w:val="TableText"/>
              <w:cnfStyle w:val="000000100000" w:firstRow="0" w:lastRow="0" w:firstColumn="0" w:lastColumn="0" w:oddVBand="0" w:evenVBand="0" w:oddHBand="1" w:evenHBand="0" w:firstRowFirstColumn="0" w:firstRowLastColumn="0" w:lastRowFirstColumn="0" w:lastRowLastColumn="0"/>
            </w:pPr>
            <w:r w:rsidRPr="009207A8">
              <w:t>&lt;.001</w:t>
            </w:r>
          </w:p>
        </w:tc>
        <w:tc>
          <w:tcPr>
            <w:tcW w:w="1701" w:type="dxa"/>
            <w:tcBorders>
              <w:top w:val="none" w:sz="0" w:space="0" w:color="auto"/>
              <w:bottom w:val="none" w:sz="0" w:space="0" w:color="auto"/>
            </w:tcBorders>
            <w:noWrap/>
            <w:hideMark/>
          </w:tcPr>
          <w:p w14:paraId="0FB4D4F0" w14:textId="29EABA86" w:rsidR="002C1250" w:rsidRPr="007A1075" w:rsidRDefault="002C1250" w:rsidP="002C1250">
            <w:pPr>
              <w:pStyle w:val="TableText"/>
              <w:cnfStyle w:val="000000100000" w:firstRow="0" w:lastRow="0" w:firstColumn="0" w:lastColumn="0" w:oddVBand="0" w:evenVBand="0" w:oddHBand="1" w:evenHBand="0" w:firstRowFirstColumn="0" w:firstRowLastColumn="0" w:lastRowFirstColumn="0" w:lastRowLastColumn="0"/>
            </w:pPr>
            <w:r w:rsidRPr="009207A8">
              <w:t>58.5% (n=2</w:t>
            </w:r>
            <w:r>
              <w:t>,</w:t>
            </w:r>
            <w:r w:rsidRPr="009207A8">
              <w:t>010)</w:t>
            </w:r>
          </w:p>
        </w:tc>
      </w:tr>
      <w:tr w:rsidR="00680B14" w:rsidRPr="007A1075" w14:paraId="7122787D" w14:textId="77777777" w:rsidTr="0078378F">
        <w:trPr>
          <w:trHeight w:val="290"/>
        </w:trPr>
        <w:tc>
          <w:tcPr>
            <w:cnfStyle w:val="001000000000" w:firstRow="0" w:lastRow="0" w:firstColumn="1" w:lastColumn="0" w:oddVBand="0" w:evenVBand="0" w:oddHBand="0" w:evenHBand="0" w:firstRowFirstColumn="0" w:firstRowLastColumn="0" w:lastRowFirstColumn="0" w:lastRowLastColumn="0"/>
            <w:tcW w:w="0" w:type="dxa"/>
            <w:vMerge/>
            <w:tcBorders>
              <w:right w:val="none" w:sz="0" w:space="0" w:color="auto"/>
            </w:tcBorders>
            <w:hideMark/>
          </w:tcPr>
          <w:p w14:paraId="3A1518D2" w14:textId="77777777" w:rsidR="00826536" w:rsidRPr="007A1075" w:rsidRDefault="00826536" w:rsidP="002C1250">
            <w:pPr>
              <w:pStyle w:val="TableText"/>
            </w:pPr>
          </w:p>
        </w:tc>
        <w:tc>
          <w:tcPr>
            <w:tcW w:w="0" w:type="dxa"/>
            <w:vMerge/>
            <w:hideMark/>
          </w:tcPr>
          <w:p w14:paraId="56661404" w14:textId="77777777" w:rsidR="002C1250" w:rsidRPr="007A1075" w:rsidRDefault="002C1250" w:rsidP="002C1250">
            <w:pPr>
              <w:pStyle w:val="TableText"/>
              <w:cnfStyle w:val="000000000000" w:firstRow="0" w:lastRow="0" w:firstColumn="0" w:lastColumn="0" w:oddVBand="0" w:evenVBand="0" w:oddHBand="0" w:evenHBand="0" w:firstRowFirstColumn="0" w:firstRowLastColumn="0" w:lastRowFirstColumn="0" w:lastRowLastColumn="0"/>
            </w:pPr>
          </w:p>
        </w:tc>
        <w:tc>
          <w:tcPr>
            <w:tcW w:w="0" w:type="dxa"/>
            <w:vMerge/>
            <w:hideMark/>
          </w:tcPr>
          <w:p w14:paraId="251AD497" w14:textId="77777777" w:rsidR="002C1250" w:rsidRPr="007A1075" w:rsidRDefault="002C1250" w:rsidP="002C1250">
            <w:pPr>
              <w:pStyle w:val="TableText"/>
              <w:cnfStyle w:val="000000000000" w:firstRow="0" w:lastRow="0" w:firstColumn="0" w:lastColumn="0" w:oddVBand="0" w:evenVBand="0" w:oddHBand="0" w:evenHBand="0" w:firstRowFirstColumn="0" w:firstRowLastColumn="0" w:lastRowFirstColumn="0" w:lastRowLastColumn="0"/>
            </w:pPr>
          </w:p>
        </w:tc>
        <w:tc>
          <w:tcPr>
            <w:tcW w:w="3881" w:type="dxa"/>
            <w:noWrap/>
            <w:hideMark/>
          </w:tcPr>
          <w:p w14:paraId="115A775B" w14:textId="37443624" w:rsidR="002C1250" w:rsidRPr="007A1075" w:rsidRDefault="002C1250" w:rsidP="002C1250">
            <w:pPr>
              <w:pStyle w:val="TableText"/>
              <w:cnfStyle w:val="000000000000" w:firstRow="0" w:lastRow="0" w:firstColumn="0" w:lastColumn="0" w:oddVBand="0" w:evenVBand="0" w:oddHBand="0" w:evenHBand="0" w:firstRowFirstColumn="0" w:firstRowLastColumn="0" w:lastRowFirstColumn="0" w:lastRowLastColumn="0"/>
            </w:pPr>
            <w:r w:rsidRPr="7FE88950">
              <w:rPr>
                <w:lang w:val="en-NZ"/>
              </w:rPr>
              <w:t>Empowerment, choice and control to make own decisions</w:t>
            </w:r>
          </w:p>
        </w:tc>
        <w:tc>
          <w:tcPr>
            <w:tcW w:w="993" w:type="dxa"/>
            <w:noWrap/>
            <w:hideMark/>
          </w:tcPr>
          <w:p w14:paraId="56A19102" w14:textId="2C6EC337" w:rsidR="002C1250" w:rsidRPr="007A1075" w:rsidRDefault="002C1250" w:rsidP="002C1250">
            <w:pPr>
              <w:pStyle w:val="TableText"/>
              <w:cnfStyle w:val="000000000000" w:firstRow="0" w:lastRow="0" w:firstColumn="0" w:lastColumn="0" w:oddVBand="0" w:evenVBand="0" w:oddHBand="0" w:evenHBand="0" w:firstRowFirstColumn="0" w:firstRowLastColumn="0" w:lastRowFirstColumn="0" w:lastRowLastColumn="0"/>
            </w:pPr>
            <w:r w:rsidRPr="009207A8">
              <w:t>1.07</w:t>
            </w:r>
          </w:p>
        </w:tc>
        <w:tc>
          <w:tcPr>
            <w:tcW w:w="1559" w:type="dxa"/>
            <w:noWrap/>
            <w:hideMark/>
          </w:tcPr>
          <w:p w14:paraId="0F44E75A" w14:textId="355F4BCE" w:rsidR="002C1250" w:rsidRPr="007A1075" w:rsidRDefault="002C1250" w:rsidP="002C1250">
            <w:pPr>
              <w:pStyle w:val="TableText"/>
              <w:cnfStyle w:val="000000000000" w:firstRow="0" w:lastRow="0" w:firstColumn="0" w:lastColumn="0" w:oddVBand="0" w:evenVBand="0" w:oddHBand="0" w:evenHBand="0" w:firstRowFirstColumn="0" w:firstRowLastColumn="0" w:lastRowFirstColumn="0" w:lastRowLastColumn="0"/>
            </w:pPr>
            <w:r w:rsidRPr="009207A8">
              <w:t>485761.5</w:t>
            </w:r>
          </w:p>
        </w:tc>
        <w:tc>
          <w:tcPr>
            <w:tcW w:w="1134" w:type="dxa"/>
            <w:noWrap/>
            <w:hideMark/>
          </w:tcPr>
          <w:p w14:paraId="616C1134" w14:textId="77E9BFE6" w:rsidR="002C1250" w:rsidRPr="007A1075" w:rsidRDefault="002C1250" w:rsidP="002C1250">
            <w:pPr>
              <w:pStyle w:val="TableText"/>
              <w:cnfStyle w:val="000000000000" w:firstRow="0" w:lastRow="0" w:firstColumn="0" w:lastColumn="0" w:oddVBand="0" w:evenVBand="0" w:oddHBand="0" w:evenHBand="0" w:firstRowFirstColumn="0" w:firstRowLastColumn="0" w:lastRowFirstColumn="0" w:lastRowLastColumn="0"/>
            </w:pPr>
            <w:r w:rsidRPr="009207A8">
              <w:t>3</w:t>
            </w:r>
            <w:r>
              <w:t>,</w:t>
            </w:r>
            <w:r w:rsidRPr="009207A8">
              <w:t>823</w:t>
            </w:r>
          </w:p>
        </w:tc>
        <w:tc>
          <w:tcPr>
            <w:tcW w:w="850" w:type="dxa"/>
            <w:noWrap/>
            <w:hideMark/>
          </w:tcPr>
          <w:p w14:paraId="09DCE9DC" w14:textId="6B7395B3" w:rsidR="002C1250" w:rsidRPr="007A1075" w:rsidRDefault="002C1250" w:rsidP="002C1250">
            <w:pPr>
              <w:pStyle w:val="TableText"/>
              <w:cnfStyle w:val="000000000000" w:firstRow="0" w:lastRow="0" w:firstColumn="0" w:lastColumn="0" w:oddVBand="0" w:evenVBand="0" w:oddHBand="0" w:evenHBand="0" w:firstRowFirstColumn="0" w:firstRowLastColumn="0" w:lastRowFirstColumn="0" w:lastRowLastColumn="0"/>
            </w:pPr>
            <w:r w:rsidRPr="009207A8">
              <w:t>&lt;.001</w:t>
            </w:r>
          </w:p>
        </w:tc>
        <w:tc>
          <w:tcPr>
            <w:tcW w:w="1701" w:type="dxa"/>
            <w:noWrap/>
            <w:hideMark/>
          </w:tcPr>
          <w:p w14:paraId="7B045AF6" w14:textId="245A7C4F" w:rsidR="002C1250" w:rsidRPr="007A1075" w:rsidRDefault="002C1250" w:rsidP="002C1250">
            <w:pPr>
              <w:pStyle w:val="TableText"/>
              <w:cnfStyle w:val="000000000000" w:firstRow="0" w:lastRow="0" w:firstColumn="0" w:lastColumn="0" w:oddVBand="0" w:evenVBand="0" w:oddHBand="0" w:evenHBand="0" w:firstRowFirstColumn="0" w:firstRowLastColumn="0" w:lastRowFirstColumn="0" w:lastRowLastColumn="0"/>
            </w:pPr>
            <w:r w:rsidRPr="009207A8">
              <w:t>62.6% (n=2</w:t>
            </w:r>
            <w:r>
              <w:t>,</w:t>
            </w:r>
            <w:r w:rsidRPr="009207A8">
              <w:t>392)</w:t>
            </w:r>
          </w:p>
        </w:tc>
      </w:tr>
      <w:tr w:rsidR="00680B14" w:rsidRPr="007A1075" w14:paraId="3765C048" w14:textId="77777777" w:rsidTr="0078378F">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0" w:type="dxa"/>
            <w:vMerge/>
            <w:tcBorders>
              <w:top w:val="none" w:sz="0" w:space="0" w:color="auto"/>
              <w:bottom w:val="none" w:sz="0" w:space="0" w:color="auto"/>
              <w:right w:val="none" w:sz="0" w:space="0" w:color="auto"/>
            </w:tcBorders>
            <w:hideMark/>
          </w:tcPr>
          <w:p w14:paraId="52754D9E" w14:textId="77777777" w:rsidR="00826536" w:rsidRPr="007A1075" w:rsidRDefault="00826536" w:rsidP="002C1250">
            <w:pPr>
              <w:pStyle w:val="TableText"/>
              <w:rPr>
                <w:b w:val="0"/>
                <w:bCs w:val="0"/>
              </w:rPr>
            </w:pPr>
          </w:p>
        </w:tc>
        <w:tc>
          <w:tcPr>
            <w:tcW w:w="0" w:type="dxa"/>
            <w:vMerge/>
            <w:tcBorders>
              <w:top w:val="none" w:sz="0" w:space="0" w:color="auto"/>
              <w:bottom w:val="none" w:sz="0" w:space="0" w:color="auto"/>
            </w:tcBorders>
            <w:hideMark/>
          </w:tcPr>
          <w:p w14:paraId="792F8A20" w14:textId="77777777" w:rsidR="002C1250" w:rsidRPr="007A1075" w:rsidRDefault="002C1250" w:rsidP="002C1250">
            <w:pPr>
              <w:pStyle w:val="TableText"/>
              <w:cnfStyle w:val="000000100000" w:firstRow="0" w:lastRow="0" w:firstColumn="0" w:lastColumn="0" w:oddVBand="0" w:evenVBand="0" w:oddHBand="1" w:evenHBand="0" w:firstRowFirstColumn="0" w:firstRowLastColumn="0" w:lastRowFirstColumn="0" w:lastRowLastColumn="0"/>
            </w:pPr>
          </w:p>
        </w:tc>
        <w:tc>
          <w:tcPr>
            <w:tcW w:w="0" w:type="dxa"/>
            <w:vMerge/>
            <w:tcBorders>
              <w:top w:val="none" w:sz="0" w:space="0" w:color="auto"/>
              <w:bottom w:val="none" w:sz="0" w:space="0" w:color="auto"/>
            </w:tcBorders>
            <w:hideMark/>
          </w:tcPr>
          <w:p w14:paraId="2FD2E4C3" w14:textId="77777777" w:rsidR="002C1250" w:rsidRPr="007A1075" w:rsidRDefault="002C1250" w:rsidP="002C1250">
            <w:pPr>
              <w:pStyle w:val="TableText"/>
              <w:cnfStyle w:val="000000100000" w:firstRow="0" w:lastRow="0" w:firstColumn="0" w:lastColumn="0" w:oddVBand="0" w:evenVBand="0" w:oddHBand="1" w:evenHBand="0" w:firstRowFirstColumn="0" w:firstRowLastColumn="0" w:lastRowFirstColumn="0" w:lastRowLastColumn="0"/>
            </w:pPr>
          </w:p>
        </w:tc>
        <w:tc>
          <w:tcPr>
            <w:tcW w:w="3881" w:type="dxa"/>
            <w:tcBorders>
              <w:top w:val="none" w:sz="0" w:space="0" w:color="auto"/>
              <w:bottom w:val="none" w:sz="0" w:space="0" w:color="auto"/>
            </w:tcBorders>
            <w:noWrap/>
            <w:hideMark/>
          </w:tcPr>
          <w:p w14:paraId="489EDF7C" w14:textId="6E4FA23C" w:rsidR="002C1250" w:rsidRPr="007A1075" w:rsidRDefault="002C1250" w:rsidP="002C1250">
            <w:pPr>
              <w:pStyle w:val="TableText"/>
              <w:cnfStyle w:val="000000100000" w:firstRow="0" w:lastRow="0" w:firstColumn="0" w:lastColumn="0" w:oddVBand="0" w:evenVBand="0" w:oddHBand="1" w:evenHBand="0" w:firstRowFirstColumn="0" w:firstRowLastColumn="0" w:lastRowFirstColumn="0" w:lastRowLastColumn="0"/>
            </w:pPr>
            <w:r w:rsidRPr="009207A8">
              <w:t>Engagement with relevant support services</w:t>
            </w:r>
          </w:p>
        </w:tc>
        <w:tc>
          <w:tcPr>
            <w:tcW w:w="993" w:type="dxa"/>
            <w:tcBorders>
              <w:top w:val="none" w:sz="0" w:space="0" w:color="auto"/>
              <w:bottom w:val="none" w:sz="0" w:space="0" w:color="auto"/>
            </w:tcBorders>
            <w:noWrap/>
            <w:hideMark/>
          </w:tcPr>
          <w:p w14:paraId="11F07F4D" w14:textId="7B0967E1" w:rsidR="002C1250" w:rsidRPr="007A1075" w:rsidRDefault="002C1250" w:rsidP="002C1250">
            <w:pPr>
              <w:pStyle w:val="TableText"/>
              <w:cnfStyle w:val="000000100000" w:firstRow="0" w:lastRow="0" w:firstColumn="0" w:lastColumn="0" w:oddVBand="0" w:evenVBand="0" w:oddHBand="1" w:evenHBand="0" w:firstRowFirstColumn="0" w:firstRowLastColumn="0" w:lastRowFirstColumn="0" w:lastRowLastColumn="0"/>
            </w:pPr>
            <w:r w:rsidRPr="009207A8">
              <w:t>1</w:t>
            </w:r>
          </w:p>
        </w:tc>
        <w:tc>
          <w:tcPr>
            <w:tcW w:w="1559" w:type="dxa"/>
            <w:tcBorders>
              <w:top w:val="none" w:sz="0" w:space="0" w:color="auto"/>
              <w:bottom w:val="none" w:sz="0" w:space="0" w:color="auto"/>
            </w:tcBorders>
            <w:noWrap/>
            <w:hideMark/>
          </w:tcPr>
          <w:p w14:paraId="52506BFD" w14:textId="4D420836" w:rsidR="002C1250" w:rsidRPr="007A1075" w:rsidRDefault="002C1250" w:rsidP="002C1250">
            <w:pPr>
              <w:pStyle w:val="TableText"/>
              <w:cnfStyle w:val="000000100000" w:firstRow="0" w:lastRow="0" w:firstColumn="0" w:lastColumn="0" w:oddVBand="0" w:evenVBand="0" w:oddHBand="1" w:evenHBand="0" w:firstRowFirstColumn="0" w:firstRowLastColumn="0" w:lastRowFirstColumn="0" w:lastRowLastColumn="0"/>
            </w:pPr>
            <w:r w:rsidRPr="009207A8">
              <w:t>257457</w:t>
            </w:r>
          </w:p>
        </w:tc>
        <w:tc>
          <w:tcPr>
            <w:tcW w:w="1134" w:type="dxa"/>
            <w:tcBorders>
              <w:top w:val="none" w:sz="0" w:space="0" w:color="auto"/>
              <w:bottom w:val="none" w:sz="0" w:space="0" w:color="auto"/>
            </w:tcBorders>
            <w:noWrap/>
            <w:hideMark/>
          </w:tcPr>
          <w:p w14:paraId="724B9988" w14:textId="2EE0496D" w:rsidR="002C1250" w:rsidRPr="007A1075" w:rsidRDefault="002C1250" w:rsidP="002C1250">
            <w:pPr>
              <w:pStyle w:val="TableText"/>
              <w:cnfStyle w:val="000000100000" w:firstRow="0" w:lastRow="0" w:firstColumn="0" w:lastColumn="0" w:oddVBand="0" w:evenVBand="0" w:oddHBand="1" w:evenHBand="0" w:firstRowFirstColumn="0" w:firstRowLastColumn="0" w:lastRowFirstColumn="0" w:lastRowLastColumn="0"/>
            </w:pPr>
            <w:r w:rsidRPr="009207A8">
              <w:t>2</w:t>
            </w:r>
            <w:r>
              <w:t>,</w:t>
            </w:r>
            <w:r w:rsidRPr="009207A8">
              <w:t>689</w:t>
            </w:r>
          </w:p>
        </w:tc>
        <w:tc>
          <w:tcPr>
            <w:tcW w:w="850" w:type="dxa"/>
            <w:tcBorders>
              <w:top w:val="none" w:sz="0" w:space="0" w:color="auto"/>
              <w:bottom w:val="none" w:sz="0" w:space="0" w:color="auto"/>
            </w:tcBorders>
            <w:noWrap/>
            <w:hideMark/>
          </w:tcPr>
          <w:p w14:paraId="594DE154" w14:textId="193269EB" w:rsidR="002C1250" w:rsidRPr="007A1075" w:rsidRDefault="002C1250" w:rsidP="002C1250">
            <w:pPr>
              <w:pStyle w:val="TableText"/>
              <w:cnfStyle w:val="000000100000" w:firstRow="0" w:lastRow="0" w:firstColumn="0" w:lastColumn="0" w:oddVBand="0" w:evenVBand="0" w:oddHBand="1" w:evenHBand="0" w:firstRowFirstColumn="0" w:firstRowLastColumn="0" w:lastRowFirstColumn="0" w:lastRowLastColumn="0"/>
            </w:pPr>
            <w:r w:rsidRPr="009207A8">
              <w:t>&lt;.001</w:t>
            </w:r>
          </w:p>
        </w:tc>
        <w:tc>
          <w:tcPr>
            <w:tcW w:w="1701" w:type="dxa"/>
            <w:tcBorders>
              <w:top w:val="none" w:sz="0" w:space="0" w:color="auto"/>
              <w:bottom w:val="none" w:sz="0" w:space="0" w:color="auto"/>
            </w:tcBorders>
            <w:noWrap/>
            <w:hideMark/>
          </w:tcPr>
          <w:p w14:paraId="1BCA3526" w14:textId="53D4F8C9" w:rsidR="002C1250" w:rsidRPr="007A1075" w:rsidRDefault="002C1250" w:rsidP="002C1250">
            <w:pPr>
              <w:pStyle w:val="TableText"/>
              <w:cnfStyle w:val="000000100000" w:firstRow="0" w:lastRow="0" w:firstColumn="0" w:lastColumn="0" w:oddVBand="0" w:evenVBand="0" w:oddHBand="1" w:evenHBand="0" w:firstRowFirstColumn="0" w:firstRowLastColumn="0" w:lastRowFirstColumn="0" w:lastRowLastColumn="0"/>
            </w:pPr>
            <w:r w:rsidRPr="009207A8">
              <w:t>59.5% (n=1</w:t>
            </w:r>
            <w:r>
              <w:t>,</w:t>
            </w:r>
            <w:r w:rsidRPr="009207A8">
              <w:t>599)</w:t>
            </w:r>
          </w:p>
        </w:tc>
      </w:tr>
      <w:tr w:rsidR="00680B14" w:rsidRPr="007A1075" w14:paraId="6082ACD9" w14:textId="77777777" w:rsidTr="0078378F">
        <w:trPr>
          <w:trHeight w:val="290"/>
        </w:trPr>
        <w:tc>
          <w:tcPr>
            <w:cnfStyle w:val="001000000000" w:firstRow="0" w:lastRow="0" w:firstColumn="1" w:lastColumn="0" w:oddVBand="0" w:evenVBand="0" w:oddHBand="0" w:evenHBand="0" w:firstRowFirstColumn="0" w:firstRowLastColumn="0" w:lastRowFirstColumn="0" w:lastRowLastColumn="0"/>
            <w:tcW w:w="0" w:type="dxa"/>
            <w:vMerge/>
            <w:tcBorders>
              <w:right w:val="none" w:sz="0" w:space="0" w:color="auto"/>
            </w:tcBorders>
            <w:hideMark/>
          </w:tcPr>
          <w:p w14:paraId="558E5CF3" w14:textId="77777777" w:rsidR="00826536" w:rsidRPr="007A1075" w:rsidRDefault="00826536" w:rsidP="002C1250">
            <w:pPr>
              <w:pStyle w:val="TableText"/>
            </w:pPr>
          </w:p>
        </w:tc>
        <w:tc>
          <w:tcPr>
            <w:tcW w:w="0" w:type="dxa"/>
            <w:vMerge w:val="restart"/>
            <w:hideMark/>
          </w:tcPr>
          <w:p w14:paraId="219BCABD" w14:textId="77777777" w:rsidR="002C1250" w:rsidRPr="007A1075" w:rsidRDefault="002C1250" w:rsidP="002C1250">
            <w:pPr>
              <w:pStyle w:val="TableText"/>
              <w:cnfStyle w:val="000000000000" w:firstRow="0" w:lastRow="0" w:firstColumn="0" w:lastColumn="0" w:oddVBand="0" w:evenVBand="0" w:oddHBand="0" w:evenHBand="0" w:firstRowFirstColumn="0" w:firstRowLastColumn="0" w:lastRowFirstColumn="0" w:lastRowLastColumn="0"/>
            </w:pPr>
            <w:r w:rsidRPr="009207A8">
              <w:t>Under 18 years</w:t>
            </w:r>
          </w:p>
          <w:p w14:paraId="3ADA715E" w14:textId="21F3D0BE" w:rsidR="002C1250" w:rsidRPr="007A1075" w:rsidRDefault="002C1250" w:rsidP="002C1250">
            <w:pPr>
              <w:pStyle w:val="TableText"/>
              <w:cnfStyle w:val="000000000000" w:firstRow="0" w:lastRow="0" w:firstColumn="0" w:lastColumn="0" w:oddVBand="0" w:evenVBand="0" w:oddHBand="0" w:evenHBand="0" w:firstRowFirstColumn="0" w:firstRowLastColumn="0" w:lastRowFirstColumn="0" w:lastRowLastColumn="0"/>
            </w:pPr>
          </w:p>
        </w:tc>
        <w:tc>
          <w:tcPr>
            <w:tcW w:w="0" w:type="dxa"/>
            <w:vMerge w:val="restart"/>
            <w:hideMark/>
          </w:tcPr>
          <w:p w14:paraId="2F08A49A" w14:textId="77777777" w:rsidR="002C1250" w:rsidRPr="007A1075" w:rsidRDefault="002C1250" w:rsidP="002C1250">
            <w:pPr>
              <w:pStyle w:val="TableText"/>
              <w:cnfStyle w:val="000000000000" w:firstRow="0" w:lastRow="0" w:firstColumn="0" w:lastColumn="0" w:oddVBand="0" w:evenVBand="0" w:oddHBand="0" w:evenHBand="0" w:firstRowFirstColumn="0" w:firstRowLastColumn="0" w:lastRowFirstColumn="0" w:lastRowLastColumn="0"/>
            </w:pPr>
            <w:r w:rsidRPr="009207A8">
              <w:t>Circumstances</w:t>
            </w:r>
          </w:p>
          <w:p w14:paraId="693BF485" w14:textId="70BD7399" w:rsidR="002C1250" w:rsidRPr="007A1075" w:rsidRDefault="002C1250" w:rsidP="002C1250">
            <w:pPr>
              <w:pStyle w:val="TableText"/>
              <w:cnfStyle w:val="000000000000" w:firstRow="0" w:lastRow="0" w:firstColumn="0" w:lastColumn="0" w:oddVBand="0" w:evenVBand="0" w:oddHBand="0" w:evenHBand="0" w:firstRowFirstColumn="0" w:firstRowLastColumn="0" w:lastRowFirstColumn="0" w:lastRowLastColumn="0"/>
            </w:pPr>
          </w:p>
        </w:tc>
        <w:tc>
          <w:tcPr>
            <w:tcW w:w="3881" w:type="dxa"/>
            <w:noWrap/>
            <w:hideMark/>
          </w:tcPr>
          <w:p w14:paraId="3C207632" w14:textId="071C9F09" w:rsidR="002C1250" w:rsidRPr="007A1075" w:rsidRDefault="002C1250" w:rsidP="002C1250">
            <w:pPr>
              <w:pStyle w:val="TableText"/>
              <w:cnfStyle w:val="000000000000" w:firstRow="0" w:lastRow="0" w:firstColumn="0" w:lastColumn="0" w:oddVBand="0" w:evenVBand="0" w:oddHBand="0" w:evenHBand="0" w:firstRowFirstColumn="0" w:firstRowLastColumn="0" w:lastRowFirstColumn="0" w:lastRowLastColumn="0"/>
            </w:pPr>
            <w:r w:rsidRPr="009207A8">
              <w:t>Family functioning</w:t>
            </w:r>
          </w:p>
        </w:tc>
        <w:tc>
          <w:tcPr>
            <w:tcW w:w="993" w:type="dxa"/>
            <w:noWrap/>
            <w:hideMark/>
          </w:tcPr>
          <w:p w14:paraId="44633AE0" w14:textId="5AA5DE0D" w:rsidR="002C1250" w:rsidRPr="007A1075" w:rsidRDefault="002C1250" w:rsidP="002C1250">
            <w:pPr>
              <w:pStyle w:val="TableText"/>
              <w:cnfStyle w:val="000000000000" w:firstRow="0" w:lastRow="0" w:firstColumn="0" w:lastColumn="0" w:oddVBand="0" w:evenVBand="0" w:oddHBand="0" w:evenHBand="0" w:firstRowFirstColumn="0" w:firstRowLastColumn="0" w:lastRowFirstColumn="0" w:lastRowLastColumn="0"/>
            </w:pPr>
            <w:r w:rsidRPr="009207A8">
              <w:t>0.63</w:t>
            </w:r>
          </w:p>
        </w:tc>
        <w:tc>
          <w:tcPr>
            <w:tcW w:w="1559" w:type="dxa"/>
            <w:noWrap/>
            <w:hideMark/>
          </w:tcPr>
          <w:p w14:paraId="2DD66DA1" w14:textId="68446971" w:rsidR="002C1250" w:rsidRPr="007A1075" w:rsidRDefault="002C1250" w:rsidP="002C1250">
            <w:pPr>
              <w:pStyle w:val="TableText"/>
              <w:cnfStyle w:val="000000000000" w:firstRow="0" w:lastRow="0" w:firstColumn="0" w:lastColumn="0" w:oddVBand="0" w:evenVBand="0" w:oddHBand="0" w:evenHBand="0" w:firstRowFirstColumn="0" w:firstRowLastColumn="0" w:lastRowFirstColumn="0" w:lastRowLastColumn="0"/>
            </w:pPr>
            <w:r w:rsidRPr="009207A8">
              <w:t>35689</w:t>
            </w:r>
          </w:p>
        </w:tc>
        <w:tc>
          <w:tcPr>
            <w:tcW w:w="1134" w:type="dxa"/>
            <w:noWrap/>
            <w:hideMark/>
          </w:tcPr>
          <w:p w14:paraId="1638938E" w14:textId="1C8954D7" w:rsidR="002C1250" w:rsidRPr="007A1075" w:rsidRDefault="002C1250" w:rsidP="002C1250">
            <w:pPr>
              <w:pStyle w:val="TableText"/>
              <w:cnfStyle w:val="000000000000" w:firstRow="0" w:lastRow="0" w:firstColumn="0" w:lastColumn="0" w:oddVBand="0" w:evenVBand="0" w:oddHBand="0" w:evenHBand="0" w:firstRowFirstColumn="0" w:firstRowLastColumn="0" w:lastRowFirstColumn="0" w:lastRowLastColumn="0"/>
            </w:pPr>
            <w:r w:rsidRPr="009207A8">
              <w:t>704</w:t>
            </w:r>
          </w:p>
        </w:tc>
        <w:tc>
          <w:tcPr>
            <w:tcW w:w="850" w:type="dxa"/>
            <w:noWrap/>
            <w:hideMark/>
          </w:tcPr>
          <w:p w14:paraId="13816ECD" w14:textId="1DC5A670" w:rsidR="002C1250" w:rsidRPr="007A1075" w:rsidRDefault="002C1250" w:rsidP="002C1250">
            <w:pPr>
              <w:pStyle w:val="TableText"/>
              <w:cnfStyle w:val="000000000000" w:firstRow="0" w:lastRow="0" w:firstColumn="0" w:lastColumn="0" w:oddVBand="0" w:evenVBand="0" w:oddHBand="0" w:evenHBand="0" w:firstRowFirstColumn="0" w:firstRowLastColumn="0" w:lastRowFirstColumn="0" w:lastRowLastColumn="0"/>
            </w:pPr>
            <w:r w:rsidRPr="009207A8">
              <w:t>&lt;.001</w:t>
            </w:r>
          </w:p>
        </w:tc>
        <w:tc>
          <w:tcPr>
            <w:tcW w:w="1701" w:type="dxa"/>
            <w:noWrap/>
            <w:hideMark/>
          </w:tcPr>
          <w:p w14:paraId="67847B7F" w14:textId="7F274E4D" w:rsidR="002C1250" w:rsidRPr="007A1075" w:rsidRDefault="002C1250" w:rsidP="002C1250">
            <w:pPr>
              <w:pStyle w:val="TableText"/>
              <w:cnfStyle w:val="000000000000" w:firstRow="0" w:lastRow="0" w:firstColumn="0" w:lastColumn="0" w:oddVBand="0" w:evenVBand="0" w:oddHBand="0" w:evenHBand="0" w:firstRowFirstColumn="0" w:firstRowLastColumn="0" w:lastRowFirstColumn="0" w:lastRowLastColumn="0"/>
            </w:pPr>
            <w:r w:rsidRPr="009207A8">
              <w:t>48.2% (n=339)</w:t>
            </w:r>
          </w:p>
        </w:tc>
      </w:tr>
      <w:tr w:rsidR="00680B14" w:rsidRPr="007A1075" w14:paraId="22DB65AA" w14:textId="77777777" w:rsidTr="0078378F">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0" w:type="dxa"/>
            <w:vMerge/>
            <w:tcBorders>
              <w:top w:val="none" w:sz="0" w:space="0" w:color="auto"/>
              <w:bottom w:val="none" w:sz="0" w:space="0" w:color="auto"/>
              <w:right w:val="none" w:sz="0" w:space="0" w:color="auto"/>
            </w:tcBorders>
            <w:hideMark/>
          </w:tcPr>
          <w:p w14:paraId="102DE863" w14:textId="77777777" w:rsidR="00826536" w:rsidRPr="007A1075" w:rsidRDefault="00826536" w:rsidP="002C1250">
            <w:pPr>
              <w:pStyle w:val="TableText"/>
              <w:rPr>
                <w:b w:val="0"/>
                <w:bCs w:val="0"/>
              </w:rPr>
            </w:pPr>
          </w:p>
        </w:tc>
        <w:tc>
          <w:tcPr>
            <w:tcW w:w="0" w:type="dxa"/>
            <w:vMerge/>
            <w:tcBorders>
              <w:top w:val="none" w:sz="0" w:space="0" w:color="auto"/>
              <w:bottom w:val="none" w:sz="0" w:space="0" w:color="auto"/>
            </w:tcBorders>
            <w:hideMark/>
          </w:tcPr>
          <w:p w14:paraId="4C38D27D" w14:textId="77777777" w:rsidR="002C1250" w:rsidRPr="007A1075" w:rsidRDefault="002C1250" w:rsidP="002C1250">
            <w:pPr>
              <w:pStyle w:val="TableText"/>
              <w:cnfStyle w:val="000000100000" w:firstRow="0" w:lastRow="0" w:firstColumn="0" w:lastColumn="0" w:oddVBand="0" w:evenVBand="0" w:oddHBand="1" w:evenHBand="0" w:firstRowFirstColumn="0" w:firstRowLastColumn="0" w:lastRowFirstColumn="0" w:lastRowLastColumn="0"/>
            </w:pPr>
          </w:p>
        </w:tc>
        <w:tc>
          <w:tcPr>
            <w:tcW w:w="0" w:type="dxa"/>
            <w:vMerge/>
            <w:tcBorders>
              <w:top w:val="none" w:sz="0" w:space="0" w:color="auto"/>
              <w:bottom w:val="none" w:sz="0" w:space="0" w:color="auto"/>
            </w:tcBorders>
            <w:hideMark/>
          </w:tcPr>
          <w:p w14:paraId="3AEFEBEA" w14:textId="77777777" w:rsidR="002C1250" w:rsidRPr="007A1075" w:rsidRDefault="002C1250" w:rsidP="002C1250">
            <w:pPr>
              <w:pStyle w:val="TableText"/>
              <w:cnfStyle w:val="000000100000" w:firstRow="0" w:lastRow="0" w:firstColumn="0" w:lastColumn="0" w:oddVBand="0" w:evenVBand="0" w:oddHBand="1" w:evenHBand="0" w:firstRowFirstColumn="0" w:firstRowLastColumn="0" w:lastRowFirstColumn="0" w:lastRowLastColumn="0"/>
            </w:pPr>
          </w:p>
        </w:tc>
        <w:tc>
          <w:tcPr>
            <w:tcW w:w="3881" w:type="dxa"/>
            <w:tcBorders>
              <w:top w:val="none" w:sz="0" w:space="0" w:color="auto"/>
              <w:bottom w:val="none" w:sz="0" w:space="0" w:color="auto"/>
            </w:tcBorders>
            <w:noWrap/>
            <w:hideMark/>
          </w:tcPr>
          <w:p w14:paraId="213A3611" w14:textId="74B36B2D" w:rsidR="002C1250" w:rsidRPr="007A1075" w:rsidRDefault="002C1250" w:rsidP="002C1250">
            <w:pPr>
              <w:pStyle w:val="TableText"/>
              <w:cnfStyle w:val="000000100000" w:firstRow="0" w:lastRow="0" w:firstColumn="0" w:lastColumn="0" w:oddVBand="0" w:evenVBand="0" w:oddHBand="1" w:evenHBand="0" w:firstRowFirstColumn="0" w:firstRowLastColumn="0" w:lastRowFirstColumn="0" w:lastRowLastColumn="0"/>
            </w:pPr>
            <w:r w:rsidRPr="7FE88950">
              <w:rPr>
                <w:lang w:val="en-NZ"/>
              </w:rPr>
              <w:t>Mental health, wellbeing and self-care</w:t>
            </w:r>
          </w:p>
        </w:tc>
        <w:tc>
          <w:tcPr>
            <w:tcW w:w="993" w:type="dxa"/>
            <w:tcBorders>
              <w:top w:val="none" w:sz="0" w:space="0" w:color="auto"/>
              <w:bottom w:val="none" w:sz="0" w:space="0" w:color="auto"/>
            </w:tcBorders>
            <w:noWrap/>
            <w:hideMark/>
          </w:tcPr>
          <w:p w14:paraId="5138FDA5" w14:textId="48691E1C" w:rsidR="002C1250" w:rsidRPr="007A1075" w:rsidRDefault="002C1250" w:rsidP="002C1250">
            <w:pPr>
              <w:pStyle w:val="TableText"/>
              <w:cnfStyle w:val="000000100000" w:firstRow="0" w:lastRow="0" w:firstColumn="0" w:lastColumn="0" w:oddVBand="0" w:evenVBand="0" w:oddHBand="1" w:evenHBand="0" w:firstRowFirstColumn="0" w:firstRowLastColumn="0" w:lastRowFirstColumn="0" w:lastRowLastColumn="0"/>
            </w:pPr>
            <w:r w:rsidRPr="009207A8">
              <w:t>0.81</w:t>
            </w:r>
          </w:p>
        </w:tc>
        <w:tc>
          <w:tcPr>
            <w:tcW w:w="1559" w:type="dxa"/>
            <w:tcBorders>
              <w:top w:val="none" w:sz="0" w:space="0" w:color="auto"/>
              <w:bottom w:val="none" w:sz="0" w:space="0" w:color="auto"/>
            </w:tcBorders>
            <w:noWrap/>
            <w:hideMark/>
          </w:tcPr>
          <w:p w14:paraId="12678A1F" w14:textId="52C02BB7" w:rsidR="002C1250" w:rsidRPr="007A1075" w:rsidRDefault="002C1250" w:rsidP="002C1250">
            <w:pPr>
              <w:pStyle w:val="TableText"/>
              <w:cnfStyle w:val="000000100000" w:firstRow="0" w:lastRow="0" w:firstColumn="0" w:lastColumn="0" w:oddVBand="0" w:evenVBand="0" w:oddHBand="1" w:evenHBand="0" w:firstRowFirstColumn="0" w:firstRowLastColumn="0" w:lastRowFirstColumn="0" w:lastRowLastColumn="0"/>
            </w:pPr>
            <w:r w:rsidRPr="009207A8">
              <w:t>30193</w:t>
            </w:r>
          </w:p>
        </w:tc>
        <w:tc>
          <w:tcPr>
            <w:tcW w:w="1134" w:type="dxa"/>
            <w:tcBorders>
              <w:top w:val="none" w:sz="0" w:space="0" w:color="auto"/>
              <w:bottom w:val="none" w:sz="0" w:space="0" w:color="auto"/>
            </w:tcBorders>
            <w:noWrap/>
            <w:hideMark/>
          </w:tcPr>
          <w:p w14:paraId="292A7F4F" w14:textId="600A349B" w:rsidR="002C1250" w:rsidRPr="007A1075" w:rsidRDefault="002C1250" w:rsidP="002C1250">
            <w:pPr>
              <w:pStyle w:val="TableText"/>
              <w:cnfStyle w:val="000000100000" w:firstRow="0" w:lastRow="0" w:firstColumn="0" w:lastColumn="0" w:oddVBand="0" w:evenVBand="0" w:oddHBand="1" w:evenHBand="0" w:firstRowFirstColumn="0" w:firstRowLastColumn="0" w:lastRowFirstColumn="0" w:lastRowLastColumn="0"/>
            </w:pPr>
            <w:r w:rsidRPr="009207A8">
              <w:t>696</w:t>
            </w:r>
          </w:p>
        </w:tc>
        <w:tc>
          <w:tcPr>
            <w:tcW w:w="850" w:type="dxa"/>
            <w:tcBorders>
              <w:top w:val="none" w:sz="0" w:space="0" w:color="auto"/>
              <w:bottom w:val="none" w:sz="0" w:space="0" w:color="auto"/>
            </w:tcBorders>
            <w:noWrap/>
            <w:hideMark/>
          </w:tcPr>
          <w:p w14:paraId="5E62CE71" w14:textId="12E5096E" w:rsidR="002C1250" w:rsidRPr="007A1075" w:rsidRDefault="002C1250" w:rsidP="002C1250">
            <w:pPr>
              <w:pStyle w:val="TableText"/>
              <w:cnfStyle w:val="000000100000" w:firstRow="0" w:lastRow="0" w:firstColumn="0" w:lastColumn="0" w:oddVBand="0" w:evenVBand="0" w:oddHBand="1" w:evenHBand="0" w:firstRowFirstColumn="0" w:firstRowLastColumn="0" w:lastRowFirstColumn="0" w:lastRowLastColumn="0"/>
            </w:pPr>
            <w:r w:rsidRPr="009207A8">
              <w:t>&lt;.001</w:t>
            </w:r>
          </w:p>
        </w:tc>
        <w:tc>
          <w:tcPr>
            <w:tcW w:w="1701" w:type="dxa"/>
            <w:tcBorders>
              <w:top w:val="none" w:sz="0" w:space="0" w:color="auto"/>
              <w:bottom w:val="none" w:sz="0" w:space="0" w:color="auto"/>
            </w:tcBorders>
            <w:noWrap/>
            <w:hideMark/>
          </w:tcPr>
          <w:p w14:paraId="0F96AF9A" w14:textId="708F19D0" w:rsidR="002C1250" w:rsidRPr="007A1075" w:rsidRDefault="002C1250" w:rsidP="002C1250">
            <w:pPr>
              <w:pStyle w:val="TableText"/>
              <w:cnfStyle w:val="000000100000" w:firstRow="0" w:lastRow="0" w:firstColumn="0" w:lastColumn="0" w:oddVBand="0" w:evenVBand="0" w:oddHBand="1" w:evenHBand="0" w:firstRowFirstColumn="0" w:firstRowLastColumn="0" w:lastRowFirstColumn="0" w:lastRowLastColumn="0"/>
            </w:pPr>
            <w:r w:rsidRPr="009207A8">
              <w:t>56.2% (n=391)</w:t>
            </w:r>
          </w:p>
        </w:tc>
      </w:tr>
      <w:tr w:rsidR="00680B14" w:rsidRPr="007A1075" w14:paraId="1832DFD7" w14:textId="77777777" w:rsidTr="0078378F">
        <w:trPr>
          <w:trHeight w:val="290"/>
        </w:trPr>
        <w:tc>
          <w:tcPr>
            <w:cnfStyle w:val="001000000000" w:firstRow="0" w:lastRow="0" w:firstColumn="1" w:lastColumn="0" w:oddVBand="0" w:evenVBand="0" w:oddHBand="0" w:evenHBand="0" w:firstRowFirstColumn="0" w:firstRowLastColumn="0" w:lastRowFirstColumn="0" w:lastRowLastColumn="0"/>
            <w:tcW w:w="0" w:type="dxa"/>
            <w:vMerge/>
            <w:tcBorders>
              <w:right w:val="none" w:sz="0" w:space="0" w:color="auto"/>
            </w:tcBorders>
            <w:hideMark/>
          </w:tcPr>
          <w:p w14:paraId="55D7DF82" w14:textId="77777777" w:rsidR="00826536" w:rsidRPr="007A1075" w:rsidRDefault="00826536" w:rsidP="002C1250">
            <w:pPr>
              <w:pStyle w:val="TableText"/>
            </w:pPr>
          </w:p>
        </w:tc>
        <w:tc>
          <w:tcPr>
            <w:tcW w:w="0" w:type="dxa"/>
            <w:vMerge/>
            <w:hideMark/>
          </w:tcPr>
          <w:p w14:paraId="55A65345" w14:textId="77777777" w:rsidR="002C1250" w:rsidRPr="007A1075" w:rsidRDefault="002C1250" w:rsidP="002C1250">
            <w:pPr>
              <w:pStyle w:val="TableText"/>
              <w:cnfStyle w:val="000000000000" w:firstRow="0" w:lastRow="0" w:firstColumn="0" w:lastColumn="0" w:oddVBand="0" w:evenVBand="0" w:oddHBand="0" w:evenHBand="0" w:firstRowFirstColumn="0" w:firstRowLastColumn="0" w:lastRowFirstColumn="0" w:lastRowLastColumn="0"/>
            </w:pPr>
          </w:p>
        </w:tc>
        <w:tc>
          <w:tcPr>
            <w:tcW w:w="0" w:type="dxa"/>
            <w:vMerge/>
            <w:hideMark/>
          </w:tcPr>
          <w:p w14:paraId="68D55E1F" w14:textId="77777777" w:rsidR="002C1250" w:rsidRPr="007A1075" w:rsidRDefault="002C1250" w:rsidP="002C1250">
            <w:pPr>
              <w:pStyle w:val="TableText"/>
              <w:cnfStyle w:val="000000000000" w:firstRow="0" w:lastRow="0" w:firstColumn="0" w:lastColumn="0" w:oddVBand="0" w:evenVBand="0" w:oddHBand="0" w:evenHBand="0" w:firstRowFirstColumn="0" w:firstRowLastColumn="0" w:lastRowFirstColumn="0" w:lastRowLastColumn="0"/>
            </w:pPr>
          </w:p>
        </w:tc>
        <w:tc>
          <w:tcPr>
            <w:tcW w:w="3881" w:type="dxa"/>
            <w:noWrap/>
            <w:hideMark/>
          </w:tcPr>
          <w:p w14:paraId="5C88C638" w14:textId="34AF793A" w:rsidR="002C1250" w:rsidRPr="007A1075" w:rsidRDefault="002C1250" w:rsidP="002C1250">
            <w:pPr>
              <w:pStyle w:val="TableText"/>
              <w:cnfStyle w:val="000000000000" w:firstRow="0" w:lastRow="0" w:firstColumn="0" w:lastColumn="0" w:oddVBand="0" w:evenVBand="0" w:oddHBand="0" w:evenHBand="0" w:firstRowFirstColumn="0" w:firstRowLastColumn="0" w:lastRowFirstColumn="0" w:lastRowLastColumn="0"/>
            </w:pPr>
            <w:r w:rsidRPr="009207A8">
              <w:t>Personal and family safety</w:t>
            </w:r>
          </w:p>
        </w:tc>
        <w:tc>
          <w:tcPr>
            <w:tcW w:w="993" w:type="dxa"/>
            <w:noWrap/>
            <w:hideMark/>
          </w:tcPr>
          <w:p w14:paraId="06292EF5" w14:textId="55DBFC57" w:rsidR="002C1250" w:rsidRPr="007A1075" w:rsidRDefault="002C1250" w:rsidP="002C1250">
            <w:pPr>
              <w:pStyle w:val="TableText"/>
              <w:cnfStyle w:val="000000000000" w:firstRow="0" w:lastRow="0" w:firstColumn="0" w:lastColumn="0" w:oddVBand="0" w:evenVBand="0" w:oddHBand="0" w:evenHBand="0" w:firstRowFirstColumn="0" w:firstRowLastColumn="0" w:lastRowFirstColumn="0" w:lastRowLastColumn="0"/>
            </w:pPr>
            <w:r w:rsidRPr="009207A8">
              <w:t>0.77</w:t>
            </w:r>
          </w:p>
        </w:tc>
        <w:tc>
          <w:tcPr>
            <w:tcW w:w="1559" w:type="dxa"/>
            <w:noWrap/>
            <w:hideMark/>
          </w:tcPr>
          <w:p w14:paraId="74FB33F5" w14:textId="24F5F7D1" w:rsidR="002C1250" w:rsidRPr="007A1075" w:rsidRDefault="002C1250" w:rsidP="002C1250">
            <w:pPr>
              <w:pStyle w:val="TableText"/>
              <w:cnfStyle w:val="000000000000" w:firstRow="0" w:lastRow="0" w:firstColumn="0" w:lastColumn="0" w:oddVBand="0" w:evenVBand="0" w:oddHBand="0" w:evenHBand="0" w:firstRowFirstColumn="0" w:firstRowLastColumn="0" w:lastRowFirstColumn="0" w:lastRowLastColumn="0"/>
            </w:pPr>
            <w:r w:rsidRPr="009207A8">
              <w:t>25547</w:t>
            </w:r>
          </w:p>
        </w:tc>
        <w:tc>
          <w:tcPr>
            <w:tcW w:w="1134" w:type="dxa"/>
            <w:noWrap/>
            <w:hideMark/>
          </w:tcPr>
          <w:p w14:paraId="64053EBB" w14:textId="013A6C08" w:rsidR="002C1250" w:rsidRPr="007A1075" w:rsidRDefault="002C1250" w:rsidP="002C1250">
            <w:pPr>
              <w:pStyle w:val="TableText"/>
              <w:cnfStyle w:val="000000000000" w:firstRow="0" w:lastRow="0" w:firstColumn="0" w:lastColumn="0" w:oddVBand="0" w:evenVBand="0" w:oddHBand="0" w:evenHBand="0" w:firstRowFirstColumn="0" w:firstRowLastColumn="0" w:lastRowFirstColumn="0" w:lastRowLastColumn="0"/>
            </w:pPr>
            <w:r w:rsidRPr="009207A8">
              <w:t>674</w:t>
            </w:r>
          </w:p>
        </w:tc>
        <w:tc>
          <w:tcPr>
            <w:tcW w:w="850" w:type="dxa"/>
            <w:noWrap/>
            <w:hideMark/>
          </w:tcPr>
          <w:p w14:paraId="3844682C" w14:textId="2D202D2E" w:rsidR="002C1250" w:rsidRPr="007A1075" w:rsidRDefault="002C1250" w:rsidP="002C1250">
            <w:pPr>
              <w:pStyle w:val="TableText"/>
              <w:cnfStyle w:val="000000000000" w:firstRow="0" w:lastRow="0" w:firstColumn="0" w:lastColumn="0" w:oddVBand="0" w:evenVBand="0" w:oddHBand="0" w:evenHBand="0" w:firstRowFirstColumn="0" w:firstRowLastColumn="0" w:lastRowFirstColumn="0" w:lastRowLastColumn="0"/>
            </w:pPr>
            <w:r w:rsidRPr="009207A8">
              <w:t>&lt;.001</w:t>
            </w:r>
          </w:p>
        </w:tc>
        <w:tc>
          <w:tcPr>
            <w:tcW w:w="1701" w:type="dxa"/>
            <w:noWrap/>
            <w:hideMark/>
          </w:tcPr>
          <w:p w14:paraId="335D2A77" w14:textId="1F9169D5" w:rsidR="002C1250" w:rsidRPr="007A1075" w:rsidRDefault="002C1250" w:rsidP="002C1250">
            <w:pPr>
              <w:pStyle w:val="TableText"/>
              <w:cnfStyle w:val="000000000000" w:firstRow="0" w:lastRow="0" w:firstColumn="0" w:lastColumn="0" w:oddVBand="0" w:evenVBand="0" w:oddHBand="0" w:evenHBand="0" w:firstRowFirstColumn="0" w:firstRowLastColumn="0" w:lastRowFirstColumn="0" w:lastRowLastColumn="0"/>
            </w:pPr>
            <w:r w:rsidRPr="009207A8">
              <w:t>53.6% (n=361)</w:t>
            </w:r>
          </w:p>
        </w:tc>
      </w:tr>
      <w:tr w:rsidR="00680B14" w:rsidRPr="007A1075" w14:paraId="2640609F" w14:textId="77777777" w:rsidTr="0078378F">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0" w:type="dxa"/>
            <w:vMerge/>
            <w:tcBorders>
              <w:top w:val="none" w:sz="0" w:space="0" w:color="auto"/>
              <w:bottom w:val="none" w:sz="0" w:space="0" w:color="auto"/>
              <w:right w:val="none" w:sz="0" w:space="0" w:color="auto"/>
            </w:tcBorders>
            <w:hideMark/>
          </w:tcPr>
          <w:p w14:paraId="72C1EEF4" w14:textId="77777777" w:rsidR="00826536" w:rsidRPr="007A1075" w:rsidRDefault="00826536" w:rsidP="002C1250">
            <w:pPr>
              <w:pStyle w:val="TableText"/>
              <w:rPr>
                <w:b w:val="0"/>
                <w:bCs w:val="0"/>
              </w:rPr>
            </w:pPr>
          </w:p>
        </w:tc>
        <w:tc>
          <w:tcPr>
            <w:tcW w:w="0" w:type="dxa"/>
            <w:vMerge/>
            <w:tcBorders>
              <w:top w:val="none" w:sz="0" w:space="0" w:color="auto"/>
              <w:bottom w:val="none" w:sz="0" w:space="0" w:color="auto"/>
            </w:tcBorders>
            <w:hideMark/>
          </w:tcPr>
          <w:p w14:paraId="14F8FB28" w14:textId="77777777" w:rsidR="002C1250" w:rsidRPr="007A1075" w:rsidRDefault="002C1250" w:rsidP="002C1250">
            <w:pPr>
              <w:pStyle w:val="TableText"/>
              <w:cnfStyle w:val="000000100000" w:firstRow="0" w:lastRow="0" w:firstColumn="0" w:lastColumn="0" w:oddVBand="0" w:evenVBand="0" w:oddHBand="1" w:evenHBand="0" w:firstRowFirstColumn="0" w:firstRowLastColumn="0" w:lastRowFirstColumn="0" w:lastRowLastColumn="0"/>
            </w:pPr>
          </w:p>
        </w:tc>
        <w:tc>
          <w:tcPr>
            <w:tcW w:w="0" w:type="dxa"/>
            <w:vMerge w:val="restart"/>
            <w:tcBorders>
              <w:top w:val="none" w:sz="0" w:space="0" w:color="auto"/>
              <w:bottom w:val="none" w:sz="0" w:space="0" w:color="auto"/>
            </w:tcBorders>
            <w:hideMark/>
          </w:tcPr>
          <w:p w14:paraId="4B484E2A" w14:textId="77777777" w:rsidR="002C1250" w:rsidRPr="007A1075" w:rsidRDefault="002C1250" w:rsidP="002C1250">
            <w:pPr>
              <w:pStyle w:val="TableText"/>
              <w:cnfStyle w:val="000000100000" w:firstRow="0" w:lastRow="0" w:firstColumn="0" w:lastColumn="0" w:oddVBand="0" w:evenVBand="0" w:oddHBand="1" w:evenHBand="0" w:firstRowFirstColumn="0" w:firstRowLastColumn="0" w:lastRowFirstColumn="0" w:lastRowLastColumn="0"/>
            </w:pPr>
            <w:r w:rsidRPr="009207A8">
              <w:t>Goals</w:t>
            </w:r>
          </w:p>
          <w:p w14:paraId="2EC7F264" w14:textId="19DCEBA1" w:rsidR="002C1250" w:rsidRPr="007A1075" w:rsidRDefault="002C1250" w:rsidP="002C1250">
            <w:pPr>
              <w:pStyle w:val="TableText"/>
              <w:cnfStyle w:val="000000100000" w:firstRow="0" w:lastRow="0" w:firstColumn="0" w:lastColumn="0" w:oddVBand="0" w:evenVBand="0" w:oddHBand="1" w:evenHBand="0" w:firstRowFirstColumn="0" w:firstRowLastColumn="0" w:lastRowFirstColumn="0" w:lastRowLastColumn="0"/>
            </w:pPr>
          </w:p>
        </w:tc>
        <w:tc>
          <w:tcPr>
            <w:tcW w:w="3881" w:type="dxa"/>
            <w:tcBorders>
              <w:top w:val="none" w:sz="0" w:space="0" w:color="auto"/>
              <w:bottom w:val="none" w:sz="0" w:space="0" w:color="auto"/>
            </w:tcBorders>
            <w:noWrap/>
            <w:hideMark/>
          </w:tcPr>
          <w:p w14:paraId="47AABD65" w14:textId="16D4DAC0" w:rsidR="002C1250" w:rsidRPr="007A1075" w:rsidRDefault="002C1250" w:rsidP="002C1250">
            <w:pPr>
              <w:pStyle w:val="TableText"/>
              <w:cnfStyle w:val="000000100000" w:firstRow="0" w:lastRow="0" w:firstColumn="0" w:lastColumn="0" w:oddVBand="0" w:evenVBand="0" w:oddHBand="1" w:evenHBand="0" w:firstRowFirstColumn="0" w:firstRowLastColumn="0" w:lastRowFirstColumn="0" w:lastRowLastColumn="0"/>
            </w:pPr>
            <w:r w:rsidRPr="009207A8">
              <w:t>Changed behaviours</w:t>
            </w:r>
          </w:p>
        </w:tc>
        <w:tc>
          <w:tcPr>
            <w:tcW w:w="993" w:type="dxa"/>
            <w:tcBorders>
              <w:top w:val="none" w:sz="0" w:space="0" w:color="auto"/>
              <w:bottom w:val="none" w:sz="0" w:space="0" w:color="auto"/>
            </w:tcBorders>
            <w:noWrap/>
            <w:hideMark/>
          </w:tcPr>
          <w:p w14:paraId="7C30A813" w14:textId="5CD6B795" w:rsidR="002C1250" w:rsidRPr="007A1075" w:rsidRDefault="002C1250" w:rsidP="002C1250">
            <w:pPr>
              <w:pStyle w:val="TableText"/>
              <w:cnfStyle w:val="000000100000" w:firstRow="0" w:lastRow="0" w:firstColumn="0" w:lastColumn="0" w:oddVBand="0" w:evenVBand="0" w:oddHBand="1" w:evenHBand="0" w:firstRowFirstColumn="0" w:firstRowLastColumn="0" w:lastRowFirstColumn="0" w:lastRowLastColumn="0"/>
            </w:pPr>
            <w:r w:rsidRPr="009207A8">
              <w:t>0.97</w:t>
            </w:r>
          </w:p>
        </w:tc>
        <w:tc>
          <w:tcPr>
            <w:tcW w:w="1559" w:type="dxa"/>
            <w:tcBorders>
              <w:top w:val="none" w:sz="0" w:space="0" w:color="auto"/>
              <w:bottom w:val="none" w:sz="0" w:space="0" w:color="auto"/>
            </w:tcBorders>
            <w:noWrap/>
            <w:hideMark/>
          </w:tcPr>
          <w:p w14:paraId="71ACDFAE" w14:textId="222A05D6" w:rsidR="002C1250" w:rsidRPr="007A1075" w:rsidRDefault="002C1250" w:rsidP="002C1250">
            <w:pPr>
              <w:pStyle w:val="TableText"/>
              <w:cnfStyle w:val="000000100000" w:firstRow="0" w:lastRow="0" w:firstColumn="0" w:lastColumn="0" w:oddVBand="0" w:evenVBand="0" w:oddHBand="1" w:evenHBand="0" w:firstRowFirstColumn="0" w:firstRowLastColumn="0" w:lastRowFirstColumn="0" w:lastRowLastColumn="0"/>
            </w:pPr>
            <w:r w:rsidRPr="009207A8">
              <w:t>9862</w:t>
            </w:r>
          </w:p>
        </w:tc>
        <w:tc>
          <w:tcPr>
            <w:tcW w:w="1134" w:type="dxa"/>
            <w:tcBorders>
              <w:top w:val="none" w:sz="0" w:space="0" w:color="auto"/>
              <w:bottom w:val="none" w:sz="0" w:space="0" w:color="auto"/>
            </w:tcBorders>
            <w:noWrap/>
            <w:hideMark/>
          </w:tcPr>
          <w:p w14:paraId="100DFCF1" w14:textId="37564533" w:rsidR="002C1250" w:rsidRPr="007A1075" w:rsidRDefault="002C1250" w:rsidP="002C1250">
            <w:pPr>
              <w:pStyle w:val="TableText"/>
              <w:cnfStyle w:val="000000100000" w:firstRow="0" w:lastRow="0" w:firstColumn="0" w:lastColumn="0" w:oddVBand="0" w:evenVBand="0" w:oddHBand="1" w:evenHBand="0" w:firstRowFirstColumn="0" w:firstRowLastColumn="0" w:lastRowFirstColumn="0" w:lastRowLastColumn="0"/>
            </w:pPr>
            <w:r w:rsidRPr="009207A8">
              <w:t>442</w:t>
            </w:r>
          </w:p>
        </w:tc>
        <w:tc>
          <w:tcPr>
            <w:tcW w:w="850" w:type="dxa"/>
            <w:tcBorders>
              <w:top w:val="none" w:sz="0" w:space="0" w:color="auto"/>
              <w:bottom w:val="none" w:sz="0" w:space="0" w:color="auto"/>
            </w:tcBorders>
            <w:noWrap/>
            <w:hideMark/>
          </w:tcPr>
          <w:p w14:paraId="03AD5E3B" w14:textId="1B835419" w:rsidR="002C1250" w:rsidRPr="007A1075" w:rsidRDefault="002C1250" w:rsidP="002C1250">
            <w:pPr>
              <w:pStyle w:val="TableText"/>
              <w:cnfStyle w:val="000000100000" w:firstRow="0" w:lastRow="0" w:firstColumn="0" w:lastColumn="0" w:oddVBand="0" w:evenVBand="0" w:oddHBand="1" w:evenHBand="0" w:firstRowFirstColumn="0" w:firstRowLastColumn="0" w:lastRowFirstColumn="0" w:lastRowLastColumn="0"/>
            </w:pPr>
            <w:r w:rsidRPr="009207A8">
              <w:t>&lt;.001</w:t>
            </w:r>
          </w:p>
        </w:tc>
        <w:tc>
          <w:tcPr>
            <w:tcW w:w="1701" w:type="dxa"/>
            <w:tcBorders>
              <w:top w:val="none" w:sz="0" w:space="0" w:color="auto"/>
              <w:bottom w:val="none" w:sz="0" w:space="0" w:color="auto"/>
            </w:tcBorders>
            <w:noWrap/>
            <w:hideMark/>
          </w:tcPr>
          <w:p w14:paraId="2D04A526" w14:textId="1E78C2FB" w:rsidR="002C1250" w:rsidRPr="007A1075" w:rsidRDefault="002C1250" w:rsidP="002C1250">
            <w:pPr>
              <w:pStyle w:val="TableText"/>
              <w:cnfStyle w:val="000000100000" w:firstRow="0" w:lastRow="0" w:firstColumn="0" w:lastColumn="0" w:oddVBand="0" w:evenVBand="0" w:oddHBand="1" w:evenHBand="0" w:firstRowFirstColumn="0" w:firstRowLastColumn="0" w:lastRowFirstColumn="0" w:lastRowLastColumn="0"/>
            </w:pPr>
            <w:r w:rsidRPr="009207A8">
              <w:t>60.4% (n=267)</w:t>
            </w:r>
          </w:p>
        </w:tc>
      </w:tr>
      <w:tr w:rsidR="00680B14" w:rsidRPr="007A1075" w14:paraId="76AD1128" w14:textId="77777777" w:rsidTr="0078378F">
        <w:trPr>
          <w:trHeight w:val="290"/>
        </w:trPr>
        <w:tc>
          <w:tcPr>
            <w:cnfStyle w:val="001000000000" w:firstRow="0" w:lastRow="0" w:firstColumn="1" w:lastColumn="0" w:oddVBand="0" w:evenVBand="0" w:oddHBand="0" w:evenHBand="0" w:firstRowFirstColumn="0" w:firstRowLastColumn="0" w:lastRowFirstColumn="0" w:lastRowLastColumn="0"/>
            <w:tcW w:w="0" w:type="dxa"/>
            <w:vMerge/>
            <w:tcBorders>
              <w:right w:val="none" w:sz="0" w:space="0" w:color="auto"/>
            </w:tcBorders>
            <w:hideMark/>
          </w:tcPr>
          <w:p w14:paraId="0EC787FC" w14:textId="77777777" w:rsidR="00826536" w:rsidRPr="007A1075" w:rsidRDefault="00826536" w:rsidP="002C1250">
            <w:pPr>
              <w:pStyle w:val="TableText"/>
            </w:pPr>
          </w:p>
        </w:tc>
        <w:tc>
          <w:tcPr>
            <w:tcW w:w="0" w:type="dxa"/>
            <w:vMerge/>
            <w:hideMark/>
          </w:tcPr>
          <w:p w14:paraId="17B88852" w14:textId="77777777" w:rsidR="002C1250" w:rsidRPr="007A1075" w:rsidRDefault="002C1250" w:rsidP="002C1250">
            <w:pPr>
              <w:pStyle w:val="TableText"/>
              <w:cnfStyle w:val="000000000000" w:firstRow="0" w:lastRow="0" w:firstColumn="0" w:lastColumn="0" w:oddVBand="0" w:evenVBand="0" w:oddHBand="0" w:evenHBand="0" w:firstRowFirstColumn="0" w:firstRowLastColumn="0" w:lastRowFirstColumn="0" w:lastRowLastColumn="0"/>
            </w:pPr>
          </w:p>
        </w:tc>
        <w:tc>
          <w:tcPr>
            <w:tcW w:w="0" w:type="dxa"/>
            <w:vMerge/>
            <w:hideMark/>
          </w:tcPr>
          <w:p w14:paraId="1D5266FE" w14:textId="77777777" w:rsidR="002C1250" w:rsidRPr="007A1075" w:rsidRDefault="002C1250" w:rsidP="002C1250">
            <w:pPr>
              <w:pStyle w:val="TableText"/>
              <w:cnfStyle w:val="000000000000" w:firstRow="0" w:lastRow="0" w:firstColumn="0" w:lastColumn="0" w:oddVBand="0" w:evenVBand="0" w:oddHBand="0" w:evenHBand="0" w:firstRowFirstColumn="0" w:firstRowLastColumn="0" w:lastRowFirstColumn="0" w:lastRowLastColumn="0"/>
            </w:pPr>
          </w:p>
        </w:tc>
        <w:tc>
          <w:tcPr>
            <w:tcW w:w="3881" w:type="dxa"/>
            <w:noWrap/>
            <w:hideMark/>
          </w:tcPr>
          <w:p w14:paraId="7D45D066" w14:textId="7646121D" w:rsidR="002C1250" w:rsidRPr="007A1075" w:rsidRDefault="002C1250" w:rsidP="002C1250">
            <w:pPr>
              <w:pStyle w:val="TableText"/>
              <w:cnfStyle w:val="000000000000" w:firstRow="0" w:lastRow="0" w:firstColumn="0" w:lastColumn="0" w:oddVBand="0" w:evenVBand="0" w:oddHBand="0" w:evenHBand="0" w:firstRowFirstColumn="0" w:firstRowLastColumn="0" w:lastRowFirstColumn="0" w:lastRowLastColumn="0"/>
            </w:pPr>
            <w:r w:rsidRPr="009207A8">
              <w:t>Changed impact of immediate crisis</w:t>
            </w:r>
          </w:p>
        </w:tc>
        <w:tc>
          <w:tcPr>
            <w:tcW w:w="993" w:type="dxa"/>
            <w:noWrap/>
            <w:hideMark/>
          </w:tcPr>
          <w:p w14:paraId="7A58C6BF" w14:textId="0B38AE60" w:rsidR="002C1250" w:rsidRPr="007A1075" w:rsidRDefault="002C1250" w:rsidP="002C1250">
            <w:pPr>
              <w:pStyle w:val="TableText"/>
              <w:cnfStyle w:val="000000000000" w:firstRow="0" w:lastRow="0" w:firstColumn="0" w:lastColumn="0" w:oddVBand="0" w:evenVBand="0" w:oddHBand="0" w:evenHBand="0" w:firstRowFirstColumn="0" w:firstRowLastColumn="0" w:lastRowFirstColumn="0" w:lastRowLastColumn="0"/>
            </w:pPr>
            <w:r w:rsidRPr="009207A8">
              <w:t>1.22</w:t>
            </w:r>
          </w:p>
        </w:tc>
        <w:tc>
          <w:tcPr>
            <w:tcW w:w="1559" w:type="dxa"/>
            <w:noWrap/>
            <w:hideMark/>
          </w:tcPr>
          <w:p w14:paraId="3ACD8A98" w14:textId="72517431" w:rsidR="002C1250" w:rsidRPr="007A1075" w:rsidRDefault="002C1250" w:rsidP="002C1250">
            <w:pPr>
              <w:pStyle w:val="TableText"/>
              <w:cnfStyle w:val="000000000000" w:firstRow="0" w:lastRow="0" w:firstColumn="0" w:lastColumn="0" w:oddVBand="0" w:evenVBand="0" w:oddHBand="0" w:evenHBand="0" w:firstRowFirstColumn="0" w:firstRowLastColumn="0" w:lastRowFirstColumn="0" w:lastRowLastColumn="0"/>
            </w:pPr>
            <w:r w:rsidRPr="009207A8">
              <w:t>2074.5</w:t>
            </w:r>
          </w:p>
        </w:tc>
        <w:tc>
          <w:tcPr>
            <w:tcW w:w="1134" w:type="dxa"/>
            <w:noWrap/>
            <w:hideMark/>
          </w:tcPr>
          <w:p w14:paraId="7A4AB0C6" w14:textId="67F93A05" w:rsidR="002C1250" w:rsidRPr="007A1075" w:rsidRDefault="002C1250" w:rsidP="002C1250">
            <w:pPr>
              <w:pStyle w:val="TableText"/>
              <w:cnfStyle w:val="000000000000" w:firstRow="0" w:lastRow="0" w:firstColumn="0" w:lastColumn="0" w:oddVBand="0" w:evenVBand="0" w:oddHBand="0" w:evenHBand="0" w:firstRowFirstColumn="0" w:firstRowLastColumn="0" w:lastRowFirstColumn="0" w:lastRowLastColumn="0"/>
            </w:pPr>
            <w:r w:rsidRPr="009207A8">
              <w:t>255</w:t>
            </w:r>
          </w:p>
        </w:tc>
        <w:tc>
          <w:tcPr>
            <w:tcW w:w="850" w:type="dxa"/>
            <w:noWrap/>
            <w:hideMark/>
          </w:tcPr>
          <w:p w14:paraId="1E6C87AE" w14:textId="60D94953" w:rsidR="002C1250" w:rsidRPr="007A1075" w:rsidRDefault="002C1250" w:rsidP="002C1250">
            <w:pPr>
              <w:pStyle w:val="TableText"/>
              <w:cnfStyle w:val="000000000000" w:firstRow="0" w:lastRow="0" w:firstColumn="0" w:lastColumn="0" w:oddVBand="0" w:evenVBand="0" w:oddHBand="0" w:evenHBand="0" w:firstRowFirstColumn="0" w:firstRowLastColumn="0" w:lastRowFirstColumn="0" w:lastRowLastColumn="0"/>
            </w:pPr>
            <w:r w:rsidRPr="009207A8">
              <w:t>&lt;.001</w:t>
            </w:r>
          </w:p>
        </w:tc>
        <w:tc>
          <w:tcPr>
            <w:tcW w:w="1701" w:type="dxa"/>
            <w:noWrap/>
            <w:hideMark/>
          </w:tcPr>
          <w:p w14:paraId="449DD97B" w14:textId="237DB801" w:rsidR="002C1250" w:rsidRPr="007A1075" w:rsidRDefault="002C1250" w:rsidP="002C1250">
            <w:pPr>
              <w:pStyle w:val="TableText"/>
              <w:cnfStyle w:val="000000000000" w:firstRow="0" w:lastRow="0" w:firstColumn="0" w:lastColumn="0" w:oddVBand="0" w:evenVBand="0" w:oddHBand="0" w:evenHBand="0" w:firstRowFirstColumn="0" w:firstRowLastColumn="0" w:lastRowFirstColumn="0" w:lastRowLastColumn="0"/>
            </w:pPr>
            <w:r w:rsidRPr="009207A8">
              <w:t>65.1% (n=166)</w:t>
            </w:r>
          </w:p>
        </w:tc>
      </w:tr>
      <w:tr w:rsidR="00680B14" w:rsidRPr="007A1075" w14:paraId="027F2096" w14:textId="77777777" w:rsidTr="0078378F">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0" w:type="dxa"/>
            <w:vMerge/>
            <w:tcBorders>
              <w:top w:val="none" w:sz="0" w:space="0" w:color="auto"/>
              <w:bottom w:val="none" w:sz="0" w:space="0" w:color="auto"/>
              <w:right w:val="none" w:sz="0" w:space="0" w:color="auto"/>
            </w:tcBorders>
            <w:hideMark/>
          </w:tcPr>
          <w:p w14:paraId="687824B0" w14:textId="77777777" w:rsidR="00826536" w:rsidRPr="007A1075" w:rsidRDefault="00826536" w:rsidP="002C1250">
            <w:pPr>
              <w:pStyle w:val="TableText"/>
              <w:rPr>
                <w:b w:val="0"/>
                <w:bCs w:val="0"/>
              </w:rPr>
            </w:pPr>
          </w:p>
        </w:tc>
        <w:tc>
          <w:tcPr>
            <w:tcW w:w="0" w:type="dxa"/>
            <w:vMerge/>
            <w:tcBorders>
              <w:top w:val="none" w:sz="0" w:space="0" w:color="auto"/>
              <w:bottom w:val="none" w:sz="0" w:space="0" w:color="auto"/>
            </w:tcBorders>
            <w:hideMark/>
          </w:tcPr>
          <w:p w14:paraId="64246933" w14:textId="77777777" w:rsidR="002C1250" w:rsidRPr="007A1075" w:rsidRDefault="002C1250" w:rsidP="002C1250">
            <w:pPr>
              <w:pStyle w:val="TableText"/>
              <w:cnfStyle w:val="000000100000" w:firstRow="0" w:lastRow="0" w:firstColumn="0" w:lastColumn="0" w:oddVBand="0" w:evenVBand="0" w:oddHBand="1" w:evenHBand="0" w:firstRowFirstColumn="0" w:firstRowLastColumn="0" w:lastRowFirstColumn="0" w:lastRowLastColumn="0"/>
            </w:pPr>
          </w:p>
        </w:tc>
        <w:tc>
          <w:tcPr>
            <w:tcW w:w="0" w:type="dxa"/>
            <w:vMerge/>
            <w:tcBorders>
              <w:top w:val="none" w:sz="0" w:space="0" w:color="auto"/>
              <w:bottom w:val="none" w:sz="0" w:space="0" w:color="auto"/>
            </w:tcBorders>
            <w:hideMark/>
          </w:tcPr>
          <w:p w14:paraId="63E4ADA1" w14:textId="77777777" w:rsidR="002C1250" w:rsidRPr="007A1075" w:rsidRDefault="002C1250" w:rsidP="002C1250">
            <w:pPr>
              <w:pStyle w:val="TableText"/>
              <w:cnfStyle w:val="000000100000" w:firstRow="0" w:lastRow="0" w:firstColumn="0" w:lastColumn="0" w:oddVBand="0" w:evenVBand="0" w:oddHBand="1" w:evenHBand="0" w:firstRowFirstColumn="0" w:firstRowLastColumn="0" w:lastRowFirstColumn="0" w:lastRowLastColumn="0"/>
            </w:pPr>
          </w:p>
        </w:tc>
        <w:tc>
          <w:tcPr>
            <w:tcW w:w="3881" w:type="dxa"/>
            <w:tcBorders>
              <w:top w:val="none" w:sz="0" w:space="0" w:color="auto"/>
              <w:bottom w:val="none" w:sz="0" w:space="0" w:color="auto"/>
            </w:tcBorders>
            <w:noWrap/>
            <w:hideMark/>
          </w:tcPr>
          <w:p w14:paraId="56E5ED1A" w14:textId="503918A5" w:rsidR="002C1250" w:rsidRPr="007A1075" w:rsidRDefault="002C1250" w:rsidP="002C1250">
            <w:pPr>
              <w:pStyle w:val="TableText"/>
              <w:cnfStyle w:val="000000100000" w:firstRow="0" w:lastRow="0" w:firstColumn="0" w:lastColumn="0" w:oddVBand="0" w:evenVBand="0" w:oddHBand="1" w:evenHBand="0" w:firstRowFirstColumn="0" w:firstRowLastColumn="0" w:lastRowFirstColumn="0" w:lastRowLastColumn="0"/>
            </w:pPr>
            <w:r w:rsidRPr="009207A8">
              <w:t>Changed knowledge and access to information</w:t>
            </w:r>
          </w:p>
        </w:tc>
        <w:tc>
          <w:tcPr>
            <w:tcW w:w="993" w:type="dxa"/>
            <w:tcBorders>
              <w:top w:val="none" w:sz="0" w:space="0" w:color="auto"/>
              <w:bottom w:val="none" w:sz="0" w:space="0" w:color="auto"/>
            </w:tcBorders>
            <w:noWrap/>
            <w:hideMark/>
          </w:tcPr>
          <w:p w14:paraId="4DC5E2B3" w14:textId="16F2AC0C" w:rsidR="002C1250" w:rsidRPr="007A1075" w:rsidRDefault="002C1250" w:rsidP="002C1250">
            <w:pPr>
              <w:pStyle w:val="TableText"/>
              <w:cnfStyle w:val="000000100000" w:firstRow="0" w:lastRow="0" w:firstColumn="0" w:lastColumn="0" w:oddVBand="0" w:evenVBand="0" w:oddHBand="1" w:evenHBand="0" w:firstRowFirstColumn="0" w:firstRowLastColumn="0" w:lastRowFirstColumn="0" w:lastRowLastColumn="0"/>
            </w:pPr>
            <w:r w:rsidRPr="009207A8">
              <w:t>0.94</w:t>
            </w:r>
          </w:p>
        </w:tc>
        <w:tc>
          <w:tcPr>
            <w:tcW w:w="1559" w:type="dxa"/>
            <w:tcBorders>
              <w:top w:val="none" w:sz="0" w:space="0" w:color="auto"/>
              <w:bottom w:val="none" w:sz="0" w:space="0" w:color="auto"/>
            </w:tcBorders>
            <w:noWrap/>
            <w:hideMark/>
          </w:tcPr>
          <w:p w14:paraId="3B96C837" w14:textId="19376240" w:rsidR="002C1250" w:rsidRPr="007A1075" w:rsidRDefault="002C1250" w:rsidP="002C1250">
            <w:pPr>
              <w:pStyle w:val="TableText"/>
              <w:cnfStyle w:val="000000100000" w:firstRow="0" w:lastRow="0" w:firstColumn="0" w:lastColumn="0" w:oddVBand="0" w:evenVBand="0" w:oddHBand="1" w:evenHBand="0" w:firstRowFirstColumn="0" w:firstRowLastColumn="0" w:lastRowFirstColumn="0" w:lastRowLastColumn="0"/>
            </w:pPr>
            <w:r w:rsidRPr="009207A8">
              <w:t>11879.5</w:t>
            </w:r>
          </w:p>
        </w:tc>
        <w:tc>
          <w:tcPr>
            <w:tcW w:w="1134" w:type="dxa"/>
            <w:tcBorders>
              <w:top w:val="none" w:sz="0" w:space="0" w:color="auto"/>
              <w:bottom w:val="none" w:sz="0" w:space="0" w:color="auto"/>
            </w:tcBorders>
            <w:noWrap/>
            <w:hideMark/>
          </w:tcPr>
          <w:p w14:paraId="228BC1FF" w14:textId="124F6000" w:rsidR="002C1250" w:rsidRPr="007A1075" w:rsidRDefault="002C1250" w:rsidP="002C1250">
            <w:pPr>
              <w:pStyle w:val="TableText"/>
              <w:cnfStyle w:val="000000100000" w:firstRow="0" w:lastRow="0" w:firstColumn="0" w:lastColumn="0" w:oddVBand="0" w:evenVBand="0" w:oddHBand="1" w:evenHBand="0" w:firstRowFirstColumn="0" w:firstRowLastColumn="0" w:lastRowFirstColumn="0" w:lastRowLastColumn="0"/>
            </w:pPr>
            <w:r w:rsidRPr="009207A8">
              <w:t>526</w:t>
            </w:r>
          </w:p>
        </w:tc>
        <w:tc>
          <w:tcPr>
            <w:tcW w:w="850" w:type="dxa"/>
            <w:tcBorders>
              <w:top w:val="none" w:sz="0" w:space="0" w:color="auto"/>
              <w:bottom w:val="none" w:sz="0" w:space="0" w:color="auto"/>
            </w:tcBorders>
            <w:noWrap/>
            <w:hideMark/>
          </w:tcPr>
          <w:p w14:paraId="669E0935" w14:textId="6BD0FD5E" w:rsidR="002C1250" w:rsidRPr="007A1075" w:rsidRDefault="002C1250" w:rsidP="002C1250">
            <w:pPr>
              <w:pStyle w:val="TableText"/>
              <w:cnfStyle w:val="000000100000" w:firstRow="0" w:lastRow="0" w:firstColumn="0" w:lastColumn="0" w:oddVBand="0" w:evenVBand="0" w:oddHBand="1" w:evenHBand="0" w:firstRowFirstColumn="0" w:firstRowLastColumn="0" w:lastRowFirstColumn="0" w:lastRowLastColumn="0"/>
            </w:pPr>
            <w:r w:rsidRPr="009207A8">
              <w:t>&lt;.001</w:t>
            </w:r>
          </w:p>
        </w:tc>
        <w:tc>
          <w:tcPr>
            <w:tcW w:w="1701" w:type="dxa"/>
            <w:tcBorders>
              <w:top w:val="none" w:sz="0" w:space="0" w:color="auto"/>
              <w:bottom w:val="none" w:sz="0" w:space="0" w:color="auto"/>
            </w:tcBorders>
            <w:noWrap/>
            <w:hideMark/>
          </w:tcPr>
          <w:p w14:paraId="57D43196" w14:textId="2DF832BD" w:rsidR="002C1250" w:rsidRPr="007A1075" w:rsidRDefault="002C1250" w:rsidP="002C1250">
            <w:pPr>
              <w:pStyle w:val="TableText"/>
              <w:cnfStyle w:val="000000100000" w:firstRow="0" w:lastRow="0" w:firstColumn="0" w:lastColumn="0" w:oddVBand="0" w:evenVBand="0" w:oddHBand="1" w:evenHBand="0" w:firstRowFirstColumn="0" w:firstRowLastColumn="0" w:lastRowFirstColumn="0" w:lastRowLastColumn="0"/>
            </w:pPr>
            <w:r w:rsidRPr="009207A8">
              <w:t>57.6% (n=303)</w:t>
            </w:r>
          </w:p>
        </w:tc>
      </w:tr>
      <w:tr w:rsidR="00680B14" w:rsidRPr="007A1075" w14:paraId="18AE8B09" w14:textId="77777777" w:rsidTr="0078378F">
        <w:trPr>
          <w:trHeight w:val="290"/>
        </w:trPr>
        <w:tc>
          <w:tcPr>
            <w:cnfStyle w:val="001000000000" w:firstRow="0" w:lastRow="0" w:firstColumn="1" w:lastColumn="0" w:oddVBand="0" w:evenVBand="0" w:oddHBand="0" w:evenHBand="0" w:firstRowFirstColumn="0" w:firstRowLastColumn="0" w:lastRowFirstColumn="0" w:lastRowLastColumn="0"/>
            <w:tcW w:w="0" w:type="dxa"/>
            <w:vMerge/>
            <w:tcBorders>
              <w:right w:val="none" w:sz="0" w:space="0" w:color="auto"/>
            </w:tcBorders>
            <w:hideMark/>
          </w:tcPr>
          <w:p w14:paraId="6211CCD8" w14:textId="77777777" w:rsidR="00826536" w:rsidRPr="007A1075" w:rsidRDefault="00826536" w:rsidP="002C1250">
            <w:pPr>
              <w:pStyle w:val="TableText"/>
            </w:pPr>
          </w:p>
        </w:tc>
        <w:tc>
          <w:tcPr>
            <w:tcW w:w="0" w:type="dxa"/>
            <w:vMerge/>
            <w:hideMark/>
          </w:tcPr>
          <w:p w14:paraId="5FEC56B5" w14:textId="77777777" w:rsidR="002C1250" w:rsidRPr="007A1075" w:rsidRDefault="002C1250" w:rsidP="002C1250">
            <w:pPr>
              <w:pStyle w:val="TableText"/>
              <w:cnfStyle w:val="000000000000" w:firstRow="0" w:lastRow="0" w:firstColumn="0" w:lastColumn="0" w:oddVBand="0" w:evenVBand="0" w:oddHBand="0" w:evenHBand="0" w:firstRowFirstColumn="0" w:firstRowLastColumn="0" w:lastRowFirstColumn="0" w:lastRowLastColumn="0"/>
            </w:pPr>
          </w:p>
        </w:tc>
        <w:tc>
          <w:tcPr>
            <w:tcW w:w="0" w:type="dxa"/>
            <w:vMerge/>
            <w:hideMark/>
          </w:tcPr>
          <w:p w14:paraId="08C73F3D" w14:textId="77777777" w:rsidR="002C1250" w:rsidRPr="007A1075" w:rsidRDefault="002C1250" w:rsidP="002C1250">
            <w:pPr>
              <w:pStyle w:val="TableText"/>
              <w:cnfStyle w:val="000000000000" w:firstRow="0" w:lastRow="0" w:firstColumn="0" w:lastColumn="0" w:oddVBand="0" w:evenVBand="0" w:oddHBand="0" w:evenHBand="0" w:firstRowFirstColumn="0" w:firstRowLastColumn="0" w:lastRowFirstColumn="0" w:lastRowLastColumn="0"/>
            </w:pPr>
          </w:p>
        </w:tc>
        <w:tc>
          <w:tcPr>
            <w:tcW w:w="3881" w:type="dxa"/>
            <w:noWrap/>
            <w:hideMark/>
          </w:tcPr>
          <w:p w14:paraId="5ED1C6B3" w14:textId="340DD039" w:rsidR="002C1250" w:rsidRPr="007A1075" w:rsidRDefault="002C1250" w:rsidP="002C1250">
            <w:pPr>
              <w:pStyle w:val="TableText"/>
              <w:cnfStyle w:val="000000000000" w:firstRow="0" w:lastRow="0" w:firstColumn="0" w:lastColumn="0" w:oddVBand="0" w:evenVBand="0" w:oddHBand="0" w:evenHBand="0" w:firstRowFirstColumn="0" w:firstRowLastColumn="0" w:lastRowFirstColumn="0" w:lastRowLastColumn="0"/>
            </w:pPr>
            <w:r w:rsidRPr="009207A8">
              <w:t>Changed skills</w:t>
            </w:r>
          </w:p>
        </w:tc>
        <w:tc>
          <w:tcPr>
            <w:tcW w:w="993" w:type="dxa"/>
            <w:noWrap/>
            <w:hideMark/>
          </w:tcPr>
          <w:p w14:paraId="30C09C11" w14:textId="5DA0ADA1" w:rsidR="002C1250" w:rsidRPr="007A1075" w:rsidRDefault="002C1250" w:rsidP="002C1250">
            <w:pPr>
              <w:pStyle w:val="TableText"/>
              <w:cnfStyle w:val="000000000000" w:firstRow="0" w:lastRow="0" w:firstColumn="0" w:lastColumn="0" w:oddVBand="0" w:evenVBand="0" w:oddHBand="0" w:evenHBand="0" w:firstRowFirstColumn="0" w:firstRowLastColumn="0" w:lastRowFirstColumn="0" w:lastRowLastColumn="0"/>
            </w:pPr>
            <w:r w:rsidRPr="009207A8">
              <w:t>1.04</w:t>
            </w:r>
          </w:p>
        </w:tc>
        <w:tc>
          <w:tcPr>
            <w:tcW w:w="1559" w:type="dxa"/>
            <w:noWrap/>
            <w:hideMark/>
          </w:tcPr>
          <w:p w14:paraId="68300640" w14:textId="2B6DE4B7" w:rsidR="002C1250" w:rsidRPr="007A1075" w:rsidRDefault="002C1250" w:rsidP="002C1250">
            <w:pPr>
              <w:pStyle w:val="TableText"/>
              <w:cnfStyle w:val="000000000000" w:firstRow="0" w:lastRow="0" w:firstColumn="0" w:lastColumn="0" w:oddVBand="0" w:evenVBand="0" w:oddHBand="0" w:evenHBand="0" w:firstRowFirstColumn="0" w:firstRowLastColumn="0" w:lastRowFirstColumn="0" w:lastRowLastColumn="0"/>
            </w:pPr>
            <w:r w:rsidRPr="009207A8">
              <w:t>12482</w:t>
            </w:r>
          </w:p>
        </w:tc>
        <w:tc>
          <w:tcPr>
            <w:tcW w:w="1134" w:type="dxa"/>
            <w:noWrap/>
            <w:hideMark/>
          </w:tcPr>
          <w:p w14:paraId="156CA96F" w14:textId="45A43C89" w:rsidR="002C1250" w:rsidRPr="007A1075" w:rsidRDefault="002C1250" w:rsidP="002C1250">
            <w:pPr>
              <w:pStyle w:val="TableText"/>
              <w:cnfStyle w:val="000000000000" w:firstRow="0" w:lastRow="0" w:firstColumn="0" w:lastColumn="0" w:oddVBand="0" w:evenVBand="0" w:oddHBand="0" w:evenHBand="0" w:firstRowFirstColumn="0" w:firstRowLastColumn="0" w:lastRowFirstColumn="0" w:lastRowLastColumn="0"/>
            </w:pPr>
            <w:r w:rsidRPr="009207A8">
              <w:t>494</w:t>
            </w:r>
          </w:p>
        </w:tc>
        <w:tc>
          <w:tcPr>
            <w:tcW w:w="850" w:type="dxa"/>
            <w:noWrap/>
            <w:hideMark/>
          </w:tcPr>
          <w:p w14:paraId="04ACB52F" w14:textId="1D6DC566" w:rsidR="002C1250" w:rsidRPr="007A1075" w:rsidRDefault="002C1250" w:rsidP="002C1250">
            <w:pPr>
              <w:pStyle w:val="TableText"/>
              <w:cnfStyle w:val="000000000000" w:firstRow="0" w:lastRow="0" w:firstColumn="0" w:lastColumn="0" w:oddVBand="0" w:evenVBand="0" w:oddHBand="0" w:evenHBand="0" w:firstRowFirstColumn="0" w:firstRowLastColumn="0" w:lastRowFirstColumn="0" w:lastRowLastColumn="0"/>
            </w:pPr>
            <w:r w:rsidRPr="009207A8">
              <w:t>&lt;.001</w:t>
            </w:r>
          </w:p>
        </w:tc>
        <w:tc>
          <w:tcPr>
            <w:tcW w:w="1701" w:type="dxa"/>
            <w:noWrap/>
            <w:hideMark/>
          </w:tcPr>
          <w:p w14:paraId="70AF85D7" w14:textId="3C9968FA" w:rsidR="002C1250" w:rsidRPr="007A1075" w:rsidRDefault="002C1250" w:rsidP="002C1250">
            <w:pPr>
              <w:pStyle w:val="TableText"/>
              <w:cnfStyle w:val="000000000000" w:firstRow="0" w:lastRow="0" w:firstColumn="0" w:lastColumn="0" w:oddVBand="0" w:evenVBand="0" w:oddHBand="0" w:evenHBand="0" w:firstRowFirstColumn="0" w:firstRowLastColumn="0" w:lastRowFirstColumn="0" w:lastRowLastColumn="0"/>
            </w:pPr>
            <w:r w:rsidRPr="009207A8">
              <w:t>61.5% (n=304)</w:t>
            </w:r>
          </w:p>
        </w:tc>
      </w:tr>
      <w:tr w:rsidR="00680B14" w:rsidRPr="007A1075" w14:paraId="07004B56" w14:textId="77777777" w:rsidTr="0078378F">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0" w:type="dxa"/>
            <w:vMerge/>
            <w:tcBorders>
              <w:top w:val="none" w:sz="0" w:space="0" w:color="auto"/>
              <w:bottom w:val="none" w:sz="0" w:space="0" w:color="auto"/>
              <w:right w:val="none" w:sz="0" w:space="0" w:color="auto"/>
            </w:tcBorders>
            <w:hideMark/>
          </w:tcPr>
          <w:p w14:paraId="7B188A8B" w14:textId="77777777" w:rsidR="00826536" w:rsidRPr="007A1075" w:rsidRDefault="00826536" w:rsidP="002C1250">
            <w:pPr>
              <w:pStyle w:val="TableText"/>
              <w:rPr>
                <w:b w:val="0"/>
                <w:bCs w:val="0"/>
              </w:rPr>
            </w:pPr>
          </w:p>
        </w:tc>
        <w:tc>
          <w:tcPr>
            <w:tcW w:w="0" w:type="dxa"/>
            <w:vMerge/>
            <w:tcBorders>
              <w:top w:val="none" w:sz="0" w:space="0" w:color="auto"/>
              <w:bottom w:val="none" w:sz="0" w:space="0" w:color="auto"/>
            </w:tcBorders>
            <w:hideMark/>
          </w:tcPr>
          <w:p w14:paraId="7787F220" w14:textId="77777777" w:rsidR="002C1250" w:rsidRPr="007A1075" w:rsidRDefault="002C1250" w:rsidP="002C1250">
            <w:pPr>
              <w:pStyle w:val="TableText"/>
              <w:cnfStyle w:val="000000100000" w:firstRow="0" w:lastRow="0" w:firstColumn="0" w:lastColumn="0" w:oddVBand="0" w:evenVBand="0" w:oddHBand="1" w:evenHBand="0" w:firstRowFirstColumn="0" w:firstRowLastColumn="0" w:lastRowFirstColumn="0" w:lastRowLastColumn="0"/>
            </w:pPr>
          </w:p>
        </w:tc>
        <w:tc>
          <w:tcPr>
            <w:tcW w:w="0" w:type="dxa"/>
            <w:vMerge/>
            <w:tcBorders>
              <w:top w:val="none" w:sz="0" w:space="0" w:color="auto"/>
              <w:bottom w:val="none" w:sz="0" w:space="0" w:color="auto"/>
            </w:tcBorders>
            <w:hideMark/>
          </w:tcPr>
          <w:p w14:paraId="3560AABD" w14:textId="77777777" w:rsidR="002C1250" w:rsidRPr="007A1075" w:rsidRDefault="002C1250" w:rsidP="002C1250">
            <w:pPr>
              <w:pStyle w:val="TableText"/>
              <w:cnfStyle w:val="000000100000" w:firstRow="0" w:lastRow="0" w:firstColumn="0" w:lastColumn="0" w:oddVBand="0" w:evenVBand="0" w:oddHBand="1" w:evenHBand="0" w:firstRowFirstColumn="0" w:firstRowLastColumn="0" w:lastRowFirstColumn="0" w:lastRowLastColumn="0"/>
            </w:pPr>
          </w:p>
        </w:tc>
        <w:tc>
          <w:tcPr>
            <w:tcW w:w="3881" w:type="dxa"/>
            <w:tcBorders>
              <w:top w:val="none" w:sz="0" w:space="0" w:color="auto"/>
              <w:bottom w:val="none" w:sz="0" w:space="0" w:color="auto"/>
            </w:tcBorders>
            <w:noWrap/>
            <w:hideMark/>
          </w:tcPr>
          <w:p w14:paraId="5882EAE7" w14:textId="5F23C41F" w:rsidR="002C1250" w:rsidRPr="007A1075" w:rsidRDefault="002C1250" w:rsidP="002C1250">
            <w:pPr>
              <w:pStyle w:val="TableText"/>
              <w:cnfStyle w:val="000000100000" w:firstRow="0" w:lastRow="0" w:firstColumn="0" w:lastColumn="0" w:oddVBand="0" w:evenVBand="0" w:oddHBand="1" w:evenHBand="0" w:firstRowFirstColumn="0" w:firstRowLastColumn="0" w:lastRowFirstColumn="0" w:lastRowLastColumn="0"/>
            </w:pPr>
            <w:r w:rsidRPr="7FE88950">
              <w:rPr>
                <w:lang w:val="en-NZ"/>
              </w:rPr>
              <w:t>Empowerment, choice and control to make own decisions</w:t>
            </w:r>
          </w:p>
        </w:tc>
        <w:tc>
          <w:tcPr>
            <w:tcW w:w="993" w:type="dxa"/>
            <w:tcBorders>
              <w:top w:val="none" w:sz="0" w:space="0" w:color="auto"/>
              <w:bottom w:val="none" w:sz="0" w:space="0" w:color="auto"/>
            </w:tcBorders>
            <w:noWrap/>
            <w:hideMark/>
          </w:tcPr>
          <w:p w14:paraId="317A7C61" w14:textId="628721AA" w:rsidR="002C1250" w:rsidRPr="007A1075" w:rsidRDefault="002C1250" w:rsidP="002C1250">
            <w:pPr>
              <w:pStyle w:val="TableText"/>
              <w:cnfStyle w:val="000000100000" w:firstRow="0" w:lastRow="0" w:firstColumn="0" w:lastColumn="0" w:oddVBand="0" w:evenVBand="0" w:oddHBand="1" w:evenHBand="0" w:firstRowFirstColumn="0" w:firstRowLastColumn="0" w:lastRowFirstColumn="0" w:lastRowLastColumn="0"/>
            </w:pPr>
            <w:r w:rsidRPr="009207A8">
              <w:t>0.9</w:t>
            </w:r>
          </w:p>
        </w:tc>
        <w:tc>
          <w:tcPr>
            <w:tcW w:w="1559" w:type="dxa"/>
            <w:tcBorders>
              <w:top w:val="none" w:sz="0" w:space="0" w:color="auto"/>
              <w:bottom w:val="none" w:sz="0" w:space="0" w:color="auto"/>
            </w:tcBorders>
            <w:noWrap/>
            <w:hideMark/>
          </w:tcPr>
          <w:p w14:paraId="4302749F" w14:textId="68E8B775" w:rsidR="002C1250" w:rsidRPr="007A1075" w:rsidRDefault="002C1250" w:rsidP="002C1250">
            <w:pPr>
              <w:pStyle w:val="TableText"/>
              <w:cnfStyle w:val="000000100000" w:firstRow="0" w:lastRow="0" w:firstColumn="0" w:lastColumn="0" w:oddVBand="0" w:evenVBand="0" w:oddHBand="1" w:evenHBand="0" w:firstRowFirstColumn="0" w:firstRowLastColumn="0" w:lastRowFirstColumn="0" w:lastRowLastColumn="0"/>
            </w:pPr>
            <w:r w:rsidRPr="009207A8">
              <w:t>10882</w:t>
            </w:r>
          </w:p>
        </w:tc>
        <w:tc>
          <w:tcPr>
            <w:tcW w:w="1134" w:type="dxa"/>
            <w:tcBorders>
              <w:top w:val="none" w:sz="0" w:space="0" w:color="auto"/>
              <w:bottom w:val="none" w:sz="0" w:space="0" w:color="auto"/>
            </w:tcBorders>
            <w:noWrap/>
            <w:hideMark/>
          </w:tcPr>
          <w:p w14:paraId="5040DA5E" w14:textId="2FCFBBA4" w:rsidR="002C1250" w:rsidRPr="007A1075" w:rsidRDefault="002C1250" w:rsidP="002C1250">
            <w:pPr>
              <w:pStyle w:val="TableText"/>
              <w:cnfStyle w:val="000000100000" w:firstRow="0" w:lastRow="0" w:firstColumn="0" w:lastColumn="0" w:oddVBand="0" w:evenVBand="0" w:oddHBand="1" w:evenHBand="0" w:firstRowFirstColumn="0" w:firstRowLastColumn="0" w:lastRowFirstColumn="0" w:lastRowLastColumn="0"/>
            </w:pPr>
            <w:r w:rsidRPr="009207A8">
              <w:t>420</w:t>
            </w:r>
          </w:p>
        </w:tc>
        <w:tc>
          <w:tcPr>
            <w:tcW w:w="850" w:type="dxa"/>
            <w:tcBorders>
              <w:top w:val="none" w:sz="0" w:space="0" w:color="auto"/>
              <w:bottom w:val="none" w:sz="0" w:space="0" w:color="auto"/>
            </w:tcBorders>
            <w:noWrap/>
            <w:hideMark/>
          </w:tcPr>
          <w:p w14:paraId="6306237C" w14:textId="6F54A5D6" w:rsidR="002C1250" w:rsidRPr="007A1075" w:rsidRDefault="002C1250" w:rsidP="002C1250">
            <w:pPr>
              <w:pStyle w:val="TableText"/>
              <w:cnfStyle w:val="000000100000" w:firstRow="0" w:lastRow="0" w:firstColumn="0" w:lastColumn="0" w:oddVBand="0" w:evenVBand="0" w:oddHBand="1" w:evenHBand="0" w:firstRowFirstColumn="0" w:firstRowLastColumn="0" w:lastRowFirstColumn="0" w:lastRowLastColumn="0"/>
            </w:pPr>
            <w:r w:rsidRPr="009207A8">
              <w:t>&lt;.001</w:t>
            </w:r>
          </w:p>
        </w:tc>
        <w:tc>
          <w:tcPr>
            <w:tcW w:w="1701" w:type="dxa"/>
            <w:tcBorders>
              <w:top w:val="none" w:sz="0" w:space="0" w:color="auto"/>
              <w:bottom w:val="none" w:sz="0" w:space="0" w:color="auto"/>
            </w:tcBorders>
            <w:noWrap/>
            <w:hideMark/>
          </w:tcPr>
          <w:p w14:paraId="7D8C35FE" w14:textId="2D45D0B2" w:rsidR="002C1250" w:rsidRPr="007A1075" w:rsidRDefault="002C1250" w:rsidP="002C1250">
            <w:pPr>
              <w:pStyle w:val="TableText"/>
              <w:cnfStyle w:val="000000100000" w:firstRow="0" w:lastRow="0" w:firstColumn="0" w:lastColumn="0" w:oddVBand="0" w:evenVBand="0" w:oddHBand="1" w:evenHBand="0" w:firstRowFirstColumn="0" w:firstRowLastColumn="0" w:lastRowFirstColumn="0" w:lastRowLastColumn="0"/>
            </w:pPr>
            <w:r w:rsidRPr="009207A8">
              <w:t>59.0% (n=248)</w:t>
            </w:r>
          </w:p>
        </w:tc>
      </w:tr>
      <w:tr w:rsidR="00680B14" w:rsidRPr="007A1075" w14:paraId="45C153A9" w14:textId="77777777" w:rsidTr="0078378F">
        <w:trPr>
          <w:trHeight w:val="290"/>
        </w:trPr>
        <w:tc>
          <w:tcPr>
            <w:cnfStyle w:val="001000000000" w:firstRow="0" w:lastRow="0" w:firstColumn="1" w:lastColumn="0" w:oddVBand="0" w:evenVBand="0" w:oddHBand="0" w:evenHBand="0" w:firstRowFirstColumn="0" w:firstRowLastColumn="0" w:lastRowFirstColumn="0" w:lastRowLastColumn="0"/>
            <w:tcW w:w="0" w:type="dxa"/>
            <w:vMerge/>
            <w:tcBorders>
              <w:right w:val="none" w:sz="0" w:space="0" w:color="auto"/>
            </w:tcBorders>
            <w:hideMark/>
          </w:tcPr>
          <w:p w14:paraId="3156D1AC" w14:textId="77777777" w:rsidR="00826536" w:rsidRPr="007A1075" w:rsidRDefault="00826536" w:rsidP="002C1250">
            <w:pPr>
              <w:pStyle w:val="TableText"/>
            </w:pPr>
          </w:p>
        </w:tc>
        <w:tc>
          <w:tcPr>
            <w:tcW w:w="0" w:type="dxa"/>
            <w:vMerge/>
            <w:hideMark/>
          </w:tcPr>
          <w:p w14:paraId="6AB68C7F" w14:textId="77777777" w:rsidR="002C1250" w:rsidRPr="007A1075" w:rsidRDefault="002C1250" w:rsidP="002C1250">
            <w:pPr>
              <w:pStyle w:val="TableText"/>
              <w:cnfStyle w:val="000000000000" w:firstRow="0" w:lastRow="0" w:firstColumn="0" w:lastColumn="0" w:oddVBand="0" w:evenVBand="0" w:oddHBand="0" w:evenHBand="0" w:firstRowFirstColumn="0" w:firstRowLastColumn="0" w:lastRowFirstColumn="0" w:lastRowLastColumn="0"/>
            </w:pPr>
          </w:p>
        </w:tc>
        <w:tc>
          <w:tcPr>
            <w:tcW w:w="0" w:type="dxa"/>
            <w:vMerge/>
            <w:hideMark/>
          </w:tcPr>
          <w:p w14:paraId="7838DC3E" w14:textId="77777777" w:rsidR="002C1250" w:rsidRPr="007A1075" w:rsidRDefault="002C1250" w:rsidP="002C1250">
            <w:pPr>
              <w:pStyle w:val="TableText"/>
              <w:cnfStyle w:val="000000000000" w:firstRow="0" w:lastRow="0" w:firstColumn="0" w:lastColumn="0" w:oddVBand="0" w:evenVBand="0" w:oddHBand="0" w:evenHBand="0" w:firstRowFirstColumn="0" w:firstRowLastColumn="0" w:lastRowFirstColumn="0" w:lastRowLastColumn="0"/>
            </w:pPr>
          </w:p>
        </w:tc>
        <w:tc>
          <w:tcPr>
            <w:tcW w:w="3881" w:type="dxa"/>
            <w:noWrap/>
            <w:hideMark/>
          </w:tcPr>
          <w:p w14:paraId="38663D3F" w14:textId="1CEB4299" w:rsidR="002C1250" w:rsidRPr="007A1075" w:rsidRDefault="002C1250" w:rsidP="002C1250">
            <w:pPr>
              <w:pStyle w:val="TableText"/>
              <w:cnfStyle w:val="000000000000" w:firstRow="0" w:lastRow="0" w:firstColumn="0" w:lastColumn="0" w:oddVBand="0" w:evenVBand="0" w:oddHBand="0" w:evenHBand="0" w:firstRowFirstColumn="0" w:firstRowLastColumn="0" w:lastRowFirstColumn="0" w:lastRowLastColumn="0"/>
            </w:pPr>
            <w:r w:rsidRPr="009207A8">
              <w:t>Engagement with relevant support services</w:t>
            </w:r>
          </w:p>
        </w:tc>
        <w:tc>
          <w:tcPr>
            <w:tcW w:w="993" w:type="dxa"/>
            <w:noWrap/>
            <w:hideMark/>
          </w:tcPr>
          <w:p w14:paraId="45486424" w14:textId="65822729" w:rsidR="002C1250" w:rsidRPr="007A1075" w:rsidRDefault="002C1250" w:rsidP="002C1250">
            <w:pPr>
              <w:pStyle w:val="TableText"/>
              <w:cnfStyle w:val="000000000000" w:firstRow="0" w:lastRow="0" w:firstColumn="0" w:lastColumn="0" w:oddVBand="0" w:evenVBand="0" w:oddHBand="0" w:evenHBand="0" w:firstRowFirstColumn="0" w:firstRowLastColumn="0" w:lastRowFirstColumn="0" w:lastRowLastColumn="0"/>
            </w:pPr>
            <w:r w:rsidRPr="009207A8">
              <w:t>0.75</w:t>
            </w:r>
          </w:p>
        </w:tc>
        <w:tc>
          <w:tcPr>
            <w:tcW w:w="1559" w:type="dxa"/>
            <w:noWrap/>
            <w:hideMark/>
          </w:tcPr>
          <w:p w14:paraId="05369325" w14:textId="27377207" w:rsidR="002C1250" w:rsidRPr="007A1075" w:rsidRDefault="002C1250" w:rsidP="002C1250">
            <w:pPr>
              <w:pStyle w:val="TableText"/>
              <w:cnfStyle w:val="000000000000" w:firstRow="0" w:lastRow="0" w:firstColumn="0" w:lastColumn="0" w:oddVBand="0" w:evenVBand="0" w:oddHBand="0" w:evenHBand="0" w:firstRowFirstColumn="0" w:firstRowLastColumn="0" w:lastRowFirstColumn="0" w:lastRowLastColumn="0"/>
            </w:pPr>
            <w:r w:rsidRPr="009207A8">
              <w:t>17094.5</w:t>
            </w:r>
          </w:p>
        </w:tc>
        <w:tc>
          <w:tcPr>
            <w:tcW w:w="1134" w:type="dxa"/>
            <w:noWrap/>
            <w:hideMark/>
          </w:tcPr>
          <w:p w14:paraId="19B7B2A8" w14:textId="4682F6D6" w:rsidR="002C1250" w:rsidRPr="007A1075" w:rsidRDefault="002C1250" w:rsidP="002C1250">
            <w:pPr>
              <w:pStyle w:val="TableText"/>
              <w:cnfStyle w:val="000000000000" w:firstRow="0" w:lastRow="0" w:firstColumn="0" w:lastColumn="0" w:oddVBand="0" w:evenVBand="0" w:oddHBand="0" w:evenHBand="0" w:firstRowFirstColumn="0" w:firstRowLastColumn="0" w:lastRowFirstColumn="0" w:lastRowLastColumn="0"/>
            </w:pPr>
            <w:r w:rsidRPr="009207A8">
              <w:t>435</w:t>
            </w:r>
          </w:p>
        </w:tc>
        <w:tc>
          <w:tcPr>
            <w:tcW w:w="850" w:type="dxa"/>
            <w:noWrap/>
            <w:hideMark/>
          </w:tcPr>
          <w:p w14:paraId="374DA40F" w14:textId="3985E4CC" w:rsidR="002C1250" w:rsidRPr="007A1075" w:rsidRDefault="002C1250" w:rsidP="002C1250">
            <w:pPr>
              <w:pStyle w:val="TableText"/>
              <w:cnfStyle w:val="000000000000" w:firstRow="0" w:lastRow="0" w:firstColumn="0" w:lastColumn="0" w:oddVBand="0" w:evenVBand="0" w:oddHBand="0" w:evenHBand="0" w:firstRowFirstColumn="0" w:firstRowLastColumn="0" w:lastRowFirstColumn="0" w:lastRowLastColumn="0"/>
            </w:pPr>
            <w:r w:rsidRPr="009207A8">
              <w:t>&lt;.001</w:t>
            </w:r>
          </w:p>
        </w:tc>
        <w:tc>
          <w:tcPr>
            <w:tcW w:w="1701" w:type="dxa"/>
            <w:noWrap/>
            <w:hideMark/>
          </w:tcPr>
          <w:p w14:paraId="389BA2CD" w14:textId="08E31AC2" w:rsidR="002C1250" w:rsidRPr="007A1075" w:rsidRDefault="002C1250" w:rsidP="002C1250">
            <w:pPr>
              <w:pStyle w:val="TableText"/>
              <w:cnfStyle w:val="000000000000" w:firstRow="0" w:lastRow="0" w:firstColumn="0" w:lastColumn="0" w:oddVBand="0" w:evenVBand="0" w:oddHBand="0" w:evenHBand="0" w:firstRowFirstColumn="0" w:firstRowLastColumn="0" w:lastRowFirstColumn="0" w:lastRowLastColumn="0"/>
            </w:pPr>
            <w:r w:rsidRPr="009207A8">
              <w:t>51.0% (n=222)</w:t>
            </w:r>
          </w:p>
        </w:tc>
      </w:tr>
    </w:tbl>
    <w:p w14:paraId="7AAC6F21" w14:textId="77777777" w:rsidR="005217A7" w:rsidRDefault="001430BE" w:rsidP="00030778">
      <w:pPr>
        <w:rPr>
          <w:i/>
          <w:sz w:val="20"/>
          <w:szCs w:val="18"/>
        </w:rPr>
      </w:pPr>
      <w:r>
        <w:rPr>
          <w:i/>
          <w:sz w:val="20"/>
          <w:szCs w:val="18"/>
        </w:rPr>
        <w:t xml:space="preserve">Source: DEX-SCORE data </w:t>
      </w:r>
      <w:bookmarkStart w:id="607" w:name="_Toc204606635"/>
      <w:bookmarkEnd w:id="607"/>
    </w:p>
    <w:p w14:paraId="58634809" w14:textId="61253E29" w:rsidR="00CB1A6A" w:rsidRDefault="00CB1A6A" w:rsidP="00030778">
      <w:pPr>
        <w:sectPr w:rsidR="00CB1A6A" w:rsidSect="00CB1A6A">
          <w:pgSz w:w="16834" w:h="11909" w:orient="landscape" w:code="9"/>
          <w:pgMar w:top="1440" w:right="1440" w:bottom="1440" w:left="1440" w:header="720" w:footer="720" w:gutter="0"/>
          <w:cols w:space="720"/>
          <w:docGrid w:linePitch="360"/>
        </w:sectPr>
      </w:pPr>
    </w:p>
    <w:p w14:paraId="2E5E20D3" w14:textId="6FC95857" w:rsidR="00727234" w:rsidRDefault="00C801C3" w:rsidP="00FF4427">
      <w:pPr>
        <w:pStyle w:val="Appendix"/>
      </w:pPr>
      <w:bookmarkStart w:id="608" w:name="_Toc208906871"/>
      <w:r>
        <w:lastRenderedPageBreak/>
        <w:t>Bibliography</w:t>
      </w:r>
      <w:bookmarkEnd w:id="608"/>
      <w:r>
        <w:t xml:space="preserve"> </w:t>
      </w:r>
    </w:p>
    <w:p w14:paraId="3FC8F085" w14:textId="77777777" w:rsidR="003A464F" w:rsidRPr="003A464F" w:rsidRDefault="00FF4427" w:rsidP="003A464F">
      <w:pPr>
        <w:pStyle w:val="Bibliography"/>
        <w:rPr>
          <w:rFonts w:ascii="Arial" w:hAnsi="Arial" w:cs="Arial"/>
        </w:rPr>
      </w:pPr>
      <w:r>
        <w:fldChar w:fldCharType="begin"/>
      </w:r>
      <w:r w:rsidR="003A464F">
        <w:instrText xml:space="preserve"> ADDIN ZOTERO_BIBL {"uncited":[],"omitted":[],"custom":[]} CSL_BIBLIOGRAPHY </w:instrText>
      </w:r>
      <w:r>
        <w:fldChar w:fldCharType="separate"/>
      </w:r>
      <w:r w:rsidR="003A464F" w:rsidRPr="003A464F">
        <w:rPr>
          <w:rFonts w:ascii="Arial" w:hAnsi="Arial" w:cs="Arial"/>
        </w:rPr>
        <w:t>Albanesi, C., Tomasetto, C., Guardabassi, V., 2021. Evaluating interventions with victims of intimate partner violence: a community psychology approach. BMC Women’s Health 21, 138. https://doi.org/10.1186/s12905-021-01268-7</w:t>
      </w:r>
    </w:p>
    <w:p w14:paraId="1ABFF28A" w14:textId="77777777" w:rsidR="003A464F" w:rsidRPr="003A464F" w:rsidRDefault="003A464F" w:rsidP="003A464F">
      <w:pPr>
        <w:pStyle w:val="Bibliography"/>
        <w:rPr>
          <w:rFonts w:ascii="Arial" w:hAnsi="Arial" w:cs="Arial"/>
        </w:rPr>
      </w:pPr>
      <w:r w:rsidRPr="003A464F">
        <w:rPr>
          <w:rFonts w:ascii="Arial" w:hAnsi="Arial" w:cs="Arial"/>
        </w:rPr>
        <w:t>Alisic, E., Barrett, A., Conroy, R., Devaney, J., Eastwood, O., Frederick, J., Houghton, C., Humphreys, C., Joy, K., Marinkovic Chavez, K., Morrice, H., Sakthiakumaran, A., Vasileva, M., 2023. Children and Young People Bereaved by Domestic Homicide - A Focus on Australia. University of Melbourne and University of Edinburgh.</w:t>
      </w:r>
    </w:p>
    <w:p w14:paraId="50C851E7" w14:textId="77777777" w:rsidR="003A464F" w:rsidRPr="003A464F" w:rsidRDefault="003A464F" w:rsidP="003A464F">
      <w:pPr>
        <w:pStyle w:val="Bibliography"/>
        <w:rPr>
          <w:rFonts w:ascii="Arial" w:hAnsi="Arial" w:cs="Arial"/>
        </w:rPr>
      </w:pPr>
      <w:r w:rsidRPr="003A464F">
        <w:rPr>
          <w:rFonts w:ascii="Arial" w:hAnsi="Arial" w:cs="Arial"/>
        </w:rPr>
        <w:t>Andersen, L.M.B., Rasmussen, A.N., Reavley, N.J., Bøggild, H., Overgaard, C., 2021. The social route to mental health: A systematic review and synthesis of theories linking social relationships to mental health to inform interventions. SSM - Mental Health 1, 100042. https://doi.org/10.1016/j.ssmmh.2021.100042</w:t>
      </w:r>
    </w:p>
    <w:p w14:paraId="2FFAE67B" w14:textId="77777777" w:rsidR="003A464F" w:rsidRPr="003A464F" w:rsidRDefault="003A464F" w:rsidP="003A464F">
      <w:pPr>
        <w:pStyle w:val="Bibliography"/>
        <w:rPr>
          <w:rFonts w:ascii="Arial" w:hAnsi="Arial" w:cs="Arial"/>
        </w:rPr>
      </w:pPr>
      <w:r w:rsidRPr="003A464F">
        <w:rPr>
          <w:rFonts w:ascii="Arial" w:hAnsi="Arial" w:cs="Arial"/>
        </w:rPr>
        <w:t>Australian Bureau of Statistics, 2023. Personal Safety, Australia (Version 2021-22 financial year).</w:t>
      </w:r>
    </w:p>
    <w:p w14:paraId="4768D52C" w14:textId="77777777" w:rsidR="003A464F" w:rsidRPr="003A464F" w:rsidRDefault="003A464F" w:rsidP="003A464F">
      <w:pPr>
        <w:pStyle w:val="Bibliography"/>
        <w:rPr>
          <w:rFonts w:ascii="Arial" w:hAnsi="Arial" w:cs="Arial"/>
        </w:rPr>
      </w:pPr>
      <w:r w:rsidRPr="003A464F">
        <w:rPr>
          <w:rFonts w:ascii="Arial" w:hAnsi="Arial" w:cs="Arial"/>
        </w:rPr>
        <w:t>Australian Bureau of Statistics, 2021. Disability and Violence - In Focus: Crime and Justice Statistics, Disability and violence - April 2021 [WWW Document]. URL https://www.abs.gov.au/statistics/people/crime-and-justice/focus-crime-and-justice-statistics/latest-release (accessed 9.8.25).</w:t>
      </w:r>
    </w:p>
    <w:p w14:paraId="1BC6E6AF" w14:textId="77777777" w:rsidR="003A464F" w:rsidRPr="003A464F" w:rsidRDefault="003A464F" w:rsidP="003A464F">
      <w:pPr>
        <w:pStyle w:val="Bibliography"/>
        <w:rPr>
          <w:rFonts w:ascii="Arial" w:hAnsi="Arial" w:cs="Arial"/>
        </w:rPr>
      </w:pPr>
      <w:r w:rsidRPr="003A464F">
        <w:rPr>
          <w:rFonts w:ascii="Arial" w:hAnsi="Arial" w:cs="Arial"/>
        </w:rPr>
        <w:t>Australian Child Maltreatment Study, 2023. The Australian Child Maltreatment Study (ACMS) [WWW Document]. The Australian Child Maltreatment Study (ACMS). URL https://www.acms.au/ (accessed 9.8.25).</w:t>
      </w:r>
    </w:p>
    <w:p w14:paraId="388C780E" w14:textId="77777777" w:rsidR="003A464F" w:rsidRPr="003A464F" w:rsidRDefault="003A464F" w:rsidP="003A464F">
      <w:pPr>
        <w:pStyle w:val="Bibliography"/>
        <w:rPr>
          <w:rFonts w:ascii="Arial" w:hAnsi="Arial" w:cs="Arial"/>
        </w:rPr>
      </w:pPr>
      <w:r w:rsidRPr="003A464F">
        <w:rPr>
          <w:rFonts w:ascii="Arial" w:hAnsi="Arial" w:cs="Arial"/>
        </w:rPr>
        <w:t>Australian Government, n.d. Outcome 17 - Closing the Gap [WWW Document]. URL https://www.closingthegap.gov.au/national-agreement/national-agreement-closing-the-gap/7-difference/b-targets/b17 (accessed 8.1.25).</w:t>
      </w:r>
    </w:p>
    <w:p w14:paraId="7FE67890" w14:textId="77777777" w:rsidR="003A464F" w:rsidRPr="003A464F" w:rsidRDefault="003A464F" w:rsidP="003A464F">
      <w:pPr>
        <w:pStyle w:val="Bibliography"/>
        <w:rPr>
          <w:rFonts w:ascii="Arial" w:hAnsi="Arial" w:cs="Arial"/>
        </w:rPr>
      </w:pPr>
      <w:r w:rsidRPr="003A464F">
        <w:rPr>
          <w:rFonts w:ascii="Arial" w:hAnsi="Arial" w:cs="Arial"/>
        </w:rPr>
        <w:t>Australian Human Rights Commission, 2020. Wiyi Yani U Thangani (Women’s Voices): Securing Our Rights, Securing Our Future Report. Australian Human Rights Commission.</w:t>
      </w:r>
    </w:p>
    <w:p w14:paraId="47AC3774" w14:textId="77777777" w:rsidR="003A464F" w:rsidRPr="003A464F" w:rsidRDefault="003A464F" w:rsidP="003A464F">
      <w:pPr>
        <w:pStyle w:val="Bibliography"/>
        <w:rPr>
          <w:rFonts w:ascii="Arial" w:hAnsi="Arial" w:cs="Arial"/>
        </w:rPr>
      </w:pPr>
      <w:r w:rsidRPr="003A464F">
        <w:rPr>
          <w:rFonts w:ascii="Arial" w:hAnsi="Arial" w:cs="Arial"/>
        </w:rPr>
        <w:t>Australian Institute of Family Studies, 2024a. Family Relationships Services Program Review. Commonwealth of Australia.</w:t>
      </w:r>
    </w:p>
    <w:p w14:paraId="34D842D2" w14:textId="77777777" w:rsidR="003A464F" w:rsidRPr="003A464F" w:rsidRDefault="003A464F" w:rsidP="003A464F">
      <w:pPr>
        <w:pStyle w:val="Bibliography"/>
        <w:rPr>
          <w:rFonts w:ascii="Arial" w:hAnsi="Arial" w:cs="Arial"/>
        </w:rPr>
      </w:pPr>
      <w:r w:rsidRPr="003A464F">
        <w:rPr>
          <w:rFonts w:ascii="Arial" w:hAnsi="Arial" w:cs="Arial"/>
        </w:rPr>
        <w:t>Australian Institute of Family Studies, 2024b. Family Relationships Services Program Review. Commonwealth of Australia.</w:t>
      </w:r>
    </w:p>
    <w:p w14:paraId="6788386B" w14:textId="77777777" w:rsidR="003A464F" w:rsidRPr="003A464F" w:rsidRDefault="003A464F" w:rsidP="003A464F">
      <w:pPr>
        <w:pStyle w:val="Bibliography"/>
        <w:rPr>
          <w:rFonts w:ascii="Arial" w:hAnsi="Arial" w:cs="Arial"/>
        </w:rPr>
      </w:pPr>
      <w:r w:rsidRPr="003A464F">
        <w:rPr>
          <w:rFonts w:ascii="Arial" w:hAnsi="Arial" w:cs="Arial"/>
        </w:rPr>
        <w:t>Australian Institute of Family Studies, 2023a. Population, households and families.</w:t>
      </w:r>
    </w:p>
    <w:p w14:paraId="6FE961AC" w14:textId="77777777" w:rsidR="003A464F" w:rsidRPr="003A464F" w:rsidRDefault="003A464F" w:rsidP="003A464F">
      <w:pPr>
        <w:pStyle w:val="Bibliography"/>
        <w:rPr>
          <w:rFonts w:ascii="Arial" w:hAnsi="Arial" w:cs="Arial"/>
        </w:rPr>
      </w:pPr>
      <w:r w:rsidRPr="003A464F">
        <w:rPr>
          <w:rFonts w:ascii="Arial" w:hAnsi="Arial" w:cs="Arial"/>
        </w:rPr>
        <w:t>Australian Institute of Family Studies, 2023b. Families and family composition.</w:t>
      </w:r>
    </w:p>
    <w:p w14:paraId="6754E68A" w14:textId="77777777" w:rsidR="003A464F" w:rsidRPr="003A464F" w:rsidRDefault="003A464F" w:rsidP="003A464F">
      <w:pPr>
        <w:pStyle w:val="Bibliography"/>
        <w:rPr>
          <w:rFonts w:ascii="Arial" w:hAnsi="Arial" w:cs="Arial"/>
        </w:rPr>
      </w:pPr>
      <w:r w:rsidRPr="003A464F">
        <w:rPr>
          <w:rFonts w:ascii="Arial" w:hAnsi="Arial" w:cs="Arial"/>
        </w:rPr>
        <w:t>Australian Institute of Family Studies, 2018. National survey of FaRS-funded service providers. Commonwealth of Australia.</w:t>
      </w:r>
    </w:p>
    <w:p w14:paraId="3F1D1B11" w14:textId="77777777" w:rsidR="003A464F" w:rsidRPr="003A464F" w:rsidRDefault="003A464F" w:rsidP="003A464F">
      <w:pPr>
        <w:pStyle w:val="Bibliography"/>
        <w:rPr>
          <w:rFonts w:ascii="Arial" w:hAnsi="Arial" w:cs="Arial"/>
        </w:rPr>
      </w:pPr>
      <w:r w:rsidRPr="003A464F">
        <w:rPr>
          <w:rFonts w:ascii="Arial" w:hAnsi="Arial" w:cs="Arial"/>
        </w:rPr>
        <w:lastRenderedPageBreak/>
        <w:t>Australian Institute of Health and Welfare, 2024a. Australian Burden of Disease Study 2024. Australian Institute of Health and Welfare.</w:t>
      </w:r>
    </w:p>
    <w:p w14:paraId="5AA43A55" w14:textId="77777777" w:rsidR="003A464F" w:rsidRPr="003A464F" w:rsidRDefault="003A464F" w:rsidP="003A464F">
      <w:pPr>
        <w:pStyle w:val="Bibliography"/>
        <w:rPr>
          <w:rFonts w:ascii="Arial" w:hAnsi="Arial" w:cs="Arial"/>
        </w:rPr>
      </w:pPr>
      <w:r w:rsidRPr="003A464F">
        <w:rPr>
          <w:rFonts w:ascii="Arial" w:hAnsi="Arial" w:cs="Arial"/>
        </w:rPr>
        <w:t>Australian Institute of Health and Welfare, 2024b. Child protection Australia 2022–23. Australian Government, Canberra, ACT.</w:t>
      </w:r>
    </w:p>
    <w:p w14:paraId="695EC2F1" w14:textId="77777777" w:rsidR="003A464F" w:rsidRPr="003A464F" w:rsidRDefault="003A464F" w:rsidP="003A464F">
      <w:pPr>
        <w:pStyle w:val="Bibliography"/>
        <w:rPr>
          <w:rFonts w:ascii="Arial" w:hAnsi="Arial" w:cs="Arial"/>
        </w:rPr>
      </w:pPr>
      <w:r w:rsidRPr="003A464F">
        <w:rPr>
          <w:rFonts w:ascii="Arial" w:hAnsi="Arial" w:cs="Arial"/>
        </w:rPr>
        <w:t>Australia’s National Research Organisation for Women’s Safety, 2025. Quality practice elements for MBCPs in the NT. Australia’s National Research Organisation for Women’s Safety.</w:t>
      </w:r>
    </w:p>
    <w:p w14:paraId="73697F40" w14:textId="77777777" w:rsidR="003A464F" w:rsidRPr="003A464F" w:rsidRDefault="003A464F" w:rsidP="003A464F">
      <w:pPr>
        <w:pStyle w:val="Bibliography"/>
        <w:rPr>
          <w:rFonts w:ascii="Arial" w:hAnsi="Arial" w:cs="Arial"/>
        </w:rPr>
      </w:pPr>
      <w:r w:rsidRPr="003A464F">
        <w:rPr>
          <w:rFonts w:ascii="Arial" w:hAnsi="Arial" w:cs="Arial"/>
        </w:rPr>
        <w:t>Ban, P., 2022. Piri Piri Mab – The Journey to Legal Recognition of the Torres Strait Islander Child Rearing. Paul Ban and Associates Pty Ltd.</w:t>
      </w:r>
    </w:p>
    <w:p w14:paraId="3143A313" w14:textId="77777777" w:rsidR="003A464F" w:rsidRPr="003A464F" w:rsidRDefault="003A464F" w:rsidP="003A464F">
      <w:pPr>
        <w:pStyle w:val="Bibliography"/>
        <w:rPr>
          <w:rFonts w:ascii="Arial" w:hAnsi="Arial" w:cs="Arial"/>
        </w:rPr>
      </w:pPr>
      <w:r w:rsidRPr="003A464F">
        <w:rPr>
          <w:rFonts w:ascii="Arial" w:hAnsi="Arial" w:cs="Arial"/>
        </w:rPr>
        <w:t>Baptista, R.R.D.O., Tagliamento, G., 2021. Effectiveness of interventions with male perpetrators of violence against women: A narrative review. Aggression and Violent Behavior 58, 101583. https://doi.org/10.1016/j.avb.2021.101583</w:t>
      </w:r>
    </w:p>
    <w:p w14:paraId="0AD3EE3E" w14:textId="77777777" w:rsidR="003A464F" w:rsidRPr="003A464F" w:rsidRDefault="003A464F" w:rsidP="003A464F">
      <w:pPr>
        <w:pStyle w:val="Bibliography"/>
        <w:rPr>
          <w:rFonts w:ascii="Arial" w:hAnsi="Arial" w:cs="Arial"/>
        </w:rPr>
      </w:pPr>
      <w:r w:rsidRPr="003A464F">
        <w:rPr>
          <w:rFonts w:ascii="Arial" w:hAnsi="Arial" w:cs="Arial"/>
        </w:rPr>
        <w:t>Baxter, J., 2024. How mothers and fathers share child care in Australia. Australian Institute of Family Studies.</w:t>
      </w:r>
    </w:p>
    <w:p w14:paraId="7F6767EF" w14:textId="77777777" w:rsidR="003A464F" w:rsidRPr="003A464F" w:rsidRDefault="003A464F" w:rsidP="003A464F">
      <w:pPr>
        <w:pStyle w:val="Bibliography"/>
        <w:rPr>
          <w:rFonts w:ascii="Arial" w:hAnsi="Arial" w:cs="Arial"/>
        </w:rPr>
      </w:pPr>
      <w:r w:rsidRPr="003A464F">
        <w:rPr>
          <w:rFonts w:ascii="Arial" w:hAnsi="Arial" w:cs="Arial"/>
        </w:rPr>
        <w:t>Baxter, J., 2023. Employment patterns and trends for families with children. Australian Institute of Family Studies.</w:t>
      </w:r>
    </w:p>
    <w:p w14:paraId="3D0B2A7E" w14:textId="77777777" w:rsidR="003A464F" w:rsidRPr="003A464F" w:rsidRDefault="003A464F" w:rsidP="003A464F">
      <w:pPr>
        <w:pStyle w:val="Bibliography"/>
        <w:rPr>
          <w:rFonts w:ascii="Arial" w:hAnsi="Arial" w:cs="Arial"/>
        </w:rPr>
      </w:pPr>
      <w:r w:rsidRPr="003A464F">
        <w:rPr>
          <w:rFonts w:ascii="Arial" w:hAnsi="Arial" w:cs="Arial"/>
        </w:rPr>
        <w:t>Baxter, J., Warren, D., 2021. Families in Australia Survey 3, Report no. 2, Relationships within the family. Australian Institute of Family Studies, Melbourne.</w:t>
      </w:r>
    </w:p>
    <w:p w14:paraId="706A088D" w14:textId="77777777" w:rsidR="003A464F" w:rsidRPr="003A464F" w:rsidRDefault="003A464F" w:rsidP="003A464F">
      <w:pPr>
        <w:pStyle w:val="Bibliography"/>
        <w:rPr>
          <w:rFonts w:ascii="Arial" w:hAnsi="Arial" w:cs="Arial"/>
        </w:rPr>
      </w:pPr>
      <w:r w:rsidRPr="003A464F">
        <w:rPr>
          <w:rFonts w:ascii="Arial" w:hAnsi="Arial" w:cs="Arial"/>
        </w:rPr>
        <w:t>Beckwith, S., Lowe, L., Wall, L., Stevens, E., Carson, R., Kaspiew, R., MacDonald, J.B., McEwen, J., Willoughby, M., Gahan, L., 2023. Coercive Control Literature Review.</w:t>
      </w:r>
    </w:p>
    <w:p w14:paraId="2ED6EED4" w14:textId="77777777" w:rsidR="003A464F" w:rsidRPr="003A464F" w:rsidRDefault="003A464F" w:rsidP="003A464F">
      <w:pPr>
        <w:pStyle w:val="Bibliography"/>
        <w:rPr>
          <w:rFonts w:ascii="Arial" w:hAnsi="Arial" w:cs="Arial"/>
        </w:rPr>
      </w:pPr>
      <w:r w:rsidRPr="003A464F">
        <w:rPr>
          <w:rFonts w:ascii="Arial" w:hAnsi="Arial" w:cs="Arial"/>
        </w:rPr>
        <w:t>Bell, C., Coates, D., 2022. The effectiveness of interventions for perpetrators of domestic and family violence: An overview of findings from reviews. Australia’s National Research Organisation for Women’s Safety.</w:t>
      </w:r>
    </w:p>
    <w:p w14:paraId="0694FA2F" w14:textId="77777777" w:rsidR="003A464F" w:rsidRPr="003A464F" w:rsidRDefault="003A464F" w:rsidP="003A464F">
      <w:pPr>
        <w:pStyle w:val="Bibliography"/>
        <w:rPr>
          <w:rFonts w:ascii="Arial" w:hAnsi="Arial" w:cs="Arial"/>
        </w:rPr>
      </w:pPr>
      <w:r w:rsidRPr="003A464F">
        <w:rPr>
          <w:rFonts w:ascii="Arial" w:hAnsi="Arial" w:cs="Arial"/>
        </w:rPr>
        <w:t>Bertschi, I.C., Meier, F., Bodenmann, G., 2021. Disability as an Interpersonal Experience: A Systematic Review on Dyadic Challenges and Dyadic Coping When One Partner Has a Chronic Physical or Sensory Impairment. Front Psychol 12, 624609. https://doi.org/10.3389/fpsyg.2021.624609</w:t>
      </w:r>
    </w:p>
    <w:p w14:paraId="1C4E9546" w14:textId="77777777" w:rsidR="003A464F" w:rsidRPr="003A464F" w:rsidRDefault="003A464F" w:rsidP="003A464F">
      <w:pPr>
        <w:pStyle w:val="Bibliography"/>
        <w:rPr>
          <w:rFonts w:ascii="Arial" w:hAnsi="Arial" w:cs="Arial"/>
        </w:rPr>
      </w:pPr>
      <w:r w:rsidRPr="003A464F">
        <w:rPr>
          <w:rFonts w:ascii="Arial" w:hAnsi="Arial" w:cs="Arial"/>
        </w:rPr>
        <w:t>Boxall, H., Meyer, S., Fitz-Gibbon, K., 2024. Sibling-to-sibling violence in Australia: Summary Report. ANU, Griffith University, Monash University.</w:t>
      </w:r>
    </w:p>
    <w:p w14:paraId="0DC15AC0" w14:textId="77777777" w:rsidR="003A464F" w:rsidRPr="003A464F" w:rsidRDefault="003A464F" w:rsidP="003A464F">
      <w:pPr>
        <w:pStyle w:val="Bibliography"/>
        <w:rPr>
          <w:rFonts w:ascii="Arial" w:hAnsi="Arial" w:cs="Arial"/>
        </w:rPr>
      </w:pPr>
      <w:r w:rsidRPr="003A464F">
        <w:rPr>
          <w:rFonts w:ascii="Arial" w:hAnsi="Arial" w:cs="Arial"/>
        </w:rPr>
        <w:t>Brown, C., 2019. Hopeful Together Strong – Inspiring Optimism for Future Generations Principles of Good Practice to Prevent Violence against women in the Northern Territory. Centre for Aboriginal Economic Policy Research Australian National University.</w:t>
      </w:r>
    </w:p>
    <w:p w14:paraId="4DC333B1" w14:textId="77777777" w:rsidR="003A464F" w:rsidRPr="003A464F" w:rsidRDefault="003A464F" w:rsidP="003A464F">
      <w:pPr>
        <w:pStyle w:val="Bibliography"/>
        <w:rPr>
          <w:rFonts w:ascii="Arial" w:hAnsi="Arial" w:cs="Arial"/>
        </w:rPr>
      </w:pPr>
      <w:r w:rsidRPr="003A464F">
        <w:rPr>
          <w:rFonts w:ascii="Arial" w:hAnsi="Arial" w:cs="Arial"/>
        </w:rPr>
        <w:t xml:space="preserve">Brown, S., Carter, G.J., Halliwell, G., Brown, K., Caswell, R., Howarth, E., Feder, G., O’Doherty, L., 2022. Survivor, family and professional experiences of psychosocial interventions for sexual abuse and violence: a qualitative evidence synthesis. </w:t>
      </w:r>
      <w:r w:rsidRPr="003A464F">
        <w:rPr>
          <w:rFonts w:ascii="Arial" w:hAnsi="Arial" w:cs="Arial"/>
        </w:rPr>
        <w:lastRenderedPageBreak/>
        <w:t>Cochrane Database of Systematic Reviews 2022. https://doi.org/10.1002/14651858.CD013648.pub2</w:t>
      </w:r>
    </w:p>
    <w:p w14:paraId="54A2F321" w14:textId="77777777" w:rsidR="003A464F" w:rsidRPr="003A464F" w:rsidRDefault="003A464F" w:rsidP="003A464F">
      <w:pPr>
        <w:pStyle w:val="Bibliography"/>
        <w:rPr>
          <w:rFonts w:ascii="Arial" w:hAnsi="Arial" w:cs="Arial"/>
        </w:rPr>
      </w:pPr>
      <w:r w:rsidRPr="003A464F">
        <w:rPr>
          <w:rFonts w:ascii="Arial" w:hAnsi="Arial" w:cs="Arial"/>
        </w:rPr>
        <w:t>Budinski, M., Gahan, L., 2023. What is family?: Australian views on what makes a. Australian Institute of Family Studies.</w:t>
      </w:r>
    </w:p>
    <w:p w14:paraId="0A560D10" w14:textId="77777777" w:rsidR="003A464F" w:rsidRPr="003A464F" w:rsidRDefault="003A464F" w:rsidP="003A464F">
      <w:pPr>
        <w:pStyle w:val="Bibliography"/>
        <w:rPr>
          <w:rFonts w:ascii="Arial" w:hAnsi="Arial" w:cs="Arial"/>
        </w:rPr>
      </w:pPr>
      <w:r w:rsidRPr="003A464F">
        <w:rPr>
          <w:rFonts w:ascii="Arial" w:hAnsi="Arial" w:cs="Arial"/>
        </w:rPr>
        <w:t>Butters, R.P., Droubay, B.A., Seawright, J.L., Tollefson, D.R., Lundahl, B., Whitaker, L., 2021. Intimate Partner Violence Perpetrator Treatment: Tailoring Interventions to Individual Needs. Clin Soc Work J 49, 391–404. https://doi.org/10.1007/s10615-020-00763-y</w:t>
      </w:r>
    </w:p>
    <w:p w14:paraId="223FCAA6" w14:textId="77777777" w:rsidR="003A464F" w:rsidRPr="003A464F" w:rsidRDefault="003A464F" w:rsidP="003A464F">
      <w:pPr>
        <w:pStyle w:val="Bibliography"/>
        <w:rPr>
          <w:rFonts w:ascii="Arial" w:hAnsi="Arial" w:cs="Arial"/>
        </w:rPr>
      </w:pPr>
      <w:r w:rsidRPr="003A464F">
        <w:rPr>
          <w:rFonts w:ascii="Arial" w:hAnsi="Arial" w:cs="Arial"/>
        </w:rPr>
        <w:t>Campbell, E., Ellard, R., Hew, E., Simpson, M., McCANN, B., Meyer, S., 2023. WRAP around families experiencing AVITH: Australia’s National Research Organisation fro Women’s Safety (ANROWS), NSW.</w:t>
      </w:r>
    </w:p>
    <w:p w14:paraId="044DFFC0" w14:textId="77777777" w:rsidR="003A464F" w:rsidRPr="003A464F" w:rsidRDefault="003A464F" w:rsidP="003A464F">
      <w:pPr>
        <w:pStyle w:val="Bibliography"/>
        <w:rPr>
          <w:rFonts w:ascii="Arial" w:hAnsi="Arial" w:cs="Arial"/>
        </w:rPr>
      </w:pPr>
      <w:r w:rsidRPr="003A464F">
        <w:rPr>
          <w:rFonts w:ascii="Arial" w:hAnsi="Arial" w:cs="Arial"/>
        </w:rPr>
        <w:t>Carlson, B., Day, M., Farrelly, T., 2021. What works? Exploring the literature on Aboriginal and Torres Strait Islander healing programs that respond to family violence. Australia’s National Research Organisation fro Women’s Safety (ANROWS), NSW.</w:t>
      </w:r>
    </w:p>
    <w:p w14:paraId="3F591A21" w14:textId="77777777" w:rsidR="003A464F" w:rsidRPr="003A464F" w:rsidRDefault="003A464F" w:rsidP="003A464F">
      <w:pPr>
        <w:pStyle w:val="Bibliography"/>
        <w:rPr>
          <w:rFonts w:ascii="Arial" w:hAnsi="Arial" w:cs="Arial"/>
        </w:rPr>
      </w:pPr>
      <w:r w:rsidRPr="003A464F">
        <w:rPr>
          <w:rFonts w:ascii="Arial" w:hAnsi="Arial" w:cs="Arial"/>
        </w:rPr>
        <w:t>Carr, A., 2025. Couple therapy and systemic interventions for adult-focused problems: The evidence base. Journal of Family Therapy 47, e12481. https://doi.org/10.1111/1467-6427.12481</w:t>
      </w:r>
    </w:p>
    <w:p w14:paraId="584C325D" w14:textId="77777777" w:rsidR="003A464F" w:rsidRPr="003A464F" w:rsidRDefault="003A464F" w:rsidP="003A464F">
      <w:pPr>
        <w:pStyle w:val="Bibliography"/>
        <w:rPr>
          <w:rFonts w:ascii="Arial" w:hAnsi="Arial" w:cs="Arial"/>
        </w:rPr>
      </w:pPr>
      <w:r w:rsidRPr="003A464F">
        <w:rPr>
          <w:rFonts w:ascii="Arial" w:hAnsi="Arial" w:cs="Arial"/>
        </w:rPr>
        <w:t>Centre for Family Research and Evaluation, 2019. Drummond Street Services Evaluation: Annual Report Snapshot Series 2019. Centre for Family Research and Evaluation, Victoria, Australia.</w:t>
      </w:r>
    </w:p>
    <w:p w14:paraId="7E34F379" w14:textId="139F6A56" w:rsidR="003A464F" w:rsidRPr="003A464F" w:rsidRDefault="003A464F" w:rsidP="003A464F">
      <w:pPr>
        <w:pStyle w:val="Bibliography"/>
        <w:rPr>
          <w:rFonts w:ascii="Arial" w:hAnsi="Arial" w:cs="Arial"/>
        </w:rPr>
      </w:pPr>
      <w:r w:rsidRPr="003A464F">
        <w:rPr>
          <w:rFonts w:ascii="Arial" w:hAnsi="Arial" w:cs="Arial"/>
        </w:rPr>
        <w:t>Centre for International Economics, 2023. Family and Relationship Services Economic Evaluation: Using cost-benefit analysis to assess the value of services. CIE.</w:t>
      </w:r>
    </w:p>
    <w:p w14:paraId="506D530E" w14:textId="77777777" w:rsidR="003A464F" w:rsidRPr="003A464F" w:rsidRDefault="003A464F" w:rsidP="003A464F">
      <w:pPr>
        <w:pStyle w:val="Bibliography"/>
        <w:rPr>
          <w:rFonts w:ascii="Arial" w:hAnsi="Arial" w:cs="Arial"/>
        </w:rPr>
      </w:pPr>
      <w:r w:rsidRPr="003A464F">
        <w:rPr>
          <w:rFonts w:ascii="Arial" w:hAnsi="Arial" w:cs="Arial"/>
        </w:rPr>
        <w:t>Centre for Non-Violence, Modified Service Delivery, 2024. FDV and Disability: Best Practice Guide.</w:t>
      </w:r>
    </w:p>
    <w:p w14:paraId="0D1821B9" w14:textId="77777777" w:rsidR="003A464F" w:rsidRPr="003A464F" w:rsidRDefault="003A464F" w:rsidP="003A464F">
      <w:pPr>
        <w:pStyle w:val="Bibliography"/>
        <w:rPr>
          <w:rFonts w:ascii="Arial" w:hAnsi="Arial" w:cs="Arial"/>
        </w:rPr>
      </w:pPr>
      <w:r w:rsidRPr="003A464F">
        <w:rPr>
          <w:rFonts w:ascii="Arial" w:hAnsi="Arial" w:cs="Arial"/>
        </w:rPr>
        <w:t>Churchill, H., Baena, S., Crosse, R., Jiménez, L., Millar, Mi., 2020. Developing family support services: A comparison of national reforms and challenges in England, Ireland and Spain. SWSSR 21, 58–83. https://doi.org/10.1921/swssr.v21i2.1418</w:t>
      </w:r>
    </w:p>
    <w:p w14:paraId="71D25D51" w14:textId="77777777" w:rsidR="003A464F" w:rsidRPr="003A464F" w:rsidRDefault="003A464F" w:rsidP="003A464F">
      <w:pPr>
        <w:pStyle w:val="Bibliography"/>
        <w:rPr>
          <w:rFonts w:ascii="Arial" w:hAnsi="Arial" w:cs="Arial"/>
        </w:rPr>
      </w:pPr>
      <w:r w:rsidRPr="003A464F">
        <w:rPr>
          <w:rFonts w:ascii="Arial" w:hAnsi="Arial" w:cs="Arial"/>
        </w:rPr>
        <w:t>Cleaver, K., Maras, P., Oram, C., McCallum, K., 2019. A review of UK based multi-agency approaches to early intervention in domestic abuse: Lessons to be learnt from existing evaluation studies. Aggression and Violent Behavior 46, 140–155. https://doi.org/10.1016/j.avb.2019.02.005</w:t>
      </w:r>
    </w:p>
    <w:p w14:paraId="2E52E596" w14:textId="77777777" w:rsidR="003A464F" w:rsidRPr="003A464F" w:rsidRDefault="003A464F" w:rsidP="003A464F">
      <w:pPr>
        <w:pStyle w:val="Bibliography"/>
        <w:rPr>
          <w:rFonts w:ascii="Arial" w:hAnsi="Arial" w:cs="Arial"/>
        </w:rPr>
      </w:pPr>
      <w:r w:rsidRPr="003A464F">
        <w:rPr>
          <w:rFonts w:ascii="Arial" w:hAnsi="Arial" w:cs="Arial"/>
        </w:rPr>
        <w:t>Coates, D., Koleth, M., Hamilton, L., 2022. The effectiveness of crisis and post-crisis responses for victims and survivors of sexual violence: An overview of findings from reviews. Australia’s National Research Organisation for Women’s Safety.</w:t>
      </w:r>
    </w:p>
    <w:p w14:paraId="3D3E7A64" w14:textId="77777777" w:rsidR="003A464F" w:rsidRPr="003A464F" w:rsidRDefault="003A464F" w:rsidP="003A464F">
      <w:pPr>
        <w:pStyle w:val="Bibliography"/>
        <w:rPr>
          <w:rFonts w:ascii="Arial" w:hAnsi="Arial" w:cs="Arial"/>
        </w:rPr>
      </w:pPr>
      <w:r w:rsidRPr="003A464F">
        <w:rPr>
          <w:rFonts w:ascii="Arial" w:hAnsi="Arial" w:cs="Arial"/>
        </w:rPr>
        <w:lastRenderedPageBreak/>
        <w:t>Cochrane, M., Szilassy, E., Coope, C., Emsley, E., Johnson, M., Feder, G., Barbosa, E.C., 2024. Primary care system-level training and support programme for the secondary prevention of domestic violence and abuse: a cost-effectiveness feasibility model. BMJ Open 14, e071300. https://doi.org/10.1136/bmjopen-2022-071300</w:t>
      </w:r>
    </w:p>
    <w:p w14:paraId="20EA326F" w14:textId="77777777" w:rsidR="003A464F" w:rsidRPr="003A464F" w:rsidRDefault="003A464F" w:rsidP="003A464F">
      <w:pPr>
        <w:pStyle w:val="Bibliography"/>
        <w:rPr>
          <w:rFonts w:ascii="Arial" w:hAnsi="Arial" w:cs="Arial"/>
        </w:rPr>
      </w:pPr>
      <w:r w:rsidRPr="003A464F">
        <w:rPr>
          <w:rFonts w:ascii="Arial" w:hAnsi="Arial" w:cs="Arial"/>
        </w:rPr>
        <w:t>Colmar Brunton Social Research, 2004. Family Relationship Services Program - Client Input Consultancy. Department of Family and Community Services &amp; Attorney-General’s Department.</w:t>
      </w:r>
    </w:p>
    <w:p w14:paraId="539D9993" w14:textId="77777777" w:rsidR="003A464F" w:rsidRPr="003A464F" w:rsidRDefault="003A464F" w:rsidP="003A464F">
      <w:pPr>
        <w:pStyle w:val="Bibliography"/>
        <w:rPr>
          <w:rFonts w:ascii="Arial" w:hAnsi="Arial" w:cs="Arial"/>
        </w:rPr>
      </w:pPr>
      <w:r w:rsidRPr="003A464F">
        <w:rPr>
          <w:rFonts w:ascii="Arial" w:hAnsi="Arial" w:cs="Arial"/>
        </w:rPr>
        <w:t>Copson, R., Murphy, A.M., Cook, L., Neil, E., Sorensen, P., 2022. Relationship-based practice and digital technology in child and family social work: Learning from practice during the COVID-19 pandemic. Dev Child Welf 4, 3–19. https://doi.org/10.1177/25161032221079325</w:t>
      </w:r>
    </w:p>
    <w:p w14:paraId="601980A8" w14:textId="77777777" w:rsidR="003A464F" w:rsidRPr="003A464F" w:rsidRDefault="003A464F" w:rsidP="003A464F">
      <w:pPr>
        <w:pStyle w:val="Bibliography"/>
        <w:rPr>
          <w:rFonts w:ascii="Arial" w:hAnsi="Arial" w:cs="Arial"/>
        </w:rPr>
      </w:pPr>
      <w:r w:rsidRPr="003A464F">
        <w:rPr>
          <w:rFonts w:ascii="Arial" w:hAnsi="Arial" w:cs="Arial"/>
        </w:rPr>
        <w:t>Corrie, T., Moore, S., 2021. Amplify: Turning up the Volume on Young People and Family Violence. Melbourne City Mission, Melbourne.</w:t>
      </w:r>
    </w:p>
    <w:p w14:paraId="4D698838" w14:textId="77777777" w:rsidR="003A464F" w:rsidRPr="003A464F" w:rsidRDefault="003A464F" w:rsidP="003A464F">
      <w:pPr>
        <w:pStyle w:val="Bibliography"/>
        <w:rPr>
          <w:rFonts w:ascii="Arial" w:hAnsi="Arial" w:cs="Arial"/>
        </w:rPr>
      </w:pPr>
      <w:r w:rsidRPr="003A464F">
        <w:rPr>
          <w:rFonts w:ascii="Arial" w:hAnsi="Arial" w:cs="Arial"/>
        </w:rPr>
        <w:t>Cortis, N., Smyth, C., Valentine, K., Breckenridge, J., Cullen, P., 2021. Adapting Service Delivery during COVID-19: Experiences of Domestic Violence Practitioners. The British Journal of Social Work 51, 1779–1798. https://doi.org/10.1093/bjsw/bcab105</w:t>
      </w:r>
    </w:p>
    <w:p w14:paraId="649BA85B" w14:textId="77777777" w:rsidR="003A464F" w:rsidRPr="003A464F" w:rsidRDefault="003A464F" w:rsidP="003A464F">
      <w:pPr>
        <w:pStyle w:val="Bibliography"/>
        <w:rPr>
          <w:rFonts w:ascii="Arial" w:hAnsi="Arial" w:cs="Arial"/>
        </w:rPr>
      </w:pPr>
      <w:r w:rsidRPr="003A464F">
        <w:rPr>
          <w:rFonts w:ascii="Arial" w:hAnsi="Arial" w:cs="Arial"/>
        </w:rPr>
        <w:t>Darvishnia, A., Aghayousefi, A., Gharamaleki, N.S., 2023. The effectiveness of coping therapy on domestic violence and self- efficacy in abused women.</w:t>
      </w:r>
    </w:p>
    <w:p w14:paraId="429686FF" w14:textId="77777777" w:rsidR="003A464F" w:rsidRPr="003A464F" w:rsidRDefault="003A464F" w:rsidP="003A464F">
      <w:pPr>
        <w:pStyle w:val="Bibliography"/>
        <w:rPr>
          <w:rFonts w:ascii="Arial" w:hAnsi="Arial" w:cs="Arial"/>
        </w:rPr>
      </w:pPr>
      <w:r w:rsidRPr="003A464F">
        <w:rPr>
          <w:rFonts w:ascii="Arial" w:hAnsi="Arial" w:cs="Arial"/>
        </w:rPr>
        <w:t>Dasgupta, S., Melvin, E., 2024. Technology-Based Intimate Partner Violence Intervention Services for Generation Z Victims of Violence. Social Sciences 13, 169. https://doi.org/10.3390/socsci13030169</w:t>
      </w:r>
    </w:p>
    <w:p w14:paraId="23C5B99C" w14:textId="77777777" w:rsidR="003A464F" w:rsidRPr="003A464F" w:rsidRDefault="003A464F" w:rsidP="003A464F">
      <w:pPr>
        <w:pStyle w:val="Bibliography"/>
        <w:rPr>
          <w:rFonts w:ascii="Arial" w:hAnsi="Arial" w:cs="Arial"/>
        </w:rPr>
      </w:pPr>
      <w:r w:rsidRPr="003A464F">
        <w:rPr>
          <w:rFonts w:ascii="Arial" w:hAnsi="Arial" w:cs="Arial"/>
        </w:rPr>
        <w:t>Day, A., Vlais, R., Chung, D., Green, D., 2019. Standards of Practice in Domestic and Family Violence Behaviour Change Programs in Australia and New Zealand. ANZ J of Family Therapy 39, 501–513. https://doi.org/10.1002/anzf.1332</w:t>
      </w:r>
    </w:p>
    <w:p w14:paraId="736E4865" w14:textId="77777777" w:rsidR="003A464F" w:rsidRPr="003A464F" w:rsidRDefault="003A464F" w:rsidP="003A464F">
      <w:pPr>
        <w:pStyle w:val="Bibliography"/>
        <w:rPr>
          <w:rFonts w:ascii="Arial" w:hAnsi="Arial" w:cs="Arial"/>
        </w:rPr>
      </w:pPr>
      <w:r w:rsidRPr="003A464F">
        <w:rPr>
          <w:rFonts w:ascii="Arial" w:hAnsi="Arial" w:cs="Arial"/>
        </w:rPr>
        <w:t>Del Boca, D., Pronzato, C.D., Schiavon, L., 2024. The impact evaluation of short repeated programs: The case of parenting skills programs. Evaluation and Program Planning 106, 102476. https://doi.org/10.1016/j.evalprogplan.2024.102476</w:t>
      </w:r>
    </w:p>
    <w:p w14:paraId="68DC49C5" w14:textId="77777777" w:rsidR="003A464F" w:rsidRPr="003A464F" w:rsidRDefault="003A464F" w:rsidP="003A464F">
      <w:pPr>
        <w:pStyle w:val="Bibliography"/>
        <w:rPr>
          <w:rFonts w:ascii="Arial" w:hAnsi="Arial" w:cs="Arial"/>
        </w:rPr>
      </w:pPr>
      <w:r w:rsidRPr="003A464F">
        <w:rPr>
          <w:rFonts w:ascii="Arial" w:hAnsi="Arial" w:cs="Arial"/>
        </w:rPr>
        <w:t>Department of Health, Disability, and Ageing, 2021. National Mental Health and Suicide Prevention Plan. Department of Health, Disability, and Ageing.</w:t>
      </w:r>
    </w:p>
    <w:p w14:paraId="6606E6CD" w14:textId="77777777" w:rsidR="003A464F" w:rsidRPr="003A464F" w:rsidRDefault="003A464F" w:rsidP="003A464F">
      <w:pPr>
        <w:pStyle w:val="Bibliography"/>
        <w:rPr>
          <w:rFonts w:ascii="Arial" w:hAnsi="Arial" w:cs="Arial"/>
        </w:rPr>
      </w:pPr>
      <w:r w:rsidRPr="003A464F">
        <w:rPr>
          <w:rFonts w:ascii="Arial" w:hAnsi="Arial" w:cs="Arial"/>
        </w:rPr>
        <w:t>Department of Social Services, 2023. Aboriginal and Torres Strait Islander Action Plan 2023-2025.</w:t>
      </w:r>
    </w:p>
    <w:p w14:paraId="31D13751" w14:textId="77777777" w:rsidR="003A464F" w:rsidRPr="003A464F" w:rsidRDefault="003A464F" w:rsidP="003A464F">
      <w:pPr>
        <w:pStyle w:val="Bibliography"/>
        <w:rPr>
          <w:rFonts w:ascii="Arial" w:hAnsi="Arial" w:cs="Arial"/>
        </w:rPr>
      </w:pPr>
      <w:r w:rsidRPr="003A464F">
        <w:rPr>
          <w:rFonts w:ascii="Arial" w:hAnsi="Arial" w:cs="Arial"/>
        </w:rPr>
        <w:t>Department of Social Services, 2022. National Plan to End Violence against Women and Children 2022-2032.</w:t>
      </w:r>
    </w:p>
    <w:p w14:paraId="4243E708" w14:textId="77777777" w:rsidR="003A464F" w:rsidRPr="003A464F" w:rsidRDefault="003A464F" w:rsidP="003A464F">
      <w:pPr>
        <w:pStyle w:val="Bibliography"/>
        <w:rPr>
          <w:rFonts w:ascii="Arial" w:hAnsi="Arial" w:cs="Arial"/>
        </w:rPr>
      </w:pPr>
      <w:r w:rsidRPr="003A464F">
        <w:rPr>
          <w:rFonts w:ascii="Arial" w:hAnsi="Arial" w:cs="Arial"/>
        </w:rPr>
        <w:t>Department of Social Services, 2021a. Family and Relationship Services Operational Guidelines.</w:t>
      </w:r>
    </w:p>
    <w:p w14:paraId="4202F81F" w14:textId="687A2798" w:rsidR="003A464F" w:rsidRPr="003A464F" w:rsidRDefault="003A464F" w:rsidP="003A464F">
      <w:pPr>
        <w:pStyle w:val="Bibliography"/>
        <w:rPr>
          <w:rFonts w:ascii="Arial" w:hAnsi="Arial" w:cs="Arial"/>
        </w:rPr>
      </w:pPr>
      <w:r w:rsidRPr="003A464F">
        <w:rPr>
          <w:rFonts w:ascii="Arial" w:hAnsi="Arial" w:cs="Arial"/>
        </w:rPr>
        <w:lastRenderedPageBreak/>
        <w:t>Department of Social Services, 2021b. Family and Relationship Services - Specialised Family Violence Services Operational Guidelines.</w:t>
      </w:r>
    </w:p>
    <w:p w14:paraId="06F58B6A" w14:textId="77777777" w:rsidR="003A464F" w:rsidRPr="003A464F" w:rsidRDefault="003A464F" w:rsidP="003A464F">
      <w:pPr>
        <w:pStyle w:val="Bibliography"/>
        <w:rPr>
          <w:rFonts w:ascii="Arial" w:hAnsi="Arial" w:cs="Arial"/>
        </w:rPr>
      </w:pPr>
      <w:r w:rsidRPr="003A464F">
        <w:rPr>
          <w:rFonts w:ascii="Arial" w:hAnsi="Arial" w:cs="Arial"/>
        </w:rPr>
        <w:t>Department of Social Services, 2021c. The National Framework for Protecting Australia’s Children 2021-2031. Department of Social Services.</w:t>
      </w:r>
    </w:p>
    <w:p w14:paraId="14F2264C" w14:textId="77777777" w:rsidR="003A464F" w:rsidRPr="003A464F" w:rsidRDefault="003A464F" w:rsidP="003A464F">
      <w:pPr>
        <w:pStyle w:val="Bibliography"/>
        <w:rPr>
          <w:rFonts w:ascii="Arial" w:hAnsi="Arial" w:cs="Arial"/>
        </w:rPr>
      </w:pPr>
      <w:r w:rsidRPr="003A464F">
        <w:rPr>
          <w:rFonts w:ascii="Arial" w:hAnsi="Arial" w:cs="Arial"/>
        </w:rPr>
        <w:t>Department of Social Services, 2021d. Australia’s Disability Strategy 2021 - 2031. Department of Social Services.</w:t>
      </w:r>
    </w:p>
    <w:p w14:paraId="28B3DB59" w14:textId="77777777" w:rsidR="003A464F" w:rsidRPr="003A464F" w:rsidRDefault="003A464F" w:rsidP="003A464F">
      <w:pPr>
        <w:pStyle w:val="Bibliography"/>
        <w:rPr>
          <w:rFonts w:ascii="Arial" w:hAnsi="Arial" w:cs="Arial"/>
        </w:rPr>
      </w:pPr>
      <w:r w:rsidRPr="003A464F">
        <w:rPr>
          <w:rFonts w:ascii="Arial" w:hAnsi="Arial" w:cs="Arial"/>
        </w:rPr>
        <w:t>Department of Social Services, 2019. Fourth Action Plan – National Plan to Reduce Violence against Women and their Children.</w:t>
      </w:r>
    </w:p>
    <w:p w14:paraId="16F29F7B" w14:textId="77777777" w:rsidR="003A464F" w:rsidRPr="003A464F" w:rsidRDefault="003A464F" w:rsidP="003A464F">
      <w:pPr>
        <w:pStyle w:val="Bibliography"/>
        <w:rPr>
          <w:rFonts w:ascii="Arial" w:hAnsi="Arial" w:cs="Arial"/>
        </w:rPr>
      </w:pPr>
      <w:r w:rsidRPr="003A464F">
        <w:rPr>
          <w:rFonts w:ascii="Arial" w:hAnsi="Arial" w:cs="Arial"/>
        </w:rPr>
        <w:t>Dowrick, A., Hawking, M., Barbosa, E., 2022. The social value of improving the primary care response to domestic violence and abuse: A mixed methods Social Return on Investment analysis of the IRIS programme. IRISi.</w:t>
      </w:r>
    </w:p>
    <w:p w14:paraId="74DCE35C" w14:textId="77777777" w:rsidR="003A464F" w:rsidRPr="003A464F" w:rsidRDefault="003A464F" w:rsidP="003A464F">
      <w:pPr>
        <w:pStyle w:val="Bibliography"/>
        <w:rPr>
          <w:rFonts w:ascii="Arial" w:hAnsi="Arial" w:cs="Arial"/>
        </w:rPr>
      </w:pPr>
      <w:r w:rsidRPr="003A464F">
        <w:rPr>
          <w:rFonts w:ascii="Arial" w:hAnsi="Arial" w:cs="Arial"/>
        </w:rPr>
        <w:t>Dragiewicz, M., Woodlock, D., Salter, M., Harris, B., 2022. “What’s Mum’s Password?”: Australian Mothers’ Perceptions of Children’s Involvement in Technology-Facilitated Coercive Control. J Fam Viol 37, 137–149. https://doi.org/10.1007/s10896-021-00283-4</w:t>
      </w:r>
    </w:p>
    <w:p w14:paraId="590B2AAB" w14:textId="77777777" w:rsidR="003A464F" w:rsidRPr="003A464F" w:rsidRDefault="003A464F" w:rsidP="003A464F">
      <w:pPr>
        <w:pStyle w:val="Bibliography"/>
        <w:rPr>
          <w:rFonts w:ascii="Arial" w:hAnsi="Arial" w:cs="Arial"/>
        </w:rPr>
      </w:pPr>
      <w:r w:rsidRPr="003A464F">
        <w:rPr>
          <w:rFonts w:ascii="Arial" w:hAnsi="Arial" w:cs="Arial"/>
        </w:rPr>
        <w:t>Dudgeon, P., Blustein, S., Bray, A., Calma, T., McPhee, R., Ring, I., 2021. Connection between family, kinship and social and emotional wellbeing. Australian Institute of Health and Welfare.</w:t>
      </w:r>
    </w:p>
    <w:p w14:paraId="1C70D1D7" w14:textId="77777777" w:rsidR="003A464F" w:rsidRPr="003A464F" w:rsidRDefault="003A464F" w:rsidP="003A464F">
      <w:pPr>
        <w:pStyle w:val="Bibliography"/>
        <w:rPr>
          <w:rFonts w:ascii="Arial" w:hAnsi="Arial" w:cs="Arial"/>
        </w:rPr>
      </w:pPr>
      <w:r w:rsidRPr="003A464F">
        <w:rPr>
          <w:rFonts w:ascii="Arial" w:hAnsi="Arial" w:cs="Arial"/>
        </w:rPr>
        <w:t>Ellard-Gray, A., Jeffrey, N.K., Choubak, M., Crann, S.E., 2015. Finding the Hidden Participant: Solutions for Recruiting Hidden, Hard-to-Reach, and Vulnerable Populations. International Journal of Qualitative Methods 14, 1609406915621420. https://doi.org/10.1177/1609406915621420</w:t>
      </w:r>
    </w:p>
    <w:p w14:paraId="2F2EF847" w14:textId="77777777" w:rsidR="003A464F" w:rsidRPr="003A464F" w:rsidRDefault="003A464F" w:rsidP="003A464F">
      <w:pPr>
        <w:pStyle w:val="Bibliography"/>
        <w:rPr>
          <w:rFonts w:ascii="Arial" w:hAnsi="Arial" w:cs="Arial"/>
        </w:rPr>
      </w:pPr>
      <w:r w:rsidRPr="003A464F">
        <w:rPr>
          <w:rFonts w:ascii="Arial" w:hAnsi="Arial" w:cs="Arial"/>
        </w:rPr>
        <w:t>Eric Dillon Consulting, 2022. Report on Evaluation of the “Choose Change” Early Intervention Family and Domestic Violence Program. Communicare.</w:t>
      </w:r>
    </w:p>
    <w:p w14:paraId="37F78719" w14:textId="77777777" w:rsidR="003A464F" w:rsidRPr="003A464F" w:rsidRDefault="003A464F" w:rsidP="003A464F">
      <w:pPr>
        <w:pStyle w:val="Bibliography"/>
        <w:rPr>
          <w:rFonts w:ascii="Arial" w:hAnsi="Arial" w:cs="Arial"/>
        </w:rPr>
      </w:pPr>
      <w:r w:rsidRPr="003A464F">
        <w:rPr>
          <w:rFonts w:ascii="Arial" w:hAnsi="Arial" w:cs="Arial"/>
        </w:rPr>
        <w:t>eSafety Commissioner, 2023. Technology facilitated abuse: family, domestic and sexual violence - Literature scan. eSafety Commissioner.</w:t>
      </w:r>
    </w:p>
    <w:p w14:paraId="2E06929D" w14:textId="77777777" w:rsidR="003A464F" w:rsidRPr="003A464F" w:rsidRDefault="003A464F" w:rsidP="003A464F">
      <w:pPr>
        <w:pStyle w:val="Bibliography"/>
        <w:rPr>
          <w:rFonts w:ascii="Arial" w:hAnsi="Arial" w:cs="Arial"/>
        </w:rPr>
      </w:pPr>
      <w:r w:rsidRPr="003A464F">
        <w:rPr>
          <w:rFonts w:ascii="Arial" w:hAnsi="Arial" w:cs="Arial"/>
        </w:rPr>
        <w:t>Fingerman, K.L., Huo, M., Birditt, K.S., 2020. A Decade of Research on Intergenerational Ties: Technological, Economic, Political, and Demographic Changes. J of Marriage and Family 82, 383–403. https://doi.org/10.1111/jomf.12604</w:t>
      </w:r>
    </w:p>
    <w:p w14:paraId="4D336448" w14:textId="77777777" w:rsidR="003A464F" w:rsidRPr="003A464F" w:rsidRDefault="003A464F" w:rsidP="003A464F">
      <w:pPr>
        <w:pStyle w:val="Bibliography"/>
        <w:rPr>
          <w:rFonts w:ascii="Arial" w:hAnsi="Arial" w:cs="Arial"/>
        </w:rPr>
      </w:pPr>
      <w:r w:rsidRPr="003A464F">
        <w:rPr>
          <w:rFonts w:ascii="Arial" w:hAnsi="Arial" w:cs="Arial"/>
        </w:rPr>
        <w:t>Fiolet, R., Tarzia, L., Owen, R., Eccles, C., Nicholson, K., Owen, M., Fry, S., Knox, J., Hegarty, K., 2021. Indigenous Perspectives on Help-Seeking for Family Violence: Voices From an Australian Community. J Interpers Violence 36, 10128–10146. https://doi.org/10.1177/0886260519883861</w:t>
      </w:r>
    </w:p>
    <w:p w14:paraId="479AF06D" w14:textId="77777777" w:rsidR="003A464F" w:rsidRPr="003A464F" w:rsidRDefault="003A464F" w:rsidP="003A464F">
      <w:pPr>
        <w:pStyle w:val="Bibliography"/>
        <w:rPr>
          <w:rFonts w:ascii="Arial" w:hAnsi="Arial" w:cs="Arial"/>
        </w:rPr>
      </w:pPr>
      <w:r w:rsidRPr="003A464F">
        <w:rPr>
          <w:rFonts w:ascii="Arial" w:hAnsi="Arial" w:cs="Arial"/>
        </w:rPr>
        <w:t>Fiolet, R., Tarzia, L., Owen, R., Eccles, C., Nicholson, K., Owen, M., Fry, S., Knox, J., Hegarty, K., 2020. Indigenous Perspectives on Using Technology as a Supportive Resource When Experiencing Family Violence. Journal of Technology in Human Services 38, 203–225. https://doi.org/10.1080/15228835.2020.1742272</w:t>
      </w:r>
    </w:p>
    <w:p w14:paraId="1E06705F" w14:textId="314DE037" w:rsidR="003A464F" w:rsidRPr="003A464F" w:rsidRDefault="003A464F" w:rsidP="003A464F">
      <w:pPr>
        <w:pStyle w:val="Bibliography"/>
        <w:rPr>
          <w:rFonts w:ascii="Arial" w:hAnsi="Arial" w:cs="Arial"/>
        </w:rPr>
      </w:pPr>
      <w:r w:rsidRPr="003A464F">
        <w:rPr>
          <w:rFonts w:ascii="Arial" w:hAnsi="Arial" w:cs="Arial"/>
        </w:rPr>
        <w:lastRenderedPageBreak/>
        <w:t>Flynn, A., Wheildon, L., Powell, A., Bentley, K., 2023. Technology-facilitated coercive control: Mapping women’s diverse pathways to safety and Australian Institute of Criminology.</w:t>
      </w:r>
    </w:p>
    <w:p w14:paraId="7811C021" w14:textId="77777777" w:rsidR="003A464F" w:rsidRPr="003A464F" w:rsidRDefault="003A464F" w:rsidP="003A464F">
      <w:pPr>
        <w:pStyle w:val="Bibliography"/>
        <w:rPr>
          <w:rFonts w:ascii="Arial" w:hAnsi="Arial" w:cs="Arial"/>
        </w:rPr>
      </w:pPr>
      <w:r w:rsidRPr="003A464F">
        <w:rPr>
          <w:rFonts w:ascii="Arial" w:hAnsi="Arial" w:cs="Arial"/>
        </w:rPr>
        <w:t>Fogarty, A., Treyvaud, K., Savopoulos, P., Amanda Jones, Cox, A., Toone, E., Giallo, R., 2022. Facilitators to Engagement in a Mother–Child Therapeutic Intervention Following Intimate Partner Violence. J Interpers Violence 37, 1796–1824. https://doi.org/10.1177/0886260520926316</w:t>
      </w:r>
    </w:p>
    <w:p w14:paraId="5C04A71A" w14:textId="77777777" w:rsidR="003A464F" w:rsidRPr="003A464F" w:rsidRDefault="003A464F" w:rsidP="003A464F">
      <w:pPr>
        <w:pStyle w:val="Bibliography"/>
        <w:rPr>
          <w:rFonts w:ascii="Arial" w:hAnsi="Arial" w:cs="Arial"/>
        </w:rPr>
      </w:pPr>
      <w:r w:rsidRPr="003A464F">
        <w:rPr>
          <w:rFonts w:ascii="Arial" w:hAnsi="Arial" w:cs="Arial"/>
        </w:rPr>
        <w:t>Ghidei, W., Montesanti, S., Tomkow, K., Silverstone, P.H., Wells, L., Campbell, S., 2023. Examining the Effectiveness, Acceptability, and Feasibility of Virtually Delivered Trauma-Focused Domestic Violence and Sexual Violence Interventions: A Rapid Evidence Assessment. Trauma, Violence, &amp; Abuse 24, 1427–1442. https://doi.org/10.1177/15248380211069059</w:t>
      </w:r>
    </w:p>
    <w:p w14:paraId="398B66B0" w14:textId="77777777" w:rsidR="003A464F" w:rsidRPr="003A464F" w:rsidRDefault="003A464F" w:rsidP="003A464F">
      <w:pPr>
        <w:pStyle w:val="Bibliography"/>
        <w:rPr>
          <w:rFonts w:ascii="Arial" w:hAnsi="Arial" w:cs="Arial"/>
        </w:rPr>
      </w:pPr>
      <w:r w:rsidRPr="003A464F">
        <w:rPr>
          <w:rFonts w:ascii="Arial" w:hAnsi="Arial" w:cs="Arial"/>
        </w:rPr>
        <w:t>Gilmour, K., n.d. Program Specific Guidance for Outcome 2.1 Families and Communities Program in the Data Exchange.</w:t>
      </w:r>
    </w:p>
    <w:p w14:paraId="33EF4A66" w14:textId="77777777" w:rsidR="003A464F" w:rsidRPr="003A464F" w:rsidRDefault="003A464F" w:rsidP="003A464F">
      <w:pPr>
        <w:pStyle w:val="Bibliography"/>
        <w:rPr>
          <w:rFonts w:ascii="Arial" w:hAnsi="Arial" w:cs="Arial"/>
        </w:rPr>
      </w:pPr>
      <w:r w:rsidRPr="003A464F">
        <w:rPr>
          <w:rFonts w:ascii="Arial" w:hAnsi="Arial" w:cs="Arial"/>
        </w:rPr>
        <w:t>Gray, R., Walker, T., Hamer, J., Broady, T., Kean, J., Ling, J., Bear, B., 2020. Developing LGBTQ programs for perpetrators and victims/survivors of domestic and family violence. Australia’s National Research Organisation fro Women’s Safety (ANROWS), NSW.</w:t>
      </w:r>
    </w:p>
    <w:p w14:paraId="7E060A6F" w14:textId="77777777" w:rsidR="003A464F" w:rsidRPr="003A464F" w:rsidRDefault="003A464F" w:rsidP="003A464F">
      <w:pPr>
        <w:pStyle w:val="Bibliography"/>
        <w:rPr>
          <w:rFonts w:ascii="Arial" w:hAnsi="Arial" w:cs="Arial"/>
        </w:rPr>
      </w:pPr>
      <w:r w:rsidRPr="003A464F">
        <w:rPr>
          <w:rFonts w:ascii="Arial" w:hAnsi="Arial" w:cs="Arial"/>
        </w:rPr>
        <w:t>Haines, A., Andary, S., Amos, J., Louth, J., Mannik, A., Jacobs, R., Best, P., Calio, P., Petrovic, T., Scott, R., Vlahos, A., 2022. Men Working with Men in Intensive Family Services: Reflections on Violence, Trauma Lifeworlds, and Organic Interventions. ANZ J of Family Therapy 43, 442–461. https://doi.org/10.1002/anzf.1517</w:t>
      </w:r>
    </w:p>
    <w:p w14:paraId="48CB4D4B" w14:textId="77777777" w:rsidR="003A464F" w:rsidRPr="003A464F" w:rsidRDefault="003A464F" w:rsidP="003A464F">
      <w:pPr>
        <w:pStyle w:val="Bibliography"/>
        <w:rPr>
          <w:rFonts w:ascii="Arial" w:hAnsi="Arial" w:cs="Arial"/>
        </w:rPr>
      </w:pPr>
      <w:r w:rsidRPr="003A464F">
        <w:rPr>
          <w:rFonts w:ascii="Arial" w:hAnsi="Arial" w:cs="Arial"/>
        </w:rPr>
        <w:t>Hamilton, L., Macmillan, L., Vlais, R., 2025. Evaluation of the Northern Territory’s men’s behaviour change programs: Key learnings for policy and practice. Australia’s National Research Organisation for Women’s Safety.</w:t>
      </w:r>
    </w:p>
    <w:p w14:paraId="3A611196" w14:textId="77777777" w:rsidR="003A464F" w:rsidRPr="003A464F" w:rsidRDefault="003A464F" w:rsidP="003A464F">
      <w:pPr>
        <w:pStyle w:val="Bibliography"/>
        <w:rPr>
          <w:rFonts w:ascii="Arial" w:hAnsi="Arial" w:cs="Arial"/>
        </w:rPr>
      </w:pPr>
      <w:r w:rsidRPr="003A464F">
        <w:rPr>
          <w:rFonts w:ascii="Arial" w:hAnsi="Arial" w:cs="Arial"/>
        </w:rPr>
        <w:t>Harkin, J., Stafford, L., Leggatt</w:t>
      </w:r>
      <w:r w:rsidRPr="003A464F">
        <w:rPr>
          <w:rFonts w:ascii="Cambria Math" w:hAnsi="Cambria Math" w:cs="Cambria Math"/>
        </w:rPr>
        <w:t>‐</w:t>
      </w:r>
      <w:r w:rsidRPr="003A464F">
        <w:rPr>
          <w:rFonts w:ascii="Arial" w:hAnsi="Arial" w:cs="Arial"/>
        </w:rPr>
        <w:t>Cook, C., 2020. Influences on children’s voices in family support services: Practitioner perspectives. Child &amp; Family Social Work 25, 955–963. https://doi.org/10.1111/cfs.12781</w:t>
      </w:r>
    </w:p>
    <w:p w14:paraId="38EC6B14" w14:textId="77777777" w:rsidR="003A464F" w:rsidRPr="003A464F" w:rsidRDefault="003A464F" w:rsidP="003A464F">
      <w:pPr>
        <w:pStyle w:val="Bibliography"/>
        <w:rPr>
          <w:rFonts w:ascii="Arial" w:hAnsi="Arial" w:cs="Arial"/>
        </w:rPr>
      </w:pPr>
      <w:r w:rsidRPr="003A464F">
        <w:rPr>
          <w:rFonts w:ascii="Arial" w:hAnsi="Arial" w:cs="Arial"/>
        </w:rPr>
        <w:t>Harris, B.A., Woodlock, D., 2019. Digital Coercive Control: Insights From Two Landmark Domestic Violence Studies. The British Journal of Criminology 59, 530–550. https://doi.org/10.1093/bjc/azy052</w:t>
      </w:r>
    </w:p>
    <w:p w14:paraId="60D4B1F5" w14:textId="77777777" w:rsidR="003A464F" w:rsidRPr="003A464F" w:rsidRDefault="003A464F" w:rsidP="003A464F">
      <w:pPr>
        <w:pStyle w:val="Bibliography"/>
        <w:rPr>
          <w:rFonts w:ascii="Arial" w:hAnsi="Arial" w:cs="Arial"/>
        </w:rPr>
      </w:pPr>
      <w:r w:rsidRPr="003A464F">
        <w:rPr>
          <w:rFonts w:ascii="Arial" w:hAnsi="Arial" w:cs="Arial"/>
        </w:rPr>
        <w:t>Haslam, D., Mathews, B., Pacella, R., Scott, J., Finkelhor, D., Higgins, D., Meinck, F., Thomas, H., Lawrence, D., Malacova, E., 2023. The prevalence and impact of child maltreatment in Australia: Findings from the Australian Child Maltreatment Study. Queensland University of Technology.</w:t>
      </w:r>
    </w:p>
    <w:p w14:paraId="5ABC0015" w14:textId="77777777" w:rsidR="003A464F" w:rsidRPr="003A464F" w:rsidRDefault="003A464F" w:rsidP="003A464F">
      <w:pPr>
        <w:pStyle w:val="Bibliography"/>
        <w:rPr>
          <w:rFonts w:ascii="Arial" w:hAnsi="Arial" w:cs="Arial"/>
        </w:rPr>
      </w:pPr>
      <w:r w:rsidRPr="003A464F">
        <w:rPr>
          <w:rFonts w:ascii="Arial" w:hAnsi="Arial" w:cs="Arial"/>
        </w:rPr>
        <w:t xml:space="preserve">Helps, N., Bell, C., Schulze, C., Vlais, R., Clark, O., Seamer, J., Buys, R., 2025. The role of men’s behaviour change programs in addressing men’s use of domestic, </w:t>
      </w:r>
      <w:r w:rsidRPr="003A464F">
        <w:rPr>
          <w:rFonts w:ascii="Arial" w:hAnsi="Arial" w:cs="Arial"/>
        </w:rPr>
        <w:lastRenderedPageBreak/>
        <w:t>family and sexual violence. Australia’s National Research Organisation fro Women’s Safety.</w:t>
      </w:r>
    </w:p>
    <w:p w14:paraId="795C1E09" w14:textId="77777777" w:rsidR="003A464F" w:rsidRPr="003A464F" w:rsidRDefault="003A464F" w:rsidP="003A464F">
      <w:pPr>
        <w:pStyle w:val="Bibliography"/>
        <w:rPr>
          <w:rFonts w:ascii="Arial" w:hAnsi="Arial" w:cs="Arial"/>
        </w:rPr>
      </w:pPr>
      <w:r w:rsidRPr="003A464F">
        <w:rPr>
          <w:rFonts w:ascii="Arial" w:hAnsi="Arial" w:cs="Arial"/>
        </w:rPr>
        <w:t>Hewitt, B., 2021. The Dynamics of Family Formation and Dissolution. Australian Economic Review 54, 506–517. https://doi.org/10.1111/1467-8462.12445</w:t>
      </w:r>
    </w:p>
    <w:p w14:paraId="5DF93B80" w14:textId="77777777" w:rsidR="003A464F" w:rsidRPr="003A464F" w:rsidRDefault="003A464F" w:rsidP="003A464F">
      <w:pPr>
        <w:pStyle w:val="Bibliography"/>
        <w:rPr>
          <w:rFonts w:ascii="Arial" w:hAnsi="Arial" w:cs="Arial"/>
        </w:rPr>
      </w:pPr>
      <w:r w:rsidRPr="003A464F">
        <w:rPr>
          <w:rFonts w:ascii="Arial" w:hAnsi="Arial" w:cs="Arial"/>
        </w:rPr>
        <w:t>Hine, B., Bates, E.A., Wallace, S., 2022. “I Have Guys Call Me and Say ‘I Can’t Be the Victim of Domestic Abuse’”: Exploring the Experiences of Telephone Support Providers for Male Victims of Domestic Violence and Abuse. J Interpers Violence 37, NP5594–NP5625. https://doi.org/10.1177/0886260520944551</w:t>
      </w:r>
    </w:p>
    <w:p w14:paraId="3D6C7DA2" w14:textId="77777777" w:rsidR="003A464F" w:rsidRPr="003A464F" w:rsidRDefault="003A464F" w:rsidP="003A464F">
      <w:pPr>
        <w:pStyle w:val="Bibliography"/>
        <w:rPr>
          <w:rFonts w:ascii="Arial" w:hAnsi="Arial" w:cs="Arial"/>
        </w:rPr>
      </w:pPr>
      <w:r w:rsidRPr="003A464F">
        <w:rPr>
          <w:rFonts w:ascii="Arial" w:hAnsi="Arial" w:cs="Arial"/>
        </w:rPr>
        <w:t>Honisett, S., Hall, T., Hiscock, H., Goldfeld, S., 2022. The feasibility of a Child and Family Hub within Victorian Community Health Services: a qualitative study. Australian and New Zealand Journal of Public Health 46, 784–793. https://doi.org/10.1111/1753-6405.13292</w:t>
      </w:r>
    </w:p>
    <w:p w14:paraId="061C8B6B" w14:textId="77777777" w:rsidR="003A464F" w:rsidRPr="003A464F" w:rsidRDefault="003A464F" w:rsidP="003A464F">
      <w:pPr>
        <w:pStyle w:val="Bibliography"/>
        <w:rPr>
          <w:rFonts w:ascii="Arial" w:hAnsi="Arial" w:cs="Arial"/>
        </w:rPr>
      </w:pPr>
      <w:r w:rsidRPr="003A464F">
        <w:rPr>
          <w:rFonts w:ascii="Arial" w:hAnsi="Arial" w:cs="Arial"/>
        </w:rPr>
        <w:t>Humphreys, C., Diemer, K., Bornemisza, A., Spiteri-Staines, A., Kaspiew, R., Horsfall, B., 2019. More present than absent: Men who use domestic violence and their fathering. Child &amp; Family Social Work 24, 321–329. https://doi.org/10.1111/cfs.12617</w:t>
      </w:r>
    </w:p>
    <w:p w14:paraId="101D3A00" w14:textId="77777777" w:rsidR="003A464F" w:rsidRPr="003A464F" w:rsidRDefault="003A464F" w:rsidP="003A464F">
      <w:pPr>
        <w:pStyle w:val="Bibliography"/>
        <w:rPr>
          <w:rFonts w:ascii="Arial" w:hAnsi="Arial" w:cs="Arial"/>
        </w:rPr>
      </w:pPr>
      <w:r w:rsidRPr="003A464F">
        <w:rPr>
          <w:rFonts w:ascii="Arial" w:hAnsi="Arial" w:cs="Arial"/>
        </w:rPr>
        <w:t>Huntley, A.L., Potter, L., Williamson, E., Malpass, A., Szilassy, E., Feder, G., 2019. Help-seeking by male victims of domestic violence and abuse (DVA): a systematic review and qualitative evidence synthesis. BMJ Open 9, e021960. https://doi.org/10.1136/bmjopen-2018-021960</w:t>
      </w:r>
    </w:p>
    <w:p w14:paraId="4C46D955" w14:textId="77777777" w:rsidR="003A464F" w:rsidRPr="003A464F" w:rsidRDefault="003A464F" w:rsidP="003A464F">
      <w:pPr>
        <w:pStyle w:val="Bibliography"/>
        <w:rPr>
          <w:rFonts w:ascii="Arial" w:hAnsi="Arial" w:cs="Arial"/>
        </w:rPr>
      </w:pPr>
      <w:r w:rsidRPr="003A464F">
        <w:rPr>
          <w:rFonts w:ascii="Arial" w:hAnsi="Arial" w:cs="Arial"/>
        </w:rPr>
        <w:t>Isobe, J., Healey, L., Humphreys, C., 2020. A critical interpretive synthesis of the intersection of domestic violence with parental issues of mental health and substance misuse. Health Soc Care Community 28, 1394–1407. https://doi.org/10.1111/hsc.12978</w:t>
      </w:r>
    </w:p>
    <w:p w14:paraId="550C68B8" w14:textId="77777777" w:rsidR="003A464F" w:rsidRPr="003A464F" w:rsidRDefault="003A464F" w:rsidP="003A464F">
      <w:pPr>
        <w:pStyle w:val="Bibliography"/>
        <w:rPr>
          <w:rFonts w:ascii="Arial" w:hAnsi="Arial" w:cs="Arial"/>
        </w:rPr>
      </w:pPr>
      <w:r w:rsidRPr="003A464F">
        <w:rPr>
          <w:rFonts w:ascii="Arial" w:hAnsi="Arial" w:cs="Arial"/>
        </w:rPr>
        <w:t>Jensen, T.M., Sanner, C., 2021. A scoping review of research on well</w:t>
      </w:r>
      <w:r w:rsidRPr="003A464F">
        <w:rPr>
          <w:rFonts w:ascii="Cambria Math" w:hAnsi="Cambria Math" w:cs="Cambria Math"/>
        </w:rPr>
        <w:t>‐</w:t>
      </w:r>
      <w:r w:rsidRPr="003A464F">
        <w:rPr>
          <w:rFonts w:ascii="Arial" w:hAnsi="Arial" w:cs="Arial"/>
        </w:rPr>
        <w:t>being across diverse family structures: Rethinking approaches for understanding contemporary families. J of Family Theo &amp;amp; Revie 13, 463–495. https://doi.org/10.1111/jftr.12437</w:t>
      </w:r>
    </w:p>
    <w:p w14:paraId="581A48B0" w14:textId="77777777" w:rsidR="003A464F" w:rsidRPr="003A464F" w:rsidRDefault="003A464F" w:rsidP="003A464F">
      <w:pPr>
        <w:pStyle w:val="Bibliography"/>
        <w:rPr>
          <w:rFonts w:ascii="Arial" w:hAnsi="Arial" w:cs="Arial"/>
        </w:rPr>
      </w:pPr>
      <w:r w:rsidRPr="003A464F">
        <w:rPr>
          <w:rFonts w:ascii="Arial" w:hAnsi="Arial" w:cs="Arial"/>
        </w:rPr>
        <w:t>Jones, J., Roarty, L., Gilroy, J., Brook, J., Wilson, M., Garlett, C., McGlade, H., Williams, R., Leonard, H., 2023. Research Report - Wangkiny Yirra “Speaking Up” Project: First Nations women and children with disability and their experiences of family and domestic violence. Royal Commission Into Violence, Abuse, Neglect and Exploitation of People With Disability.</w:t>
      </w:r>
    </w:p>
    <w:p w14:paraId="03636CB8" w14:textId="77777777" w:rsidR="003A464F" w:rsidRPr="003A464F" w:rsidRDefault="003A464F" w:rsidP="003A464F">
      <w:pPr>
        <w:pStyle w:val="Bibliography"/>
        <w:rPr>
          <w:rFonts w:ascii="Arial" w:hAnsi="Arial" w:cs="Arial"/>
        </w:rPr>
      </w:pPr>
      <w:r w:rsidRPr="003A464F">
        <w:rPr>
          <w:rFonts w:ascii="Arial" w:hAnsi="Arial" w:cs="Arial"/>
        </w:rPr>
        <w:t>Joshi, A., Gartoulla, D.P., 2024. How the experiences and circumstances of culturally and linguistically diverse children and families influence child mental health.</w:t>
      </w:r>
    </w:p>
    <w:p w14:paraId="184E8E16" w14:textId="77777777" w:rsidR="003A464F" w:rsidRPr="003A464F" w:rsidRDefault="003A464F" w:rsidP="003A464F">
      <w:pPr>
        <w:pStyle w:val="Bibliography"/>
        <w:rPr>
          <w:rFonts w:ascii="Arial" w:hAnsi="Arial" w:cs="Arial"/>
        </w:rPr>
      </w:pPr>
      <w:r w:rsidRPr="003A464F">
        <w:rPr>
          <w:rFonts w:ascii="Arial" w:hAnsi="Arial" w:cs="Arial"/>
        </w:rPr>
        <w:t>Joshi, A., Paterson, N., Hinkely, T., Joss, N., 2021. The use of telepractice in the family and relationship services sector. Journal of the Psychotherapy and Counselling Federation of Australia 1, 40–48.</w:t>
      </w:r>
    </w:p>
    <w:p w14:paraId="18ADA129" w14:textId="77777777" w:rsidR="003A464F" w:rsidRPr="003A464F" w:rsidRDefault="003A464F" w:rsidP="003A464F">
      <w:pPr>
        <w:pStyle w:val="Bibliography"/>
        <w:rPr>
          <w:rFonts w:ascii="Arial" w:hAnsi="Arial" w:cs="Arial"/>
        </w:rPr>
      </w:pPr>
      <w:r w:rsidRPr="003A464F">
        <w:rPr>
          <w:rFonts w:ascii="Arial" w:hAnsi="Arial" w:cs="Arial"/>
        </w:rPr>
        <w:lastRenderedPageBreak/>
        <w:t>Kay, L., 2019. Guardians of research: negotiating the strata of gatekeepers in research with vulnerable participants. PRACTICE 1, 37–52. https://doi.org/10.1080/25783858.2019.1589988</w:t>
      </w:r>
    </w:p>
    <w:p w14:paraId="580C5A17" w14:textId="77777777" w:rsidR="003A464F" w:rsidRPr="003A464F" w:rsidRDefault="003A464F" w:rsidP="003A464F">
      <w:pPr>
        <w:pStyle w:val="Bibliography"/>
        <w:rPr>
          <w:rFonts w:ascii="Arial" w:hAnsi="Arial" w:cs="Arial"/>
        </w:rPr>
      </w:pPr>
      <w:r w:rsidRPr="003A464F">
        <w:rPr>
          <w:rFonts w:ascii="Arial" w:hAnsi="Arial" w:cs="Arial"/>
        </w:rPr>
        <w:t>Kertesz, M., Fogden, L., Humphreys, C., 2021. Domestic violence and the impact on children, in: The Routledge International Handbook of Domestic Violence and Abuse. Routledge.</w:t>
      </w:r>
    </w:p>
    <w:p w14:paraId="6CE90709" w14:textId="77777777" w:rsidR="003A464F" w:rsidRPr="003A464F" w:rsidRDefault="003A464F" w:rsidP="003A464F">
      <w:pPr>
        <w:pStyle w:val="Bibliography"/>
        <w:rPr>
          <w:rFonts w:ascii="Arial" w:hAnsi="Arial" w:cs="Arial"/>
        </w:rPr>
      </w:pPr>
      <w:r w:rsidRPr="003A464F">
        <w:rPr>
          <w:rFonts w:ascii="Arial" w:hAnsi="Arial" w:cs="Arial"/>
        </w:rPr>
        <w:t>Kohlhoff, J., Cibralic, S., Horswood, D., Turnell, A., Maiuolo, M., Morgan, S., 2020. Feasibility and acceptability of internet-delivered parent–child interaction therapy for rural Australian families: a qualitative investigation. Rural Remote Health. https://doi.org/10.22605/RRH5306</w:t>
      </w:r>
    </w:p>
    <w:p w14:paraId="42BFC693" w14:textId="77777777" w:rsidR="003A464F" w:rsidRPr="003A464F" w:rsidRDefault="003A464F" w:rsidP="003A464F">
      <w:pPr>
        <w:pStyle w:val="Bibliography"/>
        <w:rPr>
          <w:rFonts w:ascii="Arial" w:hAnsi="Arial" w:cs="Arial"/>
        </w:rPr>
      </w:pPr>
      <w:r w:rsidRPr="003A464F">
        <w:rPr>
          <w:rFonts w:ascii="Arial" w:hAnsi="Arial" w:cs="Arial"/>
        </w:rPr>
        <w:t>Kuklinski, M.R., Oxford, M.L., Spieker, S.J., Lohr, M.J., Fleming, C.B., 2020. Benefit-cost analysis of Promoting First Relationships®: implications of victim benefits assumptions for return on investment. Child abuse and neglect 106, e104515–e104515.</w:t>
      </w:r>
    </w:p>
    <w:p w14:paraId="5231DB3B" w14:textId="77777777" w:rsidR="003A464F" w:rsidRPr="003A464F" w:rsidRDefault="003A464F" w:rsidP="003A464F">
      <w:pPr>
        <w:pStyle w:val="Bibliography"/>
        <w:rPr>
          <w:rFonts w:ascii="Arial" w:hAnsi="Arial" w:cs="Arial"/>
        </w:rPr>
      </w:pPr>
      <w:r w:rsidRPr="003A464F">
        <w:rPr>
          <w:rFonts w:ascii="Arial" w:hAnsi="Arial" w:cs="Arial"/>
        </w:rPr>
        <w:t>Kulkarni, S., 2019. Intersectional Trauma-Informed Intimate Partner Violence (IPV) Services: Narrowing the Gap between IPV Service Delivery and Survivor Needs. J Fam Viol 34, 55–64. https://doi.org/10.1007/s10896-018-0001-5</w:t>
      </w:r>
    </w:p>
    <w:p w14:paraId="5DB43A80" w14:textId="77777777" w:rsidR="003A464F" w:rsidRPr="003A464F" w:rsidRDefault="003A464F" w:rsidP="003A464F">
      <w:pPr>
        <w:pStyle w:val="Bibliography"/>
        <w:rPr>
          <w:rFonts w:ascii="Arial" w:hAnsi="Arial" w:cs="Arial"/>
        </w:rPr>
      </w:pPr>
      <w:r w:rsidRPr="003A464F">
        <w:rPr>
          <w:rFonts w:ascii="Arial" w:hAnsi="Arial" w:cs="Arial"/>
        </w:rPr>
        <w:t>Langton, M., Smith, K., 2020. Improving family violence legal and support services for Aboriginal and Torres Strait Islander women. https://doi.org/10.13140/RG.2.2.16383.33441</w:t>
      </w:r>
    </w:p>
    <w:p w14:paraId="6635390F" w14:textId="77777777" w:rsidR="003A464F" w:rsidRPr="003A464F" w:rsidRDefault="003A464F" w:rsidP="003A464F">
      <w:pPr>
        <w:pStyle w:val="Bibliography"/>
        <w:rPr>
          <w:rFonts w:ascii="Arial" w:hAnsi="Arial" w:cs="Arial"/>
        </w:rPr>
      </w:pPr>
      <w:r w:rsidRPr="003A464F">
        <w:rPr>
          <w:rFonts w:ascii="Arial" w:hAnsi="Arial" w:cs="Arial"/>
        </w:rPr>
        <w:t>Lechowicz, M.E., Jiang, Y., Tully, L.A., Burn, M.T., Collins, D.A.J., Hawes, D.J., Lenroot, R.K., Anderson, V., Doyle, F.L., Piotrowska, P.J., Frick, P.J., Moul, C., Kimonis, E.R., Dadds, M.R., 2019. Enhancing Father Engagement in Parenting Programs: Translating Research into Practice Recommendations. Australian Psychologist 54, 83–89. https://doi.org/10.1111/ap.12361</w:t>
      </w:r>
    </w:p>
    <w:p w14:paraId="22DAD841" w14:textId="77777777" w:rsidR="003A464F" w:rsidRPr="003A464F" w:rsidRDefault="003A464F" w:rsidP="003A464F">
      <w:pPr>
        <w:pStyle w:val="Bibliography"/>
        <w:rPr>
          <w:rFonts w:ascii="Arial" w:hAnsi="Arial" w:cs="Arial"/>
        </w:rPr>
      </w:pPr>
      <w:r w:rsidRPr="003A464F">
        <w:rPr>
          <w:rFonts w:ascii="Arial" w:hAnsi="Arial" w:cs="Arial"/>
        </w:rPr>
        <w:t>Levesque, J.-F., Harris, M.F., Russell, G., 2013. Patient-centred access to health care: conceptualising access at the interface of health systems and populations. Int J Equity Health 12, 18. https://doi.org/10.1186/1475-9276-12-18</w:t>
      </w:r>
    </w:p>
    <w:p w14:paraId="40A70D5B" w14:textId="77777777" w:rsidR="003A464F" w:rsidRPr="003A464F" w:rsidRDefault="003A464F" w:rsidP="003A464F">
      <w:pPr>
        <w:pStyle w:val="Bibliography"/>
        <w:rPr>
          <w:rFonts w:ascii="Arial" w:hAnsi="Arial" w:cs="Arial"/>
        </w:rPr>
      </w:pPr>
      <w:r w:rsidRPr="003A464F">
        <w:rPr>
          <w:rFonts w:ascii="Arial" w:hAnsi="Arial" w:cs="Arial"/>
        </w:rPr>
        <w:t>Lusby, S., Lim, G., Carman, M., Fraser, S., Parsons, M., Fairchild, J., Bourne, A., 2022. Opening doors: Ensuring LGBTQ-inclusive family, domestic and sexuial violence services; research report. Australian Research Centre in Sex, Health and Society, La Trobe University.</w:t>
      </w:r>
    </w:p>
    <w:p w14:paraId="63B82A6F" w14:textId="77777777" w:rsidR="003A464F" w:rsidRPr="003A464F" w:rsidRDefault="003A464F" w:rsidP="003A464F">
      <w:pPr>
        <w:pStyle w:val="Bibliography"/>
        <w:rPr>
          <w:rFonts w:ascii="Arial" w:hAnsi="Arial" w:cs="Arial"/>
        </w:rPr>
      </w:pPr>
      <w:r w:rsidRPr="003A464F">
        <w:rPr>
          <w:rFonts w:ascii="Arial" w:hAnsi="Arial" w:cs="Arial"/>
        </w:rPr>
        <w:t>Mackey, T., Plath, D., Joosten, A., Moore, T., 2024. Mothers’ views about children’s engagement in domestic violence research. Journal of Family Violence 1–18. https://doi.org/10.1007/s10896-024-00743-7</w:t>
      </w:r>
    </w:p>
    <w:p w14:paraId="2B40BE04" w14:textId="77777777" w:rsidR="003A464F" w:rsidRPr="003A464F" w:rsidRDefault="003A464F" w:rsidP="003A464F">
      <w:pPr>
        <w:pStyle w:val="Bibliography"/>
        <w:rPr>
          <w:rFonts w:ascii="Arial" w:hAnsi="Arial" w:cs="Arial"/>
        </w:rPr>
      </w:pPr>
      <w:r w:rsidRPr="003A464F">
        <w:rPr>
          <w:rFonts w:ascii="Arial" w:hAnsi="Arial" w:cs="Arial"/>
        </w:rPr>
        <w:t xml:space="preserve">Maddox, R., O’Campo, P., Grove, J., Yonas, M., Chan, C., Kassam, A., Velonis, A., 2019. Identifying how to Engage Men in Domestic Violence Research: a Concept </w:t>
      </w:r>
      <w:r w:rsidRPr="003A464F">
        <w:rPr>
          <w:rFonts w:ascii="Arial" w:hAnsi="Arial" w:cs="Arial"/>
        </w:rPr>
        <w:lastRenderedPageBreak/>
        <w:t>Mapping Study. Journal of Family Violence 34, 781–793. https://doi.org/10.1007/s10896-018-9985-0</w:t>
      </w:r>
    </w:p>
    <w:p w14:paraId="6DC66330" w14:textId="5577BB5C" w:rsidR="003A464F" w:rsidRPr="003A464F" w:rsidRDefault="003A464F" w:rsidP="003A464F">
      <w:pPr>
        <w:pStyle w:val="Bibliography"/>
        <w:rPr>
          <w:rFonts w:ascii="Arial" w:hAnsi="Arial" w:cs="Arial"/>
        </w:rPr>
      </w:pPr>
      <w:r w:rsidRPr="003A464F">
        <w:rPr>
          <w:rFonts w:ascii="Arial" w:hAnsi="Arial" w:cs="Arial"/>
        </w:rPr>
        <w:t>Maiam nayri Wingara, Yardura Walani, 2025. Global Indigenous Data Sovereignty Conference 2025 Communique.</w:t>
      </w:r>
    </w:p>
    <w:p w14:paraId="6ED80A11" w14:textId="77777777" w:rsidR="003A464F" w:rsidRPr="003A464F" w:rsidRDefault="003A464F" w:rsidP="003A464F">
      <w:pPr>
        <w:pStyle w:val="Bibliography"/>
        <w:rPr>
          <w:rFonts w:ascii="Arial" w:hAnsi="Arial" w:cs="Arial"/>
        </w:rPr>
      </w:pPr>
      <w:r w:rsidRPr="003A464F">
        <w:rPr>
          <w:rFonts w:ascii="Arial" w:hAnsi="Arial" w:cs="Arial"/>
        </w:rPr>
        <w:t>Morgan, G., 2022. New ways for our families: designing an Aboriginal and Torres Strait Islander cultural practice framework and system responses to address the impacts of domestic and family violence on children and young people. Australia’s National Research Organisation for Women’s Safety, Sydney, NSW.</w:t>
      </w:r>
    </w:p>
    <w:p w14:paraId="71072216" w14:textId="77777777" w:rsidR="003A464F" w:rsidRPr="003A464F" w:rsidRDefault="003A464F" w:rsidP="003A464F">
      <w:pPr>
        <w:pStyle w:val="Bibliography"/>
        <w:rPr>
          <w:rFonts w:ascii="Arial" w:hAnsi="Arial" w:cs="Arial"/>
        </w:rPr>
      </w:pPr>
      <w:r w:rsidRPr="003A464F">
        <w:rPr>
          <w:rFonts w:ascii="Arial" w:hAnsi="Arial" w:cs="Arial"/>
        </w:rPr>
        <w:t>Morrison, B., Bevan, M., Meredith, P., 2021. “I can’t change my past, but I can change my future”: Perpetrator perspectives on what helps to stop family violence. Practice: The New Zealand Corrections Journal 8, 6–12.</w:t>
      </w:r>
    </w:p>
    <w:p w14:paraId="39B3A632" w14:textId="77777777" w:rsidR="003A464F" w:rsidRPr="003A464F" w:rsidRDefault="003A464F" w:rsidP="003A464F">
      <w:pPr>
        <w:pStyle w:val="Bibliography"/>
        <w:rPr>
          <w:rFonts w:ascii="Arial" w:hAnsi="Arial" w:cs="Arial"/>
        </w:rPr>
      </w:pPr>
      <w:r w:rsidRPr="003A464F">
        <w:rPr>
          <w:rFonts w:ascii="Arial" w:hAnsi="Arial" w:cs="Arial"/>
        </w:rPr>
        <w:t>Naidoo, Y., Blaxland, M., Wong, M., Katz, I., 2024. Uniting Families Report. UNSW Social Policy Research Centre and Uniting NSW.ACT.</w:t>
      </w:r>
    </w:p>
    <w:p w14:paraId="3BFB9DE9" w14:textId="77777777" w:rsidR="003A464F" w:rsidRPr="003A464F" w:rsidRDefault="003A464F" w:rsidP="003A464F">
      <w:pPr>
        <w:pStyle w:val="Bibliography"/>
        <w:rPr>
          <w:rFonts w:ascii="Arial" w:hAnsi="Arial" w:cs="Arial"/>
        </w:rPr>
      </w:pPr>
      <w:r w:rsidRPr="003A464F">
        <w:rPr>
          <w:rFonts w:ascii="Arial" w:hAnsi="Arial" w:cs="Arial"/>
        </w:rPr>
        <w:t>National Indigenous Australians Agency, 2024. Framework for Governance of Indigenous Data.</w:t>
      </w:r>
    </w:p>
    <w:p w14:paraId="3EE5D401" w14:textId="77777777" w:rsidR="003A464F" w:rsidRPr="003A464F" w:rsidRDefault="003A464F" w:rsidP="003A464F">
      <w:pPr>
        <w:pStyle w:val="Bibliography"/>
        <w:rPr>
          <w:rFonts w:ascii="Arial" w:hAnsi="Arial" w:cs="Arial"/>
        </w:rPr>
      </w:pPr>
      <w:r w:rsidRPr="003A464F">
        <w:rPr>
          <w:rFonts w:ascii="Arial" w:hAnsi="Arial" w:cs="Arial"/>
        </w:rPr>
        <w:t>Nicholas, A., Ovenden, G., Vlais, R., 2020. Developing a practical evaluation guide for behaviour change programs involving perpetrators of domestic and family violence.</w:t>
      </w:r>
    </w:p>
    <w:p w14:paraId="1202F478" w14:textId="77777777" w:rsidR="003A464F" w:rsidRPr="003A464F" w:rsidRDefault="003A464F" w:rsidP="003A464F">
      <w:pPr>
        <w:pStyle w:val="Bibliography"/>
        <w:rPr>
          <w:rFonts w:ascii="Arial" w:hAnsi="Arial" w:cs="Arial"/>
        </w:rPr>
      </w:pPr>
      <w:r w:rsidRPr="003A464F">
        <w:rPr>
          <w:rFonts w:ascii="Arial" w:hAnsi="Arial" w:cs="Arial"/>
        </w:rPr>
        <w:t>Noble</w:t>
      </w:r>
      <w:r w:rsidRPr="003A464F">
        <w:rPr>
          <w:rFonts w:ascii="Cambria Math" w:hAnsi="Cambria Math" w:cs="Cambria Math"/>
        </w:rPr>
        <w:t>‐</w:t>
      </w:r>
      <w:r w:rsidRPr="003A464F">
        <w:rPr>
          <w:rFonts w:ascii="Arial" w:hAnsi="Arial" w:cs="Arial"/>
        </w:rPr>
        <w:t>Carr, D., Moore, T., McArthur, M., 2020. Children’s experiences and needs in relation to domestic and family violence: Findings from a meta</w:t>
      </w:r>
      <w:r w:rsidRPr="003A464F">
        <w:rPr>
          <w:rFonts w:ascii="Cambria Math" w:hAnsi="Cambria Math" w:cs="Cambria Math"/>
        </w:rPr>
        <w:t>‐</w:t>
      </w:r>
      <w:r w:rsidRPr="003A464F">
        <w:rPr>
          <w:rFonts w:ascii="Arial" w:hAnsi="Arial" w:cs="Arial"/>
        </w:rPr>
        <w:t>synthesis. Child &amp; Family Social Work 25, 182–191. https://doi.org/10.1111/cfs.12645</w:t>
      </w:r>
    </w:p>
    <w:p w14:paraId="16696BB9" w14:textId="77777777" w:rsidR="003A464F" w:rsidRPr="003A464F" w:rsidRDefault="003A464F" w:rsidP="003A464F">
      <w:pPr>
        <w:pStyle w:val="Bibliography"/>
        <w:rPr>
          <w:rFonts w:ascii="Arial" w:hAnsi="Arial" w:cs="Arial"/>
        </w:rPr>
      </w:pPr>
      <w:r w:rsidRPr="003A464F">
        <w:rPr>
          <w:rFonts w:ascii="Arial" w:hAnsi="Arial" w:cs="Arial"/>
        </w:rPr>
        <w:t>Oliver, R., Alexander, B., Roe, S., Wlasny, M., 2019. The economic and social costs of domestic abuse (No. 107). Home Office.</w:t>
      </w:r>
    </w:p>
    <w:p w14:paraId="655660A9" w14:textId="77777777" w:rsidR="003A464F" w:rsidRPr="003A464F" w:rsidRDefault="003A464F" w:rsidP="003A464F">
      <w:pPr>
        <w:pStyle w:val="Bibliography"/>
        <w:rPr>
          <w:rFonts w:ascii="Arial" w:hAnsi="Arial" w:cs="Arial"/>
        </w:rPr>
      </w:pPr>
      <w:r w:rsidRPr="003A464F">
        <w:rPr>
          <w:rFonts w:ascii="Arial" w:hAnsi="Arial" w:cs="Arial"/>
        </w:rPr>
        <w:t>Opoku, S., Heard, G., 2024. Adapting a men’s behaviour change program to online delivery using a developmental evaluation approach. Evaluation Journal of Australasia 24, 40–55. https://doi.org/10.1177/1035719X231204392</w:t>
      </w:r>
    </w:p>
    <w:p w14:paraId="3DC72609" w14:textId="77777777" w:rsidR="003A464F" w:rsidRPr="003A464F" w:rsidRDefault="003A464F" w:rsidP="003A464F">
      <w:pPr>
        <w:pStyle w:val="Bibliography"/>
        <w:rPr>
          <w:rFonts w:ascii="Arial" w:hAnsi="Arial" w:cs="Arial"/>
        </w:rPr>
      </w:pPr>
      <w:r w:rsidRPr="003A464F">
        <w:rPr>
          <w:rFonts w:ascii="Arial" w:hAnsi="Arial" w:cs="Arial"/>
        </w:rPr>
        <w:t>Pelkowitz, L., Crossley, C., Greville, H., Thompson, S.C., 2023. Dealing with Intimate Partner Violence and Family Violence in a Regional Centre of Western Australia: A Study of the Knowledge, Attitudes, and Practices of Local Social Workers. IJERPH 20, 5628. https://doi.org/10.3390/ijerph20095628</w:t>
      </w:r>
    </w:p>
    <w:p w14:paraId="1C0AFDAA" w14:textId="77777777" w:rsidR="003A464F" w:rsidRPr="003A464F" w:rsidRDefault="003A464F" w:rsidP="003A464F">
      <w:pPr>
        <w:pStyle w:val="Bibliography"/>
        <w:rPr>
          <w:rFonts w:ascii="Arial" w:hAnsi="Arial" w:cs="Arial"/>
        </w:rPr>
      </w:pPr>
      <w:r w:rsidRPr="003A464F">
        <w:rPr>
          <w:rFonts w:ascii="Arial" w:hAnsi="Arial" w:cs="Arial"/>
        </w:rPr>
        <w:t>People with Disability Australia, Domestic Violence NSW, 2021. Women with Disability and Domestic and Family Violence A Guide for Policy and Practice.</w:t>
      </w:r>
    </w:p>
    <w:p w14:paraId="6CB226CA" w14:textId="77777777" w:rsidR="003A464F" w:rsidRPr="003A464F" w:rsidRDefault="003A464F" w:rsidP="003A464F">
      <w:pPr>
        <w:pStyle w:val="Bibliography"/>
        <w:rPr>
          <w:rFonts w:ascii="Arial" w:hAnsi="Arial" w:cs="Arial"/>
        </w:rPr>
      </w:pPr>
      <w:r w:rsidRPr="003A464F">
        <w:rPr>
          <w:rFonts w:ascii="Arial" w:hAnsi="Arial" w:cs="Arial"/>
        </w:rPr>
        <w:t>Pfitzner, N., Humphreys, C., Hegarty, K., 2020. Bringing men in from the margins: Father</w:t>
      </w:r>
      <w:r w:rsidRPr="003A464F">
        <w:rPr>
          <w:rFonts w:ascii="Cambria Math" w:hAnsi="Cambria Math" w:cs="Cambria Math"/>
        </w:rPr>
        <w:t>‐</w:t>
      </w:r>
      <w:r w:rsidRPr="003A464F">
        <w:rPr>
          <w:rFonts w:ascii="Arial" w:hAnsi="Arial" w:cs="Arial"/>
        </w:rPr>
        <w:t>inclusive practices for the delivery of parenting interventions. Child &amp; Family Social Work 25, 198–206. https://doi.org/10.1111/cfs.12760</w:t>
      </w:r>
    </w:p>
    <w:p w14:paraId="098710E4" w14:textId="77777777" w:rsidR="003A464F" w:rsidRPr="003A464F" w:rsidRDefault="003A464F" w:rsidP="003A464F">
      <w:pPr>
        <w:pStyle w:val="Bibliography"/>
        <w:rPr>
          <w:rFonts w:ascii="Arial" w:hAnsi="Arial" w:cs="Arial"/>
        </w:rPr>
      </w:pPr>
      <w:r w:rsidRPr="003A464F">
        <w:rPr>
          <w:rFonts w:ascii="Arial" w:hAnsi="Arial" w:cs="Arial"/>
        </w:rPr>
        <w:lastRenderedPageBreak/>
        <w:t>Pokharel, B., Yelland, J., Hooker, L., Taft, A., 2023. A Systematic Review of Culturally Competent Family Violence Responses to Women in Primary Care. Trauma, Violence, &amp; Abuse 24, 928–945. https://doi.org/10.1177/15248380211046968</w:t>
      </w:r>
    </w:p>
    <w:p w14:paraId="1D9FB7E6" w14:textId="77777777" w:rsidR="003A464F" w:rsidRPr="003A464F" w:rsidRDefault="003A464F" w:rsidP="003A464F">
      <w:pPr>
        <w:pStyle w:val="Bibliography"/>
        <w:rPr>
          <w:rFonts w:ascii="Arial" w:hAnsi="Arial" w:cs="Arial"/>
        </w:rPr>
      </w:pPr>
      <w:r w:rsidRPr="003A464F">
        <w:rPr>
          <w:rFonts w:ascii="Arial" w:hAnsi="Arial" w:cs="Arial"/>
        </w:rPr>
        <w:t>Prime Minister and Cabinet, 2024. Care and support economy [WWW Document]. URL https://www.pmc.gov.au/domestic-policy/care-and-support-economy (accessed 9.9.25).</w:t>
      </w:r>
    </w:p>
    <w:p w14:paraId="135EA775" w14:textId="77777777" w:rsidR="003A464F" w:rsidRPr="003A464F" w:rsidRDefault="003A464F" w:rsidP="003A464F">
      <w:pPr>
        <w:pStyle w:val="Bibliography"/>
        <w:rPr>
          <w:rFonts w:ascii="Arial" w:hAnsi="Arial" w:cs="Arial"/>
        </w:rPr>
      </w:pPr>
      <w:r w:rsidRPr="003A464F">
        <w:rPr>
          <w:rFonts w:ascii="Arial" w:hAnsi="Arial" w:cs="Arial"/>
        </w:rPr>
        <w:t>Prime Minister and Cabinet, 2023. Draft National Strategy for the Care and Support Economy.</w:t>
      </w:r>
    </w:p>
    <w:p w14:paraId="314AF01F" w14:textId="77777777" w:rsidR="003A464F" w:rsidRPr="003A464F" w:rsidRDefault="003A464F" w:rsidP="003A464F">
      <w:pPr>
        <w:pStyle w:val="Bibliography"/>
        <w:rPr>
          <w:rFonts w:ascii="Arial" w:hAnsi="Arial" w:cs="Arial"/>
        </w:rPr>
      </w:pPr>
      <w:r w:rsidRPr="003A464F">
        <w:rPr>
          <w:rFonts w:ascii="Arial" w:hAnsi="Arial" w:cs="Arial"/>
        </w:rPr>
        <w:t>Qu, L., 2020. Australian Families Then and Now: Households and Families. Australian Institute of Family Studies.</w:t>
      </w:r>
    </w:p>
    <w:p w14:paraId="22EAAD14" w14:textId="77777777" w:rsidR="003A464F" w:rsidRPr="003A464F" w:rsidRDefault="003A464F" w:rsidP="003A464F">
      <w:pPr>
        <w:pStyle w:val="Bibliography"/>
        <w:rPr>
          <w:rFonts w:ascii="Arial" w:hAnsi="Arial" w:cs="Arial"/>
        </w:rPr>
      </w:pPr>
      <w:r w:rsidRPr="003A464F">
        <w:rPr>
          <w:rFonts w:ascii="Arial" w:hAnsi="Arial" w:cs="Arial"/>
        </w:rPr>
        <w:t>Radatz, D.L., Richards, T.N., Murphy, C.M., Nitsch, L.J., Green-Manning, A., Brokmeier, A.M., Holliday, C.N., 2021. Integrating ‘Principles of Effective Intervention’ into Domestic Violence Intervention Programs: New Opportunities for Change and Collaboration. Am J Crim Just 46, 609–625. https://doi.org/10.1007/s12103-021-09627-8</w:t>
      </w:r>
    </w:p>
    <w:p w14:paraId="1FFEAD9C" w14:textId="77777777" w:rsidR="003A464F" w:rsidRPr="003A464F" w:rsidRDefault="003A464F" w:rsidP="003A464F">
      <w:pPr>
        <w:pStyle w:val="Bibliography"/>
        <w:rPr>
          <w:rFonts w:ascii="Arial" w:hAnsi="Arial" w:cs="Arial"/>
        </w:rPr>
      </w:pPr>
      <w:r w:rsidRPr="003A464F">
        <w:rPr>
          <w:rFonts w:ascii="Arial" w:hAnsi="Arial" w:cs="Arial"/>
        </w:rPr>
        <w:t>Relationships Australia, 2024. The ongoing effects of partnered relationship breakdown on our mental health, wellbeing and future outlook, Relationship Indicators. Relationships Australia.</w:t>
      </w:r>
    </w:p>
    <w:p w14:paraId="08570F3E" w14:textId="77777777" w:rsidR="003A464F" w:rsidRPr="003A464F" w:rsidRDefault="003A464F" w:rsidP="003A464F">
      <w:pPr>
        <w:pStyle w:val="Bibliography"/>
        <w:rPr>
          <w:rFonts w:ascii="Arial" w:hAnsi="Arial" w:cs="Arial"/>
        </w:rPr>
      </w:pPr>
      <w:r w:rsidRPr="003A464F">
        <w:rPr>
          <w:rFonts w:ascii="Arial" w:hAnsi="Arial" w:cs="Arial"/>
        </w:rPr>
        <w:t>Relationships Australia, 2023a. Equality - Relationships Australia Annual Report 2022 - 23.</w:t>
      </w:r>
    </w:p>
    <w:p w14:paraId="0EF081A3" w14:textId="77777777" w:rsidR="003A464F" w:rsidRPr="003A464F" w:rsidRDefault="003A464F" w:rsidP="003A464F">
      <w:pPr>
        <w:pStyle w:val="Bibliography"/>
        <w:rPr>
          <w:rFonts w:ascii="Arial" w:hAnsi="Arial" w:cs="Arial"/>
        </w:rPr>
      </w:pPr>
      <w:r w:rsidRPr="003A464F">
        <w:rPr>
          <w:rFonts w:ascii="Arial" w:hAnsi="Arial" w:cs="Arial"/>
        </w:rPr>
        <w:t>Relationships Australia, 2023b. What is the most common relationship problem? Pressures affecting relationships today [WWW Document]. Relationships Australia. URL https://www.relationships.org.au/document/what-is-the-most-common-relationship-problem/ (accessed 11.8.24).</w:t>
      </w:r>
    </w:p>
    <w:p w14:paraId="3BAA01F6" w14:textId="77777777" w:rsidR="003A464F" w:rsidRPr="003A464F" w:rsidRDefault="003A464F" w:rsidP="003A464F">
      <w:pPr>
        <w:pStyle w:val="Bibliography"/>
        <w:rPr>
          <w:rFonts w:ascii="Arial" w:hAnsi="Arial" w:cs="Arial"/>
        </w:rPr>
      </w:pPr>
      <w:r w:rsidRPr="003A464F">
        <w:rPr>
          <w:rFonts w:ascii="Arial" w:hAnsi="Arial" w:cs="Arial"/>
        </w:rPr>
        <w:t>Relationships Australia, 2022. Relationship Indicators 2022 Full Report, Relationship Indicators. Relationships Australia.</w:t>
      </w:r>
    </w:p>
    <w:p w14:paraId="041A199B" w14:textId="77777777" w:rsidR="003A464F" w:rsidRPr="003A464F" w:rsidRDefault="003A464F" w:rsidP="003A464F">
      <w:pPr>
        <w:pStyle w:val="Bibliography"/>
        <w:rPr>
          <w:rFonts w:ascii="Arial" w:hAnsi="Arial" w:cs="Arial"/>
        </w:rPr>
      </w:pPr>
      <w:r w:rsidRPr="003A464F">
        <w:rPr>
          <w:rFonts w:ascii="Arial" w:hAnsi="Arial" w:cs="Arial"/>
        </w:rPr>
        <w:t>Robinson, S., Frawley, P., Dyson, S., 2021. Access and Accessibility in Domestic and Family Violence Services for Women With Disabilities: Widening the Lens. Violence Against Women 27, 918–936. https://doi.org/10.1177/1077801220909890</w:t>
      </w:r>
    </w:p>
    <w:p w14:paraId="7854FD9C" w14:textId="77777777" w:rsidR="003A464F" w:rsidRPr="003A464F" w:rsidRDefault="003A464F" w:rsidP="003A464F">
      <w:pPr>
        <w:pStyle w:val="Bibliography"/>
        <w:rPr>
          <w:rFonts w:ascii="Arial" w:hAnsi="Arial" w:cs="Arial"/>
        </w:rPr>
      </w:pPr>
      <w:r w:rsidRPr="003A464F">
        <w:rPr>
          <w:rFonts w:ascii="Arial" w:hAnsi="Arial" w:cs="Arial"/>
        </w:rPr>
        <w:t>Rose, M., Coates, D., 2021. Reducing relationship and sexual violence: Findings from reviews about the effectiveness of respectful relationships and bystander programs in school and tertiary education settings. Australia’s National Research Organisation for Women’s Safety.</w:t>
      </w:r>
    </w:p>
    <w:p w14:paraId="6F92539D" w14:textId="77777777" w:rsidR="003A464F" w:rsidRPr="003A464F" w:rsidRDefault="003A464F" w:rsidP="003A464F">
      <w:pPr>
        <w:pStyle w:val="Bibliography"/>
        <w:rPr>
          <w:rFonts w:ascii="Arial" w:hAnsi="Arial" w:cs="Arial"/>
        </w:rPr>
      </w:pPr>
      <w:r w:rsidRPr="003A464F">
        <w:rPr>
          <w:rFonts w:ascii="Arial" w:hAnsi="Arial" w:cs="Arial"/>
        </w:rPr>
        <w:t>Roy, J., Williamson, E., Pitt, K., Stanley, N., Man, M., Feder, G., Szilassy, E., 2022. ‘It felt like there was always someone there for us’: Supporting children affected by domestic violence and abuse who are identified by general practice. Health Soc Care Community 30, 165–174. https://doi.org/10.1111/hsc.13385</w:t>
      </w:r>
    </w:p>
    <w:p w14:paraId="5B9E974F" w14:textId="77777777" w:rsidR="003A464F" w:rsidRPr="003A464F" w:rsidRDefault="003A464F" w:rsidP="003A464F">
      <w:pPr>
        <w:pStyle w:val="Bibliography"/>
        <w:rPr>
          <w:rFonts w:ascii="Arial" w:hAnsi="Arial" w:cs="Arial"/>
        </w:rPr>
      </w:pPr>
      <w:r w:rsidRPr="003A464F">
        <w:rPr>
          <w:rFonts w:ascii="Arial" w:hAnsi="Arial" w:cs="Arial"/>
        </w:rPr>
        <w:lastRenderedPageBreak/>
        <w:t>Sabri, B., Lee, J., Saha, J., 2022. Conducting Intervention Research With Immigrant Survivors of Intimate Partner Violence: Barriers and Facilitators of Recruitment and Retention. J Interpers Violence 37, NP18060–NP18084. https://doi.org/10.1177/08862605211035866</w:t>
      </w:r>
    </w:p>
    <w:p w14:paraId="6E1F937A" w14:textId="77777777" w:rsidR="003A464F" w:rsidRPr="003A464F" w:rsidRDefault="003A464F" w:rsidP="003A464F">
      <w:pPr>
        <w:pStyle w:val="Bibliography"/>
        <w:rPr>
          <w:rFonts w:ascii="Arial" w:hAnsi="Arial" w:cs="Arial"/>
        </w:rPr>
      </w:pPr>
      <w:r w:rsidRPr="003A464F">
        <w:rPr>
          <w:rFonts w:ascii="Arial" w:hAnsi="Arial" w:cs="Arial"/>
        </w:rPr>
        <w:t>Saleme, P., Seydel, T., Pang, B., Deshpande, S., Parkinson, J., 2023. An Integrative Literature Review of Interventions to Protect People with Disabilities from Domestic and Family Violence. International Journal of Environmental Research and Public Health 20, 2145. https://doi.org/10.3390/ijerph20032145</w:t>
      </w:r>
    </w:p>
    <w:p w14:paraId="4C69B118" w14:textId="77777777" w:rsidR="003A464F" w:rsidRPr="003A464F" w:rsidRDefault="003A464F" w:rsidP="003A464F">
      <w:pPr>
        <w:pStyle w:val="Bibliography"/>
        <w:rPr>
          <w:rFonts w:ascii="Arial" w:hAnsi="Arial" w:cs="Arial"/>
        </w:rPr>
      </w:pPr>
      <w:r w:rsidRPr="003A464F">
        <w:rPr>
          <w:rFonts w:ascii="Arial" w:hAnsi="Arial" w:cs="Arial"/>
        </w:rPr>
        <w:t>Sardinha, L., Stöckl, H., Meyer, S.R., Godin, A., Alexander, M., García-Moreno, C., 2022. A framework to model global, regional, and national estimates of intimate partner violence. BMC Med Res Methodol 22, 159. https://doi.org/10.1186/s12874-022-01634-5</w:t>
      </w:r>
    </w:p>
    <w:p w14:paraId="0DBBD6A4" w14:textId="77777777" w:rsidR="003A464F" w:rsidRPr="003A464F" w:rsidRDefault="003A464F" w:rsidP="003A464F">
      <w:pPr>
        <w:pStyle w:val="Bibliography"/>
        <w:rPr>
          <w:rFonts w:ascii="Arial" w:hAnsi="Arial" w:cs="Arial"/>
        </w:rPr>
      </w:pPr>
      <w:r w:rsidRPr="003A464F">
        <w:rPr>
          <w:rFonts w:ascii="Arial" w:hAnsi="Arial" w:cs="Arial"/>
        </w:rPr>
        <w:t>Satyen, L., Rogic, A.C., Supol, M., 2019. Intimate Partner Violence and Help-Seeking Behaviour: A Systematic Review of Cross-Cultural Differences. J Immigrant Minority Health 21, 879–892. https://doi.org/10.1007/s10903-018-0803-9</w:t>
      </w:r>
    </w:p>
    <w:p w14:paraId="7A25FAC9" w14:textId="77777777" w:rsidR="003A464F" w:rsidRPr="003A464F" w:rsidRDefault="003A464F" w:rsidP="003A464F">
      <w:pPr>
        <w:pStyle w:val="Bibliography"/>
        <w:rPr>
          <w:rFonts w:ascii="Arial" w:hAnsi="Arial" w:cs="Arial"/>
        </w:rPr>
      </w:pPr>
      <w:r w:rsidRPr="003A464F">
        <w:rPr>
          <w:rFonts w:ascii="Arial" w:hAnsi="Arial" w:cs="Arial"/>
        </w:rPr>
        <w:t>Schofield, M., Mumford, N., Jurkovic, I., Jurkovic, D., Pang Chan, S., Bickerdike, A., 2015. Understanding Profiles of Couples Attending Community-Based Couple Counseling and Relationship Education Services. Journal of Couple &amp; Relationship Therapy: 14.</w:t>
      </w:r>
    </w:p>
    <w:p w14:paraId="1E12ED7A" w14:textId="77777777" w:rsidR="003A464F" w:rsidRPr="003A464F" w:rsidRDefault="003A464F" w:rsidP="003A464F">
      <w:pPr>
        <w:pStyle w:val="Bibliography"/>
        <w:rPr>
          <w:rFonts w:ascii="Arial" w:hAnsi="Arial" w:cs="Arial"/>
        </w:rPr>
      </w:pPr>
      <w:r w:rsidRPr="003A464F">
        <w:rPr>
          <w:rFonts w:ascii="Arial" w:hAnsi="Arial" w:cs="Arial"/>
        </w:rPr>
        <w:t>Sheppard, L., Alsubhi, M., Brown, V., Le, H., Robinson, K., Moodie, M., 2024. What Interventions are Cost Effective in Reducing Violence Against Women? A Scoping Review. Appl Health Econ Health Policy 22, 283–296. https://doi.org/10.1007/s40258-023-00870-0</w:t>
      </w:r>
    </w:p>
    <w:p w14:paraId="572D2FEB" w14:textId="77777777" w:rsidR="003A464F" w:rsidRPr="003A464F" w:rsidRDefault="003A464F" w:rsidP="003A464F">
      <w:pPr>
        <w:pStyle w:val="Bibliography"/>
        <w:rPr>
          <w:rFonts w:ascii="Arial" w:hAnsi="Arial" w:cs="Arial"/>
        </w:rPr>
      </w:pPr>
      <w:r w:rsidRPr="003A464F">
        <w:rPr>
          <w:rFonts w:ascii="Arial" w:hAnsi="Arial" w:cs="Arial"/>
        </w:rPr>
        <w:t>Short, J., Cram, F., Roguski, M., Smith, R., Koziol</w:t>
      </w:r>
      <w:r w:rsidRPr="003A464F">
        <w:rPr>
          <w:rFonts w:ascii="Cambria Math" w:hAnsi="Cambria Math" w:cs="Cambria Math"/>
        </w:rPr>
        <w:t>‐</w:t>
      </w:r>
      <w:r w:rsidRPr="003A464F">
        <w:rPr>
          <w:rFonts w:ascii="Arial" w:hAnsi="Arial" w:cs="Arial"/>
        </w:rPr>
        <w:t>McLain, J., 2019. Thinking differently: Re</w:t>
      </w:r>
      <w:r w:rsidRPr="003A464F">
        <w:rPr>
          <w:rFonts w:ascii="Cambria Math" w:hAnsi="Cambria Math" w:cs="Cambria Math"/>
        </w:rPr>
        <w:t>‐</w:t>
      </w:r>
      <w:r w:rsidRPr="003A464F">
        <w:rPr>
          <w:rFonts w:ascii="Arial" w:hAnsi="Arial" w:cs="Arial"/>
        </w:rPr>
        <w:t>framing family violence responsiveness in the mental health and addictions health care context. Int J Mental Health Nurs 28, 1209–1219. https://doi.org/10.1111/inm.12641</w:t>
      </w:r>
    </w:p>
    <w:p w14:paraId="7B9438F6" w14:textId="77777777" w:rsidR="003A464F" w:rsidRPr="003A464F" w:rsidRDefault="003A464F" w:rsidP="003A464F">
      <w:pPr>
        <w:pStyle w:val="Bibliography"/>
        <w:rPr>
          <w:rFonts w:ascii="Arial" w:hAnsi="Arial" w:cs="Arial"/>
        </w:rPr>
      </w:pPr>
      <w:r w:rsidRPr="003A464F">
        <w:rPr>
          <w:rFonts w:ascii="Arial" w:hAnsi="Arial" w:cs="Arial"/>
        </w:rPr>
        <w:t>Stafford, L., Harkin, J., Rolfe, A., Burton, J., Morley, C., 2021. Why having a voice is important to children who are involved in family support services. Child Abuse &amp; Neglect 115, 104987. https://doi.org/10.1016/j.chiabu.2021.104987</w:t>
      </w:r>
    </w:p>
    <w:p w14:paraId="005A3978" w14:textId="77777777" w:rsidR="003A464F" w:rsidRPr="003A464F" w:rsidRDefault="003A464F" w:rsidP="003A464F">
      <w:pPr>
        <w:pStyle w:val="Bibliography"/>
        <w:rPr>
          <w:rFonts w:ascii="Arial" w:hAnsi="Arial" w:cs="Arial"/>
        </w:rPr>
      </w:pPr>
      <w:r w:rsidRPr="003A464F">
        <w:rPr>
          <w:rFonts w:ascii="Arial" w:hAnsi="Arial" w:cs="Arial"/>
        </w:rPr>
        <w:t>Standing Committee on Policy and Legal Affairs, 2024. Recognising, valuing and supporting unpaid carers (text).</w:t>
      </w:r>
    </w:p>
    <w:p w14:paraId="205B6D10" w14:textId="77777777" w:rsidR="003A464F" w:rsidRPr="003A464F" w:rsidRDefault="003A464F" w:rsidP="003A464F">
      <w:pPr>
        <w:pStyle w:val="Bibliography"/>
        <w:rPr>
          <w:rFonts w:ascii="Arial" w:hAnsi="Arial" w:cs="Arial"/>
        </w:rPr>
      </w:pPr>
      <w:r w:rsidRPr="003A464F">
        <w:rPr>
          <w:rFonts w:ascii="Arial" w:hAnsi="Arial" w:cs="Arial"/>
        </w:rPr>
        <w:t>Strobel, N.A., Chamberlain, C., Campbell, S.K., Shields, L., Bainbridge, R.G., Adams, C., Edmond, K.M., Marriott, R., McCalman, J., 2022. Family-centred interventions for Indigenous early childhood well-being by primary healthcare services. Cochrane Database of Systematic Reviews 2022. https://doi.org/10.1002/14651858.CD012463.pub2</w:t>
      </w:r>
    </w:p>
    <w:p w14:paraId="6E73C8B1" w14:textId="77777777" w:rsidR="003A464F" w:rsidRPr="003A464F" w:rsidRDefault="003A464F" w:rsidP="003A464F">
      <w:pPr>
        <w:pStyle w:val="Bibliography"/>
        <w:rPr>
          <w:rFonts w:ascii="Arial" w:hAnsi="Arial" w:cs="Arial"/>
        </w:rPr>
      </w:pPr>
      <w:r w:rsidRPr="003A464F">
        <w:rPr>
          <w:rFonts w:ascii="Arial" w:hAnsi="Arial" w:cs="Arial"/>
        </w:rPr>
        <w:lastRenderedPageBreak/>
        <w:t>Su, Z., Cheshmehzangi, A., McDonnell, D., Chen, H., Ahmad, J., Šegalo, S., Da Veiga, C., 2022. Technology-Based Mental Health Interventions for Domestic Violence Victims Amid COVID-19. IJERPH 19, 4286. https://doi.org/10.3390/ijerph19074286</w:t>
      </w:r>
    </w:p>
    <w:p w14:paraId="6AE71A45" w14:textId="77777777" w:rsidR="003A464F" w:rsidRPr="003A464F" w:rsidRDefault="003A464F" w:rsidP="003A464F">
      <w:pPr>
        <w:pStyle w:val="Bibliography"/>
        <w:rPr>
          <w:rFonts w:ascii="Arial" w:hAnsi="Arial" w:cs="Arial"/>
        </w:rPr>
      </w:pPr>
      <w:r w:rsidRPr="003A464F">
        <w:rPr>
          <w:rFonts w:ascii="Arial" w:hAnsi="Arial" w:cs="Arial"/>
        </w:rPr>
        <w:t>Tafà, M., Bracaglia, F., Inguscio, L., Carone, N., 2022. What Decides the Well-Being of the Relationship between Parents and Adolescents. IJERPH 20, 383. https://doi.org/10.3390/ijerph20010383</w:t>
      </w:r>
    </w:p>
    <w:p w14:paraId="3EE7BF87" w14:textId="77777777" w:rsidR="003A464F" w:rsidRPr="003A464F" w:rsidRDefault="003A464F" w:rsidP="003A464F">
      <w:pPr>
        <w:pStyle w:val="Bibliography"/>
        <w:rPr>
          <w:rFonts w:ascii="Arial" w:hAnsi="Arial" w:cs="Arial"/>
        </w:rPr>
      </w:pPr>
      <w:r w:rsidRPr="003A464F">
        <w:rPr>
          <w:rFonts w:ascii="Arial" w:hAnsi="Arial" w:cs="Arial"/>
        </w:rPr>
        <w:t>Tompsett, C., Mahoney, A., Lackey, J., 2016. Sibling Aggression in Clinic-Referred Children and Adolescents. Journal of Clinical Child &amp; Adolescent Psychology 47, 941–953.</w:t>
      </w:r>
    </w:p>
    <w:p w14:paraId="5BAB7EA0" w14:textId="77777777" w:rsidR="003A464F" w:rsidRPr="003A464F" w:rsidRDefault="003A464F" w:rsidP="003A464F">
      <w:pPr>
        <w:pStyle w:val="Bibliography"/>
        <w:rPr>
          <w:rFonts w:ascii="Arial" w:hAnsi="Arial" w:cs="Arial"/>
        </w:rPr>
      </w:pPr>
      <w:r w:rsidRPr="003A464F">
        <w:rPr>
          <w:rFonts w:ascii="Arial" w:hAnsi="Arial" w:cs="Arial"/>
        </w:rPr>
        <w:t>Toole-Anstey, C., Townsend, M., Keevers, L., 2024. “I Wasn’t Gonna Quit, but by Hook or by Crook I was Gonna Find a Way Through for the Kids”: A Narrative Inquiry, of Mothers and Practitioners, Exploring the Help-seeking of Mothers’ Experiencing Child to Parent Violence. J Fam Viol 39, 567–579. https://doi.org/10.1007/s10896-023-00511-z</w:t>
      </w:r>
    </w:p>
    <w:p w14:paraId="5D259F22" w14:textId="77777777" w:rsidR="003A464F" w:rsidRPr="003A464F" w:rsidRDefault="003A464F" w:rsidP="003A464F">
      <w:pPr>
        <w:pStyle w:val="Bibliography"/>
        <w:rPr>
          <w:rFonts w:ascii="Arial" w:hAnsi="Arial" w:cs="Arial"/>
        </w:rPr>
      </w:pPr>
      <w:r w:rsidRPr="003A464F">
        <w:rPr>
          <w:rFonts w:ascii="Arial" w:hAnsi="Arial" w:cs="Arial"/>
        </w:rPr>
        <w:t>Trabold, N., O’Malley, A., Rizzo, L., Russel, E., 2018. A gateway to healing: A community-based brief intervention for victims of violence. Journal of Community Psychology 42.</w:t>
      </w:r>
    </w:p>
    <w:p w14:paraId="0756C17C" w14:textId="77777777" w:rsidR="003A464F" w:rsidRPr="003A464F" w:rsidRDefault="003A464F" w:rsidP="003A464F">
      <w:pPr>
        <w:pStyle w:val="Bibliography"/>
        <w:rPr>
          <w:rFonts w:ascii="Arial" w:hAnsi="Arial" w:cs="Arial"/>
        </w:rPr>
      </w:pPr>
      <w:r w:rsidRPr="003A464F">
        <w:rPr>
          <w:rFonts w:ascii="Arial" w:hAnsi="Arial" w:cs="Arial"/>
        </w:rPr>
        <w:t>Truong, M., Sharif, M., Pasalich, D., Olsen, A., Calabria, B., Priest, N., 2020. Faith-based communities’ responses to family and domestic violence (No. 1/2020), CSRM Working Paper. Centre for Social Research &amp; Methods.</w:t>
      </w:r>
    </w:p>
    <w:p w14:paraId="26495544" w14:textId="77777777" w:rsidR="003A464F" w:rsidRPr="003A464F" w:rsidRDefault="003A464F" w:rsidP="003A464F">
      <w:pPr>
        <w:pStyle w:val="Bibliography"/>
        <w:rPr>
          <w:rFonts w:ascii="Arial" w:hAnsi="Arial" w:cs="Arial"/>
        </w:rPr>
      </w:pPr>
      <w:r w:rsidRPr="003A464F">
        <w:rPr>
          <w:rFonts w:ascii="Arial" w:hAnsi="Arial" w:cs="Arial"/>
        </w:rPr>
        <w:t>Turner, R., Hammersjö, A., 2024. Navigating survivorhood? Lived experiences of social support-seeking among LGBTQ survivors of intimate partner violence. Qualitative Social Work 23, 242–260. https://doi.org/10.1177/14733250221150208</w:t>
      </w:r>
    </w:p>
    <w:p w14:paraId="6658D36A" w14:textId="77777777" w:rsidR="003A464F" w:rsidRPr="003A464F" w:rsidRDefault="003A464F" w:rsidP="003A464F">
      <w:pPr>
        <w:pStyle w:val="Bibliography"/>
        <w:rPr>
          <w:rFonts w:ascii="Arial" w:hAnsi="Arial" w:cs="Arial"/>
        </w:rPr>
      </w:pPr>
      <w:r w:rsidRPr="003A464F">
        <w:rPr>
          <w:rFonts w:ascii="Arial" w:hAnsi="Arial" w:cs="Arial"/>
        </w:rPr>
        <w:t>United Nations, 1989. Convention on the Rights of the Child.</w:t>
      </w:r>
    </w:p>
    <w:p w14:paraId="78B36ECF" w14:textId="77777777" w:rsidR="003A464F" w:rsidRPr="003A464F" w:rsidRDefault="003A464F" w:rsidP="003A464F">
      <w:pPr>
        <w:pStyle w:val="Bibliography"/>
        <w:rPr>
          <w:rFonts w:ascii="Arial" w:hAnsi="Arial" w:cs="Arial"/>
        </w:rPr>
      </w:pPr>
      <w:r w:rsidRPr="003A464F">
        <w:rPr>
          <w:rFonts w:ascii="Arial" w:hAnsi="Arial" w:cs="Arial"/>
        </w:rPr>
        <w:t>Vahedi, A., Krug, I., Westrupp, E.M., 2019. Crossover of parents’ work-family conflict to family functioning and child mental health. Journal of Applied Developmental Psychology 62, 38–49. https://doi.org/10.1016/j.appdev.2019.01.001</w:t>
      </w:r>
    </w:p>
    <w:p w14:paraId="16AEEB38" w14:textId="77777777" w:rsidR="003A464F" w:rsidRPr="003A464F" w:rsidRDefault="003A464F" w:rsidP="003A464F">
      <w:pPr>
        <w:pStyle w:val="Bibliography"/>
        <w:rPr>
          <w:rFonts w:ascii="Arial" w:hAnsi="Arial" w:cs="Arial"/>
        </w:rPr>
      </w:pPr>
      <w:r w:rsidRPr="003A464F">
        <w:rPr>
          <w:rFonts w:ascii="Arial" w:hAnsi="Arial" w:cs="Arial"/>
        </w:rPr>
        <w:t>Vroegindewey, A., Sabri, B., 2022. Using Mindfulness to Improve Mental Health Outcomes of Immigrant Women with Experiences of Intimate Partner Violence. IJERPH 19, 12714. https://doi.org/10.3390/ijerph191912714</w:t>
      </w:r>
    </w:p>
    <w:p w14:paraId="4F828C19" w14:textId="77777777" w:rsidR="003A464F" w:rsidRPr="003A464F" w:rsidRDefault="003A464F" w:rsidP="003A464F">
      <w:pPr>
        <w:pStyle w:val="Bibliography"/>
        <w:rPr>
          <w:rFonts w:ascii="Arial" w:hAnsi="Arial" w:cs="Arial"/>
        </w:rPr>
      </w:pPr>
      <w:r w:rsidRPr="003A464F">
        <w:rPr>
          <w:rFonts w:ascii="Arial" w:hAnsi="Arial" w:cs="Arial"/>
        </w:rPr>
        <w:t>Waller, B.Y., Joyce, P.A., Quinn, C.R., Hassan Shaari, A.A., Boyd, D.T., 2023. “I Am the One That Needs Help”: The Theory of Help-Seeking Behavior for Survivors of Intimate Partner Violence. J Interpers Violence 38, 288–310. https://doi.org/10.1177/08862605221084340</w:t>
      </w:r>
    </w:p>
    <w:p w14:paraId="5E45833B" w14:textId="77777777" w:rsidR="003A464F" w:rsidRPr="003A464F" w:rsidRDefault="003A464F" w:rsidP="003A464F">
      <w:pPr>
        <w:pStyle w:val="Bibliography"/>
        <w:rPr>
          <w:rFonts w:ascii="Arial" w:hAnsi="Arial" w:cs="Arial"/>
        </w:rPr>
      </w:pPr>
      <w:r w:rsidRPr="003A464F">
        <w:rPr>
          <w:rFonts w:ascii="Arial" w:hAnsi="Arial" w:cs="Arial"/>
        </w:rPr>
        <w:t xml:space="preserve">Walter, B., Chung, D., Waters, R., Watts, L., 2024. Exploring Lived Experience of Family and Domestic Violence Against Women With Disability: A Scoping Review. </w:t>
      </w:r>
      <w:r w:rsidRPr="003A464F">
        <w:rPr>
          <w:rFonts w:ascii="Arial" w:hAnsi="Arial" w:cs="Arial"/>
        </w:rPr>
        <w:lastRenderedPageBreak/>
        <w:t>Trauma Violence Abuse 25, 1925–1937. https://doi.org/10.1177/15248380231201813</w:t>
      </w:r>
    </w:p>
    <w:p w14:paraId="2BC85AB5" w14:textId="77777777" w:rsidR="003A464F" w:rsidRPr="003A464F" w:rsidRDefault="003A464F" w:rsidP="003A464F">
      <w:pPr>
        <w:pStyle w:val="Bibliography"/>
        <w:rPr>
          <w:rFonts w:ascii="Arial" w:hAnsi="Arial" w:cs="Arial"/>
        </w:rPr>
      </w:pPr>
      <w:r w:rsidRPr="003A464F">
        <w:rPr>
          <w:rFonts w:ascii="Arial" w:hAnsi="Arial" w:cs="Arial"/>
        </w:rPr>
        <w:t>Warren, D., Qu, L., Baxter, J., 2020. How we worked. Australian Institute of Family Studies.</w:t>
      </w:r>
    </w:p>
    <w:p w14:paraId="404C974A" w14:textId="77777777" w:rsidR="003A464F" w:rsidRPr="003A464F" w:rsidRDefault="003A464F" w:rsidP="003A464F">
      <w:pPr>
        <w:pStyle w:val="Bibliography"/>
        <w:rPr>
          <w:rFonts w:ascii="Arial" w:hAnsi="Arial" w:cs="Arial"/>
        </w:rPr>
      </w:pPr>
      <w:r w:rsidRPr="003A464F">
        <w:rPr>
          <w:rFonts w:ascii="Arial" w:hAnsi="Arial" w:cs="Arial"/>
        </w:rPr>
        <w:t>Wendt, S., Bastian, C., Jones, M., 2021. Building Collaboration with Child Protection and Domestic and Family Violence Sectors: Trialling a Living Lab Approach. The British Journal of Social Work 51, 692–711. https://doi.org/10.1093/bjsw/bcaa206</w:t>
      </w:r>
    </w:p>
    <w:p w14:paraId="5554BAF0" w14:textId="77777777" w:rsidR="003A464F" w:rsidRPr="003A464F" w:rsidRDefault="003A464F" w:rsidP="003A464F">
      <w:pPr>
        <w:pStyle w:val="Bibliography"/>
        <w:rPr>
          <w:rFonts w:ascii="Arial" w:hAnsi="Arial" w:cs="Arial"/>
        </w:rPr>
      </w:pPr>
      <w:r w:rsidRPr="003A464F">
        <w:rPr>
          <w:rFonts w:ascii="Arial" w:hAnsi="Arial" w:cs="Arial"/>
        </w:rPr>
        <w:t>White, S.J., Sin, J., Sweeney, A., Salisbury, T., Wahlich, C., Montesinos Guevara, C.M., Gillard, S., Brett, E., Allwright, L., Iqbal, N., Khan, A., Perot, C., Marks, J., Mantovani, N., 2024. Global Prevalence and Mental Health Outcomes of Intimate Partner Violence Among Women: A Systematic Review and Meta-Analysis. Trauma, Violence, &amp; Abuse 25, 494–511. https://doi.org/10.1177/15248380231155529</w:t>
      </w:r>
    </w:p>
    <w:p w14:paraId="2E9466D9" w14:textId="77777777" w:rsidR="003A464F" w:rsidRPr="003A464F" w:rsidRDefault="003A464F" w:rsidP="003A464F">
      <w:pPr>
        <w:pStyle w:val="Bibliography"/>
        <w:rPr>
          <w:rFonts w:ascii="Arial" w:hAnsi="Arial" w:cs="Arial"/>
        </w:rPr>
      </w:pPr>
      <w:r w:rsidRPr="003A464F">
        <w:rPr>
          <w:rFonts w:ascii="Arial" w:hAnsi="Arial" w:cs="Arial"/>
        </w:rPr>
        <w:t>World Health Organization, 2022. WHO guidelines on parenting interventions to prevent maltreatment and enhance parent–child relationships with children aged 0–17 years. World Health Organization, Geneva.</w:t>
      </w:r>
    </w:p>
    <w:p w14:paraId="7E938C68" w14:textId="72B290CA" w:rsidR="00C801C3" w:rsidRPr="006D60F4" w:rsidRDefault="00FF4427" w:rsidP="008E1B83">
      <w:r>
        <w:fldChar w:fldCharType="end"/>
      </w:r>
    </w:p>
    <w:p w14:paraId="7B11B825" w14:textId="77777777" w:rsidR="00155BBC" w:rsidRDefault="00155BBC">
      <w:r>
        <w:br w:type="page"/>
      </w:r>
    </w:p>
    <w:p w14:paraId="77A41AA2" w14:textId="4336889A" w:rsidR="00C801C3" w:rsidRDefault="00155BBC" w:rsidP="00C24871">
      <w:pPr>
        <w:pStyle w:val="Bibliography"/>
      </w:pPr>
      <w:r w:rsidRPr="00810F00">
        <w:rPr>
          <w:noProof/>
        </w:rPr>
        <w:lastRenderedPageBreak/>
        <w:drawing>
          <wp:anchor distT="0" distB="0" distL="114300" distR="114300" simplePos="0" relativeHeight="251658263" behindDoc="0" locked="0" layoutInCell="1" allowOverlap="1" wp14:anchorId="7DB22344" wp14:editId="6A6CA88E">
            <wp:simplePos x="0" y="0"/>
            <wp:positionH relativeFrom="page">
              <wp:posOffset>-635</wp:posOffset>
            </wp:positionH>
            <wp:positionV relativeFrom="paragraph">
              <wp:posOffset>-934085</wp:posOffset>
            </wp:positionV>
            <wp:extent cx="7553325" cy="12358370"/>
            <wp:effectExtent l="0" t="0" r="9525" b="5080"/>
            <wp:wrapNone/>
            <wp:docPr id="505" name="Picture 505" descr="P7949#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Picture 505" descr="P7949#y1">
                      <a:extLst>
                        <a:ext uri="{C183D7F6-B498-43B3-948B-1728B52AA6E4}">
                          <adec:decorative xmlns:adec="http://schemas.microsoft.com/office/drawing/2017/decorative" val="1"/>
                        </a:ext>
                      </a:extLst>
                    </pic:cNvPr>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7553325" cy="123583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83CF1A9" w14:textId="75148F16" w:rsidR="00C24871" w:rsidRDefault="00C24871"/>
    <w:p w14:paraId="3F62FFF0" w14:textId="77777777" w:rsidR="00EB3F3C" w:rsidRDefault="00EB3F3C" w:rsidP="007611DA"/>
    <w:p w14:paraId="72D8DB99" w14:textId="2337B417" w:rsidR="00EB3F3C" w:rsidRDefault="00EB3F3C" w:rsidP="001B12F8">
      <w:pPr>
        <w:pStyle w:val="Text"/>
      </w:pPr>
    </w:p>
    <w:p w14:paraId="2D0BF840" w14:textId="77777777" w:rsidR="00EB3F3C" w:rsidRDefault="00EB3F3C" w:rsidP="001B12F8">
      <w:pPr>
        <w:pStyle w:val="Text"/>
      </w:pPr>
    </w:p>
    <w:p w14:paraId="00A9897E" w14:textId="77777777" w:rsidR="00EB3F3C" w:rsidRDefault="00EB3F3C" w:rsidP="001B12F8">
      <w:pPr>
        <w:pStyle w:val="Text"/>
      </w:pPr>
    </w:p>
    <w:p w14:paraId="0BA73E29" w14:textId="77777777" w:rsidR="00EB3F3C" w:rsidRDefault="00EB3F3C" w:rsidP="001B12F8">
      <w:pPr>
        <w:pStyle w:val="Text"/>
      </w:pPr>
    </w:p>
    <w:p w14:paraId="1DF24EF0" w14:textId="77777777" w:rsidR="00EB3F3C" w:rsidRDefault="00EB3F3C" w:rsidP="001B12F8">
      <w:pPr>
        <w:pStyle w:val="Text"/>
      </w:pPr>
    </w:p>
    <w:p w14:paraId="512F8589" w14:textId="6727CBDD" w:rsidR="00EB3F3C" w:rsidRDefault="00EB3F3C" w:rsidP="001B12F8">
      <w:pPr>
        <w:pStyle w:val="Text"/>
      </w:pPr>
    </w:p>
    <w:sectPr w:rsidR="00EB3F3C" w:rsidSect="00552E19">
      <w:pgSz w:w="11909" w:h="16834" w:code="9"/>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998FF44" w14:textId="77777777" w:rsidR="00350C0C" w:rsidRDefault="00350C0C" w:rsidP="006078EC">
      <w:r>
        <w:separator/>
      </w:r>
    </w:p>
    <w:p w14:paraId="4D8589E0" w14:textId="77777777" w:rsidR="00350C0C" w:rsidRDefault="00350C0C" w:rsidP="006078EC"/>
  </w:endnote>
  <w:endnote w:type="continuationSeparator" w:id="0">
    <w:p w14:paraId="0BB18A0F" w14:textId="77777777" w:rsidR="00350C0C" w:rsidRDefault="00350C0C" w:rsidP="006078EC">
      <w:r>
        <w:continuationSeparator/>
      </w:r>
    </w:p>
    <w:p w14:paraId="350A16CD" w14:textId="77777777" w:rsidR="00350C0C" w:rsidRDefault="00350C0C" w:rsidP="006078EC"/>
  </w:endnote>
  <w:endnote w:type="continuationNotice" w:id="1">
    <w:p w14:paraId="6EE54B38" w14:textId="77777777" w:rsidR="00350C0C" w:rsidRDefault="00350C0C" w:rsidP="006078E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SimHei">
    <w:altName w:val="黑体"/>
    <w:panose1 w:val="02010600030101010101"/>
    <w:charset w:val="86"/>
    <w:family w:val="modern"/>
    <w:pitch w:val="fixed"/>
    <w:sig w:usb0="800002BF" w:usb1="38CF7CFA" w:usb2="00000016" w:usb3="00000000" w:csb0="00040001" w:csb1="00000000"/>
  </w:font>
  <w:font w:name="SimSun">
    <w:altName w:val="宋体"/>
    <w:panose1 w:val="02010600030101010101"/>
    <w:charset w:val="86"/>
    <w:family w:val="auto"/>
    <w:pitch w:val="variable"/>
    <w:sig w:usb0="000002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Calibri">
    <w:panose1 w:val="020F0502020204030204"/>
    <w:charset w:val="00"/>
    <w:family w:val="swiss"/>
    <w:pitch w:val="variable"/>
    <w:sig w:usb0="E4002EFF" w:usb1="C2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ZWAdobeF">
    <w:panose1 w:val="00000000000000000000"/>
    <w:charset w:val="00"/>
    <w:family w:val="auto"/>
    <w:pitch w:val="variable"/>
    <w:sig w:usb0="20002A87" w:usb1="00000000" w:usb2="00000000" w:usb3="00000000" w:csb0="000001FF" w:csb1="00000000"/>
  </w:font>
  <w:font w:name="Aptos">
    <w:charset w:val="00"/>
    <w:family w:val="swiss"/>
    <w:pitch w:val="variable"/>
    <w:sig w:usb0="20000287" w:usb1="00000003" w:usb2="00000000" w:usb3="00000000" w:csb0="0000019F" w:csb1="00000000"/>
  </w:font>
  <w:font w:name="Cambria Math">
    <w:panose1 w:val="02040503050406030204"/>
    <w:charset w:val="00"/>
    <w:family w:val="roman"/>
    <w:pitch w:val="variable"/>
    <w:sig w:usb0="E00006FF" w:usb1="420024FF" w:usb2="02000000" w:usb3="00000000" w:csb0="0000019F" w:csb1="00000000"/>
  </w:font>
  <w:font w:name="Aptos Narrow">
    <w:charset w:val="00"/>
    <w:family w:val="swiss"/>
    <w:pitch w:val="variable"/>
    <w:sig w:usb0="20000287" w:usb1="00000003" w:usb2="00000000" w:usb3="00000000" w:csb0="0000019F" w:csb1="00000000"/>
  </w:font>
  <w:font w:name="Arial Bold">
    <w:panose1 w:val="00000000000000000000"/>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A78BA1" w14:textId="77777777" w:rsidR="00EF168C" w:rsidRPr="00EF168C" w:rsidRDefault="00972274">
    <w:pPr>
      <w:pStyle w:val="Footer"/>
      <w:rPr>
        <w:color w:val="auto"/>
      </w:rPr>
    </w:pPr>
    <w:sdt>
      <w:sdtPr>
        <w:rPr>
          <w:color w:val="auto"/>
        </w:rPr>
        <w:id w:val="723099698"/>
        <w:docPartObj>
          <w:docPartGallery w:val="Page Numbers (Bottom of Page)"/>
          <w:docPartUnique/>
        </w:docPartObj>
      </w:sdtPr>
      <w:sdtEndPr/>
      <w:sdtContent>
        <w:r w:rsidR="00EF168C" w:rsidRPr="00EF168C">
          <w:rPr>
            <w:color w:val="auto"/>
          </w:rPr>
          <w:fldChar w:fldCharType="begin"/>
        </w:r>
        <w:r w:rsidR="00EF168C" w:rsidRPr="00EF168C">
          <w:rPr>
            <w:color w:val="auto"/>
          </w:rPr>
          <w:instrText xml:space="preserve"> PAGE   \* MERGEFORMAT </w:instrText>
        </w:r>
        <w:r w:rsidR="00EF168C" w:rsidRPr="00EF168C">
          <w:rPr>
            <w:color w:val="auto"/>
          </w:rPr>
          <w:fldChar w:fldCharType="separate"/>
        </w:r>
        <w:r w:rsidR="00EF168C" w:rsidRPr="00EF168C">
          <w:rPr>
            <w:color w:val="auto"/>
          </w:rPr>
          <w:t>2</w:t>
        </w:r>
        <w:r w:rsidR="00EF168C" w:rsidRPr="00EF168C">
          <w:rPr>
            <w:color w:val="auto"/>
          </w:rPr>
          <w:fldChar w:fldCharType="end"/>
        </w:r>
      </w:sdtContent>
    </w:sdt>
  </w:p>
  <w:p w14:paraId="4DA44DDE" w14:textId="77777777" w:rsidR="00B5400B" w:rsidRPr="00B64730" w:rsidRDefault="00B5400B" w:rsidP="006078EC">
    <w:pPr>
      <w:pStyle w:val="Footer"/>
      <w:rPr>
        <w:i/>
        <w:iCs/>
        <w:color w:val="auto"/>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C537E3" w14:textId="58C5FCBF" w:rsidR="00B64730" w:rsidRPr="00B64730" w:rsidRDefault="00972274">
    <w:pPr>
      <w:pStyle w:val="Footer"/>
      <w:rPr>
        <w:color w:val="auto"/>
      </w:rPr>
    </w:pPr>
    <w:sdt>
      <w:sdtPr>
        <w:rPr>
          <w:color w:val="auto"/>
        </w:rPr>
        <w:id w:val="1779833336"/>
        <w:docPartObj>
          <w:docPartGallery w:val="Page Numbers (Bottom of Page)"/>
          <w:docPartUnique/>
        </w:docPartObj>
      </w:sdtPr>
      <w:sdtEndPr/>
      <w:sdtContent>
        <w:r w:rsidR="00B64730" w:rsidRPr="00EF168C">
          <w:rPr>
            <w:color w:val="auto"/>
          </w:rPr>
          <w:fldChar w:fldCharType="begin"/>
        </w:r>
        <w:r w:rsidR="00B64730" w:rsidRPr="00EF168C">
          <w:rPr>
            <w:color w:val="auto"/>
          </w:rPr>
          <w:instrText xml:space="preserve"> PAGE   \* MERGEFORMAT </w:instrText>
        </w:r>
        <w:r w:rsidR="00B64730" w:rsidRPr="00EF168C">
          <w:rPr>
            <w:color w:val="auto"/>
          </w:rPr>
          <w:fldChar w:fldCharType="separate"/>
        </w:r>
        <w:r w:rsidR="00B64730" w:rsidRPr="00EF168C">
          <w:rPr>
            <w:color w:val="auto"/>
          </w:rPr>
          <w:t>2</w:t>
        </w:r>
        <w:r w:rsidR="00B64730" w:rsidRPr="00EF168C">
          <w:rPr>
            <w:color w:val="auto"/>
          </w:rPr>
          <w:fldChar w:fldCharType="end"/>
        </w:r>
      </w:sdtContent>
    </w:sdt>
  </w:p>
  <w:p w14:paraId="0BFDC4B4" w14:textId="216FDA93" w:rsidR="00FA49D4" w:rsidRDefault="00FA49D4">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0612655"/>
      <w:docPartObj>
        <w:docPartGallery w:val="Page Numbers (Bottom of Page)"/>
        <w:docPartUnique/>
      </w:docPartObj>
    </w:sdtPr>
    <w:sdtEndPr>
      <w:rPr>
        <w:noProof/>
      </w:rPr>
    </w:sdtEndPr>
    <w:sdtContent>
      <w:p w14:paraId="0A9E0AC6" w14:textId="2B357676" w:rsidR="007A5AD8" w:rsidRPr="00D63E8D" w:rsidRDefault="007A5AD8" w:rsidP="006078EC">
        <w:pPr>
          <w:pStyle w:val="Footer"/>
          <w:rPr>
            <w:i/>
            <w:iCs/>
            <w:color w:val="auto"/>
          </w:rPr>
        </w:pPr>
        <w:r w:rsidRPr="00213D0C">
          <w:fldChar w:fldCharType="begin"/>
        </w:r>
        <w:r w:rsidRPr="00213D0C">
          <w:rPr>
            <w:color w:val="auto"/>
          </w:rPr>
          <w:instrText xml:space="preserve"> PAGE   \* MERGEFORMAT </w:instrText>
        </w:r>
        <w:r w:rsidRPr="00213D0C">
          <w:fldChar w:fldCharType="separate"/>
        </w:r>
        <w:r w:rsidRPr="00213D0C">
          <w:rPr>
            <w:noProof/>
            <w:color w:val="auto"/>
          </w:rPr>
          <w:t>2</w:t>
        </w:r>
        <w:r w:rsidRPr="00213D0C">
          <w:fldChar w:fldCharType="end"/>
        </w:r>
        <w:r>
          <w:rPr>
            <w:noProof/>
            <w:color w:val="auto"/>
          </w:rPr>
          <w:t xml:space="preserve"> </w:t>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63013525"/>
      <w:docPartObj>
        <w:docPartGallery w:val="Page Numbers (Bottom of Page)"/>
        <w:docPartUnique/>
      </w:docPartObj>
    </w:sdtPr>
    <w:sdtEndPr>
      <w:rPr>
        <w:noProof/>
      </w:rPr>
    </w:sdtEndPr>
    <w:sdtContent>
      <w:p w14:paraId="20172292" w14:textId="3CEEDF95" w:rsidR="00CC3219" w:rsidRPr="00D63E8D" w:rsidRDefault="00CC3219" w:rsidP="00804A6F">
        <w:pPr>
          <w:pStyle w:val="Footer"/>
          <w:rPr>
            <w:i/>
            <w:iCs/>
            <w:color w:val="auto"/>
          </w:rPr>
        </w:pPr>
        <w:r w:rsidRPr="00213D0C">
          <w:fldChar w:fldCharType="begin"/>
        </w:r>
        <w:r w:rsidRPr="00213D0C">
          <w:rPr>
            <w:color w:val="auto"/>
          </w:rPr>
          <w:instrText xml:space="preserve"> PAGE   \* MERGEFORMAT </w:instrText>
        </w:r>
        <w:r w:rsidRPr="00213D0C">
          <w:fldChar w:fldCharType="separate"/>
        </w:r>
        <w:r w:rsidRPr="00213D0C">
          <w:rPr>
            <w:noProof/>
            <w:color w:val="auto"/>
          </w:rPr>
          <w:t>2</w:t>
        </w:r>
        <w:r w:rsidRPr="00213D0C">
          <w:fldChar w:fldCharType="end"/>
        </w:r>
        <w:r>
          <w:rPr>
            <w:noProof/>
            <w:color w:val="auto"/>
          </w:rPr>
          <w:t xml:space="preserve"> </w:t>
        </w:r>
      </w:p>
    </w:sdtContent>
  </w:sdt>
  <w:p w14:paraId="5F6315DF" w14:textId="77777777" w:rsidR="005907EA" w:rsidRPr="00321BC5" w:rsidRDefault="005907EA" w:rsidP="005907EA">
    <w:pPr>
      <w:pStyle w:val="Footer"/>
      <w:rPr>
        <w:i/>
        <w:iCs/>
        <w:noProof/>
        <w:color w:val="36424A" w:themeColor="background2"/>
      </w:rPr>
    </w:pPr>
    <w:r w:rsidRPr="00321BC5">
      <w:rPr>
        <w:i/>
        <w:iCs/>
        <w:noProof/>
        <w:color w:val="36424A" w:themeColor="background2"/>
      </w:rPr>
      <w:t>*Changes in SCORE have been analysed utilising clients with at least two assessments for the given domain such that the change in SCORE can be measured within subjects and the non-parametric Wilcoxon statistical test is applied to the ranked differences between the first and last outcome</w:t>
    </w:r>
  </w:p>
  <w:p w14:paraId="774AF462" w14:textId="77777777" w:rsidR="005907EA" w:rsidRPr="00321BC5" w:rsidRDefault="005907EA" w:rsidP="005907EA">
    <w:pPr>
      <w:pStyle w:val="Footer"/>
      <w:rPr>
        <w:color w:val="36424A" w:themeColor="background2"/>
      </w:rPr>
    </w:pPr>
    <w:r w:rsidRPr="00321BC5">
      <w:rPr>
        <w:i/>
        <w:iCs/>
        <w:noProof/>
        <w:color w:val="36424A" w:themeColor="background2"/>
      </w:rPr>
      <w:t>^^DEX-SCORE data is for the period July 2021 to June 2024</w:t>
    </w:r>
  </w:p>
  <w:p w14:paraId="4F3B6D57" w14:textId="487C813E" w:rsidR="00870AF5" w:rsidRPr="00C36750" w:rsidRDefault="005907EA" w:rsidP="005907EA">
    <w:pPr>
      <w:pStyle w:val="Footer"/>
      <w:rPr>
        <w:i/>
      </w:rPr>
    </w:pPr>
    <w:r w:rsidRPr="00321BC5">
      <w:rPr>
        <w:i/>
        <w:iCs/>
        <w:noProof/>
        <w:color w:val="36424A" w:themeColor="background2"/>
      </w:rPr>
      <w:t>**Evaluation data is for the period June 2024 to September 20</w:t>
    </w:r>
    <w:r w:rsidRPr="005907EA">
      <w:rPr>
        <w:i/>
        <w:iCs/>
        <w:noProof/>
        <w:color w:val="36424A" w:themeColor="background2"/>
      </w:rPr>
      <w:t>25</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70880884"/>
      <w:docPartObj>
        <w:docPartGallery w:val="Page Numbers (Bottom of Page)"/>
        <w:docPartUnique/>
      </w:docPartObj>
    </w:sdtPr>
    <w:sdtEndPr>
      <w:rPr>
        <w:noProof/>
      </w:rPr>
    </w:sdtEndPr>
    <w:sdtContent>
      <w:p w14:paraId="4FB93C65" w14:textId="03B4C4F2" w:rsidR="00CC3219" w:rsidRPr="00D63E8D" w:rsidRDefault="00CC3219" w:rsidP="006078EC">
        <w:pPr>
          <w:pStyle w:val="Footer"/>
          <w:rPr>
            <w:i/>
            <w:iCs/>
            <w:color w:val="auto"/>
          </w:rPr>
        </w:pPr>
        <w:r w:rsidRPr="00213D0C">
          <w:fldChar w:fldCharType="begin"/>
        </w:r>
        <w:r w:rsidRPr="00213D0C">
          <w:rPr>
            <w:color w:val="auto"/>
          </w:rPr>
          <w:instrText xml:space="preserve"> PAGE   \* MERGEFORMAT </w:instrText>
        </w:r>
        <w:r w:rsidRPr="00213D0C">
          <w:fldChar w:fldCharType="separate"/>
        </w:r>
        <w:r w:rsidRPr="00213D0C">
          <w:rPr>
            <w:noProof/>
            <w:color w:val="auto"/>
          </w:rPr>
          <w:t>2</w:t>
        </w:r>
        <w:r w:rsidRPr="00213D0C">
          <w:fldChar w:fldCharType="end"/>
        </w:r>
        <w:r>
          <w:rPr>
            <w:noProof/>
            <w:color w:val="auto"/>
          </w:rPr>
          <w:t xml:space="preserve"> </w:t>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66181993"/>
      <w:docPartObj>
        <w:docPartGallery w:val="Page Numbers (Bottom of Page)"/>
        <w:docPartUnique/>
      </w:docPartObj>
    </w:sdtPr>
    <w:sdtEndPr>
      <w:rPr>
        <w:noProof/>
      </w:rPr>
    </w:sdtEndPr>
    <w:sdtContent>
      <w:p w14:paraId="2EDD9EE1" w14:textId="6F5E62C8" w:rsidR="008E3397" w:rsidRPr="008E3397" w:rsidRDefault="008E3397" w:rsidP="00804A6F">
        <w:pPr>
          <w:pStyle w:val="Footer"/>
          <w:rPr>
            <w:noProof/>
            <w:color w:val="auto"/>
          </w:rPr>
        </w:pPr>
        <w:r w:rsidRPr="00213D0C">
          <w:fldChar w:fldCharType="begin"/>
        </w:r>
        <w:r w:rsidRPr="00213D0C">
          <w:rPr>
            <w:color w:val="auto"/>
          </w:rPr>
          <w:instrText xml:space="preserve"> PAGE   \* MERGEFORMAT </w:instrText>
        </w:r>
        <w:r w:rsidRPr="00213D0C">
          <w:fldChar w:fldCharType="separate"/>
        </w:r>
        <w:r w:rsidRPr="00213D0C">
          <w:rPr>
            <w:noProof/>
            <w:color w:val="auto"/>
          </w:rPr>
          <w:t>2</w:t>
        </w:r>
        <w:r w:rsidRPr="00213D0C">
          <w:fldChar w:fldCharType="end"/>
        </w:r>
        <w:r>
          <w:rPr>
            <w:noProof/>
            <w:color w:val="auto"/>
          </w:rPr>
          <w:t xml:space="preserve"> </w:t>
        </w:r>
      </w:p>
    </w:sdtContent>
  </w:sdt>
  <w:p w14:paraId="0724FCE7" w14:textId="45C99257" w:rsidR="008E3397" w:rsidRDefault="001416D7" w:rsidP="006078EC">
    <w:pPr>
      <w:pStyle w:val="Footer"/>
      <w:rPr>
        <w:i/>
        <w:iCs/>
        <w:noProof/>
        <w:color w:val="auto"/>
      </w:rPr>
    </w:pPr>
    <w:r>
      <w:rPr>
        <w:i/>
        <w:iCs/>
        <w:noProof/>
        <w:color w:val="auto"/>
      </w:rPr>
      <w:t>*</w:t>
    </w:r>
    <w:r w:rsidRPr="000F383F">
      <w:rPr>
        <w:i/>
        <w:iCs/>
        <w:noProof/>
        <w:color w:val="auto"/>
      </w:rPr>
      <w:t>Changes in SCORE have been analysed utilising clients with at least two assessments for the given domain such that the change in SCORE can be measured within subjects and the non-parametric Wilcoxon statistical test is applied to the ranked differences between the first and last outcome</w:t>
    </w:r>
  </w:p>
  <w:p w14:paraId="58FB7AC9" w14:textId="3B64635A" w:rsidR="00592CF8" w:rsidRDefault="00AD6E46" w:rsidP="00321BC5">
    <w:pPr>
      <w:pStyle w:val="Footer"/>
    </w:pPr>
    <w:r>
      <w:rPr>
        <w:i/>
        <w:iCs/>
        <w:noProof/>
        <w:color w:val="auto"/>
      </w:rPr>
      <w:t>^^DEX-SCORE data is for the period July 2021 to June 2024</w:t>
    </w:r>
  </w:p>
  <w:p w14:paraId="29DD7E8D" w14:textId="759C3241" w:rsidR="001E7288" w:rsidRPr="00321BC5" w:rsidRDefault="00AD6E46" w:rsidP="00D63E8D">
    <w:pPr>
      <w:rPr>
        <w:i/>
        <w:sz w:val="20"/>
        <w:szCs w:val="12"/>
      </w:rPr>
    </w:pPr>
    <w:r>
      <w:rPr>
        <w:i/>
        <w:iCs/>
        <w:noProof/>
      </w:rPr>
      <w:t>**</w:t>
    </w:r>
    <w:r w:rsidRPr="00C212CB">
      <w:rPr>
        <w:i/>
        <w:iCs/>
        <w:noProof/>
        <w:sz w:val="20"/>
      </w:rPr>
      <w:t xml:space="preserve">Evaluation data is for the period </w:t>
    </w:r>
    <w:r w:rsidR="00E66E86" w:rsidRPr="00C212CB">
      <w:rPr>
        <w:i/>
        <w:iCs/>
        <w:noProof/>
        <w:sz w:val="20"/>
      </w:rPr>
      <w:t xml:space="preserve">June 2024 to </w:t>
    </w:r>
    <w:r w:rsidR="00DE0463" w:rsidRPr="00C212CB">
      <w:rPr>
        <w:i/>
        <w:iCs/>
        <w:noProof/>
        <w:sz w:val="20"/>
      </w:rPr>
      <w:t>September</w:t>
    </w:r>
    <w:r w:rsidR="00E66E86" w:rsidRPr="00C212CB">
      <w:rPr>
        <w:i/>
        <w:iCs/>
        <w:noProof/>
        <w:sz w:val="20"/>
      </w:rPr>
      <w:t xml:space="preserve"> 2025 </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72951075"/>
      <w:docPartObj>
        <w:docPartGallery w:val="Page Numbers (Bottom of Page)"/>
        <w:docPartUnique/>
      </w:docPartObj>
    </w:sdtPr>
    <w:sdtEndPr>
      <w:rPr>
        <w:noProof/>
      </w:rPr>
    </w:sdtEndPr>
    <w:sdtContent>
      <w:p w14:paraId="73B3EC6E" w14:textId="77777777" w:rsidR="008E3397" w:rsidRPr="008E3397" w:rsidRDefault="008E3397" w:rsidP="00804A6F">
        <w:pPr>
          <w:pStyle w:val="Footer"/>
          <w:rPr>
            <w:noProof/>
            <w:color w:val="auto"/>
          </w:rPr>
        </w:pPr>
        <w:r w:rsidRPr="00213D0C">
          <w:fldChar w:fldCharType="begin"/>
        </w:r>
        <w:r w:rsidRPr="00213D0C">
          <w:rPr>
            <w:color w:val="auto"/>
          </w:rPr>
          <w:instrText xml:space="preserve"> PAGE   \* MERGEFORMAT </w:instrText>
        </w:r>
        <w:r w:rsidRPr="00213D0C">
          <w:fldChar w:fldCharType="separate"/>
        </w:r>
        <w:r w:rsidRPr="00213D0C">
          <w:rPr>
            <w:noProof/>
            <w:color w:val="auto"/>
          </w:rPr>
          <w:t>2</w:t>
        </w:r>
        <w:r w:rsidRPr="00213D0C">
          <w:fldChar w:fldCharType="end"/>
        </w:r>
        <w:r>
          <w:rPr>
            <w:noProof/>
            <w:color w:val="auto"/>
          </w:rPr>
          <w:t xml:space="preserve"> </w:t>
        </w:r>
      </w:p>
    </w:sdtContent>
  </w:sdt>
  <w:p w14:paraId="58821CBD" w14:textId="04E0D7F0" w:rsidR="008E3397" w:rsidRDefault="008E3397" w:rsidP="006078EC">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65725741"/>
      <w:docPartObj>
        <w:docPartGallery w:val="Page Numbers (Bottom of Page)"/>
        <w:docPartUnique/>
      </w:docPartObj>
    </w:sdtPr>
    <w:sdtEndPr>
      <w:rPr>
        <w:noProof/>
      </w:rPr>
    </w:sdtEndPr>
    <w:sdtContent>
      <w:p w14:paraId="227F4C57" w14:textId="3C59D691" w:rsidR="000F383F" w:rsidRPr="000F383F" w:rsidRDefault="000F383F" w:rsidP="00804A6F">
        <w:pPr>
          <w:pStyle w:val="Footer"/>
          <w:rPr>
            <w:noProof/>
            <w:color w:val="auto"/>
          </w:rPr>
        </w:pPr>
        <w:r w:rsidRPr="00213D0C">
          <w:fldChar w:fldCharType="begin"/>
        </w:r>
        <w:r w:rsidRPr="00213D0C">
          <w:rPr>
            <w:color w:val="auto"/>
          </w:rPr>
          <w:instrText xml:space="preserve"> PAGE   \* MERGEFORMAT </w:instrText>
        </w:r>
        <w:r w:rsidRPr="00213D0C">
          <w:fldChar w:fldCharType="separate"/>
        </w:r>
        <w:r w:rsidRPr="00213D0C">
          <w:rPr>
            <w:noProof/>
            <w:color w:val="auto"/>
          </w:rPr>
          <w:t>2</w:t>
        </w:r>
        <w:r w:rsidRPr="00213D0C">
          <w:fldChar w:fldCharType="end"/>
        </w:r>
        <w:r>
          <w:rPr>
            <w:noProof/>
            <w:color w:val="auto"/>
          </w:rPr>
          <w:t xml:space="preserve"> </w:t>
        </w:r>
      </w:p>
    </w:sdtContent>
  </w:sdt>
  <w:p w14:paraId="08A058C9" w14:textId="77777777" w:rsidR="00334C51" w:rsidRDefault="00334C51">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04090323"/>
      <w:docPartObj>
        <w:docPartGallery w:val="Page Numbers (Bottom of Page)"/>
        <w:docPartUnique/>
      </w:docPartObj>
    </w:sdtPr>
    <w:sdtEndPr>
      <w:rPr>
        <w:color w:val="auto"/>
      </w:rPr>
    </w:sdtEndPr>
    <w:sdtContent>
      <w:p w14:paraId="5319C411" w14:textId="203B4C58" w:rsidR="008F67AA" w:rsidRPr="00D63E8D" w:rsidRDefault="008F67AA">
        <w:pPr>
          <w:pStyle w:val="Footer"/>
          <w:rPr>
            <w:color w:val="auto"/>
          </w:rPr>
        </w:pPr>
        <w:r w:rsidRPr="00D63E8D">
          <w:rPr>
            <w:color w:val="auto"/>
          </w:rPr>
          <w:fldChar w:fldCharType="begin"/>
        </w:r>
        <w:r w:rsidRPr="00D63E8D">
          <w:rPr>
            <w:color w:val="auto"/>
          </w:rPr>
          <w:instrText xml:space="preserve"> PAGE   \* MERGEFORMAT </w:instrText>
        </w:r>
        <w:r w:rsidRPr="00D63E8D">
          <w:rPr>
            <w:color w:val="auto"/>
          </w:rPr>
          <w:fldChar w:fldCharType="separate"/>
        </w:r>
        <w:r w:rsidRPr="00D63E8D">
          <w:rPr>
            <w:noProof/>
            <w:color w:val="auto"/>
          </w:rPr>
          <w:t>2</w:t>
        </w:r>
        <w:r w:rsidRPr="00D63E8D">
          <w:rPr>
            <w:noProof/>
            <w:color w:val="auto"/>
          </w:rPr>
          <w:fldChar w:fldCharType="end"/>
        </w:r>
      </w:p>
    </w:sdtContent>
  </w:sdt>
  <w:p w14:paraId="6B183A74" w14:textId="56385897" w:rsidR="00DE773F" w:rsidRPr="00F43BB9" w:rsidRDefault="00DE773F" w:rsidP="006078E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767B45C" w14:textId="77777777" w:rsidR="00350C0C" w:rsidRDefault="00350C0C" w:rsidP="006078EC">
      <w:r>
        <w:separator/>
      </w:r>
    </w:p>
  </w:footnote>
  <w:footnote w:type="continuationSeparator" w:id="0">
    <w:p w14:paraId="761AF1EE" w14:textId="77777777" w:rsidR="00350C0C" w:rsidRDefault="00350C0C" w:rsidP="006078EC">
      <w:r>
        <w:continuationSeparator/>
      </w:r>
    </w:p>
    <w:p w14:paraId="02C023A9" w14:textId="77777777" w:rsidR="00350C0C" w:rsidRDefault="00350C0C" w:rsidP="006078EC"/>
  </w:footnote>
  <w:footnote w:type="continuationNotice" w:id="1">
    <w:p w14:paraId="3E3E528C" w14:textId="77777777" w:rsidR="00350C0C" w:rsidRDefault="00350C0C" w:rsidP="006078EC"/>
  </w:footnote>
  <w:footnote w:id="2">
    <w:p w14:paraId="0D579063" w14:textId="77C4DD9E" w:rsidR="0022533C" w:rsidRDefault="0022533C" w:rsidP="0022533C">
      <w:pPr>
        <w:pStyle w:val="FootnoteText"/>
      </w:pPr>
      <w:r w:rsidRPr="003A5165">
        <w:rPr>
          <w:rStyle w:val="FootnoteReference"/>
          <w:sz w:val="20"/>
        </w:rPr>
        <w:footnoteRef/>
      </w:r>
      <w:r w:rsidRPr="003A5165">
        <w:rPr>
          <w:sz w:val="20"/>
        </w:rPr>
        <w:t xml:space="preserve"> Note that </w:t>
      </w:r>
      <w:r w:rsidRPr="003A5165">
        <w:rPr>
          <w:sz w:val="20"/>
          <w:lang w:val="en-US"/>
        </w:rPr>
        <w:t xml:space="preserve">modelling is being undertaken during the next phase of the </w:t>
      </w:r>
      <w:r w:rsidRPr="003A5165">
        <w:rPr>
          <w:bCs/>
          <w:sz w:val="20"/>
          <w:lang w:val="en-US"/>
        </w:rPr>
        <w:t>evaluation</w:t>
      </w:r>
      <w:r w:rsidR="003A5165" w:rsidRPr="003A5165">
        <w:rPr>
          <w:bCs/>
          <w:sz w:val="20"/>
          <w:lang w:val="en-US"/>
        </w:rPr>
        <w:t xml:space="preserve"> </w:t>
      </w:r>
      <w:r w:rsidRPr="003A5165">
        <w:rPr>
          <w:bCs/>
          <w:sz w:val="20"/>
          <w:lang w:val="en-US"/>
        </w:rPr>
        <w:t>to</w:t>
      </w:r>
      <w:r w:rsidRPr="003A5165">
        <w:rPr>
          <w:sz w:val="20"/>
          <w:lang w:val="en-US"/>
        </w:rPr>
        <w:t xml:space="preserve"> better understand demand for FaRS and SFVS services and service configuration.</w:t>
      </w:r>
    </w:p>
  </w:footnote>
  <w:footnote w:id="3">
    <w:p w14:paraId="69F352F2" w14:textId="1D42913C" w:rsidR="00191246" w:rsidRPr="00F650E2" w:rsidRDefault="00191246" w:rsidP="00191246">
      <w:pPr>
        <w:pStyle w:val="FootnoteText"/>
        <w:rPr>
          <w:sz w:val="16"/>
          <w:szCs w:val="16"/>
        </w:rPr>
      </w:pPr>
      <w:r w:rsidRPr="00D63E8D">
        <w:rPr>
          <w:rStyle w:val="FootnoteReference"/>
          <w:sz w:val="20"/>
        </w:rPr>
        <w:footnoteRef/>
      </w:r>
      <w:r w:rsidRPr="00D63E8D">
        <w:rPr>
          <w:sz w:val="20"/>
        </w:rPr>
        <w:t xml:space="preserve"> This figure includes SFVS-FaRS funding from 2021-2022 to 2026-27 and </w:t>
      </w:r>
      <w:r w:rsidR="00FB293D" w:rsidRPr="00D63E8D">
        <w:rPr>
          <w:sz w:val="20"/>
        </w:rPr>
        <w:t>4AP2</w:t>
      </w:r>
      <w:r w:rsidRPr="00D63E8D">
        <w:rPr>
          <w:i/>
          <w:sz w:val="20"/>
        </w:rPr>
        <w:t xml:space="preserve"> </w:t>
      </w:r>
      <w:r w:rsidRPr="00D63E8D">
        <w:rPr>
          <w:sz w:val="20"/>
        </w:rPr>
        <w:t>funding from 2022-2</w:t>
      </w:r>
      <w:r w:rsidR="005C4DA3" w:rsidRPr="00D63E8D">
        <w:rPr>
          <w:sz w:val="20"/>
        </w:rPr>
        <w:t>0</w:t>
      </w:r>
      <w:r w:rsidRPr="00D63E8D">
        <w:rPr>
          <w:sz w:val="20"/>
        </w:rPr>
        <w:t>23 to 2026-27</w:t>
      </w:r>
      <w:r w:rsidRPr="00F650E2">
        <w:rPr>
          <w:sz w:val="16"/>
          <w:szCs w:val="16"/>
        </w:rPr>
        <w:t>.</w:t>
      </w:r>
    </w:p>
  </w:footnote>
  <w:footnote w:id="4">
    <w:p w14:paraId="0F0C43E6" w14:textId="5BA6EFFC" w:rsidR="00F61E90" w:rsidRPr="00F650E2" w:rsidRDefault="00F61E90">
      <w:pPr>
        <w:pStyle w:val="FootnoteText"/>
        <w:rPr>
          <w:sz w:val="16"/>
          <w:szCs w:val="16"/>
        </w:rPr>
      </w:pPr>
      <w:r w:rsidRPr="00D63E8D">
        <w:rPr>
          <w:rStyle w:val="FootnoteReference"/>
          <w:sz w:val="20"/>
        </w:rPr>
        <w:footnoteRef/>
      </w:r>
      <w:r w:rsidRPr="00D63E8D">
        <w:rPr>
          <w:sz w:val="20"/>
        </w:rPr>
        <w:t xml:space="preserve"> </w:t>
      </w:r>
      <w:r w:rsidR="008817AC" w:rsidRPr="00D63E8D">
        <w:rPr>
          <w:sz w:val="20"/>
        </w:rPr>
        <w:t>Service user participants under the age of 18 were provided with a Participant Information and Assent Form</w:t>
      </w:r>
      <w:r w:rsidR="00F27FAE" w:rsidRPr="00D63E8D">
        <w:rPr>
          <w:sz w:val="20"/>
        </w:rPr>
        <w:t xml:space="preserve"> to sign prior to their interview. Consent was also sought from their parent/guardian with a specialised parents PICF provided prior to the interview. </w:t>
      </w:r>
    </w:p>
  </w:footnote>
  <w:footnote w:id="5">
    <w:p w14:paraId="6F60B1F4" w14:textId="4A96FF3F" w:rsidR="009A21C0" w:rsidRPr="00F650E2" w:rsidRDefault="009A21C0">
      <w:pPr>
        <w:pStyle w:val="FootnoteText"/>
        <w:rPr>
          <w:sz w:val="16"/>
          <w:szCs w:val="16"/>
        </w:rPr>
      </w:pPr>
      <w:r w:rsidRPr="00D63E8D">
        <w:rPr>
          <w:rStyle w:val="FootnoteReference"/>
          <w:sz w:val="20"/>
        </w:rPr>
        <w:footnoteRef/>
      </w:r>
      <w:r w:rsidRPr="00D63E8D">
        <w:rPr>
          <w:sz w:val="20"/>
        </w:rPr>
        <w:t xml:space="preserve"> This includes people who accessed MBCPs and CSC. </w:t>
      </w:r>
    </w:p>
  </w:footnote>
  <w:footnote w:id="6">
    <w:p w14:paraId="58039906" w14:textId="147EAA24" w:rsidR="000E2A81" w:rsidRPr="00D63E8D" w:rsidRDefault="000E2A81" w:rsidP="000E2A81">
      <w:pPr>
        <w:pStyle w:val="FootnoteText"/>
        <w:rPr>
          <w:sz w:val="20"/>
        </w:rPr>
      </w:pPr>
      <w:r w:rsidRPr="00D63E8D">
        <w:rPr>
          <w:rStyle w:val="FootnoteReference"/>
          <w:sz w:val="20"/>
        </w:rPr>
        <w:footnoteRef/>
      </w:r>
      <w:r w:rsidRPr="00D63E8D">
        <w:rPr>
          <w:sz w:val="20"/>
        </w:rPr>
        <w:t xml:space="preserve"> AIFS defines a blended family as a couple family with at least one natural or adopted child of both partners and at least one </w:t>
      </w:r>
      <w:r w:rsidR="00424081" w:rsidRPr="00D63E8D">
        <w:rPr>
          <w:sz w:val="20"/>
        </w:rPr>
        <w:t>stepchild</w:t>
      </w:r>
      <w:r w:rsidRPr="00D63E8D">
        <w:rPr>
          <w:sz w:val="20"/>
        </w:rPr>
        <w:t xml:space="preserve"> of either partner. A </w:t>
      </w:r>
      <w:r w:rsidR="00424081" w:rsidRPr="00D63E8D">
        <w:rPr>
          <w:sz w:val="20"/>
        </w:rPr>
        <w:t>stepfamily</w:t>
      </w:r>
      <w:r w:rsidRPr="00D63E8D">
        <w:rPr>
          <w:sz w:val="20"/>
        </w:rPr>
        <w:t xml:space="preserve"> is defined as a couple family with at least one </w:t>
      </w:r>
      <w:r w:rsidR="00B173D1" w:rsidRPr="00D63E8D">
        <w:rPr>
          <w:sz w:val="20"/>
        </w:rPr>
        <w:t>stepchild</w:t>
      </w:r>
      <w:r w:rsidRPr="00D63E8D">
        <w:rPr>
          <w:sz w:val="20"/>
        </w:rPr>
        <w:t xml:space="preserve"> of either partner in the couple and without any natural or adopted children of both partners.</w:t>
      </w:r>
    </w:p>
  </w:footnote>
  <w:footnote w:id="7">
    <w:p w14:paraId="1D1256D2" w14:textId="64ED8007" w:rsidR="000E2A81" w:rsidRPr="00D63E8D" w:rsidRDefault="000E2A81" w:rsidP="000E2A81">
      <w:pPr>
        <w:pStyle w:val="FootnoteText"/>
        <w:rPr>
          <w:sz w:val="20"/>
          <w:highlight w:val="yellow"/>
        </w:rPr>
      </w:pPr>
      <w:r w:rsidRPr="00D63E8D">
        <w:rPr>
          <w:rStyle w:val="FootnoteReference"/>
          <w:sz w:val="20"/>
        </w:rPr>
        <w:footnoteRef/>
      </w:r>
      <w:r w:rsidRPr="00D63E8D">
        <w:rPr>
          <w:sz w:val="20"/>
        </w:rPr>
        <w:t xml:space="preserve"> </w:t>
      </w:r>
      <w:r w:rsidR="00A346EE" w:rsidRPr="00D63E8D">
        <w:rPr>
          <w:sz w:val="20"/>
        </w:rPr>
        <w:t xml:space="preserve">Families </w:t>
      </w:r>
      <w:r w:rsidR="004C32E0" w:rsidRPr="00D63E8D">
        <w:rPr>
          <w:sz w:val="20"/>
        </w:rPr>
        <w:t xml:space="preserve">consisting of not only parents and children but also other members of the immediate family, including grandparents. </w:t>
      </w:r>
    </w:p>
  </w:footnote>
  <w:footnote w:id="8">
    <w:p w14:paraId="63996F62" w14:textId="77777777" w:rsidR="000E2A81" w:rsidRPr="00F650E2" w:rsidRDefault="000E2A81" w:rsidP="000E2A81">
      <w:pPr>
        <w:pStyle w:val="FootnoteText"/>
        <w:rPr>
          <w:sz w:val="16"/>
          <w:szCs w:val="16"/>
        </w:rPr>
      </w:pPr>
      <w:r w:rsidRPr="00D63E8D">
        <w:rPr>
          <w:rStyle w:val="FootnoteReference"/>
          <w:sz w:val="20"/>
        </w:rPr>
        <w:footnoteRef/>
      </w:r>
      <w:r w:rsidRPr="00D63E8D">
        <w:rPr>
          <w:sz w:val="20"/>
        </w:rPr>
        <w:t xml:space="preserve"> Families in which a grand-parent-grandchild relationship is present and there is no parent-child relationship. </w:t>
      </w:r>
    </w:p>
  </w:footnote>
  <w:footnote w:id="9">
    <w:p w14:paraId="579B8CE2" w14:textId="0E793534" w:rsidR="008F44D0" w:rsidRPr="00DE647E" w:rsidRDefault="008F44D0">
      <w:pPr>
        <w:pStyle w:val="FootnoteText"/>
        <w:rPr>
          <w:sz w:val="20"/>
        </w:rPr>
      </w:pPr>
      <w:r w:rsidRPr="00DE647E">
        <w:rPr>
          <w:rStyle w:val="FootnoteReference"/>
          <w:sz w:val="20"/>
        </w:rPr>
        <w:footnoteRef/>
      </w:r>
      <w:r w:rsidRPr="00DE647E">
        <w:rPr>
          <w:sz w:val="20"/>
        </w:rPr>
        <w:t xml:space="preserve"> </w:t>
      </w:r>
      <w:r>
        <w:rPr>
          <w:sz w:val="20"/>
          <w:lang w:val="en-US"/>
        </w:rPr>
        <w:t>S</w:t>
      </w:r>
      <w:r w:rsidRPr="00DE647E">
        <w:rPr>
          <w:sz w:val="20"/>
          <w:lang w:val="en-US"/>
        </w:rPr>
        <w:t>ervice user counts are based on service records and may count the same person twice if they attended different organisations.</w:t>
      </w:r>
    </w:p>
  </w:footnote>
  <w:footnote w:id="10">
    <w:p w14:paraId="25021307" w14:textId="1E27ECC9" w:rsidR="00F96CD3" w:rsidRDefault="00F96CD3">
      <w:pPr>
        <w:pStyle w:val="FootnoteText"/>
      </w:pPr>
      <w:r w:rsidRPr="00DE647E">
        <w:rPr>
          <w:rStyle w:val="FootnoteReference"/>
          <w:sz w:val="20"/>
        </w:rPr>
        <w:footnoteRef/>
      </w:r>
      <w:r w:rsidRPr="00DE647E">
        <w:rPr>
          <w:sz w:val="20"/>
        </w:rPr>
        <w:t xml:space="preserve"> </w:t>
      </w:r>
      <w:r w:rsidRPr="00DE647E">
        <w:rPr>
          <w:sz w:val="20"/>
          <w:lang w:val="en-US"/>
        </w:rPr>
        <w:t>It is noted that group service user counts cannot be definitively determined because the same individuals may attend multiple group sessions without identification.</w:t>
      </w:r>
    </w:p>
  </w:footnote>
  <w:footnote w:id="11">
    <w:p w14:paraId="1F44BA79" w14:textId="54E2681A" w:rsidR="00965E6F" w:rsidRDefault="00965E6F">
      <w:pPr>
        <w:pStyle w:val="FootnoteText"/>
      </w:pPr>
      <w:r w:rsidRPr="00D63E8D">
        <w:rPr>
          <w:rStyle w:val="FootnoteReference"/>
          <w:sz w:val="20"/>
          <w:szCs w:val="18"/>
        </w:rPr>
        <w:footnoteRef/>
      </w:r>
      <w:r w:rsidRPr="00D63E8D">
        <w:rPr>
          <w:sz w:val="20"/>
          <w:szCs w:val="18"/>
        </w:rPr>
        <w:t xml:space="preserve"> </w:t>
      </w:r>
      <w:r w:rsidRPr="00D63E8D">
        <w:rPr>
          <w:sz w:val="20"/>
          <w:szCs w:val="18"/>
          <w:lang w:val="en-US"/>
        </w:rPr>
        <w:t>The 2021–22 figure is higher than 2022–23, which might be due to one provider running many brief sessions initially (or 2022–23 data under-reporting).</w:t>
      </w:r>
    </w:p>
  </w:footnote>
  <w:footnote w:id="12">
    <w:p w14:paraId="5855D7CB" w14:textId="7196B254" w:rsidR="00933357" w:rsidRPr="00321BC5" w:rsidRDefault="00780E8D" w:rsidP="00780E8D">
      <w:pPr>
        <w:pStyle w:val="FootnoteText"/>
        <w:rPr>
          <w:sz w:val="20"/>
        </w:rPr>
      </w:pPr>
      <w:r w:rsidRPr="00D63E8D">
        <w:rPr>
          <w:rStyle w:val="FootnoteReference"/>
          <w:sz w:val="20"/>
        </w:rPr>
        <w:footnoteRef/>
      </w:r>
      <w:r w:rsidRPr="00D63E8D">
        <w:rPr>
          <w:sz w:val="20"/>
        </w:rPr>
        <w:t xml:space="preserve"> All increases were statistically significant (p </w:t>
      </w:r>
      <w:r w:rsidR="004778EC" w:rsidRPr="00D63E8D">
        <w:rPr>
          <w:sz w:val="20"/>
        </w:rPr>
        <w:t>&lt;.</w:t>
      </w:r>
      <w:r w:rsidRPr="00D63E8D">
        <w:rPr>
          <w:sz w:val="20"/>
        </w:rPr>
        <w:t>001) in Wilcoxon test utilising the Bonferroni adjustment to account for the number of comparisons.</w:t>
      </w:r>
    </w:p>
  </w:footnote>
  <w:footnote w:id="13">
    <w:p w14:paraId="74541926" w14:textId="4D6BB2BA" w:rsidR="001C20F9" w:rsidRDefault="001C20F9">
      <w:pPr>
        <w:pStyle w:val="FootnoteText"/>
      </w:pPr>
      <w:r w:rsidRPr="00321BC5">
        <w:rPr>
          <w:rStyle w:val="FootnoteReference"/>
          <w:sz w:val="20"/>
        </w:rPr>
        <w:footnoteRef/>
      </w:r>
      <w:r w:rsidRPr="00321BC5">
        <w:rPr>
          <w:sz w:val="20"/>
        </w:rPr>
        <w:t xml:space="preserve"> </w:t>
      </w:r>
      <w:r w:rsidR="00C12C21" w:rsidRPr="00321BC5">
        <w:rPr>
          <w:sz w:val="20"/>
        </w:rPr>
        <w:t>Recent changes to DEX reporting now record non-binary or self-identified gender identify.</w:t>
      </w:r>
      <w:r w:rsidR="00B8230E">
        <w:rPr>
          <w:sz w:val="20"/>
        </w:rPr>
        <w:t xml:space="preserve"> </w:t>
      </w:r>
      <w:r w:rsidR="00C12C21" w:rsidRPr="00321BC5">
        <w:rPr>
          <w:sz w:val="20"/>
        </w:rPr>
        <w:t>This change was introduced in February/March 2024. DEX does not capture data on service user sexuality. For these reasons, the evaluation does not provide analysis on DEX data related LGBTQIA+ status</w:t>
      </w:r>
    </w:p>
  </w:footnote>
  <w:footnote w:id="14">
    <w:p w14:paraId="6A701762" w14:textId="7B3A7A56" w:rsidR="004D0875" w:rsidRPr="00F650E2" w:rsidRDefault="004D0875">
      <w:pPr>
        <w:pStyle w:val="FootnoteText"/>
        <w:rPr>
          <w:sz w:val="16"/>
          <w:szCs w:val="16"/>
        </w:rPr>
      </w:pPr>
      <w:r w:rsidRPr="00D63E8D">
        <w:rPr>
          <w:rStyle w:val="FootnoteReference"/>
          <w:sz w:val="20"/>
        </w:rPr>
        <w:footnoteRef/>
      </w:r>
      <w:r w:rsidRPr="00D63E8D">
        <w:rPr>
          <w:sz w:val="20"/>
        </w:rPr>
        <w:t xml:space="preserve"> A total response count is not provided for this figure as respondents could select multiple options. </w:t>
      </w:r>
    </w:p>
  </w:footnote>
  <w:footnote w:id="15">
    <w:p w14:paraId="03674319" w14:textId="00B8B8CA" w:rsidR="00EA538B" w:rsidRPr="00F650E2" w:rsidRDefault="00EA538B" w:rsidP="00EA538B">
      <w:pPr>
        <w:pStyle w:val="FootnoteText"/>
        <w:rPr>
          <w:sz w:val="16"/>
          <w:szCs w:val="16"/>
        </w:rPr>
      </w:pPr>
      <w:r w:rsidRPr="00D63E8D">
        <w:rPr>
          <w:rStyle w:val="FootnoteReference"/>
          <w:sz w:val="20"/>
        </w:rPr>
        <w:footnoteRef/>
      </w:r>
      <w:r w:rsidRPr="00D63E8D">
        <w:rPr>
          <w:sz w:val="20"/>
        </w:rPr>
        <w:t xml:space="preserve"> 20.3% of sessions had no information regarding service delivery mode available. Sessions were categorised as face-to-face if the service setting was listed as a justice, education or healthcare facility, outlet, client residence, community venue, or partner organisation. Sessions were categorised as virtual if the delivery mode was listed as digital, telephone or video</w:t>
      </w:r>
      <w:r w:rsidR="00966C61">
        <w:rPr>
          <w:sz w:val="20"/>
        </w:rPr>
        <w:t>.</w:t>
      </w:r>
    </w:p>
  </w:footnote>
  <w:footnote w:id="16">
    <w:p w14:paraId="319DD6D9" w14:textId="77777777" w:rsidR="005674C7" w:rsidRPr="00F650E2" w:rsidRDefault="005674C7" w:rsidP="005674C7">
      <w:pPr>
        <w:pStyle w:val="FootnoteText"/>
        <w:rPr>
          <w:sz w:val="16"/>
          <w:szCs w:val="16"/>
        </w:rPr>
      </w:pPr>
      <w:r w:rsidRPr="00D63E8D">
        <w:rPr>
          <w:rStyle w:val="FootnoteReference"/>
          <w:sz w:val="20"/>
        </w:rPr>
        <w:footnoteRef/>
      </w:r>
      <w:r w:rsidRPr="00D63E8D">
        <w:rPr>
          <w:sz w:val="20"/>
        </w:rPr>
        <w:t xml:space="preserve"> The RNR framework was developed by Canadian psychologists Donald A. Andrews and James Bonta in the 1990s to guide effective rehabilitation practices and reduce recidivism in the criminal justice system.</w:t>
      </w:r>
    </w:p>
  </w:footnote>
  <w:footnote w:id="17">
    <w:p w14:paraId="19F0F61F" w14:textId="26AEEF4C" w:rsidR="00675905" w:rsidRDefault="00675905">
      <w:pPr>
        <w:pStyle w:val="FootnoteText"/>
      </w:pPr>
      <w:r w:rsidRPr="00D63E8D">
        <w:rPr>
          <w:rStyle w:val="FootnoteReference"/>
          <w:sz w:val="20"/>
          <w:szCs w:val="18"/>
        </w:rPr>
        <w:footnoteRef/>
      </w:r>
      <w:r w:rsidRPr="00D63E8D">
        <w:rPr>
          <w:sz w:val="20"/>
          <w:szCs w:val="18"/>
        </w:rPr>
        <w:t xml:space="preserve"> Non-ACCO service providers similarly noted that additional effort they are required to undertake to meet service user demand is not captured in </w:t>
      </w:r>
      <w:r w:rsidR="00931F99" w:rsidRPr="00D63E8D">
        <w:rPr>
          <w:sz w:val="20"/>
          <w:szCs w:val="18"/>
        </w:rPr>
        <w:t xml:space="preserve">DEX (see </w:t>
      </w:r>
      <w:r w:rsidR="00931F99" w:rsidRPr="00D63E8D">
        <w:rPr>
          <w:b/>
          <w:sz w:val="20"/>
          <w:szCs w:val="18"/>
        </w:rPr>
        <w:t xml:space="preserve">Section </w:t>
      </w:r>
      <w:r w:rsidR="00931F99" w:rsidRPr="00D63E8D">
        <w:rPr>
          <w:b/>
          <w:sz w:val="20"/>
          <w:szCs w:val="18"/>
        </w:rPr>
        <w:fldChar w:fldCharType="begin" w:fldLock="1"/>
      </w:r>
      <w:r w:rsidR="00931F99" w:rsidRPr="00D63E8D">
        <w:rPr>
          <w:b/>
          <w:sz w:val="20"/>
          <w:szCs w:val="18"/>
        </w:rPr>
        <w:instrText xml:space="preserve"> REF _Ref203062674 \r \h  \* MERGEFORMAT </w:instrText>
      </w:r>
      <w:r w:rsidR="00931F99" w:rsidRPr="00D63E8D">
        <w:rPr>
          <w:b/>
          <w:sz w:val="20"/>
          <w:szCs w:val="18"/>
        </w:rPr>
      </w:r>
      <w:r w:rsidR="00931F99" w:rsidRPr="00D63E8D">
        <w:rPr>
          <w:b/>
          <w:sz w:val="20"/>
          <w:szCs w:val="18"/>
        </w:rPr>
        <w:fldChar w:fldCharType="separate"/>
      </w:r>
      <w:r w:rsidR="008F22E5">
        <w:rPr>
          <w:b/>
          <w:sz w:val="20"/>
          <w:szCs w:val="18"/>
        </w:rPr>
        <w:t>6.6</w:t>
      </w:r>
      <w:r w:rsidR="00931F99" w:rsidRPr="00D63E8D">
        <w:rPr>
          <w:b/>
          <w:sz w:val="20"/>
          <w:szCs w:val="18"/>
        </w:rPr>
        <w:fldChar w:fldCharType="end"/>
      </w:r>
      <w:r w:rsidR="00931F99" w:rsidRPr="00D63E8D">
        <w:rPr>
          <w:sz w:val="20"/>
          <w:szCs w:val="18"/>
        </w:rPr>
        <w:t xml:space="preserve"> and</w:t>
      </w:r>
      <w:r w:rsidR="00987AFC">
        <w:rPr>
          <w:b/>
          <w:sz w:val="20"/>
          <w:szCs w:val="18"/>
        </w:rPr>
        <w:t xml:space="preserve"> Section </w:t>
      </w:r>
      <w:r w:rsidR="00987AFC">
        <w:rPr>
          <w:b/>
          <w:sz w:val="20"/>
          <w:szCs w:val="18"/>
        </w:rPr>
        <w:fldChar w:fldCharType="begin" w:fldLock="1"/>
      </w:r>
      <w:r w:rsidR="00987AFC">
        <w:rPr>
          <w:b/>
          <w:sz w:val="20"/>
          <w:szCs w:val="18"/>
        </w:rPr>
        <w:instrText xml:space="preserve"> REF _Ref208926763 \n \h </w:instrText>
      </w:r>
      <w:r w:rsidR="00987AFC">
        <w:rPr>
          <w:b/>
          <w:sz w:val="20"/>
          <w:szCs w:val="18"/>
        </w:rPr>
      </w:r>
      <w:r w:rsidR="00987AFC">
        <w:rPr>
          <w:b/>
          <w:sz w:val="20"/>
          <w:szCs w:val="18"/>
        </w:rPr>
        <w:fldChar w:fldCharType="separate"/>
      </w:r>
      <w:r w:rsidR="008F22E5">
        <w:rPr>
          <w:b/>
          <w:sz w:val="20"/>
          <w:szCs w:val="18"/>
        </w:rPr>
        <w:t>6.7</w:t>
      </w:r>
      <w:r w:rsidR="00987AFC">
        <w:rPr>
          <w:b/>
          <w:sz w:val="20"/>
          <w:szCs w:val="18"/>
        </w:rPr>
        <w:fldChar w:fldCharType="end"/>
      </w:r>
      <w:r w:rsidR="00931F99" w:rsidRPr="00D63E8D">
        <w:rPr>
          <w:sz w:val="20"/>
          <w:szCs w:val="18"/>
        </w:rPr>
        <w:t>).</w:t>
      </w:r>
    </w:p>
  </w:footnote>
  <w:footnote w:id="18">
    <w:p w14:paraId="4500989E" w14:textId="0C7F170B" w:rsidR="00350AA8" w:rsidRPr="00253268" w:rsidRDefault="00350AA8">
      <w:pPr>
        <w:pStyle w:val="FootnoteText"/>
        <w:rPr>
          <w:sz w:val="16"/>
          <w:szCs w:val="16"/>
        </w:rPr>
      </w:pPr>
      <w:r w:rsidRPr="00D63E8D">
        <w:rPr>
          <w:rStyle w:val="FootnoteReference"/>
          <w:sz w:val="20"/>
        </w:rPr>
        <w:footnoteRef/>
      </w:r>
      <w:r w:rsidRPr="00D63E8D">
        <w:rPr>
          <w:sz w:val="20"/>
        </w:rPr>
        <w:t xml:space="preserve"> </w:t>
      </w:r>
      <w:r w:rsidR="009A08AA" w:rsidRPr="00D63E8D">
        <w:rPr>
          <w:sz w:val="20"/>
        </w:rPr>
        <w:t xml:space="preserve">This includes using formal applications to family law courts by parents who use violence which seek to order that children do not receive counselling or other forms of medical care. </w:t>
      </w:r>
      <w:r w:rsidR="002D1079" w:rsidRPr="00D63E8D">
        <w:rPr>
          <w:sz w:val="20"/>
        </w:rPr>
        <w:t xml:space="preserve">Such applications, if successful, may be part of a broader pattern of systems abuse and coercive control within a relationship. </w:t>
      </w:r>
    </w:p>
  </w:footnote>
  <w:footnote w:id="19">
    <w:p w14:paraId="23409846" w14:textId="30BF3501" w:rsidR="002571AC" w:rsidRPr="00F650E2" w:rsidRDefault="002571AC">
      <w:pPr>
        <w:pStyle w:val="FootnoteText"/>
        <w:rPr>
          <w:sz w:val="16"/>
          <w:szCs w:val="16"/>
        </w:rPr>
      </w:pPr>
      <w:r w:rsidRPr="00D63E8D">
        <w:rPr>
          <w:rStyle w:val="FootnoteReference"/>
          <w:sz w:val="20"/>
        </w:rPr>
        <w:footnoteRef/>
      </w:r>
      <w:r w:rsidRPr="00D63E8D">
        <w:rPr>
          <w:sz w:val="20"/>
        </w:rPr>
        <w:t xml:space="preserve"> Note that demographic data for this cohort is drawn from </w:t>
      </w:r>
      <w:r w:rsidR="006872D8" w:rsidRPr="00D63E8D">
        <w:rPr>
          <w:sz w:val="20"/>
        </w:rPr>
        <w:t xml:space="preserve">a GPS DEX extract, whereas demographic data for other cohorts is drawn from unit record DEX data. </w:t>
      </w:r>
    </w:p>
  </w:footnote>
  <w:footnote w:id="20">
    <w:p w14:paraId="116BF10B" w14:textId="606578DD" w:rsidR="00A56797" w:rsidRPr="00253268" w:rsidRDefault="00A56797">
      <w:pPr>
        <w:pStyle w:val="FootnoteText"/>
        <w:rPr>
          <w:sz w:val="16"/>
          <w:szCs w:val="16"/>
        </w:rPr>
      </w:pPr>
      <w:r w:rsidRPr="00D63E8D">
        <w:rPr>
          <w:rStyle w:val="FootnoteReference"/>
          <w:sz w:val="20"/>
        </w:rPr>
        <w:footnoteRef/>
      </w:r>
      <w:r w:rsidRPr="00D63E8D">
        <w:rPr>
          <w:sz w:val="20"/>
        </w:rPr>
        <w:t xml:space="preserve"> </w:t>
      </w:r>
      <w:r w:rsidR="00D515F9" w:rsidRPr="00D63E8D">
        <w:rPr>
          <w:sz w:val="20"/>
        </w:rPr>
        <w:t xml:space="preserve">ACCO service providers similarly noted that additional effort they are required to undertake to meet service user demand is not captured in DEX (see </w:t>
      </w:r>
      <w:r w:rsidR="00D515F9" w:rsidRPr="00D63E8D">
        <w:rPr>
          <w:b/>
          <w:sz w:val="20"/>
        </w:rPr>
        <w:t xml:space="preserve">Section </w:t>
      </w:r>
      <w:r w:rsidR="00D515F9" w:rsidRPr="00D63E8D">
        <w:rPr>
          <w:b/>
          <w:bCs/>
          <w:sz w:val="20"/>
        </w:rPr>
        <w:fldChar w:fldCharType="begin" w:fldLock="1"/>
      </w:r>
      <w:r w:rsidR="00D515F9" w:rsidRPr="00D63E8D">
        <w:rPr>
          <w:b/>
          <w:bCs/>
          <w:sz w:val="20"/>
        </w:rPr>
        <w:instrText xml:space="preserve"> REF _Ref205303865 \r \h </w:instrText>
      </w:r>
      <w:r w:rsidR="00E9130A" w:rsidRPr="00D63E8D">
        <w:rPr>
          <w:b/>
          <w:bCs/>
          <w:sz w:val="20"/>
        </w:rPr>
        <w:instrText xml:space="preserve"> \* MERGEFORMAT </w:instrText>
      </w:r>
      <w:r w:rsidR="00D515F9" w:rsidRPr="00D63E8D">
        <w:rPr>
          <w:b/>
          <w:bCs/>
          <w:sz w:val="20"/>
        </w:rPr>
      </w:r>
      <w:r w:rsidR="00D515F9" w:rsidRPr="00D63E8D">
        <w:rPr>
          <w:b/>
          <w:bCs/>
          <w:sz w:val="20"/>
        </w:rPr>
        <w:fldChar w:fldCharType="separate"/>
      </w:r>
      <w:r w:rsidR="008F22E5">
        <w:rPr>
          <w:b/>
          <w:bCs/>
          <w:sz w:val="20"/>
        </w:rPr>
        <w:t>6.4.3</w:t>
      </w:r>
      <w:r w:rsidR="00D515F9" w:rsidRPr="00D63E8D">
        <w:rPr>
          <w:b/>
          <w:bCs/>
          <w:sz w:val="20"/>
        </w:rPr>
        <w:fldChar w:fldCharType="end"/>
      </w:r>
      <w:r w:rsidR="00D515F9" w:rsidRPr="00D63E8D">
        <w:rPr>
          <w:sz w:val="20"/>
        </w:rPr>
        <w:t xml:space="preserve">). </w:t>
      </w:r>
    </w:p>
  </w:footnote>
  <w:footnote w:id="21">
    <w:p w14:paraId="1F4BC82D" w14:textId="77777777" w:rsidR="00F964FA" w:rsidRPr="00F650E2" w:rsidRDefault="00F964FA" w:rsidP="00F964FA">
      <w:pPr>
        <w:pStyle w:val="FootnoteText"/>
        <w:rPr>
          <w:sz w:val="16"/>
          <w:szCs w:val="16"/>
        </w:rPr>
      </w:pPr>
      <w:r w:rsidRPr="00D63E8D">
        <w:rPr>
          <w:rStyle w:val="FootnoteReference"/>
          <w:sz w:val="20"/>
        </w:rPr>
        <w:footnoteRef/>
      </w:r>
      <w:r w:rsidRPr="00D63E8D">
        <w:rPr>
          <w:sz w:val="20"/>
        </w:rPr>
        <w:t xml:space="preserve"> Whilst caps have not been placed on service delivery by the Department, international organisational caps have been applied in some circumstances to manage funding allocations.</w:t>
      </w:r>
    </w:p>
  </w:footnote>
  <w:footnote w:id="22">
    <w:p w14:paraId="1257CCB1" w14:textId="77777777" w:rsidR="00877AFF" w:rsidRPr="00F650E2" w:rsidRDefault="00877AFF" w:rsidP="002534E0">
      <w:pPr>
        <w:pStyle w:val="FootnoteText"/>
        <w:rPr>
          <w:sz w:val="16"/>
          <w:szCs w:val="16"/>
        </w:rPr>
      </w:pPr>
      <w:r w:rsidRPr="00F650E2">
        <w:rPr>
          <w:rStyle w:val="FootnoteReference"/>
          <w:sz w:val="16"/>
          <w:szCs w:val="16"/>
        </w:rPr>
        <w:footnoteRef/>
      </w:r>
      <w:r w:rsidRPr="00F650E2">
        <w:rPr>
          <w:sz w:val="16"/>
          <w:szCs w:val="16"/>
        </w:rPr>
        <w:t xml:space="preserve"> Definition developed by the Prime Minister and Cabinet CALD network (</w:t>
      </w:r>
      <w:hyperlink r:id="rId1" w:history="1">
        <w:r w:rsidRPr="00F650E2">
          <w:rPr>
            <w:rStyle w:val="Hyperlink"/>
            <w:rFonts w:asciiTheme="minorHAnsi" w:hAnsiTheme="minorHAnsi"/>
            <w:sz w:val="16"/>
            <w:szCs w:val="16"/>
          </w:rPr>
          <w:t>https://www.pmc.gov.au/resources/pmc-inclusion-and-diversity-strategy-2023-26/understanding-inclusion-and-diversity</w:t>
        </w:r>
      </w:hyperlink>
      <w:r w:rsidRPr="00F650E2">
        <w:rPr>
          <w:sz w:val="16"/>
          <w:szCs w:val="16"/>
        </w:rPr>
        <w:t>)</w:t>
      </w:r>
    </w:p>
  </w:footnote>
  <w:footnote w:id="23">
    <w:p w14:paraId="71807902" w14:textId="77777777" w:rsidR="00877AFF" w:rsidRPr="00F650E2" w:rsidRDefault="00877AFF" w:rsidP="00877AFF">
      <w:pPr>
        <w:pStyle w:val="FootnoteText"/>
        <w:rPr>
          <w:sz w:val="16"/>
          <w:szCs w:val="16"/>
        </w:rPr>
      </w:pPr>
      <w:r w:rsidRPr="00D63E8D">
        <w:rPr>
          <w:rStyle w:val="FootnoteReference"/>
          <w:sz w:val="20"/>
        </w:rPr>
        <w:footnoteRef/>
      </w:r>
      <w:r w:rsidRPr="00D63E8D">
        <w:rPr>
          <w:sz w:val="20"/>
        </w:rPr>
        <w:t xml:space="preserve"> Note: This was not necessary for any MBCP service user interview that was conducted for this evaluation. </w:t>
      </w:r>
    </w:p>
  </w:footnote>
  <w:footnote w:id="24">
    <w:p w14:paraId="2D7EFD1C" w14:textId="0D478413" w:rsidR="00767B14" w:rsidRPr="00D63E8D" w:rsidRDefault="00767B14">
      <w:pPr>
        <w:pStyle w:val="FootnoteText"/>
        <w:rPr>
          <w:sz w:val="20"/>
        </w:rPr>
      </w:pPr>
      <w:r w:rsidRPr="00D63E8D">
        <w:rPr>
          <w:rStyle w:val="FootnoteReference"/>
          <w:sz w:val="20"/>
        </w:rPr>
        <w:footnoteRef/>
      </w:r>
      <w:r w:rsidRPr="00D63E8D">
        <w:rPr>
          <w:sz w:val="20"/>
        </w:rPr>
        <w:t xml:space="preserve"> Percentage count has been excluded from this bar chart as two categories received less than </w:t>
      </w:r>
      <w:r w:rsidR="00076EC5" w:rsidRPr="00D63E8D">
        <w:rPr>
          <w:sz w:val="20"/>
        </w:rPr>
        <w:t>5</w:t>
      </w:r>
      <w:r w:rsidRPr="00D63E8D">
        <w:rPr>
          <w:sz w:val="20"/>
        </w:rPr>
        <w:t xml:space="preserve"> respondents, necessitating measures to protect anonymity.</w:t>
      </w:r>
    </w:p>
  </w:footnote>
  <w:footnote w:id="25">
    <w:p w14:paraId="05EE7A1F" w14:textId="2484DC71" w:rsidR="00E8004B" w:rsidRPr="00F650E2" w:rsidRDefault="00E8004B">
      <w:pPr>
        <w:pStyle w:val="FootnoteText"/>
        <w:rPr>
          <w:sz w:val="16"/>
          <w:szCs w:val="16"/>
        </w:rPr>
      </w:pPr>
      <w:r w:rsidRPr="00D63E8D">
        <w:rPr>
          <w:rStyle w:val="FootnoteReference"/>
          <w:sz w:val="20"/>
        </w:rPr>
        <w:footnoteRef/>
      </w:r>
      <w:r w:rsidRPr="00D63E8D">
        <w:rPr>
          <w:sz w:val="20"/>
        </w:rPr>
        <w:t xml:space="preserve"> Percentage count has been excluded from this bar chart as three categories received less than </w:t>
      </w:r>
      <w:r w:rsidR="00076EC5" w:rsidRPr="00D63E8D">
        <w:rPr>
          <w:sz w:val="20"/>
        </w:rPr>
        <w:t>5</w:t>
      </w:r>
      <w:r w:rsidRPr="00D63E8D">
        <w:rPr>
          <w:sz w:val="20"/>
        </w:rPr>
        <w:t xml:space="preserve"> respondents, necessitating measures to protect anonymity.</w:t>
      </w:r>
    </w:p>
  </w:footnote>
  <w:footnote w:id="26">
    <w:p w14:paraId="64A5EE89" w14:textId="45376BA8" w:rsidR="00E8004B" w:rsidRPr="00F650E2" w:rsidRDefault="00E8004B">
      <w:pPr>
        <w:pStyle w:val="FootnoteText"/>
        <w:rPr>
          <w:sz w:val="16"/>
          <w:szCs w:val="16"/>
        </w:rPr>
      </w:pPr>
      <w:r w:rsidRPr="00D63E8D">
        <w:rPr>
          <w:rStyle w:val="FootnoteReference"/>
          <w:sz w:val="20"/>
        </w:rPr>
        <w:footnoteRef/>
      </w:r>
      <w:r w:rsidRPr="00D63E8D">
        <w:rPr>
          <w:sz w:val="20"/>
        </w:rPr>
        <w:t xml:space="preserve"> Percentage count has been excluded from this bar chart as one category received less than </w:t>
      </w:r>
      <w:r w:rsidR="00076EC5" w:rsidRPr="00D63E8D">
        <w:rPr>
          <w:sz w:val="20"/>
        </w:rPr>
        <w:t>5</w:t>
      </w:r>
      <w:r w:rsidRPr="00D63E8D">
        <w:rPr>
          <w:sz w:val="20"/>
        </w:rPr>
        <w:t xml:space="preserve"> respondents, necessitating measures to protect anonymity.</w:t>
      </w:r>
    </w:p>
  </w:footnote>
  <w:footnote w:id="27">
    <w:p w14:paraId="4C067CF0" w14:textId="6CB2DCC8" w:rsidR="0069004B" w:rsidRPr="00D63E8D" w:rsidRDefault="0069004B">
      <w:pPr>
        <w:pStyle w:val="FootnoteText"/>
        <w:rPr>
          <w:sz w:val="20"/>
        </w:rPr>
      </w:pPr>
      <w:r w:rsidRPr="00D63E8D">
        <w:rPr>
          <w:rStyle w:val="FootnoteReference"/>
          <w:sz w:val="20"/>
        </w:rPr>
        <w:footnoteRef/>
      </w:r>
      <w:r w:rsidR="002534E0" w:rsidRPr="00D63E8D">
        <w:rPr>
          <w:sz w:val="20"/>
        </w:rPr>
        <w:t xml:space="preserve"> </w:t>
      </w:r>
      <w:r w:rsidRPr="00D63E8D">
        <w:rPr>
          <w:sz w:val="20"/>
        </w:rPr>
        <w:t xml:space="preserve">Percentage count has been excluded from this bar chart as </w:t>
      </w:r>
      <w:r w:rsidR="00076EC5" w:rsidRPr="00D63E8D">
        <w:rPr>
          <w:sz w:val="20"/>
        </w:rPr>
        <w:t>2</w:t>
      </w:r>
      <w:r w:rsidRPr="00D63E8D">
        <w:rPr>
          <w:sz w:val="20"/>
        </w:rPr>
        <w:t xml:space="preserve"> categories received less than </w:t>
      </w:r>
      <w:r w:rsidR="00076EC5" w:rsidRPr="00D63E8D">
        <w:rPr>
          <w:sz w:val="20"/>
        </w:rPr>
        <w:t>5</w:t>
      </w:r>
      <w:r w:rsidRPr="00D63E8D">
        <w:rPr>
          <w:sz w:val="20"/>
        </w:rPr>
        <w:t xml:space="preserve"> respondents, necessitating measures to protect anonymity.</w:t>
      </w:r>
    </w:p>
  </w:footnote>
  <w:footnote w:id="28">
    <w:p w14:paraId="219B2FD0" w14:textId="47860EB5" w:rsidR="00655679" w:rsidRPr="00F650E2" w:rsidRDefault="00655679">
      <w:pPr>
        <w:pStyle w:val="FootnoteText"/>
        <w:rPr>
          <w:sz w:val="16"/>
          <w:szCs w:val="16"/>
        </w:rPr>
      </w:pPr>
      <w:r w:rsidRPr="00D63E8D">
        <w:rPr>
          <w:rStyle w:val="FootnoteReference"/>
          <w:sz w:val="20"/>
        </w:rPr>
        <w:footnoteRef/>
      </w:r>
      <w:r w:rsidR="002534E0" w:rsidRPr="00D63E8D">
        <w:rPr>
          <w:sz w:val="20"/>
        </w:rPr>
        <w:t xml:space="preserve"> </w:t>
      </w:r>
      <w:r w:rsidRPr="00D63E8D">
        <w:rPr>
          <w:sz w:val="20"/>
        </w:rPr>
        <w:t xml:space="preserve">Percentage count has been excluded from this bar chart as </w:t>
      </w:r>
      <w:r w:rsidR="00FB6F35" w:rsidRPr="00D63E8D">
        <w:rPr>
          <w:sz w:val="20"/>
        </w:rPr>
        <w:t>one</w:t>
      </w:r>
      <w:r w:rsidRPr="00D63E8D">
        <w:rPr>
          <w:sz w:val="20"/>
        </w:rPr>
        <w:t xml:space="preserve"> category received less than </w:t>
      </w:r>
      <w:r w:rsidR="00076EC5" w:rsidRPr="00D63E8D">
        <w:rPr>
          <w:sz w:val="20"/>
        </w:rPr>
        <w:t>5</w:t>
      </w:r>
      <w:r w:rsidRPr="00D63E8D">
        <w:rPr>
          <w:sz w:val="20"/>
        </w:rPr>
        <w:t xml:space="preserve"> respondents, necessitating measures to protect anonymity. </w:t>
      </w:r>
    </w:p>
  </w:footnote>
  <w:footnote w:id="29">
    <w:p w14:paraId="259616C2" w14:textId="69AC5834" w:rsidR="00FB6F35" w:rsidRPr="00F650E2" w:rsidRDefault="00FB6F35">
      <w:pPr>
        <w:pStyle w:val="FootnoteText"/>
        <w:rPr>
          <w:sz w:val="16"/>
          <w:szCs w:val="16"/>
        </w:rPr>
      </w:pPr>
      <w:r w:rsidRPr="00D63E8D">
        <w:rPr>
          <w:rStyle w:val="FootnoteReference"/>
          <w:sz w:val="20"/>
        </w:rPr>
        <w:footnoteRef/>
      </w:r>
      <w:r w:rsidR="002534E0" w:rsidRPr="00D63E8D">
        <w:rPr>
          <w:sz w:val="20"/>
        </w:rPr>
        <w:t xml:space="preserve"> </w:t>
      </w:r>
      <w:r w:rsidRPr="00D63E8D">
        <w:rPr>
          <w:sz w:val="20"/>
        </w:rPr>
        <w:t xml:space="preserve">Percentage count has been excluded from this bar chart as several categories received less than </w:t>
      </w:r>
      <w:r w:rsidR="00076EC5" w:rsidRPr="00D63E8D">
        <w:rPr>
          <w:sz w:val="20"/>
        </w:rPr>
        <w:t>5</w:t>
      </w:r>
      <w:r w:rsidRPr="00D63E8D">
        <w:rPr>
          <w:sz w:val="20"/>
        </w:rPr>
        <w:t xml:space="preserve"> respondents, necessitating measures to protect anonymity.</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F9D6F3" w14:textId="750E8B03" w:rsidR="00B5400B" w:rsidRPr="00F422CA" w:rsidRDefault="00870838" w:rsidP="00407805">
    <w:pPr>
      <w:pStyle w:val="Header"/>
    </w:pPr>
    <w:r w:rsidRPr="00F422CA">
      <w:t>Allen + Clarke</w:t>
    </w:r>
    <w:r w:rsidR="00D62820" w:rsidRPr="00F422CA">
      <w:t xml:space="preserve"> </w:t>
    </w:r>
  </w:p>
  <w:p w14:paraId="13B7E86B" w14:textId="4A653985" w:rsidR="00870838" w:rsidRPr="001848B7" w:rsidRDefault="00157EB5" w:rsidP="00407805">
    <w:pPr>
      <w:pStyle w:val="Header"/>
    </w:pPr>
    <w:r w:rsidRPr="008A2338">
      <w:rPr>
        <w:color w:val="808080" w:themeColor="background1" w:themeShade="80"/>
      </w:rPr>
      <mc:AlternateContent>
        <mc:Choice Requires="wps">
          <w:drawing>
            <wp:anchor distT="0" distB="0" distL="114300" distR="114300" simplePos="0" relativeHeight="251658240" behindDoc="0" locked="0" layoutInCell="1" allowOverlap="1" wp14:anchorId="6AAB23A0" wp14:editId="270EB639">
              <wp:simplePos x="0" y="0"/>
              <wp:positionH relativeFrom="column">
                <wp:posOffset>-7620</wp:posOffset>
              </wp:positionH>
              <wp:positionV relativeFrom="paragraph">
                <wp:posOffset>160324</wp:posOffset>
              </wp:positionV>
              <wp:extent cx="1311965" cy="0"/>
              <wp:effectExtent l="0" t="0" r="0" b="0"/>
              <wp:wrapNone/>
              <wp:docPr id="6" name="Straight Connector 6" descr="Header"/>
              <wp:cNvGraphicFramePr/>
              <a:graphic xmlns:a="http://schemas.openxmlformats.org/drawingml/2006/main">
                <a:graphicData uri="http://schemas.microsoft.com/office/word/2010/wordprocessingShape">
                  <wps:wsp>
                    <wps:cNvCnPr/>
                    <wps:spPr>
                      <a:xfrm>
                        <a:off x="0" y="0"/>
                        <a:ext cx="1311965" cy="0"/>
                      </a:xfrm>
                      <a:prstGeom prst="line">
                        <a:avLst/>
                      </a:prstGeom>
                      <a:ln w="9525"/>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6F23979" id="Straight Connector 6" o:spid="_x0000_s1026" alt="Header" style="position:absolute;z-index:251658240;visibility:visible;mso-wrap-style:square;mso-wrap-distance-left:9pt;mso-wrap-distance-top:0;mso-wrap-distance-right:9pt;mso-wrap-distance-bottom:0;mso-position-horizontal:absolute;mso-position-horizontal-relative:text;mso-position-vertical:absolute;mso-position-vertical-relative:text" from="-.6pt,12.6pt" to="102.7pt,1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" strokecolor="#78b800 [3204]">
              <v:stroke joinstyle="miter"/>
            </v:line>
          </w:pict>
        </mc:Fallback>
      </mc:AlternateContent>
    </w:r>
    <w:r w:rsidR="008A2338" w:rsidRPr="00321BC5">
      <w:rPr>
        <w:color w:val="auto"/>
      </w:rPr>
      <w:t>Evaluation of FaRS and SFVS</w:t>
    </w:r>
    <w:r w:rsidR="001848B7" w:rsidRPr="00321BC5">
      <w:rPr>
        <w:color w:val="auto"/>
      </w:rPr>
      <w:t xml:space="preserve"> – </w:t>
    </w:r>
    <w:r w:rsidR="008A2338" w:rsidRPr="00321BC5">
      <w:rPr>
        <w:color w:val="auto"/>
      </w:rPr>
      <w:t>Department of Social Services</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245347" w14:textId="48965DD2" w:rsidR="007A3F72" w:rsidRDefault="007A3F72" w:rsidP="00407805">
    <w:pPr>
      <w:pStyle w:val="Header"/>
    </w:pPr>
  </w:p>
  <w:p w14:paraId="69BB36C4" w14:textId="7B61130A" w:rsidR="00582EAB" w:rsidRPr="00321BC5" w:rsidRDefault="00582EAB" w:rsidP="00407805">
    <w:pPr>
      <w:pStyle w:val="Header"/>
      <w:rPr>
        <w:color w:val="auto"/>
      </w:rPr>
    </w:pPr>
    <w:r w:rsidRPr="00321BC5">
      <w:rPr>
        <w:color w:val="auto"/>
      </w:rPr>
      <w:drawing>
        <wp:anchor distT="0" distB="0" distL="114300" distR="114300" simplePos="0" relativeHeight="251658245" behindDoc="0" locked="0" layoutInCell="1" allowOverlap="1" wp14:anchorId="4388693A" wp14:editId="2743AB96">
          <wp:simplePos x="0" y="0"/>
          <wp:positionH relativeFrom="rightMargin">
            <wp:posOffset>-635</wp:posOffset>
          </wp:positionH>
          <wp:positionV relativeFrom="paragraph">
            <wp:posOffset>11430</wp:posOffset>
          </wp:positionV>
          <wp:extent cx="207010" cy="255270"/>
          <wp:effectExtent l="0" t="0" r="2540" b="0"/>
          <wp:wrapThrough wrapText="bothSides">
            <wp:wrapPolygon edited="0">
              <wp:start x="0" y="0"/>
              <wp:lineTo x="0" y="19343"/>
              <wp:lineTo x="19877" y="19343"/>
              <wp:lineTo x="19877" y="0"/>
              <wp:lineTo x="0" y="0"/>
            </wp:wrapPolygon>
          </wp:wrapThrough>
          <wp:docPr id="899907109" name="Picture 8999071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9757955" name="Picture 1909757955">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7010" cy="2552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21BC5">
      <w:rPr>
        <w:color w:val="auto"/>
      </w:rPr>
      <w:t xml:space="preserve">Allen + Clarke </w:t>
    </w:r>
  </w:p>
  <w:p w14:paraId="0A8C5077" w14:textId="2E7A10FA" w:rsidR="00B8189D" w:rsidRPr="00321BC5" w:rsidRDefault="00582EAB">
    <w:pPr>
      <w:pStyle w:val="Header"/>
      <w:rPr>
        <w:color w:val="auto"/>
      </w:rPr>
    </w:pPr>
    <w:r w:rsidRPr="00321BC5">
      <w:rPr>
        <w:color w:val="auto"/>
      </w:rPr>
      <mc:AlternateContent>
        <mc:Choice Requires="wps">
          <w:drawing>
            <wp:anchor distT="0" distB="0" distL="114300" distR="114300" simplePos="0" relativeHeight="251658242" behindDoc="0" locked="0" layoutInCell="1" allowOverlap="1" wp14:anchorId="37F5E59E" wp14:editId="50AE4358">
              <wp:simplePos x="0" y="0"/>
              <wp:positionH relativeFrom="column">
                <wp:posOffset>-7620</wp:posOffset>
              </wp:positionH>
              <wp:positionV relativeFrom="paragraph">
                <wp:posOffset>160324</wp:posOffset>
              </wp:positionV>
              <wp:extent cx="1311965" cy="0"/>
              <wp:effectExtent l="0" t="0" r="0" b="0"/>
              <wp:wrapNone/>
              <wp:docPr id="1524167011" name="Straight Connector 15241670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1311965" cy="0"/>
                      </a:xfrm>
                      <a:prstGeom prst="line">
                        <a:avLst/>
                      </a:prstGeom>
                      <a:ln w="9525"/>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F8963B2" id="Straight Connector 1524167011" o:spid="_x0000_s1026" alt="&quot;&quot;" style="position:absolute;z-index:251658242;visibility:visible;mso-wrap-style:square;mso-wrap-distance-left:9pt;mso-wrap-distance-top:0;mso-wrap-distance-right:9pt;mso-wrap-distance-bottom:0;mso-position-horizontal:absolute;mso-position-horizontal-relative:text;mso-position-vertical:absolute;mso-position-vertical-relative:text" from="-.6pt,12.6pt" to="102.7pt,1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" strokecolor="#78b800 [3204]">
              <v:stroke joinstyle="miter"/>
            </v:line>
          </w:pict>
        </mc:Fallback>
      </mc:AlternateContent>
    </w:r>
    <w:r w:rsidRPr="00321BC5">
      <w:rPr>
        <w:color w:val="auto"/>
      </w:rPr>
      <w:t>Evaluation of FaRS and SFVS – Department of Social Services</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8C2636" w14:textId="4B9A2C10" w:rsidR="004E64B4" w:rsidRDefault="004E64B4">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128011" w14:textId="7499356E" w:rsidR="004E64B4" w:rsidRDefault="004E64B4">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DD5BD7" w14:textId="34A3B213" w:rsidR="004E64B4" w:rsidRDefault="004E64B4">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A77A10" w14:textId="06F35926" w:rsidR="004E64B4" w:rsidRDefault="004E64B4">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AEEB3F" w14:textId="49F7D884" w:rsidR="00104504" w:rsidRPr="00157EB5" w:rsidRDefault="00104504" w:rsidP="00407805">
    <w:pPr>
      <w:pStyle w:val="Header"/>
      <w:rPr>
        <w:color w:val="007E00" w:themeColor="accent3"/>
      </w:rPr>
    </w:pPr>
    <w:r w:rsidRPr="00321BC5">
      <w:rPr>
        <w:color w:val="005E00" w:themeColor="accent3" w:themeShade="BF"/>
      </w:rPr>
      <w:t>Allen + Clarke Consulting</w:t>
    </w:r>
  </w:p>
  <w:p w14:paraId="508384A3" w14:textId="3E1E9855" w:rsidR="00104504" w:rsidRPr="00321BC5" w:rsidRDefault="00104504" w:rsidP="00407805">
    <w:pPr>
      <w:pStyle w:val="Header"/>
      <w:rPr>
        <w:color w:val="007E00" w:themeColor="accent3"/>
      </w:rPr>
    </w:pPr>
    <w:r>
      <mc:AlternateContent>
        <mc:Choice Requires="wps">
          <w:drawing>
            <wp:anchor distT="0" distB="0" distL="114300" distR="114300" simplePos="0" relativeHeight="251658241" behindDoc="0" locked="0" layoutInCell="1" allowOverlap="1" wp14:anchorId="2A2D3CF3" wp14:editId="7A7165C5">
              <wp:simplePos x="0" y="0"/>
              <wp:positionH relativeFrom="column">
                <wp:posOffset>-7620</wp:posOffset>
              </wp:positionH>
              <wp:positionV relativeFrom="paragraph">
                <wp:posOffset>160324</wp:posOffset>
              </wp:positionV>
              <wp:extent cx="1311965" cy="0"/>
              <wp:effectExtent l="0" t="0" r="0" b="0"/>
              <wp:wrapNone/>
              <wp:docPr id="50" name="Straight Connector 5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1311965" cy="0"/>
                      </a:xfrm>
                      <a:prstGeom prst="line">
                        <a:avLst/>
                      </a:prstGeom>
                      <a:ln w="9525"/>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03D9A45" id="Straight Connector 50" o:spid="_x0000_s1026" alt="&quot;&quot;" style="position:absolute;z-index:251658241;visibility:visible;mso-wrap-style:square;mso-wrap-distance-left:9pt;mso-wrap-distance-top:0;mso-wrap-distance-right:9pt;mso-wrap-distance-bottom:0;mso-position-horizontal:absolute;mso-position-horizontal-relative:text;mso-position-vertical:absolute;mso-position-vertical-relative:text" from="-.6pt,12.6pt" to="102.7pt,1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" strokecolor="#78b800 [3204]">
              <v:stroke joinstyle="miter"/>
            </v:line>
          </w:pict>
        </mc:Fallback>
      </mc:AlternateContent>
    </w:r>
    <w:r w:rsidRPr="00321BC5">
      <w:rPr>
        <w:color w:val="007E00" w:themeColor="accent3"/>
      </w:rPr>
      <w:t>tender/quote/response for [client] [gig]</w:t>
    </w:r>
  </w:p>
  <w:p w14:paraId="60843642" w14:textId="77777777" w:rsidR="00104504" w:rsidRPr="00321BC5" w:rsidRDefault="00104504" w:rsidP="00407805">
    <w:pPr>
      <w:pStyle w:val="Header"/>
      <w:rPr>
        <w:color w:val="007E00" w:themeColor="accent3"/>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F6C3D0" w14:textId="3C417E4C" w:rsidR="004E64B4" w:rsidRDefault="004E64B4">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C994E0" w14:textId="3796EBD9" w:rsidR="007A3F72" w:rsidRDefault="007A3F72" w:rsidP="00407805">
    <w:pPr>
      <w:pStyle w:val="Header"/>
    </w:pPr>
  </w:p>
  <w:p w14:paraId="1F932EEB" w14:textId="7D0ABB0C" w:rsidR="00A5407B" w:rsidRPr="00321BC5" w:rsidRDefault="00A5407B" w:rsidP="00407805">
    <w:pPr>
      <w:pStyle w:val="Header"/>
      <w:rPr>
        <w:color w:val="auto"/>
      </w:rPr>
    </w:pPr>
    <w:r w:rsidRPr="00407805" w:rsidDel="00BD3371">
      <w:drawing>
        <wp:anchor distT="0" distB="0" distL="114300" distR="114300" simplePos="0" relativeHeight="251658244" behindDoc="0" locked="0" layoutInCell="1" allowOverlap="1" wp14:anchorId="5F57A52C" wp14:editId="3439B2CB">
          <wp:simplePos x="0" y="0"/>
          <wp:positionH relativeFrom="rightMargin">
            <wp:posOffset>-635</wp:posOffset>
          </wp:positionH>
          <wp:positionV relativeFrom="paragraph">
            <wp:posOffset>11430</wp:posOffset>
          </wp:positionV>
          <wp:extent cx="207010" cy="255270"/>
          <wp:effectExtent l="0" t="0" r="2540" b="0"/>
          <wp:wrapThrough wrapText="bothSides">
            <wp:wrapPolygon edited="0">
              <wp:start x="0" y="0"/>
              <wp:lineTo x="0" y="19343"/>
              <wp:lineTo x="19877" y="19343"/>
              <wp:lineTo x="19877" y="0"/>
              <wp:lineTo x="0" y="0"/>
            </wp:wrapPolygon>
          </wp:wrapThrough>
          <wp:docPr id="748305974" name="Picture 7483059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305218" name="Picture 3663052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7010" cy="2552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21BC5">
      <w:rPr>
        <w:color w:val="auto"/>
      </w:rPr>
      <w:t xml:space="preserve">Allen + Clarke </w:t>
    </w:r>
  </w:p>
  <w:p w14:paraId="6C7BAAE3" w14:textId="09615C00" w:rsidR="00A5407B" w:rsidRPr="001848B7" w:rsidRDefault="00A5407B" w:rsidP="00407805">
    <w:pPr>
      <w:pStyle w:val="Header"/>
    </w:pPr>
    <w:r w:rsidRPr="008A2338">
      <w:rPr>
        <w:color w:val="808080" w:themeColor="background1" w:themeShade="80"/>
      </w:rPr>
      <mc:AlternateContent>
        <mc:Choice Requires="wps">
          <w:drawing>
            <wp:anchor distT="0" distB="0" distL="114300" distR="114300" simplePos="0" relativeHeight="251658243" behindDoc="0" locked="0" layoutInCell="1" allowOverlap="1" wp14:anchorId="030DE303" wp14:editId="0D61D21E">
              <wp:simplePos x="0" y="0"/>
              <wp:positionH relativeFrom="column">
                <wp:posOffset>-7620</wp:posOffset>
              </wp:positionH>
              <wp:positionV relativeFrom="paragraph">
                <wp:posOffset>160324</wp:posOffset>
              </wp:positionV>
              <wp:extent cx="1311965" cy="0"/>
              <wp:effectExtent l="0" t="0" r="0" b="0"/>
              <wp:wrapNone/>
              <wp:docPr id="556277594" name="Straight Connector 55627759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1311965" cy="0"/>
                      </a:xfrm>
                      <a:prstGeom prst="line">
                        <a:avLst/>
                      </a:prstGeom>
                      <a:ln w="9525"/>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D7C5042" id="Straight Connector 556277594" o:spid="_x0000_s1026" alt="&quot;&quot;" style="position:absolute;z-index:251658243;visibility:visible;mso-wrap-style:square;mso-wrap-distance-left:9pt;mso-wrap-distance-top:0;mso-wrap-distance-right:9pt;mso-wrap-distance-bottom:0;mso-position-horizontal:absolute;mso-position-horizontal-relative:text;mso-position-vertical:absolute;mso-position-vertical-relative:text" from="-.6pt,12.6pt" to="102.7pt,1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" strokecolor="#78b800 [3204]">
              <v:stroke joinstyle="miter"/>
            </v:line>
          </w:pict>
        </mc:Fallback>
      </mc:AlternateContent>
    </w:r>
    <w:r w:rsidRPr="00321BC5">
      <w:rPr>
        <w:color w:val="auto"/>
      </w:rPr>
      <w:t>Evaluation of FaRS and SFVS – Department of Social Services</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1D30E7" w14:textId="33E2AD30" w:rsidR="004E64B4" w:rsidRDefault="004E64B4">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35052E" w14:textId="1A1ADD9C" w:rsidR="004E64B4" w:rsidRDefault="004E64B4">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F75994" w14:textId="13B474FA" w:rsidR="004E64B4" w:rsidRDefault="004E64B4">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90BB0A" w14:textId="0CF8635B" w:rsidR="004E64B4" w:rsidRDefault="004E64B4">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1339D3" w14:textId="300846F1" w:rsidR="004E64B4" w:rsidRDefault="004E64B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90A2154A"/>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9F26DCD2"/>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2A34660C"/>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FAC4FCC8"/>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9740E558"/>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0BF071E2"/>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667C30FC"/>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694CDFB8"/>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2C4A5E82"/>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D5640FC6"/>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05B5A23"/>
    <w:multiLevelType w:val="hybridMultilevel"/>
    <w:tmpl w:val="85BA960A"/>
    <w:lvl w:ilvl="0" w:tplc="ABC08A58">
      <w:start w:val="1"/>
      <w:numFmt w:val="decimal"/>
      <w:lvlText w:val="%1."/>
      <w:lvlJc w:val="left"/>
      <w:pPr>
        <w:ind w:left="720" w:hanging="360"/>
      </w:pPr>
    </w:lvl>
    <w:lvl w:ilvl="1" w:tplc="E72AF604">
      <w:start w:val="1"/>
      <w:numFmt w:val="decimal"/>
      <w:lvlText w:val="%2."/>
      <w:lvlJc w:val="left"/>
      <w:pPr>
        <w:ind w:left="720" w:hanging="360"/>
      </w:pPr>
    </w:lvl>
    <w:lvl w:ilvl="2" w:tplc="934A038C">
      <w:start w:val="1"/>
      <w:numFmt w:val="decimal"/>
      <w:lvlText w:val="%3."/>
      <w:lvlJc w:val="left"/>
      <w:pPr>
        <w:ind w:left="720" w:hanging="360"/>
      </w:pPr>
    </w:lvl>
    <w:lvl w:ilvl="3" w:tplc="546AC686">
      <w:start w:val="1"/>
      <w:numFmt w:val="decimal"/>
      <w:lvlText w:val="%4."/>
      <w:lvlJc w:val="left"/>
      <w:pPr>
        <w:ind w:left="720" w:hanging="360"/>
      </w:pPr>
    </w:lvl>
    <w:lvl w:ilvl="4" w:tplc="76CCE6DC">
      <w:start w:val="1"/>
      <w:numFmt w:val="decimal"/>
      <w:lvlText w:val="%5."/>
      <w:lvlJc w:val="left"/>
      <w:pPr>
        <w:ind w:left="720" w:hanging="360"/>
      </w:pPr>
    </w:lvl>
    <w:lvl w:ilvl="5" w:tplc="057E2068">
      <w:start w:val="1"/>
      <w:numFmt w:val="decimal"/>
      <w:lvlText w:val="%6."/>
      <w:lvlJc w:val="left"/>
      <w:pPr>
        <w:ind w:left="720" w:hanging="360"/>
      </w:pPr>
    </w:lvl>
    <w:lvl w:ilvl="6" w:tplc="9A369B76">
      <w:start w:val="1"/>
      <w:numFmt w:val="decimal"/>
      <w:lvlText w:val="%7."/>
      <w:lvlJc w:val="left"/>
      <w:pPr>
        <w:ind w:left="720" w:hanging="360"/>
      </w:pPr>
    </w:lvl>
    <w:lvl w:ilvl="7" w:tplc="8940C88A">
      <w:start w:val="1"/>
      <w:numFmt w:val="decimal"/>
      <w:lvlText w:val="%8."/>
      <w:lvlJc w:val="left"/>
      <w:pPr>
        <w:ind w:left="720" w:hanging="360"/>
      </w:pPr>
    </w:lvl>
    <w:lvl w:ilvl="8" w:tplc="D37E3C06">
      <w:start w:val="1"/>
      <w:numFmt w:val="decimal"/>
      <w:lvlText w:val="%9."/>
      <w:lvlJc w:val="left"/>
      <w:pPr>
        <w:ind w:left="720" w:hanging="360"/>
      </w:pPr>
    </w:lvl>
  </w:abstractNum>
  <w:abstractNum w:abstractNumId="11" w15:restartNumberingAfterBreak="0">
    <w:nsid w:val="00893806"/>
    <w:multiLevelType w:val="hybridMultilevel"/>
    <w:tmpl w:val="5BB49460"/>
    <w:lvl w:ilvl="0" w:tplc="1409000F">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2" w15:restartNumberingAfterBreak="0">
    <w:nsid w:val="00BE18D9"/>
    <w:multiLevelType w:val="hybridMultilevel"/>
    <w:tmpl w:val="EEC49D64"/>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13" w15:restartNumberingAfterBreak="0">
    <w:nsid w:val="00FD0E56"/>
    <w:multiLevelType w:val="hybridMultilevel"/>
    <w:tmpl w:val="3F9EFCA6"/>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4" w15:restartNumberingAfterBreak="0">
    <w:nsid w:val="04A0251A"/>
    <w:multiLevelType w:val="hybridMultilevel"/>
    <w:tmpl w:val="BEB23EA2"/>
    <w:lvl w:ilvl="0" w:tplc="3CC4A894">
      <w:start w:val="1"/>
      <w:numFmt w:val="lowerLetter"/>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5" w15:restartNumberingAfterBreak="0">
    <w:nsid w:val="04B82DD3"/>
    <w:multiLevelType w:val="hybridMultilevel"/>
    <w:tmpl w:val="0BE25A0A"/>
    <w:lvl w:ilvl="0" w:tplc="14090001">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6" w15:restartNumberingAfterBreak="0">
    <w:nsid w:val="05500160"/>
    <w:multiLevelType w:val="multilevel"/>
    <w:tmpl w:val="6CE04904"/>
    <w:styleLink w:val="NumberedHeadings"/>
    <w:lvl w:ilvl="0">
      <w:start w:val="1"/>
      <w:numFmt w:val="decimal"/>
      <w:lvlText w:val="%1.0"/>
      <w:lvlJc w:val="left"/>
      <w:pPr>
        <w:ind w:left="1224" w:hanging="1224"/>
      </w:pPr>
      <w:rPr>
        <w:rFonts w:hint="default"/>
      </w:rPr>
    </w:lvl>
    <w:lvl w:ilvl="1">
      <w:start w:val="1"/>
      <w:numFmt w:val="decimal"/>
      <w:lvlText w:val="%1.%2"/>
      <w:lvlJc w:val="left"/>
      <w:pPr>
        <w:ind w:left="1224" w:hanging="1224"/>
      </w:pPr>
      <w:rPr>
        <w:rFonts w:hint="default"/>
      </w:rPr>
    </w:lvl>
    <w:lvl w:ilvl="2">
      <w:start w:val="1"/>
      <w:numFmt w:val="decimal"/>
      <w:pStyle w:val="Heading3"/>
      <w:lvlText w:val="%1.%2.%3"/>
      <w:lvlJc w:val="left"/>
      <w:pPr>
        <w:ind w:left="1791" w:hanging="1224"/>
      </w:pPr>
      <w:rPr>
        <w:rFonts w:hint="default"/>
      </w:rPr>
    </w:lvl>
    <w:lvl w:ilvl="3">
      <w:start w:val="1"/>
      <w:numFmt w:val="decimal"/>
      <w:pStyle w:val="Heading4"/>
      <w:lvlText w:val="%1.%2.%3.%4"/>
      <w:lvlJc w:val="left"/>
      <w:pPr>
        <w:ind w:left="1224" w:hanging="1224"/>
      </w:pPr>
      <w:rPr>
        <w:rFonts w:hint="default"/>
      </w:rPr>
    </w:lvl>
    <w:lvl w:ilvl="4">
      <w:start w:val="1"/>
      <w:numFmt w:val="none"/>
      <w:lvlText w:val=""/>
      <w:lvlJc w:val="left"/>
      <w:pPr>
        <w:ind w:left="1224" w:hanging="1224"/>
      </w:pPr>
      <w:rPr>
        <w:rFonts w:hint="default"/>
      </w:rPr>
    </w:lvl>
    <w:lvl w:ilvl="5">
      <w:start w:val="1"/>
      <w:numFmt w:val="none"/>
      <w:lvlText w:val=""/>
      <w:lvlJc w:val="left"/>
      <w:pPr>
        <w:ind w:left="1224" w:hanging="1224"/>
      </w:pPr>
      <w:rPr>
        <w:rFonts w:hint="default"/>
      </w:rPr>
    </w:lvl>
    <w:lvl w:ilvl="6">
      <w:start w:val="1"/>
      <w:numFmt w:val="none"/>
      <w:lvlText w:val=""/>
      <w:lvlJc w:val="left"/>
      <w:pPr>
        <w:ind w:left="1224" w:hanging="1224"/>
      </w:pPr>
      <w:rPr>
        <w:rFonts w:hint="default"/>
      </w:rPr>
    </w:lvl>
    <w:lvl w:ilvl="7">
      <w:start w:val="1"/>
      <w:numFmt w:val="none"/>
      <w:lvlText w:val=""/>
      <w:lvlJc w:val="left"/>
      <w:pPr>
        <w:ind w:left="1224" w:hanging="1224"/>
      </w:pPr>
      <w:rPr>
        <w:rFonts w:hint="default"/>
      </w:rPr>
    </w:lvl>
    <w:lvl w:ilvl="8">
      <w:start w:val="1"/>
      <w:numFmt w:val="none"/>
      <w:lvlText w:val=""/>
      <w:lvlJc w:val="left"/>
      <w:pPr>
        <w:ind w:left="1224" w:hanging="1224"/>
      </w:pPr>
      <w:rPr>
        <w:rFonts w:hint="default"/>
      </w:rPr>
    </w:lvl>
  </w:abstractNum>
  <w:abstractNum w:abstractNumId="17" w15:restartNumberingAfterBreak="0">
    <w:nsid w:val="05A54588"/>
    <w:multiLevelType w:val="hybridMultilevel"/>
    <w:tmpl w:val="48B0E612"/>
    <w:lvl w:ilvl="0" w:tplc="AF62F3B8">
      <w:start w:val="4"/>
      <w:numFmt w:val="bullet"/>
      <w:lvlText w:val="-"/>
      <w:lvlJc w:val="left"/>
      <w:pPr>
        <w:ind w:left="720" w:hanging="36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05C93144"/>
    <w:multiLevelType w:val="hybridMultilevel"/>
    <w:tmpl w:val="65A27D3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9" w15:restartNumberingAfterBreak="0">
    <w:nsid w:val="06396EC3"/>
    <w:multiLevelType w:val="hybridMultilevel"/>
    <w:tmpl w:val="08E6D2D6"/>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20" w15:restartNumberingAfterBreak="0">
    <w:nsid w:val="07CB19A1"/>
    <w:multiLevelType w:val="hybridMultilevel"/>
    <w:tmpl w:val="D44011E0"/>
    <w:lvl w:ilvl="0" w:tplc="1C24EBA2">
      <w:start w:val="1"/>
      <w:numFmt w:val="decimal"/>
      <w:lvlText w:val="%1."/>
      <w:lvlJc w:val="left"/>
      <w:pPr>
        <w:ind w:left="720" w:hanging="360"/>
      </w:pPr>
    </w:lvl>
    <w:lvl w:ilvl="1" w:tplc="3EE2B85E">
      <w:start w:val="1"/>
      <w:numFmt w:val="decimal"/>
      <w:lvlText w:val="%2."/>
      <w:lvlJc w:val="left"/>
      <w:pPr>
        <w:ind w:left="720" w:hanging="360"/>
      </w:pPr>
    </w:lvl>
    <w:lvl w:ilvl="2" w:tplc="602C09E8">
      <w:start w:val="1"/>
      <w:numFmt w:val="decimal"/>
      <w:lvlText w:val="%3."/>
      <w:lvlJc w:val="left"/>
      <w:pPr>
        <w:ind w:left="720" w:hanging="360"/>
      </w:pPr>
    </w:lvl>
    <w:lvl w:ilvl="3" w:tplc="7BD8AD6A">
      <w:start w:val="1"/>
      <w:numFmt w:val="decimal"/>
      <w:lvlText w:val="%4."/>
      <w:lvlJc w:val="left"/>
      <w:pPr>
        <w:ind w:left="720" w:hanging="360"/>
      </w:pPr>
    </w:lvl>
    <w:lvl w:ilvl="4" w:tplc="483A2C4E">
      <w:start w:val="1"/>
      <w:numFmt w:val="decimal"/>
      <w:lvlText w:val="%5."/>
      <w:lvlJc w:val="left"/>
      <w:pPr>
        <w:ind w:left="720" w:hanging="360"/>
      </w:pPr>
    </w:lvl>
    <w:lvl w:ilvl="5" w:tplc="2D080AC2">
      <w:start w:val="1"/>
      <w:numFmt w:val="decimal"/>
      <w:lvlText w:val="%6."/>
      <w:lvlJc w:val="left"/>
      <w:pPr>
        <w:ind w:left="720" w:hanging="360"/>
      </w:pPr>
    </w:lvl>
    <w:lvl w:ilvl="6" w:tplc="EE42E184">
      <w:start w:val="1"/>
      <w:numFmt w:val="decimal"/>
      <w:lvlText w:val="%7."/>
      <w:lvlJc w:val="left"/>
      <w:pPr>
        <w:ind w:left="720" w:hanging="360"/>
      </w:pPr>
    </w:lvl>
    <w:lvl w:ilvl="7" w:tplc="2B363E6A">
      <w:start w:val="1"/>
      <w:numFmt w:val="decimal"/>
      <w:lvlText w:val="%8."/>
      <w:lvlJc w:val="left"/>
      <w:pPr>
        <w:ind w:left="720" w:hanging="360"/>
      </w:pPr>
    </w:lvl>
    <w:lvl w:ilvl="8" w:tplc="CF70A744">
      <w:start w:val="1"/>
      <w:numFmt w:val="decimal"/>
      <w:lvlText w:val="%9."/>
      <w:lvlJc w:val="left"/>
      <w:pPr>
        <w:ind w:left="720" w:hanging="360"/>
      </w:pPr>
    </w:lvl>
  </w:abstractNum>
  <w:abstractNum w:abstractNumId="21" w15:restartNumberingAfterBreak="0">
    <w:nsid w:val="09F232C3"/>
    <w:multiLevelType w:val="hybridMultilevel"/>
    <w:tmpl w:val="4E56CA48"/>
    <w:lvl w:ilvl="0" w:tplc="D8DADD86">
      <w:start w:val="1"/>
      <w:numFmt w:val="bullet"/>
      <w:pStyle w:val="Bullet2"/>
      <w:lvlText w:val="o"/>
      <w:lvlJc w:val="left"/>
      <w:pPr>
        <w:ind w:left="1287" w:hanging="360"/>
      </w:pPr>
      <w:rPr>
        <w:rFonts w:ascii="Courier New" w:hAnsi="Courier New" w:cs="Courier New" w:hint="default"/>
      </w:rPr>
    </w:lvl>
    <w:lvl w:ilvl="1" w:tplc="04160003">
      <w:start w:val="1"/>
      <w:numFmt w:val="bullet"/>
      <w:lvlText w:val="o"/>
      <w:lvlJc w:val="left"/>
      <w:pPr>
        <w:ind w:left="2007" w:hanging="360"/>
      </w:pPr>
      <w:rPr>
        <w:rFonts w:ascii="Courier New" w:hAnsi="Courier New" w:cs="Courier New" w:hint="default"/>
      </w:rPr>
    </w:lvl>
    <w:lvl w:ilvl="2" w:tplc="04160005">
      <w:start w:val="1"/>
      <w:numFmt w:val="bullet"/>
      <w:lvlText w:val=""/>
      <w:lvlJc w:val="left"/>
      <w:pPr>
        <w:ind w:left="2727" w:hanging="360"/>
      </w:pPr>
      <w:rPr>
        <w:rFonts w:ascii="Wingdings" w:hAnsi="Wingdings" w:hint="default"/>
      </w:rPr>
    </w:lvl>
    <w:lvl w:ilvl="3" w:tplc="04160001" w:tentative="1">
      <w:start w:val="1"/>
      <w:numFmt w:val="bullet"/>
      <w:lvlText w:val=""/>
      <w:lvlJc w:val="left"/>
      <w:pPr>
        <w:ind w:left="3447" w:hanging="360"/>
      </w:pPr>
      <w:rPr>
        <w:rFonts w:ascii="Symbol" w:hAnsi="Symbol" w:hint="default"/>
      </w:rPr>
    </w:lvl>
    <w:lvl w:ilvl="4" w:tplc="04160003" w:tentative="1">
      <w:start w:val="1"/>
      <w:numFmt w:val="bullet"/>
      <w:lvlText w:val="o"/>
      <w:lvlJc w:val="left"/>
      <w:pPr>
        <w:ind w:left="4167" w:hanging="360"/>
      </w:pPr>
      <w:rPr>
        <w:rFonts w:ascii="Courier New" w:hAnsi="Courier New" w:cs="Courier New" w:hint="default"/>
      </w:rPr>
    </w:lvl>
    <w:lvl w:ilvl="5" w:tplc="04160005" w:tentative="1">
      <w:start w:val="1"/>
      <w:numFmt w:val="bullet"/>
      <w:lvlText w:val=""/>
      <w:lvlJc w:val="left"/>
      <w:pPr>
        <w:ind w:left="4887" w:hanging="360"/>
      </w:pPr>
      <w:rPr>
        <w:rFonts w:ascii="Wingdings" w:hAnsi="Wingdings" w:hint="default"/>
      </w:rPr>
    </w:lvl>
    <w:lvl w:ilvl="6" w:tplc="04160001" w:tentative="1">
      <w:start w:val="1"/>
      <w:numFmt w:val="bullet"/>
      <w:lvlText w:val=""/>
      <w:lvlJc w:val="left"/>
      <w:pPr>
        <w:ind w:left="5607" w:hanging="360"/>
      </w:pPr>
      <w:rPr>
        <w:rFonts w:ascii="Symbol" w:hAnsi="Symbol" w:hint="default"/>
      </w:rPr>
    </w:lvl>
    <w:lvl w:ilvl="7" w:tplc="04160003" w:tentative="1">
      <w:start w:val="1"/>
      <w:numFmt w:val="bullet"/>
      <w:lvlText w:val="o"/>
      <w:lvlJc w:val="left"/>
      <w:pPr>
        <w:ind w:left="6327" w:hanging="360"/>
      </w:pPr>
      <w:rPr>
        <w:rFonts w:ascii="Courier New" w:hAnsi="Courier New" w:cs="Courier New" w:hint="default"/>
      </w:rPr>
    </w:lvl>
    <w:lvl w:ilvl="8" w:tplc="04160005" w:tentative="1">
      <w:start w:val="1"/>
      <w:numFmt w:val="bullet"/>
      <w:lvlText w:val=""/>
      <w:lvlJc w:val="left"/>
      <w:pPr>
        <w:ind w:left="7047" w:hanging="360"/>
      </w:pPr>
      <w:rPr>
        <w:rFonts w:ascii="Wingdings" w:hAnsi="Wingdings" w:hint="default"/>
      </w:rPr>
    </w:lvl>
  </w:abstractNum>
  <w:abstractNum w:abstractNumId="22" w15:restartNumberingAfterBreak="0">
    <w:nsid w:val="0B0731CC"/>
    <w:multiLevelType w:val="hybridMultilevel"/>
    <w:tmpl w:val="60A29954"/>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23" w15:restartNumberingAfterBreak="0">
    <w:nsid w:val="0C5E171D"/>
    <w:multiLevelType w:val="hybridMultilevel"/>
    <w:tmpl w:val="C3A29AA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0C815738"/>
    <w:multiLevelType w:val="hybridMultilevel"/>
    <w:tmpl w:val="79761FFA"/>
    <w:lvl w:ilvl="0" w:tplc="19484826">
      <w:start w:val="1"/>
      <w:numFmt w:val="bullet"/>
      <w:lvlText w:val=""/>
      <w:lvlJc w:val="left"/>
      <w:pPr>
        <w:ind w:left="720" w:hanging="360"/>
      </w:pPr>
      <w:rPr>
        <w:rFonts w:ascii="Symbol" w:hAnsi="Symbol"/>
      </w:rPr>
    </w:lvl>
    <w:lvl w:ilvl="1" w:tplc="4D30850A">
      <w:start w:val="1"/>
      <w:numFmt w:val="bullet"/>
      <w:lvlText w:val=""/>
      <w:lvlJc w:val="left"/>
      <w:pPr>
        <w:ind w:left="720" w:hanging="360"/>
      </w:pPr>
      <w:rPr>
        <w:rFonts w:ascii="Symbol" w:hAnsi="Symbol"/>
      </w:rPr>
    </w:lvl>
    <w:lvl w:ilvl="2" w:tplc="3392E192">
      <w:start w:val="1"/>
      <w:numFmt w:val="bullet"/>
      <w:lvlText w:val=""/>
      <w:lvlJc w:val="left"/>
      <w:pPr>
        <w:ind w:left="720" w:hanging="360"/>
      </w:pPr>
      <w:rPr>
        <w:rFonts w:ascii="Symbol" w:hAnsi="Symbol"/>
      </w:rPr>
    </w:lvl>
    <w:lvl w:ilvl="3" w:tplc="62BC5992">
      <w:start w:val="1"/>
      <w:numFmt w:val="bullet"/>
      <w:lvlText w:val=""/>
      <w:lvlJc w:val="left"/>
      <w:pPr>
        <w:ind w:left="720" w:hanging="360"/>
      </w:pPr>
      <w:rPr>
        <w:rFonts w:ascii="Symbol" w:hAnsi="Symbol"/>
      </w:rPr>
    </w:lvl>
    <w:lvl w:ilvl="4" w:tplc="9E0EF03E">
      <w:start w:val="1"/>
      <w:numFmt w:val="bullet"/>
      <w:lvlText w:val=""/>
      <w:lvlJc w:val="left"/>
      <w:pPr>
        <w:ind w:left="720" w:hanging="360"/>
      </w:pPr>
      <w:rPr>
        <w:rFonts w:ascii="Symbol" w:hAnsi="Symbol"/>
      </w:rPr>
    </w:lvl>
    <w:lvl w:ilvl="5" w:tplc="FF46B9DE">
      <w:start w:val="1"/>
      <w:numFmt w:val="bullet"/>
      <w:lvlText w:val=""/>
      <w:lvlJc w:val="left"/>
      <w:pPr>
        <w:ind w:left="720" w:hanging="360"/>
      </w:pPr>
      <w:rPr>
        <w:rFonts w:ascii="Symbol" w:hAnsi="Symbol"/>
      </w:rPr>
    </w:lvl>
    <w:lvl w:ilvl="6" w:tplc="2EF84D7E">
      <w:start w:val="1"/>
      <w:numFmt w:val="bullet"/>
      <w:lvlText w:val=""/>
      <w:lvlJc w:val="left"/>
      <w:pPr>
        <w:ind w:left="720" w:hanging="360"/>
      </w:pPr>
      <w:rPr>
        <w:rFonts w:ascii="Symbol" w:hAnsi="Symbol"/>
      </w:rPr>
    </w:lvl>
    <w:lvl w:ilvl="7" w:tplc="4B44E56E">
      <w:start w:val="1"/>
      <w:numFmt w:val="bullet"/>
      <w:lvlText w:val=""/>
      <w:lvlJc w:val="left"/>
      <w:pPr>
        <w:ind w:left="720" w:hanging="360"/>
      </w:pPr>
      <w:rPr>
        <w:rFonts w:ascii="Symbol" w:hAnsi="Symbol"/>
      </w:rPr>
    </w:lvl>
    <w:lvl w:ilvl="8" w:tplc="4A0E6436">
      <w:start w:val="1"/>
      <w:numFmt w:val="bullet"/>
      <w:lvlText w:val=""/>
      <w:lvlJc w:val="left"/>
      <w:pPr>
        <w:ind w:left="720" w:hanging="360"/>
      </w:pPr>
      <w:rPr>
        <w:rFonts w:ascii="Symbol" w:hAnsi="Symbol"/>
      </w:rPr>
    </w:lvl>
  </w:abstractNum>
  <w:abstractNum w:abstractNumId="25" w15:restartNumberingAfterBreak="0">
    <w:nsid w:val="0C9321A6"/>
    <w:multiLevelType w:val="hybridMultilevel"/>
    <w:tmpl w:val="496C25BE"/>
    <w:lvl w:ilvl="0" w:tplc="747A0BAA">
      <w:start w:val="1"/>
      <w:numFmt w:val="decimal"/>
      <w:lvlText w:val="%1."/>
      <w:lvlJc w:val="left"/>
      <w:pPr>
        <w:ind w:left="1020" w:hanging="360"/>
      </w:pPr>
    </w:lvl>
    <w:lvl w:ilvl="1" w:tplc="F5BCB0EA">
      <w:start w:val="1"/>
      <w:numFmt w:val="decimal"/>
      <w:lvlText w:val="%2."/>
      <w:lvlJc w:val="left"/>
      <w:pPr>
        <w:ind w:left="1020" w:hanging="360"/>
      </w:pPr>
    </w:lvl>
    <w:lvl w:ilvl="2" w:tplc="B4E2CB52">
      <w:start w:val="1"/>
      <w:numFmt w:val="decimal"/>
      <w:lvlText w:val="%3."/>
      <w:lvlJc w:val="left"/>
      <w:pPr>
        <w:ind w:left="1020" w:hanging="360"/>
      </w:pPr>
    </w:lvl>
    <w:lvl w:ilvl="3" w:tplc="ADB225B6">
      <w:start w:val="1"/>
      <w:numFmt w:val="decimal"/>
      <w:lvlText w:val="%4."/>
      <w:lvlJc w:val="left"/>
      <w:pPr>
        <w:ind w:left="1020" w:hanging="360"/>
      </w:pPr>
    </w:lvl>
    <w:lvl w:ilvl="4" w:tplc="21FE9616">
      <w:start w:val="1"/>
      <w:numFmt w:val="decimal"/>
      <w:lvlText w:val="%5."/>
      <w:lvlJc w:val="left"/>
      <w:pPr>
        <w:ind w:left="1020" w:hanging="360"/>
      </w:pPr>
    </w:lvl>
    <w:lvl w:ilvl="5" w:tplc="324043D8">
      <w:start w:val="1"/>
      <w:numFmt w:val="decimal"/>
      <w:lvlText w:val="%6."/>
      <w:lvlJc w:val="left"/>
      <w:pPr>
        <w:ind w:left="1020" w:hanging="360"/>
      </w:pPr>
    </w:lvl>
    <w:lvl w:ilvl="6" w:tplc="2546488E">
      <w:start w:val="1"/>
      <w:numFmt w:val="decimal"/>
      <w:lvlText w:val="%7."/>
      <w:lvlJc w:val="left"/>
      <w:pPr>
        <w:ind w:left="1020" w:hanging="360"/>
      </w:pPr>
    </w:lvl>
    <w:lvl w:ilvl="7" w:tplc="FA261B98">
      <w:start w:val="1"/>
      <w:numFmt w:val="decimal"/>
      <w:lvlText w:val="%8."/>
      <w:lvlJc w:val="left"/>
      <w:pPr>
        <w:ind w:left="1020" w:hanging="360"/>
      </w:pPr>
    </w:lvl>
    <w:lvl w:ilvl="8" w:tplc="13A899BC">
      <w:start w:val="1"/>
      <w:numFmt w:val="decimal"/>
      <w:lvlText w:val="%9."/>
      <w:lvlJc w:val="left"/>
      <w:pPr>
        <w:ind w:left="1020" w:hanging="360"/>
      </w:pPr>
    </w:lvl>
  </w:abstractNum>
  <w:abstractNum w:abstractNumId="26" w15:restartNumberingAfterBreak="0">
    <w:nsid w:val="0D9E1084"/>
    <w:multiLevelType w:val="hybridMultilevel"/>
    <w:tmpl w:val="8F702CA0"/>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27" w15:restartNumberingAfterBreak="0">
    <w:nsid w:val="0EE75EED"/>
    <w:multiLevelType w:val="hybridMultilevel"/>
    <w:tmpl w:val="CCCA0390"/>
    <w:lvl w:ilvl="0" w:tplc="150498D0">
      <w:start w:val="1"/>
      <w:numFmt w:val="decimalZero"/>
      <w:lvlText w:val="%1."/>
      <w:lvlJc w:val="left"/>
      <w:pPr>
        <w:ind w:left="1080" w:hanging="72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8" w15:restartNumberingAfterBreak="1">
    <w:nsid w:val="0F4C0CF8"/>
    <w:multiLevelType w:val="hybridMultilevel"/>
    <w:tmpl w:val="564ABBA0"/>
    <w:lvl w:ilvl="0" w:tplc="82742564">
      <w:start w:val="1"/>
      <w:numFmt w:val="bullet"/>
      <w:lvlText w:val=""/>
      <w:lvlJc w:val="left"/>
      <w:pPr>
        <w:ind w:left="720" w:hanging="360"/>
      </w:pPr>
      <w:rPr>
        <w:rFonts w:ascii="Symbol" w:hAnsi="Symbol" w:hint="default"/>
        <w:caps w:val="0"/>
        <w:strike w:val="0"/>
        <w:dstrike w:val="0"/>
        <w:vanish w:val="0"/>
        <w:color w:val="auto"/>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0F4E4DEA"/>
    <w:multiLevelType w:val="hybridMultilevel"/>
    <w:tmpl w:val="A1F81AF6"/>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30" w15:restartNumberingAfterBreak="0">
    <w:nsid w:val="10C465EE"/>
    <w:multiLevelType w:val="hybridMultilevel"/>
    <w:tmpl w:val="633C7014"/>
    <w:lvl w:ilvl="0" w:tplc="208C1B38">
      <w:start w:val="1"/>
      <w:numFmt w:val="decimal"/>
      <w:lvlText w:val="%1."/>
      <w:lvlJc w:val="left"/>
      <w:pPr>
        <w:ind w:left="1020" w:hanging="360"/>
      </w:pPr>
    </w:lvl>
    <w:lvl w:ilvl="1" w:tplc="B84A8EC0">
      <w:start w:val="1"/>
      <w:numFmt w:val="decimal"/>
      <w:lvlText w:val="%2."/>
      <w:lvlJc w:val="left"/>
      <w:pPr>
        <w:ind w:left="1020" w:hanging="360"/>
      </w:pPr>
    </w:lvl>
    <w:lvl w:ilvl="2" w:tplc="CA862E4E">
      <w:start w:val="1"/>
      <w:numFmt w:val="decimal"/>
      <w:lvlText w:val="%3."/>
      <w:lvlJc w:val="left"/>
      <w:pPr>
        <w:ind w:left="1020" w:hanging="360"/>
      </w:pPr>
    </w:lvl>
    <w:lvl w:ilvl="3" w:tplc="B5AE7538">
      <w:start w:val="1"/>
      <w:numFmt w:val="decimal"/>
      <w:lvlText w:val="%4."/>
      <w:lvlJc w:val="left"/>
      <w:pPr>
        <w:ind w:left="1020" w:hanging="360"/>
      </w:pPr>
    </w:lvl>
    <w:lvl w:ilvl="4" w:tplc="7CA437FC">
      <w:start w:val="1"/>
      <w:numFmt w:val="decimal"/>
      <w:lvlText w:val="%5."/>
      <w:lvlJc w:val="left"/>
      <w:pPr>
        <w:ind w:left="1020" w:hanging="360"/>
      </w:pPr>
    </w:lvl>
    <w:lvl w:ilvl="5" w:tplc="3188BE32">
      <w:start w:val="1"/>
      <w:numFmt w:val="decimal"/>
      <w:lvlText w:val="%6."/>
      <w:lvlJc w:val="left"/>
      <w:pPr>
        <w:ind w:left="1020" w:hanging="360"/>
      </w:pPr>
    </w:lvl>
    <w:lvl w:ilvl="6" w:tplc="138A1C0A">
      <w:start w:val="1"/>
      <w:numFmt w:val="decimal"/>
      <w:lvlText w:val="%7."/>
      <w:lvlJc w:val="left"/>
      <w:pPr>
        <w:ind w:left="1020" w:hanging="360"/>
      </w:pPr>
    </w:lvl>
    <w:lvl w:ilvl="7" w:tplc="22AEE13C">
      <w:start w:val="1"/>
      <w:numFmt w:val="decimal"/>
      <w:lvlText w:val="%8."/>
      <w:lvlJc w:val="left"/>
      <w:pPr>
        <w:ind w:left="1020" w:hanging="360"/>
      </w:pPr>
    </w:lvl>
    <w:lvl w:ilvl="8" w:tplc="78BE7C4A">
      <w:start w:val="1"/>
      <w:numFmt w:val="decimal"/>
      <w:lvlText w:val="%9."/>
      <w:lvlJc w:val="left"/>
      <w:pPr>
        <w:ind w:left="1020" w:hanging="360"/>
      </w:pPr>
    </w:lvl>
  </w:abstractNum>
  <w:abstractNum w:abstractNumId="31" w15:restartNumberingAfterBreak="0">
    <w:nsid w:val="12044A89"/>
    <w:multiLevelType w:val="hybridMultilevel"/>
    <w:tmpl w:val="4A367084"/>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32" w15:restartNumberingAfterBreak="0">
    <w:nsid w:val="14996911"/>
    <w:multiLevelType w:val="hybridMultilevel"/>
    <w:tmpl w:val="F28226BA"/>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33" w15:restartNumberingAfterBreak="0">
    <w:nsid w:val="174B3ADE"/>
    <w:multiLevelType w:val="multilevel"/>
    <w:tmpl w:val="A2869250"/>
    <w:styleLink w:val="TableBullets"/>
    <w:lvl w:ilvl="0">
      <w:start w:val="1"/>
      <w:numFmt w:val="none"/>
      <w:pStyle w:val="TableText"/>
      <w:suff w:val="nothing"/>
      <w:lvlText w:val=""/>
      <w:lvlJc w:val="left"/>
      <w:pPr>
        <w:ind w:left="0" w:firstLine="0"/>
      </w:pPr>
      <w:rPr>
        <w:rFonts w:hint="default"/>
      </w:rPr>
    </w:lvl>
    <w:lvl w:ilvl="1">
      <w:start w:val="1"/>
      <w:numFmt w:val="bullet"/>
      <w:pStyle w:val="TableBullet1"/>
      <w:lvlText w:val=""/>
      <w:lvlJc w:val="left"/>
      <w:pPr>
        <w:ind w:left="216" w:hanging="216"/>
      </w:pPr>
      <w:rPr>
        <w:rFonts w:ascii="Symbol" w:hAnsi="Symbol" w:hint="default"/>
      </w:rPr>
    </w:lvl>
    <w:lvl w:ilvl="2">
      <w:start w:val="1"/>
      <w:numFmt w:val="bullet"/>
      <w:pStyle w:val="TableBullet2"/>
      <w:lvlText w:val="−"/>
      <w:lvlJc w:val="left"/>
      <w:pPr>
        <w:ind w:left="432" w:hanging="216"/>
      </w:pPr>
      <w:rPr>
        <w:rFonts w:ascii="Arial" w:hAnsi="Arial" w:hint="default"/>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34" w15:restartNumberingAfterBreak="0">
    <w:nsid w:val="198F315B"/>
    <w:multiLevelType w:val="hybridMultilevel"/>
    <w:tmpl w:val="41D29DD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5" w15:restartNumberingAfterBreak="1">
    <w:nsid w:val="1B681627"/>
    <w:multiLevelType w:val="hybridMultilevel"/>
    <w:tmpl w:val="FBEE9CFA"/>
    <w:lvl w:ilvl="0" w:tplc="CF36DD9C">
      <w:start w:val="1"/>
      <w:numFmt w:val="bullet"/>
      <w:lvlText w:val=""/>
      <w:lvlJc w:val="left"/>
      <w:pPr>
        <w:ind w:left="2970" w:hanging="360"/>
      </w:pPr>
      <w:rPr>
        <w:rFonts w:ascii="Symbol" w:hAnsi="Symbol" w:hint="default"/>
        <w:caps w:val="0"/>
        <w:strike w:val="0"/>
        <w:dstrike w:val="0"/>
        <w:vanish w:val="0"/>
        <w:color w:val="auto"/>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36" w15:restartNumberingAfterBreak="0">
    <w:nsid w:val="1C883875"/>
    <w:multiLevelType w:val="hybridMultilevel"/>
    <w:tmpl w:val="295AE8C8"/>
    <w:lvl w:ilvl="0" w:tplc="0016C3C4">
      <w:start w:val="1"/>
      <w:numFmt w:val="bullet"/>
      <w:lvlText w:val=""/>
      <w:lvlJc w:val="left"/>
      <w:pPr>
        <w:ind w:left="720" w:hanging="360"/>
      </w:pPr>
      <w:rPr>
        <w:rFonts w:ascii="Symbol" w:hAnsi="Symbol"/>
      </w:rPr>
    </w:lvl>
    <w:lvl w:ilvl="1" w:tplc="C98A4CE0">
      <w:start w:val="1"/>
      <w:numFmt w:val="bullet"/>
      <w:lvlText w:val=""/>
      <w:lvlJc w:val="left"/>
      <w:pPr>
        <w:ind w:left="720" w:hanging="360"/>
      </w:pPr>
      <w:rPr>
        <w:rFonts w:ascii="Symbol" w:hAnsi="Symbol"/>
      </w:rPr>
    </w:lvl>
    <w:lvl w:ilvl="2" w:tplc="8B7C8CC6">
      <w:start w:val="1"/>
      <w:numFmt w:val="bullet"/>
      <w:lvlText w:val=""/>
      <w:lvlJc w:val="left"/>
      <w:pPr>
        <w:ind w:left="720" w:hanging="360"/>
      </w:pPr>
      <w:rPr>
        <w:rFonts w:ascii="Symbol" w:hAnsi="Symbol"/>
      </w:rPr>
    </w:lvl>
    <w:lvl w:ilvl="3" w:tplc="2ABCFB0A">
      <w:start w:val="1"/>
      <w:numFmt w:val="bullet"/>
      <w:lvlText w:val=""/>
      <w:lvlJc w:val="left"/>
      <w:pPr>
        <w:ind w:left="720" w:hanging="360"/>
      </w:pPr>
      <w:rPr>
        <w:rFonts w:ascii="Symbol" w:hAnsi="Symbol"/>
      </w:rPr>
    </w:lvl>
    <w:lvl w:ilvl="4" w:tplc="34840AB8">
      <w:start w:val="1"/>
      <w:numFmt w:val="bullet"/>
      <w:lvlText w:val=""/>
      <w:lvlJc w:val="left"/>
      <w:pPr>
        <w:ind w:left="720" w:hanging="360"/>
      </w:pPr>
      <w:rPr>
        <w:rFonts w:ascii="Symbol" w:hAnsi="Symbol"/>
      </w:rPr>
    </w:lvl>
    <w:lvl w:ilvl="5" w:tplc="8E3071B6">
      <w:start w:val="1"/>
      <w:numFmt w:val="bullet"/>
      <w:lvlText w:val=""/>
      <w:lvlJc w:val="left"/>
      <w:pPr>
        <w:ind w:left="720" w:hanging="360"/>
      </w:pPr>
      <w:rPr>
        <w:rFonts w:ascii="Symbol" w:hAnsi="Symbol"/>
      </w:rPr>
    </w:lvl>
    <w:lvl w:ilvl="6" w:tplc="E22C4CB0">
      <w:start w:val="1"/>
      <w:numFmt w:val="bullet"/>
      <w:lvlText w:val=""/>
      <w:lvlJc w:val="left"/>
      <w:pPr>
        <w:ind w:left="720" w:hanging="360"/>
      </w:pPr>
      <w:rPr>
        <w:rFonts w:ascii="Symbol" w:hAnsi="Symbol"/>
      </w:rPr>
    </w:lvl>
    <w:lvl w:ilvl="7" w:tplc="81FAE3EA">
      <w:start w:val="1"/>
      <w:numFmt w:val="bullet"/>
      <w:lvlText w:val=""/>
      <w:lvlJc w:val="left"/>
      <w:pPr>
        <w:ind w:left="720" w:hanging="360"/>
      </w:pPr>
      <w:rPr>
        <w:rFonts w:ascii="Symbol" w:hAnsi="Symbol"/>
      </w:rPr>
    </w:lvl>
    <w:lvl w:ilvl="8" w:tplc="40DA725C">
      <w:start w:val="1"/>
      <w:numFmt w:val="bullet"/>
      <w:lvlText w:val=""/>
      <w:lvlJc w:val="left"/>
      <w:pPr>
        <w:ind w:left="720" w:hanging="360"/>
      </w:pPr>
      <w:rPr>
        <w:rFonts w:ascii="Symbol" w:hAnsi="Symbol"/>
      </w:rPr>
    </w:lvl>
  </w:abstractNum>
  <w:abstractNum w:abstractNumId="37" w15:restartNumberingAfterBreak="0">
    <w:nsid w:val="1C907D8D"/>
    <w:multiLevelType w:val="hybridMultilevel"/>
    <w:tmpl w:val="A2FC1D7A"/>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38" w15:restartNumberingAfterBreak="0">
    <w:nsid w:val="1CB8036C"/>
    <w:multiLevelType w:val="hybridMultilevel"/>
    <w:tmpl w:val="2B7C7D02"/>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39" w15:restartNumberingAfterBreak="0">
    <w:nsid w:val="1D4B0A55"/>
    <w:multiLevelType w:val="hybridMultilevel"/>
    <w:tmpl w:val="1DBC356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40" w15:restartNumberingAfterBreak="0">
    <w:nsid w:val="1D5D20F9"/>
    <w:multiLevelType w:val="hybridMultilevel"/>
    <w:tmpl w:val="62BC2A9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41" w15:restartNumberingAfterBreak="0">
    <w:nsid w:val="1D796096"/>
    <w:multiLevelType w:val="hybridMultilevel"/>
    <w:tmpl w:val="2FFAF1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1FF6526A"/>
    <w:multiLevelType w:val="hybridMultilevel"/>
    <w:tmpl w:val="F1A86044"/>
    <w:lvl w:ilvl="0" w:tplc="7F4C0056">
      <w:start w:val="1"/>
      <w:numFmt w:val="decimal"/>
      <w:lvlText w:val="%1."/>
      <w:lvlJc w:val="left"/>
      <w:pPr>
        <w:ind w:left="720" w:hanging="360"/>
      </w:pPr>
    </w:lvl>
    <w:lvl w:ilvl="1" w:tplc="4CB2D476">
      <w:start w:val="1"/>
      <w:numFmt w:val="decimal"/>
      <w:lvlText w:val="%2."/>
      <w:lvlJc w:val="left"/>
      <w:pPr>
        <w:ind w:left="720" w:hanging="360"/>
      </w:pPr>
    </w:lvl>
    <w:lvl w:ilvl="2" w:tplc="6CC07BE4">
      <w:start w:val="1"/>
      <w:numFmt w:val="decimal"/>
      <w:lvlText w:val="%3."/>
      <w:lvlJc w:val="left"/>
      <w:pPr>
        <w:ind w:left="720" w:hanging="360"/>
      </w:pPr>
    </w:lvl>
    <w:lvl w:ilvl="3" w:tplc="48F2EFA6">
      <w:start w:val="1"/>
      <w:numFmt w:val="decimal"/>
      <w:lvlText w:val="%4."/>
      <w:lvlJc w:val="left"/>
      <w:pPr>
        <w:ind w:left="720" w:hanging="360"/>
      </w:pPr>
    </w:lvl>
    <w:lvl w:ilvl="4" w:tplc="3A287CC8">
      <w:start w:val="1"/>
      <w:numFmt w:val="decimal"/>
      <w:lvlText w:val="%5."/>
      <w:lvlJc w:val="left"/>
      <w:pPr>
        <w:ind w:left="720" w:hanging="360"/>
      </w:pPr>
    </w:lvl>
    <w:lvl w:ilvl="5" w:tplc="74DCACB8">
      <w:start w:val="1"/>
      <w:numFmt w:val="decimal"/>
      <w:lvlText w:val="%6."/>
      <w:lvlJc w:val="left"/>
      <w:pPr>
        <w:ind w:left="720" w:hanging="360"/>
      </w:pPr>
    </w:lvl>
    <w:lvl w:ilvl="6" w:tplc="7C369652">
      <w:start w:val="1"/>
      <w:numFmt w:val="decimal"/>
      <w:lvlText w:val="%7."/>
      <w:lvlJc w:val="left"/>
      <w:pPr>
        <w:ind w:left="720" w:hanging="360"/>
      </w:pPr>
    </w:lvl>
    <w:lvl w:ilvl="7" w:tplc="32569A98">
      <w:start w:val="1"/>
      <w:numFmt w:val="decimal"/>
      <w:lvlText w:val="%8."/>
      <w:lvlJc w:val="left"/>
      <w:pPr>
        <w:ind w:left="720" w:hanging="360"/>
      </w:pPr>
    </w:lvl>
    <w:lvl w:ilvl="8" w:tplc="35C8C510">
      <w:start w:val="1"/>
      <w:numFmt w:val="decimal"/>
      <w:lvlText w:val="%9."/>
      <w:lvlJc w:val="left"/>
      <w:pPr>
        <w:ind w:left="720" w:hanging="360"/>
      </w:pPr>
    </w:lvl>
  </w:abstractNum>
  <w:abstractNum w:abstractNumId="43" w15:restartNumberingAfterBreak="0">
    <w:nsid w:val="203970E4"/>
    <w:multiLevelType w:val="hybridMultilevel"/>
    <w:tmpl w:val="6F9C3326"/>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44" w15:restartNumberingAfterBreak="0">
    <w:nsid w:val="20A05299"/>
    <w:multiLevelType w:val="hybridMultilevel"/>
    <w:tmpl w:val="0A50101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45" w15:restartNumberingAfterBreak="0">
    <w:nsid w:val="22ED286C"/>
    <w:multiLevelType w:val="hybridMultilevel"/>
    <w:tmpl w:val="EE362496"/>
    <w:lvl w:ilvl="0" w:tplc="11DEE9D4">
      <w:start w:val="1"/>
      <w:numFmt w:val="bullet"/>
      <w:pStyle w:val="TableDot-point"/>
      <w:lvlText w:val=""/>
      <w:lvlJc w:val="left"/>
      <w:pPr>
        <w:ind w:left="717" w:hanging="360"/>
      </w:pPr>
      <w:rPr>
        <w:rFonts w:ascii="Symbol" w:hAnsi="Symbol" w:hint="default"/>
        <w:color w:val="78B800" w:themeColor="accent1"/>
        <w:sz w:val="20"/>
      </w:rPr>
    </w:lvl>
    <w:lvl w:ilvl="1" w:tplc="0C090003" w:tentative="1">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6" w15:restartNumberingAfterBreak="0">
    <w:nsid w:val="24261087"/>
    <w:multiLevelType w:val="hybridMultilevel"/>
    <w:tmpl w:val="60E25BCC"/>
    <w:lvl w:ilvl="0" w:tplc="0C090001">
      <w:start w:val="1"/>
      <w:numFmt w:val="bullet"/>
      <w:lvlText w:val=""/>
      <w:lvlJc w:val="left"/>
      <w:pPr>
        <w:ind w:left="502" w:hanging="360"/>
      </w:pPr>
      <w:rPr>
        <w:rFonts w:ascii="Symbol" w:hAnsi="Symbol" w:hint="default"/>
      </w:rPr>
    </w:lvl>
    <w:lvl w:ilvl="1" w:tplc="0C090003" w:tentative="1">
      <w:start w:val="1"/>
      <w:numFmt w:val="bullet"/>
      <w:lvlText w:val="o"/>
      <w:lvlJc w:val="left"/>
      <w:pPr>
        <w:ind w:left="1222" w:hanging="360"/>
      </w:pPr>
      <w:rPr>
        <w:rFonts w:ascii="Courier New" w:hAnsi="Courier New" w:cs="Courier New" w:hint="default"/>
      </w:rPr>
    </w:lvl>
    <w:lvl w:ilvl="2" w:tplc="0C090005" w:tentative="1">
      <w:start w:val="1"/>
      <w:numFmt w:val="bullet"/>
      <w:lvlText w:val=""/>
      <w:lvlJc w:val="left"/>
      <w:pPr>
        <w:ind w:left="1942" w:hanging="360"/>
      </w:pPr>
      <w:rPr>
        <w:rFonts w:ascii="Wingdings" w:hAnsi="Wingdings" w:hint="default"/>
      </w:rPr>
    </w:lvl>
    <w:lvl w:ilvl="3" w:tplc="0C090001" w:tentative="1">
      <w:start w:val="1"/>
      <w:numFmt w:val="bullet"/>
      <w:lvlText w:val=""/>
      <w:lvlJc w:val="left"/>
      <w:pPr>
        <w:ind w:left="2662" w:hanging="360"/>
      </w:pPr>
      <w:rPr>
        <w:rFonts w:ascii="Symbol" w:hAnsi="Symbol" w:hint="default"/>
      </w:rPr>
    </w:lvl>
    <w:lvl w:ilvl="4" w:tplc="0C090003" w:tentative="1">
      <w:start w:val="1"/>
      <w:numFmt w:val="bullet"/>
      <w:lvlText w:val="o"/>
      <w:lvlJc w:val="left"/>
      <w:pPr>
        <w:ind w:left="3382" w:hanging="360"/>
      </w:pPr>
      <w:rPr>
        <w:rFonts w:ascii="Courier New" w:hAnsi="Courier New" w:cs="Courier New" w:hint="default"/>
      </w:rPr>
    </w:lvl>
    <w:lvl w:ilvl="5" w:tplc="0C090005" w:tentative="1">
      <w:start w:val="1"/>
      <w:numFmt w:val="bullet"/>
      <w:lvlText w:val=""/>
      <w:lvlJc w:val="left"/>
      <w:pPr>
        <w:ind w:left="4102" w:hanging="360"/>
      </w:pPr>
      <w:rPr>
        <w:rFonts w:ascii="Wingdings" w:hAnsi="Wingdings" w:hint="default"/>
      </w:rPr>
    </w:lvl>
    <w:lvl w:ilvl="6" w:tplc="0C090001" w:tentative="1">
      <w:start w:val="1"/>
      <w:numFmt w:val="bullet"/>
      <w:lvlText w:val=""/>
      <w:lvlJc w:val="left"/>
      <w:pPr>
        <w:ind w:left="4822" w:hanging="360"/>
      </w:pPr>
      <w:rPr>
        <w:rFonts w:ascii="Symbol" w:hAnsi="Symbol" w:hint="default"/>
      </w:rPr>
    </w:lvl>
    <w:lvl w:ilvl="7" w:tplc="0C090003" w:tentative="1">
      <w:start w:val="1"/>
      <w:numFmt w:val="bullet"/>
      <w:lvlText w:val="o"/>
      <w:lvlJc w:val="left"/>
      <w:pPr>
        <w:ind w:left="5542" w:hanging="360"/>
      </w:pPr>
      <w:rPr>
        <w:rFonts w:ascii="Courier New" w:hAnsi="Courier New" w:cs="Courier New" w:hint="default"/>
      </w:rPr>
    </w:lvl>
    <w:lvl w:ilvl="8" w:tplc="0C090005" w:tentative="1">
      <w:start w:val="1"/>
      <w:numFmt w:val="bullet"/>
      <w:lvlText w:val=""/>
      <w:lvlJc w:val="left"/>
      <w:pPr>
        <w:ind w:left="6262" w:hanging="360"/>
      </w:pPr>
      <w:rPr>
        <w:rFonts w:ascii="Wingdings" w:hAnsi="Wingdings" w:hint="default"/>
      </w:rPr>
    </w:lvl>
  </w:abstractNum>
  <w:abstractNum w:abstractNumId="47" w15:restartNumberingAfterBreak="0">
    <w:nsid w:val="24D24412"/>
    <w:multiLevelType w:val="multilevel"/>
    <w:tmpl w:val="BCA46B6E"/>
    <w:styleLink w:val="Outlines"/>
    <w:lvl w:ilvl="0">
      <w:start w:val="1"/>
      <w:numFmt w:val="decimal"/>
      <w:pStyle w:val="Bullet-Number"/>
      <w:lvlText w:val="%1."/>
      <w:lvlJc w:val="left"/>
      <w:pPr>
        <w:ind w:left="432" w:hanging="432"/>
      </w:pPr>
      <w:rPr>
        <w:rFonts w:hint="default"/>
      </w:rPr>
    </w:lvl>
    <w:lvl w:ilvl="1">
      <w:start w:val="1"/>
      <w:numFmt w:val="lowerLetter"/>
      <w:pStyle w:val="Bullet-Alpha"/>
      <w:lvlText w:val="%2."/>
      <w:lvlJc w:val="left"/>
      <w:pPr>
        <w:ind w:left="864" w:hanging="432"/>
      </w:pPr>
      <w:rPr>
        <w:rFonts w:hint="default"/>
      </w:rPr>
    </w:lvl>
    <w:lvl w:ilvl="2">
      <w:start w:val="1"/>
      <w:numFmt w:val="none"/>
      <w:lvlText w:val="%3"/>
      <w:lvlJc w:val="left"/>
      <w:pPr>
        <w:ind w:left="0" w:firstLine="0"/>
      </w:pPr>
      <w:rPr>
        <w:rFonts w:hint="default"/>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48" w15:restartNumberingAfterBreak="0">
    <w:nsid w:val="24E22603"/>
    <w:multiLevelType w:val="hybridMultilevel"/>
    <w:tmpl w:val="FF6A30DC"/>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49" w15:restartNumberingAfterBreak="0">
    <w:nsid w:val="25711DD2"/>
    <w:multiLevelType w:val="hybridMultilevel"/>
    <w:tmpl w:val="5AAAC7A6"/>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50" w15:restartNumberingAfterBreak="0">
    <w:nsid w:val="26F0717F"/>
    <w:multiLevelType w:val="hybridMultilevel"/>
    <w:tmpl w:val="D40A0688"/>
    <w:lvl w:ilvl="0" w:tplc="05C24A2E">
      <w:start w:val="1"/>
      <w:numFmt w:val="decimal"/>
      <w:lvlText w:val="%1."/>
      <w:lvlJc w:val="left"/>
      <w:pPr>
        <w:ind w:left="1020" w:hanging="360"/>
      </w:pPr>
    </w:lvl>
    <w:lvl w:ilvl="1" w:tplc="27B25FF0">
      <w:start w:val="1"/>
      <w:numFmt w:val="decimal"/>
      <w:lvlText w:val="%2."/>
      <w:lvlJc w:val="left"/>
      <w:pPr>
        <w:ind w:left="1020" w:hanging="360"/>
      </w:pPr>
    </w:lvl>
    <w:lvl w:ilvl="2" w:tplc="DE085720">
      <w:start w:val="1"/>
      <w:numFmt w:val="decimal"/>
      <w:lvlText w:val="%3."/>
      <w:lvlJc w:val="left"/>
      <w:pPr>
        <w:ind w:left="1020" w:hanging="360"/>
      </w:pPr>
    </w:lvl>
    <w:lvl w:ilvl="3" w:tplc="D92ADA00">
      <w:start w:val="1"/>
      <w:numFmt w:val="decimal"/>
      <w:lvlText w:val="%4."/>
      <w:lvlJc w:val="left"/>
      <w:pPr>
        <w:ind w:left="1020" w:hanging="360"/>
      </w:pPr>
    </w:lvl>
    <w:lvl w:ilvl="4" w:tplc="CFCC3F14">
      <w:start w:val="1"/>
      <w:numFmt w:val="decimal"/>
      <w:lvlText w:val="%5."/>
      <w:lvlJc w:val="left"/>
      <w:pPr>
        <w:ind w:left="1020" w:hanging="360"/>
      </w:pPr>
    </w:lvl>
    <w:lvl w:ilvl="5" w:tplc="3AEE4806">
      <w:start w:val="1"/>
      <w:numFmt w:val="decimal"/>
      <w:lvlText w:val="%6."/>
      <w:lvlJc w:val="left"/>
      <w:pPr>
        <w:ind w:left="1020" w:hanging="360"/>
      </w:pPr>
    </w:lvl>
    <w:lvl w:ilvl="6" w:tplc="6B90E80A">
      <w:start w:val="1"/>
      <w:numFmt w:val="decimal"/>
      <w:lvlText w:val="%7."/>
      <w:lvlJc w:val="left"/>
      <w:pPr>
        <w:ind w:left="1020" w:hanging="360"/>
      </w:pPr>
    </w:lvl>
    <w:lvl w:ilvl="7" w:tplc="5F829ABA">
      <w:start w:val="1"/>
      <w:numFmt w:val="decimal"/>
      <w:lvlText w:val="%8."/>
      <w:lvlJc w:val="left"/>
      <w:pPr>
        <w:ind w:left="1020" w:hanging="360"/>
      </w:pPr>
    </w:lvl>
    <w:lvl w:ilvl="8" w:tplc="82AEE14A">
      <w:start w:val="1"/>
      <w:numFmt w:val="decimal"/>
      <w:lvlText w:val="%9."/>
      <w:lvlJc w:val="left"/>
      <w:pPr>
        <w:ind w:left="1020" w:hanging="360"/>
      </w:pPr>
    </w:lvl>
  </w:abstractNum>
  <w:abstractNum w:abstractNumId="51" w15:restartNumberingAfterBreak="0">
    <w:nsid w:val="275E6939"/>
    <w:multiLevelType w:val="hybridMultilevel"/>
    <w:tmpl w:val="1E5E5412"/>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52" w15:restartNumberingAfterBreak="0">
    <w:nsid w:val="27743DFB"/>
    <w:multiLevelType w:val="multilevel"/>
    <w:tmpl w:val="7A0CAD00"/>
    <w:lvl w:ilvl="0">
      <w:start w:val="1"/>
      <w:numFmt w:val="decimal"/>
      <w:pStyle w:val="NumberedHeading1"/>
      <w:lvlText w:val="%1."/>
      <w:lvlJc w:val="left"/>
      <w:pPr>
        <w:ind w:left="680" w:hanging="680"/>
      </w:pPr>
      <w:rPr>
        <w:rFonts w:hint="default"/>
      </w:rPr>
    </w:lvl>
    <w:lvl w:ilvl="1">
      <w:start w:val="1"/>
      <w:numFmt w:val="decimal"/>
      <w:pStyle w:val="NumberedHeading2"/>
      <w:lvlText w:val="%1.%2."/>
      <w:lvlJc w:val="left"/>
      <w:pPr>
        <w:ind w:left="9752" w:hanging="680"/>
      </w:pPr>
      <w:rPr>
        <w:rFonts w:hint="default"/>
      </w:rPr>
    </w:lvl>
    <w:lvl w:ilvl="2">
      <w:start w:val="1"/>
      <w:numFmt w:val="decimal"/>
      <w:pStyle w:val="NumberedHeading3"/>
      <w:lvlText w:val="%1.%2.%3."/>
      <w:lvlJc w:val="left"/>
      <w:pPr>
        <w:ind w:left="1559" w:hanging="851"/>
      </w:pPr>
      <w:rPr>
        <w:rFonts w:hint="default"/>
      </w:rPr>
    </w:lvl>
    <w:lvl w:ilvl="3">
      <w:start w:val="1"/>
      <w:numFmt w:val="decimal"/>
      <w:pStyle w:val="NumberedHeading4"/>
      <w:lvlText w:val="%1.%2.%3.%4."/>
      <w:lvlJc w:val="left"/>
      <w:pPr>
        <w:ind w:left="1418" w:hanging="1418"/>
      </w:pPr>
      <w:rPr>
        <w:rFonts w:hint="default"/>
      </w:rPr>
    </w:lvl>
    <w:lvl w:ilvl="4">
      <w:start w:val="1"/>
      <w:numFmt w:val="decimal"/>
      <w:lvlText w:val="%1.%2.%3.%4.%5."/>
      <w:lvlJc w:val="left"/>
      <w:pPr>
        <w:ind w:left="1418" w:hanging="1418"/>
      </w:pPr>
      <w:rPr>
        <w:rFonts w:hint="default"/>
      </w:rPr>
    </w:lvl>
    <w:lvl w:ilvl="5">
      <w:start w:val="1"/>
      <w:numFmt w:val="lowerRoman"/>
      <w:lvlText w:val="(%6)"/>
      <w:lvlJc w:val="left"/>
      <w:pPr>
        <w:ind w:left="567" w:hanging="567"/>
      </w:pPr>
      <w:rPr>
        <w:rFonts w:hint="default"/>
      </w:rPr>
    </w:lvl>
    <w:lvl w:ilvl="6">
      <w:start w:val="1"/>
      <w:numFmt w:val="decimal"/>
      <w:lvlText w:val="%7."/>
      <w:lvlJc w:val="left"/>
      <w:pPr>
        <w:ind w:left="567" w:hanging="567"/>
      </w:pPr>
      <w:rPr>
        <w:rFonts w:hint="default"/>
      </w:rPr>
    </w:lvl>
    <w:lvl w:ilvl="7">
      <w:start w:val="1"/>
      <w:numFmt w:val="lowerLetter"/>
      <w:lvlText w:val="%8."/>
      <w:lvlJc w:val="left"/>
      <w:pPr>
        <w:ind w:left="567" w:hanging="567"/>
      </w:pPr>
      <w:rPr>
        <w:rFonts w:hint="default"/>
      </w:rPr>
    </w:lvl>
    <w:lvl w:ilvl="8">
      <w:start w:val="1"/>
      <w:numFmt w:val="lowerRoman"/>
      <w:lvlText w:val="%9."/>
      <w:lvlJc w:val="left"/>
      <w:pPr>
        <w:ind w:left="567" w:hanging="567"/>
      </w:pPr>
      <w:rPr>
        <w:rFonts w:hint="default"/>
      </w:rPr>
    </w:lvl>
  </w:abstractNum>
  <w:abstractNum w:abstractNumId="53" w15:restartNumberingAfterBreak="0">
    <w:nsid w:val="27FD4C41"/>
    <w:multiLevelType w:val="hybridMultilevel"/>
    <w:tmpl w:val="22488FC4"/>
    <w:lvl w:ilvl="0" w:tplc="EA5C7996">
      <w:start w:val="1"/>
      <w:numFmt w:val="bullet"/>
      <w:lvlText w:val=""/>
      <w:lvlJc w:val="left"/>
      <w:pPr>
        <w:ind w:left="1080" w:hanging="360"/>
      </w:pPr>
      <w:rPr>
        <w:rFonts w:ascii="Symbol" w:hAnsi="Symbol"/>
      </w:rPr>
    </w:lvl>
    <w:lvl w:ilvl="1" w:tplc="F7A664CA">
      <w:start w:val="1"/>
      <w:numFmt w:val="bullet"/>
      <w:lvlText w:val=""/>
      <w:lvlJc w:val="left"/>
      <w:pPr>
        <w:ind w:left="1080" w:hanging="360"/>
      </w:pPr>
      <w:rPr>
        <w:rFonts w:ascii="Symbol" w:hAnsi="Symbol"/>
      </w:rPr>
    </w:lvl>
    <w:lvl w:ilvl="2" w:tplc="15F48E2C">
      <w:start w:val="1"/>
      <w:numFmt w:val="bullet"/>
      <w:lvlText w:val=""/>
      <w:lvlJc w:val="left"/>
      <w:pPr>
        <w:ind w:left="1080" w:hanging="360"/>
      </w:pPr>
      <w:rPr>
        <w:rFonts w:ascii="Symbol" w:hAnsi="Symbol"/>
      </w:rPr>
    </w:lvl>
    <w:lvl w:ilvl="3" w:tplc="9F32D62C">
      <w:start w:val="1"/>
      <w:numFmt w:val="bullet"/>
      <w:lvlText w:val=""/>
      <w:lvlJc w:val="left"/>
      <w:pPr>
        <w:ind w:left="1080" w:hanging="360"/>
      </w:pPr>
      <w:rPr>
        <w:rFonts w:ascii="Symbol" w:hAnsi="Symbol"/>
      </w:rPr>
    </w:lvl>
    <w:lvl w:ilvl="4" w:tplc="CD142BC6">
      <w:start w:val="1"/>
      <w:numFmt w:val="bullet"/>
      <w:lvlText w:val=""/>
      <w:lvlJc w:val="left"/>
      <w:pPr>
        <w:ind w:left="1080" w:hanging="360"/>
      </w:pPr>
      <w:rPr>
        <w:rFonts w:ascii="Symbol" w:hAnsi="Symbol"/>
      </w:rPr>
    </w:lvl>
    <w:lvl w:ilvl="5" w:tplc="93360382">
      <w:start w:val="1"/>
      <w:numFmt w:val="bullet"/>
      <w:lvlText w:val=""/>
      <w:lvlJc w:val="left"/>
      <w:pPr>
        <w:ind w:left="1080" w:hanging="360"/>
      </w:pPr>
      <w:rPr>
        <w:rFonts w:ascii="Symbol" w:hAnsi="Symbol"/>
      </w:rPr>
    </w:lvl>
    <w:lvl w:ilvl="6" w:tplc="F462E672">
      <w:start w:val="1"/>
      <w:numFmt w:val="bullet"/>
      <w:lvlText w:val=""/>
      <w:lvlJc w:val="left"/>
      <w:pPr>
        <w:ind w:left="1080" w:hanging="360"/>
      </w:pPr>
      <w:rPr>
        <w:rFonts w:ascii="Symbol" w:hAnsi="Symbol"/>
      </w:rPr>
    </w:lvl>
    <w:lvl w:ilvl="7" w:tplc="4DA8997A">
      <w:start w:val="1"/>
      <w:numFmt w:val="bullet"/>
      <w:lvlText w:val=""/>
      <w:lvlJc w:val="left"/>
      <w:pPr>
        <w:ind w:left="1080" w:hanging="360"/>
      </w:pPr>
      <w:rPr>
        <w:rFonts w:ascii="Symbol" w:hAnsi="Symbol"/>
      </w:rPr>
    </w:lvl>
    <w:lvl w:ilvl="8" w:tplc="539E2974">
      <w:start w:val="1"/>
      <w:numFmt w:val="bullet"/>
      <w:lvlText w:val=""/>
      <w:lvlJc w:val="left"/>
      <w:pPr>
        <w:ind w:left="1080" w:hanging="360"/>
      </w:pPr>
      <w:rPr>
        <w:rFonts w:ascii="Symbol" w:hAnsi="Symbol"/>
      </w:rPr>
    </w:lvl>
  </w:abstractNum>
  <w:abstractNum w:abstractNumId="54" w15:restartNumberingAfterBreak="0">
    <w:nsid w:val="29902488"/>
    <w:multiLevelType w:val="hybridMultilevel"/>
    <w:tmpl w:val="55BA47BC"/>
    <w:lvl w:ilvl="0" w:tplc="1409000F">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55" w15:restartNumberingAfterBreak="0">
    <w:nsid w:val="29AF4F0D"/>
    <w:multiLevelType w:val="hybridMultilevel"/>
    <w:tmpl w:val="AE28AB7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56" w15:restartNumberingAfterBreak="0">
    <w:nsid w:val="29D755DA"/>
    <w:multiLevelType w:val="hybridMultilevel"/>
    <w:tmpl w:val="B92C5EE2"/>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57" w15:restartNumberingAfterBreak="0">
    <w:nsid w:val="2B3A7968"/>
    <w:multiLevelType w:val="hybridMultilevel"/>
    <w:tmpl w:val="A4A84F0C"/>
    <w:lvl w:ilvl="0" w:tplc="FE301538">
      <w:start w:val="1"/>
      <w:numFmt w:val="decimal"/>
      <w:lvlText w:val="%1."/>
      <w:lvlJc w:val="left"/>
      <w:pPr>
        <w:ind w:left="720" w:hanging="360"/>
      </w:pPr>
    </w:lvl>
    <w:lvl w:ilvl="1" w:tplc="6AA22E58">
      <w:start w:val="1"/>
      <w:numFmt w:val="decimal"/>
      <w:lvlText w:val="%2."/>
      <w:lvlJc w:val="left"/>
      <w:pPr>
        <w:ind w:left="720" w:hanging="360"/>
      </w:pPr>
    </w:lvl>
    <w:lvl w:ilvl="2" w:tplc="584AA488">
      <w:start w:val="1"/>
      <w:numFmt w:val="decimal"/>
      <w:lvlText w:val="%3."/>
      <w:lvlJc w:val="left"/>
      <w:pPr>
        <w:ind w:left="720" w:hanging="360"/>
      </w:pPr>
    </w:lvl>
    <w:lvl w:ilvl="3" w:tplc="9DEE226C">
      <w:start w:val="1"/>
      <w:numFmt w:val="decimal"/>
      <w:lvlText w:val="%4."/>
      <w:lvlJc w:val="left"/>
      <w:pPr>
        <w:ind w:left="720" w:hanging="360"/>
      </w:pPr>
    </w:lvl>
    <w:lvl w:ilvl="4" w:tplc="CB54D282">
      <w:start w:val="1"/>
      <w:numFmt w:val="decimal"/>
      <w:lvlText w:val="%5."/>
      <w:lvlJc w:val="left"/>
      <w:pPr>
        <w:ind w:left="720" w:hanging="360"/>
      </w:pPr>
    </w:lvl>
    <w:lvl w:ilvl="5" w:tplc="50E27B06">
      <w:start w:val="1"/>
      <w:numFmt w:val="decimal"/>
      <w:lvlText w:val="%6."/>
      <w:lvlJc w:val="left"/>
      <w:pPr>
        <w:ind w:left="720" w:hanging="360"/>
      </w:pPr>
    </w:lvl>
    <w:lvl w:ilvl="6" w:tplc="F4529CFE">
      <w:start w:val="1"/>
      <w:numFmt w:val="decimal"/>
      <w:lvlText w:val="%7."/>
      <w:lvlJc w:val="left"/>
      <w:pPr>
        <w:ind w:left="720" w:hanging="360"/>
      </w:pPr>
    </w:lvl>
    <w:lvl w:ilvl="7" w:tplc="5122DE3A">
      <w:start w:val="1"/>
      <w:numFmt w:val="decimal"/>
      <w:lvlText w:val="%8."/>
      <w:lvlJc w:val="left"/>
      <w:pPr>
        <w:ind w:left="720" w:hanging="360"/>
      </w:pPr>
    </w:lvl>
    <w:lvl w:ilvl="8" w:tplc="12268C16">
      <w:start w:val="1"/>
      <w:numFmt w:val="decimal"/>
      <w:lvlText w:val="%9."/>
      <w:lvlJc w:val="left"/>
      <w:pPr>
        <w:ind w:left="720" w:hanging="360"/>
      </w:pPr>
    </w:lvl>
  </w:abstractNum>
  <w:abstractNum w:abstractNumId="58" w15:restartNumberingAfterBreak="0">
    <w:nsid w:val="2B3C59C0"/>
    <w:multiLevelType w:val="multilevel"/>
    <w:tmpl w:val="68D6717A"/>
    <w:lvl w:ilvl="0">
      <w:start w:val="1"/>
      <w:numFmt w:val="decimal"/>
      <w:lvlText w:val="%1."/>
      <w:lvlJc w:val="left"/>
      <w:pPr>
        <w:ind w:left="360" w:hanging="360"/>
      </w:pPr>
    </w:lvl>
    <w:lvl w:ilvl="1">
      <w:start w:val="1"/>
      <w:numFmt w:val="decimal"/>
      <w:pStyle w:val="Heading2"/>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9" w15:restartNumberingAfterBreak="0">
    <w:nsid w:val="2B840F34"/>
    <w:multiLevelType w:val="hybridMultilevel"/>
    <w:tmpl w:val="E35285C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60" w15:restartNumberingAfterBreak="0">
    <w:nsid w:val="2D8323E0"/>
    <w:multiLevelType w:val="multilevel"/>
    <w:tmpl w:val="E33E4AF4"/>
    <w:lvl w:ilvl="0">
      <w:start w:val="1"/>
      <w:numFmt w:val="none"/>
      <w:suff w:val="nothing"/>
      <w:lvlText w:val=""/>
      <w:lvlJc w:val="left"/>
      <w:pPr>
        <w:ind w:left="0" w:firstLine="0"/>
      </w:pPr>
      <w:rPr>
        <w:rFonts w:hint="default"/>
      </w:rPr>
    </w:lvl>
    <w:lvl w:ilvl="1">
      <w:start w:val="1"/>
      <w:numFmt w:val="bullet"/>
      <w:lvlText w:val=""/>
      <w:lvlJc w:val="left"/>
      <w:pPr>
        <w:ind w:left="216" w:hanging="216"/>
      </w:pPr>
      <w:rPr>
        <w:rFonts w:ascii="Symbol" w:hAnsi="Symbol" w:hint="default"/>
      </w:rPr>
    </w:lvl>
    <w:lvl w:ilvl="2">
      <w:start w:val="1"/>
      <w:numFmt w:val="bullet"/>
      <w:lvlText w:val="o"/>
      <w:lvlJc w:val="left"/>
      <w:pPr>
        <w:ind w:left="576" w:hanging="360"/>
      </w:pPr>
      <w:rPr>
        <w:rFonts w:ascii="Courier New" w:hAnsi="Courier New" w:cs="Courier New" w:hint="default"/>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61" w15:restartNumberingAfterBreak="0">
    <w:nsid w:val="2FBC091C"/>
    <w:multiLevelType w:val="hybridMultilevel"/>
    <w:tmpl w:val="49B86B6E"/>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62" w15:restartNumberingAfterBreak="0">
    <w:nsid w:val="2FE47697"/>
    <w:multiLevelType w:val="multilevel"/>
    <w:tmpl w:val="6CE04904"/>
    <w:numStyleLink w:val="NumberedHeadings"/>
  </w:abstractNum>
  <w:abstractNum w:abstractNumId="63" w15:restartNumberingAfterBreak="0">
    <w:nsid w:val="359B2DC2"/>
    <w:multiLevelType w:val="hybridMultilevel"/>
    <w:tmpl w:val="37D8BAC8"/>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64" w15:restartNumberingAfterBreak="0">
    <w:nsid w:val="36227981"/>
    <w:multiLevelType w:val="singleLevel"/>
    <w:tmpl w:val="0416000F"/>
    <w:lvl w:ilvl="0">
      <w:start w:val="1"/>
      <w:numFmt w:val="decimal"/>
      <w:lvlText w:val="%1."/>
      <w:lvlJc w:val="left"/>
      <w:pPr>
        <w:ind w:left="0" w:firstLine="0"/>
      </w:pPr>
      <w:rPr>
        <w:rFonts w:hint="default"/>
      </w:rPr>
    </w:lvl>
  </w:abstractNum>
  <w:abstractNum w:abstractNumId="65" w15:restartNumberingAfterBreak="0">
    <w:nsid w:val="36843445"/>
    <w:multiLevelType w:val="multilevel"/>
    <w:tmpl w:val="91F4CDF4"/>
    <w:numStyleLink w:val="Dot-point"/>
  </w:abstractNum>
  <w:abstractNum w:abstractNumId="66" w15:restartNumberingAfterBreak="0">
    <w:nsid w:val="381C3D95"/>
    <w:multiLevelType w:val="hybridMultilevel"/>
    <w:tmpl w:val="92B0F3F8"/>
    <w:lvl w:ilvl="0" w:tplc="F1D053AA">
      <w:start w:val="1"/>
      <w:numFmt w:val="decimal"/>
      <w:lvlText w:val="%1."/>
      <w:lvlJc w:val="left"/>
      <w:pPr>
        <w:ind w:left="1020" w:hanging="360"/>
      </w:pPr>
    </w:lvl>
    <w:lvl w:ilvl="1" w:tplc="0F36CE5E">
      <w:start w:val="1"/>
      <w:numFmt w:val="decimal"/>
      <w:lvlText w:val="%2."/>
      <w:lvlJc w:val="left"/>
      <w:pPr>
        <w:ind w:left="1020" w:hanging="360"/>
      </w:pPr>
    </w:lvl>
    <w:lvl w:ilvl="2" w:tplc="A4C80E86">
      <w:start w:val="1"/>
      <w:numFmt w:val="decimal"/>
      <w:lvlText w:val="%3."/>
      <w:lvlJc w:val="left"/>
      <w:pPr>
        <w:ind w:left="1020" w:hanging="360"/>
      </w:pPr>
    </w:lvl>
    <w:lvl w:ilvl="3" w:tplc="98AED028">
      <w:start w:val="1"/>
      <w:numFmt w:val="decimal"/>
      <w:lvlText w:val="%4."/>
      <w:lvlJc w:val="left"/>
      <w:pPr>
        <w:ind w:left="1020" w:hanging="360"/>
      </w:pPr>
    </w:lvl>
    <w:lvl w:ilvl="4" w:tplc="0548FA96">
      <w:start w:val="1"/>
      <w:numFmt w:val="decimal"/>
      <w:lvlText w:val="%5."/>
      <w:lvlJc w:val="left"/>
      <w:pPr>
        <w:ind w:left="1020" w:hanging="360"/>
      </w:pPr>
    </w:lvl>
    <w:lvl w:ilvl="5" w:tplc="E7FEB324">
      <w:start w:val="1"/>
      <w:numFmt w:val="decimal"/>
      <w:lvlText w:val="%6."/>
      <w:lvlJc w:val="left"/>
      <w:pPr>
        <w:ind w:left="1020" w:hanging="360"/>
      </w:pPr>
    </w:lvl>
    <w:lvl w:ilvl="6" w:tplc="F5D20B66">
      <w:start w:val="1"/>
      <w:numFmt w:val="decimal"/>
      <w:lvlText w:val="%7."/>
      <w:lvlJc w:val="left"/>
      <w:pPr>
        <w:ind w:left="1020" w:hanging="360"/>
      </w:pPr>
    </w:lvl>
    <w:lvl w:ilvl="7" w:tplc="BA8AEFA4">
      <w:start w:val="1"/>
      <w:numFmt w:val="decimal"/>
      <w:lvlText w:val="%8."/>
      <w:lvlJc w:val="left"/>
      <w:pPr>
        <w:ind w:left="1020" w:hanging="360"/>
      </w:pPr>
    </w:lvl>
    <w:lvl w:ilvl="8" w:tplc="F5F69BA6">
      <w:start w:val="1"/>
      <w:numFmt w:val="decimal"/>
      <w:lvlText w:val="%9."/>
      <w:lvlJc w:val="left"/>
      <w:pPr>
        <w:ind w:left="1020" w:hanging="360"/>
      </w:pPr>
    </w:lvl>
  </w:abstractNum>
  <w:abstractNum w:abstractNumId="67" w15:restartNumberingAfterBreak="0">
    <w:nsid w:val="3872335E"/>
    <w:multiLevelType w:val="hybridMultilevel"/>
    <w:tmpl w:val="A66053AE"/>
    <w:lvl w:ilvl="0" w:tplc="14090001">
      <w:start w:val="1"/>
      <w:numFmt w:val="bullet"/>
      <w:lvlText w:val=""/>
      <w:lvlJc w:val="left"/>
      <w:pPr>
        <w:ind w:left="786" w:hanging="360"/>
      </w:pPr>
      <w:rPr>
        <w:rFonts w:ascii="Symbol" w:hAnsi="Symbol" w:hint="default"/>
      </w:rPr>
    </w:lvl>
    <w:lvl w:ilvl="1" w:tplc="14090003" w:tentative="1">
      <w:start w:val="1"/>
      <w:numFmt w:val="bullet"/>
      <w:lvlText w:val="o"/>
      <w:lvlJc w:val="left"/>
      <w:pPr>
        <w:ind w:left="1506" w:hanging="360"/>
      </w:pPr>
      <w:rPr>
        <w:rFonts w:ascii="Courier New" w:hAnsi="Courier New" w:cs="Courier New" w:hint="default"/>
      </w:rPr>
    </w:lvl>
    <w:lvl w:ilvl="2" w:tplc="14090005" w:tentative="1">
      <w:start w:val="1"/>
      <w:numFmt w:val="bullet"/>
      <w:lvlText w:val=""/>
      <w:lvlJc w:val="left"/>
      <w:pPr>
        <w:ind w:left="2226" w:hanging="360"/>
      </w:pPr>
      <w:rPr>
        <w:rFonts w:ascii="Wingdings" w:hAnsi="Wingdings" w:hint="default"/>
      </w:rPr>
    </w:lvl>
    <w:lvl w:ilvl="3" w:tplc="14090001" w:tentative="1">
      <w:start w:val="1"/>
      <w:numFmt w:val="bullet"/>
      <w:lvlText w:val=""/>
      <w:lvlJc w:val="left"/>
      <w:pPr>
        <w:ind w:left="2946" w:hanging="360"/>
      </w:pPr>
      <w:rPr>
        <w:rFonts w:ascii="Symbol" w:hAnsi="Symbol" w:hint="default"/>
      </w:rPr>
    </w:lvl>
    <w:lvl w:ilvl="4" w:tplc="14090003" w:tentative="1">
      <w:start w:val="1"/>
      <w:numFmt w:val="bullet"/>
      <w:lvlText w:val="o"/>
      <w:lvlJc w:val="left"/>
      <w:pPr>
        <w:ind w:left="3666" w:hanging="360"/>
      </w:pPr>
      <w:rPr>
        <w:rFonts w:ascii="Courier New" w:hAnsi="Courier New" w:cs="Courier New" w:hint="default"/>
      </w:rPr>
    </w:lvl>
    <w:lvl w:ilvl="5" w:tplc="14090005" w:tentative="1">
      <w:start w:val="1"/>
      <w:numFmt w:val="bullet"/>
      <w:lvlText w:val=""/>
      <w:lvlJc w:val="left"/>
      <w:pPr>
        <w:ind w:left="4386" w:hanging="360"/>
      </w:pPr>
      <w:rPr>
        <w:rFonts w:ascii="Wingdings" w:hAnsi="Wingdings" w:hint="default"/>
      </w:rPr>
    </w:lvl>
    <w:lvl w:ilvl="6" w:tplc="14090001" w:tentative="1">
      <w:start w:val="1"/>
      <w:numFmt w:val="bullet"/>
      <w:lvlText w:val=""/>
      <w:lvlJc w:val="left"/>
      <w:pPr>
        <w:ind w:left="5106" w:hanging="360"/>
      </w:pPr>
      <w:rPr>
        <w:rFonts w:ascii="Symbol" w:hAnsi="Symbol" w:hint="default"/>
      </w:rPr>
    </w:lvl>
    <w:lvl w:ilvl="7" w:tplc="14090003" w:tentative="1">
      <w:start w:val="1"/>
      <w:numFmt w:val="bullet"/>
      <w:lvlText w:val="o"/>
      <w:lvlJc w:val="left"/>
      <w:pPr>
        <w:ind w:left="5826" w:hanging="360"/>
      </w:pPr>
      <w:rPr>
        <w:rFonts w:ascii="Courier New" w:hAnsi="Courier New" w:cs="Courier New" w:hint="default"/>
      </w:rPr>
    </w:lvl>
    <w:lvl w:ilvl="8" w:tplc="14090005" w:tentative="1">
      <w:start w:val="1"/>
      <w:numFmt w:val="bullet"/>
      <w:lvlText w:val=""/>
      <w:lvlJc w:val="left"/>
      <w:pPr>
        <w:ind w:left="6546" w:hanging="360"/>
      </w:pPr>
      <w:rPr>
        <w:rFonts w:ascii="Wingdings" w:hAnsi="Wingdings" w:hint="default"/>
      </w:rPr>
    </w:lvl>
  </w:abstractNum>
  <w:abstractNum w:abstractNumId="68" w15:restartNumberingAfterBreak="0">
    <w:nsid w:val="38B0088A"/>
    <w:multiLevelType w:val="hybridMultilevel"/>
    <w:tmpl w:val="AF665BD0"/>
    <w:lvl w:ilvl="0" w:tplc="BEAECFBA">
      <w:start w:val="1"/>
      <w:numFmt w:val="decimal"/>
      <w:lvlText w:val="%1."/>
      <w:lvlJc w:val="left"/>
      <w:pPr>
        <w:ind w:left="720" w:hanging="360"/>
      </w:pPr>
    </w:lvl>
    <w:lvl w:ilvl="1" w:tplc="99FA830A">
      <w:start w:val="1"/>
      <w:numFmt w:val="decimal"/>
      <w:lvlText w:val="%2."/>
      <w:lvlJc w:val="left"/>
      <w:pPr>
        <w:ind w:left="720" w:hanging="360"/>
      </w:pPr>
    </w:lvl>
    <w:lvl w:ilvl="2" w:tplc="79F8C274">
      <w:start w:val="1"/>
      <w:numFmt w:val="decimal"/>
      <w:lvlText w:val="%3."/>
      <w:lvlJc w:val="left"/>
      <w:pPr>
        <w:ind w:left="720" w:hanging="360"/>
      </w:pPr>
    </w:lvl>
    <w:lvl w:ilvl="3" w:tplc="73726954">
      <w:start w:val="1"/>
      <w:numFmt w:val="decimal"/>
      <w:lvlText w:val="%4."/>
      <w:lvlJc w:val="left"/>
      <w:pPr>
        <w:ind w:left="720" w:hanging="360"/>
      </w:pPr>
    </w:lvl>
    <w:lvl w:ilvl="4" w:tplc="4DC4CA22">
      <w:start w:val="1"/>
      <w:numFmt w:val="decimal"/>
      <w:lvlText w:val="%5."/>
      <w:lvlJc w:val="left"/>
      <w:pPr>
        <w:ind w:left="720" w:hanging="360"/>
      </w:pPr>
    </w:lvl>
    <w:lvl w:ilvl="5" w:tplc="126E87C0">
      <w:start w:val="1"/>
      <w:numFmt w:val="decimal"/>
      <w:lvlText w:val="%6."/>
      <w:lvlJc w:val="left"/>
      <w:pPr>
        <w:ind w:left="720" w:hanging="360"/>
      </w:pPr>
    </w:lvl>
    <w:lvl w:ilvl="6" w:tplc="598A9DBC">
      <w:start w:val="1"/>
      <w:numFmt w:val="decimal"/>
      <w:lvlText w:val="%7."/>
      <w:lvlJc w:val="left"/>
      <w:pPr>
        <w:ind w:left="720" w:hanging="360"/>
      </w:pPr>
    </w:lvl>
    <w:lvl w:ilvl="7" w:tplc="BB60F04C">
      <w:start w:val="1"/>
      <w:numFmt w:val="decimal"/>
      <w:lvlText w:val="%8."/>
      <w:lvlJc w:val="left"/>
      <w:pPr>
        <w:ind w:left="720" w:hanging="360"/>
      </w:pPr>
    </w:lvl>
    <w:lvl w:ilvl="8" w:tplc="46860C60">
      <w:start w:val="1"/>
      <w:numFmt w:val="decimal"/>
      <w:lvlText w:val="%9."/>
      <w:lvlJc w:val="left"/>
      <w:pPr>
        <w:ind w:left="720" w:hanging="360"/>
      </w:pPr>
    </w:lvl>
  </w:abstractNum>
  <w:abstractNum w:abstractNumId="69" w15:restartNumberingAfterBreak="0">
    <w:nsid w:val="3B184BA5"/>
    <w:multiLevelType w:val="hybridMultilevel"/>
    <w:tmpl w:val="63BA55DA"/>
    <w:lvl w:ilvl="0" w:tplc="E16476D8">
      <w:start w:val="1"/>
      <w:numFmt w:val="bullet"/>
      <w:lvlText w:val=""/>
      <w:lvlJc w:val="left"/>
      <w:pPr>
        <w:ind w:left="1440" w:hanging="360"/>
      </w:pPr>
      <w:rPr>
        <w:rFonts w:ascii="Symbol" w:hAnsi="Symbol"/>
      </w:rPr>
    </w:lvl>
    <w:lvl w:ilvl="1" w:tplc="BDC49DCA">
      <w:start w:val="1"/>
      <w:numFmt w:val="bullet"/>
      <w:lvlText w:val=""/>
      <w:lvlJc w:val="left"/>
      <w:pPr>
        <w:ind w:left="1440" w:hanging="360"/>
      </w:pPr>
      <w:rPr>
        <w:rFonts w:ascii="Symbol" w:hAnsi="Symbol"/>
      </w:rPr>
    </w:lvl>
    <w:lvl w:ilvl="2" w:tplc="E522EE9A">
      <w:start w:val="1"/>
      <w:numFmt w:val="bullet"/>
      <w:lvlText w:val=""/>
      <w:lvlJc w:val="left"/>
      <w:pPr>
        <w:ind w:left="1440" w:hanging="360"/>
      </w:pPr>
      <w:rPr>
        <w:rFonts w:ascii="Symbol" w:hAnsi="Symbol"/>
      </w:rPr>
    </w:lvl>
    <w:lvl w:ilvl="3" w:tplc="1278009C">
      <w:start w:val="1"/>
      <w:numFmt w:val="bullet"/>
      <w:lvlText w:val=""/>
      <w:lvlJc w:val="left"/>
      <w:pPr>
        <w:ind w:left="1440" w:hanging="360"/>
      </w:pPr>
      <w:rPr>
        <w:rFonts w:ascii="Symbol" w:hAnsi="Symbol"/>
      </w:rPr>
    </w:lvl>
    <w:lvl w:ilvl="4" w:tplc="D5141948">
      <w:start w:val="1"/>
      <w:numFmt w:val="bullet"/>
      <w:lvlText w:val=""/>
      <w:lvlJc w:val="left"/>
      <w:pPr>
        <w:ind w:left="1440" w:hanging="360"/>
      </w:pPr>
      <w:rPr>
        <w:rFonts w:ascii="Symbol" w:hAnsi="Symbol"/>
      </w:rPr>
    </w:lvl>
    <w:lvl w:ilvl="5" w:tplc="6074AFC6">
      <w:start w:val="1"/>
      <w:numFmt w:val="bullet"/>
      <w:lvlText w:val=""/>
      <w:lvlJc w:val="left"/>
      <w:pPr>
        <w:ind w:left="1440" w:hanging="360"/>
      </w:pPr>
      <w:rPr>
        <w:rFonts w:ascii="Symbol" w:hAnsi="Symbol"/>
      </w:rPr>
    </w:lvl>
    <w:lvl w:ilvl="6" w:tplc="EAAEC566">
      <w:start w:val="1"/>
      <w:numFmt w:val="bullet"/>
      <w:lvlText w:val=""/>
      <w:lvlJc w:val="left"/>
      <w:pPr>
        <w:ind w:left="1440" w:hanging="360"/>
      </w:pPr>
      <w:rPr>
        <w:rFonts w:ascii="Symbol" w:hAnsi="Symbol"/>
      </w:rPr>
    </w:lvl>
    <w:lvl w:ilvl="7" w:tplc="94B6A04C">
      <w:start w:val="1"/>
      <w:numFmt w:val="bullet"/>
      <w:lvlText w:val=""/>
      <w:lvlJc w:val="left"/>
      <w:pPr>
        <w:ind w:left="1440" w:hanging="360"/>
      </w:pPr>
      <w:rPr>
        <w:rFonts w:ascii="Symbol" w:hAnsi="Symbol"/>
      </w:rPr>
    </w:lvl>
    <w:lvl w:ilvl="8" w:tplc="F264AFE6">
      <w:start w:val="1"/>
      <w:numFmt w:val="bullet"/>
      <w:lvlText w:val=""/>
      <w:lvlJc w:val="left"/>
      <w:pPr>
        <w:ind w:left="1440" w:hanging="360"/>
      </w:pPr>
      <w:rPr>
        <w:rFonts w:ascii="Symbol" w:hAnsi="Symbol"/>
      </w:rPr>
    </w:lvl>
  </w:abstractNum>
  <w:abstractNum w:abstractNumId="70" w15:restartNumberingAfterBreak="0">
    <w:nsid w:val="3B3E015C"/>
    <w:multiLevelType w:val="hybridMultilevel"/>
    <w:tmpl w:val="417EF012"/>
    <w:lvl w:ilvl="0" w:tplc="14090001">
      <w:start w:val="1"/>
      <w:numFmt w:val="bullet"/>
      <w:lvlText w:val=""/>
      <w:lvlJc w:val="left"/>
      <w:pPr>
        <w:ind w:left="720" w:hanging="360"/>
      </w:pPr>
      <w:rPr>
        <w:rFonts w:ascii="Symbol" w:hAnsi="Symbol" w:hint="default"/>
      </w:rPr>
    </w:lvl>
    <w:lvl w:ilvl="1" w:tplc="14090003">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71" w15:restartNumberingAfterBreak="0">
    <w:nsid w:val="3D4F3B13"/>
    <w:multiLevelType w:val="hybridMultilevel"/>
    <w:tmpl w:val="204AFDBC"/>
    <w:lvl w:ilvl="0" w:tplc="9D927E86">
      <w:start w:val="1"/>
      <w:numFmt w:val="decimal"/>
      <w:lvlText w:val="%1."/>
      <w:lvlJc w:val="left"/>
      <w:pPr>
        <w:ind w:left="1020" w:hanging="360"/>
      </w:pPr>
    </w:lvl>
    <w:lvl w:ilvl="1" w:tplc="64E625CC">
      <w:start w:val="1"/>
      <w:numFmt w:val="decimal"/>
      <w:lvlText w:val="%2."/>
      <w:lvlJc w:val="left"/>
      <w:pPr>
        <w:ind w:left="1020" w:hanging="360"/>
      </w:pPr>
    </w:lvl>
    <w:lvl w:ilvl="2" w:tplc="90245AA4">
      <w:start w:val="1"/>
      <w:numFmt w:val="decimal"/>
      <w:lvlText w:val="%3."/>
      <w:lvlJc w:val="left"/>
      <w:pPr>
        <w:ind w:left="1020" w:hanging="360"/>
      </w:pPr>
    </w:lvl>
    <w:lvl w:ilvl="3" w:tplc="BB648D2A">
      <w:start w:val="1"/>
      <w:numFmt w:val="decimal"/>
      <w:lvlText w:val="%4."/>
      <w:lvlJc w:val="left"/>
      <w:pPr>
        <w:ind w:left="1020" w:hanging="360"/>
      </w:pPr>
    </w:lvl>
    <w:lvl w:ilvl="4" w:tplc="1FD0D316">
      <w:start w:val="1"/>
      <w:numFmt w:val="decimal"/>
      <w:lvlText w:val="%5."/>
      <w:lvlJc w:val="left"/>
      <w:pPr>
        <w:ind w:left="1020" w:hanging="360"/>
      </w:pPr>
    </w:lvl>
    <w:lvl w:ilvl="5" w:tplc="82B8617E">
      <w:start w:val="1"/>
      <w:numFmt w:val="decimal"/>
      <w:lvlText w:val="%6."/>
      <w:lvlJc w:val="left"/>
      <w:pPr>
        <w:ind w:left="1020" w:hanging="360"/>
      </w:pPr>
    </w:lvl>
    <w:lvl w:ilvl="6" w:tplc="A106F1D8">
      <w:start w:val="1"/>
      <w:numFmt w:val="decimal"/>
      <w:lvlText w:val="%7."/>
      <w:lvlJc w:val="left"/>
      <w:pPr>
        <w:ind w:left="1020" w:hanging="360"/>
      </w:pPr>
    </w:lvl>
    <w:lvl w:ilvl="7" w:tplc="7F1A6E90">
      <w:start w:val="1"/>
      <w:numFmt w:val="decimal"/>
      <w:lvlText w:val="%8."/>
      <w:lvlJc w:val="left"/>
      <w:pPr>
        <w:ind w:left="1020" w:hanging="360"/>
      </w:pPr>
    </w:lvl>
    <w:lvl w:ilvl="8" w:tplc="EA042E5C">
      <w:start w:val="1"/>
      <w:numFmt w:val="decimal"/>
      <w:lvlText w:val="%9."/>
      <w:lvlJc w:val="left"/>
      <w:pPr>
        <w:ind w:left="1020" w:hanging="360"/>
      </w:pPr>
    </w:lvl>
  </w:abstractNum>
  <w:abstractNum w:abstractNumId="72" w15:restartNumberingAfterBreak="0">
    <w:nsid w:val="3D9A7DB6"/>
    <w:multiLevelType w:val="multilevel"/>
    <w:tmpl w:val="91F4CDF4"/>
    <w:styleLink w:val="Dot-point"/>
    <w:lvl w:ilvl="0">
      <w:start w:val="1"/>
      <w:numFmt w:val="bullet"/>
      <w:pStyle w:val="1Dot-point"/>
      <w:lvlText w:val=""/>
      <w:lvlJc w:val="left"/>
      <w:pPr>
        <w:ind w:left="680" w:hanging="510"/>
      </w:pPr>
      <w:rPr>
        <w:rFonts w:ascii="Symbol" w:hAnsi="Symbol" w:hint="default"/>
      </w:rPr>
    </w:lvl>
    <w:lvl w:ilvl="1">
      <w:start w:val="1"/>
      <w:numFmt w:val="bullet"/>
      <w:pStyle w:val="2Dot-point"/>
      <w:lvlText w:val="o"/>
      <w:lvlJc w:val="left"/>
      <w:pPr>
        <w:ind w:left="1191" w:hanging="567"/>
      </w:pPr>
      <w:rPr>
        <w:rFonts w:ascii="Courier New" w:hAnsi="Courier New"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3" w15:restartNumberingAfterBreak="0">
    <w:nsid w:val="3E4470D8"/>
    <w:multiLevelType w:val="hybridMultilevel"/>
    <w:tmpl w:val="9B6CFA5A"/>
    <w:lvl w:ilvl="0" w:tplc="19BCA8AC">
      <w:start w:val="1"/>
      <w:numFmt w:val="decimal"/>
      <w:lvlText w:val="%1."/>
      <w:lvlJc w:val="left"/>
      <w:pPr>
        <w:ind w:left="1020" w:hanging="360"/>
      </w:pPr>
    </w:lvl>
    <w:lvl w:ilvl="1" w:tplc="78049A78">
      <w:start w:val="1"/>
      <w:numFmt w:val="decimal"/>
      <w:lvlText w:val="%2."/>
      <w:lvlJc w:val="left"/>
      <w:pPr>
        <w:ind w:left="1020" w:hanging="360"/>
      </w:pPr>
    </w:lvl>
    <w:lvl w:ilvl="2" w:tplc="714E313A">
      <w:start w:val="1"/>
      <w:numFmt w:val="decimal"/>
      <w:lvlText w:val="%3."/>
      <w:lvlJc w:val="left"/>
      <w:pPr>
        <w:ind w:left="1020" w:hanging="360"/>
      </w:pPr>
    </w:lvl>
    <w:lvl w:ilvl="3" w:tplc="05841306">
      <w:start w:val="1"/>
      <w:numFmt w:val="decimal"/>
      <w:lvlText w:val="%4."/>
      <w:lvlJc w:val="left"/>
      <w:pPr>
        <w:ind w:left="1020" w:hanging="360"/>
      </w:pPr>
    </w:lvl>
    <w:lvl w:ilvl="4" w:tplc="34CE4C84">
      <w:start w:val="1"/>
      <w:numFmt w:val="decimal"/>
      <w:lvlText w:val="%5."/>
      <w:lvlJc w:val="left"/>
      <w:pPr>
        <w:ind w:left="1020" w:hanging="360"/>
      </w:pPr>
    </w:lvl>
    <w:lvl w:ilvl="5" w:tplc="EF72A580">
      <w:start w:val="1"/>
      <w:numFmt w:val="decimal"/>
      <w:lvlText w:val="%6."/>
      <w:lvlJc w:val="left"/>
      <w:pPr>
        <w:ind w:left="1020" w:hanging="360"/>
      </w:pPr>
    </w:lvl>
    <w:lvl w:ilvl="6" w:tplc="D306183A">
      <w:start w:val="1"/>
      <w:numFmt w:val="decimal"/>
      <w:lvlText w:val="%7."/>
      <w:lvlJc w:val="left"/>
      <w:pPr>
        <w:ind w:left="1020" w:hanging="360"/>
      </w:pPr>
    </w:lvl>
    <w:lvl w:ilvl="7" w:tplc="B7F4C2DE">
      <w:start w:val="1"/>
      <w:numFmt w:val="decimal"/>
      <w:lvlText w:val="%8."/>
      <w:lvlJc w:val="left"/>
      <w:pPr>
        <w:ind w:left="1020" w:hanging="360"/>
      </w:pPr>
    </w:lvl>
    <w:lvl w:ilvl="8" w:tplc="5C62AA60">
      <w:start w:val="1"/>
      <w:numFmt w:val="decimal"/>
      <w:lvlText w:val="%9."/>
      <w:lvlJc w:val="left"/>
      <w:pPr>
        <w:ind w:left="1020" w:hanging="360"/>
      </w:pPr>
    </w:lvl>
  </w:abstractNum>
  <w:abstractNum w:abstractNumId="74" w15:restartNumberingAfterBreak="0">
    <w:nsid w:val="3E4E66A4"/>
    <w:multiLevelType w:val="hybridMultilevel"/>
    <w:tmpl w:val="E4CC09C6"/>
    <w:lvl w:ilvl="0" w:tplc="14090001">
      <w:start w:val="1"/>
      <w:numFmt w:val="bullet"/>
      <w:lvlText w:val=""/>
      <w:lvlJc w:val="left"/>
      <w:pPr>
        <w:ind w:left="773" w:hanging="360"/>
      </w:pPr>
      <w:rPr>
        <w:rFonts w:ascii="Symbol" w:hAnsi="Symbol" w:hint="default"/>
      </w:rPr>
    </w:lvl>
    <w:lvl w:ilvl="1" w:tplc="14090003" w:tentative="1">
      <w:start w:val="1"/>
      <w:numFmt w:val="bullet"/>
      <w:lvlText w:val="o"/>
      <w:lvlJc w:val="left"/>
      <w:pPr>
        <w:ind w:left="1493" w:hanging="360"/>
      </w:pPr>
      <w:rPr>
        <w:rFonts w:ascii="Courier New" w:hAnsi="Courier New" w:cs="Courier New" w:hint="default"/>
      </w:rPr>
    </w:lvl>
    <w:lvl w:ilvl="2" w:tplc="14090005" w:tentative="1">
      <w:start w:val="1"/>
      <w:numFmt w:val="bullet"/>
      <w:lvlText w:val=""/>
      <w:lvlJc w:val="left"/>
      <w:pPr>
        <w:ind w:left="2213" w:hanging="360"/>
      </w:pPr>
      <w:rPr>
        <w:rFonts w:ascii="Wingdings" w:hAnsi="Wingdings" w:hint="default"/>
      </w:rPr>
    </w:lvl>
    <w:lvl w:ilvl="3" w:tplc="14090001" w:tentative="1">
      <w:start w:val="1"/>
      <w:numFmt w:val="bullet"/>
      <w:lvlText w:val=""/>
      <w:lvlJc w:val="left"/>
      <w:pPr>
        <w:ind w:left="2933" w:hanging="360"/>
      </w:pPr>
      <w:rPr>
        <w:rFonts w:ascii="Symbol" w:hAnsi="Symbol" w:hint="default"/>
      </w:rPr>
    </w:lvl>
    <w:lvl w:ilvl="4" w:tplc="14090003" w:tentative="1">
      <w:start w:val="1"/>
      <w:numFmt w:val="bullet"/>
      <w:lvlText w:val="o"/>
      <w:lvlJc w:val="left"/>
      <w:pPr>
        <w:ind w:left="3653" w:hanging="360"/>
      </w:pPr>
      <w:rPr>
        <w:rFonts w:ascii="Courier New" w:hAnsi="Courier New" w:cs="Courier New" w:hint="default"/>
      </w:rPr>
    </w:lvl>
    <w:lvl w:ilvl="5" w:tplc="14090005" w:tentative="1">
      <w:start w:val="1"/>
      <w:numFmt w:val="bullet"/>
      <w:lvlText w:val=""/>
      <w:lvlJc w:val="left"/>
      <w:pPr>
        <w:ind w:left="4373" w:hanging="360"/>
      </w:pPr>
      <w:rPr>
        <w:rFonts w:ascii="Wingdings" w:hAnsi="Wingdings" w:hint="default"/>
      </w:rPr>
    </w:lvl>
    <w:lvl w:ilvl="6" w:tplc="14090001" w:tentative="1">
      <w:start w:val="1"/>
      <w:numFmt w:val="bullet"/>
      <w:lvlText w:val=""/>
      <w:lvlJc w:val="left"/>
      <w:pPr>
        <w:ind w:left="5093" w:hanging="360"/>
      </w:pPr>
      <w:rPr>
        <w:rFonts w:ascii="Symbol" w:hAnsi="Symbol" w:hint="default"/>
      </w:rPr>
    </w:lvl>
    <w:lvl w:ilvl="7" w:tplc="14090003" w:tentative="1">
      <w:start w:val="1"/>
      <w:numFmt w:val="bullet"/>
      <w:lvlText w:val="o"/>
      <w:lvlJc w:val="left"/>
      <w:pPr>
        <w:ind w:left="5813" w:hanging="360"/>
      </w:pPr>
      <w:rPr>
        <w:rFonts w:ascii="Courier New" w:hAnsi="Courier New" w:cs="Courier New" w:hint="default"/>
      </w:rPr>
    </w:lvl>
    <w:lvl w:ilvl="8" w:tplc="14090005" w:tentative="1">
      <w:start w:val="1"/>
      <w:numFmt w:val="bullet"/>
      <w:lvlText w:val=""/>
      <w:lvlJc w:val="left"/>
      <w:pPr>
        <w:ind w:left="6533" w:hanging="360"/>
      </w:pPr>
      <w:rPr>
        <w:rFonts w:ascii="Wingdings" w:hAnsi="Wingdings" w:hint="default"/>
      </w:rPr>
    </w:lvl>
  </w:abstractNum>
  <w:abstractNum w:abstractNumId="75" w15:restartNumberingAfterBreak="0">
    <w:nsid w:val="3F43317C"/>
    <w:multiLevelType w:val="hybridMultilevel"/>
    <w:tmpl w:val="AC8034EE"/>
    <w:lvl w:ilvl="0" w:tplc="14090001">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76" w15:restartNumberingAfterBreak="0">
    <w:nsid w:val="40234071"/>
    <w:multiLevelType w:val="hybridMultilevel"/>
    <w:tmpl w:val="230A7898"/>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77" w15:restartNumberingAfterBreak="0">
    <w:nsid w:val="42F1573A"/>
    <w:multiLevelType w:val="hybridMultilevel"/>
    <w:tmpl w:val="02F02A0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78" w15:restartNumberingAfterBreak="0">
    <w:nsid w:val="44C625C9"/>
    <w:multiLevelType w:val="multilevel"/>
    <w:tmpl w:val="9EE05EF4"/>
    <w:lvl w:ilvl="0">
      <w:start w:val="1"/>
      <w:numFmt w:val="decimal"/>
      <w:lvlText w:val="%1"/>
      <w:lvlJc w:val="left"/>
      <w:pPr>
        <w:ind w:left="360" w:hanging="360"/>
      </w:pPr>
      <w:rPr>
        <w:rFonts w:hint="default"/>
        <w:b/>
        <w:color w:val="007E00"/>
        <w:sz w:val="20"/>
      </w:rPr>
    </w:lvl>
    <w:lvl w:ilvl="1">
      <w:start w:val="1"/>
      <w:numFmt w:val="decimal"/>
      <w:lvlText w:val="%1.%2"/>
      <w:lvlJc w:val="left"/>
      <w:pPr>
        <w:ind w:left="360" w:hanging="360"/>
      </w:pPr>
      <w:rPr>
        <w:rFonts w:hint="default"/>
        <w:b/>
        <w:color w:val="007E00"/>
        <w:sz w:val="20"/>
      </w:rPr>
    </w:lvl>
    <w:lvl w:ilvl="2">
      <w:start w:val="1"/>
      <w:numFmt w:val="decimal"/>
      <w:lvlText w:val="%1.%2.%3"/>
      <w:lvlJc w:val="left"/>
      <w:pPr>
        <w:ind w:left="720" w:hanging="720"/>
      </w:pPr>
      <w:rPr>
        <w:rFonts w:hint="default"/>
        <w:b/>
        <w:color w:val="007E00"/>
        <w:sz w:val="20"/>
      </w:rPr>
    </w:lvl>
    <w:lvl w:ilvl="3">
      <w:start w:val="1"/>
      <w:numFmt w:val="decimal"/>
      <w:lvlText w:val="%1.%2.%3.%4"/>
      <w:lvlJc w:val="left"/>
      <w:pPr>
        <w:ind w:left="720" w:hanging="720"/>
      </w:pPr>
      <w:rPr>
        <w:rFonts w:hint="default"/>
        <w:b/>
        <w:color w:val="007E00"/>
        <w:sz w:val="20"/>
      </w:rPr>
    </w:lvl>
    <w:lvl w:ilvl="4">
      <w:start w:val="1"/>
      <w:numFmt w:val="decimal"/>
      <w:lvlText w:val="%1.%2.%3.%4.%5"/>
      <w:lvlJc w:val="left"/>
      <w:pPr>
        <w:ind w:left="1080" w:hanging="1080"/>
      </w:pPr>
      <w:rPr>
        <w:rFonts w:hint="default"/>
        <w:b/>
        <w:color w:val="007E00"/>
        <w:sz w:val="20"/>
      </w:rPr>
    </w:lvl>
    <w:lvl w:ilvl="5">
      <w:start w:val="1"/>
      <w:numFmt w:val="decimal"/>
      <w:lvlText w:val="%1.%2.%3.%4.%5.%6"/>
      <w:lvlJc w:val="left"/>
      <w:pPr>
        <w:ind w:left="1080" w:hanging="1080"/>
      </w:pPr>
      <w:rPr>
        <w:rFonts w:hint="default"/>
        <w:b/>
        <w:color w:val="007E00"/>
        <w:sz w:val="20"/>
      </w:rPr>
    </w:lvl>
    <w:lvl w:ilvl="6">
      <w:start w:val="1"/>
      <w:numFmt w:val="decimal"/>
      <w:lvlText w:val="%1.%2.%3.%4.%5.%6.%7"/>
      <w:lvlJc w:val="left"/>
      <w:pPr>
        <w:ind w:left="1080" w:hanging="1080"/>
      </w:pPr>
      <w:rPr>
        <w:rFonts w:hint="default"/>
        <w:b/>
        <w:color w:val="007E00"/>
        <w:sz w:val="20"/>
      </w:rPr>
    </w:lvl>
    <w:lvl w:ilvl="7">
      <w:start w:val="1"/>
      <w:numFmt w:val="decimal"/>
      <w:lvlText w:val="%1.%2.%3.%4.%5.%6.%7.%8"/>
      <w:lvlJc w:val="left"/>
      <w:pPr>
        <w:ind w:left="1440" w:hanging="1440"/>
      </w:pPr>
      <w:rPr>
        <w:rFonts w:hint="default"/>
        <w:b/>
        <w:color w:val="007E00"/>
        <w:sz w:val="20"/>
      </w:rPr>
    </w:lvl>
    <w:lvl w:ilvl="8">
      <w:start w:val="1"/>
      <w:numFmt w:val="decimal"/>
      <w:lvlText w:val="%1.%2.%3.%4.%5.%6.%7.%8.%9"/>
      <w:lvlJc w:val="left"/>
      <w:pPr>
        <w:ind w:left="1440" w:hanging="1440"/>
      </w:pPr>
      <w:rPr>
        <w:rFonts w:hint="default"/>
        <w:b/>
        <w:color w:val="007E00"/>
        <w:sz w:val="20"/>
      </w:rPr>
    </w:lvl>
  </w:abstractNum>
  <w:abstractNum w:abstractNumId="79" w15:restartNumberingAfterBreak="0">
    <w:nsid w:val="44F82374"/>
    <w:multiLevelType w:val="hybridMultilevel"/>
    <w:tmpl w:val="86F854BC"/>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80" w15:restartNumberingAfterBreak="0">
    <w:nsid w:val="45A628D0"/>
    <w:multiLevelType w:val="hybridMultilevel"/>
    <w:tmpl w:val="E4D095AC"/>
    <w:lvl w:ilvl="0" w:tplc="8998262E">
      <w:start w:val="1"/>
      <w:numFmt w:val="decimal"/>
      <w:lvlText w:val="%1."/>
      <w:lvlJc w:val="left"/>
      <w:pPr>
        <w:ind w:left="1020" w:hanging="360"/>
      </w:pPr>
    </w:lvl>
    <w:lvl w:ilvl="1" w:tplc="0DBA0714">
      <w:start w:val="1"/>
      <w:numFmt w:val="decimal"/>
      <w:lvlText w:val="%2."/>
      <w:lvlJc w:val="left"/>
      <w:pPr>
        <w:ind w:left="1020" w:hanging="360"/>
      </w:pPr>
    </w:lvl>
    <w:lvl w:ilvl="2" w:tplc="FB20C89A">
      <w:start w:val="1"/>
      <w:numFmt w:val="decimal"/>
      <w:lvlText w:val="%3."/>
      <w:lvlJc w:val="left"/>
      <w:pPr>
        <w:ind w:left="1020" w:hanging="360"/>
      </w:pPr>
    </w:lvl>
    <w:lvl w:ilvl="3" w:tplc="64021630">
      <w:start w:val="1"/>
      <w:numFmt w:val="decimal"/>
      <w:lvlText w:val="%4."/>
      <w:lvlJc w:val="left"/>
      <w:pPr>
        <w:ind w:left="1020" w:hanging="360"/>
      </w:pPr>
    </w:lvl>
    <w:lvl w:ilvl="4" w:tplc="6CBCFE96">
      <w:start w:val="1"/>
      <w:numFmt w:val="decimal"/>
      <w:lvlText w:val="%5."/>
      <w:lvlJc w:val="left"/>
      <w:pPr>
        <w:ind w:left="1020" w:hanging="360"/>
      </w:pPr>
    </w:lvl>
    <w:lvl w:ilvl="5" w:tplc="6E10D2CE">
      <w:start w:val="1"/>
      <w:numFmt w:val="decimal"/>
      <w:lvlText w:val="%6."/>
      <w:lvlJc w:val="left"/>
      <w:pPr>
        <w:ind w:left="1020" w:hanging="360"/>
      </w:pPr>
    </w:lvl>
    <w:lvl w:ilvl="6" w:tplc="E3E0B1F2">
      <w:start w:val="1"/>
      <w:numFmt w:val="decimal"/>
      <w:lvlText w:val="%7."/>
      <w:lvlJc w:val="left"/>
      <w:pPr>
        <w:ind w:left="1020" w:hanging="360"/>
      </w:pPr>
    </w:lvl>
    <w:lvl w:ilvl="7" w:tplc="1BB65E2C">
      <w:start w:val="1"/>
      <w:numFmt w:val="decimal"/>
      <w:lvlText w:val="%8."/>
      <w:lvlJc w:val="left"/>
      <w:pPr>
        <w:ind w:left="1020" w:hanging="360"/>
      </w:pPr>
    </w:lvl>
    <w:lvl w:ilvl="8" w:tplc="3AC28B2A">
      <w:start w:val="1"/>
      <w:numFmt w:val="decimal"/>
      <w:lvlText w:val="%9."/>
      <w:lvlJc w:val="left"/>
      <w:pPr>
        <w:ind w:left="1020" w:hanging="360"/>
      </w:pPr>
    </w:lvl>
  </w:abstractNum>
  <w:abstractNum w:abstractNumId="81" w15:restartNumberingAfterBreak="0">
    <w:nsid w:val="4607382E"/>
    <w:multiLevelType w:val="hybridMultilevel"/>
    <w:tmpl w:val="1D780B66"/>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82" w15:restartNumberingAfterBreak="0">
    <w:nsid w:val="48424BE2"/>
    <w:multiLevelType w:val="hybridMultilevel"/>
    <w:tmpl w:val="AD365E7C"/>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83" w15:restartNumberingAfterBreak="0">
    <w:nsid w:val="48440CD0"/>
    <w:multiLevelType w:val="hybridMultilevel"/>
    <w:tmpl w:val="56648AA4"/>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84" w15:restartNumberingAfterBreak="1">
    <w:nsid w:val="48603BFC"/>
    <w:multiLevelType w:val="hybridMultilevel"/>
    <w:tmpl w:val="DB445D72"/>
    <w:lvl w:ilvl="0" w:tplc="04160001">
      <w:start w:val="1"/>
      <w:numFmt w:val="bullet"/>
      <w:lvlText w:val=""/>
      <w:lvlJc w:val="left"/>
      <w:pPr>
        <w:ind w:left="783" w:hanging="360"/>
      </w:pPr>
      <w:rPr>
        <w:rFonts w:ascii="Symbol" w:hAnsi="Symbol" w:hint="default"/>
        <w:caps w:val="0"/>
        <w:strike w:val="0"/>
        <w:dstrike w:val="0"/>
        <w:vanish w:val="0"/>
        <w:color w:val="auto"/>
        <w:vertAlign w:val="baseline"/>
      </w:rPr>
    </w:lvl>
    <w:lvl w:ilvl="1" w:tplc="04090003">
      <w:start w:val="1"/>
      <w:numFmt w:val="bullet"/>
      <w:lvlText w:val="o"/>
      <w:lvlJc w:val="left"/>
      <w:pPr>
        <w:ind w:left="1503" w:hanging="360"/>
      </w:pPr>
      <w:rPr>
        <w:rFonts w:ascii="Courier New" w:hAnsi="Courier New" w:cs="Courier New" w:hint="default"/>
      </w:rPr>
    </w:lvl>
    <w:lvl w:ilvl="2" w:tplc="04090005" w:tentative="1">
      <w:start w:val="1"/>
      <w:numFmt w:val="bullet"/>
      <w:lvlText w:val=""/>
      <w:lvlJc w:val="left"/>
      <w:pPr>
        <w:ind w:left="2223" w:hanging="360"/>
      </w:pPr>
      <w:rPr>
        <w:rFonts w:ascii="Wingdings" w:hAnsi="Wingdings" w:hint="default"/>
      </w:rPr>
    </w:lvl>
    <w:lvl w:ilvl="3" w:tplc="04090001" w:tentative="1">
      <w:start w:val="1"/>
      <w:numFmt w:val="bullet"/>
      <w:lvlText w:val=""/>
      <w:lvlJc w:val="left"/>
      <w:pPr>
        <w:ind w:left="2943" w:hanging="360"/>
      </w:pPr>
      <w:rPr>
        <w:rFonts w:ascii="Symbol" w:hAnsi="Symbol" w:hint="default"/>
      </w:rPr>
    </w:lvl>
    <w:lvl w:ilvl="4" w:tplc="04090003" w:tentative="1">
      <w:start w:val="1"/>
      <w:numFmt w:val="bullet"/>
      <w:lvlText w:val="o"/>
      <w:lvlJc w:val="left"/>
      <w:pPr>
        <w:ind w:left="3663" w:hanging="360"/>
      </w:pPr>
      <w:rPr>
        <w:rFonts w:ascii="Courier New" w:hAnsi="Courier New" w:cs="Courier New" w:hint="default"/>
      </w:rPr>
    </w:lvl>
    <w:lvl w:ilvl="5" w:tplc="04090005" w:tentative="1">
      <w:start w:val="1"/>
      <w:numFmt w:val="bullet"/>
      <w:lvlText w:val=""/>
      <w:lvlJc w:val="left"/>
      <w:pPr>
        <w:ind w:left="4383" w:hanging="360"/>
      </w:pPr>
      <w:rPr>
        <w:rFonts w:ascii="Wingdings" w:hAnsi="Wingdings" w:hint="default"/>
      </w:rPr>
    </w:lvl>
    <w:lvl w:ilvl="6" w:tplc="04090001" w:tentative="1">
      <w:start w:val="1"/>
      <w:numFmt w:val="bullet"/>
      <w:lvlText w:val=""/>
      <w:lvlJc w:val="left"/>
      <w:pPr>
        <w:ind w:left="5103" w:hanging="360"/>
      </w:pPr>
      <w:rPr>
        <w:rFonts w:ascii="Symbol" w:hAnsi="Symbol" w:hint="default"/>
      </w:rPr>
    </w:lvl>
    <w:lvl w:ilvl="7" w:tplc="04090003" w:tentative="1">
      <w:start w:val="1"/>
      <w:numFmt w:val="bullet"/>
      <w:lvlText w:val="o"/>
      <w:lvlJc w:val="left"/>
      <w:pPr>
        <w:ind w:left="5823" w:hanging="360"/>
      </w:pPr>
      <w:rPr>
        <w:rFonts w:ascii="Courier New" w:hAnsi="Courier New" w:cs="Courier New" w:hint="default"/>
      </w:rPr>
    </w:lvl>
    <w:lvl w:ilvl="8" w:tplc="04090005" w:tentative="1">
      <w:start w:val="1"/>
      <w:numFmt w:val="bullet"/>
      <w:lvlText w:val=""/>
      <w:lvlJc w:val="left"/>
      <w:pPr>
        <w:ind w:left="6543" w:hanging="360"/>
      </w:pPr>
      <w:rPr>
        <w:rFonts w:ascii="Wingdings" w:hAnsi="Wingdings" w:hint="default"/>
      </w:rPr>
    </w:lvl>
  </w:abstractNum>
  <w:abstractNum w:abstractNumId="85" w15:restartNumberingAfterBreak="0">
    <w:nsid w:val="48871FDF"/>
    <w:multiLevelType w:val="hybridMultilevel"/>
    <w:tmpl w:val="B4FA85B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86" w15:restartNumberingAfterBreak="0">
    <w:nsid w:val="48B04B09"/>
    <w:multiLevelType w:val="hybridMultilevel"/>
    <w:tmpl w:val="B2FCEFB4"/>
    <w:lvl w:ilvl="0" w:tplc="56EE6386">
      <w:start w:val="1"/>
      <w:numFmt w:val="bullet"/>
      <w:lvlText w:val="•"/>
      <w:lvlJc w:val="left"/>
      <w:pPr>
        <w:tabs>
          <w:tab w:val="num" w:pos="720"/>
        </w:tabs>
        <w:ind w:left="720" w:hanging="360"/>
      </w:pPr>
      <w:rPr>
        <w:rFonts w:ascii="Arial" w:hAnsi="Arial" w:hint="default"/>
      </w:rPr>
    </w:lvl>
    <w:lvl w:ilvl="1" w:tplc="85384A32" w:tentative="1">
      <w:start w:val="1"/>
      <w:numFmt w:val="bullet"/>
      <w:lvlText w:val="•"/>
      <w:lvlJc w:val="left"/>
      <w:pPr>
        <w:tabs>
          <w:tab w:val="num" w:pos="1440"/>
        </w:tabs>
        <w:ind w:left="1440" w:hanging="360"/>
      </w:pPr>
      <w:rPr>
        <w:rFonts w:ascii="Arial" w:hAnsi="Arial" w:hint="default"/>
      </w:rPr>
    </w:lvl>
    <w:lvl w:ilvl="2" w:tplc="D4C412F2" w:tentative="1">
      <w:start w:val="1"/>
      <w:numFmt w:val="bullet"/>
      <w:lvlText w:val="•"/>
      <w:lvlJc w:val="left"/>
      <w:pPr>
        <w:tabs>
          <w:tab w:val="num" w:pos="2160"/>
        </w:tabs>
        <w:ind w:left="2160" w:hanging="360"/>
      </w:pPr>
      <w:rPr>
        <w:rFonts w:ascii="Arial" w:hAnsi="Arial" w:hint="default"/>
      </w:rPr>
    </w:lvl>
    <w:lvl w:ilvl="3" w:tplc="408A4AEA" w:tentative="1">
      <w:start w:val="1"/>
      <w:numFmt w:val="bullet"/>
      <w:lvlText w:val="•"/>
      <w:lvlJc w:val="left"/>
      <w:pPr>
        <w:tabs>
          <w:tab w:val="num" w:pos="2880"/>
        </w:tabs>
        <w:ind w:left="2880" w:hanging="360"/>
      </w:pPr>
      <w:rPr>
        <w:rFonts w:ascii="Arial" w:hAnsi="Arial" w:hint="default"/>
      </w:rPr>
    </w:lvl>
    <w:lvl w:ilvl="4" w:tplc="7C1CC81C" w:tentative="1">
      <w:start w:val="1"/>
      <w:numFmt w:val="bullet"/>
      <w:lvlText w:val="•"/>
      <w:lvlJc w:val="left"/>
      <w:pPr>
        <w:tabs>
          <w:tab w:val="num" w:pos="3600"/>
        </w:tabs>
        <w:ind w:left="3600" w:hanging="360"/>
      </w:pPr>
      <w:rPr>
        <w:rFonts w:ascii="Arial" w:hAnsi="Arial" w:hint="default"/>
      </w:rPr>
    </w:lvl>
    <w:lvl w:ilvl="5" w:tplc="66C863F6" w:tentative="1">
      <w:start w:val="1"/>
      <w:numFmt w:val="bullet"/>
      <w:lvlText w:val="•"/>
      <w:lvlJc w:val="left"/>
      <w:pPr>
        <w:tabs>
          <w:tab w:val="num" w:pos="4320"/>
        </w:tabs>
        <w:ind w:left="4320" w:hanging="360"/>
      </w:pPr>
      <w:rPr>
        <w:rFonts w:ascii="Arial" w:hAnsi="Arial" w:hint="default"/>
      </w:rPr>
    </w:lvl>
    <w:lvl w:ilvl="6" w:tplc="504289D8" w:tentative="1">
      <w:start w:val="1"/>
      <w:numFmt w:val="bullet"/>
      <w:lvlText w:val="•"/>
      <w:lvlJc w:val="left"/>
      <w:pPr>
        <w:tabs>
          <w:tab w:val="num" w:pos="5040"/>
        </w:tabs>
        <w:ind w:left="5040" w:hanging="360"/>
      </w:pPr>
      <w:rPr>
        <w:rFonts w:ascii="Arial" w:hAnsi="Arial" w:hint="default"/>
      </w:rPr>
    </w:lvl>
    <w:lvl w:ilvl="7" w:tplc="A79CBD06" w:tentative="1">
      <w:start w:val="1"/>
      <w:numFmt w:val="bullet"/>
      <w:lvlText w:val="•"/>
      <w:lvlJc w:val="left"/>
      <w:pPr>
        <w:tabs>
          <w:tab w:val="num" w:pos="5760"/>
        </w:tabs>
        <w:ind w:left="5760" w:hanging="360"/>
      </w:pPr>
      <w:rPr>
        <w:rFonts w:ascii="Arial" w:hAnsi="Arial" w:hint="default"/>
      </w:rPr>
    </w:lvl>
    <w:lvl w:ilvl="8" w:tplc="38347D78" w:tentative="1">
      <w:start w:val="1"/>
      <w:numFmt w:val="bullet"/>
      <w:lvlText w:val="•"/>
      <w:lvlJc w:val="left"/>
      <w:pPr>
        <w:tabs>
          <w:tab w:val="num" w:pos="6480"/>
        </w:tabs>
        <w:ind w:left="6480" w:hanging="360"/>
      </w:pPr>
      <w:rPr>
        <w:rFonts w:ascii="Arial" w:hAnsi="Arial" w:hint="default"/>
      </w:rPr>
    </w:lvl>
  </w:abstractNum>
  <w:abstractNum w:abstractNumId="87" w15:restartNumberingAfterBreak="0">
    <w:nsid w:val="48D1333E"/>
    <w:multiLevelType w:val="hybridMultilevel"/>
    <w:tmpl w:val="2DB28494"/>
    <w:lvl w:ilvl="0" w:tplc="F4422AB6">
      <w:start w:val="1"/>
      <w:numFmt w:val="decimalZero"/>
      <w:lvlText w:val="%1."/>
      <w:lvlJc w:val="left"/>
      <w:pPr>
        <w:ind w:left="1440" w:hanging="720"/>
      </w:pPr>
      <w:rPr>
        <w:rFonts w:hint="default"/>
      </w:rPr>
    </w:lvl>
    <w:lvl w:ilvl="1" w:tplc="04160019" w:tentative="1">
      <w:start w:val="1"/>
      <w:numFmt w:val="lowerLetter"/>
      <w:lvlText w:val="%2."/>
      <w:lvlJc w:val="left"/>
      <w:pPr>
        <w:ind w:left="1800" w:hanging="360"/>
      </w:p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88" w15:restartNumberingAfterBreak="0">
    <w:nsid w:val="498F24A1"/>
    <w:multiLevelType w:val="hybridMultilevel"/>
    <w:tmpl w:val="D09A5B26"/>
    <w:lvl w:ilvl="0" w:tplc="26CCE9AA">
      <w:start w:val="1"/>
      <w:numFmt w:val="decimal"/>
      <w:lvlText w:val="%1."/>
      <w:lvlJc w:val="left"/>
      <w:pPr>
        <w:ind w:left="720" w:hanging="360"/>
      </w:pPr>
    </w:lvl>
    <w:lvl w:ilvl="1" w:tplc="ABDEE284">
      <w:start w:val="1"/>
      <w:numFmt w:val="decimal"/>
      <w:lvlText w:val="%2."/>
      <w:lvlJc w:val="left"/>
      <w:pPr>
        <w:ind w:left="720" w:hanging="360"/>
      </w:pPr>
    </w:lvl>
    <w:lvl w:ilvl="2" w:tplc="69DC9466">
      <w:start w:val="1"/>
      <w:numFmt w:val="decimal"/>
      <w:lvlText w:val="%3."/>
      <w:lvlJc w:val="left"/>
      <w:pPr>
        <w:ind w:left="720" w:hanging="360"/>
      </w:pPr>
    </w:lvl>
    <w:lvl w:ilvl="3" w:tplc="85F48962">
      <w:start w:val="1"/>
      <w:numFmt w:val="decimal"/>
      <w:lvlText w:val="%4."/>
      <w:lvlJc w:val="left"/>
      <w:pPr>
        <w:ind w:left="720" w:hanging="360"/>
      </w:pPr>
    </w:lvl>
    <w:lvl w:ilvl="4" w:tplc="F16407EA">
      <w:start w:val="1"/>
      <w:numFmt w:val="decimal"/>
      <w:lvlText w:val="%5."/>
      <w:lvlJc w:val="left"/>
      <w:pPr>
        <w:ind w:left="720" w:hanging="360"/>
      </w:pPr>
    </w:lvl>
    <w:lvl w:ilvl="5" w:tplc="D610DF5C">
      <w:start w:val="1"/>
      <w:numFmt w:val="decimal"/>
      <w:lvlText w:val="%6."/>
      <w:lvlJc w:val="left"/>
      <w:pPr>
        <w:ind w:left="720" w:hanging="360"/>
      </w:pPr>
    </w:lvl>
    <w:lvl w:ilvl="6" w:tplc="8954DCCA">
      <w:start w:val="1"/>
      <w:numFmt w:val="decimal"/>
      <w:lvlText w:val="%7."/>
      <w:lvlJc w:val="left"/>
      <w:pPr>
        <w:ind w:left="720" w:hanging="360"/>
      </w:pPr>
    </w:lvl>
    <w:lvl w:ilvl="7" w:tplc="AA726054">
      <w:start w:val="1"/>
      <w:numFmt w:val="decimal"/>
      <w:lvlText w:val="%8."/>
      <w:lvlJc w:val="left"/>
      <w:pPr>
        <w:ind w:left="720" w:hanging="360"/>
      </w:pPr>
    </w:lvl>
    <w:lvl w:ilvl="8" w:tplc="15B06CA6">
      <w:start w:val="1"/>
      <w:numFmt w:val="decimal"/>
      <w:lvlText w:val="%9."/>
      <w:lvlJc w:val="left"/>
      <w:pPr>
        <w:ind w:left="720" w:hanging="360"/>
      </w:pPr>
    </w:lvl>
  </w:abstractNum>
  <w:abstractNum w:abstractNumId="89" w15:restartNumberingAfterBreak="0">
    <w:nsid w:val="4B763704"/>
    <w:multiLevelType w:val="hybridMultilevel"/>
    <w:tmpl w:val="CC1E2284"/>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90" w15:restartNumberingAfterBreak="0">
    <w:nsid w:val="4BF53351"/>
    <w:multiLevelType w:val="hybridMultilevel"/>
    <w:tmpl w:val="09EAA53E"/>
    <w:lvl w:ilvl="0" w:tplc="77CEB7FC">
      <w:start w:val="1"/>
      <w:numFmt w:val="bullet"/>
      <w:lvlText w:val=""/>
      <w:lvlJc w:val="left"/>
      <w:pPr>
        <w:ind w:left="1440" w:hanging="360"/>
      </w:pPr>
      <w:rPr>
        <w:rFonts w:ascii="Symbol" w:hAnsi="Symbol"/>
      </w:rPr>
    </w:lvl>
    <w:lvl w:ilvl="1" w:tplc="A3D0086E">
      <w:start w:val="1"/>
      <w:numFmt w:val="bullet"/>
      <w:lvlText w:val=""/>
      <w:lvlJc w:val="left"/>
      <w:pPr>
        <w:ind w:left="2160" w:hanging="360"/>
      </w:pPr>
      <w:rPr>
        <w:rFonts w:ascii="Symbol" w:hAnsi="Symbol"/>
      </w:rPr>
    </w:lvl>
    <w:lvl w:ilvl="2" w:tplc="C9CAE91E">
      <w:start w:val="1"/>
      <w:numFmt w:val="bullet"/>
      <w:lvlText w:val=""/>
      <w:lvlJc w:val="left"/>
      <w:pPr>
        <w:ind w:left="1440" w:hanging="360"/>
      </w:pPr>
      <w:rPr>
        <w:rFonts w:ascii="Symbol" w:hAnsi="Symbol"/>
      </w:rPr>
    </w:lvl>
    <w:lvl w:ilvl="3" w:tplc="E9B8D762">
      <w:start w:val="1"/>
      <w:numFmt w:val="bullet"/>
      <w:lvlText w:val=""/>
      <w:lvlJc w:val="left"/>
      <w:pPr>
        <w:ind w:left="1440" w:hanging="360"/>
      </w:pPr>
      <w:rPr>
        <w:rFonts w:ascii="Symbol" w:hAnsi="Symbol"/>
      </w:rPr>
    </w:lvl>
    <w:lvl w:ilvl="4" w:tplc="83967862">
      <w:start w:val="1"/>
      <w:numFmt w:val="bullet"/>
      <w:lvlText w:val=""/>
      <w:lvlJc w:val="left"/>
      <w:pPr>
        <w:ind w:left="1440" w:hanging="360"/>
      </w:pPr>
      <w:rPr>
        <w:rFonts w:ascii="Symbol" w:hAnsi="Symbol"/>
      </w:rPr>
    </w:lvl>
    <w:lvl w:ilvl="5" w:tplc="EA543488">
      <w:start w:val="1"/>
      <w:numFmt w:val="bullet"/>
      <w:lvlText w:val=""/>
      <w:lvlJc w:val="left"/>
      <w:pPr>
        <w:ind w:left="1440" w:hanging="360"/>
      </w:pPr>
      <w:rPr>
        <w:rFonts w:ascii="Symbol" w:hAnsi="Symbol"/>
      </w:rPr>
    </w:lvl>
    <w:lvl w:ilvl="6" w:tplc="B1B058D4">
      <w:start w:val="1"/>
      <w:numFmt w:val="bullet"/>
      <w:lvlText w:val=""/>
      <w:lvlJc w:val="left"/>
      <w:pPr>
        <w:ind w:left="1440" w:hanging="360"/>
      </w:pPr>
      <w:rPr>
        <w:rFonts w:ascii="Symbol" w:hAnsi="Symbol"/>
      </w:rPr>
    </w:lvl>
    <w:lvl w:ilvl="7" w:tplc="148820EA">
      <w:start w:val="1"/>
      <w:numFmt w:val="bullet"/>
      <w:lvlText w:val=""/>
      <w:lvlJc w:val="left"/>
      <w:pPr>
        <w:ind w:left="1440" w:hanging="360"/>
      </w:pPr>
      <w:rPr>
        <w:rFonts w:ascii="Symbol" w:hAnsi="Symbol"/>
      </w:rPr>
    </w:lvl>
    <w:lvl w:ilvl="8" w:tplc="317CD73A">
      <w:start w:val="1"/>
      <w:numFmt w:val="bullet"/>
      <w:lvlText w:val=""/>
      <w:lvlJc w:val="left"/>
      <w:pPr>
        <w:ind w:left="1440" w:hanging="360"/>
      </w:pPr>
      <w:rPr>
        <w:rFonts w:ascii="Symbol" w:hAnsi="Symbol"/>
      </w:rPr>
    </w:lvl>
  </w:abstractNum>
  <w:abstractNum w:abstractNumId="91" w15:restartNumberingAfterBreak="0">
    <w:nsid w:val="4C023683"/>
    <w:multiLevelType w:val="hybridMultilevel"/>
    <w:tmpl w:val="F9863A90"/>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92" w15:restartNumberingAfterBreak="0">
    <w:nsid w:val="4C227697"/>
    <w:multiLevelType w:val="hybridMultilevel"/>
    <w:tmpl w:val="7E2487FA"/>
    <w:lvl w:ilvl="0" w:tplc="14090001">
      <w:start w:val="1"/>
      <w:numFmt w:val="bullet"/>
      <w:lvlText w:val=""/>
      <w:lvlJc w:val="left"/>
      <w:pPr>
        <w:ind w:left="772" w:hanging="360"/>
      </w:pPr>
      <w:rPr>
        <w:rFonts w:ascii="Symbol" w:hAnsi="Symbol" w:hint="default"/>
      </w:rPr>
    </w:lvl>
    <w:lvl w:ilvl="1" w:tplc="14090003" w:tentative="1">
      <w:start w:val="1"/>
      <w:numFmt w:val="bullet"/>
      <w:lvlText w:val="o"/>
      <w:lvlJc w:val="left"/>
      <w:pPr>
        <w:ind w:left="1492" w:hanging="360"/>
      </w:pPr>
      <w:rPr>
        <w:rFonts w:ascii="Courier New" w:hAnsi="Courier New" w:cs="Courier New" w:hint="default"/>
      </w:rPr>
    </w:lvl>
    <w:lvl w:ilvl="2" w:tplc="14090005" w:tentative="1">
      <w:start w:val="1"/>
      <w:numFmt w:val="bullet"/>
      <w:lvlText w:val=""/>
      <w:lvlJc w:val="left"/>
      <w:pPr>
        <w:ind w:left="2212" w:hanging="360"/>
      </w:pPr>
      <w:rPr>
        <w:rFonts w:ascii="Wingdings" w:hAnsi="Wingdings" w:hint="default"/>
      </w:rPr>
    </w:lvl>
    <w:lvl w:ilvl="3" w:tplc="14090001" w:tentative="1">
      <w:start w:val="1"/>
      <w:numFmt w:val="bullet"/>
      <w:lvlText w:val=""/>
      <w:lvlJc w:val="left"/>
      <w:pPr>
        <w:ind w:left="2932" w:hanging="360"/>
      </w:pPr>
      <w:rPr>
        <w:rFonts w:ascii="Symbol" w:hAnsi="Symbol" w:hint="default"/>
      </w:rPr>
    </w:lvl>
    <w:lvl w:ilvl="4" w:tplc="14090003" w:tentative="1">
      <w:start w:val="1"/>
      <w:numFmt w:val="bullet"/>
      <w:lvlText w:val="o"/>
      <w:lvlJc w:val="left"/>
      <w:pPr>
        <w:ind w:left="3652" w:hanging="360"/>
      </w:pPr>
      <w:rPr>
        <w:rFonts w:ascii="Courier New" w:hAnsi="Courier New" w:cs="Courier New" w:hint="default"/>
      </w:rPr>
    </w:lvl>
    <w:lvl w:ilvl="5" w:tplc="14090005" w:tentative="1">
      <w:start w:val="1"/>
      <w:numFmt w:val="bullet"/>
      <w:lvlText w:val=""/>
      <w:lvlJc w:val="left"/>
      <w:pPr>
        <w:ind w:left="4372" w:hanging="360"/>
      </w:pPr>
      <w:rPr>
        <w:rFonts w:ascii="Wingdings" w:hAnsi="Wingdings" w:hint="default"/>
      </w:rPr>
    </w:lvl>
    <w:lvl w:ilvl="6" w:tplc="14090001" w:tentative="1">
      <w:start w:val="1"/>
      <w:numFmt w:val="bullet"/>
      <w:lvlText w:val=""/>
      <w:lvlJc w:val="left"/>
      <w:pPr>
        <w:ind w:left="5092" w:hanging="360"/>
      </w:pPr>
      <w:rPr>
        <w:rFonts w:ascii="Symbol" w:hAnsi="Symbol" w:hint="default"/>
      </w:rPr>
    </w:lvl>
    <w:lvl w:ilvl="7" w:tplc="14090003" w:tentative="1">
      <w:start w:val="1"/>
      <w:numFmt w:val="bullet"/>
      <w:lvlText w:val="o"/>
      <w:lvlJc w:val="left"/>
      <w:pPr>
        <w:ind w:left="5812" w:hanging="360"/>
      </w:pPr>
      <w:rPr>
        <w:rFonts w:ascii="Courier New" w:hAnsi="Courier New" w:cs="Courier New" w:hint="default"/>
      </w:rPr>
    </w:lvl>
    <w:lvl w:ilvl="8" w:tplc="14090005" w:tentative="1">
      <w:start w:val="1"/>
      <w:numFmt w:val="bullet"/>
      <w:lvlText w:val=""/>
      <w:lvlJc w:val="left"/>
      <w:pPr>
        <w:ind w:left="6532" w:hanging="360"/>
      </w:pPr>
      <w:rPr>
        <w:rFonts w:ascii="Wingdings" w:hAnsi="Wingdings" w:hint="default"/>
      </w:rPr>
    </w:lvl>
  </w:abstractNum>
  <w:abstractNum w:abstractNumId="93" w15:restartNumberingAfterBreak="0">
    <w:nsid w:val="4CA061C4"/>
    <w:multiLevelType w:val="hybridMultilevel"/>
    <w:tmpl w:val="EC52B8B0"/>
    <w:lvl w:ilvl="0" w:tplc="D374AB04">
      <w:start w:val="1"/>
      <w:numFmt w:val="bullet"/>
      <w:lvlText w:val="−"/>
      <w:lvlJc w:val="left"/>
      <w:pPr>
        <w:ind w:left="720" w:hanging="360"/>
      </w:pPr>
      <w:rPr>
        <w:rFonts w:ascii="Arial" w:hAnsi="Arial" w:hint="default"/>
      </w:rPr>
    </w:lvl>
    <w:lvl w:ilvl="1" w:tplc="598E00C0" w:tentative="1">
      <w:start w:val="1"/>
      <w:numFmt w:val="bullet"/>
      <w:lvlText w:val="o"/>
      <w:lvlJc w:val="left"/>
      <w:pPr>
        <w:ind w:left="1440" w:hanging="360"/>
      </w:pPr>
      <w:rPr>
        <w:rFonts w:ascii="Courier New" w:hAnsi="Courier New" w:cs="Courier New" w:hint="default"/>
      </w:rPr>
    </w:lvl>
    <w:lvl w:ilvl="2" w:tplc="1FE4D0B4" w:tentative="1">
      <w:start w:val="1"/>
      <w:numFmt w:val="bullet"/>
      <w:lvlText w:val=""/>
      <w:lvlJc w:val="left"/>
      <w:pPr>
        <w:ind w:left="2160" w:hanging="360"/>
      </w:pPr>
      <w:rPr>
        <w:rFonts w:ascii="Wingdings" w:hAnsi="Wingdings" w:hint="default"/>
      </w:rPr>
    </w:lvl>
    <w:lvl w:ilvl="3" w:tplc="2FD2E4E6" w:tentative="1">
      <w:start w:val="1"/>
      <w:numFmt w:val="bullet"/>
      <w:lvlText w:val=""/>
      <w:lvlJc w:val="left"/>
      <w:pPr>
        <w:ind w:left="2880" w:hanging="360"/>
      </w:pPr>
      <w:rPr>
        <w:rFonts w:ascii="Symbol" w:hAnsi="Symbol" w:hint="default"/>
      </w:rPr>
    </w:lvl>
    <w:lvl w:ilvl="4" w:tplc="E9F617CE" w:tentative="1">
      <w:start w:val="1"/>
      <w:numFmt w:val="bullet"/>
      <w:lvlText w:val="o"/>
      <w:lvlJc w:val="left"/>
      <w:pPr>
        <w:ind w:left="3600" w:hanging="360"/>
      </w:pPr>
      <w:rPr>
        <w:rFonts w:ascii="Courier New" w:hAnsi="Courier New" w:cs="Courier New" w:hint="default"/>
      </w:rPr>
    </w:lvl>
    <w:lvl w:ilvl="5" w:tplc="92D8D8A4" w:tentative="1">
      <w:start w:val="1"/>
      <w:numFmt w:val="bullet"/>
      <w:lvlText w:val=""/>
      <w:lvlJc w:val="left"/>
      <w:pPr>
        <w:ind w:left="4320" w:hanging="360"/>
      </w:pPr>
      <w:rPr>
        <w:rFonts w:ascii="Wingdings" w:hAnsi="Wingdings" w:hint="default"/>
      </w:rPr>
    </w:lvl>
    <w:lvl w:ilvl="6" w:tplc="A620BB82" w:tentative="1">
      <w:start w:val="1"/>
      <w:numFmt w:val="bullet"/>
      <w:lvlText w:val=""/>
      <w:lvlJc w:val="left"/>
      <w:pPr>
        <w:ind w:left="5040" w:hanging="360"/>
      </w:pPr>
      <w:rPr>
        <w:rFonts w:ascii="Symbol" w:hAnsi="Symbol" w:hint="default"/>
      </w:rPr>
    </w:lvl>
    <w:lvl w:ilvl="7" w:tplc="188408BC" w:tentative="1">
      <w:start w:val="1"/>
      <w:numFmt w:val="bullet"/>
      <w:lvlText w:val="o"/>
      <w:lvlJc w:val="left"/>
      <w:pPr>
        <w:ind w:left="5760" w:hanging="360"/>
      </w:pPr>
      <w:rPr>
        <w:rFonts w:ascii="Courier New" w:hAnsi="Courier New" w:cs="Courier New" w:hint="default"/>
      </w:rPr>
    </w:lvl>
    <w:lvl w:ilvl="8" w:tplc="7D7C8142" w:tentative="1">
      <w:start w:val="1"/>
      <w:numFmt w:val="bullet"/>
      <w:lvlText w:val=""/>
      <w:lvlJc w:val="left"/>
      <w:pPr>
        <w:ind w:left="6480" w:hanging="360"/>
      </w:pPr>
      <w:rPr>
        <w:rFonts w:ascii="Wingdings" w:hAnsi="Wingdings" w:hint="default"/>
      </w:rPr>
    </w:lvl>
  </w:abstractNum>
  <w:abstractNum w:abstractNumId="94" w15:restartNumberingAfterBreak="1">
    <w:nsid w:val="4D5E637E"/>
    <w:multiLevelType w:val="hybridMultilevel"/>
    <w:tmpl w:val="3CF864A2"/>
    <w:lvl w:ilvl="0" w:tplc="AAE0EF22">
      <w:start w:val="1"/>
      <w:numFmt w:val="bullet"/>
      <w:lvlText w:val=""/>
      <w:lvlJc w:val="left"/>
      <w:pPr>
        <w:ind w:left="783" w:hanging="360"/>
      </w:pPr>
      <w:rPr>
        <w:rFonts w:ascii="Symbol" w:hAnsi="Symbol" w:hint="default"/>
        <w:caps w:val="0"/>
        <w:strike w:val="0"/>
        <w:dstrike w:val="0"/>
        <w:vanish w:val="0"/>
        <w:color w:val="auto"/>
        <w:vertAlign w:val="baseline"/>
      </w:rPr>
    </w:lvl>
    <w:lvl w:ilvl="1" w:tplc="04090003">
      <w:start w:val="1"/>
      <w:numFmt w:val="bullet"/>
      <w:lvlText w:val="o"/>
      <w:lvlJc w:val="left"/>
      <w:pPr>
        <w:ind w:left="1503" w:hanging="360"/>
      </w:pPr>
      <w:rPr>
        <w:rFonts w:ascii="Courier New" w:hAnsi="Courier New" w:cs="Courier New" w:hint="default"/>
      </w:rPr>
    </w:lvl>
    <w:lvl w:ilvl="2" w:tplc="04090005" w:tentative="1">
      <w:start w:val="1"/>
      <w:numFmt w:val="bullet"/>
      <w:lvlText w:val=""/>
      <w:lvlJc w:val="left"/>
      <w:pPr>
        <w:ind w:left="2223" w:hanging="360"/>
      </w:pPr>
      <w:rPr>
        <w:rFonts w:ascii="Wingdings" w:hAnsi="Wingdings" w:hint="default"/>
      </w:rPr>
    </w:lvl>
    <w:lvl w:ilvl="3" w:tplc="04090001" w:tentative="1">
      <w:start w:val="1"/>
      <w:numFmt w:val="bullet"/>
      <w:lvlText w:val=""/>
      <w:lvlJc w:val="left"/>
      <w:pPr>
        <w:ind w:left="2943" w:hanging="360"/>
      </w:pPr>
      <w:rPr>
        <w:rFonts w:ascii="Symbol" w:hAnsi="Symbol" w:hint="default"/>
      </w:rPr>
    </w:lvl>
    <w:lvl w:ilvl="4" w:tplc="04090003" w:tentative="1">
      <w:start w:val="1"/>
      <w:numFmt w:val="bullet"/>
      <w:lvlText w:val="o"/>
      <w:lvlJc w:val="left"/>
      <w:pPr>
        <w:ind w:left="3663" w:hanging="360"/>
      </w:pPr>
      <w:rPr>
        <w:rFonts w:ascii="Courier New" w:hAnsi="Courier New" w:cs="Courier New" w:hint="default"/>
      </w:rPr>
    </w:lvl>
    <w:lvl w:ilvl="5" w:tplc="04090005" w:tentative="1">
      <w:start w:val="1"/>
      <w:numFmt w:val="bullet"/>
      <w:lvlText w:val=""/>
      <w:lvlJc w:val="left"/>
      <w:pPr>
        <w:ind w:left="4383" w:hanging="360"/>
      </w:pPr>
      <w:rPr>
        <w:rFonts w:ascii="Wingdings" w:hAnsi="Wingdings" w:hint="default"/>
      </w:rPr>
    </w:lvl>
    <w:lvl w:ilvl="6" w:tplc="04090001" w:tentative="1">
      <w:start w:val="1"/>
      <w:numFmt w:val="bullet"/>
      <w:lvlText w:val=""/>
      <w:lvlJc w:val="left"/>
      <w:pPr>
        <w:ind w:left="5103" w:hanging="360"/>
      </w:pPr>
      <w:rPr>
        <w:rFonts w:ascii="Symbol" w:hAnsi="Symbol" w:hint="default"/>
      </w:rPr>
    </w:lvl>
    <w:lvl w:ilvl="7" w:tplc="04090003" w:tentative="1">
      <w:start w:val="1"/>
      <w:numFmt w:val="bullet"/>
      <w:lvlText w:val="o"/>
      <w:lvlJc w:val="left"/>
      <w:pPr>
        <w:ind w:left="5823" w:hanging="360"/>
      </w:pPr>
      <w:rPr>
        <w:rFonts w:ascii="Courier New" w:hAnsi="Courier New" w:cs="Courier New" w:hint="default"/>
      </w:rPr>
    </w:lvl>
    <w:lvl w:ilvl="8" w:tplc="04090005" w:tentative="1">
      <w:start w:val="1"/>
      <w:numFmt w:val="bullet"/>
      <w:lvlText w:val=""/>
      <w:lvlJc w:val="left"/>
      <w:pPr>
        <w:ind w:left="6543" w:hanging="360"/>
      </w:pPr>
      <w:rPr>
        <w:rFonts w:ascii="Wingdings" w:hAnsi="Wingdings" w:hint="default"/>
      </w:rPr>
    </w:lvl>
  </w:abstractNum>
  <w:abstractNum w:abstractNumId="95" w15:restartNumberingAfterBreak="0">
    <w:nsid w:val="4D673AF2"/>
    <w:multiLevelType w:val="hybridMultilevel"/>
    <w:tmpl w:val="48402D04"/>
    <w:lvl w:ilvl="0" w:tplc="58808826">
      <w:start w:val="1"/>
      <w:numFmt w:val="decimal"/>
      <w:lvlText w:val="%1."/>
      <w:lvlJc w:val="left"/>
      <w:pPr>
        <w:ind w:left="720" w:hanging="360"/>
      </w:pPr>
    </w:lvl>
    <w:lvl w:ilvl="1" w:tplc="7C02FBFA">
      <w:start w:val="1"/>
      <w:numFmt w:val="decimal"/>
      <w:lvlText w:val="%2."/>
      <w:lvlJc w:val="left"/>
      <w:pPr>
        <w:ind w:left="720" w:hanging="360"/>
      </w:pPr>
    </w:lvl>
    <w:lvl w:ilvl="2" w:tplc="2BA0DDBE">
      <w:start w:val="1"/>
      <w:numFmt w:val="decimal"/>
      <w:lvlText w:val="%3."/>
      <w:lvlJc w:val="left"/>
      <w:pPr>
        <w:ind w:left="720" w:hanging="360"/>
      </w:pPr>
    </w:lvl>
    <w:lvl w:ilvl="3" w:tplc="6F92B8E4">
      <w:start w:val="1"/>
      <w:numFmt w:val="decimal"/>
      <w:lvlText w:val="%4."/>
      <w:lvlJc w:val="left"/>
      <w:pPr>
        <w:ind w:left="720" w:hanging="360"/>
      </w:pPr>
    </w:lvl>
    <w:lvl w:ilvl="4" w:tplc="7082A0FA">
      <w:start w:val="1"/>
      <w:numFmt w:val="decimal"/>
      <w:lvlText w:val="%5."/>
      <w:lvlJc w:val="left"/>
      <w:pPr>
        <w:ind w:left="720" w:hanging="360"/>
      </w:pPr>
    </w:lvl>
    <w:lvl w:ilvl="5" w:tplc="45C6165A">
      <w:start w:val="1"/>
      <w:numFmt w:val="decimal"/>
      <w:lvlText w:val="%6."/>
      <w:lvlJc w:val="left"/>
      <w:pPr>
        <w:ind w:left="720" w:hanging="360"/>
      </w:pPr>
    </w:lvl>
    <w:lvl w:ilvl="6" w:tplc="C5A4A130">
      <w:start w:val="1"/>
      <w:numFmt w:val="decimal"/>
      <w:lvlText w:val="%7."/>
      <w:lvlJc w:val="left"/>
      <w:pPr>
        <w:ind w:left="720" w:hanging="360"/>
      </w:pPr>
    </w:lvl>
    <w:lvl w:ilvl="7" w:tplc="19F2DFD8">
      <w:start w:val="1"/>
      <w:numFmt w:val="decimal"/>
      <w:lvlText w:val="%8."/>
      <w:lvlJc w:val="left"/>
      <w:pPr>
        <w:ind w:left="720" w:hanging="360"/>
      </w:pPr>
    </w:lvl>
    <w:lvl w:ilvl="8" w:tplc="F8A6B710">
      <w:start w:val="1"/>
      <w:numFmt w:val="decimal"/>
      <w:lvlText w:val="%9."/>
      <w:lvlJc w:val="left"/>
      <w:pPr>
        <w:ind w:left="720" w:hanging="360"/>
      </w:pPr>
    </w:lvl>
  </w:abstractNum>
  <w:abstractNum w:abstractNumId="96" w15:restartNumberingAfterBreak="0">
    <w:nsid w:val="4D684727"/>
    <w:multiLevelType w:val="hybridMultilevel"/>
    <w:tmpl w:val="0DC2523C"/>
    <w:lvl w:ilvl="0" w:tplc="1409000F">
      <w:start w:val="1"/>
      <w:numFmt w:val="decimal"/>
      <w:lvlText w:val="%1."/>
      <w:lvlJc w:val="left"/>
      <w:pPr>
        <w:ind w:left="786" w:hanging="360"/>
      </w:pPr>
      <w:rPr>
        <w:rFonts w:hint="default"/>
      </w:rPr>
    </w:lvl>
    <w:lvl w:ilvl="1" w:tplc="FFFFFFFF">
      <w:start w:val="1"/>
      <w:numFmt w:val="bullet"/>
      <w:lvlText w:val="o"/>
      <w:lvlJc w:val="left"/>
      <w:pPr>
        <w:ind w:left="1506" w:hanging="360"/>
      </w:pPr>
      <w:rPr>
        <w:rFonts w:ascii="Courier New" w:hAnsi="Courier New" w:cs="Courier New" w:hint="default"/>
      </w:rPr>
    </w:lvl>
    <w:lvl w:ilvl="2" w:tplc="FFFFFFFF">
      <w:start w:val="1"/>
      <w:numFmt w:val="bullet"/>
      <w:lvlText w:val=""/>
      <w:lvlJc w:val="left"/>
      <w:pPr>
        <w:ind w:left="2226" w:hanging="360"/>
      </w:pPr>
      <w:rPr>
        <w:rFonts w:ascii="Wingdings" w:hAnsi="Wingdings" w:hint="default"/>
      </w:rPr>
    </w:lvl>
    <w:lvl w:ilvl="3" w:tplc="FFFFFFFF">
      <w:start w:val="1"/>
      <w:numFmt w:val="bullet"/>
      <w:lvlText w:val=""/>
      <w:lvlJc w:val="left"/>
      <w:pPr>
        <w:ind w:left="2946" w:hanging="360"/>
      </w:pPr>
      <w:rPr>
        <w:rFonts w:ascii="Symbol" w:hAnsi="Symbol" w:hint="default"/>
      </w:rPr>
    </w:lvl>
    <w:lvl w:ilvl="4" w:tplc="FFFFFFFF">
      <w:start w:val="1"/>
      <w:numFmt w:val="bullet"/>
      <w:lvlText w:val="o"/>
      <w:lvlJc w:val="left"/>
      <w:pPr>
        <w:ind w:left="3666" w:hanging="360"/>
      </w:pPr>
      <w:rPr>
        <w:rFonts w:ascii="Courier New" w:hAnsi="Courier New" w:cs="Courier New" w:hint="default"/>
      </w:rPr>
    </w:lvl>
    <w:lvl w:ilvl="5" w:tplc="FFFFFFFF" w:tentative="1">
      <w:start w:val="1"/>
      <w:numFmt w:val="bullet"/>
      <w:lvlText w:val=""/>
      <w:lvlJc w:val="left"/>
      <w:pPr>
        <w:ind w:left="4386" w:hanging="360"/>
      </w:pPr>
      <w:rPr>
        <w:rFonts w:ascii="Wingdings" w:hAnsi="Wingdings" w:hint="default"/>
      </w:rPr>
    </w:lvl>
    <w:lvl w:ilvl="6" w:tplc="FFFFFFFF" w:tentative="1">
      <w:start w:val="1"/>
      <w:numFmt w:val="bullet"/>
      <w:lvlText w:val=""/>
      <w:lvlJc w:val="left"/>
      <w:pPr>
        <w:ind w:left="5106" w:hanging="360"/>
      </w:pPr>
      <w:rPr>
        <w:rFonts w:ascii="Symbol" w:hAnsi="Symbol" w:hint="default"/>
      </w:rPr>
    </w:lvl>
    <w:lvl w:ilvl="7" w:tplc="FFFFFFFF" w:tentative="1">
      <w:start w:val="1"/>
      <w:numFmt w:val="bullet"/>
      <w:lvlText w:val="o"/>
      <w:lvlJc w:val="left"/>
      <w:pPr>
        <w:ind w:left="5826" w:hanging="360"/>
      </w:pPr>
      <w:rPr>
        <w:rFonts w:ascii="Courier New" w:hAnsi="Courier New" w:cs="Courier New" w:hint="default"/>
      </w:rPr>
    </w:lvl>
    <w:lvl w:ilvl="8" w:tplc="FFFFFFFF" w:tentative="1">
      <w:start w:val="1"/>
      <w:numFmt w:val="bullet"/>
      <w:lvlText w:val=""/>
      <w:lvlJc w:val="left"/>
      <w:pPr>
        <w:ind w:left="6546" w:hanging="360"/>
      </w:pPr>
      <w:rPr>
        <w:rFonts w:ascii="Wingdings" w:hAnsi="Wingdings" w:hint="default"/>
      </w:rPr>
    </w:lvl>
  </w:abstractNum>
  <w:abstractNum w:abstractNumId="97" w15:restartNumberingAfterBreak="0">
    <w:nsid w:val="4DBC6C17"/>
    <w:multiLevelType w:val="hybridMultilevel"/>
    <w:tmpl w:val="D9AC5D74"/>
    <w:lvl w:ilvl="0" w:tplc="9FBA0F66">
      <w:start w:val="1"/>
      <w:numFmt w:val="decimal"/>
      <w:lvlText w:val="%1."/>
      <w:lvlJc w:val="left"/>
      <w:pPr>
        <w:ind w:left="720" w:hanging="360"/>
      </w:pPr>
    </w:lvl>
    <w:lvl w:ilvl="1" w:tplc="0EA2B950">
      <w:start w:val="1"/>
      <w:numFmt w:val="decimal"/>
      <w:lvlText w:val="%2."/>
      <w:lvlJc w:val="left"/>
      <w:pPr>
        <w:ind w:left="720" w:hanging="360"/>
      </w:pPr>
    </w:lvl>
    <w:lvl w:ilvl="2" w:tplc="A176D9C8">
      <w:start w:val="1"/>
      <w:numFmt w:val="decimal"/>
      <w:lvlText w:val="%3."/>
      <w:lvlJc w:val="left"/>
      <w:pPr>
        <w:ind w:left="720" w:hanging="360"/>
      </w:pPr>
    </w:lvl>
    <w:lvl w:ilvl="3" w:tplc="745EB0B8">
      <w:start w:val="1"/>
      <w:numFmt w:val="decimal"/>
      <w:lvlText w:val="%4."/>
      <w:lvlJc w:val="left"/>
      <w:pPr>
        <w:ind w:left="720" w:hanging="360"/>
      </w:pPr>
    </w:lvl>
    <w:lvl w:ilvl="4" w:tplc="259AE1CC">
      <w:start w:val="1"/>
      <w:numFmt w:val="decimal"/>
      <w:lvlText w:val="%5."/>
      <w:lvlJc w:val="left"/>
      <w:pPr>
        <w:ind w:left="720" w:hanging="360"/>
      </w:pPr>
    </w:lvl>
    <w:lvl w:ilvl="5" w:tplc="F63A9C24">
      <w:start w:val="1"/>
      <w:numFmt w:val="decimal"/>
      <w:lvlText w:val="%6."/>
      <w:lvlJc w:val="left"/>
      <w:pPr>
        <w:ind w:left="720" w:hanging="360"/>
      </w:pPr>
    </w:lvl>
    <w:lvl w:ilvl="6" w:tplc="967A7348">
      <w:start w:val="1"/>
      <w:numFmt w:val="decimal"/>
      <w:lvlText w:val="%7."/>
      <w:lvlJc w:val="left"/>
      <w:pPr>
        <w:ind w:left="720" w:hanging="360"/>
      </w:pPr>
    </w:lvl>
    <w:lvl w:ilvl="7" w:tplc="1A9C5ADC">
      <w:start w:val="1"/>
      <w:numFmt w:val="decimal"/>
      <w:lvlText w:val="%8."/>
      <w:lvlJc w:val="left"/>
      <w:pPr>
        <w:ind w:left="720" w:hanging="360"/>
      </w:pPr>
    </w:lvl>
    <w:lvl w:ilvl="8" w:tplc="22F0A9CA">
      <w:start w:val="1"/>
      <w:numFmt w:val="decimal"/>
      <w:lvlText w:val="%9."/>
      <w:lvlJc w:val="left"/>
      <w:pPr>
        <w:ind w:left="720" w:hanging="360"/>
      </w:pPr>
    </w:lvl>
  </w:abstractNum>
  <w:abstractNum w:abstractNumId="98" w15:restartNumberingAfterBreak="0">
    <w:nsid w:val="4E915D0E"/>
    <w:multiLevelType w:val="hybridMultilevel"/>
    <w:tmpl w:val="593A9CDE"/>
    <w:lvl w:ilvl="0" w:tplc="FBBA90E6">
      <w:start w:val="1"/>
      <w:numFmt w:val="bullet"/>
      <w:lvlText w:val=""/>
      <w:lvlJc w:val="left"/>
      <w:pPr>
        <w:ind w:left="1440" w:hanging="360"/>
      </w:pPr>
      <w:rPr>
        <w:rFonts w:ascii="Symbol" w:hAnsi="Symbol"/>
      </w:rPr>
    </w:lvl>
    <w:lvl w:ilvl="1" w:tplc="613A564A">
      <w:start w:val="1"/>
      <w:numFmt w:val="bullet"/>
      <w:lvlText w:val=""/>
      <w:lvlJc w:val="left"/>
      <w:pPr>
        <w:ind w:left="2160" w:hanging="360"/>
      </w:pPr>
      <w:rPr>
        <w:rFonts w:ascii="Symbol" w:hAnsi="Symbol"/>
      </w:rPr>
    </w:lvl>
    <w:lvl w:ilvl="2" w:tplc="10DE5892">
      <w:start w:val="1"/>
      <w:numFmt w:val="bullet"/>
      <w:lvlText w:val=""/>
      <w:lvlJc w:val="left"/>
      <w:pPr>
        <w:ind w:left="1440" w:hanging="360"/>
      </w:pPr>
      <w:rPr>
        <w:rFonts w:ascii="Symbol" w:hAnsi="Symbol"/>
      </w:rPr>
    </w:lvl>
    <w:lvl w:ilvl="3" w:tplc="3A4A9718">
      <w:start w:val="1"/>
      <w:numFmt w:val="bullet"/>
      <w:lvlText w:val=""/>
      <w:lvlJc w:val="left"/>
      <w:pPr>
        <w:ind w:left="1440" w:hanging="360"/>
      </w:pPr>
      <w:rPr>
        <w:rFonts w:ascii="Symbol" w:hAnsi="Symbol"/>
      </w:rPr>
    </w:lvl>
    <w:lvl w:ilvl="4" w:tplc="043A89A4">
      <w:start w:val="1"/>
      <w:numFmt w:val="bullet"/>
      <w:lvlText w:val=""/>
      <w:lvlJc w:val="left"/>
      <w:pPr>
        <w:ind w:left="1440" w:hanging="360"/>
      </w:pPr>
      <w:rPr>
        <w:rFonts w:ascii="Symbol" w:hAnsi="Symbol"/>
      </w:rPr>
    </w:lvl>
    <w:lvl w:ilvl="5" w:tplc="BCAEF3E2">
      <w:start w:val="1"/>
      <w:numFmt w:val="bullet"/>
      <w:lvlText w:val=""/>
      <w:lvlJc w:val="left"/>
      <w:pPr>
        <w:ind w:left="1440" w:hanging="360"/>
      </w:pPr>
      <w:rPr>
        <w:rFonts w:ascii="Symbol" w:hAnsi="Symbol"/>
      </w:rPr>
    </w:lvl>
    <w:lvl w:ilvl="6" w:tplc="EE18AF14">
      <w:start w:val="1"/>
      <w:numFmt w:val="bullet"/>
      <w:lvlText w:val=""/>
      <w:lvlJc w:val="left"/>
      <w:pPr>
        <w:ind w:left="1440" w:hanging="360"/>
      </w:pPr>
      <w:rPr>
        <w:rFonts w:ascii="Symbol" w:hAnsi="Symbol"/>
      </w:rPr>
    </w:lvl>
    <w:lvl w:ilvl="7" w:tplc="0FFCA564">
      <w:start w:val="1"/>
      <w:numFmt w:val="bullet"/>
      <w:lvlText w:val=""/>
      <w:lvlJc w:val="left"/>
      <w:pPr>
        <w:ind w:left="1440" w:hanging="360"/>
      </w:pPr>
      <w:rPr>
        <w:rFonts w:ascii="Symbol" w:hAnsi="Symbol"/>
      </w:rPr>
    </w:lvl>
    <w:lvl w:ilvl="8" w:tplc="A108335E">
      <w:start w:val="1"/>
      <w:numFmt w:val="bullet"/>
      <w:lvlText w:val=""/>
      <w:lvlJc w:val="left"/>
      <w:pPr>
        <w:ind w:left="1440" w:hanging="360"/>
      </w:pPr>
      <w:rPr>
        <w:rFonts w:ascii="Symbol" w:hAnsi="Symbol"/>
      </w:rPr>
    </w:lvl>
  </w:abstractNum>
  <w:abstractNum w:abstractNumId="99" w15:restartNumberingAfterBreak="0">
    <w:nsid w:val="4EEF6BDC"/>
    <w:multiLevelType w:val="hybridMultilevel"/>
    <w:tmpl w:val="A074FA56"/>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100" w15:restartNumberingAfterBreak="0">
    <w:nsid w:val="4F565F57"/>
    <w:multiLevelType w:val="hybridMultilevel"/>
    <w:tmpl w:val="C242D6C2"/>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01" w15:restartNumberingAfterBreak="0">
    <w:nsid w:val="4FE679DD"/>
    <w:multiLevelType w:val="hybridMultilevel"/>
    <w:tmpl w:val="C2B07F78"/>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02" w15:restartNumberingAfterBreak="0">
    <w:nsid w:val="4FF05FA0"/>
    <w:multiLevelType w:val="multilevel"/>
    <w:tmpl w:val="A2869250"/>
    <w:numStyleLink w:val="TableBullets"/>
  </w:abstractNum>
  <w:abstractNum w:abstractNumId="103" w15:restartNumberingAfterBreak="0">
    <w:nsid w:val="50272E55"/>
    <w:multiLevelType w:val="hybridMultilevel"/>
    <w:tmpl w:val="55504E78"/>
    <w:lvl w:ilvl="0" w:tplc="E4425B96">
      <w:start w:val="1"/>
      <w:numFmt w:val="decimal"/>
      <w:lvlText w:val="%1."/>
      <w:lvlJc w:val="left"/>
      <w:pPr>
        <w:ind w:left="1020" w:hanging="360"/>
      </w:pPr>
    </w:lvl>
    <w:lvl w:ilvl="1" w:tplc="1A42DC6A">
      <w:start w:val="1"/>
      <w:numFmt w:val="decimal"/>
      <w:lvlText w:val="%2."/>
      <w:lvlJc w:val="left"/>
      <w:pPr>
        <w:ind w:left="1020" w:hanging="360"/>
      </w:pPr>
    </w:lvl>
    <w:lvl w:ilvl="2" w:tplc="481E07EA">
      <w:start w:val="1"/>
      <w:numFmt w:val="decimal"/>
      <w:lvlText w:val="%3."/>
      <w:lvlJc w:val="left"/>
      <w:pPr>
        <w:ind w:left="1020" w:hanging="360"/>
      </w:pPr>
    </w:lvl>
    <w:lvl w:ilvl="3" w:tplc="EAD23018">
      <w:start w:val="1"/>
      <w:numFmt w:val="decimal"/>
      <w:lvlText w:val="%4."/>
      <w:lvlJc w:val="left"/>
      <w:pPr>
        <w:ind w:left="1020" w:hanging="360"/>
      </w:pPr>
    </w:lvl>
    <w:lvl w:ilvl="4" w:tplc="68643874">
      <w:start w:val="1"/>
      <w:numFmt w:val="decimal"/>
      <w:lvlText w:val="%5."/>
      <w:lvlJc w:val="left"/>
      <w:pPr>
        <w:ind w:left="1020" w:hanging="360"/>
      </w:pPr>
    </w:lvl>
    <w:lvl w:ilvl="5" w:tplc="38DA6D48">
      <w:start w:val="1"/>
      <w:numFmt w:val="decimal"/>
      <w:lvlText w:val="%6."/>
      <w:lvlJc w:val="left"/>
      <w:pPr>
        <w:ind w:left="1020" w:hanging="360"/>
      </w:pPr>
    </w:lvl>
    <w:lvl w:ilvl="6" w:tplc="C2E8C340">
      <w:start w:val="1"/>
      <w:numFmt w:val="decimal"/>
      <w:lvlText w:val="%7."/>
      <w:lvlJc w:val="left"/>
      <w:pPr>
        <w:ind w:left="1020" w:hanging="360"/>
      </w:pPr>
    </w:lvl>
    <w:lvl w:ilvl="7" w:tplc="E24E5A4E">
      <w:start w:val="1"/>
      <w:numFmt w:val="decimal"/>
      <w:lvlText w:val="%8."/>
      <w:lvlJc w:val="left"/>
      <w:pPr>
        <w:ind w:left="1020" w:hanging="360"/>
      </w:pPr>
    </w:lvl>
    <w:lvl w:ilvl="8" w:tplc="BAD4F3F6">
      <w:start w:val="1"/>
      <w:numFmt w:val="decimal"/>
      <w:lvlText w:val="%9."/>
      <w:lvlJc w:val="left"/>
      <w:pPr>
        <w:ind w:left="1020" w:hanging="360"/>
      </w:pPr>
    </w:lvl>
  </w:abstractNum>
  <w:abstractNum w:abstractNumId="104" w15:restartNumberingAfterBreak="0">
    <w:nsid w:val="5055235F"/>
    <w:multiLevelType w:val="hybridMultilevel"/>
    <w:tmpl w:val="4CF0E190"/>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05" w15:restartNumberingAfterBreak="0">
    <w:nsid w:val="5191605C"/>
    <w:multiLevelType w:val="hybridMultilevel"/>
    <w:tmpl w:val="0C24437C"/>
    <w:lvl w:ilvl="0" w:tplc="46EE7DAC">
      <w:start w:val="1"/>
      <w:numFmt w:val="decimal"/>
      <w:lvlText w:val="%1."/>
      <w:lvlJc w:val="left"/>
      <w:pPr>
        <w:tabs>
          <w:tab w:val="num" w:pos="360"/>
        </w:tabs>
        <w:ind w:left="360" w:hanging="360"/>
      </w:pPr>
      <w:rPr>
        <w:b/>
        <w:bCs/>
      </w:rPr>
    </w:lvl>
    <w:lvl w:ilvl="1" w:tplc="38C8AEE8" w:tentative="1">
      <w:start w:val="1"/>
      <w:numFmt w:val="decimal"/>
      <w:lvlText w:val="%2."/>
      <w:lvlJc w:val="left"/>
      <w:pPr>
        <w:tabs>
          <w:tab w:val="num" w:pos="1080"/>
        </w:tabs>
        <w:ind w:left="1080" w:hanging="360"/>
      </w:pPr>
    </w:lvl>
    <w:lvl w:ilvl="2" w:tplc="9D7C0586" w:tentative="1">
      <w:start w:val="1"/>
      <w:numFmt w:val="decimal"/>
      <w:lvlText w:val="%3."/>
      <w:lvlJc w:val="left"/>
      <w:pPr>
        <w:tabs>
          <w:tab w:val="num" w:pos="1800"/>
        </w:tabs>
        <w:ind w:left="1800" w:hanging="360"/>
      </w:pPr>
    </w:lvl>
    <w:lvl w:ilvl="3" w:tplc="406A886E" w:tentative="1">
      <w:start w:val="1"/>
      <w:numFmt w:val="decimal"/>
      <w:lvlText w:val="%4."/>
      <w:lvlJc w:val="left"/>
      <w:pPr>
        <w:tabs>
          <w:tab w:val="num" w:pos="2520"/>
        </w:tabs>
        <w:ind w:left="2520" w:hanging="360"/>
      </w:pPr>
    </w:lvl>
    <w:lvl w:ilvl="4" w:tplc="47B67F7C" w:tentative="1">
      <w:start w:val="1"/>
      <w:numFmt w:val="decimal"/>
      <w:lvlText w:val="%5."/>
      <w:lvlJc w:val="left"/>
      <w:pPr>
        <w:tabs>
          <w:tab w:val="num" w:pos="3240"/>
        </w:tabs>
        <w:ind w:left="3240" w:hanging="360"/>
      </w:pPr>
    </w:lvl>
    <w:lvl w:ilvl="5" w:tplc="39700468" w:tentative="1">
      <w:start w:val="1"/>
      <w:numFmt w:val="decimal"/>
      <w:lvlText w:val="%6."/>
      <w:lvlJc w:val="left"/>
      <w:pPr>
        <w:tabs>
          <w:tab w:val="num" w:pos="3960"/>
        </w:tabs>
        <w:ind w:left="3960" w:hanging="360"/>
      </w:pPr>
    </w:lvl>
    <w:lvl w:ilvl="6" w:tplc="79FC4F52" w:tentative="1">
      <w:start w:val="1"/>
      <w:numFmt w:val="decimal"/>
      <w:lvlText w:val="%7."/>
      <w:lvlJc w:val="left"/>
      <w:pPr>
        <w:tabs>
          <w:tab w:val="num" w:pos="4680"/>
        </w:tabs>
        <w:ind w:left="4680" w:hanging="360"/>
      </w:pPr>
    </w:lvl>
    <w:lvl w:ilvl="7" w:tplc="4CAA916C" w:tentative="1">
      <w:start w:val="1"/>
      <w:numFmt w:val="decimal"/>
      <w:lvlText w:val="%8."/>
      <w:lvlJc w:val="left"/>
      <w:pPr>
        <w:tabs>
          <w:tab w:val="num" w:pos="5400"/>
        </w:tabs>
        <w:ind w:left="5400" w:hanging="360"/>
      </w:pPr>
    </w:lvl>
    <w:lvl w:ilvl="8" w:tplc="849836C4" w:tentative="1">
      <w:start w:val="1"/>
      <w:numFmt w:val="decimal"/>
      <w:lvlText w:val="%9."/>
      <w:lvlJc w:val="left"/>
      <w:pPr>
        <w:tabs>
          <w:tab w:val="num" w:pos="6120"/>
        </w:tabs>
        <w:ind w:left="6120" w:hanging="360"/>
      </w:pPr>
    </w:lvl>
  </w:abstractNum>
  <w:abstractNum w:abstractNumId="106" w15:restartNumberingAfterBreak="0">
    <w:nsid w:val="526524B2"/>
    <w:multiLevelType w:val="hybridMultilevel"/>
    <w:tmpl w:val="F3A6AE68"/>
    <w:lvl w:ilvl="0" w:tplc="40B258EC">
      <w:start w:val="1"/>
      <w:numFmt w:val="decimal"/>
      <w:lvlText w:val="%1."/>
      <w:lvlJc w:val="left"/>
      <w:pPr>
        <w:ind w:left="1020" w:hanging="360"/>
      </w:pPr>
    </w:lvl>
    <w:lvl w:ilvl="1" w:tplc="D046BE2C">
      <w:start w:val="1"/>
      <w:numFmt w:val="decimal"/>
      <w:lvlText w:val="%2."/>
      <w:lvlJc w:val="left"/>
      <w:pPr>
        <w:ind w:left="1020" w:hanging="360"/>
      </w:pPr>
    </w:lvl>
    <w:lvl w:ilvl="2" w:tplc="3E56BFCE">
      <w:start w:val="1"/>
      <w:numFmt w:val="decimal"/>
      <w:lvlText w:val="%3."/>
      <w:lvlJc w:val="left"/>
      <w:pPr>
        <w:ind w:left="1020" w:hanging="360"/>
      </w:pPr>
    </w:lvl>
    <w:lvl w:ilvl="3" w:tplc="DF36BC6E">
      <w:start w:val="1"/>
      <w:numFmt w:val="decimal"/>
      <w:lvlText w:val="%4."/>
      <w:lvlJc w:val="left"/>
      <w:pPr>
        <w:ind w:left="1020" w:hanging="360"/>
      </w:pPr>
    </w:lvl>
    <w:lvl w:ilvl="4" w:tplc="4B5ED43A">
      <w:start w:val="1"/>
      <w:numFmt w:val="decimal"/>
      <w:lvlText w:val="%5."/>
      <w:lvlJc w:val="left"/>
      <w:pPr>
        <w:ind w:left="1020" w:hanging="360"/>
      </w:pPr>
    </w:lvl>
    <w:lvl w:ilvl="5" w:tplc="713A503A">
      <w:start w:val="1"/>
      <w:numFmt w:val="decimal"/>
      <w:lvlText w:val="%6."/>
      <w:lvlJc w:val="left"/>
      <w:pPr>
        <w:ind w:left="1020" w:hanging="360"/>
      </w:pPr>
    </w:lvl>
    <w:lvl w:ilvl="6" w:tplc="18CEE620">
      <w:start w:val="1"/>
      <w:numFmt w:val="decimal"/>
      <w:lvlText w:val="%7."/>
      <w:lvlJc w:val="left"/>
      <w:pPr>
        <w:ind w:left="1020" w:hanging="360"/>
      </w:pPr>
    </w:lvl>
    <w:lvl w:ilvl="7" w:tplc="0D4210D6">
      <w:start w:val="1"/>
      <w:numFmt w:val="decimal"/>
      <w:lvlText w:val="%8."/>
      <w:lvlJc w:val="left"/>
      <w:pPr>
        <w:ind w:left="1020" w:hanging="360"/>
      </w:pPr>
    </w:lvl>
    <w:lvl w:ilvl="8" w:tplc="4C18A018">
      <w:start w:val="1"/>
      <w:numFmt w:val="decimal"/>
      <w:lvlText w:val="%9."/>
      <w:lvlJc w:val="left"/>
      <w:pPr>
        <w:ind w:left="1020" w:hanging="360"/>
      </w:pPr>
    </w:lvl>
  </w:abstractNum>
  <w:abstractNum w:abstractNumId="107" w15:restartNumberingAfterBreak="0">
    <w:nsid w:val="528D35E7"/>
    <w:multiLevelType w:val="hybridMultilevel"/>
    <w:tmpl w:val="33D03C38"/>
    <w:lvl w:ilvl="0" w:tplc="1409000F">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08" w15:restartNumberingAfterBreak="0">
    <w:nsid w:val="529F5B49"/>
    <w:multiLevelType w:val="hybridMultilevel"/>
    <w:tmpl w:val="971A567A"/>
    <w:lvl w:ilvl="0" w:tplc="E87EDC86">
      <w:start w:val="1"/>
      <w:numFmt w:val="bullet"/>
      <w:lvlText w:val=""/>
      <w:lvlJc w:val="left"/>
      <w:pPr>
        <w:ind w:left="720" w:hanging="360"/>
      </w:pPr>
      <w:rPr>
        <w:rFonts w:ascii="Symbol" w:hAnsi="Symbol"/>
      </w:rPr>
    </w:lvl>
    <w:lvl w:ilvl="1" w:tplc="B114C416">
      <w:start w:val="1"/>
      <w:numFmt w:val="bullet"/>
      <w:lvlText w:val=""/>
      <w:lvlJc w:val="left"/>
      <w:pPr>
        <w:ind w:left="720" w:hanging="360"/>
      </w:pPr>
      <w:rPr>
        <w:rFonts w:ascii="Symbol" w:hAnsi="Symbol"/>
      </w:rPr>
    </w:lvl>
    <w:lvl w:ilvl="2" w:tplc="0EA0837E">
      <w:start w:val="1"/>
      <w:numFmt w:val="bullet"/>
      <w:lvlText w:val=""/>
      <w:lvlJc w:val="left"/>
      <w:pPr>
        <w:ind w:left="720" w:hanging="360"/>
      </w:pPr>
      <w:rPr>
        <w:rFonts w:ascii="Symbol" w:hAnsi="Symbol"/>
      </w:rPr>
    </w:lvl>
    <w:lvl w:ilvl="3" w:tplc="059ED3A8">
      <w:start w:val="1"/>
      <w:numFmt w:val="bullet"/>
      <w:lvlText w:val=""/>
      <w:lvlJc w:val="left"/>
      <w:pPr>
        <w:ind w:left="720" w:hanging="360"/>
      </w:pPr>
      <w:rPr>
        <w:rFonts w:ascii="Symbol" w:hAnsi="Symbol"/>
      </w:rPr>
    </w:lvl>
    <w:lvl w:ilvl="4" w:tplc="950EBA7A">
      <w:start w:val="1"/>
      <w:numFmt w:val="bullet"/>
      <w:lvlText w:val=""/>
      <w:lvlJc w:val="left"/>
      <w:pPr>
        <w:ind w:left="720" w:hanging="360"/>
      </w:pPr>
      <w:rPr>
        <w:rFonts w:ascii="Symbol" w:hAnsi="Symbol"/>
      </w:rPr>
    </w:lvl>
    <w:lvl w:ilvl="5" w:tplc="4A8EA7D8">
      <w:start w:val="1"/>
      <w:numFmt w:val="bullet"/>
      <w:lvlText w:val=""/>
      <w:lvlJc w:val="left"/>
      <w:pPr>
        <w:ind w:left="720" w:hanging="360"/>
      </w:pPr>
      <w:rPr>
        <w:rFonts w:ascii="Symbol" w:hAnsi="Symbol"/>
      </w:rPr>
    </w:lvl>
    <w:lvl w:ilvl="6" w:tplc="949A706A">
      <w:start w:val="1"/>
      <w:numFmt w:val="bullet"/>
      <w:lvlText w:val=""/>
      <w:lvlJc w:val="left"/>
      <w:pPr>
        <w:ind w:left="720" w:hanging="360"/>
      </w:pPr>
      <w:rPr>
        <w:rFonts w:ascii="Symbol" w:hAnsi="Symbol"/>
      </w:rPr>
    </w:lvl>
    <w:lvl w:ilvl="7" w:tplc="FBC663DE">
      <w:start w:val="1"/>
      <w:numFmt w:val="bullet"/>
      <w:lvlText w:val=""/>
      <w:lvlJc w:val="left"/>
      <w:pPr>
        <w:ind w:left="720" w:hanging="360"/>
      </w:pPr>
      <w:rPr>
        <w:rFonts w:ascii="Symbol" w:hAnsi="Symbol"/>
      </w:rPr>
    </w:lvl>
    <w:lvl w:ilvl="8" w:tplc="BB16EC94">
      <w:start w:val="1"/>
      <w:numFmt w:val="bullet"/>
      <w:lvlText w:val=""/>
      <w:lvlJc w:val="left"/>
      <w:pPr>
        <w:ind w:left="720" w:hanging="360"/>
      </w:pPr>
      <w:rPr>
        <w:rFonts w:ascii="Symbol" w:hAnsi="Symbol"/>
      </w:rPr>
    </w:lvl>
  </w:abstractNum>
  <w:abstractNum w:abstractNumId="109" w15:restartNumberingAfterBreak="0">
    <w:nsid w:val="52C34678"/>
    <w:multiLevelType w:val="hybridMultilevel"/>
    <w:tmpl w:val="6E74F3B6"/>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10" w15:restartNumberingAfterBreak="0">
    <w:nsid w:val="52EF58A7"/>
    <w:multiLevelType w:val="hybridMultilevel"/>
    <w:tmpl w:val="7C7ADB9E"/>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111" w15:restartNumberingAfterBreak="0">
    <w:nsid w:val="535C2590"/>
    <w:multiLevelType w:val="multilevel"/>
    <w:tmpl w:val="6CE04904"/>
    <w:numStyleLink w:val="NumberedHeadings"/>
  </w:abstractNum>
  <w:abstractNum w:abstractNumId="112" w15:restartNumberingAfterBreak="0">
    <w:nsid w:val="541A409E"/>
    <w:multiLevelType w:val="hybridMultilevel"/>
    <w:tmpl w:val="736E9DAE"/>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113" w15:restartNumberingAfterBreak="0">
    <w:nsid w:val="545B7D1D"/>
    <w:multiLevelType w:val="hybridMultilevel"/>
    <w:tmpl w:val="11FEB316"/>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114" w15:restartNumberingAfterBreak="0">
    <w:nsid w:val="561E7390"/>
    <w:multiLevelType w:val="hybridMultilevel"/>
    <w:tmpl w:val="74508740"/>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115" w15:restartNumberingAfterBreak="0">
    <w:nsid w:val="574A7CF1"/>
    <w:multiLevelType w:val="hybridMultilevel"/>
    <w:tmpl w:val="EC4479C6"/>
    <w:lvl w:ilvl="0" w:tplc="1409000F">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16" w15:restartNumberingAfterBreak="0">
    <w:nsid w:val="58185920"/>
    <w:multiLevelType w:val="hybridMultilevel"/>
    <w:tmpl w:val="C7942D8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17" w15:restartNumberingAfterBreak="0">
    <w:nsid w:val="584F09B1"/>
    <w:multiLevelType w:val="hybridMultilevel"/>
    <w:tmpl w:val="D2582B50"/>
    <w:lvl w:ilvl="0" w:tplc="A3686A44">
      <w:start w:val="1"/>
      <w:numFmt w:val="bullet"/>
      <w:lvlText w:val=""/>
      <w:lvlJc w:val="left"/>
      <w:pPr>
        <w:ind w:left="720" w:hanging="360"/>
      </w:pPr>
      <w:rPr>
        <w:rFonts w:ascii="Symbol" w:hAnsi="Symbol" w:hint="default"/>
      </w:rPr>
    </w:lvl>
    <w:lvl w:ilvl="1" w:tplc="28221710" w:tentative="1">
      <w:start w:val="1"/>
      <w:numFmt w:val="bullet"/>
      <w:lvlText w:val="o"/>
      <w:lvlJc w:val="left"/>
      <w:pPr>
        <w:ind w:left="1440" w:hanging="360"/>
      </w:pPr>
      <w:rPr>
        <w:rFonts w:ascii="Courier New" w:hAnsi="Courier New" w:cs="Courier New" w:hint="default"/>
      </w:rPr>
    </w:lvl>
    <w:lvl w:ilvl="2" w:tplc="2632D430" w:tentative="1">
      <w:start w:val="1"/>
      <w:numFmt w:val="bullet"/>
      <w:lvlText w:val=""/>
      <w:lvlJc w:val="left"/>
      <w:pPr>
        <w:ind w:left="2160" w:hanging="360"/>
      </w:pPr>
      <w:rPr>
        <w:rFonts w:ascii="Wingdings" w:hAnsi="Wingdings" w:hint="default"/>
      </w:rPr>
    </w:lvl>
    <w:lvl w:ilvl="3" w:tplc="C5641456" w:tentative="1">
      <w:start w:val="1"/>
      <w:numFmt w:val="bullet"/>
      <w:lvlText w:val=""/>
      <w:lvlJc w:val="left"/>
      <w:pPr>
        <w:ind w:left="2880" w:hanging="360"/>
      </w:pPr>
      <w:rPr>
        <w:rFonts w:ascii="Symbol" w:hAnsi="Symbol" w:hint="default"/>
      </w:rPr>
    </w:lvl>
    <w:lvl w:ilvl="4" w:tplc="A9B8A008" w:tentative="1">
      <w:start w:val="1"/>
      <w:numFmt w:val="bullet"/>
      <w:lvlText w:val="o"/>
      <w:lvlJc w:val="left"/>
      <w:pPr>
        <w:ind w:left="3600" w:hanging="360"/>
      </w:pPr>
      <w:rPr>
        <w:rFonts w:ascii="Courier New" w:hAnsi="Courier New" w:cs="Courier New" w:hint="default"/>
      </w:rPr>
    </w:lvl>
    <w:lvl w:ilvl="5" w:tplc="EFE49AA2" w:tentative="1">
      <w:start w:val="1"/>
      <w:numFmt w:val="bullet"/>
      <w:lvlText w:val=""/>
      <w:lvlJc w:val="left"/>
      <w:pPr>
        <w:ind w:left="4320" w:hanging="360"/>
      </w:pPr>
      <w:rPr>
        <w:rFonts w:ascii="Wingdings" w:hAnsi="Wingdings" w:hint="default"/>
      </w:rPr>
    </w:lvl>
    <w:lvl w:ilvl="6" w:tplc="BF20CE38" w:tentative="1">
      <w:start w:val="1"/>
      <w:numFmt w:val="bullet"/>
      <w:lvlText w:val=""/>
      <w:lvlJc w:val="left"/>
      <w:pPr>
        <w:ind w:left="5040" w:hanging="360"/>
      </w:pPr>
      <w:rPr>
        <w:rFonts w:ascii="Symbol" w:hAnsi="Symbol" w:hint="default"/>
      </w:rPr>
    </w:lvl>
    <w:lvl w:ilvl="7" w:tplc="C2F83B5E" w:tentative="1">
      <w:start w:val="1"/>
      <w:numFmt w:val="bullet"/>
      <w:lvlText w:val="o"/>
      <w:lvlJc w:val="left"/>
      <w:pPr>
        <w:ind w:left="5760" w:hanging="360"/>
      </w:pPr>
      <w:rPr>
        <w:rFonts w:ascii="Courier New" w:hAnsi="Courier New" w:cs="Courier New" w:hint="default"/>
      </w:rPr>
    </w:lvl>
    <w:lvl w:ilvl="8" w:tplc="E0B63974" w:tentative="1">
      <w:start w:val="1"/>
      <w:numFmt w:val="bullet"/>
      <w:lvlText w:val=""/>
      <w:lvlJc w:val="left"/>
      <w:pPr>
        <w:ind w:left="6480" w:hanging="360"/>
      </w:pPr>
      <w:rPr>
        <w:rFonts w:ascii="Wingdings" w:hAnsi="Wingdings" w:hint="default"/>
      </w:rPr>
    </w:lvl>
  </w:abstractNum>
  <w:abstractNum w:abstractNumId="118" w15:restartNumberingAfterBreak="0">
    <w:nsid w:val="596C4FD2"/>
    <w:multiLevelType w:val="hybridMultilevel"/>
    <w:tmpl w:val="CCE28A78"/>
    <w:lvl w:ilvl="0" w:tplc="C50E3966">
      <w:start w:val="1"/>
      <w:numFmt w:val="decimal"/>
      <w:lvlText w:val="%1."/>
      <w:lvlJc w:val="left"/>
      <w:pPr>
        <w:ind w:left="1020" w:hanging="360"/>
      </w:pPr>
    </w:lvl>
    <w:lvl w:ilvl="1" w:tplc="4A52AC96">
      <w:start w:val="1"/>
      <w:numFmt w:val="decimal"/>
      <w:lvlText w:val="%2."/>
      <w:lvlJc w:val="left"/>
      <w:pPr>
        <w:ind w:left="1020" w:hanging="360"/>
      </w:pPr>
    </w:lvl>
    <w:lvl w:ilvl="2" w:tplc="7250C79A">
      <w:start w:val="1"/>
      <w:numFmt w:val="decimal"/>
      <w:lvlText w:val="%3."/>
      <w:lvlJc w:val="left"/>
      <w:pPr>
        <w:ind w:left="1020" w:hanging="360"/>
      </w:pPr>
    </w:lvl>
    <w:lvl w:ilvl="3" w:tplc="F502EB34">
      <w:start w:val="1"/>
      <w:numFmt w:val="decimal"/>
      <w:lvlText w:val="%4."/>
      <w:lvlJc w:val="left"/>
      <w:pPr>
        <w:ind w:left="1020" w:hanging="360"/>
      </w:pPr>
    </w:lvl>
    <w:lvl w:ilvl="4" w:tplc="AD9EF5CA">
      <w:start w:val="1"/>
      <w:numFmt w:val="decimal"/>
      <w:lvlText w:val="%5."/>
      <w:lvlJc w:val="left"/>
      <w:pPr>
        <w:ind w:left="1020" w:hanging="360"/>
      </w:pPr>
    </w:lvl>
    <w:lvl w:ilvl="5" w:tplc="F61065A2">
      <w:start w:val="1"/>
      <w:numFmt w:val="decimal"/>
      <w:lvlText w:val="%6."/>
      <w:lvlJc w:val="left"/>
      <w:pPr>
        <w:ind w:left="1020" w:hanging="360"/>
      </w:pPr>
    </w:lvl>
    <w:lvl w:ilvl="6" w:tplc="844CBF5E">
      <w:start w:val="1"/>
      <w:numFmt w:val="decimal"/>
      <w:lvlText w:val="%7."/>
      <w:lvlJc w:val="left"/>
      <w:pPr>
        <w:ind w:left="1020" w:hanging="360"/>
      </w:pPr>
    </w:lvl>
    <w:lvl w:ilvl="7" w:tplc="12A4597E">
      <w:start w:val="1"/>
      <w:numFmt w:val="decimal"/>
      <w:lvlText w:val="%8."/>
      <w:lvlJc w:val="left"/>
      <w:pPr>
        <w:ind w:left="1020" w:hanging="360"/>
      </w:pPr>
    </w:lvl>
    <w:lvl w:ilvl="8" w:tplc="9C68D9EC">
      <w:start w:val="1"/>
      <w:numFmt w:val="decimal"/>
      <w:lvlText w:val="%9."/>
      <w:lvlJc w:val="left"/>
      <w:pPr>
        <w:ind w:left="1020" w:hanging="360"/>
      </w:pPr>
    </w:lvl>
  </w:abstractNum>
  <w:abstractNum w:abstractNumId="119" w15:restartNumberingAfterBreak="0">
    <w:nsid w:val="59C2436D"/>
    <w:multiLevelType w:val="hybridMultilevel"/>
    <w:tmpl w:val="C6A2C59C"/>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120" w15:restartNumberingAfterBreak="0">
    <w:nsid w:val="5ACD401B"/>
    <w:multiLevelType w:val="multilevel"/>
    <w:tmpl w:val="D4BA747E"/>
    <w:numStyleLink w:val="TextBullets"/>
  </w:abstractNum>
  <w:abstractNum w:abstractNumId="121" w15:restartNumberingAfterBreak="0">
    <w:nsid w:val="5C4F166B"/>
    <w:multiLevelType w:val="hybridMultilevel"/>
    <w:tmpl w:val="89C035E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22" w15:restartNumberingAfterBreak="0">
    <w:nsid w:val="5D1E03F7"/>
    <w:multiLevelType w:val="hybridMultilevel"/>
    <w:tmpl w:val="ACD88FAC"/>
    <w:lvl w:ilvl="0" w:tplc="42F40560">
      <w:start w:val="1"/>
      <w:numFmt w:val="bullet"/>
      <w:lvlText w:val=""/>
      <w:lvlJc w:val="left"/>
      <w:pPr>
        <w:ind w:left="720" w:hanging="360"/>
      </w:pPr>
      <w:rPr>
        <w:rFonts w:ascii="Symbol" w:hAnsi="Symbol"/>
      </w:rPr>
    </w:lvl>
    <w:lvl w:ilvl="1" w:tplc="8E40B420">
      <w:start w:val="1"/>
      <w:numFmt w:val="bullet"/>
      <w:lvlText w:val=""/>
      <w:lvlJc w:val="left"/>
      <w:pPr>
        <w:ind w:left="720" w:hanging="360"/>
      </w:pPr>
      <w:rPr>
        <w:rFonts w:ascii="Symbol" w:hAnsi="Symbol"/>
      </w:rPr>
    </w:lvl>
    <w:lvl w:ilvl="2" w:tplc="C5945CE2">
      <w:start w:val="1"/>
      <w:numFmt w:val="bullet"/>
      <w:lvlText w:val=""/>
      <w:lvlJc w:val="left"/>
      <w:pPr>
        <w:ind w:left="720" w:hanging="360"/>
      </w:pPr>
      <w:rPr>
        <w:rFonts w:ascii="Symbol" w:hAnsi="Symbol"/>
      </w:rPr>
    </w:lvl>
    <w:lvl w:ilvl="3" w:tplc="B2F03C8A">
      <w:start w:val="1"/>
      <w:numFmt w:val="bullet"/>
      <w:lvlText w:val=""/>
      <w:lvlJc w:val="left"/>
      <w:pPr>
        <w:ind w:left="720" w:hanging="360"/>
      </w:pPr>
      <w:rPr>
        <w:rFonts w:ascii="Symbol" w:hAnsi="Symbol"/>
      </w:rPr>
    </w:lvl>
    <w:lvl w:ilvl="4" w:tplc="045C8C28">
      <w:start w:val="1"/>
      <w:numFmt w:val="bullet"/>
      <w:lvlText w:val=""/>
      <w:lvlJc w:val="left"/>
      <w:pPr>
        <w:ind w:left="720" w:hanging="360"/>
      </w:pPr>
      <w:rPr>
        <w:rFonts w:ascii="Symbol" w:hAnsi="Symbol"/>
      </w:rPr>
    </w:lvl>
    <w:lvl w:ilvl="5" w:tplc="43BCEB42">
      <w:start w:val="1"/>
      <w:numFmt w:val="bullet"/>
      <w:lvlText w:val=""/>
      <w:lvlJc w:val="left"/>
      <w:pPr>
        <w:ind w:left="720" w:hanging="360"/>
      </w:pPr>
      <w:rPr>
        <w:rFonts w:ascii="Symbol" w:hAnsi="Symbol"/>
      </w:rPr>
    </w:lvl>
    <w:lvl w:ilvl="6" w:tplc="FD12687E">
      <w:start w:val="1"/>
      <w:numFmt w:val="bullet"/>
      <w:lvlText w:val=""/>
      <w:lvlJc w:val="left"/>
      <w:pPr>
        <w:ind w:left="720" w:hanging="360"/>
      </w:pPr>
      <w:rPr>
        <w:rFonts w:ascii="Symbol" w:hAnsi="Symbol"/>
      </w:rPr>
    </w:lvl>
    <w:lvl w:ilvl="7" w:tplc="41FA6994">
      <w:start w:val="1"/>
      <w:numFmt w:val="bullet"/>
      <w:lvlText w:val=""/>
      <w:lvlJc w:val="left"/>
      <w:pPr>
        <w:ind w:left="720" w:hanging="360"/>
      </w:pPr>
      <w:rPr>
        <w:rFonts w:ascii="Symbol" w:hAnsi="Symbol"/>
      </w:rPr>
    </w:lvl>
    <w:lvl w:ilvl="8" w:tplc="EEB4EF70">
      <w:start w:val="1"/>
      <w:numFmt w:val="bullet"/>
      <w:lvlText w:val=""/>
      <w:lvlJc w:val="left"/>
      <w:pPr>
        <w:ind w:left="720" w:hanging="360"/>
      </w:pPr>
      <w:rPr>
        <w:rFonts w:ascii="Symbol" w:hAnsi="Symbol"/>
      </w:rPr>
    </w:lvl>
  </w:abstractNum>
  <w:abstractNum w:abstractNumId="123" w15:restartNumberingAfterBreak="0">
    <w:nsid w:val="5F5D40A6"/>
    <w:multiLevelType w:val="hybridMultilevel"/>
    <w:tmpl w:val="ACE681A0"/>
    <w:lvl w:ilvl="0" w:tplc="40BAAA88">
      <w:start w:val="1"/>
      <w:numFmt w:val="bullet"/>
      <w:pStyle w:val="Bullet1"/>
      <w:lvlText w:val=""/>
      <w:lvlJc w:val="left"/>
      <w:pPr>
        <w:ind w:left="786" w:hanging="360"/>
      </w:pPr>
      <w:rPr>
        <w:rFonts w:ascii="Symbol" w:hAnsi="Symbol" w:hint="default"/>
      </w:rPr>
    </w:lvl>
    <w:lvl w:ilvl="1" w:tplc="04160003">
      <w:start w:val="1"/>
      <w:numFmt w:val="bullet"/>
      <w:lvlText w:val="o"/>
      <w:lvlJc w:val="left"/>
      <w:pPr>
        <w:ind w:left="1506" w:hanging="360"/>
      </w:pPr>
      <w:rPr>
        <w:rFonts w:ascii="Courier New" w:hAnsi="Courier New" w:cs="Courier New" w:hint="default"/>
      </w:rPr>
    </w:lvl>
    <w:lvl w:ilvl="2" w:tplc="04160005">
      <w:start w:val="1"/>
      <w:numFmt w:val="bullet"/>
      <w:lvlText w:val=""/>
      <w:lvlJc w:val="left"/>
      <w:pPr>
        <w:ind w:left="2226" w:hanging="360"/>
      </w:pPr>
      <w:rPr>
        <w:rFonts w:ascii="Wingdings" w:hAnsi="Wingdings" w:hint="default"/>
      </w:rPr>
    </w:lvl>
    <w:lvl w:ilvl="3" w:tplc="04160001">
      <w:start w:val="1"/>
      <w:numFmt w:val="bullet"/>
      <w:pStyle w:val="Bullet3"/>
      <w:lvlText w:val=""/>
      <w:lvlJc w:val="left"/>
      <w:pPr>
        <w:ind w:left="2946" w:hanging="360"/>
      </w:pPr>
      <w:rPr>
        <w:rFonts w:ascii="Symbol" w:hAnsi="Symbol" w:hint="default"/>
      </w:rPr>
    </w:lvl>
    <w:lvl w:ilvl="4" w:tplc="04160003">
      <w:start w:val="1"/>
      <w:numFmt w:val="bullet"/>
      <w:pStyle w:val="Bullet4"/>
      <w:lvlText w:val="o"/>
      <w:lvlJc w:val="left"/>
      <w:pPr>
        <w:ind w:left="3666" w:hanging="360"/>
      </w:pPr>
      <w:rPr>
        <w:rFonts w:ascii="Courier New" w:hAnsi="Courier New" w:cs="Courier New" w:hint="default"/>
      </w:rPr>
    </w:lvl>
    <w:lvl w:ilvl="5" w:tplc="04160005" w:tentative="1">
      <w:start w:val="1"/>
      <w:numFmt w:val="bullet"/>
      <w:lvlText w:val=""/>
      <w:lvlJc w:val="left"/>
      <w:pPr>
        <w:ind w:left="4386" w:hanging="360"/>
      </w:pPr>
      <w:rPr>
        <w:rFonts w:ascii="Wingdings" w:hAnsi="Wingdings" w:hint="default"/>
      </w:rPr>
    </w:lvl>
    <w:lvl w:ilvl="6" w:tplc="04160001" w:tentative="1">
      <w:start w:val="1"/>
      <w:numFmt w:val="bullet"/>
      <w:lvlText w:val=""/>
      <w:lvlJc w:val="left"/>
      <w:pPr>
        <w:ind w:left="5106" w:hanging="360"/>
      </w:pPr>
      <w:rPr>
        <w:rFonts w:ascii="Symbol" w:hAnsi="Symbol" w:hint="default"/>
      </w:rPr>
    </w:lvl>
    <w:lvl w:ilvl="7" w:tplc="04160003" w:tentative="1">
      <w:start w:val="1"/>
      <w:numFmt w:val="bullet"/>
      <w:lvlText w:val="o"/>
      <w:lvlJc w:val="left"/>
      <w:pPr>
        <w:ind w:left="5826" w:hanging="360"/>
      </w:pPr>
      <w:rPr>
        <w:rFonts w:ascii="Courier New" w:hAnsi="Courier New" w:cs="Courier New" w:hint="default"/>
      </w:rPr>
    </w:lvl>
    <w:lvl w:ilvl="8" w:tplc="04160005" w:tentative="1">
      <w:start w:val="1"/>
      <w:numFmt w:val="bullet"/>
      <w:lvlText w:val=""/>
      <w:lvlJc w:val="left"/>
      <w:pPr>
        <w:ind w:left="6546" w:hanging="360"/>
      </w:pPr>
      <w:rPr>
        <w:rFonts w:ascii="Wingdings" w:hAnsi="Wingdings" w:hint="default"/>
      </w:rPr>
    </w:lvl>
  </w:abstractNum>
  <w:abstractNum w:abstractNumId="124" w15:restartNumberingAfterBreak="0">
    <w:nsid w:val="6017154A"/>
    <w:multiLevelType w:val="hybridMultilevel"/>
    <w:tmpl w:val="B8AE79B8"/>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125" w15:restartNumberingAfterBreak="0">
    <w:nsid w:val="60BE2911"/>
    <w:multiLevelType w:val="hybridMultilevel"/>
    <w:tmpl w:val="5D60A206"/>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126" w15:restartNumberingAfterBreak="0">
    <w:nsid w:val="61C47AD4"/>
    <w:multiLevelType w:val="hybridMultilevel"/>
    <w:tmpl w:val="BF6AF3C6"/>
    <w:lvl w:ilvl="0" w:tplc="76341FA6">
      <w:start w:val="1"/>
      <w:numFmt w:val="decimal"/>
      <w:lvlText w:val="%1."/>
      <w:lvlJc w:val="left"/>
      <w:pPr>
        <w:ind w:left="720" w:hanging="360"/>
      </w:pPr>
    </w:lvl>
    <w:lvl w:ilvl="1" w:tplc="9E9E80A0">
      <w:start w:val="1"/>
      <w:numFmt w:val="decimal"/>
      <w:lvlText w:val="%2."/>
      <w:lvlJc w:val="left"/>
      <w:pPr>
        <w:ind w:left="720" w:hanging="360"/>
      </w:pPr>
    </w:lvl>
    <w:lvl w:ilvl="2" w:tplc="1C08AD26">
      <w:start w:val="1"/>
      <w:numFmt w:val="decimal"/>
      <w:lvlText w:val="%3."/>
      <w:lvlJc w:val="left"/>
      <w:pPr>
        <w:ind w:left="720" w:hanging="360"/>
      </w:pPr>
    </w:lvl>
    <w:lvl w:ilvl="3" w:tplc="2F064714">
      <w:start w:val="1"/>
      <w:numFmt w:val="decimal"/>
      <w:lvlText w:val="%4."/>
      <w:lvlJc w:val="left"/>
      <w:pPr>
        <w:ind w:left="720" w:hanging="360"/>
      </w:pPr>
    </w:lvl>
    <w:lvl w:ilvl="4" w:tplc="17440BE8">
      <w:start w:val="1"/>
      <w:numFmt w:val="decimal"/>
      <w:lvlText w:val="%5."/>
      <w:lvlJc w:val="left"/>
      <w:pPr>
        <w:ind w:left="720" w:hanging="360"/>
      </w:pPr>
    </w:lvl>
    <w:lvl w:ilvl="5" w:tplc="409E6BFA">
      <w:start w:val="1"/>
      <w:numFmt w:val="decimal"/>
      <w:lvlText w:val="%6."/>
      <w:lvlJc w:val="left"/>
      <w:pPr>
        <w:ind w:left="720" w:hanging="360"/>
      </w:pPr>
    </w:lvl>
    <w:lvl w:ilvl="6" w:tplc="D742B08C">
      <w:start w:val="1"/>
      <w:numFmt w:val="decimal"/>
      <w:lvlText w:val="%7."/>
      <w:lvlJc w:val="left"/>
      <w:pPr>
        <w:ind w:left="720" w:hanging="360"/>
      </w:pPr>
    </w:lvl>
    <w:lvl w:ilvl="7" w:tplc="8F3C73CE">
      <w:start w:val="1"/>
      <w:numFmt w:val="decimal"/>
      <w:lvlText w:val="%8."/>
      <w:lvlJc w:val="left"/>
      <w:pPr>
        <w:ind w:left="720" w:hanging="360"/>
      </w:pPr>
    </w:lvl>
    <w:lvl w:ilvl="8" w:tplc="FF227790">
      <w:start w:val="1"/>
      <w:numFmt w:val="decimal"/>
      <w:lvlText w:val="%9."/>
      <w:lvlJc w:val="left"/>
      <w:pPr>
        <w:ind w:left="720" w:hanging="360"/>
      </w:pPr>
    </w:lvl>
  </w:abstractNum>
  <w:abstractNum w:abstractNumId="127" w15:restartNumberingAfterBreak="0">
    <w:nsid w:val="62390078"/>
    <w:multiLevelType w:val="hybridMultilevel"/>
    <w:tmpl w:val="3ACAB198"/>
    <w:lvl w:ilvl="0" w:tplc="B5EE012A">
      <w:start w:val="1"/>
      <w:numFmt w:val="bullet"/>
      <w:lvlText w:val=""/>
      <w:lvlJc w:val="left"/>
      <w:pPr>
        <w:ind w:left="720" w:hanging="360"/>
      </w:pPr>
      <w:rPr>
        <w:rFonts w:ascii="Symbol" w:hAnsi="Symbol" w:hint="default"/>
      </w:rPr>
    </w:lvl>
    <w:lvl w:ilvl="1" w:tplc="EDF69680" w:tentative="1">
      <w:start w:val="1"/>
      <w:numFmt w:val="bullet"/>
      <w:lvlText w:val="o"/>
      <w:lvlJc w:val="left"/>
      <w:pPr>
        <w:ind w:left="1440" w:hanging="360"/>
      </w:pPr>
      <w:rPr>
        <w:rFonts w:ascii="Courier New" w:hAnsi="Courier New" w:cs="Courier New" w:hint="default"/>
      </w:rPr>
    </w:lvl>
    <w:lvl w:ilvl="2" w:tplc="159E9210" w:tentative="1">
      <w:start w:val="1"/>
      <w:numFmt w:val="bullet"/>
      <w:lvlText w:val=""/>
      <w:lvlJc w:val="left"/>
      <w:pPr>
        <w:ind w:left="2160" w:hanging="360"/>
      </w:pPr>
      <w:rPr>
        <w:rFonts w:ascii="Wingdings" w:hAnsi="Wingdings" w:hint="default"/>
      </w:rPr>
    </w:lvl>
    <w:lvl w:ilvl="3" w:tplc="0A48C11A" w:tentative="1">
      <w:start w:val="1"/>
      <w:numFmt w:val="bullet"/>
      <w:lvlText w:val=""/>
      <w:lvlJc w:val="left"/>
      <w:pPr>
        <w:ind w:left="2880" w:hanging="360"/>
      </w:pPr>
      <w:rPr>
        <w:rFonts w:ascii="Symbol" w:hAnsi="Symbol" w:hint="default"/>
      </w:rPr>
    </w:lvl>
    <w:lvl w:ilvl="4" w:tplc="B0006518" w:tentative="1">
      <w:start w:val="1"/>
      <w:numFmt w:val="bullet"/>
      <w:lvlText w:val="o"/>
      <w:lvlJc w:val="left"/>
      <w:pPr>
        <w:ind w:left="3600" w:hanging="360"/>
      </w:pPr>
      <w:rPr>
        <w:rFonts w:ascii="Courier New" w:hAnsi="Courier New" w:cs="Courier New" w:hint="default"/>
      </w:rPr>
    </w:lvl>
    <w:lvl w:ilvl="5" w:tplc="CACC7EAA" w:tentative="1">
      <w:start w:val="1"/>
      <w:numFmt w:val="bullet"/>
      <w:lvlText w:val=""/>
      <w:lvlJc w:val="left"/>
      <w:pPr>
        <w:ind w:left="4320" w:hanging="360"/>
      </w:pPr>
      <w:rPr>
        <w:rFonts w:ascii="Wingdings" w:hAnsi="Wingdings" w:hint="default"/>
      </w:rPr>
    </w:lvl>
    <w:lvl w:ilvl="6" w:tplc="DC5898E0" w:tentative="1">
      <w:start w:val="1"/>
      <w:numFmt w:val="bullet"/>
      <w:lvlText w:val=""/>
      <w:lvlJc w:val="left"/>
      <w:pPr>
        <w:ind w:left="5040" w:hanging="360"/>
      </w:pPr>
      <w:rPr>
        <w:rFonts w:ascii="Symbol" w:hAnsi="Symbol" w:hint="default"/>
      </w:rPr>
    </w:lvl>
    <w:lvl w:ilvl="7" w:tplc="58BA7036" w:tentative="1">
      <w:start w:val="1"/>
      <w:numFmt w:val="bullet"/>
      <w:lvlText w:val="o"/>
      <w:lvlJc w:val="left"/>
      <w:pPr>
        <w:ind w:left="5760" w:hanging="360"/>
      </w:pPr>
      <w:rPr>
        <w:rFonts w:ascii="Courier New" w:hAnsi="Courier New" w:cs="Courier New" w:hint="default"/>
      </w:rPr>
    </w:lvl>
    <w:lvl w:ilvl="8" w:tplc="5412AB44" w:tentative="1">
      <w:start w:val="1"/>
      <w:numFmt w:val="bullet"/>
      <w:lvlText w:val=""/>
      <w:lvlJc w:val="left"/>
      <w:pPr>
        <w:ind w:left="6480" w:hanging="360"/>
      </w:pPr>
      <w:rPr>
        <w:rFonts w:ascii="Wingdings" w:hAnsi="Wingdings" w:hint="default"/>
      </w:rPr>
    </w:lvl>
  </w:abstractNum>
  <w:abstractNum w:abstractNumId="128" w15:restartNumberingAfterBreak="0">
    <w:nsid w:val="62692B7B"/>
    <w:multiLevelType w:val="multilevel"/>
    <w:tmpl w:val="96666592"/>
    <w:lvl w:ilvl="0">
      <w:start w:val="1"/>
      <w:numFmt w:val="decimal"/>
      <w:lvlText w:val="%1"/>
      <w:lvlJc w:val="left"/>
      <w:pPr>
        <w:ind w:left="660" w:hanging="660"/>
      </w:pPr>
      <w:rPr>
        <w:rFonts w:ascii="Arial" w:eastAsiaTheme="minorHAnsi" w:hAnsi="Arial" w:hint="default"/>
        <w:b/>
        <w:color w:val="00B0F0" w:themeColor="hyperlink"/>
        <w:sz w:val="21"/>
        <w:u w:val="single"/>
      </w:rPr>
    </w:lvl>
    <w:lvl w:ilvl="1">
      <w:start w:val="1"/>
      <w:numFmt w:val="decimal"/>
      <w:lvlText w:val="%1.%2"/>
      <w:lvlJc w:val="left"/>
      <w:pPr>
        <w:ind w:left="1089" w:hanging="660"/>
      </w:pPr>
      <w:rPr>
        <w:rFonts w:ascii="Arial" w:eastAsiaTheme="minorHAnsi" w:hAnsi="Arial" w:hint="default"/>
        <w:b/>
        <w:color w:val="00B0F0" w:themeColor="hyperlink"/>
        <w:sz w:val="21"/>
        <w:u w:val="single"/>
      </w:rPr>
    </w:lvl>
    <w:lvl w:ilvl="2">
      <w:start w:val="1"/>
      <w:numFmt w:val="decimal"/>
      <w:lvlText w:val="%1.%2.%3"/>
      <w:lvlJc w:val="left"/>
      <w:pPr>
        <w:ind w:left="1578" w:hanging="720"/>
      </w:pPr>
      <w:rPr>
        <w:rFonts w:ascii="Arial" w:eastAsiaTheme="minorHAnsi" w:hAnsi="Arial" w:hint="default"/>
        <w:b/>
        <w:color w:val="00B0F0" w:themeColor="hyperlink"/>
        <w:sz w:val="21"/>
        <w:u w:val="single"/>
      </w:rPr>
    </w:lvl>
    <w:lvl w:ilvl="3">
      <w:start w:val="1"/>
      <w:numFmt w:val="decimal"/>
      <w:lvlText w:val="%1.%2.%3.%4"/>
      <w:lvlJc w:val="left"/>
      <w:pPr>
        <w:ind w:left="2007" w:hanging="720"/>
      </w:pPr>
      <w:rPr>
        <w:rFonts w:ascii="Arial" w:eastAsiaTheme="minorHAnsi" w:hAnsi="Arial" w:hint="default"/>
        <w:b/>
        <w:color w:val="00B0F0" w:themeColor="hyperlink"/>
        <w:sz w:val="21"/>
        <w:u w:val="single"/>
      </w:rPr>
    </w:lvl>
    <w:lvl w:ilvl="4">
      <w:start w:val="1"/>
      <w:numFmt w:val="decimal"/>
      <w:lvlText w:val="%1.%2.%3.%4.%5"/>
      <w:lvlJc w:val="left"/>
      <w:pPr>
        <w:ind w:left="2796" w:hanging="1080"/>
      </w:pPr>
      <w:rPr>
        <w:rFonts w:ascii="Arial" w:eastAsiaTheme="minorHAnsi" w:hAnsi="Arial" w:hint="default"/>
        <w:b/>
        <w:color w:val="00B0F0" w:themeColor="hyperlink"/>
        <w:sz w:val="21"/>
        <w:u w:val="single"/>
      </w:rPr>
    </w:lvl>
    <w:lvl w:ilvl="5">
      <w:start w:val="1"/>
      <w:numFmt w:val="decimal"/>
      <w:lvlText w:val="%1.%2.%3.%4.%5.%6"/>
      <w:lvlJc w:val="left"/>
      <w:pPr>
        <w:ind w:left="3225" w:hanging="1080"/>
      </w:pPr>
      <w:rPr>
        <w:rFonts w:ascii="Arial" w:eastAsiaTheme="minorHAnsi" w:hAnsi="Arial" w:hint="default"/>
        <w:b/>
        <w:color w:val="00B0F0" w:themeColor="hyperlink"/>
        <w:sz w:val="21"/>
        <w:u w:val="single"/>
      </w:rPr>
    </w:lvl>
    <w:lvl w:ilvl="6">
      <w:start w:val="1"/>
      <w:numFmt w:val="decimal"/>
      <w:lvlText w:val="%1.%2.%3.%4.%5.%6.%7"/>
      <w:lvlJc w:val="left"/>
      <w:pPr>
        <w:ind w:left="4014" w:hanging="1440"/>
      </w:pPr>
      <w:rPr>
        <w:rFonts w:ascii="Arial" w:eastAsiaTheme="minorHAnsi" w:hAnsi="Arial" w:hint="default"/>
        <w:b/>
        <w:color w:val="00B0F0" w:themeColor="hyperlink"/>
        <w:sz w:val="21"/>
        <w:u w:val="single"/>
      </w:rPr>
    </w:lvl>
    <w:lvl w:ilvl="7">
      <w:start w:val="1"/>
      <w:numFmt w:val="decimal"/>
      <w:lvlText w:val="%1.%2.%3.%4.%5.%6.%7.%8"/>
      <w:lvlJc w:val="left"/>
      <w:pPr>
        <w:ind w:left="4443" w:hanging="1440"/>
      </w:pPr>
      <w:rPr>
        <w:rFonts w:ascii="Arial" w:eastAsiaTheme="minorHAnsi" w:hAnsi="Arial" w:hint="default"/>
        <w:b/>
        <w:color w:val="00B0F0" w:themeColor="hyperlink"/>
        <w:sz w:val="21"/>
        <w:u w:val="single"/>
      </w:rPr>
    </w:lvl>
    <w:lvl w:ilvl="8">
      <w:start w:val="1"/>
      <w:numFmt w:val="decimal"/>
      <w:lvlText w:val="%1.%2.%3.%4.%5.%6.%7.%8.%9"/>
      <w:lvlJc w:val="left"/>
      <w:pPr>
        <w:ind w:left="5232" w:hanging="1800"/>
      </w:pPr>
      <w:rPr>
        <w:rFonts w:ascii="Arial" w:eastAsiaTheme="minorHAnsi" w:hAnsi="Arial" w:hint="default"/>
        <w:b/>
        <w:color w:val="00B0F0" w:themeColor="hyperlink"/>
        <w:sz w:val="21"/>
        <w:u w:val="single"/>
      </w:rPr>
    </w:lvl>
  </w:abstractNum>
  <w:abstractNum w:abstractNumId="129" w15:restartNumberingAfterBreak="0">
    <w:nsid w:val="62E64A78"/>
    <w:multiLevelType w:val="hybridMultilevel"/>
    <w:tmpl w:val="55BA47B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0" w15:restartNumberingAfterBreak="0">
    <w:nsid w:val="62EE20C0"/>
    <w:multiLevelType w:val="hybridMultilevel"/>
    <w:tmpl w:val="1F681FBA"/>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31" w15:restartNumberingAfterBreak="0">
    <w:nsid w:val="638A61E9"/>
    <w:multiLevelType w:val="hybridMultilevel"/>
    <w:tmpl w:val="E28479D0"/>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132" w15:restartNumberingAfterBreak="0">
    <w:nsid w:val="675C7B89"/>
    <w:multiLevelType w:val="hybridMultilevel"/>
    <w:tmpl w:val="8028EC02"/>
    <w:lvl w:ilvl="0" w:tplc="1409000F">
      <w:start w:val="1"/>
      <w:numFmt w:val="decimal"/>
      <w:lvlText w:val="%1."/>
      <w:lvlJc w:val="left"/>
      <w:pPr>
        <w:ind w:left="360" w:hanging="360"/>
      </w:pPr>
      <w:rPr>
        <w:rFonts w:hint="default"/>
      </w:rPr>
    </w:lvl>
    <w:lvl w:ilvl="1" w:tplc="14090019" w:tentative="1">
      <w:start w:val="1"/>
      <w:numFmt w:val="lowerLetter"/>
      <w:lvlText w:val="%2."/>
      <w:lvlJc w:val="left"/>
      <w:pPr>
        <w:ind w:left="1080" w:hanging="360"/>
      </w:pPr>
    </w:lvl>
    <w:lvl w:ilvl="2" w:tplc="1409001B" w:tentative="1">
      <w:start w:val="1"/>
      <w:numFmt w:val="lowerRoman"/>
      <w:lvlText w:val="%3."/>
      <w:lvlJc w:val="right"/>
      <w:pPr>
        <w:ind w:left="1800" w:hanging="180"/>
      </w:pPr>
    </w:lvl>
    <w:lvl w:ilvl="3" w:tplc="1409000F" w:tentative="1">
      <w:start w:val="1"/>
      <w:numFmt w:val="decimal"/>
      <w:lvlText w:val="%4."/>
      <w:lvlJc w:val="left"/>
      <w:pPr>
        <w:ind w:left="2520" w:hanging="360"/>
      </w:pPr>
    </w:lvl>
    <w:lvl w:ilvl="4" w:tplc="14090019" w:tentative="1">
      <w:start w:val="1"/>
      <w:numFmt w:val="lowerLetter"/>
      <w:lvlText w:val="%5."/>
      <w:lvlJc w:val="left"/>
      <w:pPr>
        <w:ind w:left="3240" w:hanging="360"/>
      </w:pPr>
    </w:lvl>
    <w:lvl w:ilvl="5" w:tplc="1409001B" w:tentative="1">
      <w:start w:val="1"/>
      <w:numFmt w:val="lowerRoman"/>
      <w:lvlText w:val="%6."/>
      <w:lvlJc w:val="right"/>
      <w:pPr>
        <w:ind w:left="3960" w:hanging="180"/>
      </w:pPr>
    </w:lvl>
    <w:lvl w:ilvl="6" w:tplc="1409000F" w:tentative="1">
      <w:start w:val="1"/>
      <w:numFmt w:val="decimal"/>
      <w:lvlText w:val="%7."/>
      <w:lvlJc w:val="left"/>
      <w:pPr>
        <w:ind w:left="4680" w:hanging="360"/>
      </w:pPr>
    </w:lvl>
    <w:lvl w:ilvl="7" w:tplc="14090019" w:tentative="1">
      <w:start w:val="1"/>
      <w:numFmt w:val="lowerLetter"/>
      <w:lvlText w:val="%8."/>
      <w:lvlJc w:val="left"/>
      <w:pPr>
        <w:ind w:left="5400" w:hanging="360"/>
      </w:pPr>
    </w:lvl>
    <w:lvl w:ilvl="8" w:tplc="1409001B" w:tentative="1">
      <w:start w:val="1"/>
      <w:numFmt w:val="lowerRoman"/>
      <w:lvlText w:val="%9."/>
      <w:lvlJc w:val="right"/>
      <w:pPr>
        <w:ind w:left="6120" w:hanging="180"/>
      </w:pPr>
    </w:lvl>
  </w:abstractNum>
  <w:abstractNum w:abstractNumId="133" w15:restartNumberingAfterBreak="0">
    <w:nsid w:val="68240173"/>
    <w:multiLevelType w:val="multilevel"/>
    <w:tmpl w:val="A2869250"/>
    <w:numStyleLink w:val="TableBullets"/>
  </w:abstractNum>
  <w:abstractNum w:abstractNumId="134" w15:restartNumberingAfterBreak="0">
    <w:nsid w:val="68F957BB"/>
    <w:multiLevelType w:val="hybridMultilevel"/>
    <w:tmpl w:val="D262A68E"/>
    <w:lvl w:ilvl="0" w:tplc="2B3AC162">
      <w:start w:val="1"/>
      <w:numFmt w:val="decimal"/>
      <w:lvlText w:val="%1."/>
      <w:lvlJc w:val="left"/>
      <w:pPr>
        <w:ind w:left="1020" w:hanging="360"/>
      </w:pPr>
    </w:lvl>
    <w:lvl w:ilvl="1" w:tplc="55DEAC2E">
      <w:start w:val="1"/>
      <w:numFmt w:val="decimal"/>
      <w:lvlText w:val="%2."/>
      <w:lvlJc w:val="left"/>
      <w:pPr>
        <w:ind w:left="1020" w:hanging="360"/>
      </w:pPr>
    </w:lvl>
    <w:lvl w:ilvl="2" w:tplc="FD182FE4">
      <w:start w:val="1"/>
      <w:numFmt w:val="decimal"/>
      <w:lvlText w:val="%3."/>
      <w:lvlJc w:val="left"/>
      <w:pPr>
        <w:ind w:left="1020" w:hanging="360"/>
      </w:pPr>
    </w:lvl>
    <w:lvl w:ilvl="3" w:tplc="A82E5BA8">
      <w:start w:val="1"/>
      <w:numFmt w:val="decimal"/>
      <w:lvlText w:val="%4."/>
      <w:lvlJc w:val="left"/>
      <w:pPr>
        <w:ind w:left="1020" w:hanging="360"/>
      </w:pPr>
    </w:lvl>
    <w:lvl w:ilvl="4" w:tplc="B57029CC">
      <w:start w:val="1"/>
      <w:numFmt w:val="decimal"/>
      <w:lvlText w:val="%5."/>
      <w:lvlJc w:val="left"/>
      <w:pPr>
        <w:ind w:left="1020" w:hanging="360"/>
      </w:pPr>
    </w:lvl>
    <w:lvl w:ilvl="5" w:tplc="D5C0AD0C">
      <w:start w:val="1"/>
      <w:numFmt w:val="decimal"/>
      <w:lvlText w:val="%6."/>
      <w:lvlJc w:val="left"/>
      <w:pPr>
        <w:ind w:left="1020" w:hanging="360"/>
      </w:pPr>
    </w:lvl>
    <w:lvl w:ilvl="6" w:tplc="315023DA">
      <w:start w:val="1"/>
      <w:numFmt w:val="decimal"/>
      <w:lvlText w:val="%7."/>
      <w:lvlJc w:val="left"/>
      <w:pPr>
        <w:ind w:left="1020" w:hanging="360"/>
      </w:pPr>
    </w:lvl>
    <w:lvl w:ilvl="7" w:tplc="D94E290C">
      <w:start w:val="1"/>
      <w:numFmt w:val="decimal"/>
      <w:lvlText w:val="%8."/>
      <w:lvlJc w:val="left"/>
      <w:pPr>
        <w:ind w:left="1020" w:hanging="360"/>
      </w:pPr>
    </w:lvl>
    <w:lvl w:ilvl="8" w:tplc="2BBE86B4">
      <w:start w:val="1"/>
      <w:numFmt w:val="decimal"/>
      <w:lvlText w:val="%9."/>
      <w:lvlJc w:val="left"/>
      <w:pPr>
        <w:ind w:left="1020" w:hanging="360"/>
      </w:pPr>
    </w:lvl>
  </w:abstractNum>
  <w:abstractNum w:abstractNumId="135" w15:restartNumberingAfterBreak="0">
    <w:nsid w:val="69FF2C68"/>
    <w:multiLevelType w:val="hybridMultilevel"/>
    <w:tmpl w:val="AC6676FA"/>
    <w:lvl w:ilvl="0" w:tplc="D0E20346">
      <w:start w:val="1"/>
      <w:numFmt w:val="decimal"/>
      <w:lvlText w:val="%1."/>
      <w:lvlJc w:val="left"/>
      <w:pPr>
        <w:ind w:left="1020" w:hanging="360"/>
      </w:pPr>
    </w:lvl>
    <w:lvl w:ilvl="1" w:tplc="E264CE00">
      <w:start w:val="1"/>
      <w:numFmt w:val="decimal"/>
      <w:lvlText w:val="%2."/>
      <w:lvlJc w:val="left"/>
      <w:pPr>
        <w:ind w:left="1020" w:hanging="360"/>
      </w:pPr>
    </w:lvl>
    <w:lvl w:ilvl="2" w:tplc="763AF626">
      <w:start w:val="1"/>
      <w:numFmt w:val="decimal"/>
      <w:lvlText w:val="%3."/>
      <w:lvlJc w:val="left"/>
      <w:pPr>
        <w:ind w:left="1020" w:hanging="360"/>
      </w:pPr>
    </w:lvl>
    <w:lvl w:ilvl="3" w:tplc="D31C5F92">
      <w:start w:val="1"/>
      <w:numFmt w:val="decimal"/>
      <w:lvlText w:val="%4."/>
      <w:lvlJc w:val="left"/>
      <w:pPr>
        <w:ind w:left="1020" w:hanging="360"/>
      </w:pPr>
    </w:lvl>
    <w:lvl w:ilvl="4" w:tplc="F3B28EE6">
      <w:start w:val="1"/>
      <w:numFmt w:val="decimal"/>
      <w:lvlText w:val="%5."/>
      <w:lvlJc w:val="left"/>
      <w:pPr>
        <w:ind w:left="1020" w:hanging="360"/>
      </w:pPr>
    </w:lvl>
    <w:lvl w:ilvl="5" w:tplc="AD66C94E">
      <w:start w:val="1"/>
      <w:numFmt w:val="decimal"/>
      <w:lvlText w:val="%6."/>
      <w:lvlJc w:val="left"/>
      <w:pPr>
        <w:ind w:left="1020" w:hanging="360"/>
      </w:pPr>
    </w:lvl>
    <w:lvl w:ilvl="6" w:tplc="5C466174">
      <w:start w:val="1"/>
      <w:numFmt w:val="decimal"/>
      <w:lvlText w:val="%7."/>
      <w:lvlJc w:val="left"/>
      <w:pPr>
        <w:ind w:left="1020" w:hanging="360"/>
      </w:pPr>
    </w:lvl>
    <w:lvl w:ilvl="7" w:tplc="280E1E42">
      <w:start w:val="1"/>
      <w:numFmt w:val="decimal"/>
      <w:lvlText w:val="%8."/>
      <w:lvlJc w:val="left"/>
      <w:pPr>
        <w:ind w:left="1020" w:hanging="360"/>
      </w:pPr>
    </w:lvl>
    <w:lvl w:ilvl="8" w:tplc="36D4DC60">
      <w:start w:val="1"/>
      <w:numFmt w:val="decimal"/>
      <w:lvlText w:val="%9."/>
      <w:lvlJc w:val="left"/>
      <w:pPr>
        <w:ind w:left="1020" w:hanging="360"/>
      </w:pPr>
    </w:lvl>
  </w:abstractNum>
  <w:abstractNum w:abstractNumId="136" w15:restartNumberingAfterBreak="0">
    <w:nsid w:val="6BB42955"/>
    <w:multiLevelType w:val="hybridMultilevel"/>
    <w:tmpl w:val="D02E119A"/>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137" w15:restartNumberingAfterBreak="0">
    <w:nsid w:val="6DCD2BE6"/>
    <w:multiLevelType w:val="hybridMultilevel"/>
    <w:tmpl w:val="7EBA2DD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38" w15:restartNumberingAfterBreak="0">
    <w:nsid w:val="6DFF184D"/>
    <w:multiLevelType w:val="hybridMultilevel"/>
    <w:tmpl w:val="D8DCF0A2"/>
    <w:lvl w:ilvl="0" w:tplc="28627D8C">
      <w:start w:val="1"/>
      <w:numFmt w:val="decimal"/>
      <w:lvlText w:val="%1."/>
      <w:lvlJc w:val="left"/>
      <w:pPr>
        <w:ind w:left="720" w:hanging="360"/>
      </w:pPr>
    </w:lvl>
    <w:lvl w:ilvl="1" w:tplc="D402D2A8">
      <w:start w:val="1"/>
      <w:numFmt w:val="decimal"/>
      <w:lvlText w:val="%2."/>
      <w:lvlJc w:val="left"/>
      <w:pPr>
        <w:ind w:left="720" w:hanging="360"/>
      </w:pPr>
    </w:lvl>
    <w:lvl w:ilvl="2" w:tplc="1786C8FC">
      <w:start w:val="1"/>
      <w:numFmt w:val="decimal"/>
      <w:lvlText w:val="%3."/>
      <w:lvlJc w:val="left"/>
      <w:pPr>
        <w:ind w:left="720" w:hanging="360"/>
      </w:pPr>
    </w:lvl>
    <w:lvl w:ilvl="3" w:tplc="1BC019F6">
      <w:start w:val="1"/>
      <w:numFmt w:val="decimal"/>
      <w:lvlText w:val="%4."/>
      <w:lvlJc w:val="left"/>
      <w:pPr>
        <w:ind w:left="720" w:hanging="360"/>
      </w:pPr>
    </w:lvl>
    <w:lvl w:ilvl="4" w:tplc="456CB264">
      <w:start w:val="1"/>
      <w:numFmt w:val="decimal"/>
      <w:lvlText w:val="%5."/>
      <w:lvlJc w:val="left"/>
      <w:pPr>
        <w:ind w:left="720" w:hanging="360"/>
      </w:pPr>
    </w:lvl>
    <w:lvl w:ilvl="5" w:tplc="57085A9A">
      <w:start w:val="1"/>
      <w:numFmt w:val="decimal"/>
      <w:lvlText w:val="%6."/>
      <w:lvlJc w:val="left"/>
      <w:pPr>
        <w:ind w:left="720" w:hanging="360"/>
      </w:pPr>
    </w:lvl>
    <w:lvl w:ilvl="6" w:tplc="5B94D530">
      <w:start w:val="1"/>
      <w:numFmt w:val="decimal"/>
      <w:lvlText w:val="%7."/>
      <w:lvlJc w:val="left"/>
      <w:pPr>
        <w:ind w:left="720" w:hanging="360"/>
      </w:pPr>
    </w:lvl>
    <w:lvl w:ilvl="7" w:tplc="2CAE555A">
      <w:start w:val="1"/>
      <w:numFmt w:val="decimal"/>
      <w:lvlText w:val="%8."/>
      <w:lvlJc w:val="left"/>
      <w:pPr>
        <w:ind w:left="720" w:hanging="360"/>
      </w:pPr>
    </w:lvl>
    <w:lvl w:ilvl="8" w:tplc="BF721AE0">
      <w:start w:val="1"/>
      <w:numFmt w:val="decimal"/>
      <w:lvlText w:val="%9."/>
      <w:lvlJc w:val="left"/>
      <w:pPr>
        <w:ind w:left="720" w:hanging="360"/>
      </w:pPr>
    </w:lvl>
  </w:abstractNum>
  <w:abstractNum w:abstractNumId="139" w15:restartNumberingAfterBreak="0">
    <w:nsid w:val="6EBD170F"/>
    <w:multiLevelType w:val="multilevel"/>
    <w:tmpl w:val="4C70EF18"/>
    <w:lvl w:ilvl="0">
      <w:start w:val="1"/>
      <w:numFmt w:val="none"/>
      <w:suff w:val="nothing"/>
      <w:lvlText w:val=""/>
      <w:lvlJc w:val="left"/>
      <w:pPr>
        <w:ind w:left="0" w:firstLine="0"/>
      </w:pPr>
      <w:rPr>
        <w:rFonts w:hint="default"/>
      </w:rPr>
    </w:lvl>
    <w:lvl w:ilvl="1">
      <w:start w:val="1"/>
      <w:numFmt w:val="bullet"/>
      <w:lvlText w:val=""/>
      <w:lvlJc w:val="left"/>
      <w:pPr>
        <w:ind w:left="216" w:hanging="216"/>
      </w:pPr>
      <w:rPr>
        <w:rFonts w:ascii="Symbol" w:hAnsi="Symbol" w:hint="default"/>
      </w:rPr>
    </w:lvl>
    <w:lvl w:ilvl="2">
      <w:start w:val="1"/>
      <w:numFmt w:val="bullet"/>
      <w:lvlText w:val="o"/>
      <w:lvlJc w:val="left"/>
      <w:pPr>
        <w:ind w:left="576" w:hanging="360"/>
      </w:pPr>
      <w:rPr>
        <w:rFonts w:ascii="Courier New" w:hAnsi="Courier New" w:cs="Courier New" w:hint="default"/>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140" w15:restartNumberingAfterBreak="0">
    <w:nsid w:val="6EC70E83"/>
    <w:multiLevelType w:val="hybridMultilevel"/>
    <w:tmpl w:val="F81AAC7E"/>
    <w:lvl w:ilvl="0" w:tplc="60C85D0C">
      <w:start w:val="1"/>
      <w:numFmt w:val="upperLetter"/>
      <w:pStyle w:val="Appendix"/>
      <w:lvlText w:val="Appendix %1:"/>
      <w:lvlJc w:val="left"/>
      <w:pPr>
        <w:ind w:left="36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41" w15:restartNumberingAfterBreak="0">
    <w:nsid w:val="6F0306AA"/>
    <w:multiLevelType w:val="hybridMultilevel"/>
    <w:tmpl w:val="B3484E36"/>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42" w15:restartNumberingAfterBreak="0">
    <w:nsid w:val="6FAB44A6"/>
    <w:multiLevelType w:val="multilevel"/>
    <w:tmpl w:val="5856526E"/>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3" w15:restartNumberingAfterBreak="0">
    <w:nsid w:val="701F1C6A"/>
    <w:multiLevelType w:val="hybridMultilevel"/>
    <w:tmpl w:val="0A12D9A0"/>
    <w:lvl w:ilvl="0" w:tplc="1409000F">
      <w:start w:val="1"/>
      <w:numFmt w:val="decimal"/>
      <w:lvlText w:val="%1."/>
      <w:lvlJc w:val="left"/>
      <w:pPr>
        <w:ind w:left="360" w:hanging="360"/>
      </w:pPr>
    </w:lvl>
    <w:lvl w:ilvl="1" w:tplc="567AD712">
      <w:numFmt w:val="bullet"/>
      <w:lvlText w:val="•"/>
      <w:lvlJc w:val="left"/>
      <w:pPr>
        <w:ind w:left="1440" w:hanging="720"/>
      </w:pPr>
      <w:rPr>
        <w:rFonts w:ascii="Arial" w:eastAsiaTheme="minorHAnsi" w:hAnsi="Arial" w:cs="Arial" w:hint="default"/>
      </w:rPr>
    </w:lvl>
    <w:lvl w:ilvl="2" w:tplc="1409001B" w:tentative="1">
      <w:start w:val="1"/>
      <w:numFmt w:val="lowerRoman"/>
      <w:lvlText w:val="%3."/>
      <w:lvlJc w:val="right"/>
      <w:pPr>
        <w:ind w:left="1800" w:hanging="180"/>
      </w:pPr>
    </w:lvl>
    <w:lvl w:ilvl="3" w:tplc="1409000F" w:tentative="1">
      <w:start w:val="1"/>
      <w:numFmt w:val="decimal"/>
      <w:lvlText w:val="%4."/>
      <w:lvlJc w:val="left"/>
      <w:pPr>
        <w:ind w:left="2520" w:hanging="360"/>
      </w:pPr>
    </w:lvl>
    <w:lvl w:ilvl="4" w:tplc="14090019" w:tentative="1">
      <w:start w:val="1"/>
      <w:numFmt w:val="lowerLetter"/>
      <w:lvlText w:val="%5."/>
      <w:lvlJc w:val="left"/>
      <w:pPr>
        <w:ind w:left="3240" w:hanging="360"/>
      </w:pPr>
    </w:lvl>
    <w:lvl w:ilvl="5" w:tplc="1409001B" w:tentative="1">
      <w:start w:val="1"/>
      <w:numFmt w:val="lowerRoman"/>
      <w:lvlText w:val="%6."/>
      <w:lvlJc w:val="right"/>
      <w:pPr>
        <w:ind w:left="3960" w:hanging="180"/>
      </w:pPr>
    </w:lvl>
    <w:lvl w:ilvl="6" w:tplc="1409000F" w:tentative="1">
      <w:start w:val="1"/>
      <w:numFmt w:val="decimal"/>
      <w:lvlText w:val="%7."/>
      <w:lvlJc w:val="left"/>
      <w:pPr>
        <w:ind w:left="4680" w:hanging="360"/>
      </w:pPr>
    </w:lvl>
    <w:lvl w:ilvl="7" w:tplc="14090019" w:tentative="1">
      <w:start w:val="1"/>
      <w:numFmt w:val="lowerLetter"/>
      <w:lvlText w:val="%8."/>
      <w:lvlJc w:val="left"/>
      <w:pPr>
        <w:ind w:left="5400" w:hanging="360"/>
      </w:pPr>
    </w:lvl>
    <w:lvl w:ilvl="8" w:tplc="1409001B" w:tentative="1">
      <w:start w:val="1"/>
      <w:numFmt w:val="lowerRoman"/>
      <w:lvlText w:val="%9."/>
      <w:lvlJc w:val="right"/>
      <w:pPr>
        <w:ind w:left="6120" w:hanging="180"/>
      </w:pPr>
    </w:lvl>
  </w:abstractNum>
  <w:abstractNum w:abstractNumId="144" w15:restartNumberingAfterBreak="0">
    <w:nsid w:val="71F47611"/>
    <w:multiLevelType w:val="multilevel"/>
    <w:tmpl w:val="D4BA747E"/>
    <w:styleLink w:val="TextBullets"/>
    <w:lvl w:ilvl="0">
      <w:start w:val="1"/>
      <w:numFmt w:val="none"/>
      <w:lvlText w:val=""/>
      <w:lvlJc w:val="left"/>
      <w:pPr>
        <w:ind w:left="0" w:firstLine="0"/>
      </w:pPr>
      <w:rPr>
        <w:rFonts w:hint="default"/>
      </w:rPr>
    </w:lvl>
    <w:lvl w:ilvl="1">
      <w:start w:val="1"/>
      <w:numFmt w:val="bullet"/>
      <w:lvlText w:val=""/>
      <w:lvlJc w:val="left"/>
      <w:pPr>
        <w:ind w:left="216" w:hanging="216"/>
      </w:pPr>
      <w:rPr>
        <w:rFonts w:ascii="Symbol" w:hAnsi="Symbol" w:hint="default"/>
      </w:rPr>
    </w:lvl>
    <w:lvl w:ilvl="2">
      <w:start w:val="1"/>
      <w:numFmt w:val="bullet"/>
      <w:lvlText w:val="−"/>
      <w:lvlJc w:val="left"/>
      <w:pPr>
        <w:ind w:left="432" w:hanging="216"/>
      </w:pPr>
      <w:rPr>
        <w:rFonts w:ascii="Arial" w:hAnsi="Arial" w:hint="default"/>
      </w:rPr>
    </w:lvl>
    <w:lvl w:ilvl="3">
      <w:start w:val="1"/>
      <w:numFmt w:val="bullet"/>
      <w:lvlText w:val=""/>
      <w:lvlJc w:val="left"/>
      <w:pPr>
        <w:tabs>
          <w:tab w:val="num" w:pos="432"/>
        </w:tabs>
        <w:ind w:left="648" w:hanging="216"/>
      </w:pPr>
      <w:rPr>
        <w:rFonts w:ascii="Symbol" w:hAnsi="Symbol" w:hint="default"/>
      </w:rPr>
    </w:lvl>
    <w:lvl w:ilvl="4">
      <w:start w:val="1"/>
      <w:numFmt w:val="bullet"/>
      <w:lvlText w:val="−"/>
      <w:lvlJc w:val="left"/>
      <w:pPr>
        <w:ind w:left="864" w:hanging="216"/>
      </w:pPr>
      <w:rPr>
        <w:rFonts w:ascii="Arial" w:hAnsi="Arial" w:hint="default"/>
      </w:rPr>
    </w:lvl>
    <w:lvl w:ilvl="5">
      <w:start w:val="1"/>
      <w:numFmt w:val="none"/>
      <w:lvlText w:val=""/>
      <w:lvlJc w:val="left"/>
      <w:pPr>
        <w:ind w:left="1296" w:hanging="216"/>
      </w:pPr>
      <w:rPr>
        <w:rFonts w:hint="default"/>
      </w:rPr>
    </w:lvl>
    <w:lvl w:ilvl="6">
      <w:start w:val="1"/>
      <w:numFmt w:val="none"/>
      <w:lvlText w:val="%7"/>
      <w:lvlJc w:val="left"/>
      <w:pPr>
        <w:ind w:left="1512" w:hanging="216"/>
      </w:pPr>
      <w:rPr>
        <w:rFonts w:hint="default"/>
      </w:rPr>
    </w:lvl>
    <w:lvl w:ilvl="7">
      <w:start w:val="1"/>
      <w:numFmt w:val="none"/>
      <w:lvlText w:val="%8"/>
      <w:lvlJc w:val="left"/>
      <w:pPr>
        <w:ind w:left="1728" w:hanging="216"/>
      </w:pPr>
      <w:rPr>
        <w:rFonts w:hint="default"/>
      </w:rPr>
    </w:lvl>
    <w:lvl w:ilvl="8">
      <w:start w:val="1"/>
      <w:numFmt w:val="none"/>
      <w:lvlText w:val="%9"/>
      <w:lvlJc w:val="left"/>
      <w:pPr>
        <w:ind w:left="1944" w:hanging="216"/>
      </w:pPr>
      <w:rPr>
        <w:rFonts w:hint="default"/>
      </w:rPr>
    </w:lvl>
  </w:abstractNum>
  <w:abstractNum w:abstractNumId="145" w15:restartNumberingAfterBreak="0">
    <w:nsid w:val="721D114C"/>
    <w:multiLevelType w:val="hybridMultilevel"/>
    <w:tmpl w:val="FCD0698C"/>
    <w:lvl w:ilvl="0" w:tplc="ADF6683C">
      <w:start w:val="1"/>
      <w:numFmt w:val="decimalZero"/>
      <w:lvlText w:val="%1."/>
      <w:lvlJc w:val="left"/>
      <w:pPr>
        <w:ind w:left="1080" w:hanging="720"/>
      </w:pPr>
      <w:rPr>
        <w:rFonts w:hint="default"/>
      </w:rPr>
    </w:lvl>
    <w:lvl w:ilvl="1" w:tplc="28E07676" w:tentative="1">
      <w:start w:val="1"/>
      <w:numFmt w:val="lowerLetter"/>
      <w:lvlText w:val="%2."/>
      <w:lvlJc w:val="left"/>
      <w:pPr>
        <w:ind w:left="1440" w:hanging="360"/>
      </w:pPr>
    </w:lvl>
    <w:lvl w:ilvl="2" w:tplc="30BCE98E" w:tentative="1">
      <w:start w:val="1"/>
      <w:numFmt w:val="lowerRoman"/>
      <w:lvlText w:val="%3."/>
      <w:lvlJc w:val="right"/>
      <w:pPr>
        <w:ind w:left="2160" w:hanging="180"/>
      </w:pPr>
    </w:lvl>
    <w:lvl w:ilvl="3" w:tplc="B1325BF0" w:tentative="1">
      <w:start w:val="1"/>
      <w:numFmt w:val="decimal"/>
      <w:lvlText w:val="%4."/>
      <w:lvlJc w:val="left"/>
      <w:pPr>
        <w:ind w:left="2880" w:hanging="360"/>
      </w:pPr>
    </w:lvl>
    <w:lvl w:ilvl="4" w:tplc="5E429BE8" w:tentative="1">
      <w:start w:val="1"/>
      <w:numFmt w:val="lowerLetter"/>
      <w:lvlText w:val="%5."/>
      <w:lvlJc w:val="left"/>
      <w:pPr>
        <w:ind w:left="3600" w:hanging="360"/>
      </w:pPr>
    </w:lvl>
    <w:lvl w:ilvl="5" w:tplc="8654BF1C" w:tentative="1">
      <w:start w:val="1"/>
      <w:numFmt w:val="lowerRoman"/>
      <w:lvlText w:val="%6."/>
      <w:lvlJc w:val="right"/>
      <w:pPr>
        <w:ind w:left="4320" w:hanging="180"/>
      </w:pPr>
    </w:lvl>
    <w:lvl w:ilvl="6" w:tplc="27EA96C4" w:tentative="1">
      <w:start w:val="1"/>
      <w:numFmt w:val="decimal"/>
      <w:lvlText w:val="%7."/>
      <w:lvlJc w:val="left"/>
      <w:pPr>
        <w:ind w:left="5040" w:hanging="360"/>
      </w:pPr>
    </w:lvl>
    <w:lvl w:ilvl="7" w:tplc="77DC8DE8" w:tentative="1">
      <w:start w:val="1"/>
      <w:numFmt w:val="lowerLetter"/>
      <w:lvlText w:val="%8."/>
      <w:lvlJc w:val="left"/>
      <w:pPr>
        <w:ind w:left="5760" w:hanging="360"/>
      </w:pPr>
    </w:lvl>
    <w:lvl w:ilvl="8" w:tplc="63206170" w:tentative="1">
      <w:start w:val="1"/>
      <w:numFmt w:val="lowerRoman"/>
      <w:lvlText w:val="%9."/>
      <w:lvlJc w:val="right"/>
      <w:pPr>
        <w:ind w:left="6480" w:hanging="180"/>
      </w:pPr>
    </w:lvl>
  </w:abstractNum>
  <w:abstractNum w:abstractNumId="146" w15:restartNumberingAfterBreak="0">
    <w:nsid w:val="72240DE4"/>
    <w:multiLevelType w:val="hybridMultilevel"/>
    <w:tmpl w:val="875688B8"/>
    <w:lvl w:ilvl="0" w:tplc="1409000F">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47" w15:restartNumberingAfterBreak="0">
    <w:nsid w:val="734438CB"/>
    <w:multiLevelType w:val="hybridMultilevel"/>
    <w:tmpl w:val="EDBE2AE6"/>
    <w:lvl w:ilvl="0" w:tplc="1409000F">
      <w:start w:val="1"/>
      <w:numFmt w:val="decimal"/>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48" w15:restartNumberingAfterBreak="1">
    <w:nsid w:val="73DA54B5"/>
    <w:multiLevelType w:val="hybridMultilevel"/>
    <w:tmpl w:val="E35A8EB6"/>
    <w:lvl w:ilvl="0" w:tplc="F4422AB6">
      <w:start w:val="1"/>
      <w:numFmt w:val="bullet"/>
      <w:lvlText w:val=""/>
      <w:lvlJc w:val="left"/>
      <w:pPr>
        <w:ind w:left="1166" w:hanging="360"/>
      </w:pPr>
      <w:rPr>
        <w:rFonts w:ascii="Symbol" w:hAnsi="Symbol" w:hint="default"/>
        <w:caps w:val="0"/>
        <w:strike w:val="0"/>
        <w:dstrike w:val="0"/>
        <w:vanish w:val="0"/>
        <w:color w:val="auto"/>
        <w:vertAlign w:val="baseline"/>
      </w:rPr>
    </w:lvl>
    <w:lvl w:ilvl="1" w:tplc="04160019" w:tentative="1">
      <w:start w:val="1"/>
      <w:numFmt w:val="bullet"/>
      <w:lvlText w:val="o"/>
      <w:lvlJc w:val="left"/>
      <w:pPr>
        <w:ind w:left="1886" w:hanging="360"/>
      </w:pPr>
      <w:rPr>
        <w:rFonts w:ascii="Courier New" w:hAnsi="Courier New" w:cs="Courier New" w:hint="default"/>
      </w:rPr>
    </w:lvl>
    <w:lvl w:ilvl="2" w:tplc="0416001B" w:tentative="1">
      <w:start w:val="1"/>
      <w:numFmt w:val="bullet"/>
      <w:lvlText w:val=""/>
      <w:lvlJc w:val="left"/>
      <w:pPr>
        <w:ind w:left="2606" w:hanging="360"/>
      </w:pPr>
      <w:rPr>
        <w:rFonts w:ascii="Wingdings" w:hAnsi="Wingdings" w:hint="default"/>
      </w:rPr>
    </w:lvl>
    <w:lvl w:ilvl="3" w:tplc="0416000F" w:tentative="1">
      <w:start w:val="1"/>
      <w:numFmt w:val="bullet"/>
      <w:lvlText w:val=""/>
      <w:lvlJc w:val="left"/>
      <w:pPr>
        <w:ind w:left="3326" w:hanging="360"/>
      </w:pPr>
      <w:rPr>
        <w:rFonts w:ascii="Symbol" w:hAnsi="Symbol" w:hint="default"/>
      </w:rPr>
    </w:lvl>
    <w:lvl w:ilvl="4" w:tplc="04160019" w:tentative="1">
      <w:start w:val="1"/>
      <w:numFmt w:val="bullet"/>
      <w:lvlText w:val="o"/>
      <w:lvlJc w:val="left"/>
      <w:pPr>
        <w:ind w:left="4046" w:hanging="360"/>
      </w:pPr>
      <w:rPr>
        <w:rFonts w:ascii="Courier New" w:hAnsi="Courier New" w:cs="Courier New" w:hint="default"/>
      </w:rPr>
    </w:lvl>
    <w:lvl w:ilvl="5" w:tplc="0416001B" w:tentative="1">
      <w:start w:val="1"/>
      <w:numFmt w:val="bullet"/>
      <w:lvlText w:val=""/>
      <w:lvlJc w:val="left"/>
      <w:pPr>
        <w:ind w:left="4766" w:hanging="360"/>
      </w:pPr>
      <w:rPr>
        <w:rFonts w:ascii="Wingdings" w:hAnsi="Wingdings" w:hint="default"/>
      </w:rPr>
    </w:lvl>
    <w:lvl w:ilvl="6" w:tplc="0416000F" w:tentative="1">
      <w:start w:val="1"/>
      <w:numFmt w:val="bullet"/>
      <w:lvlText w:val=""/>
      <w:lvlJc w:val="left"/>
      <w:pPr>
        <w:ind w:left="5486" w:hanging="360"/>
      </w:pPr>
      <w:rPr>
        <w:rFonts w:ascii="Symbol" w:hAnsi="Symbol" w:hint="default"/>
      </w:rPr>
    </w:lvl>
    <w:lvl w:ilvl="7" w:tplc="04160019" w:tentative="1">
      <w:start w:val="1"/>
      <w:numFmt w:val="bullet"/>
      <w:lvlText w:val="o"/>
      <w:lvlJc w:val="left"/>
      <w:pPr>
        <w:ind w:left="6206" w:hanging="360"/>
      </w:pPr>
      <w:rPr>
        <w:rFonts w:ascii="Courier New" w:hAnsi="Courier New" w:cs="Courier New" w:hint="default"/>
      </w:rPr>
    </w:lvl>
    <w:lvl w:ilvl="8" w:tplc="0416001B" w:tentative="1">
      <w:start w:val="1"/>
      <w:numFmt w:val="bullet"/>
      <w:lvlText w:val=""/>
      <w:lvlJc w:val="left"/>
      <w:pPr>
        <w:ind w:left="6926" w:hanging="360"/>
      </w:pPr>
      <w:rPr>
        <w:rFonts w:ascii="Wingdings" w:hAnsi="Wingdings" w:hint="default"/>
      </w:rPr>
    </w:lvl>
  </w:abstractNum>
  <w:abstractNum w:abstractNumId="149" w15:restartNumberingAfterBreak="0">
    <w:nsid w:val="7408287D"/>
    <w:multiLevelType w:val="hybridMultilevel"/>
    <w:tmpl w:val="FBCAFB5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50" w15:restartNumberingAfterBreak="0">
    <w:nsid w:val="76085251"/>
    <w:multiLevelType w:val="hybridMultilevel"/>
    <w:tmpl w:val="56E8731A"/>
    <w:lvl w:ilvl="0" w:tplc="40E4F04E">
      <w:start w:val="1"/>
      <w:numFmt w:val="bullet"/>
      <w:lvlText w:val=""/>
      <w:lvlJc w:val="left"/>
      <w:pPr>
        <w:ind w:left="720" w:hanging="360"/>
      </w:pPr>
      <w:rPr>
        <w:rFonts w:ascii="Symbol" w:hAnsi="Symbol"/>
      </w:rPr>
    </w:lvl>
    <w:lvl w:ilvl="1" w:tplc="5FEA018A">
      <w:start w:val="1"/>
      <w:numFmt w:val="bullet"/>
      <w:lvlText w:val=""/>
      <w:lvlJc w:val="left"/>
      <w:pPr>
        <w:ind w:left="720" w:hanging="360"/>
      </w:pPr>
      <w:rPr>
        <w:rFonts w:ascii="Symbol" w:hAnsi="Symbol"/>
      </w:rPr>
    </w:lvl>
    <w:lvl w:ilvl="2" w:tplc="5E6819C2">
      <w:start w:val="1"/>
      <w:numFmt w:val="bullet"/>
      <w:lvlText w:val=""/>
      <w:lvlJc w:val="left"/>
      <w:pPr>
        <w:ind w:left="720" w:hanging="360"/>
      </w:pPr>
      <w:rPr>
        <w:rFonts w:ascii="Symbol" w:hAnsi="Symbol"/>
      </w:rPr>
    </w:lvl>
    <w:lvl w:ilvl="3" w:tplc="A852C124">
      <w:start w:val="1"/>
      <w:numFmt w:val="bullet"/>
      <w:lvlText w:val=""/>
      <w:lvlJc w:val="left"/>
      <w:pPr>
        <w:ind w:left="720" w:hanging="360"/>
      </w:pPr>
      <w:rPr>
        <w:rFonts w:ascii="Symbol" w:hAnsi="Symbol"/>
      </w:rPr>
    </w:lvl>
    <w:lvl w:ilvl="4" w:tplc="FE64C552">
      <w:start w:val="1"/>
      <w:numFmt w:val="bullet"/>
      <w:lvlText w:val=""/>
      <w:lvlJc w:val="left"/>
      <w:pPr>
        <w:ind w:left="720" w:hanging="360"/>
      </w:pPr>
      <w:rPr>
        <w:rFonts w:ascii="Symbol" w:hAnsi="Symbol"/>
      </w:rPr>
    </w:lvl>
    <w:lvl w:ilvl="5" w:tplc="6FE078DE">
      <w:start w:val="1"/>
      <w:numFmt w:val="bullet"/>
      <w:lvlText w:val=""/>
      <w:lvlJc w:val="left"/>
      <w:pPr>
        <w:ind w:left="720" w:hanging="360"/>
      </w:pPr>
      <w:rPr>
        <w:rFonts w:ascii="Symbol" w:hAnsi="Symbol"/>
      </w:rPr>
    </w:lvl>
    <w:lvl w:ilvl="6" w:tplc="796CA36C">
      <w:start w:val="1"/>
      <w:numFmt w:val="bullet"/>
      <w:lvlText w:val=""/>
      <w:lvlJc w:val="left"/>
      <w:pPr>
        <w:ind w:left="720" w:hanging="360"/>
      </w:pPr>
      <w:rPr>
        <w:rFonts w:ascii="Symbol" w:hAnsi="Symbol"/>
      </w:rPr>
    </w:lvl>
    <w:lvl w:ilvl="7" w:tplc="F77C0C7E">
      <w:start w:val="1"/>
      <w:numFmt w:val="bullet"/>
      <w:lvlText w:val=""/>
      <w:lvlJc w:val="left"/>
      <w:pPr>
        <w:ind w:left="720" w:hanging="360"/>
      </w:pPr>
      <w:rPr>
        <w:rFonts w:ascii="Symbol" w:hAnsi="Symbol"/>
      </w:rPr>
    </w:lvl>
    <w:lvl w:ilvl="8" w:tplc="92D0D176">
      <w:start w:val="1"/>
      <w:numFmt w:val="bullet"/>
      <w:lvlText w:val=""/>
      <w:lvlJc w:val="left"/>
      <w:pPr>
        <w:ind w:left="720" w:hanging="360"/>
      </w:pPr>
      <w:rPr>
        <w:rFonts w:ascii="Symbol" w:hAnsi="Symbol"/>
      </w:rPr>
    </w:lvl>
  </w:abstractNum>
  <w:abstractNum w:abstractNumId="151" w15:restartNumberingAfterBreak="0">
    <w:nsid w:val="76986750"/>
    <w:multiLevelType w:val="hybridMultilevel"/>
    <w:tmpl w:val="6D1AE2A6"/>
    <w:lvl w:ilvl="0" w:tplc="8A1E06AC">
      <w:start w:val="1"/>
      <w:numFmt w:val="decimal"/>
      <w:lvlText w:val="%1."/>
      <w:lvlJc w:val="left"/>
      <w:pPr>
        <w:ind w:left="720" w:hanging="360"/>
      </w:pPr>
    </w:lvl>
    <w:lvl w:ilvl="1" w:tplc="38E406FE">
      <w:start w:val="1"/>
      <w:numFmt w:val="decimal"/>
      <w:lvlText w:val="%2."/>
      <w:lvlJc w:val="left"/>
      <w:pPr>
        <w:ind w:left="720" w:hanging="360"/>
      </w:pPr>
    </w:lvl>
    <w:lvl w:ilvl="2" w:tplc="BC0CB66E">
      <w:start w:val="1"/>
      <w:numFmt w:val="decimal"/>
      <w:lvlText w:val="%3."/>
      <w:lvlJc w:val="left"/>
      <w:pPr>
        <w:ind w:left="720" w:hanging="360"/>
      </w:pPr>
    </w:lvl>
    <w:lvl w:ilvl="3" w:tplc="25D489DE">
      <w:start w:val="1"/>
      <w:numFmt w:val="decimal"/>
      <w:lvlText w:val="%4."/>
      <w:lvlJc w:val="left"/>
      <w:pPr>
        <w:ind w:left="720" w:hanging="360"/>
      </w:pPr>
    </w:lvl>
    <w:lvl w:ilvl="4" w:tplc="805811C4">
      <w:start w:val="1"/>
      <w:numFmt w:val="decimal"/>
      <w:lvlText w:val="%5."/>
      <w:lvlJc w:val="left"/>
      <w:pPr>
        <w:ind w:left="720" w:hanging="360"/>
      </w:pPr>
    </w:lvl>
    <w:lvl w:ilvl="5" w:tplc="F9F604AC">
      <w:start w:val="1"/>
      <w:numFmt w:val="decimal"/>
      <w:lvlText w:val="%6."/>
      <w:lvlJc w:val="left"/>
      <w:pPr>
        <w:ind w:left="720" w:hanging="360"/>
      </w:pPr>
    </w:lvl>
    <w:lvl w:ilvl="6" w:tplc="802C9248">
      <w:start w:val="1"/>
      <w:numFmt w:val="decimal"/>
      <w:lvlText w:val="%7."/>
      <w:lvlJc w:val="left"/>
      <w:pPr>
        <w:ind w:left="720" w:hanging="360"/>
      </w:pPr>
    </w:lvl>
    <w:lvl w:ilvl="7" w:tplc="4158463A">
      <w:start w:val="1"/>
      <w:numFmt w:val="decimal"/>
      <w:lvlText w:val="%8."/>
      <w:lvlJc w:val="left"/>
      <w:pPr>
        <w:ind w:left="720" w:hanging="360"/>
      </w:pPr>
    </w:lvl>
    <w:lvl w:ilvl="8" w:tplc="7A50B4D8">
      <w:start w:val="1"/>
      <w:numFmt w:val="decimal"/>
      <w:lvlText w:val="%9."/>
      <w:lvlJc w:val="left"/>
      <w:pPr>
        <w:ind w:left="720" w:hanging="360"/>
      </w:pPr>
    </w:lvl>
  </w:abstractNum>
  <w:abstractNum w:abstractNumId="152" w15:restartNumberingAfterBreak="0">
    <w:nsid w:val="7763543C"/>
    <w:multiLevelType w:val="hybridMultilevel"/>
    <w:tmpl w:val="B4B86FE2"/>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153" w15:restartNumberingAfterBreak="0">
    <w:nsid w:val="77AC49D0"/>
    <w:multiLevelType w:val="hybridMultilevel"/>
    <w:tmpl w:val="EB1A0998"/>
    <w:lvl w:ilvl="0" w:tplc="1409000F">
      <w:start w:val="1"/>
      <w:numFmt w:val="decimal"/>
      <w:lvlText w:val="%1."/>
      <w:lvlJc w:val="left"/>
      <w:pPr>
        <w:ind w:left="360" w:hanging="360"/>
      </w:pPr>
      <w:rPr>
        <w:rFonts w:hint="default"/>
      </w:rPr>
    </w:lvl>
    <w:lvl w:ilvl="1" w:tplc="14090019" w:tentative="1">
      <w:start w:val="1"/>
      <w:numFmt w:val="lowerLetter"/>
      <w:lvlText w:val="%2."/>
      <w:lvlJc w:val="left"/>
      <w:pPr>
        <w:ind w:left="1080" w:hanging="360"/>
      </w:pPr>
    </w:lvl>
    <w:lvl w:ilvl="2" w:tplc="1409001B" w:tentative="1">
      <w:start w:val="1"/>
      <w:numFmt w:val="lowerRoman"/>
      <w:lvlText w:val="%3."/>
      <w:lvlJc w:val="right"/>
      <w:pPr>
        <w:ind w:left="1800" w:hanging="180"/>
      </w:pPr>
    </w:lvl>
    <w:lvl w:ilvl="3" w:tplc="1409000F" w:tentative="1">
      <w:start w:val="1"/>
      <w:numFmt w:val="decimal"/>
      <w:lvlText w:val="%4."/>
      <w:lvlJc w:val="left"/>
      <w:pPr>
        <w:ind w:left="2520" w:hanging="360"/>
      </w:pPr>
    </w:lvl>
    <w:lvl w:ilvl="4" w:tplc="14090019" w:tentative="1">
      <w:start w:val="1"/>
      <w:numFmt w:val="lowerLetter"/>
      <w:lvlText w:val="%5."/>
      <w:lvlJc w:val="left"/>
      <w:pPr>
        <w:ind w:left="3240" w:hanging="360"/>
      </w:pPr>
    </w:lvl>
    <w:lvl w:ilvl="5" w:tplc="1409001B" w:tentative="1">
      <w:start w:val="1"/>
      <w:numFmt w:val="lowerRoman"/>
      <w:lvlText w:val="%6."/>
      <w:lvlJc w:val="right"/>
      <w:pPr>
        <w:ind w:left="3960" w:hanging="180"/>
      </w:pPr>
    </w:lvl>
    <w:lvl w:ilvl="6" w:tplc="1409000F" w:tentative="1">
      <w:start w:val="1"/>
      <w:numFmt w:val="decimal"/>
      <w:lvlText w:val="%7."/>
      <w:lvlJc w:val="left"/>
      <w:pPr>
        <w:ind w:left="4680" w:hanging="360"/>
      </w:pPr>
    </w:lvl>
    <w:lvl w:ilvl="7" w:tplc="14090019" w:tentative="1">
      <w:start w:val="1"/>
      <w:numFmt w:val="lowerLetter"/>
      <w:lvlText w:val="%8."/>
      <w:lvlJc w:val="left"/>
      <w:pPr>
        <w:ind w:left="5400" w:hanging="360"/>
      </w:pPr>
    </w:lvl>
    <w:lvl w:ilvl="8" w:tplc="1409001B" w:tentative="1">
      <w:start w:val="1"/>
      <w:numFmt w:val="lowerRoman"/>
      <w:lvlText w:val="%9."/>
      <w:lvlJc w:val="right"/>
      <w:pPr>
        <w:ind w:left="6120" w:hanging="180"/>
      </w:pPr>
    </w:lvl>
  </w:abstractNum>
  <w:abstractNum w:abstractNumId="154" w15:restartNumberingAfterBreak="0">
    <w:nsid w:val="77ED7F70"/>
    <w:multiLevelType w:val="multilevel"/>
    <w:tmpl w:val="F400524A"/>
    <w:lvl w:ilvl="0">
      <w:start w:val="1"/>
      <w:numFmt w:val="decimal"/>
      <w:pStyle w:val="Heading1"/>
      <w:lvlText w:val="%1."/>
      <w:lvlJc w:val="left"/>
      <w:pPr>
        <w:ind w:left="1224" w:hanging="1224"/>
      </w:pPr>
      <w:rPr>
        <w:rFonts w:hint="default"/>
      </w:rPr>
    </w:lvl>
    <w:lvl w:ilvl="1">
      <w:start w:val="1"/>
      <w:numFmt w:val="decimal"/>
      <w:lvlText w:val="%1.%2"/>
      <w:lvlJc w:val="left"/>
      <w:pPr>
        <w:ind w:left="1224" w:hanging="1224"/>
      </w:pPr>
      <w:rPr>
        <w:rFonts w:hint="default"/>
      </w:rPr>
    </w:lvl>
    <w:lvl w:ilvl="2">
      <w:start w:val="1"/>
      <w:numFmt w:val="decimal"/>
      <w:lvlText w:val="%1.%2.%3"/>
      <w:lvlJc w:val="left"/>
      <w:pPr>
        <w:ind w:left="1791" w:hanging="1224"/>
      </w:pPr>
      <w:rPr>
        <w:rFonts w:hint="default"/>
      </w:rPr>
    </w:lvl>
    <w:lvl w:ilvl="3">
      <w:start w:val="1"/>
      <w:numFmt w:val="decimal"/>
      <w:lvlText w:val="%1.%2.%3.%4"/>
      <w:lvlJc w:val="left"/>
      <w:pPr>
        <w:ind w:left="1224" w:hanging="1224"/>
      </w:pPr>
      <w:rPr>
        <w:rFonts w:hint="default"/>
      </w:rPr>
    </w:lvl>
    <w:lvl w:ilvl="4">
      <w:start w:val="1"/>
      <w:numFmt w:val="none"/>
      <w:lvlText w:val=""/>
      <w:lvlJc w:val="left"/>
      <w:pPr>
        <w:ind w:left="1224" w:hanging="1224"/>
      </w:pPr>
      <w:rPr>
        <w:rFonts w:hint="default"/>
      </w:rPr>
    </w:lvl>
    <w:lvl w:ilvl="5">
      <w:start w:val="1"/>
      <w:numFmt w:val="none"/>
      <w:lvlText w:val=""/>
      <w:lvlJc w:val="left"/>
      <w:pPr>
        <w:ind w:left="1224" w:hanging="1224"/>
      </w:pPr>
      <w:rPr>
        <w:rFonts w:hint="default"/>
      </w:rPr>
    </w:lvl>
    <w:lvl w:ilvl="6">
      <w:start w:val="1"/>
      <w:numFmt w:val="none"/>
      <w:lvlText w:val=""/>
      <w:lvlJc w:val="left"/>
      <w:pPr>
        <w:ind w:left="1224" w:hanging="1224"/>
      </w:pPr>
      <w:rPr>
        <w:rFonts w:hint="default"/>
      </w:rPr>
    </w:lvl>
    <w:lvl w:ilvl="7">
      <w:start w:val="1"/>
      <w:numFmt w:val="none"/>
      <w:lvlText w:val=""/>
      <w:lvlJc w:val="left"/>
      <w:pPr>
        <w:ind w:left="1224" w:hanging="1224"/>
      </w:pPr>
      <w:rPr>
        <w:rFonts w:hint="default"/>
      </w:rPr>
    </w:lvl>
    <w:lvl w:ilvl="8">
      <w:start w:val="1"/>
      <w:numFmt w:val="none"/>
      <w:lvlText w:val=""/>
      <w:lvlJc w:val="left"/>
      <w:pPr>
        <w:ind w:left="1224" w:hanging="1224"/>
      </w:pPr>
      <w:rPr>
        <w:rFonts w:hint="default"/>
      </w:rPr>
    </w:lvl>
  </w:abstractNum>
  <w:abstractNum w:abstractNumId="155" w15:restartNumberingAfterBreak="0">
    <w:nsid w:val="794362AC"/>
    <w:multiLevelType w:val="hybridMultilevel"/>
    <w:tmpl w:val="571C3DA0"/>
    <w:lvl w:ilvl="0" w:tplc="1409000F">
      <w:start w:val="1"/>
      <w:numFmt w:val="decimal"/>
      <w:lvlText w:val="%1."/>
      <w:lvlJc w:val="left"/>
      <w:pPr>
        <w:ind w:left="644" w:hanging="360"/>
      </w:pPr>
    </w:lvl>
    <w:lvl w:ilvl="1" w:tplc="14090019">
      <w:start w:val="1"/>
      <w:numFmt w:val="lowerLetter"/>
      <w:lvlText w:val="%2."/>
      <w:lvlJc w:val="left"/>
      <w:pPr>
        <w:ind w:left="1364" w:hanging="360"/>
      </w:pPr>
    </w:lvl>
    <w:lvl w:ilvl="2" w:tplc="1409001B" w:tentative="1">
      <w:start w:val="1"/>
      <w:numFmt w:val="lowerRoman"/>
      <w:lvlText w:val="%3."/>
      <w:lvlJc w:val="right"/>
      <w:pPr>
        <w:ind w:left="2084" w:hanging="180"/>
      </w:pPr>
    </w:lvl>
    <w:lvl w:ilvl="3" w:tplc="1409000F" w:tentative="1">
      <w:start w:val="1"/>
      <w:numFmt w:val="decimal"/>
      <w:lvlText w:val="%4."/>
      <w:lvlJc w:val="left"/>
      <w:pPr>
        <w:ind w:left="2804" w:hanging="360"/>
      </w:pPr>
    </w:lvl>
    <w:lvl w:ilvl="4" w:tplc="14090019" w:tentative="1">
      <w:start w:val="1"/>
      <w:numFmt w:val="lowerLetter"/>
      <w:lvlText w:val="%5."/>
      <w:lvlJc w:val="left"/>
      <w:pPr>
        <w:ind w:left="3524" w:hanging="360"/>
      </w:pPr>
    </w:lvl>
    <w:lvl w:ilvl="5" w:tplc="1409001B" w:tentative="1">
      <w:start w:val="1"/>
      <w:numFmt w:val="lowerRoman"/>
      <w:lvlText w:val="%6."/>
      <w:lvlJc w:val="right"/>
      <w:pPr>
        <w:ind w:left="4244" w:hanging="180"/>
      </w:pPr>
    </w:lvl>
    <w:lvl w:ilvl="6" w:tplc="1409000F" w:tentative="1">
      <w:start w:val="1"/>
      <w:numFmt w:val="decimal"/>
      <w:lvlText w:val="%7."/>
      <w:lvlJc w:val="left"/>
      <w:pPr>
        <w:ind w:left="4964" w:hanging="360"/>
      </w:pPr>
    </w:lvl>
    <w:lvl w:ilvl="7" w:tplc="14090019" w:tentative="1">
      <w:start w:val="1"/>
      <w:numFmt w:val="lowerLetter"/>
      <w:lvlText w:val="%8."/>
      <w:lvlJc w:val="left"/>
      <w:pPr>
        <w:ind w:left="5684" w:hanging="360"/>
      </w:pPr>
    </w:lvl>
    <w:lvl w:ilvl="8" w:tplc="1409001B" w:tentative="1">
      <w:start w:val="1"/>
      <w:numFmt w:val="lowerRoman"/>
      <w:lvlText w:val="%9."/>
      <w:lvlJc w:val="right"/>
      <w:pPr>
        <w:ind w:left="6404" w:hanging="180"/>
      </w:pPr>
    </w:lvl>
  </w:abstractNum>
  <w:abstractNum w:abstractNumId="156" w15:restartNumberingAfterBreak="0">
    <w:nsid w:val="7A031DF9"/>
    <w:multiLevelType w:val="multilevel"/>
    <w:tmpl w:val="BCA46B6E"/>
    <w:numStyleLink w:val="Outlines"/>
  </w:abstractNum>
  <w:abstractNum w:abstractNumId="157" w15:restartNumberingAfterBreak="0">
    <w:nsid w:val="7ABD0444"/>
    <w:multiLevelType w:val="hybridMultilevel"/>
    <w:tmpl w:val="82AECC20"/>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58" w15:restartNumberingAfterBreak="0">
    <w:nsid w:val="7AED36DD"/>
    <w:multiLevelType w:val="hybridMultilevel"/>
    <w:tmpl w:val="FC5E4D62"/>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159" w15:restartNumberingAfterBreak="0">
    <w:nsid w:val="7B023EFD"/>
    <w:multiLevelType w:val="hybridMultilevel"/>
    <w:tmpl w:val="4F26F56C"/>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60" w15:restartNumberingAfterBreak="0">
    <w:nsid w:val="7B425967"/>
    <w:multiLevelType w:val="hybridMultilevel"/>
    <w:tmpl w:val="2398EA40"/>
    <w:lvl w:ilvl="0" w:tplc="16644AD4">
      <w:start w:val="1"/>
      <w:numFmt w:val="decimal"/>
      <w:lvlText w:val="%1."/>
      <w:lvlJc w:val="left"/>
      <w:pPr>
        <w:ind w:left="1020" w:hanging="360"/>
      </w:pPr>
    </w:lvl>
    <w:lvl w:ilvl="1" w:tplc="06D8C554">
      <w:start w:val="1"/>
      <w:numFmt w:val="decimal"/>
      <w:lvlText w:val="%2."/>
      <w:lvlJc w:val="left"/>
      <w:pPr>
        <w:ind w:left="1020" w:hanging="360"/>
      </w:pPr>
    </w:lvl>
    <w:lvl w:ilvl="2" w:tplc="B4AA90C6">
      <w:start w:val="1"/>
      <w:numFmt w:val="decimal"/>
      <w:lvlText w:val="%3."/>
      <w:lvlJc w:val="left"/>
      <w:pPr>
        <w:ind w:left="1020" w:hanging="360"/>
      </w:pPr>
    </w:lvl>
    <w:lvl w:ilvl="3" w:tplc="62FA72DA">
      <w:start w:val="1"/>
      <w:numFmt w:val="decimal"/>
      <w:lvlText w:val="%4."/>
      <w:lvlJc w:val="left"/>
      <w:pPr>
        <w:ind w:left="1020" w:hanging="360"/>
      </w:pPr>
    </w:lvl>
    <w:lvl w:ilvl="4" w:tplc="8F7C359C">
      <w:start w:val="1"/>
      <w:numFmt w:val="decimal"/>
      <w:lvlText w:val="%5."/>
      <w:lvlJc w:val="left"/>
      <w:pPr>
        <w:ind w:left="1020" w:hanging="360"/>
      </w:pPr>
    </w:lvl>
    <w:lvl w:ilvl="5" w:tplc="162CF392">
      <w:start w:val="1"/>
      <w:numFmt w:val="decimal"/>
      <w:lvlText w:val="%6."/>
      <w:lvlJc w:val="left"/>
      <w:pPr>
        <w:ind w:left="1020" w:hanging="360"/>
      </w:pPr>
    </w:lvl>
    <w:lvl w:ilvl="6" w:tplc="C3C870DA">
      <w:start w:val="1"/>
      <w:numFmt w:val="decimal"/>
      <w:lvlText w:val="%7."/>
      <w:lvlJc w:val="left"/>
      <w:pPr>
        <w:ind w:left="1020" w:hanging="360"/>
      </w:pPr>
    </w:lvl>
    <w:lvl w:ilvl="7" w:tplc="D4C63E56">
      <w:start w:val="1"/>
      <w:numFmt w:val="decimal"/>
      <w:lvlText w:val="%8."/>
      <w:lvlJc w:val="left"/>
      <w:pPr>
        <w:ind w:left="1020" w:hanging="360"/>
      </w:pPr>
    </w:lvl>
    <w:lvl w:ilvl="8" w:tplc="DF008642">
      <w:start w:val="1"/>
      <w:numFmt w:val="decimal"/>
      <w:lvlText w:val="%9."/>
      <w:lvlJc w:val="left"/>
      <w:pPr>
        <w:ind w:left="1020" w:hanging="360"/>
      </w:pPr>
    </w:lvl>
  </w:abstractNum>
  <w:abstractNum w:abstractNumId="161" w15:restartNumberingAfterBreak="0">
    <w:nsid w:val="7CA522DA"/>
    <w:multiLevelType w:val="hybridMultilevel"/>
    <w:tmpl w:val="86F4A470"/>
    <w:lvl w:ilvl="0" w:tplc="CF3E343C">
      <w:start w:val="1"/>
      <w:numFmt w:val="bullet"/>
      <w:lvlText w:val=""/>
      <w:lvlJc w:val="left"/>
      <w:pPr>
        <w:ind w:left="720" w:hanging="360"/>
      </w:pPr>
      <w:rPr>
        <w:rFonts w:ascii="Symbol" w:hAnsi="Symbol"/>
      </w:rPr>
    </w:lvl>
    <w:lvl w:ilvl="1" w:tplc="4EFA22AC">
      <w:start w:val="1"/>
      <w:numFmt w:val="bullet"/>
      <w:lvlText w:val=""/>
      <w:lvlJc w:val="left"/>
      <w:pPr>
        <w:ind w:left="720" w:hanging="360"/>
      </w:pPr>
      <w:rPr>
        <w:rFonts w:ascii="Symbol" w:hAnsi="Symbol"/>
      </w:rPr>
    </w:lvl>
    <w:lvl w:ilvl="2" w:tplc="AD64723C">
      <w:start w:val="1"/>
      <w:numFmt w:val="bullet"/>
      <w:lvlText w:val=""/>
      <w:lvlJc w:val="left"/>
      <w:pPr>
        <w:ind w:left="720" w:hanging="360"/>
      </w:pPr>
      <w:rPr>
        <w:rFonts w:ascii="Symbol" w:hAnsi="Symbol"/>
      </w:rPr>
    </w:lvl>
    <w:lvl w:ilvl="3" w:tplc="EBDAA8C4">
      <w:start w:val="1"/>
      <w:numFmt w:val="bullet"/>
      <w:lvlText w:val=""/>
      <w:lvlJc w:val="left"/>
      <w:pPr>
        <w:ind w:left="720" w:hanging="360"/>
      </w:pPr>
      <w:rPr>
        <w:rFonts w:ascii="Symbol" w:hAnsi="Symbol"/>
      </w:rPr>
    </w:lvl>
    <w:lvl w:ilvl="4" w:tplc="FF9C87D6">
      <w:start w:val="1"/>
      <w:numFmt w:val="bullet"/>
      <w:lvlText w:val=""/>
      <w:lvlJc w:val="left"/>
      <w:pPr>
        <w:ind w:left="720" w:hanging="360"/>
      </w:pPr>
      <w:rPr>
        <w:rFonts w:ascii="Symbol" w:hAnsi="Symbol"/>
      </w:rPr>
    </w:lvl>
    <w:lvl w:ilvl="5" w:tplc="ABA6AFCC">
      <w:start w:val="1"/>
      <w:numFmt w:val="bullet"/>
      <w:lvlText w:val=""/>
      <w:lvlJc w:val="left"/>
      <w:pPr>
        <w:ind w:left="720" w:hanging="360"/>
      </w:pPr>
      <w:rPr>
        <w:rFonts w:ascii="Symbol" w:hAnsi="Symbol"/>
      </w:rPr>
    </w:lvl>
    <w:lvl w:ilvl="6" w:tplc="CC0A322C">
      <w:start w:val="1"/>
      <w:numFmt w:val="bullet"/>
      <w:lvlText w:val=""/>
      <w:lvlJc w:val="left"/>
      <w:pPr>
        <w:ind w:left="720" w:hanging="360"/>
      </w:pPr>
      <w:rPr>
        <w:rFonts w:ascii="Symbol" w:hAnsi="Symbol"/>
      </w:rPr>
    </w:lvl>
    <w:lvl w:ilvl="7" w:tplc="1466F624">
      <w:start w:val="1"/>
      <w:numFmt w:val="bullet"/>
      <w:lvlText w:val=""/>
      <w:lvlJc w:val="left"/>
      <w:pPr>
        <w:ind w:left="720" w:hanging="360"/>
      </w:pPr>
      <w:rPr>
        <w:rFonts w:ascii="Symbol" w:hAnsi="Symbol"/>
      </w:rPr>
    </w:lvl>
    <w:lvl w:ilvl="8" w:tplc="8F72B282">
      <w:start w:val="1"/>
      <w:numFmt w:val="bullet"/>
      <w:lvlText w:val=""/>
      <w:lvlJc w:val="left"/>
      <w:pPr>
        <w:ind w:left="720" w:hanging="360"/>
      </w:pPr>
      <w:rPr>
        <w:rFonts w:ascii="Symbol" w:hAnsi="Symbol"/>
      </w:rPr>
    </w:lvl>
  </w:abstractNum>
  <w:abstractNum w:abstractNumId="162" w15:restartNumberingAfterBreak="0">
    <w:nsid w:val="7D1847EA"/>
    <w:multiLevelType w:val="hybridMultilevel"/>
    <w:tmpl w:val="6480F868"/>
    <w:lvl w:ilvl="0" w:tplc="3DAC7364">
      <w:start w:val="1"/>
      <w:numFmt w:val="decimal"/>
      <w:lvlText w:val="%1."/>
      <w:lvlJc w:val="left"/>
      <w:pPr>
        <w:ind w:left="720" w:hanging="360"/>
      </w:pPr>
    </w:lvl>
    <w:lvl w:ilvl="1" w:tplc="32DEC228">
      <w:start w:val="1"/>
      <w:numFmt w:val="decimal"/>
      <w:lvlText w:val="%2."/>
      <w:lvlJc w:val="left"/>
      <w:pPr>
        <w:ind w:left="720" w:hanging="360"/>
      </w:pPr>
    </w:lvl>
    <w:lvl w:ilvl="2" w:tplc="13088650">
      <w:start w:val="1"/>
      <w:numFmt w:val="decimal"/>
      <w:lvlText w:val="%3."/>
      <w:lvlJc w:val="left"/>
      <w:pPr>
        <w:ind w:left="720" w:hanging="360"/>
      </w:pPr>
    </w:lvl>
    <w:lvl w:ilvl="3" w:tplc="41165D5A">
      <w:start w:val="1"/>
      <w:numFmt w:val="decimal"/>
      <w:lvlText w:val="%4."/>
      <w:lvlJc w:val="left"/>
      <w:pPr>
        <w:ind w:left="720" w:hanging="360"/>
      </w:pPr>
    </w:lvl>
    <w:lvl w:ilvl="4" w:tplc="BA7489E0">
      <w:start w:val="1"/>
      <w:numFmt w:val="decimal"/>
      <w:lvlText w:val="%5."/>
      <w:lvlJc w:val="left"/>
      <w:pPr>
        <w:ind w:left="720" w:hanging="360"/>
      </w:pPr>
    </w:lvl>
    <w:lvl w:ilvl="5" w:tplc="E12CDB8C">
      <w:start w:val="1"/>
      <w:numFmt w:val="decimal"/>
      <w:lvlText w:val="%6."/>
      <w:lvlJc w:val="left"/>
      <w:pPr>
        <w:ind w:left="720" w:hanging="360"/>
      </w:pPr>
    </w:lvl>
    <w:lvl w:ilvl="6" w:tplc="1926297A">
      <w:start w:val="1"/>
      <w:numFmt w:val="decimal"/>
      <w:lvlText w:val="%7."/>
      <w:lvlJc w:val="left"/>
      <w:pPr>
        <w:ind w:left="720" w:hanging="360"/>
      </w:pPr>
    </w:lvl>
    <w:lvl w:ilvl="7" w:tplc="BB7CF9B4">
      <w:start w:val="1"/>
      <w:numFmt w:val="decimal"/>
      <w:lvlText w:val="%8."/>
      <w:lvlJc w:val="left"/>
      <w:pPr>
        <w:ind w:left="720" w:hanging="360"/>
      </w:pPr>
    </w:lvl>
    <w:lvl w:ilvl="8" w:tplc="0F0A74FE">
      <w:start w:val="1"/>
      <w:numFmt w:val="decimal"/>
      <w:lvlText w:val="%9."/>
      <w:lvlJc w:val="left"/>
      <w:pPr>
        <w:ind w:left="720" w:hanging="360"/>
      </w:pPr>
    </w:lvl>
  </w:abstractNum>
  <w:num w:numId="1" w16cid:durableId="1760105166">
    <w:abstractNumId w:val="144"/>
  </w:num>
  <w:num w:numId="2" w16cid:durableId="1310938512">
    <w:abstractNumId w:val="47"/>
  </w:num>
  <w:num w:numId="3" w16cid:durableId="24527691">
    <w:abstractNumId w:val="33"/>
  </w:num>
  <w:num w:numId="4" w16cid:durableId="219828575">
    <w:abstractNumId w:val="16"/>
  </w:num>
  <w:num w:numId="5" w16cid:durableId="1894076916">
    <w:abstractNumId w:val="156"/>
  </w:num>
  <w:num w:numId="6" w16cid:durableId="1161963429">
    <w:abstractNumId w:val="9"/>
  </w:num>
  <w:num w:numId="7" w16cid:durableId="748384840">
    <w:abstractNumId w:val="7"/>
  </w:num>
  <w:num w:numId="8" w16cid:durableId="1632516430">
    <w:abstractNumId w:val="6"/>
  </w:num>
  <w:num w:numId="9" w16cid:durableId="74085266">
    <w:abstractNumId w:val="5"/>
  </w:num>
  <w:num w:numId="10" w16cid:durableId="1919553764">
    <w:abstractNumId w:val="4"/>
  </w:num>
  <w:num w:numId="11" w16cid:durableId="1484272036">
    <w:abstractNumId w:val="8"/>
  </w:num>
  <w:num w:numId="12" w16cid:durableId="1849755212">
    <w:abstractNumId w:val="3"/>
  </w:num>
  <w:num w:numId="13" w16cid:durableId="1550189382">
    <w:abstractNumId w:val="2"/>
  </w:num>
  <w:num w:numId="14" w16cid:durableId="1850486204">
    <w:abstractNumId w:val="1"/>
  </w:num>
  <w:num w:numId="15" w16cid:durableId="276719085">
    <w:abstractNumId w:val="0"/>
  </w:num>
  <w:num w:numId="16" w16cid:durableId="654381348">
    <w:abstractNumId w:val="123"/>
  </w:num>
  <w:num w:numId="17" w16cid:durableId="1359771056">
    <w:abstractNumId w:val="21"/>
  </w:num>
  <w:num w:numId="18" w16cid:durableId="571156921">
    <w:abstractNumId w:val="140"/>
  </w:num>
  <w:num w:numId="19" w16cid:durableId="1940676660">
    <w:abstractNumId w:val="52"/>
  </w:num>
  <w:num w:numId="20" w16cid:durableId="207912124">
    <w:abstractNumId w:val="111"/>
    <w:lvlOverride w:ilvl="0">
      <w:lvl w:ilvl="0">
        <w:start w:val="1"/>
        <w:numFmt w:val="decimal"/>
        <w:lvlText w:val="%1.0"/>
        <w:lvlJc w:val="left"/>
        <w:pPr>
          <w:ind w:left="1224" w:hanging="1224"/>
        </w:pPr>
        <w:rPr>
          <w:rFonts w:hint="default"/>
        </w:rPr>
      </w:lvl>
    </w:lvlOverride>
    <w:lvlOverride w:ilvl="1">
      <w:lvl w:ilvl="1">
        <w:start w:val="1"/>
        <w:numFmt w:val="decimal"/>
        <w:lvlText w:val="%1.%2"/>
        <w:lvlJc w:val="left"/>
        <w:pPr>
          <w:ind w:left="1224" w:hanging="1224"/>
        </w:pPr>
        <w:rPr>
          <w:rFonts w:hint="default"/>
        </w:rPr>
      </w:lvl>
    </w:lvlOverride>
    <w:lvlOverride w:ilvl="2">
      <w:lvl w:ilvl="2">
        <w:start w:val="1"/>
        <w:numFmt w:val="decimal"/>
        <w:pStyle w:val="Heading3"/>
        <w:lvlText w:val="%1.%2.%3"/>
        <w:lvlJc w:val="left"/>
        <w:pPr>
          <w:ind w:left="1791" w:hanging="1224"/>
        </w:pPr>
        <w:rPr>
          <w:rFonts w:hint="default"/>
        </w:rPr>
      </w:lvl>
    </w:lvlOverride>
    <w:lvlOverride w:ilvl="3">
      <w:lvl w:ilvl="3">
        <w:start w:val="1"/>
        <w:numFmt w:val="decimal"/>
        <w:pStyle w:val="Heading4"/>
        <w:lvlText w:val="%1.%2.%3.%4"/>
        <w:lvlJc w:val="left"/>
        <w:pPr>
          <w:ind w:left="1224" w:hanging="1224"/>
        </w:pPr>
        <w:rPr>
          <w:rFonts w:hint="default"/>
        </w:rPr>
      </w:lvl>
    </w:lvlOverride>
    <w:lvlOverride w:ilvl="4">
      <w:lvl w:ilvl="4">
        <w:start w:val="1"/>
        <w:numFmt w:val="none"/>
        <w:lvlText w:val=""/>
        <w:lvlJc w:val="left"/>
        <w:pPr>
          <w:ind w:left="1224" w:hanging="1224"/>
        </w:pPr>
        <w:rPr>
          <w:rFonts w:hint="default"/>
        </w:rPr>
      </w:lvl>
    </w:lvlOverride>
    <w:lvlOverride w:ilvl="5">
      <w:lvl w:ilvl="5">
        <w:start w:val="1"/>
        <w:numFmt w:val="none"/>
        <w:lvlText w:val=""/>
        <w:lvlJc w:val="left"/>
        <w:pPr>
          <w:ind w:left="1224" w:hanging="1224"/>
        </w:pPr>
        <w:rPr>
          <w:rFonts w:hint="default"/>
        </w:rPr>
      </w:lvl>
    </w:lvlOverride>
    <w:lvlOverride w:ilvl="6">
      <w:lvl w:ilvl="6">
        <w:start w:val="1"/>
        <w:numFmt w:val="none"/>
        <w:lvlText w:val=""/>
        <w:lvlJc w:val="left"/>
        <w:pPr>
          <w:ind w:left="1224" w:hanging="1224"/>
        </w:pPr>
        <w:rPr>
          <w:rFonts w:hint="default"/>
        </w:rPr>
      </w:lvl>
    </w:lvlOverride>
    <w:lvlOverride w:ilvl="7">
      <w:lvl w:ilvl="7">
        <w:start w:val="1"/>
        <w:numFmt w:val="none"/>
        <w:lvlText w:val=""/>
        <w:lvlJc w:val="left"/>
        <w:pPr>
          <w:ind w:left="1224" w:hanging="1224"/>
        </w:pPr>
        <w:rPr>
          <w:rFonts w:hint="default"/>
        </w:rPr>
      </w:lvl>
    </w:lvlOverride>
    <w:lvlOverride w:ilvl="8">
      <w:lvl w:ilvl="8">
        <w:start w:val="1"/>
        <w:numFmt w:val="none"/>
        <w:lvlText w:val=""/>
        <w:lvlJc w:val="left"/>
        <w:pPr>
          <w:ind w:left="1224" w:hanging="1224"/>
        </w:pPr>
        <w:rPr>
          <w:rFonts w:hint="default"/>
        </w:rPr>
      </w:lvl>
    </w:lvlOverride>
  </w:num>
  <w:num w:numId="21" w16cid:durableId="826362633">
    <w:abstractNumId w:val="154"/>
  </w:num>
  <w:num w:numId="22" w16cid:durableId="651175564">
    <w:abstractNumId w:val="72"/>
  </w:num>
  <w:num w:numId="23" w16cid:durableId="655112714">
    <w:abstractNumId w:val="65"/>
  </w:num>
  <w:num w:numId="24" w16cid:durableId="2064328355">
    <w:abstractNumId w:val="17"/>
  </w:num>
  <w:num w:numId="25" w16cid:durableId="97988400">
    <w:abstractNumId w:val="60"/>
  </w:num>
  <w:num w:numId="26" w16cid:durableId="1579287218">
    <w:abstractNumId w:val="139"/>
  </w:num>
  <w:num w:numId="27" w16cid:durableId="817040400">
    <w:abstractNumId w:val="45"/>
  </w:num>
  <w:num w:numId="28" w16cid:durableId="1980842355">
    <w:abstractNumId w:val="102"/>
  </w:num>
  <w:num w:numId="29" w16cid:durableId="278684515">
    <w:abstractNumId w:val="58"/>
  </w:num>
  <w:num w:numId="30" w16cid:durableId="1118372129">
    <w:abstractNumId w:val="143"/>
  </w:num>
  <w:num w:numId="31" w16cid:durableId="1126895701">
    <w:abstractNumId w:val="132"/>
  </w:num>
  <w:num w:numId="32" w16cid:durableId="1557666220">
    <w:abstractNumId w:val="53"/>
  </w:num>
  <w:num w:numId="33" w16cid:durableId="1166894751">
    <w:abstractNumId w:val="51"/>
  </w:num>
  <w:num w:numId="34" w16cid:durableId="1053044579">
    <w:abstractNumId w:val="55"/>
  </w:num>
  <w:num w:numId="35" w16cid:durableId="66418844">
    <w:abstractNumId w:val="82"/>
  </w:num>
  <w:num w:numId="36" w16cid:durableId="1642424814">
    <w:abstractNumId w:val="40"/>
  </w:num>
  <w:num w:numId="37" w16cid:durableId="1319843550">
    <w:abstractNumId w:val="34"/>
  </w:num>
  <w:num w:numId="38" w16cid:durableId="73480834">
    <w:abstractNumId w:val="79"/>
  </w:num>
  <w:num w:numId="39" w16cid:durableId="1493525242">
    <w:abstractNumId w:val="104"/>
  </w:num>
  <w:num w:numId="40" w16cid:durableId="1765685842">
    <w:abstractNumId w:val="44"/>
  </w:num>
  <w:num w:numId="41" w16cid:durableId="629820933">
    <w:abstractNumId w:val="101"/>
  </w:num>
  <w:num w:numId="42" w16cid:durableId="1831560219">
    <w:abstractNumId w:val="154"/>
  </w:num>
  <w:num w:numId="43" w16cid:durableId="1212041567">
    <w:abstractNumId w:val="36"/>
  </w:num>
  <w:num w:numId="44" w16cid:durableId="1754282946">
    <w:abstractNumId w:val="73"/>
  </w:num>
  <w:num w:numId="45" w16cid:durableId="416249209">
    <w:abstractNumId w:val="25"/>
  </w:num>
  <w:num w:numId="46" w16cid:durableId="1705592181">
    <w:abstractNumId w:val="161"/>
  </w:num>
  <w:num w:numId="47" w16cid:durableId="1962490995">
    <w:abstractNumId w:val="98"/>
  </w:num>
  <w:num w:numId="48" w16cid:durableId="963193251">
    <w:abstractNumId w:val="90"/>
  </w:num>
  <w:num w:numId="49" w16cid:durableId="1314217745">
    <w:abstractNumId w:val="69"/>
  </w:num>
  <w:num w:numId="50" w16cid:durableId="218442643">
    <w:abstractNumId w:val="111"/>
    <w:lvlOverride w:ilvl="0">
      <w:startOverride w:val="1"/>
      <w:lvl w:ilvl="0">
        <w:start w:val="1"/>
        <w:numFmt w:val="decimal"/>
        <w:lvlText w:val="%1.0"/>
        <w:lvlJc w:val="left"/>
        <w:pPr>
          <w:ind w:left="1224" w:hanging="1224"/>
        </w:pPr>
        <w:rPr>
          <w:rFonts w:hint="default"/>
        </w:rPr>
      </w:lvl>
    </w:lvlOverride>
    <w:lvlOverride w:ilvl="1">
      <w:startOverride w:val="1"/>
      <w:lvl w:ilvl="1">
        <w:start w:val="1"/>
        <w:numFmt w:val="decimal"/>
        <w:lvlText w:val="%1.%2"/>
        <w:lvlJc w:val="left"/>
        <w:pPr>
          <w:ind w:left="1224" w:hanging="1224"/>
        </w:pPr>
        <w:rPr>
          <w:rFonts w:hint="default"/>
        </w:rPr>
      </w:lvl>
    </w:lvlOverride>
    <w:lvlOverride w:ilvl="2">
      <w:startOverride w:val="1"/>
      <w:lvl w:ilvl="2">
        <w:start w:val="1"/>
        <w:numFmt w:val="decimal"/>
        <w:pStyle w:val="Heading3"/>
        <w:lvlText w:val="%1.%2.%3"/>
        <w:lvlJc w:val="left"/>
        <w:pPr>
          <w:ind w:left="1791" w:hanging="1224"/>
        </w:pPr>
        <w:rPr>
          <w:rFonts w:hint="default"/>
        </w:rPr>
      </w:lvl>
    </w:lvlOverride>
    <w:lvlOverride w:ilvl="3">
      <w:startOverride w:val="1"/>
      <w:lvl w:ilvl="3">
        <w:start w:val="1"/>
        <w:numFmt w:val="decimal"/>
        <w:pStyle w:val="Heading4"/>
        <w:lvlText w:val="%1.%2.%3.%4"/>
        <w:lvlJc w:val="left"/>
        <w:pPr>
          <w:ind w:left="1224" w:hanging="1224"/>
        </w:pPr>
        <w:rPr>
          <w:rFonts w:hint="default"/>
        </w:rPr>
      </w:lvl>
    </w:lvlOverride>
    <w:lvlOverride w:ilvl="4">
      <w:startOverride w:val="1"/>
      <w:lvl w:ilvl="4">
        <w:start w:val="1"/>
        <w:numFmt w:val="none"/>
        <w:lvlText w:val=""/>
        <w:lvlJc w:val="left"/>
        <w:pPr>
          <w:ind w:left="1224" w:hanging="1224"/>
        </w:pPr>
        <w:rPr>
          <w:rFonts w:hint="default"/>
        </w:rPr>
      </w:lvl>
    </w:lvlOverride>
    <w:lvlOverride w:ilvl="5">
      <w:startOverride w:val="1"/>
      <w:lvl w:ilvl="5">
        <w:start w:val="1"/>
        <w:numFmt w:val="none"/>
        <w:lvlText w:val=""/>
        <w:lvlJc w:val="left"/>
        <w:pPr>
          <w:ind w:left="1224" w:hanging="1224"/>
        </w:pPr>
        <w:rPr>
          <w:rFonts w:hint="default"/>
        </w:rPr>
      </w:lvl>
    </w:lvlOverride>
    <w:lvlOverride w:ilvl="6">
      <w:startOverride w:val="1"/>
      <w:lvl w:ilvl="6">
        <w:start w:val="1"/>
        <w:numFmt w:val="none"/>
        <w:lvlText w:val=""/>
        <w:lvlJc w:val="left"/>
        <w:pPr>
          <w:ind w:left="1224" w:hanging="1224"/>
        </w:pPr>
        <w:rPr>
          <w:rFonts w:hint="default"/>
        </w:rPr>
      </w:lvl>
    </w:lvlOverride>
    <w:lvlOverride w:ilvl="7">
      <w:startOverride w:val="1"/>
      <w:lvl w:ilvl="7">
        <w:start w:val="1"/>
        <w:numFmt w:val="none"/>
        <w:lvlText w:val=""/>
        <w:lvlJc w:val="left"/>
        <w:pPr>
          <w:ind w:left="1224" w:hanging="1224"/>
        </w:pPr>
        <w:rPr>
          <w:rFonts w:hint="default"/>
        </w:rPr>
      </w:lvl>
    </w:lvlOverride>
    <w:lvlOverride w:ilvl="8">
      <w:startOverride w:val="1"/>
      <w:lvl w:ilvl="8">
        <w:start w:val="1"/>
        <w:numFmt w:val="none"/>
        <w:lvlText w:val=""/>
        <w:lvlJc w:val="left"/>
        <w:pPr>
          <w:ind w:left="1224" w:hanging="1224"/>
        </w:pPr>
        <w:rPr>
          <w:rFonts w:hint="default"/>
        </w:rPr>
      </w:lvl>
    </w:lvlOverride>
  </w:num>
  <w:num w:numId="51" w16cid:durableId="1790541501">
    <w:abstractNumId w:val="111"/>
    <w:lvlOverride w:ilvl="0">
      <w:lvl w:ilvl="0">
        <w:start w:val="1"/>
        <w:numFmt w:val="decimal"/>
        <w:lvlText w:val="%1.0"/>
        <w:lvlJc w:val="left"/>
        <w:pPr>
          <w:ind w:left="1224" w:hanging="1224"/>
        </w:pPr>
        <w:rPr>
          <w:rFonts w:hint="default"/>
        </w:rPr>
      </w:lvl>
    </w:lvlOverride>
    <w:lvlOverride w:ilvl="1">
      <w:lvl w:ilvl="1">
        <w:start w:val="1"/>
        <w:numFmt w:val="decimal"/>
        <w:lvlText w:val="%1.%2"/>
        <w:lvlJc w:val="left"/>
        <w:pPr>
          <w:ind w:left="1224" w:hanging="1224"/>
        </w:pPr>
        <w:rPr>
          <w:rFonts w:hint="default"/>
        </w:rPr>
      </w:lvl>
    </w:lvlOverride>
    <w:lvlOverride w:ilvl="2">
      <w:lvl w:ilvl="2">
        <w:start w:val="1"/>
        <w:numFmt w:val="decimal"/>
        <w:pStyle w:val="Heading3"/>
        <w:lvlText w:val="%1.%2.%3"/>
        <w:lvlJc w:val="left"/>
        <w:pPr>
          <w:ind w:left="1791" w:hanging="1224"/>
        </w:pPr>
        <w:rPr>
          <w:rFonts w:hint="default"/>
        </w:rPr>
      </w:lvl>
    </w:lvlOverride>
    <w:lvlOverride w:ilvl="3">
      <w:lvl w:ilvl="3">
        <w:start w:val="1"/>
        <w:numFmt w:val="decimal"/>
        <w:pStyle w:val="Heading4"/>
        <w:lvlText w:val="%1.%2.%3.%4"/>
        <w:lvlJc w:val="left"/>
        <w:pPr>
          <w:ind w:left="1224" w:hanging="1224"/>
        </w:pPr>
        <w:rPr>
          <w:rFonts w:hint="default"/>
        </w:rPr>
      </w:lvl>
    </w:lvlOverride>
    <w:lvlOverride w:ilvl="4">
      <w:lvl w:ilvl="4">
        <w:start w:val="1"/>
        <w:numFmt w:val="none"/>
        <w:lvlText w:val=""/>
        <w:lvlJc w:val="left"/>
        <w:pPr>
          <w:ind w:left="1224" w:hanging="1224"/>
        </w:pPr>
        <w:rPr>
          <w:rFonts w:hint="default"/>
        </w:rPr>
      </w:lvl>
    </w:lvlOverride>
    <w:lvlOverride w:ilvl="5">
      <w:lvl w:ilvl="5">
        <w:start w:val="1"/>
        <w:numFmt w:val="none"/>
        <w:lvlText w:val=""/>
        <w:lvlJc w:val="left"/>
        <w:pPr>
          <w:ind w:left="1224" w:hanging="1224"/>
        </w:pPr>
        <w:rPr>
          <w:rFonts w:hint="default"/>
        </w:rPr>
      </w:lvl>
    </w:lvlOverride>
    <w:lvlOverride w:ilvl="6">
      <w:lvl w:ilvl="6">
        <w:start w:val="1"/>
        <w:numFmt w:val="none"/>
        <w:lvlText w:val=""/>
        <w:lvlJc w:val="left"/>
        <w:pPr>
          <w:ind w:left="1224" w:hanging="1224"/>
        </w:pPr>
        <w:rPr>
          <w:rFonts w:hint="default"/>
        </w:rPr>
      </w:lvl>
    </w:lvlOverride>
    <w:lvlOverride w:ilvl="7">
      <w:lvl w:ilvl="7">
        <w:start w:val="1"/>
        <w:numFmt w:val="none"/>
        <w:lvlText w:val=""/>
        <w:lvlJc w:val="left"/>
        <w:pPr>
          <w:ind w:left="1224" w:hanging="1224"/>
        </w:pPr>
        <w:rPr>
          <w:rFonts w:hint="default"/>
        </w:rPr>
      </w:lvl>
    </w:lvlOverride>
    <w:lvlOverride w:ilvl="8">
      <w:lvl w:ilvl="8">
        <w:start w:val="1"/>
        <w:numFmt w:val="none"/>
        <w:lvlText w:val=""/>
        <w:lvlJc w:val="left"/>
        <w:pPr>
          <w:ind w:left="1224" w:hanging="1224"/>
        </w:pPr>
        <w:rPr>
          <w:rFonts w:hint="default"/>
        </w:rPr>
      </w:lvl>
    </w:lvlOverride>
  </w:num>
  <w:num w:numId="52" w16cid:durableId="1180848754">
    <w:abstractNumId w:val="61"/>
  </w:num>
  <w:num w:numId="53" w16cid:durableId="625162211">
    <w:abstractNumId w:val="99"/>
  </w:num>
  <w:num w:numId="54" w16cid:durableId="127628728">
    <w:abstractNumId w:val="119"/>
  </w:num>
  <w:num w:numId="55" w16cid:durableId="52120532">
    <w:abstractNumId w:val="112"/>
  </w:num>
  <w:num w:numId="56" w16cid:durableId="1238514744">
    <w:abstractNumId w:val="124"/>
  </w:num>
  <w:num w:numId="57" w16cid:durableId="1087725305">
    <w:abstractNumId w:val="89"/>
  </w:num>
  <w:num w:numId="58" w16cid:durableId="1292320186">
    <w:abstractNumId w:val="91"/>
  </w:num>
  <w:num w:numId="59" w16cid:durableId="1557201373">
    <w:abstractNumId w:val="38"/>
  </w:num>
  <w:num w:numId="60" w16cid:durableId="1975597673">
    <w:abstractNumId w:val="19"/>
  </w:num>
  <w:num w:numId="61" w16cid:durableId="1722290930">
    <w:abstractNumId w:val="29"/>
  </w:num>
  <w:num w:numId="62" w16cid:durableId="270354582">
    <w:abstractNumId w:val="131"/>
  </w:num>
  <w:num w:numId="63" w16cid:durableId="634874910">
    <w:abstractNumId w:val="13"/>
  </w:num>
  <w:num w:numId="64" w16cid:durableId="1030687662">
    <w:abstractNumId w:val="76"/>
  </w:num>
  <w:num w:numId="65" w16cid:durableId="828791108">
    <w:abstractNumId w:val="105"/>
  </w:num>
  <w:num w:numId="66" w16cid:durableId="804934709">
    <w:abstractNumId w:val="54"/>
  </w:num>
  <w:num w:numId="67" w16cid:durableId="508760118">
    <w:abstractNumId w:val="129"/>
  </w:num>
  <w:num w:numId="68" w16cid:durableId="1320620320">
    <w:abstractNumId w:val="59"/>
  </w:num>
  <w:num w:numId="69" w16cid:durableId="1861355155">
    <w:abstractNumId w:val="137"/>
  </w:num>
  <w:num w:numId="70" w16cid:durableId="1765028792">
    <w:abstractNumId w:val="111"/>
    <w:lvlOverride w:ilvl="0">
      <w:startOverride w:val="1"/>
      <w:lvl w:ilvl="0">
        <w:start w:val="1"/>
        <w:numFmt w:val="decimal"/>
        <w:lvlText w:val="%1.0"/>
        <w:lvlJc w:val="left"/>
        <w:pPr>
          <w:ind w:left="1224" w:hanging="1224"/>
        </w:pPr>
        <w:rPr>
          <w:rFonts w:hint="default"/>
        </w:rPr>
      </w:lvl>
    </w:lvlOverride>
    <w:lvlOverride w:ilvl="1">
      <w:startOverride w:val="1"/>
      <w:lvl w:ilvl="1">
        <w:start w:val="1"/>
        <w:numFmt w:val="decimal"/>
        <w:lvlText w:val="%1.%2"/>
        <w:lvlJc w:val="left"/>
        <w:pPr>
          <w:ind w:left="1224" w:hanging="1224"/>
        </w:pPr>
        <w:rPr>
          <w:rFonts w:hint="default"/>
        </w:rPr>
      </w:lvl>
    </w:lvlOverride>
    <w:lvlOverride w:ilvl="2">
      <w:startOverride w:val="1"/>
      <w:lvl w:ilvl="2">
        <w:start w:val="1"/>
        <w:numFmt w:val="decimal"/>
        <w:pStyle w:val="Heading3"/>
        <w:lvlText w:val="%1.%2.%3"/>
        <w:lvlJc w:val="left"/>
        <w:pPr>
          <w:ind w:left="1791" w:hanging="1224"/>
        </w:pPr>
        <w:rPr>
          <w:rFonts w:hint="default"/>
        </w:rPr>
      </w:lvl>
    </w:lvlOverride>
    <w:lvlOverride w:ilvl="3">
      <w:startOverride w:val="1"/>
      <w:lvl w:ilvl="3">
        <w:start w:val="1"/>
        <w:numFmt w:val="decimal"/>
        <w:pStyle w:val="Heading4"/>
        <w:lvlText w:val="%1.%2.%3.%4"/>
        <w:lvlJc w:val="left"/>
        <w:pPr>
          <w:ind w:left="1224" w:hanging="1224"/>
        </w:pPr>
        <w:rPr>
          <w:rFonts w:hint="default"/>
        </w:rPr>
      </w:lvl>
    </w:lvlOverride>
    <w:lvlOverride w:ilvl="4">
      <w:startOverride w:val="1"/>
      <w:lvl w:ilvl="4">
        <w:start w:val="1"/>
        <w:numFmt w:val="none"/>
        <w:lvlText w:val=""/>
        <w:lvlJc w:val="left"/>
        <w:pPr>
          <w:ind w:left="1224" w:hanging="1224"/>
        </w:pPr>
        <w:rPr>
          <w:rFonts w:hint="default"/>
        </w:rPr>
      </w:lvl>
    </w:lvlOverride>
    <w:lvlOverride w:ilvl="5">
      <w:startOverride w:val="1"/>
      <w:lvl w:ilvl="5">
        <w:start w:val="1"/>
        <w:numFmt w:val="none"/>
        <w:lvlText w:val=""/>
        <w:lvlJc w:val="left"/>
        <w:pPr>
          <w:ind w:left="1224" w:hanging="1224"/>
        </w:pPr>
        <w:rPr>
          <w:rFonts w:hint="default"/>
        </w:rPr>
      </w:lvl>
    </w:lvlOverride>
    <w:lvlOverride w:ilvl="6">
      <w:startOverride w:val="1"/>
      <w:lvl w:ilvl="6">
        <w:start w:val="1"/>
        <w:numFmt w:val="none"/>
        <w:lvlText w:val=""/>
        <w:lvlJc w:val="left"/>
        <w:pPr>
          <w:ind w:left="1224" w:hanging="1224"/>
        </w:pPr>
        <w:rPr>
          <w:rFonts w:hint="default"/>
        </w:rPr>
      </w:lvl>
    </w:lvlOverride>
    <w:lvlOverride w:ilvl="7">
      <w:startOverride w:val="1"/>
      <w:lvl w:ilvl="7">
        <w:start w:val="1"/>
        <w:numFmt w:val="none"/>
        <w:lvlText w:val=""/>
        <w:lvlJc w:val="left"/>
        <w:pPr>
          <w:ind w:left="1224" w:hanging="1224"/>
        </w:pPr>
        <w:rPr>
          <w:rFonts w:hint="default"/>
        </w:rPr>
      </w:lvl>
    </w:lvlOverride>
    <w:lvlOverride w:ilvl="8">
      <w:startOverride w:val="1"/>
      <w:lvl w:ilvl="8">
        <w:start w:val="1"/>
        <w:numFmt w:val="none"/>
        <w:lvlText w:val=""/>
        <w:lvlJc w:val="left"/>
        <w:pPr>
          <w:ind w:left="1224" w:hanging="1224"/>
        </w:pPr>
        <w:rPr>
          <w:rFonts w:hint="default"/>
        </w:rPr>
      </w:lvl>
    </w:lvlOverride>
  </w:num>
  <w:num w:numId="71" w16cid:durableId="945114076">
    <w:abstractNumId w:val="157"/>
  </w:num>
  <w:num w:numId="72" w16cid:durableId="537931868">
    <w:abstractNumId w:val="18"/>
  </w:num>
  <w:num w:numId="73" w16cid:durableId="1327318973">
    <w:abstractNumId w:val="149"/>
  </w:num>
  <w:num w:numId="74" w16cid:durableId="1673754524">
    <w:abstractNumId w:val="121"/>
  </w:num>
  <w:num w:numId="75" w16cid:durableId="1336761264">
    <w:abstractNumId w:val="11"/>
  </w:num>
  <w:num w:numId="76" w16cid:durableId="1660570158">
    <w:abstractNumId w:val="107"/>
  </w:num>
  <w:num w:numId="77" w16cid:durableId="1898323165">
    <w:abstractNumId w:val="115"/>
  </w:num>
  <w:num w:numId="78" w16cid:durableId="1663195920">
    <w:abstractNumId w:val="146"/>
  </w:num>
  <w:num w:numId="79" w16cid:durableId="1303774314">
    <w:abstractNumId w:val="159"/>
  </w:num>
  <w:num w:numId="80" w16cid:durableId="142552420">
    <w:abstractNumId w:val="133"/>
  </w:num>
  <w:num w:numId="81" w16cid:durableId="22948885">
    <w:abstractNumId w:val="120"/>
  </w:num>
  <w:num w:numId="82" w16cid:durableId="598559151">
    <w:abstractNumId w:val="117"/>
  </w:num>
  <w:num w:numId="83" w16cid:durableId="1405568324">
    <w:abstractNumId w:val="93"/>
  </w:num>
  <w:num w:numId="84" w16cid:durableId="31737690">
    <w:abstractNumId w:val="64"/>
  </w:num>
  <w:num w:numId="85" w16cid:durableId="124276370">
    <w:abstractNumId w:val="62"/>
  </w:num>
  <w:num w:numId="86" w16cid:durableId="1468234325">
    <w:abstractNumId w:val="111"/>
    <w:lvlOverride w:ilvl="0">
      <w:lvl w:ilvl="0">
        <w:start w:val="1"/>
        <w:numFmt w:val="decimal"/>
        <w:lvlText w:val="%1.0"/>
        <w:lvlJc w:val="left"/>
        <w:pPr>
          <w:ind w:left="1224" w:hanging="1224"/>
        </w:pPr>
        <w:rPr>
          <w:rFonts w:hint="default"/>
        </w:rPr>
      </w:lvl>
    </w:lvlOverride>
  </w:num>
  <w:num w:numId="87" w16cid:durableId="674264224">
    <w:abstractNumId w:val="94"/>
  </w:num>
  <w:num w:numId="88" w16cid:durableId="2097556521">
    <w:abstractNumId w:val="41"/>
  </w:num>
  <w:num w:numId="89" w16cid:durableId="1296332590">
    <w:abstractNumId w:val="28"/>
  </w:num>
  <w:num w:numId="90" w16cid:durableId="344287211">
    <w:abstractNumId w:val="148"/>
  </w:num>
  <w:num w:numId="91" w16cid:durableId="1454471960">
    <w:abstractNumId w:val="35"/>
  </w:num>
  <w:num w:numId="92" w16cid:durableId="1226455515">
    <w:abstractNumId w:val="86"/>
  </w:num>
  <w:num w:numId="93" w16cid:durableId="597443540">
    <w:abstractNumId w:val="84"/>
  </w:num>
  <w:num w:numId="94" w16cid:durableId="792210621">
    <w:abstractNumId w:val="27"/>
  </w:num>
  <w:num w:numId="95" w16cid:durableId="389692132">
    <w:abstractNumId w:val="145"/>
  </w:num>
  <w:num w:numId="96" w16cid:durableId="1354380772">
    <w:abstractNumId w:val="87"/>
  </w:num>
  <w:num w:numId="97" w16cid:durableId="474106313">
    <w:abstractNumId w:val="127"/>
  </w:num>
  <w:num w:numId="98" w16cid:durableId="145123352">
    <w:abstractNumId w:val="128"/>
  </w:num>
  <w:num w:numId="99" w16cid:durableId="462699045">
    <w:abstractNumId w:val="142"/>
  </w:num>
  <w:num w:numId="100" w16cid:durableId="588152741">
    <w:abstractNumId w:val="130"/>
  </w:num>
  <w:num w:numId="101" w16cid:durableId="1620332288">
    <w:abstractNumId w:val="155"/>
  </w:num>
  <w:num w:numId="102" w16cid:durableId="1967273114">
    <w:abstractNumId w:val="56"/>
  </w:num>
  <w:num w:numId="103" w16cid:durableId="1315258281">
    <w:abstractNumId w:val="147"/>
  </w:num>
  <w:num w:numId="104" w16cid:durableId="1681393642">
    <w:abstractNumId w:val="70"/>
  </w:num>
  <w:num w:numId="105" w16cid:durableId="1720006686">
    <w:abstractNumId w:val="96"/>
  </w:num>
  <w:num w:numId="106" w16cid:durableId="2122414344">
    <w:abstractNumId w:val="111"/>
  </w:num>
  <w:num w:numId="107" w16cid:durableId="381949806">
    <w:abstractNumId w:val="23"/>
  </w:num>
  <w:num w:numId="108" w16cid:durableId="1967857812">
    <w:abstractNumId w:val="135"/>
  </w:num>
  <w:num w:numId="109" w16cid:durableId="248274339">
    <w:abstractNumId w:val="141"/>
  </w:num>
  <w:num w:numId="110" w16cid:durableId="1074663985">
    <w:abstractNumId w:val="22"/>
  </w:num>
  <w:num w:numId="111" w16cid:durableId="753480203">
    <w:abstractNumId w:val="80"/>
  </w:num>
  <w:num w:numId="112" w16cid:durableId="2054622520">
    <w:abstractNumId w:val="109"/>
  </w:num>
  <w:num w:numId="113" w16cid:durableId="1589195582">
    <w:abstractNumId w:val="66"/>
  </w:num>
  <w:num w:numId="114" w16cid:durableId="781070043">
    <w:abstractNumId w:val="113"/>
  </w:num>
  <w:num w:numId="115" w16cid:durableId="310447323">
    <w:abstractNumId w:val="78"/>
  </w:num>
  <w:num w:numId="116" w16cid:durableId="1813713292">
    <w:abstractNumId w:val="118"/>
  </w:num>
  <w:num w:numId="117" w16cid:durableId="1989284902">
    <w:abstractNumId w:val="71"/>
  </w:num>
  <w:num w:numId="118" w16cid:durableId="1589845618">
    <w:abstractNumId w:val="30"/>
  </w:num>
  <w:num w:numId="119" w16cid:durableId="1381783380">
    <w:abstractNumId w:val="103"/>
  </w:num>
  <w:num w:numId="120" w16cid:durableId="391776841">
    <w:abstractNumId w:val="106"/>
  </w:num>
  <w:num w:numId="121" w16cid:durableId="123013190">
    <w:abstractNumId w:val="134"/>
  </w:num>
  <w:num w:numId="122" w16cid:durableId="712076098">
    <w:abstractNumId w:val="20"/>
  </w:num>
  <w:num w:numId="123" w16cid:durableId="938027495">
    <w:abstractNumId w:val="50"/>
  </w:num>
  <w:num w:numId="124" w16cid:durableId="507453595">
    <w:abstractNumId w:val="32"/>
  </w:num>
  <w:num w:numId="125" w16cid:durableId="1966153057">
    <w:abstractNumId w:val="114"/>
  </w:num>
  <w:num w:numId="126" w16cid:durableId="1631209981">
    <w:abstractNumId w:val="162"/>
  </w:num>
  <w:num w:numId="127" w16cid:durableId="539710142">
    <w:abstractNumId w:val="152"/>
  </w:num>
  <w:num w:numId="128" w16cid:durableId="1414476760">
    <w:abstractNumId w:val="49"/>
  </w:num>
  <w:num w:numId="129" w16cid:durableId="1531458119">
    <w:abstractNumId w:val="26"/>
  </w:num>
  <w:num w:numId="130" w16cid:durableId="1650087642">
    <w:abstractNumId w:val="43"/>
  </w:num>
  <w:num w:numId="131" w16cid:durableId="137116553">
    <w:abstractNumId w:val="68"/>
  </w:num>
  <w:num w:numId="132" w16cid:durableId="1412511257">
    <w:abstractNumId w:val="88"/>
  </w:num>
  <w:num w:numId="133" w16cid:durableId="2105684725">
    <w:abstractNumId w:val="10"/>
  </w:num>
  <w:num w:numId="134" w16cid:durableId="1070545924">
    <w:abstractNumId w:val="138"/>
  </w:num>
  <w:num w:numId="135" w16cid:durableId="519776507">
    <w:abstractNumId w:val="126"/>
  </w:num>
  <w:num w:numId="136" w16cid:durableId="763649655">
    <w:abstractNumId w:val="151"/>
  </w:num>
  <w:num w:numId="137" w16cid:durableId="41710186">
    <w:abstractNumId w:val="46"/>
  </w:num>
  <w:num w:numId="138" w16cid:durableId="510801863">
    <w:abstractNumId w:val="102"/>
    <w:lvlOverride w:ilvl="0">
      <w:startOverride w:val="1"/>
    </w:lvlOverride>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9" w16cid:durableId="1123037916">
    <w:abstractNumId w:val="95"/>
  </w:num>
  <w:num w:numId="140" w16cid:durableId="499391971">
    <w:abstractNumId w:val="97"/>
  </w:num>
  <w:num w:numId="141" w16cid:durableId="1385182081">
    <w:abstractNumId w:val="42"/>
  </w:num>
  <w:num w:numId="142" w16cid:durableId="1141847228">
    <w:abstractNumId w:val="116"/>
  </w:num>
  <w:num w:numId="143" w16cid:durableId="2113746224">
    <w:abstractNumId w:val="14"/>
  </w:num>
  <w:num w:numId="144" w16cid:durableId="2057313147">
    <w:abstractNumId w:val="153"/>
  </w:num>
  <w:num w:numId="145" w16cid:durableId="2027437060">
    <w:abstractNumId w:val="67"/>
  </w:num>
  <w:num w:numId="146" w16cid:durableId="1661351329">
    <w:abstractNumId w:val="39"/>
  </w:num>
  <w:num w:numId="147" w16cid:durableId="1502240030">
    <w:abstractNumId w:val="57"/>
  </w:num>
  <w:num w:numId="148" w16cid:durableId="72941920">
    <w:abstractNumId w:val="160"/>
  </w:num>
  <w:num w:numId="149" w16cid:durableId="648628767">
    <w:abstractNumId w:val="92"/>
  </w:num>
  <w:num w:numId="150" w16cid:durableId="614824578">
    <w:abstractNumId w:val="48"/>
  </w:num>
  <w:num w:numId="151" w16cid:durableId="845092579">
    <w:abstractNumId w:val="74"/>
  </w:num>
  <w:num w:numId="152" w16cid:durableId="551304661">
    <w:abstractNumId w:val="75"/>
  </w:num>
  <w:num w:numId="153" w16cid:durableId="1000742526">
    <w:abstractNumId w:val="15"/>
  </w:num>
  <w:num w:numId="154" w16cid:durableId="522670698">
    <w:abstractNumId w:val="158"/>
  </w:num>
  <w:num w:numId="155" w16cid:durableId="1922791796">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6" w16cid:durableId="1787118655">
    <w:abstractNumId w:val="24"/>
  </w:num>
  <w:num w:numId="157" w16cid:durableId="1179124133">
    <w:abstractNumId w:val="108"/>
  </w:num>
  <w:num w:numId="158" w16cid:durableId="181091300">
    <w:abstractNumId w:val="150"/>
  </w:num>
  <w:num w:numId="159" w16cid:durableId="320543007">
    <w:abstractNumId w:val="122"/>
  </w:num>
  <w:num w:numId="160" w16cid:durableId="1418478749">
    <w:abstractNumId w:val="32"/>
  </w:num>
  <w:num w:numId="161" w16cid:durableId="1851485104">
    <w:abstractNumId w:val="152"/>
  </w:num>
  <w:num w:numId="162" w16cid:durableId="1480227473">
    <w:abstractNumId w:val="114"/>
  </w:num>
  <w:num w:numId="163" w16cid:durableId="1694460098">
    <w:abstractNumId w:val="49"/>
  </w:num>
  <w:num w:numId="164" w16cid:durableId="70739229">
    <w:abstractNumId w:val="26"/>
  </w:num>
  <w:num w:numId="165" w16cid:durableId="210308167">
    <w:abstractNumId w:val="43"/>
  </w:num>
  <w:num w:numId="166" w16cid:durableId="540096243">
    <w:abstractNumId w:val="83"/>
  </w:num>
  <w:num w:numId="167" w16cid:durableId="1954705975">
    <w:abstractNumId w:val="136"/>
  </w:num>
  <w:num w:numId="168" w16cid:durableId="511267167">
    <w:abstractNumId w:val="125"/>
  </w:num>
  <w:num w:numId="169" w16cid:durableId="906771373">
    <w:abstractNumId w:val="37"/>
  </w:num>
  <w:num w:numId="170" w16cid:durableId="139003023">
    <w:abstractNumId w:val="31"/>
  </w:num>
  <w:num w:numId="171" w16cid:durableId="1322272049">
    <w:abstractNumId w:val="63"/>
  </w:num>
  <w:num w:numId="172" w16cid:durableId="1362898965">
    <w:abstractNumId w:val="77"/>
  </w:num>
  <w:num w:numId="173" w16cid:durableId="1624918535">
    <w:abstractNumId w:val="81"/>
  </w:num>
  <w:num w:numId="174" w16cid:durableId="1651523112">
    <w:abstractNumId w:val="100"/>
  </w:num>
  <w:num w:numId="175" w16cid:durableId="2115133359">
    <w:abstractNumId w:val="12"/>
  </w:num>
  <w:num w:numId="176" w16cid:durableId="2005426327">
    <w:abstractNumId w:val="110"/>
  </w:num>
  <w:num w:numId="177" w16cid:durableId="1190023772">
    <w:abstractNumId w:val="85"/>
  </w:num>
  <w:num w:numId="178" w16cid:durableId="577598320">
    <w:abstractNumId w:val="154"/>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9" w16cid:durableId="1239558218">
    <w:abstractNumId w:val="154"/>
  </w:num>
  <w:num w:numId="180" w16cid:durableId="2064057326">
    <w:abstractNumId w:val="154"/>
  </w:num>
  <w:num w:numId="181" w16cid:durableId="1217740686">
    <w:abstractNumId w:val="154"/>
  </w:num>
  <w:num w:numId="182" w16cid:durableId="1597595467">
    <w:abstractNumId w:val="154"/>
  </w:num>
  <w:num w:numId="183" w16cid:durableId="1129780988">
    <w:abstractNumId w:val="154"/>
  </w:num>
  <w:num w:numId="184" w16cid:durableId="135612404">
    <w:abstractNumId w:val="58"/>
    <w:lvlOverride w:ilvl="0">
      <w:startOverride w:val="1"/>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7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31"/>
  <w:removePersonalInformation/>
  <w:removeDateAndTime/>
  <w:linkStyles/>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styleLockTheme/>
  <w:styleLockQFSet/>
  <w:defaultTabStop w:val="720"/>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12340"/>
    <w:rsid w:val="00000003"/>
    <w:rsid w:val="000000D3"/>
    <w:rsid w:val="000000FA"/>
    <w:rsid w:val="0000014C"/>
    <w:rsid w:val="000001A9"/>
    <w:rsid w:val="000002A3"/>
    <w:rsid w:val="000002C6"/>
    <w:rsid w:val="0000037D"/>
    <w:rsid w:val="0000038B"/>
    <w:rsid w:val="0000038C"/>
    <w:rsid w:val="000003C2"/>
    <w:rsid w:val="000003D0"/>
    <w:rsid w:val="00000540"/>
    <w:rsid w:val="00000550"/>
    <w:rsid w:val="000006F8"/>
    <w:rsid w:val="0000083E"/>
    <w:rsid w:val="00000884"/>
    <w:rsid w:val="000008DE"/>
    <w:rsid w:val="00000A6F"/>
    <w:rsid w:val="00000AB7"/>
    <w:rsid w:val="00000B2F"/>
    <w:rsid w:val="00000BC8"/>
    <w:rsid w:val="00000C0B"/>
    <w:rsid w:val="00000C23"/>
    <w:rsid w:val="00000C73"/>
    <w:rsid w:val="00000C76"/>
    <w:rsid w:val="00000CC9"/>
    <w:rsid w:val="00000CDA"/>
    <w:rsid w:val="00000CDE"/>
    <w:rsid w:val="00000D04"/>
    <w:rsid w:val="00000D39"/>
    <w:rsid w:val="00000D3D"/>
    <w:rsid w:val="00000DCF"/>
    <w:rsid w:val="00000DD3"/>
    <w:rsid w:val="00000E6F"/>
    <w:rsid w:val="00000ECA"/>
    <w:rsid w:val="00000F7F"/>
    <w:rsid w:val="00001018"/>
    <w:rsid w:val="00001044"/>
    <w:rsid w:val="00001307"/>
    <w:rsid w:val="00001396"/>
    <w:rsid w:val="0000152A"/>
    <w:rsid w:val="00001573"/>
    <w:rsid w:val="0000181A"/>
    <w:rsid w:val="0000188A"/>
    <w:rsid w:val="000018B0"/>
    <w:rsid w:val="000018C3"/>
    <w:rsid w:val="000018DC"/>
    <w:rsid w:val="00001920"/>
    <w:rsid w:val="00001981"/>
    <w:rsid w:val="00001A3B"/>
    <w:rsid w:val="00001B79"/>
    <w:rsid w:val="00001C38"/>
    <w:rsid w:val="00001CA7"/>
    <w:rsid w:val="00001E16"/>
    <w:rsid w:val="00001E48"/>
    <w:rsid w:val="00001F0B"/>
    <w:rsid w:val="00001F63"/>
    <w:rsid w:val="00001FBB"/>
    <w:rsid w:val="0000210A"/>
    <w:rsid w:val="00002119"/>
    <w:rsid w:val="00002209"/>
    <w:rsid w:val="000022F2"/>
    <w:rsid w:val="0000244B"/>
    <w:rsid w:val="00002486"/>
    <w:rsid w:val="0000249D"/>
    <w:rsid w:val="00002578"/>
    <w:rsid w:val="0000269F"/>
    <w:rsid w:val="000026EE"/>
    <w:rsid w:val="00002870"/>
    <w:rsid w:val="000029FB"/>
    <w:rsid w:val="00002AF7"/>
    <w:rsid w:val="00002B20"/>
    <w:rsid w:val="00002BB5"/>
    <w:rsid w:val="00002C0C"/>
    <w:rsid w:val="00002D95"/>
    <w:rsid w:val="00002E43"/>
    <w:rsid w:val="00002F83"/>
    <w:rsid w:val="0000305C"/>
    <w:rsid w:val="000030D7"/>
    <w:rsid w:val="00003232"/>
    <w:rsid w:val="0000325A"/>
    <w:rsid w:val="0000336C"/>
    <w:rsid w:val="000033AB"/>
    <w:rsid w:val="00003475"/>
    <w:rsid w:val="000034EE"/>
    <w:rsid w:val="00003547"/>
    <w:rsid w:val="0000363B"/>
    <w:rsid w:val="000038EA"/>
    <w:rsid w:val="0000392B"/>
    <w:rsid w:val="00003930"/>
    <w:rsid w:val="00003939"/>
    <w:rsid w:val="00003A19"/>
    <w:rsid w:val="00003A7D"/>
    <w:rsid w:val="00003AC5"/>
    <w:rsid w:val="00003ADA"/>
    <w:rsid w:val="00003B4D"/>
    <w:rsid w:val="00003B88"/>
    <w:rsid w:val="00003BC1"/>
    <w:rsid w:val="00003CBA"/>
    <w:rsid w:val="00003DD6"/>
    <w:rsid w:val="00003DD7"/>
    <w:rsid w:val="00003DF0"/>
    <w:rsid w:val="00003FD2"/>
    <w:rsid w:val="00004010"/>
    <w:rsid w:val="00004075"/>
    <w:rsid w:val="000040D9"/>
    <w:rsid w:val="00004148"/>
    <w:rsid w:val="0000418B"/>
    <w:rsid w:val="000041E1"/>
    <w:rsid w:val="000042B8"/>
    <w:rsid w:val="000042CF"/>
    <w:rsid w:val="00004340"/>
    <w:rsid w:val="00004341"/>
    <w:rsid w:val="00004352"/>
    <w:rsid w:val="00004359"/>
    <w:rsid w:val="000043DD"/>
    <w:rsid w:val="000044D3"/>
    <w:rsid w:val="00004565"/>
    <w:rsid w:val="000045DA"/>
    <w:rsid w:val="0000465A"/>
    <w:rsid w:val="000046B2"/>
    <w:rsid w:val="000046C9"/>
    <w:rsid w:val="000046FE"/>
    <w:rsid w:val="00004711"/>
    <w:rsid w:val="0000473F"/>
    <w:rsid w:val="00004759"/>
    <w:rsid w:val="0000478C"/>
    <w:rsid w:val="000049F2"/>
    <w:rsid w:val="00004A5D"/>
    <w:rsid w:val="00004B32"/>
    <w:rsid w:val="00004B4D"/>
    <w:rsid w:val="00004DCF"/>
    <w:rsid w:val="00004E0F"/>
    <w:rsid w:val="0000511D"/>
    <w:rsid w:val="00005129"/>
    <w:rsid w:val="00005287"/>
    <w:rsid w:val="00005411"/>
    <w:rsid w:val="000054C6"/>
    <w:rsid w:val="00005559"/>
    <w:rsid w:val="00005683"/>
    <w:rsid w:val="0000573D"/>
    <w:rsid w:val="00005889"/>
    <w:rsid w:val="000059B3"/>
    <w:rsid w:val="00005A0E"/>
    <w:rsid w:val="00005A22"/>
    <w:rsid w:val="00005AFF"/>
    <w:rsid w:val="00005B00"/>
    <w:rsid w:val="00005BD0"/>
    <w:rsid w:val="00005BD6"/>
    <w:rsid w:val="00005C35"/>
    <w:rsid w:val="00005C70"/>
    <w:rsid w:val="00005CC6"/>
    <w:rsid w:val="00005DBF"/>
    <w:rsid w:val="00005E3B"/>
    <w:rsid w:val="00005F2E"/>
    <w:rsid w:val="00006027"/>
    <w:rsid w:val="0000609E"/>
    <w:rsid w:val="00006317"/>
    <w:rsid w:val="00006377"/>
    <w:rsid w:val="000063CD"/>
    <w:rsid w:val="00006434"/>
    <w:rsid w:val="0000647D"/>
    <w:rsid w:val="00006555"/>
    <w:rsid w:val="000065C2"/>
    <w:rsid w:val="000066F6"/>
    <w:rsid w:val="0000670F"/>
    <w:rsid w:val="00006904"/>
    <w:rsid w:val="0000698B"/>
    <w:rsid w:val="00006992"/>
    <w:rsid w:val="000069AE"/>
    <w:rsid w:val="000069D5"/>
    <w:rsid w:val="00006A66"/>
    <w:rsid w:val="00006AAF"/>
    <w:rsid w:val="00006AC0"/>
    <w:rsid w:val="00006C04"/>
    <w:rsid w:val="00006C06"/>
    <w:rsid w:val="00006C35"/>
    <w:rsid w:val="00006CF6"/>
    <w:rsid w:val="00006D58"/>
    <w:rsid w:val="00006D71"/>
    <w:rsid w:val="00006E26"/>
    <w:rsid w:val="00006F13"/>
    <w:rsid w:val="00006F5F"/>
    <w:rsid w:val="000070BF"/>
    <w:rsid w:val="000071A5"/>
    <w:rsid w:val="000071BE"/>
    <w:rsid w:val="000072C3"/>
    <w:rsid w:val="00007393"/>
    <w:rsid w:val="000073D3"/>
    <w:rsid w:val="000073FE"/>
    <w:rsid w:val="00007515"/>
    <w:rsid w:val="0000760E"/>
    <w:rsid w:val="0000777B"/>
    <w:rsid w:val="0000778B"/>
    <w:rsid w:val="000078AA"/>
    <w:rsid w:val="00007989"/>
    <w:rsid w:val="000079CC"/>
    <w:rsid w:val="00007A07"/>
    <w:rsid w:val="00007A22"/>
    <w:rsid w:val="00007A48"/>
    <w:rsid w:val="00007B27"/>
    <w:rsid w:val="00007B2B"/>
    <w:rsid w:val="00007BD9"/>
    <w:rsid w:val="00007C51"/>
    <w:rsid w:val="00007CCB"/>
    <w:rsid w:val="00007E24"/>
    <w:rsid w:val="00007E60"/>
    <w:rsid w:val="00007E64"/>
    <w:rsid w:val="00007E93"/>
    <w:rsid w:val="00007F89"/>
    <w:rsid w:val="000100D1"/>
    <w:rsid w:val="00010121"/>
    <w:rsid w:val="00010231"/>
    <w:rsid w:val="000102F8"/>
    <w:rsid w:val="00010344"/>
    <w:rsid w:val="00010392"/>
    <w:rsid w:val="000103B3"/>
    <w:rsid w:val="000104FB"/>
    <w:rsid w:val="00010631"/>
    <w:rsid w:val="000108A2"/>
    <w:rsid w:val="00010904"/>
    <w:rsid w:val="00010942"/>
    <w:rsid w:val="0001094E"/>
    <w:rsid w:val="000109DD"/>
    <w:rsid w:val="000109F6"/>
    <w:rsid w:val="00010A10"/>
    <w:rsid w:val="00010A89"/>
    <w:rsid w:val="00010A8B"/>
    <w:rsid w:val="00010ACF"/>
    <w:rsid w:val="00010DC3"/>
    <w:rsid w:val="00010F8D"/>
    <w:rsid w:val="000110A9"/>
    <w:rsid w:val="00011107"/>
    <w:rsid w:val="000111C6"/>
    <w:rsid w:val="00011235"/>
    <w:rsid w:val="000112CC"/>
    <w:rsid w:val="000113C1"/>
    <w:rsid w:val="00011417"/>
    <w:rsid w:val="00011456"/>
    <w:rsid w:val="00011526"/>
    <w:rsid w:val="00011572"/>
    <w:rsid w:val="0001169A"/>
    <w:rsid w:val="000116C0"/>
    <w:rsid w:val="000116E6"/>
    <w:rsid w:val="000116FE"/>
    <w:rsid w:val="000118AC"/>
    <w:rsid w:val="0001196F"/>
    <w:rsid w:val="00011A4B"/>
    <w:rsid w:val="00011A50"/>
    <w:rsid w:val="00011AE0"/>
    <w:rsid w:val="00011BDB"/>
    <w:rsid w:val="00011C0F"/>
    <w:rsid w:val="00011D2B"/>
    <w:rsid w:val="00011D40"/>
    <w:rsid w:val="00011D6B"/>
    <w:rsid w:val="00011E1A"/>
    <w:rsid w:val="00011E75"/>
    <w:rsid w:val="00011F69"/>
    <w:rsid w:val="00011F81"/>
    <w:rsid w:val="0001202F"/>
    <w:rsid w:val="00012189"/>
    <w:rsid w:val="000123CC"/>
    <w:rsid w:val="0001245A"/>
    <w:rsid w:val="00012479"/>
    <w:rsid w:val="000125BE"/>
    <w:rsid w:val="00012627"/>
    <w:rsid w:val="0001268B"/>
    <w:rsid w:val="0001276F"/>
    <w:rsid w:val="000127B9"/>
    <w:rsid w:val="000127FF"/>
    <w:rsid w:val="0001287F"/>
    <w:rsid w:val="0001290A"/>
    <w:rsid w:val="00012998"/>
    <w:rsid w:val="00012AC7"/>
    <w:rsid w:val="00012B4D"/>
    <w:rsid w:val="00012B76"/>
    <w:rsid w:val="00012C66"/>
    <w:rsid w:val="00012DAC"/>
    <w:rsid w:val="00012E19"/>
    <w:rsid w:val="00012F18"/>
    <w:rsid w:val="00012F3B"/>
    <w:rsid w:val="000132A2"/>
    <w:rsid w:val="000132E8"/>
    <w:rsid w:val="0001332B"/>
    <w:rsid w:val="00013340"/>
    <w:rsid w:val="00013394"/>
    <w:rsid w:val="000133C6"/>
    <w:rsid w:val="000133F3"/>
    <w:rsid w:val="000134B4"/>
    <w:rsid w:val="000134D0"/>
    <w:rsid w:val="00013529"/>
    <w:rsid w:val="0001353D"/>
    <w:rsid w:val="00013671"/>
    <w:rsid w:val="000136A2"/>
    <w:rsid w:val="000136AA"/>
    <w:rsid w:val="000136AF"/>
    <w:rsid w:val="000137DC"/>
    <w:rsid w:val="0001380F"/>
    <w:rsid w:val="000138EF"/>
    <w:rsid w:val="000139D1"/>
    <w:rsid w:val="000139FC"/>
    <w:rsid w:val="00013AE5"/>
    <w:rsid w:val="00013B89"/>
    <w:rsid w:val="00013BFB"/>
    <w:rsid w:val="00013D0E"/>
    <w:rsid w:val="00013D19"/>
    <w:rsid w:val="00013D41"/>
    <w:rsid w:val="00013D46"/>
    <w:rsid w:val="00013E46"/>
    <w:rsid w:val="00013EA5"/>
    <w:rsid w:val="00013F04"/>
    <w:rsid w:val="0001402D"/>
    <w:rsid w:val="00014193"/>
    <w:rsid w:val="0001425F"/>
    <w:rsid w:val="000142FC"/>
    <w:rsid w:val="0001431F"/>
    <w:rsid w:val="00014448"/>
    <w:rsid w:val="000144DC"/>
    <w:rsid w:val="00014574"/>
    <w:rsid w:val="00014627"/>
    <w:rsid w:val="000146C4"/>
    <w:rsid w:val="000146D0"/>
    <w:rsid w:val="00014884"/>
    <w:rsid w:val="00014890"/>
    <w:rsid w:val="00014972"/>
    <w:rsid w:val="000149EE"/>
    <w:rsid w:val="00014B4A"/>
    <w:rsid w:val="00014BB7"/>
    <w:rsid w:val="00014D0C"/>
    <w:rsid w:val="00014E76"/>
    <w:rsid w:val="00014F7C"/>
    <w:rsid w:val="00015021"/>
    <w:rsid w:val="0001507E"/>
    <w:rsid w:val="00015084"/>
    <w:rsid w:val="00015093"/>
    <w:rsid w:val="0001511F"/>
    <w:rsid w:val="00015170"/>
    <w:rsid w:val="00015243"/>
    <w:rsid w:val="00015273"/>
    <w:rsid w:val="00015299"/>
    <w:rsid w:val="0001533D"/>
    <w:rsid w:val="000153C2"/>
    <w:rsid w:val="000153C9"/>
    <w:rsid w:val="0001544E"/>
    <w:rsid w:val="000155DE"/>
    <w:rsid w:val="00015679"/>
    <w:rsid w:val="000156F7"/>
    <w:rsid w:val="0001576E"/>
    <w:rsid w:val="00015835"/>
    <w:rsid w:val="000158D8"/>
    <w:rsid w:val="000158FF"/>
    <w:rsid w:val="00015A07"/>
    <w:rsid w:val="00015AE0"/>
    <w:rsid w:val="00015B07"/>
    <w:rsid w:val="00015B8E"/>
    <w:rsid w:val="00015DBA"/>
    <w:rsid w:val="00015DDD"/>
    <w:rsid w:val="00015E1E"/>
    <w:rsid w:val="00015E8B"/>
    <w:rsid w:val="00015FB2"/>
    <w:rsid w:val="0001611B"/>
    <w:rsid w:val="000161AC"/>
    <w:rsid w:val="000161BC"/>
    <w:rsid w:val="000161C7"/>
    <w:rsid w:val="000161E2"/>
    <w:rsid w:val="0001627B"/>
    <w:rsid w:val="000162E1"/>
    <w:rsid w:val="000163EF"/>
    <w:rsid w:val="0001645C"/>
    <w:rsid w:val="00016486"/>
    <w:rsid w:val="00016491"/>
    <w:rsid w:val="00016508"/>
    <w:rsid w:val="00016509"/>
    <w:rsid w:val="00016518"/>
    <w:rsid w:val="0001652C"/>
    <w:rsid w:val="000165F2"/>
    <w:rsid w:val="00016600"/>
    <w:rsid w:val="00016707"/>
    <w:rsid w:val="00016811"/>
    <w:rsid w:val="00016B25"/>
    <w:rsid w:val="00016B35"/>
    <w:rsid w:val="00016BE2"/>
    <w:rsid w:val="00016C14"/>
    <w:rsid w:val="00016CB6"/>
    <w:rsid w:val="00016CC5"/>
    <w:rsid w:val="00016F6B"/>
    <w:rsid w:val="00016FD5"/>
    <w:rsid w:val="00016FF9"/>
    <w:rsid w:val="00017087"/>
    <w:rsid w:val="0001714E"/>
    <w:rsid w:val="000172F4"/>
    <w:rsid w:val="000173A0"/>
    <w:rsid w:val="000173A3"/>
    <w:rsid w:val="0001745D"/>
    <w:rsid w:val="000174AE"/>
    <w:rsid w:val="0001751E"/>
    <w:rsid w:val="0001757A"/>
    <w:rsid w:val="0001759D"/>
    <w:rsid w:val="000176BE"/>
    <w:rsid w:val="000177CA"/>
    <w:rsid w:val="0001780E"/>
    <w:rsid w:val="0001787B"/>
    <w:rsid w:val="00017918"/>
    <w:rsid w:val="00017997"/>
    <w:rsid w:val="0001799E"/>
    <w:rsid w:val="000179CC"/>
    <w:rsid w:val="00017ACF"/>
    <w:rsid w:val="00017AE4"/>
    <w:rsid w:val="00017C09"/>
    <w:rsid w:val="00017C94"/>
    <w:rsid w:val="00017ED7"/>
    <w:rsid w:val="00017F18"/>
    <w:rsid w:val="00017FA6"/>
    <w:rsid w:val="00017FE5"/>
    <w:rsid w:val="00020047"/>
    <w:rsid w:val="000200EC"/>
    <w:rsid w:val="00020123"/>
    <w:rsid w:val="000201A9"/>
    <w:rsid w:val="00020271"/>
    <w:rsid w:val="000202A0"/>
    <w:rsid w:val="000203BB"/>
    <w:rsid w:val="0002041D"/>
    <w:rsid w:val="0002059F"/>
    <w:rsid w:val="00020622"/>
    <w:rsid w:val="0002062D"/>
    <w:rsid w:val="0002065A"/>
    <w:rsid w:val="000206F1"/>
    <w:rsid w:val="0002076E"/>
    <w:rsid w:val="00020812"/>
    <w:rsid w:val="00020875"/>
    <w:rsid w:val="0002087B"/>
    <w:rsid w:val="000208AB"/>
    <w:rsid w:val="000209E5"/>
    <w:rsid w:val="00020BA4"/>
    <w:rsid w:val="00020C0C"/>
    <w:rsid w:val="00020D27"/>
    <w:rsid w:val="00020D68"/>
    <w:rsid w:val="00020D82"/>
    <w:rsid w:val="00020EA0"/>
    <w:rsid w:val="00021032"/>
    <w:rsid w:val="00021088"/>
    <w:rsid w:val="00021141"/>
    <w:rsid w:val="000211DE"/>
    <w:rsid w:val="00021217"/>
    <w:rsid w:val="000212AB"/>
    <w:rsid w:val="00021304"/>
    <w:rsid w:val="00021310"/>
    <w:rsid w:val="000214C1"/>
    <w:rsid w:val="000214E0"/>
    <w:rsid w:val="00021501"/>
    <w:rsid w:val="00021504"/>
    <w:rsid w:val="000215B8"/>
    <w:rsid w:val="000215BB"/>
    <w:rsid w:val="0002162E"/>
    <w:rsid w:val="00021651"/>
    <w:rsid w:val="00021697"/>
    <w:rsid w:val="0002177E"/>
    <w:rsid w:val="00021895"/>
    <w:rsid w:val="00021902"/>
    <w:rsid w:val="000219FE"/>
    <w:rsid w:val="00021A1A"/>
    <w:rsid w:val="00021A73"/>
    <w:rsid w:val="00021C32"/>
    <w:rsid w:val="00021C65"/>
    <w:rsid w:val="00021C67"/>
    <w:rsid w:val="00021C75"/>
    <w:rsid w:val="00021E03"/>
    <w:rsid w:val="000220E4"/>
    <w:rsid w:val="00022172"/>
    <w:rsid w:val="000221B9"/>
    <w:rsid w:val="000221F8"/>
    <w:rsid w:val="000223B5"/>
    <w:rsid w:val="000223C2"/>
    <w:rsid w:val="000224DF"/>
    <w:rsid w:val="000225A0"/>
    <w:rsid w:val="000225DA"/>
    <w:rsid w:val="00022707"/>
    <w:rsid w:val="00022752"/>
    <w:rsid w:val="00022A37"/>
    <w:rsid w:val="00022A94"/>
    <w:rsid w:val="00022A96"/>
    <w:rsid w:val="00022AB9"/>
    <w:rsid w:val="00022ACA"/>
    <w:rsid w:val="00022AE7"/>
    <w:rsid w:val="00022B0B"/>
    <w:rsid w:val="00022B45"/>
    <w:rsid w:val="00022C13"/>
    <w:rsid w:val="00022E08"/>
    <w:rsid w:val="00022F9D"/>
    <w:rsid w:val="00022FCB"/>
    <w:rsid w:val="00022FFB"/>
    <w:rsid w:val="0002301D"/>
    <w:rsid w:val="00023061"/>
    <w:rsid w:val="000230D7"/>
    <w:rsid w:val="000231E4"/>
    <w:rsid w:val="000232AB"/>
    <w:rsid w:val="0002350D"/>
    <w:rsid w:val="00023551"/>
    <w:rsid w:val="0002361B"/>
    <w:rsid w:val="00023644"/>
    <w:rsid w:val="000237C7"/>
    <w:rsid w:val="000237F1"/>
    <w:rsid w:val="00023973"/>
    <w:rsid w:val="00023A09"/>
    <w:rsid w:val="00023A48"/>
    <w:rsid w:val="00023A63"/>
    <w:rsid w:val="00023AF0"/>
    <w:rsid w:val="00023D81"/>
    <w:rsid w:val="00023EB5"/>
    <w:rsid w:val="00023EDD"/>
    <w:rsid w:val="00023FE4"/>
    <w:rsid w:val="00024044"/>
    <w:rsid w:val="00024083"/>
    <w:rsid w:val="0002425F"/>
    <w:rsid w:val="0002429E"/>
    <w:rsid w:val="000242D4"/>
    <w:rsid w:val="0002431F"/>
    <w:rsid w:val="0002443B"/>
    <w:rsid w:val="00024625"/>
    <w:rsid w:val="000246DB"/>
    <w:rsid w:val="00024739"/>
    <w:rsid w:val="00024747"/>
    <w:rsid w:val="00024776"/>
    <w:rsid w:val="00024A79"/>
    <w:rsid w:val="00024A8B"/>
    <w:rsid w:val="00024B27"/>
    <w:rsid w:val="00024B28"/>
    <w:rsid w:val="00024BC1"/>
    <w:rsid w:val="00024C62"/>
    <w:rsid w:val="00024D0A"/>
    <w:rsid w:val="00025071"/>
    <w:rsid w:val="00025076"/>
    <w:rsid w:val="00025133"/>
    <w:rsid w:val="0002515C"/>
    <w:rsid w:val="0002538A"/>
    <w:rsid w:val="0002549C"/>
    <w:rsid w:val="00025621"/>
    <w:rsid w:val="0002562E"/>
    <w:rsid w:val="0002565C"/>
    <w:rsid w:val="000256BD"/>
    <w:rsid w:val="00025703"/>
    <w:rsid w:val="00025713"/>
    <w:rsid w:val="00025861"/>
    <w:rsid w:val="000258C8"/>
    <w:rsid w:val="000258DE"/>
    <w:rsid w:val="0002599A"/>
    <w:rsid w:val="00025A4D"/>
    <w:rsid w:val="00025ABB"/>
    <w:rsid w:val="00025B29"/>
    <w:rsid w:val="00025B5C"/>
    <w:rsid w:val="00025CB8"/>
    <w:rsid w:val="00025D02"/>
    <w:rsid w:val="00025DC5"/>
    <w:rsid w:val="00025DDF"/>
    <w:rsid w:val="00025E54"/>
    <w:rsid w:val="00025E93"/>
    <w:rsid w:val="00025EA2"/>
    <w:rsid w:val="00025EAA"/>
    <w:rsid w:val="00025FBD"/>
    <w:rsid w:val="00026016"/>
    <w:rsid w:val="00026089"/>
    <w:rsid w:val="0002619A"/>
    <w:rsid w:val="0002628B"/>
    <w:rsid w:val="0002629A"/>
    <w:rsid w:val="00026538"/>
    <w:rsid w:val="00026551"/>
    <w:rsid w:val="0002656A"/>
    <w:rsid w:val="000266B1"/>
    <w:rsid w:val="000266F3"/>
    <w:rsid w:val="0002670D"/>
    <w:rsid w:val="000268BE"/>
    <w:rsid w:val="0002691A"/>
    <w:rsid w:val="00026A38"/>
    <w:rsid w:val="00026AEF"/>
    <w:rsid w:val="00026AF1"/>
    <w:rsid w:val="00026B0A"/>
    <w:rsid w:val="00026B85"/>
    <w:rsid w:val="00026CFC"/>
    <w:rsid w:val="00026D12"/>
    <w:rsid w:val="00026D60"/>
    <w:rsid w:val="00026F0B"/>
    <w:rsid w:val="00026F23"/>
    <w:rsid w:val="00026F27"/>
    <w:rsid w:val="00026FA1"/>
    <w:rsid w:val="0002714C"/>
    <w:rsid w:val="000275C3"/>
    <w:rsid w:val="000275D5"/>
    <w:rsid w:val="00027600"/>
    <w:rsid w:val="00027665"/>
    <w:rsid w:val="00027666"/>
    <w:rsid w:val="00027AEC"/>
    <w:rsid w:val="00027B1A"/>
    <w:rsid w:val="00027B1D"/>
    <w:rsid w:val="00027BD0"/>
    <w:rsid w:val="00027C16"/>
    <w:rsid w:val="00027C2F"/>
    <w:rsid w:val="00027E2E"/>
    <w:rsid w:val="0003008B"/>
    <w:rsid w:val="000300BE"/>
    <w:rsid w:val="00030278"/>
    <w:rsid w:val="00030296"/>
    <w:rsid w:val="000302D9"/>
    <w:rsid w:val="000302F7"/>
    <w:rsid w:val="00030390"/>
    <w:rsid w:val="000303A3"/>
    <w:rsid w:val="000303E5"/>
    <w:rsid w:val="000305A7"/>
    <w:rsid w:val="000305B1"/>
    <w:rsid w:val="000305FF"/>
    <w:rsid w:val="00030778"/>
    <w:rsid w:val="00030922"/>
    <w:rsid w:val="0003092E"/>
    <w:rsid w:val="00030977"/>
    <w:rsid w:val="00030986"/>
    <w:rsid w:val="000309E3"/>
    <w:rsid w:val="00030A47"/>
    <w:rsid w:val="00030D1E"/>
    <w:rsid w:val="00030D33"/>
    <w:rsid w:val="00030D45"/>
    <w:rsid w:val="00030DE3"/>
    <w:rsid w:val="00030F6D"/>
    <w:rsid w:val="00030FC2"/>
    <w:rsid w:val="000310FF"/>
    <w:rsid w:val="0003117C"/>
    <w:rsid w:val="000311E8"/>
    <w:rsid w:val="00031206"/>
    <w:rsid w:val="00031250"/>
    <w:rsid w:val="00031344"/>
    <w:rsid w:val="00031394"/>
    <w:rsid w:val="00031567"/>
    <w:rsid w:val="000316CA"/>
    <w:rsid w:val="0003171B"/>
    <w:rsid w:val="000317C7"/>
    <w:rsid w:val="000318EC"/>
    <w:rsid w:val="000318F6"/>
    <w:rsid w:val="00031973"/>
    <w:rsid w:val="000319DF"/>
    <w:rsid w:val="00031A57"/>
    <w:rsid w:val="00031AF4"/>
    <w:rsid w:val="00031B4D"/>
    <w:rsid w:val="00031BC9"/>
    <w:rsid w:val="00031C1B"/>
    <w:rsid w:val="00031C32"/>
    <w:rsid w:val="00031C43"/>
    <w:rsid w:val="00031C85"/>
    <w:rsid w:val="00031C8F"/>
    <w:rsid w:val="00031CB5"/>
    <w:rsid w:val="00031D15"/>
    <w:rsid w:val="00031EA1"/>
    <w:rsid w:val="00031EAE"/>
    <w:rsid w:val="00032040"/>
    <w:rsid w:val="00032236"/>
    <w:rsid w:val="000322BE"/>
    <w:rsid w:val="000323AF"/>
    <w:rsid w:val="00032404"/>
    <w:rsid w:val="00032408"/>
    <w:rsid w:val="0003251D"/>
    <w:rsid w:val="000326A0"/>
    <w:rsid w:val="00032701"/>
    <w:rsid w:val="000328D7"/>
    <w:rsid w:val="000329CA"/>
    <w:rsid w:val="00032C6E"/>
    <w:rsid w:val="00032C99"/>
    <w:rsid w:val="00032D11"/>
    <w:rsid w:val="00032D55"/>
    <w:rsid w:val="00032D63"/>
    <w:rsid w:val="00032D78"/>
    <w:rsid w:val="00032DCE"/>
    <w:rsid w:val="00032F23"/>
    <w:rsid w:val="00032F57"/>
    <w:rsid w:val="00032F7F"/>
    <w:rsid w:val="0003312F"/>
    <w:rsid w:val="0003324B"/>
    <w:rsid w:val="00033399"/>
    <w:rsid w:val="000333E5"/>
    <w:rsid w:val="0003348D"/>
    <w:rsid w:val="00033587"/>
    <w:rsid w:val="0003360F"/>
    <w:rsid w:val="000336D9"/>
    <w:rsid w:val="000336FC"/>
    <w:rsid w:val="00033721"/>
    <w:rsid w:val="000337F2"/>
    <w:rsid w:val="0003390C"/>
    <w:rsid w:val="0003396B"/>
    <w:rsid w:val="000339CB"/>
    <w:rsid w:val="00033A36"/>
    <w:rsid w:val="00033A4C"/>
    <w:rsid w:val="00033A66"/>
    <w:rsid w:val="00033ABC"/>
    <w:rsid w:val="00033B7C"/>
    <w:rsid w:val="00033C33"/>
    <w:rsid w:val="00033CC1"/>
    <w:rsid w:val="00033DD0"/>
    <w:rsid w:val="00033EF1"/>
    <w:rsid w:val="00033FD3"/>
    <w:rsid w:val="000341BC"/>
    <w:rsid w:val="000341F1"/>
    <w:rsid w:val="0003429D"/>
    <w:rsid w:val="000343CC"/>
    <w:rsid w:val="0003444B"/>
    <w:rsid w:val="000344D4"/>
    <w:rsid w:val="000344F2"/>
    <w:rsid w:val="00034536"/>
    <w:rsid w:val="00034537"/>
    <w:rsid w:val="000345DA"/>
    <w:rsid w:val="0003462A"/>
    <w:rsid w:val="00034699"/>
    <w:rsid w:val="000346B7"/>
    <w:rsid w:val="00034707"/>
    <w:rsid w:val="00034731"/>
    <w:rsid w:val="00034866"/>
    <w:rsid w:val="000349B0"/>
    <w:rsid w:val="00034A11"/>
    <w:rsid w:val="00034A3D"/>
    <w:rsid w:val="00034A48"/>
    <w:rsid w:val="00034AEB"/>
    <w:rsid w:val="00034C55"/>
    <w:rsid w:val="00034CD8"/>
    <w:rsid w:val="00034EDC"/>
    <w:rsid w:val="00034F7E"/>
    <w:rsid w:val="0003500F"/>
    <w:rsid w:val="00035064"/>
    <w:rsid w:val="000350A5"/>
    <w:rsid w:val="00035150"/>
    <w:rsid w:val="0003519F"/>
    <w:rsid w:val="000351B2"/>
    <w:rsid w:val="000352F1"/>
    <w:rsid w:val="00035449"/>
    <w:rsid w:val="00035496"/>
    <w:rsid w:val="0003553A"/>
    <w:rsid w:val="00035642"/>
    <w:rsid w:val="000356B0"/>
    <w:rsid w:val="000356C0"/>
    <w:rsid w:val="00035719"/>
    <w:rsid w:val="0003571B"/>
    <w:rsid w:val="000357D5"/>
    <w:rsid w:val="000358EB"/>
    <w:rsid w:val="00035A08"/>
    <w:rsid w:val="00035A1E"/>
    <w:rsid w:val="00035BBA"/>
    <w:rsid w:val="00035C08"/>
    <w:rsid w:val="00035D10"/>
    <w:rsid w:val="00035D8C"/>
    <w:rsid w:val="00035E42"/>
    <w:rsid w:val="00035E85"/>
    <w:rsid w:val="00035EC5"/>
    <w:rsid w:val="00035F60"/>
    <w:rsid w:val="00035F81"/>
    <w:rsid w:val="00035FCC"/>
    <w:rsid w:val="00035FEE"/>
    <w:rsid w:val="000360EB"/>
    <w:rsid w:val="00036162"/>
    <w:rsid w:val="00036224"/>
    <w:rsid w:val="00036250"/>
    <w:rsid w:val="000363BA"/>
    <w:rsid w:val="00036421"/>
    <w:rsid w:val="0003654F"/>
    <w:rsid w:val="000365FA"/>
    <w:rsid w:val="000366BE"/>
    <w:rsid w:val="00036747"/>
    <w:rsid w:val="0003675D"/>
    <w:rsid w:val="00036760"/>
    <w:rsid w:val="0003677F"/>
    <w:rsid w:val="000367E2"/>
    <w:rsid w:val="0003684D"/>
    <w:rsid w:val="00036855"/>
    <w:rsid w:val="00036888"/>
    <w:rsid w:val="00036A0D"/>
    <w:rsid w:val="00036A57"/>
    <w:rsid w:val="00036B2D"/>
    <w:rsid w:val="00036BEA"/>
    <w:rsid w:val="00036C0E"/>
    <w:rsid w:val="00036C1C"/>
    <w:rsid w:val="00036CB4"/>
    <w:rsid w:val="00036D8E"/>
    <w:rsid w:val="00036DB7"/>
    <w:rsid w:val="00036DF4"/>
    <w:rsid w:val="00036F8E"/>
    <w:rsid w:val="000370FB"/>
    <w:rsid w:val="0003714C"/>
    <w:rsid w:val="00037163"/>
    <w:rsid w:val="00037204"/>
    <w:rsid w:val="00037232"/>
    <w:rsid w:val="00037262"/>
    <w:rsid w:val="00037352"/>
    <w:rsid w:val="00037369"/>
    <w:rsid w:val="000373E4"/>
    <w:rsid w:val="00037411"/>
    <w:rsid w:val="0003742E"/>
    <w:rsid w:val="00037639"/>
    <w:rsid w:val="0003765F"/>
    <w:rsid w:val="0003770B"/>
    <w:rsid w:val="000378AF"/>
    <w:rsid w:val="000378E6"/>
    <w:rsid w:val="00037A11"/>
    <w:rsid w:val="00037A47"/>
    <w:rsid w:val="00037AE9"/>
    <w:rsid w:val="00037B0A"/>
    <w:rsid w:val="00037B37"/>
    <w:rsid w:val="00037B93"/>
    <w:rsid w:val="00037BC8"/>
    <w:rsid w:val="00037C02"/>
    <w:rsid w:val="00037C6B"/>
    <w:rsid w:val="00037C7C"/>
    <w:rsid w:val="00037D13"/>
    <w:rsid w:val="00037D53"/>
    <w:rsid w:val="00037E90"/>
    <w:rsid w:val="00037FA3"/>
    <w:rsid w:val="00037FEB"/>
    <w:rsid w:val="00040002"/>
    <w:rsid w:val="00040019"/>
    <w:rsid w:val="00040080"/>
    <w:rsid w:val="000400DB"/>
    <w:rsid w:val="0004011A"/>
    <w:rsid w:val="00040139"/>
    <w:rsid w:val="00040141"/>
    <w:rsid w:val="0004021A"/>
    <w:rsid w:val="00040322"/>
    <w:rsid w:val="00040369"/>
    <w:rsid w:val="00040451"/>
    <w:rsid w:val="00040520"/>
    <w:rsid w:val="00040679"/>
    <w:rsid w:val="000406BB"/>
    <w:rsid w:val="0004077F"/>
    <w:rsid w:val="000407BA"/>
    <w:rsid w:val="00040A7D"/>
    <w:rsid w:val="00040ACC"/>
    <w:rsid w:val="00040B2F"/>
    <w:rsid w:val="00040BC3"/>
    <w:rsid w:val="00040C19"/>
    <w:rsid w:val="00040D44"/>
    <w:rsid w:val="00040D63"/>
    <w:rsid w:val="00040DA2"/>
    <w:rsid w:val="00040E9E"/>
    <w:rsid w:val="00040EB0"/>
    <w:rsid w:val="00040EFF"/>
    <w:rsid w:val="000410CE"/>
    <w:rsid w:val="000410FE"/>
    <w:rsid w:val="0004110C"/>
    <w:rsid w:val="000411D3"/>
    <w:rsid w:val="000412E1"/>
    <w:rsid w:val="000413D0"/>
    <w:rsid w:val="000413F7"/>
    <w:rsid w:val="00041472"/>
    <w:rsid w:val="0004147D"/>
    <w:rsid w:val="00041534"/>
    <w:rsid w:val="00041559"/>
    <w:rsid w:val="000415A7"/>
    <w:rsid w:val="00041738"/>
    <w:rsid w:val="0004176F"/>
    <w:rsid w:val="000418F0"/>
    <w:rsid w:val="0004196B"/>
    <w:rsid w:val="00041998"/>
    <w:rsid w:val="0004199D"/>
    <w:rsid w:val="00041A38"/>
    <w:rsid w:val="00041AF4"/>
    <w:rsid w:val="00041B09"/>
    <w:rsid w:val="00041C22"/>
    <w:rsid w:val="00041C63"/>
    <w:rsid w:val="00041CAE"/>
    <w:rsid w:val="00041D38"/>
    <w:rsid w:val="00041D93"/>
    <w:rsid w:val="00041DC9"/>
    <w:rsid w:val="00041E3A"/>
    <w:rsid w:val="00041EF1"/>
    <w:rsid w:val="00041F1B"/>
    <w:rsid w:val="0004206E"/>
    <w:rsid w:val="000420B1"/>
    <w:rsid w:val="00042166"/>
    <w:rsid w:val="00042242"/>
    <w:rsid w:val="000422F4"/>
    <w:rsid w:val="0004231E"/>
    <w:rsid w:val="000423CA"/>
    <w:rsid w:val="000423D0"/>
    <w:rsid w:val="0004244F"/>
    <w:rsid w:val="0004256C"/>
    <w:rsid w:val="00042611"/>
    <w:rsid w:val="00042630"/>
    <w:rsid w:val="000428B7"/>
    <w:rsid w:val="000428D3"/>
    <w:rsid w:val="00042950"/>
    <w:rsid w:val="00042B57"/>
    <w:rsid w:val="00042C4A"/>
    <w:rsid w:val="00042C73"/>
    <w:rsid w:val="00042CFB"/>
    <w:rsid w:val="00042D35"/>
    <w:rsid w:val="00042D69"/>
    <w:rsid w:val="00042DD7"/>
    <w:rsid w:val="00042FF9"/>
    <w:rsid w:val="00043003"/>
    <w:rsid w:val="000430FF"/>
    <w:rsid w:val="00043196"/>
    <w:rsid w:val="000431E2"/>
    <w:rsid w:val="0004322B"/>
    <w:rsid w:val="0004327E"/>
    <w:rsid w:val="000432CA"/>
    <w:rsid w:val="000432FC"/>
    <w:rsid w:val="0004338E"/>
    <w:rsid w:val="00043492"/>
    <w:rsid w:val="00043522"/>
    <w:rsid w:val="00043544"/>
    <w:rsid w:val="0004354F"/>
    <w:rsid w:val="00043586"/>
    <w:rsid w:val="000436C9"/>
    <w:rsid w:val="000436E7"/>
    <w:rsid w:val="0004370F"/>
    <w:rsid w:val="00043742"/>
    <w:rsid w:val="000437A8"/>
    <w:rsid w:val="00043893"/>
    <w:rsid w:val="0004393D"/>
    <w:rsid w:val="000439A6"/>
    <w:rsid w:val="00043A26"/>
    <w:rsid w:val="00043B5D"/>
    <w:rsid w:val="00043B67"/>
    <w:rsid w:val="00043BA1"/>
    <w:rsid w:val="00043C7E"/>
    <w:rsid w:val="00043C98"/>
    <w:rsid w:val="00043CDC"/>
    <w:rsid w:val="00043DA7"/>
    <w:rsid w:val="00043EF1"/>
    <w:rsid w:val="000440B8"/>
    <w:rsid w:val="000440C7"/>
    <w:rsid w:val="000440E4"/>
    <w:rsid w:val="0004416C"/>
    <w:rsid w:val="00044205"/>
    <w:rsid w:val="00044245"/>
    <w:rsid w:val="0004435E"/>
    <w:rsid w:val="00044449"/>
    <w:rsid w:val="00044492"/>
    <w:rsid w:val="000444B7"/>
    <w:rsid w:val="000444C7"/>
    <w:rsid w:val="00044513"/>
    <w:rsid w:val="0004451B"/>
    <w:rsid w:val="0004477E"/>
    <w:rsid w:val="00044872"/>
    <w:rsid w:val="0004493D"/>
    <w:rsid w:val="000449D4"/>
    <w:rsid w:val="000449EB"/>
    <w:rsid w:val="00044ABA"/>
    <w:rsid w:val="00044AD8"/>
    <w:rsid w:val="00044C9A"/>
    <w:rsid w:val="00044CF0"/>
    <w:rsid w:val="00044DF7"/>
    <w:rsid w:val="00044E1A"/>
    <w:rsid w:val="00044E52"/>
    <w:rsid w:val="00044EA6"/>
    <w:rsid w:val="00044F85"/>
    <w:rsid w:val="00045097"/>
    <w:rsid w:val="000450A4"/>
    <w:rsid w:val="000450DA"/>
    <w:rsid w:val="00045242"/>
    <w:rsid w:val="000453B9"/>
    <w:rsid w:val="000453DB"/>
    <w:rsid w:val="0004542A"/>
    <w:rsid w:val="000454B6"/>
    <w:rsid w:val="000454F5"/>
    <w:rsid w:val="0004551E"/>
    <w:rsid w:val="000455B1"/>
    <w:rsid w:val="0004563E"/>
    <w:rsid w:val="000456DB"/>
    <w:rsid w:val="00045700"/>
    <w:rsid w:val="00045707"/>
    <w:rsid w:val="0004581B"/>
    <w:rsid w:val="0004582C"/>
    <w:rsid w:val="00045857"/>
    <w:rsid w:val="00045966"/>
    <w:rsid w:val="00045991"/>
    <w:rsid w:val="000459E3"/>
    <w:rsid w:val="000459F2"/>
    <w:rsid w:val="00045A2B"/>
    <w:rsid w:val="00045AAD"/>
    <w:rsid w:val="00045AB0"/>
    <w:rsid w:val="00045AFB"/>
    <w:rsid w:val="00045B60"/>
    <w:rsid w:val="00045BFD"/>
    <w:rsid w:val="00045CA0"/>
    <w:rsid w:val="00045CE7"/>
    <w:rsid w:val="00045D3F"/>
    <w:rsid w:val="00045D93"/>
    <w:rsid w:val="00045DEA"/>
    <w:rsid w:val="00045E03"/>
    <w:rsid w:val="00045E54"/>
    <w:rsid w:val="00045F53"/>
    <w:rsid w:val="00046036"/>
    <w:rsid w:val="000460CC"/>
    <w:rsid w:val="00046138"/>
    <w:rsid w:val="00046204"/>
    <w:rsid w:val="0004638C"/>
    <w:rsid w:val="00046450"/>
    <w:rsid w:val="0004656F"/>
    <w:rsid w:val="000467B9"/>
    <w:rsid w:val="0004687D"/>
    <w:rsid w:val="00046959"/>
    <w:rsid w:val="00046998"/>
    <w:rsid w:val="00046A67"/>
    <w:rsid w:val="00046B5A"/>
    <w:rsid w:val="00046CBC"/>
    <w:rsid w:val="00046CE3"/>
    <w:rsid w:val="00046E13"/>
    <w:rsid w:val="00046E37"/>
    <w:rsid w:val="00046E6C"/>
    <w:rsid w:val="00046EE4"/>
    <w:rsid w:val="00046F37"/>
    <w:rsid w:val="00046F93"/>
    <w:rsid w:val="000471E1"/>
    <w:rsid w:val="00047209"/>
    <w:rsid w:val="00047298"/>
    <w:rsid w:val="00047299"/>
    <w:rsid w:val="0004734A"/>
    <w:rsid w:val="000473E5"/>
    <w:rsid w:val="0004747B"/>
    <w:rsid w:val="000474E1"/>
    <w:rsid w:val="00047591"/>
    <w:rsid w:val="00047613"/>
    <w:rsid w:val="00047623"/>
    <w:rsid w:val="00047771"/>
    <w:rsid w:val="000477B2"/>
    <w:rsid w:val="00047860"/>
    <w:rsid w:val="000478CA"/>
    <w:rsid w:val="00047A1A"/>
    <w:rsid w:val="00047A84"/>
    <w:rsid w:val="00047A90"/>
    <w:rsid w:val="00047BF5"/>
    <w:rsid w:val="00047C10"/>
    <w:rsid w:val="00047C81"/>
    <w:rsid w:val="00047CC1"/>
    <w:rsid w:val="00047CD2"/>
    <w:rsid w:val="00047CE3"/>
    <w:rsid w:val="00047D67"/>
    <w:rsid w:val="00047D7D"/>
    <w:rsid w:val="00047DE7"/>
    <w:rsid w:val="00047E79"/>
    <w:rsid w:val="00047ECF"/>
    <w:rsid w:val="00047F17"/>
    <w:rsid w:val="00047F39"/>
    <w:rsid w:val="0005002A"/>
    <w:rsid w:val="0005026C"/>
    <w:rsid w:val="00050276"/>
    <w:rsid w:val="000502D1"/>
    <w:rsid w:val="00050316"/>
    <w:rsid w:val="000503C0"/>
    <w:rsid w:val="00050487"/>
    <w:rsid w:val="0005058E"/>
    <w:rsid w:val="000505F1"/>
    <w:rsid w:val="000506F6"/>
    <w:rsid w:val="0005073D"/>
    <w:rsid w:val="0005075C"/>
    <w:rsid w:val="000508A9"/>
    <w:rsid w:val="00050978"/>
    <w:rsid w:val="00050A07"/>
    <w:rsid w:val="00050B89"/>
    <w:rsid w:val="00050BE7"/>
    <w:rsid w:val="00050CFF"/>
    <w:rsid w:val="00050E03"/>
    <w:rsid w:val="00050EE7"/>
    <w:rsid w:val="00050F15"/>
    <w:rsid w:val="00050F32"/>
    <w:rsid w:val="00051026"/>
    <w:rsid w:val="00051078"/>
    <w:rsid w:val="000510E0"/>
    <w:rsid w:val="000512E3"/>
    <w:rsid w:val="0005133F"/>
    <w:rsid w:val="00051445"/>
    <w:rsid w:val="0005147B"/>
    <w:rsid w:val="000515FC"/>
    <w:rsid w:val="0005161E"/>
    <w:rsid w:val="000516A2"/>
    <w:rsid w:val="00051736"/>
    <w:rsid w:val="000517BE"/>
    <w:rsid w:val="000518C5"/>
    <w:rsid w:val="000519F2"/>
    <w:rsid w:val="00051A91"/>
    <w:rsid w:val="00051BE0"/>
    <w:rsid w:val="00051DFA"/>
    <w:rsid w:val="0005200D"/>
    <w:rsid w:val="0005206F"/>
    <w:rsid w:val="0005208B"/>
    <w:rsid w:val="000520E4"/>
    <w:rsid w:val="000521B9"/>
    <w:rsid w:val="000521DC"/>
    <w:rsid w:val="000521E8"/>
    <w:rsid w:val="0005223B"/>
    <w:rsid w:val="000522B8"/>
    <w:rsid w:val="000522D2"/>
    <w:rsid w:val="000522D5"/>
    <w:rsid w:val="00052328"/>
    <w:rsid w:val="0005236C"/>
    <w:rsid w:val="0005248E"/>
    <w:rsid w:val="000524E3"/>
    <w:rsid w:val="000525D4"/>
    <w:rsid w:val="00052632"/>
    <w:rsid w:val="0005263A"/>
    <w:rsid w:val="00052651"/>
    <w:rsid w:val="00052663"/>
    <w:rsid w:val="00052672"/>
    <w:rsid w:val="0005272A"/>
    <w:rsid w:val="0005272F"/>
    <w:rsid w:val="000527A6"/>
    <w:rsid w:val="00052878"/>
    <w:rsid w:val="0005289A"/>
    <w:rsid w:val="00052969"/>
    <w:rsid w:val="00052A1A"/>
    <w:rsid w:val="00052B23"/>
    <w:rsid w:val="00052BD1"/>
    <w:rsid w:val="00052BD4"/>
    <w:rsid w:val="00052CD9"/>
    <w:rsid w:val="00052D4F"/>
    <w:rsid w:val="00052DDF"/>
    <w:rsid w:val="00052EE7"/>
    <w:rsid w:val="00052F18"/>
    <w:rsid w:val="00052FA7"/>
    <w:rsid w:val="00053000"/>
    <w:rsid w:val="00053017"/>
    <w:rsid w:val="0005302B"/>
    <w:rsid w:val="00053088"/>
    <w:rsid w:val="00053218"/>
    <w:rsid w:val="0005323E"/>
    <w:rsid w:val="000532D8"/>
    <w:rsid w:val="000533AC"/>
    <w:rsid w:val="00053499"/>
    <w:rsid w:val="0005358C"/>
    <w:rsid w:val="000535FB"/>
    <w:rsid w:val="0005362B"/>
    <w:rsid w:val="00053669"/>
    <w:rsid w:val="0005367E"/>
    <w:rsid w:val="000536D8"/>
    <w:rsid w:val="00053794"/>
    <w:rsid w:val="0005388D"/>
    <w:rsid w:val="00053998"/>
    <w:rsid w:val="00053A4E"/>
    <w:rsid w:val="00053A9D"/>
    <w:rsid w:val="00053C89"/>
    <w:rsid w:val="00053CBB"/>
    <w:rsid w:val="00053DCB"/>
    <w:rsid w:val="00053DED"/>
    <w:rsid w:val="00053E07"/>
    <w:rsid w:val="00053ECC"/>
    <w:rsid w:val="00054084"/>
    <w:rsid w:val="000540F2"/>
    <w:rsid w:val="0005412A"/>
    <w:rsid w:val="00054238"/>
    <w:rsid w:val="00054376"/>
    <w:rsid w:val="00054387"/>
    <w:rsid w:val="000543CE"/>
    <w:rsid w:val="000543D2"/>
    <w:rsid w:val="0005446C"/>
    <w:rsid w:val="000544F2"/>
    <w:rsid w:val="000545F2"/>
    <w:rsid w:val="0005464D"/>
    <w:rsid w:val="00054656"/>
    <w:rsid w:val="000546EF"/>
    <w:rsid w:val="00054710"/>
    <w:rsid w:val="0005491A"/>
    <w:rsid w:val="0005496C"/>
    <w:rsid w:val="000549A6"/>
    <w:rsid w:val="00054A67"/>
    <w:rsid w:val="00054AA4"/>
    <w:rsid w:val="00054B32"/>
    <w:rsid w:val="00054BBE"/>
    <w:rsid w:val="00054C63"/>
    <w:rsid w:val="00054C6B"/>
    <w:rsid w:val="00054CBC"/>
    <w:rsid w:val="00054CBE"/>
    <w:rsid w:val="00054DC5"/>
    <w:rsid w:val="00054E11"/>
    <w:rsid w:val="00054E6F"/>
    <w:rsid w:val="00054EDE"/>
    <w:rsid w:val="00054EFD"/>
    <w:rsid w:val="00054F00"/>
    <w:rsid w:val="00054F93"/>
    <w:rsid w:val="000550B7"/>
    <w:rsid w:val="000551CE"/>
    <w:rsid w:val="000551D8"/>
    <w:rsid w:val="00055279"/>
    <w:rsid w:val="000552AD"/>
    <w:rsid w:val="000553A4"/>
    <w:rsid w:val="0005541A"/>
    <w:rsid w:val="0005542E"/>
    <w:rsid w:val="00055495"/>
    <w:rsid w:val="0005555E"/>
    <w:rsid w:val="00055584"/>
    <w:rsid w:val="000555F2"/>
    <w:rsid w:val="0005563F"/>
    <w:rsid w:val="00055748"/>
    <w:rsid w:val="000557BF"/>
    <w:rsid w:val="000557C5"/>
    <w:rsid w:val="00055889"/>
    <w:rsid w:val="000558B0"/>
    <w:rsid w:val="000558F5"/>
    <w:rsid w:val="000559AD"/>
    <w:rsid w:val="00055A41"/>
    <w:rsid w:val="00055BB5"/>
    <w:rsid w:val="00055BF0"/>
    <w:rsid w:val="00055C17"/>
    <w:rsid w:val="00055C4B"/>
    <w:rsid w:val="00055C9A"/>
    <w:rsid w:val="00055CDB"/>
    <w:rsid w:val="00055CEB"/>
    <w:rsid w:val="00055CFB"/>
    <w:rsid w:val="00055D7E"/>
    <w:rsid w:val="00055DAA"/>
    <w:rsid w:val="00055DB6"/>
    <w:rsid w:val="00055DD0"/>
    <w:rsid w:val="00055E0D"/>
    <w:rsid w:val="00055E50"/>
    <w:rsid w:val="00055E72"/>
    <w:rsid w:val="0005611B"/>
    <w:rsid w:val="00056188"/>
    <w:rsid w:val="00056351"/>
    <w:rsid w:val="00056352"/>
    <w:rsid w:val="000565AB"/>
    <w:rsid w:val="0005662C"/>
    <w:rsid w:val="000566F1"/>
    <w:rsid w:val="00056701"/>
    <w:rsid w:val="00056829"/>
    <w:rsid w:val="000569BF"/>
    <w:rsid w:val="00056A1C"/>
    <w:rsid w:val="00056B7B"/>
    <w:rsid w:val="00056B90"/>
    <w:rsid w:val="00056C35"/>
    <w:rsid w:val="00056C4C"/>
    <w:rsid w:val="00056CAA"/>
    <w:rsid w:val="00056D4F"/>
    <w:rsid w:val="00056D9F"/>
    <w:rsid w:val="00056F76"/>
    <w:rsid w:val="00056F94"/>
    <w:rsid w:val="00056FD6"/>
    <w:rsid w:val="0005710A"/>
    <w:rsid w:val="00057114"/>
    <w:rsid w:val="0005715D"/>
    <w:rsid w:val="000571F9"/>
    <w:rsid w:val="000572BF"/>
    <w:rsid w:val="00057331"/>
    <w:rsid w:val="000573DA"/>
    <w:rsid w:val="00057425"/>
    <w:rsid w:val="00057454"/>
    <w:rsid w:val="00057476"/>
    <w:rsid w:val="000574A0"/>
    <w:rsid w:val="0005754B"/>
    <w:rsid w:val="000575CC"/>
    <w:rsid w:val="000575D6"/>
    <w:rsid w:val="0005760B"/>
    <w:rsid w:val="0005769F"/>
    <w:rsid w:val="000576DF"/>
    <w:rsid w:val="00057810"/>
    <w:rsid w:val="0005781F"/>
    <w:rsid w:val="0005783A"/>
    <w:rsid w:val="00057BD1"/>
    <w:rsid w:val="00057CF5"/>
    <w:rsid w:val="00057D55"/>
    <w:rsid w:val="00057DBB"/>
    <w:rsid w:val="00057DE8"/>
    <w:rsid w:val="00057FC0"/>
    <w:rsid w:val="00060010"/>
    <w:rsid w:val="00060050"/>
    <w:rsid w:val="000600EC"/>
    <w:rsid w:val="00060113"/>
    <w:rsid w:val="0006016C"/>
    <w:rsid w:val="0006018F"/>
    <w:rsid w:val="00060244"/>
    <w:rsid w:val="00060262"/>
    <w:rsid w:val="0006040F"/>
    <w:rsid w:val="00060430"/>
    <w:rsid w:val="00060451"/>
    <w:rsid w:val="00060484"/>
    <w:rsid w:val="00060500"/>
    <w:rsid w:val="00060505"/>
    <w:rsid w:val="000605C5"/>
    <w:rsid w:val="0006068A"/>
    <w:rsid w:val="000606C9"/>
    <w:rsid w:val="0006076B"/>
    <w:rsid w:val="000607AB"/>
    <w:rsid w:val="0006095D"/>
    <w:rsid w:val="000609F9"/>
    <w:rsid w:val="00060A72"/>
    <w:rsid w:val="00060AFD"/>
    <w:rsid w:val="00060C20"/>
    <w:rsid w:val="00060D2C"/>
    <w:rsid w:val="00060D66"/>
    <w:rsid w:val="00060D96"/>
    <w:rsid w:val="00060E4E"/>
    <w:rsid w:val="00060E6E"/>
    <w:rsid w:val="00060E85"/>
    <w:rsid w:val="00060F6E"/>
    <w:rsid w:val="00060FA7"/>
    <w:rsid w:val="00061022"/>
    <w:rsid w:val="0006103B"/>
    <w:rsid w:val="00061055"/>
    <w:rsid w:val="000610FD"/>
    <w:rsid w:val="0006110B"/>
    <w:rsid w:val="0006114B"/>
    <w:rsid w:val="0006123F"/>
    <w:rsid w:val="00061268"/>
    <w:rsid w:val="0006126C"/>
    <w:rsid w:val="0006131D"/>
    <w:rsid w:val="00061443"/>
    <w:rsid w:val="00061562"/>
    <w:rsid w:val="00061588"/>
    <w:rsid w:val="00061596"/>
    <w:rsid w:val="000617C4"/>
    <w:rsid w:val="00061849"/>
    <w:rsid w:val="000618AC"/>
    <w:rsid w:val="0006192F"/>
    <w:rsid w:val="000619D7"/>
    <w:rsid w:val="00061A72"/>
    <w:rsid w:val="00061A9C"/>
    <w:rsid w:val="00061BAC"/>
    <w:rsid w:val="00061BE4"/>
    <w:rsid w:val="00061C24"/>
    <w:rsid w:val="00061DAA"/>
    <w:rsid w:val="00061EE6"/>
    <w:rsid w:val="00061FEC"/>
    <w:rsid w:val="00061FF1"/>
    <w:rsid w:val="00061FFF"/>
    <w:rsid w:val="00062021"/>
    <w:rsid w:val="00062045"/>
    <w:rsid w:val="00062071"/>
    <w:rsid w:val="0006207E"/>
    <w:rsid w:val="000620AB"/>
    <w:rsid w:val="000621BD"/>
    <w:rsid w:val="0006234A"/>
    <w:rsid w:val="0006238D"/>
    <w:rsid w:val="00062417"/>
    <w:rsid w:val="00062423"/>
    <w:rsid w:val="0006248A"/>
    <w:rsid w:val="000625CA"/>
    <w:rsid w:val="0006260E"/>
    <w:rsid w:val="0006264A"/>
    <w:rsid w:val="000626BC"/>
    <w:rsid w:val="00062704"/>
    <w:rsid w:val="0006273C"/>
    <w:rsid w:val="00062762"/>
    <w:rsid w:val="00062855"/>
    <w:rsid w:val="000628C5"/>
    <w:rsid w:val="00062A0C"/>
    <w:rsid w:val="00062A40"/>
    <w:rsid w:val="00062B43"/>
    <w:rsid w:val="00062B54"/>
    <w:rsid w:val="00062BAA"/>
    <w:rsid w:val="00062D25"/>
    <w:rsid w:val="00062E06"/>
    <w:rsid w:val="00062EB1"/>
    <w:rsid w:val="00062F6E"/>
    <w:rsid w:val="00062FFF"/>
    <w:rsid w:val="0006318D"/>
    <w:rsid w:val="00063247"/>
    <w:rsid w:val="00063322"/>
    <w:rsid w:val="00063361"/>
    <w:rsid w:val="0006337C"/>
    <w:rsid w:val="000633A1"/>
    <w:rsid w:val="0006348A"/>
    <w:rsid w:val="000634EA"/>
    <w:rsid w:val="00063604"/>
    <w:rsid w:val="000636E0"/>
    <w:rsid w:val="0006371B"/>
    <w:rsid w:val="00063801"/>
    <w:rsid w:val="000638CD"/>
    <w:rsid w:val="0006395C"/>
    <w:rsid w:val="0006395D"/>
    <w:rsid w:val="00063A4B"/>
    <w:rsid w:val="00063A67"/>
    <w:rsid w:val="00063B13"/>
    <w:rsid w:val="00063B63"/>
    <w:rsid w:val="00063D19"/>
    <w:rsid w:val="00063DB5"/>
    <w:rsid w:val="00063E35"/>
    <w:rsid w:val="00063E3E"/>
    <w:rsid w:val="00063E7A"/>
    <w:rsid w:val="00063F37"/>
    <w:rsid w:val="00063F5D"/>
    <w:rsid w:val="0006401A"/>
    <w:rsid w:val="000640C2"/>
    <w:rsid w:val="000640CC"/>
    <w:rsid w:val="000640CF"/>
    <w:rsid w:val="0006413B"/>
    <w:rsid w:val="0006413E"/>
    <w:rsid w:val="00064281"/>
    <w:rsid w:val="000642F8"/>
    <w:rsid w:val="00064404"/>
    <w:rsid w:val="00064484"/>
    <w:rsid w:val="00064514"/>
    <w:rsid w:val="000646A5"/>
    <w:rsid w:val="000647DD"/>
    <w:rsid w:val="00064A43"/>
    <w:rsid w:val="00064AB2"/>
    <w:rsid w:val="00064B2B"/>
    <w:rsid w:val="00064C44"/>
    <w:rsid w:val="00064D04"/>
    <w:rsid w:val="00064EBA"/>
    <w:rsid w:val="00065099"/>
    <w:rsid w:val="000650BC"/>
    <w:rsid w:val="0006511E"/>
    <w:rsid w:val="0006524E"/>
    <w:rsid w:val="000652B6"/>
    <w:rsid w:val="000652F0"/>
    <w:rsid w:val="000652F3"/>
    <w:rsid w:val="00065352"/>
    <w:rsid w:val="000653A8"/>
    <w:rsid w:val="000653BC"/>
    <w:rsid w:val="00065582"/>
    <w:rsid w:val="000655A0"/>
    <w:rsid w:val="000655C5"/>
    <w:rsid w:val="000657DA"/>
    <w:rsid w:val="000658DB"/>
    <w:rsid w:val="00065AAA"/>
    <w:rsid w:val="00065B6E"/>
    <w:rsid w:val="00065D50"/>
    <w:rsid w:val="00065D7F"/>
    <w:rsid w:val="00065D8A"/>
    <w:rsid w:val="00065E50"/>
    <w:rsid w:val="00065F2E"/>
    <w:rsid w:val="00065FC0"/>
    <w:rsid w:val="00065FE5"/>
    <w:rsid w:val="00065FF0"/>
    <w:rsid w:val="0006601B"/>
    <w:rsid w:val="00066090"/>
    <w:rsid w:val="00066098"/>
    <w:rsid w:val="000660A8"/>
    <w:rsid w:val="000660C6"/>
    <w:rsid w:val="00066167"/>
    <w:rsid w:val="00066283"/>
    <w:rsid w:val="000662BB"/>
    <w:rsid w:val="000662E2"/>
    <w:rsid w:val="00066334"/>
    <w:rsid w:val="0006636B"/>
    <w:rsid w:val="000663D7"/>
    <w:rsid w:val="000664AF"/>
    <w:rsid w:val="000664BA"/>
    <w:rsid w:val="000664EF"/>
    <w:rsid w:val="00066587"/>
    <w:rsid w:val="00066596"/>
    <w:rsid w:val="00066699"/>
    <w:rsid w:val="000667CC"/>
    <w:rsid w:val="000667F1"/>
    <w:rsid w:val="00066880"/>
    <w:rsid w:val="00066894"/>
    <w:rsid w:val="000668DB"/>
    <w:rsid w:val="00066964"/>
    <w:rsid w:val="00066A1C"/>
    <w:rsid w:val="00066AAB"/>
    <w:rsid w:val="00066B50"/>
    <w:rsid w:val="00066B58"/>
    <w:rsid w:val="00066C15"/>
    <w:rsid w:val="00066D1A"/>
    <w:rsid w:val="00066F7D"/>
    <w:rsid w:val="00066F94"/>
    <w:rsid w:val="00066FF4"/>
    <w:rsid w:val="00067026"/>
    <w:rsid w:val="0006705B"/>
    <w:rsid w:val="000671A5"/>
    <w:rsid w:val="000671CD"/>
    <w:rsid w:val="0006748F"/>
    <w:rsid w:val="0006749B"/>
    <w:rsid w:val="0006756C"/>
    <w:rsid w:val="000675E0"/>
    <w:rsid w:val="0006762B"/>
    <w:rsid w:val="00067713"/>
    <w:rsid w:val="00067723"/>
    <w:rsid w:val="00067779"/>
    <w:rsid w:val="000677F8"/>
    <w:rsid w:val="00067821"/>
    <w:rsid w:val="0006788C"/>
    <w:rsid w:val="00067948"/>
    <w:rsid w:val="000679D2"/>
    <w:rsid w:val="00067A0B"/>
    <w:rsid w:val="00067ACE"/>
    <w:rsid w:val="00067AFD"/>
    <w:rsid w:val="00067B1A"/>
    <w:rsid w:val="00067B64"/>
    <w:rsid w:val="00067C0C"/>
    <w:rsid w:val="00067C32"/>
    <w:rsid w:val="00067C4B"/>
    <w:rsid w:val="00067E00"/>
    <w:rsid w:val="00067E52"/>
    <w:rsid w:val="00067EC4"/>
    <w:rsid w:val="00070067"/>
    <w:rsid w:val="00070094"/>
    <w:rsid w:val="000701AD"/>
    <w:rsid w:val="00070284"/>
    <w:rsid w:val="000702E3"/>
    <w:rsid w:val="00070353"/>
    <w:rsid w:val="000704C9"/>
    <w:rsid w:val="000707E3"/>
    <w:rsid w:val="000708D4"/>
    <w:rsid w:val="0007093E"/>
    <w:rsid w:val="00070959"/>
    <w:rsid w:val="00070964"/>
    <w:rsid w:val="0007098E"/>
    <w:rsid w:val="000709B8"/>
    <w:rsid w:val="00070A25"/>
    <w:rsid w:val="00070AE4"/>
    <w:rsid w:val="00070AE8"/>
    <w:rsid w:val="00070B9C"/>
    <w:rsid w:val="00070BF1"/>
    <w:rsid w:val="00070BFF"/>
    <w:rsid w:val="00070C00"/>
    <w:rsid w:val="00070D34"/>
    <w:rsid w:val="00070D6C"/>
    <w:rsid w:val="00070E83"/>
    <w:rsid w:val="00071032"/>
    <w:rsid w:val="000710A2"/>
    <w:rsid w:val="000712B4"/>
    <w:rsid w:val="000712C7"/>
    <w:rsid w:val="0007131D"/>
    <w:rsid w:val="00071370"/>
    <w:rsid w:val="00071657"/>
    <w:rsid w:val="000716F1"/>
    <w:rsid w:val="0007183D"/>
    <w:rsid w:val="00071871"/>
    <w:rsid w:val="00071882"/>
    <w:rsid w:val="00071938"/>
    <w:rsid w:val="00071957"/>
    <w:rsid w:val="00071A49"/>
    <w:rsid w:val="00071B84"/>
    <w:rsid w:val="00071BF4"/>
    <w:rsid w:val="00071C70"/>
    <w:rsid w:val="00071C94"/>
    <w:rsid w:val="00071D33"/>
    <w:rsid w:val="00071D8B"/>
    <w:rsid w:val="00071DB2"/>
    <w:rsid w:val="00071EC7"/>
    <w:rsid w:val="000720DE"/>
    <w:rsid w:val="00072151"/>
    <w:rsid w:val="00072199"/>
    <w:rsid w:val="00072228"/>
    <w:rsid w:val="00072283"/>
    <w:rsid w:val="0007239B"/>
    <w:rsid w:val="000724F7"/>
    <w:rsid w:val="0007251D"/>
    <w:rsid w:val="0007256F"/>
    <w:rsid w:val="00072763"/>
    <w:rsid w:val="000727BE"/>
    <w:rsid w:val="000727F7"/>
    <w:rsid w:val="00072875"/>
    <w:rsid w:val="000728ED"/>
    <w:rsid w:val="00072954"/>
    <w:rsid w:val="00072973"/>
    <w:rsid w:val="000729A4"/>
    <w:rsid w:val="00072A5B"/>
    <w:rsid w:val="00072ACE"/>
    <w:rsid w:val="00072B03"/>
    <w:rsid w:val="00072B8F"/>
    <w:rsid w:val="00072CD8"/>
    <w:rsid w:val="00072E9C"/>
    <w:rsid w:val="00072F50"/>
    <w:rsid w:val="00072F7E"/>
    <w:rsid w:val="0007332F"/>
    <w:rsid w:val="000733B9"/>
    <w:rsid w:val="00073514"/>
    <w:rsid w:val="00073527"/>
    <w:rsid w:val="000735E4"/>
    <w:rsid w:val="000737F1"/>
    <w:rsid w:val="00073860"/>
    <w:rsid w:val="000738B4"/>
    <w:rsid w:val="00073955"/>
    <w:rsid w:val="00073A0B"/>
    <w:rsid w:val="00073A1B"/>
    <w:rsid w:val="00073B29"/>
    <w:rsid w:val="00073C95"/>
    <w:rsid w:val="00073CB3"/>
    <w:rsid w:val="00073D16"/>
    <w:rsid w:val="00073D27"/>
    <w:rsid w:val="00073DE4"/>
    <w:rsid w:val="00073E1B"/>
    <w:rsid w:val="00073F08"/>
    <w:rsid w:val="00073FF7"/>
    <w:rsid w:val="0007402D"/>
    <w:rsid w:val="000741DE"/>
    <w:rsid w:val="0007420F"/>
    <w:rsid w:val="000742C8"/>
    <w:rsid w:val="0007438D"/>
    <w:rsid w:val="000744BC"/>
    <w:rsid w:val="00074566"/>
    <w:rsid w:val="00074573"/>
    <w:rsid w:val="00074615"/>
    <w:rsid w:val="000746CA"/>
    <w:rsid w:val="00074738"/>
    <w:rsid w:val="00074739"/>
    <w:rsid w:val="00074758"/>
    <w:rsid w:val="00074802"/>
    <w:rsid w:val="00074840"/>
    <w:rsid w:val="00074842"/>
    <w:rsid w:val="000749E0"/>
    <w:rsid w:val="000749F5"/>
    <w:rsid w:val="00074A05"/>
    <w:rsid w:val="00074A30"/>
    <w:rsid w:val="00074A50"/>
    <w:rsid w:val="00074B5F"/>
    <w:rsid w:val="00074B8E"/>
    <w:rsid w:val="00074BDC"/>
    <w:rsid w:val="00074C48"/>
    <w:rsid w:val="00074C5C"/>
    <w:rsid w:val="00074CDB"/>
    <w:rsid w:val="00074CE6"/>
    <w:rsid w:val="00074D32"/>
    <w:rsid w:val="00074DAF"/>
    <w:rsid w:val="00074EDE"/>
    <w:rsid w:val="00074EEF"/>
    <w:rsid w:val="00074F0F"/>
    <w:rsid w:val="00074FAA"/>
    <w:rsid w:val="00074FDA"/>
    <w:rsid w:val="0007510F"/>
    <w:rsid w:val="0007511F"/>
    <w:rsid w:val="000751BF"/>
    <w:rsid w:val="00075349"/>
    <w:rsid w:val="00075404"/>
    <w:rsid w:val="000754E1"/>
    <w:rsid w:val="0007553D"/>
    <w:rsid w:val="00075566"/>
    <w:rsid w:val="00075570"/>
    <w:rsid w:val="000756DC"/>
    <w:rsid w:val="00075928"/>
    <w:rsid w:val="00075967"/>
    <w:rsid w:val="00075A87"/>
    <w:rsid w:val="00075B69"/>
    <w:rsid w:val="00075BA5"/>
    <w:rsid w:val="00075BAE"/>
    <w:rsid w:val="00075C75"/>
    <w:rsid w:val="00075CAD"/>
    <w:rsid w:val="00075D14"/>
    <w:rsid w:val="00075DDD"/>
    <w:rsid w:val="00075E36"/>
    <w:rsid w:val="00075FF6"/>
    <w:rsid w:val="00076005"/>
    <w:rsid w:val="0007600E"/>
    <w:rsid w:val="000760A2"/>
    <w:rsid w:val="000762B7"/>
    <w:rsid w:val="0007630F"/>
    <w:rsid w:val="0007637A"/>
    <w:rsid w:val="00076487"/>
    <w:rsid w:val="000764AB"/>
    <w:rsid w:val="000764F5"/>
    <w:rsid w:val="00076560"/>
    <w:rsid w:val="00076593"/>
    <w:rsid w:val="00076869"/>
    <w:rsid w:val="0007692B"/>
    <w:rsid w:val="000769D3"/>
    <w:rsid w:val="00076ADF"/>
    <w:rsid w:val="00076AE9"/>
    <w:rsid w:val="00076CCD"/>
    <w:rsid w:val="00076D38"/>
    <w:rsid w:val="00076D42"/>
    <w:rsid w:val="00076DB3"/>
    <w:rsid w:val="00076DC3"/>
    <w:rsid w:val="00076DD0"/>
    <w:rsid w:val="00076DD4"/>
    <w:rsid w:val="00076DE4"/>
    <w:rsid w:val="00076EC5"/>
    <w:rsid w:val="00076EE3"/>
    <w:rsid w:val="00076F5B"/>
    <w:rsid w:val="00076F8A"/>
    <w:rsid w:val="00076F95"/>
    <w:rsid w:val="000770E4"/>
    <w:rsid w:val="000770F9"/>
    <w:rsid w:val="00077111"/>
    <w:rsid w:val="00077157"/>
    <w:rsid w:val="00077176"/>
    <w:rsid w:val="000773A7"/>
    <w:rsid w:val="000773AB"/>
    <w:rsid w:val="0007748C"/>
    <w:rsid w:val="000774F7"/>
    <w:rsid w:val="000774FF"/>
    <w:rsid w:val="00077524"/>
    <w:rsid w:val="0007756B"/>
    <w:rsid w:val="0007756F"/>
    <w:rsid w:val="0007759C"/>
    <w:rsid w:val="000775D3"/>
    <w:rsid w:val="000775EB"/>
    <w:rsid w:val="0007761B"/>
    <w:rsid w:val="0007768F"/>
    <w:rsid w:val="000776F2"/>
    <w:rsid w:val="000776F7"/>
    <w:rsid w:val="00077769"/>
    <w:rsid w:val="000777BF"/>
    <w:rsid w:val="00077853"/>
    <w:rsid w:val="000779E2"/>
    <w:rsid w:val="000779FF"/>
    <w:rsid w:val="00077A2E"/>
    <w:rsid w:val="00077A65"/>
    <w:rsid w:val="00077F26"/>
    <w:rsid w:val="00077F71"/>
    <w:rsid w:val="00077F95"/>
    <w:rsid w:val="00080013"/>
    <w:rsid w:val="00080162"/>
    <w:rsid w:val="00080358"/>
    <w:rsid w:val="0008041A"/>
    <w:rsid w:val="0008043C"/>
    <w:rsid w:val="000805EA"/>
    <w:rsid w:val="000806A3"/>
    <w:rsid w:val="0008080D"/>
    <w:rsid w:val="0008093E"/>
    <w:rsid w:val="00080A04"/>
    <w:rsid w:val="00080B63"/>
    <w:rsid w:val="00080D7F"/>
    <w:rsid w:val="00080D8F"/>
    <w:rsid w:val="00080D98"/>
    <w:rsid w:val="00080DC4"/>
    <w:rsid w:val="000810A3"/>
    <w:rsid w:val="000810EA"/>
    <w:rsid w:val="0008114D"/>
    <w:rsid w:val="00081443"/>
    <w:rsid w:val="000814C4"/>
    <w:rsid w:val="000814E6"/>
    <w:rsid w:val="000814F2"/>
    <w:rsid w:val="000815C7"/>
    <w:rsid w:val="000815D9"/>
    <w:rsid w:val="0008169D"/>
    <w:rsid w:val="000816B6"/>
    <w:rsid w:val="000816C4"/>
    <w:rsid w:val="00081825"/>
    <w:rsid w:val="0008189F"/>
    <w:rsid w:val="000818AE"/>
    <w:rsid w:val="000818D4"/>
    <w:rsid w:val="000818FA"/>
    <w:rsid w:val="000819EA"/>
    <w:rsid w:val="00081A42"/>
    <w:rsid w:val="00081A63"/>
    <w:rsid w:val="00081B18"/>
    <w:rsid w:val="00081B4B"/>
    <w:rsid w:val="00081B54"/>
    <w:rsid w:val="00081C86"/>
    <w:rsid w:val="00081DAB"/>
    <w:rsid w:val="00081DB0"/>
    <w:rsid w:val="00081E81"/>
    <w:rsid w:val="00081E8B"/>
    <w:rsid w:val="00081F55"/>
    <w:rsid w:val="00081FE3"/>
    <w:rsid w:val="000820E5"/>
    <w:rsid w:val="00082267"/>
    <w:rsid w:val="000822BF"/>
    <w:rsid w:val="00082321"/>
    <w:rsid w:val="0008236B"/>
    <w:rsid w:val="0008249C"/>
    <w:rsid w:val="0008252A"/>
    <w:rsid w:val="00082645"/>
    <w:rsid w:val="00082787"/>
    <w:rsid w:val="0008282D"/>
    <w:rsid w:val="000828BE"/>
    <w:rsid w:val="00082980"/>
    <w:rsid w:val="00082A0E"/>
    <w:rsid w:val="00082A2C"/>
    <w:rsid w:val="00082A46"/>
    <w:rsid w:val="00082AA2"/>
    <w:rsid w:val="00082B06"/>
    <w:rsid w:val="00082B6F"/>
    <w:rsid w:val="00082B79"/>
    <w:rsid w:val="00082C0B"/>
    <w:rsid w:val="00082D78"/>
    <w:rsid w:val="00082D9F"/>
    <w:rsid w:val="00082EA6"/>
    <w:rsid w:val="00082F3C"/>
    <w:rsid w:val="00082F5C"/>
    <w:rsid w:val="00082F9B"/>
    <w:rsid w:val="00082FC0"/>
    <w:rsid w:val="000830EE"/>
    <w:rsid w:val="000831FA"/>
    <w:rsid w:val="0008338F"/>
    <w:rsid w:val="00083468"/>
    <w:rsid w:val="00083549"/>
    <w:rsid w:val="000835EB"/>
    <w:rsid w:val="0008373F"/>
    <w:rsid w:val="000837AF"/>
    <w:rsid w:val="00083881"/>
    <w:rsid w:val="000838A1"/>
    <w:rsid w:val="000839E6"/>
    <w:rsid w:val="00083A38"/>
    <w:rsid w:val="00083A3A"/>
    <w:rsid w:val="00083B1B"/>
    <w:rsid w:val="00083B9E"/>
    <w:rsid w:val="00083BA3"/>
    <w:rsid w:val="00083D7C"/>
    <w:rsid w:val="00083F34"/>
    <w:rsid w:val="0008420F"/>
    <w:rsid w:val="000842F9"/>
    <w:rsid w:val="00084455"/>
    <w:rsid w:val="0008451B"/>
    <w:rsid w:val="00084554"/>
    <w:rsid w:val="0008459B"/>
    <w:rsid w:val="00084614"/>
    <w:rsid w:val="0008467E"/>
    <w:rsid w:val="00084700"/>
    <w:rsid w:val="00084783"/>
    <w:rsid w:val="00084A68"/>
    <w:rsid w:val="00084B2E"/>
    <w:rsid w:val="00084BAE"/>
    <w:rsid w:val="00084C5F"/>
    <w:rsid w:val="00084CAD"/>
    <w:rsid w:val="00084D38"/>
    <w:rsid w:val="00084D7D"/>
    <w:rsid w:val="00084E7B"/>
    <w:rsid w:val="00084E9C"/>
    <w:rsid w:val="00084F07"/>
    <w:rsid w:val="00084F68"/>
    <w:rsid w:val="00084FB1"/>
    <w:rsid w:val="00084FE6"/>
    <w:rsid w:val="00084FF2"/>
    <w:rsid w:val="00085002"/>
    <w:rsid w:val="00085146"/>
    <w:rsid w:val="000851BA"/>
    <w:rsid w:val="00085285"/>
    <w:rsid w:val="000852AF"/>
    <w:rsid w:val="000852FA"/>
    <w:rsid w:val="000853B9"/>
    <w:rsid w:val="0008547A"/>
    <w:rsid w:val="000856B0"/>
    <w:rsid w:val="00085863"/>
    <w:rsid w:val="000858FD"/>
    <w:rsid w:val="00085972"/>
    <w:rsid w:val="000859C5"/>
    <w:rsid w:val="00085A71"/>
    <w:rsid w:val="00085B44"/>
    <w:rsid w:val="00085B4A"/>
    <w:rsid w:val="00085C47"/>
    <w:rsid w:val="00085C68"/>
    <w:rsid w:val="00085CA3"/>
    <w:rsid w:val="00085CCA"/>
    <w:rsid w:val="00085EDC"/>
    <w:rsid w:val="000861DA"/>
    <w:rsid w:val="0008629A"/>
    <w:rsid w:val="000862C0"/>
    <w:rsid w:val="0008630F"/>
    <w:rsid w:val="000863F1"/>
    <w:rsid w:val="00086413"/>
    <w:rsid w:val="00086483"/>
    <w:rsid w:val="000865DC"/>
    <w:rsid w:val="00086609"/>
    <w:rsid w:val="000866B1"/>
    <w:rsid w:val="00086783"/>
    <w:rsid w:val="000868AD"/>
    <w:rsid w:val="000869D4"/>
    <w:rsid w:val="00086A91"/>
    <w:rsid w:val="00086BE4"/>
    <w:rsid w:val="00086DB2"/>
    <w:rsid w:val="00086DF0"/>
    <w:rsid w:val="00086F07"/>
    <w:rsid w:val="00086FDE"/>
    <w:rsid w:val="00086FE0"/>
    <w:rsid w:val="0008708B"/>
    <w:rsid w:val="000870C1"/>
    <w:rsid w:val="00087141"/>
    <w:rsid w:val="000871DC"/>
    <w:rsid w:val="00087258"/>
    <w:rsid w:val="0008728F"/>
    <w:rsid w:val="000872A4"/>
    <w:rsid w:val="000872EE"/>
    <w:rsid w:val="00087323"/>
    <w:rsid w:val="00087370"/>
    <w:rsid w:val="0008749A"/>
    <w:rsid w:val="000874A9"/>
    <w:rsid w:val="000875D3"/>
    <w:rsid w:val="000875E5"/>
    <w:rsid w:val="000876F6"/>
    <w:rsid w:val="0008777B"/>
    <w:rsid w:val="00087805"/>
    <w:rsid w:val="00087824"/>
    <w:rsid w:val="0008794B"/>
    <w:rsid w:val="00087A90"/>
    <w:rsid w:val="00087BDD"/>
    <w:rsid w:val="00087C17"/>
    <w:rsid w:val="00087C60"/>
    <w:rsid w:val="00087CD6"/>
    <w:rsid w:val="00087D91"/>
    <w:rsid w:val="00087DB3"/>
    <w:rsid w:val="00087E43"/>
    <w:rsid w:val="00087EC1"/>
    <w:rsid w:val="00087F50"/>
    <w:rsid w:val="00087F85"/>
    <w:rsid w:val="00087F8D"/>
    <w:rsid w:val="0009003D"/>
    <w:rsid w:val="00090178"/>
    <w:rsid w:val="000901A5"/>
    <w:rsid w:val="0009031D"/>
    <w:rsid w:val="0009032B"/>
    <w:rsid w:val="00090330"/>
    <w:rsid w:val="000903D7"/>
    <w:rsid w:val="000905C3"/>
    <w:rsid w:val="000905E6"/>
    <w:rsid w:val="0009063A"/>
    <w:rsid w:val="0009064E"/>
    <w:rsid w:val="000907DF"/>
    <w:rsid w:val="00090945"/>
    <w:rsid w:val="0009098B"/>
    <w:rsid w:val="000909EB"/>
    <w:rsid w:val="00090A18"/>
    <w:rsid w:val="00090A6A"/>
    <w:rsid w:val="00090B6F"/>
    <w:rsid w:val="00090BB3"/>
    <w:rsid w:val="00090BFB"/>
    <w:rsid w:val="00090C09"/>
    <w:rsid w:val="00090C62"/>
    <w:rsid w:val="00090DFB"/>
    <w:rsid w:val="00090E20"/>
    <w:rsid w:val="00090E68"/>
    <w:rsid w:val="00090E87"/>
    <w:rsid w:val="00090EAC"/>
    <w:rsid w:val="00090ED4"/>
    <w:rsid w:val="00090F3D"/>
    <w:rsid w:val="00090F77"/>
    <w:rsid w:val="00091028"/>
    <w:rsid w:val="00091075"/>
    <w:rsid w:val="000910A0"/>
    <w:rsid w:val="000910B6"/>
    <w:rsid w:val="00091172"/>
    <w:rsid w:val="0009121A"/>
    <w:rsid w:val="00091264"/>
    <w:rsid w:val="000912CA"/>
    <w:rsid w:val="00091314"/>
    <w:rsid w:val="000913F8"/>
    <w:rsid w:val="0009148C"/>
    <w:rsid w:val="00091752"/>
    <w:rsid w:val="0009180C"/>
    <w:rsid w:val="00091885"/>
    <w:rsid w:val="000918B6"/>
    <w:rsid w:val="000918CE"/>
    <w:rsid w:val="000919BE"/>
    <w:rsid w:val="00091A3D"/>
    <w:rsid w:val="00091F53"/>
    <w:rsid w:val="00091FA4"/>
    <w:rsid w:val="00092007"/>
    <w:rsid w:val="000920BF"/>
    <w:rsid w:val="00092118"/>
    <w:rsid w:val="00092222"/>
    <w:rsid w:val="00092280"/>
    <w:rsid w:val="000923EC"/>
    <w:rsid w:val="00092401"/>
    <w:rsid w:val="0009241C"/>
    <w:rsid w:val="00092437"/>
    <w:rsid w:val="0009245A"/>
    <w:rsid w:val="000924A4"/>
    <w:rsid w:val="000924C9"/>
    <w:rsid w:val="00092524"/>
    <w:rsid w:val="00092623"/>
    <w:rsid w:val="00092673"/>
    <w:rsid w:val="00092738"/>
    <w:rsid w:val="0009274F"/>
    <w:rsid w:val="000927C4"/>
    <w:rsid w:val="000927F4"/>
    <w:rsid w:val="00092843"/>
    <w:rsid w:val="000928B7"/>
    <w:rsid w:val="0009296A"/>
    <w:rsid w:val="00092B23"/>
    <w:rsid w:val="00092CEC"/>
    <w:rsid w:val="00092D46"/>
    <w:rsid w:val="00092DFE"/>
    <w:rsid w:val="00092ECA"/>
    <w:rsid w:val="00092F61"/>
    <w:rsid w:val="00092FBE"/>
    <w:rsid w:val="00093038"/>
    <w:rsid w:val="00093136"/>
    <w:rsid w:val="00093202"/>
    <w:rsid w:val="00093298"/>
    <w:rsid w:val="00093308"/>
    <w:rsid w:val="00093316"/>
    <w:rsid w:val="00093389"/>
    <w:rsid w:val="000933F8"/>
    <w:rsid w:val="000937DC"/>
    <w:rsid w:val="00093855"/>
    <w:rsid w:val="0009385A"/>
    <w:rsid w:val="00093928"/>
    <w:rsid w:val="00093983"/>
    <w:rsid w:val="00093A21"/>
    <w:rsid w:val="00093B7D"/>
    <w:rsid w:val="00093CA6"/>
    <w:rsid w:val="00093D3A"/>
    <w:rsid w:val="00093E24"/>
    <w:rsid w:val="00093E80"/>
    <w:rsid w:val="00093F50"/>
    <w:rsid w:val="00093F78"/>
    <w:rsid w:val="00093FE6"/>
    <w:rsid w:val="000940E5"/>
    <w:rsid w:val="0009416E"/>
    <w:rsid w:val="00094182"/>
    <w:rsid w:val="00094200"/>
    <w:rsid w:val="000942EA"/>
    <w:rsid w:val="00094327"/>
    <w:rsid w:val="0009433D"/>
    <w:rsid w:val="00094348"/>
    <w:rsid w:val="00094399"/>
    <w:rsid w:val="000943AD"/>
    <w:rsid w:val="00094415"/>
    <w:rsid w:val="0009451D"/>
    <w:rsid w:val="0009470F"/>
    <w:rsid w:val="00094806"/>
    <w:rsid w:val="0009488F"/>
    <w:rsid w:val="00094892"/>
    <w:rsid w:val="000948C0"/>
    <w:rsid w:val="00094A4D"/>
    <w:rsid w:val="00094AA5"/>
    <w:rsid w:val="00094B01"/>
    <w:rsid w:val="00094B0A"/>
    <w:rsid w:val="00094C5A"/>
    <w:rsid w:val="00094C65"/>
    <w:rsid w:val="00094D2C"/>
    <w:rsid w:val="00094E18"/>
    <w:rsid w:val="00094E78"/>
    <w:rsid w:val="00094F5F"/>
    <w:rsid w:val="00095059"/>
    <w:rsid w:val="0009509F"/>
    <w:rsid w:val="000950CD"/>
    <w:rsid w:val="000950DF"/>
    <w:rsid w:val="000950F9"/>
    <w:rsid w:val="000951CA"/>
    <w:rsid w:val="0009526C"/>
    <w:rsid w:val="000952D1"/>
    <w:rsid w:val="000953A8"/>
    <w:rsid w:val="00095443"/>
    <w:rsid w:val="00095468"/>
    <w:rsid w:val="00095682"/>
    <w:rsid w:val="0009574F"/>
    <w:rsid w:val="000957EC"/>
    <w:rsid w:val="000957F8"/>
    <w:rsid w:val="000959AE"/>
    <w:rsid w:val="000959D5"/>
    <w:rsid w:val="00095A09"/>
    <w:rsid w:val="00095AFD"/>
    <w:rsid w:val="00095C06"/>
    <w:rsid w:val="00095C81"/>
    <w:rsid w:val="00095DF5"/>
    <w:rsid w:val="00095E75"/>
    <w:rsid w:val="00095F8C"/>
    <w:rsid w:val="00096066"/>
    <w:rsid w:val="000960F8"/>
    <w:rsid w:val="000961D4"/>
    <w:rsid w:val="000961D8"/>
    <w:rsid w:val="000962BF"/>
    <w:rsid w:val="000962FF"/>
    <w:rsid w:val="000964EB"/>
    <w:rsid w:val="00096570"/>
    <w:rsid w:val="000965D0"/>
    <w:rsid w:val="00096674"/>
    <w:rsid w:val="0009667C"/>
    <w:rsid w:val="000967C2"/>
    <w:rsid w:val="00096820"/>
    <w:rsid w:val="0009687C"/>
    <w:rsid w:val="0009699B"/>
    <w:rsid w:val="00096A0E"/>
    <w:rsid w:val="00096AE2"/>
    <w:rsid w:val="00096BA5"/>
    <w:rsid w:val="00096C3D"/>
    <w:rsid w:val="00096CD7"/>
    <w:rsid w:val="00096DA8"/>
    <w:rsid w:val="00096DCD"/>
    <w:rsid w:val="00096F1A"/>
    <w:rsid w:val="00096F46"/>
    <w:rsid w:val="00096F58"/>
    <w:rsid w:val="0009704B"/>
    <w:rsid w:val="000970BF"/>
    <w:rsid w:val="000971B9"/>
    <w:rsid w:val="000971EB"/>
    <w:rsid w:val="00097266"/>
    <w:rsid w:val="000972E7"/>
    <w:rsid w:val="000973B2"/>
    <w:rsid w:val="000973B9"/>
    <w:rsid w:val="000973CF"/>
    <w:rsid w:val="000973E5"/>
    <w:rsid w:val="000974E8"/>
    <w:rsid w:val="00097547"/>
    <w:rsid w:val="0009759D"/>
    <w:rsid w:val="000975C2"/>
    <w:rsid w:val="00097698"/>
    <w:rsid w:val="00097892"/>
    <w:rsid w:val="00097915"/>
    <w:rsid w:val="000979F5"/>
    <w:rsid w:val="00097A05"/>
    <w:rsid w:val="00097ABF"/>
    <w:rsid w:val="00097AEA"/>
    <w:rsid w:val="00097BD7"/>
    <w:rsid w:val="00097BDF"/>
    <w:rsid w:val="00097E28"/>
    <w:rsid w:val="00097EF1"/>
    <w:rsid w:val="00097F24"/>
    <w:rsid w:val="00097F67"/>
    <w:rsid w:val="00097FA2"/>
    <w:rsid w:val="000A0020"/>
    <w:rsid w:val="000A011A"/>
    <w:rsid w:val="000A018E"/>
    <w:rsid w:val="000A01BA"/>
    <w:rsid w:val="000A0230"/>
    <w:rsid w:val="000A02E7"/>
    <w:rsid w:val="000A033C"/>
    <w:rsid w:val="000A03B3"/>
    <w:rsid w:val="000A03C3"/>
    <w:rsid w:val="000A044E"/>
    <w:rsid w:val="000A0472"/>
    <w:rsid w:val="000A049E"/>
    <w:rsid w:val="000A04C1"/>
    <w:rsid w:val="000A04F1"/>
    <w:rsid w:val="000A0571"/>
    <w:rsid w:val="000A05F2"/>
    <w:rsid w:val="000A063D"/>
    <w:rsid w:val="000A0674"/>
    <w:rsid w:val="000A06D2"/>
    <w:rsid w:val="000A06DC"/>
    <w:rsid w:val="000A0815"/>
    <w:rsid w:val="000A08A4"/>
    <w:rsid w:val="000A09BF"/>
    <w:rsid w:val="000A09F3"/>
    <w:rsid w:val="000A0A24"/>
    <w:rsid w:val="000A0A3C"/>
    <w:rsid w:val="000A0A82"/>
    <w:rsid w:val="000A0B58"/>
    <w:rsid w:val="000A0B78"/>
    <w:rsid w:val="000A0BB7"/>
    <w:rsid w:val="000A0BED"/>
    <w:rsid w:val="000A0C3F"/>
    <w:rsid w:val="000A0D26"/>
    <w:rsid w:val="000A0E4B"/>
    <w:rsid w:val="000A0E7F"/>
    <w:rsid w:val="000A0EB3"/>
    <w:rsid w:val="000A0FA2"/>
    <w:rsid w:val="000A0FB7"/>
    <w:rsid w:val="000A108D"/>
    <w:rsid w:val="000A1151"/>
    <w:rsid w:val="000A1152"/>
    <w:rsid w:val="000A1168"/>
    <w:rsid w:val="000A1404"/>
    <w:rsid w:val="000A166D"/>
    <w:rsid w:val="000A1738"/>
    <w:rsid w:val="000A1762"/>
    <w:rsid w:val="000A184C"/>
    <w:rsid w:val="000A1889"/>
    <w:rsid w:val="000A18D3"/>
    <w:rsid w:val="000A1A27"/>
    <w:rsid w:val="000A1A50"/>
    <w:rsid w:val="000A1A7B"/>
    <w:rsid w:val="000A1AAB"/>
    <w:rsid w:val="000A1AD2"/>
    <w:rsid w:val="000A1B1D"/>
    <w:rsid w:val="000A1BE1"/>
    <w:rsid w:val="000A1C28"/>
    <w:rsid w:val="000A1DFE"/>
    <w:rsid w:val="000A1E0C"/>
    <w:rsid w:val="000A1E5F"/>
    <w:rsid w:val="000A1E9E"/>
    <w:rsid w:val="000A2034"/>
    <w:rsid w:val="000A24ED"/>
    <w:rsid w:val="000A25FA"/>
    <w:rsid w:val="000A26CD"/>
    <w:rsid w:val="000A2770"/>
    <w:rsid w:val="000A27CB"/>
    <w:rsid w:val="000A27D3"/>
    <w:rsid w:val="000A290B"/>
    <w:rsid w:val="000A29C6"/>
    <w:rsid w:val="000A2A08"/>
    <w:rsid w:val="000A2A2D"/>
    <w:rsid w:val="000A2B25"/>
    <w:rsid w:val="000A2B42"/>
    <w:rsid w:val="000A2CBD"/>
    <w:rsid w:val="000A2E18"/>
    <w:rsid w:val="000A3070"/>
    <w:rsid w:val="000A3198"/>
    <w:rsid w:val="000A3238"/>
    <w:rsid w:val="000A328A"/>
    <w:rsid w:val="000A333E"/>
    <w:rsid w:val="000A335E"/>
    <w:rsid w:val="000A339C"/>
    <w:rsid w:val="000A33DD"/>
    <w:rsid w:val="000A3409"/>
    <w:rsid w:val="000A34A1"/>
    <w:rsid w:val="000A3635"/>
    <w:rsid w:val="000A36F6"/>
    <w:rsid w:val="000A38DD"/>
    <w:rsid w:val="000A3A59"/>
    <w:rsid w:val="000A3B55"/>
    <w:rsid w:val="000A3E15"/>
    <w:rsid w:val="000A3F9F"/>
    <w:rsid w:val="000A42CB"/>
    <w:rsid w:val="000A42D6"/>
    <w:rsid w:val="000A42FE"/>
    <w:rsid w:val="000A43A5"/>
    <w:rsid w:val="000A43E4"/>
    <w:rsid w:val="000A446B"/>
    <w:rsid w:val="000A4663"/>
    <w:rsid w:val="000A469B"/>
    <w:rsid w:val="000A46B6"/>
    <w:rsid w:val="000A46D6"/>
    <w:rsid w:val="000A4767"/>
    <w:rsid w:val="000A47E2"/>
    <w:rsid w:val="000A48F1"/>
    <w:rsid w:val="000A4911"/>
    <w:rsid w:val="000A49C9"/>
    <w:rsid w:val="000A4B47"/>
    <w:rsid w:val="000A4B83"/>
    <w:rsid w:val="000A4C4B"/>
    <w:rsid w:val="000A4CD1"/>
    <w:rsid w:val="000A4D43"/>
    <w:rsid w:val="000A4E15"/>
    <w:rsid w:val="000A4E3A"/>
    <w:rsid w:val="000A4E85"/>
    <w:rsid w:val="000A4F19"/>
    <w:rsid w:val="000A4FA1"/>
    <w:rsid w:val="000A517E"/>
    <w:rsid w:val="000A51D8"/>
    <w:rsid w:val="000A540B"/>
    <w:rsid w:val="000A56D6"/>
    <w:rsid w:val="000A5733"/>
    <w:rsid w:val="000A5788"/>
    <w:rsid w:val="000A59AA"/>
    <w:rsid w:val="000A59FD"/>
    <w:rsid w:val="000A5A57"/>
    <w:rsid w:val="000A5A89"/>
    <w:rsid w:val="000A5A90"/>
    <w:rsid w:val="000A5AA8"/>
    <w:rsid w:val="000A5BB1"/>
    <w:rsid w:val="000A5BE4"/>
    <w:rsid w:val="000A5BF3"/>
    <w:rsid w:val="000A5D3B"/>
    <w:rsid w:val="000A5D40"/>
    <w:rsid w:val="000A5D7C"/>
    <w:rsid w:val="000A5D87"/>
    <w:rsid w:val="000A5DF7"/>
    <w:rsid w:val="000A5E74"/>
    <w:rsid w:val="000A5EA9"/>
    <w:rsid w:val="000A5F35"/>
    <w:rsid w:val="000A5F60"/>
    <w:rsid w:val="000A5FA9"/>
    <w:rsid w:val="000A5FB1"/>
    <w:rsid w:val="000A6056"/>
    <w:rsid w:val="000A6166"/>
    <w:rsid w:val="000A61B0"/>
    <w:rsid w:val="000A61DC"/>
    <w:rsid w:val="000A6212"/>
    <w:rsid w:val="000A62EC"/>
    <w:rsid w:val="000A63E9"/>
    <w:rsid w:val="000A65F6"/>
    <w:rsid w:val="000A6645"/>
    <w:rsid w:val="000A66BF"/>
    <w:rsid w:val="000A671E"/>
    <w:rsid w:val="000A6776"/>
    <w:rsid w:val="000A680A"/>
    <w:rsid w:val="000A68CE"/>
    <w:rsid w:val="000A68E4"/>
    <w:rsid w:val="000A69F9"/>
    <w:rsid w:val="000A6A09"/>
    <w:rsid w:val="000A6A22"/>
    <w:rsid w:val="000A6B59"/>
    <w:rsid w:val="000A6BF9"/>
    <w:rsid w:val="000A6D5C"/>
    <w:rsid w:val="000A6E63"/>
    <w:rsid w:val="000A6EBC"/>
    <w:rsid w:val="000A6FB8"/>
    <w:rsid w:val="000A718F"/>
    <w:rsid w:val="000A71E0"/>
    <w:rsid w:val="000A7377"/>
    <w:rsid w:val="000A73AA"/>
    <w:rsid w:val="000A73B6"/>
    <w:rsid w:val="000A74D4"/>
    <w:rsid w:val="000A7584"/>
    <w:rsid w:val="000A76EB"/>
    <w:rsid w:val="000A7767"/>
    <w:rsid w:val="000A7777"/>
    <w:rsid w:val="000A777E"/>
    <w:rsid w:val="000A77FD"/>
    <w:rsid w:val="000A783A"/>
    <w:rsid w:val="000A7846"/>
    <w:rsid w:val="000A7852"/>
    <w:rsid w:val="000A7887"/>
    <w:rsid w:val="000A7927"/>
    <w:rsid w:val="000A79B3"/>
    <w:rsid w:val="000A79C8"/>
    <w:rsid w:val="000A7AD8"/>
    <w:rsid w:val="000A7BBF"/>
    <w:rsid w:val="000A7C9C"/>
    <w:rsid w:val="000A7DB7"/>
    <w:rsid w:val="000A7EA5"/>
    <w:rsid w:val="000A7EAF"/>
    <w:rsid w:val="000A7F2A"/>
    <w:rsid w:val="000B0043"/>
    <w:rsid w:val="000B00E7"/>
    <w:rsid w:val="000B00F4"/>
    <w:rsid w:val="000B02DC"/>
    <w:rsid w:val="000B04D2"/>
    <w:rsid w:val="000B04F3"/>
    <w:rsid w:val="000B0566"/>
    <w:rsid w:val="000B0729"/>
    <w:rsid w:val="000B0730"/>
    <w:rsid w:val="000B07C8"/>
    <w:rsid w:val="000B0834"/>
    <w:rsid w:val="000B08FD"/>
    <w:rsid w:val="000B0940"/>
    <w:rsid w:val="000B097F"/>
    <w:rsid w:val="000B09D1"/>
    <w:rsid w:val="000B0A42"/>
    <w:rsid w:val="000B0A87"/>
    <w:rsid w:val="000B0F85"/>
    <w:rsid w:val="000B0F95"/>
    <w:rsid w:val="000B1024"/>
    <w:rsid w:val="000B109F"/>
    <w:rsid w:val="000B10F8"/>
    <w:rsid w:val="000B116A"/>
    <w:rsid w:val="000B119E"/>
    <w:rsid w:val="000B11B3"/>
    <w:rsid w:val="000B12A7"/>
    <w:rsid w:val="000B12ED"/>
    <w:rsid w:val="000B1365"/>
    <w:rsid w:val="000B1381"/>
    <w:rsid w:val="000B13BB"/>
    <w:rsid w:val="000B1421"/>
    <w:rsid w:val="000B1434"/>
    <w:rsid w:val="000B149E"/>
    <w:rsid w:val="000B14C5"/>
    <w:rsid w:val="000B1550"/>
    <w:rsid w:val="000B155B"/>
    <w:rsid w:val="000B15AE"/>
    <w:rsid w:val="000B15E7"/>
    <w:rsid w:val="000B17A3"/>
    <w:rsid w:val="000B1805"/>
    <w:rsid w:val="000B185E"/>
    <w:rsid w:val="000B1861"/>
    <w:rsid w:val="000B1892"/>
    <w:rsid w:val="000B1946"/>
    <w:rsid w:val="000B1A13"/>
    <w:rsid w:val="000B1A31"/>
    <w:rsid w:val="000B1A6C"/>
    <w:rsid w:val="000B1AC2"/>
    <w:rsid w:val="000B1AD5"/>
    <w:rsid w:val="000B1AF0"/>
    <w:rsid w:val="000B1B24"/>
    <w:rsid w:val="000B1B36"/>
    <w:rsid w:val="000B1BDE"/>
    <w:rsid w:val="000B1BFB"/>
    <w:rsid w:val="000B1C10"/>
    <w:rsid w:val="000B1CCC"/>
    <w:rsid w:val="000B1D83"/>
    <w:rsid w:val="000B1E68"/>
    <w:rsid w:val="000B1F1E"/>
    <w:rsid w:val="000B1F1F"/>
    <w:rsid w:val="000B1F39"/>
    <w:rsid w:val="000B1FBD"/>
    <w:rsid w:val="000B203B"/>
    <w:rsid w:val="000B2155"/>
    <w:rsid w:val="000B2212"/>
    <w:rsid w:val="000B2215"/>
    <w:rsid w:val="000B22E0"/>
    <w:rsid w:val="000B235D"/>
    <w:rsid w:val="000B239B"/>
    <w:rsid w:val="000B23EC"/>
    <w:rsid w:val="000B2407"/>
    <w:rsid w:val="000B24D7"/>
    <w:rsid w:val="000B25AE"/>
    <w:rsid w:val="000B25B3"/>
    <w:rsid w:val="000B2617"/>
    <w:rsid w:val="000B26BA"/>
    <w:rsid w:val="000B2706"/>
    <w:rsid w:val="000B278A"/>
    <w:rsid w:val="000B27A5"/>
    <w:rsid w:val="000B28B0"/>
    <w:rsid w:val="000B291A"/>
    <w:rsid w:val="000B298D"/>
    <w:rsid w:val="000B2A10"/>
    <w:rsid w:val="000B2A9B"/>
    <w:rsid w:val="000B2AD6"/>
    <w:rsid w:val="000B2BBF"/>
    <w:rsid w:val="000B2BD3"/>
    <w:rsid w:val="000B2C17"/>
    <w:rsid w:val="000B2D2A"/>
    <w:rsid w:val="000B2DAE"/>
    <w:rsid w:val="000B2DAF"/>
    <w:rsid w:val="000B2E0D"/>
    <w:rsid w:val="000B3086"/>
    <w:rsid w:val="000B312E"/>
    <w:rsid w:val="000B3145"/>
    <w:rsid w:val="000B3194"/>
    <w:rsid w:val="000B31A8"/>
    <w:rsid w:val="000B3362"/>
    <w:rsid w:val="000B33B2"/>
    <w:rsid w:val="000B33DC"/>
    <w:rsid w:val="000B3454"/>
    <w:rsid w:val="000B34C8"/>
    <w:rsid w:val="000B3510"/>
    <w:rsid w:val="000B3684"/>
    <w:rsid w:val="000B37CF"/>
    <w:rsid w:val="000B3828"/>
    <w:rsid w:val="000B3848"/>
    <w:rsid w:val="000B3A98"/>
    <w:rsid w:val="000B3ACA"/>
    <w:rsid w:val="000B3B73"/>
    <w:rsid w:val="000B3C8E"/>
    <w:rsid w:val="000B3D20"/>
    <w:rsid w:val="000B3D6D"/>
    <w:rsid w:val="000B400A"/>
    <w:rsid w:val="000B400E"/>
    <w:rsid w:val="000B408F"/>
    <w:rsid w:val="000B4091"/>
    <w:rsid w:val="000B40F8"/>
    <w:rsid w:val="000B4231"/>
    <w:rsid w:val="000B434C"/>
    <w:rsid w:val="000B43B2"/>
    <w:rsid w:val="000B4471"/>
    <w:rsid w:val="000B44D1"/>
    <w:rsid w:val="000B44D3"/>
    <w:rsid w:val="000B4617"/>
    <w:rsid w:val="000B4754"/>
    <w:rsid w:val="000B47A5"/>
    <w:rsid w:val="000B4924"/>
    <w:rsid w:val="000B497F"/>
    <w:rsid w:val="000B49AC"/>
    <w:rsid w:val="000B49C8"/>
    <w:rsid w:val="000B4B32"/>
    <w:rsid w:val="000B4B70"/>
    <w:rsid w:val="000B4C45"/>
    <w:rsid w:val="000B4D70"/>
    <w:rsid w:val="000B4D72"/>
    <w:rsid w:val="000B4DAD"/>
    <w:rsid w:val="000B4E05"/>
    <w:rsid w:val="000B4E53"/>
    <w:rsid w:val="000B5019"/>
    <w:rsid w:val="000B503B"/>
    <w:rsid w:val="000B5198"/>
    <w:rsid w:val="000B5253"/>
    <w:rsid w:val="000B5270"/>
    <w:rsid w:val="000B52E7"/>
    <w:rsid w:val="000B52EF"/>
    <w:rsid w:val="000B538A"/>
    <w:rsid w:val="000B53A8"/>
    <w:rsid w:val="000B54F3"/>
    <w:rsid w:val="000B56D6"/>
    <w:rsid w:val="000B574D"/>
    <w:rsid w:val="000B57E6"/>
    <w:rsid w:val="000B585B"/>
    <w:rsid w:val="000B592C"/>
    <w:rsid w:val="000B59BA"/>
    <w:rsid w:val="000B5A53"/>
    <w:rsid w:val="000B5A58"/>
    <w:rsid w:val="000B5A68"/>
    <w:rsid w:val="000B5AF2"/>
    <w:rsid w:val="000B5B48"/>
    <w:rsid w:val="000B5BC7"/>
    <w:rsid w:val="000B5C1D"/>
    <w:rsid w:val="000B5C68"/>
    <w:rsid w:val="000B5CA0"/>
    <w:rsid w:val="000B5CC8"/>
    <w:rsid w:val="000B5D1F"/>
    <w:rsid w:val="000B5DA0"/>
    <w:rsid w:val="000B5DB9"/>
    <w:rsid w:val="000B5F93"/>
    <w:rsid w:val="000B605E"/>
    <w:rsid w:val="000B6080"/>
    <w:rsid w:val="000B60AB"/>
    <w:rsid w:val="000B6148"/>
    <w:rsid w:val="000B614C"/>
    <w:rsid w:val="000B61BD"/>
    <w:rsid w:val="000B61D1"/>
    <w:rsid w:val="000B61DF"/>
    <w:rsid w:val="000B6286"/>
    <w:rsid w:val="000B62B9"/>
    <w:rsid w:val="000B6356"/>
    <w:rsid w:val="000B640A"/>
    <w:rsid w:val="000B6467"/>
    <w:rsid w:val="000B650A"/>
    <w:rsid w:val="000B6569"/>
    <w:rsid w:val="000B6611"/>
    <w:rsid w:val="000B667F"/>
    <w:rsid w:val="000B6691"/>
    <w:rsid w:val="000B6746"/>
    <w:rsid w:val="000B674A"/>
    <w:rsid w:val="000B677C"/>
    <w:rsid w:val="000B67BC"/>
    <w:rsid w:val="000B67E2"/>
    <w:rsid w:val="000B67FC"/>
    <w:rsid w:val="000B684B"/>
    <w:rsid w:val="000B68D9"/>
    <w:rsid w:val="000B6A10"/>
    <w:rsid w:val="000B6A65"/>
    <w:rsid w:val="000B6B05"/>
    <w:rsid w:val="000B6B98"/>
    <w:rsid w:val="000B6BFC"/>
    <w:rsid w:val="000B6C0A"/>
    <w:rsid w:val="000B6C96"/>
    <w:rsid w:val="000B6D45"/>
    <w:rsid w:val="000B6D60"/>
    <w:rsid w:val="000B6DA7"/>
    <w:rsid w:val="000B6F1E"/>
    <w:rsid w:val="000B7032"/>
    <w:rsid w:val="000B703D"/>
    <w:rsid w:val="000B70AE"/>
    <w:rsid w:val="000B70DA"/>
    <w:rsid w:val="000B7108"/>
    <w:rsid w:val="000B7127"/>
    <w:rsid w:val="000B73FC"/>
    <w:rsid w:val="000B7468"/>
    <w:rsid w:val="000B748C"/>
    <w:rsid w:val="000B749C"/>
    <w:rsid w:val="000B750D"/>
    <w:rsid w:val="000B7535"/>
    <w:rsid w:val="000B7608"/>
    <w:rsid w:val="000B7672"/>
    <w:rsid w:val="000B76F4"/>
    <w:rsid w:val="000B787F"/>
    <w:rsid w:val="000B7940"/>
    <w:rsid w:val="000B7AF2"/>
    <w:rsid w:val="000B7B68"/>
    <w:rsid w:val="000B7C20"/>
    <w:rsid w:val="000B7CB3"/>
    <w:rsid w:val="000B7EA5"/>
    <w:rsid w:val="000B7EF0"/>
    <w:rsid w:val="000B7F1A"/>
    <w:rsid w:val="000B7F4A"/>
    <w:rsid w:val="000B7FD1"/>
    <w:rsid w:val="000C0074"/>
    <w:rsid w:val="000C0153"/>
    <w:rsid w:val="000C020C"/>
    <w:rsid w:val="000C029D"/>
    <w:rsid w:val="000C03F4"/>
    <w:rsid w:val="000C04D1"/>
    <w:rsid w:val="000C0640"/>
    <w:rsid w:val="000C06CC"/>
    <w:rsid w:val="000C06D0"/>
    <w:rsid w:val="000C0703"/>
    <w:rsid w:val="000C0709"/>
    <w:rsid w:val="000C0733"/>
    <w:rsid w:val="000C07AE"/>
    <w:rsid w:val="000C0846"/>
    <w:rsid w:val="000C0949"/>
    <w:rsid w:val="000C09BF"/>
    <w:rsid w:val="000C0A6B"/>
    <w:rsid w:val="000C0A77"/>
    <w:rsid w:val="000C0B88"/>
    <w:rsid w:val="000C0BC4"/>
    <w:rsid w:val="000C0C61"/>
    <w:rsid w:val="000C0CC7"/>
    <w:rsid w:val="000C0D0B"/>
    <w:rsid w:val="000C0D95"/>
    <w:rsid w:val="000C0DA9"/>
    <w:rsid w:val="000C0FE7"/>
    <w:rsid w:val="000C1034"/>
    <w:rsid w:val="000C1073"/>
    <w:rsid w:val="000C10FF"/>
    <w:rsid w:val="000C11BD"/>
    <w:rsid w:val="000C11EE"/>
    <w:rsid w:val="000C1376"/>
    <w:rsid w:val="000C1387"/>
    <w:rsid w:val="000C152F"/>
    <w:rsid w:val="000C1618"/>
    <w:rsid w:val="000C171F"/>
    <w:rsid w:val="000C1723"/>
    <w:rsid w:val="000C1872"/>
    <w:rsid w:val="000C18B7"/>
    <w:rsid w:val="000C190D"/>
    <w:rsid w:val="000C19F8"/>
    <w:rsid w:val="000C1A0E"/>
    <w:rsid w:val="000C1A64"/>
    <w:rsid w:val="000C1AD6"/>
    <w:rsid w:val="000C1B23"/>
    <w:rsid w:val="000C1BF3"/>
    <w:rsid w:val="000C1C36"/>
    <w:rsid w:val="000C1C96"/>
    <w:rsid w:val="000C1CF7"/>
    <w:rsid w:val="000C1D09"/>
    <w:rsid w:val="000C1E91"/>
    <w:rsid w:val="000C1F15"/>
    <w:rsid w:val="000C1F36"/>
    <w:rsid w:val="000C1F3A"/>
    <w:rsid w:val="000C1FA8"/>
    <w:rsid w:val="000C1FB9"/>
    <w:rsid w:val="000C1FF3"/>
    <w:rsid w:val="000C201E"/>
    <w:rsid w:val="000C20B0"/>
    <w:rsid w:val="000C20E5"/>
    <w:rsid w:val="000C2338"/>
    <w:rsid w:val="000C2522"/>
    <w:rsid w:val="000C259F"/>
    <w:rsid w:val="000C26FE"/>
    <w:rsid w:val="000C2746"/>
    <w:rsid w:val="000C2755"/>
    <w:rsid w:val="000C27B2"/>
    <w:rsid w:val="000C27DA"/>
    <w:rsid w:val="000C2816"/>
    <w:rsid w:val="000C2928"/>
    <w:rsid w:val="000C295C"/>
    <w:rsid w:val="000C29DC"/>
    <w:rsid w:val="000C2B8A"/>
    <w:rsid w:val="000C2BC2"/>
    <w:rsid w:val="000C2BE6"/>
    <w:rsid w:val="000C2C19"/>
    <w:rsid w:val="000C2CB5"/>
    <w:rsid w:val="000C2CF8"/>
    <w:rsid w:val="000C2CFB"/>
    <w:rsid w:val="000C2D38"/>
    <w:rsid w:val="000C2E41"/>
    <w:rsid w:val="000C2FB1"/>
    <w:rsid w:val="000C3061"/>
    <w:rsid w:val="000C30E4"/>
    <w:rsid w:val="000C314C"/>
    <w:rsid w:val="000C316A"/>
    <w:rsid w:val="000C3186"/>
    <w:rsid w:val="000C3358"/>
    <w:rsid w:val="000C343D"/>
    <w:rsid w:val="000C345E"/>
    <w:rsid w:val="000C3500"/>
    <w:rsid w:val="000C3600"/>
    <w:rsid w:val="000C365B"/>
    <w:rsid w:val="000C366F"/>
    <w:rsid w:val="000C36A1"/>
    <w:rsid w:val="000C3747"/>
    <w:rsid w:val="000C37CD"/>
    <w:rsid w:val="000C3874"/>
    <w:rsid w:val="000C38A3"/>
    <w:rsid w:val="000C3A67"/>
    <w:rsid w:val="000C3B42"/>
    <w:rsid w:val="000C3C50"/>
    <w:rsid w:val="000C3C5E"/>
    <w:rsid w:val="000C3CF8"/>
    <w:rsid w:val="000C3D44"/>
    <w:rsid w:val="000C3EAD"/>
    <w:rsid w:val="000C3EB8"/>
    <w:rsid w:val="000C3EC0"/>
    <w:rsid w:val="000C3EE8"/>
    <w:rsid w:val="000C3F6C"/>
    <w:rsid w:val="000C3F8A"/>
    <w:rsid w:val="000C3FEC"/>
    <w:rsid w:val="000C401B"/>
    <w:rsid w:val="000C40E3"/>
    <w:rsid w:val="000C4257"/>
    <w:rsid w:val="000C43B2"/>
    <w:rsid w:val="000C4415"/>
    <w:rsid w:val="000C4449"/>
    <w:rsid w:val="000C4515"/>
    <w:rsid w:val="000C4549"/>
    <w:rsid w:val="000C456F"/>
    <w:rsid w:val="000C462D"/>
    <w:rsid w:val="000C4648"/>
    <w:rsid w:val="000C4654"/>
    <w:rsid w:val="000C46BB"/>
    <w:rsid w:val="000C46BF"/>
    <w:rsid w:val="000C46D0"/>
    <w:rsid w:val="000C47FB"/>
    <w:rsid w:val="000C483C"/>
    <w:rsid w:val="000C48A6"/>
    <w:rsid w:val="000C48B5"/>
    <w:rsid w:val="000C4907"/>
    <w:rsid w:val="000C49BB"/>
    <w:rsid w:val="000C49F3"/>
    <w:rsid w:val="000C4A1C"/>
    <w:rsid w:val="000C4A66"/>
    <w:rsid w:val="000C4B24"/>
    <w:rsid w:val="000C4B2B"/>
    <w:rsid w:val="000C4C01"/>
    <w:rsid w:val="000C4C76"/>
    <w:rsid w:val="000C4D6F"/>
    <w:rsid w:val="000C4D8D"/>
    <w:rsid w:val="000C4DBC"/>
    <w:rsid w:val="000C4EBD"/>
    <w:rsid w:val="000C4F02"/>
    <w:rsid w:val="000C4F9A"/>
    <w:rsid w:val="000C4F9F"/>
    <w:rsid w:val="000C5139"/>
    <w:rsid w:val="000C523A"/>
    <w:rsid w:val="000C52C2"/>
    <w:rsid w:val="000C53E0"/>
    <w:rsid w:val="000C54A4"/>
    <w:rsid w:val="000C54A8"/>
    <w:rsid w:val="000C54B9"/>
    <w:rsid w:val="000C559A"/>
    <w:rsid w:val="000C5673"/>
    <w:rsid w:val="000C5686"/>
    <w:rsid w:val="000C56CD"/>
    <w:rsid w:val="000C570A"/>
    <w:rsid w:val="000C5879"/>
    <w:rsid w:val="000C58C8"/>
    <w:rsid w:val="000C5919"/>
    <w:rsid w:val="000C5B3E"/>
    <w:rsid w:val="000C5B5B"/>
    <w:rsid w:val="000C5C61"/>
    <w:rsid w:val="000C5CA9"/>
    <w:rsid w:val="000C5DE3"/>
    <w:rsid w:val="000C5E51"/>
    <w:rsid w:val="000C5E8F"/>
    <w:rsid w:val="000C6081"/>
    <w:rsid w:val="000C6105"/>
    <w:rsid w:val="000C620F"/>
    <w:rsid w:val="000C6215"/>
    <w:rsid w:val="000C62FE"/>
    <w:rsid w:val="000C64DC"/>
    <w:rsid w:val="000C6546"/>
    <w:rsid w:val="000C677B"/>
    <w:rsid w:val="000C6799"/>
    <w:rsid w:val="000C68FB"/>
    <w:rsid w:val="000C69AF"/>
    <w:rsid w:val="000C6A62"/>
    <w:rsid w:val="000C6B12"/>
    <w:rsid w:val="000C6B69"/>
    <w:rsid w:val="000C6C76"/>
    <w:rsid w:val="000C6D01"/>
    <w:rsid w:val="000C6D0D"/>
    <w:rsid w:val="000C6E60"/>
    <w:rsid w:val="000C6F9C"/>
    <w:rsid w:val="000C7049"/>
    <w:rsid w:val="000C7060"/>
    <w:rsid w:val="000C7074"/>
    <w:rsid w:val="000C70E2"/>
    <w:rsid w:val="000C70FE"/>
    <w:rsid w:val="000C7105"/>
    <w:rsid w:val="000C7152"/>
    <w:rsid w:val="000C716A"/>
    <w:rsid w:val="000C71FC"/>
    <w:rsid w:val="000C72BB"/>
    <w:rsid w:val="000C72FA"/>
    <w:rsid w:val="000C74DF"/>
    <w:rsid w:val="000C74F2"/>
    <w:rsid w:val="000C7520"/>
    <w:rsid w:val="000C7541"/>
    <w:rsid w:val="000C7553"/>
    <w:rsid w:val="000C7666"/>
    <w:rsid w:val="000C76D0"/>
    <w:rsid w:val="000C774A"/>
    <w:rsid w:val="000C77AB"/>
    <w:rsid w:val="000C77C9"/>
    <w:rsid w:val="000C77DF"/>
    <w:rsid w:val="000C7815"/>
    <w:rsid w:val="000C7973"/>
    <w:rsid w:val="000C7A63"/>
    <w:rsid w:val="000C7AB7"/>
    <w:rsid w:val="000C7B27"/>
    <w:rsid w:val="000C7C50"/>
    <w:rsid w:val="000C7C99"/>
    <w:rsid w:val="000C7CE2"/>
    <w:rsid w:val="000C7D6C"/>
    <w:rsid w:val="000C7E1B"/>
    <w:rsid w:val="000C7F14"/>
    <w:rsid w:val="000C7F87"/>
    <w:rsid w:val="000C7FB0"/>
    <w:rsid w:val="000D00AA"/>
    <w:rsid w:val="000D015B"/>
    <w:rsid w:val="000D01EF"/>
    <w:rsid w:val="000D022C"/>
    <w:rsid w:val="000D03D0"/>
    <w:rsid w:val="000D0435"/>
    <w:rsid w:val="000D070B"/>
    <w:rsid w:val="000D0716"/>
    <w:rsid w:val="000D08C6"/>
    <w:rsid w:val="000D0902"/>
    <w:rsid w:val="000D0979"/>
    <w:rsid w:val="000D0B10"/>
    <w:rsid w:val="000D0B16"/>
    <w:rsid w:val="000D0B34"/>
    <w:rsid w:val="000D0BE2"/>
    <w:rsid w:val="000D0C01"/>
    <w:rsid w:val="000D0CA9"/>
    <w:rsid w:val="000D0EAA"/>
    <w:rsid w:val="000D0EB3"/>
    <w:rsid w:val="000D10AD"/>
    <w:rsid w:val="000D117A"/>
    <w:rsid w:val="000D1229"/>
    <w:rsid w:val="000D1297"/>
    <w:rsid w:val="000D1552"/>
    <w:rsid w:val="000D1615"/>
    <w:rsid w:val="000D16A6"/>
    <w:rsid w:val="000D1701"/>
    <w:rsid w:val="000D186F"/>
    <w:rsid w:val="000D1927"/>
    <w:rsid w:val="000D1931"/>
    <w:rsid w:val="000D19DB"/>
    <w:rsid w:val="000D19F2"/>
    <w:rsid w:val="000D1A2A"/>
    <w:rsid w:val="000D1A6A"/>
    <w:rsid w:val="000D1AFC"/>
    <w:rsid w:val="000D1B20"/>
    <w:rsid w:val="000D1BCA"/>
    <w:rsid w:val="000D1C3C"/>
    <w:rsid w:val="000D1C81"/>
    <w:rsid w:val="000D1DC6"/>
    <w:rsid w:val="000D1E04"/>
    <w:rsid w:val="000D1E6C"/>
    <w:rsid w:val="000D1F18"/>
    <w:rsid w:val="000D1FDE"/>
    <w:rsid w:val="000D20E5"/>
    <w:rsid w:val="000D219B"/>
    <w:rsid w:val="000D21D9"/>
    <w:rsid w:val="000D21F0"/>
    <w:rsid w:val="000D22C3"/>
    <w:rsid w:val="000D239F"/>
    <w:rsid w:val="000D2519"/>
    <w:rsid w:val="000D2589"/>
    <w:rsid w:val="000D26F2"/>
    <w:rsid w:val="000D278D"/>
    <w:rsid w:val="000D2850"/>
    <w:rsid w:val="000D293A"/>
    <w:rsid w:val="000D296E"/>
    <w:rsid w:val="000D2A1C"/>
    <w:rsid w:val="000D2A59"/>
    <w:rsid w:val="000D2B12"/>
    <w:rsid w:val="000D2B15"/>
    <w:rsid w:val="000D2B46"/>
    <w:rsid w:val="000D2B66"/>
    <w:rsid w:val="000D2B6C"/>
    <w:rsid w:val="000D2BE8"/>
    <w:rsid w:val="000D2BFC"/>
    <w:rsid w:val="000D2D06"/>
    <w:rsid w:val="000D2D0A"/>
    <w:rsid w:val="000D2E22"/>
    <w:rsid w:val="000D2E78"/>
    <w:rsid w:val="000D2FB5"/>
    <w:rsid w:val="000D2FE4"/>
    <w:rsid w:val="000D306F"/>
    <w:rsid w:val="000D3085"/>
    <w:rsid w:val="000D30AF"/>
    <w:rsid w:val="000D30B8"/>
    <w:rsid w:val="000D3275"/>
    <w:rsid w:val="000D32D4"/>
    <w:rsid w:val="000D336F"/>
    <w:rsid w:val="000D3394"/>
    <w:rsid w:val="000D33A6"/>
    <w:rsid w:val="000D33EC"/>
    <w:rsid w:val="000D345A"/>
    <w:rsid w:val="000D3573"/>
    <w:rsid w:val="000D3651"/>
    <w:rsid w:val="000D36B6"/>
    <w:rsid w:val="000D36B8"/>
    <w:rsid w:val="000D3737"/>
    <w:rsid w:val="000D37C2"/>
    <w:rsid w:val="000D38C1"/>
    <w:rsid w:val="000D3A43"/>
    <w:rsid w:val="000D3A8B"/>
    <w:rsid w:val="000D3AD5"/>
    <w:rsid w:val="000D3AFB"/>
    <w:rsid w:val="000D3D37"/>
    <w:rsid w:val="000D3D8F"/>
    <w:rsid w:val="000D3E73"/>
    <w:rsid w:val="000D3ECB"/>
    <w:rsid w:val="000D3EE1"/>
    <w:rsid w:val="000D3F3E"/>
    <w:rsid w:val="000D3F5E"/>
    <w:rsid w:val="000D4013"/>
    <w:rsid w:val="000D4035"/>
    <w:rsid w:val="000D4043"/>
    <w:rsid w:val="000D408C"/>
    <w:rsid w:val="000D4188"/>
    <w:rsid w:val="000D4208"/>
    <w:rsid w:val="000D42A9"/>
    <w:rsid w:val="000D43AE"/>
    <w:rsid w:val="000D4560"/>
    <w:rsid w:val="000D4649"/>
    <w:rsid w:val="000D47B5"/>
    <w:rsid w:val="000D4897"/>
    <w:rsid w:val="000D497A"/>
    <w:rsid w:val="000D4990"/>
    <w:rsid w:val="000D49C2"/>
    <w:rsid w:val="000D4A11"/>
    <w:rsid w:val="000D4A27"/>
    <w:rsid w:val="000D4A3F"/>
    <w:rsid w:val="000D4BA0"/>
    <w:rsid w:val="000D4BDE"/>
    <w:rsid w:val="000D4C58"/>
    <w:rsid w:val="000D4F0E"/>
    <w:rsid w:val="000D4F3C"/>
    <w:rsid w:val="000D4F42"/>
    <w:rsid w:val="000D4FB4"/>
    <w:rsid w:val="000D5064"/>
    <w:rsid w:val="000D50DC"/>
    <w:rsid w:val="000D50ED"/>
    <w:rsid w:val="000D524E"/>
    <w:rsid w:val="000D5286"/>
    <w:rsid w:val="000D52FA"/>
    <w:rsid w:val="000D530C"/>
    <w:rsid w:val="000D54FF"/>
    <w:rsid w:val="000D566A"/>
    <w:rsid w:val="000D5694"/>
    <w:rsid w:val="000D5798"/>
    <w:rsid w:val="000D5824"/>
    <w:rsid w:val="000D5843"/>
    <w:rsid w:val="000D5859"/>
    <w:rsid w:val="000D585F"/>
    <w:rsid w:val="000D59A5"/>
    <w:rsid w:val="000D59FA"/>
    <w:rsid w:val="000D5A0B"/>
    <w:rsid w:val="000D5A26"/>
    <w:rsid w:val="000D5B93"/>
    <w:rsid w:val="000D5BF9"/>
    <w:rsid w:val="000D5C00"/>
    <w:rsid w:val="000D5C36"/>
    <w:rsid w:val="000D5CC0"/>
    <w:rsid w:val="000D5D03"/>
    <w:rsid w:val="000D5D9F"/>
    <w:rsid w:val="000D5E03"/>
    <w:rsid w:val="000D5F06"/>
    <w:rsid w:val="000D5F1F"/>
    <w:rsid w:val="000D5F4A"/>
    <w:rsid w:val="000D5FE7"/>
    <w:rsid w:val="000D60AE"/>
    <w:rsid w:val="000D60CF"/>
    <w:rsid w:val="000D6120"/>
    <w:rsid w:val="000D6197"/>
    <w:rsid w:val="000D61CD"/>
    <w:rsid w:val="000D6332"/>
    <w:rsid w:val="000D6357"/>
    <w:rsid w:val="000D63B0"/>
    <w:rsid w:val="000D6412"/>
    <w:rsid w:val="000D6417"/>
    <w:rsid w:val="000D6452"/>
    <w:rsid w:val="000D6482"/>
    <w:rsid w:val="000D64A6"/>
    <w:rsid w:val="000D64D0"/>
    <w:rsid w:val="000D67AC"/>
    <w:rsid w:val="000D67F5"/>
    <w:rsid w:val="000D6862"/>
    <w:rsid w:val="000D6961"/>
    <w:rsid w:val="000D6A8B"/>
    <w:rsid w:val="000D6AF0"/>
    <w:rsid w:val="000D6B6B"/>
    <w:rsid w:val="000D6BB8"/>
    <w:rsid w:val="000D6D17"/>
    <w:rsid w:val="000D6D51"/>
    <w:rsid w:val="000D6DB5"/>
    <w:rsid w:val="000D6DF3"/>
    <w:rsid w:val="000D6E66"/>
    <w:rsid w:val="000D6EED"/>
    <w:rsid w:val="000D7123"/>
    <w:rsid w:val="000D7166"/>
    <w:rsid w:val="000D722C"/>
    <w:rsid w:val="000D7354"/>
    <w:rsid w:val="000D73B8"/>
    <w:rsid w:val="000D73DA"/>
    <w:rsid w:val="000D73F0"/>
    <w:rsid w:val="000D7480"/>
    <w:rsid w:val="000D7494"/>
    <w:rsid w:val="000D7508"/>
    <w:rsid w:val="000D7852"/>
    <w:rsid w:val="000D7AC1"/>
    <w:rsid w:val="000D7AC6"/>
    <w:rsid w:val="000D7AF0"/>
    <w:rsid w:val="000D7BF6"/>
    <w:rsid w:val="000D7D3F"/>
    <w:rsid w:val="000D7D46"/>
    <w:rsid w:val="000D7E4B"/>
    <w:rsid w:val="000D7F2F"/>
    <w:rsid w:val="000D7F7D"/>
    <w:rsid w:val="000D7FD1"/>
    <w:rsid w:val="000E007D"/>
    <w:rsid w:val="000E015F"/>
    <w:rsid w:val="000E01EA"/>
    <w:rsid w:val="000E0202"/>
    <w:rsid w:val="000E02FC"/>
    <w:rsid w:val="000E0380"/>
    <w:rsid w:val="000E0475"/>
    <w:rsid w:val="000E04BE"/>
    <w:rsid w:val="000E0506"/>
    <w:rsid w:val="000E055B"/>
    <w:rsid w:val="000E074D"/>
    <w:rsid w:val="000E07C3"/>
    <w:rsid w:val="000E0B1C"/>
    <w:rsid w:val="000E0BCE"/>
    <w:rsid w:val="000E0BE5"/>
    <w:rsid w:val="000E0D09"/>
    <w:rsid w:val="000E0D3A"/>
    <w:rsid w:val="000E0D3F"/>
    <w:rsid w:val="000E0D62"/>
    <w:rsid w:val="000E0D80"/>
    <w:rsid w:val="000E0DA9"/>
    <w:rsid w:val="000E0DDB"/>
    <w:rsid w:val="000E0E9D"/>
    <w:rsid w:val="000E0F43"/>
    <w:rsid w:val="000E0F6B"/>
    <w:rsid w:val="000E0FAC"/>
    <w:rsid w:val="000E10F6"/>
    <w:rsid w:val="000E11AC"/>
    <w:rsid w:val="000E129F"/>
    <w:rsid w:val="000E12C6"/>
    <w:rsid w:val="000E12CA"/>
    <w:rsid w:val="000E13A0"/>
    <w:rsid w:val="000E13B1"/>
    <w:rsid w:val="000E1471"/>
    <w:rsid w:val="000E157C"/>
    <w:rsid w:val="000E163C"/>
    <w:rsid w:val="000E1843"/>
    <w:rsid w:val="000E18EA"/>
    <w:rsid w:val="000E1A37"/>
    <w:rsid w:val="000E1A86"/>
    <w:rsid w:val="000E1A97"/>
    <w:rsid w:val="000E1BF9"/>
    <w:rsid w:val="000E1E1F"/>
    <w:rsid w:val="000E1F24"/>
    <w:rsid w:val="000E1FE9"/>
    <w:rsid w:val="000E2000"/>
    <w:rsid w:val="000E2001"/>
    <w:rsid w:val="000E2038"/>
    <w:rsid w:val="000E2083"/>
    <w:rsid w:val="000E2085"/>
    <w:rsid w:val="000E2106"/>
    <w:rsid w:val="000E2137"/>
    <w:rsid w:val="000E21AF"/>
    <w:rsid w:val="000E22B4"/>
    <w:rsid w:val="000E22B9"/>
    <w:rsid w:val="000E236B"/>
    <w:rsid w:val="000E245F"/>
    <w:rsid w:val="000E2485"/>
    <w:rsid w:val="000E2490"/>
    <w:rsid w:val="000E24E0"/>
    <w:rsid w:val="000E2571"/>
    <w:rsid w:val="000E2596"/>
    <w:rsid w:val="000E2597"/>
    <w:rsid w:val="000E2683"/>
    <w:rsid w:val="000E268C"/>
    <w:rsid w:val="000E269B"/>
    <w:rsid w:val="000E26D4"/>
    <w:rsid w:val="000E26E3"/>
    <w:rsid w:val="000E2A25"/>
    <w:rsid w:val="000E2A40"/>
    <w:rsid w:val="000E2A81"/>
    <w:rsid w:val="000E2D3A"/>
    <w:rsid w:val="000E2DC3"/>
    <w:rsid w:val="000E2E24"/>
    <w:rsid w:val="000E2E26"/>
    <w:rsid w:val="000E2EBC"/>
    <w:rsid w:val="000E2FE8"/>
    <w:rsid w:val="000E323E"/>
    <w:rsid w:val="000E32B4"/>
    <w:rsid w:val="000E3317"/>
    <w:rsid w:val="000E3428"/>
    <w:rsid w:val="000E3489"/>
    <w:rsid w:val="000E35C6"/>
    <w:rsid w:val="000E35DC"/>
    <w:rsid w:val="000E37C2"/>
    <w:rsid w:val="000E3AF2"/>
    <w:rsid w:val="000E3B0A"/>
    <w:rsid w:val="000E3C08"/>
    <w:rsid w:val="000E3C2B"/>
    <w:rsid w:val="000E3CBF"/>
    <w:rsid w:val="000E3DAD"/>
    <w:rsid w:val="000E3E01"/>
    <w:rsid w:val="000E3E32"/>
    <w:rsid w:val="000E3ECE"/>
    <w:rsid w:val="000E4011"/>
    <w:rsid w:val="000E4052"/>
    <w:rsid w:val="000E4083"/>
    <w:rsid w:val="000E40A1"/>
    <w:rsid w:val="000E4191"/>
    <w:rsid w:val="000E41BA"/>
    <w:rsid w:val="000E43BF"/>
    <w:rsid w:val="000E449B"/>
    <w:rsid w:val="000E44B4"/>
    <w:rsid w:val="000E44CD"/>
    <w:rsid w:val="000E44E4"/>
    <w:rsid w:val="000E44EB"/>
    <w:rsid w:val="000E4551"/>
    <w:rsid w:val="000E459F"/>
    <w:rsid w:val="000E4604"/>
    <w:rsid w:val="000E4642"/>
    <w:rsid w:val="000E46EF"/>
    <w:rsid w:val="000E48B1"/>
    <w:rsid w:val="000E48CD"/>
    <w:rsid w:val="000E4B5A"/>
    <w:rsid w:val="000E4C80"/>
    <w:rsid w:val="000E4CA1"/>
    <w:rsid w:val="000E4D79"/>
    <w:rsid w:val="000E4E6C"/>
    <w:rsid w:val="000E4F05"/>
    <w:rsid w:val="000E4F32"/>
    <w:rsid w:val="000E4F3B"/>
    <w:rsid w:val="000E4F76"/>
    <w:rsid w:val="000E4FB9"/>
    <w:rsid w:val="000E5046"/>
    <w:rsid w:val="000E5104"/>
    <w:rsid w:val="000E51A0"/>
    <w:rsid w:val="000E5239"/>
    <w:rsid w:val="000E5285"/>
    <w:rsid w:val="000E52A5"/>
    <w:rsid w:val="000E5300"/>
    <w:rsid w:val="000E5342"/>
    <w:rsid w:val="000E53DF"/>
    <w:rsid w:val="000E5465"/>
    <w:rsid w:val="000E5492"/>
    <w:rsid w:val="000E5664"/>
    <w:rsid w:val="000E56DE"/>
    <w:rsid w:val="000E571F"/>
    <w:rsid w:val="000E580A"/>
    <w:rsid w:val="000E5874"/>
    <w:rsid w:val="000E58AF"/>
    <w:rsid w:val="000E5952"/>
    <w:rsid w:val="000E5AEC"/>
    <w:rsid w:val="000E5AEE"/>
    <w:rsid w:val="000E5B69"/>
    <w:rsid w:val="000E5BEF"/>
    <w:rsid w:val="000E5C32"/>
    <w:rsid w:val="000E5C77"/>
    <w:rsid w:val="000E5DF2"/>
    <w:rsid w:val="000E5E3C"/>
    <w:rsid w:val="000E5ED5"/>
    <w:rsid w:val="000E5FA0"/>
    <w:rsid w:val="000E5FBA"/>
    <w:rsid w:val="000E647D"/>
    <w:rsid w:val="000E64CD"/>
    <w:rsid w:val="000E6512"/>
    <w:rsid w:val="000E6894"/>
    <w:rsid w:val="000E68D1"/>
    <w:rsid w:val="000E68E6"/>
    <w:rsid w:val="000E6A05"/>
    <w:rsid w:val="000E6B20"/>
    <w:rsid w:val="000E6B66"/>
    <w:rsid w:val="000E6BB3"/>
    <w:rsid w:val="000E6CC9"/>
    <w:rsid w:val="000E6E45"/>
    <w:rsid w:val="000E6EBE"/>
    <w:rsid w:val="000E6EC8"/>
    <w:rsid w:val="000E7083"/>
    <w:rsid w:val="000E7149"/>
    <w:rsid w:val="000E714D"/>
    <w:rsid w:val="000E71A1"/>
    <w:rsid w:val="000E71D5"/>
    <w:rsid w:val="000E7251"/>
    <w:rsid w:val="000E7267"/>
    <w:rsid w:val="000E72D7"/>
    <w:rsid w:val="000E7419"/>
    <w:rsid w:val="000E7569"/>
    <w:rsid w:val="000E75BD"/>
    <w:rsid w:val="000E760A"/>
    <w:rsid w:val="000E7751"/>
    <w:rsid w:val="000E77A6"/>
    <w:rsid w:val="000E77D6"/>
    <w:rsid w:val="000E7951"/>
    <w:rsid w:val="000E79D9"/>
    <w:rsid w:val="000E7C1B"/>
    <w:rsid w:val="000E7C7B"/>
    <w:rsid w:val="000E7D1C"/>
    <w:rsid w:val="000E7D2E"/>
    <w:rsid w:val="000E7D7E"/>
    <w:rsid w:val="000E7DEF"/>
    <w:rsid w:val="000E7E24"/>
    <w:rsid w:val="000E7E99"/>
    <w:rsid w:val="000F0196"/>
    <w:rsid w:val="000F0202"/>
    <w:rsid w:val="000F0236"/>
    <w:rsid w:val="000F0242"/>
    <w:rsid w:val="000F033B"/>
    <w:rsid w:val="000F0352"/>
    <w:rsid w:val="000F0366"/>
    <w:rsid w:val="000F03AD"/>
    <w:rsid w:val="000F03E4"/>
    <w:rsid w:val="000F04F2"/>
    <w:rsid w:val="000F0565"/>
    <w:rsid w:val="000F05B5"/>
    <w:rsid w:val="000F05B9"/>
    <w:rsid w:val="000F05CD"/>
    <w:rsid w:val="000F068E"/>
    <w:rsid w:val="000F0727"/>
    <w:rsid w:val="000F07C3"/>
    <w:rsid w:val="000F083B"/>
    <w:rsid w:val="000F0890"/>
    <w:rsid w:val="000F08B7"/>
    <w:rsid w:val="000F098F"/>
    <w:rsid w:val="000F0A11"/>
    <w:rsid w:val="000F0B62"/>
    <w:rsid w:val="000F0BD6"/>
    <w:rsid w:val="000F0BDC"/>
    <w:rsid w:val="000F0D4C"/>
    <w:rsid w:val="000F0D91"/>
    <w:rsid w:val="000F0E0A"/>
    <w:rsid w:val="000F0E52"/>
    <w:rsid w:val="000F0F66"/>
    <w:rsid w:val="000F0FF6"/>
    <w:rsid w:val="000F12C8"/>
    <w:rsid w:val="000F12E2"/>
    <w:rsid w:val="000F132D"/>
    <w:rsid w:val="000F13A5"/>
    <w:rsid w:val="000F140F"/>
    <w:rsid w:val="000F141A"/>
    <w:rsid w:val="000F153E"/>
    <w:rsid w:val="000F16A3"/>
    <w:rsid w:val="000F17F5"/>
    <w:rsid w:val="000F1807"/>
    <w:rsid w:val="000F18CF"/>
    <w:rsid w:val="000F199A"/>
    <w:rsid w:val="000F1A9B"/>
    <w:rsid w:val="000F1B41"/>
    <w:rsid w:val="000F1B62"/>
    <w:rsid w:val="000F1CCC"/>
    <w:rsid w:val="000F1DDC"/>
    <w:rsid w:val="000F1E4B"/>
    <w:rsid w:val="000F1EE5"/>
    <w:rsid w:val="000F1EFE"/>
    <w:rsid w:val="000F1F6F"/>
    <w:rsid w:val="000F1F9B"/>
    <w:rsid w:val="000F1FF5"/>
    <w:rsid w:val="000F2024"/>
    <w:rsid w:val="000F20AC"/>
    <w:rsid w:val="000F2159"/>
    <w:rsid w:val="000F2204"/>
    <w:rsid w:val="000F2283"/>
    <w:rsid w:val="000F228D"/>
    <w:rsid w:val="000F229B"/>
    <w:rsid w:val="000F232B"/>
    <w:rsid w:val="000F2469"/>
    <w:rsid w:val="000F247A"/>
    <w:rsid w:val="000F24F6"/>
    <w:rsid w:val="000F255D"/>
    <w:rsid w:val="000F25C3"/>
    <w:rsid w:val="000F2650"/>
    <w:rsid w:val="000F266B"/>
    <w:rsid w:val="000F2954"/>
    <w:rsid w:val="000F298D"/>
    <w:rsid w:val="000F2B09"/>
    <w:rsid w:val="000F2B7C"/>
    <w:rsid w:val="000F2BE8"/>
    <w:rsid w:val="000F2D17"/>
    <w:rsid w:val="000F2D1A"/>
    <w:rsid w:val="000F2D6A"/>
    <w:rsid w:val="000F2DCA"/>
    <w:rsid w:val="000F2DE4"/>
    <w:rsid w:val="000F2DFE"/>
    <w:rsid w:val="000F2E5A"/>
    <w:rsid w:val="000F2ECB"/>
    <w:rsid w:val="000F2ECF"/>
    <w:rsid w:val="000F3064"/>
    <w:rsid w:val="000F31B6"/>
    <w:rsid w:val="000F33C8"/>
    <w:rsid w:val="000F34C9"/>
    <w:rsid w:val="000F34D5"/>
    <w:rsid w:val="000F353A"/>
    <w:rsid w:val="000F3605"/>
    <w:rsid w:val="000F3618"/>
    <w:rsid w:val="000F370B"/>
    <w:rsid w:val="000F383F"/>
    <w:rsid w:val="000F3849"/>
    <w:rsid w:val="000F3A2F"/>
    <w:rsid w:val="000F3A40"/>
    <w:rsid w:val="000F3A99"/>
    <w:rsid w:val="000F3AEE"/>
    <w:rsid w:val="000F3B58"/>
    <w:rsid w:val="000F3BF2"/>
    <w:rsid w:val="000F3C7F"/>
    <w:rsid w:val="000F3CCC"/>
    <w:rsid w:val="000F3D6A"/>
    <w:rsid w:val="000F3DD7"/>
    <w:rsid w:val="000F3E3F"/>
    <w:rsid w:val="000F3E87"/>
    <w:rsid w:val="000F3F22"/>
    <w:rsid w:val="000F3F46"/>
    <w:rsid w:val="000F4086"/>
    <w:rsid w:val="000F411B"/>
    <w:rsid w:val="000F41C0"/>
    <w:rsid w:val="000F41F4"/>
    <w:rsid w:val="000F4248"/>
    <w:rsid w:val="000F43E3"/>
    <w:rsid w:val="000F4499"/>
    <w:rsid w:val="000F44F1"/>
    <w:rsid w:val="000F458D"/>
    <w:rsid w:val="000F46D2"/>
    <w:rsid w:val="000F46EB"/>
    <w:rsid w:val="000F4750"/>
    <w:rsid w:val="000F49D9"/>
    <w:rsid w:val="000F4B86"/>
    <w:rsid w:val="000F4B88"/>
    <w:rsid w:val="000F4BD7"/>
    <w:rsid w:val="000F4BEA"/>
    <w:rsid w:val="000F4C25"/>
    <w:rsid w:val="000F4C69"/>
    <w:rsid w:val="000F4E05"/>
    <w:rsid w:val="000F4F42"/>
    <w:rsid w:val="000F4F52"/>
    <w:rsid w:val="000F50CC"/>
    <w:rsid w:val="000F5181"/>
    <w:rsid w:val="000F5241"/>
    <w:rsid w:val="000F5346"/>
    <w:rsid w:val="000F53A8"/>
    <w:rsid w:val="000F53DD"/>
    <w:rsid w:val="000F548D"/>
    <w:rsid w:val="000F5547"/>
    <w:rsid w:val="000F5599"/>
    <w:rsid w:val="000F55A5"/>
    <w:rsid w:val="000F55F8"/>
    <w:rsid w:val="000F562F"/>
    <w:rsid w:val="000F5648"/>
    <w:rsid w:val="000F56C8"/>
    <w:rsid w:val="000F5725"/>
    <w:rsid w:val="000F574E"/>
    <w:rsid w:val="000F58FB"/>
    <w:rsid w:val="000F5947"/>
    <w:rsid w:val="000F59F4"/>
    <w:rsid w:val="000F5A95"/>
    <w:rsid w:val="000F5AF8"/>
    <w:rsid w:val="000F5BC5"/>
    <w:rsid w:val="000F5BF5"/>
    <w:rsid w:val="000F5C03"/>
    <w:rsid w:val="000F5CA5"/>
    <w:rsid w:val="000F5D57"/>
    <w:rsid w:val="000F5DB0"/>
    <w:rsid w:val="000F5E03"/>
    <w:rsid w:val="000F5F31"/>
    <w:rsid w:val="000F607F"/>
    <w:rsid w:val="000F60C6"/>
    <w:rsid w:val="000F61E4"/>
    <w:rsid w:val="000F62DA"/>
    <w:rsid w:val="000F637C"/>
    <w:rsid w:val="000F63B8"/>
    <w:rsid w:val="000F644A"/>
    <w:rsid w:val="000F6497"/>
    <w:rsid w:val="000F65CB"/>
    <w:rsid w:val="000F6631"/>
    <w:rsid w:val="000F6985"/>
    <w:rsid w:val="000F6D5A"/>
    <w:rsid w:val="000F6DF7"/>
    <w:rsid w:val="000F6F73"/>
    <w:rsid w:val="000F7008"/>
    <w:rsid w:val="000F7028"/>
    <w:rsid w:val="000F706A"/>
    <w:rsid w:val="000F70C4"/>
    <w:rsid w:val="000F7307"/>
    <w:rsid w:val="000F73F8"/>
    <w:rsid w:val="000F7528"/>
    <w:rsid w:val="000F7619"/>
    <w:rsid w:val="000F7673"/>
    <w:rsid w:val="000F7751"/>
    <w:rsid w:val="000F77E8"/>
    <w:rsid w:val="000F788B"/>
    <w:rsid w:val="000F79B1"/>
    <w:rsid w:val="000F7A9B"/>
    <w:rsid w:val="000F7B1E"/>
    <w:rsid w:val="000F7C13"/>
    <w:rsid w:val="000F7EB4"/>
    <w:rsid w:val="000F7FBC"/>
    <w:rsid w:val="0010009B"/>
    <w:rsid w:val="00100161"/>
    <w:rsid w:val="0010020E"/>
    <w:rsid w:val="00100270"/>
    <w:rsid w:val="00100304"/>
    <w:rsid w:val="00100306"/>
    <w:rsid w:val="00100313"/>
    <w:rsid w:val="0010032D"/>
    <w:rsid w:val="001003C4"/>
    <w:rsid w:val="001003E7"/>
    <w:rsid w:val="00100400"/>
    <w:rsid w:val="00100405"/>
    <w:rsid w:val="0010044A"/>
    <w:rsid w:val="0010048B"/>
    <w:rsid w:val="001004AC"/>
    <w:rsid w:val="001004AE"/>
    <w:rsid w:val="0010052E"/>
    <w:rsid w:val="0010066B"/>
    <w:rsid w:val="00100686"/>
    <w:rsid w:val="00100717"/>
    <w:rsid w:val="00100726"/>
    <w:rsid w:val="00100774"/>
    <w:rsid w:val="00100818"/>
    <w:rsid w:val="00100831"/>
    <w:rsid w:val="00100845"/>
    <w:rsid w:val="00100890"/>
    <w:rsid w:val="001008B6"/>
    <w:rsid w:val="00100962"/>
    <w:rsid w:val="00100C1C"/>
    <w:rsid w:val="00100D4B"/>
    <w:rsid w:val="00100E52"/>
    <w:rsid w:val="00100F1E"/>
    <w:rsid w:val="00100F82"/>
    <w:rsid w:val="00100F9E"/>
    <w:rsid w:val="00101091"/>
    <w:rsid w:val="00101136"/>
    <w:rsid w:val="001011FF"/>
    <w:rsid w:val="00101254"/>
    <w:rsid w:val="0010130E"/>
    <w:rsid w:val="00101317"/>
    <w:rsid w:val="001013EE"/>
    <w:rsid w:val="001013F0"/>
    <w:rsid w:val="0010147C"/>
    <w:rsid w:val="0010151F"/>
    <w:rsid w:val="00101563"/>
    <w:rsid w:val="001015A6"/>
    <w:rsid w:val="001015BF"/>
    <w:rsid w:val="001016C0"/>
    <w:rsid w:val="00101729"/>
    <w:rsid w:val="001017D6"/>
    <w:rsid w:val="001018E2"/>
    <w:rsid w:val="00101975"/>
    <w:rsid w:val="00101A40"/>
    <w:rsid w:val="00101AC5"/>
    <w:rsid w:val="00101AD5"/>
    <w:rsid w:val="00101AD7"/>
    <w:rsid w:val="00101AED"/>
    <w:rsid w:val="00101B36"/>
    <w:rsid w:val="00101B66"/>
    <w:rsid w:val="00101B7A"/>
    <w:rsid w:val="00101B87"/>
    <w:rsid w:val="00101BC7"/>
    <w:rsid w:val="00101BE4"/>
    <w:rsid w:val="00101EEA"/>
    <w:rsid w:val="00101F32"/>
    <w:rsid w:val="00101FAB"/>
    <w:rsid w:val="00101FE5"/>
    <w:rsid w:val="001020B7"/>
    <w:rsid w:val="001020C7"/>
    <w:rsid w:val="00102260"/>
    <w:rsid w:val="00102479"/>
    <w:rsid w:val="0010257E"/>
    <w:rsid w:val="00102609"/>
    <w:rsid w:val="00102769"/>
    <w:rsid w:val="00102AA0"/>
    <w:rsid w:val="00102BB1"/>
    <w:rsid w:val="00102BE7"/>
    <w:rsid w:val="00102C80"/>
    <w:rsid w:val="00102CA7"/>
    <w:rsid w:val="00102DB0"/>
    <w:rsid w:val="00102EC7"/>
    <w:rsid w:val="00102F30"/>
    <w:rsid w:val="00102FEA"/>
    <w:rsid w:val="00103023"/>
    <w:rsid w:val="0010306D"/>
    <w:rsid w:val="00103092"/>
    <w:rsid w:val="001030F3"/>
    <w:rsid w:val="00103190"/>
    <w:rsid w:val="0010319D"/>
    <w:rsid w:val="00103355"/>
    <w:rsid w:val="001034B9"/>
    <w:rsid w:val="001034DB"/>
    <w:rsid w:val="0010375B"/>
    <w:rsid w:val="001037D0"/>
    <w:rsid w:val="001037D8"/>
    <w:rsid w:val="00103836"/>
    <w:rsid w:val="0010383D"/>
    <w:rsid w:val="00103892"/>
    <w:rsid w:val="0010390D"/>
    <w:rsid w:val="0010393A"/>
    <w:rsid w:val="00103A54"/>
    <w:rsid w:val="00103B5C"/>
    <w:rsid w:val="00103C3F"/>
    <w:rsid w:val="00103C5C"/>
    <w:rsid w:val="00103C6D"/>
    <w:rsid w:val="00103CC1"/>
    <w:rsid w:val="00103D6C"/>
    <w:rsid w:val="00103DD4"/>
    <w:rsid w:val="00103DF4"/>
    <w:rsid w:val="00103E51"/>
    <w:rsid w:val="00103E9F"/>
    <w:rsid w:val="00103FBD"/>
    <w:rsid w:val="00104088"/>
    <w:rsid w:val="0010410C"/>
    <w:rsid w:val="0010414E"/>
    <w:rsid w:val="00104277"/>
    <w:rsid w:val="0010428C"/>
    <w:rsid w:val="001042FB"/>
    <w:rsid w:val="00104355"/>
    <w:rsid w:val="001043C4"/>
    <w:rsid w:val="001043DC"/>
    <w:rsid w:val="00104471"/>
    <w:rsid w:val="001044AA"/>
    <w:rsid w:val="001044C6"/>
    <w:rsid w:val="00104504"/>
    <w:rsid w:val="0010454E"/>
    <w:rsid w:val="00104598"/>
    <w:rsid w:val="001045AD"/>
    <w:rsid w:val="0010460C"/>
    <w:rsid w:val="00104619"/>
    <w:rsid w:val="001047CF"/>
    <w:rsid w:val="00104889"/>
    <w:rsid w:val="001048A8"/>
    <w:rsid w:val="001048D9"/>
    <w:rsid w:val="001048FC"/>
    <w:rsid w:val="00104A54"/>
    <w:rsid w:val="00104AB7"/>
    <w:rsid w:val="00104B4B"/>
    <w:rsid w:val="00104B9D"/>
    <w:rsid w:val="00104B9F"/>
    <w:rsid w:val="00104C46"/>
    <w:rsid w:val="00104D1A"/>
    <w:rsid w:val="00104DDF"/>
    <w:rsid w:val="00104E34"/>
    <w:rsid w:val="00104E46"/>
    <w:rsid w:val="00104E9A"/>
    <w:rsid w:val="00104EC8"/>
    <w:rsid w:val="00104FBE"/>
    <w:rsid w:val="00105021"/>
    <w:rsid w:val="00105059"/>
    <w:rsid w:val="00105076"/>
    <w:rsid w:val="0010518C"/>
    <w:rsid w:val="001053EA"/>
    <w:rsid w:val="00105427"/>
    <w:rsid w:val="001054C9"/>
    <w:rsid w:val="0010550A"/>
    <w:rsid w:val="00105540"/>
    <w:rsid w:val="00105572"/>
    <w:rsid w:val="001057AB"/>
    <w:rsid w:val="00105820"/>
    <w:rsid w:val="00105828"/>
    <w:rsid w:val="00105B8B"/>
    <w:rsid w:val="00105C22"/>
    <w:rsid w:val="00105CE9"/>
    <w:rsid w:val="00105D24"/>
    <w:rsid w:val="00105D33"/>
    <w:rsid w:val="00105E4A"/>
    <w:rsid w:val="00105FD2"/>
    <w:rsid w:val="0010600E"/>
    <w:rsid w:val="0010604B"/>
    <w:rsid w:val="001060FE"/>
    <w:rsid w:val="00106102"/>
    <w:rsid w:val="00106167"/>
    <w:rsid w:val="0010631E"/>
    <w:rsid w:val="00106394"/>
    <w:rsid w:val="00106484"/>
    <w:rsid w:val="0010660F"/>
    <w:rsid w:val="00106613"/>
    <w:rsid w:val="0010665C"/>
    <w:rsid w:val="00106677"/>
    <w:rsid w:val="001066ED"/>
    <w:rsid w:val="001066EE"/>
    <w:rsid w:val="001067A0"/>
    <w:rsid w:val="001067E7"/>
    <w:rsid w:val="00106918"/>
    <w:rsid w:val="00106947"/>
    <w:rsid w:val="0010697D"/>
    <w:rsid w:val="0010697F"/>
    <w:rsid w:val="00106992"/>
    <w:rsid w:val="00106A14"/>
    <w:rsid w:val="00106ABD"/>
    <w:rsid w:val="00106AD4"/>
    <w:rsid w:val="00106BE2"/>
    <w:rsid w:val="00106E20"/>
    <w:rsid w:val="00106E41"/>
    <w:rsid w:val="00106E4E"/>
    <w:rsid w:val="00106F58"/>
    <w:rsid w:val="00106F74"/>
    <w:rsid w:val="00106FCC"/>
    <w:rsid w:val="00107064"/>
    <w:rsid w:val="00107070"/>
    <w:rsid w:val="001071DC"/>
    <w:rsid w:val="001071E7"/>
    <w:rsid w:val="0010721A"/>
    <w:rsid w:val="00107246"/>
    <w:rsid w:val="00107315"/>
    <w:rsid w:val="001073E9"/>
    <w:rsid w:val="00107467"/>
    <w:rsid w:val="0010746E"/>
    <w:rsid w:val="001074D9"/>
    <w:rsid w:val="0010773D"/>
    <w:rsid w:val="00107851"/>
    <w:rsid w:val="00107898"/>
    <w:rsid w:val="001078BA"/>
    <w:rsid w:val="001078BE"/>
    <w:rsid w:val="001079CE"/>
    <w:rsid w:val="00107A77"/>
    <w:rsid w:val="00107B33"/>
    <w:rsid w:val="00107B4E"/>
    <w:rsid w:val="00107C06"/>
    <w:rsid w:val="00107C2F"/>
    <w:rsid w:val="00107C4E"/>
    <w:rsid w:val="00107CD8"/>
    <w:rsid w:val="00107F1B"/>
    <w:rsid w:val="00107F2D"/>
    <w:rsid w:val="001101A1"/>
    <w:rsid w:val="00110287"/>
    <w:rsid w:val="001102B1"/>
    <w:rsid w:val="001102B8"/>
    <w:rsid w:val="001103B4"/>
    <w:rsid w:val="00110400"/>
    <w:rsid w:val="0011051C"/>
    <w:rsid w:val="00110631"/>
    <w:rsid w:val="001106D4"/>
    <w:rsid w:val="0011087C"/>
    <w:rsid w:val="001108D8"/>
    <w:rsid w:val="001109AF"/>
    <w:rsid w:val="00110A04"/>
    <w:rsid w:val="00110A05"/>
    <w:rsid w:val="00110A96"/>
    <w:rsid w:val="00110AD0"/>
    <w:rsid w:val="00110B0C"/>
    <w:rsid w:val="00110B0D"/>
    <w:rsid w:val="00110B7A"/>
    <w:rsid w:val="00110BC0"/>
    <w:rsid w:val="00110BE5"/>
    <w:rsid w:val="00110E33"/>
    <w:rsid w:val="00110F0D"/>
    <w:rsid w:val="00110F2E"/>
    <w:rsid w:val="00110F4D"/>
    <w:rsid w:val="00110F73"/>
    <w:rsid w:val="00110F7B"/>
    <w:rsid w:val="00111093"/>
    <w:rsid w:val="001111EF"/>
    <w:rsid w:val="00111369"/>
    <w:rsid w:val="001114BD"/>
    <w:rsid w:val="00111537"/>
    <w:rsid w:val="0011153F"/>
    <w:rsid w:val="0011163E"/>
    <w:rsid w:val="0011166B"/>
    <w:rsid w:val="0011169A"/>
    <w:rsid w:val="001116FA"/>
    <w:rsid w:val="001117E7"/>
    <w:rsid w:val="00111833"/>
    <w:rsid w:val="00111864"/>
    <w:rsid w:val="001118AE"/>
    <w:rsid w:val="001118ED"/>
    <w:rsid w:val="0011199F"/>
    <w:rsid w:val="001119A8"/>
    <w:rsid w:val="00111AC5"/>
    <w:rsid w:val="00111ADE"/>
    <w:rsid w:val="00111B08"/>
    <w:rsid w:val="00111BC2"/>
    <w:rsid w:val="00111BF1"/>
    <w:rsid w:val="00111D22"/>
    <w:rsid w:val="00111DFE"/>
    <w:rsid w:val="00111EDD"/>
    <w:rsid w:val="00111F50"/>
    <w:rsid w:val="00111FDE"/>
    <w:rsid w:val="0011208C"/>
    <w:rsid w:val="00112169"/>
    <w:rsid w:val="001123B9"/>
    <w:rsid w:val="001123C2"/>
    <w:rsid w:val="001123D6"/>
    <w:rsid w:val="0011242E"/>
    <w:rsid w:val="0011248C"/>
    <w:rsid w:val="001125DD"/>
    <w:rsid w:val="00112636"/>
    <w:rsid w:val="0011266D"/>
    <w:rsid w:val="0011284F"/>
    <w:rsid w:val="00112972"/>
    <w:rsid w:val="0011297D"/>
    <w:rsid w:val="00112A23"/>
    <w:rsid w:val="00112A9A"/>
    <w:rsid w:val="00112AAC"/>
    <w:rsid w:val="00112B72"/>
    <w:rsid w:val="00112CC5"/>
    <w:rsid w:val="00112D9F"/>
    <w:rsid w:val="00112DA9"/>
    <w:rsid w:val="00113008"/>
    <w:rsid w:val="00113051"/>
    <w:rsid w:val="0011308B"/>
    <w:rsid w:val="001131FF"/>
    <w:rsid w:val="0011320E"/>
    <w:rsid w:val="00113234"/>
    <w:rsid w:val="0011327B"/>
    <w:rsid w:val="00113285"/>
    <w:rsid w:val="001132C1"/>
    <w:rsid w:val="001132F3"/>
    <w:rsid w:val="0011330A"/>
    <w:rsid w:val="0011344C"/>
    <w:rsid w:val="00113540"/>
    <w:rsid w:val="00113634"/>
    <w:rsid w:val="00113653"/>
    <w:rsid w:val="00113672"/>
    <w:rsid w:val="00113697"/>
    <w:rsid w:val="001136A0"/>
    <w:rsid w:val="001136C3"/>
    <w:rsid w:val="0011397A"/>
    <w:rsid w:val="001139BF"/>
    <w:rsid w:val="00113BCE"/>
    <w:rsid w:val="00113D22"/>
    <w:rsid w:val="00113D8B"/>
    <w:rsid w:val="00113FEB"/>
    <w:rsid w:val="00113FF8"/>
    <w:rsid w:val="0011402D"/>
    <w:rsid w:val="00114038"/>
    <w:rsid w:val="0011404C"/>
    <w:rsid w:val="00114157"/>
    <w:rsid w:val="001141F9"/>
    <w:rsid w:val="00114234"/>
    <w:rsid w:val="00114249"/>
    <w:rsid w:val="00114332"/>
    <w:rsid w:val="0011438A"/>
    <w:rsid w:val="00114536"/>
    <w:rsid w:val="0011466F"/>
    <w:rsid w:val="001148AF"/>
    <w:rsid w:val="001148BC"/>
    <w:rsid w:val="001149B8"/>
    <w:rsid w:val="00114A1D"/>
    <w:rsid w:val="00114A29"/>
    <w:rsid w:val="00114A8C"/>
    <w:rsid w:val="00114A8F"/>
    <w:rsid w:val="00114AF4"/>
    <w:rsid w:val="00114B29"/>
    <w:rsid w:val="00114BA0"/>
    <w:rsid w:val="00114CCB"/>
    <w:rsid w:val="00114E1C"/>
    <w:rsid w:val="00114E26"/>
    <w:rsid w:val="00114F0B"/>
    <w:rsid w:val="00114F17"/>
    <w:rsid w:val="00114F44"/>
    <w:rsid w:val="00114FD0"/>
    <w:rsid w:val="001152C8"/>
    <w:rsid w:val="001152C9"/>
    <w:rsid w:val="0011536C"/>
    <w:rsid w:val="00115401"/>
    <w:rsid w:val="0011546D"/>
    <w:rsid w:val="00115486"/>
    <w:rsid w:val="001154D2"/>
    <w:rsid w:val="001154F3"/>
    <w:rsid w:val="001157A9"/>
    <w:rsid w:val="001157E9"/>
    <w:rsid w:val="0011589A"/>
    <w:rsid w:val="00115993"/>
    <w:rsid w:val="0011599D"/>
    <w:rsid w:val="001159AE"/>
    <w:rsid w:val="00115AAC"/>
    <w:rsid w:val="00115AC0"/>
    <w:rsid w:val="00115CDE"/>
    <w:rsid w:val="00115DBC"/>
    <w:rsid w:val="00115DF0"/>
    <w:rsid w:val="00115EEC"/>
    <w:rsid w:val="00115F3E"/>
    <w:rsid w:val="00115FB4"/>
    <w:rsid w:val="00116049"/>
    <w:rsid w:val="00116081"/>
    <w:rsid w:val="001161B4"/>
    <w:rsid w:val="0011622C"/>
    <w:rsid w:val="00116231"/>
    <w:rsid w:val="00116261"/>
    <w:rsid w:val="001162AD"/>
    <w:rsid w:val="001167A4"/>
    <w:rsid w:val="00116899"/>
    <w:rsid w:val="001168B5"/>
    <w:rsid w:val="00116928"/>
    <w:rsid w:val="00116A89"/>
    <w:rsid w:val="00116BC7"/>
    <w:rsid w:val="00116CB3"/>
    <w:rsid w:val="00116EE2"/>
    <w:rsid w:val="00116F0B"/>
    <w:rsid w:val="00116F9D"/>
    <w:rsid w:val="00116FF6"/>
    <w:rsid w:val="001170C6"/>
    <w:rsid w:val="00117130"/>
    <w:rsid w:val="0011717B"/>
    <w:rsid w:val="0011717D"/>
    <w:rsid w:val="00117184"/>
    <w:rsid w:val="001172DD"/>
    <w:rsid w:val="00117394"/>
    <w:rsid w:val="001173AF"/>
    <w:rsid w:val="0011751C"/>
    <w:rsid w:val="0011751D"/>
    <w:rsid w:val="00117527"/>
    <w:rsid w:val="00117562"/>
    <w:rsid w:val="001175ED"/>
    <w:rsid w:val="00117792"/>
    <w:rsid w:val="001177A4"/>
    <w:rsid w:val="001179A3"/>
    <w:rsid w:val="001179F0"/>
    <w:rsid w:val="001179F5"/>
    <w:rsid w:val="00117A24"/>
    <w:rsid w:val="00117ACC"/>
    <w:rsid w:val="00117B44"/>
    <w:rsid w:val="00117C22"/>
    <w:rsid w:val="00117C69"/>
    <w:rsid w:val="00117DEC"/>
    <w:rsid w:val="00117F70"/>
    <w:rsid w:val="00117FDA"/>
    <w:rsid w:val="00117FEE"/>
    <w:rsid w:val="00120101"/>
    <w:rsid w:val="0012012A"/>
    <w:rsid w:val="0012013F"/>
    <w:rsid w:val="00120187"/>
    <w:rsid w:val="001202B7"/>
    <w:rsid w:val="001202CA"/>
    <w:rsid w:val="001203A7"/>
    <w:rsid w:val="001203C9"/>
    <w:rsid w:val="0012050B"/>
    <w:rsid w:val="0012060D"/>
    <w:rsid w:val="0012070F"/>
    <w:rsid w:val="00120900"/>
    <w:rsid w:val="00120987"/>
    <w:rsid w:val="00120A32"/>
    <w:rsid w:val="00120A4B"/>
    <w:rsid w:val="00120AB1"/>
    <w:rsid w:val="00120ADE"/>
    <w:rsid w:val="00120BE3"/>
    <w:rsid w:val="00120CCC"/>
    <w:rsid w:val="00120DB9"/>
    <w:rsid w:val="00120E0D"/>
    <w:rsid w:val="00120E5F"/>
    <w:rsid w:val="00121085"/>
    <w:rsid w:val="001211E6"/>
    <w:rsid w:val="0012133E"/>
    <w:rsid w:val="001213EC"/>
    <w:rsid w:val="00121411"/>
    <w:rsid w:val="001214A0"/>
    <w:rsid w:val="0012168E"/>
    <w:rsid w:val="00121690"/>
    <w:rsid w:val="0012178A"/>
    <w:rsid w:val="0012183C"/>
    <w:rsid w:val="001218F7"/>
    <w:rsid w:val="001219AA"/>
    <w:rsid w:val="00121A24"/>
    <w:rsid w:val="00121AAE"/>
    <w:rsid w:val="00121C69"/>
    <w:rsid w:val="00121E47"/>
    <w:rsid w:val="00121E78"/>
    <w:rsid w:val="00121EAF"/>
    <w:rsid w:val="00121F66"/>
    <w:rsid w:val="00121FB8"/>
    <w:rsid w:val="00122016"/>
    <w:rsid w:val="00122046"/>
    <w:rsid w:val="0012204A"/>
    <w:rsid w:val="00122062"/>
    <w:rsid w:val="001220A5"/>
    <w:rsid w:val="0012211B"/>
    <w:rsid w:val="0012217B"/>
    <w:rsid w:val="001221B4"/>
    <w:rsid w:val="001221FB"/>
    <w:rsid w:val="00122229"/>
    <w:rsid w:val="001222A6"/>
    <w:rsid w:val="0012234B"/>
    <w:rsid w:val="00122429"/>
    <w:rsid w:val="00122456"/>
    <w:rsid w:val="00122505"/>
    <w:rsid w:val="001225EB"/>
    <w:rsid w:val="001225ED"/>
    <w:rsid w:val="0012262A"/>
    <w:rsid w:val="001227B2"/>
    <w:rsid w:val="0012283E"/>
    <w:rsid w:val="00122951"/>
    <w:rsid w:val="00122A34"/>
    <w:rsid w:val="00122AB9"/>
    <w:rsid w:val="00122B3E"/>
    <w:rsid w:val="00122BCA"/>
    <w:rsid w:val="00122D66"/>
    <w:rsid w:val="00122F2A"/>
    <w:rsid w:val="001231BE"/>
    <w:rsid w:val="00123212"/>
    <w:rsid w:val="001232AF"/>
    <w:rsid w:val="0012341F"/>
    <w:rsid w:val="0012345E"/>
    <w:rsid w:val="0012355E"/>
    <w:rsid w:val="00123603"/>
    <w:rsid w:val="001236EB"/>
    <w:rsid w:val="00123719"/>
    <w:rsid w:val="0012378A"/>
    <w:rsid w:val="001237AC"/>
    <w:rsid w:val="001237B5"/>
    <w:rsid w:val="001237F7"/>
    <w:rsid w:val="00123848"/>
    <w:rsid w:val="00123899"/>
    <w:rsid w:val="001239D9"/>
    <w:rsid w:val="00123A09"/>
    <w:rsid w:val="00123A0A"/>
    <w:rsid w:val="00123A7A"/>
    <w:rsid w:val="00123AF5"/>
    <w:rsid w:val="00123C16"/>
    <w:rsid w:val="00123D67"/>
    <w:rsid w:val="00123DC3"/>
    <w:rsid w:val="00123E34"/>
    <w:rsid w:val="00123E4C"/>
    <w:rsid w:val="00123EF3"/>
    <w:rsid w:val="00123F71"/>
    <w:rsid w:val="00124017"/>
    <w:rsid w:val="0012409C"/>
    <w:rsid w:val="001241E1"/>
    <w:rsid w:val="0012432E"/>
    <w:rsid w:val="00124487"/>
    <w:rsid w:val="001245B8"/>
    <w:rsid w:val="001245C8"/>
    <w:rsid w:val="0012467E"/>
    <w:rsid w:val="001247DE"/>
    <w:rsid w:val="00124825"/>
    <w:rsid w:val="00124830"/>
    <w:rsid w:val="001248B8"/>
    <w:rsid w:val="001249B2"/>
    <w:rsid w:val="00124A18"/>
    <w:rsid w:val="00124A48"/>
    <w:rsid w:val="00124CE4"/>
    <w:rsid w:val="00124D3F"/>
    <w:rsid w:val="00124DAA"/>
    <w:rsid w:val="00124F1B"/>
    <w:rsid w:val="00124FB7"/>
    <w:rsid w:val="00124FDB"/>
    <w:rsid w:val="00125061"/>
    <w:rsid w:val="001250C3"/>
    <w:rsid w:val="00125136"/>
    <w:rsid w:val="001251CE"/>
    <w:rsid w:val="00125225"/>
    <w:rsid w:val="00125288"/>
    <w:rsid w:val="001252AE"/>
    <w:rsid w:val="001252C2"/>
    <w:rsid w:val="00125399"/>
    <w:rsid w:val="00125495"/>
    <w:rsid w:val="00125571"/>
    <w:rsid w:val="0012571F"/>
    <w:rsid w:val="0012598E"/>
    <w:rsid w:val="001259A9"/>
    <w:rsid w:val="00125C3B"/>
    <w:rsid w:val="00125C76"/>
    <w:rsid w:val="00125CAD"/>
    <w:rsid w:val="00125DD8"/>
    <w:rsid w:val="00125E82"/>
    <w:rsid w:val="00125F0C"/>
    <w:rsid w:val="00125F20"/>
    <w:rsid w:val="00126059"/>
    <w:rsid w:val="00126078"/>
    <w:rsid w:val="0012607F"/>
    <w:rsid w:val="00126136"/>
    <w:rsid w:val="00126199"/>
    <w:rsid w:val="00126391"/>
    <w:rsid w:val="00126392"/>
    <w:rsid w:val="001263DF"/>
    <w:rsid w:val="00126483"/>
    <w:rsid w:val="00126524"/>
    <w:rsid w:val="0012656F"/>
    <w:rsid w:val="00126608"/>
    <w:rsid w:val="00126620"/>
    <w:rsid w:val="00126704"/>
    <w:rsid w:val="00126739"/>
    <w:rsid w:val="001267B9"/>
    <w:rsid w:val="00126809"/>
    <w:rsid w:val="00126824"/>
    <w:rsid w:val="001269D1"/>
    <w:rsid w:val="00126AFD"/>
    <w:rsid w:val="00126B82"/>
    <w:rsid w:val="00126C32"/>
    <w:rsid w:val="00126CAA"/>
    <w:rsid w:val="00126EAF"/>
    <w:rsid w:val="00126F3C"/>
    <w:rsid w:val="00126F5F"/>
    <w:rsid w:val="00126F83"/>
    <w:rsid w:val="00126F92"/>
    <w:rsid w:val="001270A1"/>
    <w:rsid w:val="001271B8"/>
    <w:rsid w:val="00127238"/>
    <w:rsid w:val="00127244"/>
    <w:rsid w:val="00127293"/>
    <w:rsid w:val="001272E2"/>
    <w:rsid w:val="00127325"/>
    <w:rsid w:val="00127363"/>
    <w:rsid w:val="001274A7"/>
    <w:rsid w:val="001274FA"/>
    <w:rsid w:val="00127531"/>
    <w:rsid w:val="00127573"/>
    <w:rsid w:val="0012763C"/>
    <w:rsid w:val="00127662"/>
    <w:rsid w:val="001276BB"/>
    <w:rsid w:val="00127756"/>
    <w:rsid w:val="0012777C"/>
    <w:rsid w:val="00127833"/>
    <w:rsid w:val="0012788D"/>
    <w:rsid w:val="001278B9"/>
    <w:rsid w:val="001278CF"/>
    <w:rsid w:val="001279A2"/>
    <w:rsid w:val="001279EC"/>
    <w:rsid w:val="001279F9"/>
    <w:rsid w:val="00127AE6"/>
    <w:rsid w:val="00127B2B"/>
    <w:rsid w:val="00127B32"/>
    <w:rsid w:val="00127B5E"/>
    <w:rsid w:val="00127B65"/>
    <w:rsid w:val="00127C6A"/>
    <w:rsid w:val="00127D18"/>
    <w:rsid w:val="00127F98"/>
    <w:rsid w:val="0013003C"/>
    <w:rsid w:val="00130099"/>
    <w:rsid w:val="00130105"/>
    <w:rsid w:val="001301D8"/>
    <w:rsid w:val="001301E2"/>
    <w:rsid w:val="0013033C"/>
    <w:rsid w:val="001303CE"/>
    <w:rsid w:val="001303DC"/>
    <w:rsid w:val="00130431"/>
    <w:rsid w:val="00130463"/>
    <w:rsid w:val="00130827"/>
    <w:rsid w:val="00130832"/>
    <w:rsid w:val="0013089E"/>
    <w:rsid w:val="0013093B"/>
    <w:rsid w:val="00130A8D"/>
    <w:rsid w:val="00130B15"/>
    <w:rsid w:val="00130BD5"/>
    <w:rsid w:val="00130C12"/>
    <w:rsid w:val="00130C95"/>
    <w:rsid w:val="00130E8B"/>
    <w:rsid w:val="001310CC"/>
    <w:rsid w:val="001311BF"/>
    <w:rsid w:val="0013120C"/>
    <w:rsid w:val="00131383"/>
    <w:rsid w:val="00131408"/>
    <w:rsid w:val="0013142C"/>
    <w:rsid w:val="00131458"/>
    <w:rsid w:val="001314AE"/>
    <w:rsid w:val="001315CE"/>
    <w:rsid w:val="001317A4"/>
    <w:rsid w:val="001317CF"/>
    <w:rsid w:val="001317F8"/>
    <w:rsid w:val="00131990"/>
    <w:rsid w:val="001319D9"/>
    <w:rsid w:val="00131A1D"/>
    <w:rsid w:val="00131AE1"/>
    <w:rsid w:val="00131C5A"/>
    <w:rsid w:val="00131C74"/>
    <w:rsid w:val="00131D91"/>
    <w:rsid w:val="00131F43"/>
    <w:rsid w:val="00132080"/>
    <w:rsid w:val="00132285"/>
    <w:rsid w:val="001322BD"/>
    <w:rsid w:val="00132330"/>
    <w:rsid w:val="00132423"/>
    <w:rsid w:val="00132551"/>
    <w:rsid w:val="00132576"/>
    <w:rsid w:val="001325ED"/>
    <w:rsid w:val="00132661"/>
    <w:rsid w:val="00132694"/>
    <w:rsid w:val="0013275C"/>
    <w:rsid w:val="001328C9"/>
    <w:rsid w:val="00132B31"/>
    <w:rsid w:val="00132C46"/>
    <w:rsid w:val="00132C78"/>
    <w:rsid w:val="00132C8E"/>
    <w:rsid w:val="00132CAA"/>
    <w:rsid w:val="00132D36"/>
    <w:rsid w:val="00132D46"/>
    <w:rsid w:val="00132D4E"/>
    <w:rsid w:val="00132D72"/>
    <w:rsid w:val="00132E91"/>
    <w:rsid w:val="00132F14"/>
    <w:rsid w:val="00132F1E"/>
    <w:rsid w:val="00132F7B"/>
    <w:rsid w:val="00132FA4"/>
    <w:rsid w:val="00132FE8"/>
    <w:rsid w:val="00133040"/>
    <w:rsid w:val="00133087"/>
    <w:rsid w:val="001331E1"/>
    <w:rsid w:val="00133277"/>
    <w:rsid w:val="001332E8"/>
    <w:rsid w:val="001333C2"/>
    <w:rsid w:val="001333C7"/>
    <w:rsid w:val="00133428"/>
    <w:rsid w:val="00133487"/>
    <w:rsid w:val="0013366D"/>
    <w:rsid w:val="001336D0"/>
    <w:rsid w:val="00133781"/>
    <w:rsid w:val="0013387A"/>
    <w:rsid w:val="0013387B"/>
    <w:rsid w:val="001339B2"/>
    <w:rsid w:val="00133A20"/>
    <w:rsid w:val="00133AAE"/>
    <w:rsid w:val="00133B51"/>
    <w:rsid w:val="00133C5D"/>
    <w:rsid w:val="00133C82"/>
    <w:rsid w:val="00133CFB"/>
    <w:rsid w:val="00133D0D"/>
    <w:rsid w:val="00133DDF"/>
    <w:rsid w:val="00133F6B"/>
    <w:rsid w:val="00133F83"/>
    <w:rsid w:val="00134218"/>
    <w:rsid w:val="00134348"/>
    <w:rsid w:val="0013435A"/>
    <w:rsid w:val="00134376"/>
    <w:rsid w:val="0013451B"/>
    <w:rsid w:val="0013482D"/>
    <w:rsid w:val="00134865"/>
    <w:rsid w:val="001348B6"/>
    <w:rsid w:val="0013497F"/>
    <w:rsid w:val="00134B32"/>
    <w:rsid w:val="00134BA8"/>
    <w:rsid w:val="00134BD0"/>
    <w:rsid w:val="00134C5C"/>
    <w:rsid w:val="00134D50"/>
    <w:rsid w:val="00134D5B"/>
    <w:rsid w:val="00134DF4"/>
    <w:rsid w:val="00134E70"/>
    <w:rsid w:val="00134FFA"/>
    <w:rsid w:val="00135069"/>
    <w:rsid w:val="00135199"/>
    <w:rsid w:val="001351B8"/>
    <w:rsid w:val="0013527C"/>
    <w:rsid w:val="00135297"/>
    <w:rsid w:val="0013534D"/>
    <w:rsid w:val="001354D1"/>
    <w:rsid w:val="00135597"/>
    <w:rsid w:val="001356F5"/>
    <w:rsid w:val="001359E9"/>
    <w:rsid w:val="00135A69"/>
    <w:rsid w:val="00135A7D"/>
    <w:rsid w:val="00135A9C"/>
    <w:rsid w:val="00135ADB"/>
    <w:rsid w:val="00135AE9"/>
    <w:rsid w:val="00135B3D"/>
    <w:rsid w:val="00135B4C"/>
    <w:rsid w:val="00135BB3"/>
    <w:rsid w:val="00135C21"/>
    <w:rsid w:val="00135C99"/>
    <w:rsid w:val="00135CA8"/>
    <w:rsid w:val="00135CAB"/>
    <w:rsid w:val="00135D0B"/>
    <w:rsid w:val="00135D79"/>
    <w:rsid w:val="00135DF3"/>
    <w:rsid w:val="00135E7F"/>
    <w:rsid w:val="00135F95"/>
    <w:rsid w:val="00135FDF"/>
    <w:rsid w:val="00136010"/>
    <w:rsid w:val="00136078"/>
    <w:rsid w:val="001360C7"/>
    <w:rsid w:val="001360EB"/>
    <w:rsid w:val="00136111"/>
    <w:rsid w:val="00136154"/>
    <w:rsid w:val="00136173"/>
    <w:rsid w:val="0013617C"/>
    <w:rsid w:val="001362BF"/>
    <w:rsid w:val="00136351"/>
    <w:rsid w:val="001364CE"/>
    <w:rsid w:val="00136556"/>
    <w:rsid w:val="0013665D"/>
    <w:rsid w:val="001366A5"/>
    <w:rsid w:val="001366AA"/>
    <w:rsid w:val="001369AD"/>
    <w:rsid w:val="00136A10"/>
    <w:rsid w:val="00136A53"/>
    <w:rsid w:val="00136AB3"/>
    <w:rsid w:val="00136AF5"/>
    <w:rsid w:val="00136BA2"/>
    <w:rsid w:val="00136C17"/>
    <w:rsid w:val="00136CBA"/>
    <w:rsid w:val="00136D58"/>
    <w:rsid w:val="00136E16"/>
    <w:rsid w:val="00136F21"/>
    <w:rsid w:val="00137001"/>
    <w:rsid w:val="00137002"/>
    <w:rsid w:val="001370CD"/>
    <w:rsid w:val="00137184"/>
    <w:rsid w:val="00137223"/>
    <w:rsid w:val="00137478"/>
    <w:rsid w:val="0013765D"/>
    <w:rsid w:val="001377EE"/>
    <w:rsid w:val="00137814"/>
    <w:rsid w:val="00137853"/>
    <w:rsid w:val="00137ADB"/>
    <w:rsid w:val="00137B97"/>
    <w:rsid w:val="00137C00"/>
    <w:rsid w:val="00137C0D"/>
    <w:rsid w:val="00137CAD"/>
    <w:rsid w:val="00137E1B"/>
    <w:rsid w:val="00137ECA"/>
    <w:rsid w:val="00140025"/>
    <w:rsid w:val="001401BB"/>
    <w:rsid w:val="001401CD"/>
    <w:rsid w:val="001402C9"/>
    <w:rsid w:val="0014042E"/>
    <w:rsid w:val="00140642"/>
    <w:rsid w:val="001406BF"/>
    <w:rsid w:val="001407BA"/>
    <w:rsid w:val="0014082A"/>
    <w:rsid w:val="0014084C"/>
    <w:rsid w:val="0014092E"/>
    <w:rsid w:val="00140960"/>
    <w:rsid w:val="001409B1"/>
    <w:rsid w:val="00140C67"/>
    <w:rsid w:val="00140CCB"/>
    <w:rsid w:val="00140CD1"/>
    <w:rsid w:val="00140D51"/>
    <w:rsid w:val="00140E32"/>
    <w:rsid w:val="00140E35"/>
    <w:rsid w:val="00141050"/>
    <w:rsid w:val="00141068"/>
    <w:rsid w:val="0014112C"/>
    <w:rsid w:val="001411AA"/>
    <w:rsid w:val="00141297"/>
    <w:rsid w:val="001412B4"/>
    <w:rsid w:val="001412CB"/>
    <w:rsid w:val="0014136C"/>
    <w:rsid w:val="001415BC"/>
    <w:rsid w:val="001415E9"/>
    <w:rsid w:val="001416D7"/>
    <w:rsid w:val="0014171F"/>
    <w:rsid w:val="0014174D"/>
    <w:rsid w:val="00141879"/>
    <w:rsid w:val="00141B1A"/>
    <w:rsid w:val="00141B27"/>
    <w:rsid w:val="00141B28"/>
    <w:rsid w:val="00141BA3"/>
    <w:rsid w:val="00141C00"/>
    <w:rsid w:val="00141CA1"/>
    <w:rsid w:val="00141CCE"/>
    <w:rsid w:val="00141FF0"/>
    <w:rsid w:val="0014214B"/>
    <w:rsid w:val="001421E1"/>
    <w:rsid w:val="00142231"/>
    <w:rsid w:val="00142256"/>
    <w:rsid w:val="0014236D"/>
    <w:rsid w:val="00142372"/>
    <w:rsid w:val="00142419"/>
    <w:rsid w:val="00142462"/>
    <w:rsid w:val="00142496"/>
    <w:rsid w:val="001424F0"/>
    <w:rsid w:val="00142547"/>
    <w:rsid w:val="001425D9"/>
    <w:rsid w:val="00142670"/>
    <w:rsid w:val="00142798"/>
    <w:rsid w:val="001427AC"/>
    <w:rsid w:val="00142852"/>
    <w:rsid w:val="00142866"/>
    <w:rsid w:val="0014286B"/>
    <w:rsid w:val="00142924"/>
    <w:rsid w:val="0014295A"/>
    <w:rsid w:val="0014297F"/>
    <w:rsid w:val="001429C5"/>
    <w:rsid w:val="00142A49"/>
    <w:rsid w:val="00142C56"/>
    <w:rsid w:val="00142C6A"/>
    <w:rsid w:val="00142CDA"/>
    <w:rsid w:val="00142CE2"/>
    <w:rsid w:val="00142F48"/>
    <w:rsid w:val="00142FC1"/>
    <w:rsid w:val="001430BE"/>
    <w:rsid w:val="00143170"/>
    <w:rsid w:val="001432A3"/>
    <w:rsid w:val="00143352"/>
    <w:rsid w:val="00143447"/>
    <w:rsid w:val="001434D3"/>
    <w:rsid w:val="001435D1"/>
    <w:rsid w:val="001435D5"/>
    <w:rsid w:val="0014363C"/>
    <w:rsid w:val="0014364B"/>
    <w:rsid w:val="00143664"/>
    <w:rsid w:val="0014371B"/>
    <w:rsid w:val="001438B8"/>
    <w:rsid w:val="00143955"/>
    <w:rsid w:val="00143999"/>
    <w:rsid w:val="001439EC"/>
    <w:rsid w:val="001439FC"/>
    <w:rsid w:val="00143AB2"/>
    <w:rsid w:val="00143C77"/>
    <w:rsid w:val="00143CEC"/>
    <w:rsid w:val="00143D67"/>
    <w:rsid w:val="00143F64"/>
    <w:rsid w:val="00143F84"/>
    <w:rsid w:val="00144123"/>
    <w:rsid w:val="0014422F"/>
    <w:rsid w:val="0014447C"/>
    <w:rsid w:val="00144522"/>
    <w:rsid w:val="0014455C"/>
    <w:rsid w:val="0014467F"/>
    <w:rsid w:val="0014473B"/>
    <w:rsid w:val="001447B4"/>
    <w:rsid w:val="001447E4"/>
    <w:rsid w:val="00144806"/>
    <w:rsid w:val="0014482E"/>
    <w:rsid w:val="0014489E"/>
    <w:rsid w:val="001448A6"/>
    <w:rsid w:val="001448BC"/>
    <w:rsid w:val="00144967"/>
    <w:rsid w:val="00144AFC"/>
    <w:rsid w:val="00144B79"/>
    <w:rsid w:val="00144BA3"/>
    <w:rsid w:val="00144C87"/>
    <w:rsid w:val="00144C8A"/>
    <w:rsid w:val="00144CC0"/>
    <w:rsid w:val="00144DC0"/>
    <w:rsid w:val="00144FD0"/>
    <w:rsid w:val="00145055"/>
    <w:rsid w:val="00145067"/>
    <w:rsid w:val="001450B5"/>
    <w:rsid w:val="00145223"/>
    <w:rsid w:val="001452AC"/>
    <w:rsid w:val="001453D6"/>
    <w:rsid w:val="001453FC"/>
    <w:rsid w:val="001454FA"/>
    <w:rsid w:val="001455EC"/>
    <w:rsid w:val="00145627"/>
    <w:rsid w:val="001457BC"/>
    <w:rsid w:val="00145874"/>
    <w:rsid w:val="001458D8"/>
    <w:rsid w:val="001458F0"/>
    <w:rsid w:val="0014599C"/>
    <w:rsid w:val="00145B4F"/>
    <w:rsid w:val="00145B9A"/>
    <w:rsid w:val="00145C16"/>
    <w:rsid w:val="00145CBC"/>
    <w:rsid w:val="00145E3F"/>
    <w:rsid w:val="001460E3"/>
    <w:rsid w:val="001461C6"/>
    <w:rsid w:val="001461C9"/>
    <w:rsid w:val="001461D1"/>
    <w:rsid w:val="001462B3"/>
    <w:rsid w:val="001465F9"/>
    <w:rsid w:val="00146688"/>
    <w:rsid w:val="00146760"/>
    <w:rsid w:val="00146876"/>
    <w:rsid w:val="00146942"/>
    <w:rsid w:val="00146AAF"/>
    <w:rsid w:val="00146B11"/>
    <w:rsid w:val="00146B99"/>
    <w:rsid w:val="00146BC1"/>
    <w:rsid w:val="00146BFE"/>
    <w:rsid w:val="00146C40"/>
    <w:rsid w:val="00146D83"/>
    <w:rsid w:val="00146D94"/>
    <w:rsid w:val="00146E31"/>
    <w:rsid w:val="00146E35"/>
    <w:rsid w:val="00146F5E"/>
    <w:rsid w:val="00146FB2"/>
    <w:rsid w:val="00147034"/>
    <w:rsid w:val="001470A7"/>
    <w:rsid w:val="00147161"/>
    <w:rsid w:val="001471C0"/>
    <w:rsid w:val="001471C4"/>
    <w:rsid w:val="001472A9"/>
    <w:rsid w:val="001472D8"/>
    <w:rsid w:val="00147409"/>
    <w:rsid w:val="0014755B"/>
    <w:rsid w:val="0014771F"/>
    <w:rsid w:val="00147891"/>
    <w:rsid w:val="001478D8"/>
    <w:rsid w:val="001479A7"/>
    <w:rsid w:val="001479DB"/>
    <w:rsid w:val="00147A26"/>
    <w:rsid w:val="00147B69"/>
    <w:rsid w:val="00147D00"/>
    <w:rsid w:val="00147D16"/>
    <w:rsid w:val="00147D3F"/>
    <w:rsid w:val="00147E23"/>
    <w:rsid w:val="00147E82"/>
    <w:rsid w:val="00147F38"/>
    <w:rsid w:val="00147F73"/>
    <w:rsid w:val="00147FA9"/>
    <w:rsid w:val="00150086"/>
    <w:rsid w:val="00150173"/>
    <w:rsid w:val="001501B7"/>
    <w:rsid w:val="001501CC"/>
    <w:rsid w:val="00150212"/>
    <w:rsid w:val="001503D9"/>
    <w:rsid w:val="00150420"/>
    <w:rsid w:val="0015043F"/>
    <w:rsid w:val="00150453"/>
    <w:rsid w:val="0015060A"/>
    <w:rsid w:val="00150667"/>
    <w:rsid w:val="001506EA"/>
    <w:rsid w:val="0015071E"/>
    <w:rsid w:val="0015074A"/>
    <w:rsid w:val="00150890"/>
    <w:rsid w:val="00150989"/>
    <w:rsid w:val="001509E9"/>
    <w:rsid w:val="00150A5B"/>
    <w:rsid w:val="00150BBB"/>
    <w:rsid w:val="00150C19"/>
    <w:rsid w:val="00150CA6"/>
    <w:rsid w:val="00150CEA"/>
    <w:rsid w:val="00150E08"/>
    <w:rsid w:val="00150E65"/>
    <w:rsid w:val="001510BB"/>
    <w:rsid w:val="00151102"/>
    <w:rsid w:val="00151144"/>
    <w:rsid w:val="00151157"/>
    <w:rsid w:val="001511E1"/>
    <w:rsid w:val="00151247"/>
    <w:rsid w:val="00151248"/>
    <w:rsid w:val="001512B6"/>
    <w:rsid w:val="0015137F"/>
    <w:rsid w:val="00151744"/>
    <w:rsid w:val="0015178A"/>
    <w:rsid w:val="00151807"/>
    <w:rsid w:val="0015186D"/>
    <w:rsid w:val="001519C2"/>
    <w:rsid w:val="001519DD"/>
    <w:rsid w:val="00151ADB"/>
    <w:rsid w:val="00151BA3"/>
    <w:rsid w:val="00151BAF"/>
    <w:rsid w:val="00151BB6"/>
    <w:rsid w:val="00151BE2"/>
    <w:rsid w:val="00151C4E"/>
    <w:rsid w:val="00151CB7"/>
    <w:rsid w:val="00151D32"/>
    <w:rsid w:val="00151DD5"/>
    <w:rsid w:val="00151DFF"/>
    <w:rsid w:val="00151E1A"/>
    <w:rsid w:val="00151F0D"/>
    <w:rsid w:val="00151F93"/>
    <w:rsid w:val="00151FAD"/>
    <w:rsid w:val="00152111"/>
    <w:rsid w:val="0015218D"/>
    <w:rsid w:val="00152198"/>
    <w:rsid w:val="00152235"/>
    <w:rsid w:val="0015226E"/>
    <w:rsid w:val="00152474"/>
    <w:rsid w:val="00152491"/>
    <w:rsid w:val="001524CD"/>
    <w:rsid w:val="0015252C"/>
    <w:rsid w:val="00152774"/>
    <w:rsid w:val="001527E2"/>
    <w:rsid w:val="00152855"/>
    <w:rsid w:val="00152878"/>
    <w:rsid w:val="001528BD"/>
    <w:rsid w:val="001528BE"/>
    <w:rsid w:val="00152971"/>
    <w:rsid w:val="001529BF"/>
    <w:rsid w:val="00152C51"/>
    <w:rsid w:val="00152D89"/>
    <w:rsid w:val="00152DAA"/>
    <w:rsid w:val="00152EFE"/>
    <w:rsid w:val="00152F83"/>
    <w:rsid w:val="00152FE8"/>
    <w:rsid w:val="00152FF9"/>
    <w:rsid w:val="00153024"/>
    <w:rsid w:val="00153106"/>
    <w:rsid w:val="00153210"/>
    <w:rsid w:val="001532D6"/>
    <w:rsid w:val="00153417"/>
    <w:rsid w:val="001534B5"/>
    <w:rsid w:val="001535F2"/>
    <w:rsid w:val="00153628"/>
    <w:rsid w:val="00153645"/>
    <w:rsid w:val="001536B1"/>
    <w:rsid w:val="001536D5"/>
    <w:rsid w:val="0015373F"/>
    <w:rsid w:val="00153789"/>
    <w:rsid w:val="00153799"/>
    <w:rsid w:val="001537A6"/>
    <w:rsid w:val="001537DA"/>
    <w:rsid w:val="00153851"/>
    <w:rsid w:val="00153855"/>
    <w:rsid w:val="001539F6"/>
    <w:rsid w:val="00153A32"/>
    <w:rsid w:val="00153B03"/>
    <w:rsid w:val="00153B89"/>
    <w:rsid w:val="00153C7E"/>
    <w:rsid w:val="00153D7E"/>
    <w:rsid w:val="00153E51"/>
    <w:rsid w:val="00153EF4"/>
    <w:rsid w:val="00153F21"/>
    <w:rsid w:val="00154042"/>
    <w:rsid w:val="001540A8"/>
    <w:rsid w:val="001540F1"/>
    <w:rsid w:val="0015446E"/>
    <w:rsid w:val="001544A0"/>
    <w:rsid w:val="0015451B"/>
    <w:rsid w:val="0015452B"/>
    <w:rsid w:val="0015455A"/>
    <w:rsid w:val="00154629"/>
    <w:rsid w:val="001546B0"/>
    <w:rsid w:val="001547E4"/>
    <w:rsid w:val="001548AF"/>
    <w:rsid w:val="001549BA"/>
    <w:rsid w:val="001549FC"/>
    <w:rsid w:val="00154B07"/>
    <w:rsid w:val="00154B65"/>
    <w:rsid w:val="00154CCE"/>
    <w:rsid w:val="00154E61"/>
    <w:rsid w:val="00154F51"/>
    <w:rsid w:val="00154FF4"/>
    <w:rsid w:val="001550CB"/>
    <w:rsid w:val="0015518E"/>
    <w:rsid w:val="0015538A"/>
    <w:rsid w:val="001553E0"/>
    <w:rsid w:val="00155470"/>
    <w:rsid w:val="0015548A"/>
    <w:rsid w:val="001554D5"/>
    <w:rsid w:val="0015557E"/>
    <w:rsid w:val="001555C7"/>
    <w:rsid w:val="001555F5"/>
    <w:rsid w:val="0015565B"/>
    <w:rsid w:val="001556AC"/>
    <w:rsid w:val="001556D5"/>
    <w:rsid w:val="00155797"/>
    <w:rsid w:val="001557C6"/>
    <w:rsid w:val="001557D2"/>
    <w:rsid w:val="0015583B"/>
    <w:rsid w:val="00155865"/>
    <w:rsid w:val="001558D7"/>
    <w:rsid w:val="00155A23"/>
    <w:rsid w:val="00155A3C"/>
    <w:rsid w:val="00155BBC"/>
    <w:rsid w:val="00155C2A"/>
    <w:rsid w:val="00155C2C"/>
    <w:rsid w:val="00155CA7"/>
    <w:rsid w:val="00155CF7"/>
    <w:rsid w:val="00155CFF"/>
    <w:rsid w:val="00155D2E"/>
    <w:rsid w:val="00155D86"/>
    <w:rsid w:val="00155DC0"/>
    <w:rsid w:val="00155E18"/>
    <w:rsid w:val="00155E2D"/>
    <w:rsid w:val="00155F34"/>
    <w:rsid w:val="00155F90"/>
    <w:rsid w:val="00155FF5"/>
    <w:rsid w:val="00156128"/>
    <w:rsid w:val="00156263"/>
    <w:rsid w:val="00156362"/>
    <w:rsid w:val="001563AE"/>
    <w:rsid w:val="001565C6"/>
    <w:rsid w:val="001565F5"/>
    <w:rsid w:val="001566B5"/>
    <w:rsid w:val="00156735"/>
    <w:rsid w:val="00156780"/>
    <w:rsid w:val="001568E7"/>
    <w:rsid w:val="00156931"/>
    <w:rsid w:val="001569BA"/>
    <w:rsid w:val="00156A5A"/>
    <w:rsid w:val="00156AC2"/>
    <w:rsid w:val="00156C77"/>
    <w:rsid w:val="00156CC0"/>
    <w:rsid w:val="00156CD3"/>
    <w:rsid w:val="00156D9B"/>
    <w:rsid w:val="00156DD1"/>
    <w:rsid w:val="00156F52"/>
    <w:rsid w:val="00156F9E"/>
    <w:rsid w:val="00157032"/>
    <w:rsid w:val="00157064"/>
    <w:rsid w:val="001570F8"/>
    <w:rsid w:val="001570FF"/>
    <w:rsid w:val="001571BF"/>
    <w:rsid w:val="00157285"/>
    <w:rsid w:val="001572F4"/>
    <w:rsid w:val="001573F4"/>
    <w:rsid w:val="001574AB"/>
    <w:rsid w:val="0015776C"/>
    <w:rsid w:val="001577F4"/>
    <w:rsid w:val="001577F5"/>
    <w:rsid w:val="00157816"/>
    <w:rsid w:val="00157830"/>
    <w:rsid w:val="0015795B"/>
    <w:rsid w:val="001579EE"/>
    <w:rsid w:val="00157A38"/>
    <w:rsid w:val="00157A49"/>
    <w:rsid w:val="00157B20"/>
    <w:rsid w:val="00157BDC"/>
    <w:rsid w:val="00157C6C"/>
    <w:rsid w:val="00157E10"/>
    <w:rsid w:val="00157E2D"/>
    <w:rsid w:val="00157E83"/>
    <w:rsid w:val="00157EB5"/>
    <w:rsid w:val="00157F22"/>
    <w:rsid w:val="00157F25"/>
    <w:rsid w:val="00160014"/>
    <w:rsid w:val="001600AE"/>
    <w:rsid w:val="001600D1"/>
    <w:rsid w:val="001600F2"/>
    <w:rsid w:val="00160167"/>
    <w:rsid w:val="0016018F"/>
    <w:rsid w:val="001601C5"/>
    <w:rsid w:val="00160253"/>
    <w:rsid w:val="001602C8"/>
    <w:rsid w:val="00160355"/>
    <w:rsid w:val="00160373"/>
    <w:rsid w:val="0016038C"/>
    <w:rsid w:val="001604E7"/>
    <w:rsid w:val="001605E9"/>
    <w:rsid w:val="001605EB"/>
    <w:rsid w:val="00160669"/>
    <w:rsid w:val="00160784"/>
    <w:rsid w:val="00160886"/>
    <w:rsid w:val="0016094F"/>
    <w:rsid w:val="0016095A"/>
    <w:rsid w:val="0016096E"/>
    <w:rsid w:val="00160BB3"/>
    <w:rsid w:val="00160D73"/>
    <w:rsid w:val="00160D8E"/>
    <w:rsid w:val="00160F18"/>
    <w:rsid w:val="00160F29"/>
    <w:rsid w:val="00160F44"/>
    <w:rsid w:val="00160FDC"/>
    <w:rsid w:val="0016103A"/>
    <w:rsid w:val="0016109A"/>
    <w:rsid w:val="0016109E"/>
    <w:rsid w:val="001610BB"/>
    <w:rsid w:val="001611B3"/>
    <w:rsid w:val="001612C6"/>
    <w:rsid w:val="001613A0"/>
    <w:rsid w:val="001613DB"/>
    <w:rsid w:val="0016140F"/>
    <w:rsid w:val="00161581"/>
    <w:rsid w:val="00161649"/>
    <w:rsid w:val="00161660"/>
    <w:rsid w:val="0016168E"/>
    <w:rsid w:val="001616D7"/>
    <w:rsid w:val="00161733"/>
    <w:rsid w:val="001619E9"/>
    <w:rsid w:val="00161A1E"/>
    <w:rsid w:val="00161A7D"/>
    <w:rsid w:val="00161AF3"/>
    <w:rsid w:val="00161D87"/>
    <w:rsid w:val="00161EBA"/>
    <w:rsid w:val="00161EF4"/>
    <w:rsid w:val="00161F20"/>
    <w:rsid w:val="00161FB8"/>
    <w:rsid w:val="00162056"/>
    <w:rsid w:val="00162066"/>
    <w:rsid w:val="00162075"/>
    <w:rsid w:val="001621DF"/>
    <w:rsid w:val="00162245"/>
    <w:rsid w:val="001622B2"/>
    <w:rsid w:val="00162363"/>
    <w:rsid w:val="001623B4"/>
    <w:rsid w:val="001624F0"/>
    <w:rsid w:val="0016253E"/>
    <w:rsid w:val="00162688"/>
    <w:rsid w:val="001626A1"/>
    <w:rsid w:val="00162740"/>
    <w:rsid w:val="001627A7"/>
    <w:rsid w:val="00162860"/>
    <w:rsid w:val="00162871"/>
    <w:rsid w:val="00162887"/>
    <w:rsid w:val="001628F9"/>
    <w:rsid w:val="00162909"/>
    <w:rsid w:val="00162A7D"/>
    <w:rsid w:val="00162AD8"/>
    <w:rsid w:val="00162B56"/>
    <w:rsid w:val="00162B65"/>
    <w:rsid w:val="00162B83"/>
    <w:rsid w:val="00162B9D"/>
    <w:rsid w:val="00162CEB"/>
    <w:rsid w:val="00162FED"/>
    <w:rsid w:val="0016313C"/>
    <w:rsid w:val="001632DF"/>
    <w:rsid w:val="001632E0"/>
    <w:rsid w:val="001633B2"/>
    <w:rsid w:val="0016341B"/>
    <w:rsid w:val="00163452"/>
    <w:rsid w:val="0016354D"/>
    <w:rsid w:val="001635EF"/>
    <w:rsid w:val="001636E3"/>
    <w:rsid w:val="00163966"/>
    <w:rsid w:val="00163A8C"/>
    <w:rsid w:val="00163B27"/>
    <w:rsid w:val="00163B7A"/>
    <w:rsid w:val="00163BC4"/>
    <w:rsid w:val="00163BD3"/>
    <w:rsid w:val="00163BF7"/>
    <w:rsid w:val="00163C19"/>
    <w:rsid w:val="00163C4E"/>
    <w:rsid w:val="00163CAD"/>
    <w:rsid w:val="00163CCF"/>
    <w:rsid w:val="00163D29"/>
    <w:rsid w:val="00163D48"/>
    <w:rsid w:val="00163E0C"/>
    <w:rsid w:val="00163EAB"/>
    <w:rsid w:val="00163F09"/>
    <w:rsid w:val="00163FB2"/>
    <w:rsid w:val="00164095"/>
    <w:rsid w:val="001641A2"/>
    <w:rsid w:val="001642D2"/>
    <w:rsid w:val="001642D7"/>
    <w:rsid w:val="00164681"/>
    <w:rsid w:val="0016469B"/>
    <w:rsid w:val="001646B0"/>
    <w:rsid w:val="00164793"/>
    <w:rsid w:val="001647C8"/>
    <w:rsid w:val="001647FF"/>
    <w:rsid w:val="00164870"/>
    <w:rsid w:val="001648FD"/>
    <w:rsid w:val="00164905"/>
    <w:rsid w:val="00164A0C"/>
    <w:rsid w:val="00164B78"/>
    <w:rsid w:val="00164B90"/>
    <w:rsid w:val="00164B9E"/>
    <w:rsid w:val="00164B9F"/>
    <w:rsid w:val="00164C35"/>
    <w:rsid w:val="00164C43"/>
    <w:rsid w:val="00164C58"/>
    <w:rsid w:val="00164DE6"/>
    <w:rsid w:val="00164E3A"/>
    <w:rsid w:val="00164F6C"/>
    <w:rsid w:val="00164F8D"/>
    <w:rsid w:val="00164F93"/>
    <w:rsid w:val="001650A3"/>
    <w:rsid w:val="001651BE"/>
    <w:rsid w:val="001652FA"/>
    <w:rsid w:val="0016543E"/>
    <w:rsid w:val="001655BA"/>
    <w:rsid w:val="001655E9"/>
    <w:rsid w:val="00165733"/>
    <w:rsid w:val="00165738"/>
    <w:rsid w:val="001659D8"/>
    <w:rsid w:val="00165A9F"/>
    <w:rsid w:val="00165B0A"/>
    <w:rsid w:val="00165C77"/>
    <w:rsid w:val="00165D3D"/>
    <w:rsid w:val="00165D8F"/>
    <w:rsid w:val="00165EB3"/>
    <w:rsid w:val="00165F4F"/>
    <w:rsid w:val="00166013"/>
    <w:rsid w:val="00166098"/>
    <w:rsid w:val="001661A8"/>
    <w:rsid w:val="001661CF"/>
    <w:rsid w:val="001661DE"/>
    <w:rsid w:val="001662C8"/>
    <w:rsid w:val="0016634C"/>
    <w:rsid w:val="00166553"/>
    <w:rsid w:val="0016658B"/>
    <w:rsid w:val="0016659B"/>
    <w:rsid w:val="001665B3"/>
    <w:rsid w:val="0016671D"/>
    <w:rsid w:val="00166767"/>
    <w:rsid w:val="00166853"/>
    <w:rsid w:val="0016686A"/>
    <w:rsid w:val="00166905"/>
    <w:rsid w:val="00166912"/>
    <w:rsid w:val="001669B9"/>
    <w:rsid w:val="001669E8"/>
    <w:rsid w:val="00166A61"/>
    <w:rsid w:val="00166A73"/>
    <w:rsid w:val="00166B73"/>
    <w:rsid w:val="00166BA5"/>
    <w:rsid w:val="00166BEE"/>
    <w:rsid w:val="00166D47"/>
    <w:rsid w:val="00166D5D"/>
    <w:rsid w:val="00166DA8"/>
    <w:rsid w:val="00166E2B"/>
    <w:rsid w:val="00166F12"/>
    <w:rsid w:val="00167048"/>
    <w:rsid w:val="001670C5"/>
    <w:rsid w:val="00167333"/>
    <w:rsid w:val="001673A5"/>
    <w:rsid w:val="001673C2"/>
    <w:rsid w:val="001673CF"/>
    <w:rsid w:val="001673EF"/>
    <w:rsid w:val="0016752C"/>
    <w:rsid w:val="0016767F"/>
    <w:rsid w:val="00167704"/>
    <w:rsid w:val="0016771D"/>
    <w:rsid w:val="0016774C"/>
    <w:rsid w:val="001677BD"/>
    <w:rsid w:val="001679A9"/>
    <w:rsid w:val="00167A25"/>
    <w:rsid w:val="00167AB9"/>
    <w:rsid w:val="00167B6B"/>
    <w:rsid w:val="00167BDE"/>
    <w:rsid w:val="00167CDC"/>
    <w:rsid w:val="00167DDB"/>
    <w:rsid w:val="00167DE4"/>
    <w:rsid w:val="00167DE9"/>
    <w:rsid w:val="00167DF1"/>
    <w:rsid w:val="00167E32"/>
    <w:rsid w:val="00167EE2"/>
    <w:rsid w:val="00167FA5"/>
    <w:rsid w:val="0017002A"/>
    <w:rsid w:val="0017009C"/>
    <w:rsid w:val="001700BE"/>
    <w:rsid w:val="00170427"/>
    <w:rsid w:val="00170493"/>
    <w:rsid w:val="00170830"/>
    <w:rsid w:val="00170A53"/>
    <w:rsid w:val="00170A5D"/>
    <w:rsid w:val="00170A62"/>
    <w:rsid w:val="00170C2A"/>
    <w:rsid w:val="00170C2D"/>
    <w:rsid w:val="00170C5C"/>
    <w:rsid w:val="00170D09"/>
    <w:rsid w:val="00170EAD"/>
    <w:rsid w:val="00170F90"/>
    <w:rsid w:val="0017102E"/>
    <w:rsid w:val="00171129"/>
    <w:rsid w:val="00171133"/>
    <w:rsid w:val="0017120D"/>
    <w:rsid w:val="001712D0"/>
    <w:rsid w:val="0017135A"/>
    <w:rsid w:val="0017137B"/>
    <w:rsid w:val="00171423"/>
    <w:rsid w:val="00171476"/>
    <w:rsid w:val="001714BA"/>
    <w:rsid w:val="00171548"/>
    <w:rsid w:val="001715A0"/>
    <w:rsid w:val="00171825"/>
    <w:rsid w:val="0017185D"/>
    <w:rsid w:val="001718D2"/>
    <w:rsid w:val="00171902"/>
    <w:rsid w:val="0017192B"/>
    <w:rsid w:val="0017197C"/>
    <w:rsid w:val="00171A3D"/>
    <w:rsid w:val="00171A4B"/>
    <w:rsid w:val="00171AB5"/>
    <w:rsid w:val="00171B7E"/>
    <w:rsid w:val="00171C5F"/>
    <w:rsid w:val="00171CDD"/>
    <w:rsid w:val="00171D80"/>
    <w:rsid w:val="00171D8B"/>
    <w:rsid w:val="00171E20"/>
    <w:rsid w:val="00171FBC"/>
    <w:rsid w:val="001720B8"/>
    <w:rsid w:val="0017225E"/>
    <w:rsid w:val="00172287"/>
    <w:rsid w:val="00172382"/>
    <w:rsid w:val="0017239B"/>
    <w:rsid w:val="001724E4"/>
    <w:rsid w:val="001725E3"/>
    <w:rsid w:val="00172600"/>
    <w:rsid w:val="00172619"/>
    <w:rsid w:val="00172663"/>
    <w:rsid w:val="00172665"/>
    <w:rsid w:val="00172683"/>
    <w:rsid w:val="00172834"/>
    <w:rsid w:val="001729CD"/>
    <w:rsid w:val="00172A94"/>
    <w:rsid w:val="00172AC6"/>
    <w:rsid w:val="00172ADB"/>
    <w:rsid w:val="00172B56"/>
    <w:rsid w:val="00172C2E"/>
    <w:rsid w:val="00172C7A"/>
    <w:rsid w:val="00172D89"/>
    <w:rsid w:val="00172ECC"/>
    <w:rsid w:val="00172F0D"/>
    <w:rsid w:val="00173321"/>
    <w:rsid w:val="00173329"/>
    <w:rsid w:val="00173334"/>
    <w:rsid w:val="00173369"/>
    <w:rsid w:val="001733F8"/>
    <w:rsid w:val="001735AB"/>
    <w:rsid w:val="00173742"/>
    <w:rsid w:val="00173800"/>
    <w:rsid w:val="0017381A"/>
    <w:rsid w:val="001738A4"/>
    <w:rsid w:val="00173B0D"/>
    <w:rsid w:val="00173B61"/>
    <w:rsid w:val="00173BA6"/>
    <w:rsid w:val="00173C5A"/>
    <w:rsid w:val="00173C5E"/>
    <w:rsid w:val="00173C94"/>
    <w:rsid w:val="00173CE8"/>
    <w:rsid w:val="00173E47"/>
    <w:rsid w:val="00173F69"/>
    <w:rsid w:val="00174050"/>
    <w:rsid w:val="0017413D"/>
    <w:rsid w:val="001741A0"/>
    <w:rsid w:val="00174211"/>
    <w:rsid w:val="00174236"/>
    <w:rsid w:val="001742A1"/>
    <w:rsid w:val="001742DD"/>
    <w:rsid w:val="001742E2"/>
    <w:rsid w:val="001743E5"/>
    <w:rsid w:val="001745C2"/>
    <w:rsid w:val="00174637"/>
    <w:rsid w:val="0017473F"/>
    <w:rsid w:val="00174895"/>
    <w:rsid w:val="001748A7"/>
    <w:rsid w:val="00174996"/>
    <w:rsid w:val="00174A6D"/>
    <w:rsid w:val="00174A71"/>
    <w:rsid w:val="00174AC6"/>
    <w:rsid w:val="00174B4F"/>
    <w:rsid w:val="00174C55"/>
    <w:rsid w:val="00174CC3"/>
    <w:rsid w:val="00174E40"/>
    <w:rsid w:val="00174F9A"/>
    <w:rsid w:val="00174FB7"/>
    <w:rsid w:val="00175004"/>
    <w:rsid w:val="0017507D"/>
    <w:rsid w:val="001750DD"/>
    <w:rsid w:val="0017514C"/>
    <w:rsid w:val="00175178"/>
    <w:rsid w:val="0017521F"/>
    <w:rsid w:val="001752BF"/>
    <w:rsid w:val="001752F7"/>
    <w:rsid w:val="001753BF"/>
    <w:rsid w:val="001753CC"/>
    <w:rsid w:val="001754DA"/>
    <w:rsid w:val="001754F8"/>
    <w:rsid w:val="00175545"/>
    <w:rsid w:val="001755D8"/>
    <w:rsid w:val="001755F6"/>
    <w:rsid w:val="001756EA"/>
    <w:rsid w:val="0017573B"/>
    <w:rsid w:val="00175747"/>
    <w:rsid w:val="00175796"/>
    <w:rsid w:val="001757C6"/>
    <w:rsid w:val="0017589F"/>
    <w:rsid w:val="001758B4"/>
    <w:rsid w:val="001758C8"/>
    <w:rsid w:val="0017591F"/>
    <w:rsid w:val="001759D7"/>
    <w:rsid w:val="00175BFF"/>
    <w:rsid w:val="00175C2E"/>
    <w:rsid w:val="00175C53"/>
    <w:rsid w:val="00175C9F"/>
    <w:rsid w:val="00175D50"/>
    <w:rsid w:val="00175F1D"/>
    <w:rsid w:val="00175FBD"/>
    <w:rsid w:val="00176047"/>
    <w:rsid w:val="001760DB"/>
    <w:rsid w:val="0017625E"/>
    <w:rsid w:val="00176318"/>
    <w:rsid w:val="0017640A"/>
    <w:rsid w:val="001764C8"/>
    <w:rsid w:val="0017664B"/>
    <w:rsid w:val="0017677A"/>
    <w:rsid w:val="0017678A"/>
    <w:rsid w:val="0017683F"/>
    <w:rsid w:val="00176874"/>
    <w:rsid w:val="001768A2"/>
    <w:rsid w:val="001768AE"/>
    <w:rsid w:val="0017694D"/>
    <w:rsid w:val="00176997"/>
    <w:rsid w:val="00176B35"/>
    <w:rsid w:val="00176C59"/>
    <w:rsid w:val="00176C9C"/>
    <w:rsid w:val="00176D0D"/>
    <w:rsid w:val="00176E77"/>
    <w:rsid w:val="00176EAD"/>
    <w:rsid w:val="00176EE7"/>
    <w:rsid w:val="00176FED"/>
    <w:rsid w:val="0017707B"/>
    <w:rsid w:val="0017713A"/>
    <w:rsid w:val="0017715C"/>
    <w:rsid w:val="00177287"/>
    <w:rsid w:val="001774EC"/>
    <w:rsid w:val="00177518"/>
    <w:rsid w:val="0017753D"/>
    <w:rsid w:val="00177541"/>
    <w:rsid w:val="00177609"/>
    <w:rsid w:val="00177653"/>
    <w:rsid w:val="00177804"/>
    <w:rsid w:val="00177809"/>
    <w:rsid w:val="00177829"/>
    <w:rsid w:val="00177945"/>
    <w:rsid w:val="001779DB"/>
    <w:rsid w:val="00177A19"/>
    <w:rsid w:val="00177A88"/>
    <w:rsid w:val="00177C7A"/>
    <w:rsid w:val="00177C96"/>
    <w:rsid w:val="00177D19"/>
    <w:rsid w:val="00177D7F"/>
    <w:rsid w:val="00177DE3"/>
    <w:rsid w:val="00177DFE"/>
    <w:rsid w:val="00177EEE"/>
    <w:rsid w:val="00177F67"/>
    <w:rsid w:val="00177FAC"/>
    <w:rsid w:val="0018000D"/>
    <w:rsid w:val="00180056"/>
    <w:rsid w:val="00180289"/>
    <w:rsid w:val="00180296"/>
    <w:rsid w:val="00180303"/>
    <w:rsid w:val="001803DB"/>
    <w:rsid w:val="0018046C"/>
    <w:rsid w:val="00180487"/>
    <w:rsid w:val="00180498"/>
    <w:rsid w:val="00180588"/>
    <w:rsid w:val="0018058F"/>
    <w:rsid w:val="001806F9"/>
    <w:rsid w:val="00180749"/>
    <w:rsid w:val="00180762"/>
    <w:rsid w:val="001807F0"/>
    <w:rsid w:val="00180854"/>
    <w:rsid w:val="00180952"/>
    <w:rsid w:val="001809FC"/>
    <w:rsid w:val="00180A0C"/>
    <w:rsid w:val="00180A65"/>
    <w:rsid w:val="00180AAA"/>
    <w:rsid w:val="00180D29"/>
    <w:rsid w:val="00180D2C"/>
    <w:rsid w:val="00180F97"/>
    <w:rsid w:val="00180FD5"/>
    <w:rsid w:val="0018103A"/>
    <w:rsid w:val="00181073"/>
    <w:rsid w:val="00181091"/>
    <w:rsid w:val="001810E7"/>
    <w:rsid w:val="00181142"/>
    <w:rsid w:val="00181143"/>
    <w:rsid w:val="00181238"/>
    <w:rsid w:val="0018131C"/>
    <w:rsid w:val="001813FE"/>
    <w:rsid w:val="00181568"/>
    <w:rsid w:val="001815C9"/>
    <w:rsid w:val="001815CA"/>
    <w:rsid w:val="00181608"/>
    <w:rsid w:val="0018164E"/>
    <w:rsid w:val="001816BD"/>
    <w:rsid w:val="00181721"/>
    <w:rsid w:val="0018175E"/>
    <w:rsid w:val="001817B8"/>
    <w:rsid w:val="00181889"/>
    <w:rsid w:val="001818F0"/>
    <w:rsid w:val="00181A0B"/>
    <w:rsid w:val="00181A44"/>
    <w:rsid w:val="00181A45"/>
    <w:rsid w:val="00181A49"/>
    <w:rsid w:val="00181ABA"/>
    <w:rsid w:val="00181AC9"/>
    <w:rsid w:val="00181AD8"/>
    <w:rsid w:val="00181AFD"/>
    <w:rsid w:val="00181B2F"/>
    <w:rsid w:val="00181B70"/>
    <w:rsid w:val="00181BE4"/>
    <w:rsid w:val="00181C48"/>
    <w:rsid w:val="00181CAD"/>
    <w:rsid w:val="00181CB2"/>
    <w:rsid w:val="00181D03"/>
    <w:rsid w:val="00181D2D"/>
    <w:rsid w:val="00181D33"/>
    <w:rsid w:val="00181D50"/>
    <w:rsid w:val="00181E22"/>
    <w:rsid w:val="00181EDE"/>
    <w:rsid w:val="00182022"/>
    <w:rsid w:val="00182097"/>
    <w:rsid w:val="001820AB"/>
    <w:rsid w:val="001820D5"/>
    <w:rsid w:val="001821AC"/>
    <w:rsid w:val="0018235A"/>
    <w:rsid w:val="00182376"/>
    <w:rsid w:val="0018240A"/>
    <w:rsid w:val="00182499"/>
    <w:rsid w:val="001824B0"/>
    <w:rsid w:val="00182509"/>
    <w:rsid w:val="00182562"/>
    <w:rsid w:val="00182599"/>
    <w:rsid w:val="00182715"/>
    <w:rsid w:val="0018272C"/>
    <w:rsid w:val="001827CB"/>
    <w:rsid w:val="001827EF"/>
    <w:rsid w:val="00182892"/>
    <w:rsid w:val="001829B5"/>
    <w:rsid w:val="001829F5"/>
    <w:rsid w:val="00182A76"/>
    <w:rsid w:val="00182B36"/>
    <w:rsid w:val="00182B65"/>
    <w:rsid w:val="00182C66"/>
    <w:rsid w:val="00182CE6"/>
    <w:rsid w:val="00182E5E"/>
    <w:rsid w:val="00182EF7"/>
    <w:rsid w:val="00182EFB"/>
    <w:rsid w:val="00182F04"/>
    <w:rsid w:val="00182F0A"/>
    <w:rsid w:val="00182FFD"/>
    <w:rsid w:val="00183188"/>
    <w:rsid w:val="001832B6"/>
    <w:rsid w:val="001832D5"/>
    <w:rsid w:val="001832E6"/>
    <w:rsid w:val="0018334C"/>
    <w:rsid w:val="0018337C"/>
    <w:rsid w:val="00183400"/>
    <w:rsid w:val="00183416"/>
    <w:rsid w:val="001835A1"/>
    <w:rsid w:val="001835BF"/>
    <w:rsid w:val="001836FB"/>
    <w:rsid w:val="00183718"/>
    <w:rsid w:val="001837A2"/>
    <w:rsid w:val="001837A4"/>
    <w:rsid w:val="001837DA"/>
    <w:rsid w:val="00183944"/>
    <w:rsid w:val="00183995"/>
    <w:rsid w:val="00183B31"/>
    <w:rsid w:val="00183BF4"/>
    <w:rsid w:val="00183CCB"/>
    <w:rsid w:val="00183E84"/>
    <w:rsid w:val="00183E8E"/>
    <w:rsid w:val="00183E9F"/>
    <w:rsid w:val="00183EB4"/>
    <w:rsid w:val="00183EBC"/>
    <w:rsid w:val="00183EFD"/>
    <w:rsid w:val="00183F50"/>
    <w:rsid w:val="00184042"/>
    <w:rsid w:val="00184125"/>
    <w:rsid w:val="00184221"/>
    <w:rsid w:val="001842F2"/>
    <w:rsid w:val="001843C3"/>
    <w:rsid w:val="001844D7"/>
    <w:rsid w:val="0018458B"/>
    <w:rsid w:val="00184642"/>
    <w:rsid w:val="001846BC"/>
    <w:rsid w:val="001847B4"/>
    <w:rsid w:val="001847BF"/>
    <w:rsid w:val="0018480F"/>
    <w:rsid w:val="00184813"/>
    <w:rsid w:val="0018482E"/>
    <w:rsid w:val="00184837"/>
    <w:rsid w:val="001848B7"/>
    <w:rsid w:val="001849FC"/>
    <w:rsid w:val="00184B49"/>
    <w:rsid w:val="00184B69"/>
    <w:rsid w:val="00184BDA"/>
    <w:rsid w:val="00184BE3"/>
    <w:rsid w:val="00184D98"/>
    <w:rsid w:val="00184D9C"/>
    <w:rsid w:val="00184EBF"/>
    <w:rsid w:val="00184FA9"/>
    <w:rsid w:val="00185083"/>
    <w:rsid w:val="001851CB"/>
    <w:rsid w:val="0018521C"/>
    <w:rsid w:val="00185351"/>
    <w:rsid w:val="00185358"/>
    <w:rsid w:val="00185398"/>
    <w:rsid w:val="0018549C"/>
    <w:rsid w:val="001854A3"/>
    <w:rsid w:val="001854ED"/>
    <w:rsid w:val="001854F9"/>
    <w:rsid w:val="0018557D"/>
    <w:rsid w:val="001855F6"/>
    <w:rsid w:val="001856E4"/>
    <w:rsid w:val="00185708"/>
    <w:rsid w:val="00185741"/>
    <w:rsid w:val="0018584A"/>
    <w:rsid w:val="00185851"/>
    <w:rsid w:val="00185A28"/>
    <w:rsid w:val="00185CB3"/>
    <w:rsid w:val="00185CDA"/>
    <w:rsid w:val="00185D69"/>
    <w:rsid w:val="00185DE0"/>
    <w:rsid w:val="00185F2D"/>
    <w:rsid w:val="00185F35"/>
    <w:rsid w:val="00185FC5"/>
    <w:rsid w:val="001860EC"/>
    <w:rsid w:val="001860FB"/>
    <w:rsid w:val="00186112"/>
    <w:rsid w:val="00186153"/>
    <w:rsid w:val="0018617E"/>
    <w:rsid w:val="001861F0"/>
    <w:rsid w:val="00186208"/>
    <w:rsid w:val="00186428"/>
    <w:rsid w:val="001864B8"/>
    <w:rsid w:val="001866B1"/>
    <w:rsid w:val="0018673D"/>
    <w:rsid w:val="0018674E"/>
    <w:rsid w:val="00186788"/>
    <w:rsid w:val="00186812"/>
    <w:rsid w:val="0018686C"/>
    <w:rsid w:val="0018687B"/>
    <w:rsid w:val="001869B5"/>
    <w:rsid w:val="00186A78"/>
    <w:rsid w:val="00186A81"/>
    <w:rsid w:val="00186BBD"/>
    <w:rsid w:val="00186C4B"/>
    <w:rsid w:val="00186C55"/>
    <w:rsid w:val="00186FA3"/>
    <w:rsid w:val="00187005"/>
    <w:rsid w:val="001870C9"/>
    <w:rsid w:val="00187216"/>
    <w:rsid w:val="001872E6"/>
    <w:rsid w:val="00187376"/>
    <w:rsid w:val="00187452"/>
    <w:rsid w:val="0018750F"/>
    <w:rsid w:val="00187539"/>
    <w:rsid w:val="00187593"/>
    <w:rsid w:val="001875C6"/>
    <w:rsid w:val="0018768D"/>
    <w:rsid w:val="0018783B"/>
    <w:rsid w:val="00187846"/>
    <w:rsid w:val="001878D2"/>
    <w:rsid w:val="00187932"/>
    <w:rsid w:val="00187945"/>
    <w:rsid w:val="00187A0F"/>
    <w:rsid w:val="00187A35"/>
    <w:rsid w:val="00187A81"/>
    <w:rsid w:val="00187B8E"/>
    <w:rsid w:val="00187D36"/>
    <w:rsid w:val="00187D74"/>
    <w:rsid w:val="00187EE5"/>
    <w:rsid w:val="00187F32"/>
    <w:rsid w:val="00187F34"/>
    <w:rsid w:val="00187F98"/>
    <w:rsid w:val="00187FC1"/>
    <w:rsid w:val="0019002E"/>
    <w:rsid w:val="001901ED"/>
    <w:rsid w:val="001902CC"/>
    <w:rsid w:val="00190690"/>
    <w:rsid w:val="001906B0"/>
    <w:rsid w:val="0019070F"/>
    <w:rsid w:val="0019083A"/>
    <w:rsid w:val="00190972"/>
    <w:rsid w:val="00190CAF"/>
    <w:rsid w:val="00190CC0"/>
    <w:rsid w:val="00190D25"/>
    <w:rsid w:val="00190D51"/>
    <w:rsid w:val="00190D84"/>
    <w:rsid w:val="00190D92"/>
    <w:rsid w:val="00190EE1"/>
    <w:rsid w:val="00190FA4"/>
    <w:rsid w:val="00190FAB"/>
    <w:rsid w:val="00190FE6"/>
    <w:rsid w:val="00191088"/>
    <w:rsid w:val="001910E0"/>
    <w:rsid w:val="00191114"/>
    <w:rsid w:val="001911C0"/>
    <w:rsid w:val="001911C2"/>
    <w:rsid w:val="0019120C"/>
    <w:rsid w:val="00191246"/>
    <w:rsid w:val="0019124D"/>
    <w:rsid w:val="00191288"/>
    <w:rsid w:val="0019138F"/>
    <w:rsid w:val="001913C5"/>
    <w:rsid w:val="00191478"/>
    <w:rsid w:val="00191717"/>
    <w:rsid w:val="00191760"/>
    <w:rsid w:val="00191763"/>
    <w:rsid w:val="00191842"/>
    <w:rsid w:val="00191872"/>
    <w:rsid w:val="00191911"/>
    <w:rsid w:val="001919E0"/>
    <w:rsid w:val="001919E4"/>
    <w:rsid w:val="00191ACD"/>
    <w:rsid w:val="00191C3C"/>
    <w:rsid w:val="00191C48"/>
    <w:rsid w:val="00191DBA"/>
    <w:rsid w:val="00191E7E"/>
    <w:rsid w:val="00191F05"/>
    <w:rsid w:val="00191FC7"/>
    <w:rsid w:val="00192084"/>
    <w:rsid w:val="001922B6"/>
    <w:rsid w:val="00192320"/>
    <w:rsid w:val="00192418"/>
    <w:rsid w:val="00192579"/>
    <w:rsid w:val="00192689"/>
    <w:rsid w:val="00192690"/>
    <w:rsid w:val="001926E3"/>
    <w:rsid w:val="001926F7"/>
    <w:rsid w:val="00192787"/>
    <w:rsid w:val="00192877"/>
    <w:rsid w:val="0019288A"/>
    <w:rsid w:val="001929CE"/>
    <w:rsid w:val="00192A2B"/>
    <w:rsid w:val="00192A3D"/>
    <w:rsid w:val="00192BAD"/>
    <w:rsid w:val="00192C56"/>
    <w:rsid w:val="00192E40"/>
    <w:rsid w:val="00192F7C"/>
    <w:rsid w:val="00193011"/>
    <w:rsid w:val="001930B8"/>
    <w:rsid w:val="001932A4"/>
    <w:rsid w:val="001932B2"/>
    <w:rsid w:val="0019335E"/>
    <w:rsid w:val="001934CE"/>
    <w:rsid w:val="001934E0"/>
    <w:rsid w:val="00193534"/>
    <w:rsid w:val="0019354A"/>
    <w:rsid w:val="0019367C"/>
    <w:rsid w:val="001936E0"/>
    <w:rsid w:val="00193796"/>
    <w:rsid w:val="001939CA"/>
    <w:rsid w:val="00193AD4"/>
    <w:rsid w:val="00193BCD"/>
    <w:rsid w:val="00193D6F"/>
    <w:rsid w:val="00193E1A"/>
    <w:rsid w:val="00193F28"/>
    <w:rsid w:val="00193FB6"/>
    <w:rsid w:val="00193FE0"/>
    <w:rsid w:val="001940C3"/>
    <w:rsid w:val="0019420A"/>
    <w:rsid w:val="0019427B"/>
    <w:rsid w:val="001942A9"/>
    <w:rsid w:val="001942C2"/>
    <w:rsid w:val="0019438E"/>
    <w:rsid w:val="001945DF"/>
    <w:rsid w:val="001946D2"/>
    <w:rsid w:val="001946E4"/>
    <w:rsid w:val="0019477B"/>
    <w:rsid w:val="001947B3"/>
    <w:rsid w:val="0019484E"/>
    <w:rsid w:val="00194889"/>
    <w:rsid w:val="00194904"/>
    <w:rsid w:val="0019499A"/>
    <w:rsid w:val="001949D8"/>
    <w:rsid w:val="00194A4E"/>
    <w:rsid w:val="00194ADA"/>
    <w:rsid w:val="00194B43"/>
    <w:rsid w:val="00194C06"/>
    <w:rsid w:val="00194C31"/>
    <w:rsid w:val="00194CEE"/>
    <w:rsid w:val="00194D1E"/>
    <w:rsid w:val="00194E90"/>
    <w:rsid w:val="00194ECC"/>
    <w:rsid w:val="00194F74"/>
    <w:rsid w:val="00194F83"/>
    <w:rsid w:val="00195003"/>
    <w:rsid w:val="00195045"/>
    <w:rsid w:val="001950A3"/>
    <w:rsid w:val="001950AE"/>
    <w:rsid w:val="001950D0"/>
    <w:rsid w:val="001951D6"/>
    <w:rsid w:val="00195242"/>
    <w:rsid w:val="00195329"/>
    <w:rsid w:val="001954C4"/>
    <w:rsid w:val="0019553F"/>
    <w:rsid w:val="0019559E"/>
    <w:rsid w:val="001955BC"/>
    <w:rsid w:val="001955BF"/>
    <w:rsid w:val="001955D6"/>
    <w:rsid w:val="0019561A"/>
    <w:rsid w:val="0019566C"/>
    <w:rsid w:val="001956D2"/>
    <w:rsid w:val="0019576F"/>
    <w:rsid w:val="00195798"/>
    <w:rsid w:val="001957C9"/>
    <w:rsid w:val="00195844"/>
    <w:rsid w:val="0019585D"/>
    <w:rsid w:val="001959CF"/>
    <w:rsid w:val="001959EF"/>
    <w:rsid w:val="001959FE"/>
    <w:rsid w:val="00195A14"/>
    <w:rsid w:val="00195AB1"/>
    <w:rsid w:val="00195B27"/>
    <w:rsid w:val="00195C40"/>
    <w:rsid w:val="00195CC1"/>
    <w:rsid w:val="00195CE2"/>
    <w:rsid w:val="00195ED4"/>
    <w:rsid w:val="00196141"/>
    <w:rsid w:val="001962AC"/>
    <w:rsid w:val="00196319"/>
    <w:rsid w:val="001963D0"/>
    <w:rsid w:val="00196447"/>
    <w:rsid w:val="00196467"/>
    <w:rsid w:val="00196493"/>
    <w:rsid w:val="00196705"/>
    <w:rsid w:val="00196791"/>
    <w:rsid w:val="0019681B"/>
    <w:rsid w:val="001968A2"/>
    <w:rsid w:val="001968B6"/>
    <w:rsid w:val="00196A31"/>
    <w:rsid w:val="00196B59"/>
    <w:rsid w:val="00196B7B"/>
    <w:rsid w:val="00196B98"/>
    <w:rsid w:val="00196C28"/>
    <w:rsid w:val="00196CE1"/>
    <w:rsid w:val="00196D30"/>
    <w:rsid w:val="00196DF9"/>
    <w:rsid w:val="00196E55"/>
    <w:rsid w:val="00196F83"/>
    <w:rsid w:val="00196FE1"/>
    <w:rsid w:val="001970C2"/>
    <w:rsid w:val="001970D5"/>
    <w:rsid w:val="001971DB"/>
    <w:rsid w:val="001972F4"/>
    <w:rsid w:val="0019736A"/>
    <w:rsid w:val="0019742D"/>
    <w:rsid w:val="00197430"/>
    <w:rsid w:val="00197441"/>
    <w:rsid w:val="00197448"/>
    <w:rsid w:val="001975DD"/>
    <w:rsid w:val="00197665"/>
    <w:rsid w:val="00197671"/>
    <w:rsid w:val="00197743"/>
    <w:rsid w:val="0019794A"/>
    <w:rsid w:val="0019795D"/>
    <w:rsid w:val="00197996"/>
    <w:rsid w:val="00197B98"/>
    <w:rsid w:val="00197BBB"/>
    <w:rsid w:val="00197ED2"/>
    <w:rsid w:val="001A021E"/>
    <w:rsid w:val="001A026D"/>
    <w:rsid w:val="001A027C"/>
    <w:rsid w:val="001A0283"/>
    <w:rsid w:val="001A0396"/>
    <w:rsid w:val="001A03A1"/>
    <w:rsid w:val="001A04A5"/>
    <w:rsid w:val="001A0539"/>
    <w:rsid w:val="001A0616"/>
    <w:rsid w:val="001A06F0"/>
    <w:rsid w:val="001A076E"/>
    <w:rsid w:val="001A07C3"/>
    <w:rsid w:val="001A082A"/>
    <w:rsid w:val="001A0A54"/>
    <w:rsid w:val="001A0A98"/>
    <w:rsid w:val="001A0AC0"/>
    <w:rsid w:val="001A0B1F"/>
    <w:rsid w:val="001A0B30"/>
    <w:rsid w:val="001A0B47"/>
    <w:rsid w:val="001A0B82"/>
    <w:rsid w:val="001A0C0B"/>
    <w:rsid w:val="001A0C69"/>
    <w:rsid w:val="001A0C6B"/>
    <w:rsid w:val="001A0D2A"/>
    <w:rsid w:val="001A0DB6"/>
    <w:rsid w:val="001A0EA7"/>
    <w:rsid w:val="001A0F6C"/>
    <w:rsid w:val="001A0FCE"/>
    <w:rsid w:val="001A1052"/>
    <w:rsid w:val="001A1092"/>
    <w:rsid w:val="001A10FA"/>
    <w:rsid w:val="001A1170"/>
    <w:rsid w:val="001A11B2"/>
    <w:rsid w:val="001A126B"/>
    <w:rsid w:val="001A1293"/>
    <w:rsid w:val="001A15EF"/>
    <w:rsid w:val="001A160B"/>
    <w:rsid w:val="001A1672"/>
    <w:rsid w:val="001A1685"/>
    <w:rsid w:val="001A16C8"/>
    <w:rsid w:val="001A1756"/>
    <w:rsid w:val="001A17E3"/>
    <w:rsid w:val="001A1817"/>
    <w:rsid w:val="001A1A4F"/>
    <w:rsid w:val="001A1BC2"/>
    <w:rsid w:val="001A1C29"/>
    <w:rsid w:val="001A1CD0"/>
    <w:rsid w:val="001A1D5B"/>
    <w:rsid w:val="001A1DAF"/>
    <w:rsid w:val="001A1DDB"/>
    <w:rsid w:val="001A1E2D"/>
    <w:rsid w:val="001A1E4A"/>
    <w:rsid w:val="001A1F4C"/>
    <w:rsid w:val="001A1F64"/>
    <w:rsid w:val="001A1F99"/>
    <w:rsid w:val="001A2251"/>
    <w:rsid w:val="001A22B6"/>
    <w:rsid w:val="001A2475"/>
    <w:rsid w:val="001A2526"/>
    <w:rsid w:val="001A258C"/>
    <w:rsid w:val="001A2636"/>
    <w:rsid w:val="001A26F8"/>
    <w:rsid w:val="001A26FE"/>
    <w:rsid w:val="001A27F3"/>
    <w:rsid w:val="001A283C"/>
    <w:rsid w:val="001A2840"/>
    <w:rsid w:val="001A285D"/>
    <w:rsid w:val="001A2928"/>
    <w:rsid w:val="001A2949"/>
    <w:rsid w:val="001A29E7"/>
    <w:rsid w:val="001A29F0"/>
    <w:rsid w:val="001A2A3F"/>
    <w:rsid w:val="001A2B9D"/>
    <w:rsid w:val="001A2BB5"/>
    <w:rsid w:val="001A2C1A"/>
    <w:rsid w:val="001A2D8F"/>
    <w:rsid w:val="001A2E0C"/>
    <w:rsid w:val="001A2E57"/>
    <w:rsid w:val="001A310E"/>
    <w:rsid w:val="001A31B9"/>
    <w:rsid w:val="001A3371"/>
    <w:rsid w:val="001A3377"/>
    <w:rsid w:val="001A3403"/>
    <w:rsid w:val="001A3454"/>
    <w:rsid w:val="001A352E"/>
    <w:rsid w:val="001A353A"/>
    <w:rsid w:val="001A3592"/>
    <w:rsid w:val="001A35C6"/>
    <w:rsid w:val="001A366C"/>
    <w:rsid w:val="001A368D"/>
    <w:rsid w:val="001A36DD"/>
    <w:rsid w:val="001A36F3"/>
    <w:rsid w:val="001A3751"/>
    <w:rsid w:val="001A3791"/>
    <w:rsid w:val="001A3841"/>
    <w:rsid w:val="001A38CA"/>
    <w:rsid w:val="001A3946"/>
    <w:rsid w:val="001A3959"/>
    <w:rsid w:val="001A3973"/>
    <w:rsid w:val="001A3AAE"/>
    <w:rsid w:val="001A3B1E"/>
    <w:rsid w:val="001A3BD6"/>
    <w:rsid w:val="001A3BE0"/>
    <w:rsid w:val="001A3C04"/>
    <w:rsid w:val="001A3C07"/>
    <w:rsid w:val="001A3C0A"/>
    <w:rsid w:val="001A3CFE"/>
    <w:rsid w:val="001A3D11"/>
    <w:rsid w:val="001A3DCB"/>
    <w:rsid w:val="001A3E77"/>
    <w:rsid w:val="001A3F76"/>
    <w:rsid w:val="001A3FDB"/>
    <w:rsid w:val="001A40D6"/>
    <w:rsid w:val="001A4128"/>
    <w:rsid w:val="001A418F"/>
    <w:rsid w:val="001A4219"/>
    <w:rsid w:val="001A4436"/>
    <w:rsid w:val="001A44B8"/>
    <w:rsid w:val="001A4661"/>
    <w:rsid w:val="001A46A8"/>
    <w:rsid w:val="001A476B"/>
    <w:rsid w:val="001A4789"/>
    <w:rsid w:val="001A47A5"/>
    <w:rsid w:val="001A48EC"/>
    <w:rsid w:val="001A4A82"/>
    <w:rsid w:val="001A4D53"/>
    <w:rsid w:val="001A4D65"/>
    <w:rsid w:val="001A4DCE"/>
    <w:rsid w:val="001A4E4D"/>
    <w:rsid w:val="001A4FE2"/>
    <w:rsid w:val="001A4FEC"/>
    <w:rsid w:val="001A500D"/>
    <w:rsid w:val="001A5062"/>
    <w:rsid w:val="001A50E7"/>
    <w:rsid w:val="001A5148"/>
    <w:rsid w:val="001A51D5"/>
    <w:rsid w:val="001A5237"/>
    <w:rsid w:val="001A523B"/>
    <w:rsid w:val="001A52F1"/>
    <w:rsid w:val="001A546F"/>
    <w:rsid w:val="001A54A6"/>
    <w:rsid w:val="001A55ED"/>
    <w:rsid w:val="001A5606"/>
    <w:rsid w:val="001A564F"/>
    <w:rsid w:val="001A56DD"/>
    <w:rsid w:val="001A572E"/>
    <w:rsid w:val="001A57E8"/>
    <w:rsid w:val="001A57FB"/>
    <w:rsid w:val="001A5808"/>
    <w:rsid w:val="001A5823"/>
    <w:rsid w:val="001A583E"/>
    <w:rsid w:val="001A58DD"/>
    <w:rsid w:val="001A595C"/>
    <w:rsid w:val="001A596E"/>
    <w:rsid w:val="001A599A"/>
    <w:rsid w:val="001A5A11"/>
    <w:rsid w:val="001A5A75"/>
    <w:rsid w:val="001A5A77"/>
    <w:rsid w:val="001A5ABF"/>
    <w:rsid w:val="001A5ACB"/>
    <w:rsid w:val="001A5BBD"/>
    <w:rsid w:val="001A5BC7"/>
    <w:rsid w:val="001A5C64"/>
    <w:rsid w:val="001A5C8E"/>
    <w:rsid w:val="001A5CFC"/>
    <w:rsid w:val="001A5D65"/>
    <w:rsid w:val="001A5DCC"/>
    <w:rsid w:val="001A5E09"/>
    <w:rsid w:val="001A5E1B"/>
    <w:rsid w:val="001A5EC3"/>
    <w:rsid w:val="001A5F61"/>
    <w:rsid w:val="001A5F64"/>
    <w:rsid w:val="001A5FFB"/>
    <w:rsid w:val="001A605B"/>
    <w:rsid w:val="001A6087"/>
    <w:rsid w:val="001A60F6"/>
    <w:rsid w:val="001A611B"/>
    <w:rsid w:val="001A61D7"/>
    <w:rsid w:val="001A61E4"/>
    <w:rsid w:val="001A6200"/>
    <w:rsid w:val="001A628E"/>
    <w:rsid w:val="001A63D3"/>
    <w:rsid w:val="001A64C4"/>
    <w:rsid w:val="001A64CE"/>
    <w:rsid w:val="001A64DA"/>
    <w:rsid w:val="001A6515"/>
    <w:rsid w:val="001A6677"/>
    <w:rsid w:val="001A66A4"/>
    <w:rsid w:val="001A6701"/>
    <w:rsid w:val="001A676F"/>
    <w:rsid w:val="001A68EA"/>
    <w:rsid w:val="001A6982"/>
    <w:rsid w:val="001A6998"/>
    <w:rsid w:val="001A69A4"/>
    <w:rsid w:val="001A69BA"/>
    <w:rsid w:val="001A6B29"/>
    <w:rsid w:val="001A6B2F"/>
    <w:rsid w:val="001A6C0C"/>
    <w:rsid w:val="001A6C3A"/>
    <w:rsid w:val="001A6CDF"/>
    <w:rsid w:val="001A6CEB"/>
    <w:rsid w:val="001A6D5E"/>
    <w:rsid w:val="001A6DF1"/>
    <w:rsid w:val="001A6E06"/>
    <w:rsid w:val="001A6EB4"/>
    <w:rsid w:val="001A6F4E"/>
    <w:rsid w:val="001A6F51"/>
    <w:rsid w:val="001A70F7"/>
    <w:rsid w:val="001A71A7"/>
    <w:rsid w:val="001A71F1"/>
    <w:rsid w:val="001A7644"/>
    <w:rsid w:val="001A768F"/>
    <w:rsid w:val="001A76CE"/>
    <w:rsid w:val="001A779B"/>
    <w:rsid w:val="001A77AF"/>
    <w:rsid w:val="001A7984"/>
    <w:rsid w:val="001A79BD"/>
    <w:rsid w:val="001A7A0C"/>
    <w:rsid w:val="001A7ADC"/>
    <w:rsid w:val="001A7B58"/>
    <w:rsid w:val="001A7D6F"/>
    <w:rsid w:val="001A7D93"/>
    <w:rsid w:val="001A7D9D"/>
    <w:rsid w:val="001A7DD0"/>
    <w:rsid w:val="001A7EB8"/>
    <w:rsid w:val="001A7F8C"/>
    <w:rsid w:val="001A7FE1"/>
    <w:rsid w:val="001B0010"/>
    <w:rsid w:val="001B011D"/>
    <w:rsid w:val="001B015E"/>
    <w:rsid w:val="001B0166"/>
    <w:rsid w:val="001B01BE"/>
    <w:rsid w:val="001B02C8"/>
    <w:rsid w:val="001B02F6"/>
    <w:rsid w:val="001B0456"/>
    <w:rsid w:val="001B048F"/>
    <w:rsid w:val="001B050C"/>
    <w:rsid w:val="001B0674"/>
    <w:rsid w:val="001B0678"/>
    <w:rsid w:val="001B06AC"/>
    <w:rsid w:val="001B07F3"/>
    <w:rsid w:val="001B0827"/>
    <w:rsid w:val="001B0997"/>
    <w:rsid w:val="001B0B51"/>
    <w:rsid w:val="001B0B54"/>
    <w:rsid w:val="001B0B9F"/>
    <w:rsid w:val="001B0BDA"/>
    <w:rsid w:val="001B0CB7"/>
    <w:rsid w:val="001B0CDC"/>
    <w:rsid w:val="001B0DCE"/>
    <w:rsid w:val="001B0E06"/>
    <w:rsid w:val="001B0E0D"/>
    <w:rsid w:val="001B0E3D"/>
    <w:rsid w:val="001B0EE9"/>
    <w:rsid w:val="001B0F04"/>
    <w:rsid w:val="001B0F6F"/>
    <w:rsid w:val="001B0FD5"/>
    <w:rsid w:val="001B0FF7"/>
    <w:rsid w:val="001B114A"/>
    <w:rsid w:val="001B1183"/>
    <w:rsid w:val="001B11A6"/>
    <w:rsid w:val="001B11FE"/>
    <w:rsid w:val="001B1298"/>
    <w:rsid w:val="001B12F8"/>
    <w:rsid w:val="001B136F"/>
    <w:rsid w:val="001B1392"/>
    <w:rsid w:val="001B13AF"/>
    <w:rsid w:val="001B1411"/>
    <w:rsid w:val="001B144D"/>
    <w:rsid w:val="001B1483"/>
    <w:rsid w:val="001B14EB"/>
    <w:rsid w:val="001B1679"/>
    <w:rsid w:val="001B172D"/>
    <w:rsid w:val="001B17B0"/>
    <w:rsid w:val="001B18A9"/>
    <w:rsid w:val="001B18E2"/>
    <w:rsid w:val="001B18F0"/>
    <w:rsid w:val="001B1906"/>
    <w:rsid w:val="001B193D"/>
    <w:rsid w:val="001B1A02"/>
    <w:rsid w:val="001B1AD4"/>
    <w:rsid w:val="001B1B95"/>
    <w:rsid w:val="001B1BF9"/>
    <w:rsid w:val="001B1C1D"/>
    <w:rsid w:val="001B1C9A"/>
    <w:rsid w:val="001B1CA4"/>
    <w:rsid w:val="001B1CDA"/>
    <w:rsid w:val="001B1CDC"/>
    <w:rsid w:val="001B1D50"/>
    <w:rsid w:val="001B203A"/>
    <w:rsid w:val="001B2046"/>
    <w:rsid w:val="001B2096"/>
    <w:rsid w:val="001B20DC"/>
    <w:rsid w:val="001B212A"/>
    <w:rsid w:val="001B213D"/>
    <w:rsid w:val="001B214F"/>
    <w:rsid w:val="001B215E"/>
    <w:rsid w:val="001B216E"/>
    <w:rsid w:val="001B21A0"/>
    <w:rsid w:val="001B2439"/>
    <w:rsid w:val="001B245D"/>
    <w:rsid w:val="001B25FD"/>
    <w:rsid w:val="001B26BE"/>
    <w:rsid w:val="001B2733"/>
    <w:rsid w:val="001B278B"/>
    <w:rsid w:val="001B27B1"/>
    <w:rsid w:val="001B27F2"/>
    <w:rsid w:val="001B2820"/>
    <w:rsid w:val="001B2832"/>
    <w:rsid w:val="001B29B5"/>
    <w:rsid w:val="001B2A3E"/>
    <w:rsid w:val="001B2AF2"/>
    <w:rsid w:val="001B2B8B"/>
    <w:rsid w:val="001B2C52"/>
    <w:rsid w:val="001B2C78"/>
    <w:rsid w:val="001B2D63"/>
    <w:rsid w:val="001B2DF6"/>
    <w:rsid w:val="001B2E53"/>
    <w:rsid w:val="001B2F01"/>
    <w:rsid w:val="001B2F55"/>
    <w:rsid w:val="001B2F9B"/>
    <w:rsid w:val="001B2FD3"/>
    <w:rsid w:val="001B2FD9"/>
    <w:rsid w:val="001B3047"/>
    <w:rsid w:val="001B30BE"/>
    <w:rsid w:val="001B30D1"/>
    <w:rsid w:val="001B315B"/>
    <w:rsid w:val="001B3182"/>
    <w:rsid w:val="001B32C9"/>
    <w:rsid w:val="001B3360"/>
    <w:rsid w:val="001B33B7"/>
    <w:rsid w:val="001B3511"/>
    <w:rsid w:val="001B354E"/>
    <w:rsid w:val="001B35E0"/>
    <w:rsid w:val="001B36A7"/>
    <w:rsid w:val="001B370D"/>
    <w:rsid w:val="001B3767"/>
    <w:rsid w:val="001B384D"/>
    <w:rsid w:val="001B38E5"/>
    <w:rsid w:val="001B3957"/>
    <w:rsid w:val="001B3A9B"/>
    <w:rsid w:val="001B3AA7"/>
    <w:rsid w:val="001B3BDF"/>
    <w:rsid w:val="001B3D20"/>
    <w:rsid w:val="001B3DAB"/>
    <w:rsid w:val="001B3E48"/>
    <w:rsid w:val="001B4017"/>
    <w:rsid w:val="001B4160"/>
    <w:rsid w:val="001B4231"/>
    <w:rsid w:val="001B4249"/>
    <w:rsid w:val="001B4290"/>
    <w:rsid w:val="001B42A7"/>
    <w:rsid w:val="001B42C2"/>
    <w:rsid w:val="001B4348"/>
    <w:rsid w:val="001B438B"/>
    <w:rsid w:val="001B4465"/>
    <w:rsid w:val="001B4516"/>
    <w:rsid w:val="001B457D"/>
    <w:rsid w:val="001B45F5"/>
    <w:rsid w:val="001B463A"/>
    <w:rsid w:val="001B4662"/>
    <w:rsid w:val="001B46A0"/>
    <w:rsid w:val="001B4710"/>
    <w:rsid w:val="001B4953"/>
    <w:rsid w:val="001B4956"/>
    <w:rsid w:val="001B4965"/>
    <w:rsid w:val="001B4994"/>
    <w:rsid w:val="001B4BC2"/>
    <w:rsid w:val="001B4C1A"/>
    <w:rsid w:val="001B4CD5"/>
    <w:rsid w:val="001B4D2B"/>
    <w:rsid w:val="001B4E55"/>
    <w:rsid w:val="001B507E"/>
    <w:rsid w:val="001B519C"/>
    <w:rsid w:val="001B5245"/>
    <w:rsid w:val="001B525A"/>
    <w:rsid w:val="001B525D"/>
    <w:rsid w:val="001B535C"/>
    <w:rsid w:val="001B5382"/>
    <w:rsid w:val="001B54FD"/>
    <w:rsid w:val="001B55BF"/>
    <w:rsid w:val="001B5618"/>
    <w:rsid w:val="001B5800"/>
    <w:rsid w:val="001B5876"/>
    <w:rsid w:val="001B5897"/>
    <w:rsid w:val="001B5955"/>
    <w:rsid w:val="001B5A6D"/>
    <w:rsid w:val="001B5AA0"/>
    <w:rsid w:val="001B5BB3"/>
    <w:rsid w:val="001B5BD3"/>
    <w:rsid w:val="001B5C2C"/>
    <w:rsid w:val="001B5D21"/>
    <w:rsid w:val="001B5DDF"/>
    <w:rsid w:val="001B5E68"/>
    <w:rsid w:val="001B5E70"/>
    <w:rsid w:val="001B5E9F"/>
    <w:rsid w:val="001B5EA4"/>
    <w:rsid w:val="001B5F79"/>
    <w:rsid w:val="001B5FEF"/>
    <w:rsid w:val="001B6036"/>
    <w:rsid w:val="001B6068"/>
    <w:rsid w:val="001B610F"/>
    <w:rsid w:val="001B62EA"/>
    <w:rsid w:val="001B62FF"/>
    <w:rsid w:val="001B6376"/>
    <w:rsid w:val="001B637A"/>
    <w:rsid w:val="001B63B3"/>
    <w:rsid w:val="001B64E7"/>
    <w:rsid w:val="001B6541"/>
    <w:rsid w:val="001B6576"/>
    <w:rsid w:val="001B65B5"/>
    <w:rsid w:val="001B6688"/>
    <w:rsid w:val="001B66A4"/>
    <w:rsid w:val="001B67D9"/>
    <w:rsid w:val="001B6930"/>
    <w:rsid w:val="001B6A36"/>
    <w:rsid w:val="001B6A43"/>
    <w:rsid w:val="001B6A92"/>
    <w:rsid w:val="001B6B11"/>
    <w:rsid w:val="001B6B69"/>
    <w:rsid w:val="001B6C0D"/>
    <w:rsid w:val="001B6C47"/>
    <w:rsid w:val="001B6D03"/>
    <w:rsid w:val="001B6D3E"/>
    <w:rsid w:val="001B6D6B"/>
    <w:rsid w:val="001B7008"/>
    <w:rsid w:val="001B71A2"/>
    <w:rsid w:val="001B71A5"/>
    <w:rsid w:val="001B7359"/>
    <w:rsid w:val="001B7403"/>
    <w:rsid w:val="001B746B"/>
    <w:rsid w:val="001B7548"/>
    <w:rsid w:val="001B7636"/>
    <w:rsid w:val="001B771D"/>
    <w:rsid w:val="001B78A2"/>
    <w:rsid w:val="001B7951"/>
    <w:rsid w:val="001B7978"/>
    <w:rsid w:val="001B79DD"/>
    <w:rsid w:val="001B7A26"/>
    <w:rsid w:val="001B7B09"/>
    <w:rsid w:val="001B7B49"/>
    <w:rsid w:val="001B7B5F"/>
    <w:rsid w:val="001B7C99"/>
    <w:rsid w:val="001B7D93"/>
    <w:rsid w:val="001B7DEB"/>
    <w:rsid w:val="001B7E06"/>
    <w:rsid w:val="001B7EAB"/>
    <w:rsid w:val="001B7EEA"/>
    <w:rsid w:val="001C0052"/>
    <w:rsid w:val="001C00AB"/>
    <w:rsid w:val="001C0131"/>
    <w:rsid w:val="001C0136"/>
    <w:rsid w:val="001C0178"/>
    <w:rsid w:val="001C03F5"/>
    <w:rsid w:val="001C0503"/>
    <w:rsid w:val="001C056A"/>
    <w:rsid w:val="001C0636"/>
    <w:rsid w:val="001C0732"/>
    <w:rsid w:val="001C083D"/>
    <w:rsid w:val="001C089B"/>
    <w:rsid w:val="001C08DC"/>
    <w:rsid w:val="001C08E5"/>
    <w:rsid w:val="001C0935"/>
    <w:rsid w:val="001C0989"/>
    <w:rsid w:val="001C0B18"/>
    <w:rsid w:val="001C0B89"/>
    <w:rsid w:val="001C0C01"/>
    <w:rsid w:val="001C0CC0"/>
    <w:rsid w:val="001C0CC6"/>
    <w:rsid w:val="001C0D00"/>
    <w:rsid w:val="001C0D39"/>
    <w:rsid w:val="001C0E25"/>
    <w:rsid w:val="001C10E2"/>
    <w:rsid w:val="001C118F"/>
    <w:rsid w:val="001C1352"/>
    <w:rsid w:val="001C135C"/>
    <w:rsid w:val="001C146D"/>
    <w:rsid w:val="001C1471"/>
    <w:rsid w:val="001C153B"/>
    <w:rsid w:val="001C15A6"/>
    <w:rsid w:val="001C15A9"/>
    <w:rsid w:val="001C1731"/>
    <w:rsid w:val="001C1741"/>
    <w:rsid w:val="001C187D"/>
    <w:rsid w:val="001C18B5"/>
    <w:rsid w:val="001C18DA"/>
    <w:rsid w:val="001C1906"/>
    <w:rsid w:val="001C1AE4"/>
    <w:rsid w:val="001C1B00"/>
    <w:rsid w:val="001C1B82"/>
    <w:rsid w:val="001C1BD5"/>
    <w:rsid w:val="001C1C91"/>
    <w:rsid w:val="001C1D50"/>
    <w:rsid w:val="001C1D6B"/>
    <w:rsid w:val="001C1DC9"/>
    <w:rsid w:val="001C1DD7"/>
    <w:rsid w:val="001C1E31"/>
    <w:rsid w:val="001C1EA5"/>
    <w:rsid w:val="001C20F9"/>
    <w:rsid w:val="001C215A"/>
    <w:rsid w:val="001C216C"/>
    <w:rsid w:val="001C2236"/>
    <w:rsid w:val="001C227B"/>
    <w:rsid w:val="001C2368"/>
    <w:rsid w:val="001C2394"/>
    <w:rsid w:val="001C23D7"/>
    <w:rsid w:val="001C253E"/>
    <w:rsid w:val="001C257D"/>
    <w:rsid w:val="001C2673"/>
    <w:rsid w:val="001C2689"/>
    <w:rsid w:val="001C2788"/>
    <w:rsid w:val="001C2881"/>
    <w:rsid w:val="001C28C4"/>
    <w:rsid w:val="001C28C6"/>
    <w:rsid w:val="001C2959"/>
    <w:rsid w:val="001C2978"/>
    <w:rsid w:val="001C29FA"/>
    <w:rsid w:val="001C2C01"/>
    <w:rsid w:val="001C2CDF"/>
    <w:rsid w:val="001C2D85"/>
    <w:rsid w:val="001C2DDD"/>
    <w:rsid w:val="001C2EBC"/>
    <w:rsid w:val="001C2ECD"/>
    <w:rsid w:val="001C2F37"/>
    <w:rsid w:val="001C2FE1"/>
    <w:rsid w:val="001C3131"/>
    <w:rsid w:val="001C313C"/>
    <w:rsid w:val="001C31D5"/>
    <w:rsid w:val="001C322B"/>
    <w:rsid w:val="001C348E"/>
    <w:rsid w:val="001C34C7"/>
    <w:rsid w:val="001C3616"/>
    <w:rsid w:val="001C3628"/>
    <w:rsid w:val="001C3762"/>
    <w:rsid w:val="001C378D"/>
    <w:rsid w:val="001C37F5"/>
    <w:rsid w:val="001C37FC"/>
    <w:rsid w:val="001C3821"/>
    <w:rsid w:val="001C384F"/>
    <w:rsid w:val="001C38B8"/>
    <w:rsid w:val="001C38DB"/>
    <w:rsid w:val="001C38E2"/>
    <w:rsid w:val="001C3965"/>
    <w:rsid w:val="001C39B8"/>
    <w:rsid w:val="001C39D6"/>
    <w:rsid w:val="001C3A8B"/>
    <w:rsid w:val="001C3ADC"/>
    <w:rsid w:val="001C3AE2"/>
    <w:rsid w:val="001C3B37"/>
    <w:rsid w:val="001C3B72"/>
    <w:rsid w:val="001C3BFA"/>
    <w:rsid w:val="001C3D70"/>
    <w:rsid w:val="001C3DD5"/>
    <w:rsid w:val="001C3E05"/>
    <w:rsid w:val="001C3E07"/>
    <w:rsid w:val="001C3E20"/>
    <w:rsid w:val="001C3F7C"/>
    <w:rsid w:val="001C4178"/>
    <w:rsid w:val="001C41BB"/>
    <w:rsid w:val="001C4257"/>
    <w:rsid w:val="001C4377"/>
    <w:rsid w:val="001C458D"/>
    <w:rsid w:val="001C45D8"/>
    <w:rsid w:val="001C45DA"/>
    <w:rsid w:val="001C4685"/>
    <w:rsid w:val="001C46C5"/>
    <w:rsid w:val="001C477F"/>
    <w:rsid w:val="001C47EA"/>
    <w:rsid w:val="001C480C"/>
    <w:rsid w:val="001C488E"/>
    <w:rsid w:val="001C48EC"/>
    <w:rsid w:val="001C4933"/>
    <w:rsid w:val="001C4953"/>
    <w:rsid w:val="001C49B2"/>
    <w:rsid w:val="001C4A2B"/>
    <w:rsid w:val="001C4B99"/>
    <w:rsid w:val="001C4CB4"/>
    <w:rsid w:val="001C4D3E"/>
    <w:rsid w:val="001C4D95"/>
    <w:rsid w:val="001C4DD3"/>
    <w:rsid w:val="001C4E3C"/>
    <w:rsid w:val="001C4E8A"/>
    <w:rsid w:val="001C4FB9"/>
    <w:rsid w:val="001C500C"/>
    <w:rsid w:val="001C50AC"/>
    <w:rsid w:val="001C50C1"/>
    <w:rsid w:val="001C5213"/>
    <w:rsid w:val="001C5319"/>
    <w:rsid w:val="001C53E1"/>
    <w:rsid w:val="001C541E"/>
    <w:rsid w:val="001C56A0"/>
    <w:rsid w:val="001C570C"/>
    <w:rsid w:val="001C5780"/>
    <w:rsid w:val="001C5829"/>
    <w:rsid w:val="001C5937"/>
    <w:rsid w:val="001C599F"/>
    <w:rsid w:val="001C5C8A"/>
    <w:rsid w:val="001C5D53"/>
    <w:rsid w:val="001C5EA1"/>
    <w:rsid w:val="001C5F67"/>
    <w:rsid w:val="001C5FE8"/>
    <w:rsid w:val="001C603E"/>
    <w:rsid w:val="001C6138"/>
    <w:rsid w:val="001C61AD"/>
    <w:rsid w:val="001C621F"/>
    <w:rsid w:val="001C63A5"/>
    <w:rsid w:val="001C6518"/>
    <w:rsid w:val="001C660A"/>
    <w:rsid w:val="001C6620"/>
    <w:rsid w:val="001C6661"/>
    <w:rsid w:val="001C670D"/>
    <w:rsid w:val="001C688D"/>
    <w:rsid w:val="001C69B0"/>
    <w:rsid w:val="001C6B6E"/>
    <w:rsid w:val="001C6C96"/>
    <w:rsid w:val="001C6CEE"/>
    <w:rsid w:val="001C6D26"/>
    <w:rsid w:val="001C6D30"/>
    <w:rsid w:val="001C6DF8"/>
    <w:rsid w:val="001C6E12"/>
    <w:rsid w:val="001C6E31"/>
    <w:rsid w:val="001C7028"/>
    <w:rsid w:val="001C7085"/>
    <w:rsid w:val="001C7198"/>
    <w:rsid w:val="001C724E"/>
    <w:rsid w:val="001C7267"/>
    <w:rsid w:val="001C7273"/>
    <w:rsid w:val="001C72AD"/>
    <w:rsid w:val="001C783A"/>
    <w:rsid w:val="001C7868"/>
    <w:rsid w:val="001C78FE"/>
    <w:rsid w:val="001C79B8"/>
    <w:rsid w:val="001C7B41"/>
    <w:rsid w:val="001C7D2E"/>
    <w:rsid w:val="001C7DEA"/>
    <w:rsid w:val="001C7E23"/>
    <w:rsid w:val="001C7FEF"/>
    <w:rsid w:val="001D0011"/>
    <w:rsid w:val="001D0021"/>
    <w:rsid w:val="001D0032"/>
    <w:rsid w:val="001D003F"/>
    <w:rsid w:val="001D0117"/>
    <w:rsid w:val="001D014D"/>
    <w:rsid w:val="001D01A1"/>
    <w:rsid w:val="001D01B8"/>
    <w:rsid w:val="001D028A"/>
    <w:rsid w:val="001D02AA"/>
    <w:rsid w:val="001D0398"/>
    <w:rsid w:val="001D03D6"/>
    <w:rsid w:val="001D03F7"/>
    <w:rsid w:val="001D0403"/>
    <w:rsid w:val="001D0414"/>
    <w:rsid w:val="001D0552"/>
    <w:rsid w:val="001D0571"/>
    <w:rsid w:val="001D0578"/>
    <w:rsid w:val="001D059E"/>
    <w:rsid w:val="001D05D4"/>
    <w:rsid w:val="001D072B"/>
    <w:rsid w:val="001D0741"/>
    <w:rsid w:val="001D08C7"/>
    <w:rsid w:val="001D0995"/>
    <w:rsid w:val="001D09F1"/>
    <w:rsid w:val="001D0A5C"/>
    <w:rsid w:val="001D0B8B"/>
    <w:rsid w:val="001D0CC8"/>
    <w:rsid w:val="001D0D29"/>
    <w:rsid w:val="001D0DAD"/>
    <w:rsid w:val="001D0EA4"/>
    <w:rsid w:val="001D0EBB"/>
    <w:rsid w:val="001D0EFC"/>
    <w:rsid w:val="001D0F43"/>
    <w:rsid w:val="001D0FDC"/>
    <w:rsid w:val="001D0FF7"/>
    <w:rsid w:val="001D1065"/>
    <w:rsid w:val="001D111D"/>
    <w:rsid w:val="001D1185"/>
    <w:rsid w:val="001D12F2"/>
    <w:rsid w:val="001D130E"/>
    <w:rsid w:val="001D13A8"/>
    <w:rsid w:val="001D1403"/>
    <w:rsid w:val="001D1422"/>
    <w:rsid w:val="001D144D"/>
    <w:rsid w:val="001D14E9"/>
    <w:rsid w:val="001D1661"/>
    <w:rsid w:val="001D17A6"/>
    <w:rsid w:val="001D189A"/>
    <w:rsid w:val="001D18C1"/>
    <w:rsid w:val="001D1939"/>
    <w:rsid w:val="001D1967"/>
    <w:rsid w:val="001D1A0A"/>
    <w:rsid w:val="001D1ABF"/>
    <w:rsid w:val="001D1B28"/>
    <w:rsid w:val="001D1B65"/>
    <w:rsid w:val="001D1B71"/>
    <w:rsid w:val="001D1C6C"/>
    <w:rsid w:val="001D1C9F"/>
    <w:rsid w:val="001D1CF1"/>
    <w:rsid w:val="001D1D37"/>
    <w:rsid w:val="001D1D78"/>
    <w:rsid w:val="001D1DFD"/>
    <w:rsid w:val="001D1E06"/>
    <w:rsid w:val="001D1E40"/>
    <w:rsid w:val="001D1EEC"/>
    <w:rsid w:val="001D1FE6"/>
    <w:rsid w:val="001D1FFA"/>
    <w:rsid w:val="001D21D3"/>
    <w:rsid w:val="001D21FF"/>
    <w:rsid w:val="001D2214"/>
    <w:rsid w:val="001D2283"/>
    <w:rsid w:val="001D231B"/>
    <w:rsid w:val="001D237C"/>
    <w:rsid w:val="001D237F"/>
    <w:rsid w:val="001D2532"/>
    <w:rsid w:val="001D256B"/>
    <w:rsid w:val="001D25C1"/>
    <w:rsid w:val="001D2627"/>
    <w:rsid w:val="001D270D"/>
    <w:rsid w:val="001D2722"/>
    <w:rsid w:val="001D27E1"/>
    <w:rsid w:val="001D27F0"/>
    <w:rsid w:val="001D28F0"/>
    <w:rsid w:val="001D290F"/>
    <w:rsid w:val="001D2971"/>
    <w:rsid w:val="001D2A00"/>
    <w:rsid w:val="001D2A32"/>
    <w:rsid w:val="001D2A38"/>
    <w:rsid w:val="001D2A43"/>
    <w:rsid w:val="001D2A8F"/>
    <w:rsid w:val="001D2BC2"/>
    <w:rsid w:val="001D2C6D"/>
    <w:rsid w:val="001D2D1E"/>
    <w:rsid w:val="001D2D99"/>
    <w:rsid w:val="001D2DC0"/>
    <w:rsid w:val="001D2DDA"/>
    <w:rsid w:val="001D2DE7"/>
    <w:rsid w:val="001D2E02"/>
    <w:rsid w:val="001D2E78"/>
    <w:rsid w:val="001D2EE4"/>
    <w:rsid w:val="001D2F10"/>
    <w:rsid w:val="001D2F29"/>
    <w:rsid w:val="001D2F3C"/>
    <w:rsid w:val="001D30BB"/>
    <w:rsid w:val="001D311F"/>
    <w:rsid w:val="001D31EF"/>
    <w:rsid w:val="001D32AC"/>
    <w:rsid w:val="001D32CD"/>
    <w:rsid w:val="001D3339"/>
    <w:rsid w:val="001D33B7"/>
    <w:rsid w:val="001D3665"/>
    <w:rsid w:val="001D368F"/>
    <w:rsid w:val="001D36EC"/>
    <w:rsid w:val="001D3705"/>
    <w:rsid w:val="001D379F"/>
    <w:rsid w:val="001D37AE"/>
    <w:rsid w:val="001D380D"/>
    <w:rsid w:val="001D3848"/>
    <w:rsid w:val="001D38F7"/>
    <w:rsid w:val="001D3A6F"/>
    <w:rsid w:val="001D3AE8"/>
    <w:rsid w:val="001D3B81"/>
    <w:rsid w:val="001D3BE2"/>
    <w:rsid w:val="001D3CCE"/>
    <w:rsid w:val="001D3E63"/>
    <w:rsid w:val="001D3F69"/>
    <w:rsid w:val="001D3F7B"/>
    <w:rsid w:val="001D406F"/>
    <w:rsid w:val="001D40EF"/>
    <w:rsid w:val="001D417A"/>
    <w:rsid w:val="001D41DB"/>
    <w:rsid w:val="001D4213"/>
    <w:rsid w:val="001D4311"/>
    <w:rsid w:val="001D4332"/>
    <w:rsid w:val="001D4345"/>
    <w:rsid w:val="001D4476"/>
    <w:rsid w:val="001D4527"/>
    <w:rsid w:val="001D467A"/>
    <w:rsid w:val="001D4745"/>
    <w:rsid w:val="001D47A4"/>
    <w:rsid w:val="001D47A7"/>
    <w:rsid w:val="001D47F7"/>
    <w:rsid w:val="001D484A"/>
    <w:rsid w:val="001D4874"/>
    <w:rsid w:val="001D4AD7"/>
    <w:rsid w:val="001D4B76"/>
    <w:rsid w:val="001D4C07"/>
    <w:rsid w:val="001D4C3A"/>
    <w:rsid w:val="001D4C69"/>
    <w:rsid w:val="001D4CC4"/>
    <w:rsid w:val="001D4D8C"/>
    <w:rsid w:val="001D4E00"/>
    <w:rsid w:val="001D4F59"/>
    <w:rsid w:val="001D50F5"/>
    <w:rsid w:val="001D5189"/>
    <w:rsid w:val="001D51F4"/>
    <w:rsid w:val="001D5207"/>
    <w:rsid w:val="001D520C"/>
    <w:rsid w:val="001D521C"/>
    <w:rsid w:val="001D525B"/>
    <w:rsid w:val="001D5291"/>
    <w:rsid w:val="001D5358"/>
    <w:rsid w:val="001D559F"/>
    <w:rsid w:val="001D55B9"/>
    <w:rsid w:val="001D5616"/>
    <w:rsid w:val="001D561C"/>
    <w:rsid w:val="001D5737"/>
    <w:rsid w:val="001D575F"/>
    <w:rsid w:val="001D57C8"/>
    <w:rsid w:val="001D5804"/>
    <w:rsid w:val="001D5893"/>
    <w:rsid w:val="001D5923"/>
    <w:rsid w:val="001D5937"/>
    <w:rsid w:val="001D5984"/>
    <w:rsid w:val="001D5A59"/>
    <w:rsid w:val="001D5A96"/>
    <w:rsid w:val="001D5B41"/>
    <w:rsid w:val="001D5B45"/>
    <w:rsid w:val="001D5C20"/>
    <w:rsid w:val="001D5D32"/>
    <w:rsid w:val="001D5F7B"/>
    <w:rsid w:val="001D6046"/>
    <w:rsid w:val="001D6167"/>
    <w:rsid w:val="001D61C5"/>
    <w:rsid w:val="001D6224"/>
    <w:rsid w:val="001D622F"/>
    <w:rsid w:val="001D6271"/>
    <w:rsid w:val="001D62CF"/>
    <w:rsid w:val="001D63FF"/>
    <w:rsid w:val="001D649A"/>
    <w:rsid w:val="001D64F1"/>
    <w:rsid w:val="001D650A"/>
    <w:rsid w:val="001D650C"/>
    <w:rsid w:val="001D651D"/>
    <w:rsid w:val="001D655C"/>
    <w:rsid w:val="001D678B"/>
    <w:rsid w:val="001D681D"/>
    <w:rsid w:val="001D6829"/>
    <w:rsid w:val="001D6916"/>
    <w:rsid w:val="001D691E"/>
    <w:rsid w:val="001D6AA8"/>
    <w:rsid w:val="001D6B2E"/>
    <w:rsid w:val="001D6BCE"/>
    <w:rsid w:val="001D6BF9"/>
    <w:rsid w:val="001D6CD6"/>
    <w:rsid w:val="001D6FB5"/>
    <w:rsid w:val="001D70E3"/>
    <w:rsid w:val="001D71FA"/>
    <w:rsid w:val="001D721B"/>
    <w:rsid w:val="001D726A"/>
    <w:rsid w:val="001D7329"/>
    <w:rsid w:val="001D738D"/>
    <w:rsid w:val="001D73AA"/>
    <w:rsid w:val="001D7412"/>
    <w:rsid w:val="001D774B"/>
    <w:rsid w:val="001D776D"/>
    <w:rsid w:val="001D786E"/>
    <w:rsid w:val="001D78C8"/>
    <w:rsid w:val="001D78D2"/>
    <w:rsid w:val="001D79D2"/>
    <w:rsid w:val="001D7B0B"/>
    <w:rsid w:val="001D7BE4"/>
    <w:rsid w:val="001D7C22"/>
    <w:rsid w:val="001D7C32"/>
    <w:rsid w:val="001D7C83"/>
    <w:rsid w:val="001D7CFF"/>
    <w:rsid w:val="001D7D17"/>
    <w:rsid w:val="001D7D66"/>
    <w:rsid w:val="001D7E8C"/>
    <w:rsid w:val="001D7E8F"/>
    <w:rsid w:val="001D7EE0"/>
    <w:rsid w:val="001D7F53"/>
    <w:rsid w:val="001D7F75"/>
    <w:rsid w:val="001E00FF"/>
    <w:rsid w:val="001E0303"/>
    <w:rsid w:val="001E03FB"/>
    <w:rsid w:val="001E046C"/>
    <w:rsid w:val="001E0551"/>
    <w:rsid w:val="001E057E"/>
    <w:rsid w:val="001E0635"/>
    <w:rsid w:val="001E0696"/>
    <w:rsid w:val="001E06A3"/>
    <w:rsid w:val="001E0703"/>
    <w:rsid w:val="001E07D4"/>
    <w:rsid w:val="001E0977"/>
    <w:rsid w:val="001E0A4C"/>
    <w:rsid w:val="001E0A65"/>
    <w:rsid w:val="001E0B43"/>
    <w:rsid w:val="001E0BD6"/>
    <w:rsid w:val="001E0BE1"/>
    <w:rsid w:val="001E0C55"/>
    <w:rsid w:val="001E0CD7"/>
    <w:rsid w:val="001E0D13"/>
    <w:rsid w:val="001E0D84"/>
    <w:rsid w:val="001E0DB8"/>
    <w:rsid w:val="001E0DF4"/>
    <w:rsid w:val="001E0E4C"/>
    <w:rsid w:val="001E0E81"/>
    <w:rsid w:val="001E0EBA"/>
    <w:rsid w:val="001E0F12"/>
    <w:rsid w:val="001E0FB2"/>
    <w:rsid w:val="001E0FFE"/>
    <w:rsid w:val="001E1039"/>
    <w:rsid w:val="001E107A"/>
    <w:rsid w:val="001E10DD"/>
    <w:rsid w:val="001E1180"/>
    <w:rsid w:val="001E1275"/>
    <w:rsid w:val="001E12B7"/>
    <w:rsid w:val="001E1505"/>
    <w:rsid w:val="001E153A"/>
    <w:rsid w:val="001E1540"/>
    <w:rsid w:val="001E156D"/>
    <w:rsid w:val="001E1586"/>
    <w:rsid w:val="001E15A2"/>
    <w:rsid w:val="001E15E5"/>
    <w:rsid w:val="001E161B"/>
    <w:rsid w:val="001E169A"/>
    <w:rsid w:val="001E16E8"/>
    <w:rsid w:val="001E16EB"/>
    <w:rsid w:val="001E1760"/>
    <w:rsid w:val="001E1787"/>
    <w:rsid w:val="001E17A4"/>
    <w:rsid w:val="001E17C0"/>
    <w:rsid w:val="001E1822"/>
    <w:rsid w:val="001E189D"/>
    <w:rsid w:val="001E1920"/>
    <w:rsid w:val="001E1988"/>
    <w:rsid w:val="001E19FE"/>
    <w:rsid w:val="001E1A61"/>
    <w:rsid w:val="001E1B28"/>
    <w:rsid w:val="001E1BAA"/>
    <w:rsid w:val="001E1C1A"/>
    <w:rsid w:val="001E1D91"/>
    <w:rsid w:val="001E1E00"/>
    <w:rsid w:val="001E1EA2"/>
    <w:rsid w:val="001E1EB3"/>
    <w:rsid w:val="001E1F35"/>
    <w:rsid w:val="001E2003"/>
    <w:rsid w:val="001E226B"/>
    <w:rsid w:val="001E2302"/>
    <w:rsid w:val="001E2462"/>
    <w:rsid w:val="001E247E"/>
    <w:rsid w:val="001E24AC"/>
    <w:rsid w:val="001E25B9"/>
    <w:rsid w:val="001E25F9"/>
    <w:rsid w:val="001E26AE"/>
    <w:rsid w:val="001E26F2"/>
    <w:rsid w:val="001E2805"/>
    <w:rsid w:val="001E288E"/>
    <w:rsid w:val="001E28F0"/>
    <w:rsid w:val="001E2974"/>
    <w:rsid w:val="001E29AF"/>
    <w:rsid w:val="001E29BC"/>
    <w:rsid w:val="001E2ACA"/>
    <w:rsid w:val="001E2B6D"/>
    <w:rsid w:val="001E2C4A"/>
    <w:rsid w:val="001E2F28"/>
    <w:rsid w:val="001E2F76"/>
    <w:rsid w:val="001E30A8"/>
    <w:rsid w:val="001E31FB"/>
    <w:rsid w:val="001E32AD"/>
    <w:rsid w:val="001E32CA"/>
    <w:rsid w:val="001E341F"/>
    <w:rsid w:val="001E34FA"/>
    <w:rsid w:val="001E352B"/>
    <w:rsid w:val="001E3578"/>
    <w:rsid w:val="001E359B"/>
    <w:rsid w:val="001E3617"/>
    <w:rsid w:val="001E3699"/>
    <w:rsid w:val="001E370D"/>
    <w:rsid w:val="001E3757"/>
    <w:rsid w:val="001E381E"/>
    <w:rsid w:val="001E38A1"/>
    <w:rsid w:val="001E38CD"/>
    <w:rsid w:val="001E38D8"/>
    <w:rsid w:val="001E3911"/>
    <w:rsid w:val="001E3933"/>
    <w:rsid w:val="001E3B98"/>
    <w:rsid w:val="001E3CA4"/>
    <w:rsid w:val="001E3D7D"/>
    <w:rsid w:val="001E3EBA"/>
    <w:rsid w:val="001E3F39"/>
    <w:rsid w:val="001E4044"/>
    <w:rsid w:val="001E405B"/>
    <w:rsid w:val="001E4130"/>
    <w:rsid w:val="001E4171"/>
    <w:rsid w:val="001E41D7"/>
    <w:rsid w:val="001E421E"/>
    <w:rsid w:val="001E423B"/>
    <w:rsid w:val="001E4254"/>
    <w:rsid w:val="001E427C"/>
    <w:rsid w:val="001E43BA"/>
    <w:rsid w:val="001E43CC"/>
    <w:rsid w:val="001E4428"/>
    <w:rsid w:val="001E4501"/>
    <w:rsid w:val="001E45BB"/>
    <w:rsid w:val="001E4724"/>
    <w:rsid w:val="001E476B"/>
    <w:rsid w:val="001E4912"/>
    <w:rsid w:val="001E4960"/>
    <w:rsid w:val="001E4A6C"/>
    <w:rsid w:val="001E4ABE"/>
    <w:rsid w:val="001E4AF1"/>
    <w:rsid w:val="001E4B2C"/>
    <w:rsid w:val="001E4C25"/>
    <w:rsid w:val="001E4C27"/>
    <w:rsid w:val="001E4C82"/>
    <w:rsid w:val="001E4D22"/>
    <w:rsid w:val="001E4DC2"/>
    <w:rsid w:val="001E4E87"/>
    <w:rsid w:val="001E4F6B"/>
    <w:rsid w:val="001E4F7C"/>
    <w:rsid w:val="001E4FF8"/>
    <w:rsid w:val="001E5297"/>
    <w:rsid w:val="001E54D7"/>
    <w:rsid w:val="001E5502"/>
    <w:rsid w:val="001E576F"/>
    <w:rsid w:val="001E5A41"/>
    <w:rsid w:val="001E5AA0"/>
    <w:rsid w:val="001E5AAA"/>
    <w:rsid w:val="001E5B1E"/>
    <w:rsid w:val="001E5B21"/>
    <w:rsid w:val="001E5B2C"/>
    <w:rsid w:val="001E5BFC"/>
    <w:rsid w:val="001E5C76"/>
    <w:rsid w:val="001E5C8F"/>
    <w:rsid w:val="001E5D38"/>
    <w:rsid w:val="001E5E65"/>
    <w:rsid w:val="001E5ED6"/>
    <w:rsid w:val="001E5EDC"/>
    <w:rsid w:val="001E5EF6"/>
    <w:rsid w:val="001E5F33"/>
    <w:rsid w:val="001E5F4E"/>
    <w:rsid w:val="001E5FAE"/>
    <w:rsid w:val="001E60F7"/>
    <w:rsid w:val="001E611E"/>
    <w:rsid w:val="001E6150"/>
    <w:rsid w:val="001E626C"/>
    <w:rsid w:val="001E6280"/>
    <w:rsid w:val="001E628F"/>
    <w:rsid w:val="001E62A3"/>
    <w:rsid w:val="001E654D"/>
    <w:rsid w:val="001E657E"/>
    <w:rsid w:val="001E657F"/>
    <w:rsid w:val="001E66C1"/>
    <w:rsid w:val="001E67A1"/>
    <w:rsid w:val="001E6861"/>
    <w:rsid w:val="001E688E"/>
    <w:rsid w:val="001E692B"/>
    <w:rsid w:val="001E695F"/>
    <w:rsid w:val="001E6966"/>
    <w:rsid w:val="001E69C1"/>
    <w:rsid w:val="001E6AD2"/>
    <w:rsid w:val="001E6B1D"/>
    <w:rsid w:val="001E6B22"/>
    <w:rsid w:val="001E6BFA"/>
    <w:rsid w:val="001E6CEB"/>
    <w:rsid w:val="001E6D1D"/>
    <w:rsid w:val="001E6D6E"/>
    <w:rsid w:val="001E6DA7"/>
    <w:rsid w:val="001E6DC0"/>
    <w:rsid w:val="001E6EB1"/>
    <w:rsid w:val="001E6FB0"/>
    <w:rsid w:val="001E71FB"/>
    <w:rsid w:val="001E7288"/>
    <w:rsid w:val="001E7485"/>
    <w:rsid w:val="001E757A"/>
    <w:rsid w:val="001E761C"/>
    <w:rsid w:val="001E76CF"/>
    <w:rsid w:val="001E774A"/>
    <w:rsid w:val="001E77A6"/>
    <w:rsid w:val="001E77A8"/>
    <w:rsid w:val="001E7864"/>
    <w:rsid w:val="001E7A7B"/>
    <w:rsid w:val="001E7B65"/>
    <w:rsid w:val="001E7B98"/>
    <w:rsid w:val="001E7C7D"/>
    <w:rsid w:val="001E7D0B"/>
    <w:rsid w:val="001E7EB4"/>
    <w:rsid w:val="001E7EF7"/>
    <w:rsid w:val="001E7F76"/>
    <w:rsid w:val="001E7FB1"/>
    <w:rsid w:val="001F023D"/>
    <w:rsid w:val="001F0436"/>
    <w:rsid w:val="001F0508"/>
    <w:rsid w:val="001F0532"/>
    <w:rsid w:val="001F057E"/>
    <w:rsid w:val="001F0683"/>
    <w:rsid w:val="001F069E"/>
    <w:rsid w:val="001F0872"/>
    <w:rsid w:val="001F08B2"/>
    <w:rsid w:val="001F08E1"/>
    <w:rsid w:val="001F0AF5"/>
    <w:rsid w:val="001F0B10"/>
    <w:rsid w:val="001F0B62"/>
    <w:rsid w:val="001F0B9D"/>
    <w:rsid w:val="001F0D65"/>
    <w:rsid w:val="001F0E1C"/>
    <w:rsid w:val="001F0F05"/>
    <w:rsid w:val="001F0FE2"/>
    <w:rsid w:val="001F10F1"/>
    <w:rsid w:val="001F111F"/>
    <w:rsid w:val="001F1227"/>
    <w:rsid w:val="001F14B2"/>
    <w:rsid w:val="001F1531"/>
    <w:rsid w:val="001F1572"/>
    <w:rsid w:val="001F1592"/>
    <w:rsid w:val="001F15F7"/>
    <w:rsid w:val="001F160B"/>
    <w:rsid w:val="001F162B"/>
    <w:rsid w:val="001F16AD"/>
    <w:rsid w:val="001F17BF"/>
    <w:rsid w:val="001F19BF"/>
    <w:rsid w:val="001F1ADE"/>
    <w:rsid w:val="001F1AF1"/>
    <w:rsid w:val="001F1C02"/>
    <w:rsid w:val="001F1C8F"/>
    <w:rsid w:val="001F1D8A"/>
    <w:rsid w:val="001F1E3C"/>
    <w:rsid w:val="001F1E80"/>
    <w:rsid w:val="001F1F82"/>
    <w:rsid w:val="001F1FCD"/>
    <w:rsid w:val="001F207F"/>
    <w:rsid w:val="001F21D7"/>
    <w:rsid w:val="001F228A"/>
    <w:rsid w:val="001F236C"/>
    <w:rsid w:val="001F241B"/>
    <w:rsid w:val="001F2484"/>
    <w:rsid w:val="001F24A0"/>
    <w:rsid w:val="001F24E3"/>
    <w:rsid w:val="001F2567"/>
    <w:rsid w:val="001F25CF"/>
    <w:rsid w:val="001F2685"/>
    <w:rsid w:val="001F26C6"/>
    <w:rsid w:val="001F27A6"/>
    <w:rsid w:val="001F27BE"/>
    <w:rsid w:val="001F27F9"/>
    <w:rsid w:val="001F28E5"/>
    <w:rsid w:val="001F2943"/>
    <w:rsid w:val="001F29F2"/>
    <w:rsid w:val="001F2C36"/>
    <w:rsid w:val="001F2C87"/>
    <w:rsid w:val="001F2CD1"/>
    <w:rsid w:val="001F2CF3"/>
    <w:rsid w:val="001F2D35"/>
    <w:rsid w:val="001F2D7E"/>
    <w:rsid w:val="001F2F77"/>
    <w:rsid w:val="001F2FB0"/>
    <w:rsid w:val="001F2FF3"/>
    <w:rsid w:val="001F3064"/>
    <w:rsid w:val="001F3273"/>
    <w:rsid w:val="001F32D9"/>
    <w:rsid w:val="001F3315"/>
    <w:rsid w:val="001F337D"/>
    <w:rsid w:val="001F353F"/>
    <w:rsid w:val="001F35FF"/>
    <w:rsid w:val="001F36A7"/>
    <w:rsid w:val="001F3713"/>
    <w:rsid w:val="001F37E3"/>
    <w:rsid w:val="001F380C"/>
    <w:rsid w:val="001F387E"/>
    <w:rsid w:val="001F3889"/>
    <w:rsid w:val="001F3988"/>
    <w:rsid w:val="001F3AA8"/>
    <w:rsid w:val="001F3B95"/>
    <w:rsid w:val="001F3B9B"/>
    <w:rsid w:val="001F3CCB"/>
    <w:rsid w:val="001F3D11"/>
    <w:rsid w:val="001F3E2B"/>
    <w:rsid w:val="001F3E7F"/>
    <w:rsid w:val="001F3FE5"/>
    <w:rsid w:val="001F405F"/>
    <w:rsid w:val="001F428D"/>
    <w:rsid w:val="001F42D8"/>
    <w:rsid w:val="001F4353"/>
    <w:rsid w:val="001F4432"/>
    <w:rsid w:val="001F472B"/>
    <w:rsid w:val="001F47A8"/>
    <w:rsid w:val="001F480C"/>
    <w:rsid w:val="001F4833"/>
    <w:rsid w:val="001F487D"/>
    <w:rsid w:val="001F48A3"/>
    <w:rsid w:val="001F493F"/>
    <w:rsid w:val="001F4960"/>
    <w:rsid w:val="001F4990"/>
    <w:rsid w:val="001F4994"/>
    <w:rsid w:val="001F4A54"/>
    <w:rsid w:val="001F4BB6"/>
    <w:rsid w:val="001F4BCD"/>
    <w:rsid w:val="001F4BDC"/>
    <w:rsid w:val="001F4C3C"/>
    <w:rsid w:val="001F4D72"/>
    <w:rsid w:val="001F4D90"/>
    <w:rsid w:val="001F4E7D"/>
    <w:rsid w:val="001F4FFE"/>
    <w:rsid w:val="001F5041"/>
    <w:rsid w:val="001F50C3"/>
    <w:rsid w:val="001F5145"/>
    <w:rsid w:val="001F517C"/>
    <w:rsid w:val="001F51FC"/>
    <w:rsid w:val="001F5250"/>
    <w:rsid w:val="001F526C"/>
    <w:rsid w:val="001F5344"/>
    <w:rsid w:val="001F5374"/>
    <w:rsid w:val="001F53C9"/>
    <w:rsid w:val="001F53F2"/>
    <w:rsid w:val="001F53F4"/>
    <w:rsid w:val="001F5547"/>
    <w:rsid w:val="001F5588"/>
    <w:rsid w:val="001F55EC"/>
    <w:rsid w:val="001F5657"/>
    <w:rsid w:val="001F570F"/>
    <w:rsid w:val="001F5714"/>
    <w:rsid w:val="001F572C"/>
    <w:rsid w:val="001F574E"/>
    <w:rsid w:val="001F575C"/>
    <w:rsid w:val="001F57A5"/>
    <w:rsid w:val="001F5819"/>
    <w:rsid w:val="001F58C2"/>
    <w:rsid w:val="001F5AB4"/>
    <w:rsid w:val="001F5BB4"/>
    <w:rsid w:val="001F5CB2"/>
    <w:rsid w:val="001F5CE2"/>
    <w:rsid w:val="001F5DD5"/>
    <w:rsid w:val="001F5E05"/>
    <w:rsid w:val="001F5E5A"/>
    <w:rsid w:val="001F6019"/>
    <w:rsid w:val="001F608C"/>
    <w:rsid w:val="001F608E"/>
    <w:rsid w:val="001F6097"/>
    <w:rsid w:val="001F60E3"/>
    <w:rsid w:val="001F6211"/>
    <w:rsid w:val="001F621F"/>
    <w:rsid w:val="001F624D"/>
    <w:rsid w:val="001F6324"/>
    <w:rsid w:val="001F63F4"/>
    <w:rsid w:val="001F64B8"/>
    <w:rsid w:val="001F6694"/>
    <w:rsid w:val="001F66C4"/>
    <w:rsid w:val="001F67E3"/>
    <w:rsid w:val="001F6948"/>
    <w:rsid w:val="001F69A0"/>
    <w:rsid w:val="001F6A5E"/>
    <w:rsid w:val="001F6B3B"/>
    <w:rsid w:val="001F6B3E"/>
    <w:rsid w:val="001F6B87"/>
    <w:rsid w:val="001F6CA6"/>
    <w:rsid w:val="001F6F3D"/>
    <w:rsid w:val="001F7134"/>
    <w:rsid w:val="001F72F3"/>
    <w:rsid w:val="001F73DC"/>
    <w:rsid w:val="001F75B0"/>
    <w:rsid w:val="001F7603"/>
    <w:rsid w:val="001F7639"/>
    <w:rsid w:val="001F765F"/>
    <w:rsid w:val="001F7678"/>
    <w:rsid w:val="001F76AF"/>
    <w:rsid w:val="001F76E1"/>
    <w:rsid w:val="001F76EC"/>
    <w:rsid w:val="001F772D"/>
    <w:rsid w:val="001F782C"/>
    <w:rsid w:val="001F7908"/>
    <w:rsid w:val="001F7DD7"/>
    <w:rsid w:val="001F7E38"/>
    <w:rsid w:val="001F7E79"/>
    <w:rsid w:val="001F7EBE"/>
    <w:rsid w:val="001F7F75"/>
    <w:rsid w:val="001F7F97"/>
    <w:rsid w:val="00200025"/>
    <w:rsid w:val="0020007E"/>
    <w:rsid w:val="00200115"/>
    <w:rsid w:val="00200225"/>
    <w:rsid w:val="00200320"/>
    <w:rsid w:val="002003A7"/>
    <w:rsid w:val="002004A3"/>
    <w:rsid w:val="00200598"/>
    <w:rsid w:val="00200688"/>
    <w:rsid w:val="002006A2"/>
    <w:rsid w:val="00200758"/>
    <w:rsid w:val="00200780"/>
    <w:rsid w:val="002007C3"/>
    <w:rsid w:val="00200934"/>
    <w:rsid w:val="00200947"/>
    <w:rsid w:val="00200987"/>
    <w:rsid w:val="00200AA1"/>
    <w:rsid w:val="00200B74"/>
    <w:rsid w:val="00200BFA"/>
    <w:rsid w:val="00200C74"/>
    <w:rsid w:val="00200CBA"/>
    <w:rsid w:val="00200D16"/>
    <w:rsid w:val="00200DEA"/>
    <w:rsid w:val="00200E8D"/>
    <w:rsid w:val="00200F2D"/>
    <w:rsid w:val="002010D2"/>
    <w:rsid w:val="002010F3"/>
    <w:rsid w:val="0020110B"/>
    <w:rsid w:val="002011DA"/>
    <w:rsid w:val="00201221"/>
    <w:rsid w:val="002013A0"/>
    <w:rsid w:val="002013EB"/>
    <w:rsid w:val="0020149A"/>
    <w:rsid w:val="00201633"/>
    <w:rsid w:val="0020163C"/>
    <w:rsid w:val="00201658"/>
    <w:rsid w:val="00201696"/>
    <w:rsid w:val="0020178B"/>
    <w:rsid w:val="00201938"/>
    <w:rsid w:val="00201955"/>
    <w:rsid w:val="00201990"/>
    <w:rsid w:val="002019B5"/>
    <w:rsid w:val="002019E1"/>
    <w:rsid w:val="00201A93"/>
    <w:rsid w:val="00201AA3"/>
    <w:rsid w:val="00201B1F"/>
    <w:rsid w:val="00201B41"/>
    <w:rsid w:val="00201B9A"/>
    <w:rsid w:val="00201C0E"/>
    <w:rsid w:val="00201D5A"/>
    <w:rsid w:val="00201EEB"/>
    <w:rsid w:val="00201F0D"/>
    <w:rsid w:val="00201FD4"/>
    <w:rsid w:val="00202104"/>
    <w:rsid w:val="0020217C"/>
    <w:rsid w:val="002021AD"/>
    <w:rsid w:val="002021E8"/>
    <w:rsid w:val="00202256"/>
    <w:rsid w:val="002023C9"/>
    <w:rsid w:val="00202462"/>
    <w:rsid w:val="00202492"/>
    <w:rsid w:val="002024CF"/>
    <w:rsid w:val="002027CC"/>
    <w:rsid w:val="0020286D"/>
    <w:rsid w:val="002028F6"/>
    <w:rsid w:val="00202981"/>
    <w:rsid w:val="00202982"/>
    <w:rsid w:val="002029BF"/>
    <w:rsid w:val="00202BD9"/>
    <w:rsid w:val="00202BEA"/>
    <w:rsid w:val="00202C64"/>
    <w:rsid w:val="00202CEF"/>
    <w:rsid w:val="00202E1D"/>
    <w:rsid w:val="00202E4B"/>
    <w:rsid w:val="00202FCC"/>
    <w:rsid w:val="002030F7"/>
    <w:rsid w:val="0020312E"/>
    <w:rsid w:val="00203234"/>
    <w:rsid w:val="00203245"/>
    <w:rsid w:val="0020325F"/>
    <w:rsid w:val="00203339"/>
    <w:rsid w:val="00203397"/>
    <w:rsid w:val="00203522"/>
    <w:rsid w:val="002035F4"/>
    <w:rsid w:val="00203639"/>
    <w:rsid w:val="00203679"/>
    <w:rsid w:val="0020369A"/>
    <w:rsid w:val="0020369E"/>
    <w:rsid w:val="00203812"/>
    <w:rsid w:val="002039BD"/>
    <w:rsid w:val="00203BDB"/>
    <w:rsid w:val="00203BFC"/>
    <w:rsid w:val="00203DB0"/>
    <w:rsid w:val="00203E3E"/>
    <w:rsid w:val="00203E4B"/>
    <w:rsid w:val="0020402C"/>
    <w:rsid w:val="0020405B"/>
    <w:rsid w:val="0020416C"/>
    <w:rsid w:val="002041E5"/>
    <w:rsid w:val="002041F0"/>
    <w:rsid w:val="0020428E"/>
    <w:rsid w:val="002042EA"/>
    <w:rsid w:val="0020430F"/>
    <w:rsid w:val="002043B0"/>
    <w:rsid w:val="002044B0"/>
    <w:rsid w:val="00204502"/>
    <w:rsid w:val="00204568"/>
    <w:rsid w:val="00204645"/>
    <w:rsid w:val="00204692"/>
    <w:rsid w:val="0020492B"/>
    <w:rsid w:val="0020496F"/>
    <w:rsid w:val="002049B2"/>
    <w:rsid w:val="00204A63"/>
    <w:rsid w:val="00204A88"/>
    <w:rsid w:val="00204AA3"/>
    <w:rsid w:val="00204DCC"/>
    <w:rsid w:val="00204E59"/>
    <w:rsid w:val="00204E92"/>
    <w:rsid w:val="00204EA2"/>
    <w:rsid w:val="00204EC7"/>
    <w:rsid w:val="00204ED4"/>
    <w:rsid w:val="00204F3C"/>
    <w:rsid w:val="0020513A"/>
    <w:rsid w:val="0020514B"/>
    <w:rsid w:val="00205165"/>
    <w:rsid w:val="002051AD"/>
    <w:rsid w:val="00205268"/>
    <w:rsid w:val="0020527E"/>
    <w:rsid w:val="002052AC"/>
    <w:rsid w:val="002052BB"/>
    <w:rsid w:val="00205350"/>
    <w:rsid w:val="0020541F"/>
    <w:rsid w:val="002054C4"/>
    <w:rsid w:val="00205594"/>
    <w:rsid w:val="0020564F"/>
    <w:rsid w:val="00205725"/>
    <w:rsid w:val="002057ED"/>
    <w:rsid w:val="00205864"/>
    <w:rsid w:val="0020596B"/>
    <w:rsid w:val="0020598B"/>
    <w:rsid w:val="002059F5"/>
    <w:rsid w:val="002059FB"/>
    <w:rsid w:val="00205A43"/>
    <w:rsid w:val="00205AC5"/>
    <w:rsid w:val="00205B5E"/>
    <w:rsid w:val="00205B72"/>
    <w:rsid w:val="00205B95"/>
    <w:rsid w:val="00205BCA"/>
    <w:rsid w:val="00205BE2"/>
    <w:rsid w:val="00205CDA"/>
    <w:rsid w:val="00205DBC"/>
    <w:rsid w:val="00205DE6"/>
    <w:rsid w:val="00205E38"/>
    <w:rsid w:val="00205E60"/>
    <w:rsid w:val="00205EDF"/>
    <w:rsid w:val="00205F11"/>
    <w:rsid w:val="00205FA6"/>
    <w:rsid w:val="002061DF"/>
    <w:rsid w:val="0020627C"/>
    <w:rsid w:val="002062E1"/>
    <w:rsid w:val="00206378"/>
    <w:rsid w:val="00206389"/>
    <w:rsid w:val="002063A2"/>
    <w:rsid w:val="002064A4"/>
    <w:rsid w:val="002064BA"/>
    <w:rsid w:val="0020650E"/>
    <w:rsid w:val="002065A0"/>
    <w:rsid w:val="0020665A"/>
    <w:rsid w:val="0020669E"/>
    <w:rsid w:val="002066EF"/>
    <w:rsid w:val="0020671F"/>
    <w:rsid w:val="002067F3"/>
    <w:rsid w:val="00206807"/>
    <w:rsid w:val="0020680D"/>
    <w:rsid w:val="00206917"/>
    <w:rsid w:val="00206952"/>
    <w:rsid w:val="002069C1"/>
    <w:rsid w:val="002069E5"/>
    <w:rsid w:val="00206BB1"/>
    <w:rsid w:val="00206BE4"/>
    <w:rsid w:val="00206C1B"/>
    <w:rsid w:val="00206C6A"/>
    <w:rsid w:val="00206F3D"/>
    <w:rsid w:val="002070A2"/>
    <w:rsid w:val="002070B0"/>
    <w:rsid w:val="002070DA"/>
    <w:rsid w:val="002070E9"/>
    <w:rsid w:val="00207204"/>
    <w:rsid w:val="00207213"/>
    <w:rsid w:val="00207258"/>
    <w:rsid w:val="002072C8"/>
    <w:rsid w:val="002073DD"/>
    <w:rsid w:val="0020744C"/>
    <w:rsid w:val="002074AC"/>
    <w:rsid w:val="002074F2"/>
    <w:rsid w:val="0020751D"/>
    <w:rsid w:val="00207550"/>
    <w:rsid w:val="00207558"/>
    <w:rsid w:val="00207614"/>
    <w:rsid w:val="00207696"/>
    <w:rsid w:val="002076AA"/>
    <w:rsid w:val="00207710"/>
    <w:rsid w:val="002077D4"/>
    <w:rsid w:val="00207808"/>
    <w:rsid w:val="00207897"/>
    <w:rsid w:val="00207ADB"/>
    <w:rsid w:val="00207B06"/>
    <w:rsid w:val="00207B3F"/>
    <w:rsid w:val="00207CB6"/>
    <w:rsid w:val="00207DD0"/>
    <w:rsid w:val="00207E62"/>
    <w:rsid w:val="00207EC7"/>
    <w:rsid w:val="00207F3F"/>
    <w:rsid w:val="0021000D"/>
    <w:rsid w:val="002100E4"/>
    <w:rsid w:val="00210166"/>
    <w:rsid w:val="002101EC"/>
    <w:rsid w:val="00210289"/>
    <w:rsid w:val="002103CD"/>
    <w:rsid w:val="002103FC"/>
    <w:rsid w:val="00210465"/>
    <w:rsid w:val="002104AB"/>
    <w:rsid w:val="002105F0"/>
    <w:rsid w:val="002106C3"/>
    <w:rsid w:val="002106D6"/>
    <w:rsid w:val="002107B0"/>
    <w:rsid w:val="002107D1"/>
    <w:rsid w:val="002108C9"/>
    <w:rsid w:val="00210A2E"/>
    <w:rsid w:val="00210B00"/>
    <w:rsid w:val="00210B25"/>
    <w:rsid w:val="00210B3B"/>
    <w:rsid w:val="00210B65"/>
    <w:rsid w:val="00210C24"/>
    <w:rsid w:val="00210C3F"/>
    <w:rsid w:val="00210C83"/>
    <w:rsid w:val="00210D32"/>
    <w:rsid w:val="00210DA1"/>
    <w:rsid w:val="00210DAE"/>
    <w:rsid w:val="00210DF4"/>
    <w:rsid w:val="00210E97"/>
    <w:rsid w:val="00210EE9"/>
    <w:rsid w:val="00210F02"/>
    <w:rsid w:val="00210F6B"/>
    <w:rsid w:val="00211021"/>
    <w:rsid w:val="00211053"/>
    <w:rsid w:val="00211061"/>
    <w:rsid w:val="002110ED"/>
    <w:rsid w:val="00211106"/>
    <w:rsid w:val="00211203"/>
    <w:rsid w:val="00211255"/>
    <w:rsid w:val="0021125B"/>
    <w:rsid w:val="002112C6"/>
    <w:rsid w:val="002113A9"/>
    <w:rsid w:val="00211457"/>
    <w:rsid w:val="002114A1"/>
    <w:rsid w:val="002114B1"/>
    <w:rsid w:val="002114B5"/>
    <w:rsid w:val="002116B0"/>
    <w:rsid w:val="002116E1"/>
    <w:rsid w:val="0021179C"/>
    <w:rsid w:val="0021182F"/>
    <w:rsid w:val="0021187F"/>
    <w:rsid w:val="002118A8"/>
    <w:rsid w:val="002118DD"/>
    <w:rsid w:val="00211913"/>
    <w:rsid w:val="00211A57"/>
    <w:rsid w:val="00211B69"/>
    <w:rsid w:val="00211BC7"/>
    <w:rsid w:val="00211E17"/>
    <w:rsid w:val="00211E42"/>
    <w:rsid w:val="00211FC2"/>
    <w:rsid w:val="00211FE4"/>
    <w:rsid w:val="0021207D"/>
    <w:rsid w:val="002120FE"/>
    <w:rsid w:val="0021211E"/>
    <w:rsid w:val="0021218B"/>
    <w:rsid w:val="002121CC"/>
    <w:rsid w:val="00212296"/>
    <w:rsid w:val="0021229A"/>
    <w:rsid w:val="002122FF"/>
    <w:rsid w:val="00212358"/>
    <w:rsid w:val="00212770"/>
    <w:rsid w:val="00212812"/>
    <w:rsid w:val="0021287D"/>
    <w:rsid w:val="00212A5F"/>
    <w:rsid w:val="00212B32"/>
    <w:rsid w:val="00212B52"/>
    <w:rsid w:val="00212B77"/>
    <w:rsid w:val="00212C29"/>
    <w:rsid w:val="00212DC6"/>
    <w:rsid w:val="00212DEF"/>
    <w:rsid w:val="00212E25"/>
    <w:rsid w:val="00212E44"/>
    <w:rsid w:val="00213033"/>
    <w:rsid w:val="002130BB"/>
    <w:rsid w:val="0021314C"/>
    <w:rsid w:val="00213180"/>
    <w:rsid w:val="002131C3"/>
    <w:rsid w:val="00213385"/>
    <w:rsid w:val="0021338E"/>
    <w:rsid w:val="00213390"/>
    <w:rsid w:val="002133C3"/>
    <w:rsid w:val="002133E5"/>
    <w:rsid w:val="00213605"/>
    <w:rsid w:val="0021374D"/>
    <w:rsid w:val="00213777"/>
    <w:rsid w:val="002137BB"/>
    <w:rsid w:val="002137FD"/>
    <w:rsid w:val="002138D5"/>
    <w:rsid w:val="00213918"/>
    <w:rsid w:val="00213939"/>
    <w:rsid w:val="00213A6F"/>
    <w:rsid w:val="00213A86"/>
    <w:rsid w:val="00213A88"/>
    <w:rsid w:val="00213AC0"/>
    <w:rsid w:val="00213C19"/>
    <w:rsid w:val="00213C4E"/>
    <w:rsid w:val="00213C89"/>
    <w:rsid w:val="00213C8D"/>
    <w:rsid w:val="00213CBC"/>
    <w:rsid w:val="00213CF8"/>
    <w:rsid w:val="00213D0C"/>
    <w:rsid w:val="00213DB6"/>
    <w:rsid w:val="00213DB9"/>
    <w:rsid w:val="00213DD3"/>
    <w:rsid w:val="00213FD7"/>
    <w:rsid w:val="00213FD9"/>
    <w:rsid w:val="00214065"/>
    <w:rsid w:val="002140CD"/>
    <w:rsid w:val="00214165"/>
    <w:rsid w:val="00214171"/>
    <w:rsid w:val="00214222"/>
    <w:rsid w:val="0021427B"/>
    <w:rsid w:val="0021433F"/>
    <w:rsid w:val="002143C0"/>
    <w:rsid w:val="002144CF"/>
    <w:rsid w:val="0021455B"/>
    <w:rsid w:val="00214653"/>
    <w:rsid w:val="0021467A"/>
    <w:rsid w:val="002146EF"/>
    <w:rsid w:val="00214737"/>
    <w:rsid w:val="0021474D"/>
    <w:rsid w:val="0021474F"/>
    <w:rsid w:val="00214881"/>
    <w:rsid w:val="00214939"/>
    <w:rsid w:val="00214987"/>
    <w:rsid w:val="002149FF"/>
    <w:rsid w:val="00214A81"/>
    <w:rsid w:val="00214BA2"/>
    <w:rsid w:val="00214C31"/>
    <w:rsid w:val="00214E46"/>
    <w:rsid w:val="00214F64"/>
    <w:rsid w:val="00214FBA"/>
    <w:rsid w:val="00214FEF"/>
    <w:rsid w:val="002150AB"/>
    <w:rsid w:val="0021517C"/>
    <w:rsid w:val="0021517D"/>
    <w:rsid w:val="00215288"/>
    <w:rsid w:val="00215328"/>
    <w:rsid w:val="00215343"/>
    <w:rsid w:val="0021536B"/>
    <w:rsid w:val="002153C3"/>
    <w:rsid w:val="0021545F"/>
    <w:rsid w:val="0021547D"/>
    <w:rsid w:val="002154FA"/>
    <w:rsid w:val="00215517"/>
    <w:rsid w:val="0021551A"/>
    <w:rsid w:val="00215564"/>
    <w:rsid w:val="00215566"/>
    <w:rsid w:val="00215692"/>
    <w:rsid w:val="0021573E"/>
    <w:rsid w:val="002158F1"/>
    <w:rsid w:val="00215908"/>
    <w:rsid w:val="00215983"/>
    <w:rsid w:val="002159EB"/>
    <w:rsid w:val="00215A87"/>
    <w:rsid w:val="00215A99"/>
    <w:rsid w:val="00215AA7"/>
    <w:rsid w:val="00215C41"/>
    <w:rsid w:val="00215CBE"/>
    <w:rsid w:val="00215D89"/>
    <w:rsid w:val="00215E86"/>
    <w:rsid w:val="00215EF4"/>
    <w:rsid w:val="00215FAF"/>
    <w:rsid w:val="00215FBE"/>
    <w:rsid w:val="00216107"/>
    <w:rsid w:val="00216314"/>
    <w:rsid w:val="00216333"/>
    <w:rsid w:val="002163A1"/>
    <w:rsid w:val="002163A9"/>
    <w:rsid w:val="00216482"/>
    <w:rsid w:val="002164DC"/>
    <w:rsid w:val="0021653E"/>
    <w:rsid w:val="00216628"/>
    <w:rsid w:val="002166B0"/>
    <w:rsid w:val="0021671D"/>
    <w:rsid w:val="00216854"/>
    <w:rsid w:val="0021692C"/>
    <w:rsid w:val="00216995"/>
    <w:rsid w:val="00216AB0"/>
    <w:rsid w:val="00216ADC"/>
    <w:rsid w:val="00216BB5"/>
    <w:rsid w:val="00216C2E"/>
    <w:rsid w:val="00216C5A"/>
    <w:rsid w:val="00216CCD"/>
    <w:rsid w:val="00216D0C"/>
    <w:rsid w:val="00216D36"/>
    <w:rsid w:val="00216D92"/>
    <w:rsid w:val="00216D99"/>
    <w:rsid w:val="00216E83"/>
    <w:rsid w:val="00216ECD"/>
    <w:rsid w:val="00216F03"/>
    <w:rsid w:val="00216F66"/>
    <w:rsid w:val="00216FE9"/>
    <w:rsid w:val="00216FF8"/>
    <w:rsid w:val="00217265"/>
    <w:rsid w:val="0021726E"/>
    <w:rsid w:val="0021726F"/>
    <w:rsid w:val="002172A5"/>
    <w:rsid w:val="002172DD"/>
    <w:rsid w:val="002172FA"/>
    <w:rsid w:val="002173C0"/>
    <w:rsid w:val="00217495"/>
    <w:rsid w:val="00217548"/>
    <w:rsid w:val="00217562"/>
    <w:rsid w:val="002176EF"/>
    <w:rsid w:val="002177A6"/>
    <w:rsid w:val="0021788E"/>
    <w:rsid w:val="0021789E"/>
    <w:rsid w:val="0021791D"/>
    <w:rsid w:val="00217932"/>
    <w:rsid w:val="0021796F"/>
    <w:rsid w:val="0021798D"/>
    <w:rsid w:val="00217A7C"/>
    <w:rsid w:val="00217B5F"/>
    <w:rsid w:val="00217C37"/>
    <w:rsid w:val="00217FF8"/>
    <w:rsid w:val="00220003"/>
    <w:rsid w:val="00220058"/>
    <w:rsid w:val="002201C8"/>
    <w:rsid w:val="00220334"/>
    <w:rsid w:val="00220393"/>
    <w:rsid w:val="002204B2"/>
    <w:rsid w:val="002205C7"/>
    <w:rsid w:val="0022066D"/>
    <w:rsid w:val="0022067C"/>
    <w:rsid w:val="002206B8"/>
    <w:rsid w:val="002207DB"/>
    <w:rsid w:val="00220A1B"/>
    <w:rsid w:val="00220A6E"/>
    <w:rsid w:val="00220B2F"/>
    <w:rsid w:val="00220BC5"/>
    <w:rsid w:val="00220C61"/>
    <w:rsid w:val="00220C67"/>
    <w:rsid w:val="00220C9C"/>
    <w:rsid w:val="00220D94"/>
    <w:rsid w:val="00220F30"/>
    <w:rsid w:val="00220FFB"/>
    <w:rsid w:val="00221026"/>
    <w:rsid w:val="0022106D"/>
    <w:rsid w:val="002211B6"/>
    <w:rsid w:val="00221441"/>
    <w:rsid w:val="00221588"/>
    <w:rsid w:val="0022161A"/>
    <w:rsid w:val="00221668"/>
    <w:rsid w:val="0022184C"/>
    <w:rsid w:val="0022185D"/>
    <w:rsid w:val="0022195D"/>
    <w:rsid w:val="00221A12"/>
    <w:rsid w:val="00221A2A"/>
    <w:rsid w:val="00221AB6"/>
    <w:rsid w:val="00221B92"/>
    <w:rsid w:val="00221C49"/>
    <w:rsid w:val="00221C9C"/>
    <w:rsid w:val="00221D1B"/>
    <w:rsid w:val="00221D2A"/>
    <w:rsid w:val="00221D76"/>
    <w:rsid w:val="00221F96"/>
    <w:rsid w:val="00222048"/>
    <w:rsid w:val="002220BA"/>
    <w:rsid w:val="002220EB"/>
    <w:rsid w:val="0022216C"/>
    <w:rsid w:val="00222365"/>
    <w:rsid w:val="00222448"/>
    <w:rsid w:val="002224AD"/>
    <w:rsid w:val="002224EB"/>
    <w:rsid w:val="002225A8"/>
    <w:rsid w:val="00222682"/>
    <w:rsid w:val="002226A5"/>
    <w:rsid w:val="002226BB"/>
    <w:rsid w:val="0022287A"/>
    <w:rsid w:val="00222A00"/>
    <w:rsid w:val="00222AA2"/>
    <w:rsid w:val="00222B3E"/>
    <w:rsid w:val="00222B44"/>
    <w:rsid w:val="00222B51"/>
    <w:rsid w:val="00222B84"/>
    <w:rsid w:val="00222BD6"/>
    <w:rsid w:val="00222BE0"/>
    <w:rsid w:val="00222C43"/>
    <w:rsid w:val="00222D7F"/>
    <w:rsid w:val="00222ED5"/>
    <w:rsid w:val="00223093"/>
    <w:rsid w:val="00223167"/>
    <w:rsid w:val="0022324B"/>
    <w:rsid w:val="00223300"/>
    <w:rsid w:val="002233B7"/>
    <w:rsid w:val="0022341E"/>
    <w:rsid w:val="0022346C"/>
    <w:rsid w:val="0022349C"/>
    <w:rsid w:val="0022350D"/>
    <w:rsid w:val="00223548"/>
    <w:rsid w:val="0022388E"/>
    <w:rsid w:val="00223A02"/>
    <w:rsid w:val="00223A7A"/>
    <w:rsid w:val="00223AA0"/>
    <w:rsid w:val="00223B17"/>
    <w:rsid w:val="00223B42"/>
    <w:rsid w:val="00223C8F"/>
    <w:rsid w:val="00223CDB"/>
    <w:rsid w:val="00223D2E"/>
    <w:rsid w:val="00223D54"/>
    <w:rsid w:val="00223E02"/>
    <w:rsid w:val="00223EA6"/>
    <w:rsid w:val="00224086"/>
    <w:rsid w:val="002241B0"/>
    <w:rsid w:val="002241FB"/>
    <w:rsid w:val="002242D2"/>
    <w:rsid w:val="00224336"/>
    <w:rsid w:val="00224391"/>
    <w:rsid w:val="0022443C"/>
    <w:rsid w:val="00224551"/>
    <w:rsid w:val="00224569"/>
    <w:rsid w:val="00224579"/>
    <w:rsid w:val="00224587"/>
    <w:rsid w:val="00224607"/>
    <w:rsid w:val="0022480A"/>
    <w:rsid w:val="00224984"/>
    <w:rsid w:val="00224B43"/>
    <w:rsid w:val="00224B99"/>
    <w:rsid w:val="00224D55"/>
    <w:rsid w:val="00224D63"/>
    <w:rsid w:val="00224DD9"/>
    <w:rsid w:val="00224EB9"/>
    <w:rsid w:val="00224F6B"/>
    <w:rsid w:val="00224FCD"/>
    <w:rsid w:val="00224FF1"/>
    <w:rsid w:val="00225048"/>
    <w:rsid w:val="00225151"/>
    <w:rsid w:val="0022518A"/>
    <w:rsid w:val="00225203"/>
    <w:rsid w:val="00225309"/>
    <w:rsid w:val="0022530A"/>
    <w:rsid w:val="00225327"/>
    <w:rsid w:val="0022533C"/>
    <w:rsid w:val="002253E3"/>
    <w:rsid w:val="002256F9"/>
    <w:rsid w:val="00225766"/>
    <w:rsid w:val="002257C1"/>
    <w:rsid w:val="002258A7"/>
    <w:rsid w:val="002258C2"/>
    <w:rsid w:val="002258CB"/>
    <w:rsid w:val="0022594A"/>
    <w:rsid w:val="002259AF"/>
    <w:rsid w:val="002259F9"/>
    <w:rsid w:val="00225A08"/>
    <w:rsid w:val="00225A1C"/>
    <w:rsid w:val="00225AEC"/>
    <w:rsid w:val="00225B66"/>
    <w:rsid w:val="00225B70"/>
    <w:rsid w:val="00225ED4"/>
    <w:rsid w:val="00225F0A"/>
    <w:rsid w:val="00225F2F"/>
    <w:rsid w:val="00225F54"/>
    <w:rsid w:val="00225F97"/>
    <w:rsid w:val="00225FAA"/>
    <w:rsid w:val="00225FCE"/>
    <w:rsid w:val="0022619D"/>
    <w:rsid w:val="002261DD"/>
    <w:rsid w:val="00226206"/>
    <w:rsid w:val="00226266"/>
    <w:rsid w:val="002263A0"/>
    <w:rsid w:val="0022642C"/>
    <w:rsid w:val="002264A7"/>
    <w:rsid w:val="00226761"/>
    <w:rsid w:val="00226801"/>
    <w:rsid w:val="002269BA"/>
    <w:rsid w:val="002269F0"/>
    <w:rsid w:val="00226A27"/>
    <w:rsid w:val="00226A43"/>
    <w:rsid w:val="00226AF4"/>
    <w:rsid w:val="00226B46"/>
    <w:rsid w:val="00226BFD"/>
    <w:rsid w:val="00226C89"/>
    <w:rsid w:val="00226CD8"/>
    <w:rsid w:val="00226D04"/>
    <w:rsid w:val="00226D58"/>
    <w:rsid w:val="00226DDD"/>
    <w:rsid w:val="00226EB4"/>
    <w:rsid w:val="00226F52"/>
    <w:rsid w:val="00226F76"/>
    <w:rsid w:val="00226FA8"/>
    <w:rsid w:val="00226FA9"/>
    <w:rsid w:val="00227052"/>
    <w:rsid w:val="002270A2"/>
    <w:rsid w:val="002270CF"/>
    <w:rsid w:val="00227121"/>
    <w:rsid w:val="00227136"/>
    <w:rsid w:val="002271DC"/>
    <w:rsid w:val="00227202"/>
    <w:rsid w:val="0022726B"/>
    <w:rsid w:val="002272C7"/>
    <w:rsid w:val="00227300"/>
    <w:rsid w:val="00227370"/>
    <w:rsid w:val="00227457"/>
    <w:rsid w:val="00227469"/>
    <w:rsid w:val="002274E3"/>
    <w:rsid w:val="0022784F"/>
    <w:rsid w:val="00227853"/>
    <w:rsid w:val="00227934"/>
    <w:rsid w:val="002279C9"/>
    <w:rsid w:val="00227A5D"/>
    <w:rsid w:val="00227A63"/>
    <w:rsid w:val="00227ADD"/>
    <w:rsid w:val="00227B4F"/>
    <w:rsid w:val="00227C16"/>
    <w:rsid w:val="00227C17"/>
    <w:rsid w:val="00227DF6"/>
    <w:rsid w:val="00227EC7"/>
    <w:rsid w:val="00227F4D"/>
    <w:rsid w:val="00227F6E"/>
    <w:rsid w:val="00230149"/>
    <w:rsid w:val="00230176"/>
    <w:rsid w:val="00230254"/>
    <w:rsid w:val="00230303"/>
    <w:rsid w:val="0023031A"/>
    <w:rsid w:val="0023045F"/>
    <w:rsid w:val="002304BB"/>
    <w:rsid w:val="0023051C"/>
    <w:rsid w:val="00230682"/>
    <w:rsid w:val="00230711"/>
    <w:rsid w:val="0023071E"/>
    <w:rsid w:val="00230754"/>
    <w:rsid w:val="002307C3"/>
    <w:rsid w:val="0023087E"/>
    <w:rsid w:val="002308B0"/>
    <w:rsid w:val="00230A6D"/>
    <w:rsid w:val="00230B4C"/>
    <w:rsid w:val="00230B64"/>
    <w:rsid w:val="00230B7F"/>
    <w:rsid w:val="00230D09"/>
    <w:rsid w:val="00230E03"/>
    <w:rsid w:val="00230E31"/>
    <w:rsid w:val="00230E53"/>
    <w:rsid w:val="00230E9D"/>
    <w:rsid w:val="00230EEF"/>
    <w:rsid w:val="00231016"/>
    <w:rsid w:val="002310A2"/>
    <w:rsid w:val="00231115"/>
    <w:rsid w:val="0023112C"/>
    <w:rsid w:val="00231185"/>
    <w:rsid w:val="00231286"/>
    <w:rsid w:val="00231346"/>
    <w:rsid w:val="002313DC"/>
    <w:rsid w:val="0023140B"/>
    <w:rsid w:val="002314C3"/>
    <w:rsid w:val="002314CC"/>
    <w:rsid w:val="00231502"/>
    <w:rsid w:val="002315A8"/>
    <w:rsid w:val="002316E4"/>
    <w:rsid w:val="00231749"/>
    <w:rsid w:val="002317B9"/>
    <w:rsid w:val="00231827"/>
    <w:rsid w:val="002318FB"/>
    <w:rsid w:val="002319A5"/>
    <w:rsid w:val="002319F6"/>
    <w:rsid w:val="002319F7"/>
    <w:rsid w:val="002319F8"/>
    <w:rsid w:val="00231A22"/>
    <w:rsid w:val="00231AA3"/>
    <w:rsid w:val="00231AE7"/>
    <w:rsid w:val="00231BDA"/>
    <w:rsid w:val="00231C08"/>
    <w:rsid w:val="00231C72"/>
    <w:rsid w:val="00231CD0"/>
    <w:rsid w:val="00231FDD"/>
    <w:rsid w:val="0023201A"/>
    <w:rsid w:val="00232050"/>
    <w:rsid w:val="0023220C"/>
    <w:rsid w:val="00232261"/>
    <w:rsid w:val="002322D1"/>
    <w:rsid w:val="0023233B"/>
    <w:rsid w:val="00232424"/>
    <w:rsid w:val="0023247A"/>
    <w:rsid w:val="00232565"/>
    <w:rsid w:val="0023266C"/>
    <w:rsid w:val="00232823"/>
    <w:rsid w:val="002329AF"/>
    <w:rsid w:val="002329E6"/>
    <w:rsid w:val="002329E8"/>
    <w:rsid w:val="00232AF1"/>
    <w:rsid w:val="00232B15"/>
    <w:rsid w:val="00232B5F"/>
    <w:rsid w:val="00232B97"/>
    <w:rsid w:val="00232C1F"/>
    <w:rsid w:val="00232CD5"/>
    <w:rsid w:val="00232CE4"/>
    <w:rsid w:val="00232EB0"/>
    <w:rsid w:val="00232F70"/>
    <w:rsid w:val="00232F9D"/>
    <w:rsid w:val="00232FAA"/>
    <w:rsid w:val="00232FB9"/>
    <w:rsid w:val="00233023"/>
    <w:rsid w:val="002330A3"/>
    <w:rsid w:val="002330CA"/>
    <w:rsid w:val="002330F5"/>
    <w:rsid w:val="0023313D"/>
    <w:rsid w:val="0023316B"/>
    <w:rsid w:val="002331CB"/>
    <w:rsid w:val="00233264"/>
    <w:rsid w:val="00233368"/>
    <w:rsid w:val="002333CE"/>
    <w:rsid w:val="0023344F"/>
    <w:rsid w:val="002335CF"/>
    <w:rsid w:val="002335FE"/>
    <w:rsid w:val="00233601"/>
    <w:rsid w:val="0023360A"/>
    <w:rsid w:val="0023374A"/>
    <w:rsid w:val="002337FD"/>
    <w:rsid w:val="00233874"/>
    <w:rsid w:val="00233884"/>
    <w:rsid w:val="00233A24"/>
    <w:rsid w:val="00233A6F"/>
    <w:rsid w:val="00233AB8"/>
    <w:rsid w:val="00233B07"/>
    <w:rsid w:val="00233CA4"/>
    <w:rsid w:val="00233CC4"/>
    <w:rsid w:val="00233D0C"/>
    <w:rsid w:val="00233D18"/>
    <w:rsid w:val="00233DA0"/>
    <w:rsid w:val="00233EC0"/>
    <w:rsid w:val="00233FBC"/>
    <w:rsid w:val="00234005"/>
    <w:rsid w:val="00234020"/>
    <w:rsid w:val="0023402F"/>
    <w:rsid w:val="0023404C"/>
    <w:rsid w:val="00234061"/>
    <w:rsid w:val="002340EC"/>
    <w:rsid w:val="00234201"/>
    <w:rsid w:val="002342C8"/>
    <w:rsid w:val="00234332"/>
    <w:rsid w:val="0023439D"/>
    <w:rsid w:val="00234508"/>
    <w:rsid w:val="002345E4"/>
    <w:rsid w:val="00234653"/>
    <w:rsid w:val="00234703"/>
    <w:rsid w:val="002347DE"/>
    <w:rsid w:val="002347F6"/>
    <w:rsid w:val="0023488E"/>
    <w:rsid w:val="00234906"/>
    <w:rsid w:val="0023492F"/>
    <w:rsid w:val="002349B1"/>
    <w:rsid w:val="002349EB"/>
    <w:rsid w:val="00234A48"/>
    <w:rsid w:val="00234A72"/>
    <w:rsid w:val="00234BAF"/>
    <w:rsid w:val="00234C39"/>
    <w:rsid w:val="00234C63"/>
    <w:rsid w:val="00234D75"/>
    <w:rsid w:val="00234D99"/>
    <w:rsid w:val="00234E15"/>
    <w:rsid w:val="00234EE8"/>
    <w:rsid w:val="00234EFB"/>
    <w:rsid w:val="00234F0B"/>
    <w:rsid w:val="00234F63"/>
    <w:rsid w:val="002350E4"/>
    <w:rsid w:val="00235107"/>
    <w:rsid w:val="002351E3"/>
    <w:rsid w:val="00235201"/>
    <w:rsid w:val="0023525D"/>
    <w:rsid w:val="002352A4"/>
    <w:rsid w:val="00235329"/>
    <w:rsid w:val="002354C5"/>
    <w:rsid w:val="0023553D"/>
    <w:rsid w:val="00235650"/>
    <w:rsid w:val="002356CD"/>
    <w:rsid w:val="00235733"/>
    <w:rsid w:val="00235743"/>
    <w:rsid w:val="0023578C"/>
    <w:rsid w:val="002357ED"/>
    <w:rsid w:val="00235825"/>
    <w:rsid w:val="0023582E"/>
    <w:rsid w:val="0023586F"/>
    <w:rsid w:val="00235889"/>
    <w:rsid w:val="0023588A"/>
    <w:rsid w:val="00235894"/>
    <w:rsid w:val="002358F5"/>
    <w:rsid w:val="00235AA3"/>
    <w:rsid w:val="00235B84"/>
    <w:rsid w:val="00235B8D"/>
    <w:rsid w:val="00235BEB"/>
    <w:rsid w:val="00235C30"/>
    <w:rsid w:val="00235CF8"/>
    <w:rsid w:val="00235CFA"/>
    <w:rsid w:val="00235E12"/>
    <w:rsid w:val="00235E14"/>
    <w:rsid w:val="00235ED8"/>
    <w:rsid w:val="00235F1D"/>
    <w:rsid w:val="00235FE2"/>
    <w:rsid w:val="00236024"/>
    <w:rsid w:val="0023603B"/>
    <w:rsid w:val="00236075"/>
    <w:rsid w:val="002360A6"/>
    <w:rsid w:val="002360D5"/>
    <w:rsid w:val="002361CE"/>
    <w:rsid w:val="002361F6"/>
    <w:rsid w:val="00236223"/>
    <w:rsid w:val="0023643A"/>
    <w:rsid w:val="0023646B"/>
    <w:rsid w:val="0023647B"/>
    <w:rsid w:val="002364AB"/>
    <w:rsid w:val="002364DD"/>
    <w:rsid w:val="00236633"/>
    <w:rsid w:val="00236696"/>
    <w:rsid w:val="0023669D"/>
    <w:rsid w:val="002366CB"/>
    <w:rsid w:val="00236733"/>
    <w:rsid w:val="002367AE"/>
    <w:rsid w:val="00236968"/>
    <w:rsid w:val="002369BA"/>
    <w:rsid w:val="00236A37"/>
    <w:rsid w:val="00236B2B"/>
    <w:rsid w:val="00236C43"/>
    <w:rsid w:val="00236D40"/>
    <w:rsid w:val="00236DDF"/>
    <w:rsid w:val="00236DED"/>
    <w:rsid w:val="00236FC8"/>
    <w:rsid w:val="00237028"/>
    <w:rsid w:val="002370B0"/>
    <w:rsid w:val="002371FE"/>
    <w:rsid w:val="00237222"/>
    <w:rsid w:val="0023727F"/>
    <w:rsid w:val="0023728D"/>
    <w:rsid w:val="00237418"/>
    <w:rsid w:val="002374B0"/>
    <w:rsid w:val="00237585"/>
    <w:rsid w:val="002375C3"/>
    <w:rsid w:val="002378BE"/>
    <w:rsid w:val="002378FD"/>
    <w:rsid w:val="0023793E"/>
    <w:rsid w:val="002379BE"/>
    <w:rsid w:val="00237A19"/>
    <w:rsid w:val="00237A4F"/>
    <w:rsid w:val="00237A8B"/>
    <w:rsid w:val="00237C9C"/>
    <w:rsid w:val="00237D0E"/>
    <w:rsid w:val="00237D96"/>
    <w:rsid w:val="00237DB8"/>
    <w:rsid w:val="00237E94"/>
    <w:rsid w:val="00237EA5"/>
    <w:rsid w:val="00237F26"/>
    <w:rsid w:val="0024002F"/>
    <w:rsid w:val="00240138"/>
    <w:rsid w:val="00240168"/>
    <w:rsid w:val="0024016B"/>
    <w:rsid w:val="0024017C"/>
    <w:rsid w:val="0024020F"/>
    <w:rsid w:val="0024022D"/>
    <w:rsid w:val="0024032C"/>
    <w:rsid w:val="00240349"/>
    <w:rsid w:val="00240399"/>
    <w:rsid w:val="002403B6"/>
    <w:rsid w:val="002403DF"/>
    <w:rsid w:val="0024042B"/>
    <w:rsid w:val="002405A9"/>
    <w:rsid w:val="00240604"/>
    <w:rsid w:val="00240655"/>
    <w:rsid w:val="00240671"/>
    <w:rsid w:val="002407AF"/>
    <w:rsid w:val="0024088B"/>
    <w:rsid w:val="002408CF"/>
    <w:rsid w:val="0024093F"/>
    <w:rsid w:val="002409CE"/>
    <w:rsid w:val="002409E6"/>
    <w:rsid w:val="00240A2D"/>
    <w:rsid w:val="00240A48"/>
    <w:rsid w:val="00240AD9"/>
    <w:rsid w:val="00240ADC"/>
    <w:rsid w:val="00240BB0"/>
    <w:rsid w:val="00240C7C"/>
    <w:rsid w:val="00240CB2"/>
    <w:rsid w:val="00240CB9"/>
    <w:rsid w:val="00240CBD"/>
    <w:rsid w:val="00240CC0"/>
    <w:rsid w:val="00240CF0"/>
    <w:rsid w:val="00240CFC"/>
    <w:rsid w:val="00240DDE"/>
    <w:rsid w:val="00240E0A"/>
    <w:rsid w:val="00240E4B"/>
    <w:rsid w:val="00240F88"/>
    <w:rsid w:val="0024101B"/>
    <w:rsid w:val="00241023"/>
    <w:rsid w:val="00241224"/>
    <w:rsid w:val="002412D3"/>
    <w:rsid w:val="002412DD"/>
    <w:rsid w:val="00241300"/>
    <w:rsid w:val="0024134F"/>
    <w:rsid w:val="002413E4"/>
    <w:rsid w:val="00241403"/>
    <w:rsid w:val="0024146A"/>
    <w:rsid w:val="0024146F"/>
    <w:rsid w:val="002414C4"/>
    <w:rsid w:val="0024156D"/>
    <w:rsid w:val="002415E7"/>
    <w:rsid w:val="00241660"/>
    <w:rsid w:val="00241687"/>
    <w:rsid w:val="002416AA"/>
    <w:rsid w:val="002416BE"/>
    <w:rsid w:val="0024180E"/>
    <w:rsid w:val="00241843"/>
    <w:rsid w:val="00241873"/>
    <w:rsid w:val="002418C5"/>
    <w:rsid w:val="002418ED"/>
    <w:rsid w:val="002419E0"/>
    <w:rsid w:val="00241AA0"/>
    <w:rsid w:val="00241C4B"/>
    <w:rsid w:val="00241CAD"/>
    <w:rsid w:val="00241CB8"/>
    <w:rsid w:val="00241CDA"/>
    <w:rsid w:val="00241CFF"/>
    <w:rsid w:val="00241D67"/>
    <w:rsid w:val="00241DD8"/>
    <w:rsid w:val="00241DEA"/>
    <w:rsid w:val="00241F4B"/>
    <w:rsid w:val="00242030"/>
    <w:rsid w:val="00242199"/>
    <w:rsid w:val="002421BA"/>
    <w:rsid w:val="0024228D"/>
    <w:rsid w:val="00242374"/>
    <w:rsid w:val="002423E0"/>
    <w:rsid w:val="00242545"/>
    <w:rsid w:val="002425D0"/>
    <w:rsid w:val="0024271E"/>
    <w:rsid w:val="00242773"/>
    <w:rsid w:val="002427CB"/>
    <w:rsid w:val="002428FF"/>
    <w:rsid w:val="002429A7"/>
    <w:rsid w:val="002429CA"/>
    <w:rsid w:val="002429D0"/>
    <w:rsid w:val="00242A20"/>
    <w:rsid w:val="00242B1E"/>
    <w:rsid w:val="00242BA0"/>
    <w:rsid w:val="00242BB2"/>
    <w:rsid w:val="00242C60"/>
    <w:rsid w:val="00242C98"/>
    <w:rsid w:val="00242DC5"/>
    <w:rsid w:val="00242E0A"/>
    <w:rsid w:val="00242FF0"/>
    <w:rsid w:val="00243042"/>
    <w:rsid w:val="0024314F"/>
    <w:rsid w:val="00243196"/>
    <w:rsid w:val="002431DC"/>
    <w:rsid w:val="002431FB"/>
    <w:rsid w:val="002432F1"/>
    <w:rsid w:val="00243340"/>
    <w:rsid w:val="0024339F"/>
    <w:rsid w:val="00243417"/>
    <w:rsid w:val="002434DC"/>
    <w:rsid w:val="00243501"/>
    <w:rsid w:val="0024359E"/>
    <w:rsid w:val="00243624"/>
    <w:rsid w:val="002438F4"/>
    <w:rsid w:val="00243CE6"/>
    <w:rsid w:val="00243D13"/>
    <w:rsid w:val="00243D6C"/>
    <w:rsid w:val="00243DBD"/>
    <w:rsid w:val="00243E01"/>
    <w:rsid w:val="00243E40"/>
    <w:rsid w:val="00243E49"/>
    <w:rsid w:val="00243EB3"/>
    <w:rsid w:val="00243F61"/>
    <w:rsid w:val="00243F86"/>
    <w:rsid w:val="00243FF2"/>
    <w:rsid w:val="00244047"/>
    <w:rsid w:val="002440D2"/>
    <w:rsid w:val="00244154"/>
    <w:rsid w:val="00244304"/>
    <w:rsid w:val="00244333"/>
    <w:rsid w:val="00244356"/>
    <w:rsid w:val="002443B2"/>
    <w:rsid w:val="002444A5"/>
    <w:rsid w:val="002444D1"/>
    <w:rsid w:val="002444FD"/>
    <w:rsid w:val="00244576"/>
    <w:rsid w:val="00244632"/>
    <w:rsid w:val="00244644"/>
    <w:rsid w:val="00244735"/>
    <w:rsid w:val="002447BA"/>
    <w:rsid w:val="00244844"/>
    <w:rsid w:val="00244A27"/>
    <w:rsid w:val="00244A5E"/>
    <w:rsid w:val="00244BB8"/>
    <w:rsid w:val="00244BC7"/>
    <w:rsid w:val="00244BCE"/>
    <w:rsid w:val="00244D73"/>
    <w:rsid w:val="00244DC6"/>
    <w:rsid w:val="00244E39"/>
    <w:rsid w:val="00244EA6"/>
    <w:rsid w:val="002450CD"/>
    <w:rsid w:val="0024512D"/>
    <w:rsid w:val="00245152"/>
    <w:rsid w:val="002451F2"/>
    <w:rsid w:val="0024520A"/>
    <w:rsid w:val="00245253"/>
    <w:rsid w:val="002452BD"/>
    <w:rsid w:val="002453FD"/>
    <w:rsid w:val="0024540A"/>
    <w:rsid w:val="002454AB"/>
    <w:rsid w:val="002454B4"/>
    <w:rsid w:val="002455D1"/>
    <w:rsid w:val="00245791"/>
    <w:rsid w:val="002457E9"/>
    <w:rsid w:val="002459E7"/>
    <w:rsid w:val="00245A5B"/>
    <w:rsid w:val="00245B25"/>
    <w:rsid w:val="00245B3B"/>
    <w:rsid w:val="00245BF5"/>
    <w:rsid w:val="00245C0B"/>
    <w:rsid w:val="00245D42"/>
    <w:rsid w:val="00245DBF"/>
    <w:rsid w:val="00245DCC"/>
    <w:rsid w:val="00245E30"/>
    <w:rsid w:val="00245E70"/>
    <w:rsid w:val="00245EC9"/>
    <w:rsid w:val="00245F00"/>
    <w:rsid w:val="00245F2C"/>
    <w:rsid w:val="0024600A"/>
    <w:rsid w:val="0024604E"/>
    <w:rsid w:val="002460C3"/>
    <w:rsid w:val="00246138"/>
    <w:rsid w:val="0024617E"/>
    <w:rsid w:val="00246193"/>
    <w:rsid w:val="002461A4"/>
    <w:rsid w:val="00246391"/>
    <w:rsid w:val="00246469"/>
    <w:rsid w:val="002465D4"/>
    <w:rsid w:val="002466FA"/>
    <w:rsid w:val="00246840"/>
    <w:rsid w:val="00246862"/>
    <w:rsid w:val="00246918"/>
    <w:rsid w:val="00246B46"/>
    <w:rsid w:val="00246C20"/>
    <w:rsid w:val="00246EA3"/>
    <w:rsid w:val="00246EFD"/>
    <w:rsid w:val="00246F93"/>
    <w:rsid w:val="00246FAD"/>
    <w:rsid w:val="0024711E"/>
    <w:rsid w:val="002471B6"/>
    <w:rsid w:val="002471D7"/>
    <w:rsid w:val="002473B3"/>
    <w:rsid w:val="002473C9"/>
    <w:rsid w:val="002473CB"/>
    <w:rsid w:val="002475E2"/>
    <w:rsid w:val="002476AF"/>
    <w:rsid w:val="00247832"/>
    <w:rsid w:val="0024785A"/>
    <w:rsid w:val="00247875"/>
    <w:rsid w:val="002478B2"/>
    <w:rsid w:val="002478E1"/>
    <w:rsid w:val="00247A46"/>
    <w:rsid w:val="00247C50"/>
    <w:rsid w:val="00247CDE"/>
    <w:rsid w:val="00247D7D"/>
    <w:rsid w:val="00247DF9"/>
    <w:rsid w:val="00247E39"/>
    <w:rsid w:val="00247F78"/>
    <w:rsid w:val="00250170"/>
    <w:rsid w:val="00250176"/>
    <w:rsid w:val="00250226"/>
    <w:rsid w:val="002502F9"/>
    <w:rsid w:val="00250337"/>
    <w:rsid w:val="002503E8"/>
    <w:rsid w:val="0025050C"/>
    <w:rsid w:val="0025052A"/>
    <w:rsid w:val="00250784"/>
    <w:rsid w:val="002508A1"/>
    <w:rsid w:val="00250911"/>
    <w:rsid w:val="0025093B"/>
    <w:rsid w:val="00250AFF"/>
    <w:rsid w:val="00250B6C"/>
    <w:rsid w:val="00250BD7"/>
    <w:rsid w:val="00250C55"/>
    <w:rsid w:val="00250CA9"/>
    <w:rsid w:val="00250CDA"/>
    <w:rsid w:val="00250DC7"/>
    <w:rsid w:val="00250EEA"/>
    <w:rsid w:val="00250F26"/>
    <w:rsid w:val="00250F42"/>
    <w:rsid w:val="0025120C"/>
    <w:rsid w:val="0025124E"/>
    <w:rsid w:val="00251341"/>
    <w:rsid w:val="002514E7"/>
    <w:rsid w:val="002514EA"/>
    <w:rsid w:val="00251704"/>
    <w:rsid w:val="00251810"/>
    <w:rsid w:val="0025181D"/>
    <w:rsid w:val="00251851"/>
    <w:rsid w:val="00251862"/>
    <w:rsid w:val="00251917"/>
    <w:rsid w:val="00251931"/>
    <w:rsid w:val="00251A15"/>
    <w:rsid w:val="00251A58"/>
    <w:rsid w:val="00251A5A"/>
    <w:rsid w:val="00251A8D"/>
    <w:rsid w:val="00251A9A"/>
    <w:rsid w:val="00251C18"/>
    <w:rsid w:val="00251C1E"/>
    <w:rsid w:val="00251C5B"/>
    <w:rsid w:val="00251D37"/>
    <w:rsid w:val="00251D89"/>
    <w:rsid w:val="00251DBB"/>
    <w:rsid w:val="00251FF2"/>
    <w:rsid w:val="00252079"/>
    <w:rsid w:val="00252232"/>
    <w:rsid w:val="0025223E"/>
    <w:rsid w:val="00252267"/>
    <w:rsid w:val="00252521"/>
    <w:rsid w:val="00252551"/>
    <w:rsid w:val="00252555"/>
    <w:rsid w:val="002526EF"/>
    <w:rsid w:val="00252773"/>
    <w:rsid w:val="0025280B"/>
    <w:rsid w:val="00252822"/>
    <w:rsid w:val="0025295D"/>
    <w:rsid w:val="00252A52"/>
    <w:rsid w:val="00252B15"/>
    <w:rsid w:val="00252ED5"/>
    <w:rsid w:val="00253034"/>
    <w:rsid w:val="002530BB"/>
    <w:rsid w:val="00253217"/>
    <w:rsid w:val="00253268"/>
    <w:rsid w:val="002534E0"/>
    <w:rsid w:val="002534E9"/>
    <w:rsid w:val="00253589"/>
    <w:rsid w:val="002535AC"/>
    <w:rsid w:val="00253635"/>
    <w:rsid w:val="002536D4"/>
    <w:rsid w:val="002536EC"/>
    <w:rsid w:val="00253768"/>
    <w:rsid w:val="002537ED"/>
    <w:rsid w:val="00253853"/>
    <w:rsid w:val="00253959"/>
    <w:rsid w:val="00253A2A"/>
    <w:rsid w:val="00253B17"/>
    <w:rsid w:val="00253B28"/>
    <w:rsid w:val="00253BB2"/>
    <w:rsid w:val="00253EEC"/>
    <w:rsid w:val="00254048"/>
    <w:rsid w:val="002540B9"/>
    <w:rsid w:val="002540E5"/>
    <w:rsid w:val="002541A9"/>
    <w:rsid w:val="002541C4"/>
    <w:rsid w:val="0025430B"/>
    <w:rsid w:val="00254530"/>
    <w:rsid w:val="00254638"/>
    <w:rsid w:val="00254668"/>
    <w:rsid w:val="0025468B"/>
    <w:rsid w:val="002546D3"/>
    <w:rsid w:val="0025473F"/>
    <w:rsid w:val="00254785"/>
    <w:rsid w:val="00254830"/>
    <w:rsid w:val="0025495C"/>
    <w:rsid w:val="0025496B"/>
    <w:rsid w:val="00254A69"/>
    <w:rsid w:val="00254AB8"/>
    <w:rsid w:val="00254AC5"/>
    <w:rsid w:val="00254B0B"/>
    <w:rsid w:val="00254BDB"/>
    <w:rsid w:val="00254C41"/>
    <w:rsid w:val="00254C59"/>
    <w:rsid w:val="00254C97"/>
    <w:rsid w:val="00254CDE"/>
    <w:rsid w:val="00254E44"/>
    <w:rsid w:val="00254EB2"/>
    <w:rsid w:val="00254F35"/>
    <w:rsid w:val="00255004"/>
    <w:rsid w:val="00255005"/>
    <w:rsid w:val="00255008"/>
    <w:rsid w:val="002550DD"/>
    <w:rsid w:val="00255115"/>
    <w:rsid w:val="00255188"/>
    <w:rsid w:val="002551D4"/>
    <w:rsid w:val="00255238"/>
    <w:rsid w:val="002552A4"/>
    <w:rsid w:val="002552FA"/>
    <w:rsid w:val="0025544E"/>
    <w:rsid w:val="002554E3"/>
    <w:rsid w:val="00255665"/>
    <w:rsid w:val="0025566B"/>
    <w:rsid w:val="002556AB"/>
    <w:rsid w:val="00255730"/>
    <w:rsid w:val="0025577E"/>
    <w:rsid w:val="0025582A"/>
    <w:rsid w:val="0025588A"/>
    <w:rsid w:val="002558C2"/>
    <w:rsid w:val="00255A72"/>
    <w:rsid w:val="00255B04"/>
    <w:rsid w:val="00255C3A"/>
    <w:rsid w:val="00255C6E"/>
    <w:rsid w:val="00255C96"/>
    <w:rsid w:val="00255CA5"/>
    <w:rsid w:val="00255D1D"/>
    <w:rsid w:val="00255D7B"/>
    <w:rsid w:val="00255D9F"/>
    <w:rsid w:val="00255DCC"/>
    <w:rsid w:val="00255DEE"/>
    <w:rsid w:val="00255E08"/>
    <w:rsid w:val="00255EF8"/>
    <w:rsid w:val="00256014"/>
    <w:rsid w:val="0025601E"/>
    <w:rsid w:val="0025602C"/>
    <w:rsid w:val="00256090"/>
    <w:rsid w:val="00256115"/>
    <w:rsid w:val="0025613D"/>
    <w:rsid w:val="0025617E"/>
    <w:rsid w:val="00256370"/>
    <w:rsid w:val="0025638B"/>
    <w:rsid w:val="0025643B"/>
    <w:rsid w:val="0025646D"/>
    <w:rsid w:val="002565AA"/>
    <w:rsid w:val="00256610"/>
    <w:rsid w:val="0025667E"/>
    <w:rsid w:val="002566A4"/>
    <w:rsid w:val="00256719"/>
    <w:rsid w:val="00256735"/>
    <w:rsid w:val="00256743"/>
    <w:rsid w:val="0025674A"/>
    <w:rsid w:val="00256751"/>
    <w:rsid w:val="00256776"/>
    <w:rsid w:val="002567B1"/>
    <w:rsid w:val="002567BE"/>
    <w:rsid w:val="00256868"/>
    <w:rsid w:val="00256931"/>
    <w:rsid w:val="00256A2C"/>
    <w:rsid w:val="00256AE1"/>
    <w:rsid w:val="00256BE5"/>
    <w:rsid w:val="00256C3A"/>
    <w:rsid w:val="00256CE6"/>
    <w:rsid w:val="00256D1E"/>
    <w:rsid w:val="00256F46"/>
    <w:rsid w:val="00256F9D"/>
    <w:rsid w:val="0025702B"/>
    <w:rsid w:val="002570EC"/>
    <w:rsid w:val="002571AC"/>
    <w:rsid w:val="0025730A"/>
    <w:rsid w:val="00257336"/>
    <w:rsid w:val="0025739C"/>
    <w:rsid w:val="002573BA"/>
    <w:rsid w:val="00257408"/>
    <w:rsid w:val="002574FD"/>
    <w:rsid w:val="0025757B"/>
    <w:rsid w:val="0025757D"/>
    <w:rsid w:val="0025758B"/>
    <w:rsid w:val="002575CD"/>
    <w:rsid w:val="0025760B"/>
    <w:rsid w:val="00257612"/>
    <w:rsid w:val="002576FE"/>
    <w:rsid w:val="00257747"/>
    <w:rsid w:val="00257759"/>
    <w:rsid w:val="00257797"/>
    <w:rsid w:val="0025787E"/>
    <w:rsid w:val="00257889"/>
    <w:rsid w:val="00257A3D"/>
    <w:rsid w:val="00257AA0"/>
    <w:rsid w:val="00257AFC"/>
    <w:rsid w:val="00257B2F"/>
    <w:rsid w:val="00257B45"/>
    <w:rsid w:val="00257BC7"/>
    <w:rsid w:val="00257C36"/>
    <w:rsid w:val="00257CB7"/>
    <w:rsid w:val="00257E17"/>
    <w:rsid w:val="002600A3"/>
    <w:rsid w:val="002600A9"/>
    <w:rsid w:val="00260171"/>
    <w:rsid w:val="0026029E"/>
    <w:rsid w:val="0026036C"/>
    <w:rsid w:val="00260480"/>
    <w:rsid w:val="00260674"/>
    <w:rsid w:val="002606C2"/>
    <w:rsid w:val="002606F8"/>
    <w:rsid w:val="00260772"/>
    <w:rsid w:val="00260786"/>
    <w:rsid w:val="00260795"/>
    <w:rsid w:val="0026080D"/>
    <w:rsid w:val="0026089F"/>
    <w:rsid w:val="002609FC"/>
    <w:rsid w:val="00260B62"/>
    <w:rsid w:val="00260B6A"/>
    <w:rsid w:val="00260BDB"/>
    <w:rsid w:val="00260DCD"/>
    <w:rsid w:val="00260F1F"/>
    <w:rsid w:val="00261230"/>
    <w:rsid w:val="0026135E"/>
    <w:rsid w:val="00261404"/>
    <w:rsid w:val="00261420"/>
    <w:rsid w:val="0026160A"/>
    <w:rsid w:val="0026179F"/>
    <w:rsid w:val="002618D3"/>
    <w:rsid w:val="0026190A"/>
    <w:rsid w:val="0026190C"/>
    <w:rsid w:val="00261968"/>
    <w:rsid w:val="00261990"/>
    <w:rsid w:val="002619CD"/>
    <w:rsid w:val="002619D2"/>
    <w:rsid w:val="00261A69"/>
    <w:rsid w:val="00261A84"/>
    <w:rsid w:val="00261A9F"/>
    <w:rsid w:val="00261ADC"/>
    <w:rsid w:val="00261B0F"/>
    <w:rsid w:val="00261C0D"/>
    <w:rsid w:val="00261C33"/>
    <w:rsid w:val="00261C50"/>
    <w:rsid w:val="00261C8A"/>
    <w:rsid w:val="00261D02"/>
    <w:rsid w:val="00261D6F"/>
    <w:rsid w:val="00261D8D"/>
    <w:rsid w:val="00261E1F"/>
    <w:rsid w:val="00261EB4"/>
    <w:rsid w:val="00261EDA"/>
    <w:rsid w:val="00261FCE"/>
    <w:rsid w:val="00261FD6"/>
    <w:rsid w:val="00262008"/>
    <w:rsid w:val="0026219F"/>
    <w:rsid w:val="002621E6"/>
    <w:rsid w:val="00262265"/>
    <w:rsid w:val="002622F1"/>
    <w:rsid w:val="00262367"/>
    <w:rsid w:val="0026236F"/>
    <w:rsid w:val="00262381"/>
    <w:rsid w:val="00262449"/>
    <w:rsid w:val="0026256A"/>
    <w:rsid w:val="0026259F"/>
    <w:rsid w:val="0026264D"/>
    <w:rsid w:val="0026266D"/>
    <w:rsid w:val="002626F2"/>
    <w:rsid w:val="00262781"/>
    <w:rsid w:val="002627A1"/>
    <w:rsid w:val="00262895"/>
    <w:rsid w:val="00262966"/>
    <w:rsid w:val="00262982"/>
    <w:rsid w:val="00262A8E"/>
    <w:rsid w:val="00262B40"/>
    <w:rsid w:val="00262CFA"/>
    <w:rsid w:val="00262DB2"/>
    <w:rsid w:val="00262DFB"/>
    <w:rsid w:val="00262E09"/>
    <w:rsid w:val="00262ED3"/>
    <w:rsid w:val="00262F25"/>
    <w:rsid w:val="00262F4A"/>
    <w:rsid w:val="0026307E"/>
    <w:rsid w:val="002630A0"/>
    <w:rsid w:val="0026322E"/>
    <w:rsid w:val="0026345D"/>
    <w:rsid w:val="00263484"/>
    <w:rsid w:val="00263494"/>
    <w:rsid w:val="0026355E"/>
    <w:rsid w:val="00263571"/>
    <w:rsid w:val="00263708"/>
    <w:rsid w:val="00263726"/>
    <w:rsid w:val="00263834"/>
    <w:rsid w:val="0026394E"/>
    <w:rsid w:val="00263966"/>
    <w:rsid w:val="00263A5F"/>
    <w:rsid w:val="00263B5B"/>
    <w:rsid w:val="00263B77"/>
    <w:rsid w:val="00263BD3"/>
    <w:rsid w:val="00263BD7"/>
    <w:rsid w:val="00263C49"/>
    <w:rsid w:val="00263CC8"/>
    <w:rsid w:val="00263CE8"/>
    <w:rsid w:val="00263D4E"/>
    <w:rsid w:val="00263E94"/>
    <w:rsid w:val="00263F49"/>
    <w:rsid w:val="0026406E"/>
    <w:rsid w:val="002640D2"/>
    <w:rsid w:val="00264306"/>
    <w:rsid w:val="002643B7"/>
    <w:rsid w:val="00264597"/>
    <w:rsid w:val="002645E9"/>
    <w:rsid w:val="0026464A"/>
    <w:rsid w:val="00264666"/>
    <w:rsid w:val="0026477F"/>
    <w:rsid w:val="0026481F"/>
    <w:rsid w:val="00264893"/>
    <w:rsid w:val="002648BF"/>
    <w:rsid w:val="00264B05"/>
    <w:rsid w:val="00264BEE"/>
    <w:rsid w:val="00264C0B"/>
    <w:rsid w:val="00264C17"/>
    <w:rsid w:val="00264C2D"/>
    <w:rsid w:val="00264C5C"/>
    <w:rsid w:val="00264C68"/>
    <w:rsid w:val="00264CA7"/>
    <w:rsid w:val="00264D31"/>
    <w:rsid w:val="00264D43"/>
    <w:rsid w:val="00264E1E"/>
    <w:rsid w:val="00264E7B"/>
    <w:rsid w:val="00264E9B"/>
    <w:rsid w:val="00264EAF"/>
    <w:rsid w:val="00264F3F"/>
    <w:rsid w:val="00264F42"/>
    <w:rsid w:val="00264FC9"/>
    <w:rsid w:val="00265035"/>
    <w:rsid w:val="00265049"/>
    <w:rsid w:val="0026505F"/>
    <w:rsid w:val="0026521C"/>
    <w:rsid w:val="002652A3"/>
    <w:rsid w:val="002652D5"/>
    <w:rsid w:val="00265304"/>
    <w:rsid w:val="00265374"/>
    <w:rsid w:val="0026544F"/>
    <w:rsid w:val="002654CA"/>
    <w:rsid w:val="00265582"/>
    <w:rsid w:val="00265734"/>
    <w:rsid w:val="002657DB"/>
    <w:rsid w:val="00265823"/>
    <w:rsid w:val="002659AA"/>
    <w:rsid w:val="00265A1C"/>
    <w:rsid w:val="00265A78"/>
    <w:rsid w:val="00265AFE"/>
    <w:rsid w:val="00265BCF"/>
    <w:rsid w:val="00265BD0"/>
    <w:rsid w:val="00265F01"/>
    <w:rsid w:val="00265F78"/>
    <w:rsid w:val="0026620F"/>
    <w:rsid w:val="00266224"/>
    <w:rsid w:val="00266230"/>
    <w:rsid w:val="00266264"/>
    <w:rsid w:val="00266319"/>
    <w:rsid w:val="00266434"/>
    <w:rsid w:val="00266470"/>
    <w:rsid w:val="002664F1"/>
    <w:rsid w:val="00266587"/>
    <w:rsid w:val="00266632"/>
    <w:rsid w:val="0026671D"/>
    <w:rsid w:val="0026672B"/>
    <w:rsid w:val="00266766"/>
    <w:rsid w:val="00266782"/>
    <w:rsid w:val="002667A3"/>
    <w:rsid w:val="0026681B"/>
    <w:rsid w:val="0026682E"/>
    <w:rsid w:val="00266916"/>
    <w:rsid w:val="0026692D"/>
    <w:rsid w:val="00266A7E"/>
    <w:rsid w:val="00266A8E"/>
    <w:rsid w:val="00266C5E"/>
    <w:rsid w:val="00266D15"/>
    <w:rsid w:val="00266EAE"/>
    <w:rsid w:val="00266FF2"/>
    <w:rsid w:val="0026703C"/>
    <w:rsid w:val="002670CC"/>
    <w:rsid w:val="002670DC"/>
    <w:rsid w:val="002670E3"/>
    <w:rsid w:val="002672CC"/>
    <w:rsid w:val="002673F7"/>
    <w:rsid w:val="002674D6"/>
    <w:rsid w:val="00267682"/>
    <w:rsid w:val="00267704"/>
    <w:rsid w:val="00267771"/>
    <w:rsid w:val="0026785F"/>
    <w:rsid w:val="002679C6"/>
    <w:rsid w:val="002679E4"/>
    <w:rsid w:val="00267A11"/>
    <w:rsid w:val="00267AEA"/>
    <w:rsid w:val="00267C85"/>
    <w:rsid w:val="00267D17"/>
    <w:rsid w:val="00267D78"/>
    <w:rsid w:val="00267E10"/>
    <w:rsid w:val="00267E96"/>
    <w:rsid w:val="00267FDB"/>
    <w:rsid w:val="0027009D"/>
    <w:rsid w:val="002700D9"/>
    <w:rsid w:val="00270230"/>
    <w:rsid w:val="002702D6"/>
    <w:rsid w:val="002702F4"/>
    <w:rsid w:val="00270398"/>
    <w:rsid w:val="002703BD"/>
    <w:rsid w:val="00270464"/>
    <w:rsid w:val="00270509"/>
    <w:rsid w:val="002705E7"/>
    <w:rsid w:val="00270678"/>
    <w:rsid w:val="00270680"/>
    <w:rsid w:val="0027070D"/>
    <w:rsid w:val="00270939"/>
    <w:rsid w:val="00270A4E"/>
    <w:rsid w:val="00270A6D"/>
    <w:rsid w:val="00270A79"/>
    <w:rsid w:val="00270B40"/>
    <w:rsid w:val="00270B59"/>
    <w:rsid w:val="00270C21"/>
    <w:rsid w:val="00270C50"/>
    <w:rsid w:val="00270C82"/>
    <w:rsid w:val="00270CD7"/>
    <w:rsid w:val="00270D31"/>
    <w:rsid w:val="00270EA9"/>
    <w:rsid w:val="00270F22"/>
    <w:rsid w:val="00270F2D"/>
    <w:rsid w:val="00271035"/>
    <w:rsid w:val="00271140"/>
    <w:rsid w:val="0027117D"/>
    <w:rsid w:val="00271204"/>
    <w:rsid w:val="00271210"/>
    <w:rsid w:val="00271218"/>
    <w:rsid w:val="0027124D"/>
    <w:rsid w:val="002713FE"/>
    <w:rsid w:val="00271472"/>
    <w:rsid w:val="0027148A"/>
    <w:rsid w:val="002714BD"/>
    <w:rsid w:val="002714E2"/>
    <w:rsid w:val="00271501"/>
    <w:rsid w:val="00271542"/>
    <w:rsid w:val="002715C8"/>
    <w:rsid w:val="002716DB"/>
    <w:rsid w:val="0027182A"/>
    <w:rsid w:val="002718DD"/>
    <w:rsid w:val="002719E5"/>
    <w:rsid w:val="00271A20"/>
    <w:rsid w:val="00271A39"/>
    <w:rsid w:val="00271A41"/>
    <w:rsid w:val="00271B5F"/>
    <w:rsid w:val="00271BBA"/>
    <w:rsid w:val="00271DB2"/>
    <w:rsid w:val="00271DC1"/>
    <w:rsid w:val="00271E1A"/>
    <w:rsid w:val="00271E9A"/>
    <w:rsid w:val="00271FAC"/>
    <w:rsid w:val="0027201B"/>
    <w:rsid w:val="0027216B"/>
    <w:rsid w:val="002721CF"/>
    <w:rsid w:val="002723C8"/>
    <w:rsid w:val="00272470"/>
    <w:rsid w:val="002724EE"/>
    <w:rsid w:val="00272515"/>
    <w:rsid w:val="00272561"/>
    <w:rsid w:val="00272640"/>
    <w:rsid w:val="00272914"/>
    <w:rsid w:val="00272A21"/>
    <w:rsid w:val="00272A35"/>
    <w:rsid w:val="00272A55"/>
    <w:rsid w:val="00272ABB"/>
    <w:rsid w:val="00272B3B"/>
    <w:rsid w:val="00272B74"/>
    <w:rsid w:val="00272CF3"/>
    <w:rsid w:val="00272D2B"/>
    <w:rsid w:val="00272D7E"/>
    <w:rsid w:val="00272E09"/>
    <w:rsid w:val="00272F08"/>
    <w:rsid w:val="00272FB9"/>
    <w:rsid w:val="00272FBF"/>
    <w:rsid w:val="00272FD0"/>
    <w:rsid w:val="0027316D"/>
    <w:rsid w:val="00273290"/>
    <w:rsid w:val="002732D9"/>
    <w:rsid w:val="002732FA"/>
    <w:rsid w:val="002733D7"/>
    <w:rsid w:val="0027344B"/>
    <w:rsid w:val="002734A9"/>
    <w:rsid w:val="002734D8"/>
    <w:rsid w:val="002734F2"/>
    <w:rsid w:val="002735BC"/>
    <w:rsid w:val="002737DE"/>
    <w:rsid w:val="002737F2"/>
    <w:rsid w:val="00273806"/>
    <w:rsid w:val="00273817"/>
    <w:rsid w:val="00273862"/>
    <w:rsid w:val="00273898"/>
    <w:rsid w:val="002738ED"/>
    <w:rsid w:val="0027390A"/>
    <w:rsid w:val="00273A66"/>
    <w:rsid w:val="00273C32"/>
    <w:rsid w:val="00273CB6"/>
    <w:rsid w:val="00273E02"/>
    <w:rsid w:val="0027403B"/>
    <w:rsid w:val="00274054"/>
    <w:rsid w:val="002740DE"/>
    <w:rsid w:val="0027411B"/>
    <w:rsid w:val="00274275"/>
    <w:rsid w:val="00274340"/>
    <w:rsid w:val="0027445B"/>
    <w:rsid w:val="002744C8"/>
    <w:rsid w:val="0027451C"/>
    <w:rsid w:val="0027454F"/>
    <w:rsid w:val="00274591"/>
    <w:rsid w:val="0027465B"/>
    <w:rsid w:val="0027465D"/>
    <w:rsid w:val="002747A6"/>
    <w:rsid w:val="002747AB"/>
    <w:rsid w:val="002747B8"/>
    <w:rsid w:val="002747E4"/>
    <w:rsid w:val="002747FA"/>
    <w:rsid w:val="00274985"/>
    <w:rsid w:val="00274A58"/>
    <w:rsid w:val="00274A9B"/>
    <w:rsid w:val="00274ADF"/>
    <w:rsid w:val="00274B67"/>
    <w:rsid w:val="00274B6F"/>
    <w:rsid w:val="00274C96"/>
    <w:rsid w:val="00274C9E"/>
    <w:rsid w:val="00274D1B"/>
    <w:rsid w:val="00274D4D"/>
    <w:rsid w:val="00274D87"/>
    <w:rsid w:val="00274DE8"/>
    <w:rsid w:val="00274E1A"/>
    <w:rsid w:val="00274E3B"/>
    <w:rsid w:val="00274E92"/>
    <w:rsid w:val="00274F18"/>
    <w:rsid w:val="00274F70"/>
    <w:rsid w:val="00274FB3"/>
    <w:rsid w:val="00274FD9"/>
    <w:rsid w:val="002750AC"/>
    <w:rsid w:val="00275339"/>
    <w:rsid w:val="00275390"/>
    <w:rsid w:val="0027547D"/>
    <w:rsid w:val="002755AA"/>
    <w:rsid w:val="00275629"/>
    <w:rsid w:val="002756EB"/>
    <w:rsid w:val="002757FC"/>
    <w:rsid w:val="002758FE"/>
    <w:rsid w:val="00275952"/>
    <w:rsid w:val="0027595E"/>
    <w:rsid w:val="00275991"/>
    <w:rsid w:val="00275A04"/>
    <w:rsid w:val="00275BFA"/>
    <w:rsid w:val="00275C41"/>
    <w:rsid w:val="00275DBB"/>
    <w:rsid w:val="00275E03"/>
    <w:rsid w:val="00275E1B"/>
    <w:rsid w:val="00275E80"/>
    <w:rsid w:val="00275E8D"/>
    <w:rsid w:val="00275F6C"/>
    <w:rsid w:val="00275F83"/>
    <w:rsid w:val="00275F84"/>
    <w:rsid w:val="00276048"/>
    <w:rsid w:val="002760AF"/>
    <w:rsid w:val="002760BE"/>
    <w:rsid w:val="00276135"/>
    <w:rsid w:val="002762A4"/>
    <w:rsid w:val="00276320"/>
    <w:rsid w:val="002763B4"/>
    <w:rsid w:val="002763E9"/>
    <w:rsid w:val="0027653F"/>
    <w:rsid w:val="0027659F"/>
    <w:rsid w:val="002765D5"/>
    <w:rsid w:val="002766EC"/>
    <w:rsid w:val="0027694C"/>
    <w:rsid w:val="00276966"/>
    <w:rsid w:val="00276A66"/>
    <w:rsid w:val="00276AB5"/>
    <w:rsid w:val="00276BAA"/>
    <w:rsid w:val="00276DF2"/>
    <w:rsid w:val="00276E0E"/>
    <w:rsid w:val="00276E5D"/>
    <w:rsid w:val="00276E7F"/>
    <w:rsid w:val="00276FBA"/>
    <w:rsid w:val="00277025"/>
    <w:rsid w:val="0027702E"/>
    <w:rsid w:val="00277033"/>
    <w:rsid w:val="00277188"/>
    <w:rsid w:val="00277231"/>
    <w:rsid w:val="002772EC"/>
    <w:rsid w:val="0027737C"/>
    <w:rsid w:val="002773F0"/>
    <w:rsid w:val="0027741D"/>
    <w:rsid w:val="00277572"/>
    <w:rsid w:val="00277698"/>
    <w:rsid w:val="00277797"/>
    <w:rsid w:val="00277822"/>
    <w:rsid w:val="0027788E"/>
    <w:rsid w:val="002778C0"/>
    <w:rsid w:val="002779BD"/>
    <w:rsid w:val="00277AB0"/>
    <w:rsid w:val="00277B11"/>
    <w:rsid w:val="00277B1B"/>
    <w:rsid w:val="00277BFA"/>
    <w:rsid w:val="00277DC7"/>
    <w:rsid w:val="00277E05"/>
    <w:rsid w:val="00277E66"/>
    <w:rsid w:val="002800E8"/>
    <w:rsid w:val="00280116"/>
    <w:rsid w:val="00280211"/>
    <w:rsid w:val="0028029D"/>
    <w:rsid w:val="002802CB"/>
    <w:rsid w:val="0028031A"/>
    <w:rsid w:val="00280328"/>
    <w:rsid w:val="0028032C"/>
    <w:rsid w:val="002804AD"/>
    <w:rsid w:val="00280582"/>
    <w:rsid w:val="00280631"/>
    <w:rsid w:val="002806DF"/>
    <w:rsid w:val="002806FA"/>
    <w:rsid w:val="00280705"/>
    <w:rsid w:val="002807D2"/>
    <w:rsid w:val="00280892"/>
    <w:rsid w:val="00280917"/>
    <w:rsid w:val="00280B37"/>
    <w:rsid w:val="00280BD0"/>
    <w:rsid w:val="00280BE0"/>
    <w:rsid w:val="00280C9F"/>
    <w:rsid w:val="00280CA2"/>
    <w:rsid w:val="00280D2E"/>
    <w:rsid w:val="00280D81"/>
    <w:rsid w:val="00280EA2"/>
    <w:rsid w:val="00280FD4"/>
    <w:rsid w:val="00281038"/>
    <w:rsid w:val="002810D5"/>
    <w:rsid w:val="00281195"/>
    <w:rsid w:val="002811B3"/>
    <w:rsid w:val="002811C5"/>
    <w:rsid w:val="002813BC"/>
    <w:rsid w:val="00281439"/>
    <w:rsid w:val="00281491"/>
    <w:rsid w:val="002814C7"/>
    <w:rsid w:val="00281520"/>
    <w:rsid w:val="00281647"/>
    <w:rsid w:val="0028165E"/>
    <w:rsid w:val="002816A3"/>
    <w:rsid w:val="002816C5"/>
    <w:rsid w:val="002816F6"/>
    <w:rsid w:val="002817E2"/>
    <w:rsid w:val="002817F0"/>
    <w:rsid w:val="002818B9"/>
    <w:rsid w:val="00281913"/>
    <w:rsid w:val="00281A88"/>
    <w:rsid w:val="00281AA1"/>
    <w:rsid w:val="00281B21"/>
    <w:rsid w:val="00281DF3"/>
    <w:rsid w:val="0028213A"/>
    <w:rsid w:val="00282168"/>
    <w:rsid w:val="00282171"/>
    <w:rsid w:val="002821A8"/>
    <w:rsid w:val="002821E6"/>
    <w:rsid w:val="0028232F"/>
    <w:rsid w:val="00282333"/>
    <w:rsid w:val="002823C1"/>
    <w:rsid w:val="00282492"/>
    <w:rsid w:val="002824DD"/>
    <w:rsid w:val="002824DE"/>
    <w:rsid w:val="0028251E"/>
    <w:rsid w:val="00282532"/>
    <w:rsid w:val="00282775"/>
    <w:rsid w:val="002827E8"/>
    <w:rsid w:val="00282902"/>
    <w:rsid w:val="00282933"/>
    <w:rsid w:val="002829C6"/>
    <w:rsid w:val="00282B1F"/>
    <w:rsid w:val="00282B5A"/>
    <w:rsid w:val="00282B9C"/>
    <w:rsid w:val="00282C9C"/>
    <w:rsid w:val="00282D85"/>
    <w:rsid w:val="00282DD6"/>
    <w:rsid w:val="00282ED8"/>
    <w:rsid w:val="00282FEA"/>
    <w:rsid w:val="00283140"/>
    <w:rsid w:val="00283180"/>
    <w:rsid w:val="00283262"/>
    <w:rsid w:val="0028326E"/>
    <w:rsid w:val="00283317"/>
    <w:rsid w:val="0028337F"/>
    <w:rsid w:val="00283394"/>
    <w:rsid w:val="00283495"/>
    <w:rsid w:val="00283501"/>
    <w:rsid w:val="00283502"/>
    <w:rsid w:val="00283530"/>
    <w:rsid w:val="002835F1"/>
    <w:rsid w:val="0028379A"/>
    <w:rsid w:val="00283817"/>
    <w:rsid w:val="002839CF"/>
    <w:rsid w:val="00283A83"/>
    <w:rsid w:val="00283ABF"/>
    <w:rsid w:val="00283C6F"/>
    <w:rsid w:val="00283CCD"/>
    <w:rsid w:val="00283E46"/>
    <w:rsid w:val="00283E88"/>
    <w:rsid w:val="00283EAE"/>
    <w:rsid w:val="00283EE1"/>
    <w:rsid w:val="00283EF7"/>
    <w:rsid w:val="00283F23"/>
    <w:rsid w:val="00283F2D"/>
    <w:rsid w:val="00283F70"/>
    <w:rsid w:val="002840EF"/>
    <w:rsid w:val="00284171"/>
    <w:rsid w:val="002841CB"/>
    <w:rsid w:val="002843E6"/>
    <w:rsid w:val="0028440C"/>
    <w:rsid w:val="0028445A"/>
    <w:rsid w:val="002845E6"/>
    <w:rsid w:val="002845FA"/>
    <w:rsid w:val="0028462F"/>
    <w:rsid w:val="0028464D"/>
    <w:rsid w:val="00284692"/>
    <w:rsid w:val="002846D1"/>
    <w:rsid w:val="0028471A"/>
    <w:rsid w:val="00284905"/>
    <w:rsid w:val="00284942"/>
    <w:rsid w:val="002849FB"/>
    <w:rsid w:val="002849FD"/>
    <w:rsid w:val="00284B10"/>
    <w:rsid w:val="00284B73"/>
    <w:rsid w:val="00284BE2"/>
    <w:rsid w:val="00284C39"/>
    <w:rsid w:val="00284D50"/>
    <w:rsid w:val="00284D84"/>
    <w:rsid w:val="00284E11"/>
    <w:rsid w:val="0028500A"/>
    <w:rsid w:val="00285069"/>
    <w:rsid w:val="00285215"/>
    <w:rsid w:val="00285256"/>
    <w:rsid w:val="002852B8"/>
    <w:rsid w:val="00285313"/>
    <w:rsid w:val="00285331"/>
    <w:rsid w:val="0028535B"/>
    <w:rsid w:val="00285398"/>
    <w:rsid w:val="00285416"/>
    <w:rsid w:val="0028549F"/>
    <w:rsid w:val="002854AD"/>
    <w:rsid w:val="00285607"/>
    <w:rsid w:val="002856E3"/>
    <w:rsid w:val="002856F5"/>
    <w:rsid w:val="0028570A"/>
    <w:rsid w:val="00285780"/>
    <w:rsid w:val="002857E1"/>
    <w:rsid w:val="00285851"/>
    <w:rsid w:val="00285862"/>
    <w:rsid w:val="002858BB"/>
    <w:rsid w:val="002859A4"/>
    <w:rsid w:val="00285A79"/>
    <w:rsid w:val="00285B6B"/>
    <w:rsid w:val="00285C86"/>
    <w:rsid w:val="00285D70"/>
    <w:rsid w:val="00285D8E"/>
    <w:rsid w:val="00285DC2"/>
    <w:rsid w:val="00285E4A"/>
    <w:rsid w:val="00285EB7"/>
    <w:rsid w:val="00285F45"/>
    <w:rsid w:val="00286102"/>
    <w:rsid w:val="00286161"/>
    <w:rsid w:val="00286192"/>
    <w:rsid w:val="002861F4"/>
    <w:rsid w:val="00286365"/>
    <w:rsid w:val="002863FD"/>
    <w:rsid w:val="0028640F"/>
    <w:rsid w:val="0028641A"/>
    <w:rsid w:val="002864AD"/>
    <w:rsid w:val="002864FD"/>
    <w:rsid w:val="0028655A"/>
    <w:rsid w:val="002865D8"/>
    <w:rsid w:val="0028665E"/>
    <w:rsid w:val="002866DB"/>
    <w:rsid w:val="00286702"/>
    <w:rsid w:val="00286795"/>
    <w:rsid w:val="002867B4"/>
    <w:rsid w:val="002868B4"/>
    <w:rsid w:val="00286942"/>
    <w:rsid w:val="002869D8"/>
    <w:rsid w:val="00286A0E"/>
    <w:rsid w:val="00286A12"/>
    <w:rsid w:val="00286B16"/>
    <w:rsid w:val="00286B22"/>
    <w:rsid w:val="00286BF2"/>
    <w:rsid w:val="00286C21"/>
    <w:rsid w:val="00286C31"/>
    <w:rsid w:val="00286C58"/>
    <w:rsid w:val="00286D38"/>
    <w:rsid w:val="00286DC8"/>
    <w:rsid w:val="00286E85"/>
    <w:rsid w:val="00286F3A"/>
    <w:rsid w:val="00286FD4"/>
    <w:rsid w:val="00286FEE"/>
    <w:rsid w:val="0028701E"/>
    <w:rsid w:val="00287126"/>
    <w:rsid w:val="002871D7"/>
    <w:rsid w:val="0028720C"/>
    <w:rsid w:val="00287236"/>
    <w:rsid w:val="002873D8"/>
    <w:rsid w:val="0028753F"/>
    <w:rsid w:val="00287548"/>
    <w:rsid w:val="00287630"/>
    <w:rsid w:val="002876EC"/>
    <w:rsid w:val="00287737"/>
    <w:rsid w:val="002878E1"/>
    <w:rsid w:val="00287935"/>
    <w:rsid w:val="0028798A"/>
    <w:rsid w:val="002879D0"/>
    <w:rsid w:val="002879D3"/>
    <w:rsid w:val="002879F1"/>
    <w:rsid w:val="00287A3C"/>
    <w:rsid w:val="00287AA4"/>
    <w:rsid w:val="00287AC2"/>
    <w:rsid w:val="00287B2D"/>
    <w:rsid w:val="00287B46"/>
    <w:rsid w:val="00287C89"/>
    <w:rsid w:val="00287D2F"/>
    <w:rsid w:val="00287D35"/>
    <w:rsid w:val="00287E4D"/>
    <w:rsid w:val="00287E5C"/>
    <w:rsid w:val="00287F0F"/>
    <w:rsid w:val="00287F16"/>
    <w:rsid w:val="00290021"/>
    <w:rsid w:val="0029017C"/>
    <w:rsid w:val="002901D2"/>
    <w:rsid w:val="002901EA"/>
    <w:rsid w:val="00290277"/>
    <w:rsid w:val="002902F3"/>
    <w:rsid w:val="00290321"/>
    <w:rsid w:val="0029045C"/>
    <w:rsid w:val="002904CE"/>
    <w:rsid w:val="00290506"/>
    <w:rsid w:val="0029068A"/>
    <w:rsid w:val="002906AE"/>
    <w:rsid w:val="002906ED"/>
    <w:rsid w:val="0029073E"/>
    <w:rsid w:val="00290750"/>
    <w:rsid w:val="00290831"/>
    <w:rsid w:val="00290845"/>
    <w:rsid w:val="0029087E"/>
    <w:rsid w:val="00290965"/>
    <w:rsid w:val="00290A3B"/>
    <w:rsid w:val="00290A8D"/>
    <w:rsid w:val="00290AA2"/>
    <w:rsid w:val="00290C91"/>
    <w:rsid w:val="00290D1F"/>
    <w:rsid w:val="00290D9C"/>
    <w:rsid w:val="00290E16"/>
    <w:rsid w:val="00290E8D"/>
    <w:rsid w:val="00290F1B"/>
    <w:rsid w:val="00290FA2"/>
    <w:rsid w:val="00291000"/>
    <w:rsid w:val="0029106B"/>
    <w:rsid w:val="002910B0"/>
    <w:rsid w:val="002910C7"/>
    <w:rsid w:val="002910E1"/>
    <w:rsid w:val="0029113B"/>
    <w:rsid w:val="00291280"/>
    <w:rsid w:val="002913B3"/>
    <w:rsid w:val="00291502"/>
    <w:rsid w:val="00291530"/>
    <w:rsid w:val="0029156A"/>
    <w:rsid w:val="0029158A"/>
    <w:rsid w:val="002915ED"/>
    <w:rsid w:val="00291660"/>
    <w:rsid w:val="00291724"/>
    <w:rsid w:val="002917E4"/>
    <w:rsid w:val="00291AC2"/>
    <w:rsid w:val="00291AC9"/>
    <w:rsid w:val="00291B66"/>
    <w:rsid w:val="00291C70"/>
    <w:rsid w:val="00291C89"/>
    <w:rsid w:val="00291D2C"/>
    <w:rsid w:val="00291DCA"/>
    <w:rsid w:val="002921A7"/>
    <w:rsid w:val="002921F9"/>
    <w:rsid w:val="00292368"/>
    <w:rsid w:val="002923CD"/>
    <w:rsid w:val="0029243F"/>
    <w:rsid w:val="0029244C"/>
    <w:rsid w:val="00292522"/>
    <w:rsid w:val="00292528"/>
    <w:rsid w:val="0029255B"/>
    <w:rsid w:val="00292765"/>
    <w:rsid w:val="0029280F"/>
    <w:rsid w:val="00292952"/>
    <w:rsid w:val="00292953"/>
    <w:rsid w:val="00292A05"/>
    <w:rsid w:val="00292AB8"/>
    <w:rsid w:val="00292B18"/>
    <w:rsid w:val="00292BB3"/>
    <w:rsid w:val="00292BD3"/>
    <w:rsid w:val="00292C62"/>
    <w:rsid w:val="00292C8A"/>
    <w:rsid w:val="00292CA7"/>
    <w:rsid w:val="00292E2F"/>
    <w:rsid w:val="00292E4F"/>
    <w:rsid w:val="00292EA7"/>
    <w:rsid w:val="00292F8B"/>
    <w:rsid w:val="00292FE6"/>
    <w:rsid w:val="00293160"/>
    <w:rsid w:val="00293267"/>
    <w:rsid w:val="002932B0"/>
    <w:rsid w:val="0029330F"/>
    <w:rsid w:val="0029331B"/>
    <w:rsid w:val="002933CD"/>
    <w:rsid w:val="00293424"/>
    <w:rsid w:val="00293484"/>
    <w:rsid w:val="002934D1"/>
    <w:rsid w:val="00293536"/>
    <w:rsid w:val="00293577"/>
    <w:rsid w:val="0029358B"/>
    <w:rsid w:val="002935B0"/>
    <w:rsid w:val="00293770"/>
    <w:rsid w:val="0029388C"/>
    <w:rsid w:val="0029390B"/>
    <w:rsid w:val="00293A32"/>
    <w:rsid w:val="00293A33"/>
    <w:rsid w:val="00293AFA"/>
    <w:rsid w:val="00293B68"/>
    <w:rsid w:val="00293BCB"/>
    <w:rsid w:val="00293BD1"/>
    <w:rsid w:val="00293BD5"/>
    <w:rsid w:val="00293CFF"/>
    <w:rsid w:val="00293D8F"/>
    <w:rsid w:val="00293DF3"/>
    <w:rsid w:val="00293E92"/>
    <w:rsid w:val="00293F03"/>
    <w:rsid w:val="00293F8F"/>
    <w:rsid w:val="00293FB9"/>
    <w:rsid w:val="0029411E"/>
    <w:rsid w:val="00294192"/>
    <w:rsid w:val="002941AE"/>
    <w:rsid w:val="002942F4"/>
    <w:rsid w:val="0029446A"/>
    <w:rsid w:val="002944C1"/>
    <w:rsid w:val="00294523"/>
    <w:rsid w:val="0029454E"/>
    <w:rsid w:val="0029467F"/>
    <w:rsid w:val="002946F4"/>
    <w:rsid w:val="002946F8"/>
    <w:rsid w:val="0029478B"/>
    <w:rsid w:val="0029479E"/>
    <w:rsid w:val="002947BF"/>
    <w:rsid w:val="002947CE"/>
    <w:rsid w:val="002947FC"/>
    <w:rsid w:val="0029483C"/>
    <w:rsid w:val="002949B3"/>
    <w:rsid w:val="00294A47"/>
    <w:rsid w:val="00294AB9"/>
    <w:rsid w:val="00294CCB"/>
    <w:rsid w:val="00294CD3"/>
    <w:rsid w:val="00294E67"/>
    <w:rsid w:val="00294F35"/>
    <w:rsid w:val="00294F37"/>
    <w:rsid w:val="00294F65"/>
    <w:rsid w:val="00294FA3"/>
    <w:rsid w:val="00295069"/>
    <w:rsid w:val="002950CE"/>
    <w:rsid w:val="002951E6"/>
    <w:rsid w:val="0029520B"/>
    <w:rsid w:val="00295257"/>
    <w:rsid w:val="00295283"/>
    <w:rsid w:val="002953DA"/>
    <w:rsid w:val="002956BF"/>
    <w:rsid w:val="002956DD"/>
    <w:rsid w:val="002957BA"/>
    <w:rsid w:val="002958F1"/>
    <w:rsid w:val="00295A47"/>
    <w:rsid w:val="00295A9B"/>
    <w:rsid w:val="00295B7B"/>
    <w:rsid w:val="00295C17"/>
    <w:rsid w:val="00295CDF"/>
    <w:rsid w:val="00295CF3"/>
    <w:rsid w:val="00295DF7"/>
    <w:rsid w:val="00295F6D"/>
    <w:rsid w:val="00295FD1"/>
    <w:rsid w:val="00296155"/>
    <w:rsid w:val="00296294"/>
    <w:rsid w:val="002962C9"/>
    <w:rsid w:val="002962E2"/>
    <w:rsid w:val="0029634D"/>
    <w:rsid w:val="002963B9"/>
    <w:rsid w:val="002963E3"/>
    <w:rsid w:val="00296445"/>
    <w:rsid w:val="00296460"/>
    <w:rsid w:val="00296532"/>
    <w:rsid w:val="002965A3"/>
    <w:rsid w:val="002965CA"/>
    <w:rsid w:val="002965E8"/>
    <w:rsid w:val="00296712"/>
    <w:rsid w:val="00296713"/>
    <w:rsid w:val="00296736"/>
    <w:rsid w:val="002967EE"/>
    <w:rsid w:val="0029687E"/>
    <w:rsid w:val="002968B0"/>
    <w:rsid w:val="00296941"/>
    <w:rsid w:val="00296A7E"/>
    <w:rsid w:val="00296AC2"/>
    <w:rsid w:val="00296B51"/>
    <w:rsid w:val="00296BC3"/>
    <w:rsid w:val="00296CCC"/>
    <w:rsid w:val="00296D2C"/>
    <w:rsid w:val="00296D3E"/>
    <w:rsid w:val="00296E3F"/>
    <w:rsid w:val="00296E50"/>
    <w:rsid w:val="00296E5B"/>
    <w:rsid w:val="00296EE0"/>
    <w:rsid w:val="00296F5C"/>
    <w:rsid w:val="00296F5F"/>
    <w:rsid w:val="00297025"/>
    <w:rsid w:val="0029709A"/>
    <w:rsid w:val="00297281"/>
    <w:rsid w:val="002972E3"/>
    <w:rsid w:val="002973FD"/>
    <w:rsid w:val="002973FF"/>
    <w:rsid w:val="00297518"/>
    <w:rsid w:val="00297523"/>
    <w:rsid w:val="00297538"/>
    <w:rsid w:val="002976CF"/>
    <w:rsid w:val="00297704"/>
    <w:rsid w:val="00297709"/>
    <w:rsid w:val="00297718"/>
    <w:rsid w:val="002977D4"/>
    <w:rsid w:val="00297898"/>
    <w:rsid w:val="0029789E"/>
    <w:rsid w:val="002978FC"/>
    <w:rsid w:val="002979C7"/>
    <w:rsid w:val="00297AC2"/>
    <w:rsid w:val="00297BB2"/>
    <w:rsid w:val="00297C2C"/>
    <w:rsid w:val="00297CD5"/>
    <w:rsid w:val="00297D24"/>
    <w:rsid w:val="00297DC5"/>
    <w:rsid w:val="00297EAC"/>
    <w:rsid w:val="00297F0C"/>
    <w:rsid w:val="00297F5C"/>
    <w:rsid w:val="00297F9F"/>
    <w:rsid w:val="002A0001"/>
    <w:rsid w:val="002A0129"/>
    <w:rsid w:val="002A01A1"/>
    <w:rsid w:val="002A01D7"/>
    <w:rsid w:val="002A0207"/>
    <w:rsid w:val="002A02E8"/>
    <w:rsid w:val="002A032B"/>
    <w:rsid w:val="002A03A7"/>
    <w:rsid w:val="002A0565"/>
    <w:rsid w:val="002A062D"/>
    <w:rsid w:val="002A0657"/>
    <w:rsid w:val="002A0698"/>
    <w:rsid w:val="002A06F5"/>
    <w:rsid w:val="002A0736"/>
    <w:rsid w:val="002A076F"/>
    <w:rsid w:val="002A0781"/>
    <w:rsid w:val="002A0820"/>
    <w:rsid w:val="002A0A9B"/>
    <w:rsid w:val="002A0ADE"/>
    <w:rsid w:val="002A0B4F"/>
    <w:rsid w:val="002A0BD9"/>
    <w:rsid w:val="002A0BFE"/>
    <w:rsid w:val="002A0CC8"/>
    <w:rsid w:val="002A0CDE"/>
    <w:rsid w:val="002A0E2D"/>
    <w:rsid w:val="002A1034"/>
    <w:rsid w:val="002A103E"/>
    <w:rsid w:val="002A10B4"/>
    <w:rsid w:val="002A10E3"/>
    <w:rsid w:val="002A117D"/>
    <w:rsid w:val="002A1399"/>
    <w:rsid w:val="002A1430"/>
    <w:rsid w:val="002A1448"/>
    <w:rsid w:val="002A14D6"/>
    <w:rsid w:val="002A14D7"/>
    <w:rsid w:val="002A1634"/>
    <w:rsid w:val="002A16C9"/>
    <w:rsid w:val="002A1736"/>
    <w:rsid w:val="002A17AC"/>
    <w:rsid w:val="002A1A10"/>
    <w:rsid w:val="002A1BCB"/>
    <w:rsid w:val="002A1BFD"/>
    <w:rsid w:val="002A1CEC"/>
    <w:rsid w:val="002A1CEF"/>
    <w:rsid w:val="002A1E2C"/>
    <w:rsid w:val="002A1F00"/>
    <w:rsid w:val="002A1F0E"/>
    <w:rsid w:val="002A1F15"/>
    <w:rsid w:val="002A1F35"/>
    <w:rsid w:val="002A1F7B"/>
    <w:rsid w:val="002A204A"/>
    <w:rsid w:val="002A209A"/>
    <w:rsid w:val="002A2110"/>
    <w:rsid w:val="002A2157"/>
    <w:rsid w:val="002A235A"/>
    <w:rsid w:val="002A23B5"/>
    <w:rsid w:val="002A23B6"/>
    <w:rsid w:val="002A248E"/>
    <w:rsid w:val="002A25D0"/>
    <w:rsid w:val="002A2766"/>
    <w:rsid w:val="002A27A2"/>
    <w:rsid w:val="002A27C2"/>
    <w:rsid w:val="002A282F"/>
    <w:rsid w:val="002A285F"/>
    <w:rsid w:val="002A29BD"/>
    <w:rsid w:val="002A2AE8"/>
    <w:rsid w:val="002A2B0E"/>
    <w:rsid w:val="002A2D4A"/>
    <w:rsid w:val="002A2F02"/>
    <w:rsid w:val="002A2F23"/>
    <w:rsid w:val="002A2F84"/>
    <w:rsid w:val="002A3365"/>
    <w:rsid w:val="002A337D"/>
    <w:rsid w:val="002A33F9"/>
    <w:rsid w:val="002A3491"/>
    <w:rsid w:val="002A34D8"/>
    <w:rsid w:val="002A3632"/>
    <w:rsid w:val="002A365F"/>
    <w:rsid w:val="002A36A6"/>
    <w:rsid w:val="002A3703"/>
    <w:rsid w:val="002A3984"/>
    <w:rsid w:val="002A39AD"/>
    <w:rsid w:val="002A39AE"/>
    <w:rsid w:val="002A39EE"/>
    <w:rsid w:val="002A3A30"/>
    <w:rsid w:val="002A3A57"/>
    <w:rsid w:val="002A3B13"/>
    <w:rsid w:val="002A3B6D"/>
    <w:rsid w:val="002A3B9B"/>
    <w:rsid w:val="002A3C45"/>
    <w:rsid w:val="002A3C70"/>
    <w:rsid w:val="002A3CC2"/>
    <w:rsid w:val="002A3D6D"/>
    <w:rsid w:val="002A3DEF"/>
    <w:rsid w:val="002A3E05"/>
    <w:rsid w:val="002A3F3A"/>
    <w:rsid w:val="002A3F75"/>
    <w:rsid w:val="002A4096"/>
    <w:rsid w:val="002A4139"/>
    <w:rsid w:val="002A41A6"/>
    <w:rsid w:val="002A427F"/>
    <w:rsid w:val="002A42D8"/>
    <w:rsid w:val="002A4569"/>
    <w:rsid w:val="002A45DF"/>
    <w:rsid w:val="002A4665"/>
    <w:rsid w:val="002A46C6"/>
    <w:rsid w:val="002A46D9"/>
    <w:rsid w:val="002A472C"/>
    <w:rsid w:val="002A47B4"/>
    <w:rsid w:val="002A481B"/>
    <w:rsid w:val="002A48EE"/>
    <w:rsid w:val="002A4958"/>
    <w:rsid w:val="002A499D"/>
    <w:rsid w:val="002A4A88"/>
    <w:rsid w:val="002A4A8A"/>
    <w:rsid w:val="002A4B9D"/>
    <w:rsid w:val="002A4BBA"/>
    <w:rsid w:val="002A4D1E"/>
    <w:rsid w:val="002A4D46"/>
    <w:rsid w:val="002A4E86"/>
    <w:rsid w:val="002A4E9C"/>
    <w:rsid w:val="002A4EDD"/>
    <w:rsid w:val="002A4EF5"/>
    <w:rsid w:val="002A4F70"/>
    <w:rsid w:val="002A4FD5"/>
    <w:rsid w:val="002A50A2"/>
    <w:rsid w:val="002A50F3"/>
    <w:rsid w:val="002A511B"/>
    <w:rsid w:val="002A5231"/>
    <w:rsid w:val="002A5261"/>
    <w:rsid w:val="002A5332"/>
    <w:rsid w:val="002A5366"/>
    <w:rsid w:val="002A5376"/>
    <w:rsid w:val="002A5390"/>
    <w:rsid w:val="002A5523"/>
    <w:rsid w:val="002A556D"/>
    <w:rsid w:val="002A558E"/>
    <w:rsid w:val="002A5658"/>
    <w:rsid w:val="002A565B"/>
    <w:rsid w:val="002A5686"/>
    <w:rsid w:val="002A57F9"/>
    <w:rsid w:val="002A58FB"/>
    <w:rsid w:val="002A592E"/>
    <w:rsid w:val="002A59EA"/>
    <w:rsid w:val="002A5C3E"/>
    <w:rsid w:val="002A5C74"/>
    <w:rsid w:val="002A5CA6"/>
    <w:rsid w:val="002A5D10"/>
    <w:rsid w:val="002A5D5D"/>
    <w:rsid w:val="002A5DDE"/>
    <w:rsid w:val="002A5E11"/>
    <w:rsid w:val="002A5E5C"/>
    <w:rsid w:val="002A5F3D"/>
    <w:rsid w:val="002A6001"/>
    <w:rsid w:val="002A6011"/>
    <w:rsid w:val="002A60B9"/>
    <w:rsid w:val="002A6123"/>
    <w:rsid w:val="002A613E"/>
    <w:rsid w:val="002A6170"/>
    <w:rsid w:val="002A61B8"/>
    <w:rsid w:val="002A61E4"/>
    <w:rsid w:val="002A61EE"/>
    <w:rsid w:val="002A6270"/>
    <w:rsid w:val="002A636F"/>
    <w:rsid w:val="002A63C2"/>
    <w:rsid w:val="002A641B"/>
    <w:rsid w:val="002A64AE"/>
    <w:rsid w:val="002A6556"/>
    <w:rsid w:val="002A65AD"/>
    <w:rsid w:val="002A65C9"/>
    <w:rsid w:val="002A6611"/>
    <w:rsid w:val="002A6628"/>
    <w:rsid w:val="002A66A9"/>
    <w:rsid w:val="002A66D8"/>
    <w:rsid w:val="002A66F8"/>
    <w:rsid w:val="002A67C8"/>
    <w:rsid w:val="002A67D0"/>
    <w:rsid w:val="002A683B"/>
    <w:rsid w:val="002A6859"/>
    <w:rsid w:val="002A68B4"/>
    <w:rsid w:val="002A6A15"/>
    <w:rsid w:val="002A6ADA"/>
    <w:rsid w:val="002A6BBE"/>
    <w:rsid w:val="002A6C10"/>
    <w:rsid w:val="002A6CFC"/>
    <w:rsid w:val="002A6D99"/>
    <w:rsid w:val="002A6DA7"/>
    <w:rsid w:val="002A6E05"/>
    <w:rsid w:val="002A7023"/>
    <w:rsid w:val="002A70D7"/>
    <w:rsid w:val="002A7102"/>
    <w:rsid w:val="002A711E"/>
    <w:rsid w:val="002A7263"/>
    <w:rsid w:val="002A7302"/>
    <w:rsid w:val="002A7411"/>
    <w:rsid w:val="002A7422"/>
    <w:rsid w:val="002A7478"/>
    <w:rsid w:val="002A747D"/>
    <w:rsid w:val="002A757C"/>
    <w:rsid w:val="002A7604"/>
    <w:rsid w:val="002A7615"/>
    <w:rsid w:val="002A762D"/>
    <w:rsid w:val="002A76D0"/>
    <w:rsid w:val="002A76E8"/>
    <w:rsid w:val="002A796E"/>
    <w:rsid w:val="002A798C"/>
    <w:rsid w:val="002A7B07"/>
    <w:rsid w:val="002A7D3B"/>
    <w:rsid w:val="002A7E6E"/>
    <w:rsid w:val="002A7E8D"/>
    <w:rsid w:val="002B00DA"/>
    <w:rsid w:val="002B011A"/>
    <w:rsid w:val="002B013D"/>
    <w:rsid w:val="002B0161"/>
    <w:rsid w:val="002B017C"/>
    <w:rsid w:val="002B0235"/>
    <w:rsid w:val="002B026E"/>
    <w:rsid w:val="002B036A"/>
    <w:rsid w:val="002B043D"/>
    <w:rsid w:val="002B04E9"/>
    <w:rsid w:val="002B07A3"/>
    <w:rsid w:val="002B08AC"/>
    <w:rsid w:val="002B08FB"/>
    <w:rsid w:val="002B0957"/>
    <w:rsid w:val="002B0A03"/>
    <w:rsid w:val="002B0A12"/>
    <w:rsid w:val="002B0A28"/>
    <w:rsid w:val="002B0A3E"/>
    <w:rsid w:val="002B0ACB"/>
    <w:rsid w:val="002B0C19"/>
    <w:rsid w:val="002B0C7F"/>
    <w:rsid w:val="002B0CC0"/>
    <w:rsid w:val="002B0D58"/>
    <w:rsid w:val="002B0D77"/>
    <w:rsid w:val="002B0D82"/>
    <w:rsid w:val="002B0D97"/>
    <w:rsid w:val="002B0E06"/>
    <w:rsid w:val="002B0E46"/>
    <w:rsid w:val="002B0E7F"/>
    <w:rsid w:val="002B1049"/>
    <w:rsid w:val="002B10C8"/>
    <w:rsid w:val="002B1193"/>
    <w:rsid w:val="002B13B1"/>
    <w:rsid w:val="002B13BF"/>
    <w:rsid w:val="002B14B6"/>
    <w:rsid w:val="002B14C2"/>
    <w:rsid w:val="002B14DF"/>
    <w:rsid w:val="002B1647"/>
    <w:rsid w:val="002B1879"/>
    <w:rsid w:val="002B1975"/>
    <w:rsid w:val="002B199A"/>
    <w:rsid w:val="002B19D9"/>
    <w:rsid w:val="002B19FF"/>
    <w:rsid w:val="002B1A0C"/>
    <w:rsid w:val="002B1A25"/>
    <w:rsid w:val="002B1A4F"/>
    <w:rsid w:val="002B1B42"/>
    <w:rsid w:val="002B1B6C"/>
    <w:rsid w:val="002B1B9B"/>
    <w:rsid w:val="002B1BA3"/>
    <w:rsid w:val="002B1BBD"/>
    <w:rsid w:val="002B1BF8"/>
    <w:rsid w:val="002B1C33"/>
    <w:rsid w:val="002B1E57"/>
    <w:rsid w:val="002B2027"/>
    <w:rsid w:val="002B21AE"/>
    <w:rsid w:val="002B237D"/>
    <w:rsid w:val="002B23EB"/>
    <w:rsid w:val="002B284C"/>
    <w:rsid w:val="002B284D"/>
    <w:rsid w:val="002B2850"/>
    <w:rsid w:val="002B2856"/>
    <w:rsid w:val="002B28EF"/>
    <w:rsid w:val="002B2BEA"/>
    <w:rsid w:val="002B2E06"/>
    <w:rsid w:val="002B2E3F"/>
    <w:rsid w:val="002B2E50"/>
    <w:rsid w:val="002B2F65"/>
    <w:rsid w:val="002B2FDB"/>
    <w:rsid w:val="002B3088"/>
    <w:rsid w:val="002B3168"/>
    <w:rsid w:val="002B32D7"/>
    <w:rsid w:val="002B3356"/>
    <w:rsid w:val="002B3398"/>
    <w:rsid w:val="002B347C"/>
    <w:rsid w:val="002B3634"/>
    <w:rsid w:val="002B365C"/>
    <w:rsid w:val="002B365E"/>
    <w:rsid w:val="002B3737"/>
    <w:rsid w:val="002B3753"/>
    <w:rsid w:val="002B37FB"/>
    <w:rsid w:val="002B3AC4"/>
    <w:rsid w:val="002B3BB7"/>
    <w:rsid w:val="002B3CBE"/>
    <w:rsid w:val="002B3CD5"/>
    <w:rsid w:val="002B3CFA"/>
    <w:rsid w:val="002B3D41"/>
    <w:rsid w:val="002B3F4C"/>
    <w:rsid w:val="002B40B8"/>
    <w:rsid w:val="002B40C6"/>
    <w:rsid w:val="002B40F2"/>
    <w:rsid w:val="002B4198"/>
    <w:rsid w:val="002B424E"/>
    <w:rsid w:val="002B4277"/>
    <w:rsid w:val="002B42AE"/>
    <w:rsid w:val="002B42BB"/>
    <w:rsid w:val="002B42FA"/>
    <w:rsid w:val="002B43AE"/>
    <w:rsid w:val="002B43B0"/>
    <w:rsid w:val="002B43E0"/>
    <w:rsid w:val="002B449C"/>
    <w:rsid w:val="002B44A6"/>
    <w:rsid w:val="002B4615"/>
    <w:rsid w:val="002B4660"/>
    <w:rsid w:val="002B4685"/>
    <w:rsid w:val="002B47C3"/>
    <w:rsid w:val="002B47D3"/>
    <w:rsid w:val="002B47FE"/>
    <w:rsid w:val="002B49A8"/>
    <w:rsid w:val="002B49C5"/>
    <w:rsid w:val="002B4B0E"/>
    <w:rsid w:val="002B4BE2"/>
    <w:rsid w:val="002B4DD7"/>
    <w:rsid w:val="002B4F33"/>
    <w:rsid w:val="002B4FBA"/>
    <w:rsid w:val="002B507D"/>
    <w:rsid w:val="002B5152"/>
    <w:rsid w:val="002B51C2"/>
    <w:rsid w:val="002B51C3"/>
    <w:rsid w:val="002B51F6"/>
    <w:rsid w:val="002B52DC"/>
    <w:rsid w:val="002B5404"/>
    <w:rsid w:val="002B55FA"/>
    <w:rsid w:val="002B5620"/>
    <w:rsid w:val="002B56AD"/>
    <w:rsid w:val="002B5819"/>
    <w:rsid w:val="002B596E"/>
    <w:rsid w:val="002B5A59"/>
    <w:rsid w:val="002B5AC2"/>
    <w:rsid w:val="002B5AC6"/>
    <w:rsid w:val="002B5AD3"/>
    <w:rsid w:val="002B5AF1"/>
    <w:rsid w:val="002B5AF2"/>
    <w:rsid w:val="002B5B60"/>
    <w:rsid w:val="002B5B90"/>
    <w:rsid w:val="002B5E66"/>
    <w:rsid w:val="002B5E80"/>
    <w:rsid w:val="002B5E9C"/>
    <w:rsid w:val="002B5F96"/>
    <w:rsid w:val="002B5F9F"/>
    <w:rsid w:val="002B6169"/>
    <w:rsid w:val="002B616A"/>
    <w:rsid w:val="002B6190"/>
    <w:rsid w:val="002B6312"/>
    <w:rsid w:val="002B6396"/>
    <w:rsid w:val="002B6509"/>
    <w:rsid w:val="002B6560"/>
    <w:rsid w:val="002B6577"/>
    <w:rsid w:val="002B670B"/>
    <w:rsid w:val="002B6750"/>
    <w:rsid w:val="002B6779"/>
    <w:rsid w:val="002B6839"/>
    <w:rsid w:val="002B687C"/>
    <w:rsid w:val="002B68F5"/>
    <w:rsid w:val="002B6990"/>
    <w:rsid w:val="002B6A51"/>
    <w:rsid w:val="002B6AF4"/>
    <w:rsid w:val="002B6AFE"/>
    <w:rsid w:val="002B6B13"/>
    <w:rsid w:val="002B6BE0"/>
    <w:rsid w:val="002B6C0C"/>
    <w:rsid w:val="002B6C3A"/>
    <w:rsid w:val="002B6CB5"/>
    <w:rsid w:val="002B6D0A"/>
    <w:rsid w:val="002B6D48"/>
    <w:rsid w:val="002B6D88"/>
    <w:rsid w:val="002B6D9B"/>
    <w:rsid w:val="002B6DF3"/>
    <w:rsid w:val="002B6E69"/>
    <w:rsid w:val="002B6EC1"/>
    <w:rsid w:val="002B6ECD"/>
    <w:rsid w:val="002B7031"/>
    <w:rsid w:val="002B7081"/>
    <w:rsid w:val="002B7160"/>
    <w:rsid w:val="002B71C6"/>
    <w:rsid w:val="002B72A9"/>
    <w:rsid w:val="002B7340"/>
    <w:rsid w:val="002B739F"/>
    <w:rsid w:val="002B7449"/>
    <w:rsid w:val="002B76AE"/>
    <w:rsid w:val="002B777A"/>
    <w:rsid w:val="002B78DC"/>
    <w:rsid w:val="002B78E2"/>
    <w:rsid w:val="002B78F1"/>
    <w:rsid w:val="002B79A9"/>
    <w:rsid w:val="002B7ACC"/>
    <w:rsid w:val="002B7B0B"/>
    <w:rsid w:val="002B7BDA"/>
    <w:rsid w:val="002B7BEA"/>
    <w:rsid w:val="002B7C0D"/>
    <w:rsid w:val="002B7CF2"/>
    <w:rsid w:val="002B7E12"/>
    <w:rsid w:val="002B7FCE"/>
    <w:rsid w:val="002B7FFC"/>
    <w:rsid w:val="002C00E8"/>
    <w:rsid w:val="002C0172"/>
    <w:rsid w:val="002C01DE"/>
    <w:rsid w:val="002C0218"/>
    <w:rsid w:val="002C02A2"/>
    <w:rsid w:val="002C02F4"/>
    <w:rsid w:val="002C02F6"/>
    <w:rsid w:val="002C0569"/>
    <w:rsid w:val="002C05C4"/>
    <w:rsid w:val="002C060E"/>
    <w:rsid w:val="002C0616"/>
    <w:rsid w:val="002C0695"/>
    <w:rsid w:val="002C06B4"/>
    <w:rsid w:val="002C072C"/>
    <w:rsid w:val="002C0737"/>
    <w:rsid w:val="002C077C"/>
    <w:rsid w:val="002C0845"/>
    <w:rsid w:val="002C0847"/>
    <w:rsid w:val="002C098A"/>
    <w:rsid w:val="002C09EE"/>
    <w:rsid w:val="002C0B54"/>
    <w:rsid w:val="002C0BDE"/>
    <w:rsid w:val="002C0C58"/>
    <w:rsid w:val="002C0CA2"/>
    <w:rsid w:val="002C0D06"/>
    <w:rsid w:val="002C0D11"/>
    <w:rsid w:val="002C0D75"/>
    <w:rsid w:val="002C0D89"/>
    <w:rsid w:val="002C0DE2"/>
    <w:rsid w:val="002C0E6D"/>
    <w:rsid w:val="002C1019"/>
    <w:rsid w:val="002C10B1"/>
    <w:rsid w:val="002C1250"/>
    <w:rsid w:val="002C127D"/>
    <w:rsid w:val="002C12D7"/>
    <w:rsid w:val="002C1362"/>
    <w:rsid w:val="002C1368"/>
    <w:rsid w:val="002C13E5"/>
    <w:rsid w:val="002C1506"/>
    <w:rsid w:val="002C156C"/>
    <w:rsid w:val="002C15B4"/>
    <w:rsid w:val="002C16EE"/>
    <w:rsid w:val="002C1736"/>
    <w:rsid w:val="002C1746"/>
    <w:rsid w:val="002C1759"/>
    <w:rsid w:val="002C17FF"/>
    <w:rsid w:val="002C1AAE"/>
    <w:rsid w:val="002C1C8E"/>
    <w:rsid w:val="002C1D3D"/>
    <w:rsid w:val="002C1ED1"/>
    <w:rsid w:val="002C1F02"/>
    <w:rsid w:val="002C1F7F"/>
    <w:rsid w:val="002C2003"/>
    <w:rsid w:val="002C2018"/>
    <w:rsid w:val="002C2220"/>
    <w:rsid w:val="002C2390"/>
    <w:rsid w:val="002C2468"/>
    <w:rsid w:val="002C24BB"/>
    <w:rsid w:val="002C259D"/>
    <w:rsid w:val="002C25D1"/>
    <w:rsid w:val="002C263E"/>
    <w:rsid w:val="002C269B"/>
    <w:rsid w:val="002C288C"/>
    <w:rsid w:val="002C2923"/>
    <w:rsid w:val="002C29D8"/>
    <w:rsid w:val="002C2B68"/>
    <w:rsid w:val="002C2C1C"/>
    <w:rsid w:val="002C2CA3"/>
    <w:rsid w:val="002C2CF8"/>
    <w:rsid w:val="002C2D37"/>
    <w:rsid w:val="002C2D4C"/>
    <w:rsid w:val="002C2F58"/>
    <w:rsid w:val="002C2F67"/>
    <w:rsid w:val="002C2FE8"/>
    <w:rsid w:val="002C3083"/>
    <w:rsid w:val="002C3122"/>
    <w:rsid w:val="002C3135"/>
    <w:rsid w:val="002C315B"/>
    <w:rsid w:val="002C31B8"/>
    <w:rsid w:val="002C3290"/>
    <w:rsid w:val="002C34C4"/>
    <w:rsid w:val="002C3604"/>
    <w:rsid w:val="002C3835"/>
    <w:rsid w:val="002C3935"/>
    <w:rsid w:val="002C3946"/>
    <w:rsid w:val="002C3993"/>
    <w:rsid w:val="002C39C3"/>
    <w:rsid w:val="002C3A6E"/>
    <w:rsid w:val="002C3A8F"/>
    <w:rsid w:val="002C3A93"/>
    <w:rsid w:val="002C3B4D"/>
    <w:rsid w:val="002C3BA4"/>
    <w:rsid w:val="002C3BD7"/>
    <w:rsid w:val="002C3D92"/>
    <w:rsid w:val="002C3DEE"/>
    <w:rsid w:val="002C3E71"/>
    <w:rsid w:val="002C3F1B"/>
    <w:rsid w:val="002C402E"/>
    <w:rsid w:val="002C41D4"/>
    <w:rsid w:val="002C41FE"/>
    <w:rsid w:val="002C429A"/>
    <w:rsid w:val="002C42EF"/>
    <w:rsid w:val="002C434F"/>
    <w:rsid w:val="002C4411"/>
    <w:rsid w:val="002C4427"/>
    <w:rsid w:val="002C4534"/>
    <w:rsid w:val="002C4648"/>
    <w:rsid w:val="002C47C9"/>
    <w:rsid w:val="002C47EC"/>
    <w:rsid w:val="002C4ABD"/>
    <w:rsid w:val="002C4B5D"/>
    <w:rsid w:val="002C4B7D"/>
    <w:rsid w:val="002C4CA3"/>
    <w:rsid w:val="002C4D4F"/>
    <w:rsid w:val="002C4D72"/>
    <w:rsid w:val="002C4E8E"/>
    <w:rsid w:val="002C4F53"/>
    <w:rsid w:val="002C4F9F"/>
    <w:rsid w:val="002C5057"/>
    <w:rsid w:val="002C511C"/>
    <w:rsid w:val="002C51D4"/>
    <w:rsid w:val="002C5228"/>
    <w:rsid w:val="002C5360"/>
    <w:rsid w:val="002C5367"/>
    <w:rsid w:val="002C541B"/>
    <w:rsid w:val="002C547D"/>
    <w:rsid w:val="002C5590"/>
    <w:rsid w:val="002C56E8"/>
    <w:rsid w:val="002C5711"/>
    <w:rsid w:val="002C5739"/>
    <w:rsid w:val="002C5829"/>
    <w:rsid w:val="002C5922"/>
    <w:rsid w:val="002C596D"/>
    <w:rsid w:val="002C5A94"/>
    <w:rsid w:val="002C5B8E"/>
    <w:rsid w:val="002C5BD2"/>
    <w:rsid w:val="002C5D57"/>
    <w:rsid w:val="002C5DDA"/>
    <w:rsid w:val="002C5EC0"/>
    <w:rsid w:val="002C5F62"/>
    <w:rsid w:val="002C6023"/>
    <w:rsid w:val="002C609F"/>
    <w:rsid w:val="002C6120"/>
    <w:rsid w:val="002C6155"/>
    <w:rsid w:val="002C61A9"/>
    <w:rsid w:val="002C61DD"/>
    <w:rsid w:val="002C61EA"/>
    <w:rsid w:val="002C6292"/>
    <w:rsid w:val="002C63FC"/>
    <w:rsid w:val="002C6434"/>
    <w:rsid w:val="002C6475"/>
    <w:rsid w:val="002C6520"/>
    <w:rsid w:val="002C655C"/>
    <w:rsid w:val="002C65F6"/>
    <w:rsid w:val="002C662E"/>
    <w:rsid w:val="002C6738"/>
    <w:rsid w:val="002C67DF"/>
    <w:rsid w:val="002C6AA1"/>
    <w:rsid w:val="002C6C63"/>
    <w:rsid w:val="002C6D3B"/>
    <w:rsid w:val="002C6D60"/>
    <w:rsid w:val="002C6DE1"/>
    <w:rsid w:val="002C6E36"/>
    <w:rsid w:val="002C6EAD"/>
    <w:rsid w:val="002C6EDE"/>
    <w:rsid w:val="002C7131"/>
    <w:rsid w:val="002C71C9"/>
    <w:rsid w:val="002C7366"/>
    <w:rsid w:val="002C7463"/>
    <w:rsid w:val="002C74F7"/>
    <w:rsid w:val="002C7690"/>
    <w:rsid w:val="002C7707"/>
    <w:rsid w:val="002C77A8"/>
    <w:rsid w:val="002C780B"/>
    <w:rsid w:val="002C7855"/>
    <w:rsid w:val="002C78C2"/>
    <w:rsid w:val="002C797B"/>
    <w:rsid w:val="002C7A97"/>
    <w:rsid w:val="002C7BDB"/>
    <w:rsid w:val="002C7D56"/>
    <w:rsid w:val="002C7DAD"/>
    <w:rsid w:val="002C7DF0"/>
    <w:rsid w:val="002C7E61"/>
    <w:rsid w:val="002C7FF5"/>
    <w:rsid w:val="002D0047"/>
    <w:rsid w:val="002D009B"/>
    <w:rsid w:val="002D00CA"/>
    <w:rsid w:val="002D00DF"/>
    <w:rsid w:val="002D02BB"/>
    <w:rsid w:val="002D0307"/>
    <w:rsid w:val="002D035B"/>
    <w:rsid w:val="002D0369"/>
    <w:rsid w:val="002D03E4"/>
    <w:rsid w:val="002D0437"/>
    <w:rsid w:val="002D05B6"/>
    <w:rsid w:val="002D06FE"/>
    <w:rsid w:val="002D0784"/>
    <w:rsid w:val="002D0927"/>
    <w:rsid w:val="002D0A03"/>
    <w:rsid w:val="002D0B9F"/>
    <w:rsid w:val="002D0C7B"/>
    <w:rsid w:val="002D0C98"/>
    <w:rsid w:val="002D0C9D"/>
    <w:rsid w:val="002D0CF6"/>
    <w:rsid w:val="002D0D2D"/>
    <w:rsid w:val="002D0D5F"/>
    <w:rsid w:val="002D0D96"/>
    <w:rsid w:val="002D101B"/>
    <w:rsid w:val="002D1060"/>
    <w:rsid w:val="002D1079"/>
    <w:rsid w:val="002D1141"/>
    <w:rsid w:val="002D1210"/>
    <w:rsid w:val="002D1314"/>
    <w:rsid w:val="002D14B7"/>
    <w:rsid w:val="002D1544"/>
    <w:rsid w:val="002D1587"/>
    <w:rsid w:val="002D16F9"/>
    <w:rsid w:val="002D172A"/>
    <w:rsid w:val="002D1846"/>
    <w:rsid w:val="002D188A"/>
    <w:rsid w:val="002D18E8"/>
    <w:rsid w:val="002D1AB8"/>
    <w:rsid w:val="002D1AB9"/>
    <w:rsid w:val="002D1C04"/>
    <w:rsid w:val="002D1C27"/>
    <w:rsid w:val="002D1C80"/>
    <w:rsid w:val="002D1D4B"/>
    <w:rsid w:val="002D1F37"/>
    <w:rsid w:val="002D1F46"/>
    <w:rsid w:val="002D1F73"/>
    <w:rsid w:val="002D20F9"/>
    <w:rsid w:val="002D20FE"/>
    <w:rsid w:val="002D2172"/>
    <w:rsid w:val="002D221F"/>
    <w:rsid w:val="002D22BB"/>
    <w:rsid w:val="002D23FA"/>
    <w:rsid w:val="002D2457"/>
    <w:rsid w:val="002D248A"/>
    <w:rsid w:val="002D24BB"/>
    <w:rsid w:val="002D24C5"/>
    <w:rsid w:val="002D250D"/>
    <w:rsid w:val="002D251B"/>
    <w:rsid w:val="002D253E"/>
    <w:rsid w:val="002D2707"/>
    <w:rsid w:val="002D27C1"/>
    <w:rsid w:val="002D2821"/>
    <w:rsid w:val="002D2848"/>
    <w:rsid w:val="002D287F"/>
    <w:rsid w:val="002D296F"/>
    <w:rsid w:val="002D2A72"/>
    <w:rsid w:val="002D2AC1"/>
    <w:rsid w:val="002D2AD3"/>
    <w:rsid w:val="002D2BBA"/>
    <w:rsid w:val="002D2BD4"/>
    <w:rsid w:val="002D2CAD"/>
    <w:rsid w:val="002D2D2C"/>
    <w:rsid w:val="002D2D8C"/>
    <w:rsid w:val="002D2ECD"/>
    <w:rsid w:val="002D2F1B"/>
    <w:rsid w:val="002D2F1C"/>
    <w:rsid w:val="002D302C"/>
    <w:rsid w:val="002D314D"/>
    <w:rsid w:val="002D3179"/>
    <w:rsid w:val="002D3267"/>
    <w:rsid w:val="002D32A2"/>
    <w:rsid w:val="002D32D2"/>
    <w:rsid w:val="002D33A7"/>
    <w:rsid w:val="002D3435"/>
    <w:rsid w:val="002D3510"/>
    <w:rsid w:val="002D354A"/>
    <w:rsid w:val="002D3552"/>
    <w:rsid w:val="002D358B"/>
    <w:rsid w:val="002D3686"/>
    <w:rsid w:val="002D36B0"/>
    <w:rsid w:val="002D36B5"/>
    <w:rsid w:val="002D36E1"/>
    <w:rsid w:val="002D373D"/>
    <w:rsid w:val="002D37A1"/>
    <w:rsid w:val="002D37D5"/>
    <w:rsid w:val="002D3962"/>
    <w:rsid w:val="002D39DF"/>
    <w:rsid w:val="002D3CCD"/>
    <w:rsid w:val="002D3DA4"/>
    <w:rsid w:val="002D3E0B"/>
    <w:rsid w:val="002D3EC5"/>
    <w:rsid w:val="002D3EF6"/>
    <w:rsid w:val="002D3FB4"/>
    <w:rsid w:val="002D3FEA"/>
    <w:rsid w:val="002D403B"/>
    <w:rsid w:val="002D40F8"/>
    <w:rsid w:val="002D413E"/>
    <w:rsid w:val="002D41AF"/>
    <w:rsid w:val="002D4257"/>
    <w:rsid w:val="002D437E"/>
    <w:rsid w:val="002D447E"/>
    <w:rsid w:val="002D44CC"/>
    <w:rsid w:val="002D44D8"/>
    <w:rsid w:val="002D45AA"/>
    <w:rsid w:val="002D4705"/>
    <w:rsid w:val="002D4733"/>
    <w:rsid w:val="002D476A"/>
    <w:rsid w:val="002D479B"/>
    <w:rsid w:val="002D47A6"/>
    <w:rsid w:val="002D48C0"/>
    <w:rsid w:val="002D496A"/>
    <w:rsid w:val="002D4A24"/>
    <w:rsid w:val="002D4A2A"/>
    <w:rsid w:val="002D4A4A"/>
    <w:rsid w:val="002D4A6B"/>
    <w:rsid w:val="002D4A74"/>
    <w:rsid w:val="002D4B0B"/>
    <w:rsid w:val="002D4BEB"/>
    <w:rsid w:val="002D4E29"/>
    <w:rsid w:val="002D4EA5"/>
    <w:rsid w:val="002D50A8"/>
    <w:rsid w:val="002D50AB"/>
    <w:rsid w:val="002D521C"/>
    <w:rsid w:val="002D5262"/>
    <w:rsid w:val="002D5365"/>
    <w:rsid w:val="002D5402"/>
    <w:rsid w:val="002D5409"/>
    <w:rsid w:val="002D5476"/>
    <w:rsid w:val="002D562B"/>
    <w:rsid w:val="002D569D"/>
    <w:rsid w:val="002D5785"/>
    <w:rsid w:val="002D57DA"/>
    <w:rsid w:val="002D57E5"/>
    <w:rsid w:val="002D58C3"/>
    <w:rsid w:val="002D58E3"/>
    <w:rsid w:val="002D59A2"/>
    <w:rsid w:val="002D59DE"/>
    <w:rsid w:val="002D59FB"/>
    <w:rsid w:val="002D5A42"/>
    <w:rsid w:val="002D5A5D"/>
    <w:rsid w:val="002D5B04"/>
    <w:rsid w:val="002D5B6D"/>
    <w:rsid w:val="002D5C0F"/>
    <w:rsid w:val="002D5C3F"/>
    <w:rsid w:val="002D5C48"/>
    <w:rsid w:val="002D5CFA"/>
    <w:rsid w:val="002D5D07"/>
    <w:rsid w:val="002D5D2C"/>
    <w:rsid w:val="002D5D82"/>
    <w:rsid w:val="002D5E77"/>
    <w:rsid w:val="002D5FAD"/>
    <w:rsid w:val="002D5FEB"/>
    <w:rsid w:val="002D6149"/>
    <w:rsid w:val="002D614F"/>
    <w:rsid w:val="002D6300"/>
    <w:rsid w:val="002D635A"/>
    <w:rsid w:val="002D636B"/>
    <w:rsid w:val="002D6386"/>
    <w:rsid w:val="002D639C"/>
    <w:rsid w:val="002D63D2"/>
    <w:rsid w:val="002D64A3"/>
    <w:rsid w:val="002D64BC"/>
    <w:rsid w:val="002D6547"/>
    <w:rsid w:val="002D66C6"/>
    <w:rsid w:val="002D6987"/>
    <w:rsid w:val="002D69EC"/>
    <w:rsid w:val="002D6AFC"/>
    <w:rsid w:val="002D6B45"/>
    <w:rsid w:val="002D6C03"/>
    <w:rsid w:val="002D6C7C"/>
    <w:rsid w:val="002D6D24"/>
    <w:rsid w:val="002D6DDE"/>
    <w:rsid w:val="002D6EC1"/>
    <w:rsid w:val="002D6FE7"/>
    <w:rsid w:val="002D7156"/>
    <w:rsid w:val="002D717D"/>
    <w:rsid w:val="002D71D6"/>
    <w:rsid w:val="002D7242"/>
    <w:rsid w:val="002D7256"/>
    <w:rsid w:val="002D7284"/>
    <w:rsid w:val="002D73AC"/>
    <w:rsid w:val="002D73E8"/>
    <w:rsid w:val="002D7423"/>
    <w:rsid w:val="002D7497"/>
    <w:rsid w:val="002D749B"/>
    <w:rsid w:val="002D74A5"/>
    <w:rsid w:val="002D74F1"/>
    <w:rsid w:val="002D7568"/>
    <w:rsid w:val="002D75AC"/>
    <w:rsid w:val="002D767C"/>
    <w:rsid w:val="002D76D5"/>
    <w:rsid w:val="002D7738"/>
    <w:rsid w:val="002D7740"/>
    <w:rsid w:val="002D77A5"/>
    <w:rsid w:val="002D77C1"/>
    <w:rsid w:val="002D78AD"/>
    <w:rsid w:val="002D7A9A"/>
    <w:rsid w:val="002D7ACF"/>
    <w:rsid w:val="002D7B2D"/>
    <w:rsid w:val="002D7B3B"/>
    <w:rsid w:val="002D7C35"/>
    <w:rsid w:val="002D7C7E"/>
    <w:rsid w:val="002D7CF4"/>
    <w:rsid w:val="002D7DEA"/>
    <w:rsid w:val="002D7EB4"/>
    <w:rsid w:val="002D7EE0"/>
    <w:rsid w:val="002D7EEB"/>
    <w:rsid w:val="002E0010"/>
    <w:rsid w:val="002E00AA"/>
    <w:rsid w:val="002E00C7"/>
    <w:rsid w:val="002E0131"/>
    <w:rsid w:val="002E017F"/>
    <w:rsid w:val="002E02AD"/>
    <w:rsid w:val="002E02CA"/>
    <w:rsid w:val="002E02E0"/>
    <w:rsid w:val="002E02E4"/>
    <w:rsid w:val="002E039A"/>
    <w:rsid w:val="002E03A5"/>
    <w:rsid w:val="002E04C1"/>
    <w:rsid w:val="002E0557"/>
    <w:rsid w:val="002E056A"/>
    <w:rsid w:val="002E0599"/>
    <w:rsid w:val="002E05A8"/>
    <w:rsid w:val="002E06D6"/>
    <w:rsid w:val="002E0760"/>
    <w:rsid w:val="002E0788"/>
    <w:rsid w:val="002E07DC"/>
    <w:rsid w:val="002E07FD"/>
    <w:rsid w:val="002E08C9"/>
    <w:rsid w:val="002E08E7"/>
    <w:rsid w:val="002E0A45"/>
    <w:rsid w:val="002E0A50"/>
    <w:rsid w:val="002E0B27"/>
    <w:rsid w:val="002E0B3D"/>
    <w:rsid w:val="002E0D0D"/>
    <w:rsid w:val="002E0DEC"/>
    <w:rsid w:val="002E0E9B"/>
    <w:rsid w:val="002E0EBB"/>
    <w:rsid w:val="002E100E"/>
    <w:rsid w:val="002E1038"/>
    <w:rsid w:val="002E1041"/>
    <w:rsid w:val="002E10CB"/>
    <w:rsid w:val="002E1168"/>
    <w:rsid w:val="002E121E"/>
    <w:rsid w:val="002E12A7"/>
    <w:rsid w:val="002E12E3"/>
    <w:rsid w:val="002E136C"/>
    <w:rsid w:val="002E13CF"/>
    <w:rsid w:val="002E1455"/>
    <w:rsid w:val="002E15BD"/>
    <w:rsid w:val="002E15E9"/>
    <w:rsid w:val="002E165B"/>
    <w:rsid w:val="002E16DF"/>
    <w:rsid w:val="002E16E7"/>
    <w:rsid w:val="002E174B"/>
    <w:rsid w:val="002E177E"/>
    <w:rsid w:val="002E18A3"/>
    <w:rsid w:val="002E191C"/>
    <w:rsid w:val="002E1947"/>
    <w:rsid w:val="002E1AB5"/>
    <w:rsid w:val="002E1AF6"/>
    <w:rsid w:val="002E1BFF"/>
    <w:rsid w:val="002E1E42"/>
    <w:rsid w:val="002E1E82"/>
    <w:rsid w:val="002E1EDF"/>
    <w:rsid w:val="002E1F3F"/>
    <w:rsid w:val="002E1F73"/>
    <w:rsid w:val="002E20AF"/>
    <w:rsid w:val="002E20D3"/>
    <w:rsid w:val="002E20F0"/>
    <w:rsid w:val="002E21C0"/>
    <w:rsid w:val="002E21EA"/>
    <w:rsid w:val="002E24AF"/>
    <w:rsid w:val="002E24DB"/>
    <w:rsid w:val="002E25BE"/>
    <w:rsid w:val="002E25D4"/>
    <w:rsid w:val="002E267B"/>
    <w:rsid w:val="002E26C0"/>
    <w:rsid w:val="002E26D5"/>
    <w:rsid w:val="002E278C"/>
    <w:rsid w:val="002E27C9"/>
    <w:rsid w:val="002E2803"/>
    <w:rsid w:val="002E2822"/>
    <w:rsid w:val="002E283E"/>
    <w:rsid w:val="002E2844"/>
    <w:rsid w:val="002E28A7"/>
    <w:rsid w:val="002E2998"/>
    <w:rsid w:val="002E29F9"/>
    <w:rsid w:val="002E2A4B"/>
    <w:rsid w:val="002E2B1E"/>
    <w:rsid w:val="002E2B25"/>
    <w:rsid w:val="002E2B97"/>
    <w:rsid w:val="002E2B99"/>
    <w:rsid w:val="002E2EB4"/>
    <w:rsid w:val="002E2ED3"/>
    <w:rsid w:val="002E2EE9"/>
    <w:rsid w:val="002E2FBA"/>
    <w:rsid w:val="002E3105"/>
    <w:rsid w:val="002E3110"/>
    <w:rsid w:val="002E31B4"/>
    <w:rsid w:val="002E31E9"/>
    <w:rsid w:val="002E320C"/>
    <w:rsid w:val="002E3273"/>
    <w:rsid w:val="002E3282"/>
    <w:rsid w:val="002E32C3"/>
    <w:rsid w:val="002E3304"/>
    <w:rsid w:val="002E3407"/>
    <w:rsid w:val="002E34D1"/>
    <w:rsid w:val="002E35A9"/>
    <w:rsid w:val="002E35DD"/>
    <w:rsid w:val="002E3639"/>
    <w:rsid w:val="002E36EB"/>
    <w:rsid w:val="002E36F8"/>
    <w:rsid w:val="002E37DD"/>
    <w:rsid w:val="002E389D"/>
    <w:rsid w:val="002E38BB"/>
    <w:rsid w:val="002E393C"/>
    <w:rsid w:val="002E3A21"/>
    <w:rsid w:val="002E3BA5"/>
    <w:rsid w:val="002E3F60"/>
    <w:rsid w:val="002E3F66"/>
    <w:rsid w:val="002E3FBB"/>
    <w:rsid w:val="002E408D"/>
    <w:rsid w:val="002E417A"/>
    <w:rsid w:val="002E41CC"/>
    <w:rsid w:val="002E41E7"/>
    <w:rsid w:val="002E4220"/>
    <w:rsid w:val="002E425A"/>
    <w:rsid w:val="002E42A9"/>
    <w:rsid w:val="002E44B1"/>
    <w:rsid w:val="002E4502"/>
    <w:rsid w:val="002E4533"/>
    <w:rsid w:val="002E4666"/>
    <w:rsid w:val="002E479F"/>
    <w:rsid w:val="002E47DA"/>
    <w:rsid w:val="002E480A"/>
    <w:rsid w:val="002E4A27"/>
    <w:rsid w:val="002E4BEB"/>
    <w:rsid w:val="002E4C1D"/>
    <w:rsid w:val="002E4C2B"/>
    <w:rsid w:val="002E4CD5"/>
    <w:rsid w:val="002E4D15"/>
    <w:rsid w:val="002E4D57"/>
    <w:rsid w:val="002E4DE0"/>
    <w:rsid w:val="002E4EC2"/>
    <w:rsid w:val="002E5004"/>
    <w:rsid w:val="002E5089"/>
    <w:rsid w:val="002E50CB"/>
    <w:rsid w:val="002E50F9"/>
    <w:rsid w:val="002E5274"/>
    <w:rsid w:val="002E52DF"/>
    <w:rsid w:val="002E544A"/>
    <w:rsid w:val="002E5541"/>
    <w:rsid w:val="002E558B"/>
    <w:rsid w:val="002E559C"/>
    <w:rsid w:val="002E55BC"/>
    <w:rsid w:val="002E56C9"/>
    <w:rsid w:val="002E56F2"/>
    <w:rsid w:val="002E5957"/>
    <w:rsid w:val="002E5A30"/>
    <w:rsid w:val="002E5A97"/>
    <w:rsid w:val="002E5AA0"/>
    <w:rsid w:val="002E5AE6"/>
    <w:rsid w:val="002E5B13"/>
    <w:rsid w:val="002E5D85"/>
    <w:rsid w:val="002E5DBB"/>
    <w:rsid w:val="002E5DE3"/>
    <w:rsid w:val="002E5EA3"/>
    <w:rsid w:val="002E5F55"/>
    <w:rsid w:val="002E5FBE"/>
    <w:rsid w:val="002E5FD7"/>
    <w:rsid w:val="002E5FE7"/>
    <w:rsid w:val="002E607B"/>
    <w:rsid w:val="002E61B8"/>
    <w:rsid w:val="002E61F1"/>
    <w:rsid w:val="002E63A9"/>
    <w:rsid w:val="002E6488"/>
    <w:rsid w:val="002E6531"/>
    <w:rsid w:val="002E6598"/>
    <w:rsid w:val="002E65AE"/>
    <w:rsid w:val="002E65BB"/>
    <w:rsid w:val="002E65C8"/>
    <w:rsid w:val="002E6636"/>
    <w:rsid w:val="002E6742"/>
    <w:rsid w:val="002E6891"/>
    <w:rsid w:val="002E68E3"/>
    <w:rsid w:val="002E6991"/>
    <w:rsid w:val="002E69E9"/>
    <w:rsid w:val="002E6A9F"/>
    <w:rsid w:val="002E6BAD"/>
    <w:rsid w:val="002E6BB9"/>
    <w:rsid w:val="002E6BBA"/>
    <w:rsid w:val="002E6CCB"/>
    <w:rsid w:val="002E6E7C"/>
    <w:rsid w:val="002E6F75"/>
    <w:rsid w:val="002E6FCD"/>
    <w:rsid w:val="002E7087"/>
    <w:rsid w:val="002E736A"/>
    <w:rsid w:val="002E73AE"/>
    <w:rsid w:val="002E73B8"/>
    <w:rsid w:val="002E73EC"/>
    <w:rsid w:val="002E7436"/>
    <w:rsid w:val="002E744B"/>
    <w:rsid w:val="002E7456"/>
    <w:rsid w:val="002E75F8"/>
    <w:rsid w:val="002E760B"/>
    <w:rsid w:val="002E7644"/>
    <w:rsid w:val="002E76D5"/>
    <w:rsid w:val="002E7719"/>
    <w:rsid w:val="002E773D"/>
    <w:rsid w:val="002E78BA"/>
    <w:rsid w:val="002E7945"/>
    <w:rsid w:val="002E79DC"/>
    <w:rsid w:val="002E7B2A"/>
    <w:rsid w:val="002E7B66"/>
    <w:rsid w:val="002E7B68"/>
    <w:rsid w:val="002E7B95"/>
    <w:rsid w:val="002E7BD4"/>
    <w:rsid w:val="002E7C38"/>
    <w:rsid w:val="002E7C6F"/>
    <w:rsid w:val="002E7CBA"/>
    <w:rsid w:val="002E7D04"/>
    <w:rsid w:val="002E7D2A"/>
    <w:rsid w:val="002E7F2F"/>
    <w:rsid w:val="002F0022"/>
    <w:rsid w:val="002F0343"/>
    <w:rsid w:val="002F0443"/>
    <w:rsid w:val="002F04F1"/>
    <w:rsid w:val="002F0590"/>
    <w:rsid w:val="002F05D0"/>
    <w:rsid w:val="002F0683"/>
    <w:rsid w:val="002F0800"/>
    <w:rsid w:val="002F08CE"/>
    <w:rsid w:val="002F0943"/>
    <w:rsid w:val="002F0955"/>
    <w:rsid w:val="002F09A1"/>
    <w:rsid w:val="002F09FE"/>
    <w:rsid w:val="002F0B06"/>
    <w:rsid w:val="002F0B25"/>
    <w:rsid w:val="002F0B40"/>
    <w:rsid w:val="002F0B7A"/>
    <w:rsid w:val="002F0BC4"/>
    <w:rsid w:val="002F0BDD"/>
    <w:rsid w:val="002F0CE5"/>
    <w:rsid w:val="002F0D0D"/>
    <w:rsid w:val="002F0E4C"/>
    <w:rsid w:val="002F0F94"/>
    <w:rsid w:val="002F0FF3"/>
    <w:rsid w:val="002F10F9"/>
    <w:rsid w:val="002F111A"/>
    <w:rsid w:val="002F12BE"/>
    <w:rsid w:val="002F12E6"/>
    <w:rsid w:val="002F13A6"/>
    <w:rsid w:val="002F1408"/>
    <w:rsid w:val="002F14B1"/>
    <w:rsid w:val="002F14D8"/>
    <w:rsid w:val="002F1558"/>
    <w:rsid w:val="002F16B0"/>
    <w:rsid w:val="002F1731"/>
    <w:rsid w:val="002F1806"/>
    <w:rsid w:val="002F1927"/>
    <w:rsid w:val="002F19BB"/>
    <w:rsid w:val="002F19E3"/>
    <w:rsid w:val="002F1C14"/>
    <w:rsid w:val="002F1C1F"/>
    <w:rsid w:val="002F1CE3"/>
    <w:rsid w:val="002F1D53"/>
    <w:rsid w:val="002F1DFF"/>
    <w:rsid w:val="002F1FBE"/>
    <w:rsid w:val="002F2003"/>
    <w:rsid w:val="002F214C"/>
    <w:rsid w:val="002F2153"/>
    <w:rsid w:val="002F21E8"/>
    <w:rsid w:val="002F22E1"/>
    <w:rsid w:val="002F2443"/>
    <w:rsid w:val="002F245E"/>
    <w:rsid w:val="002F2465"/>
    <w:rsid w:val="002F250F"/>
    <w:rsid w:val="002F253A"/>
    <w:rsid w:val="002F2634"/>
    <w:rsid w:val="002F2646"/>
    <w:rsid w:val="002F2847"/>
    <w:rsid w:val="002F28D0"/>
    <w:rsid w:val="002F28E5"/>
    <w:rsid w:val="002F28EF"/>
    <w:rsid w:val="002F295E"/>
    <w:rsid w:val="002F2983"/>
    <w:rsid w:val="002F2E60"/>
    <w:rsid w:val="002F309B"/>
    <w:rsid w:val="002F30B7"/>
    <w:rsid w:val="002F30DF"/>
    <w:rsid w:val="002F316A"/>
    <w:rsid w:val="002F320E"/>
    <w:rsid w:val="002F32DF"/>
    <w:rsid w:val="002F32ED"/>
    <w:rsid w:val="002F3300"/>
    <w:rsid w:val="002F330D"/>
    <w:rsid w:val="002F3315"/>
    <w:rsid w:val="002F33B7"/>
    <w:rsid w:val="002F33F0"/>
    <w:rsid w:val="002F3467"/>
    <w:rsid w:val="002F3480"/>
    <w:rsid w:val="002F3522"/>
    <w:rsid w:val="002F356B"/>
    <w:rsid w:val="002F35B8"/>
    <w:rsid w:val="002F3662"/>
    <w:rsid w:val="002F380D"/>
    <w:rsid w:val="002F38EF"/>
    <w:rsid w:val="002F3928"/>
    <w:rsid w:val="002F3983"/>
    <w:rsid w:val="002F39EF"/>
    <w:rsid w:val="002F3D9A"/>
    <w:rsid w:val="002F3E8E"/>
    <w:rsid w:val="002F3EA4"/>
    <w:rsid w:val="002F3F7F"/>
    <w:rsid w:val="002F4017"/>
    <w:rsid w:val="002F4169"/>
    <w:rsid w:val="002F4218"/>
    <w:rsid w:val="002F43BD"/>
    <w:rsid w:val="002F4428"/>
    <w:rsid w:val="002F44E2"/>
    <w:rsid w:val="002F44F2"/>
    <w:rsid w:val="002F4527"/>
    <w:rsid w:val="002F455A"/>
    <w:rsid w:val="002F458D"/>
    <w:rsid w:val="002F45CB"/>
    <w:rsid w:val="002F467E"/>
    <w:rsid w:val="002F474D"/>
    <w:rsid w:val="002F477B"/>
    <w:rsid w:val="002F47A9"/>
    <w:rsid w:val="002F4868"/>
    <w:rsid w:val="002F48F8"/>
    <w:rsid w:val="002F4A47"/>
    <w:rsid w:val="002F4B04"/>
    <w:rsid w:val="002F4B3E"/>
    <w:rsid w:val="002F4B50"/>
    <w:rsid w:val="002F4BB8"/>
    <w:rsid w:val="002F4C5D"/>
    <w:rsid w:val="002F4C89"/>
    <w:rsid w:val="002F4CC6"/>
    <w:rsid w:val="002F4DCF"/>
    <w:rsid w:val="002F4E09"/>
    <w:rsid w:val="002F4E0B"/>
    <w:rsid w:val="002F4E90"/>
    <w:rsid w:val="002F4F12"/>
    <w:rsid w:val="002F4FBC"/>
    <w:rsid w:val="002F5059"/>
    <w:rsid w:val="002F508D"/>
    <w:rsid w:val="002F51EE"/>
    <w:rsid w:val="002F52DB"/>
    <w:rsid w:val="002F550F"/>
    <w:rsid w:val="002F5542"/>
    <w:rsid w:val="002F55F1"/>
    <w:rsid w:val="002F5654"/>
    <w:rsid w:val="002F576C"/>
    <w:rsid w:val="002F5777"/>
    <w:rsid w:val="002F5A20"/>
    <w:rsid w:val="002F5A32"/>
    <w:rsid w:val="002F5A89"/>
    <w:rsid w:val="002F5B0F"/>
    <w:rsid w:val="002F5B4C"/>
    <w:rsid w:val="002F5BC2"/>
    <w:rsid w:val="002F5C15"/>
    <w:rsid w:val="002F5C9D"/>
    <w:rsid w:val="002F5D01"/>
    <w:rsid w:val="002F5DD6"/>
    <w:rsid w:val="002F5E18"/>
    <w:rsid w:val="002F5E20"/>
    <w:rsid w:val="002F5EA7"/>
    <w:rsid w:val="002F602D"/>
    <w:rsid w:val="002F6157"/>
    <w:rsid w:val="002F6196"/>
    <w:rsid w:val="002F61F2"/>
    <w:rsid w:val="002F63AA"/>
    <w:rsid w:val="002F63E0"/>
    <w:rsid w:val="002F63EF"/>
    <w:rsid w:val="002F6446"/>
    <w:rsid w:val="002F6585"/>
    <w:rsid w:val="002F66F3"/>
    <w:rsid w:val="002F6710"/>
    <w:rsid w:val="002F6737"/>
    <w:rsid w:val="002F67AA"/>
    <w:rsid w:val="002F69D0"/>
    <w:rsid w:val="002F69DD"/>
    <w:rsid w:val="002F6A37"/>
    <w:rsid w:val="002F6A57"/>
    <w:rsid w:val="002F6A6C"/>
    <w:rsid w:val="002F6A79"/>
    <w:rsid w:val="002F6B6A"/>
    <w:rsid w:val="002F6B76"/>
    <w:rsid w:val="002F6BCE"/>
    <w:rsid w:val="002F6CE4"/>
    <w:rsid w:val="002F6D7E"/>
    <w:rsid w:val="002F6DFD"/>
    <w:rsid w:val="002F6E02"/>
    <w:rsid w:val="002F6EAF"/>
    <w:rsid w:val="002F6EE0"/>
    <w:rsid w:val="002F6F44"/>
    <w:rsid w:val="002F6F71"/>
    <w:rsid w:val="002F7027"/>
    <w:rsid w:val="002F7096"/>
    <w:rsid w:val="002F7099"/>
    <w:rsid w:val="002F709C"/>
    <w:rsid w:val="002F71DA"/>
    <w:rsid w:val="002F72A4"/>
    <w:rsid w:val="002F72EF"/>
    <w:rsid w:val="002F72FB"/>
    <w:rsid w:val="002F733D"/>
    <w:rsid w:val="002F7361"/>
    <w:rsid w:val="002F73F9"/>
    <w:rsid w:val="002F75EF"/>
    <w:rsid w:val="002F7672"/>
    <w:rsid w:val="002F76EB"/>
    <w:rsid w:val="002F78DB"/>
    <w:rsid w:val="002F78F6"/>
    <w:rsid w:val="002F7AEF"/>
    <w:rsid w:val="002F7AF6"/>
    <w:rsid w:val="002F7DB4"/>
    <w:rsid w:val="002F7E51"/>
    <w:rsid w:val="002F7ED2"/>
    <w:rsid w:val="002F7F89"/>
    <w:rsid w:val="00300043"/>
    <w:rsid w:val="003000AA"/>
    <w:rsid w:val="003001B1"/>
    <w:rsid w:val="003001DF"/>
    <w:rsid w:val="00300234"/>
    <w:rsid w:val="00300269"/>
    <w:rsid w:val="00300412"/>
    <w:rsid w:val="00300660"/>
    <w:rsid w:val="00300680"/>
    <w:rsid w:val="00300688"/>
    <w:rsid w:val="00300690"/>
    <w:rsid w:val="00300792"/>
    <w:rsid w:val="00300797"/>
    <w:rsid w:val="003007E8"/>
    <w:rsid w:val="003007EB"/>
    <w:rsid w:val="003008FB"/>
    <w:rsid w:val="00300945"/>
    <w:rsid w:val="00300B66"/>
    <w:rsid w:val="00300B84"/>
    <w:rsid w:val="00300BCF"/>
    <w:rsid w:val="00300BF0"/>
    <w:rsid w:val="00300CBB"/>
    <w:rsid w:val="00300D0E"/>
    <w:rsid w:val="00300D87"/>
    <w:rsid w:val="00300DC7"/>
    <w:rsid w:val="00300DE6"/>
    <w:rsid w:val="003010B6"/>
    <w:rsid w:val="0030119B"/>
    <w:rsid w:val="00301237"/>
    <w:rsid w:val="00301291"/>
    <w:rsid w:val="003012C2"/>
    <w:rsid w:val="003013EC"/>
    <w:rsid w:val="003014A7"/>
    <w:rsid w:val="00301559"/>
    <w:rsid w:val="0030158B"/>
    <w:rsid w:val="003015D6"/>
    <w:rsid w:val="00301607"/>
    <w:rsid w:val="00301694"/>
    <w:rsid w:val="003017E1"/>
    <w:rsid w:val="00301B1C"/>
    <w:rsid w:val="00301D03"/>
    <w:rsid w:val="00301D17"/>
    <w:rsid w:val="00301EAB"/>
    <w:rsid w:val="00301EC6"/>
    <w:rsid w:val="00301EF1"/>
    <w:rsid w:val="00301F51"/>
    <w:rsid w:val="00302060"/>
    <w:rsid w:val="00302064"/>
    <w:rsid w:val="00302081"/>
    <w:rsid w:val="003021F6"/>
    <w:rsid w:val="00302222"/>
    <w:rsid w:val="0030236D"/>
    <w:rsid w:val="0030236F"/>
    <w:rsid w:val="00302431"/>
    <w:rsid w:val="00302460"/>
    <w:rsid w:val="003024AB"/>
    <w:rsid w:val="00302536"/>
    <w:rsid w:val="003026BA"/>
    <w:rsid w:val="003026CA"/>
    <w:rsid w:val="00302708"/>
    <w:rsid w:val="003027E9"/>
    <w:rsid w:val="0030285E"/>
    <w:rsid w:val="00302896"/>
    <w:rsid w:val="003028A8"/>
    <w:rsid w:val="003028B9"/>
    <w:rsid w:val="00302A28"/>
    <w:rsid w:val="00302B4E"/>
    <w:rsid w:val="00302BE9"/>
    <w:rsid w:val="00302BEF"/>
    <w:rsid w:val="00302C8A"/>
    <w:rsid w:val="00302D48"/>
    <w:rsid w:val="00302D95"/>
    <w:rsid w:val="00302F4C"/>
    <w:rsid w:val="00303086"/>
    <w:rsid w:val="003030E5"/>
    <w:rsid w:val="00303101"/>
    <w:rsid w:val="0030319F"/>
    <w:rsid w:val="003031FC"/>
    <w:rsid w:val="00303296"/>
    <w:rsid w:val="003032DC"/>
    <w:rsid w:val="0030345D"/>
    <w:rsid w:val="0030346C"/>
    <w:rsid w:val="003035CD"/>
    <w:rsid w:val="003035D4"/>
    <w:rsid w:val="00303613"/>
    <w:rsid w:val="00303683"/>
    <w:rsid w:val="003036D7"/>
    <w:rsid w:val="0030372D"/>
    <w:rsid w:val="00303939"/>
    <w:rsid w:val="00303B29"/>
    <w:rsid w:val="00303BBF"/>
    <w:rsid w:val="00303BCE"/>
    <w:rsid w:val="00303BEF"/>
    <w:rsid w:val="00303D1A"/>
    <w:rsid w:val="00303DBE"/>
    <w:rsid w:val="00303DCA"/>
    <w:rsid w:val="00303ECB"/>
    <w:rsid w:val="00303FA8"/>
    <w:rsid w:val="00303FBE"/>
    <w:rsid w:val="00304033"/>
    <w:rsid w:val="003040C5"/>
    <w:rsid w:val="00304127"/>
    <w:rsid w:val="00304180"/>
    <w:rsid w:val="003041FA"/>
    <w:rsid w:val="0030438E"/>
    <w:rsid w:val="003045B6"/>
    <w:rsid w:val="00304604"/>
    <w:rsid w:val="00304648"/>
    <w:rsid w:val="0030465D"/>
    <w:rsid w:val="003046E0"/>
    <w:rsid w:val="00304769"/>
    <w:rsid w:val="0030491B"/>
    <w:rsid w:val="003049BD"/>
    <w:rsid w:val="00304A4C"/>
    <w:rsid w:val="00304BC9"/>
    <w:rsid w:val="00304BD0"/>
    <w:rsid w:val="00304CAD"/>
    <w:rsid w:val="00304CCF"/>
    <w:rsid w:val="00304CDC"/>
    <w:rsid w:val="00304DEB"/>
    <w:rsid w:val="00304E3E"/>
    <w:rsid w:val="00304E71"/>
    <w:rsid w:val="00304F89"/>
    <w:rsid w:val="0030506D"/>
    <w:rsid w:val="00305256"/>
    <w:rsid w:val="00305415"/>
    <w:rsid w:val="003054D7"/>
    <w:rsid w:val="0030550E"/>
    <w:rsid w:val="0030558C"/>
    <w:rsid w:val="003055B9"/>
    <w:rsid w:val="003055DD"/>
    <w:rsid w:val="00305611"/>
    <w:rsid w:val="0030583C"/>
    <w:rsid w:val="0030589D"/>
    <w:rsid w:val="003058A6"/>
    <w:rsid w:val="003058AD"/>
    <w:rsid w:val="003058F1"/>
    <w:rsid w:val="0030598F"/>
    <w:rsid w:val="003059AB"/>
    <w:rsid w:val="00305A83"/>
    <w:rsid w:val="00305E5D"/>
    <w:rsid w:val="00305E64"/>
    <w:rsid w:val="003060E4"/>
    <w:rsid w:val="003061EE"/>
    <w:rsid w:val="0030626B"/>
    <w:rsid w:val="003062AA"/>
    <w:rsid w:val="0030635C"/>
    <w:rsid w:val="003064EC"/>
    <w:rsid w:val="00306624"/>
    <w:rsid w:val="0030664E"/>
    <w:rsid w:val="0030673D"/>
    <w:rsid w:val="00306797"/>
    <w:rsid w:val="003067B3"/>
    <w:rsid w:val="003067C4"/>
    <w:rsid w:val="00306818"/>
    <w:rsid w:val="003068B9"/>
    <w:rsid w:val="003068D5"/>
    <w:rsid w:val="00306944"/>
    <w:rsid w:val="00306A55"/>
    <w:rsid w:val="00306AE6"/>
    <w:rsid w:val="00306BEB"/>
    <w:rsid w:val="00306BF9"/>
    <w:rsid w:val="00306D24"/>
    <w:rsid w:val="00306D2E"/>
    <w:rsid w:val="00306DA8"/>
    <w:rsid w:val="00306DC7"/>
    <w:rsid w:val="00306DCF"/>
    <w:rsid w:val="00306E00"/>
    <w:rsid w:val="00306E2A"/>
    <w:rsid w:val="00306E41"/>
    <w:rsid w:val="00306EC4"/>
    <w:rsid w:val="00306EE8"/>
    <w:rsid w:val="00306F17"/>
    <w:rsid w:val="00306F2E"/>
    <w:rsid w:val="0030714D"/>
    <w:rsid w:val="0030715B"/>
    <w:rsid w:val="0030717E"/>
    <w:rsid w:val="003071F7"/>
    <w:rsid w:val="00307201"/>
    <w:rsid w:val="00307232"/>
    <w:rsid w:val="003073F7"/>
    <w:rsid w:val="00307401"/>
    <w:rsid w:val="00307652"/>
    <w:rsid w:val="00307704"/>
    <w:rsid w:val="0030772E"/>
    <w:rsid w:val="003077C2"/>
    <w:rsid w:val="00307883"/>
    <w:rsid w:val="00307891"/>
    <w:rsid w:val="00307B86"/>
    <w:rsid w:val="00307C72"/>
    <w:rsid w:val="00307D1E"/>
    <w:rsid w:val="00307ED6"/>
    <w:rsid w:val="00310078"/>
    <w:rsid w:val="0031017C"/>
    <w:rsid w:val="00310186"/>
    <w:rsid w:val="003101DE"/>
    <w:rsid w:val="00310214"/>
    <w:rsid w:val="00310259"/>
    <w:rsid w:val="003102D9"/>
    <w:rsid w:val="003104CD"/>
    <w:rsid w:val="00310543"/>
    <w:rsid w:val="00310893"/>
    <w:rsid w:val="00310905"/>
    <w:rsid w:val="00310A7F"/>
    <w:rsid w:val="00310AC3"/>
    <w:rsid w:val="00310B7A"/>
    <w:rsid w:val="00310D63"/>
    <w:rsid w:val="00310D64"/>
    <w:rsid w:val="00310EA1"/>
    <w:rsid w:val="00310ECD"/>
    <w:rsid w:val="00310FA8"/>
    <w:rsid w:val="0031109E"/>
    <w:rsid w:val="00311168"/>
    <w:rsid w:val="0031116A"/>
    <w:rsid w:val="003111A6"/>
    <w:rsid w:val="003111CA"/>
    <w:rsid w:val="00311298"/>
    <w:rsid w:val="003112A2"/>
    <w:rsid w:val="00311381"/>
    <w:rsid w:val="00311394"/>
    <w:rsid w:val="003113A0"/>
    <w:rsid w:val="003113CF"/>
    <w:rsid w:val="0031145A"/>
    <w:rsid w:val="003114F6"/>
    <w:rsid w:val="00311520"/>
    <w:rsid w:val="0031159A"/>
    <w:rsid w:val="0031163B"/>
    <w:rsid w:val="003116F1"/>
    <w:rsid w:val="00311792"/>
    <w:rsid w:val="00311839"/>
    <w:rsid w:val="00311852"/>
    <w:rsid w:val="003118B1"/>
    <w:rsid w:val="0031191A"/>
    <w:rsid w:val="0031193C"/>
    <w:rsid w:val="00311958"/>
    <w:rsid w:val="00311A93"/>
    <w:rsid w:val="00311ADB"/>
    <w:rsid w:val="00311C86"/>
    <w:rsid w:val="00311C89"/>
    <w:rsid w:val="00311CC2"/>
    <w:rsid w:val="00311CD6"/>
    <w:rsid w:val="00311D31"/>
    <w:rsid w:val="00311E48"/>
    <w:rsid w:val="00311F2C"/>
    <w:rsid w:val="00311F5D"/>
    <w:rsid w:val="00311FE5"/>
    <w:rsid w:val="00311FF3"/>
    <w:rsid w:val="00312073"/>
    <w:rsid w:val="0031208C"/>
    <w:rsid w:val="003120CF"/>
    <w:rsid w:val="0031212E"/>
    <w:rsid w:val="003121DE"/>
    <w:rsid w:val="003121E5"/>
    <w:rsid w:val="003121F3"/>
    <w:rsid w:val="0031229C"/>
    <w:rsid w:val="003122A1"/>
    <w:rsid w:val="003122F2"/>
    <w:rsid w:val="0031237D"/>
    <w:rsid w:val="003123A3"/>
    <w:rsid w:val="00312474"/>
    <w:rsid w:val="00312680"/>
    <w:rsid w:val="00312715"/>
    <w:rsid w:val="0031276F"/>
    <w:rsid w:val="003127F9"/>
    <w:rsid w:val="003129F2"/>
    <w:rsid w:val="00312AAD"/>
    <w:rsid w:val="00312ABB"/>
    <w:rsid w:val="00312AE9"/>
    <w:rsid w:val="00312AF0"/>
    <w:rsid w:val="00312B6B"/>
    <w:rsid w:val="00312C25"/>
    <w:rsid w:val="00312CD5"/>
    <w:rsid w:val="00312D07"/>
    <w:rsid w:val="00312DA8"/>
    <w:rsid w:val="00312DAB"/>
    <w:rsid w:val="00312DAE"/>
    <w:rsid w:val="00312DED"/>
    <w:rsid w:val="00312EC4"/>
    <w:rsid w:val="00312EC6"/>
    <w:rsid w:val="00312F4D"/>
    <w:rsid w:val="00312F7D"/>
    <w:rsid w:val="003131AA"/>
    <w:rsid w:val="003131AE"/>
    <w:rsid w:val="0031320D"/>
    <w:rsid w:val="00313433"/>
    <w:rsid w:val="0031349F"/>
    <w:rsid w:val="003134B5"/>
    <w:rsid w:val="00313530"/>
    <w:rsid w:val="003135D0"/>
    <w:rsid w:val="00313617"/>
    <w:rsid w:val="00313691"/>
    <w:rsid w:val="00313724"/>
    <w:rsid w:val="003137B3"/>
    <w:rsid w:val="0031389F"/>
    <w:rsid w:val="00313932"/>
    <w:rsid w:val="0031398A"/>
    <w:rsid w:val="00313A1B"/>
    <w:rsid w:val="00313A83"/>
    <w:rsid w:val="00313C3F"/>
    <w:rsid w:val="00313C7E"/>
    <w:rsid w:val="00313E25"/>
    <w:rsid w:val="00313E76"/>
    <w:rsid w:val="00313EE1"/>
    <w:rsid w:val="00313F64"/>
    <w:rsid w:val="00313F6F"/>
    <w:rsid w:val="00313F70"/>
    <w:rsid w:val="00313F98"/>
    <w:rsid w:val="00313F9C"/>
    <w:rsid w:val="00314047"/>
    <w:rsid w:val="00314097"/>
    <w:rsid w:val="00314146"/>
    <w:rsid w:val="0031426B"/>
    <w:rsid w:val="00314428"/>
    <w:rsid w:val="00314442"/>
    <w:rsid w:val="00314448"/>
    <w:rsid w:val="003144D1"/>
    <w:rsid w:val="0031453D"/>
    <w:rsid w:val="003145FA"/>
    <w:rsid w:val="00314671"/>
    <w:rsid w:val="0031478E"/>
    <w:rsid w:val="003147C4"/>
    <w:rsid w:val="003147E7"/>
    <w:rsid w:val="0031491C"/>
    <w:rsid w:val="003149AC"/>
    <w:rsid w:val="00314B17"/>
    <w:rsid w:val="00314BDF"/>
    <w:rsid w:val="00314C9E"/>
    <w:rsid w:val="00314CBA"/>
    <w:rsid w:val="00314D19"/>
    <w:rsid w:val="00314DA6"/>
    <w:rsid w:val="00314E19"/>
    <w:rsid w:val="00315040"/>
    <w:rsid w:val="0031514A"/>
    <w:rsid w:val="00315169"/>
    <w:rsid w:val="003152B2"/>
    <w:rsid w:val="00315311"/>
    <w:rsid w:val="003153B2"/>
    <w:rsid w:val="003153EB"/>
    <w:rsid w:val="003153FB"/>
    <w:rsid w:val="00315428"/>
    <w:rsid w:val="0031542C"/>
    <w:rsid w:val="00315462"/>
    <w:rsid w:val="0031548C"/>
    <w:rsid w:val="003154FC"/>
    <w:rsid w:val="0031553A"/>
    <w:rsid w:val="003156D7"/>
    <w:rsid w:val="003156EF"/>
    <w:rsid w:val="003156FA"/>
    <w:rsid w:val="00315704"/>
    <w:rsid w:val="0031570D"/>
    <w:rsid w:val="0031584F"/>
    <w:rsid w:val="003158C8"/>
    <w:rsid w:val="00315917"/>
    <w:rsid w:val="0031593F"/>
    <w:rsid w:val="00315B4A"/>
    <w:rsid w:val="00315B88"/>
    <w:rsid w:val="00315B99"/>
    <w:rsid w:val="00315C38"/>
    <w:rsid w:val="00315D34"/>
    <w:rsid w:val="00315D8A"/>
    <w:rsid w:val="00315DC3"/>
    <w:rsid w:val="00315DF3"/>
    <w:rsid w:val="00315E34"/>
    <w:rsid w:val="00315EBA"/>
    <w:rsid w:val="00315F27"/>
    <w:rsid w:val="00315FD9"/>
    <w:rsid w:val="00316003"/>
    <w:rsid w:val="0031601C"/>
    <w:rsid w:val="00316060"/>
    <w:rsid w:val="00316137"/>
    <w:rsid w:val="003161FA"/>
    <w:rsid w:val="003162A5"/>
    <w:rsid w:val="0031632A"/>
    <w:rsid w:val="003163C7"/>
    <w:rsid w:val="003164F4"/>
    <w:rsid w:val="0031653E"/>
    <w:rsid w:val="0031674F"/>
    <w:rsid w:val="0031678B"/>
    <w:rsid w:val="0031680C"/>
    <w:rsid w:val="003168CC"/>
    <w:rsid w:val="003168EA"/>
    <w:rsid w:val="00316987"/>
    <w:rsid w:val="003169AF"/>
    <w:rsid w:val="00316A71"/>
    <w:rsid w:val="00316A9D"/>
    <w:rsid w:val="00316AE8"/>
    <w:rsid w:val="00316B33"/>
    <w:rsid w:val="00316B84"/>
    <w:rsid w:val="00316BEF"/>
    <w:rsid w:val="00316C02"/>
    <w:rsid w:val="00316C0A"/>
    <w:rsid w:val="00316CA4"/>
    <w:rsid w:val="00316CC3"/>
    <w:rsid w:val="00316CF6"/>
    <w:rsid w:val="00316E14"/>
    <w:rsid w:val="00316E67"/>
    <w:rsid w:val="00316EF0"/>
    <w:rsid w:val="00316F44"/>
    <w:rsid w:val="00316F59"/>
    <w:rsid w:val="00316F6F"/>
    <w:rsid w:val="00316FDA"/>
    <w:rsid w:val="00317069"/>
    <w:rsid w:val="0031708D"/>
    <w:rsid w:val="00317183"/>
    <w:rsid w:val="003171F4"/>
    <w:rsid w:val="0031723A"/>
    <w:rsid w:val="00317275"/>
    <w:rsid w:val="00317324"/>
    <w:rsid w:val="003173AA"/>
    <w:rsid w:val="003173F3"/>
    <w:rsid w:val="0031750E"/>
    <w:rsid w:val="0031754B"/>
    <w:rsid w:val="0031762C"/>
    <w:rsid w:val="0031774F"/>
    <w:rsid w:val="003177B1"/>
    <w:rsid w:val="0031794E"/>
    <w:rsid w:val="00317987"/>
    <w:rsid w:val="00317A5A"/>
    <w:rsid w:val="00317B2C"/>
    <w:rsid w:val="00317B61"/>
    <w:rsid w:val="00317C03"/>
    <w:rsid w:val="00317C98"/>
    <w:rsid w:val="00317CCB"/>
    <w:rsid w:val="00317D02"/>
    <w:rsid w:val="00317D2C"/>
    <w:rsid w:val="00317D47"/>
    <w:rsid w:val="00317E69"/>
    <w:rsid w:val="00317FCD"/>
    <w:rsid w:val="0032008F"/>
    <w:rsid w:val="003200DC"/>
    <w:rsid w:val="0032014A"/>
    <w:rsid w:val="00320153"/>
    <w:rsid w:val="00320358"/>
    <w:rsid w:val="00320380"/>
    <w:rsid w:val="0032040A"/>
    <w:rsid w:val="00320479"/>
    <w:rsid w:val="003204C7"/>
    <w:rsid w:val="003205E9"/>
    <w:rsid w:val="003205F9"/>
    <w:rsid w:val="00320659"/>
    <w:rsid w:val="00320696"/>
    <w:rsid w:val="003206A4"/>
    <w:rsid w:val="003206B4"/>
    <w:rsid w:val="00320748"/>
    <w:rsid w:val="00320941"/>
    <w:rsid w:val="0032094D"/>
    <w:rsid w:val="00320965"/>
    <w:rsid w:val="00320973"/>
    <w:rsid w:val="00320A27"/>
    <w:rsid w:val="00320A6A"/>
    <w:rsid w:val="00320AA0"/>
    <w:rsid w:val="00320B7D"/>
    <w:rsid w:val="00320C09"/>
    <w:rsid w:val="00320DB1"/>
    <w:rsid w:val="00320E6B"/>
    <w:rsid w:val="00320FD9"/>
    <w:rsid w:val="0032109E"/>
    <w:rsid w:val="003210D5"/>
    <w:rsid w:val="00321144"/>
    <w:rsid w:val="0032128E"/>
    <w:rsid w:val="0032136D"/>
    <w:rsid w:val="00321383"/>
    <w:rsid w:val="003213D1"/>
    <w:rsid w:val="003213D3"/>
    <w:rsid w:val="00321516"/>
    <w:rsid w:val="0032155C"/>
    <w:rsid w:val="003215F0"/>
    <w:rsid w:val="00321605"/>
    <w:rsid w:val="0032160C"/>
    <w:rsid w:val="0032161A"/>
    <w:rsid w:val="003216E7"/>
    <w:rsid w:val="00321722"/>
    <w:rsid w:val="0032178B"/>
    <w:rsid w:val="003217A0"/>
    <w:rsid w:val="003218DE"/>
    <w:rsid w:val="00321921"/>
    <w:rsid w:val="0032199C"/>
    <w:rsid w:val="003219DA"/>
    <w:rsid w:val="00321A93"/>
    <w:rsid w:val="00321AB9"/>
    <w:rsid w:val="00321BA8"/>
    <w:rsid w:val="00321BC5"/>
    <w:rsid w:val="00321BDB"/>
    <w:rsid w:val="00321E77"/>
    <w:rsid w:val="00321F3D"/>
    <w:rsid w:val="00321F52"/>
    <w:rsid w:val="00321FC5"/>
    <w:rsid w:val="003220A4"/>
    <w:rsid w:val="00322197"/>
    <w:rsid w:val="00322204"/>
    <w:rsid w:val="00322247"/>
    <w:rsid w:val="0032227D"/>
    <w:rsid w:val="003223DB"/>
    <w:rsid w:val="0032241D"/>
    <w:rsid w:val="003224D8"/>
    <w:rsid w:val="00322527"/>
    <w:rsid w:val="00322572"/>
    <w:rsid w:val="003226C2"/>
    <w:rsid w:val="003228E3"/>
    <w:rsid w:val="00322937"/>
    <w:rsid w:val="003229AF"/>
    <w:rsid w:val="00322AA7"/>
    <w:rsid w:val="00322C48"/>
    <w:rsid w:val="00322DC2"/>
    <w:rsid w:val="00322FA4"/>
    <w:rsid w:val="00322FAB"/>
    <w:rsid w:val="00322FEE"/>
    <w:rsid w:val="0032315F"/>
    <w:rsid w:val="00323257"/>
    <w:rsid w:val="00323285"/>
    <w:rsid w:val="0032328D"/>
    <w:rsid w:val="003232BB"/>
    <w:rsid w:val="003234A3"/>
    <w:rsid w:val="003235DD"/>
    <w:rsid w:val="0032366E"/>
    <w:rsid w:val="003236CB"/>
    <w:rsid w:val="00323733"/>
    <w:rsid w:val="0032373C"/>
    <w:rsid w:val="0032373E"/>
    <w:rsid w:val="003237E2"/>
    <w:rsid w:val="0032390E"/>
    <w:rsid w:val="0032392C"/>
    <w:rsid w:val="00323BBA"/>
    <w:rsid w:val="00323C1A"/>
    <w:rsid w:val="00323C72"/>
    <w:rsid w:val="00323F2C"/>
    <w:rsid w:val="00323F31"/>
    <w:rsid w:val="00323F5D"/>
    <w:rsid w:val="00323FC7"/>
    <w:rsid w:val="00323FF8"/>
    <w:rsid w:val="00324160"/>
    <w:rsid w:val="003241CD"/>
    <w:rsid w:val="00324256"/>
    <w:rsid w:val="00324260"/>
    <w:rsid w:val="00324274"/>
    <w:rsid w:val="0032428E"/>
    <w:rsid w:val="0032445E"/>
    <w:rsid w:val="00324485"/>
    <w:rsid w:val="003244EE"/>
    <w:rsid w:val="00324519"/>
    <w:rsid w:val="00324529"/>
    <w:rsid w:val="0032453F"/>
    <w:rsid w:val="0032454E"/>
    <w:rsid w:val="003245FE"/>
    <w:rsid w:val="0032466A"/>
    <w:rsid w:val="00324A2F"/>
    <w:rsid w:val="00324AA4"/>
    <w:rsid w:val="00324AC2"/>
    <w:rsid w:val="00324AEC"/>
    <w:rsid w:val="00324B0C"/>
    <w:rsid w:val="00324B17"/>
    <w:rsid w:val="00324B3F"/>
    <w:rsid w:val="00324C13"/>
    <w:rsid w:val="00324D80"/>
    <w:rsid w:val="00324EBC"/>
    <w:rsid w:val="00324F4C"/>
    <w:rsid w:val="00324FC2"/>
    <w:rsid w:val="00325047"/>
    <w:rsid w:val="003251B8"/>
    <w:rsid w:val="0032535A"/>
    <w:rsid w:val="00325366"/>
    <w:rsid w:val="003253C3"/>
    <w:rsid w:val="003253CD"/>
    <w:rsid w:val="00325473"/>
    <w:rsid w:val="00325490"/>
    <w:rsid w:val="00325613"/>
    <w:rsid w:val="003256E3"/>
    <w:rsid w:val="00325724"/>
    <w:rsid w:val="00325832"/>
    <w:rsid w:val="00325945"/>
    <w:rsid w:val="003259A7"/>
    <w:rsid w:val="00325AC6"/>
    <w:rsid w:val="00325B61"/>
    <w:rsid w:val="00325B6B"/>
    <w:rsid w:val="00325C47"/>
    <w:rsid w:val="00325D0F"/>
    <w:rsid w:val="00325E42"/>
    <w:rsid w:val="00325E7F"/>
    <w:rsid w:val="00325F4D"/>
    <w:rsid w:val="00326014"/>
    <w:rsid w:val="0032607A"/>
    <w:rsid w:val="00326202"/>
    <w:rsid w:val="00326277"/>
    <w:rsid w:val="00326319"/>
    <w:rsid w:val="00326348"/>
    <w:rsid w:val="003263A1"/>
    <w:rsid w:val="0032647F"/>
    <w:rsid w:val="00326490"/>
    <w:rsid w:val="003264C5"/>
    <w:rsid w:val="003264D5"/>
    <w:rsid w:val="00326530"/>
    <w:rsid w:val="00326685"/>
    <w:rsid w:val="003266F4"/>
    <w:rsid w:val="0032671A"/>
    <w:rsid w:val="0032681F"/>
    <w:rsid w:val="003268D3"/>
    <w:rsid w:val="003268E8"/>
    <w:rsid w:val="0032691C"/>
    <w:rsid w:val="00326AA1"/>
    <w:rsid w:val="00326B51"/>
    <w:rsid w:val="00326B53"/>
    <w:rsid w:val="00326C91"/>
    <w:rsid w:val="00326D2A"/>
    <w:rsid w:val="00326DC0"/>
    <w:rsid w:val="00326DEC"/>
    <w:rsid w:val="00326E89"/>
    <w:rsid w:val="00326F3B"/>
    <w:rsid w:val="00327021"/>
    <w:rsid w:val="003270D9"/>
    <w:rsid w:val="00327106"/>
    <w:rsid w:val="0032723A"/>
    <w:rsid w:val="0032736A"/>
    <w:rsid w:val="003273A5"/>
    <w:rsid w:val="003276B5"/>
    <w:rsid w:val="003277F8"/>
    <w:rsid w:val="003277F9"/>
    <w:rsid w:val="0032785C"/>
    <w:rsid w:val="00327A81"/>
    <w:rsid w:val="00327BC1"/>
    <w:rsid w:val="00327C12"/>
    <w:rsid w:val="00327CD0"/>
    <w:rsid w:val="00327E4C"/>
    <w:rsid w:val="00327E58"/>
    <w:rsid w:val="00327ECF"/>
    <w:rsid w:val="00327F8D"/>
    <w:rsid w:val="00327FF6"/>
    <w:rsid w:val="003300CF"/>
    <w:rsid w:val="003300DF"/>
    <w:rsid w:val="003300F7"/>
    <w:rsid w:val="00330112"/>
    <w:rsid w:val="00330171"/>
    <w:rsid w:val="00330341"/>
    <w:rsid w:val="00330342"/>
    <w:rsid w:val="00330428"/>
    <w:rsid w:val="00330443"/>
    <w:rsid w:val="0033070B"/>
    <w:rsid w:val="003307D0"/>
    <w:rsid w:val="0033086B"/>
    <w:rsid w:val="00330893"/>
    <w:rsid w:val="003308A7"/>
    <w:rsid w:val="003308A9"/>
    <w:rsid w:val="0033091B"/>
    <w:rsid w:val="003309A5"/>
    <w:rsid w:val="00330A1D"/>
    <w:rsid w:val="00330A4A"/>
    <w:rsid w:val="00330A78"/>
    <w:rsid w:val="00330A85"/>
    <w:rsid w:val="00330ADA"/>
    <w:rsid w:val="00330B13"/>
    <w:rsid w:val="00330B39"/>
    <w:rsid w:val="00330C08"/>
    <w:rsid w:val="00330C14"/>
    <w:rsid w:val="00330C45"/>
    <w:rsid w:val="00330D17"/>
    <w:rsid w:val="00330D27"/>
    <w:rsid w:val="00330E89"/>
    <w:rsid w:val="00330EF6"/>
    <w:rsid w:val="00330F1C"/>
    <w:rsid w:val="00330F1E"/>
    <w:rsid w:val="00330F8C"/>
    <w:rsid w:val="0033101B"/>
    <w:rsid w:val="00331119"/>
    <w:rsid w:val="0033114C"/>
    <w:rsid w:val="0033116C"/>
    <w:rsid w:val="0033119D"/>
    <w:rsid w:val="00331222"/>
    <w:rsid w:val="0033123E"/>
    <w:rsid w:val="0033126A"/>
    <w:rsid w:val="003312C0"/>
    <w:rsid w:val="003312E6"/>
    <w:rsid w:val="003312EF"/>
    <w:rsid w:val="003312F9"/>
    <w:rsid w:val="00331307"/>
    <w:rsid w:val="003313A5"/>
    <w:rsid w:val="003314DB"/>
    <w:rsid w:val="00331564"/>
    <w:rsid w:val="0033156A"/>
    <w:rsid w:val="0033158E"/>
    <w:rsid w:val="003315A0"/>
    <w:rsid w:val="0033165B"/>
    <w:rsid w:val="003316E3"/>
    <w:rsid w:val="00331808"/>
    <w:rsid w:val="00331891"/>
    <w:rsid w:val="0033189D"/>
    <w:rsid w:val="003318E0"/>
    <w:rsid w:val="0033190D"/>
    <w:rsid w:val="00331936"/>
    <w:rsid w:val="003319BC"/>
    <w:rsid w:val="00331A13"/>
    <w:rsid w:val="00331B90"/>
    <w:rsid w:val="00331BBF"/>
    <w:rsid w:val="00331C34"/>
    <w:rsid w:val="00331C83"/>
    <w:rsid w:val="00331CE4"/>
    <w:rsid w:val="00331CE8"/>
    <w:rsid w:val="00331EAC"/>
    <w:rsid w:val="00331FBC"/>
    <w:rsid w:val="00331FBF"/>
    <w:rsid w:val="00332039"/>
    <w:rsid w:val="003320AD"/>
    <w:rsid w:val="00332137"/>
    <w:rsid w:val="0033214E"/>
    <w:rsid w:val="0033224F"/>
    <w:rsid w:val="00332263"/>
    <w:rsid w:val="003322A9"/>
    <w:rsid w:val="0033236C"/>
    <w:rsid w:val="00332591"/>
    <w:rsid w:val="003326A6"/>
    <w:rsid w:val="003326B9"/>
    <w:rsid w:val="00332740"/>
    <w:rsid w:val="0033276B"/>
    <w:rsid w:val="00332853"/>
    <w:rsid w:val="00332A73"/>
    <w:rsid w:val="00332B67"/>
    <w:rsid w:val="00332DB8"/>
    <w:rsid w:val="00332E20"/>
    <w:rsid w:val="00332EDE"/>
    <w:rsid w:val="00332F22"/>
    <w:rsid w:val="00332F94"/>
    <w:rsid w:val="0033308E"/>
    <w:rsid w:val="0033309D"/>
    <w:rsid w:val="0033327B"/>
    <w:rsid w:val="003332D1"/>
    <w:rsid w:val="003334B3"/>
    <w:rsid w:val="0033352D"/>
    <w:rsid w:val="00333534"/>
    <w:rsid w:val="00333539"/>
    <w:rsid w:val="00333579"/>
    <w:rsid w:val="0033365D"/>
    <w:rsid w:val="003337D4"/>
    <w:rsid w:val="00333824"/>
    <w:rsid w:val="00333842"/>
    <w:rsid w:val="003338E6"/>
    <w:rsid w:val="00333956"/>
    <w:rsid w:val="0033395F"/>
    <w:rsid w:val="0033396E"/>
    <w:rsid w:val="00333A0C"/>
    <w:rsid w:val="00333A86"/>
    <w:rsid w:val="00333AE9"/>
    <w:rsid w:val="00333B2A"/>
    <w:rsid w:val="00333C20"/>
    <w:rsid w:val="00333C55"/>
    <w:rsid w:val="00333C89"/>
    <w:rsid w:val="00333CEF"/>
    <w:rsid w:val="00333D0C"/>
    <w:rsid w:val="00333E44"/>
    <w:rsid w:val="00333EC4"/>
    <w:rsid w:val="00333F29"/>
    <w:rsid w:val="00333FD9"/>
    <w:rsid w:val="0033403D"/>
    <w:rsid w:val="00334058"/>
    <w:rsid w:val="0033407F"/>
    <w:rsid w:val="0033415C"/>
    <w:rsid w:val="003341A9"/>
    <w:rsid w:val="003341D4"/>
    <w:rsid w:val="003342C1"/>
    <w:rsid w:val="00334307"/>
    <w:rsid w:val="00334329"/>
    <w:rsid w:val="00334341"/>
    <w:rsid w:val="003343DD"/>
    <w:rsid w:val="003344E3"/>
    <w:rsid w:val="00334544"/>
    <w:rsid w:val="00334545"/>
    <w:rsid w:val="003345F0"/>
    <w:rsid w:val="0033463E"/>
    <w:rsid w:val="00334658"/>
    <w:rsid w:val="00334829"/>
    <w:rsid w:val="00334895"/>
    <w:rsid w:val="003348FB"/>
    <w:rsid w:val="0033496C"/>
    <w:rsid w:val="0033498F"/>
    <w:rsid w:val="00334A47"/>
    <w:rsid w:val="00334B47"/>
    <w:rsid w:val="00334C51"/>
    <w:rsid w:val="00334D59"/>
    <w:rsid w:val="00334DBE"/>
    <w:rsid w:val="00334F8A"/>
    <w:rsid w:val="00334FF8"/>
    <w:rsid w:val="00335040"/>
    <w:rsid w:val="00335069"/>
    <w:rsid w:val="003350B1"/>
    <w:rsid w:val="003350E2"/>
    <w:rsid w:val="0033511F"/>
    <w:rsid w:val="00335191"/>
    <w:rsid w:val="003351B3"/>
    <w:rsid w:val="003351F2"/>
    <w:rsid w:val="0033520F"/>
    <w:rsid w:val="003352E2"/>
    <w:rsid w:val="00335455"/>
    <w:rsid w:val="003355CA"/>
    <w:rsid w:val="0033564F"/>
    <w:rsid w:val="003356F5"/>
    <w:rsid w:val="0033572B"/>
    <w:rsid w:val="00335753"/>
    <w:rsid w:val="003359A8"/>
    <w:rsid w:val="003359FF"/>
    <w:rsid w:val="00335A8F"/>
    <w:rsid w:val="00335AB9"/>
    <w:rsid w:val="00335B03"/>
    <w:rsid w:val="00335B12"/>
    <w:rsid w:val="00335B6E"/>
    <w:rsid w:val="00335B7A"/>
    <w:rsid w:val="00335C3A"/>
    <w:rsid w:val="00336011"/>
    <w:rsid w:val="00336016"/>
    <w:rsid w:val="00336021"/>
    <w:rsid w:val="003360B1"/>
    <w:rsid w:val="003361D4"/>
    <w:rsid w:val="00336281"/>
    <w:rsid w:val="00336353"/>
    <w:rsid w:val="00336413"/>
    <w:rsid w:val="0033667F"/>
    <w:rsid w:val="003367AD"/>
    <w:rsid w:val="003367C3"/>
    <w:rsid w:val="003367ED"/>
    <w:rsid w:val="003368CF"/>
    <w:rsid w:val="00336A01"/>
    <w:rsid w:val="00336A1F"/>
    <w:rsid w:val="00336C23"/>
    <w:rsid w:val="00336C98"/>
    <w:rsid w:val="00336D16"/>
    <w:rsid w:val="00336D3A"/>
    <w:rsid w:val="00336F19"/>
    <w:rsid w:val="00336F72"/>
    <w:rsid w:val="00336FB6"/>
    <w:rsid w:val="00337063"/>
    <w:rsid w:val="003370A6"/>
    <w:rsid w:val="0033711D"/>
    <w:rsid w:val="00337132"/>
    <w:rsid w:val="00337153"/>
    <w:rsid w:val="00337178"/>
    <w:rsid w:val="003371DC"/>
    <w:rsid w:val="00337453"/>
    <w:rsid w:val="003374EC"/>
    <w:rsid w:val="00337538"/>
    <w:rsid w:val="00337548"/>
    <w:rsid w:val="0033754F"/>
    <w:rsid w:val="003376A1"/>
    <w:rsid w:val="003376C3"/>
    <w:rsid w:val="0033770B"/>
    <w:rsid w:val="00337728"/>
    <w:rsid w:val="00337729"/>
    <w:rsid w:val="003377C7"/>
    <w:rsid w:val="0033782A"/>
    <w:rsid w:val="003378AB"/>
    <w:rsid w:val="003378E1"/>
    <w:rsid w:val="003379F1"/>
    <w:rsid w:val="00337B9F"/>
    <w:rsid w:val="00337D12"/>
    <w:rsid w:val="00337D5C"/>
    <w:rsid w:val="00337EC2"/>
    <w:rsid w:val="00337FAA"/>
    <w:rsid w:val="00337FAE"/>
    <w:rsid w:val="00337FF0"/>
    <w:rsid w:val="00340026"/>
    <w:rsid w:val="00340067"/>
    <w:rsid w:val="0034006D"/>
    <w:rsid w:val="00340075"/>
    <w:rsid w:val="00340110"/>
    <w:rsid w:val="00340194"/>
    <w:rsid w:val="003401C0"/>
    <w:rsid w:val="00340265"/>
    <w:rsid w:val="003402F7"/>
    <w:rsid w:val="00340356"/>
    <w:rsid w:val="003403EB"/>
    <w:rsid w:val="00340477"/>
    <w:rsid w:val="003404B4"/>
    <w:rsid w:val="003404D4"/>
    <w:rsid w:val="003404DA"/>
    <w:rsid w:val="0034051F"/>
    <w:rsid w:val="0034054E"/>
    <w:rsid w:val="0034057C"/>
    <w:rsid w:val="00340588"/>
    <w:rsid w:val="0034062F"/>
    <w:rsid w:val="00340679"/>
    <w:rsid w:val="00340763"/>
    <w:rsid w:val="00340880"/>
    <w:rsid w:val="00340912"/>
    <w:rsid w:val="00340A17"/>
    <w:rsid w:val="00340A19"/>
    <w:rsid w:val="00340A45"/>
    <w:rsid w:val="00340A61"/>
    <w:rsid w:val="00340B79"/>
    <w:rsid w:val="00340B9D"/>
    <w:rsid w:val="00340C58"/>
    <w:rsid w:val="00340D49"/>
    <w:rsid w:val="00340E63"/>
    <w:rsid w:val="00340EF6"/>
    <w:rsid w:val="00340F41"/>
    <w:rsid w:val="00340F6C"/>
    <w:rsid w:val="00340F8E"/>
    <w:rsid w:val="00340FB0"/>
    <w:rsid w:val="0034103C"/>
    <w:rsid w:val="003410F3"/>
    <w:rsid w:val="003411D2"/>
    <w:rsid w:val="003412C3"/>
    <w:rsid w:val="003412DB"/>
    <w:rsid w:val="00341313"/>
    <w:rsid w:val="0034137F"/>
    <w:rsid w:val="0034157E"/>
    <w:rsid w:val="003415A0"/>
    <w:rsid w:val="003416AE"/>
    <w:rsid w:val="00341794"/>
    <w:rsid w:val="00341939"/>
    <w:rsid w:val="00341973"/>
    <w:rsid w:val="003419DD"/>
    <w:rsid w:val="00341B6A"/>
    <w:rsid w:val="00341B8E"/>
    <w:rsid w:val="00341BB1"/>
    <w:rsid w:val="00341BDE"/>
    <w:rsid w:val="00341D05"/>
    <w:rsid w:val="00341D09"/>
    <w:rsid w:val="00341F3C"/>
    <w:rsid w:val="003420A6"/>
    <w:rsid w:val="0034210E"/>
    <w:rsid w:val="003421E8"/>
    <w:rsid w:val="00342224"/>
    <w:rsid w:val="003422EC"/>
    <w:rsid w:val="00342392"/>
    <w:rsid w:val="003423DB"/>
    <w:rsid w:val="00342485"/>
    <w:rsid w:val="0034253E"/>
    <w:rsid w:val="00342554"/>
    <w:rsid w:val="00342564"/>
    <w:rsid w:val="0034257C"/>
    <w:rsid w:val="003427ED"/>
    <w:rsid w:val="003428DD"/>
    <w:rsid w:val="00342996"/>
    <w:rsid w:val="003429A9"/>
    <w:rsid w:val="00342A5E"/>
    <w:rsid w:val="00342A7A"/>
    <w:rsid w:val="00342B8C"/>
    <w:rsid w:val="00342DB8"/>
    <w:rsid w:val="00342F5C"/>
    <w:rsid w:val="00342F9A"/>
    <w:rsid w:val="00343112"/>
    <w:rsid w:val="003431F6"/>
    <w:rsid w:val="00343272"/>
    <w:rsid w:val="00343360"/>
    <w:rsid w:val="00343445"/>
    <w:rsid w:val="00343492"/>
    <w:rsid w:val="00343535"/>
    <w:rsid w:val="003435A0"/>
    <w:rsid w:val="0034360B"/>
    <w:rsid w:val="00343635"/>
    <w:rsid w:val="003436CF"/>
    <w:rsid w:val="003436EC"/>
    <w:rsid w:val="003437B1"/>
    <w:rsid w:val="003437B6"/>
    <w:rsid w:val="00343812"/>
    <w:rsid w:val="00343847"/>
    <w:rsid w:val="00343ACA"/>
    <w:rsid w:val="00343B52"/>
    <w:rsid w:val="00343F74"/>
    <w:rsid w:val="00343F8D"/>
    <w:rsid w:val="00343FF3"/>
    <w:rsid w:val="00344153"/>
    <w:rsid w:val="0034416F"/>
    <w:rsid w:val="003441C0"/>
    <w:rsid w:val="00344206"/>
    <w:rsid w:val="00344309"/>
    <w:rsid w:val="00344353"/>
    <w:rsid w:val="00344369"/>
    <w:rsid w:val="003443D6"/>
    <w:rsid w:val="003443D9"/>
    <w:rsid w:val="003444B6"/>
    <w:rsid w:val="003444D0"/>
    <w:rsid w:val="00344507"/>
    <w:rsid w:val="0034450A"/>
    <w:rsid w:val="003445D2"/>
    <w:rsid w:val="0034460D"/>
    <w:rsid w:val="00344659"/>
    <w:rsid w:val="0034474B"/>
    <w:rsid w:val="0034476E"/>
    <w:rsid w:val="0034480B"/>
    <w:rsid w:val="00344976"/>
    <w:rsid w:val="003449D1"/>
    <w:rsid w:val="00344A08"/>
    <w:rsid w:val="00344A30"/>
    <w:rsid w:val="00344A61"/>
    <w:rsid w:val="00344A6C"/>
    <w:rsid w:val="00344A73"/>
    <w:rsid w:val="00344B6B"/>
    <w:rsid w:val="00344C38"/>
    <w:rsid w:val="00344F77"/>
    <w:rsid w:val="00344FF7"/>
    <w:rsid w:val="00345037"/>
    <w:rsid w:val="00345058"/>
    <w:rsid w:val="00345094"/>
    <w:rsid w:val="003450BC"/>
    <w:rsid w:val="00345330"/>
    <w:rsid w:val="003453AB"/>
    <w:rsid w:val="0034541E"/>
    <w:rsid w:val="0034543A"/>
    <w:rsid w:val="00345452"/>
    <w:rsid w:val="003454BD"/>
    <w:rsid w:val="0034554D"/>
    <w:rsid w:val="00345552"/>
    <w:rsid w:val="003455DF"/>
    <w:rsid w:val="003456C0"/>
    <w:rsid w:val="003457F3"/>
    <w:rsid w:val="0034580E"/>
    <w:rsid w:val="00345935"/>
    <w:rsid w:val="00345A26"/>
    <w:rsid w:val="00345B42"/>
    <w:rsid w:val="00345B54"/>
    <w:rsid w:val="00345BE3"/>
    <w:rsid w:val="00345C14"/>
    <w:rsid w:val="00345C7B"/>
    <w:rsid w:val="00345C85"/>
    <w:rsid w:val="00345D3F"/>
    <w:rsid w:val="00345DF6"/>
    <w:rsid w:val="00345E05"/>
    <w:rsid w:val="00345F9D"/>
    <w:rsid w:val="00345FED"/>
    <w:rsid w:val="00346099"/>
    <w:rsid w:val="0034610C"/>
    <w:rsid w:val="00346126"/>
    <w:rsid w:val="00346150"/>
    <w:rsid w:val="00346163"/>
    <w:rsid w:val="003461F4"/>
    <w:rsid w:val="0034629A"/>
    <w:rsid w:val="003462CE"/>
    <w:rsid w:val="00346381"/>
    <w:rsid w:val="003464DE"/>
    <w:rsid w:val="0034652D"/>
    <w:rsid w:val="003465C7"/>
    <w:rsid w:val="003465DA"/>
    <w:rsid w:val="003465FF"/>
    <w:rsid w:val="0034666A"/>
    <w:rsid w:val="00346675"/>
    <w:rsid w:val="00346740"/>
    <w:rsid w:val="003467C1"/>
    <w:rsid w:val="003467DB"/>
    <w:rsid w:val="003468D5"/>
    <w:rsid w:val="003469CB"/>
    <w:rsid w:val="00346CE0"/>
    <w:rsid w:val="00346D65"/>
    <w:rsid w:val="00346D6F"/>
    <w:rsid w:val="00346E92"/>
    <w:rsid w:val="00346EEF"/>
    <w:rsid w:val="00346F16"/>
    <w:rsid w:val="00346F6D"/>
    <w:rsid w:val="00346FEF"/>
    <w:rsid w:val="00347013"/>
    <w:rsid w:val="00347027"/>
    <w:rsid w:val="0034703D"/>
    <w:rsid w:val="003470E0"/>
    <w:rsid w:val="00347113"/>
    <w:rsid w:val="0034720D"/>
    <w:rsid w:val="00347287"/>
    <w:rsid w:val="003472AE"/>
    <w:rsid w:val="003472DB"/>
    <w:rsid w:val="00347326"/>
    <w:rsid w:val="00347527"/>
    <w:rsid w:val="0034770B"/>
    <w:rsid w:val="003477DE"/>
    <w:rsid w:val="00347802"/>
    <w:rsid w:val="0034789B"/>
    <w:rsid w:val="003478FB"/>
    <w:rsid w:val="003479F7"/>
    <w:rsid w:val="00347A7D"/>
    <w:rsid w:val="00347A88"/>
    <w:rsid w:val="00347BB7"/>
    <w:rsid w:val="00347C0F"/>
    <w:rsid w:val="00347C1B"/>
    <w:rsid w:val="00347C96"/>
    <w:rsid w:val="00347E02"/>
    <w:rsid w:val="00347E08"/>
    <w:rsid w:val="00347E10"/>
    <w:rsid w:val="00347F97"/>
    <w:rsid w:val="0035001B"/>
    <w:rsid w:val="003500DC"/>
    <w:rsid w:val="003500EF"/>
    <w:rsid w:val="00350127"/>
    <w:rsid w:val="003501B1"/>
    <w:rsid w:val="003501BF"/>
    <w:rsid w:val="00350264"/>
    <w:rsid w:val="003503B5"/>
    <w:rsid w:val="0035058F"/>
    <w:rsid w:val="0035065E"/>
    <w:rsid w:val="00350775"/>
    <w:rsid w:val="0035085F"/>
    <w:rsid w:val="003508F3"/>
    <w:rsid w:val="00350942"/>
    <w:rsid w:val="003509D9"/>
    <w:rsid w:val="003509DD"/>
    <w:rsid w:val="00350A2A"/>
    <w:rsid w:val="00350A7C"/>
    <w:rsid w:val="00350A9A"/>
    <w:rsid w:val="00350AA8"/>
    <w:rsid w:val="00350B42"/>
    <w:rsid w:val="00350BA7"/>
    <w:rsid w:val="00350C0C"/>
    <w:rsid w:val="00350D48"/>
    <w:rsid w:val="00350E16"/>
    <w:rsid w:val="003510BF"/>
    <w:rsid w:val="003510E7"/>
    <w:rsid w:val="0035113B"/>
    <w:rsid w:val="00351244"/>
    <w:rsid w:val="0035127D"/>
    <w:rsid w:val="003512D7"/>
    <w:rsid w:val="003513F4"/>
    <w:rsid w:val="0035147A"/>
    <w:rsid w:val="00351551"/>
    <w:rsid w:val="00351682"/>
    <w:rsid w:val="003516FF"/>
    <w:rsid w:val="0035178E"/>
    <w:rsid w:val="0035179A"/>
    <w:rsid w:val="0035182D"/>
    <w:rsid w:val="00351AB4"/>
    <w:rsid w:val="00351BDF"/>
    <w:rsid w:val="00351E02"/>
    <w:rsid w:val="00351E18"/>
    <w:rsid w:val="00351EA1"/>
    <w:rsid w:val="00351F11"/>
    <w:rsid w:val="00351F88"/>
    <w:rsid w:val="00351FD0"/>
    <w:rsid w:val="00352039"/>
    <w:rsid w:val="003520C6"/>
    <w:rsid w:val="00352222"/>
    <w:rsid w:val="003523D1"/>
    <w:rsid w:val="00352610"/>
    <w:rsid w:val="00352617"/>
    <w:rsid w:val="0035270B"/>
    <w:rsid w:val="0035272A"/>
    <w:rsid w:val="003528A8"/>
    <w:rsid w:val="00352901"/>
    <w:rsid w:val="00352D6B"/>
    <w:rsid w:val="00352F51"/>
    <w:rsid w:val="00352F87"/>
    <w:rsid w:val="00352FA5"/>
    <w:rsid w:val="0035304F"/>
    <w:rsid w:val="00353087"/>
    <w:rsid w:val="003530E0"/>
    <w:rsid w:val="00353162"/>
    <w:rsid w:val="0035316B"/>
    <w:rsid w:val="00353214"/>
    <w:rsid w:val="00353227"/>
    <w:rsid w:val="0035324C"/>
    <w:rsid w:val="0035327A"/>
    <w:rsid w:val="003532C6"/>
    <w:rsid w:val="0035339A"/>
    <w:rsid w:val="003533FC"/>
    <w:rsid w:val="003534D2"/>
    <w:rsid w:val="003534D3"/>
    <w:rsid w:val="00353513"/>
    <w:rsid w:val="0035358A"/>
    <w:rsid w:val="00353599"/>
    <w:rsid w:val="003535FD"/>
    <w:rsid w:val="00353623"/>
    <w:rsid w:val="00353672"/>
    <w:rsid w:val="0035370D"/>
    <w:rsid w:val="003539AC"/>
    <w:rsid w:val="00353A3B"/>
    <w:rsid w:val="00353B91"/>
    <w:rsid w:val="00353C64"/>
    <w:rsid w:val="00353DFD"/>
    <w:rsid w:val="00353EDE"/>
    <w:rsid w:val="00354075"/>
    <w:rsid w:val="003540BD"/>
    <w:rsid w:val="0035415E"/>
    <w:rsid w:val="003541C5"/>
    <w:rsid w:val="003542C1"/>
    <w:rsid w:val="003542F4"/>
    <w:rsid w:val="0035438E"/>
    <w:rsid w:val="003543A4"/>
    <w:rsid w:val="003543BC"/>
    <w:rsid w:val="003544F0"/>
    <w:rsid w:val="0035453B"/>
    <w:rsid w:val="00354567"/>
    <w:rsid w:val="0035464E"/>
    <w:rsid w:val="003546C0"/>
    <w:rsid w:val="00354706"/>
    <w:rsid w:val="003547D7"/>
    <w:rsid w:val="003548FD"/>
    <w:rsid w:val="0035493F"/>
    <w:rsid w:val="00354949"/>
    <w:rsid w:val="00354963"/>
    <w:rsid w:val="00354995"/>
    <w:rsid w:val="00354B6F"/>
    <w:rsid w:val="00354B8B"/>
    <w:rsid w:val="00354CF6"/>
    <w:rsid w:val="00354D64"/>
    <w:rsid w:val="00354D66"/>
    <w:rsid w:val="00354EE0"/>
    <w:rsid w:val="00354F83"/>
    <w:rsid w:val="00355171"/>
    <w:rsid w:val="003551F7"/>
    <w:rsid w:val="00355267"/>
    <w:rsid w:val="00355292"/>
    <w:rsid w:val="003552B6"/>
    <w:rsid w:val="003553F2"/>
    <w:rsid w:val="003554A5"/>
    <w:rsid w:val="003554C4"/>
    <w:rsid w:val="0035556B"/>
    <w:rsid w:val="00355580"/>
    <w:rsid w:val="003555BE"/>
    <w:rsid w:val="00355679"/>
    <w:rsid w:val="003557FC"/>
    <w:rsid w:val="00355821"/>
    <w:rsid w:val="0035584D"/>
    <w:rsid w:val="003558A9"/>
    <w:rsid w:val="00355950"/>
    <w:rsid w:val="00355966"/>
    <w:rsid w:val="003559A1"/>
    <w:rsid w:val="00355AA1"/>
    <w:rsid w:val="00355BBB"/>
    <w:rsid w:val="00355D16"/>
    <w:rsid w:val="00355DDB"/>
    <w:rsid w:val="00355E0C"/>
    <w:rsid w:val="00355EFB"/>
    <w:rsid w:val="00355FDF"/>
    <w:rsid w:val="00356148"/>
    <w:rsid w:val="0035616C"/>
    <w:rsid w:val="00356176"/>
    <w:rsid w:val="0035619C"/>
    <w:rsid w:val="00356275"/>
    <w:rsid w:val="003562BC"/>
    <w:rsid w:val="0035636C"/>
    <w:rsid w:val="003563A6"/>
    <w:rsid w:val="00356667"/>
    <w:rsid w:val="0035675A"/>
    <w:rsid w:val="0035675B"/>
    <w:rsid w:val="0035681B"/>
    <w:rsid w:val="003568D5"/>
    <w:rsid w:val="00356A3D"/>
    <w:rsid w:val="00356B16"/>
    <w:rsid w:val="00356B28"/>
    <w:rsid w:val="00356C2F"/>
    <w:rsid w:val="00356CC9"/>
    <w:rsid w:val="00356DB8"/>
    <w:rsid w:val="00356EFB"/>
    <w:rsid w:val="00356F8B"/>
    <w:rsid w:val="00356F9D"/>
    <w:rsid w:val="00356FEE"/>
    <w:rsid w:val="003570BC"/>
    <w:rsid w:val="003570FA"/>
    <w:rsid w:val="00357355"/>
    <w:rsid w:val="00357444"/>
    <w:rsid w:val="003574EC"/>
    <w:rsid w:val="00357563"/>
    <w:rsid w:val="00357673"/>
    <w:rsid w:val="003576A6"/>
    <w:rsid w:val="00357756"/>
    <w:rsid w:val="003577B8"/>
    <w:rsid w:val="0035786F"/>
    <w:rsid w:val="00357949"/>
    <w:rsid w:val="00357974"/>
    <w:rsid w:val="003579D2"/>
    <w:rsid w:val="00357A2F"/>
    <w:rsid w:val="00357A7E"/>
    <w:rsid w:val="00357B63"/>
    <w:rsid w:val="00357C4D"/>
    <w:rsid w:val="00357CDE"/>
    <w:rsid w:val="00357DC9"/>
    <w:rsid w:val="00357E58"/>
    <w:rsid w:val="00357F13"/>
    <w:rsid w:val="00360162"/>
    <w:rsid w:val="0036026C"/>
    <w:rsid w:val="00360280"/>
    <w:rsid w:val="003602BC"/>
    <w:rsid w:val="003603D5"/>
    <w:rsid w:val="003603FB"/>
    <w:rsid w:val="003604C4"/>
    <w:rsid w:val="003604DA"/>
    <w:rsid w:val="00360590"/>
    <w:rsid w:val="0036068C"/>
    <w:rsid w:val="003606E3"/>
    <w:rsid w:val="00360712"/>
    <w:rsid w:val="00360963"/>
    <w:rsid w:val="003609A9"/>
    <w:rsid w:val="00360A72"/>
    <w:rsid w:val="00360B3F"/>
    <w:rsid w:val="00360B9C"/>
    <w:rsid w:val="00360C43"/>
    <w:rsid w:val="00360CEF"/>
    <w:rsid w:val="00360CFD"/>
    <w:rsid w:val="00360D68"/>
    <w:rsid w:val="00360E34"/>
    <w:rsid w:val="00360F94"/>
    <w:rsid w:val="00360FFA"/>
    <w:rsid w:val="00361022"/>
    <w:rsid w:val="003610C9"/>
    <w:rsid w:val="003610EE"/>
    <w:rsid w:val="00361212"/>
    <w:rsid w:val="00361304"/>
    <w:rsid w:val="00361342"/>
    <w:rsid w:val="00361373"/>
    <w:rsid w:val="0036144C"/>
    <w:rsid w:val="00361452"/>
    <w:rsid w:val="00361663"/>
    <w:rsid w:val="003616A0"/>
    <w:rsid w:val="00361780"/>
    <w:rsid w:val="00361794"/>
    <w:rsid w:val="003617D7"/>
    <w:rsid w:val="003617E0"/>
    <w:rsid w:val="0036183A"/>
    <w:rsid w:val="00361949"/>
    <w:rsid w:val="003619A4"/>
    <w:rsid w:val="00361B74"/>
    <w:rsid w:val="00361CEB"/>
    <w:rsid w:val="00361D58"/>
    <w:rsid w:val="00361E50"/>
    <w:rsid w:val="003620CC"/>
    <w:rsid w:val="0036218F"/>
    <w:rsid w:val="00362286"/>
    <w:rsid w:val="003622EC"/>
    <w:rsid w:val="003622F0"/>
    <w:rsid w:val="00362376"/>
    <w:rsid w:val="00362477"/>
    <w:rsid w:val="003624CB"/>
    <w:rsid w:val="0036255B"/>
    <w:rsid w:val="0036258C"/>
    <w:rsid w:val="0036263E"/>
    <w:rsid w:val="00362686"/>
    <w:rsid w:val="003626DF"/>
    <w:rsid w:val="0036276B"/>
    <w:rsid w:val="0036282A"/>
    <w:rsid w:val="0036286A"/>
    <w:rsid w:val="003629AD"/>
    <w:rsid w:val="00362BAA"/>
    <w:rsid w:val="00362BCB"/>
    <w:rsid w:val="00362C92"/>
    <w:rsid w:val="00362C99"/>
    <w:rsid w:val="00362CE4"/>
    <w:rsid w:val="00362D2E"/>
    <w:rsid w:val="00362DCB"/>
    <w:rsid w:val="00362F02"/>
    <w:rsid w:val="0036307D"/>
    <w:rsid w:val="0036318E"/>
    <w:rsid w:val="00363191"/>
    <w:rsid w:val="003632E0"/>
    <w:rsid w:val="00363519"/>
    <w:rsid w:val="0036352A"/>
    <w:rsid w:val="00363643"/>
    <w:rsid w:val="00363662"/>
    <w:rsid w:val="00363743"/>
    <w:rsid w:val="0036384C"/>
    <w:rsid w:val="00363860"/>
    <w:rsid w:val="0036387A"/>
    <w:rsid w:val="003639A7"/>
    <w:rsid w:val="003639B2"/>
    <w:rsid w:val="003639F6"/>
    <w:rsid w:val="00363A39"/>
    <w:rsid w:val="00363BAF"/>
    <w:rsid w:val="00363BD8"/>
    <w:rsid w:val="00363C75"/>
    <w:rsid w:val="00363CD7"/>
    <w:rsid w:val="00363D34"/>
    <w:rsid w:val="00363DB9"/>
    <w:rsid w:val="00363DCB"/>
    <w:rsid w:val="00364041"/>
    <w:rsid w:val="0036423A"/>
    <w:rsid w:val="003642A5"/>
    <w:rsid w:val="003642A9"/>
    <w:rsid w:val="003642E6"/>
    <w:rsid w:val="003643CB"/>
    <w:rsid w:val="00364541"/>
    <w:rsid w:val="0036467C"/>
    <w:rsid w:val="003647F0"/>
    <w:rsid w:val="00364965"/>
    <w:rsid w:val="00364ADE"/>
    <w:rsid w:val="00364B17"/>
    <w:rsid w:val="00364B35"/>
    <w:rsid w:val="00364C2C"/>
    <w:rsid w:val="00364F40"/>
    <w:rsid w:val="0036516F"/>
    <w:rsid w:val="00365217"/>
    <w:rsid w:val="003653DB"/>
    <w:rsid w:val="00365426"/>
    <w:rsid w:val="0036550D"/>
    <w:rsid w:val="00365615"/>
    <w:rsid w:val="0036561A"/>
    <w:rsid w:val="003657A5"/>
    <w:rsid w:val="00365815"/>
    <w:rsid w:val="0036585E"/>
    <w:rsid w:val="003658D3"/>
    <w:rsid w:val="003659C9"/>
    <w:rsid w:val="00365B43"/>
    <w:rsid w:val="00365B7C"/>
    <w:rsid w:val="00365BE1"/>
    <w:rsid w:val="00365D0F"/>
    <w:rsid w:val="00365D17"/>
    <w:rsid w:val="00365DE1"/>
    <w:rsid w:val="00365E13"/>
    <w:rsid w:val="00365E1E"/>
    <w:rsid w:val="00365E2F"/>
    <w:rsid w:val="00365E39"/>
    <w:rsid w:val="00365EEF"/>
    <w:rsid w:val="00365F20"/>
    <w:rsid w:val="00365F3D"/>
    <w:rsid w:val="00365F53"/>
    <w:rsid w:val="00365F9B"/>
    <w:rsid w:val="003660F5"/>
    <w:rsid w:val="00366125"/>
    <w:rsid w:val="003661D9"/>
    <w:rsid w:val="003662EA"/>
    <w:rsid w:val="003663C4"/>
    <w:rsid w:val="003663F5"/>
    <w:rsid w:val="003664F9"/>
    <w:rsid w:val="00366512"/>
    <w:rsid w:val="003665F8"/>
    <w:rsid w:val="00366627"/>
    <w:rsid w:val="003666C4"/>
    <w:rsid w:val="0036681C"/>
    <w:rsid w:val="003668B8"/>
    <w:rsid w:val="0036697A"/>
    <w:rsid w:val="00366A59"/>
    <w:rsid w:val="00366A5C"/>
    <w:rsid w:val="00366A8C"/>
    <w:rsid w:val="00366AC3"/>
    <w:rsid w:val="00366B56"/>
    <w:rsid w:val="00366DDE"/>
    <w:rsid w:val="00366DE8"/>
    <w:rsid w:val="00366EC9"/>
    <w:rsid w:val="00367475"/>
    <w:rsid w:val="003674A6"/>
    <w:rsid w:val="003674FD"/>
    <w:rsid w:val="003674FE"/>
    <w:rsid w:val="00367522"/>
    <w:rsid w:val="00367568"/>
    <w:rsid w:val="003675B6"/>
    <w:rsid w:val="003675BA"/>
    <w:rsid w:val="0036763E"/>
    <w:rsid w:val="003676D3"/>
    <w:rsid w:val="003676E1"/>
    <w:rsid w:val="00367742"/>
    <w:rsid w:val="003677A5"/>
    <w:rsid w:val="00367859"/>
    <w:rsid w:val="003678D1"/>
    <w:rsid w:val="00367920"/>
    <w:rsid w:val="00367936"/>
    <w:rsid w:val="003679BE"/>
    <w:rsid w:val="00367A1D"/>
    <w:rsid w:val="00367A50"/>
    <w:rsid w:val="00367AA3"/>
    <w:rsid w:val="00367C20"/>
    <w:rsid w:val="00367C30"/>
    <w:rsid w:val="00367D2A"/>
    <w:rsid w:val="00367D9F"/>
    <w:rsid w:val="00367E29"/>
    <w:rsid w:val="00367EBB"/>
    <w:rsid w:val="00367EFF"/>
    <w:rsid w:val="0037008A"/>
    <w:rsid w:val="00370110"/>
    <w:rsid w:val="00370274"/>
    <w:rsid w:val="003702D1"/>
    <w:rsid w:val="00370317"/>
    <w:rsid w:val="003703E4"/>
    <w:rsid w:val="00370426"/>
    <w:rsid w:val="00370570"/>
    <w:rsid w:val="0037059C"/>
    <w:rsid w:val="003706F1"/>
    <w:rsid w:val="003707E1"/>
    <w:rsid w:val="0037081C"/>
    <w:rsid w:val="0037084A"/>
    <w:rsid w:val="003708D3"/>
    <w:rsid w:val="003708ED"/>
    <w:rsid w:val="0037097D"/>
    <w:rsid w:val="003709F5"/>
    <w:rsid w:val="00370A26"/>
    <w:rsid w:val="00370AFA"/>
    <w:rsid w:val="00370B30"/>
    <w:rsid w:val="00370BB8"/>
    <w:rsid w:val="00370BC7"/>
    <w:rsid w:val="00370BDA"/>
    <w:rsid w:val="00370CCF"/>
    <w:rsid w:val="00370CDE"/>
    <w:rsid w:val="00370CE9"/>
    <w:rsid w:val="00370D11"/>
    <w:rsid w:val="00370E5C"/>
    <w:rsid w:val="00370EF4"/>
    <w:rsid w:val="00371046"/>
    <w:rsid w:val="00371182"/>
    <w:rsid w:val="00371203"/>
    <w:rsid w:val="0037122C"/>
    <w:rsid w:val="0037127D"/>
    <w:rsid w:val="003712AB"/>
    <w:rsid w:val="003713D8"/>
    <w:rsid w:val="003716BC"/>
    <w:rsid w:val="00371719"/>
    <w:rsid w:val="00371773"/>
    <w:rsid w:val="003718CD"/>
    <w:rsid w:val="003718D0"/>
    <w:rsid w:val="003719DD"/>
    <w:rsid w:val="00371A59"/>
    <w:rsid w:val="00371A5A"/>
    <w:rsid w:val="00371A97"/>
    <w:rsid w:val="00371B1E"/>
    <w:rsid w:val="00371C1A"/>
    <w:rsid w:val="00371C49"/>
    <w:rsid w:val="00371D88"/>
    <w:rsid w:val="00371DA9"/>
    <w:rsid w:val="00371ED5"/>
    <w:rsid w:val="00371FDA"/>
    <w:rsid w:val="0037204E"/>
    <w:rsid w:val="0037207D"/>
    <w:rsid w:val="003720B8"/>
    <w:rsid w:val="0037221F"/>
    <w:rsid w:val="00372254"/>
    <w:rsid w:val="00372287"/>
    <w:rsid w:val="0037231F"/>
    <w:rsid w:val="00372438"/>
    <w:rsid w:val="003724DE"/>
    <w:rsid w:val="003724E0"/>
    <w:rsid w:val="00372579"/>
    <w:rsid w:val="00372687"/>
    <w:rsid w:val="003726C3"/>
    <w:rsid w:val="00372736"/>
    <w:rsid w:val="00372738"/>
    <w:rsid w:val="0037284D"/>
    <w:rsid w:val="003728B9"/>
    <w:rsid w:val="0037291A"/>
    <w:rsid w:val="00372A65"/>
    <w:rsid w:val="00372C0F"/>
    <w:rsid w:val="00372C25"/>
    <w:rsid w:val="00372C4A"/>
    <w:rsid w:val="00372E12"/>
    <w:rsid w:val="00372E4C"/>
    <w:rsid w:val="00372E6A"/>
    <w:rsid w:val="00372E9F"/>
    <w:rsid w:val="00372FA3"/>
    <w:rsid w:val="003730A9"/>
    <w:rsid w:val="003730C3"/>
    <w:rsid w:val="003730E5"/>
    <w:rsid w:val="0037310F"/>
    <w:rsid w:val="003731D1"/>
    <w:rsid w:val="003731E3"/>
    <w:rsid w:val="0037323F"/>
    <w:rsid w:val="003732B8"/>
    <w:rsid w:val="003733E1"/>
    <w:rsid w:val="003734CE"/>
    <w:rsid w:val="0037354C"/>
    <w:rsid w:val="003735A3"/>
    <w:rsid w:val="00373607"/>
    <w:rsid w:val="00373626"/>
    <w:rsid w:val="003736F9"/>
    <w:rsid w:val="003737D5"/>
    <w:rsid w:val="00373813"/>
    <w:rsid w:val="003738BB"/>
    <w:rsid w:val="003738D1"/>
    <w:rsid w:val="003738E5"/>
    <w:rsid w:val="00373C7D"/>
    <w:rsid w:val="00373CDA"/>
    <w:rsid w:val="00373D2F"/>
    <w:rsid w:val="00373D34"/>
    <w:rsid w:val="00373D3E"/>
    <w:rsid w:val="00373D5F"/>
    <w:rsid w:val="00373E2F"/>
    <w:rsid w:val="00373F25"/>
    <w:rsid w:val="00373F88"/>
    <w:rsid w:val="00373FBF"/>
    <w:rsid w:val="0037405D"/>
    <w:rsid w:val="0037407C"/>
    <w:rsid w:val="003740D8"/>
    <w:rsid w:val="0037410B"/>
    <w:rsid w:val="0037411D"/>
    <w:rsid w:val="0037414F"/>
    <w:rsid w:val="00374311"/>
    <w:rsid w:val="0037433B"/>
    <w:rsid w:val="0037437F"/>
    <w:rsid w:val="003743C2"/>
    <w:rsid w:val="0037440A"/>
    <w:rsid w:val="0037447F"/>
    <w:rsid w:val="00374576"/>
    <w:rsid w:val="00374598"/>
    <w:rsid w:val="003745A7"/>
    <w:rsid w:val="0037469D"/>
    <w:rsid w:val="0037469E"/>
    <w:rsid w:val="003746C2"/>
    <w:rsid w:val="00374795"/>
    <w:rsid w:val="003747D0"/>
    <w:rsid w:val="00374822"/>
    <w:rsid w:val="00374937"/>
    <w:rsid w:val="00374A46"/>
    <w:rsid w:val="00374AA6"/>
    <w:rsid w:val="00374AD8"/>
    <w:rsid w:val="00374B0C"/>
    <w:rsid w:val="00374B0E"/>
    <w:rsid w:val="00374B45"/>
    <w:rsid w:val="00374D52"/>
    <w:rsid w:val="00374EB8"/>
    <w:rsid w:val="00374F6A"/>
    <w:rsid w:val="00375074"/>
    <w:rsid w:val="00375090"/>
    <w:rsid w:val="0037531B"/>
    <w:rsid w:val="0037534D"/>
    <w:rsid w:val="0037536F"/>
    <w:rsid w:val="0037540B"/>
    <w:rsid w:val="00375430"/>
    <w:rsid w:val="00375432"/>
    <w:rsid w:val="003754E5"/>
    <w:rsid w:val="00375708"/>
    <w:rsid w:val="0037572E"/>
    <w:rsid w:val="0037575F"/>
    <w:rsid w:val="00375836"/>
    <w:rsid w:val="003758C8"/>
    <w:rsid w:val="0037599D"/>
    <w:rsid w:val="00375B17"/>
    <w:rsid w:val="00375BEF"/>
    <w:rsid w:val="00375C5D"/>
    <w:rsid w:val="00375D17"/>
    <w:rsid w:val="00375F31"/>
    <w:rsid w:val="00375FBA"/>
    <w:rsid w:val="00375FDB"/>
    <w:rsid w:val="00375FF2"/>
    <w:rsid w:val="00376039"/>
    <w:rsid w:val="00376153"/>
    <w:rsid w:val="003761ED"/>
    <w:rsid w:val="00376258"/>
    <w:rsid w:val="003762CF"/>
    <w:rsid w:val="00376370"/>
    <w:rsid w:val="00376445"/>
    <w:rsid w:val="00376516"/>
    <w:rsid w:val="00376548"/>
    <w:rsid w:val="0037658B"/>
    <w:rsid w:val="0037682A"/>
    <w:rsid w:val="003768A8"/>
    <w:rsid w:val="00376A98"/>
    <w:rsid w:val="00376AC6"/>
    <w:rsid w:val="00376C62"/>
    <w:rsid w:val="00376C85"/>
    <w:rsid w:val="00376E3F"/>
    <w:rsid w:val="00376F25"/>
    <w:rsid w:val="00376F34"/>
    <w:rsid w:val="00376F46"/>
    <w:rsid w:val="00377040"/>
    <w:rsid w:val="0037711B"/>
    <w:rsid w:val="00377154"/>
    <w:rsid w:val="00377161"/>
    <w:rsid w:val="00377345"/>
    <w:rsid w:val="00377386"/>
    <w:rsid w:val="00377494"/>
    <w:rsid w:val="003774A3"/>
    <w:rsid w:val="00377545"/>
    <w:rsid w:val="00377602"/>
    <w:rsid w:val="00377683"/>
    <w:rsid w:val="00377706"/>
    <w:rsid w:val="0037781B"/>
    <w:rsid w:val="0037795E"/>
    <w:rsid w:val="00377A34"/>
    <w:rsid w:val="00377AD3"/>
    <w:rsid w:val="00377DB0"/>
    <w:rsid w:val="00377DD0"/>
    <w:rsid w:val="00377F68"/>
    <w:rsid w:val="00380007"/>
    <w:rsid w:val="0038017F"/>
    <w:rsid w:val="00380188"/>
    <w:rsid w:val="0038024B"/>
    <w:rsid w:val="0038028F"/>
    <w:rsid w:val="003802B7"/>
    <w:rsid w:val="00380382"/>
    <w:rsid w:val="003803E8"/>
    <w:rsid w:val="00380499"/>
    <w:rsid w:val="003804A1"/>
    <w:rsid w:val="0038054D"/>
    <w:rsid w:val="0038069E"/>
    <w:rsid w:val="003807E5"/>
    <w:rsid w:val="00380902"/>
    <w:rsid w:val="003809BF"/>
    <w:rsid w:val="00380DFE"/>
    <w:rsid w:val="00380E1D"/>
    <w:rsid w:val="00380EC2"/>
    <w:rsid w:val="00380ED9"/>
    <w:rsid w:val="00380F04"/>
    <w:rsid w:val="00380F47"/>
    <w:rsid w:val="00380F52"/>
    <w:rsid w:val="00380F5B"/>
    <w:rsid w:val="003810FF"/>
    <w:rsid w:val="00381103"/>
    <w:rsid w:val="0038111C"/>
    <w:rsid w:val="00381253"/>
    <w:rsid w:val="00381338"/>
    <w:rsid w:val="00381349"/>
    <w:rsid w:val="003813BA"/>
    <w:rsid w:val="0038142C"/>
    <w:rsid w:val="003815ED"/>
    <w:rsid w:val="003816D0"/>
    <w:rsid w:val="0038188C"/>
    <w:rsid w:val="00381890"/>
    <w:rsid w:val="0038193C"/>
    <w:rsid w:val="00381941"/>
    <w:rsid w:val="00381951"/>
    <w:rsid w:val="00381B29"/>
    <w:rsid w:val="00381C59"/>
    <w:rsid w:val="00381C96"/>
    <w:rsid w:val="00381F2F"/>
    <w:rsid w:val="00381FAF"/>
    <w:rsid w:val="00381FF5"/>
    <w:rsid w:val="00382009"/>
    <w:rsid w:val="0038207C"/>
    <w:rsid w:val="003820C4"/>
    <w:rsid w:val="003820CF"/>
    <w:rsid w:val="003820F9"/>
    <w:rsid w:val="00382112"/>
    <w:rsid w:val="00382182"/>
    <w:rsid w:val="00382350"/>
    <w:rsid w:val="0038253B"/>
    <w:rsid w:val="0038258D"/>
    <w:rsid w:val="003825B1"/>
    <w:rsid w:val="00382645"/>
    <w:rsid w:val="00382686"/>
    <w:rsid w:val="00382899"/>
    <w:rsid w:val="003829E5"/>
    <w:rsid w:val="00382A88"/>
    <w:rsid w:val="00382B51"/>
    <w:rsid w:val="00382BD6"/>
    <w:rsid w:val="00382C89"/>
    <w:rsid w:val="00382C92"/>
    <w:rsid w:val="00382D60"/>
    <w:rsid w:val="00382D96"/>
    <w:rsid w:val="00382EA4"/>
    <w:rsid w:val="00382EFB"/>
    <w:rsid w:val="003830EE"/>
    <w:rsid w:val="003831F6"/>
    <w:rsid w:val="0038330B"/>
    <w:rsid w:val="0038331F"/>
    <w:rsid w:val="0038337D"/>
    <w:rsid w:val="003833E4"/>
    <w:rsid w:val="00383402"/>
    <w:rsid w:val="0038375B"/>
    <w:rsid w:val="003837C2"/>
    <w:rsid w:val="00383830"/>
    <w:rsid w:val="00383860"/>
    <w:rsid w:val="0038389C"/>
    <w:rsid w:val="00383954"/>
    <w:rsid w:val="0038399D"/>
    <w:rsid w:val="003839C5"/>
    <w:rsid w:val="00383A47"/>
    <w:rsid w:val="00383B1D"/>
    <w:rsid w:val="00383DD5"/>
    <w:rsid w:val="00383E89"/>
    <w:rsid w:val="00383EA6"/>
    <w:rsid w:val="00383EA7"/>
    <w:rsid w:val="00383F64"/>
    <w:rsid w:val="00383FAE"/>
    <w:rsid w:val="00383FB6"/>
    <w:rsid w:val="0038400B"/>
    <w:rsid w:val="0038404E"/>
    <w:rsid w:val="003840E8"/>
    <w:rsid w:val="0038414F"/>
    <w:rsid w:val="003841AE"/>
    <w:rsid w:val="003841FF"/>
    <w:rsid w:val="00384236"/>
    <w:rsid w:val="003842AC"/>
    <w:rsid w:val="003842B9"/>
    <w:rsid w:val="00384365"/>
    <w:rsid w:val="00384443"/>
    <w:rsid w:val="00384457"/>
    <w:rsid w:val="0038445B"/>
    <w:rsid w:val="003844AE"/>
    <w:rsid w:val="00384534"/>
    <w:rsid w:val="0038474B"/>
    <w:rsid w:val="00384783"/>
    <w:rsid w:val="003848A4"/>
    <w:rsid w:val="003848FF"/>
    <w:rsid w:val="0038497C"/>
    <w:rsid w:val="003849CF"/>
    <w:rsid w:val="00384A2B"/>
    <w:rsid w:val="00384AFC"/>
    <w:rsid w:val="00384C59"/>
    <w:rsid w:val="00384CAE"/>
    <w:rsid w:val="00384D38"/>
    <w:rsid w:val="00384DB6"/>
    <w:rsid w:val="00384E10"/>
    <w:rsid w:val="00384FE3"/>
    <w:rsid w:val="0038506E"/>
    <w:rsid w:val="003850B9"/>
    <w:rsid w:val="00385102"/>
    <w:rsid w:val="0038517F"/>
    <w:rsid w:val="003851D3"/>
    <w:rsid w:val="00385293"/>
    <w:rsid w:val="00385329"/>
    <w:rsid w:val="003853CE"/>
    <w:rsid w:val="003855E7"/>
    <w:rsid w:val="00385700"/>
    <w:rsid w:val="0038575B"/>
    <w:rsid w:val="00385788"/>
    <w:rsid w:val="00385839"/>
    <w:rsid w:val="003858E3"/>
    <w:rsid w:val="003858E8"/>
    <w:rsid w:val="00385AA3"/>
    <w:rsid w:val="00385AE8"/>
    <w:rsid w:val="00385B54"/>
    <w:rsid w:val="00385B56"/>
    <w:rsid w:val="00385CD3"/>
    <w:rsid w:val="00385D1D"/>
    <w:rsid w:val="00385DE8"/>
    <w:rsid w:val="00385EBB"/>
    <w:rsid w:val="00385EF8"/>
    <w:rsid w:val="00385F01"/>
    <w:rsid w:val="0038610B"/>
    <w:rsid w:val="0038615E"/>
    <w:rsid w:val="0038619D"/>
    <w:rsid w:val="003862B2"/>
    <w:rsid w:val="003862B7"/>
    <w:rsid w:val="003862D1"/>
    <w:rsid w:val="00386368"/>
    <w:rsid w:val="00386378"/>
    <w:rsid w:val="00386415"/>
    <w:rsid w:val="00386664"/>
    <w:rsid w:val="003867B2"/>
    <w:rsid w:val="00386872"/>
    <w:rsid w:val="003868F9"/>
    <w:rsid w:val="003869E8"/>
    <w:rsid w:val="00386A17"/>
    <w:rsid w:val="00386A5A"/>
    <w:rsid w:val="00386AB6"/>
    <w:rsid w:val="00386B40"/>
    <w:rsid w:val="00386B5A"/>
    <w:rsid w:val="00386B68"/>
    <w:rsid w:val="00386C2E"/>
    <w:rsid w:val="00386C47"/>
    <w:rsid w:val="00386CB4"/>
    <w:rsid w:val="00386D70"/>
    <w:rsid w:val="00386E08"/>
    <w:rsid w:val="00386E97"/>
    <w:rsid w:val="00386FA9"/>
    <w:rsid w:val="0038706E"/>
    <w:rsid w:val="00387182"/>
    <w:rsid w:val="00387241"/>
    <w:rsid w:val="0038741B"/>
    <w:rsid w:val="0038744E"/>
    <w:rsid w:val="003874A2"/>
    <w:rsid w:val="003874DC"/>
    <w:rsid w:val="003874ED"/>
    <w:rsid w:val="0038765F"/>
    <w:rsid w:val="00387696"/>
    <w:rsid w:val="00387798"/>
    <w:rsid w:val="00387839"/>
    <w:rsid w:val="0038784C"/>
    <w:rsid w:val="00387878"/>
    <w:rsid w:val="003878DC"/>
    <w:rsid w:val="0038791E"/>
    <w:rsid w:val="00387965"/>
    <w:rsid w:val="00387988"/>
    <w:rsid w:val="00387B5A"/>
    <w:rsid w:val="00387C05"/>
    <w:rsid w:val="00387C24"/>
    <w:rsid w:val="00387CBF"/>
    <w:rsid w:val="00387EA3"/>
    <w:rsid w:val="00387F05"/>
    <w:rsid w:val="00387F14"/>
    <w:rsid w:val="00387F32"/>
    <w:rsid w:val="00387F57"/>
    <w:rsid w:val="00390008"/>
    <w:rsid w:val="00390164"/>
    <w:rsid w:val="00390182"/>
    <w:rsid w:val="0039018A"/>
    <w:rsid w:val="003901D2"/>
    <w:rsid w:val="00390262"/>
    <w:rsid w:val="00390303"/>
    <w:rsid w:val="00390439"/>
    <w:rsid w:val="0039067F"/>
    <w:rsid w:val="0039082F"/>
    <w:rsid w:val="003908BD"/>
    <w:rsid w:val="0039091B"/>
    <w:rsid w:val="00390991"/>
    <w:rsid w:val="0039099D"/>
    <w:rsid w:val="00390A82"/>
    <w:rsid w:val="00390AF2"/>
    <w:rsid w:val="00390F0B"/>
    <w:rsid w:val="00390F20"/>
    <w:rsid w:val="003910C2"/>
    <w:rsid w:val="003910EB"/>
    <w:rsid w:val="003911B6"/>
    <w:rsid w:val="0039129F"/>
    <w:rsid w:val="003912CE"/>
    <w:rsid w:val="00391511"/>
    <w:rsid w:val="00391630"/>
    <w:rsid w:val="003916F0"/>
    <w:rsid w:val="003916FF"/>
    <w:rsid w:val="003917F7"/>
    <w:rsid w:val="00391837"/>
    <w:rsid w:val="00391866"/>
    <w:rsid w:val="0039194C"/>
    <w:rsid w:val="003919F3"/>
    <w:rsid w:val="00391B0D"/>
    <w:rsid w:val="00391B21"/>
    <w:rsid w:val="00391B6B"/>
    <w:rsid w:val="00391B9C"/>
    <w:rsid w:val="00391BF2"/>
    <w:rsid w:val="00391BF6"/>
    <w:rsid w:val="00391C00"/>
    <w:rsid w:val="00391C0B"/>
    <w:rsid w:val="00391D16"/>
    <w:rsid w:val="00391D17"/>
    <w:rsid w:val="00391D88"/>
    <w:rsid w:val="00391DE9"/>
    <w:rsid w:val="00391DED"/>
    <w:rsid w:val="00391EFA"/>
    <w:rsid w:val="00391F0B"/>
    <w:rsid w:val="00391F3C"/>
    <w:rsid w:val="0039202A"/>
    <w:rsid w:val="0039252A"/>
    <w:rsid w:val="00392558"/>
    <w:rsid w:val="003925E9"/>
    <w:rsid w:val="0039262E"/>
    <w:rsid w:val="0039267F"/>
    <w:rsid w:val="00392686"/>
    <w:rsid w:val="00392742"/>
    <w:rsid w:val="003927FC"/>
    <w:rsid w:val="00392805"/>
    <w:rsid w:val="003928EF"/>
    <w:rsid w:val="003929F3"/>
    <w:rsid w:val="00392B33"/>
    <w:rsid w:val="00392C11"/>
    <w:rsid w:val="00392CC0"/>
    <w:rsid w:val="00392D40"/>
    <w:rsid w:val="00392DE2"/>
    <w:rsid w:val="00392E2C"/>
    <w:rsid w:val="00392EBD"/>
    <w:rsid w:val="00392FB6"/>
    <w:rsid w:val="00392FD8"/>
    <w:rsid w:val="003930A7"/>
    <w:rsid w:val="003930FC"/>
    <w:rsid w:val="00393104"/>
    <w:rsid w:val="0039314D"/>
    <w:rsid w:val="0039319F"/>
    <w:rsid w:val="003931D4"/>
    <w:rsid w:val="0039320F"/>
    <w:rsid w:val="0039344E"/>
    <w:rsid w:val="003934BB"/>
    <w:rsid w:val="00393515"/>
    <w:rsid w:val="0039363B"/>
    <w:rsid w:val="00393700"/>
    <w:rsid w:val="003937F0"/>
    <w:rsid w:val="00393831"/>
    <w:rsid w:val="00393848"/>
    <w:rsid w:val="0039385E"/>
    <w:rsid w:val="003938C0"/>
    <w:rsid w:val="00393961"/>
    <w:rsid w:val="00393981"/>
    <w:rsid w:val="003939AD"/>
    <w:rsid w:val="00393A1E"/>
    <w:rsid w:val="00393A3D"/>
    <w:rsid w:val="00393B00"/>
    <w:rsid w:val="00393B01"/>
    <w:rsid w:val="00393BD9"/>
    <w:rsid w:val="00393DE9"/>
    <w:rsid w:val="00393FE2"/>
    <w:rsid w:val="00394054"/>
    <w:rsid w:val="0039405E"/>
    <w:rsid w:val="003940D6"/>
    <w:rsid w:val="00394198"/>
    <w:rsid w:val="0039420A"/>
    <w:rsid w:val="0039426A"/>
    <w:rsid w:val="003942EF"/>
    <w:rsid w:val="00394393"/>
    <w:rsid w:val="00394404"/>
    <w:rsid w:val="00394421"/>
    <w:rsid w:val="00394446"/>
    <w:rsid w:val="0039447A"/>
    <w:rsid w:val="003944B5"/>
    <w:rsid w:val="0039459C"/>
    <w:rsid w:val="00394631"/>
    <w:rsid w:val="00394747"/>
    <w:rsid w:val="0039483C"/>
    <w:rsid w:val="003948AC"/>
    <w:rsid w:val="00394A0F"/>
    <w:rsid w:val="00394ACB"/>
    <w:rsid w:val="00394B1B"/>
    <w:rsid w:val="00394B3C"/>
    <w:rsid w:val="00394D35"/>
    <w:rsid w:val="00394E14"/>
    <w:rsid w:val="00394ED4"/>
    <w:rsid w:val="00394F6F"/>
    <w:rsid w:val="0039504C"/>
    <w:rsid w:val="00395291"/>
    <w:rsid w:val="003953B7"/>
    <w:rsid w:val="003954E3"/>
    <w:rsid w:val="0039552B"/>
    <w:rsid w:val="00395538"/>
    <w:rsid w:val="003955CF"/>
    <w:rsid w:val="00395603"/>
    <w:rsid w:val="0039562C"/>
    <w:rsid w:val="003956CE"/>
    <w:rsid w:val="003957FE"/>
    <w:rsid w:val="00395840"/>
    <w:rsid w:val="00395858"/>
    <w:rsid w:val="00395918"/>
    <w:rsid w:val="00395948"/>
    <w:rsid w:val="00395956"/>
    <w:rsid w:val="00395963"/>
    <w:rsid w:val="00395980"/>
    <w:rsid w:val="00395AF3"/>
    <w:rsid w:val="00395BDD"/>
    <w:rsid w:val="00395BDE"/>
    <w:rsid w:val="00395BFB"/>
    <w:rsid w:val="00395C13"/>
    <w:rsid w:val="00395C1C"/>
    <w:rsid w:val="00395C76"/>
    <w:rsid w:val="00395C82"/>
    <w:rsid w:val="00395CCB"/>
    <w:rsid w:val="00395D73"/>
    <w:rsid w:val="00395E3F"/>
    <w:rsid w:val="00395F97"/>
    <w:rsid w:val="0039602C"/>
    <w:rsid w:val="00396074"/>
    <w:rsid w:val="0039615A"/>
    <w:rsid w:val="00396200"/>
    <w:rsid w:val="00396237"/>
    <w:rsid w:val="0039635E"/>
    <w:rsid w:val="00396391"/>
    <w:rsid w:val="0039645D"/>
    <w:rsid w:val="003964C2"/>
    <w:rsid w:val="00396603"/>
    <w:rsid w:val="003968C2"/>
    <w:rsid w:val="003968DE"/>
    <w:rsid w:val="003969BF"/>
    <w:rsid w:val="00396A51"/>
    <w:rsid w:val="00396AA3"/>
    <w:rsid w:val="00396AAF"/>
    <w:rsid w:val="00396AE6"/>
    <w:rsid w:val="00396C00"/>
    <w:rsid w:val="00396C38"/>
    <w:rsid w:val="00396C8F"/>
    <w:rsid w:val="00396C98"/>
    <w:rsid w:val="00396CD7"/>
    <w:rsid w:val="00396D49"/>
    <w:rsid w:val="00396D9E"/>
    <w:rsid w:val="00396DAE"/>
    <w:rsid w:val="00396ED5"/>
    <w:rsid w:val="00396F3C"/>
    <w:rsid w:val="00396F63"/>
    <w:rsid w:val="00396FB4"/>
    <w:rsid w:val="0039701F"/>
    <w:rsid w:val="00397055"/>
    <w:rsid w:val="0039716C"/>
    <w:rsid w:val="00397216"/>
    <w:rsid w:val="003973E2"/>
    <w:rsid w:val="0039741B"/>
    <w:rsid w:val="00397457"/>
    <w:rsid w:val="00397499"/>
    <w:rsid w:val="0039762C"/>
    <w:rsid w:val="00397633"/>
    <w:rsid w:val="00397878"/>
    <w:rsid w:val="003978EF"/>
    <w:rsid w:val="00397A28"/>
    <w:rsid w:val="00397AA8"/>
    <w:rsid w:val="00397CB7"/>
    <w:rsid w:val="00397D7D"/>
    <w:rsid w:val="00397DEA"/>
    <w:rsid w:val="00397E89"/>
    <w:rsid w:val="00397EBB"/>
    <w:rsid w:val="00397F30"/>
    <w:rsid w:val="00397F49"/>
    <w:rsid w:val="00397FA5"/>
    <w:rsid w:val="003A0045"/>
    <w:rsid w:val="003A004B"/>
    <w:rsid w:val="003A0142"/>
    <w:rsid w:val="003A0341"/>
    <w:rsid w:val="003A03B0"/>
    <w:rsid w:val="003A047D"/>
    <w:rsid w:val="003A04AA"/>
    <w:rsid w:val="003A05E4"/>
    <w:rsid w:val="003A084C"/>
    <w:rsid w:val="003A0886"/>
    <w:rsid w:val="003A092A"/>
    <w:rsid w:val="003A0AC6"/>
    <w:rsid w:val="003A0B76"/>
    <w:rsid w:val="003A0C13"/>
    <w:rsid w:val="003A0C49"/>
    <w:rsid w:val="003A0CE4"/>
    <w:rsid w:val="003A0CF0"/>
    <w:rsid w:val="003A0D45"/>
    <w:rsid w:val="003A0E0B"/>
    <w:rsid w:val="003A0FD9"/>
    <w:rsid w:val="003A0FEA"/>
    <w:rsid w:val="003A11C2"/>
    <w:rsid w:val="003A127D"/>
    <w:rsid w:val="003A12D0"/>
    <w:rsid w:val="003A1367"/>
    <w:rsid w:val="003A13D6"/>
    <w:rsid w:val="003A13F3"/>
    <w:rsid w:val="003A1567"/>
    <w:rsid w:val="003A1595"/>
    <w:rsid w:val="003A15FC"/>
    <w:rsid w:val="003A1687"/>
    <w:rsid w:val="003A174D"/>
    <w:rsid w:val="003A17E6"/>
    <w:rsid w:val="003A18F4"/>
    <w:rsid w:val="003A1BB0"/>
    <w:rsid w:val="003A1C35"/>
    <w:rsid w:val="003A1CCD"/>
    <w:rsid w:val="003A1E0E"/>
    <w:rsid w:val="003A1F06"/>
    <w:rsid w:val="003A1F93"/>
    <w:rsid w:val="003A1FE7"/>
    <w:rsid w:val="003A1FF7"/>
    <w:rsid w:val="003A209A"/>
    <w:rsid w:val="003A20C7"/>
    <w:rsid w:val="003A20E2"/>
    <w:rsid w:val="003A2114"/>
    <w:rsid w:val="003A212A"/>
    <w:rsid w:val="003A21D5"/>
    <w:rsid w:val="003A221A"/>
    <w:rsid w:val="003A22E7"/>
    <w:rsid w:val="003A22FF"/>
    <w:rsid w:val="003A2501"/>
    <w:rsid w:val="003A268A"/>
    <w:rsid w:val="003A2835"/>
    <w:rsid w:val="003A28D2"/>
    <w:rsid w:val="003A296A"/>
    <w:rsid w:val="003A2973"/>
    <w:rsid w:val="003A29E5"/>
    <w:rsid w:val="003A2A00"/>
    <w:rsid w:val="003A2A81"/>
    <w:rsid w:val="003A2EA9"/>
    <w:rsid w:val="003A2ED9"/>
    <w:rsid w:val="003A2F80"/>
    <w:rsid w:val="003A2F8F"/>
    <w:rsid w:val="003A2FF0"/>
    <w:rsid w:val="003A304A"/>
    <w:rsid w:val="003A317A"/>
    <w:rsid w:val="003A31F2"/>
    <w:rsid w:val="003A3267"/>
    <w:rsid w:val="003A328B"/>
    <w:rsid w:val="003A3379"/>
    <w:rsid w:val="003A34DF"/>
    <w:rsid w:val="003A3653"/>
    <w:rsid w:val="003A36C6"/>
    <w:rsid w:val="003A3730"/>
    <w:rsid w:val="003A379A"/>
    <w:rsid w:val="003A379D"/>
    <w:rsid w:val="003A37AC"/>
    <w:rsid w:val="003A37C0"/>
    <w:rsid w:val="003A381D"/>
    <w:rsid w:val="003A3833"/>
    <w:rsid w:val="003A3849"/>
    <w:rsid w:val="003A38B4"/>
    <w:rsid w:val="003A395A"/>
    <w:rsid w:val="003A3972"/>
    <w:rsid w:val="003A3B1D"/>
    <w:rsid w:val="003A3B50"/>
    <w:rsid w:val="003A3B8F"/>
    <w:rsid w:val="003A3C83"/>
    <w:rsid w:val="003A3DBC"/>
    <w:rsid w:val="003A3F49"/>
    <w:rsid w:val="003A3F98"/>
    <w:rsid w:val="003A3FBC"/>
    <w:rsid w:val="003A3FBE"/>
    <w:rsid w:val="003A3FF8"/>
    <w:rsid w:val="003A4002"/>
    <w:rsid w:val="003A4015"/>
    <w:rsid w:val="003A40E2"/>
    <w:rsid w:val="003A4119"/>
    <w:rsid w:val="003A4120"/>
    <w:rsid w:val="003A419D"/>
    <w:rsid w:val="003A41F0"/>
    <w:rsid w:val="003A41F9"/>
    <w:rsid w:val="003A42C7"/>
    <w:rsid w:val="003A4371"/>
    <w:rsid w:val="003A43FC"/>
    <w:rsid w:val="003A4518"/>
    <w:rsid w:val="003A45D1"/>
    <w:rsid w:val="003A4625"/>
    <w:rsid w:val="003A464F"/>
    <w:rsid w:val="003A47CF"/>
    <w:rsid w:val="003A4970"/>
    <w:rsid w:val="003A4BDB"/>
    <w:rsid w:val="003A4C85"/>
    <w:rsid w:val="003A4C8A"/>
    <w:rsid w:val="003A4CB1"/>
    <w:rsid w:val="003A4D23"/>
    <w:rsid w:val="003A4D66"/>
    <w:rsid w:val="003A4DE1"/>
    <w:rsid w:val="003A4DFD"/>
    <w:rsid w:val="003A4E19"/>
    <w:rsid w:val="003A4E7E"/>
    <w:rsid w:val="003A4ED0"/>
    <w:rsid w:val="003A511B"/>
    <w:rsid w:val="003A5136"/>
    <w:rsid w:val="003A515D"/>
    <w:rsid w:val="003A5165"/>
    <w:rsid w:val="003A5172"/>
    <w:rsid w:val="003A523C"/>
    <w:rsid w:val="003A524F"/>
    <w:rsid w:val="003A5277"/>
    <w:rsid w:val="003A530D"/>
    <w:rsid w:val="003A5351"/>
    <w:rsid w:val="003A53C1"/>
    <w:rsid w:val="003A54B8"/>
    <w:rsid w:val="003A5604"/>
    <w:rsid w:val="003A562E"/>
    <w:rsid w:val="003A5667"/>
    <w:rsid w:val="003A5683"/>
    <w:rsid w:val="003A582B"/>
    <w:rsid w:val="003A58AB"/>
    <w:rsid w:val="003A58F3"/>
    <w:rsid w:val="003A5950"/>
    <w:rsid w:val="003A59EC"/>
    <w:rsid w:val="003A5A44"/>
    <w:rsid w:val="003A5C4D"/>
    <w:rsid w:val="003A5EA2"/>
    <w:rsid w:val="003A5EA9"/>
    <w:rsid w:val="003A5F33"/>
    <w:rsid w:val="003A5F43"/>
    <w:rsid w:val="003A5F72"/>
    <w:rsid w:val="003A5FD2"/>
    <w:rsid w:val="003A6069"/>
    <w:rsid w:val="003A6170"/>
    <w:rsid w:val="003A618F"/>
    <w:rsid w:val="003A6282"/>
    <w:rsid w:val="003A6431"/>
    <w:rsid w:val="003A646C"/>
    <w:rsid w:val="003A651E"/>
    <w:rsid w:val="003A6535"/>
    <w:rsid w:val="003A67AB"/>
    <w:rsid w:val="003A6919"/>
    <w:rsid w:val="003A69A7"/>
    <w:rsid w:val="003A69CC"/>
    <w:rsid w:val="003A6A26"/>
    <w:rsid w:val="003A6A8B"/>
    <w:rsid w:val="003A6B05"/>
    <w:rsid w:val="003A6B3B"/>
    <w:rsid w:val="003A6B3C"/>
    <w:rsid w:val="003A6B70"/>
    <w:rsid w:val="003A6BAF"/>
    <w:rsid w:val="003A6C27"/>
    <w:rsid w:val="003A6C57"/>
    <w:rsid w:val="003A6CDC"/>
    <w:rsid w:val="003A6D5E"/>
    <w:rsid w:val="003A6E3A"/>
    <w:rsid w:val="003A6E55"/>
    <w:rsid w:val="003A6F0A"/>
    <w:rsid w:val="003A6F3C"/>
    <w:rsid w:val="003A6F4F"/>
    <w:rsid w:val="003A70CC"/>
    <w:rsid w:val="003A71AE"/>
    <w:rsid w:val="003A7203"/>
    <w:rsid w:val="003A720F"/>
    <w:rsid w:val="003A727C"/>
    <w:rsid w:val="003A72ED"/>
    <w:rsid w:val="003A747C"/>
    <w:rsid w:val="003A760B"/>
    <w:rsid w:val="003A762F"/>
    <w:rsid w:val="003A7641"/>
    <w:rsid w:val="003A787C"/>
    <w:rsid w:val="003A7913"/>
    <w:rsid w:val="003A791B"/>
    <w:rsid w:val="003A7955"/>
    <w:rsid w:val="003A7B05"/>
    <w:rsid w:val="003A7B8D"/>
    <w:rsid w:val="003A7CAE"/>
    <w:rsid w:val="003A7EAC"/>
    <w:rsid w:val="003A7F78"/>
    <w:rsid w:val="003A7FBB"/>
    <w:rsid w:val="003B0153"/>
    <w:rsid w:val="003B0171"/>
    <w:rsid w:val="003B021D"/>
    <w:rsid w:val="003B034B"/>
    <w:rsid w:val="003B0365"/>
    <w:rsid w:val="003B03C6"/>
    <w:rsid w:val="003B0409"/>
    <w:rsid w:val="003B0431"/>
    <w:rsid w:val="003B04C7"/>
    <w:rsid w:val="003B0584"/>
    <w:rsid w:val="003B05A7"/>
    <w:rsid w:val="003B0644"/>
    <w:rsid w:val="003B06FE"/>
    <w:rsid w:val="003B072B"/>
    <w:rsid w:val="003B085A"/>
    <w:rsid w:val="003B09ED"/>
    <w:rsid w:val="003B0A72"/>
    <w:rsid w:val="003B0A7F"/>
    <w:rsid w:val="003B0ACE"/>
    <w:rsid w:val="003B0B14"/>
    <w:rsid w:val="003B0BBF"/>
    <w:rsid w:val="003B0BC5"/>
    <w:rsid w:val="003B0C1D"/>
    <w:rsid w:val="003B0C37"/>
    <w:rsid w:val="003B0CD2"/>
    <w:rsid w:val="003B0CE5"/>
    <w:rsid w:val="003B0D87"/>
    <w:rsid w:val="003B0E62"/>
    <w:rsid w:val="003B0ED7"/>
    <w:rsid w:val="003B0EE4"/>
    <w:rsid w:val="003B0FD5"/>
    <w:rsid w:val="003B109C"/>
    <w:rsid w:val="003B10E0"/>
    <w:rsid w:val="003B11C2"/>
    <w:rsid w:val="003B1290"/>
    <w:rsid w:val="003B12D7"/>
    <w:rsid w:val="003B12E0"/>
    <w:rsid w:val="003B1422"/>
    <w:rsid w:val="003B1447"/>
    <w:rsid w:val="003B144D"/>
    <w:rsid w:val="003B14BA"/>
    <w:rsid w:val="003B157E"/>
    <w:rsid w:val="003B15A9"/>
    <w:rsid w:val="003B1689"/>
    <w:rsid w:val="003B16A6"/>
    <w:rsid w:val="003B179F"/>
    <w:rsid w:val="003B17AF"/>
    <w:rsid w:val="003B1886"/>
    <w:rsid w:val="003B18B5"/>
    <w:rsid w:val="003B1AC4"/>
    <w:rsid w:val="003B1B13"/>
    <w:rsid w:val="003B1B14"/>
    <w:rsid w:val="003B1C67"/>
    <w:rsid w:val="003B1C7E"/>
    <w:rsid w:val="003B1DC5"/>
    <w:rsid w:val="003B1DF7"/>
    <w:rsid w:val="003B1E58"/>
    <w:rsid w:val="003B20E1"/>
    <w:rsid w:val="003B213E"/>
    <w:rsid w:val="003B217B"/>
    <w:rsid w:val="003B21BC"/>
    <w:rsid w:val="003B220A"/>
    <w:rsid w:val="003B22D4"/>
    <w:rsid w:val="003B22DC"/>
    <w:rsid w:val="003B2362"/>
    <w:rsid w:val="003B236D"/>
    <w:rsid w:val="003B23F8"/>
    <w:rsid w:val="003B2460"/>
    <w:rsid w:val="003B2489"/>
    <w:rsid w:val="003B24DC"/>
    <w:rsid w:val="003B2659"/>
    <w:rsid w:val="003B2679"/>
    <w:rsid w:val="003B2687"/>
    <w:rsid w:val="003B273C"/>
    <w:rsid w:val="003B273E"/>
    <w:rsid w:val="003B2796"/>
    <w:rsid w:val="003B2852"/>
    <w:rsid w:val="003B2864"/>
    <w:rsid w:val="003B286F"/>
    <w:rsid w:val="003B2924"/>
    <w:rsid w:val="003B293A"/>
    <w:rsid w:val="003B2A36"/>
    <w:rsid w:val="003B2B44"/>
    <w:rsid w:val="003B2BE2"/>
    <w:rsid w:val="003B2C08"/>
    <w:rsid w:val="003B2C8B"/>
    <w:rsid w:val="003B2D04"/>
    <w:rsid w:val="003B2EC4"/>
    <w:rsid w:val="003B2F5E"/>
    <w:rsid w:val="003B319C"/>
    <w:rsid w:val="003B32AC"/>
    <w:rsid w:val="003B333A"/>
    <w:rsid w:val="003B3376"/>
    <w:rsid w:val="003B3379"/>
    <w:rsid w:val="003B3397"/>
    <w:rsid w:val="003B341C"/>
    <w:rsid w:val="003B347A"/>
    <w:rsid w:val="003B3551"/>
    <w:rsid w:val="003B3569"/>
    <w:rsid w:val="003B3770"/>
    <w:rsid w:val="003B3779"/>
    <w:rsid w:val="003B380F"/>
    <w:rsid w:val="003B3846"/>
    <w:rsid w:val="003B38C9"/>
    <w:rsid w:val="003B396D"/>
    <w:rsid w:val="003B397A"/>
    <w:rsid w:val="003B3A19"/>
    <w:rsid w:val="003B3A67"/>
    <w:rsid w:val="003B3B23"/>
    <w:rsid w:val="003B3B52"/>
    <w:rsid w:val="003B3BBC"/>
    <w:rsid w:val="003B3BC5"/>
    <w:rsid w:val="003B3C80"/>
    <w:rsid w:val="003B3C91"/>
    <w:rsid w:val="003B3CC6"/>
    <w:rsid w:val="003B3F06"/>
    <w:rsid w:val="003B3F0C"/>
    <w:rsid w:val="003B3F35"/>
    <w:rsid w:val="003B3F48"/>
    <w:rsid w:val="003B3FCE"/>
    <w:rsid w:val="003B4004"/>
    <w:rsid w:val="003B40BD"/>
    <w:rsid w:val="003B4109"/>
    <w:rsid w:val="003B41C4"/>
    <w:rsid w:val="003B41D4"/>
    <w:rsid w:val="003B41E5"/>
    <w:rsid w:val="003B429B"/>
    <w:rsid w:val="003B43C4"/>
    <w:rsid w:val="003B4414"/>
    <w:rsid w:val="003B44B5"/>
    <w:rsid w:val="003B45D3"/>
    <w:rsid w:val="003B4708"/>
    <w:rsid w:val="003B473A"/>
    <w:rsid w:val="003B482A"/>
    <w:rsid w:val="003B485A"/>
    <w:rsid w:val="003B48D0"/>
    <w:rsid w:val="003B4940"/>
    <w:rsid w:val="003B4960"/>
    <w:rsid w:val="003B49F0"/>
    <w:rsid w:val="003B4A7F"/>
    <w:rsid w:val="003B4AD2"/>
    <w:rsid w:val="003B4AF8"/>
    <w:rsid w:val="003B4BDB"/>
    <w:rsid w:val="003B4C97"/>
    <w:rsid w:val="003B4C9D"/>
    <w:rsid w:val="003B4D11"/>
    <w:rsid w:val="003B4DEB"/>
    <w:rsid w:val="003B4E15"/>
    <w:rsid w:val="003B4E69"/>
    <w:rsid w:val="003B510D"/>
    <w:rsid w:val="003B514D"/>
    <w:rsid w:val="003B5171"/>
    <w:rsid w:val="003B51B9"/>
    <w:rsid w:val="003B52AD"/>
    <w:rsid w:val="003B5469"/>
    <w:rsid w:val="003B54F1"/>
    <w:rsid w:val="003B55C6"/>
    <w:rsid w:val="003B565B"/>
    <w:rsid w:val="003B5667"/>
    <w:rsid w:val="003B56C4"/>
    <w:rsid w:val="003B57AC"/>
    <w:rsid w:val="003B5824"/>
    <w:rsid w:val="003B58A1"/>
    <w:rsid w:val="003B58CD"/>
    <w:rsid w:val="003B5930"/>
    <w:rsid w:val="003B5932"/>
    <w:rsid w:val="003B59C5"/>
    <w:rsid w:val="003B59EE"/>
    <w:rsid w:val="003B5A0E"/>
    <w:rsid w:val="003B5A10"/>
    <w:rsid w:val="003B5CA0"/>
    <w:rsid w:val="003B5CDE"/>
    <w:rsid w:val="003B5D49"/>
    <w:rsid w:val="003B5DDD"/>
    <w:rsid w:val="003B5E31"/>
    <w:rsid w:val="003B5E4C"/>
    <w:rsid w:val="003B5E68"/>
    <w:rsid w:val="003B5E78"/>
    <w:rsid w:val="003B5E8A"/>
    <w:rsid w:val="003B5F11"/>
    <w:rsid w:val="003B5FCE"/>
    <w:rsid w:val="003B6132"/>
    <w:rsid w:val="003B6167"/>
    <w:rsid w:val="003B616C"/>
    <w:rsid w:val="003B6230"/>
    <w:rsid w:val="003B635F"/>
    <w:rsid w:val="003B63AE"/>
    <w:rsid w:val="003B6417"/>
    <w:rsid w:val="003B6472"/>
    <w:rsid w:val="003B649C"/>
    <w:rsid w:val="003B64BA"/>
    <w:rsid w:val="003B6515"/>
    <w:rsid w:val="003B6537"/>
    <w:rsid w:val="003B65F9"/>
    <w:rsid w:val="003B6692"/>
    <w:rsid w:val="003B670F"/>
    <w:rsid w:val="003B671B"/>
    <w:rsid w:val="003B6752"/>
    <w:rsid w:val="003B680B"/>
    <w:rsid w:val="003B6857"/>
    <w:rsid w:val="003B68D0"/>
    <w:rsid w:val="003B68EC"/>
    <w:rsid w:val="003B68F0"/>
    <w:rsid w:val="003B6AC7"/>
    <w:rsid w:val="003B6B1E"/>
    <w:rsid w:val="003B6B6D"/>
    <w:rsid w:val="003B6BB3"/>
    <w:rsid w:val="003B6BE2"/>
    <w:rsid w:val="003B6D48"/>
    <w:rsid w:val="003B6D4D"/>
    <w:rsid w:val="003B6D8B"/>
    <w:rsid w:val="003B6DC3"/>
    <w:rsid w:val="003B6DF9"/>
    <w:rsid w:val="003B6F66"/>
    <w:rsid w:val="003B6FD8"/>
    <w:rsid w:val="003B71A6"/>
    <w:rsid w:val="003B71DF"/>
    <w:rsid w:val="003B7370"/>
    <w:rsid w:val="003B73A4"/>
    <w:rsid w:val="003B73C2"/>
    <w:rsid w:val="003B73ED"/>
    <w:rsid w:val="003B7413"/>
    <w:rsid w:val="003B74A7"/>
    <w:rsid w:val="003B74B3"/>
    <w:rsid w:val="003B7518"/>
    <w:rsid w:val="003B76E6"/>
    <w:rsid w:val="003B771D"/>
    <w:rsid w:val="003B7753"/>
    <w:rsid w:val="003B780E"/>
    <w:rsid w:val="003B782D"/>
    <w:rsid w:val="003B783E"/>
    <w:rsid w:val="003B7843"/>
    <w:rsid w:val="003B7848"/>
    <w:rsid w:val="003B78FB"/>
    <w:rsid w:val="003B79A6"/>
    <w:rsid w:val="003B7D0A"/>
    <w:rsid w:val="003B7D6D"/>
    <w:rsid w:val="003B7F75"/>
    <w:rsid w:val="003B7FCA"/>
    <w:rsid w:val="003B7FDD"/>
    <w:rsid w:val="003C0014"/>
    <w:rsid w:val="003C0080"/>
    <w:rsid w:val="003C0128"/>
    <w:rsid w:val="003C0246"/>
    <w:rsid w:val="003C028B"/>
    <w:rsid w:val="003C0295"/>
    <w:rsid w:val="003C02DF"/>
    <w:rsid w:val="003C0319"/>
    <w:rsid w:val="003C038E"/>
    <w:rsid w:val="003C042F"/>
    <w:rsid w:val="003C0467"/>
    <w:rsid w:val="003C04AA"/>
    <w:rsid w:val="003C05B9"/>
    <w:rsid w:val="003C07E1"/>
    <w:rsid w:val="003C07EA"/>
    <w:rsid w:val="003C0896"/>
    <w:rsid w:val="003C089E"/>
    <w:rsid w:val="003C0930"/>
    <w:rsid w:val="003C09DC"/>
    <w:rsid w:val="003C09F7"/>
    <w:rsid w:val="003C09F9"/>
    <w:rsid w:val="003C0A03"/>
    <w:rsid w:val="003C0A80"/>
    <w:rsid w:val="003C0BEF"/>
    <w:rsid w:val="003C0C27"/>
    <w:rsid w:val="003C0C7B"/>
    <w:rsid w:val="003C0DB0"/>
    <w:rsid w:val="003C0DC8"/>
    <w:rsid w:val="003C0E40"/>
    <w:rsid w:val="003C0E62"/>
    <w:rsid w:val="003C0EF0"/>
    <w:rsid w:val="003C0F0D"/>
    <w:rsid w:val="003C107A"/>
    <w:rsid w:val="003C10C5"/>
    <w:rsid w:val="003C10CF"/>
    <w:rsid w:val="003C1109"/>
    <w:rsid w:val="003C1123"/>
    <w:rsid w:val="003C112B"/>
    <w:rsid w:val="003C117F"/>
    <w:rsid w:val="003C11CE"/>
    <w:rsid w:val="003C12FC"/>
    <w:rsid w:val="003C131B"/>
    <w:rsid w:val="003C134C"/>
    <w:rsid w:val="003C1352"/>
    <w:rsid w:val="003C1371"/>
    <w:rsid w:val="003C1446"/>
    <w:rsid w:val="003C146C"/>
    <w:rsid w:val="003C1548"/>
    <w:rsid w:val="003C1563"/>
    <w:rsid w:val="003C158B"/>
    <w:rsid w:val="003C15E9"/>
    <w:rsid w:val="003C161A"/>
    <w:rsid w:val="003C161C"/>
    <w:rsid w:val="003C170B"/>
    <w:rsid w:val="003C1797"/>
    <w:rsid w:val="003C1800"/>
    <w:rsid w:val="003C1848"/>
    <w:rsid w:val="003C1BFF"/>
    <w:rsid w:val="003C1C71"/>
    <w:rsid w:val="003C1D51"/>
    <w:rsid w:val="003C1E0B"/>
    <w:rsid w:val="003C1E49"/>
    <w:rsid w:val="003C1F1A"/>
    <w:rsid w:val="003C1F55"/>
    <w:rsid w:val="003C1F64"/>
    <w:rsid w:val="003C1FDA"/>
    <w:rsid w:val="003C1FEB"/>
    <w:rsid w:val="003C2030"/>
    <w:rsid w:val="003C2109"/>
    <w:rsid w:val="003C2140"/>
    <w:rsid w:val="003C214A"/>
    <w:rsid w:val="003C2229"/>
    <w:rsid w:val="003C232D"/>
    <w:rsid w:val="003C235B"/>
    <w:rsid w:val="003C235E"/>
    <w:rsid w:val="003C247D"/>
    <w:rsid w:val="003C25C1"/>
    <w:rsid w:val="003C25FA"/>
    <w:rsid w:val="003C2641"/>
    <w:rsid w:val="003C2813"/>
    <w:rsid w:val="003C295A"/>
    <w:rsid w:val="003C29C5"/>
    <w:rsid w:val="003C2A56"/>
    <w:rsid w:val="003C2A75"/>
    <w:rsid w:val="003C2AF5"/>
    <w:rsid w:val="003C2B10"/>
    <w:rsid w:val="003C2B2A"/>
    <w:rsid w:val="003C2B61"/>
    <w:rsid w:val="003C2BD0"/>
    <w:rsid w:val="003C2C19"/>
    <w:rsid w:val="003C2CB4"/>
    <w:rsid w:val="003C2CC1"/>
    <w:rsid w:val="003C2D51"/>
    <w:rsid w:val="003C2E13"/>
    <w:rsid w:val="003C2E8D"/>
    <w:rsid w:val="003C2ECD"/>
    <w:rsid w:val="003C2F62"/>
    <w:rsid w:val="003C2F85"/>
    <w:rsid w:val="003C30A0"/>
    <w:rsid w:val="003C30D7"/>
    <w:rsid w:val="003C3257"/>
    <w:rsid w:val="003C32C6"/>
    <w:rsid w:val="003C33F1"/>
    <w:rsid w:val="003C33F9"/>
    <w:rsid w:val="003C346A"/>
    <w:rsid w:val="003C3513"/>
    <w:rsid w:val="003C3676"/>
    <w:rsid w:val="003C3685"/>
    <w:rsid w:val="003C36F2"/>
    <w:rsid w:val="003C37DA"/>
    <w:rsid w:val="003C3810"/>
    <w:rsid w:val="003C3921"/>
    <w:rsid w:val="003C395B"/>
    <w:rsid w:val="003C3993"/>
    <w:rsid w:val="003C3AFE"/>
    <w:rsid w:val="003C3D90"/>
    <w:rsid w:val="003C3DC2"/>
    <w:rsid w:val="003C3E35"/>
    <w:rsid w:val="003C3F69"/>
    <w:rsid w:val="003C40F8"/>
    <w:rsid w:val="003C4191"/>
    <w:rsid w:val="003C4316"/>
    <w:rsid w:val="003C43AD"/>
    <w:rsid w:val="003C448B"/>
    <w:rsid w:val="003C44C5"/>
    <w:rsid w:val="003C456A"/>
    <w:rsid w:val="003C46D9"/>
    <w:rsid w:val="003C4879"/>
    <w:rsid w:val="003C4895"/>
    <w:rsid w:val="003C4AD3"/>
    <w:rsid w:val="003C4B35"/>
    <w:rsid w:val="003C4BCA"/>
    <w:rsid w:val="003C4D43"/>
    <w:rsid w:val="003C4F12"/>
    <w:rsid w:val="003C5023"/>
    <w:rsid w:val="003C5048"/>
    <w:rsid w:val="003C5114"/>
    <w:rsid w:val="003C5185"/>
    <w:rsid w:val="003C5250"/>
    <w:rsid w:val="003C52CA"/>
    <w:rsid w:val="003C53E3"/>
    <w:rsid w:val="003C5408"/>
    <w:rsid w:val="003C54C5"/>
    <w:rsid w:val="003C5628"/>
    <w:rsid w:val="003C563F"/>
    <w:rsid w:val="003C56A6"/>
    <w:rsid w:val="003C56DE"/>
    <w:rsid w:val="003C581B"/>
    <w:rsid w:val="003C583B"/>
    <w:rsid w:val="003C5896"/>
    <w:rsid w:val="003C58DD"/>
    <w:rsid w:val="003C59C9"/>
    <w:rsid w:val="003C5AB9"/>
    <w:rsid w:val="003C5BA1"/>
    <w:rsid w:val="003C5C55"/>
    <w:rsid w:val="003C5D4E"/>
    <w:rsid w:val="003C5DAF"/>
    <w:rsid w:val="003C5E14"/>
    <w:rsid w:val="003C5E40"/>
    <w:rsid w:val="003C5EE1"/>
    <w:rsid w:val="003C5EE6"/>
    <w:rsid w:val="003C5F5B"/>
    <w:rsid w:val="003C60A6"/>
    <w:rsid w:val="003C60EB"/>
    <w:rsid w:val="003C6154"/>
    <w:rsid w:val="003C61A2"/>
    <w:rsid w:val="003C626B"/>
    <w:rsid w:val="003C62BA"/>
    <w:rsid w:val="003C62F7"/>
    <w:rsid w:val="003C631A"/>
    <w:rsid w:val="003C6354"/>
    <w:rsid w:val="003C63BE"/>
    <w:rsid w:val="003C643C"/>
    <w:rsid w:val="003C64AB"/>
    <w:rsid w:val="003C657A"/>
    <w:rsid w:val="003C65BB"/>
    <w:rsid w:val="003C6625"/>
    <w:rsid w:val="003C6632"/>
    <w:rsid w:val="003C6662"/>
    <w:rsid w:val="003C67AB"/>
    <w:rsid w:val="003C6842"/>
    <w:rsid w:val="003C6861"/>
    <w:rsid w:val="003C6870"/>
    <w:rsid w:val="003C688D"/>
    <w:rsid w:val="003C69E7"/>
    <w:rsid w:val="003C6B77"/>
    <w:rsid w:val="003C6D1B"/>
    <w:rsid w:val="003C6FBE"/>
    <w:rsid w:val="003C7066"/>
    <w:rsid w:val="003C70F3"/>
    <w:rsid w:val="003C727E"/>
    <w:rsid w:val="003C72A4"/>
    <w:rsid w:val="003C7302"/>
    <w:rsid w:val="003C7309"/>
    <w:rsid w:val="003C7332"/>
    <w:rsid w:val="003C739B"/>
    <w:rsid w:val="003C73F8"/>
    <w:rsid w:val="003C7442"/>
    <w:rsid w:val="003C74A7"/>
    <w:rsid w:val="003C752C"/>
    <w:rsid w:val="003C759A"/>
    <w:rsid w:val="003C75E1"/>
    <w:rsid w:val="003C7623"/>
    <w:rsid w:val="003C7628"/>
    <w:rsid w:val="003C778D"/>
    <w:rsid w:val="003C783A"/>
    <w:rsid w:val="003C785D"/>
    <w:rsid w:val="003C78B5"/>
    <w:rsid w:val="003C78EB"/>
    <w:rsid w:val="003C7949"/>
    <w:rsid w:val="003C7AA7"/>
    <w:rsid w:val="003C7B24"/>
    <w:rsid w:val="003C7B7F"/>
    <w:rsid w:val="003C7C0B"/>
    <w:rsid w:val="003C7C98"/>
    <w:rsid w:val="003C7CD2"/>
    <w:rsid w:val="003C7D5E"/>
    <w:rsid w:val="003C7D65"/>
    <w:rsid w:val="003C7E90"/>
    <w:rsid w:val="003C7EC4"/>
    <w:rsid w:val="003C7ED8"/>
    <w:rsid w:val="003C7EE6"/>
    <w:rsid w:val="003C7EFB"/>
    <w:rsid w:val="003C7F4A"/>
    <w:rsid w:val="003C7F94"/>
    <w:rsid w:val="003D0195"/>
    <w:rsid w:val="003D03FB"/>
    <w:rsid w:val="003D04F3"/>
    <w:rsid w:val="003D0599"/>
    <w:rsid w:val="003D05BB"/>
    <w:rsid w:val="003D068E"/>
    <w:rsid w:val="003D06CA"/>
    <w:rsid w:val="003D071D"/>
    <w:rsid w:val="003D072A"/>
    <w:rsid w:val="003D0735"/>
    <w:rsid w:val="003D07DA"/>
    <w:rsid w:val="003D08C6"/>
    <w:rsid w:val="003D08FB"/>
    <w:rsid w:val="003D0968"/>
    <w:rsid w:val="003D0B3A"/>
    <w:rsid w:val="003D0D22"/>
    <w:rsid w:val="003D0D36"/>
    <w:rsid w:val="003D0E01"/>
    <w:rsid w:val="003D0F24"/>
    <w:rsid w:val="003D0F2C"/>
    <w:rsid w:val="003D0F4A"/>
    <w:rsid w:val="003D0FB9"/>
    <w:rsid w:val="003D0FD7"/>
    <w:rsid w:val="003D10A3"/>
    <w:rsid w:val="003D10F2"/>
    <w:rsid w:val="003D12E6"/>
    <w:rsid w:val="003D147F"/>
    <w:rsid w:val="003D14A5"/>
    <w:rsid w:val="003D14C2"/>
    <w:rsid w:val="003D1565"/>
    <w:rsid w:val="003D163A"/>
    <w:rsid w:val="003D1744"/>
    <w:rsid w:val="003D18EE"/>
    <w:rsid w:val="003D1A23"/>
    <w:rsid w:val="003D1A66"/>
    <w:rsid w:val="003D1BF2"/>
    <w:rsid w:val="003D1BF5"/>
    <w:rsid w:val="003D1C11"/>
    <w:rsid w:val="003D1C54"/>
    <w:rsid w:val="003D1D2D"/>
    <w:rsid w:val="003D1D62"/>
    <w:rsid w:val="003D1F24"/>
    <w:rsid w:val="003D1F70"/>
    <w:rsid w:val="003D20C0"/>
    <w:rsid w:val="003D214F"/>
    <w:rsid w:val="003D218A"/>
    <w:rsid w:val="003D21F9"/>
    <w:rsid w:val="003D2488"/>
    <w:rsid w:val="003D25AF"/>
    <w:rsid w:val="003D25B4"/>
    <w:rsid w:val="003D2816"/>
    <w:rsid w:val="003D2870"/>
    <w:rsid w:val="003D28C0"/>
    <w:rsid w:val="003D28CF"/>
    <w:rsid w:val="003D2909"/>
    <w:rsid w:val="003D29A3"/>
    <w:rsid w:val="003D2A0E"/>
    <w:rsid w:val="003D2A66"/>
    <w:rsid w:val="003D2ADC"/>
    <w:rsid w:val="003D2B18"/>
    <w:rsid w:val="003D2B50"/>
    <w:rsid w:val="003D2B92"/>
    <w:rsid w:val="003D2BB4"/>
    <w:rsid w:val="003D2BEA"/>
    <w:rsid w:val="003D2C43"/>
    <w:rsid w:val="003D2C9E"/>
    <w:rsid w:val="003D2D27"/>
    <w:rsid w:val="003D2F18"/>
    <w:rsid w:val="003D3012"/>
    <w:rsid w:val="003D3120"/>
    <w:rsid w:val="003D3279"/>
    <w:rsid w:val="003D3318"/>
    <w:rsid w:val="003D346E"/>
    <w:rsid w:val="003D34D9"/>
    <w:rsid w:val="003D34E5"/>
    <w:rsid w:val="003D358A"/>
    <w:rsid w:val="003D35B5"/>
    <w:rsid w:val="003D3604"/>
    <w:rsid w:val="003D37D8"/>
    <w:rsid w:val="003D3944"/>
    <w:rsid w:val="003D3985"/>
    <w:rsid w:val="003D39DD"/>
    <w:rsid w:val="003D3A87"/>
    <w:rsid w:val="003D3B30"/>
    <w:rsid w:val="003D3BE6"/>
    <w:rsid w:val="003D3C4C"/>
    <w:rsid w:val="003D3D82"/>
    <w:rsid w:val="003D3F9F"/>
    <w:rsid w:val="003D4033"/>
    <w:rsid w:val="003D41AF"/>
    <w:rsid w:val="003D4237"/>
    <w:rsid w:val="003D42D1"/>
    <w:rsid w:val="003D4348"/>
    <w:rsid w:val="003D448F"/>
    <w:rsid w:val="003D44F4"/>
    <w:rsid w:val="003D4500"/>
    <w:rsid w:val="003D4637"/>
    <w:rsid w:val="003D4692"/>
    <w:rsid w:val="003D478C"/>
    <w:rsid w:val="003D47C1"/>
    <w:rsid w:val="003D4814"/>
    <w:rsid w:val="003D49B5"/>
    <w:rsid w:val="003D49D4"/>
    <w:rsid w:val="003D4A16"/>
    <w:rsid w:val="003D4D97"/>
    <w:rsid w:val="003D4F31"/>
    <w:rsid w:val="003D4F91"/>
    <w:rsid w:val="003D4FDD"/>
    <w:rsid w:val="003D50A6"/>
    <w:rsid w:val="003D5174"/>
    <w:rsid w:val="003D51D0"/>
    <w:rsid w:val="003D51F3"/>
    <w:rsid w:val="003D524F"/>
    <w:rsid w:val="003D5258"/>
    <w:rsid w:val="003D52D5"/>
    <w:rsid w:val="003D52EA"/>
    <w:rsid w:val="003D53A3"/>
    <w:rsid w:val="003D53F9"/>
    <w:rsid w:val="003D55AC"/>
    <w:rsid w:val="003D5643"/>
    <w:rsid w:val="003D56BF"/>
    <w:rsid w:val="003D5725"/>
    <w:rsid w:val="003D573A"/>
    <w:rsid w:val="003D5765"/>
    <w:rsid w:val="003D585F"/>
    <w:rsid w:val="003D5873"/>
    <w:rsid w:val="003D58D6"/>
    <w:rsid w:val="003D58E8"/>
    <w:rsid w:val="003D58F1"/>
    <w:rsid w:val="003D58FC"/>
    <w:rsid w:val="003D5902"/>
    <w:rsid w:val="003D5932"/>
    <w:rsid w:val="003D5974"/>
    <w:rsid w:val="003D59CB"/>
    <w:rsid w:val="003D5B52"/>
    <w:rsid w:val="003D5BAC"/>
    <w:rsid w:val="003D5BF0"/>
    <w:rsid w:val="003D5C6B"/>
    <w:rsid w:val="003D5E87"/>
    <w:rsid w:val="003D5EDD"/>
    <w:rsid w:val="003D607C"/>
    <w:rsid w:val="003D609D"/>
    <w:rsid w:val="003D60A0"/>
    <w:rsid w:val="003D60B7"/>
    <w:rsid w:val="003D6139"/>
    <w:rsid w:val="003D6195"/>
    <w:rsid w:val="003D6263"/>
    <w:rsid w:val="003D62D6"/>
    <w:rsid w:val="003D62EC"/>
    <w:rsid w:val="003D6318"/>
    <w:rsid w:val="003D6323"/>
    <w:rsid w:val="003D639A"/>
    <w:rsid w:val="003D63F2"/>
    <w:rsid w:val="003D643A"/>
    <w:rsid w:val="003D6498"/>
    <w:rsid w:val="003D64A8"/>
    <w:rsid w:val="003D6516"/>
    <w:rsid w:val="003D654B"/>
    <w:rsid w:val="003D6558"/>
    <w:rsid w:val="003D6673"/>
    <w:rsid w:val="003D668A"/>
    <w:rsid w:val="003D66F3"/>
    <w:rsid w:val="003D6860"/>
    <w:rsid w:val="003D68E4"/>
    <w:rsid w:val="003D68F1"/>
    <w:rsid w:val="003D69D5"/>
    <w:rsid w:val="003D6A93"/>
    <w:rsid w:val="003D6B05"/>
    <w:rsid w:val="003D6B83"/>
    <w:rsid w:val="003D6B9B"/>
    <w:rsid w:val="003D6CC4"/>
    <w:rsid w:val="003D6D1B"/>
    <w:rsid w:val="003D6DE7"/>
    <w:rsid w:val="003D6F0A"/>
    <w:rsid w:val="003D709F"/>
    <w:rsid w:val="003D70FA"/>
    <w:rsid w:val="003D716D"/>
    <w:rsid w:val="003D7172"/>
    <w:rsid w:val="003D7199"/>
    <w:rsid w:val="003D71A4"/>
    <w:rsid w:val="003D71A7"/>
    <w:rsid w:val="003D7227"/>
    <w:rsid w:val="003D728E"/>
    <w:rsid w:val="003D72D9"/>
    <w:rsid w:val="003D7358"/>
    <w:rsid w:val="003D7387"/>
    <w:rsid w:val="003D7529"/>
    <w:rsid w:val="003D75C8"/>
    <w:rsid w:val="003D7602"/>
    <w:rsid w:val="003D766E"/>
    <w:rsid w:val="003D77BF"/>
    <w:rsid w:val="003D7874"/>
    <w:rsid w:val="003D7880"/>
    <w:rsid w:val="003D7991"/>
    <w:rsid w:val="003D7AA5"/>
    <w:rsid w:val="003D7AF3"/>
    <w:rsid w:val="003D7C7B"/>
    <w:rsid w:val="003E00F2"/>
    <w:rsid w:val="003E01EB"/>
    <w:rsid w:val="003E024D"/>
    <w:rsid w:val="003E02B0"/>
    <w:rsid w:val="003E02CC"/>
    <w:rsid w:val="003E02E2"/>
    <w:rsid w:val="003E04B8"/>
    <w:rsid w:val="003E0515"/>
    <w:rsid w:val="003E0572"/>
    <w:rsid w:val="003E0702"/>
    <w:rsid w:val="003E07BF"/>
    <w:rsid w:val="003E081E"/>
    <w:rsid w:val="003E08B6"/>
    <w:rsid w:val="003E08FE"/>
    <w:rsid w:val="003E0A55"/>
    <w:rsid w:val="003E0B29"/>
    <w:rsid w:val="003E0B6B"/>
    <w:rsid w:val="003E0B8F"/>
    <w:rsid w:val="003E0B93"/>
    <w:rsid w:val="003E0BA0"/>
    <w:rsid w:val="003E0BCF"/>
    <w:rsid w:val="003E0BD6"/>
    <w:rsid w:val="003E0C3C"/>
    <w:rsid w:val="003E0C85"/>
    <w:rsid w:val="003E0D2C"/>
    <w:rsid w:val="003E0E59"/>
    <w:rsid w:val="003E0EB1"/>
    <w:rsid w:val="003E0F07"/>
    <w:rsid w:val="003E1097"/>
    <w:rsid w:val="003E10B9"/>
    <w:rsid w:val="003E1295"/>
    <w:rsid w:val="003E132B"/>
    <w:rsid w:val="003E139F"/>
    <w:rsid w:val="003E156C"/>
    <w:rsid w:val="003E167E"/>
    <w:rsid w:val="003E16A2"/>
    <w:rsid w:val="003E1723"/>
    <w:rsid w:val="003E17F9"/>
    <w:rsid w:val="003E18B2"/>
    <w:rsid w:val="003E197F"/>
    <w:rsid w:val="003E1AC2"/>
    <w:rsid w:val="003E1AD1"/>
    <w:rsid w:val="003E1AE9"/>
    <w:rsid w:val="003E1B52"/>
    <w:rsid w:val="003E1BCF"/>
    <w:rsid w:val="003E1CDD"/>
    <w:rsid w:val="003E1D1F"/>
    <w:rsid w:val="003E1D3E"/>
    <w:rsid w:val="003E1D8F"/>
    <w:rsid w:val="003E1E81"/>
    <w:rsid w:val="003E1ED5"/>
    <w:rsid w:val="003E1F5D"/>
    <w:rsid w:val="003E2033"/>
    <w:rsid w:val="003E20BB"/>
    <w:rsid w:val="003E211A"/>
    <w:rsid w:val="003E213A"/>
    <w:rsid w:val="003E2344"/>
    <w:rsid w:val="003E236A"/>
    <w:rsid w:val="003E2377"/>
    <w:rsid w:val="003E23FA"/>
    <w:rsid w:val="003E2496"/>
    <w:rsid w:val="003E249E"/>
    <w:rsid w:val="003E2588"/>
    <w:rsid w:val="003E26A7"/>
    <w:rsid w:val="003E26BE"/>
    <w:rsid w:val="003E2739"/>
    <w:rsid w:val="003E284E"/>
    <w:rsid w:val="003E2851"/>
    <w:rsid w:val="003E28B1"/>
    <w:rsid w:val="003E2905"/>
    <w:rsid w:val="003E298B"/>
    <w:rsid w:val="003E29A3"/>
    <w:rsid w:val="003E29F6"/>
    <w:rsid w:val="003E2A37"/>
    <w:rsid w:val="003E2A54"/>
    <w:rsid w:val="003E2AAF"/>
    <w:rsid w:val="003E2BF8"/>
    <w:rsid w:val="003E2C6C"/>
    <w:rsid w:val="003E2D45"/>
    <w:rsid w:val="003E2D58"/>
    <w:rsid w:val="003E2E40"/>
    <w:rsid w:val="003E2E97"/>
    <w:rsid w:val="003E2EB6"/>
    <w:rsid w:val="003E2EF7"/>
    <w:rsid w:val="003E2FE2"/>
    <w:rsid w:val="003E3070"/>
    <w:rsid w:val="003E3072"/>
    <w:rsid w:val="003E3231"/>
    <w:rsid w:val="003E3249"/>
    <w:rsid w:val="003E33BD"/>
    <w:rsid w:val="003E3525"/>
    <w:rsid w:val="003E35C9"/>
    <w:rsid w:val="003E35F5"/>
    <w:rsid w:val="003E366D"/>
    <w:rsid w:val="003E366E"/>
    <w:rsid w:val="003E3705"/>
    <w:rsid w:val="003E391C"/>
    <w:rsid w:val="003E39CF"/>
    <w:rsid w:val="003E3AD0"/>
    <w:rsid w:val="003E3B1D"/>
    <w:rsid w:val="003E3C1B"/>
    <w:rsid w:val="003E3C8D"/>
    <w:rsid w:val="003E3D05"/>
    <w:rsid w:val="003E3D6F"/>
    <w:rsid w:val="003E3DAC"/>
    <w:rsid w:val="003E3DFE"/>
    <w:rsid w:val="003E3ED5"/>
    <w:rsid w:val="003E3F2F"/>
    <w:rsid w:val="003E3F40"/>
    <w:rsid w:val="003E3F47"/>
    <w:rsid w:val="003E3FB0"/>
    <w:rsid w:val="003E400B"/>
    <w:rsid w:val="003E404E"/>
    <w:rsid w:val="003E412C"/>
    <w:rsid w:val="003E414A"/>
    <w:rsid w:val="003E41C0"/>
    <w:rsid w:val="003E4202"/>
    <w:rsid w:val="003E421B"/>
    <w:rsid w:val="003E422A"/>
    <w:rsid w:val="003E4323"/>
    <w:rsid w:val="003E4353"/>
    <w:rsid w:val="003E436E"/>
    <w:rsid w:val="003E441A"/>
    <w:rsid w:val="003E4469"/>
    <w:rsid w:val="003E44C1"/>
    <w:rsid w:val="003E44D7"/>
    <w:rsid w:val="003E4543"/>
    <w:rsid w:val="003E4550"/>
    <w:rsid w:val="003E45CE"/>
    <w:rsid w:val="003E4749"/>
    <w:rsid w:val="003E476E"/>
    <w:rsid w:val="003E477F"/>
    <w:rsid w:val="003E48B5"/>
    <w:rsid w:val="003E48C2"/>
    <w:rsid w:val="003E4946"/>
    <w:rsid w:val="003E4953"/>
    <w:rsid w:val="003E49C5"/>
    <w:rsid w:val="003E49DD"/>
    <w:rsid w:val="003E4A87"/>
    <w:rsid w:val="003E4C56"/>
    <w:rsid w:val="003E4CAB"/>
    <w:rsid w:val="003E4CC5"/>
    <w:rsid w:val="003E4CE5"/>
    <w:rsid w:val="003E4E74"/>
    <w:rsid w:val="003E4FA7"/>
    <w:rsid w:val="003E4FB7"/>
    <w:rsid w:val="003E50A9"/>
    <w:rsid w:val="003E5161"/>
    <w:rsid w:val="003E523B"/>
    <w:rsid w:val="003E535B"/>
    <w:rsid w:val="003E53D3"/>
    <w:rsid w:val="003E545D"/>
    <w:rsid w:val="003E5650"/>
    <w:rsid w:val="003E5780"/>
    <w:rsid w:val="003E589E"/>
    <w:rsid w:val="003E58EA"/>
    <w:rsid w:val="003E591C"/>
    <w:rsid w:val="003E5922"/>
    <w:rsid w:val="003E5943"/>
    <w:rsid w:val="003E5991"/>
    <w:rsid w:val="003E59C5"/>
    <w:rsid w:val="003E59ED"/>
    <w:rsid w:val="003E5B60"/>
    <w:rsid w:val="003E5D9A"/>
    <w:rsid w:val="003E5DAC"/>
    <w:rsid w:val="003E5DB5"/>
    <w:rsid w:val="003E5E17"/>
    <w:rsid w:val="003E5E1D"/>
    <w:rsid w:val="003E5F0E"/>
    <w:rsid w:val="003E5F37"/>
    <w:rsid w:val="003E6069"/>
    <w:rsid w:val="003E60F5"/>
    <w:rsid w:val="003E6141"/>
    <w:rsid w:val="003E6199"/>
    <w:rsid w:val="003E61C3"/>
    <w:rsid w:val="003E61EE"/>
    <w:rsid w:val="003E620B"/>
    <w:rsid w:val="003E6327"/>
    <w:rsid w:val="003E639E"/>
    <w:rsid w:val="003E65BC"/>
    <w:rsid w:val="003E65C5"/>
    <w:rsid w:val="003E692C"/>
    <w:rsid w:val="003E6A03"/>
    <w:rsid w:val="003E6A38"/>
    <w:rsid w:val="003E6A62"/>
    <w:rsid w:val="003E6AA4"/>
    <w:rsid w:val="003E6C49"/>
    <w:rsid w:val="003E6C9A"/>
    <w:rsid w:val="003E6D01"/>
    <w:rsid w:val="003E6D03"/>
    <w:rsid w:val="003E6D0F"/>
    <w:rsid w:val="003E6D29"/>
    <w:rsid w:val="003E6D97"/>
    <w:rsid w:val="003E6EB3"/>
    <w:rsid w:val="003E6EF8"/>
    <w:rsid w:val="003E6F7B"/>
    <w:rsid w:val="003E6F8E"/>
    <w:rsid w:val="003E6FEC"/>
    <w:rsid w:val="003E706A"/>
    <w:rsid w:val="003E70D0"/>
    <w:rsid w:val="003E7109"/>
    <w:rsid w:val="003E7121"/>
    <w:rsid w:val="003E7156"/>
    <w:rsid w:val="003E7238"/>
    <w:rsid w:val="003E723B"/>
    <w:rsid w:val="003E7250"/>
    <w:rsid w:val="003E72C0"/>
    <w:rsid w:val="003E743E"/>
    <w:rsid w:val="003E750E"/>
    <w:rsid w:val="003E7584"/>
    <w:rsid w:val="003E78FD"/>
    <w:rsid w:val="003E7A90"/>
    <w:rsid w:val="003E7BC5"/>
    <w:rsid w:val="003E7BD8"/>
    <w:rsid w:val="003E7BEF"/>
    <w:rsid w:val="003E7C77"/>
    <w:rsid w:val="003E7F5C"/>
    <w:rsid w:val="003E7FB2"/>
    <w:rsid w:val="003E7FE7"/>
    <w:rsid w:val="003E9506"/>
    <w:rsid w:val="003F00C3"/>
    <w:rsid w:val="003F00ED"/>
    <w:rsid w:val="003F014A"/>
    <w:rsid w:val="003F0236"/>
    <w:rsid w:val="003F02A3"/>
    <w:rsid w:val="003F0371"/>
    <w:rsid w:val="003F0381"/>
    <w:rsid w:val="003F0405"/>
    <w:rsid w:val="003F040D"/>
    <w:rsid w:val="003F0548"/>
    <w:rsid w:val="003F0675"/>
    <w:rsid w:val="003F06AE"/>
    <w:rsid w:val="003F06CB"/>
    <w:rsid w:val="003F0821"/>
    <w:rsid w:val="003F083E"/>
    <w:rsid w:val="003F0AD8"/>
    <w:rsid w:val="003F0B2F"/>
    <w:rsid w:val="003F0BAC"/>
    <w:rsid w:val="003F0EEB"/>
    <w:rsid w:val="003F0F2B"/>
    <w:rsid w:val="003F0FFF"/>
    <w:rsid w:val="003F10B9"/>
    <w:rsid w:val="003F111C"/>
    <w:rsid w:val="003F128F"/>
    <w:rsid w:val="003F12E3"/>
    <w:rsid w:val="003F12ED"/>
    <w:rsid w:val="003F13F0"/>
    <w:rsid w:val="003F1430"/>
    <w:rsid w:val="003F1432"/>
    <w:rsid w:val="003F14BC"/>
    <w:rsid w:val="003F154A"/>
    <w:rsid w:val="003F156E"/>
    <w:rsid w:val="003F173A"/>
    <w:rsid w:val="003F17FD"/>
    <w:rsid w:val="003F18EB"/>
    <w:rsid w:val="003F191A"/>
    <w:rsid w:val="003F19DA"/>
    <w:rsid w:val="003F1A17"/>
    <w:rsid w:val="003F1B59"/>
    <w:rsid w:val="003F1D20"/>
    <w:rsid w:val="003F1DB0"/>
    <w:rsid w:val="003F1DE1"/>
    <w:rsid w:val="003F1E0E"/>
    <w:rsid w:val="003F1E94"/>
    <w:rsid w:val="003F1EB5"/>
    <w:rsid w:val="003F1EB9"/>
    <w:rsid w:val="003F2074"/>
    <w:rsid w:val="003F212F"/>
    <w:rsid w:val="003F21E1"/>
    <w:rsid w:val="003F2303"/>
    <w:rsid w:val="003F234B"/>
    <w:rsid w:val="003F2461"/>
    <w:rsid w:val="003F24E8"/>
    <w:rsid w:val="003F2787"/>
    <w:rsid w:val="003F27DC"/>
    <w:rsid w:val="003F280F"/>
    <w:rsid w:val="003F2811"/>
    <w:rsid w:val="003F2838"/>
    <w:rsid w:val="003F28C3"/>
    <w:rsid w:val="003F29BC"/>
    <w:rsid w:val="003F2A1E"/>
    <w:rsid w:val="003F2A60"/>
    <w:rsid w:val="003F2BA4"/>
    <w:rsid w:val="003F2E71"/>
    <w:rsid w:val="003F2EE1"/>
    <w:rsid w:val="003F2F9F"/>
    <w:rsid w:val="003F2FCF"/>
    <w:rsid w:val="003F3083"/>
    <w:rsid w:val="003F33EA"/>
    <w:rsid w:val="003F3402"/>
    <w:rsid w:val="003F347C"/>
    <w:rsid w:val="003F3508"/>
    <w:rsid w:val="003F356C"/>
    <w:rsid w:val="003F3641"/>
    <w:rsid w:val="003F372B"/>
    <w:rsid w:val="003F374B"/>
    <w:rsid w:val="003F37CF"/>
    <w:rsid w:val="003F37FB"/>
    <w:rsid w:val="003F39F7"/>
    <w:rsid w:val="003F3A56"/>
    <w:rsid w:val="003F3A75"/>
    <w:rsid w:val="003F3B36"/>
    <w:rsid w:val="003F3B95"/>
    <w:rsid w:val="003F3C18"/>
    <w:rsid w:val="003F3CA6"/>
    <w:rsid w:val="003F3D7A"/>
    <w:rsid w:val="003F3D8E"/>
    <w:rsid w:val="003F3EB2"/>
    <w:rsid w:val="003F3EE5"/>
    <w:rsid w:val="003F3EEB"/>
    <w:rsid w:val="003F3EFA"/>
    <w:rsid w:val="003F3F96"/>
    <w:rsid w:val="003F40EB"/>
    <w:rsid w:val="003F40ED"/>
    <w:rsid w:val="003F418C"/>
    <w:rsid w:val="003F41C8"/>
    <w:rsid w:val="003F429F"/>
    <w:rsid w:val="003F42D5"/>
    <w:rsid w:val="003F4418"/>
    <w:rsid w:val="003F446D"/>
    <w:rsid w:val="003F44A0"/>
    <w:rsid w:val="003F468C"/>
    <w:rsid w:val="003F46B3"/>
    <w:rsid w:val="003F4734"/>
    <w:rsid w:val="003F47EF"/>
    <w:rsid w:val="003F4885"/>
    <w:rsid w:val="003F488A"/>
    <w:rsid w:val="003F48B8"/>
    <w:rsid w:val="003F48BE"/>
    <w:rsid w:val="003F493D"/>
    <w:rsid w:val="003F4940"/>
    <w:rsid w:val="003F4983"/>
    <w:rsid w:val="003F49D0"/>
    <w:rsid w:val="003F4A0A"/>
    <w:rsid w:val="003F4AD8"/>
    <w:rsid w:val="003F4B0E"/>
    <w:rsid w:val="003F4C02"/>
    <w:rsid w:val="003F4C55"/>
    <w:rsid w:val="003F4C91"/>
    <w:rsid w:val="003F4CC0"/>
    <w:rsid w:val="003F4D08"/>
    <w:rsid w:val="003F4D4B"/>
    <w:rsid w:val="003F4D7B"/>
    <w:rsid w:val="003F4E44"/>
    <w:rsid w:val="003F4E85"/>
    <w:rsid w:val="003F4F91"/>
    <w:rsid w:val="003F50E1"/>
    <w:rsid w:val="003F51A2"/>
    <w:rsid w:val="003F51BC"/>
    <w:rsid w:val="003F5235"/>
    <w:rsid w:val="003F55DC"/>
    <w:rsid w:val="003F564A"/>
    <w:rsid w:val="003F5708"/>
    <w:rsid w:val="003F5744"/>
    <w:rsid w:val="003F5843"/>
    <w:rsid w:val="003F587B"/>
    <w:rsid w:val="003F58AD"/>
    <w:rsid w:val="003F591A"/>
    <w:rsid w:val="003F5940"/>
    <w:rsid w:val="003F5951"/>
    <w:rsid w:val="003F5983"/>
    <w:rsid w:val="003F59CC"/>
    <w:rsid w:val="003F5B80"/>
    <w:rsid w:val="003F5BF9"/>
    <w:rsid w:val="003F5C4A"/>
    <w:rsid w:val="003F5C6C"/>
    <w:rsid w:val="003F5C85"/>
    <w:rsid w:val="003F5D23"/>
    <w:rsid w:val="003F5D4E"/>
    <w:rsid w:val="003F5D65"/>
    <w:rsid w:val="003F5DC3"/>
    <w:rsid w:val="003F5FF7"/>
    <w:rsid w:val="003F6273"/>
    <w:rsid w:val="003F6305"/>
    <w:rsid w:val="003F63A5"/>
    <w:rsid w:val="003F6413"/>
    <w:rsid w:val="003F6452"/>
    <w:rsid w:val="003F6590"/>
    <w:rsid w:val="003F68DA"/>
    <w:rsid w:val="003F6954"/>
    <w:rsid w:val="003F69EC"/>
    <w:rsid w:val="003F6A0B"/>
    <w:rsid w:val="003F6A12"/>
    <w:rsid w:val="003F6A1F"/>
    <w:rsid w:val="003F6BE3"/>
    <w:rsid w:val="003F6C39"/>
    <w:rsid w:val="003F6CC1"/>
    <w:rsid w:val="003F6D47"/>
    <w:rsid w:val="003F6D71"/>
    <w:rsid w:val="003F6D97"/>
    <w:rsid w:val="003F6F19"/>
    <w:rsid w:val="003F6F58"/>
    <w:rsid w:val="003F7048"/>
    <w:rsid w:val="003F706B"/>
    <w:rsid w:val="003F7081"/>
    <w:rsid w:val="003F70F0"/>
    <w:rsid w:val="003F70FA"/>
    <w:rsid w:val="003F716D"/>
    <w:rsid w:val="003F72FD"/>
    <w:rsid w:val="003F73F2"/>
    <w:rsid w:val="003F7411"/>
    <w:rsid w:val="003F7463"/>
    <w:rsid w:val="003F7608"/>
    <w:rsid w:val="003F7729"/>
    <w:rsid w:val="003F7739"/>
    <w:rsid w:val="003F775F"/>
    <w:rsid w:val="003F77D4"/>
    <w:rsid w:val="003F786F"/>
    <w:rsid w:val="003F78A3"/>
    <w:rsid w:val="003F794E"/>
    <w:rsid w:val="003F7A39"/>
    <w:rsid w:val="003F7AAE"/>
    <w:rsid w:val="003F7AE3"/>
    <w:rsid w:val="003F7B46"/>
    <w:rsid w:val="003F7C1C"/>
    <w:rsid w:val="003F7CDF"/>
    <w:rsid w:val="003F7CF1"/>
    <w:rsid w:val="003F7DEC"/>
    <w:rsid w:val="003F7DFC"/>
    <w:rsid w:val="003F7E08"/>
    <w:rsid w:val="003F7F3D"/>
    <w:rsid w:val="00400175"/>
    <w:rsid w:val="00400231"/>
    <w:rsid w:val="00400285"/>
    <w:rsid w:val="004002D5"/>
    <w:rsid w:val="00400375"/>
    <w:rsid w:val="004003D4"/>
    <w:rsid w:val="004003EE"/>
    <w:rsid w:val="004005DC"/>
    <w:rsid w:val="004006A1"/>
    <w:rsid w:val="00400828"/>
    <w:rsid w:val="004008DE"/>
    <w:rsid w:val="00400917"/>
    <w:rsid w:val="004009AB"/>
    <w:rsid w:val="00400A1E"/>
    <w:rsid w:val="00400A42"/>
    <w:rsid w:val="00400AA5"/>
    <w:rsid w:val="00400B65"/>
    <w:rsid w:val="00400B75"/>
    <w:rsid w:val="00400C09"/>
    <w:rsid w:val="00400E5D"/>
    <w:rsid w:val="00400E8B"/>
    <w:rsid w:val="00400E8F"/>
    <w:rsid w:val="00400EA2"/>
    <w:rsid w:val="00400EDD"/>
    <w:rsid w:val="00400EF5"/>
    <w:rsid w:val="00400F28"/>
    <w:rsid w:val="00401070"/>
    <w:rsid w:val="0040120A"/>
    <w:rsid w:val="0040121A"/>
    <w:rsid w:val="004014A4"/>
    <w:rsid w:val="004015A1"/>
    <w:rsid w:val="004015C7"/>
    <w:rsid w:val="0040162C"/>
    <w:rsid w:val="004016DD"/>
    <w:rsid w:val="004016F7"/>
    <w:rsid w:val="00401727"/>
    <w:rsid w:val="00401735"/>
    <w:rsid w:val="00401886"/>
    <w:rsid w:val="0040190E"/>
    <w:rsid w:val="00401A5A"/>
    <w:rsid w:val="00401B83"/>
    <w:rsid w:val="00401BAC"/>
    <w:rsid w:val="00401BD5"/>
    <w:rsid w:val="00401D21"/>
    <w:rsid w:val="00401D9F"/>
    <w:rsid w:val="00401DD1"/>
    <w:rsid w:val="00401E72"/>
    <w:rsid w:val="00401F3C"/>
    <w:rsid w:val="00401F74"/>
    <w:rsid w:val="00401F9A"/>
    <w:rsid w:val="00401FA6"/>
    <w:rsid w:val="00402044"/>
    <w:rsid w:val="00402182"/>
    <w:rsid w:val="00402213"/>
    <w:rsid w:val="0040222B"/>
    <w:rsid w:val="0040236D"/>
    <w:rsid w:val="004023C6"/>
    <w:rsid w:val="004023E6"/>
    <w:rsid w:val="0040240B"/>
    <w:rsid w:val="00402427"/>
    <w:rsid w:val="00402543"/>
    <w:rsid w:val="004025CC"/>
    <w:rsid w:val="004026FE"/>
    <w:rsid w:val="0040272A"/>
    <w:rsid w:val="0040277F"/>
    <w:rsid w:val="004027A2"/>
    <w:rsid w:val="0040290A"/>
    <w:rsid w:val="00402977"/>
    <w:rsid w:val="004029BE"/>
    <w:rsid w:val="00402B3F"/>
    <w:rsid w:val="00402C04"/>
    <w:rsid w:val="00402E4B"/>
    <w:rsid w:val="00402E9D"/>
    <w:rsid w:val="00402EC0"/>
    <w:rsid w:val="00402EF9"/>
    <w:rsid w:val="00403010"/>
    <w:rsid w:val="00403169"/>
    <w:rsid w:val="004031D9"/>
    <w:rsid w:val="00403396"/>
    <w:rsid w:val="004033D8"/>
    <w:rsid w:val="00403462"/>
    <w:rsid w:val="0040351D"/>
    <w:rsid w:val="0040363F"/>
    <w:rsid w:val="00403677"/>
    <w:rsid w:val="0040372F"/>
    <w:rsid w:val="0040376E"/>
    <w:rsid w:val="0040379F"/>
    <w:rsid w:val="004037CB"/>
    <w:rsid w:val="0040381B"/>
    <w:rsid w:val="00403865"/>
    <w:rsid w:val="00403922"/>
    <w:rsid w:val="004039AE"/>
    <w:rsid w:val="00403B60"/>
    <w:rsid w:val="00403BF2"/>
    <w:rsid w:val="00403C96"/>
    <w:rsid w:val="00403C99"/>
    <w:rsid w:val="00403CDD"/>
    <w:rsid w:val="00403D4D"/>
    <w:rsid w:val="00403D77"/>
    <w:rsid w:val="00403DA8"/>
    <w:rsid w:val="00403E8F"/>
    <w:rsid w:val="00404017"/>
    <w:rsid w:val="00404070"/>
    <w:rsid w:val="00404204"/>
    <w:rsid w:val="00404229"/>
    <w:rsid w:val="00404279"/>
    <w:rsid w:val="00404317"/>
    <w:rsid w:val="00404354"/>
    <w:rsid w:val="004044D0"/>
    <w:rsid w:val="004044D6"/>
    <w:rsid w:val="004045A7"/>
    <w:rsid w:val="004047E5"/>
    <w:rsid w:val="004048C1"/>
    <w:rsid w:val="0040490C"/>
    <w:rsid w:val="00404919"/>
    <w:rsid w:val="0040495E"/>
    <w:rsid w:val="004049B0"/>
    <w:rsid w:val="004049DC"/>
    <w:rsid w:val="004049F0"/>
    <w:rsid w:val="00404A13"/>
    <w:rsid w:val="00404B22"/>
    <w:rsid w:val="00404B40"/>
    <w:rsid w:val="00404B71"/>
    <w:rsid w:val="00404B88"/>
    <w:rsid w:val="00404CC4"/>
    <w:rsid w:val="00404DCE"/>
    <w:rsid w:val="00404E45"/>
    <w:rsid w:val="00404E59"/>
    <w:rsid w:val="00404F08"/>
    <w:rsid w:val="00404FD6"/>
    <w:rsid w:val="00404FE1"/>
    <w:rsid w:val="00404FFC"/>
    <w:rsid w:val="00405132"/>
    <w:rsid w:val="00405145"/>
    <w:rsid w:val="004051D3"/>
    <w:rsid w:val="004052B7"/>
    <w:rsid w:val="004053BB"/>
    <w:rsid w:val="00405423"/>
    <w:rsid w:val="0040548E"/>
    <w:rsid w:val="004055D9"/>
    <w:rsid w:val="004056C9"/>
    <w:rsid w:val="00405815"/>
    <w:rsid w:val="00405845"/>
    <w:rsid w:val="00405899"/>
    <w:rsid w:val="0040592B"/>
    <w:rsid w:val="00405A46"/>
    <w:rsid w:val="00405A54"/>
    <w:rsid w:val="00405B65"/>
    <w:rsid w:val="00405B9E"/>
    <w:rsid w:val="00405C58"/>
    <w:rsid w:val="00405DB1"/>
    <w:rsid w:val="00405DB4"/>
    <w:rsid w:val="00405E0C"/>
    <w:rsid w:val="00405E4D"/>
    <w:rsid w:val="00405F19"/>
    <w:rsid w:val="00405F32"/>
    <w:rsid w:val="00405FD5"/>
    <w:rsid w:val="00405FF0"/>
    <w:rsid w:val="00406082"/>
    <w:rsid w:val="004060A9"/>
    <w:rsid w:val="00406238"/>
    <w:rsid w:val="0040640D"/>
    <w:rsid w:val="004064C6"/>
    <w:rsid w:val="00406500"/>
    <w:rsid w:val="0040652E"/>
    <w:rsid w:val="004066E2"/>
    <w:rsid w:val="0040670E"/>
    <w:rsid w:val="0040688F"/>
    <w:rsid w:val="004068A1"/>
    <w:rsid w:val="00406940"/>
    <w:rsid w:val="004069A2"/>
    <w:rsid w:val="00406A1A"/>
    <w:rsid w:val="00406A62"/>
    <w:rsid w:val="00406B0F"/>
    <w:rsid w:val="00406B4F"/>
    <w:rsid w:val="00406C23"/>
    <w:rsid w:val="00406C78"/>
    <w:rsid w:val="00406CB5"/>
    <w:rsid w:val="00406D67"/>
    <w:rsid w:val="00406D7D"/>
    <w:rsid w:val="00406D83"/>
    <w:rsid w:val="00406DF1"/>
    <w:rsid w:val="00406E4C"/>
    <w:rsid w:val="00406F23"/>
    <w:rsid w:val="00406F5F"/>
    <w:rsid w:val="00406FF8"/>
    <w:rsid w:val="00407039"/>
    <w:rsid w:val="00407118"/>
    <w:rsid w:val="00407173"/>
    <w:rsid w:val="00407386"/>
    <w:rsid w:val="00407392"/>
    <w:rsid w:val="004073A8"/>
    <w:rsid w:val="004073D9"/>
    <w:rsid w:val="00407591"/>
    <w:rsid w:val="0040766B"/>
    <w:rsid w:val="00407671"/>
    <w:rsid w:val="004077AC"/>
    <w:rsid w:val="004077D7"/>
    <w:rsid w:val="00407805"/>
    <w:rsid w:val="00407811"/>
    <w:rsid w:val="00407932"/>
    <w:rsid w:val="00407951"/>
    <w:rsid w:val="00407A22"/>
    <w:rsid w:val="00407C5E"/>
    <w:rsid w:val="00407C94"/>
    <w:rsid w:val="00407CBD"/>
    <w:rsid w:val="00407D15"/>
    <w:rsid w:val="00407F09"/>
    <w:rsid w:val="00407F30"/>
    <w:rsid w:val="00410030"/>
    <w:rsid w:val="0041005B"/>
    <w:rsid w:val="0041014B"/>
    <w:rsid w:val="004101A6"/>
    <w:rsid w:val="00410239"/>
    <w:rsid w:val="0041027C"/>
    <w:rsid w:val="0041036B"/>
    <w:rsid w:val="0041037F"/>
    <w:rsid w:val="004105A0"/>
    <w:rsid w:val="00410756"/>
    <w:rsid w:val="004107A4"/>
    <w:rsid w:val="00410845"/>
    <w:rsid w:val="00410971"/>
    <w:rsid w:val="00410979"/>
    <w:rsid w:val="004109BA"/>
    <w:rsid w:val="00410A03"/>
    <w:rsid w:val="00410A35"/>
    <w:rsid w:val="00410BB2"/>
    <w:rsid w:val="00410C59"/>
    <w:rsid w:val="00410C7A"/>
    <w:rsid w:val="00410CAB"/>
    <w:rsid w:val="00410CAE"/>
    <w:rsid w:val="00410D37"/>
    <w:rsid w:val="00410E6F"/>
    <w:rsid w:val="00410E8C"/>
    <w:rsid w:val="00410F31"/>
    <w:rsid w:val="00410F8E"/>
    <w:rsid w:val="00410FB3"/>
    <w:rsid w:val="00411072"/>
    <w:rsid w:val="004110F1"/>
    <w:rsid w:val="004110F4"/>
    <w:rsid w:val="0041112D"/>
    <w:rsid w:val="00411138"/>
    <w:rsid w:val="0041127E"/>
    <w:rsid w:val="00411477"/>
    <w:rsid w:val="00411489"/>
    <w:rsid w:val="0041149E"/>
    <w:rsid w:val="004115BF"/>
    <w:rsid w:val="0041163A"/>
    <w:rsid w:val="0041175B"/>
    <w:rsid w:val="004117FF"/>
    <w:rsid w:val="004118C0"/>
    <w:rsid w:val="00411930"/>
    <w:rsid w:val="004119F2"/>
    <w:rsid w:val="00411A3B"/>
    <w:rsid w:val="00411A7A"/>
    <w:rsid w:val="00411B0E"/>
    <w:rsid w:val="00411B5A"/>
    <w:rsid w:val="00411BF6"/>
    <w:rsid w:val="00411C25"/>
    <w:rsid w:val="00411C49"/>
    <w:rsid w:val="00411CBD"/>
    <w:rsid w:val="00411CEF"/>
    <w:rsid w:val="00411D15"/>
    <w:rsid w:val="00411D2D"/>
    <w:rsid w:val="00411D3F"/>
    <w:rsid w:val="00411D66"/>
    <w:rsid w:val="00411E25"/>
    <w:rsid w:val="00411EC0"/>
    <w:rsid w:val="00411F11"/>
    <w:rsid w:val="00412036"/>
    <w:rsid w:val="00412165"/>
    <w:rsid w:val="004121A4"/>
    <w:rsid w:val="004121F0"/>
    <w:rsid w:val="00412229"/>
    <w:rsid w:val="004122E3"/>
    <w:rsid w:val="00412368"/>
    <w:rsid w:val="004124A9"/>
    <w:rsid w:val="00412567"/>
    <w:rsid w:val="004125A9"/>
    <w:rsid w:val="004125FD"/>
    <w:rsid w:val="0041262E"/>
    <w:rsid w:val="00412660"/>
    <w:rsid w:val="00412667"/>
    <w:rsid w:val="00412688"/>
    <w:rsid w:val="0041273A"/>
    <w:rsid w:val="00412759"/>
    <w:rsid w:val="0041294F"/>
    <w:rsid w:val="004129B7"/>
    <w:rsid w:val="004129FE"/>
    <w:rsid w:val="00412AB7"/>
    <w:rsid w:val="00412B46"/>
    <w:rsid w:val="00412CFD"/>
    <w:rsid w:val="00412DE6"/>
    <w:rsid w:val="0041301E"/>
    <w:rsid w:val="00413142"/>
    <w:rsid w:val="00413305"/>
    <w:rsid w:val="00413312"/>
    <w:rsid w:val="00413349"/>
    <w:rsid w:val="004133F5"/>
    <w:rsid w:val="00413442"/>
    <w:rsid w:val="004135CE"/>
    <w:rsid w:val="004137C0"/>
    <w:rsid w:val="004137D2"/>
    <w:rsid w:val="004137DA"/>
    <w:rsid w:val="00413973"/>
    <w:rsid w:val="0041397B"/>
    <w:rsid w:val="004139F2"/>
    <w:rsid w:val="00413A8D"/>
    <w:rsid w:val="00413B52"/>
    <w:rsid w:val="00413B94"/>
    <w:rsid w:val="00413C35"/>
    <w:rsid w:val="00413C7C"/>
    <w:rsid w:val="00413C90"/>
    <w:rsid w:val="00413CF4"/>
    <w:rsid w:val="00413D32"/>
    <w:rsid w:val="00413DE0"/>
    <w:rsid w:val="00413E85"/>
    <w:rsid w:val="00413F0F"/>
    <w:rsid w:val="00413F33"/>
    <w:rsid w:val="004140EA"/>
    <w:rsid w:val="004141FE"/>
    <w:rsid w:val="004142EC"/>
    <w:rsid w:val="004142F1"/>
    <w:rsid w:val="00414376"/>
    <w:rsid w:val="0041438D"/>
    <w:rsid w:val="00414437"/>
    <w:rsid w:val="0041457E"/>
    <w:rsid w:val="00414640"/>
    <w:rsid w:val="004146F8"/>
    <w:rsid w:val="004147C5"/>
    <w:rsid w:val="0041483C"/>
    <w:rsid w:val="00414966"/>
    <w:rsid w:val="00414980"/>
    <w:rsid w:val="00414AA9"/>
    <w:rsid w:val="00414B36"/>
    <w:rsid w:val="00414C41"/>
    <w:rsid w:val="00414C8B"/>
    <w:rsid w:val="00414CA4"/>
    <w:rsid w:val="00414D23"/>
    <w:rsid w:val="00414E20"/>
    <w:rsid w:val="00414E48"/>
    <w:rsid w:val="00414E6C"/>
    <w:rsid w:val="00414E9A"/>
    <w:rsid w:val="00414F32"/>
    <w:rsid w:val="00414F57"/>
    <w:rsid w:val="00414F95"/>
    <w:rsid w:val="0041500D"/>
    <w:rsid w:val="00415056"/>
    <w:rsid w:val="00415171"/>
    <w:rsid w:val="004151DB"/>
    <w:rsid w:val="00415337"/>
    <w:rsid w:val="00415346"/>
    <w:rsid w:val="00415481"/>
    <w:rsid w:val="004154C4"/>
    <w:rsid w:val="004154DE"/>
    <w:rsid w:val="0041556C"/>
    <w:rsid w:val="0041568D"/>
    <w:rsid w:val="004156CB"/>
    <w:rsid w:val="00415789"/>
    <w:rsid w:val="004158E4"/>
    <w:rsid w:val="00415999"/>
    <w:rsid w:val="00415B70"/>
    <w:rsid w:val="00415CFE"/>
    <w:rsid w:val="00415D15"/>
    <w:rsid w:val="00415F7F"/>
    <w:rsid w:val="00415FE8"/>
    <w:rsid w:val="00416077"/>
    <w:rsid w:val="004160F5"/>
    <w:rsid w:val="00416140"/>
    <w:rsid w:val="004161B3"/>
    <w:rsid w:val="004161D0"/>
    <w:rsid w:val="00416232"/>
    <w:rsid w:val="00416433"/>
    <w:rsid w:val="00416477"/>
    <w:rsid w:val="00416525"/>
    <w:rsid w:val="0041652A"/>
    <w:rsid w:val="004165BA"/>
    <w:rsid w:val="004166C8"/>
    <w:rsid w:val="00416743"/>
    <w:rsid w:val="00416775"/>
    <w:rsid w:val="00416824"/>
    <w:rsid w:val="0041689F"/>
    <w:rsid w:val="0041692D"/>
    <w:rsid w:val="0041696B"/>
    <w:rsid w:val="00416AFD"/>
    <w:rsid w:val="00416CD2"/>
    <w:rsid w:val="00416DC8"/>
    <w:rsid w:val="00416F61"/>
    <w:rsid w:val="00417008"/>
    <w:rsid w:val="00417063"/>
    <w:rsid w:val="004170BF"/>
    <w:rsid w:val="00417119"/>
    <w:rsid w:val="0041714B"/>
    <w:rsid w:val="00417169"/>
    <w:rsid w:val="00417185"/>
    <w:rsid w:val="00417271"/>
    <w:rsid w:val="00417393"/>
    <w:rsid w:val="0041740C"/>
    <w:rsid w:val="00417528"/>
    <w:rsid w:val="004175A5"/>
    <w:rsid w:val="00417718"/>
    <w:rsid w:val="00417730"/>
    <w:rsid w:val="004177D4"/>
    <w:rsid w:val="004177E3"/>
    <w:rsid w:val="00417B1E"/>
    <w:rsid w:val="00417B46"/>
    <w:rsid w:val="00417B81"/>
    <w:rsid w:val="00417BBE"/>
    <w:rsid w:val="00417CEC"/>
    <w:rsid w:val="00417D52"/>
    <w:rsid w:val="00417D57"/>
    <w:rsid w:val="00417E8A"/>
    <w:rsid w:val="00417EC4"/>
    <w:rsid w:val="00417F9A"/>
    <w:rsid w:val="004200A0"/>
    <w:rsid w:val="004200B5"/>
    <w:rsid w:val="004200D3"/>
    <w:rsid w:val="00420108"/>
    <w:rsid w:val="0042017E"/>
    <w:rsid w:val="00420193"/>
    <w:rsid w:val="004201ED"/>
    <w:rsid w:val="0042040B"/>
    <w:rsid w:val="004205BB"/>
    <w:rsid w:val="00420633"/>
    <w:rsid w:val="0042069B"/>
    <w:rsid w:val="004206D5"/>
    <w:rsid w:val="004206D6"/>
    <w:rsid w:val="004206FD"/>
    <w:rsid w:val="00420776"/>
    <w:rsid w:val="004207ED"/>
    <w:rsid w:val="00420816"/>
    <w:rsid w:val="004208E8"/>
    <w:rsid w:val="00420918"/>
    <w:rsid w:val="00420A8C"/>
    <w:rsid w:val="00420A90"/>
    <w:rsid w:val="00420B0B"/>
    <w:rsid w:val="00420B69"/>
    <w:rsid w:val="00420B94"/>
    <w:rsid w:val="00420C60"/>
    <w:rsid w:val="00420CD7"/>
    <w:rsid w:val="00420E3C"/>
    <w:rsid w:val="00420E5A"/>
    <w:rsid w:val="00420E9B"/>
    <w:rsid w:val="00420EA2"/>
    <w:rsid w:val="00420EB1"/>
    <w:rsid w:val="0042100E"/>
    <w:rsid w:val="004210F6"/>
    <w:rsid w:val="0042110D"/>
    <w:rsid w:val="0042113B"/>
    <w:rsid w:val="0042116D"/>
    <w:rsid w:val="004211A5"/>
    <w:rsid w:val="004211BC"/>
    <w:rsid w:val="004211C7"/>
    <w:rsid w:val="00421228"/>
    <w:rsid w:val="00421239"/>
    <w:rsid w:val="00421286"/>
    <w:rsid w:val="0042132C"/>
    <w:rsid w:val="004213D4"/>
    <w:rsid w:val="0042147D"/>
    <w:rsid w:val="004214CF"/>
    <w:rsid w:val="004214D6"/>
    <w:rsid w:val="004214EC"/>
    <w:rsid w:val="0042151D"/>
    <w:rsid w:val="00421522"/>
    <w:rsid w:val="004216AF"/>
    <w:rsid w:val="004216E9"/>
    <w:rsid w:val="00421797"/>
    <w:rsid w:val="0042186A"/>
    <w:rsid w:val="00421903"/>
    <w:rsid w:val="00421A2A"/>
    <w:rsid w:val="00421BEB"/>
    <w:rsid w:val="00421C94"/>
    <w:rsid w:val="00421D45"/>
    <w:rsid w:val="00421D59"/>
    <w:rsid w:val="00421E40"/>
    <w:rsid w:val="00421E5D"/>
    <w:rsid w:val="00421E61"/>
    <w:rsid w:val="00421F9E"/>
    <w:rsid w:val="004220B1"/>
    <w:rsid w:val="004220BA"/>
    <w:rsid w:val="0042210C"/>
    <w:rsid w:val="004221B1"/>
    <w:rsid w:val="0042225D"/>
    <w:rsid w:val="0042241B"/>
    <w:rsid w:val="00422555"/>
    <w:rsid w:val="004226A9"/>
    <w:rsid w:val="00422714"/>
    <w:rsid w:val="0042278E"/>
    <w:rsid w:val="004228C7"/>
    <w:rsid w:val="004228D7"/>
    <w:rsid w:val="004229B7"/>
    <w:rsid w:val="00422A35"/>
    <w:rsid w:val="00422A5F"/>
    <w:rsid w:val="00422AFC"/>
    <w:rsid w:val="00422B39"/>
    <w:rsid w:val="00422BD8"/>
    <w:rsid w:val="00422C51"/>
    <w:rsid w:val="00422D84"/>
    <w:rsid w:val="00422DA6"/>
    <w:rsid w:val="00422E30"/>
    <w:rsid w:val="00422F56"/>
    <w:rsid w:val="00422F8B"/>
    <w:rsid w:val="004230A9"/>
    <w:rsid w:val="0042313D"/>
    <w:rsid w:val="004231BC"/>
    <w:rsid w:val="00423209"/>
    <w:rsid w:val="004232E6"/>
    <w:rsid w:val="004232EF"/>
    <w:rsid w:val="00423309"/>
    <w:rsid w:val="004233BF"/>
    <w:rsid w:val="004234A4"/>
    <w:rsid w:val="004234F5"/>
    <w:rsid w:val="00423577"/>
    <w:rsid w:val="00423687"/>
    <w:rsid w:val="004236C0"/>
    <w:rsid w:val="004236F9"/>
    <w:rsid w:val="00423713"/>
    <w:rsid w:val="00423777"/>
    <w:rsid w:val="004237E0"/>
    <w:rsid w:val="004237E6"/>
    <w:rsid w:val="00423832"/>
    <w:rsid w:val="00423900"/>
    <w:rsid w:val="004239F4"/>
    <w:rsid w:val="00423A11"/>
    <w:rsid w:val="00423A40"/>
    <w:rsid w:val="00423B24"/>
    <w:rsid w:val="00423B50"/>
    <w:rsid w:val="00423CB0"/>
    <w:rsid w:val="00423DA0"/>
    <w:rsid w:val="00423DFA"/>
    <w:rsid w:val="00423F96"/>
    <w:rsid w:val="00423FB7"/>
    <w:rsid w:val="00424081"/>
    <w:rsid w:val="00424268"/>
    <w:rsid w:val="004242AA"/>
    <w:rsid w:val="004242D1"/>
    <w:rsid w:val="004242F8"/>
    <w:rsid w:val="0042446A"/>
    <w:rsid w:val="00424629"/>
    <w:rsid w:val="00424729"/>
    <w:rsid w:val="0042478A"/>
    <w:rsid w:val="00424842"/>
    <w:rsid w:val="00424873"/>
    <w:rsid w:val="004248CD"/>
    <w:rsid w:val="00424906"/>
    <w:rsid w:val="00424AB9"/>
    <w:rsid w:val="00424B7C"/>
    <w:rsid w:val="00424BA2"/>
    <w:rsid w:val="00424E76"/>
    <w:rsid w:val="00424F16"/>
    <w:rsid w:val="0042504A"/>
    <w:rsid w:val="00425245"/>
    <w:rsid w:val="00425259"/>
    <w:rsid w:val="0042525D"/>
    <w:rsid w:val="00425316"/>
    <w:rsid w:val="004253D0"/>
    <w:rsid w:val="004254DA"/>
    <w:rsid w:val="00425510"/>
    <w:rsid w:val="0042563F"/>
    <w:rsid w:val="004256C2"/>
    <w:rsid w:val="004256EC"/>
    <w:rsid w:val="00425773"/>
    <w:rsid w:val="00425833"/>
    <w:rsid w:val="004258E1"/>
    <w:rsid w:val="00425CD6"/>
    <w:rsid w:val="00425DC0"/>
    <w:rsid w:val="00425EB8"/>
    <w:rsid w:val="00425EC3"/>
    <w:rsid w:val="00425EC8"/>
    <w:rsid w:val="00425F30"/>
    <w:rsid w:val="00425FCB"/>
    <w:rsid w:val="00426133"/>
    <w:rsid w:val="00426257"/>
    <w:rsid w:val="0042632B"/>
    <w:rsid w:val="00426379"/>
    <w:rsid w:val="00426474"/>
    <w:rsid w:val="004264B7"/>
    <w:rsid w:val="00426531"/>
    <w:rsid w:val="00426587"/>
    <w:rsid w:val="0042661E"/>
    <w:rsid w:val="004266CA"/>
    <w:rsid w:val="004266E3"/>
    <w:rsid w:val="0042673A"/>
    <w:rsid w:val="004267A0"/>
    <w:rsid w:val="004267A4"/>
    <w:rsid w:val="004267EC"/>
    <w:rsid w:val="004267FA"/>
    <w:rsid w:val="004268F2"/>
    <w:rsid w:val="0042691A"/>
    <w:rsid w:val="00426A43"/>
    <w:rsid w:val="00426C0F"/>
    <w:rsid w:val="00426D08"/>
    <w:rsid w:val="00426D14"/>
    <w:rsid w:val="00426D31"/>
    <w:rsid w:val="00426D78"/>
    <w:rsid w:val="00426DC8"/>
    <w:rsid w:val="00426E0E"/>
    <w:rsid w:val="00426E6D"/>
    <w:rsid w:val="00426EF1"/>
    <w:rsid w:val="00426F21"/>
    <w:rsid w:val="00426FA5"/>
    <w:rsid w:val="00426FB3"/>
    <w:rsid w:val="00427173"/>
    <w:rsid w:val="0042718A"/>
    <w:rsid w:val="004271A8"/>
    <w:rsid w:val="004272F0"/>
    <w:rsid w:val="00427313"/>
    <w:rsid w:val="0042745B"/>
    <w:rsid w:val="0042752E"/>
    <w:rsid w:val="004276CA"/>
    <w:rsid w:val="004276FB"/>
    <w:rsid w:val="00427872"/>
    <w:rsid w:val="004278BF"/>
    <w:rsid w:val="0042791A"/>
    <w:rsid w:val="004279C2"/>
    <w:rsid w:val="004279CD"/>
    <w:rsid w:val="00427B2B"/>
    <w:rsid w:val="00427B66"/>
    <w:rsid w:val="00427B86"/>
    <w:rsid w:val="00427C1A"/>
    <w:rsid w:val="00427C39"/>
    <w:rsid w:val="00427C77"/>
    <w:rsid w:val="00427D18"/>
    <w:rsid w:val="00427D84"/>
    <w:rsid w:val="00427D88"/>
    <w:rsid w:val="00427E45"/>
    <w:rsid w:val="00427EAA"/>
    <w:rsid w:val="00427ECD"/>
    <w:rsid w:val="00430242"/>
    <w:rsid w:val="0043026C"/>
    <w:rsid w:val="004304AF"/>
    <w:rsid w:val="004304E9"/>
    <w:rsid w:val="0043060C"/>
    <w:rsid w:val="00430630"/>
    <w:rsid w:val="004306E5"/>
    <w:rsid w:val="0043073A"/>
    <w:rsid w:val="00430764"/>
    <w:rsid w:val="00430794"/>
    <w:rsid w:val="004307C9"/>
    <w:rsid w:val="00430899"/>
    <w:rsid w:val="004308D3"/>
    <w:rsid w:val="00430955"/>
    <w:rsid w:val="0043095A"/>
    <w:rsid w:val="0043096B"/>
    <w:rsid w:val="004309E0"/>
    <w:rsid w:val="00430A3E"/>
    <w:rsid w:val="00430B9D"/>
    <w:rsid w:val="00430BEE"/>
    <w:rsid w:val="00430D26"/>
    <w:rsid w:val="00430DAA"/>
    <w:rsid w:val="00430DC1"/>
    <w:rsid w:val="00430DE4"/>
    <w:rsid w:val="00430DFD"/>
    <w:rsid w:val="00430E55"/>
    <w:rsid w:val="00430F5D"/>
    <w:rsid w:val="00431003"/>
    <w:rsid w:val="00431006"/>
    <w:rsid w:val="00431047"/>
    <w:rsid w:val="004311C5"/>
    <w:rsid w:val="004312D5"/>
    <w:rsid w:val="004312E1"/>
    <w:rsid w:val="00431325"/>
    <w:rsid w:val="00431387"/>
    <w:rsid w:val="00431403"/>
    <w:rsid w:val="0043155C"/>
    <w:rsid w:val="004315BA"/>
    <w:rsid w:val="004315F6"/>
    <w:rsid w:val="00431739"/>
    <w:rsid w:val="0043187D"/>
    <w:rsid w:val="0043190D"/>
    <w:rsid w:val="00431911"/>
    <w:rsid w:val="004319EF"/>
    <w:rsid w:val="00431A0D"/>
    <w:rsid w:val="00431B95"/>
    <w:rsid w:val="00431BA6"/>
    <w:rsid w:val="00431BF4"/>
    <w:rsid w:val="00431CED"/>
    <w:rsid w:val="00431D52"/>
    <w:rsid w:val="00431DD5"/>
    <w:rsid w:val="00431E7B"/>
    <w:rsid w:val="00431EC0"/>
    <w:rsid w:val="00431FC7"/>
    <w:rsid w:val="00432057"/>
    <w:rsid w:val="00432072"/>
    <w:rsid w:val="00432178"/>
    <w:rsid w:val="0043217E"/>
    <w:rsid w:val="004321D6"/>
    <w:rsid w:val="004322D7"/>
    <w:rsid w:val="004322D8"/>
    <w:rsid w:val="004323CE"/>
    <w:rsid w:val="00432415"/>
    <w:rsid w:val="0043244B"/>
    <w:rsid w:val="004324BF"/>
    <w:rsid w:val="004324F9"/>
    <w:rsid w:val="0043251B"/>
    <w:rsid w:val="00432522"/>
    <w:rsid w:val="0043256A"/>
    <w:rsid w:val="004325D3"/>
    <w:rsid w:val="0043264C"/>
    <w:rsid w:val="00432693"/>
    <w:rsid w:val="004326AB"/>
    <w:rsid w:val="0043270B"/>
    <w:rsid w:val="00432750"/>
    <w:rsid w:val="0043287B"/>
    <w:rsid w:val="00432966"/>
    <w:rsid w:val="004329B1"/>
    <w:rsid w:val="004329E5"/>
    <w:rsid w:val="00432BDE"/>
    <w:rsid w:val="00432C09"/>
    <w:rsid w:val="00432C42"/>
    <w:rsid w:val="00432CED"/>
    <w:rsid w:val="00432CF4"/>
    <w:rsid w:val="00432D1F"/>
    <w:rsid w:val="00432D4F"/>
    <w:rsid w:val="00432D5F"/>
    <w:rsid w:val="00432D60"/>
    <w:rsid w:val="00432DCC"/>
    <w:rsid w:val="00432E85"/>
    <w:rsid w:val="00432F10"/>
    <w:rsid w:val="00432F5B"/>
    <w:rsid w:val="004330EF"/>
    <w:rsid w:val="00433245"/>
    <w:rsid w:val="0043325A"/>
    <w:rsid w:val="004332C8"/>
    <w:rsid w:val="00433332"/>
    <w:rsid w:val="0043333A"/>
    <w:rsid w:val="00433418"/>
    <w:rsid w:val="0043346E"/>
    <w:rsid w:val="00433602"/>
    <w:rsid w:val="004336AF"/>
    <w:rsid w:val="00433700"/>
    <w:rsid w:val="004337A8"/>
    <w:rsid w:val="00433861"/>
    <w:rsid w:val="00433978"/>
    <w:rsid w:val="004339A1"/>
    <w:rsid w:val="004339DF"/>
    <w:rsid w:val="00433AE6"/>
    <w:rsid w:val="00433AEF"/>
    <w:rsid w:val="00433AF3"/>
    <w:rsid w:val="00433B31"/>
    <w:rsid w:val="00433C2B"/>
    <w:rsid w:val="00433C31"/>
    <w:rsid w:val="00433E4E"/>
    <w:rsid w:val="00433E52"/>
    <w:rsid w:val="00433F13"/>
    <w:rsid w:val="00433FE2"/>
    <w:rsid w:val="00434034"/>
    <w:rsid w:val="00434056"/>
    <w:rsid w:val="0043415A"/>
    <w:rsid w:val="0043427D"/>
    <w:rsid w:val="004342ED"/>
    <w:rsid w:val="0043442F"/>
    <w:rsid w:val="004344FC"/>
    <w:rsid w:val="004345D5"/>
    <w:rsid w:val="00434642"/>
    <w:rsid w:val="004346CD"/>
    <w:rsid w:val="0043476B"/>
    <w:rsid w:val="0043481B"/>
    <w:rsid w:val="0043483C"/>
    <w:rsid w:val="0043487A"/>
    <w:rsid w:val="00434AD8"/>
    <w:rsid w:val="00434AF2"/>
    <w:rsid w:val="00434BC5"/>
    <w:rsid w:val="00434C6A"/>
    <w:rsid w:val="00434DC7"/>
    <w:rsid w:val="00434FDD"/>
    <w:rsid w:val="00435006"/>
    <w:rsid w:val="0043509D"/>
    <w:rsid w:val="004350D7"/>
    <w:rsid w:val="004350E7"/>
    <w:rsid w:val="0043511A"/>
    <w:rsid w:val="004351D7"/>
    <w:rsid w:val="00435243"/>
    <w:rsid w:val="00435344"/>
    <w:rsid w:val="0043546B"/>
    <w:rsid w:val="0043548E"/>
    <w:rsid w:val="004354C2"/>
    <w:rsid w:val="004354F4"/>
    <w:rsid w:val="00435569"/>
    <w:rsid w:val="00435602"/>
    <w:rsid w:val="00435624"/>
    <w:rsid w:val="0043581D"/>
    <w:rsid w:val="0043586E"/>
    <w:rsid w:val="00435885"/>
    <w:rsid w:val="00435949"/>
    <w:rsid w:val="00435A02"/>
    <w:rsid w:val="00435AFB"/>
    <w:rsid w:val="00435B09"/>
    <w:rsid w:val="00435BCB"/>
    <w:rsid w:val="00435C37"/>
    <w:rsid w:val="00435D45"/>
    <w:rsid w:val="00435D5D"/>
    <w:rsid w:val="00435DAD"/>
    <w:rsid w:val="00435E97"/>
    <w:rsid w:val="00435F75"/>
    <w:rsid w:val="00435FA1"/>
    <w:rsid w:val="0043605B"/>
    <w:rsid w:val="00436079"/>
    <w:rsid w:val="004360F8"/>
    <w:rsid w:val="00436194"/>
    <w:rsid w:val="004361D6"/>
    <w:rsid w:val="004361EE"/>
    <w:rsid w:val="004361FF"/>
    <w:rsid w:val="004362A6"/>
    <w:rsid w:val="004362D2"/>
    <w:rsid w:val="00436322"/>
    <w:rsid w:val="00436356"/>
    <w:rsid w:val="0043647A"/>
    <w:rsid w:val="00436489"/>
    <w:rsid w:val="004366B4"/>
    <w:rsid w:val="004366C5"/>
    <w:rsid w:val="004366FC"/>
    <w:rsid w:val="00436746"/>
    <w:rsid w:val="004368C6"/>
    <w:rsid w:val="00436A75"/>
    <w:rsid w:val="00436A9F"/>
    <w:rsid w:val="00436F0C"/>
    <w:rsid w:val="00436F20"/>
    <w:rsid w:val="00436F32"/>
    <w:rsid w:val="00436FBB"/>
    <w:rsid w:val="004370D4"/>
    <w:rsid w:val="004370E7"/>
    <w:rsid w:val="00437161"/>
    <w:rsid w:val="004373FE"/>
    <w:rsid w:val="0043743C"/>
    <w:rsid w:val="00437488"/>
    <w:rsid w:val="004376A8"/>
    <w:rsid w:val="004377AF"/>
    <w:rsid w:val="004378AA"/>
    <w:rsid w:val="00437B01"/>
    <w:rsid w:val="00437B81"/>
    <w:rsid w:val="00437BA3"/>
    <w:rsid w:val="00437BC3"/>
    <w:rsid w:val="00437BC9"/>
    <w:rsid w:val="00437BCB"/>
    <w:rsid w:val="00437C3A"/>
    <w:rsid w:val="00437D9C"/>
    <w:rsid w:val="00437EAB"/>
    <w:rsid w:val="00437EC2"/>
    <w:rsid w:val="00437F2D"/>
    <w:rsid w:val="004400A1"/>
    <w:rsid w:val="00440141"/>
    <w:rsid w:val="0044022E"/>
    <w:rsid w:val="004403A1"/>
    <w:rsid w:val="004403F2"/>
    <w:rsid w:val="00440439"/>
    <w:rsid w:val="00440441"/>
    <w:rsid w:val="00440519"/>
    <w:rsid w:val="0044051E"/>
    <w:rsid w:val="00440529"/>
    <w:rsid w:val="00440576"/>
    <w:rsid w:val="0044066A"/>
    <w:rsid w:val="004406B6"/>
    <w:rsid w:val="0044076C"/>
    <w:rsid w:val="004407C7"/>
    <w:rsid w:val="0044088E"/>
    <w:rsid w:val="0044091F"/>
    <w:rsid w:val="00440961"/>
    <w:rsid w:val="00440A0E"/>
    <w:rsid w:val="00440A1D"/>
    <w:rsid w:val="00440A20"/>
    <w:rsid w:val="00440A35"/>
    <w:rsid w:val="00440A50"/>
    <w:rsid w:val="00440B88"/>
    <w:rsid w:val="00440C94"/>
    <w:rsid w:val="00440C9C"/>
    <w:rsid w:val="00440D0D"/>
    <w:rsid w:val="00440D67"/>
    <w:rsid w:val="00440EED"/>
    <w:rsid w:val="00440F50"/>
    <w:rsid w:val="00441071"/>
    <w:rsid w:val="004410C0"/>
    <w:rsid w:val="004411A5"/>
    <w:rsid w:val="004412D7"/>
    <w:rsid w:val="0044137F"/>
    <w:rsid w:val="004413BB"/>
    <w:rsid w:val="004413FF"/>
    <w:rsid w:val="00441410"/>
    <w:rsid w:val="00441430"/>
    <w:rsid w:val="0044159F"/>
    <w:rsid w:val="00441648"/>
    <w:rsid w:val="0044165F"/>
    <w:rsid w:val="00441679"/>
    <w:rsid w:val="004418E1"/>
    <w:rsid w:val="004419B4"/>
    <w:rsid w:val="00441A6F"/>
    <w:rsid w:val="00441B41"/>
    <w:rsid w:val="00441B5B"/>
    <w:rsid w:val="00441C31"/>
    <w:rsid w:val="00441D15"/>
    <w:rsid w:val="00441DAB"/>
    <w:rsid w:val="00441F43"/>
    <w:rsid w:val="00441F72"/>
    <w:rsid w:val="00441FFB"/>
    <w:rsid w:val="0044203D"/>
    <w:rsid w:val="004420C9"/>
    <w:rsid w:val="004421AE"/>
    <w:rsid w:val="0044239D"/>
    <w:rsid w:val="004423FD"/>
    <w:rsid w:val="00442488"/>
    <w:rsid w:val="0044252E"/>
    <w:rsid w:val="004425B3"/>
    <w:rsid w:val="004425EE"/>
    <w:rsid w:val="00442747"/>
    <w:rsid w:val="0044282C"/>
    <w:rsid w:val="004428C4"/>
    <w:rsid w:val="00442A27"/>
    <w:rsid w:val="00442A6B"/>
    <w:rsid w:val="00442AA0"/>
    <w:rsid w:val="00442AAE"/>
    <w:rsid w:val="00442AB1"/>
    <w:rsid w:val="00442B0C"/>
    <w:rsid w:val="00442BB5"/>
    <w:rsid w:val="00442C23"/>
    <w:rsid w:val="00442C35"/>
    <w:rsid w:val="00442C7A"/>
    <w:rsid w:val="00442C8A"/>
    <w:rsid w:val="00442DBE"/>
    <w:rsid w:val="00442DDD"/>
    <w:rsid w:val="00442F97"/>
    <w:rsid w:val="00442F9C"/>
    <w:rsid w:val="00442FC5"/>
    <w:rsid w:val="0044309B"/>
    <w:rsid w:val="004430C4"/>
    <w:rsid w:val="004430CE"/>
    <w:rsid w:val="004430EA"/>
    <w:rsid w:val="00443113"/>
    <w:rsid w:val="0044316E"/>
    <w:rsid w:val="00443187"/>
    <w:rsid w:val="00443236"/>
    <w:rsid w:val="004432AA"/>
    <w:rsid w:val="00443497"/>
    <w:rsid w:val="004434AF"/>
    <w:rsid w:val="00443577"/>
    <w:rsid w:val="004435D1"/>
    <w:rsid w:val="0044365F"/>
    <w:rsid w:val="004436A3"/>
    <w:rsid w:val="004436C0"/>
    <w:rsid w:val="0044372A"/>
    <w:rsid w:val="0044386F"/>
    <w:rsid w:val="004439BC"/>
    <w:rsid w:val="00443ACE"/>
    <w:rsid w:val="00443AE8"/>
    <w:rsid w:val="00443B5E"/>
    <w:rsid w:val="00443CF7"/>
    <w:rsid w:val="00443D7B"/>
    <w:rsid w:val="00443D8C"/>
    <w:rsid w:val="00443DDB"/>
    <w:rsid w:val="00443E8C"/>
    <w:rsid w:val="00443EAB"/>
    <w:rsid w:val="00443FB2"/>
    <w:rsid w:val="00443FF1"/>
    <w:rsid w:val="00444037"/>
    <w:rsid w:val="00444089"/>
    <w:rsid w:val="004442C1"/>
    <w:rsid w:val="00444376"/>
    <w:rsid w:val="0044459A"/>
    <w:rsid w:val="004445CE"/>
    <w:rsid w:val="004445D1"/>
    <w:rsid w:val="00444639"/>
    <w:rsid w:val="0044464B"/>
    <w:rsid w:val="004446F3"/>
    <w:rsid w:val="00444722"/>
    <w:rsid w:val="004447F7"/>
    <w:rsid w:val="00444803"/>
    <w:rsid w:val="0044482A"/>
    <w:rsid w:val="004448E7"/>
    <w:rsid w:val="00444A14"/>
    <w:rsid w:val="00444A7C"/>
    <w:rsid w:val="00444B13"/>
    <w:rsid w:val="00444B2C"/>
    <w:rsid w:val="00444B3B"/>
    <w:rsid w:val="00444B9D"/>
    <w:rsid w:val="00444BFA"/>
    <w:rsid w:val="00444D9E"/>
    <w:rsid w:val="00444EA9"/>
    <w:rsid w:val="00444EB3"/>
    <w:rsid w:val="00444F18"/>
    <w:rsid w:val="00444FE9"/>
    <w:rsid w:val="00445017"/>
    <w:rsid w:val="004450DD"/>
    <w:rsid w:val="00445102"/>
    <w:rsid w:val="004451F6"/>
    <w:rsid w:val="0044521C"/>
    <w:rsid w:val="0044524C"/>
    <w:rsid w:val="0044539E"/>
    <w:rsid w:val="004454CC"/>
    <w:rsid w:val="0044553B"/>
    <w:rsid w:val="004455C4"/>
    <w:rsid w:val="0044560F"/>
    <w:rsid w:val="0044562A"/>
    <w:rsid w:val="00445763"/>
    <w:rsid w:val="00445879"/>
    <w:rsid w:val="00445906"/>
    <w:rsid w:val="00445926"/>
    <w:rsid w:val="004459D4"/>
    <w:rsid w:val="00445A4C"/>
    <w:rsid w:val="00445A67"/>
    <w:rsid w:val="00445A93"/>
    <w:rsid w:val="00445AD7"/>
    <w:rsid w:val="00445AEC"/>
    <w:rsid w:val="00445BAD"/>
    <w:rsid w:val="00445BCD"/>
    <w:rsid w:val="00445C72"/>
    <w:rsid w:val="00445CD8"/>
    <w:rsid w:val="00445DD8"/>
    <w:rsid w:val="00445E31"/>
    <w:rsid w:val="00445EEC"/>
    <w:rsid w:val="00445F12"/>
    <w:rsid w:val="00445F4E"/>
    <w:rsid w:val="00445F7C"/>
    <w:rsid w:val="004460CD"/>
    <w:rsid w:val="004460DF"/>
    <w:rsid w:val="00446108"/>
    <w:rsid w:val="00446267"/>
    <w:rsid w:val="004462AE"/>
    <w:rsid w:val="004462D3"/>
    <w:rsid w:val="004462E6"/>
    <w:rsid w:val="00446343"/>
    <w:rsid w:val="00446426"/>
    <w:rsid w:val="00446604"/>
    <w:rsid w:val="004466C7"/>
    <w:rsid w:val="004467DB"/>
    <w:rsid w:val="0044687C"/>
    <w:rsid w:val="004468B6"/>
    <w:rsid w:val="00446A3C"/>
    <w:rsid w:val="00446A89"/>
    <w:rsid w:val="00446C3A"/>
    <w:rsid w:val="00446D66"/>
    <w:rsid w:val="00446F4B"/>
    <w:rsid w:val="00446F96"/>
    <w:rsid w:val="00447053"/>
    <w:rsid w:val="004470F7"/>
    <w:rsid w:val="00447220"/>
    <w:rsid w:val="004472A4"/>
    <w:rsid w:val="004472AD"/>
    <w:rsid w:val="0044731C"/>
    <w:rsid w:val="00447446"/>
    <w:rsid w:val="0044756A"/>
    <w:rsid w:val="004475C6"/>
    <w:rsid w:val="004476CC"/>
    <w:rsid w:val="004477DC"/>
    <w:rsid w:val="00447C35"/>
    <w:rsid w:val="00447C9A"/>
    <w:rsid w:val="00447CF7"/>
    <w:rsid w:val="00447E5C"/>
    <w:rsid w:val="00447E79"/>
    <w:rsid w:val="00447EDD"/>
    <w:rsid w:val="00447F9E"/>
    <w:rsid w:val="00447FEC"/>
    <w:rsid w:val="00450191"/>
    <w:rsid w:val="00450194"/>
    <w:rsid w:val="004502D6"/>
    <w:rsid w:val="00450357"/>
    <w:rsid w:val="004503BE"/>
    <w:rsid w:val="0045042F"/>
    <w:rsid w:val="004504D2"/>
    <w:rsid w:val="004505C0"/>
    <w:rsid w:val="0045078E"/>
    <w:rsid w:val="00450931"/>
    <w:rsid w:val="00450962"/>
    <w:rsid w:val="0045098C"/>
    <w:rsid w:val="004509C3"/>
    <w:rsid w:val="00450AE7"/>
    <w:rsid w:val="00450AF7"/>
    <w:rsid w:val="00450B70"/>
    <w:rsid w:val="00450BCC"/>
    <w:rsid w:val="00450C37"/>
    <w:rsid w:val="00450D14"/>
    <w:rsid w:val="00450D5A"/>
    <w:rsid w:val="00450DFC"/>
    <w:rsid w:val="00450E2F"/>
    <w:rsid w:val="00450E48"/>
    <w:rsid w:val="004510E8"/>
    <w:rsid w:val="0045110A"/>
    <w:rsid w:val="00451148"/>
    <w:rsid w:val="004511FB"/>
    <w:rsid w:val="0045130F"/>
    <w:rsid w:val="004513BE"/>
    <w:rsid w:val="004513CE"/>
    <w:rsid w:val="00451408"/>
    <w:rsid w:val="00451410"/>
    <w:rsid w:val="00451421"/>
    <w:rsid w:val="00451504"/>
    <w:rsid w:val="004515CF"/>
    <w:rsid w:val="00451781"/>
    <w:rsid w:val="004517C4"/>
    <w:rsid w:val="004517EC"/>
    <w:rsid w:val="004517F0"/>
    <w:rsid w:val="0045181A"/>
    <w:rsid w:val="004518C4"/>
    <w:rsid w:val="004518EB"/>
    <w:rsid w:val="00451916"/>
    <w:rsid w:val="0045196E"/>
    <w:rsid w:val="004519A1"/>
    <w:rsid w:val="004519B8"/>
    <w:rsid w:val="00451A6D"/>
    <w:rsid w:val="00451B50"/>
    <w:rsid w:val="00451CBD"/>
    <w:rsid w:val="00451D5C"/>
    <w:rsid w:val="00451DA9"/>
    <w:rsid w:val="00451DD1"/>
    <w:rsid w:val="00451E27"/>
    <w:rsid w:val="00451E5E"/>
    <w:rsid w:val="00451FC9"/>
    <w:rsid w:val="00452030"/>
    <w:rsid w:val="0045210C"/>
    <w:rsid w:val="00452179"/>
    <w:rsid w:val="00452322"/>
    <w:rsid w:val="00452340"/>
    <w:rsid w:val="00452429"/>
    <w:rsid w:val="00452477"/>
    <w:rsid w:val="00452553"/>
    <w:rsid w:val="0045256A"/>
    <w:rsid w:val="004526CE"/>
    <w:rsid w:val="0045270C"/>
    <w:rsid w:val="00452808"/>
    <w:rsid w:val="00452967"/>
    <w:rsid w:val="0045299C"/>
    <w:rsid w:val="00452A11"/>
    <w:rsid w:val="00452A39"/>
    <w:rsid w:val="00452A97"/>
    <w:rsid w:val="00452AA5"/>
    <w:rsid w:val="00452AE2"/>
    <w:rsid w:val="00452AF7"/>
    <w:rsid w:val="00452B0E"/>
    <w:rsid w:val="00452CB6"/>
    <w:rsid w:val="00452CE9"/>
    <w:rsid w:val="00452D28"/>
    <w:rsid w:val="00452D3F"/>
    <w:rsid w:val="00452DA4"/>
    <w:rsid w:val="00452E49"/>
    <w:rsid w:val="00452F4C"/>
    <w:rsid w:val="004531BD"/>
    <w:rsid w:val="00453203"/>
    <w:rsid w:val="00453430"/>
    <w:rsid w:val="00453456"/>
    <w:rsid w:val="00453463"/>
    <w:rsid w:val="004534D0"/>
    <w:rsid w:val="00453559"/>
    <w:rsid w:val="00453656"/>
    <w:rsid w:val="00453802"/>
    <w:rsid w:val="004538C8"/>
    <w:rsid w:val="004539AE"/>
    <w:rsid w:val="00453AF5"/>
    <w:rsid w:val="00453B37"/>
    <w:rsid w:val="00453C98"/>
    <w:rsid w:val="00453CCC"/>
    <w:rsid w:val="00453CCE"/>
    <w:rsid w:val="00453ECE"/>
    <w:rsid w:val="004542B7"/>
    <w:rsid w:val="004542E4"/>
    <w:rsid w:val="004544CB"/>
    <w:rsid w:val="004545C4"/>
    <w:rsid w:val="0045469B"/>
    <w:rsid w:val="0045471B"/>
    <w:rsid w:val="0045476A"/>
    <w:rsid w:val="004547F6"/>
    <w:rsid w:val="00454848"/>
    <w:rsid w:val="004548EF"/>
    <w:rsid w:val="004548FD"/>
    <w:rsid w:val="004549F8"/>
    <w:rsid w:val="00454B36"/>
    <w:rsid w:val="00454B3C"/>
    <w:rsid w:val="00454B43"/>
    <w:rsid w:val="00454C21"/>
    <w:rsid w:val="00454CA8"/>
    <w:rsid w:val="00454DD3"/>
    <w:rsid w:val="00454DF1"/>
    <w:rsid w:val="00454EA1"/>
    <w:rsid w:val="00454F13"/>
    <w:rsid w:val="00454F4A"/>
    <w:rsid w:val="00454FA0"/>
    <w:rsid w:val="0045512D"/>
    <w:rsid w:val="00455167"/>
    <w:rsid w:val="004551F4"/>
    <w:rsid w:val="00455383"/>
    <w:rsid w:val="00455392"/>
    <w:rsid w:val="004553B7"/>
    <w:rsid w:val="004553FB"/>
    <w:rsid w:val="004554D9"/>
    <w:rsid w:val="00455535"/>
    <w:rsid w:val="0045554E"/>
    <w:rsid w:val="00455669"/>
    <w:rsid w:val="004556D8"/>
    <w:rsid w:val="00455718"/>
    <w:rsid w:val="004557B7"/>
    <w:rsid w:val="0045583F"/>
    <w:rsid w:val="00455977"/>
    <w:rsid w:val="00455A57"/>
    <w:rsid w:val="00455AA6"/>
    <w:rsid w:val="00455ABA"/>
    <w:rsid w:val="00455AF0"/>
    <w:rsid w:val="00455D81"/>
    <w:rsid w:val="00455D88"/>
    <w:rsid w:val="00455F46"/>
    <w:rsid w:val="00456010"/>
    <w:rsid w:val="004560CD"/>
    <w:rsid w:val="0045612C"/>
    <w:rsid w:val="00456227"/>
    <w:rsid w:val="004562AD"/>
    <w:rsid w:val="004562DE"/>
    <w:rsid w:val="004566F8"/>
    <w:rsid w:val="00456704"/>
    <w:rsid w:val="004567C2"/>
    <w:rsid w:val="0045692F"/>
    <w:rsid w:val="004569DF"/>
    <w:rsid w:val="00456A43"/>
    <w:rsid w:val="00456A48"/>
    <w:rsid w:val="00456A49"/>
    <w:rsid w:val="00456B81"/>
    <w:rsid w:val="00456B8A"/>
    <w:rsid w:val="00456B99"/>
    <w:rsid w:val="00456BB7"/>
    <w:rsid w:val="00456C52"/>
    <w:rsid w:val="00456CBD"/>
    <w:rsid w:val="00456CDB"/>
    <w:rsid w:val="00456DDC"/>
    <w:rsid w:val="00456E2F"/>
    <w:rsid w:val="00456ED7"/>
    <w:rsid w:val="00456FB2"/>
    <w:rsid w:val="004570CE"/>
    <w:rsid w:val="004570D8"/>
    <w:rsid w:val="004571B3"/>
    <w:rsid w:val="004573F8"/>
    <w:rsid w:val="00457481"/>
    <w:rsid w:val="00457511"/>
    <w:rsid w:val="004575F3"/>
    <w:rsid w:val="00457747"/>
    <w:rsid w:val="004578EF"/>
    <w:rsid w:val="00457946"/>
    <w:rsid w:val="00457AF1"/>
    <w:rsid w:val="00457B2E"/>
    <w:rsid w:val="00457BA8"/>
    <w:rsid w:val="00457BED"/>
    <w:rsid w:val="00457CB5"/>
    <w:rsid w:val="00457CBE"/>
    <w:rsid w:val="00457D06"/>
    <w:rsid w:val="00457DEF"/>
    <w:rsid w:val="00457DF2"/>
    <w:rsid w:val="00457E10"/>
    <w:rsid w:val="00457FA0"/>
    <w:rsid w:val="0046011E"/>
    <w:rsid w:val="004602B6"/>
    <w:rsid w:val="00460387"/>
    <w:rsid w:val="004603AB"/>
    <w:rsid w:val="0046040E"/>
    <w:rsid w:val="00460423"/>
    <w:rsid w:val="0046073C"/>
    <w:rsid w:val="0046074A"/>
    <w:rsid w:val="0046081E"/>
    <w:rsid w:val="004608CF"/>
    <w:rsid w:val="00460902"/>
    <w:rsid w:val="00460989"/>
    <w:rsid w:val="00460996"/>
    <w:rsid w:val="004609EC"/>
    <w:rsid w:val="00460A7B"/>
    <w:rsid w:val="00460B5A"/>
    <w:rsid w:val="00460BDD"/>
    <w:rsid w:val="00460C9C"/>
    <w:rsid w:val="00460DE3"/>
    <w:rsid w:val="00460FA0"/>
    <w:rsid w:val="00461114"/>
    <w:rsid w:val="0046112C"/>
    <w:rsid w:val="00461160"/>
    <w:rsid w:val="004611EB"/>
    <w:rsid w:val="00461233"/>
    <w:rsid w:val="00461273"/>
    <w:rsid w:val="004613BB"/>
    <w:rsid w:val="0046142A"/>
    <w:rsid w:val="00461436"/>
    <w:rsid w:val="0046144C"/>
    <w:rsid w:val="00461504"/>
    <w:rsid w:val="00461520"/>
    <w:rsid w:val="004615AA"/>
    <w:rsid w:val="004615D2"/>
    <w:rsid w:val="0046171C"/>
    <w:rsid w:val="00461863"/>
    <w:rsid w:val="00461874"/>
    <w:rsid w:val="0046189B"/>
    <w:rsid w:val="004618B3"/>
    <w:rsid w:val="00461993"/>
    <w:rsid w:val="00461A09"/>
    <w:rsid w:val="00461AF4"/>
    <w:rsid w:val="00461C7B"/>
    <w:rsid w:val="00461C9C"/>
    <w:rsid w:val="00461D7F"/>
    <w:rsid w:val="00461D8F"/>
    <w:rsid w:val="00461DDE"/>
    <w:rsid w:val="00461E6C"/>
    <w:rsid w:val="00461E7C"/>
    <w:rsid w:val="00461EB4"/>
    <w:rsid w:val="00462130"/>
    <w:rsid w:val="00462298"/>
    <w:rsid w:val="004622B7"/>
    <w:rsid w:val="00462475"/>
    <w:rsid w:val="00462498"/>
    <w:rsid w:val="004624C1"/>
    <w:rsid w:val="00462556"/>
    <w:rsid w:val="004626C5"/>
    <w:rsid w:val="004626F5"/>
    <w:rsid w:val="00462709"/>
    <w:rsid w:val="00462756"/>
    <w:rsid w:val="00462776"/>
    <w:rsid w:val="00462841"/>
    <w:rsid w:val="00462A22"/>
    <w:rsid w:val="00462A62"/>
    <w:rsid w:val="00462AE4"/>
    <w:rsid w:val="00462C3B"/>
    <w:rsid w:val="00462D43"/>
    <w:rsid w:val="00462E5D"/>
    <w:rsid w:val="00462F6C"/>
    <w:rsid w:val="00463006"/>
    <w:rsid w:val="0046302E"/>
    <w:rsid w:val="0046302F"/>
    <w:rsid w:val="004630BC"/>
    <w:rsid w:val="004630C1"/>
    <w:rsid w:val="004630E8"/>
    <w:rsid w:val="004631E5"/>
    <w:rsid w:val="00463254"/>
    <w:rsid w:val="00463268"/>
    <w:rsid w:val="004633C4"/>
    <w:rsid w:val="004633CD"/>
    <w:rsid w:val="0046368D"/>
    <w:rsid w:val="004636C2"/>
    <w:rsid w:val="004636D8"/>
    <w:rsid w:val="004637A2"/>
    <w:rsid w:val="00463ACE"/>
    <w:rsid w:val="00463CA3"/>
    <w:rsid w:val="00463CAC"/>
    <w:rsid w:val="00463CC5"/>
    <w:rsid w:val="00463D14"/>
    <w:rsid w:val="00463D38"/>
    <w:rsid w:val="00463DB0"/>
    <w:rsid w:val="00463E13"/>
    <w:rsid w:val="00463E4E"/>
    <w:rsid w:val="00463E76"/>
    <w:rsid w:val="00464049"/>
    <w:rsid w:val="0046419C"/>
    <w:rsid w:val="004641C8"/>
    <w:rsid w:val="00464393"/>
    <w:rsid w:val="004643BB"/>
    <w:rsid w:val="004643C4"/>
    <w:rsid w:val="004645AB"/>
    <w:rsid w:val="004645AE"/>
    <w:rsid w:val="00464749"/>
    <w:rsid w:val="004647EF"/>
    <w:rsid w:val="004647FA"/>
    <w:rsid w:val="0046483E"/>
    <w:rsid w:val="0046493A"/>
    <w:rsid w:val="00464A75"/>
    <w:rsid w:val="00464A81"/>
    <w:rsid w:val="00464AE1"/>
    <w:rsid w:val="00464B11"/>
    <w:rsid w:val="00464CA0"/>
    <w:rsid w:val="00464F13"/>
    <w:rsid w:val="00464F27"/>
    <w:rsid w:val="00464FF9"/>
    <w:rsid w:val="00465085"/>
    <w:rsid w:val="004650EC"/>
    <w:rsid w:val="0046514C"/>
    <w:rsid w:val="00465185"/>
    <w:rsid w:val="0046523D"/>
    <w:rsid w:val="00465289"/>
    <w:rsid w:val="0046529D"/>
    <w:rsid w:val="00465300"/>
    <w:rsid w:val="004654FC"/>
    <w:rsid w:val="00465606"/>
    <w:rsid w:val="0046564C"/>
    <w:rsid w:val="0046568A"/>
    <w:rsid w:val="0046572B"/>
    <w:rsid w:val="0046576A"/>
    <w:rsid w:val="0046576E"/>
    <w:rsid w:val="00465772"/>
    <w:rsid w:val="00465777"/>
    <w:rsid w:val="004657D2"/>
    <w:rsid w:val="00465819"/>
    <w:rsid w:val="0046586B"/>
    <w:rsid w:val="00465AC0"/>
    <w:rsid w:val="00465BFB"/>
    <w:rsid w:val="00465C12"/>
    <w:rsid w:val="00465C8A"/>
    <w:rsid w:val="00465D81"/>
    <w:rsid w:val="00465D90"/>
    <w:rsid w:val="00465DCB"/>
    <w:rsid w:val="00465DE2"/>
    <w:rsid w:val="00465ECF"/>
    <w:rsid w:val="00465F29"/>
    <w:rsid w:val="00465F60"/>
    <w:rsid w:val="0046629A"/>
    <w:rsid w:val="0046629C"/>
    <w:rsid w:val="004662B0"/>
    <w:rsid w:val="00466349"/>
    <w:rsid w:val="004663DC"/>
    <w:rsid w:val="00466449"/>
    <w:rsid w:val="004664DF"/>
    <w:rsid w:val="004664F2"/>
    <w:rsid w:val="0046650D"/>
    <w:rsid w:val="0046651D"/>
    <w:rsid w:val="00466582"/>
    <w:rsid w:val="00466603"/>
    <w:rsid w:val="004666F9"/>
    <w:rsid w:val="0046673F"/>
    <w:rsid w:val="004667CE"/>
    <w:rsid w:val="004667D9"/>
    <w:rsid w:val="00466878"/>
    <w:rsid w:val="00466917"/>
    <w:rsid w:val="00466A96"/>
    <w:rsid w:val="00466B02"/>
    <w:rsid w:val="00466B87"/>
    <w:rsid w:val="00466B9C"/>
    <w:rsid w:val="00466BBF"/>
    <w:rsid w:val="00466BE8"/>
    <w:rsid w:val="00466C77"/>
    <w:rsid w:val="00466CD1"/>
    <w:rsid w:val="00466D25"/>
    <w:rsid w:val="00466D3F"/>
    <w:rsid w:val="00466D67"/>
    <w:rsid w:val="00466DB4"/>
    <w:rsid w:val="00466DED"/>
    <w:rsid w:val="00466E1B"/>
    <w:rsid w:val="00466E56"/>
    <w:rsid w:val="00466EE7"/>
    <w:rsid w:val="00466F4B"/>
    <w:rsid w:val="00467032"/>
    <w:rsid w:val="00467072"/>
    <w:rsid w:val="004670AA"/>
    <w:rsid w:val="00467111"/>
    <w:rsid w:val="00467115"/>
    <w:rsid w:val="0046716B"/>
    <w:rsid w:val="00467338"/>
    <w:rsid w:val="00467375"/>
    <w:rsid w:val="004673A5"/>
    <w:rsid w:val="004673E7"/>
    <w:rsid w:val="004673FC"/>
    <w:rsid w:val="0046746A"/>
    <w:rsid w:val="004674AA"/>
    <w:rsid w:val="004674F5"/>
    <w:rsid w:val="00467513"/>
    <w:rsid w:val="0046751C"/>
    <w:rsid w:val="0046753D"/>
    <w:rsid w:val="00467587"/>
    <w:rsid w:val="004675DB"/>
    <w:rsid w:val="004675EA"/>
    <w:rsid w:val="0046765D"/>
    <w:rsid w:val="00467712"/>
    <w:rsid w:val="0046773C"/>
    <w:rsid w:val="0046778E"/>
    <w:rsid w:val="00467A00"/>
    <w:rsid w:val="00467BD3"/>
    <w:rsid w:val="00467C1C"/>
    <w:rsid w:val="00467C8A"/>
    <w:rsid w:val="00467D72"/>
    <w:rsid w:val="00467E00"/>
    <w:rsid w:val="00467E3C"/>
    <w:rsid w:val="00467E40"/>
    <w:rsid w:val="00467E98"/>
    <w:rsid w:val="00467ED4"/>
    <w:rsid w:val="0047004D"/>
    <w:rsid w:val="004700C4"/>
    <w:rsid w:val="0047013E"/>
    <w:rsid w:val="00470239"/>
    <w:rsid w:val="00470330"/>
    <w:rsid w:val="0047033A"/>
    <w:rsid w:val="00470420"/>
    <w:rsid w:val="0047055F"/>
    <w:rsid w:val="00470591"/>
    <w:rsid w:val="004705B2"/>
    <w:rsid w:val="004705B7"/>
    <w:rsid w:val="00470623"/>
    <w:rsid w:val="00470802"/>
    <w:rsid w:val="00470954"/>
    <w:rsid w:val="00470976"/>
    <w:rsid w:val="004709B5"/>
    <w:rsid w:val="00470A2F"/>
    <w:rsid w:val="00470A97"/>
    <w:rsid w:val="00470BB2"/>
    <w:rsid w:val="00470C10"/>
    <w:rsid w:val="00470C21"/>
    <w:rsid w:val="00470C22"/>
    <w:rsid w:val="00470C7A"/>
    <w:rsid w:val="00470D2C"/>
    <w:rsid w:val="00470DCF"/>
    <w:rsid w:val="00470E44"/>
    <w:rsid w:val="00470FB9"/>
    <w:rsid w:val="0047108D"/>
    <w:rsid w:val="004710D0"/>
    <w:rsid w:val="0047119F"/>
    <w:rsid w:val="004711AB"/>
    <w:rsid w:val="004711E6"/>
    <w:rsid w:val="0047121E"/>
    <w:rsid w:val="0047126C"/>
    <w:rsid w:val="004712ED"/>
    <w:rsid w:val="004715DA"/>
    <w:rsid w:val="00471605"/>
    <w:rsid w:val="00471693"/>
    <w:rsid w:val="004716F8"/>
    <w:rsid w:val="0047173C"/>
    <w:rsid w:val="004717F0"/>
    <w:rsid w:val="004718A3"/>
    <w:rsid w:val="004718AC"/>
    <w:rsid w:val="00471952"/>
    <w:rsid w:val="00471C4E"/>
    <w:rsid w:val="00471C8E"/>
    <w:rsid w:val="00471CFD"/>
    <w:rsid w:val="00471D2F"/>
    <w:rsid w:val="00471D4D"/>
    <w:rsid w:val="00471E7B"/>
    <w:rsid w:val="00471E8B"/>
    <w:rsid w:val="00471EEB"/>
    <w:rsid w:val="00471F81"/>
    <w:rsid w:val="00471FB6"/>
    <w:rsid w:val="0047208D"/>
    <w:rsid w:val="0047216C"/>
    <w:rsid w:val="004721EB"/>
    <w:rsid w:val="00472225"/>
    <w:rsid w:val="00472255"/>
    <w:rsid w:val="0047228E"/>
    <w:rsid w:val="004722F3"/>
    <w:rsid w:val="00472343"/>
    <w:rsid w:val="00472629"/>
    <w:rsid w:val="0047262D"/>
    <w:rsid w:val="004726B6"/>
    <w:rsid w:val="00472725"/>
    <w:rsid w:val="004727AE"/>
    <w:rsid w:val="004727B3"/>
    <w:rsid w:val="004727C5"/>
    <w:rsid w:val="004727D9"/>
    <w:rsid w:val="00472848"/>
    <w:rsid w:val="00472862"/>
    <w:rsid w:val="00472889"/>
    <w:rsid w:val="0047289A"/>
    <w:rsid w:val="00472938"/>
    <w:rsid w:val="004729D1"/>
    <w:rsid w:val="004729E2"/>
    <w:rsid w:val="00472B22"/>
    <w:rsid w:val="00472C15"/>
    <w:rsid w:val="00472C63"/>
    <w:rsid w:val="00472DCC"/>
    <w:rsid w:val="00472E1E"/>
    <w:rsid w:val="00472E36"/>
    <w:rsid w:val="00472FB9"/>
    <w:rsid w:val="00472FC8"/>
    <w:rsid w:val="0047335C"/>
    <w:rsid w:val="004733E7"/>
    <w:rsid w:val="00473406"/>
    <w:rsid w:val="00473521"/>
    <w:rsid w:val="0047360B"/>
    <w:rsid w:val="00473697"/>
    <w:rsid w:val="00473718"/>
    <w:rsid w:val="00473771"/>
    <w:rsid w:val="00473851"/>
    <w:rsid w:val="00473872"/>
    <w:rsid w:val="004738D0"/>
    <w:rsid w:val="004738E3"/>
    <w:rsid w:val="0047398F"/>
    <w:rsid w:val="00473A5F"/>
    <w:rsid w:val="00473BDB"/>
    <w:rsid w:val="00473CA0"/>
    <w:rsid w:val="00473CD2"/>
    <w:rsid w:val="00473F2C"/>
    <w:rsid w:val="004740B2"/>
    <w:rsid w:val="004740C6"/>
    <w:rsid w:val="00474194"/>
    <w:rsid w:val="004741DE"/>
    <w:rsid w:val="0047438E"/>
    <w:rsid w:val="0047444C"/>
    <w:rsid w:val="00474616"/>
    <w:rsid w:val="004746EB"/>
    <w:rsid w:val="0047472A"/>
    <w:rsid w:val="0047475E"/>
    <w:rsid w:val="004747C1"/>
    <w:rsid w:val="00474840"/>
    <w:rsid w:val="0047485C"/>
    <w:rsid w:val="00474AC8"/>
    <w:rsid w:val="00474B5B"/>
    <w:rsid w:val="00474B61"/>
    <w:rsid w:val="00474BAA"/>
    <w:rsid w:val="00474BBA"/>
    <w:rsid w:val="00474C76"/>
    <w:rsid w:val="00474D0A"/>
    <w:rsid w:val="00474D20"/>
    <w:rsid w:val="00474ED7"/>
    <w:rsid w:val="00474F62"/>
    <w:rsid w:val="004750D1"/>
    <w:rsid w:val="004750D8"/>
    <w:rsid w:val="004750FF"/>
    <w:rsid w:val="004751BA"/>
    <w:rsid w:val="00475249"/>
    <w:rsid w:val="00475251"/>
    <w:rsid w:val="0047528B"/>
    <w:rsid w:val="00475355"/>
    <w:rsid w:val="0047535C"/>
    <w:rsid w:val="0047551B"/>
    <w:rsid w:val="00475546"/>
    <w:rsid w:val="0047554A"/>
    <w:rsid w:val="00475828"/>
    <w:rsid w:val="00475843"/>
    <w:rsid w:val="004758AF"/>
    <w:rsid w:val="004758B4"/>
    <w:rsid w:val="00475A0E"/>
    <w:rsid w:val="00475A3E"/>
    <w:rsid w:val="00475A48"/>
    <w:rsid w:val="00475A51"/>
    <w:rsid w:val="00475AC8"/>
    <w:rsid w:val="00475B8A"/>
    <w:rsid w:val="00475BC7"/>
    <w:rsid w:val="00475BD2"/>
    <w:rsid w:val="00475C04"/>
    <w:rsid w:val="00475C39"/>
    <w:rsid w:val="00475C79"/>
    <w:rsid w:val="00475C94"/>
    <w:rsid w:val="00475D12"/>
    <w:rsid w:val="00475D79"/>
    <w:rsid w:val="00475D7A"/>
    <w:rsid w:val="00475D98"/>
    <w:rsid w:val="00475DF4"/>
    <w:rsid w:val="00475F70"/>
    <w:rsid w:val="00475FCE"/>
    <w:rsid w:val="004760A7"/>
    <w:rsid w:val="00476110"/>
    <w:rsid w:val="00476135"/>
    <w:rsid w:val="00476160"/>
    <w:rsid w:val="00476176"/>
    <w:rsid w:val="0047623A"/>
    <w:rsid w:val="0047646F"/>
    <w:rsid w:val="0047654B"/>
    <w:rsid w:val="004765CB"/>
    <w:rsid w:val="004766ED"/>
    <w:rsid w:val="004767A9"/>
    <w:rsid w:val="004768E0"/>
    <w:rsid w:val="00476A99"/>
    <w:rsid w:val="00476C38"/>
    <w:rsid w:val="00476D7A"/>
    <w:rsid w:val="00476E3A"/>
    <w:rsid w:val="00476FE6"/>
    <w:rsid w:val="00477013"/>
    <w:rsid w:val="00477018"/>
    <w:rsid w:val="00477099"/>
    <w:rsid w:val="00477143"/>
    <w:rsid w:val="004771F2"/>
    <w:rsid w:val="0047730A"/>
    <w:rsid w:val="00477316"/>
    <w:rsid w:val="00477377"/>
    <w:rsid w:val="00477382"/>
    <w:rsid w:val="00477555"/>
    <w:rsid w:val="004775AD"/>
    <w:rsid w:val="004776A9"/>
    <w:rsid w:val="004776AE"/>
    <w:rsid w:val="004776E4"/>
    <w:rsid w:val="004777D0"/>
    <w:rsid w:val="004778EC"/>
    <w:rsid w:val="00477940"/>
    <w:rsid w:val="00477955"/>
    <w:rsid w:val="0047796D"/>
    <w:rsid w:val="0047799F"/>
    <w:rsid w:val="00477B4A"/>
    <w:rsid w:val="00477D0B"/>
    <w:rsid w:val="00477D39"/>
    <w:rsid w:val="00477E53"/>
    <w:rsid w:val="00477F05"/>
    <w:rsid w:val="00477F1E"/>
    <w:rsid w:val="0048014F"/>
    <w:rsid w:val="00480178"/>
    <w:rsid w:val="004801A0"/>
    <w:rsid w:val="004801D9"/>
    <w:rsid w:val="0048029A"/>
    <w:rsid w:val="0048037F"/>
    <w:rsid w:val="0048039B"/>
    <w:rsid w:val="0048044F"/>
    <w:rsid w:val="0048052D"/>
    <w:rsid w:val="00480574"/>
    <w:rsid w:val="004805B5"/>
    <w:rsid w:val="00480605"/>
    <w:rsid w:val="004807D2"/>
    <w:rsid w:val="0048084E"/>
    <w:rsid w:val="004808C9"/>
    <w:rsid w:val="00480907"/>
    <w:rsid w:val="00480942"/>
    <w:rsid w:val="0048097A"/>
    <w:rsid w:val="004809AD"/>
    <w:rsid w:val="00480A07"/>
    <w:rsid w:val="00480ABA"/>
    <w:rsid w:val="00480B2A"/>
    <w:rsid w:val="00480C3E"/>
    <w:rsid w:val="00480DDA"/>
    <w:rsid w:val="00480E0C"/>
    <w:rsid w:val="00480E7E"/>
    <w:rsid w:val="00480EC6"/>
    <w:rsid w:val="00480F22"/>
    <w:rsid w:val="00480FF8"/>
    <w:rsid w:val="00480FFF"/>
    <w:rsid w:val="004810DC"/>
    <w:rsid w:val="0048118C"/>
    <w:rsid w:val="0048127C"/>
    <w:rsid w:val="00481346"/>
    <w:rsid w:val="00481358"/>
    <w:rsid w:val="00481369"/>
    <w:rsid w:val="0048148F"/>
    <w:rsid w:val="004814E4"/>
    <w:rsid w:val="0048158F"/>
    <w:rsid w:val="00481744"/>
    <w:rsid w:val="00481749"/>
    <w:rsid w:val="004817CA"/>
    <w:rsid w:val="0048196F"/>
    <w:rsid w:val="004819FD"/>
    <w:rsid w:val="00481ADC"/>
    <w:rsid w:val="00481B7A"/>
    <w:rsid w:val="00481BE1"/>
    <w:rsid w:val="00481C14"/>
    <w:rsid w:val="00481C2D"/>
    <w:rsid w:val="00481C82"/>
    <w:rsid w:val="00481D3F"/>
    <w:rsid w:val="00481D83"/>
    <w:rsid w:val="00481E50"/>
    <w:rsid w:val="00482000"/>
    <w:rsid w:val="0048200B"/>
    <w:rsid w:val="00482027"/>
    <w:rsid w:val="004820D9"/>
    <w:rsid w:val="00482147"/>
    <w:rsid w:val="004821D0"/>
    <w:rsid w:val="00482201"/>
    <w:rsid w:val="00482366"/>
    <w:rsid w:val="00482393"/>
    <w:rsid w:val="0048239A"/>
    <w:rsid w:val="00482431"/>
    <w:rsid w:val="00482439"/>
    <w:rsid w:val="00482454"/>
    <w:rsid w:val="00482456"/>
    <w:rsid w:val="00482470"/>
    <w:rsid w:val="0048253E"/>
    <w:rsid w:val="0048254D"/>
    <w:rsid w:val="00482691"/>
    <w:rsid w:val="0048279D"/>
    <w:rsid w:val="00482963"/>
    <w:rsid w:val="004829FC"/>
    <w:rsid w:val="00482AA5"/>
    <w:rsid w:val="00482B35"/>
    <w:rsid w:val="00482C52"/>
    <w:rsid w:val="00482C77"/>
    <w:rsid w:val="00482E9E"/>
    <w:rsid w:val="0048322A"/>
    <w:rsid w:val="0048325E"/>
    <w:rsid w:val="004832A7"/>
    <w:rsid w:val="0048331A"/>
    <w:rsid w:val="00483363"/>
    <w:rsid w:val="00483380"/>
    <w:rsid w:val="004833C8"/>
    <w:rsid w:val="00483549"/>
    <w:rsid w:val="004835AD"/>
    <w:rsid w:val="00483679"/>
    <w:rsid w:val="004836D8"/>
    <w:rsid w:val="004837A7"/>
    <w:rsid w:val="0048384C"/>
    <w:rsid w:val="00483900"/>
    <w:rsid w:val="0048391E"/>
    <w:rsid w:val="00483923"/>
    <w:rsid w:val="00483AB5"/>
    <w:rsid w:val="00483B04"/>
    <w:rsid w:val="00483B5E"/>
    <w:rsid w:val="00483BA8"/>
    <w:rsid w:val="00483C1D"/>
    <w:rsid w:val="00483C66"/>
    <w:rsid w:val="00483CDE"/>
    <w:rsid w:val="00483D42"/>
    <w:rsid w:val="00483EBF"/>
    <w:rsid w:val="0048401C"/>
    <w:rsid w:val="0048408B"/>
    <w:rsid w:val="00484197"/>
    <w:rsid w:val="004841E3"/>
    <w:rsid w:val="00484328"/>
    <w:rsid w:val="00484431"/>
    <w:rsid w:val="00484462"/>
    <w:rsid w:val="004845E8"/>
    <w:rsid w:val="004845F0"/>
    <w:rsid w:val="004847C0"/>
    <w:rsid w:val="004847FC"/>
    <w:rsid w:val="004848BA"/>
    <w:rsid w:val="004848E7"/>
    <w:rsid w:val="00484925"/>
    <w:rsid w:val="00484933"/>
    <w:rsid w:val="004849EC"/>
    <w:rsid w:val="00484A2C"/>
    <w:rsid w:val="00484A7E"/>
    <w:rsid w:val="00484B02"/>
    <w:rsid w:val="00484B1D"/>
    <w:rsid w:val="00484BAE"/>
    <w:rsid w:val="00484C48"/>
    <w:rsid w:val="00484C55"/>
    <w:rsid w:val="00484D12"/>
    <w:rsid w:val="00484E81"/>
    <w:rsid w:val="00484E86"/>
    <w:rsid w:val="00484EB7"/>
    <w:rsid w:val="00484F81"/>
    <w:rsid w:val="00484FB1"/>
    <w:rsid w:val="00485048"/>
    <w:rsid w:val="004851C7"/>
    <w:rsid w:val="004851DB"/>
    <w:rsid w:val="00485320"/>
    <w:rsid w:val="0048546F"/>
    <w:rsid w:val="004855E1"/>
    <w:rsid w:val="0048562B"/>
    <w:rsid w:val="0048567A"/>
    <w:rsid w:val="004857D6"/>
    <w:rsid w:val="0048588E"/>
    <w:rsid w:val="00485961"/>
    <w:rsid w:val="0048598A"/>
    <w:rsid w:val="00485A5E"/>
    <w:rsid w:val="00485AC2"/>
    <w:rsid w:val="00485AF6"/>
    <w:rsid w:val="00485C18"/>
    <w:rsid w:val="00485C3A"/>
    <w:rsid w:val="00485D3F"/>
    <w:rsid w:val="00485E71"/>
    <w:rsid w:val="0048602C"/>
    <w:rsid w:val="00486058"/>
    <w:rsid w:val="0048607A"/>
    <w:rsid w:val="0048618C"/>
    <w:rsid w:val="004861F8"/>
    <w:rsid w:val="0048632D"/>
    <w:rsid w:val="004863C2"/>
    <w:rsid w:val="00486449"/>
    <w:rsid w:val="0048653F"/>
    <w:rsid w:val="0048655A"/>
    <w:rsid w:val="0048659A"/>
    <w:rsid w:val="004865F8"/>
    <w:rsid w:val="0048668D"/>
    <w:rsid w:val="004866C0"/>
    <w:rsid w:val="00486725"/>
    <w:rsid w:val="004867A2"/>
    <w:rsid w:val="00486894"/>
    <w:rsid w:val="0048694E"/>
    <w:rsid w:val="004869FA"/>
    <w:rsid w:val="00486A1D"/>
    <w:rsid w:val="00486A31"/>
    <w:rsid w:val="00486BA7"/>
    <w:rsid w:val="00486E9B"/>
    <w:rsid w:val="00486EBC"/>
    <w:rsid w:val="00486FCE"/>
    <w:rsid w:val="0048700E"/>
    <w:rsid w:val="004871E5"/>
    <w:rsid w:val="004872B7"/>
    <w:rsid w:val="00487394"/>
    <w:rsid w:val="004873AA"/>
    <w:rsid w:val="0048741E"/>
    <w:rsid w:val="00487486"/>
    <w:rsid w:val="00487511"/>
    <w:rsid w:val="004875A5"/>
    <w:rsid w:val="00487732"/>
    <w:rsid w:val="0048776E"/>
    <w:rsid w:val="00487787"/>
    <w:rsid w:val="00487827"/>
    <w:rsid w:val="00487844"/>
    <w:rsid w:val="004878C2"/>
    <w:rsid w:val="0048799D"/>
    <w:rsid w:val="00487A2E"/>
    <w:rsid w:val="00487B72"/>
    <w:rsid w:val="00487B8C"/>
    <w:rsid w:val="00487C2D"/>
    <w:rsid w:val="00487C5B"/>
    <w:rsid w:val="00487DD6"/>
    <w:rsid w:val="00487E33"/>
    <w:rsid w:val="00487E5E"/>
    <w:rsid w:val="00487EA5"/>
    <w:rsid w:val="00487ED6"/>
    <w:rsid w:val="00487F13"/>
    <w:rsid w:val="00487FE4"/>
    <w:rsid w:val="004900B2"/>
    <w:rsid w:val="004901BD"/>
    <w:rsid w:val="0049022D"/>
    <w:rsid w:val="00490347"/>
    <w:rsid w:val="00490351"/>
    <w:rsid w:val="00490405"/>
    <w:rsid w:val="00490511"/>
    <w:rsid w:val="00490630"/>
    <w:rsid w:val="00490642"/>
    <w:rsid w:val="004906FC"/>
    <w:rsid w:val="00490792"/>
    <w:rsid w:val="0049091D"/>
    <w:rsid w:val="00490A17"/>
    <w:rsid w:val="00490AA6"/>
    <w:rsid w:val="00490DCA"/>
    <w:rsid w:val="00490DDA"/>
    <w:rsid w:val="0049111C"/>
    <w:rsid w:val="00491279"/>
    <w:rsid w:val="004912DE"/>
    <w:rsid w:val="00491377"/>
    <w:rsid w:val="0049147F"/>
    <w:rsid w:val="004914E7"/>
    <w:rsid w:val="00491528"/>
    <w:rsid w:val="00491593"/>
    <w:rsid w:val="00491624"/>
    <w:rsid w:val="004916B4"/>
    <w:rsid w:val="004916E8"/>
    <w:rsid w:val="00491707"/>
    <w:rsid w:val="004917B0"/>
    <w:rsid w:val="004917D8"/>
    <w:rsid w:val="0049190B"/>
    <w:rsid w:val="0049193E"/>
    <w:rsid w:val="00491970"/>
    <w:rsid w:val="004919B6"/>
    <w:rsid w:val="00491A0A"/>
    <w:rsid w:val="00491A84"/>
    <w:rsid w:val="00491B29"/>
    <w:rsid w:val="00491B4A"/>
    <w:rsid w:val="00491B51"/>
    <w:rsid w:val="00491D2E"/>
    <w:rsid w:val="00491E9B"/>
    <w:rsid w:val="00491EAF"/>
    <w:rsid w:val="00491F44"/>
    <w:rsid w:val="00491FD6"/>
    <w:rsid w:val="00491FE3"/>
    <w:rsid w:val="00492252"/>
    <w:rsid w:val="0049231E"/>
    <w:rsid w:val="00492513"/>
    <w:rsid w:val="00492548"/>
    <w:rsid w:val="00492550"/>
    <w:rsid w:val="0049264B"/>
    <w:rsid w:val="00492688"/>
    <w:rsid w:val="00492697"/>
    <w:rsid w:val="004927C7"/>
    <w:rsid w:val="004927D6"/>
    <w:rsid w:val="004927DF"/>
    <w:rsid w:val="0049281B"/>
    <w:rsid w:val="00492978"/>
    <w:rsid w:val="00492A46"/>
    <w:rsid w:val="00492AA7"/>
    <w:rsid w:val="00492ABD"/>
    <w:rsid w:val="00492D74"/>
    <w:rsid w:val="00492D9E"/>
    <w:rsid w:val="00492DE7"/>
    <w:rsid w:val="00492E20"/>
    <w:rsid w:val="00492EAF"/>
    <w:rsid w:val="00492F03"/>
    <w:rsid w:val="00492FC3"/>
    <w:rsid w:val="00493020"/>
    <w:rsid w:val="004930A6"/>
    <w:rsid w:val="004930FF"/>
    <w:rsid w:val="00493131"/>
    <w:rsid w:val="00493258"/>
    <w:rsid w:val="004932BB"/>
    <w:rsid w:val="004932E8"/>
    <w:rsid w:val="00493412"/>
    <w:rsid w:val="004934CB"/>
    <w:rsid w:val="004935F9"/>
    <w:rsid w:val="00493647"/>
    <w:rsid w:val="0049373F"/>
    <w:rsid w:val="0049375F"/>
    <w:rsid w:val="004937D2"/>
    <w:rsid w:val="004938A0"/>
    <w:rsid w:val="00493928"/>
    <w:rsid w:val="00493A4D"/>
    <w:rsid w:val="00493ABC"/>
    <w:rsid w:val="00493B1D"/>
    <w:rsid w:val="00493CE1"/>
    <w:rsid w:val="00493D16"/>
    <w:rsid w:val="00493D72"/>
    <w:rsid w:val="00493E73"/>
    <w:rsid w:val="00493FCF"/>
    <w:rsid w:val="0049400A"/>
    <w:rsid w:val="00494035"/>
    <w:rsid w:val="00494038"/>
    <w:rsid w:val="004940A9"/>
    <w:rsid w:val="0049415B"/>
    <w:rsid w:val="004941C0"/>
    <w:rsid w:val="00494250"/>
    <w:rsid w:val="00494335"/>
    <w:rsid w:val="00494399"/>
    <w:rsid w:val="004943A9"/>
    <w:rsid w:val="004943F3"/>
    <w:rsid w:val="0049458A"/>
    <w:rsid w:val="004945FC"/>
    <w:rsid w:val="0049465F"/>
    <w:rsid w:val="00494694"/>
    <w:rsid w:val="004946CB"/>
    <w:rsid w:val="00494850"/>
    <w:rsid w:val="004949A4"/>
    <w:rsid w:val="00494A73"/>
    <w:rsid w:val="00494A87"/>
    <w:rsid w:val="00494A96"/>
    <w:rsid w:val="00494B04"/>
    <w:rsid w:val="00494BBF"/>
    <w:rsid w:val="00494D3A"/>
    <w:rsid w:val="00494D3C"/>
    <w:rsid w:val="00494E1F"/>
    <w:rsid w:val="00494E52"/>
    <w:rsid w:val="00494FAF"/>
    <w:rsid w:val="00494FE3"/>
    <w:rsid w:val="00495123"/>
    <w:rsid w:val="004952A3"/>
    <w:rsid w:val="004954CF"/>
    <w:rsid w:val="00495508"/>
    <w:rsid w:val="00495527"/>
    <w:rsid w:val="00495619"/>
    <w:rsid w:val="004956A0"/>
    <w:rsid w:val="0049589D"/>
    <w:rsid w:val="004959AF"/>
    <w:rsid w:val="004959E9"/>
    <w:rsid w:val="00495A70"/>
    <w:rsid w:val="00495A8A"/>
    <w:rsid w:val="00495E72"/>
    <w:rsid w:val="00495F82"/>
    <w:rsid w:val="00495FB9"/>
    <w:rsid w:val="00495FCA"/>
    <w:rsid w:val="00495FD3"/>
    <w:rsid w:val="00495FDE"/>
    <w:rsid w:val="00495FE2"/>
    <w:rsid w:val="0049604A"/>
    <w:rsid w:val="00496069"/>
    <w:rsid w:val="00496078"/>
    <w:rsid w:val="004960D0"/>
    <w:rsid w:val="004960DA"/>
    <w:rsid w:val="00496134"/>
    <w:rsid w:val="00496426"/>
    <w:rsid w:val="00496461"/>
    <w:rsid w:val="004964F8"/>
    <w:rsid w:val="004966BA"/>
    <w:rsid w:val="00496733"/>
    <w:rsid w:val="004967A6"/>
    <w:rsid w:val="004967A7"/>
    <w:rsid w:val="004968A7"/>
    <w:rsid w:val="00496A4C"/>
    <w:rsid w:val="00496AB4"/>
    <w:rsid w:val="00496AE1"/>
    <w:rsid w:val="00496AE2"/>
    <w:rsid w:val="00496C46"/>
    <w:rsid w:val="00496D76"/>
    <w:rsid w:val="00496DA7"/>
    <w:rsid w:val="00496E24"/>
    <w:rsid w:val="00496E3C"/>
    <w:rsid w:val="00496E6F"/>
    <w:rsid w:val="00496E97"/>
    <w:rsid w:val="00496F01"/>
    <w:rsid w:val="00496F95"/>
    <w:rsid w:val="00496FD3"/>
    <w:rsid w:val="00497065"/>
    <w:rsid w:val="0049710C"/>
    <w:rsid w:val="0049721E"/>
    <w:rsid w:val="0049744C"/>
    <w:rsid w:val="00497501"/>
    <w:rsid w:val="00497522"/>
    <w:rsid w:val="0049758A"/>
    <w:rsid w:val="00497684"/>
    <w:rsid w:val="004976DB"/>
    <w:rsid w:val="00497786"/>
    <w:rsid w:val="004977F3"/>
    <w:rsid w:val="00497897"/>
    <w:rsid w:val="00497946"/>
    <w:rsid w:val="004979D0"/>
    <w:rsid w:val="00497AAF"/>
    <w:rsid w:val="00497B54"/>
    <w:rsid w:val="00497B67"/>
    <w:rsid w:val="00497B84"/>
    <w:rsid w:val="00497B91"/>
    <w:rsid w:val="00497BBC"/>
    <w:rsid w:val="00497C4C"/>
    <w:rsid w:val="00497CBC"/>
    <w:rsid w:val="00497CF6"/>
    <w:rsid w:val="00497D48"/>
    <w:rsid w:val="00497D69"/>
    <w:rsid w:val="00497D73"/>
    <w:rsid w:val="00497DC3"/>
    <w:rsid w:val="00497DC4"/>
    <w:rsid w:val="00497DE6"/>
    <w:rsid w:val="00497E06"/>
    <w:rsid w:val="00497E62"/>
    <w:rsid w:val="00497EF7"/>
    <w:rsid w:val="004A0035"/>
    <w:rsid w:val="004A01D5"/>
    <w:rsid w:val="004A0373"/>
    <w:rsid w:val="004A0411"/>
    <w:rsid w:val="004A05C9"/>
    <w:rsid w:val="004A06D3"/>
    <w:rsid w:val="004A06D8"/>
    <w:rsid w:val="004A070C"/>
    <w:rsid w:val="004A0774"/>
    <w:rsid w:val="004A0816"/>
    <w:rsid w:val="004A08C9"/>
    <w:rsid w:val="004A08EA"/>
    <w:rsid w:val="004A0954"/>
    <w:rsid w:val="004A0A6D"/>
    <w:rsid w:val="004A0BA6"/>
    <w:rsid w:val="004A0BC5"/>
    <w:rsid w:val="004A0C68"/>
    <w:rsid w:val="004A0CCF"/>
    <w:rsid w:val="004A0D4B"/>
    <w:rsid w:val="004A0DE8"/>
    <w:rsid w:val="004A0E96"/>
    <w:rsid w:val="004A105B"/>
    <w:rsid w:val="004A1158"/>
    <w:rsid w:val="004A123C"/>
    <w:rsid w:val="004A1453"/>
    <w:rsid w:val="004A148C"/>
    <w:rsid w:val="004A150A"/>
    <w:rsid w:val="004A16E0"/>
    <w:rsid w:val="004A1711"/>
    <w:rsid w:val="004A18AC"/>
    <w:rsid w:val="004A18B3"/>
    <w:rsid w:val="004A18D1"/>
    <w:rsid w:val="004A18E6"/>
    <w:rsid w:val="004A191D"/>
    <w:rsid w:val="004A1AE1"/>
    <w:rsid w:val="004A1B10"/>
    <w:rsid w:val="004A1CFC"/>
    <w:rsid w:val="004A1D57"/>
    <w:rsid w:val="004A1EE4"/>
    <w:rsid w:val="004A205A"/>
    <w:rsid w:val="004A20AC"/>
    <w:rsid w:val="004A20D1"/>
    <w:rsid w:val="004A2188"/>
    <w:rsid w:val="004A2272"/>
    <w:rsid w:val="004A229C"/>
    <w:rsid w:val="004A236B"/>
    <w:rsid w:val="004A2409"/>
    <w:rsid w:val="004A2544"/>
    <w:rsid w:val="004A25C1"/>
    <w:rsid w:val="004A2655"/>
    <w:rsid w:val="004A2866"/>
    <w:rsid w:val="004A2870"/>
    <w:rsid w:val="004A2A01"/>
    <w:rsid w:val="004A2A26"/>
    <w:rsid w:val="004A2A54"/>
    <w:rsid w:val="004A2B26"/>
    <w:rsid w:val="004A2DBA"/>
    <w:rsid w:val="004A2DFF"/>
    <w:rsid w:val="004A2E17"/>
    <w:rsid w:val="004A2EAE"/>
    <w:rsid w:val="004A2ECD"/>
    <w:rsid w:val="004A31CE"/>
    <w:rsid w:val="004A31D5"/>
    <w:rsid w:val="004A3240"/>
    <w:rsid w:val="004A3261"/>
    <w:rsid w:val="004A32B6"/>
    <w:rsid w:val="004A3414"/>
    <w:rsid w:val="004A34EE"/>
    <w:rsid w:val="004A350D"/>
    <w:rsid w:val="004A3524"/>
    <w:rsid w:val="004A3526"/>
    <w:rsid w:val="004A3565"/>
    <w:rsid w:val="004A3582"/>
    <w:rsid w:val="004A365A"/>
    <w:rsid w:val="004A3777"/>
    <w:rsid w:val="004A38A3"/>
    <w:rsid w:val="004A3B1D"/>
    <w:rsid w:val="004A3B81"/>
    <w:rsid w:val="004A3BD2"/>
    <w:rsid w:val="004A3BD3"/>
    <w:rsid w:val="004A3BDC"/>
    <w:rsid w:val="004A3C6D"/>
    <w:rsid w:val="004A3E8E"/>
    <w:rsid w:val="004A3EA3"/>
    <w:rsid w:val="004A3EAB"/>
    <w:rsid w:val="004A3EB6"/>
    <w:rsid w:val="004A3FAD"/>
    <w:rsid w:val="004A4064"/>
    <w:rsid w:val="004A4089"/>
    <w:rsid w:val="004A40A6"/>
    <w:rsid w:val="004A4172"/>
    <w:rsid w:val="004A419F"/>
    <w:rsid w:val="004A41B5"/>
    <w:rsid w:val="004A42B9"/>
    <w:rsid w:val="004A42CD"/>
    <w:rsid w:val="004A43BF"/>
    <w:rsid w:val="004A441F"/>
    <w:rsid w:val="004A44B4"/>
    <w:rsid w:val="004A463A"/>
    <w:rsid w:val="004A4674"/>
    <w:rsid w:val="004A4733"/>
    <w:rsid w:val="004A4735"/>
    <w:rsid w:val="004A484B"/>
    <w:rsid w:val="004A485E"/>
    <w:rsid w:val="004A487E"/>
    <w:rsid w:val="004A49B7"/>
    <w:rsid w:val="004A49D1"/>
    <w:rsid w:val="004A4C8D"/>
    <w:rsid w:val="004A4CDE"/>
    <w:rsid w:val="004A4CEB"/>
    <w:rsid w:val="004A4DF2"/>
    <w:rsid w:val="004A4E5A"/>
    <w:rsid w:val="004A4E99"/>
    <w:rsid w:val="004A4EA0"/>
    <w:rsid w:val="004A4EFE"/>
    <w:rsid w:val="004A4F09"/>
    <w:rsid w:val="004A4F23"/>
    <w:rsid w:val="004A4F45"/>
    <w:rsid w:val="004A50D1"/>
    <w:rsid w:val="004A513D"/>
    <w:rsid w:val="004A5140"/>
    <w:rsid w:val="004A5151"/>
    <w:rsid w:val="004A51E2"/>
    <w:rsid w:val="004A5285"/>
    <w:rsid w:val="004A533C"/>
    <w:rsid w:val="004A5385"/>
    <w:rsid w:val="004A53C6"/>
    <w:rsid w:val="004A5401"/>
    <w:rsid w:val="004A5464"/>
    <w:rsid w:val="004A54C5"/>
    <w:rsid w:val="004A54F2"/>
    <w:rsid w:val="004A5632"/>
    <w:rsid w:val="004A5709"/>
    <w:rsid w:val="004A5736"/>
    <w:rsid w:val="004A576E"/>
    <w:rsid w:val="004A588C"/>
    <w:rsid w:val="004A5890"/>
    <w:rsid w:val="004A58E7"/>
    <w:rsid w:val="004A59A4"/>
    <w:rsid w:val="004A5A4C"/>
    <w:rsid w:val="004A5B0D"/>
    <w:rsid w:val="004A5B3C"/>
    <w:rsid w:val="004A5EA2"/>
    <w:rsid w:val="004A5EDF"/>
    <w:rsid w:val="004A5F62"/>
    <w:rsid w:val="004A5FB5"/>
    <w:rsid w:val="004A6018"/>
    <w:rsid w:val="004A60FE"/>
    <w:rsid w:val="004A61EB"/>
    <w:rsid w:val="004A6263"/>
    <w:rsid w:val="004A627C"/>
    <w:rsid w:val="004A630F"/>
    <w:rsid w:val="004A636C"/>
    <w:rsid w:val="004A63B5"/>
    <w:rsid w:val="004A6406"/>
    <w:rsid w:val="004A6418"/>
    <w:rsid w:val="004A6456"/>
    <w:rsid w:val="004A6503"/>
    <w:rsid w:val="004A654A"/>
    <w:rsid w:val="004A657B"/>
    <w:rsid w:val="004A6620"/>
    <w:rsid w:val="004A6721"/>
    <w:rsid w:val="004A6839"/>
    <w:rsid w:val="004A685E"/>
    <w:rsid w:val="004A68F5"/>
    <w:rsid w:val="004A690A"/>
    <w:rsid w:val="004A6918"/>
    <w:rsid w:val="004A6A10"/>
    <w:rsid w:val="004A6B5E"/>
    <w:rsid w:val="004A6D71"/>
    <w:rsid w:val="004A6DF4"/>
    <w:rsid w:val="004A6E3A"/>
    <w:rsid w:val="004A6EB2"/>
    <w:rsid w:val="004A6F27"/>
    <w:rsid w:val="004A6F95"/>
    <w:rsid w:val="004A6F98"/>
    <w:rsid w:val="004A7158"/>
    <w:rsid w:val="004A731B"/>
    <w:rsid w:val="004A735D"/>
    <w:rsid w:val="004A74EE"/>
    <w:rsid w:val="004A75DC"/>
    <w:rsid w:val="004A764E"/>
    <w:rsid w:val="004A771B"/>
    <w:rsid w:val="004A788A"/>
    <w:rsid w:val="004A788B"/>
    <w:rsid w:val="004A7928"/>
    <w:rsid w:val="004A79D4"/>
    <w:rsid w:val="004A7A17"/>
    <w:rsid w:val="004A7A3D"/>
    <w:rsid w:val="004A7AAC"/>
    <w:rsid w:val="004A7BDB"/>
    <w:rsid w:val="004A7BDE"/>
    <w:rsid w:val="004A7C19"/>
    <w:rsid w:val="004A7C23"/>
    <w:rsid w:val="004A7C7B"/>
    <w:rsid w:val="004A7CA3"/>
    <w:rsid w:val="004A7CFF"/>
    <w:rsid w:val="004A7D4D"/>
    <w:rsid w:val="004A7DCD"/>
    <w:rsid w:val="004A7F35"/>
    <w:rsid w:val="004B00AE"/>
    <w:rsid w:val="004B0268"/>
    <w:rsid w:val="004B0390"/>
    <w:rsid w:val="004B04F7"/>
    <w:rsid w:val="004B0534"/>
    <w:rsid w:val="004B058C"/>
    <w:rsid w:val="004B0599"/>
    <w:rsid w:val="004B0691"/>
    <w:rsid w:val="004B069A"/>
    <w:rsid w:val="004B0752"/>
    <w:rsid w:val="004B0769"/>
    <w:rsid w:val="004B07D6"/>
    <w:rsid w:val="004B08A9"/>
    <w:rsid w:val="004B08EC"/>
    <w:rsid w:val="004B091F"/>
    <w:rsid w:val="004B0925"/>
    <w:rsid w:val="004B093E"/>
    <w:rsid w:val="004B09D4"/>
    <w:rsid w:val="004B0A07"/>
    <w:rsid w:val="004B0C59"/>
    <w:rsid w:val="004B0DCC"/>
    <w:rsid w:val="004B0E9B"/>
    <w:rsid w:val="004B0F92"/>
    <w:rsid w:val="004B103B"/>
    <w:rsid w:val="004B1041"/>
    <w:rsid w:val="004B107A"/>
    <w:rsid w:val="004B1142"/>
    <w:rsid w:val="004B115D"/>
    <w:rsid w:val="004B123A"/>
    <w:rsid w:val="004B124A"/>
    <w:rsid w:val="004B1292"/>
    <w:rsid w:val="004B1335"/>
    <w:rsid w:val="004B137A"/>
    <w:rsid w:val="004B1419"/>
    <w:rsid w:val="004B14F1"/>
    <w:rsid w:val="004B1641"/>
    <w:rsid w:val="004B172B"/>
    <w:rsid w:val="004B17EF"/>
    <w:rsid w:val="004B1843"/>
    <w:rsid w:val="004B185C"/>
    <w:rsid w:val="004B187D"/>
    <w:rsid w:val="004B18B8"/>
    <w:rsid w:val="004B18BA"/>
    <w:rsid w:val="004B193E"/>
    <w:rsid w:val="004B1984"/>
    <w:rsid w:val="004B1986"/>
    <w:rsid w:val="004B1A40"/>
    <w:rsid w:val="004B1A78"/>
    <w:rsid w:val="004B1AEC"/>
    <w:rsid w:val="004B1BF5"/>
    <w:rsid w:val="004B1CB3"/>
    <w:rsid w:val="004B1DC9"/>
    <w:rsid w:val="004B1E72"/>
    <w:rsid w:val="004B1F56"/>
    <w:rsid w:val="004B20FC"/>
    <w:rsid w:val="004B2107"/>
    <w:rsid w:val="004B21AC"/>
    <w:rsid w:val="004B21C9"/>
    <w:rsid w:val="004B227C"/>
    <w:rsid w:val="004B2297"/>
    <w:rsid w:val="004B231E"/>
    <w:rsid w:val="004B231F"/>
    <w:rsid w:val="004B2501"/>
    <w:rsid w:val="004B255E"/>
    <w:rsid w:val="004B2568"/>
    <w:rsid w:val="004B2585"/>
    <w:rsid w:val="004B27AE"/>
    <w:rsid w:val="004B286A"/>
    <w:rsid w:val="004B2881"/>
    <w:rsid w:val="004B28C8"/>
    <w:rsid w:val="004B28FD"/>
    <w:rsid w:val="004B2A0E"/>
    <w:rsid w:val="004B2C6D"/>
    <w:rsid w:val="004B2EC4"/>
    <w:rsid w:val="004B2FA4"/>
    <w:rsid w:val="004B2FAC"/>
    <w:rsid w:val="004B2FB9"/>
    <w:rsid w:val="004B30B1"/>
    <w:rsid w:val="004B310E"/>
    <w:rsid w:val="004B312F"/>
    <w:rsid w:val="004B317A"/>
    <w:rsid w:val="004B31F8"/>
    <w:rsid w:val="004B3216"/>
    <w:rsid w:val="004B3224"/>
    <w:rsid w:val="004B3363"/>
    <w:rsid w:val="004B34DB"/>
    <w:rsid w:val="004B353B"/>
    <w:rsid w:val="004B3542"/>
    <w:rsid w:val="004B3555"/>
    <w:rsid w:val="004B35E3"/>
    <w:rsid w:val="004B3602"/>
    <w:rsid w:val="004B3610"/>
    <w:rsid w:val="004B365D"/>
    <w:rsid w:val="004B366F"/>
    <w:rsid w:val="004B377B"/>
    <w:rsid w:val="004B3826"/>
    <w:rsid w:val="004B3847"/>
    <w:rsid w:val="004B3955"/>
    <w:rsid w:val="004B3988"/>
    <w:rsid w:val="004B3A4F"/>
    <w:rsid w:val="004B3AD2"/>
    <w:rsid w:val="004B3B05"/>
    <w:rsid w:val="004B3B6D"/>
    <w:rsid w:val="004B3C43"/>
    <w:rsid w:val="004B3CD5"/>
    <w:rsid w:val="004B3D39"/>
    <w:rsid w:val="004B3F4D"/>
    <w:rsid w:val="004B3F83"/>
    <w:rsid w:val="004B3FAA"/>
    <w:rsid w:val="004B4091"/>
    <w:rsid w:val="004B4134"/>
    <w:rsid w:val="004B414B"/>
    <w:rsid w:val="004B4289"/>
    <w:rsid w:val="004B42F7"/>
    <w:rsid w:val="004B436E"/>
    <w:rsid w:val="004B4380"/>
    <w:rsid w:val="004B44D8"/>
    <w:rsid w:val="004B44E8"/>
    <w:rsid w:val="004B4516"/>
    <w:rsid w:val="004B45D1"/>
    <w:rsid w:val="004B460D"/>
    <w:rsid w:val="004B46B2"/>
    <w:rsid w:val="004B471B"/>
    <w:rsid w:val="004B4747"/>
    <w:rsid w:val="004B4771"/>
    <w:rsid w:val="004B47BA"/>
    <w:rsid w:val="004B47CA"/>
    <w:rsid w:val="004B47F3"/>
    <w:rsid w:val="004B47F8"/>
    <w:rsid w:val="004B4972"/>
    <w:rsid w:val="004B4997"/>
    <w:rsid w:val="004B49A6"/>
    <w:rsid w:val="004B4AE1"/>
    <w:rsid w:val="004B4BF5"/>
    <w:rsid w:val="004B4BFB"/>
    <w:rsid w:val="004B4C32"/>
    <w:rsid w:val="004B4CF6"/>
    <w:rsid w:val="004B4D41"/>
    <w:rsid w:val="004B4DA7"/>
    <w:rsid w:val="004B4DAF"/>
    <w:rsid w:val="004B4DB9"/>
    <w:rsid w:val="004B4E59"/>
    <w:rsid w:val="004B4E6C"/>
    <w:rsid w:val="004B4E93"/>
    <w:rsid w:val="004B4EEF"/>
    <w:rsid w:val="004B4F05"/>
    <w:rsid w:val="004B4F3B"/>
    <w:rsid w:val="004B4F3C"/>
    <w:rsid w:val="004B4FF3"/>
    <w:rsid w:val="004B5084"/>
    <w:rsid w:val="004B50E7"/>
    <w:rsid w:val="004B5158"/>
    <w:rsid w:val="004B5265"/>
    <w:rsid w:val="004B5312"/>
    <w:rsid w:val="004B53F9"/>
    <w:rsid w:val="004B5435"/>
    <w:rsid w:val="004B5546"/>
    <w:rsid w:val="004B582D"/>
    <w:rsid w:val="004B58A9"/>
    <w:rsid w:val="004B58E0"/>
    <w:rsid w:val="004B58E7"/>
    <w:rsid w:val="004B5923"/>
    <w:rsid w:val="004B5B0A"/>
    <w:rsid w:val="004B5B2D"/>
    <w:rsid w:val="004B5B4B"/>
    <w:rsid w:val="004B5C22"/>
    <w:rsid w:val="004B5D8F"/>
    <w:rsid w:val="004B5E0A"/>
    <w:rsid w:val="004B5E6F"/>
    <w:rsid w:val="004B5FCF"/>
    <w:rsid w:val="004B606F"/>
    <w:rsid w:val="004B620F"/>
    <w:rsid w:val="004B624D"/>
    <w:rsid w:val="004B62CA"/>
    <w:rsid w:val="004B6573"/>
    <w:rsid w:val="004B65CD"/>
    <w:rsid w:val="004B67A4"/>
    <w:rsid w:val="004B686D"/>
    <w:rsid w:val="004B68A2"/>
    <w:rsid w:val="004B68CA"/>
    <w:rsid w:val="004B69F2"/>
    <w:rsid w:val="004B6A2E"/>
    <w:rsid w:val="004B6B36"/>
    <w:rsid w:val="004B6B94"/>
    <w:rsid w:val="004B6BAD"/>
    <w:rsid w:val="004B6C58"/>
    <w:rsid w:val="004B6C60"/>
    <w:rsid w:val="004B6C91"/>
    <w:rsid w:val="004B6CBE"/>
    <w:rsid w:val="004B6DA5"/>
    <w:rsid w:val="004B6FB0"/>
    <w:rsid w:val="004B70B9"/>
    <w:rsid w:val="004B70CC"/>
    <w:rsid w:val="004B70E7"/>
    <w:rsid w:val="004B714B"/>
    <w:rsid w:val="004B71CE"/>
    <w:rsid w:val="004B7203"/>
    <w:rsid w:val="004B744B"/>
    <w:rsid w:val="004B7535"/>
    <w:rsid w:val="004B7536"/>
    <w:rsid w:val="004B756A"/>
    <w:rsid w:val="004B7661"/>
    <w:rsid w:val="004B7740"/>
    <w:rsid w:val="004B7753"/>
    <w:rsid w:val="004B77BB"/>
    <w:rsid w:val="004B77DF"/>
    <w:rsid w:val="004B7836"/>
    <w:rsid w:val="004B785E"/>
    <w:rsid w:val="004B79DC"/>
    <w:rsid w:val="004B7A33"/>
    <w:rsid w:val="004B7A54"/>
    <w:rsid w:val="004B7B69"/>
    <w:rsid w:val="004B7B76"/>
    <w:rsid w:val="004B7BC2"/>
    <w:rsid w:val="004B7C03"/>
    <w:rsid w:val="004B7CB1"/>
    <w:rsid w:val="004B7E11"/>
    <w:rsid w:val="004B7F1A"/>
    <w:rsid w:val="004B7F74"/>
    <w:rsid w:val="004C00AD"/>
    <w:rsid w:val="004C0128"/>
    <w:rsid w:val="004C01A8"/>
    <w:rsid w:val="004C02D3"/>
    <w:rsid w:val="004C0465"/>
    <w:rsid w:val="004C046B"/>
    <w:rsid w:val="004C05A2"/>
    <w:rsid w:val="004C0638"/>
    <w:rsid w:val="004C065A"/>
    <w:rsid w:val="004C0837"/>
    <w:rsid w:val="004C085A"/>
    <w:rsid w:val="004C08B5"/>
    <w:rsid w:val="004C0A2F"/>
    <w:rsid w:val="004C0B14"/>
    <w:rsid w:val="004C0B40"/>
    <w:rsid w:val="004C0C2F"/>
    <w:rsid w:val="004C0CAE"/>
    <w:rsid w:val="004C0D0B"/>
    <w:rsid w:val="004C0D76"/>
    <w:rsid w:val="004C0DAD"/>
    <w:rsid w:val="004C0DB0"/>
    <w:rsid w:val="004C0DD5"/>
    <w:rsid w:val="004C0EFF"/>
    <w:rsid w:val="004C0F1F"/>
    <w:rsid w:val="004C0F49"/>
    <w:rsid w:val="004C0FE9"/>
    <w:rsid w:val="004C1002"/>
    <w:rsid w:val="004C1057"/>
    <w:rsid w:val="004C1106"/>
    <w:rsid w:val="004C11D9"/>
    <w:rsid w:val="004C11E6"/>
    <w:rsid w:val="004C11F2"/>
    <w:rsid w:val="004C1214"/>
    <w:rsid w:val="004C1237"/>
    <w:rsid w:val="004C12BD"/>
    <w:rsid w:val="004C1314"/>
    <w:rsid w:val="004C145A"/>
    <w:rsid w:val="004C1461"/>
    <w:rsid w:val="004C1539"/>
    <w:rsid w:val="004C1548"/>
    <w:rsid w:val="004C1575"/>
    <w:rsid w:val="004C15DB"/>
    <w:rsid w:val="004C16BC"/>
    <w:rsid w:val="004C1726"/>
    <w:rsid w:val="004C1741"/>
    <w:rsid w:val="004C180E"/>
    <w:rsid w:val="004C1951"/>
    <w:rsid w:val="004C1A01"/>
    <w:rsid w:val="004C1A22"/>
    <w:rsid w:val="004C1A5E"/>
    <w:rsid w:val="004C1AEC"/>
    <w:rsid w:val="004C1B4E"/>
    <w:rsid w:val="004C1C07"/>
    <w:rsid w:val="004C1D46"/>
    <w:rsid w:val="004C1D4F"/>
    <w:rsid w:val="004C1D50"/>
    <w:rsid w:val="004C1DF1"/>
    <w:rsid w:val="004C1E28"/>
    <w:rsid w:val="004C1E43"/>
    <w:rsid w:val="004C1E65"/>
    <w:rsid w:val="004C1EA6"/>
    <w:rsid w:val="004C1EAD"/>
    <w:rsid w:val="004C1EDE"/>
    <w:rsid w:val="004C1F97"/>
    <w:rsid w:val="004C1FE9"/>
    <w:rsid w:val="004C2062"/>
    <w:rsid w:val="004C2129"/>
    <w:rsid w:val="004C215A"/>
    <w:rsid w:val="004C2219"/>
    <w:rsid w:val="004C221F"/>
    <w:rsid w:val="004C222A"/>
    <w:rsid w:val="004C228E"/>
    <w:rsid w:val="004C22F3"/>
    <w:rsid w:val="004C2383"/>
    <w:rsid w:val="004C23D2"/>
    <w:rsid w:val="004C23EC"/>
    <w:rsid w:val="004C23F1"/>
    <w:rsid w:val="004C2513"/>
    <w:rsid w:val="004C256B"/>
    <w:rsid w:val="004C265C"/>
    <w:rsid w:val="004C2692"/>
    <w:rsid w:val="004C26F6"/>
    <w:rsid w:val="004C27D2"/>
    <w:rsid w:val="004C285F"/>
    <w:rsid w:val="004C28D0"/>
    <w:rsid w:val="004C299B"/>
    <w:rsid w:val="004C2A04"/>
    <w:rsid w:val="004C2A7E"/>
    <w:rsid w:val="004C2AE0"/>
    <w:rsid w:val="004C2BF8"/>
    <w:rsid w:val="004C2C60"/>
    <w:rsid w:val="004C2CEF"/>
    <w:rsid w:val="004C2E45"/>
    <w:rsid w:val="004C2EC9"/>
    <w:rsid w:val="004C2F35"/>
    <w:rsid w:val="004C303C"/>
    <w:rsid w:val="004C31EB"/>
    <w:rsid w:val="004C32E0"/>
    <w:rsid w:val="004C337B"/>
    <w:rsid w:val="004C33E3"/>
    <w:rsid w:val="004C347B"/>
    <w:rsid w:val="004C34E8"/>
    <w:rsid w:val="004C3509"/>
    <w:rsid w:val="004C3587"/>
    <w:rsid w:val="004C3672"/>
    <w:rsid w:val="004C3684"/>
    <w:rsid w:val="004C36E8"/>
    <w:rsid w:val="004C3775"/>
    <w:rsid w:val="004C37BE"/>
    <w:rsid w:val="004C3811"/>
    <w:rsid w:val="004C38C6"/>
    <w:rsid w:val="004C39AE"/>
    <w:rsid w:val="004C3ADF"/>
    <w:rsid w:val="004C3AEA"/>
    <w:rsid w:val="004C3B24"/>
    <w:rsid w:val="004C3BB1"/>
    <w:rsid w:val="004C3BBA"/>
    <w:rsid w:val="004C3C82"/>
    <w:rsid w:val="004C3D27"/>
    <w:rsid w:val="004C3D79"/>
    <w:rsid w:val="004C3EAB"/>
    <w:rsid w:val="004C3ED8"/>
    <w:rsid w:val="004C4048"/>
    <w:rsid w:val="004C4049"/>
    <w:rsid w:val="004C40D1"/>
    <w:rsid w:val="004C40F1"/>
    <w:rsid w:val="004C41B3"/>
    <w:rsid w:val="004C4292"/>
    <w:rsid w:val="004C42B4"/>
    <w:rsid w:val="004C4359"/>
    <w:rsid w:val="004C441D"/>
    <w:rsid w:val="004C448A"/>
    <w:rsid w:val="004C44D9"/>
    <w:rsid w:val="004C4560"/>
    <w:rsid w:val="004C45FC"/>
    <w:rsid w:val="004C4690"/>
    <w:rsid w:val="004C4875"/>
    <w:rsid w:val="004C48FB"/>
    <w:rsid w:val="004C4952"/>
    <w:rsid w:val="004C49BC"/>
    <w:rsid w:val="004C4B63"/>
    <w:rsid w:val="004C4B81"/>
    <w:rsid w:val="004C4C63"/>
    <w:rsid w:val="004C4CEE"/>
    <w:rsid w:val="004C4E0B"/>
    <w:rsid w:val="004C4F59"/>
    <w:rsid w:val="004C4FC3"/>
    <w:rsid w:val="004C50AD"/>
    <w:rsid w:val="004C50E8"/>
    <w:rsid w:val="004C52B9"/>
    <w:rsid w:val="004C5334"/>
    <w:rsid w:val="004C5392"/>
    <w:rsid w:val="004C5493"/>
    <w:rsid w:val="004C5499"/>
    <w:rsid w:val="004C55C5"/>
    <w:rsid w:val="004C565D"/>
    <w:rsid w:val="004C56C6"/>
    <w:rsid w:val="004C5700"/>
    <w:rsid w:val="004C5726"/>
    <w:rsid w:val="004C5740"/>
    <w:rsid w:val="004C5873"/>
    <w:rsid w:val="004C58A3"/>
    <w:rsid w:val="004C5927"/>
    <w:rsid w:val="004C59CC"/>
    <w:rsid w:val="004C5A04"/>
    <w:rsid w:val="004C5A93"/>
    <w:rsid w:val="004C5B13"/>
    <w:rsid w:val="004C5B68"/>
    <w:rsid w:val="004C5BF0"/>
    <w:rsid w:val="004C5CE5"/>
    <w:rsid w:val="004C5DA5"/>
    <w:rsid w:val="004C5E56"/>
    <w:rsid w:val="004C5E86"/>
    <w:rsid w:val="004C621E"/>
    <w:rsid w:val="004C6365"/>
    <w:rsid w:val="004C639F"/>
    <w:rsid w:val="004C6447"/>
    <w:rsid w:val="004C6468"/>
    <w:rsid w:val="004C649F"/>
    <w:rsid w:val="004C64E8"/>
    <w:rsid w:val="004C6505"/>
    <w:rsid w:val="004C663D"/>
    <w:rsid w:val="004C664A"/>
    <w:rsid w:val="004C669D"/>
    <w:rsid w:val="004C6717"/>
    <w:rsid w:val="004C68A6"/>
    <w:rsid w:val="004C6912"/>
    <w:rsid w:val="004C6979"/>
    <w:rsid w:val="004C6982"/>
    <w:rsid w:val="004C6997"/>
    <w:rsid w:val="004C6B1F"/>
    <w:rsid w:val="004C6B67"/>
    <w:rsid w:val="004C6C5E"/>
    <w:rsid w:val="004C6C9A"/>
    <w:rsid w:val="004C6E2D"/>
    <w:rsid w:val="004C6E4F"/>
    <w:rsid w:val="004C6EE7"/>
    <w:rsid w:val="004C6F91"/>
    <w:rsid w:val="004C6FCE"/>
    <w:rsid w:val="004C7029"/>
    <w:rsid w:val="004C7072"/>
    <w:rsid w:val="004C709A"/>
    <w:rsid w:val="004C7109"/>
    <w:rsid w:val="004C7125"/>
    <w:rsid w:val="004C7163"/>
    <w:rsid w:val="004C7175"/>
    <w:rsid w:val="004C71A3"/>
    <w:rsid w:val="004C72FB"/>
    <w:rsid w:val="004C731A"/>
    <w:rsid w:val="004C7351"/>
    <w:rsid w:val="004C736E"/>
    <w:rsid w:val="004C73D2"/>
    <w:rsid w:val="004C74E1"/>
    <w:rsid w:val="004C75FD"/>
    <w:rsid w:val="004C7655"/>
    <w:rsid w:val="004C7657"/>
    <w:rsid w:val="004C7689"/>
    <w:rsid w:val="004C768D"/>
    <w:rsid w:val="004C7718"/>
    <w:rsid w:val="004C7765"/>
    <w:rsid w:val="004C7845"/>
    <w:rsid w:val="004C7902"/>
    <w:rsid w:val="004C7A49"/>
    <w:rsid w:val="004C7BA1"/>
    <w:rsid w:val="004C7C83"/>
    <w:rsid w:val="004C7D2B"/>
    <w:rsid w:val="004C7D30"/>
    <w:rsid w:val="004D002E"/>
    <w:rsid w:val="004D008D"/>
    <w:rsid w:val="004D014A"/>
    <w:rsid w:val="004D01D2"/>
    <w:rsid w:val="004D0303"/>
    <w:rsid w:val="004D030A"/>
    <w:rsid w:val="004D03C0"/>
    <w:rsid w:val="004D03CA"/>
    <w:rsid w:val="004D0465"/>
    <w:rsid w:val="004D0488"/>
    <w:rsid w:val="004D04DA"/>
    <w:rsid w:val="004D052E"/>
    <w:rsid w:val="004D0603"/>
    <w:rsid w:val="004D065E"/>
    <w:rsid w:val="004D0673"/>
    <w:rsid w:val="004D0759"/>
    <w:rsid w:val="004D0795"/>
    <w:rsid w:val="004D07DC"/>
    <w:rsid w:val="004D0801"/>
    <w:rsid w:val="004D0875"/>
    <w:rsid w:val="004D08BD"/>
    <w:rsid w:val="004D0909"/>
    <w:rsid w:val="004D0B44"/>
    <w:rsid w:val="004D0D9F"/>
    <w:rsid w:val="004D0F01"/>
    <w:rsid w:val="004D0F05"/>
    <w:rsid w:val="004D1056"/>
    <w:rsid w:val="004D10B2"/>
    <w:rsid w:val="004D10BC"/>
    <w:rsid w:val="004D11D6"/>
    <w:rsid w:val="004D1205"/>
    <w:rsid w:val="004D12E3"/>
    <w:rsid w:val="004D15D2"/>
    <w:rsid w:val="004D15F4"/>
    <w:rsid w:val="004D1620"/>
    <w:rsid w:val="004D17BA"/>
    <w:rsid w:val="004D17EF"/>
    <w:rsid w:val="004D1822"/>
    <w:rsid w:val="004D1871"/>
    <w:rsid w:val="004D1873"/>
    <w:rsid w:val="004D18B0"/>
    <w:rsid w:val="004D1A2E"/>
    <w:rsid w:val="004D1AB7"/>
    <w:rsid w:val="004D1B2A"/>
    <w:rsid w:val="004D1B43"/>
    <w:rsid w:val="004D1B4E"/>
    <w:rsid w:val="004D1C19"/>
    <w:rsid w:val="004D1C95"/>
    <w:rsid w:val="004D1EA5"/>
    <w:rsid w:val="004D1EBF"/>
    <w:rsid w:val="004D1FAE"/>
    <w:rsid w:val="004D2014"/>
    <w:rsid w:val="004D2031"/>
    <w:rsid w:val="004D20E6"/>
    <w:rsid w:val="004D2155"/>
    <w:rsid w:val="004D217C"/>
    <w:rsid w:val="004D228A"/>
    <w:rsid w:val="004D242A"/>
    <w:rsid w:val="004D2432"/>
    <w:rsid w:val="004D255D"/>
    <w:rsid w:val="004D269F"/>
    <w:rsid w:val="004D2718"/>
    <w:rsid w:val="004D2796"/>
    <w:rsid w:val="004D28FD"/>
    <w:rsid w:val="004D2993"/>
    <w:rsid w:val="004D2995"/>
    <w:rsid w:val="004D2997"/>
    <w:rsid w:val="004D2A0B"/>
    <w:rsid w:val="004D2A27"/>
    <w:rsid w:val="004D2A7B"/>
    <w:rsid w:val="004D2AF0"/>
    <w:rsid w:val="004D2B9A"/>
    <w:rsid w:val="004D2BB1"/>
    <w:rsid w:val="004D2C1E"/>
    <w:rsid w:val="004D2D0E"/>
    <w:rsid w:val="004D2D1F"/>
    <w:rsid w:val="004D2D88"/>
    <w:rsid w:val="004D2D96"/>
    <w:rsid w:val="004D2E86"/>
    <w:rsid w:val="004D2E8F"/>
    <w:rsid w:val="004D3088"/>
    <w:rsid w:val="004D30E6"/>
    <w:rsid w:val="004D3179"/>
    <w:rsid w:val="004D31E4"/>
    <w:rsid w:val="004D3200"/>
    <w:rsid w:val="004D32BF"/>
    <w:rsid w:val="004D334A"/>
    <w:rsid w:val="004D337F"/>
    <w:rsid w:val="004D34AB"/>
    <w:rsid w:val="004D352B"/>
    <w:rsid w:val="004D36E0"/>
    <w:rsid w:val="004D36FA"/>
    <w:rsid w:val="004D37A3"/>
    <w:rsid w:val="004D37A5"/>
    <w:rsid w:val="004D3891"/>
    <w:rsid w:val="004D3953"/>
    <w:rsid w:val="004D3960"/>
    <w:rsid w:val="004D39EB"/>
    <w:rsid w:val="004D3A96"/>
    <w:rsid w:val="004D3DA1"/>
    <w:rsid w:val="004D3E52"/>
    <w:rsid w:val="004D3E73"/>
    <w:rsid w:val="004D3F40"/>
    <w:rsid w:val="004D4011"/>
    <w:rsid w:val="004D4035"/>
    <w:rsid w:val="004D40C4"/>
    <w:rsid w:val="004D4128"/>
    <w:rsid w:val="004D4178"/>
    <w:rsid w:val="004D4275"/>
    <w:rsid w:val="004D4343"/>
    <w:rsid w:val="004D43C5"/>
    <w:rsid w:val="004D440C"/>
    <w:rsid w:val="004D443E"/>
    <w:rsid w:val="004D4480"/>
    <w:rsid w:val="004D4483"/>
    <w:rsid w:val="004D45AD"/>
    <w:rsid w:val="004D4616"/>
    <w:rsid w:val="004D4663"/>
    <w:rsid w:val="004D468B"/>
    <w:rsid w:val="004D469B"/>
    <w:rsid w:val="004D469C"/>
    <w:rsid w:val="004D4784"/>
    <w:rsid w:val="004D47CC"/>
    <w:rsid w:val="004D4813"/>
    <w:rsid w:val="004D4945"/>
    <w:rsid w:val="004D4A2D"/>
    <w:rsid w:val="004D4A39"/>
    <w:rsid w:val="004D4B10"/>
    <w:rsid w:val="004D4B2F"/>
    <w:rsid w:val="004D4B9C"/>
    <w:rsid w:val="004D4C8C"/>
    <w:rsid w:val="004D4C91"/>
    <w:rsid w:val="004D4CC3"/>
    <w:rsid w:val="004D4E13"/>
    <w:rsid w:val="004D5012"/>
    <w:rsid w:val="004D5022"/>
    <w:rsid w:val="004D508D"/>
    <w:rsid w:val="004D50A9"/>
    <w:rsid w:val="004D50B3"/>
    <w:rsid w:val="004D516B"/>
    <w:rsid w:val="004D516C"/>
    <w:rsid w:val="004D52DA"/>
    <w:rsid w:val="004D55E3"/>
    <w:rsid w:val="004D5665"/>
    <w:rsid w:val="004D566B"/>
    <w:rsid w:val="004D56CB"/>
    <w:rsid w:val="004D5720"/>
    <w:rsid w:val="004D57C9"/>
    <w:rsid w:val="004D5811"/>
    <w:rsid w:val="004D583B"/>
    <w:rsid w:val="004D592D"/>
    <w:rsid w:val="004D595C"/>
    <w:rsid w:val="004D59EA"/>
    <w:rsid w:val="004D5BC2"/>
    <w:rsid w:val="004D5C79"/>
    <w:rsid w:val="004D5CA2"/>
    <w:rsid w:val="004D5D9F"/>
    <w:rsid w:val="004D5E75"/>
    <w:rsid w:val="004D5F56"/>
    <w:rsid w:val="004D5F6C"/>
    <w:rsid w:val="004D5FD5"/>
    <w:rsid w:val="004D6095"/>
    <w:rsid w:val="004D60A6"/>
    <w:rsid w:val="004D60C8"/>
    <w:rsid w:val="004D60D1"/>
    <w:rsid w:val="004D619A"/>
    <w:rsid w:val="004D61AF"/>
    <w:rsid w:val="004D62AC"/>
    <w:rsid w:val="004D6345"/>
    <w:rsid w:val="004D6348"/>
    <w:rsid w:val="004D652C"/>
    <w:rsid w:val="004D6539"/>
    <w:rsid w:val="004D66C8"/>
    <w:rsid w:val="004D66CB"/>
    <w:rsid w:val="004D6786"/>
    <w:rsid w:val="004D67DB"/>
    <w:rsid w:val="004D68A7"/>
    <w:rsid w:val="004D68E7"/>
    <w:rsid w:val="004D68F7"/>
    <w:rsid w:val="004D695F"/>
    <w:rsid w:val="004D696D"/>
    <w:rsid w:val="004D6A14"/>
    <w:rsid w:val="004D6B09"/>
    <w:rsid w:val="004D6B36"/>
    <w:rsid w:val="004D6B37"/>
    <w:rsid w:val="004D6BB5"/>
    <w:rsid w:val="004D6BD2"/>
    <w:rsid w:val="004D6C5A"/>
    <w:rsid w:val="004D6D15"/>
    <w:rsid w:val="004D6D72"/>
    <w:rsid w:val="004D6D83"/>
    <w:rsid w:val="004D6E76"/>
    <w:rsid w:val="004D6E95"/>
    <w:rsid w:val="004D71BC"/>
    <w:rsid w:val="004D744A"/>
    <w:rsid w:val="004D748A"/>
    <w:rsid w:val="004D7514"/>
    <w:rsid w:val="004D75BD"/>
    <w:rsid w:val="004D763B"/>
    <w:rsid w:val="004D775C"/>
    <w:rsid w:val="004D7818"/>
    <w:rsid w:val="004D7859"/>
    <w:rsid w:val="004D78E5"/>
    <w:rsid w:val="004D7979"/>
    <w:rsid w:val="004D7A29"/>
    <w:rsid w:val="004D7AAA"/>
    <w:rsid w:val="004D7B90"/>
    <w:rsid w:val="004D7CB9"/>
    <w:rsid w:val="004D7D4A"/>
    <w:rsid w:val="004D7E60"/>
    <w:rsid w:val="004E0092"/>
    <w:rsid w:val="004E00D3"/>
    <w:rsid w:val="004E02B1"/>
    <w:rsid w:val="004E0328"/>
    <w:rsid w:val="004E0441"/>
    <w:rsid w:val="004E05A2"/>
    <w:rsid w:val="004E0625"/>
    <w:rsid w:val="004E067B"/>
    <w:rsid w:val="004E06B4"/>
    <w:rsid w:val="004E0717"/>
    <w:rsid w:val="004E074F"/>
    <w:rsid w:val="004E07D0"/>
    <w:rsid w:val="004E08CB"/>
    <w:rsid w:val="004E0997"/>
    <w:rsid w:val="004E09AA"/>
    <w:rsid w:val="004E09B1"/>
    <w:rsid w:val="004E09C1"/>
    <w:rsid w:val="004E0A66"/>
    <w:rsid w:val="004E0C1D"/>
    <w:rsid w:val="004E0C39"/>
    <w:rsid w:val="004E0C89"/>
    <w:rsid w:val="004E0D09"/>
    <w:rsid w:val="004E1014"/>
    <w:rsid w:val="004E1023"/>
    <w:rsid w:val="004E1026"/>
    <w:rsid w:val="004E115C"/>
    <w:rsid w:val="004E11C5"/>
    <w:rsid w:val="004E11D2"/>
    <w:rsid w:val="004E1222"/>
    <w:rsid w:val="004E129D"/>
    <w:rsid w:val="004E12BF"/>
    <w:rsid w:val="004E1342"/>
    <w:rsid w:val="004E14F2"/>
    <w:rsid w:val="004E1521"/>
    <w:rsid w:val="004E170A"/>
    <w:rsid w:val="004E17DC"/>
    <w:rsid w:val="004E1839"/>
    <w:rsid w:val="004E1967"/>
    <w:rsid w:val="004E1968"/>
    <w:rsid w:val="004E197D"/>
    <w:rsid w:val="004E1A27"/>
    <w:rsid w:val="004E1A2B"/>
    <w:rsid w:val="004E1B1D"/>
    <w:rsid w:val="004E1B4C"/>
    <w:rsid w:val="004E1C95"/>
    <w:rsid w:val="004E1DB1"/>
    <w:rsid w:val="004E1EA3"/>
    <w:rsid w:val="004E1EB1"/>
    <w:rsid w:val="004E1EB7"/>
    <w:rsid w:val="004E2108"/>
    <w:rsid w:val="004E215F"/>
    <w:rsid w:val="004E21A7"/>
    <w:rsid w:val="004E226E"/>
    <w:rsid w:val="004E2339"/>
    <w:rsid w:val="004E2364"/>
    <w:rsid w:val="004E2449"/>
    <w:rsid w:val="004E24CF"/>
    <w:rsid w:val="004E24ED"/>
    <w:rsid w:val="004E2507"/>
    <w:rsid w:val="004E2543"/>
    <w:rsid w:val="004E2561"/>
    <w:rsid w:val="004E2569"/>
    <w:rsid w:val="004E272F"/>
    <w:rsid w:val="004E289C"/>
    <w:rsid w:val="004E28A8"/>
    <w:rsid w:val="004E2907"/>
    <w:rsid w:val="004E291F"/>
    <w:rsid w:val="004E29D7"/>
    <w:rsid w:val="004E2A0E"/>
    <w:rsid w:val="004E2AD4"/>
    <w:rsid w:val="004E2B4B"/>
    <w:rsid w:val="004E2BDB"/>
    <w:rsid w:val="004E2BE8"/>
    <w:rsid w:val="004E2CDE"/>
    <w:rsid w:val="004E2DDC"/>
    <w:rsid w:val="004E2E03"/>
    <w:rsid w:val="004E2FF6"/>
    <w:rsid w:val="004E30E8"/>
    <w:rsid w:val="004E3100"/>
    <w:rsid w:val="004E31B2"/>
    <w:rsid w:val="004E31BC"/>
    <w:rsid w:val="004E3288"/>
    <w:rsid w:val="004E346E"/>
    <w:rsid w:val="004E351B"/>
    <w:rsid w:val="004E364A"/>
    <w:rsid w:val="004E367A"/>
    <w:rsid w:val="004E36E7"/>
    <w:rsid w:val="004E36F3"/>
    <w:rsid w:val="004E370C"/>
    <w:rsid w:val="004E3731"/>
    <w:rsid w:val="004E37C1"/>
    <w:rsid w:val="004E3970"/>
    <w:rsid w:val="004E3992"/>
    <w:rsid w:val="004E3A3D"/>
    <w:rsid w:val="004E3B61"/>
    <w:rsid w:val="004E3B62"/>
    <w:rsid w:val="004E3B83"/>
    <w:rsid w:val="004E3B8D"/>
    <w:rsid w:val="004E3BB9"/>
    <w:rsid w:val="004E3C1E"/>
    <w:rsid w:val="004E3CC9"/>
    <w:rsid w:val="004E3CE9"/>
    <w:rsid w:val="004E3D27"/>
    <w:rsid w:val="004E3D6C"/>
    <w:rsid w:val="004E3EB2"/>
    <w:rsid w:val="004E3F63"/>
    <w:rsid w:val="004E3FF0"/>
    <w:rsid w:val="004E41DC"/>
    <w:rsid w:val="004E4249"/>
    <w:rsid w:val="004E4369"/>
    <w:rsid w:val="004E4472"/>
    <w:rsid w:val="004E4496"/>
    <w:rsid w:val="004E44BC"/>
    <w:rsid w:val="004E458E"/>
    <w:rsid w:val="004E45DE"/>
    <w:rsid w:val="004E466F"/>
    <w:rsid w:val="004E46A6"/>
    <w:rsid w:val="004E46AC"/>
    <w:rsid w:val="004E4700"/>
    <w:rsid w:val="004E4708"/>
    <w:rsid w:val="004E4773"/>
    <w:rsid w:val="004E477E"/>
    <w:rsid w:val="004E478E"/>
    <w:rsid w:val="004E47CE"/>
    <w:rsid w:val="004E47D9"/>
    <w:rsid w:val="004E48C5"/>
    <w:rsid w:val="004E49C3"/>
    <w:rsid w:val="004E4A0F"/>
    <w:rsid w:val="004E4A18"/>
    <w:rsid w:val="004E4B4D"/>
    <w:rsid w:val="004E4B4F"/>
    <w:rsid w:val="004E4CA8"/>
    <w:rsid w:val="004E4D02"/>
    <w:rsid w:val="004E4D2C"/>
    <w:rsid w:val="004E4DEA"/>
    <w:rsid w:val="004E4FFC"/>
    <w:rsid w:val="004E5054"/>
    <w:rsid w:val="004E50B6"/>
    <w:rsid w:val="004E5113"/>
    <w:rsid w:val="004E520E"/>
    <w:rsid w:val="004E5269"/>
    <w:rsid w:val="004E5386"/>
    <w:rsid w:val="004E53A8"/>
    <w:rsid w:val="004E54D4"/>
    <w:rsid w:val="004E54F9"/>
    <w:rsid w:val="004E56B4"/>
    <w:rsid w:val="004E56D6"/>
    <w:rsid w:val="004E5780"/>
    <w:rsid w:val="004E57C9"/>
    <w:rsid w:val="004E580F"/>
    <w:rsid w:val="004E58A9"/>
    <w:rsid w:val="004E58C4"/>
    <w:rsid w:val="004E5911"/>
    <w:rsid w:val="004E5A06"/>
    <w:rsid w:val="004E5A96"/>
    <w:rsid w:val="004E5AD0"/>
    <w:rsid w:val="004E5B48"/>
    <w:rsid w:val="004E5B85"/>
    <w:rsid w:val="004E5BC9"/>
    <w:rsid w:val="004E5BFD"/>
    <w:rsid w:val="004E5C05"/>
    <w:rsid w:val="004E5C79"/>
    <w:rsid w:val="004E5E04"/>
    <w:rsid w:val="004E5E6E"/>
    <w:rsid w:val="004E5E99"/>
    <w:rsid w:val="004E5EE0"/>
    <w:rsid w:val="004E5F5F"/>
    <w:rsid w:val="004E5FEC"/>
    <w:rsid w:val="004E61DC"/>
    <w:rsid w:val="004E61F1"/>
    <w:rsid w:val="004E6227"/>
    <w:rsid w:val="004E6308"/>
    <w:rsid w:val="004E631E"/>
    <w:rsid w:val="004E632D"/>
    <w:rsid w:val="004E6337"/>
    <w:rsid w:val="004E6372"/>
    <w:rsid w:val="004E63A1"/>
    <w:rsid w:val="004E63C6"/>
    <w:rsid w:val="004E6432"/>
    <w:rsid w:val="004E6435"/>
    <w:rsid w:val="004E64B4"/>
    <w:rsid w:val="004E64E1"/>
    <w:rsid w:val="004E6508"/>
    <w:rsid w:val="004E6585"/>
    <w:rsid w:val="004E663E"/>
    <w:rsid w:val="004E6690"/>
    <w:rsid w:val="004E6695"/>
    <w:rsid w:val="004E6698"/>
    <w:rsid w:val="004E6867"/>
    <w:rsid w:val="004E693E"/>
    <w:rsid w:val="004E693F"/>
    <w:rsid w:val="004E6972"/>
    <w:rsid w:val="004E69A3"/>
    <w:rsid w:val="004E6A7C"/>
    <w:rsid w:val="004E6B91"/>
    <w:rsid w:val="004E6C22"/>
    <w:rsid w:val="004E6C89"/>
    <w:rsid w:val="004E6CF7"/>
    <w:rsid w:val="004E6D2A"/>
    <w:rsid w:val="004E6DC5"/>
    <w:rsid w:val="004E6E1F"/>
    <w:rsid w:val="004E6E69"/>
    <w:rsid w:val="004E6EB7"/>
    <w:rsid w:val="004E7028"/>
    <w:rsid w:val="004E7040"/>
    <w:rsid w:val="004E704A"/>
    <w:rsid w:val="004E7107"/>
    <w:rsid w:val="004E71B7"/>
    <w:rsid w:val="004E71ED"/>
    <w:rsid w:val="004E7205"/>
    <w:rsid w:val="004E72C2"/>
    <w:rsid w:val="004E72F2"/>
    <w:rsid w:val="004E7336"/>
    <w:rsid w:val="004E7444"/>
    <w:rsid w:val="004E7491"/>
    <w:rsid w:val="004E74BF"/>
    <w:rsid w:val="004E7577"/>
    <w:rsid w:val="004E7581"/>
    <w:rsid w:val="004E75EF"/>
    <w:rsid w:val="004E7601"/>
    <w:rsid w:val="004E76E1"/>
    <w:rsid w:val="004E772B"/>
    <w:rsid w:val="004E777C"/>
    <w:rsid w:val="004E778F"/>
    <w:rsid w:val="004E7827"/>
    <w:rsid w:val="004E790F"/>
    <w:rsid w:val="004E799B"/>
    <w:rsid w:val="004E79EC"/>
    <w:rsid w:val="004E7AEE"/>
    <w:rsid w:val="004E7B1A"/>
    <w:rsid w:val="004E7B23"/>
    <w:rsid w:val="004E7B77"/>
    <w:rsid w:val="004E7CFF"/>
    <w:rsid w:val="004E7E6A"/>
    <w:rsid w:val="004E7EAD"/>
    <w:rsid w:val="004E7EBA"/>
    <w:rsid w:val="004E7F02"/>
    <w:rsid w:val="004E7FA1"/>
    <w:rsid w:val="004E7FA5"/>
    <w:rsid w:val="004F000A"/>
    <w:rsid w:val="004F0024"/>
    <w:rsid w:val="004F0138"/>
    <w:rsid w:val="004F01C8"/>
    <w:rsid w:val="004F024E"/>
    <w:rsid w:val="004F03B8"/>
    <w:rsid w:val="004F050A"/>
    <w:rsid w:val="004F0572"/>
    <w:rsid w:val="004F0596"/>
    <w:rsid w:val="004F0603"/>
    <w:rsid w:val="004F064E"/>
    <w:rsid w:val="004F069F"/>
    <w:rsid w:val="004F0798"/>
    <w:rsid w:val="004F0844"/>
    <w:rsid w:val="004F094C"/>
    <w:rsid w:val="004F0A20"/>
    <w:rsid w:val="004F0A21"/>
    <w:rsid w:val="004F0A48"/>
    <w:rsid w:val="004F0A82"/>
    <w:rsid w:val="004F0B24"/>
    <w:rsid w:val="004F0BA3"/>
    <w:rsid w:val="004F0BBC"/>
    <w:rsid w:val="004F0C2A"/>
    <w:rsid w:val="004F0CA1"/>
    <w:rsid w:val="004F0E41"/>
    <w:rsid w:val="004F0EF9"/>
    <w:rsid w:val="004F0F08"/>
    <w:rsid w:val="004F10A7"/>
    <w:rsid w:val="004F10EA"/>
    <w:rsid w:val="004F1109"/>
    <w:rsid w:val="004F1206"/>
    <w:rsid w:val="004F126D"/>
    <w:rsid w:val="004F13D9"/>
    <w:rsid w:val="004F14DF"/>
    <w:rsid w:val="004F15EF"/>
    <w:rsid w:val="004F162B"/>
    <w:rsid w:val="004F163B"/>
    <w:rsid w:val="004F16C4"/>
    <w:rsid w:val="004F187E"/>
    <w:rsid w:val="004F1894"/>
    <w:rsid w:val="004F1974"/>
    <w:rsid w:val="004F1A6B"/>
    <w:rsid w:val="004F1A80"/>
    <w:rsid w:val="004F1ACA"/>
    <w:rsid w:val="004F1AF0"/>
    <w:rsid w:val="004F1B4C"/>
    <w:rsid w:val="004F1B5A"/>
    <w:rsid w:val="004F1BF3"/>
    <w:rsid w:val="004F1C46"/>
    <w:rsid w:val="004F1D12"/>
    <w:rsid w:val="004F1DE3"/>
    <w:rsid w:val="004F1E03"/>
    <w:rsid w:val="004F1E25"/>
    <w:rsid w:val="004F1E56"/>
    <w:rsid w:val="004F1EBA"/>
    <w:rsid w:val="004F1EF9"/>
    <w:rsid w:val="004F1F65"/>
    <w:rsid w:val="004F20AF"/>
    <w:rsid w:val="004F20C7"/>
    <w:rsid w:val="004F2106"/>
    <w:rsid w:val="004F21FB"/>
    <w:rsid w:val="004F2281"/>
    <w:rsid w:val="004F2383"/>
    <w:rsid w:val="004F24B3"/>
    <w:rsid w:val="004F24EE"/>
    <w:rsid w:val="004F2505"/>
    <w:rsid w:val="004F257E"/>
    <w:rsid w:val="004F2592"/>
    <w:rsid w:val="004F25CB"/>
    <w:rsid w:val="004F2615"/>
    <w:rsid w:val="004F265F"/>
    <w:rsid w:val="004F26CC"/>
    <w:rsid w:val="004F2904"/>
    <w:rsid w:val="004F297C"/>
    <w:rsid w:val="004F29D9"/>
    <w:rsid w:val="004F29FA"/>
    <w:rsid w:val="004F2A42"/>
    <w:rsid w:val="004F2B3B"/>
    <w:rsid w:val="004F2CD5"/>
    <w:rsid w:val="004F2CE8"/>
    <w:rsid w:val="004F2D1C"/>
    <w:rsid w:val="004F2E08"/>
    <w:rsid w:val="004F2EAB"/>
    <w:rsid w:val="004F2EC8"/>
    <w:rsid w:val="004F2F0D"/>
    <w:rsid w:val="004F2F28"/>
    <w:rsid w:val="004F3067"/>
    <w:rsid w:val="004F317C"/>
    <w:rsid w:val="004F32CA"/>
    <w:rsid w:val="004F32E0"/>
    <w:rsid w:val="004F3386"/>
    <w:rsid w:val="004F349E"/>
    <w:rsid w:val="004F352E"/>
    <w:rsid w:val="004F3540"/>
    <w:rsid w:val="004F3590"/>
    <w:rsid w:val="004F3678"/>
    <w:rsid w:val="004F36CE"/>
    <w:rsid w:val="004F3709"/>
    <w:rsid w:val="004F3892"/>
    <w:rsid w:val="004F3970"/>
    <w:rsid w:val="004F3975"/>
    <w:rsid w:val="004F3A77"/>
    <w:rsid w:val="004F3AAB"/>
    <w:rsid w:val="004F3AE6"/>
    <w:rsid w:val="004F3AF2"/>
    <w:rsid w:val="004F3C4F"/>
    <w:rsid w:val="004F3C86"/>
    <w:rsid w:val="004F3D18"/>
    <w:rsid w:val="004F4038"/>
    <w:rsid w:val="004F41B7"/>
    <w:rsid w:val="004F4207"/>
    <w:rsid w:val="004F4222"/>
    <w:rsid w:val="004F4228"/>
    <w:rsid w:val="004F429B"/>
    <w:rsid w:val="004F43D6"/>
    <w:rsid w:val="004F441C"/>
    <w:rsid w:val="004F4437"/>
    <w:rsid w:val="004F44F9"/>
    <w:rsid w:val="004F4537"/>
    <w:rsid w:val="004F46A6"/>
    <w:rsid w:val="004F47BF"/>
    <w:rsid w:val="004F49A7"/>
    <w:rsid w:val="004F4B15"/>
    <w:rsid w:val="004F4C10"/>
    <w:rsid w:val="004F4C26"/>
    <w:rsid w:val="004F4CE9"/>
    <w:rsid w:val="004F4D39"/>
    <w:rsid w:val="004F4D9C"/>
    <w:rsid w:val="004F4F86"/>
    <w:rsid w:val="004F4FBC"/>
    <w:rsid w:val="004F51E3"/>
    <w:rsid w:val="004F5205"/>
    <w:rsid w:val="004F524A"/>
    <w:rsid w:val="004F52AD"/>
    <w:rsid w:val="004F52CA"/>
    <w:rsid w:val="004F53B2"/>
    <w:rsid w:val="004F53ED"/>
    <w:rsid w:val="004F5412"/>
    <w:rsid w:val="004F556A"/>
    <w:rsid w:val="004F5708"/>
    <w:rsid w:val="004F5796"/>
    <w:rsid w:val="004F57C4"/>
    <w:rsid w:val="004F57ED"/>
    <w:rsid w:val="004F58AC"/>
    <w:rsid w:val="004F5900"/>
    <w:rsid w:val="004F5977"/>
    <w:rsid w:val="004F599A"/>
    <w:rsid w:val="004F59AD"/>
    <w:rsid w:val="004F5A02"/>
    <w:rsid w:val="004F5A92"/>
    <w:rsid w:val="004F5AFC"/>
    <w:rsid w:val="004F5B2B"/>
    <w:rsid w:val="004F5BB6"/>
    <w:rsid w:val="004F5BC0"/>
    <w:rsid w:val="004F5BD0"/>
    <w:rsid w:val="004F5BF8"/>
    <w:rsid w:val="004F5C91"/>
    <w:rsid w:val="004F5D08"/>
    <w:rsid w:val="004F5D26"/>
    <w:rsid w:val="004F5D30"/>
    <w:rsid w:val="004F5D4E"/>
    <w:rsid w:val="004F5F0B"/>
    <w:rsid w:val="004F5F1D"/>
    <w:rsid w:val="004F5F1F"/>
    <w:rsid w:val="004F5F74"/>
    <w:rsid w:val="004F6018"/>
    <w:rsid w:val="004F617D"/>
    <w:rsid w:val="004F620C"/>
    <w:rsid w:val="004F63B6"/>
    <w:rsid w:val="004F64A9"/>
    <w:rsid w:val="004F65AA"/>
    <w:rsid w:val="004F66E2"/>
    <w:rsid w:val="004F6800"/>
    <w:rsid w:val="004F68C1"/>
    <w:rsid w:val="004F68C5"/>
    <w:rsid w:val="004F68C6"/>
    <w:rsid w:val="004F6911"/>
    <w:rsid w:val="004F6915"/>
    <w:rsid w:val="004F699B"/>
    <w:rsid w:val="004F69DB"/>
    <w:rsid w:val="004F6AAC"/>
    <w:rsid w:val="004F6BB4"/>
    <w:rsid w:val="004F6C63"/>
    <w:rsid w:val="004F6E7A"/>
    <w:rsid w:val="004F6F63"/>
    <w:rsid w:val="004F6F92"/>
    <w:rsid w:val="004F6FDA"/>
    <w:rsid w:val="004F6FEA"/>
    <w:rsid w:val="004F7018"/>
    <w:rsid w:val="004F7059"/>
    <w:rsid w:val="004F70EC"/>
    <w:rsid w:val="004F70F6"/>
    <w:rsid w:val="004F7159"/>
    <w:rsid w:val="004F71AC"/>
    <w:rsid w:val="004F71E5"/>
    <w:rsid w:val="004F724C"/>
    <w:rsid w:val="004F749E"/>
    <w:rsid w:val="004F751C"/>
    <w:rsid w:val="004F754B"/>
    <w:rsid w:val="004F7572"/>
    <w:rsid w:val="004F7584"/>
    <w:rsid w:val="004F7628"/>
    <w:rsid w:val="004F76BA"/>
    <w:rsid w:val="004F7759"/>
    <w:rsid w:val="004F777C"/>
    <w:rsid w:val="004F7785"/>
    <w:rsid w:val="004F7939"/>
    <w:rsid w:val="004F79A8"/>
    <w:rsid w:val="004F79C3"/>
    <w:rsid w:val="004F7BD8"/>
    <w:rsid w:val="004F7C59"/>
    <w:rsid w:val="004F7CA1"/>
    <w:rsid w:val="004F7CDB"/>
    <w:rsid w:val="004F7CEB"/>
    <w:rsid w:val="004F7D7D"/>
    <w:rsid w:val="004F7DBA"/>
    <w:rsid w:val="004F7DC8"/>
    <w:rsid w:val="004F7E16"/>
    <w:rsid w:val="004F7F00"/>
    <w:rsid w:val="00500108"/>
    <w:rsid w:val="00500137"/>
    <w:rsid w:val="00500235"/>
    <w:rsid w:val="0050030B"/>
    <w:rsid w:val="0050030C"/>
    <w:rsid w:val="0050032B"/>
    <w:rsid w:val="0050033C"/>
    <w:rsid w:val="00500370"/>
    <w:rsid w:val="005004AD"/>
    <w:rsid w:val="0050050F"/>
    <w:rsid w:val="005005A1"/>
    <w:rsid w:val="0050067E"/>
    <w:rsid w:val="005006FF"/>
    <w:rsid w:val="00500753"/>
    <w:rsid w:val="00500756"/>
    <w:rsid w:val="005007D7"/>
    <w:rsid w:val="005008E3"/>
    <w:rsid w:val="005008E4"/>
    <w:rsid w:val="00500947"/>
    <w:rsid w:val="00500995"/>
    <w:rsid w:val="00500CC2"/>
    <w:rsid w:val="00500D16"/>
    <w:rsid w:val="00500F10"/>
    <w:rsid w:val="00500F13"/>
    <w:rsid w:val="00500F6A"/>
    <w:rsid w:val="0050108C"/>
    <w:rsid w:val="005010B4"/>
    <w:rsid w:val="005010C7"/>
    <w:rsid w:val="00501105"/>
    <w:rsid w:val="00501152"/>
    <w:rsid w:val="00501181"/>
    <w:rsid w:val="00501231"/>
    <w:rsid w:val="0050123B"/>
    <w:rsid w:val="00501241"/>
    <w:rsid w:val="0050137B"/>
    <w:rsid w:val="005013CD"/>
    <w:rsid w:val="00501455"/>
    <w:rsid w:val="00501553"/>
    <w:rsid w:val="00501567"/>
    <w:rsid w:val="005015E4"/>
    <w:rsid w:val="005017CE"/>
    <w:rsid w:val="00501880"/>
    <w:rsid w:val="0050190F"/>
    <w:rsid w:val="00501A04"/>
    <w:rsid w:val="00501A1C"/>
    <w:rsid w:val="00501A52"/>
    <w:rsid w:val="00501AA6"/>
    <w:rsid w:val="00501CEC"/>
    <w:rsid w:val="00501D46"/>
    <w:rsid w:val="00501E83"/>
    <w:rsid w:val="00501EAE"/>
    <w:rsid w:val="00501FF9"/>
    <w:rsid w:val="005020AF"/>
    <w:rsid w:val="0050217D"/>
    <w:rsid w:val="0050222F"/>
    <w:rsid w:val="00502250"/>
    <w:rsid w:val="0050229F"/>
    <w:rsid w:val="005022A3"/>
    <w:rsid w:val="005022DC"/>
    <w:rsid w:val="005022DF"/>
    <w:rsid w:val="00502312"/>
    <w:rsid w:val="0050231A"/>
    <w:rsid w:val="005023F2"/>
    <w:rsid w:val="00502421"/>
    <w:rsid w:val="00502498"/>
    <w:rsid w:val="005024F1"/>
    <w:rsid w:val="005025B2"/>
    <w:rsid w:val="005025E5"/>
    <w:rsid w:val="00502611"/>
    <w:rsid w:val="00502669"/>
    <w:rsid w:val="00502724"/>
    <w:rsid w:val="00502793"/>
    <w:rsid w:val="005027B2"/>
    <w:rsid w:val="0050287B"/>
    <w:rsid w:val="005028E7"/>
    <w:rsid w:val="00502981"/>
    <w:rsid w:val="00502994"/>
    <w:rsid w:val="00502AA5"/>
    <w:rsid w:val="00502BB1"/>
    <w:rsid w:val="00502C23"/>
    <w:rsid w:val="00502CD6"/>
    <w:rsid w:val="00502EA3"/>
    <w:rsid w:val="005030D4"/>
    <w:rsid w:val="00503138"/>
    <w:rsid w:val="00503464"/>
    <w:rsid w:val="0050349C"/>
    <w:rsid w:val="005035A3"/>
    <w:rsid w:val="005036A8"/>
    <w:rsid w:val="005036E9"/>
    <w:rsid w:val="0050373F"/>
    <w:rsid w:val="005037F9"/>
    <w:rsid w:val="0050383D"/>
    <w:rsid w:val="00503980"/>
    <w:rsid w:val="00503995"/>
    <w:rsid w:val="005039D9"/>
    <w:rsid w:val="00503B31"/>
    <w:rsid w:val="00503BA3"/>
    <w:rsid w:val="00503C56"/>
    <w:rsid w:val="00503D80"/>
    <w:rsid w:val="00503E2E"/>
    <w:rsid w:val="00503FB9"/>
    <w:rsid w:val="00504076"/>
    <w:rsid w:val="005040CF"/>
    <w:rsid w:val="00504135"/>
    <w:rsid w:val="00504231"/>
    <w:rsid w:val="00504371"/>
    <w:rsid w:val="005043AF"/>
    <w:rsid w:val="0050440B"/>
    <w:rsid w:val="00504436"/>
    <w:rsid w:val="00504474"/>
    <w:rsid w:val="0050448C"/>
    <w:rsid w:val="0050459F"/>
    <w:rsid w:val="0050478F"/>
    <w:rsid w:val="005047AB"/>
    <w:rsid w:val="005048A0"/>
    <w:rsid w:val="00504959"/>
    <w:rsid w:val="00504992"/>
    <w:rsid w:val="005049BC"/>
    <w:rsid w:val="005049F3"/>
    <w:rsid w:val="00504A4C"/>
    <w:rsid w:val="00504A6E"/>
    <w:rsid w:val="00504ADC"/>
    <w:rsid w:val="00504C03"/>
    <w:rsid w:val="00504C4A"/>
    <w:rsid w:val="00504C6B"/>
    <w:rsid w:val="00504DD9"/>
    <w:rsid w:val="00504DF2"/>
    <w:rsid w:val="00504E5A"/>
    <w:rsid w:val="00504F1F"/>
    <w:rsid w:val="00504F2C"/>
    <w:rsid w:val="00504F51"/>
    <w:rsid w:val="00504F97"/>
    <w:rsid w:val="00504FB3"/>
    <w:rsid w:val="00504FDB"/>
    <w:rsid w:val="00504FE1"/>
    <w:rsid w:val="005050C2"/>
    <w:rsid w:val="005050C4"/>
    <w:rsid w:val="005050CC"/>
    <w:rsid w:val="005050F1"/>
    <w:rsid w:val="00505103"/>
    <w:rsid w:val="0050515D"/>
    <w:rsid w:val="005051FD"/>
    <w:rsid w:val="0050529C"/>
    <w:rsid w:val="00505423"/>
    <w:rsid w:val="00505543"/>
    <w:rsid w:val="0050556A"/>
    <w:rsid w:val="005055AD"/>
    <w:rsid w:val="0050560E"/>
    <w:rsid w:val="005056EB"/>
    <w:rsid w:val="00505728"/>
    <w:rsid w:val="00505831"/>
    <w:rsid w:val="00505914"/>
    <w:rsid w:val="00505B23"/>
    <w:rsid w:val="00505B28"/>
    <w:rsid w:val="00505C1E"/>
    <w:rsid w:val="00505C2D"/>
    <w:rsid w:val="00505CB2"/>
    <w:rsid w:val="00505F13"/>
    <w:rsid w:val="00505F95"/>
    <w:rsid w:val="00506048"/>
    <w:rsid w:val="005060ED"/>
    <w:rsid w:val="005060F9"/>
    <w:rsid w:val="00506177"/>
    <w:rsid w:val="005063A8"/>
    <w:rsid w:val="0050640B"/>
    <w:rsid w:val="0050649E"/>
    <w:rsid w:val="005064AE"/>
    <w:rsid w:val="005066A9"/>
    <w:rsid w:val="00506708"/>
    <w:rsid w:val="005067D4"/>
    <w:rsid w:val="005068E9"/>
    <w:rsid w:val="00506ABB"/>
    <w:rsid w:val="00506B2C"/>
    <w:rsid w:val="00506C00"/>
    <w:rsid w:val="00506C2C"/>
    <w:rsid w:val="00506C57"/>
    <w:rsid w:val="00506C97"/>
    <w:rsid w:val="00506DD6"/>
    <w:rsid w:val="00506DE4"/>
    <w:rsid w:val="00506DFA"/>
    <w:rsid w:val="00506E38"/>
    <w:rsid w:val="00506E43"/>
    <w:rsid w:val="005070BB"/>
    <w:rsid w:val="0050721C"/>
    <w:rsid w:val="00507293"/>
    <w:rsid w:val="005072EF"/>
    <w:rsid w:val="0050734F"/>
    <w:rsid w:val="0050737C"/>
    <w:rsid w:val="0050755C"/>
    <w:rsid w:val="005075A7"/>
    <w:rsid w:val="0050760E"/>
    <w:rsid w:val="00507649"/>
    <w:rsid w:val="00507685"/>
    <w:rsid w:val="005077B5"/>
    <w:rsid w:val="005079A0"/>
    <w:rsid w:val="005079AC"/>
    <w:rsid w:val="005079E0"/>
    <w:rsid w:val="00507A59"/>
    <w:rsid w:val="00507C9D"/>
    <w:rsid w:val="00507D7F"/>
    <w:rsid w:val="00507E0D"/>
    <w:rsid w:val="00507FC8"/>
    <w:rsid w:val="00510082"/>
    <w:rsid w:val="00510194"/>
    <w:rsid w:val="005103A7"/>
    <w:rsid w:val="005103C8"/>
    <w:rsid w:val="005103D9"/>
    <w:rsid w:val="005104B1"/>
    <w:rsid w:val="0051052D"/>
    <w:rsid w:val="005105D9"/>
    <w:rsid w:val="005105FA"/>
    <w:rsid w:val="0051063B"/>
    <w:rsid w:val="00510640"/>
    <w:rsid w:val="00510667"/>
    <w:rsid w:val="00510669"/>
    <w:rsid w:val="00510704"/>
    <w:rsid w:val="00510848"/>
    <w:rsid w:val="005108A3"/>
    <w:rsid w:val="00510A65"/>
    <w:rsid w:val="00510C14"/>
    <w:rsid w:val="00510C84"/>
    <w:rsid w:val="00510CA6"/>
    <w:rsid w:val="00510CAA"/>
    <w:rsid w:val="00510DB0"/>
    <w:rsid w:val="00510DBD"/>
    <w:rsid w:val="00510DFF"/>
    <w:rsid w:val="00510E17"/>
    <w:rsid w:val="00510EC1"/>
    <w:rsid w:val="00511024"/>
    <w:rsid w:val="00511054"/>
    <w:rsid w:val="005110C8"/>
    <w:rsid w:val="00511111"/>
    <w:rsid w:val="00511114"/>
    <w:rsid w:val="0051115D"/>
    <w:rsid w:val="005111D5"/>
    <w:rsid w:val="00511281"/>
    <w:rsid w:val="005112A3"/>
    <w:rsid w:val="00511375"/>
    <w:rsid w:val="0051137B"/>
    <w:rsid w:val="00511528"/>
    <w:rsid w:val="0051154C"/>
    <w:rsid w:val="005115E8"/>
    <w:rsid w:val="0051167F"/>
    <w:rsid w:val="00511741"/>
    <w:rsid w:val="00511769"/>
    <w:rsid w:val="005117AF"/>
    <w:rsid w:val="005117DC"/>
    <w:rsid w:val="00511A43"/>
    <w:rsid w:val="00511A68"/>
    <w:rsid w:val="00511AC7"/>
    <w:rsid w:val="00511B04"/>
    <w:rsid w:val="00511C6A"/>
    <w:rsid w:val="00511DDC"/>
    <w:rsid w:val="00511DFF"/>
    <w:rsid w:val="00511E3C"/>
    <w:rsid w:val="00511E57"/>
    <w:rsid w:val="00511E5F"/>
    <w:rsid w:val="00511F65"/>
    <w:rsid w:val="00511F7C"/>
    <w:rsid w:val="00511F91"/>
    <w:rsid w:val="00511FFF"/>
    <w:rsid w:val="0051200B"/>
    <w:rsid w:val="0051213A"/>
    <w:rsid w:val="00512335"/>
    <w:rsid w:val="005123E3"/>
    <w:rsid w:val="0051240E"/>
    <w:rsid w:val="00512520"/>
    <w:rsid w:val="00512637"/>
    <w:rsid w:val="00512697"/>
    <w:rsid w:val="0051274F"/>
    <w:rsid w:val="0051285A"/>
    <w:rsid w:val="00512A3C"/>
    <w:rsid w:val="00512B16"/>
    <w:rsid w:val="00512B9F"/>
    <w:rsid w:val="00512BE6"/>
    <w:rsid w:val="00512C37"/>
    <w:rsid w:val="00512DE9"/>
    <w:rsid w:val="00512E9A"/>
    <w:rsid w:val="00512EEE"/>
    <w:rsid w:val="005131AA"/>
    <w:rsid w:val="0051330B"/>
    <w:rsid w:val="0051339D"/>
    <w:rsid w:val="005134AC"/>
    <w:rsid w:val="005134DD"/>
    <w:rsid w:val="00513552"/>
    <w:rsid w:val="00513568"/>
    <w:rsid w:val="00513605"/>
    <w:rsid w:val="00513667"/>
    <w:rsid w:val="0051375D"/>
    <w:rsid w:val="00513AE5"/>
    <w:rsid w:val="00513B4F"/>
    <w:rsid w:val="00513BB3"/>
    <w:rsid w:val="00513BFB"/>
    <w:rsid w:val="00513C11"/>
    <w:rsid w:val="00513C99"/>
    <w:rsid w:val="00513CF9"/>
    <w:rsid w:val="00513D85"/>
    <w:rsid w:val="00513E5D"/>
    <w:rsid w:val="00514037"/>
    <w:rsid w:val="0051407C"/>
    <w:rsid w:val="00514101"/>
    <w:rsid w:val="0051410B"/>
    <w:rsid w:val="005141AD"/>
    <w:rsid w:val="00514259"/>
    <w:rsid w:val="005142D2"/>
    <w:rsid w:val="00514322"/>
    <w:rsid w:val="0051438B"/>
    <w:rsid w:val="005143A9"/>
    <w:rsid w:val="005143D6"/>
    <w:rsid w:val="00514591"/>
    <w:rsid w:val="005145B6"/>
    <w:rsid w:val="005146CA"/>
    <w:rsid w:val="00514729"/>
    <w:rsid w:val="005147DC"/>
    <w:rsid w:val="0051485C"/>
    <w:rsid w:val="0051487D"/>
    <w:rsid w:val="005148B7"/>
    <w:rsid w:val="005149C8"/>
    <w:rsid w:val="005149D9"/>
    <w:rsid w:val="00514B23"/>
    <w:rsid w:val="00514B30"/>
    <w:rsid w:val="00514BAC"/>
    <w:rsid w:val="00514CA3"/>
    <w:rsid w:val="00514D40"/>
    <w:rsid w:val="00514DC6"/>
    <w:rsid w:val="00514E5C"/>
    <w:rsid w:val="00514E7B"/>
    <w:rsid w:val="00514F2A"/>
    <w:rsid w:val="00515131"/>
    <w:rsid w:val="0051513D"/>
    <w:rsid w:val="0051515F"/>
    <w:rsid w:val="00515182"/>
    <w:rsid w:val="005151CB"/>
    <w:rsid w:val="0051525A"/>
    <w:rsid w:val="0051529D"/>
    <w:rsid w:val="005152E0"/>
    <w:rsid w:val="00515322"/>
    <w:rsid w:val="005153B3"/>
    <w:rsid w:val="00515418"/>
    <w:rsid w:val="00515434"/>
    <w:rsid w:val="0051545F"/>
    <w:rsid w:val="005155ED"/>
    <w:rsid w:val="00515780"/>
    <w:rsid w:val="00515792"/>
    <w:rsid w:val="0051585C"/>
    <w:rsid w:val="00515861"/>
    <w:rsid w:val="005158BA"/>
    <w:rsid w:val="00515974"/>
    <w:rsid w:val="0051598C"/>
    <w:rsid w:val="005159B8"/>
    <w:rsid w:val="005159EA"/>
    <w:rsid w:val="00515A65"/>
    <w:rsid w:val="00515A7A"/>
    <w:rsid w:val="00515C87"/>
    <w:rsid w:val="00515C90"/>
    <w:rsid w:val="00515D29"/>
    <w:rsid w:val="00515DC9"/>
    <w:rsid w:val="00515E95"/>
    <w:rsid w:val="00516118"/>
    <w:rsid w:val="005162EF"/>
    <w:rsid w:val="00516329"/>
    <w:rsid w:val="005163FA"/>
    <w:rsid w:val="00516401"/>
    <w:rsid w:val="005165F6"/>
    <w:rsid w:val="00516605"/>
    <w:rsid w:val="005166A6"/>
    <w:rsid w:val="005166C7"/>
    <w:rsid w:val="005166EC"/>
    <w:rsid w:val="0051676A"/>
    <w:rsid w:val="00516874"/>
    <w:rsid w:val="005168FE"/>
    <w:rsid w:val="0051690B"/>
    <w:rsid w:val="00516973"/>
    <w:rsid w:val="005169B9"/>
    <w:rsid w:val="005169C2"/>
    <w:rsid w:val="005169D8"/>
    <w:rsid w:val="005169DD"/>
    <w:rsid w:val="00516AF9"/>
    <w:rsid w:val="00516B5F"/>
    <w:rsid w:val="00516C1C"/>
    <w:rsid w:val="00516C97"/>
    <w:rsid w:val="00516D57"/>
    <w:rsid w:val="00516EB8"/>
    <w:rsid w:val="00516EFF"/>
    <w:rsid w:val="00516F45"/>
    <w:rsid w:val="00517025"/>
    <w:rsid w:val="00517198"/>
    <w:rsid w:val="005171AB"/>
    <w:rsid w:val="0051726A"/>
    <w:rsid w:val="0051735C"/>
    <w:rsid w:val="005173F2"/>
    <w:rsid w:val="00517672"/>
    <w:rsid w:val="00517698"/>
    <w:rsid w:val="005176BB"/>
    <w:rsid w:val="00517709"/>
    <w:rsid w:val="00517784"/>
    <w:rsid w:val="00517867"/>
    <w:rsid w:val="005179A5"/>
    <w:rsid w:val="00517A25"/>
    <w:rsid w:val="00517ACE"/>
    <w:rsid w:val="00517B87"/>
    <w:rsid w:val="00517BC4"/>
    <w:rsid w:val="00517C88"/>
    <w:rsid w:val="00517D64"/>
    <w:rsid w:val="00520231"/>
    <w:rsid w:val="00520270"/>
    <w:rsid w:val="00520286"/>
    <w:rsid w:val="00520338"/>
    <w:rsid w:val="0052034C"/>
    <w:rsid w:val="0052050C"/>
    <w:rsid w:val="0052057B"/>
    <w:rsid w:val="00520599"/>
    <w:rsid w:val="0052064D"/>
    <w:rsid w:val="005206B4"/>
    <w:rsid w:val="005206DF"/>
    <w:rsid w:val="00520763"/>
    <w:rsid w:val="005207F5"/>
    <w:rsid w:val="0052080C"/>
    <w:rsid w:val="005208C6"/>
    <w:rsid w:val="005208CB"/>
    <w:rsid w:val="005209D9"/>
    <w:rsid w:val="005209F5"/>
    <w:rsid w:val="00520A1B"/>
    <w:rsid w:val="00520A56"/>
    <w:rsid w:val="00520B30"/>
    <w:rsid w:val="00520B67"/>
    <w:rsid w:val="00520CA8"/>
    <w:rsid w:val="00520D15"/>
    <w:rsid w:val="00520E0E"/>
    <w:rsid w:val="00520E17"/>
    <w:rsid w:val="00520E3A"/>
    <w:rsid w:val="00520E48"/>
    <w:rsid w:val="00520E59"/>
    <w:rsid w:val="00520E85"/>
    <w:rsid w:val="00520FC6"/>
    <w:rsid w:val="00520FC9"/>
    <w:rsid w:val="005210EA"/>
    <w:rsid w:val="005212CA"/>
    <w:rsid w:val="005212D5"/>
    <w:rsid w:val="00521329"/>
    <w:rsid w:val="00521395"/>
    <w:rsid w:val="005213EE"/>
    <w:rsid w:val="00521464"/>
    <w:rsid w:val="00521556"/>
    <w:rsid w:val="00521648"/>
    <w:rsid w:val="00521660"/>
    <w:rsid w:val="00521746"/>
    <w:rsid w:val="0052175C"/>
    <w:rsid w:val="00521778"/>
    <w:rsid w:val="005217A0"/>
    <w:rsid w:val="005217A7"/>
    <w:rsid w:val="005217B6"/>
    <w:rsid w:val="005217D7"/>
    <w:rsid w:val="00521846"/>
    <w:rsid w:val="00521916"/>
    <w:rsid w:val="00521989"/>
    <w:rsid w:val="005219B9"/>
    <w:rsid w:val="00521AC9"/>
    <w:rsid w:val="00521B7D"/>
    <w:rsid w:val="00521D21"/>
    <w:rsid w:val="00521E01"/>
    <w:rsid w:val="00521E5B"/>
    <w:rsid w:val="00521E5D"/>
    <w:rsid w:val="00521EFF"/>
    <w:rsid w:val="00521F9E"/>
    <w:rsid w:val="0052205C"/>
    <w:rsid w:val="005220B5"/>
    <w:rsid w:val="005220C7"/>
    <w:rsid w:val="005221AE"/>
    <w:rsid w:val="00522212"/>
    <w:rsid w:val="0052229C"/>
    <w:rsid w:val="0052232C"/>
    <w:rsid w:val="00522399"/>
    <w:rsid w:val="005223EE"/>
    <w:rsid w:val="005223FE"/>
    <w:rsid w:val="0052259D"/>
    <w:rsid w:val="00522738"/>
    <w:rsid w:val="00522963"/>
    <w:rsid w:val="0052299A"/>
    <w:rsid w:val="00522AD4"/>
    <w:rsid w:val="00522AFB"/>
    <w:rsid w:val="00522C8B"/>
    <w:rsid w:val="00522C99"/>
    <w:rsid w:val="00522CE8"/>
    <w:rsid w:val="00522DB6"/>
    <w:rsid w:val="00522DF2"/>
    <w:rsid w:val="00522E6A"/>
    <w:rsid w:val="00522FA8"/>
    <w:rsid w:val="00522FB6"/>
    <w:rsid w:val="00522FE8"/>
    <w:rsid w:val="00523001"/>
    <w:rsid w:val="005230AB"/>
    <w:rsid w:val="005234A6"/>
    <w:rsid w:val="0052350A"/>
    <w:rsid w:val="00523543"/>
    <w:rsid w:val="00523659"/>
    <w:rsid w:val="00523695"/>
    <w:rsid w:val="005236B5"/>
    <w:rsid w:val="00523821"/>
    <w:rsid w:val="00523890"/>
    <w:rsid w:val="005238F4"/>
    <w:rsid w:val="005239D3"/>
    <w:rsid w:val="005239DA"/>
    <w:rsid w:val="00523AD1"/>
    <w:rsid w:val="00523B22"/>
    <w:rsid w:val="00523B7C"/>
    <w:rsid w:val="00523BCA"/>
    <w:rsid w:val="00523BDA"/>
    <w:rsid w:val="00523BE8"/>
    <w:rsid w:val="00523C2E"/>
    <w:rsid w:val="00523C49"/>
    <w:rsid w:val="00523C58"/>
    <w:rsid w:val="00523CC9"/>
    <w:rsid w:val="00523CE8"/>
    <w:rsid w:val="00523D5A"/>
    <w:rsid w:val="00523D83"/>
    <w:rsid w:val="00523D98"/>
    <w:rsid w:val="00523DA0"/>
    <w:rsid w:val="00523F68"/>
    <w:rsid w:val="00523F96"/>
    <w:rsid w:val="00523FD5"/>
    <w:rsid w:val="00524037"/>
    <w:rsid w:val="00524077"/>
    <w:rsid w:val="005240D5"/>
    <w:rsid w:val="0052413D"/>
    <w:rsid w:val="00524159"/>
    <w:rsid w:val="005242AD"/>
    <w:rsid w:val="005242E0"/>
    <w:rsid w:val="00524337"/>
    <w:rsid w:val="00524421"/>
    <w:rsid w:val="0052446D"/>
    <w:rsid w:val="005245A2"/>
    <w:rsid w:val="00524695"/>
    <w:rsid w:val="00524881"/>
    <w:rsid w:val="005248F2"/>
    <w:rsid w:val="005248F3"/>
    <w:rsid w:val="005249F8"/>
    <w:rsid w:val="00524AA1"/>
    <w:rsid w:val="00524ACF"/>
    <w:rsid w:val="00524AF4"/>
    <w:rsid w:val="00524B9A"/>
    <w:rsid w:val="00524CD6"/>
    <w:rsid w:val="00524E27"/>
    <w:rsid w:val="00524E85"/>
    <w:rsid w:val="005250C7"/>
    <w:rsid w:val="0052519F"/>
    <w:rsid w:val="00525251"/>
    <w:rsid w:val="00525258"/>
    <w:rsid w:val="00525283"/>
    <w:rsid w:val="005253ED"/>
    <w:rsid w:val="00525464"/>
    <w:rsid w:val="005254E7"/>
    <w:rsid w:val="00525563"/>
    <w:rsid w:val="00525577"/>
    <w:rsid w:val="005255AF"/>
    <w:rsid w:val="005256AA"/>
    <w:rsid w:val="0052572C"/>
    <w:rsid w:val="005257BA"/>
    <w:rsid w:val="005258A6"/>
    <w:rsid w:val="0052597C"/>
    <w:rsid w:val="005259CD"/>
    <w:rsid w:val="00525A7B"/>
    <w:rsid w:val="00525AD2"/>
    <w:rsid w:val="00525ADA"/>
    <w:rsid w:val="00525B27"/>
    <w:rsid w:val="00525B90"/>
    <w:rsid w:val="00525C60"/>
    <w:rsid w:val="00525CCE"/>
    <w:rsid w:val="00525E2D"/>
    <w:rsid w:val="00525E93"/>
    <w:rsid w:val="00525EA7"/>
    <w:rsid w:val="00525EB3"/>
    <w:rsid w:val="00525F35"/>
    <w:rsid w:val="0052602B"/>
    <w:rsid w:val="00526191"/>
    <w:rsid w:val="00526244"/>
    <w:rsid w:val="0052639C"/>
    <w:rsid w:val="005263F9"/>
    <w:rsid w:val="0052650D"/>
    <w:rsid w:val="005267F7"/>
    <w:rsid w:val="00526897"/>
    <w:rsid w:val="0052689B"/>
    <w:rsid w:val="005269B5"/>
    <w:rsid w:val="00526B81"/>
    <w:rsid w:val="00526CEC"/>
    <w:rsid w:val="00526D21"/>
    <w:rsid w:val="00526D4F"/>
    <w:rsid w:val="00526E14"/>
    <w:rsid w:val="00526F0B"/>
    <w:rsid w:val="00527008"/>
    <w:rsid w:val="00527037"/>
    <w:rsid w:val="00527155"/>
    <w:rsid w:val="0052726C"/>
    <w:rsid w:val="0052726D"/>
    <w:rsid w:val="00527401"/>
    <w:rsid w:val="005274BA"/>
    <w:rsid w:val="005275CE"/>
    <w:rsid w:val="005275D2"/>
    <w:rsid w:val="005275E0"/>
    <w:rsid w:val="00527647"/>
    <w:rsid w:val="0052765B"/>
    <w:rsid w:val="005276C7"/>
    <w:rsid w:val="00527710"/>
    <w:rsid w:val="0052775E"/>
    <w:rsid w:val="00527869"/>
    <w:rsid w:val="0052794B"/>
    <w:rsid w:val="00527A55"/>
    <w:rsid w:val="00527B4E"/>
    <w:rsid w:val="00527BA6"/>
    <w:rsid w:val="00527D7B"/>
    <w:rsid w:val="00527D82"/>
    <w:rsid w:val="00527E72"/>
    <w:rsid w:val="00527F77"/>
    <w:rsid w:val="00527FB1"/>
    <w:rsid w:val="00530045"/>
    <w:rsid w:val="005300A5"/>
    <w:rsid w:val="005300B3"/>
    <w:rsid w:val="00530233"/>
    <w:rsid w:val="0053037E"/>
    <w:rsid w:val="005303AE"/>
    <w:rsid w:val="00530416"/>
    <w:rsid w:val="0053046D"/>
    <w:rsid w:val="00530479"/>
    <w:rsid w:val="005304D5"/>
    <w:rsid w:val="005304F6"/>
    <w:rsid w:val="00530579"/>
    <w:rsid w:val="00530643"/>
    <w:rsid w:val="0053067C"/>
    <w:rsid w:val="005306C4"/>
    <w:rsid w:val="00530852"/>
    <w:rsid w:val="005308A6"/>
    <w:rsid w:val="005308B0"/>
    <w:rsid w:val="00530955"/>
    <w:rsid w:val="0053095F"/>
    <w:rsid w:val="005309E5"/>
    <w:rsid w:val="00530A2C"/>
    <w:rsid w:val="00530A83"/>
    <w:rsid w:val="00530ADD"/>
    <w:rsid w:val="00530E76"/>
    <w:rsid w:val="00530ED6"/>
    <w:rsid w:val="00530F12"/>
    <w:rsid w:val="00530F85"/>
    <w:rsid w:val="00530FA4"/>
    <w:rsid w:val="00531080"/>
    <w:rsid w:val="005310CE"/>
    <w:rsid w:val="0053110B"/>
    <w:rsid w:val="00531190"/>
    <w:rsid w:val="005312A2"/>
    <w:rsid w:val="005313CA"/>
    <w:rsid w:val="00531418"/>
    <w:rsid w:val="00531441"/>
    <w:rsid w:val="00531497"/>
    <w:rsid w:val="005315A7"/>
    <w:rsid w:val="005315BE"/>
    <w:rsid w:val="00531642"/>
    <w:rsid w:val="00531673"/>
    <w:rsid w:val="00531682"/>
    <w:rsid w:val="0053172B"/>
    <w:rsid w:val="005318F3"/>
    <w:rsid w:val="0053194C"/>
    <w:rsid w:val="005319D9"/>
    <w:rsid w:val="00531A6D"/>
    <w:rsid w:val="00531A92"/>
    <w:rsid w:val="00531B0F"/>
    <w:rsid w:val="00531B1C"/>
    <w:rsid w:val="00531BA9"/>
    <w:rsid w:val="00531C97"/>
    <w:rsid w:val="00531D01"/>
    <w:rsid w:val="00531E23"/>
    <w:rsid w:val="00531E54"/>
    <w:rsid w:val="00531EFD"/>
    <w:rsid w:val="005320F9"/>
    <w:rsid w:val="00532231"/>
    <w:rsid w:val="00532357"/>
    <w:rsid w:val="005323BE"/>
    <w:rsid w:val="00532549"/>
    <w:rsid w:val="0053287C"/>
    <w:rsid w:val="00532A8B"/>
    <w:rsid w:val="00532AE0"/>
    <w:rsid w:val="00532BAC"/>
    <w:rsid w:val="00532C1B"/>
    <w:rsid w:val="00532D14"/>
    <w:rsid w:val="00532DA7"/>
    <w:rsid w:val="00532DAF"/>
    <w:rsid w:val="00532E9E"/>
    <w:rsid w:val="00532EAF"/>
    <w:rsid w:val="00532EBA"/>
    <w:rsid w:val="00532EC9"/>
    <w:rsid w:val="00532EFE"/>
    <w:rsid w:val="00533064"/>
    <w:rsid w:val="0053309A"/>
    <w:rsid w:val="00533114"/>
    <w:rsid w:val="00533195"/>
    <w:rsid w:val="005331D9"/>
    <w:rsid w:val="00533233"/>
    <w:rsid w:val="005332A3"/>
    <w:rsid w:val="00533341"/>
    <w:rsid w:val="005333B2"/>
    <w:rsid w:val="005333DA"/>
    <w:rsid w:val="005334A5"/>
    <w:rsid w:val="0053350C"/>
    <w:rsid w:val="005335C4"/>
    <w:rsid w:val="00533791"/>
    <w:rsid w:val="00533928"/>
    <w:rsid w:val="0053392B"/>
    <w:rsid w:val="00533A9A"/>
    <w:rsid w:val="00533B8F"/>
    <w:rsid w:val="00533C22"/>
    <w:rsid w:val="00533C57"/>
    <w:rsid w:val="00533D22"/>
    <w:rsid w:val="00533E88"/>
    <w:rsid w:val="00533E92"/>
    <w:rsid w:val="00533F33"/>
    <w:rsid w:val="00533F40"/>
    <w:rsid w:val="00533FBE"/>
    <w:rsid w:val="0053400B"/>
    <w:rsid w:val="005341EA"/>
    <w:rsid w:val="005341F6"/>
    <w:rsid w:val="005342F0"/>
    <w:rsid w:val="00534370"/>
    <w:rsid w:val="005343B4"/>
    <w:rsid w:val="005343D0"/>
    <w:rsid w:val="005344EC"/>
    <w:rsid w:val="0053459F"/>
    <w:rsid w:val="00534690"/>
    <w:rsid w:val="005346B5"/>
    <w:rsid w:val="005346BC"/>
    <w:rsid w:val="0053491A"/>
    <w:rsid w:val="0053491D"/>
    <w:rsid w:val="00534C74"/>
    <w:rsid w:val="00534E0D"/>
    <w:rsid w:val="00534E66"/>
    <w:rsid w:val="00534F60"/>
    <w:rsid w:val="0053509B"/>
    <w:rsid w:val="005350E4"/>
    <w:rsid w:val="005352D6"/>
    <w:rsid w:val="00535311"/>
    <w:rsid w:val="00535379"/>
    <w:rsid w:val="005354AE"/>
    <w:rsid w:val="005355D3"/>
    <w:rsid w:val="00535654"/>
    <w:rsid w:val="00535668"/>
    <w:rsid w:val="005356FE"/>
    <w:rsid w:val="0053582C"/>
    <w:rsid w:val="005358B1"/>
    <w:rsid w:val="00535A32"/>
    <w:rsid w:val="00535A41"/>
    <w:rsid w:val="00535A57"/>
    <w:rsid w:val="00535AEB"/>
    <w:rsid w:val="00535BC6"/>
    <w:rsid w:val="00535C84"/>
    <w:rsid w:val="00535D18"/>
    <w:rsid w:val="00535D5A"/>
    <w:rsid w:val="00535DBE"/>
    <w:rsid w:val="00535E21"/>
    <w:rsid w:val="00535E69"/>
    <w:rsid w:val="00535F4B"/>
    <w:rsid w:val="00536285"/>
    <w:rsid w:val="005362D0"/>
    <w:rsid w:val="00536356"/>
    <w:rsid w:val="0053637D"/>
    <w:rsid w:val="00536420"/>
    <w:rsid w:val="005364AD"/>
    <w:rsid w:val="0053653B"/>
    <w:rsid w:val="00536578"/>
    <w:rsid w:val="0053660D"/>
    <w:rsid w:val="005366B1"/>
    <w:rsid w:val="005366B7"/>
    <w:rsid w:val="005366CD"/>
    <w:rsid w:val="00536A7B"/>
    <w:rsid w:val="00536A9E"/>
    <w:rsid w:val="00536B6C"/>
    <w:rsid w:val="00536BE8"/>
    <w:rsid w:val="00536C43"/>
    <w:rsid w:val="00536C4D"/>
    <w:rsid w:val="00536DD2"/>
    <w:rsid w:val="00536DD4"/>
    <w:rsid w:val="00536E8B"/>
    <w:rsid w:val="00536E90"/>
    <w:rsid w:val="00536ED8"/>
    <w:rsid w:val="00536EE3"/>
    <w:rsid w:val="00536F40"/>
    <w:rsid w:val="00536F90"/>
    <w:rsid w:val="00536FCC"/>
    <w:rsid w:val="00537049"/>
    <w:rsid w:val="00537280"/>
    <w:rsid w:val="005372DC"/>
    <w:rsid w:val="00537301"/>
    <w:rsid w:val="0053739C"/>
    <w:rsid w:val="005375EE"/>
    <w:rsid w:val="0053767C"/>
    <w:rsid w:val="00537718"/>
    <w:rsid w:val="005377DC"/>
    <w:rsid w:val="005377ED"/>
    <w:rsid w:val="00537862"/>
    <w:rsid w:val="005378F6"/>
    <w:rsid w:val="005379B9"/>
    <w:rsid w:val="00537A40"/>
    <w:rsid w:val="00537AB6"/>
    <w:rsid w:val="00537C11"/>
    <w:rsid w:val="00537C3B"/>
    <w:rsid w:val="00537CF8"/>
    <w:rsid w:val="00537E1E"/>
    <w:rsid w:val="00537F3A"/>
    <w:rsid w:val="005400EB"/>
    <w:rsid w:val="00540197"/>
    <w:rsid w:val="0054020E"/>
    <w:rsid w:val="00540316"/>
    <w:rsid w:val="00540384"/>
    <w:rsid w:val="005404AD"/>
    <w:rsid w:val="005404EF"/>
    <w:rsid w:val="005404F8"/>
    <w:rsid w:val="00540552"/>
    <w:rsid w:val="00540557"/>
    <w:rsid w:val="0054067A"/>
    <w:rsid w:val="005406E3"/>
    <w:rsid w:val="005406ED"/>
    <w:rsid w:val="0054070E"/>
    <w:rsid w:val="005407C8"/>
    <w:rsid w:val="005407E5"/>
    <w:rsid w:val="005407EA"/>
    <w:rsid w:val="005408FA"/>
    <w:rsid w:val="005409E3"/>
    <w:rsid w:val="00540A00"/>
    <w:rsid w:val="00540AE1"/>
    <w:rsid w:val="00540B30"/>
    <w:rsid w:val="00540C87"/>
    <w:rsid w:val="00540E37"/>
    <w:rsid w:val="00540E4C"/>
    <w:rsid w:val="00540E7F"/>
    <w:rsid w:val="00540F60"/>
    <w:rsid w:val="0054109C"/>
    <w:rsid w:val="005410AD"/>
    <w:rsid w:val="005410C0"/>
    <w:rsid w:val="00541106"/>
    <w:rsid w:val="00541138"/>
    <w:rsid w:val="005411C1"/>
    <w:rsid w:val="00541210"/>
    <w:rsid w:val="005412B5"/>
    <w:rsid w:val="0054149E"/>
    <w:rsid w:val="005414E7"/>
    <w:rsid w:val="005414F6"/>
    <w:rsid w:val="0054152A"/>
    <w:rsid w:val="005416C8"/>
    <w:rsid w:val="005417B7"/>
    <w:rsid w:val="005418AD"/>
    <w:rsid w:val="00541A42"/>
    <w:rsid w:val="00541ABA"/>
    <w:rsid w:val="00541B36"/>
    <w:rsid w:val="00541B5C"/>
    <w:rsid w:val="00541B5E"/>
    <w:rsid w:val="00541CB3"/>
    <w:rsid w:val="00541FB2"/>
    <w:rsid w:val="00541FCB"/>
    <w:rsid w:val="00542123"/>
    <w:rsid w:val="005421D4"/>
    <w:rsid w:val="00542376"/>
    <w:rsid w:val="005423B3"/>
    <w:rsid w:val="00542482"/>
    <w:rsid w:val="005424B1"/>
    <w:rsid w:val="005424BC"/>
    <w:rsid w:val="005426C3"/>
    <w:rsid w:val="0054274E"/>
    <w:rsid w:val="0054283F"/>
    <w:rsid w:val="005428D0"/>
    <w:rsid w:val="005428FC"/>
    <w:rsid w:val="00542922"/>
    <w:rsid w:val="0054296C"/>
    <w:rsid w:val="00542A30"/>
    <w:rsid w:val="00542AB1"/>
    <w:rsid w:val="00542BD9"/>
    <w:rsid w:val="00542CA4"/>
    <w:rsid w:val="00542DC0"/>
    <w:rsid w:val="00542E2D"/>
    <w:rsid w:val="00542E45"/>
    <w:rsid w:val="00542EBD"/>
    <w:rsid w:val="00542ECA"/>
    <w:rsid w:val="00542EDB"/>
    <w:rsid w:val="00542F60"/>
    <w:rsid w:val="00542F64"/>
    <w:rsid w:val="00542F8C"/>
    <w:rsid w:val="00542F8F"/>
    <w:rsid w:val="00542FCA"/>
    <w:rsid w:val="00542FDC"/>
    <w:rsid w:val="0054307A"/>
    <w:rsid w:val="005430EC"/>
    <w:rsid w:val="00543168"/>
    <w:rsid w:val="005431D8"/>
    <w:rsid w:val="00543200"/>
    <w:rsid w:val="005432D3"/>
    <w:rsid w:val="00543352"/>
    <w:rsid w:val="00543376"/>
    <w:rsid w:val="005433B9"/>
    <w:rsid w:val="0054347F"/>
    <w:rsid w:val="00543516"/>
    <w:rsid w:val="0054351F"/>
    <w:rsid w:val="00543705"/>
    <w:rsid w:val="00543749"/>
    <w:rsid w:val="005439AD"/>
    <w:rsid w:val="00543A53"/>
    <w:rsid w:val="00543AD4"/>
    <w:rsid w:val="00543AEF"/>
    <w:rsid w:val="00543C52"/>
    <w:rsid w:val="00543CAA"/>
    <w:rsid w:val="00543CD8"/>
    <w:rsid w:val="00543CDA"/>
    <w:rsid w:val="00543D64"/>
    <w:rsid w:val="00543EBA"/>
    <w:rsid w:val="00543F17"/>
    <w:rsid w:val="00543F7C"/>
    <w:rsid w:val="00543FF6"/>
    <w:rsid w:val="00544050"/>
    <w:rsid w:val="005441BD"/>
    <w:rsid w:val="005441CB"/>
    <w:rsid w:val="005441FA"/>
    <w:rsid w:val="00544208"/>
    <w:rsid w:val="0054427A"/>
    <w:rsid w:val="005442E6"/>
    <w:rsid w:val="00544377"/>
    <w:rsid w:val="00544385"/>
    <w:rsid w:val="0054438B"/>
    <w:rsid w:val="0054449A"/>
    <w:rsid w:val="005444A1"/>
    <w:rsid w:val="00544509"/>
    <w:rsid w:val="005445F7"/>
    <w:rsid w:val="00544614"/>
    <w:rsid w:val="00544708"/>
    <w:rsid w:val="005447E6"/>
    <w:rsid w:val="005448F0"/>
    <w:rsid w:val="00544901"/>
    <w:rsid w:val="0054490E"/>
    <w:rsid w:val="0054495F"/>
    <w:rsid w:val="00544A66"/>
    <w:rsid w:val="00544B1E"/>
    <w:rsid w:val="00544BC2"/>
    <w:rsid w:val="00544C50"/>
    <w:rsid w:val="00544CFC"/>
    <w:rsid w:val="00544D2B"/>
    <w:rsid w:val="00544DEA"/>
    <w:rsid w:val="00544E56"/>
    <w:rsid w:val="00544EC5"/>
    <w:rsid w:val="00544F4D"/>
    <w:rsid w:val="00544FEB"/>
    <w:rsid w:val="00545182"/>
    <w:rsid w:val="00545191"/>
    <w:rsid w:val="00545416"/>
    <w:rsid w:val="0054545A"/>
    <w:rsid w:val="005455C3"/>
    <w:rsid w:val="00545657"/>
    <w:rsid w:val="005457AB"/>
    <w:rsid w:val="005457D5"/>
    <w:rsid w:val="005457E7"/>
    <w:rsid w:val="0054590C"/>
    <w:rsid w:val="0054595B"/>
    <w:rsid w:val="00545A98"/>
    <w:rsid w:val="00545AA1"/>
    <w:rsid w:val="00545B29"/>
    <w:rsid w:val="00545BEC"/>
    <w:rsid w:val="00545C1E"/>
    <w:rsid w:val="00545C9F"/>
    <w:rsid w:val="00545CED"/>
    <w:rsid w:val="00545D59"/>
    <w:rsid w:val="00545DE5"/>
    <w:rsid w:val="00545E8B"/>
    <w:rsid w:val="00545FA8"/>
    <w:rsid w:val="00546123"/>
    <w:rsid w:val="00546161"/>
    <w:rsid w:val="005461D3"/>
    <w:rsid w:val="005461E6"/>
    <w:rsid w:val="00546244"/>
    <w:rsid w:val="00546261"/>
    <w:rsid w:val="00546270"/>
    <w:rsid w:val="0054627F"/>
    <w:rsid w:val="005462C5"/>
    <w:rsid w:val="00546365"/>
    <w:rsid w:val="005463B6"/>
    <w:rsid w:val="0054640C"/>
    <w:rsid w:val="00546455"/>
    <w:rsid w:val="005464CF"/>
    <w:rsid w:val="00546603"/>
    <w:rsid w:val="00546657"/>
    <w:rsid w:val="0054669A"/>
    <w:rsid w:val="005466EA"/>
    <w:rsid w:val="005466ED"/>
    <w:rsid w:val="00546725"/>
    <w:rsid w:val="005467D1"/>
    <w:rsid w:val="005468C7"/>
    <w:rsid w:val="00546A62"/>
    <w:rsid w:val="00546D1F"/>
    <w:rsid w:val="00546D4B"/>
    <w:rsid w:val="00546D6F"/>
    <w:rsid w:val="00546E95"/>
    <w:rsid w:val="00546F04"/>
    <w:rsid w:val="00546F27"/>
    <w:rsid w:val="00546F30"/>
    <w:rsid w:val="00547071"/>
    <w:rsid w:val="00547159"/>
    <w:rsid w:val="00547222"/>
    <w:rsid w:val="00547355"/>
    <w:rsid w:val="005473BB"/>
    <w:rsid w:val="005473D2"/>
    <w:rsid w:val="005474F1"/>
    <w:rsid w:val="0054753A"/>
    <w:rsid w:val="005475B8"/>
    <w:rsid w:val="005475E0"/>
    <w:rsid w:val="005476E1"/>
    <w:rsid w:val="00547784"/>
    <w:rsid w:val="005477CA"/>
    <w:rsid w:val="00547882"/>
    <w:rsid w:val="00547896"/>
    <w:rsid w:val="00547937"/>
    <w:rsid w:val="00547949"/>
    <w:rsid w:val="00547966"/>
    <w:rsid w:val="005479B0"/>
    <w:rsid w:val="005479CD"/>
    <w:rsid w:val="00547A8E"/>
    <w:rsid w:val="00547DA3"/>
    <w:rsid w:val="00547DFC"/>
    <w:rsid w:val="00547F50"/>
    <w:rsid w:val="00547FD3"/>
    <w:rsid w:val="00547FE3"/>
    <w:rsid w:val="0054DC8A"/>
    <w:rsid w:val="00550062"/>
    <w:rsid w:val="00550133"/>
    <w:rsid w:val="00550191"/>
    <w:rsid w:val="0055027D"/>
    <w:rsid w:val="005503E6"/>
    <w:rsid w:val="00550442"/>
    <w:rsid w:val="0055047B"/>
    <w:rsid w:val="0055054B"/>
    <w:rsid w:val="00550572"/>
    <w:rsid w:val="005505C8"/>
    <w:rsid w:val="005505ED"/>
    <w:rsid w:val="00550626"/>
    <w:rsid w:val="00550639"/>
    <w:rsid w:val="005506D4"/>
    <w:rsid w:val="00550701"/>
    <w:rsid w:val="005507E1"/>
    <w:rsid w:val="00550811"/>
    <w:rsid w:val="005508C9"/>
    <w:rsid w:val="00550920"/>
    <w:rsid w:val="00550B0D"/>
    <w:rsid w:val="00550BE5"/>
    <w:rsid w:val="00550D1B"/>
    <w:rsid w:val="00550D24"/>
    <w:rsid w:val="00550D35"/>
    <w:rsid w:val="00550D51"/>
    <w:rsid w:val="00550FBE"/>
    <w:rsid w:val="0055104B"/>
    <w:rsid w:val="005510BE"/>
    <w:rsid w:val="005511BE"/>
    <w:rsid w:val="0055137B"/>
    <w:rsid w:val="00551397"/>
    <w:rsid w:val="0055139B"/>
    <w:rsid w:val="00551450"/>
    <w:rsid w:val="005515EA"/>
    <w:rsid w:val="00551626"/>
    <w:rsid w:val="00551671"/>
    <w:rsid w:val="00551744"/>
    <w:rsid w:val="00551834"/>
    <w:rsid w:val="0055188F"/>
    <w:rsid w:val="005518AE"/>
    <w:rsid w:val="00551961"/>
    <w:rsid w:val="00551A63"/>
    <w:rsid w:val="00551A67"/>
    <w:rsid w:val="00551B1B"/>
    <w:rsid w:val="00551B21"/>
    <w:rsid w:val="00551BA8"/>
    <w:rsid w:val="00551CDA"/>
    <w:rsid w:val="00551D1A"/>
    <w:rsid w:val="00551D46"/>
    <w:rsid w:val="00551D94"/>
    <w:rsid w:val="00551EF0"/>
    <w:rsid w:val="00551F60"/>
    <w:rsid w:val="00552063"/>
    <w:rsid w:val="005520A1"/>
    <w:rsid w:val="0055219B"/>
    <w:rsid w:val="0055220F"/>
    <w:rsid w:val="0055221B"/>
    <w:rsid w:val="00552377"/>
    <w:rsid w:val="00552404"/>
    <w:rsid w:val="0055249D"/>
    <w:rsid w:val="005524C3"/>
    <w:rsid w:val="00552627"/>
    <w:rsid w:val="00552693"/>
    <w:rsid w:val="0055270B"/>
    <w:rsid w:val="005529D9"/>
    <w:rsid w:val="00552A07"/>
    <w:rsid w:val="00552B58"/>
    <w:rsid w:val="00552B71"/>
    <w:rsid w:val="00552D12"/>
    <w:rsid w:val="00552DA2"/>
    <w:rsid w:val="00552DAB"/>
    <w:rsid w:val="00552E19"/>
    <w:rsid w:val="00552EFA"/>
    <w:rsid w:val="00552F1A"/>
    <w:rsid w:val="00552F47"/>
    <w:rsid w:val="00552F69"/>
    <w:rsid w:val="00553058"/>
    <w:rsid w:val="00553358"/>
    <w:rsid w:val="00553418"/>
    <w:rsid w:val="0055343F"/>
    <w:rsid w:val="00553517"/>
    <w:rsid w:val="00553550"/>
    <w:rsid w:val="0055356A"/>
    <w:rsid w:val="005535AA"/>
    <w:rsid w:val="005535F3"/>
    <w:rsid w:val="005535FC"/>
    <w:rsid w:val="0055362F"/>
    <w:rsid w:val="00553688"/>
    <w:rsid w:val="005536D8"/>
    <w:rsid w:val="0055370F"/>
    <w:rsid w:val="00553719"/>
    <w:rsid w:val="00553840"/>
    <w:rsid w:val="00553873"/>
    <w:rsid w:val="005538B3"/>
    <w:rsid w:val="0055393A"/>
    <w:rsid w:val="00553966"/>
    <w:rsid w:val="00553983"/>
    <w:rsid w:val="00553AA9"/>
    <w:rsid w:val="00553B0C"/>
    <w:rsid w:val="00553BDF"/>
    <w:rsid w:val="00553C67"/>
    <w:rsid w:val="00553D92"/>
    <w:rsid w:val="00553EDD"/>
    <w:rsid w:val="00553F04"/>
    <w:rsid w:val="00553FD2"/>
    <w:rsid w:val="00554071"/>
    <w:rsid w:val="00554099"/>
    <w:rsid w:val="0055414C"/>
    <w:rsid w:val="005541B6"/>
    <w:rsid w:val="0055422E"/>
    <w:rsid w:val="0055427D"/>
    <w:rsid w:val="005543D8"/>
    <w:rsid w:val="005543E7"/>
    <w:rsid w:val="00554415"/>
    <w:rsid w:val="005544A9"/>
    <w:rsid w:val="0055452D"/>
    <w:rsid w:val="00554538"/>
    <w:rsid w:val="0055454D"/>
    <w:rsid w:val="005545BE"/>
    <w:rsid w:val="005546FE"/>
    <w:rsid w:val="00554755"/>
    <w:rsid w:val="005547AE"/>
    <w:rsid w:val="005547D7"/>
    <w:rsid w:val="005547DA"/>
    <w:rsid w:val="005547EA"/>
    <w:rsid w:val="005547F8"/>
    <w:rsid w:val="005548F9"/>
    <w:rsid w:val="00554902"/>
    <w:rsid w:val="00554950"/>
    <w:rsid w:val="00554958"/>
    <w:rsid w:val="0055496C"/>
    <w:rsid w:val="005549F9"/>
    <w:rsid w:val="00554A25"/>
    <w:rsid w:val="00554B1D"/>
    <w:rsid w:val="00554B70"/>
    <w:rsid w:val="00554CBE"/>
    <w:rsid w:val="00554CDB"/>
    <w:rsid w:val="00554DCA"/>
    <w:rsid w:val="00554EB9"/>
    <w:rsid w:val="00555025"/>
    <w:rsid w:val="0055502C"/>
    <w:rsid w:val="00555065"/>
    <w:rsid w:val="0055520A"/>
    <w:rsid w:val="005552BE"/>
    <w:rsid w:val="005553FC"/>
    <w:rsid w:val="00555403"/>
    <w:rsid w:val="005555E7"/>
    <w:rsid w:val="005556D7"/>
    <w:rsid w:val="005557A5"/>
    <w:rsid w:val="005558FD"/>
    <w:rsid w:val="00555900"/>
    <w:rsid w:val="00555932"/>
    <w:rsid w:val="00555983"/>
    <w:rsid w:val="00555A06"/>
    <w:rsid w:val="00555A13"/>
    <w:rsid w:val="00555A76"/>
    <w:rsid w:val="00555A85"/>
    <w:rsid w:val="00555B24"/>
    <w:rsid w:val="00555BD9"/>
    <w:rsid w:val="00555BE5"/>
    <w:rsid w:val="00555C1E"/>
    <w:rsid w:val="00555C50"/>
    <w:rsid w:val="00555D53"/>
    <w:rsid w:val="00555DC5"/>
    <w:rsid w:val="00555DD0"/>
    <w:rsid w:val="00555EBB"/>
    <w:rsid w:val="00555FB0"/>
    <w:rsid w:val="00555FBD"/>
    <w:rsid w:val="005560C4"/>
    <w:rsid w:val="005560D6"/>
    <w:rsid w:val="005560F3"/>
    <w:rsid w:val="005560FD"/>
    <w:rsid w:val="0055613E"/>
    <w:rsid w:val="00556193"/>
    <w:rsid w:val="005563C8"/>
    <w:rsid w:val="005563DD"/>
    <w:rsid w:val="00556419"/>
    <w:rsid w:val="0055642B"/>
    <w:rsid w:val="005564AD"/>
    <w:rsid w:val="005564FA"/>
    <w:rsid w:val="00556536"/>
    <w:rsid w:val="00556542"/>
    <w:rsid w:val="00556585"/>
    <w:rsid w:val="00556594"/>
    <w:rsid w:val="005565A3"/>
    <w:rsid w:val="005566B2"/>
    <w:rsid w:val="0055678B"/>
    <w:rsid w:val="00556796"/>
    <w:rsid w:val="00556823"/>
    <w:rsid w:val="005568C5"/>
    <w:rsid w:val="005568D4"/>
    <w:rsid w:val="005569B0"/>
    <w:rsid w:val="005569CE"/>
    <w:rsid w:val="005569E3"/>
    <w:rsid w:val="00556A17"/>
    <w:rsid w:val="00556A1A"/>
    <w:rsid w:val="00556B0B"/>
    <w:rsid w:val="00556B61"/>
    <w:rsid w:val="00556BFA"/>
    <w:rsid w:val="00556CDD"/>
    <w:rsid w:val="00556D63"/>
    <w:rsid w:val="00556E5C"/>
    <w:rsid w:val="00556ED5"/>
    <w:rsid w:val="00556F65"/>
    <w:rsid w:val="0055710B"/>
    <w:rsid w:val="005571AA"/>
    <w:rsid w:val="00557262"/>
    <w:rsid w:val="00557581"/>
    <w:rsid w:val="00557585"/>
    <w:rsid w:val="005576DA"/>
    <w:rsid w:val="0055776F"/>
    <w:rsid w:val="00557777"/>
    <w:rsid w:val="00557812"/>
    <w:rsid w:val="005578AE"/>
    <w:rsid w:val="00557917"/>
    <w:rsid w:val="00557956"/>
    <w:rsid w:val="00557CE1"/>
    <w:rsid w:val="00557D8E"/>
    <w:rsid w:val="00557DDD"/>
    <w:rsid w:val="00557E0D"/>
    <w:rsid w:val="00557EFE"/>
    <w:rsid w:val="00557F9A"/>
    <w:rsid w:val="00560081"/>
    <w:rsid w:val="005600A4"/>
    <w:rsid w:val="005600EA"/>
    <w:rsid w:val="0056011D"/>
    <w:rsid w:val="00560130"/>
    <w:rsid w:val="00560131"/>
    <w:rsid w:val="005601CE"/>
    <w:rsid w:val="0056027A"/>
    <w:rsid w:val="005602D2"/>
    <w:rsid w:val="0056033B"/>
    <w:rsid w:val="005603B6"/>
    <w:rsid w:val="005603CE"/>
    <w:rsid w:val="005603E1"/>
    <w:rsid w:val="00560451"/>
    <w:rsid w:val="005604D3"/>
    <w:rsid w:val="00560511"/>
    <w:rsid w:val="00560520"/>
    <w:rsid w:val="00560589"/>
    <w:rsid w:val="005605EF"/>
    <w:rsid w:val="005607D8"/>
    <w:rsid w:val="00560859"/>
    <w:rsid w:val="00560875"/>
    <w:rsid w:val="005608A2"/>
    <w:rsid w:val="00560A14"/>
    <w:rsid w:val="00560B44"/>
    <w:rsid w:val="00560BA8"/>
    <w:rsid w:val="00560C22"/>
    <w:rsid w:val="00560CF5"/>
    <w:rsid w:val="00560D1C"/>
    <w:rsid w:val="00560D5D"/>
    <w:rsid w:val="00560D69"/>
    <w:rsid w:val="00560D8D"/>
    <w:rsid w:val="00560E1E"/>
    <w:rsid w:val="00560EBD"/>
    <w:rsid w:val="00560EC8"/>
    <w:rsid w:val="00560F5F"/>
    <w:rsid w:val="0056118F"/>
    <w:rsid w:val="005611B4"/>
    <w:rsid w:val="00561238"/>
    <w:rsid w:val="0056132C"/>
    <w:rsid w:val="00561345"/>
    <w:rsid w:val="005613F9"/>
    <w:rsid w:val="005613FC"/>
    <w:rsid w:val="0056140C"/>
    <w:rsid w:val="005615F6"/>
    <w:rsid w:val="00561663"/>
    <w:rsid w:val="00561690"/>
    <w:rsid w:val="005616A7"/>
    <w:rsid w:val="00561743"/>
    <w:rsid w:val="00561799"/>
    <w:rsid w:val="005617FD"/>
    <w:rsid w:val="005618CC"/>
    <w:rsid w:val="005618E2"/>
    <w:rsid w:val="00561965"/>
    <w:rsid w:val="00561977"/>
    <w:rsid w:val="00561B43"/>
    <w:rsid w:val="00561CBE"/>
    <w:rsid w:val="00561D86"/>
    <w:rsid w:val="00561DA4"/>
    <w:rsid w:val="00561DFA"/>
    <w:rsid w:val="00561E83"/>
    <w:rsid w:val="00562022"/>
    <w:rsid w:val="0056203A"/>
    <w:rsid w:val="00562085"/>
    <w:rsid w:val="0056209B"/>
    <w:rsid w:val="00562121"/>
    <w:rsid w:val="00562367"/>
    <w:rsid w:val="00562548"/>
    <w:rsid w:val="005625F7"/>
    <w:rsid w:val="00562602"/>
    <w:rsid w:val="0056267C"/>
    <w:rsid w:val="005627D6"/>
    <w:rsid w:val="005627DB"/>
    <w:rsid w:val="00562992"/>
    <w:rsid w:val="005629F6"/>
    <w:rsid w:val="00562B65"/>
    <w:rsid w:val="00562C47"/>
    <w:rsid w:val="00562C9B"/>
    <w:rsid w:val="00562D44"/>
    <w:rsid w:val="00562E4A"/>
    <w:rsid w:val="00562EE9"/>
    <w:rsid w:val="00562FDC"/>
    <w:rsid w:val="00562FDF"/>
    <w:rsid w:val="00562FF3"/>
    <w:rsid w:val="00563056"/>
    <w:rsid w:val="005630A1"/>
    <w:rsid w:val="005630D1"/>
    <w:rsid w:val="0056311F"/>
    <w:rsid w:val="00563618"/>
    <w:rsid w:val="00563660"/>
    <w:rsid w:val="0056368C"/>
    <w:rsid w:val="0056378B"/>
    <w:rsid w:val="005637D2"/>
    <w:rsid w:val="00563A6F"/>
    <w:rsid w:val="00563A7F"/>
    <w:rsid w:val="00563B94"/>
    <w:rsid w:val="00563CA3"/>
    <w:rsid w:val="00563E75"/>
    <w:rsid w:val="00563E86"/>
    <w:rsid w:val="00563F15"/>
    <w:rsid w:val="00563F4F"/>
    <w:rsid w:val="00563F90"/>
    <w:rsid w:val="00564032"/>
    <w:rsid w:val="00564066"/>
    <w:rsid w:val="0056417D"/>
    <w:rsid w:val="00564259"/>
    <w:rsid w:val="0056431F"/>
    <w:rsid w:val="005643FA"/>
    <w:rsid w:val="0056443E"/>
    <w:rsid w:val="0056446A"/>
    <w:rsid w:val="00564490"/>
    <w:rsid w:val="005647AD"/>
    <w:rsid w:val="005647EC"/>
    <w:rsid w:val="00564871"/>
    <w:rsid w:val="00564920"/>
    <w:rsid w:val="005649A3"/>
    <w:rsid w:val="005649BA"/>
    <w:rsid w:val="005649BE"/>
    <w:rsid w:val="00564A52"/>
    <w:rsid w:val="00564CE8"/>
    <w:rsid w:val="00564D02"/>
    <w:rsid w:val="00564E4C"/>
    <w:rsid w:val="00564E7D"/>
    <w:rsid w:val="00564E9B"/>
    <w:rsid w:val="00564F6C"/>
    <w:rsid w:val="0056503F"/>
    <w:rsid w:val="00565198"/>
    <w:rsid w:val="005651D9"/>
    <w:rsid w:val="00565240"/>
    <w:rsid w:val="0056537A"/>
    <w:rsid w:val="005653E1"/>
    <w:rsid w:val="005653E6"/>
    <w:rsid w:val="005654D9"/>
    <w:rsid w:val="0056557E"/>
    <w:rsid w:val="00565620"/>
    <w:rsid w:val="00565639"/>
    <w:rsid w:val="0056564B"/>
    <w:rsid w:val="005656EC"/>
    <w:rsid w:val="0056573C"/>
    <w:rsid w:val="005657E6"/>
    <w:rsid w:val="005659F8"/>
    <w:rsid w:val="00565A73"/>
    <w:rsid w:val="00565A8B"/>
    <w:rsid w:val="00565C5E"/>
    <w:rsid w:val="00565C67"/>
    <w:rsid w:val="00565C69"/>
    <w:rsid w:val="00565D36"/>
    <w:rsid w:val="00565E46"/>
    <w:rsid w:val="00565EB5"/>
    <w:rsid w:val="00565F4F"/>
    <w:rsid w:val="00565FA6"/>
    <w:rsid w:val="00565FB1"/>
    <w:rsid w:val="00566193"/>
    <w:rsid w:val="00566195"/>
    <w:rsid w:val="005661B4"/>
    <w:rsid w:val="00566214"/>
    <w:rsid w:val="005662E5"/>
    <w:rsid w:val="00566347"/>
    <w:rsid w:val="00566377"/>
    <w:rsid w:val="0056637A"/>
    <w:rsid w:val="005663AF"/>
    <w:rsid w:val="0056652E"/>
    <w:rsid w:val="00566562"/>
    <w:rsid w:val="005665D9"/>
    <w:rsid w:val="00566669"/>
    <w:rsid w:val="0056679E"/>
    <w:rsid w:val="005667CA"/>
    <w:rsid w:val="005667D3"/>
    <w:rsid w:val="00566836"/>
    <w:rsid w:val="00566847"/>
    <w:rsid w:val="0056685F"/>
    <w:rsid w:val="00566881"/>
    <w:rsid w:val="0056695E"/>
    <w:rsid w:val="005669EC"/>
    <w:rsid w:val="00566A08"/>
    <w:rsid w:val="00566A92"/>
    <w:rsid w:val="00566B2A"/>
    <w:rsid w:val="00566C3F"/>
    <w:rsid w:val="00566C7C"/>
    <w:rsid w:val="00566D4E"/>
    <w:rsid w:val="00566D88"/>
    <w:rsid w:val="00566E1F"/>
    <w:rsid w:val="00566E3A"/>
    <w:rsid w:val="00566E5A"/>
    <w:rsid w:val="00566EB5"/>
    <w:rsid w:val="00566F1F"/>
    <w:rsid w:val="00566F2C"/>
    <w:rsid w:val="00566F86"/>
    <w:rsid w:val="00567099"/>
    <w:rsid w:val="005670DD"/>
    <w:rsid w:val="0056712A"/>
    <w:rsid w:val="005671AC"/>
    <w:rsid w:val="005671E2"/>
    <w:rsid w:val="00567210"/>
    <w:rsid w:val="00567295"/>
    <w:rsid w:val="005673AC"/>
    <w:rsid w:val="005673F2"/>
    <w:rsid w:val="00567492"/>
    <w:rsid w:val="005674C7"/>
    <w:rsid w:val="005674DA"/>
    <w:rsid w:val="005674DB"/>
    <w:rsid w:val="00567646"/>
    <w:rsid w:val="00567649"/>
    <w:rsid w:val="005676A0"/>
    <w:rsid w:val="005676AF"/>
    <w:rsid w:val="005677A8"/>
    <w:rsid w:val="005678B2"/>
    <w:rsid w:val="005679D6"/>
    <w:rsid w:val="005679DD"/>
    <w:rsid w:val="005679E1"/>
    <w:rsid w:val="00567A49"/>
    <w:rsid w:val="00567B19"/>
    <w:rsid w:val="00567B61"/>
    <w:rsid w:val="00567BA0"/>
    <w:rsid w:val="00567BBD"/>
    <w:rsid w:val="00567C3C"/>
    <w:rsid w:val="00567E0F"/>
    <w:rsid w:val="00567E41"/>
    <w:rsid w:val="00567EBD"/>
    <w:rsid w:val="00567F67"/>
    <w:rsid w:val="00570098"/>
    <w:rsid w:val="00570100"/>
    <w:rsid w:val="0057013B"/>
    <w:rsid w:val="00570197"/>
    <w:rsid w:val="005701F7"/>
    <w:rsid w:val="00570302"/>
    <w:rsid w:val="00570355"/>
    <w:rsid w:val="005705CB"/>
    <w:rsid w:val="005705FD"/>
    <w:rsid w:val="0057062C"/>
    <w:rsid w:val="005706CB"/>
    <w:rsid w:val="00570872"/>
    <w:rsid w:val="00570885"/>
    <w:rsid w:val="0057090D"/>
    <w:rsid w:val="00570A17"/>
    <w:rsid w:val="00570A45"/>
    <w:rsid w:val="00570AEB"/>
    <w:rsid w:val="00570CF4"/>
    <w:rsid w:val="00570D2F"/>
    <w:rsid w:val="00570D9F"/>
    <w:rsid w:val="00570E1A"/>
    <w:rsid w:val="00570EF8"/>
    <w:rsid w:val="00570F18"/>
    <w:rsid w:val="00570F73"/>
    <w:rsid w:val="00570F75"/>
    <w:rsid w:val="005710E0"/>
    <w:rsid w:val="00571102"/>
    <w:rsid w:val="00571175"/>
    <w:rsid w:val="00571198"/>
    <w:rsid w:val="00571298"/>
    <w:rsid w:val="005712F2"/>
    <w:rsid w:val="005713E6"/>
    <w:rsid w:val="00571452"/>
    <w:rsid w:val="005714AF"/>
    <w:rsid w:val="00571654"/>
    <w:rsid w:val="005716AC"/>
    <w:rsid w:val="005716B0"/>
    <w:rsid w:val="005716E8"/>
    <w:rsid w:val="005716E9"/>
    <w:rsid w:val="00571778"/>
    <w:rsid w:val="00571799"/>
    <w:rsid w:val="005717A6"/>
    <w:rsid w:val="0057183A"/>
    <w:rsid w:val="005718C0"/>
    <w:rsid w:val="00571988"/>
    <w:rsid w:val="00571A5B"/>
    <w:rsid w:val="00571A9B"/>
    <w:rsid w:val="00571AB1"/>
    <w:rsid w:val="00571ABE"/>
    <w:rsid w:val="00571AC2"/>
    <w:rsid w:val="00571B3C"/>
    <w:rsid w:val="00571B76"/>
    <w:rsid w:val="00571BA4"/>
    <w:rsid w:val="00571C3C"/>
    <w:rsid w:val="00571CDB"/>
    <w:rsid w:val="00571DD2"/>
    <w:rsid w:val="00571E37"/>
    <w:rsid w:val="00571E60"/>
    <w:rsid w:val="00571EED"/>
    <w:rsid w:val="00571FC9"/>
    <w:rsid w:val="0057202B"/>
    <w:rsid w:val="0057209D"/>
    <w:rsid w:val="005720D1"/>
    <w:rsid w:val="005720F2"/>
    <w:rsid w:val="00572153"/>
    <w:rsid w:val="00572166"/>
    <w:rsid w:val="005721B4"/>
    <w:rsid w:val="00572270"/>
    <w:rsid w:val="0057227F"/>
    <w:rsid w:val="005723DE"/>
    <w:rsid w:val="005725F9"/>
    <w:rsid w:val="005725FC"/>
    <w:rsid w:val="00572731"/>
    <w:rsid w:val="005727F4"/>
    <w:rsid w:val="0057282B"/>
    <w:rsid w:val="00572958"/>
    <w:rsid w:val="00572984"/>
    <w:rsid w:val="005729D4"/>
    <w:rsid w:val="00572BBA"/>
    <w:rsid w:val="00572C16"/>
    <w:rsid w:val="00572C23"/>
    <w:rsid w:val="00572C8C"/>
    <w:rsid w:val="00572CDC"/>
    <w:rsid w:val="00572D24"/>
    <w:rsid w:val="00572EB2"/>
    <w:rsid w:val="00572F4B"/>
    <w:rsid w:val="00572F8A"/>
    <w:rsid w:val="00572FAB"/>
    <w:rsid w:val="0057300E"/>
    <w:rsid w:val="0057301C"/>
    <w:rsid w:val="00573080"/>
    <w:rsid w:val="005730F7"/>
    <w:rsid w:val="0057312F"/>
    <w:rsid w:val="00573160"/>
    <w:rsid w:val="00573263"/>
    <w:rsid w:val="005732D7"/>
    <w:rsid w:val="0057333B"/>
    <w:rsid w:val="005733A5"/>
    <w:rsid w:val="005733DD"/>
    <w:rsid w:val="005733F9"/>
    <w:rsid w:val="00573509"/>
    <w:rsid w:val="005735E6"/>
    <w:rsid w:val="005736DA"/>
    <w:rsid w:val="0057375B"/>
    <w:rsid w:val="0057377F"/>
    <w:rsid w:val="00573794"/>
    <w:rsid w:val="005737D2"/>
    <w:rsid w:val="0057385B"/>
    <w:rsid w:val="00573891"/>
    <w:rsid w:val="00573949"/>
    <w:rsid w:val="005739C0"/>
    <w:rsid w:val="005739FA"/>
    <w:rsid w:val="00573A27"/>
    <w:rsid w:val="00573AAA"/>
    <w:rsid w:val="00573BFC"/>
    <w:rsid w:val="00573D2C"/>
    <w:rsid w:val="00573D3F"/>
    <w:rsid w:val="00573D5F"/>
    <w:rsid w:val="00573D8F"/>
    <w:rsid w:val="00573DA4"/>
    <w:rsid w:val="00573E72"/>
    <w:rsid w:val="00573E95"/>
    <w:rsid w:val="00573F49"/>
    <w:rsid w:val="00573FB3"/>
    <w:rsid w:val="005740C4"/>
    <w:rsid w:val="005740CA"/>
    <w:rsid w:val="005740EF"/>
    <w:rsid w:val="00574159"/>
    <w:rsid w:val="0057415D"/>
    <w:rsid w:val="005741C6"/>
    <w:rsid w:val="005741F3"/>
    <w:rsid w:val="005742C7"/>
    <w:rsid w:val="005742D0"/>
    <w:rsid w:val="005742EC"/>
    <w:rsid w:val="0057433D"/>
    <w:rsid w:val="005743D8"/>
    <w:rsid w:val="00574432"/>
    <w:rsid w:val="00574495"/>
    <w:rsid w:val="00574525"/>
    <w:rsid w:val="005747A0"/>
    <w:rsid w:val="005747D4"/>
    <w:rsid w:val="005747D7"/>
    <w:rsid w:val="005747FF"/>
    <w:rsid w:val="005748AC"/>
    <w:rsid w:val="005748E0"/>
    <w:rsid w:val="00574927"/>
    <w:rsid w:val="00574941"/>
    <w:rsid w:val="00574B0D"/>
    <w:rsid w:val="00574C78"/>
    <w:rsid w:val="00574E5F"/>
    <w:rsid w:val="00574EA4"/>
    <w:rsid w:val="00575002"/>
    <w:rsid w:val="005750F3"/>
    <w:rsid w:val="005751B4"/>
    <w:rsid w:val="005751C2"/>
    <w:rsid w:val="0057522E"/>
    <w:rsid w:val="0057522F"/>
    <w:rsid w:val="005752C9"/>
    <w:rsid w:val="005752F6"/>
    <w:rsid w:val="00575329"/>
    <w:rsid w:val="00575491"/>
    <w:rsid w:val="005754F3"/>
    <w:rsid w:val="00575539"/>
    <w:rsid w:val="0057554E"/>
    <w:rsid w:val="00575570"/>
    <w:rsid w:val="00575628"/>
    <w:rsid w:val="0057563A"/>
    <w:rsid w:val="0057567B"/>
    <w:rsid w:val="00575688"/>
    <w:rsid w:val="0057570B"/>
    <w:rsid w:val="00575760"/>
    <w:rsid w:val="0057584F"/>
    <w:rsid w:val="005758B4"/>
    <w:rsid w:val="0057591F"/>
    <w:rsid w:val="00575968"/>
    <w:rsid w:val="00575B10"/>
    <w:rsid w:val="00575B9E"/>
    <w:rsid w:val="00575C40"/>
    <w:rsid w:val="00575C57"/>
    <w:rsid w:val="00575ECF"/>
    <w:rsid w:val="00575ED8"/>
    <w:rsid w:val="00576135"/>
    <w:rsid w:val="005761CA"/>
    <w:rsid w:val="00576254"/>
    <w:rsid w:val="005762D1"/>
    <w:rsid w:val="0057638A"/>
    <w:rsid w:val="005763A6"/>
    <w:rsid w:val="005763E7"/>
    <w:rsid w:val="005764F9"/>
    <w:rsid w:val="005765B9"/>
    <w:rsid w:val="005765D2"/>
    <w:rsid w:val="00576674"/>
    <w:rsid w:val="0057678F"/>
    <w:rsid w:val="00576873"/>
    <w:rsid w:val="00576A66"/>
    <w:rsid w:val="00576B23"/>
    <w:rsid w:val="00576CCF"/>
    <w:rsid w:val="00576D27"/>
    <w:rsid w:val="00576DA1"/>
    <w:rsid w:val="00576FC6"/>
    <w:rsid w:val="00576FD7"/>
    <w:rsid w:val="00577067"/>
    <w:rsid w:val="0057713C"/>
    <w:rsid w:val="0057725A"/>
    <w:rsid w:val="0057726A"/>
    <w:rsid w:val="00577308"/>
    <w:rsid w:val="00577378"/>
    <w:rsid w:val="00577400"/>
    <w:rsid w:val="00577479"/>
    <w:rsid w:val="00577509"/>
    <w:rsid w:val="0057759A"/>
    <w:rsid w:val="00577721"/>
    <w:rsid w:val="0057787F"/>
    <w:rsid w:val="0057788D"/>
    <w:rsid w:val="00577923"/>
    <w:rsid w:val="0057794A"/>
    <w:rsid w:val="00577989"/>
    <w:rsid w:val="005779ED"/>
    <w:rsid w:val="00577A2A"/>
    <w:rsid w:val="00577A84"/>
    <w:rsid w:val="00577AD6"/>
    <w:rsid w:val="00577ADC"/>
    <w:rsid w:val="00577B70"/>
    <w:rsid w:val="00577BED"/>
    <w:rsid w:val="00577E27"/>
    <w:rsid w:val="00577E53"/>
    <w:rsid w:val="00577E78"/>
    <w:rsid w:val="00577E9A"/>
    <w:rsid w:val="00577EAF"/>
    <w:rsid w:val="00577F65"/>
    <w:rsid w:val="00577F6F"/>
    <w:rsid w:val="00580038"/>
    <w:rsid w:val="00580078"/>
    <w:rsid w:val="00580153"/>
    <w:rsid w:val="00580173"/>
    <w:rsid w:val="00580260"/>
    <w:rsid w:val="00580297"/>
    <w:rsid w:val="00580357"/>
    <w:rsid w:val="00580394"/>
    <w:rsid w:val="005803BA"/>
    <w:rsid w:val="00580443"/>
    <w:rsid w:val="005804F6"/>
    <w:rsid w:val="0058053A"/>
    <w:rsid w:val="005806FE"/>
    <w:rsid w:val="0058089C"/>
    <w:rsid w:val="0058089E"/>
    <w:rsid w:val="005808B5"/>
    <w:rsid w:val="005808FA"/>
    <w:rsid w:val="005809AD"/>
    <w:rsid w:val="00580A01"/>
    <w:rsid w:val="00580A52"/>
    <w:rsid w:val="00580B81"/>
    <w:rsid w:val="00580B88"/>
    <w:rsid w:val="00580BC6"/>
    <w:rsid w:val="00580C28"/>
    <w:rsid w:val="00580EF6"/>
    <w:rsid w:val="00580F6D"/>
    <w:rsid w:val="00580F8F"/>
    <w:rsid w:val="005810DA"/>
    <w:rsid w:val="0058111B"/>
    <w:rsid w:val="005811BA"/>
    <w:rsid w:val="005812EC"/>
    <w:rsid w:val="0058138B"/>
    <w:rsid w:val="0058154F"/>
    <w:rsid w:val="005815C0"/>
    <w:rsid w:val="005815C3"/>
    <w:rsid w:val="005815EE"/>
    <w:rsid w:val="005816E9"/>
    <w:rsid w:val="00581753"/>
    <w:rsid w:val="005817AF"/>
    <w:rsid w:val="005817D1"/>
    <w:rsid w:val="005817FC"/>
    <w:rsid w:val="005818D5"/>
    <w:rsid w:val="005818F5"/>
    <w:rsid w:val="005818F9"/>
    <w:rsid w:val="0058193F"/>
    <w:rsid w:val="00581948"/>
    <w:rsid w:val="00581991"/>
    <w:rsid w:val="0058199A"/>
    <w:rsid w:val="00581AB2"/>
    <w:rsid w:val="00581AEE"/>
    <w:rsid w:val="00581C99"/>
    <w:rsid w:val="00581D07"/>
    <w:rsid w:val="00581D42"/>
    <w:rsid w:val="00581DA4"/>
    <w:rsid w:val="00581DD3"/>
    <w:rsid w:val="00581E47"/>
    <w:rsid w:val="00581E9A"/>
    <w:rsid w:val="00581FC7"/>
    <w:rsid w:val="00581FFC"/>
    <w:rsid w:val="00582023"/>
    <w:rsid w:val="005820D1"/>
    <w:rsid w:val="00582108"/>
    <w:rsid w:val="00582198"/>
    <w:rsid w:val="0058225A"/>
    <w:rsid w:val="005823CC"/>
    <w:rsid w:val="005823E9"/>
    <w:rsid w:val="00582425"/>
    <w:rsid w:val="005824CB"/>
    <w:rsid w:val="005824EC"/>
    <w:rsid w:val="005824FD"/>
    <w:rsid w:val="00582628"/>
    <w:rsid w:val="00582646"/>
    <w:rsid w:val="00582694"/>
    <w:rsid w:val="00582698"/>
    <w:rsid w:val="00582772"/>
    <w:rsid w:val="00582775"/>
    <w:rsid w:val="005827A9"/>
    <w:rsid w:val="0058280D"/>
    <w:rsid w:val="0058287D"/>
    <w:rsid w:val="0058296E"/>
    <w:rsid w:val="00582A98"/>
    <w:rsid w:val="00582B36"/>
    <w:rsid w:val="00582B7F"/>
    <w:rsid w:val="00582BF1"/>
    <w:rsid w:val="00582C12"/>
    <w:rsid w:val="00582D94"/>
    <w:rsid w:val="00582DA2"/>
    <w:rsid w:val="00582EAB"/>
    <w:rsid w:val="00582ED1"/>
    <w:rsid w:val="005830AC"/>
    <w:rsid w:val="0058313D"/>
    <w:rsid w:val="005831B8"/>
    <w:rsid w:val="00583251"/>
    <w:rsid w:val="00583280"/>
    <w:rsid w:val="00583285"/>
    <w:rsid w:val="00583314"/>
    <w:rsid w:val="005833B0"/>
    <w:rsid w:val="005833D5"/>
    <w:rsid w:val="0058348D"/>
    <w:rsid w:val="005834AE"/>
    <w:rsid w:val="005834E0"/>
    <w:rsid w:val="0058357E"/>
    <w:rsid w:val="0058358F"/>
    <w:rsid w:val="00583612"/>
    <w:rsid w:val="00583645"/>
    <w:rsid w:val="005836E5"/>
    <w:rsid w:val="005836E8"/>
    <w:rsid w:val="00583719"/>
    <w:rsid w:val="00583785"/>
    <w:rsid w:val="00583791"/>
    <w:rsid w:val="005837AA"/>
    <w:rsid w:val="005838FE"/>
    <w:rsid w:val="0058390B"/>
    <w:rsid w:val="00583944"/>
    <w:rsid w:val="00583991"/>
    <w:rsid w:val="00583992"/>
    <w:rsid w:val="00583A77"/>
    <w:rsid w:val="00583AAA"/>
    <w:rsid w:val="00583CDD"/>
    <w:rsid w:val="00583DA4"/>
    <w:rsid w:val="00583E8F"/>
    <w:rsid w:val="00583F0C"/>
    <w:rsid w:val="00584065"/>
    <w:rsid w:val="0058412D"/>
    <w:rsid w:val="00584132"/>
    <w:rsid w:val="005841AB"/>
    <w:rsid w:val="005841FC"/>
    <w:rsid w:val="00584202"/>
    <w:rsid w:val="00584218"/>
    <w:rsid w:val="005842DF"/>
    <w:rsid w:val="005844FD"/>
    <w:rsid w:val="0058455B"/>
    <w:rsid w:val="00584740"/>
    <w:rsid w:val="0058483B"/>
    <w:rsid w:val="005849F8"/>
    <w:rsid w:val="00584ACF"/>
    <w:rsid w:val="00584B38"/>
    <w:rsid w:val="00584B68"/>
    <w:rsid w:val="00584C0D"/>
    <w:rsid w:val="00584C17"/>
    <w:rsid w:val="00584C1D"/>
    <w:rsid w:val="00584D75"/>
    <w:rsid w:val="00584DF5"/>
    <w:rsid w:val="00584E55"/>
    <w:rsid w:val="00584E70"/>
    <w:rsid w:val="00584E9C"/>
    <w:rsid w:val="0058504C"/>
    <w:rsid w:val="0058504E"/>
    <w:rsid w:val="00585090"/>
    <w:rsid w:val="0058511E"/>
    <w:rsid w:val="00585227"/>
    <w:rsid w:val="00585312"/>
    <w:rsid w:val="00585320"/>
    <w:rsid w:val="005853A4"/>
    <w:rsid w:val="005853A9"/>
    <w:rsid w:val="005854C9"/>
    <w:rsid w:val="0058555A"/>
    <w:rsid w:val="00585580"/>
    <w:rsid w:val="0058558F"/>
    <w:rsid w:val="005855A1"/>
    <w:rsid w:val="00585610"/>
    <w:rsid w:val="0058569F"/>
    <w:rsid w:val="005857C6"/>
    <w:rsid w:val="005858DB"/>
    <w:rsid w:val="00585975"/>
    <w:rsid w:val="0058597E"/>
    <w:rsid w:val="00585B68"/>
    <w:rsid w:val="00585C4B"/>
    <w:rsid w:val="00585DDD"/>
    <w:rsid w:val="00585E03"/>
    <w:rsid w:val="00585E8B"/>
    <w:rsid w:val="00585EB0"/>
    <w:rsid w:val="00585F2D"/>
    <w:rsid w:val="0058608E"/>
    <w:rsid w:val="005860AE"/>
    <w:rsid w:val="00586107"/>
    <w:rsid w:val="00586200"/>
    <w:rsid w:val="00586279"/>
    <w:rsid w:val="005863DA"/>
    <w:rsid w:val="005863FA"/>
    <w:rsid w:val="005863FF"/>
    <w:rsid w:val="0058640E"/>
    <w:rsid w:val="005865A0"/>
    <w:rsid w:val="00586670"/>
    <w:rsid w:val="00586707"/>
    <w:rsid w:val="005867A1"/>
    <w:rsid w:val="005867B9"/>
    <w:rsid w:val="005867D7"/>
    <w:rsid w:val="00586817"/>
    <w:rsid w:val="0058681C"/>
    <w:rsid w:val="005868B7"/>
    <w:rsid w:val="00586933"/>
    <w:rsid w:val="0058695F"/>
    <w:rsid w:val="00586969"/>
    <w:rsid w:val="005869AE"/>
    <w:rsid w:val="005869BF"/>
    <w:rsid w:val="00586A9F"/>
    <w:rsid w:val="00586C28"/>
    <w:rsid w:val="00586CB8"/>
    <w:rsid w:val="00586D31"/>
    <w:rsid w:val="00586E72"/>
    <w:rsid w:val="00586E9C"/>
    <w:rsid w:val="00586F0F"/>
    <w:rsid w:val="005870AF"/>
    <w:rsid w:val="00587305"/>
    <w:rsid w:val="0058734C"/>
    <w:rsid w:val="005874E4"/>
    <w:rsid w:val="00587526"/>
    <w:rsid w:val="0058769F"/>
    <w:rsid w:val="005876D3"/>
    <w:rsid w:val="005877C1"/>
    <w:rsid w:val="005877C3"/>
    <w:rsid w:val="005877C9"/>
    <w:rsid w:val="005877D2"/>
    <w:rsid w:val="0058793D"/>
    <w:rsid w:val="0058799C"/>
    <w:rsid w:val="005879B7"/>
    <w:rsid w:val="005879D5"/>
    <w:rsid w:val="00587B47"/>
    <w:rsid w:val="00587B72"/>
    <w:rsid w:val="00587BD0"/>
    <w:rsid w:val="00587C3C"/>
    <w:rsid w:val="00587E2F"/>
    <w:rsid w:val="00587E94"/>
    <w:rsid w:val="00590063"/>
    <w:rsid w:val="005900A7"/>
    <w:rsid w:val="005902A0"/>
    <w:rsid w:val="00590363"/>
    <w:rsid w:val="00590380"/>
    <w:rsid w:val="005903A6"/>
    <w:rsid w:val="00590563"/>
    <w:rsid w:val="005905EB"/>
    <w:rsid w:val="00590679"/>
    <w:rsid w:val="005906BB"/>
    <w:rsid w:val="005906D4"/>
    <w:rsid w:val="005907E0"/>
    <w:rsid w:val="005907EA"/>
    <w:rsid w:val="0059080C"/>
    <w:rsid w:val="005908B7"/>
    <w:rsid w:val="005909B4"/>
    <w:rsid w:val="005909EC"/>
    <w:rsid w:val="00590A57"/>
    <w:rsid w:val="00590A93"/>
    <w:rsid w:val="00590B16"/>
    <w:rsid w:val="00590B6E"/>
    <w:rsid w:val="00590BD2"/>
    <w:rsid w:val="00590BFD"/>
    <w:rsid w:val="00590C61"/>
    <w:rsid w:val="00590CCB"/>
    <w:rsid w:val="00590CCE"/>
    <w:rsid w:val="00590E03"/>
    <w:rsid w:val="00590E40"/>
    <w:rsid w:val="00590F6C"/>
    <w:rsid w:val="00590F99"/>
    <w:rsid w:val="005910EF"/>
    <w:rsid w:val="00591141"/>
    <w:rsid w:val="005911BA"/>
    <w:rsid w:val="0059131C"/>
    <w:rsid w:val="0059140C"/>
    <w:rsid w:val="005914EF"/>
    <w:rsid w:val="0059158E"/>
    <w:rsid w:val="00591868"/>
    <w:rsid w:val="0059186E"/>
    <w:rsid w:val="005918F7"/>
    <w:rsid w:val="005919B4"/>
    <w:rsid w:val="00591A75"/>
    <w:rsid w:val="00591B59"/>
    <w:rsid w:val="00591C87"/>
    <w:rsid w:val="00591CC7"/>
    <w:rsid w:val="00591CC8"/>
    <w:rsid w:val="00591D42"/>
    <w:rsid w:val="00591D89"/>
    <w:rsid w:val="00591E6F"/>
    <w:rsid w:val="00591EA7"/>
    <w:rsid w:val="00591F5B"/>
    <w:rsid w:val="005920FE"/>
    <w:rsid w:val="0059237E"/>
    <w:rsid w:val="005924CD"/>
    <w:rsid w:val="00592560"/>
    <w:rsid w:val="0059266F"/>
    <w:rsid w:val="00592690"/>
    <w:rsid w:val="005926BD"/>
    <w:rsid w:val="0059277F"/>
    <w:rsid w:val="005927A3"/>
    <w:rsid w:val="005927C4"/>
    <w:rsid w:val="00592808"/>
    <w:rsid w:val="0059281E"/>
    <w:rsid w:val="00592878"/>
    <w:rsid w:val="00592A67"/>
    <w:rsid w:val="00592A6F"/>
    <w:rsid w:val="00592B25"/>
    <w:rsid w:val="00592B3B"/>
    <w:rsid w:val="00592CF8"/>
    <w:rsid w:val="00592DEB"/>
    <w:rsid w:val="00592DF3"/>
    <w:rsid w:val="00592EA4"/>
    <w:rsid w:val="00592EDA"/>
    <w:rsid w:val="00592F88"/>
    <w:rsid w:val="0059321B"/>
    <w:rsid w:val="00593224"/>
    <w:rsid w:val="005932FE"/>
    <w:rsid w:val="00593323"/>
    <w:rsid w:val="005933B4"/>
    <w:rsid w:val="0059347E"/>
    <w:rsid w:val="005935A1"/>
    <w:rsid w:val="005936FF"/>
    <w:rsid w:val="00593783"/>
    <w:rsid w:val="005937D9"/>
    <w:rsid w:val="005938BC"/>
    <w:rsid w:val="005938CE"/>
    <w:rsid w:val="005938FE"/>
    <w:rsid w:val="0059391B"/>
    <w:rsid w:val="00593A73"/>
    <w:rsid w:val="00593B61"/>
    <w:rsid w:val="00593C90"/>
    <w:rsid w:val="00593D8E"/>
    <w:rsid w:val="00593DE9"/>
    <w:rsid w:val="00593E04"/>
    <w:rsid w:val="00593E5F"/>
    <w:rsid w:val="00593EF2"/>
    <w:rsid w:val="00593F67"/>
    <w:rsid w:val="00593F6F"/>
    <w:rsid w:val="00593F78"/>
    <w:rsid w:val="00593FAA"/>
    <w:rsid w:val="00594002"/>
    <w:rsid w:val="00594117"/>
    <w:rsid w:val="0059433F"/>
    <w:rsid w:val="00594428"/>
    <w:rsid w:val="0059448E"/>
    <w:rsid w:val="005944C4"/>
    <w:rsid w:val="005946BE"/>
    <w:rsid w:val="005946D7"/>
    <w:rsid w:val="005946F8"/>
    <w:rsid w:val="00594713"/>
    <w:rsid w:val="00594792"/>
    <w:rsid w:val="00594837"/>
    <w:rsid w:val="00594844"/>
    <w:rsid w:val="0059487D"/>
    <w:rsid w:val="005949A8"/>
    <w:rsid w:val="005949AE"/>
    <w:rsid w:val="00594A48"/>
    <w:rsid w:val="00594A4A"/>
    <w:rsid w:val="00594E32"/>
    <w:rsid w:val="00595078"/>
    <w:rsid w:val="00595127"/>
    <w:rsid w:val="005951DB"/>
    <w:rsid w:val="00595314"/>
    <w:rsid w:val="0059531B"/>
    <w:rsid w:val="00595503"/>
    <w:rsid w:val="0059552F"/>
    <w:rsid w:val="0059564D"/>
    <w:rsid w:val="00595717"/>
    <w:rsid w:val="005957AD"/>
    <w:rsid w:val="00595851"/>
    <w:rsid w:val="005958BB"/>
    <w:rsid w:val="00595981"/>
    <w:rsid w:val="00595A27"/>
    <w:rsid w:val="00595ACE"/>
    <w:rsid w:val="00595AD4"/>
    <w:rsid w:val="00595B34"/>
    <w:rsid w:val="00595CE9"/>
    <w:rsid w:val="00595ED1"/>
    <w:rsid w:val="00596032"/>
    <w:rsid w:val="005960D4"/>
    <w:rsid w:val="00596150"/>
    <w:rsid w:val="00596195"/>
    <w:rsid w:val="00596204"/>
    <w:rsid w:val="00596271"/>
    <w:rsid w:val="00596274"/>
    <w:rsid w:val="0059632B"/>
    <w:rsid w:val="005963E4"/>
    <w:rsid w:val="00596475"/>
    <w:rsid w:val="00596482"/>
    <w:rsid w:val="005964B9"/>
    <w:rsid w:val="0059652E"/>
    <w:rsid w:val="00596546"/>
    <w:rsid w:val="00596561"/>
    <w:rsid w:val="00596626"/>
    <w:rsid w:val="005966B6"/>
    <w:rsid w:val="0059682B"/>
    <w:rsid w:val="00596890"/>
    <w:rsid w:val="005968D4"/>
    <w:rsid w:val="0059693C"/>
    <w:rsid w:val="0059697A"/>
    <w:rsid w:val="005969A7"/>
    <w:rsid w:val="005969CA"/>
    <w:rsid w:val="00596A2B"/>
    <w:rsid w:val="00596A31"/>
    <w:rsid w:val="00596A6D"/>
    <w:rsid w:val="00596A71"/>
    <w:rsid w:val="00596D08"/>
    <w:rsid w:val="00596D86"/>
    <w:rsid w:val="00596E73"/>
    <w:rsid w:val="00596E7D"/>
    <w:rsid w:val="00596FE9"/>
    <w:rsid w:val="005970D5"/>
    <w:rsid w:val="005970FA"/>
    <w:rsid w:val="0059716F"/>
    <w:rsid w:val="00597296"/>
    <w:rsid w:val="00597417"/>
    <w:rsid w:val="00597465"/>
    <w:rsid w:val="0059747A"/>
    <w:rsid w:val="00597490"/>
    <w:rsid w:val="00597557"/>
    <w:rsid w:val="005975E1"/>
    <w:rsid w:val="005975ED"/>
    <w:rsid w:val="0059764F"/>
    <w:rsid w:val="00597720"/>
    <w:rsid w:val="005978A8"/>
    <w:rsid w:val="005978F1"/>
    <w:rsid w:val="0059791A"/>
    <w:rsid w:val="0059795E"/>
    <w:rsid w:val="005979C8"/>
    <w:rsid w:val="005979F1"/>
    <w:rsid w:val="00597AE0"/>
    <w:rsid w:val="00597B09"/>
    <w:rsid w:val="00597BA7"/>
    <w:rsid w:val="00597D16"/>
    <w:rsid w:val="00597DCD"/>
    <w:rsid w:val="00597E04"/>
    <w:rsid w:val="00597F4B"/>
    <w:rsid w:val="00597FB4"/>
    <w:rsid w:val="005A0079"/>
    <w:rsid w:val="005A0245"/>
    <w:rsid w:val="005A0470"/>
    <w:rsid w:val="005A05DD"/>
    <w:rsid w:val="005A069A"/>
    <w:rsid w:val="005A0781"/>
    <w:rsid w:val="005A0851"/>
    <w:rsid w:val="005A097F"/>
    <w:rsid w:val="005A0A08"/>
    <w:rsid w:val="005A0A32"/>
    <w:rsid w:val="005A0A48"/>
    <w:rsid w:val="005A0A69"/>
    <w:rsid w:val="005A0A78"/>
    <w:rsid w:val="005A0ADD"/>
    <w:rsid w:val="005A0ADE"/>
    <w:rsid w:val="005A0B42"/>
    <w:rsid w:val="005A0C02"/>
    <w:rsid w:val="005A0CDF"/>
    <w:rsid w:val="005A0D15"/>
    <w:rsid w:val="005A0D1C"/>
    <w:rsid w:val="005A0E9F"/>
    <w:rsid w:val="005A0F48"/>
    <w:rsid w:val="005A1017"/>
    <w:rsid w:val="005A102E"/>
    <w:rsid w:val="005A108A"/>
    <w:rsid w:val="005A1119"/>
    <w:rsid w:val="005A113B"/>
    <w:rsid w:val="005A1170"/>
    <w:rsid w:val="005A1181"/>
    <w:rsid w:val="005A11A5"/>
    <w:rsid w:val="005A125F"/>
    <w:rsid w:val="005A131A"/>
    <w:rsid w:val="005A137B"/>
    <w:rsid w:val="005A1452"/>
    <w:rsid w:val="005A15A2"/>
    <w:rsid w:val="005A164C"/>
    <w:rsid w:val="005A16E6"/>
    <w:rsid w:val="005A177C"/>
    <w:rsid w:val="005A17E8"/>
    <w:rsid w:val="005A1896"/>
    <w:rsid w:val="005A189E"/>
    <w:rsid w:val="005A192F"/>
    <w:rsid w:val="005A19AD"/>
    <w:rsid w:val="005A1A6A"/>
    <w:rsid w:val="005A1B3B"/>
    <w:rsid w:val="005A1CD7"/>
    <w:rsid w:val="005A1DA7"/>
    <w:rsid w:val="005A1ECA"/>
    <w:rsid w:val="005A1EE1"/>
    <w:rsid w:val="005A1F31"/>
    <w:rsid w:val="005A1FB1"/>
    <w:rsid w:val="005A1FDF"/>
    <w:rsid w:val="005A2037"/>
    <w:rsid w:val="005A2089"/>
    <w:rsid w:val="005A208D"/>
    <w:rsid w:val="005A20DA"/>
    <w:rsid w:val="005A23BE"/>
    <w:rsid w:val="005A244A"/>
    <w:rsid w:val="005A2493"/>
    <w:rsid w:val="005A251B"/>
    <w:rsid w:val="005A2524"/>
    <w:rsid w:val="005A253A"/>
    <w:rsid w:val="005A266B"/>
    <w:rsid w:val="005A26E2"/>
    <w:rsid w:val="005A27E0"/>
    <w:rsid w:val="005A27FC"/>
    <w:rsid w:val="005A2812"/>
    <w:rsid w:val="005A2979"/>
    <w:rsid w:val="005A2A1C"/>
    <w:rsid w:val="005A2B26"/>
    <w:rsid w:val="005A2B32"/>
    <w:rsid w:val="005A2DC7"/>
    <w:rsid w:val="005A2E8A"/>
    <w:rsid w:val="005A309D"/>
    <w:rsid w:val="005A3111"/>
    <w:rsid w:val="005A312C"/>
    <w:rsid w:val="005A32E5"/>
    <w:rsid w:val="005A3332"/>
    <w:rsid w:val="005A34F0"/>
    <w:rsid w:val="005A35BA"/>
    <w:rsid w:val="005A37AA"/>
    <w:rsid w:val="005A39C4"/>
    <w:rsid w:val="005A3A47"/>
    <w:rsid w:val="005A3A6C"/>
    <w:rsid w:val="005A3A77"/>
    <w:rsid w:val="005A3B31"/>
    <w:rsid w:val="005A3D39"/>
    <w:rsid w:val="005A3EB0"/>
    <w:rsid w:val="005A3F0A"/>
    <w:rsid w:val="005A3F17"/>
    <w:rsid w:val="005A3F2A"/>
    <w:rsid w:val="005A3F7F"/>
    <w:rsid w:val="005A3FCA"/>
    <w:rsid w:val="005A3FCD"/>
    <w:rsid w:val="005A3FD8"/>
    <w:rsid w:val="005A3FE3"/>
    <w:rsid w:val="005A40FA"/>
    <w:rsid w:val="005A412F"/>
    <w:rsid w:val="005A419D"/>
    <w:rsid w:val="005A431C"/>
    <w:rsid w:val="005A4442"/>
    <w:rsid w:val="005A4611"/>
    <w:rsid w:val="005A4631"/>
    <w:rsid w:val="005A469A"/>
    <w:rsid w:val="005A46DE"/>
    <w:rsid w:val="005A4749"/>
    <w:rsid w:val="005A47C3"/>
    <w:rsid w:val="005A484B"/>
    <w:rsid w:val="005A48C1"/>
    <w:rsid w:val="005A497C"/>
    <w:rsid w:val="005A497E"/>
    <w:rsid w:val="005A4986"/>
    <w:rsid w:val="005A4A20"/>
    <w:rsid w:val="005A4B03"/>
    <w:rsid w:val="005A4B0F"/>
    <w:rsid w:val="005A4B69"/>
    <w:rsid w:val="005A4BC1"/>
    <w:rsid w:val="005A4C9B"/>
    <w:rsid w:val="005A4D85"/>
    <w:rsid w:val="005A4DB0"/>
    <w:rsid w:val="005A4DF0"/>
    <w:rsid w:val="005A4F00"/>
    <w:rsid w:val="005A4F82"/>
    <w:rsid w:val="005A5032"/>
    <w:rsid w:val="005A50A6"/>
    <w:rsid w:val="005A50F8"/>
    <w:rsid w:val="005A51EF"/>
    <w:rsid w:val="005A5248"/>
    <w:rsid w:val="005A5270"/>
    <w:rsid w:val="005A52E5"/>
    <w:rsid w:val="005A5483"/>
    <w:rsid w:val="005A5503"/>
    <w:rsid w:val="005A5509"/>
    <w:rsid w:val="005A5594"/>
    <w:rsid w:val="005A55BB"/>
    <w:rsid w:val="005A5648"/>
    <w:rsid w:val="005A56D0"/>
    <w:rsid w:val="005A5778"/>
    <w:rsid w:val="005A577F"/>
    <w:rsid w:val="005A582A"/>
    <w:rsid w:val="005A588A"/>
    <w:rsid w:val="005A5AA6"/>
    <w:rsid w:val="005A5BAD"/>
    <w:rsid w:val="005A5BD1"/>
    <w:rsid w:val="005A5C33"/>
    <w:rsid w:val="005A5C93"/>
    <w:rsid w:val="005A5D02"/>
    <w:rsid w:val="005A5D29"/>
    <w:rsid w:val="005A5D53"/>
    <w:rsid w:val="005A5DD6"/>
    <w:rsid w:val="005A5EF3"/>
    <w:rsid w:val="005A5EF6"/>
    <w:rsid w:val="005A5FC5"/>
    <w:rsid w:val="005A6095"/>
    <w:rsid w:val="005A60B5"/>
    <w:rsid w:val="005A623C"/>
    <w:rsid w:val="005A627E"/>
    <w:rsid w:val="005A62CB"/>
    <w:rsid w:val="005A63AB"/>
    <w:rsid w:val="005A63B9"/>
    <w:rsid w:val="005A6505"/>
    <w:rsid w:val="005A6572"/>
    <w:rsid w:val="005A65DC"/>
    <w:rsid w:val="005A65F9"/>
    <w:rsid w:val="005A673D"/>
    <w:rsid w:val="005A6768"/>
    <w:rsid w:val="005A67B8"/>
    <w:rsid w:val="005A68DB"/>
    <w:rsid w:val="005A69D8"/>
    <w:rsid w:val="005A69FB"/>
    <w:rsid w:val="005A6AE7"/>
    <w:rsid w:val="005A6BAD"/>
    <w:rsid w:val="005A6C2A"/>
    <w:rsid w:val="005A6D80"/>
    <w:rsid w:val="005A6E19"/>
    <w:rsid w:val="005A6E24"/>
    <w:rsid w:val="005A6E48"/>
    <w:rsid w:val="005A6E63"/>
    <w:rsid w:val="005A6EE0"/>
    <w:rsid w:val="005A6F3A"/>
    <w:rsid w:val="005A6FCB"/>
    <w:rsid w:val="005A7005"/>
    <w:rsid w:val="005A71E1"/>
    <w:rsid w:val="005A72D7"/>
    <w:rsid w:val="005A72E6"/>
    <w:rsid w:val="005A735B"/>
    <w:rsid w:val="005A7477"/>
    <w:rsid w:val="005A7531"/>
    <w:rsid w:val="005A7644"/>
    <w:rsid w:val="005A770E"/>
    <w:rsid w:val="005A7805"/>
    <w:rsid w:val="005A7845"/>
    <w:rsid w:val="005A786C"/>
    <w:rsid w:val="005A786D"/>
    <w:rsid w:val="005A7996"/>
    <w:rsid w:val="005A7AB0"/>
    <w:rsid w:val="005A7B2A"/>
    <w:rsid w:val="005A7D8E"/>
    <w:rsid w:val="005A7E19"/>
    <w:rsid w:val="005A7E55"/>
    <w:rsid w:val="005A7E74"/>
    <w:rsid w:val="005A7EF3"/>
    <w:rsid w:val="005A7EF7"/>
    <w:rsid w:val="005B0075"/>
    <w:rsid w:val="005B0108"/>
    <w:rsid w:val="005B012B"/>
    <w:rsid w:val="005B013C"/>
    <w:rsid w:val="005B018F"/>
    <w:rsid w:val="005B0269"/>
    <w:rsid w:val="005B0353"/>
    <w:rsid w:val="005B03EF"/>
    <w:rsid w:val="005B04C1"/>
    <w:rsid w:val="005B0561"/>
    <w:rsid w:val="005B0642"/>
    <w:rsid w:val="005B0749"/>
    <w:rsid w:val="005B0796"/>
    <w:rsid w:val="005B0798"/>
    <w:rsid w:val="005B07C9"/>
    <w:rsid w:val="005B0802"/>
    <w:rsid w:val="005B099B"/>
    <w:rsid w:val="005B0AAA"/>
    <w:rsid w:val="005B0C76"/>
    <w:rsid w:val="005B0D01"/>
    <w:rsid w:val="005B0EE9"/>
    <w:rsid w:val="005B1025"/>
    <w:rsid w:val="005B11E7"/>
    <w:rsid w:val="005B1250"/>
    <w:rsid w:val="005B129A"/>
    <w:rsid w:val="005B13CB"/>
    <w:rsid w:val="005B153B"/>
    <w:rsid w:val="005B1653"/>
    <w:rsid w:val="005B16B9"/>
    <w:rsid w:val="005B18E8"/>
    <w:rsid w:val="005B1DC3"/>
    <w:rsid w:val="005B1DCC"/>
    <w:rsid w:val="005B1DF0"/>
    <w:rsid w:val="005B1EAB"/>
    <w:rsid w:val="005B1F27"/>
    <w:rsid w:val="005B1F40"/>
    <w:rsid w:val="005B20CD"/>
    <w:rsid w:val="005B20F7"/>
    <w:rsid w:val="005B2381"/>
    <w:rsid w:val="005B241A"/>
    <w:rsid w:val="005B245A"/>
    <w:rsid w:val="005B24DF"/>
    <w:rsid w:val="005B24FB"/>
    <w:rsid w:val="005B255D"/>
    <w:rsid w:val="005B262A"/>
    <w:rsid w:val="005B26F4"/>
    <w:rsid w:val="005B26FC"/>
    <w:rsid w:val="005B275F"/>
    <w:rsid w:val="005B284D"/>
    <w:rsid w:val="005B284F"/>
    <w:rsid w:val="005B28B6"/>
    <w:rsid w:val="005B28D3"/>
    <w:rsid w:val="005B293D"/>
    <w:rsid w:val="005B29B3"/>
    <w:rsid w:val="005B2B06"/>
    <w:rsid w:val="005B2BE2"/>
    <w:rsid w:val="005B2C20"/>
    <w:rsid w:val="005B2DCE"/>
    <w:rsid w:val="005B2E73"/>
    <w:rsid w:val="005B3076"/>
    <w:rsid w:val="005B30BB"/>
    <w:rsid w:val="005B30C5"/>
    <w:rsid w:val="005B3184"/>
    <w:rsid w:val="005B318E"/>
    <w:rsid w:val="005B3196"/>
    <w:rsid w:val="005B31C6"/>
    <w:rsid w:val="005B31D6"/>
    <w:rsid w:val="005B31EB"/>
    <w:rsid w:val="005B3211"/>
    <w:rsid w:val="005B3228"/>
    <w:rsid w:val="005B32FB"/>
    <w:rsid w:val="005B33F7"/>
    <w:rsid w:val="005B3415"/>
    <w:rsid w:val="005B347D"/>
    <w:rsid w:val="005B34D5"/>
    <w:rsid w:val="005B34FD"/>
    <w:rsid w:val="005B35E0"/>
    <w:rsid w:val="005B35F4"/>
    <w:rsid w:val="005B35FF"/>
    <w:rsid w:val="005B378A"/>
    <w:rsid w:val="005B386C"/>
    <w:rsid w:val="005B38EE"/>
    <w:rsid w:val="005B3926"/>
    <w:rsid w:val="005B394E"/>
    <w:rsid w:val="005B3AB5"/>
    <w:rsid w:val="005B3B7B"/>
    <w:rsid w:val="005B3C12"/>
    <w:rsid w:val="005B3C47"/>
    <w:rsid w:val="005B3C77"/>
    <w:rsid w:val="005B3D88"/>
    <w:rsid w:val="005B3F1F"/>
    <w:rsid w:val="005B3F81"/>
    <w:rsid w:val="005B3FEA"/>
    <w:rsid w:val="005B4021"/>
    <w:rsid w:val="005B402A"/>
    <w:rsid w:val="005B41B8"/>
    <w:rsid w:val="005B4240"/>
    <w:rsid w:val="005B4242"/>
    <w:rsid w:val="005B426A"/>
    <w:rsid w:val="005B4333"/>
    <w:rsid w:val="005B4442"/>
    <w:rsid w:val="005B4480"/>
    <w:rsid w:val="005B460B"/>
    <w:rsid w:val="005B4699"/>
    <w:rsid w:val="005B469B"/>
    <w:rsid w:val="005B46C7"/>
    <w:rsid w:val="005B47F2"/>
    <w:rsid w:val="005B47F8"/>
    <w:rsid w:val="005B4942"/>
    <w:rsid w:val="005B49AC"/>
    <w:rsid w:val="005B49FC"/>
    <w:rsid w:val="005B4AFE"/>
    <w:rsid w:val="005B4C50"/>
    <w:rsid w:val="005B4CAB"/>
    <w:rsid w:val="005B4D0D"/>
    <w:rsid w:val="005B4D97"/>
    <w:rsid w:val="005B4ECF"/>
    <w:rsid w:val="005B4F31"/>
    <w:rsid w:val="005B4F72"/>
    <w:rsid w:val="005B50D4"/>
    <w:rsid w:val="005B50FE"/>
    <w:rsid w:val="005B5113"/>
    <w:rsid w:val="005B5155"/>
    <w:rsid w:val="005B5156"/>
    <w:rsid w:val="005B516D"/>
    <w:rsid w:val="005B51EE"/>
    <w:rsid w:val="005B52D8"/>
    <w:rsid w:val="005B5387"/>
    <w:rsid w:val="005B5396"/>
    <w:rsid w:val="005B53E3"/>
    <w:rsid w:val="005B5432"/>
    <w:rsid w:val="005B547F"/>
    <w:rsid w:val="005B551E"/>
    <w:rsid w:val="005B5581"/>
    <w:rsid w:val="005B55C4"/>
    <w:rsid w:val="005B5621"/>
    <w:rsid w:val="005B562B"/>
    <w:rsid w:val="005B5646"/>
    <w:rsid w:val="005B58D1"/>
    <w:rsid w:val="005B5940"/>
    <w:rsid w:val="005B5B07"/>
    <w:rsid w:val="005B5BE3"/>
    <w:rsid w:val="005B5CC3"/>
    <w:rsid w:val="005B5CC7"/>
    <w:rsid w:val="005B5D59"/>
    <w:rsid w:val="005B5E3F"/>
    <w:rsid w:val="005B5E9D"/>
    <w:rsid w:val="005B5F35"/>
    <w:rsid w:val="005B5F72"/>
    <w:rsid w:val="005B60B5"/>
    <w:rsid w:val="005B618D"/>
    <w:rsid w:val="005B6195"/>
    <w:rsid w:val="005B63F2"/>
    <w:rsid w:val="005B642F"/>
    <w:rsid w:val="005B64FF"/>
    <w:rsid w:val="005B6632"/>
    <w:rsid w:val="005B663B"/>
    <w:rsid w:val="005B666B"/>
    <w:rsid w:val="005B673D"/>
    <w:rsid w:val="005B6912"/>
    <w:rsid w:val="005B6958"/>
    <w:rsid w:val="005B69A4"/>
    <w:rsid w:val="005B69C0"/>
    <w:rsid w:val="005B6A21"/>
    <w:rsid w:val="005B6A2F"/>
    <w:rsid w:val="005B6A86"/>
    <w:rsid w:val="005B6ACE"/>
    <w:rsid w:val="005B6B97"/>
    <w:rsid w:val="005B6C01"/>
    <w:rsid w:val="005B6D34"/>
    <w:rsid w:val="005B6D52"/>
    <w:rsid w:val="005B6DF2"/>
    <w:rsid w:val="005B6DFB"/>
    <w:rsid w:val="005B6E91"/>
    <w:rsid w:val="005B6F2A"/>
    <w:rsid w:val="005B6F6D"/>
    <w:rsid w:val="005B6F73"/>
    <w:rsid w:val="005B7179"/>
    <w:rsid w:val="005B717D"/>
    <w:rsid w:val="005B73F8"/>
    <w:rsid w:val="005B740D"/>
    <w:rsid w:val="005B756C"/>
    <w:rsid w:val="005B75E0"/>
    <w:rsid w:val="005B77E2"/>
    <w:rsid w:val="005B7891"/>
    <w:rsid w:val="005B78CF"/>
    <w:rsid w:val="005B78F7"/>
    <w:rsid w:val="005B7960"/>
    <w:rsid w:val="005B7965"/>
    <w:rsid w:val="005B79A2"/>
    <w:rsid w:val="005B7A68"/>
    <w:rsid w:val="005B7A82"/>
    <w:rsid w:val="005B7B2F"/>
    <w:rsid w:val="005B7B95"/>
    <w:rsid w:val="005B7C25"/>
    <w:rsid w:val="005B7C56"/>
    <w:rsid w:val="005B7D0B"/>
    <w:rsid w:val="005B7D87"/>
    <w:rsid w:val="005B7D94"/>
    <w:rsid w:val="005B7DAA"/>
    <w:rsid w:val="005B7E60"/>
    <w:rsid w:val="005B7F16"/>
    <w:rsid w:val="005C00DA"/>
    <w:rsid w:val="005C0143"/>
    <w:rsid w:val="005C0189"/>
    <w:rsid w:val="005C044E"/>
    <w:rsid w:val="005C04AA"/>
    <w:rsid w:val="005C050B"/>
    <w:rsid w:val="005C05B2"/>
    <w:rsid w:val="005C05C1"/>
    <w:rsid w:val="005C0618"/>
    <w:rsid w:val="005C0642"/>
    <w:rsid w:val="005C0797"/>
    <w:rsid w:val="005C08A2"/>
    <w:rsid w:val="005C08BA"/>
    <w:rsid w:val="005C08E4"/>
    <w:rsid w:val="005C0A2E"/>
    <w:rsid w:val="005C0A61"/>
    <w:rsid w:val="005C0B1E"/>
    <w:rsid w:val="005C0C71"/>
    <w:rsid w:val="005C0D24"/>
    <w:rsid w:val="005C0D5C"/>
    <w:rsid w:val="005C0DCB"/>
    <w:rsid w:val="005C0DFC"/>
    <w:rsid w:val="005C0EE1"/>
    <w:rsid w:val="005C0F36"/>
    <w:rsid w:val="005C10B7"/>
    <w:rsid w:val="005C11E7"/>
    <w:rsid w:val="005C1207"/>
    <w:rsid w:val="005C13B9"/>
    <w:rsid w:val="005C15F9"/>
    <w:rsid w:val="005C1650"/>
    <w:rsid w:val="005C16AE"/>
    <w:rsid w:val="005C16B5"/>
    <w:rsid w:val="005C17DD"/>
    <w:rsid w:val="005C19A6"/>
    <w:rsid w:val="005C19E8"/>
    <w:rsid w:val="005C1AA2"/>
    <w:rsid w:val="005C1ADF"/>
    <w:rsid w:val="005C1B35"/>
    <w:rsid w:val="005C1B58"/>
    <w:rsid w:val="005C1BB3"/>
    <w:rsid w:val="005C1BB4"/>
    <w:rsid w:val="005C1BE3"/>
    <w:rsid w:val="005C1C5C"/>
    <w:rsid w:val="005C1C78"/>
    <w:rsid w:val="005C1C93"/>
    <w:rsid w:val="005C1CF3"/>
    <w:rsid w:val="005C1D05"/>
    <w:rsid w:val="005C1D39"/>
    <w:rsid w:val="005C1F3E"/>
    <w:rsid w:val="005C1F55"/>
    <w:rsid w:val="005C2048"/>
    <w:rsid w:val="005C208A"/>
    <w:rsid w:val="005C21C1"/>
    <w:rsid w:val="005C2358"/>
    <w:rsid w:val="005C23BB"/>
    <w:rsid w:val="005C23F6"/>
    <w:rsid w:val="005C2466"/>
    <w:rsid w:val="005C24EC"/>
    <w:rsid w:val="005C2506"/>
    <w:rsid w:val="005C25B1"/>
    <w:rsid w:val="005C25D1"/>
    <w:rsid w:val="005C2615"/>
    <w:rsid w:val="005C261D"/>
    <w:rsid w:val="005C26A9"/>
    <w:rsid w:val="005C270D"/>
    <w:rsid w:val="005C2733"/>
    <w:rsid w:val="005C28F7"/>
    <w:rsid w:val="005C2936"/>
    <w:rsid w:val="005C2961"/>
    <w:rsid w:val="005C296A"/>
    <w:rsid w:val="005C2986"/>
    <w:rsid w:val="005C2A90"/>
    <w:rsid w:val="005C2ACE"/>
    <w:rsid w:val="005C2B23"/>
    <w:rsid w:val="005C2B26"/>
    <w:rsid w:val="005C2C00"/>
    <w:rsid w:val="005C2CAA"/>
    <w:rsid w:val="005C2D17"/>
    <w:rsid w:val="005C2D30"/>
    <w:rsid w:val="005C2DBD"/>
    <w:rsid w:val="005C2DC8"/>
    <w:rsid w:val="005C2E8C"/>
    <w:rsid w:val="005C2ED6"/>
    <w:rsid w:val="005C2F1F"/>
    <w:rsid w:val="005C30E9"/>
    <w:rsid w:val="005C3162"/>
    <w:rsid w:val="005C31A0"/>
    <w:rsid w:val="005C320B"/>
    <w:rsid w:val="005C327E"/>
    <w:rsid w:val="005C3297"/>
    <w:rsid w:val="005C32E6"/>
    <w:rsid w:val="005C33A4"/>
    <w:rsid w:val="005C34A2"/>
    <w:rsid w:val="005C34ED"/>
    <w:rsid w:val="005C36DB"/>
    <w:rsid w:val="005C3720"/>
    <w:rsid w:val="005C37EE"/>
    <w:rsid w:val="005C3872"/>
    <w:rsid w:val="005C390A"/>
    <w:rsid w:val="005C3A53"/>
    <w:rsid w:val="005C3B40"/>
    <w:rsid w:val="005C3B49"/>
    <w:rsid w:val="005C3CA9"/>
    <w:rsid w:val="005C3E58"/>
    <w:rsid w:val="005C3F35"/>
    <w:rsid w:val="005C4009"/>
    <w:rsid w:val="005C4013"/>
    <w:rsid w:val="005C4051"/>
    <w:rsid w:val="005C4074"/>
    <w:rsid w:val="005C4391"/>
    <w:rsid w:val="005C43C4"/>
    <w:rsid w:val="005C448C"/>
    <w:rsid w:val="005C44BC"/>
    <w:rsid w:val="005C45D6"/>
    <w:rsid w:val="005C45D8"/>
    <w:rsid w:val="005C4606"/>
    <w:rsid w:val="005C4671"/>
    <w:rsid w:val="005C46F2"/>
    <w:rsid w:val="005C474B"/>
    <w:rsid w:val="005C47CD"/>
    <w:rsid w:val="005C495C"/>
    <w:rsid w:val="005C4996"/>
    <w:rsid w:val="005C4A41"/>
    <w:rsid w:val="005C4C11"/>
    <w:rsid w:val="005C4C1F"/>
    <w:rsid w:val="005C4D1F"/>
    <w:rsid w:val="005C4D2D"/>
    <w:rsid w:val="005C4D59"/>
    <w:rsid w:val="005C4DA3"/>
    <w:rsid w:val="005C4E04"/>
    <w:rsid w:val="005C4E28"/>
    <w:rsid w:val="005C4F14"/>
    <w:rsid w:val="005C4F72"/>
    <w:rsid w:val="005C5004"/>
    <w:rsid w:val="005C5020"/>
    <w:rsid w:val="005C502D"/>
    <w:rsid w:val="005C505A"/>
    <w:rsid w:val="005C511D"/>
    <w:rsid w:val="005C5160"/>
    <w:rsid w:val="005C523F"/>
    <w:rsid w:val="005C5303"/>
    <w:rsid w:val="005C5311"/>
    <w:rsid w:val="005C535F"/>
    <w:rsid w:val="005C54F6"/>
    <w:rsid w:val="005C555C"/>
    <w:rsid w:val="005C5645"/>
    <w:rsid w:val="005C568A"/>
    <w:rsid w:val="005C56F3"/>
    <w:rsid w:val="005C570E"/>
    <w:rsid w:val="005C5788"/>
    <w:rsid w:val="005C57ED"/>
    <w:rsid w:val="005C57FB"/>
    <w:rsid w:val="005C58E6"/>
    <w:rsid w:val="005C5997"/>
    <w:rsid w:val="005C599E"/>
    <w:rsid w:val="005C59A7"/>
    <w:rsid w:val="005C5B1E"/>
    <w:rsid w:val="005C5CC2"/>
    <w:rsid w:val="005C5D88"/>
    <w:rsid w:val="005C5D8B"/>
    <w:rsid w:val="005C5DDC"/>
    <w:rsid w:val="005C60C9"/>
    <w:rsid w:val="005C610B"/>
    <w:rsid w:val="005C6125"/>
    <w:rsid w:val="005C6126"/>
    <w:rsid w:val="005C6148"/>
    <w:rsid w:val="005C61AA"/>
    <w:rsid w:val="005C62E8"/>
    <w:rsid w:val="005C6384"/>
    <w:rsid w:val="005C6542"/>
    <w:rsid w:val="005C65D4"/>
    <w:rsid w:val="005C65D6"/>
    <w:rsid w:val="005C664E"/>
    <w:rsid w:val="005C66D8"/>
    <w:rsid w:val="005C66F6"/>
    <w:rsid w:val="005C67BD"/>
    <w:rsid w:val="005C6879"/>
    <w:rsid w:val="005C68F5"/>
    <w:rsid w:val="005C6958"/>
    <w:rsid w:val="005C6997"/>
    <w:rsid w:val="005C6A0A"/>
    <w:rsid w:val="005C6B02"/>
    <w:rsid w:val="005C6DD8"/>
    <w:rsid w:val="005C6DFF"/>
    <w:rsid w:val="005C6E27"/>
    <w:rsid w:val="005C6E6F"/>
    <w:rsid w:val="005C7315"/>
    <w:rsid w:val="005C732A"/>
    <w:rsid w:val="005C734A"/>
    <w:rsid w:val="005C75F5"/>
    <w:rsid w:val="005C75FD"/>
    <w:rsid w:val="005C76CE"/>
    <w:rsid w:val="005C775D"/>
    <w:rsid w:val="005C77A8"/>
    <w:rsid w:val="005C783E"/>
    <w:rsid w:val="005C7969"/>
    <w:rsid w:val="005C7A05"/>
    <w:rsid w:val="005C7A59"/>
    <w:rsid w:val="005C7BCD"/>
    <w:rsid w:val="005C7BE4"/>
    <w:rsid w:val="005C7C8F"/>
    <w:rsid w:val="005C7CC6"/>
    <w:rsid w:val="005C7E29"/>
    <w:rsid w:val="005C7ED1"/>
    <w:rsid w:val="005C7F18"/>
    <w:rsid w:val="005C7F1A"/>
    <w:rsid w:val="005C7F55"/>
    <w:rsid w:val="005C7F80"/>
    <w:rsid w:val="005C7F8F"/>
    <w:rsid w:val="005D004E"/>
    <w:rsid w:val="005D0061"/>
    <w:rsid w:val="005D00A2"/>
    <w:rsid w:val="005D00A3"/>
    <w:rsid w:val="005D0120"/>
    <w:rsid w:val="005D016B"/>
    <w:rsid w:val="005D01A4"/>
    <w:rsid w:val="005D020A"/>
    <w:rsid w:val="005D0218"/>
    <w:rsid w:val="005D02AE"/>
    <w:rsid w:val="005D0391"/>
    <w:rsid w:val="005D0429"/>
    <w:rsid w:val="005D06EF"/>
    <w:rsid w:val="005D0913"/>
    <w:rsid w:val="005D096A"/>
    <w:rsid w:val="005D09CA"/>
    <w:rsid w:val="005D0A6E"/>
    <w:rsid w:val="005D0B3F"/>
    <w:rsid w:val="005D0B6A"/>
    <w:rsid w:val="005D0C90"/>
    <w:rsid w:val="005D0CC1"/>
    <w:rsid w:val="005D0E80"/>
    <w:rsid w:val="005D0F32"/>
    <w:rsid w:val="005D1008"/>
    <w:rsid w:val="005D100C"/>
    <w:rsid w:val="005D10DD"/>
    <w:rsid w:val="005D1155"/>
    <w:rsid w:val="005D11E2"/>
    <w:rsid w:val="005D1272"/>
    <w:rsid w:val="005D12E3"/>
    <w:rsid w:val="005D1301"/>
    <w:rsid w:val="005D130A"/>
    <w:rsid w:val="005D1320"/>
    <w:rsid w:val="005D1341"/>
    <w:rsid w:val="005D1342"/>
    <w:rsid w:val="005D13B0"/>
    <w:rsid w:val="005D13DE"/>
    <w:rsid w:val="005D1420"/>
    <w:rsid w:val="005D154A"/>
    <w:rsid w:val="005D15D7"/>
    <w:rsid w:val="005D1972"/>
    <w:rsid w:val="005D1982"/>
    <w:rsid w:val="005D1D31"/>
    <w:rsid w:val="005D1D32"/>
    <w:rsid w:val="005D1D5B"/>
    <w:rsid w:val="005D1DD6"/>
    <w:rsid w:val="005D1DD7"/>
    <w:rsid w:val="005D1E23"/>
    <w:rsid w:val="005D1EC7"/>
    <w:rsid w:val="005D1F03"/>
    <w:rsid w:val="005D2006"/>
    <w:rsid w:val="005D2092"/>
    <w:rsid w:val="005D2220"/>
    <w:rsid w:val="005D22BA"/>
    <w:rsid w:val="005D22CF"/>
    <w:rsid w:val="005D2451"/>
    <w:rsid w:val="005D2483"/>
    <w:rsid w:val="005D248D"/>
    <w:rsid w:val="005D24F7"/>
    <w:rsid w:val="005D254C"/>
    <w:rsid w:val="005D256B"/>
    <w:rsid w:val="005D2589"/>
    <w:rsid w:val="005D2613"/>
    <w:rsid w:val="005D2738"/>
    <w:rsid w:val="005D278B"/>
    <w:rsid w:val="005D2826"/>
    <w:rsid w:val="005D29EB"/>
    <w:rsid w:val="005D2B46"/>
    <w:rsid w:val="005D2B9F"/>
    <w:rsid w:val="005D2C02"/>
    <w:rsid w:val="005D2D50"/>
    <w:rsid w:val="005D2E09"/>
    <w:rsid w:val="005D2ED0"/>
    <w:rsid w:val="005D3093"/>
    <w:rsid w:val="005D30A4"/>
    <w:rsid w:val="005D312B"/>
    <w:rsid w:val="005D31D3"/>
    <w:rsid w:val="005D3204"/>
    <w:rsid w:val="005D32DF"/>
    <w:rsid w:val="005D32F9"/>
    <w:rsid w:val="005D3340"/>
    <w:rsid w:val="005D347F"/>
    <w:rsid w:val="005D348E"/>
    <w:rsid w:val="005D358B"/>
    <w:rsid w:val="005D35ED"/>
    <w:rsid w:val="005D3696"/>
    <w:rsid w:val="005D36DF"/>
    <w:rsid w:val="005D372E"/>
    <w:rsid w:val="005D3760"/>
    <w:rsid w:val="005D378D"/>
    <w:rsid w:val="005D37CD"/>
    <w:rsid w:val="005D38FB"/>
    <w:rsid w:val="005D39AD"/>
    <w:rsid w:val="005D39BF"/>
    <w:rsid w:val="005D3B98"/>
    <w:rsid w:val="005D3BE3"/>
    <w:rsid w:val="005D3BF5"/>
    <w:rsid w:val="005D3C98"/>
    <w:rsid w:val="005D3CFA"/>
    <w:rsid w:val="005D3D0C"/>
    <w:rsid w:val="005D3D14"/>
    <w:rsid w:val="005D3E16"/>
    <w:rsid w:val="005D3E23"/>
    <w:rsid w:val="005D3E27"/>
    <w:rsid w:val="005D3E32"/>
    <w:rsid w:val="005D3F9D"/>
    <w:rsid w:val="005D40A8"/>
    <w:rsid w:val="005D40C6"/>
    <w:rsid w:val="005D413D"/>
    <w:rsid w:val="005D41B2"/>
    <w:rsid w:val="005D420D"/>
    <w:rsid w:val="005D43F9"/>
    <w:rsid w:val="005D44BC"/>
    <w:rsid w:val="005D4538"/>
    <w:rsid w:val="005D4553"/>
    <w:rsid w:val="005D4599"/>
    <w:rsid w:val="005D4634"/>
    <w:rsid w:val="005D474D"/>
    <w:rsid w:val="005D479D"/>
    <w:rsid w:val="005D481F"/>
    <w:rsid w:val="005D488E"/>
    <w:rsid w:val="005D4891"/>
    <w:rsid w:val="005D48B4"/>
    <w:rsid w:val="005D49F0"/>
    <w:rsid w:val="005D4A83"/>
    <w:rsid w:val="005D4B33"/>
    <w:rsid w:val="005D4B3D"/>
    <w:rsid w:val="005D4BBB"/>
    <w:rsid w:val="005D4C1A"/>
    <w:rsid w:val="005D4CEF"/>
    <w:rsid w:val="005D4E8A"/>
    <w:rsid w:val="005D4E92"/>
    <w:rsid w:val="005D4EEE"/>
    <w:rsid w:val="005D4F41"/>
    <w:rsid w:val="005D5071"/>
    <w:rsid w:val="005D51DB"/>
    <w:rsid w:val="005D51FC"/>
    <w:rsid w:val="005D5271"/>
    <w:rsid w:val="005D52EF"/>
    <w:rsid w:val="005D5385"/>
    <w:rsid w:val="005D54F2"/>
    <w:rsid w:val="005D5529"/>
    <w:rsid w:val="005D55B5"/>
    <w:rsid w:val="005D565F"/>
    <w:rsid w:val="005D5678"/>
    <w:rsid w:val="005D56B2"/>
    <w:rsid w:val="005D575E"/>
    <w:rsid w:val="005D57CA"/>
    <w:rsid w:val="005D581C"/>
    <w:rsid w:val="005D592D"/>
    <w:rsid w:val="005D5A2F"/>
    <w:rsid w:val="005D5A78"/>
    <w:rsid w:val="005D5B49"/>
    <w:rsid w:val="005D5BE8"/>
    <w:rsid w:val="005D5C44"/>
    <w:rsid w:val="005D5C50"/>
    <w:rsid w:val="005D5CB9"/>
    <w:rsid w:val="005D5D16"/>
    <w:rsid w:val="005D5D97"/>
    <w:rsid w:val="005D5E20"/>
    <w:rsid w:val="005D5EA6"/>
    <w:rsid w:val="005D5EB4"/>
    <w:rsid w:val="005D5EDC"/>
    <w:rsid w:val="005D5EE7"/>
    <w:rsid w:val="005D5FB8"/>
    <w:rsid w:val="005D5FCF"/>
    <w:rsid w:val="005D6005"/>
    <w:rsid w:val="005D6047"/>
    <w:rsid w:val="005D60D2"/>
    <w:rsid w:val="005D6105"/>
    <w:rsid w:val="005D61DD"/>
    <w:rsid w:val="005D621F"/>
    <w:rsid w:val="005D6330"/>
    <w:rsid w:val="005D6488"/>
    <w:rsid w:val="005D6586"/>
    <w:rsid w:val="005D65B0"/>
    <w:rsid w:val="005D65BD"/>
    <w:rsid w:val="005D681D"/>
    <w:rsid w:val="005D6896"/>
    <w:rsid w:val="005D696D"/>
    <w:rsid w:val="005D6A0F"/>
    <w:rsid w:val="005D6A1F"/>
    <w:rsid w:val="005D6B81"/>
    <w:rsid w:val="005D6BF9"/>
    <w:rsid w:val="005D6C3E"/>
    <w:rsid w:val="005D6D0B"/>
    <w:rsid w:val="005D6DEF"/>
    <w:rsid w:val="005D6E10"/>
    <w:rsid w:val="005D6EAE"/>
    <w:rsid w:val="005D6F16"/>
    <w:rsid w:val="005D6F20"/>
    <w:rsid w:val="005D701C"/>
    <w:rsid w:val="005D7093"/>
    <w:rsid w:val="005D7107"/>
    <w:rsid w:val="005D7148"/>
    <w:rsid w:val="005D719B"/>
    <w:rsid w:val="005D71AC"/>
    <w:rsid w:val="005D727C"/>
    <w:rsid w:val="005D72A7"/>
    <w:rsid w:val="005D73B2"/>
    <w:rsid w:val="005D73C3"/>
    <w:rsid w:val="005D748B"/>
    <w:rsid w:val="005D74EB"/>
    <w:rsid w:val="005D7649"/>
    <w:rsid w:val="005D76B7"/>
    <w:rsid w:val="005D774B"/>
    <w:rsid w:val="005D7770"/>
    <w:rsid w:val="005D7808"/>
    <w:rsid w:val="005D7892"/>
    <w:rsid w:val="005D789D"/>
    <w:rsid w:val="005D78C7"/>
    <w:rsid w:val="005D7A24"/>
    <w:rsid w:val="005D7B9E"/>
    <w:rsid w:val="005D7C31"/>
    <w:rsid w:val="005D7CFC"/>
    <w:rsid w:val="005D7DB1"/>
    <w:rsid w:val="005D7E6F"/>
    <w:rsid w:val="005D7E70"/>
    <w:rsid w:val="005D7E86"/>
    <w:rsid w:val="005D7F01"/>
    <w:rsid w:val="005D7F4D"/>
    <w:rsid w:val="005D7F72"/>
    <w:rsid w:val="005D7F79"/>
    <w:rsid w:val="005E0140"/>
    <w:rsid w:val="005E0195"/>
    <w:rsid w:val="005E01B6"/>
    <w:rsid w:val="005E0277"/>
    <w:rsid w:val="005E0366"/>
    <w:rsid w:val="005E0369"/>
    <w:rsid w:val="005E04D0"/>
    <w:rsid w:val="005E05FC"/>
    <w:rsid w:val="005E0678"/>
    <w:rsid w:val="005E0688"/>
    <w:rsid w:val="005E06EB"/>
    <w:rsid w:val="005E0739"/>
    <w:rsid w:val="005E0746"/>
    <w:rsid w:val="005E0747"/>
    <w:rsid w:val="005E079C"/>
    <w:rsid w:val="005E07A2"/>
    <w:rsid w:val="005E0A0A"/>
    <w:rsid w:val="005E0A10"/>
    <w:rsid w:val="005E0B99"/>
    <w:rsid w:val="005E0C27"/>
    <w:rsid w:val="005E0C64"/>
    <w:rsid w:val="005E0CCE"/>
    <w:rsid w:val="005E0D1D"/>
    <w:rsid w:val="005E0E24"/>
    <w:rsid w:val="005E1032"/>
    <w:rsid w:val="005E115D"/>
    <w:rsid w:val="005E11E3"/>
    <w:rsid w:val="005E12B3"/>
    <w:rsid w:val="005E12CF"/>
    <w:rsid w:val="005E1411"/>
    <w:rsid w:val="005E141C"/>
    <w:rsid w:val="005E1495"/>
    <w:rsid w:val="005E1587"/>
    <w:rsid w:val="005E16A7"/>
    <w:rsid w:val="005E16ED"/>
    <w:rsid w:val="005E179F"/>
    <w:rsid w:val="005E17A5"/>
    <w:rsid w:val="005E180C"/>
    <w:rsid w:val="005E1895"/>
    <w:rsid w:val="005E18C6"/>
    <w:rsid w:val="005E18DB"/>
    <w:rsid w:val="005E1B54"/>
    <w:rsid w:val="005E1BC5"/>
    <w:rsid w:val="005E1C68"/>
    <w:rsid w:val="005E1D7E"/>
    <w:rsid w:val="005E1D93"/>
    <w:rsid w:val="005E1DB1"/>
    <w:rsid w:val="005E1DBB"/>
    <w:rsid w:val="005E1F0C"/>
    <w:rsid w:val="005E1F95"/>
    <w:rsid w:val="005E200E"/>
    <w:rsid w:val="005E2011"/>
    <w:rsid w:val="005E20BE"/>
    <w:rsid w:val="005E2133"/>
    <w:rsid w:val="005E22D5"/>
    <w:rsid w:val="005E22EB"/>
    <w:rsid w:val="005E22F1"/>
    <w:rsid w:val="005E2306"/>
    <w:rsid w:val="005E236E"/>
    <w:rsid w:val="005E23A4"/>
    <w:rsid w:val="005E257F"/>
    <w:rsid w:val="005E25E1"/>
    <w:rsid w:val="005E26EB"/>
    <w:rsid w:val="005E274E"/>
    <w:rsid w:val="005E28B8"/>
    <w:rsid w:val="005E2911"/>
    <w:rsid w:val="005E295B"/>
    <w:rsid w:val="005E2988"/>
    <w:rsid w:val="005E29C1"/>
    <w:rsid w:val="005E2C17"/>
    <w:rsid w:val="005E2CD2"/>
    <w:rsid w:val="005E2D0D"/>
    <w:rsid w:val="005E2DAA"/>
    <w:rsid w:val="005E2DBD"/>
    <w:rsid w:val="005E2E23"/>
    <w:rsid w:val="005E3096"/>
    <w:rsid w:val="005E30C7"/>
    <w:rsid w:val="005E30F7"/>
    <w:rsid w:val="005E3168"/>
    <w:rsid w:val="005E3175"/>
    <w:rsid w:val="005E317B"/>
    <w:rsid w:val="005E3288"/>
    <w:rsid w:val="005E32AB"/>
    <w:rsid w:val="005E32CA"/>
    <w:rsid w:val="005E333D"/>
    <w:rsid w:val="005E334C"/>
    <w:rsid w:val="005E34C5"/>
    <w:rsid w:val="005E3536"/>
    <w:rsid w:val="005E357A"/>
    <w:rsid w:val="005E3621"/>
    <w:rsid w:val="005E375D"/>
    <w:rsid w:val="005E37C8"/>
    <w:rsid w:val="005E3807"/>
    <w:rsid w:val="005E3902"/>
    <w:rsid w:val="005E3963"/>
    <w:rsid w:val="005E39D4"/>
    <w:rsid w:val="005E39FA"/>
    <w:rsid w:val="005E3ACD"/>
    <w:rsid w:val="005E3C32"/>
    <w:rsid w:val="005E3CCD"/>
    <w:rsid w:val="005E3E27"/>
    <w:rsid w:val="005E3E40"/>
    <w:rsid w:val="005E4057"/>
    <w:rsid w:val="005E407B"/>
    <w:rsid w:val="005E4083"/>
    <w:rsid w:val="005E40AE"/>
    <w:rsid w:val="005E40DB"/>
    <w:rsid w:val="005E40F5"/>
    <w:rsid w:val="005E4102"/>
    <w:rsid w:val="005E412A"/>
    <w:rsid w:val="005E41C0"/>
    <w:rsid w:val="005E4248"/>
    <w:rsid w:val="005E4278"/>
    <w:rsid w:val="005E42C1"/>
    <w:rsid w:val="005E4344"/>
    <w:rsid w:val="005E4376"/>
    <w:rsid w:val="005E44C1"/>
    <w:rsid w:val="005E4507"/>
    <w:rsid w:val="005E4754"/>
    <w:rsid w:val="005E48A2"/>
    <w:rsid w:val="005E48A3"/>
    <w:rsid w:val="005E48C4"/>
    <w:rsid w:val="005E4924"/>
    <w:rsid w:val="005E49B1"/>
    <w:rsid w:val="005E4B5B"/>
    <w:rsid w:val="005E4BC9"/>
    <w:rsid w:val="005E4EEB"/>
    <w:rsid w:val="005E4F12"/>
    <w:rsid w:val="005E4FDE"/>
    <w:rsid w:val="005E5030"/>
    <w:rsid w:val="005E506C"/>
    <w:rsid w:val="005E5078"/>
    <w:rsid w:val="005E508C"/>
    <w:rsid w:val="005E50E9"/>
    <w:rsid w:val="005E51A3"/>
    <w:rsid w:val="005E53C1"/>
    <w:rsid w:val="005E53DC"/>
    <w:rsid w:val="005E53E4"/>
    <w:rsid w:val="005E546C"/>
    <w:rsid w:val="005E5482"/>
    <w:rsid w:val="005E54EC"/>
    <w:rsid w:val="005E5564"/>
    <w:rsid w:val="005E560B"/>
    <w:rsid w:val="005E56C7"/>
    <w:rsid w:val="005E57FF"/>
    <w:rsid w:val="005E580A"/>
    <w:rsid w:val="005E597C"/>
    <w:rsid w:val="005E5A09"/>
    <w:rsid w:val="005E5AE9"/>
    <w:rsid w:val="005E5BD1"/>
    <w:rsid w:val="005E5C38"/>
    <w:rsid w:val="005E5D3D"/>
    <w:rsid w:val="005E5E3F"/>
    <w:rsid w:val="005E5E7C"/>
    <w:rsid w:val="005E5EC9"/>
    <w:rsid w:val="005E5ECC"/>
    <w:rsid w:val="005E602B"/>
    <w:rsid w:val="005E6032"/>
    <w:rsid w:val="005E6067"/>
    <w:rsid w:val="005E61A1"/>
    <w:rsid w:val="005E61D2"/>
    <w:rsid w:val="005E6230"/>
    <w:rsid w:val="005E6252"/>
    <w:rsid w:val="005E629E"/>
    <w:rsid w:val="005E62C7"/>
    <w:rsid w:val="005E62DB"/>
    <w:rsid w:val="005E64A1"/>
    <w:rsid w:val="005E6520"/>
    <w:rsid w:val="005E6538"/>
    <w:rsid w:val="005E65AE"/>
    <w:rsid w:val="005E667A"/>
    <w:rsid w:val="005E6680"/>
    <w:rsid w:val="005E66A7"/>
    <w:rsid w:val="005E66CE"/>
    <w:rsid w:val="005E67AA"/>
    <w:rsid w:val="005E6817"/>
    <w:rsid w:val="005E68B7"/>
    <w:rsid w:val="005E6932"/>
    <w:rsid w:val="005E696F"/>
    <w:rsid w:val="005E6AD4"/>
    <w:rsid w:val="005E6BD0"/>
    <w:rsid w:val="005E6BFB"/>
    <w:rsid w:val="005E6C65"/>
    <w:rsid w:val="005E6D79"/>
    <w:rsid w:val="005E6DD5"/>
    <w:rsid w:val="005E6DFF"/>
    <w:rsid w:val="005E6E63"/>
    <w:rsid w:val="005E6F44"/>
    <w:rsid w:val="005E6F53"/>
    <w:rsid w:val="005E714A"/>
    <w:rsid w:val="005E71AD"/>
    <w:rsid w:val="005E71B9"/>
    <w:rsid w:val="005E71CA"/>
    <w:rsid w:val="005E72DC"/>
    <w:rsid w:val="005E7644"/>
    <w:rsid w:val="005E76A0"/>
    <w:rsid w:val="005E776F"/>
    <w:rsid w:val="005E77FE"/>
    <w:rsid w:val="005E78CB"/>
    <w:rsid w:val="005E7A50"/>
    <w:rsid w:val="005E7A7D"/>
    <w:rsid w:val="005E7BFF"/>
    <w:rsid w:val="005E7C26"/>
    <w:rsid w:val="005E7CC3"/>
    <w:rsid w:val="005E7D05"/>
    <w:rsid w:val="005E7D70"/>
    <w:rsid w:val="005E7DBA"/>
    <w:rsid w:val="005E7DC2"/>
    <w:rsid w:val="005E7F3E"/>
    <w:rsid w:val="005E7FDF"/>
    <w:rsid w:val="005F01BE"/>
    <w:rsid w:val="005F020D"/>
    <w:rsid w:val="005F03CF"/>
    <w:rsid w:val="005F0457"/>
    <w:rsid w:val="005F0481"/>
    <w:rsid w:val="005F04B6"/>
    <w:rsid w:val="005F04D9"/>
    <w:rsid w:val="005F04FC"/>
    <w:rsid w:val="005F0526"/>
    <w:rsid w:val="005F0591"/>
    <w:rsid w:val="005F0600"/>
    <w:rsid w:val="005F0676"/>
    <w:rsid w:val="005F067A"/>
    <w:rsid w:val="005F069E"/>
    <w:rsid w:val="005F074F"/>
    <w:rsid w:val="005F076E"/>
    <w:rsid w:val="005F079D"/>
    <w:rsid w:val="005F0925"/>
    <w:rsid w:val="005F092B"/>
    <w:rsid w:val="005F0930"/>
    <w:rsid w:val="005F09AB"/>
    <w:rsid w:val="005F09B9"/>
    <w:rsid w:val="005F0ACE"/>
    <w:rsid w:val="005F0B12"/>
    <w:rsid w:val="005F0B1C"/>
    <w:rsid w:val="005F0BB5"/>
    <w:rsid w:val="005F0CF0"/>
    <w:rsid w:val="005F0D0A"/>
    <w:rsid w:val="005F0D70"/>
    <w:rsid w:val="005F0D7C"/>
    <w:rsid w:val="005F0D83"/>
    <w:rsid w:val="005F0E4A"/>
    <w:rsid w:val="005F0EAD"/>
    <w:rsid w:val="005F0F2F"/>
    <w:rsid w:val="005F0FCE"/>
    <w:rsid w:val="005F10A6"/>
    <w:rsid w:val="005F12B5"/>
    <w:rsid w:val="005F15B3"/>
    <w:rsid w:val="005F15C4"/>
    <w:rsid w:val="005F1613"/>
    <w:rsid w:val="005F1633"/>
    <w:rsid w:val="005F1A5E"/>
    <w:rsid w:val="005F1CE6"/>
    <w:rsid w:val="005F1CEB"/>
    <w:rsid w:val="005F1EBD"/>
    <w:rsid w:val="005F1EC0"/>
    <w:rsid w:val="005F1EF2"/>
    <w:rsid w:val="005F1F23"/>
    <w:rsid w:val="005F1FE5"/>
    <w:rsid w:val="005F1FFB"/>
    <w:rsid w:val="005F2014"/>
    <w:rsid w:val="005F2126"/>
    <w:rsid w:val="005F2152"/>
    <w:rsid w:val="005F2155"/>
    <w:rsid w:val="005F2182"/>
    <w:rsid w:val="005F2281"/>
    <w:rsid w:val="005F22C3"/>
    <w:rsid w:val="005F2392"/>
    <w:rsid w:val="005F23A0"/>
    <w:rsid w:val="005F2775"/>
    <w:rsid w:val="005F2777"/>
    <w:rsid w:val="005F278B"/>
    <w:rsid w:val="005F27E4"/>
    <w:rsid w:val="005F282A"/>
    <w:rsid w:val="005F28C9"/>
    <w:rsid w:val="005F2A48"/>
    <w:rsid w:val="005F2B2D"/>
    <w:rsid w:val="005F2BA5"/>
    <w:rsid w:val="005F2DC8"/>
    <w:rsid w:val="005F2E3A"/>
    <w:rsid w:val="005F2F69"/>
    <w:rsid w:val="005F2FDD"/>
    <w:rsid w:val="005F3017"/>
    <w:rsid w:val="005F328E"/>
    <w:rsid w:val="005F329F"/>
    <w:rsid w:val="005F3303"/>
    <w:rsid w:val="005F33BE"/>
    <w:rsid w:val="005F33FC"/>
    <w:rsid w:val="005F3462"/>
    <w:rsid w:val="005F3531"/>
    <w:rsid w:val="005F3552"/>
    <w:rsid w:val="005F357D"/>
    <w:rsid w:val="005F36D0"/>
    <w:rsid w:val="005F37E0"/>
    <w:rsid w:val="005F3888"/>
    <w:rsid w:val="005F3913"/>
    <w:rsid w:val="005F395D"/>
    <w:rsid w:val="005F3AE1"/>
    <w:rsid w:val="005F3B00"/>
    <w:rsid w:val="005F3B38"/>
    <w:rsid w:val="005F3B8F"/>
    <w:rsid w:val="005F3C76"/>
    <w:rsid w:val="005F3D40"/>
    <w:rsid w:val="005F3F38"/>
    <w:rsid w:val="005F3F63"/>
    <w:rsid w:val="005F400E"/>
    <w:rsid w:val="005F410F"/>
    <w:rsid w:val="005F42E3"/>
    <w:rsid w:val="005F43A4"/>
    <w:rsid w:val="005F4472"/>
    <w:rsid w:val="005F45EB"/>
    <w:rsid w:val="005F4637"/>
    <w:rsid w:val="005F46FC"/>
    <w:rsid w:val="005F477D"/>
    <w:rsid w:val="005F47D7"/>
    <w:rsid w:val="005F491A"/>
    <w:rsid w:val="005F495A"/>
    <w:rsid w:val="005F49A2"/>
    <w:rsid w:val="005F4A21"/>
    <w:rsid w:val="005F4A9C"/>
    <w:rsid w:val="005F4AE1"/>
    <w:rsid w:val="005F4BBA"/>
    <w:rsid w:val="005F4C70"/>
    <w:rsid w:val="005F4CE3"/>
    <w:rsid w:val="005F4DA2"/>
    <w:rsid w:val="005F4E82"/>
    <w:rsid w:val="005F4E84"/>
    <w:rsid w:val="005F4F1B"/>
    <w:rsid w:val="005F4F73"/>
    <w:rsid w:val="005F4F8F"/>
    <w:rsid w:val="005F5085"/>
    <w:rsid w:val="005F5230"/>
    <w:rsid w:val="005F53DC"/>
    <w:rsid w:val="005F53E6"/>
    <w:rsid w:val="005F54AA"/>
    <w:rsid w:val="005F55AA"/>
    <w:rsid w:val="005F55CB"/>
    <w:rsid w:val="005F5613"/>
    <w:rsid w:val="005F564C"/>
    <w:rsid w:val="005F5677"/>
    <w:rsid w:val="005F5693"/>
    <w:rsid w:val="005F56F8"/>
    <w:rsid w:val="005F57EC"/>
    <w:rsid w:val="005F59BB"/>
    <w:rsid w:val="005F5AB5"/>
    <w:rsid w:val="005F5AC1"/>
    <w:rsid w:val="005F5BAC"/>
    <w:rsid w:val="005F5BBC"/>
    <w:rsid w:val="005F5BC1"/>
    <w:rsid w:val="005F5C05"/>
    <w:rsid w:val="005F5DF6"/>
    <w:rsid w:val="005F5DF9"/>
    <w:rsid w:val="005F5E97"/>
    <w:rsid w:val="005F5EFB"/>
    <w:rsid w:val="005F5F70"/>
    <w:rsid w:val="005F5F91"/>
    <w:rsid w:val="005F6067"/>
    <w:rsid w:val="005F608B"/>
    <w:rsid w:val="005F6105"/>
    <w:rsid w:val="005F641A"/>
    <w:rsid w:val="005F6434"/>
    <w:rsid w:val="005F655C"/>
    <w:rsid w:val="005F6678"/>
    <w:rsid w:val="005F667F"/>
    <w:rsid w:val="005F671A"/>
    <w:rsid w:val="005F6813"/>
    <w:rsid w:val="005F684F"/>
    <w:rsid w:val="005F68EB"/>
    <w:rsid w:val="005F6A02"/>
    <w:rsid w:val="005F6A2E"/>
    <w:rsid w:val="005F6A49"/>
    <w:rsid w:val="005F6AAE"/>
    <w:rsid w:val="005F6AB9"/>
    <w:rsid w:val="005F6B83"/>
    <w:rsid w:val="005F6F0C"/>
    <w:rsid w:val="005F6F84"/>
    <w:rsid w:val="005F7067"/>
    <w:rsid w:val="005F709D"/>
    <w:rsid w:val="005F7123"/>
    <w:rsid w:val="005F7305"/>
    <w:rsid w:val="005F7449"/>
    <w:rsid w:val="005F752A"/>
    <w:rsid w:val="005F7546"/>
    <w:rsid w:val="005F75C5"/>
    <w:rsid w:val="005F7760"/>
    <w:rsid w:val="005F77BA"/>
    <w:rsid w:val="005F786D"/>
    <w:rsid w:val="005F787A"/>
    <w:rsid w:val="005F787E"/>
    <w:rsid w:val="005F78EE"/>
    <w:rsid w:val="005F79D7"/>
    <w:rsid w:val="005F7A31"/>
    <w:rsid w:val="005F7BF3"/>
    <w:rsid w:val="005F7D7F"/>
    <w:rsid w:val="005F7D85"/>
    <w:rsid w:val="005F7D8F"/>
    <w:rsid w:val="005F7E2F"/>
    <w:rsid w:val="005F7E60"/>
    <w:rsid w:val="005F7EA3"/>
    <w:rsid w:val="005F7EB6"/>
    <w:rsid w:val="005F7EF9"/>
    <w:rsid w:val="005F7F2D"/>
    <w:rsid w:val="005F7FB4"/>
    <w:rsid w:val="005F7FD6"/>
    <w:rsid w:val="0060006F"/>
    <w:rsid w:val="00600075"/>
    <w:rsid w:val="006000E0"/>
    <w:rsid w:val="00600144"/>
    <w:rsid w:val="0060015B"/>
    <w:rsid w:val="006001DC"/>
    <w:rsid w:val="006002CE"/>
    <w:rsid w:val="00600359"/>
    <w:rsid w:val="00600374"/>
    <w:rsid w:val="0060040D"/>
    <w:rsid w:val="0060069F"/>
    <w:rsid w:val="00600709"/>
    <w:rsid w:val="0060080F"/>
    <w:rsid w:val="0060087E"/>
    <w:rsid w:val="006008EC"/>
    <w:rsid w:val="006009D6"/>
    <w:rsid w:val="00600B21"/>
    <w:rsid w:val="00600B9D"/>
    <w:rsid w:val="00600CA9"/>
    <w:rsid w:val="00600EBF"/>
    <w:rsid w:val="00600F27"/>
    <w:rsid w:val="00600F75"/>
    <w:rsid w:val="00600FC7"/>
    <w:rsid w:val="006010A8"/>
    <w:rsid w:val="0060111A"/>
    <w:rsid w:val="00601167"/>
    <w:rsid w:val="0060144E"/>
    <w:rsid w:val="0060153C"/>
    <w:rsid w:val="00601552"/>
    <w:rsid w:val="0060176D"/>
    <w:rsid w:val="00601795"/>
    <w:rsid w:val="006017BD"/>
    <w:rsid w:val="00601860"/>
    <w:rsid w:val="006018AC"/>
    <w:rsid w:val="006018DD"/>
    <w:rsid w:val="0060194E"/>
    <w:rsid w:val="0060196F"/>
    <w:rsid w:val="006019A1"/>
    <w:rsid w:val="00601A0D"/>
    <w:rsid w:val="00601A16"/>
    <w:rsid w:val="00601A33"/>
    <w:rsid w:val="00601BAB"/>
    <w:rsid w:val="00601D4E"/>
    <w:rsid w:val="00601DC8"/>
    <w:rsid w:val="00601E98"/>
    <w:rsid w:val="00601EE6"/>
    <w:rsid w:val="00601EEA"/>
    <w:rsid w:val="00601FEB"/>
    <w:rsid w:val="006020E7"/>
    <w:rsid w:val="0060221C"/>
    <w:rsid w:val="00602245"/>
    <w:rsid w:val="006022DA"/>
    <w:rsid w:val="0060239D"/>
    <w:rsid w:val="006024E0"/>
    <w:rsid w:val="006024FE"/>
    <w:rsid w:val="00602519"/>
    <w:rsid w:val="006026B8"/>
    <w:rsid w:val="00602780"/>
    <w:rsid w:val="006028E3"/>
    <w:rsid w:val="00602922"/>
    <w:rsid w:val="00602ADF"/>
    <w:rsid w:val="00602BB8"/>
    <w:rsid w:val="00602C21"/>
    <w:rsid w:val="00602C7D"/>
    <w:rsid w:val="00602DA1"/>
    <w:rsid w:val="00602DD1"/>
    <w:rsid w:val="00602E34"/>
    <w:rsid w:val="00602E3D"/>
    <w:rsid w:val="00602E4C"/>
    <w:rsid w:val="00602E87"/>
    <w:rsid w:val="00602F1C"/>
    <w:rsid w:val="00602F6E"/>
    <w:rsid w:val="0060304A"/>
    <w:rsid w:val="00603165"/>
    <w:rsid w:val="0060328B"/>
    <w:rsid w:val="006032DD"/>
    <w:rsid w:val="006033AF"/>
    <w:rsid w:val="0060346F"/>
    <w:rsid w:val="00603522"/>
    <w:rsid w:val="00603685"/>
    <w:rsid w:val="00603785"/>
    <w:rsid w:val="0060378C"/>
    <w:rsid w:val="006037C9"/>
    <w:rsid w:val="006038E6"/>
    <w:rsid w:val="00603985"/>
    <w:rsid w:val="006039EB"/>
    <w:rsid w:val="00603A56"/>
    <w:rsid w:val="00603A9C"/>
    <w:rsid w:val="00603D39"/>
    <w:rsid w:val="00603D8C"/>
    <w:rsid w:val="00603DDA"/>
    <w:rsid w:val="00603DDF"/>
    <w:rsid w:val="00603FAE"/>
    <w:rsid w:val="0060403A"/>
    <w:rsid w:val="006043A6"/>
    <w:rsid w:val="006043CA"/>
    <w:rsid w:val="006044EC"/>
    <w:rsid w:val="0060452F"/>
    <w:rsid w:val="00604534"/>
    <w:rsid w:val="0060456F"/>
    <w:rsid w:val="006046F6"/>
    <w:rsid w:val="006046FD"/>
    <w:rsid w:val="00604787"/>
    <w:rsid w:val="0060495C"/>
    <w:rsid w:val="00604ADB"/>
    <w:rsid w:val="00604B9B"/>
    <w:rsid w:val="00604ECF"/>
    <w:rsid w:val="00604F2A"/>
    <w:rsid w:val="00604F4A"/>
    <w:rsid w:val="00604FC8"/>
    <w:rsid w:val="00605037"/>
    <w:rsid w:val="0060513A"/>
    <w:rsid w:val="00605300"/>
    <w:rsid w:val="00605311"/>
    <w:rsid w:val="00605334"/>
    <w:rsid w:val="00605387"/>
    <w:rsid w:val="006054C1"/>
    <w:rsid w:val="006054F1"/>
    <w:rsid w:val="0060558F"/>
    <w:rsid w:val="006055D1"/>
    <w:rsid w:val="006057EE"/>
    <w:rsid w:val="00605872"/>
    <w:rsid w:val="0060590A"/>
    <w:rsid w:val="00605971"/>
    <w:rsid w:val="006059E6"/>
    <w:rsid w:val="00605A06"/>
    <w:rsid w:val="00605A0B"/>
    <w:rsid w:val="00605AC2"/>
    <w:rsid w:val="00605AEC"/>
    <w:rsid w:val="00605B32"/>
    <w:rsid w:val="00605CCA"/>
    <w:rsid w:val="00605CF3"/>
    <w:rsid w:val="00605D02"/>
    <w:rsid w:val="00605D14"/>
    <w:rsid w:val="00605E1B"/>
    <w:rsid w:val="00605E4F"/>
    <w:rsid w:val="00605E9E"/>
    <w:rsid w:val="00605F37"/>
    <w:rsid w:val="00605FAE"/>
    <w:rsid w:val="0060608B"/>
    <w:rsid w:val="006060B3"/>
    <w:rsid w:val="006061F9"/>
    <w:rsid w:val="00606336"/>
    <w:rsid w:val="00606363"/>
    <w:rsid w:val="006063C0"/>
    <w:rsid w:val="00606488"/>
    <w:rsid w:val="006064E9"/>
    <w:rsid w:val="0060652F"/>
    <w:rsid w:val="00606533"/>
    <w:rsid w:val="0060656B"/>
    <w:rsid w:val="00606695"/>
    <w:rsid w:val="006066DD"/>
    <w:rsid w:val="0060686D"/>
    <w:rsid w:val="0060690C"/>
    <w:rsid w:val="00606920"/>
    <w:rsid w:val="0060698F"/>
    <w:rsid w:val="00606A0E"/>
    <w:rsid w:val="00606A23"/>
    <w:rsid w:val="00606A26"/>
    <w:rsid w:val="00606DE3"/>
    <w:rsid w:val="00606E2A"/>
    <w:rsid w:val="00606ED9"/>
    <w:rsid w:val="00606EED"/>
    <w:rsid w:val="00606FBD"/>
    <w:rsid w:val="006070D6"/>
    <w:rsid w:val="006071A8"/>
    <w:rsid w:val="006071D0"/>
    <w:rsid w:val="00607235"/>
    <w:rsid w:val="006072A6"/>
    <w:rsid w:val="006072FE"/>
    <w:rsid w:val="00607353"/>
    <w:rsid w:val="0060738A"/>
    <w:rsid w:val="00607449"/>
    <w:rsid w:val="0060744E"/>
    <w:rsid w:val="006074BB"/>
    <w:rsid w:val="006074F0"/>
    <w:rsid w:val="006076BA"/>
    <w:rsid w:val="00607843"/>
    <w:rsid w:val="00607890"/>
    <w:rsid w:val="006078EC"/>
    <w:rsid w:val="00607C93"/>
    <w:rsid w:val="00607DD6"/>
    <w:rsid w:val="00607F15"/>
    <w:rsid w:val="006100D3"/>
    <w:rsid w:val="0061011E"/>
    <w:rsid w:val="00610248"/>
    <w:rsid w:val="006102A1"/>
    <w:rsid w:val="00610326"/>
    <w:rsid w:val="00610411"/>
    <w:rsid w:val="00610434"/>
    <w:rsid w:val="00610480"/>
    <w:rsid w:val="006104F6"/>
    <w:rsid w:val="006105C9"/>
    <w:rsid w:val="00610612"/>
    <w:rsid w:val="0061067F"/>
    <w:rsid w:val="006106C8"/>
    <w:rsid w:val="00610762"/>
    <w:rsid w:val="0061081C"/>
    <w:rsid w:val="006108B9"/>
    <w:rsid w:val="006108D3"/>
    <w:rsid w:val="00610ABC"/>
    <w:rsid w:val="00610AE0"/>
    <w:rsid w:val="00610BDE"/>
    <w:rsid w:val="00610CC7"/>
    <w:rsid w:val="00610DEF"/>
    <w:rsid w:val="00610E48"/>
    <w:rsid w:val="00610E63"/>
    <w:rsid w:val="00610E78"/>
    <w:rsid w:val="00610F99"/>
    <w:rsid w:val="00610FA7"/>
    <w:rsid w:val="00611096"/>
    <w:rsid w:val="0061118C"/>
    <w:rsid w:val="006111D4"/>
    <w:rsid w:val="006112B7"/>
    <w:rsid w:val="00611306"/>
    <w:rsid w:val="0061131D"/>
    <w:rsid w:val="006113F1"/>
    <w:rsid w:val="0061159C"/>
    <w:rsid w:val="006115E7"/>
    <w:rsid w:val="00611677"/>
    <w:rsid w:val="006117E1"/>
    <w:rsid w:val="00611903"/>
    <w:rsid w:val="006119B9"/>
    <w:rsid w:val="006119F8"/>
    <w:rsid w:val="00611A3A"/>
    <w:rsid w:val="00611A9D"/>
    <w:rsid w:val="00611B49"/>
    <w:rsid w:val="00611B51"/>
    <w:rsid w:val="00611B5A"/>
    <w:rsid w:val="00611C18"/>
    <w:rsid w:val="00611D02"/>
    <w:rsid w:val="00611D9C"/>
    <w:rsid w:val="00611DD6"/>
    <w:rsid w:val="00611E28"/>
    <w:rsid w:val="00611F5A"/>
    <w:rsid w:val="00611F95"/>
    <w:rsid w:val="00611FC9"/>
    <w:rsid w:val="00612159"/>
    <w:rsid w:val="00612176"/>
    <w:rsid w:val="00612214"/>
    <w:rsid w:val="00612297"/>
    <w:rsid w:val="006122C9"/>
    <w:rsid w:val="006122D6"/>
    <w:rsid w:val="006122F4"/>
    <w:rsid w:val="0061238F"/>
    <w:rsid w:val="0061247D"/>
    <w:rsid w:val="00612544"/>
    <w:rsid w:val="00612551"/>
    <w:rsid w:val="006125CD"/>
    <w:rsid w:val="00612703"/>
    <w:rsid w:val="00612769"/>
    <w:rsid w:val="0061278B"/>
    <w:rsid w:val="0061278E"/>
    <w:rsid w:val="00612883"/>
    <w:rsid w:val="00612B2F"/>
    <w:rsid w:val="00612D69"/>
    <w:rsid w:val="00612DCB"/>
    <w:rsid w:val="00612EB4"/>
    <w:rsid w:val="00612FA4"/>
    <w:rsid w:val="00613032"/>
    <w:rsid w:val="006130C8"/>
    <w:rsid w:val="0061310B"/>
    <w:rsid w:val="00613141"/>
    <w:rsid w:val="00613178"/>
    <w:rsid w:val="0061319E"/>
    <w:rsid w:val="006131C9"/>
    <w:rsid w:val="0061340E"/>
    <w:rsid w:val="00613427"/>
    <w:rsid w:val="006134AF"/>
    <w:rsid w:val="00613516"/>
    <w:rsid w:val="006136F6"/>
    <w:rsid w:val="0061376F"/>
    <w:rsid w:val="00613831"/>
    <w:rsid w:val="0061384C"/>
    <w:rsid w:val="0061397D"/>
    <w:rsid w:val="00613A25"/>
    <w:rsid w:val="00613A98"/>
    <w:rsid w:val="00613E25"/>
    <w:rsid w:val="00613E2F"/>
    <w:rsid w:val="00613E4B"/>
    <w:rsid w:val="00613EBF"/>
    <w:rsid w:val="00613EE7"/>
    <w:rsid w:val="00613F2C"/>
    <w:rsid w:val="00613F2E"/>
    <w:rsid w:val="00614186"/>
    <w:rsid w:val="00614324"/>
    <w:rsid w:val="00614343"/>
    <w:rsid w:val="006143EA"/>
    <w:rsid w:val="006143F3"/>
    <w:rsid w:val="00614406"/>
    <w:rsid w:val="00614413"/>
    <w:rsid w:val="006144E9"/>
    <w:rsid w:val="00614599"/>
    <w:rsid w:val="006145EC"/>
    <w:rsid w:val="00614667"/>
    <w:rsid w:val="00614677"/>
    <w:rsid w:val="0061469A"/>
    <w:rsid w:val="006147F8"/>
    <w:rsid w:val="006148D2"/>
    <w:rsid w:val="00614924"/>
    <w:rsid w:val="0061496C"/>
    <w:rsid w:val="00614973"/>
    <w:rsid w:val="00614996"/>
    <w:rsid w:val="00614A3D"/>
    <w:rsid w:val="00614A77"/>
    <w:rsid w:val="00614AB4"/>
    <w:rsid w:val="00614B36"/>
    <w:rsid w:val="00614CA6"/>
    <w:rsid w:val="00614CE7"/>
    <w:rsid w:val="00614CE8"/>
    <w:rsid w:val="00614D02"/>
    <w:rsid w:val="00614D69"/>
    <w:rsid w:val="00614DB2"/>
    <w:rsid w:val="00614E47"/>
    <w:rsid w:val="00614EE7"/>
    <w:rsid w:val="00614F0E"/>
    <w:rsid w:val="00614F3B"/>
    <w:rsid w:val="00614F93"/>
    <w:rsid w:val="0061506D"/>
    <w:rsid w:val="006150C2"/>
    <w:rsid w:val="00615295"/>
    <w:rsid w:val="00615386"/>
    <w:rsid w:val="00615401"/>
    <w:rsid w:val="00615428"/>
    <w:rsid w:val="006154B0"/>
    <w:rsid w:val="00615563"/>
    <w:rsid w:val="00615618"/>
    <w:rsid w:val="0061566F"/>
    <w:rsid w:val="0061574A"/>
    <w:rsid w:val="0061574C"/>
    <w:rsid w:val="0061589C"/>
    <w:rsid w:val="00615957"/>
    <w:rsid w:val="00615A08"/>
    <w:rsid w:val="00615A73"/>
    <w:rsid w:val="00615A98"/>
    <w:rsid w:val="00615B3D"/>
    <w:rsid w:val="00615B47"/>
    <w:rsid w:val="00615B78"/>
    <w:rsid w:val="00615B9D"/>
    <w:rsid w:val="00615BE0"/>
    <w:rsid w:val="00615C16"/>
    <w:rsid w:val="00615C49"/>
    <w:rsid w:val="00615D04"/>
    <w:rsid w:val="00615E2E"/>
    <w:rsid w:val="00615F93"/>
    <w:rsid w:val="0061605E"/>
    <w:rsid w:val="00616231"/>
    <w:rsid w:val="006162A4"/>
    <w:rsid w:val="0061631B"/>
    <w:rsid w:val="00616353"/>
    <w:rsid w:val="006164D5"/>
    <w:rsid w:val="006165F9"/>
    <w:rsid w:val="0061672B"/>
    <w:rsid w:val="0061683C"/>
    <w:rsid w:val="00616859"/>
    <w:rsid w:val="006168A8"/>
    <w:rsid w:val="006168AD"/>
    <w:rsid w:val="0061697F"/>
    <w:rsid w:val="006169BB"/>
    <w:rsid w:val="00616AFD"/>
    <w:rsid w:val="00616C00"/>
    <w:rsid w:val="00616C22"/>
    <w:rsid w:val="00616C29"/>
    <w:rsid w:val="00616C7F"/>
    <w:rsid w:val="00616CBE"/>
    <w:rsid w:val="00616D35"/>
    <w:rsid w:val="00616D90"/>
    <w:rsid w:val="00616D9D"/>
    <w:rsid w:val="00616DD8"/>
    <w:rsid w:val="00616DFE"/>
    <w:rsid w:val="00616E79"/>
    <w:rsid w:val="00616EE0"/>
    <w:rsid w:val="00616EF4"/>
    <w:rsid w:val="00617036"/>
    <w:rsid w:val="006170A4"/>
    <w:rsid w:val="006171EC"/>
    <w:rsid w:val="00617230"/>
    <w:rsid w:val="006172A5"/>
    <w:rsid w:val="0061730B"/>
    <w:rsid w:val="006173DD"/>
    <w:rsid w:val="00617445"/>
    <w:rsid w:val="00617470"/>
    <w:rsid w:val="00617550"/>
    <w:rsid w:val="00617636"/>
    <w:rsid w:val="00617638"/>
    <w:rsid w:val="0061763D"/>
    <w:rsid w:val="00617656"/>
    <w:rsid w:val="00617766"/>
    <w:rsid w:val="006178BA"/>
    <w:rsid w:val="0061794B"/>
    <w:rsid w:val="0061795C"/>
    <w:rsid w:val="00617B1A"/>
    <w:rsid w:val="00617B3A"/>
    <w:rsid w:val="00617B5A"/>
    <w:rsid w:val="00617C74"/>
    <w:rsid w:val="00617CEF"/>
    <w:rsid w:val="00617D45"/>
    <w:rsid w:val="00617D57"/>
    <w:rsid w:val="00617D60"/>
    <w:rsid w:val="00617DC5"/>
    <w:rsid w:val="00617DD0"/>
    <w:rsid w:val="00617E30"/>
    <w:rsid w:val="00617E83"/>
    <w:rsid w:val="00617F3A"/>
    <w:rsid w:val="00617F96"/>
    <w:rsid w:val="00617FCA"/>
    <w:rsid w:val="00617FD4"/>
    <w:rsid w:val="00620020"/>
    <w:rsid w:val="00620128"/>
    <w:rsid w:val="006201AA"/>
    <w:rsid w:val="00620263"/>
    <w:rsid w:val="006202E8"/>
    <w:rsid w:val="00620329"/>
    <w:rsid w:val="00620384"/>
    <w:rsid w:val="00620399"/>
    <w:rsid w:val="00620432"/>
    <w:rsid w:val="00620693"/>
    <w:rsid w:val="006206E6"/>
    <w:rsid w:val="0062073C"/>
    <w:rsid w:val="00620792"/>
    <w:rsid w:val="0062081B"/>
    <w:rsid w:val="00620895"/>
    <w:rsid w:val="00620907"/>
    <w:rsid w:val="00620967"/>
    <w:rsid w:val="00620A06"/>
    <w:rsid w:val="00620A87"/>
    <w:rsid w:val="00620B0B"/>
    <w:rsid w:val="00620B18"/>
    <w:rsid w:val="00620BA8"/>
    <w:rsid w:val="00620BF1"/>
    <w:rsid w:val="00620C1B"/>
    <w:rsid w:val="00620C2D"/>
    <w:rsid w:val="00620D74"/>
    <w:rsid w:val="00620E49"/>
    <w:rsid w:val="00620E9A"/>
    <w:rsid w:val="00620EBC"/>
    <w:rsid w:val="00620F13"/>
    <w:rsid w:val="006210D5"/>
    <w:rsid w:val="006211FB"/>
    <w:rsid w:val="0062143D"/>
    <w:rsid w:val="00621601"/>
    <w:rsid w:val="0062163D"/>
    <w:rsid w:val="0062167C"/>
    <w:rsid w:val="00621721"/>
    <w:rsid w:val="0062173E"/>
    <w:rsid w:val="00621782"/>
    <w:rsid w:val="0062187B"/>
    <w:rsid w:val="00621980"/>
    <w:rsid w:val="00621985"/>
    <w:rsid w:val="006219A9"/>
    <w:rsid w:val="00621A0C"/>
    <w:rsid w:val="00621C29"/>
    <w:rsid w:val="00621C82"/>
    <w:rsid w:val="00621F20"/>
    <w:rsid w:val="00621F8F"/>
    <w:rsid w:val="00621FFE"/>
    <w:rsid w:val="0062201C"/>
    <w:rsid w:val="00622020"/>
    <w:rsid w:val="006220AF"/>
    <w:rsid w:val="00622124"/>
    <w:rsid w:val="0062213F"/>
    <w:rsid w:val="006223B7"/>
    <w:rsid w:val="0062242B"/>
    <w:rsid w:val="0062256A"/>
    <w:rsid w:val="0062266E"/>
    <w:rsid w:val="0062268B"/>
    <w:rsid w:val="00622695"/>
    <w:rsid w:val="006227D2"/>
    <w:rsid w:val="00622866"/>
    <w:rsid w:val="006228A0"/>
    <w:rsid w:val="006228AF"/>
    <w:rsid w:val="00622934"/>
    <w:rsid w:val="006229CE"/>
    <w:rsid w:val="00622A0D"/>
    <w:rsid w:val="00622C46"/>
    <w:rsid w:val="00622C54"/>
    <w:rsid w:val="00622C59"/>
    <w:rsid w:val="00622EBB"/>
    <w:rsid w:val="00622F0B"/>
    <w:rsid w:val="00623088"/>
    <w:rsid w:val="0062317C"/>
    <w:rsid w:val="006232BC"/>
    <w:rsid w:val="006232D7"/>
    <w:rsid w:val="006233AE"/>
    <w:rsid w:val="006233D8"/>
    <w:rsid w:val="006233DF"/>
    <w:rsid w:val="00623480"/>
    <w:rsid w:val="006234DB"/>
    <w:rsid w:val="0062350A"/>
    <w:rsid w:val="006235D2"/>
    <w:rsid w:val="00623622"/>
    <w:rsid w:val="00623663"/>
    <w:rsid w:val="00623847"/>
    <w:rsid w:val="00623865"/>
    <w:rsid w:val="006238FC"/>
    <w:rsid w:val="00623989"/>
    <w:rsid w:val="006239AA"/>
    <w:rsid w:val="00623A27"/>
    <w:rsid w:val="00623AAD"/>
    <w:rsid w:val="00623BFC"/>
    <w:rsid w:val="00623CF1"/>
    <w:rsid w:val="00623F3E"/>
    <w:rsid w:val="00623F51"/>
    <w:rsid w:val="00624088"/>
    <w:rsid w:val="0062408A"/>
    <w:rsid w:val="0062413C"/>
    <w:rsid w:val="006241F1"/>
    <w:rsid w:val="00624298"/>
    <w:rsid w:val="00624328"/>
    <w:rsid w:val="0062435F"/>
    <w:rsid w:val="0062437F"/>
    <w:rsid w:val="006243A8"/>
    <w:rsid w:val="00624556"/>
    <w:rsid w:val="0062456C"/>
    <w:rsid w:val="006245DE"/>
    <w:rsid w:val="006246CA"/>
    <w:rsid w:val="00624740"/>
    <w:rsid w:val="00624802"/>
    <w:rsid w:val="00624821"/>
    <w:rsid w:val="00624888"/>
    <w:rsid w:val="00624916"/>
    <w:rsid w:val="006249F5"/>
    <w:rsid w:val="00624A6E"/>
    <w:rsid w:val="00624AAB"/>
    <w:rsid w:val="00624AE6"/>
    <w:rsid w:val="00624AE7"/>
    <w:rsid w:val="00624B1D"/>
    <w:rsid w:val="00624C54"/>
    <w:rsid w:val="00624C87"/>
    <w:rsid w:val="00624CE0"/>
    <w:rsid w:val="00624D3F"/>
    <w:rsid w:val="00624D62"/>
    <w:rsid w:val="00624DB2"/>
    <w:rsid w:val="00624E24"/>
    <w:rsid w:val="00624E27"/>
    <w:rsid w:val="00624E47"/>
    <w:rsid w:val="00624F96"/>
    <w:rsid w:val="00624FAE"/>
    <w:rsid w:val="00624FE9"/>
    <w:rsid w:val="0062503E"/>
    <w:rsid w:val="0062544D"/>
    <w:rsid w:val="0062548E"/>
    <w:rsid w:val="006254CD"/>
    <w:rsid w:val="006254D6"/>
    <w:rsid w:val="006255E7"/>
    <w:rsid w:val="006255E8"/>
    <w:rsid w:val="00625660"/>
    <w:rsid w:val="0062568B"/>
    <w:rsid w:val="006257E5"/>
    <w:rsid w:val="0062597E"/>
    <w:rsid w:val="00625A3C"/>
    <w:rsid w:val="00625AFC"/>
    <w:rsid w:val="00625B2B"/>
    <w:rsid w:val="00625B64"/>
    <w:rsid w:val="00625CD7"/>
    <w:rsid w:val="00625D0A"/>
    <w:rsid w:val="00625E2F"/>
    <w:rsid w:val="00625E5A"/>
    <w:rsid w:val="00625EB2"/>
    <w:rsid w:val="00625FC7"/>
    <w:rsid w:val="00626110"/>
    <w:rsid w:val="00626138"/>
    <w:rsid w:val="0062614B"/>
    <w:rsid w:val="0062622F"/>
    <w:rsid w:val="0062633A"/>
    <w:rsid w:val="00626666"/>
    <w:rsid w:val="00626697"/>
    <w:rsid w:val="006266A4"/>
    <w:rsid w:val="006266CC"/>
    <w:rsid w:val="006266D2"/>
    <w:rsid w:val="00626726"/>
    <w:rsid w:val="0062677F"/>
    <w:rsid w:val="00626A13"/>
    <w:rsid w:val="00626A4E"/>
    <w:rsid w:val="00626AA5"/>
    <w:rsid w:val="00626AB9"/>
    <w:rsid w:val="00626CBF"/>
    <w:rsid w:val="00626D52"/>
    <w:rsid w:val="00626DFE"/>
    <w:rsid w:val="00626FF8"/>
    <w:rsid w:val="0062700C"/>
    <w:rsid w:val="006270CD"/>
    <w:rsid w:val="00627122"/>
    <w:rsid w:val="0062713A"/>
    <w:rsid w:val="0062715C"/>
    <w:rsid w:val="006271C8"/>
    <w:rsid w:val="0062721E"/>
    <w:rsid w:val="006272E9"/>
    <w:rsid w:val="006272FE"/>
    <w:rsid w:val="0062742E"/>
    <w:rsid w:val="0062749C"/>
    <w:rsid w:val="0062752D"/>
    <w:rsid w:val="006275E4"/>
    <w:rsid w:val="006275F2"/>
    <w:rsid w:val="00627752"/>
    <w:rsid w:val="00627861"/>
    <w:rsid w:val="00627873"/>
    <w:rsid w:val="00627936"/>
    <w:rsid w:val="00627972"/>
    <w:rsid w:val="006279E7"/>
    <w:rsid w:val="00627A62"/>
    <w:rsid w:val="00627B9A"/>
    <w:rsid w:val="00627CE1"/>
    <w:rsid w:val="00627DCA"/>
    <w:rsid w:val="00627DDC"/>
    <w:rsid w:val="00627E71"/>
    <w:rsid w:val="00627EAF"/>
    <w:rsid w:val="00627F2D"/>
    <w:rsid w:val="00627F6A"/>
    <w:rsid w:val="00627F6D"/>
    <w:rsid w:val="00627F71"/>
    <w:rsid w:val="00627F7D"/>
    <w:rsid w:val="0063010E"/>
    <w:rsid w:val="0063031A"/>
    <w:rsid w:val="00630436"/>
    <w:rsid w:val="00630467"/>
    <w:rsid w:val="006304CD"/>
    <w:rsid w:val="006304FB"/>
    <w:rsid w:val="006305F1"/>
    <w:rsid w:val="006306A8"/>
    <w:rsid w:val="006306D1"/>
    <w:rsid w:val="00630789"/>
    <w:rsid w:val="006307CE"/>
    <w:rsid w:val="006307DF"/>
    <w:rsid w:val="00630822"/>
    <w:rsid w:val="00630ADD"/>
    <w:rsid w:val="00630AFD"/>
    <w:rsid w:val="00630D5E"/>
    <w:rsid w:val="00630DF0"/>
    <w:rsid w:val="00630E42"/>
    <w:rsid w:val="00630EDB"/>
    <w:rsid w:val="0063108C"/>
    <w:rsid w:val="006310F8"/>
    <w:rsid w:val="006311A9"/>
    <w:rsid w:val="006311F1"/>
    <w:rsid w:val="0063129C"/>
    <w:rsid w:val="00631459"/>
    <w:rsid w:val="006314FD"/>
    <w:rsid w:val="006315F2"/>
    <w:rsid w:val="00631616"/>
    <w:rsid w:val="00631638"/>
    <w:rsid w:val="00631768"/>
    <w:rsid w:val="0063184D"/>
    <w:rsid w:val="006318B2"/>
    <w:rsid w:val="006318EE"/>
    <w:rsid w:val="00631987"/>
    <w:rsid w:val="00631B64"/>
    <w:rsid w:val="00631C21"/>
    <w:rsid w:val="00631C4F"/>
    <w:rsid w:val="00631C7E"/>
    <w:rsid w:val="00631EFA"/>
    <w:rsid w:val="00631F4C"/>
    <w:rsid w:val="0063201A"/>
    <w:rsid w:val="00632152"/>
    <w:rsid w:val="0063222A"/>
    <w:rsid w:val="00632282"/>
    <w:rsid w:val="006322BA"/>
    <w:rsid w:val="0063237D"/>
    <w:rsid w:val="00632448"/>
    <w:rsid w:val="006324AE"/>
    <w:rsid w:val="006324BC"/>
    <w:rsid w:val="006324D9"/>
    <w:rsid w:val="0063251A"/>
    <w:rsid w:val="006325E3"/>
    <w:rsid w:val="0063272D"/>
    <w:rsid w:val="00632742"/>
    <w:rsid w:val="00632848"/>
    <w:rsid w:val="0063292F"/>
    <w:rsid w:val="0063295F"/>
    <w:rsid w:val="00632A15"/>
    <w:rsid w:val="00632AA8"/>
    <w:rsid w:val="00632B09"/>
    <w:rsid w:val="00632B44"/>
    <w:rsid w:val="00632B53"/>
    <w:rsid w:val="00632C2C"/>
    <w:rsid w:val="00632C59"/>
    <w:rsid w:val="00632E41"/>
    <w:rsid w:val="00633046"/>
    <w:rsid w:val="006330C2"/>
    <w:rsid w:val="00633120"/>
    <w:rsid w:val="00633187"/>
    <w:rsid w:val="006331A2"/>
    <w:rsid w:val="0063321E"/>
    <w:rsid w:val="0063323F"/>
    <w:rsid w:val="0063340D"/>
    <w:rsid w:val="00633452"/>
    <w:rsid w:val="00633546"/>
    <w:rsid w:val="006335A1"/>
    <w:rsid w:val="006336A7"/>
    <w:rsid w:val="006336AF"/>
    <w:rsid w:val="006336C2"/>
    <w:rsid w:val="0063373D"/>
    <w:rsid w:val="0063376E"/>
    <w:rsid w:val="00633819"/>
    <w:rsid w:val="006338B9"/>
    <w:rsid w:val="006339FD"/>
    <w:rsid w:val="00633BAD"/>
    <w:rsid w:val="00633BF5"/>
    <w:rsid w:val="00633CB6"/>
    <w:rsid w:val="00633D96"/>
    <w:rsid w:val="00633DA9"/>
    <w:rsid w:val="00633E0E"/>
    <w:rsid w:val="00633E31"/>
    <w:rsid w:val="00633F46"/>
    <w:rsid w:val="00633FF2"/>
    <w:rsid w:val="0063402E"/>
    <w:rsid w:val="00634144"/>
    <w:rsid w:val="00634195"/>
    <w:rsid w:val="0063421F"/>
    <w:rsid w:val="006342A9"/>
    <w:rsid w:val="006342FD"/>
    <w:rsid w:val="00634398"/>
    <w:rsid w:val="00634468"/>
    <w:rsid w:val="006344E5"/>
    <w:rsid w:val="00634546"/>
    <w:rsid w:val="00634556"/>
    <w:rsid w:val="0063476A"/>
    <w:rsid w:val="006347CE"/>
    <w:rsid w:val="00634963"/>
    <w:rsid w:val="00634998"/>
    <w:rsid w:val="006349D7"/>
    <w:rsid w:val="00634A9B"/>
    <w:rsid w:val="00634BE8"/>
    <w:rsid w:val="00634BFE"/>
    <w:rsid w:val="00634C3C"/>
    <w:rsid w:val="00634C83"/>
    <w:rsid w:val="00634C96"/>
    <w:rsid w:val="00634D59"/>
    <w:rsid w:val="00634F3C"/>
    <w:rsid w:val="00635003"/>
    <w:rsid w:val="00635072"/>
    <w:rsid w:val="006350D9"/>
    <w:rsid w:val="006350E5"/>
    <w:rsid w:val="00635181"/>
    <w:rsid w:val="006351A8"/>
    <w:rsid w:val="00635331"/>
    <w:rsid w:val="0063537F"/>
    <w:rsid w:val="006353DA"/>
    <w:rsid w:val="00635412"/>
    <w:rsid w:val="00635448"/>
    <w:rsid w:val="00635450"/>
    <w:rsid w:val="0063547D"/>
    <w:rsid w:val="00635526"/>
    <w:rsid w:val="006356AC"/>
    <w:rsid w:val="0063574F"/>
    <w:rsid w:val="0063576B"/>
    <w:rsid w:val="006357B0"/>
    <w:rsid w:val="00635869"/>
    <w:rsid w:val="00635941"/>
    <w:rsid w:val="00635BC3"/>
    <w:rsid w:val="00635C0E"/>
    <w:rsid w:val="00635D21"/>
    <w:rsid w:val="00635D6A"/>
    <w:rsid w:val="00635E1F"/>
    <w:rsid w:val="00635F11"/>
    <w:rsid w:val="00635FEF"/>
    <w:rsid w:val="00636046"/>
    <w:rsid w:val="00636058"/>
    <w:rsid w:val="00636091"/>
    <w:rsid w:val="006360A9"/>
    <w:rsid w:val="00636109"/>
    <w:rsid w:val="00636118"/>
    <w:rsid w:val="0063611B"/>
    <w:rsid w:val="0063617C"/>
    <w:rsid w:val="0063624F"/>
    <w:rsid w:val="006362F8"/>
    <w:rsid w:val="0063639E"/>
    <w:rsid w:val="006363B1"/>
    <w:rsid w:val="006363B8"/>
    <w:rsid w:val="006363CA"/>
    <w:rsid w:val="0063642A"/>
    <w:rsid w:val="00636554"/>
    <w:rsid w:val="0063665E"/>
    <w:rsid w:val="0063673A"/>
    <w:rsid w:val="006367B9"/>
    <w:rsid w:val="006367E9"/>
    <w:rsid w:val="00636840"/>
    <w:rsid w:val="006368BF"/>
    <w:rsid w:val="00636A8E"/>
    <w:rsid w:val="00636C4D"/>
    <w:rsid w:val="0063700D"/>
    <w:rsid w:val="006370CE"/>
    <w:rsid w:val="0063711C"/>
    <w:rsid w:val="0063718A"/>
    <w:rsid w:val="006371D8"/>
    <w:rsid w:val="0063730F"/>
    <w:rsid w:val="00637448"/>
    <w:rsid w:val="00637494"/>
    <w:rsid w:val="00637522"/>
    <w:rsid w:val="006376E2"/>
    <w:rsid w:val="00637846"/>
    <w:rsid w:val="00637992"/>
    <w:rsid w:val="006379A9"/>
    <w:rsid w:val="00637A11"/>
    <w:rsid w:val="00637A1B"/>
    <w:rsid w:val="00637B4C"/>
    <w:rsid w:val="00637C63"/>
    <w:rsid w:val="00637D3C"/>
    <w:rsid w:val="00637DEE"/>
    <w:rsid w:val="00637F4E"/>
    <w:rsid w:val="00637FDA"/>
    <w:rsid w:val="00637FF6"/>
    <w:rsid w:val="00640027"/>
    <w:rsid w:val="006401FA"/>
    <w:rsid w:val="00640207"/>
    <w:rsid w:val="0064021F"/>
    <w:rsid w:val="0064025D"/>
    <w:rsid w:val="006404B9"/>
    <w:rsid w:val="0064050A"/>
    <w:rsid w:val="00640543"/>
    <w:rsid w:val="006405B1"/>
    <w:rsid w:val="006405E7"/>
    <w:rsid w:val="0064061E"/>
    <w:rsid w:val="006406AA"/>
    <w:rsid w:val="0064071C"/>
    <w:rsid w:val="006409A4"/>
    <w:rsid w:val="00640ABF"/>
    <w:rsid w:val="00640AC8"/>
    <w:rsid w:val="00640B08"/>
    <w:rsid w:val="00640BFF"/>
    <w:rsid w:val="00640C20"/>
    <w:rsid w:val="00640C2B"/>
    <w:rsid w:val="00640CDC"/>
    <w:rsid w:val="00640D4B"/>
    <w:rsid w:val="00640D76"/>
    <w:rsid w:val="00640D9E"/>
    <w:rsid w:val="00640DCD"/>
    <w:rsid w:val="00640DF3"/>
    <w:rsid w:val="00640ED4"/>
    <w:rsid w:val="00640F35"/>
    <w:rsid w:val="00640FEC"/>
    <w:rsid w:val="00641073"/>
    <w:rsid w:val="006411CB"/>
    <w:rsid w:val="0064127F"/>
    <w:rsid w:val="006413A1"/>
    <w:rsid w:val="006413C0"/>
    <w:rsid w:val="006413F9"/>
    <w:rsid w:val="00641454"/>
    <w:rsid w:val="00641472"/>
    <w:rsid w:val="006414A8"/>
    <w:rsid w:val="006415BB"/>
    <w:rsid w:val="0064162A"/>
    <w:rsid w:val="00641849"/>
    <w:rsid w:val="006418E7"/>
    <w:rsid w:val="00641968"/>
    <w:rsid w:val="00641AB1"/>
    <w:rsid w:val="00641B07"/>
    <w:rsid w:val="00641B0C"/>
    <w:rsid w:val="00641C21"/>
    <w:rsid w:val="00641C68"/>
    <w:rsid w:val="00641D0D"/>
    <w:rsid w:val="00642023"/>
    <w:rsid w:val="00642060"/>
    <w:rsid w:val="0064225D"/>
    <w:rsid w:val="00642303"/>
    <w:rsid w:val="00642430"/>
    <w:rsid w:val="006424E9"/>
    <w:rsid w:val="00642598"/>
    <w:rsid w:val="006425C7"/>
    <w:rsid w:val="00642605"/>
    <w:rsid w:val="00642640"/>
    <w:rsid w:val="006427DC"/>
    <w:rsid w:val="00642862"/>
    <w:rsid w:val="006428AF"/>
    <w:rsid w:val="00642931"/>
    <w:rsid w:val="006429FA"/>
    <w:rsid w:val="00642A11"/>
    <w:rsid w:val="00642A21"/>
    <w:rsid w:val="00642A7C"/>
    <w:rsid w:val="00642A80"/>
    <w:rsid w:val="00642B51"/>
    <w:rsid w:val="00642C7B"/>
    <w:rsid w:val="00642CA1"/>
    <w:rsid w:val="00642DAE"/>
    <w:rsid w:val="00642E70"/>
    <w:rsid w:val="00642E9C"/>
    <w:rsid w:val="00642F51"/>
    <w:rsid w:val="00642FDC"/>
    <w:rsid w:val="00643288"/>
    <w:rsid w:val="006432C0"/>
    <w:rsid w:val="006433F9"/>
    <w:rsid w:val="006434BC"/>
    <w:rsid w:val="0064355D"/>
    <w:rsid w:val="006435C2"/>
    <w:rsid w:val="00643641"/>
    <w:rsid w:val="00643790"/>
    <w:rsid w:val="006437B2"/>
    <w:rsid w:val="006437D3"/>
    <w:rsid w:val="006437E7"/>
    <w:rsid w:val="006437FF"/>
    <w:rsid w:val="00643839"/>
    <w:rsid w:val="00643856"/>
    <w:rsid w:val="006438E4"/>
    <w:rsid w:val="006439C1"/>
    <w:rsid w:val="006439CD"/>
    <w:rsid w:val="006439E8"/>
    <w:rsid w:val="00643A31"/>
    <w:rsid w:val="00643A67"/>
    <w:rsid w:val="00643A88"/>
    <w:rsid w:val="00643AFD"/>
    <w:rsid w:val="00643C4C"/>
    <w:rsid w:val="00643CA2"/>
    <w:rsid w:val="00643CC9"/>
    <w:rsid w:val="00643E55"/>
    <w:rsid w:val="00643ED5"/>
    <w:rsid w:val="00643FA4"/>
    <w:rsid w:val="00644023"/>
    <w:rsid w:val="00644025"/>
    <w:rsid w:val="006441B9"/>
    <w:rsid w:val="006441F2"/>
    <w:rsid w:val="00644278"/>
    <w:rsid w:val="006442EF"/>
    <w:rsid w:val="006443A1"/>
    <w:rsid w:val="006443AB"/>
    <w:rsid w:val="00644417"/>
    <w:rsid w:val="0064446A"/>
    <w:rsid w:val="006444C7"/>
    <w:rsid w:val="006444EC"/>
    <w:rsid w:val="00644713"/>
    <w:rsid w:val="00644722"/>
    <w:rsid w:val="00644889"/>
    <w:rsid w:val="00644898"/>
    <w:rsid w:val="006448E5"/>
    <w:rsid w:val="00644971"/>
    <w:rsid w:val="00644A93"/>
    <w:rsid w:val="00644D26"/>
    <w:rsid w:val="00644DFA"/>
    <w:rsid w:val="00644EB0"/>
    <w:rsid w:val="0064507A"/>
    <w:rsid w:val="006450E7"/>
    <w:rsid w:val="0064510A"/>
    <w:rsid w:val="006451B2"/>
    <w:rsid w:val="00645288"/>
    <w:rsid w:val="006452E1"/>
    <w:rsid w:val="006453DA"/>
    <w:rsid w:val="00645573"/>
    <w:rsid w:val="00645634"/>
    <w:rsid w:val="0064565E"/>
    <w:rsid w:val="006456FD"/>
    <w:rsid w:val="006457C3"/>
    <w:rsid w:val="0064582F"/>
    <w:rsid w:val="00645A09"/>
    <w:rsid w:val="00645A36"/>
    <w:rsid w:val="00645A67"/>
    <w:rsid w:val="00645CC2"/>
    <w:rsid w:val="00645CE5"/>
    <w:rsid w:val="00645D86"/>
    <w:rsid w:val="00645DB1"/>
    <w:rsid w:val="00645DF1"/>
    <w:rsid w:val="00645E22"/>
    <w:rsid w:val="00645EB6"/>
    <w:rsid w:val="006460C2"/>
    <w:rsid w:val="0064617C"/>
    <w:rsid w:val="006461D7"/>
    <w:rsid w:val="00646329"/>
    <w:rsid w:val="0064642B"/>
    <w:rsid w:val="00646436"/>
    <w:rsid w:val="00646470"/>
    <w:rsid w:val="006464B0"/>
    <w:rsid w:val="006464E7"/>
    <w:rsid w:val="00646751"/>
    <w:rsid w:val="006467D7"/>
    <w:rsid w:val="0064680F"/>
    <w:rsid w:val="00646853"/>
    <w:rsid w:val="0064685A"/>
    <w:rsid w:val="0064687F"/>
    <w:rsid w:val="00646A3D"/>
    <w:rsid w:val="00646A78"/>
    <w:rsid w:val="00646B33"/>
    <w:rsid w:val="00646C35"/>
    <w:rsid w:val="00646C5C"/>
    <w:rsid w:val="00646C93"/>
    <w:rsid w:val="00646CAD"/>
    <w:rsid w:val="00646CE6"/>
    <w:rsid w:val="00646D47"/>
    <w:rsid w:val="00646F07"/>
    <w:rsid w:val="00647040"/>
    <w:rsid w:val="00647323"/>
    <w:rsid w:val="0064740B"/>
    <w:rsid w:val="0064741F"/>
    <w:rsid w:val="00647431"/>
    <w:rsid w:val="006474C7"/>
    <w:rsid w:val="006475A6"/>
    <w:rsid w:val="006475CF"/>
    <w:rsid w:val="00647794"/>
    <w:rsid w:val="00647799"/>
    <w:rsid w:val="006477C7"/>
    <w:rsid w:val="006477E7"/>
    <w:rsid w:val="00647860"/>
    <w:rsid w:val="006478FA"/>
    <w:rsid w:val="00647978"/>
    <w:rsid w:val="00647A95"/>
    <w:rsid w:val="00647AE3"/>
    <w:rsid w:val="00647B0D"/>
    <w:rsid w:val="00647C06"/>
    <w:rsid w:val="00647C09"/>
    <w:rsid w:val="00647C20"/>
    <w:rsid w:val="00647C9A"/>
    <w:rsid w:val="00647D25"/>
    <w:rsid w:val="00647DC1"/>
    <w:rsid w:val="00647DC6"/>
    <w:rsid w:val="00647EA1"/>
    <w:rsid w:val="00647F07"/>
    <w:rsid w:val="00647F63"/>
    <w:rsid w:val="00649BD2"/>
    <w:rsid w:val="006500C7"/>
    <w:rsid w:val="0065013D"/>
    <w:rsid w:val="0065016E"/>
    <w:rsid w:val="00650199"/>
    <w:rsid w:val="00650392"/>
    <w:rsid w:val="00650475"/>
    <w:rsid w:val="00650539"/>
    <w:rsid w:val="00650561"/>
    <w:rsid w:val="00650679"/>
    <w:rsid w:val="00650947"/>
    <w:rsid w:val="00650AA8"/>
    <w:rsid w:val="00650B3A"/>
    <w:rsid w:val="00650D47"/>
    <w:rsid w:val="00650D7F"/>
    <w:rsid w:val="00650D99"/>
    <w:rsid w:val="00650ED2"/>
    <w:rsid w:val="00650F53"/>
    <w:rsid w:val="006510BB"/>
    <w:rsid w:val="006510D0"/>
    <w:rsid w:val="0065112A"/>
    <w:rsid w:val="0065115B"/>
    <w:rsid w:val="00651185"/>
    <w:rsid w:val="00651297"/>
    <w:rsid w:val="006512A0"/>
    <w:rsid w:val="006512DF"/>
    <w:rsid w:val="00651328"/>
    <w:rsid w:val="0065147C"/>
    <w:rsid w:val="006514EA"/>
    <w:rsid w:val="006514FB"/>
    <w:rsid w:val="0065152A"/>
    <w:rsid w:val="0065157B"/>
    <w:rsid w:val="006517B7"/>
    <w:rsid w:val="006517D2"/>
    <w:rsid w:val="006517FD"/>
    <w:rsid w:val="00651896"/>
    <w:rsid w:val="006518F7"/>
    <w:rsid w:val="00651941"/>
    <w:rsid w:val="00651986"/>
    <w:rsid w:val="00651AAD"/>
    <w:rsid w:val="00651AE7"/>
    <w:rsid w:val="00651B21"/>
    <w:rsid w:val="00651BBA"/>
    <w:rsid w:val="00651BE2"/>
    <w:rsid w:val="00651C3F"/>
    <w:rsid w:val="00651CF3"/>
    <w:rsid w:val="00651DA8"/>
    <w:rsid w:val="00651E2C"/>
    <w:rsid w:val="00651E73"/>
    <w:rsid w:val="00651EAB"/>
    <w:rsid w:val="00651F6C"/>
    <w:rsid w:val="00651FF7"/>
    <w:rsid w:val="00651FFD"/>
    <w:rsid w:val="00652089"/>
    <w:rsid w:val="00652112"/>
    <w:rsid w:val="0065217F"/>
    <w:rsid w:val="0065254A"/>
    <w:rsid w:val="00652570"/>
    <w:rsid w:val="00652573"/>
    <w:rsid w:val="00652664"/>
    <w:rsid w:val="0065271F"/>
    <w:rsid w:val="006529F3"/>
    <w:rsid w:val="00652A1E"/>
    <w:rsid w:val="00652A43"/>
    <w:rsid w:val="00652A7A"/>
    <w:rsid w:val="00652ACE"/>
    <w:rsid w:val="00652B04"/>
    <w:rsid w:val="00652B6D"/>
    <w:rsid w:val="00652B83"/>
    <w:rsid w:val="00652BCB"/>
    <w:rsid w:val="00652C59"/>
    <w:rsid w:val="00652CBE"/>
    <w:rsid w:val="00652D3A"/>
    <w:rsid w:val="00652E4F"/>
    <w:rsid w:val="00652E72"/>
    <w:rsid w:val="00652F17"/>
    <w:rsid w:val="006532B6"/>
    <w:rsid w:val="006532C3"/>
    <w:rsid w:val="00653302"/>
    <w:rsid w:val="00653312"/>
    <w:rsid w:val="00653343"/>
    <w:rsid w:val="0065341E"/>
    <w:rsid w:val="0065345A"/>
    <w:rsid w:val="00653470"/>
    <w:rsid w:val="0065354E"/>
    <w:rsid w:val="006535B7"/>
    <w:rsid w:val="006535DB"/>
    <w:rsid w:val="006536E4"/>
    <w:rsid w:val="00653859"/>
    <w:rsid w:val="006538C5"/>
    <w:rsid w:val="006538E8"/>
    <w:rsid w:val="00653906"/>
    <w:rsid w:val="00653918"/>
    <w:rsid w:val="006539E9"/>
    <w:rsid w:val="006539FD"/>
    <w:rsid w:val="00653A34"/>
    <w:rsid w:val="00653A59"/>
    <w:rsid w:val="00653A9B"/>
    <w:rsid w:val="00653C00"/>
    <w:rsid w:val="00653C14"/>
    <w:rsid w:val="00653C9B"/>
    <w:rsid w:val="00653CE7"/>
    <w:rsid w:val="00653D38"/>
    <w:rsid w:val="00653D45"/>
    <w:rsid w:val="00653D63"/>
    <w:rsid w:val="00653D8A"/>
    <w:rsid w:val="00653E57"/>
    <w:rsid w:val="00654067"/>
    <w:rsid w:val="00654151"/>
    <w:rsid w:val="00654156"/>
    <w:rsid w:val="00654225"/>
    <w:rsid w:val="0065439A"/>
    <w:rsid w:val="0065445E"/>
    <w:rsid w:val="00654468"/>
    <w:rsid w:val="006544A3"/>
    <w:rsid w:val="006544C1"/>
    <w:rsid w:val="0065451D"/>
    <w:rsid w:val="00654556"/>
    <w:rsid w:val="00654613"/>
    <w:rsid w:val="00654632"/>
    <w:rsid w:val="00654654"/>
    <w:rsid w:val="00654687"/>
    <w:rsid w:val="00654794"/>
    <w:rsid w:val="006548D3"/>
    <w:rsid w:val="00654A82"/>
    <w:rsid w:val="00654AA1"/>
    <w:rsid w:val="00654AEE"/>
    <w:rsid w:val="00654BE9"/>
    <w:rsid w:val="00654C1F"/>
    <w:rsid w:val="00654C2B"/>
    <w:rsid w:val="00654C59"/>
    <w:rsid w:val="00654C5C"/>
    <w:rsid w:val="00654C9C"/>
    <w:rsid w:val="00654E74"/>
    <w:rsid w:val="00654E86"/>
    <w:rsid w:val="00655031"/>
    <w:rsid w:val="006550B5"/>
    <w:rsid w:val="0065515E"/>
    <w:rsid w:val="00655290"/>
    <w:rsid w:val="0065529D"/>
    <w:rsid w:val="006552C0"/>
    <w:rsid w:val="006552E8"/>
    <w:rsid w:val="00655679"/>
    <w:rsid w:val="00655687"/>
    <w:rsid w:val="0065569C"/>
    <w:rsid w:val="006556B1"/>
    <w:rsid w:val="0065579B"/>
    <w:rsid w:val="006557AC"/>
    <w:rsid w:val="0065583D"/>
    <w:rsid w:val="00655931"/>
    <w:rsid w:val="00655933"/>
    <w:rsid w:val="00655966"/>
    <w:rsid w:val="0065599D"/>
    <w:rsid w:val="006559F2"/>
    <w:rsid w:val="00655A4D"/>
    <w:rsid w:val="00655A52"/>
    <w:rsid w:val="00655ABA"/>
    <w:rsid w:val="00655BB1"/>
    <w:rsid w:val="00655BFD"/>
    <w:rsid w:val="00655C17"/>
    <w:rsid w:val="00655CD2"/>
    <w:rsid w:val="00655CDA"/>
    <w:rsid w:val="00655D32"/>
    <w:rsid w:val="00655DA9"/>
    <w:rsid w:val="00655DD7"/>
    <w:rsid w:val="00655F2B"/>
    <w:rsid w:val="00655F64"/>
    <w:rsid w:val="006560CD"/>
    <w:rsid w:val="006561A0"/>
    <w:rsid w:val="006562AE"/>
    <w:rsid w:val="0065640B"/>
    <w:rsid w:val="00656477"/>
    <w:rsid w:val="006564A6"/>
    <w:rsid w:val="006564BA"/>
    <w:rsid w:val="006564C8"/>
    <w:rsid w:val="006564E4"/>
    <w:rsid w:val="00656640"/>
    <w:rsid w:val="00656719"/>
    <w:rsid w:val="00656794"/>
    <w:rsid w:val="006567D4"/>
    <w:rsid w:val="00656843"/>
    <w:rsid w:val="00656971"/>
    <w:rsid w:val="00656A4C"/>
    <w:rsid w:val="00656B6F"/>
    <w:rsid w:val="00656D0D"/>
    <w:rsid w:val="00656D9D"/>
    <w:rsid w:val="00656DD0"/>
    <w:rsid w:val="00656EAB"/>
    <w:rsid w:val="00657069"/>
    <w:rsid w:val="00657074"/>
    <w:rsid w:val="00657124"/>
    <w:rsid w:val="0065745B"/>
    <w:rsid w:val="0065751D"/>
    <w:rsid w:val="0065756A"/>
    <w:rsid w:val="0065773A"/>
    <w:rsid w:val="00657836"/>
    <w:rsid w:val="0065786A"/>
    <w:rsid w:val="0065791D"/>
    <w:rsid w:val="006579AE"/>
    <w:rsid w:val="006579E0"/>
    <w:rsid w:val="006579EC"/>
    <w:rsid w:val="00657B05"/>
    <w:rsid w:val="00657B64"/>
    <w:rsid w:val="00657C1F"/>
    <w:rsid w:val="00657CAF"/>
    <w:rsid w:val="00657D6F"/>
    <w:rsid w:val="00657D8E"/>
    <w:rsid w:val="00657E00"/>
    <w:rsid w:val="00657E41"/>
    <w:rsid w:val="00657E58"/>
    <w:rsid w:val="00657E62"/>
    <w:rsid w:val="00657E63"/>
    <w:rsid w:val="00657E66"/>
    <w:rsid w:val="00657F65"/>
    <w:rsid w:val="00657FAE"/>
    <w:rsid w:val="0066014F"/>
    <w:rsid w:val="0066015D"/>
    <w:rsid w:val="00660212"/>
    <w:rsid w:val="006602CA"/>
    <w:rsid w:val="006603D4"/>
    <w:rsid w:val="0066047C"/>
    <w:rsid w:val="0066047F"/>
    <w:rsid w:val="006604B2"/>
    <w:rsid w:val="00660541"/>
    <w:rsid w:val="00660566"/>
    <w:rsid w:val="00660576"/>
    <w:rsid w:val="006605AB"/>
    <w:rsid w:val="00660625"/>
    <w:rsid w:val="0066067E"/>
    <w:rsid w:val="006606C1"/>
    <w:rsid w:val="006606EB"/>
    <w:rsid w:val="00660750"/>
    <w:rsid w:val="00660827"/>
    <w:rsid w:val="006608B8"/>
    <w:rsid w:val="00660A89"/>
    <w:rsid w:val="00660CAF"/>
    <w:rsid w:val="00660CBE"/>
    <w:rsid w:val="00660EEE"/>
    <w:rsid w:val="00661032"/>
    <w:rsid w:val="00661077"/>
    <w:rsid w:val="006611E6"/>
    <w:rsid w:val="0066137E"/>
    <w:rsid w:val="006613B0"/>
    <w:rsid w:val="00661436"/>
    <w:rsid w:val="006616C8"/>
    <w:rsid w:val="006617AF"/>
    <w:rsid w:val="006618E4"/>
    <w:rsid w:val="006619C2"/>
    <w:rsid w:val="00661A1C"/>
    <w:rsid w:val="00661A58"/>
    <w:rsid w:val="00661BE4"/>
    <w:rsid w:val="00661BFC"/>
    <w:rsid w:val="00661C2A"/>
    <w:rsid w:val="00661CF1"/>
    <w:rsid w:val="00661D3A"/>
    <w:rsid w:val="00661DC8"/>
    <w:rsid w:val="00661DEC"/>
    <w:rsid w:val="006620CB"/>
    <w:rsid w:val="00662223"/>
    <w:rsid w:val="00662244"/>
    <w:rsid w:val="0066246C"/>
    <w:rsid w:val="0066249F"/>
    <w:rsid w:val="006624C1"/>
    <w:rsid w:val="00662504"/>
    <w:rsid w:val="00662620"/>
    <w:rsid w:val="00662667"/>
    <w:rsid w:val="00662682"/>
    <w:rsid w:val="00662688"/>
    <w:rsid w:val="00662774"/>
    <w:rsid w:val="00662794"/>
    <w:rsid w:val="00662867"/>
    <w:rsid w:val="00662963"/>
    <w:rsid w:val="006629C2"/>
    <w:rsid w:val="006629C8"/>
    <w:rsid w:val="006629F6"/>
    <w:rsid w:val="00662A4C"/>
    <w:rsid w:val="00662ABD"/>
    <w:rsid w:val="00662AE0"/>
    <w:rsid w:val="00662AF3"/>
    <w:rsid w:val="00662B3C"/>
    <w:rsid w:val="00662C4C"/>
    <w:rsid w:val="00662C97"/>
    <w:rsid w:val="00662C99"/>
    <w:rsid w:val="00662DE0"/>
    <w:rsid w:val="00662E87"/>
    <w:rsid w:val="00662F9A"/>
    <w:rsid w:val="0066304C"/>
    <w:rsid w:val="0066304D"/>
    <w:rsid w:val="006630C4"/>
    <w:rsid w:val="006630FA"/>
    <w:rsid w:val="0066312E"/>
    <w:rsid w:val="0066324E"/>
    <w:rsid w:val="006632CC"/>
    <w:rsid w:val="006633EF"/>
    <w:rsid w:val="00663552"/>
    <w:rsid w:val="006635CC"/>
    <w:rsid w:val="0066361A"/>
    <w:rsid w:val="00663637"/>
    <w:rsid w:val="00663722"/>
    <w:rsid w:val="00663737"/>
    <w:rsid w:val="00663757"/>
    <w:rsid w:val="0066378A"/>
    <w:rsid w:val="006637B0"/>
    <w:rsid w:val="006638DD"/>
    <w:rsid w:val="00663932"/>
    <w:rsid w:val="00663AA6"/>
    <w:rsid w:val="00663B98"/>
    <w:rsid w:val="00663BC2"/>
    <w:rsid w:val="00663C68"/>
    <w:rsid w:val="00663CE9"/>
    <w:rsid w:val="00663D0A"/>
    <w:rsid w:val="00663DC3"/>
    <w:rsid w:val="00663DEB"/>
    <w:rsid w:val="00663DF4"/>
    <w:rsid w:val="00663E7D"/>
    <w:rsid w:val="00663F2A"/>
    <w:rsid w:val="00663F36"/>
    <w:rsid w:val="00663F38"/>
    <w:rsid w:val="00663F47"/>
    <w:rsid w:val="00663F59"/>
    <w:rsid w:val="0066431F"/>
    <w:rsid w:val="006643AF"/>
    <w:rsid w:val="006643B9"/>
    <w:rsid w:val="006643E3"/>
    <w:rsid w:val="0066440D"/>
    <w:rsid w:val="0066446D"/>
    <w:rsid w:val="00664472"/>
    <w:rsid w:val="006644D9"/>
    <w:rsid w:val="006645BC"/>
    <w:rsid w:val="006645CF"/>
    <w:rsid w:val="00664616"/>
    <w:rsid w:val="006646AC"/>
    <w:rsid w:val="00664701"/>
    <w:rsid w:val="00664766"/>
    <w:rsid w:val="00664805"/>
    <w:rsid w:val="0066480F"/>
    <w:rsid w:val="00664826"/>
    <w:rsid w:val="006648AA"/>
    <w:rsid w:val="0066494C"/>
    <w:rsid w:val="006649B9"/>
    <w:rsid w:val="00664A3E"/>
    <w:rsid w:val="00664A67"/>
    <w:rsid w:val="00664B5D"/>
    <w:rsid w:val="00664BAC"/>
    <w:rsid w:val="00664BD6"/>
    <w:rsid w:val="00664CAD"/>
    <w:rsid w:val="00664D78"/>
    <w:rsid w:val="00664E4C"/>
    <w:rsid w:val="00664ED4"/>
    <w:rsid w:val="00664FD8"/>
    <w:rsid w:val="00664FE4"/>
    <w:rsid w:val="00665124"/>
    <w:rsid w:val="0066524C"/>
    <w:rsid w:val="00665285"/>
    <w:rsid w:val="00665305"/>
    <w:rsid w:val="0066543B"/>
    <w:rsid w:val="00665482"/>
    <w:rsid w:val="006654E5"/>
    <w:rsid w:val="00665578"/>
    <w:rsid w:val="00665659"/>
    <w:rsid w:val="00665722"/>
    <w:rsid w:val="00665800"/>
    <w:rsid w:val="0066591B"/>
    <w:rsid w:val="00665925"/>
    <w:rsid w:val="00665984"/>
    <w:rsid w:val="006659E0"/>
    <w:rsid w:val="006659EB"/>
    <w:rsid w:val="00665B6E"/>
    <w:rsid w:val="00665BB3"/>
    <w:rsid w:val="00665BBA"/>
    <w:rsid w:val="00665C49"/>
    <w:rsid w:val="00665D3B"/>
    <w:rsid w:val="00665DC9"/>
    <w:rsid w:val="0066615F"/>
    <w:rsid w:val="006662FB"/>
    <w:rsid w:val="00666379"/>
    <w:rsid w:val="00666446"/>
    <w:rsid w:val="0066644B"/>
    <w:rsid w:val="00666454"/>
    <w:rsid w:val="006666D4"/>
    <w:rsid w:val="0066674A"/>
    <w:rsid w:val="00666763"/>
    <w:rsid w:val="006667DE"/>
    <w:rsid w:val="006668C0"/>
    <w:rsid w:val="006668F3"/>
    <w:rsid w:val="00666933"/>
    <w:rsid w:val="00666AAE"/>
    <w:rsid w:val="00666DA3"/>
    <w:rsid w:val="00666EDC"/>
    <w:rsid w:val="0066705D"/>
    <w:rsid w:val="006670E6"/>
    <w:rsid w:val="00667115"/>
    <w:rsid w:val="00667182"/>
    <w:rsid w:val="0066727D"/>
    <w:rsid w:val="00667333"/>
    <w:rsid w:val="00667397"/>
    <w:rsid w:val="006674D8"/>
    <w:rsid w:val="00667557"/>
    <w:rsid w:val="006675A8"/>
    <w:rsid w:val="00667682"/>
    <w:rsid w:val="00667689"/>
    <w:rsid w:val="006678E1"/>
    <w:rsid w:val="006678F1"/>
    <w:rsid w:val="00667933"/>
    <w:rsid w:val="00667970"/>
    <w:rsid w:val="006679A2"/>
    <w:rsid w:val="00667B29"/>
    <w:rsid w:val="00667BB7"/>
    <w:rsid w:val="00667C49"/>
    <w:rsid w:val="00667CB6"/>
    <w:rsid w:val="00667DE6"/>
    <w:rsid w:val="00667FA2"/>
    <w:rsid w:val="00667FB4"/>
    <w:rsid w:val="00667FE4"/>
    <w:rsid w:val="00670158"/>
    <w:rsid w:val="0067020D"/>
    <w:rsid w:val="0067022F"/>
    <w:rsid w:val="00670261"/>
    <w:rsid w:val="006702E1"/>
    <w:rsid w:val="00670332"/>
    <w:rsid w:val="00670362"/>
    <w:rsid w:val="006703D2"/>
    <w:rsid w:val="0067050E"/>
    <w:rsid w:val="00670542"/>
    <w:rsid w:val="0067061A"/>
    <w:rsid w:val="0067064D"/>
    <w:rsid w:val="0067088E"/>
    <w:rsid w:val="006708D4"/>
    <w:rsid w:val="0067094E"/>
    <w:rsid w:val="00670978"/>
    <w:rsid w:val="00670AFD"/>
    <w:rsid w:val="00670B00"/>
    <w:rsid w:val="00670B88"/>
    <w:rsid w:val="00670BB4"/>
    <w:rsid w:val="00670BE5"/>
    <w:rsid w:val="00670C07"/>
    <w:rsid w:val="00670C37"/>
    <w:rsid w:val="00670C9D"/>
    <w:rsid w:val="00670CA2"/>
    <w:rsid w:val="00670D28"/>
    <w:rsid w:val="00670D94"/>
    <w:rsid w:val="00670EE9"/>
    <w:rsid w:val="00670F40"/>
    <w:rsid w:val="00670F9C"/>
    <w:rsid w:val="00670FF2"/>
    <w:rsid w:val="0067102F"/>
    <w:rsid w:val="00671126"/>
    <w:rsid w:val="006711AC"/>
    <w:rsid w:val="00671274"/>
    <w:rsid w:val="006712EE"/>
    <w:rsid w:val="00671326"/>
    <w:rsid w:val="00671387"/>
    <w:rsid w:val="00671460"/>
    <w:rsid w:val="006714BE"/>
    <w:rsid w:val="006714C0"/>
    <w:rsid w:val="006714DC"/>
    <w:rsid w:val="00671733"/>
    <w:rsid w:val="006717F0"/>
    <w:rsid w:val="00671853"/>
    <w:rsid w:val="00671867"/>
    <w:rsid w:val="00671868"/>
    <w:rsid w:val="0067186F"/>
    <w:rsid w:val="00671AD0"/>
    <w:rsid w:val="00671ADA"/>
    <w:rsid w:val="00671DB0"/>
    <w:rsid w:val="00671DB4"/>
    <w:rsid w:val="00671DC9"/>
    <w:rsid w:val="00671E06"/>
    <w:rsid w:val="00671E26"/>
    <w:rsid w:val="00671ED8"/>
    <w:rsid w:val="00671F21"/>
    <w:rsid w:val="00671F89"/>
    <w:rsid w:val="00671FDD"/>
    <w:rsid w:val="00672004"/>
    <w:rsid w:val="006720D5"/>
    <w:rsid w:val="00672221"/>
    <w:rsid w:val="00672235"/>
    <w:rsid w:val="006722FB"/>
    <w:rsid w:val="006723E1"/>
    <w:rsid w:val="0067240D"/>
    <w:rsid w:val="0067249E"/>
    <w:rsid w:val="006724DD"/>
    <w:rsid w:val="00672539"/>
    <w:rsid w:val="0067254F"/>
    <w:rsid w:val="00672582"/>
    <w:rsid w:val="006725AF"/>
    <w:rsid w:val="006727C3"/>
    <w:rsid w:val="0067282A"/>
    <w:rsid w:val="0067292F"/>
    <w:rsid w:val="00672959"/>
    <w:rsid w:val="00672964"/>
    <w:rsid w:val="0067298F"/>
    <w:rsid w:val="006729E5"/>
    <w:rsid w:val="00672A0F"/>
    <w:rsid w:val="00672A41"/>
    <w:rsid w:val="00672AA7"/>
    <w:rsid w:val="00672ADA"/>
    <w:rsid w:val="00672C06"/>
    <w:rsid w:val="00672C0A"/>
    <w:rsid w:val="00672C3C"/>
    <w:rsid w:val="00672D2B"/>
    <w:rsid w:val="00672D46"/>
    <w:rsid w:val="00672EFA"/>
    <w:rsid w:val="00672F23"/>
    <w:rsid w:val="00672F96"/>
    <w:rsid w:val="00673010"/>
    <w:rsid w:val="00673048"/>
    <w:rsid w:val="006730BC"/>
    <w:rsid w:val="00673246"/>
    <w:rsid w:val="006732A7"/>
    <w:rsid w:val="006732B3"/>
    <w:rsid w:val="006732B8"/>
    <w:rsid w:val="006732F0"/>
    <w:rsid w:val="0067347D"/>
    <w:rsid w:val="006734A0"/>
    <w:rsid w:val="006734AE"/>
    <w:rsid w:val="006735B8"/>
    <w:rsid w:val="006736CC"/>
    <w:rsid w:val="00673869"/>
    <w:rsid w:val="0067386A"/>
    <w:rsid w:val="006738E1"/>
    <w:rsid w:val="0067391E"/>
    <w:rsid w:val="00673930"/>
    <w:rsid w:val="0067394C"/>
    <w:rsid w:val="00673ABF"/>
    <w:rsid w:val="00673B1C"/>
    <w:rsid w:val="00673B20"/>
    <w:rsid w:val="00673BB4"/>
    <w:rsid w:val="00673BED"/>
    <w:rsid w:val="00673BEF"/>
    <w:rsid w:val="00673CC1"/>
    <w:rsid w:val="00673CFB"/>
    <w:rsid w:val="00673E00"/>
    <w:rsid w:val="00673E4B"/>
    <w:rsid w:val="00673E98"/>
    <w:rsid w:val="00673ECA"/>
    <w:rsid w:val="00673F46"/>
    <w:rsid w:val="00673F78"/>
    <w:rsid w:val="00674008"/>
    <w:rsid w:val="006740E9"/>
    <w:rsid w:val="00674140"/>
    <w:rsid w:val="006742BF"/>
    <w:rsid w:val="006743CC"/>
    <w:rsid w:val="00674620"/>
    <w:rsid w:val="006746FC"/>
    <w:rsid w:val="00674760"/>
    <w:rsid w:val="00674869"/>
    <w:rsid w:val="00674871"/>
    <w:rsid w:val="006748BE"/>
    <w:rsid w:val="00674918"/>
    <w:rsid w:val="006749CB"/>
    <w:rsid w:val="00674A23"/>
    <w:rsid w:val="00674A80"/>
    <w:rsid w:val="00674A82"/>
    <w:rsid w:val="00674AA3"/>
    <w:rsid w:val="00674CAA"/>
    <w:rsid w:val="00674D94"/>
    <w:rsid w:val="00674D9F"/>
    <w:rsid w:val="00674E1D"/>
    <w:rsid w:val="00674E1F"/>
    <w:rsid w:val="00674EFF"/>
    <w:rsid w:val="006751C4"/>
    <w:rsid w:val="006752A3"/>
    <w:rsid w:val="006752D2"/>
    <w:rsid w:val="00675307"/>
    <w:rsid w:val="00675323"/>
    <w:rsid w:val="00675413"/>
    <w:rsid w:val="0067554D"/>
    <w:rsid w:val="00675600"/>
    <w:rsid w:val="00675760"/>
    <w:rsid w:val="006757A2"/>
    <w:rsid w:val="006757A6"/>
    <w:rsid w:val="00675801"/>
    <w:rsid w:val="00675840"/>
    <w:rsid w:val="00675905"/>
    <w:rsid w:val="00675B34"/>
    <w:rsid w:val="00675CE1"/>
    <w:rsid w:val="00675EDF"/>
    <w:rsid w:val="00675F75"/>
    <w:rsid w:val="00676072"/>
    <w:rsid w:val="00676099"/>
    <w:rsid w:val="006760F2"/>
    <w:rsid w:val="00676168"/>
    <w:rsid w:val="00676192"/>
    <w:rsid w:val="0067637E"/>
    <w:rsid w:val="00676393"/>
    <w:rsid w:val="00676619"/>
    <w:rsid w:val="006766E8"/>
    <w:rsid w:val="0067680E"/>
    <w:rsid w:val="0067687A"/>
    <w:rsid w:val="0067689D"/>
    <w:rsid w:val="006768CD"/>
    <w:rsid w:val="00676919"/>
    <w:rsid w:val="006769F0"/>
    <w:rsid w:val="00676A03"/>
    <w:rsid w:val="00676A12"/>
    <w:rsid w:val="00676AE9"/>
    <w:rsid w:val="00676C16"/>
    <w:rsid w:val="00676C55"/>
    <w:rsid w:val="00676D96"/>
    <w:rsid w:val="00676E24"/>
    <w:rsid w:val="00676E98"/>
    <w:rsid w:val="00676EA7"/>
    <w:rsid w:val="00676F5D"/>
    <w:rsid w:val="00677006"/>
    <w:rsid w:val="00677027"/>
    <w:rsid w:val="0067702B"/>
    <w:rsid w:val="00677067"/>
    <w:rsid w:val="00677101"/>
    <w:rsid w:val="00677170"/>
    <w:rsid w:val="006771BF"/>
    <w:rsid w:val="00677219"/>
    <w:rsid w:val="00677283"/>
    <w:rsid w:val="0067738F"/>
    <w:rsid w:val="0067748E"/>
    <w:rsid w:val="0067752A"/>
    <w:rsid w:val="0067752E"/>
    <w:rsid w:val="0067765D"/>
    <w:rsid w:val="00677679"/>
    <w:rsid w:val="006776AF"/>
    <w:rsid w:val="00677767"/>
    <w:rsid w:val="006777E6"/>
    <w:rsid w:val="0067781B"/>
    <w:rsid w:val="00677920"/>
    <w:rsid w:val="0067797B"/>
    <w:rsid w:val="00677AC3"/>
    <w:rsid w:val="00677CC8"/>
    <w:rsid w:val="00677D07"/>
    <w:rsid w:val="00677D43"/>
    <w:rsid w:val="00677E92"/>
    <w:rsid w:val="00677E94"/>
    <w:rsid w:val="0067E17E"/>
    <w:rsid w:val="0068000F"/>
    <w:rsid w:val="00680071"/>
    <w:rsid w:val="006800B8"/>
    <w:rsid w:val="006801D5"/>
    <w:rsid w:val="00680205"/>
    <w:rsid w:val="00680396"/>
    <w:rsid w:val="00680597"/>
    <w:rsid w:val="00680612"/>
    <w:rsid w:val="00680716"/>
    <w:rsid w:val="006807E4"/>
    <w:rsid w:val="00680814"/>
    <w:rsid w:val="00680855"/>
    <w:rsid w:val="0068096D"/>
    <w:rsid w:val="00680998"/>
    <w:rsid w:val="00680ACD"/>
    <w:rsid w:val="00680B14"/>
    <w:rsid w:val="00680C11"/>
    <w:rsid w:val="00680C80"/>
    <w:rsid w:val="00680C8A"/>
    <w:rsid w:val="00680CAD"/>
    <w:rsid w:val="00680D26"/>
    <w:rsid w:val="00680E18"/>
    <w:rsid w:val="00680F3C"/>
    <w:rsid w:val="00680F42"/>
    <w:rsid w:val="0068103B"/>
    <w:rsid w:val="006810D7"/>
    <w:rsid w:val="006810F8"/>
    <w:rsid w:val="0068118D"/>
    <w:rsid w:val="00681263"/>
    <w:rsid w:val="0068129C"/>
    <w:rsid w:val="006812CE"/>
    <w:rsid w:val="0068135F"/>
    <w:rsid w:val="006815BB"/>
    <w:rsid w:val="00681659"/>
    <w:rsid w:val="0068166D"/>
    <w:rsid w:val="006816CB"/>
    <w:rsid w:val="006817ED"/>
    <w:rsid w:val="0068188C"/>
    <w:rsid w:val="00681A1B"/>
    <w:rsid w:val="00681A57"/>
    <w:rsid w:val="00681A88"/>
    <w:rsid w:val="00681AD6"/>
    <w:rsid w:val="00681B22"/>
    <w:rsid w:val="00681B4F"/>
    <w:rsid w:val="00681BF8"/>
    <w:rsid w:val="00681C30"/>
    <w:rsid w:val="00681C3F"/>
    <w:rsid w:val="00681C74"/>
    <w:rsid w:val="00681C90"/>
    <w:rsid w:val="00681D3E"/>
    <w:rsid w:val="00681DA7"/>
    <w:rsid w:val="00681EAE"/>
    <w:rsid w:val="00681ECB"/>
    <w:rsid w:val="00681F56"/>
    <w:rsid w:val="00681FAE"/>
    <w:rsid w:val="0068200F"/>
    <w:rsid w:val="0068207A"/>
    <w:rsid w:val="00682096"/>
    <w:rsid w:val="0068209F"/>
    <w:rsid w:val="006821F4"/>
    <w:rsid w:val="006821F7"/>
    <w:rsid w:val="00682202"/>
    <w:rsid w:val="00682316"/>
    <w:rsid w:val="00682404"/>
    <w:rsid w:val="0068272A"/>
    <w:rsid w:val="0068273C"/>
    <w:rsid w:val="006827AA"/>
    <w:rsid w:val="00682800"/>
    <w:rsid w:val="006829CE"/>
    <w:rsid w:val="00682A20"/>
    <w:rsid w:val="00682AC2"/>
    <w:rsid w:val="00682BA2"/>
    <w:rsid w:val="00682BB2"/>
    <w:rsid w:val="00682C8B"/>
    <w:rsid w:val="00682CB0"/>
    <w:rsid w:val="00682CB6"/>
    <w:rsid w:val="00682CDA"/>
    <w:rsid w:val="00682EEF"/>
    <w:rsid w:val="00682F30"/>
    <w:rsid w:val="00682F7E"/>
    <w:rsid w:val="00682FBA"/>
    <w:rsid w:val="0068308E"/>
    <w:rsid w:val="00683139"/>
    <w:rsid w:val="0068327F"/>
    <w:rsid w:val="0068328E"/>
    <w:rsid w:val="00683314"/>
    <w:rsid w:val="0068331B"/>
    <w:rsid w:val="006833A1"/>
    <w:rsid w:val="006833B5"/>
    <w:rsid w:val="006836F4"/>
    <w:rsid w:val="00683720"/>
    <w:rsid w:val="00683742"/>
    <w:rsid w:val="006838C6"/>
    <w:rsid w:val="00683938"/>
    <w:rsid w:val="00683A4C"/>
    <w:rsid w:val="00683A72"/>
    <w:rsid w:val="00683AF1"/>
    <w:rsid w:val="00683B0A"/>
    <w:rsid w:val="00683B37"/>
    <w:rsid w:val="00683B50"/>
    <w:rsid w:val="00683F32"/>
    <w:rsid w:val="00683F78"/>
    <w:rsid w:val="00683F83"/>
    <w:rsid w:val="00683FEB"/>
    <w:rsid w:val="006840DE"/>
    <w:rsid w:val="0068410A"/>
    <w:rsid w:val="0068414E"/>
    <w:rsid w:val="0068441C"/>
    <w:rsid w:val="00684465"/>
    <w:rsid w:val="00684648"/>
    <w:rsid w:val="0068470E"/>
    <w:rsid w:val="006847D3"/>
    <w:rsid w:val="00684835"/>
    <w:rsid w:val="006848C0"/>
    <w:rsid w:val="00684968"/>
    <w:rsid w:val="00684987"/>
    <w:rsid w:val="00684AEF"/>
    <w:rsid w:val="00684C2C"/>
    <w:rsid w:val="00684D00"/>
    <w:rsid w:val="00684D20"/>
    <w:rsid w:val="00684D30"/>
    <w:rsid w:val="00684E1E"/>
    <w:rsid w:val="00684F16"/>
    <w:rsid w:val="00684F9D"/>
    <w:rsid w:val="00684FA5"/>
    <w:rsid w:val="0068513D"/>
    <w:rsid w:val="00685417"/>
    <w:rsid w:val="0068550E"/>
    <w:rsid w:val="0068552C"/>
    <w:rsid w:val="006855F7"/>
    <w:rsid w:val="006856CD"/>
    <w:rsid w:val="00685763"/>
    <w:rsid w:val="0068577C"/>
    <w:rsid w:val="00685794"/>
    <w:rsid w:val="00685B4F"/>
    <w:rsid w:val="00685C67"/>
    <w:rsid w:val="00685CDC"/>
    <w:rsid w:val="00685D50"/>
    <w:rsid w:val="00685D88"/>
    <w:rsid w:val="00685E76"/>
    <w:rsid w:val="00685EC5"/>
    <w:rsid w:val="00685F57"/>
    <w:rsid w:val="006860AA"/>
    <w:rsid w:val="006860D3"/>
    <w:rsid w:val="00686121"/>
    <w:rsid w:val="006861FF"/>
    <w:rsid w:val="006862A3"/>
    <w:rsid w:val="006863C4"/>
    <w:rsid w:val="00686557"/>
    <w:rsid w:val="006865C6"/>
    <w:rsid w:val="0068663E"/>
    <w:rsid w:val="0068665E"/>
    <w:rsid w:val="00686677"/>
    <w:rsid w:val="0068668F"/>
    <w:rsid w:val="006868BB"/>
    <w:rsid w:val="00686A40"/>
    <w:rsid w:val="00686AB2"/>
    <w:rsid w:val="00686C1D"/>
    <w:rsid w:val="00686D0B"/>
    <w:rsid w:val="00686D87"/>
    <w:rsid w:val="00686DAF"/>
    <w:rsid w:val="00686EC0"/>
    <w:rsid w:val="00687012"/>
    <w:rsid w:val="0068706A"/>
    <w:rsid w:val="006870C5"/>
    <w:rsid w:val="0068710C"/>
    <w:rsid w:val="0068711B"/>
    <w:rsid w:val="00687294"/>
    <w:rsid w:val="00687295"/>
    <w:rsid w:val="006872D8"/>
    <w:rsid w:val="006872DC"/>
    <w:rsid w:val="00687319"/>
    <w:rsid w:val="006873C4"/>
    <w:rsid w:val="006874A9"/>
    <w:rsid w:val="006874B5"/>
    <w:rsid w:val="00687882"/>
    <w:rsid w:val="00687893"/>
    <w:rsid w:val="00687A32"/>
    <w:rsid w:val="00687A4F"/>
    <w:rsid w:val="00687AB2"/>
    <w:rsid w:val="00687AB3"/>
    <w:rsid w:val="00687BCC"/>
    <w:rsid w:val="00687BD2"/>
    <w:rsid w:val="00687C74"/>
    <w:rsid w:val="00687EA5"/>
    <w:rsid w:val="00687ECE"/>
    <w:rsid w:val="00687EDD"/>
    <w:rsid w:val="00687FDA"/>
    <w:rsid w:val="0069002F"/>
    <w:rsid w:val="0069004B"/>
    <w:rsid w:val="00690065"/>
    <w:rsid w:val="006900A8"/>
    <w:rsid w:val="0069015A"/>
    <w:rsid w:val="00690230"/>
    <w:rsid w:val="006902AA"/>
    <w:rsid w:val="006902FD"/>
    <w:rsid w:val="0069053C"/>
    <w:rsid w:val="006906F6"/>
    <w:rsid w:val="00690834"/>
    <w:rsid w:val="006908F3"/>
    <w:rsid w:val="006908FB"/>
    <w:rsid w:val="00690A1A"/>
    <w:rsid w:val="00690A26"/>
    <w:rsid w:val="00690A42"/>
    <w:rsid w:val="00690AB7"/>
    <w:rsid w:val="00690ABA"/>
    <w:rsid w:val="00690B2D"/>
    <w:rsid w:val="00690BE7"/>
    <w:rsid w:val="00690E69"/>
    <w:rsid w:val="00690F7C"/>
    <w:rsid w:val="00690FB2"/>
    <w:rsid w:val="00690FFE"/>
    <w:rsid w:val="00691140"/>
    <w:rsid w:val="00691186"/>
    <w:rsid w:val="006911F4"/>
    <w:rsid w:val="0069120B"/>
    <w:rsid w:val="00691278"/>
    <w:rsid w:val="0069129C"/>
    <w:rsid w:val="006913BE"/>
    <w:rsid w:val="006913CE"/>
    <w:rsid w:val="00691520"/>
    <w:rsid w:val="00691530"/>
    <w:rsid w:val="00691562"/>
    <w:rsid w:val="006915D7"/>
    <w:rsid w:val="00691602"/>
    <w:rsid w:val="00691614"/>
    <w:rsid w:val="00691644"/>
    <w:rsid w:val="00691793"/>
    <w:rsid w:val="00691908"/>
    <w:rsid w:val="00691935"/>
    <w:rsid w:val="00691986"/>
    <w:rsid w:val="00691D56"/>
    <w:rsid w:val="00691E27"/>
    <w:rsid w:val="00691E3D"/>
    <w:rsid w:val="00691E53"/>
    <w:rsid w:val="00691FC7"/>
    <w:rsid w:val="00692012"/>
    <w:rsid w:val="006920E7"/>
    <w:rsid w:val="00692147"/>
    <w:rsid w:val="0069215C"/>
    <w:rsid w:val="006921F7"/>
    <w:rsid w:val="006921FD"/>
    <w:rsid w:val="0069228A"/>
    <w:rsid w:val="00692308"/>
    <w:rsid w:val="00692412"/>
    <w:rsid w:val="00692461"/>
    <w:rsid w:val="00692492"/>
    <w:rsid w:val="006924D0"/>
    <w:rsid w:val="00692524"/>
    <w:rsid w:val="0069263F"/>
    <w:rsid w:val="0069267C"/>
    <w:rsid w:val="006926C1"/>
    <w:rsid w:val="006926DA"/>
    <w:rsid w:val="00692730"/>
    <w:rsid w:val="00692849"/>
    <w:rsid w:val="006928E9"/>
    <w:rsid w:val="00692A9F"/>
    <w:rsid w:val="00692B44"/>
    <w:rsid w:val="00692BA5"/>
    <w:rsid w:val="00692BFE"/>
    <w:rsid w:val="00692C22"/>
    <w:rsid w:val="00692DD8"/>
    <w:rsid w:val="00692E23"/>
    <w:rsid w:val="00692E3B"/>
    <w:rsid w:val="00692E5C"/>
    <w:rsid w:val="00692EC8"/>
    <w:rsid w:val="00692F63"/>
    <w:rsid w:val="00692F6B"/>
    <w:rsid w:val="006930D7"/>
    <w:rsid w:val="0069313D"/>
    <w:rsid w:val="00693197"/>
    <w:rsid w:val="00693209"/>
    <w:rsid w:val="006932AF"/>
    <w:rsid w:val="0069346B"/>
    <w:rsid w:val="006934BD"/>
    <w:rsid w:val="00693707"/>
    <w:rsid w:val="00693730"/>
    <w:rsid w:val="0069374B"/>
    <w:rsid w:val="006937D8"/>
    <w:rsid w:val="0069383A"/>
    <w:rsid w:val="00693879"/>
    <w:rsid w:val="006938C5"/>
    <w:rsid w:val="0069392A"/>
    <w:rsid w:val="00693992"/>
    <w:rsid w:val="006939D4"/>
    <w:rsid w:val="00693A36"/>
    <w:rsid w:val="00693B20"/>
    <w:rsid w:val="00693B91"/>
    <w:rsid w:val="00693BDC"/>
    <w:rsid w:val="00693CDD"/>
    <w:rsid w:val="00693DBB"/>
    <w:rsid w:val="00693E02"/>
    <w:rsid w:val="00693F17"/>
    <w:rsid w:val="00693F4D"/>
    <w:rsid w:val="00694010"/>
    <w:rsid w:val="0069419E"/>
    <w:rsid w:val="00694253"/>
    <w:rsid w:val="00694316"/>
    <w:rsid w:val="006943E4"/>
    <w:rsid w:val="0069441C"/>
    <w:rsid w:val="00694465"/>
    <w:rsid w:val="006944F1"/>
    <w:rsid w:val="0069450B"/>
    <w:rsid w:val="0069450E"/>
    <w:rsid w:val="00694522"/>
    <w:rsid w:val="0069456E"/>
    <w:rsid w:val="006945AA"/>
    <w:rsid w:val="006945D9"/>
    <w:rsid w:val="00694624"/>
    <w:rsid w:val="00694680"/>
    <w:rsid w:val="00694872"/>
    <w:rsid w:val="006948CE"/>
    <w:rsid w:val="00694996"/>
    <w:rsid w:val="00694A18"/>
    <w:rsid w:val="00694A58"/>
    <w:rsid w:val="00694A67"/>
    <w:rsid w:val="00694AA4"/>
    <w:rsid w:val="00694AF3"/>
    <w:rsid w:val="00694B24"/>
    <w:rsid w:val="00694C2B"/>
    <w:rsid w:val="00694CBB"/>
    <w:rsid w:val="00694E4D"/>
    <w:rsid w:val="00694E8D"/>
    <w:rsid w:val="00694ECC"/>
    <w:rsid w:val="0069524F"/>
    <w:rsid w:val="00695313"/>
    <w:rsid w:val="006953E2"/>
    <w:rsid w:val="00695401"/>
    <w:rsid w:val="00695432"/>
    <w:rsid w:val="006954C8"/>
    <w:rsid w:val="0069557A"/>
    <w:rsid w:val="0069559F"/>
    <w:rsid w:val="00695755"/>
    <w:rsid w:val="006957BA"/>
    <w:rsid w:val="006959D8"/>
    <w:rsid w:val="00695B3C"/>
    <w:rsid w:val="00695C2D"/>
    <w:rsid w:val="00695CAC"/>
    <w:rsid w:val="00695CDE"/>
    <w:rsid w:val="00695CE0"/>
    <w:rsid w:val="00695D77"/>
    <w:rsid w:val="00695DB5"/>
    <w:rsid w:val="00695DB8"/>
    <w:rsid w:val="00695EE6"/>
    <w:rsid w:val="00695F0F"/>
    <w:rsid w:val="0069601F"/>
    <w:rsid w:val="006960C8"/>
    <w:rsid w:val="006960F3"/>
    <w:rsid w:val="006962BB"/>
    <w:rsid w:val="006963CC"/>
    <w:rsid w:val="00696482"/>
    <w:rsid w:val="006966C3"/>
    <w:rsid w:val="006968C5"/>
    <w:rsid w:val="006968EB"/>
    <w:rsid w:val="006968FD"/>
    <w:rsid w:val="00696913"/>
    <w:rsid w:val="006969B6"/>
    <w:rsid w:val="00696A3D"/>
    <w:rsid w:val="00696A5F"/>
    <w:rsid w:val="00696A63"/>
    <w:rsid w:val="00696B54"/>
    <w:rsid w:val="00696C0A"/>
    <w:rsid w:val="00696CD0"/>
    <w:rsid w:val="00696CF3"/>
    <w:rsid w:val="00696CFD"/>
    <w:rsid w:val="00696DA4"/>
    <w:rsid w:val="00696E13"/>
    <w:rsid w:val="00696E97"/>
    <w:rsid w:val="00696EC2"/>
    <w:rsid w:val="00696F01"/>
    <w:rsid w:val="0069704F"/>
    <w:rsid w:val="006970F9"/>
    <w:rsid w:val="006971DC"/>
    <w:rsid w:val="00697363"/>
    <w:rsid w:val="00697389"/>
    <w:rsid w:val="006973A8"/>
    <w:rsid w:val="006975AB"/>
    <w:rsid w:val="00697632"/>
    <w:rsid w:val="006976B9"/>
    <w:rsid w:val="006976C3"/>
    <w:rsid w:val="006978D3"/>
    <w:rsid w:val="006979DD"/>
    <w:rsid w:val="006979F1"/>
    <w:rsid w:val="00697A52"/>
    <w:rsid w:val="00697A57"/>
    <w:rsid w:val="00697B64"/>
    <w:rsid w:val="00697C06"/>
    <w:rsid w:val="00697D0C"/>
    <w:rsid w:val="00697D28"/>
    <w:rsid w:val="00697D30"/>
    <w:rsid w:val="00697D95"/>
    <w:rsid w:val="00697DC0"/>
    <w:rsid w:val="00697E77"/>
    <w:rsid w:val="00697F28"/>
    <w:rsid w:val="006A000B"/>
    <w:rsid w:val="006A009A"/>
    <w:rsid w:val="006A0133"/>
    <w:rsid w:val="006A015C"/>
    <w:rsid w:val="006A0187"/>
    <w:rsid w:val="006A0521"/>
    <w:rsid w:val="006A060E"/>
    <w:rsid w:val="006A083F"/>
    <w:rsid w:val="006A0853"/>
    <w:rsid w:val="006A085B"/>
    <w:rsid w:val="006A086A"/>
    <w:rsid w:val="006A08AA"/>
    <w:rsid w:val="006A096F"/>
    <w:rsid w:val="006A0983"/>
    <w:rsid w:val="006A09D1"/>
    <w:rsid w:val="006A0A5A"/>
    <w:rsid w:val="006A0A96"/>
    <w:rsid w:val="006A0ADB"/>
    <w:rsid w:val="006A0B49"/>
    <w:rsid w:val="006A0B9F"/>
    <w:rsid w:val="006A0BC1"/>
    <w:rsid w:val="006A0C1D"/>
    <w:rsid w:val="006A0C78"/>
    <w:rsid w:val="006A0C95"/>
    <w:rsid w:val="006A0DC5"/>
    <w:rsid w:val="006A0DF1"/>
    <w:rsid w:val="006A0E03"/>
    <w:rsid w:val="006A0E05"/>
    <w:rsid w:val="006A0E27"/>
    <w:rsid w:val="006A0F58"/>
    <w:rsid w:val="006A0F7C"/>
    <w:rsid w:val="006A1001"/>
    <w:rsid w:val="006A1006"/>
    <w:rsid w:val="006A1068"/>
    <w:rsid w:val="006A122E"/>
    <w:rsid w:val="006A1246"/>
    <w:rsid w:val="006A12C0"/>
    <w:rsid w:val="006A1319"/>
    <w:rsid w:val="006A134D"/>
    <w:rsid w:val="006A13FF"/>
    <w:rsid w:val="006A1463"/>
    <w:rsid w:val="006A148D"/>
    <w:rsid w:val="006A152C"/>
    <w:rsid w:val="006A1569"/>
    <w:rsid w:val="006A1610"/>
    <w:rsid w:val="006A163A"/>
    <w:rsid w:val="006A165C"/>
    <w:rsid w:val="006A1669"/>
    <w:rsid w:val="006A16BA"/>
    <w:rsid w:val="006A171C"/>
    <w:rsid w:val="006A186B"/>
    <w:rsid w:val="006A1B45"/>
    <w:rsid w:val="006A1BF5"/>
    <w:rsid w:val="006A1C8B"/>
    <w:rsid w:val="006A1CBE"/>
    <w:rsid w:val="006A1D37"/>
    <w:rsid w:val="006A1E9C"/>
    <w:rsid w:val="006A1E9D"/>
    <w:rsid w:val="006A1F25"/>
    <w:rsid w:val="006A1F35"/>
    <w:rsid w:val="006A1F6C"/>
    <w:rsid w:val="006A1F8F"/>
    <w:rsid w:val="006A2027"/>
    <w:rsid w:val="006A2071"/>
    <w:rsid w:val="006A209E"/>
    <w:rsid w:val="006A20FE"/>
    <w:rsid w:val="006A2126"/>
    <w:rsid w:val="006A2160"/>
    <w:rsid w:val="006A21BF"/>
    <w:rsid w:val="006A2235"/>
    <w:rsid w:val="006A2383"/>
    <w:rsid w:val="006A240E"/>
    <w:rsid w:val="006A2528"/>
    <w:rsid w:val="006A2541"/>
    <w:rsid w:val="006A2623"/>
    <w:rsid w:val="006A26D9"/>
    <w:rsid w:val="006A2773"/>
    <w:rsid w:val="006A27A2"/>
    <w:rsid w:val="006A2846"/>
    <w:rsid w:val="006A28B8"/>
    <w:rsid w:val="006A28E6"/>
    <w:rsid w:val="006A2902"/>
    <w:rsid w:val="006A2A75"/>
    <w:rsid w:val="006A2B70"/>
    <w:rsid w:val="006A2C3A"/>
    <w:rsid w:val="006A2C94"/>
    <w:rsid w:val="006A2CE2"/>
    <w:rsid w:val="006A2D37"/>
    <w:rsid w:val="006A2E94"/>
    <w:rsid w:val="006A2F87"/>
    <w:rsid w:val="006A2FB5"/>
    <w:rsid w:val="006A3008"/>
    <w:rsid w:val="006A3058"/>
    <w:rsid w:val="006A306A"/>
    <w:rsid w:val="006A30FB"/>
    <w:rsid w:val="006A335C"/>
    <w:rsid w:val="006A338E"/>
    <w:rsid w:val="006A3453"/>
    <w:rsid w:val="006A358B"/>
    <w:rsid w:val="006A358D"/>
    <w:rsid w:val="006A35F8"/>
    <w:rsid w:val="006A3640"/>
    <w:rsid w:val="006A3671"/>
    <w:rsid w:val="006A368C"/>
    <w:rsid w:val="006A370B"/>
    <w:rsid w:val="006A373B"/>
    <w:rsid w:val="006A38E7"/>
    <w:rsid w:val="006A3909"/>
    <w:rsid w:val="006A390A"/>
    <w:rsid w:val="006A39F7"/>
    <w:rsid w:val="006A3B06"/>
    <w:rsid w:val="006A3C33"/>
    <w:rsid w:val="006A3C63"/>
    <w:rsid w:val="006A3D56"/>
    <w:rsid w:val="006A3E37"/>
    <w:rsid w:val="006A3EDB"/>
    <w:rsid w:val="006A3F8D"/>
    <w:rsid w:val="006A4027"/>
    <w:rsid w:val="006A419B"/>
    <w:rsid w:val="006A41C5"/>
    <w:rsid w:val="006A41D1"/>
    <w:rsid w:val="006A425A"/>
    <w:rsid w:val="006A42C7"/>
    <w:rsid w:val="006A437E"/>
    <w:rsid w:val="006A4410"/>
    <w:rsid w:val="006A447C"/>
    <w:rsid w:val="006A448A"/>
    <w:rsid w:val="006A44D4"/>
    <w:rsid w:val="006A44E3"/>
    <w:rsid w:val="006A460E"/>
    <w:rsid w:val="006A4660"/>
    <w:rsid w:val="006A48A9"/>
    <w:rsid w:val="006A48B3"/>
    <w:rsid w:val="006A48F9"/>
    <w:rsid w:val="006A49C6"/>
    <w:rsid w:val="006A49F8"/>
    <w:rsid w:val="006A4A94"/>
    <w:rsid w:val="006A4B59"/>
    <w:rsid w:val="006A4B88"/>
    <w:rsid w:val="006A4BA3"/>
    <w:rsid w:val="006A4E02"/>
    <w:rsid w:val="006A4E30"/>
    <w:rsid w:val="006A4F3F"/>
    <w:rsid w:val="006A5016"/>
    <w:rsid w:val="006A5099"/>
    <w:rsid w:val="006A50C1"/>
    <w:rsid w:val="006A5106"/>
    <w:rsid w:val="006A513F"/>
    <w:rsid w:val="006A514F"/>
    <w:rsid w:val="006A5358"/>
    <w:rsid w:val="006A54C8"/>
    <w:rsid w:val="006A55DE"/>
    <w:rsid w:val="006A560D"/>
    <w:rsid w:val="006A56A4"/>
    <w:rsid w:val="006A585B"/>
    <w:rsid w:val="006A594A"/>
    <w:rsid w:val="006A596A"/>
    <w:rsid w:val="006A59FC"/>
    <w:rsid w:val="006A5B7A"/>
    <w:rsid w:val="006A5C1D"/>
    <w:rsid w:val="006A5D31"/>
    <w:rsid w:val="006A5E49"/>
    <w:rsid w:val="006A5EC9"/>
    <w:rsid w:val="006A6029"/>
    <w:rsid w:val="006A604C"/>
    <w:rsid w:val="006A609A"/>
    <w:rsid w:val="006A60E7"/>
    <w:rsid w:val="006A64DE"/>
    <w:rsid w:val="006A64EF"/>
    <w:rsid w:val="006A6518"/>
    <w:rsid w:val="006A6533"/>
    <w:rsid w:val="006A6570"/>
    <w:rsid w:val="006A6573"/>
    <w:rsid w:val="006A657B"/>
    <w:rsid w:val="006A659C"/>
    <w:rsid w:val="006A6654"/>
    <w:rsid w:val="006A6694"/>
    <w:rsid w:val="006A66EB"/>
    <w:rsid w:val="006A674E"/>
    <w:rsid w:val="006A68C3"/>
    <w:rsid w:val="006A68D6"/>
    <w:rsid w:val="006A68E5"/>
    <w:rsid w:val="006A6916"/>
    <w:rsid w:val="006A6933"/>
    <w:rsid w:val="006A69B7"/>
    <w:rsid w:val="006A6B44"/>
    <w:rsid w:val="006A6BA2"/>
    <w:rsid w:val="006A6BB5"/>
    <w:rsid w:val="006A6BF4"/>
    <w:rsid w:val="006A6C7A"/>
    <w:rsid w:val="006A6D4F"/>
    <w:rsid w:val="006A6E05"/>
    <w:rsid w:val="006A6E50"/>
    <w:rsid w:val="006A6E63"/>
    <w:rsid w:val="006A6F15"/>
    <w:rsid w:val="006A6FD5"/>
    <w:rsid w:val="006A721C"/>
    <w:rsid w:val="006A7276"/>
    <w:rsid w:val="006A7282"/>
    <w:rsid w:val="006A7387"/>
    <w:rsid w:val="006A7424"/>
    <w:rsid w:val="006A7558"/>
    <w:rsid w:val="006A764E"/>
    <w:rsid w:val="006A76D3"/>
    <w:rsid w:val="006A7927"/>
    <w:rsid w:val="006A79E4"/>
    <w:rsid w:val="006A79F2"/>
    <w:rsid w:val="006A7B2A"/>
    <w:rsid w:val="006A7B82"/>
    <w:rsid w:val="006A7C51"/>
    <w:rsid w:val="006A7C9B"/>
    <w:rsid w:val="006A7CFA"/>
    <w:rsid w:val="006A7D93"/>
    <w:rsid w:val="006A7DDE"/>
    <w:rsid w:val="006A7ED1"/>
    <w:rsid w:val="006A7EF1"/>
    <w:rsid w:val="006A7F16"/>
    <w:rsid w:val="006B006B"/>
    <w:rsid w:val="006B0087"/>
    <w:rsid w:val="006B0088"/>
    <w:rsid w:val="006B00C4"/>
    <w:rsid w:val="006B00E5"/>
    <w:rsid w:val="006B0159"/>
    <w:rsid w:val="006B0234"/>
    <w:rsid w:val="006B0269"/>
    <w:rsid w:val="006B032E"/>
    <w:rsid w:val="006B036B"/>
    <w:rsid w:val="006B045A"/>
    <w:rsid w:val="006B049A"/>
    <w:rsid w:val="006B0545"/>
    <w:rsid w:val="006B067B"/>
    <w:rsid w:val="006B070C"/>
    <w:rsid w:val="006B072C"/>
    <w:rsid w:val="006B073E"/>
    <w:rsid w:val="006B0742"/>
    <w:rsid w:val="006B0770"/>
    <w:rsid w:val="006B0800"/>
    <w:rsid w:val="006B0825"/>
    <w:rsid w:val="006B087D"/>
    <w:rsid w:val="006B08A0"/>
    <w:rsid w:val="006B091A"/>
    <w:rsid w:val="006B099F"/>
    <w:rsid w:val="006B09D1"/>
    <w:rsid w:val="006B0A7D"/>
    <w:rsid w:val="006B0ADE"/>
    <w:rsid w:val="006B0C11"/>
    <w:rsid w:val="006B0D15"/>
    <w:rsid w:val="006B0D52"/>
    <w:rsid w:val="006B0DDC"/>
    <w:rsid w:val="006B0DE0"/>
    <w:rsid w:val="006B0F4E"/>
    <w:rsid w:val="006B0FC4"/>
    <w:rsid w:val="006B1153"/>
    <w:rsid w:val="006B1211"/>
    <w:rsid w:val="006B125D"/>
    <w:rsid w:val="006B12D6"/>
    <w:rsid w:val="006B12F5"/>
    <w:rsid w:val="006B1336"/>
    <w:rsid w:val="006B134E"/>
    <w:rsid w:val="006B1372"/>
    <w:rsid w:val="006B1374"/>
    <w:rsid w:val="006B1383"/>
    <w:rsid w:val="006B13E1"/>
    <w:rsid w:val="006B1469"/>
    <w:rsid w:val="006B1483"/>
    <w:rsid w:val="006B1550"/>
    <w:rsid w:val="006B183B"/>
    <w:rsid w:val="006B195B"/>
    <w:rsid w:val="006B19A8"/>
    <w:rsid w:val="006B19E9"/>
    <w:rsid w:val="006B1A38"/>
    <w:rsid w:val="006B1A84"/>
    <w:rsid w:val="006B1B55"/>
    <w:rsid w:val="006B1BB9"/>
    <w:rsid w:val="006B1C29"/>
    <w:rsid w:val="006B1C5E"/>
    <w:rsid w:val="006B1CBC"/>
    <w:rsid w:val="006B1CC9"/>
    <w:rsid w:val="006B1CF1"/>
    <w:rsid w:val="006B1D53"/>
    <w:rsid w:val="006B1D92"/>
    <w:rsid w:val="006B1DF4"/>
    <w:rsid w:val="006B1FA4"/>
    <w:rsid w:val="006B2170"/>
    <w:rsid w:val="006B222F"/>
    <w:rsid w:val="006B2261"/>
    <w:rsid w:val="006B22F7"/>
    <w:rsid w:val="006B233D"/>
    <w:rsid w:val="006B23AB"/>
    <w:rsid w:val="006B25BB"/>
    <w:rsid w:val="006B25C2"/>
    <w:rsid w:val="006B2628"/>
    <w:rsid w:val="006B26B6"/>
    <w:rsid w:val="006B2721"/>
    <w:rsid w:val="006B27FC"/>
    <w:rsid w:val="006B289E"/>
    <w:rsid w:val="006B2918"/>
    <w:rsid w:val="006B291F"/>
    <w:rsid w:val="006B2A5B"/>
    <w:rsid w:val="006B2A73"/>
    <w:rsid w:val="006B2A89"/>
    <w:rsid w:val="006B2C9E"/>
    <w:rsid w:val="006B2CF1"/>
    <w:rsid w:val="006B2DB4"/>
    <w:rsid w:val="006B2E13"/>
    <w:rsid w:val="006B2EA3"/>
    <w:rsid w:val="006B2EE4"/>
    <w:rsid w:val="006B2F2F"/>
    <w:rsid w:val="006B2F35"/>
    <w:rsid w:val="006B2F61"/>
    <w:rsid w:val="006B2F83"/>
    <w:rsid w:val="006B2FC3"/>
    <w:rsid w:val="006B3067"/>
    <w:rsid w:val="006B3186"/>
    <w:rsid w:val="006B31A4"/>
    <w:rsid w:val="006B3299"/>
    <w:rsid w:val="006B32E7"/>
    <w:rsid w:val="006B32FF"/>
    <w:rsid w:val="006B3317"/>
    <w:rsid w:val="006B3357"/>
    <w:rsid w:val="006B3358"/>
    <w:rsid w:val="006B33B7"/>
    <w:rsid w:val="006B3596"/>
    <w:rsid w:val="006B36A7"/>
    <w:rsid w:val="006B36DE"/>
    <w:rsid w:val="006B370B"/>
    <w:rsid w:val="006B38C9"/>
    <w:rsid w:val="006B3AA1"/>
    <w:rsid w:val="006B3B94"/>
    <w:rsid w:val="006B3C1A"/>
    <w:rsid w:val="006B3C96"/>
    <w:rsid w:val="006B3FA1"/>
    <w:rsid w:val="006B3FC6"/>
    <w:rsid w:val="006B4119"/>
    <w:rsid w:val="006B41AC"/>
    <w:rsid w:val="006B43B9"/>
    <w:rsid w:val="006B4490"/>
    <w:rsid w:val="006B4636"/>
    <w:rsid w:val="006B46F4"/>
    <w:rsid w:val="006B471E"/>
    <w:rsid w:val="006B487C"/>
    <w:rsid w:val="006B48CE"/>
    <w:rsid w:val="006B4923"/>
    <w:rsid w:val="006B4988"/>
    <w:rsid w:val="006B4A07"/>
    <w:rsid w:val="006B4B50"/>
    <w:rsid w:val="006B4C84"/>
    <w:rsid w:val="006B4D02"/>
    <w:rsid w:val="006B4D2D"/>
    <w:rsid w:val="006B4DEE"/>
    <w:rsid w:val="006B4F62"/>
    <w:rsid w:val="006B504A"/>
    <w:rsid w:val="006B5054"/>
    <w:rsid w:val="006B50EB"/>
    <w:rsid w:val="006B521E"/>
    <w:rsid w:val="006B527C"/>
    <w:rsid w:val="006B52C7"/>
    <w:rsid w:val="006B52CC"/>
    <w:rsid w:val="006B551F"/>
    <w:rsid w:val="006B5571"/>
    <w:rsid w:val="006B55A6"/>
    <w:rsid w:val="006B55C6"/>
    <w:rsid w:val="006B5620"/>
    <w:rsid w:val="006B5678"/>
    <w:rsid w:val="006B56B3"/>
    <w:rsid w:val="006B56D0"/>
    <w:rsid w:val="006B5776"/>
    <w:rsid w:val="006B5840"/>
    <w:rsid w:val="006B5884"/>
    <w:rsid w:val="006B5917"/>
    <w:rsid w:val="006B5995"/>
    <w:rsid w:val="006B5A22"/>
    <w:rsid w:val="006B5AAA"/>
    <w:rsid w:val="006B5ADD"/>
    <w:rsid w:val="006B5B9B"/>
    <w:rsid w:val="006B5C9C"/>
    <w:rsid w:val="006B5CCA"/>
    <w:rsid w:val="006B5D68"/>
    <w:rsid w:val="006B5F71"/>
    <w:rsid w:val="006B5FA6"/>
    <w:rsid w:val="006B60E3"/>
    <w:rsid w:val="006B61B1"/>
    <w:rsid w:val="006B61CE"/>
    <w:rsid w:val="006B6285"/>
    <w:rsid w:val="006B631E"/>
    <w:rsid w:val="006B6330"/>
    <w:rsid w:val="006B6395"/>
    <w:rsid w:val="006B63A8"/>
    <w:rsid w:val="006B63EF"/>
    <w:rsid w:val="006B6489"/>
    <w:rsid w:val="006B6490"/>
    <w:rsid w:val="006B65C6"/>
    <w:rsid w:val="006B6638"/>
    <w:rsid w:val="006B66FD"/>
    <w:rsid w:val="006B670F"/>
    <w:rsid w:val="006B6726"/>
    <w:rsid w:val="006B672C"/>
    <w:rsid w:val="006B675B"/>
    <w:rsid w:val="006B6798"/>
    <w:rsid w:val="006B67CE"/>
    <w:rsid w:val="006B67F1"/>
    <w:rsid w:val="006B67F5"/>
    <w:rsid w:val="006B6860"/>
    <w:rsid w:val="006B6932"/>
    <w:rsid w:val="006B6A6E"/>
    <w:rsid w:val="006B6AFB"/>
    <w:rsid w:val="006B6B72"/>
    <w:rsid w:val="006B6B77"/>
    <w:rsid w:val="006B6C0E"/>
    <w:rsid w:val="006B6DDF"/>
    <w:rsid w:val="006B6DE7"/>
    <w:rsid w:val="006B6E6F"/>
    <w:rsid w:val="006B6F17"/>
    <w:rsid w:val="006B6F47"/>
    <w:rsid w:val="006B7162"/>
    <w:rsid w:val="006B722B"/>
    <w:rsid w:val="006B7249"/>
    <w:rsid w:val="006B7297"/>
    <w:rsid w:val="006B7370"/>
    <w:rsid w:val="006B7392"/>
    <w:rsid w:val="006B7453"/>
    <w:rsid w:val="006B745F"/>
    <w:rsid w:val="006B75F4"/>
    <w:rsid w:val="006B7670"/>
    <w:rsid w:val="006B779D"/>
    <w:rsid w:val="006B7AAA"/>
    <w:rsid w:val="006B7C34"/>
    <w:rsid w:val="006B7C43"/>
    <w:rsid w:val="006B7C62"/>
    <w:rsid w:val="006B7C7A"/>
    <w:rsid w:val="006B7C7D"/>
    <w:rsid w:val="006B7CA0"/>
    <w:rsid w:val="006B7CDE"/>
    <w:rsid w:val="006B7CE2"/>
    <w:rsid w:val="006B7D1A"/>
    <w:rsid w:val="006B7F32"/>
    <w:rsid w:val="006B7F5E"/>
    <w:rsid w:val="006C0011"/>
    <w:rsid w:val="006C00E0"/>
    <w:rsid w:val="006C0185"/>
    <w:rsid w:val="006C018F"/>
    <w:rsid w:val="006C0281"/>
    <w:rsid w:val="006C0321"/>
    <w:rsid w:val="006C0368"/>
    <w:rsid w:val="006C0412"/>
    <w:rsid w:val="006C045E"/>
    <w:rsid w:val="006C055A"/>
    <w:rsid w:val="006C0566"/>
    <w:rsid w:val="006C0580"/>
    <w:rsid w:val="006C05D1"/>
    <w:rsid w:val="006C06E4"/>
    <w:rsid w:val="006C07D5"/>
    <w:rsid w:val="006C08B5"/>
    <w:rsid w:val="006C0954"/>
    <w:rsid w:val="006C0A6F"/>
    <w:rsid w:val="006C0B0C"/>
    <w:rsid w:val="006C0BC0"/>
    <w:rsid w:val="006C0C5D"/>
    <w:rsid w:val="006C0E24"/>
    <w:rsid w:val="006C0E58"/>
    <w:rsid w:val="006C0E60"/>
    <w:rsid w:val="006C0F21"/>
    <w:rsid w:val="006C0F5A"/>
    <w:rsid w:val="006C1237"/>
    <w:rsid w:val="006C128A"/>
    <w:rsid w:val="006C1293"/>
    <w:rsid w:val="006C1301"/>
    <w:rsid w:val="006C1305"/>
    <w:rsid w:val="006C13E5"/>
    <w:rsid w:val="006C1407"/>
    <w:rsid w:val="006C15DD"/>
    <w:rsid w:val="006C16AA"/>
    <w:rsid w:val="006C17E1"/>
    <w:rsid w:val="006C17F6"/>
    <w:rsid w:val="006C193E"/>
    <w:rsid w:val="006C194D"/>
    <w:rsid w:val="006C1969"/>
    <w:rsid w:val="006C198C"/>
    <w:rsid w:val="006C1A32"/>
    <w:rsid w:val="006C1B12"/>
    <w:rsid w:val="006C1B44"/>
    <w:rsid w:val="006C1C79"/>
    <w:rsid w:val="006C1CBD"/>
    <w:rsid w:val="006C1CE9"/>
    <w:rsid w:val="006C1CEE"/>
    <w:rsid w:val="006C1D62"/>
    <w:rsid w:val="006C1E18"/>
    <w:rsid w:val="006C1E8D"/>
    <w:rsid w:val="006C1EA7"/>
    <w:rsid w:val="006C1EFC"/>
    <w:rsid w:val="006C1F17"/>
    <w:rsid w:val="006C2074"/>
    <w:rsid w:val="006C20D4"/>
    <w:rsid w:val="006C217E"/>
    <w:rsid w:val="006C218B"/>
    <w:rsid w:val="006C228D"/>
    <w:rsid w:val="006C22D5"/>
    <w:rsid w:val="006C22F9"/>
    <w:rsid w:val="006C246F"/>
    <w:rsid w:val="006C2530"/>
    <w:rsid w:val="006C255E"/>
    <w:rsid w:val="006C262F"/>
    <w:rsid w:val="006C2640"/>
    <w:rsid w:val="006C26E5"/>
    <w:rsid w:val="006C27DC"/>
    <w:rsid w:val="006C2882"/>
    <w:rsid w:val="006C2A1D"/>
    <w:rsid w:val="006C2B32"/>
    <w:rsid w:val="006C2CF8"/>
    <w:rsid w:val="006C2D18"/>
    <w:rsid w:val="006C2E71"/>
    <w:rsid w:val="006C2F99"/>
    <w:rsid w:val="006C2FB8"/>
    <w:rsid w:val="006C301E"/>
    <w:rsid w:val="006C302C"/>
    <w:rsid w:val="006C3072"/>
    <w:rsid w:val="006C32F4"/>
    <w:rsid w:val="006C3327"/>
    <w:rsid w:val="006C33AB"/>
    <w:rsid w:val="006C3445"/>
    <w:rsid w:val="006C348E"/>
    <w:rsid w:val="006C34A0"/>
    <w:rsid w:val="006C35EC"/>
    <w:rsid w:val="006C37FD"/>
    <w:rsid w:val="006C386E"/>
    <w:rsid w:val="006C387C"/>
    <w:rsid w:val="006C38D5"/>
    <w:rsid w:val="006C3909"/>
    <w:rsid w:val="006C3AC8"/>
    <w:rsid w:val="006C3B22"/>
    <w:rsid w:val="006C3BCE"/>
    <w:rsid w:val="006C3C28"/>
    <w:rsid w:val="006C3C38"/>
    <w:rsid w:val="006C3CE9"/>
    <w:rsid w:val="006C3D65"/>
    <w:rsid w:val="006C3E54"/>
    <w:rsid w:val="006C3EE2"/>
    <w:rsid w:val="006C3EF7"/>
    <w:rsid w:val="006C3F35"/>
    <w:rsid w:val="006C416D"/>
    <w:rsid w:val="006C42F1"/>
    <w:rsid w:val="006C43D4"/>
    <w:rsid w:val="006C4400"/>
    <w:rsid w:val="006C4601"/>
    <w:rsid w:val="006C4612"/>
    <w:rsid w:val="006C467C"/>
    <w:rsid w:val="006C4818"/>
    <w:rsid w:val="006C481A"/>
    <w:rsid w:val="006C48F1"/>
    <w:rsid w:val="006C4987"/>
    <w:rsid w:val="006C499F"/>
    <w:rsid w:val="006C49E0"/>
    <w:rsid w:val="006C4AED"/>
    <w:rsid w:val="006C4BEE"/>
    <w:rsid w:val="006C4E7E"/>
    <w:rsid w:val="006C4F2F"/>
    <w:rsid w:val="006C4F3D"/>
    <w:rsid w:val="006C5012"/>
    <w:rsid w:val="006C519D"/>
    <w:rsid w:val="006C51A8"/>
    <w:rsid w:val="006C53C0"/>
    <w:rsid w:val="006C543B"/>
    <w:rsid w:val="006C54A0"/>
    <w:rsid w:val="006C5506"/>
    <w:rsid w:val="006C5671"/>
    <w:rsid w:val="006C57CE"/>
    <w:rsid w:val="006C589B"/>
    <w:rsid w:val="006C5914"/>
    <w:rsid w:val="006C5924"/>
    <w:rsid w:val="006C592F"/>
    <w:rsid w:val="006C5936"/>
    <w:rsid w:val="006C5A6E"/>
    <w:rsid w:val="006C5AAB"/>
    <w:rsid w:val="006C5C35"/>
    <w:rsid w:val="006C5C51"/>
    <w:rsid w:val="006C5CA0"/>
    <w:rsid w:val="006C5CB3"/>
    <w:rsid w:val="006C5D46"/>
    <w:rsid w:val="006C5D9F"/>
    <w:rsid w:val="006C5EE4"/>
    <w:rsid w:val="006C5F61"/>
    <w:rsid w:val="006C5F8E"/>
    <w:rsid w:val="006C5F90"/>
    <w:rsid w:val="006C5FC5"/>
    <w:rsid w:val="006C6073"/>
    <w:rsid w:val="006C6089"/>
    <w:rsid w:val="006C61AB"/>
    <w:rsid w:val="006C6315"/>
    <w:rsid w:val="006C634E"/>
    <w:rsid w:val="006C6418"/>
    <w:rsid w:val="006C64B8"/>
    <w:rsid w:val="006C6574"/>
    <w:rsid w:val="006C65CF"/>
    <w:rsid w:val="006C6732"/>
    <w:rsid w:val="006C67E0"/>
    <w:rsid w:val="006C6877"/>
    <w:rsid w:val="006C68CD"/>
    <w:rsid w:val="006C68F7"/>
    <w:rsid w:val="006C6920"/>
    <w:rsid w:val="006C6BF4"/>
    <w:rsid w:val="006C6C5C"/>
    <w:rsid w:val="006C6C6A"/>
    <w:rsid w:val="006C6C90"/>
    <w:rsid w:val="006C6C91"/>
    <w:rsid w:val="006C6D38"/>
    <w:rsid w:val="006C6D4B"/>
    <w:rsid w:val="006C6F88"/>
    <w:rsid w:val="006C6FDB"/>
    <w:rsid w:val="006C6FEE"/>
    <w:rsid w:val="006C722E"/>
    <w:rsid w:val="006C72AB"/>
    <w:rsid w:val="006C7306"/>
    <w:rsid w:val="006C7370"/>
    <w:rsid w:val="006C738A"/>
    <w:rsid w:val="006C7416"/>
    <w:rsid w:val="006C7435"/>
    <w:rsid w:val="006C74AB"/>
    <w:rsid w:val="006C75E9"/>
    <w:rsid w:val="006C7806"/>
    <w:rsid w:val="006C7832"/>
    <w:rsid w:val="006C7874"/>
    <w:rsid w:val="006C78C4"/>
    <w:rsid w:val="006C7918"/>
    <w:rsid w:val="006C79E1"/>
    <w:rsid w:val="006C7A5E"/>
    <w:rsid w:val="006C7C96"/>
    <w:rsid w:val="006C7CF0"/>
    <w:rsid w:val="006C7D28"/>
    <w:rsid w:val="006C7D6F"/>
    <w:rsid w:val="006C7DBB"/>
    <w:rsid w:val="006C7F0A"/>
    <w:rsid w:val="006C7F10"/>
    <w:rsid w:val="006D000F"/>
    <w:rsid w:val="006D0036"/>
    <w:rsid w:val="006D011B"/>
    <w:rsid w:val="006D01A2"/>
    <w:rsid w:val="006D01C6"/>
    <w:rsid w:val="006D0236"/>
    <w:rsid w:val="006D026C"/>
    <w:rsid w:val="006D0292"/>
    <w:rsid w:val="006D036E"/>
    <w:rsid w:val="006D05F5"/>
    <w:rsid w:val="006D06BD"/>
    <w:rsid w:val="006D06CE"/>
    <w:rsid w:val="006D0838"/>
    <w:rsid w:val="006D08C8"/>
    <w:rsid w:val="006D0939"/>
    <w:rsid w:val="006D093F"/>
    <w:rsid w:val="006D0962"/>
    <w:rsid w:val="006D09AE"/>
    <w:rsid w:val="006D0A1D"/>
    <w:rsid w:val="006D0A36"/>
    <w:rsid w:val="006D0AB9"/>
    <w:rsid w:val="006D0B8F"/>
    <w:rsid w:val="006D0BC3"/>
    <w:rsid w:val="006D0C17"/>
    <w:rsid w:val="006D0C6F"/>
    <w:rsid w:val="006D0DC0"/>
    <w:rsid w:val="006D0E28"/>
    <w:rsid w:val="006D0F35"/>
    <w:rsid w:val="006D106B"/>
    <w:rsid w:val="006D10A4"/>
    <w:rsid w:val="006D11EC"/>
    <w:rsid w:val="006D120B"/>
    <w:rsid w:val="006D12EB"/>
    <w:rsid w:val="006D12F3"/>
    <w:rsid w:val="006D1331"/>
    <w:rsid w:val="006D13A9"/>
    <w:rsid w:val="006D13F9"/>
    <w:rsid w:val="006D1401"/>
    <w:rsid w:val="006D1587"/>
    <w:rsid w:val="006D1722"/>
    <w:rsid w:val="006D172A"/>
    <w:rsid w:val="006D1783"/>
    <w:rsid w:val="006D1854"/>
    <w:rsid w:val="006D18A2"/>
    <w:rsid w:val="006D18FE"/>
    <w:rsid w:val="006D190B"/>
    <w:rsid w:val="006D19A0"/>
    <w:rsid w:val="006D1A8F"/>
    <w:rsid w:val="006D1D80"/>
    <w:rsid w:val="006D1E21"/>
    <w:rsid w:val="006D2003"/>
    <w:rsid w:val="006D20C7"/>
    <w:rsid w:val="006D216B"/>
    <w:rsid w:val="006D21BC"/>
    <w:rsid w:val="006D2270"/>
    <w:rsid w:val="006D229C"/>
    <w:rsid w:val="006D22E3"/>
    <w:rsid w:val="006D22F1"/>
    <w:rsid w:val="006D23B2"/>
    <w:rsid w:val="006D24B6"/>
    <w:rsid w:val="006D2529"/>
    <w:rsid w:val="006D25CF"/>
    <w:rsid w:val="006D25FC"/>
    <w:rsid w:val="006D26C4"/>
    <w:rsid w:val="006D2805"/>
    <w:rsid w:val="006D2841"/>
    <w:rsid w:val="006D28B8"/>
    <w:rsid w:val="006D28CC"/>
    <w:rsid w:val="006D2939"/>
    <w:rsid w:val="006D2A0C"/>
    <w:rsid w:val="006D2AD4"/>
    <w:rsid w:val="006D2AE9"/>
    <w:rsid w:val="006D2B4F"/>
    <w:rsid w:val="006D2B6E"/>
    <w:rsid w:val="006D2B84"/>
    <w:rsid w:val="006D2BA3"/>
    <w:rsid w:val="006D2BF8"/>
    <w:rsid w:val="006D2CD3"/>
    <w:rsid w:val="006D2CEC"/>
    <w:rsid w:val="006D2DC1"/>
    <w:rsid w:val="006D3063"/>
    <w:rsid w:val="006D318F"/>
    <w:rsid w:val="006D3231"/>
    <w:rsid w:val="006D3244"/>
    <w:rsid w:val="006D32D9"/>
    <w:rsid w:val="006D33CF"/>
    <w:rsid w:val="006D355D"/>
    <w:rsid w:val="006D3679"/>
    <w:rsid w:val="006D36D0"/>
    <w:rsid w:val="006D3736"/>
    <w:rsid w:val="006D37AD"/>
    <w:rsid w:val="006D37E6"/>
    <w:rsid w:val="006D3836"/>
    <w:rsid w:val="006D3843"/>
    <w:rsid w:val="006D3A74"/>
    <w:rsid w:val="006D3AB1"/>
    <w:rsid w:val="006D3B09"/>
    <w:rsid w:val="006D3B5A"/>
    <w:rsid w:val="006D3BF0"/>
    <w:rsid w:val="006D3C05"/>
    <w:rsid w:val="006D3CCA"/>
    <w:rsid w:val="006D3D81"/>
    <w:rsid w:val="006D3EF9"/>
    <w:rsid w:val="006D3F50"/>
    <w:rsid w:val="006D4022"/>
    <w:rsid w:val="006D4048"/>
    <w:rsid w:val="006D40EB"/>
    <w:rsid w:val="006D4122"/>
    <w:rsid w:val="006D4283"/>
    <w:rsid w:val="006D42E1"/>
    <w:rsid w:val="006D431E"/>
    <w:rsid w:val="006D4335"/>
    <w:rsid w:val="006D43BE"/>
    <w:rsid w:val="006D44EF"/>
    <w:rsid w:val="006D45D4"/>
    <w:rsid w:val="006D45E3"/>
    <w:rsid w:val="006D46AE"/>
    <w:rsid w:val="006D473C"/>
    <w:rsid w:val="006D4742"/>
    <w:rsid w:val="006D4881"/>
    <w:rsid w:val="006D4891"/>
    <w:rsid w:val="006D48BA"/>
    <w:rsid w:val="006D48C9"/>
    <w:rsid w:val="006D48F7"/>
    <w:rsid w:val="006D49A4"/>
    <w:rsid w:val="006D4A9F"/>
    <w:rsid w:val="006D4BAB"/>
    <w:rsid w:val="006D4C47"/>
    <w:rsid w:val="006D4CBB"/>
    <w:rsid w:val="006D4D14"/>
    <w:rsid w:val="006D4EEB"/>
    <w:rsid w:val="006D4F9B"/>
    <w:rsid w:val="006D5039"/>
    <w:rsid w:val="006D505F"/>
    <w:rsid w:val="006D5080"/>
    <w:rsid w:val="006D51EF"/>
    <w:rsid w:val="006D529D"/>
    <w:rsid w:val="006D52A8"/>
    <w:rsid w:val="006D53A4"/>
    <w:rsid w:val="006D5476"/>
    <w:rsid w:val="006D5581"/>
    <w:rsid w:val="006D55AE"/>
    <w:rsid w:val="006D55BB"/>
    <w:rsid w:val="006D5609"/>
    <w:rsid w:val="006D57C4"/>
    <w:rsid w:val="006D583F"/>
    <w:rsid w:val="006D5847"/>
    <w:rsid w:val="006D5918"/>
    <w:rsid w:val="006D59D9"/>
    <w:rsid w:val="006D5A3D"/>
    <w:rsid w:val="006D5B6E"/>
    <w:rsid w:val="006D5BE6"/>
    <w:rsid w:val="006D5C6A"/>
    <w:rsid w:val="006D5D0F"/>
    <w:rsid w:val="006D5D18"/>
    <w:rsid w:val="006D5E48"/>
    <w:rsid w:val="006D5E66"/>
    <w:rsid w:val="006D5EEA"/>
    <w:rsid w:val="006D5EF9"/>
    <w:rsid w:val="006D5FBC"/>
    <w:rsid w:val="006D60F4"/>
    <w:rsid w:val="006D62CA"/>
    <w:rsid w:val="006D630E"/>
    <w:rsid w:val="006D634A"/>
    <w:rsid w:val="006D6359"/>
    <w:rsid w:val="006D6402"/>
    <w:rsid w:val="006D64DE"/>
    <w:rsid w:val="006D65BA"/>
    <w:rsid w:val="006D66D4"/>
    <w:rsid w:val="006D681F"/>
    <w:rsid w:val="006D6942"/>
    <w:rsid w:val="006D6945"/>
    <w:rsid w:val="006D6958"/>
    <w:rsid w:val="006D6A62"/>
    <w:rsid w:val="006D6A7E"/>
    <w:rsid w:val="006D6A97"/>
    <w:rsid w:val="006D6AF3"/>
    <w:rsid w:val="006D6B3D"/>
    <w:rsid w:val="006D6B4E"/>
    <w:rsid w:val="006D6BFD"/>
    <w:rsid w:val="006D6DAF"/>
    <w:rsid w:val="006D6E08"/>
    <w:rsid w:val="006D7002"/>
    <w:rsid w:val="006D7043"/>
    <w:rsid w:val="006D70EA"/>
    <w:rsid w:val="006D716E"/>
    <w:rsid w:val="006D728D"/>
    <w:rsid w:val="006D7377"/>
    <w:rsid w:val="006D7401"/>
    <w:rsid w:val="006D740A"/>
    <w:rsid w:val="006D7534"/>
    <w:rsid w:val="006D76EA"/>
    <w:rsid w:val="006D76F4"/>
    <w:rsid w:val="006D7702"/>
    <w:rsid w:val="006D7777"/>
    <w:rsid w:val="006D7783"/>
    <w:rsid w:val="006D78BD"/>
    <w:rsid w:val="006D7940"/>
    <w:rsid w:val="006D795E"/>
    <w:rsid w:val="006D7967"/>
    <w:rsid w:val="006D7A72"/>
    <w:rsid w:val="006D7A85"/>
    <w:rsid w:val="006D7AEB"/>
    <w:rsid w:val="006D7B56"/>
    <w:rsid w:val="006D7B59"/>
    <w:rsid w:val="006D7BCA"/>
    <w:rsid w:val="006D7C9B"/>
    <w:rsid w:val="006D7E47"/>
    <w:rsid w:val="006D7F47"/>
    <w:rsid w:val="006D7F6E"/>
    <w:rsid w:val="006D7F99"/>
    <w:rsid w:val="006E0008"/>
    <w:rsid w:val="006E01DB"/>
    <w:rsid w:val="006E037B"/>
    <w:rsid w:val="006E0613"/>
    <w:rsid w:val="006E0636"/>
    <w:rsid w:val="006E06A7"/>
    <w:rsid w:val="006E06D0"/>
    <w:rsid w:val="006E06EC"/>
    <w:rsid w:val="006E0806"/>
    <w:rsid w:val="006E089C"/>
    <w:rsid w:val="006E08B1"/>
    <w:rsid w:val="006E08DA"/>
    <w:rsid w:val="006E0909"/>
    <w:rsid w:val="006E09C1"/>
    <w:rsid w:val="006E0A3E"/>
    <w:rsid w:val="006E0A4E"/>
    <w:rsid w:val="006E0B73"/>
    <w:rsid w:val="006E0C59"/>
    <w:rsid w:val="006E0D06"/>
    <w:rsid w:val="006E0D13"/>
    <w:rsid w:val="006E0E49"/>
    <w:rsid w:val="006E0EBF"/>
    <w:rsid w:val="006E0F47"/>
    <w:rsid w:val="006E1027"/>
    <w:rsid w:val="006E1189"/>
    <w:rsid w:val="006E11A3"/>
    <w:rsid w:val="006E1270"/>
    <w:rsid w:val="006E1297"/>
    <w:rsid w:val="006E1299"/>
    <w:rsid w:val="006E12D6"/>
    <w:rsid w:val="006E12EB"/>
    <w:rsid w:val="006E13D9"/>
    <w:rsid w:val="006E1461"/>
    <w:rsid w:val="006E147F"/>
    <w:rsid w:val="006E1559"/>
    <w:rsid w:val="006E15F1"/>
    <w:rsid w:val="006E164E"/>
    <w:rsid w:val="006E1718"/>
    <w:rsid w:val="006E17BC"/>
    <w:rsid w:val="006E188A"/>
    <w:rsid w:val="006E1966"/>
    <w:rsid w:val="006E1BE5"/>
    <w:rsid w:val="006E1C51"/>
    <w:rsid w:val="006E1CA4"/>
    <w:rsid w:val="006E1CE2"/>
    <w:rsid w:val="006E1D9F"/>
    <w:rsid w:val="006E1F2B"/>
    <w:rsid w:val="006E206F"/>
    <w:rsid w:val="006E20C0"/>
    <w:rsid w:val="006E20DE"/>
    <w:rsid w:val="006E20E8"/>
    <w:rsid w:val="006E2190"/>
    <w:rsid w:val="006E2214"/>
    <w:rsid w:val="006E22D4"/>
    <w:rsid w:val="006E22E3"/>
    <w:rsid w:val="006E23A0"/>
    <w:rsid w:val="006E23F0"/>
    <w:rsid w:val="006E23F9"/>
    <w:rsid w:val="006E255B"/>
    <w:rsid w:val="006E2569"/>
    <w:rsid w:val="006E25FE"/>
    <w:rsid w:val="006E268D"/>
    <w:rsid w:val="006E2792"/>
    <w:rsid w:val="006E285C"/>
    <w:rsid w:val="006E295A"/>
    <w:rsid w:val="006E2A04"/>
    <w:rsid w:val="006E2A31"/>
    <w:rsid w:val="006E2AE3"/>
    <w:rsid w:val="006E2AE8"/>
    <w:rsid w:val="006E2AFC"/>
    <w:rsid w:val="006E2BBB"/>
    <w:rsid w:val="006E2BF5"/>
    <w:rsid w:val="006E2C62"/>
    <w:rsid w:val="006E2C81"/>
    <w:rsid w:val="006E2DA2"/>
    <w:rsid w:val="006E2DB3"/>
    <w:rsid w:val="006E2DDB"/>
    <w:rsid w:val="006E2EDB"/>
    <w:rsid w:val="006E2F25"/>
    <w:rsid w:val="006E3040"/>
    <w:rsid w:val="006E305A"/>
    <w:rsid w:val="006E315D"/>
    <w:rsid w:val="006E333F"/>
    <w:rsid w:val="006E3344"/>
    <w:rsid w:val="006E3490"/>
    <w:rsid w:val="006E357B"/>
    <w:rsid w:val="006E3650"/>
    <w:rsid w:val="006E36B5"/>
    <w:rsid w:val="006E36D5"/>
    <w:rsid w:val="006E377C"/>
    <w:rsid w:val="006E3825"/>
    <w:rsid w:val="006E384F"/>
    <w:rsid w:val="006E3913"/>
    <w:rsid w:val="006E396A"/>
    <w:rsid w:val="006E3A63"/>
    <w:rsid w:val="006E3B6C"/>
    <w:rsid w:val="006E3C00"/>
    <w:rsid w:val="006E3C40"/>
    <w:rsid w:val="006E3CE6"/>
    <w:rsid w:val="006E3D0F"/>
    <w:rsid w:val="006E3D72"/>
    <w:rsid w:val="006E3EBC"/>
    <w:rsid w:val="006E3F2D"/>
    <w:rsid w:val="006E3F45"/>
    <w:rsid w:val="006E3F8E"/>
    <w:rsid w:val="006E4000"/>
    <w:rsid w:val="006E40BE"/>
    <w:rsid w:val="006E41A7"/>
    <w:rsid w:val="006E42A0"/>
    <w:rsid w:val="006E42A8"/>
    <w:rsid w:val="006E42BD"/>
    <w:rsid w:val="006E42E3"/>
    <w:rsid w:val="006E4358"/>
    <w:rsid w:val="006E439B"/>
    <w:rsid w:val="006E43B1"/>
    <w:rsid w:val="006E446C"/>
    <w:rsid w:val="006E452E"/>
    <w:rsid w:val="006E457D"/>
    <w:rsid w:val="006E45A2"/>
    <w:rsid w:val="006E45C6"/>
    <w:rsid w:val="006E45CC"/>
    <w:rsid w:val="006E45D3"/>
    <w:rsid w:val="006E461B"/>
    <w:rsid w:val="006E47DD"/>
    <w:rsid w:val="006E4914"/>
    <w:rsid w:val="006E4A8D"/>
    <w:rsid w:val="006E4A9A"/>
    <w:rsid w:val="006E4B16"/>
    <w:rsid w:val="006E4D33"/>
    <w:rsid w:val="006E4D55"/>
    <w:rsid w:val="006E4E35"/>
    <w:rsid w:val="006E4E36"/>
    <w:rsid w:val="006E4EBE"/>
    <w:rsid w:val="006E4EDE"/>
    <w:rsid w:val="006E4F93"/>
    <w:rsid w:val="006E51A9"/>
    <w:rsid w:val="006E539D"/>
    <w:rsid w:val="006E54A9"/>
    <w:rsid w:val="006E550B"/>
    <w:rsid w:val="006E555D"/>
    <w:rsid w:val="006E55A6"/>
    <w:rsid w:val="006E55AE"/>
    <w:rsid w:val="006E5684"/>
    <w:rsid w:val="006E570F"/>
    <w:rsid w:val="006E5885"/>
    <w:rsid w:val="006E5966"/>
    <w:rsid w:val="006E5A42"/>
    <w:rsid w:val="006E5AEB"/>
    <w:rsid w:val="006E5AF8"/>
    <w:rsid w:val="006E5BB6"/>
    <w:rsid w:val="006E5BEF"/>
    <w:rsid w:val="006E5C57"/>
    <w:rsid w:val="006E5D08"/>
    <w:rsid w:val="006E5D7C"/>
    <w:rsid w:val="006E5E8F"/>
    <w:rsid w:val="006E5F58"/>
    <w:rsid w:val="006E5F9F"/>
    <w:rsid w:val="006E6117"/>
    <w:rsid w:val="006E6154"/>
    <w:rsid w:val="006E61FA"/>
    <w:rsid w:val="006E6291"/>
    <w:rsid w:val="006E62D1"/>
    <w:rsid w:val="006E62DC"/>
    <w:rsid w:val="006E633A"/>
    <w:rsid w:val="006E6534"/>
    <w:rsid w:val="006E6674"/>
    <w:rsid w:val="006E6825"/>
    <w:rsid w:val="006E6902"/>
    <w:rsid w:val="006E6A33"/>
    <w:rsid w:val="006E6ADB"/>
    <w:rsid w:val="006E6C07"/>
    <w:rsid w:val="006E6C0C"/>
    <w:rsid w:val="006E6CAD"/>
    <w:rsid w:val="006E6DA3"/>
    <w:rsid w:val="006E7095"/>
    <w:rsid w:val="006E70C3"/>
    <w:rsid w:val="006E7119"/>
    <w:rsid w:val="006E712A"/>
    <w:rsid w:val="006E7158"/>
    <w:rsid w:val="006E7230"/>
    <w:rsid w:val="006E7290"/>
    <w:rsid w:val="006E73C5"/>
    <w:rsid w:val="006E73CF"/>
    <w:rsid w:val="006E749B"/>
    <w:rsid w:val="006E74DD"/>
    <w:rsid w:val="006E7525"/>
    <w:rsid w:val="006E752F"/>
    <w:rsid w:val="006E75E4"/>
    <w:rsid w:val="006E76CB"/>
    <w:rsid w:val="006E76D6"/>
    <w:rsid w:val="006E7774"/>
    <w:rsid w:val="006E77BC"/>
    <w:rsid w:val="006E7817"/>
    <w:rsid w:val="006E78B4"/>
    <w:rsid w:val="006E7A77"/>
    <w:rsid w:val="006E7A8D"/>
    <w:rsid w:val="006E7BAE"/>
    <w:rsid w:val="006E7C9B"/>
    <w:rsid w:val="006E7CCE"/>
    <w:rsid w:val="006E7ED0"/>
    <w:rsid w:val="006F0031"/>
    <w:rsid w:val="006F0057"/>
    <w:rsid w:val="006F00B9"/>
    <w:rsid w:val="006F01AF"/>
    <w:rsid w:val="006F01B6"/>
    <w:rsid w:val="006F0227"/>
    <w:rsid w:val="006F0377"/>
    <w:rsid w:val="006F0427"/>
    <w:rsid w:val="006F06AC"/>
    <w:rsid w:val="006F081B"/>
    <w:rsid w:val="006F082E"/>
    <w:rsid w:val="006F0896"/>
    <w:rsid w:val="006F091D"/>
    <w:rsid w:val="006F0976"/>
    <w:rsid w:val="006F097D"/>
    <w:rsid w:val="006F09C5"/>
    <w:rsid w:val="006F0C48"/>
    <w:rsid w:val="006F0DBB"/>
    <w:rsid w:val="006F0E0A"/>
    <w:rsid w:val="006F0E8E"/>
    <w:rsid w:val="006F0EED"/>
    <w:rsid w:val="006F0F37"/>
    <w:rsid w:val="006F0F39"/>
    <w:rsid w:val="006F0F8A"/>
    <w:rsid w:val="006F0FBA"/>
    <w:rsid w:val="006F10E6"/>
    <w:rsid w:val="006F1140"/>
    <w:rsid w:val="006F11FE"/>
    <w:rsid w:val="006F12EB"/>
    <w:rsid w:val="006F142B"/>
    <w:rsid w:val="006F14A0"/>
    <w:rsid w:val="006F1587"/>
    <w:rsid w:val="006F15E3"/>
    <w:rsid w:val="006F163D"/>
    <w:rsid w:val="006F16A6"/>
    <w:rsid w:val="006F16BC"/>
    <w:rsid w:val="006F173F"/>
    <w:rsid w:val="006F1754"/>
    <w:rsid w:val="006F17B4"/>
    <w:rsid w:val="006F19D7"/>
    <w:rsid w:val="006F1A36"/>
    <w:rsid w:val="006F1B3F"/>
    <w:rsid w:val="006F1B4D"/>
    <w:rsid w:val="006F1BC5"/>
    <w:rsid w:val="006F1D01"/>
    <w:rsid w:val="006F1DB2"/>
    <w:rsid w:val="006F1EBB"/>
    <w:rsid w:val="006F1ECA"/>
    <w:rsid w:val="006F1F1A"/>
    <w:rsid w:val="006F1F38"/>
    <w:rsid w:val="006F2154"/>
    <w:rsid w:val="006F2169"/>
    <w:rsid w:val="006F219A"/>
    <w:rsid w:val="006F21AD"/>
    <w:rsid w:val="006F21B9"/>
    <w:rsid w:val="006F21EB"/>
    <w:rsid w:val="006F224F"/>
    <w:rsid w:val="006F22EF"/>
    <w:rsid w:val="006F24B6"/>
    <w:rsid w:val="006F2504"/>
    <w:rsid w:val="006F2679"/>
    <w:rsid w:val="006F26D6"/>
    <w:rsid w:val="006F28B8"/>
    <w:rsid w:val="006F28F3"/>
    <w:rsid w:val="006F295D"/>
    <w:rsid w:val="006F2C4E"/>
    <w:rsid w:val="006F2D05"/>
    <w:rsid w:val="006F2DED"/>
    <w:rsid w:val="006F2E5D"/>
    <w:rsid w:val="006F2F02"/>
    <w:rsid w:val="006F2F09"/>
    <w:rsid w:val="006F2F17"/>
    <w:rsid w:val="006F3028"/>
    <w:rsid w:val="006F303B"/>
    <w:rsid w:val="006F311F"/>
    <w:rsid w:val="006F31CB"/>
    <w:rsid w:val="006F32A6"/>
    <w:rsid w:val="006F33EB"/>
    <w:rsid w:val="006F3448"/>
    <w:rsid w:val="006F35D3"/>
    <w:rsid w:val="006F35DE"/>
    <w:rsid w:val="006F3665"/>
    <w:rsid w:val="006F3675"/>
    <w:rsid w:val="006F37D1"/>
    <w:rsid w:val="006F37E6"/>
    <w:rsid w:val="006F3879"/>
    <w:rsid w:val="006F387E"/>
    <w:rsid w:val="006F3931"/>
    <w:rsid w:val="006F39C7"/>
    <w:rsid w:val="006F3ADC"/>
    <w:rsid w:val="006F3C16"/>
    <w:rsid w:val="006F3C22"/>
    <w:rsid w:val="006F3C57"/>
    <w:rsid w:val="006F3F74"/>
    <w:rsid w:val="006F412C"/>
    <w:rsid w:val="006F414C"/>
    <w:rsid w:val="006F4241"/>
    <w:rsid w:val="006F42A7"/>
    <w:rsid w:val="006F43AB"/>
    <w:rsid w:val="006F4582"/>
    <w:rsid w:val="006F4610"/>
    <w:rsid w:val="006F4628"/>
    <w:rsid w:val="006F463B"/>
    <w:rsid w:val="006F4732"/>
    <w:rsid w:val="006F48EA"/>
    <w:rsid w:val="006F48FD"/>
    <w:rsid w:val="006F4989"/>
    <w:rsid w:val="006F4A94"/>
    <w:rsid w:val="006F4A9D"/>
    <w:rsid w:val="006F4B56"/>
    <w:rsid w:val="006F4C58"/>
    <w:rsid w:val="006F4C59"/>
    <w:rsid w:val="006F4DEC"/>
    <w:rsid w:val="006F4E4E"/>
    <w:rsid w:val="006F4F90"/>
    <w:rsid w:val="006F4FB8"/>
    <w:rsid w:val="006F500F"/>
    <w:rsid w:val="006F5102"/>
    <w:rsid w:val="006F512D"/>
    <w:rsid w:val="006F51B9"/>
    <w:rsid w:val="006F520E"/>
    <w:rsid w:val="006F5353"/>
    <w:rsid w:val="006F53A9"/>
    <w:rsid w:val="006F55A0"/>
    <w:rsid w:val="006F55C2"/>
    <w:rsid w:val="006F5670"/>
    <w:rsid w:val="006F571A"/>
    <w:rsid w:val="006F5800"/>
    <w:rsid w:val="006F5887"/>
    <w:rsid w:val="006F58FE"/>
    <w:rsid w:val="006F5AD7"/>
    <w:rsid w:val="006F5AE2"/>
    <w:rsid w:val="006F5D22"/>
    <w:rsid w:val="006F5D9D"/>
    <w:rsid w:val="006F5DA0"/>
    <w:rsid w:val="006F5DE0"/>
    <w:rsid w:val="006F5EB9"/>
    <w:rsid w:val="006F5EC6"/>
    <w:rsid w:val="006F5EFF"/>
    <w:rsid w:val="006F6091"/>
    <w:rsid w:val="006F60C8"/>
    <w:rsid w:val="006F60ED"/>
    <w:rsid w:val="006F6156"/>
    <w:rsid w:val="006F6182"/>
    <w:rsid w:val="006F6292"/>
    <w:rsid w:val="006F633A"/>
    <w:rsid w:val="006F6355"/>
    <w:rsid w:val="006F63C7"/>
    <w:rsid w:val="006F648F"/>
    <w:rsid w:val="006F6509"/>
    <w:rsid w:val="006F65DA"/>
    <w:rsid w:val="006F65E1"/>
    <w:rsid w:val="006F663A"/>
    <w:rsid w:val="006F677A"/>
    <w:rsid w:val="006F67E5"/>
    <w:rsid w:val="006F6813"/>
    <w:rsid w:val="006F6847"/>
    <w:rsid w:val="006F685A"/>
    <w:rsid w:val="006F6A74"/>
    <w:rsid w:val="006F6C9C"/>
    <w:rsid w:val="006F6CB2"/>
    <w:rsid w:val="006F6CB4"/>
    <w:rsid w:val="006F6CED"/>
    <w:rsid w:val="006F6CFC"/>
    <w:rsid w:val="006F6D28"/>
    <w:rsid w:val="006F6DA4"/>
    <w:rsid w:val="006F6DD6"/>
    <w:rsid w:val="006F6E5C"/>
    <w:rsid w:val="006F6E64"/>
    <w:rsid w:val="006F6E6B"/>
    <w:rsid w:val="006F6E9F"/>
    <w:rsid w:val="006F6FAE"/>
    <w:rsid w:val="006F7029"/>
    <w:rsid w:val="006F7145"/>
    <w:rsid w:val="006F718F"/>
    <w:rsid w:val="006F71AF"/>
    <w:rsid w:val="006F7272"/>
    <w:rsid w:val="006F7302"/>
    <w:rsid w:val="006F73CE"/>
    <w:rsid w:val="006F7400"/>
    <w:rsid w:val="006F74E0"/>
    <w:rsid w:val="006F74EB"/>
    <w:rsid w:val="006F7620"/>
    <w:rsid w:val="006F7646"/>
    <w:rsid w:val="006F76BB"/>
    <w:rsid w:val="006F77E7"/>
    <w:rsid w:val="006F780C"/>
    <w:rsid w:val="006F78E4"/>
    <w:rsid w:val="006F78F5"/>
    <w:rsid w:val="006F7909"/>
    <w:rsid w:val="006F79DB"/>
    <w:rsid w:val="006F79E5"/>
    <w:rsid w:val="006F7B34"/>
    <w:rsid w:val="006F7BBF"/>
    <w:rsid w:val="006F7C52"/>
    <w:rsid w:val="006F7DF5"/>
    <w:rsid w:val="006F7E1C"/>
    <w:rsid w:val="006F7E5D"/>
    <w:rsid w:val="006F7E8E"/>
    <w:rsid w:val="0070001F"/>
    <w:rsid w:val="007000F0"/>
    <w:rsid w:val="0070016E"/>
    <w:rsid w:val="0070026C"/>
    <w:rsid w:val="00700353"/>
    <w:rsid w:val="00700362"/>
    <w:rsid w:val="00700420"/>
    <w:rsid w:val="0070047B"/>
    <w:rsid w:val="00700501"/>
    <w:rsid w:val="0070057E"/>
    <w:rsid w:val="00700653"/>
    <w:rsid w:val="00700676"/>
    <w:rsid w:val="00700A0E"/>
    <w:rsid w:val="00700C9A"/>
    <w:rsid w:val="00700D28"/>
    <w:rsid w:val="00700D35"/>
    <w:rsid w:val="00700DBF"/>
    <w:rsid w:val="00700E19"/>
    <w:rsid w:val="00700EC8"/>
    <w:rsid w:val="00700FB8"/>
    <w:rsid w:val="007010CB"/>
    <w:rsid w:val="007010FE"/>
    <w:rsid w:val="007011B0"/>
    <w:rsid w:val="0070138E"/>
    <w:rsid w:val="007013A1"/>
    <w:rsid w:val="00701410"/>
    <w:rsid w:val="00701450"/>
    <w:rsid w:val="00701472"/>
    <w:rsid w:val="00701525"/>
    <w:rsid w:val="007015B1"/>
    <w:rsid w:val="0070168F"/>
    <w:rsid w:val="007016A7"/>
    <w:rsid w:val="007016AC"/>
    <w:rsid w:val="00701722"/>
    <w:rsid w:val="007017FE"/>
    <w:rsid w:val="0070196C"/>
    <w:rsid w:val="0070196F"/>
    <w:rsid w:val="0070197C"/>
    <w:rsid w:val="007019C9"/>
    <w:rsid w:val="00701ACC"/>
    <w:rsid w:val="00701AD9"/>
    <w:rsid w:val="00701C69"/>
    <w:rsid w:val="00701D78"/>
    <w:rsid w:val="00701DC8"/>
    <w:rsid w:val="00701EC8"/>
    <w:rsid w:val="00701F1A"/>
    <w:rsid w:val="007020E1"/>
    <w:rsid w:val="007020F3"/>
    <w:rsid w:val="007020FF"/>
    <w:rsid w:val="00702262"/>
    <w:rsid w:val="00702458"/>
    <w:rsid w:val="00702479"/>
    <w:rsid w:val="007024D9"/>
    <w:rsid w:val="00702521"/>
    <w:rsid w:val="007025AD"/>
    <w:rsid w:val="007025D0"/>
    <w:rsid w:val="0070262D"/>
    <w:rsid w:val="007027D2"/>
    <w:rsid w:val="007028D6"/>
    <w:rsid w:val="00702935"/>
    <w:rsid w:val="00702A33"/>
    <w:rsid w:val="00702AA1"/>
    <w:rsid w:val="00702B12"/>
    <w:rsid w:val="00702B17"/>
    <w:rsid w:val="00702BF8"/>
    <w:rsid w:val="00702C96"/>
    <w:rsid w:val="00702DCA"/>
    <w:rsid w:val="00702DDC"/>
    <w:rsid w:val="00702E57"/>
    <w:rsid w:val="00702E63"/>
    <w:rsid w:val="00702E91"/>
    <w:rsid w:val="00702F67"/>
    <w:rsid w:val="00703002"/>
    <w:rsid w:val="00703106"/>
    <w:rsid w:val="00703110"/>
    <w:rsid w:val="00703231"/>
    <w:rsid w:val="007032A1"/>
    <w:rsid w:val="007032AB"/>
    <w:rsid w:val="00703391"/>
    <w:rsid w:val="007033A5"/>
    <w:rsid w:val="007033D0"/>
    <w:rsid w:val="00703422"/>
    <w:rsid w:val="00703434"/>
    <w:rsid w:val="00703497"/>
    <w:rsid w:val="007034AF"/>
    <w:rsid w:val="00703733"/>
    <w:rsid w:val="00703827"/>
    <w:rsid w:val="00703955"/>
    <w:rsid w:val="00703B4E"/>
    <w:rsid w:val="00703C0C"/>
    <w:rsid w:val="00703C4B"/>
    <w:rsid w:val="00703C4C"/>
    <w:rsid w:val="00703C52"/>
    <w:rsid w:val="00703DC7"/>
    <w:rsid w:val="00703DCF"/>
    <w:rsid w:val="00703E02"/>
    <w:rsid w:val="00703E5A"/>
    <w:rsid w:val="00703E80"/>
    <w:rsid w:val="00703F41"/>
    <w:rsid w:val="00703F52"/>
    <w:rsid w:val="00703FA3"/>
    <w:rsid w:val="00703FB3"/>
    <w:rsid w:val="0070416E"/>
    <w:rsid w:val="00704187"/>
    <w:rsid w:val="00704212"/>
    <w:rsid w:val="00704313"/>
    <w:rsid w:val="0070433B"/>
    <w:rsid w:val="007044C7"/>
    <w:rsid w:val="00704683"/>
    <w:rsid w:val="007046B4"/>
    <w:rsid w:val="007046F5"/>
    <w:rsid w:val="00704711"/>
    <w:rsid w:val="00704724"/>
    <w:rsid w:val="00704803"/>
    <w:rsid w:val="0070495F"/>
    <w:rsid w:val="0070497C"/>
    <w:rsid w:val="00704B2A"/>
    <w:rsid w:val="00704B5D"/>
    <w:rsid w:val="00704BD4"/>
    <w:rsid w:val="00704C0E"/>
    <w:rsid w:val="00704CCE"/>
    <w:rsid w:val="00704E4B"/>
    <w:rsid w:val="00704E86"/>
    <w:rsid w:val="00704EE9"/>
    <w:rsid w:val="00704F0B"/>
    <w:rsid w:val="00704FD8"/>
    <w:rsid w:val="00705009"/>
    <w:rsid w:val="0070501D"/>
    <w:rsid w:val="00705027"/>
    <w:rsid w:val="007050F2"/>
    <w:rsid w:val="00705180"/>
    <w:rsid w:val="0070524D"/>
    <w:rsid w:val="00705338"/>
    <w:rsid w:val="007053CC"/>
    <w:rsid w:val="0070540D"/>
    <w:rsid w:val="0070549A"/>
    <w:rsid w:val="00705616"/>
    <w:rsid w:val="007056CD"/>
    <w:rsid w:val="0070570A"/>
    <w:rsid w:val="007058ED"/>
    <w:rsid w:val="00705992"/>
    <w:rsid w:val="007059D2"/>
    <w:rsid w:val="00705BBA"/>
    <w:rsid w:val="00705C44"/>
    <w:rsid w:val="00705D22"/>
    <w:rsid w:val="00705E32"/>
    <w:rsid w:val="0070612E"/>
    <w:rsid w:val="007061A1"/>
    <w:rsid w:val="007061BC"/>
    <w:rsid w:val="00706372"/>
    <w:rsid w:val="00706462"/>
    <w:rsid w:val="007064BF"/>
    <w:rsid w:val="00706599"/>
    <w:rsid w:val="007066CF"/>
    <w:rsid w:val="007066FA"/>
    <w:rsid w:val="00706743"/>
    <w:rsid w:val="00706766"/>
    <w:rsid w:val="00706783"/>
    <w:rsid w:val="007067D3"/>
    <w:rsid w:val="007068E0"/>
    <w:rsid w:val="00706A47"/>
    <w:rsid w:val="00706A94"/>
    <w:rsid w:val="00706C0E"/>
    <w:rsid w:val="00706CFA"/>
    <w:rsid w:val="00706E6A"/>
    <w:rsid w:val="00706FAE"/>
    <w:rsid w:val="007070C1"/>
    <w:rsid w:val="007071DE"/>
    <w:rsid w:val="0070725F"/>
    <w:rsid w:val="00707421"/>
    <w:rsid w:val="00707557"/>
    <w:rsid w:val="00707558"/>
    <w:rsid w:val="007075A7"/>
    <w:rsid w:val="007077CC"/>
    <w:rsid w:val="007078A0"/>
    <w:rsid w:val="007078CF"/>
    <w:rsid w:val="007079B4"/>
    <w:rsid w:val="00707A26"/>
    <w:rsid w:val="00707A74"/>
    <w:rsid w:val="00707AF8"/>
    <w:rsid w:val="00707B25"/>
    <w:rsid w:val="00707B4D"/>
    <w:rsid w:val="00707C13"/>
    <w:rsid w:val="00707C2E"/>
    <w:rsid w:val="00707D57"/>
    <w:rsid w:val="00707D78"/>
    <w:rsid w:val="00707D90"/>
    <w:rsid w:val="00707DBB"/>
    <w:rsid w:val="00707DE1"/>
    <w:rsid w:val="00707F54"/>
    <w:rsid w:val="00707F78"/>
    <w:rsid w:val="00707FC4"/>
    <w:rsid w:val="00710067"/>
    <w:rsid w:val="007100BD"/>
    <w:rsid w:val="0071014C"/>
    <w:rsid w:val="0071016E"/>
    <w:rsid w:val="0071017C"/>
    <w:rsid w:val="00710227"/>
    <w:rsid w:val="00710277"/>
    <w:rsid w:val="007103EC"/>
    <w:rsid w:val="00710407"/>
    <w:rsid w:val="0071053C"/>
    <w:rsid w:val="00710666"/>
    <w:rsid w:val="00710729"/>
    <w:rsid w:val="0071072B"/>
    <w:rsid w:val="007107FE"/>
    <w:rsid w:val="0071082F"/>
    <w:rsid w:val="00710976"/>
    <w:rsid w:val="00710A1E"/>
    <w:rsid w:val="00710B61"/>
    <w:rsid w:val="00710C13"/>
    <w:rsid w:val="00710D9D"/>
    <w:rsid w:val="00710DBB"/>
    <w:rsid w:val="00710E3B"/>
    <w:rsid w:val="00710E81"/>
    <w:rsid w:val="00710E88"/>
    <w:rsid w:val="007110D4"/>
    <w:rsid w:val="0071126E"/>
    <w:rsid w:val="00711295"/>
    <w:rsid w:val="00711306"/>
    <w:rsid w:val="007113C9"/>
    <w:rsid w:val="00711451"/>
    <w:rsid w:val="00711462"/>
    <w:rsid w:val="0071148F"/>
    <w:rsid w:val="007114B3"/>
    <w:rsid w:val="007115E0"/>
    <w:rsid w:val="007115E7"/>
    <w:rsid w:val="0071168F"/>
    <w:rsid w:val="007116BA"/>
    <w:rsid w:val="00711725"/>
    <w:rsid w:val="00711777"/>
    <w:rsid w:val="00711853"/>
    <w:rsid w:val="00711889"/>
    <w:rsid w:val="00711968"/>
    <w:rsid w:val="00711AC3"/>
    <w:rsid w:val="00711AC9"/>
    <w:rsid w:val="00711B41"/>
    <w:rsid w:val="00711C19"/>
    <w:rsid w:val="00711C56"/>
    <w:rsid w:val="00711D11"/>
    <w:rsid w:val="00711D73"/>
    <w:rsid w:val="00711E6D"/>
    <w:rsid w:val="00711FC4"/>
    <w:rsid w:val="0071201E"/>
    <w:rsid w:val="0071218D"/>
    <w:rsid w:val="007121EE"/>
    <w:rsid w:val="0071226D"/>
    <w:rsid w:val="00712271"/>
    <w:rsid w:val="007122CB"/>
    <w:rsid w:val="007122DC"/>
    <w:rsid w:val="007122E2"/>
    <w:rsid w:val="00712339"/>
    <w:rsid w:val="00712573"/>
    <w:rsid w:val="007125AD"/>
    <w:rsid w:val="00712763"/>
    <w:rsid w:val="00712805"/>
    <w:rsid w:val="0071290C"/>
    <w:rsid w:val="0071291C"/>
    <w:rsid w:val="00712C64"/>
    <w:rsid w:val="00712D5D"/>
    <w:rsid w:val="00712DC2"/>
    <w:rsid w:val="00712E73"/>
    <w:rsid w:val="00713012"/>
    <w:rsid w:val="007130A2"/>
    <w:rsid w:val="007130AA"/>
    <w:rsid w:val="007130EF"/>
    <w:rsid w:val="00713148"/>
    <w:rsid w:val="00713192"/>
    <w:rsid w:val="007132BE"/>
    <w:rsid w:val="00713377"/>
    <w:rsid w:val="00713457"/>
    <w:rsid w:val="00713550"/>
    <w:rsid w:val="00713953"/>
    <w:rsid w:val="00713B0F"/>
    <w:rsid w:val="00713B2A"/>
    <w:rsid w:val="00713B78"/>
    <w:rsid w:val="00713BEE"/>
    <w:rsid w:val="00713C2B"/>
    <w:rsid w:val="00713C5E"/>
    <w:rsid w:val="00713DED"/>
    <w:rsid w:val="00713E04"/>
    <w:rsid w:val="00713E82"/>
    <w:rsid w:val="00713EDB"/>
    <w:rsid w:val="00713EFE"/>
    <w:rsid w:val="00714051"/>
    <w:rsid w:val="00714276"/>
    <w:rsid w:val="007142E7"/>
    <w:rsid w:val="00714351"/>
    <w:rsid w:val="00714367"/>
    <w:rsid w:val="007143DF"/>
    <w:rsid w:val="00714418"/>
    <w:rsid w:val="00714440"/>
    <w:rsid w:val="0071453A"/>
    <w:rsid w:val="00714787"/>
    <w:rsid w:val="00714835"/>
    <w:rsid w:val="00714839"/>
    <w:rsid w:val="00714864"/>
    <w:rsid w:val="00714914"/>
    <w:rsid w:val="00714956"/>
    <w:rsid w:val="0071498C"/>
    <w:rsid w:val="00714B80"/>
    <w:rsid w:val="00714B9E"/>
    <w:rsid w:val="00714EDD"/>
    <w:rsid w:val="00714F9D"/>
    <w:rsid w:val="00715134"/>
    <w:rsid w:val="00715167"/>
    <w:rsid w:val="007151C7"/>
    <w:rsid w:val="00715228"/>
    <w:rsid w:val="007152F5"/>
    <w:rsid w:val="00715363"/>
    <w:rsid w:val="00715381"/>
    <w:rsid w:val="0071538A"/>
    <w:rsid w:val="0071544D"/>
    <w:rsid w:val="0071545A"/>
    <w:rsid w:val="0071546F"/>
    <w:rsid w:val="00715497"/>
    <w:rsid w:val="00715529"/>
    <w:rsid w:val="007156B7"/>
    <w:rsid w:val="007156C1"/>
    <w:rsid w:val="007156D5"/>
    <w:rsid w:val="00715715"/>
    <w:rsid w:val="0071573C"/>
    <w:rsid w:val="00715806"/>
    <w:rsid w:val="00715872"/>
    <w:rsid w:val="007158A2"/>
    <w:rsid w:val="0071590C"/>
    <w:rsid w:val="00715912"/>
    <w:rsid w:val="00715A1C"/>
    <w:rsid w:val="00715A5A"/>
    <w:rsid w:val="00715A7F"/>
    <w:rsid w:val="00715D29"/>
    <w:rsid w:val="00715D43"/>
    <w:rsid w:val="00715D90"/>
    <w:rsid w:val="00715DB4"/>
    <w:rsid w:val="00715E3F"/>
    <w:rsid w:val="00715F5E"/>
    <w:rsid w:val="00715F75"/>
    <w:rsid w:val="00715F80"/>
    <w:rsid w:val="00715F83"/>
    <w:rsid w:val="00715F9A"/>
    <w:rsid w:val="00716071"/>
    <w:rsid w:val="0071612C"/>
    <w:rsid w:val="0071613C"/>
    <w:rsid w:val="0071615E"/>
    <w:rsid w:val="0071620D"/>
    <w:rsid w:val="007162B8"/>
    <w:rsid w:val="00716352"/>
    <w:rsid w:val="00716475"/>
    <w:rsid w:val="007164C5"/>
    <w:rsid w:val="00716558"/>
    <w:rsid w:val="007165D7"/>
    <w:rsid w:val="007167A5"/>
    <w:rsid w:val="00716887"/>
    <w:rsid w:val="007168CF"/>
    <w:rsid w:val="007169C4"/>
    <w:rsid w:val="00716A13"/>
    <w:rsid w:val="00716A97"/>
    <w:rsid w:val="00716ABF"/>
    <w:rsid w:val="00716E16"/>
    <w:rsid w:val="00717063"/>
    <w:rsid w:val="007170AA"/>
    <w:rsid w:val="00717194"/>
    <w:rsid w:val="0071722A"/>
    <w:rsid w:val="0071727C"/>
    <w:rsid w:val="00717343"/>
    <w:rsid w:val="00717445"/>
    <w:rsid w:val="00717506"/>
    <w:rsid w:val="00717679"/>
    <w:rsid w:val="007176B4"/>
    <w:rsid w:val="007176E5"/>
    <w:rsid w:val="00717783"/>
    <w:rsid w:val="007177F1"/>
    <w:rsid w:val="0071786E"/>
    <w:rsid w:val="00717951"/>
    <w:rsid w:val="00717962"/>
    <w:rsid w:val="00717AC2"/>
    <w:rsid w:val="00717DDC"/>
    <w:rsid w:val="00717F49"/>
    <w:rsid w:val="00717F62"/>
    <w:rsid w:val="00717FD0"/>
    <w:rsid w:val="0072005C"/>
    <w:rsid w:val="00720191"/>
    <w:rsid w:val="007201C5"/>
    <w:rsid w:val="007201ED"/>
    <w:rsid w:val="0072020D"/>
    <w:rsid w:val="00720249"/>
    <w:rsid w:val="0072026E"/>
    <w:rsid w:val="007202B8"/>
    <w:rsid w:val="0072057F"/>
    <w:rsid w:val="00720628"/>
    <w:rsid w:val="00720640"/>
    <w:rsid w:val="007206FD"/>
    <w:rsid w:val="007207BF"/>
    <w:rsid w:val="007207CA"/>
    <w:rsid w:val="00720811"/>
    <w:rsid w:val="007208D1"/>
    <w:rsid w:val="0072093E"/>
    <w:rsid w:val="00720A21"/>
    <w:rsid w:val="00720AF8"/>
    <w:rsid w:val="00720B53"/>
    <w:rsid w:val="00720B9E"/>
    <w:rsid w:val="00720BE7"/>
    <w:rsid w:val="00720CF3"/>
    <w:rsid w:val="00720D05"/>
    <w:rsid w:val="00720E0A"/>
    <w:rsid w:val="00720E4A"/>
    <w:rsid w:val="00720E5B"/>
    <w:rsid w:val="00720EE6"/>
    <w:rsid w:val="00720EF9"/>
    <w:rsid w:val="00720F2B"/>
    <w:rsid w:val="00720F66"/>
    <w:rsid w:val="007210F3"/>
    <w:rsid w:val="0072115F"/>
    <w:rsid w:val="007211B5"/>
    <w:rsid w:val="00721201"/>
    <w:rsid w:val="00721231"/>
    <w:rsid w:val="007212E9"/>
    <w:rsid w:val="00721365"/>
    <w:rsid w:val="007213E7"/>
    <w:rsid w:val="00721497"/>
    <w:rsid w:val="007214C4"/>
    <w:rsid w:val="00721539"/>
    <w:rsid w:val="00721642"/>
    <w:rsid w:val="007216E3"/>
    <w:rsid w:val="007217AA"/>
    <w:rsid w:val="00721915"/>
    <w:rsid w:val="00721952"/>
    <w:rsid w:val="00721A14"/>
    <w:rsid w:val="00721B38"/>
    <w:rsid w:val="00721B68"/>
    <w:rsid w:val="00721BA9"/>
    <w:rsid w:val="00721BC8"/>
    <w:rsid w:val="00721E6C"/>
    <w:rsid w:val="00721E98"/>
    <w:rsid w:val="00721EEA"/>
    <w:rsid w:val="00721EF7"/>
    <w:rsid w:val="007221F5"/>
    <w:rsid w:val="00722429"/>
    <w:rsid w:val="0072251E"/>
    <w:rsid w:val="00722551"/>
    <w:rsid w:val="007225FB"/>
    <w:rsid w:val="00722639"/>
    <w:rsid w:val="007227E0"/>
    <w:rsid w:val="007228C2"/>
    <w:rsid w:val="007228FA"/>
    <w:rsid w:val="007229E8"/>
    <w:rsid w:val="007229FA"/>
    <w:rsid w:val="00722A5A"/>
    <w:rsid w:val="00722B8E"/>
    <w:rsid w:val="00722BBB"/>
    <w:rsid w:val="00722BD9"/>
    <w:rsid w:val="00722C14"/>
    <w:rsid w:val="00722C55"/>
    <w:rsid w:val="00722D1E"/>
    <w:rsid w:val="00722D21"/>
    <w:rsid w:val="00722DC8"/>
    <w:rsid w:val="00722DEF"/>
    <w:rsid w:val="00722F71"/>
    <w:rsid w:val="00722F7E"/>
    <w:rsid w:val="00722F86"/>
    <w:rsid w:val="00723217"/>
    <w:rsid w:val="00723262"/>
    <w:rsid w:val="00723359"/>
    <w:rsid w:val="00723395"/>
    <w:rsid w:val="00723458"/>
    <w:rsid w:val="007234B2"/>
    <w:rsid w:val="00723553"/>
    <w:rsid w:val="00723556"/>
    <w:rsid w:val="0072356D"/>
    <w:rsid w:val="007235A7"/>
    <w:rsid w:val="007235E3"/>
    <w:rsid w:val="00723676"/>
    <w:rsid w:val="0072397E"/>
    <w:rsid w:val="007239C8"/>
    <w:rsid w:val="007239C9"/>
    <w:rsid w:val="00723A35"/>
    <w:rsid w:val="00723A99"/>
    <w:rsid w:val="00723C3A"/>
    <w:rsid w:val="00723D38"/>
    <w:rsid w:val="00723D4B"/>
    <w:rsid w:val="00723D91"/>
    <w:rsid w:val="00723DA3"/>
    <w:rsid w:val="00723EC4"/>
    <w:rsid w:val="00723F0D"/>
    <w:rsid w:val="00723F77"/>
    <w:rsid w:val="0072402B"/>
    <w:rsid w:val="00724057"/>
    <w:rsid w:val="0072412D"/>
    <w:rsid w:val="00724139"/>
    <w:rsid w:val="00724158"/>
    <w:rsid w:val="00724169"/>
    <w:rsid w:val="007241A5"/>
    <w:rsid w:val="00724292"/>
    <w:rsid w:val="00724332"/>
    <w:rsid w:val="00724347"/>
    <w:rsid w:val="00724358"/>
    <w:rsid w:val="007243D3"/>
    <w:rsid w:val="007244C9"/>
    <w:rsid w:val="007245C6"/>
    <w:rsid w:val="00724884"/>
    <w:rsid w:val="00724962"/>
    <w:rsid w:val="007249BF"/>
    <w:rsid w:val="007249E5"/>
    <w:rsid w:val="007249FC"/>
    <w:rsid w:val="00724A91"/>
    <w:rsid w:val="00724B03"/>
    <w:rsid w:val="00724B5E"/>
    <w:rsid w:val="00724D45"/>
    <w:rsid w:val="00724E34"/>
    <w:rsid w:val="00724E68"/>
    <w:rsid w:val="00724E71"/>
    <w:rsid w:val="00724E8A"/>
    <w:rsid w:val="00724EAD"/>
    <w:rsid w:val="0072516E"/>
    <w:rsid w:val="007251A1"/>
    <w:rsid w:val="00725395"/>
    <w:rsid w:val="0072543D"/>
    <w:rsid w:val="007254BB"/>
    <w:rsid w:val="0072551B"/>
    <w:rsid w:val="007256EE"/>
    <w:rsid w:val="007257ED"/>
    <w:rsid w:val="0072583E"/>
    <w:rsid w:val="00725AB8"/>
    <w:rsid w:val="00725B77"/>
    <w:rsid w:val="00725C1C"/>
    <w:rsid w:val="00725D92"/>
    <w:rsid w:val="00725E3C"/>
    <w:rsid w:val="00725E44"/>
    <w:rsid w:val="00725E89"/>
    <w:rsid w:val="00725EAD"/>
    <w:rsid w:val="00725F46"/>
    <w:rsid w:val="00725F5B"/>
    <w:rsid w:val="00725FAF"/>
    <w:rsid w:val="0072602D"/>
    <w:rsid w:val="00726129"/>
    <w:rsid w:val="0072614D"/>
    <w:rsid w:val="00726151"/>
    <w:rsid w:val="0072616F"/>
    <w:rsid w:val="007261AA"/>
    <w:rsid w:val="007261E4"/>
    <w:rsid w:val="00726309"/>
    <w:rsid w:val="00726507"/>
    <w:rsid w:val="0072650B"/>
    <w:rsid w:val="00726586"/>
    <w:rsid w:val="007265E0"/>
    <w:rsid w:val="007265E2"/>
    <w:rsid w:val="00726694"/>
    <w:rsid w:val="00726720"/>
    <w:rsid w:val="0072674C"/>
    <w:rsid w:val="0072675D"/>
    <w:rsid w:val="007267B4"/>
    <w:rsid w:val="007267B8"/>
    <w:rsid w:val="00726840"/>
    <w:rsid w:val="00726859"/>
    <w:rsid w:val="0072693C"/>
    <w:rsid w:val="007269C8"/>
    <w:rsid w:val="007269ED"/>
    <w:rsid w:val="00726A3E"/>
    <w:rsid w:val="00726A6E"/>
    <w:rsid w:val="00726AA2"/>
    <w:rsid w:val="00726AF0"/>
    <w:rsid w:val="00726B4B"/>
    <w:rsid w:val="00726B52"/>
    <w:rsid w:val="00726B60"/>
    <w:rsid w:val="00726B98"/>
    <w:rsid w:val="00726C28"/>
    <w:rsid w:val="00726C3F"/>
    <w:rsid w:val="00726C5C"/>
    <w:rsid w:val="00726C8B"/>
    <w:rsid w:val="00726CED"/>
    <w:rsid w:val="00726CFF"/>
    <w:rsid w:val="00726DA4"/>
    <w:rsid w:val="00726DE4"/>
    <w:rsid w:val="00726E03"/>
    <w:rsid w:val="00726F49"/>
    <w:rsid w:val="00727078"/>
    <w:rsid w:val="0072713D"/>
    <w:rsid w:val="007271A5"/>
    <w:rsid w:val="0072721C"/>
    <w:rsid w:val="00727234"/>
    <w:rsid w:val="0072738E"/>
    <w:rsid w:val="007273CF"/>
    <w:rsid w:val="007273F3"/>
    <w:rsid w:val="0072746E"/>
    <w:rsid w:val="00727502"/>
    <w:rsid w:val="00727615"/>
    <w:rsid w:val="0072786F"/>
    <w:rsid w:val="00727957"/>
    <w:rsid w:val="00727AED"/>
    <w:rsid w:val="00727B77"/>
    <w:rsid w:val="00727B7C"/>
    <w:rsid w:val="00727B88"/>
    <w:rsid w:val="00727C12"/>
    <w:rsid w:val="00727C7F"/>
    <w:rsid w:val="00727E30"/>
    <w:rsid w:val="00727E7D"/>
    <w:rsid w:val="00727ECF"/>
    <w:rsid w:val="00727EFA"/>
    <w:rsid w:val="00727F07"/>
    <w:rsid w:val="00727F81"/>
    <w:rsid w:val="00727FA7"/>
    <w:rsid w:val="00730087"/>
    <w:rsid w:val="00730165"/>
    <w:rsid w:val="0073022C"/>
    <w:rsid w:val="00730298"/>
    <w:rsid w:val="007302E0"/>
    <w:rsid w:val="007302EC"/>
    <w:rsid w:val="00730331"/>
    <w:rsid w:val="00730356"/>
    <w:rsid w:val="00730358"/>
    <w:rsid w:val="007303FA"/>
    <w:rsid w:val="007304DC"/>
    <w:rsid w:val="00730511"/>
    <w:rsid w:val="007306A1"/>
    <w:rsid w:val="007306F0"/>
    <w:rsid w:val="00730729"/>
    <w:rsid w:val="00730796"/>
    <w:rsid w:val="007308A6"/>
    <w:rsid w:val="007308BD"/>
    <w:rsid w:val="007308C6"/>
    <w:rsid w:val="007309AD"/>
    <w:rsid w:val="007309B0"/>
    <w:rsid w:val="00730A15"/>
    <w:rsid w:val="00730C72"/>
    <w:rsid w:val="00730DF2"/>
    <w:rsid w:val="00730F0D"/>
    <w:rsid w:val="00730FFA"/>
    <w:rsid w:val="00731043"/>
    <w:rsid w:val="00731194"/>
    <w:rsid w:val="007311C3"/>
    <w:rsid w:val="0073126B"/>
    <w:rsid w:val="007313EC"/>
    <w:rsid w:val="007313FC"/>
    <w:rsid w:val="0073147E"/>
    <w:rsid w:val="0073149B"/>
    <w:rsid w:val="0073155A"/>
    <w:rsid w:val="007315A5"/>
    <w:rsid w:val="0073166E"/>
    <w:rsid w:val="00731696"/>
    <w:rsid w:val="007316FA"/>
    <w:rsid w:val="00731761"/>
    <w:rsid w:val="00731787"/>
    <w:rsid w:val="007317D5"/>
    <w:rsid w:val="007317DC"/>
    <w:rsid w:val="00731908"/>
    <w:rsid w:val="007319EE"/>
    <w:rsid w:val="00731AFB"/>
    <w:rsid w:val="00731B04"/>
    <w:rsid w:val="00731B0F"/>
    <w:rsid w:val="00731C4B"/>
    <w:rsid w:val="00731D1D"/>
    <w:rsid w:val="00731EC0"/>
    <w:rsid w:val="00732017"/>
    <w:rsid w:val="0073215D"/>
    <w:rsid w:val="00732174"/>
    <w:rsid w:val="007321B9"/>
    <w:rsid w:val="007322EA"/>
    <w:rsid w:val="0073235B"/>
    <w:rsid w:val="007323B3"/>
    <w:rsid w:val="0073243E"/>
    <w:rsid w:val="007324FE"/>
    <w:rsid w:val="0073256B"/>
    <w:rsid w:val="0073265D"/>
    <w:rsid w:val="007327DC"/>
    <w:rsid w:val="00732841"/>
    <w:rsid w:val="007328DC"/>
    <w:rsid w:val="0073291B"/>
    <w:rsid w:val="00732A54"/>
    <w:rsid w:val="00732A56"/>
    <w:rsid w:val="00732A80"/>
    <w:rsid w:val="00732AF0"/>
    <w:rsid w:val="00732B2B"/>
    <w:rsid w:val="00732BC2"/>
    <w:rsid w:val="00732D3F"/>
    <w:rsid w:val="00732EC2"/>
    <w:rsid w:val="00732FD1"/>
    <w:rsid w:val="00733156"/>
    <w:rsid w:val="00733229"/>
    <w:rsid w:val="0073331B"/>
    <w:rsid w:val="007333A3"/>
    <w:rsid w:val="007333F8"/>
    <w:rsid w:val="00733464"/>
    <w:rsid w:val="0073348F"/>
    <w:rsid w:val="0073351F"/>
    <w:rsid w:val="00733572"/>
    <w:rsid w:val="0073368C"/>
    <w:rsid w:val="0073372C"/>
    <w:rsid w:val="0073374D"/>
    <w:rsid w:val="0073376C"/>
    <w:rsid w:val="007337E8"/>
    <w:rsid w:val="007338F1"/>
    <w:rsid w:val="0073390E"/>
    <w:rsid w:val="00733910"/>
    <w:rsid w:val="00733918"/>
    <w:rsid w:val="00733A9B"/>
    <w:rsid w:val="00733B51"/>
    <w:rsid w:val="00733C24"/>
    <w:rsid w:val="00733CFD"/>
    <w:rsid w:val="00733DEA"/>
    <w:rsid w:val="00733E5A"/>
    <w:rsid w:val="00733EC9"/>
    <w:rsid w:val="00733EE8"/>
    <w:rsid w:val="00733F17"/>
    <w:rsid w:val="00734214"/>
    <w:rsid w:val="0073426A"/>
    <w:rsid w:val="007342AC"/>
    <w:rsid w:val="007342F0"/>
    <w:rsid w:val="00734499"/>
    <w:rsid w:val="0073457B"/>
    <w:rsid w:val="00734605"/>
    <w:rsid w:val="00734629"/>
    <w:rsid w:val="007346B4"/>
    <w:rsid w:val="007346EE"/>
    <w:rsid w:val="00734823"/>
    <w:rsid w:val="007348CD"/>
    <w:rsid w:val="007349A5"/>
    <w:rsid w:val="007349B8"/>
    <w:rsid w:val="007349BE"/>
    <w:rsid w:val="007349EB"/>
    <w:rsid w:val="00734BC4"/>
    <w:rsid w:val="00734BD4"/>
    <w:rsid w:val="00734C24"/>
    <w:rsid w:val="00734C6A"/>
    <w:rsid w:val="00734CF6"/>
    <w:rsid w:val="00734E01"/>
    <w:rsid w:val="00734E78"/>
    <w:rsid w:val="00734F0B"/>
    <w:rsid w:val="00734F1B"/>
    <w:rsid w:val="00735003"/>
    <w:rsid w:val="00735048"/>
    <w:rsid w:val="00735087"/>
    <w:rsid w:val="007352E0"/>
    <w:rsid w:val="00735320"/>
    <w:rsid w:val="00735426"/>
    <w:rsid w:val="0073551A"/>
    <w:rsid w:val="00735521"/>
    <w:rsid w:val="0073565B"/>
    <w:rsid w:val="007356A3"/>
    <w:rsid w:val="0073572A"/>
    <w:rsid w:val="007357FE"/>
    <w:rsid w:val="007358C7"/>
    <w:rsid w:val="007359F5"/>
    <w:rsid w:val="00735A2E"/>
    <w:rsid w:val="00735BAC"/>
    <w:rsid w:val="00735C1A"/>
    <w:rsid w:val="00735C46"/>
    <w:rsid w:val="00735C59"/>
    <w:rsid w:val="00735C94"/>
    <w:rsid w:val="00735DE4"/>
    <w:rsid w:val="00735E47"/>
    <w:rsid w:val="00735E65"/>
    <w:rsid w:val="00735EA4"/>
    <w:rsid w:val="00735EE4"/>
    <w:rsid w:val="00735F22"/>
    <w:rsid w:val="00736063"/>
    <w:rsid w:val="00736098"/>
    <w:rsid w:val="0073620B"/>
    <w:rsid w:val="00736326"/>
    <w:rsid w:val="007363E9"/>
    <w:rsid w:val="0073644F"/>
    <w:rsid w:val="007364AA"/>
    <w:rsid w:val="0073672F"/>
    <w:rsid w:val="007367D1"/>
    <w:rsid w:val="00736831"/>
    <w:rsid w:val="00736839"/>
    <w:rsid w:val="0073699A"/>
    <w:rsid w:val="00736A42"/>
    <w:rsid w:val="00736B38"/>
    <w:rsid w:val="00736CF2"/>
    <w:rsid w:val="00736D16"/>
    <w:rsid w:val="00736EDF"/>
    <w:rsid w:val="00736F27"/>
    <w:rsid w:val="00736FF8"/>
    <w:rsid w:val="007370E4"/>
    <w:rsid w:val="007370E5"/>
    <w:rsid w:val="007372E5"/>
    <w:rsid w:val="007374CC"/>
    <w:rsid w:val="00737540"/>
    <w:rsid w:val="00737656"/>
    <w:rsid w:val="0073765F"/>
    <w:rsid w:val="0073769B"/>
    <w:rsid w:val="0073779E"/>
    <w:rsid w:val="0073788F"/>
    <w:rsid w:val="0073790B"/>
    <w:rsid w:val="0073797D"/>
    <w:rsid w:val="00737998"/>
    <w:rsid w:val="00737A66"/>
    <w:rsid w:val="00737A71"/>
    <w:rsid w:val="00737C51"/>
    <w:rsid w:val="00737ED7"/>
    <w:rsid w:val="00737EF6"/>
    <w:rsid w:val="00737F2C"/>
    <w:rsid w:val="00737F85"/>
    <w:rsid w:val="00737FEA"/>
    <w:rsid w:val="00740004"/>
    <w:rsid w:val="00740066"/>
    <w:rsid w:val="007400D5"/>
    <w:rsid w:val="0074012B"/>
    <w:rsid w:val="0074016A"/>
    <w:rsid w:val="00740193"/>
    <w:rsid w:val="00740225"/>
    <w:rsid w:val="0074024D"/>
    <w:rsid w:val="007402E1"/>
    <w:rsid w:val="00740318"/>
    <w:rsid w:val="00740327"/>
    <w:rsid w:val="0074037D"/>
    <w:rsid w:val="00740499"/>
    <w:rsid w:val="007405D1"/>
    <w:rsid w:val="0074065B"/>
    <w:rsid w:val="00740740"/>
    <w:rsid w:val="007408B7"/>
    <w:rsid w:val="00740929"/>
    <w:rsid w:val="00740BA4"/>
    <w:rsid w:val="00740BA8"/>
    <w:rsid w:val="00740C44"/>
    <w:rsid w:val="00740D11"/>
    <w:rsid w:val="00740DA1"/>
    <w:rsid w:val="00740E2F"/>
    <w:rsid w:val="00740F5E"/>
    <w:rsid w:val="00740FB4"/>
    <w:rsid w:val="00740FF0"/>
    <w:rsid w:val="00741085"/>
    <w:rsid w:val="00741145"/>
    <w:rsid w:val="007411F5"/>
    <w:rsid w:val="007411FA"/>
    <w:rsid w:val="00741284"/>
    <w:rsid w:val="0074129E"/>
    <w:rsid w:val="00741407"/>
    <w:rsid w:val="0074148A"/>
    <w:rsid w:val="007414CE"/>
    <w:rsid w:val="007416B3"/>
    <w:rsid w:val="007416FD"/>
    <w:rsid w:val="00741703"/>
    <w:rsid w:val="007417B2"/>
    <w:rsid w:val="007417E8"/>
    <w:rsid w:val="00741AC6"/>
    <w:rsid w:val="00741AD7"/>
    <w:rsid w:val="00741AE0"/>
    <w:rsid w:val="00741AF1"/>
    <w:rsid w:val="00741B5B"/>
    <w:rsid w:val="00741BD5"/>
    <w:rsid w:val="00741C57"/>
    <w:rsid w:val="00741CB7"/>
    <w:rsid w:val="00741D9B"/>
    <w:rsid w:val="00741F1A"/>
    <w:rsid w:val="0074209C"/>
    <w:rsid w:val="007420C0"/>
    <w:rsid w:val="007420E2"/>
    <w:rsid w:val="00742520"/>
    <w:rsid w:val="007425D0"/>
    <w:rsid w:val="007425F4"/>
    <w:rsid w:val="00742637"/>
    <w:rsid w:val="007426B3"/>
    <w:rsid w:val="00742A15"/>
    <w:rsid w:val="00742AFF"/>
    <w:rsid w:val="00742B89"/>
    <w:rsid w:val="00742BFE"/>
    <w:rsid w:val="00742C03"/>
    <w:rsid w:val="00742C18"/>
    <w:rsid w:val="00742CD4"/>
    <w:rsid w:val="00742D7F"/>
    <w:rsid w:val="00742E4C"/>
    <w:rsid w:val="00742E8B"/>
    <w:rsid w:val="00742F7C"/>
    <w:rsid w:val="00743060"/>
    <w:rsid w:val="0074308F"/>
    <w:rsid w:val="007430E7"/>
    <w:rsid w:val="007430F1"/>
    <w:rsid w:val="007431C4"/>
    <w:rsid w:val="007433AC"/>
    <w:rsid w:val="00743421"/>
    <w:rsid w:val="007434A4"/>
    <w:rsid w:val="0074354C"/>
    <w:rsid w:val="0074357F"/>
    <w:rsid w:val="0074361C"/>
    <w:rsid w:val="0074366D"/>
    <w:rsid w:val="007436CC"/>
    <w:rsid w:val="007438F1"/>
    <w:rsid w:val="00743933"/>
    <w:rsid w:val="0074394C"/>
    <w:rsid w:val="00743992"/>
    <w:rsid w:val="007439B6"/>
    <w:rsid w:val="00743A26"/>
    <w:rsid w:val="00743AAA"/>
    <w:rsid w:val="00743ABA"/>
    <w:rsid w:val="00743C02"/>
    <w:rsid w:val="00743C43"/>
    <w:rsid w:val="00743CB7"/>
    <w:rsid w:val="00743D2A"/>
    <w:rsid w:val="00743DE8"/>
    <w:rsid w:val="00743F81"/>
    <w:rsid w:val="00743FE7"/>
    <w:rsid w:val="0074416D"/>
    <w:rsid w:val="0074422A"/>
    <w:rsid w:val="007442FA"/>
    <w:rsid w:val="00744494"/>
    <w:rsid w:val="007444A7"/>
    <w:rsid w:val="007444BA"/>
    <w:rsid w:val="007446B9"/>
    <w:rsid w:val="007446CC"/>
    <w:rsid w:val="007446D2"/>
    <w:rsid w:val="007446E2"/>
    <w:rsid w:val="00744860"/>
    <w:rsid w:val="007448B6"/>
    <w:rsid w:val="00744964"/>
    <w:rsid w:val="00744B18"/>
    <w:rsid w:val="00744B8C"/>
    <w:rsid w:val="00744D96"/>
    <w:rsid w:val="00744DF7"/>
    <w:rsid w:val="00744EE3"/>
    <w:rsid w:val="00744F2C"/>
    <w:rsid w:val="007450C7"/>
    <w:rsid w:val="007451D2"/>
    <w:rsid w:val="007452BB"/>
    <w:rsid w:val="00745307"/>
    <w:rsid w:val="007453A6"/>
    <w:rsid w:val="007453FD"/>
    <w:rsid w:val="0074549F"/>
    <w:rsid w:val="007454BB"/>
    <w:rsid w:val="00745612"/>
    <w:rsid w:val="0074564F"/>
    <w:rsid w:val="00745671"/>
    <w:rsid w:val="007456F3"/>
    <w:rsid w:val="0074579B"/>
    <w:rsid w:val="007457E9"/>
    <w:rsid w:val="0074582E"/>
    <w:rsid w:val="007458E9"/>
    <w:rsid w:val="00745A33"/>
    <w:rsid w:val="00745A47"/>
    <w:rsid w:val="00745A71"/>
    <w:rsid w:val="00745BC4"/>
    <w:rsid w:val="00745C7F"/>
    <w:rsid w:val="00745CE5"/>
    <w:rsid w:val="00745D34"/>
    <w:rsid w:val="00745D3B"/>
    <w:rsid w:val="00745D62"/>
    <w:rsid w:val="00745F62"/>
    <w:rsid w:val="00745FA9"/>
    <w:rsid w:val="00746105"/>
    <w:rsid w:val="007461BA"/>
    <w:rsid w:val="00746245"/>
    <w:rsid w:val="00746302"/>
    <w:rsid w:val="0074630C"/>
    <w:rsid w:val="0074636A"/>
    <w:rsid w:val="0074641D"/>
    <w:rsid w:val="00746493"/>
    <w:rsid w:val="00746514"/>
    <w:rsid w:val="00746651"/>
    <w:rsid w:val="00746670"/>
    <w:rsid w:val="007467AB"/>
    <w:rsid w:val="007468B5"/>
    <w:rsid w:val="0074691A"/>
    <w:rsid w:val="00746935"/>
    <w:rsid w:val="007469A5"/>
    <w:rsid w:val="007469B7"/>
    <w:rsid w:val="00746A05"/>
    <w:rsid w:val="00746B22"/>
    <w:rsid w:val="00746BCE"/>
    <w:rsid w:val="00746BCF"/>
    <w:rsid w:val="00746CF7"/>
    <w:rsid w:val="00746D56"/>
    <w:rsid w:val="00746E8B"/>
    <w:rsid w:val="00746EA2"/>
    <w:rsid w:val="00746EB1"/>
    <w:rsid w:val="00746EC0"/>
    <w:rsid w:val="00746EDA"/>
    <w:rsid w:val="00746F79"/>
    <w:rsid w:val="00746FB6"/>
    <w:rsid w:val="0074702D"/>
    <w:rsid w:val="0074711D"/>
    <w:rsid w:val="00747129"/>
    <w:rsid w:val="00747152"/>
    <w:rsid w:val="0074717D"/>
    <w:rsid w:val="0074721B"/>
    <w:rsid w:val="007472B6"/>
    <w:rsid w:val="00747380"/>
    <w:rsid w:val="007473B1"/>
    <w:rsid w:val="00747425"/>
    <w:rsid w:val="0074742F"/>
    <w:rsid w:val="00747577"/>
    <w:rsid w:val="00747722"/>
    <w:rsid w:val="007477D9"/>
    <w:rsid w:val="00747908"/>
    <w:rsid w:val="0074794B"/>
    <w:rsid w:val="007479C8"/>
    <w:rsid w:val="007479E8"/>
    <w:rsid w:val="00747A47"/>
    <w:rsid w:val="00747AD8"/>
    <w:rsid w:val="00747C37"/>
    <w:rsid w:val="00747D6A"/>
    <w:rsid w:val="00747EFE"/>
    <w:rsid w:val="00747F07"/>
    <w:rsid w:val="00747F10"/>
    <w:rsid w:val="00750036"/>
    <w:rsid w:val="007500A5"/>
    <w:rsid w:val="007500DF"/>
    <w:rsid w:val="007500FB"/>
    <w:rsid w:val="00750124"/>
    <w:rsid w:val="007501BD"/>
    <w:rsid w:val="0075031D"/>
    <w:rsid w:val="0075037A"/>
    <w:rsid w:val="0075047C"/>
    <w:rsid w:val="007504F6"/>
    <w:rsid w:val="0075062D"/>
    <w:rsid w:val="00750696"/>
    <w:rsid w:val="007507FD"/>
    <w:rsid w:val="00750872"/>
    <w:rsid w:val="007508DA"/>
    <w:rsid w:val="00750951"/>
    <w:rsid w:val="00750994"/>
    <w:rsid w:val="007509F3"/>
    <w:rsid w:val="00750A91"/>
    <w:rsid w:val="00750BFA"/>
    <w:rsid w:val="00750C13"/>
    <w:rsid w:val="00750C5D"/>
    <w:rsid w:val="00750C75"/>
    <w:rsid w:val="00750C8B"/>
    <w:rsid w:val="00750E84"/>
    <w:rsid w:val="00750EB6"/>
    <w:rsid w:val="00750FD5"/>
    <w:rsid w:val="00751019"/>
    <w:rsid w:val="00751033"/>
    <w:rsid w:val="00751310"/>
    <w:rsid w:val="0075138C"/>
    <w:rsid w:val="0075150A"/>
    <w:rsid w:val="0075152C"/>
    <w:rsid w:val="00751574"/>
    <w:rsid w:val="007515B2"/>
    <w:rsid w:val="007515FC"/>
    <w:rsid w:val="007515FE"/>
    <w:rsid w:val="00751606"/>
    <w:rsid w:val="0075160F"/>
    <w:rsid w:val="0075161D"/>
    <w:rsid w:val="007516F0"/>
    <w:rsid w:val="00751869"/>
    <w:rsid w:val="007518C9"/>
    <w:rsid w:val="007518FD"/>
    <w:rsid w:val="007519BC"/>
    <w:rsid w:val="00751AB6"/>
    <w:rsid w:val="00751B24"/>
    <w:rsid w:val="00751B2B"/>
    <w:rsid w:val="00751E08"/>
    <w:rsid w:val="00751E42"/>
    <w:rsid w:val="00751FA6"/>
    <w:rsid w:val="00752015"/>
    <w:rsid w:val="007523E7"/>
    <w:rsid w:val="00752459"/>
    <w:rsid w:val="0075257F"/>
    <w:rsid w:val="00752599"/>
    <w:rsid w:val="00752740"/>
    <w:rsid w:val="0075276D"/>
    <w:rsid w:val="00752781"/>
    <w:rsid w:val="007527A4"/>
    <w:rsid w:val="007527AA"/>
    <w:rsid w:val="007527D0"/>
    <w:rsid w:val="00752846"/>
    <w:rsid w:val="00752945"/>
    <w:rsid w:val="00752B3C"/>
    <w:rsid w:val="00752B7F"/>
    <w:rsid w:val="00752BA8"/>
    <w:rsid w:val="00752CB6"/>
    <w:rsid w:val="00752DD7"/>
    <w:rsid w:val="00752E84"/>
    <w:rsid w:val="00752E8B"/>
    <w:rsid w:val="00752EFB"/>
    <w:rsid w:val="007530A5"/>
    <w:rsid w:val="007530DD"/>
    <w:rsid w:val="00753155"/>
    <w:rsid w:val="0075325F"/>
    <w:rsid w:val="007532EE"/>
    <w:rsid w:val="007532FD"/>
    <w:rsid w:val="0075334D"/>
    <w:rsid w:val="007533AB"/>
    <w:rsid w:val="007533CF"/>
    <w:rsid w:val="007533E4"/>
    <w:rsid w:val="0075348F"/>
    <w:rsid w:val="007534FA"/>
    <w:rsid w:val="00753550"/>
    <w:rsid w:val="007535CE"/>
    <w:rsid w:val="00753693"/>
    <w:rsid w:val="007536F1"/>
    <w:rsid w:val="007537EB"/>
    <w:rsid w:val="00753817"/>
    <w:rsid w:val="00753876"/>
    <w:rsid w:val="00753918"/>
    <w:rsid w:val="0075398F"/>
    <w:rsid w:val="00753A64"/>
    <w:rsid w:val="00753A6F"/>
    <w:rsid w:val="00753B79"/>
    <w:rsid w:val="00753BB9"/>
    <w:rsid w:val="00753BFA"/>
    <w:rsid w:val="00753C57"/>
    <w:rsid w:val="00753CD0"/>
    <w:rsid w:val="00753F0D"/>
    <w:rsid w:val="00754078"/>
    <w:rsid w:val="00754189"/>
    <w:rsid w:val="00754338"/>
    <w:rsid w:val="00754441"/>
    <w:rsid w:val="00754457"/>
    <w:rsid w:val="00754473"/>
    <w:rsid w:val="007544C0"/>
    <w:rsid w:val="007544F8"/>
    <w:rsid w:val="00754549"/>
    <w:rsid w:val="0075455D"/>
    <w:rsid w:val="0075462F"/>
    <w:rsid w:val="0075465A"/>
    <w:rsid w:val="00754693"/>
    <w:rsid w:val="007546AF"/>
    <w:rsid w:val="0075474C"/>
    <w:rsid w:val="0075482B"/>
    <w:rsid w:val="007548A6"/>
    <w:rsid w:val="00754934"/>
    <w:rsid w:val="00754990"/>
    <w:rsid w:val="00754AA6"/>
    <w:rsid w:val="00754AF5"/>
    <w:rsid w:val="00754B99"/>
    <w:rsid w:val="00754C16"/>
    <w:rsid w:val="00754DAE"/>
    <w:rsid w:val="00754DF4"/>
    <w:rsid w:val="00754E0D"/>
    <w:rsid w:val="00754E21"/>
    <w:rsid w:val="00754EDE"/>
    <w:rsid w:val="00754EEF"/>
    <w:rsid w:val="00754F6C"/>
    <w:rsid w:val="00754F77"/>
    <w:rsid w:val="00755125"/>
    <w:rsid w:val="0075526F"/>
    <w:rsid w:val="00755330"/>
    <w:rsid w:val="0075545F"/>
    <w:rsid w:val="0075549E"/>
    <w:rsid w:val="007554AE"/>
    <w:rsid w:val="007554B1"/>
    <w:rsid w:val="0075550D"/>
    <w:rsid w:val="00755525"/>
    <w:rsid w:val="0075567C"/>
    <w:rsid w:val="007556C1"/>
    <w:rsid w:val="007556ED"/>
    <w:rsid w:val="00755706"/>
    <w:rsid w:val="00755729"/>
    <w:rsid w:val="0075574D"/>
    <w:rsid w:val="00755775"/>
    <w:rsid w:val="0075579B"/>
    <w:rsid w:val="007557C7"/>
    <w:rsid w:val="00755880"/>
    <w:rsid w:val="00755C4E"/>
    <w:rsid w:val="00755CCF"/>
    <w:rsid w:val="00755D02"/>
    <w:rsid w:val="00755EAA"/>
    <w:rsid w:val="00755F49"/>
    <w:rsid w:val="00755F9B"/>
    <w:rsid w:val="00756039"/>
    <w:rsid w:val="0075606F"/>
    <w:rsid w:val="007562AA"/>
    <w:rsid w:val="0075646A"/>
    <w:rsid w:val="00756563"/>
    <w:rsid w:val="00756578"/>
    <w:rsid w:val="007565DD"/>
    <w:rsid w:val="00756613"/>
    <w:rsid w:val="0075693A"/>
    <w:rsid w:val="00756A6D"/>
    <w:rsid w:val="00756A91"/>
    <w:rsid w:val="00756B5E"/>
    <w:rsid w:val="00756BDE"/>
    <w:rsid w:val="00756C5B"/>
    <w:rsid w:val="00756CB7"/>
    <w:rsid w:val="00756CC2"/>
    <w:rsid w:val="00756D4F"/>
    <w:rsid w:val="00756DD0"/>
    <w:rsid w:val="00756EC6"/>
    <w:rsid w:val="00756F0A"/>
    <w:rsid w:val="00756FD7"/>
    <w:rsid w:val="00757082"/>
    <w:rsid w:val="007570B8"/>
    <w:rsid w:val="007571FF"/>
    <w:rsid w:val="00757200"/>
    <w:rsid w:val="00757352"/>
    <w:rsid w:val="007574F9"/>
    <w:rsid w:val="00757515"/>
    <w:rsid w:val="00757533"/>
    <w:rsid w:val="00757547"/>
    <w:rsid w:val="007575FA"/>
    <w:rsid w:val="007576AF"/>
    <w:rsid w:val="007577B8"/>
    <w:rsid w:val="0075785D"/>
    <w:rsid w:val="00757880"/>
    <w:rsid w:val="00757956"/>
    <w:rsid w:val="0075797C"/>
    <w:rsid w:val="00757A6E"/>
    <w:rsid w:val="00757BA2"/>
    <w:rsid w:val="00757C55"/>
    <w:rsid w:val="00757CE0"/>
    <w:rsid w:val="00757EE8"/>
    <w:rsid w:val="007600C9"/>
    <w:rsid w:val="007600FF"/>
    <w:rsid w:val="007601BE"/>
    <w:rsid w:val="007601EF"/>
    <w:rsid w:val="00760210"/>
    <w:rsid w:val="0076023F"/>
    <w:rsid w:val="0076024C"/>
    <w:rsid w:val="007602EF"/>
    <w:rsid w:val="0076030D"/>
    <w:rsid w:val="0076031F"/>
    <w:rsid w:val="0076037B"/>
    <w:rsid w:val="00760398"/>
    <w:rsid w:val="007605AC"/>
    <w:rsid w:val="007605F6"/>
    <w:rsid w:val="00760649"/>
    <w:rsid w:val="00760733"/>
    <w:rsid w:val="0076078A"/>
    <w:rsid w:val="0076079D"/>
    <w:rsid w:val="00760807"/>
    <w:rsid w:val="00760812"/>
    <w:rsid w:val="00760908"/>
    <w:rsid w:val="0076098D"/>
    <w:rsid w:val="00760A6E"/>
    <w:rsid w:val="00760A8F"/>
    <w:rsid w:val="00760BCA"/>
    <w:rsid w:val="00760BE9"/>
    <w:rsid w:val="00760D05"/>
    <w:rsid w:val="00760D08"/>
    <w:rsid w:val="00760F89"/>
    <w:rsid w:val="00761022"/>
    <w:rsid w:val="0076103F"/>
    <w:rsid w:val="00761069"/>
    <w:rsid w:val="007611DA"/>
    <w:rsid w:val="0076128D"/>
    <w:rsid w:val="0076139F"/>
    <w:rsid w:val="00761437"/>
    <w:rsid w:val="007614A4"/>
    <w:rsid w:val="007615A9"/>
    <w:rsid w:val="007615D8"/>
    <w:rsid w:val="0076168D"/>
    <w:rsid w:val="007616DB"/>
    <w:rsid w:val="00761878"/>
    <w:rsid w:val="007618B4"/>
    <w:rsid w:val="007618BB"/>
    <w:rsid w:val="007619A5"/>
    <w:rsid w:val="00761A25"/>
    <w:rsid w:val="00761A98"/>
    <w:rsid w:val="00761B21"/>
    <w:rsid w:val="00761B61"/>
    <w:rsid w:val="00761BC8"/>
    <w:rsid w:val="00761CFA"/>
    <w:rsid w:val="00761CFE"/>
    <w:rsid w:val="00761D4A"/>
    <w:rsid w:val="00761E5B"/>
    <w:rsid w:val="00761E6B"/>
    <w:rsid w:val="00761EE4"/>
    <w:rsid w:val="00762020"/>
    <w:rsid w:val="00762126"/>
    <w:rsid w:val="00762139"/>
    <w:rsid w:val="0076217A"/>
    <w:rsid w:val="0076217E"/>
    <w:rsid w:val="0076223D"/>
    <w:rsid w:val="00762313"/>
    <w:rsid w:val="007623D3"/>
    <w:rsid w:val="007623E1"/>
    <w:rsid w:val="00762414"/>
    <w:rsid w:val="00762428"/>
    <w:rsid w:val="0076247E"/>
    <w:rsid w:val="00762492"/>
    <w:rsid w:val="00762562"/>
    <w:rsid w:val="00762656"/>
    <w:rsid w:val="007627DA"/>
    <w:rsid w:val="00762868"/>
    <w:rsid w:val="00762A75"/>
    <w:rsid w:val="00762AFE"/>
    <w:rsid w:val="00762B86"/>
    <w:rsid w:val="00762B96"/>
    <w:rsid w:val="00762B9D"/>
    <w:rsid w:val="00762BB0"/>
    <w:rsid w:val="00762C20"/>
    <w:rsid w:val="00762C34"/>
    <w:rsid w:val="00762CD4"/>
    <w:rsid w:val="00762CE6"/>
    <w:rsid w:val="00762D18"/>
    <w:rsid w:val="00762D3C"/>
    <w:rsid w:val="00762DE2"/>
    <w:rsid w:val="00762E25"/>
    <w:rsid w:val="00762F2E"/>
    <w:rsid w:val="0076303C"/>
    <w:rsid w:val="0076312A"/>
    <w:rsid w:val="00763182"/>
    <w:rsid w:val="007631C9"/>
    <w:rsid w:val="007631E8"/>
    <w:rsid w:val="00763335"/>
    <w:rsid w:val="0076334B"/>
    <w:rsid w:val="007634C9"/>
    <w:rsid w:val="007634E4"/>
    <w:rsid w:val="0076361C"/>
    <w:rsid w:val="00763741"/>
    <w:rsid w:val="00763758"/>
    <w:rsid w:val="0076380E"/>
    <w:rsid w:val="00763996"/>
    <w:rsid w:val="007639BA"/>
    <w:rsid w:val="00763A8B"/>
    <w:rsid w:val="00763BB0"/>
    <w:rsid w:val="00763BBA"/>
    <w:rsid w:val="00763CA6"/>
    <w:rsid w:val="00763CB7"/>
    <w:rsid w:val="00763D4B"/>
    <w:rsid w:val="00763F55"/>
    <w:rsid w:val="00764083"/>
    <w:rsid w:val="00764153"/>
    <w:rsid w:val="00764170"/>
    <w:rsid w:val="007642CE"/>
    <w:rsid w:val="00764329"/>
    <w:rsid w:val="00764356"/>
    <w:rsid w:val="007644F5"/>
    <w:rsid w:val="00764547"/>
    <w:rsid w:val="00764548"/>
    <w:rsid w:val="00764579"/>
    <w:rsid w:val="00764694"/>
    <w:rsid w:val="0076481B"/>
    <w:rsid w:val="00764839"/>
    <w:rsid w:val="007648EB"/>
    <w:rsid w:val="00764912"/>
    <w:rsid w:val="007649C3"/>
    <w:rsid w:val="00764A41"/>
    <w:rsid w:val="00764B86"/>
    <w:rsid w:val="00764BC9"/>
    <w:rsid w:val="00764CEB"/>
    <w:rsid w:val="00764D23"/>
    <w:rsid w:val="0076502C"/>
    <w:rsid w:val="0076510C"/>
    <w:rsid w:val="0076520D"/>
    <w:rsid w:val="007652E4"/>
    <w:rsid w:val="0076542F"/>
    <w:rsid w:val="007654F9"/>
    <w:rsid w:val="00765501"/>
    <w:rsid w:val="00765542"/>
    <w:rsid w:val="0076563B"/>
    <w:rsid w:val="0076569A"/>
    <w:rsid w:val="007656B7"/>
    <w:rsid w:val="007656C7"/>
    <w:rsid w:val="00765778"/>
    <w:rsid w:val="007657EF"/>
    <w:rsid w:val="00765805"/>
    <w:rsid w:val="007658AF"/>
    <w:rsid w:val="0076590C"/>
    <w:rsid w:val="0076596A"/>
    <w:rsid w:val="007659E8"/>
    <w:rsid w:val="00765AA8"/>
    <w:rsid w:val="00765AB8"/>
    <w:rsid w:val="00765C3C"/>
    <w:rsid w:val="00765C9D"/>
    <w:rsid w:val="00765DEB"/>
    <w:rsid w:val="00765DEC"/>
    <w:rsid w:val="00765E47"/>
    <w:rsid w:val="00765EE7"/>
    <w:rsid w:val="00765F40"/>
    <w:rsid w:val="00765FB0"/>
    <w:rsid w:val="007660D9"/>
    <w:rsid w:val="007662A7"/>
    <w:rsid w:val="007662AB"/>
    <w:rsid w:val="007662CC"/>
    <w:rsid w:val="00766317"/>
    <w:rsid w:val="0076650A"/>
    <w:rsid w:val="00766916"/>
    <w:rsid w:val="0076699F"/>
    <w:rsid w:val="007669B3"/>
    <w:rsid w:val="007669C2"/>
    <w:rsid w:val="007669C9"/>
    <w:rsid w:val="00766A4B"/>
    <w:rsid w:val="00766A5B"/>
    <w:rsid w:val="00766B8C"/>
    <w:rsid w:val="00766BF9"/>
    <w:rsid w:val="00766C0E"/>
    <w:rsid w:val="00766C81"/>
    <w:rsid w:val="00766D2D"/>
    <w:rsid w:val="00766D4C"/>
    <w:rsid w:val="00766DA0"/>
    <w:rsid w:val="00766DB3"/>
    <w:rsid w:val="00766FCC"/>
    <w:rsid w:val="007670C8"/>
    <w:rsid w:val="00767173"/>
    <w:rsid w:val="00767311"/>
    <w:rsid w:val="00767323"/>
    <w:rsid w:val="0076748F"/>
    <w:rsid w:val="007674EF"/>
    <w:rsid w:val="007675C5"/>
    <w:rsid w:val="0076767F"/>
    <w:rsid w:val="007676E9"/>
    <w:rsid w:val="0076778D"/>
    <w:rsid w:val="007677CC"/>
    <w:rsid w:val="007677F1"/>
    <w:rsid w:val="00767879"/>
    <w:rsid w:val="0076788B"/>
    <w:rsid w:val="00767895"/>
    <w:rsid w:val="00767A54"/>
    <w:rsid w:val="00767B14"/>
    <w:rsid w:val="00767D23"/>
    <w:rsid w:val="00767D68"/>
    <w:rsid w:val="00767DE1"/>
    <w:rsid w:val="0077002F"/>
    <w:rsid w:val="0077008E"/>
    <w:rsid w:val="00770264"/>
    <w:rsid w:val="00770297"/>
    <w:rsid w:val="00770301"/>
    <w:rsid w:val="00770328"/>
    <w:rsid w:val="0077041A"/>
    <w:rsid w:val="00770512"/>
    <w:rsid w:val="007705A6"/>
    <w:rsid w:val="007705F0"/>
    <w:rsid w:val="0077076C"/>
    <w:rsid w:val="007707D7"/>
    <w:rsid w:val="0077088C"/>
    <w:rsid w:val="007708B0"/>
    <w:rsid w:val="00770909"/>
    <w:rsid w:val="007709D1"/>
    <w:rsid w:val="00770AC1"/>
    <w:rsid w:val="00770B8E"/>
    <w:rsid w:val="00770BD9"/>
    <w:rsid w:val="00770BF4"/>
    <w:rsid w:val="00770C1B"/>
    <w:rsid w:val="00770C46"/>
    <w:rsid w:val="00770C5D"/>
    <w:rsid w:val="00770C64"/>
    <w:rsid w:val="00770C7B"/>
    <w:rsid w:val="00770CA8"/>
    <w:rsid w:val="00770E68"/>
    <w:rsid w:val="00770F5A"/>
    <w:rsid w:val="00770F65"/>
    <w:rsid w:val="0077106F"/>
    <w:rsid w:val="00771161"/>
    <w:rsid w:val="007713AF"/>
    <w:rsid w:val="007713F6"/>
    <w:rsid w:val="0077145E"/>
    <w:rsid w:val="007714A3"/>
    <w:rsid w:val="007714D6"/>
    <w:rsid w:val="0077151A"/>
    <w:rsid w:val="00771641"/>
    <w:rsid w:val="00771690"/>
    <w:rsid w:val="007716D3"/>
    <w:rsid w:val="00771719"/>
    <w:rsid w:val="0077171B"/>
    <w:rsid w:val="007717CB"/>
    <w:rsid w:val="007717CF"/>
    <w:rsid w:val="0077194E"/>
    <w:rsid w:val="00771A26"/>
    <w:rsid w:val="00771C55"/>
    <w:rsid w:val="00771D42"/>
    <w:rsid w:val="00771E97"/>
    <w:rsid w:val="00771F78"/>
    <w:rsid w:val="00772084"/>
    <w:rsid w:val="00772172"/>
    <w:rsid w:val="00772198"/>
    <w:rsid w:val="007721B5"/>
    <w:rsid w:val="00772236"/>
    <w:rsid w:val="00772370"/>
    <w:rsid w:val="0077238A"/>
    <w:rsid w:val="00772400"/>
    <w:rsid w:val="00772432"/>
    <w:rsid w:val="00772433"/>
    <w:rsid w:val="0077245D"/>
    <w:rsid w:val="00772485"/>
    <w:rsid w:val="0077250B"/>
    <w:rsid w:val="00772521"/>
    <w:rsid w:val="00772547"/>
    <w:rsid w:val="00772578"/>
    <w:rsid w:val="007725A0"/>
    <w:rsid w:val="007725C1"/>
    <w:rsid w:val="00772663"/>
    <w:rsid w:val="007726F0"/>
    <w:rsid w:val="00772739"/>
    <w:rsid w:val="00772777"/>
    <w:rsid w:val="0077284D"/>
    <w:rsid w:val="00772AE3"/>
    <w:rsid w:val="00772B8F"/>
    <w:rsid w:val="00772C06"/>
    <w:rsid w:val="00772CBB"/>
    <w:rsid w:val="00772D3B"/>
    <w:rsid w:val="00772D71"/>
    <w:rsid w:val="00772E56"/>
    <w:rsid w:val="00772EDE"/>
    <w:rsid w:val="00772FAA"/>
    <w:rsid w:val="00773003"/>
    <w:rsid w:val="0077308A"/>
    <w:rsid w:val="007730CC"/>
    <w:rsid w:val="007730CE"/>
    <w:rsid w:val="007731DC"/>
    <w:rsid w:val="00773202"/>
    <w:rsid w:val="00773208"/>
    <w:rsid w:val="0077326B"/>
    <w:rsid w:val="007732F4"/>
    <w:rsid w:val="00773300"/>
    <w:rsid w:val="00773461"/>
    <w:rsid w:val="007734DD"/>
    <w:rsid w:val="007734E2"/>
    <w:rsid w:val="007735A3"/>
    <w:rsid w:val="00773611"/>
    <w:rsid w:val="00773667"/>
    <w:rsid w:val="007736D0"/>
    <w:rsid w:val="0077381C"/>
    <w:rsid w:val="00773877"/>
    <w:rsid w:val="00773890"/>
    <w:rsid w:val="00773894"/>
    <w:rsid w:val="00773995"/>
    <w:rsid w:val="007739DD"/>
    <w:rsid w:val="00773A48"/>
    <w:rsid w:val="00773C66"/>
    <w:rsid w:val="00773CC2"/>
    <w:rsid w:val="00773E9C"/>
    <w:rsid w:val="00773ED7"/>
    <w:rsid w:val="00773F5C"/>
    <w:rsid w:val="00773FD0"/>
    <w:rsid w:val="00774006"/>
    <w:rsid w:val="007741C8"/>
    <w:rsid w:val="0077420C"/>
    <w:rsid w:val="00774260"/>
    <w:rsid w:val="007743BE"/>
    <w:rsid w:val="0077444B"/>
    <w:rsid w:val="00774487"/>
    <w:rsid w:val="00774495"/>
    <w:rsid w:val="00774497"/>
    <w:rsid w:val="007744B8"/>
    <w:rsid w:val="007744DD"/>
    <w:rsid w:val="00774559"/>
    <w:rsid w:val="0077467E"/>
    <w:rsid w:val="007746E4"/>
    <w:rsid w:val="007746F8"/>
    <w:rsid w:val="0077472F"/>
    <w:rsid w:val="007747F2"/>
    <w:rsid w:val="0077483C"/>
    <w:rsid w:val="007749FA"/>
    <w:rsid w:val="00774A0E"/>
    <w:rsid w:val="00774AC0"/>
    <w:rsid w:val="00774B46"/>
    <w:rsid w:val="00774BDF"/>
    <w:rsid w:val="00774C4A"/>
    <w:rsid w:val="00774D9D"/>
    <w:rsid w:val="00774DAA"/>
    <w:rsid w:val="00774E83"/>
    <w:rsid w:val="00774FF1"/>
    <w:rsid w:val="00774FFD"/>
    <w:rsid w:val="007750A7"/>
    <w:rsid w:val="007750F3"/>
    <w:rsid w:val="007750FD"/>
    <w:rsid w:val="00775203"/>
    <w:rsid w:val="00775237"/>
    <w:rsid w:val="00775305"/>
    <w:rsid w:val="0077538E"/>
    <w:rsid w:val="00775588"/>
    <w:rsid w:val="007755CD"/>
    <w:rsid w:val="00775668"/>
    <w:rsid w:val="007756A8"/>
    <w:rsid w:val="007756F0"/>
    <w:rsid w:val="0077575D"/>
    <w:rsid w:val="00775855"/>
    <w:rsid w:val="00775967"/>
    <w:rsid w:val="00775979"/>
    <w:rsid w:val="007759CB"/>
    <w:rsid w:val="007759DC"/>
    <w:rsid w:val="007759FD"/>
    <w:rsid w:val="00775A29"/>
    <w:rsid w:val="00775A6B"/>
    <w:rsid w:val="00775A99"/>
    <w:rsid w:val="00775B96"/>
    <w:rsid w:val="00775BD2"/>
    <w:rsid w:val="00775C66"/>
    <w:rsid w:val="00775D7C"/>
    <w:rsid w:val="00775DD8"/>
    <w:rsid w:val="00775DEC"/>
    <w:rsid w:val="00775E46"/>
    <w:rsid w:val="00775E4D"/>
    <w:rsid w:val="00775EFB"/>
    <w:rsid w:val="00776035"/>
    <w:rsid w:val="007760BB"/>
    <w:rsid w:val="00776199"/>
    <w:rsid w:val="0077619D"/>
    <w:rsid w:val="007761CD"/>
    <w:rsid w:val="0077626D"/>
    <w:rsid w:val="0077630F"/>
    <w:rsid w:val="00776356"/>
    <w:rsid w:val="00776424"/>
    <w:rsid w:val="00776543"/>
    <w:rsid w:val="00776545"/>
    <w:rsid w:val="00776580"/>
    <w:rsid w:val="00776582"/>
    <w:rsid w:val="007766E0"/>
    <w:rsid w:val="007766F9"/>
    <w:rsid w:val="00776707"/>
    <w:rsid w:val="00776739"/>
    <w:rsid w:val="00776926"/>
    <w:rsid w:val="0077692A"/>
    <w:rsid w:val="0077696E"/>
    <w:rsid w:val="00776A82"/>
    <w:rsid w:val="00776BEB"/>
    <w:rsid w:val="00776C37"/>
    <w:rsid w:val="00776D7B"/>
    <w:rsid w:val="00776E05"/>
    <w:rsid w:val="00777033"/>
    <w:rsid w:val="007770C5"/>
    <w:rsid w:val="007770FB"/>
    <w:rsid w:val="00777194"/>
    <w:rsid w:val="0077724D"/>
    <w:rsid w:val="007773F5"/>
    <w:rsid w:val="00777490"/>
    <w:rsid w:val="00777492"/>
    <w:rsid w:val="0077757F"/>
    <w:rsid w:val="00777587"/>
    <w:rsid w:val="007775CC"/>
    <w:rsid w:val="0077762C"/>
    <w:rsid w:val="0077767A"/>
    <w:rsid w:val="007776D7"/>
    <w:rsid w:val="00777784"/>
    <w:rsid w:val="007777B2"/>
    <w:rsid w:val="007778DF"/>
    <w:rsid w:val="00777904"/>
    <w:rsid w:val="00777B52"/>
    <w:rsid w:val="00777BF2"/>
    <w:rsid w:val="00777C5F"/>
    <w:rsid w:val="00777C79"/>
    <w:rsid w:val="00777CBC"/>
    <w:rsid w:val="00777CD2"/>
    <w:rsid w:val="00777F90"/>
    <w:rsid w:val="00777FA8"/>
    <w:rsid w:val="00777FCB"/>
    <w:rsid w:val="007800C9"/>
    <w:rsid w:val="0078014B"/>
    <w:rsid w:val="00780160"/>
    <w:rsid w:val="00780164"/>
    <w:rsid w:val="007801F1"/>
    <w:rsid w:val="0078027B"/>
    <w:rsid w:val="0078029C"/>
    <w:rsid w:val="00780372"/>
    <w:rsid w:val="007803F9"/>
    <w:rsid w:val="00780426"/>
    <w:rsid w:val="00780479"/>
    <w:rsid w:val="00780497"/>
    <w:rsid w:val="0078056C"/>
    <w:rsid w:val="007805D7"/>
    <w:rsid w:val="00780682"/>
    <w:rsid w:val="007806B9"/>
    <w:rsid w:val="007806DD"/>
    <w:rsid w:val="007806F1"/>
    <w:rsid w:val="007807D9"/>
    <w:rsid w:val="007809E7"/>
    <w:rsid w:val="00780A7B"/>
    <w:rsid w:val="00780A86"/>
    <w:rsid w:val="00780B00"/>
    <w:rsid w:val="00780B6E"/>
    <w:rsid w:val="00780D98"/>
    <w:rsid w:val="00780E02"/>
    <w:rsid w:val="00780E8D"/>
    <w:rsid w:val="00780EA1"/>
    <w:rsid w:val="00780F4A"/>
    <w:rsid w:val="00780FDD"/>
    <w:rsid w:val="00780FE5"/>
    <w:rsid w:val="00781020"/>
    <w:rsid w:val="007810AE"/>
    <w:rsid w:val="007810C0"/>
    <w:rsid w:val="007810CA"/>
    <w:rsid w:val="0078129E"/>
    <w:rsid w:val="007812D8"/>
    <w:rsid w:val="0078130B"/>
    <w:rsid w:val="0078132A"/>
    <w:rsid w:val="007813A0"/>
    <w:rsid w:val="00781570"/>
    <w:rsid w:val="007816EE"/>
    <w:rsid w:val="00781751"/>
    <w:rsid w:val="007817C6"/>
    <w:rsid w:val="007817DB"/>
    <w:rsid w:val="0078181E"/>
    <w:rsid w:val="007818BC"/>
    <w:rsid w:val="007819B1"/>
    <w:rsid w:val="007819D2"/>
    <w:rsid w:val="00781B04"/>
    <w:rsid w:val="00781B48"/>
    <w:rsid w:val="00781CA5"/>
    <w:rsid w:val="00781D8E"/>
    <w:rsid w:val="00781DA0"/>
    <w:rsid w:val="0078222F"/>
    <w:rsid w:val="00782323"/>
    <w:rsid w:val="0078236B"/>
    <w:rsid w:val="00782410"/>
    <w:rsid w:val="007825EB"/>
    <w:rsid w:val="00782718"/>
    <w:rsid w:val="00782723"/>
    <w:rsid w:val="00782780"/>
    <w:rsid w:val="0078279F"/>
    <w:rsid w:val="007827F7"/>
    <w:rsid w:val="007828F8"/>
    <w:rsid w:val="007828FE"/>
    <w:rsid w:val="00782977"/>
    <w:rsid w:val="00782A39"/>
    <w:rsid w:val="00782A71"/>
    <w:rsid w:val="00782B46"/>
    <w:rsid w:val="00782BB2"/>
    <w:rsid w:val="00782C2F"/>
    <w:rsid w:val="00782C35"/>
    <w:rsid w:val="00782CAB"/>
    <w:rsid w:val="00782CFA"/>
    <w:rsid w:val="00782D49"/>
    <w:rsid w:val="00782D7F"/>
    <w:rsid w:val="00782EEB"/>
    <w:rsid w:val="00782EFF"/>
    <w:rsid w:val="00783105"/>
    <w:rsid w:val="00783157"/>
    <w:rsid w:val="0078317D"/>
    <w:rsid w:val="007831B7"/>
    <w:rsid w:val="00783219"/>
    <w:rsid w:val="007832EF"/>
    <w:rsid w:val="0078339C"/>
    <w:rsid w:val="007834C5"/>
    <w:rsid w:val="00783561"/>
    <w:rsid w:val="007835B1"/>
    <w:rsid w:val="007836BD"/>
    <w:rsid w:val="007836EA"/>
    <w:rsid w:val="00783716"/>
    <w:rsid w:val="00783747"/>
    <w:rsid w:val="0078378F"/>
    <w:rsid w:val="007837A5"/>
    <w:rsid w:val="007837BD"/>
    <w:rsid w:val="007837D2"/>
    <w:rsid w:val="00783825"/>
    <w:rsid w:val="0078392D"/>
    <w:rsid w:val="00783967"/>
    <w:rsid w:val="007839DC"/>
    <w:rsid w:val="007839E5"/>
    <w:rsid w:val="00783BA2"/>
    <w:rsid w:val="00783D54"/>
    <w:rsid w:val="00783DD8"/>
    <w:rsid w:val="00783E5D"/>
    <w:rsid w:val="00783F27"/>
    <w:rsid w:val="00783F51"/>
    <w:rsid w:val="00783FA7"/>
    <w:rsid w:val="00783FC0"/>
    <w:rsid w:val="00783FF1"/>
    <w:rsid w:val="00784082"/>
    <w:rsid w:val="007840E3"/>
    <w:rsid w:val="007840F0"/>
    <w:rsid w:val="007841A9"/>
    <w:rsid w:val="007841E7"/>
    <w:rsid w:val="00784237"/>
    <w:rsid w:val="00784316"/>
    <w:rsid w:val="007843B9"/>
    <w:rsid w:val="007843D8"/>
    <w:rsid w:val="0078451A"/>
    <w:rsid w:val="00784563"/>
    <w:rsid w:val="0078459A"/>
    <w:rsid w:val="007845FD"/>
    <w:rsid w:val="0078461A"/>
    <w:rsid w:val="00784644"/>
    <w:rsid w:val="0078472D"/>
    <w:rsid w:val="007847FB"/>
    <w:rsid w:val="00784810"/>
    <w:rsid w:val="0078485E"/>
    <w:rsid w:val="007849DD"/>
    <w:rsid w:val="00784AE4"/>
    <w:rsid w:val="00784AFC"/>
    <w:rsid w:val="00784C24"/>
    <w:rsid w:val="00784C80"/>
    <w:rsid w:val="00784D17"/>
    <w:rsid w:val="00784DD3"/>
    <w:rsid w:val="00784DD6"/>
    <w:rsid w:val="00784E0C"/>
    <w:rsid w:val="00784E3A"/>
    <w:rsid w:val="00784E84"/>
    <w:rsid w:val="00784F3C"/>
    <w:rsid w:val="00784F77"/>
    <w:rsid w:val="00784F8D"/>
    <w:rsid w:val="00784FA2"/>
    <w:rsid w:val="0078530D"/>
    <w:rsid w:val="00785321"/>
    <w:rsid w:val="007853B0"/>
    <w:rsid w:val="0078543A"/>
    <w:rsid w:val="0078551F"/>
    <w:rsid w:val="00785715"/>
    <w:rsid w:val="0078574C"/>
    <w:rsid w:val="00785778"/>
    <w:rsid w:val="007857DC"/>
    <w:rsid w:val="0078592C"/>
    <w:rsid w:val="00785955"/>
    <w:rsid w:val="00785958"/>
    <w:rsid w:val="0078596B"/>
    <w:rsid w:val="00785A0E"/>
    <w:rsid w:val="00785B7F"/>
    <w:rsid w:val="00785B93"/>
    <w:rsid w:val="00785BA9"/>
    <w:rsid w:val="00785C1A"/>
    <w:rsid w:val="00785C41"/>
    <w:rsid w:val="00785C60"/>
    <w:rsid w:val="00785D57"/>
    <w:rsid w:val="00785E18"/>
    <w:rsid w:val="00785E90"/>
    <w:rsid w:val="00785EAC"/>
    <w:rsid w:val="00785F80"/>
    <w:rsid w:val="00785FFD"/>
    <w:rsid w:val="007862C3"/>
    <w:rsid w:val="00786424"/>
    <w:rsid w:val="00786523"/>
    <w:rsid w:val="00786539"/>
    <w:rsid w:val="00786568"/>
    <w:rsid w:val="00786641"/>
    <w:rsid w:val="007866AE"/>
    <w:rsid w:val="007867A6"/>
    <w:rsid w:val="007867CC"/>
    <w:rsid w:val="007867FA"/>
    <w:rsid w:val="007868A5"/>
    <w:rsid w:val="00786959"/>
    <w:rsid w:val="007869D7"/>
    <w:rsid w:val="00786BD9"/>
    <w:rsid w:val="00786C7B"/>
    <w:rsid w:val="00786DAC"/>
    <w:rsid w:val="00786DD4"/>
    <w:rsid w:val="00786E80"/>
    <w:rsid w:val="00786EB1"/>
    <w:rsid w:val="00786F46"/>
    <w:rsid w:val="00786F5C"/>
    <w:rsid w:val="00786FB4"/>
    <w:rsid w:val="00787005"/>
    <w:rsid w:val="00787149"/>
    <w:rsid w:val="00787214"/>
    <w:rsid w:val="00787236"/>
    <w:rsid w:val="007872A5"/>
    <w:rsid w:val="0078731C"/>
    <w:rsid w:val="007873E7"/>
    <w:rsid w:val="007873EB"/>
    <w:rsid w:val="007873F2"/>
    <w:rsid w:val="0078752C"/>
    <w:rsid w:val="007875B3"/>
    <w:rsid w:val="0078761C"/>
    <w:rsid w:val="00787624"/>
    <w:rsid w:val="00787667"/>
    <w:rsid w:val="007876FB"/>
    <w:rsid w:val="0078774A"/>
    <w:rsid w:val="007877EE"/>
    <w:rsid w:val="0078782B"/>
    <w:rsid w:val="0078789A"/>
    <w:rsid w:val="0078790A"/>
    <w:rsid w:val="0078798E"/>
    <w:rsid w:val="007879E9"/>
    <w:rsid w:val="00787A2D"/>
    <w:rsid w:val="00787A2E"/>
    <w:rsid w:val="00787B0A"/>
    <w:rsid w:val="00787BB6"/>
    <w:rsid w:val="00787D77"/>
    <w:rsid w:val="00787E9A"/>
    <w:rsid w:val="00787F43"/>
    <w:rsid w:val="007900E2"/>
    <w:rsid w:val="00790102"/>
    <w:rsid w:val="00790259"/>
    <w:rsid w:val="00790269"/>
    <w:rsid w:val="0079032C"/>
    <w:rsid w:val="007903A7"/>
    <w:rsid w:val="007903FC"/>
    <w:rsid w:val="0079046B"/>
    <w:rsid w:val="007904BE"/>
    <w:rsid w:val="007904F8"/>
    <w:rsid w:val="00790681"/>
    <w:rsid w:val="007907B0"/>
    <w:rsid w:val="007907B2"/>
    <w:rsid w:val="007907C0"/>
    <w:rsid w:val="00790865"/>
    <w:rsid w:val="00790883"/>
    <w:rsid w:val="007908B8"/>
    <w:rsid w:val="00790ABC"/>
    <w:rsid w:val="00790ABD"/>
    <w:rsid w:val="00790B07"/>
    <w:rsid w:val="00790B17"/>
    <w:rsid w:val="00790CDD"/>
    <w:rsid w:val="00790D5D"/>
    <w:rsid w:val="00790D6D"/>
    <w:rsid w:val="00790FF3"/>
    <w:rsid w:val="00791000"/>
    <w:rsid w:val="007911CB"/>
    <w:rsid w:val="007911FC"/>
    <w:rsid w:val="00791246"/>
    <w:rsid w:val="00791368"/>
    <w:rsid w:val="00791374"/>
    <w:rsid w:val="007914D7"/>
    <w:rsid w:val="007915B2"/>
    <w:rsid w:val="0079162D"/>
    <w:rsid w:val="007916EC"/>
    <w:rsid w:val="007917C3"/>
    <w:rsid w:val="007917E5"/>
    <w:rsid w:val="00791928"/>
    <w:rsid w:val="0079193D"/>
    <w:rsid w:val="007919AE"/>
    <w:rsid w:val="00791A53"/>
    <w:rsid w:val="00791AAF"/>
    <w:rsid w:val="00791B58"/>
    <w:rsid w:val="00791C53"/>
    <w:rsid w:val="00791C6C"/>
    <w:rsid w:val="00791D46"/>
    <w:rsid w:val="00791D74"/>
    <w:rsid w:val="00791D83"/>
    <w:rsid w:val="00791DA3"/>
    <w:rsid w:val="00791E36"/>
    <w:rsid w:val="00791E3B"/>
    <w:rsid w:val="00791EA3"/>
    <w:rsid w:val="00792185"/>
    <w:rsid w:val="007921B4"/>
    <w:rsid w:val="0079245E"/>
    <w:rsid w:val="0079249B"/>
    <w:rsid w:val="0079249E"/>
    <w:rsid w:val="00792619"/>
    <w:rsid w:val="007927E2"/>
    <w:rsid w:val="007927F1"/>
    <w:rsid w:val="0079280F"/>
    <w:rsid w:val="007928BB"/>
    <w:rsid w:val="007928F7"/>
    <w:rsid w:val="00792A58"/>
    <w:rsid w:val="00792A8E"/>
    <w:rsid w:val="00792B15"/>
    <w:rsid w:val="00792B31"/>
    <w:rsid w:val="00792C95"/>
    <w:rsid w:val="00792D17"/>
    <w:rsid w:val="00792D23"/>
    <w:rsid w:val="00792D69"/>
    <w:rsid w:val="00792DD5"/>
    <w:rsid w:val="00792DF0"/>
    <w:rsid w:val="00792ECD"/>
    <w:rsid w:val="00792F88"/>
    <w:rsid w:val="00792FC7"/>
    <w:rsid w:val="00792FDD"/>
    <w:rsid w:val="00793089"/>
    <w:rsid w:val="00793219"/>
    <w:rsid w:val="007933D2"/>
    <w:rsid w:val="007933FB"/>
    <w:rsid w:val="00793404"/>
    <w:rsid w:val="0079340F"/>
    <w:rsid w:val="00793445"/>
    <w:rsid w:val="007935F8"/>
    <w:rsid w:val="0079360F"/>
    <w:rsid w:val="00793673"/>
    <w:rsid w:val="0079367B"/>
    <w:rsid w:val="00793743"/>
    <w:rsid w:val="007939A9"/>
    <w:rsid w:val="007939D8"/>
    <w:rsid w:val="00793A00"/>
    <w:rsid w:val="00793C1F"/>
    <w:rsid w:val="00793C66"/>
    <w:rsid w:val="00793CA3"/>
    <w:rsid w:val="00793D2D"/>
    <w:rsid w:val="00793DAE"/>
    <w:rsid w:val="00793EAB"/>
    <w:rsid w:val="00793EC7"/>
    <w:rsid w:val="00793FA7"/>
    <w:rsid w:val="00793FCB"/>
    <w:rsid w:val="00794260"/>
    <w:rsid w:val="007942A2"/>
    <w:rsid w:val="0079430F"/>
    <w:rsid w:val="007943C8"/>
    <w:rsid w:val="007943F6"/>
    <w:rsid w:val="00794440"/>
    <w:rsid w:val="00794628"/>
    <w:rsid w:val="0079467A"/>
    <w:rsid w:val="0079468B"/>
    <w:rsid w:val="007946FD"/>
    <w:rsid w:val="007947C1"/>
    <w:rsid w:val="00794838"/>
    <w:rsid w:val="00794875"/>
    <w:rsid w:val="00794A33"/>
    <w:rsid w:val="00794B49"/>
    <w:rsid w:val="00794C26"/>
    <w:rsid w:val="00794CDA"/>
    <w:rsid w:val="00794D02"/>
    <w:rsid w:val="00794D2F"/>
    <w:rsid w:val="00794D74"/>
    <w:rsid w:val="00794D8D"/>
    <w:rsid w:val="00794DD5"/>
    <w:rsid w:val="00794E2A"/>
    <w:rsid w:val="00794EE2"/>
    <w:rsid w:val="00794EFC"/>
    <w:rsid w:val="00794FF1"/>
    <w:rsid w:val="00795046"/>
    <w:rsid w:val="007950A7"/>
    <w:rsid w:val="007950CB"/>
    <w:rsid w:val="00795212"/>
    <w:rsid w:val="00795216"/>
    <w:rsid w:val="00795233"/>
    <w:rsid w:val="00795279"/>
    <w:rsid w:val="007952D5"/>
    <w:rsid w:val="007952E1"/>
    <w:rsid w:val="00795313"/>
    <w:rsid w:val="007953D4"/>
    <w:rsid w:val="0079541D"/>
    <w:rsid w:val="0079547F"/>
    <w:rsid w:val="00795568"/>
    <w:rsid w:val="0079579D"/>
    <w:rsid w:val="00795830"/>
    <w:rsid w:val="00795849"/>
    <w:rsid w:val="007958F5"/>
    <w:rsid w:val="007959A7"/>
    <w:rsid w:val="00795A5F"/>
    <w:rsid w:val="00795ADD"/>
    <w:rsid w:val="00795B1E"/>
    <w:rsid w:val="00795C3A"/>
    <w:rsid w:val="00795CCA"/>
    <w:rsid w:val="00795D30"/>
    <w:rsid w:val="00795D72"/>
    <w:rsid w:val="00795D94"/>
    <w:rsid w:val="00795FE1"/>
    <w:rsid w:val="00796026"/>
    <w:rsid w:val="00796159"/>
    <w:rsid w:val="00796172"/>
    <w:rsid w:val="00796175"/>
    <w:rsid w:val="00796176"/>
    <w:rsid w:val="00796287"/>
    <w:rsid w:val="00796288"/>
    <w:rsid w:val="007962CE"/>
    <w:rsid w:val="00796305"/>
    <w:rsid w:val="007963C3"/>
    <w:rsid w:val="007963C8"/>
    <w:rsid w:val="007963F3"/>
    <w:rsid w:val="00796455"/>
    <w:rsid w:val="0079648B"/>
    <w:rsid w:val="00796538"/>
    <w:rsid w:val="007965C1"/>
    <w:rsid w:val="007965D6"/>
    <w:rsid w:val="007965E9"/>
    <w:rsid w:val="0079669E"/>
    <w:rsid w:val="00796709"/>
    <w:rsid w:val="007967A0"/>
    <w:rsid w:val="007967CA"/>
    <w:rsid w:val="0079694F"/>
    <w:rsid w:val="00796A74"/>
    <w:rsid w:val="00796ADA"/>
    <w:rsid w:val="00796B78"/>
    <w:rsid w:val="00796C7E"/>
    <w:rsid w:val="00796CEC"/>
    <w:rsid w:val="00796DE0"/>
    <w:rsid w:val="00796F5D"/>
    <w:rsid w:val="00796FC0"/>
    <w:rsid w:val="0079705F"/>
    <w:rsid w:val="00797079"/>
    <w:rsid w:val="00797095"/>
    <w:rsid w:val="007970EA"/>
    <w:rsid w:val="00797108"/>
    <w:rsid w:val="00797243"/>
    <w:rsid w:val="007972C9"/>
    <w:rsid w:val="00797382"/>
    <w:rsid w:val="0079750B"/>
    <w:rsid w:val="007975C6"/>
    <w:rsid w:val="007976BA"/>
    <w:rsid w:val="00797716"/>
    <w:rsid w:val="007978F6"/>
    <w:rsid w:val="00797A32"/>
    <w:rsid w:val="00797AF6"/>
    <w:rsid w:val="00797B9B"/>
    <w:rsid w:val="00797C54"/>
    <w:rsid w:val="00797CDA"/>
    <w:rsid w:val="00797D29"/>
    <w:rsid w:val="00797D7F"/>
    <w:rsid w:val="00797FB6"/>
    <w:rsid w:val="007A0043"/>
    <w:rsid w:val="007A0046"/>
    <w:rsid w:val="007A0056"/>
    <w:rsid w:val="007A01F9"/>
    <w:rsid w:val="007A02B2"/>
    <w:rsid w:val="007A02B7"/>
    <w:rsid w:val="007A02C4"/>
    <w:rsid w:val="007A04A1"/>
    <w:rsid w:val="007A0576"/>
    <w:rsid w:val="007A0605"/>
    <w:rsid w:val="007A061F"/>
    <w:rsid w:val="007A0722"/>
    <w:rsid w:val="007A0768"/>
    <w:rsid w:val="007A0770"/>
    <w:rsid w:val="007A07C5"/>
    <w:rsid w:val="007A07CD"/>
    <w:rsid w:val="007A089F"/>
    <w:rsid w:val="007A0917"/>
    <w:rsid w:val="007A091C"/>
    <w:rsid w:val="007A0B19"/>
    <w:rsid w:val="007A0B5B"/>
    <w:rsid w:val="007A0C2F"/>
    <w:rsid w:val="007A0C83"/>
    <w:rsid w:val="007A0EBA"/>
    <w:rsid w:val="007A0EE6"/>
    <w:rsid w:val="007A0EED"/>
    <w:rsid w:val="007A1099"/>
    <w:rsid w:val="007A1171"/>
    <w:rsid w:val="007A1234"/>
    <w:rsid w:val="007A1396"/>
    <w:rsid w:val="007A16D2"/>
    <w:rsid w:val="007A171A"/>
    <w:rsid w:val="007A1720"/>
    <w:rsid w:val="007A17A6"/>
    <w:rsid w:val="007A180B"/>
    <w:rsid w:val="007A18B3"/>
    <w:rsid w:val="007A195A"/>
    <w:rsid w:val="007A1962"/>
    <w:rsid w:val="007A1BF2"/>
    <w:rsid w:val="007A1C97"/>
    <w:rsid w:val="007A1D5E"/>
    <w:rsid w:val="007A1FFD"/>
    <w:rsid w:val="007A2019"/>
    <w:rsid w:val="007A215F"/>
    <w:rsid w:val="007A22B9"/>
    <w:rsid w:val="007A22EA"/>
    <w:rsid w:val="007A2331"/>
    <w:rsid w:val="007A23EA"/>
    <w:rsid w:val="007A242F"/>
    <w:rsid w:val="007A244A"/>
    <w:rsid w:val="007A24EA"/>
    <w:rsid w:val="007A24EF"/>
    <w:rsid w:val="007A2546"/>
    <w:rsid w:val="007A25C4"/>
    <w:rsid w:val="007A25E7"/>
    <w:rsid w:val="007A2605"/>
    <w:rsid w:val="007A270F"/>
    <w:rsid w:val="007A2757"/>
    <w:rsid w:val="007A27CC"/>
    <w:rsid w:val="007A2867"/>
    <w:rsid w:val="007A2887"/>
    <w:rsid w:val="007A296F"/>
    <w:rsid w:val="007A29F7"/>
    <w:rsid w:val="007A2B21"/>
    <w:rsid w:val="007A2B80"/>
    <w:rsid w:val="007A2BE9"/>
    <w:rsid w:val="007A2D6E"/>
    <w:rsid w:val="007A2D7F"/>
    <w:rsid w:val="007A2E26"/>
    <w:rsid w:val="007A2E5D"/>
    <w:rsid w:val="007A2F72"/>
    <w:rsid w:val="007A2F99"/>
    <w:rsid w:val="007A305D"/>
    <w:rsid w:val="007A30FB"/>
    <w:rsid w:val="007A3106"/>
    <w:rsid w:val="007A317D"/>
    <w:rsid w:val="007A31AF"/>
    <w:rsid w:val="007A31B0"/>
    <w:rsid w:val="007A3222"/>
    <w:rsid w:val="007A330F"/>
    <w:rsid w:val="007A3356"/>
    <w:rsid w:val="007A3406"/>
    <w:rsid w:val="007A3549"/>
    <w:rsid w:val="007A3630"/>
    <w:rsid w:val="007A3728"/>
    <w:rsid w:val="007A3777"/>
    <w:rsid w:val="007A37D6"/>
    <w:rsid w:val="007A382C"/>
    <w:rsid w:val="007A3858"/>
    <w:rsid w:val="007A385C"/>
    <w:rsid w:val="007A38E5"/>
    <w:rsid w:val="007A3912"/>
    <w:rsid w:val="007A3918"/>
    <w:rsid w:val="007A39C4"/>
    <w:rsid w:val="007A3B08"/>
    <w:rsid w:val="007A3B4C"/>
    <w:rsid w:val="007A3BAB"/>
    <w:rsid w:val="007A3BF9"/>
    <w:rsid w:val="007A3E2B"/>
    <w:rsid w:val="007A3F72"/>
    <w:rsid w:val="007A405C"/>
    <w:rsid w:val="007A408E"/>
    <w:rsid w:val="007A41BC"/>
    <w:rsid w:val="007A41E3"/>
    <w:rsid w:val="007A41E8"/>
    <w:rsid w:val="007A4238"/>
    <w:rsid w:val="007A43A5"/>
    <w:rsid w:val="007A43E3"/>
    <w:rsid w:val="007A4404"/>
    <w:rsid w:val="007A44FA"/>
    <w:rsid w:val="007A4582"/>
    <w:rsid w:val="007A465C"/>
    <w:rsid w:val="007A47A3"/>
    <w:rsid w:val="007A4873"/>
    <w:rsid w:val="007A4879"/>
    <w:rsid w:val="007A4AA0"/>
    <w:rsid w:val="007A4BEA"/>
    <w:rsid w:val="007A4D3C"/>
    <w:rsid w:val="007A4E4D"/>
    <w:rsid w:val="007A4FFF"/>
    <w:rsid w:val="007A501F"/>
    <w:rsid w:val="007A517A"/>
    <w:rsid w:val="007A5236"/>
    <w:rsid w:val="007A53DA"/>
    <w:rsid w:val="007A53E0"/>
    <w:rsid w:val="007A559B"/>
    <w:rsid w:val="007A55F9"/>
    <w:rsid w:val="007A5657"/>
    <w:rsid w:val="007A57C7"/>
    <w:rsid w:val="007A5AD8"/>
    <w:rsid w:val="007A5B54"/>
    <w:rsid w:val="007A5B7A"/>
    <w:rsid w:val="007A5BC7"/>
    <w:rsid w:val="007A5C01"/>
    <w:rsid w:val="007A5CFE"/>
    <w:rsid w:val="007A5D3F"/>
    <w:rsid w:val="007A5E38"/>
    <w:rsid w:val="007A5F19"/>
    <w:rsid w:val="007A5F59"/>
    <w:rsid w:val="007A5F8D"/>
    <w:rsid w:val="007A602E"/>
    <w:rsid w:val="007A60AA"/>
    <w:rsid w:val="007A60D0"/>
    <w:rsid w:val="007A60D9"/>
    <w:rsid w:val="007A6205"/>
    <w:rsid w:val="007A6281"/>
    <w:rsid w:val="007A6380"/>
    <w:rsid w:val="007A63D9"/>
    <w:rsid w:val="007A63DB"/>
    <w:rsid w:val="007A6646"/>
    <w:rsid w:val="007A66D0"/>
    <w:rsid w:val="007A670A"/>
    <w:rsid w:val="007A6715"/>
    <w:rsid w:val="007A67A3"/>
    <w:rsid w:val="007A682E"/>
    <w:rsid w:val="007A684E"/>
    <w:rsid w:val="007A689A"/>
    <w:rsid w:val="007A6971"/>
    <w:rsid w:val="007A69CF"/>
    <w:rsid w:val="007A6CE9"/>
    <w:rsid w:val="007A6D28"/>
    <w:rsid w:val="007A6D99"/>
    <w:rsid w:val="007A6ED5"/>
    <w:rsid w:val="007A6F56"/>
    <w:rsid w:val="007A6FC8"/>
    <w:rsid w:val="007A70BE"/>
    <w:rsid w:val="007A70C3"/>
    <w:rsid w:val="007A70FA"/>
    <w:rsid w:val="007A7171"/>
    <w:rsid w:val="007A717C"/>
    <w:rsid w:val="007A718E"/>
    <w:rsid w:val="007A7294"/>
    <w:rsid w:val="007A72CC"/>
    <w:rsid w:val="007A72CF"/>
    <w:rsid w:val="007A7405"/>
    <w:rsid w:val="007A75A0"/>
    <w:rsid w:val="007A75BC"/>
    <w:rsid w:val="007A75E8"/>
    <w:rsid w:val="007A75F2"/>
    <w:rsid w:val="007A76D2"/>
    <w:rsid w:val="007A76E5"/>
    <w:rsid w:val="007A7717"/>
    <w:rsid w:val="007A77A4"/>
    <w:rsid w:val="007A7922"/>
    <w:rsid w:val="007A792D"/>
    <w:rsid w:val="007A7A16"/>
    <w:rsid w:val="007A7A2D"/>
    <w:rsid w:val="007A7A8A"/>
    <w:rsid w:val="007A7AE0"/>
    <w:rsid w:val="007A7D3E"/>
    <w:rsid w:val="007A7E3F"/>
    <w:rsid w:val="007A7EB8"/>
    <w:rsid w:val="007A7F0D"/>
    <w:rsid w:val="007A7F6E"/>
    <w:rsid w:val="007A7FED"/>
    <w:rsid w:val="007B00EE"/>
    <w:rsid w:val="007B0121"/>
    <w:rsid w:val="007B018E"/>
    <w:rsid w:val="007B0295"/>
    <w:rsid w:val="007B0319"/>
    <w:rsid w:val="007B0387"/>
    <w:rsid w:val="007B03B3"/>
    <w:rsid w:val="007B03F7"/>
    <w:rsid w:val="007B043C"/>
    <w:rsid w:val="007B0485"/>
    <w:rsid w:val="007B04A0"/>
    <w:rsid w:val="007B0526"/>
    <w:rsid w:val="007B05F0"/>
    <w:rsid w:val="007B0861"/>
    <w:rsid w:val="007B09E8"/>
    <w:rsid w:val="007B0B25"/>
    <w:rsid w:val="007B0C0D"/>
    <w:rsid w:val="007B0C32"/>
    <w:rsid w:val="007B0C37"/>
    <w:rsid w:val="007B0C99"/>
    <w:rsid w:val="007B0D33"/>
    <w:rsid w:val="007B0D61"/>
    <w:rsid w:val="007B0E03"/>
    <w:rsid w:val="007B0E0A"/>
    <w:rsid w:val="007B0E7A"/>
    <w:rsid w:val="007B0E97"/>
    <w:rsid w:val="007B0F56"/>
    <w:rsid w:val="007B0FAE"/>
    <w:rsid w:val="007B0FB8"/>
    <w:rsid w:val="007B1003"/>
    <w:rsid w:val="007B10E2"/>
    <w:rsid w:val="007B110E"/>
    <w:rsid w:val="007B122B"/>
    <w:rsid w:val="007B12FC"/>
    <w:rsid w:val="007B1321"/>
    <w:rsid w:val="007B14B2"/>
    <w:rsid w:val="007B156E"/>
    <w:rsid w:val="007B15A2"/>
    <w:rsid w:val="007B1695"/>
    <w:rsid w:val="007B178E"/>
    <w:rsid w:val="007B17A7"/>
    <w:rsid w:val="007B1873"/>
    <w:rsid w:val="007B187B"/>
    <w:rsid w:val="007B196E"/>
    <w:rsid w:val="007B1A87"/>
    <w:rsid w:val="007B1A9C"/>
    <w:rsid w:val="007B1ADA"/>
    <w:rsid w:val="007B1AE5"/>
    <w:rsid w:val="007B1BD2"/>
    <w:rsid w:val="007B1BD6"/>
    <w:rsid w:val="007B1C69"/>
    <w:rsid w:val="007B1C6D"/>
    <w:rsid w:val="007B1DA1"/>
    <w:rsid w:val="007B1EBE"/>
    <w:rsid w:val="007B1F62"/>
    <w:rsid w:val="007B1FB8"/>
    <w:rsid w:val="007B2021"/>
    <w:rsid w:val="007B2034"/>
    <w:rsid w:val="007B205A"/>
    <w:rsid w:val="007B20C2"/>
    <w:rsid w:val="007B210C"/>
    <w:rsid w:val="007B216C"/>
    <w:rsid w:val="007B21BA"/>
    <w:rsid w:val="007B2299"/>
    <w:rsid w:val="007B241A"/>
    <w:rsid w:val="007B271B"/>
    <w:rsid w:val="007B273D"/>
    <w:rsid w:val="007B2946"/>
    <w:rsid w:val="007B2987"/>
    <w:rsid w:val="007B2A4D"/>
    <w:rsid w:val="007B2A70"/>
    <w:rsid w:val="007B2B0D"/>
    <w:rsid w:val="007B2B13"/>
    <w:rsid w:val="007B2B96"/>
    <w:rsid w:val="007B2BD7"/>
    <w:rsid w:val="007B2D76"/>
    <w:rsid w:val="007B2D83"/>
    <w:rsid w:val="007B2DE4"/>
    <w:rsid w:val="007B2E54"/>
    <w:rsid w:val="007B3000"/>
    <w:rsid w:val="007B303F"/>
    <w:rsid w:val="007B30D4"/>
    <w:rsid w:val="007B320A"/>
    <w:rsid w:val="007B3212"/>
    <w:rsid w:val="007B32DF"/>
    <w:rsid w:val="007B32EC"/>
    <w:rsid w:val="007B3338"/>
    <w:rsid w:val="007B3358"/>
    <w:rsid w:val="007B341D"/>
    <w:rsid w:val="007B3457"/>
    <w:rsid w:val="007B3461"/>
    <w:rsid w:val="007B3471"/>
    <w:rsid w:val="007B347B"/>
    <w:rsid w:val="007B35BE"/>
    <w:rsid w:val="007B36B2"/>
    <w:rsid w:val="007B36D9"/>
    <w:rsid w:val="007B3837"/>
    <w:rsid w:val="007B3861"/>
    <w:rsid w:val="007B399F"/>
    <w:rsid w:val="007B39A2"/>
    <w:rsid w:val="007B39E4"/>
    <w:rsid w:val="007B3C8D"/>
    <w:rsid w:val="007B3D94"/>
    <w:rsid w:val="007B3DA4"/>
    <w:rsid w:val="007B3DF6"/>
    <w:rsid w:val="007B3EE1"/>
    <w:rsid w:val="007B3FA7"/>
    <w:rsid w:val="007B3FE4"/>
    <w:rsid w:val="007B41C4"/>
    <w:rsid w:val="007B4346"/>
    <w:rsid w:val="007B4390"/>
    <w:rsid w:val="007B43DF"/>
    <w:rsid w:val="007B444C"/>
    <w:rsid w:val="007B45B7"/>
    <w:rsid w:val="007B4600"/>
    <w:rsid w:val="007B46D5"/>
    <w:rsid w:val="007B46FE"/>
    <w:rsid w:val="007B4718"/>
    <w:rsid w:val="007B47C9"/>
    <w:rsid w:val="007B480A"/>
    <w:rsid w:val="007B487D"/>
    <w:rsid w:val="007B4891"/>
    <w:rsid w:val="007B4916"/>
    <w:rsid w:val="007B4955"/>
    <w:rsid w:val="007B4A18"/>
    <w:rsid w:val="007B4A6E"/>
    <w:rsid w:val="007B4B92"/>
    <w:rsid w:val="007B4BA9"/>
    <w:rsid w:val="007B4D24"/>
    <w:rsid w:val="007B4DC1"/>
    <w:rsid w:val="007B4E66"/>
    <w:rsid w:val="007B4E81"/>
    <w:rsid w:val="007B50FC"/>
    <w:rsid w:val="007B510B"/>
    <w:rsid w:val="007B51C1"/>
    <w:rsid w:val="007B5210"/>
    <w:rsid w:val="007B5231"/>
    <w:rsid w:val="007B535E"/>
    <w:rsid w:val="007B5490"/>
    <w:rsid w:val="007B54BE"/>
    <w:rsid w:val="007B5516"/>
    <w:rsid w:val="007B5584"/>
    <w:rsid w:val="007B55F9"/>
    <w:rsid w:val="007B5682"/>
    <w:rsid w:val="007B5698"/>
    <w:rsid w:val="007B5744"/>
    <w:rsid w:val="007B57F2"/>
    <w:rsid w:val="007B5901"/>
    <w:rsid w:val="007B5975"/>
    <w:rsid w:val="007B59C9"/>
    <w:rsid w:val="007B5A6D"/>
    <w:rsid w:val="007B5BF9"/>
    <w:rsid w:val="007B5CAF"/>
    <w:rsid w:val="007B5E59"/>
    <w:rsid w:val="007B5EB4"/>
    <w:rsid w:val="007B5EE7"/>
    <w:rsid w:val="007B5FDE"/>
    <w:rsid w:val="007B6093"/>
    <w:rsid w:val="007B609B"/>
    <w:rsid w:val="007B6109"/>
    <w:rsid w:val="007B6163"/>
    <w:rsid w:val="007B623E"/>
    <w:rsid w:val="007B62B4"/>
    <w:rsid w:val="007B62EA"/>
    <w:rsid w:val="007B642C"/>
    <w:rsid w:val="007B64FE"/>
    <w:rsid w:val="007B65DA"/>
    <w:rsid w:val="007B65FE"/>
    <w:rsid w:val="007B667C"/>
    <w:rsid w:val="007B66BF"/>
    <w:rsid w:val="007B6728"/>
    <w:rsid w:val="007B6736"/>
    <w:rsid w:val="007B6809"/>
    <w:rsid w:val="007B681C"/>
    <w:rsid w:val="007B69B7"/>
    <w:rsid w:val="007B6A4F"/>
    <w:rsid w:val="007B6B85"/>
    <w:rsid w:val="007B6BDC"/>
    <w:rsid w:val="007B6C1D"/>
    <w:rsid w:val="007B6DC3"/>
    <w:rsid w:val="007B6E17"/>
    <w:rsid w:val="007B6E3A"/>
    <w:rsid w:val="007B6E75"/>
    <w:rsid w:val="007B6E89"/>
    <w:rsid w:val="007B6EB0"/>
    <w:rsid w:val="007B6F4E"/>
    <w:rsid w:val="007B7093"/>
    <w:rsid w:val="007B70D4"/>
    <w:rsid w:val="007B70D6"/>
    <w:rsid w:val="007B71FC"/>
    <w:rsid w:val="007B73AF"/>
    <w:rsid w:val="007B7560"/>
    <w:rsid w:val="007B756F"/>
    <w:rsid w:val="007B7647"/>
    <w:rsid w:val="007B77B4"/>
    <w:rsid w:val="007B781E"/>
    <w:rsid w:val="007B78B4"/>
    <w:rsid w:val="007B78EA"/>
    <w:rsid w:val="007B78F3"/>
    <w:rsid w:val="007B7963"/>
    <w:rsid w:val="007B7A4E"/>
    <w:rsid w:val="007B7A87"/>
    <w:rsid w:val="007B7AA5"/>
    <w:rsid w:val="007B7ACB"/>
    <w:rsid w:val="007B7AD1"/>
    <w:rsid w:val="007B7B06"/>
    <w:rsid w:val="007B7C7E"/>
    <w:rsid w:val="007B7CC3"/>
    <w:rsid w:val="007B7D2F"/>
    <w:rsid w:val="007B7DB8"/>
    <w:rsid w:val="007B7DBB"/>
    <w:rsid w:val="007B7EB1"/>
    <w:rsid w:val="007B7EE4"/>
    <w:rsid w:val="007B7FD5"/>
    <w:rsid w:val="007C00E5"/>
    <w:rsid w:val="007C01F8"/>
    <w:rsid w:val="007C03BB"/>
    <w:rsid w:val="007C04FD"/>
    <w:rsid w:val="007C05F3"/>
    <w:rsid w:val="007C0606"/>
    <w:rsid w:val="007C060E"/>
    <w:rsid w:val="007C076F"/>
    <w:rsid w:val="007C0836"/>
    <w:rsid w:val="007C087E"/>
    <w:rsid w:val="007C08C7"/>
    <w:rsid w:val="007C08CA"/>
    <w:rsid w:val="007C0946"/>
    <w:rsid w:val="007C0A67"/>
    <w:rsid w:val="007C0B47"/>
    <w:rsid w:val="007C0B48"/>
    <w:rsid w:val="007C0B8C"/>
    <w:rsid w:val="007C0C56"/>
    <w:rsid w:val="007C0CC8"/>
    <w:rsid w:val="007C0CE3"/>
    <w:rsid w:val="007C0D3E"/>
    <w:rsid w:val="007C0D64"/>
    <w:rsid w:val="007C0D6D"/>
    <w:rsid w:val="007C0DD3"/>
    <w:rsid w:val="007C0E4B"/>
    <w:rsid w:val="007C0E5F"/>
    <w:rsid w:val="007C0F4F"/>
    <w:rsid w:val="007C110C"/>
    <w:rsid w:val="007C113B"/>
    <w:rsid w:val="007C1194"/>
    <w:rsid w:val="007C1289"/>
    <w:rsid w:val="007C1415"/>
    <w:rsid w:val="007C1446"/>
    <w:rsid w:val="007C146D"/>
    <w:rsid w:val="007C15B0"/>
    <w:rsid w:val="007C162A"/>
    <w:rsid w:val="007C1637"/>
    <w:rsid w:val="007C16EE"/>
    <w:rsid w:val="007C17E5"/>
    <w:rsid w:val="007C181A"/>
    <w:rsid w:val="007C18FA"/>
    <w:rsid w:val="007C1975"/>
    <w:rsid w:val="007C1B94"/>
    <w:rsid w:val="007C1C30"/>
    <w:rsid w:val="007C1CEE"/>
    <w:rsid w:val="007C1D44"/>
    <w:rsid w:val="007C1D9D"/>
    <w:rsid w:val="007C1DC5"/>
    <w:rsid w:val="007C1E55"/>
    <w:rsid w:val="007C1EB8"/>
    <w:rsid w:val="007C1EE5"/>
    <w:rsid w:val="007C1F3F"/>
    <w:rsid w:val="007C1FBC"/>
    <w:rsid w:val="007C200A"/>
    <w:rsid w:val="007C2019"/>
    <w:rsid w:val="007C206F"/>
    <w:rsid w:val="007C20EF"/>
    <w:rsid w:val="007C21A1"/>
    <w:rsid w:val="007C2334"/>
    <w:rsid w:val="007C238F"/>
    <w:rsid w:val="007C2402"/>
    <w:rsid w:val="007C2403"/>
    <w:rsid w:val="007C2524"/>
    <w:rsid w:val="007C2646"/>
    <w:rsid w:val="007C2732"/>
    <w:rsid w:val="007C273F"/>
    <w:rsid w:val="007C274E"/>
    <w:rsid w:val="007C2756"/>
    <w:rsid w:val="007C27D5"/>
    <w:rsid w:val="007C27E6"/>
    <w:rsid w:val="007C2900"/>
    <w:rsid w:val="007C2B4D"/>
    <w:rsid w:val="007C2B86"/>
    <w:rsid w:val="007C2C7E"/>
    <w:rsid w:val="007C2D4C"/>
    <w:rsid w:val="007C2D5D"/>
    <w:rsid w:val="007C2E31"/>
    <w:rsid w:val="007C2E7C"/>
    <w:rsid w:val="007C2F0F"/>
    <w:rsid w:val="007C2F17"/>
    <w:rsid w:val="007C2FCE"/>
    <w:rsid w:val="007C30BD"/>
    <w:rsid w:val="007C30FE"/>
    <w:rsid w:val="007C3168"/>
    <w:rsid w:val="007C3178"/>
    <w:rsid w:val="007C3240"/>
    <w:rsid w:val="007C32A5"/>
    <w:rsid w:val="007C32FF"/>
    <w:rsid w:val="007C33AD"/>
    <w:rsid w:val="007C33D7"/>
    <w:rsid w:val="007C3410"/>
    <w:rsid w:val="007C347D"/>
    <w:rsid w:val="007C34E7"/>
    <w:rsid w:val="007C35D0"/>
    <w:rsid w:val="007C3695"/>
    <w:rsid w:val="007C377F"/>
    <w:rsid w:val="007C3812"/>
    <w:rsid w:val="007C3815"/>
    <w:rsid w:val="007C384E"/>
    <w:rsid w:val="007C3AF3"/>
    <w:rsid w:val="007C3B14"/>
    <w:rsid w:val="007C3BEB"/>
    <w:rsid w:val="007C3C69"/>
    <w:rsid w:val="007C3DD1"/>
    <w:rsid w:val="007C3EBA"/>
    <w:rsid w:val="007C408D"/>
    <w:rsid w:val="007C41C3"/>
    <w:rsid w:val="007C41E6"/>
    <w:rsid w:val="007C4416"/>
    <w:rsid w:val="007C44B2"/>
    <w:rsid w:val="007C456F"/>
    <w:rsid w:val="007C4570"/>
    <w:rsid w:val="007C4595"/>
    <w:rsid w:val="007C45FB"/>
    <w:rsid w:val="007C4697"/>
    <w:rsid w:val="007C46C7"/>
    <w:rsid w:val="007C4796"/>
    <w:rsid w:val="007C47C0"/>
    <w:rsid w:val="007C47EA"/>
    <w:rsid w:val="007C484F"/>
    <w:rsid w:val="007C4913"/>
    <w:rsid w:val="007C4B6E"/>
    <w:rsid w:val="007C4B7A"/>
    <w:rsid w:val="007C4C3E"/>
    <w:rsid w:val="007C4D37"/>
    <w:rsid w:val="007C4E22"/>
    <w:rsid w:val="007C4E6C"/>
    <w:rsid w:val="007C4EDD"/>
    <w:rsid w:val="007C4F23"/>
    <w:rsid w:val="007C4F95"/>
    <w:rsid w:val="007C501E"/>
    <w:rsid w:val="007C5151"/>
    <w:rsid w:val="007C51EA"/>
    <w:rsid w:val="007C52FF"/>
    <w:rsid w:val="007C5430"/>
    <w:rsid w:val="007C5433"/>
    <w:rsid w:val="007C552B"/>
    <w:rsid w:val="007C560C"/>
    <w:rsid w:val="007C57AB"/>
    <w:rsid w:val="007C5839"/>
    <w:rsid w:val="007C5852"/>
    <w:rsid w:val="007C58A1"/>
    <w:rsid w:val="007C598A"/>
    <w:rsid w:val="007C59E3"/>
    <w:rsid w:val="007C5A86"/>
    <w:rsid w:val="007C5C2C"/>
    <w:rsid w:val="007C5D26"/>
    <w:rsid w:val="007C5D5A"/>
    <w:rsid w:val="007C5F8B"/>
    <w:rsid w:val="007C6029"/>
    <w:rsid w:val="007C6094"/>
    <w:rsid w:val="007C60D8"/>
    <w:rsid w:val="007C60E6"/>
    <w:rsid w:val="007C61AA"/>
    <w:rsid w:val="007C6286"/>
    <w:rsid w:val="007C62D4"/>
    <w:rsid w:val="007C641E"/>
    <w:rsid w:val="007C6552"/>
    <w:rsid w:val="007C6691"/>
    <w:rsid w:val="007C66A3"/>
    <w:rsid w:val="007C66A5"/>
    <w:rsid w:val="007C6748"/>
    <w:rsid w:val="007C6783"/>
    <w:rsid w:val="007C6808"/>
    <w:rsid w:val="007C68CA"/>
    <w:rsid w:val="007C68DC"/>
    <w:rsid w:val="007C6AFE"/>
    <w:rsid w:val="007C6B41"/>
    <w:rsid w:val="007C6B71"/>
    <w:rsid w:val="007C6C08"/>
    <w:rsid w:val="007C6C48"/>
    <w:rsid w:val="007C6CAB"/>
    <w:rsid w:val="007C6D21"/>
    <w:rsid w:val="007C710B"/>
    <w:rsid w:val="007C7145"/>
    <w:rsid w:val="007C7198"/>
    <w:rsid w:val="007C7333"/>
    <w:rsid w:val="007C7350"/>
    <w:rsid w:val="007C73E2"/>
    <w:rsid w:val="007C73EF"/>
    <w:rsid w:val="007C753F"/>
    <w:rsid w:val="007C7732"/>
    <w:rsid w:val="007C77C5"/>
    <w:rsid w:val="007C7876"/>
    <w:rsid w:val="007C78F0"/>
    <w:rsid w:val="007C7AF4"/>
    <w:rsid w:val="007C7B54"/>
    <w:rsid w:val="007C7CD7"/>
    <w:rsid w:val="007C7D48"/>
    <w:rsid w:val="007D012F"/>
    <w:rsid w:val="007D0248"/>
    <w:rsid w:val="007D033B"/>
    <w:rsid w:val="007D0550"/>
    <w:rsid w:val="007D058B"/>
    <w:rsid w:val="007D0597"/>
    <w:rsid w:val="007D05E0"/>
    <w:rsid w:val="007D05E9"/>
    <w:rsid w:val="007D061A"/>
    <w:rsid w:val="007D06E3"/>
    <w:rsid w:val="007D0713"/>
    <w:rsid w:val="007D0747"/>
    <w:rsid w:val="007D075C"/>
    <w:rsid w:val="007D07CC"/>
    <w:rsid w:val="007D07EE"/>
    <w:rsid w:val="007D0817"/>
    <w:rsid w:val="007D0872"/>
    <w:rsid w:val="007D08CF"/>
    <w:rsid w:val="007D0900"/>
    <w:rsid w:val="007D09AB"/>
    <w:rsid w:val="007D0ABA"/>
    <w:rsid w:val="007D0B7B"/>
    <w:rsid w:val="007D0B98"/>
    <w:rsid w:val="007D0BC9"/>
    <w:rsid w:val="007D0BD8"/>
    <w:rsid w:val="007D0C14"/>
    <w:rsid w:val="007D0C98"/>
    <w:rsid w:val="007D0D44"/>
    <w:rsid w:val="007D0DBE"/>
    <w:rsid w:val="007D0F64"/>
    <w:rsid w:val="007D1133"/>
    <w:rsid w:val="007D1156"/>
    <w:rsid w:val="007D1257"/>
    <w:rsid w:val="007D12B3"/>
    <w:rsid w:val="007D1333"/>
    <w:rsid w:val="007D1417"/>
    <w:rsid w:val="007D14C5"/>
    <w:rsid w:val="007D1602"/>
    <w:rsid w:val="007D18DD"/>
    <w:rsid w:val="007D195A"/>
    <w:rsid w:val="007D1BD8"/>
    <w:rsid w:val="007D1CEC"/>
    <w:rsid w:val="007D1D92"/>
    <w:rsid w:val="007D1DB9"/>
    <w:rsid w:val="007D1FC0"/>
    <w:rsid w:val="007D211B"/>
    <w:rsid w:val="007D229D"/>
    <w:rsid w:val="007D22AB"/>
    <w:rsid w:val="007D22D1"/>
    <w:rsid w:val="007D234A"/>
    <w:rsid w:val="007D2410"/>
    <w:rsid w:val="007D24F7"/>
    <w:rsid w:val="007D250D"/>
    <w:rsid w:val="007D2564"/>
    <w:rsid w:val="007D259B"/>
    <w:rsid w:val="007D26CD"/>
    <w:rsid w:val="007D2883"/>
    <w:rsid w:val="007D2906"/>
    <w:rsid w:val="007D2939"/>
    <w:rsid w:val="007D2AEF"/>
    <w:rsid w:val="007D2B0C"/>
    <w:rsid w:val="007D2B74"/>
    <w:rsid w:val="007D2BCF"/>
    <w:rsid w:val="007D2BF5"/>
    <w:rsid w:val="007D2C72"/>
    <w:rsid w:val="007D2E32"/>
    <w:rsid w:val="007D2E71"/>
    <w:rsid w:val="007D2EE3"/>
    <w:rsid w:val="007D2F2E"/>
    <w:rsid w:val="007D2F34"/>
    <w:rsid w:val="007D3103"/>
    <w:rsid w:val="007D3381"/>
    <w:rsid w:val="007D3410"/>
    <w:rsid w:val="007D352E"/>
    <w:rsid w:val="007D3578"/>
    <w:rsid w:val="007D35E6"/>
    <w:rsid w:val="007D3634"/>
    <w:rsid w:val="007D369C"/>
    <w:rsid w:val="007D36BD"/>
    <w:rsid w:val="007D36F1"/>
    <w:rsid w:val="007D36F2"/>
    <w:rsid w:val="007D3737"/>
    <w:rsid w:val="007D374D"/>
    <w:rsid w:val="007D375F"/>
    <w:rsid w:val="007D3764"/>
    <w:rsid w:val="007D376D"/>
    <w:rsid w:val="007D3790"/>
    <w:rsid w:val="007D3852"/>
    <w:rsid w:val="007D38CC"/>
    <w:rsid w:val="007D38FF"/>
    <w:rsid w:val="007D392B"/>
    <w:rsid w:val="007D3988"/>
    <w:rsid w:val="007D3A4E"/>
    <w:rsid w:val="007D3AE5"/>
    <w:rsid w:val="007D3C38"/>
    <w:rsid w:val="007D3C7B"/>
    <w:rsid w:val="007D3D7D"/>
    <w:rsid w:val="007D3DBF"/>
    <w:rsid w:val="007D3E0A"/>
    <w:rsid w:val="007D3F92"/>
    <w:rsid w:val="007D4132"/>
    <w:rsid w:val="007D4157"/>
    <w:rsid w:val="007D4286"/>
    <w:rsid w:val="007D42EF"/>
    <w:rsid w:val="007D43EE"/>
    <w:rsid w:val="007D44CF"/>
    <w:rsid w:val="007D4565"/>
    <w:rsid w:val="007D45A2"/>
    <w:rsid w:val="007D46E9"/>
    <w:rsid w:val="007D46F7"/>
    <w:rsid w:val="007D47E9"/>
    <w:rsid w:val="007D490F"/>
    <w:rsid w:val="007D4A08"/>
    <w:rsid w:val="007D4C02"/>
    <w:rsid w:val="007D4C8A"/>
    <w:rsid w:val="007D4CF2"/>
    <w:rsid w:val="007D4D93"/>
    <w:rsid w:val="007D4E38"/>
    <w:rsid w:val="007D4ECD"/>
    <w:rsid w:val="007D4EDE"/>
    <w:rsid w:val="007D4EF1"/>
    <w:rsid w:val="007D4F0F"/>
    <w:rsid w:val="007D4F61"/>
    <w:rsid w:val="007D5021"/>
    <w:rsid w:val="007D505E"/>
    <w:rsid w:val="007D535F"/>
    <w:rsid w:val="007D53EB"/>
    <w:rsid w:val="007D5525"/>
    <w:rsid w:val="007D56EC"/>
    <w:rsid w:val="007D5801"/>
    <w:rsid w:val="007D5844"/>
    <w:rsid w:val="007D58BC"/>
    <w:rsid w:val="007D5966"/>
    <w:rsid w:val="007D598E"/>
    <w:rsid w:val="007D5A55"/>
    <w:rsid w:val="007D5C57"/>
    <w:rsid w:val="007D5CB0"/>
    <w:rsid w:val="007D5CB2"/>
    <w:rsid w:val="007D5D1E"/>
    <w:rsid w:val="007D5D40"/>
    <w:rsid w:val="007D5DA0"/>
    <w:rsid w:val="007D5E3F"/>
    <w:rsid w:val="007D5E9B"/>
    <w:rsid w:val="007D602F"/>
    <w:rsid w:val="007D6147"/>
    <w:rsid w:val="007D61B8"/>
    <w:rsid w:val="007D62D2"/>
    <w:rsid w:val="007D62E6"/>
    <w:rsid w:val="007D64BB"/>
    <w:rsid w:val="007D6536"/>
    <w:rsid w:val="007D6541"/>
    <w:rsid w:val="007D6591"/>
    <w:rsid w:val="007D65C4"/>
    <w:rsid w:val="007D65DF"/>
    <w:rsid w:val="007D691B"/>
    <w:rsid w:val="007D6932"/>
    <w:rsid w:val="007D69E5"/>
    <w:rsid w:val="007D6A38"/>
    <w:rsid w:val="007D6A5D"/>
    <w:rsid w:val="007D6AAD"/>
    <w:rsid w:val="007D6ACA"/>
    <w:rsid w:val="007D6B0D"/>
    <w:rsid w:val="007D6C2E"/>
    <w:rsid w:val="007D6D7C"/>
    <w:rsid w:val="007D6E52"/>
    <w:rsid w:val="007D6ED4"/>
    <w:rsid w:val="007D6F56"/>
    <w:rsid w:val="007D6F92"/>
    <w:rsid w:val="007D6F98"/>
    <w:rsid w:val="007D7022"/>
    <w:rsid w:val="007D708B"/>
    <w:rsid w:val="007D7149"/>
    <w:rsid w:val="007D7178"/>
    <w:rsid w:val="007D71BD"/>
    <w:rsid w:val="007D71FA"/>
    <w:rsid w:val="007D7241"/>
    <w:rsid w:val="007D73D0"/>
    <w:rsid w:val="007D73F0"/>
    <w:rsid w:val="007D7437"/>
    <w:rsid w:val="007D74E2"/>
    <w:rsid w:val="007D7555"/>
    <w:rsid w:val="007D7664"/>
    <w:rsid w:val="007D783E"/>
    <w:rsid w:val="007D7889"/>
    <w:rsid w:val="007D78EF"/>
    <w:rsid w:val="007D7958"/>
    <w:rsid w:val="007D7989"/>
    <w:rsid w:val="007D79D8"/>
    <w:rsid w:val="007D7A29"/>
    <w:rsid w:val="007D7A89"/>
    <w:rsid w:val="007D7AA6"/>
    <w:rsid w:val="007D7AC1"/>
    <w:rsid w:val="007D7B4B"/>
    <w:rsid w:val="007D7C45"/>
    <w:rsid w:val="007D7C49"/>
    <w:rsid w:val="007D7CE9"/>
    <w:rsid w:val="007D7D78"/>
    <w:rsid w:val="007D7D98"/>
    <w:rsid w:val="007D7DC5"/>
    <w:rsid w:val="007D7E78"/>
    <w:rsid w:val="007D7EBA"/>
    <w:rsid w:val="007E0101"/>
    <w:rsid w:val="007E01AC"/>
    <w:rsid w:val="007E02BE"/>
    <w:rsid w:val="007E033E"/>
    <w:rsid w:val="007E0475"/>
    <w:rsid w:val="007E05C6"/>
    <w:rsid w:val="007E05D3"/>
    <w:rsid w:val="007E0603"/>
    <w:rsid w:val="007E0817"/>
    <w:rsid w:val="007E08EE"/>
    <w:rsid w:val="007E0B71"/>
    <w:rsid w:val="007E0B8E"/>
    <w:rsid w:val="007E0C60"/>
    <w:rsid w:val="007E0C65"/>
    <w:rsid w:val="007E0CCC"/>
    <w:rsid w:val="007E0E9C"/>
    <w:rsid w:val="007E0EA4"/>
    <w:rsid w:val="007E0FF3"/>
    <w:rsid w:val="007E11CE"/>
    <w:rsid w:val="007E1207"/>
    <w:rsid w:val="007E1225"/>
    <w:rsid w:val="007E12F8"/>
    <w:rsid w:val="007E13FE"/>
    <w:rsid w:val="007E1475"/>
    <w:rsid w:val="007E1582"/>
    <w:rsid w:val="007E15AE"/>
    <w:rsid w:val="007E1692"/>
    <w:rsid w:val="007E1720"/>
    <w:rsid w:val="007E1736"/>
    <w:rsid w:val="007E180E"/>
    <w:rsid w:val="007E196F"/>
    <w:rsid w:val="007E1A2F"/>
    <w:rsid w:val="007E1A36"/>
    <w:rsid w:val="007E1A50"/>
    <w:rsid w:val="007E1AB9"/>
    <w:rsid w:val="007E1B38"/>
    <w:rsid w:val="007E1BA7"/>
    <w:rsid w:val="007E1C02"/>
    <w:rsid w:val="007E1D36"/>
    <w:rsid w:val="007E1DA3"/>
    <w:rsid w:val="007E1F00"/>
    <w:rsid w:val="007E1FE0"/>
    <w:rsid w:val="007E20CA"/>
    <w:rsid w:val="007E21C2"/>
    <w:rsid w:val="007E2215"/>
    <w:rsid w:val="007E22FB"/>
    <w:rsid w:val="007E2483"/>
    <w:rsid w:val="007E25C3"/>
    <w:rsid w:val="007E2777"/>
    <w:rsid w:val="007E27ED"/>
    <w:rsid w:val="007E294A"/>
    <w:rsid w:val="007E296D"/>
    <w:rsid w:val="007E2B38"/>
    <w:rsid w:val="007E2B4F"/>
    <w:rsid w:val="007E2BDE"/>
    <w:rsid w:val="007E2C94"/>
    <w:rsid w:val="007E2CBA"/>
    <w:rsid w:val="007E2CBD"/>
    <w:rsid w:val="007E2D08"/>
    <w:rsid w:val="007E2DA1"/>
    <w:rsid w:val="007E2DDA"/>
    <w:rsid w:val="007E2DF6"/>
    <w:rsid w:val="007E2E02"/>
    <w:rsid w:val="007E2F7D"/>
    <w:rsid w:val="007E301C"/>
    <w:rsid w:val="007E301F"/>
    <w:rsid w:val="007E30CC"/>
    <w:rsid w:val="007E3129"/>
    <w:rsid w:val="007E315D"/>
    <w:rsid w:val="007E31FE"/>
    <w:rsid w:val="007E3279"/>
    <w:rsid w:val="007E327D"/>
    <w:rsid w:val="007E32F1"/>
    <w:rsid w:val="007E3322"/>
    <w:rsid w:val="007E35F0"/>
    <w:rsid w:val="007E36BD"/>
    <w:rsid w:val="007E37AE"/>
    <w:rsid w:val="007E37D8"/>
    <w:rsid w:val="007E3969"/>
    <w:rsid w:val="007E3984"/>
    <w:rsid w:val="007E39B8"/>
    <w:rsid w:val="007E39F1"/>
    <w:rsid w:val="007E3B6A"/>
    <w:rsid w:val="007E3BB4"/>
    <w:rsid w:val="007E3BF7"/>
    <w:rsid w:val="007E3C25"/>
    <w:rsid w:val="007E3C27"/>
    <w:rsid w:val="007E3CCF"/>
    <w:rsid w:val="007E3D10"/>
    <w:rsid w:val="007E3DFB"/>
    <w:rsid w:val="007E3E28"/>
    <w:rsid w:val="007E3F5A"/>
    <w:rsid w:val="007E3FAC"/>
    <w:rsid w:val="007E402A"/>
    <w:rsid w:val="007E40E1"/>
    <w:rsid w:val="007E4298"/>
    <w:rsid w:val="007E43D7"/>
    <w:rsid w:val="007E4563"/>
    <w:rsid w:val="007E4616"/>
    <w:rsid w:val="007E4649"/>
    <w:rsid w:val="007E467E"/>
    <w:rsid w:val="007E46BA"/>
    <w:rsid w:val="007E4795"/>
    <w:rsid w:val="007E47AC"/>
    <w:rsid w:val="007E48D3"/>
    <w:rsid w:val="007E4A6E"/>
    <w:rsid w:val="007E4B11"/>
    <w:rsid w:val="007E4C90"/>
    <w:rsid w:val="007E4DD2"/>
    <w:rsid w:val="007E4E90"/>
    <w:rsid w:val="007E4FD2"/>
    <w:rsid w:val="007E4FFB"/>
    <w:rsid w:val="007E5047"/>
    <w:rsid w:val="007E504C"/>
    <w:rsid w:val="007E5088"/>
    <w:rsid w:val="007E5137"/>
    <w:rsid w:val="007E51AD"/>
    <w:rsid w:val="007E5217"/>
    <w:rsid w:val="007E527E"/>
    <w:rsid w:val="007E5280"/>
    <w:rsid w:val="007E5344"/>
    <w:rsid w:val="007E53AD"/>
    <w:rsid w:val="007E5490"/>
    <w:rsid w:val="007E5572"/>
    <w:rsid w:val="007E559F"/>
    <w:rsid w:val="007E55EE"/>
    <w:rsid w:val="007E5746"/>
    <w:rsid w:val="007E5905"/>
    <w:rsid w:val="007E5954"/>
    <w:rsid w:val="007E5AA0"/>
    <w:rsid w:val="007E5B2E"/>
    <w:rsid w:val="007E5B66"/>
    <w:rsid w:val="007E5BB3"/>
    <w:rsid w:val="007E5C14"/>
    <w:rsid w:val="007E5C65"/>
    <w:rsid w:val="007E5DAC"/>
    <w:rsid w:val="007E5DF1"/>
    <w:rsid w:val="007E5E8C"/>
    <w:rsid w:val="007E5F76"/>
    <w:rsid w:val="007E5FDE"/>
    <w:rsid w:val="007E6011"/>
    <w:rsid w:val="007E6020"/>
    <w:rsid w:val="007E6043"/>
    <w:rsid w:val="007E6060"/>
    <w:rsid w:val="007E60A6"/>
    <w:rsid w:val="007E60EA"/>
    <w:rsid w:val="007E6109"/>
    <w:rsid w:val="007E6170"/>
    <w:rsid w:val="007E61D8"/>
    <w:rsid w:val="007E6277"/>
    <w:rsid w:val="007E636D"/>
    <w:rsid w:val="007E6388"/>
    <w:rsid w:val="007E64CA"/>
    <w:rsid w:val="007E64FE"/>
    <w:rsid w:val="007E653E"/>
    <w:rsid w:val="007E6548"/>
    <w:rsid w:val="007E65EF"/>
    <w:rsid w:val="007E663A"/>
    <w:rsid w:val="007E665A"/>
    <w:rsid w:val="007E6762"/>
    <w:rsid w:val="007E67BE"/>
    <w:rsid w:val="007E6894"/>
    <w:rsid w:val="007E68FD"/>
    <w:rsid w:val="007E6980"/>
    <w:rsid w:val="007E69A1"/>
    <w:rsid w:val="007E69E7"/>
    <w:rsid w:val="007E6AB5"/>
    <w:rsid w:val="007E6AC4"/>
    <w:rsid w:val="007E6B25"/>
    <w:rsid w:val="007E6BBD"/>
    <w:rsid w:val="007E6BDC"/>
    <w:rsid w:val="007E6C2A"/>
    <w:rsid w:val="007E6C30"/>
    <w:rsid w:val="007E6C39"/>
    <w:rsid w:val="007E6D64"/>
    <w:rsid w:val="007E6D6C"/>
    <w:rsid w:val="007E6EA9"/>
    <w:rsid w:val="007E6EDC"/>
    <w:rsid w:val="007E6EF5"/>
    <w:rsid w:val="007E6F1B"/>
    <w:rsid w:val="007E6F51"/>
    <w:rsid w:val="007E6F89"/>
    <w:rsid w:val="007E6FE0"/>
    <w:rsid w:val="007E7095"/>
    <w:rsid w:val="007E7141"/>
    <w:rsid w:val="007E71FA"/>
    <w:rsid w:val="007E7317"/>
    <w:rsid w:val="007E7355"/>
    <w:rsid w:val="007E7412"/>
    <w:rsid w:val="007E74CB"/>
    <w:rsid w:val="007E751E"/>
    <w:rsid w:val="007E754E"/>
    <w:rsid w:val="007E770C"/>
    <w:rsid w:val="007E7721"/>
    <w:rsid w:val="007E77C3"/>
    <w:rsid w:val="007E780A"/>
    <w:rsid w:val="007E780E"/>
    <w:rsid w:val="007E79DC"/>
    <w:rsid w:val="007E7B45"/>
    <w:rsid w:val="007E7B76"/>
    <w:rsid w:val="007E7B7C"/>
    <w:rsid w:val="007E7BA5"/>
    <w:rsid w:val="007E7C0B"/>
    <w:rsid w:val="007E7D5B"/>
    <w:rsid w:val="007E7DB2"/>
    <w:rsid w:val="007E7DED"/>
    <w:rsid w:val="007E7E65"/>
    <w:rsid w:val="007E7E6C"/>
    <w:rsid w:val="007E7EA2"/>
    <w:rsid w:val="007E7EEA"/>
    <w:rsid w:val="007E7FBB"/>
    <w:rsid w:val="007F0016"/>
    <w:rsid w:val="007F007F"/>
    <w:rsid w:val="007F0110"/>
    <w:rsid w:val="007F0189"/>
    <w:rsid w:val="007F01B2"/>
    <w:rsid w:val="007F027D"/>
    <w:rsid w:val="007F02CD"/>
    <w:rsid w:val="007F0430"/>
    <w:rsid w:val="007F0691"/>
    <w:rsid w:val="007F06A6"/>
    <w:rsid w:val="007F073A"/>
    <w:rsid w:val="007F07F8"/>
    <w:rsid w:val="007F08DE"/>
    <w:rsid w:val="007F092A"/>
    <w:rsid w:val="007F093D"/>
    <w:rsid w:val="007F09BC"/>
    <w:rsid w:val="007F09EF"/>
    <w:rsid w:val="007F0BB5"/>
    <w:rsid w:val="007F0BE1"/>
    <w:rsid w:val="007F0C10"/>
    <w:rsid w:val="007F0CAF"/>
    <w:rsid w:val="007F0CC7"/>
    <w:rsid w:val="007F0CDE"/>
    <w:rsid w:val="007F0D4C"/>
    <w:rsid w:val="007F0E0F"/>
    <w:rsid w:val="007F0EB8"/>
    <w:rsid w:val="007F0F9C"/>
    <w:rsid w:val="007F0FD5"/>
    <w:rsid w:val="007F1008"/>
    <w:rsid w:val="007F10B5"/>
    <w:rsid w:val="007F1119"/>
    <w:rsid w:val="007F1141"/>
    <w:rsid w:val="007F114A"/>
    <w:rsid w:val="007F11C5"/>
    <w:rsid w:val="007F1213"/>
    <w:rsid w:val="007F1228"/>
    <w:rsid w:val="007F1229"/>
    <w:rsid w:val="007F12AC"/>
    <w:rsid w:val="007F12E3"/>
    <w:rsid w:val="007F1306"/>
    <w:rsid w:val="007F134C"/>
    <w:rsid w:val="007F13C9"/>
    <w:rsid w:val="007F1422"/>
    <w:rsid w:val="007F16E8"/>
    <w:rsid w:val="007F179F"/>
    <w:rsid w:val="007F17C5"/>
    <w:rsid w:val="007F17FA"/>
    <w:rsid w:val="007F181C"/>
    <w:rsid w:val="007F1883"/>
    <w:rsid w:val="007F18A8"/>
    <w:rsid w:val="007F1948"/>
    <w:rsid w:val="007F1949"/>
    <w:rsid w:val="007F19F9"/>
    <w:rsid w:val="007F1A19"/>
    <w:rsid w:val="007F1A36"/>
    <w:rsid w:val="007F1C54"/>
    <w:rsid w:val="007F1D15"/>
    <w:rsid w:val="007F1F24"/>
    <w:rsid w:val="007F1F2A"/>
    <w:rsid w:val="007F207C"/>
    <w:rsid w:val="007F2286"/>
    <w:rsid w:val="007F22C8"/>
    <w:rsid w:val="007F22EC"/>
    <w:rsid w:val="007F2334"/>
    <w:rsid w:val="007F2358"/>
    <w:rsid w:val="007F2362"/>
    <w:rsid w:val="007F2379"/>
    <w:rsid w:val="007F23C9"/>
    <w:rsid w:val="007F2416"/>
    <w:rsid w:val="007F247D"/>
    <w:rsid w:val="007F24A2"/>
    <w:rsid w:val="007F2571"/>
    <w:rsid w:val="007F2664"/>
    <w:rsid w:val="007F2818"/>
    <w:rsid w:val="007F29A3"/>
    <w:rsid w:val="007F29CC"/>
    <w:rsid w:val="007F29D6"/>
    <w:rsid w:val="007F2A22"/>
    <w:rsid w:val="007F2AD3"/>
    <w:rsid w:val="007F2B9F"/>
    <w:rsid w:val="007F2BDB"/>
    <w:rsid w:val="007F2C08"/>
    <w:rsid w:val="007F2C19"/>
    <w:rsid w:val="007F2D06"/>
    <w:rsid w:val="007F2F43"/>
    <w:rsid w:val="007F2F9A"/>
    <w:rsid w:val="007F302E"/>
    <w:rsid w:val="007F3066"/>
    <w:rsid w:val="007F317D"/>
    <w:rsid w:val="007F335D"/>
    <w:rsid w:val="007F3620"/>
    <w:rsid w:val="007F3645"/>
    <w:rsid w:val="007F37DB"/>
    <w:rsid w:val="007F3806"/>
    <w:rsid w:val="007F384C"/>
    <w:rsid w:val="007F3884"/>
    <w:rsid w:val="007F38C2"/>
    <w:rsid w:val="007F3998"/>
    <w:rsid w:val="007F3AE6"/>
    <w:rsid w:val="007F3C6E"/>
    <w:rsid w:val="007F3D6D"/>
    <w:rsid w:val="007F3E4E"/>
    <w:rsid w:val="007F3EE8"/>
    <w:rsid w:val="007F3F26"/>
    <w:rsid w:val="007F3FA6"/>
    <w:rsid w:val="007F3FCB"/>
    <w:rsid w:val="007F400E"/>
    <w:rsid w:val="007F4019"/>
    <w:rsid w:val="007F406B"/>
    <w:rsid w:val="007F40E7"/>
    <w:rsid w:val="007F422D"/>
    <w:rsid w:val="007F4380"/>
    <w:rsid w:val="007F4399"/>
    <w:rsid w:val="007F4503"/>
    <w:rsid w:val="007F4547"/>
    <w:rsid w:val="007F4638"/>
    <w:rsid w:val="007F466C"/>
    <w:rsid w:val="007F47D5"/>
    <w:rsid w:val="007F48FA"/>
    <w:rsid w:val="007F49B6"/>
    <w:rsid w:val="007F49E7"/>
    <w:rsid w:val="007F4A1C"/>
    <w:rsid w:val="007F4AF1"/>
    <w:rsid w:val="007F4B41"/>
    <w:rsid w:val="007F4C16"/>
    <w:rsid w:val="007F4C44"/>
    <w:rsid w:val="007F4C66"/>
    <w:rsid w:val="007F4CF6"/>
    <w:rsid w:val="007F4D03"/>
    <w:rsid w:val="007F4DB0"/>
    <w:rsid w:val="007F4F38"/>
    <w:rsid w:val="007F509F"/>
    <w:rsid w:val="007F50DE"/>
    <w:rsid w:val="007F5108"/>
    <w:rsid w:val="007F510E"/>
    <w:rsid w:val="007F512A"/>
    <w:rsid w:val="007F5272"/>
    <w:rsid w:val="007F52F3"/>
    <w:rsid w:val="007F53A2"/>
    <w:rsid w:val="007F543E"/>
    <w:rsid w:val="007F5494"/>
    <w:rsid w:val="007F54DA"/>
    <w:rsid w:val="007F550D"/>
    <w:rsid w:val="007F5557"/>
    <w:rsid w:val="007F555A"/>
    <w:rsid w:val="007F55AC"/>
    <w:rsid w:val="007F55B4"/>
    <w:rsid w:val="007F55B9"/>
    <w:rsid w:val="007F55CA"/>
    <w:rsid w:val="007F55EE"/>
    <w:rsid w:val="007F55F3"/>
    <w:rsid w:val="007F56D0"/>
    <w:rsid w:val="007F57BB"/>
    <w:rsid w:val="007F58AB"/>
    <w:rsid w:val="007F5915"/>
    <w:rsid w:val="007F59C0"/>
    <w:rsid w:val="007F5AFC"/>
    <w:rsid w:val="007F5C5F"/>
    <w:rsid w:val="007F5C84"/>
    <w:rsid w:val="007F5D45"/>
    <w:rsid w:val="007F5D7E"/>
    <w:rsid w:val="007F5E00"/>
    <w:rsid w:val="007F5FAE"/>
    <w:rsid w:val="007F612B"/>
    <w:rsid w:val="007F6142"/>
    <w:rsid w:val="007F61B7"/>
    <w:rsid w:val="007F62D5"/>
    <w:rsid w:val="007F64E9"/>
    <w:rsid w:val="007F6586"/>
    <w:rsid w:val="007F661B"/>
    <w:rsid w:val="007F66D1"/>
    <w:rsid w:val="007F6788"/>
    <w:rsid w:val="007F6912"/>
    <w:rsid w:val="007F693C"/>
    <w:rsid w:val="007F6945"/>
    <w:rsid w:val="007F6A33"/>
    <w:rsid w:val="007F6A6E"/>
    <w:rsid w:val="007F6B6F"/>
    <w:rsid w:val="007F6B71"/>
    <w:rsid w:val="007F6BD0"/>
    <w:rsid w:val="007F6C1F"/>
    <w:rsid w:val="007F6C75"/>
    <w:rsid w:val="007F6D2A"/>
    <w:rsid w:val="007F6EFF"/>
    <w:rsid w:val="007F6FA6"/>
    <w:rsid w:val="007F6FFA"/>
    <w:rsid w:val="007F7194"/>
    <w:rsid w:val="007F7224"/>
    <w:rsid w:val="007F72B2"/>
    <w:rsid w:val="007F74BF"/>
    <w:rsid w:val="007F74C5"/>
    <w:rsid w:val="007F7666"/>
    <w:rsid w:val="007F7699"/>
    <w:rsid w:val="007F7706"/>
    <w:rsid w:val="007F772C"/>
    <w:rsid w:val="007F7734"/>
    <w:rsid w:val="007F77C5"/>
    <w:rsid w:val="007F783F"/>
    <w:rsid w:val="007F7878"/>
    <w:rsid w:val="007F7883"/>
    <w:rsid w:val="007F7964"/>
    <w:rsid w:val="007F79C3"/>
    <w:rsid w:val="007F79E8"/>
    <w:rsid w:val="007F7A1C"/>
    <w:rsid w:val="007F7B07"/>
    <w:rsid w:val="007F7B0D"/>
    <w:rsid w:val="007F7BE3"/>
    <w:rsid w:val="007F7C04"/>
    <w:rsid w:val="007F7CD1"/>
    <w:rsid w:val="007F7CE8"/>
    <w:rsid w:val="007F7D2C"/>
    <w:rsid w:val="007F7E3E"/>
    <w:rsid w:val="007F7E51"/>
    <w:rsid w:val="007F7E84"/>
    <w:rsid w:val="007F7EF0"/>
    <w:rsid w:val="007F7F40"/>
    <w:rsid w:val="0080002D"/>
    <w:rsid w:val="008000DF"/>
    <w:rsid w:val="0080010C"/>
    <w:rsid w:val="0080014E"/>
    <w:rsid w:val="008001A5"/>
    <w:rsid w:val="00800245"/>
    <w:rsid w:val="008003B2"/>
    <w:rsid w:val="0080041E"/>
    <w:rsid w:val="00800449"/>
    <w:rsid w:val="008004A0"/>
    <w:rsid w:val="008004EA"/>
    <w:rsid w:val="0080055F"/>
    <w:rsid w:val="00800681"/>
    <w:rsid w:val="008006B2"/>
    <w:rsid w:val="008006CA"/>
    <w:rsid w:val="008007E6"/>
    <w:rsid w:val="008008E1"/>
    <w:rsid w:val="008008FF"/>
    <w:rsid w:val="008009B1"/>
    <w:rsid w:val="008009C2"/>
    <w:rsid w:val="008009D1"/>
    <w:rsid w:val="00800A66"/>
    <w:rsid w:val="00800BC8"/>
    <w:rsid w:val="00800C7C"/>
    <w:rsid w:val="00800CA3"/>
    <w:rsid w:val="00800D1B"/>
    <w:rsid w:val="00800D31"/>
    <w:rsid w:val="00800D41"/>
    <w:rsid w:val="00800D89"/>
    <w:rsid w:val="00800E3E"/>
    <w:rsid w:val="00800E60"/>
    <w:rsid w:val="00800EA8"/>
    <w:rsid w:val="00800F1C"/>
    <w:rsid w:val="00800FE0"/>
    <w:rsid w:val="00800FE4"/>
    <w:rsid w:val="00801008"/>
    <w:rsid w:val="00801068"/>
    <w:rsid w:val="00801096"/>
    <w:rsid w:val="0080122E"/>
    <w:rsid w:val="0080126A"/>
    <w:rsid w:val="008012F5"/>
    <w:rsid w:val="0080131A"/>
    <w:rsid w:val="008013A3"/>
    <w:rsid w:val="008013EE"/>
    <w:rsid w:val="00801493"/>
    <w:rsid w:val="008014CC"/>
    <w:rsid w:val="008015E5"/>
    <w:rsid w:val="00801640"/>
    <w:rsid w:val="00801653"/>
    <w:rsid w:val="0080175A"/>
    <w:rsid w:val="00801780"/>
    <w:rsid w:val="0080187B"/>
    <w:rsid w:val="008018EA"/>
    <w:rsid w:val="0080196C"/>
    <w:rsid w:val="00801AB3"/>
    <w:rsid w:val="00801BDB"/>
    <w:rsid w:val="00801C68"/>
    <w:rsid w:val="00801CC6"/>
    <w:rsid w:val="00801E5C"/>
    <w:rsid w:val="00801F1F"/>
    <w:rsid w:val="00802078"/>
    <w:rsid w:val="00802087"/>
    <w:rsid w:val="008020F5"/>
    <w:rsid w:val="00802129"/>
    <w:rsid w:val="00802247"/>
    <w:rsid w:val="0080244F"/>
    <w:rsid w:val="00802471"/>
    <w:rsid w:val="008024EB"/>
    <w:rsid w:val="008025C6"/>
    <w:rsid w:val="00802679"/>
    <w:rsid w:val="0080268E"/>
    <w:rsid w:val="008026A1"/>
    <w:rsid w:val="008026E7"/>
    <w:rsid w:val="008026EE"/>
    <w:rsid w:val="00802737"/>
    <w:rsid w:val="0080276F"/>
    <w:rsid w:val="00802862"/>
    <w:rsid w:val="008028A2"/>
    <w:rsid w:val="0080297A"/>
    <w:rsid w:val="00802A43"/>
    <w:rsid w:val="00802AA0"/>
    <w:rsid w:val="00802B35"/>
    <w:rsid w:val="00802B96"/>
    <w:rsid w:val="00802D3C"/>
    <w:rsid w:val="00803060"/>
    <w:rsid w:val="008030E2"/>
    <w:rsid w:val="008030E8"/>
    <w:rsid w:val="0080318F"/>
    <w:rsid w:val="00803201"/>
    <w:rsid w:val="00803240"/>
    <w:rsid w:val="0080324A"/>
    <w:rsid w:val="008032DA"/>
    <w:rsid w:val="008032F4"/>
    <w:rsid w:val="00803333"/>
    <w:rsid w:val="00803375"/>
    <w:rsid w:val="0080338B"/>
    <w:rsid w:val="00803417"/>
    <w:rsid w:val="00803498"/>
    <w:rsid w:val="008034A8"/>
    <w:rsid w:val="008034AE"/>
    <w:rsid w:val="00803560"/>
    <w:rsid w:val="00803576"/>
    <w:rsid w:val="0080357A"/>
    <w:rsid w:val="008035C8"/>
    <w:rsid w:val="00803610"/>
    <w:rsid w:val="00803689"/>
    <w:rsid w:val="008036D4"/>
    <w:rsid w:val="00803748"/>
    <w:rsid w:val="008037E5"/>
    <w:rsid w:val="0080388E"/>
    <w:rsid w:val="0080392F"/>
    <w:rsid w:val="00803A36"/>
    <w:rsid w:val="00803AA9"/>
    <w:rsid w:val="00803BE2"/>
    <w:rsid w:val="00803C23"/>
    <w:rsid w:val="00803CF1"/>
    <w:rsid w:val="00803D44"/>
    <w:rsid w:val="00803D4B"/>
    <w:rsid w:val="00803D4D"/>
    <w:rsid w:val="00803DD3"/>
    <w:rsid w:val="00803E49"/>
    <w:rsid w:val="00803F75"/>
    <w:rsid w:val="00804076"/>
    <w:rsid w:val="008040CF"/>
    <w:rsid w:val="008040E4"/>
    <w:rsid w:val="00804115"/>
    <w:rsid w:val="00804172"/>
    <w:rsid w:val="0080419A"/>
    <w:rsid w:val="00804246"/>
    <w:rsid w:val="0080431F"/>
    <w:rsid w:val="0080447C"/>
    <w:rsid w:val="008044E0"/>
    <w:rsid w:val="008045B3"/>
    <w:rsid w:val="008046B5"/>
    <w:rsid w:val="0080474E"/>
    <w:rsid w:val="008047F4"/>
    <w:rsid w:val="0080483A"/>
    <w:rsid w:val="0080490D"/>
    <w:rsid w:val="0080494E"/>
    <w:rsid w:val="00804964"/>
    <w:rsid w:val="008049DC"/>
    <w:rsid w:val="00804A56"/>
    <w:rsid w:val="00804A6F"/>
    <w:rsid w:val="00804BCD"/>
    <w:rsid w:val="00804DD1"/>
    <w:rsid w:val="00804DEB"/>
    <w:rsid w:val="00804EC6"/>
    <w:rsid w:val="00804ECF"/>
    <w:rsid w:val="00804EF2"/>
    <w:rsid w:val="00804F0E"/>
    <w:rsid w:val="00804F39"/>
    <w:rsid w:val="00805035"/>
    <w:rsid w:val="00805180"/>
    <w:rsid w:val="008051AF"/>
    <w:rsid w:val="00805309"/>
    <w:rsid w:val="0080549E"/>
    <w:rsid w:val="008054E1"/>
    <w:rsid w:val="00805576"/>
    <w:rsid w:val="008055C2"/>
    <w:rsid w:val="00805600"/>
    <w:rsid w:val="00805678"/>
    <w:rsid w:val="008056DD"/>
    <w:rsid w:val="0080575F"/>
    <w:rsid w:val="0080577A"/>
    <w:rsid w:val="00805952"/>
    <w:rsid w:val="008059CD"/>
    <w:rsid w:val="00805A2F"/>
    <w:rsid w:val="00805A60"/>
    <w:rsid w:val="00805A85"/>
    <w:rsid w:val="00805B43"/>
    <w:rsid w:val="00805BB6"/>
    <w:rsid w:val="00805C42"/>
    <w:rsid w:val="00805ECA"/>
    <w:rsid w:val="00805EF0"/>
    <w:rsid w:val="00805F46"/>
    <w:rsid w:val="008062B0"/>
    <w:rsid w:val="008062E9"/>
    <w:rsid w:val="0080638D"/>
    <w:rsid w:val="008063CF"/>
    <w:rsid w:val="008064C0"/>
    <w:rsid w:val="008064DA"/>
    <w:rsid w:val="008064F8"/>
    <w:rsid w:val="00806559"/>
    <w:rsid w:val="00806661"/>
    <w:rsid w:val="0080676C"/>
    <w:rsid w:val="00806775"/>
    <w:rsid w:val="008067F2"/>
    <w:rsid w:val="008067F6"/>
    <w:rsid w:val="00806892"/>
    <w:rsid w:val="00806990"/>
    <w:rsid w:val="008069FB"/>
    <w:rsid w:val="00806E23"/>
    <w:rsid w:val="00806EF8"/>
    <w:rsid w:val="00806F16"/>
    <w:rsid w:val="008071DD"/>
    <w:rsid w:val="008071E4"/>
    <w:rsid w:val="008072B4"/>
    <w:rsid w:val="008073FC"/>
    <w:rsid w:val="008076B3"/>
    <w:rsid w:val="008076C5"/>
    <w:rsid w:val="00807726"/>
    <w:rsid w:val="008077EA"/>
    <w:rsid w:val="00807870"/>
    <w:rsid w:val="00807872"/>
    <w:rsid w:val="008078D0"/>
    <w:rsid w:val="008079C3"/>
    <w:rsid w:val="00807AA9"/>
    <w:rsid w:val="00807AB3"/>
    <w:rsid w:val="00807AEE"/>
    <w:rsid w:val="00807B95"/>
    <w:rsid w:val="00807C93"/>
    <w:rsid w:val="00807D46"/>
    <w:rsid w:val="00807E20"/>
    <w:rsid w:val="00807E52"/>
    <w:rsid w:val="00810046"/>
    <w:rsid w:val="008100C6"/>
    <w:rsid w:val="008100DD"/>
    <w:rsid w:val="0081023B"/>
    <w:rsid w:val="008102D8"/>
    <w:rsid w:val="0081034E"/>
    <w:rsid w:val="00810435"/>
    <w:rsid w:val="0081054A"/>
    <w:rsid w:val="00810602"/>
    <w:rsid w:val="00810865"/>
    <w:rsid w:val="008108AE"/>
    <w:rsid w:val="008108C7"/>
    <w:rsid w:val="00810AB4"/>
    <w:rsid w:val="00810B53"/>
    <w:rsid w:val="00810BE9"/>
    <w:rsid w:val="00810D3D"/>
    <w:rsid w:val="00810D71"/>
    <w:rsid w:val="00810D72"/>
    <w:rsid w:val="00810DB2"/>
    <w:rsid w:val="00810E61"/>
    <w:rsid w:val="00810F00"/>
    <w:rsid w:val="00810FD8"/>
    <w:rsid w:val="00811048"/>
    <w:rsid w:val="008110CD"/>
    <w:rsid w:val="0081110B"/>
    <w:rsid w:val="0081114E"/>
    <w:rsid w:val="00811181"/>
    <w:rsid w:val="00811209"/>
    <w:rsid w:val="00811223"/>
    <w:rsid w:val="00811317"/>
    <w:rsid w:val="00811491"/>
    <w:rsid w:val="0081153F"/>
    <w:rsid w:val="00811541"/>
    <w:rsid w:val="00811647"/>
    <w:rsid w:val="00811771"/>
    <w:rsid w:val="00811864"/>
    <w:rsid w:val="00811975"/>
    <w:rsid w:val="00811CA1"/>
    <w:rsid w:val="00811D48"/>
    <w:rsid w:val="00811E1C"/>
    <w:rsid w:val="00811E31"/>
    <w:rsid w:val="00811EAA"/>
    <w:rsid w:val="00811FB9"/>
    <w:rsid w:val="00811FEB"/>
    <w:rsid w:val="008120F1"/>
    <w:rsid w:val="008121CC"/>
    <w:rsid w:val="0081221E"/>
    <w:rsid w:val="00812338"/>
    <w:rsid w:val="008123B5"/>
    <w:rsid w:val="008123D1"/>
    <w:rsid w:val="008124B4"/>
    <w:rsid w:val="00812584"/>
    <w:rsid w:val="00812616"/>
    <w:rsid w:val="008126B7"/>
    <w:rsid w:val="00812842"/>
    <w:rsid w:val="00812886"/>
    <w:rsid w:val="008128B8"/>
    <w:rsid w:val="008128E9"/>
    <w:rsid w:val="008128EA"/>
    <w:rsid w:val="00812963"/>
    <w:rsid w:val="0081299A"/>
    <w:rsid w:val="00812A34"/>
    <w:rsid w:val="00812A6F"/>
    <w:rsid w:val="00812A71"/>
    <w:rsid w:val="00812AAF"/>
    <w:rsid w:val="00812BB0"/>
    <w:rsid w:val="00812C10"/>
    <w:rsid w:val="00812C51"/>
    <w:rsid w:val="00812D4A"/>
    <w:rsid w:val="00812DB0"/>
    <w:rsid w:val="00812DCA"/>
    <w:rsid w:val="00812E56"/>
    <w:rsid w:val="00812F5D"/>
    <w:rsid w:val="00813022"/>
    <w:rsid w:val="008131CD"/>
    <w:rsid w:val="008132CC"/>
    <w:rsid w:val="0081334A"/>
    <w:rsid w:val="008133F9"/>
    <w:rsid w:val="00813406"/>
    <w:rsid w:val="0081345F"/>
    <w:rsid w:val="008134E9"/>
    <w:rsid w:val="00813533"/>
    <w:rsid w:val="00813577"/>
    <w:rsid w:val="008135A8"/>
    <w:rsid w:val="0081365D"/>
    <w:rsid w:val="00813760"/>
    <w:rsid w:val="00813780"/>
    <w:rsid w:val="00813899"/>
    <w:rsid w:val="00813904"/>
    <w:rsid w:val="00813945"/>
    <w:rsid w:val="0081394C"/>
    <w:rsid w:val="00813996"/>
    <w:rsid w:val="00813A1D"/>
    <w:rsid w:val="00813ABF"/>
    <w:rsid w:val="00813BAB"/>
    <w:rsid w:val="00813BC4"/>
    <w:rsid w:val="00813C45"/>
    <w:rsid w:val="00813D03"/>
    <w:rsid w:val="00813D4D"/>
    <w:rsid w:val="00813E03"/>
    <w:rsid w:val="00813EB9"/>
    <w:rsid w:val="00813F6F"/>
    <w:rsid w:val="00813FB5"/>
    <w:rsid w:val="00813FCD"/>
    <w:rsid w:val="00813FE9"/>
    <w:rsid w:val="008141AC"/>
    <w:rsid w:val="00814210"/>
    <w:rsid w:val="008143BE"/>
    <w:rsid w:val="008143BF"/>
    <w:rsid w:val="008143F9"/>
    <w:rsid w:val="00814404"/>
    <w:rsid w:val="00814461"/>
    <w:rsid w:val="008145E0"/>
    <w:rsid w:val="008146B7"/>
    <w:rsid w:val="008146B9"/>
    <w:rsid w:val="0081477F"/>
    <w:rsid w:val="00814803"/>
    <w:rsid w:val="00814820"/>
    <w:rsid w:val="00814937"/>
    <w:rsid w:val="00814A7C"/>
    <w:rsid w:val="00814B64"/>
    <w:rsid w:val="00814BE3"/>
    <w:rsid w:val="00814BF7"/>
    <w:rsid w:val="00814C16"/>
    <w:rsid w:val="00814C8F"/>
    <w:rsid w:val="00814CD5"/>
    <w:rsid w:val="00814D0B"/>
    <w:rsid w:val="00814D88"/>
    <w:rsid w:val="00814DA4"/>
    <w:rsid w:val="00814DFB"/>
    <w:rsid w:val="00814E89"/>
    <w:rsid w:val="00814F29"/>
    <w:rsid w:val="00814F6A"/>
    <w:rsid w:val="00814FF8"/>
    <w:rsid w:val="00815057"/>
    <w:rsid w:val="00815159"/>
    <w:rsid w:val="0081519E"/>
    <w:rsid w:val="008151EF"/>
    <w:rsid w:val="0081523B"/>
    <w:rsid w:val="0081525E"/>
    <w:rsid w:val="0081528B"/>
    <w:rsid w:val="0081535F"/>
    <w:rsid w:val="00815464"/>
    <w:rsid w:val="00815487"/>
    <w:rsid w:val="008154E6"/>
    <w:rsid w:val="008154E9"/>
    <w:rsid w:val="00815587"/>
    <w:rsid w:val="00815613"/>
    <w:rsid w:val="00815630"/>
    <w:rsid w:val="00815722"/>
    <w:rsid w:val="0081581E"/>
    <w:rsid w:val="0081584E"/>
    <w:rsid w:val="00815937"/>
    <w:rsid w:val="00815982"/>
    <w:rsid w:val="008159C5"/>
    <w:rsid w:val="00815A47"/>
    <w:rsid w:val="00815B6F"/>
    <w:rsid w:val="00815C0E"/>
    <w:rsid w:val="00815CCB"/>
    <w:rsid w:val="00815CF6"/>
    <w:rsid w:val="00815D5F"/>
    <w:rsid w:val="00815D6E"/>
    <w:rsid w:val="00815D7A"/>
    <w:rsid w:val="00815DBF"/>
    <w:rsid w:val="00815FBA"/>
    <w:rsid w:val="00815FE7"/>
    <w:rsid w:val="008160C0"/>
    <w:rsid w:val="0081611A"/>
    <w:rsid w:val="00816158"/>
    <w:rsid w:val="00816213"/>
    <w:rsid w:val="0081631A"/>
    <w:rsid w:val="008165FB"/>
    <w:rsid w:val="00816679"/>
    <w:rsid w:val="008168F8"/>
    <w:rsid w:val="00816926"/>
    <w:rsid w:val="008169C5"/>
    <w:rsid w:val="00816B53"/>
    <w:rsid w:val="00816B62"/>
    <w:rsid w:val="00816BC6"/>
    <w:rsid w:val="00816BD1"/>
    <w:rsid w:val="00816BDE"/>
    <w:rsid w:val="00816C1B"/>
    <w:rsid w:val="00816C6B"/>
    <w:rsid w:val="00816DD6"/>
    <w:rsid w:val="00816DE6"/>
    <w:rsid w:val="00816EBC"/>
    <w:rsid w:val="00816ECA"/>
    <w:rsid w:val="00816F43"/>
    <w:rsid w:val="00816F65"/>
    <w:rsid w:val="00817167"/>
    <w:rsid w:val="0081725B"/>
    <w:rsid w:val="00817269"/>
    <w:rsid w:val="008172D9"/>
    <w:rsid w:val="008174D8"/>
    <w:rsid w:val="008174E1"/>
    <w:rsid w:val="00817561"/>
    <w:rsid w:val="008175B6"/>
    <w:rsid w:val="008175F3"/>
    <w:rsid w:val="00817614"/>
    <w:rsid w:val="00817703"/>
    <w:rsid w:val="00817986"/>
    <w:rsid w:val="008179BD"/>
    <w:rsid w:val="00817AC2"/>
    <w:rsid w:val="00817ADB"/>
    <w:rsid w:val="00817B08"/>
    <w:rsid w:val="00817B0A"/>
    <w:rsid w:val="00817B19"/>
    <w:rsid w:val="00817C12"/>
    <w:rsid w:val="00817C67"/>
    <w:rsid w:val="00817CED"/>
    <w:rsid w:val="00817D50"/>
    <w:rsid w:val="00817E44"/>
    <w:rsid w:val="00817E8C"/>
    <w:rsid w:val="0082012F"/>
    <w:rsid w:val="00820130"/>
    <w:rsid w:val="008201AE"/>
    <w:rsid w:val="008201BB"/>
    <w:rsid w:val="008201E2"/>
    <w:rsid w:val="0082020C"/>
    <w:rsid w:val="0082023C"/>
    <w:rsid w:val="00820389"/>
    <w:rsid w:val="008204F0"/>
    <w:rsid w:val="008205AE"/>
    <w:rsid w:val="008206E6"/>
    <w:rsid w:val="00820887"/>
    <w:rsid w:val="00820894"/>
    <w:rsid w:val="008208E1"/>
    <w:rsid w:val="008209A6"/>
    <w:rsid w:val="008209B0"/>
    <w:rsid w:val="00820A2D"/>
    <w:rsid w:val="00820A97"/>
    <w:rsid w:val="00820AC5"/>
    <w:rsid w:val="00820B07"/>
    <w:rsid w:val="00820B77"/>
    <w:rsid w:val="00820B87"/>
    <w:rsid w:val="00820BCD"/>
    <w:rsid w:val="00820BCF"/>
    <w:rsid w:val="00820BD5"/>
    <w:rsid w:val="00820CBA"/>
    <w:rsid w:val="00820CDF"/>
    <w:rsid w:val="00820CFD"/>
    <w:rsid w:val="00820D3F"/>
    <w:rsid w:val="00820D50"/>
    <w:rsid w:val="00820E2B"/>
    <w:rsid w:val="00820EF3"/>
    <w:rsid w:val="00820F08"/>
    <w:rsid w:val="00820F9B"/>
    <w:rsid w:val="00821003"/>
    <w:rsid w:val="0082100D"/>
    <w:rsid w:val="00821088"/>
    <w:rsid w:val="008210C5"/>
    <w:rsid w:val="008210F2"/>
    <w:rsid w:val="0082111C"/>
    <w:rsid w:val="00821132"/>
    <w:rsid w:val="00821166"/>
    <w:rsid w:val="00821170"/>
    <w:rsid w:val="00821249"/>
    <w:rsid w:val="00821310"/>
    <w:rsid w:val="00821469"/>
    <w:rsid w:val="008214DE"/>
    <w:rsid w:val="00821506"/>
    <w:rsid w:val="00821564"/>
    <w:rsid w:val="00821588"/>
    <w:rsid w:val="0082172A"/>
    <w:rsid w:val="008217B3"/>
    <w:rsid w:val="0082183A"/>
    <w:rsid w:val="0082187E"/>
    <w:rsid w:val="008218B0"/>
    <w:rsid w:val="008218BD"/>
    <w:rsid w:val="008218EB"/>
    <w:rsid w:val="008218ED"/>
    <w:rsid w:val="00821905"/>
    <w:rsid w:val="00821A1E"/>
    <w:rsid w:val="00821B6B"/>
    <w:rsid w:val="00821B89"/>
    <w:rsid w:val="00821CB5"/>
    <w:rsid w:val="00821DA0"/>
    <w:rsid w:val="00821DC1"/>
    <w:rsid w:val="00821E52"/>
    <w:rsid w:val="00821EC0"/>
    <w:rsid w:val="00821EFD"/>
    <w:rsid w:val="0082203A"/>
    <w:rsid w:val="0082204E"/>
    <w:rsid w:val="008220E4"/>
    <w:rsid w:val="00822128"/>
    <w:rsid w:val="00822258"/>
    <w:rsid w:val="00822267"/>
    <w:rsid w:val="0082262D"/>
    <w:rsid w:val="00822652"/>
    <w:rsid w:val="00822686"/>
    <w:rsid w:val="008227CE"/>
    <w:rsid w:val="0082289C"/>
    <w:rsid w:val="008229B3"/>
    <w:rsid w:val="00822A99"/>
    <w:rsid w:val="00822B9C"/>
    <w:rsid w:val="00822CDB"/>
    <w:rsid w:val="00822D3A"/>
    <w:rsid w:val="00822E19"/>
    <w:rsid w:val="00822E91"/>
    <w:rsid w:val="00822FDE"/>
    <w:rsid w:val="00823051"/>
    <w:rsid w:val="008231AE"/>
    <w:rsid w:val="008232E3"/>
    <w:rsid w:val="008232FB"/>
    <w:rsid w:val="00823302"/>
    <w:rsid w:val="00823311"/>
    <w:rsid w:val="00823316"/>
    <w:rsid w:val="00823321"/>
    <w:rsid w:val="0082332D"/>
    <w:rsid w:val="008233A7"/>
    <w:rsid w:val="008233C5"/>
    <w:rsid w:val="00823414"/>
    <w:rsid w:val="00823444"/>
    <w:rsid w:val="00823525"/>
    <w:rsid w:val="0082358F"/>
    <w:rsid w:val="00823601"/>
    <w:rsid w:val="0082369F"/>
    <w:rsid w:val="008236CA"/>
    <w:rsid w:val="00823847"/>
    <w:rsid w:val="00823901"/>
    <w:rsid w:val="0082392E"/>
    <w:rsid w:val="008239C4"/>
    <w:rsid w:val="008239D6"/>
    <w:rsid w:val="008239F8"/>
    <w:rsid w:val="00823B0F"/>
    <w:rsid w:val="00823C70"/>
    <w:rsid w:val="00823DD4"/>
    <w:rsid w:val="00823E34"/>
    <w:rsid w:val="00823E7C"/>
    <w:rsid w:val="008241BF"/>
    <w:rsid w:val="0082436F"/>
    <w:rsid w:val="008245AC"/>
    <w:rsid w:val="008246B9"/>
    <w:rsid w:val="008246DD"/>
    <w:rsid w:val="00824704"/>
    <w:rsid w:val="00824750"/>
    <w:rsid w:val="00824773"/>
    <w:rsid w:val="00824856"/>
    <w:rsid w:val="0082491E"/>
    <w:rsid w:val="00824A52"/>
    <w:rsid w:val="00824C40"/>
    <w:rsid w:val="00824D02"/>
    <w:rsid w:val="00824DD4"/>
    <w:rsid w:val="00824FF3"/>
    <w:rsid w:val="00825188"/>
    <w:rsid w:val="0082521B"/>
    <w:rsid w:val="00825236"/>
    <w:rsid w:val="00825826"/>
    <w:rsid w:val="008258C6"/>
    <w:rsid w:val="00825A85"/>
    <w:rsid w:val="00825AA1"/>
    <w:rsid w:val="00825AC5"/>
    <w:rsid w:val="00825AFF"/>
    <w:rsid w:val="00825CA6"/>
    <w:rsid w:val="00825D50"/>
    <w:rsid w:val="00825DA9"/>
    <w:rsid w:val="00825EF1"/>
    <w:rsid w:val="00825F0F"/>
    <w:rsid w:val="00825F73"/>
    <w:rsid w:val="008260BC"/>
    <w:rsid w:val="008260FB"/>
    <w:rsid w:val="00826157"/>
    <w:rsid w:val="0082625D"/>
    <w:rsid w:val="008262A0"/>
    <w:rsid w:val="0082633F"/>
    <w:rsid w:val="00826442"/>
    <w:rsid w:val="00826490"/>
    <w:rsid w:val="00826536"/>
    <w:rsid w:val="00826581"/>
    <w:rsid w:val="00826613"/>
    <w:rsid w:val="00826697"/>
    <w:rsid w:val="00826706"/>
    <w:rsid w:val="00826762"/>
    <w:rsid w:val="00826839"/>
    <w:rsid w:val="00826872"/>
    <w:rsid w:val="0082692D"/>
    <w:rsid w:val="00826947"/>
    <w:rsid w:val="008269A8"/>
    <w:rsid w:val="00826A75"/>
    <w:rsid w:val="00826B02"/>
    <w:rsid w:val="00826BD2"/>
    <w:rsid w:val="00826C26"/>
    <w:rsid w:val="00826C29"/>
    <w:rsid w:val="00826C5C"/>
    <w:rsid w:val="00826CE2"/>
    <w:rsid w:val="00826E34"/>
    <w:rsid w:val="00826EA5"/>
    <w:rsid w:val="00826EB1"/>
    <w:rsid w:val="00826F36"/>
    <w:rsid w:val="00826F92"/>
    <w:rsid w:val="00826FC8"/>
    <w:rsid w:val="00827046"/>
    <w:rsid w:val="00827094"/>
    <w:rsid w:val="008270FD"/>
    <w:rsid w:val="00827113"/>
    <w:rsid w:val="0082711E"/>
    <w:rsid w:val="0082717F"/>
    <w:rsid w:val="008271CF"/>
    <w:rsid w:val="008271F9"/>
    <w:rsid w:val="00827272"/>
    <w:rsid w:val="008273BA"/>
    <w:rsid w:val="00827412"/>
    <w:rsid w:val="00827481"/>
    <w:rsid w:val="00827575"/>
    <w:rsid w:val="008276D0"/>
    <w:rsid w:val="008276DE"/>
    <w:rsid w:val="00827782"/>
    <w:rsid w:val="008277A9"/>
    <w:rsid w:val="00827847"/>
    <w:rsid w:val="008278DD"/>
    <w:rsid w:val="0082790A"/>
    <w:rsid w:val="00827A1A"/>
    <w:rsid w:val="00827A30"/>
    <w:rsid w:val="00827AAE"/>
    <w:rsid w:val="00827AEA"/>
    <w:rsid w:val="00827B2C"/>
    <w:rsid w:val="00827BDD"/>
    <w:rsid w:val="00827C99"/>
    <w:rsid w:val="00827D9A"/>
    <w:rsid w:val="00827E1F"/>
    <w:rsid w:val="00827E4B"/>
    <w:rsid w:val="00827EB3"/>
    <w:rsid w:val="00827F2E"/>
    <w:rsid w:val="00827F5C"/>
    <w:rsid w:val="00827FA9"/>
    <w:rsid w:val="00830067"/>
    <w:rsid w:val="008301C2"/>
    <w:rsid w:val="00830313"/>
    <w:rsid w:val="00830327"/>
    <w:rsid w:val="00830328"/>
    <w:rsid w:val="0083042B"/>
    <w:rsid w:val="008304BB"/>
    <w:rsid w:val="00830555"/>
    <w:rsid w:val="00830694"/>
    <w:rsid w:val="008307B8"/>
    <w:rsid w:val="008308EB"/>
    <w:rsid w:val="008308F6"/>
    <w:rsid w:val="0083094C"/>
    <w:rsid w:val="00830955"/>
    <w:rsid w:val="0083096C"/>
    <w:rsid w:val="00830B0B"/>
    <w:rsid w:val="00830CCD"/>
    <w:rsid w:val="00830E27"/>
    <w:rsid w:val="00830E30"/>
    <w:rsid w:val="00830F6C"/>
    <w:rsid w:val="00830F98"/>
    <w:rsid w:val="00830FC6"/>
    <w:rsid w:val="0083101D"/>
    <w:rsid w:val="00831070"/>
    <w:rsid w:val="008310AD"/>
    <w:rsid w:val="008310DC"/>
    <w:rsid w:val="00831156"/>
    <w:rsid w:val="00831180"/>
    <w:rsid w:val="008311AD"/>
    <w:rsid w:val="00831283"/>
    <w:rsid w:val="00831304"/>
    <w:rsid w:val="00831315"/>
    <w:rsid w:val="008314A3"/>
    <w:rsid w:val="0083153E"/>
    <w:rsid w:val="00831555"/>
    <w:rsid w:val="00831713"/>
    <w:rsid w:val="0083172D"/>
    <w:rsid w:val="0083183A"/>
    <w:rsid w:val="0083187E"/>
    <w:rsid w:val="00831883"/>
    <w:rsid w:val="008318A7"/>
    <w:rsid w:val="008318CD"/>
    <w:rsid w:val="00831904"/>
    <w:rsid w:val="00831A58"/>
    <w:rsid w:val="00831AE4"/>
    <w:rsid w:val="00831BCB"/>
    <w:rsid w:val="00831D08"/>
    <w:rsid w:val="00831D1B"/>
    <w:rsid w:val="00831DB1"/>
    <w:rsid w:val="00831DB3"/>
    <w:rsid w:val="00831DC5"/>
    <w:rsid w:val="00831E55"/>
    <w:rsid w:val="00831EAA"/>
    <w:rsid w:val="00832001"/>
    <w:rsid w:val="008320B9"/>
    <w:rsid w:val="008320C3"/>
    <w:rsid w:val="00832153"/>
    <w:rsid w:val="00832166"/>
    <w:rsid w:val="00832355"/>
    <w:rsid w:val="00832518"/>
    <w:rsid w:val="008325D2"/>
    <w:rsid w:val="00832636"/>
    <w:rsid w:val="0083277C"/>
    <w:rsid w:val="00832830"/>
    <w:rsid w:val="008328F3"/>
    <w:rsid w:val="00832937"/>
    <w:rsid w:val="0083295E"/>
    <w:rsid w:val="008329B1"/>
    <w:rsid w:val="00832C54"/>
    <w:rsid w:val="00832C75"/>
    <w:rsid w:val="00832DB4"/>
    <w:rsid w:val="00832F44"/>
    <w:rsid w:val="00832FB3"/>
    <w:rsid w:val="00832FD1"/>
    <w:rsid w:val="008332A3"/>
    <w:rsid w:val="008333F0"/>
    <w:rsid w:val="008335DA"/>
    <w:rsid w:val="008335F8"/>
    <w:rsid w:val="0083361C"/>
    <w:rsid w:val="008337D2"/>
    <w:rsid w:val="008337ED"/>
    <w:rsid w:val="008337EF"/>
    <w:rsid w:val="008339C6"/>
    <w:rsid w:val="00833A11"/>
    <w:rsid w:val="00833AAE"/>
    <w:rsid w:val="00833AC1"/>
    <w:rsid w:val="00833C59"/>
    <w:rsid w:val="00833C98"/>
    <w:rsid w:val="00833E88"/>
    <w:rsid w:val="00833EFF"/>
    <w:rsid w:val="00833F55"/>
    <w:rsid w:val="00833FF5"/>
    <w:rsid w:val="00834068"/>
    <w:rsid w:val="008340D3"/>
    <w:rsid w:val="00834145"/>
    <w:rsid w:val="008341E4"/>
    <w:rsid w:val="0083433D"/>
    <w:rsid w:val="008343B2"/>
    <w:rsid w:val="00834568"/>
    <w:rsid w:val="0083478D"/>
    <w:rsid w:val="00834906"/>
    <w:rsid w:val="00834A0D"/>
    <w:rsid w:val="00834B37"/>
    <w:rsid w:val="00834BB8"/>
    <w:rsid w:val="00834CA0"/>
    <w:rsid w:val="00834CB9"/>
    <w:rsid w:val="00834DE6"/>
    <w:rsid w:val="00834E83"/>
    <w:rsid w:val="00834F08"/>
    <w:rsid w:val="00834FA3"/>
    <w:rsid w:val="008350AB"/>
    <w:rsid w:val="00835208"/>
    <w:rsid w:val="00835264"/>
    <w:rsid w:val="008352C6"/>
    <w:rsid w:val="0083533C"/>
    <w:rsid w:val="00835360"/>
    <w:rsid w:val="00835450"/>
    <w:rsid w:val="00835456"/>
    <w:rsid w:val="00835471"/>
    <w:rsid w:val="008355D2"/>
    <w:rsid w:val="008355E8"/>
    <w:rsid w:val="008356D1"/>
    <w:rsid w:val="00835746"/>
    <w:rsid w:val="0083575B"/>
    <w:rsid w:val="0083579A"/>
    <w:rsid w:val="008357A4"/>
    <w:rsid w:val="00835853"/>
    <w:rsid w:val="0083586E"/>
    <w:rsid w:val="00835899"/>
    <w:rsid w:val="00835B28"/>
    <w:rsid w:val="00835B80"/>
    <w:rsid w:val="00835C26"/>
    <w:rsid w:val="00835C98"/>
    <w:rsid w:val="00835D96"/>
    <w:rsid w:val="00835E3D"/>
    <w:rsid w:val="00835ED2"/>
    <w:rsid w:val="00835EDF"/>
    <w:rsid w:val="008360E0"/>
    <w:rsid w:val="008361E6"/>
    <w:rsid w:val="008361FF"/>
    <w:rsid w:val="00836234"/>
    <w:rsid w:val="008363B5"/>
    <w:rsid w:val="008363DB"/>
    <w:rsid w:val="00836467"/>
    <w:rsid w:val="0083647A"/>
    <w:rsid w:val="008364A2"/>
    <w:rsid w:val="008365C7"/>
    <w:rsid w:val="0083664D"/>
    <w:rsid w:val="008366CF"/>
    <w:rsid w:val="0083674E"/>
    <w:rsid w:val="0083686D"/>
    <w:rsid w:val="008368EA"/>
    <w:rsid w:val="00836937"/>
    <w:rsid w:val="0083696A"/>
    <w:rsid w:val="0083698C"/>
    <w:rsid w:val="008369A1"/>
    <w:rsid w:val="00836B43"/>
    <w:rsid w:val="00836C89"/>
    <w:rsid w:val="00836D6D"/>
    <w:rsid w:val="00836F25"/>
    <w:rsid w:val="00836F8F"/>
    <w:rsid w:val="00837000"/>
    <w:rsid w:val="008370C7"/>
    <w:rsid w:val="008370EB"/>
    <w:rsid w:val="00837115"/>
    <w:rsid w:val="008371D0"/>
    <w:rsid w:val="00837242"/>
    <w:rsid w:val="008372D8"/>
    <w:rsid w:val="008373AF"/>
    <w:rsid w:val="008373B9"/>
    <w:rsid w:val="008374BC"/>
    <w:rsid w:val="00837613"/>
    <w:rsid w:val="00837711"/>
    <w:rsid w:val="00837845"/>
    <w:rsid w:val="008378FD"/>
    <w:rsid w:val="00837926"/>
    <w:rsid w:val="00837AD2"/>
    <w:rsid w:val="00837B97"/>
    <w:rsid w:val="00837E3C"/>
    <w:rsid w:val="00837F4A"/>
    <w:rsid w:val="00837FBB"/>
    <w:rsid w:val="00840092"/>
    <w:rsid w:val="008400FD"/>
    <w:rsid w:val="00840182"/>
    <w:rsid w:val="0084039D"/>
    <w:rsid w:val="0084048F"/>
    <w:rsid w:val="0084058C"/>
    <w:rsid w:val="008405A0"/>
    <w:rsid w:val="008405A1"/>
    <w:rsid w:val="008405FA"/>
    <w:rsid w:val="0084064D"/>
    <w:rsid w:val="00840747"/>
    <w:rsid w:val="0084074C"/>
    <w:rsid w:val="0084077B"/>
    <w:rsid w:val="008407DB"/>
    <w:rsid w:val="00840827"/>
    <w:rsid w:val="00840853"/>
    <w:rsid w:val="00840896"/>
    <w:rsid w:val="008408D2"/>
    <w:rsid w:val="00840A99"/>
    <w:rsid w:val="00840D74"/>
    <w:rsid w:val="00840E97"/>
    <w:rsid w:val="00840FE2"/>
    <w:rsid w:val="008411A5"/>
    <w:rsid w:val="0084131A"/>
    <w:rsid w:val="00841360"/>
    <w:rsid w:val="0084138A"/>
    <w:rsid w:val="008415A0"/>
    <w:rsid w:val="008415B3"/>
    <w:rsid w:val="008415BA"/>
    <w:rsid w:val="008415E2"/>
    <w:rsid w:val="008417CC"/>
    <w:rsid w:val="0084195A"/>
    <w:rsid w:val="008419A7"/>
    <w:rsid w:val="00841BFF"/>
    <w:rsid w:val="00841D81"/>
    <w:rsid w:val="00841DC2"/>
    <w:rsid w:val="00841E26"/>
    <w:rsid w:val="00841E2E"/>
    <w:rsid w:val="00841E61"/>
    <w:rsid w:val="00842164"/>
    <w:rsid w:val="008423D7"/>
    <w:rsid w:val="008423FF"/>
    <w:rsid w:val="00842438"/>
    <w:rsid w:val="00842482"/>
    <w:rsid w:val="0084262C"/>
    <w:rsid w:val="008427B4"/>
    <w:rsid w:val="008428FB"/>
    <w:rsid w:val="00842961"/>
    <w:rsid w:val="00842A4D"/>
    <w:rsid w:val="00842A54"/>
    <w:rsid w:val="00842A68"/>
    <w:rsid w:val="00842A74"/>
    <w:rsid w:val="00842CCD"/>
    <w:rsid w:val="00842F16"/>
    <w:rsid w:val="00842F84"/>
    <w:rsid w:val="00842FA5"/>
    <w:rsid w:val="0084300C"/>
    <w:rsid w:val="00843135"/>
    <w:rsid w:val="0084317F"/>
    <w:rsid w:val="00843387"/>
    <w:rsid w:val="00843389"/>
    <w:rsid w:val="00843438"/>
    <w:rsid w:val="0084349C"/>
    <w:rsid w:val="008434FE"/>
    <w:rsid w:val="00843574"/>
    <w:rsid w:val="008435E3"/>
    <w:rsid w:val="00843681"/>
    <w:rsid w:val="008436D4"/>
    <w:rsid w:val="00843740"/>
    <w:rsid w:val="008437DD"/>
    <w:rsid w:val="008438DD"/>
    <w:rsid w:val="00843938"/>
    <w:rsid w:val="00843982"/>
    <w:rsid w:val="00843A82"/>
    <w:rsid w:val="00843A9C"/>
    <w:rsid w:val="00843AFC"/>
    <w:rsid w:val="00843B8A"/>
    <w:rsid w:val="00843BE7"/>
    <w:rsid w:val="00843BEA"/>
    <w:rsid w:val="00843BF4"/>
    <w:rsid w:val="00843C1E"/>
    <w:rsid w:val="00843C96"/>
    <w:rsid w:val="00843D9B"/>
    <w:rsid w:val="00843E39"/>
    <w:rsid w:val="00843EE4"/>
    <w:rsid w:val="00843F62"/>
    <w:rsid w:val="00844095"/>
    <w:rsid w:val="0084410C"/>
    <w:rsid w:val="008441DE"/>
    <w:rsid w:val="00844200"/>
    <w:rsid w:val="00844233"/>
    <w:rsid w:val="00844266"/>
    <w:rsid w:val="00844285"/>
    <w:rsid w:val="008442CE"/>
    <w:rsid w:val="00844310"/>
    <w:rsid w:val="00844406"/>
    <w:rsid w:val="0084454E"/>
    <w:rsid w:val="00844729"/>
    <w:rsid w:val="00844745"/>
    <w:rsid w:val="008449AF"/>
    <w:rsid w:val="00844A32"/>
    <w:rsid w:val="00844A3A"/>
    <w:rsid w:val="00844BD2"/>
    <w:rsid w:val="00844C13"/>
    <w:rsid w:val="00844C4D"/>
    <w:rsid w:val="00844C95"/>
    <w:rsid w:val="00844D1A"/>
    <w:rsid w:val="00844EF8"/>
    <w:rsid w:val="00844FBB"/>
    <w:rsid w:val="00844FEE"/>
    <w:rsid w:val="0084506E"/>
    <w:rsid w:val="00845151"/>
    <w:rsid w:val="00845156"/>
    <w:rsid w:val="008451B4"/>
    <w:rsid w:val="00845292"/>
    <w:rsid w:val="0084539A"/>
    <w:rsid w:val="0084540E"/>
    <w:rsid w:val="008454A4"/>
    <w:rsid w:val="008454A9"/>
    <w:rsid w:val="00845507"/>
    <w:rsid w:val="0084555D"/>
    <w:rsid w:val="008456CA"/>
    <w:rsid w:val="008457B9"/>
    <w:rsid w:val="008457BE"/>
    <w:rsid w:val="00845958"/>
    <w:rsid w:val="0084596B"/>
    <w:rsid w:val="008459AD"/>
    <w:rsid w:val="00845A76"/>
    <w:rsid w:val="00845B07"/>
    <w:rsid w:val="00845B6B"/>
    <w:rsid w:val="00845F4D"/>
    <w:rsid w:val="00845F8B"/>
    <w:rsid w:val="008461D1"/>
    <w:rsid w:val="00846233"/>
    <w:rsid w:val="00846278"/>
    <w:rsid w:val="00846291"/>
    <w:rsid w:val="00846333"/>
    <w:rsid w:val="00846421"/>
    <w:rsid w:val="00846766"/>
    <w:rsid w:val="008467B1"/>
    <w:rsid w:val="008467E1"/>
    <w:rsid w:val="00846874"/>
    <w:rsid w:val="0084699F"/>
    <w:rsid w:val="008469BD"/>
    <w:rsid w:val="008469FB"/>
    <w:rsid w:val="00846A46"/>
    <w:rsid w:val="00846A4C"/>
    <w:rsid w:val="00846B7A"/>
    <w:rsid w:val="00846B7F"/>
    <w:rsid w:val="00846C52"/>
    <w:rsid w:val="00846D57"/>
    <w:rsid w:val="00846D75"/>
    <w:rsid w:val="00846E32"/>
    <w:rsid w:val="00846E8A"/>
    <w:rsid w:val="00846ED2"/>
    <w:rsid w:val="00847004"/>
    <w:rsid w:val="00847055"/>
    <w:rsid w:val="00847185"/>
    <w:rsid w:val="0084726E"/>
    <w:rsid w:val="008473B5"/>
    <w:rsid w:val="00847534"/>
    <w:rsid w:val="0084762F"/>
    <w:rsid w:val="0084767A"/>
    <w:rsid w:val="008476BE"/>
    <w:rsid w:val="0084774B"/>
    <w:rsid w:val="008477B2"/>
    <w:rsid w:val="00847866"/>
    <w:rsid w:val="00847888"/>
    <w:rsid w:val="008479E5"/>
    <w:rsid w:val="008479EF"/>
    <w:rsid w:val="00847A76"/>
    <w:rsid w:val="00847B85"/>
    <w:rsid w:val="00847CC9"/>
    <w:rsid w:val="00847DDE"/>
    <w:rsid w:val="00847DF1"/>
    <w:rsid w:val="00847E63"/>
    <w:rsid w:val="00847F96"/>
    <w:rsid w:val="00847FCB"/>
    <w:rsid w:val="00850056"/>
    <w:rsid w:val="008500B0"/>
    <w:rsid w:val="00850103"/>
    <w:rsid w:val="00850106"/>
    <w:rsid w:val="0085019B"/>
    <w:rsid w:val="00850213"/>
    <w:rsid w:val="00850224"/>
    <w:rsid w:val="0085025C"/>
    <w:rsid w:val="00850280"/>
    <w:rsid w:val="00850470"/>
    <w:rsid w:val="008504DB"/>
    <w:rsid w:val="00850553"/>
    <w:rsid w:val="0085055B"/>
    <w:rsid w:val="008505B8"/>
    <w:rsid w:val="008506BA"/>
    <w:rsid w:val="00850776"/>
    <w:rsid w:val="00850791"/>
    <w:rsid w:val="00850837"/>
    <w:rsid w:val="0085092B"/>
    <w:rsid w:val="00850967"/>
    <w:rsid w:val="00850A1C"/>
    <w:rsid w:val="00850A63"/>
    <w:rsid w:val="00850A99"/>
    <w:rsid w:val="00850AF3"/>
    <w:rsid w:val="00850BC3"/>
    <w:rsid w:val="00850C74"/>
    <w:rsid w:val="00850C80"/>
    <w:rsid w:val="00850CC1"/>
    <w:rsid w:val="00850DFC"/>
    <w:rsid w:val="00850ED9"/>
    <w:rsid w:val="00850EE3"/>
    <w:rsid w:val="00850F60"/>
    <w:rsid w:val="00850F86"/>
    <w:rsid w:val="00851044"/>
    <w:rsid w:val="00851087"/>
    <w:rsid w:val="008510B0"/>
    <w:rsid w:val="008510C4"/>
    <w:rsid w:val="00851101"/>
    <w:rsid w:val="0085111D"/>
    <w:rsid w:val="0085113A"/>
    <w:rsid w:val="00851186"/>
    <w:rsid w:val="0085120D"/>
    <w:rsid w:val="0085124F"/>
    <w:rsid w:val="008512EC"/>
    <w:rsid w:val="0085132F"/>
    <w:rsid w:val="0085139F"/>
    <w:rsid w:val="008513A8"/>
    <w:rsid w:val="008513BB"/>
    <w:rsid w:val="008513D2"/>
    <w:rsid w:val="008513D3"/>
    <w:rsid w:val="0085149E"/>
    <w:rsid w:val="008514CF"/>
    <w:rsid w:val="008515F0"/>
    <w:rsid w:val="00851696"/>
    <w:rsid w:val="008516A1"/>
    <w:rsid w:val="0085178E"/>
    <w:rsid w:val="008518F2"/>
    <w:rsid w:val="00851926"/>
    <w:rsid w:val="00851942"/>
    <w:rsid w:val="008519CE"/>
    <w:rsid w:val="008519ED"/>
    <w:rsid w:val="00851A7F"/>
    <w:rsid w:val="00851AC9"/>
    <w:rsid w:val="00851CBB"/>
    <w:rsid w:val="00851CCF"/>
    <w:rsid w:val="00851D14"/>
    <w:rsid w:val="00851D18"/>
    <w:rsid w:val="00851D2B"/>
    <w:rsid w:val="00851E7D"/>
    <w:rsid w:val="00851EC0"/>
    <w:rsid w:val="00851F40"/>
    <w:rsid w:val="00852015"/>
    <w:rsid w:val="00852027"/>
    <w:rsid w:val="0085202E"/>
    <w:rsid w:val="0085207C"/>
    <w:rsid w:val="008521E7"/>
    <w:rsid w:val="00852209"/>
    <w:rsid w:val="00852336"/>
    <w:rsid w:val="00852353"/>
    <w:rsid w:val="0085239E"/>
    <w:rsid w:val="008523D5"/>
    <w:rsid w:val="00852421"/>
    <w:rsid w:val="0085243A"/>
    <w:rsid w:val="008524E0"/>
    <w:rsid w:val="0085260D"/>
    <w:rsid w:val="0085267F"/>
    <w:rsid w:val="00852691"/>
    <w:rsid w:val="008526CE"/>
    <w:rsid w:val="0085276E"/>
    <w:rsid w:val="008527BB"/>
    <w:rsid w:val="00852869"/>
    <w:rsid w:val="008528F0"/>
    <w:rsid w:val="00852977"/>
    <w:rsid w:val="008529E9"/>
    <w:rsid w:val="00852A79"/>
    <w:rsid w:val="00852AFF"/>
    <w:rsid w:val="00852B01"/>
    <w:rsid w:val="00852B35"/>
    <w:rsid w:val="00852BE2"/>
    <w:rsid w:val="00852C4E"/>
    <w:rsid w:val="00852C68"/>
    <w:rsid w:val="00852C76"/>
    <w:rsid w:val="00852CB4"/>
    <w:rsid w:val="00852DA6"/>
    <w:rsid w:val="00852DDD"/>
    <w:rsid w:val="00852E8E"/>
    <w:rsid w:val="00852F45"/>
    <w:rsid w:val="00852FA3"/>
    <w:rsid w:val="00852FCF"/>
    <w:rsid w:val="00853048"/>
    <w:rsid w:val="00853085"/>
    <w:rsid w:val="008530EB"/>
    <w:rsid w:val="0085311C"/>
    <w:rsid w:val="00853291"/>
    <w:rsid w:val="008532E2"/>
    <w:rsid w:val="008532F6"/>
    <w:rsid w:val="0085340F"/>
    <w:rsid w:val="0085342A"/>
    <w:rsid w:val="008534EB"/>
    <w:rsid w:val="00853504"/>
    <w:rsid w:val="008535E9"/>
    <w:rsid w:val="0085360A"/>
    <w:rsid w:val="00853794"/>
    <w:rsid w:val="008537D2"/>
    <w:rsid w:val="008537FD"/>
    <w:rsid w:val="008538A1"/>
    <w:rsid w:val="008538E9"/>
    <w:rsid w:val="008539C2"/>
    <w:rsid w:val="00853BAC"/>
    <w:rsid w:val="00853CE2"/>
    <w:rsid w:val="00853D0D"/>
    <w:rsid w:val="00853D71"/>
    <w:rsid w:val="00853D8E"/>
    <w:rsid w:val="00853E8F"/>
    <w:rsid w:val="00853EB6"/>
    <w:rsid w:val="00853F2D"/>
    <w:rsid w:val="00853F61"/>
    <w:rsid w:val="00853F87"/>
    <w:rsid w:val="0085406E"/>
    <w:rsid w:val="0085408A"/>
    <w:rsid w:val="008540FA"/>
    <w:rsid w:val="00854105"/>
    <w:rsid w:val="0085415F"/>
    <w:rsid w:val="00854184"/>
    <w:rsid w:val="0085434A"/>
    <w:rsid w:val="008543DD"/>
    <w:rsid w:val="008543EB"/>
    <w:rsid w:val="00854429"/>
    <w:rsid w:val="00854543"/>
    <w:rsid w:val="00854566"/>
    <w:rsid w:val="008546C6"/>
    <w:rsid w:val="00854742"/>
    <w:rsid w:val="0085474C"/>
    <w:rsid w:val="008547C6"/>
    <w:rsid w:val="0085480C"/>
    <w:rsid w:val="008548CB"/>
    <w:rsid w:val="008548FC"/>
    <w:rsid w:val="008549EE"/>
    <w:rsid w:val="00854A80"/>
    <w:rsid w:val="00854AA2"/>
    <w:rsid w:val="00854AB7"/>
    <w:rsid w:val="00854B83"/>
    <w:rsid w:val="00854BA2"/>
    <w:rsid w:val="00854BB4"/>
    <w:rsid w:val="00854CDE"/>
    <w:rsid w:val="00854D21"/>
    <w:rsid w:val="00854D5D"/>
    <w:rsid w:val="00855069"/>
    <w:rsid w:val="0085510A"/>
    <w:rsid w:val="008551ED"/>
    <w:rsid w:val="00855272"/>
    <w:rsid w:val="008553A6"/>
    <w:rsid w:val="008554CB"/>
    <w:rsid w:val="00855525"/>
    <w:rsid w:val="0085557C"/>
    <w:rsid w:val="008555B9"/>
    <w:rsid w:val="0085569B"/>
    <w:rsid w:val="008556F7"/>
    <w:rsid w:val="00855731"/>
    <w:rsid w:val="00855734"/>
    <w:rsid w:val="00855768"/>
    <w:rsid w:val="00855776"/>
    <w:rsid w:val="008557D4"/>
    <w:rsid w:val="008558C1"/>
    <w:rsid w:val="008558D5"/>
    <w:rsid w:val="008558F5"/>
    <w:rsid w:val="00855908"/>
    <w:rsid w:val="0085594A"/>
    <w:rsid w:val="008559D9"/>
    <w:rsid w:val="00855A71"/>
    <w:rsid w:val="00855B1D"/>
    <w:rsid w:val="00855BFE"/>
    <w:rsid w:val="00855C4E"/>
    <w:rsid w:val="00855D00"/>
    <w:rsid w:val="00855DA2"/>
    <w:rsid w:val="00855DF5"/>
    <w:rsid w:val="00855E29"/>
    <w:rsid w:val="00855E37"/>
    <w:rsid w:val="00855E9D"/>
    <w:rsid w:val="00855F68"/>
    <w:rsid w:val="00855FC6"/>
    <w:rsid w:val="00856028"/>
    <w:rsid w:val="008560AF"/>
    <w:rsid w:val="00856167"/>
    <w:rsid w:val="0085624D"/>
    <w:rsid w:val="00856276"/>
    <w:rsid w:val="0085636B"/>
    <w:rsid w:val="008563C5"/>
    <w:rsid w:val="008563C8"/>
    <w:rsid w:val="0085641B"/>
    <w:rsid w:val="00856493"/>
    <w:rsid w:val="008564EF"/>
    <w:rsid w:val="008564F1"/>
    <w:rsid w:val="008564FF"/>
    <w:rsid w:val="0085669B"/>
    <w:rsid w:val="008566BE"/>
    <w:rsid w:val="008566DB"/>
    <w:rsid w:val="00856762"/>
    <w:rsid w:val="00856775"/>
    <w:rsid w:val="0085689E"/>
    <w:rsid w:val="008568A4"/>
    <w:rsid w:val="008568D3"/>
    <w:rsid w:val="00856A78"/>
    <w:rsid w:val="00856BC0"/>
    <w:rsid w:val="00856BE4"/>
    <w:rsid w:val="00856BF2"/>
    <w:rsid w:val="00856CA5"/>
    <w:rsid w:val="00856D8D"/>
    <w:rsid w:val="00856E4C"/>
    <w:rsid w:val="00857021"/>
    <w:rsid w:val="00857053"/>
    <w:rsid w:val="008570F0"/>
    <w:rsid w:val="00857103"/>
    <w:rsid w:val="0085716D"/>
    <w:rsid w:val="00857186"/>
    <w:rsid w:val="0085720D"/>
    <w:rsid w:val="00857222"/>
    <w:rsid w:val="00857235"/>
    <w:rsid w:val="0085723E"/>
    <w:rsid w:val="00857296"/>
    <w:rsid w:val="008572BB"/>
    <w:rsid w:val="008572FC"/>
    <w:rsid w:val="00857314"/>
    <w:rsid w:val="00857328"/>
    <w:rsid w:val="008573EB"/>
    <w:rsid w:val="0085746B"/>
    <w:rsid w:val="0085746C"/>
    <w:rsid w:val="0085768E"/>
    <w:rsid w:val="00857916"/>
    <w:rsid w:val="00857936"/>
    <w:rsid w:val="00857A16"/>
    <w:rsid w:val="00857A35"/>
    <w:rsid w:val="00857BAE"/>
    <w:rsid w:val="00857BB1"/>
    <w:rsid w:val="00857D17"/>
    <w:rsid w:val="00857E09"/>
    <w:rsid w:val="00857E7B"/>
    <w:rsid w:val="00857EAA"/>
    <w:rsid w:val="00857F73"/>
    <w:rsid w:val="00857F75"/>
    <w:rsid w:val="00857FB5"/>
    <w:rsid w:val="00857FFC"/>
    <w:rsid w:val="008600FE"/>
    <w:rsid w:val="0086022F"/>
    <w:rsid w:val="0086025D"/>
    <w:rsid w:val="008602A8"/>
    <w:rsid w:val="00860367"/>
    <w:rsid w:val="0086045F"/>
    <w:rsid w:val="00860579"/>
    <w:rsid w:val="0086059A"/>
    <w:rsid w:val="008606FD"/>
    <w:rsid w:val="0086072C"/>
    <w:rsid w:val="008607C0"/>
    <w:rsid w:val="0086084E"/>
    <w:rsid w:val="00860979"/>
    <w:rsid w:val="00860A7A"/>
    <w:rsid w:val="00860AFC"/>
    <w:rsid w:val="00860C10"/>
    <w:rsid w:val="00860C7B"/>
    <w:rsid w:val="00860D06"/>
    <w:rsid w:val="00860D87"/>
    <w:rsid w:val="00860DE3"/>
    <w:rsid w:val="00860E89"/>
    <w:rsid w:val="00860ED2"/>
    <w:rsid w:val="00860F13"/>
    <w:rsid w:val="00860F3F"/>
    <w:rsid w:val="00860FDC"/>
    <w:rsid w:val="00861028"/>
    <w:rsid w:val="0086132F"/>
    <w:rsid w:val="008613FF"/>
    <w:rsid w:val="00861468"/>
    <w:rsid w:val="008614D4"/>
    <w:rsid w:val="008615A6"/>
    <w:rsid w:val="008615BE"/>
    <w:rsid w:val="008615E2"/>
    <w:rsid w:val="0086160A"/>
    <w:rsid w:val="0086162E"/>
    <w:rsid w:val="0086166B"/>
    <w:rsid w:val="00861725"/>
    <w:rsid w:val="008617D7"/>
    <w:rsid w:val="00861914"/>
    <w:rsid w:val="00861B3C"/>
    <w:rsid w:val="00861B6B"/>
    <w:rsid w:val="00861BD9"/>
    <w:rsid w:val="00861BF5"/>
    <w:rsid w:val="00861CC1"/>
    <w:rsid w:val="00861D6C"/>
    <w:rsid w:val="00861E11"/>
    <w:rsid w:val="00861EEE"/>
    <w:rsid w:val="0086202E"/>
    <w:rsid w:val="0086210B"/>
    <w:rsid w:val="00862111"/>
    <w:rsid w:val="00862291"/>
    <w:rsid w:val="008623C0"/>
    <w:rsid w:val="0086250D"/>
    <w:rsid w:val="00862540"/>
    <w:rsid w:val="00862632"/>
    <w:rsid w:val="00862639"/>
    <w:rsid w:val="008627DB"/>
    <w:rsid w:val="00862848"/>
    <w:rsid w:val="00862A1D"/>
    <w:rsid w:val="00862A41"/>
    <w:rsid w:val="00862A42"/>
    <w:rsid w:val="00862C7B"/>
    <w:rsid w:val="00862CAF"/>
    <w:rsid w:val="00862DB0"/>
    <w:rsid w:val="00862DC2"/>
    <w:rsid w:val="00862DDA"/>
    <w:rsid w:val="008630C6"/>
    <w:rsid w:val="00863167"/>
    <w:rsid w:val="008631DC"/>
    <w:rsid w:val="008632A0"/>
    <w:rsid w:val="0086334F"/>
    <w:rsid w:val="008633D1"/>
    <w:rsid w:val="0086342F"/>
    <w:rsid w:val="00863545"/>
    <w:rsid w:val="0086364A"/>
    <w:rsid w:val="008636D0"/>
    <w:rsid w:val="00863791"/>
    <w:rsid w:val="00863886"/>
    <w:rsid w:val="008638A3"/>
    <w:rsid w:val="008638C8"/>
    <w:rsid w:val="00863933"/>
    <w:rsid w:val="00863A00"/>
    <w:rsid w:val="00863A20"/>
    <w:rsid w:val="00863A69"/>
    <w:rsid w:val="00863BF4"/>
    <w:rsid w:val="00863CB6"/>
    <w:rsid w:val="00863CFB"/>
    <w:rsid w:val="00863DB8"/>
    <w:rsid w:val="00863DF2"/>
    <w:rsid w:val="00863E11"/>
    <w:rsid w:val="00863F33"/>
    <w:rsid w:val="00863F61"/>
    <w:rsid w:val="00863FC9"/>
    <w:rsid w:val="00864039"/>
    <w:rsid w:val="008640B8"/>
    <w:rsid w:val="0086416E"/>
    <w:rsid w:val="00864195"/>
    <w:rsid w:val="008641AF"/>
    <w:rsid w:val="008642AA"/>
    <w:rsid w:val="008642AE"/>
    <w:rsid w:val="008642B8"/>
    <w:rsid w:val="008642E5"/>
    <w:rsid w:val="008642FB"/>
    <w:rsid w:val="00864386"/>
    <w:rsid w:val="00864396"/>
    <w:rsid w:val="00864409"/>
    <w:rsid w:val="008646D6"/>
    <w:rsid w:val="008646D9"/>
    <w:rsid w:val="00864740"/>
    <w:rsid w:val="00864794"/>
    <w:rsid w:val="00864802"/>
    <w:rsid w:val="0086481C"/>
    <w:rsid w:val="00864834"/>
    <w:rsid w:val="0086486B"/>
    <w:rsid w:val="008649AF"/>
    <w:rsid w:val="00864A0A"/>
    <w:rsid w:val="00864A2D"/>
    <w:rsid w:val="00864AAB"/>
    <w:rsid w:val="00864ADC"/>
    <w:rsid w:val="00864B66"/>
    <w:rsid w:val="00864B7C"/>
    <w:rsid w:val="00864C21"/>
    <w:rsid w:val="00864C3C"/>
    <w:rsid w:val="00864C5B"/>
    <w:rsid w:val="00864CFC"/>
    <w:rsid w:val="00864D5A"/>
    <w:rsid w:val="00864D7D"/>
    <w:rsid w:val="00864E98"/>
    <w:rsid w:val="00864F18"/>
    <w:rsid w:val="00865007"/>
    <w:rsid w:val="0086509E"/>
    <w:rsid w:val="008650BB"/>
    <w:rsid w:val="00865100"/>
    <w:rsid w:val="008651ED"/>
    <w:rsid w:val="00865240"/>
    <w:rsid w:val="008652E9"/>
    <w:rsid w:val="008652EE"/>
    <w:rsid w:val="00865482"/>
    <w:rsid w:val="0086556D"/>
    <w:rsid w:val="008655D7"/>
    <w:rsid w:val="008655F9"/>
    <w:rsid w:val="00865602"/>
    <w:rsid w:val="00865690"/>
    <w:rsid w:val="0086573B"/>
    <w:rsid w:val="00865744"/>
    <w:rsid w:val="00865755"/>
    <w:rsid w:val="0086578C"/>
    <w:rsid w:val="008657B2"/>
    <w:rsid w:val="008658A2"/>
    <w:rsid w:val="00865921"/>
    <w:rsid w:val="00865A65"/>
    <w:rsid w:val="00865B24"/>
    <w:rsid w:val="00865BB3"/>
    <w:rsid w:val="00865BFC"/>
    <w:rsid w:val="00865D18"/>
    <w:rsid w:val="00865D3F"/>
    <w:rsid w:val="00865DD5"/>
    <w:rsid w:val="00865E0C"/>
    <w:rsid w:val="00865E9F"/>
    <w:rsid w:val="00865F89"/>
    <w:rsid w:val="00865FA2"/>
    <w:rsid w:val="00866049"/>
    <w:rsid w:val="0086606C"/>
    <w:rsid w:val="00866202"/>
    <w:rsid w:val="0086623C"/>
    <w:rsid w:val="008662E8"/>
    <w:rsid w:val="0086632D"/>
    <w:rsid w:val="008663D5"/>
    <w:rsid w:val="0086640C"/>
    <w:rsid w:val="00866411"/>
    <w:rsid w:val="0086647B"/>
    <w:rsid w:val="008664CF"/>
    <w:rsid w:val="008664F9"/>
    <w:rsid w:val="00866511"/>
    <w:rsid w:val="00866584"/>
    <w:rsid w:val="0086660E"/>
    <w:rsid w:val="008666E5"/>
    <w:rsid w:val="0086680C"/>
    <w:rsid w:val="00866831"/>
    <w:rsid w:val="00866AA6"/>
    <w:rsid w:val="00866B44"/>
    <w:rsid w:val="00866BD1"/>
    <w:rsid w:val="00866C3A"/>
    <w:rsid w:val="00866C9C"/>
    <w:rsid w:val="0086707C"/>
    <w:rsid w:val="00867145"/>
    <w:rsid w:val="0086726C"/>
    <w:rsid w:val="00867399"/>
    <w:rsid w:val="0086740F"/>
    <w:rsid w:val="00867441"/>
    <w:rsid w:val="00867474"/>
    <w:rsid w:val="008674F6"/>
    <w:rsid w:val="0086750B"/>
    <w:rsid w:val="008675C9"/>
    <w:rsid w:val="0086763C"/>
    <w:rsid w:val="0086768E"/>
    <w:rsid w:val="008676CB"/>
    <w:rsid w:val="00867758"/>
    <w:rsid w:val="00867800"/>
    <w:rsid w:val="00867839"/>
    <w:rsid w:val="008678D7"/>
    <w:rsid w:val="00867917"/>
    <w:rsid w:val="008679BE"/>
    <w:rsid w:val="008679F1"/>
    <w:rsid w:val="00867ADC"/>
    <w:rsid w:val="00867B31"/>
    <w:rsid w:val="00867C42"/>
    <w:rsid w:val="00867C5E"/>
    <w:rsid w:val="00867FEC"/>
    <w:rsid w:val="00870068"/>
    <w:rsid w:val="008701C5"/>
    <w:rsid w:val="008701F9"/>
    <w:rsid w:val="0087027F"/>
    <w:rsid w:val="0087029F"/>
    <w:rsid w:val="008704A8"/>
    <w:rsid w:val="00870524"/>
    <w:rsid w:val="008705DF"/>
    <w:rsid w:val="0087065B"/>
    <w:rsid w:val="008706CA"/>
    <w:rsid w:val="008706FD"/>
    <w:rsid w:val="00870838"/>
    <w:rsid w:val="008709AD"/>
    <w:rsid w:val="00870A44"/>
    <w:rsid w:val="00870A5A"/>
    <w:rsid w:val="00870AAB"/>
    <w:rsid w:val="00870AF5"/>
    <w:rsid w:val="00870B48"/>
    <w:rsid w:val="00870B92"/>
    <w:rsid w:val="00870BA8"/>
    <w:rsid w:val="00870BD6"/>
    <w:rsid w:val="00870C29"/>
    <w:rsid w:val="0087104E"/>
    <w:rsid w:val="008710D9"/>
    <w:rsid w:val="00871145"/>
    <w:rsid w:val="0087126A"/>
    <w:rsid w:val="008712CB"/>
    <w:rsid w:val="0087134B"/>
    <w:rsid w:val="008714D7"/>
    <w:rsid w:val="0087153E"/>
    <w:rsid w:val="008715CC"/>
    <w:rsid w:val="008715CF"/>
    <w:rsid w:val="008716CB"/>
    <w:rsid w:val="008716EB"/>
    <w:rsid w:val="00871826"/>
    <w:rsid w:val="008718C8"/>
    <w:rsid w:val="00871AD8"/>
    <w:rsid w:val="00871BAE"/>
    <w:rsid w:val="00871C88"/>
    <w:rsid w:val="00871D96"/>
    <w:rsid w:val="00871DFB"/>
    <w:rsid w:val="00871E5A"/>
    <w:rsid w:val="00871E66"/>
    <w:rsid w:val="00871ED4"/>
    <w:rsid w:val="00871FA3"/>
    <w:rsid w:val="00871FA4"/>
    <w:rsid w:val="0087205F"/>
    <w:rsid w:val="008720F2"/>
    <w:rsid w:val="00872161"/>
    <w:rsid w:val="00872193"/>
    <w:rsid w:val="0087225C"/>
    <w:rsid w:val="0087226B"/>
    <w:rsid w:val="0087237C"/>
    <w:rsid w:val="0087238F"/>
    <w:rsid w:val="008723EE"/>
    <w:rsid w:val="008723FB"/>
    <w:rsid w:val="00872410"/>
    <w:rsid w:val="0087243F"/>
    <w:rsid w:val="008724AA"/>
    <w:rsid w:val="008724DC"/>
    <w:rsid w:val="008724FF"/>
    <w:rsid w:val="008725F1"/>
    <w:rsid w:val="008725F9"/>
    <w:rsid w:val="00872747"/>
    <w:rsid w:val="008728B3"/>
    <w:rsid w:val="0087293C"/>
    <w:rsid w:val="00872B15"/>
    <w:rsid w:val="00872B3D"/>
    <w:rsid w:val="00872B5F"/>
    <w:rsid w:val="00872C3B"/>
    <w:rsid w:val="00872C64"/>
    <w:rsid w:val="00872C67"/>
    <w:rsid w:val="00872C6D"/>
    <w:rsid w:val="00872C92"/>
    <w:rsid w:val="00872D0E"/>
    <w:rsid w:val="00872E08"/>
    <w:rsid w:val="00873046"/>
    <w:rsid w:val="00873055"/>
    <w:rsid w:val="0087308E"/>
    <w:rsid w:val="008731A3"/>
    <w:rsid w:val="0087321A"/>
    <w:rsid w:val="00873358"/>
    <w:rsid w:val="008733B9"/>
    <w:rsid w:val="00873428"/>
    <w:rsid w:val="0087347D"/>
    <w:rsid w:val="0087349D"/>
    <w:rsid w:val="008734D0"/>
    <w:rsid w:val="008735A3"/>
    <w:rsid w:val="008736FC"/>
    <w:rsid w:val="0087372E"/>
    <w:rsid w:val="0087376D"/>
    <w:rsid w:val="00873797"/>
    <w:rsid w:val="0087381C"/>
    <w:rsid w:val="008738C5"/>
    <w:rsid w:val="008738F4"/>
    <w:rsid w:val="00873A95"/>
    <w:rsid w:val="00873A9D"/>
    <w:rsid w:val="00873ADE"/>
    <w:rsid w:val="00873AEA"/>
    <w:rsid w:val="00873C5B"/>
    <w:rsid w:val="00873CD3"/>
    <w:rsid w:val="00873DA8"/>
    <w:rsid w:val="00873DBA"/>
    <w:rsid w:val="00873DEF"/>
    <w:rsid w:val="00873EBA"/>
    <w:rsid w:val="00873F71"/>
    <w:rsid w:val="0087407B"/>
    <w:rsid w:val="008740BE"/>
    <w:rsid w:val="008742EC"/>
    <w:rsid w:val="008743F1"/>
    <w:rsid w:val="00874416"/>
    <w:rsid w:val="0087451E"/>
    <w:rsid w:val="008746A8"/>
    <w:rsid w:val="008747BA"/>
    <w:rsid w:val="008747D0"/>
    <w:rsid w:val="008747D2"/>
    <w:rsid w:val="008748E7"/>
    <w:rsid w:val="0087490A"/>
    <w:rsid w:val="00874946"/>
    <w:rsid w:val="008749AF"/>
    <w:rsid w:val="008749B9"/>
    <w:rsid w:val="008749D5"/>
    <w:rsid w:val="00874A86"/>
    <w:rsid w:val="00874B16"/>
    <w:rsid w:val="00874B35"/>
    <w:rsid w:val="00874CF1"/>
    <w:rsid w:val="00874DAB"/>
    <w:rsid w:val="00874E9D"/>
    <w:rsid w:val="00874FDC"/>
    <w:rsid w:val="00875013"/>
    <w:rsid w:val="00875270"/>
    <w:rsid w:val="008752F0"/>
    <w:rsid w:val="00875471"/>
    <w:rsid w:val="008755FE"/>
    <w:rsid w:val="0087564B"/>
    <w:rsid w:val="008756E0"/>
    <w:rsid w:val="0087575D"/>
    <w:rsid w:val="0087575F"/>
    <w:rsid w:val="008757A5"/>
    <w:rsid w:val="008758DF"/>
    <w:rsid w:val="00875AA4"/>
    <w:rsid w:val="00875AF2"/>
    <w:rsid w:val="00875AF8"/>
    <w:rsid w:val="00875AF9"/>
    <w:rsid w:val="00875C00"/>
    <w:rsid w:val="00875C26"/>
    <w:rsid w:val="00875CB3"/>
    <w:rsid w:val="00875CF8"/>
    <w:rsid w:val="00875E0A"/>
    <w:rsid w:val="00875E34"/>
    <w:rsid w:val="00875EC5"/>
    <w:rsid w:val="00875ED8"/>
    <w:rsid w:val="00875F75"/>
    <w:rsid w:val="008761CC"/>
    <w:rsid w:val="0087625E"/>
    <w:rsid w:val="0087628D"/>
    <w:rsid w:val="008762D3"/>
    <w:rsid w:val="00876355"/>
    <w:rsid w:val="0087639E"/>
    <w:rsid w:val="008763D6"/>
    <w:rsid w:val="00876431"/>
    <w:rsid w:val="00876483"/>
    <w:rsid w:val="00876506"/>
    <w:rsid w:val="00876514"/>
    <w:rsid w:val="0087658A"/>
    <w:rsid w:val="008766E6"/>
    <w:rsid w:val="0087671E"/>
    <w:rsid w:val="008767D8"/>
    <w:rsid w:val="00876827"/>
    <w:rsid w:val="0087684B"/>
    <w:rsid w:val="00876B91"/>
    <w:rsid w:val="00876C12"/>
    <w:rsid w:val="00876C4E"/>
    <w:rsid w:val="00876CA8"/>
    <w:rsid w:val="00876D15"/>
    <w:rsid w:val="00876D31"/>
    <w:rsid w:val="00876D51"/>
    <w:rsid w:val="00876D96"/>
    <w:rsid w:val="00876E9B"/>
    <w:rsid w:val="00876EF2"/>
    <w:rsid w:val="00876F42"/>
    <w:rsid w:val="00877053"/>
    <w:rsid w:val="00877163"/>
    <w:rsid w:val="008771F7"/>
    <w:rsid w:val="00877267"/>
    <w:rsid w:val="008772D2"/>
    <w:rsid w:val="008772D7"/>
    <w:rsid w:val="0087734B"/>
    <w:rsid w:val="008773FB"/>
    <w:rsid w:val="0087744B"/>
    <w:rsid w:val="00877478"/>
    <w:rsid w:val="008775C4"/>
    <w:rsid w:val="008776F0"/>
    <w:rsid w:val="008776F7"/>
    <w:rsid w:val="0087785D"/>
    <w:rsid w:val="00877860"/>
    <w:rsid w:val="008778F4"/>
    <w:rsid w:val="00877915"/>
    <w:rsid w:val="00877A12"/>
    <w:rsid w:val="00877AFF"/>
    <w:rsid w:val="00877BD4"/>
    <w:rsid w:val="00877C81"/>
    <w:rsid w:val="00877E91"/>
    <w:rsid w:val="00877EE2"/>
    <w:rsid w:val="00877FF0"/>
    <w:rsid w:val="00880050"/>
    <w:rsid w:val="00880069"/>
    <w:rsid w:val="008801A5"/>
    <w:rsid w:val="008801CF"/>
    <w:rsid w:val="00880220"/>
    <w:rsid w:val="00880257"/>
    <w:rsid w:val="008802D8"/>
    <w:rsid w:val="00880350"/>
    <w:rsid w:val="00880368"/>
    <w:rsid w:val="008805CF"/>
    <w:rsid w:val="008805F6"/>
    <w:rsid w:val="00880778"/>
    <w:rsid w:val="008807DB"/>
    <w:rsid w:val="00880836"/>
    <w:rsid w:val="0088093C"/>
    <w:rsid w:val="00880A85"/>
    <w:rsid w:val="00880A9B"/>
    <w:rsid w:val="00880AC3"/>
    <w:rsid w:val="00880BF4"/>
    <w:rsid w:val="00880C02"/>
    <w:rsid w:val="00880D05"/>
    <w:rsid w:val="00880D79"/>
    <w:rsid w:val="00880DE0"/>
    <w:rsid w:val="00880E51"/>
    <w:rsid w:val="00880F29"/>
    <w:rsid w:val="0088104E"/>
    <w:rsid w:val="0088111D"/>
    <w:rsid w:val="0088115A"/>
    <w:rsid w:val="0088115F"/>
    <w:rsid w:val="00881229"/>
    <w:rsid w:val="0088127F"/>
    <w:rsid w:val="008812A5"/>
    <w:rsid w:val="008812C2"/>
    <w:rsid w:val="008812F8"/>
    <w:rsid w:val="008813B4"/>
    <w:rsid w:val="008813CF"/>
    <w:rsid w:val="00881472"/>
    <w:rsid w:val="00881474"/>
    <w:rsid w:val="00881493"/>
    <w:rsid w:val="0088155A"/>
    <w:rsid w:val="00881587"/>
    <w:rsid w:val="008815A1"/>
    <w:rsid w:val="00881604"/>
    <w:rsid w:val="00881680"/>
    <w:rsid w:val="00881713"/>
    <w:rsid w:val="008817AC"/>
    <w:rsid w:val="00881802"/>
    <w:rsid w:val="008818C4"/>
    <w:rsid w:val="0088195E"/>
    <w:rsid w:val="008819BF"/>
    <w:rsid w:val="00881A6E"/>
    <w:rsid w:val="00881B12"/>
    <w:rsid w:val="00881B34"/>
    <w:rsid w:val="00881B97"/>
    <w:rsid w:val="00881BB1"/>
    <w:rsid w:val="00881C35"/>
    <w:rsid w:val="00881CC5"/>
    <w:rsid w:val="00881D4B"/>
    <w:rsid w:val="00881E2B"/>
    <w:rsid w:val="00881F3D"/>
    <w:rsid w:val="00881FC1"/>
    <w:rsid w:val="008820F0"/>
    <w:rsid w:val="0088219E"/>
    <w:rsid w:val="008821AE"/>
    <w:rsid w:val="008821F9"/>
    <w:rsid w:val="0088230E"/>
    <w:rsid w:val="008824EC"/>
    <w:rsid w:val="008824FA"/>
    <w:rsid w:val="00882544"/>
    <w:rsid w:val="00882565"/>
    <w:rsid w:val="00882617"/>
    <w:rsid w:val="0088265B"/>
    <w:rsid w:val="00882763"/>
    <w:rsid w:val="008827BA"/>
    <w:rsid w:val="00882A00"/>
    <w:rsid w:val="00882A02"/>
    <w:rsid w:val="00882A97"/>
    <w:rsid w:val="00882AF8"/>
    <w:rsid w:val="00882B37"/>
    <w:rsid w:val="00882B5B"/>
    <w:rsid w:val="00882BDC"/>
    <w:rsid w:val="00882C36"/>
    <w:rsid w:val="00882CB3"/>
    <w:rsid w:val="00882CC2"/>
    <w:rsid w:val="00882CC9"/>
    <w:rsid w:val="00882D8C"/>
    <w:rsid w:val="00882F3C"/>
    <w:rsid w:val="00882F97"/>
    <w:rsid w:val="008830F9"/>
    <w:rsid w:val="008830FB"/>
    <w:rsid w:val="0088321A"/>
    <w:rsid w:val="00883247"/>
    <w:rsid w:val="008832F4"/>
    <w:rsid w:val="008833CC"/>
    <w:rsid w:val="00883627"/>
    <w:rsid w:val="00883660"/>
    <w:rsid w:val="008836E7"/>
    <w:rsid w:val="00883773"/>
    <w:rsid w:val="00883812"/>
    <w:rsid w:val="0088387A"/>
    <w:rsid w:val="00883891"/>
    <w:rsid w:val="00883895"/>
    <w:rsid w:val="00883931"/>
    <w:rsid w:val="008839AE"/>
    <w:rsid w:val="00883A21"/>
    <w:rsid w:val="00883AE9"/>
    <w:rsid w:val="00883B5D"/>
    <w:rsid w:val="00883C31"/>
    <w:rsid w:val="00883C58"/>
    <w:rsid w:val="00883C78"/>
    <w:rsid w:val="00883DB8"/>
    <w:rsid w:val="00883DC5"/>
    <w:rsid w:val="00883EA7"/>
    <w:rsid w:val="00883FFE"/>
    <w:rsid w:val="00884001"/>
    <w:rsid w:val="0088404F"/>
    <w:rsid w:val="008840BD"/>
    <w:rsid w:val="00884171"/>
    <w:rsid w:val="008841A7"/>
    <w:rsid w:val="008841AE"/>
    <w:rsid w:val="0088436A"/>
    <w:rsid w:val="0088444F"/>
    <w:rsid w:val="0088448B"/>
    <w:rsid w:val="0088448F"/>
    <w:rsid w:val="008845BE"/>
    <w:rsid w:val="00884637"/>
    <w:rsid w:val="00884767"/>
    <w:rsid w:val="00884787"/>
    <w:rsid w:val="008847A3"/>
    <w:rsid w:val="0088484F"/>
    <w:rsid w:val="00884853"/>
    <w:rsid w:val="0088494B"/>
    <w:rsid w:val="0088499E"/>
    <w:rsid w:val="008849EF"/>
    <w:rsid w:val="00884A30"/>
    <w:rsid w:val="00884ACD"/>
    <w:rsid w:val="00884BC2"/>
    <w:rsid w:val="00884CD2"/>
    <w:rsid w:val="00884DD4"/>
    <w:rsid w:val="00884ED2"/>
    <w:rsid w:val="00884F76"/>
    <w:rsid w:val="008850DD"/>
    <w:rsid w:val="00885128"/>
    <w:rsid w:val="0088528B"/>
    <w:rsid w:val="008853EB"/>
    <w:rsid w:val="0088547F"/>
    <w:rsid w:val="0088554D"/>
    <w:rsid w:val="008855A9"/>
    <w:rsid w:val="008855F7"/>
    <w:rsid w:val="0088572C"/>
    <w:rsid w:val="00885768"/>
    <w:rsid w:val="008859E7"/>
    <w:rsid w:val="00885A25"/>
    <w:rsid w:val="00885B7E"/>
    <w:rsid w:val="00885BD0"/>
    <w:rsid w:val="00885CA5"/>
    <w:rsid w:val="00885D1B"/>
    <w:rsid w:val="00885DC7"/>
    <w:rsid w:val="00885F06"/>
    <w:rsid w:val="00885F8C"/>
    <w:rsid w:val="00886026"/>
    <w:rsid w:val="0088602A"/>
    <w:rsid w:val="00886035"/>
    <w:rsid w:val="00886076"/>
    <w:rsid w:val="0088608C"/>
    <w:rsid w:val="008860F0"/>
    <w:rsid w:val="00886197"/>
    <w:rsid w:val="008861FE"/>
    <w:rsid w:val="00886296"/>
    <w:rsid w:val="0088631C"/>
    <w:rsid w:val="00886442"/>
    <w:rsid w:val="00886490"/>
    <w:rsid w:val="00886508"/>
    <w:rsid w:val="00886551"/>
    <w:rsid w:val="00886555"/>
    <w:rsid w:val="008866E7"/>
    <w:rsid w:val="0088671B"/>
    <w:rsid w:val="00886828"/>
    <w:rsid w:val="008869B7"/>
    <w:rsid w:val="008869C9"/>
    <w:rsid w:val="00886A26"/>
    <w:rsid w:val="00886A5A"/>
    <w:rsid w:val="00886AAE"/>
    <w:rsid w:val="00886B8E"/>
    <w:rsid w:val="00886C11"/>
    <w:rsid w:val="00886C74"/>
    <w:rsid w:val="00886DDA"/>
    <w:rsid w:val="00886DFA"/>
    <w:rsid w:val="00886F03"/>
    <w:rsid w:val="00886FD1"/>
    <w:rsid w:val="00886FFD"/>
    <w:rsid w:val="008873FD"/>
    <w:rsid w:val="00887524"/>
    <w:rsid w:val="008875DA"/>
    <w:rsid w:val="00887652"/>
    <w:rsid w:val="00887697"/>
    <w:rsid w:val="008876BB"/>
    <w:rsid w:val="008876F3"/>
    <w:rsid w:val="00887715"/>
    <w:rsid w:val="00887727"/>
    <w:rsid w:val="0088777D"/>
    <w:rsid w:val="00887824"/>
    <w:rsid w:val="008878B0"/>
    <w:rsid w:val="008878C8"/>
    <w:rsid w:val="008878FD"/>
    <w:rsid w:val="0088791F"/>
    <w:rsid w:val="00887A5F"/>
    <w:rsid w:val="00887AE4"/>
    <w:rsid w:val="00887E41"/>
    <w:rsid w:val="00887EE3"/>
    <w:rsid w:val="00887EFF"/>
    <w:rsid w:val="00890074"/>
    <w:rsid w:val="00890083"/>
    <w:rsid w:val="00890128"/>
    <w:rsid w:val="008901C1"/>
    <w:rsid w:val="008901FD"/>
    <w:rsid w:val="008902CF"/>
    <w:rsid w:val="00890371"/>
    <w:rsid w:val="008903B7"/>
    <w:rsid w:val="008903B9"/>
    <w:rsid w:val="008904E2"/>
    <w:rsid w:val="008904FA"/>
    <w:rsid w:val="00890568"/>
    <w:rsid w:val="0089068C"/>
    <w:rsid w:val="0089070B"/>
    <w:rsid w:val="008907D8"/>
    <w:rsid w:val="00890831"/>
    <w:rsid w:val="008908F4"/>
    <w:rsid w:val="00890984"/>
    <w:rsid w:val="008909B0"/>
    <w:rsid w:val="008909C2"/>
    <w:rsid w:val="008909EF"/>
    <w:rsid w:val="008909FE"/>
    <w:rsid w:val="00890AE0"/>
    <w:rsid w:val="00890D05"/>
    <w:rsid w:val="00890DB5"/>
    <w:rsid w:val="00890E09"/>
    <w:rsid w:val="00890E54"/>
    <w:rsid w:val="00890ECE"/>
    <w:rsid w:val="00890EFA"/>
    <w:rsid w:val="00890F58"/>
    <w:rsid w:val="00890F99"/>
    <w:rsid w:val="00890FA5"/>
    <w:rsid w:val="00890FD8"/>
    <w:rsid w:val="008911ED"/>
    <w:rsid w:val="008911F5"/>
    <w:rsid w:val="008912D6"/>
    <w:rsid w:val="00891321"/>
    <w:rsid w:val="0089154D"/>
    <w:rsid w:val="008915C6"/>
    <w:rsid w:val="008915E4"/>
    <w:rsid w:val="00891753"/>
    <w:rsid w:val="0089176F"/>
    <w:rsid w:val="0089188E"/>
    <w:rsid w:val="00891952"/>
    <w:rsid w:val="00891B02"/>
    <w:rsid w:val="00891B1C"/>
    <w:rsid w:val="00891B4A"/>
    <w:rsid w:val="00891B51"/>
    <w:rsid w:val="00891B59"/>
    <w:rsid w:val="00891BF4"/>
    <w:rsid w:val="00891C41"/>
    <w:rsid w:val="00891C5B"/>
    <w:rsid w:val="00891D90"/>
    <w:rsid w:val="00891DF7"/>
    <w:rsid w:val="00891FCB"/>
    <w:rsid w:val="00892028"/>
    <w:rsid w:val="008920A9"/>
    <w:rsid w:val="00892236"/>
    <w:rsid w:val="00892643"/>
    <w:rsid w:val="008926D1"/>
    <w:rsid w:val="008926DE"/>
    <w:rsid w:val="008927CD"/>
    <w:rsid w:val="0089284C"/>
    <w:rsid w:val="0089287F"/>
    <w:rsid w:val="0089288A"/>
    <w:rsid w:val="008928CA"/>
    <w:rsid w:val="0089297E"/>
    <w:rsid w:val="008929CA"/>
    <w:rsid w:val="00892A33"/>
    <w:rsid w:val="00892AF4"/>
    <w:rsid w:val="00892B34"/>
    <w:rsid w:val="00892B38"/>
    <w:rsid w:val="00892BBC"/>
    <w:rsid w:val="00892C06"/>
    <w:rsid w:val="00892C0C"/>
    <w:rsid w:val="00892C73"/>
    <w:rsid w:val="00892DDA"/>
    <w:rsid w:val="00892FBC"/>
    <w:rsid w:val="00893067"/>
    <w:rsid w:val="0089308B"/>
    <w:rsid w:val="00893112"/>
    <w:rsid w:val="00893142"/>
    <w:rsid w:val="00893209"/>
    <w:rsid w:val="00893375"/>
    <w:rsid w:val="00893388"/>
    <w:rsid w:val="008933DD"/>
    <w:rsid w:val="0089346A"/>
    <w:rsid w:val="008934C1"/>
    <w:rsid w:val="0089384D"/>
    <w:rsid w:val="00893850"/>
    <w:rsid w:val="0089392A"/>
    <w:rsid w:val="00893932"/>
    <w:rsid w:val="008939C8"/>
    <w:rsid w:val="008939F2"/>
    <w:rsid w:val="00893AE6"/>
    <w:rsid w:val="00893C4A"/>
    <w:rsid w:val="00893C9C"/>
    <w:rsid w:val="00893CA7"/>
    <w:rsid w:val="00893D0D"/>
    <w:rsid w:val="00893D34"/>
    <w:rsid w:val="00893DD4"/>
    <w:rsid w:val="00893F55"/>
    <w:rsid w:val="00894016"/>
    <w:rsid w:val="00894069"/>
    <w:rsid w:val="008940AE"/>
    <w:rsid w:val="008940C2"/>
    <w:rsid w:val="008940C5"/>
    <w:rsid w:val="00894184"/>
    <w:rsid w:val="0089431D"/>
    <w:rsid w:val="00894380"/>
    <w:rsid w:val="00894467"/>
    <w:rsid w:val="008946B9"/>
    <w:rsid w:val="00894743"/>
    <w:rsid w:val="00894754"/>
    <w:rsid w:val="008947A0"/>
    <w:rsid w:val="008947A1"/>
    <w:rsid w:val="008948BE"/>
    <w:rsid w:val="00894948"/>
    <w:rsid w:val="008949AB"/>
    <w:rsid w:val="008949B3"/>
    <w:rsid w:val="00894AA5"/>
    <w:rsid w:val="00894BAD"/>
    <w:rsid w:val="00894CE6"/>
    <w:rsid w:val="00894DF6"/>
    <w:rsid w:val="00894DF8"/>
    <w:rsid w:val="00894EE8"/>
    <w:rsid w:val="00894EFE"/>
    <w:rsid w:val="00895040"/>
    <w:rsid w:val="0089510D"/>
    <w:rsid w:val="00895136"/>
    <w:rsid w:val="008951DB"/>
    <w:rsid w:val="008952E1"/>
    <w:rsid w:val="0089544A"/>
    <w:rsid w:val="0089548F"/>
    <w:rsid w:val="008954BE"/>
    <w:rsid w:val="008955E3"/>
    <w:rsid w:val="00895643"/>
    <w:rsid w:val="008956EA"/>
    <w:rsid w:val="0089580B"/>
    <w:rsid w:val="00895847"/>
    <w:rsid w:val="00895910"/>
    <w:rsid w:val="00895925"/>
    <w:rsid w:val="008959A6"/>
    <w:rsid w:val="008959E2"/>
    <w:rsid w:val="008959F6"/>
    <w:rsid w:val="00895A72"/>
    <w:rsid w:val="00895A74"/>
    <w:rsid w:val="00895C05"/>
    <w:rsid w:val="00895CEA"/>
    <w:rsid w:val="00895EA4"/>
    <w:rsid w:val="00895ED3"/>
    <w:rsid w:val="00895F3D"/>
    <w:rsid w:val="00895F42"/>
    <w:rsid w:val="008960C7"/>
    <w:rsid w:val="008960FE"/>
    <w:rsid w:val="00896152"/>
    <w:rsid w:val="0089619B"/>
    <w:rsid w:val="0089620A"/>
    <w:rsid w:val="008962EF"/>
    <w:rsid w:val="0089634A"/>
    <w:rsid w:val="00896416"/>
    <w:rsid w:val="008964C0"/>
    <w:rsid w:val="00896537"/>
    <w:rsid w:val="00896691"/>
    <w:rsid w:val="00896716"/>
    <w:rsid w:val="00896874"/>
    <w:rsid w:val="008968C7"/>
    <w:rsid w:val="008968FD"/>
    <w:rsid w:val="00896919"/>
    <w:rsid w:val="0089691C"/>
    <w:rsid w:val="00896928"/>
    <w:rsid w:val="0089699B"/>
    <w:rsid w:val="00896A10"/>
    <w:rsid w:val="00896C96"/>
    <w:rsid w:val="00896CD1"/>
    <w:rsid w:val="00896CE9"/>
    <w:rsid w:val="00896CF4"/>
    <w:rsid w:val="00896D45"/>
    <w:rsid w:val="00896D4D"/>
    <w:rsid w:val="00896D84"/>
    <w:rsid w:val="00896DBB"/>
    <w:rsid w:val="00896DD3"/>
    <w:rsid w:val="0089703B"/>
    <w:rsid w:val="008970B1"/>
    <w:rsid w:val="008971AF"/>
    <w:rsid w:val="008971F5"/>
    <w:rsid w:val="00897232"/>
    <w:rsid w:val="008974B8"/>
    <w:rsid w:val="00897759"/>
    <w:rsid w:val="00897785"/>
    <w:rsid w:val="00897790"/>
    <w:rsid w:val="00897909"/>
    <w:rsid w:val="00897934"/>
    <w:rsid w:val="00897AE0"/>
    <w:rsid w:val="00897B1E"/>
    <w:rsid w:val="00897B2F"/>
    <w:rsid w:val="00897CA8"/>
    <w:rsid w:val="00897CE6"/>
    <w:rsid w:val="00897DC4"/>
    <w:rsid w:val="00897ED6"/>
    <w:rsid w:val="008A00A9"/>
    <w:rsid w:val="008A026A"/>
    <w:rsid w:val="008A028F"/>
    <w:rsid w:val="008A0348"/>
    <w:rsid w:val="008A0404"/>
    <w:rsid w:val="008A04FB"/>
    <w:rsid w:val="008A050C"/>
    <w:rsid w:val="008A05C1"/>
    <w:rsid w:val="008A068F"/>
    <w:rsid w:val="008A079F"/>
    <w:rsid w:val="008A081F"/>
    <w:rsid w:val="008A087C"/>
    <w:rsid w:val="008A0907"/>
    <w:rsid w:val="008A0926"/>
    <w:rsid w:val="008A097A"/>
    <w:rsid w:val="008A0990"/>
    <w:rsid w:val="008A0AC1"/>
    <w:rsid w:val="008A0CBA"/>
    <w:rsid w:val="008A0D15"/>
    <w:rsid w:val="008A0D49"/>
    <w:rsid w:val="008A0D91"/>
    <w:rsid w:val="008A0E03"/>
    <w:rsid w:val="008A0E8B"/>
    <w:rsid w:val="008A0F34"/>
    <w:rsid w:val="008A0F3A"/>
    <w:rsid w:val="008A0F45"/>
    <w:rsid w:val="008A1000"/>
    <w:rsid w:val="008A1017"/>
    <w:rsid w:val="008A10B5"/>
    <w:rsid w:val="008A10C9"/>
    <w:rsid w:val="008A10DB"/>
    <w:rsid w:val="008A122C"/>
    <w:rsid w:val="008A12A5"/>
    <w:rsid w:val="008A135A"/>
    <w:rsid w:val="008A136D"/>
    <w:rsid w:val="008A13FC"/>
    <w:rsid w:val="008A140C"/>
    <w:rsid w:val="008A1496"/>
    <w:rsid w:val="008A14A8"/>
    <w:rsid w:val="008A1518"/>
    <w:rsid w:val="008A1572"/>
    <w:rsid w:val="008A15BE"/>
    <w:rsid w:val="008A1740"/>
    <w:rsid w:val="008A1744"/>
    <w:rsid w:val="008A17B5"/>
    <w:rsid w:val="008A17CC"/>
    <w:rsid w:val="008A188D"/>
    <w:rsid w:val="008A19F5"/>
    <w:rsid w:val="008A1B57"/>
    <w:rsid w:val="008A1B65"/>
    <w:rsid w:val="008A1BEE"/>
    <w:rsid w:val="008A1D48"/>
    <w:rsid w:val="008A1D69"/>
    <w:rsid w:val="008A1D89"/>
    <w:rsid w:val="008A1DCB"/>
    <w:rsid w:val="008A1E30"/>
    <w:rsid w:val="008A1E50"/>
    <w:rsid w:val="008A1E7B"/>
    <w:rsid w:val="008A1EAB"/>
    <w:rsid w:val="008A1EFE"/>
    <w:rsid w:val="008A1F02"/>
    <w:rsid w:val="008A1F2B"/>
    <w:rsid w:val="008A2024"/>
    <w:rsid w:val="008A217C"/>
    <w:rsid w:val="008A21E7"/>
    <w:rsid w:val="008A2223"/>
    <w:rsid w:val="008A225C"/>
    <w:rsid w:val="008A22A9"/>
    <w:rsid w:val="008A2322"/>
    <w:rsid w:val="008A2338"/>
    <w:rsid w:val="008A248E"/>
    <w:rsid w:val="008A2494"/>
    <w:rsid w:val="008A251E"/>
    <w:rsid w:val="008A253A"/>
    <w:rsid w:val="008A256F"/>
    <w:rsid w:val="008A2654"/>
    <w:rsid w:val="008A2665"/>
    <w:rsid w:val="008A26CA"/>
    <w:rsid w:val="008A2754"/>
    <w:rsid w:val="008A281B"/>
    <w:rsid w:val="008A2876"/>
    <w:rsid w:val="008A2877"/>
    <w:rsid w:val="008A2E81"/>
    <w:rsid w:val="008A2F30"/>
    <w:rsid w:val="008A3069"/>
    <w:rsid w:val="008A3139"/>
    <w:rsid w:val="008A315C"/>
    <w:rsid w:val="008A3171"/>
    <w:rsid w:val="008A32BE"/>
    <w:rsid w:val="008A32DA"/>
    <w:rsid w:val="008A33F4"/>
    <w:rsid w:val="008A341B"/>
    <w:rsid w:val="008A34CB"/>
    <w:rsid w:val="008A3512"/>
    <w:rsid w:val="008A353C"/>
    <w:rsid w:val="008A35F7"/>
    <w:rsid w:val="008A3603"/>
    <w:rsid w:val="008A3645"/>
    <w:rsid w:val="008A3841"/>
    <w:rsid w:val="008A3851"/>
    <w:rsid w:val="008A3A56"/>
    <w:rsid w:val="008A3AB1"/>
    <w:rsid w:val="008A3AF8"/>
    <w:rsid w:val="008A3CFB"/>
    <w:rsid w:val="008A3D16"/>
    <w:rsid w:val="008A3D75"/>
    <w:rsid w:val="008A3EA3"/>
    <w:rsid w:val="008A3EF1"/>
    <w:rsid w:val="008A3F97"/>
    <w:rsid w:val="008A400B"/>
    <w:rsid w:val="008A4023"/>
    <w:rsid w:val="008A40A9"/>
    <w:rsid w:val="008A4171"/>
    <w:rsid w:val="008A41F9"/>
    <w:rsid w:val="008A4331"/>
    <w:rsid w:val="008A4405"/>
    <w:rsid w:val="008A442D"/>
    <w:rsid w:val="008A45E0"/>
    <w:rsid w:val="008A465D"/>
    <w:rsid w:val="008A466D"/>
    <w:rsid w:val="008A46D0"/>
    <w:rsid w:val="008A46DD"/>
    <w:rsid w:val="008A478A"/>
    <w:rsid w:val="008A4840"/>
    <w:rsid w:val="008A4A29"/>
    <w:rsid w:val="008A4B2A"/>
    <w:rsid w:val="008A4BD3"/>
    <w:rsid w:val="008A4D94"/>
    <w:rsid w:val="008A4DAB"/>
    <w:rsid w:val="008A4DDF"/>
    <w:rsid w:val="008A4E01"/>
    <w:rsid w:val="008A4E24"/>
    <w:rsid w:val="008A4E79"/>
    <w:rsid w:val="008A4EBE"/>
    <w:rsid w:val="008A4FB6"/>
    <w:rsid w:val="008A4FF9"/>
    <w:rsid w:val="008A505A"/>
    <w:rsid w:val="008A5066"/>
    <w:rsid w:val="008A5075"/>
    <w:rsid w:val="008A50B4"/>
    <w:rsid w:val="008A510B"/>
    <w:rsid w:val="008A5166"/>
    <w:rsid w:val="008A5314"/>
    <w:rsid w:val="008A537D"/>
    <w:rsid w:val="008A546C"/>
    <w:rsid w:val="008A5482"/>
    <w:rsid w:val="008A54F0"/>
    <w:rsid w:val="008A5512"/>
    <w:rsid w:val="008A5514"/>
    <w:rsid w:val="008A551D"/>
    <w:rsid w:val="008A5588"/>
    <w:rsid w:val="008A55BA"/>
    <w:rsid w:val="008A55C7"/>
    <w:rsid w:val="008A5628"/>
    <w:rsid w:val="008A5639"/>
    <w:rsid w:val="008A565D"/>
    <w:rsid w:val="008A5799"/>
    <w:rsid w:val="008A586A"/>
    <w:rsid w:val="008A5978"/>
    <w:rsid w:val="008A59DD"/>
    <w:rsid w:val="008A5AF1"/>
    <w:rsid w:val="008A5B5E"/>
    <w:rsid w:val="008A5B93"/>
    <w:rsid w:val="008A5CBF"/>
    <w:rsid w:val="008A5D1F"/>
    <w:rsid w:val="008A5D91"/>
    <w:rsid w:val="008A5E78"/>
    <w:rsid w:val="008A5F1D"/>
    <w:rsid w:val="008A5F27"/>
    <w:rsid w:val="008A5F4F"/>
    <w:rsid w:val="008A5FF2"/>
    <w:rsid w:val="008A60A5"/>
    <w:rsid w:val="008A610D"/>
    <w:rsid w:val="008A6142"/>
    <w:rsid w:val="008A61A8"/>
    <w:rsid w:val="008A62ED"/>
    <w:rsid w:val="008A6466"/>
    <w:rsid w:val="008A649D"/>
    <w:rsid w:val="008A64E4"/>
    <w:rsid w:val="008A6602"/>
    <w:rsid w:val="008A66C6"/>
    <w:rsid w:val="008A677F"/>
    <w:rsid w:val="008A6804"/>
    <w:rsid w:val="008A68E3"/>
    <w:rsid w:val="008A6928"/>
    <w:rsid w:val="008A6931"/>
    <w:rsid w:val="008A696C"/>
    <w:rsid w:val="008A69B4"/>
    <w:rsid w:val="008A69D7"/>
    <w:rsid w:val="008A6AD9"/>
    <w:rsid w:val="008A6B02"/>
    <w:rsid w:val="008A6C9A"/>
    <w:rsid w:val="008A6D84"/>
    <w:rsid w:val="008A6DD6"/>
    <w:rsid w:val="008A6E17"/>
    <w:rsid w:val="008A6F22"/>
    <w:rsid w:val="008A6F88"/>
    <w:rsid w:val="008A703F"/>
    <w:rsid w:val="008A710D"/>
    <w:rsid w:val="008A7208"/>
    <w:rsid w:val="008A72E4"/>
    <w:rsid w:val="008A734C"/>
    <w:rsid w:val="008A73A1"/>
    <w:rsid w:val="008A7408"/>
    <w:rsid w:val="008A7447"/>
    <w:rsid w:val="008A7468"/>
    <w:rsid w:val="008A74D6"/>
    <w:rsid w:val="008A754C"/>
    <w:rsid w:val="008A75C7"/>
    <w:rsid w:val="008A76C0"/>
    <w:rsid w:val="008A7769"/>
    <w:rsid w:val="008A77E3"/>
    <w:rsid w:val="008A77FB"/>
    <w:rsid w:val="008A7A37"/>
    <w:rsid w:val="008A7A72"/>
    <w:rsid w:val="008A7C29"/>
    <w:rsid w:val="008A7C4C"/>
    <w:rsid w:val="008A7CC5"/>
    <w:rsid w:val="008A7D46"/>
    <w:rsid w:val="008A7E57"/>
    <w:rsid w:val="008B003C"/>
    <w:rsid w:val="008B012F"/>
    <w:rsid w:val="008B0170"/>
    <w:rsid w:val="008B01A4"/>
    <w:rsid w:val="008B01A8"/>
    <w:rsid w:val="008B02C7"/>
    <w:rsid w:val="008B03BB"/>
    <w:rsid w:val="008B040C"/>
    <w:rsid w:val="008B0618"/>
    <w:rsid w:val="008B064B"/>
    <w:rsid w:val="008B070B"/>
    <w:rsid w:val="008B08C2"/>
    <w:rsid w:val="008B095F"/>
    <w:rsid w:val="008B0AA4"/>
    <w:rsid w:val="008B0BA1"/>
    <w:rsid w:val="008B0D21"/>
    <w:rsid w:val="008B0D27"/>
    <w:rsid w:val="008B0D6C"/>
    <w:rsid w:val="008B0E99"/>
    <w:rsid w:val="008B0F7C"/>
    <w:rsid w:val="008B0F9E"/>
    <w:rsid w:val="008B0FC6"/>
    <w:rsid w:val="008B111A"/>
    <w:rsid w:val="008B1135"/>
    <w:rsid w:val="008B11A8"/>
    <w:rsid w:val="008B1211"/>
    <w:rsid w:val="008B127C"/>
    <w:rsid w:val="008B12B3"/>
    <w:rsid w:val="008B1433"/>
    <w:rsid w:val="008B15DA"/>
    <w:rsid w:val="008B15DE"/>
    <w:rsid w:val="008B15EA"/>
    <w:rsid w:val="008B167E"/>
    <w:rsid w:val="008B16A6"/>
    <w:rsid w:val="008B16AE"/>
    <w:rsid w:val="008B16DE"/>
    <w:rsid w:val="008B1769"/>
    <w:rsid w:val="008B177B"/>
    <w:rsid w:val="008B17C4"/>
    <w:rsid w:val="008B1916"/>
    <w:rsid w:val="008B1A11"/>
    <w:rsid w:val="008B1AA7"/>
    <w:rsid w:val="008B1B02"/>
    <w:rsid w:val="008B1CBB"/>
    <w:rsid w:val="008B1EB1"/>
    <w:rsid w:val="008B1EBB"/>
    <w:rsid w:val="008B1F7B"/>
    <w:rsid w:val="008B2059"/>
    <w:rsid w:val="008B2114"/>
    <w:rsid w:val="008B21EA"/>
    <w:rsid w:val="008B2201"/>
    <w:rsid w:val="008B2226"/>
    <w:rsid w:val="008B2264"/>
    <w:rsid w:val="008B238F"/>
    <w:rsid w:val="008B24DA"/>
    <w:rsid w:val="008B24DE"/>
    <w:rsid w:val="008B255C"/>
    <w:rsid w:val="008B27B2"/>
    <w:rsid w:val="008B28B0"/>
    <w:rsid w:val="008B290F"/>
    <w:rsid w:val="008B2A9F"/>
    <w:rsid w:val="008B2B17"/>
    <w:rsid w:val="008B2B55"/>
    <w:rsid w:val="008B2BF2"/>
    <w:rsid w:val="008B2C5B"/>
    <w:rsid w:val="008B2D04"/>
    <w:rsid w:val="008B2D79"/>
    <w:rsid w:val="008B2DFE"/>
    <w:rsid w:val="008B2EBF"/>
    <w:rsid w:val="008B2F6C"/>
    <w:rsid w:val="008B2F99"/>
    <w:rsid w:val="008B2FE8"/>
    <w:rsid w:val="008B3211"/>
    <w:rsid w:val="008B3304"/>
    <w:rsid w:val="008B3330"/>
    <w:rsid w:val="008B33CD"/>
    <w:rsid w:val="008B3499"/>
    <w:rsid w:val="008B34A2"/>
    <w:rsid w:val="008B3543"/>
    <w:rsid w:val="008B35FD"/>
    <w:rsid w:val="008B3626"/>
    <w:rsid w:val="008B383A"/>
    <w:rsid w:val="008B395D"/>
    <w:rsid w:val="008B39B3"/>
    <w:rsid w:val="008B3A5D"/>
    <w:rsid w:val="008B3B0C"/>
    <w:rsid w:val="008B3BAA"/>
    <w:rsid w:val="008B3BF0"/>
    <w:rsid w:val="008B3C4A"/>
    <w:rsid w:val="008B3CB9"/>
    <w:rsid w:val="008B3D00"/>
    <w:rsid w:val="008B3D31"/>
    <w:rsid w:val="008B3E3F"/>
    <w:rsid w:val="008B3F79"/>
    <w:rsid w:val="008B402C"/>
    <w:rsid w:val="008B404D"/>
    <w:rsid w:val="008B40C1"/>
    <w:rsid w:val="008B427D"/>
    <w:rsid w:val="008B42FD"/>
    <w:rsid w:val="008B431A"/>
    <w:rsid w:val="008B4364"/>
    <w:rsid w:val="008B4404"/>
    <w:rsid w:val="008B4422"/>
    <w:rsid w:val="008B4481"/>
    <w:rsid w:val="008B453E"/>
    <w:rsid w:val="008B45AE"/>
    <w:rsid w:val="008B4653"/>
    <w:rsid w:val="008B4688"/>
    <w:rsid w:val="008B475C"/>
    <w:rsid w:val="008B4876"/>
    <w:rsid w:val="008B48B2"/>
    <w:rsid w:val="008B48C1"/>
    <w:rsid w:val="008B4954"/>
    <w:rsid w:val="008B49C1"/>
    <w:rsid w:val="008B4BAA"/>
    <w:rsid w:val="008B4C3B"/>
    <w:rsid w:val="008B4CDC"/>
    <w:rsid w:val="008B4E00"/>
    <w:rsid w:val="008B4E0F"/>
    <w:rsid w:val="008B4E79"/>
    <w:rsid w:val="008B4F04"/>
    <w:rsid w:val="008B4FEA"/>
    <w:rsid w:val="008B510E"/>
    <w:rsid w:val="008B51A4"/>
    <w:rsid w:val="008B51D5"/>
    <w:rsid w:val="008B5200"/>
    <w:rsid w:val="008B52DD"/>
    <w:rsid w:val="008B52F7"/>
    <w:rsid w:val="008B53EE"/>
    <w:rsid w:val="008B53FA"/>
    <w:rsid w:val="008B5561"/>
    <w:rsid w:val="008B55DD"/>
    <w:rsid w:val="008B5749"/>
    <w:rsid w:val="008B577A"/>
    <w:rsid w:val="008B579D"/>
    <w:rsid w:val="008B57D9"/>
    <w:rsid w:val="008B58ED"/>
    <w:rsid w:val="008B59E1"/>
    <w:rsid w:val="008B5AA4"/>
    <w:rsid w:val="008B5B4F"/>
    <w:rsid w:val="008B5B7E"/>
    <w:rsid w:val="008B5C08"/>
    <w:rsid w:val="008B5E32"/>
    <w:rsid w:val="008B5E89"/>
    <w:rsid w:val="008B5F50"/>
    <w:rsid w:val="008B5F5C"/>
    <w:rsid w:val="008B608F"/>
    <w:rsid w:val="008B60A1"/>
    <w:rsid w:val="008B61BC"/>
    <w:rsid w:val="008B6225"/>
    <w:rsid w:val="008B624E"/>
    <w:rsid w:val="008B63C9"/>
    <w:rsid w:val="008B6445"/>
    <w:rsid w:val="008B65FB"/>
    <w:rsid w:val="008B666E"/>
    <w:rsid w:val="008B691F"/>
    <w:rsid w:val="008B6C09"/>
    <w:rsid w:val="008B6CA7"/>
    <w:rsid w:val="008B6D95"/>
    <w:rsid w:val="008B6DBE"/>
    <w:rsid w:val="008B6E09"/>
    <w:rsid w:val="008B6E48"/>
    <w:rsid w:val="008B6F9B"/>
    <w:rsid w:val="008B6FAD"/>
    <w:rsid w:val="008B718A"/>
    <w:rsid w:val="008B71A2"/>
    <w:rsid w:val="008B7266"/>
    <w:rsid w:val="008B7279"/>
    <w:rsid w:val="008B72A0"/>
    <w:rsid w:val="008B7343"/>
    <w:rsid w:val="008B7395"/>
    <w:rsid w:val="008B739B"/>
    <w:rsid w:val="008B73EB"/>
    <w:rsid w:val="008B7470"/>
    <w:rsid w:val="008B74C1"/>
    <w:rsid w:val="008B7518"/>
    <w:rsid w:val="008B75AC"/>
    <w:rsid w:val="008B76BB"/>
    <w:rsid w:val="008B76CB"/>
    <w:rsid w:val="008B773B"/>
    <w:rsid w:val="008B7795"/>
    <w:rsid w:val="008B783E"/>
    <w:rsid w:val="008B7899"/>
    <w:rsid w:val="008B7900"/>
    <w:rsid w:val="008B792D"/>
    <w:rsid w:val="008B7992"/>
    <w:rsid w:val="008B7B92"/>
    <w:rsid w:val="008B7BA8"/>
    <w:rsid w:val="008B7C2F"/>
    <w:rsid w:val="008B7DA0"/>
    <w:rsid w:val="008B7E1E"/>
    <w:rsid w:val="008B7F73"/>
    <w:rsid w:val="008B7F88"/>
    <w:rsid w:val="008C0007"/>
    <w:rsid w:val="008C0078"/>
    <w:rsid w:val="008C02B0"/>
    <w:rsid w:val="008C0380"/>
    <w:rsid w:val="008C044A"/>
    <w:rsid w:val="008C0511"/>
    <w:rsid w:val="008C0588"/>
    <w:rsid w:val="008C0604"/>
    <w:rsid w:val="008C0620"/>
    <w:rsid w:val="008C06DF"/>
    <w:rsid w:val="008C06E3"/>
    <w:rsid w:val="008C072E"/>
    <w:rsid w:val="008C0761"/>
    <w:rsid w:val="008C0794"/>
    <w:rsid w:val="008C07DD"/>
    <w:rsid w:val="008C07E8"/>
    <w:rsid w:val="008C0971"/>
    <w:rsid w:val="008C0A94"/>
    <w:rsid w:val="008C0B13"/>
    <w:rsid w:val="008C0B58"/>
    <w:rsid w:val="008C0C4F"/>
    <w:rsid w:val="008C0CA5"/>
    <w:rsid w:val="008C0D08"/>
    <w:rsid w:val="008C0D11"/>
    <w:rsid w:val="008C0D22"/>
    <w:rsid w:val="008C0D8B"/>
    <w:rsid w:val="008C0E07"/>
    <w:rsid w:val="008C0E32"/>
    <w:rsid w:val="008C0E3D"/>
    <w:rsid w:val="008C0FBA"/>
    <w:rsid w:val="008C1112"/>
    <w:rsid w:val="008C135C"/>
    <w:rsid w:val="008C1428"/>
    <w:rsid w:val="008C14E8"/>
    <w:rsid w:val="008C1578"/>
    <w:rsid w:val="008C1597"/>
    <w:rsid w:val="008C1601"/>
    <w:rsid w:val="008C1618"/>
    <w:rsid w:val="008C16D1"/>
    <w:rsid w:val="008C1706"/>
    <w:rsid w:val="008C1778"/>
    <w:rsid w:val="008C18D0"/>
    <w:rsid w:val="008C1915"/>
    <w:rsid w:val="008C1923"/>
    <w:rsid w:val="008C1A7A"/>
    <w:rsid w:val="008C1A97"/>
    <w:rsid w:val="008C1AAF"/>
    <w:rsid w:val="008C1C8D"/>
    <w:rsid w:val="008C1CBD"/>
    <w:rsid w:val="008C1DF5"/>
    <w:rsid w:val="008C1E21"/>
    <w:rsid w:val="008C2030"/>
    <w:rsid w:val="008C2044"/>
    <w:rsid w:val="008C20A0"/>
    <w:rsid w:val="008C20ED"/>
    <w:rsid w:val="008C2125"/>
    <w:rsid w:val="008C228E"/>
    <w:rsid w:val="008C22FF"/>
    <w:rsid w:val="008C2309"/>
    <w:rsid w:val="008C2416"/>
    <w:rsid w:val="008C24E2"/>
    <w:rsid w:val="008C25B3"/>
    <w:rsid w:val="008C25DC"/>
    <w:rsid w:val="008C26EE"/>
    <w:rsid w:val="008C27C1"/>
    <w:rsid w:val="008C2888"/>
    <w:rsid w:val="008C28E9"/>
    <w:rsid w:val="008C29F1"/>
    <w:rsid w:val="008C2A80"/>
    <w:rsid w:val="008C2BA2"/>
    <w:rsid w:val="008C2C51"/>
    <w:rsid w:val="008C2DCC"/>
    <w:rsid w:val="008C2EA6"/>
    <w:rsid w:val="008C2EDB"/>
    <w:rsid w:val="008C2F0A"/>
    <w:rsid w:val="008C2F8A"/>
    <w:rsid w:val="008C3002"/>
    <w:rsid w:val="008C303E"/>
    <w:rsid w:val="008C3160"/>
    <w:rsid w:val="008C3190"/>
    <w:rsid w:val="008C31AF"/>
    <w:rsid w:val="008C31C7"/>
    <w:rsid w:val="008C323F"/>
    <w:rsid w:val="008C330A"/>
    <w:rsid w:val="008C331A"/>
    <w:rsid w:val="008C336A"/>
    <w:rsid w:val="008C38DE"/>
    <w:rsid w:val="008C3936"/>
    <w:rsid w:val="008C399D"/>
    <w:rsid w:val="008C3A4A"/>
    <w:rsid w:val="008C3C80"/>
    <w:rsid w:val="008C3DC6"/>
    <w:rsid w:val="008C3DFF"/>
    <w:rsid w:val="008C3E62"/>
    <w:rsid w:val="008C3EC0"/>
    <w:rsid w:val="008C3EC1"/>
    <w:rsid w:val="008C3F40"/>
    <w:rsid w:val="008C3F50"/>
    <w:rsid w:val="008C3F7B"/>
    <w:rsid w:val="008C4111"/>
    <w:rsid w:val="008C4560"/>
    <w:rsid w:val="008C45AC"/>
    <w:rsid w:val="008C45FB"/>
    <w:rsid w:val="008C460A"/>
    <w:rsid w:val="008C475C"/>
    <w:rsid w:val="008C4814"/>
    <w:rsid w:val="008C4836"/>
    <w:rsid w:val="008C4941"/>
    <w:rsid w:val="008C499C"/>
    <w:rsid w:val="008C4A2E"/>
    <w:rsid w:val="008C4AFC"/>
    <w:rsid w:val="008C4C94"/>
    <w:rsid w:val="008C4CCB"/>
    <w:rsid w:val="008C4D4E"/>
    <w:rsid w:val="008C4D63"/>
    <w:rsid w:val="008C4E6E"/>
    <w:rsid w:val="008C4F2F"/>
    <w:rsid w:val="008C501B"/>
    <w:rsid w:val="008C502A"/>
    <w:rsid w:val="008C5177"/>
    <w:rsid w:val="008C51C1"/>
    <w:rsid w:val="008C52ED"/>
    <w:rsid w:val="008C5438"/>
    <w:rsid w:val="008C55E1"/>
    <w:rsid w:val="008C5616"/>
    <w:rsid w:val="008C5618"/>
    <w:rsid w:val="008C566C"/>
    <w:rsid w:val="008C56CF"/>
    <w:rsid w:val="008C56D4"/>
    <w:rsid w:val="008C57B8"/>
    <w:rsid w:val="008C59B2"/>
    <w:rsid w:val="008C59F3"/>
    <w:rsid w:val="008C5B15"/>
    <w:rsid w:val="008C5B77"/>
    <w:rsid w:val="008C5B7A"/>
    <w:rsid w:val="008C5B80"/>
    <w:rsid w:val="008C5BAA"/>
    <w:rsid w:val="008C5BDF"/>
    <w:rsid w:val="008C5CAF"/>
    <w:rsid w:val="008C5E23"/>
    <w:rsid w:val="008C5E25"/>
    <w:rsid w:val="008C5F0B"/>
    <w:rsid w:val="008C604E"/>
    <w:rsid w:val="008C6054"/>
    <w:rsid w:val="008C608B"/>
    <w:rsid w:val="008C6091"/>
    <w:rsid w:val="008C60E5"/>
    <w:rsid w:val="008C6100"/>
    <w:rsid w:val="008C61D0"/>
    <w:rsid w:val="008C6260"/>
    <w:rsid w:val="008C62B7"/>
    <w:rsid w:val="008C635F"/>
    <w:rsid w:val="008C63AB"/>
    <w:rsid w:val="008C63E4"/>
    <w:rsid w:val="008C648A"/>
    <w:rsid w:val="008C64F9"/>
    <w:rsid w:val="008C65A1"/>
    <w:rsid w:val="008C6747"/>
    <w:rsid w:val="008C683D"/>
    <w:rsid w:val="008C698E"/>
    <w:rsid w:val="008C69A8"/>
    <w:rsid w:val="008C69D1"/>
    <w:rsid w:val="008C69DC"/>
    <w:rsid w:val="008C6B40"/>
    <w:rsid w:val="008C6B5C"/>
    <w:rsid w:val="008C6B88"/>
    <w:rsid w:val="008C6C8E"/>
    <w:rsid w:val="008C6CB4"/>
    <w:rsid w:val="008C6D68"/>
    <w:rsid w:val="008C6DA0"/>
    <w:rsid w:val="008C6FF3"/>
    <w:rsid w:val="008C7020"/>
    <w:rsid w:val="008C7063"/>
    <w:rsid w:val="008C70B9"/>
    <w:rsid w:val="008C71E1"/>
    <w:rsid w:val="008C7288"/>
    <w:rsid w:val="008C72BE"/>
    <w:rsid w:val="008C72E9"/>
    <w:rsid w:val="008C73BB"/>
    <w:rsid w:val="008C7404"/>
    <w:rsid w:val="008C7424"/>
    <w:rsid w:val="008C74F5"/>
    <w:rsid w:val="008C753A"/>
    <w:rsid w:val="008C7649"/>
    <w:rsid w:val="008C76B9"/>
    <w:rsid w:val="008C773D"/>
    <w:rsid w:val="008C780C"/>
    <w:rsid w:val="008C7890"/>
    <w:rsid w:val="008C78D4"/>
    <w:rsid w:val="008C79C3"/>
    <w:rsid w:val="008C7B02"/>
    <w:rsid w:val="008C7B61"/>
    <w:rsid w:val="008C7B92"/>
    <w:rsid w:val="008C7BAF"/>
    <w:rsid w:val="008C7DBF"/>
    <w:rsid w:val="008C7E40"/>
    <w:rsid w:val="008C7F84"/>
    <w:rsid w:val="008C7FFA"/>
    <w:rsid w:val="008D0037"/>
    <w:rsid w:val="008D0150"/>
    <w:rsid w:val="008D019B"/>
    <w:rsid w:val="008D0223"/>
    <w:rsid w:val="008D0245"/>
    <w:rsid w:val="008D0291"/>
    <w:rsid w:val="008D02EE"/>
    <w:rsid w:val="008D02F5"/>
    <w:rsid w:val="008D02F9"/>
    <w:rsid w:val="008D0461"/>
    <w:rsid w:val="008D04BB"/>
    <w:rsid w:val="008D051C"/>
    <w:rsid w:val="008D0528"/>
    <w:rsid w:val="008D05AB"/>
    <w:rsid w:val="008D05F4"/>
    <w:rsid w:val="008D07A2"/>
    <w:rsid w:val="008D07B5"/>
    <w:rsid w:val="008D07BA"/>
    <w:rsid w:val="008D07FC"/>
    <w:rsid w:val="008D080F"/>
    <w:rsid w:val="008D08A1"/>
    <w:rsid w:val="008D0A81"/>
    <w:rsid w:val="008D0AD2"/>
    <w:rsid w:val="008D0B17"/>
    <w:rsid w:val="008D0B7B"/>
    <w:rsid w:val="008D0D14"/>
    <w:rsid w:val="008D0D4C"/>
    <w:rsid w:val="008D0D97"/>
    <w:rsid w:val="008D0DE3"/>
    <w:rsid w:val="008D0E0A"/>
    <w:rsid w:val="008D0E98"/>
    <w:rsid w:val="008D0F42"/>
    <w:rsid w:val="008D0F53"/>
    <w:rsid w:val="008D0FE1"/>
    <w:rsid w:val="008D1069"/>
    <w:rsid w:val="008D10A5"/>
    <w:rsid w:val="008D124A"/>
    <w:rsid w:val="008D126B"/>
    <w:rsid w:val="008D12A4"/>
    <w:rsid w:val="008D12C7"/>
    <w:rsid w:val="008D12F8"/>
    <w:rsid w:val="008D1345"/>
    <w:rsid w:val="008D1395"/>
    <w:rsid w:val="008D1499"/>
    <w:rsid w:val="008D14DF"/>
    <w:rsid w:val="008D153C"/>
    <w:rsid w:val="008D15DE"/>
    <w:rsid w:val="008D1602"/>
    <w:rsid w:val="008D160D"/>
    <w:rsid w:val="008D1612"/>
    <w:rsid w:val="008D166F"/>
    <w:rsid w:val="008D17D2"/>
    <w:rsid w:val="008D1900"/>
    <w:rsid w:val="008D1A2D"/>
    <w:rsid w:val="008D1AF0"/>
    <w:rsid w:val="008D1C31"/>
    <w:rsid w:val="008D1EF1"/>
    <w:rsid w:val="008D1F93"/>
    <w:rsid w:val="008D204C"/>
    <w:rsid w:val="008D2074"/>
    <w:rsid w:val="008D211A"/>
    <w:rsid w:val="008D2136"/>
    <w:rsid w:val="008D21CA"/>
    <w:rsid w:val="008D2262"/>
    <w:rsid w:val="008D22BD"/>
    <w:rsid w:val="008D23EE"/>
    <w:rsid w:val="008D2432"/>
    <w:rsid w:val="008D24F3"/>
    <w:rsid w:val="008D250F"/>
    <w:rsid w:val="008D2531"/>
    <w:rsid w:val="008D2566"/>
    <w:rsid w:val="008D26E4"/>
    <w:rsid w:val="008D272D"/>
    <w:rsid w:val="008D27EF"/>
    <w:rsid w:val="008D28C3"/>
    <w:rsid w:val="008D2962"/>
    <w:rsid w:val="008D29CE"/>
    <w:rsid w:val="008D2A73"/>
    <w:rsid w:val="008D2B83"/>
    <w:rsid w:val="008D2BE8"/>
    <w:rsid w:val="008D2C80"/>
    <w:rsid w:val="008D2D55"/>
    <w:rsid w:val="008D2D9B"/>
    <w:rsid w:val="008D2E74"/>
    <w:rsid w:val="008D2F4B"/>
    <w:rsid w:val="008D2FFA"/>
    <w:rsid w:val="008D30F1"/>
    <w:rsid w:val="008D310E"/>
    <w:rsid w:val="008D31AC"/>
    <w:rsid w:val="008D326D"/>
    <w:rsid w:val="008D3311"/>
    <w:rsid w:val="008D3323"/>
    <w:rsid w:val="008D335A"/>
    <w:rsid w:val="008D3388"/>
    <w:rsid w:val="008D3415"/>
    <w:rsid w:val="008D344E"/>
    <w:rsid w:val="008D34AA"/>
    <w:rsid w:val="008D34F1"/>
    <w:rsid w:val="008D3533"/>
    <w:rsid w:val="008D3545"/>
    <w:rsid w:val="008D3699"/>
    <w:rsid w:val="008D372D"/>
    <w:rsid w:val="008D378D"/>
    <w:rsid w:val="008D38C7"/>
    <w:rsid w:val="008D38F9"/>
    <w:rsid w:val="008D3A54"/>
    <w:rsid w:val="008D3A9D"/>
    <w:rsid w:val="008D3B08"/>
    <w:rsid w:val="008D3CF7"/>
    <w:rsid w:val="008D3DBB"/>
    <w:rsid w:val="008D3DCE"/>
    <w:rsid w:val="008D408F"/>
    <w:rsid w:val="008D415B"/>
    <w:rsid w:val="008D42A6"/>
    <w:rsid w:val="008D4369"/>
    <w:rsid w:val="008D4389"/>
    <w:rsid w:val="008D44B5"/>
    <w:rsid w:val="008D4549"/>
    <w:rsid w:val="008D4665"/>
    <w:rsid w:val="008D4780"/>
    <w:rsid w:val="008D4831"/>
    <w:rsid w:val="008D4887"/>
    <w:rsid w:val="008D4AD5"/>
    <w:rsid w:val="008D4B7B"/>
    <w:rsid w:val="008D4CCD"/>
    <w:rsid w:val="008D4D48"/>
    <w:rsid w:val="008D4E50"/>
    <w:rsid w:val="008D4EEB"/>
    <w:rsid w:val="008D51AB"/>
    <w:rsid w:val="008D5246"/>
    <w:rsid w:val="008D5286"/>
    <w:rsid w:val="008D5372"/>
    <w:rsid w:val="008D5487"/>
    <w:rsid w:val="008D54B1"/>
    <w:rsid w:val="008D551E"/>
    <w:rsid w:val="008D5587"/>
    <w:rsid w:val="008D56E3"/>
    <w:rsid w:val="008D5782"/>
    <w:rsid w:val="008D57E4"/>
    <w:rsid w:val="008D585F"/>
    <w:rsid w:val="008D595E"/>
    <w:rsid w:val="008D59B0"/>
    <w:rsid w:val="008D5A97"/>
    <w:rsid w:val="008D5ABE"/>
    <w:rsid w:val="008D5BC4"/>
    <w:rsid w:val="008D5BD7"/>
    <w:rsid w:val="008D5BDC"/>
    <w:rsid w:val="008D5C34"/>
    <w:rsid w:val="008D5CE7"/>
    <w:rsid w:val="008D5D3D"/>
    <w:rsid w:val="008D6042"/>
    <w:rsid w:val="008D6043"/>
    <w:rsid w:val="008D611B"/>
    <w:rsid w:val="008D613E"/>
    <w:rsid w:val="008D6274"/>
    <w:rsid w:val="008D6288"/>
    <w:rsid w:val="008D6295"/>
    <w:rsid w:val="008D6311"/>
    <w:rsid w:val="008D637A"/>
    <w:rsid w:val="008D637B"/>
    <w:rsid w:val="008D638E"/>
    <w:rsid w:val="008D6398"/>
    <w:rsid w:val="008D63D1"/>
    <w:rsid w:val="008D6433"/>
    <w:rsid w:val="008D648D"/>
    <w:rsid w:val="008D6577"/>
    <w:rsid w:val="008D65F0"/>
    <w:rsid w:val="008D6865"/>
    <w:rsid w:val="008D6870"/>
    <w:rsid w:val="008D68C4"/>
    <w:rsid w:val="008D68C5"/>
    <w:rsid w:val="008D694E"/>
    <w:rsid w:val="008D6975"/>
    <w:rsid w:val="008D69B2"/>
    <w:rsid w:val="008D69C6"/>
    <w:rsid w:val="008D6A04"/>
    <w:rsid w:val="008D6B75"/>
    <w:rsid w:val="008D6BD9"/>
    <w:rsid w:val="008D6C01"/>
    <w:rsid w:val="008D6CC8"/>
    <w:rsid w:val="008D6CEE"/>
    <w:rsid w:val="008D6EFC"/>
    <w:rsid w:val="008D6FBF"/>
    <w:rsid w:val="008D7074"/>
    <w:rsid w:val="008D7119"/>
    <w:rsid w:val="008D7239"/>
    <w:rsid w:val="008D724C"/>
    <w:rsid w:val="008D732C"/>
    <w:rsid w:val="008D74AF"/>
    <w:rsid w:val="008D75D3"/>
    <w:rsid w:val="008D762B"/>
    <w:rsid w:val="008D771E"/>
    <w:rsid w:val="008D7725"/>
    <w:rsid w:val="008D772E"/>
    <w:rsid w:val="008D7734"/>
    <w:rsid w:val="008D782F"/>
    <w:rsid w:val="008D795D"/>
    <w:rsid w:val="008D7982"/>
    <w:rsid w:val="008D798A"/>
    <w:rsid w:val="008D79E7"/>
    <w:rsid w:val="008D7A57"/>
    <w:rsid w:val="008D7A84"/>
    <w:rsid w:val="008D7AE6"/>
    <w:rsid w:val="008D7BF8"/>
    <w:rsid w:val="008D7C7E"/>
    <w:rsid w:val="008D7CF9"/>
    <w:rsid w:val="008D7DF2"/>
    <w:rsid w:val="008E00F4"/>
    <w:rsid w:val="008E019D"/>
    <w:rsid w:val="008E020A"/>
    <w:rsid w:val="008E0297"/>
    <w:rsid w:val="008E02E0"/>
    <w:rsid w:val="008E0499"/>
    <w:rsid w:val="008E04CB"/>
    <w:rsid w:val="008E0671"/>
    <w:rsid w:val="008E0692"/>
    <w:rsid w:val="008E06A5"/>
    <w:rsid w:val="008E0790"/>
    <w:rsid w:val="008E07AC"/>
    <w:rsid w:val="008E0800"/>
    <w:rsid w:val="008E0893"/>
    <w:rsid w:val="008E08CF"/>
    <w:rsid w:val="008E0908"/>
    <w:rsid w:val="008E0957"/>
    <w:rsid w:val="008E0A4C"/>
    <w:rsid w:val="008E0BD5"/>
    <w:rsid w:val="008E0BDC"/>
    <w:rsid w:val="008E0C03"/>
    <w:rsid w:val="008E0C0D"/>
    <w:rsid w:val="008E0C50"/>
    <w:rsid w:val="008E0CB8"/>
    <w:rsid w:val="008E0D21"/>
    <w:rsid w:val="008E0D6F"/>
    <w:rsid w:val="008E0D88"/>
    <w:rsid w:val="008E0ED6"/>
    <w:rsid w:val="008E0EDC"/>
    <w:rsid w:val="008E0F70"/>
    <w:rsid w:val="008E0FB4"/>
    <w:rsid w:val="008E0FE4"/>
    <w:rsid w:val="008E1131"/>
    <w:rsid w:val="008E116F"/>
    <w:rsid w:val="008E1178"/>
    <w:rsid w:val="008E1192"/>
    <w:rsid w:val="008E13E7"/>
    <w:rsid w:val="008E148D"/>
    <w:rsid w:val="008E1501"/>
    <w:rsid w:val="008E15DA"/>
    <w:rsid w:val="008E1636"/>
    <w:rsid w:val="008E1637"/>
    <w:rsid w:val="008E167F"/>
    <w:rsid w:val="008E17D4"/>
    <w:rsid w:val="008E1804"/>
    <w:rsid w:val="008E1858"/>
    <w:rsid w:val="008E187E"/>
    <w:rsid w:val="008E1975"/>
    <w:rsid w:val="008E19DC"/>
    <w:rsid w:val="008E1B83"/>
    <w:rsid w:val="008E1C58"/>
    <w:rsid w:val="008E1C81"/>
    <w:rsid w:val="008E1D1F"/>
    <w:rsid w:val="008E1D6D"/>
    <w:rsid w:val="008E1DB6"/>
    <w:rsid w:val="008E1F27"/>
    <w:rsid w:val="008E1F86"/>
    <w:rsid w:val="008E2161"/>
    <w:rsid w:val="008E2171"/>
    <w:rsid w:val="008E2193"/>
    <w:rsid w:val="008E21D1"/>
    <w:rsid w:val="008E226C"/>
    <w:rsid w:val="008E23CB"/>
    <w:rsid w:val="008E2467"/>
    <w:rsid w:val="008E24B1"/>
    <w:rsid w:val="008E2714"/>
    <w:rsid w:val="008E2850"/>
    <w:rsid w:val="008E28F0"/>
    <w:rsid w:val="008E2969"/>
    <w:rsid w:val="008E29B9"/>
    <w:rsid w:val="008E2A78"/>
    <w:rsid w:val="008E2A93"/>
    <w:rsid w:val="008E2ACB"/>
    <w:rsid w:val="008E2B20"/>
    <w:rsid w:val="008E2B87"/>
    <w:rsid w:val="008E2C13"/>
    <w:rsid w:val="008E2C30"/>
    <w:rsid w:val="008E2C36"/>
    <w:rsid w:val="008E2CA1"/>
    <w:rsid w:val="008E2E3C"/>
    <w:rsid w:val="008E2E86"/>
    <w:rsid w:val="008E2F6D"/>
    <w:rsid w:val="008E32BF"/>
    <w:rsid w:val="008E3397"/>
    <w:rsid w:val="008E3409"/>
    <w:rsid w:val="008E3412"/>
    <w:rsid w:val="008E342A"/>
    <w:rsid w:val="008E3488"/>
    <w:rsid w:val="008E3523"/>
    <w:rsid w:val="008E3635"/>
    <w:rsid w:val="008E36DF"/>
    <w:rsid w:val="008E3A25"/>
    <w:rsid w:val="008E3AFC"/>
    <w:rsid w:val="008E3BF6"/>
    <w:rsid w:val="008E3C3B"/>
    <w:rsid w:val="008E3D15"/>
    <w:rsid w:val="008E3E0E"/>
    <w:rsid w:val="008E3F52"/>
    <w:rsid w:val="008E3F56"/>
    <w:rsid w:val="008E3F66"/>
    <w:rsid w:val="008E404C"/>
    <w:rsid w:val="008E4090"/>
    <w:rsid w:val="008E41AD"/>
    <w:rsid w:val="008E4224"/>
    <w:rsid w:val="008E423F"/>
    <w:rsid w:val="008E453A"/>
    <w:rsid w:val="008E454B"/>
    <w:rsid w:val="008E45FC"/>
    <w:rsid w:val="008E4636"/>
    <w:rsid w:val="008E476E"/>
    <w:rsid w:val="008E48C8"/>
    <w:rsid w:val="008E495E"/>
    <w:rsid w:val="008E4AAB"/>
    <w:rsid w:val="008E4BC9"/>
    <w:rsid w:val="008E4CF0"/>
    <w:rsid w:val="008E4CF8"/>
    <w:rsid w:val="008E4D59"/>
    <w:rsid w:val="008E4EB4"/>
    <w:rsid w:val="008E4ED4"/>
    <w:rsid w:val="008E4F05"/>
    <w:rsid w:val="008E4F22"/>
    <w:rsid w:val="008E4FEA"/>
    <w:rsid w:val="008E52DC"/>
    <w:rsid w:val="008E5356"/>
    <w:rsid w:val="008E5392"/>
    <w:rsid w:val="008E53B9"/>
    <w:rsid w:val="008E546C"/>
    <w:rsid w:val="008E54DE"/>
    <w:rsid w:val="008E5531"/>
    <w:rsid w:val="008E556E"/>
    <w:rsid w:val="008E5615"/>
    <w:rsid w:val="008E5644"/>
    <w:rsid w:val="008E56BE"/>
    <w:rsid w:val="008E578C"/>
    <w:rsid w:val="008E5868"/>
    <w:rsid w:val="008E58CD"/>
    <w:rsid w:val="008E5C10"/>
    <w:rsid w:val="008E5CBE"/>
    <w:rsid w:val="008E5D45"/>
    <w:rsid w:val="008E5D50"/>
    <w:rsid w:val="008E5D7C"/>
    <w:rsid w:val="008E5DE6"/>
    <w:rsid w:val="008E5E4C"/>
    <w:rsid w:val="008E5E5A"/>
    <w:rsid w:val="008E5EA0"/>
    <w:rsid w:val="008E6083"/>
    <w:rsid w:val="008E60AB"/>
    <w:rsid w:val="008E6106"/>
    <w:rsid w:val="008E61DF"/>
    <w:rsid w:val="008E61F4"/>
    <w:rsid w:val="008E633B"/>
    <w:rsid w:val="008E637A"/>
    <w:rsid w:val="008E63A8"/>
    <w:rsid w:val="008E6454"/>
    <w:rsid w:val="008E6476"/>
    <w:rsid w:val="008E64E7"/>
    <w:rsid w:val="008E6582"/>
    <w:rsid w:val="008E65A0"/>
    <w:rsid w:val="008E65FC"/>
    <w:rsid w:val="008E669C"/>
    <w:rsid w:val="008E66C5"/>
    <w:rsid w:val="008E66ED"/>
    <w:rsid w:val="008E67F1"/>
    <w:rsid w:val="008E68E3"/>
    <w:rsid w:val="008E694C"/>
    <w:rsid w:val="008E6B1E"/>
    <w:rsid w:val="008E6CF6"/>
    <w:rsid w:val="008E6D4F"/>
    <w:rsid w:val="008E6E8C"/>
    <w:rsid w:val="008E7042"/>
    <w:rsid w:val="008E70F4"/>
    <w:rsid w:val="008E72A7"/>
    <w:rsid w:val="008E73CF"/>
    <w:rsid w:val="008E7437"/>
    <w:rsid w:val="008E7462"/>
    <w:rsid w:val="008E758E"/>
    <w:rsid w:val="008E7598"/>
    <w:rsid w:val="008E761B"/>
    <w:rsid w:val="008E76A1"/>
    <w:rsid w:val="008E76C7"/>
    <w:rsid w:val="008E7771"/>
    <w:rsid w:val="008E77BC"/>
    <w:rsid w:val="008E787D"/>
    <w:rsid w:val="008E7887"/>
    <w:rsid w:val="008E78AF"/>
    <w:rsid w:val="008E7A33"/>
    <w:rsid w:val="008E7AF8"/>
    <w:rsid w:val="008E7B0C"/>
    <w:rsid w:val="008E7BB8"/>
    <w:rsid w:val="008E7BD2"/>
    <w:rsid w:val="008E7BE2"/>
    <w:rsid w:val="008E7C2F"/>
    <w:rsid w:val="008E7DE1"/>
    <w:rsid w:val="008E7F66"/>
    <w:rsid w:val="008E7FA7"/>
    <w:rsid w:val="008F0007"/>
    <w:rsid w:val="008F0073"/>
    <w:rsid w:val="008F00CA"/>
    <w:rsid w:val="008F0109"/>
    <w:rsid w:val="008F0153"/>
    <w:rsid w:val="008F025A"/>
    <w:rsid w:val="008F0274"/>
    <w:rsid w:val="008F0342"/>
    <w:rsid w:val="008F03F5"/>
    <w:rsid w:val="008F04DB"/>
    <w:rsid w:val="008F0575"/>
    <w:rsid w:val="008F0636"/>
    <w:rsid w:val="008F063A"/>
    <w:rsid w:val="008F0674"/>
    <w:rsid w:val="008F0721"/>
    <w:rsid w:val="008F078E"/>
    <w:rsid w:val="008F07EF"/>
    <w:rsid w:val="008F08AC"/>
    <w:rsid w:val="008F0902"/>
    <w:rsid w:val="008F092B"/>
    <w:rsid w:val="008F0988"/>
    <w:rsid w:val="008F0996"/>
    <w:rsid w:val="008F0A42"/>
    <w:rsid w:val="008F0AA7"/>
    <w:rsid w:val="008F0B2F"/>
    <w:rsid w:val="008F0BD8"/>
    <w:rsid w:val="008F0CEF"/>
    <w:rsid w:val="008F0E2A"/>
    <w:rsid w:val="008F0EB2"/>
    <w:rsid w:val="008F0ECE"/>
    <w:rsid w:val="008F0F35"/>
    <w:rsid w:val="008F1020"/>
    <w:rsid w:val="008F119B"/>
    <w:rsid w:val="008F11CA"/>
    <w:rsid w:val="008F129D"/>
    <w:rsid w:val="008F12F0"/>
    <w:rsid w:val="008F134C"/>
    <w:rsid w:val="008F1396"/>
    <w:rsid w:val="008F1432"/>
    <w:rsid w:val="008F14B4"/>
    <w:rsid w:val="008F15AE"/>
    <w:rsid w:val="008F196B"/>
    <w:rsid w:val="008F1975"/>
    <w:rsid w:val="008F1988"/>
    <w:rsid w:val="008F1A92"/>
    <w:rsid w:val="008F1AD1"/>
    <w:rsid w:val="008F1B1B"/>
    <w:rsid w:val="008F1B48"/>
    <w:rsid w:val="008F1B67"/>
    <w:rsid w:val="008F1C84"/>
    <w:rsid w:val="008F1D24"/>
    <w:rsid w:val="008F1D6C"/>
    <w:rsid w:val="008F1DCE"/>
    <w:rsid w:val="008F1E5E"/>
    <w:rsid w:val="008F1EB3"/>
    <w:rsid w:val="008F1EB8"/>
    <w:rsid w:val="008F1F68"/>
    <w:rsid w:val="008F1F85"/>
    <w:rsid w:val="008F211D"/>
    <w:rsid w:val="008F2190"/>
    <w:rsid w:val="008F22E5"/>
    <w:rsid w:val="008F2303"/>
    <w:rsid w:val="008F24AD"/>
    <w:rsid w:val="008F2834"/>
    <w:rsid w:val="008F285C"/>
    <w:rsid w:val="008F28B5"/>
    <w:rsid w:val="008F28F2"/>
    <w:rsid w:val="008F2A4A"/>
    <w:rsid w:val="008F2AE2"/>
    <w:rsid w:val="008F2BB3"/>
    <w:rsid w:val="008F2C14"/>
    <w:rsid w:val="008F2D25"/>
    <w:rsid w:val="008F2DA0"/>
    <w:rsid w:val="008F2F79"/>
    <w:rsid w:val="008F2FCD"/>
    <w:rsid w:val="008F304B"/>
    <w:rsid w:val="008F309B"/>
    <w:rsid w:val="008F30DA"/>
    <w:rsid w:val="008F31AD"/>
    <w:rsid w:val="008F32F6"/>
    <w:rsid w:val="008F33A4"/>
    <w:rsid w:val="008F33D9"/>
    <w:rsid w:val="008F33E8"/>
    <w:rsid w:val="008F3419"/>
    <w:rsid w:val="008F3442"/>
    <w:rsid w:val="008F34C2"/>
    <w:rsid w:val="008F367E"/>
    <w:rsid w:val="008F36A6"/>
    <w:rsid w:val="008F36CF"/>
    <w:rsid w:val="008F36E8"/>
    <w:rsid w:val="008F37D4"/>
    <w:rsid w:val="008F381D"/>
    <w:rsid w:val="008F38CC"/>
    <w:rsid w:val="008F38FB"/>
    <w:rsid w:val="008F3924"/>
    <w:rsid w:val="008F3A82"/>
    <w:rsid w:val="008F3B25"/>
    <w:rsid w:val="008F3B30"/>
    <w:rsid w:val="008F3B40"/>
    <w:rsid w:val="008F3CBC"/>
    <w:rsid w:val="008F3E4E"/>
    <w:rsid w:val="008F3E5F"/>
    <w:rsid w:val="008F3F04"/>
    <w:rsid w:val="008F3F13"/>
    <w:rsid w:val="008F406E"/>
    <w:rsid w:val="008F40EA"/>
    <w:rsid w:val="008F41B0"/>
    <w:rsid w:val="008F4269"/>
    <w:rsid w:val="008F44B1"/>
    <w:rsid w:val="008F44D0"/>
    <w:rsid w:val="008F4548"/>
    <w:rsid w:val="008F45EF"/>
    <w:rsid w:val="008F461E"/>
    <w:rsid w:val="008F466B"/>
    <w:rsid w:val="008F4727"/>
    <w:rsid w:val="008F478B"/>
    <w:rsid w:val="008F479D"/>
    <w:rsid w:val="008F47F1"/>
    <w:rsid w:val="008F4A0E"/>
    <w:rsid w:val="008F4A39"/>
    <w:rsid w:val="008F4A3B"/>
    <w:rsid w:val="008F4AB6"/>
    <w:rsid w:val="008F4AEF"/>
    <w:rsid w:val="008F4B03"/>
    <w:rsid w:val="008F4C36"/>
    <w:rsid w:val="008F4CA1"/>
    <w:rsid w:val="008F4CFA"/>
    <w:rsid w:val="008F4D3D"/>
    <w:rsid w:val="008F4D59"/>
    <w:rsid w:val="008F4DAC"/>
    <w:rsid w:val="008F4DFC"/>
    <w:rsid w:val="008F4E16"/>
    <w:rsid w:val="008F4F7D"/>
    <w:rsid w:val="008F50A5"/>
    <w:rsid w:val="008F510E"/>
    <w:rsid w:val="008F5213"/>
    <w:rsid w:val="008F538F"/>
    <w:rsid w:val="008F5410"/>
    <w:rsid w:val="008F5439"/>
    <w:rsid w:val="008F5446"/>
    <w:rsid w:val="008F5494"/>
    <w:rsid w:val="008F5547"/>
    <w:rsid w:val="008F555C"/>
    <w:rsid w:val="008F55ED"/>
    <w:rsid w:val="008F5738"/>
    <w:rsid w:val="008F578A"/>
    <w:rsid w:val="008F57C7"/>
    <w:rsid w:val="008F585E"/>
    <w:rsid w:val="008F58E4"/>
    <w:rsid w:val="008F5A4A"/>
    <w:rsid w:val="008F5B5B"/>
    <w:rsid w:val="008F5C14"/>
    <w:rsid w:val="008F5C22"/>
    <w:rsid w:val="008F5C2D"/>
    <w:rsid w:val="008F5D11"/>
    <w:rsid w:val="008F5DF0"/>
    <w:rsid w:val="008F5E2B"/>
    <w:rsid w:val="008F5ED5"/>
    <w:rsid w:val="008F6076"/>
    <w:rsid w:val="008F6099"/>
    <w:rsid w:val="008F60BD"/>
    <w:rsid w:val="008F612A"/>
    <w:rsid w:val="008F6206"/>
    <w:rsid w:val="008F628F"/>
    <w:rsid w:val="008F6325"/>
    <w:rsid w:val="008F6596"/>
    <w:rsid w:val="008F66FF"/>
    <w:rsid w:val="008F67AA"/>
    <w:rsid w:val="008F67FF"/>
    <w:rsid w:val="008F6959"/>
    <w:rsid w:val="008F6AE4"/>
    <w:rsid w:val="008F6B15"/>
    <w:rsid w:val="008F6B53"/>
    <w:rsid w:val="008F6BCB"/>
    <w:rsid w:val="008F6BEB"/>
    <w:rsid w:val="008F6BFE"/>
    <w:rsid w:val="008F6C51"/>
    <w:rsid w:val="008F6CD8"/>
    <w:rsid w:val="008F6D07"/>
    <w:rsid w:val="008F6D20"/>
    <w:rsid w:val="008F6D76"/>
    <w:rsid w:val="008F6DB4"/>
    <w:rsid w:val="008F6E07"/>
    <w:rsid w:val="008F6E63"/>
    <w:rsid w:val="008F6F87"/>
    <w:rsid w:val="008F6FC7"/>
    <w:rsid w:val="008F706B"/>
    <w:rsid w:val="008F70B2"/>
    <w:rsid w:val="008F710C"/>
    <w:rsid w:val="008F71B9"/>
    <w:rsid w:val="008F71BC"/>
    <w:rsid w:val="008F729A"/>
    <w:rsid w:val="008F72A3"/>
    <w:rsid w:val="008F72D9"/>
    <w:rsid w:val="008F73FC"/>
    <w:rsid w:val="008F7488"/>
    <w:rsid w:val="008F74B8"/>
    <w:rsid w:val="008F7569"/>
    <w:rsid w:val="008F7578"/>
    <w:rsid w:val="008F75F7"/>
    <w:rsid w:val="008F76EE"/>
    <w:rsid w:val="008F7774"/>
    <w:rsid w:val="008F77F2"/>
    <w:rsid w:val="008F799F"/>
    <w:rsid w:val="008F79B3"/>
    <w:rsid w:val="008F7BFA"/>
    <w:rsid w:val="008F7CD7"/>
    <w:rsid w:val="008F7CD8"/>
    <w:rsid w:val="008F7CDE"/>
    <w:rsid w:val="008F7DC5"/>
    <w:rsid w:val="008F7E42"/>
    <w:rsid w:val="008F7E47"/>
    <w:rsid w:val="008F7EE8"/>
    <w:rsid w:val="008F7FBD"/>
    <w:rsid w:val="0090005F"/>
    <w:rsid w:val="009000E0"/>
    <w:rsid w:val="0090017A"/>
    <w:rsid w:val="00900196"/>
    <w:rsid w:val="00900225"/>
    <w:rsid w:val="00900439"/>
    <w:rsid w:val="00900458"/>
    <w:rsid w:val="009004B6"/>
    <w:rsid w:val="009004F9"/>
    <w:rsid w:val="00900568"/>
    <w:rsid w:val="009005BA"/>
    <w:rsid w:val="009006FC"/>
    <w:rsid w:val="00900810"/>
    <w:rsid w:val="009008E9"/>
    <w:rsid w:val="00900904"/>
    <w:rsid w:val="009009F0"/>
    <w:rsid w:val="00900A33"/>
    <w:rsid w:val="00900A8F"/>
    <w:rsid w:val="00900BDF"/>
    <w:rsid w:val="00900D03"/>
    <w:rsid w:val="00900D1F"/>
    <w:rsid w:val="00900D26"/>
    <w:rsid w:val="00900D4E"/>
    <w:rsid w:val="00900D6A"/>
    <w:rsid w:val="00900DA0"/>
    <w:rsid w:val="00901032"/>
    <w:rsid w:val="00901064"/>
    <w:rsid w:val="0090117C"/>
    <w:rsid w:val="009011F3"/>
    <w:rsid w:val="009012E3"/>
    <w:rsid w:val="00901336"/>
    <w:rsid w:val="00901349"/>
    <w:rsid w:val="009013D1"/>
    <w:rsid w:val="00901431"/>
    <w:rsid w:val="00901481"/>
    <w:rsid w:val="009015B4"/>
    <w:rsid w:val="009015CA"/>
    <w:rsid w:val="009015F4"/>
    <w:rsid w:val="009016EB"/>
    <w:rsid w:val="00901844"/>
    <w:rsid w:val="009018A6"/>
    <w:rsid w:val="009018B5"/>
    <w:rsid w:val="00901922"/>
    <w:rsid w:val="0090199F"/>
    <w:rsid w:val="009019DC"/>
    <w:rsid w:val="00901AA8"/>
    <w:rsid w:val="00901AE6"/>
    <w:rsid w:val="00901AFA"/>
    <w:rsid w:val="00901B9A"/>
    <w:rsid w:val="00901C15"/>
    <w:rsid w:val="00901CC0"/>
    <w:rsid w:val="00901D97"/>
    <w:rsid w:val="00901E75"/>
    <w:rsid w:val="00901E90"/>
    <w:rsid w:val="00901EDF"/>
    <w:rsid w:val="0090206D"/>
    <w:rsid w:val="00902087"/>
    <w:rsid w:val="0090209E"/>
    <w:rsid w:val="00902188"/>
    <w:rsid w:val="00902305"/>
    <w:rsid w:val="0090242A"/>
    <w:rsid w:val="0090242C"/>
    <w:rsid w:val="0090248F"/>
    <w:rsid w:val="009024D7"/>
    <w:rsid w:val="0090267C"/>
    <w:rsid w:val="00902900"/>
    <w:rsid w:val="0090290E"/>
    <w:rsid w:val="00902918"/>
    <w:rsid w:val="009029DD"/>
    <w:rsid w:val="00902C09"/>
    <w:rsid w:val="00902C58"/>
    <w:rsid w:val="00902C5C"/>
    <w:rsid w:val="00902CAA"/>
    <w:rsid w:val="00902EAE"/>
    <w:rsid w:val="00902ED1"/>
    <w:rsid w:val="00902F5E"/>
    <w:rsid w:val="00902FF8"/>
    <w:rsid w:val="009030B3"/>
    <w:rsid w:val="00903171"/>
    <w:rsid w:val="009031F8"/>
    <w:rsid w:val="0090322D"/>
    <w:rsid w:val="009032E1"/>
    <w:rsid w:val="00903312"/>
    <w:rsid w:val="009033A1"/>
    <w:rsid w:val="00903431"/>
    <w:rsid w:val="00903549"/>
    <w:rsid w:val="009035E5"/>
    <w:rsid w:val="00903635"/>
    <w:rsid w:val="009036CC"/>
    <w:rsid w:val="00903721"/>
    <w:rsid w:val="00903849"/>
    <w:rsid w:val="009038AE"/>
    <w:rsid w:val="00903905"/>
    <w:rsid w:val="0090399D"/>
    <w:rsid w:val="009039B9"/>
    <w:rsid w:val="00903D69"/>
    <w:rsid w:val="00903E43"/>
    <w:rsid w:val="00903E8F"/>
    <w:rsid w:val="00903F38"/>
    <w:rsid w:val="00903FB7"/>
    <w:rsid w:val="009040C6"/>
    <w:rsid w:val="00904130"/>
    <w:rsid w:val="009041D9"/>
    <w:rsid w:val="009041FF"/>
    <w:rsid w:val="009042DF"/>
    <w:rsid w:val="0090448E"/>
    <w:rsid w:val="009046AB"/>
    <w:rsid w:val="00904724"/>
    <w:rsid w:val="0090474F"/>
    <w:rsid w:val="00904763"/>
    <w:rsid w:val="0090476F"/>
    <w:rsid w:val="009047BC"/>
    <w:rsid w:val="009047E1"/>
    <w:rsid w:val="00904821"/>
    <w:rsid w:val="00904827"/>
    <w:rsid w:val="00904852"/>
    <w:rsid w:val="00904879"/>
    <w:rsid w:val="009048F8"/>
    <w:rsid w:val="00904936"/>
    <w:rsid w:val="0090493F"/>
    <w:rsid w:val="00904A19"/>
    <w:rsid w:val="00904AF5"/>
    <w:rsid w:val="00904AFE"/>
    <w:rsid w:val="00904B72"/>
    <w:rsid w:val="00904BA8"/>
    <w:rsid w:val="00904BE6"/>
    <w:rsid w:val="00904C79"/>
    <w:rsid w:val="00904DC1"/>
    <w:rsid w:val="00904E08"/>
    <w:rsid w:val="00904E39"/>
    <w:rsid w:val="00904E45"/>
    <w:rsid w:val="00904E81"/>
    <w:rsid w:val="00904F48"/>
    <w:rsid w:val="00904F5D"/>
    <w:rsid w:val="00904F75"/>
    <w:rsid w:val="00904FE8"/>
    <w:rsid w:val="00905065"/>
    <w:rsid w:val="00905079"/>
    <w:rsid w:val="009050C5"/>
    <w:rsid w:val="00905286"/>
    <w:rsid w:val="00905291"/>
    <w:rsid w:val="009052FC"/>
    <w:rsid w:val="0090536C"/>
    <w:rsid w:val="009053A4"/>
    <w:rsid w:val="00905539"/>
    <w:rsid w:val="009056A1"/>
    <w:rsid w:val="00905737"/>
    <w:rsid w:val="00905850"/>
    <w:rsid w:val="009058AB"/>
    <w:rsid w:val="009058BE"/>
    <w:rsid w:val="0090591F"/>
    <w:rsid w:val="0090592D"/>
    <w:rsid w:val="00905C32"/>
    <w:rsid w:val="00905C8E"/>
    <w:rsid w:val="00905CC5"/>
    <w:rsid w:val="00905D9B"/>
    <w:rsid w:val="00905EB3"/>
    <w:rsid w:val="00905EF8"/>
    <w:rsid w:val="00906059"/>
    <w:rsid w:val="00906101"/>
    <w:rsid w:val="0090614D"/>
    <w:rsid w:val="009061BD"/>
    <w:rsid w:val="00906203"/>
    <w:rsid w:val="00906362"/>
    <w:rsid w:val="009063EB"/>
    <w:rsid w:val="0090664F"/>
    <w:rsid w:val="00906749"/>
    <w:rsid w:val="00906804"/>
    <w:rsid w:val="0090684F"/>
    <w:rsid w:val="0090694E"/>
    <w:rsid w:val="00906993"/>
    <w:rsid w:val="00906B6F"/>
    <w:rsid w:val="00906BDC"/>
    <w:rsid w:val="00906BDF"/>
    <w:rsid w:val="00906C25"/>
    <w:rsid w:val="00906CC2"/>
    <w:rsid w:val="00906D96"/>
    <w:rsid w:val="00906DA0"/>
    <w:rsid w:val="00906DB8"/>
    <w:rsid w:val="00906DE5"/>
    <w:rsid w:val="00906F20"/>
    <w:rsid w:val="00906F8B"/>
    <w:rsid w:val="00907046"/>
    <w:rsid w:val="0090712A"/>
    <w:rsid w:val="00907386"/>
    <w:rsid w:val="009073B5"/>
    <w:rsid w:val="0090747C"/>
    <w:rsid w:val="00907480"/>
    <w:rsid w:val="009074C9"/>
    <w:rsid w:val="00907698"/>
    <w:rsid w:val="009076B5"/>
    <w:rsid w:val="00907795"/>
    <w:rsid w:val="009077EE"/>
    <w:rsid w:val="0090792E"/>
    <w:rsid w:val="009079FA"/>
    <w:rsid w:val="00907A48"/>
    <w:rsid w:val="00907AB4"/>
    <w:rsid w:val="00907B3D"/>
    <w:rsid w:val="00907B95"/>
    <w:rsid w:val="00907BE1"/>
    <w:rsid w:val="00907CF5"/>
    <w:rsid w:val="00907D64"/>
    <w:rsid w:val="00907DF1"/>
    <w:rsid w:val="00907EC8"/>
    <w:rsid w:val="00907FF9"/>
    <w:rsid w:val="0091000A"/>
    <w:rsid w:val="009100FF"/>
    <w:rsid w:val="0091012B"/>
    <w:rsid w:val="00910206"/>
    <w:rsid w:val="00910291"/>
    <w:rsid w:val="00910362"/>
    <w:rsid w:val="009103B1"/>
    <w:rsid w:val="00910469"/>
    <w:rsid w:val="009104EF"/>
    <w:rsid w:val="0091052D"/>
    <w:rsid w:val="009105C7"/>
    <w:rsid w:val="009105FC"/>
    <w:rsid w:val="00910612"/>
    <w:rsid w:val="00910654"/>
    <w:rsid w:val="0091077C"/>
    <w:rsid w:val="009107E8"/>
    <w:rsid w:val="00910815"/>
    <w:rsid w:val="0091083B"/>
    <w:rsid w:val="00910877"/>
    <w:rsid w:val="009108A5"/>
    <w:rsid w:val="0091092F"/>
    <w:rsid w:val="00910982"/>
    <w:rsid w:val="00910A17"/>
    <w:rsid w:val="00910A51"/>
    <w:rsid w:val="00910A9A"/>
    <w:rsid w:val="00910B71"/>
    <w:rsid w:val="00910BBE"/>
    <w:rsid w:val="00910BE9"/>
    <w:rsid w:val="00910E33"/>
    <w:rsid w:val="00910E9D"/>
    <w:rsid w:val="00910EDA"/>
    <w:rsid w:val="00910F30"/>
    <w:rsid w:val="009110AE"/>
    <w:rsid w:val="009110D9"/>
    <w:rsid w:val="00911168"/>
    <w:rsid w:val="009111DC"/>
    <w:rsid w:val="009111E5"/>
    <w:rsid w:val="00911276"/>
    <w:rsid w:val="00911294"/>
    <w:rsid w:val="00911359"/>
    <w:rsid w:val="0091138F"/>
    <w:rsid w:val="009113E0"/>
    <w:rsid w:val="0091147E"/>
    <w:rsid w:val="00911524"/>
    <w:rsid w:val="00911572"/>
    <w:rsid w:val="00911584"/>
    <w:rsid w:val="009115A2"/>
    <w:rsid w:val="009115BA"/>
    <w:rsid w:val="009115EA"/>
    <w:rsid w:val="009116A4"/>
    <w:rsid w:val="009117B1"/>
    <w:rsid w:val="009118A2"/>
    <w:rsid w:val="0091192A"/>
    <w:rsid w:val="00911964"/>
    <w:rsid w:val="00911A06"/>
    <w:rsid w:val="00911BE6"/>
    <w:rsid w:val="00911CF1"/>
    <w:rsid w:val="00911D1C"/>
    <w:rsid w:val="00911E04"/>
    <w:rsid w:val="00911E51"/>
    <w:rsid w:val="00911F5D"/>
    <w:rsid w:val="00911F82"/>
    <w:rsid w:val="00911F8B"/>
    <w:rsid w:val="00912085"/>
    <w:rsid w:val="0091223E"/>
    <w:rsid w:val="00912340"/>
    <w:rsid w:val="009123CB"/>
    <w:rsid w:val="009124B1"/>
    <w:rsid w:val="009124E9"/>
    <w:rsid w:val="00912505"/>
    <w:rsid w:val="009126A4"/>
    <w:rsid w:val="00912883"/>
    <w:rsid w:val="00912ACA"/>
    <w:rsid w:val="00912B6E"/>
    <w:rsid w:val="00912BEC"/>
    <w:rsid w:val="00912C9B"/>
    <w:rsid w:val="00912CF5"/>
    <w:rsid w:val="00912E13"/>
    <w:rsid w:val="00912E4C"/>
    <w:rsid w:val="00912F23"/>
    <w:rsid w:val="00912FB2"/>
    <w:rsid w:val="00912FCB"/>
    <w:rsid w:val="0091308E"/>
    <w:rsid w:val="009130BE"/>
    <w:rsid w:val="00913249"/>
    <w:rsid w:val="009132A5"/>
    <w:rsid w:val="009132F1"/>
    <w:rsid w:val="00913371"/>
    <w:rsid w:val="00913389"/>
    <w:rsid w:val="009133AC"/>
    <w:rsid w:val="009133E3"/>
    <w:rsid w:val="009134A0"/>
    <w:rsid w:val="00913560"/>
    <w:rsid w:val="00913596"/>
    <w:rsid w:val="009135D9"/>
    <w:rsid w:val="00913629"/>
    <w:rsid w:val="00913779"/>
    <w:rsid w:val="0091391F"/>
    <w:rsid w:val="00913923"/>
    <w:rsid w:val="00913991"/>
    <w:rsid w:val="0091399D"/>
    <w:rsid w:val="009139FC"/>
    <w:rsid w:val="00913A1A"/>
    <w:rsid w:val="00913CC9"/>
    <w:rsid w:val="00913D6B"/>
    <w:rsid w:val="00913DD1"/>
    <w:rsid w:val="00913F55"/>
    <w:rsid w:val="009140CF"/>
    <w:rsid w:val="00914138"/>
    <w:rsid w:val="0091420F"/>
    <w:rsid w:val="00914283"/>
    <w:rsid w:val="009142BD"/>
    <w:rsid w:val="009143CC"/>
    <w:rsid w:val="009143F8"/>
    <w:rsid w:val="00914466"/>
    <w:rsid w:val="0091451D"/>
    <w:rsid w:val="00914645"/>
    <w:rsid w:val="0091465B"/>
    <w:rsid w:val="0091466C"/>
    <w:rsid w:val="009146BE"/>
    <w:rsid w:val="00914701"/>
    <w:rsid w:val="0091494C"/>
    <w:rsid w:val="00914971"/>
    <w:rsid w:val="00914A24"/>
    <w:rsid w:val="00914A76"/>
    <w:rsid w:val="00914A83"/>
    <w:rsid w:val="00914A8C"/>
    <w:rsid w:val="00914AA1"/>
    <w:rsid w:val="00914AB9"/>
    <w:rsid w:val="00914AE8"/>
    <w:rsid w:val="00914B27"/>
    <w:rsid w:val="00914B48"/>
    <w:rsid w:val="00914B5F"/>
    <w:rsid w:val="00914C00"/>
    <w:rsid w:val="00914C69"/>
    <w:rsid w:val="00914C84"/>
    <w:rsid w:val="00914CC9"/>
    <w:rsid w:val="00914EA7"/>
    <w:rsid w:val="00914EF0"/>
    <w:rsid w:val="00914F7B"/>
    <w:rsid w:val="00914FD2"/>
    <w:rsid w:val="00915155"/>
    <w:rsid w:val="00915193"/>
    <w:rsid w:val="00915204"/>
    <w:rsid w:val="00915280"/>
    <w:rsid w:val="00915285"/>
    <w:rsid w:val="009152C1"/>
    <w:rsid w:val="009152C2"/>
    <w:rsid w:val="009152F2"/>
    <w:rsid w:val="009153DB"/>
    <w:rsid w:val="0091543C"/>
    <w:rsid w:val="0091552A"/>
    <w:rsid w:val="00915566"/>
    <w:rsid w:val="009155B9"/>
    <w:rsid w:val="009156C2"/>
    <w:rsid w:val="009156F1"/>
    <w:rsid w:val="0091598E"/>
    <w:rsid w:val="009159D5"/>
    <w:rsid w:val="00915A3B"/>
    <w:rsid w:val="00915A40"/>
    <w:rsid w:val="00915AE1"/>
    <w:rsid w:val="00915C81"/>
    <w:rsid w:val="00915D3E"/>
    <w:rsid w:val="00915D40"/>
    <w:rsid w:val="00915D62"/>
    <w:rsid w:val="00915DB3"/>
    <w:rsid w:val="00915ECF"/>
    <w:rsid w:val="00915F52"/>
    <w:rsid w:val="0091607A"/>
    <w:rsid w:val="00916092"/>
    <w:rsid w:val="009160F0"/>
    <w:rsid w:val="00916191"/>
    <w:rsid w:val="00916192"/>
    <w:rsid w:val="009161DB"/>
    <w:rsid w:val="009161F8"/>
    <w:rsid w:val="0091628A"/>
    <w:rsid w:val="009163CF"/>
    <w:rsid w:val="00916406"/>
    <w:rsid w:val="0091645A"/>
    <w:rsid w:val="00916514"/>
    <w:rsid w:val="0091652F"/>
    <w:rsid w:val="0091669D"/>
    <w:rsid w:val="009166C0"/>
    <w:rsid w:val="00916744"/>
    <w:rsid w:val="00916796"/>
    <w:rsid w:val="00916A7C"/>
    <w:rsid w:val="00916BE4"/>
    <w:rsid w:val="00916D2C"/>
    <w:rsid w:val="00916DBB"/>
    <w:rsid w:val="00916E75"/>
    <w:rsid w:val="00916F39"/>
    <w:rsid w:val="00916F9F"/>
    <w:rsid w:val="00916FFC"/>
    <w:rsid w:val="00917004"/>
    <w:rsid w:val="00917082"/>
    <w:rsid w:val="00917130"/>
    <w:rsid w:val="0091724D"/>
    <w:rsid w:val="009172EB"/>
    <w:rsid w:val="009172F8"/>
    <w:rsid w:val="009174CE"/>
    <w:rsid w:val="009174D5"/>
    <w:rsid w:val="009174DE"/>
    <w:rsid w:val="00917543"/>
    <w:rsid w:val="00917572"/>
    <w:rsid w:val="009175B9"/>
    <w:rsid w:val="00917605"/>
    <w:rsid w:val="0091762A"/>
    <w:rsid w:val="0091764F"/>
    <w:rsid w:val="009176BB"/>
    <w:rsid w:val="0091772F"/>
    <w:rsid w:val="00917748"/>
    <w:rsid w:val="00917801"/>
    <w:rsid w:val="0091783B"/>
    <w:rsid w:val="00917841"/>
    <w:rsid w:val="00917882"/>
    <w:rsid w:val="00917950"/>
    <w:rsid w:val="009179FC"/>
    <w:rsid w:val="00917A27"/>
    <w:rsid w:val="00917A28"/>
    <w:rsid w:val="00917A88"/>
    <w:rsid w:val="00917AAC"/>
    <w:rsid w:val="00917AB8"/>
    <w:rsid w:val="00917C4C"/>
    <w:rsid w:val="00917C5C"/>
    <w:rsid w:val="00917C96"/>
    <w:rsid w:val="00917D21"/>
    <w:rsid w:val="00917D62"/>
    <w:rsid w:val="00917DE2"/>
    <w:rsid w:val="00917E27"/>
    <w:rsid w:val="00917ECD"/>
    <w:rsid w:val="00917F04"/>
    <w:rsid w:val="00920086"/>
    <w:rsid w:val="0092018C"/>
    <w:rsid w:val="0092021D"/>
    <w:rsid w:val="00920223"/>
    <w:rsid w:val="009202B6"/>
    <w:rsid w:val="0092030C"/>
    <w:rsid w:val="0092036A"/>
    <w:rsid w:val="0092041B"/>
    <w:rsid w:val="00920525"/>
    <w:rsid w:val="009205CD"/>
    <w:rsid w:val="00920634"/>
    <w:rsid w:val="00920684"/>
    <w:rsid w:val="009206FA"/>
    <w:rsid w:val="0092079D"/>
    <w:rsid w:val="009207BF"/>
    <w:rsid w:val="009207F8"/>
    <w:rsid w:val="0092082C"/>
    <w:rsid w:val="00920844"/>
    <w:rsid w:val="00920949"/>
    <w:rsid w:val="00920988"/>
    <w:rsid w:val="009209CB"/>
    <w:rsid w:val="00920AE7"/>
    <w:rsid w:val="00920B59"/>
    <w:rsid w:val="00920B9D"/>
    <w:rsid w:val="00920D30"/>
    <w:rsid w:val="00920D5E"/>
    <w:rsid w:val="00920D8D"/>
    <w:rsid w:val="00920DA9"/>
    <w:rsid w:val="00920DB1"/>
    <w:rsid w:val="00920E03"/>
    <w:rsid w:val="00920E50"/>
    <w:rsid w:val="00920EE8"/>
    <w:rsid w:val="00920F00"/>
    <w:rsid w:val="00920F72"/>
    <w:rsid w:val="00921141"/>
    <w:rsid w:val="0092124E"/>
    <w:rsid w:val="00921298"/>
    <w:rsid w:val="009212F2"/>
    <w:rsid w:val="0092134A"/>
    <w:rsid w:val="009213FF"/>
    <w:rsid w:val="00921401"/>
    <w:rsid w:val="00921418"/>
    <w:rsid w:val="0092143F"/>
    <w:rsid w:val="009215B0"/>
    <w:rsid w:val="009216A9"/>
    <w:rsid w:val="00921791"/>
    <w:rsid w:val="00921861"/>
    <w:rsid w:val="0092197B"/>
    <w:rsid w:val="009219B5"/>
    <w:rsid w:val="009219EA"/>
    <w:rsid w:val="00921A91"/>
    <w:rsid w:val="00921AEE"/>
    <w:rsid w:val="00921B17"/>
    <w:rsid w:val="00921B81"/>
    <w:rsid w:val="00921C9C"/>
    <w:rsid w:val="00921CD5"/>
    <w:rsid w:val="00921CD9"/>
    <w:rsid w:val="00921E13"/>
    <w:rsid w:val="00921E42"/>
    <w:rsid w:val="00921E95"/>
    <w:rsid w:val="00921EF5"/>
    <w:rsid w:val="00921FB8"/>
    <w:rsid w:val="009220A2"/>
    <w:rsid w:val="00922176"/>
    <w:rsid w:val="009221A5"/>
    <w:rsid w:val="009221C6"/>
    <w:rsid w:val="00922387"/>
    <w:rsid w:val="00922392"/>
    <w:rsid w:val="0092239A"/>
    <w:rsid w:val="009223FD"/>
    <w:rsid w:val="0092247E"/>
    <w:rsid w:val="009226B4"/>
    <w:rsid w:val="009226C8"/>
    <w:rsid w:val="009227D4"/>
    <w:rsid w:val="00922945"/>
    <w:rsid w:val="0092295F"/>
    <w:rsid w:val="00922985"/>
    <w:rsid w:val="00922A2E"/>
    <w:rsid w:val="00922A34"/>
    <w:rsid w:val="00922BB2"/>
    <w:rsid w:val="00922C5E"/>
    <w:rsid w:val="00922DA8"/>
    <w:rsid w:val="00922E2D"/>
    <w:rsid w:val="00922F57"/>
    <w:rsid w:val="00922F67"/>
    <w:rsid w:val="00922F82"/>
    <w:rsid w:val="0092300F"/>
    <w:rsid w:val="009230D9"/>
    <w:rsid w:val="009230E1"/>
    <w:rsid w:val="0092317D"/>
    <w:rsid w:val="00923202"/>
    <w:rsid w:val="00923208"/>
    <w:rsid w:val="00923222"/>
    <w:rsid w:val="009232A5"/>
    <w:rsid w:val="00923342"/>
    <w:rsid w:val="009233AD"/>
    <w:rsid w:val="00923413"/>
    <w:rsid w:val="00923457"/>
    <w:rsid w:val="009234ED"/>
    <w:rsid w:val="009234F5"/>
    <w:rsid w:val="0092363A"/>
    <w:rsid w:val="0092367C"/>
    <w:rsid w:val="0092376F"/>
    <w:rsid w:val="009237EA"/>
    <w:rsid w:val="00923866"/>
    <w:rsid w:val="009238C8"/>
    <w:rsid w:val="0092396B"/>
    <w:rsid w:val="009239CA"/>
    <w:rsid w:val="009239D5"/>
    <w:rsid w:val="00923A6E"/>
    <w:rsid w:val="00923AEF"/>
    <w:rsid w:val="00923D1F"/>
    <w:rsid w:val="00923DBC"/>
    <w:rsid w:val="00923DF0"/>
    <w:rsid w:val="00923E67"/>
    <w:rsid w:val="00923E88"/>
    <w:rsid w:val="00923E8B"/>
    <w:rsid w:val="00923EB4"/>
    <w:rsid w:val="00923EF7"/>
    <w:rsid w:val="00923F1D"/>
    <w:rsid w:val="00923F73"/>
    <w:rsid w:val="00923F97"/>
    <w:rsid w:val="00923F9E"/>
    <w:rsid w:val="0092404F"/>
    <w:rsid w:val="00924092"/>
    <w:rsid w:val="00924132"/>
    <w:rsid w:val="009241AD"/>
    <w:rsid w:val="009241C7"/>
    <w:rsid w:val="00924225"/>
    <w:rsid w:val="00924325"/>
    <w:rsid w:val="009243D7"/>
    <w:rsid w:val="00924449"/>
    <w:rsid w:val="00924460"/>
    <w:rsid w:val="0092457C"/>
    <w:rsid w:val="00924685"/>
    <w:rsid w:val="00924779"/>
    <w:rsid w:val="00924A86"/>
    <w:rsid w:val="00924ADF"/>
    <w:rsid w:val="00924BB8"/>
    <w:rsid w:val="00924CB6"/>
    <w:rsid w:val="00924D3B"/>
    <w:rsid w:val="00924D57"/>
    <w:rsid w:val="00924DD4"/>
    <w:rsid w:val="00924F45"/>
    <w:rsid w:val="00924F62"/>
    <w:rsid w:val="009250FF"/>
    <w:rsid w:val="009251C0"/>
    <w:rsid w:val="00925252"/>
    <w:rsid w:val="009252D9"/>
    <w:rsid w:val="0092542F"/>
    <w:rsid w:val="0092548B"/>
    <w:rsid w:val="009254FB"/>
    <w:rsid w:val="009255AE"/>
    <w:rsid w:val="00925624"/>
    <w:rsid w:val="0092566E"/>
    <w:rsid w:val="0092568F"/>
    <w:rsid w:val="0092584F"/>
    <w:rsid w:val="00925C17"/>
    <w:rsid w:val="00925CB2"/>
    <w:rsid w:val="00925CD2"/>
    <w:rsid w:val="00925CD4"/>
    <w:rsid w:val="00925CD5"/>
    <w:rsid w:val="00925DAF"/>
    <w:rsid w:val="00925DD5"/>
    <w:rsid w:val="00925E41"/>
    <w:rsid w:val="00925EBD"/>
    <w:rsid w:val="00925F12"/>
    <w:rsid w:val="00926141"/>
    <w:rsid w:val="009262BC"/>
    <w:rsid w:val="009262FA"/>
    <w:rsid w:val="00926302"/>
    <w:rsid w:val="0092630D"/>
    <w:rsid w:val="0092637B"/>
    <w:rsid w:val="009263DC"/>
    <w:rsid w:val="0092640C"/>
    <w:rsid w:val="009264FA"/>
    <w:rsid w:val="00926557"/>
    <w:rsid w:val="009265F4"/>
    <w:rsid w:val="00926681"/>
    <w:rsid w:val="0092675C"/>
    <w:rsid w:val="0092686C"/>
    <w:rsid w:val="00926920"/>
    <w:rsid w:val="00926952"/>
    <w:rsid w:val="00926990"/>
    <w:rsid w:val="00926A58"/>
    <w:rsid w:val="00926ACD"/>
    <w:rsid w:val="00926AD0"/>
    <w:rsid w:val="00926C05"/>
    <w:rsid w:val="00926C21"/>
    <w:rsid w:val="00926C2F"/>
    <w:rsid w:val="00926DE9"/>
    <w:rsid w:val="00926E50"/>
    <w:rsid w:val="00926EE9"/>
    <w:rsid w:val="00926FA6"/>
    <w:rsid w:val="00926FE1"/>
    <w:rsid w:val="00927120"/>
    <w:rsid w:val="0092719E"/>
    <w:rsid w:val="0092726D"/>
    <w:rsid w:val="009272DA"/>
    <w:rsid w:val="009273E2"/>
    <w:rsid w:val="009273EC"/>
    <w:rsid w:val="00927470"/>
    <w:rsid w:val="009274F2"/>
    <w:rsid w:val="0092750A"/>
    <w:rsid w:val="00927670"/>
    <w:rsid w:val="009276EA"/>
    <w:rsid w:val="0092773F"/>
    <w:rsid w:val="0092786A"/>
    <w:rsid w:val="009278A6"/>
    <w:rsid w:val="009278D3"/>
    <w:rsid w:val="009278E0"/>
    <w:rsid w:val="009278E4"/>
    <w:rsid w:val="00927949"/>
    <w:rsid w:val="0092795A"/>
    <w:rsid w:val="009279E8"/>
    <w:rsid w:val="00927A6E"/>
    <w:rsid w:val="00927AAA"/>
    <w:rsid w:val="00927B71"/>
    <w:rsid w:val="00927C3C"/>
    <w:rsid w:val="00927D2D"/>
    <w:rsid w:val="00927D8D"/>
    <w:rsid w:val="00927DA0"/>
    <w:rsid w:val="00927E00"/>
    <w:rsid w:val="00927E21"/>
    <w:rsid w:val="00927E56"/>
    <w:rsid w:val="00927F0F"/>
    <w:rsid w:val="00927F51"/>
    <w:rsid w:val="009300FC"/>
    <w:rsid w:val="00930105"/>
    <w:rsid w:val="0093012B"/>
    <w:rsid w:val="0093026A"/>
    <w:rsid w:val="009302CE"/>
    <w:rsid w:val="00930429"/>
    <w:rsid w:val="00930494"/>
    <w:rsid w:val="00930564"/>
    <w:rsid w:val="009305BB"/>
    <w:rsid w:val="0093061F"/>
    <w:rsid w:val="00930630"/>
    <w:rsid w:val="0093085D"/>
    <w:rsid w:val="00930A5D"/>
    <w:rsid w:val="00930B6B"/>
    <w:rsid w:val="00930C57"/>
    <w:rsid w:val="00930D5F"/>
    <w:rsid w:val="00930D92"/>
    <w:rsid w:val="00930DD5"/>
    <w:rsid w:val="00930F73"/>
    <w:rsid w:val="00930FC0"/>
    <w:rsid w:val="0093105B"/>
    <w:rsid w:val="009310B6"/>
    <w:rsid w:val="009310EA"/>
    <w:rsid w:val="009311F4"/>
    <w:rsid w:val="009313C3"/>
    <w:rsid w:val="0093145D"/>
    <w:rsid w:val="0093148F"/>
    <w:rsid w:val="0093152F"/>
    <w:rsid w:val="00931762"/>
    <w:rsid w:val="009317B4"/>
    <w:rsid w:val="009317FC"/>
    <w:rsid w:val="00931837"/>
    <w:rsid w:val="0093195D"/>
    <w:rsid w:val="009319BF"/>
    <w:rsid w:val="00931B7D"/>
    <w:rsid w:val="00931C14"/>
    <w:rsid w:val="00931C8F"/>
    <w:rsid w:val="00931CDD"/>
    <w:rsid w:val="00931D1E"/>
    <w:rsid w:val="00931DD1"/>
    <w:rsid w:val="00931E4C"/>
    <w:rsid w:val="00931EA2"/>
    <w:rsid w:val="00931EE1"/>
    <w:rsid w:val="00931EF3"/>
    <w:rsid w:val="00931F22"/>
    <w:rsid w:val="00931F99"/>
    <w:rsid w:val="00932080"/>
    <w:rsid w:val="0093208A"/>
    <w:rsid w:val="0093208D"/>
    <w:rsid w:val="009321E9"/>
    <w:rsid w:val="009322BC"/>
    <w:rsid w:val="009323A1"/>
    <w:rsid w:val="009323E5"/>
    <w:rsid w:val="0093255A"/>
    <w:rsid w:val="0093259E"/>
    <w:rsid w:val="00932645"/>
    <w:rsid w:val="00932685"/>
    <w:rsid w:val="00932754"/>
    <w:rsid w:val="009328B1"/>
    <w:rsid w:val="00932991"/>
    <w:rsid w:val="00932A93"/>
    <w:rsid w:val="00932B27"/>
    <w:rsid w:val="00932BA6"/>
    <w:rsid w:val="00932BB9"/>
    <w:rsid w:val="00932C60"/>
    <w:rsid w:val="00932C68"/>
    <w:rsid w:val="00932CD7"/>
    <w:rsid w:val="00932D83"/>
    <w:rsid w:val="00932DF2"/>
    <w:rsid w:val="00932EB2"/>
    <w:rsid w:val="00932EC6"/>
    <w:rsid w:val="00932EE0"/>
    <w:rsid w:val="00932F81"/>
    <w:rsid w:val="00933026"/>
    <w:rsid w:val="0093324E"/>
    <w:rsid w:val="00933271"/>
    <w:rsid w:val="009332ED"/>
    <w:rsid w:val="00933357"/>
    <w:rsid w:val="00933386"/>
    <w:rsid w:val="00933437"/>
    <w:rsid w:val="00933559"/>
    <w:rsid w:val="009336CE"/>
    <w:rsid w:val="00933712"/>
    <w:rsid w:val="009337D4"/>
    <w:rsid w:val="0093387E"/>
    <w:rsid w:val="009338D0"/>
    <w:rsid w:val="0093390D"/>
    <w:rsid w:val="0093395C"/>
    <w:rsid w:val="009339EA"/>
    <w:rsid w:val="00933A27"/>
    <w:rsid w:val="00933A37"/>
    <w:rsid w:val="00933C3A"/>
    <w:rsid w:val="00933C3D"/>
    <w:rsid w:val="00933CD0"/>
    <w:rsid w:val="00933D13"/>
    <w:rsid w:val="00933D65"/>
    <w:rsid w:val="00933D68"/>
    <w:rsid w:val="00933F61"/>
    <w:rsid w:val="00933F8B"/>
    <w:rsid w:val="00933FBF"/>
    <w:rsid w:val="00934052"/>
    <w:rsid w:val="00934119"/>
    <w:rsid w:val="00934188"/>
    <w:rsid w:val="0093423D"/>
    <w:rsid w:val="009342E7"/>
    <w:rsid w:val="009343F9"/>
    <w:rsid w:val="0093442C"/>
    <w:rsid w:val="00934481"/>
    <w:rsid w:val="0093457C"/>
    <w:rsid w:val="00934672"/>
    <w:rsid w:val="009346A9"/>
    <w:rsid w:val="00934737"/>
    <w:rsid w:val="00934796"/>
    <w:rsid w:val="009347BD"/>
    <w:rsid w:val="009348DB"/>
    <w:rsid w:val="0093490D"/>
    <w:rsid w:val="00934A77"/>
    <w:rsid w:val="00934A8F"/>
    <w:rsid w:val="00934BA0"/>
    <w:rsid w:val="00934BE4"/>
    <w:rsid w:val="00934C2E"/>
    <w:rsid w:val="00934C8F"/>
    <w:rsid w:val="00934E08"/>
    <w:rsid w:val="00934E89"/>
    <w:rsid w:val="00934FBC"/>
    <w:rsid w:val="0093504B"/>
    <w:rsid w:val="0093511B"/>
    <w:rsid w:val="00935301"/>
    <w:rsid w:val="0093537A"/>
    <w:rsid w:val="00935424"/>
    <w:rsid w:val="00935598"/>
    <w:rsid w:val="009355D1"/>
    <w:rsid w:val="0093574C"/>
    <w:rsid w:val="009357E0"/>
    <w:rsid w:val="0093584E"/>
    <w:rsid w:val="00935864"/>
    <w:rsid w:val="009358C5"/>
    <w:rsid w:val="009358D3"/>
    <w:rsid w:val="00935984"/>
    <w:rsid w:val="00935A61"/>
    <w:rsid w:val="00935AC4"/>
    <w:rsid w:val="00935AE0"/>
    <w:rsid w:val="00935B97"/>
    <w:rsid w:val="00935BA9"/>
    <w:rsid w:val="00935C39"/>
    <w:rsid w:val="00935C4B"/>
    <w:rsid w:val="00935C51"/>
    <w:rsid w:val="00935C7E"/>
    <w:rsid w:val="00935C86"/>
    <w:rsid w:val="00935D18"/>
    <w:rsid w:val="00935DBB"/>
    <w:rsid w:val="00935F3A"/>
    <w:rsid w:val="00936001"/>
    <w:rsid w:val="009360B8"/>
    <w:rsid w:val="0093614D"/>
    <w:rsid w:val="009361C3"/>
    <w:rsid w:val="00936238"/>
    <w:rsid w:val="0093629C"/>
    <w:rsid w:val="00936331"/>
    <w:rsid w:val="009363E1"/>
    <w:rsid w:val="00936447"/>
    <w:rsid w:val="0093644E"/>
    <w:rsid w:val="009364CC"/>
    <w:rsid w:val="00936546"/>
    <w:rsid w:val="0093657C"/>
    <w:rsid w:val="00936792"/>
    <w:rsid w:val="0093684F"/>
    <w:rsid w:val="00936894"/>
    <w:rsid w:val="0093692B"/>
    <w:rsid w:val="0093694B"/>
    <w:rsid w:val="00936998"/>
    <w:rsid w:val="00936A5B"/>
    <w:rsid w:val="00936A86"/>
    <w:rsid w:val="00936B05"/>
    <w:rsid w:val="00936C3C"/>
    <w:rsid w:val="00936CFC"/>
    <w:rsid w:val="00936D2B"/>
    <w:rsid w:val="00936D73"/>
    <w:rsid w:val="00936DA4"/>
    <w:rsid w:val="00936DAC"/>
    <w:rsid w:val="00936DB6"/>
    <w:rsid w:val="00936DE6"/>
    <w:rsid w:val="00936E60"/>
    <w:rsid w:val="009370A3"/>
    <w:rsid w:val="009370EE"/>
    <w:rsid w:val="0093711C"/>
    <w:rsid w:val="0093719A"/>
    <w:rsid w:val="009371A4"/>
    <w:rsid w:val="00937281"/>
    <w:rsid w:val="00937571"/>
    <w:rsid w:val="00937581"/>
    <w:rsid w:val="00937611"/>
    <w:rsid w:val="009376D9"/>
    <w:rsid w:val="0093777E"/>
    <w:rsid w:val="009377BE"/>
    <w:rsid w:val="0093795C"/>
    <w:rsid w:val="0093796B"/>
    <w:rsid w:val="00937B94"/>
    <w:rsid w:val="00937D35"/>
    <w:rsid w:val="00937D60"/>
    <w:rsid w:val="00937E0D"/>
    <w:rsid w:val="00937E69"/>
    <w:rsid w:val="00937F01"/>
    <w:rsid w:val="00937F2A"/>
    <w:rsid w:val="00940012"/>
    <w:rsid w:val="0094001F"/>
    <w:rsid w:val="009400BD"/>
    <w:rsid w:val="0094010B"/>
    <w:rsid w:val="00940191"/>
    <w:rsid w:val="00940198"/>
    <w:rsid w:val="0094025A"/>
    <w:rsid w:val="0094025D"/>
    <w:rsid w:val="0094027C"/>
    <w:rsid w:val="009403B8"/>
    <w:rsid w:val="009404AD"/>
    <w:rsid w:val="009404C9"/>
    <w:rsid w:val="009405CD"/>
    <w:rsid w:val="009406DD"/>
    <w:rsid w:val="009407D1"/>
    <w:rsid w:val="009407E5"/>
    <w:rsid w:val="00940881"/>
    <w:rsid w:val="00940A00"/>
    <w:rsid w:val="00940ACC"/>
    <w:rsid w:val="00940B4D"/>
    <w:rsid w:val="00940B5C"/>
    <w:rsid w:val="00940C7E"/>
    <w:rsid w:val="00940C93"/>
    <w:rsid w:val="00940D19"/>
    <w:rsid w:val="00940D8B"/>
    <w:rsid w:val="00940ED3"/>
    <w:rsid w:val="00940F92"/>
    <w:rsid w:val="00941053"/>
    <w:rsid w:val="00941088"/>
    <w:rsid w:val="009410F3"/>
    <w:rsid w:val="00941190"/>
    <w:rsid w:val="009411B1"/>
    <w:rsid w:val="009411E4"/>
    <w:rsid w:val="00941286"/>
    <w:rsid w:val="00941295"/>
    <w:rsid w:val="0094134A"/>
    <w:rsid w:val="009413B4"/>
    <w:rsid w:val="00941560"/>
    <w:rsid w:val="0094158B"/>
    <w:rsid w:val="0094158F"/>
    <w:rsid w:val="009415E9"/>
    <w:rsid w:val="00941679"/>
    <w:rsid w:val="009416FB"/>
    <w:rsid w:val="00941835"/>
    <w:rsid w:val="009419B0"/>
    <w:rsid w:val="009419F6"/>
    <w:rsid w:val="00941AB4"/>
    <w:rsid w:val="00941B33"/>
    <w:rsid w:val="00941CB5"/>
    <w:rsid w:val="00941CC8"/>
    <w:rsid w:val="00941CE0"/>
    <w:rsid w:val="00941D6B"/>
    <w:rsid w:val="00941DE7"/>
    <w:rsid w:val="00941E19"/>
    <w:rsid w:val="00941EAD"/>
    <w:rsid w:val="00941ECA"/>
    <w:rsid w:val="00941F38"/>
    <w:rsid w:val="0094208C"/>
    <w:rsid w:val="0094221C"/>
    <w:rsid w:val="009422D6"/>
    <w:rsid w:val="009422EA"/>
    <w:rsid w:val="00942380"/>
    <w:rsid w:val="009423B3"/>
    <w:rsid w:val="009423D8"/>
    <w:rsid w:val="009424BB"/>
    <w:rsid w:val="009424BF"/>
    <w:rsid w:val="009424E6"/>
    <w:rsid w:val="009424F8"/>
    <w:rsid w:val="00942571"/>
    <w:rsid w:val="0094257D"/>
    <w:rsid w:val="00942592"/>
    <w:rsid w:val="009425DA"/>
    <w:rsid w:val="0094261A"/>
    <w:rsid w:val="00942648"/>
    <w:rsid w:val="0094286C"/>
    <w:rsid w:val="009428FE"/>
    <w:rsid w:val="009429D0"/>
    <w:rsid w:val="00942AC6"/>
    <w:rsid w:val="00942B2B"/>
    <w:rsid w:val="00942B8B"/>
    <w:rsid w:val="00942C03"/>
    <w:rsid w:val="00942C53"/>
    <w:rsid w:val="00942CD7"/>
    <w:rsid w:val="00942D5C"/>
    <w:rsid w:val="00942DF3"/>
    <w:rsid w:val="00942EC8"/>
    <w:rsid w:val="00942F00"/>
    <w:rsid w:val="00942F05"/>
    <w:rsid w:val="00942F6A"/>
    <w:rsid w:val="00942F81"/>
    <w:rsid w:val="00942F97"/>
    <w:rsid w:val="00943145"/>
    <w:rsid w:val="009431D7"/>
    <w:rsid w:val="00943202"/>
    <w:rsid w:val="00943270"/>
    <w:rsid w:val="009433D2"/>
    <w:rsid w:val="0094340A"/>
    <w:rsid w:val="009434AB"/>
    <w:rsid w:val="009435A8"/>
    <w:rsid w:val="00943667"/>
    <w:rsid w:val="009438F9"/>
    <w:rsid w:val="00943901"/>
    <w:rsid w:val="00943903"/>
    <w:rsid w:val="0094390E"/>
    <w:rsid w:val="0094399A"/>
    <w:rsid w:val="00943B6D"/>
    <w:rsid w:val="00943B87"/>
    <w:rsid w:val="00943BE3"/>
    <w:rsid w:val="00943CE8"/>
    <w:rsid w:val="00943DED"/>
    <w:rsid w:val="00943E28"/>
    <w:rsid w:val="00943EBD"/>
    <w:rsid w:val="00943F6D"/>
    <w:rsid w:val="00943FBA"/>
    <w:rsid w:val="00943FE5"/>
    <w:rsid w:val="00943FE6"/>
    <w:rsid w:val="009441AC"/>
    <w:rsid w:val="0094430A"/>
    <w:rsid w:val="009443C9"/>
    <w:rsid w:val="009444E3"/>
    <w:rsid w:val="0094453A"/>
    <w:rsid w:val="00944569"/>
    <w:rsid w:val="009446AE"/>
    <w:rsid w:val="009446CE"/>
    <w:rsid w:val="009446FC"/>
    <w:rsid w:val="0094473F"/>
    <w:rsid w:val="009447BB"/>
    <w:rsid w:val="00944834"/>
    <w:rsid w:val="00944861"/>
    <w:rsid w:val="00944992"/>
    <w:rsid w:val="00944A5F"/>
    <w:rsid w:val="00944B20"/>
    <w:rsid w:val="00944BDD"/>
    <w:rsid w:val="00944BEE"/>
    <w:rsid w:val="00944C64"/>
    <w:rsid w:val="00944D37"/>
    <w:rsid w:val="00944D67"/>
    <w:rsid w:val="00944E4D"/>
    <w:rsid w:val="00944F72"/>
    <w:rsid w:val="00944FB2"/>
    <w:rsid w:val="00945069"/>
    <w:rsid w:val="00945109"/>
    <w:rsid w:val="0094516A"/>
    <w:rsid w:val="009451C7"/>
    <w:rsid w:val="009451CD"/>
    <w:rsid w:val="0094525D"/>
    <w:rsid w:val="00945343"/>
    <w:rsid w:val="0094536F"/>
    <w:rsid w:val="0094544D"/>
    <w:rsid w:val="0094547A"/>
    <w:rsid w:val="009454C8"/>
    <w:rsid w:val="00945516"/>
    <w:rsid w:val="009455F0"/>
    <w:rsid w:val="0094560B"/>
    <w:rsid w:val="0094570A"/>
    <w:rsid w:val="0094589D"/>
    <w:rsid w:val="009458E9"/>
    <w:rsid w:val="0094591C"/>
    <w:rsid w:val="0094591F"/>
    <w:rsid w:val="00945922"/>
    <w:rsid w:val="00945B15"/>
    <w:rsid w:val="00945BD9"/>
    <w:rsid w:val="00945C8A"/>
    <w:rsid w:val="00945CA1"/>
    <w:rsid w:val="00945CC8"/>
    <w:rsid w:val="00945CDD"/>
    <w:rsid w:val="00945CE5"/>
    <w:rsid w:val="00945D46"/>
    <w:rsid w:val="00945DC6"/>
    <w:rsid w:val="00945DF3"/>
    <w:rsid w:val="00945E3A"/>
    <w:rsid w:val="00945E95"/>
    <w:rsid w:val="00945FE9"/>
    <w:rsid w:val="0094600E"/>
    <w:rsid w:val="0094601E"/>
    <w:rsid w:val="00946033"/>
    <w:rsid w:val="00946199"/>
    <w:rsid w:val="009461A2"/>
    <w:rsid w:val="00946224"/>
    <w:rsid w:val="0094652A"/>
    <w:rsid w:val="00946594"/>
    <w:rsid w:val="009465A8"/>
    <w:rsid w:val="00946681"/>
    <w:rsid w:val="00946686"/>
    <w:rsid w:val="009466D0"/>
    <w:rsid w:val="0094684F"/>
    <w:rsid w:val="00946A25"/>
    <w:rsid w:val="00946A63"/>
    <w:rsid w:val="00946C3F"/>
    <w:rsid w:val="00946CB5"/>
    <w:rsid w:val="00946D3E"/>
    <w:rsid w:val="00946D75"/>
    <w:rsid w:val="00946D8C"/>
    <w:rsid w:val="00946DB1"/>
    <w:rsid w:val="00946DEA"/>
    <w:rsid w:val="00946F21"/>
    <w:rsid w:val="00947026"/>
    <w:rsid w:val="009470D1"/>
    <w:rsid w:val="009471A3"/>
    <w:rsid w:val="0094732E"/>
    <w:rsid w:val="00947409"/>
    <w:rsid w:val="0094747D"/>
    <w:rsid w:val="00947545"/>
    <w:rsid w:val="0094759F"/>
    <w:rsid w:val="009475CA"/>
    <w:rsid w:val="009475DE"/>
    <w:rsid w:val="0094764B"/>
    <w:rsid w:val="0094778B"/>
    <w:rsid w:val="00947838"/>
    <w:rsid w:val="00947881"/>
    <w:rsid w:val="009478D5"/>
    <w:rsid w:val="0094791C"/>
    <w:rsid w:val="009479A2"/>
    <w:rsid w:val="009479E7"/>
    <w:rsid w:val="00947A5B"/>
    <w:rsid w:val="00947B01"/>
    <w:rsid w:val="00947B6E"/>
    <w:rsid w:val="00947B93"/>
    <w:rsid w:val="00947DDF"/>
    <w:rsid w:val="00947E0A"/>
    <w:rsid w:val="00950125"/>
    <w:rsid w:val="0095018D"/>
    <w:rsid w:val="00950216"/>
    <w:rsid w:val="0095021A"/>
    <w:rsid w:val="00950253"/>
    <w:rsid w:val="00950301"/>
    <w:rsid w:val="00950361"/>
    <w:rsid w:val="009503AE"/>
    <w:rsid w:val="0095042C"/>
    <w:rsid w:val="009504BF"/>
    <w:rsid w:val="009505DC"/>
    <w:rsid w:val="00950678"/>
    <w:rsid w:val="009506B6"/>
    <w:rsid w:val="0095074C"/>
    <w:rsid w:val="009507AB"/>
    <w:rsid w:val="0095085B"/>
    <w:rsid w:val="0095093E"/>
    <w:rsid w:val="00950971"/>
    <w:rsid w:val="00950980"/>
    <w:rsid w:val="009509A0"/>
    <w:rsid w:val="00950A85"/>
    <w:rsid w:val="00950C3D"/>
    <w:rsid w:val="00950DB3"/>
    <w:rsid w:val="00950FAB"/>
    <w:rsid w:val="00950FD8"/>
    <w:rsid w:val="00950FD9"/>
    <w:rsid w:val="009510D7"/>
    <w:rsid w:val="009510D8"/>
    <w:rsid w:val="00951124"/>
    <w:rsid w:val="009511A1"/>
    <w:rsid w:val="0095122E"/>
    <w:rsid w:val="009512C7"/>
    <w:rsid w:val="00951364"/>
    <w:rsid w:val="0095145A"/>
    <w:rsid w:val="00951531"/>
    <w:rsid w:val="0095161A"/>
    <w:rsid w:val="0095165A"/>
    <w:rsid w:val="00951859"/>
    <w:rsid w:val="00951926"/>
    <w:rsid w:val="0095196D"/>
    <w:rsid w:val="00951B1D"/>
    <w:rsid w:val="00951BDE"/>
    <w:rsid w:val="00951C99"/>
    <w:rsid w:val="00951CB6"/>
    <w:rsid w:val="00951CD7"/>
    <w:rsid w:val="00951CDD"/>
    <w:rsid w:val="00951DEB"/>
    <w:rsid w:val="00951F07"/>
    <w:rsid w:val="00951F14"/>
    <w:rsid w:val="00951FBC"/>
    <w:rsid w:val="00951FD8"/>
    <w:rsid w:val="00952004"/>
    <w:rsid w:val="00952029"/>
    <w:rsid w:val="0095206C"/>
    <w:rsid w:val="009520CF"/>
    <w:rsid w:val="00952125"/>
    <w:rsid w:val="0095215C"/>
    <w:rsid w:val="009521BE"/>
    <w:rsid w:val="0095222F"/>
    <w:rsid w:val="0095224F"/>
    <w:rsid w:val="009522BD"/>
    <w:rsid w:val="00952452"/>
    <w:rsid w:val="009524BA"/>
    <w:rsid w:val="00952511"/>
    <w:rsid w:val="009527F1"/>
    <w:rsid w:val="009528F3"/>
    <w:rsid w:val="00952957"/>
    <w:rsid w:val="00952A40"/>
    <w:rsid w:val="00952AAE"/>
    <w:rsid w:val="00952B69"/>
    <w:rsid w:val="00952B8A"/>
    <w:rsid w:val="00952C79"/>
    <w:rsid w:val="00952CA2"/>
    <w:rsid w:val="00952CE1"/>
    <w:rsid w:val="00952EFD"/>
    <w:rsid w:val="00952F5F"/>
    <w:rsid w:val="00952FD7"/>
    <w:rsid w:val="00953058"/>
    <w:rsid w:val="009530AB"/>
    <w:rsid w:val="009530CC"/>
    <w:rsid w:val="00953333"/>
    <w:rsid w:val="0095333A"/>
    <w:rsid w:val="0095339D"/>
    <w:rsid w:val="00953471"/>
    <w:rsid w:val="0095355F"/>
    <w:rsid w:val="009535A9"/>
    <w:rsid w:val="0095361D"/>
    <w:rsid w:val="0095370F"/>
    <w:rsid w:val="009537E0"/>
    <w:rsid w:val="0095382D"/>
    <w:rsid w:val="009538B2"/>
    <w:rsid w:val="00953A21"/>
    <w:rsid w:val="00953A95"/>
    <w:rsid w:val="00953AB9"/>
    <w:rsid w:val="00953AE0"/>
    <w:rsid w:val="00953B4E"/>
    <w:rsid w:val="00953B9E"/>
    <w:rsid w:val="00953C6B"/>
    <w:rsid w:val="00953CFC"/>
    <w:rsid w:val="00953E7E"/>
    <w:rsid w:val="00953EEF"/>
    <w:rsid w:val="00953FAD"/>
    <w:rsid w:val="00954085"/>
    <w:rsid w:val="009540B3"/>
    <w:rsid w:val="009540D5"/>
    <w:rsid w:val="0095410C"/>
    <w:rsid w:val="0095429B"/>
    <w:rsid w:val="009542E0"/>
    <w:rsid w:val="00954331"/>
    <w:rsid w:val="00954657"/>
    <w:rsid w:val="0095467F"/>
    <w:rsid w:val="009546FA"/>
    <w:rsid w:val="00954849"/>
    <w:rsid w:val="00954A63"/>
    <w:rsid w:val="00954C5F"/>
    <w:rsid w:val="00954C6E"/>
    <w:rsid w:val="00954C86"/>
    <w:rsid w:val="00954C87"/>
    <w:rsid w:val="00954CC5"/>
    <w:rsid w:val="00954D13"/>
    <w:rsid w:val="00954DA6"/>
    <w:rsid w:val="00954E92"/>
    <w:rsid w:val="00954F35"/>
    <w:rsid w:val="009551A9"/>
    <w:rsid w:val="00955203"/>
    <w:rsid w:val="0095528E"/>
    <w:rsid w:val="009552DA"/>
    <w:rsid w:val="009555B1"/>
    <w:rsid w:val="0095560C"/>
    <w:rsid w:val="009556CF"/>
    <w:rsid w:val="00955713"/>
    <w:rsid w:val="00955878"/>
    <w:rsid w:val="009558FE"/>
    <w:rsid w:val="00955933"/>
    <w:rsid w:val="00955995"/>
    <w:rsid w:val="009559A6"/>
    <w:rsid w:val="009559B8"/>
    <w:rsid w:val="00955ABF"/>
    <w:rsid w:val="00955BBB"/>
    <w:rsid w:val="00955BC5"/>
    <w:rsid w:val="00955BF4"/>
    <w:rsid w:val="00955C7D"/>
    <w:rsid w:val="00955EB8"/>
    <w:rsid w:val="00955ECA"/>
    <w:rsid w:val="00955EF1"/>
    <w:rsid w:val="009560E6"/>
    <w:rsid w:val="009560F3"/>
    <w:rsid w:val="009561F3"/>
    <w:rsid w:val="00956375"/>
    <w:rsid w:val="00956458"/>
    <w:rsid w:val="009565D4"/>
    <w:rsid w:val="00956614"/>
    <w:rsid w:val="0095664C"/>
    <w:rsid w:val="009566D1"/>
    <w:rsid w:val="00956711"/>
    <w:rsid w:val="0095676A"/>
    <w:rsid w:val="00956788"/>
    <w:rsid w:val="0095682B"/>
    <w:rsid w:val="00956967"/>
    <w:rsid w:val="0095698C"/>
    <w:rsid w:val="009569BB"/>
    <w:rsid w:val="00956A51"/>
    <w:rsid w:val="00956A8E"/>
    <w:rsid w:val="00956B12"/>
    <w:rsid w:val="00956C2F"/>
    <w:rsid w:val="00956CDB"/>
    <w:rsid w:val="00956E4A"/>
    <w:rsid w:val="00956E4B"/>
    <w:rsid w:val="00956E59"/>
    <w:rsid w:val="00956E73"/>
    <w:rsid w:val="00956E91"/>
    <w:rsid w:val="00956FB4"/>
    <w:rsid w:val="009570FB"/>
    <w:rsid w:val="00957137"/>
    <w:rsid w:val="0095721D"/>
    <w:rsid w:val="009573E5"/>
    <w:rsid w:val="00957418"/>
    <w:rsid w:val="00957452"/>
    <w:rsid w:val="0095762A"/>
    <w:rsid w:val="00957630"/>
    <w:rsid w:val="0095793E"/>
    <w:rsid w:val="009579FF"/>
    <w:rsid w:val="00957A72"/>
    <w:rsid w:val="00957A9A"/>
    <w:rsid w:val="00957B06"/>
    <w:rsid w:val="00957B0A"/>
    <w:rsid w:val="00957B5C"/>
    <w:rsid w:val="00957BC8"/>
    <w:rsid w:val="00957C7B"/>
    <w:rsid w:val="00957C84"/>
    <w:rsid w:val="00957C88"/>
    <w:rsid w:val="00957D27"/>
    <w:rsid w:val="00957DED"/>
    <w:rsid w:val="00957EE4"/>
    <w:rsid w:val="00957EE7"/>
    <w:rsid w:val="00957F0D"/>
    <w:rsid w:val="00957F97"/>
    <w:rsid w:val="0096005C"/>
    <w:rsid w:val="00960063"/>
    <w:rsid w:val="009600E2"/>
    <w:rsid w:val="00960114"/>
    <w:rsid w:val="00960167"/>
    <w:rsid w:val="00960288"/>
    <w:rsid w:val="00960295"/>
    <w:rsid w:val="009602A1"/>
    <w:rsid w:val="009602E4"/>
    <w:rsid w:val="009602FF"/>
    <w:rsid w:val="00960351"/>
    <w:rsid w:val="0096037F"/>
    <w:rsid w:val="00960422"/>
    <w:rsid w:val="0096046B"/>
    <w:rsid w:val="00960486"/>
    <w:rsid w:val="00960495"/>
    <w:rsid w:val="00960528"/>
    <w:rsid w:val="009605AA"/>
    <w:rsid w:val="009606A7"/>
    <w:rsid w:val="009606C2"/>
    <w:rsid w:val="00960730"/>
    <w:rsid w:val="0096089A"/>
    <w:rsid w:val="00960929"/>
    <w:rsid w:val="00960ABC"/>
    <w:rsid w:val="00960B03"/>
    <w:rsid w:val="00960B44"/>
    <w:rsid w:val="00960B46"/>
    <w:rsid w:val="00960B7B"/>
    <w:rsid w:val="00960BE0"/>
    <w:rsid w:val="00960C16"/>
    <w:rsid w:val="00960C48"/>
    <w:rsid w:val="00960D50"/>
    <w:rsid w:val="00960D9E"/>
    <w:rsid w:val="00961140"/>
    <w:rsid w:val="009612B7"/>
    <w:rsid w:val="0096133E"/>
    <w:rsid w:val="00961366"/>
    <w:rsid w:val="00961391"/>
    <w:rsid w:val="009613E1"/>
    <w:rsid w:val="00961412"/>
    <w:rsid w:val="0096142C"/>
    <w:rsid w:val="0096142F"/>
    <w:rsid w:val="0096169C"/>
    <w:rsid w:val="009617A5"/>
    <w:rsid w:val="009617BC"/>
    <w:rsid w:val="009617C4"/>
    <w:rsid w:val="009617CA"/>
    <w:rsid w:val="009617D3"/>
    <w:rsid w:val="0096193F"/>
    <w:rsid w:val="00961977"/>
    <w:rsid w:val="009619CA"/>
    <w:rsid w:val="00961BA2"/>
    <w:rsid w:val="00961BEE"/>
    <w:rsid w:val="00961C47"/>
    <w:rsid w:val="00961C86"/>
    <w:rsid w:val="00961CD7"/>
    <w:rsid w:val="00961D6A"/>
    <w:rsid w:val="00961E32"/>
    <w:rsid w:val="00961E70"/>
    <w:rsid w:val="00961F99"/>
    <w:rsid w:val="009620C7"/>
    <w:rsid w:val="009620D8"/>
    <w:rsid w:val="00962190"/>
    <w:rsid w:val="009622A3"/>
    <w:rsid w:val="009622AC"/>
    <w:rsid w:val="00962395"/>
    <w:rsid w:val="009623A7"/>
    <w:rsid w:val="00962475"/>
    <w:rsid w:val="00962493"/>
    <w:rsid w:val="00962546"/>
    <w:rsid w:val="0096256B"/>
    <w:rsid w:val="00962601"/>
    <w:rsid w:val="00962709"/>
    <w:rsid w:val="0096279A"/>
    <w:rsid w:val="00962808"/>
    <w:rsid w:val="00962834"/>
    <w:rsid w:val="0096299D"/>
    <w:rsid w:val="0096299E"/>
    <w:rsid w:val="00962A28"/>
    <w:rsid w:val="00962B86"/>
    <w:rsid w:val="00962D4C"/>
    <w:rsid w:val="00962E2C"/>
    <w:rsid w:val="00962E3E"/>
    <w:rsid w:val="00962FC6"/>
    <w:rsid w:val="00962FE8"/>
    <w:rsid w:val="00963018"/>
    <w:rsid w:val="00963070"/>
    <w:rsid w:val="009630DB"/>
    <w:rsid w:val="0096312E"/>
    <w:rsid w:val="00963175"/>
    <w:rsid w:val="00963403"/>
    <w:rsid w:val="00963443"/>
    <w:rsid w:val="00963613"/>
    <w:rsid w:val="00963680"/>
    <w:rsid w:val="00963729"/>
    <w:rsid w:val="00963794"/>
    <w:rsid w:val="0096394A"/>
    <w:rsid w:val="00963B32"/>
    <w:rsid w:val="00963B9E"/>
    <w:rsid w:val="00963BD1"/>
    <w:rsid w:val="00963CD9"/>
    <w:rsid w:val="00963D65"/>
    <w:rsid w:val="00963D7D"/>
    <w:rsid w:val="00963E6D"/>
    <w:rsid w:val="00963EA7"/>
    <w:rsid w:val="00963F11"/>
    <w:rsid w:val="00964053"/>
    <w:rsid w:val="009641C9"/>
    <w:rsid w:val="009641F2"/>
    <w:rsid w:val="00964275"/>
    <w:rsid w:val="0096451B"/>
    <w:rsid w:val="0096455A"/>
    <w:rsid w:val="00964708"/>
    <w:rsid w:val="009647FD"/>
    <w:rsid w:val="00964812"/>
    <w:rsid w:val="0096497C"/>
    <w:rsid w:val="00964A74"/>
    <w:rsid w:val="00964AF5"/>
    <w:rsid w:val="00964B96"/>
    <w:rsid w:val="00964BCC"/>
    <w:rsid w:val="00964C4E"/>
    <w:rsid w:val="00964D45"/>
    <w:rsid w:val="00964D59"/>
    <w:rsid w:val="00964D7F"/>
    <w:rsid w:val="00964F63"/>
    <w:rsid w:val="00964F64"/>
    <w:rsid w:val="00964F81"/>
    <w:rsid w:val="00965036"/>
    <w:rsid w:val="00965085"/>
    <w:rsid w:val="009650EB"/>
    <w:rsid w:val="009651B6"/>
    <w:rsid w:val="0096537F"/>
    <w:rsid w:val="009653D4"/>
    <w:rsid w:val="009653EA"/>
    <w:rsid w:val="009653F1"/>
    <w:rsid w:val="0096549D"/>
    <w:rsid w:val="009654DC"/>
    <w:rsid w:val="00965553"/>
    <w:rsid w:val="00965626"/>
    <w:rsid w:val="009656A2"/>
    <w:rsid w:val="0096570B"/>
    <w:rsid w:val="00965729"/>
    <w:rsid w:val="009657F4"/>
    <w:rsid w:val="009658EE"/>
    <w:rsid w:val="0096595B"/>
    <w:rsid w:val="00965A61"/>
    <w:rsid w:val="00965ADA"/>
    <w:rsid w:val="00965AFB"/>
    <w:rsid w:val="00965B6C"/>
    <w:rsid w:val="00965C07"/>
    <w:rsid w:val="00965DB8"/>
    <w:rsid w:val="00965E1C"/>
    <w:rsid w:val="00965E56"/>
    <w:rsid w:val="00965E6F"/>
    <w:rsid w:val="00965E7F"/>
    <w:rsid w:val="00965ED8"/>
    <w:rsid w:val="00965EDB"/>
    <w:rsid w:val="00965FA9"/>
    <w:rsid w:val="00965FE1"/>
    <w:rsid w:val="0096606B"/>
    <w:rsid w:val="009660D6"/>
    <w:rsid w:val="009660DD"/>
    <w:rsid w:val="009660FC"/>
    <w:rsid w:val="00966125"/>
    <w:rsid w:val="00966145"/>
    <w:rsid w:val="009661B5"/>
    <w:rsid w:val="009661F4"/>
    <w:rsid w:val="009662B8"/>
    <w:rsid w:val="0096634E"/>
    <w:rsid w:val="009663D1"/>
    <w:rsid w:val="00966438"/>
    <w:rsid w:val="0096647A"/>
    <w:rsid w:val="009664A2"/>
    <w:rsid w:val="0096664E"/>
    <w:rsid w:val="0096666A"/>
    <w:rsid w:val="0096670D"/>
    <w:rsid w:val="00966813"/>
    <w:rsid w:val="009668B7"/>
    <w:rsid w:val="009668BE"/>
    <w:rsid w:val="009669C0"/>
    <w:rsid w:val="009669D9"/>
    <w:rsid w:val="009669F1"/>
    <w:rsid w:val="00966B5D"/>
    <w:rsid w:val="00966C45"/>
    <w:rsid w:val="00966C61"/>
    <w:rsid w:val="00966CB0"/>
    <w:rsid w:val="00966F12"/>
    <w:rsid w:val="00966FAD"/>
    <w:rsid w:val="00966FFF"/>
    <w:rsid w:val="0096702D"/>
    <w:rsid w:val="009671E8"/>
    <w:rsid w:val="009672CC"/>
    <w:rsid w:val="009672D2"/>
    <w:rsid w:val="009672DE"/>
    <w:rsid w:val="0096749F"/>
    <w:rsid w:val="009674A5"/>
    <w:rsid w:val="009674D8"/>
    <w:rsid w:val="00967769"/>
    <w:rsid w:val="0096788F"/>
    <w:rsid w:val="0096797F"/>
    <w:rsid w:val="00967C74"/>
    <w:rsid w:val="00967D23"/>
    <w:rsid w:val="00967D3C"/>
    <w:rsid w:val="00967E7E"/>
    <w:rsid w:val="00967E95"/>
    <w:rsid w:val="00967ECF"/>
    <w:rsid w:val="00967F30"/>
    <w:rsid w:val="0097004C"/>
    <w:rsid w:val="009700BE"/>
    <w:rsid w:val="009700D7"/>
    <w:rsid w:val="009702C3"/>
    <w:rsid w:val="00970471"/>
    <w:rsid w:val="009704B3"/>
    <w:rsid w:val="00970519"/>
    <w:rsid w:val="00970581"/>
    <w:rsid w:val="0097062E"/>
    <w:rsid w:val="00970665"/>
    <w:rsid w:val="00970716"/>
    <w:rsid w:val="009708F1"/>
    <w:rsid w:val="009709B9"/>
    <w:rsid w:val="009709C0"/>
    <w:rsid w:val="009709ED"/>
    <w:rsid w:val="00970B62"/>
    <w:rsid w:val="00970BAE"/>
    <w:rsid w:val="00970CF2"/>
    <w:rsid w:val="00970E4E"/>
    <w:rsid w:val="00970E51"/>
    <w:rsid w:val="00970F4F"/>
    <w:rsid w:val="00970F93"/>
    <w:rsid w:val="00971018"/>
    <w:rsid w:val="0097104D"/>
    <w:rsid w:val="0097111D"/>
    <w:rsid w:val="00971384"/>
    <w:rsid w:val="0097142E"/>
    <w:rsid w:val="0097145F"/>
    <w:rsid w:val="009714AE"/>
    <w:rsid w:val="00971502"/>
    <w:rsid w:val="0097157F"/>
    <w:rsid w:val="0097172D"/>
    <w:rsid w:val="00971806"/>
    <w:rsid w:val="00971876"/>
    <w:rsid w:val="00971955"/>
    <w:rsid w:val="009719E5"/>
    <w:rsid w:val="00971A62"/>
    <w:rsid w:val="00971B9B"/>
    <w:rsid w:val="00971BF9"/>
    <w:rsid w:val="00971CC1"/>
    <w:rsid w:val="00971CD3"/>
    <w:rsid w:val="00971DE2"/>
    <w:rsid w:val="00971E31"/>
    <w:rsid w:val="00971E6F"/>
    <w:rsid w:val="00971E83"/>
    <w:rsid w:val="00971FA5"/>
    <w:rsid w:val="00972173"/>
    <w:rsid w:val="009721D0"/>
    <w:rsid w:val="009721DA"/>
    <w:rsid w:val="009721DD"/>
    <w:rsid w:val="00972206"/>
    <w:rsid w:val="00972274"/>
    <w:rsid w:val="00972322"/>
    <w:rsid w:val="009723A8"/>
    <w:rsid w:val="009723C3"/>
    <w:rsid w:val="009723F6"/>
    <w:rsid w:val="00972447"/>
    <w:rsid w:val="009724AA"/>
    <w:rsid w:val="009724EE"/>
    <w:rsid w:val="00972592"/>
    <w:rsid w:val="009725E5"/>
    <w:rsid w:val="00972623"/>
    <w:rsid w:val="0097264F"/>
    <w:rsid w:val="00972689"/>
    <w:rsid w:val="00972848"/>
    <w:rsid w:val="0097288E"/>
    <w:rsid w:val="009728A9"/>
    <w:rsid w:val="00972BA9"/>
    <w:rsid w:val="00972BD2"/>
    <w:rsid w:val="00972DBA"/>
    <w:rsid w:val="00972DEC"/>
    <w:rsid w:val="00972DEF"/>
    <w:rsid w:val="00972E8C"/>
    <w:rsid w:val="00972F5C"/>
    <w:rsid w:val="00973005"/>
    <w:rsid w:val="00973029"/>
    <w:rsid w:val="0097318B"/>
    <w:rsid w:val="009731BD"/>
    <w:rsid w:val="0097320F"/>
    <w:rsid w:val="009732EC"/>
    <w:rsid w:val="0097330B"/>
    <w:rsid w:val="00973363"/>
    <w:rsid w:val="009733C3"/>
    <w:rsid w:val="0097346A"/>
    <w:rsid w:val="00973478"/>
    <w:rsid w:val="0097359B"/>
    <w:rsid w:val="009735F6"/>
    <w:rsid w:val="00973746"/>
    <w:rsid w:val="00973811"/>
    <w:rsid w:val="00973922"/>
    <w:rsid w:val="00973950"/>
    <w:rsid w:val="00973959"/>
    <w:rsid w:val="0097398B"/>
    <w:rsid w:val="0097399C"/>
    <w:rsid w:val="00973A1C"/>
    <w:rsid w:val="00973C58"/>
    <w:rsid w:val="00973CDA"/>
    <w:rsid w:val="00973CE6"/>
    <w:rsid w:val="00973D33"/>
    <w:rsid w:val="00973D3A"/>
    <w:rsid w:val="00973D46"/>
    <w:rsid w:val="00973D65"/>
    <w:rsid w:val="00973F1F"/>
    <w:rsid w:val="00973F73"/>
    <w:rsid w:val="00973FD4"/>
    <w:rsid w:val="0097416E"/>
    <w:rsid w:val="00974171"/>
    <w:rsid w:val="0097419A"/>
    <w:rsid w:val="009741F4"/>
    <w:rsid w:val="0097420D"/>
    <w:rsid w:val="0097428D"/>
    <w:rsid w:val="0097430F"/>
    <w:rsid w:val="0097439F"/>
    <w:rsid w:val="00974451"/>
    <w:rsid w:val="00974465"/>
    <w:rsid w:val="00974472"/>
    <w:rsid w:val="00974604"/>
    <w:rsid w:val="00974766"/>
    <w:rsid w:val="00974A35"/>
    <w:rsid w:val="00974A6B"/>
    <w:rsid w:val="00974B65"/>
    <w:rsid w:val="00974C2E"/>
    <w:rsid w:val="00974CD3"/>
    <w:rsid w:val="00974DC4"/>
    <w:rsid w:val="00974DF5"/>
    <w:rsid w:val="00974F5F"/>
    <w:rsid w:val="00974F68"/>
    <w:rsid w:val="009750BC"/>
    <w:rsid w:val="00975134"/>
    <w:rsid w:val="00975213"/>
    <w:rsid w:val="009752D1"/>
    <w:rsid w:val="0097536F"/>
    <w:rsid w:val="009753C2"/>
    <w:rsid w:val="009754CF"/>
    <w:rsid w:val="009754F3"/>
    <w:rsid w:val="0097551D"/>
    <w:rsid w:val="009755C5"/>
    <w:rsid w:val="009755DD"/>
    <w:rsid w:val="00975662"/>
    <w:rsid w:val="00975696"/>
    <w:rsid w:val="009757B5"/>
    <w:rsid w:val="009757CB"/>
    <w:rsid w:val="00975897"/>
    <w:rsid w:val="009758E9"/>
    <w:rsid w:val="00975930"/>
    <w:rsid w:val="00975A04"/>
    <w:rsid w:val="00975AA2"/>
    <w:rsid w:val="00975AA8"/>
    <w:rsid w:val="00975B12"/>
    <w:rsid w:val="00975C01"/>
    <w:rsid w:val="00975C2A"/>
    <w:rsid w:val="00975C8F"/>
    <w:rsid w:val="00975D94"/>
    <w:rsid w:val="00975E48"/>
    <w:rsid w:val="00975E95"/>
    <w:rsid w:val="00975EC4"/>
    <w:rsid w:val="00975EF9"/>
    <w:rsid w:val="00975FE7"/>
    <w:rsid w:val="00976156"/>
    <w:rsid w:val="0097617F"/>
    <w:rsid w:val="00976199"/>
    <w:rsid w:val="00976256"/>
    <w:rsid w:val="00976272"/>
    <w:rsid w:val="00976355"/>
    <w:rsid w:val="00976357"/>
    <w:rsid w:val="00976392"/>
    <w:rsid w:val="00976397"/>
    <w:rsid w:val="00976407"/>
    <w:rsid w:val="0097640B"/>
    <w:rsid w:val="00976418"/>
    <w:rsid w:val="00976442"/>
    <w:rsid w:val="0097652B"/>
    <w:rsid w:val="0097653A"/>
    <w:rsid w:val="009765A2"/>
    <w:rsid w:val="009765A7"/>
    <w:rsid w:val="00976622"/>
    <w:rsid w:val="009766C4"/>
    <w:rsid w:val="00976858"/>
    <w:rsid w:val="009768D2"/>
    <w:rsid w:val="0097690B"/>
    <w:rsid w:val="00976923"/>
    <w:rsid w:val="009769B2"/>
    <w:rsid w:val="009769E4"/>
    <w:rsid w:val="00976AC1"/>
    <w:rsid w:val="00976C0A"/>
    <w:rsid w:val="00976C73"/>
    <w:rsid w:val="00976C87"/>
    <w:rsid w:val="00976C8A"/>
    <w:rsid w:val="00976CAF"/>
    <w:rsid w:val="00976E91"/>
    <w:rsid w:val="00976EFB"/>
    <w:rsid w:val="00976FFC"/>
    <w:rsid w:val="0097712D"/>
    <w:rsid w:val="00977144"/>
    <w:rsid w:val="00977161"/>
    <w:rsid w:val="0097717B"/>
    <w:rsid w:val="009771B9"/>
    <w:rsid w:val="009772AB"/>
    <w:rsid w:val="009772AE"/>
    <w:rsid w:val="00977394"/>
    <w:rsid w:val="0097741A"/>
    <w:rsid w:val="00977439"/>
    <w:rsid w:val="00977456"/>
    <w:rsid w:val="009776A8"/>
    <w:rsid w:val="009778AD"/>
    <w:rsid w:val="009779FE"/>
    <w:rsid w:val="00977A3B"/>
    <w:rsid w:val="00977BAD"/>
    <w:rsid w:val="00977D11"/>
    <w:rsid w:val="00977E7D"/>
    <w:rsid w:val="00977F04"/>
    <w:rsid w:val="00977F68"/>
    <w:rsid w:val="00977F85"/>
    <w:rsid w:val="00980016"/>
    <w:rsid w:val="00980024"/>
    <w:rsid w:val="009801AC"/>
    <w:rsid w:val="00980203"/>
    <w:rsid w:val="0098034D"/>
    <w:rsid w:val="00980371"/>
    <w:rsid w:val="00980378"/>
    <w:rsid w:val="00980388"/>
    <w:rsid w:val="00980400"/>
    <w:rsid w:val="009804D0"/>
    <w:rsid w:val="009806B7"/>
    <w:rsid w:val="0098075B"/>
    <w:rsid w:val="0098076C"/>
    <w:rsid w:val="00980897"/>
    <w:rsid w:val="00980912"/>
    <w:rsid w:val="009809A0"/>
    <w:rsid w:val="00980A40"/>
    <w:rsid w:val="00980A82"/>
    <w:rsid w:val="00980AC5"/>
    <w:rsid w:val="00980BD7"/>
    <w:rsid w:val="00980BED"/>
    <w:rsid w:val="00980C42"/>
    <w:rsid w:val="00980D12"/>
    <w:rsid w:val="00980DA0"/>
    <w:rsid w:val="00980F0D"/>
    <w:rsid w:val="00980F15"/>
    <w:rsid w:val="00980F59"/>
    <w:rsid w:val="00980FAF"/>
    <w:rsid w:val="00980FD0"/>
    <w:rsid w:val="009810BC"/>
    <w:rsid w:val="009810DB"/>
    <w:rsid w:val="00981128"/>
    <w:rsid w:val="0098115F"/>
    <w:rsid w:val="0098116C"/>
    <w:rsid w:val="0098119C"/>
    <w:rsid w:val="00981206"/>
    <w:rsid w:val="009812B3"/>
    <w:rsid w:val="00981472"/>
    <w:rsid w:val="009814EB"/>
    <w:rsid w:val="0098154F"/>
    <w:rsid w:val="009815AE"/>
    <w:rsid w:val="009815BD"/>
    <w:rsid w:val="0098171B"/>
    <w:rsid w:val="00981894"/>
    <w:rsid w:val="00981908"/>
    <w:rsid w:val="00981A28"/>
    <w:rsid w:val="00981A75"/>
    <w:rsid w:val="00981ACB"/>
    <w:rsid w:val="00981B24"/>
    <w:rsid w:val="00981C13"/>
    <w:rsid w:val="00981CA5"/>
    <w:rsid w:val="00981E00"/>
    <w:rsid w:val="00981F7A"/>
    <w:rsid w:val="00981F7D"/>
    <w:rsid w:val="009820FA"/>
    <w:rsid w:val="009821DC"/>
    <w:rsid w:val="009821E6"/>
    <w:rsid w:val="00982254"/>
    <w:rsid w:val="009822A0"/>
    <w:rsid w:val="009822BA"/>
    <w:rsid w:val="00982317"/>
    <w:rsid w:val="009823A9"/>
    <w:rsid w:val="009824C5"/>
    <w:rsid w:val="0098252E"/>
    <w:rsid w:val="009825C5"/>
    <w:rsid w:val="00982618"/>
    <w:rsid w:val="00982657"/>
    <w:rsid w:val="0098265A"/>
    <w:rsid w:val="009826BC"/>
    <w:rsid w:val="00982948"/>
    <w:rsid w:val="00982A30"/>
    <w:rsid w:val="00982BBF"/>
    <w:rsid w:val="00982BEF"/>
    <w:rsid w:val="00982C4E"/>
    <w:rsid w:val="00982C8B"/>
    <w:rsid w:val="00982CD2"/>
    <w:rsid w:val="00982CD4"/>
    <w:rsid w:val="00982CDD"/>
    <w:rsid w:val="00982DAE"/>
    <w:rsid w:val="00982E33"/>
    <w:rsid w:val="00982E5D"/>
    <w:rsid w:val="00982E9F"/>
    <w:rsid w:val="00982EF2"/>
    <w:rsid w:val="00982F21"/>
    <w:rsid w:val="00982FD4"/>
    <w:rsid w:val="00982FE0"/>
    <w:rsid w:val="00983054"/>
    <w:rsid w:val="009830F4"/>
    <w:rsid w:val="0098310A"/>
    <w:rsid w:val="00983143"/>
    <w:rsid w:val="009834DD"/>
    <w:rsid w:val="009834FF"/>
    <w:rsid w:val="00983504"/>
    <w:rsid w:val="0098363B"/>
    <w:rsid w:val="009836F0"/>
    <w:rsid w:val="0098377A"/>
    <w:rsid w:val="00983858"/>
    <w:rsid w:val="009838D8"/>
    <w:rsid w:val="009838F9"/>
    <w:rsid w:val="00983A47"/>
    <w:rsid w:val="00983A86"/>
    <w:rsid w:val="00983AC6"/>
    <w:rsid w:val="00983ACB"/>
    <w:rsid w:val="00983B4B"/>
    <w:rsid w:val="00983B71"/>
    <w:rsid w:val="00983B87"/>
    <w:rsid w:val="00983D61"/>
    <w:rsid w:val="00983D83"/>
    <w:rsid w:val="00983EDC"/>
    <w:rsid w:val="00984137"/>
    <w:rsid w:val="009841B2"/>
    <w:rsid w:val="009841F0"/>
    <w:rsid w:val="0098437D"/>
    <w:rsid w:val="009843C0"/>
    <w:rsid w:val="00984415"/>
    <w:rsid w:val="009845A8"/>
    <w:rsid w:val="009845E8"/>
    <w:rsid w:val="0098460D"/>
    <w:rsid w:val="0098461B"/>
    <w:rsid w:val="0098462E"/>
    <w:rsid w:val="0098464B"/>
    <w:rsid w:val="0098476E"/>
    <w:rsid w:val="009847EF"/>
    <w:rsid w:val="009848B3"/>
    <w:rsid w:val="009848C9"/>
    <w:rsid w:val="00984A99"/>
    <w:rsid w:val="00984AA6"/>
    <w:rsid w:val="00984CC1"/>
    <w:rsid w:val="00984CEC"/>
    <w:rsid w:val="00984DBB"/>
    <w:rsid w:val="00984DE2"/>
    <w:rsid w:val="00984ECB"/>
    <w:rsid w:val="00985060"/>
    <w:rsid w:val="00985192"/>
    <w:rsid w:val="0098523B"/>
    <w:rsid w:val="009852B1"/>
    <w:rsid w:val="009854F8"/>
    <w:rsid w:val="00985553"/>
    <w:rsid w:val="009855AD"/>
    <w:rsid w:val="009856A3"/>
    <w:rsid w:val="009856C9"/>
    <w:rsid w:val="00985815"/>
    <w:rsid w:val="0098589E"/>
    <w:rsid w:val="00985965"/>
    <w:rsid w:val="00985979"/>
    <w:rsid w:val="00985991"/>
    <w:rsid w:val="00985AE7"/>
    <w:rsid w:val="00985C55"/>
    <w:rsid w:val="00985D8D"/>
    <w:rsid w:val="00985E88"/>
    <w:rsid w:val="00985EF3"/>
    <w:rsid w:val="00986017"/>
    <w:rsid w:val="00986040"/>
    <w:rsid w:val="00986190"/>
    <w:rsid w:val="009861DC"/>
    <w:rsid w:val="00986254"/>
    <w:rsid w:val="00986394"/>
    <w:rsid w:val="009863A1"/>
    <w:rsid w:val="00986414"/>
    <w:rsid w:val="0098650B"/>
    <w:rsid w:val="009866A9"/>
    <w:rsid w:val="009866ED"/>
    <w:rsid w:val="0098675F"/>
    <w:rsid w:val="00986765"/>
    <w:rsid w:val="00986839"/>
    <w:rsid w:val="009868B6"/>
    <w:rsid w:val="00986969"/>
    <w:rsid w:val="0098697A"/>
    <w:rsid w:val="00986A5B"/>
    <w:rsid w:val="00986AD2"/>
    <w:rsid w:val="00986ADA"/>
    <w:rsid w:val="00986ADB"/>
    <w:rsid w:val="00986B8D"/>
    <w:rsid w:val="00986E88"/>
    <w:rsid w:val="00986ECD"/>
    <w:rsid w:val="00986F5F"/>
    <w:rsid w:val="00986F90"/>
    <w:rsid w:val="00986FE6"/>
    <w:rsid w:val="00986FEE"/>
    <w:rsid w:val="00987056"/>
    <w:rsid w:val="0098705C"/>
    <w:rsid w:val="0098708C"/>
    <w:rsid w:val="0098715C"/>
    <w:rsid w:val="009871B3"/>
    <w:rsid w:val="009871D8"/>
    <w:rsid w:val="0098725B"/>
    <w:rsid w:val="0098726D"/>
    <w:rsid w:val="00987276"/>
    <w:rsid w:val="0098728C"/>
    <w:rsid w:val="009872D7"/>
    <w:rsid w:val="00987382"/>
    <w:rsid w:val="009874EB"/>
    <w:rsid w:val="00987569"/>
    <w:rsid w:val="00987587"/>
    <w:rsid w:val="009875E7"/>
    <w:rsid w:val="00987737"/>
    <w:rsid w:val="0098773E"/>
    <w:rsid w:val="00987928"/>
    <w:rsid w:val="0098793C"/>
    <w:rsid w:val="00987A4D"/>
    <w:rsid w:val="00987AFC"/>
    <w:rsid w:val="00987B63"/>
    <w:rsid w:val="00987BCF"/>
    <w:rsid w:val="00987BD1"/>
    <w:rsid w:val="00987C4F"/>
    <w:rsid w:val="00987CCD"/>
    <w:rsid w:val="00987CD1"/>
    <w:rsid w:val="00987D5A"/>
    <w:rsid w:val="00987F96"/>
    <w:rsid w:val="00987FA2"/>
    <w:rsid w:val="00990024"/>
    <w:rsid w:val="0099007C"/>
    <w:rsid w:val="00990136"/>
    <w:rsid w:val="00990159"/>
    <w:rsid w:val="00990179"/>
    <w:rsid w:val="0099023A"/>
    <w:rsid w:val="0099034B"/>
    <w:rsid w:val="00990372"/>
    <w:rsid w:val="00990390"/>
    <w:rsid w:val="009903B6"/>
    <w:rsid w:val="009903DF"/>
    <w:rsid w:val="009903FC"/>
    <w:rsid w:val="00990417"/>
    <w:rsid w:val="00990440"/>
    <w:rsid w:val="009904E7"/>
    <w:rsid w:val="0099055B"/>
    <w:rsid w:val="009905F6"/>
    <w:rsid w:val="0099077E"/>
    <w:rsid w:val="0099080B"/>
    <w:rsid w:val="00990824"/>
    <w:rsid w:val="0099092E"/>
    <w:rsid w:val="009909B4"/>
    <w:rsid w:val="009909E3"/>
    <w:rsid w:val="00990AE1"/>
    <w:rsid w:val="00990B03"/>
    <w:rsid w:val="00990B17"/>
    <w:rsid w:val="00990B34"/>
    <w:rsid w:val="00990BDB"/>
    <w:rsid w:val="00990CBA"/>
    <w:rsid w:val="00990CF3"/>
    <w:rsid w:val="00990E29"/>
    <w:rsid w:val="00990E52"/>
    <w:rsid w:val="00990E6B"/>
    <w:rsid w:val="00990EB7"/>
    <w:rsid w:val="00990EF2"/>
    <w:rsid w:val="00990F69"/>
    <w:rsid w:val="0099158B"/>
    <w:rsid w:val="00991599"/>
    <w:rsid w:val="009915CF"/>
    <w:rsid w:val="00991632"/>
    <w:rsid w:val="00991691"/>
    <w:rsid w:val="00991697"/>
    <w:rsid w:val="009917AF"/>
    <w:rsid w:val="00991886"/>
    <w:rsid w:val="0099188B"/>
    <w:rsid w:val="009918C5"/>
    <w:rsid w:val="00991940"/>
    <w:rsid w:val="00991A3F"/>
    <w:rsid w:val="00991AB0"/>
    <w:rsid w:val="00991BBA"/>
    <w:rsid w:val="00991C54"/>
    <w:rsid w:val="00991C77"/>
    <w:rsid w:val="00991D50"/>
    <w:rsid w:val="00991E0B"/>
    <w:rsid w:val="00991E58"/>
    <w:rsid w:val="00991F86"/>
    <w:rsid w:val="00991F8F"/>
    <w:rsid w:val="00992031"/>
    <w:rsid w:val="00992087"/>
    <w:rsid w:val="009920F1"/>
    <w:rsid w:val="00992268"/>
    <w:rsid w:val="0099226F"/>
    <w:rsid w:val="00992330"/>
    <w:rsid w:val="0099240F"/>
    <w:rsid w:val="0099241E"/>
    <w:rsid w:val="0099244C"/>
    <w:rsid w:val="0099244D"/>
    <w:rsid w:val="009927F8"/>
    <w:rsid w:val="009927FB"/>
    <w:rsid w:val="00992802"/>
    <w:rsid w:val="00992863"/>
    <w:rsid w:val="00992932"/>
    <w:rsid w:val="00992A91"/>
    <w:rsid w:val="00992B0D"/>
    <w:rsid w:val="00992BF3"/>
    <w:rsid w:val="00992CE2"/>
    <w:rsid w:val="00992F57"/>
    <w:rsid w:val="00992F89"/>
    <w:rsid w:val="00993131"/>
    <w:rsid w:val="009932AE"/>
    <w:rsid w:val="0099359F"/>
    <w:rsid w:val="009936C3"/>
    <w:rsid w:val="00993709"/>
    <w:rsid w:val="009937BC"/>
    <w:rsid w:val="009937C0"/>
    <w:rsid w:val="00993871"/>
    <w:rsid w:val="009938C5"/>
    <w:rsid w:val="0099395A"/>
    <w:rsid w:val="009939C5"/>
    <w:rsid w:val="009939E0"/>
    <w:rsid w:val="00993CEF"/>
    <w:rsid w:val="00993DF7"/>
    <w:rsid w:val="00993FFE"/>
    <w:rsid w:val="0099410E"/>
    <w:rsid w:val="0099428C"/>
    <w:rsid w:val="009942B7"/>
    <w:rsid w:val="00994341"/>
    <w:rsid w:val="0099445D"/>
    <w:rsid w:val="009944B9"/>
    <w:rsid w:val="0099455E"/>
    <w:rsid w:val="0099468D"/>
    <w:rsid w:val="009947A3"/>
    <w:rsid w:val="0099497D"/>
    <w:rsid w:val="00994AAC"/>
    <w:rsid w:val="00994B06"/>
    <w:rsid w:val="00994B5E"/>
    <w:rsid w:val="00994C4A"/>
    <w:rsid w:val="00994CD6"/>
    <w:rsid w:val="00994DAB"/>
    <w:rsid w:val="00994DBC"/>
    <w:rsid w:val="00994E1C"/>
    <w:rsid w:val="00994EE1"/>
    <w:rsid w:val="00994F5D"/>
    <w:rsid w:val="00994FFA"/>
    <w:rsid w:val="0099501F"/>
    <w:rsid w:val="009951E0"/>
    <w:rsid w:val="00995281"/>
    <w:rsid w:val="009952E2"/>
    <w:rsid w:val="00995341"/>
    <w:rsid w:val="00995402"/>
    <w:rsid w:val="00995417"/>
    <w:rsid w:val="009954AA"/>
    <w:rsid w:val="009954B5"/>
    <w:rsid w:val="009954BD"/>
    <w:rsid w:val="009954D7"/>
    <w:rsid w:val="0099555D"/>
    <w:rsid w:val="009955B3"/>
    <w:rsid w:val="009955B6"/>
    <w:rsid w:val="00995642"/>
    <w:rsid w:val="00995677"/>
    <w:rsid w:val="009956EF"/>
    <w:rsid w:val="00995753"/>
    <w:rsid w:val="0099576C"/>
    <w:rsid w:val="00995797"/>
    <w:rsid w:val="009957EC"/>
    <w:rsid w:val="00995847"/>
    <w:rsid w:val="0099585F"/>
    <w:rsid w:val="009959DD"/>
    <w:rsid w:val="00995A87"/>
    <w:rsid w:val="00995BF3"/>
    <w:rsid w:val="00995C19"/>
    <w:rsid w:val="00995C91"/>
    <w:rsid w:val="00995CDC"/>
    <w:rsid w:val="00995CF0"/>
    <w:rsid w:val="00995D4E"/>
    <w:rsid w:val="00995E6D"/>
    <w:rsid w:val="00995EEE"/>
    <w:rsid w:val="00995F69"/>
    <w:rsid w:val="00996042"/>
    <w:rsid w:val="00996195"/>
    <w:rsid w:val="0099619E"/>
    <w:rsid w:val="00996321"/>
    <w:rsid w:val="00996521"/>
    <w:rsid w:val="00996549"/>
    <w:rsid w:val="009965CE"/>
    <w:rsid w:val="00996665"/>
    <w:rsid w:val="009966D1"/>
    <w:rsid w:val="009966E5"/>
    <w:rsid w:val="009967F7"/>
    <w:rsid w:val="009968CD"/>
    <w:rsid w:val="009969BB"/>
    <w:rsid w:val="009969E2"/>
    <w:rsid w:val="00996AEF"/>
    <w:rsid w:val="00996B5D"/>
    <w:rsid w:val="00996BEF"/>
    <w:rsid w:val="00996C87"/>
    <w:rsid w:val="00996C95"/>
    <w:rsid w:val="00996CD3"/>
    <w:rsid w:val="00996CF6"/>
    <w:rsid w:val="00996CFB"/>
    <w:rsid w:val="00996D7E"/>
    <w:rsid w:val="00996D89"/>
    <w:rsid w:val="00996DBF"/>
    <w:rsid w:val="00996E76"/>
    <w:rsid w:val="00996ED4"/>
    <w:rsid w:val="00997016"/>
    <w:rsid w:val="0099702D"/>
    <w:rsid w:val="009970BD"/>
    <w:rsid w:val="009971E0"/>
    <w:rsid w:val="009971EC"/>
    <w:rsid w:val="0099728F"/>
    <w:rsid w:val="00997528"/>
    <w:rsid w:val="00997570"/>
    <w:rsid w:val="00997573"/>
    <w:rsid w:val="00997752"/>
    <w:rsid w:val="00997826"/>
    <w:rsid w:val="00997897"/>
    <w:rsid w:val="009978E8"/>
    <w:rsid w:val="00997A3B"/>
    <w:rsid w:val="00997A44"/>
    <w:rsid w:val="00997B62"/>
    <w:rsid w:val="00997C57"/>
    <w:rsid w:val="00997C7F"/>
    <w:rsid w:val="00997D25"/>
    <w:rsid w:val="00997FA8"/>
    <w:rsid w:val="009A00AC"/>
    <w:rsid w:val="009A00CF"/>
    <w:rsid w:val="009A00FF"/>
    <w:rsid w:val="009A0248"/>
    <w:rsid w:val="009A02E2"/>
    <w:rsid w:val="009A041F"/>
    <w:rsid w:val="009A049B"/>
    <w:rsid w:val="009A0638"/>
    <w:rsid w:val="009A06BA"/>
    <w:rsid w:val="009A0829"/>
    <w:rsid w:val="009A08AA"/>
    <w:rsid w:val="009A097A"/>
    <w:rsid w:val="009A0ABD"/>
    <w:rsid w:val="009A0BE9"/>
    <w:rsid w:val="009A0BF6"/>
    <w:rsid w:val="009A0C57"/>
    <w:rsid w:val="009A0C83"/>
    <w:rsid w:val="009A0CD7"/>
    <w:rsid w:val="009A0DEE"/>
    <w:rsid w:val="009A0DF0"/>
    <w:rsid w:val="009A0E88"/>
    <w:rsid w:val="009A0FA0"/>
    <w:rsid w:val="009A0FD5"/>
    <w:rsid w:val="009A114C"/>
    <w:rsid w:val="009A11D0"/>
    <w:rsid w:val="009A128C"/>
    <w:rsid w:val="009A12DB"/>
    <w:rsid w:val="009A12F3"/>
    <w:rsid w:val="009A1361"/>
    <w:rsid w:val="009A137E"/>
    <w:rsid w:val="009A1397"/>
    <w:rsid w:val="009A1555"/>
    <w:rsid w:val="009A1572"/>
    <w:rsid w:val="009A1584"/>
    <w:rsid w:val="009A1625"/>
    <w:rsid w:val="009A1685"/>
    <w:rsid w:val="009A16F6"/>
    <w:rsid w:val="009A1772"/>
    <w:rsid w:val="009A1787"/>
    <w:rsid w:val="009A1B62"/>
    <w:rsid w:val="009A1C52"/>
    <w:rsid w:val="009A1C85"/>
    <w:rsid w:val="009A1CEB"/>
    <w:rsid w:val="009A1D9F"/>
    <w:rsid w:val="009A1E6D"/>
    <w:rsid w:val="009A1E9A"/>
    <w:rsid w:val="009A1EA1"/>
    <w:rsid w:val="009A1EEB"/>
    <w:rsid w:val="009A1FD0"/>
    <w:rsid w:val="009A2089"/>
    <w:rsid w:val="009A20D3"/>
    <w:rsid w:val="009A213A"/>
    <w:rsid w:val="009A21A6"/>
    <w:rsid w:val="009A21C0"/>
    <w:rsid w:val="009A21EF"/>
    <w:rsid w:val="009A2272"/>
    <w:rsid w:val="009A23B6"/>
    <w:rsid w:val="009A24F4"/>
    <w:rsid w:val="009A2510"/>
    <w:rsid w:val="009A254E"/>
    <w:rsid w:val="009A2590"/>
    <w:rsid w:val="009A2664"/>
    <w:rsid w:val="009A267A"/>
    <w:rsid w:val="009A294E"/>
    <w:rsid w:val="009A29CF"/>
    <w:rsid w:val="009A29FA"/>
    <w:rsid w:val="009A2A3F"/>
    <w:rsid w:val="009A2A41"/>
    <w:rsid w:val="009A2BFE"/>
    <w:rsid w:val="009A2C3B"/>
    <w:rsid w:val="009A2C6F"/>
    <w:rsid w:val="009A2EDA"/>
    <w:rsid w:val="009A301E"/>
    <w:rsid w:val="009A30DC"/>
    <w:rsid w:val="009A3103"/>
    <w:rsid w:val="009A3139"/>
    <w:rsid w:val="009A3166"/>
    <w:rsid w:val="009A3275"/>
    <w:rsid w:val="009A32BC"/>
    <w:rsid w:val="009A32BF"/>
    <w:rsid w:val="009A33EB"/>
    <w:rsid w:val="009A3405"/>
    <w:rsid w:val="009A3505"/>
    <w:rsid w:val="009A3578"/>
    <w:rsid w:val="009A366E"/>
    <w:rsid w:val="009A36FA"/>
    <w:rsid w:val="009A3794"/>
    <w:rsid w:val="009A37A8"/>
    <w:rsid w:val="009A37F0"/>
    <w:rsid w:val="009A38AF"/>
    <w:rsid w:val="009A38F2"/>
    <w:rsid w:val="009A3952"/>
    <w:rsid w:val="009A39AF"/>
    <w:rsid w:val="009A39EF"/>
    <w:rsid w:val="009A3AA6"/>
    <w:rsid w:val="009A3AB3"/>
    <w:rsid w:val="009A3BCB"/>
    <w:rsid w:val="009A3BD1"/>
    <w:rsid w:val="009A3D7C"/>
    <w:rsid w:val="009A3DCE"/>
    <w:rsid w:val="009A3E5C"/>
    <w:rsid w:val="009A3FE6"/>
    <w:rsid w:val="009A4062"/>
    <w:rsid w:val="009A407D"/>
    <w:rsid w:val="009A408E"/>
    <w:rsid w:val="009A41AD"/>
    <w:rsid w:val="009A41B9"/>
    <w:rsid w:val="009A42D8"/>
    <w:rsid w:val="009A434B"/>
    <w:rsid w:val="009A4410"/>
    <w:rsid w:val="009A4448"/>
    <w:rsid w:val="009A4521"/>
    <w:rsid w:val="009A452C"/>
    <w:rsid w:val="009A460E"/>
    <w:rsid w:val="009A466D"/>
    <w:rsid w:val="009A4673"/>
    <w:rsid w:val="009A4694"/>
    <w:rsid w:val="009A479D"/>
    <w:rsid w:val="009A47C9"/>
    <w:rsid w:val="009A47D5"/>
    <w:rsid w:val="009A4852"/>
    <w:rsid w:val="009A485C"/>
    <w:rsid w:val="009A486D"/>
    <w:rsid w:val="009A49CB"/>
    <w:rsid w:val="009A4A5B"/>
    <w:rsid w:val="009A4A6B"/>
    <w:rsid w:val="009A4AB8"/>
    <w:rsid w:val="009A4AF8"/>
    <w:rsid w:val="009A4B30"/>
    <w:rsid w:val="009A4C2E"/>
    <w:rsid w:val="009A4C3B"/>
    <w:rsid w:val="009A4CE4"/>
    <w:rsid w:val="009A4E2E"/>
    <w:rsid w:val="009A4F49"/>
    <w:rsid w:val="009A4F83"/>
    <w:rsid w:val="009A5064"/>
    <w:rsid w:val="009A5093"/>
    <w:rsid w:val="009A50F6"/>
    <w:rsid w:val="009A5118"/>
    <w:rsid w:val="009A5262"/>
    <w:rsid w:val="009A52A4"/>
    <w:rsid w:val="009A53C7"/>
    <w:rsid w:val="009A5438"/>
    <w:rsid w:val="009A5504"/>
    <w:rsid w:val="009A5560"/>
    <w:rsid w:val="009A55A7"/>
    <w:rsid w:val="009A561F"/>
    <w:rsid w:val="009A570C"/>
    <w:rsid w:val="009A572D"/>
    <w:rsid w:val="009A5751"/>
    <w:rsid w:val="009A57C7"/>
    <w:rsid w:val="009A580D"/>
    <w:rsid w:val="009A58A4"/>
    <w:rsid w:val="009A5934"/>
    <w:rsid w:val="009A5981"/>
    <w:rsid w:val="009A5A74"/>
    <w:rsid w:val="009A5A7B"/>
    <w:rsid w:val="009A5B3F"/>
    <w:rsid w:val="009A5C6C"/>
    <w:rsid w:val="009A5C79"/>
    <w:rsid w:val="009A5CB4"/>
    <w:rsid w:val="009A5DCA"/>
    <w:rsid w:val="009A5E3F"/>
    <w:rsid w:val="009A5E69"/>
    <w:rsid w:val="009A603B"/>
    <w:rsid w:val="009A60A6"/>
    <w:rsid w:val="009A616F"/>
    <w:rsid w:val="009A63C3"/>
    <w:rsid w:val="009A64F7"/>
    <w:rsid w:val="009A6537"/>
    <w:rsid w:val="009A666A"/>
    <w:rsid w:val="009A6679"/>
    <w:rsid w:val="009A6684"/>
    <w:rsid w:val="009A6769"/>
    <w:rsid w:val="009A6875"/>
    <w:rsid w:val="009A6933"/>
    <w:rsid w:val="009A6AF2"/>
    <w:rsid w:val="009A6C1B"/>
    <w:rsid w:val="009A6C30"/>
    <w:rsid w:val="009A6C4E"/>
    <w:rsid w:val="009A6C52"/>
    <w:rsid w:val="009A6C8D"/>
    <w:rsid w:val="009A6CA6"/>
    <w:rsid w:val="009A6D35"/>
    <w:rsid w:val="009A6EF1"/>
    <w:rsid w:val="009A6F10"/>
    <w:rsid w:val="009A6F56"/>
    <w:rsid w:val="009A6FF7"/>
    <w:rsid w:val="009A70FF"/>
    <w:rsid w:val="009A71B6"/>
    <w:rsid w:val="009A71BB"/>
    <w:rsid w:val="009A71C5"/>
    <w:rsid w:val="009A71E3"/>
    <w:rsid w:val="009A72CB"/>
    <w:rsid w:val="009A72D9"/>
    <w:rsid w:val="009A7313"/>
    <w:rsid w:val="009A75F4"/>
    <w:rsid w:val="009A760B"/>
    <w:rsid w:val="009A76D3"/>
    <w:rsid w:val="009A7725"/>
    <w:rsid w:val="009A77CB"/>
    <w:rsid w:val="009A7932"/>
    <w:rsid w:val="009A7976"/>
    <w:rsid w:val="009A7A3E"/>
    <w:rsid w:val="009A7A48"/>
    <w:rsid w:val="009A7B3D"/>
    <w:rsid w:val="009A7B75"/>
    <w:rsid w:val="009A7D45"/>
    <w:rsid w:val="009A7D5C"/>
    <w:rsid w:val="009A7E01"/>
    <w:rsid w:val="009B0147"/>
    <w:rsid w:val="009B0199"/>
    <w:rsid w:val="009B0259"/>
    <w:rsid w:val="009B031F"/>
    <w:rsid w:val="009B04EC"/>
    <w:rsid w:val="009B0576"/>
    <w:rsid w:val="009B058E"/>
    <w:rsid w:val="009B067A"/>
    <w:rsid w:val="009B0693"/>
    <w:rsid w:val="009B06CE"/>
    <w:rsid w:val="009B07A4"/>
    <w:rsid w:val="009B07ED"/>
    <w:rsid w:val="009B0855"/>
    <w:rsid w:val="009B086D"/>
    <w:rsid w:val="009B0924"/>
    <w:rsid w:val="009B096F"/>
    <w:rsid w:val="009B0986"/>
    <w:rsid w:val="009B09BA"/>
    <w:rsid w:val="009B0A29"/>
    <w:rsid w:val="009B0AD9"/>
    <w:rsid w:val="009B0B54"/>
    <w:rsid w:val="009B0B9A"/>
    <w:rsid w:val="009B0C70"/>
    <w:rsid w:val="009B0CD0"/>
    <w:rsid w:val="009B0DA9"/>
    <w:rsid w:val="009B0E52"/>
    <w:rsid w:val="009B0F7B"/>
    <w:rsid w:val="009B10CC"/>
    <w:rsid w:val="009B114D"/>
    <w:rsid w:val="009B115A"/>
    <w:rsid w:val="009B1220"/>
    <w:rsid w:val="009B126D"/>
    <w:rsid w:val="009B12E8"/>
    <w:rsid w:val="009B1366"/>
    <w:rsid w:val="009B142F"/>
    <w:rsid w:val="009B1500"/>
    <w:rsid w:val="009B1513"/>
    <w:rsid w:val="009B1597"/>
    <w:rsid w:val="009B1646"/>
    <w:rsid w:val="009B1698"/>
    <w:rsid w:val="009B1769"/>
    <w:rsid w:val="009B17FF"/>
    <w:rsid w:val="009B1909"/>
    <w:rsid w:val="009B19AE"/>
    <w:rsid w:val="009B1A01"/>
    <w:rsid w:val="009B1A5B"/>
    <w:rsid w:val="009B1A89"/>
    <w:rsid w:val="009B1B9B"/>
    <w:rsid w:val="009B1CAB"/>
    <w:rsid w:val="009B1CEE"/>
    <w:rsid w:val="009B1CFA"/>
    <w:rsid w:val="009B1D5A"/>
    <w:rsid w:val="009B1D60"/>
    <w:rsid w:val="009B1E04"/>
    <w:rsid w:val="009B1E14"/>
    <w:rsid w:val="009B1E87"/>
    <w:rsid w:val="009B1ECD"/>
    <w:rsid w:val="009B1FC1"/>
    <w:rsid w:val="009B2094"/>
    <w:rsid w:val="009B214C"/>
    <w:rsid w:val="009B21DF"/>
    <w:rsid w:val="009B2365"/>
    <w:rsid w:val="009B23A6"/>
    <w:rsid w:val="009B244E"/>
    <w:rsid w:val="009B271E"/>
    <w:rsid w:val="009B2926"/>
    <w:rsid w:val="009B2C3B"/>
    <w:rsid w:val="009B2C4C"/>
    <w:rsid w:val="009B2D80"/>
    <w:rsid w:val="009B2D8C"/>
    <w:rsid w:val="009B2E08"/>
    <w:rsid w:val="009B3078"/>
    <w:rsid w:val="009B3142"/>
    <w:rsid w:val="009B3237"/>
    <w:rsid w:val="009B33E7"/>
    <w:rsid w:val="009B3475"/>
    <w:rsid w:val="009B349C"/>
    <w:rsid w:val="009B351F"/>
    <w:rsid w:val="009B3542"/>
    <w:rsid w:val="009B3664"/>
    <w:rsid w:val="009B36C0"/>
    <w:rsid w:val="009B36E0"/>
    <w:rsid w:val="009B38CB"/>
    <w:rsid w:val="009B39A8"/>
    <w:rsid w:val="009B39DA"/>
    <w:rsid w:val="009B3B1C"/>
    <w:rsid w:val="009B3C73"/>
    <w:rsid w:val="009B3C8D"/>
    <w:rsid w:val="009B3D63"/>
    <w:rsid w:val="009B3DBF"/>
    <w:rsid w:val="009B3EBA"/>
    <w:rsid w:val="009B3FE4"/>
    <w:rsid w:val="009B4016"/>
    <w:rsid w:val="009B40AC"/>
    <w:rsid w:val="009B41A4"/>
    <w:rsid w:val="009B4249"/>
    <w:rsid w:val="009B4265"/>
    <w:rsid w:val="009B432A"/>
    <w:rsid w:val="009B4470"/>
    <w:rsid w:val="009B4508"/>
    <w:rsid w:val="009B452A"/>
    <w:rsid w:val="009B46BE"/>
    <w:rsid w:val="009B46D5"/>
    <w:rsid w:val="009B46EF"/>
    <w:rsid w:val="009B4835"/>
    <w:rsid w:val="009B4856"/>
    <w:rsid w:val="009B489D"/>
    <w:rsid w:val="009B49BF"/>
    <w:rsid w:val="009B4A30"/>
    <w:rsid w:val="009B4A47"/>
    <w:rsid w:val="009B4A6F"/>
    <w:rsid w:val="009B4B55"/>
    <w:rsid w:val="009B4BCD"/>
    <w:rsid w:val="009B4C45"/>
    <w:rsid w:val="009B4CDB"/>
    <w:rsid w:val="009B4CEE"/>
    <w:rsid w:val="009B4FB3"/>
    <w:rsid w:val="009B5012"/>
    <w:rsid w:val="009B5096"/>
    <w:rsid w:val="009B5191"/>
    <w:rsid w:val="009B52CC"/>
    <w:rsid w:val="009B52CE"/>
    <w:rsid w:val="009B535E"/>
    <w:rsid w:val="009B5394"/>
    <w:rsid w:val="009B553C"/>
    <w:rsid w:val="009B55A2"/>
    <w:rsid w:val="009B55CA"/>
    <w:rsid w:val="009B5679"/>
    <w:rsid w:val="009B56D1"/>
    <w:rsid w:val="009B583E"/>
    <w:rsid w:val="009B5924"/>
    <w:rsid w:val="009B5973"/>
    <w:rsid w:val="009B5B37"/>
    <w:rsid w:val="009B5B72"/>
    <w:rsid w:val="009B5BE6"/>
    <w:rsid w:val="009B5C92"/>
    <w:rsid w:val="009B5CC6"/>
    <w:rsid w:val="009B5CDB"/>
    <w:rsid w:val="009B5D50"/>
    <w:rsid w:val="009B5DC3"/>
    <w:rsid w:val="009B5E02"/>
    <w:rsid w:val="009B5E99"/>
    <w:rsid w:val="009B5F83"/>
    <w:rsid w:val="009B5FCA"/>
    <w:rsid w:val="009B5FEF"/>
    <w:rsid w:val="009B616D"/>
    <w:rsid w:val="009B619F"/>
    <w:rsid w:val="009B620A"/>
    <w:rsid w:val="009B625F"/>
    <w:rsid w:val="009B633B"/>
    <w:rsid w:val="009B6465"/>
    <w:rsid w:val="009B6469"/>
    <w:rsid w:val="009B6641"/>
    <w:rsid w:val="009B66B7"/>
    <w:rsid w:val="009B6787"/>
    <w:rsid w:val="009B684C"/>
    <w:rsid w:val="009B68CC"/>
    <w:rsid w:val="009B6A38"/>
    <w:rsid w:val="009B6A4C"/>
    <w:rsid w:val="009B6A6D"/>
    <w:rsid w:val="009B6AD4"/>
    <w:rsid w:val="009B6B06"/>
    <w:rsid w:val="009B6D04"/>
    <w:rsid w:val="009B6D06"/>
    <w:rsid w:val="009B6D42"/>
    <w:rsid w:val="009B6DCC"/>
    <w:rsid w:val="009B6E48"/>
    <w:rsid w:val="009B6FEB"/>
    <w:rsid w:val="009B70DF"/>
    <w:rsid w:val="009B7185"/>
    <w:rsid w:val="009B724D"/>
    <w:rsid w:val="009B73A4"/>
    <w:rsid w:val="009B752C"/>
    <w:rsid w:val="009B75A8"/>
    <w:rsid w:val="009B75ED"/>
    <w:rsid w:val="009B7678"/>
    <w:rsid w:val="009B76F2"/>
    <w:rsid w:val="009B772B"/>
    <w:rsid w:val="009B777E"/>
    <w:rsid w:val="009B7786"/>
    <w:rsid w:val="009B77CC"/>
    <w:rsid w:val="009B77E7"/>
    <w:rsid w:val="009B788A"/>
    <w:rsid w:val="009B7901"/>
    <w:rsid w:val="009B7981"/>
    <w:rsid w:val="009B79AD"/>
    <w:rsid w:val="009B7AA9"/>
    <w:rsid w:val="009B7AFE"/>
    <w:rsid w:val="009B7B0A"/>
    <w:rsid w:val="009B7BCF"/>
    <w:rsid w:val="009B7C51"/>
    <w:rsid w:val="009B7D56"/>
    <w:rsid w:val="009B7DF2"/>
    <w:rsid w:val="009B7E7F"/>
    <w:rsid w:val="009B7FAC"/>
    <w:rsid w:val="009C004C"/>
    <w:rsid w:val="009C00AD"/>
    <w:rsid w:val="009C0127"/>
    <w:rsid w:val="009C013E"/>
    <w:rsid w:val="009C0155"/>
    <w:rsid w:val="009C0189"/>
    <w:rsid w:val="009C01A5"/>
    <w:rsid w:val="009C01AE"/>
    <w:rsid w:val="009C022E"/>
    <w:rsid w:val="009C058A"/>
    <w:rsid w:val="009C05A3"/>
    <w:rsid w:val="009C064B"/>
    <w:rsid w:val="009C06D6"/>
    <w:rsid w:val="009C07F9"/>
    <w:rsid w:val="009C085C"/>
    <w:rsid w:val="009C0879"/>
    <w:rsid w:val="009C08D1"/>
    <w:rsid w:val="009C08E9"/>
    <w:rsid w:val="009C093D"/>
    <w:rsid w:val="009C0A42"/>
    <w:rsid w:val="009C0A8F"/>
    <w:rsid w:val="009C0B16"/>
    <w:rsid w:val="009C0B86"/>
    <w:rsid w:val="009C0B8C"/>
    <w:rsid w:val="009C0B9C"/>
    <w:rsid w:val="009C0C7E"/>
    <w:rsid w:val="009C0D99"/>
    <w:rsid w:val="009C0DA6"/>
    <w:rsid w:val="009C0DDF"/>
    <w:rsid w:val="009C0DEF"/>
    <w:rsid w:val="009C0E9C"/>
    <w:rsid w:val="009C0EEA"/>
    <w:rsid w:val="009C0F43"/>
    <w:rsid w:val="009C0F46"/>
    <w:rsid w:val="009C0F6E"/>
    <w:rsid w:val="009C0F97"/>
    <w:rsid w:val="009C0FE6"/>
    <w:rsid w:val="009C1050"/>
    <w:rsid w:val="009C1096"/>
    <w:rsid w:val="009C10CC"/>
    <w:rsid w:val="009C114A"/>
    <w:rsid w:val="009C1152"/>
    <w:rsid w:val="009C12E4"/>
    <w:rsid w:val="009C142E"/>
    <w:rsid w:val="009C149F"/>
    <w:rsid w:val="009C14D3"/>
    <w:rsid w:val="009C15D8"/>
    <w:rsid w:val="009C16B2"/>
    <w:rsid w:val="009C16FD"/>
    <w:rsid w:val="009C174C"/>
    <w:rsid w:val="009C17B6"/>
    <w:rsid w:val="009C17C2"/>
    <w:rsid w:val="009C1861"/>
    <w:rsid w:val="009C188B"/>
    <w:rsid w:val="009C18BD"/>
    <w:rsid w:val="009C18D9"/>
    <w:rsid w:val="009C1904"/>
    <w:rsid w:val="009C19FB"/>
    <w:rsid w:val="009C1A38"/>
    <w:rsid w:val="009C1A8B"/>
    <w:rsid w:val="009C1B0E"/>
    <w:rsid w:val="009C1C35"/>
    <w:rsid w:val="009C1C4F"/>
    <w:rsid w:val="009C1DC9"/>
    <w:rsid w:val="009C1E28"/>
    <w:rsid w:val="009C1E4E"/>
    <w:rsid w:val="009C1F36"/>
    <w:rsid w:val="009C1FC8"/>
    <w:rsid w:val="009C20F5"/>
    <w:rsid w:val="009C214F"/>
    <w:rsid w:val="009C2265"/>
    <w:rsid w:val="009C2612"/>
    <w:rsid w:val="009C264E"/>
    <w:rsid w:val="009C26A5"/>
    <w:rsid w:val="009C26CD"/>
    <w:rsid w:val="009C2743"/>
    <w:rsid w:val="009C2775"/>
    <w:rsid w:val="009C27B4"/>
    <w:rsid w:val="009C28AF"/>
    <w:rsid w:val="009C28C6"/>
    <w:rsid w:val="009C28CD"/>
    <w:rsid w:val="009C28DB"/>
    <w:rsid w:val="009C2991"/>
    <w:rsid w:val="009C29C6"/>
    <w:rsid w:val="009C2A77"/>
    <w:rsid w:val="009C2C41"/>
    <w:rsid w:val="009C2C45"/>
    <w:rsid w:val="009C2D3D"/>
    <w:rsid w:val="009C2DBD"/>
    <w:rsid w:val="009C2E65"/>
    <w:rsid w:val="009C2EF7"/>
    <w:rsid w:val="009C2FAE"/>
    <w:rsid w:val="009C30A9"/>
    <w:rsid w:val="009C30AF"/>
    <w:rsid w:val="009C3117"/>
    <w:rsid w:val="009C3182"/>
    <w:rsid w:val="009C31A4"/>
    <w:rsid w:val="009C3363"/>
    <w:rsid w:val="009C3395"/>
    <w:rsid w:val="009C33CE"/>
    <w:rsid w:val="009C35E3"/>
    <w:rsid w:val="009C3658"/>
    <w:rsid w:val="009C3675"/>
    <w:rsid w:val="009C36D6"/>
    <w:rsid w:val="009C3767"/>
    <w:rsid w:val="009C381D"/>
    <w:rsid w:val="009C3867"/>
    <w:rsid w:val="009C388F"/>
    <w:rsid w:val="009C38B9"/>
    <w:rsid w:val="009C3944"/>
    <w:rsid w:val="009C394D"/>
    <w:rsid w:val="009C3A27"/>
    <w:rsid w:val="009C3B4A"/>
    <w:rsid w:val="009C3BF4"/>
    <w:rsid w:val="009C3CD0"/>
    <w:rsid w:val="009C3CFC"/>
    <w:rsid w:val="009C3E7D"/>
    <w:rsid w:val="009C3F22"/>
    <w:rsid w:val="009C3F75"/>
    <w:rsid w:val="009C3FC9"/>
    <w:rsid w:val="009C4061"/>
    <w:rsid w:val="009C40EF"/>
    <w:rsid w:val="009C4103"/>
    <w:rsid w:val="009C4115"/>
    <w:rsid w:val="009C4197"/>
    <w:rsid w:val="009C42D5"/>
    <w:rsid w:val="009C42F9"/>
    <w:rsid w:val="009C4326"/>
    <w:rsid w:val="009C43E1"/>
    <w:rsid w:val="009C43F0"/>
    <w:rsid w:val="009C4406"/>
    <w:rsid w:val="009C444E"/>
    <w:rsid w:val="009C44D2"/>
    <w:rsid w:val="009C4610"/>
    <w:rsid w:val="009C46FD"/>
    <w:rsid w:val="009C4711"/>
    <w:rsid w:val="009C472F"/>
    <w:rsid w:val="009C4734"/>
    <w:rsid w:val="009C474E"/>
    <w:rsid w:val="009C4790"/>
    <w:rsid w:val="009C47C7"/>
    <w:rsid w:val="009C4839"/>
    <w:rsid w:val="009C48D9"/>
    <w:rsid w:val="009C4910"/>
    <w:rsid w:val="009C4AF1"/>
    <w:rsid w:val="009C4B1C"/>
    <w:rsid w:val="009C4B28"/>
    <w:rsid w:val="009C4B32"/>
    <w:rsid w:val="009C4B47"/>
    <w:rsid w:val="009C4C03"/>
    <w:rsid w:val="009C4E0F"/>
    <w:rsid w:val="009C4F8E"/>
    <w:rsid w:val="009C4FC3"/>
    <w:rsid w:val="009C5174"/>
    <w:rsid w:val="009C518F"/>
    <w:rsid w:val="009C5294"/>
    <w:rsid w:val="009C52A3"/>
    <w:rsid w:val="009C52DF"/>
    <w:rsid w:val="009C52E4"/>
    <w:rsid w:val="009C5338"/>
    <w:rsid w:val="009C550C"/>
    <w:rsid w:val="009C554E"/>
    <w:rsid w:val="009C55C3"/>
    <w:rsid w:val="009C563C"/>
    <w:rsid w:val="009C5675"/>
    <w:rsid w:val="009C574E"/>
    <w:rsid w:val="009C578D"/>
    <w:rsid w:val="009C57E8"/>
    <w:rsid w:val="009C58E1"/>
    <w:rsid w:val="009C5977"/>
    <w:rsid w:val="009C59DE"/>
    <w:rsid w:val="009C5BFE"/>
    <w:rsid w:val="009C5C2B"/>
    <w:rsid w:val="009C5CEB"/>
    <w:rsid w:val="009C5D29"/>
    <w:rsid w:val="009C5D90"/>
    <w:rsid w:val="009C5FB9"/>
    <w:rsid w:val="009C60BE"/>
    <w:rsid w:val="009C612A"/>
    <w:rsid w:val="009C614E"/>
    <w:rsid w:val="009C6186"/>
    <w:rsid w:val="009C622A"/>
    <w:rsid w:val="009C63F3"/>
    <w:rsid w:val="009C6416"/>
    <w:rsid w:val="009C6434"/>
    <w:rsid w:val="009C6528"/>
    <w:rsid w:val="009C66F2"/>
    <w:rsid w:val="009C67F7"/>
    <w:rsid w:val="009C683B"/>
    <w:rsid w:val="009C68B2"/>
    <w:rsid w:val="009C690C"/>
    <w:rsid w:val="009C6974"/>
    <w:rsid w:val="009C699D"/>
    <w:rsid w:val="009C69B2"/>
    <w:rsid w:val="009C6B37"/>
    <w:rsid w:val="009C6C31"/>
    <w:rsid w:val="009C6C6B"/>
    <w:rsid w:val="009C6C71"/>
    <w:rsid w:val="009C6DA6"/>
    <w:rsid w:val="009C6E4C"/>
    <w:rsid w:val="009C6EBE"/>
    <w:rsid w:val="009C6ED1"/>
    <w:rsid w:val="009C6F2C"/>
    <w:rsid w:val="009C7073"/>
    <w:rsid w:val="009C7080"/>
    <w:rsid w:val="009C719A"/>
    <w:rsid w:val="009C71F1"/>
    <w:rsid w:val="009C721B"/>
    <w:rsid w:val="009C7225"/>
    <w:rsid w:val="009C72DC"/>
    <w:rsid w:val="009C72FA"/>
    <w:rsid w:val="009C734E"/>
    <w:rsid w:val="009C746F"/>
    <w:rsid w:val="009C747D"/>
    <w:rsid w:val="009C752E"/>
    <w:rsid w:val="009C7536"/>
    <w:rsid w:val="009C76F5"/>
    <w:rsid w:val="009C77A2"/>
    <w:rsid w:val="009C782E"/>
    <w:rsid w:val="009C78A3"/>
    <w:rsid w:val="009C7AD4"/>
    <w:rsid w:val="009C7AE8"/>
    <w:rsid w:val="009C7D46"/>
    <w:rsid w:val="009C7D7C"/>
    <w:rsid w:val="009C7EB8"/>
    <w:rsid w:val="009C7F1E"/>
    <w:rsid w:val="009D0034"/>
    <w:rsid w:val="009D0104"/>
    <w:rsid w:val="009D01A7"/>
    <w:rsid w:val="009D0216"/>
    <w:rsid w:val="009D021E"/>
    <w:rsid w:val="009D0226"/>
    <w:rsid w:val="009D022B"/>
    <w:rsid w:val="009D02FD"/>
    <w:rsid w:val="009D0413"/>
    <w:rsid w:val="009D0540"/>
    <w:rsid w:val="009D0552"/>
    <w:rsid w:val="009D0554"/>
    <w:rsid w:val="009D0791"/>
    <w:rsid w:val="009D0813"/>
    <w:rsid w:val="009D0850"/>
    <w:rsid w:val="009D08BF"/>
    <w:rsid w:val="009D09A9"/>
    <w:rsid w:val="009D0A03"/>
    <w:rsid w:val="009D0B77"/>
    <w:rsid w:val="009D0BDB"/>
    <w:rsid w:val="009D0BE8"/>
    <w:rsid w:val="009D0C08"/>
    <w:rsid w:val="009D0EF0"/>
    <w:rsid w:val="009D100D"/>
    <w:rsid w:val="009D10B2"/>
    <w:rsid w:val="009D1111"/>
    <w:rsid w:val="009D1165"/>
    <w:rsid w:val="009D124E"/>
    <w:rsid w:val="009D12E3"/>
    <w:rsid w:val="009D143B"/>
    <w:rsid w:val="009D14AB"/>
    <w:rsid w:val="009D14DB"/>
    <w:rsid w:val="009D1504"/>
    <w:rsid w:val="009D151E"/>
    <w:rsid w:val="009D15E8"/>
    <w:rsid w:val="009D15EA"/>
    <w:rsid w:val="009D168B"/>
    <w:rsid w:val="009D1690"/>
    <w:rsid w:val="009D16E9"/>
    <w:rsid w:val="009D17C0"/>
    <w:rsid w:val="009D17D0"/>
    <w:rsid w:val="009D1833"/>
    <w:rsid w:val="009D1839"/>
    <w:rsid w:val="009D19FF"/>
    <w:rsid w:val="009D1A14"/>
    <w:rsid w:val="009D1A1E"/>
    <w:rsid w:val="009D1A23"/>
    <w:rsid w:val="009D1A8D"/>
    <w:rsid w:val="009D1A95"/>
    <w:rsid w:val="009D1B70"/>
    <w:rsid w:val="009D1BBF"/>
    <w:rsid w:val="009D1C22"/>
    <w:rsid w:val="009D1C54"/>
    <w:rsid w:val="009D1DBA"/>
    <w:rsid w:val="009D1E1D"/>
    <w:rsid w:val="009D1E79"/>
    <w:rsid w:val="009D1EBB"/>
    <w:rsid w:val="009D1F81"/>
    <w:rsid w:val="009D1F90"/>
    <w:rsid w:val="009D20E8"/>
    <w:rsid w:val="009D217B"/>
    <w:rsid w:val="009D218B"/>
    <w:rsid w:val="009D2329"/>
    <w:rsid w:val="009D24D2"/>
    <w:rsid w:val="009D2525"/>
    <w:rsid w:val="009D2528"/>
    <w:rsid w:val="009D25C9"/>
    <w:rsid w:val="009D2620"/>
    <w:rsid w:val="009D269E"/>
    <w:rsid w:val="009D2738"/>
    <w:rsid w:val="009D277D"/>
    <w:rsid w:val="009D2787"/>
    <w:rsid w:val="009D27E1"/>
    <w:rsid w:val="009D2839"/>
    <w:rsid w:val="009D293B"/>
    <w:rsid w:val="009D29A9"/>
    <w:rsid w:val="009D2A17"/>
    <w:rsid w:val="009D2A40"/>
    <w:rsid w:val="009D2A48"/>
    <w:rsid w:val="009D2A77"/>
    <w:rsid w:val="009D2B4F"/>
    <w:rsid w:val="009D2B5A"/>
    <w:rsid w:val="009D2CA2"/>
    <w:rsid w:val="009D2CD4"/>
    <w:rsid w:val="009D2D9C"/>
    <w:rsid w:val="009D3093"/>
    <w:rsid w:val="009D3113"/>
    <w:rsid w:val="009D3121"/>
    <w:rsid w:val="009D3207"/>
    <w:rsid w:val="009D320B"/>
    <w:rsid w:val="009D3299"/>
    <w:rsid w:val="009D33F4"/>
    <w:rsid w:val="009D35BE"/>
    <w:rsid w:val="009D3652"/>
    <w:rsid w:val="009D36BD"/>
    <w:rsid w:val="009D36E3"/>
    <w:rsid w:val="009D379C"/>
    <w:rsid w:val="009D3810"/>
    <w:rsid w:val="009D3992"/>
    <w:rsid w:val="009D3B85"/>
    <w:rsid w:val="009D3BCC"/>
    <w:rsid w:val="009D3C13"/>
    <w:rsid w:val="009D3C6B"/>
    <w:rsid w:val="009D3CA5"/>
    <w:rsid w:val="009D3E26"/>
    <w:rsid w:val="009D3EDB"/>
    <w:rsid w:val="009D3EDE"/>
    <w:rsid w:val="009D3FBE"/>
    <w:rsid w:val="009D4003"/>
    <w:rsid w:val="009D403F"/>
    <w:rsid w:val="009D405E"/>
    <w:rsid w:val="009D4084"/>
    <w:rsid w:val="009D41EB"/>
    <w:rsid w:val="009D41F9"/>
    <w:rsid w:val="009D4383"/>
    <w:rsid w:val="009D43AE"/>
    <w:rsid w:val="009D4463"/>
    <w:rsid w:val="009D44EF"/>
    <w:rsid w:val="009D4649"/>
    <w:rsid w:val="009D467B"/>
    <w:rsid w:val="009D4697"/>
    <w:rsid w:val="009D46BB"/>
    <w:rsid w:val="009D4809"/>
    <w:rsid w:val="009D4822"/>
    <w:rsid w:val="009D487D"/>
    <w:rsid w:val="009D4974"/>
    <w:rsid w:val="009D49D6"/>
    <w:rsid w:val="009D4B41"/>
    <w:rsid w:val="009D4BBA"/>
    <w:rsid w:val="009D4BD2"/>
    <w:rsid w:val="009D4BFB"/>
    <w:rsid w:val="009D4C78"/>
    <w:rsid w:val="009D4DE3"/>
    <w:rsid w:val="009D4EFF"/>
    <w:rsid w:val="009D4F3C"/>
    <w:rsid w:val="009D4FE0"/>
    <w:rsid w:val="009D50C0"/>
    <w:rsid w:val="009D50FA"/>
    <w:rsid w:val="009D5110"/>
    <w:rsid w:val="009D517D"/>
    <w:rsid w:val="009D517F"/>
    <w:rsid w:val="009D5291"/>
    <w:rsid w:val="009D537E"/>
    <w:rsid w:val="009D538A"/>
    <w:rsid w:val="009D53C0"/>
    <w:rsid w:val="009D5401"/>
    <w:rsid w:val="009D545F"/>
    <w:rsid w:val="009D54FB"/>
    <w:rsid w:val="009D5513"/>
    <w:rsid w:val="009D553D"/>
    <w:rsid w:val="009D570B"/>
    <w:rsid w:val="009D5763"/>
    <w:rsid w:val="009D57B3"/>
    <w:rsid w:val="009D583A"/>
    <w:rsid w:val="009D591A"/>
    <w:rsid w:val="009D593C"/>
    <w:rsid w:val="009D5AB8"/>
    <w:rsid w:val="009D5B01"/>
    <w:rsid w:val="009D5B18"/>
    <w:rsid w:val="009D5B7C"/>
    <w:rsid w:val="009D5C1C"/>
    <w:rsid w:val="009D5C48"/>
    <w:rsid w:val="009D5D04"/>
    <w:rsid w:val="009D5DAD"/>
    <w:rsid w:val="009D5E3D"/>
    <w:rsid w:val="009D5F8C"/>
    <w:rsid w:val="009D60AB"/>
    <w:rsid w:val="009D60CB"/>
    <w:rsid w:val="009D611E"/>
    <w:rsid w:val="009D6353"/>
    <w:rsid w:val="009D640C"/>
    <w:rsid w:val="009D6457"/>
    <w:rsid w:val="009D6565"/>
    <w:rsid w:val="009D66CC"/>
    <w:rsid w:val="009D6737"/>
    <w:rsid w:val="009D6757"/>
    <w:rsid w:val="009D688A"/>
    <w:rsid w:val="009D69C1"/>
    <w:rsid w:val="009D6A73"/>
    <w:rsid w:val="009D6A7D"/>
    <w:rsid w:val="009D6B57"/>
    <w:rsid w:val="009D6CA7"/>
    <w:rsid w:val="009D6D38"/>
    <w:rsid w:val="009D6DEF"/>
    <w:rsid w:val="009D6E0C"/>
    <w:rsid w:val="009D6E86"/>
    <w:rsid w:val="009D6E90"/>
    <w:rsid w:val="009D6EE2"/>
    <w:rsid w:val="009D6EFE"/>
    <w:rsid w:val="009D6F09"/>
    <w:rsid w:val="009D6F6A"/>
    <w:rsid w:val="009D6FEB"/>
    <w:rsid w:val="009D7018"/>
    <w:rsid w:val="009D706D"/>
    <w:rsid w:val="009D709D"/>
    <w:rsid w:val="009D711C"/>
    <w:rsid w:val="009D719D"/>
    <w:rsid w:val="009D7360"/>
    <w:rsid w:val="009D739C"/>
    <w:rsid w:val="009D740E"/>
    <w:rsid w:val="009D74D1"/>
    <w:rsid w:val="009D7520"/>
    <w:rsid w:val="009D754B"/>
    <w:rsid w:val="009D75A5"/>
    <w:rsid w:val="009D75B4"/>
    <w:rsid w:val="009D75C4"/>
    <w:rsid w:val="009D75D9"/>
    <w:rsid w:val="009D7624"/>
    <w:rsid w:val="009D769C"/>
    <w:rsid w:val="009D77F7"/>
    <w:rsid w:val="009D785F"/>
    <w:rsid w:val="009D78B1"/>
    <w:rsid w:val="009D79BC"/>
    <w:rsid w:val="009D79F6"/>
    <w:rsid w:val="009D7A51"/>
    <w:rsid w:val="009D7A63"/>
    <w:rsid w:val="009D7B69"/>
    <w:rsid w:val="009D7BA0"/>
    <w:rsid w:val="009D7BBC"/>
    <w:rsid w:val="009D7C2E"/>
    <w:rsid w:val="009D7CAA"/>
    <w:rsid w:val="009D7DD8"/>
    <w:rsid w:val="009D7DDC"/>
    <w:rsid w:val="009D7E37"/>
    <w:rsid w:val="009D7E42"/>
    <w:rsid w:val="009D7EA8"/>
    <w:rsid w:val="009D7F87"/>
    <w:rsid w:val="009E00AB"/>
    <w:rsid w:val="009E013E"/>
    <w:rsid w:val="009E01B4"/>
    <w:rsid w:val="009E02F2"/>
    <w:rsid w:val="009E032A"/>
    <w:rsid w:val="009E0499"/>
    <w:rsid w:val="009E04BB"/>
    <w:rsid w:val="009E056D"/>
    <w:rsid w:val="009E05B2"/>
    <w:rsid w:val="009E0607"/>
    <w:rsid w:val="009E061A"/>
    <w:rsid w:val="009E07DE"/>
    <w:rsid w:val="009E0824"/>
    <w:rsid w:val="009E0951"/>
    <w:rsid w:val="009E0956"/>
    <w:rsid w:val="009E0CD2"/>
    <w:rsid w:val="009E0CF4"/>
    <w:rsid w:val="009E0E53"/>
    <w:rsid w:val="009E0E6B"/>
    <w:rsid w:val="009E0E99"/>
    <w:rsid w:val="009E0EB8"/>
    <w:rsid w:val="009E0F53"/>
    <w:rsid w:val="009E0F92"/>
    <w:rsid w:val="009E0FAD"/>
    <w:rsid w:val="009E1026"/>
    <w:rsid w:val="009E114D"/>
    <w:rsid w:val="009E1168"/>
    <w:rsid w:val="009E11C8"/>
    <w:rsid w:val="009E11F7"/>
    <w:rsid w:val="009E1246"/>
    <w:rsid w:val="009E12EF"/>
    <w:rsid w:val="009E134A"/>
    <w:rsid w:val="009E1430"/>
    <w:rsid w:val="009E1431"/>
    <w:rsid w:val="009E146B"/>
    <w:rsid w:val="009E1483"/>
    <w:rsid w:val="009E1508"/>
    <w:rsid w:val="009E1520"/>
    <w:rsid w:val="009E15A8"/>
    <w:rsid w:val="009E171B"/>
    <w:rsid w:val="009E1742"/>
    <w:rsid w:val="009E17C0"/>
    <w:rsid w:val="009E183F"/>
    <w:rsid w:val="009E185A"/>
    <w:rsid w:val="009E18FF"/>
    <w:rsid w:val="009E1B18"/>
    <w:rsid w:val="009E1BB1"/>
    <w:rsid w:val="009E1BE6"/>
    <w:rsid w:val="009E1C8E"/>
    <w:rsid w:val="009E1C96"/>
    <w:rsid w:val="009E1DAC"/>
    <w:rsid w:val="009E1EA7"/>
    <w:rsid w:val="009E1EBC"/>
    <w:rsid w:val="009E1F27"/>
    <w:rsid w:val="009E1F7F"/>
    <w:rsid w:val="009E1FE5"/>
    <w:rsid w:val="009E201D"/>
    <w:rsid w:val="009E202F"/>
    <w:rsid w:val="009E2094"/>
    <w:rsid w:val="009E2097"/>
    <w:rsid w:val="009E217F"/>
    <w:rsid w:val="009E22C8"/>
    <w:rsid w:val="009E2319"/>
    <w:rsid w:val="009E244D"/>
    <w:rsid w:val="009E2521"/>
    <w:rsid w:val="009E255C"/>
    <w:rsid w:val="009E2632"/>
    <w:rsid w:val="009E27B9"/>
    <w:rsid w:val="009E27E0"/>
    <w:rsid w:val="009E2884"/>
    <w:rsid w:val="009E28E1"/>
    <w:rsid w:val="009E2ABB"/>
    <w:rsid w:val="009E2B1E"/>
    <w:rsid w:val="009E2B52"/>
    <w:rsid w:val="009E2B65"/>
    <w:rsid w:val="009E2BE1"/>
    <w:rsid w:val="009E2C9F"/>
    <w:rsid w:val="009E2CC5"/>
    <w:rsid w:val="009E2DCF"/>
    <w:rsid w:val="009E2E3C"/>
    <w:rsid w:val="009E2E63"/>
    <w:rsid w:val="009E2F74"/>
    <w:rsid w:val="009E2F96"/>
    <w:rsid w:val="009E2FB9"/>
    <w:rsid w:val="009E3240"/>
    <w:rsid w:val="009E3257"/>
    <w:rsid w:val="009E3298"/>
    <w:rsid w:val="009E347E"/>
    <w:rsid w:val="009E352A"/>
    <w:rsid w:val="009E3566"/>
    <w:rsid w:val="009E3572"/>
    <w:rsid w:val="009E35FA"/>
    <w:rsid w:val="009E361A"/>
    <w:rsid w:val="009E3658"/>
    <w:rsid w:val="009E365C"/>
    <w:rsid w:val="009E3666"/>
    <w:rsid w:val="009E36BE"/>
    <w:rsid w:val="009E373E"/>
    <w:rsid w:val="009E37EB"/>
    <w:rsid w:val="009E3A0C"/>
    <w:rsid w:val="009E3AE9"/>
    <w:rsid w:val="009E3B12"/>
    <w:rsid w:val="009E3B3B"/>
    <w:rsid w:val="009E3B68"/>
    <w:rsid w:val="009E3B94"/>
    <w:rsid w:val="009E3B99"/>
    <w:rsid w:val="009E3CD3"/>
    <w:rsid w:val="009E3E9B"/>
    <w:rsid w:val="009E3EA7"/>
    <w:rsid w:val="009E4031"/>
    <w:rsid w:val="009E404F"/>
    <w:rsid w:val="009E42C5"/>
    <w:rsid w:val="009E4306"/>
    <w:rsid w:val="009E4334"/>
    <w:rsid w:val="009E4476"/>
    <w:rsid w:val="009E449E"/>
    <w:rsid w:val="009E44F5"/>
    <w:rsid w:val="009E458D"/>
    <w:rsid w:val="009E45D0"/>
    <w:rsid w:val="009E461A"/>
    <w:rsid w:val="009E484D"/>
    <w:rsid w:val="009E4876"/>
    <w:rsid w:val="009E48C3"/>
    <w:rsid w:val="009E48C7"/>
    <w:rsid w:val="009E48E0"/>
    <w:rsid w:val="009E494F"/>
    <w:rsid w:val="009E49CD"/>
    <w:rsid w:val="009E4A2E"/>
    <w:rsid w:val="009E4A2F"/>
    <w:rsid w:val="009E4B13"/>
    <w:rsid w:val="009E4CC4"/>
    <w:rsid w:val="009E4D30"/>
    <w:rsid w:val="009E4D4B"/>
    <w:rsid w:val="009E4DA4"/>
    <w:rsid w:val="009E4DB1"/>
    <w:rsid w:val="009E4E96"/>
    <w:rsid w:val="009E4F79"/>
    <w:rsid w:val="009E4F9C"/>
    <w:rsid w:val="009E5035"/>
    <w:rsid w:val="009E507E"/>
    <w:rsid w:val="009E5114"/>
    <w:rsid w:val="009E5176"/>
    <w:rsid w:val="009E51D6"/>
    <w:rsid w:val="009E52F8"/>
    <w:rsid w:val="009E53B3"/>
    <w:rsid w:val="009E5471"/>
    <w:rsid w:val="009E553B"/>
    <w:rsid w:val="009E5679"/>
    <w:rsid w:val="009E56A0"/>
    <w:rsid w:val="009E578F"/>
    <w:rsid w:val="009E57FF"/>
    <w:rsid w:val="009E593D"/>
    <w:rsid w:val="009E59AB"/>
    <w:rsid w:val="009E59D6"/>
    <w:rsid w:val="009E5B2A"/>
    <w:rsid w:val="009E5B75"/>
    <w:rsid w:val="009E5C02"/>
    <w:rsid w:val="009E5C10"/>
    <w:rsid w:val="009E5C94"/>
    <w:rsid w:val="009E5D55"/>
    <w:rsid w:val="009E5E03"/>
    <w:rsid w:val="009E5FCA"/>
    <w:rsid w:val="009E6016"/>
    <w:rsid w:val="009E603B"/>
    <w:rsid w:val="009E604A"/>
    <w:rsid w:val="009E6056"/>
    <w:rsid w:val="009E6118"/>
    <w:rsid w:val="009E6158"/>
    <w:rsid w:val="009E61ED"/>
    <w:rsid w:val="009E6244"/>
    <w:rsid w:val="009E6298"/>
    <w:rsid w:val="009E6393"/>
    <w:rsid w:val="009E63FE"/>
    <w:rsid w:val="009E644C"/>
    <w:rsid w:val="009E64DB"/>
    <w:rsid w:val="009E6593"/>
    <w:rsid w:val="009E66B2"/>
    <w:rsid w:val="009E6761"/>
    <w:rsid w:val="009E676A"/>
    <w:rsid w:val="009E67B4"/>
    <w:rsid w:val="009E67BF"/>
    <w:rsid w:val="009E67C4"/>
    <w:rsid w:val="009E67CE"/>
    <w:rsid w:val="009E6865"/>
    <w:rsid w:val="009E6875"/>
    <w:rsid w:val="009E689B"/>
    <w:rsid w:val="009E6984"/>
    <w:rsid w:val="009E6A22"/>
    <w:rsid w:val="009E6A36"/>
    <w:rsid w:val="009E6AA2"/>
    <w:rsid w:val="009E6ABF"/>
    <w:rsid w:val="009E6AD9"/>
    <w:rsid w:val="009E6B16"/>
    <w:rsid w:val="009E6BAB"/>
    <w:rsid w:val="009E6BAD"/>
    <w:rsid w:val="009E6DF6"/>
    <w:rsid w:val="009E6FEB"/>
    <w:rsid w:val="009E703B"/>
    <w:rsid w:val="009E709F"/>
    <w:rsid w:val="009E7292"/>
    <w:rsid w:val="009E73A6"/>
    <w:rsid w:val="009E7495"/>
    <w:rsid w:val="009E74C4"/>
    <w:rsid w:val="009E75CC"/>
    <w:rsid w:val="009E75EB"/>
    <w:rsid w:val="009E75FC"/>
    <w:rsid w:val="009E7636"/>
    <w:rsid w:val="009E768A"/>
    <w:rsid w:val="009E76B7"/>
    <w:rsid w:val="009E76D2"/>
    <w:rsid w:val="009E7784"/>
    <w:rsid w:val="009E7875"/>
    <w:rsid w:val="009E7899"/>
    <w:rsid w:val="009E78C4"/>
    <w:rsid w:val="009E7AF4"/>
    <w:rsid w:val="009E7B13"/>
    <w:rsid w:val="009E7C1D"/>
    <w:rsid w:val="009E7C4F"/>
    <w:rsid w:val="009E7CE7"/>
    <w:rsid w:val="009E7CF8"/>
    <w:rsid w:val="009E7D66"/>
    <w:rsid w:val="009E7DC0"/>
    <w:rsid w:val="009E7DDA"/>
    <w:rsid w:val="009E7FBE"/>
    <w:rsid w:val="009E7FCE"/>
    <w:rsid w:val="009E7FCF"/>
    <w:rsid w:val="009E7FEE"/>
    <w:rsid w:val="009F0044"/>
    <w:rsid w:val="009F0091"/>
    <w:rsid w:val="009F00DD"/>
    <w:rsid w:val="009F016C"/>
    <w:rsid w:val="009F01FA"/>
    <w:rsid w:val="009F0417"/>
    <w:rsid w:val="009F044B"/>
    <w:rsid w:val="009F04FE"/>
    <w:rsid w:val="009F0539"/>
    <w:rsid w:val="009F05EB"/>
    <w:rsid w:val="009F0608"/>
    <w:rsid w:val="009F080C"/>
    <w:rsid w:val="009F0812"/>
    <w:rsid w:val="009F086F"/>
    <w:rsid w:val="009F09B1"/>
    <w:rsid w:val="009F0A57"/>
    <w:rsid w:val="009F0AC7"/>
    <w:rsid w:val="009F0ACF"/>
    <w:rsid w:val="009F0B55"/>
    <w:rsid w:val="009F0BEF"/>
    <w:rsid w:val="009F0C06"/>
    <w:rsid w:val="009F0C0B"/>
    <w:rsid w:val="009F0CC8"/>
    <w:rsid w:val="009F0DAC"/>
    <w:rsid w:val="009F0F21"/>
    <w:rsid w:val="009F0F37"/>
    <w:rsid w:val="009F0F5B"/>
    <w:rsid w:val="009F0FB0"/>
    <w:rsid w:val="009F107E"/>
    <w:rsid w:val="009F119A"/>
    <w:rsid w:val="009F1226"/>
    <w:rsid w:val="009F127C"/>
    <w:rsid w:val="009F13B4"/>
    <w:rsid w:val="009F14BA"/>
    <w:rsid w:val="009F14C7"/>
    <w:rsid w:val="009F1506"/>
    <w:rsid w:val="009F152F"/>
    <w:rsid w:val="009F1698"/>
    <w:rsid w:val="009F16F8"/>
    <w:rsid w:val="009F177F"/>
    <w:rsid w:val="009F1792"/>
    <w:rsid w:val="009F1909"/>
    <w:rsid w:val="009F1970"/>
    <w:rsid w:val="009F1994"/>
    <w:rsid w:val="009F19B6"/>
    <w:rsid w:val="009F1A9C"/>
    <w:rsid w:val="009F1B7B"/>
    <w:rsid w:val="009F1D06"/>
    <w:rsid w:val="009F1D65"/>
    <w:rsid w:val="009F1EBF"/>
    <w:rsid w:val="009F2007"/>
    <w:rsid w:val="009F2012"/>
    <w:rsid w:val="009F2032"/>
    <w:rsid w:val="009F2040"/>
    <w:rsid w:val="009F2051"/>
    <w:rsid w:val="009F21A3"/>
    <w:rsid w:val="009F21D5"/>
    <w:rsid w:val="009F2206"/>
    <w:rsid w:val="009F22BB"/>
    <w:rsid w:val="009F2399"/>
    <w:rsid w:val="009F2459"/>
    <w:rsid w:val="009F2592"/>
    <w:rsid w:val="009F2680"/>
    <w:rsid w:val="009F271B"/>
    <w:rsid w:val="009F275C"/>
    <w:rsid w:val="009F278E"/>
    <w:rsid w:val="009F283B"/>
    <w:rsid w:val="009F283C"/>
    <w:rsid w:val="009F29DC"/>
    <w:rsid w:val="009F2B17"/>
    <w:rsid w:val="009F2D9A"/>
    <w:rsid w:val="009F2DAF"/>
    <w:rsid w:val="009F2E74"/>
    <w:rsid w:val="009F2EDD"/>
    <w:rsid w:val="009F2FF6"/>
    <w:rsid w:val="009F300B"/>
    <w:rsid w:val="009F3075"/>
    <w:rsid w:val="009F309A"/>
    <w:rsid w:val="009F31EC"/>
    <w:rsid w:val="009F322E"/>
    <w:rsid w:val="009F332B"/>
    <w:rsid w:val="009F33B1"/>
    <w:rsid w:val="009F3425"/>
    <w:rsid w:val="009F3488"/>
    <w:rsid w:val="009F35BD"/>
    <w:rsid w:val="009F35C3"/>
    <w:rsid w:val="009F35CF"/>
    <w:rsid w:val="009F35D0"/>
    <w:rsid w:val="009F35DA"/>
    <w:rsid w:val="009F36DA"/>
    <w:rsid w:val="009F3715"/>
    <w:rsid w:val="009F3826"/>
    <w:rsid w:val="009F38A2"/>
    <w:rsid w:val="009F3A24"/>
    <w:rsid w:val="009F3A68"/>
    <w:rsid w:val="009F3AC8"/>
    <w:rsid w:val="009F3B3E"/>
    <w:rsid w:val="009F3C04"/>
    <w:rsid w:val="009F3C4A"/>
    <w:rsid w:val="009F3CA1"/>
    <w:rsid w:val="009F3CD5"/>
    <w:rsid w:val="009F3E6C"/>
    <w:rsid w:val="009F3EC4"/>
    <w:rsid w:val="009F3EEA"/>
    <w:rsid w:val="009F3FC2"/>
    <w:rsid w:val="009F4051"/>
    <w:rsid w:val="009F40C2"/>
    <w:rsid w:val="009F427E"/>
    <w:rsid w:val="009F4289"/>
    <w:rsid w:val="009F4348"/>
    <w:rsid w:val="009F435D"/>
    <w:rsid w:val="009F4363"/>
    <w:rsid w:val="009F43C2"/>
    <w:rsid w:val="009F4402"/>
    <w:rsid w:val="009F4432"/>
    <w:rsid w:val="009F44E6"/>
    <w:rsid w:val="009F4584"/>
    <w:rsid w:val="009F45AE"/>
    <w:rsid w:val="009F465C"/>
    <w:rsid w:val="009F465F"/>
    <w:rsid w:val="009F467D"/>
    <w:rsid w:val="009F4743"/>
    <w:rsid w:val="009F4767"/>
    <w:rsid w:val="009F480F"/>
    <w:rsid w:val="009F4873"/>
    <w:rsid w:val="009F4880"/>
    <w:rsid w:val="009F4897"/>
    <w:rsid w:val="009F48B4"/>
    <w:rsid w:val="009F48E4"/>
    <w:rsid w:val="009F493C"/>
    <w:rsid w:val="009F499A"/>
    <w:rsid w:val="009F4B81"/>
    <w:rsid w:val="009F4D6D"/>
    <w:rsid w:val="009F4DFA"/>
    <w:rsid w:val="009F4EBE"/>
    <w:rsid w:val="009F504B"/>
    <w:rsid w:val="009F5083"/>
    <w:rsid w:val="009F50FA"/>
    <w:rsid w:val="009F5161"/>
    <w:rsid w:val="009F5185"/>
    <w:rsid w:val="009F524C"/>
    <w:rsid w:val="009F52AC"/>
    <w:rsid w:val="009F536D"/>
    <w:rsid w:val="009F53EB"/>
    <w:rsid w:val="009F53EC"/>
    <w:rsid w:val="009F549C"/>
    <w:rsid w:val="009F54C1"/>
    <w:rsid w:val="009F54DD"/>
    <w:rsid w:val="009F552D"/>
    <w:rsid w:val="009F55BC"/>
    <w:rsid w:val="009F5644"/>
    <w:rsid w:val="009F5658"/>
    <w:rsid w:val="009F56F8"/>
    <w:rsid w:val="009F572A"/>
    <w:rsid w:val="009F574B"/>
    <w:rsid w:val="009F577C"/>
    <w:rsid w:val="009F58B7"/>
    <w:rsid w:val="009F58C8"/>
    <w:rsid w:val="009F5912"/>
    <w:rsid w:val="009F59BE"/>
    <w:rsid w:val="009F5B0D"/>
    <w:rsid w:val="009F5B3B"/>
    <w:rsid w:val="009F5BC6"/>
    <w:rsid w:val="009F5C07"/>
    <w:rsid w:val="009F5C23"/>
    <w:rsid w:val="009F5C49"/>
    <w:rsid w:val="009F5E2E"/>
    <w:rsid w:val="009F5E86"/>
    <w:rsid w:val="009F5E88"/>
    <w:rsid w:val="009F5F4C"/>
    <w:rsid w:val="009F5F52"/>
    <w:rsid w:val="009F5FD6"/>
    <w:rsid w:val="009F5FDC"/>
    <w:rsid w:val="009F601A"/>
    <w:rsid w:val="009F605E"/>
    <w:rsid w:val="009F612D"/>
    <w:rsid w:val="009F618E"/>
    <w:rsid w:val="009F628F"/>
    <w:rsid w:val="009F6311"/>
    <w:rsid w:val="009F63B2"/>
    <w:rsid w:val="009F650F"/>
    <w:rsid w:val="009F653F"/>
    <w:rsid w:val="009F655E"/>
    <w:rsid w:val="009F67F2"/>
    <w:rsid w:val="009F67FB"/>
    <w:rsid w:val="009F6803"/>
    <w:rsid w:val="009F6857"/>
    <w:rsid w:val="009F68B4"/>
    <w:rsid w:val="009F698C"/>
    <w:rsid w:val="009F6AE9"/>
    <w:rsid w:val="009F6C55"/>
    <w:rsid w:val="009F6CC0"/>
    <w:rsid w:val="009F6CE6"/>
    <w:rsid w:val="009F6EA5"/>
    <w:rsid w:val="009F6F77"/>
    <w:rsid w:val="009F6FE1"/>
    <w:rsid w:val="009F7017"/>
    <w:rsid w:val="009F70B8"/>
    <w:rsid w:val="009F710C"/>
    <w:rsid w:val="009F725A"/>
    <w:rsid w:val="009F730D"/>
    <w:rsid w:val="009F737F"/>
    <w:rsid w:val="009F73FB"/>
    <w:rsid w:val="009F7472"/>
    <w:rsid w:val="009F74B2"/>
    <w:rsid w:val="009F74CA"/>
    <w:rsid w:val="009F74FB"/>
    <w:rsid w:val="009F7554"/>
    <w:rsid w:val="009F761A"/>
    <w:rsid w:val="009F761B"/>
    <w:rsid w:val="009F76FB"/>
    <w:rsid w:val="009F785B"/>
    <w:rsid w:val="009F7937"/>
    <w:rsid w:val="009F7972"/>
    <w:rsid w:val="009F7990"/>
    <w:rsid w:val="009F79B0"/>
    <w:rsid w:val="009F7A44"/>
    <w:rsid w:val="009F7AED"/>
    <w:rsid w:val="009F7B11"/>
    <w:rsid w:val="009F7B53"/>
    <w:rsid w:val="009F7BC2"/>
    <w:rsid w:val="009F7BD7"/>
    <w:rsid w:val="009F7DA1"/>
    <w:rsid w:val="009F7E37"/>
    <w:rsid w:val="009F7F01"/>
    <w:rsid w:val="009F7F4D"/>
    <w:rsid w:val="00A000AF"/>
    <w:rsid w:val="00A00144"/>
    <w:rsid w:val="00A00184"/>
    <w:rsid w:val="00A00382"/>
    <w:rsid w:val="00A004B9"/>
    <w:rsid w:val="00A00658"/>
    <w:rsid w:val="00A00668"/>
    <w:rsid w:val="00A00697"/>
    <w:rsid w:val="00A006EF"/>
    <w:rsid w:val="00A007BC"/>
    <w:rsid w:val="00A00A57"/>
    <w:rsid w:val="00A00AB5"/>
    <w:rsid w:val="00A00B5A"/>
    <w:rsid w:val="00A00BB6"/>
    <w:rsid w:val="00A00C7F"/>
    <w:rsid w:val="00A00D2E"/>
    <w:rsid w:val="00A00D69"/>
    <w:rsid w:val="00A00D96"/>
    <w:rsid w:val="00A00DF8"/>
    <w:rsid w:val="00A00E22"/>
    <w:rsid w:val="00A00EFC"/>
    <w:rsid w:val="00A00F9F"/>
    <w:rsid w:val="00A00FE6"/>
    <w:rsid w:val="00A01005"/>
    <w:rsid w:val="00A01028"/>
    <w:rsid w:val="00A010F2"/>
    <w:rsid w:val="00A011FA"/>
    <w:rsid w:val="00A01308"/>
    <w:rsid w:val="00A01378"/>
    <w:rsid w:val="00A013AB"/>
    <w:rsid w:val="00A014BC"/>
    <w:rsid w:val="00A01622"/>
    <w:rsid w:val="00A01654"/>
    <w:rsid w:val="00A0169D"/>
    <w:rsid w:val="00A01785"/>
    <w:rsid w:val="00A0178D"/>
    <w:rsid w:val="00A017DB"/>
    <w:rsid w:val="00A0180F"/>
    <w:rsid w:val="00A019D7"/>
    <w:rsid w:val="00A01CA1"/>
    <w:rsid w:val="00A01CDD"/>
    <w:rsid w:val="00A01DDB"/>
    <w:rsid w:val="00A01E89"/>
    <w:rsid w:val="00A01EB7"/>
    <w:rsid w:val="00A01EBD"/>
    <w:rsid w:val="00A01F7B"/>
    <w:rsid w:val="00A02035"/>
    <w:rsid w:val="00A020A5"/>
    <w:rsid w:val="00A022D0"/>
    <w:rsid w:val="00A02301"/>
    <w:rsid w:val="00A02324"/>
    <w:rsid w:val="00A023AA"/>
    <w:rsid w:val="00A023B3"/>
    <w:rsid w:val="00A02403"/>
    <w:rsid w:val="00A0244E"/>
    <w:rsid w:val="00A0258D"/>
    <w:rsid w:val="00A025E1"/>
    <w:rsid w:val="00A025F5"/>
    <w:rsid w:val="00A025FE"/>
    <w:rsid w:val="00A0269A"/>
    <w:rsid w:val="00A02742"/>
    <w:rsid w:val="00A0281A"/>
    <w:rsid w:val="00A028F8"/>
    <w:rsid w:val="00A029DA"/>
    <w:rsid w:val="00A02A45"/>
    <w:rsid w:val="00A02A6B"/>
    <w:rsid w:val="00A02ADA"/>
    <w:rsid w:val="00A02B7B"/>
    <w:rsid w:val="00A02C07"/>
    <w:rsid w:val="00A02C44"/>
    <w:rsid w:val="00A02C4E"/>
    <w:rsid w:val="00A02CA6"/>
    <w:rsid w:val="00A02D1B"/>
    <w:rsid w:val="00A02D5C"/>
    <w:rsid w:val="00A02E54"/>
    <w:rsid w:val="00A02EB2"/>
    <w:rsid w:val="00A02F09"/>
    <w:rsid w:val="00A02F2B"/>
    <w:rsid w:val="00A02FC5"/>
    <w:rsid w:val="00A0309D"/>
    <w:rsid w:val="00A030B4"/>
    <w:rsid w:val="00A030B6"/>
    <w:rsid w:val="00A03152"/>
    <w:rsid w:val="00A03201"/>
    <w:rsid w:val="00A03222"/>
    <w:rsid w:val="00A03323"/>
    <w:rsid w:val="00A033E1"/>
    <w:rsid w:val="00A0346D"/>
    <w:rsid w:val="00A0348E"/>
    <w:rsid w:val="00A03516"/>
    <w:rsid w:val="00A035AA"/>
    <w:rsid w:val="00A035B4"/>
    <w:rsid w:val="00A035C9"/>
    <w:rsid w:val="00A0368F"/>
    <w:rsid w:val="00A03751"/>
    <w:rsid w:val="00A037F2"/>
    <w:rsid w:val="00A0381F"/>
    <w:rsid w:val="00A038B0"/>
    <w:rsid w:val="00A0390E"/>
    <w:rsid w:val="00A03968"/>
    <w:rsid w:val="00A03992"/>
    <w:rsid w:val="00A03A43"/>
    <w:rsid w:val="00A03ACF"/>
    <w:rsid w:val="00A03B45"/>
    <w:rsid w:val="00A03B77"/>
    <w:rsid w:val="00A03D36"/>
    <w:rsid w:val="00A03E58"/>
    <w:rsid w:val="00A03E6E"/>
    <w:rsid w:val="00A03F49"/>
    <w:rsid w:val="00A04077"/>
    <w:rsid w:val="00A04253"/>
    <w:rsid w:val="00A04290"/>
    <w:rsid w:val="00A043ED"/>
    <w:rsid w:val="00A044DE"/>
    <w:rsid w:val="00A04581"/>
    <w:rsid w:val="00A0465B"/>
    <w:rsid w:val="00A0497E"/>
    <w:rsid w:val="00A04A72"/>
    <w:rsid w:val="00A04A76"/>
    <w:rsid w:val="00A04AE2"/>
    <w:rsid w:val="00A04AEA"/>
    <w:rsid w:val="00A04B3D"/>
    <w:rsid w:val="00A04C8E"/>
    <w:rsid w:val="00A04D82"/>
    <w:rsid w:val="00A04DFA"/>
    <w:rsid w:val="00A04E05"/>
    <w:rsid w:val="00A04E66"/>
    <w:rsid w:val="00A04E92"/>
    <w:rsid w:val="00A04EA4"/>
    <w:rsid w:val="00A04F1D"/>
    <w:rsid w:val="00A04F77"/>
    <w:rsid w:val="00A04F8B"/>
    <w:rsid w:val="00A0500E"/>
    <w:rsid w:val="00A0503E"/>
    <w:rsid w:val="00A05046"/>
    <w:rsid w:val="00A0506A"/>
    <w:rsid w:val="00A050F1"/>
    <w:rsid w:val="00A051B6"/>
    <w:rsid w:val="00A0520A"/>
    <w:rsid w:val="00A052D6"/>
    <w:rsid w:val="00A05303"/>
    <w:rsid w:val="00A053A1"/>
    <w:rsid w:val="00A05428"/>
    <w:rsid w:val="00A05484"/>
    <w:rsid w:val="00A054A7"/>
    <w:rsid w:val="00A054B2"/>
    <w:rsid w:val="00A05523"/>
    <w:rsid w:val="00A0563A"/>
    <w:rsid w:val="00A0578D"/>
    <w:rsid w:val="00A057F8"/>
    <w:rsid w:val="00A059B3"/>
    <w:rsid w:val="00A05A0B"/>
    <w:rsid w:val="00A05B72"/>
    <w:rsid w:val="00A05BDF"/>
    <w:rsid w:val="00A05D22"/>
    <w:rsid w:val="00A05D97"/>
    <w:rsid w:val="00A05DAB"/>
    <w:rsid w:val="00A05DFC"/>
    <w:rsid w:val="00A05EEE"/>
    <w:rsid w:val="00A05F57"/>
    <w:rsid w:val="00A05F8D"/>
    <w:rsid w:val="00A05FA1"/>
    <w:rsid w:val="00A060BB"/>
    <w:rsid w:val="00A060F9"/>
    <w:rsid w:val="00A0620F"/>
    <w:rsid w:val="00A06210"/>
    <w:rsid w:val="00A0625F"/>
    <w:rsid w:val="00A062AB"/>
    <w:rsid w:val="00A0644F"/>
    <w:rsid w:val="00A0647C"/>
    <w:rsid w:val="00A064E1"/>
    <w:rsid w:val="00A06544"/>
    <w:rsid w:val="00A065A1"/>
    <w:rsid w:val="00A06672"/>
    <w:rsid w:val="00A066DF"/>
    <w:rsid w:val="00A067AE"/>
    <w:rsid w:val="00A067E5"/>
    <w:rsid w:val="00A06A40"/>
    <w:rsid w:val="00A06A6A"/>
    <w:rsid w:val="00A06BD2"/>
    <w:rsid w:val="00A06D09"/>
    <w:rsid w:val="00A06DE0"/>
    <w:rsid w:val="00A06E47"/>
    <w:rsid w:val="00A06F0E"/>
    <w:rsid w:val="00A0704A"/>
    <w:rsid w:val="00A07119"/>
    <w:rsid w:val="00A07277"/>
    <w:rsid w:val="00A0727F"/>
    <w:rsid w:val="00A072D1"/>
    <w:rsid w:val="00A072DB"/>
    <w:rsid w:val="00A073BA"/>
    <w:rsid w:val="00A07411"/>
    <w:rsid w:val="00A07468"/>
    <w:rsid w:val="00A0755F"/>
    <w:rsid w:val="00A075B5"/>
    <w:rsid w:val="00A075DE"/>
    <w:rsid w:val="00A07609"/>
    <w:rsid w:val="00A07675"/>
    <w:rsid w:val="00A0776A"/>
    <w:rsid w:val="00A078D2"/>
    <w:rsid w:val="00A079E1"/>
    <w:rsid w:val="00A079E5"/>
    <w:rsid w:val="00A07A1F"/>
    <w:rsid w:val="00A07AD0"/>
    <w:rsid w:val="00A07ADD"/>
    <w:rsid w:val="00A07AF5"/>
    <w:rsid w:val="00A07B29"/>
    <w:rsid w:val="00A07B40"/>
    <w:rsid w:val="00A07D08"/>
    <w:rsid w:val="00A07DB4"/>
    <w:rsid w:val="00A07EF4"/>
    <w:rsid w:val="00A07F21"/>
    <w:rsid w:val="00A07F25"/>
    <w:rsid w:val="00A10096"/>
    <w:rsid w:val="00A10119"/>
    <w:rsid w:val="00A10181"/>
    <w:rsid w:val="00A102AC"/>
    <w:rsid w:val="00A103EB"/>
    <w:rsid w:val="00A103FE"/>
    <w:rsid w:val="00A10490"/>
    <w:rsid w:val="00A1050C"/>
    <w:rsid w:val="00A105ED"/>
    <w:rsid w:val="00A1069D"/>
    <w:rsid w:val="00A107B2"/>
    <w:rsid w:val="00A10853"/>
    <w:rsid w:val="00A108CA"/>
    <w:rsid w:val="00A1090A"/>
    <w:rsid w:val="00A10A54"/>
    <w:rsid w:val="00A10A6D"/>
    <w:rsid w:val="00A10C61"/>
    <w:rsid w:val="00A10C83"/>
    <w:rsid w:val="00A10D3B"/>
    <w:rsid w:val="00A10E23"/>
    <w:rsid w:val="00A10EAB"/>
    <w:rsid w:val="00A10EFD"/>
    <w:rsid w:val="00A10F0E"/>
    <w:rsid w:val="00A11105"/>
    <w:rsid w:val="00A11124"/>
    <w:rsid w:val="00A111C6"/>
    <w:rsid w:val="00A11207"/>
    <w:rsid w:val="00A113B1"/>
    <w:rsid w:val="00A113B4"/>
    <w:rsid w:val="00A113E9"/>
    <w:rsid w:val="00A11407"/>
    <w:rsid w:val="00A11421"/>
    <w:rsid w:val="00A1147B"/>
    <w:rsid w:val="00A11500"/>
    <w:rsid w:val="00A11584"/>
    <w:rsid w:val="00A116AD"/>
    <w:rsid w:val="00A1177F"/>
    <w:rsid w:val="00A117BB"/>
    <w:rsid w:val="00A117C3"/>
    <w:rsid w:val="00A11832"/>
    <w:rsid w:val="00A118AA"/>
    <w:rsid w:val="00A1190C"/>
    <w:rsid w:val="00A119A5"/>
    <w:rsid w:val="00A11ABB"/>
    <w:rsid w:val="00A11BFC"/>
    <w:rsid w:val="00A11C1D"/>
    <w:rsid w:val="00A11CE0"/>
    <w:rsid w:val="00A11CE8"/>
    <w:rsid w:val="00A11CF8"/>
    <w:rsid w:val="00A11E39"/>
    <w:rsid w:val="00A11E5D"/>
    <w:rsid w:val="00A11FE6"/>
    <w:rsid w:val="00A1205F"/>
    <w:rsid w:val="00A12063"/>
    <w:rsid w:val="00A12085"/>
    <w:rsid w:val="00A120D3"/>
    <w:rsid w:val="00A120ED"/>
    <w:rsid w:val="00A121D7"/>
    <w:rsid w:val="00A1227D"/>
    <w:rsid w:val="00A12283"/>
    <w:rsid w:val="00A12290"/>
    <w:rsid w:val="00A122F5"/>
    <w:rsid w:val="00A12324"/>
    <w:rsid w:val="00A123DD"/>
    <w:rsid w:val="00A1242D"/>
    <w:rsid w:val="00A124BE"/>
    <w:rsid w:val="00A124CA"/>
    <w:rsid w:val="00A12533"/>
    <w:rsid w:val="00A12639"/>
    <w:rsid w:val="00A126A5"/>
    <w:rsid w:val="00A126CC"/>
    <w:rsid w:val="00A1278F"/>
    <w:rsid w:val="00A127E0"/>
    <w:rsid w:val="00A1297B"/>
    <w:rsid w:val="00A12A51"/>
    <w:rsid w:val="00A12AA0"/>
    <w:rsid w:val="00A12ABA"/>
    <w:rsid w:val="00A12BAC"/>
    <w:rsid w:val="00A12BF7"/>
    <w:rsid w:val="00A12C4E"/>
    <w:rsid w:val="00A12CA4"/>
    <w:rsid w:val="00A12D80"/>
    <w:rsid w:val="00A12E1F"/>
    <w:rsid w:val="00A12FB3"/>
    <w:rsid w:val="00A12FE5"/>
    <w:rsid w:val="00A1304C"/>
    <w:rsid w:val="00A131BB"/>
    <w:rsid w:val="00A1320D"/>
    <w:rsid w:val="00A1347D"/>
    <w:rsid w:val="00A134B8"/>
    <w:rsid w:val="00A134E7"/>
    <w:rsid w:val="00A13680"/>
    <w:rsid w:val="00A136F3"/>
    <w:rsid w:val="00A13864"/>
    <w:rsid w:val="00A138FA"/>
    <w:rsid w:val="00A13973"/>
    <w:rsid w:val="00A13A99"/>
    <w:rsid w:val="00A13B06"/>
    <w:rsid w:val="00A13B46"/>
    <w:rsid w:val="00A13B4A"/>
    <w:rsid w:val="00A13D0A"/>
    <w:rsid w:val="00A13D32"/>
    <w:rsid w:val="00A13D8E"/>
    <w:rsid w:val="00A13DD6"/>
    <w:rsid w:val="00A13E36"/>
    <w:rsid w:val="00A13E97"/>
    <w:rsid w:val="00A13FCC"/>
    <w:rsid w:val="00A14179"/>
    <w:rsid w:val="00A14207"/>
    <w:rsid w:val="00A143B3"/>
    <w:rsid w:val="00A144B0"/>
    <w:rsid w:val="00A144CB"/>
    <w:rsid w:val="00A144F7"/>
    <w:rsid w:val="00A145F8"/>
    <w:rsid w:val="00A14784"/>
    <w:rsid w:val="00A1494C"/>
    <w:rsid w:val="00A149BC"/>
    <w:rsid w:val="00A14A9C"/>
    <w:rsid w:val="00A14AD6"/>
    <w:rsid w:val="00A14B85"/>
    <w:rsid w:val="00A14C73"/>
    <w:rsid w:val="00A14CB6"/>
    <w:rsid w:val="00A14CCE"/>
    <w:rsid w:val="00A14D1A"/>
    <w:rsid w:val="00A14DC5"/>
    <w:rsid w:val="00A14E79"/>
    <w:rsid w:val="00A14F4C"/>
    <w:rsid w:val="00A14F70"/>
    <w:rsid w:val="00A14F82"/>
    <w:rsid w:val="00A14FA5"/>
    <w:rsid w:val="00A14FFC"/>
    <w:rsid w:val="00A15078"/>
    <w:rsid w:val="00A150DF"/>
    <w:rsid w:val="00A150E0"/>
    <w:rsid w:val="00A15192"/>
    <w:rsid w:val="00A15283"/>
    <w:rsid w:val="00A15285"/>
    <w:rsid w:val="00A1529D"/>
    <w:rsid w:val="00A152D9"/>
    <w:rsid w:val="00A152E3"/>
    <w:rsid w:val="00A154E5"/>
    <w:rsid w:val="00A155B1"/>
    <w:rsid w:val="00A155F5"/>
    <w:rsid w:val="00A15650"/>
    <w:rsid w:val="00A15681"/>
    <w:rsid w:val="00A156D3"/>
    <w:rsid w:val="00A15A96"/>
    <w:rsid w:val="00A15AAE"/>
    <w:rsid w:val="00A15AC7"/>
    <w:rsid w:val="00A15B20"/>
    <w:rsid w:val="00A15B4C"/>
    <w:rsid w:val="00A15C90"/>
    <w:rsid w:val="00A15D23"/>
    <w:rsid w:val="00A15D39"/>
    <w:rsid w:val="00A15DAF"/>
    <w:rsid w:val="00A15DFA"/>
    <w:rsid w:val="00A15FA0"/>
    <w:rsid w:val="00A15FAE"/>
    <w:rsid w:val="00A16006"/>
    <w:rsid w:val="00A1608C"/>
    <w:rsid w:val="00A160DD"/>
    <w:rsid w:val="00A16178"/>
    <w:rsid w:val="00A161C7"/>
    <w:rsid w:val="00A16220"/>
    <w:rsid w:val="00A162DA"/>
    <w:rsid w:val="00A162F9"/>
    <w:rsid w:val="00A16302"/>
    <w:rsid w:val="00A16350"/>
    <w:rsid w:val="00A163AD"/>
    <w:rsid w:val="00A163F2"/>
    <w:rsid w:val="00A16410"/>
    <w:rsid w:val="00A16498"/>
    <w:rsid w:val="00A16604"/>
    <w:rsid w:val="00A1664B"/>
    <w:rsid w:val="00A166BE"/>
    <w:rsid w:val="00A16745"/>
    <w:rsid w:val="00A1678B"/>
    <w:rsid w:val="00A1679A"/>
    <w:rsid w:val="00A16830"/>
    <w:rsid w:val="00A168FC"/>
    <w:rsid w:val="00A16AAC"/>
    <w:rsid w:val="00A16ACB"/>
    <w:rsid w:val="00A16B08"/>
    <w:rsid w:val="00A16B94"/>
    <w:rsid w:val="00A16BFE"/>
    <w:rsid w:val="00A16D12"/>
    <w:rsid w:val="00A16F27"/>
    <w:rsid w:val="00A16FE7"/>
    <w:rsid w:val="00A171CA"/>
    <w:rsid w:val="00A171EC"/>
    <w:rsid w:val="00A1735F"/>
    <w:rsid w:val="00A173B1"/>
    <w:rsid w:val="00A173F4"/>
    <w:rsid w:val="00A17471"/>
    <w:rsid w:val="00A175FB"/>
    <w:rsid w:val="00A176D3"/>
    <w:rsid w:val="00A1777C"/>
    <w:rsid w:val="00A177B5"/>
    <w:rsid w:val="00A177E3"/>
    <w:rsid w:val="00A178CF"/>
    <w:rsid w:val="00A17983"/>
    <w:rsid w:val="00A17AB6"/>
    <w:rsid w:val="00A17AC5"/>
    <w:rsid w:val="00A17AF5"/>
    <w:rsid w:val="00A17B00"/>
    <w:rsid w:val="00A17B46"/>
    <w:rsid w:val="00A17B87"/>
    <w:rsid w:val="00A17C6F"/>
    <w:rsid w:val="00A17C89"/>
    <w:rsid w:val="00A17CAA"/>
    <w:rsid w:val="00A17DF8"/>
    <w:rsid w:val="00A17FF6"/>
    <w:rsid w:val="00A2003E"/>
    <w:rsid w:val="00A2004D"/>
    <w:rsid w:val="00A20052"/>
    <w:rsid w:val="00A200BB"/>
    <w:rsid w:val="00A20120"/>
    <w:rsid w:val="00A203C6"/>
    <w:rsid w:val="00A203ED"/>
    <w:rsid w:val="00A20435"/>
    <w:rsid w:val="00A20478"/>
    <w:rsid w:val="00A20511"/>
    <w:rsid w:val="00A2059C"/>
    <w:rsid w:val="00A20699"/>
    <w:rsid w:val="00A2087C"/>
    <w:rsid w:val="00A2089A"/>
    <w:rsid w:val="00A2095A"/>
    <w:rsid w:val="00A20BA0"/>
    <w:rsid w:val="00A20BA1"/>
    <w:rsid w:val="00A20CB7"/>
    <w:rsid w:val="00A20CE0"/>
    <w:rsid w:val="00A20CEE"/>
    <w:rsid w:val="00A20CF7"/>
    <w:rsid w:val="00A20E46"/>
    <w:rsid w:val="00A20E4F"/>
    <w:rsid w:val="00A20EE6"/>
    <w:rsid w:val="00A20FE4"/>
    <w:rsid w:val="00A20FFA"/>
    <w:rsid w:val="00A2105F"/>
    <w:rsid w:val="00A21063"/>
    <w:rsid w:val="00A210B1"/>
    <w:rsid w:val="00A210ED"/>
    <w:rsid w:val="00A210F2"/>
    <w:rsid w:val="00A21165"/>
    <w:rsid w:val="00A21198"/>
    <w:rsid w:val="00A211E4"/>
    <w:rsid w:val="00A2121E"/>
    <w:rsid w:val="00A214F2"/>
    <w:rsid w:val="00A21506"/>
    <w:rsid w:val="00A21555"/>
    <w:rsid w:val="00A21601"/>
    <w:rsid w:val="00A216DF"/>
    <w:rsid w:val="00A2171D"/>
    <w:rsid w:val="00A2174F"/>
    <w:rsid w:val="00A21835"/>
    <w:rsid w:val="00A21908"/>
    <w:rsid w:val="00A2191C"/>
    <w:rsid w:val="00A21959"/>
    <w:rsid w:val="00A219EC"/>
    <w:rsid w:val="00A21BB8"/>
    <w:rsid w:val="00A21BEE"/>
    <w:rsid w:val="00A21C7B"/>
    <w:rsid w:val="00A21C89"/>
    <w:rsid w:val="00A21D2C"/>
    <w:rsid w:val="00A21DD2"/>
    <w:rsid w:val="00A21EDE"/>
    <w:rsid w:val="00A21EFE"/>
    <w:rsid w:val="00A21F43"/>
    <w:rsid w:val="00A21FE4"/>
    <w:rsid w:val="00A220B3"/>
    <w:rsid w:val="00A22136"/>
    <w:rsid w:val="00A2214E"/>
    <w:rsid w:val="00A221E6"/>
    <w:rsid w:val="00A2226F"/>
    <w:rsid w:val="00A22289"/>
    <w:rsid w:val="00A22380"/>
    <w:rsid w:val="00A224A1"/>
    <w:rsid w:val="00A22606"/>
    <w:rsid w:val="00A22643"/>
    <w:rsid w:val="00A2265C"/>
    <w:rsid w:val="00A226D4"/>
    <w:rsid w:val="00A2273F"/>
    <w:rsid w:val="00A22790"/>
    <w:rsid w:val="00A22894"/>
    <w:rsid w:val="00A228A9"/>
    <w:rsid w:val="00A228F1"/>
    <w:rsid w:val="00A22937"/>
    <w:rsid w:val="00A229BA"/>
    <w:rsid w:val="00A229C2"/>
    <w:rsid w:val="00A22A4A"/>
    <w:rsid w:val="00A22B82"/>
    <w:rsid w:val="00A22BBF"/>
    <w:rsid w:val="00A22C29"/>
    <w:rsid w:val="00A22CC8"/>
    <w:rsid w:val="00A22D11"/>
    <w:rsid w:val="00A22F3A"/>
    <w:rsid w:val="00A23115"/>
    <w:rsid w:val="00A2314F"/>
    <w:rsid w:val="00A232F0"/>
    <w:rsid w:val="00A233FF"/>
    <w:rsid w:val="00A23443"/>
    <w:rsid w:val="00A23621"/>
    <w:rsid w:val="00A236AA"/>
    <w:rsid w:val="00A236FA"/>
    <w:rsid w:val="00A2371B"/>
    <w:rsid w:val="00A23942"/>
    <w:rsid w:val="00A23955"/>
    <w:rsid w:val="00A23982"/>
    <w:rsid w:val="00A23A0E"/>
    <w:rsid w:val="00A23A53"/>
    <w:rsid w:val="00A23B52"/>
    <w:rsid w:val="00A23BB3"/>
    <w:rsid w:val="00A23D45"/>
    <w:rsid w:val="00A23D57"/>
    <w:rsid w:val="00A23E1C"/>
    <w:rsid w:val="00A23E1F"/>
    <w:rsid w:val="00A23EC0"/>
    <w:rsid w:val="00A23FA0"/>
    <w:rsid w:val="00A24055"/>
    <w:rsid w:val="00A240B5"/>
    <w:rsid w:val="00A241CC"/>
    <w:rsid w:val="00A241D4"/>
    <w:rsid w:val="00A24347"/>
    <w:rsid w:val="00A2436A"/>
    <w:rsid w:val="00A24389"/>
    <w:rsid w:val="00A24605"/>
    <w:rsid w:val="00A24734"/>
    <w:rsid w:val="00A24808"/>
    <w:rsid w:val="00A24896"/>
    <w:rsid w:val="00A248C5"/>
    <w:rsid w:val="00A248E3"/>
    <w:rsid w:val="00A249DD"/>
    <w:rsid w:val="00A24B35"/>
    <w:rsid w:val="00A24B37"/>
    <w:rsid w:val="00A24C12"/>
    <w:rsid w:val="00A24C14"/>
    <w:rsid w:val="00A24C46"/>
    <w:rsid w:val="00A24C92"/>
    <w:rsid w:val="00A24DC8"/>
    <w:rsid w:val="00A24E30"/>
    <w:rsid w:val="00A24EE0"/>
    <w:rsid w:val="00A2503F"/>
    <w:rsid w:val="00A25096"/>
    <w:rsid w:val="00A250E1"/>
    <w:rsid w:val="00A25111"/>
    <w:rsid w:val="00A25143"/>
    <w:rsid w:val="00A252CF"/>
    <w:rsid w:val="00A25349"/>
    <w:rsid w:val="00A253CF"/>
    <w:rsid w:val="00A254B6"/>
    <w:rsid w:val="00A254D0"/>
    <w:rsid w:val="00A2558C"/>
    <w:rsid w:val="00A255AF"/>
    <w:rsid w:val="00A2566A"/>
    <w:rsid w:val="00A25722"/>
    <w:rsid w:val="00A25764"/>
    <w:rsid w:val="00A25765"/>
    <w:rsid w:val="00A2595A"/>
    <w:rsid w:val="00A2595D"/>
    <w:rsid w:val="00A25A2F"/>
    <w:rsid w:val="00A25A46"/>
    <w:rsid w:val="00A25A53"/>
    <w:rsid w:val="00A25AB3"/>
    <w:rsid w:val="00A25AF7"/>
    <w:rsid w:val="00A25B80"/>
    <w:rsid w:val="00A25C11"/>
    <w:rsid w:val="00A25CB8"/>
    <w:rsid w:val="00A25CEE"/>
    <w:rsid w:val="00A25D80"/>
    <w:rsid w:val="00A25E1C"/>
    <w:rsid w:val="00A2615B"/>
    <w:rsid w:val="00A2626E"/>
    <w:rsid w:val="00A2645F"/>
    <w:rsid w:val="00A26528"/>
    <w:rsid w:val="00A26554"/>
    <w:rsid w:val="00A266A6"/>
    <w:rsid w:val="00A26915"/>
    <w:rsid w:val="00A26953"/>
    <w:rsid w:val="00A26B42"/>
    <w:rsid w:val="00A26C7E"/>
    <w:rsid w:val="00A26C96"/>
    <w:rsid w:val="00A26D0B"/>
    <w:rsid w:val="00A26DA8"/>
    <w:rsid w:val="00A26E83"/>
    <w:rsid w:val="00A26E93"/>
    <w:rsid w:val="00A26F8B"/>
    <w:rsid w:val="00A26F8E"/>
    <w:rsid w:val="00A2712D"/>
    <w:rsid w:val="00A27137"/>
    <w:rsid w:val="00A2720A"/>
    <w:rsid w:val="00A27224"/>
    <w:rsid w:val="00A272D1"/>
    <w:rsid w:val="00A27471"/>
    <w:rsid w:val="00A2752E"/>
    <w:rsid w:val="00A2754D"/>
    <w:rsid w:val="00A2758A"/>
    <w:rsid w:val="00A275B2"/>
    <w:rsid w:val="00A276EB"/>
    <w:rsid w:val="00A2771F"/>
    <w:rsid w:val="00A27794"/>
    <w:rsid w:val="00A27799"/>
    <w:rsid w:val="00A27833"/>
    <w:rsid w:val="00A279F8"/>
    <w:rsid w:val="00A27A16"/>
    <w:rsid w:val="00A27B7F"/>
    <w:rsid w:val="00A27C2E"/>
    <w:rsid w:val="00A27CA0"/>
    <w:rsid w:val="00A27CA4"/>
    <w:rsid w:val="00A27E40"/>
    <w:rsid w:val="00A27F08"/>
    <w:rsid w:val="00A27F59"/>
    <w:rsid w:val="00A27FC4"/>
    <w:rsid w:val="00A300F9"/>
    <w:rsid w:val="00A301EA"/>
    <w:rsid w:val="00A302A7"/>
    <w:rsid w:val="00A302AB"/>
    <w:rsid w:val="00A303C4"/>
    <w:rsid w:val="00A30471"/>
    <w:rsid w:val="00A304A1"/>
    <w:rsid w:val="00A304E6"/>
    <w:rsid w:val="00A30594"/>
    <w:rsid w:val="00A3059C"/>
    <w:rsid w:val="00A305B5"/>
    <w:rsid w:val="00A30616"/>
    <w:rsid w:val="00A3061D"/>
    <w:rsid w:val="00A3065E"/>
    <w:rsid w:val="00A30872"/>
    <w:rsid w:val="00A308EE"/>
    <w:rsid w:val="00A30911"/>
    <w:rsid w:val="00A30915"/>
    <w:rsid w:val="00A309BF"/>
    <w:rsid w:val="00A30AF7"/>
    <w:rsid w:val="00A30B6B"/>
    <w:rsid w:val="00A30B77"/>
    <w:rsid w:val="00A30B9D"/>
    <w:rsid w:val="00A30C02"/>
    <w:rsid w:val="00A30C88"/>
    <w:rsid w:val="00A30DA7"/>
    <w:rsid w:val="00A30E9A"/>
    <w:rsid w:val="00A30EC3"/>
    <w:rsid w:val="00A30F19"/>
    <w:rsid w:val="00A30F8A"/>
    <w:rsid w:val="00A30FD0"/>
    <w:rsid w:val="00A30FEF"/>
    <w:rsid w:val="00A31166"/>
    <w:rsid w:val="00A3125A"/>
    <w:rsid w:val="00A312CB"/>
    <w:rsid w:val="00A31324"/>
    <w:rsid w:val="00A3134B"/>
    <w:rsid w:val="00A313C6"/>
    <w:rsid w:val="00A313D5"/>
    <w:rsid w:val="00A31456"/>
    <w:rsid w:val="00A3148C"/>
    <w:rsid w:val="00A314AA"/>
    <w:rsid w:val="00A31566"/>
    <w:rsid w:val="00A316EF"/>
    <w:rsid w:val="00A31766"/>
    <w:rsid w:val="00A31783"/>
    <w:rsid w:val="00A317F2"/>
    <w:rsid w:val="00A3183A"/>
    <w:rsid w:val="00A31883"/>
    <w:rsid w:val="00A31959"/>
    <w:rsid w:val="00A319A3"/>
    <w:rsid w:val="00A31A93"/>
    <w:rsid w:val="00A31C87"/>
    <w:rsid w:val="00A31CAD"/>
    <w:rsid w:val="00A31CB2"/>
    <w:rsid w:val="00A31D0F"/>
    <w:rsid w:val="00A31D33"/>
    <w:rsid w:val="00A31D8B"/>
    <w:rsid w:val="00A31DF5"/>
    <w:rsid w:val="00A31E4F"/>
    <w:rsid w:val="00A31E66"/>
    <w:rsid w:val="00A31EE5"/>
    <w:rsid w:val="00A31FAB"/>
    <w:rsid w:val="00A31FF6"/>
    <w:rsid w:val="00A32065"/>
    <w:rsid w:val="00A32092"/>
    <w:rsid w:val="00A32199"/>
    <w:rsid w:val="00A321BC"/>
    <w:rsid w:val="00A32330"/>
    <w:rsid w:val="00A3243D"/>
    <w:rsid w:val="00A3248B"/>
    <w:rsid w:val="00A324BE"/>
    <w:rsid w:val="00A324CA"/>
    <w:rsid w:val="00A324D3"/>
    <w:rsid w:val="00A32532"/>
    <w:rsid w:val="00A3255B"/>
    <w:rsid w:val="00A32579"/>
    <w:rsid w:val="00A325D2"/>
    <w:rsid w:val="00A32609"/>
    <w:rsid w:val="00A3260D"/>
    <w:rsid w:val="00A32628"/>
    <w:rsid w:val="00A3266F"/>
    <w:rsid w:val="00A3269E"/>
    <w:rsid w:val="00A3270D"/>
    <w:rsid w:val="00A3272D"/>
    <w:rsid w:val="00A327F9"/>
    <w:rsid w:val="00A32814"/>
    <w:rsid w:val="00A3290B"/>
    <w:rsid w:val="00A329EB"/>
    <w:rsid w:val="00A32A84"/>
    <w:rsid w:val="00A32B31"/>
    <w:rsid w:val="00A32BD0"/>
    <w:rsid w:val="00A32CB8"/>
    <w:rsid w:val="00A32D6B"/>
    <w:rsid w:val="00A32D75"/>
    <w:rsid w:val="00A32DE1"/>
    <w:rsid w:val="00A32EC5"/>
    <w:rsid w:val="00A32EF6"/>
    <w:rsid w:val="00A32F40"/>
    <w:rsid w:val="00A33016"/>
    <w:rsid w:val="00A331E8"/>
    <w:rsid w:val="00A33208"/>
    <w:rsid w:val="00A3328F"/>
    <w:rsid w:val="00A3329F"/>
    <w:rsid w:val="00A33367"/>
    <w:rsid w:val="00A3339F"/>
    <w:rsid w:val="00A333B7"/>
    <w:rsid w:val="00A333F6"/>
    <w:rsid w:val="00A334C4"/>
    <w:rsid w:val="00A334EB"/>
    <w:rsid w:val="00A335A0"/>
    <w:rsid w:val="00A336FF"/>
    <w:rsid w:val="00A3382B"/>
    <w:rsid w:val="00A338C5"/>
    <w:rsid w:val="00A33969"/>
    <w:rsid w:val="00A3398C"/>
    <w:rsid w:val="00A33A20"/>
    <w:rsid w:val="00A33A6B"/>
    <w:rsid w:val="00A33B79"/>
    <w:rsid w:val="00A33B83"/>
    <w:rsid w:val="00A33C49"/>
    <w:rsid w:val="00A33C7B"/>
    <w:rsid w:val="00A33D05"/>
    <w:rsid w:val="00A33EE5"/>
    <w:rsid w:val="00A34064"/>
    <w:rsid w:val="00A34065"/>
    <w:rsid w:val="00A34085"/>
    <w:rsid w:val="00A3408E"/>
    <w:rsid w:val="00A34191"/>
    <w:rsid w:val="00A341D8"/>
    <w:rsid w:val="00A34297"/>
    <w:rsid w:val="00A34316"/>
    <w:rsid w:val="00A3436F"/>
    <w:rsid w:val="00A343BC"/>
    <w:rsid w:val="00A34405"/>
    <w:rsid w:val="00A34593"/>
    <w:rsid w:val="00A345A6"/>
    <w:rsid w:val="00A345B6"/>
    <w:rsid w:val="00A34692"/>
    <w:rsid w:val="00A346BC"/>
    <w:rsid w:val="00A346E3"/>
    <w:rsid w:val="00A346EE"/>
    <w:rsid w:val="00A3474F"/>
    <w:rsid w:val="00A3484B"/>
    <w:rsid w:val="00A34950"/>
    <w:rsid w:val="00A3498D"/>
    <w:rsid w:val="00A34A73"/>
    <w:rsid w:val="00A34B09"/>
    <w:rsid w:val="00A34CB1"/>
    <w:rsid w:val="00A34DAE"/>
    <w:rsid w:val="00A34F79"/>
    <w:rsid w:val="00A350B3"/>
    <w:rsid w:val="00A350CF"/>
    <w:rsid w:val="00A350DA"/>
    <w:rsid w:val="00A351A5"/>
    <w:rsid w:val="00A35245"/>
    <w:rsid w:val="00A3527E"/>
    <w:rsid w:val="00A35295"/>
    <w:rsid w:val="00A352BA"/>
    <w:rsid w:val="00A35358"/>
    <w:rsid w:val="00A353E7"/>
    <w:rsid w:val="00A35438"/>
    <w:rsid w:val="00A354A7"/>
    <w:rsid w:val="00A3578C"/>
    <w:rsid w:val="00A35805"/>
    <w:rsid w:val="00A35837"/>
    <w:rsid w:val="00A358BC"/>
    <w:rsid w:val="00A358CC"/>
    <w:rsid w:val="00A3599A"/>
    <w:rsid w:val="00A35A3E"/>
    <w:rsid w:val="00A35A61"/>
    <w:rsid w:val="00A35ADF"/>
    <w:rsid w:val="00A35C9A"/>
    <w:rsid w:val="00A35E10"/>
    <w:rsid w:val="00A35E9C"/>
    <w:rsid w:val="00A35EDB"/>
    <w:rsid w:val="00A35F12"/>
    <w:rsid w:val="00A3600E"/>
    <w:rsid w:val="00A36085"/>
    <w:rsid w:val="00A360A7"/>
    <w:rsid w:val="00A360EE"/>
    <w:rsid w:val="00A36121"/>
    <w:rsid w:val="00A36133"/>
    <w:rsid w:val="00A3615E"/>
    <w:rsid w:val="00A361AD"/>
    <w:rsid w:val="00A361C0"/>
    <w:rsid w:val="00A361DD"/>
    <w:rsid w:val="00A361F8"/>
    <w:rsid w:val="00A362C9"/>
    <w:rsid w:val="00A362DB"/>
    <w:rsid w:val="00A3635B"/>
    <w:rsid w:val="00A363D2"/>
    <w:rsid w:val="00A364C7"/>
    <w:rsid w:val="00A365EF"/>
    <w:rsid w:val="00A366C6"/>
    <w:rsid w:val="00A36752"/>
    <w:rsid w:val="00A367D4"/>
    <w:rsid w:val="00A3681A"/>
    <w:rsid w:val="00A36847"/>
    <w:rsid w:val="00A368C4"/>
    <w:rsid w:val="00A36993"/>
    <w:rsid w:val="00A36995"/>
    <w:rsid w:val="00A369F0"/>
    <w:rsid w:val="00A36B08"/>
    <w:rsid w:val="00A36B1C"/>
    <w:rsid w:val="00A36C0A"/>
    <w:rsid w:val="00A36C30"/>
    <w:rsid w:val="00A36C7F"/>
    <w:rsid w:val="00A36D3D"/>
    <w:rsid w:val="00A36D66"/>
    <w:rsid w:val="00A36D99"/>
    <w:rsid w:val="00A36DA4"/>
    <w:rsid w:val="00A36E41"/>
    <w:rsid w:val="00A3712C"/>
    <w:rsid w:val="00A3714B"/>
    <w:rsid w:val="00A37235"/>
    <w:rsid w:val="00A3727E"/>
    <w:rsid w:val="00A372D5"/>
    <w:rsid w:val="00A37311"/>
    <w:rsid w:val="00A37322"/>
    <w:rsid w:val="00A3738B"/>
    <w:rsid w:val="00A3740E"/>
    <w:rsid w:val="00A375C3"/>
    <w:rsid w:val="00A3763E"/>
    <w:rsid w:val="00A3766B"/>
    <w:rsid w:val="00A3769B"/>
    <w:rsid w:val="00A376AB"/>
    <w:rsid w:val="00A376AE"/>
    <w:rsid w:val="00A37740"/>
    <w:rsid w:val="00A3777F"/>
    <w:rsid w:val="00A37798"/>
    <w:rsid w:val="00A377DF"/>
    <w:rsid w:val="00A377F3"/>
    <w:rsid w:val="00A37800"/>
    <w:rsid w:val="00A3781A"/>
    <w:rsid w:val="00A3784D"/>
    <w:rsid w:val="00A3794C"/>
    <w:rsid w:val="00A379B1"/>
    <w:rsid w:val="00A37B62"/>
    <w:rsid w:val="00A37C37"/>
    <w:rsid w:val="00A37C7C"/>
    <w:rsid w:val="00A37D2F"/>
    <w:rsid w:val="00A37D50"/>
    <w:rsid w:val="00A37EB5"/>
    <w:rsid w:val="00A37EC2"/>
    <w:rsid w:val="00A37EE6"/>
    <w:rsid w:val="00A37EEE"/>
    <w:rsid w:val="00A4013B"/>
    <w:rsid w:val="00A40141"/>
    <w:rsid w:val="00A40147"/>
    <w:rsid w:val="00A4018E"/>
    <w:rsid w:val="00A40208"/>
    <w:rsid w:val="00A4028A"/>
    <w:rsid w:val="00A40420"/>
    <w:rsid w:val="00A40427"/>
    <w:rsid w:val="00A40449"/>
    <w:rsid w:val="00A404F2"/>
    <w:rsid w:val="00A404F7"/>
    <w:rsid w:val="00A4059A"/>
    <w:rsid w:val="00A4059F"/>
    <w:rsid w:val="00A405B2"/>
    <w:rsid w:val="00A4064A"/>
    <w:rsid w:val="00A40726"/>
    <w:rsid w:val="00A4078C"/>
    <w:rsid w:val="00A407BC"/>
    <w:rsid w:val="00A40887"/>
    <w:rsid w:val="00A409C5"/>
    <w:rsid w:val="00A409D1"/>
    <w:rsid w:val="00A409FB"/>
    <w:rsid w:val="00A40A3B"/>
    <w:rsid w:val="00A40AC9"/>
    <w:rsid w:val="00A40B04"/>
    <w:rsid w:val="00A40B4B"/>
    <w:rsid w:val="00A40B62"/>
    <w:rsid w:val="00A40BD7"/>
    <w:rsid w:val="00A40C35"/>
    <w:rsid w:val="00A40C85"/>
    <w:rsid w:val="00A40CBF"/>
    <w:rsid w:val="00A40CF5"/>
    <w:rsid w:val="00A40F1D"/>
    <w:rsid w:val="00A40F64"/>
    <w:rsid w:val="00A40FB9"/>
    <w:rsid w:val="00A40FF5"/>
    <w:rsid w:val="00A41012"/>
    <w:rsid w:val="00A41100"/>
    <w:rsid w:val="00A41121"/>
    <w:rsid w:val="00A41135"/>
    <w:rsid w:val="00A41160"/>
    <w:rsid w:val="00A411EC"/>
    <w:rsid w:val="00A412CC"/>
    <w:rsid w:val="00A413D8"/>
    <w:rsid w:val="00A413E5"/>
    <w:rsid w:val="00A413EB"/>
    <w:rsid w:val="00A41460"/>
    <w:rsid w:val="00A414C8"/>
    <w:rsid w:val="00A414DB"/>
    <w:rsid w:val="00A415B7"/>
    <w:rsid w:val="00A415DC"/>
    <w:rsid w:val="00A41650"/>
    <w:rsid w:val="00A416DB"/>
    <w:rsid w:val="00A4181C"/>
    <w:rsid w:val="00A418EA"/>
    <w:rsid w:val="00A418FF"/>
    <w:rsid w:val="00A419A8"/>
    <w:rsid w:val="00A419B2"/>
    <w:rsid w:val="00A41A5A"/>
    <w:rsid w:val="00A41A6E"/>
    <w:rsid w:val="00A41AE5"/>
    <w:rsid w:val="00A41BFA"/>
    <w:rsid w:val="00A41C37"/>
    <w:rsid w:val="00A41C7F"/>
    <w:rsid w:val="00A41D1B"/>
    <w:rsid w:val="00A41DB7"/>
    <w:rsid w:val="00A41EA5"/>
    <w:rsid w:val="00A41F1E"/>
    <w:rsid w:val="00A41FA9"/>
    <w:rsid w:val="00A41FD0"/>
    <w:rsid w:val="00A42005"/>
    <w:rsid w:val="00A42011"/>
    <w:rsid w:val="00A42060"/>
    <w:rsid w:val="00A420BF"/>
    <w:rsid w:val="00A42173"/>
    <w:rsid w:val="00A4218E"/>
    <w:rsid w:val="00A421AD"/>
    <w:rsid w:val="00A42265"/>
    <w:rsid w:val="00A422BC"/>
    <w:rsid w:val="00A4236E"/>
    <w:rsid w:val="00A423D7"/>
    <w:rsid w:val="00A4246F"/>
    <w:rsid w:val="00A4247A"/>
    <w:rsid w:val="00A42483"/>
    <w:rsid w:val="00A42499"/>
    <w:rsid w:val="00A4252C"/>
    <w:rsid w:val="00A425FB"/>
    <w:rsid w:val="00A42721"/>
    <w:rsid w:val="00A4276A"/>
    <w:rsid w:val="00A428DC"/>
    <w:rsid w:val="00A42979"/>
    <w:rsid w:val="00A42A20"/>
    <w:rsid w:val="00A42B3F"/>
    <w:rsid w:val="00A42D27"/>
    <w:rsid w:val="00A42D9C"/>
    <w:rsid w:val="00A42E28"/>
    <w:rsid w:val="00A42EB8"/>
    <w:rsid w:val="00A42F0D"/>
    <w:rsid w:val="00A42F8E"/>
    <w:rsid w:val="00A42F98"/>
    <w:rsid w:val="00A42F9A"/>
    <w:rsid w:val="00A43027"/>
    <w:rsid w:val="00A43081"/>
    <w:rsid w:val="00A431CB"/>
    <w:rsid w:val="00A431E9"/>
    <w:rsid w:val="00A43265"/>
    <w:rsid w:val="00A432E6"/>
    <w:rsid w:val="00A4340C"/>
    <w:rsid w:val="00A43442"/>
    <w:rsid w:val="00A43458"/>
    <w:rsid w:val="00A4354B"/>
    <w:rsid w:val="00A43664"/>
    <w:rsid w:val="00A43689"/>
    <w:rsid w:val="00A43741"/>
    <w:rsid w:val="00A4377D"/>
    <w:rsid w:val="00A437FF"/>
    <w:rsid w:val="00A4389A"/>
    <w:rsid w:val="00A43982"/>
    <w:rsid w:val="00A43A34"/>
    <w:rsid w:val="00A43A40"/>
    <w:rsid w:val="00A43C65"/>
    <w:rsid w:val="00A43DB9"/>
    <w:rsid w:val="00A43E65"/>
    <w:rsid w:val="00A43F37"/>
    <w:rsid w:val="00A43F89"/>
    <w:rsid w:val="00A44019"/>
    <w:rsid w:val="00A440F8"/>
    <w:rsid w:val="00A4415E"/>
    <w:rsid w:val="00A44225"/>
    <w:rsid w:val="00A442E6"/>
    <w:rsid w:val="00A44303"/>
    <w:rsid w:val="00A443F1"/>
    <w:rsid w:val="00A44423"/>
    <w:rsid w:val="00A44442"/>
    <w:rsid w:val="00A4444D"/>
    <w:rsid w:val="00A4446D"/>
    <w:rsid w:val="00A44543"/>
    <w:rsid w:val="00A44699"/>
    <w:rsid w:val="00A44801"/>
    <w:rsid w:val="00A44A07"/>
    <w:rsid w:val="00A44A5E"/>
    <w:rsid w:val="00A44ADF"/>
    <w:rsid w:val="00A44B63"/>
    <w:rsid w:val="00A44C28"/>
    <w:rsid w:val="00A44C42"/>
    <w:rsid w:val="00A44CB8"/>
    <w:rsid w:val="00A44CCE"/>
    <w:rsid w:val="00A44D4B"/>
    <w:rsid w:val="00A44E0E"/>
    <w:rsid w:val="00A44EF1"/>
    <w:rsid w:val="00A44F79"/>
    <w:rsid w:val="00A44F89"/>
    <w:rsid w:val="00A44FC8"/>
    <w:rsid w:val="00A450E3"/>
    <w:rsid w:val="00A45217"/>
    <w:rsid w:val="00A45293"/>
    <w:rsid w:val="00A452BB"/>
    <w:rsid w:val="00A45386"/>
    <w:rsid w:val="00A4542B"/>
    <w:rsid w:val="00A454FC"/>
    <w:rsid w:val="00A458A3"/>
    <w:rsid w:val="00A45926"/>
    <w:rsid w:val="00A45981"/>
    <w:rsid w:val="00A45CE5"/>
    <w:rsid w:val="00A45D10"/>
    <w:rsid w:val="00A45DEA"/>
    <w:rsid w:val="00A45F95"/>
    <w:rsid w:val="00A45FBF"/>
    <w:rsid w:val="00A46061"/>
    <w:rsid w:val="00A460C2"/>
    <w:rsid w:val="00A461F9"/>
    <w:rsid w:val="00A4620F"/>
    <w:rsid w:val="00A46211"/>
    <w:rsid w:val="00A462A7"/>
    <w:rsid w:val="00A4643D"/>
    <w:rsid w:val="00A46480"/>
    <w:rsid w:val="00A46519"/>
    <w:rsid w:val="00A46601"/>
    <w:rsid w:val="00A46695"/>
    <w:rsid w:val="00A466D2"/>
    <w:rsid w:val="00A4673D"/>
    <w:rsid w:val="00A467C9"/>
    <w:rsid w:val="00A46840"/>
    <w:rsid w:val="00A46890"/>
    <w:rsid w:val="00A469B5"/>
    <w:rsid w:val="00A46A6E"/>
    <w:rsid w:val="00A46AE5"/>
    <w:rsid w:val="00A46BAB"/>
    <w:rsid w:val="00A46C1B"/>
    <w:rsid w:val="00A46CD3"/>
    <w:rsid w:val="00A46D13"/>
    <w:rsid w:val="00A46D98"/>
    <w:rsid w:val="00A46DED"/>
    <w:rsid w:val="00A46E1F"/>
    <w:rsid w:val="00A46F3B"/>
    <w:rsid w:val="00A46FE6"/>
    <w:rsid w:val="00A47145"/>
    <w:rsid w:val="00A47178"/>
    <w:rsid w:val="00A47184"/>
    <w:rsid w:val="00A471B6"/>
    <w:rsid w:val="00A473A4"/>
    <w:rsid w:val="00A47512"/>
    <w:rsid w:val="00A476EE"/>
    <w:rsid w:val="00A47706"/>
    <w:rsid w:val="00A4786B"/>
    <w:rsid w:val="00A478B2"/>
    <w:rsid w:val="00A478F6"/>
    <w:rsid w:val="00A479EB"/>
    <w:rsid w:val="00A47A20"/>
    <w:rsid w:val="00A47ABD"/>
    <w:rsid w:val="00A47B26"/>
    <w:rsid w:val="00A47B73"/>
    <w:rsid w:val="00A47CC9"/>
    <w:rsid w:val="00A47DBD"/>
    <w:rsid w:val="00A47E14"/>
    <w:rsid w:val="00A47E32"/>
    <w:rsid w:val="00A47E44"/>
    <w:rsid w:val="00A47E69"/>
    <w:rsid w:val="00A47E9A"/>
    <w:rsid w:val="00A47EE8"/>
    <w:rsid w:val="00A47F8D"/>
    <w:rsid w:val="00A47FF2"/>
    <w:rsid w:val="00A50055"/>
    <w:rsid w:val="00A50121"/>
    <w:rsid w:val="00A5018E"/>
    <w:rsid w:val="00A501A1"/>
    <w:rsid w:val="00A5028B"/>
    <w:rsid w:val="00A502AC"/>
    <w:rsid w:val="00A5069A"/>
    <w:rsid w:val="00A506E0"/>
    <w:rsid w:val="00A507C2"/>
    <w:rsid w:val="00A5082F"/>
    <w:rsid w:val="00A508B8"/>
    <w:rsid w:val="00A5092F"/>
    <w:rsid w:val="00A50A43"/>
    <w:rsid w:val="00A50ADC"/>
    <w:rsid w:val="00A50B4F"/>
    <w:rsid w:val="00A50CF5"/>
    <w:rsid w:val="00A50E24"/>
    <w:rsid w:val="00A50EBD"/>
    <w:rsid w:val="00A50FA0"/>
    <w:rsid w:val="00A50FB1"/>
    <w:rsid w:val="00A50FB3"/>
    <w:rsid w:val="00A5106E"/>
    <w:rsid w:val="00A512DB"/>
    <w:rsid w:val="00A51328"/>
    <w:rsid w:val="00A51381"/>
    <w:rsid w:val="00A513B2"/>
    <w:rsid w:val="00A513F0"/>
    <w:rsid w:val="00A514B9"/>
    <w:rsid w:val="00A514DF"/>
    <w:rsid w:val="00A51514"/>
    <w:rsid w:val="00A51542"/>
    <w:rsid w:val="00A515DE"/>
    <w:rsid w:val="00A51600"/>
    <w:rsid w:val="00A51606"/>
    <w:rsid w:val="00A516CF"/>
    <w:rsid w:val="00A5174F"/>
    <w:rsid w:val="00A517D8"/>
    <w:rsid w:val="00A51844"/>
    <w:rsid w:val="00A518A7"/>
    <w:rsid w:val="00A519E5"/>
    <w:rsid w:val="00A51A74"/>
    <w:rsid w:val="00A51C98"/>
    <w:rsid w:val="00A51CFD"/>
    <w:rsid w:val="00A51D91"/>
    <w:rsid w:val="00A51DA1"/>
    <w:rsid w:val="00A51EBA"/>
    <w:rsid w:val="00A51FD2"/>
    <w:rsid w:val="00A52041"/>
    <w:rsid w:val="00A5208B"/>
    <w:rsid w:val="00A52096"/>
    <w:rsid w:val="00A52101"/>
    <w:rsid w:val="00A5210E"/>
    <w:rsid w:val="00A521DE"/>
    <w:rsid w:val="00A5246D"/>
    <w:rsid w:val="00A524BA"/>
    <w:rsid w:val="00A52653"/>
    <w:rsid w:val="00A5268F"/>
    <w:rsid w:val="00A52758"/>
    <w:rsid w:val="00A527F0"/>
    <w:rsid w:val="00A52AD8"/>
    <w:rsid w:val="00A52B9D"/>
    <w:rsid w:val="00A52C7F"/>
    <w:rsid w:val="00A52D13"/>
    <w:rsid w:val="00A52D23"/>
    <w:rsid w:val="00A52E06"/>
    <w:rsid w:val="00A52EF8"/>
    <w:rsid w:val="00A52F9F"/>
    <w:rsid w:val="00A52FED"/>
    <w:rsid w:val="00A53013"/>
    <w:rsid w:val="00A53068"/>
    <w:rsid w:val="00A53074"/>
    <w:rsid w:val="00A53077"/>
    <w:rsid w:val="00A53110"/>
    <w:rsid w:val="00A531E3"/>
    <w:rsid w:val="00A53471"/>
    <w:rsid w:val="00A53478"/>
    <w:rsid w:val="00A534C3"/>
    <w:rsid w:val="00A534C4"/>
    <w:rsid w:val="00A534CB"/>
    <w:rsid w:val="00A53538"/>
    <w:rsid w:val="00A5355B"/>
    <w:rsid w:val="00A535BC"/>
    <w:rsid w:val="00A53A43"/>
    <w:rsid w:val="00A53AC7"/>
    <w:rsid w:val="00A53B51"/>
    <w:rsid w:val="00A53C73"/>
    <w:rsid w:val="00A53CB2"/>
    <w:rsid w:val="00A53CC8"/>
    <w:rsid w:val="00A53D52"/>
    <w:rsid w:val="00A53DF6"/>
    <w:rsid w:val="00A53E92"/>
    <w:rsid w:val="00A53EF2"/>
    <w:rsid w:val="00A53F0F"/>
    <w:rsid w:val="00A53F7C"/>
    <w:rsid w:val="00A5402D"/>
    <w:rsid w:val="00A5407B"/>
    <w:rsid w:val="00A5407E"/>
    <w:rsid w:val="00A5413D"/>
    <w:rsid w:val="00A542DB"/>
    <w:rsid w:val="00A5433E"/>
    <w:rsid w:val="00A54497"/>
    <w:rsid w:val="00A544A6"/>
    <w:rsid w:val="00A54660"/>
    <w:rsid w:val="00A5474E"/>
    <w:rsid w:val="00A547A7"/>
    <w:rsid w:val="00A54811"/>
    <w:rsid w:val="00A5483E"/>
    <w:rsid w:val="00A54973"/>
    <w:rsid w:val="00A549C9"/>
    <w:rsid w:val="00A54A4D"/>
    <w:rsid w:val="00A54A61"/>
    <w:rsid w:val="00A54AFD"/>
    <w:rsid w:val="00A54B16"/>
    <w:rsid w:val="00A54B2D"/>
    <w:rsid w:val="00A54C37"/>
    <w:rsid w:val="00A54C42"/>
    <w:rsid w:val="00A54CBA"/>
    <w:rsid w:val="00A54DCE"/>
    <w:rsid w:val="00A54DD2"/>
    <w:rsid w:val="00A54E1B"/>
    <w:rsid w:val="00A550C4"/>
    <w:rsid w:val="00A5510D"/>
    <w:rsid w:val="00A55172"/>
    <w:rsid w:val="00A55186"/>
    <w:rsid w:val="00A551A4"/>
    <w:rsid w:val="00A55236"/>
    <w:rsid w:val="00A552D6"/>
    <w:rsid w:val="00A55302"/>
    <w:rsid w:val="00A5530D"/>
    <w:rsid w:val="00A5543F"/>
    <w:rsid w:val="00A554B0"/>
    <w:rsid w:val="00A554B5"/>
    <w:rsid w:val="00A55611"/>
    <w:rsid w:val="00A5567F"/>
    <w:rsid w:val="00A556B5"/>
    <w:rsid w:val="00A557B0"/>
    <w:rsid w:val="00A55837"/>
    <w:rsid w:val="00A558BA"/>
    <w:rsid w:val="00A558D1"/>
    <w:rsid w:val="00A559C9"/>
    <w:rsid w:val="00A55A71"/>
    <w:rsid w:val="00A55AE5"/>
    <w:rsid w:val="00A55B8E"/>
    <w:rsid w:val="00A55C0E"/>
    <w:rsid w:val="00A55C3C"/>
    <w:rsid w:val="00A55C5F"/>
    <w:rsid w:val="00A55D0E"/>
    <w:rsid w:val="00A55D41"/>
    <w:rsid w:val="00A55D5B"/>
    <w:rsid w:val="00A55DF1"/>
    <w:rsid w:val="00A55E8C"/>
    <w:rsid w:val="00A55FC0"/>
    <w:rsid w:val="00A55FF1"/>
    <w:rsid w:val="00A56015"/>
    <w:rsid w:val="00A56141"/>
    <w:rsid w:val="00A562A0"/>
    <w:rsid w:val="00A563ED"/>
    <w:rsid w:val="00A564E8"/>
    <w:rsid w:val="00A565B2"/>
    <w:rsid w:val="00A5669A"/>
    <w:rsid w:val="00A56765"/>
    <w:rsid w:val="00A5678C"/>
    <w:rsid w:val="00A56797"/>
    <w:rsid w:val="00A567E2"/>
    <w:rsid w:val="00A568D9"/>
    <w:rsid w:val="00A5693A"/>
    <w:rsid w:val="00A56A7A"/>
    <w:rsid w:val="00A56A7B"/>
    <w:rsid w:val="00A56A8C"/>
    <w:rsid w:val="00A56B36"/>
    <w:rsid w:val="00A56BAC"/>
    <w:rsid w:val="00A56C05"/>
    <w:rsid w:val="00A56C87"/>
    <w:rsid w:val="00A56E31"/>
    <w:rsid w:val="00A56EAC"/>
    <w:rsid w:val="00A56EBF"/>
    <w:rsid w:val="00A56FA3"/>
    <w:rsid w:val="00A56FEA"/>
    <w:rsid w:val="00A57146"/>
    <w:rsid w:val="00A573CC"/>
    <w:rsid w:val="00A57414"/>
    <w:rsid w:val="00A5741E"/>
    <w:rsid w:val="00A57442"/>
    <w:rsid w:val="00A57517"/>
    <w:rsid w:val="00A57577"/>
    <w:rsid w:val="00A5761D"/>
    <w:rsid w:val="00A57677"/>
    <w:rsid w:val="00A57800"/>
    <w:rsid w:val="00A578B1"/>
    <w:rsid w:val="00A57916"/>
    <w:rsid w:val="00A57ABF"/>
    <w:rsid w:val="00A57BD5"/>
    <w:rsid w:val="00A57DDD"/>
    <w:rsid w:val="00A57E47"/>
    <w:rsid w:val="00A57F2F"/>
    <w:rsid w:val="00A57F45"/>
    <w:rsid w:val="00A57FED"/>
    <w:rsid w:val="00A600B9"/>
    <w:rsid w:val="00A6010E"/>
    <w:rsid w:val="00A6014C"/>
    <w:rsid w:val="00A60155"/>
    <w:rsid w:val="00A6015F"/>
    <w:rsid w:val="00A601B4"/>
    <w:rsid w:val="00A601C4"/>
    <w:rsid w:val="00A601D1"/>
    <w:rsid w:val="00A60204"/>
    <w:rsid w:val="00A60231"/>
    <w:rsid w:val="00A60261"/>
    <w:rsid w:val="00A60263"/>
    <w:rsid w:val="00A60274"/>
    <w:rsid w:val="00A60431"/>
    <w:rsid w:val="00A6047E"/>
    <w:rsid w:val="00A60498"/>
    <w:rsid w:val="00A604F5"/>
    <w:rsid w:val="00A60512"/>
    <w:rsid w:val="00A60702"/>
    <w:rsid w:val="00A60726"/>
    <w:rsid w:val="00A608A5"/>
    <w:rsid w:val="00A608E8"/>
    <w:rsid w:val="00A608F5"/>
    <w:rsid w:val="00A60939"/>
    <w:rsid w:val="00A609B0"/>
    <w:rsid w:val="00A60A1C"/>
    <w:rsid w:val="00A60A3C"/>
    <w:rsid w:val="00A60A4A"/>
    <w:rsid w:val="00A60A92"/>
    <w:rsid w:val="00A60AE9"/>
    <w:rsid w:val="00A60B32"/>
    <w:rsid w:val="00A60B64"/>
    <w:rsid w:val="00A60B9F"/>
    <w:rsid w:val="00A60BCC"/>
    <w:rsid w:val="00A60C1A"/>
    <w:rsid w:val="00A60CB4"/>
    <w:rsid w:val="00A60DA7"/>
    <w:rsid w:val="00A60DBF"/>
    <w:rsid w:val="00A60FBD"/>
    <w:rsid w:val="00A61140"/>
    <w:rsid w:val="00A611EF"/>
    <w:rsid w:val="00A61374"/>
    <w:rsid w:val="00A61494"/>
    <w:rsid w:val="00A614AE"/>
    <w:rsid w:val="00A614B3"/>
    <w:rsid w:val="00A61536"/>
    <w:rsid w:val="00A615DA"/>
    <w:rsid w:val="00A615EE"/>
    <w:rsid w:val="00A6167E"/>
    <w:rsid w:val="00A618F3"/>
    <w:rsid w:val="00A618F5"/>
    <w:rsid w:val="00A619B3"/>
    <w:rsid w:val="00A61B0E"/>
    <w:rsid w:val="00A61B85"/>
    <w:rsid w:val="00A61C1E"/>
    <w:rsid w:val="00A61C6C"/>
    <w:rsid w:val="00A61DA1"/>
    <w:rsid w:val="00A61DB1"/>
    <w:rsid w:val="00A61E54"/>
    <w:rsid w:val="00A61E74"/>
    <w:rsid w:val="00A61EFB"/>
    <w:rsid w:val="00A61F0D"/>
    <w:rsid w:val="00A61F14"/>
    <w:rsid w:val="00A62068"/>
    <w:rsid w:val="00A62142"/>
    <w:rsid w:val="00A6215C"/>
    <w:rsid w:val="00A6218F"/>
    <w:rsid w:val="00A6223E"/>
    <w:rsid w:val="00A62384"/>
    <w:rsid w:val="00A624BA"/>
    <w:rsid w:val="00A624EE"/>
    <w:rsid w:val="00A6251A"/>
    <w:rsid w:val="00A6254D"/>
    <w:rsid w:val="00A62616"/>
    <w:rsid w:val="00A6269F"/>
    <w:rsid w:val="00A62726"/>
    <w:rsid w:val="00A62855"/>
    <w:rsid w:val="00A628E4"/>
    <w:rsid w:val="00A62A76"/>
    <w:rsid w:val="00A62AEF"/>
    <w:rsid w:val="00A62B84"/>
    <w:rsid w:val="00A62B90"/>
    <w:rsid w:val="00A62C58"/>
    <w:rsid w:val="00A62CFB"/>
    <w:rsid w:val="00A62DF4"/>
    <w:rsid w:val="00A62E0A"/>
    <w:rsid w:val="00A62E1E"/>
    <w:rsid w:val="00A62E9B"/>
    <w:rsid w:val="00A62EEF"/>
    <w:rsid w:val="00A62F36"/>
    <w:rsid w:val="00A63059"/>
    <w:rsid w:val="00A6319C"/>
    <w:rsid w:val="00A631E6"/>
    <w:rsid w:val="00A633AA"/>
    <w:rsid w:val="00A633BD"/>
    <w:rsid w:val="00A63539"/>
    <w:rsid w:val="00A63584"/>
    <w:rsid w:val="00A63751"/>
    <w:rsid w:val="00A637BE"/>
    <w:rsid w:val="00A63900"/>
    <w:rsid w:val="00A63910"/>
    <w:rsid w:val="00A639FB"/>
    <w:rsid w:val="00A63A0F"/>
    <w:rsid w:val="00A63B56"/>
    <w:rsid w:val="00A63BCC"/>
    <w:rsid w:val="00A63CF0"/>
    <w:rsid w:val="00A63D9E"/>
    <w:rsid w:val="00A63DD1"/>
    <w:rsid w:val="00A63DD9"/>
    <w:rsid w:val="00A63E66"/>
    <w:rsid w:val="00A63EB2"/>
    <w:rsid w:val="00A63F85"/>
    <w:rsid w:val="00A640B2"/>
    <w:rsid w:val="00A640DD"/>
    <w:rsid w:val="00A64143"/>
    <w:rsid w:val="00A6426B"/>
    <w:rsid w:val="00A642A7"/>
    <w:rsid w:val="00A642CA"/>
    <w:rsid w:val="00A642ED"/>
    <w:rsid w:val="00A64336"/>
    <w:rsid w:val="00A64620"/>
    <w:rsid w:val="00A64653"/>
    <w:rsid w:val="00A6468B"/>
    <w:rsid w:val="00A64789"/>
    <w:rsid w:val="00A647FD"/>
    <w:rsid w:val="00A64892"/>
    <w:rsid w:val="00A648F5"/>
    <w:rsid w:val="00A648FC"/>
    <w:rsid w:val="00A64994"/>
    <w:rsid w:val="00A64B71"/>
    <w:rsid w:val="00A64CCE"/>
    <w:rsid w:val="00A64D23"/>
    <w:rsid w:val="00A64D60"/>
    <w:rsid w:val="00A64FD5"/>
    <w:rsid w:val="00A64FF5"/>
    <w:rsid w:val="00A65205"/>
    <w:rsid w:val="00A65658"/>
    <w:rsid w:val="00A656E7"/>
    <w:rsid w:val="00A6580C"/>
    <w:rsid w:val="00A658A2"/>
    <w:rsid w:val="00A658B7"/>
    <w:rsid w:val="00A658E0"/>
    <w:rsid w:val="00A65936"/>
    <w:rsid w:val="00A65AC1"/>
    <w:rsid w:val="00A65AD9"/>
    <w:rsid w:val="00A65B15"/>
    <w:rsid w:val="00A65B1E"/>
    <w:rsid w:val="00A65B7E"/>
    <w:rsid w:val="00A65C2D"/>
    <w:rsid w:val="00A65CE6"/>
    <w:rsid w:val="00A65E81"/>
    <w:rsid w:val="00A66000"/>
    <w:rsid w:val="00A660C9"/>
    <w:rsid w:val="00A66210"/>
    <w:rsid w:val="00A66273"/>
    <w:rsid w:val="00A66332"/>
    <w:rsid w:val="00A6637B"/>
    <w:rsid w:val="00A66390"/>
    <w:rsid w:val="00A6642E"/>
    <w:rsid w:val="00A664F4"/>
    <w:rsid w:val="00A66515"/>
    <w:rsid w:val="00A66565"/>
    <w:rsid w:val="00A665CC"/>
    <w:rsid w:val="00A665D8"/>
    <w:rsid w:val="00A665EA"/>
    <w:rsid w:val="00A66727"/>
    <w:rsid w:val="00A66786"/>
    <w:rsid w:val="00A66799"/>
    <w:rsid w:val="00A667C1"/>
    <w:rsid w:val="00A6685E"/>
    <w:rsid w:val="00A668EC"/>
    <w:rsid w:val="00A66953"/>
    <w:rsid w:val="00A6695A"/>
    <w:rsid w:val="00A66A19"/>
    <w:rsid w:val="00A66BE2"/>
    <w:rsid w:val="00A66C00"/>
    <w:rsid w:val="00A66F15"/>
    <w:rsid w:val="00A66F7B"/>
    <w:rsid w:val="00A67073"/>
    <w:rsid w:val="00A671B2"/>
    <w:rsid w:val="00A671CC"/>
    <w:rsid w:val="00A671FE"/>
    <w:rsid w:val="00A67201"/>
    <w:rsid w:val="00A6720B"/>
    <w:rsid w:val="00A67337"/>
    <w:rsid w:val="00A67391"/>
    <w:rsid w:val="00A673BE"/>
    <w:rsid w:val="00A673BF"/>
    <w:rsid w:val="00A673C4"/>
    <w:rsid w:val="00A67432"/>
    <w:rsid w:val="00A6754B"/>
    <w:rsid w:val="00A675C2"/>
    <w:rsid w:val="00A675D7"/>
    <w:rsid w:val="00A6763D"/>
    <w:rsid w:val="00A6764E"/>
    <w:rsid w:val="00A67789"/>
    <w:rsid w:val="00A677FB"/>
    <w:rsid w:val="00A6785C"/>
    <w:rsid w:val="00A67890"/>
    <w:rsid w:val="00A678D2"/>
    <w:rsid w:val="00A678EC"/>
    <w:rsid w:val="00A678F3"/>
    <w:rsid w:val="00A67A8F"/>
    <w:rsid w:val="00A67A9F"/>
    <w:rsid w:val="00A67B56"/>
    <w:rsid w:val="00A67DBD"/>
    <w:rsid w:val="00A67E1C"/>
    <w:rsid w:val="00A67EED"/>
    <w:rsid w:val="00A70155"/>
    <w:rsid w:val="00A7033B"/>
    <w:rsid w:val="00A7035D"/>
    <w:rsid w:val="00A704E4"/>
    <w:rsid w:val="00A70511"/>
    <w:rsid w:val="00A70736"/>
    <w:rsid w:val="00A70777"/>
    <w:rsid w:val="00A708B6"/>
    <w:rsid w:val="00A70985"/>
    <w:rsid w:val="00A70AAD"/>
    <w:rsid w:val="00A70BF8"/>
    <w:rsid w:val="00A70C86"/>
    <w:rsid w:val="00A70E2F"/>
    <w:rsid w:val="00A70E61"/>
    <w:rsid w:val="00A70E8F"/>
    <w:rsid w:val="00A70ECA"/>
    <w:rsid w:val="00A70EE9"/>
    <w:rsid w:val="00A70FF8"/>
    <w:rsid w:val="00A71024"/>
    <w:rsid w:val="00A711FC"/>
    <w:rsid w:val="00A71224"/>
    <w:rsid w:val="00A71252"/>
    <w:rsid w:val="00A714BA"/>
    <w:rsid w:val="00A71601"/>
    <w:rsid w:val="00A71692"/>
    <w:rsid w:val="00A716A5"/>
    <w:rsid w:val="00A716DE"/>
    <w:rsid w:val="00A7183D"/>
    <w:rsid w:val="00A718B6"/>
    <w:rsid w:val="00A718CE"/>
    <w:rsid w:val="00A71930"/>
    <w:rsid w:val="00A719BB"/>
    <w:rsid w:val="00A71A21"/>
    <w:rsid w:val="00A71A8E"/>
    <w:rsid w:val="00A71B5E"/>
    <w:rsid w:val="00A71BB5"/>
    <w:rsid w:val="00A71CBD"/>
    <w:rsid w:val="00A71D03"/>
    <w:rsid w:val="00A71D3D"/>
    <w:rsid w:val="00A71E12"/>
    <w:rsid w:val="00A71F1D"/>
    <w:rsid w:val="00A71FD8"/>
    <w:rsid w:val="00A72082"/>
    <w:rsid w:val="00A72100"/>
    <w:rsid w:val="00A721AD"/>
    <w:rsid w:val="00A72368"/>
    <w:rsid w:val="00A7241A"/>
    <w:rsid w:val="00A724C1"/>
    <w:rsid w:val="00A7268C"/>
    <w:rsid w:val="00A72851"/>
    <w:rsid w:val="00A728CC"/>
    <w:rsid w:val="00A728F9"/>
    <w:rsid w:val="00A729C9"/>
    <w:rsid w:val="00A72A29"/>
    <w:rsid w:val="00A72B06"/>
    <w:rsid w:val="00A72B54"/>
    <w:rsid w:val="00A72B55"/>
    <w:rsid w:val="00A72B77"/>
    <w:rsid w:val="00A72CD2"/>
    <w:rsid w:val="00A72CDE"/>
    <w:rsid w:val="00A72D9F"/>
    <w:rsid w:val="00A72E59"/>
    <w:rsid w:val="00A72E91"/>
    <w:rsid w:val="00A72FE9"/>
    <w:rsid w:val="00A730E0"/>
    <w:rsid w:val="00A7310E"/>
    <w:rsid w:val="00A731A6"/>
    <w:rsid w:val="00A731E4"/>
    <w:rsid w:val="00A73228"/>
    <w:rsid w:val="00A732AA"/>
    <w:rsid w:val="00A7337B"/>
    <w:rsid w:val="00A733AB"/>
    <w:rsid w:val="00A733D9"/>
    <w:rsid w:val="00A734F2"/>
    <w:rsid w:val="00A7355C"/>
    <w:rsid w:val="00A738DF"/>
    <w:rsid w:val="00A7396F"/>
    <w:rsid w:val="00A73C32"/>
    <w:rsid w:val="00A73CBC"/>
    <w:rsid w:val="00A73D22"/>
    <w:rsid w:val="00A73D27"/>
    <w:rsid w:val="00A73D9D"/>
    <w:rsid w:val="00A73DBF"/>
    <w:rsid w:val="00A73DC5"/>
    <w:rsid w:val="00A73E9C"/>
    <w:rsid w:val="00A73F88"/>
    <w:rsid w:val="00A73FB6"/>
    <w:rsid w:val="00A73FDF"/>
    <w:rsid w:val="00A74011"/>
    <w:rsid w:val="00A74083"/>
    <w:rsid w:val="00A7409E"/>
    <w:rsid w:val="00A741AE"/>
    <w:rsid w:val="00A74236"/>
    <w:rsid w:val="00A74276"/>
    <w:rsid w:val="00A74346"/>
    <w:rsid w:val="00A74429"/>
    <w:rsid w:val="00A74526"/>
    <w:rsid w:val="00A74539"/>
    <w:rsid w:val="00A745C2"/>
    <w:rsid w:val="00A7464C"/>
    <w:rsid w:val="00A746EA"/>
    <w:rsid w:val="00A7471E"/>
    <w:rsid w:val="00A74847"/>
    <w:rsid w:val="00A7484C"/>
    <w:rsid w:val="00A7486B"/>
    <w:rsid w:val="00A74AB8"/>
    <w:rsid w:val="00A74B84"/>
    <w:rsid w:val="00A74C12"/>
    <w:rsid w:val="00A74C75"/>
    <w:rsid w:val="00A74D5A"/>
    <w:rsid w:val="00A74D84"/>
    <w:rsid w:val="00A74EF6"/>
    <w:rsid w:val="00A74F1C"/>
    <w:rsid w:val="00A74F33"/>
    <w:rsid w:val="00A74FA0"/>
    <w:rsid w:val="00A7506E"/>
    <w:rsid w:val="00A75117"/>
    <w:rsid w:val="00A751F3"/>
    <w:rsid w:val="00A75467"/>
    <w:rsid w:val="00A75539"/>
    <w:rsid w:val="00A756B0"/>
    <w:rsid w:val="00A756D3"/>
    <w:rsid w:val="00A7572B"/>
    <w:rsid w:val="00A75994"/>
    <w:rsid w:val="00A75B5B"/>
    <w:rsid w:val="00A75BAB"/>
    <w:rsid w:val="00A75D6A"/>
    <w:rsid w:val="00A75D70"/>
    <w:rsid w:val="00A75DA9"/>
    <w:rsid w:val="00A75E64"/>
    <w:rsid w:val="00A75F55"/>
    <w:rsid w:val="00A75F78"/>
    <w:rsid w:val="00A75F84"/>
    <w:rsid w:val="00A7603B"/>
    <w:rsid w:val="00A76040"/>
    <w:rsid w:val="00A76076"/>
    <w:rsid w:val="00A760BD"/>
    <w:rsid w:val="00A76133"/>
    <w:rsid w:val="00A76153"/>
    <w:rsid w:val="00A76188"/>
    <w:rsid w:val="00A76275"/>
    <w:rsid w:val="00A76280"/>
    <w:rsid w:val="00A76323"/>
    <w:rsid w:val="00A763E6"/>
    <w:rsid w:val="00A7645E"/>
    <w:rsid w:val="00A76536"/>
    <w:rsid w:val="00A76564"/>
    <w:rsid w:val="00A766C1"/>
    <w:rsid w:val="00A767A0"/>
    <w:rsid w:val="00A767C0"/>
    <w:rsid w:val="00A767D6"/>
    <w:rsid w:val="00A768EB"/>
    <w:rsid w:val="00A76911"/>
    <w:rsid w:val="00A76947"/>
    <w:rsid w:val="00A76950"/>
    <w:rsid w:val="00A76B5C"/>
    <w:rsid w:val="00A76BD6"/>
    <w:rsid w:val="00A76C1C"/>
    <w:rsid w:val="00A76CC1"/>
    <w:rsid w:val="00A76CE8"/>
    <w:rsid w:val="00A76CFF"/>
    <w:rsid w:val="00A76D2C"/>
    <w:rsid w:val="00A76DCD"/>
    <w:rsid w:val="00A76EB0"/>
    <w:rsid w:val="00A76F50"/>
    <w:rsid w:val="00A7704B"/>
    <w:rsid w:val="00A770EE"/>
    <w:rsid w:val="00A77148"/>
    <w:rsid w:val="00A771C2"/>
    <w:rsid w:val="00A77270"/>
    <w:rsid w:val="00A77461"/>
    <w:rsid w:val="00A77485"/>
    <w:rsid w:val="00A77528"/>
    <w:rsid w:val="00A77565"/>
    <w:rsid w:val="00A775CA"/>
    <w:rsid w:val="00A77615"/>
    <w:rsid w:val="00A7782D"/>
    <w:rsid w:val="00A7783E"/>
    <w:rsid w:val="00A77875"/>
    <w:rsid w:val="00A778E2"/>
    <w:rsid w:val="00A77996"/>
    <w:rsid w:val="00A779CB"/>
    <w:rsid w:val="00A77A9D"/>
    <w:rsid w:val="00A77AC5"/>
    <w:rsid w:val="00A77ACF"/>
    <w:rsid w:val="00A77AD2"/>
    <w:rsid w:val="00A77BBB"/>
    <w:rsid w:val="00A77C70"/>
    <w:rsid w:val="00A77D42"/>
    <w:rsid w:val="00A77DCD"/>
    <w:rsid w:val="00A77E10"/>
    <w:rsid w:val="00A77ED5"/>
    <w:rsid w:val="00A77F19"/>
    <w:rsid w:val="00A77F36"/>
    <w:rsid w:val="00A77F3D"/>
    <w:rsid w:val="00A80019"/>
    <w:rsid w:val="00A80049"/>
    <w:rsid w:val="00A80052"/>
    <w:rsid w:val="00A800B8"/>
    <w:rsid w:val="00A80149"/>
    <w:rsid w:val="00A8025C"/>
    <w:rsid w:val="00A80451"/>
    <w:rsid w:val="00A8053D"/>
    <w:rsid w:val="00A8062A"/>
    <w:rsid w:val="00A80656"/>
    <w:rsid w:val="00A806FB"/>
    <w:rsid w:val="00A806FD"/>
    <w:rsid w:val="00A80857"/>
    <w:rsid w:val="00A808BA"/>
    <w:rsid w:val="00A808E7"/>
    <w:rsid w:val="00A809B0"/>
    <w:rsid w:val="00A80A13"/>
    <w:rsid w:val="00A80ADA"/>
    <w:rsid w:val="00A80B71"/>
    <w:rsid w:val="00A80C84"/>
    <w:rsid w:val="00A80E7A"/>
    <w:rsid w:val="00A80EDD"/>
    <w:rsid w:val="00A80FAB"/>
    <w:rsid w:val="00A8106F"/>
    <w:rsid w:val="00A810B9"/>
    <w:rsid w:val="00A810D6"/>
    <w:rsid w:val="00A810F1"/>
    <w:rsid w:val="00A8110E"/>
    <w:rsid w:val="00A8113E"/>
    <w:rsid w:val="00A81231"/>
    <w:rsid w:val="00A81292"/>
    <w:rsid w:val="00A8129E"/>
    <w:rsid w:val="00A81300"/>
    <w:rsid w:val="00A81338"/>
    <w:rsid w:val="00A81415"/>
    <w:rsid w:val="00A81426"/>
    <w:rsid w:val="00A81434"/>
    <w:rsid w:val="00A81449"/>
    <w:rsid w:val="00A81453"/>
    <w:rsid w:val="00A815E9"/>
    <w:rsid w:val="00A81613"/>
    <w:rsid w:val="00A816AD"/>
    <w:rsid w:val="00A816DE"/>
    <w:rsid w:val="00A81744"/>
    <w:rsid w:val="00A81757"/>
    <w:rsid w:val="00A818D7"/>
    <w:rsid w:val="00A8198D"/>
    <w:rsid w:val="00A819FD"/>
    <w:rsid w:val="00A81A28"/>
    <w:rsid w:val="00A81B48"/>
    <w:rsid w:val="00A81D65"/>
    <w:rsid w:val="00A81DF3"/>
    <w:rsid w:val="00A81EFB"/>
    <w:rsid w:val="00A81F52"/>
    <w:rsid w:val="00A82175"/>
    <w:rsid w:val="00A82188"/>
    <w:rsid w:val="00A821C0"/>
    <w:rsid w:val="00A82202"/>
    <w:rsid w:val="00A82233"/>
    <w:rsid w:val="00A82235"/>
    <w:rsid w:val="00A8224C"/>
    <w:rsid w:val="00A82324"/>
    <w:rsid w:val="00A8238E"/>
    <w:rsid w:val="00A823FE"/>
    <w:rsid w:val="00A82435"/>
    <w:rsid w:val="00A824AD"/>
    <w:rsid w:val="00A8250C"/>
    <w:rsid w:val="00A82521"/>
    <w:rsid w:val="00A82603"/>
    <w:rsid w:val="00A82671"/>
    <w:rsid w:val="00A827FC"/>
    <w:rsid w:val="00A829E5"/>
    <w:rsid w:val="00A82A1C"/>
    <w:rsid w:val="00A82A98"/>
    <w:rsid w:val="00A82B09"/>
    <w:rsid w:val="00A82C54"/>
    <w:rsid w:val="00A82D92"/>
    <w:rsid w:val="00A82DED"/>
    <w:rsid w:val="00A82F63"/>
    <w:rsid w:val="00A82FBB"/>
    <w:rsid w:val="00A8309D"/>
    <w:rsid w:val="00A831FF"/>
    <w:rsid w:val="00A8321E"/>
    <w:rsid w:val="00A8326F"/>
    <w:rsid w:val="00A83270"/>
    <w:rsid w:val="00A832F2"/>
    <w:rsid w:val="00A83333"/>
    <w:rsid w:val="00A8334D"/>
    <w:rsid w:val="00A833BB"/>
    <w:rsid w:val="00A8358F"/>
    <w:rsid w:val="00A83661"/>
    <w:rsid w:val="00A837EB"/>
    <w:rsid w:val="00A83878"/>
    <w:rsid w:val="00A839BC"/>
    <w:rsid w:val="00A839C8"/>
    <w:rsid w:val="00A839CF"/>
    <w:rsid w:val="00A83A44"/>
    <w:rsid w:val="00A83BFC"/>
    <w:rsid w:val="00A83C83"/>
    <w:rsid w:val="00A83F5A"/>
    <w:rsid w:val="00A83F70"/>
    <w:rsid w:val="00A84085"/>
    <w:rsid w:val="00A840B7"/>
    <w:rsid w:val="00A8428E"/>
    <w:rsid w:val="00A84320"/>
    <w:rsid w:val="00A84360"/>
    <w:rsid w:val="00A84523"/>
    <w:rsid w:val="00A8460B"/>
    <w:rsid w:val="00A84624"/>
    <w:rsid w:val="00A84632"/>
    <w:rsid w:val="00A84689"/>
    <w:rsid w:val="00A846D9"/>
    <w:rsid w:val="00A84707"/>
    <w:rsid w:val="00A847B6"/>
    <w:rsid w:val="00A847DB"/>
    <w:rsid w:val="00A84855"/>
    <w:rsid w:val="00A848B5"/>
    <w:rsid w:val="00A84A60"/>
    <w:rsid w:val="00A84AD7"/>
    <w:rsid w:val="00A84B7D"/>
    <w:rsid w:val="00A84BE7"/>
    <w:rsid w:val="00A84BE8"/>
    <w:rsid w:val="00A84BF6"/>
    <w:rsid w:val="00A84C3F"/>
    <w:rsid w:val="00A84C45"/>
    <w:rsid w:val="00A84D97"/>
    <w:rsid w:val="00A84DD8"/>
    <w:rsid w:val="00A84DDC"/>
    <w:rsid w:val="00A84EE1"/>
    <w:rsid w:val="00A84F68"/>
    <w:rsid w:val="00A8504F"/>
    <w:rsid w:val="00A85156"/>
    <w:rsid w:val="00A8517A"/>
    <w:rsid w:val="00A851B3"/>
    <w:rsid w:val="00A8528F"/>
    <w:rsid w:val="00A853AD"/>
    <w:rsid w:val="00A8549D"/>
    <w:rsid w:val="00A85549"/>
    <w:rsid w:val="00A85554"/>
    <w:rsid w:val="00A8558F"/>
    <w:rsid w:val="00A8564C"/>
    <w:rsid w:val="00A85697"/>
    <w:rsid w:val="00A8569C"/>
    <w:rsid w:val="00A85717"/>
    <w:rsid w:val="00A857BC"/>
    <w:rsid w:val="00A85861"/>
    <w:rsid w:val="00A859E2"/>
    <w:rsid w:val="00A859E3"/>
    <w:rsid w:val="00A85A67"/>
    <w:rsid w:val="00A85ACB"/>
    <w:rsid w:val="00A85BC0"/>
    <w:rsid w:val="00A85C02"/>
    <w:rsid w:val="00A85C40"/>
    <w:rsid w:val="00A85C8C"/>
    <w:rsid w:val="00A85CF1"/>
    <w:rsid w:val="00A85DBC"/>
    <w:rsid w:val="00A85E49"/>
    <w:rsid w:val="00A85E68"/>
    <w:rsid w:val="00A85EBB"/>
    <w:rsid w:val="00A86012"/>
    <w:rsid w:val="00A86047"/>
    <w:rsid w:val="00A8608A"/>
    <w:rsid w:val="00A86105"/>
    <w:rsid w:val="00A86143"/>
    <w:rsid w:val="00A86158"/>
    <w:rsid w:val="00A861F8"/>
    <w:rsid w:val="00A861FF"/>
    <w:rsid w:val="00A86269"/>
    <w:rsid w:val="00A862AB"/>
    <w:rsid w:val="00A862EE"/>
    <w:rsid w:val="00A86309"/>
    <w:rsid w:val="00A8631B"/>
    <w:rsid w:val="00A86322"/>
    <w:rsid w:val="00A8642B"/>
    <w:rsid w:val="00A86442"/>
    <w:rsid w:val="00A86450"/>
    <w:rsid w:val="00A8665A"/>
    <w:rsid w:val="00A8666D"/>
    <w:rsid w:val="00A86686"/>
    <w:rsid w:val="00A86707"/>
    <w:rsid w:val="00A86779"/>
    <w:rsid w:val="00A86789"/>
    <w:rsid w:val="00A867B1"/>
    <w:rsid w:val="00A86832"/>
    <w:rsid w:val="00A86954"/>
    <w:rsid w:val="00A86A45"/>
    <w:rsid w:val="00A86A59"/>
    <w:rsid w:val="00A86B6E"/>
    <w:rsid w:val="00A86BB8"/>
    <w:rsid w:val="00A86C22"/>
    <w:rsid w:val="00A86DC1"/>
    <w:rsid w:val="00A86DC7"/>
    <w:rsid w:val="00A86E00"/>
    <w:rsid w:val="00A86EC1"/>
    <w:rsid w:val="00A86F1A"/>
    <w:rsid w:val="00A86F96"/>
    <w:rsid w:val="00A8701D"/>
    <w:rsid w:val="00A8705A"/>
    <w:rsid w:val="00A8711A"/>
    <w:rsid w:val="00A871D1"/>
    <w:rsid w:val="00A871E2"/>
    <w:rsid w:val="00A872D8"/>
    <w:rsid w:val="00A873D9"/>
    <w:rsid w:val="00A87458"/>
    <w:rsid w:val="00A874C9"/>
    <w:rsid w:val="00A8770E"/>
    <w:rsid w:val="00A879E6"/>
    <w:rsid w:val="00A879FF"/>
    <w:rsid w:val="00A87A17"/>
    <w:rsid w:val="00A87A23"/>
    <w:rsid w:val="00A87B01"/>
    <w:rsid w:val="00A87B18"/>
    <w:rsid w:val="00A87B8C"/>
    <w:rsid w:val="00A87C52"/>
    <w:rsid w:val="00A87EE1"/>
    <w:rsid w:val="00A87F43"/>
    <w:rsid w:val="00A87FE1"/>
    <w:rsid w:val="00A900C3"/>
    <w:rsid w:val="00A900DE"/>
    <w:rsid w:val="00A90127"/>
    <w:rsid w:val="00A90286"/>
    <w:rsid w:val="00A90305"/>
    <w:rsid w:val="00A90315"/>
    <w:rsid w:val="00A9037A"/>
    <w:rsid w:val="00A90444"/>
    <w:rsid w:val="00A904FB"/>
    <w:rsid w:val="00A90562"/>
    <w:rsid w:val="00A905B8"/>
    <w:rsid w:val="00A90753"/>
    <w:rsid w:val="00A907CB"/>
    <w:rsid w:val="00A907CD"/>
    <w:rsid w:val="00A90863"/>
    <w:rsid w:val="00A90917"/>
    <w:rsid w:val="00A90935"/>
    <w:rsid w:val="00A9093F"/>
    <w:rsid w:val="00A90A1D"/>
    <w:rsid w:val="00A90A92"/>
    <w:rsid w:val="00A90ADC"/>
    <w:rsid w:val="00A90B61"/>
    <w:rsid w:val="00A90E23"/>
    <w:rsid w:val="00A90EF7"/>
    <w:rsid w:val="00A90F29"/>
    <w:rsid w:val="00A90FD0"/>
    <w:rsid w:val="00A91080"/>
    <w:rsid w:val="00A9108B"/>
    <w:rsid w:val="00A91197"/>
    <w:rsid w:val="00A911F2"/>
    <w:rsid w:val="00A912C3"/>
    <w:rsid w:val="00A91302"/>
    <w:rsid w:val="00A91376"/>
    <w:rsid w:val="00A913AA"/>
    <w:rsid w:val="00A913F3"/>
    <w:rsid w:val="00A91512"/>
    <w:rsid w:val="00A9158E"/>
    <w:rsid w:val="00A91673"/>
    <w:rsid w:val="00A91892"/>
    <w:rsid w:val="00A918D7"/>
    <w:rsid w:val="00A918F4"/>
    <w:rsid w:val="00A91A04"/>
    <w:rsid w:val="00A91A0D"/>
    <w:rsid w:val="00A91A22"/>
    <w:rsid w:val="00A91B4F"/>
    <w:rsid w:val="00A91B64"/>
    <w:rsid w:val="00A91B85"/>
    <w:rsid w:val="00A91BF0"/>
    <w:rsid w:val="00A91CE0"/>
    <w:rsid w:val="00A91CEF"/>
    <w:rsid w:val="00A91D1A"/>
    <w:rsid w:val="00A91E03"/>
    <w:rsid w:val="00A91E23"/>
    <w:rsid w:val="00A91FDF"/>
    <w:rsid w:val="00A92328"/>
    <w:rsid w:val="00A92518"/>
    <w:rsid w:val="00A92530"/>
    <w:rsid w:val="00A9253A"/>
    <w:rsid w:val="00A92584"/>
    <w:rsid w:val="00A92595"/>
    <w:rsid w:val="00A925AE"/>
    <w:rsid w:val="00A925F2"/>
    <w:rsid w:val="00A92683"/>
    <w:rsid w:val="00A92760"/>
    <w:rsid w:val="00A927EE"/>
    <w:rsid w:val="00A9282B"/>
    <w:rsid w:val="00A92970"/>
    <w:rsid w:val="00A92979"/>
    <w:rsid w:val="00A9299C"/>
    <w:rsid w:val="00A92A01"/>
    <w:rsid w:val="00A92A28"/>
    <w:rsid w:val="00A92AE4"/>
    <w:rsid w:val="00A92AE5"/>
    <w:rsid w:val="00A92BEA"/>
    <w:rsid w:val="00A92C28"/>
    <w:rsid w:val="00A92C3A"/>
    <w:rsid w:val="00A92CAB"/>
    <w:rsid w:val="00A92D15"/>
    <w:rsid w:val="00A92E47"/>
    <w:rsid w:val="00A92EDF"/>
    <w:rsid w:val="00A92F70"/>
    <w:rsid w:val="00A92F71"/>
    <w:rsid w:val="00A92F9D"/>
    <w:rsid w:val="00A93068"/>
    <w:rsid w:val="00A93119"/>
    <w:rsid w:val="00A9333C"/>
    <w:rsid w:val="00A9349C"/>
    <w:rsid w:val="00A93540"/>
    <w:rsid w:val="00A9364E"/>
    <w:rsid w:val="00A9367A"/>
    <w:rsid w:val="00A9374F"/>
    <w:rsid w:val="00A93827"/>
    <w:rsid w:val="00A9386D"/>
    <w:rsid w:val="00A9389E"/>
    <w:rsid w:val="00A938FC"/>
    <w:rsid w:val="00A939F6"/>
    <w:rsid w:val="00A93A51"/>
    <w:rsid w:val="00A93A9A"/>
    <w:rsid w:val="00A93AF7"/>
    <w:rsid w:val="00A93B69"/>
    <w:rsid w:val="00A93BF6"/>
    <w:rsid w:val="00A93D6F"/>
    <w:rsid w:val="00A93E26"/>
    <w:rsid w:val="00A93E57"/>
    <w:rsid w:val="00A93EC8"/>
    <w:rsid w:val="00A93EFE"/>
    <w:rsid w:val="00A9403D"/>
    <w:rsid w:val="00A94264"/>
    <w:rsid w:val="00A9427F"/>
    <w:rsid w:val="00A942BD"/>
    <w:rsid w:val="00A9430D"/>
    <w:rsid w:val="00A9435C"/>
    <w:rsid w:val="00A943D5"/>
    <w:rsid w:val="00A943FF"/>
    <w:rsid w:val="00A944B6"/>
    <w:rsid w:val="00A94527"/>
    <w:rsid w:val="00A945A7"/>
    <w:rsid w:val="00A9463A"/>
    <w:rsid w:val="00A946EF"/>
    <w:rsid w:val="00A947A0"/>
    <w:rsid w:val="00A947BA"/>
    <w:rsid w:val="00A94800"/>
    <w:rsid w:val="00A94951"/>
    <w:rsid w:val="00A94A43"/>
    <w:rsid w:val="00A94AE4"/>
    <w:rsid w:val="00A94B13"/>
    <w:rsid w:val="00A94B47"/>
    <w:rsid w:val="00A94B8F"/>
    <w:rsid w:val="00A94BFB"/>
    <w:rsid w:val="00A94D65"/>
    <w:rsid w:val="00A94D95"/>
    <w:rsid w:val="00A94E32"/>
    <w:rsid w:val="00A94E52"/>
    <w:rsid w:val="00A94E75"/>
    <w:rsid w:val="00A94F9F"/>
    <w:rsid w:val="00A94FE7"/>
    <w:rsid w:val="00A95016"/>
    <w:rsid w:val="00A95113"/>
    <w:rsid w:val="00A95115"/>
    <w:rsid w:val="00A9511B"/>
    <w:rsid w:val="00A95134"/>
    <w:rsid w:val="00A9515F"/>
    <w:rsid w:val="00A951C5"/>
    <w:rsid w:val="00A95218"/>
    <w:rsid w:val="00A952BE"/>
    <w:rsid w:val="00A95342"/>
    <w:rsid w:val="00A95386"/>
    <w:rsid w:val="00A953C6"/>
    <w:rsid w:val="00A954D6"/>
    <w:rsid w:val="00A9558B"/>
    <w:rsid w:val="00A955BA"/>
    <w:rsid w:val="00A95636"/>
    <w:rsid w:val="00A95638"/>
    <w:rsid w:val="00A9577D"/>
    <w:rsid w:val="00A9577E"/>
    <w:rsid w:val="00A9580D"/>
    <w:rsid w:val="00A958BF"/>
    <w:rsid w:val="00A95A01"/>
    <w:rsid w:val="00A95A02"/>
    <w:rsid w:val="00A95A54"/>
    <w:rsid w:val="00A95A82"/>
    <w:rsid w:val="00A95D59"/>
    <w:rsid w:val="00A95D66"/>
    <w:rsid w:val="00A95F89"/>
    <w:rsid w:val="00A95FE6"/>
    <w:rsid w:val="00A960FE"/>
    <w:rsid w:val="00A961FF"/>
    <w:rsid w:val="00A962A5"/>
    <w:rsid w:val="00A96406"/>
    <w:rsid w:val="00A964FC"/>
    <w:rsid w:val="00A966A1"/>
    <w:rsid w:val="00A967DE"/>
    <w:rsid w:val="00A96868"/>
    <w:rsid w:val="00A96907"/>
    <w:rsid w:val="00A96A9E"/>
    <w:rsid w:val="00A96AB6"/>
    <w:rsid w:val="00A96B32"/>
    <w:rsid w:val="00A96B55"/>
    <w:rsid w:val="00A96B80"/>
    <w:rsid w:val="00A96BCC"/>
    <w:rsid w:val="00A96BE3"/>
    <w:rsid w:val="00A96D05"/>
    <w:rsid w:val="00A96E38"/>
    <w:rsid w:val="00A96E62"/>
    <w:rsid w:val="00A96EDA"/>
    <w:rsid w:val="00A97136"/>
    <w:rsid w:val="00A97141"/>
    <w:rsid w:val="00A9722D"/>
    <w:rsid w:val="00A972D4"/>
    <w:rsid w:val="00A97697"/>
    <w:rsid w:val="00A976F9"/>
    <w:rsid w:val="00A97756"/>
    <w:rsid w:val="00A97760"/>
    <w:rsid w:val="00A977AD"/>
    <w:rsid w:val="00A97833"/>
    <w:rsid w:val="00A97879"/>
    <w:rsid w:val="00A9795B"/>
    <w:rsid w:val="00A979E4"/>
    <w:rsid w:val="00A97B26"/>
    <w:rsid w:val="00A97B96"/>
    <w:rsid w:val="00A97CB4"/>
    <w:rsid w:val="00A97D60"/>
    <w:rsid w:val="00A97DFB"/>
    <w:rsid w:val="00A97E38"/>
    <w:rsid w:val="00A97E5C"/>
    <w:rsid w:val="00A97E86"/>
    <w:rsid w:val="00A97ED4"/>
    <w:rsid w:val="00A97EDD"/>
    <w:rsid w:val="00AA0045"/>
    <w:rsid w:val="00AA0097"/>
    <w:rsid w:val="00AA0117"/>
    <w:rsid w:val="00AA014E"/>
    <w:rsid w:val="00AA01CB"/>
    <w:rsid w:val="00AA01D9"/>
    <w:rsid w:val="00AA021E"/>
    <w:rsid w:val="00AA0284"/>
    <w:rsid w:val="00AA0316"/>
    <w:rsid w:val="00AA0435"/>
    <w:rsid w:val="00AA05B6"/>
    <w:rsid w:val="00AA0627"/>
    <w:rsid w:val="00AA0631"/>
    <w:rsid w:val="00AA0701"/>
    <w:rsid w:val="00AA0733"/>
    <w:rsid w:val="00AA0786"/>
    <w:rsid w:val="00AA0854"/>
    <w:rsid w:val="00AA088B"/>
    <w:rsid w:val="00AA08AE"/>
    <w:rsid w:val="00AA092A"/>
    <w:rsid w:val="00AA0AB2"/>
    <w:rsid w:val="00AA0AFB"/>
    <w:rsid w:val="00AA0C70"/>
    <w:rsid w:val="00AA0C78"/>
    <w:rsid w:val="00AA0D26"/>
    <w:rsid w:val="00AA0E00"/>
    <w:rsid w:val="00AA0E6D"/>
    <w:rsid w:val="00AA1002"/>
    <w:rsid w:val="00AA1005"/>
    <w:rsid w:val="00AA1087"/>
    <w:rsid w:val="00AA10FD"/>
    <w:rsid w:val="00AA111B"/>
    <w:rsid w:val="00AA127B"/>
    <w:rsid w:val="00AA1441"/>
    <w:rsid w:val="00AA14FD"/>
    <w:rsid w:val="00AA1639"/>
    <w:rsid w:val="00AA16BF"/>
    <w:rsid w:val="00AA177A"/>
    <w:rsid w:val="00AA17B5"/>
    <w:rsid w:val="00AA17CA"/>
    <w:rsid w:val="00AA17DA"/>
    <w:rsid w:val="00AA186F"/>
    <w:rsid w:val="00AA1878"/>
    <w:rsid w:val="00AA18D4"/>
    <w:rsid w:val="00AA1A01"/>
    <w:rsid w:val="00AA1A12"/>
    <w:rsid w:val="00AA1AC5"/>
    <w:rsid w:val="00AA1AD7"/>
    <w:rsid w:val="00AA1B20"/>
    <w:rsid w:val="00AA1B87"/>
    <w:rsid w:val="00AA1DAE"/>
    <w:rsid w:val="00AA1E5A"/>
    <w:rsid w:val="00AA1E68"/>
    <w:rsid w:val="00AA1E6C"/>
    <w:rsid w:val="00AA1EED"/>
    <w:rsid w:val="00AA1F3E"/>
    <w:rsid w:val="00AA1FF3"/>
    <w:rsid w:val="00AA2009"/>
    <w:rsid w:val="00AA216D"/>
    <w:rsid w:val="00AA21E6"/>
    <w:rsid w:val="00AA21EE"/>
    <w:rsid w:val="00AA21F2"/>
    <w:rsid w:val="00AA2395"/>
    <w:rsid w:val="00AA23A4"/>
    <w:rsid w:val="00AA23AF"/>
    <w:rsid w:val="00AA23BC"/>
    <w:rsid w:val="00AA243A"/>
    <w:rsid w:val="00AA24DC"/>
    <w:rsid w:val="00AA24DF"/>
    <w:rsid w:val="00AA24E7"/>
    <w:rsid w:val="00AA25BA"/>
    <w:rsid w:val="00AA2609"/>
    <w:rsid w:val="00AA26E3"/>
    <w:rsid w:val="00AA27D8"/>
    <w:rsid w:val="00AA2849"/>
    <w:rsid w:val="00AA29B0"/>
    <w:rsid w:val="00AA2B3F"/>
    <w:rsid w:val="00AA2D1F"/>
    <w:rsid w:val="00AA2DA1"/>
    <w:rsid w:val="00AA2DD4"/>
    <w:rsid w:val="00AA2E4B"/>
    <w:rsid w:val="00AA2EA4"/>
    <w:rsid w:val="00AA2F6D"/>
    <w:rsid w:val="00AA3025"/>
    <w:rsid w:val="00AA302F"/>
    <w:rsid w:val="00AA30E0"/>
    <w:rsid w:val="00AA3117"/>
    <w:rsid w:val="00AA313B"/>
    <w:rsid w:val="00AA3158"/>
    <w:rsid w:val="00AA316F"/>
    <w:rsid w:val="00AA3236"/>
    <w:rsid w:val="00AA3486"/>
    <w:rsid w:val="00AA34A5"/>
    <w:rsid w:val="00AA365E"/>
    <w:rsid w:val="00AA36AB"/>
    <w:rsid w:val="00AA37DF"/>
    <w:rsid w:val="00AA3807"/>
    <w:rsid w:val="00AA3851"/>
    <w:rsid w:val="00AA388C"/>
    <w:rsid w:val="00AA3898"/>
    <w:rsid w:val="00AA38D3"/>
    <w:rsid w:val="00AA3948"/>
    <w:rsid w:val="00AA3A23"/>
    <w:rsid w:val="00AA3A24"/>
    <w:rsid w:val="00AA3A4B"/>
    <w:rsid w:val="00AA3B06"/>
    <w:rsid w:val="00AA3B54"/>
    <w:rsid w:val="00AA3BE6"/>
    <w:rsid w:val="00AA3BF7"/>
    <w:rsid w:val="00AA3C29"/>
    <w:rsid w:val="00AA3D39"/>
    <w:rsid w:val="00AA3DFF"/>
    <w:rsid w:val="00AA3E53"/>
    <w:rsid w:val="00AA3E88"/>
    <w:rsid w:val="00AA3E98"/>
    <w:rsid w:val="00AA3FC0"/>
    <w:rsid w:val="00AA4112"/>
    <w:rsid w:val="00AA425F"/>
    <w:rsid w:val="00AA4349"/>
    <w:rsid w:val="00AA43F5"/>
    <w:rsid w:val="00AA443C"/>
    <w:rsid w:val="00AA44D2"/>
    <w:rsid w:val="00AA453F"/>
    <w:rsid w:val="00AA455E"/>
    <w:rsid w:val="00AA45BA"/>
    <w:rsid w:val="00AA466C"/>
    <w:rsid w:val="00AA4827"/>
    <w:rsid w:val="00AA4850"/>
    <w:rsid w:val="00AA48BF"/>
    <w:rsid w:val="00AA4939"/>
    <w:rsid w:val="00AA49FA"/>
    <w:rsid w:val="00AA4A14"/>
    <w:rsid w:val="00AA4A4E"/>
    <w:rsid w:val="00AA4B3B"/>
    <w:rsid w:val="00AA4BD9"/>
    <w:rsid w:val="00AA4C06"/>
    <w:rsid w:val="00AA4DA0"/>
    <w:rsid w:val="00AA4E3C"/>
    <w:rsid w:val="00AA4E41"/>
    <w:rsid w:val="00AA4E5C"/>
    <w:rsid w:val="00AA4E62"/>
    <w:rsid w:val="00AA4FC1"/>
    <w:rsid w:val="00AA4FF6"/>
    <w:rsid w:val="00AA4FF9"/>
    <w:rsid w:val="00AA5020"/>
    <w:rsid w:val="00AA5055"/>
    <w:rsid w:val="00AA51A2"/>
    <w:rsid w:val="00AA51F3"/>
    <w:rsid w:val="00AA52DC"/>
    <w:rsid w:val="00AA5368"/>
    <w:rsid w:val="00AA53B7"/>
    <w:rsid w:val="00AA54F3"/>
    <w:rsid w:val="00AA54F7"/>
    <w:rsid w:val="00AA5616"/>
    <w:rsid w:val="00AA565D"/>
    <w:rsid w:val="00AA5761"/>
    <w:rsid w:val="00AA585F"/>
    <w:rsid w:val="00AA58D4"/>
    <w:rsid w:val="00AA5942"/>
    <w:rsid w:val="00AA5A62"/>
    <w:rsid w:val="00AA5AAB"/>
    <w:rsid w:val="00AA5C44"/>
    <w:rsid w:val="00AA5C9F"/>
    <w:rsid w:val="00AA5CC3"/>
    <w:rsid w:val="00AA5F08"/>
    <w:rsid w:val="00AA5FDB"/>
    <w:rsid w:val="00AA6031"/>
    <w:rsid w:val="00AA6072"/>
    <w:rsid w:val="00AA60C0"/>
    <w:rsid w:val="00AA619F"/>
    <w:rsid w:val="00AA61B6"/>
    <w:rsid w:val="00AA621A"/>
    <w:rsid w:val="00AA6232"/>
    <w:rsid w:val="00AA631B"/>
    <w:rsid w:val="00AA6376"/>
    <w:rsid w:val="00AA64A2"/>
    <w:rsid w:val="00AA6555"/>
    <w:rsid w:val="00AA6585"/>
    <w:rsid w:val="00AA65BD"/>
    <w:rsid w:val="00AA65D1"/>
    <w:rsid w:val="00AA6726"/>
    <w:rsid w:val="00AA683D"/>
    <w:rsid w:val="00AA6AAB"/>
    <w:rsid w:val="00AA6AFB"/>
    <w:rsid w:val="00AA6C7B"/>
    <w:rsid w:val="00AA6D64"/>
    <w:rsid w:val="00AA6EC3"/>
    <w:rsid w:val="00AA6FB3"/>
    <w:rsid w:val="00AA708E"/>
    <w:rsid w:val="00AA709D"/>
    <w:rsid w:val="00AA7142"/>
    <w:rsid w:val="00AA7191"/>
    <w:rsid w:val="00AA71ED"/>
    <w:rsid w:val="00AA72BE"/>
    <w:rsid w:val="00AA72C5"/>
    <w:rsid w:val="00AA72E9"/>
    <w:rsid w:val="00AA7337"/>
    <w:rsid w:val="00AA737F"/>
    <w:rsid w:val="00AA74F1"/>
    <w:rsid w:val="00AA75EC"/>
    <w:rsid w:val="00AA7715"/>
    <w:rsid w:val="00AA774C"/>
    <w:rsid w:val="00AA7856"/>
    <w:rsid w:val="00AA789F"/>
    <w:rsid w:val="00AA78C5"/>
    <w:rsid w:val="00AA7954"/>
    <w:rsid w:val="00AA7A28"/>
    <w:rsid w:val="00AA7AE5"/>
    <w:rsid w:val="00AA7B49"/>
    <w:rsid w:val="00AA7C1A"/>
    <w:rsid w:val="00AA7C5B"/>
    <w:rsid w:val="00AA7CC6"/>
    <w:rsid w:val="00AA7D20"/>
    <w:rsid w:val="00AA7D34"/>
    <w:rsid w:val="00AA7D6F"/>
    <w:rsid w:val="00AB0065"/>
    <w:rsid w:val="00AB0116"/>
    <w:rsid w:val="00AB013E"/>
    <w:rsid w:val="00AB01F4"/>
    <w:rsid w:val="00AB02CD"/>
    <w:rsid w:val="00AB0384"/>
    <w:rsid w:val="00AB0395"/>
    <w:rsid w:val="00AB03C3"/>
    <w:rsid w:val="00AB0547"/>
    <w:rsid w:val="00AB0570"/>
    <w:rsid w:val="00AB05EE"/>
    <w:rsid w:val="00AB07B8"/>
    <w:rsid w:val="00AB0867"/>
    <w:rsid w:val="00AB0956"/>
    <w:rsid w:val="00AB09D5"/>
    <w:rsid w:val="00AB0A0F"/>
    <w:rsid w:val="00AB0ACE"/>
    <w:rsid w:val="00AB0B45"/>
    <w:rsid w:val="00AB0C07"/>
    <w:rsid w:val="00AB0E30"/>
    <w:rsid w:val="00AB0FC2"/>
    <w:rsid w:val="00AB1183"/>
    <w:rsid w:val="00AB11BB"/>
    <w:rsid w:val="00AB1245"/>
    <w:rsid w:val="00AB1531"/>
    <w:rsid w:val="00AB1544"/>
    <w:rsid w:val="00AB161A"/>
    <w:rsid w:val="00AB16D1"/>
    <w:rsid w:val="00AB1718"/>
    <w:rsid w:val="00AB171A"/>
    <w:rsid w:val="00AB1732"/>
    <w:rsid w:val="00AB1775"/>
    <w:rsid w:val="00AB17EA"/>
    <w:rsid w:val="00AB1811"/>
    <w:rsid w:val="00AB1828"/>
    <w:rsid w:val="00AB18E5"/>
    <w:rsid w:val="00AB18FE"/>
    <w:rsid w:val="00AB1932"/>
    <w:rsid w:val="00AB1A38"/>
    <w:rsid w:val="00AB1AEB"/>
    <w:rsid w:val="00AB1DC6"/>
    <w:rsid w:val="00AB1F53"/>
    <w:rsid w:val="00AB1FD7"/>
    <w:rsid w:val="00AB1FEB"/>
    <w:rsid w:val="00AB202F"/>
    <w:rsid w:val="00AB2056"/>
    <w:rsid w:val="00AB2112"/>
    <w:rsid w:val="00AB22C8"/>
    <w:rsid w:val="00AB247C"/>
    <w:rsid w:val="00AB2610"/>
    <w:rsid w:val="00AB2615"/>
    <w:rsid w:val="00AB2645"/>
    <w:rsid w:val="00AB2646"/>
    <w:rsid w:val="00AB26AF"/>
    <w:rsid w:val="00AB272E"/>
    <w:rsid w:val="00AB285F"/>
    <w:rsid w:val="00AB28E9"/>
    <w:rsid w:val="00AB2A1C"/>
    <w:rsid w:val="00AB2A22"/>
    <w:rsid w:val="00AB2C2C"/>
    <w:rsid w:val="00AB2CFB"/>
    <w:rsid w:val="00AB2D08"/>
    <w:rsid w:val="00AB2D77"/>
    <w:rsid w:val="00AB2E31"/>
    <w:rsid w:val="00AB2ED5"/>
    <w:rsid w:val="00AB2F3E"/>
    <w:rsid w:val="00AB2F41"/>
    <w:rsid w:val="00AB2FDD"/>
    <w:rsid w:val="00AB3119"/>
    <w:rsid w:val="00AB315D"/>
    <w:rsid w:val="00AB3248"/>
    <w:rsid w:val="00AB3355"/>
    <w:rsid w:val="00AB3538"/>
    <w:rsid w:val="00AB35A0"/>
    <w:rsid w:val="00AB35DB"/>
    <w:rsid w:val="00AB3617"/>
    <w:rsid w:val="00AB366C"/>
    <w:rsid w:val="00AB36FD"/>
    <w:rsid w:val="00AB3703"/>
    <w:rsid w:val="00AB3774"/>
    <w:rsid w:val="00AB37A2"/>
    <w:rsid w:val="00AB380F"/>
    <w:rsid w:val="00AB390B"/>
    <w:rsid w:val="00AB3930"/>
    <w:rsid w:val="00AB3952"/>
    <w:rsid w:val="00AB3AE3"/>
    <w:rsid w:val="00AB3B33"/>
    <w:rsid w:val="00AB3B5A"/>
    <w:rsid w:val="00AB3B5D"/>
    <w:rsid w:val="00AB3C68"/>
    <w:rsid w:val="00AB3EFD"/>
    <w:rsid w:val="00AB403D"/>
    <w:rsid w:val="00AB4083"/>
    <w:rsid w:val="00AB4100"/>
    <w:rsid w:val="00AB4176"/>
    <w:rsid w:val="00AB41D1"/>
    <w:rsid w:val="00AB421C"/>
    <w:rsid w:val="00AB4248"/>
    <w:rsid w:val="00AB42F4"/>
    <w:rsid w:val="00AB431D"/>
    <w:rsid w:val="00AB4331"/>
    <w:rsid w:val="00AB4348"/>
    <w:rsid w:val="00AB43D6"/>
    <w:rsid w:val="00AB4486"/>
    <w:rsid w:val="00AB44E1"/>
    <w:rsid w:val="00AB44E5"/>
    <w:rsid w:val="00AB459B"/>
    <w:rsid w:val="00AB46A6"/>
    <w:rsid w:val="00AB46C2"/>
    <w:rsid w:val="00AB48C5"/>
    <w:rsid w:val="00AB48EC"/>
    <w:rsid w:val="00AB492B"/>
    <w:rsid w:val="00AB4B30"/>
    <w:rsid w:val="00AB4B37"/>
    <w:rsid w:val="00AB4B83"/>
    <w:rsid w:val="00AB4BF6"/>
    <w:rsid w:val="00AB4BFA"/>
    <w:rsid w:val="00AB4C4E"/>
    <w:rsid w:val="00AB4CF6"/>
    <w:rsid w:val="00AB4DF3"/>
    <w:rsid w:val="00AB4EBC"/>
    <w:rsid w:val="00AB4EE4"/>
    <w:rsid w:val="00AB4EFB"/>
    <w:rsid w:val="00AB4F5B"/>
    <w:rsid w:val="00AB5009"/>
    <w:rsid w:val="00AB500E"/>
    <w:rsid w:val="00AB50DC"/>
    <w:rsid w:val="00AB5247"/>
    <w:rsid w:val="00AB5282"/>
    <w:rsid w:val="00AB528F"/>
    <w:rsid w:val="00AB531D"/>
    <w:rsid w:val="00AB5321"/>
    <w:rsid w:val="00AB532C"/>
    <w:rsid w:val="00AB535E"/>
    <w:rsid w:val="00AB539F"/>
    <w:rsid w:val="00AB53A2"/>
    <w:rsid w:val="00AB5440"/>
    <w:rsid w:val="00AB559D"/>
    <w:rsid w:val="00AB567F"/>
    <w:rsid w:val="00AB56D0"/>
    <w:rsid w:val="00AB56D5"/>
    <w:rsid w:val="00AB579F"/>
    <w:rsid w:val="00AB57D1"/>
    <w:rsid w:val="00AB57D2"/>
    <w:rsid w:val="00AB582B"/>
    <w:rsid w:val="00AB5831"/>
    <w:rsid w:val="00AB5834"/>
    <w:rsid w:val="00AB58F3"/>
    <w:rsid w:val="00AB591D"/>
    <w:rsid w:val="00AB5A11"/>
    <w:rsid w:val="00AB5A9E"/>
    <w:rsid w:val="00AB5AB0"/>
    <w:rsid w:val="00AB5B74"/>
    <w:rsid w:val="00AB5BBD"/>
    <w:rsid w:val="00AB5C19"/>
    <w:rsid w:val="00AB5C70"/>
    <w:rsid w:val="00AB5D0C"/>
    <w:rsid w:val="00AB5E2F"/>
    <w:rsid w:val="00AB5E6A"/>
    <w:rsid w:val="00AB5F8A"/>
    <w:rsid w:val="00AB5FC8"/>
    <w:rsid w:val="00AB607D"/>
    <w:rsid w:val="00AB616E"/>
    <w:rsid w:val="00AB6182"/>
    <w:rsid w:val="00AB62BC"/>
    <w:rsid w:val="00AB65A8"/>
    <w:rsid w:val="00AB66AB"/>
    <w:rsid w:val="00AB6770"/>
    <w:rsid w:val="00AB6829"/>
    <w:rsid w:val="00AB6830"/>
    <w:rsid w:val="00AB69BD"/>
    <w:rsid w:val="00AB69E7"/>
    <w:rsid w:val="00AB6A06"/>
    <w:rsid w:val="00AB6A21"/>
    <w:rsid w:val="00AB6A36"/>
    <w:rsid w:val="00AB6A6F"/>
    <w:rsid w:val="00AB6A91"/>
    <w:rsid w:val="00AB6A9D"/>
    <w:rsid w:val="00AB6B9C"/>
    <w:rsid w:val="00AB6BA4"/>
    <w:rsid w:val="00AB6C3D"/>
    <w:rsid w:val="00AB6C4B"/>
    <w:rsid w:val="00AB6CA6"/>
    <w:rsid w:val="00AB6CAB"/>
    <w:rsid w:val="00AB6D95"/>
    <w:rsid w:val="00AB6F16"/>
    <w:rsid w:val="00AB6FEE"/>
    <w:rsid w:val="00AB7029"/>
    <w:rsid w:val="00AB707F"/>
    <w:rsid w:val="00AB70DD"/>
    <w:rsid w:val="00AB7153"/>
    <w:rsid w:val="00AB71B1"/>
    <w:rsid w:val="00AB7348"/>
    <w:rsid w:val="00AB735C"/>
    <w:rsid w:val="00AB7408"/>
    <w:rsid w:val="00AB74C0"/>
    <w:rsid w:val="00AB7538"/>
    <w:rsid w:val="00AB7705"/>
    <w:rsid w:val="00AB7772"/>
    <w:rsid w:val="00AB7778"/>
    <w:rsid w:val="00AB7793"/>
    <w:rsid w:val="00AB77A7"/>
    <w:rsid w:val="00AB7A92"/>
    <w:rsid w:val="00AB7AE1"/>
    <w:rsid w:val="00AB7B85"/>
    <w:rsid w:val="00AB7B86"/>
    <w:rsid w:val="00AB7C14"/>
    <w:rsid w:val="00AB7C9B"/>
    <w:rsid w:val="00AB7D73"/>
    <w:rsid w:val="00AB7DE7"/>
    <w:rsid w:val="00AB7E77"/>
    <w:rsid w:val="00AB7ECE"/>
    <w:rsid w:val="00AB7F9A"/>
    <w:rsid w:val="00AC007E"/>
    <w:rsid w:val="00AC008C"/>
    <w:rsid w:val="00AC0151"/>
    <w:rsid w:val="00AC0210"/>
    <w:rsid w:val="00AC02FD"/>
    <w:rsid w:val="00AC031F"/>
    <w:rsid w:val="00AC0326"/>
    <w:rsid w:val="00AC035C"/>
    <w:rsid w:val="00AC0474"/>
    <w:rsid w:val="00AC0480"/>
    <w:rsid w:val="00AC0490"/>
    <w:rsid w:val="00AC05BE"/>
    <w:rsid w:val="00AC05CA"/>
    <w:rsid w:val="00AC07E4"/>
    <w:rsid w:val="00AC08F3"/>
    <w:rsid w:val="00AC09D9"/>
    <w:rsid w:val="00AC09ED"/>
    <w:rsid w:val="00AC0A6A"/>
    <w:rsid w:val="00AC0B02"/>
    <w:rsid w:val="00AC0B91"/>
    <w:rsid w:val="00AC0BD1"/>
    <w:rsid w:val="00AC0BD5"/>
    <w:rsid w:val="00AC0D15"/>
    <w:rsid w:val="00AC0D92"/>
    <w:rsid w:val="00AC0EAE"/>
    <w:rsid w:val="00AC0ECD"/>
    <w:rsid w:val="00AC0F95"/>
    <w:rsid w:val="00AC108A"/>
    <w:rsid w:val="00AC10A8"/>
    <w:rsid w:val="00AC1107"/>
    <w:rsid w:val="00AC1188"/>
    <w:rsid w:val="00AC118C"/>
    <w:rsid w:val="00AC1281"/>
    <w:rsid w:val="00AC138C"/>
    <w:rsid w:val="00AC1655"/>
    <w:rsid w:val="00AC1671"/>
    <w:rsid w:val="00AC17F5"/>
    <w:rsid w:val="00AC1A0D"/>
    <w:rsid w:val="00AC1B5F"/>
    <w:rsid w:val="00AC1B6E"/>
    <w:rsid w:val="00AC1BAE"/>
    <w:rsid w:val="00AC1BD8"/>
    <w:rsid w:val="00AC1C2B"/>
    <w:rsid w:val="00AC1C5B"/>
    <w:rsid w:val="00AC1CB4"/>
    <w:rsid w:val="00AC1CE0"/>
    <w:rsid w:val="00AC1E38"/>
    <w:rsid w:val="00AC1F59"/>
    <w:rsid w:val="00AC1F7E"/>
    <w:rsid w:val="00AC1FF7"/>
    <w:rsid w:val="00AC2087"/>
    <w:rsid w:val="00AC2096"/>
    <w:rsid w:val="00AC2104"/>
    <w:rsid w:val="00AC2164"/>
    <w:rsid w:val="00AC220F"/>
    <w:rsid w:val="00AC2217"/>
    <w:rsid w:val="00AC2246"/>
    <w:rsid w:val="00AC22F1"/>
    <w:rsid w:val="00AC2325"/>
    <w:rsid w:val="00AC244C"/>
    <w:rsid w:val="00AC25A3"/>
    <w:rsid w:val="00AC267D"/>
    <w:rsid w:val="00AC26AD"/>
    <w:rsid w:val="00AC2715"/>
    <w:rsid w:val="00AC28F8"/>
    <w:rsid w:val="00AC292D"/>
    <w:rsid w:val="00AC29F6"/>
    <w:rsid w:val="00AC2A05"/>
    <w:rsid w:val="00AC2A78"/>
    <w:rsid w:val="00AC2B78"/>
    <w:rsid w:val="00AC2B7E"/>
    <w:rsid w:val="00AC2C33"/>
    <w:rsid w:val="00AC2CE2"/>
    <w:rsid w:val="00AC2EC1"/>
    <w:rsid w:val="00AC2EDB"/>
    <w:rsid w:val="00AC318F"/>
    <w:rsid w:val="00AC3203"/>
    <w:rsid w:val="00AC3217"/>
    <w:rsid w:val="00AC32A7"/>
    <w:rsid w:val="00AC339F"/>
    <w:rsid w:val="00AC33A7"/>
    <w:rsid w:val="00AC33CB"/>
    <w:rsid w:val="00AC33F3"/>
    <w:rsid w:val="00AC349B"/>
    <w:rsid w:val="00AC356E"/>
    <w:rsid w:val="00AC35CD"/>
    <w:rsid w:val="00AC370A"/>
    <w:rsid w:val="00AC372C"/>
    <w:rsid w:val="00AC3885"/>
    <w:rsid w:val="00AC38B2"/>
    <w:rsid w:val="00AC38BA"/>
    <w:rsid w:val="00AC3A21"/>
    <w:rsid w:val="00AC3B9B"/>
    <w:rsid w:val="00AC3C0F"/>
    <w:rsid w:val="00AC3C13"/>
    <w:rsid w:val="00AC3C8B"/>
    <w:rsid w:val="00AC3CD6"/>
    <w:rsid w:val="00AC3CFB"/>
    <w:rsid w:val="00AC3D75"/>
    <w:rsid w:val="00AC3DE7"/>
    <w:rsid w:val="00AC3E08"/>
    <w:rsid w:val="00AC3EDA"/>
    <w:rsid w:val="00AC3F66"/>
    <w:rsid w:val="00AC3FAA"/>
    <w:rsid w:val="00AC4069"/>
    <w:rsid w:val="00AC4115"/>
    <w:rsid w:val="00AC4195"/>
    <w:rsid w:val="00AC41DB"/>
    <w:rsid w:val="00AC41E5"/>
    <w:rsid w:val="00AC4227"/>
    <w:rsid w:val="00AC42E3"/>
    <w:rsid w:val="00AC43A4"/>
    <w:rsid w:val="00AC4440"/>
    <w:rsid w:val="00AC4477"/>
    <w:rsid w:val="00AC44F1"/>
    <w:rsid w:val="00AC4515"/>
    <w:rsid w:val="00AC45BD"/>
    <w:rsid w:val="00AC45F6"/>
    <w:rsid w:val="00AC46D8"/>
    <w:rsid w:val="00AC48C1"/>
    <w:rsid w:val="00AC492B"/>
    <w:rsid w:val="00AC4B64"/>
    <w:rsid w:val="00AC4CDF"/>
    <w:rsid w:val="00AC4D34"/>
    <w:rsid w:val="00AC4D56"/>
    <w:rsid w:val="00AC4EDF"/>
    <w:rsid w:val="00AC51FE"/>
    <w:rsid w:val="00AC53B3"/>
    <w:rsid w:val="00AC5405"/>
    <w:rsid w:val="00AC547E"/>
    <w:rsid w:val="00AC5489"/>
    <w:rsid w:val="00AC5496"/>
    <w:rsid w:val="00AC54E5"/>
    <w:rsid w:val="00AC5569"/>
    <w:rsid w:val="00AC581B"/>
    <w:rsid w:val="00AC58A2"/>
    <w:rsid w:val="00AC5A10"/>
    <w:rsid w:val="00AC5A94"/>
    <w:rsid w:val="00AC5B01"/>
    <w:rsid w:val="00AC5D62"/>
    <w:rsid w:val="00AC5D86"/>
    <w:rsid w:val="00AC5E0A"/>
    <w:rsid w:val="00AC5E10"/>
    <w:rsid w:val="00AC604A"/>
    <w:rsid w:val="00AC608A"/>
    <w:rsid w:val="00AC609F"/>
    <w:rsid w:val="00AC6185"/>
    <w:rsid w:val="00AC619B"/>
    <w:rsid w:val="00AC626B"/>
    <w:rsid w:val="00AC630C"/>
    <w:rsid w:val="00AC634C"/>
    <w:rsid w:val="00AC637C"/>
    <w:rsid w:val="00AC6412"/>
    <w:rsid w:val="00AC645B"/>
    <w:rsid w:val="00AC646A"/>
    <w:rsid w:val="00AC6546"/>
    <w:rsid w:val="00AC655B"/>
    <w:rsid w:val="00AC65BB"/>
    <w:rsid w:val="00AC6656"/>
    <w:rsid w:val="00AC6871"/>
    <w:rsid w:val="00AC68E6"/>
    <w:rsid w:val="00AC6914"/>
    <w:rsid w:val="00AC6936"/>
    <w:rsid w:val="00AC6961"/>
    <w:rsid w:val="00AC6B55"/>
    <w:rsid w:val="00AC6BAF"/>
    <w:rsid w:val="00AC6BB2"/>
    <w:rsid w:val="00AC6BBB"/>
    <w:rsid w:val="00AC6C0C"/>
    <w:rsid w:val="00AC6C18"/>
    <w:rsid w:val="00AC6D50"/>
    <w:rsid w:val="00AC6D9C"/>
    <w:rsid w:val="00AC6E58"/>
    <w:rsid w:val="00AC6EE3"/>
    <w:rsid w:val="00AC6F8D"/>
    <w:rsid w:val="00AC6FF1"/>
    <w:rsid w:val="00AC7100"/>
    <w:rsid w:val="00AC7195"/>
    <w:rsid w:val="00AC71EF"/>
    <w:rsid w:val="00AC7261"/>
    <w:rsid w:val="00AC72BD"/>
    <w:rsid w:val="00AC72BE"/>
    <w:rsid w:val="00AC731D"/>
    <w:rsid w:val="00AC7359"/>
    <w:rsid w:val="00AC7378"/>
    <w:rsid w:val="00AC7437"/>
    <w:rsid w:val="00AC7489"/>
    <w:rsid w:val="00AC74B8"/>
    <w:rsid w:val="00AC74C9"/>
    <w:rsid w:val="00AC754A"/>
    <w:rsid w:val="00AC764F"/>
    <w:rsid w:val="00AC767B"/>
    <w:rsid w:val="00AC7890"/>
    <w:rsid w:val="00AC78C1"/>
    <w:rsid w:val="00AC792C"/>
    <w:rsid w:val="00AC7944"/>
    <w:rsid w:val="00AC794B"/>
    <w:rsid w:val="00AC7A4F"/>
    <w:rsid w:val="00AC7A57"/>
    <w:rsid w:val="00AC7A5A"/>
    <w:rsid w:val="00AC7AC9"/>
    <w:rsid w:val="00AC7B86"/>
    <w:rsid w:val="00AC7C17"/>
    <w:rsid w:val="00AC7C71"/>
    <w:rsid w:val="00AC7CE5"/>
    <w:rsid w:val="00AC7DE1"/>
    <w:rsid w:val="00AC7F78"/>
    <w:rsid w:val="00AC7F7B"/>
    <w:rsid w:val="00AC7FA2"/>
    <w:rsid w:val="00AC7FDF"/>
    <w:rsid w:val="00AD004C"/>
    <w:rsid w:val="00AD0061"/>
    <w:rsid w:val="00AD01ED"/>
    <w:rsid w:val="00AD0226"/>
    <w:rsid w:val="00AD034A"/>
    <w:rsid w:val="00AD0420"/>
    <w:rsid w:val="00AD064F"/>
    <w:rsid w:val="00AD06A2"/>
    <w:rsid w:val="00AD072A"/>
    <w:rsid w:val="00AD0890"/>
    <w:rsid w:val="00AD0A8C"/>
    <w:rsid w:val="00AD0C88"/>
    <w:rsid w:val="00AD0CD7"/>
    <w:rsid w:val="00AD0CF1"/>
    <w:rsid w:val="00AD0D94"/>
    <w:rsid w:val="00AD0E48"/>
    <w:rsid w:val="00AD0F63"/>
    <w:rsid w:val="00AD0F67"/>
    <w:rsid w:val="00AD0F81"/>
    <w:rsid w:val="00AD0FEA"/>
    <w:rsid w:val="00AD107F"/>
    <w:rsid w:val="00AD1119"/>
    <w:rsid w:val="00AD111E"/>
    <w:rsid w:val="00AD1178"/>
    <w:rsid w:val="00AD11C3"/>
    <w:rsid w:val="00AD142C"/>
    <w:rsid w:val="00AD147B"/>
    <w:rsid w:val="00AD149D"/>
    <w:rsid w:val="00AD14EB"/>
    <w:rsid w:val="00AD1584"/>
    <w:rsid w:val="00AD158F"/>
    <w:rsid w:val="00AD1628"/>
    <w:rsid w:val="00AD16EF"/>
    <w:rsid w:val="00AD177A"/>
    <w:rsid w:val="00AD186D"/>
    <w:rsid w:val="00AD1992"/>
    <w:rsid w:val="00AD19A2"/>
    <w:rsid w:val="00AD1AE0"/>
    <w:rsid w:val="00AD1B20"/>
    <w:rsid w:val="00AD1C53"/>
    <w:rsid w:val="00AD1D28"/>
    <w:rsid w:val="00AD1D91"/>
    <w:rsid w:val="00AD1DDC"/>
    <w:rsid w:val="00AD1DE2"/>
    <w:rsid w:val="00AD1DF8"/>
    <w:rsid w:val="00AD1E53"/>
    <w:rsid w:val="00AD1EAA"/>
    <w:rsid w:val="00AD20DD"/>
    <w:rsid w:val="00AD217D"/>
    <w:rsid w:val="00AD2261"/>
    <w:rsid w:val="00AD2266"/>
    <w:rsid w:val="00AD230A"/>
    <w:rsid w:val="00AD23F5"/>
    <w:rsid w:val="00AD2406"/>
    <w:rsid w:val="00AD2509"/>
    <w:rsid w:val="00AD25DB"/>
    <w:rsid w:val="00AD25F1"/>
    <w:rsid w:val="00AD26C5"/>
    <w:rsid w:val="00AD2796"/>
    <w:rsid w:val="00AD287A"/>
    <w:rsid w:val="00AD28BC"/>
    <w:rsid w:val="00AD28E7"/>
    <w:rsid w:val="00AD295B"/>
    <w:rsid w:val="00AD2966"/>
    <w:rsid w:val="00AD29C7"/>
    <w:rsid w:val="00AD2A0F"/>
    <w:rsid w:val="00AD2A3D"/>
    <w:rsid w:val="00AD2B0D"/>
    <w:rsid w:val="00AD2BC2"/>
    <w:rsid w:val="00AD2C5E"/>
    <w:rsid w:val="00AD2D41"/>
    <w:rsid w:val="00AD2D4E"/>
    <w:rsid w:val="00AD2DF2"/>
    <w:rsid w:val="00AD2F2B"/>
    <w:rsid w:val="00AD30B7"/>
    <w:rsid w:val="00AD30CA"/>
    <w:rsid w:val="00AD322A"/>
    <w:rsid w:val="00AD32EF"/>
    <w:rsid w:val="00AD337E"/>
    <w:rsid w:val="00AD345A"/>
    <w:rsid w:val="00AD3485"/>
    <w:rsid w:val="00AD3509"/>
    <w:rsid w:val="00AD3574"/>
    <w:rsid w:val="00AD35EE"/>
    <w:rsid w:val="00AD3643"/>
    <w:rsid w:val="00AD3670"/>
    <w:rsid w:val="00AD369A"/>
    <w:rsid w:val="00AD374B"/>
    <w:rsid w:val="00AD39F5"/>
    <w:rsid w:val="00AD3A12"/>
    <w:rsid w:val="00AD3A71"/>
    <w:rsid w:val="00AD3C4D"/>
    <w:rsid w:val="00AD3CA6"/>
    <w:rsid w:val="00AD3CC2"/>
    <w:rsid w:val="00AD3DA3"/>
    <w:rsid w:val="00AD3DAE"/>
    <w:rsid w:val="00AD3E06"/>
    <w:rsid w:val="00AD3E5C"/>
    <w:rsid w:val="00AD410E"/>
    <w:rsid w:val="00AD41CD"/>
    <w:rsid w:val="00AD435C"/>
    <w:rsid w:val="00AD4416"/>
    <w:rsid w:val="00AD451D"/>
    <w:rsid w:val="00AD452C"/>
    <w:rsid w:val="00AD4587"/>
    <w:rsid w:val="00AD45D1"/>
    <w:rsid w:val="00AD4640"/>
    <w:rsid w:val="00AD4736"/>
    <w:rsid w:val="00AD4791"/>
    <w:rsid w:val="00AD47EB"/>
    <w:rsid w:val="00AD47F9"/>
    <w:rsid w:val="00AD4807"/>
    <w:rsid w:val="00AD4850"/>
    <w:rsid w:val="00AD487A"/>
    <w:rsid w:val="00AD48C2"/>
    <w:rsid w:val="00AD48EE"/>
    <w:rsid w:val="00AD4A60"/>
    <w:rsid w:val="00AD4A86"/>
    <w:rsid w:val="00AD4B68"/>
    <w:rsid w:val="00AD4BCB"/>
    <w:rsid w:val="00AD4E60"/>
    <w:rsid w:val="00AD4ED3"/>
    <w:rsid w:val="00AD4EF7"/>
    <w:rsid w:val="00AD4F90"/>
    <w:rsid w:val="00AD503E"/>
    <w:rsid w:val="00AD50D5"/>
    <w:rsid w:val="00AD516E"/>
    <w:rsid w:val="00AD51A2"/>
    <w:rsid w:val="00AD52E3"/>
    <w:rsid w:val="00AD57C1"/>
    <w:rsid w:val="00AD57D0"/>
    <w:rsid w:val="00AD57FF"/>
    <w:rsid w:val="00AD5883"/>
    <w:rsid w:val="00AD5970"/>
    <w:rsid w:val="00AD59B0"/>
    <w:rsid w:val="00AD59E1"/>
    <w:rsid w:val="00AD59FE"/>
    <w:rsid w:val="00AD5C5E"/>
    <w:rsid w:val="00AD5CC6"/>
    <w:rsid w:val="00AD5CFA"/>
    <w:rsid w:val="00AD5D13"/>
    <w:rsid w:val="00AD5E9C"/>
    <w:rsid w:val="00AD5F0E"/>
    <w:rsid w:val="00AD5F6D"/>
    <w:rsid w:val="00AD6016"/>
    <w:rsid w:val="00AD60E6"/>
    <w:rsid w:val="00AD6131"/>
    <w:rsid w:val="00AD6173"/>
    <w:rsid w:val="00AD6249"/>
    <w:rsid w:val="00AD62B6"/>
    <w:rsid w:val="00AD64B0"/>
    <w:rsid w:val="00AD6506"/>
    <w:rsid w:val="00AD6743"/>
    <w:rsid w:val="00AD679F"/>
    <w:rsid w:val="00AD690D"/>
    <w:rsid w:val="00AD6962"/>
    <w:rsid w:val="00AD69C6"/>
    <w:rsid w:val="00AD69E5"/>
    <w:rsid w:val="00AD69F5"/>
    <w:rsid w:val="00AD6A96"/>
    <w:rsid w:val="00AD6B1E"/>
    <w:rsid w:val="00AD6C07"/>
    <w:rsid w:val="00AD6C36"/>
    <w:rsid w:val="00AD6D37"/>
    <w:rsid w:val="00AD6E46"/>
    <w:rsid w:val="00AD6EE2"/>
    <w:rsid w:val="00AD7031"/>
    <w:rsid w:val="00AD707F"/>
    <w:rsid w:val="00AD724D"/>
    <w:rsid w:val="00AD72C6"/>
    <w:rsid w:val="00AD72ED"/>
    <w:rsid w:val="00AD73DB"/>
    <w:rsid w:val="00AD742B"/>
    <w:rsid w:val="00AD7439"/>
    <w:rsid w:val="00AD749A"/>
    <w:rsid w:val="00AD74BD"/>
    <w:rsid w:val="00AD75D6"/>
    <w:rsid w:val="00AD7692"/>
    <w:rsid w:val="00AD76B3"/>
    <w:rsid w:val="00AD76CD"/>
    <w:rsid w:val="00AD76D7"/>
    <w:rsid w:val="00AD7722"/>
    <w:rsid w:val="00AD7853"/>
    <w:rsid w:val="00AD798E"/>
    <w:rsid w:val="00AD7C32"/>
    <w:rsid w:val="00AD7C35"/>
    <w:rsid w:val="00AD7C69"/>
    <w:rsid w:val="00AD7CE0"/>
    <w:rsid w:val="00AD7D27"/>
    <w:rsid w:val="00AD7D3A"/>
    <w:rsid w:val="00AD7D45"/>
    <w:rsid w:val="00AD7D5A"/>
    <w:rsid w:val="00AD7DB1"/>
    <w:rsid w:val="00AD7E2D"/>
    <w:rsid w:val="00AD7E7A"/>
    <w:rsid w:val="00AD7EC9"/>
    <w:rsid w:val="00AD7ED4"/>
    <w:rsid w:val="00AD7ED6"/>
    <w:rsid w:val="00AD7F72"/>
    <w:rsid w:val="00AD7F7C"/>
    <w:rsid w:val="00AD7FA6"/>
    <w:rsid w:val="00AD7FAF"/>
    <w:rsid w:val="00AD7FD5"/>
    <w:rsid w:val="00AE009D"/>
    <w:rsid w:val="00AE0240"/>
    <w:rsid w:val="00AE0394"/>
    <w:rsid w:val="00AE03EE"/>
    <w:rsid w:val="00AE051F"/>
    <w:rsid w:val="00AE05A5"/>
    <w:rsid w:val="00AE05E2"/>
    <w:rsid w:val="00AE0754"/>
    <w:rsid w:val="00AE07C4"/>
    <w:rsid w:val="00AE08DB"/>
    <w:rsid w:val="00AE0919"/>
    <w:rsid w:val="00AE09C1"/>
    <w:rsid w:val="00AE0C7E"/>
    <w:rsid w:val="00AE0C9B"/>
    <w:rsid w:val="00AE0D2E"/>
    <w:rsid w:val="00AE0D32"/>
    <w:rsid w:val="00AE0DFF"/>
    <w:rsid w:val="00AE0FE5"/>
    <w:rsid w:val="00AE102C"/>
    <w:rsid w:val="00AE108D"/>
    <w:rsid w:val="00AE1140"/>
    <w:rsid w:val="00AE115F"/>
    <w:rsid w:val="00AE1342"/>
    <w:rsid w:val="00AE138A"/>
    <w:rsid w:val="00AE13AA"/>
    <w:rsid w:val="00AE13C7"/>
    <w:rsid w:val="00AE1487"/>
    <w:rsid w:val="00AE14FA"/>
    <w:rsid w:val="00AE14FD"/>
    <w:rsid w:val="00AE1524"/>
    <w:rsid w:val="00AE15D7"/>
    <w:rsid w:val="00AE161D"/>
    <w:rsid w:val="00AE174F"/>
    <w:rsid w:val="00AE17E7"/>
    <w:rsid w:val="00AE186E"/>
    <w:rsid w:val="00AE18B4"/>
    <w:rsid w:val="00AE1A8D"/>
    <w:rsid w:val="00AE1A97"/>
    <w:rsid w:val="00AE1AAA"/>
    <w:rsid w:val="00AE1AFB"/>
    <w:rsid w:val="00AE1B1F"/>
    <w:rsid w:val="00AE1B95"/>
    <w:rsid w:val="00AE1C0C"/>
    <w:rsid w:val="00AE1CAB"/>
    <w:rsid w:val="00AE1D75"/>
    <w:rsid w:val="00AE1D98"/>
    <w:rsid w:val="00AE1E4E"/>
    <w:rsid w:val="00AE1E5A"/>
    <w:rsid w:val="00AE1EE2"/>
    <w:rsid w:val="00AE1F5D"/>
    <w:rsid w:val="00AE206C"/>
    <w:rsid w:val="00AE20F3"/>
    <w:rsid w:val="00AE20F6"/>
    <w:rsid w:val="00AE21DC"/>
    <w:rsid w:val="00AE21FA"/>
    <w:rsid w:val="00AE22C5"/>
    <w:rsid w:val="00AE23B0"/>
    <w:rsid w:val="00AE23CC"/>
    <w:rsid w:val="00AE23D8"/>
    <w:rsid w:val="00AE2404"/>
    <w:rsid w:val="00AE24CC"/>
    <w:rsid w:val="00AE261E"/>
    <w:rsid w:val="00AE2639"/>
    <w:rsid w:val="00AE2767"/>
    <w:rsid w:val="00AE278E"/>
    <w:rsid w:val="00AE2792"/>
    <w:rsid w:val="00AE285A"/>
    <w:rsid w:val="00AE28B8"/>
    <w:rsid w:val="00AE2901"/>
    <w:rsid w:val="00AE2932"/>
    <w:rsid w:val="00AE2999"/>
    <w:rsid w:val="00AE2A25"/>
    <w:rsid w:val="00AE2B2C"/>
    <w:rsid w:val="00AE2B35"/>
    <w:rsid w:val="00AE2BD3"/>
    <w:rsid w:val="00AE2C8B"/>
    <w:rsid w:val="00AE2DA1"/>
    <w:rsid w:val="00AE2DB8"/>
    <w:rsid w:val="00AE2DC2"/>
    <w:rsid w:val="00AE2E17"/>
    <w:rsid w:val="00AE2E5F"/>
    <w:rsid w:val="00AE2E81"/>
    <w:rsid w:val="00AE2E8A"/>
    <w:rsid w:val="00AE2FA2"/>
    <w:rsid w:val="00AE2FCF"/>
    <w:rsid w:val="00AE30C0"/>
    <w:rsid w:val="00AE3161"/>
    <w:rsid w:val="00AE321D"/>
    <w:rsid w:val="00AE3257"/>
    <w:rsid w:val="00AE3267"/>
    <w:rsid w:val="00AE3278"/>
    <w:rsid w:val="00AE32AA"/>
    <w:rsid w:val="00AE33A9"/>
    <w:rsid w:val="00AE3412"/>
    <w:rsid w:val="00AE3522"/>
    <w:rsid w:val="00AE3562"/>
    <w:rsid w:val="00AE37E2"/>
    <w:rsid w:val="00AE386B"/>
    <w:rsid w:val="00AE389C"/>
    <w:rsid w:val="00AE38A3"/>
    <w:rsid w:val="00AE3970"/>
    <w:rsid w:val="00AE39E1"/>
    <w:rsid w:val="00AE3A08"/>
    <w:rsid w:val="00AE3A6A"/>
    <w:rsid w:val="00AE3B40"/>
    <w:rsid w:val="00AE3B9C"/>
    <w:rsid w:val="00AE3BBE"/>
    <w:rsid w:val="00AE3C40"/>
    <w:rsid w:val="00AE3D8C"/>
    <w:rsid w:val="00AE3F57"/>
    <w:rsid w:val="00AE4063"/>
    <w:rsid w:val="00AE4080"/>
    <w:rsid w:val="00AE41EE"/>
    <w:rsid w:val="00AE4247"/>
    <w:rsid w:val="00AE42D5"/>
    <w:rsid w:val="00AE439A"/>
    <w:rsid w:val="00AE45EB"/>
    <w:rsid w:val="00AE46DD"/>
    <w:rsid w:val="00AE473A"/>
    <w:rsid w:val="00AE4767"/>
    <w:rsid w:val="00AE479D"/>
    <w:rsid w:val="00AE479E"/>
    <w:rsid w:val="00AE47EE"/>
    <w:rsid w:val="00AE489F"/>
    <w:rsid w:val="00AE4B14"/>
    <w:rsid w:val="00AE4CB5"/>
    <w:rsid w:val="00AE4CC6"/>
    <w:rsid w:val="00AE4DD7"/>
    <w:rsid w:val="00AE4F25"/>
    <w:rsid w:val="00AE4F2C"/>
    <w:rsid w:val="00AE50B1"/>
    <w:rsid w:val="00AE515C"/>
    <w:rsid w:val="00AE5183"/>
    <w:rsid w:val="00AE5213"/>
    <w:rsid w:val="00AE5227"/>
    <w:rsid w:val="00AE52C4"/>
    <w:rsid w:val="00AE5405"/>
    <w:rsid w:val="00AE5490"/>
    <w:rsid w:val="00AE5625"/>
    <w:rsid w:val="00AE5693"/>
    <w:rsid w:val="00AE5754"/>
    <w:rsid w:val="00AE583B"/>
    <w:rsid w:val="00AE586D"/>
    <w:rsid w:val="00AE58A7"/>
    <w:rsid w:val="00AE5915"/>
    <w:rsid w:val="00AE595D"/>
    <w:rsid w:val="00AE5B09"/>
    <w:rsid w:val="00AE5CB1"/>
    <w:rsid w:val="00AE5D03"/>
    <w:rsid w:val="00AE5D6F"/>
    <w:rsid w:val="00AE5DCA"/>
    <w:rsid w:val="00AE5E21"/>
    <w:rsid w:val="00AE5E9E"/>
    <w:rsid w:val="00AE5F68"/>
    <w:rsid w:val="00AE60AD"/>
    <w:rsid w:val="00AE6103"/>
    <w:rsid w:val="00AE6106"/>
    <w:rsid w:val="00AE6187"/>
    <w:rsid w:val="00AE61F5"/>
    <w:rsid w:val="00AE63CB"/>
    <w:rsid w:val="00AE63E1"/>
    <w:rsid w:val="00AE6418"/>
    <w:rsid w:val="00AE643C"/>
    <w:rsid w:val="00AE654E"/>
    <w:rsid w:val="00AE65FD"/>
    <w:rsid w:val="00AE66F9"/>
    <w:rsid w:val="00AE684A"/>
    <w:rsid w:val="00AE696D"/>
    <w:rsid w:val="00AE6973"/>
    <w:rsid w:val="00AE6989"/>
    <w:rsid w:val="00AE6993"/>
    <w:rsid w:val="00AE6A12"/>
    <w:rsid w:val="00AE6C3A"/>
    <w:rsid w:val="00AE6D8F"/>
    <w:rsid w:val="00AE6DBA"/>
    <w:rsid w:val="00AE6E5B"/>
    <w:rsid w:val="00AE6EA9"/>
    <w:rsid w:val="00AE6F5C"/>
    <w:rsid w:val="00AE7025"/>
    <w:rsid w:val="00AE7162"/>
    <w:rsid w:val="00AE717E"/>
    <w:rsid w:val="00AE71C5"/>
    <w:rsid w:val="00AE7238"/>
    <w:rsid w:val="00AE731E"/>
    <w:rsid w:val="00AE7415"/>
    <w:rsid w:val="00AE7424"/>
    <w:rsid w:val="00AE748F"/>
    <w:rsid w:val="00AE7598"/>
    <w:rsid w:val="00AE761A"/>
    <w:rsid w:val="00AE7622"/>
    <w:rsid w:val="00AE76A1"/>
    <w:rsid w:val="00AE76E1"/>
    <w:rsid w:val="00AE781D"/>
    <w:rsid w:val="00AE787C"/>
    <w:rsid w:val="00AE78B0"/>
    <w:rsid w:val="00AE78B7"/>
    <w:rsid w:val="00AE78FF"/>
    <w:rsid w:val="00AE792E"/>
    <w:rsid w:val="00AE794A"/>
    <w:rsid w:val="00AE7A20"/>
    <w:rsid w:val="00AE7A8B"/>
    <w:rsid w:val="00AE7A92"/>
    <w:rsid w:val="00AE7B15"/>
    <w:rsid w:val="00AE7BAE"/>
    <w:rsid w:val="00AE7D00"/>
    <w:rsid w:val="00AE7D1F"/>
    <w:rsid w:val="00AE7DD5"/>
    <w:rsid w:val="00AE7E4B"/>
    <w:rsid w:val="00AE7EC1"/>
    <w:rsid w:val="00AE7FD5"/>
    <w:rsid w:val="00AF0130"/>
    <w:rsid w:val="00AF0137"/>
    <w:rsid w:val="00AF0290"/>
    <w:rsid w:val="00AF02AE"/>
    <w:rsid w:val="00AF03CB"/>
    <w:rsid w:val="00AF0447"/>
    <w:rsid w:val="00AF0473"/>
    <w:rsid w:val="00AF049B"/>
    <w:rsid w:val="00AF04FA"/>
    <w:rsid w:val="00AF05B0"/>
    <w:rsid w:val="00AF05B4"/>
    <w:rsid w:val="00AF05C4"/>
    <w:rsid w:val="00AF0603"/>
    <w:rsid w:val="00AF0742"/>
    <w:rsid w:val="00AF0A51"/>
    <w:rsid w:val="00AF0A75"/>
    <w:rsid w:val="00AF0A88"/>
    <w:rsid w:val="00AF0AE0"/>
    <w:rsid w:val="00AF0B4F"/>
    <w:rsid w:val="00AF0B80"/>
    <w:rsid w:val="00AF0BB8"/>
    <w:rsid w:val="00AF0BE7"/>
    <w:rsid w:val="00AF0C1C"/>
    <w:rsid w:val="00AF0CEB"/>
    <w:rsid w:val="00AF0CEF"/>
    <w:rsid w:val="00AF0D09"/>
    <w:rsid w:val="00AF0D42"/>
    <w:rsid w:val="00AF0D50"/>
    <w:rsid w:val="00AF0D69"/>
    <w:rsid w:val="00AF0DE8"/>
    <w:rsid w:val="00AF1063"/>
    <w:rsid w:val="00AF13F0"/>
    <w:rsid w:val="00AF1530"/>
    <w:rsid w:val="00AF1559"/>
    <w:rsid w:val="00AF15A4"/>
    <w:rsid w:val="00AF15B8"/>
    <w:rsid w:val="00AF1666"/>
    <w:rsid w:val="00AF17E2"/>
    <w:rsid w:val="00AF1873"/>
    <w:rsid w:val="00AF189C"/>
    <w:rsid w:val="00AF1A29"/>
    <w:rsid w:val="00AF1BA3"/>
    <w:rsid w:val="00AF1BAD"/>
    <w:rsid w:val="00AF1DFD"/>
    <w:rsid w:val="00AF1E4F"/>
    <w:rsid w:val="00AF1EE3"/>
    <w:rsid w:val="00AF1FBD"/>
    <w:rsid w:val="00AF2030"/>
    <w:rsid w:val="00AF204E"/>
    <w:rsid w:val="00AF20AD"/>
    <w:rsid w:val="00AF218E"/>
    <w:rsid w:val="00AF223D"/>
    <w:rsid w:val="00AF22C5"/>
    <w:rsid w:val="00AF2339"/>
    <w:rsid w:val="00AF235B"/>
    <w:rsid w:val="00AF240C"/>
    <w:rsid w:val="00AF249D"/>
    <w:rsid w:val="00AF24AA"/>
    <w:rsid w:val="00AF258B"/>
    <w:rsid w:val="00AF26C3"/>
    <w:rsid w:val="00AF2745"/>
    <w:rsid w:val="00AF27A2"/>
    <w:rsid w:val="00AF2803"/>
    <w:rsid w:val="00AF287D"/>
    <w:rsid w:val="00AF2A34"/>
    <w:rsid w:val="00AF2A70"/>
    <w:rsid w:val="00AF2AD3"/>
    <w:rsid w:val="00AF2B72"/>
    <w:rsid w:val="00AF2B90"/>
    <w:rsid w:val="00AF2BFB"/>
    <w:rsid w:val="00AF2C22"/>
    <w:rsid w:val="00AF2CFA"/>
    <w:rsid w:val="00AF2E58"/>
    <w:rsid w:val="00AF2E5E"/>
    <w:rsid w:val="00AF2EB7"/>
    <w:rsid w:val="00AF2EC2"/>
    <w:rsid w:val="00AF2F64"/>
    <w:rsid w:val="00AF311A"/>
    <w:rsid w:val="00AF32A2"/>
    <w:rsid w:val="00AF3312"/>
    <w:rsid w:val="00AF3383"/>
    <w:rsid w:val="00AF350E"/>
    <w:rsid w:val="00AF353F"/>
    <w:rsid w:val="00AF375E"/>
    <w:rsid w:val="00AF3772"/>
    <w:rsid w:val="00AF3781"/>
    <w:rsid w:val="00AF3803"/>
    <w:rsid w:val="00AF397E"/>
    <w:rsid w:val="00AF3A95"/>
    <w:rsid w:val="00AF3BC9"/>
    <w:rsid w:val="00AF3BD4"/>
    <w:rsid w:val="00AF3C0C"/>
    <w:rsid w:val="00AF3D50"/>
    <w:rsid w:val="00AF3D5E"/>
    <w:rsid w:val="00AF3D6C"/>
    <w:rsid w:val="00AF3D89"/>
    <w:rsid w:val="00AF3D93"/>
    <w:rsid w:val="00AF3E82"/>
    <w:rsid w:val="00AF3F9A"/>
    <w:rsid w:val="00AF3FE8"/>
    <w:rsid w:val="00AF4068"/>
    <w:rsid w:val="00AF407F"/>
    <w:rsid w:val="00AF413E"/>
    <w:rsid w:val="00AF41FA"/>
    <w:rsid w:val="00AF42D0"/>
    <w:rsid w:val="00AF4303"/>
    <w:rsid w:val="00AF43AB"/>
    <w:rsid w:val="00AF43CC"/>
    <w:rsid w:val="00AF45C0"/>
    <w:rsid w:val="00AF45DA"/>
    <w:rsid w:val="00AF46AE"/>
    <w:rsid w:val="00AF46D2"/>
    <w:rsid w:val="00AF46F9"/>
    <w:rsid w:val="00AF4806"/>
    <w:rsid w:val="00AF484D"/>
    <w:rsid w:val="00AF48D2"/>
    <w:rsid w:val="00AF491B"/>
    <w:rsid w:val="00AF49DA"/>
    <w:rsid w:val="00AF4A70"/>
    <w:rsid w:val="00AF4B57"/>
    <w:rsid w:val="00AF4B83"/>
    <w:rsid w:val="00AF4C06"/>
    <w:rsid w:val="00AF4CA3"/>
    <w:rsid w:val="00AF4D21"/>
    <w:rsid w:val="00AF4E5A"/>
    <w:rsid w:val="00AF4E63"/>
    <w:rsid w:val="00AF4E93"/>
    <w:rsid w:val="00AF501C"/>
    <w:rsid w:val="00AF5046"/>
    <w:rsid w:val="00AF5050"/>
    <w:rsid w:val="00AF5120"/>
    <w:rsid w:val="00AF514E"/>
    <w:rsid w:val="00AF51B5"/>
    <w:rsid w:val="00AF560C"/>
    <w:rsid w:val="00AF566D"/>
    <w:rsid w:val="00AF567E"/>
    <w:rsid w:val="00AF5694"/>
    <w:rsid w:val="00AF56AD"/>
    <w:rsid w:val="00AF5721"/>
    <w:rsid w:val="00AF5758"/>
    <w:rsid w:val="00AF578C"/>
    <w:rsid w:val="00AF589E"/>
    <w:rsid w:val="00AF5945"/>
    <w:rsid w:val="00AF5ACA"/>
    <w:rsid w:val="00AF5B53"/>
    <w:rsid w:val="00AF5CBB"/>
    <w:rsid w:val="00AF5CC8"/>
    <w:rsid w:val="00AF5DA6"/>
    <w:rsid w:val="00AF5DBE"/>
    <w:rsid w:val="00AF5E3C"/>
    <w:rsid w:val="00AF5F4D"/>
    <w:rsid w:val="00AF5F95"/>
    <w:rsid w:val="00AF5FBE"/>
    <w:rsid w:val="00AF6017"/>
    <w:rsid w:val="00AF603D"/>
    <w:rsid w:val="00AF6097"/>
    <w:rsid w:val="00AF6098"/>
    <w:rsid w:val="00AF60D8"/>
    <w:rsid w:val="00AF6225"/>
    <w:rsid w:val="00AF62D0"/>
    <w:rsid w:val="00AF62F4"/>
    <w:rsid w:val="00AF6326"/>
    <w:rsid w:val="00AF6372"/>
    <w:rsid w:val="00AF6540"/>
    <w:rsid w:val="00AF6577"/>
    <w:rsid w:val="00AF65DD"/>
    <w:rsid w:val="00AF66E4"/>
    <w:rsid w:val="00AF67F4"/>
    <w:rsid w:val="00AF682F"/>
    <w:rsid w:val="00AF6848"/>
    <w:rsid w:val="00AF6BCB"/>
    <w:rsid w:val="00AF6BF0"/>
    <w:rsid w:val="00AF6C06"/>
    <w:rsid w:val="00AF6C0F"/>
    <w:rsid w:val="00AF6C14"/>
    <w:rsid w:val="00AF6C3C"/>
    <w:rsid w:val="00AF6C4D"/>
    <w:rsid w:val="00AF6E14"/>
    <w:rsid w:val="00AF6E5E"/>
    <w:rsid w:val="00AF6FAD"/>
    <w:rsid w:val="00AF7037"/>
    <w:rsid w:val="00AF706D"/>
    <w:rsid w:val="00AF70A3"/>
    <w:rsid w:val="00AF7170"/>
    <w:rsid w:val="00AF71DC"/>
    <w:rsid w:val="00AF71EC"/>
    <w:rsid w:val="00AF72FB"/>
    <w:rsid w:val="00AF732F"/>
    <w:rsid w:val="00AF73DB"/>
    <w:rsid w:val="00AF74E1"/>
    <w:rsid w:val="00AF7691"/>
    <w:rsid w:val="00AF76BD"/>
    <w:rsid w:val="00AF7717"/>
    <w:rsid w:val="00AF7857"/>
    <w:rsid w:val="00AF785E"/>
    <w:rsid w:val="00AF78CA"/>
    <w:rsid w:val="00AF7BFA"/>
    <w:rsid w:val="00AF7CEF"/>
    <w:rsid w:val="00AF7D23"/>
    <w:rsid w:val="00AF7DB0"/>
    <w:rsid w:val="00AF7DE1"/>
    <w:rsid w:val="00AF7E58"/>
    <w:rsid w:val="00AF7E5B"/>
    <w:rsid w:val="00AF7EB4"/>
    <w:rsid w:val="00AF7F0A"/>
    <w:rsid w:val="00AF7FF6"/>
    <w:rsid w:val="00B000B8"/>
    <w:rsid w:val="00B000DA"/>
    <w:rsid w:val="00B002C3"/>
    <w:rsid w:val="00B004A0"/>
    <w:rsid w:val="00B004A3"/>
    <w:rsid w:val="00B00534"/>
    <w:rsid w:val="00B006C2"/>
    <w:rsid w:val="00B0075F"/>
    <w:rsid w:val="00B007D4"/>
    <w:rsid w:val="00B00840"/>
    <w:rsid w:val="00B00869"/>
    <w:rsid w:val="00B0089A"/>
    <w:rsid w:val="00B0089F"/>
    <w:rsid w:val="00B00966"/>
    <w:rsid w:val="00B00B1E"/>
    <w:rsid w:val="00B00B4D"/>
    <w:rsid w:val="00B00BA7"/>
    <w:rsid w:val="00B00BDC"/>
    <w:rsid w:val="00B00EB0"/>
    <w:rsid w:val="00B00F1F"/>
    <w:rsid w:val="00B00F26"/>
    <w:rsid w:val="00B00F48"/>
    <w:rsid w:val="00B01083"/>
    <w:rsid w:val="00B0110A"/>
    <w:rsid w:val="00B01224"/>
    <w:rsid w:val="00B01244"/>
    <w:rsid w:val="00B0127F"/>
    <w:rsid w:val="00B012B9"/>
    <w:rsid w:val="00B012C7"/>
    <w:rsid w:val="00B0131F"/>
    <w:rsid w:val="00B01347"/>
    <w:rsid w:val="00B01411"/>
    <w:rsid w:val="00B014BF"/>
    <w:rsid w:val="00B014DE"/>
    <w:rsid w:val="00B0163D"/>
    <w:rsid w:val="00B01687"/>
    <w:rsid w:val="00B016C7"/>
    <w:rsid w:val="00B01711"/>
    <w:rsid w:val="00B01764"/>
    <w:rsid w:val="00B017C0"/>
    <w:rsid w:val="00B01A4B"/>
    <w:rsid w:val="00B01A66"/>
    <w:rsid w:val="00B01ADB"/>
    <w:rsid w:val="00B01AFC"/>
    <w:rsid w:val="00B01B75"/>
    <w:rsid w:val="00B01B8B"/>
    <w:rsid w:val="00B01BCD"/>
    <w:rsid w:val="00B01C71"/>
    <w:rsid w:val="00B01ED9"/>
    <w:rsid w:val="00B02093"/>
    <w:rsid w:val="00B020C0"/>
    <w:rsid w:val="00B02159"/>
    <w:rsid w:val="00B022A3"/>
    <w:rsid w:val="00B02324"/>
    <w:rsid w:val="00B02366"/>
    <w:rsid w:val="00B024AA"/>
    <w:rsid w:val="00B0250C"/>
    <w:rsid w:val="00B0269F"/>
    <w:rsid w:val="00B027B3"/>
    <w:rsid w:val="00B02804"/>
    <w:rsid w:val="00B02939"/>
    <w:rsid w:val="00B02A07"/>
    <w:rsid w:val="00B02A14"/>
    <w:rsid w:val="00B02A31"/>
    <w:rsid w:val="00B02B02"/>
    <w:rsid w:val="00B02CC3"/>
    <w:rsid w:val="00B02D19"/>
    <w:rsid w:val="00B02D89"/>
    <w:rsid w:val="00B02E0D"/>
    <w:rsid w:val="00B02E18"/>
    <w:rsid w:val="00B02EDA"/>
    <w:rsid w:val="00B03067"/>
    <w:rsid w:val="00B030FC"/>
    <w:rsid w:val="00B03128"/>
    <w:rsid w:val="00B03195"/>
    <w:rsid w:val="00B033B9"/>
    <w:rsid w:val="00B033E5"/>
    <w:rsid w:val="00B03438"/>
    <w:rsid w:val="00B035F8"/>
    <w:rsid w:val="00B03608"/>
    <w:rsid w:val="00B0372A"/>
    <w:rsid w:val="00B037AC"/>
    <w:rsid w:val="00B03884"/>
    <w:rsid w:val="00B038A3"/>
    <w:rsid w:val="00B038F6"/>
    <w:rsid w:val="00B039D6"/>
    <w:rsid w:val="00B03A05"/>
    <w:rsid w:val="00B03A42"/>
    <w:rsid w:val="00B03B13"/>
    <w:rsid w:val="00B03B4D"/>
    <w:rsid w:val="00B03B63"/>
    <w:rsid w:val="00B03B75"/>
    <w:rsid w:val="00B03B84"/>
    <w:rsid w:val="00B03BCD"/>
    <w:rsid w:val="00B03BF6"/>
    <w:rsid w:val="00B03C49"/>
    <w:rsid w:val="00B03CA6"/>
    <w:rsid w:val="00B03D8F"/>
    <w:rsid w:val="00B03DD4"/>
    <w:rsid w:val="00B03EE7"/>
    <w:rsid w:val="00B03FD5"/>
    <w:rsid w:val="00B0403D"/>
    <w:rsid w:val="00B042CB"/>
    <w:rsid w:val="00B0434E"/>
    <w:rsid w:val="00B04375"/>
    <w:rsid w:val="00B04505"/>
    <w:rsid w:val="00B0464E"/>
    <w:rsid w:val="00B0470A"/>
    <w:rsid w:val="00B04781"/>
    <w:rsid w:val="00B04799"/>
    <w:rsid w:val="00B04AB9"/>
    <w:rsid w:val="00B04CD0"/>
    <w:rsid w:val="00B04D21"/>
    <w:rsid w:val="00B04DC2"/>
    <w:rsid w:val="00B04E35"/>
    <w:rsid w:val="00B04E60"/>
    <w:rsid w:val="00B04E73"/>
    <w:rsid w:val="00B04EC4"/>
    <w:rsid w:val="00B04EF2"/>
    <w:rsid w:val="00B04F24"/>
    <w:rsid w:val="00B04F2C"/>
    <w:rsid w:val="00B04F50"/>
    <w:rsid w:val="00B04FC3"/>
    <w:rsid w:val="00B0502D"/>
    <w:rsid w:val="00B051D4"/>
    <w:rsid w:val="00B051EE"/>
    <w:rsid w:val="00B05315"/>
    <w:rsid w:val="00B05323"/>
    <w:rsid w:val="00B0535A"/>
    <w:rsid w:val="00B053BD"/>
    <w:rsid w:val="00B055D6"/>
    <w:rsid w:val="00B0561E"/>
    <w:rsid w:val="00B0564E"/>
    <w:rsid w:val="00B0574F"/>
    <w:rsid w:val="00B057A4"/>
    <w:rsid w:val="00B057B2"/>
    <w:rsid w:val="00B057C7"/>
    <w:rsid w:val="00B057EF"/>
    <w:rsid w:val="00B0582C"/>
    <w:rsid w:val="00B058D2"/>
    <w:rsid w:val="00B058E6"/>
    <w:rsid w:val="00B05909"/>
    <w:rsid w:val="00B059A1"/>
    <w:rsid w:val="00B059EE"/>
    <w:rsid w:val="00B05A2F"/>
    <w:rsid w:val="00B05A5B"/>
    <w:rsid w:val="00B05B17"/>
    <w:rsid w:val="00B05BCE"/>
    <w:rsid w:val="00B05BF9"/>
    <w:rsid w:val="00B05DF0"/>
    <w:rsid w:val="00B05EFC"/>
    <w:rsid w:val="00B05F19"/>
    <w:rsid w:val="00B05FE7"/>
    <w:rsid w:val="00B060BA"/>
    <w:rsid w:val="00B06234"/>
    <w:rsid w:val="00B062F7"/>
    <w:rsid w:val="00B06307"/>
    <w:rsid w:val="00B06394"/>
    <w:rsid w:val="00B063FD"/>
    <w:rsid w:val="00B0649B"/>
    <w:rsid w:val="00B064BC"/>
    <w:rsid w:val="00B065D0"/>
    <w:rsid w:val="00B067D7"/>
    <w:rsid w:val="00B067E8"/>
    <w:rsid w:val="00B06A2C"/>
    <w:rsid w:val="00B06B55"/>
    <w:rsid w:val="00B06BA1"/>
    <w:rsid w:val="00B06BE4"/>
    <w:rsid w:val="00B06C37"/>
    <w:rsid w:val="00B06C95"/>
    <w:rsid w:val="00B06DAE"/>
    <w:rsid w:val="00B06E51"/>
    <w:rsid w:val="00B06FE3"/>
    <w:rsid w:val="00B0704D"/>
    <w:rsid w:val="00B07076"/>
    <w:rsid w:val="00B0709F"/>
    <w:rsid w:val="00B070D2"/>
    <w:rsid w:val="00B07113"/>
    <w:rsid w:val="00B07119"/>
    <w:rsid w:val="00B07180"/>
    <w:rsid w:val="00B071CC"/>
    <w:rsid w:val="00B0721D"/>
    <w:rsid w:val="00B07283"/>
    <w:rsid w:val="00B072A7"/>
    <w:rsid w:val="00B072C7"/>
    <w:rsid w:val="00B0734A"/>
    <w:rsid w:val="00B0744C"/>
    <w:rsid w:val="00B074ED"/>
    <w:rsid w:val="00B07534"/>
    <w:rsid w:val="00B07553"/>
    <w:rsid w:val="00B078B0"/>
    <w:rsid w:val="00B079E5"/>
    <w:rsid w:val="00B07A60"/>
    <w:rsid w:val="00B07A7B"/>
    <w:rsid w:val="00B07B28"/>
    <w:rsid w:val="00B07B78"/>
    <w:rsid w:val="00B07D05"/>
    <w:rsid w:val="00B07E49"/>
    <w:rsid w:val="00B07E71"/>
    <w:rsid w:val="00B07F0D"/>
    <w:rsid w:val="00B07F26"/>
    <w:rsid w:val="00B07F66"/>
    <w:rsid w:val="00B1001A"/>
    <w:rsid w:val="00B1003F"/>
    <w:rsid w:val="00B1008E"/>
    <w:rsid w:val="00B100DB"/>
    <w:rsid w:val="00B10153"/>
    <w:rsid w:val="00B101A8"/>
    <w:rsid w:val="00B10262"/>
    <w:rsid w:val="00B10284"/>
    <w:rsid w:val="00B103A7"/>
    <w:rsid w:val="00B103F8"/>
    <w:rsid w:val="00B10485"/>
    <w:rsid w:val="00B104E3"/>
    <w:rsid w:val="00B10534"/>
    <w:rsid w:val="00B1074A"/>
    <w:rsid w:val="00B10872"/>
    <w:rsid w:val="00B1092F"/>
    <w:rsid w:val="00B10A6D"/>
    <w:rsid w:val="00B10AB7"/>
    <w:rsid w:val="00B10AD4"/>
    <w:rsid w:val="00B10BF1"/>
    <w:rsid w:val="00B10CEA"/>
    <w:rsid w:val="00B10CED"/>
    <w:rsid w:val="00B10D7A"/>
    <w:rsid w:val="00B10E8D"/>
    <w:rsid w:val="00B10FDA"/>
    <w:rsid w:val="00B10FF7"/>
    <w:rsid w:val="00B1107D"/>
    <w:rsid w:val="00B1109C"/>
    <w:rsid w:val="00B11106"/>
    <w:rsid w:val="00B11141"/>
    <w:rsid w:val="00B11178"/>
    <w:rsid w:val="00B1119B"/>
    <w:rsid w:val="00B111BF"/>
    <w:rsid w:val="00B11306"/>
    <w:rsid w:val="00B11318"/>
    <w:rsid w:val="00B11504"/>
    <w:rsid w:val="00B1155E"/>
    <w:rsid w:val="00B1166C"/>
    <w:rsid w:val="00B1172A"/>
    <w:rsid w:val="00B11799"/>
    <w:rsid w:val="00B11847"/>
    <w:rsid w:val="00B118C4"/>
    <w:rsid w:val="00B1192A"/>
    <w:rsid w:val="00B11A6D"/>
    <w:rsid w:val="00B11AF0"/>
    <w:rsid w:val="00B11C76"/>
    <w:rsid w:val="00B11D08"/>
    <w:rsid w:val="00B11D34"/>
    <w:rsid w:val="00B11F0D"/>
    <w:rsid w:val="00B11F25"/>
    <w:rsid w:val="00B11F87"/>
    <w:rsid w:val="00B11F8A"/>
    <w:rsid w:val="00B11F9B"/>
    <w:rsid w:val="00B121B0"/>
    <w:rsid w:val="00B121C9"/>
    <w:rsid w:val="00B121CE"/>
    <w:rsid w:val="00B12207"/>
    <w:rsid w:val="00B1233B"/>
    <w:rsid w:val="00B12344"/>
    <w:rsid w:val="00B1237F"/>
    <w:rsid w:val="00B12477"/>
    <w:rsid w:val="00B1249A"/>
    <w:rsid w:val="00B12589"/>
    <w:rsid w:val="00B125B2"/>
    <w:rsid w:val="00B12610"/>
    <w:rsid w:val="00B12647"/>
    <w:rsid w:val="00B12718"/>
    <w:rsid w:val="00B12819"/>
    <w:rsid w:val="00B12826"/>
    <w:rsid w:val="00B12843"/>
    <w:rsid w:val="00B12898"/>
    <w:rsid w:val="00B1291C"/>
    <w:rsid w:val="00B1292F"/>
    <w:rsid w:val="00B1293B"/>
    <w:rsid w:val="00B1298B"/>
    <w:rsid w:val="00B12B9D"/>
    <w:rsid w:val="00B12C48"/>
    <w:rsid w:val="00B12C64"/>
    <w:rsid w:val="00B12E83"/>
    <w:rsid w:val="00B12EC0"/>
    <w:rsid w:val="00B12FAA"/>
    <w:rsid w:val="00B12FC3"/>
    <w:rsid w:val="00B12FF9"/>
    <w:rsid w:val="00B1302A"/>
    <w:rsid w:val="00B130DC"/>
    <w:rsid w:val="00B1317D"/>
    <w:rsid w:val="00B131B5"/>
    <w:rsid w:val="00B1336F"/>
    <w:rsid w:val="00B133F1"/>
    <w:rsid w:val="00B13673"/>
    <w:rsid w:val="00B13706"/>
    <w:rsid w:val="00B1374C"/>
    <w:rsid w:val="00B1375C"/>
    <w:rsid w:val="00B13795"/>
    <w:rsid w:val="00B1380C"/>
    <w:rsid w:val="00B13931"/>
    <w:rsid w:val="00B13934"/>
    <w:rsid w:val="00B13989"/>
    <w:rsid w:val="00B13A0D"/>
    <w:rsid w:val="00B13A18"/>
    <w:rsid w:val="00B13A94"/>
    <w:rsid w:val="00B13B17"/>
    <w:rsid w:val="00B13B18"/>
    <w:rsid w:val="00B13BB5"/>
    <w:rsid w:val="00B13C98"/>
    <w:rsid w:val="00B13CE9"/>
    <w:rsid w:val="00B13E42"/>
    <w:rsid w:val="00B13EAB"/>
    <w:rsid w:val="00B13F68"/>
    <w:rsid w:val="00B141B4"/>
    <w:rsid w:val="00B1423D"/>
    <w:rsid w:val="00B142F9"/>
    <w:rsid w:val="00B14474"/>
    <w:rsid w:val="00B14532"/>
    <w:rsid w:val="00B145B3"/>
    <w:rsid w:val="00B145DD"/>
    <w:rsid w:val="00B145F7"/>
    <w:rsid w:val="00B146F9"/>
    <w:rsid w:val="00B14846"/>
    <w:rsid w:val="00B1489C"/>
    <w:rsid w:val="00B148A5"/>
    <w:rsid w:val="00B14928"/>
    <w:rsid w:val="00B149A3"/>
    <w:rsid w:val="00B149BB"/>
    <w:rsid w:val="00B14B79"/>
    <w:rsid w:val="00B14C5F"/>
    <w:rsid w:val="00B14DC1"/>
    <w:rsid w:val="00B14ED5"/>
    <w:rsid w:val="00B14F80"/>
    <w:rsid w:val="00B14FC6"/>
    <w:rsid w:val="00B15010"/>
    <w:rsid w:val="00B1503A"/>
    <w:rsid w:val="00B15113"/>
    <w:rsid w:val="00B152A0"/>
    <w:rsid w:val="00B152F1"/>
    <w:rsid w:val="00B153D7"/>
    <w:rsid w:val="00B15470"/>
    <w:rsid w:val="00B154CC"/>
    <w:rsid w:val="00B15627"/>
    <w:rsid w:val="00B15776"/>
    <w:rsid w:val="00B157A1"/>
    <w:rsid w:val="00B157AD"/>
    <w:rsid w:val="00B158D5"/>
    <w:rsid w:val="00B158F8"/>
    <w:rsid w:val="00B1591F"/>
    <w:rsid w:val="00B15A82"/>
    <w:rsid w:val="00B15AF9"/>
    <w:rsid w:val="00B15B15"/>
    <w:rsid w:val="00B15B32"/>
    <w:rsid w:val="00B15B45"/>
    <w:rsid w:val="00B15C62"/>
    <w:rsid w:val="00B15DDD"/>
    <w:rsid w:val="00B15E93"/>
    <w:rsid w:val="00B15EC0"/>
    <w:rsid w:val="00B15ED3"/>
    <w:rsid w:val="00B15F14"/>
    <w:rsid w:val="00B15F65"/>
    <w:rsid w:val="00B1601C"/>
    <w:rsid w:val="00B16033"/>
    <w:rsid w:val="00B160F7"/>
    <w:rsid w:val="00B16129"/>
    <w:rsid w:val="00B16170"/>
    <w:rsid w:val="00B162CB"/>
    <w:rsid w:val="00B16368"/>
    <w:rsid w:val="00B1641F"/>
    <w:rsid w:val="00B164EF"/>
    <w:rsid w:val="00B1657B"/>
    <w:rsid w:val="00B1664F"/>
    <w:rsid w:val="00B16679"/>
    <w:rsid w:val="00B166A1"/>
    <w:rsid w:val="00B166F2"/>
    <w:rsid w:val="00B1673D"/>
    <w:rsid w:val="00B16749"/>
    <w:rsid w:val="00B167CF"/>
    <w:rsid w:val="00B16808"/>
    <w:rsid w:val="00B1680D"/>
    <w:rsid w:val="00B16881"/>
    <w:rsid w:val="00B169DE"/>
    <w:rsid w:val="00B16B48"/>
    <w:rsid w:val="00B16C36"/>
    <w:rsid w:val="00B16C83"/>
    <w:rsid w:val="00B16CBD"/>
    <w:rsid w:val="00B16D8F"/>
    <w:rsid w:val="00B16E5D"/>
    <w:rsid w:val="00B16F55"/>
    <w:rsid w:val="00B17010"/>
    <w:rsid w:val="00B17106"/>
    <w:rsid w:val="00B1713D"/>
    <w:rsid w:val="00B17233"/>
    <w:rsid w:val="00B17308"/>
    <w:rsid w:val="00B173D1"/>
    <w:rsid w:val="00B17454"/>
    <w:rsid w:val="00B174F9"/>
    <w:rsid w:val="00B17575"/>
    <w:rsid w:val="00B1758D"/>
    <w:rsid w:val="00B17597"/>
    <w:rsid w:val="00B176A7"/>
    <w:rsid w:val="00B1773A"/>
    <w:rsid w:val="00B17805"/>
    <w:rsid w:val="00B17A3C"/>
    <w:rsid w:val="00B17B2C"/>
    <w:rsid w:val="00B17B71"/>
    <w:rsid w:val="00B17D68"/>
    <w:rsid w:val="00B17ED9"/>
    <w:rsid w:val="00B200D2"/>
    <w:rsid w:val="00B2012D"/>
    <w:rsid w:val="00B203CC"/>
    <w:rsid w:val="00B20478"/>
    <w:rsid w:val="00B204F2"/>
    <w:rsid w:val="00B2059E"/>
    <w:rsid w:val="00B2078D"/>
    <w:rsid w:val="00B207F2"/>
    <w:rsid w:val="00B2083E"/>
    <w:rsid w:val="00B208D4"/>
    <w:rsid w:val="00B2094A"/>
    <w:rsid w:val="00B209C3"/>
    <w:rsid w:val="00B209DA"/>
    <w:rsid w:val="00B20A1C"/>
    <w:rsid w:val="00B20A9E"/>
    <w:rsid w:val="00B20AAF"/>
    <w:rsid w:val="00B20AC5"/>
    <w:rsid w:val="00B20B62"/>
    <w:rsid w:val="00B20B65"/>
    <w:rsid w:val="00B20C49"/>
    <w:rsid w:val="00B20C4C"/>
    <w:rsid w:val="00B20E12"/>
    <w:rsid w:val="00B20E7B"/>
    <w:rsid w:val="00B20EE0"/>
    <w:rsid w:val="00B21047"/>
    <w:rsid w:val="00B210D6"/>
    <w:rsid w:val="00B21106"/>
    <w:rsid w:val="00B21108"/>
    <w:rsid w:val="00B2116A"/>
    <w:rsid w:val="00B2117A"/>
    <w:rsid w:val="00B21244"/>
    <w:rsid w:val="00B212F1"/>
    <w:rsid w:val="00B21517"/>
    <w:rsid w:val="00B2154A"/>
    <w:rsid w:val="00B2165C"/>
    <w:rsid w:val="00B216C3"/>
    <w:rsid w:val="00B21755"/>
    <w:rsid w:val="00B21874"/>
    <w:rsid w:val="00B21891"/>
    <w:rsid w:val="00B2196F"/>
    <w:rsid w:val="00B219F5"/>
    <w:rsid w:val="00B21A69"/>
    <w:rsid w:val="00B21A98"/>
    <w:rsid w:val="00B21ACC"/>
    <w:rsid w:val="00B21BD4"/>
    <w:rsid w:val="00B21C3D"/>
    <w:rsid w:val="00B21C59"/>
    <w:rsid w:val="00B21DE5"/>
    <w:rsid w:val="00B21E1C"/>
    <w:rsid w:val="00B21E3F"/>
    <w:rsid w:val="00B21E82"/>
    <w:rsid w:val="00B21F89"/>
    <w:rsid w:val="00B220C0"/>
    <w:rsid w:val="00B221D2"/>
    <w:rsid w:val="00B221F9"/>
    <w:rsid w:val="00B22283"/>
    <w:rsid w:val="00B222D8"/>
    <w:rsid w:val="00B223ED"/>
    <w:rsid w:val="00B22472"/>
    <w:rsid w:val="00B2269B"/>
    <w:rsid w:val="00B226CE"/>
    <w:rsid w:val="00B2270D"/>
    <w:rsid w:val="00B227B4"/>
    <w:rsid w:val="00B229C2"/>
    <w:rsid w:val="00B229CD"/>
    <w:rsid w:val="00B22A83"/>
    <w:rsid w:val="00B22B4A"/>
    <w:rsid w:val="00B22C66"/>
    <w:rsid w:val="00B22D26"/>
    <w:rsid w:val="00B22D7E"/>
    <w:rsid w:val="00B22E33"/>
    <w:rsid w:val="00B22E59"/>
    <w:rsid w:val="00B22E74"/>
    <w:rsid w:val="00B22EC4"/>
    <w:rsid w:val="00B22F5A"/>
    <w:rsid w:val="00B2300F"/>
    <w:rsid w:val="00B23061"/>
    <w:rsid w:val="00B2306B"/>
    <w:rsid w:val="00B230E2"/>
    <w:rsid w:val="00B2325D"/>
    <w:rsid w:val="00B232F4"/>
    <w:rsid w:val="00B2333C"/>
    <w:rsid w:val="00B233BF"/>
    <w:rsid w:val="00B23409"/>
    <w:rsid w:val="00B234B4"/>
    <w:rsid w:val="00B23520"/>
    <w:rsid w:val="00B235B7"/>
    <w:rsid w:val="00B2366C"/>
    <w:rsid w:val="00B236CA"/>
    <w:rsid w:val="00B23721"/>
    <w:rsid w:val="00B23732"/>
    <w:rsid w:val="00B23774"/>
    <w:rsid w:val="00B2379B"/>
    <w:rsid w:val="00B237DD"/>
    <w:rsid w:val="00B239E3"/>
    <w:rsid w:val="00B23A7C"/>
    <w:rsid w:val="00B23B46"/>
    <w:rsid w:val="00B23B61"/>
    <w:rsid w:val="00B23C19"/>
    <w:rsid w:val="00B23C66"/>
    <w:rsid w:val="00B23CE5"/>
    <w:rsid w:val="00B23D20"/>
    <w:rsid w:val="00B23DB7"/>
    <w:rsid w:val="00B23DFB"/>
    <w:rsid w:val="00B23E61"/>
    <w:rsid w:val="00B23F6D"/>
    <w:rsid w:val="00B24039"/>
    <w:rsid w:val="00B24042"/>
    <w:rsid w:val="00B2412C"/>
    <w:rsid w:val="00B2416D"/>
    <w:rsid w:val="00B24176"/>
    <w:rsid w:val="00B2427F"/>
    <w:rsid w:val="00B24337"/>
    <w:rsid w:val="00B24536"/>
    <w:rsid w:val="00B2471D"/>
    <w:rsid w:val="00B248D5"/>
    <w:rsid w:val="00B2495D"/>
    <w:rsid w:val="00B24B84"/>
    <w:rsid w:val="00B24BED"/>
    <w:rsid w:val="00B24DB2"/>
    <w:rsid w:val="00B24E2F"/>
    <w:rsid w:val="00B24E3A"/>
    <w:rsid w:val="00B24F22"/>
    <w:rsid w:val="00B24F26"/>
    <w:rsid w:val="00B24F73"/>
    <w:rsid w:val="00B2511B"/>
    <w:rsid w:val="00B2515E"/>
    <w:rsid w:val="00B251F3"/>
    <w:rsid w:val="00B25287"/>
    <w:rsid w:val="00B2541C"/>
    <w:rsid w:val="00B254BD"/>
    <w:rsid w:val="00B255E8"/>
    <w:rsid w:val="00B2566B"/>
    <w:rsid w:val="00B256F2"/>
    <w:rsid w:val="00B25896"/>
    <w:rsid w:val="00B258D7"/>
    <w:rsid w:val="00B2591A"/>
    <w:rsid w:val="00B25957"/>
    <w:rsid w:val="00B25985"/>
    <w:rsid w:val="00B25997"/>
    <w:rsid w:val="00B25A70"/>
    <w:rsid w:val="00B25A83"/>
    <w:rsid w:val="00B25AB6"/>
    <w:rsid w:val="00B25B18"/>
    <w:rsid w:val="00B25B38"/>
    <w:rsid w:val="00B25C68"/>
    <w:rsid w:val="00B25D18"/>
    <w:rsid w:val="00B25F31"/>
    <w:rsid w:val="00B25F98"/>
    <w:rsid w:val="00B26025"/>
    <w:rsid w:val="00B2602D"/>
    <w:rsid w:val="00B26052"/>
    <w:rsid w:val="00B260CA"/>
    <w:rsid w:val="00B2610D"/>
    <w:rsid w:val="00B2614B"/>
    <w:rsid w:val="00B2616E"/>
    <w:rsid w:val="00B26241"/>
    <w:rsid w:val="00B26468"/>
    <w:rsid w:val="00B2648F"/>
    <w:rsid w:val="00B264CD"/>
    <w:rsid w:val="00B2656C"/>
    <w:rsid w:val="00B265B7"/>
    <w:rsid w:val="00B2663A"/>
    <w:rsid w:val="00B26659"/>
    <w:rsid w:val="00B2666C"/>
    <w:rsid w:val="00B266A5"/>
    <w:rsid w:val="00B2672C"/>
    <w:rsid w:val="00B26896"/>
    <w:rsid w:val="00B269C4"/>
    <w:rsid w:val="00B26A9B"/>
    <w:rsid w:val="00B26AB6"/>
    <w:rsid w:val="00B26AF8"/>
    <w:rsid w:val="00B26B35"/>
    <w:rsid w:val="00B26CB8"/>
    <w:rsid w:val="00B26D05"/>
    <w:rsid w:val="00B26DB5"/>
    <w:rsid w:val="00B26E62"/>
    <w:rsid w:val="00B26EC5"/>
    <w:rsid w:val="00B26EF5"/>
    <w:rsid w:val="00B26EF7"/>
    <w:rsid w:val="00B26F6F"/>
    <w:rsid w:val="00B2706E"/>
    <w:rsid w:val="00B27160"/>
    <w:rsid w:val="00B27275"/>
    <w:rsid w:val="00B27311"/>
    <w:rsid w:val="00B27349"/>
    <w:rsid w:val="00B2735E"/>
    <w:rsid w:val="00B2739E"/>
    <w:rsid w:val="00B27533"/>
    <w:rsid w:val="00B2763E"/>
    <w:rsid w:val="00B27696"/>
    <w:rsid w:val="00B276F6"/>
    <w:rsid w:val="00B27748"/>
    <w:rsid w:val="00B2777E"/>
    <w:rsid w:val="00B279E5"/>
    <w:rsid w:val="00B279EC"/>
    <w:rsid w:val="00B27B40"/>
    <w:rsid w:val="00B27C4A"/>
    <w:rsid w:val="00B27C4C"/>
    <w:rsid w:val="00B27D58"/>
    <w:rsid w:val="00B27E9C"/>
    <w:rsid w:val="00B27EB9"/>
    <w:rsid w:val="00B27F09"/>
    <w:rsid w:val="00B27FBB"/>
    <w:rsid w:val="00B30066"/>
    <w:rsid w:val="00B3017A"/>
    <w:rsid w:val="00B302C5"/>
    <w:rsid w:val="00B30396"/>
    <w:rsid w:val="00B303B9"/>
    <w:rsid w:val="00B303F4"/>
    <w:rsid w:val="00B304B5"/>
    <w:rsid w:val="00B30554"/>
    <w:rsid w:val="00B30660"/>
    <w:rsid w:val="00B3071E"/>
    <w:rsid w:val="00B307A6"/>
    <w:rsid w:val="00B307B0"/>
    <w:rsid w:val="00B308B8"/>
    <w:rsid w:val="00B309FC"/>
    <w:rsid w:val="00B30A4B"/>
    <w:rsid w:val="00B30AC3"/>
    <w:rsid w:val="00B30AFC"/>
    <w:rsid w:val="00B30B2E"/>
    <w:rsid w:val="00B30BB0"/>
    <w:rsid w:val="00B30C7D"/>
    <w:rsid w:val="00B30CB5"/>
    <w:rsid w:val="00B30CB8"/>
    <w:rsid w:val="00B30CBD"/>
    <w:rsid w:val="00B30CC1"/>
    <w:rsid w:val="00B30D94"/>
    <w:rsid w:val="00B30E7B"/>
    <w:rsid w:val="00B30EB2"/>
    <w:rsid w:val="00B31060"/>
    <w:rsid w:val="00B313AF"/>
    <w:rsid w:val="00B313D1"/>
    <w:rsid w:val="00B316AD"/>
    <w:rsid w:val="00B3179A"/>
    <w:rsid w:val="00B3184C"/>
    <w:rsid w:val="00B318DA"/>
    <w:rsid w:val="00B31A06"/>
    <w:rsid w:val="00B31A34"/>
    <w:rsid w:val="00B31A67"/>
    <w:rsid w:val="00B31A7C"/>
    <w:rsid w:val="00B31B9E"/>
    <w:rsid w:val="00B31C62"/>
    <w:rsid w:val="00B31CBE"/>
    <w:rsid w:val="00B31CF4"/>
    <w:rsid w:val="00B31D1E"/>
    <w:rsid w:val="00B31D2F"/>
    <w:rsid w:val="00B31D4D"/>
    <w:rsid w:val="00B31F64"/>
    <w:rsid w:val="00B31FBF"/>
    <w:rsid w:val="00B31FF0"/>
    <w:rsid w:val="00B32015"/>
    <w:rsid w:val="00B32251"/>
    <w:rsid w:val="00B32255"/>
    <w:rsid w:val="00B3229E"/>
    <w:rsid w:val="00B32369"/>
    <w:rsid w:val="00B32411"/>
    <w:rsid w:val="00B324DA"/>
    <w:rsid w:val="00B325D4"/>
    <w:rsid w:val="00B325E8"/>
    <w:rsid w:val="00B32609"/>
    <w:rsid w:val="00B3266C"/>
    <w:rsid w:val="00B326FA"/>
    <w:rsid w:val="00B327B7"/>
    <w:rsid w:val="00B328CD"/>
    <w:rsid w:val="00B32936"/>
    <w:rsid w:val="00B32AFB"/>
    <w:rsid w:val="00B32BBB"/>
    <w:rsid w:val="00B32C01"/>
    <w:rsid w:val="00B32C11"/>
    <w:rsid w:val="00B32C3A"/>
    <w:rsid w:val="00B32C96"/>
    <w:rsid w:val="00B32D30"/>
    <w:rsid w:val="00B32E1B"/>
    <w:rsid w:val="00B32EBB"/>
    <w:rsid w:val="00B32EEA"/>
    <w:rsid w:val="00B32F3A"/>
    <w:rsid w:val="00B33068"/>
    <w:rsid w:val="00B3315E"/>
    <w:rsid w:val="00B33172"/>
    <w:rsid w:val="00B331E6"/>
    <w:rsid w:val="00B33203"/>
    <w:rsid w:val="00B3323A"/>
    <w:rsid w:val="00B33375"/>
    <w:rsid w:val="00B335C7"/>
    <w:rsid w:val="00B33602"/>
    <w:rsid w:val="00B33664"/>
    <w:rsid w:val="00B336B1"/>
    <w:rsid w:val="00B33723"/>
    <w:rsid w:val="00B33737"/>
    <w:rsid w:val="00B33918"/>
    <w:rsid w:val="00B3392A"/>
    <w:rsid w:val="00B33993"/>
    <w:rsid w:val="00B33998"/>
    <w:rsid w:val="00B33A51"/>
    <w:rsid w:val="00B33ACB"/>
    <w:rsid w:val="00B33B2F"/>
    <w:rsid w:val="00B33BF6"/>
    <w:rsid w:val="00B33BF9"/>
    <w:rsid w:val="00B33C29"/>
    <w:rsid w:val="00B33CC5"/>
    <w:rsid w:val="00B33DBE"/>
    <w:rsid w:val="00B33EA3"/>
    <w:rsid w:val="00B33F84"/>
    <w:rsid w:val="00B33FAB"/>
    <w:rsid w:val="00B340AA"/>
    <w:rsid w:val="00B340B3"/>
    <w:rsid w:val="00B340CB"/>
    <w:rsid w:val="00B3414D"/>
    <w:rsid w:val="00B341D7"/>
    <w:rsid w:val="00B34211"/>
    <w:rsid w:val="00B3421D"/>
    <w:rsid w:val="00B34234"/>
    <w:rsid w:val="00B34295"/>
    <w:rsid w:val="00B342D4"/>
    <w:rsid w:val="00B343E7"/>
    <w:rsid w:val="00B34491"/>
    <w:rsid w:val="00B344C9"/>
    <w:rsid w:val="00B3450D"/>
    <w:rsid w:val="00B345A3"/>
    <w:rsid w:val="00B34A56"/>
    <w:rsid w:val="00B34ACE"/>
    <w:rsid w:val="00B34B02"/>
    <w:rsid w:val="00B34CDD"/>
    <w:rsid w:val="00B34CFE"/>
    <w:rsid w:val="00B34D05"/>
    <w:rsid w:val="00B34D25"/>
    <w:rsid w:val="00B34DE4"/>
    <w:rsid w:val="00B34F09"/>
    <w:rsid w:val="00B34F19"/>
    <w:rsid w:val="00B34F84"/>
    <w:rsid w:val="00B35069"/>
    <w:rsid w:val="00B3509D"/>
    <w:rsid w:val="00B35194"/>
    <w:rsid w:val="00B35195"/>
    <w:rsid w:val="00B351EB"/>
    <w:rsid w:val="00B351F0"/>
    <w:rsid w:val="00B351F9"/>
    <w:rsid w:val="00B3529F"/>
    <w:rsid w:val="00B3531B"/>
    <w:rsid w:val="00B353AE"/>
    <w:rsid w:val="00B35414"/>
    <w:rsid w:val="00B35421"/>
    <w:rsid w:val="00B35585"/>
    <w:rsid w:val="00B355E0"/>
    <w:rsid w:val="00B355FE"/>
    <w:rsid w:val="00B356DD"/>
    <w:rsid w:val="00B357AD"/>
    <w:rsid w:val="00B357CE"/>
    <w:rsid w:val="00B35947"/>
    <w:rsid w:val="00B359AA"/>
    <w:rsid w:val="00B35A47"/>
    <w:rsid w:val="00B35A77"/>
    <w:rsid w:val="00B35A8A"/>
    <w:rsid w:val="00B35B31"/>
    <w:rsid w:val="00B35B82"/>
    <w:rsid w:val="00B35C55"/>
    <w:rsid w:val="00B35C5B"/>
    <w:rsid w:val="00B35C88"/>
    <w:rsid w:val="00B35E0B"/>
    <w:rsid w:val="00B35EA2"/>
    <w:rsid w:val="00B35EC2"/>
    <w:rsid w:val="00B35F65"/>
    <w:rsid w:val="00B35F99"/>
    <w:rsid w:val="00B36054"/>
    <w:rsid w:val="00B36114"/>
    <w:rsid w:val="00B361A8"/>
    <w:rsid w:val="00B3622B"/>
    <w:rsid w:val="00B362C7"/>
    <w:rsid w:val="00B362D9"/>
    <w:rsid w:val="00B3638C"/>
    <w:rsid w:val="00B36621"/>
    <w:rsid w:val="00B36642"/>
    <w:rsid w:val="00B3665F"/>
    <w:rsid w:val="00B36683"/>
    <w:rsid w:val="00B36716"/>
    <w:rsid w:val="00B36735"/>
    <w:rsid w:val="00B367BA"/>
    <w:rsid w:val="00B36868"/>
    <w:rsid w:val="00B3687C"/>
    <w:rsid w:val="00B368C4"/>
    <w:rsid w:val="00B3694B"/>
    <w:rsid w:val="00B369C2"/>
    <w:rsid w:val="00B36AA8"/>
    <w:rsid w:val="00B36B1B"/>
    <w:rsid w:val="00B36D28"/>
    <w:rsid w:val="00B36E69"/>
    <w:rsid w:val="00B36E6E"/>
    <w:rsid w:val="00B36E8A"/>
    <w:rsid w:val="00B36EC1"/>
    <w:rsid w:val="00B36EE9"/>
    <w:rsid w:val="00B36F3A"/>
    <w:rsid w:val="00B36F5F"/>
    <w:rsid w:val="00B37090"/>
    <w:rsid w:val="00B370E1"/>
    <w:rsid w:val="00B3725B"/>
    <w:rsid w:val="00B37431"/>
    <w:rsid w:val="00B375E2"/>
    <w:rsid w:val="00B37886"/>
    <w:rsid w:val="00B37888"/>
    <w:rsid w:val="00B378B3"/>
    <w:rsid w:val="00B379AD"/>
    <w:rsid w:val="00B37A14"/>
    <w:rsid w:val="00B37B7D"/>
    <w:rsid w:val="00B37B84"/>
    <w:rsid w:val="00B37BD7"/>
    <w:rsid w:val="00B37C69"/>
    <w:rsid w:val="00B37DF1"/>
    <w:rsid w:val="00B37E55"/>
    <w:rsid w:val="00B37FFC"/>
    <w:rsid w:val="00B37FFE"/>
    <w:rsid w:val="00B40092"/>
    <w:rsid w:val="00B400A2"/>
    <w:rsid w:val="00B400E0"/>
    <w:rsid w:val="00B4010C"/>
    <w:rsid w:val="00B401BF"/>
    <w:rsid w:val="00B4022F"/>
    <w:rsid w:val="00B40273"/>
    <w:rsid w:val="00B402B7"/>
    <w:rsid w:val="00B40306"/>
    <w:rsid w:val="00B4031D"/>
    <w:rsid w:val="00B40465"/>
    <w:rsid w:val="00B40619"/>
    <w:rsid w:val="00B40831"/>
    <w:rsid w:val="00B408BD"/>
    <w:rsid w:val="00B409F7"/>
    <w:rsid w:val="00B40B7D"/>
    <w:rsid w:val="00B40B9E"/>
    <w:rsid w:val="00B40C35"/>
    <w:rsid w:val="00B40CB3"/>
    <w:rsid w:val="00B40CF0"/>
    <w:rsid w:val="00B40D8B"/>
    <w:rsid w:val="00B40EBD"/>
    <w:rsid w:val="00B40F7A"/>
    <w:rsid w:val="00B4126D"/>
    <w:rsid w:val="00B41545"/>
    <w:rsid w:val="00B4156B"/>
    <w:rsid w:val="00B415E5"/>
    <w:rsid w:val="00B41621"/>
    <w:rsid w:val="00B41746"/>
    <w:rsid w:val="00B417E6"/>
    <w:rsid w:val="00B4188A"/>
    <w:rsid w:val="00B418C5"/>
    <w:rsid w:val="00B41961"/>
    <w:rsid w:val="00B4198F"/>
    <w:rsid w:val="00B4199C"/>
    <w:rsid w:val="00B419A3"/>
    <w:rsid w:val="00B419F6"/>
    <w:rsid w:val="00B41A6C"/>
    <w:rsid w:val="00B41F5A"/>
    <w:rsid w:val="00B41F84"/>
    <w:rsid w:val="00B41F86"/>
    <w:rsid w:val="00B41FF0"/>
    <w:rsid w:val="00B4204E"/>
    <w:rsid w:val="00B42067"/>
    <w:rsid w:val="00B420C4"/>
    <w:rsid w:val="00B4216C"/>
    <w:rsid w:val="00B42217"/>
    <w:rsid w:val="00B42252"/>
    <w:rsid w:val="00B422AC"/>
    <w:rsid w:val="00B422B6"/>
    <w:rsid w:val="00B422F4"/>
    <w:rsid w:val="00B4239F"/>
    <w:rsid w:val="00B42575"/>
    <w:rsid w:val="00B425A0"/>
    <w:rsid w:val="00B425A2"/>
    <w:rsid w:val="00B425E3"/>
    <w:rsid w:val="00B426BC"/>
    <w:rsid w:val="00B426EC"/>
    <w:rsid w:val="00B427C2"/>
    <w:rsid w:val="00B42818"/>
    <w:rsid w:val="00B428FD"/>
    <w:rsid w:val="00B42946"/>
    <w:rsid w:val="00B42965"/>
    <w:rsid w:val="00B42A40"/>
    <w:rsid w:val="00B42B0B"/>
    <w:rsid w:val="00B42B39"/>
    <w:rsid w:val="00B42B8E"/>
    <w:rsid w:val="00B42BF5"/>
    <w:rsid w:val="00B42CAB"/>
    <w:rsid w:val="00B42CD8"/>
    <w:rsid w:val="00B42D91"/>
    <w:rsid w:val="00B42DB9"/>
    <w:rsid w:val="00B42DCA"/>
    <w:rsid w:val="00B42DD5"/>
    <w:rsid w:val="00B42F57"/>
    <w:rsid w:val="00B43038"/>
    <w:rsid w:val="00B43041"/>
    <w:rsid w:val="00B430F3"/>
    <w:rsid w:val="00B43395"/>
    <w:rsid w:val="00B43424"/>
    <w:rsid w:val="00B4343C"/>
    <w:rsid w:val="00B43463"/>
    <w:rsid w:val="00B43480"/>
    <w:rsid w:val="00B4348A"/>
    <w:rsid w:val="00B4361D"/>
    <w:rsid w:val="00B4364C"/>
    <w:rsid w:val="00B43666"/>
    <w:rsid w:val="00B436A8"/>
    <w:rsid w:val="00B436E7"/>
    <w:rsid w:val="00B43760"/>
    <w:rsid w:val="00B437A6"/>
    <w:rsid w:val="00B43818"/>
    <w:rsid w:val="00B43822"/>
    <w:rsid w:val="00B4388F"/>
    <w:rsid w:val="00B438D6"/>
    <w:rsid w:val="00B43994"/>
    <w:rsid w:val="00B43AD8"/>
    <w:rsid w:val="00B43B09"/>
    <w:rsid w:val="00B43B23"/>
    <w:rsid w:val="00B43C8D"/>
    <w:rsid w:val="00B43D28"/>
    <w:rsid w:val="00B43E7E"/>
    <w:rsid w:val="00B43EBF"/>
    <w:rsid w:val="00B44193"/>
    <w:rsid w:val="00B442D4"/>
    <w:rsid w:val="00B44393"/>
    <w:rsid w:val="00B44408"/>
    <w:rsid w:val="00B4448B"/>
    <w:rsid w:val="00B444EF"/>
    <w:rsid w:val="00B446AD"/>
    <w:rsid w:val="00B446E0"/>
    <w:rsid w:val="00B447E0"/>
    <w:rsid w:val="00B448D4"/>
    <w:rsid w:val="00B4494B"/>
    <w:rsid w:val="00B44974"/>
    <w:rsid w:val="00B44987"/>
    <w:rsid w:val="00B44A41"/>
    <w:rsid w:val="00B44B0C"/>
    <w:rsid w:val="00B44BC2"/>
    <w:rsid w:val="00B44D60"/>
    <w:rsid w:val="00B44E55"/>
    <w:rsid w:val="00B44F1C"/>
    <w:rsid w:val="00B4508F"/>
    <w:rsid w:val="00B45154"/>
    <w:rsid w:val="00B4519C"/>
    <w:rsid w:val="00B451DC"/>
    <w:rsid w:val="00B453BC"/>
    <w:rsid w:val="00B45442"/>
    <w:rsid w:val="00B45474"/>
    <w:rsid w:val="00B4547D"/>
    <w:rsid w:val="00B4548E"/>
    <w:rsid w:val="00B4549F"/>
    <w:rsid w:val="00B45CEF"/>
    <w:rsid w:val="00B45D04"/>
    <w:rsid w:val="00B45D81"/>
    <w:rsid w:val="00B45DBF"/>
    <w:rsid w:val="00B45DD3"/>
    <w:rsid w:val="00B45E11"/>
    <w:rsid w:val="00B45E32"/>
    <w:rsid w:val="00B45F14"/>
    <w:rsid w:val="00B46000"/>
    <w:rsid w:val="00B4603D"/>
    <w:rsid w:val="00B4607C"/>
    <w:rsid w:val="00B460BC"/>
    <w:rsid w:val="00B460C9"/>
    <w:rsid w:val="00B460DB"/>
    <w:rsid w:val="00B4613E"/>
    <w:rsid w:val="00B461AA"/>
    <w:rsid w:val="00B461F1"/>
    <w:rsid w:val="00B4635E"/>
    <w:rsid w:val="00B463F9"/>
    <w:rsid w:val="00B4649F"/>
    <w:rsid w:val="00B4650E"/>
    <w:rsid w:val="00B4660F"/>
    <w:rsid w:val="00B46626"/>
    <w:rsid w:val="00B4672B"/>
    <w:rsid w:val="00B467F8"/>
    <w:rsid w:val="00B46B05"/>
    <w:rsid w:val="00B46C38"/>
    <w:rsid w:val="00B46DED"/>
    <w:rsid w:val="00B46DF6"/>
    <w:rsid w:val="00B46E5C"/>
    <w:rsid w:val="00B46F89"/>
    <w:rsid w:val="00B46FBE"/>
    <w:rsid w:val="00B473EF"/>
    <w:rsid w:val="00B473F2"/>
    <w:rsid w:val="00B47465"/>
    <w:rsid w:val="00B47472"/>
    <w:rsid w:val="00B4751D"/>
    <w:rsid w:val="00B47553"/>
    <w:rsid w:val="00B47892"/>
    <w:rsid w:val="00B47904"/>
    <w:rsid w:val="00B4791D"/>
    <w:rsid w:val="00B479E5"/>
    <w:rsid w:val="00B47A7A"/>
    <w:rsid w:val="00B47AAA"/>
    <w:rsid w:val="00B47C7C"/>
    <w:rsid w:val="00B47CCC"/>
    <w:rsid w:val="00B47D8B"/>
    <w:rsid w:val="00B47DB3"/>
    <w:rsid w:val="00B50003"/>
    <w:rsid w:val="00B50026"/>
    <w:rsid w:val="00B50095"/>
    <w:rsid w:val="00B50242"/>
    <w:rsid w:val="00B50251"/>
    <w:rsid w:val="00B50273"/>
    <w:rsid w:val="00B50448"/>
    <w:rsid w:val="00B50470"/>
    <w:rsid w:val="00B504C4"/>
    <w:rsid w:val="00B506DF"/>
    <w:rsid w:val="00B50860"/>
    <w:rsid w:val="00B508A8"/>
    <w:rsid w:val="00B50BB2"/>
    <w:rsid w:val="00B50C68"/>
    <w:rsid w:val="00B50C92"/>
    <w:rsid w:val="00B50E53"/>
    <w:rsid w:val="00B50EAF"/>
    <w:rsid w:val="00B50EB8"/>
    <w:rsid w:val="00B51142"/>
    <w:rsid w:val="00B51166"/>
    <w:rsid w:val="00B511B4"/>
    <w:rsid w:val="00B51236"/>
    <w:rsid w:val="00B5126F"/>
    <w:rsid w:val="00B51291"/>
    <w:rsid w:val="00B512A5"/>
    <w:rsid w:val="00B512D4"/>
    <w:rsid w:val="00B51385"/>
    <w:rsid w:val="00B514B2"/>
    <w:rsid w:val="00B5163E"/>
    <w:rsid w:val="00B516C3"/>
    <w:rsid w:val="00B51740"/>
    <w:rsid w:val="00B51768"/>
    <w:rsid w:val="00B5178E"/>
    <w:rsid w:val="00B51792"/>
    <w:rsid w:val="00B5184D"/>
    <w:rsid w:val="00B51854"/>
    <w:rsid w:val="00B51880"/>
    <w:rsid w:val="00B518FD"/>
    <w:rsid w:val="00B5191C"/>
    <w:rsid w:val="00B51A2A"/>
    <w:rsid w:val="00B51B0D"/>
    <w:rsid w:val="00B51C26"/>
    <w:rsid w:val="00B51C87"/>
    <w:rsid w:val="00B51C8C"/>
    <w:rsid w:val="00B51CD7"/>
    <w:rsid w:val="00B51D0E"/>
    <w:rsid w:val="00B51D2E"/>
    <w:rsid w:val="00B51D90"/>
    <w:rsid w:val="00B51E98"/>
    <w:rsid w:val="00B51FF8"/>
    <w:rsid w:val="00B52083"/>
    <w:rsid w:val="00B5220F"/>
    <w:rsid w:val="00B5224E"/>
    <w:rsid w:val="00B52289"/>
    <w:rsid w:val="00B5232F"/>
    <w:rsid w:val="00B52506"/>
    <w:rsid w:val="00B52612"/>
    <w:rsid w:val="00B526CB"/>
    <w:rsid w:val="00B5274E"/>
    <w:rsid w:val="00B527AD"/>
    <w:rsid w:val="00B527E8"/>
    <w:rsid w:val="00B5287C"/>
    <w:rsid w:val="00B529AE"/>
    <w:rsid w:val="00B52A36"/>
    <w:rsid w:val="00B52AAB"/>
    <w:rsid w:val="00B52B20"/>
    <w:rsid w:val="00B52B55"/>
    <w:rsid w:val="00B52B88"/>
    <w:rsid w:val="00B52BD3"/>
    <w:rsid w:val="00B52D53"/>
    <w:rsid w:val="00B52D5D"/>
    <w:rsid w:val="00B52DD7"/>
    <w:rsid w:val="00B52F04"/>
    <w:rsid w:val="00B5307C"/>
    <w:rsid w:val="00B530FD"/>
    <w:rsid w:val="00B53155"/>
    <w:rsid w:val="00B5318C"/>
    <w:rsid w:val="00B531AA"/>
    <w:rsid w:val="00B5327D"/>
    <w:rsid w:val="00B5337F"/>
    <w:rsid w:val="00B53580"/>
    <w:rsid w:val="00B5359A"/>
    <w:rsid w:val="00B535C6"/>
    <w:rsid w:val="00B535CA"/>
    <w:rsid w:val="00B53643"/>
    <w:rsid w:val="00B53735"/>
    <w:rsid w:val="00B53861"/>
    <w:rsid w:val="00B5390F"/>
    <w:rsid w:val="00B53981"/>
    <w:rsid w:val="00B53A05"/>
    <w:rsid w:val="00B53A37"/>
    <w:rsid w:val="00B53A51"/>
    <w:rsid w:val="00B53A7E"/>
    <w:rsid w:val="00B53A8E"/>
    <w:rsid w:val="00B53C54"/>
    <w:rsid w:val="00B53D9B"/>
    <w:rsid w:val="00B53DA2"/>
    <w:rsid w:val="00B53DCB"/>
    <w:rsid w:val="00B53F00"/>
    <w:rsid w:val="00B53F03"/>
    <w:rsid w:val="00B53FB2"/>
    <w:rsid w:val="00B53FD7"/>
    <w:rsid w:val="00B53FDF"/>
    <w:rsid w:val="00B5400B"/>
    <w:rsid w:val="00B54010"/>
    <w:rsid w:val="00B540D2"/>
    <w:rsid w:val="00B5424B"/>
    <w:rsid w:val="00B5433C"/>
    <w:rsid w:val="00B5434F"/>
    <w:rsid w:val="00B54385"/>
    <w:rsid w:val="00B5450F"/>
    <w:rsid w:val="00B54514"/>
    <w:rsid w:val="00B54524"/>
    <w:rsid w:val="00B5454B"/>
    <w:rsid w:val="00B545A1"/>
    <w:rsid w:val="00B545E6"/>
    <w:rsid w:val="00B545FE"/>
    <w:rsid w:val="00B547AF"/>
    <w:rsid w:val="00B5483B"/>
    <w:rsid w:val="00B5488A"/>
    <w:rsid w:val="00B548A8"/>
    <w:rsid w:val="00B5498B"/>
    <w:rsid w:val="00B54A1F"/>
    <w:rsid w:val="00B54AAB"/>
    <w:rsid w:val="00B54AF6"/>
    <w:rsid w:val="00B54B5D"/>
    <w:rsid w:val="00B54B79"/>
    <w:rsid w:val="00B54B86"/>
    <w:rsid w:val="00B54BF7"/>
    <w:rsid w:val="00B54CE7"/>
    <w:rsid w:val="00B54D1D"/>
    <w:rsid w:val="00B54DF9"/>
    <w:rsid w:val="00B54E2D"/>
    <w:rsid w:val="00B54E8D"/>
    <w:rsid w:val="00B54EFE"/>
    <w:rsid w:val="00B5505B"/>
    <w:rsid w:val="00B550B8"/>
    <w:rsid w:val="00B550C9"/>
    <w:rsid w:val="00B5510D"/>
    <w:rsid w:val="00B551AC"/>
    <w:rsid w:val="00B55240"/>
    <w:rsid w:val="00B552CA"/>
    <w:rsid w:val="00B552E9"/>
    <w:rsid w:val="00B55370"/>
    <w:rsid w:val="00B5539D"/>
    <w:rsid w:val="00B553F2"/>
    <w:rsid w:val="00B55479"/>
    <w:rsid w:val="00B554C3"/>
    <w:rsid w:val="00B55510"/>
    <w:rsid w:val="00B555CC"/>
    <w:rsid w:val="00B55625"/>
    <w:rsid w:val="00B55651"/>
    <w:rsid w:val="00B5565A"/>
    <w:rsid w:val="00B55676"/>
    <w:rsid w:val="00B556C2"/>
    <w:rsid w:val="00B556DD"/>
    <w:rsid w:val="00B556FE"/>
    <w:rsid w:val="00B55744"/>
    <w:rsid w:val="00B557C8"/>
    <w:rsid w:val="00B558B8"/>
    <w:rsid w:val="00B5590C"/>
    <w:rsid w:val="00B55931"/>
    <w:rsid w:val="00B559E3"/>
    <w:rsid w:val="00B559EA"/>
    <w:rsid w:val="00B55B55"/>
    <w:rsid w:val="00B55B56"/>
    <w:rsid w:val="00B55B6C"/>
    <w:rsid w:val="00B55CCD"/>
    <w:rsid w:val="00B55D03"/>
    <w:rsid w:val="00B55DA6"/>
    <w:rsid w:val="00B55DB1"/>
    <w:rsid w:val="00B55DC6"/>
    <w:rsid w:val="00B55DFD"/>
    <w:rsid w:val="00B55E95"/>
    <w:rsid w:val="00B55EEA"/>
    <w:rsid w:val="00B55F42"/>
    <w:rsid w:val="00B55FA1"/>
    <w:rsid w:val="00B55FB5"/>
    <w:rsid w:val="00B5606E"/>
    <w:rsid w:val="00B560DE"/>
    <w:rsid w:val="00B560E4"/>
    <w:rsid w:val="00B561F1"/>
    <w:rsid w:val="00B561FF"/>
    <w:rsid w:val="00B56231"/>
    <w:rsid w:val="00B56277"/>
    <w:rsid w:val="00B564F5"/>
    <w:rsid w:val="00B56599"/>
    <w:rsid w:val="00B566CC"/>
    <w:rsid w:val="00B567BD"/>
    <w:rsid w:val="00B56835"/>
    <w:rsid w:val="00B56894"/>
    <w:rsid w:val="00B5691B"/>
    <w:rsid w:val="00B56A5C"/>
    <w:rsid w:val="00B56B92"/>
    <w:rsid w:val="00B56BB4"/>
    <w:rsid w:val="00B56C36"/>
    <w:rsid w:val="00B56C8A"/>
    <w:rsid w:val="00B56CB8"/>
    <w:rsid w:val="00B56D6B"/>
    <w:rsid w:val="00B56D95"/>
    <w:rsid w:val="00B56DEE"/>
    <w:rsid w:val="00B56F17"/>
    <w:rsid w:val="00B56F1A"/>
    <w:rsid w:val="00B56F67"/>
    <w:rsid w:val="00B5707F"/>
    <w:rsid w:val="00B570B6"/>
    <w:rsid w:val="00B570CB"/>
    <w:rsid w:val="00B57115"/>
    <w:rsid w:val="00B5714F"/>
    <w:rsid w:val="00B57296"/>
    <w:rsid w:val="00B574D1"/>
    <w:rsid w:val="00B57536"/>
    <w:rsid w:val="00B57595"/>
    <w:rsid w:val="00B57628"/>
    <w:rsid w:val="00B5764B"/>
    <w:rsid w:val="00B57692"/>
    <w:rsid w:val="00B576A5"/>
    <w:rsid w:val="00B576B5"/>
    <w:rsid w:val="00B576F3"/>
    <w:rsid w:val="00B577D1"/>
    <w:rsid w:val="00B57801"/>
    <w:rsid w:val="00B578B3"/>
    <w:rsid w:val="00B57912"/>
    <w:rsid w:val="00B57931"/>
    <w:rsid w:val="00B579BC"/>
    <w:rsid w:val="00B57A6C"/>
    <w:rsid w:val="00B57CF5"/>
    <w:rsid w:val="00B57D10"/>
    <w:rsid w:val="00B57D9F"/>
    <w:rsid w:val="00B57DDB"/>
    <w:rsid w:val="00B57E0E"/>
    <w:rsid w:val="00B57E4B"/>
    <w:rsid w:val="00B57F22"/>
    <w:rsid w:val="00B60280"/>
    <w:rsid w:val="00B6030C"/>
    <w:rsid w:val="00B60326"/>
    <w:rsid w:val="00B60365"/>
    <w:rsid w:val="00B6044E"/>
    <w:rsid w:val="00B60454"/>
    <w:rsid w:val="00B6050A"/>
    <w:rsid w:val="00B60641"/>
    <w:rsid w:val="00B60705"/>
    <w:rsid w:val="00B6075F"/>
    <w:rsid w:val="00B608BC"/>
    <w:rsid w:val="00B608D6"/>
    <w:rsid w:val="00B608E9"/>
    <w:rsid w:val="00B6092A"/>
    <w:rsid w:val="00B6093F"/>
    <w:rsid w:val="00B60953"/>
    <w:rsid w:val="00B6098E"/>
    <w:rsid w:val="00B60AA6"/>
    <w:rsid w:val="00B60B14"/>
    <w:rsid w:val="00B60B23"/>
    <w:rsid w:val="00B60BB1"/>
    <w:rsid w:val="00B60CB2"/>
    <w:rsid w:val="00B60DBE"/>
    <w:rsid w:val="00B60E58"/>
    <w:rsid w:val="00B60EFF"/>
    <w:rsid w:val="00B60F68"/>
    <w:rsid w:val="00B60FC3"/>
    <w:rsid w:val="00B60FE5"/>
    <w:rsid w:val="00B612E8"/>
    <w:rsid w:val="00B6133E"/>
    <w:rsid w:val="00B6155A"/>
    <w:rsid w:val="00B61684"/>
    <w:rsid w:val="00B61717"/>
    <w:rsid w:val="00B618A3"/>
    <w:rsid w:val="00B61931"/>
    <w:rsid w:val="00B6197A"/>
    <w:rsid w:val="00B6199C"/>
    <w:rsid w:val="00B61A02"/>
    <w:rsid w:val="00B61A4B"/>
    <w:rsid w:val="00B61B3E"/>
    <w:rsid w:val="00B61B6F"/>
    <w:rsid w:val="00B61C30"/>
    <w:rsid w:val="00B61D0C"/>
    <w:rsid w:val="00B61D73"/>
    <w:rsid w:val="00B61E7A"/>
    <w:rsid w:val="00B61F8A"/>
    <w:rsid w:val="00B61FE3"/>
    <w:rsid w:val="00B6215C"/>
    <w:rsid w:val="00B623C7"/>
    <w:rsid w:val="00B62456"/>
    <w:rsid w:val="00B62489"/>
    <w:rsid w:val="00B62490"/>
    <w:rsid w:val="00B625E6"/>
    <w:rsid w:val="00B6267D"/>
    <w:rsid w:val="00B628BE"/>
    <w:rsid w:val="00B628C1"/>
    <w:rsid w:val="00B629AF"/>
    <w:rsid w:val="00B62A6C"/>
    <w:rsid w:val="00B62ABF"/>
    <w:rsid w:val="00B62C15"/>
    <w:rsid w:val="00B62C42"/>
    <w:rsid w:val="00B62C8C"/>
    <w:rsid w:val="00B62CB4"/>
    <w:rsid w:val="00B62CC0"/>
    <w:rsid w:val="00B62D16"/>
    <w:rsid w:val="00B62D70"/>
    <w:rsid w:val="00B62DAB"/>
    <w:rsid w:val="00B62EA6"/>
    <w:rsid w:val="00B62EF2"/>
    <w:rsid w:val="00B62F24"/>
    <w:rsid w:val="00B62F55"/>
    <w:rsid w:val="00B63022"/>
    <w:rsid w:val="00B63024"/>
    <w:rsid w:val="00B63096"/>
    <w:rsid w:val="00B63184"/>
    <w:rsid w:val="00B63300"/>
    <w:rsid w:val="00B6339F"/>
    <w:rsid w:val="00B6341A"/>
    <w:rsid w:val="00B6345B"/>
    <w:rsid w:val="00B63669"/>
    <w:rsid w:val="00B636A6"/>
    <w:rsid w:val="00B636AF"/>
    <w:rsid w:val="00B636E3"/>
    <w:rsid w:val="00B636F6"/>
    <w:rsid w:val="00B63717"/>
    <w:rsid w:val="00B638E3"/>
    <w:rsid w:val="00B63BD3"/>
    <w:rsid w:val="00B63E3B"/>
    <w:rsid w:val="00B63EF0"/>
    <w:rsid w:val="00B63F50"/>
    <w:rsid w:val="00B63F5E"/>
    <w:rsid w:val="00B640C3"/>
    <w:rsid w:val="00B6413F"/>
    <w:rsid w:val="00B64168"/>
    <w:rsid w:val="00B641CD"/>
    <w:rsid w:val="00B6423F"/>
    <w:rsid w:val="00B64250"/>
    <w:rsid w:val="00B64286"/>
    <w:rsid w:val="00B643D5"/>
    <w:rsid w:val="00B64502"/>
    <w:rsid w:val="00B64717"/>
    <w:rsid w:val="00B6472B"/>
    <w:rsid w:val="00B64730"/>
    <w:rsid w:val="00B6473B"/>
    <w:rsid w:val="00B64780"/>
    <w:rsid w:val="00B648C5"/>
    <w:rsid w:val="00B64960"/>
    <w:rsid w:val="00B64A59"/>
    <w:rsid w:val="00B64B50"/>
    <w:rsid w:val="00B64BC6"/>
    <w:rsid w:val="00B64D89"/>
    <w:rsid w:val="00B64DE2"/>
    <w:rsid w:val="00B64EDF"/>
    <w:rsid w:val="00B64F31"/>
    <w:rsid w:val="00B650FA"/>
    <w:rsid w:val="00B6516F"/>
    <w:rsid w:val="00B6521D"/>
    <w:rsid w:val="00B6527B"/>
    <w:rsid w:val="00B6534B"/>
    <w:rsid w:val="00B65397"/>
    <w:rsid w:val="00B6540E"/>
    <w:rsid w:val="00B6548E"/>
    <w:rsid w:val="00B654E2"/>
    <w:rsid w:val="00B655C8"/>
    <w:rsid w:val="00B65691"/>
    <w:rsid w:val="00B656BC"/>
    <w:rsid w:val="00B656CF"/>
    <w:rsid w:val="00B6570C"/>
    <w:rsid w:val="00B65783"/>
    <w:rsid w:val="00B657F9"/>
    <w:rsid w:val="00B65876"/>
    <w:rsid w:val="00B658B4"/>
    <w:rsid w:val="00B658C2"/>
    <w:rsid w:val="00B658E9"/>
    <w:rsid w:val="00B65909"/>
    <w:rsid w:val="00B6592E"/>
    <w:rsid w:val="00B659BF"/>
    <w:rsid w:val="00B659EF"/>
    <w:rsid w:val="00B65A8D"/>
    <w:rsid w:val="00B65B5D"/>
    <w:rsid w:val="00B65BDA"/>
    <w:rsid w:val="00B65C36"/>
    <w:rsid w:val="00B65CBA"/>
    <w:rsid w:val="00B65D12"/>
    <w:rsid w:val="00B65DAB"/>
    <w:rsid w:val="00B65DF9"/>
    <w:rsid w:val="00B6605C"/>
    <w:rsid w:val="00B66104"/>
    <w:rsid w:val="00B6616F"/>
    <w:rsid w:val="00B662A9"/>
    <w:rsid w:val="00B662D6"/>
    <w:rsid w:val="00B6633B"/>
    <w:rsid w:val="00B66360"/>
    <w:rsid w:val="00B66476"/>
    <w:rsid w:val="00B66498"/>
    <w:rsid w:val="00B66506"/>
    <w:rsid w:val="00B66515"/>
    <w:rsid w:val="00B665A9"/>
    <w:rsid w:val="00B66640"/>
    <w:rsid w:val="00B66698"/>
    <w:rsid w:val="00B66774"/>
    <w:rsid w:val="00B667FC"/>
    <w:rsid w:val="00B669F5"/>
    <w:rsid w:val="00B66A36"/>
    <w:rsid w:val="00B66A96"/>
    <w:rsid w:val="00B66B48"/>
    <w:rsid w:val="00B66CEA"/>
    <w:rsid w:val="00B66CFE"/>
    <w:rsid w:val="00B66D53"/>
    <w:rsid w:val="00B66E33"/>
    <w:rsid w:val="00B66E8C"/>
    <w:rsid w:val="00B66F18"/>
    <w:rsid w:val="00B670CC"/>
    <w:rsid w:val="00B670E5"/>
    <w:rsid w:val="00B67105"/>
    <w:rsid w:val="00B6716C"/>
    <w:rsid w:val="00B671CB"/>
    <w:rsid w:val="00B67208"/>
    <w:rsid w:val="00B672AD"/>
    <w:rsid w:val="00B672DF"/>
    <w:rsid w:val="00B67301"/>
    <w:rsid w:val="00B67389"/>
    <w:rsid w:val="00B673C8"/>
    <w:rsid w:val="00B673E7"/>
    <w:rsid w:val="00B674FA"/>
    <w:rsid w:val="00B6758C"/>
    <w:rsid w:val="00B67691"/>
    <w:rsid w:val="00B6774E"/>
    <w:rsid w:val="00B67773"/>
    <w:rsid w:val="00B6787C"/>
    <w:rsid w:val="00B678F5"/>
    <w:rsid w:val="00B6791D"/>
    <w:rsid w:val="00B67943"/>
    <w:rsid w:val="00B67968"/>
    <w:rsid w:val="00B67AB4"/>
    <w:rsid w:val="00B67B30"/>
    <w:rsid w:val="00B67B79"/>
    <w:rsid w:val="00B67D00"/>
    <w:rsid w:val="00B67D58"/>
    <w:rsid w:val="00B67FA7"/>
    <w:rsid w:val="00B7003C"/>
    <w:rsid w:val="00B70087"/>
    <w:rsid w:val="00B70088"/>
    <w:rsid w:val="00B7012E"/>
    <w:rsid w:val="00B70254"/>
    <w:rsid w:val="00B7045A"/>
    <w:rsid w:val="00B704CD"/>
    <w:rsid w:val="00B704E4"/>
    <w:rsid w:val="00B7050C"/>
    <w:rsid w:val="00B70579"/>
    <w:rsid w:val="00B70605"/>
    <w:rsid w:val="00B70682"/>
    <w:rsid w:val="00B7072C"/>
    <w:rsid w:val="00B707D9"/>
    <w:rsid w:val="00B70870"/>
    <w:rsid w:val="00B70A54"/>
    <w:rsid w:val="00B70C14"/>
    <w:rsid w:val="00B70D44"/>
    <w:rsid w:val="00B70D85"/>
    <w:rsid w:val="00B70DD6"/>
    <w:rsid w:val="00B70E8E"/>
    <w:rsid w:val="00B70EEE"/>
    <w:rsid w:val="00B71038"/>
    <w:rsid w:val="00B71041"/>
    <w:rsid w:val="00B71061"/>
    <w:rsid w:val="00B710DA"/>
    <w:rsid w:val="00B710F8"/>
    <w:rsid w:val="00B71206"/>
    <w:rsid w:val="00B712AF"/>
    <w:rsid w:val="00B71326"/>
    <w:rsid w:val="00B71360"/>
    <w:rsid w:val="00B7141C"/>
    <w:rsid w:val="00B714AF"/>
    <w:rsid w:val="00B71512"/>
    <w:rsid w:val="00B71627"/>
    <w:rsid w:val="00B7163F"/>
    <w:rsid w:val="00B7166B"/>
    <w:rsid w:val="00B716B1"/>
    <w:rsid w:val="00B7172A"/>
    <w:rsid w:val="00B71777"/>
    <w:rsid w:val="00B717A9"/>
    <w:rsid w:val="00B71914"/>
    <w:rsid w:val="00B71B5B"/>
    <w:rsid w:val="00B71C77"/>
    <w:rsid w:val="00B71D05"/>
    <w:rsid w:val="00B71D5E"/>
    <w:rsid w:val="00B71E10"/>
    <w:rsid w:val="00B71E84"/>
    <w:rsid w:val="00B71F07"/>
    <w:rsid w:val="00B71F49"/>
    <w:rsid w:val="00B71F94"/>
    <w:rsid w:val="00B7202A"/>
    <w:rsid w:val="00B721A2"/>
    <w:rsid w:val="00B721F1"/>
    <w:rsid w:val="00B72209"/>
    <w:rsid w:val="00B722B0"/>
    <w:rsid w:val="00B72346"/>
    <w:rsid w:val="00B723ED"/>
    <w:rsid w:val="00B725AD"/>
    <w:rsid w:val="00B725EE"/>
    <w:rsid w:val="00B7262D"/>
    <w:rsid w:val="00B72643"/>
    <w:rsid w:val="00B72661"/>
    <w:rsid w:val="00B72725"/>
    <w:rsid w:val="00B727CE"/>
    <w:rsid w:val="00B72984"/>
    <w:rsid w:val="00B72A67"/>
    <w:rsid w:val="00B72A8E"/>
    <w:rsid w:val="00B72AC6"/>
    <w:rsid w:val="00B72AD6"/>
    <w:rsid w:val="00B72AD7"/>
    <w:rsid w:val="00B72B41"/>
    <w:rsid w:val="00B72BA1"/>
    <w:rsid w:val="00B72BB2"/>
    <w:rsid w:val="00B72BBA"/>
    <w:rsid w:val="00B72C25"/>
    <w:rsid w:val="00B72C5E"/>
    <w:rsid w:val="00B72CA2"/>
    <w:rsid w:val="00B72CB4"/>
    <w:rsid w:val="00B72D65"/>
    <w:rsid w:val="00B72E2E"/>
    <w:rsid w:val="00B72E33"/>
    <w:rsid w:val="00B7303B"/>
    <w:rsid w:val="00B730C5"/>
    <w:rsid w:val="00B7359E"/>
    <w:rsid w:val="00B735F7"/>
    <w:rsid w:val="00B73792"/>
    <w:rsid w:val="00B73899"/>
    <w:rsid w:val="00B7389B"/>
    <w:rsid w:val="00B738A7"/>
    <w:rsid w:val="00B73908"/>
    <w:rsid w:val="00B73914"/>
    <w:rsid w:val="00B73A77"/>
    <w:rsid w:val="00B73B2C"/>
    <w:rsid w:val="00B73C25"/>
    <w:rsid w:val="00B73CA2"/>
    <w:rsid w:val="00B73CF9"/>
    <w:rsid w:val="00B73D61"/>
    <w:rsid w:val="00B73D75"/>
    <w:rsid w:val="00B73E76"/>
    <w:rsid w:val="00B73F09"/>
    <w:rsid w:val="00B73F45"/>
    <w:rsid w:val="00B73F7E"/>
    <w:rsid w:val="00B74071"/>
    <w:rsid w:val="00B74251"/>
    <w:rsid w:val="00B7429D"/>
    <w:rsid w:val="00B742CC"/>
    <w:rsid w:val="00B7432E"/>
    <w:rsid w:val="00B74360"/>
    <w:rsid w:val="00B74495"/>
    <w:rsid w:val="00B74510"/>
    <w:rsid w:val="00B74558"/>
    <w:rsid w:val="00B74574"/>
    <w:rsid w:val="00B7464B"/>
    <w:rsid w:val="00B74685"/>
    <w:rsid w:val="00B7472B"/>
    <w:rsid w:val="00B74810"/>
    <w:rsid w:val="00B74982"/>
    <w:rsid w:val="00B74A9D"/>
    <w:rsid w:val="00B74AD2"/>
    <w:rsid w:val="00B74B8B"/>
    <w:rsid w:val="00B74C19"/>
    <w:rsid w:val="00B74C84"/>
    <w:rsid w:val="00B74CCC"/>
    <w:rsid w:val="00B74CE2"/>
    <w:rsid w:val="00B74D5B"/>
    <w:rsid w:val="00B74D5E"/>
    <w:rsid w:val="00B74DD5"/>
    <w:rsid w:val="00B74E67"/>
    <w:rsid w:val="00B74F20"/>
    <w:rsid w:val="00B7507C"/>
    <w:rsid w:val="00B75165"/>
    <w:rsid w:val="00B753DD"/>
    <w:rsid w:val="00B7540C"/>
    <w:rsid w:val="00B7544D"/>
    <w:rsid w:val="00B75455"/>
    <w:rsid w:val="00B754DE"/>
    <w:rsid w:val="00B754F8"/>
    <w:rsid w:val="00B75591"/>
    <w:rsid w:val="00B7569A"/>
    <w:rsid w:val="00B756C9"/>
    <w:rsid w:val="00B758AE"/>
    <w:rsid w:val="00B758EE"/>
    <w:rsid w:val="00B759A0"/>
    <w:rsid w:val="00B75A6C"/>
    <w:rsid w:val="00B75AC9"/>
    <w:rsid w:val="00B75AED"/>
    <w:rsid w:val="00B75B00"/>
    <w:rsid w:val="00B75B52"/>
    <w:rsid w:val="00B75BBB"/>
    <w:rsid w:val="00B75C04"/>
    <w:rsid w:val="00B75C42"/>
    <w:rsid w:val="00B75D02"/>
    <w:rsid w:val="00B75E7D"/>
    <w:rsid w:val="00B75E81"/>
    <w:rsid w:val="00B75ED6"/>
    <w:rsid w:val="00B75F0E"/>
    <w:rsid w:val="00B76039"/>
    <w:rsid w:val="00B7603F"/>
    <w:rsid w:val="00B7604C"/>
    <w:rsid w:val="00B761D0"/>
    <w:rsid w:val="00B76254"/>
    <w:rsid w:val="00B76269"/>
    <w:rsid w:val="00B76273"/>
    <w:rsid w:val="00B76279"/>
    <w:rsid w:val="00B76341"/>
    <w:rsid w:val="00B7636D"/>
    <w:rsid w:val="00B763BE"/>
    <w:rsid w:val="00B76577"/>
    <w:rsid w:val="00B76607"/>
    <w:rsid w:val="00B7662A"/>
    <w:rsid w:val="00B76659"/>
    <w:rsid w:val="00B76700"/>
    <w:rsid w:val="00B767A6"/>
    <w:rsid w:val="00B7699E"/>
    <w:rsid w:val="00B769ED"/>
    <w:rsid w:val="00B769FB"/>
    <w:rsid w:val="00B76B13"/>
    <w:rsid w:val="00B76B63"/>
    <w:rsid w:val="00B76BB0"/>
    <w:rsid w:val="00B76BE6"/>
    <w:rsid w:val="00B76CCE"/>
    <w:rsid w:val="00B76D68"/>
    <w:rsid w:val="00B76DC0"/>
    <w:rsid w:val="00B77238"/>
    <w:rsid w:val="00B7731E"/>
    <w:rsid w:val="00B7733A"/>
    <w:rsid w:val="00B77343"/>
    <w:rsid w:val="00B775B4"/>
    <w:rsid w:val="00B775F4"/>
    <w:rsid w:val="00B77644"/>
    <w:rsid w:val="00B778C4"/>
    <w:rsid w:val="00B778CD"/>
    <w:rsid w:val="00B7792E"/>
    <w:rsid w:val="00B77962"/>
    <w:rsid w:val="00B77AAB"/>
    <w:rsid w:val="00B77ABF"/>
    <w:rsid w:val="00B77AEC"/>
    <w:rsid w:val="00B77C36"/>
    <w:rsid w:val="00B77D00"/>
    <w:rsid w:val="00B77D5B"/>
    <w:rsid w:val="00B77E0C"/>
    <w:rsid w:val="00B77E31"/>
    <w:rsid w:val="00B77F5D"/>
    <w:rsid w:val="00B77F89"/>
    <w:rsid w:val="00B8003A"/>
    <w:rsid w:val="00B8011A"/>
    <w:rsid w:val="00B80144"/>
    <w:rsid w:val="00B8019C"/>
    <w:rsid w:val="00B8027A"/>
    <w:rsid w:val="00B802E9"/>
    <w:rsid w:val="00B8030D"/>
    <w:rsid w:val="00B805E2"/>
    <w:rsid w:val="00B80645"/>
    <w:rsid w:val="00B8069C"/>
    <w:rsid w:val="00B80708"/>
    <w:rsid w:val="00B80798"/>
    <w:rsid w:val="00B80799"/>
    <w:rsid w:val="00B807C9"/>
    <w:rsid w:val="00B807E1"/>
    <w:rsid w:val="00B808D6"/>
    <w:rsid w:val="00B80922"/>
    <w:rsid w:val="00B809A2"/>
    <w:rsid w:val="00B809DE"/>
    <w:rsid w:val="00B80A22"/>
    <w:rsid w:val="00B80A76"/>
    <w:rsid w:val="00B80B4B"/>
    <w:rsid w:val="00B80C1C"/>
    <w:rsid w:val="00B80CBB"/>
    <w:rsid w:val="00B80CF4"/>
    <w:rsid w:val="00B80D39"/>
    <w:rsid w:val="00B80E08"/>
    <w:rsid w:val="00B80E35"/>
    <w:rsid w:val="00B80E6F"/>
    <w:rsid w:val="00B80F05"/>
    <w:rsid w:val="00B80FD7"/>
    <w:rsid w:val="00B810A6"/>
    <w:rsid w:val="00B81241"/>
    <w:rsid w:val="00B812C2"/>
    <w:rsid w:val="00B81324"/>
    <w:rsid w:val="00B8133D"/>
    <w:rsid w:val="00B813A3"/>
    <w:rsid w:val="00B81468"/>
    <w:rsid w:val="00B8150E"/>
    <w:rsid w:val="00B8153E"/>
    <w:rsid w:val="00B81600"/>
    <w:rsid w:val="00B81667"/>
    <w:rsid w:val="00B81682"/>
    <w:rsid w:val="00B816D5"/>
    <w:rsid w:val="00B817E6"/>
    <w:rsid w:val="00B81891"/>
    <w:rsid w:val="00B8189D"/>
    <w:rsid w:val="00B819A4"/>
    <w:rsid w:val="00B819F5"/>
    <w:rsid w:val="00B81B96"/>
    <w:rsid w:val="00B81D0B"/>
    <w:rsid w:val="00B81E6C"/>
    <w:rsid w:val="00B81E9D"/>
    <w:rsid w:val="00B81F3C"/>
    <w:rsid w:val="00B81FA5"/>
    <w:rsid w:val="00B81FB8"/>
    <w:rsid w:val="00B81FC7"/>
    <w:rsid w:val="00B8204F"/>
    <w:rsid w:val="00B821FD"/>
    <w:rsid w:val="00B8230E"/>
    <w:rsid w:val="00B823A7"/>
    <w:rsid w:val="00B823C3"/>
    <w:rsid w:val="00B823D7"/>
    <w:rsid w:val="00B8259E"/>
    <w:rsid w:val="00B825E5"/>
    <w:rsid w:val="00B826B6"/>
    <w:rsid w:val="00B827C6"/>
    <w:rsid w:val="00B82851"/>
    <w:rsid w:val="00B82954"/>
    <w:rsid w:val="00B829D8"/>
    <w:rsid w:val="00B82B05"/>
    <w:rsid w:val="00B82BA7"/>
    <w:rsid w:val="00B82D09"/>
    <w:rsid w:val="00B82D75"/>
    <w:rsid w:val="00B82DF6"/>
    <w:rsid w:val="00B82DF9"/>
    <w:rsid w:val="00B82EDD"/>
    <w:rsid w:val="00B82F54"/>
    <w:rsid w:val="00B82FFF"/>
    <w:rsid w:val="00B83042"/>
    <w:rsid w:val="00B830DF"/>
    <w:rsid w:val="00B8310A"/>
    <w:rsid w:val="00B8313E"/>
    <w:rsid w:val="00B8315C"/>
    <w:rsid w:val="00B831A5"/>
    <w:rsid w:val="00B8321A"/>
    <w:rsid w:val="00B83235"/>
    <w:rsid w:val="00B83251"/>
    <w:rsid w:val="00B832C7"/>
    <w:rsid w:val="00B83319"/>
    <w:rsid w:val="00B83348"/>
    <w:rsid w:val="00B83403"/>
    <w:rsid w:val="00B83481"/>
    <w:rsid w:val="00B834F1"/>
    <w:rsid w:val="00B83530"/>
    <w:rsid w:val="00B835AA"/>
    <w:rsid w:val="00B83693"/>
    <w:rsid w:val="00B837A4"/>
    <w:rsid w:val="00B837F6"/>
    <w:rsid w:val="00B83899"/>
    <w:rsid w:val="00B838C2"/>
    <w:rsid w:val="00B83965"/>
    <w:rsid w:val="00B83966"/>
    <w:rsid w:val="00B839AF"/>
    <w:rsid w:val="00B839D9"/>
    <w:rsid w:val="00B83A33"/>
    <w:rsid w:val="00B83A50"/>
    <w:rsid w:val="00B83BFA"/>
    <w:rsid w:val="00B83C5D"/>
    <w:rsid w:val="00B83C99"/>
    <w:rsid w:val="00B83D69"/>
    <w:rsid w:val="00B83D9F"/>
    <w:rsid w:val="00B83EB5"/>
    <w:rsid w:val="00B83FAD"/>
    <w:rsid w:val="00B84053"/>
    <w:rsid w:val="00B84060"/>
    <w:rsid w:val="00B840EF"/>
    <w:rsid w:val="00B84143"/>
    <w:rsid w:val="00B841EE"/>
    <w:rsid w:val="00B84240"/>
    <w:rsid w:val="00B84270"/>
    <w:rsid w:val="00B84298"/>
    <w:rsid w:val="00B843B1"/>
    <w:rsid w:val="00B84466"/>
    <w:rsid w:val="00B84528"/>
    <w:rsid w:val="00B84546"/>
    <w:rsid w:val="00B8459E"/>
    <w:rsid w:val="00B845E8"/>
    <w:rsid w:val="00B8469F"/>
    <w:rsid w:val="00B846DD"/>
    <w:rsid w:val="00B847BC"/>
    <w:rsid w:val="00B847DC"/>
    <w:rsid w:val="00B847EB"/>
    <w:rsid w:val="00B8486D"/>
    <w:rsid w:val="00B848DF"/>
    <w:rsid w:val="00B8493E"/>
    <w:rsid w:val="00B84A13"/>
    <w:rsid w:val="00B84A24"/>
    <w:rsid w:val="00B84A2D"/>
    <w:rsid w:val="00B84BA6"/>
    <w:rsid w:val="00B84C29"/>
    <w:rsid w:val="00B84CA6"/>
    <w:rsid w:val="00B84CDA"/>
    <w:rsid w:val="00B84D2E"/>
    <w:rsid w:val="00B84FFA"/>
    <w:rsid w:val="00B85002"/>
    <w:rsid w:val="00B8504B"/>
    <w:rsid w:val="00B850A0"/>
    <w:rsid w:val="00B850CE"/>
    <w:rsid w:val="00B85116"/>
    <w:rsid w:val="00B8511E"/>
    <w:rsid w:val="00B8516F"/>
    <w:rsid w:val="00B85197"/>
    <w:rsid w:val="00B851A1"/>
    <w:rsid w:val="00B85317"/>
    <w:rsid w:val="00B853CD"/>
    <w:rsid w:val="00B853D7"/>
    <w:rsid w:val="00B853EE"/>
    <w:rsid w:val="00B853F3"/>
    <w:rsid w:val="00B85471"/>
    <w:rsid w:val="00B854D2"/>
    <w:rsid w:val="00B85583"/>
    <w:rsid w:val="00B856AD"/>
    <w:rsid w:val="00B85876"/>
    <w:rsid w:val="00B85920"/>
    <w:rsid w:val="00B85921"/>
    <w:rsid w:val="00B85955"/>
    <w:rsid w:val="00B85A1A"/>
    <w:rsid w:val="00B85A78"/>
    <w:rsid w:val="00B85ACF"/>
    <w:rsid w:val="00B85B72"/>
    <w:rsid w:val="00B85C23"/>
    <w:rsid w:val="00B85C4B"/>
    <w:rsid w:val="00B85D41"/>
    <w:rsid w:val="00B85D92"/>
    <w:rsid w:val="00B85DD4"/>
    <w:rsid w:val="00B85DDA"/>
    <w:rsid w:val="00B85DFC"/>
    <w:rsid w:val="00B85FFE"/>
    <w:rsid w:val="00B86018"/>
    <w:rsid w:val="00B8607F"/>
    <w:rsid w:val="00B8609B"/>
    <w:rsid w:val="00B86104"/>
    <w:rsid w:val="00B86194"/>
    <w:rsid w:val="00B863D3"/>
    <w:rsid w:val="00B86446"/>
    <w:rsid w:val="00B864F2"/>
    <w:rsid w:val="00B8667F"/>
    <w:rsid w:val="00B86870"/>
    <w:rsid w:val="00B86B19"/>
    <w:rsid w:val="00B86B5C"/>
    <w:rsid w:val="00B86C81"/>
    <w:rsid w:val="00B86CA0"/>
    <w:rsid w:val="00B86D99"/>
    <w:rsid w:val="00B86E0F"/>
    <w:rsid w:val="00B86FE0"/>
    <w:rsid w:val="00B86FE7"/>
    <w:rsid w:val="00B870D6"/>
    <w:rsid w:val="00B8721C"/>
    <w:rsid w:val="00B87359"/>
    <w:rsid w:val="00B874D8"/>
    <w:rsid w:val="00B8754A"/>
    <w:rsid w:val="00B876B3"/>
    <w:rsid w:val="00B876D5"/>
    <w:rsid w:val="00B87862"/>
    <w:rsid w:val="00B87884"/>
    <w:rsid w:val="00B878EE"/>
    <w:rsid w:val="00B879A2"/>
    <w:rsid w:val="00B87A56"/>
    <w:rsid w:val="00B87AD5"/>
    <w:rsid w:val="00B87C34"/>
    <w:rsid w:val="00B87CC2"/>
    <w:rsid w:val="00B87E05"/>
    <w:rsid w:val="00B87E26"/>
    <w:rsid w:val="00B87F05"/>
    <w:rsid w:val="00B87F67"/>
    <w:rsid w:val="00B87FC9"/>
    <w:rsid w:val="00B90081"/>
    <w:rsid w:val="00B90195"/>
    <w:rsid w:val="00B901CA"/>
    <w:rsid w:val="00B901F8"/>
    <w:rsid w:val="00B90431"/>
    <w:rsid w:val="00B9050B"/>
    <w:rsid w:val="00B90620"/>
    <w:rsid w:val="00B90630"/>
    <w:rsid w:val="00B90651"/>
    <w:rsid w:val="00B90696"/>
    <w:rsid w:val="00B906D7"/>
    <w:rsid w:val="00B90738"/>
    <w:rsid w:val="00B907AD"/>
    <w:rsid w:val="00B9081F"/>
    <w:rsid w:val="00B908B4"/>
    <w:rsid w:val="00B90925"/>
    <w:rsid w:val="00B90982"/>
    <w:rsid w:val="00B90B33"/>
    <w:rsid w:val="00B90C3D"/>
    <w:rsid w:val="00B90C85"/>
    <w:rsid w:val="00B90E1E"/>
    <w:rsid w:val="00B9117B"/>
    <w:rsid w:val="00B911AF"/>
    <w:rsid w:val="00B911BA"/>
    <w:rsid w:val="00B91353"/>
    <w:rsid w:val="00B91364"/>
    <w:rsid w:val="00B9143B"/>
    <w:rsid w:val="00B91465"/>
    <w:rsid w:val="00B914E0"/>
    <w:rsid w:val="00B9152D"/>
    <w:rsid w:val="00B91577"/>
    <w:rsid w:val="00B915CF"/>
    <w:rsid w:val="00B91668"/>
    <w:rsid w:val="00B916CE"/>
    <w:rsid w:val="00B917B8"/>
    <w:rsid w:val="00B9185E"/>
    <w:rsid w:val="00B91981"/>
    <w:rsid w:val="00B919DD"/>
    <w:rsid w:val="00B91CBC"/>
    <w:rsid w:val="00B91DAA"/>
    <w:rsid w:val="00B91DDE"/>
    <w:rsid w:val="00B91E2A"/>
    <w:rsid w:val="00B91EB1"/>
    <w:rsid w:val="00B91EF3"/>
    <w:rsid w:val="00B91EFF"/>
    <w:rsid w:val="00B92136"/>
    <w:rsid w:val="00B92141"/>
    <w:rsid w:val="00B92266"/>
    <w:rsid w:val="00B922B5"/>
    <w:rsid w:val="00B922B6"/>
    <w:rsid w:val="00B92453"/>
    <w:rsid w:val="00B9249C"/>
    <w:rsid w:val="00B925D0"/>
    <w:rsid w:val="00B925E1"/>
    <w:rsid w:val="00B925FB"/>
    <w:rsid w:val="00B9275D"/>
    <w:rsid w:val="00B92791"/>
    <w:rsid w:val="00B92885"/>
    <w:rsid w:val="00B92888"/>
    <w:rsid w:val="00B9289A"/>
    <w:rsid w:val="00B928A5"/>
    <w:rsid w:val="00B9293E"/>
    <w:rsid w:val="00B929CF"/>
    <w:rsid w:val="00B929D2"/>
    <w:rsid w:val="00B92A19"/>
    <w:rsid w:val="00B92C8A"/>
    <w:rsid w:val="00B92CA6"/>
    <w:rsid w:val="00B92CF9"/>
    <w:rsid w:val="00B92D89"/>
    <w:rsid w:val="00B92DEB"/>
    <w:rsid w:val="00B92FDE"/>
    <w:rsid w:val="00B930A0"/>
    <w:rsid w:val="00B933E8"/>
    <w:rsid w:val="00B934C4"/>
    <w:rsid w:val="00B93530"/>
    <w:rsid w:val="00B935AB"/>
    <w:rsid w:val="00B93625"/>
    <w:rsid w:val="00B93661"/>
    <w:rsid w:val="00B9376C"/>
    <w:rsid w:val="00B937FF"/>
    <w:rsid w:val="00B938B6"/>
    <w:rsid w:val="00B93991"/>
    <w:rsid w:val="00B939A0"/>
    <w:rsid w:val="00B939AD"/>
    <w:rsid w:val="00B93A38"/>
    <w:rsid w:val="00B93A91"/>
    <w:rsid w:val="00B93ADF"/>
    <w:rsid w:val="00B93C2D"/>
    <w:rsid w:val="00B93CAC"/>
    <w:rsid w:val="00B93CBB"/>
    <w:rsid w:val="00B93CC8"/>
    <w:rsid w:val="00B93CEF"/>
    <w:rsid w:val="00B93EA2"/>
    <w:rsid w:val="00B93ED8"/>
    <w:rsid w:val="00B93FE9"/>
    <w:rsid w:val="00B9407D"/>
    <w:rsid w:val="00B94175"/>
    <w:rsid w:val="00B9422B"/>
    <w:rsid w:val="00B94254"/>
    <w:rsid w:val="00B94256"/>
    <w:rsid w:val="00B942C2"/>
    <w:rsid w:val="00B943BD"/>
    <w:rsid w:val="00B943E1"/>
    <w:rsid w:val="00B944C0"/>
    <w:rsid w:val="00B94541"/>
    <w:rsid w:val="00B9455A"/>
    <w:rsid w:val="00B946F2"/>
    <w:rsid w:val="00B94705"/>
    <w:rsid w:val="00B94970"/>
    <w:rsid w:val="00B94C31"/>
    <w:rsid w:val="00B94C9C"/>
    <w:rsid w:val="00B94CF4"/>
    <w:rsid w:val="00B94D99"/>
    <w:rsid w:val="00B94DF3"/>
    <w:rsid w:val="00B94F05"/>
    <w:rsid w:val="00B94FD1"/>
    <w:rsid w:val="00B94FF3"/>
    <w:rsid w:val="00B95036"/>
    <w:rsid w:val="00B95039"/>
    <w:rsid w:val="00B95082"/>
    <w:rsid w:val="00B950B7"/>
    <w:rsid w:val="00B9528D"/>
    <w:rsid w:val="00B95310"/>
    <w:rsid w:val="00B95358"/>
    <w:rsid w:val="00B953DE"/>
    <w:rsid w:val="00B95479"/>
    <w:rsid w:val="00B95581"/>
    <w:rsid w:val="00B955AE"/>
    <w:rsid w:val="00B955B9"/>
    <w:rsid w:val="00B95765"/>
    <w:rsid w:val="00B95782"/>
    <w:rsid w:val="00B957A1"/>
    <w:rsid w:val="00B957B7"/>
    <w:rsid w:val="00B9581B"/>
    <w:rsid w:val="00B9589A"/>
    <w:rsid w:val="00B958C8"/>
    <w:rsid w:val="00B95928"/>
    <w:rsid w:val="00B9597B"/>
    <w:rsid w:val="00B959A4"/>
    <w:rsid w:val="00B959FD"/>
    <w:rsid w:val="00B95B74"/>
    <w:rsid w:val="00B95BC5"/>
    <w:rsid w:val="00B95C4B"/>
    <w:rsid w:val="00B95DC0"/>
    <w:rsid w:val="00B95DDC"/>
    <w:rsid w:val="00B95E32"/>
    <w:rsid w:val="00B95E9F"/>
    <w:rsid w:val="00B95F3A"/>
    <w:rsid w:val="00B95F80"/>
    <w:rsid w:val="00B95FB3"/>
    <w:rsid w:val="00B9609E"/>
    <w:rsid w:val="00B9613E"/>
    <w:rsid w:val="00B96261"/>
    <w:rsid w:val="00B962DC"/>
    <w:rsid w:val="00B96364"/>
    <w:rsid w:val="00B963AD"/>
    <w:rsid w:val="00B9643C"/>
    <w:rsid w:val="00B96457"/>
    <w:rsid w:val="00B96471"/>
    <w:rsid w:val="00B9649E"/>
    <w:rsid w:val="00B964C9"/>
    <w:rsid w:val="00B964E1"/>
    <w:rsid w:val="00B96522"/>
    <w:rsid w:val="00B96525"/>
    <w:rsid w:val="00B965D9"/>
    <w:rsid w:val="00B968DA"/>
    <w:rsid w:val="00B96DB5"/>
    <w:rsid w:val="00B96DE3"/>
    <w:rsid w:val="00B96EA7"/>
    <w:rsid w:val="00B96EDE"/>
    <w:rsid w:val="00B96EE6"/>
    <w:rsid w:val="00B96F75"/>
    <w:rsid w:val="00B9704F"/>
    <w:rsid w:val="00B97057"/>
    <w:rsid w:val="00B97090"/>
    <w:rsid w:val="00B970ED"/>
    <w:rsid w:val="00B97151"/>
    <w:rsid w:val="00B9715E"/>
    <w:rsid w:val="00B9727E"/>
    <w:rsid w:val="00B9729B"/>
    <w:rsid w:val="00B972AD"/>
    <w:rsid w:val="00B972D5"/>
    <w:rsid w:val="00B97360"/>
    <w:rsid w:val="00B975CC"/>
    <w:rsid w:val="00B975F0"/>
    <w:rsid w:val="00B97672"/>
    <w:rsid w:val="00B97691"/>
    <w:rsid w:val="00B976C1"/>
    <w:rsid w:val="00B97812"/>
    <w:rsid w:val="00B97864"/>
    <w:rsid w:val="00B97966"/>
    <w:rsid w:val="00B97B3B"/>
    <w:rsid w:val="00B97B63"/>
    <w:rsid w:val="00B97CD9"/>
    <w:rsid w:val="00B97D47"/>
    <w:rsid w:val="00B97E4D"/>
    <w:rsid w:val="00B97EA1"/>
    <w:rsid w:val="00B97F08"/>
    <w:rsid w:val="00B97F90"/>
    <w:rsid w:val="00B97FE1"/>
    <w:rsid w:val="00BA0114"/>
    <w:rsid w:val="00BA0259"/>
    <w:rsid w:val="00BA0280"/>
    <w:rsid w:val="00BA02A3"/>
    <w:rsid w:val="00BA037E"/>
    <w:rsid w:val="00BA039B"/>
    <w:rsid w:val="00BA0471"/>
    <w:rsid w:val="00BA04B2"/>
    <w:rsid w:val="00BA062E"/>
    <w:rsid w:val="00BA06A5"/>
    <w:rsid w:val="00BA0758"/>
    <w:rsid w:val="00BA079A"/>
    <w:rsid w:val="00BA07A8"/>
    <w:rsid w:val="00BA093C"/>
    <w:rsid w:val="00BA09EB"/>
    <w:rsid w:val="00BA0A1C"/>
    <w:rsid w:val="00BA0A2E"/>
    <w:rsid w:val="00BA0A9B"/>
    <w:rsid w:val="00BA0AD4"/>
    <w:rsid w:val="00BA0B04"/>
    <w:rsid w:val="00BA0B38"/>
    <w:rsid w:val="00BA0B56"/>
    <w:rsid w:val="00BA0BF9"/>
    <w:rsid w:val="00BA0F3E"/>
    <w:rsid w:val="00BA107C"/>
    <w:rsid w:val="00BA1080"/>
    <w:rsid w:val="00BA10D1"/>
    <w:rsid w:val="00BA127D"/>
    <w:rsid w:val="00BA12EA"/>
    <w:rsid w:val="00BA133F"/>
    <w:rsid w:val="00BA13F3"/>
    <w:rsid w:val="00BA157C"/>
    <w:rsid w:val="00BA158A"/>
    <w:rsid w:val="00BA165C"/>
    <w:rsid w:val="00BA1663"/>
    <w:rsid w:val="00BA16E0"/>
    <w:rsid w:val="00BA171F"/>
    <w:rsid w:val="00BA193C"/>
    <w:rsid w:val="00BA19A2"/>
    <w:rsid w:val="00BA1A2D"/>
    <w:rsid w:val="00BA1B09"/>
    <w:rsid w:val="00BA1B57"/>
    <w:rsid w:val="00BA1C1E"/>
    <w:rsid w:val="00BA1CB2"/>
    <w:rsid w:val="00BA1DA8"/>
    <w:rsid w:val="00BA1E03"/>
    <w:rsid w:val="00BA1EE0"/>
    <w:rsid w:val="00BA1EF2"/>
    <w:rsid w:val="00BA20CC"/>
    <w:rsid w:val="00BA20F9"/>
    <w:rsid w:val="00BA228B"/>
    <w:rsid w:val="00BA2330"/>
    <w:rsid w:val="00BA2397"/>
    <w:rsid w:val="00BA23AD"/>
    <w:rsid w:val="00BA24A8"/>
    <w:rsid w:val="00BA24D6"/>
    <w:rsid w:val="00BA2502"/>
    <w:rsid w:val="00BA25B1"/>
    <w:rsid w:val="00BA27BC"/>
    <w:rsid w:val="00BA28FC"/>
    <w:rsid w:val="00BA2906"/>
    <w:rsid w:val="00BA2911"/>
    <w:rsid w:val="00BA2962"/>
    <w:rsid w:val="00BA29CC"/>
    <w:rsid w:val="00BA2A98"/>
    <w:rsid w:val="00BA2B30"/>
    <w:rsid w:val="00BA2B5D"/>
    <w:rsid w:val="00BA2B69"/>
    <w:rsid w:val="00BA2BA8"/>
    <w:rsid w:val="00BA2C1C"/>
    <w:rsid w:val="00BA2C82"/>
    <w:rsid w:val="00BA2CA4"/>
    <w:rsid w:val="00BA2CC1"/>
    <w:rsid w:val="00BA2D59"/>
    <w:rsid w:val="00BA2E45"/>
    <w:rsid w:val="00BA2EAD"/>
    <w:rsid w:val="00BA2FA4"/>
    <w:rsid w:val="00BA3013"/>
    <w:rsid w:val="00BA3048"/>
    <w:rsid w:val="00BA3056"/>
    <w:rsid w:val="00BA313F"/>
    <w:rsid w:val="00BA3169"/>
    <w:rsid w:val="00BA31CC"/>
    <w:rsid w:val="00BA32B0"/>
    <w:rsid w:val="00BA32C9"/>
    <w:rsid w:val="00BA3320"/>
    <w:rsid w:val="00BA3451"/>
    <w:rsid w:val="00BA34BF"/>
    <w:rsid w:val="00BA34C0"/>
    <w:rsid w:val="00BA3655"/>
    <w:rsid w:val="00BA3734"/>
    <w:rsid w:val="00BA37FD"/>
    <w:rsid w:val="00BA3860"/>
    <w:rsid w:val="00BA3B90"/>
    <w:rsid w:val="00BA3C66"/>
    <w:rsid w:val="00BA3CF4"/>
    <w:rsid w:val="00BA3EDD"/>
    <w:rsid w:val="00BA3FCD"/>
    <w:rsid w:val="00BA403F"/>
    <w:rsid w:val="00BA4067"/>
    <w:rsid w:val="00BA421B"/>
    <w:rsid w:val="00BA4424"/>
    <w:rsid w:val="00BA444C"/>
    <w:rsid w:val="00BA4637"/>
    <w:rsid w:val="00BA4666"/>
    <w:rsid w:val="00BA470F"/>
    <w:rsid w:val="00BA4730"/>
    <w:rsid w:val="00BA47DE"/>
    <w:rsid w:val="00BA47E3"/>
    <w:rsid w:val="00BA4809"/>
    <w:rsid w:val="00BA4865"/>
    <w:rsid w:val="00BA4931"/>
    <w:rsid w:val="00BA494C"/>
    <w:rsid w:val="00BA49C3"/>
    <w:rsid w:val="00BA4A1B"/>
    <w:rsid w:val="00BA4BB8"/>
    <w:rsid w:val="00BA4BFA"/>
    <w:rsid w:val="00BA4C92"/>
    <w:rsid w:val="00BA4D20"/>
    <w:rsid w:val="00BA4D3F"/>
    <w:rsid w:val="00BA4D48"/>
    <w:rsid w:val="00BA4D8B"/>
    <w:rsid w:val="00BA4F79"/>
    <w:rsid w:val="00BA50FA"/>
    <w:rsid w:val="00BA5101"/>
    <w:rsid w:val="00BA5182"/>
    <w:rsid w:val="00BA522A"/>
    <w:rsid w:val="00BA5281"/>
    <w:rsid w:val="00BA528A"/>
    <w:rsid w:val="00BA5321"/>
    <w:rsid w:val="00BA5403"/>
    <w:rsid w:val="00BA548F"/>
    <w:rsid w:val="00BA5543"/>
    <w:rsid w:val="00BA5584"/>
    <w:rsid w:val="00BA55AB"/>
    <w:rsid w:val="00BA568A"/>
    <w:rsid w:val="00BA56A6"/>
    <w:rsid w:val="00BA56BC"/>
    <w:rsid w:val="00BA5996"/>
    <w:rsid w:val="00BA59E4"/>
    <w:rsid w:val="00BA5A0D"/>
    <w:rsid w:val="00BA5AA4"/>
    <w:rsid w:val="00BA5AFE"/>
    <w:rsid w:val="00BA5B19"/>
    <w:rsid w:val="00BA5D24"/>
    <w:rsid w:val="00BA5E2B"/>
    <w:rsid w:val="00BA5E5A"/>
    <w:rsid w:val="00BA5E7C"/>
    <w:rsid w:val="00BA5FCE"/>
    <w:rsid w:val="00BA5FE7"/>
    <w:rsid w:val="00BA601E"/>
    <w:rsid w:val="00BA6189"/>
    <w:rsid w:val="00BA62B9"/>
    <w:rsid w:val="00BA63EF"/>
    <w:rsid w:val="00BA64A4"/>
    <w:rsid w:val="00BA64CF"/>
    <w:rsid w:val="00BA66A1"/>
    <w:rsid w:val="00BA66B2"/>
    <w:rsid w:val="00BA67D8"/>
    <w:rsid w:val="00BA68CC"/>
    <w:rsid w:val="00BA69BC"/>
    <w:rsid w:val="00BA6B2F"/>
    <w:rsid w:val="00BA6B3D"/>
    <w:rsid w:val="00BA6BBE"/>
    <w:rsid w:val="00BA6D6D"/>
    <w:rsid w:val="00BA6F2A"/>
    <w:rsid w:val="00BA6F74"/>
    <w:rsid w:val="00BA6F94"/>
    <w:rsid w:val="00BA70C0"/>
    <w:rsid w:val="00BA70F4"/>
    <w:rsid w:val="00BA715B"/>
    <w:rsid w:val="00BA71C7"/>
    <w:rsid w:val="00BA7225"/>
    <w:rsid w:val="00BA72D4"/>
    <w:rsid w:val="00BA7374"/>
    <w:rsid w:val="00BA73A5"/>
    <w:rsid w:val="00BA744A"/>
    <w:rsid w:val="00BA746A"/>
    <w:rsid w:val="00BA7528"/>
    <w:rsid w:val="00BA7533"/>
    <w:rsid w:val="00BA7619"/>
    <w:rsid w:val="00BA7793"/>
    <w:rsid w:val="00BA77AF"/>
    <w:rsid w:val="00BA77C9"/>
    <w:rsid w:val="00BA77F6"/>
    <w:rsid w:val="00BA78F4"/>
    <w:rsid w:val="00BA78FE"/>
    <w:rsid w:val="00BA79A5"/>
    <w:rsid w:val="00BA7A17"/>
    <w:rsid w:val="00BA7A5F"/>
    <w:rsid w:val="00BA7BBA"/>
    <w:rsid w:val="00BA7BD4"/>
    <w:rsid w:val="00BA7C94"/>
    <w:rsid w:val="00BA7DB9"/>
    <w:rsid w:val="00BA7DCC"/>
    <w:rsid w:val="00BA7E6E"/>
    <w:rsid w:val="00BB025F"/>
    <w:rsid w:val="00BB0354"/>
    <w:rsid w:val="00BB05CF"/>
    <w:rsid w:val="00BB069A"/>
    <w:rsid w:val="00BB06E3"/>
    <w:rsid w:val="00BB06E9"/>
    <w:rsid w:val="00BB06F1"/>
    <w:rsid w:val="00BB070B"/>
    <w:rsid w:val="00BB0969"/>
    <w:rsid w:val="00BB09B9"/>
    <w:rsid w:val="00BB0A5E"/>
    <w:rsid w:val="00BB0B5D"/>
    <w:rsid w:val="00BB0B6B"/>
    <w:rsid w:val="00BB0C66"/>
    <w:rsid w:val="00BB0C97"/>
    <w:rsid w:val="00BB0CB1"/>
    <w:rsid w:val="00BB0CD6"/>
    <w:rsid w:val="00BB0DE3"/>
    <w:rsid w:val="00BB0E6F"/>
    <w:rsid w:val="00BB0F34"/>
    <w:rsid w:val="00BB0F84"/>
    <w:rsid w:val="00BB101C"/>
    <w:rsid w:val="00BB1060"/>
    <w:rsid w:val="00BB11C7"/>
    <w:rsid w:val="00BB12F6"/>
    <w:rsid w:val="00BB1318"/>
    <w:rsid w:val="00BB13C8"/>
    <w:rsid w:val="00BB1466"/>
    <w:rsid w:val="00BB1495"/>
    <w:rsid w:val="00BB1535"/>
    <w:rsid w:val="00BB1582"/>
    <w:rsid w:val="00BB15C6"/>
    <w:rsid w:val="00BB165A"/>
    <w:rsid w:val="00BB1660"/>
    <w:rsid w:val="00BB1688"/>
    <w:rsid w:val="00BB1797"/>
    <w:rsid w:val="00BB17A4"/>
    <w:rsid w:val="00BB17A6"/>
    <w:rsid w:val="00BB17C1"/>
    <w:rsid w:val="00BB188F"/>
    <w:rsid w:val="00BB18C4"/>
    <w:rsid w:val="00BB198E"/>
    <w:rsid w:val="00BB1992"/>
    <w:rsid w:val="00BB1A1B"/>
    <w:rsid w:val="00BB1A8F"/>
    <w:rsid w:val="00BB1B23"/>
    <w:rsid w:val="00BB1B27"/>
    <w:rsid w:val="00BB1BA6"/>
    <w:rsid w:val="00BB1C9A"/>
    <w:rsid w:val="00BB1D7C"/>
    <w:rsid w:val="00BB1D7E"/>
    <w:rsid w:val="00BB1E4A"/>
    <w:rsid w:val="00BB1EF6"/>
    <w:rsid w:val="00BB1EF9"/>
    <w:rsid w:val="00BB1FB3"/>
    <w:rsid w:val="00BB1FE4"/>
    <w:rsid w:val="00BB2070"/>
    <w:rsid w:val="00BB2088"/>
    <w:rsid w:val="00BB2127"/>
    <w:rsid w:val="00BB2134"/>
    <w:rsid w:val="00BB219F"/>
    <w:rsid w:val="00BB22F3"/>
    <w:rsid w:val="00BB2385"/>
    <w:rsid w:val="00BB24F7"/>
    <w:rsid w:val="00BB263B"/>
    <w:rsid w:val="00BB2676"/>
    <w:rsid w:val="00BB2739"/>
    <w:rsid w:val="00BB27A0"/>
    <w:rsid w:val="00BB27A6"/>
    <w:rsid w:val="00BB27CF"/>
    <w:rsid w:val="00BB286A"/>
    <w:rsid w:val="00BB2A0A"/>
    <w:rsid w:val="00BB2A18"/>
    <w:rsid w:val="00BB2A20"/>
    <w:rsid w:val="00BB2A23"/>
    <w:rsid w:val="00BB2A38"/>
    <w:rsid w:val="00BB2A6A"/>
    <w:rsid w:val="00BB2AC4"/>
    <w:rsid w:val="00BB2AEC"/>
    <w:rsid w:val="00BB2B43"/>
    <w:rsid w:val="00BB2CE2"/>
    <w:rsid w:val="00BB2F68"/>
    <w:rsid w:val="00BB2F88"/>
    <w:rsid w:val="00BB2FB6"/>
    <w:rsid w:val="00BB30C5"/>
    <w:rsid w:val="00BB3159"/>
    <w:rsid w:val="00BB31FA"/>
    <w:rsid w:val="00BB3254"/>
    <w:rsid w:val="00BB33A2"/>
    <w:rsid w:val="00BB3466"/>
    <w:rsid w:val="00BB348B"/>
    <w:rsid w:val="00BB34EB"/>
    <w:rsid w:val="00BB3516"/>
    <w:rsid w:val="00BB351E"/>
    <w:rsid w:val="00BB3521"/>
    <w:rsid w:val="00BB359D"/>
    <w:rsid w:val="00BB35C5"/>
    <w:rsid w:val="00BB3916"/>
    <w:rsid w:val="00BB3975"/>
    <w:rsid w:val="00BB3997"/>
    <w:rsid w:val="00BB39FC"/>
    <w:rsid w:val="00BB3A52"/>
    <w:rsid w:val="00BB3B0C"/>
    <w:rsid w:val="00BB3B4D"/>
    <w:rsid w:val="00BB3C67"/>
    <w:rsid w:val="00BB3D20"/>
    <w:rsid w:val="00BB3D6D"/>
    <w:rsid w:val="00BB3E8F"/>
    <w:rsid w:val="00BB3FB6"/>
    <w:rsid w:val="00BB408D"/>
    <w:rsid w:val="00BB42EF"/>
    <w:rsid w:val="00BB42F8"/>
    <w:rsid w:val="00BB4334"/>
    <w:rsid w:val="00BB4346"/>
    <w:rsid w:val="00BB4509"/>
    <w:rsid w:val="00BB4563"/>
    <w:rsid w:val="00BB46D4"/>
    <w:rsid w:val="00BB474F"/>
    <w:rsid w:val="00BB489B"/>
    <w:rsid w:val="00BB4907"/>
    <w:rsid w:val="00BB4929"/>
    <w:rsid w:val="00BB4A2A"/>
    <w:rsid w:val="00BB4ADE"/>
    <w:rsid w:val="00BB4B27"/>
    <w:rsid w:val="00BB4B42"/>
    <w:rsid w:val="00BB4BEB"/>
    <w:rsid w:val="00BB4C8C"/>
    <w:rsid w:val="00BB4DAC"/>
    <w:rsid w:val="00BB4DDC"/>
    <w:rsid w:val="00BB4F3D"/>
    <w:rsid w:val="00BB5043"/>
    <w:rsid w:val="00BB5056"/>
    <w:rsid w:val="00BB50ED"/>
    <w:rsid w:val="00BB5105"/>
    <w:rsid w:val="00BB514C"/>
    <w:rsid w:val="00BB51E9"/>
    <w:rsid w:val="00BB525E"/>
    <w:rsid w:val="00BB5271"/>
    <w:rsid w:val="00BB52F3"/>
    <w:rsid w:val="00BB53EA"/>
    <w:rsid w:val="00BB55D3"/>
    <w:rsid w:val="00BB5714"/>
    <w:rsid w:val="00BB5720"/>
    <w:rsid w:val="00BB5729"/>
    <w:rsid w:val="00BB57AB"/>
    <w:rsid w:val="00BB587E"/>
    <w:rsid w:val="00BB590C"/>
    <w:rsid w:val="00BB5B1C"/>
    <w:rsid w:val="00BB5B43"/>
    <w:rsid w:val="00BB5E58"/>
    <w:rsid w:val="00BB6103"/>
    <w:rsid w:val="00BB61C1"/>
    <w:rsid w:val="00BB6224"/>
    <w:rsid w:val="00BB62B1"/>
    <w:rsid w:val="00BB6488"/>
    <w:rsid w:val="00BB6745"/>
    <w:rsid w:val="00BB6853"/>
    <w:rsid w:val="00BB6884"/>
    <w:rsid w:val="00BB690E"/>
    <w:rsid w:val="00BB69DC"/>
    <w:rsid w:val="00BB69EF"/>
    <w:rsid w:val="00BB69F4"/>
    <w:rsid w:val="00BB6A73"/>
    <w:rsid w:val="00BB6B7F"/>
    <w:rsid w:val="00BB6BFB"/>
    <w:rsid w:val="00BB6C3F"/>
    <w:rsid w:val="00BB6C49"/>
    <w:rsid w:val="00BB6C50"/>
    <w:rsid w:val="00BB6C61"/>
    <w:rsid w:val="00BB6D30"/>
    <w:rsid w:val="00BB6D35"/>
    <w:rsid w:val="00BB6D60"/>
    <w:rsid w:val="00BB6DD1"/>
    <w:rsid w:val="00BB6DF0"/>
    <w:rsid w:val="00BB710A"/>
    <w:rsid w:val="00BB710F"/>
    <w:rsid w:val="00BB7113"/>
    <w:rsid w:val="00BB71BA"/>
    <w:rsid w:val="00BB71E8"/>
    <w:rsid w:val="00BB729C"/>
    <w:rsid w:val="00BB72CA"/>
    <w:rsid w:val="00BB72FE"/>
    <w:rsid w:val="00BB7348"/>
    <w:rsid w:val="00BB7358"/>
    <w:rsid w:val="00BB742F"/>
    <w:rsid w:val="00BB761E"/>
    <w:rsid w:val="00BB7626"/>
    <w:rsid w:val="00BB762D"/>
    <w:rsid w:val="00BB7657"/>
    <w:rsid w:val="00BB7686"/>
    <w:rsid w:val="00BB76CD"/>
    <w:rsid w:val="00BB7766"/>
    <w:rsid w:val="00BB7850"/>
    <w:rsid w:val="00BB7861"/>
    <w:rsid w:val="00BB7870"/>
    <w:rsid w:val="00BB7914"/>
    <w:rsid w:val="00BB7992"/>
    <w:rsid w:val="00BB79D1"/>
    <w:rsid w:val="00BB7A12"/>
    <w:rsid w:val="00BB7A65"/>
    <w:rsid w:val="00BB7ACF"/>
    <w:rsid w:val="00BB7B1F"/>
    <w:rsid w:val="00BB7C72"/>
    <w:rsid w:val="00BB7C78"/>
    <w:rsid w:val="00BB7C8F"/>
    <w:rsid w:val="00BB7CC6"/>
    <w:rsid w:val="00BB7D0D"/>
    <w:rsid w:val="00BB7D1F"/>
    <w:rsid w:val="00BB7D6B"/>
    <w:rsid w:val="00BB7E42"/>
    <w:rsid w:val="00BB7F2A"/>
    <w:rsid w:val="00BB7F9E"/>
    <w:rsid w:val="00BC00FB"/>
    <w:rsid w:val="00BC042C"/>
    <w:rsid w:val="00BC04AE"/>
    <w:rsid w:val="00BC054B"/>
    <w:rsid w:val="00BC0560"/>
    <w:rsid w:val="00BC05A7"/>
    <w:rsid w:val="00BC0798"/>
    <w:rsid w:val="00BC0871"/>
    <w:rsid w:val="00BC08CA"/>
    <w:rsid w:val="00BC08E1"/>
    <w:rsid w:val="00BC0952"/>
    <w:rsid w:val="00BC0A2A"/>
    <w:rsid w:val="00BC0A75"/>
    <w:rsid w:val="00BC0AF3"/>
    <w:rsid w:val="00BC0B20"/>
    <w:rsid w:val="00BC0B81"/>
    <w:rsid w:val="00BC0BBC"/>
    <w:rsid w:val="00BC0E36"/>
    <w:rsid w:val="00BC0E67"/>
    <w:rsid w:val="00BC0EA6"/>
    <w:rsid w:val="00BC0EF8"/>
    <w:rsid w:val="00BC1021"/>
    <w:rsid w:val="00BC10DE"/>
    <w:rsid w:val="00BC10EE"/>
    <w:rsid w:val="00BC1261"/>
    <w:rsid w:val="00BC1336"/>
    <w:rsid w:val="00BC13AF"/>
    <w:rsid w:val="00BC149C"/>
    <w:rsid w:val="00BC1535"/>
    <w:rsid w:val="00BC15E6"/>
    <w:rsid w:val="00BC16A7"/>
    <w:rsid w:val="00BC16FE"/>
    <w:rsid w:val="00BC17B0"/>
    <w:rsid w:val="00BC1944"/>
    <w:rsid w:val="00BC1A93"/>
    <w:rsid w:val="00BC1A9F"/>
    <w:rsid w:val="00BC1B9F"/>
    <w:rsid w:val="00BC1D89"/>
    <w:rsid w:val="00BC1F82"/>
    <w:rsid w:val="00BC1FD0"/>
    <w:rsid w:val="00BC2067"/>
    <w:rsid w:val="00BC2092"/>
    <w:rsid w:val="00BC20A3"/>
    <w:rsid w:val="00BC20CE"/>
    <w:rsid w:val="00BC2137"/>
    <w:rsid w:val="00BC21F0"/>
    <w:rsid w:val="00BC2205"/>
    <w:rsid w:val="00BC221F"/>
    <w:rsid w:val="00BC22C4"/>
    <w:rsid w:val="00BC2379"/>
    <w:rsid w:val="00BC25AC"/>
    <w:rsid w:val="00BC25F9"/>
    <w:rsid w:val="00BC26EC"/>
    <w:rsid w:val="00BC26F4"/>
    <w:rsid w:val="00BC26F8"/>
    <w:rsid w:val="00BC2710"/>
    <w:rsid w:val="00BC274D"/>
    <w:rsid w:val="00BC278D"/>
    <w:rsid w:val="00BC27F3"/>
    <w:rsid w:val="00BC281D"/>
    <w:rsid w:val="00BC2883"/>
    <w:rsid w:val="00BC28B8"/>
    <w:rsid w:val="00BC2AF7"/>
    <w:rsid w:val="00BC2C0D"/>
    <w:rsid w:val="00BC2C66"/>
    <w:rsid w:val="00BC2C9F"/>
    <w:rsid w:val="00BC2D06"/>
    <w:rsid w:val="00BC2DA7"/>
    <w:rsid w:val="00BC2E34"/>
    <w:rsid w:val="00BC2E86"/>
    <w:rsid w:val="00BC2F68"/>
    <w:rsid w:val="00BC2FA2"/>
    <w:rsid w:val="00BC2FB0"/>
    <w:rsid w:val="00BC3078"/>
    <w:rsid w:val="00BC3089"/>
    <w:rsid w:val="00BC3290"/>
    <w:rsid w:val="00BC32BF"/>
    <w:rsid w:val="00BC3400"/>
    <w:rsid w:val="00BC3586"/>
    <w:rsid w:val="00BC365E"/>
    <w:rsid w:val="00BC3697"/>
    <w:rsid w:val="00BC36FC"/>
    <w:rsid w:val="00BC3731"/>
    <w:rsid w:val="00BC3747"/>
    <w:rsid w:val="00BC37D1"/>
    <w:rsid w:val="00BC383F"/>
    <w:rsid w:val="00BC3857"/>
    <w:rsid w:val="00BC3B1E"/>
    <w:rsid w:val="00BC3B78"/>
    <w:rsid w:val="00BC3C3D"/>
    <w:rsid w:val="00BC3C71"/>
    <w:rsid w:val="00BC3C8B"/>
    <w:rsid w:val="00BC3D27"/>
    <w:rsid w:val="00BC3E34"/>
    <w:rsid w:val="00BC3E43"/>
    <w:rsid w:val="00BC3EAD"/>
    <w:rsid w:val="00BC3F61"/>
    <w:rsid w:val="00BC3FB1"/>
    <w:rsid w:val="00BC3FC4"/>
    <w:rsid w:val="00BC4006"/>
    <w:rsid w:val="00BC408D"/>
    <w:rsid w:val="00BC415A"/>
    <w:rsid w:val="00BC4178"/>
    <w:rsid w:val="00BC42B6"/>
    <w:rsid w:val="00BC4318"/>
    <w:rsid w:val="00BC432E"/>
    <w:rsid w:val="00BC43FC"/>
    <w:rsid w:val="00BC4420"/>
    <w:rsid w:val="00BC44BB"/>
    <w:rsid w:val="00BC4522"/>
    <w:rsid w:val="00BC46A9"/>
    <w:rsid w:val="00BC470E"/>
    <w:rsid w:val="00BC4721"/>
    <w:rsid w:val="00BC47BE"/>
    <w:rsid w:val="00BC47C1"/>
    <w:rsid w:val="00BC481C"/>
    <w:rsid w:val="00BC49A3"/>
    <w:rsid w:val="00BC4A2D"/>
    <w:rsid w:val="00BC4AC1"/>
    <w:rsid w:val="00BC4B5D"/>
    <w:rsid w:val="00BC4BC3"/>
    <w:rsid w:val="00BC4C58"/>
    <w:rsid w:val="00BC4C5D"/>
    <w:rsid w:val="00BC4C67"/>
    <w:rsid w:val="00BC4C90"/>
    <w:rsid w:val="00BC4EEE"/>
    <w:rsid w:val="00BC4F2F"/>
    <w:rsid w:val="00BC5185"/>
    <w:rsid w:val="00BC51C9"/>
    <w:rsid w:val="00BC53E2"/>
    <w:rsid w:val="00BC5483"/>
    <w:rsid w:val="00BC5564"/>
    <w:rsid w:val="00BC5658"/>
    <w:rsid w:val="00BC56FF"/>
    <w:rsid w:val="00BC57A3"/>
    <w:rsid w:val="00BC59FB"/>
    <w:rsid w:val="00BC5A06"/>
    <w:rsid w:val="00BC5ACA"/>
    <w:rsid w:val="00BC5AE1"/>
    <w:rsid w:val="00BC5BB3"/>
    <w:rsid w:val="00BC5C76"/>
    <w:rsid w:val="00BC5D1F"/>
    <w:rsid w:val="00BC5E12"/>
    <w:rsid w:val="00BC5F7A"/>
    <w:rsid w:val="00BC6040"/>
    <w:rsid w:val="00BC606A"/>
    <w:rsid w:val="00BC618D"/>
    <w:rsid w:val="00BC622E"/>
    <w:rsid w:val="00BC6293"/>
    <w:rsid w:val="00BC62BE"/>
    <w:rsid w:val="00BC6312"/>
    <w:rsid w:val="00BC6422"/>
    <w:rsid w:val="00BC6432"/>
    <w:rsid w:val="00BC6433"/>
    <w:rsid w:val="00BC644C"/>
    <w:rsid w:val="00BC6534"/>
    <w:rsid w:val="00BC6585"/>
    <w:rsid w:val="00BC6599"/>
    <w:rsid w:val="00BC659C"/>
    <w:rsid w:val="00BC6636"/>
    <w:rsid w:val="00BC6792"/>
    <w:rsid w:val="00BC67B4"/>
    <w:rsid w:val="00BC67EC"/>
    <w:rsid w:val="00BC6800"/>
    <w:rsid w:val="00BC689F"/>
    <w:rsid w:val="00BC68EA"/>
    <w:rsid w:val="00BC6958"/>
    <w:rsid w:val="00BC698F"/>
    <w:rsid w:val="00BC69A1"/>
    <w:rsid w:val="00BC6B43"/>
    <w:rsid w:val="00BC6C54"/>
    <w:rsid w:val="00BC6C8E"/>
    <w:rsid w:val="00BC6D0C"/>
    <w:rsid w:val="00BC6D99"/>
    <w:rsid w:val="00BC6E30"/>
    <w:rsid w:val="00BC6FC3"/>
    <w:rsid w:val="00BC6FE8"/>
    <w:rsid w:val="00BC715E"/>
    <w:rsid w:val="00BC7192"/>
    <w:rsid w:val="00BC71CC"/>
    <w:rsid w:val="00BC71CE"/>
    <w:rsid w:val="00BC73CA"/>
    <w:rsid w:val="00BC7512"/>
    <w:rsid w:val="00BC751D"/>
    <w:rsid w:val="00BC754F"/>
    <w:rsid w:val="00BC75D7"/>
    <w:rsid w:val="00BC7911"/>
    <w:rsid w:val="00BC79B8"/>
    <w:rsid w:val="00BC7A91"/>
    <w:rsid w:val="00BC7C8A"/>
    <w:rsid w:val="00BC7D00"/>
    <w:rsid w:val="00BC7D17"/>
    <w:rsid w:val="00BC7D42"/>
    <w:rsid w:val="00BC7D53"/>
    <w:rsid w:val="00BC7F9D"/>
    <w:rsid w:val="00BC7F9E"/>
    <w:rsid w:val="00BC7FA8"/>
    <w:rsid w:val="00BC7FA9"/>
    <w:rsid w:val="00BC7FAB"/>
    <w:rsid w:val="00BC7FBA"/>
    <w:rsid w:val="00BD003F"/>
    <w:rsid w:val="00BD013C"/>
    <w:rsid w:val="00BD01BD"/>
    <w:rsid w:val="00BD01D8"/>
    <w:rsid w:val="00BD0279"/>
    <w:rsid w:val="00BD048A"/>
    <w:rsid w:val="00BD0730"/>
    <w:rsid w:val="00BD093F"/>
    <w:rsid w:val="00BD09AF"/>
    <w:rsid w:val="00BD0A60"/>
    <w:rsid w:val="00BD0AD1"/>
    <w:rsid w:val="00BD0AD9"/>
    <w:rsid w:val="00BD0C74"/>
    <w:rsid w:val="00BD0C8E"/>
    <w:rsid w:val="00BD0CD1"/>
    <w:rsid w:val="00BD0CEA"/>
    <w:rsid w:val="00BD0E03"/>
    <w:rsid w:val="00BD0E0C"/>
    <w:rsid w:val="00BD0E22"/>
    <w:rsid w:val="00BD0E51"/>
    <w:rsid w:val="00BD0E8F"/>
    <w:rsid w:val="00BD0EA6"/>
    <w:rsid w:val="00BD0FB6"/>
    <w:rsid w:val="00BD1072"/>
    <w:rsid w:val="00BD113A"/>
    <w:rsid w:val="00BD116D"/>
    <w:rsid w:val="00BD118C"/>
    <w:rsid w:val="00BD1268"/>
    <w:rsid w:val="00BD141F"/>
    <w:rsid w:val="00BD1423"/>
    <w:rsid w:val="00BD1459"/>
    <w:rsid w:val="00BD1497"/>
    <w:rsid w:val="00BD158B"/>
    <w:rsid w:val="00BD1646"/>
    <w:rsid w:val="00BD16DA"/>
    <w:rsid w:val="00BD1709"/>
    <w:rsid w:val="00BD17F0"/>
    <w:rsid w:val="00BD1858"/>
    <w:rsid w:val="00BD1875"/>
    <w:rsid w:val="00BD1A12"/>
    <w:rsid w:val="00BD1AE2"/>
    <w:rsid w:val="00BD1B7E"/>
    <w:rsid w:val="00BD1BA5"/>
    <w:rsid w:val="00BD1BA9"/>
    <w:rsid w:val="00BD1BC6"/>
    <w:rsid w:val="00BD1BE7"/>
    <w:rsid w:val="00BD1C00"/>
    <w:rsid w:val="00BD1D28"/>
    <w:rsid w:val="00BD1D3E"/>
    <w:rsid w:val="00BD1DD8"/>
    <w:rsid w:val="00BD1DEB"/>
    <w:rsid w:val="00BD1E4F"/>
    <w:rsid w:val="00BD1EEE"/>
    <w:rsid w:val="00BD1F28"/>
    <w:rsid w:val="00BD1F4A"/>
    <w:rsid w:val="00BD1F4C"/>
    <w:rsid w:val="00BD20BF"/>
    <w:rsid w:val="00BD2153"/>
    <w:rsid w:val="00BD2347"/>
    <w:rsid w:val="00BD2442"/>
    <w:rsid w:val="00BD2644"/>
    <w:rsid w:val="00BD2682"/>
    <w:rsid w:val="00BD26CD"/>
    <w:rsid w:val="00BD2711"/>
    <w:rsid w:val="00BD2975"/>
    <w:rsid w:val="00BD29B5"/>
    <w:rsid w:val="00BD29DB"/>
    <w:rsid w:val="00BD2A29"/>
    <w:rsid w:val="00BD2A87"/>
    <w:rsid w:val="00BD2B7C"/>
    <w:rsid w:val="00BD2C2C"/>
    <w:rsid w:val="00BD2C62"/>
    <w:rsid w:val="00BD2DE4"/>
    <w:rsid w:val="00BD2DE7"/>
    <w:rsid w:val="00BD2E23"/>
    <w:rsid w:val="00BD2E76"/>
    <w:rsid w:val="00BD2ED5"/>
    <w:rsid w:val="00BD2EDD"/>
    <w:rsid w:val="00BD3068"/>
    <w:rsid w:val="00BD306B"/>
    <w:rsid w:val="00BD310B"/>
    <w:rsid w:val="00BD312F"/>
    <w:rsid w:val="00BD3132"/>
    <w:rsid w:val="00BD31A3"/>
    <w:rsid w:val="00BD3342"/>
    <w:rsid w:val="00BD335E"/>
    <w:rsid w:val="00BD3362"/>
    <w:rsid w:val="00BD3371"/>
    <w:rsid w:val="00BD3427"/>
    <w:rsid w:val="00BD34F4"/>
    <w:rsid w:val="00BD35D2"/>
    <w:rsid w:val="00BD364D"/>
    <w:rsid w:val="00BD3688"/>
    <w:rsid w:val="00BD3762"/>
    <w:rsid w:val="00BD38E7"/>
    <w:rsid w:val="00BD393D"/>
    <w:rsid w:val="00BD398E"/>
    <w:rsid w:val="00BD3A4E"/>
    <w:rsid w:val="00BD3ABE"/>
    <w:rsid w:val="00BD3B1F"/>
    <w:rsid w:val="00BD3B34"/>
    <w:rsid w:val="00BD3B37"/>
    <w:rsid w:val="00BD3B81"/>
    <w:rsid w:val="00BD3C6B"/>
    <w:rsid w:val="00BD3C88"/>
    <w:rsid w:val="00BD3CDC"/>
    <w:rsid w:val="00BD3D85"/>
    <w:rsid w:val="00BD3DF6"/>
    <w:rsid w:val="00BD3E5B"/>
    <w:rsid w:val="00BD3E9D"/>
    <w:rsid w:val="00BD3EC8"/>
    <w:rsid w:val="00BD3F06"/>
    <w:rsid w:val="00BD3F8B"/>
    <w:rsid w:val="00BD3FD8"/>
    <w:rsid w:val="00BD418F"/>
    <w:rsid w:val="00BD4218"/>
    <w:rsid w:val="00BD4356"/>
    <w:rsid w:val="00BD43F8"/>
    <w:rsid w:val="00BD4432"/>
    <w:rsid w:val="00BD4553"/>
    <w:rsid w:val="00BD45B6"/>
    <w:rsid w:val="00BD45EB"/>
    <w:rsid w:val="00BD4611"/>
    <w:rsid w:val="00BD4731"/>
    <w:rsid w:val="00BD475D"/>
    <w:rsid w:val="00BD487F"/>
    <w:rsid w:val="00BD498E"/>
    <w:rsid w:val="00BD49CA"/>
    <w:rsid w:val="00BD4ADF"/>
    <w:rsid w:val="00BD4B9D"/>
    <w:rsid w:val="00BD4BE3"/>
    <w:rsid w:val="00BD4D17"/>
    <w:rsid w:val="00BD4E33"/>
    <w:rsid w:val="00BD4E39"/>
    <w:rsid w:val="00BD4E44"/>
    <w:rsid w:val="00BD4F85"/>
    <w:rsid w:val="00BD5004"/>
    <w:rsid w:val="00BD508F"/>
    <w:rsid w:val="00BD523E"/>
    <w:rsid w:val="00BD52B3"/>
    <w:rsid w:val="00BD538A"/>
    <w:rsid w:val="00BD53A9"/>
    <w:rsid w:val="00BD543B"/>
    <w:rsid w:val="00BD5496"/>
    <w:rsid w:val="00BD55C1"/>
    <w:rsid w:val="00BD561A"/>
    <w:rsid w:val="00BD56A6"/>
    <w:rsid w:val="00BD57AA"/>
    <w:rsid w:val="00BD57C8"/>
    <w:rsid w:val="00BD57F5"/>
    <w:rsid w:val="00BD587D"/>
    <w:rsid w:val="00BD58F0"/>
    <w:rsid w:val="00BD5A0C"/>
    <w:rsid w:val="00BD5A42"/>
    <w:rsid w:val="00BD5A94"/>
    <w:rsid w:val="00BD5B19"/>
    <w:rsid w:val="00BD5BD0"/>
    <w:rsid w:val="00BD5CC7"/>
    <w:rsid w:val="00BD5D20"/>
    <w:rsid w:val="00BD5D4D"/>
    <w:rsid w:val="00BD5E6D"/>
    <w:rsid w:val="00BD5EC8"/>
    <w:rsid w:val="00BD5ECC"/>
    <w:rsid w:val="00BD5FF9"/>
    <w:rsid w:val="00BD6218"/>
    <w:rsid w:val="00BD6300"/>
    <w:rsid w:val="00BD6338"/>
    <w:rsid w:val="00BD6415"/>
    <w:rsid w:val="00BD64B7"/>
    <w:rsid w:val="00BD64DB"/>
    <w:rsid w:val="00BD6508"/>
    <w:rsid w:val="00BD6571"/>
    <w:rsid w:val="00BD6592"/>
    <w:rsid w:val="00BD65BA"/>
    <w:rsid w:val="00BD673A"/>
    <w:rsid w:val="00BD6763"/>
    <w:rsid w:val="00BD67AB"/>
    <w:rsid w:val="00BD693E"/>
    <w:rsid w:val="00BD696C"/>
    <w:rsid w:val="00BD6AD3"/>
    <w:rsid w:val="00BD6B14"/>
    <w:rsid w:val="00BD6C84"/>
    <w:rsid w:val="00BD6CB4"/>
    <w:rsid w:val="00BD6CE0"/>
    <w:rsid w:val="00BD6E47"/>
    <w:rsid w:val="00BD708A"/>
    <w:rsid w:val="00BD71D4"/>
    <w:rsid w:val="00BD7222"/>
    <w:rsid w:val="00BD7266"/>
    <w:rsid w:val="00BD735F"/>
    <w:rsid w:val="00BD741D"/>
    <w:rsid w:val="00BD7490"/>
    <w:rsid w:val="00BD74A2"/>
    <w:rsid w:val="00BD74BD"/>
    <w:rsid w:val="00BD7511"/>
    <w:rsid w:val="00BD7538"/>
    <w:rsid w:val="00BD7546"/>
    <w:rsid w:val="00BD756F"/>
    <w:rsid w:val="00BD7871"/>
    <w:rsid w:val="00BD79A7"/>
    <w:rsid w:val="00BD7ABA"/>
    <w:rsid w:val="00BD7B59"/>
    <w:rsid w:val="00BD7C19"/>
    <w:rsid w:val="00BD7E10"/>
    <w:rsid w:val="00BD7E30"/>
    <w:rsid w:val="00BD7FB3"/>
    <w:rsid w:val="00BE007C"/>
    <w:rsid w:val="00BE020C"/>
    <w:rsid w:val="00BE0223"/>
    <w:rsid w:val="00BE02B6"/>
    <w:rsid w:val="00BE0354"/>
    <w:rsid w:val="00BE0475"/>
    <w:rsid w:val="00BE04CC"/>
    <w:rsid w:val="00BE05CD"/>
    <w:rsid w:val="00BE05E3"/>
    <w:rsid w:val="00BE06F1"/>
    <w:rsid w:val="00BE0744"/>
    <w:rsid w:val="00BE07F8"/>
    <w:rsid w:val="00BE0A05"/>
    <w:rsid w:val="00BE0A97"/>
    <w:rsid w:val="00BE0ABE"/>
    <w:rsid w:val="00BE0BC3"/>
    <w:rsid w:val="00BE0C74"/>
    <w:rsid w:val="00BE0C8F"/>
    <w:rsid w:val="00BE0CA6"/>
    <w:rsid w:val="00BE0CB3"/>
    <w:rsid w:val="00BE0CBE"/>
    <w:rsid w:val="00BE0CF5"/>
    <w:rsid w:val="00BE0CFB"/>
    <w:rsid w:val="00BE0D4E"/>
    <w:rsid w:val="00BE0DC4"/>
    <w:rsid w:val="00BE0E83"/>
    <w:rsid w:val="00BE0EF5"/>
    <w:rsid w:val="00BE110E"/>
    <w:rsid w:val="00BE112C"/>
    <w:rsid w:val="00BE125F"/>
    <w:rsid w:val="00BE12E1"/>
    <w:rsid w:val="00BE12EA"/>
    <w:rsid w:val="00BE1391"/>
    <w:rsid w:val="00BE1412"/>
    <w:rsid w:val="00BE15E5"/>
    <w:rsid w:val="00BE1768"/>
    <w:rsid w:val="00BE18FB"/>
    <w:rsid w:val="00BE191B"/>
    <w:rsid w:val="00BE19A3"/>
    <w:rsid w:val="00BE1A95"/>
    <w:rsid w:val="00BE1B18"/>
    <w:rsid w:val="00BE1C7C"/>
    <w:rsid w:val="00BE1CB0"/>
    <w:rsid w:val="00BE1D1F"/>
    <w:rsid w:val="00BE1D5C"/>
    <w:rsid w:val="00BE1E56"/>
    <w:rsid w:val="00BE1EE3"/>
    <w:rsid w:val="00BE1FEE"/>
    <w:rsid w:val="00BE20E2"/>
    <w:rsid w:val="00BE215E"/>
    <w:rsid w:val="00BE22AF"/>
    <w:rsid w:val="00BE2351"/>
    <w:rsid w:val="00BE2392"/>
    <w:rsid w:val="00BE2487"/>
    <w:rsid w:val="00BE24A4"/>
    <w:rsid w:val="00BE2501"/>
    <w:rsid w:val="00BE2511"/>
    <w:rsid w:val="00BE2551"/>
    <w:rsid w:val="00BE2587"/>
    <w:rsid w:val="00BE2618"/>
    <w:rsid w:val="00BE265B"/>
    <w:rsid w:val="00BE2769"/>
    <w:rsid w:val="00BE27DD"/>
    <w:rsid w:val="00BE28A1"/>
    <w:rsid w:val="00BE290A"/>
    <w:rsid w:val="00BE2911"/>
    <w:rsid w:val="00BE2958"/>
    <w:rsid w:val="00BE2A06"/>
    <w:rsid w:val="00BE2AA1"/>
    <w:rsid w:val="00BE2AB2"/>
    <w:rsid w:val="00BE2B04"/>
    <w:rsid w:val="00BE2B8A"/>
    <w:rsid w:val="00BE2BF1"/>
    <w:rsid w:val="00BE2CBF"/>
    <w:rsid w:val="00BE2CE9"/>
    <w:rsid w:val="00BE2D50"/>
    <w:rsid w:val="00BE2DB1"/>
    <w:rsid w:val="00BE2DCA"/>
    <w:rsid w:val="00BE2ECA"/>
    <w:rsid w:val="00BE2F53"/>
    <w:rsid w:val="00BE2FC6"/>
    <w:rsid w:val="00BE2FE1"/>
    <w:rsid w:val="00BE308E"/>
    <w:rsid w:val="00BE3116"/>
    <w:rsid w:val="00BE31D0"/>
    <w:rsid w:val="00BE31F4"/>
    <w:rsid w:val="00BE32C3"/>
    <w:rsid w:val="00BE3371"/>
    <w:rsid w:val="00BE3493"/>
    <w:rsid w:val="00BE34B3"/>
    <w:rsid w:val="00BE352E"/>
    <w:rsid w:val="00BE3537"/>
    <w:rsid w:val="00BE35D9"/>
    <w:rsid w:val="00BE3607"/>
    <w:rsid w:val="00BE368A"/>
    <w:rsid w:val="00BE369D"/>
    <w:rsid w:val="00BE36A2"/>
    <w:rsid w:val="00BE36C1"/>
    <w:rsid w:val="00BE370A"/>
    <w:rsid w:val="00BE3741"/>
    <w:rsid w:val="00BE37F8"/>
    <w:rsid w:val="00BE3910"/>
    <w:rsid w:val="00BE3916"/>
    <w:rsid w:val="00BE3926"/>
    <w:rsid w:val="00BE3975"/>
    <w:rsid w:val="00BE39BF"/>
    <w:rsid w:val="00BE3AE4"/>
    <w:rsid w:val="00BE3D66"/>
    <w:rsid w:val="00BE3DDC"/>
    <w:rsid w:val="00BE3E0D"/>
    <w:rsid w:val="00BE3E90"/>
    <w:rsid w:val="00BE4001"/>
    <w:rsid w:val="00BE4049"/>
    <w:rsid w:val="00BE4117"/>
    <w:rsid w:val="00BE4124"/>
    <w:rsid w:val="00BE415E"/>
    <w:rsid w:val="00BE41BA"/>
    <w:rsid w:val="00BE41BE"/>
    <w:rsid w:val="00BE4286"/>
    <w:rsid w:val="00BE4340"/>
    <w:rsid w:val="00BE43A6"/>
    <w:rsid w:val="00BE459D"/>
    <w:rsid w:val="00BE45F6"/>
    <w:rsid w:val="00BE45FA"/>
    <w:rsid w:val="00BE4722"/>
    <w:rsid w:val="00BE472E"/>
    <w:rsid w:val="00BE4732"/>
    <w:rsid w:val="00BE4767"/>
    <w:rsid w:val="00BE478A"/>
    <w:rsid w:val="00BE48F1"/>
    <w:rsid w:val="00BE48F6"/>
    <w:rsid w:val="00BE49A7"/>
    <w:rsid w:val="00BE49EE"/>
    <w:rsid w:val="00BE4AC4"/>
    <w:rsid w:val="00BE4B8C"/>
    <w:rsid w:val="00BE4D5C"/>
    <w:rsid w:val="00BE4EB3"/>
    <w:rsid w:val="00BE4EDB"/>
    <w:rsid w:val="00BE4F82"/>
    <w:rsid w:val="00BE4FAD"/>
    <w:rsid w:val="00BE509B"/>
    <w:rsid w:val="00BE5102"/>
    <w:rsid w:val="00BE513C"/>
    <w:rsid w:val="00BE517C"/>
    <w:rsid w:val="00BE5216"/>
    <w:rsid w:val="00BE529F"/>
    <w:rsid w:val="00BE52E6"/>
    <w:rsid w:val="00BE534E"/>
    <w:rsid w:val="00BE5361"/>
    <w:rsid w:val="00BE5379"/>
    <w:rsid w:val="00BE5420"/>
    <w:rsid w:val="00BE54BC"/>
    <w:rsid w:val="00BE54E9"/>
    <w:rsid w:val="00BE557A"/>
    <w:rsid w:val="00BE5584"/>
    <w:rsid w:val="00BE56D4"/>
    <w:rsid w:val="00BE5719"/>
    <w:rsid w:val="00BE58AA"/>
    <w:rsid w:val="00BE5A1D"/>
    <w:rsid w:val="00BE5A84"/>
    <w:rsid w:val="00BE5B0B"/>
    <w:rsid w:val="00BE5B1E"/>
    <w:rsid w:val="00BE5BF2"/>
    <w:rsid w:val="00BE5C67"/>
    <w:rsid w:val="00BE5D51"/>
    <w:rsid w:val="00BE5E42"/>
    <w:rsid w:val="00BE5E61"/>
    <w:rsid w:val="00BE5E64"/>
    <w:rsid w:val="00BE5E65"/>
    <w:rsid w:val="00BE5E6F"/>
    <w:rsid w:val="00BE5EBD"/>
    <w:rsid w:val="00BE5F57"/>
    <w:rsid w:val="00BE5FC8"/>
    <w:rsid w:val="00BE60E9"/>
    <w:rsid w:val="00BE6154"/>
    <w:rsid w:val="00BE61C5"/>
    <w:rsid w:val="00BE63E8"/>
    <w:rsid w:val="00BE6494"/>
    <w:rsid w:val="00BE64EF"/>
    <w:rsid w:val="00BE64FD"/>
    <w:rsid w:val="00BE650A"/>
    <w:rsid w:val="00BE6519"/>
    <w:rsid w:val="00BE6627"/>
    <w:rsid w:val="00BE6640"/>
    <w:rsid w:val="00BE6670"/>
    <w:rsid w:val="00BE66BB"/>
    <w:rsid w:val="00BE66ED"/>
    <w:rsid w:val="00BE6706"/>
    <w:rsid w:val="00BE6A05"/>
    <w:rsid w:val="00BE6A0C"/>
    <w:rsid w:val="00BE6A5D"/>
    <w:rsid w:val="00BE6AB8"/>
    <w:rsid w:val="00BE6B80"/>
    <w:rsid w:val="00BE6C0D"/>
    <w:rsid w:val="00BE6C39"/>
    <w:rsid w:val="00BE6C84"/>
    <w:rsid w:val="00BE6D0E"/>
    <w:rsid w:val="00BE6DE4"/>
    <w:rsid w:val="00BE6EDA"/>
    <w:rsid w:val="00BE70A7"/>
    <w:rsid w:val="00BE71B0"/>
    <w:rsid w:val="00BE7218"/>
    <w:rsid w:val="00BE7219"/>
    <w:rsid w:val="00BE72C1"/>
    <w:rsid w:val="00BE7339"/>
    <w:rsid w:val="00BE73E0"/>
    <w:rsid w:val="00BE743A"/>
    <w:rsid w:val="00BE7460"/>
    <w:rsid w:val="00BE748A"/>
    <w:rsid w:val="00BE74DC"/>
    <w:rsid w:val="00BE7532"/>
    <w:rsid w:val="00BE75D4"/>
    <w:rsid w:val="00BE75E5"/>
    <w:rsid w:val="00BE7646"/>
    <w:rsid w:val="00BE76CB"/>
    <w:rsid w:val="00BE76E3"/>
    <w:rsid w:val="00BE785F"/>
    <w:rsid w:val="00BE786F"/>
    <w:rsid w:val="00BE79B1"/>
    <w:rsid w:val="00BE7A5F"/>
    <w:rsid w:val="00BE7B05"/>
    <w:rsid w:val="00BE7B72"/>
    <w:rsid w:val="00BE7BDF"/>
    <w:rsid w:val="00BE7C1D"/>
    <w:rsid w:val="00BE7C52"/>
    <w:rsid w:val="00BE7C77"/>
    <w:rsid w:val="00BE7D00"/>
    <w:rsid w:val="00BE7E77"/>
    <w:rsid w:val="00BE7F46"/>
    <w:rsid w:val="00BE7F76"/>
    <w:rsid w:val="00BE7F94"/>
    <w:rsid w:val="00BE7FC1"/>
    <w:rsid w:val="00BE7FF1"/>
    <w:rsid w:val="00BF0012"/>
    <w:rsid w:val="00BF0031"/>
    <w:rsid w:val="00BF0117"/>
    <w:rsid w:val="00BF017C"/>
    <w:rsid w:val="00BF0197"/>
    <w:rsid w:val="00BF01D7"/>
    <w:rsid w:val="00BF0213"/>
    <w:rsid w:val="00BF02C2"/>
    <w:rsid w:val="00BF0302"/>
    <w:rsid w:val="00BF031C"/>
    <w:rsid w:val="00BF03CE"/>
    <w:rsid w:val="00BF057E"/>
    <w:rsid w:val="00BF0618"/>
    <w:rsid w:val="00BF0630"/>
    <w:rsid w:val="00BF0697"/>
    <w:rsid w:val="00BF0720"/>
    <w:rsid w:val="00BF07BE"/>
    <w:rsid w:val="00BF0883"/>
    <w:rsid w:val="00BF08EC"/>
    <w:rsid w:val="00BF08F7"/>
    <w:rsid w:val="00BF0A81"/>
    <w:rsid w:val="00BF0AD6"/>
    <w:rsid w:val="00BF0BD9"/>
    <w:rsid w:val="00BF0C18"/>
    <w:rsid w:val="00BF0CA0"/>
    <w:rsid w:val="00BF0F0F"/>
    <w:rsid w:val="00BF0F21"/>
    <w:rsid w:val="00BF105C"/>
    <w:rsid w:val="00BF1118"/>
    <w:rsid w:val="00BF117B"/>
    <w:rsid w:val="00BF13BA"/>
    <w:rsid w:val="00BF145D"/>
    <w:rsid w:val="00BF1461"/>
    <w:rsid w:val="00BF148F"/>
    <w:rsid w:val="00BF14F7"/>
    <w:rsid w:val="00BF1596"/>
    <w:rsid w:val="00BF17E3"/>
    <w:rsid w:val="00BF18E1"/>
    <w:rsid w:val="00BF19C1"/>
    <w:rsid w:val="00BF19C6"/>
    <w:rsid w:val="00BF1A5B"/>
    <w:rsid w:val="00BF1A90"/>
    <w:rsid w:val="00BF1AF9"/>
    <w:rsid w:val="00BF1B14"/>
    <w:rsid w:val="00BF1BA9"/>
    <w:rsid w:val="00BF1C79"/>
    <w:rsid w:val="00BF1C86"/>
    <w:rsid w:val="00BF1CA8"/>
    <w:rsid w:val="00BF1D16"/>
    <w:rsid w:val="00BF1E1C"/>
    <w:rsid w:val="00BF1E86"/>
    <w:rsid w:val="00BF1E88"/>
    <w:rsid w:val="00BF2030"/>
    <w:rsid w:val="00BF2123"/>
    <w:rsid w:val="00BF21DC"/>
    <w:rsid w:val="00BF2263"/>
    <w:rsid w:val="00BF22AA"/>
    <w:rsid w:val="00BF2322"/>
    <w:rsid w:val="00BF2344"/>
    <w:rsid w:val="00BF243C"/>
    <w:rsid w:val="00BF246E"/>
    <w:rsid w:val="00BF24FC"/>
    <w:rsid w:val="00BF2666"/>
    <w:rsid w:val="00BF2730"/>
    <w:rsid w:val="00BF275C"/>
    <w:rsid w:val="00BF286B"/>
    <w:rsid w:val="00BF292F"/>
    <w:rsid w:val="00BF294F"/>
    <w:rsid w:val="00BF2A15"/>
    <w:rsid w:val="00BF2A1E"/>
    <w:rsid w:val="00BF2A82"/>
    <w:rsid w:val="00BF2B1B"/>
    <w:rsid w:val="00BF2B38"/>
    <w:rsid w:val="00BF2B7C"/>
    <w:rsid w:val="00BF2BB4"/>
    <w:rsid w:val="00BF2C11"/>
    <w:rsid w:val="00BF2CBF"/>
    <w:rsid w:val="00BF2CFB"/>
    <w:rsid w:val="00BF2CFE"/>
    <w:rsid w:val="00BF2E00"/>
    <w:rsid w:val="00BF2E06"/>
    <w:rsid w:val="00BF2ECD"/>
    <w:rsid w:val="00BF316C"/>
    <w:rsid w:val="00BF31F9"/>
    <w:rsid w:val="00BF3267"/>
    <w:rsid w:val="00BF3372"/>
    <w:rsid w:val="00BF3434"/>
    <w:rsid w:val="00BF344A"/>
    <w:rsid w:val="00BF3452"/>
    <w:rsid w:val="00BF3499"/>
    <w:rsid w:val="00BF34C3"/>
    <w:rsid w:val="00BF34D6"/>
    <w:rsid w:val="00BF353C"/>
    <w:rsid w:val="00BF35D1"/>
    <w:rsid w:val="00BF36D1"/>
    <w:rsid w:val="00BF371C"/>
    <w:rsid w:val="00BF38E5"/>
    <w:rsid w:val="00BF38EA"/>
    <w:rsid w:val="00BF3A44"/>
    <w:rsid w:val="00BF3ADA"/>
    <w:rsid w:val="00BF3B0D"/>
    <w:rsid w:val="00BF3B0E"/>
    <w:rsid w:val="00BF3C13"/>
    <w:rsid w:val="00BF3CA8"/>
    <w:rsid w:val="00BF3CF7"/>
    <w:rsid w:val="00BF3D0F"/>
    <w:rsid w:val="00BF3D51"/>
    <w:rsid w:val="00BF3DAB"/>
    <w:rsid w:val="00BF3E5D"/>
    <w:rsid w:val="00BF3E7B"/>
    <w:rsid w:val="00BF3F97"/>
    <w:rsid w:val="00BF3FCD"/>
    <w:rsid w:val="00BF3FF4"/>
    <w:rsid w:val="00BF400C"/>
    <w:rsid w:val="00BF406B"/>
    <w:rsid w:val="00BF40B6"/>
    <w:rsid w:val="00BF420F"/>
    <w:rsid w:val="00BF4601"/>
    <w:rsid w:val="00BF4767"/>
    <w:rsid w:val="00BF4781"/>
    <w:rsid w:val="00BF48EB"/>
    <w:rsid w:val="00BF4A3D"/>
    <w:rsid w:val="00BF4AB4"/>
    <w:rsid w:val="00BF4AFE"/>
    <w:rsid w:val="00BF4B92"/>
    <w:rsid w:val="00BF4C13"/>
    <w:rsid w:val="00BF4C37"/>
    <w:rsid w:val="00BF4D44"/>
    <w:rsid w:val="00BF4DDA"/>
    <w:rsid w:val="00BF4E4A"/>
    <w:rsid w:val="00BF4E5E"/>
    <w:rsid w:val="00BF4E8D"/>
    <w:rsid w:val="00BF4F30"/>
    <w:rsid w:val="00BF5070"/>
    <w:rsid w:val="00BF50A4"/>
    <w:rsid w:val="00BF5104"/>
    <w:rsid w:val="00BF5122"/>
    <w:rsid w:val="00BF51C8"/>
    <w:rsid w:val="00BF51FD"/>
    <w:rsid w:val="00BF5470"/>
    <w:rsid w:val="00BF55C2"/>
    <w:rsid w:val="00BF55F5"/>
    <w:rsid w:val="00BF5630"/>
    <w:rsid w:val="00BF56F3"/>
    <w:rsid w:val="00BF56FC"/>
    <w:rsid w:val="00BF57C3"/>
    <w:rsid w:val="00BF57C6"/>
    <w:rsid w:val="00BF5841"/>
    <w:rsid w:val="00BF5887"/>
    <w:rsid w:val="00BF58E1"/>
    <w:rsid w:val="00BF5A29"/>
    <w:rsid w:val="00BF5A42"/>
    <w:rsid w:val="00BF5A83"/>
    <w:rsid w:val="00BF5B28"/>
    <w:rsid w:val="00BF5B8B"/>
    <w:rsid w:val="00BF5CB9"/>
    <w:rsid w:val="00BF5E73"/>
    <w:rsid w:val="00BF5EBE"/>
    <w:rsid w:val="00BF5F76"/>
    <w:rsid w:val="00BF5FCD"/>
    <w:rsid w:val="00BF604B"/>
    <w:rsid w:val="00BF607E"/>
    <w:rsid w:val="00BF6080"/>
    <w:rsid w:val="00BF6131"/>
    <w:rsid w:val="00BF6256"/>
    <w:rsid w:val="00BF6284"/>
    <w:rsid w:val="00BF63F2"/>
    <w:rsid w:val="00BF6487"/>
    <w:rsid w:val="00BF64C1"/>
    <w:rsid w:val="00BF653C"/>
    <w:rsid w:val="00BF6612"/>
    <w:rsid w:val="00BF6764"/>
    <w:rsid w:val="00BF67AD"/>
    <w:rsid w:val="00BF67BD"/>
    <w:rsid w:val="00BF67D6"/>
    <w:rsid w:val="00BF682D"/>
    <w:rsid w:val="00BF685A"/>
    <w:rsid w:val="00BF68D9"/>
    <w:rsid w:val="00BF6923"/>
    <w:rsid w:val="00BF6946"/>
    <w:rsid w:val="00BF6992"/>
    <w:rsid w:val="00BF69D7"/>
    <w:rsid w:val="00BF69E3"/>
    <w:rsid w:val="00BF6A5E"/>
    <w:rsid w:val="00BF6B72"/>
    <w:rsid w:val="00BF6C64"/>
    <w:rsid w:val="00BF6C73"/>
    <w:rsid w:val="00BF6D1C"/>
    <w:rsid w:val="00BF6DD2"/>
    <w:rsid w:val="00BF6EBF"/>
    <w:rsid w:val="00BF705E"/>
    <w:rsid w:val="00BF7095"/>
    <w:rsid w:val="00BF70A1"/>
    <w:rsid w:val="00BF71DB"/>
    <w:rsid w:val="00BF73E2"/>
    <w:rsid w:val="00BF73EF"/>
    <w:rsid w:val="00BF7486"/>
    <w:rsid w:val="00BF74DE"/>
    <w:rsid w:val="00BF7516"/>
    <w:rsid w:val="00BF7612"/>
    <w:rsid w:val="00BF7619"/>
    <w:rsid w:val="00BF7727"/>
    <w:rsid w:val="00BF78D1"/>
    <w:rsid w:val="00BF78F4"/>
    <w:rsid w:val="00BF7902"/>
    <w:rsid w:val="00BF790B"/>
    <w:rsid w:val="00BF7B4E"/>
    <w:rsid w:val="00BF7B91"/>
    <w:rsid w:val="00BF7BFC"/>
    <w:rsid w:val="00BF7C83"/>
    <w:rsid w:val="00BF7D20"/>
    <w:rsid w:val="00BF7D90"/>
    <w:rsid w:val="00BF7E1C"/>
    <w:rsid w:val="00BF7EFF"/>
    <w:rsid w:val="00BF7FF5"/>
    <w:rsid w:val="00C000DE"/>
    <w:rsid w:val="00C00124"/>
    <w:rsid w:val="00C00162"/>
    <w:rsid w:val="00C0016C"/>
    <w:rsid w:val="00C002D0"/>
    <w:rsid w:val="00C00304"/>
    <w:rsid w:val="00C00316"/>
    <w:rsid w:val="00C00399"/>
    <w:rsid w:val="00C003A0"/>
    <w:rsid w:val="00C003A8"/>
    <w:rsid w:val="00C004C2"/>
    <w:rsid w:val="00C0053F"/>
    <w:rsid w:val="00C005C6"/>
    <w:rsid w:val="00C00613"/>
    <w:rsid w:val="00C006DE"/>
    <w:rsid w:val="00C007CC"/>
    <w:rsid w:val="00C00A02"/>
    <w:rsid w:val="00C00A03"/>
    <w:rsid w:val="00C00B1A"/>
    <w:rsid w:val="00C00BC4"/>
    <w:rsid w:val="00C00DCA"/>
    <w:rsid w:val="00C00EA0"/>
    <w:rsid w:val="00C00F14"/>
    <w:rsid w:val="00C00F40"/>
    <w:rsid w:val="00C00F57"/>
    <w:rsid w:val="00C010B4"/>
    <w:rsid w:val="00C01110"/>
    <w:rsid w:val="00C0112E"/>
    <w:rsid w:val="00C0114F"/>
    <w:rsid w:val="00C0120D"/>
    <w:rsid w:val="00C0127D"/>
    <w:rsid w:val="00C01375"/>
    <w:rsid w:val="00C01517"/>
    <w:rsid w:val="00C015B9"/>
    <w:rsid w:val="00C018DC"/>
    <w:rsid w:val="00C01942"/>
    <w:rsid w:val="00C01A39"/>
    <w:rsid w:val="00C01BB4"/>
    <w:rsid w:val="00C01BCE"/>
    <w:rsid w:val="00C01C48"/>
    <w:rsid w:val="00C01C9C"/>
    <w:rsid w:val="00C01E00"/>
    <w:rsid w:val="00C0203D"/>
    <w:rsid w:val="00C02240"/>
    <w:rsid w:val="00C022FA"/>
    <w:rsid w:val="00C0235A"/>
    <w:rsid w:val="00C023BC"/>
    <w:rsid w:val="00C02560"/>
    <w:rsid w:val="00C02607"/>
    <w:rsid w:val="00C02615"/>
    <w:rsid w:val="00C02636"/>
    <w:rsid w:val="00C028E8"/>
    <w:rsid w:val="00C0296F"/>
    <w:rsid w:val="00C029AB"/>
    <w:rsid w:val="00C029D1"/>
    <w:rsid w:val="00C02A96"/>
    <w:rsid w:val="00C02AC9"/>
    <w:rsid w:val="00C02C96"/>
    <w:rsid w:val="00C02D75"/>
    <w:rsid w:val="00C02E56"/>
    <w:rsid w:val="00C02E60"/>
    <w:rsid w:val="00C02E9C"/>
    <w:rsid w:val="00C02EA1"/>
    <w:rsid w:val="00C02EFC"/>
    <w:rsid w:val="00C02F28"/>
    <w:rsid w:val="00C02F88"/>
    <w:rsid w:val="00C02FFE"/>
    <w:rsid w:val="00C03099"/>
    <w:rsid w:val="00C030AF"/>
    <w:rsid w:val="00C030DC"/>
    <w:rsid w:val="00C03151"/>
    <w:rsid w:val="00C0340B"/>
    <w:rsid w:val="00C0347C"/>
    <w:rsid w:val="00C034B8"/>
    <w:rsid w:val="00C034D7"/>
    <w:rsid w:val="00C0353B"/>
    <w:rsid w:val="00C0355B"/>
    <w:rsid w:val="00C036AE"/>
    <w:rsid w:val="00C036C5"/>
    <w:rsid w:val="00C036F5"/>
    <w:rsid w:val="00C0381E"/>
    <w:rsid w:val="00C038AC"/>
    <w:rsid w:val="00C0394A"/>
    <w:rsid w:val="00C039F3"/>
    <w:rsid w:val="00C03B6D"/>
    <w:rsid w:val="00C03BA4"/>
    <w:rsid w:val="00C03BC7"/>
    <w:rsid w:val="00C03BCC"/>
    <w:rsid w:val="00C03BFB"/>
    <w:rsid w:val="00C03E88"/>
    <w:rsid w:val="00C03F04"/>
    <w:rsid w:val="00C03F48"/>
    <w:rsid w:val="00C03F67"/>
    <w:rsid w:val="00C03FA7"/>
    <w:rsid w:val="00C0407C"/>
    <w:rsid w:val="00C0415C"/>
    <w:rsid w:val="00C0418C"/>
    <w:rsid w:val="00C041B3"/>
    <w:rsid w:val="00C041FF"/>
    <w:rsid w:val="00C04369"/>
    <w:rsid w:val="00C044A8"/>
    <w:rsid w:val="00C044B1"/>
    <w:rsid w:val="00C044D0"/>
    <w:rsid w:val="00C045AF"/>
    <w:rsid w:val="00C046AC"/>
    <w:rsid w:val="00C04759"/>
    <w:rsid w:val="00C04763"/>
    <w:rsid w:val="00C04842"/>
    <w:rsid w:val="00C048FC"/>
    <w:rsid w:val="00C0490F"/>
    <w:rsid w:val="00C049E2"/>
    <w:rsid w:val="00C049EF"/>
    <w:rsid w:val="00C04A50"/>
    <w:rsid w:val="00C04ABC"/>
    <w:rsid w:val="00C04AC6"/>
    <w:rsid w:val="00C04ADD"/>
    <w:rsid w:val="00C04B37"/>
    <w:rsid w:val="00C04B7E"/>
    <w:rsid w:val="00C04BB4"/>
    <w:rsid w:val="00C04C20"/>
    <w:rsid w:val="00C04C3C"/>
    <w:rsid w:val="00C04D10"/>
    <w:rsid w:val="00C04ED7"/>
    <w:rsid w:val="00C04F1A"/>
    <w:rsid w:val="00C04F98"/>
    <w:rsid w:val="00C05026"/>
    <w:rsid w:val="00C05077"/>
    <w:rsid w:val="00C0510B"/>
    <w:rsid w:val="00C052C7"/>
    <w:rsid w:val="00C052F4"/>
    <w:rsid w:val="00C05318"/>
    <w:rsid w:val="00C05458"/>
    <w:rsid w:val="00C054F1"/>
    <w:rsid w:val="00C05526"/>
    <w:rsid w:val="00C05594"/>
    <w:rsid w:val="00C055BE"/>
    <w:rsid w:val="00C0561A"/>
    <w:rsid w:val="00C05792"/>
    <w:rsid w:val="00C057C6"/>
    <w:rsid w:val="00C05920"/>
    <w:rsid w:val="00C0595B"/>
    <w:rsid w:val="00C0595C"/>
    <w:rsid w:val="00C05AC9"/>
    <w:rsid w:val="00C05BF3"/>
    <w:rsid w:val="00C05C6F"/>
    <w:rsid w:val="00C05C9A"/>
    <w:rsid w:val="00C05CA8"/>
    <w:rsid w:val="00C05CAF"/>
    <w:rsid w:val="00C05DEA"/>
    <w:rsid w:val="00C05DEB"/>
    <w:rsid w:val="00C05E02"/>
    <w:rsid w:val="00C05E52"/>
    <w:rsid w:val="00C05F0D"/>
    <w:rsid w:val="00C05F28"/>
    <w:rsid w:val="00C05F34"/>
    <w:rsid w:val="00C05F37"/>
    <w:rsid w:val="00C05FD1"/>
    <w:rsid w:val="00C06002"/>
    <w:rsid w:val="00C060DE"/>
    <w:rsid w:val="00C061AB"/>
    <w:rsid w:val="00C061B3"/>
    <w:rsid w:val="00C06209"/>
    <w:rsid w:val="00C062C9"/>
    <w:rsid w:val="00C06426"/>
    <w:rsid w:val="00C0656A"/>
    <w:rsid w:val="00C065C3"/>
    <w:rsid w:val="00C065D6"/>
    <w:rsid w:val="00C06773"/>
    <w:rsid w:val="00C06798"/>
    <w:rsid w:val="00C068CE"/>
    <w:rsid w:val="00C06931"/>
    <w:rsid w:val="00C06ADD"/>
    <w:rsid w:val="00C06BF9"/>
    <w:rsid w:val="00C06D3F"/>
    <w:rsid w:val="00C06D9F"/>
    <w:rsid w:val="00C06E59"/>
    <w:rsid w:val="00C07065"/>
    <w:rsid w:val="00C07204"/>
    <w:rsid w:val="00C07289"/>
    <w:rsid w:val="00C07298"/>
    <w:rsid w:val="00C0734E"/>
    <w:rsid w:val="00C073D7"/>
    <w:rsid w:val="00C073F7"/>
    <w:rsid w:val="00C07422"/>
    <w:rsid w:val="00C07426"/>
    <w:rsid w:val="00C074D8"/>
    <w:rsid w:val="00C0750B"/>
    <w:rsid w:val="00C07522"/>
    <w:rsid w:val="00C07575"/>
    <w:rsid w:val="00C07658"/>
    <w:rsid w:val="00C07727"/>
    <w:rsid w:val="00C07728"/>
    <w:rsid w:val="00C0775A"/>
    <w:rsid w:val="00C0791E"/>
    <w:rsid w:val="00C07920"/>
    <w:rsid w:val="00C07A89"/>
    <w:rsid w:val="00C07A94"/>
    <w:rsid w:val="00C07AA6"/>
    <w:rsid w:val="00C07B05"/>
    <w:rsid w:val="00C07B9D"/>
    <w:rsid w:val="00C07CCD"/>
    <w:rsid w:val="00C07D34"/>
    <w:rsid w:val="00C07F5E"/>
    <w:rsid w:val="00C07FEA"/>
    <w:rsid w:val="00C100C2"/>
    <w:rsid w:val="00C101E1"/>
    <w:rsid w:val="00C1025C"/>
    <w:rsid w:val="00C102E8"/>
    <w:rsid w:val="00C1034B"/>
    <w:rsid w:val="00C10406"/>
    <w:rsid w:val="00C104FD"/>
    <w:rsid w:val="00C105AA"/>
    <w:rsid w:val="00C105B9"/>
    <w:rsid w:val="00C1069F"/>
    <w:rsid w:val="00C10889"/>
    <w:rsid w:val="00C10941"/>
    <w:rsid w:val="00C109A4"/>
    <w:rsid w:val="00C10A91"/>
    <w:rsid w:val="00C10ABF"/>
    <w:rsid w:val="00C10AFD"/>
    <w:rsid w:val="00C10B2C"/>
    <w:rsid w:val="00C10D3A"/>
    <w:rsid w:val="00C10D66"/>
    <w:rsid w:val="00C10DE7"/>
    <w:rsid w:val="00C10F14"/>
    <w:rsid w:val="00C10F1C"/>
    <w:rsid w:val="00C10F61"/>
    <w:rsid w:val="00C110BC"/>
    <w:rsid w:val="00C110D4"/>
    <w:rsid w:val="00C110ED"/>
    <w:rsid w:val="00C11371"/>
    <w:rsid w:val="00C11389"/>
    <w:rsid w:val="00C11467"/>
    <w:rsid w:val="00C115C6"/>
    <w:rsid w:val="00C11803"/>
    <w:rsid w:val="00C11852"/>
    <w:rsid w:val="00C118D1"/>
    <w:rsid w:val="00C1192A"/>
    <w:rsid w:val="00C119F0"/>
    <w:rsid w:val="00C11A2A"/>
    <w:rsid w:val="00C11AE3"/>
    <w:rsid w:val="00C11B7D"/>
    <w:rsid w:val="00C11B88"/>
    <w:rsid w:val="00C11B9E"/>
    <w:rsid w:val="00C11BE5"/>
    <w:rsid w:val="00C11C04"/>
    <w:rsid w:val="00C11C43"/>
    <w:rsid w:val="00C11C50"/>
    <w:rsid w:val="00C11D63"/>
    <w:rsid w:val="00C11E02"/>
    <w:rsid w:val="00C11EAA"/>
    <w:rsid w:val="00C11F21"/>
    <w:rsid w:val="00C11F67"/>
    <w:rsid w:val="00C11FC1"/>
    <w:rsid w:val="00C11FDC"/>
    <w:rsid w:val="00C1204E"/>
    <w:rsid w:val="00C120AC"/>
    <w:rsid w:val="00C1214A"/>
    <w:rsid w:val="00C12245"/>
    <w:rsid w:val="00C1228F"/>
    <w:rsid w:val="00C12459"/>
    <w:rsid w:val="00C124E1"/>
    <w:rsid w:val="00C12507"/>
    <w:rsid w:val="00C1253D"/>
    <w:rsid w:val="00C12577"/>
    <w:rsid w:val="00C12611"/>
    <w:rsid w:val="00C1269B"/>
    <w:rsid w:val="00C126A6"/>
    <w:rsid w:val="00C126EB"/>
    <w:rsid w:val="00C12708"/>
    <w:rsid w:val="00C1281B"/>
    <w:rsid w:val="00C1284C"/>
    <w:rsid w:val="00C128ED"/>
    <w:rsid w:val="00C1296A"/>
    <w:rsid w:val="00C12AD0"/>
    <w:rsid w:val="00C12B52"/>
    <w:rsid w:val="00C12BB9"/>
    <w:rsid w:val="00C12C21"/>
    <w:rsid w:val="00C12CE1"/>
    <w:rsid w:val="00C12E00"/>
    <w:rsid w:val="00C12E15"/>
    <w:rsid w:val="00C12E9A"/>
    <w:rsid w:val="00C12F2F"/>
    <w:rsid w:val="00C12F8C"/>
    <w:rsid w:val="00C13220"/>
    <w:rsid w:val="00C13260"/>
    <w:rsid w:val="00C13395"/>
    <w:rsid w:val="00C1352B"/>
    <w:rsid w:val="00C135F9"/>
    <w:rsid w:val="00C13654"/>
    <w:rsid w:val="00C136D3"/>
    <w:rsid w:val="00C136EF"/>
    <w:rsid w:val="00C136F3"/>
    <w:rsid w:val="00C13787"/>
    <w:rsid w:val="00C137EC"/>
    <w:rsid w:val="00C13807"/>
    <w:rsid w:val="00C13A11"/>
    <w:rsid w:val="00C13A1C"/>
    <w:rsid w:val="00C13A8E"/>
    <w:rsid w:val="00C13AB7"/>
    <w:rsid w:val="00C13AC9"/>
    <w:rsid w:val="00C13B57"/>
    <w:rsid w:val="00C13B98"/>
    <w:rsid w:val="00C13C95"/>
    <w:rsid w:val="00C13CB5"/>
    <w:rsid w:val="00C13CDB"/>
    <w:rsid w:val="00C13CFB"/>
    <w:rsid w:val="00C13E3D"/>
    <w:rsid w:val="00C13E5C"/>
    <w:rsid w:val="00C13EA5"/>
    <w:rsid w:val="00C13F0C"/>
    <w:rsid w:val="00C13F7E"/>
    <w:rsid w:val="00C13F7F"/>
    <w:rsid w:val="00C1405D"/>
    <w:rsid w:val="00C14177"/>
    <w:rsid w:val="00C14198"/>
    <w:rsid w:val="00C142CE"/>
    <w:rsid w:val="00C142D8"/>
    <w:rsid w:val="00C143A2"/>
    <w:rsid w:val="00C14468"/>
    <w:rsid w:val="00C147F9"/>
    <w:rsid w:val="00C1484A"/>
    <w:rsid w:val="00C1484C"/>
    <w:rsid w:val="00C149C6"/>
    <w:rsid w:val="00C14B0F"/>
    <w:rsid w:val="00C14B72"/>
    <w:rsid w:val="00C14C0F"/>
    <w:rsid w:val="00C14C12"/>
    <w:rsid w:val="00C14C37"/>
    <w:rsid w:val="00C14D47"/>
    <w:rsid w:val="00C14DB7"/>
    <w:rsid w:val="00C14DD2"/>
    <w:rsid w:val="00C14E3D"/>
    <w:rsid w:val="00C14E40"/>
    <w:rsid w:val="00C14E49"/>
    <w:rsid w:val="00C14EA7"/>
    <w:rsid w:val="00C14F5C"/>
    <w:rsid w:val="00C14F79"/>
    <w:rsid w:val="00C15019"/>
    <w:rsid w:val="00C1506B"/>
    <w:rsid w:val="00C1519C"/>
    <w:rsid w:val="00C151F7"/>
    <w:rsid w:val="00C15208"/>
    <w:rsid w:val="00C1528E"/>
    <w:rsid w:val="00C152C5"/>
    <w:rsid w:val="00C152C9"/>
    <w:rsid w:val="00C15441"/>
    <w:rsid w:val="00C154DE"/>
    <w:rsid w:val="00C155B4"/>
    <w:rsid w:val="00C15953"/>
    <w:rsid w:val="00C15ADF"/>
    <w:rsid w:val="00C15AE6"/>
    <w:rsid w:val="00C15B5A"/>
    <w:rsid w:val="00C15BB0"/>
    <w:rsid w:val="00C15C44"/>
    <w:rsid w:val="00C15CCA"/>
    <w:rsid w:val="00C15D40"/>
    <w:rsid w:val="00C15F38"/>
    <w:rsid w:val="00C15F65"/>
    <w:rsid w:val="00C16185"/>
    <w:rsid w:val="00C16270"/>
    <w:rsid w:val="00C163B6"/>
    <w:rsid w:val="00C16418"/>
    <w:rsid w:val="00C16478"/>
    <w:rsid w:val="00C1647F"/>
    <w:rsid w:val="00C16487"/>
    <w:rsid w:val="00C1648E"/>
    <w:rsid w:val="00C164BA"/>
    <w:rsid w:val="00C16501"/>
    <w:rsid w:val="00C165B8"/>
    <w:rsid w:val="00C165E0"/>
    <w:rsid w:val="00C165FA"/>
    <w:rsid w:val="00C16621"/>
    <w:rsid w:val="00C16686"/>
    <w:rsid w:val="00C166AB"/>
    <w:rsid w:val="00C16779"/>
    <w:rsid w:val="00C1678E"/>
    <w:rsid w:val="00C167A7"/>
    <w:rsid w:val="00C167ED"/>
    <w:rsid w:val="00C169AC"/>
    <w:rsid w:val="00C169F5"/>
    <w:rsid w:val="00C16B4E"/>
    <w:rsid w:val="00C16B91"/>
    <w:rsid w:val="00C16BE3"/>
    <w:rsid w:val="00C16C50"/>
    <w:rsid w:val="00C16C8C"/>
    <w:rsid w:val="00C16D32"/>
    <w:rsid w:val="00C16D85"/>
    <w:rsid w:val="00C16DD5"/>
    <w:rsid w:val="00C16E03"/>
    <w:rsid w:val="00C16E64"/>
    <w:rsid w:val="00C16E90"/>
    <w:rsid w:val="00C16E99"/>
    <w:rsid w:val="00C16F93"/>
    <w:rsid w:val="00C16FA3"/>
    <w:rsid w:val="00C173D1"/>
    <w:rsid w:val="00C174D8"/>
    <w:rsid w:val="00C17510"/>
    <w:rsid w:val="00C17585"/>
    <w:rsid w:val="00C175BF"/>
    <w:rsid w:val="00C17688"/>
    <w:rsid w:val="00C17741"/>
    <w:rsid w:val="00C17823"/>
    <w:rsid w:val="00C178B8"/>
    <w:rsid w:val="00C179F0"/>
    <w:rsid w:val="00C17A21"/>
    <w:rsid w:val="00C17AFF"/>
    <w:rsid w:val="00C17B50"/>
    <w:rsid w:val="00C17CD7"/>
    <w:rsid w:val="00C17D3E"/>
    <w:rsid w:val="00C17D63"/>
    <w:rsid w:val="00C17DDA"/>
    <w:rsid w:val="00C17E59"/>
    <w:rsid w:val="00C17EF9"/>
    <w:rsid w:val="00C17F76"/>
    <w:rsid w:val="00C1B854"/>
    <w:rsid w:val="00C20000"/>
    <w:rsid w:val="00C20148"/>
    <w:rsid w:val="00C2016D"/>
    <w:rsid w:val="00C202B3"/>
    <w:rsid w:val="00C202F9"/>
    <w:rsid w:val="00C20302"/>
    <w:rsid w:val="00C20341"/>
    <w:rsid w:val="00C20420"/>
    <w:rsid w:val="00C20427"/>
    <w:rsid w:val="00C20624"/>
    <w:rsid w:val="00C20690"/>
    <w:rsid w:val="00C206D5"/>
    <w:rsid w:val="00C207C7"/>
    <w:rsid w:val="00C20818"/>
    <w:rsid w:val="00C20835"/>
    <w:rsid w:val="00C208AE"/>
    <w:rsid w:val="00C20A01"/>
    <w:rsid w:val="00C20AD3"/>
    <w:rsid w:val="00C20AFB"/>
    <w:rsid w:val="00C20B5A"/>
    <w:rsid w:val="00C20B7A"/>
    <w:rsid w:val="00C20C9A"/>
    <w:rsid w:val="00C20CA1"/>
    <w:rsid w:val="00C20CB8"/>
    <w:rsid w:val="00C20E69"/>
    <w:rsid w:val="00C20EEB"/>
    <w:rsid w:val="00C20F16"/>
    <w:rsid w:val="00C20FFC"/>
    <w:rsid w:val="00C21133"/>
    <w:rsid w:val="00C2113A"/>
    <w:rsid w:val="00C21148"/>
    <w:rsid w:val="00C212CB"/>
    <w:rsid w:val="00C21455"/>
    <w:rsid w:val="00C21477"/>
    <w:rsid w:val="00C214B3"/>
    <w:rsid w:val="00C214C5"/>
    <w:rsid w:val="00C214F2"/>
    <w:rsid w:val="00C2151B"/>
    <w:rsid w:val="00C215C3"/>
    <w:rsid w:val="00C217F9"/>
    <w:rsid w:val="00C21834"/>
    <w:rsid w:val="00C21863"/>
    <w:rsid w:val="00C21995"/>
    <w:rsid w:val="00C21A12"/>
    <w:rsid w:val="00C21AD0"/>
    <w:rsid w:val="00C21BED"/>
    <w:rsid w:val="00C21BF0"/>
    <w:rsid w:val="00C21C01"/>
    <w:rsid w:val="00C21C37"/>
    <w:rsid w:val="00C21CB6"/>
    <w:rsid w:val="00C21CCE"/>
    <w:rsid w:val="00C21CE4"/>
    <w:rsid w:val="00C21F5D"/>
    <w:rsid w:val="00C221B1"/>
    <w:rsid w:val="00C22208"/>
    <w:rsid w:val="00C22225"/>
    <w:rsid w:val="00C2230A"/>
    <w:rsid w:val="00C2233A"/>
    <w:rsid w:val="00C2234A"/>
    <w:rsid w:val="00C22420"/>
    <w:rsid w:val="00C22471"/>
    <w:rsid w:val="00C224A3"/>
    <w:rsid w:val="00C22685"/>
    <w:rsid w:val="00C2270B"/>
    <w:rsid w:val="00C22798"/>
    <w:rsid w:val="00C227CD"/>
    <w:rsid w:val="00C227D1"/>
    <w:rsid w:val="00C229A7"/>
    <w:rsid w:val="00C229CA"/>
    <w:rsid w:val="00C22A57"/>
    <w:rsid w:val="00C22B3E"/>
    <w:rsid w:val="00C22C5A"/>
    <w:rsid w:val="00C22CA3"/>
    <w:rsid w:val="00C22CC4"/>
    <w:rsid w:val="00C22CF3"/>
    <w:rsid w:val="00C22D08"/>
    <w:rsid w:val="00C22D20"/>
    <w:rsid w:val="00C22DC1"/>
    <w:rsid w:val="00C22DC9"/>
    <w:rsid w:val="00C22E1E"/>
    <w:rsid w:val="00C22E3B"/>
    <w:rsid w:val="00C22FD7"/>
    <w:rsid w:val="00C2314B"/>
    <w:rsid w:val="00C231FC"/>
    <w:rsid w:val="00C23325"/>
    <w:rsid w:val="00C23366"/>
    <w:rsid w:val="00C233BC"/>
    <w:rsid w:val="00C23684"/>
    <w:rsid w:val="00C236C5"/>
    <w:rsid w:val="00C237A3"/>
    <w:rsid w:val="00C23924"/>
    <w:rsid w:val="00C23B0B"/>
    <w:rsid w:val="00C23BE1"/>
    <w:rsid w:val="00C23C06"/>
    <w:rsid w:val="00C23CC4"/>
    <w:rsid w:val="00C23D8D"/>
    <w:rsid w:val="00C23E5E"/>
    <w:rsid w:val="00C23F1A"/>
    <w:rsid w:val="00C2401D"/>
    <w:rsid w:val="00C24032"/>
    <w:rsid w:val="00C2410B"/>
    <w:rsid w:val="00C24177"/>
    <w:rsid w:val="00C241F8"/>
    <w:rsid w:val="00C24345"/>
    <w:rsid w:val="00C243EF"/>
    <w:rsid w:val="00C24421"/>
    <w:rsid w:val="00C24553"/>
    <w:rsid w:val="00C24568"/>
    <w:rsid w:val="00C24746"/>
    <w:rsid w:val="00C24871"/>
    <w:rsid w:val="00C2487F"/>
    <w:rsid w:val="00C248C9"/>
    <w:rsid w:val="00C2495C"/>
    <w:rsid w:val="00C24962"/>
    <w:rsid w:val="00C249DB"/>
    <w:rsid w:val="00C24A21"/>
    <w:rsid w:val="00C24ABD"/>
    <w:rsid w:val="00C24AD5"/>
    <w:rsid w:val="00C24AE9"/>
    <w:rsid w:val="00C24B4A"/>
    <w:rsid w:val="00C24C6E"/>
    <w:rsid w:val="00C24D41"/>
    <w:rsid w:val="00C24D6A"/>
    <w:rsid w:val="00C24DE8"/>
    <w:rsid w:val="00C24DF7"/>
    <w:rsid w:val="00C24E24"/>
    <w:rsid w:val="00C24ECB"/>
    <w:rsid w:val="00C24F4F"/>
    <w:rsid w:val="00C24F5D"/>
    <w:rsid w:val="00C24F77"/>
    <w:rsid w:val="00C24FD1"/>
    <w:rsid w:val="00C24FE9"/>
    <w:rsid w:val="00C2506F"/>
    <w:rsid w:val="00C25073"/>
    <w:rsid w:val="00C250B5"/>
    <w:rsid w:val="00C25171"/>
    <w:rsid w:val="00C251DA"/>
    <w:rsid w:val="00C2534E"/>
    <w:rsid w:val="00C254F0"/>
    <w:rsid w:val="00C254F1"/>
    <w:rsid w:val="00C25604"/>
    <w:rsid w:val="00C256B7"/>
    <w:rsid w:val="00C256D7"/>
    <w:rsid w:val="00C2579F"/>
    <w:rsid w:val="00C2583E"/>
    <w:rsid w:val="00C2585B"/>
    <w:rsid w:val="00C25A71"/>
    <w:rsid w:val="00C25B9E"/>
    <w:rsid w:val="00C25CAA"/>
    <w:rsid w:val="00C25D1D"/>
    <w:rsid w:val="00C25DA8"/>
    <w:rsid w:val="00C25DE5"/>
    <w:rsid w:val="00C25ED3"/>
    <w:rsid w:val="00C25F1A"/>
    <w:rsid w:val="00C25F27"/>
    <w:rsid w:val="00C25F9A"/>
    <w:rsid w:val="00C26013"/>
    <w:rsid w:val="00C260F3"/>
    <w:rsid w:val="00C26165"/>
    <w:rsid w:val="00C261F6"/>
    <w:rsid w:val="00C2621E"/>
    <w:rsid w:val="00C262BB"/>
    <w:rsid w:val="00C2632C"/>
    <w:rsid w:val="00C26345"/>
    <w:rsid w:val="00C263D9"/>
    <w:rsid w:val="00C26403"/>
    <w:rsid w:val="00C26438"/>
    <w:rsid w:val="00C264A3"/>
    <w:rsid w:val="00C26505"/>
    <w:rsid w:val="00C2650F"/>
    <w:rsid w:val="00C26550"/>
    <w:rsid w:val="00C266D6"/>
    <w:rsid w:val="00C2671A"/>
    <w:rsid w:val="00C2679F"/>
    <w:rsid w:val="00C26886"/>
    <w:rsid w:val="00C26934"/>
    <w:rsid w:val="00C269D1"/>
    <w:rsid w:val="00C26A9B"/>
    <w:rsid w:val="00C26B4B"/>
    <w:rsid w:val="00C26B5E"/>
    <w:rsid w:val="00C26BF6"/>
    <w:rsid w:val="00C26C59"/>
    <w:rsid w:val="00C26CAD"/>
    <w:rsid w:val="00C26CB7"/>
    <w:rsid w:val="00C26D6F"/>
    <w:rsid w:val="00C26E13"/>
    <w:rsid w:val="00C26E9A"/>
    <w:rsid w:val="00C26ED3"/>
    <w:rsid w:val="00C26EFA"/>
    <w:rsid w:val="00C26FC4"/>
    <w:rsid w:val="00C26FEE"/>
    <w:rsid w:val="00C27090"/>
    <w:rsid w:val="00C270FF"/>
    <w:rsid w:val="00C27145"/>
    <w:rsid w:val="00C2722E"/>
    <w:rsid w:val="00C2723C"/>
    <w:rsid w:val="00C272F1"/>
    <w:rsid w:val="00C272F6"/>
    <w:rsid w:val="00C2731B"/>
    <w:rsid w:val="00C2734B"/>
    <w:rsid w:val="00C27389"/>
    <w:rsid w:val="00C273F7"/>
    <w:rsid w:val="00C2748C"/>
    <w:rsid w:val="00C274DF"/>
    <w:rsid w:val="00C27517"/>
    <w:rsid w:val="00C2759A"/>
    <w:rsid w:val="00C275AD"/>
    <w:rsid w:val="00C275DB"/>
    <w:rsid w:val="00C275EA"/>
    <w:rsid w:val="00C276F6"/>
    <w:rsid w:val="00C27856"/>
    <w:rsid w:val="00C2787E"/>
    <w:rsid w:val="00C278B6"/>
    <w:rsid w:val="00C278D6"/>
    <w:rsid w:val="00C27B69"/>
    <w:rsid w:val="00C27C21"/>
    <w:rsid w:val="00C27EB5"/>
    <w:rsid w:val="00C27EE0"/>
    <w:rsid w:val="00C3001C"/>
    <w:rsid w:val="00C300C5"/>
    <w:rsid w:val="00C300EF"/>
    <w:rsid w:val="00C302D4"/>
    <w:rsid w:val="00C30364"/>
    <w:rsid w:val="00C303D8"/>
    <w:rsid w:val="00C30603"/>
    <w:rsid w:val="00C30631"/>
    <w:rsid w:val="00C3065B"/>
    <w:rsid w:val="00C30745"/>
    <w:rsid w:val="00C308EC"/>
    <w:rsid w:val="00C30995"/>
    <w:rsid w:val="00C30AD9"/>
    <w:rsid w:val="00C30B15"/>
    <w:rsid w:val="00C30B38"/>
    <w:rsid w:val="00C30B8C"/>
    <w:rsid w:val="00C30B9A"/>
    <w:rsid w:val="00C30C40"/>
    <w:rsid w:val="00C30CDB"/>
    <w:rsid w:val="00C30D89"/>
    <w:rsid w:val="00C30E9B"/>
    <w:rsid w:val="00C30F08"/>
    <w:rsid w:val="00C3100E"/>
    <w:rsid w:val="00C3117E"/>
    <w:rsid w:val="00C31255"/>
    <w:rsid w:val="00C312DF"/>
    <w:rsid w:val="00C313F5"/>
    <w:rsid w:val="00C31466"/>
    <w:rsid w:val="00C3148A"/>
    <w:rsid w:val="00C31547"/>
    <w:rsid w:val="00C31562"/>
    <w:rsid w:val="00C315A4"/>
    <w:rsid w:val="00C315AD"/>
    <w:rsid w:val="00C315D8"/>
    <w:rsid w:val="00C31684"/>
    <w:rsid w:val="00C31878"/>
    <w:rsid w:val="00C318F3"/>
    <w:rsid w:val="00C318F6"/>
    <w:rsid w:val="00C31BA1"/>
    <w:rsid w:val="00C31C08"/>
    <w:rsid w:val="00C31DE0"/>
    <w:rsid w:val="00C31E6C"/>
    <w:rsid w:val="00C31E8A"/>
    <w:rsid w:val="00C31F14"/>
    <w:rsid w:val="00C31F4B"/>
    <w:rsid w:val="00C31F58"/>
    <w:rsid w:val="00C31F9E"/>
    <w:rsid w:val="00C320C4"/>
    <w:rsid w:val="00C32111"/>
    <w:rsid w:val="00C32171"/>
    <w:rsid w:val="00C3229F"/>
    <w:rsid w:val="00C322BE"/>
    <w:rsid w:val="00C32580"/>
    <w:rsid w:val="00C3259B"/>
    <w:rsid w:val="00C325DF"/>
    <w:rsid w:val="00C3267F"/>
    <w:rsid w:val="00C326E9"/>
    <w:rsid w:val="00C3278A"/>
    <w:rsid w:val="00C327E4"/>
    <w:rsid w:val="00C32838"/>
    <w:rsid w:val="00C328B1"/>
    <w:rsid w:val="00C328C8"/>
    <w:rsid w:val="00C3292C"/>
    <w:rsid w:val="00C329AC"/>
    <w:rsid w:val="00C32A38"/>
    <w:rsid w:val="00C32A6F"/>
    <w:rsid w:val="00C32ADE"/>
    <w:rsid w:val="00C32AE8"/>
    <w:rsid w:val="00C32B31"/>
    <w:rsid w:val="00C32B82"/>
    <w:rsid w:val="00C32C17"/>
    <w:rsid w:val="00C32C23"/>
    <w:rsid w:val="00C32D1A"/>
    <w:rsid w:val="00C32D2E"/>
    <w:rsid w:val="00C32D5B"/>
    <w:rsid w:val="00C32D79"/>
    <w:rsid w:val="00C32DCB"/>
    <w:rsid w:val="00C32DDA"/>
    <w:rsid w:val="00C32EA4"/>
    <w:rsid w:val="00C32ED2"/>
    <w:rsid w:val="00C33075"/>
    <w:rsid w:val="00C33082"/>
    <w:rsid w:val="00C33085"/>
    <w:rsid w:val="00C330CA"/>
    <w:rsid w:val="00C332EC"/>
    <w:rsid w:val="00C3331F"/>
    <w:rsid w:val="00C3338B"/>
    <w:rsid w:val="00C333A8"/>
    <w:rsid w:val="00C33427"/>
    <w:rsid w:val="00C334E5"/>
    <w:rsid w:val="00C33534"/>
    <w:rsid w:val="00C336BF"/>
    <w:rsid w:val="00C3380E"/>
    <w:rsid w:val="00C33871"/>
    <w:rsid w:val="00C338F8"/>
    <w:rsid w:val="00C3390D"/>
    <w:rsid w:val="00C33A28"/>
    <w:rsid w:val="00C33A58"/>
    <w:rsid w:val="00C33ADA"/>
    <w:rsid w:val="00C33AE1"/>
    <w:rsid w:val="00C33AE9"/>
    <w:rsid w:val="00C33C60"/>
    <w:rsid w:val="00C33E2A"/>
    <w:rsid w:val="00C33E95"/>
    <w:rsid w:val="00C33F20"/>
    <w:rsid w:val="00C3400B"/>
    <w:rsid w:val="00C3404B"/>
    <w:rsid w:val="00C341FE"/>
    <w:rsid w:val="00C3434E"/>
    <w:rsid w:val="00C343EF"/>
    <w:rsid w:val="00C34560"/>
    <w:rsid w:val="00C345A6"/>
    <w:rsid w:val="00C346DA"/>
    <w:rsid w:val="00C34778"/>
    <w:rsid w:val="00C34851"/>
    <w:rsid w:val="00C34861"/>
    <w:rsid w:val="00C34882"/>
    <w:rsid w:val="00C348AE"/>
    <w:rsid w:val="00C348DC"/>
    <w:rsid w:val="00C34A63"/>
    <w:rsid w:val="00C34A64"/>
    <w:rsid w:val="00C34B08"/>
    <w:rsid w:val="00C34BE2"/>
    <w:rsid w:val="00C34CC5"/>
    <w:rsid w:val="00C34D29"/>
    <w:rsid w:val="00C34D4A"/>
    <w:rsid w:val="00C34D8C"/>
    <w:rsid w:val="00C34F46"/>
    <w:rsid w:val="00C34FA9"/>
    <w:rsid w:val="00C34FEC"/>
    <w:rsid w:val="00C3507F"/>
    <w:rsid w:val="00C3517B"/>
    <w:rsid w:val="00C35244"/>
    <w:rsid w:val="00C3526B"/>
    <w:rsid w:val="00C352B2"/>
    <w:rsid w:val="00C353CB"/>
    <w:rsid w:val="00C3543A"/>
    <w:rsid w:val="00C35467"/>
    <w:rsid w:val="00C355B2"/>
    <w:rsid w:val="00C355F3"/>
    <w:rsid w:val="00C357D4"/>
    <w:rsid w:val="00C35902"/>
    <w:rsid w:val="00C35971"/>
    <w:rsid w:val="00C359B7"/>
    <w:rsid w:val="00C35A00"/>
    <w:rsid w:val="00C35B06"/>
    <w:rsid w:val="00C35B46"/>
    <w:rsid w:val="00C35BCE"/>
    <w:rsid w:val="00C35C4A"/>
    <w:rsid w:val="00C35D18"/>
    <w:rsid w:val="00C35DFE"/>
    <w:rsid w:val="00C35E35"/>
    <w:rsid w:val="00C35E7F"/>
    <w:rsid w:val="00C35FF4"/>
    <w:rsid w:val="00C36043"/>
    <w:rsid w:val="00C360BB"/>
    <w:rsid w:val="00C360C7"/>
    <w:rsid w:val="00C36141"/>
    <w:rsid w:val="00C361CA"/>
    <w:rsid w:val="00C361E4"/>
    <w:rsid w:val="00C361F9"/>
    <w:rsid w:val="00C361FA"/>
    <w:rsid w:val="00C36335"/>
    <w:rsid w:val="00C36383"/>
    <w:rsid w:val="00C363E9"/>
    <w:rsid w:val="00C36407"/>
    <w:rsid w:val="00C36470"/>
    <w:rsid w:val="00C36473"/>
    <w:rsid w:val="00C364A2"/>
    <w:rsid w:val="00C36505"/>
    <w:rsid w:val="00C3659D"/>
    <w:rsid w:val="00C36618"/>
    <w:rsid w:val="00C36631"/>
    <w:rsid w:val="00C366A7"/>
    <w:rsid w:val="00C36703"/>
    <w:rsid w:val="00C36750"/>
    <w:rsid w:val="00C36A49"/>
    <w:rsid w:val="00C36A75"/>
    <w:rsid w:val="00C36AF7"/>
    <w:rsid w:val="00C36CAC"/>
    <w:rsid w:val="00C36CBF"/>
    <w:rsid w:val="00C36D02"/>
    <w:rsid w:val="00C36DB8"/>
    <w:rsid w:val="00C36DFF"/>
    <w:rsid w:val="00C36E95"/>
    <w:rsid w:val="00C36EB8"/>
    <w:rsid w:val="00C36F0C"/>
    <w:rsid w:val="00C371B6"/>
    <w:rsid w:val="00C371F4"/>
    <w:rsid w:val="00C3728D"/>
    <w:rsid w:val="00C372BA"/>
    <w:rsid w:val="00C37301"/>
    <w:rsid w:val="00C37347"/>
    <w:rsid w:val="00C3755F"/>
    <w:rsid w:val="00C375B6"/>
    <w:rsid w:val="00C37626"/>
    <w:rsid w:val="00C37652"/>
    <w:rsid w:val="00C376E9"/>
    <w:rsid w:val="00C37839"/>
    <w:rsid w:val="00C37855"/>
    <w:rsid w:val="00C37897"/>
    <w:rsid w:val="00C3789E"/>
    <w:rsid w:val="00C378A6"/>
    <w:rsid w:val="00C37A64"/>
    <w:rsid w:val="00C37ACE"/>
    <w:rsid w:val="00C37AEF"/>
    <w:rsid w:val="00C37AFF"/>
    <w:rsid w:val="00C37B34"/>
    <w:rsid w:val="00C37BAF"/>
    <w:rsid w:val="00C37C13"/>
    <w:rsid w:val="00C37F86"/>
    <w:rsid w:val="00C3B021"/>
    <w:rsid w:val="00C401C3"/>
    <w:rsid w:val="00C402E2"/>
    <w:rsid w:val="00C402FE"/>
    <w:rsid w:val="00C4034F"/>
    <w:rsid w:val="00C4066E"/>
    <w:rsid w:val="00C406C6"/>
    <w:rsid w:val="00C40860"/>
    <w:rsid w:val="00C408E5"/>
    <w:rsid w:val="00C408E6"/>
    <w:rsid w:val="00C40963"/>
    <w:rsid w:val="00C40A31"/>
    <w:rsid w:val="00C40AAE"/>
    <w:rsid w:val="00C40AF5"/>
    <w:rsid w:val="00C40B45"/>
    <w:rsid w:val="00C40BB3"/>
    <w:rsid w:val="00C40C13"/>
    <w:rsid w:val="00C40C75"/>
    <w:rsid w:val="00C40D09"/>
    <w:rsid w:val="00C40D9E"/>
    <w:rsid w:val="00C40ED9"/>
    <w:rsid w:val="00C40EF9"/>
    <w:rsid w:val="00C40F0B"/>
    <w:rsid w:val="00C40FDD"/>
    <w:rsid w:val="00C4114A"/>
    <w:rsid w:val="00C41223"/>
    <w:rsid w:val="00C4130B"/>
    <w:rsid w:val="00C41347"/>
    <w:rsid w:val="00C41391"/>
    <w:rsid w:val="00C413FC"/>
    <w:rsid w:val="00C414CE"/>
    <w:rsid w:val="00C41659"/>
    <w:rsid w:val="00C41729"/>
    <w:rsid w:val="00C417E9"/>
    <w:rsid w:val="00C41854"/>
    <w:rsid w:val="00C41901"/>
    <w:rsid w:val="00C41906"/>
    <w:rsid w:val="00C4195F"/>
    <w:rsid w:val="00C419A5"/>
    <w:rsid w:val="00C41BC0"/>
    <w:rsid w:val="00C41CC9"/>
    <w:rsid w:val="00C41CD5"/>
    <w:rsid w:val="00C41D00"/>
    <w:rsid w:val="00C41E8F"/>
    <w:rsid w:val="00C41EDA"/>
    <w:rsid w:val="00C41F00"/>
    <w:rsid w:val="00C41F8F"/>
    <w:rsid w:val="00C4211A"/>
    <w:rsid w:val="00C42138"/>
    <w:rsid w:val="00C4213C"/>
    <w:rsid w:val="00C42144"/>
    <w:rsid w:val="00C42161"/>
    <w:rsid w:val="00C42240"/>
    <w:rsid w:val="00C42286"/>
    <w:rsid w:val="00C422EF"/>
    <w:rsid w:val="00C4239D"/>
    <w:rsid w:val="00C42445"/>
    <w:rsid w:val="00C4248C"/>
    <w:rsid w:val="00C42736"/>
    <w:rsid w:val="00C427B6"/>
    <w:rsid w:val="00C427E5"/>
    <w:rsid w:val="00C42886"/>
    <w:rsid w:val="00C42A10"/>
    <w:rsid w:val="00C42A3F"/>
    <w:rsid w:val="00C42AE1"/>
    <w:rsid w:val="00C42B46"/>
    <w:rsid w:val="00C42BA4"/>
    <w:rsid w:val="00C42C1B"/>
    <w:rsid w:val="00C42C4D"/>
    <w:rsid w:val="00C42C88"/>
    <w:rsid w:val="00C42DAE"/>
    <w:rsid w:val="00C42E79"/>
    <w:rsid w:val="00C42EBC"/>
    <w:rsid w:val="00C42F0E"/>
    <w:rsid w:val="00C43269"/>
    <w:rsid w:val="00C432E5"/>
    <w:rsid w:val="00C433BD"/>
    <w:rsid w:val="00C433C5"/>
    <w:rsid w:val="00C43450"/>
    <w:rsid w:val="00C434EE"/>
    <w:rsid w:val="00C43521"/>
    <w:rsid w:val="00C4353B"/>
    <w:rsid w:val="00C4356B"/>
    <w:rsid w:val="00C435D3"/>
    <w:rsid w:val="00C435F5"/>
    <w:rsid w:val="00C4363B"/>
    <w:rsid w:val="00C436B0"/>
    <w:rsid w:val="00C43753"/>
    <w:rsid w:val="00C438B5"/>
    <w:rsid w:val="00C43939"/>
    <w:rsid w:val="00C439C2"/>
    <w:rsid w:val="00C439E2"/>
    <w:rsid w:val="00C43B09"/>
    <w:rsid w:val="00C43B55"/>
    <w:rsid w:val="00C43BE9"/>
    <w:rsid w:val="00C43C4F"/>
    <w:rsid w:val="00C43CF7"/>
    <w:rsid w:val="00C43D4D"/>
    <w:rsid w:val="00C43E48"/>
    <w:rsid w:val="00C43EEE"/>
    <w:rsid w:val="00C43F04"/>
    <w:rsid w:val="00C43F07"/>
    <w:rsid w:val="00C43F46"/>
    <w:rsid w:val="00C44058"/>
    <w:rsid w:val="00C440A0"/>
    <w:rsid w:val="00C44270"/>
    <w:rsid w:val="00C4437D"/>
    <w:rsid w:val="00C44399"/>
    <w:rsid w:val="00C4439F"/>
    <w:rsid w:val="00C44498"/>
    <w:rsid w:val="00C4453E"/>
    <w:rsid w:val="00C44567"/>
    <w:rsid w:val="00C446A2"/>
    <w:rsid w:val="00C449A1"/>
    <w:rsid w:val="00C449CE"/>
    <w:rsid w:val="00C449F9"/>
    <w:rsid w:val="00C44A3D"/>
    <w:rsid w:val="00C44BA8"/>
    <w:rsid w:val="00C44BB7"/>
    <w:rsid w:val="00C44C30"/>
    <w:rsid w:val="00C44CE2"/>
    <w:rsid w:val="00C44D91"/>
    <w:rsid w:val="00C44DEB"/>
    <w:rsid w:val="00C44EB5"/>
    <w:rsid w:val="00C45020"/>
    <w:rsid w:val="00C450B2"/>
    <w:rsid w:val="00C451FF"/>
    <w:rsid w:val="00C45206"/>
    <w:rsid w:val="00C454B5"/>
    <w:rsid w:val="00C45563"/>
    <w:rsid w:val="00C45566"/>
    <w:rsid w:val="00C45716"/>
    <w:rsid w:val="00C4576B"/>
    <w:rsid w:val="00C4585E"/>
    <w:rsid w:val="00C45868"/>
    <w:rsid w:val="00C4587D"/>
    <w:rsid w:val="00C459C5"/>
    <w:rsid w:val="00C45A2E"/>
    <w:rsid w:val="00C45AAA"/>
    <w:rsid w:val="00C45AB0"/>
    <w:rsid w:val="00C45C04"/>
    <w:rsid w:val="00C45E4A"/>
    <w:rsid w:val="00C45EE0"/>
    <w:rsid w:val="00C45F4A"/>
    <w:rsid w:val="00C45F8F"/>
    <w:rsid w:val="00C45FAA"/>
    <w:rsid w:val="00C45FD9"/>
    <w:rsid w:val="00C45FE7"/>
    <w:rsid w:val="00C4602D"/>
    <w:rsid w:val="00C46050"/>
    <w:rsid w:val="00C4606F"/>
    <w:rsid w:val="00C460C5"/>
    <w:rsid w:val="00C4616B"/>
    <w:rsid w:val="00C46477"/>
    <w:rsid w:val="00C46622"/>
    <w:rsid w:val="00C46688"/>
    <w:rsid w:val="00C46702"/>
    <w:rsid w:val="00C467DB"/>
    <w:rsid w:val="00C468AA"/>
    <w:rsid w:val="00C46910"/>
    <w:rsid w:val="00C4695E"/>
    <w:rsid w:val="00C46A36"/>
    <w:rsid w:val="00C46A70"/>
    <w:rsid w:val="00C46AE7"/>
    <w:rsid w:val="00C46B26"/>
    <w:rsid w:val="00C46BB4"/>
    <w:rsid w:val="00C46C4A"/>
    <w:rsid w:val="00C46D5C"/>
    <w:rsid w:val="00C46DC4"/>
    <w:rsid w:val="00C46EDE"/>
    <w:rsid w:val="00C47056"/>
    <w:rsid w:val="00C470C5"/>
    <w:rsid w:val="00C471DE"/>
    <w:rsid w:val="00C47266"/>
    <w:rsid w:val="00C47283"/>
    <w:rsid w:val="00C47296"/>
    <w:rsid w:val="00C4734B"/>
    <w:rsid w:val="00C47394"/>
    <w:rsid w:val="00C473B0"/>
    <w:rsid w:val="00C473EB"/>
    <w:rsid w:val="00C47420"/>
    <w:rsid w:val="00C476EA"/>
    <w:rsid w:val="00C4772D"/>
    <w:rsid w:val="00C47750"/>
    <w:rsid w:val="00C477CA"/>
    <w:rsid w:val="00C47813"/>
    <w:rsid w:val="00C47A73"/>
    <w:rsid w:val="00C47D4A"/>
    <w:rsid w:val="00C47DD1"/>
    <w:rsid w:val="00C47DFE"/>
    <w:rsid w:val="00C47E05"/>
    <w:rsid w:val="00C47E8A"/>
    <w:rsid w:val="00C47F38"/>
    <w:rsid w:val="00C47FFD"/>
    <w:rsid w:val="00C50027"/>
    <w:rsid w:val="00C50138"/>
    <w:rsid w:val="00C5018B"/>
    <w:rsid w:val="00C50190"/>
    <w:rsid w:val="00C501D4"/>
    <w:rsid w:val="00C5025D"/>
    <w:rsid w:val="00C50347"/>
    <w:rsid w:val="00C503CF"/>
    <w:rsid w:val="00C503E9"/>
    <w:rsid w:val="00C503EE"/>
    <w:rsid w:val="00C5048D"/>
    <w:rsid w:val="00C504C2"/>
    <w:rsid w:val="00C504D8"/>
    <w:rsid w:val="00C505A1"/>
    <w:rsid w:val="00C505DC"/>
    <w:rsid w:val="00C50691"/>
    <w:rsid w:val="00C50699"/>
    <w:rsid w:val="00C50799"/>
    <w:rsid w:val="00C507C0"/>
    <w:rsid w:val="00C507F2"/>
    <w:rsid w:val="00C50846"/>
    <w:rsid w:val="00C5091E"/>
    <w:rsid w:val="00C50956"/>
    <w:rsid w:val="00C50993"/>
    <w:rsid w:val="00C509DD"/>
    <w:rsid w:val="00C509E9"/>
    <w:rsid w:val="00C50A71"/>
    <w:rsid w:val="00C50A9D"/>
    <w:rsid w:val="00C50AAD"/>
    <w:rsid w:val="00C50AB4"/>
    <w:rsid w:val="00C50BB2"/>
    <w:rsid w:val="00C50CF4"/>
    <w:rsid w:val="00C50D18"/>
    <w:rsid w:val="00C50D1C"/>
    <w:rsid w:val="00C50D53"/>
    <w:rsid w:val="00C50EDD"/>
    <w:rsid w:val="00C50F49"/>
    <w:rsid w:val="00C50F8A"/>
    <w:rsid w:val="00C50FE9"/>
    <w:rsid w:val="00C51009"/>
    <w:rsid w:val="00C51158"/>
    <w:rsid w:val="00C51308"/>
    <w:rsid w:val="00C513C7"/>
    <w:rsid w:val="00C513ED"/>
    <w:rsid w:val="00C515B4"/>
    <w:rsid w:val="00C515DB"/>
    <w:rsid w:val="00C5161E"/>
    <w:rsid w:val="00C51774"/>
    <w:rsid w:val="00C5179D"/>
    <w:rsid w:val="00C517CF"/>
    <w:rsid w:val="00C518CA"/>
    <w:rsid w:val="00C51924"/>
    <w:rsid w:val="00C51A62"/>
    <w:rsid w:val="00C51C22"/>
    <w:rsid w:val="00C51C60"/>
    <w:rsid w:val="00C51D16"/>
    <w:rsid w:val="00C51DB5"/>
    <w:rsid w:val="00C51E89"/>
    <w:rsid w:val="00C51EA6"/>
    <w:rsid w:val="00C51ECC"/>
    <w:rsid w:val="00C51FA1"/>
    <w:rsid w:val="00C51FC3"/>
    <w:rsid w:val="00C52008"/>
    <w:rsid w:val="00C52098"/>
    <w:rsid w:val="00C5211D"/>
    <w:rsid w:val="00C52164"/>
    <w:rsid w:val="00C52184"/>
    <w:rsid w:val="00C521BD"/>
    <w:rsid w:val="00C521D5"/>
    <w:rsid w:val="00C5222A"/>
    <w:rsid w:val="00C52232"/>
    <w:rsid w:val="00C522B3"/>
    <w:rsid w:val="00C5241F"/>
    <w:rsid w:val="00C524B4"/>
    <w:rsid w:val="00C524EF"/>
    <w:rsid w:val="00C525B0"/>
    <w:rsid w:val="00C52607"/>
    <w:rsid w:val="00C52697"/>
    <w:rsid w:val="00C526E4"/>
    <w:rsid w:val="00C52769"/>
    <w:rsid w:val="00C52825"/>
    <w:rsid w:val="00C5282D"/>
    <w:rsid w:val="00C5291E"/>
    <w:rsid w:val="00C5299E"/>
    <w:rsid w:val="00C529F3"/>
    <w:rsid w:val="00C52A5D"/>
    <w:rsid w:val="00C52A8D"/>
    <w:rsid w:val="00C52AAA"/>
    <w:rsid w:val="00C52BD1"/>
    <w:rsid w:val="00C52C3E"/>
    <w:rsid w:val="00C52C59"/>
    <w:rsid w:val="00C52C98"/>
    <w:rsid w:val="00C52E26"/>
    <w:rsid w:val="00C52EDD"/>
    <w:rsid w:val="00C530F1"/>
    <w:rsid w:val="00C53117"/>
    <w:rsid w:val="00C531A1"/>
    <w:rsid w:val="00C531D8"/>
    <w:rsid w:val="00C53267"/>
    <w:rsid w:val="00C5326C"/>
    <w:rsid w:val="00C5334C"/>
    <w:rsid w:val="00C5346F"/>
    <w:rsid w:val="00C53486"/>
    <w:rsid w:val="00C534A8"/>
    <w:rsid w:val="00C5353A"/>
    <w:rsid w:val="00C53564"/>
    <w:rsid w:val="00C53587"/>
    <w:rsid w:val="00C535D2"/>
    <w:rsid w:val="00C537A0"/>
    <w:rsid w:val="00C537BF"/>
    <w:rsid w:val="00C5382D"/>
    <w:rsid w:val="00C53962"/>
    <w:rsid w:val="00C5399B"/>
    <w:rsid w:val="00C53B2B"/>
    <w:rsid w:val="00C53BE5"/>
    <w:rsid w:val="00C53D05"/>
    <w:rsid w:val="00C53D90"/>
    <w:rsid w:val="00C53E19"/>
    <w:rsid w:val="00C53F60"/>
    <w:rsid w:val="00C540CF"/>
    <w:rsid w:val="00C54179"/>
    <w:rsid w:val="00C542D4"/>
    <w:rsid w:val="00C542E6"/>
    <w:rsid w:val="00C54310"/>
    <w:rsid w:val="00C5463F"/>
    <w:rsid w:val="00C5476F"/>
    <w:rsid w:val="00C54830"/>
    <w:rsid w:val="00C548C6"/>
    <w:rsid w:val="00C54950"/>
    <w:rsid w:val="00C549EC"/>
    <w:rsid w:val="00C54A03"/>
    <w:rsid w:val="00C54A60"/>
    <w:rsid w:val="00C54B6A"/>
    <w:rsid w:val="00C54B94"/>
    <w:rsid w:val="00C54D13"/>
    <w:rsid w:val="00C54D7F"/>
    <w:rsid w:val="00C54F6D"/>
    <w:rsid w:val="00C54FC5"/>
    <w:rsid w:val="00C54FE0"/>
    <w:rsid w:val="00C551E7"/>
    <w:rsid w:val="00C55264"/>
    <w:rsid w:val="00C5527D"/>
    <w:rsid w:val="00C552FA"/>
    <w:rsid w:val="00C55529"/>
    <w:rsid w:val="00C5558B"/>
    <w:rsid w:val="00C5559F"/>
    <w:rsid w:val="00C555C1"/>
    <w:rsid w:val="00C5563C"/>
    <w:rsid w:val="00C5566E"/>
    <w:rsid w:val="00C556BC"/>
    <w:rsid w:val="00C558DE"/>
    <w:rsid w:val="00C55971"/>
    <w:rsid w:val="00C55980"/>
    <w:rsid w:val="00C559E6"/>
    <w:rsid w:val="00C55B8D"/>
    <w:rsid w:val="00C55BD4"/>
    <w:rsid w:val="00C55C48"/>
    <w:rsid w:val="00C55D91"/>
    <w:rsid w:val="00C55E1A"/>
    <w:rsid w:val="00C55E2A"/>
    <w:rsid w:val="00C55EC6"/>
    <w:rsid w:val="00C55ECC"/>
    <w:rsid w:val="00C55F4D"/>
    <w:rsid w:val="00C55F78"/>
    <w:rsid w:val="00C5600A"/>
    <w:rsid w:val="00C560B3"/>
    <w:rsid w:val="00C560ED"/>
    <w:rsid w:val="00C56109"/>
    <w:rsid w:val="00C56399"/>
    <w:rsid w:val="00C563EA"/>
    <w:rsid w:val="00C563F0"/>
    <w:rsid w:val="00C5644A"/>
    <w:rsid w:val="00C5649D"/>
    <w:rsid w:val="00C564C4"/>
    <w:rsid w:val="00C5651F"/>
    <w:rsid w:val="00C566D9"/>
    <w:rsid w:val="00C5673E"/>
    <w:rsid w:val="00C568FA"/>
    <w:rsid w:val="00C569DD"/>
    <w:rsid w:val="00C56B0C"/>
    <w:rsid w:val="00C56B98"/>
    <w:rsid w:val="00C56C25"/>
    <w:rsid w:val="00C56C49"/>
    <w:rsid w:val="00C56CD5"/>
    <w:rsid w:val="00C56CDC"/>
    <w:rsid w:val="00C56D73"/>
    <w:rsid w:val="00C56E62"/>
    <w:rsid w:val="00C56E89"/>
    <w:rsid w:val="00C56E90"/>
    <w:rsid w:val="00C56F9D"/>
    <w:rsid w:val="00C56FB7"/>
    <w:rsid w:val="00C5720F"/>
    <w:rsid w:val="00C57229"/>
    <w:rsid w:val="00C57266"/>
    <w:rsid w:val="00C57277"/>
    <w:rsid w:val="00C57455"/>
    <w:rsid w:val="00C574B9"/>
    <w:rsid w:val="00C57507"/>
    <w:rsid w:val="00C575E9"/>
    <w:rsid w:val="00C576FB"/>
    <w:rsid w:val="00C57819"/>
    <w:rsid w:val="00C57832"/>
    <w:rsid w:val="00C57902"/>
    <w:rsid w:val="00C57977"/>
    <w:rsid w:val="00C579E1"/>
    <w:rsid w:val="00C57A8B"/>
    <w:rsid w:val="00C57B62"/>
    <w:rsid w:val="00C57BA4"/>
    <w:rsid w:val="00C57C65"/>
    <w:rsid w:val="00C57D1A"/>
    <w:rsid w:val="00C57E80"/>
    <w:rsid w:val="00C57EA7"/>
    <w:rsid w:val="00C57EBD"/>
    <w:rsid w:val="00C57EE5"/>
    <w:rsid w:val="00C57F02"/>
    <w:rsid w:val="00C57FAF"/>
    <w:rsid w:val="00C600C4"/>
    <w:rsid w:val="00C60188"/>
    <w:rsid w:val="00C60231"/>
    <w:rsid w:val="00C60281"/>
    <w:rsid w:val="00C60330"/>
    <w:rsid w:val="00C60385"/>
    <w:rsid w:val="00C604E0"/>
    <w:rsid w:val="00C605B2"/>
    <w:rsid w:val="00C605DE"/>
    <w:rsid w:val="00C605F0"/>
    <w:rsid w:val="00C605F1"/>
    <w:rsid w:val="00C60659"/>
    <w:rsid w:val="00C606F7"/>
    <w:rsid w:val="00C6072B"/>
    <w:rsid w:val="00C60784"/>
    <w:rsid w:val="00C607DD"/>
    <w:rsid w:val="00C60847"/>
    <w:rsid w:val="00C608E6"/>
    <w:rsid w:val="00C6091B"/>
    <w:rsid w:val="00C60938"/>
    <w:rsid w:val="00C60942"/>
    <w:rsid w:val="00C609F7"/>
    <w:rsid w:val="00C60C5A"/>
    <w:rsid w:val="00C60CF5"/>
    <w:rsid w:val="00C60EDA"/>
    <w:rsid w:val="00C60F71"/>
    <w:rsid w:val="00C610A3"/>
    <w:rsid w:val="00C611FD"/>
    <w:rsid w:val="00C6128F"/>
    <w:rsid w:val="00C61419"/>
    <w:rsid w:val="00C61479"/>
    <w:rsid w:val="00C6155C"/>
    <w:rsid w:val="00C615A9"/>
    <w:rsid w:val="00C61712"/>
    <w:rsid w:val="00C61795"/>
    <w:rsid w:val="00C61994"/>
    <w:rsid w:val="00C619AD"/>
    <w:rsid w:val="00C61A4C"/>
    <w:rsid w:val="00C61A73"/>
    <w:rsid w:val="00C61A91"/>
    <w:rsid w:val="00C61B28"/>
    <w:rsid w:val="00C61C0C"/>
    <w:rsid w:val="00C61EEF"/>
    <w:rsid w:val="00C61F05"/>
    <w:rsid w:val="00C61F42"/>
    <w:rsid w:val="00C6200F"/>
    <w:rsid w:val="00C6204B"/>
    <w:rsid w:val="00C621A9"/>
    <w:rsid w:val="00C62348"/>
    <w:rsid w:val="00C6238C"/>
    <w:rsid w:val="00C62390"/>
    <w:rsid w:val="00C62392"/>
    <w:rsid w:val="00C6243F"/>
    <w:rsid w:val="00C62440"/>
    <w:rsid w:val="00C624A6"/>
    <w:rsid w:val="00C62556"/>
    <w:rsid w:val="00C625E7"/>
    <w:rsid w:val="00C62624"/>
    <w:rsid w:val="00C62748"/>
    <w:rsid w:val="00C62753"/>
    <w:rsid w:val="00C62801"/>
    <w:rsid w:val="00C62938"/>
    <w:rsid w:val="00C6294A"/>
    <w:rsid w:val="00C62A15"/>
    <w:rsid w:val="00C62A28"/>
    <w:rsid w:val="00C62AFE"/>
    <w:rsid w:val="00C62B81"/>
    <w:rsid w:val="00C62BCB"/>
    <w:rsid w:val="00C62D44"/>
    <w:rsid w:val="00C62F5E"/>
    <w:rsid w:val="00C62FE1"/>
    <w:rsid w:val="00C63001"/>
    <w:rsid w:val="00C6311D"/>
    <w:rsid w:val="00C631FB"/>
    <w:rsid w:val="00C63231"/>
    <w:rsid w:val="00C63233"/>
    <w:rsid w:val="00C6325A"/>
    <w:rsid w:val="00C63295"/>
    <w:rsid w:val="00C632E9"/>
    <w:rsid w:val="00C634B3"/>
    <w:rsid w:val="00C634C6"/>
    <w:rsid w:val="00C634D0"/>
    <w:rsid w:val="00C63599"/>
    <w:rsid w:val="00C635AA"/>
    <w:rsid w:val="00C6361A"/>
    <w:rsid w:val="00C63639"/>
    <w:rsid w:val="00C6363A"/>
    <w:rsid w:val="00C63683"/>
    <w:rsid w:val="00C637FA"/>
    <w:rsid w:val="00C638BC"/>
    <w:rsid w:val="00C638D0"/>
    <w:rsid w:val="00C638F4"/>
    <w:rsid w:val="00C63904"/>
    <w:rsid w:val="00C63A43"/>
    <w:rsid w:val="00C63A5C"/>
    <w:rsid w:val="00C63B7D"/>
    <w:rsid w:val="00C63BB6"/>
    <w:rsid w:val="00C63BF4"/>
    <w:rsid w:val="00C63C2D"/>
    <w:rsid w:val="00C63C6B"/>
    <w:rsid w:val="00C63C79"/>
    <w:rsid w:val="00C63E32"/>
    <w:rsid w:val="00C6421F"/>
    <w:rsid w:val="00C642F4"/>
    <w:rsid w:val="00C6443E"/>
    <w:rsid w:val="00C6462B"/>
    <w:rsid w:val="00C64676"/>
    <w:rsid w:val="00C64754"/>
    <w:rsid w:val="00C6489A"/>
    <w:rsid w:val="00C6494D"/>
    <w:rsid w:val="00C649E0"/>
    <w:rsid w:val="00C649E6"/>
    <w:rsid w:val="00C64AD5"/>
    <w:rsid w:val="00C64B27"/>
    <w:rsid w:val="00C64B43"/>
    <w:rsid w:val="00C64C3D"/>
    <w:rsid w:val="00C64CDA"/>
    <w:rsid w:val="00C64F9D"/>
    <w:rsid w:val="00C65041"/>
    <w:rsid w:val="00C65056"/>
    <w:rsid w:val="00C6505C"/>
    <w:rsid w:val="00C650DE"/>
    <w:rsid w:val="00C650E9"/>
    <w:rsid w:val="00C651C8"/>
    <w:rsid w:val="00C65265"/>
    <w:rsid w:val="00C652D8"/>
    <w:rsid w:val="00C6530B"/>
    <w:rsid w:val="00C65503"/>
    <w:rsid w:val="00C65535"/>
    <w:rsid w:val="00C65638"/>
    <w:rsid w:val="00C65647"/>
    <w:rsid w:val="00C6580A"/>
    <w:rsid w:val="00C6586D"/>
    <w:rsid w:val="00C65972"/>
    <w:rsid w:val="00C6599E"/>
    <w:rsid w:val="00C65A1B"/>
    <w:rsid w:val="00C65AE9"/>
    <w:rsid w:val="00C65AEA"/>
    <w:rsid w:val="00C65B1E"/>
    <w:rsid w:val="00C65B80"/>
    <w:rsid w:val="00C65CBD"/>
    <w:rsid w:val="00C65CCE"/>
    <w:rsid w:val="00C65CE8"/>
    <w:rsid w:val="00C65D06"/>
    <w:rsid w:val="00C65DAA"/>
    <w:rsid w:val="00C65F1A"/>
    <w:rsid w:val="00C65FAE"/>
    <w:rsid w:val="00C66016"/>
    <w:rsid w:val="00C6604A"/>
    <w:rsid w:val="00C660D5"/>
    <w:rsid w:val="00C661C0"/>
    <w:rsid w:val="00C6620A"/>
    <w:rsid w:val="00C662F3"/>
    <w:rsid w:val="00C6633E"/>
    <w:rsid w:val="00C664AA"/>
    <w:rsid w:val="00C664AE"/>
    <w:rsid w:val="00C6672F"/>
    <w:rsid w:val="00C667CC"/>
    <w:rsid w:val="00C66832"/>
    <w:rsid w:val="00C66892"/>
    <w:rsid w:val="00C669DA"/>
    <w:rsid w:val="00C66A21"/>
    <w:rsid w:val="00C66A6E"/>
    <w:rsid w:val="00C66A7F"/>
    <w:rsid w:val="00C66AD8"/>
    <w:rsid w:val="00C66BC4"/>
    <w:rsid w:val="00C66C58"/>
    <w:rsid w:val="00C66D1A"/>
    <w:rsid w:val="00C66D44"/>
    <w:rsid w:val="00C66E47"/>
    <w:rsid w:val="00C66EAA"/>
    <w:rsid w:val="00C66EDC"/>
    <w:rsid w:val="00C66F2B"/>
    <w:rsid w:val="00C66FB2"/>
    <w:rsid w:val="00C66FE5"/>
    <w:rsid w:val="00C672A7"/>
    <w:rsid w:val="00C6735E"/>
    <w:rsid w:val="00C67418"/>
    <w:rsid w:val="00C6753A"/>
    <w:rsid w:val="00C67589"/>
    <w:rsid w:val="00C67626"/>
    <w:rsid w:val="00C67785"/>
    <w:rsid w:val="00C67817"/>
    <w:rsid w:val="00C67905"/>
    <w:rsid w:val="00C679C7"/>
    <w:rsid w:val="00C67A30"/>
    <w:rsid w:val="00C67A60"/>
    <w:rsid w:val="00C67A82"/>
    <w:rsid w:val="00C67C0C"/>
    <w:rsid w:val="00C67D0B"/>
    <w:rsid w:val="00C67DDD"/>
    <w:rsid w:val="00C67E1D"/>
    <w:rsid w:val="00C67E73"/>
    <w:rsid w:val="00C67F21"/>
    <w:rsid w:val="00C67F97"/>
    <w:rsid w:val="00C700A4"/>
    <w:rsid w:val="00C700E5"/>
    <w:rsid w:val="00C7013C"/>
    <w:rsid w:val="00C70154"/>
    <w:rsid w:val="00C7015A"/>
    <w:rsid w:val="00C7015F"/>
    <w:rsid w:val="00C70242"/>
    <w:rsid w:val="00C70346"/>
    <w:rsid w:val="00C703B3"/>
    <w:rsid w:val="00C7040B"/>
    <w:rsid w:val="00C70453"/>
    <w:rsid w:val="00C7048D"/>
    <w:rsid w:val="00C70495"/>
    <w:rsid w:val="00C705A1"/>
    <w:rsid w:val="00C705C9"/>
    <w:rsid w:val="00C70659"/>
    <w:rsid w:val="00C70684"/>
    <w:rsid w:val="00C706D5"/>
    <w:rsid w:val="00C707CA"/>
    <w:rsid w:val="00C707F0"/>
    <w:rsid w:val="00C70851"/>
    <w:rsid w:val="00C70900"/>
    <w:rsid w:val="00C7096E"/>
    <w:rsid w:val="00C709FA"/>
    <w:rsid w:val="00C70A33"/>
    <w:rsid w:val="00C70B0C"/>
    <w:rsid w:val="00C70B0D"/>
    <w:rsid w:val="00C70B38"/>
    <w:rsid w:val="00C70BB7"/>
    <w:rsid w:val="00C70F2C"/>
    <w:rsid w:val="00C70FBB"/>
    <w:rsid w:val="00C70FF6"/>
    <w:rsid w:val="00C7100C"/>
    <w:rsid w:val="00C7105E"/>
    <w:rsid w:val="00C710CA"/>
    <w:rsid w:val="00C7110D"/>
    <w:rsid w:val="00C71193"/>
    <w:rsid w:val="00C7130D"/>
    <w:rsid w:val="00C7147B"/>
    <w:rsid w:val="00C71512"/>
    <w:rsid w:val="00C71588"/>
    <w:rsid w:val="00C71792"/>
    <w:rsid w:val="00C71940"/>
    <w:rsid w:val="00C7194C"/>
    <w:rsid w:val="00C7199A"/>
    <w:rsid w:val="00C719AF"/>
    <w:rsid w:val="00C719CA"/>
    <w:rsid w:val="00C71A4B"/>
    <w:rsid w:val="00C71AA1"/>
    <w:rsid w:val="00C71BBE"/>
    <w:rsid w:val="00C71BD4"/>
    <w:rsid w:val="00C71C08"/>
    <w:rsid w:val="00C71C09"/>
    <w:rsid w:val="00C71C5C"/>
    <w:rsid w:val="00C71C7F"/>
    <w:rsid w:val="00C71C99"/>
    <w:rsid w:val="00C71CE0"/>
    <w:rsid w:val="00C71D40"/>
    <w:rsid w:val="00C71D64"/>
    <w:rsid w:val="00C71D66"/>
    <w:rsid w:val="00C71D72"/>
    <w:rsid w:val="00C71E71"/>
    <w:rsid w:val="00C71E79"/>
    <w:rsid w:val="00C71F47"/>
    <w:rsid w:val="00C71FFF"/>
    <w:rsid w:val="00C72064"/>
    <w:rsid w:val="00C72252"/>
    <w:rsid w:val="00C723EB"/>
    <w:rsid w:val="00C72469"/>
    <w:rsid w:val="00C724F3"/>
    <w:rsid w:val="00C72593"/>
    <w:rsid w:val="00C72649"/>
    <w:rsid w:val="00C72660"/>
    <w:rsid w:val="00C728E4"/>
    <w:rsid w:val="00C7293C"/>
    <w:rsid w:val="00C7296B"/>
    <w:rsid w:val="00C72985"/>
    <w:rsid w:val="00C72C0B"/>
    <w:rsid w:val="00C72CCE"/>
    <w:rsid w:val="00C72D0C"/>
    <w:rsid w:val="00C72ED1"/>
    <w:rsid w:val="00C72F4E"/>
    <w:rsid w:val="00C7308C"/>
    <w:rsid w:val="00C731B2"/>
    <w:rsid w:val="00C731F9"/>
    <w:rsid w:val="00C7325B"/>
    <w:rsid w:val="00C732C6"/>
    <w:rsid w:val="00C7332F"/>
    <w:rsid w:val="00C73364"/>
    <w:rsid w:val="00C73405"/>
    <w:rsid w:val="00C7341A"/>
    <w:rsid w:val="00C7343C"/>
    <w:rsid w:val="00C73489"/>
    <w:rsid w:val="00C734FC"/>
    <w:rsid w:val="00C7357B"/>
    <w:rsid w:val="00C7370B"/>
    <w:rsid w:val="00C73797"/>
    <w:rsid w:val="00C737A9"/>
    <w:rsid w:val="00C738BF"/>
    <w:rsid w:val="00C738D7"/>
    <w:rsid w:val="00C739C2"/>
    <w:rsid w:val="00C73A41"/>
    <w:rsid w:val="00C73B67"/>
    <w:rsid w:val="00C73C15"/>
    <w:rsid w:val="00C73C16"/>
    <w:rsid w:val="00C73CFF"/>
    <w:rsid w:val="00C73D2C"/>
    <w:rsid w:val="00C73D30"/>
    <w:rsid w:val="00C73D54"/>
    <w:rsid w:val="00C73DE4"/>
    <w:rsid w:val="00C73DE9"/>
    <w:rsid w:val="00C73E76"/>
    <w:rsid w:val="00C73F88"/>
    <w:rsid w:val="00C73F96"/>
    <w:rsid w:val="00C74014"/>
    <w:rsid w:val="00C7401D"/>
    <w:rsid w:val="00C740AB"/>
    <w:rsid w:val="00C740F3"/>
    <w:rsid w:val="00C74158"/>
    <w:rsid w:val="00C741DF"/>
    <w:rsid w:val="00C74357"/>
    <w:rsid w:val="00C74369"/>
    <w:rsid w:val="00C743A0"/>
    <w:rsid w:val="00C74414"/>
    <w:rsid w:val="00C74448"/>
    <w:rsid w:val="00C745F7"/>
    <w:rsid w:val="00C747B7"/>
    <w:rsid w:val="00C747F4"/>
    <w:rsid w:val="00C748FD"/>
    <w:rsid w:val="00C74954"/>
    <w:rsid w:val="00C74A89"/>
    <w:rsid w:val="00C74AF2"/>
    <w:rsid w:val="00C74C52"/>
    <w:rsid w:val="00C74CA8"/>
    <w:rsid w:val="00C74CB5"/>
    <w:rsid w:val="00C74D66"/>
    <w:rsid w:val="00C74DFC"/>
    <w:rsid w:val="00C74EA3"/>
    <w:rsid w:val="00C74EB4"/>
    <w:rsid w:val="00C7501E"/>
    <w:rsid w:val="00C7524B"/>
    <w:rsid w:val="00C7526D"/>
    <w:rsid w:val="00C75359"/>
    <w:rsid w:val="00C75362"/>
    <w:rsid w:val="00C753C4"/>
    <w:rsid w:val="00C7542E"/>
    <w:rsid w:val="00C75446"/>
    <w:rsid w:val="00C7544F"/>
    <w:rsid w:val="00C75487"/>
    <w:rsid w:val="00C7559B"/>
    <w:rsid w:val="00C755B1"/>
    <w:rsid w:val="00C755CA"/>
    <w:rsid w:val="00C756AE"/>
    <w:rsid w:val="00C75822"/>
    <w:rsid w:val="00C758A0"/>
    <w:rsid w:val="00C758BE"/>
    <w:rsid w:val="00C758E5"/>
    <w:rsid w:val="00C7591A"/>
    <w:rsid w:val="00C7595D"/>
    <w:rsid w:val="00C75986"/>
    <w:rsid w:val="00C75A3E"/>
    <w:rsid w:val="00C75A41"/>
    <w:rsid w:val="00C75A55"/>
    <w:rsid w:val="00C75B08"/>
    <w:rsid w:val="00C75C0B"/>
    <w:rsid w:val="00C75C55"/>
    <w:rsid w:val="00C75CDD"/>
    <w:rsid w:val="00C75D24"/>
    <w:rsid w:val="00C75DB3"/>
    <w:rsid w:val="00C75E40"/>
    <w:rsid w:val="00C75ED0"/>
    <w:rsid w:val="00C75EF7"/>
    <w:rsid w:val="00C76054"/>
    <w:rsid w:val="00C760DA"/>
    <w:rsid w:val="00C76141"/>
    <w:rsid w:val="00C761C8"/>
    <w:rsid w:val="00C762C8"/>
    <w:rsid w:val="00C764DE"/>
    <w:rsid w:val="00C76578"/>
    <w:rsid w:val="00C766DE"/>
    <w:rsid w:val="00C7673A"/>
    <w:rsid w:val="00C7674D"/>
    <w:rsid w:val="00C76770"/>
    <w:rsid w:val="00C76787"/>
    <w:rsid w:val="00C767ED"/>
    <w:rsid w:val="00C767FB"/>
    <w:rsid w:val="00C7683D"/>
    <w:rsid w:val="00C7696D"/>
    <w:rsid w:val="00C76A29"/>
    <w:rsid w:val="00C76A6A"/>
    <w:rsid w:val="00C76A80"/>
    <w:rsid w:val="00C76A94"/>
    <w:rsid w:val="00C76ADF"/>
    <w:rsid w:val="00C76B72"/>
    <w:rsid w:val="00C76C6B"/>
    <w:rsid w:val="00C76CA6"/>
    <w:rsid w:val="00C76E4F"/>
    <w:rsid w:val="00C76EF0"/>
    <w:rsid w:val="00C76F22"/>
    <w:rsid w:val="00C7701F"/>
    <w:rsid w:val="00C7709D"/>
    <w:rsid w:val="00C77215"/>
    <w:rsid w:val="00C7722E"/>
    <w:rsid w:val="00C7740A"/>
    <w:rsid w:val="00C7740E"/>
    <w:rsid w:val="00C77458"/>
    <w:rsid w:val="00C775B4"/>
    <w:rsid w:val="00C77625"/>
    <w:rsid w:val="00C77652"/>
    <w:rsid w:val="00C77679"/>
    <w:rsid w:val="00C77751"/>
    <w:rsid w:val="00C77B2E"/>
    <w:rsid w:val="00C77B7A"/>
    <w:rsid w:val="00C77C20"/>
    <w:rsid w:val="00C77C94"/>
    <w:rsid w:val="00C77DD6"/>
    <w:rsid w:val="00C77E72"/>
    <w:rsid w:val="00C77EC0"/>
    <w:rsid w:val="00C77F2A"/>
    <w:rsid w:val="00C77F99"/>
    <w:rsid w:val="00C77FA1"/>
    <w:rsid w:val="00C80058"/>
    <w:rsid w:val="00C801A7"/>
    <w:rsid w:val="00C801C3"/>
    <w:rsid w:val="00C8023C"/>
    <w:rsid w:val="00C802FA"/>
    <w:rsid w:val="00C80350"/>
    <w:rsid w:val="00C8036B"/>
    <w:rsid w:val="00C80378"/>
    <w:rsid w:val="00C80496"/>
    <w:rsid w:val="00C805BA"/>
    <w:rsid w:val="00C805CB"/>
    <w:rsid w:val="00C805FF"/>
    <w:rsid w:val="00C80743"/>
    <w:rsid w:val="00C807F8"/>
    <w:rsid w:val="00C8097F"/>
    <w:rsid w:val="00C809D5"/>
    <w:rsid w:val="00C80B3C"/>
    <w:rsid w:val="00C80B5D"/>
    <w:rsid w:val="00C80BA1"/>
    <w:rsid w:val="00C80BB4"/>
    <w:rsid w:val="00C80CB0"/>
    <w:rsid w:val="00C80D04"/>
    <w:rsid w:val="00C80D40"/>
    <w:rsid w:val="00C80DBC"/>
    <w:rsid w:val="00C80E0B"/>
    <w:rsid w:val="00C80F50"/>
    <w:rsid w:val="00C80F65"/>
    <w:rsid w:val="00C80F74"/>
    <w:rsid w:val="00C81076"/>
    <w:rsid w:val="00C8108C"/>
    <w:rsid w:val="00C81194"/>
    <w:rsid w:val="00C81290"/>
    <w:rsid w:val="00C81392"/>
    <w:rsid w:val="00C81492"/>
    <w:rsid w:val="00C814A5"/>
    <w:rsid w:val="00C81577"/>
    <w:rsid w:val="00C81650"/>
    <w:rsid w:val="00C8167C"/>
    <w:rsid w:val="00C8169B"/>
    <w:rsid w:val="00C816A3"/>
    <w:rsid w:val="00C816D1"/>
    <w:rsid w:val="00C81715"/>
    <w:rsid w:val="00C81771"/>
    <w:rsid w:val="00C817E3"/>
    <w:rsid w:val="00C8182E"/>
    <w:rsid w:val="00C8191F"/>
    <w:rsid w:val="00C81986"/>
    <w:rsid w:val="00C819D6"/>
    <w:rsid w:val="00C81B4A"/>
    <w:rsid w:val="00C81B6D"/>
    <w:rsid w:val="00C81BD4"/>
    <w:rsid w:val="00C81CE9"/>
    <w:rsid w:val="00C81E34"/>
    <w:rsid w:val="00C81F36"/>
    <w:rsid w:val="00C82155"/>
    <w:rsid w:val="00C823E5"/>
    <w:rsid w:val="00C82407"/>
    <w:rsid w:val="00C825A5"/>
    <w:rsid w:val="00C8268B"/>
    <w:rsid w:val="00C826BF"/>
    <w:rsid w:val="00C826EC"/>
    <w:rsid w:val="00C826F1"/>
    <w:rsid w:val="00C82745"/>
    <w:rsid w:val="00C828A9"/>
    <w:rsid w:val="00C8290E"/>
    <w:rsid w:val="00C829F0"/>
    <w:rsid w:val="00C82A3E"/>
    <w:rsid w:val="00C82AF5"/>
    <w:rsid w:val="00C82AFB"/>
    <w:rsid w:val="00C82B77"/>
    <w:rsid w:val="00C82BB5"/>
    <w:rsid w:val="00C82BC2"/>
    <w:rsid w:val="00C82BD6"/>
    <w:rsid w:val="00C82D02"/>
    <w:rsid w:val="00C82D87"/>
    <w:rsid w:val="00C82E71"/>
    <w:rsid w:val="00C82E75"/>
    <w:rsid w:val="00C82EC2"/>
    <w:rsid w:val="00C8325F"/>
    <w:rsid w:val="00C83351"/>
    <w:rsid w:val="00C8348E"/>
    <w:rsid w:val="00C835E0"/>
    <w:rsid w:val="00C835FB"/>
    <w:rsid w:val="00C8365A"/>
    <w:rsid w:val="00C83669"/>
    <w:rsid w:val="00C837CE"/>
    <w:rsid w:val="00C837D7"/>
    <w:rsid w:val="00C838CF"/>
    <w:rsid w:val="00C8392F"/>
    <w:rsid w:val="00C83A3C"/>
    <w:rsid w:val="00C83C23"/>
    <w:rsid w:val="00C83D7D"/>
    <w:rsid w:val="00C83DEE"/>
    <w:rsid w:val="00C83E05"/>
    <w:rsid w:val="00C83E2D"/>
    <w:rsid w:val="00C83EC1"/>
    <w:rsid w:val="00C83F7F"/>
    <w:rsid w:val="00C840A6"/>
    <w:rsid w:val="00C840F9"/>
    <w:rsid w:val="00C84104"/>
    <w:rsid w:val="00C84160"/>
    <w:rsid w:val="00C841F8"/>
    <w:rsid w:val="00C84280"/>
    <w:rsid w:val="00C842D7"/>
    <w:rsid w:val="00C843EB"/>
    <w:rsid w:val="00C84424"/>
    <w:rsid w:val="00C844B4"/>
    <w:rsid w:val="00C8454F"/>
    <w:rsid w:val="00C84682"/>
    <w:rsid w:val="00C847CE"/>
    <w:rsid w:val="00C84943"/>
    <w:rsid w:val="00C84A53"/>
    <w:rsid w:val="00C84A9C"/>
    <w:rsid w:val="00C84B93"/>
    <w:rsid w:val="00C84BEE"/>
    <w:rsid w:val="00C84BF3"/>
    <w:rsid w:val="00C84C11"/>
    <w:rsid w:val="00C84C3D"/>
    <w:rsid w:val="00C84E25"/>
    <w:rsid w:val="00C84E9F"/>
    <w:rsid w:val="00C84FB8"/>
    <w:rsid w:val="00C85019"/>
    <w:rsid w:val="00C852A2"/>
    <w:rsid w:val="00C85337"/>
    <w:rsid w:val="00C85420"/>
    <w:rsid w:val="00C85426"/>
    <w:rsid w:val="00C855EF"/>
    <w:rsid w:val="00C8566F"/>
    <w:rsid w:val="00C85676"/>
    <w:rsid w:val="00C856B8"/>
    <w:rsid w:val="00C85720"/>
    <w:rsid w:val="00C857B0"/>
    <w:rsid w:val="00C85958"/>
    <w:rsid w:val="00C859A5"/>
    <w:rsid w:val="00C859D1"/>
    <w:rsid w:val="00C85D00"/>
    <w:rsid w:val="00C85D5A"/>
    <w:rsid w:val="00C85E2C"/>
    <w:rsid w:val="00C85EFF"/>
    <w:rsid w:val="00C85F5B"/>
    <w:rsid w:val="00C85F88"/>
    <w:rsid w:val="00C85FBF"/>
    <w:rsid w:val="00C8606F"/>
    <w:rsid w:val="00C860DE"/>
    <w:rsid w:val="00C86142"/>
    <w:rsid w:val="00C86147"/>
    <w:rsid w:val="00C861FD"/>
    <w:rsid w:val="00C86203"/>
    <w:rsid w:val="00C86243"/>
    <w:rsid w:val="00C86296"/>
    <w:rsid w:val="00C862AA"/>
    <w:rsid w:val="00C862E1"/>
    <w:rsid w:val="00C86406"/>
    <w:rsid w:val="00C8647A"/>
    <w:rsid w:val="00C866C0"/>
    <w:rsid w:val="00C866E0"/>
    <w:rsid w:val="00C867AB"/>
    <w:rsid w:val="00C867CA"/>
    <w:rsid w:val="00C867D4"/>
    <w:rsid w:val="00C8682C"/>
    <w:rsid w:val="00C86850"/>
    <w:rsid w:val="00C868AA"/>
    <w:rsid w:val="00C869F6"/>
    <w:rsid w:val="00C86A1A"/>
    <w:rsid w:val="00C86ABC"/>
    <w:rsid w:val="00C86BBE"/>
    <w:rsid w:val="00C86C8E"/>
    <w:rsid w:val="00C86DAA"/>
    <w:rsid w:val="00C86ED9"/>
    <w:rsid w:val="00C86F22"/>
    <w:rsid w:val="00C86F56"/>
    <w:rsid w:val="00C86F63"/>
    <w:rsid w:val="00C86F91"/>
    <w:rsid w:val="00C87032"/>
    <w:rsid w:val="00C870F7"/>
    <w:rsid w:val="00C87118"/>
    <w:rsid w:val="00C871DE"/>
    <w:rsid w:val="00C8728D"/>
    <w:rsid w:val="00C872B8"/>
    <w:rsid w:val="00C872DA"/>
    <w:rsid w:val="00C872E0"/>
    <w:rsid w:val="00C8735B"/>
    <w:rsid w:val="00C87365"/>
    <w:rsid w:val="00C873B1"/>
    <w:rsid w:val="00C87408"/>
    <w:rsid w:val="00C87472"/>
    <w:rsid w:val="00C874CA"/>
    <w:rsid w:val="00C875CA"/>
    <w:rsid w:val="00C8770F"/>
    <w:rsid w:val="00C877EF"/>
    <w:rsid w:val="00C878EC"/>
    <w:rsid w:val="00C87918"/>
    <w:rsid w:val="00C87919"/>
    <w:rsid w:val="00C87971"/>
    <w:rsid w:val="00C87A39"/>
    <w:rsid w:val="00C87A58"/>
    <w:rsid w:val="00C87C33"/>
    <w:rsid w:val="00C87DEA"/>
    <w:rsid w:val="00C87DF8"/>
    <w:rsid w:val="00C87F00"/>
    <w:rsid w:val="00C87F4D"/>
    <w:rsid w:val="00C87F85"/>
    <w:rsid w:val="00C87FAB"/>
    <w:rsid w:val="00C9002F"/>
    <w:rsid w:val="00C9006F"/>
    <w:rsid w:val="00C900EE"/>
    <w:rsid w:val="00C90121"/>
    <w:rsid w:val="00C90127"/>
    <w:rsid w:val="00C9019F"/>
    <w:rsid w:val="00C901FE"/>
    <w:rsid w:val="00C9020B"/>
    <w:rsid w:val="00C9023F"/>
    <w:rsid w:val="00C906D0"/>
    <w:rsid w:val="00C90A02"/>
    <w:rsid w:val="00C90B4A"/>
    <w:rsid w:val="00C90BEC"/>
    <w:rsid w:val="00C90C2E"/>
    <w:rsid w:val="00C90D01"/>
    <w:rsid w:val="00C90D76"/>
    <w:rsid w:val="00C90FC7"/>
    <w:rsid w:val="00C90FD5"/>
    <w:rsid w:val="00C910FA"/>
    <w:rsid w:val="00C9125A"/>
    <w:rsid w:val="00C9125B"/>
    <w:rsid w:val="00C912AB"/>
    <w:rsid w:val="00C912DE"/>
    <w:rsid w:val="00C912EC"/>
    <w:rsid w:val="00C91353"/>
    <w:rsid w:val="00C9159E"/>
    <w:rsid w:val="00C91628"/>
    <w:rsid w:val="00C9180A"/>
    <w:rsid w:val="00C91923"/>
    <w:rsid w:val="00C919B7"/>
    <w:rsid w:val="00C91B51"/>
    <w:rsid w:val="00C91BC6"/>
    <w:rsid w:val="00C91C30"/>
    <w:rsid w:val="00C91D97"/>
    <w:rsid w:val="00C91E08"/>
    <w:rsid w:val="00C91E19"/>
    <w:rsid w:val="00C91E48"/>
    <w:rsid w:val="00C91EB9"/>
    <w:rsid w:val="00C91F27"/>
    <w:rsid w:val="00C91F99"/>
    <w:rsid w:val="00C91FF7"/>
    <w:rsid w:val="00C92066"/>
    <w:rsid w:val="00C920EE"/>
    <w:rsid w:val="00C92182"/>
    <w:rsid w:val="00C921FB"/>
    <w:rsid w:val="00C92264"/>
    <w:rsid w:val="00C9226C"/>
    <w:rsid w:val="00C92422"/>
    <w:rsid w:val="00C9249B"/>
    <w:rsid w:val="00C9251F"/>
    <w:rsid w:val="00C9254E"/>
    <w:rsid w:val="00C92647"/>
    <w:rsid w:val="00C92648"/>
    <w:rsid w:val="00C926EE"/>
    <w:rsid w:val="00C9284E"/>
    <w:rsid w:val="00C9285F"/>
    <w:rsid w:val="00C9287B"/>
    <w:rsid w:val="00C929B2"/>
    <w:rsid w:val="00C92A0D"/>
    <w:rsid w:val="00C92AB0"/>
    <w:rsid w:val="00C92B4E"/>
    <w:rsid w:val="00C92B70"/>
    <w:rsid w:val="00C92B83"/>
    <w:rsid w:val="00C92B9C"/>
    <w:rsid w:val="00C92C0A"/>
    <w:rsid w:val="00C92C6B"/>
    <w:rsid w:val="00C92CE8"/>
    <w:rsid w:val="00C92E27"/>
    <w:rsid w:val="00C92EE9"/>
    <w:rsid w:val="00C92F21"/>
    <w:rsid w:val="00C92FB3"/>
    <w:rsid w:val="00C93033"/>
    <w:rsid w:val="00C93084"/>
    <w:rsid w:val="00C9308A"/>
    <w:rsid w:val="00C93292"/>
    <w:rsid w:val="00C932BF"/>
    <w:rsid w:val="00C9331C"/>
    <w:rsid w:val="00C9332D"/>
    <w:rsid w:val="00C93408"/>
    <w:rsid w:val="00C9340E"/>
    <w:rsid w:val="00C93475"/>
    <w:rsid w:val="00C93543"/>
    <w:rsid w:val="00C93699"/>
    <w:rsid w:val="00C936E1"/>
    <w:rsid w:val="00C93756"/>
    <w:rsid w:val="00C937BD"/>
    <w:rsid w:val="00C939DF"/>
    <w:rsid w:val="00C93AD4"/>
    <w:rsid w:val="00C93B7A"/>
    <w:rsid w:val="00C93C1B"/>
    <w:rsid w:val="00C93D3E"/>
    <w:rsid w:val="00C93E35"/>
    <w:rsid w:val="00C93E42"/>
    <w:rsid w:val="00C93EFF"/>
    <w:rsid w:val="00C93F7F"/>
    <w:rsid w:val="00C94128"/>
    <w:rsid w:val="00C941B0"/>
    <w:rsid w:val="00C94222"/>
    <w:rsid w:val="00C9427D"/>
    <w:rsid w:val="00C94292"/>
    <w:rsid w:val="00C94428"/>
    <w:rsid w:val="00C94487"/>
    <w:rsid w:val="00C945CF"/>
    <w:rsid w:val="00C94668"/>
    <w:rsid w:val="00C94745"/>
    <w:rsid w:val="00C9475C"/>
    <w:rsid w:val="00C94760"/>
    <w:rsid w:val="00C947A7"/>
    <w:rsid w:val="00C9487D"/>
    <w:rsid w:val="00C9494C"/>
    <w:rsid w:val="00C94A3A"/>
    <w:rsid w:val="00C94B24"/>
    <w:rsid w:val="00C94BD9"/>
    <w:rsid w:val="00C94EB0"/>
    <w:rsid w:val="00C94EDE"/>
    <w:rsid w:val="00C94F05"/>
    <w:rsid w:val="00C950B2"/>
    <w:rsid w:val="00C9514A"/>
    <w:rsid w:val="00C95182"/>
    <w:rsid w:val="00C951AF"/>
    <w:rsid w:val="00C95235"/>
    <w:rsid w:val="00C952F8"/>
    <w:rsid w:val="00C95362"/>
    <w:rsid w:val="00C95396"/>
    <w:rsid w:val="00C953D8"/>
    <w:rsid w:val="00C95503"/>
    <w:rsid w:val="00C95505"/>
    <w:rsid w:val="00C95508"/>
    <w:rsid w:val="00C9551C"/>
    <w:rsid w:val="00C9551F"/>
    <w:rsid w:val="00C9553F"/>
    <w:rsid w:val="00C955A9"/>
    <w:rsid w:val="00C956C3"/>
    <w:rsid w:val="00C95708"/>
    <w:rsid w:val="00C9572A"/>
    <w:rsid w:val="00C9574C"/>
    <w:rsid w:val="00C95815"/>
    <w:rsid w:val="00C9581E"/>
    <w:rsid w:val="00C95831"/>
    <w:rsid w:val="00C958A4"/>
    <w:rsid w:val="00C9595F"/>
    <w:rsid w:val="00C95984"/>
    <w:rsid w:val="00C95A20"/>
    <w:rsid w:val="00C95AD8"/>
    <w:rsid w:val="00C95AED"/>
    <w:rsid w:val="00C95BA0"/>
    <w:rsid w:val="00C95CA9"/>
    <w:rsid w:val="00C95E16"/>
    <w:rsid w:val="00C95EFC"/>
    <w:rsid w:val="00C95F42"/>
    <w:rsid w:val="00C95F69"/>
    <w:rsid w:val="00C95FD6"/>
    <w:rsid w:val="00C95FF9"/>
    <w:rsid w:val="00C9604A"/>
    <w:rsid w:val="00C960B3"/>
    <w:rsid w:val="00C96102"/>
    <w:rsid w:val="00C961DB"/>
    <w:rsid w:val="00C9622C"/>
    <w:rsid w:val="00C96361"/>
    <w:rsid w:val="00C9646F"/>
    <w:rsid w:val="00C96594"/>
    <w:rsid w:val="00C965BC"/>
    <w:rsid w:val="00C965C4"/>
    <w:rsid w:val="00C96643"/>
    <w:rsid w:val="00C9665C"/>
    <w:rsid w:val="00C966B8"/>
    <w:rsid w:val="00C966F2"/>
    <w:rsid w:val="00C96841"/>
    <w:rsid w:val="00C96895"/>
    <w:rsid w:val="00C969FB"/>
    <w:rsid w:val="00C96A62"/>
    <w:rsid w:val="00C96C6C"/>
    <w:rsid w:val="00C96C98"/>
    <w:rsid w:val="00C97119"/>
    <w:rsid w:val="00C971FA"/>
    <w:rsid w:val="00C97289"/>
    <w:rsid w:val="00C97389"/>
    <w:rsid w:val="00C97395"/>
    <w:rsid w:val="00C975C7"/>
    <w:rsid w:val="00C977EC"/>
    <w:rsid w:val="00C9781C"/>
    <w:rsid w:val="00C97B24"/>
    <w:rsid w:val="00C97C2D"/>
    <w:rsid w:val="00C97C47"/>
    <w:rsid w:val="00C97C6E"/>
    <w:rsid w:val="00C97CC3"/>
    <w:rsid w:val="00C97E78"/>
    <w:rsid w:val="00C97F63"/>
    <w:rsid w:val="00CA002D"/>
    <w:rsid w:val="00CA0126"/>
    <w:rsid w:val="00CA0159"/>
    <w:rsid w:val="00CA019B"/>
    <w:rsid w:val="00CA0280"/>
    <w:rsid w:val="00CA0407"/>
    <w:rsid w:val="00CA0417"/>
    <w:rsid w:val="00CA043D"/>
    <w:rsid w:val="00CA04C6"/>
    <w:rsid w:val="00CA0511"/>
    <w:rsid w:val="00CA05E4"/>
    <w:rsid w:val="00CA06AA"/>
    <w:rsid w:val="00CA06D5"/>
    <w:rsid w:val="00CA075B"/>
    <w:rsid w:val="00CA07AE"/>
    <w:rsid w:val="00CA07AF"/>
    <w:rsid w:val="00CA0887"/>
    <w:rsid w:val="00CA08C4"/>
    <w:rsid w:val="00CA08E6"/>
    <w:rsid w:val="00CA0B74"/>
    <w:rsid w:val="00CA0BDA"/>
    <w:rsid w:val="00CA0DA2"/>
    <w:rsid w:val="00CA0DE0"/>
    <w:rsid w:val="00CA0EFB"/>
    <w:rsid w:val="00CA0F6C"/>
    <w:rsid w:val="00CA1019"/>
    <w:rsid w:val="00CA111C"/>
    <w:rsid w:val="00CA1131"/>
    <w:rsid w:val="00CA139E"/>
    <w:rsid w:val="00CA1407"/>
    <w:rsid w:val="00CA153F"/>
    <w:rsid w:val="00CA1589"/>
    <w:rsid w:val="00CA16E3"/>
    <w:rsid w:val="00CA185C"/>
    <w:rsid w:val="00CA190B"/>
    <w:rsid w:val="00CA194C"/>
    <w:rsid w:val="00CA1A1F"/>
    <w:rsid w:val="00CA1A2B"/>
    <w:rsid w:val="00CA1ABF"/>
    <w:rsid w:val="00CA1ACC"/>
    <w:rsid w:val="00CA1B6B"/>
    <w:rsid w:val="00CA1D8F"/>
    <w:rsid w:val="00CA1DAD"/>
    <w:rsid w:val="00CA1DB5"/>
    <w:rsid w:val="00CA1DFA"/>
    <w:rsid w:val="00CA1E20"/>
    <w:rsid w:val="00CA1E56"/>
    <w:rsid w:val="00CA1EBC"/>
    <w:rsid w:val="00CA1ECF"/>
    <w:rsid w:val="00CA201D"/>
    <w:rsid w:val="00CA205E"/>
    <w:rsid w:val="00CA22AE"/>
    <w:rsid w:val="00CA2406"/>
    <w:rsid w:val="00CA2664"/>
    <w:rsid w:val="00CA26ED"/>
    <w:rsid w:val="00CA26F5"/>
    <w:rsid w:val="00CA275D"/>
    <w:rsid w:val="00CA27B2"/>
    <w:rsid w:val="00CA280C"/>
    <w:rsid w:val="00CA296B"/>
    <w:rsid w:val="00CA296E"/>
    <w:rsid w:val="00CA29D8"/>
    <w:rsid w:val="00CA2A10"/>
    <w:rsid w:val="00CA2A6B"/>
    <w:rsid w:val="00CA2B0A"/>
    <w:rsid w:val="00CA2B1D"/>
    <w:rsid w:val="00CA2D17"/>
    <w:rsid w:val="00CA2E50"/>
    <w:rsid w:val="00CA2E6A"/>
    <w:rsid w:val="00CA2F70"/>
    <w:rsid w:val="00CA3014"/>
    <w:rsid w:val="00CA319E"/>
    <w:rsid w:val="00CA31CE"/>
    <w:rsid w:val="00CA3251"/>
    <w:rsid w:val="00CA358F"/>
    <w:rsid w:val="00CA35B5"/>
    <w:rsid w:val="00CA35FF"/>
    <w:rsid w:val="00CA365F"/>
    <w:rsid w:val="00CA3721"/>
    <w:rsid w:val="00CA3777"/>
    <w:rsid w:val="00CA3825"/>
    <w:rsid w:val="00CA3895"/>
    <w:rsid w:val="00CA389D"/>
    <w:rsid w:val="00CA3A5D"/>
    <w:rsid w:val="00CA3B58"/>
    <w:rsid w:val="00CA3BE5"/>
    <w:rsid w:val="00CA3C0A"/>
    <w:rsid w:val="00CA3C35"/>
    <w:rsid w:val="00CA3EE6"/>
    <w:rsid w:val="00CA3F76"/>
    <w:rsid w:val="00CA3F8B"/>
    <w:rsid w:val="00CA3FA7"/>
    <w:rsid w:val="00CA40C9"/>
    <w:rsid w:val="00CA41E3"/>
    <w:rsid w:val="00CA41E5"/>
    <w:rsid w:val="00CA4212"/>
    <w:rsid w:val="00CA4313"/>
    <w:rsid w:val="00CA43CD"/>
    <w:rsid w:val="00CA4413"/>
    <w:rsid w:val="00CA4465"/>
    <w:rsid w:val="00CA44DD"/>
    <w:rsid w:val="00CA44EE"/>
    <w:rsid w:val="00CA45BA"/>
    <w:rsid w:val="00CA4630"/>
    <w:rsid w:val="00CA4840"/>
    <w:rsid w:val="00CA498F"/>
    <w:rsid w:val="00CA49BC"/>
    <w:rsid w:val="00CA49C3"/>
    <w:rsid w:val="00CA49EF"/>
    <w:rsid w:val="00CA4AC1"/>
    <w:rsid w:val="00CA4B3A"/>
    <w:rsid w:val="00CA4DC9"/>
    <w:rsid w:val="00CA4EFC"/>
    <w:rsid w:val="00CA4F1D"/>
    <w:rsid w:val="00CA509F"/>
    <w:rsid w:val="00CA50DD"/>
    <w:rsid w:val="00CA5132"/>
    <w:rsid w:val="00CA51F6"/>
    <w:rsid w:val="00CA52CE"/>
    <w:rsid w:val="00CA5388"/>
    <w:rsid w:val="00CA54DA"/>
    <w:rsid w:val="00CA54EE"/>
    <w:rsid w:val="00CA54FA"/>
    <w:rsid w:val="00CA550D"/>
    <w:rsid w:val="00CA5532"/>
    <w:rsid w:val="00CA556F"/>
    <w:rsid w:val="00CA5596"/>
    <w:rsid w:val="00CA55E7"/>
    <w:rsid w:val="00CA5645"/>
    <w:rsid w:val="00CA574D"/>
    <w:rsid w:val="00CA5790"/>
    <w:rsid w:val="00CA5793"/>
    <w:rsid w:val="00CA5794"/>
    <w:rsid w:val="00CA582A"/>
    <w:rsid w:val="00CA586F"/>
    <w:rsid w:val="00CA58B0"/>
    <w:rsid w:val="00CA59A6"/>
    <w:rsid w:val="00CA59D4"/>
    <w:rsid w:val="00CA5A73"/>
    <w:rsid w:val="00CA5AEC"/>
    <w:rsid w:val="00CA5AFF"/>
    <w:rsid w:val="00CA5B20"/>
    <w:rsid w:val="00CA5CB3"/>
    <w:rsid w:val="00CA5D43"/>
    <w:rsid w:val="00CA5D8C"/>
    <w:rsid w:val="00CA5E48"/>
    <w:rsid w:val="00CA5E91"/>
    <w:rsid w:val="00CA5ED9"/>
    <w:rsid w:val="00CA60E0"/>
    <w:rsid w:val="00CA60E7"/>
    <w:rsid w:val="00CA6109"/>
    <w:rsid w:val="00CA6161"/>
    <w:rsid w:val="00CA61CA"/>
    <w:rsid w:val="00CA61CF"/>
    <w:rsid w:val="00CA621F"/>
    <w:rsid w:val="00CA63DE"/>
    <w:rsid w:val="00CA63E5"/>
    <w:rsid w:val="00CA641D"/>
    <w:rsid w:val="00CA6451"/>
    <w:rsid w:val="00CA65B0"/>
    <w:rsid w:val="00CA6640"/>
    <w:rsid w:val="00CA667C"/>
    <w:rsid w:val="00CA676A"/>
    <w:rsid w:val="00CA678C"/>
    <w:rsid w:val="00CA680B"/>
    <w:rsid w:val="00CA6967"/>
    <w:rsid w:val="00CA6A69"/>
    <w:rsid w:val="00CA6A9D"/>
    <w:rsid w:val="00CA6B17"/>
    <w:rsid w:val="00CA6B48"/>
    <w:rsid w:val="00CA6B9B"/>
    <w:rsid w:val="00CA6D40"/>
    <w:rsid w:val="00CA6D66"/>
    <w:rsid w:val="00CA6E07"/>
    <w:rsid w:val="00CA6E1D"/>
    <w:rsid w:val="00CA6ED9"/>
    <w:rsid w:val="00CA6F1E"/>
    <w:rsid w:val="00CA6F74"/>
    <w:rsid w:val="00CA6FCB"/>
    <w:rsid w:val="00CA7180"/>
    <w:rsid w:val="00CA71A1"/>
    <w:rsid w:val="00CA7284"/>
    <w:rsid w:val="00CA72FD"/>
    <w:rsid w:val="00CA7384"/>
    <w:rsid w:val="00CA73B1"/>
    <w:rsid w:val="00CA74B6"/>
    <w:rsid w:val="00CA74FB"/>
    <w:rsid w:val="00CA76C9"/>
    <w:rsid w:val="00CA76DA"/>
    <w:rsid w:val="00CA77F0"/>
    <w:rsid w:val="00CA7819"/>
    <w:rsid w:val="00CA7957"/>
    <w:rsid w:val="00CA7979"/>
    <w:rsid w:val="00CA799D"/>
    <w:rsid w:val="00CA7A22"/>
    <w:rsid w:val="00CA7A5C"/>
    <w:rsid w:val="00CA7C3C"/>
    <w:rsid w:val="00CA7C47"/>
    <w:rsid w:val="00CA7CDE"/>
    <w:rsid w:val="00CA7D15"/>
    <w:rsid w:val="00CA7DF7"/>
    <w:rsid w:val="00CA7E46"/>
    <w:rsid w:val="00CB001D"/>
    <w:rsid w:val="00CB0057"/>
    <w:rsid w:val="00CB012A"/>
    <w:rsid w:val="00CB0143"/>
    <w:rsid w:val="00CB01CB"/>
    <w:rsid w:val="00CB0279"/>
    <w:rsid w:val="00CB02DB"/>
    <w:rsid w:val="00CB02ED"/>
    <w:rsid w:val="00CB0329"/>
    <w:rsid w:val="00CB03BA"/>
    <w:rsid w:val="00CB03FE"/>
    <w:rsid w:val="00CB04E5"/>
    <w:rsid w:val="00CB054D"/>
    <w:rsid w:val="00CB05A1"/>
    <w:rsid w:val="00CB0618"/>
    <w:rsid w:val="00CB06E7"/>
    <w:rsid w:val="00CB07A7"/>
    <w:rsid w:val="00CB07F6"/>
    <w:rsid w:val="00CB0806"/>
    <w:rsid w:val="00CB0841"/>
    <w:rsid w:val="00CB0870"/>
    <w:rsid w:val="00CB0B3C"/>
    <w:rsid w:val="00CB0B88"/>
    <w:rsid w:val="00CB0BAC"/>
    <w:rsid w:val="00CB0C4A"/>
    <w:rsid w:val="00CB0CAB"/>
    <w:rsid w:val="00CB0D8E"/>
    <w:rsid w:val="00CB0DC1"/>
    <w:rsid w:val="00CB0E93"/>
    <w:rsid w:val="00CB1329"/>
    <w:rsid w:val="00CB1339"/>
    <w:rsid w:val="00CB13B9"/>
    <w:rsid w:val="00CB13D4"/>
    <w:rsid w:val="00CB1405"/>
    <w:rsid w:val="00CB1446"/>
    <w:rsid w:val="00CB14E0"/>
    <w:rsid w:val="00CB14E1"/>
    <w:rsid w:val="00CB1589"/>
    <w:rsid w:val="00CB158E"/>
    <w:rsid w:val="00CB1632"/>
    <w:rsid w:val="00CB16A6"/>
    <w:rsid w:val="00CB170A"/>
    <w:rsid w:val="00CB17D8"/>
    <w:rsid w:val="00CB17E7"/>
    <w:rsid w:val="00CB19BB"/>
    <w:rsid w:val="00CB1A6A"/>
    <w:rsid w:val="00CB1CB1"/>
    <w:rsid w:val="00CB1D64"/>
    <w:rsid w:val="00CB1DEA"/>
    <w:rsid w:val="00CB1E74"/>
    <w:rsid w:val="00CB1EE2"/>
    <w:rsid w:val="00CB1FA8"/>
    <w:rsid w:val="00CB1FCA"/>
    <w:rsid w:val="00CB1FF1"/>
    <w:rsid w:val="00CB2021"/>
    <w:rsid w:val="00CB20CB"/>
    <w:rsid w:val="00CB20CD"/>
    <w:rsid w:val="00CB2101"/>
    <w:rsid w:val="00CB2175"/>
    <w:rsid w:val="00CB21E0"/>
    <w:rsid w:val="00CB226A"/>
    <w:rsid w:val="00CB2278"/>
    <w:rsid w:val="00CB230D"/>
    <w:rsid w:val="00CB235D"/>
    <w:rsid w:val="00CB239C"/>
    <w:rsid w:val="00CB23CC"/>
    <w:rsid w:val="00CB246A"/>
    <w:rsid w:val="00CB24BA"/>
    <w:rsid w:val="00CB24D8"/>
    <w:rsid w:val="00CB255A"/>
    <w:rsid w:val="00CB2562"/>
    <w:rsid w:val="00CB26AA"/>
    <w:rsid w:val="00CB26EA"/>
    <w:rsid w:val="00CB273B"/>
    <w:rsid w:val="00CB27C4"/>
    <w:rsid w:val="00CB281A"/>
    <w:rsid w:val="00CB28E8"/>
    <w:rsid w:val="00CB2912"/>
    <w:rsid w:val="00CB2926"/>
    <w:rsid w:val="00CB2A86"/>
    <w:rsid w:val="00CB2B4E"/>
    <w:rsid w:val="00CB2CB6"/>
    <w:rsid w:val="00CB2D67"/>
    <w:rsid w:val="00CB2ED5"/>
    <w:rsid w:val="00CB2F8E"/>
    <w:rsid w:val="00CB3130"/>
    <w:rsid w:val="00CB3140"/>
    <w:rsid w:val="00CB31D2"/>
    <w:rsid w:val="00CB34AE"/>
    <w:rsid w:val="00CB3528"/>
    <w:rsid w:val="00CB361A"/>
    <w:rsid w:val="00CB373D"/>
    <w:rsid w:val="00CB375A"/>
    <w:rsid w:val="00CB37A3"/>
    <w:rsid w:val="00CB37DF"/>
    <w:rsid w:val="00CB381F"/>
    <w:rsid w:val="00CB383B"/>
    <w:rsid w:val="00CB38F6"/>
    <w:rsid w:val="00CB392F"/>
    <w:rsid w:val="00CB3B1E"/>
    <w:rsid w:val="00CB3B2A"/>
    <w:rsid w:val="00CB3C2F"/>
    <w:rsid w:val="00CB3DD3"/>
    <w:rsid w:val="00CB3DDF"/>
    <w:rsid w:val="00CB3E8D"/>
    <w:rsid w:val="00CB3F4D"/>
    <w:rsid w:val="00CB3F79"/>
    <w:rsid w:val="00CB3FAF"/>
    <w:rsid w:val="00CB4036"/>
    <w:rsid w:val="00CB40D6"/>
    <w:rsid w:val="00CB41BD"/>
    <w:rsid w:val="00CB4227"/>
    <w:rsid w:val="00CB4244"/>
    <w:rsid w:val="00CB436B"/>
    <w:rsid w:val="00CB4371"/>
    <w:rsid w:val="00CB4385"/>
    <w:rsid w:val="00CB43FE"/>
    <w:rsid w:val="00CB4448"/>
    <w:rsid w:val="00CB4730"/>
    <w:rsid w:val="00CB4778"/>
    <w:rsid w:val="00CB48AB"/>
    <w:rsid w:val="00CB490B"/>
    <w:rsid w:val="00CB4914"/>
    <w:rsid w:val="00CB4AAC"/>
    <w:rsid w:val="00CB4B53"/>
    <w:rsid w:val="00CB4B77"/>
    <w:rsid w:val="00CB4B9A"/>
    <w:rsid w:val="00CB4BA8"/>
    <w:rsid w:val="00CB4BF5"/>
    <w:rsid w:val="00CB4C35"/>
    <w:rsid w:val="00CB4C7F"/>
    <w:rsid w:val="00CB4CD3"/>
    <w:rsid w:val="00CB4D53"/>
    <w:rsid w:val="00CB4ED6"/>
    <w:rsid w:val="00CB4F57"/>
    <w:rsid w:val="00CB4FFB"/>
    <w:rsid w:val="00CB5043"/>
    <w:rsid w:val="00CB509C"/>
    <w:rsid w:val="00CB5112"/>
    <w:rsid w:val="00CB51D5"/>
    <w:rsid w:val="00CB51FB"/>
    <w:rsid w:val="00CB5321"/>
    <w:rsid w:val="00CB5474"/>
    <w:rsid w:val="00CB54A1"/>
    <w:rsid w:val="00CB562A"/>
    <w:rsid w:val="00CB564E"/>
    <w:rsid w:val="00CB58A3"/>
    <w:rsid w:val="00CB5970"/>
    <w:rsid w:val="00CB59EA"/>
    <w:rsid w:val="00CB5A87"/>
    <w:rsid w:val="00CB5B97"/>
    <w:rsid w:val="00CB5BA0"/>
    <w:rsid w:val="00CB5BCF"/>
    <w:rsid w:val="00CB5C58"/>
    <w:rsid w:val="00CB5D95"/>
    <w:rsid w:val="00CB5E77"/>
    <w:rsid w:val="00CB5F94"/>
    <w:rsid w:val="00CB6068"/>
    <w:rsid w:val="00CB6386"/>
    <w:rsid w:val="00CB641D"/>
    <w:rsid w:val="00CB64A8"/>
    <w:rsid w:val="00CB655F"/>
    <w:rsid w:val="00CB65F3"/>
    <w:rsid w:val="00CB6606"/>
    <w:rsid w:val="00CB66BD"/>
    <w:rsid w:val="00CB66DC"/>
    <w:rsid w:val="00CB66E5"/>
    <w:rsid w:val="00CB6739"/>
    <w:rsid w:val="00CB67E8"/>
    <w:rsid w:val="00CB68B2"/>
    <w:rsid w:val="00CB68D0"/>
    <w:rsid w:val="00CB68E9"/>
    <w:rsid w:val="00CB691E"/>
    <w:rsid w:val="00CB69B5"/>
    <w:rsid w:val="00CB69C6"/>
    <w:rsid w:val="00CB6B33"/>
    <w:rsid w:val="00CB6D15"/>
    <w:rsid w:val="00CB6D36"/>
    <w:rsid w:val="00CB6DC3"/>
    <w:rsid w:val="00CB6E2F"/>
    <w:rsid w:val="00CB6F0C"/>
    <w:rsid w:val="00CB6F9B"/>
    <w:rsid w:val="00CB6FD9"/>
    <w:rsid w:val="00CB7068"/>
    <w:rsid w:val="00CB7144"/>
    <w:rsid w:val="00CB7249"/>
    <w:rsid w:val="00CB72D6"/>
    <w:rsid w:val="00CB73B0"/>
    <w:rsid w:val="00CB743C"/>
    <w:rsid w:val="00CB743E"/>
    <w:rsid w:val="00CB7497"/>
    <w:rsid w:val="00CB74B7"/>
    <w:rsid w:val="00CB7634"/>
    <w:rsid w:val="00CB76B4"/>
    <w:rsid w:val="00CB76C9"/>
    <w:rsid w:val="00CB7861"/>
    <w:rsid w:val="00CB79BF"/>
    <w:rsid w:val="00CB79CD"/>
    <w:rsid w:val="00CB7A10"/>
    <w:rsid w:val="00CB7A24"/>
    <w:rsid w:val="00CB7A66"/>
    <w:rsid w:val="00CB7A82"/>
    <w:rsid w:val="00CB7C48"/>
    <w:rsid w:val="00CB7C8B"/>
    <w:rsid w:val="00CB7D28"/>
    <w:rsid w:val="00CB7D2B"/>
    <w:rsid w:val="00CB7DB5"/>
    <w:rsid w:val="00CB7F2D"/>
    <w:rsid w:val="00CC0086"/>
    <w:rsid w:val="00CC009B"/>
    <w:rsid w:val="00CC0107"/>
    <w:rsid w:val="00CC01F0"/>
    <w:rsid w:val="00CC01FA"/>
    <w:rsid w:val="00CC030B"/>
    <w:rsid w:val="00CC032D"/>
    <w:rsid w:val="00CC038C"/>
    <w:rsid w:val="00CC038E"/>
    <w:rsid w:val="00CC04CD"/>
    <w:rsid w:val="00CC05A3"/>
    <w:rsid w:val="00CC05B3"/>
    <w:rsid w:val="00CC0765"/>
    <w:rsid w:val="00CC0796"/>
    <w:rsid w:val="00CC07D9"/>
    <w:rsid w:val="00CC07EA"/>
    <w:rsid w:val="00CC0800"/>
    <w:rsid w:val="00CC0811"/>
    <w:rsid w:val="00CC0A35"/>
    <w:rsid w:val="00CC0A46"/>
    <w:rsid w:val="00CC0AAB"/>
    <w:rsid w:val="00CC0CBD"/>
    <w:rsid w:val="00CC0D18"/>
    <w:rsid w:val="00CC0E54"/>
    <w:rsid w:val="00CC0FFA"/>
    <w:rsid w:val="00CC1001"/>
    <w:rsid w:val="00CC1088"/>
    <w:rsid w:val="00CC10E2"/>
    <w:rsid w:val="00CC1128"/>
    <w:rsid w:val="00CC1194"/>
    <w:rsid w:val="00CC11C7"/>
    <w:rsid w:val="00CC11D6"/>
    <w:rsid w:val="00CC11EF"/>
    <w:rsid w:val="00CC12C3"/>
    <w:rsid w:val="00CC1309"/>
    <w:rsid w:val="00CC13BC"/>
    <w:rsid w:val="00CC13EC"/>
    <w:rsid w:val="00CC143A"/>
    <w:rsid w:val="00CC1471"/>
    <w:rsid w:val="00CC14CA"/>
    <w:rsid w:val="00CC1635"/>
    <w:rsid w:val="00CC1672"/>
    <w:rsid w:val="00CC1754"/>
    <w:rsid w:val="00CC179F"/>
    <w:rsid w:val="00CC18D3"/>
    <w:rsid w:val="00CC1976"/>
    <w:rsid w:val="00CC1A19"/>
    <w:rsid w:val="00CC1A2B"/>
    <w:rsid w:val="00CC1BCB"/>
    <w:rsid w:val="00CC1C13"/>
    <w:rsid w:val="00CC1C1C"/>
    <w:rsid w:val="00CC1CB2"/>
    <w:rsid w:val="00CC1D6C"/>
    <w:rsid w:val="00CC1F73"/>
    <w:rsid w:val="00CC206C"/>
    <w:rsid w:val="00CC2120"/>
    <w:rsid w:val="00CC2190"/>
    <w:rsid w:val="00CC23D3"/>
    <w:rsid w:val="00CC240D"/>
    <w:rsid w:val="00CC25D5"/>
    <w:rsid w:val="00CC25EF"/>
    <w:rsid w:val="00CC26E4"/>
    <w:rsid w:val="00CC2842"/>
    <w:rsid w:val="00CC2AF1"/>
    <w:rsid w:val="00CC2B76"/>
    <w:rsid w:val="00CC2C80"/>
    <w:rsid w:val="00CC2DD8"/>
    <w:rsid w:val="00CC2E4F"/>
    <w:rsid w:val="00CC3076"/>
    <w:rsid w:val="00CC30B4"/>
    <w:rsid w:val="00CC30FD"/>
    <w:rsid w:val="00CC3141"/>
    <w:rsid w:val="00CC319D"/>
    <w:rsid w:val="00CC3219"/>
    <w:rsid w:val="00CC33A7"/>
    <w:rsid w:val="00CC3418"/>
    <w:rsid w:val="00CC359A"/>
    <w:rsid w:val="00CC35C3"/>
    <w:rsid w:val="00CC3634"/>
    <w:rsid w:val="00CC36A2"/>
    <w:rsid w:val="00CC372B"/>
    <w:rsid w:val="00CC373C"/>
    <w:rsid w:val="00CC37B4"/>
    <w:rsid w:val="00CC37BB"/>
    <w:rsid w:val="00CC37D2"/>
    <w:rsid w:val="00CC3835"/>
    <w:rsid w:val="00CC38B6"/>
    <w:rsid w:val="00CC3904"/>
    <w:rsid w:val="00CC39B6"/>
    <w:rsid w:val="00CC3AAF"/>
    <w:rsid w:val="00CC3AD7"/>
    <w:rsid w:val="00CC3C20"/>
    <w:rsid w:val="00CC3C23"/>
    <w:rsid w:val="00CC3C30"/>
    <w:rsid w:val="00CC3CCF"/>
    <w:rsid w:val="00CC3E8D"/>
    <w:rsid w:val="00CC3FA0"/>
    <w:rsid w:val="00CC3FB7"/>
    <w:rsid w:val="00CC3FD8"/>
    <w:rsid w:val="00CC4019"/>
    <w:rsid w:val="00CC40EF"/>
    <w:rsid w:val="00CC4216"/>
    <w:rsid w:val="00CC43EF"/>
    <w:rsid w:val="00CC4423"/>
    <w:rsid w:val="00CC442C"/>
    <w:rsid w:val="00CC44D4"/>
    <w:rsid w:val="00CC4508"/>
    <w:rsid w:val="00CC46DF"/>
    <w:rsid w:val="00CC471B"/>
    <w:rsid w:val="00CC4836"/>
    <w:rsid w:val="00CC4971"/>
    <w:rsid w:val="00CC4979"/>
    <w:rsid w:val="00CC4A13"/>
    <w:rsid w:val="00CC4AEE"/>
    <w:rsid w:val="00CC4CD6"/>
    <w:rsid w:val="00CC4CFE"/>
    <w:rsid w:val="00CC4D53"/>
    <w:rsid w:val="00CC4E20"/>
    <w:rsid w:val="00CC4F7F"/>
    <w:rsid w:val="00CC51DC"/>
    <w:rsid w:val="00CC5222"/>
    <w:rsid w:val="00CC5362"/>
    <w:rsid w:val="00CC53F4"/>
    <w:rsid w:val="00CC5421"/>
    <w:rsid w:val="00CC5425"/>
    <w:rsid w:val="00CC544A"/>
    <w:rsid w:val="00CC544C"/>
    <w:rsid w:val="00CC55EA"/>
    <w:rsid w:val="00CC5610"/>
    <w:rsid w:val="00CC57A4"/>
    <w:rsid w:val="00CC5888"/>
    <w:rsid w:val="00CC5919"/>
    <w:rsid w:val="00CC59B0"/>
    <w:rsid w:val="00CC59F7"/>
    <w:rsid w:val="00CC5A26"/>
    <w:rsid w:val="00CC5A5B"/>
    <w:rsid w:val="00CC5BB3"/>
    <w:rsid w:val="00CC5C56"/>
    <w:rsid w:val="00CC5CD9"/>
    <w:rsid w:val="00CC5E10"/>
    <w:rsid w:val="00CC5E9C"/>
    <w:rsid w:val="00CC5FCB"/>
    <w:rsid w:val="00CC5FF0"/>
    <w:rsid w:val="00CC6018"/>
    <w:rsid w:val="00CC608D"/>
    <w:rsid w:val="00CC6122"/>
    <w:rsid w:val="00CC6142"/>
    <w:rsid w:val="00CC61B3"/>
    <w:rsid w:val="00CC622C"/>
    <w:rsid w:val="00CC62BC"/>
    <w:rsid w:val="00CC642B"/>
    <w:rsid w:val="00CC6471"/>
    <w:rsid w:val="00CC6581"/>
    <w:rsid w:val="00CC6631"/>
    <w:rsid w:val="00CC6760"/>
    <w:rsid w:val="00CC67D5"/>
    <w:rsid w:val="00CC68DD"/>
    <w:rsid w:val="00CC6A64"/>
    <w:rsid w:val="00CC6A6A"/>
    <w:rsid w:val="00CC6B24"/>
    <w:rsid w:val="00CC6B79"/>
    <w:rsid w:val="00CC6B7D"/>
    <w:rsid w:val="00CC6BA6"/>
    <w:rsid w:val="00CC6BD2"/>
    <w:rsid w:val="00CC6BDB"/>
    <w:rsid w:val="00CC6D1C"/>
    <w:rsid w:val="00CC6E3F"/>
    <w:rsid w:val="00CC6FC7"/>
    <w:rsid w:val="00CC701E"/>
    <w:rsid w:val="00CC7203"/>
    <w:rsid w:val="00CC72A5"/>
    <w:rsid w:val="00CC73A9"/>
    <w:rsid w:val="00CC7405"/>
    <w:rsid w:val="00CC7416"/>
    <w:rsid w:val="00CC741D"/>
    <w:rsid w:val="00CC7464"/>
    <w:rsid w:val="00CC74DF"/>
    <w:rsid w:val="00CC752F"/>
    <w:rsid w:val="00CC7605"/>
    <w:rsid w:val="00CC7611"/>
    <w:rsid w:val="00CC7680"/>
    <w:rsid w:val="00CC7754"/>
    <w:rsid w:val="00CC77F8"/>
    <w:rsid w:val="00CC782B"/>
    <w:rsid w:val="00CC78B7"/>
    <w:rsid w:val="00CC78DD"/>
    <w:rsid w:val="00CC791F"/>
    <w:rsid w:val="00CC799E"/>
    <w:rsid w:val="00CC79E8"/>
    <w:rsid w:val="00CC7A6E"/>
    <w:rsid w:val="00CC7A90"/>
    <w:rsid w:val="00CC7B4D"/>
    <w:rsid w:val="00CC7CA3"/>
    <w:rsid w:val="00CC7CEE"/>
    <w:rsid w:val="00CC7D98"/>
    <w:rsid w:val="00CC7E70"/>
    <w:rsid w:val="00CD000D"/>
    <w:rsid w:val="00CD009F"/>
    <w:rsid w:val="00CD00CD"/>
    <w:rsid w:val="00CD00F6"/>
    <w:rsid w:val="00CD00F8"/>
    <w:rsid w:val="00CD0107"/>
    <w:rsid w:val="00CD01A9"/>
    <w:rsid w:val="00CD01C1"/>
    <w:rsid w:val="00CD026F"/>
    <w:rsid w:val="00CD0275"/>
    <w:rsid w:val="00CD047E"/>
    <w:rsid w:val="00CD04CB"/>
    <w:rsid w:val="00CD04D8"/>
    <w:rsid w:val="00CD05B3"/>
    <w:rsid w:val="00CD06B8"/>
    <w:rsid w:val="00CD0780"/>
    <w:rsid w:val="00CD0781"/>
    <w:rsid w:val="00CD079A"/>
    <w:rsid w:val="00CD07C1"/>
    <w:rsid w:val="00CD096E"/>
    <w:rsid w:val="00CD0A11"/>
    <w:rsid w:val="00CD0B9A"/>
    <w:rsid w:val="00CD0C50"/>
    <w:rsid w:val="00CD0D53"/>
    <w:rsid w:val="00CD0D9E"/>
    <w:rsid w:val="00CD0DB6"/>
    <w:rsid w:val="00CD0E29"/>
    <w:rsid w:val="00CD0EE4"/>
    <w:rsid w:val="00CD0FA8"/>
    <w:rsid w:val="00CD1051"/>
    <w:rsid w:val="00CD1113"/>
    <w:rsid w:val="00CD11D2"/>
    <w:rsid w:val="00CD1249"/>
    <w:rsid w:val="00CD131D"/>
    <w:rsid w:val="00CD134A"/>
    <w:rsid w:val="00CD1356"/>
    <w:rsid w:val="00CD13D4"/>
    <w:rsid w:val="00CD1417"/>
    <w:rsid w:val="00CD1464"/>
    <w:rsid w:val="00CD14D9"/>
    <w:rsid w:val="00CD152F"/>
    <w:rsid w:val="00CD1774"/>
    <w:rsid w:val="00CD17B0"/>
    <w:rsid w:val="00CD187A"/>
    <w:rsid w:val="00CD193A"/>
    <w:rsid w:val="00CD1A73"/>
    <w:rsid w:val="00CD1AFB"/>
    <w:rsid w:val="00CD1B68"/>
    <w:rsid w:val="00CD1BF8"/>
    <w:rsid w:val="00CD1D28"/>
    <w:rsid w:val="00CD1E15"/>
    <w:rsid w:val="00CD1E4F"/>
    <w:rsid w:val="00CD2221"/>
    <w:rsid w:val="00CD2252"/>
    <w:rsid w:val="00CD2280"/>
    <w:rsid w:val="00CD22E3"/>
    <w:rsid w:val="00CD2330"/>
    <w:rsid w:val="00CD240E"/>
    <w:rsid w:val="00CD249C"/>
    <w:rsid w:val="00CD262C"/>
    <w:rsid w:val="00CD2747"/>
    <w:rsid w:val="00CD2761"/>
    <w:rsid w:val="00CD2766"/>
    <w:rsid w:val="00CD281C"/>
    <w:rsid w:val="00CD28AD"/>
    <w:rsid w:val="00CD296B"/>
    <w:rsid w:val="00CD2994"/>
    <w:rsid w:val="00CD2AA5"/>
    <w:rsid w:val="00CD2AB4"/>
    <w:rsid w:val="00CD2B95"/>
    <w:rsid w:val="00CD2BF4"/>
    <w:rsid w:val="00CD2C1F"/>
    <w:rsid w:val="00CD2CD8"/>
    <w:rsid w:val="00CD2D69"/>
    <w:rsid w:val="00CD2DA8"/>
    <w:rsid w:val="00CD2DB8"/>
    <w:rsid w:val="00CD2F6C"/>
    <w:rsid w:val="00CD2FB0"/>
    <w:rsid w:val="00CD2FF7"/>
    <w:rsid w:val="00CD30A8"/>
    <w:rsid w:val="00CD3129"/>
    <w:rsid w:val="00CD3195"/>
    <w:rsid w:val="00CD31AB"/>
    <w:rsid w:val="00CD3204"/>
    <w:rsid w:val="00CD341E"/>
    <w:rsid w:val="00CD3450"/>
    <w:rsid w:val="00CD345B"/>
    <w:rsid w:val="00CD3484"/>
    <w:rsid w:val="00CD34B2"/>
    <w:rsid w:val="00CD3530"/>
    <w:rsid w:val="00CD355A"/>
    <w:rsid w:val="00CD37CF"/>
    <w:rsid w:val="00CD37E2"/>
    <w:rsid w:val="00CD37EC"/>
    <w:rsid w:val="00CD3864"/>
    <w:rsid w:val="00CD3893"/>
    <w:rsid w:val="00CD38D1"/>
    <w:rsid w:val="00CD38ED"/>
    <w:rsid w:val="00CD3931"/>
    <w:rsid w:val="00CD3B57"/>
    <w:rsid w:val="00CD3D1C"/>
    <w:rsid w:val="00CD3DEA"/>
    <w:rsid w:val="00CD3DEC"/>
    <w:rsid w:val="00CD3E22"/>
    <w:rsid w:val="00CD3EA7"/>
    <w:rsid w:val="00CD3F3B"/>
    <w:rsid w:val="00CD4032"/>
    <w:rsid w:val="00CD4070"/>
    <w:rsid w:val="00CD40B8"/>
    <w:rsid w:val="00CD40CE"/>
    <w:rsid w:val="00CD40D6"/>
    <w:rsid w:val="00CD4130"/>
    <w:rsid w:val="00CD425D"/>
    <w:rsid w:val="00CD4281"/>
    <w:rsid w:val="00CD438B"/>
    <w:rsid w:val="00CD44E2"/>
    <w:rsid w:val="00CD4512"/>
    <w:rsid w:val="00CD4526"/>
    <w:rsid w:val="00CD464E"/>
    <w:rsid w:val="00CD46C7"/>
    <w:rsid w:val="00CD46CE"/>
    <w:rsid w:val="00CD46D0"/>
    <w:rsid w:val="00CD4703"/>
    <w:rsid w:val="00CD486E"/>
    <w:rsid w:val="00CD490E"/>
    <w:rsid w:val="00CD4AAE"/>
    <w:rsid w:val="00CD4B1F"/>
    <w:rsid w:val="00CD4C01"/>
    <w:rsid w:val="00CD4C09"/>
    <w:rsid w:val="00CD4C90"/>
    <w:rsid w:val="00CD4E23"/>
    <w:rsid w:val="00CD4E7E"/>
    <w:rsid w:val="00CD5203"/>
    <w:rsid w:val="00CD52BE"/>
    <w:rsid w:val="00CD52E2"/>
    <w:rsid w:val="00CD52E3"/>
    <w:rsid w:val="00CD566F"/>
    <w:rsid w:val="00CD56E7"/>
    <w:rsid w:val="00CD573B"/>
    <w:rsid w:val="00CD58F7"/>
    <w:rsid w:val="00CD5997"/>
    <w:rsid w:val="00CD5A25"/>
    <w:rsid w:val="00CD5AC3"/>
    <w:rsid w:val="00CD5AED"/>
    <w:rsid w:val="00CD5B25"/>
    <w:rsid w:val="00CD5B3A"/>
    <w:rsid w:val="00CD5C57"/>
    <w:rsid w:val="00CD5CDD"/>
    <w:rsid w:val="00CD5D3A"/>
    <w:rsid w:val="00CD5D6D"/>
    <w:rsid w:val="00CD5D77"/>
    <w:rsid w:val="00CD5EE4"/>
    <w:rsid w:val="00CD60A5"/>
    <w:rsid w:val="00CD6108"/>
    <w:rsid w:val="00CD611A"/>
    <w:rsid w:val="00CD619D"/>
    <w:rsid w:val="00CD61E5"/>
    <w:rsid w:val="00CD6356"/>
    <w:rsid w:val="00CD6367"/>
    <w:rsid w:val="00CD64D0"/>
    <w:rsid w:val="00CD650C"/>
    <w:rsid w:val="00CD6542"/>
    <w:rsid w:val="00CD65BB"/>
    <w:rsid w:val="00CD66D8"/>
    <w:rsid w:val="00CD6A47"/>
    <w:rsid w:val="00CD6B03"/>
    <w:rsid w:val="00CD6B32"/>
    <w:rsid w:val="00CD6E52"/>
    <w:rsid w:val="00CD6EDE"/>
    <w:rsid w:val="00CD6F31"/>
    <w:rsid w:val="00CD6F7B"/>
    <w:rsid w:val="00CD6FAA"/>
    <w:rsid w:val="00CD7045"/>
    <w:rsid w:val="00CD708C"/>
    <w:rsid w:val="00CD7176"/>
    <w:rsid w:val="00CD72A7"/>
    <w:rsid w:val="00CD73F3"/>
    <w:rsid w:val="00CD751C"/>
    <w:rsid w:val="00CD7621"/>
    <w:rsid w:val="00CD76D3"/>
    <w:rsid w:val="00CD7749"/>
    <w:rsid w:val="00CD780F"/>
    <w:rsid w:val="00CD7A8A"/>
    <w:rsid w:val="00CD7AB4"/>
    <w:rsid w:val="00CD7AB6"/>
    <w:rsid w:val="00CD7BE7"/>
    <w:rsid w:val="00CD7C05"/>
    <w:rsid w:val="00CD7C50"/>
    <w:rsid w:val="00CD7C9C"/>
    <w:rsid w:val="00CD7CE4"/>
    <w:rsid w:val="00CD7D6C"/>
    <w:rsid w:val="00CD7E1B"/>
    <w:rsid w:val="00CD7E35"/>
    <w:rsid w:val="00CD7F08"/>
    <w:rsid w:val="00CD7F30"/>
    <w:rsid w:val="00CD7F3A"/>
    <w:rsid w:val="00CD7F41"/>
    <w:rsid w:val="00CE0061"/>
    <w:rsid w:val="00CE009C"/>
    <w:rsid w:val="00CE00BD"/>
    <w:rsid w:val="00CE0103"/>
    <w:rsid w:val="00CE01FB"/>
    <w:rsid w:val="00CE02C5"/>
    <w:rsid w:val="00CE032A"/>
    <w:rsid w:val="00CE0647"/>
    <w:rsid w:val="00CE06A6"/>
    <w:rsid w:val="00CE0720"/>
    <w:rsid w:val="00CE0763"/>
    <w:rsid w:val="00CE076B"/>
    <w:rsid w:val="00CE08BC"/>
    <w:rsid w:val="00CE0A4B"/>
    <w:rsid w:val="00CE0AC8"/>
    <w:rsid w:val="00CE0CBB"/>
    <w:rsid w:val="00CE0D5E"/>
    <w:rsid w:val="00CE0D7D"/>
    <w:rsid w:val="00CE0E6A"/>
    <w:rsid w:val="00CE0FAE"/>
    <w:rsid w:val="00CE0FF9"/>
    <w:rsid w:val="00CE10CD"/>
    <w:rsid w:val="00CE10FF"/>
    <w:rsid w:val="00CE1238"/>
    <w:rsid w:val="00CE128B"/>
    <w:rsid w:val="00CE1307"/>
    <w:rsid w:val="00CE131F"/>
    <w:rsid w:val="00CE1350"/>
    <w:rsid w:val="00CE13BD"/>
    <w:rsid w:val="00CE13C0"/>
    <w:rsid w:val="00CE1502"/>
    <w:rsid w:val="00CE189E"/>
    <w:rsid w:val="00CE18A6"/>
    <w:rsid w:val="00CE1933"/>
    <w:rsid w:val="00CE1940"/>
    <w:rsid w:val="00CE199B"/>
    <w:rsid w:val="00CE1A21"/>
    <w:rsid w:val="00CE1A35"/>
    <w:rsid w:val="00CE1B67"/>
    <w:rsid w:val="00CE1D0E"/>
    <w:rsid w:val="00CE1D15"/>
    <w:rsid w:val="00CE1D32"/>
    <w:rsid w:val="00CE1D6A"/>
    <w:rsid w:val="00CE1D92"/>
    <w:rsid w:val="00CE1E52"/>
    <w:rsid w:val="00CE1EEC"/>
    <w:rsid w:val="00CE20D9"/>
    <w:rsid w:val="00CE212D"/>
    <w:rsid w:val="00CE2308"/>
    <w:rsid w:val="00CE2407"/>
    <w:rsid w:val="00CE2554"/>
    <w:rsid w:val="00CE257A"/>
    <w:rsid w:val="00CE264B"/>
    <w:rsid w:val="00CE2663"/>
    <w:rsid w:val="00CE26F5"/>
    <w:rsid w:val="00CE27DC"/>
    <w:rsid w:val="00CE2871"/>
    <w:rsid w:val="00CE2922"/>
    <w:rsid w:val="00CE293B"/>
    <w:rsid w:val="00CE297F"/>
    <w:rsid w:val="00CE29E6"/>
    <w:rsid w:val="00CE29EE"/>
    <w:rsid w:val="00CE2AE0"/>
    <w:rsid w:val="00CE2BBC"/>
    <w:rsid w:val="00CE2BF0"/>
    <w:rsid w:val="00CE2BF8"/>
    <w:rsid w:val="00CE2C40"/>
    <w:rsid w:val="00CE2C4F"/>
    <w:rsid w:val="00CE2DA3"/>
    <w:rsid w:val="00CE2E60"/>
    <w:rsid w:val="00CE2E61"/>
    <w:rsid w:val="00CE2EAD"/>
    <w:rsid w:val="00CE2F0C"/>
    <w:rsid w:val="00CE2F5F"/>
    <w:rsid w:val="00CE2F9E"/>
    <w:rsid w:val="00CE3038"/>
    <w:rsid w:val="00CE305F"/>
    <w:rsid w:val="00CE30DE"/>
    <w:rsid w:val="00CE312B"/>
    <w:rsid w:val="00CE3196"/>
    <w:rsid w:val="00CE319D"/>
    <w:rsid w:val="00CE32DF"/>
    <w:rsid w:val="00CE33B9"/>
    <w:rsid w:val="00CE3413"/>
    <w:rsid w:val="00CE34CE"/>
    <w:rsid w:val="00CE34E2"/>
    <w:rsid w:val="00CE3595"/>
    <w:rsid w:val="00CE362B"/>
    <w:rsid w:val="00CE3653"/>
    <w:rsid w:val="00CE3757"/>
    <w:rsid w:val="00CE38DC"/>
    <w:rsid w:val="00CE38E7"/>
    <w:rsid w:val="00CE395F"/>
    <w:rsid w:val="00CE3AF8"/>
    <w:rsid w:val="00CE3B0D"/>
    <w:rsid w:val="00CE3B2D"/>
    <w:rsid w:val="00CE3C7D"/>
    <w:rsid w:val="00CE3CEB"/>
    <w:rsid w:val="00CE3E26"/>
    <w:rsid w:val="00CE3E6B"/>
    <w:rsid w:val="00CE3F07"/>
    <w:rsid w:val="00CE3FEB"/>
    <w:rsid w:val="00CE4051"/>
    <w:rsid w:val="00CE4119"/>
    <w:rsid w:val="00CE4267"/>
    <w:rsid w:val="00CE4367"/>
    <w:rsid w:val="00CE446C"/>
    <w:rsid w:val="00CE456C"/>
    <w:rsid w:val="00CE45D8"/>
    <w:rsid w:val="00CE45DD"/>
    <w:rsid w:val="00CE464A"/>
    <w:rsid w:val="00CE470E"/>
    <w:rsid w:val="00CE4830"/>
    <w:rsid w:val="00CE4984"/>
    <w:rsid w:val="00CE4A22"/>
    <w:rsid w:val="00CE4A84"/>
    <w:rsid w:val="00CE4B08"/>
    <w:rsid w:val="00CE4B16"/>
    <w:rsid w:val="00CE4D3A"/>
    <w:rsid w:val="00CE4D5E"/>
    <w:rsid w:val="00CE4DD8"/>
    <w:rsid w:val="00CE4FE1"/>
    <w:rsid w:val="00CE4FF4"/>
    <w:rsid w:val="00CE51EB"/>
    <w:rsid w:val="00CE51F3"/>
    <w:rsid w:val="00CE52F1"/>
    <w:rsid w:val="00CE53E9"/>
    <w:rsid w:val="00CE543E"/>
    <w:rsid w:val="00CE5664"/>
    <w:rsid w:val="00CE5879"/>
    <w:rsid w:val="00CE588D"/>
    <w:rsid w:val="00CE592A"/>
    <w:rsid w:val="00CE598D"/>
    <w:rsid w:val="00CE59F6"/>
    <w:rsid w:val="00CE5AC3"/>
    <w:rsid w:val="00CE5B0B"/>
    <w:rsid w:val="00CE5C6B"/>
    <w:rsid w:val="00CE5ED3"/>
    <w:rsid w:val="00CE6098"/>
    <w:rsid w:val="00CE609E"/>
    <w:rsid w:val="00CE6180"/>
    <w:rsid w:val="00CE61CC"/>
    <w:rsid w:val="00CE6353"/>
    <w:rsid w:val="00CE642D"/>
    <w:rsid w:val="00CE643E"/>
    <w:rsid w:val="00CE651F"/>
    <w:rsid w:val="00CE6548"/>
    <w:rsid w:val="00CE65A4"/>
    <w:rsid w:val="00CE663D"/>
    <w:rsid w:val="00CE66CE"/>
    <w:rsid w:val="00CE66D3"/>
    <w:rsid w:val="00CE6844"/>
    <w:rsid w:val="00CE69CF"/>
    <w:rsid w:val="00CE6A6D"/>
    <w:rsid w:val="00CE6B6D"/>
    <w:rsid w:val="00CE6BB6"/>
    <w:rsid w:val="00CE6C85"/>
    <w:rsid w:val="00CE6D0F"/>
    <w:rsid w:val="00CE6E1A"/>
    <w:rsid w:val="00CE6E6A"/>
    <w:rsid w:val="00CE6E83"/>
    <w:rsid w:val="00CE6EF8"/>
    <w:rsid w:val="00CE7120"/>
    <w:rsid w:val="00CE71CA"/>
    <w:rsid w:val="00CE7318"/>
    <w:rsid w:val="00CE7373"/>
    <w:rsid w:val="00CE739A"/>
    <w:rsid w:val="00CE73B2"/>
    <w:rsid w:val="00CE7475"/>
    <w:rsid w:val="00CE748C"/>
    <w:rsid w:val="00CE753F"/>
    <w:rsid w:val="00CE758D"/>
    <w:rsid w:val="00CE76A4"/>
    <w:rsid w:val="00CE7736"/>
    <w:rsid w:val="00CE784C"/>
    <w:rsid w:val="00CE786A"/>
    <w:rsid w:val="00CE7879"/>
    <w:rsid w:val="00CE790D"/>
    <w:rsid w:val="00CE7AF9"/>
    <w:rsid w:val="00CE7B03"/>
    <w:rsid w:val="00CE7B2A"/>
    <w:rsid w:val="00CE7B70"/>
    <w:rsid w:val="00CE7B92"/>
    <w:rsid w:val="00CE7BCB"/>
    <w:rsid w:val="00CE7D7C"/>
    <w:rsid w:val="00CE7DD7"/>
    <w:rsid w:val="00CE7E73"/>
    <w:rsid w:val="00CE7F23"/>
    <w:rsid w:val="00CE7F26"/>
    <w:rsid w:val="00CF008B"/>
    <w:rsid w:val="00CF009D"/>
    <w:rsid w:val="00CF00D0"/>
    <w:rsid w:val="00CF0121"/>
    <w:rsid w:val="00CF0182"/>
    <w:rsid w:val="00CF01D2"/>
    <w:rsid w:val="00CF0222"/>
    <w:rsid w:val="00CF02CE"/>
    <w:rsid w:val="00CF02D4"/>
    <w:rsid w:val="00CF02FA"/>
    <w:rsid w:val="00CF0432"/>
    <w:rsid w:val="00CF0435"/>
    <w:rsid w:val="00CF04C6"/>
    <w:rsid w:val="00CF04D9"/>
    <w:rsid w:val="00CF073F"/>
    <w:rsid w:val="00CF076F"/>
    <w:rsid w:val="00CF07C0"/>
    <w:rsid w:val="00CF086A"/>
    <w:rsid w:val="00CF088E"/>
    <w:rsid w:val="00CF08F5"/>
    <w:rsid w:val="00CF09E1"/>
    <w:rsid w:val="00CF0B28"/>
    <w:rsid w:val="00CF0BB9"/>
    <w:rsid w:val="00CF0C42"/>
    <w:rsid w:val="00CF0C9D"/>
    <w:rsid w:val="00CF0D05"/>
    <w:rsid w:val="00CF0DA2"/>
    <w:rsid w:val="00CF0DED"/>
    <w:rsid w:val="00CF0F76"/>
    <w:rsid w:val="00CF1221"/>
    <w:rsid w:val="00CF12E2"/>
    <w:rsid w:val="00CF132D"/>
    <w:rsid w:val="00CF1348"/>
    <w:rsid w:val="00CF1362"/>
    <w:rsid w:val="00CF139B"/>
    <w:rsid w:val="00CF1456"/>
    <w:rsid w:val="00CF1593"/>
    <w:rsid w:val="00CF15AD"/>
    <w:rsid w:val="00CF15FB"/>
    <w:rsid w:val="00CF174F"/>
    <w:rsid w:val="00CF17D7"/>
    <w:rsid w:val="00CF186B"/>
    <w:rsid w:val="00CF197C"/>
    <w:rsid w:val="00CF1AB5"/>
    <w:rsid w:val="00CF1AC7"/>
    <w:rsid w:val="00CF1BE3"/>
    <w:rsid w:val="00CF1D4A"/>
    <w:rsid w:val="00CF1D61"/>
    <w:rsid w:val="00CF1E04"/>
    <w:rsid w:val="00CF1F76"/>
    <w:rsid w:val="00CF2062"/>
    <w:rsid w:val="00CF20A3"/>
    <w:rsid w:val="00CF2154"/>
    <w:rsid w:val="00CF2190"/>
    <w:rsid w:val="00CF22E6"/>
    <w:rsid w:val="00CF23B8"/>
    <w:rsid w:val="00CF24A9"/>
    <w:rsid w:val="00CF25E0"/>
    <w:rsid w:val="00CF2659"/>
    <w:rsid w:val="00CF26DB"/>
    <w:rsid w:val="00CF2799"/>
    <w:rsid w:val="00CF280C"/>
    <w:rsid w:val="00CF288F"/>
    <w:rsid w:val="00CF28A8"/>
    <w:rsid w:val="00CF2907"/>
    <w:rsid w:val="00CF29B1"/>
    <w:rsid w:val="00CF2A03"/>
    <w:rsid w:val="00CF2ABF"/>
    <w:rsid w:val="00CF2AC7"/>
    <w:rsid w:val="00CF2B55"/>
    <w:rsid w:val="00CF2BB9"/>
    <w:rsid w:val="00CF2C20"/>
    <w:rsid w:val="00CF2D3B"/>
    <w:rsid w:val="00CF2E1E"/>
    <w:rsid w:val="00CF2ED3"/>
    <w:rsid w:val="00CF2F0D"/>
    <w:rsid w:val="00CF2F24"/>
    <w:rsid w:val="00CF2F64"/>
    <w:rsid w:val="00CF3021"/>
    <w:rsid w:val="00CF31CA"/>
    <w:rsid w:val="00CF326C"/>
    <w:rsid w:val="00CF33DB"/>
    <w:rsid w:val="00CF33FB"/>
    <w:rsid w:val="00CF34DC"/>
    <w:rsid w:val="00CF364D"/>
    <w:rsid w:val="00CF36E0"/>
    <w:rsid w:val="00CF37B0"/>
    <w:rsid w:val="00CF3808"/>
    <w:rsid w:val="00CF384B"/>
    <w:rsid w:val="00CF3875"/>
    <w:rsid w:val="00CF38AB"/>
    <w:rsid w:val="00CF390F"/>
    <w:rsid w:val="00CF39CF"/>
    <w:rsid w:val="00CF39D0"/>
    <w:rsid w:val="00CF39D4"/>
    <w:rsid w:val="00CF3A46"/>
    <w:rsid w:val="00CF3A6A"/>
    <w:rsid w:val="00CF3A92"/>
    <w:rsid w:val="00CF3B7C"/>
    <w:rsid w:val="00CF3C27"/>
    <w:rsid w:val="00CF3CCD"/>
    <w:rsid w:val="00CF3D43"/>
    <w:rsid w:val="00CF3D85"/>
    <w:rsid w:val="00CF3DD6"/>
    <w:rsid w:val="00CF3E09"/>
    <w:rsid w:val="00CF404C"/>
    <w:rsid w:val="00CF4245"/>
    <w:rsid w:val="00CF4286"/>
    <w:rsid w:val="00CF44E5"/>
    <w:rsid w:val="00CF44E8"/>
    <w:rsid w:val="00CF459D"/>
    <w:rsid w:val="00CF45B2"/>
    <w:rsid w:val="00CF45C8"/>
    <w:rsid w:val="00CF45DF"/>
    <w:rsid w:val="00CF462A"/>
    <w:rsid w:val="00CF462D"/>
    <w:rsid w:val="00CF4630"/>
    <w:rsid w:val="00CF4B77"/>
    <w:rsid w:val="00CF4B7B"/>
    <w:rsid w:val="00CF4BB4"/>
    <w:rsid w:val="00CF4C78"/>
    <w:rsid w:val="00CF4CCE"/>
    <w:rsid w:val="00CF4D60"/>
    <w:rsid w:val="00CF4F61"/>
    <w:rsid w:val="00CF4F9D"/>
    <w:rsid w:val="00CF4FAF"/>
    <w:rsid w:val="00CF5061"/>
    <w:rsid w:val="00CF5116"/>
    <w:rsid w:val="00CF51A0"/>
    <w:rsid w:val="00CF529B"/>
    <w:rsid w:val="00CF533D"/>
    <w:rsid w:val="00CF53A1"/>
    <w:rsid w:val="00CF549C"/>
    <w:rsid w:val="00CF54C0"/>
    <w:rsid w:val="00CF54F9"/>
    <w:rsid w:val="00CF5510"/>
    <w:rsid w:val="00CF5547"/>
    <w:rsid w:val="00CF55B2"/>
    <w:rsid w:val="00CF5720"/>
    <w:rsid w:val="00CF574E"/>
    <w:rsid w:val="00CF5889"/>
    <w:rsid w:val="00CF58B4"/>
    <w:rsid w:val="00CF5A13"/>
    <w:rsid w:val="00CF5B5F"/>
    <w:rsid w:val="00CF5B7C"/>
    <w:rsid w:val="00CF5C50"/>
    <w:rsid w:val="00CF5D6C"/>
    <w:rsid w:val="00CF5DC0"/>
    <w:rsid w:val="00CF5EA1"/>
    <w:rsid w:val="00CF5EBD"/>
    <w:rsid w:val="00CF5ECD"/>
    <w:rsid w:val="00CF5F20"/>
    <w:rsid w:val="00CF5F77"/>
    <w:rsid w:val="00CF600D"/>
    <w:rsid w:val="00CF6037"/>
    <w:rsid w:val="00CF60C4"/>
    <w:rsid w:val="00CF60EC"/>
    <w:rsid w:val="00CF614C"/>
    <w:rsid w:val="00CF617E"/>
    <w:rsid w:val="00CF619E"/>
    <w:rsid w:val="00CF6245"/>
    <w:rsid w:val="00CF6303"/>
    <w:rsid w:val="00CF6306"/>
    <w:rsid w:val="00CF6364"/>
    <w:rsid w:val="00CF63C0"/>
    <w:rsid w:val="00CF63E7"/>
    <w:rsid w:val="00CF642A"/>
    <w:rsid w:val="00CF65C6"/>
    <w:rsid w:val="00CF67F6"/>
    <w:rsid w:val="00CF68EE"/>
    <w:rsid w:val="00CF6B73"/>
    <w:rsid w:val="00CF6BE6"/>
    <w:rsid w:val="00CF6C1A"/>
    <w:rsid w:val="00CF6C97"/>
    <w:rsid w:val="00CF6CA5"/>
    <w:rsid w:val="00CF6D71"/>
    <w:rsid w:val="00CF6DAD"/>
    <w:rsid w:val="00CF6F52"/>
    <w:rsid w:val="00CF6F7C"/>
    <w:rsid w:val="00CF6F8A"/>
    <w:rsid w:val="00CF702A"/>
    <w:rsid w:val="00CF704F"/>
    <w:rsid w:val="00CF70BC"/>
    <w:rsid w:val="00CF735B"/>
    <w:rsid w:val="00CF7452"/>
    <w:rsid w:val="00CF7475"/>
    <w:rsid w:val="00CF750B"/>
    <w:rsid w:val="00CF7523"/>
    <w:rsid w:val="00CF7530"/>
    <w:rsid w:val="00CF7665"/>
    <w:rsid w:val="00CF76D4"/>
    <w:rsid w:val="00CF778A"/>
    <w:rsid w:val="00CF793F"/>
    <w:rsid w:val="00CF79D6"/>
    <w:rsid w:val="00CF79FE"/>
    <w:rsid w:val="00CF7A33"/>
    <w:rsid w:val="00CF7A87"/>
    <w:rsid w:val="00CF7AC4"/>
    <w:rsid w:val="00CF7B47"/>
    <w:rsid w:val="00CF7CB8"/>
    <w:rsid w:val="00CF7D38"/>
    <w:rsid w:val="00CF7D9D"/>
    <w:rsid w:val="00CF7DBC"/>
    <w:rsid w:val="00CF7EB1"/>
    <w:rsid w:val="00CF7F2E"/>
    <w:rsid w:val="00CF7FBD"/>
    <w:rsid w:val="00D000B6"/>
    <w:rsid w:val="00D0034B"/>
    <w:rsid w:val="00D0042E"/>
    <w:rsid w:val="00D00516"/>
    <w:rsid w:val="00D006D8"/>
    <w:rsid w:val="00D006FD"/>
    <w:rsid w:val="00D0077B"/>
    <w:rsid w:val="00D00952"/>
    <w:rsid w:val="00D00A8E"/>
    <w:rsid w:val="00D00AF1"/>
    <w:rsid w:val="00D00B38"/>
    <w:rsid w:val="00D00BAD"/>
    <w:rsid w:val="00D00BBB"/>
    <w:rsid w:val="00D00BF8"/>
    <w:rsid w:val="00D00C69"/>
    <w:rsid w:val="00D00D58"/>
    <w:rsid w:val="00D00D76"/>
    <w:rsid w:val="00D00D99"/>
    <w:rsid w:val="00D00DFA"/>
    <w:rsid w:val="00D00EDF"/>
    <w:rsid w:val="00D00F58"/>
    <w:rsid w:val="00D01022"/>
    <w:rsid w:val="00D011DF"/>
    <w:rsid w:val="00D01220"/>
    <w:rsid w:val="00D0123F"/>
    <w:rsid w:val="00D01242"/>
    <w:rsid w:val="00D01447"/>
    <w:rsid w:val="00D015FC"/>
    <w:rsid w:val="00D01680"/>
    <w:rsid w:val="00D0179D"/>
    <w:rsid w:val="00D017CE"/>
    <w:rsid w:val="00D019A1"/>
    <w:rsid w:val="00D019CD"/>
    <w:rsid w:val="00D01A58"/>
    <w:rsid w:val="00D01AFF"/>
    <w:rsid w:val="00D01B0F"/>
    <w:rsid w:val="00D01B2D"/>
    <w:rsid w:val="00D01C82"/>
    <w:rsid w:val="00D01C8C"/>
    <w:rsid w:val="00D01D97"/>
    <w:rsid w:val="00D01F28"/>
    <w:rsid w:val="00D0215D"/>
    <w:rsid w:val="00D0226A"/>
    <w:rsid w:val="00D022A0"/>
    <w:rsid w:val="00D023B1"/>
    <w:rsid w:val="00D0241F"/>
    <w:rsid w:val="00D02482"/>
    <w:rsid w:val="00D0254D"/>
    <w:rsid w:val="00D02613"/>
    <w:rsid w:val="00D02735"/>
    <w:rsid w:val="00D0288F"/>
    <w:rsid w:val="00D02959"/>
    <w:rsid w:val="00D02A08"/>
    <w:rsid w:val="00D02ADF"/>
    <w:rsid w:val="00D02BD4"/>
    <w:rsid w:val="00D02D0A"/>
    <w:rsid w:val="00D02DC4"/>
    <w:rsid w:val="00D02E10"/>
    <w:rsid w:val="00D02E4F"/>
    <w:rsid w:val="00D0301C"/>
    <w:rsid w:val="00D030C8"/>
    <w:rsid w:val="00D03118"/>
    <w:rsid w:val="00D032A1"/>
    <w:rsid w:val="00D032AA"/>
    <w:rsid w:val="00D032E3"/>
    <w:rsid w:val="00D03352"/>
    <w:rsid w:val="00D033C4"/>
    <w:rsid w:val="00D03412"/>
    <w:rsid w:val="00D03527"/>
    <w:rsid w:val="00D03529"/>
    <w:rsid w:val="00D03717"/>
    <w:rsid w:val="00D03751"/>
    <w:rsid w:val="00D037E3"/>
    <w:rsid w:val="00D0382B"/>
    <w:rsid w:val="00D03A2D"/>
    <w:rsid w:val="00D03A94"/>
    <w:rsid w:val="00D03AED"/>
    <w:rsid w:val="00D03B07"/>
    <w:rsid w:val="00D03B1E"/>
    <w:rsid w:val="00D03B53"/>
    <w:rsid w:val="00D03BB0"/>
    <w:rsid w:val="00D03BEC"/>
    <w:rsid w:val="00D03C59"/>
    <w:rsid w:val="00D03D29"/>
    <w:rsid w:val="00D03D70"/>
    <w:rsid w:val="00D03E2C"/>
    <w:rsid w:val="00D03E54"/>
    <w:rsid w:val="00D03EF6"/>
    <w:rsid w:val="00D03F56"/>
    <w:rsid w:val="00D03FB0"/>
    <w:rsid w:val="00D03FCD"/>
    <w:rsid w:val="00D0407F"/>
    <w:rsid w:val="00D04177"/>
    <w:rsid w:val="00D041EB"/>
    <w:rsid w:val="00D04202"/>
    <w:rsid w:val="00D04207"/>
    <w:rsid w:val="00D042EA"/>
    <w:rsid w:val="00D0434D"/>
    <w:rsid w:val="00D04380"/>
    <w:rsid w:val="00D043C5"/>
    <w:rsid w:val="00D044E3"/>
    <w:rsid w:val="00D04523"/>
    <w:rsid w:val="00D0458E"/>
    <w:rsid w:val="00D0462C"/>
    <w:rsid w:val="00D04691"/>
    <w:rsid w:val="00D04798"/>
    <w:rsid w:val="00D0479D"/>
    <w:rsid w:val="00D047D2"/>
    <w:rsid w:val="00D04886"/>
    <w:rsid w:val="00D048A8"/>
    <w:rsid w:val="00D0492C"/>
    <w:rsid w:val="00D049AA"/>
    <w:rsid w:val="00D04A34"/>
    <w:rsid w:val="00D04A7A"/>
    <w:rsid w:val="00D04B2C"/>
    <w:rsid w:val="00D04B4E"/>
    <w:rsid w:val="00D04B93"/>
    <w:rsid w:val="00D04DCE"/>
    <w:rsid w:val="00D04E30"/>
    <w:rsid w:val="00D04EAB"/>
    <w:rsid w:val="00D04FD6"/>
    <w:rsid w:val="00D0507B"/>
    <w:rsid w:val="00D0507F"/>
    <w:rsid w:val="00D052CE"/>
    <w:rsid w:val="00D054DF"/>
    <w:rsid w:val="00D0551D"/>
    <w:rsid w:val="00D05665"/>
    <w:rsid w:val="00D057A7"/>
    <w:rsid w:val="00D057D2"/>
    <w:rsid w:val="00D05828"/>
    <w:rsid w:val="00D0585E"/>
    <w:rsid w:val="00D0595B"/>
    <w:rsid w:val="00D0596A"/>
    <w:rsid w:val="00D05CCE"/>
    <w:rsid w:val="00D05D25"/>
    <w:rsid w:val="00D0612D"/>
    <w:rsid w:val="00D0619C"/>
    <w:rsid w:val="00D061F7"/>
    <w:rsid w:val="00D06248"/>
    <w:rsid w:val="00D062C2"/>
    <w:rsid w:val="00D062CA"/>
    <w:rsid w:val="00D062E3"/>
    <w:rsid w:val="00D06384"/>
    <w:rsid w:val="00D06388"/>
    <w:rsid w:val="00D063CE"/>
    <w:rsid w:val="00D06411"/>
    <w:rsid w:val="00D064B6"/>
    <w:rsid w:val="00D06670"/>
    <w:rsid w:val="00D066EC"/>
    <w:rsid w:val="00D06713"/>
    <w:rsid w:val="00D06747"/>
    <w:rsid w:val="00D067C9"/>
    <w:rsid w:val="00D067EB"/>
    <w:rsid w:val="00D068A5"/>
    <w:rsid w:val="00D069DA"/>
    <w:rsid w:val="00D06AED"/>
    <w:rsid w:val="00D06B36"/>
    <w:rsid w:val="00D06BF3"/>
    <w:rsid w:val="00D06D86"/>
    <w:rsid w:val="00D06DBA"/>
    <w:rsid w:val="00D06DE9"/>
    <w:rsid w:val="00D06EBB"/>
    <w:rsid w:val="00D06F3A"/>
    <w:rsid w:val="00D06F61"/>
    <w:rsid w:val="00D0714C"/>
    <w:rsid w:val="00D07274"/>
    <w:rsid w:val="00D07276"/>
    <w:rsid w:val="00D0737D"/>
    <w:rsid w:val="00D07413"/>
    <w:rsid w:val="00D074D6"/>
    <w:rsid w:val="00D0757C"/>
    <w:rsid w:val="00D0766A"/>
    <w:rsid w:val="00D0775F"/>
    <w:rsid w:val="00D0776E"/>
    <w:rsid w:val="00D077FF"/>
    <w:rsid w:val="00D07883"/>
    <w:rsid w:val="00D07889"/>
    <w:rsid w:val="00D078E4"/>
    <w:rsid w:val="00D07A1C"/>
    <w:rsid w:val="00D07A46"/>
    <w:rsid w:val="00D07A47"/>
    <w:rsid w:val="00D07A68"/>
    <w:rsid w:val="00D07B0B"/>
    <w:rsid w:val="00D07B86"/>
    <w:rsid w:val="00D07BD3"/>
    <w:rsid w:val="00D07BF3"/>
    <w:rsid w:val="00D07D4A"/>
    <w:rsid w:val="00D07D8F"/>
    <w:rsid w:val="00D07E23"/>
    <w:rsid w:val="00D07E98"/>
    <w:rsid w:val="00D07F67"/>
    <w:rsid w:val="00D07FF0"/>
    <w:rsid w:val="00D10190"/>
    <w:rsid w:val="00D10243"/>
    <w:rsid w:val="00D102B9"/>
    <w:rsid w:val="00D103D2"/>
    <w:rsid w:val="00D10432"/>
    <w:rsid w:val="00D105CB"/>
    <w:rsid w:val="00D1067A"/>
    <w:rsid w:val="00D108C6"/>
    <w:rsid w:val="00D108E9"/>
    <w:rsid w:val="00D1096A"/>
    <w:rsid w:val="00D109B4"/>
    <w:rsid w:val="00D109DE"/>
    <w:rsid w:val="00D10A3E"/>
    <w:rsid w:val="00D10B4A"/>
    <w:rsid w:val="00D10BAB"/>
    <w:rsid w:val="00D10C7F"/>
    <w:rsid w:val="00D10D70"/>
    <w:rsid w:val="00D10DEF"/>
    <w:rsid w:val="00D11007"/>
    <w:rsid w:val="00D11251"/>
    <w:rsid w:val="00D11294"/>
    <w:rsid w:val="00D112F4"/>
    <w:rsid w:val="00D1142C"/>
    <w:rsid w:val="00D11552"/>
    <w:rsid w:val="00D115C1"/>
    <w:rsid w:val="00D116F9"/>
    <w:rsid w:val="00D11841"/>
    <w:rsid w:val="00D11A7A"/>
    <w:rsid w:val="00D11B1D"/>
    <w:rsid w:val="00D11B57"/>
    <w:rsid w:val="00D11BEE"/>
    <w:rsid w:val="00D11C50"/>
    <w:rsid w:val="00D11D0E"/>
    <w:rsid w:val="00D1202A"/>
    <w:rsid w:val="00D12040"/>
    <w:rsid w:val="00D12123"/>
    <w:rsid w:val="00D1218F"/>
    <w:rsid w:val="00D12397"/>
    <w:rsid w:val="00D123D9"/>
    <w:rsid w:val="00D12418"/>
    <w:rsid w:val="00D1258C"/>
    <w:rsid w:val="00D125A5"/>
    <w:rsid w:val="00D125E9"/>
    <w:rsid w:val="00D1263C"/>
    <w:rsid w:val="00D12818"/>
    <w:rsid w:val="00D12939"/>
    <w:rsid w:val="00D129E6"/>
    <w:rsid w:val="00D12AB4"/>
    <w:rsid w:val="00D12AC5"/>
    <w:rsid w:val="00D12B8D"/>
    <w:rsid w:val="00D12BEB"/>
    <w:rsid w:val="00D12C4D"/>
    <w:rsid w:val="00D12D37"/>
    <w:rsid w:val="00D12EF6"/>
    <w:rsid w:val="00D12F70"/>
    <w:rsid w:val="00D12F79"/>
    <w:rsid w:val="00D1302F"/>
    <w:rsid w:val="00D130E6"/>
    <w:rsid w:val="00D1314A"/>
    <w:rsid w:val="00D132C6"/>
    <w:rsid w:val="00D1336F"/>
    <w:rsid w:val="00D135A2"/>
    <w:rsid w:val="00D1361F"/>
    <w:rsid w:val="00D1362E"/>
    <w:rsid w:val="00D13880"/>
    <w:rsid w:val="00D13931"/>
    <w:rsid w:val="00D13A15"/>
    <w:rsid w:val="00D13A8E"/>
    <w:rsid w:val="00D13AA4"/>
    <w:rsid w:val="00D13B21"/>
    <w:rsid w:val="00D13B66"/>
    <w:rsid w:val="00D13B7A"/>
    <w:rsid w:val="00D13BE4"/>
    <w:rsid w:val="00D13CF8"/>
    <w:rsid w:val="00D13DE8"/>
    <w:rsid w:val="00D13F2A"/>
    <w:rsid w:val="00D14029"/>
    <w:rsid w:val="00D1403C"/>
    <w:rsid w:val="00D140BA"/>
    <w:rsid w:val="00D1417E"/>
    <w:rsid w:val="00D141FB"/>
    <w:rsid w:val="00D142C1"/>
    <w:rsid w:val="00D142F8"/>
    <w:rsid w:val="00D14442"/>
    <w:rsid w:val="00D1451D"/>
    <w:rsid w:val="00D14524"/>
    <w:rsid w:val="00D14759"/>
    <w:rsid w:val="00D148B6"/>
    <w:rsid w:val="00D14946"/>
    <w:rsid w:val="00D14955"/>
    <w:rsid w:val="00D14A1E"/>
    <w:rsid w:val="00D14A36"/>
    <w:rsid w:val="00D14B0F"/>
    <w:rsid w:val="00D14DF8"/>
    <w:rsid w:val="00D14EF8"/>
    <w:rsid w:val="00D14F16"/>
    <w:rsid w:val="00D14FBE"/>
    <w:rsid w:val="00D1517E"/>
    <w:rsid w:val="00D1518E"/>
    <w:rsid w:val="00D151CA"/>
    <w:rsid w:val="00D15281"/>
    <w:rsid w:val="00D152B0"/>
    <w:rsid w:val="00D15348"/>
    <w:rsid w:val="00D15557"/>
    <w:rsid w:val="00D15635"/>
    <w:rsid w:val="00D15719"/>
    <w:rsid w:val="00D157A5"/>
    <w:rsid w:val="00D1580A"/>
    <w:rsid w:val="00D1582E"/>
    <w:rsid w:val="00D158D1"/>
    <w:rsid w:val="00D158E4"/>
    <w:rsid w:val="00D1598A"/>
    <w:rsid w:val="00D15A65"/>
    <w:rsid w:val="00D15ADE"/>
    <w:rsid w:val="00D15B51"/>
    <w:rsid w:val="00D15B69"/>
    <w:rsid w:val="00D15B96"/>
    <w:rsid w:val="00D15BE4"/>
    <w:rsid w:val="00D15C11"/>
    <w:rsid w:val="00D15C2A"/>
    <w:rsid w:val="00D15C8A"/>
    <w:rsid w:val="00D15CA1"/>
    <w:rsid w:val="00D15CF8"/>
    <w:rsid w:val="00D15CFC"/>
    <w:rsid w:val="00D15DEB"/>
    <w:rsid w:val="00D15DF6"/>
    <w:rsid w:val="00D15E49"/>
    <w:rsid w:val="00D15E8A"/>
    <w:rsid w:val="00D15F62"/>
    <w:rsid w:val="00D15F6A"/>
    <w:rsid w:val="00D15F83"/>
    <w:rsid w:val="00D15F84"/>
    <w:rsid w:val="00D160E2"/>
    <w:rsid w:val="00D1610D"/>
    <w:rsid w:val="00D16199"/>
    <w:rsid w:val="00D162C8"/>
    <w:rsid w:val="00D1633F"/>
    <w:rsid w:val="00D1637C"/>
    <w:rsid w:val="00D163EA"/>
    <w:rsid w:val="00D16438"/>
    <w:rsid w:val="00D16455"/>
    <w:rsid w:val="00D16459"/>
    <w:rsid w:val="00D164C3"/>
    <w:rsid w:val="00D1657A"/>
    <w:rsid w:val="00D165A1"/>
    <w:rsid w:val="00D1666A"/>
    <w:rsid w:val="00D1685A"/>
    <w:rsid w:val="00D16883"/>
    <w:rsid w:val="00D16935"/>
    <w:rsid w:val="00D16A51"/>
    <w:rsid w:val="00D16B80"/>
    <w:rsid w:val="00D16C32"/>
    <w:rsid w:val="00D16DFC"/>
    <w:rsid w:val="00D16EAE"/>
    <w:rsid w:val="00D16F84"/>
    <w:rsid w:val="00D17182"/>
    <w:rsid w:val="00D171A4"/>
    <w:rsid w:val="00D171AA"/>
    <w:rsid w:val="00D17257"/>
    <w:rsid w:val="00D1744B"/>
    <w:rsid w:val="00D1745F"/>
    <w:rsid w:val="00D17508"/>
    <w:rsid w:val="00D17554"/>
    <w:rsid w:val="00D17588"/>
    <w:rsid w:val="00D1762C"/>
    <w:rsid w:val="00D176E9"/>
    <w:rsid w:val="00D17747"/>
    <w:rsid w:val="00D1784F"/>
    <w:rsid w:val="00D178EF"/>
    <w:rsid w:val="00D17A3E"/>
    <w:rsid w:val="00D17A81"/>
    <w:rsid w:val="00D17A8C"/>
    <w:rsid w:val="00D17AA9"/>
    <w:rsid w:val="00D17B39"/>
    <w:rsid w:val="00D17BA5"/>
    <w:rsid w:val="00D17CED"/>
    <w:rsid w:val="00D17CFF"/>
    <w:rsid w:val="00D17D0D"/>
    <w:rsid w:val="00D17DEA"/>
    <w:rsid w:val="00D17E01"/>
    <w:rsid w:val="00D17E69"/>
    <w:rsid w:val="00D17F17"/>
    <w:rsid w:val="00D17FD9"/>
    <w:rsid w:val="00D2025A"/>
    <w:rsid w:val="00D20266"/>
    <w:rsid w:val="00D2054F"/>
    <w:rsid w:val="00D20591"/>
    <w:rsid w:val="00D205D4"/>
    <w:rsid w:val="00D206EA"/>
    <w:rsid w:val="00D20716"/>
    <w:rsid w:val="00D207F2"/>
    <w:rsid w:val="00D208F0"/>
    <w:rsid w:val="00D20930"/>
    <w:rsid w:val="00D20961"/>
    <w:rsid w:val="00D2096C"/>
    <w:rsid w:val="00D20A96"/>
    <w:rsid w:val="00D20B83"/>
    <w:rsid w:val="00D20BC3"/>
    <w:rsid w:val="00D20C45"/>
    <w:rsid w:val="00D20CAC"/>
    <w:rsid w:val="00D21008"/>
    <w:rsid w:val="00D210DF"/>
    <w:rsid w:val="00D210E3"/>
    <w:rsid w:val="00D2122C"/>
    <w:rsid w:val="00D21261"/>
    <w:rsid w:val="00D2130B"/>
    <w:rsid w:val="00D21360"/>
    <w:rsid w:val="00D213D0"/>
    <w:rsid w:val="00D213F6"/>
    <w:rsid w:val="00D21458"/>
    <w:rsid w:val="00D2148D"/>
    <w:rsid w:val="00D214DA"/>
    <w:rsid w:val="00D2154D"/>
    <w:rsid w:val="00D21560"/>
    <w:rsid w:val="00D21683"/>
    <w:rsid w:val="00D21780"/>
    <w:rsid w:val="00D218A0"/>
    <w:rsid w:val="00D218EB"/>
    <w:rsid w:val="00D219EB"/>
    <w:rsid w:val="00D21A1B"/>
    <w:rsid w:val="00D21A92"/>
    <w:rsid w:val="00D21AA0"/>
    <w:rsid w:val="00D21AE1"/>
    <w:rsid w:val="00D21AFF"/>
    <w:rsid w:val="00D21C38"/>
    <w:rsid w:val="00D21DFE"/>
    <w:rsid w:val="00D21E91"/>
    <w:rsid w:val="00D21EF7"/>
    <w:rsid w:val="00D21EFD"/>
    <w:rsid w:val="00D21FB9"/>
    <w:rsid w:val="00D21FBC"/>
    <w:rsid w:val="00D220C2"/>
    <w:rsid w:val="00D220DB"/>
    <w:rsid w:val="00D2230D"/>
    <w:rsid w:val="00D223DE"/>
    <w:rsid w:val="00D223E1"/>
    <w:rsid w:val="00D223E8"/>
    <w:rsid w:val="00D223F3"/>
    <w:rsid w:val="00D22489"/>
    <w:rsid w:val="00D22580"/>
    <w:rsid w:val="00D22589"/>
    <w:rsid w:val="00D225FF"/>
    <w:rsid w:val="00D22616"/>
    <w:rsid w:val="00D22697"/>
    <w:rsid w:val="00D227A2"/>
    <w:rsid w:val="00D22889"/>
    <w:rsid w:val="00D228B6"/>
    <w:rsid w:val="00D22A28"/>
    <w:rsid w:val="00D22B6C"/>
    <w:rsid w:val="00D22BCA"/>
    <w:rsid w:val="00D22CE2"/>
    <w:rsid w:val="00D22D5C"/>
    <w:rsid w:val="00D22E1A"/>
    <w:rsid w:val="00D22F11"/>
    <w:rsid w:val="00D22F97"/>
    <w:rsid w:val="00D23058"/>
    <w:rsid w:val="00D230B0"/>
    <w:rsid w:val="00D2314F"/>
    <w:rsid w:val="00D231B0"/>
    <w:rsid w:val="00D23250"/>
    <w:rsid w:val="00D23273"/>
    <w:rsid w:val="00D2332C"/>
    <w:rsid w:val="00D23339"/>
    <w:rsid w:val="00D23444"/>
    <w:rsid w:val="00D2348C"/>
    <w:rsid w:val="00D23537"/>
    <w:rsid w:val="00D237BC"/>
    <w:rsid w:val="00D23805"/>
    <w:rsid w:val="00D2386C"/>
    <w:rsid w:val="00D2390F"/>
    <w:rsid w:val="00D23C5E"/>
    <w:rsid w:val="00D23DC1"/>
    <w:rsid w:val="00D23E35"/>
    <w:rsid w:val="00D23E93"/>
    <w:rsid w:val="00D23EA9"/>
    <w:rsid w:val="00D23EEB"/>
    <w:rsid w:val="00D24093"/>
    <w:rsid w:val="00D240AF"/>
    <w:rsid w:val="00D24167"/>
    <w:rsid w:val="00D24198"/>
    <w:rsid w:val="00D24200"/>
    <w:rsid w:val="00D24233"/>
    <w:rsid w:val="00D242BA"/>
    <w:rsid w:val="00D242E1"/>
    <w:rsid w:val="00D2433F"/>
    <w:rsid w:val="00D243B0"/>
    <w:rsid w:val="00D24566"/>
    <w:rsid w:val="00D24597"/>
    <w:rsid w:val="00D245D4"/>
    <w:rsid w:val="00D24623"/>
    <w:rsid w:val="00D24629"/>
    <w:rsid w:val="00D24961"/>
    <w:rsid w:val="00D24970"/>
    <w:rsid w:val="00D24A3E"/>
    <w:rsid w:val="00D24A4A"/>
    <w:rsid w:val="00D24C3D"/>
    <w:rsid w:val="00D24DA3"/>
    <w:rsid w:val="00D24E71"/>
    <w:rsid w:val="00D24E8B"/>
    <w:rsid w:val="00D24ED2"/>
    <w:rsid w:val="00D24F65"/>
    <w:rsid w:val="00D25007"/>
    <w:rsid w:val="00D251C6"/>
    <w:rsid w:val="00D25333"/>
    <w:rsid w:val="00D253C3"/>
    <w:rsid w:val="00D253E5"/>
    <w:rsid w:val="00D2548C"/>
    <w:rsid w:val="00D254AC"/>
    <w:rsid w:val="00D25633"/>
    <w:rsid w:val="00D256BE"/>
    <w:rsid w:val="00D256D1"/>
    <w:rsid w:val="00D25708"/>
    <w:rsid w:val="00D25755"/>
    <w:rsid w:val="00D258A8"/>
    <w:rsid w:val="00D2596D"/>
    <w:rsid w:val="00D25A22"/>
    <w:rsid w:val="00D25BB8"/>
    <w:rsid w:val="00D25CEC"/>
    <w:rsid w:val="00D25D5A"/>
    <w:rsid w:val="00D25D5D"/>
    <w:rsid w:val="00D25E75"/>
    <w:rsid w:val="00D25ECF"/>
    <w:rsid w:val="00D25F86"/>
    <w:rsid w:val="00D25FE4"/>
    <w:rsid w:val="00D261B8"/>
    <w:rsid w:val="00D26223"/>
    <w:rsid w:val="00D26310"/>
    <w:rsid w:val="00D264F9"/>
    <w:rsid w:val="00D264FB"/>
    <w:rsid w:val="00D2650D"/>
    <w:rsid w:val="00D265A5"/>
    <w:rsid w:val="00D2665D"/>
    <w:rsid w:val="00D26699"/>
    <w:rsid w:val="00D26742"/>
    <w:rsid w:val="00D26845"/>
    <w:rsid w:val="00D2687A"/>
    <w:rsid w:val="00D2693B"/>
    <w:rsid w:val="00D26A02"/>
    <w:rsid w:val="00D26A84"/>
    <w:rsid w:val="00D26ADC"/>
    <w:rsid w:val="00D26BD2"/>
    <w:rsid w:val="00D26C69"/>
    <w:rsid w:val="00D26D44"/>
    <w:rsid w:val="00D26DFC"/>
    <w:rsid w:val="00D26E44"/>
    <w:rsid w:val="00D26E46"/>
    <w:rsid w:val="00D2713B"/>
    <w:rsid w:val="00D271D1"/>
    <w:rsid w:val="00D27203"/>
    <w:rsid w:val="00D274C5"/>
    <w:rsid w:val="00D2750C"/>
    <w:rsid w:val="00D2751A"/>
    <w:rsid w:val="00D276B4"/>
    <w:rsid w:val="00D2771B"/>
    <w:rsid w:val="00D278D2"/>
    <w:rsid w:val="00D278DB"/>
    <w:rsid w:val="00D27ADC"/>
    <w:rsid w:val="00D27B08"/>
    <w:rsid w:val="00D27B3D"/>
    <w:rsid w:val="00D27B45"/>
    <w:rsid w:val="00D27D6C"/>
    <w:rsid w:val="00D27E62"/>
    <w:rsid w:val="00D27E7F"/>
    <w:rsid w:val="00D27EB9"/>
    <w:rsid w:val="00D3008C"/>
    <w:rsid w:val="00D300C1"/>
    <w:rsid w:val="00D3018A"/>
    <w:rsid w:val="00D3024D"/>
    <w:rsid w:val="00D3027A"/>
    <w:rsid w:val="00D302C4"/>
    <w:rsid w:val="00D305FC"/>
    <w:rsid w:val="00D3064B"/>
    <w:rsid w:val="00D30652"/>
    <w:rsid w:val="00D30654"/>
    <w:rsid w:val="00D30772"/>
    <w:rsid w:val="00D307FF"/>
    <w:rsid w:val="00D30948"/>
    <w:rsid w:val="00D309C7"/>
    <w:rsid w:val="00D30A7C"/>
    <w:rsid w:val="00D30AC8"/>
    <w:rsid w:val="00D30B4C"/>
    <w:rsid w:val="00D30C26"/>
    <w:rsid w:val="00D30CE4"/>
    <w:rsid w:val="00D30DD0"/>
    <w:rsid w:val="00D30E90"/>
    <w:rsid w:val="00D30F20"/>
    <w:rsid w:val="00D30FAD"/>
    <w:rsid w:val="00D3105F"/>
    <w:rsid w:val="00D31070"/>
    <w:rsid w:val="00D3115C"/>
    <w:rsid w:val="00D31163"/>
    <w:rsid w:val="00D31311"/>
    <w:rsid w:val="00D31320"/>
    <w:rsid w:val="00D3134F"/>
    <w:rsid w:val="00D3137E"/>
    <w:rsid w:val="00D313E2"/>
    <w:rsid w:val="00D31482"/>
    <w:rsid w:val="00D31648"/>
    <w:rsid w:val="00D31657"/>
    <w:rsid w:val="00D31813"/>
    <w:rsid w:val="00D31821"/>
    <w:rsid w:val="00D31859"/>
    <w:rsid w:val="00D31A10"/>
    <w:rsid w:val="00D31A5D"/>
    <w:rsid w:val="00D31AB6"/>
    <w:rsid w:val="00D31ADF"/>
    <w:rsid w:val="00D31B3F"/>
    <w:rsid w:val="00D31B8A"/>
    <w:rsid w:val="00D31BA0"/>
    <w:rsid w:val="00D31BE1"/>
    <w:rsid w:val="00D31D42"/>
    <w:rsid w:val="00D31E76"/>
    <w:rsid w:val="00D31EF7"/>
    <w:rsid w:val="00D31F1D"/>
    <w:rsid w:val="00D31F32"/>
    <w:rsid w:val="00D31F39"/>
    <w:rsid w:val="00D31F82"/>
    <w:rsid w:val="00D31FAD"/>
    <w:rsid w:val="00D320E4"/>
    <w:rsid w:val="00D3216D"/>
    <w:rsid w:val="00D3228C"/>
    <w:rsid w:val="00D323B9"/>
    <w:rsid w:val="00D324FC"/>
    <w:rsid w:val="00D3250C"/>
    <w:rsid w:val="00D32659"/>
    <w:rsid w:val="00D32818"/>
    <w:rsid w:val="00D328A9"/>
    <w:rsid w:val="00D328E1"/>
    <w:rsid w:val="00D32921"/>
    <w:rsid w:val="00D329F1"/>
    <w:rsid w:val="00D32A21"/>
    <w:rsid w:val="00D32A49"/>
    <w:rsid w:val="00D32AC0"/>
    <w:rsid w:val="00D32C38"/>
    <w:rsid w:val="00D32D2F"/>
    <w:rsid w:val="00D32E69"/>
    <w:rsid w:val="00D32E8A"/>
    <w:rsid w:val="00D32ECF"/>
    <w:rsid w:val="00D32F92"/>
    <w:rsid w:val="00D32FB3"/>
    <w:rsid w:val="00D3300B"/>
    <w:rsid w:val="00D33043"/>
    <w:rsid w:val="00D330C5"/>
    <w:rsid w:val="00D33126"/>
    <w:rsid w:val="00D331E9"/>
    <w:rsid w:val="00D33225"/>
    <w:rsid w:val="00D33251"/>
    <w:rsid w:val="00D333F8"/>
    <w:rsid w:val="00D33481"/>
    <w:rsid w:val="00D3349B"/>
    <w:rsid w:val="00D3354A"/>
    <w:rsid w:val="00D33596"/>
    <w:rsid w:val="00D3359C"/>
    <w:rsid w:val="00D3365A"/>
    <w:rsid w:val="00D336B2"/>
    <w:rsid w:val="00D33753"/>
    <w:rsid w:val="00D3375B"/>
    <w:rsid w:val="00D33786"/>
    <w:rsid w:val="00D337D6"/>
    <w:rsid w:val="00D337ED"/>
    <w:rsid w:val="00D33818"/>
    <w:rsid w:val="00D33826"/>
    <w:rsid w:val="00D3383A"/>
    <w:rsid w:val="00D33853"/>
    <w:rsid w:val="00D33868"/>
    <w:rsid w:val="00D33899"/>
    <w:rsid w:val="00D338DD"/>
    <w:rsid w:val="00D338F5"/>
    <w:rsid w:val="00D33A86"/>
    <w:rsid w:val="00D33B81"/>
    <w:rsid w:val="00D33D0F"/>
    <w:rsid w:val="00D33E15"/>
    <w:rsid w:val="00D33E5E"/>
    <w:rsid w:val="00D33F08"/>
    <w:rsid w:val="00D34033"/>
    <w:rsid w:val="00D34068"/>
    <w:rsid w:val="00D34283"/>
    <w:rsid w:val="00D34309"/>
    <w:rsid w:val="00D34348"/>
    <w:rsid w:val="00D343E0"/>
    <w:rsid w:val="00D343FD"/>
    <w:rsid w:val="00D3440D"/>
    <w:rsid w:val="00D3448F"/>
    <w:rsid w:val="00D34529"/>
    <w:rsid w:val="00D3453F"/>
    <w:rsid w:val="00D345FA"/>
    <w:rsid w:val="00D3474B"/>
    <w:rsid w:val="00D34864"/>
    <w:rsid w:val="00D34976"/>
    <w:rsid w:val="00D34A99"/>
    <w:rsid w:val="00D34AFD"/>
    <w:rsid w:val="00D34D3C"/>
    <w:rsid w:val="00D34DFE"/>
    <w:rsid w:val="00D34E93"/>
    <w:rsid w:val="00D34EC8"/>
    <w:rsid w:val="00D34F2E"/>
    <w:rsid w:val="00D3501A"/>
    <w:rsid w:val="00D3502D"/>
    <w:rsid w:val="00D35047"/>
    <w:rsid w:val="00D35055"/>
    <w:rsid w:val="00D351C1"/>
    <w:rsid w:val="00D35233"/>
    <w:rsid w:val="00D3525D"/>
    <w:rsid w:val="00D35260"/>
    <w:rsid w:val="00D3538E"/>
    <w:rsid w:val="00D353D7"/>
    <w:rsid w:val="00D35495"/>
    <w:rsid w:val="00D35524"/>
    <w:rsid w:val="00D3553F"/>
    <w:rsid w:val="00D355A3"/>
    <w:rsid w:val="00D35603"/>
    <w:rsid w:val="00D35609"/>
    <w:rsid w:val="00D3570F"/>
    <w:rsid w:val="00D35829"/>
    <w:rsid w:val="00D35876"/>
    <w:rsid w:val="00D35898"/>
    <w:rsid w:val="00D35A01"/>
    <w:rsid w:val="00D35A78"/>
    <w:rsid w:val="00D35AC1"/>
    <w:rsid w:val="00D35BD1"/>
    <w:rsid w:val="00D35CA4"/>
    <w:rsid w:val="00D35CAE"/>
    <w:rsid w:val="00D35D23"/>
    <w:rsid w:val="00D35EC4"/>
    <w:rsid w:val="00D35F01"/>
    <w:rsid w:val="00D3606B"/>
    <w:rsid w:val="00D360FC"/>
    <w:rsid w:val="00D36145"/>
    <w:rsid w:val="00D36186"/>
    <w:rsid w:val="00D3639F"/>
    <w:rsid w:val="00D363A6"/>
    <w:rsid w:val="00D36578"/>
    <w:rsid w:val="00D36587"/>
    <w:rsid w:val="00D365B4"/>
    <w:rsid w:val="00D365CD"/>
    <w:rsid w:val="00D36719"/>
    <w:rsid w:val="00D3678A"/>
    <w:rsid w:val="00D36828"/>
    <w:rsid w:val="00D369EC"/>
    <w:rsid w:val="00D36A24"/>
    <w:rsid w:val="00D36AA5"/>
    <w:rsid w:val="00D36AB7"/>
    <w:rsid w:val="00D36B6C"/>
    <w:rsid w:val="00D36C66"/>
    <w:rsid w:val="00D36C7A"/>
    <w:rsid w:val="00D36D30"/>
    <w:rsid w:val="00D36EB6"/>
    <w:rsid w:val="00D3701B"/>
    <w:rsid w:val="00D37131"/>
    <w:rsid w:val="00D374FC"/>
    <w:rsid w:val="00D37674"/>
    <w:rsid w:val="00D3775C"/>
    <w:rsid w:val="00D37774"/>
    <w:rsid w:val="00D377B0"/>
    <w:rsid w:val="00D3782C"/>
    <w:rsid w:val="00D379E7"/>
    <w:rsid w:val="00D37AC2"/>
    <w:rsid w:val="00D37AE7"/>
    <w:rsid w:val="00D37BA2"/>
    <w:rsid w:val="00D37D46"/>
    <w:rsid w:val="00D37DEC"/>
    <w:rsid w:val="00D37EBF"/>
    <w:rsid w:val="00D37EC5"/>
    <w:rsid w:val="00D37EF5"/>
    <w:rsid w:val="00D37F0C"/>
    <w:rsid w:val="00D37FC1"/>
    <w:rsid w:val="00D4004A"/>
    <w:rsid w:val="00D400F7"/>
    <w:rsid w:val="00D4011B"/>
    <w:rsid w:val="00D4014F"/>
    <w:rsid w:val="00D40161"/>
    <w:rsid w:val="00D4028B"/>
    <w:rsid w:val="00D402DE"/>
    <w:rsid w:val="00D4031A"/>
    <w:rsid w:val="00D403B8"/>
    <w:rsid w:val="00D404CB"/>
    <w:rsid w:val="00D4059D"/>
    <w:rsid w:val="00D40652"/>
    <w:rsid w:val="00D40655"/>
    <w:rsid w:val="00D406B7"/>
    <w:rsid w:val="00D406C8"/>
    <w:rsid w:val="00D40725"/>
    <w:rsid w:val="00D4073C"/>
    <w:rsid w:val="00D4078B"/>
    <w:rsid w:val="00D40949"/>
    <w:rsid w:val="00D40A14"/>
    <w:rsid w:val="00D40A2E"/>
    <w:rsid w:val="00D40A38"/>
    <w:rsid w:val="00D40B51"/>
    <w:rsid w:val="00D40DBF"/>
    <w:rsid w:val="00D41081"/>
    <w:rsid w:val="00D41120"/>
    <w:rsid w:val="00D41209"/>
    <w:rsid w:val="00D41253"/>
    <w:rsid w:val="00D412AC"/>
    <w:rsid w:val="00D41418"/>
    <w:rsid w:val="00D41554"/>
    <w:rsid w:val="00D415F9"/>
    <w:rsid w:val="00D41626"/>
    <w:rsid w:val="00D4170B"/>
    <w:rsid w:val="00D4174B"/>
    <w:rsid w:val="00D417C5"/>
    <w:rsid w:val="00D417DF"/>
    <w:rsid w:val="00D418CB"/>
    <w:rsid w:val="00D419B3"/>
    <w:rsid w:val="00D41A34"/>
    <w:rsid w:val="00D41A57"/>
    <w:rsid w:val="00D41D31"/>
    <w:rsid w:val="00D41D7E"/>
    <w:rsid w:val="00D41DA4"/>
    <w:rsid w:val="00D41E78"/>
    <w:rsid w:val="00D42075"/>
    <w:rsid w:val="00D420F4"/>
    <w:rsid w:val="00D42172"/>
    <w:rsid w:val="00D421DB"/>
    <w:rsid w:val="00D42277"/>
    <w:rsid w:val="00D4230C"/>
    <w:rsid w:val="00D42341"/>
    <w:rsid w:val="00D4236E"/>
    <w:rsid w:val="00D42829"/>
    <w:rsid w:val="00D42857"/>
    <w:rsid w:val="00D4289C"/>
    <w:rsid w:val="00D429B5"/>
    <w:rsid w:val="00D429D0"/>
    <w:rsid w:val="00D42A27"/>
    <w:rsid w:val="00D42A74"/>
    <w:rsid w:val="00D42AC8"/>
    <w:rsid w:val="00D42B52"/>
    <w:rsid w:val="00D42B6D"/>
    <w:rsid w:val="00D42B73"/>
    <w:rsid w:val="00D42BCD"/>
    <w:rsid w:val="00D42C12"/>
    <w:rsid w:val="00D42D1E"/>
    <w:rsid w:val="00D42E3B"/>
    <w:rsid w:val="00D42F43"/>
    <w:rsid w:val="00D4302F"/>
    <w:rsid w:val="00D43031"/>
    <w:rsid w:val="00D430CE"/>
    <w:rsid w:val="00D43220"/>
    <w:rsid w:val="00D432A0"/>
    <w:rsid w:val="00D43323"/>
    <w:rsid w:val="00D43367"/>
    <w:rsid w:val="00D434DB"/>
    <w:rsid w:val="00D435CE"/>
    <w:rsid w:val="00D43611"/>
    <w:rsid w:val="00D43629"/>
    <w:rsid w:val="00D4366D"/>
    <w:rsid w:val="00D436C9"/>
    <w:rsid w:val="00D43836"/>
    <w:rsid w:val="00D4383F"/>
    <w:rsid w:val="00D4389A"/>
    <w:rsid w:val="00D43A9D"/>
    <w:rsid w:val="00D43C2C"/>
    <w:rsid w:val="00D43CF1"/>
    <w:rsid w:val="00D43E60"/>
    <w:rsid w:val="00D43F93"/>
    <w:rsid w:val="00D4402C"/>
    <w:rsid w:val="00D4407E"/>
    <w:rsid w:val="00D440A3"/>
    <w:rsid w:val="00D44143"/>
    <w:rsid w:val="00D44285"/>
    <w:rsid w:val="00D4437E"/>
    <w:rsid w:val="00D4449B"/>
    <w:rsid w:val="00D444A7"/>
    <w:rsid w:val="00D44580"/>
    <w:rsid w:val="00D4460F"/>
    <w:rsid w:val="00D44767"/>
    <w:rsid w:val="00D447B1"/>
    <w:rsid w:val="00D44843"/>
    <w:rsid w:val="00D4492F"/>
    <w:rsid w:val="00D44A9F"/>
    <w:rsid w:val="00D44AA0"/>
    <w:rsid w:val="00D44AF1"/>
    <w:rsid w:val="00D44B00"/>
    <w:rsid w:val="00D44BD7"/>
    <w:rsid w:val="00D44BEA"/>
    <w:rsid w:val="00D44C47"/>
    <w:rsid w:val="00D44C4F"/>
    <w:rsid w:val="00D44D4B"/>
    <w:rsid w:val="00D44D54"/>
    <w:rsid w:val="00D44D5A"/>
    <w:rsid w:val="00D44EB7"/>
    <w:rsid w:val="00D44F19"/>
    <w:rsid w:val="00D44F7F"/>
    <w:rsid w:val="00D45004"/>
    <w:rsid w:val="00D450A6"/>
    <w:rsid w:val="00D450F0"/>
    <w:rsid w:val="00D45123"/>
    <w:rsid w:val="00D451D4"/>
    <w:rsid w:val="00D451EC"/>
    <w:rsid w:val="00D45297"/>
    <w:rsid w:val="00D452D4"/>
    <w:rsid w:val="00D452F5"/>
    <w:rsid w:val="00D45443"/>
    <w:rsid w:val="00D454A1"/>
    <w:rsid w:val="00D4562D"/>
    <w:rsid w:val="00D4565C"/>
    <w:rsid w:val="00D45715"/>
    <w:rsid w:val="00D4573A"/>
    <w:rsid w:val="00D45777"/>
    <w:rsid w:val="00D45A6D"/>
    <w:rsid w:val="00D45A96"/>
    <w:rsid w:val="00D45ACC"/>
    <w:rsid w:val="00D45D2E"/>
    <w:rsid w:val="00D45D9A"/>
    <w:rsid w:val="00D45E13"/>
    <w:rsid w:val="00D45F21"/>
    <w:rsid w:val="00D45F57"/>
    <w:rsid w:val="00D46009"/>
    <w:rsid w:val="00D460E3"/>
    <w:rsid w:val="00D46137"/>
    <w:rsid w:val="00D46191"/>
    <w:rsid w:val="00D461F1"/>
    <w:rsid w:val="00D46242"/>
    <w:rsid w:val="00D46356"/>
    <w:rsid w:val="00D46372"/>
    <w:rsid w:val="00D463F0"/>
    <w:rsid w:val="00D4642F"/>
    <w:rsid w:val="00D46460"/>
    <w:rsid w:val="00D46612"/>
    <w:rsid w:val="00D46727"/>
    <w:rsid w:val="00D467A1"/>
    <w:rsid w:val="00D467A2"/>
    <w:rsid w:val="00D46823"/>
    <w:rsid w:val="00D46897"/>
    <w:rsid w:val="00D468A3"/>
    <w:rsid w:val="00D46989"/>
    <w:rsid w:val="00D46A7C"/>
    <w:rsid w:val="00D46B92"/>
    <w:rsid w:val="00D46BB8"/>
    <w:rsid w:val="00D46C88"/>
    <w:rsid w:val="00D46CA5"/>
    <w:rsid w:val="00D46CC9"/>
    <w:rsid w:val="00D46D04"/>
    <w:rsid w:val="00D46DDD"/>
    <w:rsid w:val="00D46E27"/>
    <w:rsid w:val="00D46EAD"/>
    <w:rsid w:val="00D46F0E"/>
    <w:rsid w:val="00D46F2F"/>
    <w:rsid w:val="00D46F5E"/>
    <w:rsid w:val="00D46FEE"/>
    <w:rsid w:val="00D47008"/>
    <w:rsid w:val="00D47119"/>
    <w:rsid w:val="00D4717B"/>
    <w:rsid w:val="00D471D3"/>
    <w:rsid w:val="00D473D6"/>
    <w:rsid w:val="00D4741E"/>
    <w:rsid w:val="00D47541"/>
    <w:rsid w:val="00D47598"/>
    <w:rsid w:val="00D476BF"/>
    <w:rsid w:val="00D478B8"/>
    <w:rsid w:val="00D478ED"/>
    <w:rsid w:val="00D479DE"/>
    <w:rsid w:val="00D47A4D"/>
    <w:rsid w:val="00D47A86"/>
    <w:rsid w:val="00D47A9C"/>
    <w:rsid w:val="00D47ABB"/>
    <w:rsid w:val="00D47B4F"/>
    <w:rsid w:val="00D47CB1"/>
    <w:rsid w:val="00D47D08"/>
    <w:rsid w:val="00D47D46"/>
    <w:rsid w:val="00D47FB8"/>
    <w:rsid w:val="00D50138"/>
    <w:rsid w:val="00D5021D"/>
    <w:rsid w:val="00D502AD"/>
    <w:rsid w:val="00D503DF"/>
    <w:rsid w:val="00D504A9"/>
    <w:rsid w:val="00D5059C"/>
    <w:rsid w:val="00D5061D"/>
    <w:rsid w:val="00D5065B"/>
    <w:rsid w:val="00D5066B"/>
    <w:rsid w:val="00D506E4"/>
    <w:rsid w:val="00D50709"/>
    <w:rsid w:val="00D5084F"/>
    <w:rsid w:val="00D508AC"/>
    <w:rsid w:val="00D508DF"/>
    <w:rsid w:val="00D5091E"/>
    <w:rsid w:val="00D5097F"/>
    <w:rsid w:val="00D50A04"/>
    <w:rsid w:val="00D50A0C"/>
    <w:rsid w:val="00D50AC7"/>
    <w:rsid w:val="00D50B3B"/>
    <w:rsid w:val="00D50B4E"/>
    <w:rsid w:val="00D50BEF"/>
    <w:rsid w:val="00D50C34"/>
    <w:rsid w:val="00D50C64"/>
    <w:rsid w:val="00D50C6A"/>
    <w:rsid w:val="00D50CB1"/>
    <w:rsid w:val="00D50ECC"/>
    <w:rsid w:val="00D50F12"/>
    <w:rsid w:val="00D51040"/>
    <w:rsid w:val="00D5109E"/>
    <w:rsid w:val="00D510A1"/>
    <w:rsid w:val="00D51190"/>
    <w:rsid w:val="00D511BF"/>
    <w:rsid w:val="00D51290"/>
    <w:rsid w:val="00D5138F"/>
    <w:rsid w:val="00D51468"/>
    <w:rsid w:val="00D514B1"/>
    <w:rsid w:val="00D515A6"/>
    <w:rsid w:val="00D515F9"/>
    <w:rsid w:val="00D516A0"/>
    <w:rsid w:val="00D516DA"/>
    <w:rsid w:val="00D5173F"/>
    <w:rsid w:val="00D517DA"/>
    <w:rsid w:val="00D5186A"/>
    <w:rsid w:val="00D519A8"/>
    <w:rsid w:val="00D519AC"/>
    <w:rsid w:val="00D51B64"/>
    <w:rsid w:val="00D51B6C"/>
    <w:rsid w:val="00D51BF7"/>
    <w:rsid w:val="00D51C64"/>
    <w:rsid w:val="00D51D0C"/>
    <w:rsid w:val="00D51E11"/>
    <w:rsid w:val="00D51E2E"/>
    <w:rsid w:val="00D51F0D"/>
    <w:rsid w:val="00D520C1"/>
    <w:rsid w:val="00D5210F"/>
    <w:rsid w:val="00D521AD"/>
    <w:rsid w:val="00D521DA"/>
    <w:rsid w:val="00D521ED"/>
    <w:rsid w:val="00D521FA"/>
    <w:rsid w:val="00D5224D"/>
    <w:rsid w:val="00D522CE"/>
    <w:rsid w:val="00D52310"/>
    <w:rsid w:val="00D52445"/>
    <w:rsid w:val="00D52499"/>
    <w:rsid w:val="00D52586"/>
    <w:rsid w:val="00D5258C"/>
    <w:rsid w:val="00D52789"/>
    <w:rsid w:val="00D527F6"/>
    <w:rsid w:val="00D5280D"/>
    <w:rsid w:val="00D528C5"/>
    <w:rsid w:val="00D52983"/>
    <w:rsid w:val="00D52990"/>
    <w:rsid w:val="00D529A9"/>
    <w:rsid w:val="00D52A20"/>
    <w:rsid w:val="00D52A4C"/>
    <w:rsid w:val="00D52AFF"/>
    <w:rsid w:val="00D52C27"/>
    <w:rsid w:val="00D52E18"/>
    <w:rsid w:val="00D52E25"/>
    <w:rsid w:val="00D52EAF"/>
    <w:rsid w:val="00D53053"/>
    <w:rsid w:val="00D531A0"/>
    <w:rsid w:val="00D532FF"/>
    <w:rsid w:val="00D53418"/>
    <w:rsid w:val="00D5347B"/>
    <w:rsid w:val="00D53514"/>
    <w:rsid w:val="00D53547"/>
    <w:rsid w:val="00D535B1"/>
    <w:rsid w:val="00D535E2"/>
    <w:rsid w:val="00D535EE"/>
    <w:rsid w:val="00D53639"/>
    <w:rsid w:val="00D53703"/>
    <w:rsid w:val="00D539D9"/>
    <w:rsid w:val="00D53A6F"/>
    <w:rsid w:val="00D53AEA"/>
    <w:rsid w:val="00D53BC9"/>
    <w:rsid w:val="00D53CCF"/>
    <w:rsid w:val="00D53D41"/>
    <w:rsid w:val="00D53E80"/>
    <w:rsid w:val="00D53E83"/>
    <w:rsid w:val="00D53FA1"/>
    <w:rsid w:val="00D5405F"/>
    <w:rsid w:val="00D540C6"/>
    <w:rsid w:val="00D54127"/>
    <w:rsid w:val="00D5416A"/>
    <w:rsid w:val="00D541A8"/>
    <w:rsid w:val="00D54260"/>
    <w:rsid w:val="00D54277"/>
    <w:rsid w:val="00D5436A"/>
    <w:rsid w:val="00D54486"/>
    <w:rsid w:val="00D545FA"/>
    <w:rsid w:val="00D546BE"/>
    <w:rsid w:val="00D5474C"/>
    <w:rsid w:val="00D54753"/>
    <w:rsid w:val="00D54760"/>
    <w:rsid w:val="00D547EB"/>
    <w:rsid w:val="00D547F3"/>
    <w:rsid w:val="00D54843"/>
    <w:rsid w:val="00D54916"/>
    <w:rsid w:val="00D5497A"/>
    <w:rsid w:val="00D5499C"/>
    <w:rsid w:val="00D54B0C"/>
    <w:rsid w:val="00D54C6B"/>
    <w:rsid w:val="00D54D5D"/>
    <w:rsid w:val="00D54E71"/>
    <w:rsid w:val="00D54FB6"/>
    <w:rsid w:val="00D54FDC"/>
    <w:rsid w:val="00D5506E"/>
    <w:rsid w:val="00D550A9"/>
    <w:rsid w:val="00D55140"/>
    <w:rsid w:val="00D5517A"/>
    <w:rsid w:val="00D551E4"/>
    <w:rsid w:val="00D55488"/>
    <w:rsid w:val="00D555DB"/>
    <w:rsid w:val="00D556A5"/>
    <w:rsid w:val="00D556CC"/>
    <w:rsid w:val="00D5575C"/>
    <w:rsid w:val="00D557A5"/>
    <w:rsid w:val="00D55879"/>
    <w:rsid w:val="00D558D2"/>
    <w:rsid w:val="00D55964"/>
    <w:rsid w:val="00D55A28"/>
    <w:rsid w:val="00D55A48"/>
    <w:rsid w:val="00D55A58"/>
    <w:rsid w:val="00D55ADB"/>
    <w:rsid w:val="00D55B05"/>
    <w:rsid w:val="00D55B68"/>
    <w:rsid w:val="00D55C89"/>
    <w:rsid w:val="00D55D82"/>
    <w:rsid w:val="00D55E1C"/>
    <w:rsid w:val="00D55E7F"/>
    <w:rsid w:val="00D55EB8"/>
    <w:rsid w:val="00D55FC1"/>
    <w:rsid w:val="00D5611A"/>
    <w:rsid w:val="00D561CD"/>
    <w:rsid w:val="00D56343"/>
    <w:rsid w:val="00D56358"/>
    <w:rsid w:val="00D563E5"/>
    <w:rsid w:val="00D5643E"/>
    <w:rsid w:val="00D5646A"/>
    <w:rsid w:val="00D5651D"/>
    <w:rsid w:val="00D56533"/>
    <w:rsid w:val="00D56654"/>
    <w:rsid w:val="00D566C3"/>
    <w:rsid w:val="00D56710"/>
    <w:rsid w:val="00D5673F"/>
    <w:rsid w:val="00D567FE"/>
    <w:rsid w:val="00D567FF"/>
    <w:rsid w:val="00D56934"/>
    <w:rsid w:val="00D56B03"/>
    <w:rsid w:val="00D56C77"/>
    <w:rsid w:val="00D56C79"/>
    <w:rsid w:val="00D56D58"/>
    <w:rsid w:val="00D56D75"/>
    <w:rsid w:val="00D56D88"/>
    <w:rsid w:val="00D56EFA"/>
    <w:rsid w:val="00D56F3C"/>
    <w:rsid w:val="00D56FCD"/>
    <w:rsid w:val="00D57024"/>
    <w:rsid w:val="00D57056"/>
    <w:rsid w:val="00D5714D"/>
    <w:rsid w:val="00D57189"/>
    <w:rsid w:val="00D5718B"/>
    <w:rsid w:val="00D572D5"/>
    <w:rsid w:val="00D5734E"/>
    <w:rsid w:val="00D57471"/>
    <w:rsid w:val="00D574B2"/>
    <w:rsid w:val="00D574C8"/>
    <w:rsid w:val="00D57504"/>
    <w:rsid w:val="00D57671"/>
    <w:rsid w:val="00D5775D"/>
    <w:rsid w:val="00D577DD"/>
    <w:rsid w:val="00D57880"/>
    <w:rsid w:val="00D579F1"/>
    <w:rsid w:val="00D57AC4"/>
    <w:rsid w:val="00D57B16"/>
    <w:rsid w:val="00D57C64"/>
    <w:rsid w:val="00D57C71"/>
    <w:rsid w:val="00D57D00"/>
    <w:rsid w:val="00D57DF3"/>
    <w:rsid w:val="00D57E8A"/>
    <w:rsid w:val="00D57F34"/>
    <w:rsid w:val="00D57FA7"/>
    <w:rsid w:val="00D60172"/>
    <w:rsid w:val="00D601EA"/>
    <w:rsid w:val="00D60324"/>
    <w:rsid w:val="00D60369"/>
    <w:rsid w:val="00D605AA"/>
    <w:rsid w:val="00D605AF"/>
    <w:rsid w:val="00D605EE"/>
    <w:rsid w:val="00D60612"/>
    <w:rsid w:val="00D6076B"/>
    <w:rsid w:val="00D608AD"/>
    <w:rsid w:val="00D60920"/>
    <w:rsid w:val="00D60AC9"/>
    <w:rsid w:val="00D60BEE"/>
    <w:rsid w:val="00D60C38"/>
    <w:rsid w:val="00D60D44"/>
    <w:rsid w:val="00D60D46"/>
    <w:rsid w:val="00D60D4F"/>
    <w:rsid w:val="00D60EF0"/>
    <w:rsid w:val="00D6107D"/>
    <w:rsid w:val="00D61099"/>
    <w:rsid w:val="00D611BF"/>
    <w:rsid w:val="00D612A0"/>
    <w:rsid w:val="00D61351"/>
    <w:rsid w:val="00D6140F"/>
    <w:rsid w:val="00D61443"/>
    <w:rsid w:val="00D61487"/>
    <w:rsid w:val="00D614B3"/>
    <w:rsid w:val="00D614DC"/>
    <w:rsid w:val="00D614DD"/>
    <w:rsid w:val="00D61545"/>
    <w:rsid w:val="00D615D8"/>
    <w:rsid w:val="00D6162B"/>
    <w:rsid w:val="00D6170D"/>
    <w:rsid w:val="00D6177A"/>
    <w:rsid w:val="00D61921"/>
    <w:rsid w:val="00D61924"/>
    <w:rsid w:val="00D61987"/>
    <w:rsid w:val="00D61A16"/>
    <w:rsid w:val="00D61AC0"/>
    <w:rsid w:val="00D61B31"/>
    <w:rsid w:val="00D61B34"/>
    <w:rsid w:val="00D61BD5"/>
    <w:rsid w:val="00D61E1A"/>
    <w:rsid w:val="00D61E34"/>
    <w:rsid w:val="00D61E88"/>
    <w:rsid w:val="00D6207F"/>
    <w:rsid w:val="00D62147"/>
    <w:rsid w:val="00D6217C"/>
    <w:rsid w:val="00D621A5"/>
    <w:rsid w:val="00D621C4"/>
    <w:rsid w:val="00D621F0"/>
    <w:rsid w:val="00D62560"/>
    <w:rsid w:val="00D62674"/>
    <w:rsid w:val="00D626E6"/>
    <w:rsid w:val="00D627E3"/>
    <w:rsid w:val="00D62820"/>
    <w:rsid w:val="00D62891"/>
    <w:rsid w:val="00D6291D"/>
    <w:rsid w:val="00D62956"/>
    <w:rsid w:val="00D62AA4"/>
    <w:rsid w:val="00D62C69"/>
    <w:rsid w:val="00D62CCB"/>
    <w:rsid w:val="00D62D08"/>
    <w:rsid w:val="00D62DBB"/>
    <w:rsid w:val="00D62DC4"/>
    <w:rsid w:val="00D63015"/>
    <w:rsid w:val="00D63083"/>
    <w:rsid w:val="00D6308E"/>
    <w:rsid w:val="00D63148"/>
    <w:rsid w:val="00D63162"/>
    <w:rsid w:val="00D631DF"/>
    <w:rsid w:val="00D631E0"/>
    <w:rsid w:val="00D632C1"/>
    <w:rsid w:val="00D63438"/>
    <w:rsid w:val="00D6344A"/>
    <w:rsid w:val="00D63465"/>
    <w:rsid w:val="00D634FE"/>
    <w:rsid w:val="00D635BC"/>
    <w:rsid w:val="00D63687"/>
    <w:rsid w:val="00D637C9"/>
    <w:rsid w:val="00D637D4"/>
    <w:rsid w:val="00D638BC"/>
    <w:rsid w:val="00D6394E"/>
    <w:rsid w:val="00D63A2E"/>
    <w:rsid w:val="00D63AAA"/>
    <w:rsid w:val="00D63C96"/>
    <w:rsid w:val="00D63CDB"/>
    <w:rsid w:val="00D63CF1"/>
    <w:rsid w:val="00D63D10"/>
    <w:rsid w:val="00D63DEF"/>
    <w:rsid w:val="00D63E8D"/>
    <w:rsid w:val="00D63EB3"/>
    <w:rsid w:val="00D63EC2"/>
    <w:rsid w:val="00D63FC1"/>
    <w:rsid w:val="00D6411B"/>
    <w:rsid w:val="00D6427B"/>
    <w:rsid w:val="00D642C0"/>
    <w:rsid w:val="00D642F1"/>
    <w:rsid w:val="00D6455A"/>
    <w:rsid w:val="00D64560"/>
    <w:rsid w:val="00D646FB"/>
    <w:rsid w:val="00D64798"/>
    <w:rsid w:val="00D647A1"/>
    <w:rsid w:val="00D647FF"/>
    <w:rsid w:val="00D64934"/>
    <w:rsid w:val="00D64965"/>
    <w:rsid w:val="00D64A42"/>
    <w:rsid w:val="00D64AE6"/>
    <w:rsid w:val="00D64AEE"/>
    <w:rsid w:val="00D64CC4"/>
    <w:rsid w:val="00D64D8F"/>
    <w:rsid w:val="00D65128"/>
    <w:rsid w:val="00D653E4"/>
    <w:rsid w:val="00D653F6"/>
    <w:rsid w:val="00D65427"/>
    <w:rsid w:val="00D65484"/>
    <w:rsid w:val="00D65490"/>
    <w:rsid w:val="00D654C0"/>
    <w:rsid w:val="00D65599"/>
    <w:rsid w:val="00D65684"/>
    <w:rsid w:val="00D65763"/>
    <w:rsid w:val="00D658C1"/>
    <w:rsid w:val="00D659B3"/>
    <w:rsid w:val="00D659C1"/>
    <w:rsid w:val="00D65C98"/>
    <w:rsid w:val="00D65D3D"/>
    <w:rsid w:val="00D65D3F"/>
    <w:rsid w:val="00D65E2B"/>
    <w:rsid w:val="00D65E5B"/>
    <w:rsid w:val="00D65EAB"/>
    <w:rsid w:val="00D65FD2"/>
    <w:rsid w:val="00D6605D"/>
    <w:rsid w:val="00D66068"/>
    <w:rsid w:val="00D660F8"/>
    <w:rsid w:val="00D66161"/>
    <w:rsid w:val="00D66188"/>
    <w:rsid w:val="00D661EA"/>
    <w:rsid w:val="00D66277"/>
    <w:rsid w:val="00D663AC"/>
    <w:rsid w:val="00D66489"/>
    <w:rsid w:val="00D6664F"/>
    <w:rsid w:val="00D6669E"/>
    <w:rsid w:val="00D668F6"/>
    <w:rsid w:val="00D66999"/>
    <w:rsid w:val="00D66A88"/>
    <w:rsid w:val="00D66B4F"/>
    <w:rsid w:val="00D66C1B"/>
    <w:rsid w:val="00D66CF3"/>
    <w:rsid w:val="00D66D93"/>
    <w:rsid w:val="00D66E5C"/>
    <w:rsid w:val="00D66E63"/>
    <w:rsid w:val="00D66F07"/>
    <w:rsid w:val="00D66FFB"/>
    <w:rsid w:val="00D6709D"/>
    <w:rsid w:val="00D670A8"/>
    <w:rsid w:val="00D672C8"/>
    <w:rsid w:val="00D673A2"/>
    <w:rsid w:val="00D673CC"/>
    <w:rsid w:val="00D673DC"/>
    <w:rsid w:val="00D673DE"/>
    <w:rsid w:val="00D67497"/>
    <w:rsid w:val="00D674BA"/>
    <w:rsid w:val="00D675D7"/>
    <w:rsid w:val="00D676CF"/>
    <w:rsid w:val="00D676FD"/>
    <w:rsid w:val="00D67886"/>
    <w:rsid w:val="00D67941"/>
    <w:rsid w:val="00D67AD2"/>
    <w:rsid w:val="00D67B46"/>
    <w:rsid w:val="00D67BA0"/>
    <w:rsid w:val="00D67C1B"/>
    <w:rsid w:val="00D67C90"/>
    <w:rsid w:val="00D67E5C"/>
    <w:rsid w:val="00D67EF3"/>
    <w:rsid w:val="00D67FD7"/>
    <w:rsid w:val="00D70014"/>
    <w:rsid w:val="00D7005A"/>
    <w:rsid w:val="00D70137"/>
    <w:rsid w:val="00D701B4"/>
    <w:rsid w:val="00D701E1"/>
    <w:rsid w:val="00D701FD"/>
    <w:rsid w:val="00D70364"/>
    <w:rsid w:val="00D70506"/>
    <w:rsid w:val="00D70597"/>
    <w:rsid w:val="00D705E7"/>
    <w:rsid w:val="00D7065B"/>
    <w:rsid w:val="00D706CD"/>
    <w:rsid w:val="00D70733"/>
    <w:rsid w:val="00D70802"/>
    <w:rsid w:val="00D7083E"/>
    <w:rsid w:val="00D70840"/>
    <w:rsid w:val="00D70914"/>
    <w:rsid w:val="00D70A14"/>
    <w:rsid w:val="00D70A76"/>
    <w:rsid w:val="00D70B05"/>
    <w:rsid w:val="00D70B46"/>
    <w:rsid w:val="00D70C0B"/>
    <w:rsid w:val="00D70C7A"/>
    <w:rsid w:val="00D70E5D"/>
    <w:rsid w:val="00D70F24"/>
    <w:rsid w:val="00D70FA3"/>
    <w:rsid w:val="00D71051"/>
    <w:rsid w:val="00D712E5"/>
    <w:rsid w:val="00D71307"/>
    <w:rsid w:val="00D71343"/>
    <w:rsid w:val="00D7140A"/>
    <w:rsid w:val="00D715E6"/>
    <w:rsid w:val="00D715E9"/>
    <w:rsid w:val="00D715EE"/>
    <w:rsid w:val="00D71772"/>
    <w:rsid w:val="00D717F0"/>
    <w:rsid w:val="00D718DF"/>
    <w:rsid w:val="00D7195C"/>
    <w:rsid w:val="00D7199B"/>
    <w:rsid w:val="00D71A53"/>
    <w:rsid w:val="00D71B14"/>
    <w:rsid w:val="00D71BE5"/>
    <w:rsid w:val="00D71C4B"/>
    <w:rsid w:val="00D71C7F"/>
    <w:rsid w:val="00D71D47"/>
    <w:rsid w:val="00D71F63"/>
    <w:rsid w:val="00D71F7D"/>
    <w:rsid w:val="00D720B5"/>
    <w:rsid w:val="00D72159"/>
    <w:rsid w:val="00D721CA"/>
    <w:rsid w:val="00D7228A"/>
    <w:rsid w:val="00D72320"/>
    <w:rsid w:val="00D7238E"/>
    <w:rsid w:val="00D72452"/>
    <w:rsid w:val="00D72474"/>
    <w:rsid w:val="00D724F0"/>
    <w:rsid w:val="00D72546"/>
    <w:rsid w:val="00D72555"/>
    <w:rsid w:val="00D725D5"/>
    <w:rsid w:val="00D725DB"/>
    <w:rsid w:val="00D7260C"/>
    <w:rsid w:val="00D72671"/>
    <w:rsid w:val="00D726C9"/>
    <w:rsid w:val="00D72708"/>
    <w:rsid w:val="00D727FD"/>
    <w:rsid w:val="00D72966"/>
    <w:rsid w:val="00D7297E"/>
    <w:rsid w:val="00D72A88"/>
    <w:rsid w:val="00D72A90"/>
    <w:rsid w:val="00D72AC1"/>
    <w:rsid w:val="00D72BFA"/>
    <w:rsid w:val="00D72C40"/>
    <w:rsid w:val="00D72C7B"/>
    <w:rsid w:val="00D72DF3"/>
    <w:rsid w:val="00D72E36"/>
    <w:rsid w:val="00D72F9D"/>
    <w:rsid w:val="00D72FA9"/>
    <w:rsid w:val="00D73009"/>
    <w:rsid w:val="00D7313E"/>
    <w:rsid w:val="00D731C7"/>
    <w:rsid w:val="00D731F0"/>
    <w:rsid w:val="00D732D9"/>
    <w:rsid w:val="00D733DD"/>
    <w:rsid w:val="00D733EC"/>
    <w:rsid w:val="00D73462"/>
    <w:rsid w:val="00D734BA"/>
    <w:rsid w:val="00D734CE"/>
    <w:rsid w:val="00D73743"/>
    <w:rsid w:val="00D737B2"/>
    <w:rsid w:val="00D73903"/>
    <w:rsid w:val="00D7391D"/>
    <w:rsid w:val="00D73937"/>
    <w:rsid w:val="00D73AE2"/>
    <w:rsid w:val="00D73D89"/>
    <w:rsid w:val="00D73EC3"/>
    <w:rsid w:val="00D73FFB"/>
    <w:rsid w:val="00D740C2"/>
    <w:rsid w:val="00D74167"/>
    <w:rsid w:val="00D74281"/>
    <w:rsid w:val="00D74337"/>
    <w:rsid w:val="00D74435"/>
    <w:rsid w:val="00D74468"/>
    <w:rsid w:val="00D744A2"/>
    <w:rsid w:val="00D744C1"/>
    <w:rsid w:val="00D744CA"/>
    <w:rsid w:val="00D744F4"/>
    <w:rsid w:val="00D7453C"/>
    <w:rsid w:val="00D74684"/>
    <w:rsid w:val="00D7488D"/>
    <w:rsid w:val="00D749CE"/>
    <w:rsid w:val="00D74A3C"/>
    <w:rsid w:val="00D74ABD"/>
    <w:rsid w:val="00D74B05"/>
    <w:rsid w:val="00D74B9C"/>
    <w:rsid w:val="00D74BEA"/>
    <w:rsid w:val="00D74D03"/>
    <w:rsid w:val="00D74DD9"/>
    <w:rsid w:val="00D74E2E"/>
    <w:rsid w:val="00D74E5D"/>
    <w:rsid w:val="00D74F0C"/>
    <w:rsid w:val="00D74F2F"/>
    <w:rsid w:val="00D74F7E"/>
    <w:rsid w:val="00D75076"/>
    <w:rsid w:val="00D7507A"/>
    <w:rsid w:val="00D75098"/>
    <w:rsid w:val="00D750CD"/>
    <w:rsid w:val="00D75158"/>
    <w:rsid w:val="00D751E6"/>
    <w:rsid w:val="00D752C1"/>
    <w:rsid w:val="00D753A0"/>
    <w:rsid w:val="00D753B8"/>
    <w:rsid w:val="00D753C3"/>
    <w:rsid w:val="00D753E5"/>
    <w:rsid w:val="00D754BF"/>
    <w:rsid w:val="00D7555C"/>
    <w:rsid w:val="00D7563C"/>
    <w:rsid w:val="00D75789"/>
    <w:rsid w:val="00D757A7"/>
    <w:rsid w:val="00D757EC"/>
    <w:rsid w:val="00D758C7"/>
    <w:rsid w:val="00D759A6"/>
    <w:rsid w:val="00D75A28"/>
    <w:rsid w:val="00D75AE9"/>
    <w:rsid w:val="00D75B10"/>
    <w:rsid w:val="00D75C3B"/>
    <w:rsid w:val="00D75D5B"/>
    <w:rsid w:val="00D75D88"/>
    <w:rsid w:val="00D75D8E"/>
    <w:rsid w:val="00D75E9C"/>
    <w:rsid w:val="00D75F7C"/>
    <w:rsid w:val="00D75FE7"/>
    <w:rsid w:val="00D7601E"/>
    <w:rsid w:val="00D76114"/>
    <w:rsid w:val="00D7611F"/>
    <w:rsid w:val="00D76154"/>
    <w:rsid w:val="00D7641D"/>
    <w:rsid w:val="00D7651B"/>
    <w:rsid w:val="00D76654"/>
    <w:rsid w:val="00D76655"/>
    <w:rsid w:val="00D767A2"/>
    <w:rsid w:val="00D7681F"/>
    <w:rsid w:val="00D768D3"/>
    <w:rsid w:val="00D768DE"/>
    <w:rsid w:val="00D768FD"/>
    <w:rsid w:val="00D76A02"/>
    <w:rsid w:val="00D76A9E"/>
    <w:rsid w:val="00D76AD7"/>
    <w:rsid w:val="00D76AD9"/>
    <w:rsid w:val="00D76C66"/>
    <w:rsid w:val="00D76CCA"/>
    <w:rsid w:val="00D76D8F"/>
    <w:rsid w:val="00D76DD1"/>
    <w:rsid w:val="00D76EC4"/>
    <w:rsid w:val="00D7703C"/>
    <w:rsid w:val="00D7709B"/>
    <w:rsid w:val="00D77189"/>
    <w:rsid w:val="00D771B6"/>
    <w:rsid w:val="00D7736A"/>
    <w:rsid w:val="00D7737A"/>
    <w:rsid w:val="00D7738C"/>
    <w:rsid w:val="00D773D9"/>
    <w:rsid w:val="00D773E0"/>
    <w:rsid w:val="00D773F4"/>
    <w:rsid w:val="00D7742B"/>
    <w:rsid w:val="00D77527"/>
    <w:rsid w:val="00D7773D"/>
    <w:rsid w:val="00D77796"/>
    <w:rsid w:val="00D777B6"/>
    <w:rsid w:val="00D77876"/>
    <w:rsid w:val="00D7788F"/>
    <w:rsid w:val="00D77982"/>
    <w:rsid w:val="00D77A70"/>
    <w:rsid w:val="00D77C2D"/>
    <w:rsid w:val="00D77C46"/>
    <w:rsid w:val="00D77DF9"/>
    <w:rsid w:val="00D77DFA"/>
    <w:rsid w:val="00D77E43"/>
    <w:rsid w:val="00D77E66"/>
    <w:rsid w:val="00D77F08"/>
    <w:rsid w:val="00D800DF"/>
    <w:rsid w:val="00D80109"/>
    <w:rsid w:val="00D8015F"/>
    <w:rsid w:val="00D8029A"/>
    <w:rsid w:val="00D80388"/>
    <w:rsid w:val="00D803E8"/>
    <w:rsid w:val="00D8047C"/>
    <w:rsid w:val="00D806A6"/>
    <w:rsid w:val="00D806B7"/>
    <w:rsid w:val="00D80755"/>
    <w:rsid w:val="00D8078E"/>
    <w:rsid w:val="00D809E5"/>
    <w:rsid w:val="00D80C1C"/>
    <w:rsid w:val="00D80C22"/>
    <w:rsid w:val="00D80D39"/>
    <w:rsid w:val="00D80D55"/>
    <w:rsid w:val="00D80D77"/>
    <w:rsid w:val="00D80E55"/>
    <w:rsid w:val="00D80F45"/>
    <w:rsid w:val="00D80F68"/>
    <w:rsid w:val="00D81009"/>
    <w:rsid w:val="00D81078"/>
    <w:rsid w:val="00D81259"/>
    <w:rsid w:val="00D81281"/>
    <w:rsid w:val="00D812EB"/>
    <w:rsid w:val="00D812EC"/>
    <w:rsid w:val="00D81454"/>
    <w:rsid w:val="00D8155C"/>
    <w:rsid w:val="00D81593"/>
    <w:rsid w:val="00D8161F"/>
    <w:rsid w:val="00D8162B"/>
    <w:rsid w:val="00D816A6"/>
    <w:rsid w:val="00D816C1"/>
    <w:rsid w:val="00D8171C"/>
    <w:rsid w:val="00D818BF"/>
    <w:rsid w:val="00D818C4"/>
    <w:rsid w:val="00D818EC"/>
    <w:rsid w:val="00D819B4"/>
    <w:rsid w:val="00D81B02"/>
    <w:rsid w:val="00D81B4E"/>
    <w:rsid w:val="00D81B7E"/>
    <w:rsid w:val="00D81BAC"/>
    <w:rsid w:val="00D81D80"/>
    <w:rsid w:val="00D81DAC"/>
    <w:rsid w:val="00D81E18"/>
    <w:rsid w:val="00D81E2D"/>
    <w:rsid w:val="00D81E56"/>
    <w:rsid w:val="00D81EB6"/>
    <w:rsid w:val="00D81F06"/>
    <w:rsid w:val="00D81F1E"/>
    <w:rsid w:val="00D81F57"/>
    <w:rsid w:val="00D820BD"/>
    <w:rsid w:val="00D82123"/>
    <w:rsid w:val="00D8221C"/>
    <w:rsid w:val="00D82235"/>
    <w:rsid w:val="00D82269"/>
    <w:rsid w:val="00D822A9"/>
    <w:rsid w:val="00D82350"/>
    <w:rsid w:val="00D82360"/>
    <w:rsid w:val="00D8238E"/>
    <w:rsid w:val="00D823AF"/>
    <w:rsid w:val="00D824C0"/>
    <w:rsid w:val="00D825F6"/>
    <w:rsid w:val="00D82626"/>
    <w:rsid w:val="00D826F5"/>
    <w:rsid w:val="00D82744"/>
    <w:rsid w:val="00D82748"/>
    <w:rsid w:val="00D827A8"/>
    <w:rsid w:val="00D82896"/>
    <w:rsid w:val="00D828D7"/>
    <w:rsid w:val="00D82A96"/>
    <w:rsid w:val="00D82AE2"/>
    <w:rsid w:val="00D82C08"/>
    <w:rsid w:val="00D82C19"/>
    <w:rsid w:val="00D82C83"/>
    <w:rsid w:val="00D82CB7"/>
    <w:rsid w:val="00D82D77"/>
    <w:rsid w:val="00D82E1E"/>
    <w:rsid w:val="00D82E3D"/>
    <w:rsid w:val="00D8304D"/>
    <w:rsid w:val="00D83155"/>
    <w:rsid w:val="00D8320C"/>
    <w:rsid w:val="00D83343"/>
    <w:rsid w:val="00D83355"/>
    <w:rsid w:val="00D833FE"/>
    <w:rsid w:val="00D8342B"/>
    <w:rsid w:val="00D834D9"/>
    <w:rsid w:val="00D834E3"/>
    <w:rsid w:val="00D834F7"/>
    <w:rsid w:val="00D83518"/>
    <w:rsid w:val="00D8385D"/>
    <w:rsid w:val="00D838CC"/>
    <w:rsid w:val="00D83A21"/>
    <w:rsid w:val="00D83B4E"/>
    <w:rsid w:val="00D83B9F"/>
    <w:rsid w:val="00D83C0B"/>
    <w:rsid w:val="00D83C2D"/>
    <w:rsid w:val="00D83CD8"/>
    <w:rsid w:val="00D83E58"/>
    <w:rsid w:val="00D83EAA"/>
    <w:rsid w:val="00D83ED5"/>
    <w:rsid w:val="00D83F45"/>
    <w:rsid w:val="00D83F48"/>
    <w:rsid w:val="00D84080"/>
    <w:rsid w:val="00D84147"/>
    <w:rsid w:val="00D84252"/>
    <w:rsid w:val="00D842AE"/>
    <w:rsid w:val="00D84344"/>
    <w:rsid w:val="00D8441B"/>
    <w:rsid w:val="00D8446E"/>
    <w:rsid w:val="00D844CA"/>
    <w:rsid w:val="00D844F7"/>
    <w:rsid w:val="00D84517"/>
    <w:rsid w:val="00D8454E"/>
    <w:rsid w:val="00D84559"/>
    <w:rsid w:val="00D845C8"/>
    <w:rsid w:val="00D845F0"/>
    <w:rsid w:val="00D84630"/>
    <w:rsid w:val="00D84666"/>
    <w:rsid w:val="00D84808"/>
    <w:rsid w:val="00D849CF"/>
    <w:rsid w:val="00D849EA"/>
    <w:rsid w:val="00D84B01"/>
    <w:rsid w:val="00D84B3C"/>
    <w:rsid w:val="00D84B54"/>
    <w:rsid w:val="00D84B7E"/>
    <w:rsid w:val="00D84BB9"/>
    <w:rsid w:val="00D84BCA"/>
    <w:rsid w:val="00D84BD9"/>
    <w:rsid w:val="00D84CF3"/>
    <w:rsid w:val="00D84EC4"/>
    <w:rsid w:val="00D850C9"/>
    <w:rsid w:val="00D850DC"/>
    <w:rsid w:val="00D85183"/>
    <w:rsid w:val="00D8531E"/>
    <w:rsid w:val="00D8537B"/>
    <w:rsid w:val="00D85459"/>
    <w:rsid w:val="00D8549E"/>
    <w:rsid w:val="00D8552C"/>
    <w:rsid w:val="00D85571"/>
    <w:rsid w:val="00D855C8"/>
    <w:rsid w:val="00D857B0"/>
    <w:rsid w:val="00D857EF"/>
    <w:rsid w:val="00D8590A"/>
    <w:rsid w:val="00D859F4"/>
    <w:rsid w:val="00D85A2F"/>
    <w:rsid w:val="00D85A72"/>
    <w:rsid w:val="00D85B64"/>
    <w:rsid w:val="00D85D0A"/>
    <w:rsid w:val="00D85EB1"/>
    <w:rsid w:val="00D861BC"/>
    <w:rsid w:val="00D8622D"/>
    <w:rsid w:val="00D8628A"/>
    <w:rsid w:val="00D8633A"/>
    <w:rsid w:val="00D8660A"/>
    <w:rsid w:val="00D8667C"/>
    <w:rsid w:val="00D8671E"/>
    <w:rsid w:val="00D86784"/>
    <w:rsid w:val="00D867BD"/>
    <w:rsid w:val="00D867C7"/>
    <w:rsid w:val="00D869AF"/>
    <w:rsid w:val="00D869E0"/>
    <w:rsid w:val="00D86AEE"/>
    <w:rsid w:val="00D86C11"/>
    <w:rsid w:val="00D86C1C"/>
    <w:rsid w:val="00D86C71"/>
    <w:rsid w:val="00D86E1B"/>
    <w:rsid w:val="00D86E1C"/>
    <w:rsid w:val="00D86F5D"/>
    <w:rsid w:val="00D86FC0"/>
    <w:rsid w:val="00D86FFB"/>
    <w:rsid w:val="00D8701E"/>
    <w:rsid w:val="00D870DA"/>
    <w:rsid w:val="00D870E5"/>
    <w:rsid w:val="00D8721E"/>
    <w:rsid w:val="00D8723A"/>
    <w:rsid w:val="00D872AC"/>
    <w:rsid w:val="00D87304"/>
    <w:rsid w:val="00D87380"/>
    <w:rsid w:val="00D874B9"/>
    <w:rsid w:val="00D874E5"/>
    <w:rsid w:val="00D87520"/>
    <w:rsid w:val="00D87585"/>
    <w:rsid w:val="00D875A8"/>
    <w:rsid w:val="00D8764F"/>
    <w:rsid w:val="00D87874"/>
    <w:rsid w:val="00D878B1"/>
    <w:rsid w:val="00D87954"/>
    <w:rsid w:val="00D87976"/>
    <w:rsid w:val="00D879B8"/>
    <w:rsid w:val="00D87A6B"/>
    <w:rsid w:val="00D87AC2"/>
    <w:rsid w:val="00D87B00"/>
    <w:rsid w:val="00D87B47"/>
    <w:rsid w:val="00D87B8B"/>
    <w:rsid w:val="00D87B92"/>
    <w:rsid w:val="00D87BBB"/>
    <w:rsid w:val="00D87C36"/>
    <w:rsid w:val="00D87C66"/>
    <w:rsid w:val="00D87CCB"/>
    <w:rsid w:val="00D87D23"/>
    <w:rsid w:val="00D87D40"/>
    <w:rsid w:val="00D87DA5"/>
    <w:rsid w:val="00D87E14"/>
    <w:rsid w:val="00D87EF6"/>
    <w:rsid w:val="00D87F5B"/>
    <w:rsid w:val="00D87FFC"/>
    <w:rsid w:val="00D900DA"/>
    <w:rsid w:val="00D901B4"/>
    <w:rsid w:val="00D90272"/>
    <w:rsid w:val="00D9029A"/>
    <w:rsid w:val="00D902EA"/>
    <w:rsid w:val="00D9036C"/>
    <w:rsid w:val="00D905DE"/>
    <w:rsid w:val="00D905FB"/>
    <w:rsid w:val="00D90601"/>
    <w:rsid w:val="00D906A5"/>
    <w:rsid w:val="00D906B5"/>
    <w:rsid w:val="00D9075D"/>
    <w:rsid w:val="00D90981"/>
    <w:rsid w:val="00D90A1A"/>
    <w:rsid w:val="00D90B33"/>
    <w:rsid w:val="00D90B6F"/>
    <w:rsid w:val="00D90BCE"/>
    <w:rsid w:val="00D90C9B"/>
    <w:rsid w:val="00D90CA9"/>
    <w:rsid w:val="00D90CBA"/>
    <w:rsid w:val="00D90D2A"/>
    <w:rsid w:val="00D90D66"/>
    <w:rsid w:val="00D90E35"/>
    <w:rsid w:val="00D90ED2"/>
    <w:rsid w:val="00D90F3C"/>
    <w:rsid w:val="00D90F65"/>
    <w:rsid w:val="00D90FDB"/>
    <w:rsid w:val="00D90FEF"/>
    <w:rsid w:val="00D91003"/>
    <w:rsid w:val="00D91026"/>
    <w:rsid w:val="00D91036"/>
    <w:rsid w:val="00D911BD"/>
    <w:rsid w:val="00D91217"/>
    <w:rsid w:val="00D9128D"/>
    <w:rsid w:val="00D91371"/>
    <w:rsid w:val="00D913DD"/>
    <w:rsid w:val="00D913F5"/>
    <w:rsid w:val="00D914DB"/>
    <w:rsid w:val="00D914F7"/>
    <w:rsid w:val="00D91628"/>
    <w:rsid w:val="00D917A1"/>
    <w:rsid w:val="00D917D5"/>
    <w:rsid w:val="00D91843"/>
    <w:rsid w:val="00D919A5"/>
    <w:rsid w:val="00D91A13"/>
    <w:rsid w:val="00D91B9B"/>
    <w:rsid w:val="00D91BA6"/>
    <w:rsid w:val="00D91BC6"/>
    <w:rsid w:val="00D91C20"/>
    <w:rsid w:val="00D91CE2"/>
    <w:rsid w:val="00D91CE6"/>
    <w:rsid w:val="00D91D33"/>
    <w:rsid w:val="00D91E6A"/>
    <w:rsid w:val="00D91EFF"/>
    <w:rsid w:val="00D91F28"/>
    <w:rsid w:val="00D91FBB"/>
    <w:rsid w:val="00D92045"/>
    <w:rsid w:val="00D92059"/>
    <w:rsid w:val="00D920D8"/>
    <w:rsid w:val="00D92149"/>
    <w:rsid w:val="00D92213"/>
    <w:rsid w:val="00D9221E"/>
    <w:rsid w:val="00D92221"/>
    <w:rsid w:val="00D92236"/>
    <w:rsid w:val="00D922F6"/>
    <w:rsid w:val="00D9231F"/>
    <w:rsid w:val="00D9232D"/>
    <w:rsid w:val="00D9233E"/>
    <w:rsid w:val="00D92435"/>
    <w:rsid w:val="00D92473"/>
    <w:rsid w:val="00D9247F"/>
    <w:rsid w:val="00D924ED"/>
    <w:rsid w:val="00D92582"/>
    <w:rsid w:val="00D92637"/>
    <w:rsid w:val="00D926AB"/>
    <w:rsid w:val="00D927FD"/>
    <w:rsid w:val="00D92801"/>
    <w:rsid w:val="00D92817"/>
    <w:rsid w:val="00D928CD"/>
    <w:rsid w:val="00D928EF"/>
    <w:rsid w:val="00D92A2C"/>
    <w:rsid w:val="00D92AE9"/>
    <w:rsid w:val="00D92AF7"/>
    <w:rsid w:val="00D92BE7"/>
    <w:rsid w:val="00D92CFA"/>
    <w:rsid w:val="00D92D06"/>
    <w:rsid w:val="00D92E5C"/>
    <w:rsid w:val="00D92E6E"/>
    <w:rsid w:val="00D92F69"/>
    <w:rsid w:val="00D92FB5"/>
    <w:rsid w:val="00D93006"/>
    <w:rsid w:val="00D93093"/>
    <w:rsid w:val="00D9335A"/>
    <w:rsid w:val="00D93408"/>
    <w:rsid w:val="00D9342A"/>
    <w:rsid w:val="00D936BF"/>
    <w:rsid w:val="00D93787"/>
    <w:rsid w:val="00D937C2"/>
    <w:rsid w:val="00D9380F"/>
    <w:rsid w:val="00D938C1"/>
    <w:rsid w:val="00D9390E"/>
    <w:rsid w:val="00D93A84"/>
    <w:rsid w:val="00D93AC0"/>
    <w:rsid w:val="00D93B12"/>
    <w:rsid w:val="00D93D7D"/>
    <w:rsid w:val="00D93D82"/>
    <w:rsid w:val="00D93DA0"/>
    <w:rsid w:val="00D93DA4"/>
    <w:rsid w:val="00D93DF2"/>
    <w:rsid w:val="00D93E49"/>
    <w:rsid w:val="00D93EAE"/>
    <w:rsid w:val="00D93F3A"/>
    <w:rsid w:val="00D9403A"/>
    <w:rsid w:val="00D94051"/>
    <w:rsid w:val="00D94123"/>
    <w:rsid w:val="00D9415F"/>
    <w:rsid w:val="00D9419E"/>
    <w:rsid w:val="00D94269"/>
    <w:rsid w:val="00D942B8"/>
    <w:rsid w:val="00D943E7"/>
    <w:rsid w:val="00D944A7"/>
    <w:rsid w:val="00D9450E"/>
    <w:rsid w:val="00D945A6"/>
    <w:rsid w:val="00D94604"/>
    <w:rsid w:val="00D946C4"/>
    <w:rsid w:val="00D946CC"/>
    <w:rsid w:val="00D947C3"/>
    <w:rsid w:val="00D947E4"/>
    <w:rsid w:val="00D94800"/>
    <w:rsid w:val="00D9481C"/>
    <w:rsid w:val="00D9482C"/>
    <w:rsid w:val="00D94992"/>
    <w:rsid w:val="00D949CE"/>
    <w:rsid w:val="00D94A1A"/>
    <w:rsid w:val="00D94A81"/>
    <w:rsid w:val="00D94B01"/>
    <w:rsid w:val="00D94B55"/>
    <w:rsid w:val="00D94C08"/>
    <w:rsid w:val="00D94D62"/>
    <w:rsid w:val="00D94E80"/>
    <w:rsid w:val="00D94EBE"/>
    <w:rsid w:val="00D950F1"/>
    <w:rsid w:val="00D950F9"/>
    <w:rsid w:val="00D95297"/>
    <w:rsid w:val="00D95348"/>
    <w:rsid w:val="00D95508"/>
    <w:rsid w:val="00D956C8"/>
    <w:rsid w:val="00D956D1"/>
    <w:rsid w:val="00D956ED"/>
    <w:rsid w:val="00D9582B"/>
    <w:rsid w:val="00D958DF"/>
    <w:rsid w:val="00D95932"/>
    <w:rsid w:val="00D95980"/>
    <w:rsid w:val="00D95983"/>
    <w:rsid w:val="00D959BB"/>
    <w:rsid w:val="00D95A0C"/>
    <w:rsid w:val="00D95A5C"/>
    <w:rsid w:val="00D95A7F"/>
    <w:rsid w:val="00D95AB0"/>
    <w:rsid w:val="00D95AB6"/>
    <w:rsid w:val="00D95B2A"/>
    <w:rsid w:val="00D95C03"/>
    <w:rsid w:val="00D95C40"/>
    <w:rsid w:val="00D95C5F"/>
    <w:rsid w:val="00D95CB9"/>
    <w:rsid w:val="00D95D93"/>
    <w:rsid w:val="00D95DA8"/>
    <w:rsid w:val="00D95FCB"/>
    <w:rsid w:val="00D96033"/>
    <w:rsid w:val="00D96044"/>
    <w:rsid w:val="00D9606E"/>
    <w:rsid w:val="00D96114"/>
    <w:rsid w:val="00D961C8"/>
    <w:rsid w:val="00D9620F"/>
    <w:rsid w:val="00D962A7"/>
    <w:rsid w:val="00D962B9"/>
    <w:rsid w:val="00D96347"/>
    <w:rsid w:val="00D9636E"/>
    <w:rsid w:val="00D963A8"/>
    <w:rsid w:val="00D963C4"/>
    <w:rsid w:val="00D96463"/>
    <w:rsid w:val="00D9650E"/>
    <w:rsid w:val="00D96571"/>
    <w:rsid w:val="00D9664A"/>
    <w:rsid w:val="00D96655"/>
    <w:rsid w:val="00D96687"/>
    <w:rsid w:val="00D966B6"/>
    <w:rsid w:val="00D9691B"/>
    <w:rsid w:val="00D9692F"/>
    <w:rsid w:val="00D96A45"/>
    <w:rsid w:val="00D96A7F"/>
    <w:rsid w:val="00D96B3A"/>
    <w:rsid w:val="00D96B56"/>
    <w:rsid w:val="00D96CA8"/>
    <w:rsid w:val="00D96CCA"/>
    <w:rsid w:val="00D96DEC"/>
    <w:rsid w:val="00D96F86"/>
    <w:rsid w:val="00D96F8C"/>
    <w:rsid w:val="00D97042"/>
    <w:rsid w:val="00D9707B"/>
    <w:rsid w:val="00D970B6"/>
    <w:rsid w:val="00D9713D"/>
    <w:rsid w:val="00D97184"/>
    <w:rsid w:val="00D971AE"/>
    <w:rsid w:val="00D971DD"/>
    <w:rsid w:val="00D9735F"/>
    <w:rsid w:val="00D9738F"/>
    <w:rsid w:val="00D974EF"/>
    <w:rsid w:val="00D9752E"/>
    <w:rsid w:val="00D975DF"/>
    <w:rsid w:val="00D97653"/>
    <w:rsid w:val="00D9767D"/>
    <w:rsid w:val="00D97829"/>
    <w:rsid w:val="00D97830"/>
    <w:rsid w:val="00D97880"/>
    <w:rsid w:val="00D9794D"/>
    <w:rsid w:val="00D97955"/>
    <w:rsid w:val="00D97A09"/>
    <w:rsid w:val="00D97A1A"/>
    <w:rsid w:val="00D97B50"/>
    <w:rsid w:val="00D97BB6"/>
    <w:rsid w:val="00D97C26"/>
    <w:rsid w:val="00D97C37"/>
    <w:rsid w:val="00D97C60"/>
    <w:rsid w:val="00D97C95"/>
    <w:rsid w:val="00D97DF0"/>
    <w:rsid w:val="00D97E00"/>
    <w:rsid w:val="00D97E31"/>
    <w:rsid w:val="00D97F26"/>
    <w:rsid w:val="00D97F28"/>
    <w:rsid w:val="00DA0079"/>
    <w:rsid w:val="00DA00AD"/>
    <w:rsid w:val="00DA00B4"/>
    <w:rsid w:val="00DA01C5"/>
    <w:rsid w:val="00DA0293"/>
    <w:rsid w:val="00DA02D7"/>
    <w:rsid w:val="00DA053C"/>
    <w:rsid w:val="00DA0542"/>
    <w:rsid w:val="00DA05BC"/>
    <w:rsid w:val="00DA0718"/>
    <w:rsid w:val="00DA0754"/>
    <w:rsid w:val="00DA086D"/>
    <w:rsid w:val="00DA09F9"/>
    <w:rsid w:val="00DA0A50"/>
    <w:rsid w:val="00DA0AA7"/>
    <w:rsid w:val="00DA0B12"/>
    <w:rsid w:val="00DA0B2F"/>
    <w:rsid w:val="00DA0B5A"/>
    <w:rsid w:val="00DA0CE5"/>
    <w:rsid w:val="00DA0D00"/>
    <w:rsid w:val="00DA0DF6"/>
    <w:rsid w:val="00DA0E2E"/>
    <w:rsid w:val="00DA0F39"/>
    <w:rsid w:val="00DA102D"/>
    <w:rsid w:val="00DA104C"/>
    <w:rsid w:val="00DA10E9"/>
    <w:rsid w:val="00DA12A2"/>
    <w:rsid w:val="00DA12D9"/>
    <w:rsid w:val="00DA1386"/>
    <w:rsid w:val="00DA140C"/>
    <w:rsid w:val="00DA148E"/>
    <w:rsid w:val="00DA1508"/>
    <w:rsid w:val="00DA15F9"/>
    <w:rsid w:val="00DA160D"/>
    <w:rsid w:val="00DA1892"/>
    <w:rsid w:val="00DA1967"/>
    <w:rsid w:val="00DA1973"/>
    <w:rsid w:val="00DA19E3"/>
    <w:rsid w:val="00DA1AA9"/>
    <w:rsid w:val="00DA1BF9"/>
    <w:rsid w:val="00DA1C04"/>
    <w:rsid w:val="00DA1C21"/>
    <w:rsid w:val="00DA1CB5"/>
    <w:rsid w:val="00DA1E1E"/>
    <w:rsid w:val="00DA1E45"/>
    <w:rsid w:val="00DA1EEE"/>
    <w:rsid w:val="00DA1F14"/>
    <w:rsid w:val="00DA1FA5"/>
    <w:rsid w:val="00DA2045"/>
    <w:rsid w:val="00DA2089"/>
    <w:rsid w:val="00DA2150"/>
    <w:rsid w:val="00DA23DA"/>
    <w:rsid w:val="00DA2498"/>
    <w:rsid w:val="00DA24A4"/>
    <w:rsid w:val="00DA2527"/>
    <w:rsid w:val="00DA2532"/>
    <w:rsid w:val="00DA2563"/>
    <w:rsid w:val="00DA25C2"/>
    <w:rsid w:val="00DA265D"/>
    <w:rsid w:val="00DA27BE"/>
    <w:rsid w:val="00DA282B"/>
    <w:rsid w:val="00DA2A37"/>
    <w:rsid w:val="00DA2A83"/>
    <w:rsid w:val="00DA2AE1"/>
    <w:rsid w:val="00DA2B91"/>
    <w:rsid w:val="00DA2BDD"/>
    <w:rsid w:val="00DA2BE5"/>
    <w:rsid w:val="00DA2C9A"/>
    <w:rsid w:val="00DA2D8D"/>
    <w:rsid w:val="00DA2FE3"/>
    <w:rsid w:val="00DA2FE7"/>
    <w:rsid w:val="00DA3055"/>
    <w:rsid w:val="00DA31B6"/>
    <w:rsid w:val="00DA322D"/>
    <w:rsid w:val="00DA325B"/>
    <w:rsid w:val="00DA32E5"/>
    <w:rsid w:val="00DA3350"/>
    <w:rsid w:val="00DA3403"/>
    <w:rsid w:val="00DA3416"/>
    <w:rsid w:val="00DA34F3"/>
    <w:rsid w:val="00DA366C"/>
    <w:rsid w:val="00DA36DD"/>
    <w:rsid w:val="00DA36EF"/>
    <w:rsid w:val="00DA3830"/>
    <w:rsid w:val="00DA38A2"/>
    <w:rsid w:val="00DA390B"/>
    <w:rsid w:val="00DA3929"/>
    <w:rsid w:val="00DA3958"/>
    <w:rsid w:val="00DA396C"/>
    <w:rsid w:val="00DA39D9"/>
    <w:rsid w:val="00DA3A27"/>
    <w:rsid w:val="00DA3A6C"/>
    <w:rsid w:val="00DA3A6D"/>
    <w:rsid w:val="00DA3AD2"/>
    <w:rsid w:val="00DA3CBF"/>
    <w:rsid w:val="00DA3E7B"/>
    <w:rsid w:val="00DA3E90"/>
    <w:rsid w:val="00DA3F9C"/>
    <w:rsid w:val="00DA4036"/>
    <w:rsid w:val="00DA4079"/>
    <w:rsid w:val="00DA40A5"/>
    <w:rsid w:val="00DA4133"/>
    <w:rsid w:val="00DA4209"/>
    <w:rsid w:val="00DA4365"/>
    <w:rsid w:val="00DA4434"/>
    <w:rsid w:val="00DA44B4"/>
    <w:rsid w:val="00DA454C"/>
    <w:rsid w:val="00DA4594"/>
    <w:rsid w:val="00DA46CF"/>
    <w:rsid w:val="00DA4769"/>
    <w:rsid w:val="00DA4837"/>
    <w:rsid w:val="00DA495B"/>
    <w:rsid w:val="00DA49E7"/>
    <w:rsid w:val="00DA4AA4"/>
    <w:rsid w:val="00DA4ACE"/>
    <w:rsid w:val="00DA4DEA"/>
    <w:rsid w:val="00DA4EA8"/>
    <w:rsid w:val="00DA4EF8"/>
    <w:rsid w:val="00DA4F39"/>
    <w:rsid w:val="00DA4FC3"/>
    <w:rsid w:val="00DA5028"/>
    <w:rsid w:val="00DA50A0"/>
    <w:rsid w:val="00DA521F"/>
    <w:rsid w:val="00DA535E"/>
    <w:rsid w:val="00DA53EF"/>
    <w:rsid w:val="00DA5486"/>
    <w:rsid w:val="00DA55E5"/>
    <w:rsid w:val="00DA5606"/>
    <w:rsid w:val="00DA585C"/>
    <w:rsid w:val="00DA5918"/>
    <w:rsid w:val="00DA5990"/>
    <w:rsid w:val="00DA5A21"/>
    <w:rsid w:val="00DA5A59"/>
    <w:rsid w:val="00DA5AB8"/>
    <w:rsid w:val="00DA5AD3"/>
    <w:rsid w:val="00DA5C36"/>
    <w:rsid w:val="00DA5DD0"/>
    <w:rsid w:val="00DA5DF2"/>
    <w:rsid w:val="00DA6005"/>
    <w:rsid w:val="00DA60FE"/>
    <w:rsid w:val="00DA6120"/>
    <w:rsid w:val="00DA613B"/>
    <w:rsid w:val="00DA6140"/>
    <w:rsid w:val="00DA614B"/>
    <w:rsid w:val="00DA61E8"/>
    <w:rsid w:val="00DA62DB"/>
    <w:rsid w:val="00DA6366"/>
    <w:rsid w:val="00DA63A5"/>
    <w:rsid w:val="00DA63A6"/>
    <w:rsid w:val="00DA63C1"/>
    <w:rsid w:val="00DA64A1"/>
    <w:rsid w:val="00DA64A5"/>
    <w:rsid w:val="00DA64C1"/>
    <w:rsid w:val="00DA65B3"/>
    <w:rsid w:val="00DA6687"/>
    <w:rsid w:val="00DA66EF"/>
    <w:rsid w:val="00DA6707"/>
    <w:rsid w:val="00DA679B"/>
    <w:rsid w:val="00DA6819"/>
    <w:rsid w:val="00DA69EA"/>
    <w:rsid w:val="00DA6A20"/>
    <w:rsid w:val="00DA6A42"/>
    <w:rsid w:val="00DA6A8E"/>
    <w:rsid w:val="00DA6AAA"/>
    <w:rsid w:val="00DA6CA2"/>
    <w:rsid w:val="00DA6DBD"/>
    <w:rsid w:val="00DA6E6D"/>
    <w:rsid w:val="00DA6ED8"/>
    <w:rsid w:val="00DA6FA4"/>
    <w:rsid w:val="00DA704B"/>
    <w:rsid w:val="00DA7078"/>
    <w:rsid w:val="00DA7095"/>
    <w:rsid w:val="00DA70CC"/>
    <w:rsid w:val="00DA7233"/>
    <w:rsid w:val="00DA727B"/>
    <w:rsid w:val="00DA7297"/>
    <w:rsid w:val="00DA7367"/>
    <w:rsid w:val="00DA7382"/>
    <w:rsid w:val="00DA73A0"/>
    <w:rsid w:val="00DA73B6"/>
    <w:rsid w:val="00DA73D3"/>
    <w:rsid w:val="00DA7448"/>
    <w:rsid w:val="00DA75BD"/>
    <w:rsid w:val="00DA77A5"/>
    <w:rsid w:val="00DA77BA"/>
    <w:rsid w:val="00DA77FA"/>
    <w:rsid w:val="00DA78FC"/>
    <w:rsid w:val="00DA79C1"/>
    <w:rsid w:val="00DA7A2D"/>
    <w:rsid w:val="00DA7BA7"/>
    <w:rsid w:val="00DA7CD9"/>
    <w:rsid w:val="00DA7CF6"/>
    <w:rsid w:val="00DA7E24"/>
    <w:rsid w:val="00DA7FCB"/>
    <w:rsid w:val="00DB0198"/>
    <w:rsid w:val="00DB0209"/>
    <w:rsid w:val="00DB025E"/>
    <w:rsid w:val="00DB026C"/>
    <w:rsid w:val="00DB0273"/>
    <w:rsid w:val="00DB02C6"/>
    <w:rsid w:val="00DB02E4"/>
    <w:rsid w:val="00DB038B"/>
    <w:rsid w:val="00DB0452"/>
    <w:rsid w:val="00DB0473"/>
    <w:rsid w:val="00DB049E"/>
    <w:rsid w:val="00DB0536"/>
    <w:rsid w:val="00DB0564"/>
    <w:rsid w:val="00DB05ED"/>
    <w:rsid w:val="00DB064C"/>
    <w:rsid w:val="00DB0719"/>
    <w:rsid w:val="00DB07C6"/>
    <w:rsid w:val="00DB0897"/>
    <w:rsid w:val="00DB0956"/>
    <w:rsid w:val="00DB0AEA"/>
    <w:rsid w:val="00DB0B13"/>
    <w:rsid w:val="00DB0B1C"/>
    <w:rsid w:val="00DB0B1D"/>
    <w:rsid w:val="00DB0B9A"/>
    <w:rsid w:val="00DB0BE5"/>
    <w:rsid w:val="00DB0C42"/>
    <w:rsid w:val="00DB0D7A"/>
    <w:rsid w:val="00DB0DCC"/>
    <w:rsid w:val="00DB0E3F"/>
    <w:rsid w:val="00DB0EE4"/>
    <w:rsid w:val="00DB0F00"/>
    <w:rsid w:val="00DB0F09"/>
    <w:rsid w:val="00DB0F26"/>
    <w:rsid w:val="00DB0FAA"/>
    <w:rsid w:val="00DB1030"/>
    <w:rsid w:val="00DB10AB"/>
    <w:rsid w:val="00DB1104"/>
    <w:rsid w:val="00DB1239"/>
    <w:rsid w:val="00DB1357"/>
    <w:rsid w:val="00DB13BE"/>
    <w:rsid w:val="00DB1626"/>
    <w:rsid w:val="00DB18D6"/>
    <w:rsid w:val="00DB1A09"/>
    <w:rsid w:val="00DB1AB1"/>
    <w:rsid w:val="00DB1AD8"/>
    <w:rsid w:val="00DB1B1B"/>
    <w:rsid w:val="00DB1BDF"/>
    <w:rsid w:val="00DB1C28"/>
    <w:rsid w:val="00DB1D56"/>
    <w:rsid w:val="00DB1EDC"/>
    <w:rsid w:val="00DB1FA5"/>
    <w:rsid w:val="00DB2056"/>
    <w:rsid w:val="00DB2073"/>
    <w:rsid w:val="00DB2092"/>
    <w:rsid w:val="00DB215C"/>
    <w:rsid w:val="00DB21ED"/>
    <w:rsid w:val="00DB2298"/>
    <w:rsid w:val="00DB2341"/>
    <w:rsid w:val="00DB23B5"/>
    <w:rsid w:val="00DB23E2"/>
    <w:rsid w:val="00DB2540"/>
    <w:rsid w:val="00DB25E7"/>
    <w:rsid w:val="00DB2636"/>
    <w:rsid w:val="00DB2803"/>
    <w:rsid w:val="00DB2863"/>
    <w:rsid w:val="00DB289A"/>
    <w:rsid w:val="00DB29A2"/>
    <w:rsid w:val="00DB29CF"/>
    <w:rsid w:val="00DB29E4"/>
    <w:rsid w:val="00DB29F4"/>
    <w:rsid w:val="00DB2AA4"/>
    <w:rsid w:val="00DB2B6A"/>
    <w:rsid w:val="00DB2BB0"/>
    <w:rsid w:val="00DB2BE6"/>
    <w:rsid w:val="00DB2E05"/>
    <w:rsid w:val="00DB2E4A"/>
    <w:rsid w:val="00DB2E77"/>
    <w:rsid w:val="00DB2E95"/>
    <w:rsid w:val="00DB2EF3"/>
    <w:rsid w:val="00DB2F68"/>
    <w:rsid w:val="00DB310F"/>
    <w:rsid w:val="00DB3156"/>
    <w:rsid w:val="00DB31D1"/>
    <w:rsid w:val="00DB323C"/>
    <w:rsid w:val="00DB32F1"/>
    <w:rsid w:val="00DB3408"/>
    <w:rsid w:val="00DB3420"/>
    <w:rsid w:val="00DB3441"/>
    <w:rsid w:val="00DB3494"/>
    <w:rsid w:val="00DB352A"/>
    <w:rsid w:val="00DB3645"/>
    <w:rsid w:val="00DB36ED"/>
    <w:rsid w:val="00DB3720"/>
    <w:rsid w:val="00DB37ED"/>
    <w:rsid w:val="00DB38BC"/>
    <w:rsid w:val="00DB3929"/>
    <w:rsid w:val="00DB3936"/>
    <w:rsid w:val="00DB397B"/>
    <w:rsid w:val="00DB3A1D"/>
    <w:rsid w:val="00DB3B06"/>
    <w:rsid w:val="00DB3B23"/>
    <w:rsid w:val="00DB3C28"/>
    <w:rsid w:val="00DB3C2D"/>
    <w:rsid w:val="00DB3CF3"/>
    <w:rsid w:val="00DB3D67"/>
    <w:rsid w:val="00DB3D78"/>
    <w:rsid w:val="00DB3DF2"/>
    <w:rsid w:val="00DB3E4A"/>
    <w:rsid w:val="00DB3EBC"/>
    <w:rsid w:val="00DB3F18"/>
    <w:rsid w:val="00DB3F69"/>
    <w:rsid w:val="00DB3FE7"/>
    <w:rsid w:val="00DB40AD"/>
    <w:rsid w:val="00DB40ED"/>
    <w:rsid w:val="00DB411F"/>
    <w:rsid w:val="00DB4146"/>
    <w:rsid w:val="00DB43B4"/>
    <w:rsid w:val="00DB44A3"/>
    <w:rsid w:val="00DB44EC"/>
    <w:rsid w:val="00DB450E"/>
    <w:rsid w:val="00DB45A5"/>
    <w:rsid w:val="00DB4616"/>
    <w:rsid w:val="00DB4626"/>
    <w:rsid w:val="00DB4740"/>
    <w:rsid w:val="00DB4747"/>
    <w:rsid w:val="00DB480B"/>
    <w:rsid w:val="00DB4820"/>
    <w:rsid w:val="00DB48D4"/>
    <w:rsid w:val="00DB4976"/>
    <w:rsid w:val="00DB4989"/>
    <w:rsid w:val="00DB4B1B"/>
    <w:rsid w:val="00DB4BE2"/>
    <w:rsid w:val="00DB4C6E"/>
    <w:rsid w:val="00DB4D29"/>
    <w:rsid w:val="00DB4DCE"/>
    <w:rsid w:val="00DB4DDD"/>
    <w:rsid w:val="00DB4E88"/>
    <w:rsid w:val="00DB4E92"/>
    <w:rsid w:val="00DB5062"/>
    <w:rsid w:val="00DB5110"/>
    <w:rsid w:val="00DB5132"/>
    <w:rsid w:val="00DB517A"/>
    <w:rsid w:val="00DB519D"/>
    <w:rsid w:val="00DB51DB"/>
    <w:rsid w:val="00DB51E2"/>
    <w:rsid w:val="00DB5253"/>
    <w:rsid w:val="00DB5283"/>
    <w:rsid w:val="00DB52B9"/>
    <w:rsid w:val="00DB5520"/>
    <w:rsid w:val="00DB5564"/>
    <w:rsid w:val="00DB56EF"/>
    <w:rsid w:val="00DB5735"/>
    <w:rsid w:val="00DB59F7"/>
    <w:rsid w:val="00DB5E11"/>
    <w:rsid w:val="00DB5ED8"/>
    <w:rsid w:val="00DB5FCC"/>
    <w:rsid w:val="00DB5FCD"/>
    <w:rsid w:val="00DB5FFF"/>
    <w:rsid w:val="00DB602D"/>
    <w:rsid w:val="00DB603E"/>
    <w:rsid w:val="00DB60B5"/>
    <w:rsid w:val="00DB61CD"/>
    <w:rsid w:val="00DB61E5"/>
    <w:rsid w:val="00DB622F"/>
    <w:rsid w:val="00DB62DB"/>
    <w:rsid w:val="00DB6474"/>
    <w:rsid w:val="00DB6503"/>
    <w:rsid w:val="00DB650E"/>
    <w:rsid w:val="00DB65AB"/>
    <w:rsid w:val="00DB65C7"/>
    <w:rsid w:val="00DB668C"/>
    <w:rsid w:val="00DB66EB"/>
    <w:rsid w:val="00DB689B"/>
    <w:rsid w:val="00DB6A0B"/>
    <w:rsid w:val="00DB6A4A"/>
    <w:rsid w:val="00DB6A6B"/>
    <w:rsid w:val="00DB6B48"/>
    <w:rsid w:val="00DB6BDA"/>
    <w:rsid w:val="00DB6C24"/>
    <w:rsid w:val="00DB6C7B"/>
    <w:rsid w:val="00DB6CD1"/>
    <w:rsid w:val="00DB6D64"/>
    <w:rsid w:val="00DB6E10"/>
    <w:rsid w:val="00DB6FD7"/>
    <w:rsid w:val="00DB701D"/>
    <w:rsid w:val="00DB7020"/>
    <w:rsid w:val="00DB70B7"/>
    <w:rsid w:val="00DB712B"/>
    <w:rsid w:val="00DB714F"/>
    <w:rsid w:val="00DB7228"/>
    <w:rsid w:val="00DB738F"/>
    <w:rsid w:val="00DB7453"/>
    <w:rsid w:val="00DB7469"/>
    <w:rsid w:val="00DB74DA"/>
    <w:rsid w:val="00DB74FC"/>
    <w:rsid w:val="00DB7551"/>
    <w:rsid w:val="00DB76D8"/>
    <w:rsid w:val="00DB776C"/>
    <w:rsid w:val="00DB79A6"/>
    <w:rsid w:val="00DB7A82"/>
    <w:rsid w:val="00DB7B9A"/>
    <w:rsid w:val="00DB7BB2"/>
    <w:rsid w:val="00DB7CF8"/>
    <w:rsid w:val="00DB7D8F"/>
    <w:rsid w:val="00DB7F48"/>
    <w:rsid w:val="00DC0023"/>
    <w:rsid w:val="00DC012F"/>
    <w:rsid w:val="00DC0136"/>
    <w:rsid w:val="00DC018E"/>
    <w:rsid w:val="00DC031E"/>
    <w:rsid w:val="00DC03E8"/>
    <w:rsid w:val="00DC0430"/>
    <w:rsid w:val="00DC0451"/>
    <w:rsid w:val="00DC073F"/>
    <w:rsid w:val="00DC0817"/>
    <w:rsid w:val="00DC0948"/>
    <w:rsid w:val="00DC0965"/>
    <w:rsid w:val="00DC09CB"/>
    <w:rsid w:val="00DC0B9F"/>
    <w:rsid w:val="00DC0D19"/>
    <w:rsid w:val="00DC0DC5"/>
    <w:rsid w:val="00DC0E67"/>
    <w:rsid w:val="00DC0E9F"/>
    <w:rsid w:val="00DC0F94"/>
    <w:rsid w:val="00DC0FB1"/>
    <w:rsid w:val="00DC11A5"/>
    <w:rsid w:val="00DC12A8"/>
    <w:rsid w:val="00DC12C1"/>
    <w:rsid w:val="00DC137B"/>
    <w:rsid w:val="00DC1396"/>
    <w:rsid w:val="00DC13D3"/>
    <w:rsid w:val="00DC152E"/>
    <w:rsid w:val="00DC15DD"/>
    <w:rsid w:val="00DC15EE"/>
    <w:rsid w:val="00DC15FD"/>
    <w:rsid w:val="00DC1693"/>
    <w:rsid w:val="00DC1767"/>
    <w:rsid w:val="00DC176D"/>
    <w:rsid w:val="00DC178B"/>
    <w:rsid w:val="00DC1844"/>
    <w:rsid w:val="00DC185C"/>
    <w:rsid w:val="00DC1906"/>
    <w:rsid w:val="00DC19AE"/>
    <w:rsid w:val="00DC1ADC"/>
    <w:rsid w:val="00DC1BF6"/>
    <w:rsid w:val="00DC1C06"/>
    <w:rsid w:val="00DC1E22"/>
    <w:rsid w:val="00DC1E83"/>
    <w:rsid w:val="00DC1EB7"/>
    <w:rsid w:val="00DC1F02"/>
    <w:rsid w:val="00DC1F7D"/>
    <w:rsid w:val="00DC1F80"/>
    <w:rsid w:val="00DC2056"/>
    <w:rsid w:val="00DC2132"/>
    <w:rsid w:val="00DC21E6"/>
    <w:rsid w:val="00DC231B"/>
    <w:rsid w:val="00DC234C"/>
    <w:rsid w:val="00DC23BF"/>
    <w:rsid w:val="00DC2461"/>
    <w:rsid w:val="00DC2605"/>
    <w:rsid w:val="00DC283D"/>
    <w:rsid w:val="00DC2883"/>
    <w:rsid w:val="00DC28E6"/>
    <w:rsid w:val="00DC2ABC"/>
    <w:rsid w:val="00DC2B08"/>
    <w:rsid w:val="00DC2B2D"/>
    <w:rsid w:val="00DC2BB8"/>
    <w:rsid w:val="00DC2C20"/>
    <w:rsid w:val="00DC2D08"/>
    <w:rsid w:val="00DC2D27"/>
    <w:rsid w:val="00DC2E47"/>
    <w:rsid w:val="00DC2F0B"/>
    <w:rsid w:val="00DC3026"/>
    <w:rsid w:val="00DC30C7"/>
    <w:rsid w:val="00DC3114"/>
    <w:rsid w:val="00DC32A8"/>
    <w:rsid w:val="00DC33C4"/>
    <w:rsid w:val="00DC341A"/>
    <w:rsid w:val="00DC3483"/>
    <w:rsid w:val="00DC34A8"/>
    <w:rsid w:val="00DC34CA"/>
    <w:rsid w:val="00DC353E"/>
    <w:rsid w:val="00DC3546"/>
    <w:rsid w:val="00DC3554"/>
    <w:rsid w:val="00DC3585"/>
    <w:rsid w:val="00DC35A9"/>
    <w:rsid w:val="00DC35B6"/>
    <w:rsid w:val="00DC3788"/>
    <w:rsid w:val="00DC3792"/>
    <w:rsid w:val="00DC37E6"/>
    <w:rsid w:val="00DC38DC"/>
    <w:rsid w:val="00DC392A"/>
    <w:rsid w:val="00DC396B"/>
    <w:rsid w:val="00DC39F3"/>
    <w:rsid w:val="00DC3A67"/>
    <w:rsid w:val="00DC3C77"/>
    <w:rsid w:val="00DC3CB8"/>
    <w:rsid w:val="00DC3CDC"/>
    <w:rsid w:val="00DC3DF2"/>
    <w:rsid w:val="00DC3E68"/>
    <w:rsid w:val="00DC3F13"/>
    <w:rsid w:val="00DC3FD5"/>
    <w:rsid w:val="00DC3FE9"/>
    <w:rsid w:val="00DC4151"/>
    <w:rsid w:val="00DC4165"/>
    <w:rsid w:val="00DC41F3"/>
    <w:rsid w:val="00DC41F4"/>
    <w:rsid w:val="00DC424E"/>
    <w:rsid w:val="00DC42E9"/>
    <w:rsid w:val="00DC4443"/>
    <w:rsid w:val="00DC4562"/>
    <w:rsid w:val="00DC47C3"/>
    <w:rsid w:val="00DC4803"/>
    <w:rsid w:val="00DC48C1"/>
    <w:rsid w:val="00DC4920"/>
    <w:rsid w:val="00DC4A81"/>
    <w:rsid w:val="00DC4A88"/>
    <w:rsid w:val="00DC4AD5"/>
    <w:rsid w:val="00DC4BB0"/>
    <w:rsid w:val="00DC4BD7"/>
    <w:rsid w:val="00DC4C3F"/>
    <w:rsid w:val="00DC4C9F"/>
    <w:rsid w:val="00DC4D86"/>
    <w:rsid w:val="00DC4E25"/>
    <w:rsid w:val="00DC4EAB"/>
    <w:rsid w:val="00DC4ECE"/>
    <w:rsid w:val="00DC4F3E"/>
    <w:rsid w:val="00DC4F73"/>
    <w:rsid w:val="00DC5009"/>
    <w:rsid w:val="00DC5030"/>
    <w:rsid w:val="00DC5096"/>
    <w:rsid w:val="00DC50AC"/>
    <w:rsid w:val="00DC5102"/>
    <w:rsid w:val="00DC511F"/>
    <w:rsid w:val="00DC516F"/>
    <w:rsid w:val="00DC519A"/>
    <w:rsid w:val="00DC51FA"/>
    <w:rsid w:val="00DC5412"/>
    <w:rsid w:val="00DC5452"/>
    <w:rsid w:val="00DC5518"/>
    <w:rsid w:val="00DC552B"/>
    <w:rsid w:val="00DC5596"/>
    <w:rsid w:val="00DC5728"/>
    <w:rsid w:val="00DC57FE"/>
    <w:rsid w:val="00DC5809"/>
    <w:rsid w:val="00DC5902"/>
    <w:rsid w:val="00DC59FA"/>
    <w:rsid w:val="00DC5AF0"/>
    <w:rsid w:val="00DC5C64"/>
    <w:rsid w:val="00DC5C6E"/>
    <w:rsid w:val="00DC5C78"/>
    <w:rsid w:val="00DC5CB3"/>
    <w:rsid w:val="00DC5DED"/>
    <w:rsid w:val="00DC5E08"/>
    <w:rsid w:val="00DC5E57"/>
    <w:rsid w:val="00DC5E8C"/>
    <w:rsid w:val="00DC5F7D"/>
    <w:rsid w:val="00DC5F9B"/>
    <w:rsid w:val="00DC6107"/>
    <w:rsid w:val="00DC615A"/>
    <w:rsid w:val="00DC61AF"/>
    <w:rsid w:val="00DC62D8"/>
    <w:rsid w:val="00DC630E"/>
    <w:rsid w:val="00DC639B"/>
    <w:rsid w:val="00DC6435"/>
    <w:rsid w:val="00DC6489"/>
    <w:rsid w:val="00DC652C"/>
    <w:rsid w:val="00DC65AE"/>
    <w:rsid w:val="00DC65BF"/>
    <w:rsid w:val="00DC6608"/>
    <w:rsid w:val="00DC6618"/>
    <w:rsid w:val="00DC671E"/>
    <w:rsid w:val="00DC6756"/>
    <w:rsid w:val="00DC676F"/>
    <w:rsid w:val="00DC6A0E"/>
    <w:rsid w:val="00DC6A8C"/>
    <w:rsid w:val="00DC6ABB"/>
    <w:rsid w:val="00DC6B38"/>
    <w:rsid w:val="00DC6C02"/>
    <w:rsid w:val="00DC6D47"/>
    <w:rsid w:val="00DC6D4A"/>
    <w:rsid w:val="00DC6D97"/>
    <w:rsid w:val="00DC6DAF"/>
    <w:rsid w:val="00DC6DBA"/>
    <w:rsid w:val="00DC6DE7"/>
    <w:rsid w:val="00DC6E04"/>
    <w:rsid w:val="00DC6E24"/>
    <w:rsid w:val="00DC6EB6"/>
    <w:rsid w:val="00DC6F50"/>
    <w:rsid w:val="00DC6FB7"/>
    <w:rsid w:val="00DC7062"/>
    <w:rsid w:val="00DC7261"/>
    <w:rsid w:val="00DC7292"/>
    <w:rsid w:val="00DC73A1"/>
    <w:rsid w:val="00DC741D"/>
    <w:rsid w:val="00DC754B"/>
    <w:rsid w:val="00DC75EA"/>
    <w:rsid w:val="00DC767E"/>
    <w:rsid w:val="00DC77A2"/>
    <w:rsid w:val="00DC7814"/>
    <w:rsid w:val="00DC7936"/>
    <w:rsid w:val="00DC79BA"/>
    <w:rsid w:val="00DC7A14"/>
    <w:rsid w:val="00DC7A79"/>
    <w:rsid w:val="00DC7B07"/>
    <w:rsid w:val="00DC7D49"/>
    <w:rsid w:val="00DC7D4A"/>
    <w:rsid w:val="00DC7D8B"/>
    <w:rsid w:val="00DC7DC6"/>
    <w:rsid w:val="00DC7DD7"/>
    <w:rsid w:val="00DC7EA3"/>
    <w:rsid w:val="00DC7EB2"/>
    <w:rsid w:val="00DC7FA7"/>
    <w:rsid w:val="00DC7FFE"/>
    <w:rsid w:val="00DD003D"/>
    <w:rsid w:val="00DD0046"/>
    <w:rsid w:val="00DD014B"/>
    <w:rsid w:val="00DD01FD"/>
    <w:rsid w:val="00DD028E"/>
    <w:rsid w:val="00DD0327"/>
    <w:rsid w:val="00DD03BC"/>
    <w:rsid w:val="00DD0480"/>
    <w:rsid w:val="00DD048C"/>
    <w:rsid w:val="00DD054E"/>
    <w:rsid w:val="00DD079E"/>
    <w:rsid w:val="00DD08B2"/>
    <w:rsid w:val="00DD08E0"/>
    <w:rsid w:val="00DD0927"/>
    <w:rsid w:val="00DD0C59"/>
    <w:rsid w:val="00DD0E20"/>
    <w:rsid w:val="00DD0F1E"/>
    <w:rsid w:val="00DD0F61"/>
    <w:rsid w:val="00DD0FAF"/>
    <w:rsid w:val="00DD0FE0"/>
    <w:rsid w:val="00DD1055"/>
    <w:rsid w:val="00DD10E3"/>
    <w:rsid w:val="00DD1224"/>
    <w:rsid w:val="00DD1232"/>
    <w:rsid w:val="00DD12BA"/>
    <w:rsid w:val="00DD13A4"/>
    <w:rsid w:val="00DD157E"/>
    <w:rsid w:val="00DD1700"/>
    <w:rsid w:val="00DD1754"/>
    <w:rsid w:val="00DD176A"/>
    <w:rsid w:val="00DD1800"/>
    <w:rsid w:val="00DD19D5"/>
    <w:rsid w:val="00DD1A1E"/>
    <w:rsid w:val="00DD1A2E"/>
    <w:rsid w:val="00DD1B2A"/>
    <w:rsid w:val="00DD1D75"/>
    <w:rsid w:val="00DD1EDD"/>
    <w:rsid w:val="00DD1F05"/>
    <w:rsid w:val="00DD1F47"/>
    <w:rsid w:val="00DD1F54"/>
    <w:rsid w:val="00DD1FDA"/>
    <w:rsid w:val="00DD200E"/>
    <w:rsid w:val="00DD20E5"/>
    <w:rsid w:val="00DD215F"/>
    <w:rsid w:val="00DD21A8"/>
    <w:rsid w:val="00DD21BA"/>
    <w:rsid w:val="00DD240C"/>
    <w:rsid w:val="00DD2419"/>
    <w:rsid w:val="00DD24D8"/>
    <w:rsid w:val="00DD24EC"/>
    <w:rsid w:val="00DD251F"/>
    <w:rsid w:val="00DD256C"/>
    <w:rsid w:val="00DD25CF"/>
    <w:rsid w:val="00DD2633"/>
    <w:rsid w:val="00DD2645"/>
    <w:rsid w:val="00DD264F"/>
    <w:rsid w:val="00DD2830"/>
    <w:rsid w:val="00DD28B1"/>
    <w:rsid w:val="00DD2A69"/>
    <w:rsid w:val="00DD2AFC"/>
    <w:rsid w:val="00DD2B46"/>
    <w:rsid w:val="00DD2BF5"/>
    <w:rsid w:val="00DD2D0E"/>
    <w:rsid w:val="00DD2D85"/>
    <w:rsid w:val="00DD2D8B"/>
    <w:rsid w:val="00DD2E7F"/>
    <w:rsid w:val="00DD2EB7"/>
    <w:rsid w:val="00DD2ECE"/>
    <w:rsid w:val="00DD30B7"/>
    <w:rsid w:val="00DD311D"/>
    <w:rsid w:val="00DD3121"/>
    <w:rsid w:val="00DD32B6"/>
    <w:rsid w:val="00DD3329"/>
    <w:rsid w:val="00DD343D"/>
    <w:rsid w:val="00DD3479"/>
    <w:rsid w:val="00DD35A8"/>
    <w:rsid w:val="00DD35B2"/>
    <w:rsid w:val="00DD35E9"/>
    <w:rsid w:val="00DD35FB"/>
    <w:rsid w:val="00DD3653"/>
    <w:rsid w:val="00DD36F3"/>
    <w:rsid w:val="00DD387B"/>
    <w:rsid w:val="00DD3931"/>
    <w:rsid w:val="00DD396B"/>
    <w:rsid w:val="00DD3982"/>
    <w:rsid w:val="00DD39B4"/>
    <w:rsid w:val="00DD39C2"/>
    <w:rsid w:val="00DD39FE"/>
    <w:rsid w:val="00DD3A56"/>
    <w:rsid w:val="00DD3A85"/>
    <w:rsid w:val="00DD3B87"/>
    <w:rsid w:val="00DD3BA9"/>
    <w:rsid w:val="00DD3D5E"/>
    <w:rsid w:val="00DD3D6A"/>
    <w:rsid w:val="00DD3EA1"/>
    <w:rsid w:val="00DD3EBD"/>
    <w:rsid w:val="00DD3F30"/>
    <w:rsid w:val="00DD4287"/>
    <w:rsid w:val="00DD447D"/>
    <w:rsid w:val="00DD44BE"/>
    <w:rsid w:val="00DD46C7"/>
    <w:rsid w:val="00DD4876"/>
    <w:rsid w:val="00DD4890"/>
    <w:rsid w:val="00DD4909"/>
    <w:rsid w:val="00DD498D"/>
    <w:rsid w:val="00DD4A03"/>
    <w:rsid w:val="00DD4A13"/>
    <w:rsid w:val="00DD4A4E"/>
    <w:rsid w:val="00DD4BFC"/>
    <w:rsid w:val="00DD4C02"/>
    <w:rsid w:val="00DD4CC1"/>
    <w:rsid w:val="00DD4D02"/>
    <w:rsid w:val="00DD4D6B"/>
    <w:rsid w:val="00DD4E6C"/>
    <w:rsid w:val="00DD4FF1"/>
    <w:rsid w:val="00DD5016"/>
    <w:rsid w:val="00DD5029"/>
    <w:rsid w:val="00DD5104"/>
    <w:rsid w:val="00DD512B"/>
    <w:rsid w:val="00DD5149"/>
    <w:rsid w:val="00DD5169"/>
    <w:rsid w:val="00DD5172"/>
    <w:rsid w:val="00DD5208"/>
    <w:rsid w:val="00DD5275"/>
    <w:rsid w:val="00DD530B"/>
    <w:rsid w:val="00DD5364"/>
    <w:rsid w:val="00DD53C3"/>
    <w:rsid w:val="00DD5451"/>
    <w:rsid w:val="00DD5582"/>
    <w:rsid w:val="00DD5592"/>
    <w:rsid w:val="00DD58F7"/>
    <w:rsid w:val="00DD5924"/>
    <w:rsid w:val="00DD5979"/>
    <w:rsid w:val="00DD598C"/>
    <w:rsid w:val="00DD59D3"/>
    <w:rsid w:val="00DD59F6"/>
    <w:rsid w:val="00DD5B3C"/>
    <w:rsid w:val="00DD5C81"/>
    <w:rsid w:val="00DD5CD3"/>
    <w:rsid w:val="00DD5DA4"/>
    <w:rsid w:val="00DD5DDB"/>
    <w:rsid w:val="00DD5E9B"/>
    <w:rsid w:val="00DD5F34"/>
    <w:rsid w:val="00DD5FCC"/>
    <w:rsid w:val="00DD6085"/>
    <w:rsid w:val="00DD609D"/>
    <w:rsid w:val="00DD618E"/>
    <w:rsid w:val="00DD6347"/>
    <w:rsid w:val="00DD63A5"/>
    <w:rsid w:val="00DD6579"/>
    <w:rsid w:val="00DD65CD"/>
    <w:rsid w:val="00DD6664"/>
    <w:rsid w:val="00DD66C3"/>
    <w:rsid w:val="00DD6764"/>
    <w:rsid w:val="00DD679F"/>
    <w:rsid w:val="00DD67D3"/>
    <w:rsid w:val="00DD6824"/>
    <w:rsid w:val="00DD68F8"/>
    <w:rsid w:val="00DD690D"/>
    <w:rsid w:val="00DD6965"/>
    <w:rsid w:val="00DD6A0B"/>
    <w:rsid w:val="00DD6A42"/>
    <w:rsid w:val="00DD6A6E"/>
    <w:rsid w:val="00DD6A8F"/>
    <w:rsid w:val="00DD6B33"/>
    <w:rsid w:val="00DD6C1B"/>
    <w:rsid w:val="00DD6CA4"/>
    <w:rsid w:val="00DD70A4"/>
    <w:rsid w:val="00DD70BF"/>
    <w:rsid w:val="00DD72A1"/>
    <w:rsid w:val="00DD73F5"/>
    <w:rsid w:val="00DD7410"/>
    <w:rsid w:val="00DD75E7"/>
    <w:rsid w:val="00DD76ED"/>
    <w:rsid w:val="00DD7784"/>
    <w:rsid w:val="00DD780D"/>
    <w:rsid w:val="00DD7818"/>
    <w:rsid w:val="00DD7839"/>
    <w:rsid w:val="00DD788A"/>
    <w:rsid w:val="00DD791E"/>
    <w:rsid w:val="00DD7B97"/>
    <w:rsid w:val="00DD7BDC"/>
    <w:rsid w:val="00DD7D2C"/>
    <w:rsid w:val="00DD7E53"/>
    <w:rsid w:val="00DD7E59"/>
    <w:rsid w:val="00DD7EC3"/>
    <w:rsid w:val="00DE0151"/>
    <w:rsid w:val="00DE015E"/>
    <w:rsid w:val="00DE01BA"/>
    <w:rsid w:val="00DE0241"/>
    <w:rsid w:val="00DE02A6"/>
    <w:rsid w:val="00DE0395"/>
    <w:rsid w:val="00DE0427"/>
    <w:rsid w:val="00DE0463"/>
    <w:rsid w:val="00DE04B6"/>
    <w:rsid w:val="00DE05F4"/>
    <w:rsid w:val="00DE0651"/>
    <w:rsid w:val="00DE0680"/>
    <w:rsid w:val="00DE0787"/>
    <w:rsid w:val="00DE080F"/>
    <w:rsid w:val="00DE08EE"/>
    <w:rsid w:val="00DE091B"/>
    <w:rsid w:val="00DE098F"/>
    <w:rsid w:val="00DE0AB1"/>
    <w:rsid w:val="00DE0B06"/>
    <w:rsid w:val="00DE0B17"/>
    <w:rsid w:val="00DE0CE4"/>
    <w:rsid w:val="00DE0CF5"/>
    <w:rsid w:val="00DE0E31"/>
    <w:rsid w:val="00DE0F64"/>
    <w:rsid w:val="00DE0FAE"/>
    <w:rsid w:val="00DE0FBB"/>
    <w:rsid w:val="00DE113D"/>
    <w:rsid w:val="00DE11F0"/>
    <w:rsid w:val="00DE11F3"/>
    <w:rsid w:val="00DE11FD"/>
    <w:rsid w:val="00DE12A2"/>
    <w:rsid w:val="00DE1310"/>
    <w:rsid w:val="00DE1381"/>
    <w:rsid w:val="00DE144E"/>
    <w:rsid w:val="00DE1465"/>
    <w:rsid w:val="00DE1533"/>
    <w:rsid w:val="00DE15EC"/>
    <w:rsid w:val="00DE16AB"/>
    <w:rsid w:val="00DE16AD"/>
    <w:rsid w:val="00DE1849"/>
    <w:rsid w:val="00DE1957"/>
    <w:rsid w:val="00DE19E2"/>
    <w:rsid w:val="00DE19EF"/>
    <w:rsid w:val="00DE1B3B"/>
    <w:rsid w:val="00DE1B55"/>
    <w:rsid w:val="00DE1B71"/>
    <w:rsid w:val="00DE1BC2"/>
    <w:rsid w:val="00DE1C27"/>
    <w:rsid w:val="00DE1C30"/>
    <w:rsid w:val="00DE1D45"/>
    <w:rsid w:val="00DE1DC3"/>
    <w:rsid w:val="00DE200A"/>
    <w:rsid w:val="00DE20E9"/>
    <w:rsid w:val="00DE2339"/>
    <w:rsid w:val="00DE242D"/>
    <w:rsid w:val="00DE2440"/>
    <w:rsid w:val="00DE24B9"/>
    <w:rsid w:val="00DE2508"/>
    <w:rsid w:val="00DE26B1"/>
    <w:rsid w:val="00DE2715"/>
    <w:rsid w:val="00DE27EB"/>
    <w:rsid w:val="00DE284E"/>
    <w:rsid w:val="00DE2A7C"/>
    <w:rsid w:val="00DE2B7B"/>
    <w:rsid w:val="00DE2B90"/>
    <w:rsid w:val="00DE2BD7"/>
    <w:rsid w:val="00DE2C8F"/>
    <w:rsid w:val="00DE2CA8"/>
    <w:rsid w:val="00DE2D35"/>
    <w:rsid w:val="00DE2D89"/>
    <w:rsid w:val="00DE2F73"/>
    <w:rsid w:val="00DE2F94"/>
    <w:rsid w:val="00DE3071"/>
    <w:rsid w:val="00DE3268"/>
    <w:rsid w:val="00DE339D"/>
    <w:rsid w:val="00DE3431"/>
    <w:rsid w:val="00DE348F"/>
    <w:rsid w:val="00DE34BE"/>
    <w:rsid w:val="00DE3682"/>
    <w:rsid w:val="00DE3695"/>
    <w:rsid w:val="00DE3697"/>
    <w:rsid w:val="00DE370A"/>
    <w:rsid w:val="00DE3718"/>
    <w:rsid w:val="00DE37A3"/>
    <w:rsid w:val="00DE3873"/>
    <w:rsid w:val="00DE3922"/>
    <w:rsid w:val="00DE39C7"/>
    <w:rsid w:val="00DE39E3"/>
    <w:rsid w:val="00DE3AB1"/>
    <w:rsid w:val="00DE3B09"/>
    <w:rsid w:val="00DE3B90"/>
    <w:rsid w:val="00DE3BE5"/>
    <w:rsid w:val="00DE3BF2"/>
    <w:rsid w:val="00DE3D50"/>
    <w:rsid w:val="00DE3DF8"/>
    <w:rsid w:val="00DE3E3D"/>
    <w:rsid w:val="00DE3FE4"/>
    <w:rsid w:val="00DE3FF6"/>
    <w:rsid w:val="00DE40BE"/>
    <w:rsid w:val="00DE40E5"/>
    <w:rsid w:val="00DE416B"/>
    <w:rsid w:val="00DE41C8"/>
    <w:rsid w:val="00DE423D"/>
    <w:rsid w:val="00DE4252"/>
    <w:rsid w:val="00DE433B"/>
    <w:rsid w:val="00DE4418"/>
    <w:rsid w:val="00DE44EF"/>
    <w:rsid w:val="00DE452B"/>
    <w:rsid w:val="00DE461E"/>
    <w:rsid w:val="00DE466B"/>
    <w:rsid w:val="00DE46B3"/>
    <w:rsid w:val="00DE475E"/>
    <w:rsid w:val="00DE47A3"/>
    <w:rsid w:val="00DE493C"/>
    <w:rsid w:val="00DE49DC"/>
    <w:rsid w:val="00DE4A36"/>
    <w:rsid w:val="00DE4A5D"/>
    <w:rsid w:val="00DE4AE3"/>
    <w:rsid w:val="00DE4BE4"/>
    <w:rsid w:val="00DE4D14"/>
    <w:rsid w:val="00DE4D73"/>
    <w:rsid w:val="00DE4E38"/>
    <w:rsid w:val="00DE4E5E"/>
    <w:rsid w:val="00DE4E89"/>
    <w:rsid w:val="00DE4F71"/>
    <w:rsid w:val="00DE50B7"/>
    <w:rsid w:val="00DE5114"/>
    <w:rsid w:val="00DE5158"/>
    <w:rsid w:val="00DE515F"/>
    <w:rsid w:val="00DE5236"/>
    <w:rsid w:val="00DE53F9"/>
    <w:rsid w:val="00DE5434"/>
    <w:rsid w:val="00DE546B"/>
    <w:rsid w:val="00DE54D4"/>
    <w:rsid w:val="00DE554F"/>
    <w:rsid w:val="00DE5588"/>
    <w:rsid w:val="00DE55E3"/>
    <w:rsid w:val="00DE565F"/>
    <w:rsid w:val="00DE570A"/>
    <w:rsid w:val="00DE5755"/>
    <w:rsid w:val="00DE577B"/>
    <w:rsid w:val="00DE5798"/>
    <w:rsid w:val="00DE5863"/>
    <w:rsid w:val="00DE5922"/>
    <w:rsid w:val="00DE5A0C"/>
    <w:rsid w:val="00DE5A5C"/>
    <w:rsid w:val="00DE5AC0"/>
    <w:rsid w:val="00DE5ACD"/>
    <w:rsid w:val="00DE5B2F"/>
    <w:rsid w:val="00DE5B73"/>
    <w:rsid w:val="00DE5B92"/>
    <w:rsid w:val="00DE5CCD"/>
    <w:rsid w:val="00DE5EF1"/>
    <w:rsid w:val="00DE602D"/>
    <w:rsid w:val="00DE60BB"/>
    <w:rsid w:val="00DE618E"/>
    <w:rsid w:val="00DE6227"/>
    <w:rsid w:val="00DE6258"/>
    <w:rsid w:val="00DE6279"/>
    <w:rsid w:val="00DE62BD"/>
    <w:rsid w:val="00DE6341"/>
    <w:rsid w:val="00DE646E"/>
    <w:rsid w:val="00DE647E"/>
    <w:rsid w:val="00DE6513"/>
    <w:rsid w:val="00DE6591"/>
    <w:rsid w:val="00DE66AA"/>
    <w:rsid w:val="00DE66EC"/>
    <w:rsid w:val="00DE6745"/>
    <w:rsid w:val="00DE67D0"/>
    <w:rsid w:val="00DE6823"/>
    <w:rsid w:val="00DE68B0"/>
    <w:rsid w:val="00DE690B"/>
    <w:rsid w:val="00DE69BC"/>
    <w:rsid w:val="00DE6A4C"/>
    <w:rsid w:val="00DE6B29"/>
    <w:rsid w:val="00DE6B2B"/>
    <w:rsid w:val="00DE6B88"/>
    <w:rsid w:val="00DE6BC4"/>
    <w:rsid w:val="00DE6C16"/>
    <w:rsid w:val="00DE6C76"/>
    <w:rsid w:val="00DE6CB6"/>
    <w:rsid w:val="00DE6D30"/>
    <w:rsid w:val="00DE6E1E"/>
    <w:rsid w:val="00DE6F99"/>
    <w:rsid w:val="00DE7415"/>
    <w:rsid w:val="00DE7498"/>
    <w:rsid w:val="00DE75A4"/>
    <w:rsid w:val="00DE75BD"/>
    <w:rsid w:val="00DE762A"/>
    <w:rsid w:val="00DE7681"/>
    <w:rsid w:val="00DE773F"/>
    <w:rsid w:val="00DE781E"/>
    <w:rsid w:val="00DE7843"/>
    <w:rsid w:val="00DE7852"/>
    <w:rsid w:val="00DE78F8"/>
    <w:rsid w:val="00DE791A"/>
    <w:rsid w:val="00DE792D"/>
    <w:rsid w:val="00DE7941"/>
    <w:rsid w:val="00DE7B09"/>
    <w:rsid w:val="00DE7B8D"/>
    <w:rsid w:val="00DE7CA8"/>
    <w:rsid w:val="00DE7D09"/>
    <w:rsid w:val="00DE7E2A"/>
    <w:rsid w:val="00DE7F06"/>
    <w:rsid w:val="00DE7F7A"/>
    <w:rsid w:val="00DE7FCA"/>
    <w:rsid w:val="00DE7FE7"/>
    <w:rsid w:val="00DF0011"/>
    <w:rsid w:val="00DF00B4"/>
    <w:rsid w:val="00DF00FC"/>
    <w:rsid w:val="00DF010F"/>
    <w:rsid w:val="00DF0258"/>
    <w:rsid w:val="00DF02B8"/>
    <w:rsid w:val="00DF03D5"/>
    <w:rsid w:val="00DF0435"/>
    <w:rsid w:val="00DF04CD"/>
    <w:rsid w:val="00DF04F4"/>
    <w:rsid w:val="00DF0528"/>
    <w:rsid w:val="00DF0592"/>
    <w:rsid w:val="00DF05BD"/>
    <w:rsid w:val="00DF0670"/>
    <w:rsid w:val="00DF06A0"/>
    <w:rsid w:val="00DF08B7"/>
    <w:rsid w:val="00DF0911"/>
    <w:rsid w:val="00DF095F"/>
    <w:rsid w:val="00DF0AC3"/>
    <w:rsid w:val="00DF0BAE"/>
    <w:rsid w:val="00DF0D3C"/>
    <w:rsid w:val="00DF107C"/>
    <w:rsid w:val="00DF10DF"/>
    <w:rsid w:val="00DF124A"/>
    <w:rsid w:val="00DF12F3"/>
    <w:rsid w:val="00DF1348"/>
    <w:rsid w:val="00DF13D0"/>
    <w:rsid w:val="00DF142F"/>
    <w:rsid w:val="00DF14D1"/>
    <w:rsid w:val="00DF17B9"/>
    <w:rsid w:val="00DF18F4"/>
    <w:rsid w:val="00DF19A9"/>
    <w:rsid w:val="00DF1AEB"/>
    <w:rsid w:val="00DF1B40"/>
    <w:rsid w:val="00DF1B4C"/>
    <w:rsid w:val="00DF1B66"/>
    <w:rsid w:val="00DF1D07"/>
    <w:rsid w:val="00DF1DE6"/>
    <w:rsid w:val="00DF1E46"/>
    <w:rsid w:val="00DF2068"/>
    <w:rsid w:val="00DF216D"/>
    <w:rsid w:val="00DF21EF"/>
    <w:rsid w:val="00DF222A"/>
    <w:rsid w:val="00DF223C"/>
    <w:rsid w:val="00DF22C1"/>
    <w:rsid w:val="00DF23CA"/>
    <w:rsid w:val="00DF244A"/>
    <w:rsid w:val="00DF24B0"/>
    <w:rsid w:val="00DF24FD"/>
    <w:rsid w:val="00DF2578"/>
    <w:rsid w:val="00DF25C5"/>
    <w:rsid w:val="00DF2629"/>
    <w:rsid w:val="00DF269E"/>
    <w:rsid w:val="00DF2785"/>
    <w:rsid w:val="00DF2789"/>
    <w:rsid w:val="00DF27DE"/>
    <w:rsid w:val="00DF28F5"/>
    <w:rsid w:val="00DF298B"/>
    <w:rsid w:val="00DF2C25"/>
    <w:rsid w:val="00DF2F46"/>
    <w:rsid w:val="00DF2FB3"/>
    <w:rsid w:val="00DF2FE7"/>
    <w:rsid w:val="00DF3089"/>
    <w:rsid w:val="00DF312E"/>
    <w:rsid w:val="00DF3157"/>
    <w:rsid w:val="00DF31D2"/>
    <w:rsid w:val="00DF33F2"/>
    <w:rsid w:val="00DF342B"/>
    <w:rsid w:val="00DF3562"/>
    <w:rsid w:val="00DF358E"/>
    <w:rsid w:val="00DF36B9"/>
    <w:rsid w:val="00DF37CE"/>
    <w:rsid w:val="00DF3885"/>
    <w:rsid w:val="00DF39BC"/>
    <w:rsid w:val="00DF3A48"/>
    <w:rsid w:val="00DF3B17"/>
    <w:rsid w:val="00DF3B1D"/>
    <w:rsid w:val="00DF3BE9"/>
    <w:rsid w:val="00DF3D2C"/>
    <w:rsid w:val="00DF3DD7"/>
    <w:rsid w:val="00DF3DFC"/>
    <w:rsid w:val="00DF3E79"/>
    <w:rsid w:val="00DF3ED3"/>
    <w:rsid w:val="00DF3F19"/>
    <w:rsid w:val="00DF3F97"/>
    <w:rsid w:val="00DF3FEA"/>
    <w:rsid w:val="00DF4165"/>
    <w:rsid w:val="00DF4192"/>
    <w:rsid w:val="00DF4274"/>
    <w:rsid w:val="00DF42AD"/>
    <w:rsid w:val="00DF42C5"/>
    <w:rsid w:val="00DF446B"/>
    <w:rsid w:val="00DF4474"/>
    <w:rsid w:val="00DF4525"/>
    <w:rsid w:val="00DF453C"/>
    <w:rsid w:val="00DF4579"/>
    <w:rsid w:val="00DF4616"/>
    <w:rsid w:val="00DF4761"/>
    <w:rsid w:val="00DF4778"/>
    <w:rsid w:val="00DF479A"/>
    <w:rsid w:val="00DF487E"/>
    <w:rsid w:val="00DF4892"/>
    <w:rsid w:val="00DF48C4"/>
    <w:rsid w:val="00DF48C9"/>
    <w:rsid w:val="00DF4AC3"/>
    <w:rsid w:val="00DF4B4C"/>
    <w:rsid w:val="00DF4B66"/>
    <w:rsid w:val="00DF4BB7"/>
    <w:rsid w:val="00DF4CA1"/>
    <w:rsid w:val="00DF4CDF"/>
    <w:rsid w:val="00DF4E14"/>
    <w:rsid w:val="00DF4E8E"/>
    <w:rsid w:val="00DF4EC4"/>
    <w:rsid w:val="00DF4FCE"/>
    <w:rsid w:val="00DF5000"/>
    <w:rsid w:val="00DF5012"/>
    <w:rsid w:val="00DF50CE"/>
    <w:rsid w:val="00DF50F9"/>
    <w:rsid w:val="00DF515A"/>
    <w:rsid w:val="00DF51BE"/>
    <w:rsid w:val="00DF520A"/>
    <w:rsid w:val="00DF52DF"/>
    <w:rsid w:val="00DF537C"/>
    <w:rsid w:val="00DF5432"/>
    <w:rsid w:val="00DF5488"/>
    <w:rsid w:val="00DF55DF"/>
    <w:rsid w:val="00DF5619"/>
    <w:rsid w:val="00DF568E"/>
    <w:rsid w:val="00DF56A5"/>
    <w:rsid w:val="00DF56B0"/>
    <w:rsid w:val="00DF56C8"/>
    <w:rsid w:val="00DF5766"/>
    <w:rsid w:val="00DF584D"/>
    <w:rsid w:val="00DF585B"/>
    <w:rsid w:val="00DF58AB"/>
    <w:rsid w:val="00DF58CA"/>
    <w:rsid w:val="00DF5BD8"/>
    <w:rsid w:val="00DF5C18"/>
    <w:rsid w:val="00DF5C3A"/>
    <w:rsid w:val="00DF5C5E"/>
    <w:rsid w:val="00DF5CCB"/>
    <w:rsid w:val="00DF5CCD"/>
    <w:rsid w:val="00DF5CF6"/>
    <w:rsid w:val="00DF5D51"/>
    <w:rsid w:val="00DF5D52"/>
    <w:rsid w:val="00DF5DDD"/>
    <w:rsid w:val="00DF5E63"/>
    <w:rsid w:val="00DF5E71"/>
    <w:rsid w:val="00DF5EBC"/>
    <w:rsid w:val="00DF5F16"/>
    <w:rsid w:val="00DF5F20"/>
    <w:rsid w:val="00DF5F53"/>
    <w:rsid w:val="00DF5FF4"/>
    <w:rsid w:val="00DF611E"/>
    <w:rsid w:val="00DF61B8"/>
    <w:rsid w:val="00DF61BC"/>
    <w:rsid w:val="00DF62E8"/>
    <w:rsid w:val="00DF64F3"/>
    <w:rsid w:val="00DF65A9"/>
    <w:rsid w:val="00DF6645"/>
    <w:rsid w:val="00DF6673"/>
    <w:rsid w:val="00DF66BB"/>
    <w:rsid w:val="00DF66F7"/>
    <w:rsid w:val="00DF67D7"/>
    <w:rsid w:val="00DF68AB"/>
    <w:rsid w:val="00DF68C4"/>
    <w:rsid w:val="00DF68D1"/>
    <w:rsid w:val="00DF69EE"/>
    <w:rsid w:val="00DF69FE"/>
    <w:rsid w:val="00DF6A50"/>
    <w:rsid w:val="00DF6ADF"/>
    <w:rsid w:val="00DF6B8E"/>
    <w:rsid w:val="00DF6BBB"/>
    <w:rsid w:val="00DF6C8E"/>
    <w:rsid w:val="00DF6D2A"/>
    <w:rsid w:val="00DF6D53"/>
    <w:rsid w:val="00DF6E94"/>
    <w:rsid w:val="00DF6F2C"/>
    <w:rsid w:val="00DF704B"/>
    <w:rsid w:val="00DF70E5"/>
    <w:rsid w:val="00DF729D"/>
    <w:rsid w:val="00DF736C"/>
    <w:rsid w:val="00DF7370"/>
    <w:rsid w:val="00DF7493"/>
    <w:rsid w:val="00DF7576"/>
    <w:rsid w:val="00DF76CF"/>
    <w:rsid w:val="00DF7725"/>
    <w:rsid w:val="00DF775C"/>
    <w:rsid w:val="00DF77A2"/>
    <w:rsid w:val="00DF77DF"/>
    <w:rsid w:val="00DF7812"/>
    <w:rsid w:val="00DF78B3"/>
    <w:rsid w:val="00DF7A43"/>
    <w:rsid w:val="00DF7A7C"/>
    <w:rsid w:val="00DF7AD0"/>
    <w:rsid w:val="00DF7B40"/>
    <w:rsid w:val="00DF7C25"/>
    <w:rsid w:val="00DF7C2D"/>
    <w:rsid w:val="00DF7DA5"/>
    <w:rsid w:val="00DF7DAF"/>
    <w:rsid w:val="00DF7DE4"/>
    <w:rsid w:val="00DF7DE7"/>
    <w:rsid w:val="00DF7E53"/>
    <w:rsid w:val="00DF7EAA"/>
    <w:rsid w:val="00DF7FB6"/>
    <w:rsid w:val="00DF7FBC"/>
    <w:rsid w:val="00E00127"/>
    <w:rsid w:val="00E00178"/>
    <w:rsid w:val="00E0019E"/>
    <w:rsid w:val="00E001C4"/>
    <w:rsid w:val="00E0028E"/>
    <w:rsid w:val="00E0039C"/>
    <w:rsid w:val="00E0047F"/>
    <w:rsid w:val="00E0051F"/>
    <w:rsid w:val="00E0053B"/>
    <w:rsid w:val="00E00562"/>
    <w:rsid w:val="00E0056C"/>
    <w:rsid w:val="00E00587"/>
    <w:rsid w:val="00E00611"/>
    <w:rsid w:val="00E0082D"/>
    <w:rsid w:val="00E0085E"/>
    <w:rsid w:val="00E00860"/>
    <w:rsid w:val="00E0092E"/>
    <w:rsid w:val="00E00972"/>
    <w:rsid w:val="00E00A9A"/>
    <w:rsid w:val="00E00AD1"/>
    <w:rsid w:val="00E00ADB"/>
    <w:rsid w:val="00E00C94"/>
    <w:rsid w:val="00E00D09"/>
    <w:rsid w:val="00E00D57"/>
    <w:rsid w:val="00E00DF5"/>
    <w:rsid w:val="00E00ED4"/>
    <w:rsid w:val="00E00F17"/>
    <w:rsid w:val="00E010AC"/>
    <w:rsid w:val="00E011EA"/>
    <w:rsid w:val="00E0125E"/>
    <w:rsid w:val="00E01260"/>
    <w:rsid w:val="00E012DB"/>
    <w:rsid w:val="00E0130C"/>
    <w:rsid w:val="00E0138C"/>
    <w:rsid w:val="00E013D1"/>
    <w:rsid w:val="00E01405"/>
    <w:rsid w:val="00E01424"/>
    <w:rsid w:val="00E0153C"/>
    <w:rsid w:val="00E015EC"/>
    <w:rsid w:val="00E0162B"/>
    <w:rsid w:val="00E01647"/>
    <w:rsid w:val="00E01657"/>
    <w:rsid w:val="00E016ED"/>
    <w:rsid w:val="00E01861"/>
    <w:rsid w:val="00E01882"/>
    <w:rsid w:val="00E019A8"/>
    <w:rsid w:val="00E01A26"/>
    <w:rsid w:val="00E01AA8"/>
    <w:rsid w:val="00E01AD0"/>
    <w:rsid w:val="00E01AE8"/>
    <w:rsid w:val="00E01B42"/>
    <w:rsid w:val="00E01B84"/>
    <w:rsid w:val="00E01B95"/>
    <w:rsid w:val="00E01C65"/>
    <w:rsid w:val="00E01C71"/>
    <w:rsid w:val="00E01DF1"/>
    <w:rsid w:val="00E01DF3"/>
    <w:rsid w:val="00E01E9D"/>
    <w:rsid w:val="00E02028"/>
    <w:rsid w:val="00E02158"/>
    <w:rsid w:val="00E02160"/>
    <w:rsid w:val="00E022A3"/>
    <w:rsid w:val="00E02389"/>
    <w:rsid w:val="00E023C5"/>
    <w:rsid w:val="00E023F5"/>
    <w:rsid w:val="00E02420"/>
    <w:rsid w:val="00E0244B"/>
    <w:rsid w:val="00E02549"/>
    <w:rsid w:val="00E0258B"/>
    <w:rsid w:val="00E0259A"/>
    <w:rsid w:val="00E025AD"/>
    <w:rsid w:val="00E025E0"/>
    <w:rsid w:val="00E026C2"/>
    <w:rsid w:val="00E028E7"/>
    <w:rsid w:val="00E029A6"/>
    <w:rsid w:val="00E029E9"/>
    <w:rsid w:val="00E029EF"/>
    <w:rsid w:val="00E02A54"/>
    <w:rsid w:val="00E02B9C"/>
    <w:rsid w:val="00E02CF8"/>
    <w:rsid w:val="00E02E41"/>
    <w:rsid w:val="00E02EE5"/>
    <w:rsid w:val="00E02EF8"/>
    <w:rsid w:val="00E02F1B"/>
    <w:rsid w:val="00E02F2C"/>
    <w:rsid w:val="00E030B8"/>
    <w:rsid w:val="00E0318A"/>
    <w:rsid w:val="00E031C0"/>
    <w:rsid w:val="00E0325C"/>
    <w:rsid w:val="00E0329E"/>
    <w:rsid w:val="00E03301"/>
    <w:rsid w:val="00E0341F"/>
    <w:rsid w:val="00E0345E"/>
    <w:rsid w:val="00E034E8"/>
    <w:rsid w:val="00E03708"/>
    <w:rsid w:val="00E037F1"/>
    <w:rsid w:val="00E0387D"/>
    <w:rsid w:val="00E038F2"/>
    <w:rsid w:val="00E0397C"/>
    <w:rsid w:val="00E03A6A"/>
    <w:rsid w:val="00E03A9D"/>
    <w:rsid w:val="00E03B22"/>
    <w:rsid w:val="00E03B3E"/>
    <w:rsid w:val="00E03C40"/>
    <w:rsid w:val="00E03DF3"/>
    <w:rsid w:val="00E03E13"/>
    <w:rsid w:val="00E03EB8"/>
    <w:rsid w:val="00E03F74"/>
    <w:rsid w:val="00E04072"/>
    <w:rsid w:val="00E0407B"/>
    <w:rsid w:val="00E040A0"/>
    <w:rsid w:val="00E041AC"/>
    <w:rsid w:val="00E042BE"/>
    <w:rsid w:val="00E04315"/>
    <w:rsid w:val="00E0443E"/>
    <w:rsid w:val="00E0444F"/>
    <w:rsid w:val="00E0446B"/>
    <w:rsid w:val="00E044B9"/>
    <w:rsid w:val="00E0459F"/>
    <w:rsid w:val="00E045B2"/>
    <w:rsid w:val="00E045CB"/>
    <w:rsid w:val="00E04650"/>
    <w:rsid w:val="00E046DE"/>
    <w:rsid w:val="00E04707"/>
    <w:rsid w:val="00E0473F"/>
    <w:rsid w:val="00E04A80"/>
    <w:rsid w:val="00E04ACB"/>
    <w:rsid w:val="00E04D8F"/>
    <w:rsid w:val="00E04E02"/>
    <w:rsid w:val="00E04E93"/>
    <w:rsid w:val="00E04EBD"/>
    <w:rsid w:val="00E050E6"/>
    <w:rsid w:val="00E0511E"/>
    <w:rsid w:val="00E05125"/>
    <w:rsid w:val="00E051E8"/>
    <w:rsid w:val="00E051FB"/>
    <w:rsid w:val="00E0521F"/>
    <w:rsid w:val="00E05294"/>
    <w:rsid w:val="00E052B2"/>
    <w:rsid w:val="00E053B6"/>
    <w:rsid w:val="00E0542A"/>
    <w:rsid w:val="00E05466"/>
    <w:rsid w:val="00E05491"/>
    <w:rsid w:val="00E0549A"/>
    <w:rsid w:val="00E0550F"/>
    <w:rsid w:val="00E0553B"/>
    <w:rsid w:val="00E0554E"/>
    <w:rsid w:val="00E055AD"/>
    <w:rsid w:val="00E055C8"/>
    <w:rsid w:val="00E055CB"/>
    <w:rsid w:val="00E0561C"/>
    <w:rsid w:val="00E05694"/>
    <w:rsid w:val="00E0573C"/>
    <w:rsid w:val="00E057D1"/>
    <w:rsid w:val="00E05808"/>
    <w:rsid w:val="00E0599A"/>
    <w:rsid w:val="00E05A20"/>
    <w:rsid w:val="00E05B8F"/>
    <w:rsid w:val="00E05C01"/>
    <w:rsid w:val="00E05CF9"/>
    <w:rsid w:val="00E05D18"/>
    <w:rsid w:val="00E05E1E"/>
    <w:rsid w:val="00E05F0F"/>
    <w:rsid w:val="00E05F6C"/>
    <w:rsid w:val="00E0615B"/>
    <w:rsid w:val="00E0618F"/>
    <w:rsid w:val="00E0627B"/>
    <w:rsid w:val="00E0628D"/>
    <w:rsid w:val="00E062B6"/>
    <w:rsid w:val="00E062E1"/>
    <w:rsid w:val="00E06392"/>
    <w:rsid w:val="00E06455"/>
    <w:rsid w:val="00E0646D"/>
    <w:rsid w:val="00E06475"/>
    <w:rsid w:val="00E064D4"/>
    <w:rsid w:val="00E0652B"/>
    <w:rsid w:val="00E06573"/>
    <w:rsid w:val="00E06623"/>
    <w:rsid w:val="00E0668F"/>
    <w:rsid w:val="00E066EF"/>
    <w:rsid w:val="00E06799"/>
    <w:rsid w:val="00E067CB"/>
    <w:rsid w:val="00E067D0"/>
    <w:rsid w:val="00E067FD"/>
    <w:rsid w:val="00E06814"/>
    <w:rsid w:val="00E06891"/>
    <w:rsid w:val="00E068A6"/>
    <w:rsid w:val="00E068E7"/>
    <w:rsid w:val="00E06A27"/>
    <w:rsid w:val="00E06A48"/>
    <w:rsid w:val="00E06B39"/>
    <w:rsid w:val="00E06CC1"/>
    <w:rsid w:val="00E06DB7"/>
    <w:rsid w:val="00E06E19"/>
    <w:rsid w:val="00E06EA3"/>
    <w:rsid w:val="00E06F72"/>
    <w:rsid w:val="00E07021"/>
    <w:rsid w:val="00E0708A"/>
    <w:rsid w:val="00E070C1"/>
    <w:rsid w:val="00E070F7"/>
    <w:rsid w:val="00E0714F"/>
    <w:rsid w:val="00E07197"/>
    <w:rsid w:val="00E07276"/>
    <w:rsid w:val="00E07300"/>
    <w:rsid w:val="00E07389"/>
    <w:rsid w:val="00E07435"/>
    <w:rsid w:val="00E074B7"/>
    <w:rsid w:val="00E074FE"/>
    <w:rsid w:val="00E07512"/>
    <w:rsid w:val="00E075B1"/>
    <w:rsid w:val="00E075EB"/>
    <w:rsid w:val="00E0771D"/>
    <w:rsid w:val="00E07797"/>
    <w:rsid w:val="00E077B6"/>
    <w:rsid w:val="00E0780D"/>
    <w:rsid w:val="00E07822"/>
    <w:rsid w:val="00E07824"/>
    <w:rsid w:val="00E0783D"/>
    <w:rsid w:val="00E07899"/>
    <w:rsid w:val="00E078A5"/>
    <w:rsid w:val="00E07A12"/>
    <w:rsid w:val="00E07A4C"/>
    <w:rsid w:val="00E07AB0"/>
    <w:rsid w:val="00E07C13"/>
    <w:rsid w:val="00E07C1C"/>
    <w:rsid w:val="00E07C4F"/>
    <w:rsid w:val="00E07C8D"/>
    <w:rsid w:val="00E07DDA"/>
    <w:rsid w:val="00E07E2D"/>
    <w:rsid w:val="00E07EF4"/>
    <w:rsid w:val="00E07F32"/>
    <w:rsid w:val="00E07FE0"/>
    <w:rsid w:val="00E07FFD"/>
    <w:rsid w:val="00E10016"/>
    <w:rsid w:val="00E1001E"/>
    <w:rsid w:val="00E10053"/>
    <w:rsid w:val="00E102E7"/>
    <w:rsid w:val="00E10405"/>
    <w:rsid w:val="00E10455"/>
    <w:rsid w:val="00E1054D"/>
    <w:rsid w:val="00E10558"/>
    <w:rsid w:val="00E105D4"/>
    <w:rsid w:val="00E105DF"/>
    <w:rsid w:val="00E105EB"/>
    <w:rsid w:val="00E1073F"/>
    <w:rsid w:val="00E107D4"/>
    <w:rsid w:val="00E109C0"/>
    <w:rsid w:val="00E10B68"/>
    <w:rsid w:val="00E10BA4"/>
    <w:rsid w:val="00E10CD2"/>
    <w:rsid w:val="00E10CF4"/>
    <w:rsid w:val="00E10D81"/>
    <w:rsid w:val="00E10DB1"/>
    <w:rsid w:val="00E10E3C"/>
    <w:rsid w:val="00E10E90"/>
    <w:rsid w:val="00E11028"/>
    <w:rsid w:val="00E11182"/>
    <w:rsid w:val="00E111B7"/>
    <w:rsid w:val="00E11271"/>
    <w:rsid w:val="00E112A4"/>
    <w:rsid w:val="00E112BF"/>
    <w:rsid w:val="00E11320"/>
    <w:rsid w:val="00E11437"/>
    <w:rsid w:val="00E1158D"/>
    <w:rsid w:val="00E11630"/>
    <w:rsid w:val="00E1168D"/>
    <w:rsid w:val="00E117BF"/>
    <w:rsid w:val="00E118D1"/>
    <w:rsid w:val="00E11A89"/>
    <w:rsid w:val="00E11CC5"/>
    <w:rsid w:val="00E11D1C"/>
    <w:rsid w:val="00E11DFE"/>
    <w:rsid w:val="00E11F32"/>
    <w:rsid w:val="00E11FE3"/>
    <w:rsid w:val="00E12141"/>
    <w:rsid w:val="00E12195"/>
    <w:rsid w:val="00E121D2"/>
    <w:rsid w:val="00E1227D"/>
    <w:rsid w:val="00E123DD"/>
    <w:rsid w:val="00E12431"/>
    <w:rsid w:val="00E12445"/>
    <w:rsid w:val="00E12493"/>
    <w:rsid w:val="00E124E1"/>
    <w:rsid w:val="00E124F1"/>
    <w:rsid w:val="00E1266F"/>
    <w:rsid w:val="00E126BC"/>
    <w:rsid w:val="00E12705"/>
    <w:rsid w:val="00E128B2"/>
    <w:rsid w:val="00E12AFB"/>
    <w:rsid w:val="00E12B05"/>
    <w:rsid w:val="00E12B21"/>
    <w:rsid w:val="00E12B9C"/>
    <w:rsid w:val="00E12BC5"/>
    <w:rsid w:val="00E12BC7"/>
    <w:rsid w:val="00E12C0B"/>
    <w:rsid w:val="00E12C5E"/>
    <w:rsid w:val="00E12D12"/>
    <w:rsid w:val="00E12F9A"/>
    <w:rsid w:val="00E12FFB"/>
    <w:rsid w:val="00E13036"/>
    <w:rsid w:val="00E130B9"/>
    <w:rsid w:val="00E130C2"/>
    <w:rsid w:val="00E13326"/>
    <w:rsid w:val="00E1338F"/>
    <w:rsid w:val="00E133C7"/>
    <w:rsid w:val="00E1347D"/>
    <w:rsid w:val="00E134A7"/>
    <w:rsid w:val="00E1353C"/>
    <w:rsid w:val="00E13638"/>
    <w:rsid w:val="00E136AA"/>
    <w:rsid w:val="00E13780"/>
    <w:rsid w:val="00E13874"/>
    <w:rsid w:val="00E13906"/>
    <w:rsid w:val="00E139B0"/>
    <w:rsid w:val="00E13A0B"/>
    <w:rsid w:val="00E13A24"/>
    <w:rsid w:val="00E13A72"/>
    <w:rsid w:val="00E13AB9"/>
    <w:rsid w:val="00E13B30"/>
    <w:rsid w:val="00E13B5D"/>
    <w:rsid w:val="00E13B78"/>
    <w:rsid w:val="00E13B84"/>
    <w:rsid w:val="00E13BBE"/>
    <w:rsid w:val="00E13C4F"/>
    <w:rsid w:val="00E13CB0"/>
    <w:rsid w:val="00E13CFA"/>
    <w:rsid w:val="00E13DC0"/>
    <w:rsid w:val="00E13E1B"/>
    <w:rsid w:val="00E13F9C"/>
    <w:rsid w:val="00E1416D"/>
    <w:rsid w:val="00E1417C"/>
    <w:rsid w:val="00E14228"/>
    <w:rsid w:val="00E142DF"/>
    <w:rsid w:val="00E142EB"/>
    <w:rsid w:val="00E14472"/>
    <w:rsid w:val="00E144FC"/>
    <w:rsid w:val="00E145A2"/>
    <w:rsid w:val="00E14743"/>
    <w:rsid w:val="00E14833"/>
    <w:rsid w:val="00E148E5"/>
    <w:rsid w:val="00E14921"/>
    <w:rsid w:val="00E14A74"/>
    <w:rsid w:val="00E14B97"/>
    <w:rsid w:val="00E14BE2"/>
    <w:rsid w:val="00E14C9A"/>
    <w:rsid w:val="00E14DFA"/>
    <w:rsid w:val="00E14EB6"/>
    <w:rsid w:val="00E14EE3"/>
    <w:rsid w:val="00E1506E"/>
    <w:rsid w:val="00E15080"/>
    <w:rsid w:val="00E150A1"/>
    <w:rsid w:val="00E15109"/>
    <w:rsid w:val="00E15197"/>
    <w:rsid w:val="00E15223"/>
    <w:rsid w:val="00E15258"/>
    <w:rsid w:val="00E1536A"/>
    <w:rsid w:val="00E1539A"/>
    <w:rsid w:val="00E153E7"/>
    <w:rsid w:val="00E15454"/>
    <w:rsid w:val="00E15487"/>
    <w:rsid w:val="00E1557C"/>
    <w:rsid w:val="00E1565E"/>
    <w:rsid w:val="00E157B2"/>
    <w:rsid w:val="00E15801"/>
    <w:rsid w:val="00E15918"/>
    <w:rsid w:val="00E1593E"/>
    <w:rsid w:val="00E15A3F"/>
    <w:rsid w:val="00E15A91"/>
    <w:rsid w:val="00E15AEE"/>
    <w:rsid w:val="00E15BF8"/>
    <w:rsid w:val="00E15CEF"/>
    <w:rsid w:val="00E15DBA"/>
    <w:rsid w:val="00E15EA9"/>
    <w:rsid w:val="00E15EB6"/>
    <w:rsid w:val="00E15F6F"/>
    <w:rsid w:val="00E16006"/>
    <w:rsid w:val="00E16017"/>
    <w:rsid w:val="00E16071"/>
    <w:rsid w:val="00E1607F"/>
    <w:rsid w:val="00E16080"/>
    <w:rsid w:val="00E16087"/>
    <w:rsid w:val="00E161F6"/>
    <w:rsid w:val="00E1622B"/>
    <w:rsid w:val="00E16241"/>
    <w:rsid w:val="00E16313"/>
    <w:rsid w:val="00E16539"/>
    <w:rsid w:val="00E16563"/>
    <w:rsid w:val="00E16764"/>
    <w:rsid w:val="00E16801"/>
    <w:rsid w:val="00E1684E"/>
    <w:rsid w:val="00E168E4"/>
    <w:rsid w:val="00E169B8"/>
    <w:rsid w:val="00E16A27"/>
    <w:rsid w:val="00E16B87"/>
    <w:rsid w:val="00E16CF1"/>
    <w:rsid w:val="00E16D17"/>
    <w:rsid w:val="00E16D5E"/>
    <w:rsid w:val="00E16D6D"/>
    <w:rsid w:val="00E16D75"/>
    <w:rsid w:val="00E16DEC"/>
    <w:rsid w:val="00E16E4B"/>
    <w:rsid w:val="00E16FA9"/>
    <w:rsid w:val="00E1702E"/>
    <w:rsid w:val="00E170F3"/>
    <w:rsid w:val="00E17144"/>
    <w:rsid w:val="00E1721D"/>
    <w:rsid w:val="00E172F5"/>
    <w:rsid w:val="00E17326"/>
    <w:rsid w:val="00E173A8"/>
    <w:rsid w:val="00E1758F"/>
    <w:rsid w:val="00E17694"/>
    <w:rsid w:val="00E1769A"/>
    <w:rsid w:val="00E17758"/>
    <w:rsid w:val="00E177CD"/>
    <w:rsid w:val="00E177F4"/>
    <w:rsid w:val="00E17918"/>
    <w:rsid w:val="00E1791E"/>
    <w:rsid w:val="00E17A36"/>
    <w:rsid w:val="00E17A5A"/>
    <w:rsid w:val="00E17B0A"/>
    <w:rsid w:val="00E17B86"/>
    <w:rsid w:val="00E17E12"/>
    <w:rsid w:val="00E17EF7"/>
    <w:rsid w:val="00E17F2E"/>
    <w:rsid w:val="00E1C700"/>
    <w:rsid w:val="00E20075"/>
    <w:rsid w:val="00E20083"/>
    <w:rsid w:val="00E20107"/>
    <w:rsid w:val="00E20145"/>
    <w:rsid w:val="00E201B6"/>
    <w:rsid w:val="00E201F1"/>
    <w:rsid w:val="00E202FB"/>
    <w:rsid w:val="00E203C1"/>
    <w:rsid w:val="00E203EA"/>
    <w:rsid w:val="00E2043A"/>
    <w:rsid w:val="00E2043E"/>
    <w:rsid w:val="00E204BE"/>
    <w:rsid w:val="00E20502"/>
    <w:rsid w:val="00E20548"/>
    <w:rsid w:val="00E20553"/>
    <w:rsid w:val="00E20562"/>
    <w:rsid w:val="00E2057B"/>
    <w:rsid w:val="00E205EB"/>
    <w:rsid w:val="00E20642"/>
    <w:rsid w:val="00E206A5"/>
    <w:rsid w:val="00E2074D"/>
    <w:rsid w:val="00E2078C"/>
    <w:rsid w:val="00E207B7"/>
    <w:rsid w:val="00E207BE"/>
    <w:rsid w:val="00E20835"/>
    <w:rsid w:val="00E20954"/>
    <w:rsid w:val="00E20962"/>
    <w:rsid w:val="00E20A8A"/>
    <w:rsid w:val="00E20C2B"/>
    <w:rsid w:val="00E20C39"/>
    <w:rsid w:val="00E20E64"/>
    <w:rsid w:val="00E20E6F"/>
    <w:rsid w:val="00E20F4F"/>
    <w:rsid w:val="00E20F55"/>
    <w:rsid w:val="00E20FFA"/>
    <w:rsid w:val="00E213A7"/>
    <w:rsid w:val="00E213F3"/>
    <w:rsid w:val="00E2144C"/>
    <w:rsid w:val="00E2163C"/>
    <w:rsid w:val="00E216F9"/>
    <w:rsid w:val="00E2182B"/>
    <w:rsid w:val="00E21B0E"/>
    <w:rsid w:val="00E21B40"/>
    <w:rsid w:val="00E21B4D"/>
    <w:rsid w:val="00E21BA8"/>
    <w:rsid w:val="00E21CEE"/>
    <w:rsid w:val="00E21E37"/>
    <w:rsid w:val="00E21E8C"/>
    <w:rsid w:val="00E21F61"/>
    <w:rsid w:val="00E21F68"/>
    <w:rsid w:val="00E21FB1"/>
    <w:rsid w:val="00E2205A"/>
    <w:rsid w:val="00E221C5"/>
    <w:rsid w:val="00E22252"/>
    <w:rsid w:val="00E2227D"/>
    <w:rsid w:val="00E222B4"/>
    <w:rsid w:val="00E2239B"/>
    <w:rsid w:val="00E223EC"/>
    <w:rsid w:val="00E224AD"/>
    <w:rsid w:val="00E224D1"/>
    <w:rsid w:val="00E224FD"/>
    <w:rsid w:val="00E2253A"/>
    <w:rsid w:val="00E225BA"/>
    <w:rsid w:val="00E228D7"/>
    <w:rsid w:val="00E228F8"/>
    <w:rsid w:val="00E22A22"/>
    <w:rsid w:val="00E22A59"/>
    <w:rsid w:val="00E22A84"/>
    <w:rsid w:val="00E22A93"/>
    <w:rsid w:val="00E22B87"/>
    <w:rsid w:val="00E22D42"/>
    <w:rsid w:val="00E22D67"/>
    <w:rsid w:val="00E22E2E"/>
    <w:rsid w:val="00E22EB2"/>
    <w:rsid w:val="00E22EE6"/>
    <w:rsid w:val="00E22F42"/>
    <w:rsid w:val="00E22FC3"/>
    <w:rsid w:val="00E23212"/>
    <w:rsid w:val="00E23281"/>
    <w:rsid w:val="00E232BB"/>
    <w:rsid w:val="00E232DA"/>
    <w:rsid w:val="00E23351"/>
    <w:rsid w:val="00E23421"/>
    <w:rsid w:val="00E23693"/>
    <w:rsid w:val="00E236D0"/>
    <w:rsid w:val="00E23736"/>
    <w:rsid w:val="00E237DE"/>
    <w:rsid w:val="00E238F7"/>
    <w:rsid w:val="00E23CE6"/>
    <w:rsid w:val="00E23CE8"/>
    <w:rsid w:val="00E23DE7"/>
    <w:rsid w:val="00E23E7C"/>
    <w:rsid w:val="00E23F6B"/>
    <w:rsid w:val="00E241D4"/>
    <w:rsid w:val="00E2421A"/>
    <w:rsid w:val="00E2424B"/>
    <w:rsid w:val="00E24361"/>
    <w:rsid w:val="00E244AD"/>
    <w:rsid w:val="00E2453B"/>
    <w:rsid w:val="00E24580"/>
    <w:rsid w:val="00E245D3"/>
    <w:rsid w:val="00E245FD"/>
    <w:rsid w:val="00E24646"/>
    <w:rsid w:val="00E246F7"/>
    <w:rsid w:val="00E2477F"/>
    <w:rsid w:val="00E24881"/>
    <w:rsid w:val="00E248CF"/>
    <w:rsid w:val="00E248F3"/>
    <w:rsid w:val="00E24925"/>
    <w:rsid w:val="00E24AE5"/>
    <w:rsid w:val="00E24BCE"/>
    <w:rsid w:val="00E24C77"/>
    <w:rsid w:val="00E24C8D"/>
    <w:rsid w:val="00E24CD0"/>
    <w:rsid w:val="00E24D4F"/>
    <w:rsid w:val="00E24D54"/>
    <w:rsid w:val="00E24DAD"/>
    <w:rsid w:val="00E24E04"/>
    <w:rsid w:val="00E24E68"/>
    <w:rsid w:val="00E24F15"/>
    <w:rsid w:val="00E24F1F"/>
    <w:rsid w:val="00E24F39"/>
    <w:rsid w:val="00E24F5A"/>
    <w:rsid w:val="00E24FD0"/>
    <w:rsid w:val="00E2503E"/>
    <w:rsid w:val="00E25071"/>
    <w:rsid w:val="00E2507A"/>
    <w:rsid w:val="00E250DF"/>
    <w:rsid w:val="00E25184"/>
    <w:rsid w:val="00E25268"/>
    <w:rsid w:val="00E252AC"/>
    <w:rsid w:val="00E252C0"/>
    <w:rsid w:val="00E2535E"/>
    <w:rsid w:val="00E25363"/>
    <w:rsid w:val="00E253AC"/>
    <w:rsid w:val="00E253E9"/>
    <w:rsid w:val="00E254D5"/>
    <w:rsid w:val="00E25731"/>
    <w:rsid w:val="00E25751"/>
    <w:rsid w:val="00E2578B"/>
    <w:rsid w:val="00E2585E"/>
    <w:rsid w:val="00E25895"/>
    <w:rsid w:val="00E25A4B"/>
    <w:rsid w:val="00E25AA9"/>
    <w:rsid w:val="00E25ABF"/>
    <w:rsid w:val="00E25B73"/>
    <w:rsid w:val="00E25BB5"/>
    <w:rsid w:val="00E25C31"/>
    <w:rsid w:val="00E25E68"/>
    <w:rsid w:val="00E25E8D"/>
    <w:rsid w:val="00E25FEA"/>
    <w:rsid w:val="00E26065"/>
    <w:rsid w:val="00E26164"/>
    <w:rsid w:val="00E26185"/>
    <w:rsid w:val="00E261CA"/>
    <w:rsid w:val="00E26249"/>
    <w:rsid w:val="00E26289"/>
    <w:rsid w:val="00E262BE"/>
    <w:rsid w:val="00E263F7"/>
    <w:rsid w:val="00E26464"/>
    <w:rsid w:val="00E264A6"/>
    <w:rsid w:val="00E264BD"/>
    <w:rsid w:val="00E264D9"/>
    <w:rsid w:val="00E2653C"/>
    <w:rsid w:val="00E26647"/>
    <w:rsid w:val="00E2668B"/>
    <w:rsid w:val="00E2671E"/>
    <w:rsid w:val="00E26771"/>
    <w:rsid w:val="00E26834"/>
    <w:rsid w:val="00E269D0"/>
    <w:rsid w:val="00E26AD1"/>
    <w:rsid w:val="00E26AEC"/>
    <w:rsid w:val="00E26BD7"/>
    <w:rsid w:val="00E26CEC"/>
    <w:rsid w:val="00E26D5F"/>
    <w:rsid w:val="00E26D6B"/>
    <w:rsid w:val="00E26D8F"/>
    <w:rsid w:val="00E26D99"/>
    <w:rsid w:val="00E26E1E"/>
    <w:rsid w:val="00E26EE3"/>
    <w:rsid w:val="00E26F55"/>
    <w:rsid w:val="00E26FB9"/>
    <w:rsid w:val="00E270A8"/>
    <w:rsid w:val="00E2712C"/>
    <w:rsid w:val="00E2720F"/>
    <w:rsid w:val="00E272AE"/>
    <w:rsid w:val="00E27340"/>
    <w:rsid w:val="00E273C7"/>
    <w:rsid w:val="00E273ED"/>
    <w:rsid w:val="00E27480"/>
    <w:rsid w:val="00E2750A"/>
    <w:rsid w:val="00E27636"/>
    <w:rsid w:val="00E27785"/>
    <w:rsid w:val="00E27789"/>
    <w:rsid w:val="00E277BF"/>
    <w:rsid w:val="00E27836"/>
    <w:rsid w:val="00E27888"/>
    <w:rsid w:val="00E2794B"/>
    <w:rsid w:val="00E27952"/>
    <w:rsid w:val="00E279B9"/>
    <w:rsid w:val="00E279BE"/>
    <w:rsid w:val="00E27A0A"/>
    <w:rsid w:val="00E27A51"/>
    <w:rsid w:val="00E27AB4"/>
    <w:rsid w:val="00E27B6D"/>
    <w:rsid w:val="00E27B89"/>
    <w:rsid w:val="00E27BAD"/>
    <w:rsid w:val="00E27C0C"/>
    <w:rsid w:val="00E27C7A"/>
    <w:rsid w:val="00E27C94"/>
    <w:rsid w:val="00E27D06"/>
    <w:rsid w:val="00E27D33"/>
    <w:rsid w:val="00E27D5D"/>
    <w:rsid w:val="00E27E85"/>
    <w:rsid w:val="00E27EEF"/>
    <w:rsid w:val="00E27F12"/>
    <w:rsid w:val="00E27F23"/>
    <w:rsid w:val="00E300F7"/>
    <w:rsid w:val="00E301F2"/>
    <w:rsid w:val="00E30287"/>
    <w:rsid w:val="00E302E2"/>
    <w:rsid w:val="00E302F7"/>
    <w:rsid w:val="00E302FD"/>
    <w:rsid w:val="00E303A4"/>
    <w:rsid w:val="00E30485"/>
    <w:rsid w:val="00E304BD"/>
    <w:rsid w:val="00E304FC"/>
    <w:rsid w:val="00E30514"/>
    <w:rsid w:val="00E307E8"/>
    <w:rsid w:val="00E30845"/>
    <w:rsid w:val="00E30962"/>
    <w:rsid w:val="00E30A47"/>
    <w:rsid w:val="00E30A5C"/>
    <w:rsid w:val="00E30ADF"/>
    <w:rsid w:val="00E30BDE"/>
    <w:rsid w:val="00E30BEA"/>
    <w:rsid w:val="00E30C4E"/>
    <w:rsid w:val="00E30C83"/>
    <w:rsid w:val="00E30CBB"/>
    <w:rsid w:val="00E30CE1"/>
    <w:rsid w:val="00E30CFE"/>
    <w:rsid w:val="00E30D5A"/>
    <w:rsid w:val="00E30E6F"/>
    <w:rsid w:val="00E30EEE"/>
    <w:rsid w:val="00E30F4E"/>
    <w:rsid w:val="00E31092"/>
    <w:rsid w:val="00E310BD"/>
    <w:rsid w:val="00E31229"/>
    <w:rsid w:val="00E312D0"/>
    <w:rsid w:val="00E31369"/>
    <w:rsid w:val="00E31386"/>
    <w:rsid w:val="00E313D7"/>
    <w:rsid w:val="00E314F0"/>
    <w:rsid w:val="00E31530"/>
    <w:rsid w:val="00E3157D"/>
    <w:rsid w:val="00E315E0"/>
    <w:rsid w:val="00E3168F"/>
    <w:rsid w:val="00E3178A"/>
    <w:rsid w:val="00E318BC"/>
    <w:rsid w:val="00E3194A"/>
    <w:rsid w:val="00E31956"/>
    <w:rsid w:val="00E31A62"/>
    <w:rsid w:val="00E31ADF"/>
    <w:rsid w:val="00E31B26"/>
    <w:rsid w:val="00E31BD1"/>
    <w:rsid w:val="00E31C66"/>
    <w:rsid w:val="00E31D25"/>
    <w:rsid w:val="00E31D7D"/>
    <w:rsid w:val="00E31DA1"/>
    <w:rsid w:val="00E31DA4"/>
    <w:rsid w:val="00E31DCC"/>
    <w:rsid w:val="00E31E97"/>
    <w:rsid w:val="00E320C6"/>
    <w:rsid w:val="00E320D9"/>
    <w:rsid w:val="00E320E6"/>
    <w:rsid w:val="00E321FC"/>
    <w:rsid w:val="00E32262"/>
    <w:rsid w:val="00E32285"/>
    <w:rsid w:val="00E32426"/>
    <w:rsid w:val="00E32462"/>
    <w:rsid w:val="00E32478"/>
    <w:rsid w:val="00E325A8"/>
    <w:rsid w:val="00E325E6"/>
    <w:rsid w:val="00E32629"/>
    <w:rsid w:val="00E3263C"/>
    <w:rsid w:val="00E3265D"/>
    <w:rsid w:val="00E32736"/>
    <w:rsid w:val="00E3278D"/>
    <w:rsid w:val="00E327FC"/>
    <w:rsid w:val="00E329EC"/>
    <w:rsid w:val="00E32A67"/>
    <w:rsid w:val="00E32AD9"/>
    <w:rsid w:val="00E32B3F"/>
    <w:rsid w:val="00E32BC4"/>
    <w:rsid w:val="00E32BE9"/>
    <w:rsid w:val="00E32C43"/>
    <w:rsid w:val="00E32D1F"/>
    <w:rsid w:val="00E32D86"/>
    <w:rsid w:val="00E32E43"/>
    <w:rsid w:val="00E32F17"/>
    <w:rsid w:val="00E33136"/>
    <w:rsid w:val="00E331D0"/>
    <w:rsid w:val="00E33328"/>
    <w:rsid w:val="00E33340"/>
    <w:rsid w:val="00E33408"/>
    <w:rsid w:val="00E33426"/>
    <w:rsid w:val="00E334E3"/>
    <w:rsid w:val="00E334F2"/>
    <w:rsid w:val="00E3352C"/>
    <w:rsid w:val="00E3357A"/>
    <w:rsid w:val="00E3357D"/>
    <w:rsid w:val="00E336E4"/>
    <w:rsid w:val="00E33741"/>
    <w:rsid w:val="00E33767"/>
    <w:rsid w:val="00E337BA"/>
    <w:rsid w:val="00E33931"/>
    <w:rsid w:val="00E33B2B"/>
    <w:rsid w:val="00E33B64"/>
    <w:rsid w:val="00E33BF0"/>
    <w:rsid w:val="00E33C13"/>
    <w:rsid w:val="00E33D83"/>
    <w:rsid w:val="00E33DBA"/>
    <w:rsid w:val="00E33ED4"/>
    <w:rsid w:val="00E33EF8"/>
    <w:rsid w:val="00E34001"/>
    <w:rsid w:val="00E340D6"/>
    <w:rsid w:val="00E3413E"/>
    <w:rsid w:val="00E34193"/>
    <w:rsid w:val="00E341AA"/>
    <w:rsid w:val="00E341DB"/>
    <w:rsid w:val="00E34301"/>
    <w:rsid w:val="00E34354"/>
    <w:rsid w:val="00E34444"/>
    <w:rsid w:val="00E34460"/>
    <w:rsid w:val="00E34550"/>
    <w:rsid w:val="00E346DE"/>
    <w:rsid w:val="00E34A57"/>
    <w:rsid w:val="00E34B41"/>
    <w:rsid w:val="00E34B77"/>
    <w:rsid w:val="00E34C79"/>
    <w:rsid w:val="00E34D0D"/>
    <w:rsid w:val="00E34D1E"/>
    <w:rsid w:val="00E34D2C"/>
    <w:rsid w:val="00E34DC1"/>
    <w:rsid w:val="00E34E0D"/>
    <w:rsid w:val="00E34E4C"/>
    <w:rsid w:val="00E34E66"/>
    <w:rsid w:val="00E34E6B"/>
    <w:rsid w:val="00E34EF2"/>
    <w:rsid w:val="00E34EF6"/>
    <w:rsid w:val="00E34F14"/>
    <w:rsid w:val="00E34F7E"/>
    <w:rsid w:val="00E3510B"/>
    <w:rsid w:val="00E353B9"/>
    <w:rsid w:val="00E35557"/>
    <w:rsid w:val="00E35612"/>
    <w:rsid w:val="00E3567B"/>
    <w:rsid w:val="00E357BA"/>
    <w:rsid w:val="00E357ED"/>
    <w:rsid w:val="00E35922"/>
    <w:rsid w:val="00E35A7F"/>
    <w:rsid w:val="00E35B23"/>
    <w:rsid w:val="00E35B7A"/>
    <w:rsid w:val="00E35BD2"/>
    <w:rsid w:val="00E35DD5"/>
    <w:rsid w:val="00E35E7B"/>
    <w:rsid w:val="00E35ECD"/>
    <w:rsid w:val="00E35EDC"/>
    <w:rsid w:val="00E35EDE"/>
    <w:rsid w:val="00E35F29"/>
    <w:rsid w:val="00E35FC7"/>
    <w:rsid w:val="00E36008"/>
    <w:rsid w:val="00E36083"/>
    <w:rsid w:val="00E3611B"/>
    <w:rsid w:val="00E361F2"/>
    <w:rsid w:val="00E36226"/>
    <w:rsid w:val="00E362DE"/>
    <w:rsid w:val="00E363B5"/>
    <w:rsid w:val="00E3650A"/>
    <w:rsid w:val="00E3663C"/>
    <w:rsid w:val="00E3669B"/>
    <w:rsid w:val="00E3682D"/>
    <w:rsid w:val="00E36860"/>
    <w:rsid w:val="00E3689E"/>
    <w:rsid w:val="00E36901"/>
    <w:rsid w:val="00E36A75"/>
    <w:rsid w:val="00E36A7B"/>
    <w:rsid w:val="00E36A9E"/>
    <w:rsid w:val="00E36B4F"/>
    <w:rsid w:val="00E36BB1"/>
    <w:rsid w:val="00E36C99"/>
    <w:rsid w:val="00E36CE9"/>
    <w:rsid w:val="00E36DE8"/>
    <w:rsid w:val="00E36E6D"/>
    <w:rsid w:val="00E36F17"/>
    <w:rsid w:val="00E36F9C"/>
    <w:rsid w:val="00E37022"/>
    <w:rsid w:val="00E37038"/>
    <w:rsid w:val="00E3705C"/>
    <w:rsid w:val="00E37343"/>
    <w:rsid w:val="00E375F0"/>
    <w:rsid w:val="00E376A9"/>
    <w:rsid w:val="00E37830"/>
    <w:rsid w:val="00E37850"/>
    <w:rsid w:val="00E378F8"/>
    <w:rsid w:val="00E3794F"/>
    <w:rsid w:val="00E379AB"/>
    <w:rsid w:val="00E379B0"/>
    <w:rsid w:val="00E379E8"/>
    <w:rsid w:val="00E37A4F"/>
    <w:rsid w:val="00E37A72"/>
    <w:rsid w:val="00E37AB5"/>
    <w:rsid w:val="00E37B4C"/>
    <w:rsid w:val="00E37BC1"/>
    <w:rsid w:val="00E37C2D"/>
    <w:rsid w:val="00E37E37"/>
    <w:rsid w:val="00E37F94"/>
    <w:rsid w:val="00E4009A"/>
    <w:rsid w:val="00E400B1"/>
    <w:rsid w:val="00E40116"/>
    <w:rsid w:val="00E4019C"/>
    <w:rsid w:val="00E401A9"/>
    <w:rsid w:val="00E401B7"/>
    <w:rsid w:val="00E40223"/>
    <w:rsid w:val="00E402CD"/>
    <w:rsid w:val="00E4038A"/>
    <w:rsid w:val="00E40473"/>
    <w:rsid w:val="00E404E7"/>
    <w:rsid w:val="00E406E0"/>
    <w:rsid w:val="00E406FA"/>
    <w:rsid w:val="00E40741"/>
    <w:rsid w:val="00E407D9"/>
    <w:rsid w:val="00E40850"/>
    <w:rsid w:val="00E4088E"/>
    <w:rsid w:val="00E409FB"/>
    <w:rsid w:val="00E40A0A"/>
    <w:rsid w:val="00E40A9D"/>
    <w:rsid w:val="00E40AC9"/>
    <w:rsid w:val="00E40B37"/>
    <w:rsid w:val="00E40C02"/>
    <w:rsid w:val="00E40C11"/>
    <w:rsid w:val="00E40CA1"/>
    <w:rsid w:val="00E40D00"/>
    <w:rsid w:val="00E40EB7"/>
    <w:rsid w:val="00E40FD2"/>
    <w:rsid w:val="00E41091"/>
    <w:rsid w:val="00E41197"/>
    <w:rsid w:val="00E412E8"/>
    <w:rsid w:val="00E413FD"/>
    <w:rsid w:val="00E4149B"/>
    <w:rsid w:val="00E414D7"/>
    <w:rsid w:val="00E4156E"/>
    <w:rsid w:val="00E415BC"/>
    <w:rsid w:val="00E415D0"/>
    <w:rsid w:val="00E41674"/>
    <w:rsid w:val="00E416C1"/>
    <w:rsid w:val="00E41738"/>
    <w:rsid w:val="00E417F2"/>
    <w:rsid w:val="00E418E7"/>
    <w:rsid w:val="00E419ED"/>
    <w:rsid w:val="00E41AF9"/>
    <w:rsid w:val="00E41C19"/>
    <w:rsid w:val="00E41CB7"/>
    <w:rsid w:val="00E41CFC"/>
    <w:rsid w:val="00E41D03"/>
    <w:rsid w:val="00E41D4D"/>
    <w:rsid w:val="00E41D80"/>
    <w:rsid w:val="00E41DC0"/>
    <w:rsid w:val="00E41DF9"/>
    <w:rsid w:val="00E41E19"/>
    <w:rsid w:val="00E41E42"/>
    <w:rsid w:val="00E41E8F"/>
    <w:rsid w:val="00E41F54"/>
    <w:rsid w:val="00E4204A"/>
    <w:rsid w:val="00E422FC"/>
    <w:rsid w:val="00E42388"/>
    <w:rsid w:val="00E4240D"/>
    <w:rsid w:val="00E42421"/>
    <w:rsid w:val="00E42486"/>
    <w:rsid w:val="00E42525"/>
    <w:rsid w:val="00E42668"/>
    <w:rsid w:val="00E426A5"/>
    <w:rsid w:val="00E426EB"/>
    <w:rsid w:val="00E42726"/>
    <w:rsid w:val="00E427DC"/>
    <w:rsid w:val="00E428E3"/>
    <w:rsid w:val="00E42931"/>
    <w:rsid w:val="00E42A06"/>
    <w:rsid w:val="00E42A89"/>
    <w:rsid w:val="00E42AB0"/>
    <w:rsid w:val="00E42BB1"/>
    <w:rsid w:val="00E42BB5"/>
    <w:rsid w:val="00E42BEC"/>
    <w:rsid w:val="00E42C56"/>
    <w:rsid w:val="00E42C5D"/>
    <w:rsid w:val="00E42C93"/>
    <w:rsid w:val="00E42D03"/>
    <w:rsid w:val="00E42D70"/>
    <w:rsid w:val="00E42E3F"/>
    <w:rsid w:val="00E42E83"/>
    <w:rsid w:val="00E42FFD"/>
    <w:rsid w:val="00E43002"/>
    <w:rsid w:val="00E43024"/>
    <w:rsid w:val="00E430B1"/>
    <w:rsid w:val="00E4315A"/>
    <w:rsid w:val="00E4315E"/>
    <w:rsid w:val="00E431C3"/>
    <w:rsid w:val="00E431C5"/>
    <w:rsid w:val="00E43263"/>
    <w:rsid w:val="00E43278"/>
    <w:rsid w:val="00E432BA"/>
    <w:rsid w:val="00E43377"/>
    <w:rsid w:val="00E4340C"/>
    <w:rsid w:val="00E4352F"/>
    <w:rsid w:val="00E4353A"/>
    <w:rsid w:val="00E4359C"/>
    <w:rsid w:val="00E435A0"/>
    <w:rsid w:val="00E435D2"/>
    <w:rsid w:val="00E4361C"/>
    <w:rsid w:val="00E43642"/>
    <w:rsid w:val="00E43797"/>
    <w:rsid w:val="00E437A0"/>
    <w:rsid w:val="00E437B5"/>
    <w:rsid w:val="00E437C4"/>
    <w:rsid w:val="00E43802"/>
    <w:rsid w:val="00E43845"/>
    <w:rsid w:val="00E4384E"/>
    <w:rsid w:val="00E43A25"/>
    <w:rsid w:val="00E43B67"/>
    <w:rsid w:val="00E43C71"/>
    <w:rsid w:val="00E43E49"/>
    <w:rsid w:val="00E43E7E"/>
    <w:rsid w:val="00E43ED4"/>
    <w:rsid w:val="00E43F69"/>
    <w:rsid w:val="00E43F77"/>
    <w:rsid w:val="00E4406C"/>
    <w:rsid w:val="00E44137"/>
    <w:rsid w:val="00E442A8"/>
    <w:rsid w:val="00E443AC"/>
    <w:rsid w:val="00E44454"/>
    <w:rsid w:val="00E445B6"/>
    <w:rsid w:val="00E445EB"/>
    <w:rsid w:val="00E44711"/>
    <w:rsid w:val="00E4486C"/>
    <w:rsid w:val="00E44984"/>
    <w:rsid w:val="00E4498E"/>
    <w:rsid w:val="00E449F8"/>
    <w:rsid w:val="00E44A14"/>
    <w:rsid w:val="00E44B2F"/>
    <w:rsid w:val="00E44C71"/>
    <w:rsid w:val="00E44D0C"/>
    <w:rsid w:val="00E44D66"/>
    <w:rsid w:val="00E44E37"/>
    <w:rsid w:val="00E44E61"/>
    <w:rsid w:val="00E44F34"/>
    <w:rsid w:val="00E44FF8"/>
    <w:rsid w:val="00E45015"/>
    <w:rsid w:val="00E4509B"/>
    <w:rsid w:val="00E45103"/>
    <w:rsid w:val="00E45300"/>
    <w:rsid w:val="00E45374"/>
    <w:rsid w:val="00E453BE"/>
    <w:rsid w:val="00E453FA"/>
    <w:rsid w:val="00E454A2"/>
    <w:rsid w:val="00E454F2"/>
    <w:rsid w:val="00E45506"/>
    <w:rsid w:val="00E4553D"/>
    <w:rsid w:val="00E455A5"/>
    <w:rsid w:val="00E455D1"/>
    <w:rsid w:val="00E456E1"/>
    <w:rsid w:val="00E456F2"/>
    <w:rsid w:val="00E457B4"/>
    <w:rsid w:val="00E458CE"/>
    <w:rsid w:val="00E4590A"/>
    <w:rsid w:val="00E45971"/>
    <w:rsid w:val="00E459D9"/>
    <w:rsid w:val="00E459E7"/>
    <w:rsid w:val="00E45A59"/>
    <w:rsid w:val="00E45B7C"/>
    <w:rsid w:val="00E45C09"/>
    <w:rsid w:val="00E45C0E"/>
    <w:rsid w:val="00E45C63"/>
    <w:rsid w:val="00E45D5B"/>
    <w:rsid w:val="00E45EF3"/>
    <w:rsid w:val="00E45F0F"/>
    <w:rsid w:val="00E46102"/>
    <w:rsid w:val="00E46112"/>
    <w:rsid w:val="00E4611F"/>
    <w:rsid w:val="00E4626B"/>
    <w:rsid w:val="00E4634B"/>
    <w:rsid w:val="00E46410"/>
    <w:rsid w:val="00E4648B"/>
    <w:rsid w:val="00E464CA"/>
    <w:rsid w:val="00E464E6"/>
    <w:rsid w:val="00E46638"/>
    <w:rsid w:val="00E466CA"/>
    <w:rsid w:val="00E46729"/>
    <w:rsid w:val="00E467FE"/>
    <w:rsid w:val="00E46834"/>
    <w:rsid w:val="00E46844"/>
    <w:rsid w:val="00E4686D"/>
    <w:rsid w:val="00E4689A"/>
    <w:rsid w:val="00E468BE"/>
    <w:rsid w:val="00E468EA"/>
    <w:rsid w:val="00E46991"/>
    <w:rsid w:val="00E46A52"/>
    <w:rsid w:val="00E46B65"/>
    <w:rsid w:val="00E46B85"/>
    <w:rsid w:val="00E46BBF"/>
    <w:rsid w:val="00E46E06"/>
    <w:rsid w:val="00E46F57"/>
    <w:rsid w:val="00E46F97"/>
    <w:rsid w:val="00E46FB1"/>
    <w:rsid w:val="00E46FE5"/>
    <w:rsid w:val="00E4722E"/>
    <w:rsid w:val="00E473A1"/>
    <w:rsid w:val="00E4748B"/>
    <w:rsid w:val="00E474C0"/>
    <w:rsid w:val="00E474D8"/>
    <w:rsid w:val="00E475B9"/>
    <w:rsid w:val="00E47721"/>
    <w:rsid w:val="00E47791"/>
    <w:rsid w:val="00E47795"/>
    <w:rsid w:val="00E477FA"/>
    <w:rsid w:val="00E47875"/>
    <w:rsid w:val="00E47A11"/>
    <w:rsid w:val="00E47BDA"/>
    <w:rsid w:val="00E47C00"/>
    <w:rsid w:val="00E47C1E"/>
    <w:rsid w:val="00E47D33"/>
    <w:rsid w:val="00E47DB8"/>
    <w:rsid w:val="00E47F05"/>
    <w:rsid w:val="00E47F18"/>
    <w:rsid w:val="00E50082"/>
    <w:rsid w:val="00E500BD"/>
    <w:rsid w:val="00E500ED"/>
    <w:rsid w:val="00E501C8"/>
    <w:rsid w:val="00E50267"/>
    <w:rsid w:val="00E50281"/>
    <w:rsid w:val="00E502B9"/>
    <w:rsid w:val="00E5035F"/>
    <w:rsid w:val="00E503BC"/>
    <w:rsid w:val="00E50486"/>
    <w:rsid w:val="00E504FD"/>
    <w:rsid w:val="00E5061A"/>
    <w:rsid w:val="00E506A7"/>
    <w:rsid w:val="00E50713"/>
    <w:rsid w:val="00E5071B"/>
    <w:rsid w:val="00E50745"/>
    <w:rsid w:val="00E50766"/>
    <w:rsid w:val="00E50886"/>
    <w:rsid w:val="00E508FB"/>
    <w:rsid w:val="00E509AF"/>
    <w:rsid w:val="00E509D9"/>
    <w:rsid w:val="00E50A74"/>
    <w:rsid w:val="00E50A96"/>
    <w:rsid w:val="00E50AA2"/>
    <w:rsid w:val="00E50D19"/>
    <w:rsid w:val="00E50ED2"/>
    <w:rsid w:val="00E50F46"/>
    <w:rsid w:val="00E50F8E"/>
    <w:rsid w:val="00E511A0"/>
    <w:rsid w:val="00E5127C"/>
    <w:rsid w:val="00E512CC"/>
    <w:rsid w:val="00E51367"/>
    <w:rsid w:val="00E5139C"/>
    <w:rsid w:val="00E5149E"/>
    <w:rsid w:val="00E5154A"/>
    <w:rsid w:val="00E51580"/>
    <w:rsid w:val="00E51617"/>
    <w:rsid w:val="00E51693"/>
    <w:rsid w:val="00E51706"/>
    <w:rsid w:val="00E51710"/>
    <w:rsid w:val="00E517AC"/>
    <w:rsid w:val="00E51803"/>
    <w:rsid w:val="00E518B1"/>
    <w:rsid w:val="00E5198A"/>
    <w:rsid w:val="00E519FE"/>
    <w:rsid w:val="00E51A57"/>
    <w:rsid w:val="00E51AE8"/>
    <w:rsid w:val="00E51B1A"/>
    <w:rsid w:val="00E51B31"/>
    <w:rsid w:val="00E51C31"/>
    <w:rsid w:val="00E51D32"/>
    <w:rsid w:val="00E51D8A"/>
    <w:rsid w:val="00E51DEB"/>
    <w:rsid w:val="00E51ED1"/>
    <w:rsid w:val="00E51F04"/>
    <w:rsid w:val="00E51F96"/>
    <w:rsid w:val="00E51FDE"/>
    <w:rsid w:val="00E5202A"/>
    <w:rsid w:val="00E520D7"/>
    <w:rsid w:val="00E5225F"/>
    <w:rsid w:val="00E52267"/>
    <w:rsid w:val="00E52321"/>
    <w:rsid w:val="00E52401"/>
    <w:rsid w:val="00E52440"/>
    <w:rsid w:val="00E5253C"/>
    <w:rsid w:val="00E527D3"/>
    <w:rsid w:val="00E527F1"/>
    <w:rsid w:val="00E528C8"/>
    <w:rsid w:val="00E529CA"/>
    <w:rsid w:val="00E52D12"/>
    <w:rsid w:val="00E52E1F"/>
    <w:rsid w:val="00E52E50"/>
    <w:rsid w:val="00E52ED0"/>
    <w:rsid w:val="00E5317A"/>
    <w:rsid w:val="00E53193"/>
    <w:rsid w:val="00E53317"/>
    <w:rsid w:val="00E53328"/>
    <w:rsid w:val="00E53453"/>
    <w:rsid w:val="00E53525"/>
    <w:rsid w:val="00E53653"/>
    <w:rsid w:val="00E536AB"/>
    <w:rsid w:val="00E5373C"/>
    <w:rsid w:val="00E5377E"/>
    <w:rsid w:val="00E53784"/>
    <w:rsid w:val="00E53796"/>
    <w:rsid w:val="00E537DB"/>
    <w:rsid w:val="00E538BE"/>
    <w:rsid w:val="00E539A3"/>
    <w:rsid w:val="00E53AFA"/>
    <w:rsid w:val="00E53BE1"/>
    <w:rsid w:val="00E53D4C"/>
    <w:rsid w:val="00E53E5A"/>
    <w:rsid w:val="00E53FC1"/>
    <w:rsid w:val="00E54103"/>
    <w:rsid w:val="00E5416B"/>
    <w:rsid w:val="00E541D6"/>
    <w:rsid w:val="00E54228"/>
    <w:rsid w:val="00E5428F"/>
    <w:rsid w:val="00E542B5"/>
    <w:rsid w:val="00E542BF"/>
    <w:rsid w:val="00E54311"/>
    <w:rsid w:val="00E5434B"/>
    <w:rsid w:val="00E543AE"/>
    <w:rsid w:val="00E5446C"/>
    <w:rsid w:val="00E54471"/>
    <w:rsid w:val="00E544E1"/>
    <w:rsid w:val="00E54573"/>
    <w:rsid w:val="00E5467F"/>
    <w:rsid w:val="00E547BC"/>
    <w:rsid w:val="00E548D9"/>
    <w:rsid w:val="00E548FC"/>
    <w:rsid w:val="00E54AF2"/>
    <w:rsid w:val="00E54B75"/>
    <w:rsid w:val="00E54BA0"/>
    <w:rsid w:val="00E54BE4"/>
    <w:rsid w:val="00E54CD2"/>
    <w:rsid w:val="00E54E62"/>
    <w:rsid w:val="00E54F6E"/>
    <w:rsid w:val="00E55052"/>
    <w:rsid w:val="00E55082"/>
    <w:rsid w:val="00E55139"/>
    <w:rsid w:val="00E5519C"/>
    <w:rsid w:val="00E551FC"/>
    <w:rsid w:val="00E5523D"/>
    <w:rsid w:val="00E552B6"/>
    <w:rsid w:val="00E55312"/>
    <w:rsid w:val="00E55316"/>
    <w:rsid w:val="00E55328"/>
    <w:rsid w:val="00E5533E"/>
    <w:rsid w:val="00E553E6"/>
    <w:rsid w:val="00E554B3"/>
    <w:rsid w:val="00E5551A"/>
    <w:rsid w:val="00E55572"/>
    <w:rsid w:val="00E557C9"/>
    <w:rsid w:val="00E559C2"/>
    <w:rsid w:val="00E55A34"/>
    <w:rsid w:val="00E55AC8"/>
    <w:rsid w:val="00E55CA8"/>
    <w:rsid w:val="00E55CDD"/>
    <w:rsid w:val="00E55E11"/>
    <w:rsid w:val="00E55E3B"/>
    <w:rsid w:val="00E55EDF"/>
    <w:rsid w:val="00E55F34"/>
    <w:rsid w:val="00E55F7C"/>
    <w:rsid w:val="00E55F9A"/>
    <w:rsid w:val="00E55FCC"/>
    <w:rsid w:val="00E56074"/>
    <w:rsid w:val="00E560AB"/>
    <w:rsid w:val="00E56193"/>
    <w:rsid w:val="00E561D1"/>
    <w:rsid w:val="00E5624C"/>
    <w:rsid w:val="00E56267"/>
    <w:rsid w:val="00E5634F"/>
    <w:rsid w:val="00E565C8"/>
    <w:rsid w:val="00E567B7"/>
    <w:rsid w:val="00E567E0"/>
    <w:rsid w:val="00E56807"/>
    <w:rsid w:val="00E5688E"/>
    <w:rsid w:val="00E56AB2"/>
    <w:rsid w:val="00E56C2D"/>
    <w:rsid w:val="00E56C5E"/>
    <w:rsid w:val="00E56C81"/>
    <w:rsid w:val="00E56C91"/>
    <w:rsid w:val="00E56CA2"/>
    <w:rsid w:val="00E56D29"/>
    <w:rsid w:val="00E56D39"/>
    <w:rsid w:val="00E56DC4"/>
    <w:rsid w:val="00E56E73"/>
    <w:rsid w:val="00E56F00"/>
    <w:rsid w:val="00E56FAA"/>
    <w:rsid w:val="00E57072"/>
    <w:rsid w:val="00E570B3"/>
    <w:rsid w:val="00E570F7"/>
    <w:rsid w:val="00E57185"/>
    <w:rsid w:val="00E574FC"/>
    <w:rsid w:val="00E57529"/>
    <w:rsid w:val="00E5771E"/>
    <w:rsid w:val="00E57752"/>
    <w:rsid w:val="00E57778"/>
    <w:rsid w:val="00E57827"/>
    <w:rsid w:val="00E5782F"/>
    <w:rsid w:val="00E578B7"/>
    <w:rsid w:val="00E579B8"/>
    <w:rsid w:val="00E579FC"/>
    <w:rsid w:val="00E57A34"/>
    <w:rsid w:val="00E57B6E"/>
    <w:rsid w:val="00E57D38"/>
    <w:rsid w:val="00E57D78"/>
    <w:rsid w:val="00E57DCA"/>
    <w:rsid w:val="00E57DEF"/>
    <w:rsid w:val="00E57E5C"/>
    <w:rsid w:val="00E57ED7"/>
    <w:rsid w:val="00E57F16"/>
    <w:rsid w:val="00E6001A"/>
    <w:rsid w:val="00E600E9"/>
    <w:rsid w:val="00E60191"/>
    <w:rsid w:val="00E601A7"/>
    <w:rsid w:val="00E60401"/>
    <w:rsid w:val="00E60476"/>
    <w:rsid w:val="00E6058E"/>
    <w:rsid w:val="00E605AE"/>
    <w:rsid w:val="00E605AF"/>
    <w:rsid w:val="00E605D2"/>
    <w:rsid w:val="00E605ED"/>
    <w:rsid w:val="00E6065E"/>
    <w:rsid w:val="00E607CF"/>
    <w:rsid w:val="00E60889"/>
    <w:rsid w:val="00E60934"/>
    <w:rsid w:val="00E6099F"/>
    <w:rsid w:val="00E60AFE"/>
    <w:rsid w:val="00E60C1A"/>
    <w:rsid w:val="00E60C5C"/>
    <w:rsid w:val="00E60C6A"/>
    <w:rsid w:val="00E60CAB"/>
    <w:rsid w:val="00E60CBB"/>
    <w:rsid w:val="00E60CE5"/>
    <w:rsid w:val="00E60D25"/>
    <w:rsid w:val="00E60D50"/>
    <w:rsid w:val="00E60E47"/>
    <w:rsid w:val="00E60E56"/>
    <w:rsid w:val="00E60E75"/>
    <w:rsid w:val="00E60FD1"/>
    <w:rsid w:val="00E611BD"/>
    <w:rsid w:val="00E6120F"/>
    <w:rsid w:val="00E61253"/>
    <w:rsid w:val="00E6128A"/>
    <w:rsid w:val="00E612BE"/>
    <w:rsid w:val="00E613BD"/>
    <w:rsid w:val="00E61429"/>
    <w:rsid w:val="00E614D3"/>
    <w:rsid w:val="00E61544"/>
    <w:rsid w:val="00E61590"/>
    <w:rsid w:val="00E615F2"/>
    <w:rsid w:val="00E6160D"/>
    <w:rsid w:val="00E61736"/>
    <w:rsid w:val="00E61762"/>
    <w:rsid w:val="00E6188C"/>
    <w:rsid w:val="00E618E7"/>
    <w:rsid w:val="00E6197E"/>
    <w:rsid w:val="00E61A38"/>
    <w:rsid w:val="00E61A46"/>
    <w:rsid w:val="00E61A9A"/>
    <w:rsid w:val="00E61BB3"/>
    <w:rsid w:val="00E61C5D"/>
    <w:rsid w:val="00E61D12"/>
    <w:rsid w:val="00E61D39"/>
    <w:rsid w:val="00E61DF2"/>
    <w:rsid w:val="00E61E7C"/>
    <w:rsid w:val="00E61EA2"/>
    <w:rsid w:val="00E61F69"/>
    <w:rsid w:val="00E61FC9"/>
    <w:rsid w:val="00E620A9"/>
    <w:rsid w:val="00E620AC"/>
    <w:rsid w:val="00E621A3"/>
    <w:rsid w:val="00E621B0"/>
    <w:rsid w:val="00E6228E"/>
    <w:rsid w:val="00E622EA"/>
    <w:rsid w:val="00E6236D"/>
    <w:rsid w:val="00E62376"/>
    <w:rsid w:val="00E623C5"/>
    <w:rsid w:val="00E62447"/>
    <w:rsid w:val="00E6248E"/>
    <w:rsid w:val="00E624AC"/>
    <w:rsid w:val="00E624BD"/>
    <w:rsid w:val="00E6256B"/>
    <w:rsid w:val="00E625AF"/>
    <w:rsid w:val="00E62731"/>
    <w:rsid w:val="00E6279B"/>
    <w:rsid w:val="00E62801"/>
    <w:rsid w:val="00E62841"/>
    <w:rsid w:val="00E628B3"/>
    <w:rsid w:val="00E6298F"/>
    <w:rsid w:val="00E62A19"/>
    <w:rsid w:val="00E62A1B"/>
    <w:rsid w:val="00E62A36"/>
    <w:rsid w:val="00E62A62"/>
    <w:rsid w:val="00E62AB1"/>
    <w:rsid w:val="00E62ACB"/>
    <w:rsid w:val="00E62B5A"/>
    <w:rsid w:val="00E62C6F"/>
    <w:rsid w:val="00E62D0D"/>
    <w:rsid w:val="00E62DA5"/>
    <w:rsid w:val="00E62E44"/>
    <w:rsid w:val="00E62EB4"/>
    <w:rsid w:val="00E62F6E"/>
    <w:rsid w:val="00E6307D"/>
    <w:rsid w:val="00E6318B"/>
    <w:rsid w:val="00E63231"/>
    <w:rsid w:val="00E63286"/>
    <w:rsid w:val="00E6336F"/>
    <w:rsid w:val="00E6339B"/>
    <w:rsid w:val="00E63544"/>
    <w:rsid w:val="00E63641"/>
    <w:rsid w:val="00E636D3"/>
    <w:rsid w:val="00E63759"/>
    <w:rsid w:val="00E6376F"/>
    <w:rsid w:val="00E637F6"/>
    <w:rsid w:val="00E638C7"/>
    <w:rsid w:val="00E638E3"/>
    <w:rsid w:val="00E6393A"/>
    <w:rsid w:val="00E63AC8"/>
    <w:rsid w:val="00E63C01"/>
    <w:rsid w:val="00E63C68"/>
    <w:rsid w:val="00E63D0F"/>
    <w:rsid w:val="00E63D4F"/>
    <w:rsid w:val="00E63E51"/>
    <w:rsid w:val="00E63E6B"/>
    <w:rsid w:val="00E63E75"/>
    <w:rsid w:val="00E63EC2"/>
    <w:rsid w:val="00E641C3"/>
    <w:rsid w:val="00E64288"/>
    <w:rsid w:val="00E64326"/>
    <w:rsid w:val="00E643DA"/>
    <w:rsid w:val="00E64455"/>
    <w:rsid w:val="00E6447A"/>
    <w:rsid w:val="00E64519"/>
    <w:rsid w:val="00E6451D"/>
    <w:rsid w:val="00E64737"/>
    <w:rsid w:val="00E648F9"/>
    <w:rsid w:val="00E64C8D"/>
    <w:rsid w:val="00E64CF2"/>
    <w:rsid w:val="00E64E63"/>
    <w:rsid w:val="00E64F45"/>
    <w:rsid w:val="00E64F53"/>
    <w:rsid w:val="00E64FB7"/>
    <w:rsid w:val="00E65062"/>
    <w:rsid w:val="00E65081"/>
    <w:rsid w:val="00E65086"/>
    <w:rsid w:val="00E65107"/>
    <w:rsid w:val="00E65162"/>
    <w:rsid w:val="00E651CE"/>
    <w:rsid w:val="00E65220"/>
    <w:rsid w:val="00E652CF"/>
    <w:rsid w:val="00E652D8"/>
    <w:rsid w:val="00E65307"/>
    <w:rsid w:val="00E6530B"/>
    <w:rsid w:val="00E6531C"/>
    <w:rsid w:val="00E6535D"/>
    <w:rsid w:val="00E65393"/>
    <w:rsid w:val="00E653A8"/>
    <w:rsid w:val="00E65517"/>
    <w:rsid w:val="00E65592"/>
    <w:rsid w:val="00E655FD"/>
    <w:rsid w:val="00E6569F"/>
    <w:rsid w:val="00E656E6"/>
    <w:rsid w:val="00E657C5"/>
    <w:rsid w:val="00E65840"/>
    <w:rsid w:val="00E658E0"/>
    <w:rsid w:val="00E6593D"/>
    <w:rsid w:val="00E65B6D"/>
    <w:rsid w:val="00E65BC3"/>
    <w:rsid w:val="00E65D16"/>
    <w:rsid w:val="00E65E10"/>
    <w:rsid w:val="00E65E99"/>
    <w:rsid w:val="00E65EE8"/>
    <w:rsid w:val="00E65F92"/>
    <w:rsid w:val="00E66011"/>
    <w:rsid w:val="00E6602C"/>
    <w:rsid w:val="00E66075"/>
    <w:rsid w:val="00E660CE"/>
    <w:rsid w:val="00E6610D"/>
    <w:rsid w:val="00E6611F"/>
    <w:rsid w:val="00E66190"/>
    <w:rsid w:val="00E661A5"/>
    <w:rsid w:val="00E6623A"/>
    <w:rsid w:val="00E663D4"/>
    <w:rsid w:val="00E66608"/>
    <w:rsid w:val="00E666DC"/>
    <w:rsid w:val="00E666E9"/>
    <w:rsid w:val="00E666EC"/>
    <w:rsid w:val="00E6674A"/>
    <w:rsid w:val="00E66861"/>
    <w:rsid w:val="00E66926"/>
    <w:rsid w:val="00E669EE"/>
    <w:rsid w:val="00E66A3F"/>
    <w:rsid w:val="00E66A67"/>
    <w:rsid w:val="00E66AC0"/>
    <w:rsid w:val="00E66AC9"/>
    <w:rsid w:val="00E66B3A"/>
    <w:rsid w:val="00E66CD7"/>
    <w:rsid w:val="00E66D0E"/>
    <w:rsid w:val="00E66E86"/>
    <w:rsid w:val="00E66EC5"/>
    <w:rsid w:val="00E66F0A"/>
    <w:rsid w:val="00E67112"/>
    <w:rsid w:val="00E67429"/>
    <w:rsid w:val="00E67448"/>
    <w:rsid w:val="00E67468"/>
    <w:rsid w:val="00E67555"/>
    <w:rsid w:val="00E6772A"/>
    <w:rsid w:val="00E677A5"/>
    <w:rsid w:val="00E677AC"/>
    <w:rsid w:val="00E67A1E"/>
    <w:rsid w:val="00E67B5E"/>
    <w:rsid w:val="00E67BA6"/>
    <w:rsid w:val="00E67C24"/>
    <w:rsid w:val="00E67CA6"/>
    <w:rsid w:val="00E67DAB"/>
    <w:rsid w:val="00E67EB6"/>
    <w:rsid w:val="00E67F1B"/>
    <w:rsid w:val="00E7030F"/>
    <w:rsid w:val="00E70392"/>
    <w:rsid w:val="00E703AE"/>
    <w:rsid w:val="00E70416"/>
    <w:rsid w:val="00E704AB"/>
    <w:rsid w:val="00E706EC"/>
    <w:rsid w:val="00E70819"/>
    <w:rsid w:val="00E70821"/>
    <w:rsid w:val="00E70881"/>
    <w:rsid w:val="00E7088A"/>
    <w:rsid w:val="00E70901"/>
    <w:rsid w:val="00E70951"/>
    <w:rsid w:val="00E70A6E"/>
    <w:rsid w:val="00E70AE5"/>
    <w:rsid w:val="00E70C15"/>
    <w:rsid w:val="00E70D17"/>
    <w:rsid w:val="00E70D30"/>
    <w:rsid w:val="00E70DC3"/>
    <w:rsid w:val="00E70DD0"/>
    <w:rsid w:val="00E70E09"/>
    <w:rsid w:val="00E70EAA"/>
    <w:rsid w:val="00E70F13"/>
    <w:rsid w:val="00E70F3C"/>
    <w:rsid w:val="00E70F61"/>
    <w:rsid w:val="00E7108F"/>
    <w:rsid w:val="00E711F4"/>
    <w:rsid w:val="00E71245"/>
    <w:rsid w:val="00E71278"/>
    <w:rsid w:val="00E7139C"/>
    <w:rsid w:val="00E713EC"/>
    <w:rsid w:val="00E715BC"/>
    <w:rsid w:val="00E7160A"/>
    <w:rsid w:val="00E71656"/>
    <w:rsid w:val="00E716DB"/>
    <w:rsid w:val="00E7172C"/>
    <w:rsid w:val="00E71885"/>
    <w:rsid w:val="00E7188C"/>
    <w:rsid w:val="00E718CC"/>
    <w:rsid w:val="00E719BE"/>
    <w:rsid w:val="00E719CE"/>
    <w:rsid w:val="00E71AEB"/>
    <w:rsid w:val="00E71B5F"/>
    <w:rsid w:val="00E71C9D"/>
    <w:rsid w:val="00E71D02"/>
    <w:rsid w:val="00E71EA9"/>
    <w:rsid w:val="00E71FAA"/>
    <w:rsid w:val="00E71FCF"/>
    <w:rsid w:val="00E71FD6"/>
    <w:rsid w:val="00E72018"/>
    <w:rsid w:val="00E720BE"/>
    <w:rsid w:val="00E720CC"/>
    <w:rsid w:val="00E720D6"/>
    <w:rsid w:val="00E7218F"/>
    <w:rsid w:val="00E721B1"/>
    <w:rsid w:val="00E721B9"/>
    <w:rsid w:val="00E722D5"/>
    <w:rsid w:val="00E7237A"/>
    <w:rsid w:val="00E7244A"/>
    <w:rsid w:val="00E725A5"/>
    <w:rsid w:val="00E7262E"/>
    <w:rsid w:val="00E72637"/>
    <w:rsid w:val="00E7263B"/>
    <w:rsid w:val="00E7266E"/>
    <w:rsid w:val="00E72693"/>
    <w:rsid w:val="00E72733"/>
    <w:rsid w:val="00E728F8"/>
    <w:rsid w:val="00E72998"/>
    <w:rsid w:val="00E72A31"/>
    <w:rsid w:val="00E72A7D"/>
    <w:rsid w:val="00E72AB7"/>
    <w:rsid w:val="00E72ACA"/>
    <w:rsid w:val="00E72B1E"/>
    <w:rsid w:val="00E72B9A"/>
    <w:rsid w:val="00E72BD0"/>
    <w:rsid w:val="00E72C5A"/>
    <w:rsid w:val="00E72CA8"/>
    <w:rsid w:val="00E72CB4"/>
    <w:rsid w:val="00E72CDC"/>
    <w:rsid w:val="00E72D09"/>
    <w:rsid w:val="00E72DDC"/>
    <w:rsid w:val="00E72E23"/>
    <w:rsid w:val="00E72E27"/>
    <w:rsid w:val="00E72FC6"/>
    <w:rsid w:val="00E73036"/>
    <w:rsid w:val="00E73075"/>
    <w:rsid w:val="00E730AC"/>
    <w:rsid w:val="00E731C2"/>
    <w:rsid w:val="00E732EA"/>
    <w:rsid w:val="00E7338B"/>
    <w:rsid w:val="00E733D3"/>
    <w:rsid w:val="00E735BA"/>
    <w:rsid w:val="00E73722"/>
    <w:rsid w:val="00E73766"/>
    <w:rsid w:val="00E737B3"/>
    <w:rsid w:val="00E73914"/>
    <w:rsid w:val="00E73C03"/>
    <w:rsid w:val="00E73C4F"/>
    <w:rsid w:val="00E73CFA"/>
    <w:rsid w:val="00E73D65"/>
    <w:rsid w:val="00E73DB6"/>
    <w:rsid w:val="00E73FF0"/>
    <w:rsid w:val="00E7409E"/>
    <w:rsid w:val="00E74152"/>
    <w:rsid w:val="00E7419B"/>
    <w:rsid w:val="00E741AE"/>
    <w:rsid w:val="00E741C4"/>
    <w:rsid w:val="00E741C9"/>
    <w:rsid w:val="00E74363"/>
    <w:rsid w:val="00E7446E"/>
    <w:rsid w:val="00E744F7"/>
    <w:rsid w:val="00E74584"/>
    <w:rsid w:val="00E746FB"/>
    <w:rsid w:val="00E7491A"/>
    <w:rsid w:val="00E749AE"/>
    <w:rsid w:val="00E749F2"/>
    <w:rsid w:val="00E74AD9"/>
    <w:rsid w:val="00E74AE0"/>
    <w:rsid w:val="00E74B0E"/>
    <w:rsid w:val="00E74C33"/>
    <w:rsid w:val="00E74C9A"/>
    <w:rsid w:val="00E74D60"/>
    <w:rsid w:val="00E74E94"/>
    <w:rsid w:val="00E74EF3"/>
    <w:rsid w:val="00E74F0A"/>
    <w:rsid w:val="00E74F1A"/>
    <w:rsid w:val="00E74F83"/>
    <w:rsid w:val="00E750BA"/>
    <w:rsid w:val="00E751EC"/>
    <w:rsid w:val="00E752B1"/>
    <w:rsid w:val="00E75332"/>
    <w:rsid w:val="00E7561F"/>
    <w:rsid w:val="00E75705"/>
    <w:rsid w:val="00E75726"/>
    <w:rsid w:val="00E75A1E"/>
    <w:rsid w:val="00E75B45"/>
    <w:rsid w:val="00E75C1F"/>
    <w:rsid w:val="00E75C9D"/>
    <w:rsid w:val="00E75D5A"/>
    <w:rsid w:val="00E75D5C"/>
    <w:rsid w:val="00E75D64"/>
    <w:rsid w:val="00E75DFA"/>
    <w:rsid w:val="00E75E8D"/>
    <w:rsid w:val="00E75ED9"/>
    <w:rsid w:val="00E76054"/>
    <w:rsid w:val="00E76094"/>
    <w:rsid w:val="00E760D0"/>
    <w:rsid w:val="00E760FA"/>
    <w:rsid w:val="00E76104"/>
    <w:rsid w:val="00E7610D"/>
    <w:rsid w:val="00E7611A"/>
    <w:rsid w:val="00E76164"/>
    <w:rsid w:val="00E76207"/>
    <w:rsid w:val="00E763ED"/>
    <w:rsid w:val="00E763F5"/>
    <w:rsid w:val="00E7646D"/>
    <w:rsid w:val="00E76475"/>
    <w:rsid w:val="00E76539"/>
    <w:rsid w:val="00E767BC"/>
    <w:rsid w:val="00E76969"/>
    <w:rsid w:val="00E76B37"/>
    <w:rsid w:val="00E76B76"/>
    <w:rsid w:val="00E76B91"/>
    <w:rsid w:val="00E76C24"/>
    <w:rsid w:val="00E76C47"/>
    <w:rsid w:val="00E76CE2"/>
    <w:rsid w:val="00E76D85"/>
    <w:rsid w:val="00E76DF4"/>
    <w:rsid w:val="00E76E0B"/>
    <w:rsid w:val="00E76E11"/>
    <w:rsid w:val="00E76E16"/>
    <w:rsid w:val="00E76EA8"/>
    <w:rsid w:val="00E76EBC"/>
    <w:rsid w:val="00E76FA8"/>
    <w:rsid w:val="00E77068"/>
    <w:rsid w:val="00E7707C"/>
    <w:rsid w:val="00E7712F"/>
    <w:rsid w:val="00E77166"/>
    <w:rsid w:val="00E771D3"/>
    <w:rsid w:val="00E771DA"/>
    <w:rsid w:val="00E77293"/>
    <w:rsid w:val="00E772AE"/>
    <w:rsid w:val="00E77394"/>
    <w:rsid w:val="00E773C7"/>
    <w:rsid w:val="00E77451"/>
    <w:rsid w:val="00E7748C"/>
    <w:rsid w:val="00E7748F"/>
    <w:rsid w:val="00E775D3"/>
    <w:rsid w:val="00E77738"/>
    <w:rsid w:val="00E7776A"/>
    <w:rsid w:val="00E777AE"/>
    <w:rsid w:val="00E777B0"/>
    <w:rsid w:val="00E777BA"/>
    <w:rsid w:val="00E777CB"/>
    <w:rsid w:val="00E777E0"/>
    <w:rsid w:val="00E77883"/>
    <w:rsid w:val="00E778BE"/>
    <w:rsid w:val="00E7795E"/>
    <w:rsid w:val="00E7798C"/>
    <w:rsid w:val="00E77A30"/>
    <w:rsid w:val="00E77AD7"/>
    <w:rsid w:val="00E77B25"/>
    <w:rsid w:val="00E77B88"/>
    <w:rsid w:val="00E77B97"/>
    <w:rsid w:val="00E77B9E"/>
    <w:rsid w:val="00E77BF9"/>
    <w:rsid w:val="00E77C0B"/>
    <w:rsid w:val="00E77D3F"/>
    <w:rsid w:val="00E77D59"/>
    <w:rsid w:val="00E77DA5"/>
    <w:rsid w:val="00E77DA9"/>
    <w:rsid w:val="00E77DE1"/>
    <w:rsid w:val="00E77FCA"/>
    <w:rsid w:val="00E77FEA"/>
    <w:rsid w:val="00E80010"/>
    <w:rsid w:val="00E8004B"/>
    <w:rsid w:val="00E8009D"/>
    <w:rsid w:val="00E800C6"/>
    <w:rsid w:val="00E8014E"/>
    <w:rsid w:val="00E80203"/>
    <w:rsid w:val="00E803D5"/>
    <w:rsid w:val="00E805C2"/>
    <w:rsid w:val="00E805D3"/>
    <w:rsid w:val="00E80615"/>
    <w:rsid w:val="00E8079B"/>
    <w:rsid w:val="00E80872"/>
    <w:rsid w:val="00E8099A"/>
    <w:rsid w:val="00E809EB"/>
    <w:rsid w:val="00E80A9F"/>
    <w:rsid w:val="00E80AB7"/>
    <w:rsid w:val="00E80B9B"/>
    <w:rsid w:val="00E80C6B"/>
    <w:rsid w:val="00E80D46"/>
    <w:rsid w:val="00E80DF1"/>
    <w:rsid w:val="00E80EEA"/>
    <w:rsid w:val="00E80FBD"/>
    <w:rsid w:val="00E80FDF"/>
    <w:rsid w:val="00E811D4"/>
    <w:rsid w:val="00E811F3"/>
    <w:rsid w:val="00E81216"/>
    <w:rsid w:val="00E81254"/>
    <w:rsid w:val="00E8125F"/>
    <w:rsid w:val="00E813AE"/>
    <w:rsid w:val="00E81566"/>
    <w:rsid w:val="00E815C4"/>
    <w:rsid w:val="00E815D6"/>
    <w:rsid w:val="00E816EC"/>
    <w:rsid w:val="00E817B7"/>
    <w:rsid w:val="00E818B5"/>
    <w:rsid w:val="00E818F6"/>
    <w:rsid w:val="00E81983"/>
    <w:rsid w:val="00E81BB8"/>
    <w:rsid w:val="00E81C14"/>
    <w:rsid w:val="00E81CCD"/>
    <w:rsid w:val="00E81D4B"/>
    <w:rsid w:val="00E81D69"/>
    <w:rsid w:val="00E81E3E"/>
    <w:rsid w:val="00E81EA8"/>
    <w:rsid w:val="00E81EB4"/>
    <w:rsid w:val="00E82034"/>
    <w:rsid w:val="00E8205A"/>
    <w:rsid w:val="00E820F6"/>
    <w:rsid w:val="00E82179"/>
    <w:rsid w:val="00E821AC"/>
    <w:rsid w:val="00E821BB"/>
    <w:rsid w:val="00E826BC"/>
    <w:rsid w:val="00E82708"/>
    <w:rsid w:val="00E82715"/>
    <w:rsid w:val="00E82740"/>
    <w:rsid w:val="00E8283B"/>
    <w:rsid w:val="00E829FC"/>
    <w:rsid w:val="00E82B53"/>
    <w:rsid w:val="00E82C33"/>
    <w:rsid w:val="00E82CA4"/>
    <w:rsid w:val="00E82CAE"/>
    <w:rsid w:val="00E82D2E"/>
    <w:rsid w:val="00E82D72"/>
    <w:rsid w:val="00E82DDD"/>
    <w:rsid w:val="00E82DE9"/>
    <w:rsid w:val="00E82DEE"/>
    <w:rsid w:val="00E82E89"/>
    <w:rsid w:val="00E82F47"/>
    <w:rsid w:val="00E82FD1"/>
    <w:rsid w:val="00E830A8"/>
    <w:rsid w:val="00E830B0"/>
    <w:rsid w:val="00E830C2"/>
    <w:rsid w:val="00E83204"/>
    <w:rsid w:val="00E8324F"/>
    <w:rsid w:val="00E83284"/>
    <w:rsid w:val="00E8336A"/>
    <w:rsid w:val="00E8337C"/>
    <w:rsid w:val="00E83386"/>
    <w:rsid w:val="00E8338C"/>
    <w:rsid w:val="00E834C9"/>
    <w:rsid w:val="00E835B9"/>
    <w:rsid w:val="00E835BC"/>
    <w:rsid w:val="00E8363F"/>
    <w:rsid w:val="00E8364A"/>
    <w:rsid w:val="00E836D4"/>
    <w:rsid w:val="00E836E8"/>
    <w:rsid w:val="00E8371A"/>
    <w:rsid w:val="00E83736"/>
    <w:rsid w:val="00E837CD"/>
    <w:rsid w:val="00E83851"/>
    <w:rsid w:val="00E83999"/>
    <w:rsid w:val="00E839B0"/>
    <w:rsid w:val="00E83A9C"/>
    <w:rsid w:val="00E83AAB"/>
    <w:rsid w:val="00E83ADB"/>
    <w:rsid w:val="00E83B51"/>
    <w:rsid w:val="00E83BDB"/>
    <w:rsid w:val="00E83C57"/>
    <w:rsid w:val="00E83CC4"/>
    <w:rsid w:val="00E83D5B"/>
    <w:rsid w:val="00E83D5C"/>
    <w:rsid w:val="00E83D74"/>
    <w:rsid w:val="00E83F2E"/>
    <w:rsid w:val="00E83F6F"/>
    <w:rsid w:val="00E84066"/>
    <w:rsid w:val="00E84091"/>
    <w:rsid w:val="00E84118"/>
    <w:rsid w:val="00E842AF"/>
    <w:rsid w:val="00E84319"/>
    <w:rsid w:val="00E8437E"/>
    <w:rsid w:val="00E844CB"/>
    <w:rsid w:val="00E846C4"/>
    <w:rsid w:val="00E846F9"/>
    <w:rsid w:val="00E84781"/>
    <w:rsid w:val="00E8479F"/>
    <w:rsid w:val="00E847B6"/>
    <w:rsid w:val="00E847BA"/>
    <w:rsid w:val="00E847FC"/>
    <w:rsid w:val="00E848AC"/>
    <w:rsid w:val="00E84992"/>
    <w:rsid w:val="00E849AB"/>
    <w:rsid w:val="00E849BC"/>
    <w:rsid w:val="00E849DA"/>
    <w:rsid w:val="00E84A0C"/>
    <w:rsid w:val="00E84A8F"/>
    <w:rsid w:val="00E84AA3"/>
    <w:rsid w:val="00E84AB3"/>
    <w:rsid w:val="00E84AB4"/>
    <w:rsid w:val="00E84B8B"/>
    <w:rsid w:val="00E84C88"/>
    <w:rsid w:val="00E84CE0"/>
    <w:rsid w:val="00E84E34"/>
    <w:rsid w:val="00E84ECE"/>
    <w:rsid w:val="00E84F2C"/>
    <w:rsid w:val="00E84FA2"/>
    <w:rsid w:val="00E84FE4"/>
    <w:rsid w:val="00E8503D"/>
    <w:rsid w:val="00E8505D"/>
    <w:rsid w:val="00E85066"/>
    <w:rsid w:val="00E850C1"/>
    <w:rsid w:val="00E850EE"/>
    <w:rsid w:val="00E851A9"/>
    <w:rsid w:val="00E852B3"/>
    <w:rsid w:val="00E85365"/>
    <w:rsid w:val="00E85377"/>
    <w:rsid w:val="00E85421"/>
    <w:rsid w:val="00E854BC"/>
    <w:rsid w:val="00E85586"/>
    <w:rsid w:val="00E856EA"/>
    <w:rsid w:val="00E856ED"/>
    <w:rsid w:val="00E85700"/>
    <w:rsid w:val="00E857AD"/>
    <w:rsid w:val="00E857E7"/>
    <w:rsid w:val="00E85820"/>
    <w:rsid w:val="00E85937"/>
    <w:rsid w:val="00E8599E"/>
    <w:rsid w:val="00E85A09"/>
    <w:rsid w:val="00E85A21"/>
    <w:rsid w:val="00E85AC8"/>
    <w:rsid w:val="00E85AEC"/>
    <w:rsid w:val="00E85CE6"/>
    <w:rsid w:val="00E85DEC"/>
    <w:rsid w:val="00E85E61"/>
    <w:rsid w:val="00E861A1"/>
    <w:rsid w:val="00E861C2"/>
    <w:rsid w:val="00E86244"/>
    <w:rsid w:val="00E86298"/>
    <w:rsid w:val="00E862E1"/>
    <w:rsid w:val="00E86317"/>
    <w:rsid w:val="00E8635F"/>
    <w:rsid w:val="00E863D2"/>
    <w:rsid w:val="00E863FC"/>
    <w:rsid w:val="00E86428"/>
    <w:rsid w:val="00E86559"/>
    <w:rsid w:val="00E8657B"/>
    <w:rsid w:val="00E8659C"/>
    <w:rsid w:val="00E86634"/>
    <w:rsid w:val="00E8671F"/>
    <w:rsid w:val="00E86746"/>
    <w:rsid w:val="00E867C6"/>
    <w:rsid w:val="00E868DE"/>
    <w:rsid w:val="00E86CDB"/>
    <w:rsid w:val="00E86FC5"/>
    <w:rsid w:val="00E87023"/>
    <w:rsid w:val="00E87033"/>
    <w:rsid w:val="00E870A4"/>
    <w:rsid w:val="00E87112"/>
    <w:rsid w:val="00E871C6"/>
    <w:rsid w:val="00E8720F"/>
    <w:rsid w:val="00E87219"/>
    <w:rsid w:val="00E8723E"/>
    <w:rsid w:val="00E872AF"/>
    <w:rsid w:val="00E8740B"/>
    <w:rsid w:val="00E87463"/>
    <w:rsid w:val="00E876B1"/>
    <w:rsid w:val="00E87715"/>
    <w:rsid w:val="00E877D3"/>
    <w:rsid w:val="00E877D4"/>
    <w:rsid w:val="00E8782E"/>
    <w:rsid w:val="00E87914"/>
    <w:rsid w:val="00E879C3"/>
    <w:rsid w:val="00E879C8"/>
    <w:rsid w:val="00E87A81"/>
    <w:rsid w:val="00E87B0B"/>
    <w:rsid w:val="00E87B25"/>
    <w:rsid w:val="00E87CB4"/>
    <w:rsid w:val="00E87CC2"/>
    <w:rsid w:val="00E87D46"/>
    <w:rsid w:val="00E87E3A"/>
    <w:rsid w:val="00E87E69"/>
    <w:rsid w:val="00E87FF1"/>
    <w:rsid w:val="00E9010B"/>
    <w:rsid w:val="00E9021D"/>
    <w:rsid w:val="00E902B7"/>
    <w:rsid w:val="00E9030B"/>
    <w:rsid w:val="00E9036E"/>
    <w:rsid w:val="00E903C2"/>
    <w:rsid w:val="00E90431"/>
    <w:rsid w:val="00E90471"/>
    <w:rsid w:val="00E9048D"/>
    <w:rsid w:val="00E905A6"/>
    <w:rsid w:val="00E9060A"/>
    <w:rsid w:val="00E9075D"/>
    <w:rsid w:val="00E90784"/>
    <w:rsid w:val="00E90913"/>
    <w:rsid w:val="00E909E6"/>
    <w:rsid w:val="00E909EF"/>
    <w:rsid w:val="00E90A3E"/>
    <w:rsid w:val="00E90B38"/>
    <w:rsid w:val="00E90B8E"/>
    <w:rsid w:val="00E90E00"/>
    <w:rsid w:val="00E90E1C"/>
    <w:rsid w:val="00E90EAF"/>
    <w:rsid w:val="00E90F1E"/>
    <w:rsid w:val="00E90F2C"/>
    <w:rsid w:val="00E90FD2"/>
    <w:rsid w:val="00E90FE7"/>
    <w:rsid w:val="00E91080"/>
    <w:rsid w:val="00E9130A"/>
    <w:rsid w:val="00E91353"/>
    <w:rsid w:val="00E913D7"/>
    <w:rsid w:val="00E916CF"/>
    <w:rsid w:val="00E91726"/>
    <w:rsid w:val="00E917AD"/>
    <w:rsid w:val="00E91900"/>
    <w:rsid w:val="00E9190C"/>
    <w:rsid w:val="00E919C3"/>
    <w:rsid w:val="00E91A4C"/>
    <w:rsid w:val="00E91A62"/>
    <w:rsid w:val="00E91A9D"/>
    <w:rsid w:val="00E91AA5"/>
    <w:rsid w:val="00E91D06"/>
    <w:rsid w:val="00E91D55"/>
    <w:rsid w:val="00E91DAE"/>
    <w:rsid w:val="00E91E66"/>
    <w:rsid w:val="00E92080"/>
    <w:rsid w:val="00E920B8"/>
    <w:rsid w:val="00E921B5"/>
    <w:rsid w:val="00E921C2"/>
    <w:rsid w:val="00E9220C"/>
    <w:rsid w:val="00E92301"/>
    <w:rsid w:val="00E92364"/>
    <w:rsid w:val="00E9237E"/>
    <w:rsid w:val="00E923A9"/>
    <w:rsid w:val="00E923D0"/>
    <w:rsid w:val="00E92431"/>
    <w:rsid w:val="00E92497"/>
    <w:rsid w:val="00E924EF"/>
    <w:rsid w:val="00E9260D"/>
    <w:rsid w:val="00E926FB"/>
    <w:rsid w:val="00E927DE"/>
    <w:rsid w:val="00E929FE"/>
    <w:rsid w:val="00E92A52"/>
    <w:rsid w:val="00E92A7C"/>
    <w:rsid w:val="00E92AD7"/>
    <w:rsid w:val="00E92B6E"/>
    <w:rsid w:val="00E92D68"/>
    <w:rsid w:val="00E92D9B"/>
    <w:rsid w:val="00E92F17"/>
    <w:rsid w:val="00E92F7D"/>
    <w:rsid w:val="00E92F98"/>
    <w:rsid w:val="00E93166"/>
    <w:rsid w:val="00E931E4"/>
    <w:rsid w:val="00E931F3"/>
    <w:rsid w:val="00E931F6"/>
    <w:rsid w:val="00E932F4"/>
    <w:rsid w:val="00E93311"/>
    <w:rsid w:val="00E9331B"/>
    <w:rsid w:val="00E933D1"/>
    <w:rsid w:val="00E936C4"/>
    <w:rsid w:val="00E93830"/>
    <w:rsid w:val="00E93841"/>
    <w:rsid w:val="00E93849"/>
    <w:rsid w:val="00E939E3"/>
    <w:rsid w:val="00E93A06"/>
    <w:rsid w:val="00E93B2E"/>
    <w:rsid w:val="00E93C68"/>
    <w:rsid w:val="00E93CF9"/>
    <w:rsid w:val="00E93CFC"/>
    <w:rsid w:val="00E93E11"/>
    <w:rsid w:val="00E93EE8"/>
    <w:rsid w:val="00E93F16"/>
    <w:rsid w:val="00E93F70"/>
    <w:rsid w:val="00E93F8D"/>
    <w:rsid w:val="00E93F91"/>
    <w:rsid w:val="00E941F7"/>
    <w:rsid w:val="00E94210"/>
    <w:rsid w:val="00E94225"/>
    <w:rsid w:val="00E94252"/>
    <w:rsid w:val="00E94351"/>
    <w:rsid w:val="00E94363"/>
    <w:rsid w:val="00E9439B"/>
    <w:rsid w:val="00E9460F"/>
    <w:rsid w:val="00E9475F"/>
    <w:rsid w:val="00E9478B"/>
    <w:rsid w:val="00E9499C"/>
    <w:rsid w:val="00E94A85"/>
    <w:rsid w:val="00E94AF2"/>
    <w:rsid w:val="00E94B9A"/>
    <w:rsid w:val="00E94C7E"/>
    <w:rsid w:val="00E94EBD"/>
    <w:rsid w:val="00E94F8D"/>
    <w:rsid w:val="00E9503E"/>
    <w:rsid w:val="00E95046"/>
    <w:rsid w:val="00E9508D"/>
    <w:rsid w:val="00E95175"/>
    <w:rsid w:val="00E95193"/>
    <w:rsid w:val="00E9524B"/>
    <w:rsid w:val="00E95482"/>
    <w:rsid w:val="00E9556B"/>
    <w:rsid w:val="00E955FD"/>
    <w:rsid w:val="00E9562B"/>
    <w:rsid w:val="00E9566F"/>
    <w:rsid w:val="00E95727"/>
    <w:rsid w:val="00E9574E"/>
    <w:rsid w:val="00E9579B"/>
    <w:rsid w:val="00E9582C"/>
    <w:rsid w:val="00E9584D"/>
    <w:rsid w:val="00E958E1"/>
    <w:rsid w:val="00E9594C"/>
    <w:rsid w:val="00E95A8E"/>
    <w:rsid w:val="00E95AA8"/>
    <w:rsid w:val="00E95AD1"/>
    <w:rsid w:val="00E95CA9"/>
    <w:rsid w:val="00E95CFC"/>
    <w:rsid w:val="00E95D20"/>
    <w:rsid w:val="00E95E02"/>
    <w:rsid w:val="00E95E22"/>
    <w:rsid w:val="00E95EB3"/>
    <w:rsid w:val="00E95F05"/>
    <w:rsid w:val="00E96035"/>
    <w:rsid w:val="00E960E2"/>
    <w:rsid w:val="00E96117"/>
    <w:rsid w:val="00E9615C"/>
    <w:rsid w:val="00E961E4"/>
    <w:rsid w:val="00E961E9"/>
    <w:rsid w:val="00E9622A"/>
    <w:rsid w:val="00E962BB"/>
    <w:rsid w:val="00E962CF"/>
    <w:rsid w:val="00E9630B"/>
    <w:rsid w:val="00E96350"/>
    <w:rsid w:val="00E964D4"/>
    <w:rsid w:val="00E964F2"/>
    <w:rsid w:val="00E96557"/>
    <w:rsid w:val="00E9666D"/>
    <w:rsid w:val="00E966D6"/>
    <w:rsid w:val="00E96732"/>
    <w:rsid w:val="00E96894"/>
    <w:rsid w:val="00E968C5"/>
    <w:rsid w:val="00E96A19"/>
    <w:rsid w:val="00E96A93"/>
    <w:rsid w:val="00E96C7E"/>
    <w:rsid w:val="00E96CDE"/>
    <w:rsid w:val="00E96CF9"/>
    <w:rsid w:val="00E96D7C"/>
    <w:rsid w:val="00E96DF5"/>
    <w:rsid w:val="00E96EDD"/>
    <w:rsid w:val="00E96F89"/>
    <w:rsid w:val="00E96FC5"/>
    <w:rsid w:val="00E97085"/>
    <w:rsid w:val="00E970A3"/>
    <w:rsid w:val="00E970C0"/>
    <w:rsid w:val="00E9722E"/>
    <w:rsid w:val="00E9738C"/>
    <w:rsid w:val="00E973B9"/>
    <w:rsid w:val="00E973F2"/>
    <w:rsid w:val="00E97479"/>
    <w:rsid w:val="00E974EF"/>
    <w:rsid w:val="00E97581"/>
    <w:rsid w:val="00E9759B"/>
    <w:rsid w:val="00E9761D"/>
    <w:rsid w:val="00E9764E"/>
    <w:rsid w:val="00E97652"/>
    <w:rsid w:val="00E976A4"/>
    <w:rsid w:val="00E9778C"/>
    <w:rsid w:val="00E9787C"/>
    <w:rsid w:val="00E978C0"/>
    <w:rsid w:val="00E978FD"/>
    <w:rsid w:val="00E97A14"/>
    <w:rsid w:val="00E97A79"/>
    <w:rsid w:val="00E97AD0"/>
    <w:rsid w:val="00E97CE2"/>
    <w:rsid w:val="00E97DA7"/>
    <w:rsid w:val="00E97DC2"/>
    <w:rsid w:val="00E97DD3"/>
    <w:rsid w:val="00E97E7D"/>
    <w:rsid w:val="00E97F91"/>
    <w:rsid w:val="00E97FAE"/>
    <w:rsid w:val="00EA0069"/>
    <w:rsid w:val="00EA0083"/>
    <w:rsid w:val="00EA0136"/>
    <w:rsid w:val="00EA01F8"/>
    <w:rsid w:val="00EA0213"/>
    <w:rsid w:val="00EA02EE"/>
    <w:rsid w:val="00EA0353"/>
    <w:rsid w:val="00EA0386"/>
    <w:rsid w:val="00EA0489"/>
    <w:rsid w:val="00EA0510"/>
    <w:rsid w:val="00EA0542"/>
    <w:rsid w:val="00EA05A3"/>
    <w:rsid w:val="00EA05D2"/>
    <w:rsid w:val="00EA05D4"/>
    <w:rsid w:val="00EA05F7"/>
    <w:rsid w:val="00EA0662"/>
    <w:rsid w:val="00EA073D"/>
    <w:rsid w:val="00EA0807"/>
    <w:rsid w:val="00EA08D2"/>
    <w:rsid w:val="00EA09B7"/>
    <w:rsid w:val="00EA09FB"/>
    <w:rsid w:val="00EA0A7B"/>
    <w:rsid w:val="00EA0B57"/>
    <w:rsid w:val="00EA0C7C"/>
    <w:rsid w:val="00EA0CB0"/>
    <w:rsid w:val="00EA0CF3"/>
    <w:rsid w:val="00EA0D42"/>
    <w:rsid w:val="00EA1008"/>
    <w:rsid w:val="00EA1019"/>
    <w:rsid w:val="00EA1076"/>
    <w:rsid w:val="00EA1186"/>
    <w:rsid w:val="00EA12B8"/>
    <w:rsid w:val="00EA134D"/>
    <w:rsid w:val="00EA13E8"/>
    <w:rsid w:val="00EA1549"/>
    <w:rsid w:val="00EA1580"/>
    <w:rsid w:val="00EA1975"/>
    <w:rsid w:val="00EA19C9"/>
    <w:rsid w:val="00EA1ADA"/>
    <w:rsid w:val="00EA1B0A"/>
    <w:rsid w:val="00EA1B20"/>
    <w:rsid w:val="00EA1B75"/>
    <w:rsid w:val="00EA1BA5"/>
    <w:rsid w:val="00EA1BAB"/>
    <w:rsid w:val="00EA1BD0"/>
    <w:rsid w:val="00EA1C04"/>
    <w:rsid w:val="00EA1C43"/>
    <w:rsid w:val="00EA1CB2"/>
    <w:rsid w:val="00EA1CE1"/>
    <w:rsid w:val="00EA1E57"/>
    <w:rsid w:val="00EA1E77"/>
    <w:rsid w:val="00EA1E97"/>
    <w:rsid w:val="00EA1EDC"/>
    <w:rsid w:val="00EA1EFD"/>
    <w:rsid w:val="00EA1F87"/>
    <w:rsid w:val="00EA2082"/>
    <w:rsid w:val="00EA2090"/>
    <w:rsid w:val="00EA21D0"/>
    <w:rsid w:val="00EA2206"/>
    <w:rsid w:val="00EA222E"/>
    <w:rsid w:val="00EA2236"/>
    <w:rsid w:val="00EA2330"/>
    <w:rsid w:val="00EA23FE"/>
    <w:rsid w:val="00EA2472"/>
    <w:rsid w:val="00EA2498"/>
    <w:rsid w:val="00EA2684"/>
    <w:rsid w:val="00EA2718"/>
    <w:rsid w:val="00EA277A"/>
    <w:rsid w:val="00EA2925"/>
    <w:rsid w:val="00EA2A4A"/>
    <w:rsid w:val="00EA2C01"/>
    <w:rsid w:val="00EA2C77"/>
    <w:rsid w:val="00EA2CC8"/>
    <w:rsid w:val="00EA2DCC"/>
    <w:rsid w:val="00EA2E32"/>
    <w:rsid w:val="00EA2E42"/>
    <w:rsid w:val="00EA2E7E"/>
    <w:rsid w:val="00EA2F70"/>
    <w:rsid w:val="00EA2F97"/>
    <w:rsid w:val="00EA30B6"/>
    <w:rsid w:val="00EA319C"/>
    <w:rsid w:val="00EA3468"/>
    <w:rsid w:val="00EA34C5"/>
    <w:rsid w:val="00EA35AC"/>
    <w:rsid w:val="00EA35C3"/>
    <w:rsid w:val="00EA35DA"/>
    <w:rsid w:val="00EA364A"/>
    <w:rsid w:val="00EA3663"/>
    <w:rsid w:val="00EA36A4"/>
    <w:rsid w:val="00EA36B9"/>
    <w:rsid w:val="00EA36E4"/>
    <w:rsid w:val="00EA36E8"/>
    <w:rsid w:val="00EA3820"/>
    <w:rsid w:val="00EA384F"/>
    <w:rsid w:val="00EA39FA"/>
    <w:rsid w:val="00EA3A2F"/>
    <w:rsid w:val="00EA3ACD"/>
    <w:rsid w:val="00EA3B22"/>
    <w:rsid w:val="00EA3B95"/>
    <w:rsid w:val="00EA3BDD"/>
    <w:rsid w:val="00EA3C47"/>
    <w:rsid w:val="00EA3D39"/>
    <w:rsid w:val="00EA3D5A"/>
    <w:rsid w:val="00EA3E23"/>
    <w:rsid w:val="00EA3E27"/>
    <w:rsid w:val="00EA3E4C"/>
    <w:rsid w:val="00EA3F90"/>
    <w:rsid w:val="00EA4181"/>
    <w:rsid w:val="00EA4225"/>
    <w:rsid w:val="00EA4287"/>
    <w:rsid w:val="00EA4294"/>
    <w:rsid w:val="00EA4302"/>
    <w:rsid w:val="00EA4316"/>
    <w:rsid w:val="00EA4341"/>
    <w:rsid w:val="00EA4363"/>
    <w:rsid w:val="00EA45D6"/>
    <w:rsid w:val="00EA4685"/>
    <w:rsid w:val="00EA46A5"/>
    <w:rsid w:val="00EA46CF"/>
    <w:rsid w:val="00EA47FA"/>
    <w:rsid w:val="00EA4927"/>
    <w:rsid w:val="00EA4955"/>
    <w:rsid w:val="00EA4987"/>
    <w:rsid w:val="00EA4A40"/>
    <w:rsid w:val="00EA4A79"/>
    <w:rsid w:val="00EA4A90"/>
    <w:rsid w:val="00EA4AFF"/>
    <w:rsid w:val="00EA4B46"/>
    <w:rsid w:val="00EA4B61"/>
    <w:rsid w:val="00EA4B91"/>
    <w:rsid w:val="00EA4C68"/>
    <w:rsid w:val="00EA4D1B"/>
    <w:rsid w:val="00EA4DC0"/>
    <w:rsid w:val="00EA4E59"/>
    <w:rsid w:val="00EA4EB5"/>
    <w:rsid w:val="00EA4FB9"/>
    <w:rsid w:val="00EA4FF5"/>
    <w:rsid w:val="00EA5010"/>
    <w:rsid w:val="00EA513A"/>
    <w:rsid w:val="00EA524F"/>
    <w:rsid w:val="00EA52EB"/>
    <w:rsid w:val="00EA538B"/>
    <w:rsid w:val="00EA559E"/>
    <w:rsid w:val="00EA55A9"/>
    <w:rsid w:val="00EA5695"/>
    <w:rsid w:val="00EA56F1"/>
    <w:rsid w:val="00EA5733"/>
    <w:rsid w:val="00EA57B8"/>
    <w:rsid w:val="00EA5867"/>
    <w:rsid w:val="00EA58AC"/>
    <w:rsid w:val="00EA5A5E"/>
    <w:rsid w:val="00EA5B0D"/>
    <w:rsid w:val="00EA5B10"/>
    <w:rsid w:val="00EA5C81"/>
    <w:rsid w:val="00EA5CB7"/>
    <w:rsid w:val="00EA5CBC"/>
    <w:rsid w:val="00EA5CFA"/>
    <w:rsid w:val="00EA5EBF"/>
    <w:rsid w:val="00EA5F2B"/>
    <w:rsid w:val="00EA5F56"/>
    <w:rsid w:val="00EA5FBB"/>
    <w:rsid w:val="00EA5FF2"/>
    <w:rsid w:val="00EA60FC"/>
    <w:rsid w:val="00EA61B9"/>
    <w:rsid w:val="00EA6223"/>
    <w:rsid w:val="00EA631B"/>
    <w:rsid w:val="00EA631C"/>
    <w:rsid w:val="00EA6757"/>
    <w:rsid w:val="00EA678F"/>
    <w:rsid w:val="00EA682A"/>
    <w:rsid w:val="00EA6908"/>
    <w:rsid w:val="00EA693D"/>
    <w:rsid w:val="00EA6BA9"/>
    <w:rsid w:val="00EA6CBE"/>
    <w:rsid w:val="00EA6D48"/>
    <w:rsid w:val="00EA6F03"/>
    <w:rsid w:val="00EA7038"/>
    <w:rsid w:val="00EA7153"/>
    <w:rsid w:val="00EA719E"/>
    <w:rsid w:val="00EA737A"/>
    <w:rsid w:val="00EA739E"/>
    <w:rsid w:val="00EA739F"/>
    <w:rsid w:val="00EA7496"/>
    <w:rsid w:val="00EA74CB"/>
    <w:rsid w:val="00EA7527"/>
    <w:rsid w:val="00EA7600"/>
    <w:rsid w:val="00EA76BD"/>
    <w:rsid w:val="00EA7725"/>
    <w:rsid w:val="00EA7750"/>
    <w:rsid w:val="00EA7809"/>
    <w:rsid w:val="00EA78B5"/>
    <w:rsid w:val="00EA7930"/>
    <w:rsid w:val="00EA79BF"/>
    <w:rsid w:val="00EA79EA"/>
    <w:rsid w:val="00EA7A48"/>
    <w:rsid w:val="00EA7A95"/>
    <w:rsid w:val="00EA7AA5"/>
    <w:rsid w:val="00EA7AA7"/>
    <w:rsid w:val="00EA7AAF"/>
    <w:rsid w:val="00EA7B06"/>
    <w:rsid w:val="00EA7B66"/>
    <w:rsid w:val="00EA7B7B"/>
    <w:rsid w:val="00EA7BCB"/>
    <w:rsid w:val="00EA7D40"/>
    <w:rsid w:val="00EA7EA0"/>
    <w:rsid w:val="00EA7F51"/>
    <w:rsid w:val="00EA7F76"/>
    <w:rsid w:val="00EA7FDF"/>
    <w:rsid w:val="00EA7FE6"/>
    <w:rsid w:val="00EB0065"/>
    <w:rsid w:val="00EB00AF"/>
    <w:rsid w:val="00EB0230"/>
    <w:rsid w:val="00EB045B"/>
    <w:rsid w:val="00EB047D"/>
    <w:rsid w:val="00EB04E6"/>
    <w:rsid w:val="00EB05DB"/>
    <w:rsid w:val="00EB0666"/>
    <w:rsid w:val="00EB068E"/>
    <w:rsid w:val="00EB06A2"/>
    <w:rsid w:val="00EB06EF"/>
    <w:rsid w:val="00EB0771"/>
    <w:rsid w:val="00EB07BA"/>
    <w:rsid w:val="00EB0805"/>
    <w:rsid w:val="00EB0861"/>
    <w:rsid w:val="00EB08AF"/>
    <w:rsid w:val="00EB09C3"/>
    <w:rsid w:val="00EB0A58"/>
    <w:rsid w:val="00EB0A91"/>
    <w:rsid w:val="00EB0AD3"/>
    <w:rsid w:val="00EB0B49"/>
    <w:rsid w:val="00EB0BD5"/>
    <w:rsid w:val="00EB0C1C"/>
    <w:rsid w:val="00EB0CBB"/>
    <w:rsid w:val="00EB0D15"/>
    <w:rsid w:val="00EB0D84"/>
    <w:rsid w:val="00EB0E5E"/>
    <w:rsid w:val="00EB0EFD"/>
    <w:rsid w:val="00EB0F9B"/>
    <w:rsid w:val="00EB0FAF"/>
    <w:rsid w:val="00EB109C"/>
    <w:rsid w:val="00EB11C7"/>
    <w:rsid w:val="00EB123D"/>
    <w:rsid w:val="00EB151B"/>
    <w:rsid w:val="00EB15AF"/>
    <w:rsid w:val="00EB15E0"/>
    <w:rsid w:val="00EB1675"/>
    <w:rsid w:val="00EB19B8"/>
    <w:rsid w:val="00EB1A03"/>
    <w:rsid w:val="00EB1B37"/>
    <w:rsid w:val="00EB1BE4"/>
    <w:rsid w:val="00EB1C75"/>
    <w:rsid w:val="00EB1D89"/>
    <w:rsid w:val="00EB1D92"/>
    <w:rsid w:val="00EB1DB4"/>
    <w:rsid w:val="00EB1EAA"/>
    <w:rsid w:val="00EB1F7A"/>
    <w:rsid w:val="00EB1F81"/>
    <w:rsid w:val="00EB201A"/>
    <w:rsid w:val="00EB208E"/>
    <w:rsid w:val="00EB21F7"/>
    <w:rsid w:val="00EB21FB"/>
    <w:rsid w:val="00EB22B8"/>
    <w:rsid w:val="00EB23E2"/>
    <w:rsid w:val="00EB241E"/>
    <w:rsid w:val="00EB242A"/>
    <w:rsid w:val="00EB245B"/>
    <w:rsid w:val="00EB245F"/>
    <w:rsid w:val="00EB2466"/>
    <w:rsid w:val="00EB24E7"/>
    <w:rsid w:val="00EB25A0"/>
    <w:rsid w:val="00EB2653"/>
    <w:rsid w:val="00EB26D9"/>
    <w:rsid w:val="00EB279C"/>
    <w:rsid w:val="00EB27B7"/>
    <w:rsid w:val="00EB2984"/>
    <w:rsid w:val="00EB29EA"/>
    <w:rsid w:val="00EB2AB3"/>
    <w:rsid w:val="00EB2B8F"/>
    <w:rsid w:val="00EB2BD5"/>
    <w:rsid w:val="00EB2C39"/>
    <w:rsid w:val="00EB2D16"/>
    <w:rsid w:val="00EB2D47"/>
    <w:rsid w:val="00EB2D9C"/>
    <w:rsid w:val="00EB2DC2"/>
    <w:rsid w:val="00EB2E38"/>
    <w:rsid w:val="00EB2F57"/>
    <w:rsid w:val="00EB2F61"/>
    <w:rsid w:val="00EB2F66"/>
    <w:rsid w:val="00EB2FE0"/>
    <w:rsid w:val="00EB306C"/>
    <w:rsid w:val="00EB307C"/>
    <w:rsid w:val="00EB309C"/>
    <w:rsid w:val="00EB30EC"/>
    <w:rsid w:val="00EB31C3"/>
    <w:rsid w:val="00EB3397"/>
    <w:rsid w:val="00EB340E"/>
    <w:rsid w:val="00EB3649"/>
    <w:rsid w:val="00EB36A0"/>
    <w:rsid w:val="00EB378D"/>
    <w:rsid w:val="00EB37A2"/>
    <w:rsid w:val="00EB3813"/>
    <w:rsid w:val="00EB3842"/>
    <w:rsid w:val="00EB387C"/>
    <w:rsid w:val="00EB38FA"/>
    <w:rsid w:val="00EB39D6"/>
    <w:rsid w:val="00EB3A36"/>
    <w:rsid w:val="00EB3A74"/>
    <w:rsid w:val="00EB3B28"/>
    <w:rsid w:val="00EB3B44"/>
    <w:rsid w:val="00EB3BBA"/>
    <w:rsid w:val="00EB3C1E"/>
    <w:rsid w:val="00EB3C20"/>
    <w:rsid w:val="00EB3CED"/>
    <w:rsid w:val="00EB3DF6"/>
    <w:rsid w:val="00EB3E5D"/>
    <w:rsid w:val="00EB3F0B"/>
    <w:rsid w:val="00EB3F3C"/>
    <w:rsid w:val="00EB40B7"/>
    <w:rsid w:val="00EB419D"/>
    <w:rsid w:val="00EB422F"/>
    <w:rsid w:val="00EB4277"/>
    <w:rsid w:val="00EB42F1"/>
    <w:rsid w:val="00EB4387"/>
    <w:rsid w:val="00EB4442"/>
    <w:rsid w:val="00EB4473"/>
    <w:rsid w:val="00EB44CB"/>
    <w:rsid w:val="00EB46AA"/>
    <w:rsid w:val="00EB46F5"/>
    <w:rsid w:val="00EB4782"/>
    <w:rsid w:val="00EB47FC"/>
    <w:rsid w:val="00EB4831"/>
    <w:rsid w:val="00EB4842"/>
    <w:rsid w:val="00EB497E"/>
    <w:rsid w:val="00EB499E"/>
    <w:rsid w:val="00EB4ABD"/>
    <w:rsid w:val="00EB4BBD"/>
    <w:rsid w:val="00EB4C85"/>
    <w:rsid w:val="00EB4CCF"/>
    <w:rsid w:val="00EB4D99"/>
    <w:rsid w:val="00EB4DAD"/>
    <w:rsid w:val="00EB4E5C"/>
    <w:rsid w:val="00EB4F65"/>
    <w:rsid w:val="00EB4F6F"/>
    <w:rsid w:val="00EB4FE4"/>
    <w:rsid w:val="00EB5039"/>
    <w:rsid w:val="00EB509C"/>
    <w:rsid w:val="00EB51E2"/>
    <w:rsid w:val="00EB52A3"/>
    <w:rsid w:val="00EB52E5"/>
    <w:rsid w:val="00EB52E8"/>
    <w:rsid w:val="00EB5354"/>
    <w:rsid w:val="00EB53C8"/>
    <w:rsid w:val="00EB53E5"/>
    <w:rsid w:val="00EB5508"/>
    <w:rsid w:val="00EB5526"/>
    <w:rsid w:val="00EB55DE"/>
    <w:rsid w:val="00EB5649"/>
    <w:rsid w:val="00EB5780"/>
    <w:rsid w:val="00EB580A"/>
    <w:rsid w:val="00EB594A"/>
    <w:rsid w:val="00EB5B35"/>
    <w:rsid w:val="00EB5B3D"/>
    <w:rsid w:val="00EB5D94"/>
    <w:rsid w:val="00EB5DAC"/>
    <w:rsid w:val="00EB5DB1"/>
    <w:rsid w:val="00EB5DBD"/>
    <w:rsid w:val="00EB5DEC"/>
    <w:rsid w:val="00EB5DFC"/>
    <w:rsid w:val="00EB5E1B"/>
    <w:rsid w:val="00EB5F17"/>
    <w:rsid w:val="00EB606A"/>
    <w:rsid w:val="00EB6181"/>
    <w:rsid w:val="00EB61AC"/>
    <w:rsid w:val="00EB61DE"/>
    <w:rsid w:val="00EB6259"/>
    <w:rsid w:val="00EB62CB"/>
    <w:rsid w:val="00EB6310"/>
    <w:rsid w:val="00EB633B"/>
    <w:rsid w:val="00EB637C"/>
    <w:rsid w:val="00EB6495"/>
    <w:rsid w:val="00EB64A1"/>
    <w:rsid w:val="00EB64AE"/>
    <w:rsid w:val="00EB64E8"/>
    <w:rsid w:val="00EB657D"/>
    <w:rsid w:val="00EB66B1"/>
    <w:rsid w:val="00EB6A94"/>
    <w:rsid w:val="00EB6CB0"/>
    <w:rsid w:val="00EB6D09"/>
    <w:rsid w:val="00EB6DB4"/>
    <w:rsid w:val="00EB6DF1"/>
    <w:rsid w:val="00EB6EBB"/>
    <w:rsid w:val="00EB6F42"/>
    <w:rsid w:val="00EB6FD4"/>
    <w:rsid w:val="00EB700C"/>
    <w:rsid w:val="00EB7055"/>
    <w:rsid w:val="00EB707D"/>
    <w:rsid w:val="00EB70E0"/>
    <w:rsid w:val="00EB713D"/>
    <w:rsid w:val="00EB7149"/>
    <w:rsid w:val="00EB7179"/>
    <w:rsid w:val="00EB7205"/>
    <w:rsid w:val="00EB7290"/>
    <w:rsid w:val="00EB736D"/>
    <w:rsid w:val="00EB745A"/>
    <w:rsid w:val="00EB76DE"/>
    <w:rsid w:val="00EB7759"/>
    <w:rsid w:val="00EB77B3"/>
    <w:rsid w:val="00EB7883"/>
    <w:rsid w:val="00EB7896"/>
    <w:rsid w:val="00EB792A"/>
    <w:rsid w:val="00EB7977"/>
    <w:rsid w:val="00EB7A47"/>
    <w:rsid w:val="00EB7AA6"/>
    <w:rsid w:val="00EB7AF5"/>
    <w:rsid w:val="00EB7C5A"/>
    <w:rsid w:val="00EB7D20"/>
    <w:rsid w:val="00EB7D32"/>
    <w:rsid w:val="00EB7F11"/>
    <w:rsid w:val="00EC0000"/>
    <w:rsid w:val="00EC008E"/>
    <w:rsid w:val="00EC00FB"/>
    <w:rsid w:val="00EC031A"/>
    <w:rsid w:val="00EC03AF"/>
    <w:rsid w:val="00EC0431"/>
    <w:rsid w:val="00EC0451"/>
    <w:rsid w:val="00EC04AD"/>
    <w:rsid w:val="00EC0644"/>
    <w:rsid w:val="00EC0696"/>
    <w:rsid w:val="00EC076E"/>
    <w:rsid w:val="00EC07D3"/>
    <w:rsid w:val="00EC08B5"/>
    <w:rsid w:val="00EC0949"/>
    <w:rsid w:val="00EC0A1C"/>
    <w:rsid w:val="00EC0A81"/>
    <w:rsid w:val="00EC0AF9"/>
    <w:rsid w:val="00EC0B2C"/>
    <w:rsid w:val="00EC0B91"/>
    <w:rsid w:val="00EC0C49"/>
    <w:rsid w:val="00EC0CC1"/>
    <w:rsid w:val="00EC0CCD"/>
    <w:rsid w:val="00EC0D81"/>
    <w:rsid w:val="00EC0DBE"/>
    <w:rsid w:val="00EC0E06"/>
    <w:rsid w:val="00EC0E41"/>
    <w:rsid w:val="00EC0E77"/>
    <w:rsid w:val="00EC0EB7"/>
    <w:rsid w:val="00EC105A"/>
    <w:rsid w:val="00EC1149"/>
    <w:rsid w:val="00EC115A"/>
    <w:rsid w:val="00EC1173"/>
    <w:rsid w:val="00EC11AD"/>
    <w:rsid w:val="00EC11C5"/>
    <w:rsid w:val="00EC11D3"/>
    <w:rsid w:val="00EC126C"/>
    <w:rsid w:val="00EC1306"/>
    <w:rsid w:val="00EC133E"/>
    <w:rsid w:val="00EC1494"/>
    <w:rsid w:val="00EC1534"/>
    <w:rsid w:val="00EC15B9"/>
    <w:rsid w:val="00EC15BF"/>
    <w:rsid w:val="00EC167C"/>
    <w:rsid w:val="00EC16E3"/>
    <w:rsid w:val="00EC17AC"/>
    <w:rsid w:val="00EC17DE"/>
    <w:rsid w:val="00EC17F1"/>
    <w:rsid w:val="00EC1871"/>
    <w:rsid w:val="00EC19D9"/>
    <w:rsid w:val="00EC19FB"/>
    <w:rsid w:val="00EC1A6B"/>
    <w:rsid w:val="00EC1BD7"/>
    <w:rsid w:val="00EC1C8B"/>
    <w:rsid w:val="00EC1D25"/>
    <w:rsid w:val="00EC1D53"/>
    <w:rsid w:val="00EC1DFA"/>
    <w:rsid w:val="00EC1F42"/>
    <w:rsid w:val="00EC1F54"/>
    <w:rsid w:val="00EC1FD6"/>
    <w:rsid w:val="00EC2154"/>
    <w:rsid w:val="00EC21F7"/>
    <w:rsid w:val="00EC2309"/>
    <w:rsid w:val="00EC233D"/>
    <w:rsid w:val="00EC23B2"/>
    <w:rsid w:val="00EC240C"/>
    <w:rsid w:val="00EC24CA"/>
    <w:rsid w:val="00EC2506"/>
    <w:rsid w:val="00EC255F"/>
    <w:rsid w:val="00EC25AA"/>
    <w:rsid w:val="00EC2612"/>
    <w:rsid w:val="00EC26C0"/>
    <w:rsid w:val="00EC2717"/>
    <w:rsid w:val="00EC297D"/>
    <w:rsid w:val="00EC29BF"/>
    <w:rsid w:val="00EC2A31"/>
    <w:rsid w:val="00EC2A34"/>
    <w:rsid w:val="00EC2A45"/>
    <w:rsid w:val="00EC2C43"/>
    <w:rsid w:val="00EC2C55"/>
    <w:rsid w:val="00EC2CCD"/>
    <w:rsid w:val="00EC2EA6"/>
    <w:rsid w:val="00EC2EE8"/>
    <w:rsid w:val="00EC302C"/>
    <w:rsid w:val="00EC312B"/>
    <w:rsid w:val="00EC3148"/>
    <w:rsid w:val="00EC314D"/>
    <w:rsid w:val="00EC31A5"/>
    <w:rsid w:val="00EC3203"/>
    <w:rsid w:val="00EC3217"/>
    <w:rsid w:val="00EC3246"/>
    <w:rsid w:val="00EC334E"/>
    <w:rsid w:val="00EC34CF"/>
    <w:rsid w:val="00EC35E3"/>
    <w:rsid w:val="00EC3663"/>
    <w:rsid w:val="00EC37DC"/>
    <w:rsid w:val="00EC380D"/>
    <w:rsid w:val="00EC38CC"/>
    <w:rsid w:val="00EC38DE"/>
    <w:rsid w:val="00EC393B"/>
    <w:rsid w:val="00EC3A1C"/>
    <w:rsid w:val="00EC3A43"/>
    <w:rsid w:val="00EC3A8F"/>
    <w:rsid w:val="00EC3AEF"/>
    <w:rsid w:val="00EC3B20"/>
    <w:rsid w:val="00EC3B3E"/>
    <w:rsid w:val="00EC3B84"/>
    <w:rsid w:val="00EC3B8F"/>
    <w:rsid w:val="00EC3C47"/>
    <w:rsid w:val="00EC3C4C"/>
    <w:rsid w:val="00EC3CD6"/>
    <w:rsid w:val="00EC3D43"/>
    <w:rsid w:val="00EC3D83"/>
    <w:rsid w:val="00EC3FAC"/>
    <w:rsid w:val="00EC412B"/>
    <w:rsid w:val="00EC4175"/>
    <w:rsid w:val="00EC41FC"/>
    <w:rsid w:val="00EC42A1"/>
    <w:rsid w:val="00EC42AA"/>
    <w:rsid w:val="00EC4319"/>
    <w:rsid w:val="00EC4330"/>
    <w:rsid w:val="00EC4355"/>
    <w:rsid w:val="00EC45D7"/>
    <w:rsid w:val="00EC46FC"/>
    <w:rsid w:val="00EC47A0"/>
    <w:rsid w:val="00EC48E6"/>
    <w:rsid w:val="00EC4999"/>
    <w:rsid w:val="00EC49B3"/>
    <w:rsid w:val="00EC49BA"/>
    <w:rsid w:val="00EC49F2"/>
    <w:rsid w:val="00EC4A36"/>
    <w:rsid w:val="00EC4B11"/>
    <w:rsid w:val="00EC4B3A"/>
    <w:rsid w:val="00EC4B89"/>
    <w:rsid w:val="00EC4BE7"/>
    <w:rsid w:val="00EC4C2B"/>
    <w:rsid w:val="00EC4EA1"/>
    <w:rsid w:val="00EC4F25"/>
    <w:rsid w:val="00EC4F5E"/>
    <w:rsid w:val="00EC4F9B"/>
    <w:rsid w:val="00EC5009"/>
    <w:rsid w:val="00EC505E"/>
    <w:rsid w:val="00EC5110"/>
    <w:rsid w:val="00EC5138"/>
    <w:rsid w:val="00EC515A"/>
    <w:rsid w:val="00EC52DB"/>
    <w:rsid w:val="00EC53B8"/>
    <w:rsid w:val="00EC544A"/>
    <w:rsid w:val="00EC55B9"/>
    <w:rsid w:val="00EC5619"/>
    <w:rsid w:val="00EC5704"/>
    <w:rsid w:val="00EC5788"/>
    <w:rsid w:val="00EC579D"/>
    <w:rsid w:val="00EC58F1"/>
    <w:rsid w:val="00EC5942"/>
    <w:rsid w:val="00EC59F1"/>
    <w:rsid w:val="00EC59F8"/>
    <w:rsid w:val="00EC59FC"/>
    <w:rsid w:val="00EC5A0F"/>
    <w:rsid w:val="00EC5A1D"/>
    <w:rsid w:val="00EC5A4E"/>
    <w:rsid w:val="00EC5B3B"/>
    <w:rsid w:val="00EC5B71"/>
    <w:rsid w:val="00EC5CCE"/>
    <w:rsid w:val="00EC5D44"/>
    <w:rsid w:val="00EC5DC6"/>
    <w:rsid w:val="00EC5DCC"/>
    <w:rsid w:val="00EC5DD8"/>
    <w:rsid w:val="00EC5E9D"/>
    <w:rsid w:val="00EC6025"/>
    <w:rsid w:val="00EC60FC"/>
    <w:rsid w:val="00EC6226"/>
    <w:rsid w:val="00EC6335"/>
    <w:rsid w:val="00EC634D"/>
    <w:rsid w:val="00EC6508"/>
    <w:rsid w:val="00EC65C3"/>
    <w:rsid w:val="00EC65D8"/>
    <w:rsid w:val="00EC6746"/>
    <w:rsid w:val="00EC6889"/>
    <w:rsid w:val="00EC691A"/>
    <w:rsid w:val="00EC6B4F"/>
    <w:rsid w:val="00EC6D52"/>
    <w:rsid w:val="00EC6DA4"/>
    <w:rsid w:val="00EC6DCA"/>
    <w:rsid w:val="00EC6E18"/>
    <w:rsid w:val="00EC6E42"/>
    <w:rsid w:val="00EC6F22"/>
    <w:rsid w:val="00EC6F49"/>
    <w:rsid w:val="00EC7004"/>
    <w:rsid w:val="00EC7173"/>
    <w:rsid w:val="00EC71C1"/>
    <w:rsid w:val="00EC72EF"/>
    <w:rsid w:val="00EC7361"/>
    <w:rsid w:val="00EC739D"/>
    <w:rsid w:val="00EC73C2"/>
    <w:rsid w:val="00EC73F2"/>
    <w:rsid w:val="00EC7457"/>
    <w:rsid w:val="00EC74A8"/>
    <w:rsid w:val="00EC75FA"/>
    <w:rsid w:val="00EC760D"/>
    <w:rsid w:val="00EC760F"/>
    <w:rsid w:val="00EC7739"/>
    <w:rsid w:val="00EC7894"/>
    <w:rsid w:val="00EC78BE"/>
    <w:rsid w:val="00EC7909"/>
    <w:rsid w:val="00EC7B30"/>
    <w:rsid w:val="00EC7C3D"/>
    <w:rsid w:val="00EC7C52"/>
    <w:rsid w:val="00EC7E43"/>
    <w:rsid w:val="00EC7F56"/>
    <w:rsid w:val="00ED005A"/>
    <w:rsid w:val="00ED00F6"/>
    <w:rsid w:val="00ED01F4"/>
    <w:rsid w:val="00ED0286"/>
    <w:rsid w:val="00ED028E"/>
    <w:rsid w:val="00ED029F"/>
    <w:rsid w:val="00ED032C"/>
    <w:rsid w:val="00ED0353"/>
    <w:rsid w:val="00ED044A"/>
    <w:rsid w:val="00ED0748"/>
    <w:rsid w:val="00ED079C"/>
    <w:rsid w:val="00ED07FB"/>
    <w:rsid w:val="00ED08C9"/>
    <w:rsid w:val="00ED0A05"/>
    <w:rsid w:val="00ED0A1F"/>
    <w:rsid w:val="00ED0A99"/>
    <w:rsid w:val="00ED0AC7"/>
    <w:rsid w:val="00ED0B37"/>
    <w:rsid w:val="00ED0BCB"/>
    <w:rsid w:val="00ED0BE3"/>
    <w:rsid w:val="00ED0C3B"/>
    <w:rsid w:val="00ED0C6B"/>
    <w:rsid w:val="00ED0CAF"/>
    <w:rsid w:val="00ED0EEF"/>
    <w:rsid w:val="00ED0F33"/>
    <w:rsid w:val="00ED0FD6"/>
    <w:rsid w:val="00ED0FFE"/>
    <w:rsid w:val="00ED1079"/>
    <w:rsid w:val="00ED108B"/>
    <w:rsid w:val="00ED1154"/>
    <w:rsid w:val="00ED1257"/>
    <w:rsid w:val="00ED12A5"/>
    <w:rsid w:val="00ED12D1"/>
    <w:rsid w:val="00ED12F6"/>
    <w:rsid w:val="00ED130C"/>
    <w:rsid w:val="00ED1387"/>
    <w:rsid w:val="00ED1402"/>
    <w:rsid w:val="00ED1514"/>
    <w:rsid w:val="00ED15D4"/>
    <w:rsid w:val="00ED17AE"/>
    <w:rsid w:val="00ED17DD"/>
    <w:rsid w:val="00ED183B"/>
    <w:rsid w:val="00ED1876"/>
    <w:rsid w:val="00ED198B"/>
    <w:rsid w:val="00ED1A68"/>
    <w:rsid w:val="00ED1AD4"/>
    <w:rsid w:val="00ED1CCB"/>
    <w:rsid w:val="00ED1CE0"/>
    <w:rsid w:val="00ED1D22"/>
    <w:rsid w:val="00ED1DE9"/>
    <w:rsid w:val="00ED1E2F"/>
    <w:rsid w:val="00ED2009"/>
    <w:rsid w:val="00ED208A"/>
    <w:rsid w:val="00ED20CF"/>
    <w:rsid w:val="00ED211C"/>
    <w:rsid w:val="00ED2162"/>
    <w:rsid w:val="00ED21BB"/>
    <w:rsid w:val="00ED21E8"/>
    <w:rsid w:val="00ED21FD"/>
    <w:rsid w:val="00ED222C"/>
    <w:rsid w:val="00ED2240"/>
    <w:rsid w:val="00ED22A8"/>
    <w:rsid w:val="00ED22DE"/>
    <w:rsid w:val="00ED238C"/>
    <w:rsid w:val="00ED23D7"/>
    <w:rsid w:val="00ED242F"/>
    <w:rsid w:val="00ED2466"/>
    <w:rsid w:val="00ED2471"/>
    <w:rsid w:val="00ED2563"/>
    <w:rsid w:val="00ED2698"/>
    <w:rsid w:val="00ED27B3"/>
    <w:rsid w:val="00ED27B9"/>
    <w:rsid w:val="00ED27CB"/>
    <w:rsid w:val="00ED28CD"/>
    <w:rsid w:val="00ED28ED"/>
    <w:rsid w:val="00ED28F5"/>
    <w:rsid w:val="00ED28FF"/>
    <w:rsid w:val="00ED2924"/>
    <w:rsid w:val="00ED2935"/>
    <w:rsid w:val="00ED2955"/>
    <w:rsid w:val="00ED2958"/>
    <w:rsid w:val="00ED295B"/>
    <w:rsid w:val="00ED29A4"/>
    <w:rsid w:val="00ED29B6"/>
    <w:rsid w:val="00ED29D0"/>
    <w:rsid w:val="00ED2A97"/>
    <w:rsid w:val="00ED2AAB"/>
    <w:rsid w:val="00ED2B9A"/>
    <w:rsid w:val="00ED2BAC"/>
    <w:rsid w:val="00ED2CFA"/>
    <w:rsid w:val="00ED2D5D"/>
    <w:rsid w:val="00ED2E7C"/>
    <w:rsid w:val="00ED2ED7"/>
    <w:rsid w:val="00ED2FE8"/>
    <w:rsid w:val="00ED300F"/>
    <w:rsid w:val="00ED303B"/>
    <w:rsid w:val="00ED3109"/>
    <w:rsid w:val="00ED31E4"/>
    <w:rsid w:val="00ED32D2"/>
    <w:rsid w:val="00ED33A6"/>
    <w:rsid w:val="00ED3411"/>
    <w:rsid w:val="00ED3435"/>
    <w:rsid w:val="00ED349E"/>
    <w:rsid w:val="00ED350C"/>
    <w:rsid w:val="00ED356F"/>
    <w:rsid w:val="00ED370D"/>
    <w:rsid w:val="00ED3731"/>
    <w:rsid w:val="00ED376C"/>
    <w:rsid w:val="00ED388A"/>
    <w:rsid w:val="00ED3915"/>
    <w:rsid w:val="00ED3965"/>
    <w:rsid w:val="00ED396A"/>
    <w:rsid w:val="00ED3A7C"/>
    <w:rsid w:val="00ED3B0D"/>
    <w:rsid w:val="00ED3C55"/>
    <w:rsid w:val="00ED3C89"/>
    <w:rsid w:val="00ED3CC6"/>
    <w:rsid w:val="00ED3DCD"/>
    <w:rsid w:val="00ED3DDE"/>
    <w:rsid w:val="00ED3E4D"/>
    <w:rsid w:val="00ED40D7"/>
    <w:rsid w:val="00ED410E"/>
    <w:rsid w:val="00ED41EB"/>
    <w:rsid w:val="00ED4241"/>
    <w:rsid w:val="00ED4243"/>
    <w:rsid w:val="00ED4263"/>
    <w:rsid w:val="00ED4362"/>
    <w:rsid w:val="00ED4456"/>
    <w:rsid w:val="00ED447B"/>
    <w:rsid w:val="00ED44C5"/>
    <w:rsid w:val="00ED44E4"/>
    <w:rsid w:val="00ED455C"/>
    <w:rsid w:val="00ED45F4"/>
    <w:rsid w:val="00ED46D7"/>
    <w:rsid w:val="00ED4703"/>
    <w:rsid w:val="00ED477C"/>
    <w:rsid w:val="00ED47E9"/>
    <w:rsid w:val="00ED4815"/>
    <w:rsid w:val="00ED4937"/>
    <w:rsid w:val="00ED4969"/>
    <w:rsid w:val="00ED499A"/>
    <w:rsid w:val="00ED4A73"/>
    <w:rsid w:val="00ED4A7F"/>
    <w:rsid w:val="00ED4C16"/>
    <w:rsid w:val="00ED4C6B"/>
    <w:rsid w:val="00ED4C9C"/>
    <w:rsid w:val="00ED4D74"/>
    <w:rsid w:val="00ED4DEC"/>
    <w:rsid w:val="00ED4E15"/>
    <w:rsid w:val="00ED5174"/>
    <w:rsid w:val="00ED51C5"/>
    <w:rsid w:val="00ED5203"/>
    <w:rsid w:val="00ED52B7"/>
    <w:rsid w:val="00ED52FD"/>
    <w:rsid w:val="00ED539C"/>
    <w:rsid w:val="00ED53CB"/>
    <w:rsid w:val="00ED53E3"/>
    <w:rsid w:val="00ED5435"/>
    <w:rsid w:val="00ED553A"/>
    <w:rsid w:val="00ED566E"/>
    <w:rsid w:val="00ED575D"/>
    <w:rsid w:val="00ED583B"/>
    <w:rsid w:val="00ED5989"/>
    <w:rsid w:val="00ED5A72"/>
    <w:rsid w:val="00ED5B32"/>
    <w:rsid w:val="00ED5CFC"/>
    <w:rsid w:val="00ED5D07"/>
    <w:rsid w:val="00ED5D48"/>
    <w:rsid w:val="00ED5F0E"/>
    <w:rsid w:val="00ED5F39"/>
    <w:rsid w:val="00ED601E"/>
    <w:rsid w:val="00ED607D"/>
    <w:rsid w:val="00ED6127"/>
    <w:rsid w:val="00ED6141"/>
    <w:rsid w:val="00ED617A"/>
    <w:rsid w:val="00ED61E7"/>
    <w:rsid w:val="00ED6247"/>
    <w:rsid w:val="00ED6502"/>
    <w:rsid w:val="00ED653D"/>
    <w:rsid w:val="00ED65C5"/>
    <w:rsid w:val="00ED65F1"/>
    <w:rsid w:val="00ED6655"/>
    <w:rsid w:val="00ED6751"/>
    <w:rsid w:val="00ED676C"/>
    <w:rsid w:val="00ED68F3"/>
    <w:rsid w:val="00ED6A2F"/>
    <w:rsid w:val="00ED6B1A"/>
    <w:rsid w:val="00ED6B55"/>
    <w:rsid w:val="00ED6C41"/>
    <w:rsid w:val="00ED6C4E"/>
    <w:rsid w:val="00ED6D03"/>
    <w:rsid w:val="00ED6DE9"/>
    <w:rsid w:val="00ED6E62"/>
    <w:rsid w:val="00ED6EA8"/>
    <w:rsid w:val="00ED6EF8"/>
    <w:rsid w:val="00ED6FE0"/>
    <w:rsid w:val="00ED6FF6"/>
    <w:rsid w:val="00ED719F"/>
    <w:rsid w:val="00ED726E"/>
    <w:rsid w:val="00ED72D1"/>
    <w:rsid w:val="00ED72D9"/>
    <w:rsid w:val="00ED72FA"/>
    <w:rsid w:val="00ED737D"/>
    <w:rsid w:val="00ED74FB"/>
    <w:rsid w:val="00ED7510"/>
    <w:rsid w:val="00ED7525"/>
    <w:rsid w:val="00ED765F"/>
    <w:rsid w:val="00ED767A"/>
    <w:rsid w:val="00ED77F1"/>
    <w:rsid w:val="00ED77F9"/>
    <w:rsid w:val="00ED7936"/>
    <w:rsid w:val="00ED794E"/>
    <w:rsid w:val="00ED7A03"/>
    <w:rsid w:val="00ED7AD3"/>
    <w:rsid w:val="00ED7AE6"/>
    <w:rsid w:val="00ED7C34"/>
    <w:rsid w:val="00ED7E00"/>
    <w:rsid w:val="00ED7F95"/>
    <w:rsid w:val="00EE011C"/>
    <w:rsid w:val="00EE0222"/>
    <w:rsid w:val="00EE0231"/>
    <w:rsid w:val="00EE02F1"/>
    <w:rsid w:val="00EE03CE"/>
    <w:rsid w:val="00EE044C"/>
    <w:rsid w:val="00EE04CF"/>
    <w:rsid w:val="00EE052B"/>
    <w:rsid w:val="00EE0576"/>
    <w:rsid w:val="00EE05A3"/>
    <w:rsid w:val="00EE05BB"/>
    <w:rsid w:val="00EE0614"/>
    <w:rsid w:val="00EE072B"/>
    <w:rsid w:val="00EE0733"/>
    <w:rsid w:val="00EE07E2"/>
    <w:rsid w:val="00EE093E"/>
    <w:rsid w:val="00EE0985"/>
    <w:rsid w:val="00EE0AC2"/>
    <w:rsid w:val="00EE0B42"/>
    <w:rsid w:val="00EE0CEE"/>
    <w:rsid w:val="00EE0D16"/>
    <w:rsid w:val="00EE0D1F"/>
    <w:rsid w:val="00EE0D64"/>
    <w:rsid w:val="00EE0ECD"/>
    <w:rsid w:val="00EE0F5A"/>
    <w:rsid w:val="00EE0F71"/>
    <w:rsid w:val="00EE1011"/>
    <w:rsid w:val="00EE1040"/>
    <w:rsid w:val="00EE108B"/>
    <w:rsid w:val="00EE10F1"/>
    <w:rsid w:val="00EE1181"/>
    <w:rsid w:val="00EE11DD"/>
    <w:rsid w:val="00EE1275"/>
    <w:rsid w:val="00EE1282"/>
    <w:rsid w:val="00EE1337"/>
    <w:rsid w:val="00EE1481"/>
    <w:rsid w:val="00EE157C"/>
    <w:rsid w:val="00EE15BC"/>
    <w:rsid w:val="00EE15EA"/>
    <w:rsid w:val="00EE15F5"/>
    <w:rsid w:val="00EE16F6"/>
    <w:rsid w:val="00EE1741"/>
    <w:rsid w:val="00EE17BA"/>
    <w:rsid w:val="00EE18BC"/>
    <w:rsid w:val="00EE18D6"/>
    <w:rsid w:val="00EE19A9"/>
    <w:rsid w:val="00EE1AD4"/>
    <w:rsid w:val="00EE1B00"/>
    <w:rsid w:val="00EE1B9F"/>
    <w:rsid w:val="00EE1BEB"/>
    <w:rsid w:val="00EE1C2E"/>
    <w:rsid w:val="00EE1C4D"/>
    <w:rsid w:val="00EE1CD5"/>
    <w:rsid w:val="00EE1D2E"/>
    <w:rsid w:val="00EE1EE4"/>
    <w:rsid w:val="00EE1EFC"/>
    <w:rsid w:val="00EE1EFD"/>
    <w:rsid w:val="00EE1F5A"/>
    <w:rsid w:val="00EE20F4"/>
    <w:rsid w:val="00EE2119"/>
    <w:rsid w:val="00EE21F9"/>
    <w:rsid w:val="00EE2296"/>
    <w:rsid w:val="00EE22BD"/>
    <w:rsid w:val="00EE2404"/>
    <w:rsid w:val="00EE2477"/>
    <w:rsid w:val="00EE24EA"/>
    <w:rsid w:val="00EE2561"/>
    <w:rsid w:val="00EE257A"/>
    <w:rsid w:val="00EE25C7"/>
    <w:rsid w:val="00EE25DF"/>
    <w:rsid w:val="00EE2736"/>
    <w:rsid w:val="00EE2797"/>
    <w:rsid w:val="00EE27CC"/>
    <w:rsid w:val="00EE289B"/>
    <w:rsid w:val="00EE2AE8"/>
    <w:rsid w:val="00EE2B64"/>
    <w:rsid w:val="00EE2BA1"/>
    <w:rsid w:val="00EE2BC3"/>
    <w:rsid w:val="00EE2C19"/>
    <w:rsid w:val="00EE2D25"/>
    <w:rsid w:val="00EE2DCD"/>
    <w:rsid w:val="00EE2DD2"/>
    <w:rsid w:val="00EE2E21"/>
    <w:rsid w:val="00EE2E38"/>
    <w:rsid w:val="00EE2E8D"/>
    <w:rsid w:val="00EE2F5A"/>
    <w:rsid w:val="00EE3140"/>
    <w:rsid w:val="00EE3176"/>
    <w:rsid w:val="00EE31F1"/>
    <w:rsid w:val="00EE32C1"/>
    <w:rsid w:val="00EE335F"/>
    <w:rsid w:val="00EE34F0"/>
    <w:rsid w:val="00EE351F"/>
    <w:rsid w:val="00EE3526"/>
    <w:rsid w:val="00EE359E"/>
    <w:rsid w:val="00EE35C2"/>
    <w:rsid w:val="00EE3640"/>
    <w:rsid w:val="00EE3806"/>
    <w:rsid w:val="00EE3855"/>
    <w:rsid w:val="00EE38E5"/>
    <w:rsid w:val="00EE396A"/>
    <w:rsid w:val="00EE39B7"/>
    <w:rsid w:val="00EE39D2"/>
    <w:rsid w:val="00EE3A57"/>
    <w:rsid w:val="00EE3BBF"/>
    <w:rsid w:val="00EE3CFA"/>
    <w:rsid w:val="00EE3D7A"/>
    <w:rsid w:val="00EE3E17"/>
    <w:rsid w:val="00EE3F25"/>
    <w:rsid w:val="00EE3F71"/>
    <w:rsid w:val="00EE416A"/>
    <w:rsid w:val="00EE436D"/>
    <w:rsid w:val="00EE447F"/>
    <w:rsid w:val="00EE44B0"/>
    <w:rsid w:val="00EE44B2"/>
    <w:rsid w:val="00EE4582"/>
    <w:rsid w:val="00EE45DD"/>
    <w:rsid w:val="00EE4632"/>
    <w:rsid w:val="00EE4682"/>
    <w:rsid w:val="00EE4692"/>
    <w:rsid w:val="00EE471C"/>
    <w:rsid w:val="00EE47E0"/>
    <w:rsid w:val="00EE4881"/>
    <w:rsid w:val="00EE4A5A"/>
    <w:rsid w:val="00EE4A9C"/>
    <w:rsid w:val="00EE4BC9"/>
    <w:rsid w:val="00EE4C22"/>
    <w:rsid w:val="00EE4C5F"/>
    <w:rsid w:val="00EE4CE6"/>
    <w:rsid w:val="00EE4D82"/>
    <w:rsid w:val="00EE4DBB"/>
    <w:rsid w:val="00EE4E16"/>
    <w:rsid w:val="00EE4E2F"/>
    <w:rsid w:val="00EE4E5B"/>
    <w:rsid w:val="00EE4ECE"/>
    <w:rsid w:val="00EE4F6A"/>
    <w:rsid w:val="00EE4F93"/>
    <w:rsid w:val="00EE4FBB"/>
    <w:rsid w:val="00EE5020"/>
    <w:rsid w:val="00EE509D"/>
    <w:rsid w:val="00EE5161"/>
    <w:rsid w:val="00EE51E7"/>
    <w:rsid w:val="00EE52B7"/>
    <w:rsid w:val="00EE5321"/>
    <w:rsid w:val="00EE546C"/>
    <w:rsid w:val="00EE54E5"/>
    <w:rsid w:val="00EE5579"/>
    <w:rsid w:val="00EE561B"/>
    <w:rsid w:val="00EE5620"/>
    <w:rsid w:val="00EE566D"/>
    <w:rsid w:val="00EE56D9"/>
    <w:rsid w:val="00EE57F0"/>
    <w:rsid w:val="00EE5822"/>
    <w:rsid w:val="00EE58FE"/>
    <w:rsid w:val="00EE5A64"/>
    <w:rsid w:val="00EE5BBE"/>
    <w:rsid w:val="00EE5BCC"/>
    <w:rsid w:val="00EE5C90"/>
    <w:rsid w:val="00EE5E12"/>
    <w:rsid w:val="00EE5E31"/>
    <w:rsid w:val="00EE5FFC"/>
    <w:rsid w:val="00EE6028"/>
    <w:rsid w:val="00EE6034"/>
    <w:rsid w:val="00EE607B"/>
    <w:rsid w:val="00EE60AE"/>
    <w:rsid w:val="00EE6106"/>
    <w:rsid w:val="00EE6279"/>
    <w:rsid w:val="00EE6357"/>
    <w:rsid w:val="00EE6383"/>
    <w:rsid w:val="00EE64FB"/>
    <w:rsid w:val="00EE650A"/>
    <w:rsid w:val="00EE662A"/>
    <w:rsid w:val="00EE6641"/>
    <w:rsid w:val="00EE669D"/>
    <w:rsid w:val="00EE66B2"/>
    <w:rsid w:val="00EE66E2"/>
    <w:rsid w:val="00EE673F"/>
    <w:rsid w:val="00EE68A5"/>
    <w:rsid w:val="00EE68B7"/>
    <w:rsid w:val="00EE6A34"/>
    <w:rsid w:val="00EE6A4E"/>
    <w:rsid w:val="00EE6ABA"/>
    <w:rsid w:val="00EE6B7F"/>
    <w:rsid w:val="00EE6C0F"/>
    <w:rsid w:val="00EE6C5D"/>
    <w:rsid w:val="00EE6C66"/>
    <w:rsid w:val="00EE6C6D"/>
    <w:rsid w:val="00EE6E23"/>
    <w:rsid w:val="00EE6EFB"/>
    <w:rsid w:val="00EE713A"/>
    <w:rsid w:val="00EE719D"/>
    <w:rsid w:val="00EE7205"/>
    <w:rsid w:val="00EE725A"/>
    <w:rsid w:val="00EE732E"/>
    <w:rsid w:val="00EE73DD"/>
    <w:rsid w:val="00EE74FB"/>
    <w:rsid w:val="00EE757B"/>
    <w:rsid w:val="00EE770D"/>
    <w:rsid w:val="00EE78D9"/>
    <w:rsid w:val="00EE79C5"/>
    <w:rsid w:val="00EE7A18"/>
    <w:rsid w:val="00EE7A4F"/>
    <w:rsid w:val="00EE7AC2"/>
    <w:rsid w:val="00EE7BAF"/>
    <w:rsid w:val="00EE7BEF"/>
    <w:rsid w:val="00EE7ED6"/>
    <w:rsid w:val="00EE7F6D"/>
    <w:rsid w:val="00EE7FE2"/>
    <w:rsid w:val="00EE7FF0"/>
    <w:rsid w:val="00EF0030"/>
    <w:rsid w:val="00EF0046"/>
    <w:rsid w:val="00EF00A2"/>
    <w:rsid w:val="00EF0161"/>
    <w:rsid w:val="00EF0165"/>
    <w:rsid w:val="00EF0238"/>
    <w:rsid w:val="00EF029D"/>
    <w:rsid w:val="00EF0480"/>
    <w:rsid w:val="00EF04AE"/>
    <w:rsid w:val="00EF04E6"/>
    <w:rsid w:val="00EF058C"/>
    <w:rsid w:val="00EF0613"/>
    <w:rsid w:val="00EF0748"/>
    <w:rsid w:val="00EF0768"/>
    <w:rsid w:val="00EF07F4"/>
    <w:rsid w:val="00EF08CC"/>
    <w:rsid w:val="00EF08CF"/>
    <w:rsid w:val="00EF09C3"/>
    <w:rsid w:val="00EF0AF3"/>
    <w:rsid w:val="00EF0B20"/>
    <w:rsid w:val="00EF0BA9"/>
    <w:rsid w:val="00EF0BEE"/>
    <w:rsid w:val="00EF0BF5"/>
    <w:rsid w:val="00EF0C38"/>
    <w:rsid w:val="00EF0D1E"/>
    <w:rsid w:val="00EF0DCA"/>
    <w:rsid w:val="00EF0FEA"/>
    <w:rsid w:val="00EF10CE"/>
    <w:rsid w:val="00EF11E1"/>
    <w:rsid w:val="00EF13B0"/>
    <w:rsid w:val="00EF13DC"/>
    <w:rsid w:val="00EF14FB"/>
    <w:rsid w:val="00EF1584"/>
    <w:rsid w:val="00EF15BB"/>
    <w:rsid w:val="00EF15FA"/>
    <w:rsid w:val="00EF168C"/>
    <w:rsid w:val="00EF1730"/>
    <w:rsid w:val="00EF177C"/>
    <w:rsid w:val="00EF178A"/>
    <w:rsid w:val="00EF17B4"/>
    <w:rsid w:val="00EF17CB"/>
    <w:rsid w:val="00EF1A2A"/>
    <w:rsid w:val="00EF1A5B"/>
    <w:rsid w:val="00EF1B51"/>
    <w:rsid w:val="00EF1B98"/>
    <w:rsid w:val="00EF1D8D"/>
    <w:rsid w:val="00EF1DCA"/>
    <w:rsid w:val="00EF1EE6"/>
    <w:rsid w:val="00EF1F60"/>
    <w:rsid w:val="00EF1F8D"/>
    <w:rsid w:val="00EF1FC4"/>
    <w:rsid w:val="00EF205A"/>
    <w:rsid w:val="00EF2103"/>
    <w:rsid w:val="00EF216B"/>
    <w:rsid w:val="00EF2174"/>
    <w:rsid w:val="00EF21A6"/>
    <w:rsid w:val="00EF224F"/>
    <w:rsid w:val="00EF23E0"/>
    <w:rsid w:val="00EF24D5"/>
    <w:rsid w:val="00EF2587"/>
    <w:rsid w:val="00EF25A7"/>
    <w:rsid w:val="00EF2699"/>
    <w:rsid w:val="00EF26D9"/>
    <w:rsid w:val="00EF2743"/>
    <w:rsid w:val="00EF2853"/>
    <w:rsid w:val="00EF28BD"/>
    <w:rsid w:val="00EF29C8"/>
    <w:rsid w:val="00EF2BA1"/>
    <w:rsid w:val="00EF2BB0"/>
    <w:rsid w:val="00EF2CF1"/>
    <w:rsid w:val="00EF2D75"/>
    <w:rsid w:val="00EF2DBD"/>
    <w:rsid w:val="00EF30A4"/>
    <w:rsid w:val="00EF30D9"/>
    <w:rsid w:val="00EF3271"/>
    <w:rsid w:val="00EF338C"/>
    <w:rsid w:val="00EF338D"/>
    <w:rsid w:val="00EF33A1"/>
    <w:rsid w:val="00EF33BC"/>
    <w:rsid w:val="00EF3412"/>
    <w:rsid w:val="00EF3425"/>
    <w:rsid w:val="00EF34B2"/>
    <w:rsid w:val="00EF35F9"/>
    <w:rsid w:val="00EF3692"/>
    <w:rsid w:val="00EF378F"/>
    <w:rsid w:val="00EF37A4"/>
    <w:rsid w:val="00EF38BE"/>
    <w:rsid w:val="00EF3921"/>
    <w:rsid w:val="00EF39B6"/>
    <w:rsid w:val="00EF39FC"/>
    <w:rsid w:val="00EF3A26"/>
    <w:rsid w:val="00EF3BE3"/>
    <w:rsid w:val="00EF3BF6"/>
    <w:rsid w:val="00EF3C41"/>
    <w:rsid w:val="00EF3CE3"/>
    <w:rsid w:val="00EF3D6E"/>
    <w:rsid w:val="00EF3E2F"/>
    <w:rsid w:val="00EF3FF5"/>
    <w:rsid w:val="00EF4004"/>
    <w:rsid w:val="00EF40DF"/>
    <w:rsid w:val="00EF418E"/>
    <w:rsid w:val="00EF4211"/>
    <w:rsid w:val="00EF4221"/>
    <w:rsid w:val="00EF4287"/>
    <w:rsid w:val="00EF42D2"/>
    <w:rsid w:val="00EF430D"/>
    <w:rsid w:val="00EF43E3"/>
    <w:rsid w:val="00EF4411"/>
    <w:rsid w:val="00EF441F"/>
    <w:rsid w:val="00EF44E8"/>
    <w:rsid w:val="00EF453E"/>
    <w:rsid w:val="00EF456B"/>
    <w:rsid w:val="00EF4789"/>
    <w:rsid w:val="00EF487B"/>
    <w:rsid w:val="00EF4895"/>
    <w:rsid w:val="00EF48DD"/>
    <w:rsid w:val="00EF4BA1"/>
    <w:rsid w:val="00EF4BBB"/>
    <w:rsid w:val="00EF4C60"/>
    <w:rsid w:val="00EF4C77"/>
    <w:rsid w:val="00EF4C8D"/>
    <w:rsid w:val="00EF4C9B"/>
    <w:rsid w:val="00EF4D98"/>
    <w:rsid w:val="00EF4E8E"/>
    <w:rsid w:val="00EF4F7C"/>
    <w:rsid w:val="00EF4F86"/>
    <w:rsid w:val="00EF4FA7"/>
    <w:rsid w:val="00EF5090"/>
    <w:rsid w:val="00EF51B0"/>
    <w:rsid w:val="00EF52DD"/>
    <w:rsid w:val="00EF5325"/>
    <w:rsid w:val="00EF53B9"/>
    <w:rsid w:val="00EF53C5"/>
    <w:rsid w:val="00EF53D3"/>
    <w:rsid w:val="00EF53D8"/>
    <w:rsid w:val="00EF555F"/>
    <w:rsid w:val="00EF55F5"/>
    <w:rsid w:val="00EF566D"/>
    <w:rsid w:val="00EF56B1"/>
    <w:rsid w:val="00EF56CB"/>
    <w:rsid w:val="00EF56E1"/>
    <w:rsid w:val="00EF5911"/>
    <w:rsid w:val="00EF596F"/>
    <w:rsid w:val="00EF59BE"/>
    <w:rsid w:val="00EF5A0E"/>
    <w:rsid w:val="00EF5A75"/>
    <w:rsid w:val="00EF5AB3"/>
    <w:rsid w:val="00EF5AEB"/>
    <w:rsid w:val="00EF5B13"/>
    <w:rsid w:val="00EF5BAF"/>
    <w:rsid w:val="00EF5C98"/>
    <w:rsid w:val="00EF5E16"/>
    <w:rsid w:val="00EF5E95"/>
    <w:rsid w:val="00EF6058"/>
    <w:rsid w:val="00EF60ED"/>
    <w:rsid w:val="00EF61E3"/>
    <w:rsid w:val="00EF621C"/>
    <w:rsid w:val="00EF6265"/>
    <w:rsid w:val="00EF6331"/>
    <w:rsid w:val="00EF6345"/>
    <w:rsid w:val="00EF6374"/>
    <w:rsid w:val="00EF63AE"/>
    <w:rsid w:val="00EF63B4"/>
    <w:rsid w:val="00EF643C"/>
    <w:rsid w:val="00EF658B"/>
    <w:rsid w:val="00EF65C7"/>
    <w:rsid w:val="00EF65FF"/>
    <w:rsid w:val="00EF6617"/>
    <w:rsid w:val="00EF67A9"/>
    <w:rsid w:val="00EF6899"/>
    <w:rsid w:val="00EF6907"/>
    <w:rsid w:val="00EF6976"/>
    <w:rsid w:val="00EF69FE"/>
    <w:rsid w:val="00EF6B28"/>
    <w:rsid w:val="00EF6B63"/>
    <w:rsid w:val="00EF6C3A"/>
    <w:rsid w:val="00EF6CDE"/>
    <w:rsid w:val="00EF6DA3"/>
    <w:rsid w:val="00EF6DBE"/>
    <w:rsid w:val="00EF6DEA"/>
    <w:rsid w:val="00EF6E1F"/>
    <w:rsid w:val="00EF6E7E"/>
    <w:rsid w:val="00EF6EA5"/>
    <w:rsid w:val="00EF6EF9"/>
    <w:rsid w:val="00EF6F05"/>
    <w:rsid w:val="00EF712C"/>
    <w:rsid w:val="00EF71A1"/>
    <w:rsid w:val="00EF71CC"/>
    <w:rsid w:val="00EF7276"/>
    <w:rsid w:val="00EF731F"/>
    <w:rsid w:val="00EF732D"/>
    <w:rsid w:val="00EF734A"/>
    <w:rsid w:val="00EF7367"/>
    <w:rsid w:val="00EF744D"/>
    <w:rsid w:val="00EF74EF"/>
    <w:rsid w:val="00EF7546"/>
    <w:rsid w:val="00EF7585"/>
    <w:rsid w:val="00EF7710"/>
    <w:rsid w:val="00EF7747"/>
    <w:rsid w:val="00EF7790"/>
    <w:rsid w:val="00EF77E5"/>
    <w:rsid w:val="00EF7886"/>
    <w:rsid w:val="00EF7896"/>
    <w:rsid w:val="00EF799B"/>
    <w:rsid w:val="00EF7AAE"/>
    <w:rsid w:val="00EF7AF2"/>
    <w:rsid w:val="00EF7B1F"/>
    <w:rsid w:val="00EF7D04"/>
    <w:rsid w:val="00EF7D1E"/>
    <w:rsid w:val="00EF7E65"/>
    <w:rsid w:val="00EF7E9D"/>
    <w:rsid w:val="00EF7F7E"/>
    <w:rsid w:val="00EF7FD6"/>
    <w:rsid w:val="00F00114"/>
    <w:rsid w:val="00F00197"/>
    <w:rsid w:val="00F002B2"/>
    <w:rsid w:val="00F002B4"/>
    <w:rsid w:val="00F0030A"/>
    <w:rsid w:val="00F0038C"/>
    <w:rsid w:val="00F00393"/>
    <w:rsid w:val="00F00401"/>
    <w:rsid w:val="00F00496"/>
    <w:rsid w:val="00F004B3"/>
    <w:rsid w:val="00F00574"/>
    <w:rsid w:val="00F0058B"/>
    <w:rsid w:val="00F00611"/>
    <w:rsid w:val="00F006F9"/>
    <w:rsid w:val="00F00770"/>
    <w:rsid w:val="00F00950"/>
    <w:rsid w:val="00F009CC"/>
    <w:rsid w:val="00F00AC3"/>
    <w:rsid w:val="00F00AD2"/>
    <w:rsid w:val="00F00D14"/>
    <w:rsid w:val="00F00DF1"/>
    <w:rsid w:val="00F00DFB"/>
    <w:rsid w:val="00F00E7E"/>
    <w:rsid w:val="00F00F49"/>
    <w:rsid w:val="00F00FC2"/>
    <w:rsid w:val="00F00FCB"/>
    <w:rsid w:val="00F01005"/>
    <w:rsid w:val="00F01023"/>
    <w:rsid w:val="00F0102B"/>
    <w:rsid w:val="00F010E5"/>
    <w:rsid w:val="00F0115B"/>
    <w:rsid w:val="00F01166"/>
    <w:rsid w:val="00F01312"/>
    <w:rsid w:val="00F01356"/>
    <w:rsid w:val="00F013AE"/>
    <w:rsid w:val="00F01429"/>
    <w:rsid w:val="00F014A6"/>
    <w:rsid w:val="00F015B2"/>
    <w:rsid w:val="00F015E4"/>
    <w:rsid w:val="00F01661"/>
    <w:rsid w:val="00F016B1"/>
    <w:rsid w:val="00F0170B"/>
    <w:rsid w:val="00F01716"/>
    <w:rsid w:val="00F01717"/>
    <w:rsid w:val="00F01798"/>
    <w:rsid w:val="00F017A8"/>
    <w:rsid w:val="00F01A71"/>
    <w:rsid w:val="00F01A97"/>
    <w:rsid w:val="00F01AD3"/>
    <w:rsid w:val="00F01AE7"/>
    <w:rsid w:val="00F01C99"/>
    <w:rsid w:val="00F01C9B"/>
    <w:rsid w:val="00F01D24"/>
    <w:rsid w:val="00F01D63"/>
    <w:rsid w:val="00F01D9A"/>
    <w:rsid w:val="00F01F27"/>
    <w:rsid w:val="00F01F2B"/>
    <w:rsid w:val="00F01FA9"/>
    <w:rsid w:val="00F02060"/>
    <w:rsid w:val="00F02079"/>
    <w:rsid w:val="00F020F1"/>
    <w:rsid w:val="00F021A0"/>
    <w:rsid w:val="00F02249"/>
    <w:rsid w:val="00F02285"/>
    <w:rsid w:val="00F02347"/>
    <w:rsid w:val="00F023DC"/>
    <w:rsid w:val="00F024DD"/>
    <w:rsid w:val="00F02507"/>
    <w:rsid w:val="00F02549"/>
    <w:rsid w:val="00F025C7"/>
    <w:rsid w:val="00F0266A"/>
    <w:rsid w:val="00F02684"/>
    <w:rsid w:val="00F0269A"/>
    <w:rsid w:val="00F026E6"/>
    <w:rsid w:val="00F02752"/>
    <w:rsid w:val="00F028A4"/>
    <w:rsid w:val="00F02996"/>
    <w:rsid w:val="00F029F0"/>
    <w:rsid w:val="00F02B1F"/>
    <w:rsid w:val="00F02C45"/>
    <w:rsid w:val="00F02C89"/>
    <w:rsid w:val="00F02CE2"/>
    <w:rsid w:val="00F02CFC"/>
    <w:rsid w:val="00F02DEB"/>
    <w:rsid w:val="00F02EB7"/>
    <w:rsid w:val="00F02F3A"/>
    <w:rsid w:val="00F02FB8"/>
    <w:rsid w:val="00F02FF5"/>
    <w:rsid w:val="00F03093"/>
    <w:rsid w:val="00F03113"/>
    <w:rsid w:val="00F03173"/>
    <w:rsid w:val="00F031AC"/>
    <w:rsid w:val="00F0323B"/>
    <w:rsid w:val="00F03331"/>
    <w:rsid w:val="00F03364"/>
    <w:rsid w:val="00F03406"/>
    <w:rsid w:val="00F035CB"/>
    <w:rsid w:val="00F03739"/>
    <w:rsid w:val="00F037C7"/>
    <w:rsid w:val="00F0382D"/>
    <w:rsid w:val="00F03856"/>
    <w:rsid w:val="00F03857"/>
    <w:rsid w:val="00F0393E"/>
    <w:rsid w:val="00F03A43"/>
    <w:rsid w:val="00F03ADD"/>
    <w:rsid w:val="00F03D0D"/>
    <w:rsid w:val="00F03D2C"/>
    <w:rsid w:val="00F03FB7"/>
    <w:rsid w:val="00F03FD2"/>
    <w:rsid w:val="00F040CD"/>
    <w:rsid w:val="00F04182"/>
    <w:rsid w:val="00F0424B"/>
    <w:rsid w:val="00F0434C"/>
    <w:rsid w:val="00F04359"/>
    <w:rsid w:val="00F04498"/>
    <w:rsid w:val="00F044BA"/>
    <w:rsid w:val="00F044E3"/>
    <w:rsid w:val="00F045FC"/>
    <w:rsid w:val="00F045FE"/>
    <w:rsid w:val="00F0460F"/>
    <w:rsid w:val="00F04664"/>
    <w:rsid w:val="00F0471F"/>
    <w:rsid w:val="00F047B1"/>
    <w:rsid w:val="00F047BB"/>
    <w:rsid w:val="00F04860"/>
    <w:rsid w:val="00F048AA"/>
    <w:rsid w:val="00F048F9"/>
    <w:rsid w:val="00F04A44"/>
    <w:rsid w:val="00F04A54"/>
    <w:rsid w:val="00F04A8A"/>
    <w:rsid w:val="00F04B16"/>
    <w:rsid w:val="00F04C11"/>
    <w:rsid w:val="00F04CC5"/>
    <w:rsid w:val="00F04D0D"/>
    <w:rsid w:val="00F04D45"/>
    <w:rsid w:val="00F04E95"/>
    <w:rsid w:val="00F04EDF"/>
    <w:rsid w:val="00F04F51"/>
    <w:rsid w:val="00F04FDC"/>
    <w:rsid w:val="00F04FEC"/>
    <w:rsid w:val="00F0508B"/>
    <w:rsid w:val="00F0509E"/>
    <w:rsid w:val="00F050C4"/>
    <w:rsid w:val="00F051A3"/>
    <w:rsid w:val="00F0521C"/>
    <w:rsid w:val="00F05220"/>
    <w:rsid w:val="00F052A8"/>
    <w:rsid w:val="00F052C2"/>
    <w:rsid w:val="00F052CB"/>
    <w:rsid w:val="00F052F7"/>
    <w:rsid w:val="00F0556F"/>
    <w:rsid w:val="00F055A3"/>
    <w:rsid w:val="00F055A5"/>
    <w:rsid w:val="00F05677"/>
    <w:rsid w:val="00F0574A"/>
    <w:rsid w:val="00F05789"/>
    <w:rsid w:val="00F05797"/>
    <w:rsid w:val="00F057AD"/>
    <w:rsid w:val="00F0584A"/>
    <w:rsid w:val="00F0589E"/>
    <w:rsid w:val="00F058D4"/>
    <w:rsid w:val="00F059B1"/>
    <w:rsid w:val="00F059C6"/>
    <w:rsid w:val="00F05AC3"/>
    <w:rsid w:val="00F05C15"/>
    <w:rsid w:val="00F05C95"/>
    <w:rsid w:val="00F05E1C"/>
    <w:rsid w:val="00F05E62"/>
    <w:rsid w:val="00F05E95"/>
    <w:rsid w:val="00F05EC3"/>
    <w:rsid w:val="00F05F1F"/>
    <w:rsid w:val="00F06038"/>
    <w:rsid w:val="00F0605B"/>
    <w:rsid w:val="00F060C8"/>
    <w:rsid w:val="00F06142"/>
    <w:rsid w:val="00F061F5"/>
    <w:rsid w:val="00F06261"/>
    <w:rsid w:val="00F063C3"/>
    <w:rsid w:val="00F06452"/>
    <w:rsid w:val="00F065F8"/>
    <w:rsid w:val="00F06803"/>
    <w:rsid w:val="00F06927"/>
    <w:rsid w:val="00F069D2"/>
    <w:rsid w:val="00F069E2"/>
    <w:rsid w:val="00F06A91"/>
    <w:rsid w:val="00F06B36"/>
    <w:rsid w:val="00F06BE9"/>
    <w:rsid w:val="00F06C37"/>
    <w:rsid w:val="00F06C50"/>
    <w:rsid w:val="00F06CEB"/>
    <w:rsid w:val="00F06D2E"/>
    <w:rsid w:val="00F06D9A"/>
    <w:rsid w:val="00F06DA8"/>
    <w:rsid w:val="00F06DCB"/>
    <w:rsid w:val="00F06EA6"/>
    <w:rsid w:val="00F06F19"/>
    <w:rsid w:val="00F06FFC"/>
    <w:rsid w:val="00F0713B"/>
    <w:rsid w:val="00F07371"/>
    <w:rsid w:val="00F073A0"/>
    <w:rsid w:val="00F073AC"/>
    <w:rsid w:val="00F074FC"/>
    <w:rsid w:val="00F07523"/>
    <w:rsid w:val="00F0754E"/>
    <w:rsid w:val="00F0755B"/>
    <w:rsid w:val="00F07755"/>
    <w:rsid w:val="00F07803"/>
    <w:rsid w:val="00F07832"/>
    <w:rsid w:val="00F0785B"/>
    <w:rsid w:val="00F07897"/>
    <w:rsid w:val="00F0789C"/>
    <w:rsid w:val="00F078BB"/>
    <w:rsid w:val="00F078BE"/>
    <w:rsid w:val="00F07A52"/>
    <w:rsid w:val="00F07A7C"/>
    <w:rsid w:val="00F07AE3"/>
    <w:rsid w:val="00F07F3B"/>
    <w:rsid w:val="00F07F73"/>
    <w:rsid w:val="00F100D4"/>
    <w:rsid w:val="00F10122"/>
    <w:rsid w:val="00F101A1"/>
    <w:rsid w:val="00F103A7"/>
    <w:rsid w:val="00F10499"/>
    <w:rsid w:val="00F105EC"/>
    <w:rsid w:val="00F106D9"/>
    <w:rsid w:val="00F10815"/>
    <w:rsid w:val="00F109E1"/>
    <w:rsid w:val="00F109F3"/>
    <w:rsid w:val="00F10A7F"/>
    <w:rsid w:val="00F10C7D"/>
    <w:rsid w:val="00F10C8B"/>
    <w:rsid w:val="00F10D8A"/>
    <w:rsid w:val="00F10ED5"/>
    <w:rsid w:val="00F10F6E"/>
    <w:rsid w:val="00F10FE8"/>
    <w:rsid w:val="00F11088"/>
    <w:rsid w:val="00F1116E"/>
    <w:rsid w:val="00F11182"/>
    <w:rsid w:val="00F112BE"/>
    <w:rsid w:val="00F112D3"/>
    <w:rsid w:val="00F11386"/>
    <w:rsid w:val="00F113E2"/>
    <w:rsid w:val="00F11400"/>
    <w:rsid w:val="00F114C9"/>
    <w:rsid w:val="00F114EB"/>
    <w:rsid w:val="00F115B0"/>
    <w:rsid w:val="00F11654"/>
    <w:rsid w:val="00F116AC"/>
    <w:rsid w:val="00F116F8"/>
    <w:rsid w:val="00F118A0"/>
    <w:rsid w:val="00F1194E"/>
    <w:rsid w:val="00F11A47"/>
    <w:rsid w:val="00F11BA4"/>
    <w:rsid w:val="00F11CBC"/>
    <w:rsid w:val="00F11CC1"/>
    <w:rsid w:val="00F11D76"/>
    <w:rsid w:val="00F11D78"/>
    <w:rsid w:val="00F11D8C"/>
    <w:rsid w:val="00F11DE9"/>
    <w:rsid w:val="00F11DF6"/>
    <w:rsid w:val="00F11E72"/>
    <w:rsid w:val="00F11E9C"/>
    <w:rsid w:val="00F11F29"/>
    <w:rsid w:val="00F11F8F"/>
    <w:rsid w:val="00F11FC6"/>
    <w:rsid w:val="00F12008"/>
    <w:rsid w:val="00F12214"/>
    <w:rsid w:val="00F12286"/>
    <w:rsid w:val="00F122A1"/>
    <w:rsid w:val="00F122FB"/>
    <w:rsid w:val="00F123D2"/>
    <w:rsid w:val="00F123D4"/>
    <w:rsid w:val="00F1242D"/>
    <w:rsid w:val="00F124F5"/>
    <w:rsid w:val="00F125A0"/>
    <w:rsid w:val="00F125FB"/>
    <w:rsid w:val="00F12602"/>
    <w:rsid w:val="00F12697"/>
    <w:rsid w:val="00F1272D"/>
    <w:rsid w:val="00F127BF"/>
    <w:rsid w:val="00F127F2"/>
    <w:rsid w:val="00F1288E"/>
    <w:rsid w:val="00F1289F"/>
    <w:rsid w:val="00F128A4"/>
    <w:rsid w:val="00F128A8"/>
    <w:rsid w:val="00F12DCD"/>
    <w:rsid w:val="00F12DD8"/>
    <w:rsid w:val="00F12EA0"/>
    <w:rsid w:val="00F13056"/>
    <w:rsid w:val="00F130CE"/>
    <w:rsid w:val="00F13149"/>
    <w:rsid w:val="00F131F2"/>
    <w:rsid w:val="00F1322D"/>
    <w:rsid w:val="00F132E1"/>
    <w:rsid w:val="00F13392"/>
    <w:rsid w:val="00F13393"/>
    <w:rsid w:val="00F1344D"/>
    <w:rsid w:val="00F13639"/>
    <w:rsid w:val="00F138C7"/>
    <w:rsid w:val="00F139B9"/>
    <w:rsid w:val="00F13AF8"/>
    <w:rsid w:val="00F13B10"/>
    <w:rsid w:val="00F13D22"/>
    <w:rsid w:val="00F13E02"/>
    <w:rsid w:val="00F13ED9"/>
    <w:rsid w:val="00F14126"/>
    <w:rsid w:val="00F141B2"/>
    <w:rsid w:val="00F142BD"/>
    <w:rsid w:val="00F14395"/>
    <w:rsid w:val="00F14481"/>
    <w:rsid w:val="00F144AC"/>
    <w:rsid w:val="00F144E7"/>
    <w:rsid w:val="00F14543"/>
    <w:rsid w:val="00F14563"/>
    <w:rsid w:val="00F146EA"/>
    <w:rsid w:val="00F1489B"/>
    <w:rsid w:val="00F148CB"/>
    <w:rsid w:val="00F14ACA"/>
    <w:rsid w:val="00F14B80"/>
    <w:rsid w:val="00F14BC0"/>
    <w:rsid w:val="00F14D1F"/>
    <w:rsid w:val="00F14D29"/>
    <w:rsid w:val="00F14DFC"/>
    <w:rsid w:val="00F14EE1"/>
    <w:rsid w:val="00F14EFB"/>
    <w:rsid w:val="00F14F57"/>
    <w:rsid w:val="00F15003"/>
    <w:rsid w:val="00F15025"/>
    <w:rsid w:val="00F15058"/>
    <w:rsid w:val="00F150AA"/>
    <w:rsid w:val="00F1511C"/>
    <w:rsid w:val="00F1511E"/>
    <w:rsid w:val="00F15128"/>
    <w:rsid w:val="00F151A0"/>
    <w:rsid w:val="00F15259"/>
    <w:rsid w:val="00F152D1"/>
    <w:rsid w:val="00F15362"/>
    <w:rsid w:val="00F154C6"/>
    <w:rsid w:val="00F156A2"/>
    <w:rsid w:val="00F1587D"/>
    <w:rsid w:val="00F158D0"/>
    <w:rsid w:val="00F158D2"/>
    <w:rsid w:val="00F15941"/>
    <w:rsid w:val="00F15950"/>
    <w:rsid w:val="00F159A1"/>
    <w:rsid w:val="00F159E3"/>
    <w:rsid w:val="00F15A17"/>
    <w:rsid w:val="00F15A60"/>
    <w:rsid w:val="00F15AA3"/>
    <w:rsid w:val="00F15ACB"/>
    <w:rsid w:val="00F15B49"/>
    <w:rsid w:val="00F15CA1"/>
    <w:rsid w:val="00F15D53"/>
    <w:rsid w:val="00F15DB2"/>
    <w:rsid w:val="00F15E1A"/>
    <w:rsid w:val="00F15E30"/>
    <w:rsid w:val="00F15E51"/>
    <w:rsid w:val="00F15E61"/>
    <w:rsid w:val="00F15F07"/>
    <w:rsid w:val="00F15FA7"/>
    <w:rsid w:val="00F1606D"/>
    <w:rsid w:val="00F160E5"/>
    <w:rsid w:val="00F16140"/>
    <w:rsid w:val="00F161ED"/>
    <w:rsid w:val="00F16308"/>
    <w:rsid w:val="00F16434"/>
    <w:rsid w:val="00F164B6"/>
    <w:rsid w:val="00F1656A"/>
    <w:rsid w:val="00F165E8"/>
    <w:rsid w:val="00F16680"/>
    <w:rsid w:val="00F16710"/>
    <w:rsid w:val="00F16751"/>
    <w:rsid w:val="00F1676D"/>
    <w:rsid w:val="00F168F1"/>
    <w:rsid w:val="00F16940"/>
    <w:rsid w:val="00F16AAF"/>
    <w:rsid w:val="00F16ACB"/>
    <w:rsid w:val="00F16AE7"/>
    <w:rsid w:val="00F16B56"/>
    <w:rsid w:val="00F16C22"/>
    <w:rsid w:val="00F16C6D"/>
    <w:rsid w:val="00F16C70"/>
    <w:rsid w:val="00F16E05"/>
    <w:rsid w:val="00F16E1D"/>
    <w:rsid w:val="00F16E97"/>
    <w:rsid w:val="00F16F3C"/>
    <w:rsid w:val="00F16F53"/>
    <w:rsid w:val="00F16F6E"/>
    <w:rsid w:val="00F170F9"/>
    <w:rsid w:val="00F171A1"/>
    <w:rsid w:val="00F171B4"/>
    <w:rsid w:val="00F1727C"/>
    <w:rsid w:val="00F17355"/>
    <w:rsid w:val="00F17490"/>
    <w:rsid w:val="00F1750D"/>
    <w:rsid w:val="00F175B3"/>
    <w:rsid w:val="00F175C9"/>
    <w:rsid w:val="00F175D7"/>
    <w:rsid w:val="00F17664"/>
    <w:rsid w:val="00F17678"/>
    <w:rsid w:val="00F176E5"/>
    <w:rsid w:val="00F1773F"/>
    <w:rsid w:val="00F1777B"/>
    <w:rsid w:val="00F177CA"/>
    <w:rsid w:val="00F178B9"/>
    <w:rsid w:val="00F178C5"/>
    <w:rsid w:val="00F178C9"/>
    <w:rsid w:val="00F17905"/>
    <w:rsid w:val="00F17911"/>
    <w:rsid w:val="00F17989"/>
    <w:rsid w:val="00F1799B"/>
    <w:rsid w:val="00F17A61"/>
    <w:rsid w:val="00F17A79"/>
    <w:rsid w:val="00F17AB4"/>
    <w:rsid w:val="00F17B63"/>
    <w:rsid w:val="00F17BDB"/>
    <w:rsid w:val="00F17C3F"/>
    <w:rsid w:val="00F17C89"/>
    <w:rsid w:val="00F17CC7"/>
    <w:rsid w:val="00F17F13"/>
    <w:rsid w:val="00F17F7E"/>
    <w:rsid w:val="00F20096"/>
    <w:rsid w:val="00F20125"/>
    <w:rsid w:val="00F202D9"/>
    <w:rsid w:val="00F202FE"/>
    <w:rsid w:val="00F2043A"/>
    <w:rsid w:val="00F20461"/>
    <w:rsid w:val="00F204F2"/>
    <w:rsid w:val="00F2054E"/>
    <w:rsid w:val="00F20594"/>
    <w:rsid w:val="00F205BA"/>
    <w:rsid w:val="00F2061F"/>
    <w:rsid w:val="00F20699"/>
    <w:rsid w:val="00F206CE"/>
    <w:rsid w:val="00F20747"/>
    <w:rsid w:val="00F20837"/>
    <w:rsid w:val="00F2089D"/>
    <w:rsid w:val="00F208E7"/>
    <w:rsid w:val="00F20918"/>
    <w:rsid w:val="00F20ADA"/>
    <w:rsid w:val="00F20AF9"/>
    <w:rsid w:val="00F20B0A"/>
    <w:rsid w:val="00F20B10"/>
    <w:rsid w:val="00F20B80"/>
    <w:rsid w:val="00F20BD6"/>
    <w:rsid w:val="00F20D03"/>
    <w:rsid w:val="00F20D2B"/>
    <w:rsid w:val="00F20DAE"/>
    <w:rsid w:val="00F20E5C"/>
    <w:rsid w:val="00F210C6"/>
    <w:rsid w:val="00F2112B"/>
    <w:rsid w:val="00F211BE"/>
    <w:rsid w:val="00F211D1"/>
    <w:rsid w:val="00F212BB"/>
    <w:rsid w:val="00F214CA"/>
    <w:rsid w:val="00F21519"/>
    <w:rsid w:val="00F21538"/>
    <w:rsid w:val="00F215C1"/>
    <w:rsid w:val="00F21614"/>
    <w:rsid w:val="00F21661"/>
    <w:rsid w:val="00F21830"/>
    <w:rsid w:val="00F21852"/>
    <w:rsid w:val="00F218FC"/>
    <w:rsid w:val="00F219CA"/>
    <w:rsid w:val="00F219FB"/>
    <w:rsid w:val="00F21A17"/>
    <w:rsid w:val="00F21A4E"/>
    <w:rsid w:val="00F21BF2"/>
    <w:rsid w:val="00F21BF5"/>
    <w:rsid w:val="00F21C01"/>
    <w:rsid w:val="00F21C1C"/>
    <w:rsid w:val="00F21CCD"/>
    <w:rsid w:val="00F21DB0"/>
    <w:rsid w:val="00F21DE1"/>
    <w:rsid w:val="00F21E97"/>
    <w:rsid w:val="00F21F98"/>
    <w:rsid w:val="00F22043"/>
    <w:rsid w:val="00F2214C"/>
    <w:rsid w:val="00F221F4"/>
    <w:rsid w:val="00F2237A"/>
    <w:rsid w:val="00F223A4"/>
    <w:rsid w:val="00F22535"/>
    <w:rsid w:val="00F22569"/>
    <w:rsid w:val="00F225B3"/>
    <w:rsid w:val="00F2266D"/>
    <w:rsid w:val="00F22786"/>
    <w:rsid w:val="00F227E9"/>
    <w:rsid w:val="00F2281B"/>
    <w:rsid w:val="00F22875"/>
    <w:rsid w:val="00F228E2"/>
    <w:rsid w:val="00F22925"/>
    <w:rsid w:val="00F2294A"/>
    <w:rsid w:val="00F22A0B"/>
    <w:rsid w:val="00F22AA3"/>
    <w:rsid w:val="00F22AC4"/>
    <w:rsid w:val="00F22AF3"/>
    <w:rsid w:val="00F22AF5"/>
    <w:rsid w:val="00F22B25"/>
    <w:rsid w:val="00F22C44"/>
    <w:rsid w:val="00F22C60"/>
    <w:rsid w:val="00F22CC0"/>
    <w:rsid w:val="00F22D6B"/>
    <w:rsid w:val="00F22E6C"/>
    <w:rsid w:val="00F22EB0"/>
    <w:rsid w:val="00F22F3D"/>
    <w:rsid w:val="00F2328B"/>
    <w:rsid w:val="00F23345"/>
    <w:rsid w:val="00F23386"/>
    <w:rsid w:val="00F23464"/>
    <w:rsid w:val="00F2382B"/>
    <w:rsid w:val="00F2391E"/>
    <w:rsid w:val="00F239D3"/>
    <w:rsid w:val="00F23A3E"/>
    <w:rsid w:val="00F23A47"/>
    <w:rsid w:val="00F23BFC"/>
    <w:rsid w:val="00F23C75"/>
    <w:rsid w:val="00F23C9B"/>
    <w:rsid w:val="00F23CB9"/>
    <w:rsid w:val="00F23D65"/>
    <w:rsid w:val="00F23DE6"/>
    <w:rsid w:val="00F23E1F"/>
    <w:rsid w:val="00F23EFC"/>
    <w:rsid w:val="00F23FE6"/>
    <w:rsid w:val="00F24027"/>
    <w:rsid w:val="00F24129"/>
    <w:rsid w:val="00F24195"/>
    <w:rsid w:val="00F241AA"/>
    <w:rsid w:val="00F2429C"/>
    <w:rsid w:val="00F24387"/>
    <w:rsid w:val="00F24435"/>
    <w:rsid w:val="00F2451A"/>
    <w:rsid w:val="00F245D3"/>
    <w:rsid w:val="00F2465B"/>
    <w:rsid w:val="00F246CE"/>
    <w:rsid w:val="00F246F9"/>
    <w:rsid w:val="00F24764"/>
    <w:rsid w:val="00F247BA"/>
    <w:rsid w:val="00F24844"/>
    <w:rsid w:val="00F2497B"/>
    <w:rsid w:val="00F249DE"/>
    <w:rsid w:val="00F24A18"/>
    <w:rsid w:val="00F24A54"/>
    <w:rsid w:val="00F24AC4"/>
    <w:rsid w:val="00F24B02"/>
    <w:rsid w:val="00F24B8C"/>
    <w:rsid w:val="00F24C52"/>
    <w:rsid w:val="00F24D0B"/>
    <w:rsid w:val="00F24D95"/>
    <w:rsid w:val="00F24E2E"/>
    <w:rsid w:val="00F24EE5"/>
    <w:rsid w:val="00F24F4F"/>
    <w:rsid w:val="00F25036"/>
    <w:rsid w:val="00F25083"/>
    <w:rsid w:val="00F25125"/>
    <w:rsid w:val="00F25161"/>
    <w:rsid w:val="00F25172"/>
    <w:rsid w:val="00F25191"/>
    <w:rsid w:val="00F251D8"/>
    <w:rsid w:val="00F25481"/>
    <w:rsid w:val="00F25512"/>
    <w:rsid w:val="00F255E4"/>
    <w:rsid w:val="00F25646"/>
    <w:rsid w:val="00F25657"/>
    <w:rsid w:val="00F25676"/>
    <w:rsid w:val="00F2575C"/>
    <w:rsid w:val="00F257F2"/>
    <w:rsid w:val="00F258C3"/>
    <w:rsid w:val="00F25A3D"/>
    <w:rsid w:val="00F25AB3"/>
    <w:rsid w:val="00F25B64"/>
    <w:rsid w:val="00F25BB9"/>
    <w:rsid w:val="00F25C0B"/>
    <w:rsid w:val="00F25CE0"/>
    <w:rsid w:val="00F25DE2"/>
    <w:rsid w:val="00F25EA5"/>
    <w:rsid w:val="00F25F36"/>
    <w:rsid w:val="00F26017"/>
    <w:rsid w:val="00F260E7"/>
    <w:rsid w:val="00F26223"/>
    <w:rsid w:val="00F2630C"/>
    <w:rsid w:val="00F263C6"/>
    <w:rsid w:val="00F2642C"/>
    <w:rsid w:val="00F26499"/>
    <w:rsid w:val="00F264DB"/>
    <w:rsid w:val="00F26576"/>
    <w:rsid w:val="00F26677"/>
    <w:rsid w:val="00F266B1"/>
    <w:rsid w:val="00F266C4"/>
    <w:rsid w:val="00F26728"/>
    <w:rsid w:val="00F2675C"/>
    <w:rsid w:val="00F26890"/>
    <w:rsid w:val="00F268BC"/>
    <w:rsid w:val="00F26A76"/>
    <w:rsid w:val="00F26B70"/>
    <w:rsid w:val="00F26CA0"/>
    <w:rsid w:val="00F26E81"/>
    <w:rsid w:val="00F27087"/>
    <w:rsid w:val="00F270FB"/>
    <w:rsid w:val="00F27215"/>
    <w:rsid w:val="00F2722C"/>
    <w:rsid w:val="00F272B1"/>
    <w:rsid w:val="00F272CB"/>
    <w:rsid w:val="00F27344"/>
    <w:rsid w:val="00F27346"/>
    <w:rsid w:val="00F27501"/>
    <w:rsid w:val="00F27512"/>
    <w:rsid w:val="00F27595"/>
    <w:rsid w:val="00F276C2"/>
    <w:rsid w:val="00F276C7"/>
    <w:rsid w:val="00F276EE"/>
    <w:rsid w:val="00F277DB"/>
    <w:rsid w:val="00F277F3"/>
    <w:rsid w:val="00F27814"/>
    <w:rsid w:val="00F278AE"/>
    <w:rsid w:val="00F27DB5"/>
    <w:rsid w:val="00F27E2B"/>
    <w:rsid w:val="00F27E74"/>
    <w:rsid w:val="00F27EFF"/>
    <w:rsid w:val="00F27F1E"/>
    <w:rsid w:val="00F27F8D"/>
    <w:rsid w:val="00F27FAE"/>
    <w:rsid w:val="00F3008D"/>
    <w:rsid w:val="00F300C2"/>
    <w:rsid w:val="00F302F5"/>
    <w:rsid w:val="00F3042C"/>
    <w:rsid w:val="00F304F5"/>
    <w:rsid w:val="00F30613"/>
    <w:rsid w:val="00F306A9"/>
    <w:rsid w:val="00F30847"/>
    <w:rsid w:val="00F308B6"/>
    <w:rsid w:val="00F30B5E"/>
    <w:rsid w:val="00F30C0C"/>
    <w:rsid w:val="00F30CB2"/>
    <w:rsid w:val="00F30DE9"/>
    <w:rsid w:val="00F30DF7"/>
    <w:rsid w:val="00F30E9E"/>
    <w:rsid w:val="00F30E9F"/>
    <w:rsid w:val="00F30EDC"/>
    <w:rsid w:val="00F30F27"/>
    <w:rsid w:val="00F30FAF"/>
    <w:rsid w:val="00F3107A"/>
    <w:rsid w:val="00F310BC"/>
    <w:rsid w:val="00F310DE"/>
    <w:rsid w:val="00F3116A"/>
    <w:rsid w:val="00F3116F"/>
    <w:rsid w:val="00F311A7"/>
    <w:rsid w:val="00F31265"/>
    <w:rsid w:val="00F31269"/>
    <w:rsid w:val="00F312F3"/>
    <w:rsid w:val="00F3136C"/>
    <w:rsid w:val="00F313B8"/>
    <w:rsid w:val="00F31444"/>
    <w:rsid w:val="00F314B4"/>
    <w:rsid w:val="00F314CE"/>
    <w:rsid w:val="00F3156F"/>
    <w:rsid w:val="00F315FD"/>
    <w:rsid w:val="00F31647"/>
    <w:rsid w:val="00F31670"/>
    <w:rsid w:val="00F31690"/>
    <w:rsid w:val="00F316D0"/>
    <w:rsid w:val="00F3170F"/>
    <w:rsid w:val="00F31726"/>
    <w:rsid w:val="00F317E3"/>
    <w:rsid w:val="00F318CA"/>
    <w:rsid w:val="00F3193E"/>
    <w:rsid w:val="00F3195A"/>
    <w:rsid w:val="00F3195C"/>
    <w:rsid w:val="00F319BD"/>
    <w:rsid w:val="00F31A52"/>
    <w:rsid w:val="00F31A82"/>
    <w:rsid w:val="00F31C80"/>
    <w:rsid w:val="00F31D56"/>
    <w:rsid w:val="00F31D5B"/>
    <w:rsid w:val="00F31E74"/>
    <w:rsid w:val="00F31F52"/>
    <w:rsid w:val="00F31FD6"/>
    <w:rsid w:val="00F31FEC"/>
    <w:rsid w:val="00F31FF2"/>
    <w:rsid w:val="00F3200B"/>
    <w:rsid w:val="00F3205E"/>
    <w:rsid w:val="00F32097"/>
    <w:rsid w:val="00F320B1"/>
    <w:rsid w:val="00F320C2"/>
    <w:rsid w:val="00F32159"/>
    <w:rsid w:val="00F32177"/>
    <w:rsid w:val="00F32416"/>
    <w:rsid w:val="00F324E0"/>
    <w:rsid w:val="00F3255A"/>
    <w:rsid w:val="00F3258A"/>
    <w:rsid w:val="00F325F0"/>
    <w:rsid w:val="00F3263D"/>
    <w:rsid w:val="00F32647"/>
    <w:rsid w:val="00F32666"/>
    <w:rsid w:val="00F3275B"/>
    <w:rsid w:val="00F32781"/>
    <w:rsid w:val="00F327DF"/>
    <w:rsid w:val="00F3281C"/>
    <w:rsid w:val="00F32835"/>
    <w:rsid w:val="00F3289A"/>
    <w:rsid w:val="00F329EB"/>
    <w:rsid w:val="00F32A75"/>
    <w:rsid w:val="00F32B4F"/>
    <w:rsid w:val="00F32D86"/>
    <w:rsid w:val="00F32E01"/>
    <w:rsid w:val="00F32FF1"/>
    <w:rsid w:val="00F33077"/>
    <w:rsid w:val="00F330AF"/>
    <w:rsid w:val="00F33270"/>
    <w:rsid w:val="00F332BA"/>
    <w:rsid w:val="00F3331B"/>
    <w:rsid w:val="00F3332B"/>
    <w:rsid w:val="00F33413"/>
    <w:rsid w:val="00F3345C"/>
    <w:rsid w:val="00F334C3"/>
    <w:rsid w:val="00F334E8"/>
    <w:rsid w:val="00F334FB"/>
    <w:rsid w:val="00F3363A"/>
    <w:rsid w:val="00F336D7"/>
    <w:rsid w:val="00F336F6"/>
    <w:rsid w:val="00F33781"/>
    <w:rsid w:val="00F337F0"/>
    <w:rsid w:val="00F3389E"/>
    <w:rsid w:val="00F338E2"/>
    <w:rsid w:val="00F33921"/>
    <w:rsid w:val="00F3399F"/>
    <w:rsid w:val="00F33A88"/>
    <w:rsid w:val="00F33A92"/>
    <w:rsid w:val="00F33A98"/>
    <w:rsid w:val="00F33B23"/>
    <w:rsid w:val="00F33CC1"/>
    <w:rsid w:val="00F33CDD"/>
    <w:rsid w:val="00F33E1D"/>
    <w:rsid w:val="00F33E75"/>
    <w:rsid w:val="00F33F15"/>
    <w:rsid w:val="00F33F19"/>
    <w:rsid w:val="00F33F66"/>
    <w:rsid w:val="00F33F71"/>
    <w:rsid w:val="00F33FA1"/>
    <w:rsid w:val="00F3409B"/>
    <w:rsid w:val="00F3426F"/>
    <w:rsid w:val="00F34396"/>
    <w:rsid w:val="00F343CA"/>
    <w:rsid w:val="00F34525"/>
    <w:rsid w:val="00F34730"/>
    <w:rsid w:val="00F34777"/>
    <w:rsid w:val="00F3488E"/>
    <w:rsid w:val="00F3490C"/>
    <w:rsid w:val="00F34A01"/>
    <w:rsid w:val="00F34A25"/>
    <w:rsid w:val="00F34B69"/>
    <w:rsid w:val="00F34CA1"/>
    <w:rsid w:val="00F34D71"/>
    <w:rsid w:val="00F34E73"/>
    <w:rsid w:val="00F34F9A"/>
    <w:rsid w:val="00F3501A"/>
    <w:rsid w:val="00F351B1"/>
    <w:rsid w:val="00F351DB"/>
    <w:rsid w:val="00F35354"/>
    <w:rsid w:val="00F35364"/>
    <w:rsid w:val="00F353CB"/>
    <w:rsid w:val="00F35422"/>
    <w:rsid w:val="00F354C0"/>
    <w:rsid w:val="00F35611"/>
    <w:rsid w:val="00F3579B"/>
    <w:rsid w:val="00F357D9"/>
    <w:rsid w:val="00F358A0"/>
    <w:rsid w:val="00F35925"/>
    <w:rsid w:val="00F359DF"/>
    <w:rsid w:val="00F359EB"/>
    <w:rsid w:val="00F35B1D"/>
    <w:rsid w:val="00F35B9C"/>
    <w:rsid w:val="00F35BE4"/>
    <w:rsid w:val="00F35CB3"/>
    <w:rsid w:val="00F35CF4"/>
    <w:rsid w:val="00F35DB7"/>
    <w:rsid w:val="00F35DFD"/>
    <w:rsid w:val="00F35E9D"/>
    <w:rsid w:val="00F35EDC"/>
    <w:rsid w:val="00F35EF5"/>
    <w:rsid w:val="00F35F27"/>
    <w:rsid w:val="00F35F28"/>
    <w:rsid w:val="00F35FB4"/>
    <w:rsid w:val="00F35FB5"/>
    <w:rsid w:val="00F36006"/>
    <w:rsid w:val="00F36085"/>
    <w:rsid w:val="00F36179"/>
    <w:rsid w:val="00F361B4"/>
    <w:rsid w:val="00F363F6"/>
    <w:rsid w:val="00F364AB"/>
    <w:rsid w:val="00F364FC"/>
    <w:rsid w:val="00F36595"/>
    <w:rsid w:val="00F365B0"/>
    <w:rsid w:val="00F365D1"/>
    <w:rsid w:val="00F365F7"/>
    <w:rsid w:val="00F3672F"/>
    <w:rsid w:val="00F367A4"/>
    <w:rsid w:val="00F36993"/>
    <w:rsid w:val="00F369C1"/>
    <w:rsid w:val="00F36AC9"/>
    <w:rsid w:val="00F36B72"/>
    <w:rsid w:val="00F36C20"/>
    <w:rsid w:val="00F36DA9"/>
    <w:rsid w:val="00F36E89"/>
    <w:rsid w:val="00F36E8B"/>
    <w:rsid w:val="00F36EBC"/>
    <w:rsid w:val="00F36EC6"/>
    <w:rsid w:val="00F36F20"/>
    <w:rsid w:val="00F36F7B"/>
    <w:rsid w:val="00F3701B"/>
    <w:rsid w:val="00F37187"/>
    <w:rsid w:val="00F37254"/>
    <w:rsid w:val="00F3735B"/>
    <w:rsid w:val="00F37372"/>
    <w:rsid w:val="00F3737D"/>
    <w:rsid w:val="00F3740C"/>
    <w:rsid w:val="00F374D9"/>
    <w:rsid w:val="00F37578"/>
    <w:rsid w:val="00F375A6"/>
    <w:rsid w:val="00F375D7"/>
    <w:rsid w:val="00F375EB"/>
    <w:rsid w:val="00F37647"/>
    <w:rsid w:val="00F377DB"/>
    <w:rsid w:val="00F378A5"/>
    <w:rsid w:val="00F378F2"/>
    <w:rsid w:val="00F3790D"/>
    <w:rsid w:val="00F3794C"/>
    <w:rsid w:val="00F3795A"/>
    <w:rsid w:val="00F3798D"/>
    <w:rsid w:val="00F37A11"/>
    <w:rsid w:val="00F37A97"/>
    <w:rsid w:val="00F37B6E"/>
    <w:rsid w:val="00F37BFC"/>
    <w:rsid w:val="00F37C0A"/>
    <w:rsid w:val="00F37C10"/>
    <w:rsid w:val="00F37C2B"/>
    <w:rsid w:val="00F37CF9"/>
    <w:rsid w:val="00F37DAC"/>
    <w:rsid w:val="00F37DF8"/>
    <w:rsid w:val="00F37E0D"/>
    <w:rsid w:val="00F37E14"/>
    <w:rsid w:val="00F37E58"/>
    <w:rsid w:val="00F37E5D"/>
    <w:rsid w:val="00F37FAD"/>
    <w:rsid w:val="00F400B4"/>
    <w:rsid w:val="00F400BE"/>
    <w:rsid w:val="00F403D7"/>
    <w:rsid w:val="00F404BC"/>
    <w:rsid w:val="00F40779"/>
    <w:rsid w:val="00F4078E"/>
    <w:rsid w:val="00F407A6"/>
    <w:rsid w:val="00F407EF"/>
    <w:rsid w:val="00F4085A"/>
    <w:rsid w:val="00F408C2"/>
    <w:rsid w:val="00F409AD"/>
    <w:rsid w:val="00F40A04"/>
    <w:rsid w:val="00F40B59"/>
    <w:rsid w:val="00F40B95"/>
    <w:rsid w:val="00F40B99"/>
    <w:rsid w:val="00F40C44"/>
    <w:rsid w:val="00F40D26"/>
    <w:rsid w:val="00F40D4E"/>
    <w:rsid w:val="00F40E7A"/>
    <w:rsid w:val="00F40E86"/>
    <w:rsid w:val="00F40F2F"/>
    <w:rsid w:val="00F40F48"/>
    <w:rsid w:val="00F40FE0"/>
    <w:rsid w:val="00F4103D"/>
    <w:rsid w:val="00F41075"/>
    <w:rsid w:val="00F4108B"/>
    <w:rsid w:val="00F41132"/>
    <w:rsid w:val="00F411A2"/>
    <w:rsid w:val="00F411A5"/>
    <w:rsid w:val="00F411F0"/>
    <w:rsid w:val="00F4120A"/>
    <w:rsid w:val="00F4128D"/>
    <w:rsid w:val="00F41323"/>
    <w:rsid w:val="00F4142D"/>
    <w:rsid w:val="00F414DB"/>
    <w:rsid w:val="00F41501"/>
    <w:rsid w:val="00F415B0"/>
    <w:rsid w:val="00F416C6"/>
    <w:rsid w:val="00F41893"/>
    <w:rsid w:val="00F41A49"/>
    <w:rsid w:val="00F41A8D"/>
    <w:rsid w:val="00F41AA8"/>
    <w:rsid w:val="00F41BB6"/>
    <w:rsid w:val="00F41BFE"/>
    <w:rsid w:val="00F41CF7"/>
    <w:rsid w:val="00F41D13"/>
    <w:rsid w:val="00F41D35"/>
    <w:rsid w:val="00F41D46"/>
    <w:rsid w:val="00F41E47"/>
    <w:rsid w:val="00F41E5E"/>
    <w:rsid w:val="00F41E84"/>
    <w:rsid w:val="00F41F19"/>
    <w:rsid w:val="00F41FF0"/>
    <w:rsid w:val="00F41FF8"/>
    <w:rsid w:val="00F42071"/>
    <w:rsid w:val="00F4207E"/>
    <w:rsid w:val="00F420AD"/>
    <w:rsid w:val="00F420E4"/>
    <w:rsid w:val="00F420E6"/>
    <w:rsid w:val="00F420F3"/>
    <w:rsid w:val="00F42161"/>
    <w:rsid w:val="00F4217D"/>
    <w:rsid w:val="00F421B7"/>
    <w:rsid w:val="00F42271"/>
    <w:rsid w:val="00F422CA"/>
    <w:rsid w:val="00F42380"/>
    <w:rsid w:val="00F42408"/>
    <w:rsid w:val="00F42421"/>
    <w:rsid w:val="00F4242D"/>
    <w:rsid w:val="00F424CE"/>
    <w:rsid w:val="00F424DA"/>
    <w:rsid w:val="00F425A7"/>
    <w:rsid w:val="00F42676"/>
    <w:rsid w:val="00F42751"/>
    <w:rsid w:val="00F427BA"/>
    <w:rsid w:val="00F427DE"/>
    <w:rsid w:val="00F428D3"/>
    <w:rsid w:val="00F42ADA"/>
    <w:rsid w:val="00F42B62"/>
    <w:rsid w:val="00F42BD6"/>
    <w:rsid w:val="00F42C29"/>
    <w:rsid w:val="00F42D31"/>
    <w:rsid w:val="00F42D8D"/>
    <w:rsid w:val="00F42DB2"/>
    <w:rsid w:val="00F42E84"/>
    <w:rsid w:val="00F42FF9"/>
    <w:rsid w:val="00F43093"/>
    <w:rsid w:val="00F430DF"/>
    <w:rsid w:val="00F43160"/>
    <w:rsid w:val="00F43273"/>
    <w:rsid w:val="00F43276"/>
    <w:rsid w:val="00F432D4"/>
    <w:rsid w:val="00F432F3"/>
    <w:rsid w:val="00F43309"/>
    <w:rsid w:val="00F433CC"/>
    <w:rsid w:val="00F434D8"/>
    <w:rsid w:val="00F434FC"/>
    <w:rsid w:val="00F4356E"/>
    <w:rsid w:val="00F436FC"/>
    <w:rsid w:val="00F43754"/>
    <w:rsid w:val="00F437A3"/>
    <w:rsid w:val="00F43813"/>
    <w:rsid w:val="00F4384D"/>
    <w:rsid w:val="00F4384E"/>
    <w:rsid w:val="00F438E4"/>
    <w:rsid w:val="00F439C9"/>
    <w:rsid w:val="00F43A3B"/>
    <w:rsid w:val="00F43ACF"/>
    <w:rsid w:val="00F43B3D"/>
    <w:rsid w:val="00F43BB9"/>
    <w:rsid w:val="00F43C88"/>
    <w:rsid w:val="00F43CD2"/>
    <w:rsid w:val="00F43D1A"/>
    <w:rsid w:val="00F43DD3"/>
    <w:rsid w:val="00F43F1F"/>
    <w:rsid w:val="00F44028"/>
    <w:rsid w:val="00F44036"/>
    <w:rsid w:val="00F44068"/>
    <w:rsid w:val="00F441BD"/>
    <w:rsid w:val="00F441F0"/>
    <w:rsid w:val="00F44238"/>
    <w:rsid w:val="00F4432E"/>
    <w:rsid w:val="00F4436D"/>
    <w:rsid w:val="00F44478"/>
    <w:rsid w:val="00F4455D"/>
    <w:rsid w:val="00F44660"/>
    <w:rsid w:val="00F446F1"/>
    <w:rsid w:val="00F446FF"/>
    <w:rsid w:val="00F44769"/>
    <w:rsid w:val="00F4486F"/>
    <w:rsid w:val="00F44872"/>
    <w:rsid w:val="00F4490D"/>
    <w:rsid w:val="00F44948"/>
    <w:rsid w:val="00F449F8"/>
    <w:rsid w:val="00F44A18"/>
    <w:rsid w:val="00F44A2A"/>
    <w:rsid w:val="00F44A2E"/>
    <w:rsid w:val="00F44C0D"/>
    <w:rsid w:val="00F44DAA"/>
    <w:rsid w:val="00F44E8F"/>
    <w:rsid w:val="00F44FC7"/>
    <w:rsid w:val="00F45014"/>
    <w:rsid w:val="00F4501A"/>
    <w:rsid w:val="00F45020"/>
    <w:rsid w:val="00F45024"/>
    <w:rsid w:val="00F45047"/>
    <w:rsid w:val="00F4506B"/>
    <w:rsid w:val="00F45126"/>
    <w:rsid w:val="00F4517F"/>
    <w:rsid w:val="00F45275"/>
    <w:rsid w:val="00F452A4"/>
    <w:rsid w:val="00F452A6"/>
    <w:rsid w:val="00F45368"/>
    <w:rsid w:val="00F453F5"/>
    <w:rsid w:val="00F4541C"/>
    <w:rsid w:val="00F45427"/>
    <w:rsid w:val="00F4560E"/>
    <w:rsid w:val="00F45666"/>
    <w:rsid w:val="00F45680"/>
    <w:rsid w:val="00F456F6"/>
    <w:rsid w:val="00F4575D"/>
    <w:rsid w:val="00F457D5"/>
    <w:rsid w:val="00F45866"/>
    <w:rsid w:val="00F45963"/>
    <w:rsid w:val="00F4599E"/>
    <w:rsid w:val="00F45D49"/>
    <w:rsid w:val="00F45E4A"/>
    <w:rsid w:val="00F45E6D"/>
    <w:rsid w:val="00F45F0A"/>
    <w:rsid w:val="00F45FD4"/>
    <w:rsid w:val="00F460F3"/>
    <w:rsid w:val="00F46141"/>
    <w:rsid w:val="00F46266"/>
    <w:rsid w:val="00F463B3"/>
    <w:rsid w:val="00F464E2"/>
    <w:rsid w:val="00F46535"/>
    <w:rsid w:val="00F4654B"/>
    <w:rsid w:val="00F466DB"/>
    <w:rsid w:val="00F46739"/>
    <w:rsid w:val="00F4673F"/>
    <w:rsid w:val="00F46A47"/>
    <w:rsid w:val="00F46AD6"/>
    <w:rsid w:val="00F46B69"/>
    <w:rsid w:val="00F46C3B"/>
    <w:rsid w:val="00F46C6B"/>
    <w:rsid w:val="00F46C76"/>
    <w:rsid w:val="00F46C8B"/>
    <w:rsid w:val="00F46C96"/>
    <w:rsid w:val="00F46DDD"/>
    <w:rsid w:val="00F46E32"/>
    <w:rsid w:val="00F46E9C"/>
    <w:rsid w:val="00F46EBD"/>
    <w:rsid w:val="00F46ED2"/>
    <w:rsid w:val="00F46F04"/>
    <w:rsid w:val="00F46F2B"/>
    <w:rsid w:val="00F46FBA"/>
    <w:rsid w:val="00F46FF7"/>
    <w:rsid w:val="00F47009"/>
    <w:rsid w:val="00F471A0"/>
    <w:rsid w:val="00F471EB"/>
    <w:rsid w:val="00F47320"/>
    <w:rsid w:val="00F47356"/>
    <w:rsid w:val="00F473D7"/>
    <w:rsid w:val="00F47400"/>
    <w:rsid w:val="00F476A4"/>
    <w:rsid w:val="00F47759"/>
    <w:rsid w:val="00F4788C"/>
    <w:rsid w:val="00F479F8"/>
    <w:rsid w:val="00F47A00"/>
    <w:rsid w:val="00F47B0B"/>
    <w:rsid w:val="00F47B99"/>
    <w:rsid w:val="00F47BB0"/>
    <w:rsid w:val="00F47BBC"/>
    <w:rsid w:val="00F47BFB"/>
    <w:rsid w:val="00F47D8D"/>
    <w:rsid w:val="00F47E16"/>
    <w:rsid w:val="00F5006B"/>
    <w:rsid w:val="00F5023B"/>
    <w:rsid w:val="00F50269"/>
    <w:rsid w:val="00F502F4"/>
    <w:rsid w:val="00F504D8"/>
    <w:rsid w:val="00F504EA"/>
    <w:rsid w:val="00F50540"/>
    <w:rsid w:val="00F505D1"/>
    <w:rsid w:val="00F5061D"/>
    <w:rsid w:val="00F506BD"/>
    <w:rsid w:val="00F5078B"/>
    <w:rsid w:val="00F508A5"/>
    <w:rsid w:val="00F509DE"/>
    <w:rsid w:val="00F50C01"/>
    <w:rsid w:val="00F50CCF"/>
    <w:rsid w:val="00F50CD8"/>
    <w:rsid w:val="00F50DA1"/>
    <w:rsid w:val="00F50DDA"/>
    <w:rsid w:val="00F50DDC"/>
    <w:rsid w:val="00F50E7D"/>
    <w:rsid w:val="00F50F7C"/>
    <w:rsid w:val="00F50FA5"/>
    <w:rsid w:val="00F50FC4"/>
    <w:rsid w:val="00F51122"/>
    <w:rsid w:val="00F51172"/>
    <w:rsid w:val="00F511CE"/>
    <w:rsid w:val="00F511D3"/>
    <w:rsid w:val="00F51214"/>
    <w:rsid w:val="00F51286"/>
    <w:rsid w:val="00F51371"/>
    <w:rsid w:val="00F51426"/>
    <w:rsid w:val="00F51454"/>
    <w:rsid w:val="00F514C7"/>
    <w:rsid w:val="00F5152D"/>
    <w:rsid w:val="00F51551"/>
    <w:rsid w:val="00F515B4"/>
    <w:rsid w:val="00F515C1"/>
    <w:rsid w:val="00F51689"/>
    <w:rsid w:val="00F5168A"/>
    <w:rsid w:val="00F5174E"/>
    <w:rsid w:val="00F517D3"/>
    <w:rsid w:val="00F51801"/>
    <w:rsid w:val="00F5183F"/>
    <w:rsid w:val="00F51B18"/>
    <w:rsid w:val="00F51C6E"/>
    <w:rsid w:val="00F51C9F"/>
    <w:rsid w:val="00F51CB5"/>
    <w:rsid w:val="00F51CC1"/>
    <w:rsid w:val="00F51CE8"/>
    <w:rsid w:val="00F51D13"/>
    <w:rsid w:val="00F51DD4"/>
    <w:rsid w:val="00F51E22"/>
    <w:rsid w:val="00F51E48"/>
    <w:rsid w:val="00F51EE0"/>
    <w:rsid w:val="00F51F4F"/>
    <w:rsid w:val="00F51FD7"/>
    <w:rsid w:val="00F5204B"/>
    <w:rsid w:val="00F52260"/>
    <w:rsid w:val="00F522A3"/>
    <w:rsid w:val="00F522D6"/>
    <w:rsid w:val="00F522DD"/>
    <w:rsid w:val="00F5230D"/>
    <w:rsid w:val="00F5235D"/>
    <w:rsid w:val="00F52429"/>
    <w:rsid w:val="00F5246C"/>
    <w:rsid w:val="00F524A2"/>
    <w:rsid w:val="00F52552"/>
    <w:rsid w:val="00F52625"/>
    <w:rsid w:val="00F52637"/>
    <w:rsid w:val="00F52638"/>
    <w:rsid w:val="00F528A0"/>
    <w:rsid w:val="00F528C7"/>
    <w:rsid w:val="00F529A8"/>
    <w:rsid w:val="00F52A9A"/>
    <w:rsid w:val="00F52A9C"/>
    <w:rsid w:val="00F52B47"/>
    <w:rsid w:val="00F52D26"/>
    <w:rsid w:val="00F52DAB"/>
    <w:rsid w:val="00F52DC7"/>
    <w:rsid w:val="00F52EAD"/>
    <w:rsid w:val="00F52F94"/>
    <w:rsid w:val="00F52FB4"/>
    <w:rsid w:val="00F53069"/>
    <w:rsid w:val="00F53096"/>
    <w:rsid w:val="00F531BB"/>
    <w:rsid w:val="00F5326B"/>
    <w:rsid w:val="00F53332"/>
    <w:rsid w:val="00F5334B"/>
    <w:rsid w:val="00F534AC"/>
    <w:rsid w:val="00F53523"/>
    <w:rsid w:val="00F5354E"/>
    <w:rsid w:val="00F53572"/>
    <w:rsid w:val="00F53636"/>
    <w:rsid w:val="00F53645"/>
    <w:rsid w:val="00F53663"/>
    <w:rsid w:val="00F537CF"/>
    <w:rsid w:val="00F5385D"/>
    <w:rsid w:val="00F539C0"/>
    <w:rsid w:val="00F539D9"/>
    <w:rsid w:val="00F53A46"/>
    <w:rsid w:val="00F53ABA"/>
    <w:rsid w:val="00F53B0A"/>
    <w:rsid w:val="00F53BE9"/>
    <w:rsid w:val="00F53C1F"/>
    <w:rsid w:val="00F53CCF"/>
    <w:rsid w:val="00F53E54"/>
    <w:rsid w:val="00F53F12"/>
    <w:rsid w:val="00F54062"/>
    <w:rsid w:val="00F540AA"/>
    <w:rsid w:val="00F540BB"/>
    <w:rsid w:val="00F5431B"/>
    <w:rsid w:val="00F5434E"/>
    <w:rsid w:val="00F54495"/>
    <w:rsid w:val="00F544EE"/>
    <w:rsid w:val="00F544FA"/>
    <w:rsid w:val="00F54620"/>
    <w:rsid w:val="00F548EC"/>
    <w:rsid w:val="00F549BE"/>
    <w:rsid w:val="00F54A37"/>
    <w:rsid w:val="00F54A77"/>
    <w:rsid w:val="00F54BE9"/>
    <w:rsid w:val="00F54E8D"/>
    <w:rsid w:val="00F54ED5"/>
    <w:rsid w:val="00F54EEB"/>
    <w:rsid w:val="00F550E4"/>
    <w:rsid w:val="00F5519E"/>
    <w:rsid w:val="00F55286"/>
    <w:rsid w:val="00F5539F"/>
    <w:rsid w:val="00F553D2"/>
    <w:rsid w:val="00F5547F"/>
    <w:rsid w:val="00F55576"/>
    <w:rsid w:val="00F55589"/>
    <w:rsid w:val="00F55622"/>
    <w:rsid w:val="00F55646"/>
    <w:rsid w:val="00F55698"/>
    <w:rsid w:val="00F556BE"/>
    <w:rsid w:val="00F5570A"/>
    <w:rsid w:val="00F55737"/>
    <w:rsid w:val="00F55762"/>
    <w:rsid w:val="00F55767"/>
    <w:rsid w:val="00F5584D"/>
    <w:rsid w:val="00F5586B"/>
    <w:rsid w:val="00F558A1"/>
    <w:rsid w:val="00F5592D"/>
    <w:rsid w:val="00F559CB"/>
    <w:rsid w:val="00F559F8"/>
    <w:rsid w:val="00F55AB5"/>
    <w:rsid w:val="00F55B22"/>
    <w:rsid w:val="00F55B98"/>
    <w:rsid w:val="00F55E08"/>
    <w:rsid w:val="00F55E0A"/>
    <w:rsid w:val="00F55F85"/>
    <w:rsid w:val="00F56063"/>
    <w:rsid w:val="00F5613F"/>
    <w:rsid w:val="00F56164"/>
    <w:rsid w:val="00F5617B"/>
    <w:rsid w:val="00F5619B"/>
    <w:rsid w:val="00F56207"/>
    <w:rsid w:val="00F56219"/>
    <w:rsid w:val="00F563BC"/>
    <w:rsid w:val="00F56433"/>
    <w:rsid w:val="00F5644D"/>
    <w:rsid w:val="00F5657D"/>
    <w:rsid w:val="00F56666"/>
    <w:rsid w:val="00F56797"/>
    <w:rsid w:val="00F567C9"/>
    <w:rsid w:val="00F568BC"/>
    <w:rsid w:val="00F568FE"/>
    <w:rsid w:val="00F56902"/>
    <w:rsid w:val="00F56948"/>
    <w:rsid w:val="00F569D7"/>
    <w:rsid w:val="00F56AD4"/>
    <w:rsid w:val="00F56BC7"/>
    <w:rsid w:val="00F56C24"/>
    <w:rsid w:val="00F56DFD"/>
    <w:rsid w:val="00F56E2C"/>
    <w:rsid w:val="00F56E37"/>
    <w:rsid w:val="00F5721C"/>
    <w:rsid w:val="00F57398"/>
    <w:rsid w:val="00F574B9"/>
    <w:rsid w:val="00F574FD"/>
    <w:rsid w:val="00F57639"/>
    <w:rsid w:val="00F5767C"/>
    <w:rsid w:val="00F576E6"/>
    <w:rsid w:val="00F5770F"/>
    <w:rsid w:val="00F57794"/>
    <w:rsid w:val="00F577A0"/>
    <w:rsid w:val="00F577A4"/>
    <w:rsid w:val="00F5786D"/>
    <w:rsid w:val="00F5788A"/>
    <w:rsid w:val="00F578C6"/>
    <w:rsid w:val="00F57A0B"/>
    <w:rsid w:val="00F57A24"/>
    <w:rsid w:val="00F57A90"/>
    <w:rsid w:val="00F57AC0"/>
    <w:rsid w:val="00F57C62"/>
    <w:rsid w:val="00F57CCE"/>
    <w:rsid w:val="00F57F97"/>
    <w:rsid w:val="00F57FCA"/>
    <w:rsid w:val="00F60066"/>
    <w:rsid w:val="00F600A8"/>
    <w:rsid w:val="00F601FE"/>
    <w:rsid w:val="00F6027D"/>
    <w:rsid w:val="00F603DB"/>
    <w:rsid w:val="00F603E4"/>
    <w:rsid w:val="00F60485"/>
    <w:rsid w:val="00F604F4"/>
    <w:rsid w:val="00F60553"/>
    <w:rsid w:val="00F607A8"/>
    <w:rsid w:val="00F60829"/>
    <w:rsid w:val="00F60838"/>
    <w:rsid w:val="00F608A0"/>
    <w:rsid w:val="00F60996"/>
    <w:rsid w:val="00F60A3D"/>
    <w:rsid w:val="00F60AAF"/>
    <w:rsid w:val="00F60B90"/>
    <w:rsid w:val="00F60DD1"/>
    <w:rsid w:val="00F60E16"/>
    <w:rsid w:val="00F60E6C"/>
    <w:rsid w:val="00F60EFD"/>
    <w:rsid w:val="00F60F16"/>
    <w:rsid w:val="00F60F3E"/>
    <w:rsid w:val="00F60FE8"/>
    <w:rsid w:val="00F6115E"/>
    <w:rsid w:val="00F611D9"/>
    <w:rsid w:val="00F6122B"/>
    <w:rsid w:val="00F6135A"/>
    <w:rsid w:val="00F613CE"/>
    <w:rsid w:val="00F613DC"/>
    <w:rsid w:val="00F6157F"/>
    <w:rsid w:val="00F61600"/>
    <w:rsid w:val="00F61611"/>
    <w:rsid w:val="00F6168B"/>
    <w:rsid w:val="00F616D2"/>
    <w:rsid w:val="00F61951"/>
    <w:rsid w:val="00F61967"/>
    <w:rsid w:val="00F61987"/>
    <w:rsid w:val="00F61A9E"/>
    <w:rsid w:val="00F61BB3"/>
    <w:rsid w:val="00F61D00"/>
    <w:rsid w:val="00F61D2D"/>
    <w:rsid w:val="00F61D35"/>
    <w:rsid w:val="00F61E6B"/>
    <w:rsid w:val="00F61E78"/>
    <w:rsid w:val="00F61E90"/>
    <w:rsid w:val="00F6213D"/>
    <w:rsid w:val="00F6230F"/>
    <w:rsid w:val="00F62385"/>
    <w:rsid w:val="00F6252C"/>
    <w:rsid w:val="00F6256C"/>
    <w:rsid w:val="00F6260D"/>
    <w:rsid w:val="00F62689"/>
    <w:rsid w:val="00F6268D"/>
    <w:rsid w:val="00F627F9"/>
    <w:rsid w:val="00F62804"/>
    <w:rsid w:val="00F6281E"/>
    <w:rsid w:val="00F628C2"/>
    <w:rsid w:val="00F62941"/>
    <w:rsid w:val="00F62990"/>
    <w:rsid w:val="00F629B2"/>
    <w:rsid w:val="00F629DB"/>
    <w:rsid w:val="00F62B4F"/>
    <w:rsid w:val="00F62D41"/>
    <w:rsid w:val="00F62DCE"/>
    <w:rsid w:val="00F62F29"/>
    <w:rsid w:val="00F63149"/>
    <w:rsid w:val="00F6326A"/>
    <w:rsid w:val="00F6328E"/>
    <w:rsid w:val="00F632CC"/>
    <w:rsid w:val="00F632DC"/>
    <w:rsid w:val="00F632E7"/>
    <w:rsid w:val="00F63403"/>
    <w:rsid w:val="00F6353D"/>
    <w:rsid w:val="00F635A9"/>
    <w:rsid w:val="00F636D6"/>
    <w:rsid w:val="00F637A1"/>
    <w:rsid w:val="00F637B2"/>
    <w:rsid w:val="00F6385A"/>
    <w:rsid w:val="00F638DE"/>
    <w:rsid w:val="00F63A8D"/>
    <w:rsid w:val="00F63AD5"/>
    <w:rsid w:val="00F63AF0"/>
    <w:rsid w:val="00F63C0B"/>
    <w:rsid w:val="00F63D7E"/>
    <w:rsid w:val="00F640EB"/>
    <w:rsid w:val="00F64129"/>
    <w:rsid w:val="00F6417E"/>
    <w:rsid w:val="00F644A6"/>
    <w:rsid w:val="00F645E3"/>
    <w:rsid w:val="00F6469B"/>
    <w:rsid w:val="00F64765"/>
    <w:rsid w:val="00F6485B"/>
    <w:rsid w:val="00F649C4"/>
    <w:rsid w:val="00F64A8C"/>
    <w:rsid w:val="00F64BB5"/>
    <w:rsid w:val="00F64DAA"/>
    <w:rsid w:val="00F64E3B"/>
    <w:rsid w:val="00F64E53"/>
    <w:rsid w:val="00F65038"/>
    <w:rsid w:val="00F650E2"/>
    <w:rsid w:val="00F6531B"/>
    <w:rsid w:val="00F653D5"/>
    <w:rsid w:val="00F65411"/>
    <w:rsid w:val="00F65428"/>
    <w:rsid w:val="00F65458"/>
    <w:rsid w:val="00F6548F"/>
    <w:rsid w:val="00F654A5"/>
    <w:rsid w:val="00F654D9"/>
    <w:rsid w:val="00F65826"/>
    <w:rsid w:val="00F65835"/>
    <w:rsid w:val="00F658F3"/>
    <w:rsid w:val="00F6595B"/>
    <w:rsid w:val="00F659F4"/>
    <w:rsid w:val="00F65A0E"/>
    <w:rsid w:val="00F65AFA"/>
    <w:rsid w:val="00F65B48"/>
    <w:rsid w:val="00F65BE9"/>
    <w:rsid w:val="00F65BEE"/>
    <w:rsid w:val="00F65C18"/>
    <w:rsid w:val="00F65C8C"/>
    <w:rsid w:val="00F65CC7"/>
    <w:rsid w:val="00F65CFF"/>
    <w:rsid w:val="00F65D0D"/>
    <w:rsid w:val="00F65D52"/>
    <w:rsid w:val="00F65D83"/>
    <w:rsid w:val="00F65E3A"/>
    <w:rsid w:val="00F65E5F"/>
    <w:rsid w:val="00F65ED5"/>
    <w:rsid w:val="00F66121"/>
    <w:rsid w:val="00F663C1"/>
    <w:rsid w:val="00F66461"/>
    <w:rsid w:val="00F66482"/>
    <w:rsid w:val="00F66594"/>
    <w:rsid w:val="00F665C6"/>
    <w:rsid w:val="00F66676"/>
    <w:rsid w:val="00F666A8"/>
    <w:rsid w:val="00F666C7"/>
    <w:rsid w:val="00F66875"/>
    <w:rsid w:val="00F668FD"/>
    <w:rsid w:val="00F6692B"/>
    <w:rsid w:val="00F66A85"/>
    <w:rsid w:val="00F66A9E"/>
    <w:rsid w:val="00F66AB3"/>
    <w:rsid w:val="00F66B22"/>
    <w:rsid w:val="00F66B8D"/>
    <w:rsid w:val="00F66BB8"/>
    <w:rsid w:val="00F66C09"/>
    <w:rsid w:val="00F66C4C"/>
    <w:rsid w:val="00F66C52"/>
    <w:rsid w:val="00F66CB5"/>
    <w:rsid w:val="00F66D19"/>
    <w:rsid w:val="00F66D47"/>
    <w:rsid w:val="00F66DB0"/>
    <w:rsid w:val="00F66DFA"/>
    <w:rsid w:val="00F66EED"/>
    <w:rsid w:val="00F66F45"/>
    <w:rsid w:val="00F66FAA"/>
    <w:rsid w:val="00F67105"/>
    <w:rsid w:val="00F672B0"/>
    <w:rsid w:val="00F6734A"/>
    <w:rsid w:val="00F67397"/>
    <w:rsid w:val="00F673A8"/>
    <w:rsid w:val="00F673FE"/>
    <w:rsid w:val="00F67445"/>
    <w:rsid w:val="00F676D5"/>
    <w:rsid w:val="00F6779B"/>
    <w:rsid w:val="00F6788A"/>
    <w:rsid w:val="00F679F5"/>
    <w:rsid w:val="00F67A71"/>
    <w:rsid w:val="00F67B1C"/>
    <w:rsid w:val="00F67B7A"/>
    <w:rsid w:val="00F67BB2"/>
    <w:rsid w:val="00F67C3C"/>
    <w:rsid w:val="00F67C44"/>
    <w:rsid w:val="00F67CA3"/>
    <w:rsid w:val="00F67CD8"/>
    <w:rsid w:val="00F67D37"/>
    <w:rsid w:val="00F67E5D"/>
    <w:rsid w:val="00F67F4D"/>
    <w:rsid w:val="00F67F5A"/>
    <w:rsid w:val="00F7000A"/>
    <w:rsid w:val="00F70088"/>
    <w:rsid w:val="00F700B9"/>
    <w:rsid w:val="00F7012B"/>
    <w:rsid w:val="00F70160"/>
    <w:rsid w:val="00F7023F"/>
    <w:rsid w:val="00F702A2"/>
    <w:rsid w:val="00F702C1"/>
    <w:rsid w:val="00F7044D"/>
    <w:rsid w:val="00F70470"/>
    <w:rsid w:val="00F7047D"/>
    <w:rsid w:val="00F70532"/>
    <w:rsid w:val="00F7058B"/>
    <w:rsid w:val="00F70811"/>
    <w:rsid w:val="00F708CF"/>
    <w:rsid w:val="00F70931"/>
    <w:rsid w:val="00F709BD"/>
    <w:rsid w:val="00F709FF"/>
    <w:rsid w:val="00F70A57"/>
    <w:rsid w:val="00F70A91"/>
    <w:rsid w:val="00F70A9D"/>
    <w:rsid w:val="00F70B84"/>
    <w:rsid w:val="00F70CF7"/>
    <w:rsid w:val="00F70DAA"/>
    <w:rsid w:val="00F70E1F"/>
    <w:rsid w:val="00F70EFD"/>
    <w:rsid w:val="00F70F05"/>
    <w:rsid w:val="00F70F30"/>
    <w:rsid w:val="00F70F7E"/>
    <w:rsid w:val="00F71065"/>
    <w:rsid w:val="00F71102"/>
    <w:rsid w:val="00F71123"/>
    <w:rsid w:val="00F7117C"/>
    <w:rsid w:val="00F712F2"/>
    <w:rsid w:val="00F7130E"/>
    <w:rsid w:val="00F71389"/>
    <w:rsid w:val="00F713B5"/>
    <w:rsid w:val="00F71467"/>
    <w:rsid w:val="00F71493"/>
    <w:rsid w:val="00F714AA"/>
    <w:rsid w:val="00F714B6"/>
    <w:rsid w:val="00F715B4"/>
    <w:rsid w:val="00F7166D"/>
    <w:rsid w:val="00F716A1"/>
    <w:rsid w:val="00F716B1"/>
    <w:rsid w:val="00F7171C"/>
    <w:rsid w:val="00F7192C"/>
    <w:rsid w:val="00F71940"/>
    <w:rsid w:val="00F7198F"/>
    <w:rsid w:val="00F719AE"/>
    <w:rsid w:val="00F719F4"/>
    <w:rsid w:val="00F71A7D"/>
    <w:rsid w:val="00F71B49"/>
    <w:rsid w:val="00F71BF0"/>
    <w:rsid w:val="00F71C5B"/>
    <w:rsid w:val="00F71E3C"/>
    <w:rsid w:val="00F71F5E"/>
    <w:rsid w:val="00F7206D"/>
    <w:rsid w:val="00F720D4"/>
    <w:rsid w:val="00F7216B"/>
    <w:rsid w:val="00F72198"/>
    <w:rsid w:val="00F721BE"/>
    <w:rsid w:val="00F721D6"/>
    <w:rsid w:val="00F72276"/>
    <w:rsid w:val="00F722E4"/>
    <w:rsid w:val="00F722F9"/>
    <w:rsid w:val="00F72334"/>
    <w:rsid w:val="00F72529"/>
    <w:rsid w:val="00F72585"/>
    <w:rsid w:val="00F7262B"/>
    <w:rsid w:val="00F7267C"/>
    <w:rsid w:val="00F7268C"/>
    <w:rsid w:val="00F727EF"/>
    <w:rsid w:val="00F72830"/>
    <w:rsid w:val="00F7286D"/>
    <w:rsid w:val="00F72893"/>
    <w:rsid w:val="00F729C6"/>
    <w:rsid w:val="00F72B58"/>
    <w:rsid w:val="00F72C39"/>
    <w:rsid w:val="00F72C6F"/>
    <w:rsid w:val="00F72DF0"/>
    <w:rsid w:val="00F72E45"/>
    <w:rsid w:val="00F72E66"/>
    <w:rsid w:val="00F72EA0"/>
    <w:rsid w:val="00F72FDC"/>
    <w:rsid w:val="00F73037"/>
    <w:rsid w:val="00F7303B"/>
    <w:rsid w:val="00F730AA"/>
    <w:rsid w:val="00F730B5"/>
    <w:rsid w:val="00F730F8"/>
    <w:rsid w:val="00F73167"/>
    <w:rsid w:val="00F73195"/>
    <w:rsid w:val="00F731C5"/>
    <w:rsid w:val="00F733EE"/>
    <w:rsid w:val="00F73493"/>
    <w:rsid w:val="00F73496"/>
    <w:rsid w:val="00F734AA"/>
    <w:rsid w:val="00F737FA"/>
    <w:rsid w:val="00F738BB"/>
    <w:rsid w:val="00F7396B"/>
    <w:rsid w:val="00F739FA"/>
    <w:rsid w:val="00F73B06"/>
    <w:rsid w:val="00F73B8F"/>
    <w:rsid w:val="00F73CDE"/>
    <w:rsid w:val="00F73F1C"/>
    <w:rsid w:val="00F73FE5"/>
    <w:rsid w:val="00F74021"/>
    <w:rsid w:val="00F7412D"/>
    <w:rsid w:val="00F741A7"/>
    <w:rsid w:val="00F7424E"/>
    <w:rsid w:val="00F742F1"/>
    <w:rsid w:val="00F743F5"/>
    <w:rsid w:val="00F744A0"/>
    <w:rsid w:val="00F744EB"/>
    <w:rsid w:val="00F74573"/>
    <w:rsid w:val="00F7482F"/>
    <w:rsid w:val="00F7485C"/>
    <w:rsid w:val="00F74897"/>
    <w:rsid w:val="00F748C6"/>
    <w:rsid w:val="00F74997"/>
    <w:rsid w:val="00F7499A"/>
    <w:rsid w:val="00F749A3"/>
    <w:rsid w:val="00F74AA6"/>
    <w:rsid w:val="00F74BC2"/>
    <w:rsid w:val="00F74C1F"/>
    <w:rsid w:val="00F74D15"/>
    <w:rsid w:val="00F74D56"/>
    <w:rsid w:val="00F74D5E"/>
    <w:rsid w:val="00F74DD1"/>
    <w:rsid w:val="00F74EBA"/>
    <w:rsid w:val="00F74F7F"/>
    <w:rsid w:val="00F74FD0"/>
    <w:rsid w:val="00F74FD2"/>
    <w:rsid w:val="00F75002"/>
    <w:rsid w:val="00F75007"/>
    <w:rsid w:val="00F7500B"/>
    <w:rsid w:val="00F75033"/>
    <w:rsid w:val="00F75089"/>
    <w:rsid w:val="00F750A3"/>
    <w:rsid w:val="00F7512D"/>
    <w:rsid w:val="00F75218"/>
    <w:rsid w:val="00F75224"/>
    <w:rsid w:val="00F7531A"/>
    <w:rsid w:val="00F755B7"/>
    <w:rsid w:val="00F7571F"/>
    <w:rsid w:val="00F75883"/>
    <w:rsid w:val="00F75897"/>
    <w:rsid w:val="00F75A6F"/>
    <w:rsid w:val="00F75B24"/>
    <w:rsid w:val="00F75B82"/>
    <w:rsid w:val="00F75C0B"/>
    <w:rsid w:val="00F75C49"/>
    <w:rsid w:val="00F75E75"/>
    <w:rsid w:val="00F75EB3"/>
    <w:rsid w:val="00F75EC3"/>
    <w:rsid w:val="00F760BC"/>
    <w:rsid w:val="00F7613A"/>
    <w:rsid w:val="00F76160"/>
    <w:rsid w:val="00F76171"/>
    <w:rsid w:val="00F761EB"/>
    <w:rsid w:val="00F76489"/>
    <w:rsid w:val="00F76528"/>
    <w:rsid w:val="00F7652D"/>
    <w:rsid w:val="00F7659D"/>
    <w:rsid w:val="00F766E4"/>
    <w:rsid w:val="00F76705"/>
    <w:rsid w:val="00F7671D"/>
    <w:rsid w:val="00F7675A"/>
    <w:rsid w:val="00F76817"/>
    <w:rsid w:val="00F76832"/>
    <w:rsid w:val="00F768F1"/>
    <w:rsid w:val="00F76903"/>
    <w:rsid w:val="00F76A17"/>
    <w:rsid w:val="00F76A23"/>
    <w:rsid w:val="00F76A49"/>
    <w:rsid w:val="00F76AC9"/>
    <w:rsid w:val="00F76BA9"/>
    <w:rsid w:val="00F76C12"/>
    <w:rsid w:val="00F76C16"/>
    <w:rsid w:val="00F76C32"/>
    <w:rsid w:val="00F76C63"/>
    <w:rsid w:val="00F76D6E"/>
    <w:rsid w:val="00F76DBB"/>
    <w:rsid w:val="00F76E01"/>
    <w:rsid w:val="00F76E8C"/>
    <w:rsid w:val="00F76F6E"/>
    <w:rsid w:val="00F76F93"/>
    <w:rsid w:val="00F76FAD"/>
    <w:rsid w:val="00F77124"/>
    <w:rsid w:val="00F771AF"/>
    <w:rsid w:val="00F7726C"/>
    <w:rsid w:val="00F772AB"/>
    <w:rsid w:val="00F773FE"/>
    <w:rsid w:val="00F774EE"/>
    <w:rsid w:val="00F7755A"/>
    <w:rsid w:val="00F77564"/>
    <w:rsid w:val="00F77596"/>
    <w:rsid w:val="00F775B1"/>
    <w:rsid w:val="00F7760A"/>
    <w:rsid w:val="00F776C0"/>
    <w:rsid w:val="00F776C1"/>
    <w:rsid w:val="00F776C4"/>
    <w:rsid w:val="00F776C7"/>
    <w:rsid w:val="00F776EA"/>
    <w:rsid w:val="00F7771C"/>
    <w:rsid w:val="00F77721"/>
    <w:rsid w:val="00F777D3"/>
    <w:rsid w:val="00F77851"/>
    <w:rsid w:val="00F778DD"/>
    <w:rsid w:val="00F7793B"/>
    <w:rsid w:val="00F7797A"/>
    <w:rsid w:val="00F77A9B"/>
    <w:rsid w:val="00F77AB9"/>
    <w:rsid w:val="00F77B11"/>
    <w:rsid w:val="00F77BBD"/>
    <w:rsid w:val="00F77C83"/>
    <w:rsid w:val="00F77CE2"/>
    <w:rsid w:val="00F77CF4"/>
    <w:rsid w:val="00F77D6A"/>
    <w:rsid w:val="00F77EFC"/>
    <w:rsid w:val="00F77F4C"/>
    <w:rsid w:val="00F77FAE"/>
    <w:rsid w:val="00F80031"/>
    <w:rsid w:val="00F801BF"/>
    <w:rsid w:val="00F80353"/>
    <w:rsid w:val="00F8042F"/>
    <w:rsid w:val="00F80488"/>
    <w:rsid w:val="00F804B0"/>
    <w:rsid w:val="00F8059A"/>
    <w:rsid w:val="00F806A9"/>
    <w:rsid w:val="00F8071A"/>
    <w:rsid w:val="00F8074E"/>
    <w:rsid w:val="00F8091F"/>
    <w:rsid w:val="00F80958"/>
    <w:rsid w:val="00F80959"/>
    <w:rsid w:val="00F809BA"/>
    <w:rsid w:val="00F809C3"/>
    <w:rsid w:val="00F80A64"/>
    <w:rsid w:val="00F80B5F"/>
    <w:rsid w:val="00F80BF3"/>
    <w:rsid w:val="00F80C79"/>
    <w:rsid w:val="00F80D0D"/>
    <w:rsid w:val="00F80D45"/>
    <w:rsid w:val="00F80EA6"/>
    <w:rsid w:val="00F80EFE"/>
    <w:rsid w:val="00F80FA6"/>
    <w:rsid w:val="00F80FD8"/>
    <w:rsid w:val="00F81065"/>
    <w:rsid w:val="00F81078"/>
    <w:rsid w:val="00F810FE"/>
    <w:rsid w:val="00F81118"/>
    <w:rsid w:val="00F81130"/>
    <w:rsid w:val="00F8116E"/>
    <w:rsid w:val="00F8119E"/>
    <w:rsid w:val="00F8122F"/>
    <w:rsid w:val="00F81286"/>
    <w:rsid w:val="00F81347"/>
    <w:rsid w:val="00F8140E"/>
    <w:rsid w:val="00F814D2"/>
    <w:rsid w:val="00F814DD"/>
    <w:rsid w:val="00F8154A"/>
    <w:rsid w:val="00F815E0"/>
    <w:rsid w:val="00F8171B"/>
    <w:rsid w:val="00F81743"/>
    <w:rsid w:val="00F81764"/>
    <w:rsid w:val="00F81890"/>
    <w:rsid w:val="00F81938"/>
    <w:rsid w:val="00F81A88"/>
    <w:rsid w:val="00F81AAC"/>
    <w:rsid w:val="00F81AE6"/>
    <w:rsid w:val="00F81C8C"/>
    <w:rsid w:val="00F81CC3"/>
    <w:rsid w:val="00F81D47"/>
    <w:rsid w:val="00F81D70"/>
    <w:rsid w:val="00F81D72"/>
    <w:rsid w:val="00F81E99"/>
    <w:rsid w:val="00F82190"/>
    <w:rsid w:val="00F82244"/>
    <w:rsid w:val="00F822AF"/>
    <w:rsid w:val="00F82422"/>
    <w:rsid w:val="00F824E8"/>
    <w:rsid w:val="00F82502"/>
    <w:rsid w:val="00F8256C"/>
    <w:rsid w:val="00F825D6"/>
    <w:rsid w:val="00F827D8"/>
    <w:rsid w:val="00F828B6"/>
    <w:rsid w:val="00F8296B"/>
    <w:rsid w:val="00F829CE"/>
    <w:rsid w:val="00F829DC"/>
    <w:rsid w:val="00F82A44"/>
    <w:rsid w:val="00F82B2F"/>
    <w:rsid w:val="00F82C5C"/>
    <w:rsid w:val="00F82C9B"/>
    <w:rsid w:val="00F82D09"/>
    <w:rsid w:val="00F82D33"/>
    <w:rsid w:val="00F82E79"/>
    <w:rsid w:val="00F82EB5"/>
    <w:rsid w:val="00F82F13"/>
    <w:rsid w:val="00F82FFA"/>
    <w:rsid w:val="00F83002"/>
    <w:rsid w:val="00F830BF"/>
    <w:rsid w:val="00F831CF"/>
    <w:rsid w:val="00F8343A"/>
    <w:rsid w:val="00F8343E"/>
    <w:rsid w:val="00F8354C"/>
    <w:rsid w:val="00F835CB"/>
    <w:rsid w:val="00F8368B"/>
    <w:rsid w:val="00F836E0"/>
    <w:rsid w:val="00F83748"/>
    <w:rsid w:val="00F837C4"/>
    <w:rsid w:val="00F837FD"/>
    <w:rsid w:val="00F83808"/>
    <w:rsid w:val="00F83818"/>
    <w:rsid w:val="00F83865"/>
    <w:rsid w:val="00F83868"/>
    <w:rsid w:val="00F83968"/>
    <w:rsid w:val="00F83985"/>
    <w:rsid w:val="00F839A9"/>
    <w:rsid w:val="00F83B0A"/>
    <w:rsid w:val="00F83C9C"/>
    <w:rsid w:val="00F83D02"/>
    <w:rsid w:val="00F83E21"/>
    <w:rsid w:val="00F83E28"/>
    <w:rsid w:val="00F83E70"/>
    <w:rsid w:val="00F83ED7"/>
    <w:rsid w:val="00F83F7D"/>
    <w:rsid w:val="00F83FB4"/>
    <w:rsid w:val="00F84021"/>
    <w:rsid w:val="00F840C4"/>
    <w:rsid w:val="00F84132"/>
    <w:rsid w:val="00F8416C"/>
    <w:rsid w:val="00F841AF"/>
    <w:rsid w:val="00F8420F"/>
    <w:rsid w:val="00F84317"/>
    <w:rsid w:val="00F8434C"/>
    <w:rsid w:val="00F84425"/>
    <w:rsid w:val="00F8446F"/>
    <w:rsid w:val="00F84490"/>
    <w:rsid w:val="00F844FF"/>
    <w:rsid w:val="00F84550"/>
    <w:rsid w:val="00F84610"/>
    <w:rsid w:val="00F846E5"/>
    <w:rsid w:val="00F846F8"/>
    <w:rsid w:val="00F847AF"/>
    <w:rsid w:val="00F84821"/>
    <w:rsid w:val="00F84883"/>
    <w:rsid w:val="00F848A4"/>
    <w:rsid w:val="00F84991"/>
    <w:rsid w:val="00F84C10"/>
    <w:rsid w:val="00F84C9A"/>
    <w:rsid w:val="00F84DE9"/>
    <w:rsid w:val="00F84E20"/>
    <w:rsid w:val="00F84EFE"/>
    <w:rsid w:val="00F84F87"/>
    <w:rsid w:val="00F84FC7"/>
    <w:rsid w:val="00F8507D"/>
    <w:rsid w:val="00F85084"/>
    <w:rsid w:val="00F850C1"/>
    <w:rsid w:val="00F85261"/>
    <w:rsid w:val="00F852D4"/>
    <w:rsid w:val="00F85313"/>
    <w:rsid w:val="00F85330"/>
    <w:rsid w:val="00F85344"/>
    <w:rsid w:val="00F853BF"/>
    <w:rsid w:val="00F853E2"/>
    <w:rsid w:val="00F85428"/>
    <w:rsid w:val="00F8566D"/>
    <w:rsid w:val="00F8568D"/>
    <w:rsid w:val="00F856C0"/>
    <w:rsid w:val="00F856CF"/>
    <w:rsid w:val="00F8577B"/>
    <w:rsid w:val="00F85827"/>
    <w:rsid w:val="00F85842"/>
    <w:rsid w:val="00F8589C"/>
    <w:rsid w:val="00F858CB"/>
    <w:rsid w:val="00F859BE"/>
    <w:rsid w:val="00F85B25"/>
    <w:rsid w:val="00F85C59"/>
    <w:rsid w:val="00F85EE7"/>
    <w:rsid w:val="00F86009"/>
    <w:rsid w:val="00F86178"/>
    <w:rsid w:val="00F861C9"/>
    <w:rsid w:val="00F86220"/>
    <w:rsid w:val="00F8622A"/>
    <w:rsid w:val="00F86259"/>
    <w:rsid w:val="00F8628B"/>
    <w:rsid w:val="00F862E4"/>
    <w:rsid w:val="00F862FA"/>
    <w:rsid w:val="00F86382"/>
    <w:rsid w:val="00F86576"/>
    <w:rsid w:val="00F866C7"/>
    <w:rsid w:val="00F86823"/>
    <w:rsid w:val="00F8690B"/>
    <w:rsid w:val="00F86933"/>
    <w:rsid w:val="00F8699B"/>
    <w:rsid w:val="00F869A2"/>
    <w:rsid w:val="00F86A37"/>
    <w:rsid w:val="00F86AA0"/>
    <w:rsid w:val="00F86B6F"/>
    <w:rsid w:val="00F86B83"/>
    <w:rsid w:val="00F86B92"/>
    <w:rsid w:val="00F86C79"/>
    <w:rsid w:val="00F86D13"/>
    <w:rsid w:val="00F86D1D"/>
    <w:rsid w:val="00F86D68"/>
    <w:rsid w:val="00F86DC1"/>
    <w:rsid w:val="00F86E84"/>
    <w:rsid w:val="00F86F40"/>
    <w:rsid w:val="00F86F9B"/>
    <w:rsid w:val="00F86FC8"/>
    <w:rsid w:val="00F86FCB"/>
    <w:rsid w:val="00F86FCD"/>
    <w:rsid w:val="00F86FEB"/>
    <w:rsid w:val="00F87069"/>
    <w:rsid w:val="00F870F1"/>
    <w:rsid w:val="00F87108"/>
    <w:rsid w:val="00F8737D"/>
    <w:rsid w:val="00F873D4"/>
    <w:rsid w:val="00F874A0"/>
    <w:rsid w:val="00F874E4"/>
    <w:rsid w:val="00F8753B"/>
    <w:rsid w:val="00F877B0"/>
    <w:rsid w:val="00F8782C"/>
    <w:rsid w:val="00F87862"/>
    <w:rsid w:val="00F87944"/>
    <w:rsid w:val="00F87960"/>
    <w:rsid w:val="00F87C43"/>
    <w:rsid w:val="00F87DDB"/>
    <w:rsid w:val="00F87E8B"/>
    <w:rsid w:val="00F87F12"/>
    <w:rsid w:val="00F87F22"/>
    <w:rsid w:val="00F87F72"/>
    <w:rsid w:val="00F900B5"/>
    <w:rsid w:val="00F9017C"/>
    <w:rsid w:val="00F901D4"/>
    <w:rsid w:val="00F901E7"/>
    <w:rsid w:val="00F90281"/>
    <w:rsid w:val="00F90332"/>
    <w:rsid w:val="00F90524"/>
    <w:rsid w:val="00F90535"/>
    <w:rsid w:val="00F905EE"/>
    <w:rsid w:val="00F907F9"/>
    <w:rsid w:val="00F90A74"/>
    <w:rsid w:val="00F90AE1"/>
    <w:rsid w:val="00F90AE6"/>
    <w:rsid w:val="00F90C40"/>
    <w:rsid w:val="00F90CE9"/>
    <w:rsid w:val="00F90CF1"/>
    <w:rsid w:val="00F90D54"/>
    <w:rsid w:val="00F90DD2"/>
    <w:rsid w:val="00F90EFA"/>
    <w:rsid w:val="00F912E4"/>
    <w:rsid w:val="00F9139D"/>
    <w:rsid w:val="00F913B4"/>
    <w:rsid w:val="00F913B8"/>
    <w:rsid w:val="00F914DD"/>
    <w:rsid w:val="00F91552"/>
    <w:rsid w:val="00F91557"/>
    <w:rsid w:val="00F91562"/>
    <w:rsid w:val="00F91674"/>
    <w:rsid w:val="00F9176D"/>
    <w:rsid w:val="00F9192E"/>
    <w:rsid w:val="00F91AD7"/>
    <w:rsid w:val="00F91BE5"/>
    <w:rsid w:val="00F91C19"/>
    <w:rsid w:val="00F91EA6"/>
    <w:rsid w:val="00F91EF1"/>
    <w:rsid w:val="00F91FB1"/>
    <w:rsid w:val="00F92001"/>
    <w:rsid w:val="00F920CD"/>
    <w:rsid w:val="00F92246"/>
    <w:rsid w:val="00F922E9"/>
    <w:rsid w:val="00F92334"/>
    <w:rsid w:val="00F925D4"/>
    <w:rsid w:val="00F926E6"/>
    <w:rsid w:val="00F926EF"/>
    <w:rsid w:val="00F926FD"/>
    <w:rsid w:val="00F9275C"/>
    <w:rsid w:val="00F927A4"/>
    <w:rsid w:val="00F928EB"/>
    <w:rsid w:val="00F92A66"/>
    <w:rsid w:val="00F92B3F"/>
    <w:rsid w:val="00F92B99"/>
    <w:rsid w:val="00F92D04"/>
    <w:rsid w:val="00F92E32"/>
    <w:rsid w:val="00F92EA6"/>
    <w:rsid w:val="00F92F63"/>
    <w:rsid w:val="00F92FE9"/>
    <w:rsid w:val="00F9305E"/>
    <w:rsid w:val="00F930DD"/>
    <w:rsid w:val="00F931C7"/>
    <w:rsid w:val="00F93293"/>
    <w:rsid w:val="00F933AD"/>
    <w:rsid w:val="00F933EF"/>
    <w:rsid w:val="00F935C5"/>
    <w:rsid w:val="00F935F5"/>
    <w:rsid w:val="00F9362C"/>
    <w:rsid w:val="00F93693"/>
    <w:rsid w:val="00F936C8"/>
    <w:rsid w:val="00F9373E"/>
    <w:rsid w:val="00F93763"/>
    <w:rsid w:val="00F93807"/>
    <w:rsid w:val="00F93816"/>
    <w:rsid w:val="00F938CA"/>
    <w:rsid w:val="00F9392B"/>
    <w:rsid w:val="00F93A56"/>
    <w:rsid w:val="00F93AB2"/>
    <w:rsid w:val="00F93AB8"/>
    <w:rsid w:val="00F93B76"/>
    <w:rsid w:val="00F93BEE"/>
    <w:rsid w:val="00F93C36"/>
    <w:rsid w:val="00F93C4F"/>
    <w:rsid w:val="00F93D8A"/>
    <w:rsid w:val="00F93F7E"/>
    <w:rsid w:val="00F94016"/>
    <w:rsid w:val="00F94024"/>
    <w:rsid w:val="00F9410C"/>
    <w:rsid w:val="00F941D6"/>
    <w:rsid w:val="00F94235"/>
    <w:rsid w:val="00F9425F"/>
    <w:rsid w:val="00F94260"/>
    <w:rsid w:val="00F9432E"/>
    <w:rsid w:val="00F943E2"/>
    <w:rsid w:val="00F9447E"/>
    <w:rsid w:val="00F944EA"/>
    <w:rsid w:val="00F9453C"/>
    <w:rsid w:val="00F9458C"/>
    <w:rsid w:val="00F948DB"/>
    <w:rsid w:val="00F948ED"/>
    <w:rsid w:val="00F9494D"/>
    <w:rsid w:val="00F949A1"/>
    <w:rsid w:val="00F949B8"/>
    <w:rsid w:val="00F94A64"/>
    <w:rsid w:val="00F94AB1"/>
    <w:rsid w:val="00F94BC7"/>
    <w:rsid w:val="00F94C05"/>
    <w:rsid w:val="00F94C64"/>
    <w:rsid w:val="00F94EE6"/>
    <w:rsid w:val="00F94F61"/>
    <w:rsid w:val="00F94FBD"/>
    <w:rsid w:val="00F95014"/>
    <w:rsid w:val="00F95043"/>
    <w:rsid w:val="00F951D1"/>
    <w:rsid w:val="00F951F6"/>
    <w:rsid w:val="00F952C3"/>
    <w:rsid w:val="00F952FF"/>
    <w:rsid w:val="00F9538E"/>
    <w:rsid w:val="00F953B6"/>
    <w:rsid w:val="00F95437"/>
    <w:rsid w:val="00F954FB"/>
    <w:rsid w:val="00F9552D"/>
    <w:rsid w:val="00F95532"/>
    <w:rsid w:val="00F955F6"/>
    <w:rsid w:val="00F9563E"/>
    <w:rsid w:val="00F95650"/>
    <w:rsid w:val="00F95707"/>
    <w:rsid w:val="00F959E9"/>
    <w:rsid w:val="00F95A3D"/>
    <w:rsid w:val="00F95BCB"/>
    <w:rsid w:val="00F95BE2"/>
    <w:rsid w:val="00F95C75"/>
    <w:rsid w:val="00F95D2B"/>
    <w:rsid w:val="00F95DB9"/>
    <w:rsid w:val="00F95DF7"/>
    <w:rsid w:val="00F95EA8"/>
    <w:rsid w:val="00F95F60"/>
    <w:rsid w:val="00F960CE"/>
    <w:rsid w:val="00F961D5"/>
    <w:rsid w:val="00F962B0"/>
    <w:rsid w:val="00F96372"/>
    <w:rsid w:val="00F96407"/>
    <w:rsid w:val="00F964D7"/>
    <w:rsid w:val="00F964FA"/>
    <w:rsid w:val="00F965BE"/>
    <w:rsid w:val="00F96630"/>
    <w:rsid w:val="00F96655"/>
    <w:rsid w:val="00F9687C"/>
    <w:rsid w:val="00F968CD"/>
    <w:rsid w:val="00F96912"/>
    <w:rsid w:val="00F96934"/>
    <w:rsid w:val="00F969BC"/>
    <w:rsid w:val="00F969F4"/>
    <w:rsid w:val="00F96A0A"/>
    <w:rsid w:val="00F96A64"/>
    <w:rsid w:val="00F96AA7"/>
    <w:rsid w:val="00F96BE7"/>
    <w:rsid w:val="00F96CBA"/>
    <w:rsid w:val="00F96CD3"/>
    <w:rsid w:val="00F96D2D"/>
    <w:rsid w:val="00F96D6E"/>
    <w:rsid w:val="00F96E01"/>
    <w:rsid w:val="00F96E83"/>
    <w:rsid w:val="00F96F19"/>
    <w:rsid w:val="00F96FD1"/>
    <w:rsid w:val="00F96FF2"/>
    <w:rsid w:val="00F97063"/>
    <w:rsid w:val="00F97067"/>
    <w:rsid w:val="00F97126"/>
    <w:rsid w:val="00F97129"/>
    <w:rsid w:val="00F97212"/>
    <w:rsid w:val="00F97229"/>
    <w:rsid w:val="00F972EE"/>
    <w:rsid w:val="00F973B2"/>
    <w:rsid w:val="00F973B6"/>
    <w:rsid w:val="00F97455"/>
    <w:rsid w:val="00F974B8"/>
    <w:rsid w:val="00F97509"/>
    <w:rsid w:val="00F9768D"/>
    <w:rsid w:val="00F97740"/>
    <w:rsid w:val="00F977E8"/>
    <w:rsid w:val="00F978D2"/>
    <w:rsid w:val="00F97965"/>
    <w:rsid w:val="00F9796F"/>
    <w:rsid w:val="00F979ED"/>
    <w:rsid w:val="00F97AC2"/>
    <w:rsid w:val="00F97B5F"/>
    <w:rsid w:val="00F97C20"/>
    <w:rsid w:val="00F97C5E"/>
    <w:rsid w:val="00F97D7F"/>
    <w:rsid w:val="00F97D9C"/>
    <w:rsid w:val="00F97EF8"/>
    <w:rsid w:val="00F97F76"/>
    <w:rsid w:val="00F97F92"/>
    <w:rsid w:val="00F97F9D"/>
    <w:rsid w:val="00F97FE7"/>
    <w:rsid w:val="00FA0168"/>
    <w:rsid w:val="00FA0202"/>
    <w:rsid w:val="00FA0264"/>
    <w:rsid w:val="00FA04F5"/>
    <w:rsid w:val="00FA0787"/>
    <w:rsid w:val="00FA07D6"/>
    <w:rsid w:val="00FA0911"/>
    <w:rsid w:val="00FA0984"/>
    <w:rsid w:val="00FA09D4"/>
    <w:rsid w:val="00FA0A3E"/>
    <w:rsid w:val="00FA0B3D"/>
    <w:rsid w:val="00FA0BFE"/>
    <w:rsid w:val="00FA0C00"/>
    <w:rsid w:val="00FA0CA8"/>
    <w:rsid w:val="00FA0D08"/>
    <w:rsid w:val="00FA0E1B"/>
    <w:rsid w:val="00FA0E25"/>
    <w:rsid w:val="00FA0E81"/>
    <w:rsid w:val="00FA0ECE"/>
    <w:rsid w:val="00FA0EFD"/>
    <w:rsid w:val="00FA0F03"/>
    <w:rsid w:val="00FA1068"/>
    <w:rsid w:val="00FA1088"/>
    <w:rsid w:val="00FA11BA"/>
    <w:rsid w:val="00FA1275"/>
    <w:rsid w:val="00FA1310"/>
    <w:rsid w:val="00FA1353"/>
    <w:rsid w:val="00FA1390"/>
    <w:rsid w:val="00FA13D0"/>
    <w:rsid w:val="00FA1446"/>
    <w:rsid w:val="00FA1527"/>
    <w:rsid w:val="00FA157E"/>
    <w:rsid w:val="00FA1590"/>
    <w:rsid w:val="00FA1603"/>
    <w:rsid w:val="00FA1694"/>
    <w:rsid w:val="00FA16E5"/>
    <w:rsid w:val="00FA174E"/>
    <w:rsid w:val="00FA178B"/>
    <w:rsid w:val="00FA180C"/>
    <w:rsid w:val="00FA185B"/>
    <w:rsid w:val="00FA18F6"/>
    <w:rsid w:val="00FA1A86"/>
    <w:rsid w:val="00FA1AE5"/>
    <w:rsid w:val="00FA1BAD"/>
    <w:rsid w:val="00FA1BC0"/>
    <w:rsid w:val="00FA1D68"/>
    <w:rsid w:val="00FA1D70"/>
    <w:rsid w:val="00FA1E10"/>
    <w:rsid w:val="00FA1ECA"/>
    <w:rsid w:val="00FA1F0A"/>
    <w:rsid w:val="00FA1F1B"/>
    <w:rsid w:val="00FA1F86"/>
    <w:rsid w:val="00FA1FF3"/>
    <w:rsid w:val="00FA202E"/>
    <w:rsid w:val="00FA2044"/>
    <w:rsid w:val="00FA20C4"/>
    <w:rsid w:val="00FA2127"/>
    <w:rsid w:val="00FA2150"/>
    <w:rsid w:val="00FA2207"/>
    <w:rsid w:val="00FA23C8"/>
    <w:rsid w:val="00FA2506"/>
    <w:rsid w:val="00FA251E"/>
    <w:rsid w:val="00FA2576"/>
    <w:rsid w:val="00FA25B8"/>
    <w:rsid w:val="00FA2633"/>
    <w:rsid w:val="00FA2878"/>
    <w:rsid w:val="00FA2BCB"/>
    <w:rsid w:val="00FA2CBC"/>
    <w:rsid w:val="00FA2D12"/>
    <w:rsid w:val="00FA2D57"/>
    <w:rsid w:val="00FA2EC2"/>
    <w:rsid w:val="00FA2F57"/>
    <w:rsid w:val="00FA2FA8"/>
    <w:rsid w:val="00FA2FBA"/>
    <w:rsid w:val="00FA2FBD"/>
    <w:rsid w:val="00FA2FF3"/>
    <w:rsid w:val="00FA3113"/>
    <w:rsid w:val="00FA3196"/>
    <w:rsid w:val="00FA324E"/>
    <w:rsid w:val="00FA32FE"/>
    <w:rsid w:val="00FA33A0"/>
    <w:rsid w:val="00FA33C1"/>
    <w:rsid w:val="00FA33D6"/>
    <w:rsid w:val="00FA33EC"/>
    <w:rsid w:val="00FA3590"/>
    <w:rsid w:val="00FA35D3"/>
    <w:rsid w:val="00FA36DC"/>
    <w:rsid w:val="00FA37CD"/>
    <w:rsid w:val="00FA385C"/>
    <w:rsid w:val="00FA3898"/>
    <w:rsid w:val="00FA38EB"/>
    <w:rsid w:val="00FA394D"/>
    <w:rsid w:val="00FA3965"/>
    <w:rsid w:val="00FA39D6"/>
    <w:rsid w:val="00FA3C15"/>
    <w:rsid w:val="00FA3C3B"/>
    <w:rsid w:val="00FA3C44"/>
    <w:rsid w:val="00FA3C47"/>
    <w:rsid w:val="00FA3D61"/>
    <w:rsid w:val="00FA3E22"/>
    <w:rsid w:val="00FA3E25"/>
    <w:rsid w:val="00FA3E4E"/>
    <w:rsid w:val="00FA40FC"/>
    <w:rsid w:val="00FA412D"/>
    <w:rsid w:val="00FA41B3"/>
    <w:rsid w:val="00FA428D"/>
    <w:rsid w:val="00FA429E"/>
    <w:rsid w:val="00FA4353"/>
    <w:rsid w:val="00FA447B"/>
    <w:rsid w:val="00FA4536"/>
    <w:rsid w:val="00FA456F"/>
    <w:rsid w:val="00FA459C"/>
    <w:rsid w:val="00FA45A3"/>
    <w:rsid w:val="00FA4679"/>
    <w:rsid w:val="00FA46A8"/>
    <w:rsid w:val="00FA4796"/>
    <w:rsid w:val="00FA47AC"/>
    <w:rsid w:val="00FA47DD"/>
    <w:rsid w:val="00FA4966"/>
    <w:rsid w:val="00FA4971"/>
    <w:rsid w:val="00FA4988"/>
    <w:rsid w:val="00FA49D4"/>
    <w:rsid w:val="00FA4A8F"/>
    <w:rsid w:val="00FA4B18"/>
    <w:rsid w:val="00FA4CDD"/>
    <w:rsid w:val="00FA4DD2"/>
    <w:rsid w:val="00FA4DF7"/>
    <w:rsid w:val="00FA4E86"/>
    <w:rsid w:val="00FA4F73"/>
    <w:rsid w:val="00FA4F79"/>
    <w:rsid w:val="00FA4FFF"/>
    <w:rsid w:val="00FA506A"/>
    <w:rsid w:val="00FA50AD"/>
    <w:rsid w:val="00FA50DE"/>
    <w:rsid w:val="00FA50F2"/>
    <w:rsid w:val="00FA530E"/>
    <w:rsid w:val="00FA531F"/>
    <w:rsid w:val="00FA5329"/>
    <w:rsid w:val="00FA536E"/>
    <w:rsid w:val="00FA5505"/>
    <w:rsid w:val="00FA5535"/>
    <w:rsid w:val="00FA55DF"/>
    <w:rsid w:val="00FA55EE"/>
    <w:rsid w:val="00FA5712"/>
    <w:rsid w:val="00FA5765"/>
    <w:rsid w:val="00FA576F"/>
    <w:rsid w:val="00FA57BD"/>
    <w:rsid w:val="00FA58D2"/>
    <w:rsid w:val="00FA596C"/>
    <w:rsid w:val="00FA59E0"/>
    <w:rsid w:val="00FA5A13"/>
    <w:rsid w:val="00FA5B1B"/>
    <w:rsid w:val="00FA5B28"/>
    <w:rsid w:val="00FA5C52"/>
    <w:rsid w:val="00FA5C60"/>
    <w:rsid w:val="00FA5CCD"/>
    <w:rsid w:val="00FA5D53"/>
    <w:rsid w:val="00FA5D95"/>
    <w:rsid w:val="00FA5D97"/>
    <w:rsid w:val="00FA5DFA"/>
    <w:rsid w:val="00FA5F69"/>
    <w:rsid w:val="00FA5FE6"/>
    <w:rsid w:val="00FA607D"/>
    <w:rsid w:val="00FA6145"/>
    <w:rsid w:val="00FA6191"/>
    <w:rsid w:val="00FA623A"/>
    <w:rsid w:val="00FA62C6"/>
    <w:rsid w:val="00FA62E7"/>
    <w:rsid w:val="00FA633A"/>
    <w:rsid w:val="00FA634D"/>
    <w:rsid w:val="00FA63E3"/>
    <w:rsid w:val="00FA6466"/>
    <w:rsid w:val="00FA6599"/>
    <w:rsid w:val="00FA6686"/>
    <w:rsid w:val="00FA6722"/>
    <w:rsid w:val="00FA682F"/>
    <w:rsid w:val="00FA6833"/>
    <w:rsid w:val="00FA684A"/>
    <w:rsid w:val="00FA68FF"/>
    <w:rsid w:val="00FA69BE"/>
    <w:rsid w:val="00FA6B74"/>
    <w:rsid w:val="00FA6B8A"/>
    <w:rsid w:val="00FA6C14"/>
    <w:rsid w:val="00FA6D29"/>
    <w:rsid w:val="00FA6D65"/>
    <w:rsid w:val="00FA6DEB"/>
    <w:rsid w:val="00FA6F63"/>
    <w:rsid w:val="00FA713E"/>
    <w:rsid w:val="00FA7177"/>
    <w:rsid w:val="00FA71B0"/>
    <w:rsid w:val="00FA7253"/>
    <w:rsid w:val="00FA729F"/>
    <w:rsid w:val="00FA72B7"/>
    <w:rsid w:val="00FA73E3"/>
    <w:rsid w:val="00FA7405"/>
    <w:rsid w:val="00FA74C5"/>
    <w:rsid w:val="00FA74D5"/>
    <w:rsid w:val="00FA7527"/>
    <w:rsid w:val="00FA7609"/>
    <w:rsid w:val="00FA768C"/>
    <w:rsid w:val="00FA76D4"/>
    <w:rsid w:val="00FA770A"/>
    <w:rsid w:val="00FA77A2"/>
    <w:rsid w:val="00FA78CC"/>
    <w:rsid w:val="00FA78EA"/>
    <w:rsid w:val="00FA7B5F"/>
    <w:rsid w:val="00FA7C62"/>
    <w:rsid w:val="00FA7D8D"/>
    <w:rsid w:val="00FA7DD2"/>
    <w:rsid w:val="00FA7E12"/>
    <w:rsid w:val="00FB0094"/>
    <w:rsid w:val="00FB00C7"/>
    <w:rsid w:val="00FB0162"/>
    <w:rsid w:val="00FB0225"/>
    <w:rsid w:val="00FB03F4"/>
    <w:rsid w:val="00FB0415"/>
    <w:rsid w:val="00FB043B"/>
    <w:rsid w:val="00FB04A0"/>
    <w:rsid w:val="00FB0551"/>
    <w:rsid w:val="00FB05A8"/>
    <w:rsid w:val="00FB05D1"/>
    <w:rsid w:val="00FB0609"/>
    <w:rsid w:val="00FB060D"/>
    <w:rsid w:val="00FB07E2"/>
    <w:rsid w:val="00FB083F"/>
    <w:rsid w:val="00FB0AC2"/>
    <w:rsid w:val="00FB0B02"/>
    <w:rsid w:val="00FB0B66"/>
    <w:rsid w:val="00FB0BFF"/>
    <w:rsid w:val="00FB0C7B"/>
    <w:rsid w:val="00FB0D25"/>
    <w:rsid w:val="00FB0DE1"/>
    <w:rsid w:val="00FB0DEE"/>
    <w:rsid w:val="00FB0DFC"/>
    <w:rsid w:val="00FB0E33"/>
    <w:rsid w:val="00FB0E80"/>
    <w:rsid w:val="00FB0EA6"/>
    <w:rsid w:val="00FB0EB4"/>
    <w:rsid w:val="00FB0F46"/>
    <w:rsid w:val="00FB0F7A"/>
    <w:rsid w:val="00FB0FB3"/>
    <w:rsid w:val="00FB0FF4"/>
    <w:rsid w:val="00FB105C"/>
    <w:rsid w:val="00FB106D"/>
    <w:rsid w:val="00FB10D0"/>
    <w:rsid w:val="00FB10D4"/>
    <w:rsid w:val="00FB1111"/>
    <w:rsid w:val="00FB11B7"/>
    <w:rsid w:val="00FB11D2"/>
    <w:rsid w:val="00FB1203"/>
    <w:rsid w:val="00FB1219"/>
    <w:rsid w:val="00FB12DE"/>
    <w:rsid w:val="00FB1520"/>
    <w:rsid w:val="00FB152A"/>
    <w:rsid w:val="00FB154C"/>
    <w:rsid w:val="00FB167A"/>
    <w:rsid w:val="00FB1704"/>
    <w:rsid w:val="00FB1722"/>
    <w:rsid w:val="00FB179A"/>
    <w:rsid w:val="00FB17BE"/>
    <w:rsid w:val="00FB1874"/>
    <w:rsid w:val="00FB188E"/>
    <w:rsid w:val="00FB190D"/>
    <w:rsid w:val="00FB19C7"/>
    <w:rsid w:val="00FB19E7"/>
    <w:rsid w:val="00FB1A55"/>
    <w:rsid w:val="00FB1B0D"/>
    <w:rsid w:val="00FB1B4D"/>
    <w:rsid w:val="00FB1BA2"/>
    <w:rsid w:val="00FB1BE7"/>
    <w:rsid w:val="00FB1E7A"/>
    <w:rsid w:val="00FB1F07"/>
    <w:rsid w:val="00FB1FA9"/>
    <w:rsid w:val="00FB212E"/>
    <w:rsid w:val="00FB236D"/>
    <w:rsid w:val="00FB23D0"/>
    <w:rsid w:val="00FB24B5"/>
    <w:rsid w:val="00FB24DE"/>
    <w:rsid w:val="00FB251D"/>
    <w:rsid w:val="00FB2570"/>
    <w:rsid w:val="00FB25BB"/>
    <w:rsid w:val="00FB2718"/>
    <w:rsid w:val="00FB28C0"/>
    <w:rsid w:val="00FB28DD"/>
    <w:rsid w:val="00FB293D"/>
    <w:rsid w:val="00FB29FE"/>
    <w:rsid w:val="00FB2AC9"/>
    <w:rsid w:val="00FB2C23"/>
    <w:rsid w:val="00FB2CD5"/>
    <w:rsid w:val="00FB2E86"/>
    <w:rsid w:val="00FB2EA9"/>
    <w:rsid w:val="00FB2EF3"/>
    <w:rsid w:val="00FB2F03"/>
    <w:rsid w:val="00FB30BC"/>
    <w:rsid w:val="00FB3153"/>
    <w:rsid w:val="00FB316B"/>
    <w:rsid w:val="00FB324A"/>
    <w:rsid w:val="00FB329F"/>
    <w:rsid w:val="00FB32D6"/>
    <w:rsid w:val="00FB3308"/>
    <w:rsid w:val="00FB33F5"/>
    <w:rsid w:val="00FB3466"/>
    <w:rsid w:val="00FB34B8"/>
    <w:rsid w:val="00FB35B2"/>
    <w:rsid w:val="00FB36F6"/>
    <w:rsid w:val="00FB372C"/>
    <w:rsid w:val="00FB3795"/>
    <w:rsid w:val="00FB37A3"/>
    <w:rsid w:val="00FB37C7"/>
    <w:rsid w:val="00FB3826"/>
    <w:rsid w:val="00FB385B"/>
    <w:rsid w:val="00FB39CE"/>
    <w:rsid w:val="00FB39EB"/>
    <w:rsid w:val="00FB39EF"/>
    <w:rsid w:val="00FB3B31"/>
    <w:rsid w:val="00FB3CE6"/>
    <w:rsid w:val="00FB3D70"/>
    <w:rsid w:val="00FB3E7A"/>
    <w:rsid w:val="00FB3F59"/>
    <w:rsid w:val="00FB3FDB"/>
    <w:rsid w:val="00FB4001"/>
    <w:rsid w:val="00FB4082"/>
    <w:rsid w:val="00FB40DA"/>
    <w:rsid w:val="00FB417D"/>
    <w:rsid w:val="00FB41D9"/>
    <w:rsid w:val="00FB423A"/>
    <w:rsid w:val="00FB42A6"/>
    <w:rsid w:val="00FB43A6"/>
    <w:rsid w:val="00FB444A"/>
    <w:rsid w:val="00FB4581"/>
    <w:rsid w:val="00FB45B7"/>
    <w:rsid w:val="00FB46E0"/>
    <w:rsid w:val="00FB491C"/>
    <w:rsid w:val="00FB4AEA"/>
    <w:rsid w:val="00FB4B21"/>
    <w:rsid w:val="00FB4B45"/>
    <w:rsid w:val="00FB4B9D"/>
    <w:rsid w:val="00FB4DF3"/>
    <w:rsid w:val="00FB4E06"/>
    <w:rsid w:val="00FB4E2D"/>
    <w:rsid w:val="00FB4EC0"/>
    <w:rsid w:val="00FB4F23"/>
    <w:rsid w:val="00FB4F90"/>
    <w:rsid w:val="00FB50B3"/>
    <w:rsid w:val="00FB50BC"/>
    <w:rsid w:val="00FB50E2"/>
    <w:rsid w:val="00FB50FF"/>
    <w:rsid w:val="00FB51CE"/>
    <w:rsid w:val="00FB52ED"/>
    <w:rsid w:val="00FB538F"/>
    <w:rsid w:val="00FB54A0"/>
    <w:rsid w:val="00FB54B7"/>
    <w:rsid w:val="00FB54EE"/>
    <w:rsid w:val="00FB55F5"/>
    <w:rsid w:val="00FB5636"/>
    <w:rsid w:val="00FB5656"/>
    <w:rsid w:val="00FB5732"/>
    <w:rsid w:val="00FB57DB"/>
    <w:rsid w:val="00FB5829"/>
    <w:rsid w:val="00FB58B9"/>
    <w:rsid w:val="00FB5A41"/>
    <w:rsid w:val="00FB5BB8"/>
    <w:rsid w:val="00FB5C78"/>
    <w:rsid w:val="00FB5CEC"/>
    <w:rsid w:val="00FB5D57"/>
    <w:rsid w:val="00FB5FC2"/>
    <w:rsid w:val="00FB5FD3"/>
    <w:rsid w:val="00FB5FF8"/>
    <w:rsid w:val="00FB610A"/>
    <w:rsid w:val="00FB6175"/>
    <w:rsid w:val="00FB62A9"/>
    <w:rsid w:val="00FB62EC"/>
    <w:rsid w:val="00FB62F0"/>
    <w:rsid w:val="00FB6309"/>
    <w:rsid w:val="00FB6370"/>
    <w:rsid w:val="00FB63D1"/>
    <w:rsid w:val="00FB6402"/>
    <w:rsid w:val="00FB6461"/>
    <w:rsid w:val="00FB648F"/>
    <w:rsid w:val="00FB64B9"/>
    <w:rsid w:val="00FB688A"/>
    <w:rsid w:val="00FB69B6"/>
    <w:rsid w:val="00FB69C7"/>
    <w:rsid w:val="00FB6A10"/>
    <w:rsid w:val="00FB6A4B"/>
    <w:rsid w:val="00FB6AA5"/>
    <w:rsid w:val="00FB6AC1"/>
    <w:rsid w:val="00FB6B02"/>
    <w:rsid w:val="00FB6BB6"/>
    <w:rsid w:val="00FB6F35"/>
    <w:rsid w:val="00FB7022"/>
    <w:rsid w:val="00FB7087"/>
    <w:rsid w:val="00FB7178"/>
    <w:rsid w:val="00FB7193"/>
    <w:rsid w:val="00FB7219"/>
    <w:rsid w:val="00FB7224"/>
    <w:rsid w:val="00FB7386"/>
    <w:rsid w:val="00FB745F"/>
    <w:rsid w:val="00FB74C9"/>
    <w:rsid w:val="00FB753B"/>
    <w:rsid w:val="00FB754A"/>
    <w:rsid w:val="00FB75C3"/>
    <w:rsid w:val="00FB760B"/>
    <w:rsid w:val="00FB764C"/>
    <w:rsid w:val="00FB7699"/>
    <w:rsid w:val="00FB7748"/>
    <w:rsid w:val="00FB7961"/>
    <w:rsid w:val="00FB7A10"/>
    <w:rsid w:val="00FB7A90"/>
    <w:rsid w:val="00FB7AD2"/>
    <w:rsid w:val="00FB7B40"/>
    <w:rsid w:val="00FB7BA2"/>
    <w:rsid w:val="00FB7D52"/>
    <w:rsid w:val="00FB7DAD"/>
    <w:rsid w:val="00FB7F71"/>
    <w:rsid w:val="00FC005A"/>
    <w:rsid w:val="00FC0096"/>
    <w:rsid w:val="00FC00E2"/>
    <w:rsid w:val="00FC0132"/>
    <w:rsid w:val="00FC0187"/>
    <w:rsid w:val="00FC02FF"/>
    <w:rsid w:val="00FC038C"/>
    <w:rsid w:val="00FC0471"/>
    <w:rsid w:val="00FC0575"/>
    <w:rsid w:val="00FC06B9"/>
    <w:rsid w:val="00FC06C5"/>
    <w:rsid w:val="00FC0708"/>
    <w:rsid w:val="00FC0740"/>
    <w:rsid w:val="00FC075C"/>
    <w:rsid w:val="00FC0775"/>
    <w:rsid w:val="00FC08BB"/>
    <w:rsid w:val="00FC09A5"/>
    <w:rsid w:val="00FC09B4"/>
    <w:rsid w:val="00FC0A1C"/>
    <w:rsid w:val="00FC0A57"/>
    <w:rsid w:val="00FC0A9E"/>
    <w:rsid w:val="00FC0B40"/>
    <w:rsid w:val="00FC0BBC"/>
    <w:rsid w:val="00FC0CB0"/>
    <w:rsid w:val="00FC0DB0"/>
    <w:rsid w:val="00FC0E76"/>
    <w:rsid w:val="00FC0EBF"/>
    <w:rsid w:val="00FC0F4D"/>
    <w:rsid w:val="00FC0F99"/>
    <w:rsid w:val="00FC1051"/>
    <w:rsid w:val="00FC1237"/>
    <w:rsid w:val="00FC1296"/>
    <w:rsid w:val="00FC12E7"/>
    <w:rsid w:val="00FC1422"/>
    <w:rsid w:val="00FC148A"/>
    <w:rsid w:val="00FC15FA"/>
    <w:rsid w:val="00FC1664"/>
    <w:rsid w:val="00FC16BE"/>
    <w:rsid w:val="00FC16DF"/>
    <w:rsid w:val="00FC1705"/>
    <w:rsid w:val="00FC184C"/>
    <w:rsid w:val="00FC18FC"/>
    <w:rsid w:val="00FC190A"/>
    <w:rsid w:val="00FC190D"/>
    <w:rsid w:val="00FC1910"/>
    <w:rsid w:val="00FC1ADB"/>
    <w:rsid w:val="00FC1B4D"/>
    <w:rsid w:val="00FC1B68"/>
    <w:rsid w:val="00FC1C59"/>
    <w:rsid w:val="00FC1EF3"/>
    <w:rsid w:val="00FC1F89"/>
    <w:rsid w:val="00FC1FE8"/>
    <w:rsid w:val="00FC1FF2"/>
    <w:rsid w:val="00FC203E"/>
    <w:rsid w:val="00FC2246"/>
    <w:rsid w:val="00FC2373"/>
    <w:rsid w:val="00FC245B"/>
    <w:rsid w:val="00FC2472"/>
    <w:rsid w:val="00FC2638"/>
    <w:rsid w:val="00FC2649"/>
    <w:rsid w:val="00FC2767"/>
    <w:rsid w:val="00FC277F"/>
    <w:rsid w:val="00FC2886"/>
    <w:rsid w:val="00FC28BE"/>
    <w:rsid w:val="00FC2A0C"/>
    <w:rsid w:val="00FC2A6D"/>
    <w:rsid w:val="00FC2B39"/>
    <w:rsid w:val="00FC2C0C"/>
    <w:rsid w:val="00FC2D07"/>
    <w:rsid w:val="00FC2DAB"/>
    <w:rsid w:val="00FC2F12"/>
    <w:rsid w:val="00FC2F69"/>
    <w:rsid w:val="00FC2FA7"/>
    <w:rsid w:val="00FC2FE8"/>
    <w:rsid w:val="00FC3152"/>
    <w:rsid w:val="00FC31A0"/>
    <w:rsid w:val="00FC32AC"/>
    <w:rsid w:val="00FC33D6"/>
    <w:rsid w:val="00FC33E6"/>
    <w:rsid w:val="00FC34CF"/>
    <w:rsid w:val="00FC34FC"/>
    <w:rsid w:val="00FC356A"/>
    <w:rsid w:val="00FC35DE"/>
    <w:rsid w:val="00FC36BC"/>
    <w:rsid w:val="00FC36CF"/>
    <w:rsid w:val="00FC3793"/>
    <w:rsid w:val="00FC38AC"/>
    <w:rsid w:val="00FC399C"/>
    <w:rsid w:val="00FC3B1E"/>
    <w:rsid w:val="00FC3C06"/>
    <w:rsid w:val="00FC3C32"/>
    <w:rsid w:val="00FC3C9C"/>
    <w:rsid w:val="00FC3CE0"/>
    <w:rsid w:val="00FC3D35"/>
    <w:rsid w:val="00FC3DC4"/>
    <w:rsid w:val="00FC3DEA"/>
    <w:rsid w:val="00FC3E00"/>
    <w:rsid w:val="00FC401D"/>
    <w:rsid w:val="00FC41A3"/>
    <w:rsid w:val="00FC41C3"/>
    <w:rsid w:val="00FC4215"/>
    <w:rsid w:val="00FC429A"/>
    <w:rsid w:val="00FC4526"/>
    <w:rsid w:val="00FC469B"/>
    <w:rsid w:val="00FC4722"/>
    <w:rsid w:val="00FC4778"/>
    <w:rsid w:val="00FC477C"/>
    <w:rsid w:val="00FC4788"/>
    <w:rsid w:val="00FC489B"/>
    <w:rsid w:val="00FC48C2"/>
    <w:rsid w:val="00FC494E"/>
    <w:rsid w:val="00FC49A9"/>
    <w:rsid w:val="00FC4AC8"/>
    <w:rsid w:val="00FC4AF3"/>
    <w:rsid w:val="00FC4B42"/>
    <w:rsid w:val="00FC4BE1"/>
    <w:rsid w:val="00FC4D45"/>
    <w:rsid w:val="00FC4E49"/>
    <w:rsid w:val="00FC4E59"/>
    <w:rsid w:val="00FC4EB4"/>
    <w:rsid w:val="00FC4F0D"/>
    <w:rsid w:val="00FC4FA3"/>
    <w:rsid w:val="00FC5073"/>
    <w:rsid w:val="00FC50B3"/>
    <w:rsid w:val="00FC5103"/>
    <w:rsid w:val="00FC5174"/>
    <w:rsid w:val="00FC51AF"/>
    <w:rsid w:val="00FC523A"/>
    <w:rsid w:val="00FC5334"/>
    <w:rsid w:val="00FC5471"/>
    <w:rsid w:val="00FC5477"/>
    <w:rsid w:val="00FC54B0"/>
    <w:rsid w:val="00FC565E"/>
    <w:rsid w:val="00FC5714"/>
    <w:rsid w:val="00FC59B9"/>
    <w:rsid w:val="00FC5A3F"/>
    <w:rsid w:val="00FC5A55"/>
    <w:rsid w:val="00FC5AFE"/>
    <w:rsid w:val="00FC5C6F"/>
    <w:rsid w:val="00FC5D59"/>
    <w:rsid w:val="00FC5E6C"/>
    <w:rsid w:val="00FC5F2C"/>
    <w:rsid w:val="00FC5F5E"/>
    <w:rsid w:val="00FC606D"/>
    <w:rsid w:val="00FC60FD"/>
    <w:rsid w:val="00FC6258"/>
    <w:rsid w:val="00FC630D"/>
    <w:rsid w:val="00FC6375"/>
    <w:rsid w:val="00FC63E9"/>
    <w:rsid w:val="00FC65B9"/>
    <w:rsid w:val="00FC660F"/>
    <w:rsid w:val="00FC664B"/>
    <w:rsid w:val="00FC665B"/>
    <w:rsid w:val="00FC66C7"/>
    <w:rsid w:val="00FC6768"/>
    <w:rsid w:val="00FC676B"/>
    <w:rsid w:val="00FC6A2B"/>
    <w:rsid w:val="00FC6A63"/>
    <w:rsid w:val="00FC6B17"/>
    <w:rsid w:val="00FC6B1B"/>
    <w:rsid w:val="00FC6B2A"/>
    <w:rsid w:val="00FC6BE4"/>
    <w:rsid w:val="00FC6C2B"/>
    <w:rsid w:val="00FC6C54"/>
    <w:rsid w:val="00FC6E09"/>
    <w:rsid w:val="00FC6E5A"/>
    <w:rsid w:val="00FC6E5E"/>
    <w:rsid w:val="00FC6EDA"/>
    <w:rsid w:val="00FC6F07"/>
    <w:rsid w:val="00FC6FF7"/>
    <w:rsid w:val="00FC7059"/>
    <w:rsid w:val="00FC707E"/>
    <w:rsid w:val="00FC7110"/>
    <w:rsid w:val="00FC7161"/>
    <w:rsid w:val="00FC740F"/>
    <w:rsid w:val="00FC7552"/>
    <w:rsid w:val="00FC765E"/>
    <w:rsid w:val="00FC76CD"/>
    <w:rsid w:val="00FC7753"/>
    <w:rsid w:val="00FC786B"/>
    <w:rsid w:val="00FC78E3"/>
    <w:rsid w:val="00FC792E"/>
    <w:rsid w:val="00FC7A44"/>
    <w:rsid w:val="00FC7B4D"/>
    <w:rsid w:val="00FC7B69"/>
    <w:rsid w:val="00FC7C10"/>
    <w:rsid w:val="00FC7C22"/>
    <w:rsid w:val="00FC7CAA"/>
    <w:rsid w:val="00FC7CAB"/>
    <w:rsid w:val="00FC7D3A"/>
    <w:rsid w:val="00FC7DEF"/>
    <w:rsid w:val="00FC7DF3"/>
    <w:rsid w:val="00FC7EFF"/>
    <w:rsid w:val="00FC7F7C"/>
    <w:rsid w:val="00FC7FAF"/>
    <w:rsid w:val="00FD0076"/>
    <w:rsid w:val="00FD0082"/>
    <w:rsid w:val="00FD0086"/>
    <w:rsid w:val="00FD0131"/>
    <w:rsid w:val="00FD01BC"/>
    <w:rsid w:val="00FD0234"/>
    <w:rsid w:val="00FD02CD"/>
    <w:rsid w:val="00FD03E1"/>
    <w:rsid w:val="00FD0464"/>
    <w:rsid w:val="00FD0496"/>
    <w:rsid w:val="00FD04A8"/>
    <w:rsid w:val="00FD04A9"/>
    <w:rsid w:val="00FD05D8"/>
    <w:rsid w:val="00FD05E8"/>
    <w:rsid w:val="00FD0617"/>
    <w:rsid w:val="00FD07FB"/>
    <w:rsid w:val="00FD080B"/>
    <w:rsid w:val="00FD089A"/>
    <w:rsid w:val="00FD08B3"/>
    <w:rsid w:val="00FD08ED"/>
    <w:rsid w:val="00FD0B3B"/>
    <w:rsid w:val="00FD0CB1"/>
    <w:rsid w:val="00FD0D34"/>
    <w:rsid w:val="00FD0E05"/>
    <w:rsid w:val="00FD0E39"/>
    <w:rsid w:val="00FD0EF8"/>
    <w:rsid w:val="00FD0FA5"/>
    <w:rsid w:val="00FD0FA8"/>
    <w:rsid w:val="00FD0FCD"/>
    <w:rsid w:val="00FD122C"/>
    <w:rsid w:val="00FD1255"/>
    <w:rsid w:val="00FD1268"/>
    <w:rsid w:val="00FD14DA"/>
    <w:rsid w:val="00FD14F5"/>
    <w:rsid w:val="00FD1522"/>
    <w:rsid w:val="00FD158D"/>
    <w:rsid w:val="00FD15CA"/>
    <w:rsid w:val="00FD1747"/>
    <w:rsid w:val="00FD179E"/>
    <w:rsid w:val="00FD17F2"/>
    <w:rsid w:val="00FD18FF"/>
    <w:rsid w:val="00FD1917"/>
    <w:rsid w:val="00FD19BC"/>
    <w:rsid w:val="00FD1A8D"/>
    <w:rsid w:val="00FD1AD5"/>
    <w:rsid w:val="00FD1AED"/>
    <w:rsid w:val="00FD1B3C"/>
    <w:rsid w:val="00FD1B97"/>
    <w:rsid w:val="00FD1B9B"/>
    <w:rsid w:val="00FD1C3D"/>
    <w:rsid w:val="00FD1C71"/>
    <w:rsid w:val="00FD1C83"/>
    <w:rsid w:val="00FD1CB8"/>
    <w:rsid w:val="00FD1CE8"/>
    <w:rsid w:val="00FD1DD7"/>
    <w:rsid w:val="00FD1F6D"/>
    <w:rsid w:val="00FD200A"/>
    <w:rsid w:val="00FD204D"/>
    <w:rsid w:val="00FD2161"/>
    <w:rsid w:val="00FD2239"/>
    <w:rsid w:val="00FD22B5"/>
    <w:rsid w:val="00FD23BD"/>
    <w:rsid w:val="00FD248B"/>
    <w:rsid w:val="00FD25DE"/>
    <w:rsid w:val="00FD2661"/>
    <w:rsid w:val="00FD282E"/>
    <w:rsid w:val="00FD2938"/>
    <w:rsid w:val="00FD29A6"/>
    <w:rsid w:val="00FD29BC"/>
    <w:rsid w:val="00FD2A00"/>
    <w:rsid w:val="00FD2AB5"/>
    <w:rsid w:val="00FD2BC9"/>
    <w:rsid w:val="00FD2C81"/>
    <w:rsid w:val="00FD2C8B"/>
    <w:rsid w:val="00FD2CA8"/>
    <w:rsid w:val="00FD2D20"/>
    <w:rsid w:val="00FD2EFF"/>
    <w:rsid w:val="00FD2F28"/>
    <w:rsid w:val="00FD2F65"/>
    <w:rsid w:val="00FD2FAE"/>
    <w:rsid w:val="00FD303B"/>
    <w:rsid w:val="00FD30A1"/>
    <w:rsid w:val="00FD3103"/>
    <w:rsid w:val="00FD3281"/>
    <w:rsid w:val="00FD342D"/>
    <w:rsid w:val="00FD345B"/>
    <w:rsid w:val="00FD3529"/>
    <w:rsid w:val="00FD37F3"/>
    <w:rsid w:val="00FD3A17"/>
    <w:rsid w:val="00FD3ACD"/>
    <w:rsid w:val="00FD3BB2"/>
    <w:rsid w:val="00FD3CDA"/>
    <w:rsid w:val="00FD3D6A"/>
    <w:rsid w:val="00FD3DAE"/>
    <w:rsid w:val="00FD3E6A"/>
    <w:rsid w:val="00FD3EBB"/>
    <w:rsid w:val="00FD3EE1"/>
    <w:rsid w:val="00FD3F8D"/>
    <w:rsid w:val="00FD3FB6"/>
    <w:rsid w:val="00FD405E"/>
    <w:rsid w:val="00FD4108"/>
    <w:rsid w:val="00FD4138"/>
    <w:rsid w:val="00FD4147"/>
    <w:rsid w:val="00FD4202"/>
    <w:rsid w:val="00FD4247"/>
    <w:rsid w:val="00FD426A"/>
    <w:rsid w:val="00FD4332"/>
    <w:rsid w:val="00FD43DD"/>
    <w:rsid w:val="00FD43FF"/>
    <w:rsid w:val="00FD44DF"/>
    <w:rsid w:val="00FD44EC"/>
    <w:rsid w:val="00FD46A9"/>
    <w:rsid w:val="00FD46AC"/>
    <w:rsid w:val="00FD46E8"/>
    <w:rsid w:val="00FD46FA"/>
    <w:rsid w:val="00FD473E"/>
    <w:rsid w:val="00FD483C"/>
    <w:rsid w:val="00FD49FF"/>
    <w:rsid w:val="00FD4A9A"/>
    <w:rsid w:val="00FD4C3C"/>
    <w:rsid w:val="00FD4C99"/>
    <w:rsid w:val="00FD4D8B"/>
    <w:rsid w:val="00FD4D93"/>
    <w:rsid w:val="00FD4DA2"/>
    <w:rsid w:val="00FD4DD1"/>
    <w:rsid w:val="00FD4E7D"/>
    <w:rsid w:val="00FD4E8A"/>
    <w:rsid w:val="00FD4F92"/>
    <w:rsid w:val="00FD4F9F"/>
    <w:rsid w:val="00FD4FA3"/>
    <w:rsid w:val="00FD4FCE"/>
    <w:rsid w:val="00FD503B"/>
    <w:rsid w:val="00FD504A"/>
    <w:rsid w:val="00FD5172"/>
    <w:rsid w:val="00FD5233"/>
    <w:rsid w:val="00FD524B"/>
    <w:rsid w:val="00FD52EF"/>
    <w:rsid w:val="00FD539F"/>
    <w:rsid w:val="00FD53C6"/>
    <w:rsid w:val="00FD5487"/>
    <w:rsid w:val="00FD566A"/>
    <w:rsid w:val="00FD568D"/>
    <w:rsid w:val="00FD56AD"/>
    <w:rsid w:val="00FD56B1"/>
    <w:rsid w:val="00FD5732"/>
    <w:rsid w:val="00FD5781"/>
    <w:rsid w:val="00FD57E2"/>
    <w:rsid w:val="00FD581C"/>
    <w:rsid w:val="00FD5848"/>
    <w:rsid w:val="00FD588B"/>
    <w:rsid w:val="00FD59C5"/>
    <w:rsid w:val="00FD59CD"/>
    <w:rsid w:val="00FD5A89"/>
    <w:rsid w:val="00FD5B73"/>
    <w:rsid w:val="00FD5BB2"/>
    <w:rsid w:val="00FD5C37"/>
    <w:rsid w:val="00FD5C45"/>
    <w:rsid w:val="00FD5C9B"/>
    <w:rsid w:val="00FD5D6B"/>
    <w:rsid w:val="00FD5D84"/>
    <w:rsid w:val="00FD5DB9"/>
    <w:rsid w:val="00FD5E37"/>
    <w:rsid w:val="00FD5ECC"/>
    <w:rsid w:val="00FD5F9C"/>
    <w:rsid w:val="00FD5FBB"/>
    <w:rsid w:val="00FD60FF"/>
    <w:rsid w:val="00FD610D"/>
    <w:rsid w:val="00FD6181"/>
    <w:rsid w:val="00FD6185"/>
    <w:rsid w:val="00FD620E"/>
    <w:rsid w:val="00FD6232"/>
    <w:rsid w:val="00FD6429"/>
    <w:rsid w:val="00FD646A"/>
    <w:rsid w:val="00FD655B"/>
    <w:rsid w:val="00FD6594"/>
    <w:rsid w:val="00FD65E3"/>
    <w:rsid w:val="00FD6610"/>
    <w:rsid w:val="00FD668F"/>
    <w:rsid w:val="00FD66F9"/>
    <w:rsid w:val="00FD671D"/>
    <w:rsid w:val="00FD6801"/>
    <w:rsid w:val="00FD68E1"/>
    <w:rsid w:val="00FD6928"/>
    <w:rsid w:val="00FD6981"/>
    <w:rsid w:val="00FD6A5D"/>
    <w:rsid w:val="00FD6AD6"/>
    <w:rsid w:val="00FD6CCF"/>
    <w:rsid w:val="00FD6D01"/>
    <w:rsid w:val="00FD6DA2"/>
    <w:rsid w:val="00FD6DC9"/>
    <w:rsid w:val="00FD6E21"/>
    <w:rsid w:val="00FD6E2A"/>
    <w:rsid w:val="00FD6E6E"/>
    <w:rsid w:val="00FD6F43"/>
    <w:rsid w:val="00FD6FB6"/>
    <w:rsid w:val="00FD7034"/>
    <w:rsid w:val="00FD7080"/>
    <w:rsid w:val="00FD7160"/>
    <w:rsid w:val="00FD71FA"/>
    <w:rsid w:val="00FD730C"/>
    <w:rsid w:val="00FD7509"/>
    <w:rsid w:val="00FD780D"/>
    <w:rsid w:val="00FD7A55"/>
    <w:rsid w:val="00FD7AC4"/>
    <w:rsid w:val="00FD7BA1"/>
    <w:rsid w:val="00FD7C23"/>
    <w:rsid w:val="00FD7C57"/>
    <w:rsid w:val="00FD7C83"/>
    <w:rsid w:val="00FD7C87"/>
    <w:rsid w:val="00FD7D45"/>
    <w:rsid w:val="00FD7D6A"/>
    <w:rsid w:val="00FD7DA3"/>
    <w:rsid w:val="00FD7E1B"/>
    <w:rsid w:val="00FD7F81"/>
    <w:rsid w:val="00FD7FF5"/>
    <w:rsid w:val="00FE000E"/>
    <w:rsid w:val="00FE004D"/>
    <w:rsid w:val="00FE008C"/>
    <w:rsid w:val="00FE01C4"/>
    <w:rsid w:val="00FE0315"/>
    <w:rsid w:val="00FE035D"/>
    <w:rsid w:val="00FE0375"/>
    <w:rsid w:val="00FE0395"/>
    <w:rsid w:val="00FE049C"/>
    <w:rsid w:val="00FE0539"/>
    <w:rsid w:val="00FE053A"/>
    <w:rsid w:val="00FE0584"/>
    <w:rsid w:val="00FE05A4"/>
    <w:rsid w:val="00FE0613"/>
    <w:rsid w:val="00FE0652"/>
    <w:rsid w:val="00FE07CD"/>
    <w:rsid w:val="00FE0810"/>
    <w:rsid w:val="00FE0846"/>
    <w:rsid w:val="00FE08E2"/>
    <w:rsid w:val="00FE08EB"/>
    <w:rsid w:val="00FE091C"/>
    <w:rsid w:val="00FE09BE"/>
    <w:rsid w:val="00FE0A78"/>
    <w:rsid w:val="00FE0B8C"/>
    <w:rsid w:val="00FE0C4D"/>
    <w:rsid w:val="00FE0C95"/>
    <w:rsid w:val="00FE0D42"/>
    <w:rsid w:val="00FE0D7C"/>
    <w:rsid w:val="00FE0DFB"/>
    <w:rsid w:val="00FE0E4E"/>
    <w:rsid w:val="00FE0EF7"/>
    <w:rsid w:val="00FE0EFA"/>
    <w:rsid w:val="00FE0FD7"/>
    <w:rsid w:val="00FE1030"/>
    <w:rsid w:val="00FE1088"/>
    <w:rsid w:val="00FE1236"/>
    <w:rsid w:val="00FE125E"/>
    <w:rsid w:val="00FE1312"/>
    <w:rsid w:val="00FE1412"/>
    <w:rsid w:val="00FE14A2"/>
    <w:rsid w:val="00FE1550"/>
    <w:rsid w:val="00FE171B"/>
    <w:rsid w:val="00FE18AD"/>
    <w:rsid w:val="00FE18DC"/>
    <w:rsid w:val="00FE1A3B"/>
    <w:rsid w:val="00FE1B35"/>
    <w:rsid w:val="00FE1B6B"/>
    <w:rsid w:val="00FE1C7D"/>
    <w:rsid w:val="00FE1DC5"/>
    <w:rsid w:val="00FE1E75"/>
    <w:rsid w:val="00FE1F03"/>
    <w:rsid w:val="00FE204D"/>
    <w:rsid w:val="00FE20D3"/>
    <w:rsid w:val="00FE2123"/>
    <w:rsid w:val="00FE21A1"/>
    <w:rsid w:val="00FE21AC"/>
    <w:rsid w:val="00FE2215"/>
    <w:rsid w:val="00FE22EE"/>
    <w:rsid w:val="00FE23A5"/>
    <w:rsid w:val="00FE23B0"/>
    <w:rsid w:val="00FE2500"/>
    <w:rsid w:val="00FE25CC"/>
    <w:rsid w:val="00FE261D"/>
    <w:rsid w:val="00FE26F9"/>
    <w:rsid w:val="00FE2826"/>
    <w:rsid w:val="00FE293A"/>
    <w:rsid w:val="00FE298E"/>
    <w:rsid w:val="00FE2BF3"/>
    <w:rsid w:val="00FE2C10"/>
    <w:rsid w:val="00FE2C92"/>
    <w:rsid w:val="00FE2CCC"/>
    <w:rsid w:val="00FE2D09"/>
    <w:rsid w:val="00FE2D3C"/>
    <w:rsid w:val="00FE2D43"/>
    <w:rsid w:val="00FE2D6E"/>
    <w:rsid w:val="00FE2DE1"/>
    <w:rsid w:val="00FE2F1B"/>
    <w:rsid w:val="00FE2FDD"/>
    <w:rsid w:val="00FE322C"/>
    <w:rsid w:val="00FE322E"/>
    <w:rsid w:val="00FE32DA"/>
    <w:rsid w:val="00FE32DF"/>
    <w:rsid w:val="00FE33C4"/>
    <w:rsid w:val="00FE34A2"/>
    <w:rsid w:val="00FE36B5"/>
    <w:rsid w:val="00FE37BC"/>
    <w:rsid w:val="00FE3825"/>
    <w:rsid w:val="00FE38CD"/>
    <w:rsid w:val="00FE390B"/>
    <w:rsid w:val="00FE3AD6"/>
    <w:rsid w:val="00FE3B8A"/>
    <w:rsid w:val="00FE3DF6"/>
    <w:rsid w:val="00FE3E25"/>
    <w:rsid w:val="00FE3E9E"/>
    <w:rsid w:val="00FE3EBC"/>
    <w:rsid w:val="00FE4002"/>
    <w:rsid w:val="00FE408C"/>
    <w:rsid w:val="00FE4114"/>
    <w:rsid w:val="00FE4121"/>
    <w:rsid w:val="00FE41A5"/>
    <w:rsid w:val="00FE41D2"/>
    <w:rsid w:val="00FE41DC"/>
    <w:rsid w:val="00FE42D9"/>
    <w:rsid w:val="00FE4387"/>
    <w:rsid w:val="00FE450C"/>
    <w:rsid w:val="00FE452E"/>
    <w:rsid w:val="00FE4537"/>
    <w:rsid w:val="00FE45EF"/>
    <w:rsid w:val="00FE468A"/>
    <w:rsid w:val="00FE472F"/>
    <w:rsid w:val="00FE47ED"/>
    <w:rsid w:val="00FE482E"/>
    <w:rsid w:val="00FE4986"/>
    <w:rsid w:val="00FE49B6"/>
    <w:rsid w:val="00FE4AE4"/>
    <w:rsid w:val="00FE4B2B"/>
    <w:rsid w:val="00FE4C0D"/>
    <w:rsid w:val="00FE4C42"/>
    <w:rsid w:val="00FE4C4D"/>
    <w:rsid w:val="00FE4D24"/>
    <w:rsid w:val="00FE4E77"/>
    <w:rsid w:val="00FE4E99"/>
    <w:rsid w:val="00FE4F06"/>
    <w:rsid w:val="00FE5071"/>
    <w:rsid w:val="00FE5175"/>
    <w:rsid w:val="00FE5196"/>
    <w:rsid w:val="00FE51B8"/>
    <w:rsid w:val="00FE51F3"/>
    <w:rsid w:val="00FE52B2"/>
    <w:rsid w:val="00FE52C5"/>
    <w:rsid w:val="00FE530C"/>
    <w:rsid w:val="00FE5348"/>
    <w:rsid w:val="00FE53B7"/>
    <w:rsid w:val="00FE54E3"/>
    <w:rsid w:val="00FE555E"/>
    <w:rsid w:val="00FE5656"/>
    <w:rsid w:val="00FE5736"/>
    <w:rsid w:val="00FE5761"/>
    <w:rsid w:val="00FE58C6"/>
    <w:rsid w:val="00FE5935"/>
    <w:rsid w:val="00FE5A0B"/>
    <w:rsid w:val="00FE5AC8"/>
    <w:rsid w:val="00FE5B48"/>
    <w:rsid w:val="00FE5B74"/>
    <w:rsid w:val="00FE5B77"/>
    <w:rsid w:val="00FE5C4E"/>
    <w:rsid w:val="00FE5CA7"/>
    <w:rsid w:val="00FE5CB4"/>
    <w:rsid w:val="00FE5D00"/>
    <w:rsid w:val="00FE5F7F"/>
    <w:rsid w:val="00FE5FC1"/>
    <w:rsid w:val="00FE60C7"/>
    <w:rsid w:val="00FE61D9"/>
    <w:rsid w:val="00FE62C4"/>
    <w:rsid w:val="00FE62FF"/>
    <w:rsid w:val="00FE635B"/>
    <w:rsid w:val="00FE6542"/>
    <w:rsid w:val="00FE660A"/>
    <w:rsid w:val="00FE6691"/>
    <w:rsid w:val="00FE6707"/>
    <w:rsid w:val="00FE6718"/>
    <w:rsid w:val="00FE6769"/>
    <w:rsid w:val="00FE67E3"/>
    <w:rsid w:val="00FE68C3"/>
    <w:rsid w:val="00FE6933"/>
    <w:rsid w:val="00FE6980"/>
    <w:rsid w:val="00FE6B20"/>
    <w:rsid w:val="00FE6B54"/>
    <w:rsid w:val="00FE6B6E"/>
    <w:rsid w:val="00FE6B91"/>
    <w:rsid w:val="00FE6D21"/>
    <w:rsid w:val="00FE6D6F"/>
    <w:rsid w:val="00FE6FA5"/>
    <w:rsid w:val="00FE6FF7"/>
    <w:rsid w:val="00FE7068"/>
    <w:rsid w:val="00FE72BE"/>
    <w:rsid w:val="00FE72EF"/>
    <w:rsid w:val="00FE7366"/>
    <w:rsid w:val="00FE74C4"/>
    <w:rsid w:val="00FE74E4"/>
    <w:rsid w:val="00FE758C"/>
    <w:rsid w:val="00FE76D3"/>
    <w:rsid w:val="00FE77E1"/>
    <w:rsid w:val="00FE7804"/>
    <w:rsid w:val="00FE7A26"/>
    <w:rsid w:val="00FE7AC5"/>
    <w:rsid w:val="00FE7AD3"/>
    <w:rsid w:val="00FE7B2F"/>
    <w:rsid w:val="00FE7BEE"/>
    <w:rsid w:val="00FE7C01"/>
    <w:rsid w:val="00FE7CCC"/>
    <w:rsid w:val="00FE7CD7"/>
    <w:rsid w:val="00FE7D13"/>
    <w:rsid w:val="00FE7E03"/>
    <w:rsid w:val="00FE7E6A"/>
    <w:rsid w:val="00FE7EE6"/>
    <w:rsid w:val="00FF0040"/>
    <w:rsid w:val="00FF0112"/>
    <w:rsid w:val="00FF01AD"/>
    <w:rsid w:val="00FF0254"/>
    <w:rsid w:val="00FF0291"/>
    <w:rsid w:val="00FF0481"/>
    <w:rsid w:val="00FF0522"/>
    <w:rsid w:val="00FF054A"/>
    <w:rsid w:val="00FF05D7"/>
    <w:rsid w:val="00FF05DC"/>
    <w:rsid w:val="00FF05ED"/>
    <w:rsid w:val="00FF0789"/>
    <w:rsid w:val="00FF0792"/>
    <w:rsid w:val="00FF0868"/>
    <w:rsid w:val="00FF0881"/>
    <w:rsid w:val="00FF0907"/>
    <w:rsid w:val="00FF09BD"/>
    <w:rsid w:val="00FF0A05"/>
    <w:rsid w:val="00FF0A4A"/>
    <w:rsid w:val="00FF0B58"/>
    <w:rsid w:val="00FF0C50"/>
    <w:rsid w:val="00FF0DB9"/>
    <w:rsid w:val="00FF0DDD"/>
    <w:rsid w:val="00FF0EF7"/>
    <w:rsid w:val="00FF0F4D"/>
    <w:rsid w:val="00FF0F74"/>
    <w:rsid w:val="00FF105C"/>
    <w:rsid w:val="00FF1124"/>
    <w:rsid w:val="00FF1257"/>
    <w:rsid w:val="00FF1259"/>
    <w:rsid w:val="00FF1418"/>
    <w:rsid w:val="00FF1496"/>
    <w:rsid w:val="00FF1505"/>
    <w:rsid w:val="00FF156E"/>
    <w:rsid w:val="00FF15AE"/>
    <w:rsid w:val="00FF1615"/>
    <w:rsid w:val="00FF1700"/>
    <w:rsid w:val="00FF171E"/>
    <w:rsid w:val="00FF1742"/>
    <w:rsid w:val="00FF1767"/>
    <w:rsid w:val="00FF181D"/>
    <w:rsid w:val="00FF187C"/>
    <w:rsid w:val="00FF18DF"/>
    <w:rsid w:val="00FF19BC"/>
    <w:rsid w:val="00FF1A92"/>
    <w:rsid w:val="00FF1B3C"/>
    <w:rsid w:val="00FF1B8A"/>
    <w:rsid w:val="00FF1CD3"/>
    <w:rsid w:val="00FF1CFA"/>
    <w:rsid w:val="00FF1CFE"/>
    <w:rsid w:val="00FF1E38"/>
    <w:rsid w:val="00FF1E8F"/>
    <w:rsid w:val="00FF1EA3"/>
    <w:rsid w:val="00FF1F69"/>
    <w:rsid w:val="00FF1FDA"/>
    <w:rsid w:val="00FF20B1"/>
    <w:rsid w:val="00FF2160"/>
    <w:rsid w:val="00FF22B7"/>
    <w:rsid w:val="00FF233A"/>
    <w:rsid w:val="00FF2416"/>
    <w:rsid w:val="00FF2586"/>
    <w:rsid w:val="00FF25CC"/>
    <w:rsid w:val="00FF25FC"/>
    <w:rsid w:val="00FF2659"/>
    <w:rsid w:val="00FF271C"/>
    <w:rsid w:val="00FF27AB"/>
    <w:rsid w:val="00FF283A"/>
    <w:rsid w:val="00FF289C"/>
    <w:rsid w:val="00FF2994"/>
    <w:rsid w:val="00FF2A0B"/>
    <w:rsid w:val="00FF2BD5"/>
    <w:rsid w:val="00FF2BFB"/>
    <w:rsid w:val="00FF2C6C"/>
    <w:rsid w:val="00FF2CA0"/>
    <w:rsid w:val="00FF2DD8"/>
    <w:rsid w:val="00FF2DE3"/>
    <w:rsid w:val="00FF2E97"/>
    <w:rsid w:val="00FF2EDF"/>
    <w:rsid w:val="00FF3056"/>
    <w:rsid w:val="00FF3085"/>
    <w:rsid w:val="00FF3095"/>
    <w:rsid w:val="00FF3102"/>
    <w:rsid w:val="00FF3148"/>
    <w:rsid w:val="00FF3188"/>
    <w:rsid w:val="00FF31D2"/>
    <w:rsid w:val="00FF324B"/>
    <w:rsid w:val="00FF32D7"/>
    <w:rsid w:val="00FF3372"/>
    <w:rsid w:val="00FF33C8"/>
    <w:rsid w:val="00FF3448"/>
    <w:rsid w:val="00FF3530"/>
    <w:rsid w:val="00FF37FE"/>
    <w:rsid w:val="00FF38D8"/>
    <w:rsid w:val="00FF38D9"/>
    <w:rsid w:val="00FF3937"/>
    <w:rsid w:val="00FF39F0"/>
    <w:rsid w:val="00FF3BC9"/>
    <w:rsid w:val="00FF3D1B"/>
    <w:rsid w:val="00FF3E42"/>
    <w:rsid w:val="00FF3E69"/>
    <w:rsid w:val="00FF3E86"/>
    <w:rsid w:val="00FF3EEA"/>
    <w:rsid w:val="00FF3F1A"/>
    <w:rsid w:val="00FF3F49"/>
    <w:rsid w:val="00FF3FC1"/>
    <w:rsid w:val="00FF400E"/>
    <w:rsid w:val="00FF4060"/>
    <w:rsid w:val="00FF40B1"/>
    <w:rsid w:val="00FF40B5"/>
    <w:rsid w:val="00FF4205"/>
    <w:rsid w:val="00FF42B0"/>
    <w:rsid w:val="00FF4427"/>
    <w:rsid w:val="00FF446C"/>
    <w:rsid w:val="00FF4495"/>
    <w:rsid w:val="00FF44B8"/>
    <w:rsid w:val="00FF45EE"/>
    <w:rsid w:val="00FF4670"/>
    <w:rsid w:val="00FF47D3"/>
    <w:rsid w:val="00FF48A8"/>
    <w:rsid w:val="00FF4902"/>
    <w:rsid w:val="00FF4A11"/>
    <w:rsid w:val="00FF4AAC"/>
    <w:rsid w:val="00FF4AC2"/>
    <w:rsid w:val="00FF4B06"/>
    <w:rsid w:val="00FF4B65"/>
    <w:rsid w:val="00FF4C25"/>
    <w:rsid w:val="00FF4CCE"/>
    <w:rsid w:val="00FF4D18"/>
    <w:rsid w:val="00FF4D88"/>
    <w:rsid w:val="00FF4E48"/>
    <w:rsid w:val="00FF4FC6"/>
    <w:rsid w:val="00FF5071"/>
    <w:rsid w:val="00FF50EB"/>
    <w:rsid w:val="00FF5351"/>
    <w:rsid w:val="00FF53AF"/>
    <w:rsid w:val="00FF5420"/>
    <w:rsid w:val="00FF543B"/>
    <w:rsid w:val="00FF5464"/>
    <w:rsid w:val="00FF5469"/>
    <w:rsid w:val="00FF54A8"/>
    <w:rsid w:val="00FF5557"/>
    <w:rsid w:val="00FF55C9"/>
    <w:rsid w:val="00FF5772"/>
    <w:rsid w:val="00FF5917"/>
    <w:rsid w:val="00FF5A0A"/>
    <w:rsid w:val="00FF5A23"/>
    <w:rsid w:val="00FF5A7C"/>
    <w:rsid w:val="00FF5A97"/>
    <w:rsid w:val="00FF5AC6"/>
    <w:rsid w:val="00FF5AE8"/>
    <w:rsid w:val="00FF5B9E"/>
    <w:rsid w:val="00FF5C3A"/>
    <w:rsid w:val="00FF5CAC"/>
    <w:rsid w:val="00FF5CD3"/>
    <w:rsid w:val="00FF5CF1"/>
    <w:rsid w:val="00FF5D88"/>
    <w:rsid w:val="00FF5D93"/>
    <w:rsid w:val="00FF5DBC"/>
    <w:rsid w:val="00FF5E53"/>
    <w:rsid w:val="00FF5F8D"/>
    <w:rsid w:val="00FF5FC7"/>
    <w:rsid w:val="00FF60EE"/>
    <w:rsid w:val="00FF620A"/>
    <w:rsid w:val="00FF621A"/>
    <w:rsid w:val="00FF624E"/>
    <w:rsid w:val="00FF6267"/>
    <w:rsid w:val="00FF6269"/>
    <w:rsid w:val="00FF633D"/>
    <w:rsid w:val="00FF63DD"/>
    <w:rsid w:val="00FF6489"/>
    <w:rsid w:val="00FF64DA"/>
    <w:rsid w:val="00FF64E5"/>
    <w:rsid w:val="00FF651C"/>
    <w:rsid w:val="00FF652E"/>
    <w:rsid w:val="00FF65F1"/>
    <w:rsid w:val="00FF663F"/>
    <w:rsid w:val="00FF670F"/>
    <w:rsid w:val="00FF6742"/>
    <w:rsid w:val="00FF6780"/>
    <w:rsid w:val="00FF67F5"/>
    <w:rsid w:val="00FF68EA"/>
    <w:rsid w:val="00FF698C"/>
    <w:rsid w:val="00FF699B"/>
    <w:rsid w:val="00FF6ADB"/>
    <w:rsid w:val="00FF6B39"/>
    <w:rsid w:val="00FF6B8F"/>
    <w:rsid w:val="00FF6CD2"/>
    <w:rsid w:val="00FF6CED"/>
    <w:rsid w:val="00FF6D09"/>
    <w:rsid w:val="00FF6D89"/>
    <w:rsid w:val="00FF6DBE"/>
    <w:rsid w:val="00FF6E01"/>
    <w:rsid w:val="00FF6E24"/>
    <w:rsid w:val="00FF6E44"/>
    <w:rsid w:val="00FF7044"/>
    <w:rsid w:val="00FF70BA"/>
    <w:rsid w:val="00FF713B"/>
    <w:rsid w:val="00FF7167"/>
    <w:rsid w:val="00FF721F"/>
    <w:rsid w:val="00FF7283"/>
    <w:rsid w:val="00FF7296"/>
    <w:rsid w:val="00FF72DB"/>
    <w:rsid w:val="00FF72E5"/>
    <w:rsid w:val="00FF7427"/>
    <w:rsid w:val="00FF753B"/>
    <w:rsid w:val="00FF75A5"/>
    <w:rsid w:val="00FF75AF"/>
    <w:rsid w:val="00FF75EA"/>
    <w:rsid w:val="00FF761E"/>
    <w:rsid w:val="00FF7633"/>
    <w:rsid w:val="00FF767B"/>
    <w:rsid w:val="00FF786B"/>
    <w:rsid w:val="00FF7894"/>
    <w:rsid w:val="00FF78CA"/>
    <w:rsid w:val="00FF796E"/>
    <w:rsid w:val="00FF79CA"/>
    <w:rsid w:val="00FF79D3"/>
    <w:rsid w:val="00FF7A19"/>
    <w:rsid w:val="00FF7A54"/>
    <w:rsid w:val="00FF7AD7"/>
    <w:rsid w:val="00FF7B45"/>
    <w:rsid w:val="00FF7BC0"/>
    <w:rsid w:val="00FF7BD0"/>
    <w:rsid w:val="00FF7D33"/>
    <w:rsid w:val="00FF7D8E"/>
    <w:rsid w:val="00FF7EE6"/>
    <w:rsid w:val="00FF7F34"/>
    <w:rsid w:val="00FF7F64"/>
    <w:rsid w:val="00FF7F9D"/>
    <w:rsid w:val="00FF7FD6"/>
    <w:rsid w:val="010BA57E"/>
    <w:rsid w:val="010E72DB"/>
    <w:rsid w:val="011C98BA"/>
    <w:rsid w:val="011EB637"/>
    <w:rsid w:val="0125767F"/>
    <w:rsid w:val="0136F2E4"/>
    <w:rsid w:val="01572393"/>
    <w:rsid w:val="017A73A7"/>
    <w:rsid w:val="01AC2733"/>
    <w:rsid w:val="01C37B82"/>
    <w:rsid w:val="01D0A336"/>
    <w:rsid w:val="01F47A23"/>
    <w:rsid w:val="02064231"/>
    <w:rsid w:val="0229DDE4"/>
    <w:rsid w:val="024FD98D"/>
    <w:rsid w:val="025C4644"/>
    <w:rsid w:val="025F4B9A"/>
    <w:rsid w:val="026D1DA7"/>
    <w:rsid w:val="0284C4EB"/>
    <w:rsid w:val="029528CD"/>
    <w:rsid w:val="02ADA884"/>
    <w:rsid w:val="02C3D017"/>
    <w:rsid w:val="02FE5E0B"/>
    <w:rsid w:val="0311EF6A"/>
    <w:rsid w:val="031E4471"/>
    <w:rsid w:val="0321AF48"/>
    <w:rsid w:val="033F1C93"/>
    <w:rsid w:val="035755CB"/>
    <w:rsid w:val="035C1267"/>
    <w:rsid w:val="035CB385"/>
    <w:rsid w:val="03627B5D"/>
    <w:rsid w:val="037A5F9A"/>
    <w:rsid w:val="039F5BC5"/>
    <w:rsid w:val="03A7494D"/>
    <w:rsid w:val="03BABAE5"/>
    <w:rsid w:val="03C71516"/>
    <w:rsid w:val="03D73EEF"/>
    <w:rsid w:val="03F505E7"/>
    <w:rsid w:val="03FAA4E2"/>
    <w:rsid w:val="0405E58A"/>
    <w:rsid w:val="041A0013"/>
    <w:rsid w:val="0444DED3"/>
    <w:rsid w:val="044DB7FD"/>
    <w:rsid w:val="044FE7B3"/>
    <w:rsid w:val="0481DCE2"/>
    <w:rsid w:val="048F8927"/>
    <w:rsid w:val="04901E97"/>
    <w:rsid w:val="049E2482"/>
    <w:rsid w:val="04A0C472"/>
    <w:rsid w:val="04A54377"/>
    <w:rsid w:val="04DAEE5A"/>
    <w:rsid w:val="04DF8F7B"/>
    <w:rsid w:val="04F412E9"/>
    <w:rsid w:val="04F98C70"/>
    <w:rsid w:val="0504C360"/>
    <w:rsid w:val="05198F50"/>
    <w:rsid w:val="0519A05F"/>
    <w:rsid w:val="051E2316"/>
    <w:rsid w:val="05271A9D"/>
    <w:rsid w:val="052E6988"/>
    <w:rsid w:val="05326FA9"/>
    <w:rsid w:val="0535E981"/>
    <w:rsid w:val="055195D3"/>
    <w:rsid w:val="055978FA"/>
    <w:rsid w:val="0567257E"/>
    <w:rsid w:val="057D1CDA"/>
    <w:rsid w:val="05A8496E"/>
    <w:rsid w:val="05A90EC1"/>
    <w:rsid w:val="05B34CB3"/>
    <w:rsid w:val="05BCEA3C"/>
    <w:rsid w:val="05C074FD"/>
    <w:rsid w:val="05D628F9"/>
    <w:rsid w:val="05E48639"/>
    <w:rsid w:val="05EFFFC7"/>
    <w:rsid w:val="05F58BED"/>
    <w:rsid w:val="06573DE2"/>
    <w:rsid w:val="06A67AE4"/>
    <w:rsid w:val="06D50FE2"/>
    <w:rsid w:val="06E2A585"/>
    <w:rsid w:val="06EB745C"/>
    <w:rsid w:val="06EBEEE2"/>
    <w:rsid w:val="06F52B9A"/>
    <w:rsid w:val="06F66088"/>
    <w:rsid w:val="070B0056"/>
    <w:rsid w:val="070D173B"/>
    <w:rsid w:val="0724051F"/>
    <w:rsid w:val="073B03A2"/>
    <w:rsid w:val="074C5C9F"/>
    <w:rsid w:val="074FA8F8"/>
    <w:rsid w:val="077313EB"/>
    <w:rsid w:val="0779B4ED"/>
    <w:rsid w:val="077A0BEF"/>
    <w:rsid w:val="07837CFC"/>
    <w:rsid w:val="07870376"/>
    <w:rsid w:val="078707AF"/>
    <w:rsid w:val="07924BFE"/>
    <w:rsid w:val="079F564E"/>
    <w:rsid w:val="07AC0ACA"/>
    <w:rsid w:val="07BBBD6E"/>
    <w:rsid w:val="07CCE6C8"/>
    <w:rsid w:val="08196D18"/>
    <w:rsid w:val="0819C6DB"/>
    <w:rsid w:val="08335080"/>
    <w:rsid w:val="08341F35"/>
    <w:rsid w:val="0857341E"/>
    <w:rsid w:val="08698DA1"/>
    <w:rsid w:val="08B0C10A"/>
    <w:rsid w:val="08B74613"/>
    <w:rsid w:val="08BFE731"/>
    <w:rsid w:val="08C020AF"/>
    <w:rsid w:val="08CF1924"/>
    <w:rsid w:val="08E89177"/>
    <w:rsid w:val="08F2B362"/>
    <w:rsid w:val="090A0E88"/>
    <w:rsid w:val="0913C821"/>
    <w:rsid w:val="091556E2"/>
    <w:rsid w:val="09258FA3"/>
    <w:rsid w:val="092B0886"/>
    <w:rsid w:val="09481D35"/>
    <w:rsid w:val="094AA7DA"/>
    <w:rsid w:val="09586C28"/>
    <w:rsid w:val="095942CE"/>
    <w:rsid w:val="098A0219"/>
    <w:rsid w:val="098BC5A8"/>
    <w:rsid w:val="098C3151"/>
    <w:rsid w:val="099FECFD"/>
    <w:rsid w:val="09BF1400"/>
    <w:rsid w:val="09CB7941"/>
    <w:rsid w:val="09F853DE"/>
    <w:rsid w:val="0A19CD92"/>
    <w:rsid w:val="0A25B4B3"/>
    <w:rsid w:val="0A31CC90"/>
    <w:rsid w:val="0A58DBE3"/>
    <w:rsid w:val="0A660303"/>
    <w:rsid w:val="0A768D7E"/>
    <w:rsid w:val="0A9D0668"/>
    <w:rsid w:val="0AB7345A"/>
    <w:rsid w:val="0AD4B30D"/>
    <w:rsid w:val="0AD801F0"/>
    <w:rsid w:val="0AE040CC"/>
    <w:rsid w:val="0AE0D916"/>
    <w:rsid w:val="0B035D06"/>
    <w:rsid w:val="0B124381"/>
    <w:rsid w:val="0B2653E4"/>
    <w:rsid w:val="0B4302F6"/>
    <w:rsid w:val="0B4B98EB"/>
    <w:rsid w:val="0B4D3F69"/>
    <w:rsid w:val="0B5A8408"/>
    <w:rsid w:val="0B5C4CEA"/>
    <w:rsid w:val="0B5F8C66"/>
    <w:rsid w:val="0B614F6B"/>
    <w:rsid w:val="0B990352"/>
    <w:rsid w:val="0BC9003C"/>
    <w:rsid w:val="0BD0467C"/>
    <w:rsid w:val="0BF33639"/>
    <w:rsid w:val="0C0153E2"/>
    <w:rsid w:val="0C43E448"/>
    <w:rsid w:val="0C4F0282"/>
    <w:rsid w:val="0C640B69"/>
    <w:rsid w:val="0C9787A3"/>
    <w:rsid w:val="0CAE5FDE"/>
    <w:rsid w:val="0CF0F632"/>
    <w:rsid w:val="0CF121A9"/>
    <w:rsid w:val="0CFE4352"/>
    <w:rsid w:val="0D1F45EE"/>
    <w:rsid w:val="0D45C59E"/>
    <w:rsid w:val="0D47C4D6"/>
    <w:rsid w:val="0D553E06"/>
    <w:rsid w:val="0D643A1D"/>
    <w:rsid w:val="0D73C766"/>
    <w:rsid w:val="0D7CFAC8"/>
    <w:rsid w:val="0DA6A138"/>
    <w:rsid w:val="0DB48D20"/>
    <w:rsid w:val="0DD65C50"/>
    <w:rsid w:val="0DFABC97"/>
    <w:rsid w:val="0E0C824E"/>
    <w:rsid w:val="0E2C2862"/>
    <w:rsid w:val="0E4319E9"/>
    <w:rsid w:val="0E452A79"/>
    <w:rsid w:val="0E5BEFB7"/>
    <w:rsid w:val="0E6E9FB8"/>
    <w:rsid w:val="0EB21FFE"/>
    <w:rsid w:val="0EB94BB8"/>
    <w:rsid w:val="0EC364A6"/>
    <w:rsid w:val="0ED307FD"/>
    <w:rsid w:val="0EE497E8"/>
    <w:rsid w:val="0EE9E528"/>
    <w:rsid w:val="0EEC504E"/>
    <w:rsid w:val="0F054ABC"/>
    <w:rsid w:val="0F1B875F"/>
    <w:rsid w:val="0F1CDB1A"/>
    <w:rsid w:val="0F4206EC"/>
    <w:rsid w:val="0F4828D8"/>
    <w:rsid w:val="0F4A94F3"/>
    <w:rsid w:val="0F4CE9F8"/>
    <w:rsid w:val="0F520DCD"/>
    <w:rsid w:val="0F600355"/>
    <w:rsid w:val="0F65DF64"/>
    <w:rsid w:val="0F7F6791"/>
    <w:rsid w:val="0F824BD6"/>
    <w:rsid w:val="0FAD509C"/>
    <w:rsid w:val="0FF1A4F8"/>
    <w:rsid w:val="1008AD29"/>
    <w:rsid w:val="1026033A"/>
    <w:rsid w:val="1028BDAC"/>
    <w:rsid w:val="103F0E60"/>
    <w:rsid w:val="104484EC"/>
    <w:rsid w:val="1057D172"/>
    <w:rsid w:val="1059ECB9"/>
    <w:rsid w:val="10653FA5"/>
    <w:rsid w:val="1075F03C"/>
    <w:rsid w:val="107F657B"/>
    <w:rsid w:val="10D06DE8"/>
    <w:rsid w:val="10EC74CF"/>
    <w:rsid w:val="10F15C53"/>
    <w:rsid w:val="11059BBA"/>
    <w:rsid w:val="1105F32C"/>
    <w:rsid w:val="11074732"/>
    <w:rsid w:val="111C1E83"/>
    <w:rsid w:val="113DBB6D"/>
    <w:rsid w:val="1185AD70"/>
    <w:rsid w:val="118E79D2"/>
    <w:rsid w:val="119E6CE8"/>
    <w:rsid w:val="11A47267"/>
    <w:rsid w:val="11A4EBCF"/>
    <w:rsid w:val="11B52411"/>
    <w:rsid w:val="11DB1ACF"/>
    <w:rsid w:val="11E1C55A"/>
    <w:rsid w:val="11FA0460"/>
    <w:rsid w:val="120F7FC5"/>
    <w:rsid w:val="12201565"/>
    <w:rsid w:val="122EE331"/>
    <w:rsid w:val="1240E2B5"/>
    <w:rsid w:val="124341DC"/>
    <w:rsid w:val="12515F75"/>
    <w:rsid w:val="12628EAD"/>
    <w:rsid w:val="126B951B"/>
    <w:rsid w:val="127E26F6"/>
    <w:rsid w:val="12860F58"/>
    <w:rsid w:val="12995F05"/>
    <w:rsid w:val="129F6BCD"/>
    <w:rsid w:val="12AA9F2A"/>
    <w:rsid w:val="12AE7F5C"/>
    <w:rsid w:val="12BD43CC"/>
    <w:rsid w:val="12BE424C"/>
    <w:rsid w:val="12E3A54B"/>
    <w:rsid w:val="12EFB805"/>
    <w:rsid w:val="12EFFE97"/>
    <w:rsid w:val="12FA18AF"/>
    <w:rsid w:val="12FBD043"/>
    <w:rsid w:val="1320D1BC"/>
    <w:rsid w:val="1322056F"/>
    <w:rsid w:val="132FD6B1"/>
    <w:rsid w:val="1334311E"/>
    <w:rsid w:val="133EA2C9"/>
    <w:rsid w:val="1350A590"/>
    <w:rsid w:val="1350C93A"/>
    <w:rsid w:val="1355E48B"/>
    <w:rsid w:val="137FA828"/>
    <w:rsid w:val="138A301C"/>
    <w:rsid w:val="138E5C9A"/>
    <w:rsid w:val="13995AE0"/>
    <w:rsid w:val="13AE91CA"/>
    <w:rsid w:val="13B58D5F"/>
    <w:rsid w:val="13BBDA07"/>
    <w:rsid w:val="13DBDBDC"/>
    <w:rsid w:val="13DDCC9E"/>
    <w:rsid w:val="13E0E651"/>
    <w:rsid w:val="13E31F83"/>
    <w:rsid w:val="13E6C008"/>
    <w:rsid w:val="143F76D8"/>
    <w:rsid w:val="146B12B3"/>
    <w:rsid w:val="147398CF"/>
    <w:rsid w:val="148CA3FE"/>
    <w:rsid w:val="14A3021E"/>
    <w:rsid w:val="14CA69C6"/>
    <w:rsid w:val="14DD40CF"/>
    <w:rsid w:val="14E7D4D6"/>
    <w:rsid w:val="14F1717D"/>
    <w:rsid w:val="151F6FF5"/>
    <w:rsid w:val="152F6ADC"/>
    <w:rsid w:val="15339DE4"/>
    <w:rsid w:val="1566ADE7"/>
    <w:rsid w:val="156CC9D8"/>
    <w:rsid w:val="1570376C"/>
    <w:rsid w:val="158888AC"/>
    <w:rsid w:val="15A82F36"/>
    <w:rsid w:val="15B59618"/>
    <w:rsid w:val="15DD266E"/>
    <w:rsid w:val="160A93F7"/>
    <w:rsid w:val="1611519C"/>
    <w:rsid w:val="16168A8A"/>
    <w:rsid w:val="1623CCFD"/>
    <w:rsid w:val="1624C5F4"/>
    <w:rsid w:val="16318C3F"/>
    <w:rsid w:val="1670D53E"/>
    <w:rsid w:val="1670EF09"/>
    <w:rsid w:val="16801469"/>
    <w:rsid w:val="16842665"/>
    <w:rsid w:val="1684D378"/>
    <w:rsid w:val="168A3F48"/>
    <w:rsid w:val="169E8BA9"/>
    <w:rsid w:val="16CEBB75"/>
    <w:rsid w:val="16CF3522"/>
    <w:rsid w:val="16ED9F18"/>
    <w:rsid w:val="16EFA8A3"/>
    <w:rsid w:val="170CEE3F"/>
    <w:rsid w:val="171F89F4"/>
    <w:rsid w:val="17213EE4"/>
    <w:rsid w:val="172A1C11"/>
    <w:rsid w:val="173F21A1"/>
    <w:rsid w:val="17513526"/>
    <w:rsid w:val="17611A6F"/>
    <w:rsid w:val="17647258"/>
    <w:rsid w:val="176A77C4"/>
    <w:rsid w:val="1780202B"/>
    <w:rsid w:val="1780FA74"/>
    <w:rsid w:val="178AEF35"/>
    <w:rsid w:val="17BFE254"/>
    <w:rsid w:val="17E87C2A"/>
    <w:rsid w:val="1805E3F4"/>
    <w:rsid w:val="18178F83"/>
    <w:rsid w:val="181BA2CA"/>
    <w:rsid w:val="181E1987"/>
    <w:rsid w:val="182288DB"/>
    <w:rsid w:val="182CE52B"/>
    <w:rsid w:val="184211B4"/>
    <w:rsid w:val="1847EF23"/>
    <w:rsid w:val="1875E69A"/>
    <w:rsid w:val="189916C4"/>
    <w:rsid w:val="18E06AA2"/>
    <w:rsid w:val="18EBA85C"/>
    <w:rsid w:val="190EE5FA"/>
    <w:rsid w:val="1910B2BB"/>
    <w:rsid w:val="19142838"/>
    <w:rsid w:val="1920C3E4"/>
    <w:rsid w:val="1932CFCB"/>
    <w:rsid w:val="19337927"/>
    <w:rsid w:val="19442188"/>
    <w:rsid w:val="197078F9"/>
    <w:rsid w:val="1979A56E"/>
    <w:rsid w:val="197C2381"/>
    <w:rsid w:val="1996AE88"/>
    <w:rsid w:val="19A400F7"/>
    <w:rsid w:val="19A47AA8"/>
    <w:rsid w:val="19BECF91"/>
    <w:rsid w:val="19C15DB0"/>
    <w:rsid w:val="19D86F8E"/>
    <w:rsid w:val="19D974FE"/>
    <w:rsid w:val="19E95DAC"/>
    <w:rsid w:val="19F8C966"/>
    <w:rsid w:val="1A0555E5"/>
    <w:rsid w:val="1A1ACD70"/>
    <w:rsid w:val="1A3B355C"/>
    <w:rsid w:val="1A420B4B"/>
    <w:rsid w:val="1A4E1196"/>
    <w:rsid w:val="1A6F8569"/>
    <w:rsid w:val="1A9C7459"/>
    <w:rsid w:val="1AB2CAD8"/>
    <w:rsid w:val="1ABABCEC"/>
    <w:rsid w:val="1ABB2639"/>
    <w:rsid w:val="1ABDB3A2"/>
    <w:rsid w:val="1AC48D66"/>
    <w:rsid w:val="1AD91DB4"/>
    <w:rsid w:val="1AE79C2F"/>
    <w:rsid w:val="1AFBAC62"/>
    <w:rsid w:val="1B021E0D"/>
    <w:rsid w:val="1B1F4114"/>
    <w:rsid w:val="1B205C39"/>
    <w:rsid w:val="1B453711"/>
    <w:rsid w:val="1B5E6C1F"/>
    <w:rsid w:val="1B738BC6"/>
    <w:rsid w:val="1B84F87B"/>
    <w:rsid w:val="1B945C5B"/>
    <w:rsid w:val="1B9A850B"/>
    <w:rsid w:val="1BA670D3"/>
    <w:rsid w:val="1BB513D9"/>
    <w:rsid w:val="1BB73BA8"/>
    <w:rsid w:val="1BBB1515"/>
    <w:rsid w:val="1BBF343C"/>
    <w:rsid w:val="1BCAD04B"/>
    <w:rsid w:val="1BCFAA8F"/>
    <w:rsid w:val="1BD25515"/>
    <w:rsid w:val="1BEB7F55"/>
    <w:rsid w:val="1BEC1797"/>
    <w:rsid w:val="1BED1BEE"/>
    <w:rsid w:val="1BF725B7"/>
    <w:rsid w:val="1BF72733"/>
    <w:rsid w:val="1C208106"/>
    <w:rsid w:val="1C443634"/>
    <w:rsid w:val="1C5A4C59"/>
    <w:rsid w:val="1C71EE89"/>
    <w:rsid w:val="1CB2D401"/>
    <w:rsid w:val="1CB89316"/>
    <w:rsid w:val="1CBCF6FE"/>
    <w:rsid w:val="1CC2D635"/>
    <w:rsid w:val="1CC91510"/>
    <w:rsid w:val="1CD0F1DC"/>
    <w:rsid w:val="1CD6D2E0"/>
    <w:rsid w:val="1CE9DF4A"/>
    <w:rsid w:val="1CFB4367"/>
    <w:rsid w:val="1CFEF7C9"/>
    <w:rsid w:val="1D00AB72"/>
    <w:rsid w:val="1D131DB4"/>
    <w:rsid w:val="1D1FCEFA"/>
    <w:rsid w:val="1D280572"/>
    <w:rsid w:val="1D316DE0"/>
    <w:rsid w:val="1D34255C"/>
    <w:rsid w:val="1D3D5A44"/>
    <w:rsid w:val="1D59FBCE"/>
    <w:rsid w:val="1DB05626"/>
    <w:rsid w:val="1DC1FCB5"/>
    <w:rsid w:val="1DE8DBA7"/>
    <w:rsid w:val="1E07BF04"/>
    <w:rsid w:val="1E187E8A"/>
    <w:rsid w:val="1E1FBA4B"/>
    <w:rsid w:val="1E20929F"/>
    <w:rsid w:val="1E2D94E3"/>
    <w:rsid w:val="1E6A91C8"/>
    <w:rsid w:val="1E7DCC7D"/>
    <w:rsid w:val="1E912DD3"/>
    <w:rsid w:val="1EA33C1B"/>
    <w:rsid w:val="1EB0862E"/>
    <w:rsid w:val="1EB7F3F5"/>
    <w:rsid w:val="1EBEFDD4"/>
    <w:rsid w:val="1EC8FD50"/>
    <w:rsid w:val="1ECAE6A1"/>
    <w:rsid w:val="1EDE6395"/>
    <w:rsid w:val="1EE83801"/>
    <w:rsid w:val="1EF971F5"/>
    <w:rsid w:val="1F147319"/>
    <w:rsid w:val="1F2928E9"/>
    <w:rsid w:val="1F34FA03"/>
    <w:rsid w:val="1F438185"/>
    <w:rsid w:val="1F4DEF7C"/>
    <w:rsid w:val="1F50DFCB"/>
    <w:rsid w:val="1F63A470"/>
    <w:rsid w:val="1F92A346"/>
    <w:rsid w:val="1F967966"/>
    <w:rsid w:val="1F9CA15E"/>
    <w:rsid w:val="1FA3E566"/>
    <w:rsid w:val="1FB45450"/>
    <w:rsid w:val="1FB5155A"/>
    <w:rsid w:val="1FB80E2B"/>
    <w:rsid w:val="1FD432D2"/>
    <w:rsid w:val="1FF964E0"/>
    <w:rsid w:val="2068D56F"/>
    <w:rsid w:val="206BEB7F"/>
    <w:rsid w:val="2079FF27"/>
    <w:rsid w:val="20857467"/>
    <w:rsid w:val="209F48B8"/>
    <w:rsid w:val="20A1221A"/>
    <w:rsid w:val="20A8D470"/>
    <w:rsid w:val="20AB7E47"/>
    <w:rsid w:val="20CD1B74"/>
    <w:rsid w:val="20F68C4E"/>
    <w:rsid w:val="211537AB"/>
    <w:rsid w:val="211BD3F4"/>
    <w:rsid w:val="2131A254"/>
    <w:rsid w:val="214AA8EA"/>
    <w:rsid w:val="21581AD9"/>
    <w:rsid w:val="2165CF6E"/>
    <w:rsid w:val="2173DC5E"/>
    <w:rsid w:val="219AE92B"/>
    <w:rsid w:val="21A7207A"/>
    <w:rsid w:val="21B2AA6F"/>
    <w:rsid w:val="21DB4363"/>
    <w:rsid w:val="21E21186"/>
    <w:rsid w:val="21FFFFC2"/>
    <w:rsid w:val="22011A5D"/>
    <w:rsid w:val="2202D03F"/>
    <w:rsid w:val="22100C84"/>
    <w:rsid w:val="221BEFFF"/>
    <w:rsid w:val="22334197"/>
    <w:rsid w:val="225A01DC"/>
    <w:rsid w:val="226FB75D"/>
    <w:rsid w:val="227D1C47"/>
    <w:rsid w:val="227DC87E"/>
    <w:rsid w:val="2289A87F"/>
    <w:rsid w:val="2294EB07"/>
    <w:rsid w:val="229DBB61"/>
    <w:rsid w:val="22EB4712"/>
    <w:rsid w:val="23037A44"/>
    <w:rsid w:val="23062A70"/>
    <w:rsid w:val="23125F6D"/>
    <w:rsid w:val="231DDB38"/>
    <w:rsid w:val="2346D2A7"/>
    <w:rsid w:val="23AF5157"/>
    <w:rsid w:val="23DFADCA"/>
    <w:rsid w:val="23E09B0A"/>
    <w:rsid w:val="240A0CAA"/>
    <w:rsid w:val="241531CB"/>
    <w:rsid w:val="242CB098"/>
    <w:rsid w:val="242FAB8E"/>
    <w:rsid w:val="2458DA5B"/>
    <w:rsid w:val="245D2F56"/>
    <w:rsid w:val="246A08CB"/>
    <w:rsid w:val="249A16C7"/>
    <w:rsid w:val="24BFA44D"/>
    <w:rsid w:val="24C090A8"/>
    <w:rsid w:val="2501A826"/>
    <w:rsid w:val="251FBB90"/>
    <w:rsid w:val="253B24C2"/>
    <w:rsid w:val="25539CDE"/>
    <w:rsid w:val="2556FD00"/>
    <w:rsid w:val="255B0F6F"/>
    <w:rsid w:val="2563E392"/>
    <w:rsid w:val="257381FC"/>
    <w:rsid w:val="2574CA3F"/>
    <w:rsid w:val="257CB650"/>
    <w:rsid w:val="257DCF30"/>
    <w:rsid w:val="25911B1F"/>
    <w:rsid w:val="2595BB8F"/>
    <w:rsid w:val="259AE810"/>
    <w:rsid w:val="259C4AD3"/>
    <w:rsid w:val="25BD86FD"/>
    <w:rsid w:val="25BF558D"/>
    <w:rsid w:val="25D4E5B3"/>
    <w:rsid w:val="25D524DE"/>
    <w:rsid w:val="25E36F02"/>
    <w:rsid w:val="25F34FD6"/>
    <w:rsid w:val="2620C967"/>
    <w:rsid w:val="2639B2AA"/>
    <w:rsid w:val="263F3355"/>
    <w:rsid w:val="26461318"/>
    <w:rsid w:val="264BF573"/>
    <w:rsid w:val="265CC4D8"/>
    <w:rsid w:val="266C1A5A"/>
    <w:rsid w:val="266F799C"/>
    <w:rsid w:val="267352FD"/>
    <w:rsid w:val="267B04B8"/>
    <w:rsid w:val="26ADE3D9"/>
    <w:rsid w:val="26C56CA0"/>
    <w:rsid w:val="26D4336D"/>
    <w:rsid w:val="26D66089"/>
    <w:rsid w:val="26D946C6"/>
    <w:rsid w:val="26EE67D0"/>
    <w:rsid w:val="26F7140B"/>
    <w:rsid w:val="2725BEFD"/>
    <w:rsid w:val="2739D7A7"/>
    <w:rsid w:val="275380B3"/>
    <w:rsid w:val="2797AB73"/>
    <w:rsid w:val="27A1DD51"/>
    <w:rsid w:val="27BD537A"/>
    <w:rsid w:val="27C0EA15"/>
    <w:rsid w:val="27D207E0"/>
    <w:rsid w:val="27E213EE"/>
    <w:rsid w:val="27F6D63F"/>
    <w:rsid w:val="281DA784"/>
    <w:rsid w:val="282C8CD0"/>
    <w:rsid w:val="2839E0F8"/>
    <w:rsid w:val="28436F66"/>
    <w:rsid w:val="2843A655"/>
    <w:rsid w:val="284493DF"/>
    <w:rsid w:val="285786CC"/>
    <w:rsid w:val="28B7C4DC"/>
    <w:rsid w:val="28D698A7"/>
    <w:rsid w:val="28E5BAAA"/>
    <w:rsid w:val="28EEAA42"/>
    <w:rsid w:val="28F4FBAD"/>
    <w:rsid w:val="291B18E0"/>
    <w:rsid w:val="291F3BE8"/>
    <w:rsid w:val="292608DF"/>
    <w:rsid w:val="292D4DE4"/>
    <w:rsid w:val="294E4FD4"/>
    <w:rsid w:val="294EAAAE"/>
    <w:rsid w:val="29832E18"/>
    <w:rsid w:val="2985F1C5"/>
    <w:rsid w:val="29A84EAC"/>
    <w:rsid w:val="29AC3632"/>
    <w:rsid w:val="29AC5616"/>
    <w:rsid w:val="2A0886CB"/>
    <w:rsid w:val="2A21666F"/>
    <w:rsid w:val="2A3636D5"/>
    <w:rsid w:val="2A4017AD"/>
    <w:rsid w:val="2A4B0015"/>
    <w:rsid w:val="2A5615CF"/>
    <w:rsid w:val="2A63BD6B"/>
    <w:rsid w:val="2A654F04"/>
    <w:rsid w:val="2A6FBD2B"/>
    <w:rsid w:val="2A763305"/>
    <w:rsid w:val="2A801F56"/>
    <w:rsid w:val="2A93271F"/>
    <w:rsid w:val="2A95E23F"/>
    <w:rsid w:val="2A99365E"/>
    <w:rsid w:val="2AA05098"/>
    <w:rsid w:val="2AA9E592"/>
    <w:rsid w:val="2AAB872F"/>
    <w:rsid w:val="2AC1E2E8"/>
    <w:rsid w:val="2AC54C94"/>
    <w:rsid w:val="2AC8B639"/>
    <w:rsid w:val="2ACDD172"/>
    <w:rsid w:val="2AD3FC73"/>
    <w:rsid w:val="2B3B6AF9"/>
    <w:rsid w:val="2B61A057"/>
    <w:rsid w:val="2B6A1FAA"/>
    <w:rsid w:val="2B6ACA86"/>
    <w:rsid w:val="2B744DB4"/>
    <w:rsid w:val="2B871901"/>
    <w:rsid w:val="2B8F53AB"/>
    <w:rsid w:val="2BA10B18"/>
    <w:rsid w:val="2BA361F4"/>
    <w:rsid w:val="2BAB3AE5"/>
    <w:rsid w:val="2BB56B83"/>
    <w:rsid w:val="2BD4EBE2"/>
    <w:rsid w:val="2BED7440"/>
    <w:rsid w:val="2C0FB107"/>
    <w:rsid w:val="2C19B3F4"/>
    <w:rsid w:val="2C258B34"/>
    <w:rsid w:val="2C2E1B25"/>
    <w:rsid w:val="2C4D0693"/>
    <w:rsid w:val="2C9FADB7"/>
    <w:rsid w:val="2CA142B4"/>
    <w:rsid w:val="2CB0C568"/>
    <w:rsid w:val="2CBBEC56"/>
    <w:rsid w:val="2CC94A95"/>
    <w:rsid w:val="2CCE8250"/>
    <w:rsid w:val="2CF4FE21"/>
    <w:rsid w:val="2D04399F"/>
    <w:rsid w:val="2D23BB52"/>
    <w:rsid w:val="2D37854A"/>
    <w:rsid w:val="2D7D132C"/>
    <w:rsid w:val="2D815E6B"/>
    <w:rsid w:val="2D89BFD4"/>
    <w:rsid w:val="2D8D4362"/>
    <w:rsid w:val="2D97CABA"/>
    <w:rsid w:val="2DB7434A"/>
    <w:rsid w:val="2DB9EF19"/>
    <w:rsid w:val="2DDBA917"/>
    <w:rsid w:val="2DE94C99"/>
    <w:rsid w:val="2E17B6F9"/>
    <w:rsid w:val="2E2C983E"/>
    <w:rsid w:val="2E59FE6B"/>
    <w:rsid w:val="2E60247C"/>
    <w:rsid w:val="2E668324"/>
    <w:rsid w:val="2E7A9D7E"/>
    <w:rsid w:val="2E929945"/>
    <w:rsid w:val="2EA06205"/>
    <w:rsid w:val="2EAF2B64"/>
    <w:rsid w:val="2EBFF8F8"/>
    <w:rsid w:val="2F075092"/>
    <w:rsid w:val="2F36C8E0"/>
    <w:rsid w:val="2F3EB52C"/>
    <w:rsid w:val="2F4934FB"/>
    <w:rsid w:val="2F53DD62"/>
    <w:rsid w:val="2F69186B"/>
    <w:rsid w:val="2F7F9D64"/>
    <w:rsid w:val="2F935AE8"/>
    <w:rsid w:val="2F9A264E"/>
    <w:rsid w:val="2FA0250F"/>
    <w:rsid w:val="2FC72274"/>
    <w:rsid w:val="2FC9148D"/>
    <w:rsid w:val="2FD5BDA2"/>
    <w:rsid w:val="2FDF2A7C"/>
    <w:rsid w:val="2FF1EBC6"/>
    <w:rsid w:val="300B34EB"/>
    <w:rsid w:val="304ADA9B"/>
    <w:rsid w:val="304BFFA2"/>
    <w:rsid w:val="3057E040"/>
    <w:rsid w:val="30619A1C"/>
    <w:rsid w:val="307BF284"/>
    <w:rsid w:val="309969AB"/>
    <w:rsid w:val="30A3F440"/>
    <w:rsid w:val="30B3B5F6"/>
    <w:rsid w:val="30C72028"/>
    <w:rsid w:val="30F22916"/>
    <w:rsid w:val="3114812B"/>
    <w:rsid w:val="31220A2C"/>
    <w:rsid w:val="3142BF00"/>
    <w:rsid w:val="31448671"/>
    <w:rsid w:val="3161CB32"/>
    <w:rsid w:val="3164ECC5"/>
    <w:rsid w:val="317432F3"/>
    <w:rsid w:val="3181D55A"/>
    <w:rsid w:val="31BBC89A"/>
    <w:rsid w:val="31BCED7C"/>
    <w:rsid w:val="31BDEAE7"/>
    <w:rsid w:val="31C546FB"/>
    <w:rsid w:val="31C54715"/>
    <w:rsid w:val="31DAF13D"/>
    <w:rsid w:val="31DEFB04"/>
    <w:rsid w:val="31F2D5E5"/>
    <w:rsid w:val="3230BC11"/>
    <w:rsid w:val="323332EE"/>
    <w:rsid w:val="32401561"/>
    <w:rsid w:val="32459307"/>
    <w:rsid w:val="32461AB8"/>
    <w:rsid w:val="325CCFC7"/>
    <w:rsid w:val="325EF0BA"/>
    <w:rsid w:val="3262D801"/>
    <w:rsid w:val="32758794"/>
    <w:rsid w:val="327793DA"/>
    <w:rsid w:val="328E0A11"/>
    <w:rsid w:val="32CD9979"/>
    <w:rsid w:val="32D8AF36"/>
    <w:rsid w:val="32E48A4C"/>
    <w:rsid w:val="3325C4BA"/>
    <w:rsid w:val="333B3C4D"/>
    <w:rsid w:val="334E0D87"/>
    <w:rsid w:val="335444DC"/>
    <w:rsid w:val="33557A8D"/>
    <w:rsid w:val="3358EEBD"/>
    <w:rsid w:val="337A5E27"/>
    <w:rsid w:val="339B8252"/>
    <w:rsid w:val="33A8D9DA"/>
    <w:rsid w:val="33B6D8DC"/>
    <w:rsid w:val="33BBC7D4"/>
    <w:rsid w:val="33E1CE1B"/>
    <w:rsid w:val="3421BD4E"/>
    <w:rsid w:val="3436A1DF"/>
    <w:rsid w:val="344222DF"/>
    <w:rsid w:val="3446572A"/>
    <w:rsid w:val="344F9D96"/>
    <w:rsid w:val="3457013F"/>
    <w:rsid w:val="3469234C"/>
    <w:rsid w:val="348908D5"/>
    <w:rsid w:val="3499312C"/>
    <w:rsid w:val="34ADC97B"/>
    <w:rsid w:val="34BAFF46"/>
    <w:rsid w:val="34DDA780"/>
    <w:rsid w:val="35184B09"/>
    <w:rsid w:val="351D15E1"/>
    <w:rsid w:val="3540D513"/>
    <w:rsid w:val="3555040F"/>
    <w:rsid w:val="3580BC77"/>
    <w:rsid w:val="35B8B55B"/>
    <w:rsid w:val="35C09914"/>
    <w:rsid w:val="35EA0B69"/>
    <w:rsid w:val="35EF94BE"/>
    <w:rsid w:val="3607572F"/>
    <w:rsid w:val="360983D3"/>
    <w:rsid w:val="360C8171"/>
    <w:rsid w:val="361A3A8C"/>
    <w:rsid w:val="36384B75"/>
    <w:rsid w:val="36513ABB"/>
    <w:rsid w:val="366D1D0D"/>
    <w:rsid w:val="36A064DC"/>
    <w:rsid w:val="36ACCC43"/>
    <w:rsid w:val="36C51346"/>
    <w:rsid w:val="36C808C2"/>
    <w:rsid w:val="36F058E7"/>
    <w:rsid w:val="36F762D9"/>
    <w:rsid w:val="36FBE91D"/>
    <w:rsid w:val="3701FC7F"/>
    <w:rsid w:val="371EEBFC"/>
    <w:rsid w:val="372D2A46"/>
    <w:rsid w:val="37423CA5"/>
    <w:rsid w:val="374FB179"/>
    <w:rsid w:val="375896D3"/>
    <w:rsid w:val="376B903F"/>
    <w:rsid w:val="376BFE4E"/>
    <w:rsid w:val="376CC497"/>
    <w:rsid w:val="3787EDA7"/>
    <w:rsid w:val="37C5D3B5"/>
    <w:rsid w:val="37E9657C"/>
    <w:rsid w:val="37F21E21"/>
    <w:rsid w:val="37FD8D43"/>
    <w:rsid w:val="382470F1"/>
    <w:rsid w:val="383EE887"/>
    <w:rsid w:val="38505CE7"/>
    <w:rsid w:val="386A53ED"/>
    <w:rsid w:val="388CAF6F"/>
    <w:rsid w:val="38AB4043"/>
    <w:rsid w:val="38B4328F"/>
    <w:rsid w:val="38BDF332"/>
    <w:rsid w:val="38E3E2F4"/>
    <w:rsid w:val="38F1AC54"/>
    <w:rsid w:val="38F8DA9D"/>
    <w:rsid w:val="392E5255"/>
    <w:rsid w:val="393B947D"/>
    <w:rsid w:val="393DA7C4"/>
    <w:rsid w:val="393E43A1"/>
    <w:rsid w:val="395468B0"/>
    <w:rsid w:val="3986DC2A"/>
    <w:rsid w:val="39A0512F"/>
    <w:rsid w:val="39A4E6BC"/>
    <w:rsid w:val="39A61848"/>
    <w:rsid w:val="39A8AB82"/>
    <w:rsid w:val="39ABC2BC"/>
    <w:rsid w:val="39C88E97"/>
    <w:rsid w:val="3A04BD86"/>
    <w:rsid w:val="3A1858E3"/>
    <w:rsid w:val="3A428671"/>
    <w:rsid w:val="3A4671FA"/>
    <w:rsid w:val="3A4968DE"/>
    <w:rsid w:val="3A566D6C"/>
    <w:rsid w:val="3A58396D"/>
    <w:rsid w:val="3A84EBA2"/>
    <w:rsid w:val="3A8A1FB4"/>
    <w:rsid w:val="3A97D688"/>
    <w:rsid w:val="3AB749BF"/>
    <w:rsid w:val="3AC1F111"/>
    <w:rsid w:val="3AE643D5"/>
    <w:rsid w:val="3AF81340"/>
    <w:rsid w:val="3AFDEA1E"/>
    <w:rsid w:val="3B0A7A3F"/>
    <w:rsid w:val="3B23B7ED"/>
    <w:rsid w:val="3B2F5F15"/>
    <w:rsid w:val="3B39EE46"/>
    <w:rsid w:val="3B3AF9E5"/>
    <w:rsid w:val="3B7397EC"/>
    <w:rsid w:val="3B8097DB"/>
    <w:rsid w:val="3B840C81"/>
    <w:rsid w:val="3BD02901"/>
    <w:rsid w:val="3BDDB525"/>
    <w:rsid w:val="3BFA9BE5"/>
    <w:rsid w:val="3C12EAF0"/>
    <w:rsid w:val="3C1DAF96"/>
    <w:rsid w:val="3C335B20"/>
    <w:rsid w:val="3C4FDFBF"/>
    <w:rsid w:val="3C77EA7B"/>
    <w:rsid w:val="3C82B040"/>
    <w:rsid w:val="3CC8AF63"/>
    <w:rsid w:val="3CDF3C7E"/>
    <w:rsid w:val="3CDF989B"/>
    <w:rsid w:val="3CE7F801"/>
    <w:rsid w:val="3D163155"/>
    <w:rsid w:val="3D17BF75"/>
    <w:rsid w:val="3D25A1FB"/>
    <w:rsid w:val="3D374076"/>
    <w:rsid w:val="3D4CA622"/>
    <w:rsid w:val="3D6E77E0"/>
    <w:rsid w:val="3D89B3AE"/>
    <w:rsid w:val="3D908E3D"/>
    <w:rsid w:val="3D9BE9E4"/>
    <w:rsid w:val="3DC4FCA8"/>
    <w:rsid w:val="3DCA250C"/>
    <w:rsid w:val="3DE4C7B2"/>
    <w:rsid w:val="3DEE28EC"/>
    <w:rsid w:val="3E2F761A"/>
    <w:rsid w:val="3E45D607"/>
    <w:rsid w:val="3E4DAFD6"/>
    <w:rsid w:val="3E666E7D"/>
    <w:rsid w:val="3E797C55"/>
    <w:rsid w:val="3E7AA8BC"/>
    <w:rsid w:val="3E8660A7"/>
    <w:rsid w:val="3EA1FED4"/>
    <w:rsid w:val="3EA27D34"/>
    <w:rsid w:val="3EC8D534"/>
    <w:rsid w:val="3ED36E5B"/>
    <w:rsid w:val="3EE7CD0C"/>
    <w:rsid w:val="3EEC2079"/>
    <w:rsid w:val="3EFC65BD"/>
    <w:rsid w:val="3F0E0DF0"/>
    <w:rsid w:val="3F2A4C65"/>
    <w:rsid w:val="3F317CCD"/>
    <w:rsid w:val="3F318AFE"/>
    <w:rsid w:val="3F521DDA"/>
    <w:rsid w:val="3F588D1A"/>
    <w:rsid w:val="3F5ECD52"/>
    <w:rsid w:val="3F67E568"/>
    <w:rsid w:val="3F74498B"/>
    <w:rsid w:val="3F928D94"/>
    <w:rsid w:val="3F94337B"/>
    <w:rsid w:val="3FAE13A5"/>
    <w:rsid w:val="3FB9DF3B"/>
    <w:rsid w:val="3FC51112"/>
    <w:rsid w:val="3FD55ABC"/>
    <w:rsid w:val="3FD71C18"/>
    <w:rsid w:val="3FDECEF0"/>
    <w:rsid w:val="3FDFDDDE"/>
    <w:rsid w:val="3FEC9C02"/>
    <w:rsid w:val="3FEF4E27"/>
    <w:rsid w:val="3FF24189"/>
    <w:rsid w:val="4022BE38"/>
    <w:rsid w:val="40277AF6"/>
    <w:rsid w:val="402DEA30"/>
    <w:rsid w:val="40350F24"/>
    <w:rsid w:val="403DB94F"/>
    <w:rsid w:val="404EBE7F"/>
    <w:rsid w:val="40775B92"/>
    <w:rsid w:val="40843346"/>
    <w:rsid w:val="408F8126"/>
    <w:rsid w:val="40A3A68B"/>
    <w:rsid w:val="40A7A3CD"/>
    <w:rsid w:val="40A91D01"/>
    <w:rsid w:val="40FC9014"/>
    <w:rsid w:val="4105CB0A"/>
    <w:rsid w:val="4116FE73"/>
    <w:rsid w:val="4117CC69"/>
    <w:rsid w:val="413E895B"/>
    <w:rsid w:val="413FCE8C"/>
    <w:rsid w:val="414D24E2"/>
    <w:rsid w:val="4165CA72"/>
    <w:rsid w:val="416D9659"/>
    <w:rsid w:val="417860D6"/>
    <w:rsid w:val="417BA448"/>
    <w:rsid w:val="4184DD85"/>
    <w:rsid w:val="41869DC6"/>
    <w:rsid w:val="4190A337"/>
    <w:rsid w:val="419730A1"/>
    <w:rsid w:val="41982AF8"/>
    <w:rsid w:val="41A0E483"/>
    <w:rsid w:val="41B25D6D"/>
    <w:rsid w:val="41B6D0F2"/>
    <w:rsid w:val="41BE79AD"/>
    <w:rsid w:val="41BF2789"/>
    <w:rsid w:val="4202E1A8"/>
    <w:rsid w:val="420353AE"/>
    <w:rsid w:val="42219EFA"/>
    <w:rsid w:val="423DDD05"/>
    <w:rsid w:val="42452CA9"/>
    <w:rsid w:val="4259DF1F"/>
    <w:rsid w:val="426D8ED4"/>
    <w:rsid w:val="426DEC2E"/>
    <w:rsid w:val="42845F21"/>
    <w:rsid w:val="42A07353"/>
    <w:rsid w:val="42AC4BF9"/>
    <w:rsid w:val="42B12C70"/>
    <w:rsid w:val="42BE1392"/>
    <w:rsid w:val="42D6FE66"/>
    <w:rsid w:val="42DDE2DD"/>
    <w:rsid w:val="431A2A4B"/>
    <w:rsid w:val="4321BCC1"/>
    <w:rsid w:val="434B2E7F"/>
    <w:rsid w:val="4355166D"/>
    <w:rsid w:val="435E4E72"/>
    <w:rsid w:val="436679DE"/>
    <w:rsid w:val="437024DE"/>
    <w:rsid w:val="4371C73A"/>
    <w:rsid w:val="43740AEB"/>
    <w:rsid w:val="43850939"/>
    <w:rsid w:val="43922284"/>
    <w:rsid w:val="43D4A38E"/>
    <w:rsid w:val="43D98EEB"/>
    <w:rsid w:val="43EBA058"/>
    <w:rsid w:val="43F73C6C"/>
    <w:rsid w:val="43FC99A6"/>
    <w:rsid w:val="4402386B"/>
    <w:rsid w:val="44055DBE"/>
    <w:rsid w:val="44147391"/>
    <w:rsid w:val="4427C50E"/>
    <w:rsid w:val="445EC187"/>
    <w:rsid w:val="4465F13A"/>
    <w:rsid w:val="4471E125"/>
    <w:rsid w:val="4477588D"/>
    <w:rsid w:val="449CFCC1"/>
    <w:rsid w:val="44A0E99E"/>
    <w:rsid w:val="44A377F9"/>
    <w:rsid w:val="44A61684"/>
    <w:rsid w:val="44B2E384"/>
    <w:rsid w:val="44C782AF"/>
    <w:rsid w:val="44CE7159"/>
    <w:rsid w:val="44D9FE46"/>
    <w:rsid w:val="4502520F"/>
    <w:rsid w:val="450E8D3F"/>
    <w:rsid w:val="452A5C03"/>
    <w:rsid w:val="453D0A02"/>
    <w:rsid w:val="45429A56"/>
    <w:rsid w:val="45620145"/>
    <w:rsid w:val="456D392B"/>
    <w:rsid w:val="45A015F0"/>
    <w:rsid w:val="45A811C7"/>
    <w:rsid w:val="45BB7265"/>
    <w:rsid w:val="45C326D1"/>
    <w:rsid w:val="45D5F3A7"/>
    <w:rsid w:val="45E9BF77"/>
    <w:rsid w:val="463E7732"/>
    <w:rsid w:val="464607F3"/>
    <w:rsid w:val="4650A98D"/>
    <w:rsid w:val="46668D15"/>
    <w:rsid w:val="466DFDC7"/>
    <w:rsid w:val="46745226"/>
    <w:rsid w:val="4675F409"/>
    <w:rsid w:val="467DC0E2"/>
    <w:rsid w:val="46890E04"/>
    <w:rsid w:val="469FEC99"/>
    <w:rsid w:val="46B8632B"/>
    <w:rsid w:val="46BEC1F0"/>
    <w:rsid w:val="46C069E9"/>
    <w:rsid w:val="46E0A596"/>
    <w:rsid w:val="46F6AA95"/>
    <w:rsid w:val="46FCE2EC"/>
    <w:rsid w:val="47189766"/>
    <w:rsid w:val="472F98FC"/>
    <w:rsid w:val="473B3F0A"/>
    <w:rsid w:val="4747A340"/>
    <w:rsid w:val="47525D19"/>
    <w:rsid w:val="475EE25E"/>
    <w:rsid w:val="477BCF34"/>
    <w:rsid w:val="4781E36C"/>
    <w:rsid w:val="479E2EE5"/>
    <w:rsid w:val="47DBF07F"/>
    <w:rsid w:val="47EC88F3"/>
    <w:rsid w:val="480DF3B0"/>
    <w:rsid w:val="48138D71"/>
    <w:rsid w:val="4834465B"/>
    <w:rsid w:val="4848C457"/>
    <w:rsid w:val="485F3C37"/>
    <w:rsid w:val="48787D36"/>
    <w:rsid w:val="48803BE6"/>
    <w:rsid w:val="48840244"/>
    <w:rsid w:val="488A0103"/>
    <w:rsid w:val="488DFEBF"/>
    <w:rsid w:val="48A10FE1"/>
    <w:rsid w:val="48C85A41"/>
    <w:rsid w:val="48D359F5"/>
    <w:rsid w:val="48E3974D"/>
    <w:rsid w:val="48E7FCC7"/>
    <w:rsid w:val="48EC172A"/>
    <w:rsid w:val="48F103BB"/>
    <w:rsid w:val="48FB0A4A"/>
    <w:rsid w:val="492093C7"/>
    <w:rsid w:val="492F45A8"/>
    <w:rsid w:val="4940C471"/>
    <w:rsid w:val="49585B4F"/>
    <w:rsid w:val="495B2227"/>
    <w:rsid w:val="496925CB"/>
    <w:rsid w:val="4991EF87"/>
    <w:rsid w:val="4998A886"/>
    <w:rsid w:val="49BB09F9"/>
    <w:rsid w:val="49E3CB0C"/>
    <w:rsid w:val="49EE399D"/>
    <w:rsid w:val="4A0D2444"/>
    <w:rsid w:val="4A275881"/>
    <w:rsid w:val="4A3E9B22"/>
    <w:rsid w:val="4A3EDF10"/>
    <w:rsid w:val="4A429450"/>
    <w:rsid w:val="4A4AE0D5"/>
    <w:rsid w:val="4A4BB75D"/>
    <w:rsid w:val="4A5A7FA0"/>
    <w:rsid w:val="4A63AE9B"/>
    <w:rsid w:val="4A6B41A2"/>
    <w:rsid w:val="4A6E24FA"/>
    <w:rsid w:val="4A8F9A75"/>
    <w:rsid w:val="4A910EAD"/>
    <w:rsid w:val="4A9A6D67"/>
    <w:rsid w:val="4AB4BCAD"/>
    <w:rsid w:val="4AB71F9D"/>
    <w:rsid w:val="4ACE93A9"/>
    <w:rsid w:val="4AD85878"/>
    <w:rsid w:val="4AE221B5"/>
    <w:rsid w:val="4B0E8584"/>
    <w:rsid w:val="4B0F22AF"/>
    <w:rsid w:val="4B2B4F65"/>
    <w:rsid w:val="4B52F655"/>
    <w:rsid w:val="4B6694B9"/>
    <w:rsid w:val="4B7411B2"/>
    <w:rsid w:val="4BB27582"/>
    <w:rsid w:val="4BB83880"/>
    <w:rsid w:val="4BD9264E"/>
    <w:rsid w:val="4BF9AE7C"/>
    <w:rsid w:val="4BFC1EF4"/>
    <w:rsid w:val="4BFD4D89"/>
    <w:rsid w:val="4C0BB8B8"/>
    <w:rsid w:val="4C1DBE35"/>
    <w:rsid w:val="4C210D93"/>
    <w:rsid w:val="4C260956"/>
    <w:rsid w:val="4C3BD365"/>
    <w:rsid w:val="4C411B74"/>
    <w:rsid w:val="4C45FD20"/>
    <w:rsid w:val="4C4931C1"/>
    <w:rsid w:val="4C59CC4F"/>
    <w:rsid w:val="4C5BEEB8"/>
    <w:rsid w:val="4C8CDCA6"/>
    <w:rsid w:val="4C919214"/>
    <w:rsid w:val="4C9FE701"/>
    <w:rsid w:val="4CA0C308"/>
    <w:rsid w:val="4CDCA3D1"/>
    <w:rsid w:val="4CDE9273"/>
    <w:rsid w:val="4CDFEB57"/>
    <w:rsid w:val="4CE13759"/>
    <w:rsid w:val="4D0B0E0C"/>
    <w:rsid w:val="4D0E9B03"/>
    <w:rsid w:val="4D194AFE"/>
    <w:rsid w:val="4D3DBDC6"/>
    <w:rsid w:val="4D59A733"/>
    <w:rsid w:val="4D701E2B"/>
    <w:rsid w:val="4D7D6CAF"/>
    <w:rsid w:val="4D8650CE"/>
    <w:rsid w:val="4D951649"/>
    <w:rsid w:val="4DB72892"/>
    <w:rsid w:val="4DC0B93C"/>
    <w:rsid w:val="4DCCD64B"/>
    <w:rsid w:val="4DD78766"/>
    <w:rsid w:val="4DE6A9EC"/>
    <w:rsid w:val="4DF130F7"/>
    <w:rsid w:val="4DFA2D4B"/>
    <w:rsid w:val="4E2C4C5F"/>
    <w:rsid w:val="4E4791C5"/>
    <w:rsid w:val="4E4CE09D"/>
    <w:rsid w:val="4E5A98E6"/>
    <w:rsid w:val="4E6E7B76"/>
    <w:rsid w:val="4E7F612B"/>
    <w:rsid w:val="4EA2640E"/>
    <w:rsid w:val="4EA3AE89"/>
    <w:rsid w:val="4EAF7809"/>
    <w:rsid w:val="4EAFB8B9"/>
    <w:rsid w:val="4ED2B76E"/>
    <w:rsid w:val="4F0179B9"/>
    <w:rsid w:val="4F03ED19"/>
    <w:rsid w:val="4F046221"/>
    <w:rsid w:val="4F0A8CB0"/>
    <w:rsid w:val="4F1F9E6B"/>
    <w:rsid w:val="4F2ABFEB"/>
    <w:rsid w:val="4F3C13EA"/>
    <w:rsid w:val="4F5EDBA0"/>
    <w:rsid w:val="4F6CD0B7"/>
    <w:rsid w:val="4F983333"/>
    <w:rsid w:val="4F9E505C"/>
    <w:rsid w:val="4FA4C3C7"/>
    <w:rsid w:val="4FBC9F07"/>
    <w:rsid w:val="4FCAB561"/>
    <w:rsid w:val="4FCC232D"/>
    <w:rsid w:val="4FCC8F33"/>
    <w:rsid w:val="4FE2E134"/>
    <w:rsid w:val="4FE51E77"/>
    <w:rsid w:val="4FF6947E"/>
    <w:rsid w:val="500099CF"/>
    <w:rsid w:val="50096083"/>
    <w:rsid w:val="5029409D"/>
    <w:rsid w:val="502C4046"/>
    <w:rsid w:val="502ECA65"/>
    <w:rsid w:val="5034B9A7"/>
    <w:rsid w:val="50456BA2"/>
    <w:rsid w:val="505D7AA3"/>
    <w:rsid w:val="5062EB89"/>
    <w:rsid w:val="507D6C0A"/>
    <w:rsid w:val="507E6434"/>
    <w:rsid w:val="50C25A72"/>
    <w:rsid w:val="50CB35DA"/>
    <w:rsid w:val="50D598E4"/>
    <w:rsid w:val="50ED030D"/>
    <w:rsid w:val="50EDCDA6"/>
    <w:rsid w:val="512A7C63"/>
    <w:rsid w:val="5133FD2A"/>
    <w:rsid w:val="51373D75"/>
    <w:rsid w:val="517496DA"/>
    <w:rsid w:val="5192777A"/>
    <w:rsid w:val="51A44CF8"/>
    <w:rsid w:val="51B00877"/>
    <w:rsid w:val="51C4CF35"/>
    <w:rsid w:val="51C6BB64"/>
    <w:rsid w:val="51C76F0F"/>
    <w:rsid w:val="51E49F73"/>
    <w:rsid w:val="52005DCA"/>
    <w:rsid w:val="5204D1E1"/>
    <w:rsid w:val="5206E9D7"/>
    <w:rsid w:val="52290B2C"/>
    <w:rsid w:val="52314B78"/>
    <w:rsid w:val="523FE289"/>
    <w:rsid w:val="524C509F"/>
    <w:rsid w:val="527EC56C"/>
    <w:rsid w:val="5285EF48"/>
    <w:rsid w:val="528EDBCF"/>
    <w:rsid w:val="529B2084"/>
    <w:rsid w:val="52BF0A1B"/>
    <w:rsid w:val="52D94D7A"/>
    <w:rsid w:val="52F204D8"/>
    <w:rsid w:val="52F5242B"/>
    <w:rsid w:val="530CB1A1"/>
    <w:rsid w:val="532182CC"/>
    <w:rsid w:val="5331599F"/>
    <w:rsid w:val="5335811E"/>
    <w:rsid w:val="533E827B"/>
    <w:rsid w:val="53409E4D"/>
    <w:rsid w:val="5373D6D1"/>
    <w:rsid w:val="5389EDEF"/>
    <w:rsid w:val="5396BF0A"/>
    <w:rsid w:val="53B31B74"/>
    <w:rsid w:val="53BD1F41"/>
    <w:rsid w:val="53BE7DE5"/>
    <w:rsid w:val="53D29776"/>
    <w:rsid w:val="53DC2B2D"/>
    <w:rsid w:val="53DF7D8E"/>
    <w:rsid w:val="53E0C360"/>
    <w:rsid w:val="53E9D474"/>
    <w:rsid w:val="53F625DB"/>
    <w:rsid w:val="53F7C4CF"/>
    <w:rsid w:val="54108BE7"/>
    <w:rsid w:val="5414A781"/>
    <w:rsid w:val="54437B45"/>
    <w:rsid w:val="5448B25C"/>
    <w:rsid w:val="545A3917"/>
    <w:rsid w:val="54996A26"/>
    <w:rsid w:val="54AB75E9"/>
    <w:rsid w:val="54C0CB41"/>
    <w:rsid w:val="54D7EB15"/>
    <w:rsid w:val="54D7FDAF"/>
    <w:rsid w:val="54DB3A96"/>
    <w:rsid w:val="54DF377F"/>
    <w:rsid w:val="54FB51ED"/>
    <w:rsid w:val="54FCB884"/>
    <w:rsid w:val="55016EC7"/>
    <w:rsid w:val="550803FF"/>
    <w:rsid w:val="5509E418"/>
    <w:rsid w:val="553C4F13"/>
    <w:rsid w:val="55661BBD"/>
    <w:rsid w:val="55693CB3"/>
    <w:rsid w:val="556EBDE1"/>
    <w:rsid w:val="557619A4"/>
    <w:rsid w:val="55809798"/>
    <w:rsid w:val="558BB011"/>
    <w:rsid w:val="5595CF9C"/>
    <w:rsid w:val="559B08C4"/>
    <w:rsid w:val="55A645FC"/>
    <w:rsid w:val="55B22553"/>
    <w:rsid w:val="55BF83EA"/>
    <w:rsid w:val="55D6F6D0"/>
    <w:rsid w:val="55E1702A"/>
    <w:rsid w:val="55E4C0E9"/>
    <w:rsid w:val="560297C2"/>
    <w:rsid w:val="562FB7FC"/>
    <w:rsid w:val="5653E613"/>
    <w:rsid w:val="56573E22"/>
    <w:rsid w:val="56582A4B"/>
    <w:rsid w:val="5687C392"/>
    <w:rsid w:val="56BD762E"/>
    <w:rsid w:val="56C1243A"/>
    <w:rsid w:val="56C734F3"/>
    <w:rsid w:val="56D9FD04"/>
    <w:rsid w:val="56E36181"/>
    <w:rsid w:val="56F07706"/>
    <w:rsid w:val="56F1095D"/>
    <w:rsid w:val="56FBF2EF"/>
    <w:rsid w:val="570D42D9"/>
    <w:rsid w:val="572BE5FF"/>
    <w:rsid w:val="5739539C"/>
    <w:rsid w:val="573BE500"/>
    <w:rsid w:val="574331F2"/>
    <w:rsid w:val="57441A5C"/>
    <w:rsid w:val="5745EC34"/>
    <w:rsid w:val="575C278E"/>
    <w:rsid w:val="576CCE30"/>
    <w:rsid w:val="578971BF"/>
    <w:rsid w:val="578AD1E9"/>
    <w:rsid w:val="578B96E8"/>
    <w:rsid w:val="57A4C9BC"/>
    <w:rsid w:val="57AAF44F"/>
    <w:rsid w:val="57C5347B"/>
    <w:rsid w:val="57CB320E"/>
    <w:rsid w:val="57D7A198"/>
    <w:rsid w:val="57DB241E"/>
    <w:rsid w:val="57F127A5"/>
    <w:rsid w:val="57F92EFB"/>
    <w:rsid w:val="5811C4FC"/>
    <w:rsid w:val="5821A58E"/>
    <w:rsid w:val="58293ED5"/>
    <w:rsid w:val="584C1D7F"/>
    <w:rsid w:val="585AA381"/>
    <w:rsid w:val="58620D75"/>
    <w:rsid w:val="588247E0"/>
    <w:rsid w:val="5885C0B7"/>
    <w:rsid w:val="58A6B1FE"/>
    <w:rsid w:val="58ADEF1E"/>
    <w:rsid w:val="58B9EEC2"/>
    <w:rsid w:val="58CD1BCC"/>
    <w:rsid w:val="58DFBD8D"/>
    <w:rsid w:val="58E2CCF2"/>
    <w:rsid w:val="58E68BA4"/>
    <w:rsid w:val="58EE7965"/>
    <w:rsid w:val="58F9D65E"/>
    <w:rsid w:val="59176260"/>
    <w:rsid w:val="591C6E6E"/>
    <w:rsid w:val="593ED717"/>
    <w:rsid w:val="59479066"/>
    <w:rsid w:val="594B7E66"/>
    <w:rsid w:val="595215E1"/>
    <w:rsid w:val="596BDFB0"/>
    <w:rsid w:val="5983B077"/>
    <w:rsid w:val="5986C2C2"/>
    <w:rsid w:val="59A8FCA5"/>
    <w:rsid w:val="59B602CB"/>
    <w:rsid w:val="59B6DEFF"/>
    <w:rsid w:val="59E7F0BD"/>
    <w:rsid w:val="5A018BE8"/>
    <w:rsid w:val="5A019641"/>
    <w:rsid w:val="5A2AA6D8"/>
    <w:rsid w:val="5A30E913"/>
    <w:rsid w:val="5A35422B"/>
    <w:rsid w:val="5A36206B"/>
    <w:rsid w:val="5A3C9FFE"/>
    <w:rsid w:val="5A4C69D3"/>
    <w:rsid w:val="5A7B1505"/>
    <w:rsid w:val="5A887D66"/>
    <w:rsid w:val="5A899DBD"/>
    <w:rsid w:val="5A971584"/>
    <w:rsid w:val="5AA7A646"/>
    <w:rsid w:val="5AC90C80"/>
    <w:rsid w:val="5ACDA7A8"/>
    <w:rsid w:val="5AD1B0E9"/>
    <w:rsid w:val="5ADD7BD5"/>
    <w:rsid w:val="5AE9713E"/>
    <w:rsid w:val="5AFE239B"/>
    <w:rsid w:val="5B15C7C8"/>
    <w:rsid w:val="5B20B83A"/>
    <w:rsid w:val="5B24D3E0"/>
    <w:rsid w:val="5B260F83"/>
    <w:rsid w:val="5B28621D"/>
    <w:rsid w:val="5B31BCF8"/>
    <w:rsid w:val="5B47754D"/>
    <w:rsid w:val="5B5AA9F8"/>
    <w:rsid w:val="5B603D5F"/>
    <w:rsid w:val="5B73CDA7"/>
    <w:rsid w:val="5B966D88"/>
    <w:rsid w:val="5BA20C95"/>
    <w:rsid w:val="5BC112B0"/>
    <w:rsid w:val="5BE0253D"/>
    <w:rsid w:val="5C117E7A"/>
    <w:rsid w:val="5C15CC08"/>
    <w:rsid w:val="5C16292A"/>
    <w:rsid w:val="5C180A0C"/>
    <w:rsid w:val="5C3264D8"/>
    <w:rsid w:val="5C3807E1"/>
    <w:rsid w:val="5C3DE1B5"/>
    <w:rsid w:val="5C55E9F4"/>
    <w:rsid w:val="5C6DBC9C"/>
    <w:rsid w:val="5C7C02DE"/>
    <w:rsid w:val="5C8AAAE9"/>
    <w:rsid w:val="5C8B8949"/>
    <w:rsid w:val="5CB04FD5"/>
    <w:rsid w:val="5CB0A920"/>
    <w:rsid w:val="5CB1C3BD"/>
    <w:rsid w:val="5CC04D68"/>
    <w:rsid w:val="5CC54455"/>
    <w:rsid w:val="5CDE1025"/>
    <w:rsid w:val="5CEDDDA8"/>
    <w:rsid w:val="5CF440AB"/>
    <w:rsid w:val="5CFA5658"/>
    <w:rsid w:val="5D0B31BD"/>
    <w:rsid w:val="5D171CC2"/>
    <w:rsid w:val="5D1748CD"/>
    <w:rsid w:val="5D33B7F1"/>
    <w:rsid w:val="5D491F28"/>
    <w:rsid w:val="5D536297"/>
    <w:rsid w:val="5D5BB5D7"/>
    <w:rsid w:val="5D621C49"/>
    <w:rsid w:val="5D663437"/>
    <w:rsid w:val="5D858CF8"/>
    <w:rsid w:val="5D9C2A30"/>
    <w:rsid w:val="5DA8BD20"/>
    <w:rsid w:val="5DA9E680"/>
    <w:rsid w:val="5DC97DD8"/>
    <w:rsid w:val="5DD53C65"/>
    <w:rsid w:val="5DDB36BB"/>
    <w:rsid w:val="5DE6951B"/>
    <w:rsid w:val="5DE800F7"/>
    <w:rsid w:val="5DED12FE"/>
    <w:rsid w:val="5E0AE636"/>
    <w:rsid w:val="5E1BBD5C"/>
    <w:rsid w:val="5E3D9329"/>
    <w:rsid w:val="5E5C3AEA"/>
    <w:rsid w:val="5E6E2B50"/>
    <w:rsid w:val="5E7207C0"/>
    <w:rsid w:val="5E727C3F"/>
    <w:rsid w:val="5E79BCE2"/>
    <w:rsid w:val="5E7E253C"/>
    <w:rsid w:val="5E83550D"/>
    <w:rsid w:val="5E83900C"/>
    <w:rsid w:val="5E87F72F"/>
    <w:rsid w:val="5E9A754A"/>
    <w:rsid w:val="5EB2339A"/>
    <w:rsid w:val="5EB8A5DA"/>
    <w:rsid w:val="5EED10B2"/>
    <w:rsid w:val="5EFFDD9F"/>
    <w:rsid w:val="5F12F323"/>
    <w:rsid w:val="5F234D24"/>
    <w:rsid w:val="5F71E6FF"/>
    <w:rsid w:val="5F843C47"/>
    <w:rsid w:val="5F96015B"/>
    <w:rsid w:val="5FA065CF"/>
    <w:rsid w:val="5FB0AC9F"/>
    <w:rsid w:val="5FC101FD"/>
    <w:rsid w:val="5FD327D4"/>
    <w:rsid w:val="5FDB8F12"/>
    <w:rsid w:val="5FE003A6"/>
    <w:rsid w:val="600E0E3B"/>
    <w:rsid w:val="6014DC20"/>
    <w:rsid w:val="603C1549"/>
    <w:rsid w:val="6051A7AF"/>
    <w:rsid w:val="60830800"/>
    <w:rsid w:val="609A5EAA"/>
    <w:rsid w:val="60B3A0F6"/>
    <w:rsid w:val="60D12D88"/>
    <w:rsid w:val="60D3A1E5"/>
    <w:rsid w:val="60D4CF9A"/>
    <w:rsid w:val="60DBB34C"/>
    <w:rsid w:val="60F334D4"/>
    <w:rsid w:val="6106F684"/>
    <w:rsid w:val="610851C1"/>
    <w:rsid w:val="6137F748"/>
    <w:rsid w:val="614E2F5A"/>
    <w:rsid w:val="61506BA6"/>
    <w:rsid w:val="6152EC29"/>
    <w:rsid w:val="61707D88"/>
    <w:rsid w:val="6173C6B6"/>
    <w:rsid w:val="61929C88"/>
    <w:rsid w:val="619DA7AB"/>
    <w:rsid w:val="61B0ED93"/>
    <w:rsid w:val="6200D2EC"/>
    <w:rsid w:val="620BF371"/>
    <w:rsid w:val="620D7BA8"/>
    <w:rsid w:val="621FE0D6"/>
    <w:rsid w:val="62368EB8"/>
    <w:rsid w:val="624D3ED5"/>
    <w:rsid w:val="625434A9"/>
    <w:rsid w:val="625A4282"/>
    <w:rsid w:val="626A3784"/>
    <w:rsid w:val="626E95BF"/>
    <w:rsid w:val="6278ABF5"/>
    <w:rsid w:val="6281F4C2"/>
    <w:rsid w:val="62879E9A"/>
    <w:rsid w:val="628DBE14"/>
    <w:rsid w:val="62927B40"/>
    <w:rsid w:val="62A423A3"/>
    <w:rsid w:val="6327BBC8"/>
    <w:rsid w:val="6330AAF5"/>
    <w:rsid w:val="63369CD7"/>
    <w:rsid w:val="633DADC1"/>
    <w:rsid w:val="6358EF84"/>
    <w:rsid w:val="63638D9F"/>
    <w:rsid w:val="637EE846"/>
    <w:rsid w:val="63860CA6"/>
    <w:rsid w:val="63866179"/>
    <w:rsid w:val="639BD08D"/>
    <w:rsid w:val="63A45A88"/>
    <w:rsid w:val="63B2F5C6"/>
    <w:rsid w:val="63BAEA78"/>
    <w:rsid w:val="63BF40B5"/>
    <w:rsid w:val="63C35601"/>
    <w:rsid w:val="63D5F395"/>
    <w:rsid w:val="63D6EC30"/>
    <w:rsid w:val="63E785FB"/>
    <w:rsid w:val="63FDCB87"/>
    <w:rsid w:val="63FF0E4F"/>
    <w:rsid w:val="6403D83F"/>
    <w:rsid w:val="640D46D3"/>
    <w:rsid w:val="6418A44B"/>
    <w:rsid w:val="64419737"/>
    <w:rsid w:val="644711DA"/>
    <w:rsid w:val="6468D59C"/>
    <w:rsid w:val="646C4BF2"/>
    <w:rsid w:val="64744138"/>
    <w:rsid w:val="6476845C"/>
    <w:rsid w:val="647E3BF1"/>
    <w:rsid w:val="64A00FAC"/>
    <w:rsid w:val="64BC5DEF"/>
    <w:rsid w:val="64D0A4F8"/>
    <w:rsid w:val="64DBDD88"/>
    <w:rsid w:val="64F059EE"/>
    <w:rsid w:val="64F800E3"/>
    <w:rsid w:val="6525F7D1"/>
    <w:rsid w:val="653B83C8"/>
    <w:rsid w:val="65626027"/>
    <w:rsid w:val="658E81AC"/>
    <w:rsid w:val="65A9C995"/>
    <w:rsid w:val="65E8BAA3"/>
    <w:rsid w:val="6634ACBD"/>
    <w:rsid w:val="663BA3CB"/>
    <w:rsid w:val="665E555D"/>
    <w:rsid w:val="666A4CDF"/>
    <w:rsid w:val="667306F8"/>
    <w:rsid w:val="667D7AC9"/>
    <w:rsid w:val="668EBA7C"/>
    <w:rsid w:val="669C925B"/>
    <w:rsid w:val="669D0756"/>
    <w:rsid w:val="66AC89D9"/>
    <w:rsid w:val="66CD0540"/>
    <w:rsid w:val="66F7DAEF"/>
    <w:rsid w:val="66FA738E"/>
    <w:rsid w:val="67028A0D"/>
    <w:rsid w:val="674E487F"/>
    <w:rsid w:val="67614C9C"/>
    <w:rsid w:val="676A47F2"/>
    <w:rsid w:val="67A43E06"/>
    <w:rsid w:val="67BE7151"/>
    <w:rsid w:val="67C4C21B"/>
    <w:rsid w:val="67C991F6"/>
    <w:rsid w:val="680736B7"/>
    <w:rsid w:val="6811F6FA"/>
    <w:rsid w:val="6858381F"/>
    <w:rsid w:val="685E9AE5"/>
    <w:rsid w:val="68674CD6"/>
    <w:rsid w:val="6869409F"/>
    <w:rsid w:val="6871CACA"/>
    <w:rsid w:val="6871E650"/>
    <w:rsid w:val="689ADA1D"/>
    <w:rsid w:val="68BC1967"/>
    <w:rsid w:val="68BC3F0E"/>
    <w:rsid w:val="68C8733C"/>
    <w:rsid w:val="68F026C9"/>
    <w:rsid w:val="68F5A682"/>
    <w:rsid w:val="68F7D114"/>
    <w:rsid w:val="68FADEB0"/>
    <w:rsid w:val="690E583B"/>
    <w:rsid w:val="691676E2"/>
    <w:rsid w:val="691E6B1C"/>
    <w:rsid w:val="692B859C"/>
    <w:rsid w:val="697F2A5C"/>
    <w:rsid w:val="6A0061BE"/>
    <w:rsid w:val="6A01576D"/>
    <w:rsid w:val="6A0769C2"/>
    <w:rsid w:val="6A48EE6B"/>
    <w:rsid w:val="6A4ABF6D"/>
    <w:rsid w:val="6A4FCE9B"/>
    <w:rsid w:val="6A8AC6F9"/>
    <w:rsid w:val="6A9C436B"/>
    <w:rsid w:val="6AA3262F"/>
    <w:rsid w:val="6ACAEE23"/>
    <w:rsid w:val="6ACB6F0C"/>
    <w:rsid w:val="6ADB8069"/>
    <w:rsid w:val="6ADFF236"/>
    <w:rsid w:val="6AF2EC62"/>
    <w:rsid w:val="6AFB2795"/>
    <w:rsid w:val="6B108673"/>
    <w:rsid w:val="6B1716CE"/>
    <w:rsid w:val="6B2E5383"/>
    <w:rsid w:val="6B36C86F"/>
    <w:rsid w:val="6B3A2D99"/>
    <w:rsid w:val="6B49CC82"/>
    <w:rsid w:val="6B4B8891"/>
    <w:rsid w:val="6B5BA820"/>
    <w:rsid w:val="6B667525"/>
    <w:rsid w:val="6B852B59"/>
    <w:rsid w:val="6B90018B"/>
    <w:rsid w:val="6B99734B"/>
    <w:rsid w:val="6BCA9085"/>
    <w:rsid w:val="6BCE3523"/>
    <w:rsid w:val="6BFA57DC"/>
    <w:rsid w:val="6C18F566"/>
    <w:rsid w:val="6C297537"/>
    <w:rsid w:val="6C3F9114"/>
    <w:rsid w:val="6C4D7C7E"/>
    <w:rsid w:val="6C600EE1"/>
    <w:rsid w:val="6C800ECB"/>
    <w:rsid w:val="6C919175"/>
    <w:rsid w:val="6C941409"/>
    <w:rsid w:val="6C9A8DDB"/>
    <w:rsid w:val="6CA1D1B0"/>
    <w:rsid w:val="6CE40B90"/>
    <w:rsid w:val="6CF6AFF0"/>
    <w:rsid w:val="6D1A0D5D"/>
    <w:rsid w:val="6D52600F"/>
    <w:rsid w:val="6D5E6309"/>
    <w:rsid w:val="6D6F7B91"/>
    <w:rsid w:val="6D71B9D1"/>
    <w:rsid w:val="6D71C015"/>
    <w:rsid w:val="6D887CDF"/>
    <w:rsid w:val="6D90D8E7"/>
    <w:rsid w:val="6D9C2BDE"/>
    <w:rsid w:val="6D9E1A1A"/>
    <w:rsid w:val="6DA26390"/>
    <w:rsid w:val="6DB07B5D"/>
    <w:rsid w:val="6DB08A5A"/>
    <w:rsid w:val="6DC7638E"/>
    <w:rsid w:val="6DCE9B2B"/>
    <w:rsid w:val="6DD9D7E0"/>
    <w:rsid w:val="6DDE22E7"/>
    <w:rsid w:val="6DFDEFE1"/>
    <w:rsid w:val="6E1E3A00"/>
    <w:rsid w:val="6E435354"/>
    <w:rsid w:val="6E4AB970"/>
    <w:rsid w:val="6E517F0C"/>
    <w:rsid w:val="6E761D20"/>
    <w:rsid w:val="6E7C40C1"/>
    <w:rsid w:val="6E7FE725"/>
    <w:rsid w:val="6E9343B2"/>
    <w:rsid w:val="6E9D5EB4"/>
    <w:rsid w:val="6EBC1683"/>
    <w:rsid w:val="6EFBB4E1"/>
    <w:rsid w:val="6F498844"/>
    <w:rsid w:val="6F629236"/>
    <w:rsid w:val="6F77D99E"/>
    <w:rsid w:val="6F8094F9"/>
    <w:rsid w:val="6FA9049E"/>
    <w:rsid w:val="6FC840F1"/>
    <w:rsid w:val="6FD8F471"/>
    <w:rsid w:val="701C0E0C"/>
    <w:rsid w:val="7024FF60"/>
    <w:rsid w:val="70439A31"/>
    <w:rsid w:val="70444826"/>
    <w:rsid w:val="70448883"/>
    <w:rsid w:val="705800D4"/>
    <w:rsid w:val="705B51FB"/>
    <w:rsid w:val="705B5FDF"/>
    <w:rsid w:val="707AD53F"/>
    <w:rsid w:val="707B48A5"/>
    <w:rsid w:val="708F3E29"/>
    <w:rsid w:val="70B44A2E"/>
    <w:rsid w:val="70C9A279"/>
    <w:rsid w:val="70DB2CEA"/>
    <w:rsid w:val="70F368BD"/>
    <w:rsid w:val="70F9FD2F"/>
    <w:rsid w:val="7100A405"/>
    <w:rsid w:val="7105F059"/>
    <w:rsid w:val="7108D436"/>
    <w:rsid w:val="7115F864"/>
    <w:rsid w:val="71244E41"/>
    <w:rsid w:val="712747E2"/>
    <w:rsid w:val="713641B7"/>
    <w:rsid w:val="7145E9D2"/>
    <w:rsid w:val="7152D1A0"/>
    <w:rsid w:val="716C98CF"/>
    <w:rsid w:val="716CD6BD"/>
    <w:rsid w:val="717F1A4D"/>
    <w:rsid w:val="718B3A31"/>
    <w:rsid w:val="7194FD71"/>
    <w:rsid w:val="71AD508E"/>
    <w:rsid w:val="71B197DF"/>
    <w:rsid w:val="71D4E09A"/>
    <w:rsid w:val="71E3DFC1"/>
    <w:rsid w:val="71F69B9A"/>
    <w:rsid w:val="7221FB09"/>
    <w:rsid w:val="723CA4E1"/>
    <w:rsid w:val="723DB891"/>
    <w:rsid w:val="723F1BB9"/>
    <w:rsid w:val="72410617"/>
    <w:rsid w:val="72816E4B"/>
    <w:rsid w:val="72AB110A"/>
    <w:rsid w:val="72B89E22"/>
    <w:rsid w:val="72CFF3BB"/>
    <w:rsid w:val="72DDFF87"/>
    <w:rsid w:val="7302E87C"/>
    <w:rsid w:val="7302E9AE"/>
    <w:rsid w:val="7326A161"/>
    <w:rsid w:val="732FAD75"/>
    <w:rsid w:val="7349D423"/>
    <w:rsid w:val="73581F90"/>
    <w:rsid w:val="736A99D6"/>
    <w:rsid w:val="736BAE24"/>
    <w:rsid w:val="736CED97"/>
    <w:rsid w:val="736DB2DB"/>
    <w:rsid w:val="73748EA8"/>
    <w:rsid w:val="7375EFAF"/>
    <w:rsid w:val="739D605A"/>
    <w:rsid w:val="73BB4321"/>
    <w:rsid w:val="73CEFDA7"/>
    <w:rsid w:val="740C527D"/>
    <w:rsid w:val="74227F3D"/>
    <w:rsid w:val="7423EF50"/>
    <w:rsid w:val="74487A7A"/>
    <w:rsid w:val="744AC41B"/>
    <w:rsid w:val="744D9B07"/>
    <w:rsid w:val="74576E1F"/>
    <w:rsid w:val="74AE1222"/>
    <w:rsid w:val="74B3E515"/>
    <w:rsid w:val="74C4AE9B"/>
    <w:rsid w:val="74C8E182"/>
    <w:rsid w:val="74D343B1"/>
    <w:rsid w:val="74D99DE3"/>
    <w:rsid w:val="74EB777D"/>
    <w:rsid w:val="74F1E87E"/>
    <w:rsid w:val="74F36A24"/>
    <w:rsid w:val="750106A6"/>
    <w:rsid w:val="7516D521"/>
    <w:rsid w:val="752231F0"/>
    <w:rsid w:val="752C928C"/>
    <w:rsid w:val="753B0056"/>
    <w:rsid w:val="7542C0AE"/>
    <w:rsid w:val="7554DDA0"/>
    <w:rsid w:val="755A1C3A"/>
    <w:rsid w:val="755E4E0A"/>
    <w:rsid w:val="756D4670"/>
    <w:rsid w:val="757982F0"/>
    <w:rsid w:val="7579ECD9"/>
    <w:rsid w:val="757E59CE"/>
    <w:rsid w:val="758084AF"/>
    <w:rsid w:val="758D92F0"/>
    <w:rsid w:val="75A4A7C1"/>
    <w:rsid w:val="75ABC62C"/>
    <w:rsid w:val="75AC7A13"/>
    <w:rsid w:val="75B5F43C"/>
    <w:rsid w:val="75BCDC04"/>
    <w:rsid w:val="75D242EB"/>
    <w:rsid w:val="75E0EE8B"/>
    <w:rsid w:val="75E1D3DA"/>
    <w:rsid w:val="75F27A1C"/>
    <w:rsid w:val="760589BA"/>
    <w:rsid w:val="76167B5F"/>
    <w:rsid w:val="761C53B4"/>
    <w:rsid w:val="7627644C"/>
    <w:rsid w:val="7644934E"/>
    <w:rsid w:val="76687289"/>
    <w:rsid w:val="7679DA93"/>
    <w:rsid w:val="76A20612"/>
    <w:rsid w:val="76A857AB"/>
    <w:rsid w:val="76AD7C7A"/>
    <w:rsid w:val="76AE4048"/>
    <w:rsid w:val="76B29ABC"/>
    <w:rsid w:val="76B8E2EC"/>
    <w:rsid w:val="76E68EFB"/>
    <w:rsid w:val="76EB448D"/>
    <w:rsid w:val="76F62394"/>
    <w:rsid w:val="770A2E0E"/>
    <w:rsid w:val="77199A04"/>
    <w:rsid w:val="772BA2D0"/>
    <w:rsid w:val="772D2B06"/>
    <w:rsid w:val="7737C9D7"/>
    <w:rsid w:val="7738C4AB"/>
    <w:rsid w:val="7748EF83"/>
    <w:rsid w:val="774EBB2B"/>
    <w:rsid w:val="775268BA"/>
    <w:rsid w:val="7760A613"/>
    <w:rsid w:val="7771FA29"/>
    <w:rsid w:val="77959F8C"/>
    <w:rsid w:val="77B0A4C7"/>
    <w:rsid w:val="77C18BCE"/>
    <w:rsid w:val="77D6B875"/>
    <w:rsid w:val="7819FA6A"/>
    <w:rsid w:val="781C9492"/>
    <w:rsid w:val="78222463"/>
    <w:rsid w:val="7833ABF8"/>
    <w:rsid w:val="784B3BFC"/>
    <w:rsid w:val="7857BF95"/>
    <w:rsid w:val="787856E3"/>
    <w:rsid w:val="78927F7D"/>
    <w:rsid w:val="7899387B"/>
    <w:rsid w:val="78AD3BBD"/>
    <w:rsid w:val="78B823DD"/>
    <w:rsid w:val="78C789FB"/>
    <w:rsid w:val="78E9A857"/>
    <w:rsid w:val="78E9C335"/>
    <w:rsid w:val="790231EA"/>
    <w:rsid w:val="791273A5"/>
    <w:rsid w:val="791877CA"/>
    <w:rsid w:val="791B9CAB"/>
    <w:rsid w:val="791C6363"/>
    <w:rsid w:val="791E47B6"/>
    <w:rsid w:val="79206B71"/>
    <w:rsid w:val="792EACBE"/>
    <w:rsid w:val="793B9B32"/>
    <w:rsid w:val="79441476"/>
    <w:rsid w:val="796D5CB8"/>
    <w:rsid w:val="796FA1F0"/>
    <w:rsid w:val="79718C5D"/>
    <w:rsid w:val="7976A435"/>
    <w:rsid w:val="798AB356"/>
    <w:rsid w:val="799A3C86"/>
    <w:rsid w:val="799F58C7"/>
    <w:rsid w:val="79A62EE8"/>
    <w:rsid w:val="79A6D175"/>
    <w:rsid w:val="79B42CA8"/>
    <w:rsid w:val="79E1710F"/>
    <w:rsid w:val="79F125A9"/>
    <w:rsid w:val="79F18157"/>
    <w:rsid w:val="79FD80B5"/>
    <w:rsid w:val="7A0110F7"/>
    <w:rsid w:val="7A0583FC"/>
    <w:rsid w:val="7A15F1F1"/>
    <w:rsid w:val="7A20CB88"/>
    <w:rsid w:val="7A2ED1FF"/>
    <w:rsid w:val="7A326A3C"/>
    <w:rsid w:val="7A3874CD"/>
    <w:rsid w:val="7A425E3B"/>
    <w:rsid w:val="7A4B7270"/>
    <w:rsid w:val="7A50C894"/>
    <w:rsid w:val="7A53CB80"/>
    <w:rsid w:val="7A86435F"/>
    <w:rsid w:val="7A9C0C37"/>
    <w:rsid w:val="7A9D5F62"/>
    <w:rsid w:val="7AA249C6"/>
    <w:rsid w:val="7ABB0ADD"/>
    <w:rsid w:val="7AD299A5"/>
    <w:rsid w:val="7AD78441"/>
    <w:rsid w:val="7ADF84B5"/>
    <w:rsid w:val="7B0030A3"/>
    <w:rsid w:val="7B024720"/>
    <w:rsid w:val="7B06C17A"/>
    <w:rsid w:val="7B1871B9"/>
    <w:rsid w:val="7B2BF240"/>
    <w:rsid w:val="7B4653F1"/>
    <w:rsid w:val="7B4A0FF6"/>
    <w:rsid w:val="7B56112C"/>
    <w:rsid w:val="7B5C3122"/>
    <w:rsid w:val="7B6F2B23"/>
    <w:rsid w:val="7B741E31"/>
    <w:rsid w:val="7B88E859"/>
    <w:rsid w:val="7B8CD24C"/>
    <w:rsid w:val="7BC13B62"/>
    <w:rsid w:val="7BE82F06"/>
    <w:rsid w:val="7BE9C8FA"/>
    <w:rsid w:val="7C0604D2"/>
    <w:rsid w:val="7C2D74DD"/>
    <w:rsid w:val="7C379327"/>
    <w:rsid w:val="7C44198A"/>
    <w:rsid w:val="7C446A01"/>
    <w:rsid w:val="7C4A4007"/>
    <w:rsid w:val="7C4BC7C5"/>
    <w:rsid w:val="7C75128B"/>
    <w:rsid w:val="7C93D33F"/>
    <w:rsid w:val="7CAFDF61"/>
    <w:rsid w:val="7CB2D93D"/>
    <w:rsid w:val="7CC434AC"/>
    <w:rsid w:val="7CCFFB35"/>
    <w:rsid w:val="7CF5916A"/>
    <w:rsid w:val="7D124EB0"/>
    <w:rsid w:val="7D341C83"/>
    <w:rsid w:val="7D48E382"/>
    <w:rsid w:val="7D6ED9A2"/>
    <w:rsid w:val="7D92EDBF"/>
    <w:rsid w:val="7D986C1A"/>
    <w:rsid w:val="7DA7AF27"/>
    <w:rsid w:val="7DAA0CDA"/>
    <w:rsid w:val="7DC80FF7"/>
    <w:rsid w:val="7DCBD977"/>
    <w:rsid w:val="7DCE4A3A"/>
    <w:rsid w:val="7E01756E"/>
    <w:rsid w:val="7E017B60"/>
    <w:rsid w:val="7E33802C"/>
    <w:rsid w:val="7E3A1B0D"/>
    <w:rsid w:val="7E3E3E2F"/>
    <w:rsid w:val="7E4EC130"/>
    <w:rsid w:val="7E5B77D9"/>
    <w:rsid w:val="7E6B2326"/>
    <w:rsid w:val="7E7F9C04"/>
    <w:rsid w:val="7EA37839"/>
    <w:rsid w:val="7EBF88DF"/>
    <w:rsid w:val="7ED5056A"/>
    <w:rsid w:val="7EDB094B"/>
    <w:rsid w:val="7EDCDFEC"/>
    <w:rsid w:val="7EE6260F"/>
    <w:rsid w:val="7F00AD7E"/>
    <w:rsid w:val="7F202BCC"/>
    <w:rsid w:val="7F2F2688"/>
    <w:rsid w:val="7F3C91F5"/>
    <w:rsid w:val="7F3E0034"/>
    <w:rsid w:val="7F3F8A47"/>
    <w:rsid w:val="7F465504"/>
    <w:rsid w:val="7F474DCB"/>
    <w:rsid w:val="7F4D07C1"/>
    <w:rsid w:val="7F54F8DD"/>
    <w:rsid w:val="7F55CF0E"/>
    <w:rsid w:val="7F752D2A"/>
    <w:rsid w:val="7F877A82"/>
    <w:rsid w:val="7F94142E"/>
    <w:rsid w:val="7FA4FA3F"/>
    <w:rsid w:val="7FA8ED24"/>
    <w:rsid w:val="7FB976FA"/>
    <w:rsid w:val="7FD2C602"/>
    <w:rsid w:val="7FE88950"/>
    <w:rsid w:val="7FEE3729"/>
    <w:rsid w:val="7FF0AF23"/>
    <w:rsid w:val="7FFBE07E"/>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A66B033"/>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lang w:val="en-US" w:eastAsia="en-US" w:bidi="ar-SA"/>
      </w:rPr>
    </w:rPrDefault>
    <w:pPrDefault>
      <w:pPr>
        <w:spacing w:after="24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2"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semiHidden="1" w:uiPriority="24" w:unhideWhenUsed="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27"/>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lsdException w:name="Emphasis" w:semiHidden="1"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uiPriority="29" w:qFormat="1"/>
    <w:lsdException w:name="Intense Quote" w:semiHidden="1"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lsdException w:name="Intense Emphasis" w:semiHidden="1" w:uiPriority="21"/>
    <w:lsdException w:name="Subtle Reference" w:semiHidden="1" w:uiPriority="31"/>
    <w:lsdException w:name="Intense Reference" w:semiHidden="1" w:uiPriority="32"/>
    <w:lsdException w:name="Book Title" w:semiHidden="1"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Default Text"/>
    <w:qFormat/>
    <w:rsid w:val="00AE23CC"/>
    <w:pPr>
      <w:spacing w:after="160" w:line="278" w:lineRule="auto"/>
    </w:pPr>
    <w:rPr>
      <w:kern w:val="2"/>
      <w:sz w:val="24"/>
      <w:szCs w:val="24"/>
      <w:lang w:val="en-AU"/>
      <w14:ligatures w14:val="standardContextual"/>
    </w:rPr>
  </w:style>
  <w:style w:type="paragraph" w:styleId="Heading1">
    <w:name w:val="heading 1"/>
    <w:next w:val="Text"/>
    <w:link w:val="Heading1Char"/>
    <w:uiPriority w:val="9"/>
    <w:qFormat/>
    <w:rsid w:val="00B47465"/>
    <w:pPr>
      <w:keepNext/>
      <w:pageBreakBefore/>
      <w:numPr>
        <w:numId w:val="21"/>
      </w:numPr>
      <w:spacing w:line="274" w:lineRule="auto"/>
      <w:ind w:left="1134" w:hanging="1134"/>
      <w:outlineLvl w:val="0"/>
    </w:pPr>
    <w:rPr>
      <w:rFonts w:cstheme="minorHAnsi"/>
      <w:b/>
      <w:color w:val="007E00" w:themeColor="accent3"/>
      <w:kern w:val="28"/>
      <w:sz w:val="40"/>
      <w:szCs w:val="40"/>
    </w:rPr>
  </w:style>
  <w:style w:type="paragraph" w:styleId="Heading2">
    <w:name w:val="heading 2"/>
    <w:next w:val="Text"/>
    <w:link w:val="Heading2Char"/>
    <w:uiPriority w:val="9"/>
    <w:qFormat/>
    <w:rsid w:val="00B47465"/>
    <w:pPr>
      <w:keepNext/>
      <w:numPr>
        <w:ilvl w:val="1"/>
        <w:numId w:val="29"/>
      </w:numPr>
      <w:spacing w:before="360" w:after="120" w:line="274" w:lineRule="auto"/>
      <w:ind w:left="1134" w:hanging="1134"/>
      <w:outlineLvl w:val="1"/>
    </w:pPr>
    <w:rPr>
      <w:rFonts w:ascii="Arial" w:hAnsi="Arial"/>
      <w:b/>
      <w:bCs/>
      <w:color w:val="007E00" w:themeColor="accent3"/>
      <w:sz w:val="36"/>
      <w:szCs w:val="36"/>
      <w:lang w:val="en-NZ"/>
    </w:rPr>
  </w:style>
  <w:style w:type="paragraph" w:styleId="Heading3">
    <w:name w:val="heading 3"/>
    <w:next w:val="Text"/>
    <w:link w:val="Heading3Char"/>
    <w:uiPriority w:val="9"/>
    <w:qFormat/>
    <w:rsid w:val="00B47465"/>
    <w:pPr>
      <w:keepNext/>
      <w:numPr>
        <w:ilvl w:val="2"/>
        <w:numId w:val="20"/>
      </w:numPr>
      <w:spacing w:before="360" w:after="120" w:line="274" w:lineRule="auto"/>
      <w:outlineLvl w:val="2"/>
    </w:pPr>
    <w:rPr>
      <w:rFonts w:ascii="Arial" w:hAnsi="Arial"/>
      <w:b/>
      <w:color w:val="007E00" w:themeColor="accent3"/>
      <w:kern w:val="28"/>
      <w:sz w:val="36"/>
      <w:szCs w:val="32"/>
    </w:rPr>
  </w:style>
  <w:style w:type="paragraph" w:styleId="Heading4">
    <w:name w:val="heading 4"/>
    <w:next w:val="Text"/>
    <w:link w:val="Heading4Char"/>
    <w:uiPriority w:val="9"/>
    <w:qFormat/>
    <w:rsid w:val="00B47465"/>
    <w:pPr>
      <w:keepNext/>
      <w:numPr>
        <w:ilvl w:val="3"/>
        <w:numId w:val="20"/>
      </w:numPr>
      <w:spacing w:before="360" w:after="120" w:line="274" w:lineRule="auto"/>
      <w:outlineLvl w:val="3"/>
    </w:pPr>
    <w:rPr>
      <w:rFonts w:ascii="Arial" w:hAnsi="Arial"/>
      <w:b/>
      <w:bCs/>
      <w:color w:val="007E00" w:themeColor="accent3"/>
      <w:kern w:val="28"/>
      <w:sz w:val="28"/>
      <w:szCs w:val="28"/>
      <w:lang w:val="en-GB"/>
    </w:rPr>
  </w:style>
  <w:style w:type="paragraph" w:styleId="Heading5">
    <w:name w:val="heading 5"/>
    <w:basedOn w:val="Heading5NotNumbered"/>
    <w:next w:val="Text"/>
    <w:link w:val="Heading5Char"/>
    <w:uiPriority w:val="9"/>
    <w:rsid w:val="00B47465"/>
  </w:style>
  <w:style w:type="paragraph" w:styleId="Heading6">
    <w:name w:val="heading 6"/>
    <w:next w:val="Text"/>
    <w:link w:val="Heading6Char"/>
    <w:uiPriority w:val="9"/>
    <w:rsid w:val="00B47465"/>
    <w:pPr>
      <w:keepNext/>
      <w:spacing w:before="360" w:after="60" w:line="204" w:lineRule="auto"/>
      <w:outlineLvl w:val="5"/>
    </w:pPr>
    <w:rPr>
      <w:rFonts w:ascii="Arial" w:hAnsi="Arial"/>
      <w:b/>
      <w:bCs/>
      <w:color w:val="36424A" w:themeColor="accent2"/>
      <w:sz w:val="24"/>
      <w:szCs w:val="24"/>
    </w:rPr>
  </w:style>
  <w:style w:type="paragraph" w:styleId="Heading7">
    <w:name w:val="heading 7"/>
    <w:next w:val="Text"/>
    <w:link w:val="Heading7Char"/>
    <w:uiPriority w:val="9"/>
    <w:rsid w:val="00B47465"/>
    <w:pPr>
      <w:keepNext/>
      <w:spacing w:before="360" w:after="60" w:line="240" w:lineRule="auto"/>
      <w:outlineLvl w:val="6"/>
    </w:pPr>
    <w:rPr>
      <w:rFonts w:cstheme="minorHAnsi"/>
      <w:b/>
      <w:bCs/>
      <w:color w:val="36424A" w:themeColor="accent2"/>
      <w:sz w:val="24"/>
      <w:szCs w:val="24"/>
    </w:rPr>
  </w:style>
  <w:style w:type="paragraph" w:styleId="Heading8">
    <w:name w:val="heading 8"/>
    <w:next w:val="Text"/>
    <w:link w:val="Heading8Char"/>
    <w:uiPriority w:val="9"/>
    <w:rsid w:val="00B47465"/>
    <w:pPr>
      <w:keepNext/>
      <w:spacing w:before="360" w:after="60" w:line="204" w:lineRule="auto"/>
      <w:outlineLvl w:val="7"/>
    </w:pPr>
    <w:rPr>
      <w:rFonts w:asciiTheme="majorHAnsi" w:hAnsiTheme="majorHAnsi"/>
    </w:rPr>
  </w:style>
  <w:style w:type="paragraph" w:styleId="Heading9">
    <w:name w:val="heading 9"/>
    <w:next w:val="Text"/>
    <w:link w:val="Heading9Char"/>
    <w:uiPriority w:val="9"/>
    <w:rsid w:val="00B47465"/>
    <w:pPr>
      <w:spacing w:before="360" w:after="60" w:line="240" w:lineRule="auto"/>
      <w:outlineLvl w:val="8"/>
    </w:pPr>
    <w:rPr>
      <w:b/>
      <w:bCs/>
    </w:rPr>
  </w:style>
  <w:style w:type="character" w:default="1" w:styleId="DefaultParagraphFont">
    <w:name w:val="Default Paragraph Font"/>
    <w:uiPriority w:val="1"/>
    <w:semiHidden/>
    <w:unhideWhenUsed/>
    <w:rsid w:val="00AE23CC"/>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rsid w:val="00AE23CC"/>
  </w:style>
  <w:style w:type="paragraph" w:customStyle="1" w:styleId="Text">
    <w:name w:val="Text"/>
    <w:link w:val="TextChar"/>
    <w:qFormat/>
    <w:rsid w:val="00B47465"/>
    <w:pPr>
      <w:jc w:val="both"/>
    </w:pPr>
    <w:rPr>
      <w:sz w:val="22"/>
      <w:lang w:val="en-NZ"/>
    </w:rPr>
  </w:style>
  <w:style w:type="character" w:customStyle="1" w:styleId="Heading2Char">
    <w:name w:val="Heading 2 Char"/>
    <w:basedOn w:val="DefaultParagraphFont"/>
    <w:link w:val="Heading2"/>
    <w:uiPriority w:val="9"/>
    <w:rsid w:val="00B47465"/>
    <w:rPr>
      <w:rFonts w:ascii="Arial" w:hAnsi="Arial"/>
      <w:b/>
      <w:bCs/>
      <w:color w:val="007E00" w:themeColor="accent3"/>
      <w:sz w:val="36"/>
      <w:szCs w:val="36"/>
      <w:lang w:val="en-NZ"/>
    </w:rPr>
  </w:style>
  <w:style w:type="paragraph" w:customStyle="1" w:styleId="TextBeforeBullets">
    <w:name w:val="Text Before Bullets"/>
    <w:basedOn w:val="Text"/>
    <w:uiPriority w:val="1"/>
    <w:rsid w:val="00B47465"/>
    <w:pPr>
      <w:spacing w:after="60"/>
    </w:pPr>
  </w:style>
  <w:style w:type="paragraph" w:customStyle="1" w:styleId="Bullet1">
    <w:name w:val="Bullet 1"/>
    <w:basedOn w:val="Text"/>
    <w:link w:val="Bullet1Char"/>
    <w:uiPriority w:val="99"/>
    <w:qFormat/>
    <w:rsid w:val="00B47465"/>
    <w:pPr>
      <w:numPr>
        <w:numId w:val="16"/>
      </w:numPr>
      <w:spacing w:before="120" w:after="120"/>
      <w:ind w:left="431" w:hanging="431"/>
    </w:pPr>
  </w:style>
  <w:style w:type="numbering" w:customStyle="1" w:styleId="TextBullets">
    <w:name w:val="Text Bullets"/>
    <w:uiPriority w:val="99"/>
    <w:rsid w:val="00B47465"/>
    <w:pPr>
      <w:numPr>
        <w:numId w:val="1"/>
      </w:numPr>
    </w:pPr>
  </w:style>
  <w:style w:type="paragraph" w:customStyle="1" w:styleId="Bullet2">
    <w:name w:val="Bullet 2"/>
    <w:basedOn w:val="Bullet1"/>
    <w:uiPriority w:val="2"/>
    <w:rsid w:val="00B47465"/>
    <w:pPr>
      <w:numPr>
        <w:numId w:val="17"/>
      </w:numPr>
      <w:ind w:left="998" w:hanging="431"/>
    </w:pPr>
  </w:style>
  <w:style w:type="paragraph" w:customStyle="1" w:styleId="Bullet3">
    <w:name w:val="Bullet 3"/>
    <w:basedOn w:val="Bullet1"/>
    <w:uiPriority w:val="1"/>
    <w:rsid w:val="00B47465"/>
    <w:pPr>
      <w:numPr>
        <w:ilvl w:val="3"/>
      </w:numPr>
      <w:ind w:left="998" w:hanging="431"/>
    </w:pPr>
  </w:style>
  <w:style w:type="paragraph" w:customStyle="1" w:styleId="Bullet4">
    <w:name w:val="Bullet 4"/>
    <w:basedOn w:val="Bullet1"/>
    <w:uiPriority w:val="2"/>
    <w:rsid w:val="00B47465"/>
    <w:pPr>
      <w:numPr>
        <w:ilvl w:val="4"/>
      </w:numPr>
      <w:tabs>
        <w:tab w:val="num" w:pos="360"/>
      </w:tabs>
      <w:ind w:left="1282" w:hanging="431"/>
    </w:pPr>
  </w:style>
  <w:style w:type="paragraph" w:customStyle="1" w:styleId="Bullet1-Last">
    <w:name w:val="Bullet 1 - Last"/>
    <w:basedOn w:val="Bullet1"/>
    <w:uiPriority w:val="2"/>
    <w:rsid w:val="00B47465"/>
  </w:style>
  <w:style w:type="paragraph" w:customStyle="1" w:styleId="Bullet2-Last">
    <w:name w:val="Bullet 2 - Last"/>
    <w:basedOn w:val="Bullet2"/>
    <w:uiPriority w:val="2"/>
    <w:rsid w:val="00B47465"/>
  </w:style>
  <w:style w:type="paragraph" w:customStyle="1" w:styleId="Bullet3-Last">
    <w:name w:val="Bullet 3 - Last"/>
    <w:basedOn w:val="Bullet3"/>
    <w:uiPriority w:val="2"/>
    <w:rsid w:val="00B47465"/>
  </w:style>
  <w:style w:type="paragraph" w:customStyle="1" w:styleId="Bullet4-Last">
    <w:name w:val="Bullet 4 - Last"/>
    <w:basedOn w:val="Bullet4"/>
    <w:uiPriority w:val="2"/>
    <w:rsid w:val="00B47465"/>
  </w:style>
  <w:style w:type="paragraph" w:customStyle="1" w:styleId="Bullet-Number">
    <w:name w:val="Bullet - Number"/>
    <w:basedOn w:val="Bullet1"/>
    <w:uiPriority w:val="6"/>
    <w:rsid w:val="00B47465"/>
    <w:pPr>
      <w:numPr>
        <w:numId w:val="5"/>
      </w:numPr>
      <w:ind w:left="431" w:hanging="431"/>
    </w:pPr>
  </w:style>
  <w:style w:type="paragraph" w:customStyle="1" w:styleId="Bullet-Alpha">
    <w:name w:val="Bullet - Alpha"/>
    <w:basedOn w:val="Bullet-Number"/>
    <w:uiPriority w:val="6"/>
    <w:rsid w:val="00B47465"/>
    <w:pPr>
      <w:numPr>
        <w:ilvl w:val="1"/>
      </w:numPr>
    </w:pPr>
  </w:style>
  <w:style w:type="numbering" w:customStyle="1" w:styleId="Outlines">
    <w:name w:val="Outlines"/>
    <w:uiPriority w:val="99"/>
    <w:rsid w:val="00B47465"/>
    <w:pPr>
      <w:numPr>
        <w:numId w:val="2"/>
      </w:numPr>
    </w:pPr>
  </w:style>
  <w:style w:type="paragraph" w:styleId="Caption">
    <w:name w:val="caption"/>
    <w:basedOn w:val="Normal"/>
    <w:next w:val="TableFigureTitle"/>
    <w:uiPriority w:val="8"/>
    <w:rsid w:val="00B47465"/>
    <w:pPr>
      <w:keepNext/>
      <w:spacing w:after="120"/>
    </w:pPr>
    <w:rPr>
      <w:b/>
      <w:iCs/>
      <w:szCs w:val="18"/>
    </w:rPr>
  </w:style>
  <w:style w:type="character" w:styleId="CommentReference">
    <w:name w:val="annotation reference"/>
    <w:basedOn w:val="DefaultParagraphFont"/>
    <w:uiPriority w:val="99"/>
    <w:semiHidden/>
    <w:unhideWhenUsed/>
    <w:rsid w:val="00B47465"/>
    <w:rPr>
      <w:sz w:val="16"/>
      <w:szCs w:val="16"/>
    </w:rPr>
  </w:style>
  <w:style w:type="paragraph" w:styleId="CommentText">
    <w:name w:val="annotation text"/>
    <w:basedOn w:val="Normal"/>
    <w:link w:val="CommentTextChar"/>
    <w:uiPriority w:val="99"/>
    <w:unhideWhenUsed/>
    <w:rsid w:val="00B47465"/>
    <w:pPr>
      <w:spacing w:line="240" w:lineRule="auto"/>
    </w:pPr>
  </w:style>
  <w:style w:type="table" w:styleId="TableGrid">
    <w:name w:val="Table Grid"/>
    <w:basedOn w:val="TableNormal"/>
    <w:uiPriority w:val="39"/>
    <w:rsid w:val="00B4746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Text">
    <w:name w:val="Table Text"/>
    <w:link w:val="TableTextChar"/>
    <w:uiPriority w:val="1"/>
    <w:qFormat/>
    <w:rsid w:val="00B47465"/>
    <w:pPr>
      <w:numPr>
        <w:numId w:val="28"/>
      </w:numPr>
      <w:spacing w:after="120" w:line="240" w:lineRule="auto"/>
    </w:pPr>
    <w:rPr>
      <w:sz w:val="21"/>
    </w:rPr>
  </w:style>
  <w:style w:type="paragraph" w:customStyle="1" w:styleId="TableFigure-Header">
    <w:name w:val="Table/Figure - Header"/>
    <w:next w:val="TableFigureTitle"/>
    <w:link w:val="TableFigure-HeaderChar"/>
    <w:qFormat/>
    <w:rsid w:val="00B47465"/>
    <w:pPr>
      <w:spacing w:before="120" w:after="120" w:line="204" w:lineRule="auto"/>
    </w:pPr>
    <w:rPr>
      <w:rFonts w:ascii="Arial" w:hAnsi="Arial"/>
      <w:b/>
      <w:sz w:val="21"/>
    </w:rPr>
  </w:style>
  <w:style w:type="paragraph" w:customStyle="1" w:styleId="TableSubhead">
    <w:name w:val="Table Subhead"/>
    <w:uiPriority w:val="2"/>
    <w:rsid w:val="00B47465"/>
    <w:pPr>
      <w:spacing w:after="60" w:line="240" w:lineRule="auto"/>
    </w:pPr>
    <w:rPr>
      <w:b/>
      <w:sz w:val="18"/>
    </w:rPr>
  </w:style>
  <w:style w:type="paragraph" w:customStyle="1" w:styleId="TableBullet1">
    <w:name w:val="Table Bullet 1"/>
    <w:basedOn w:val="TableText"/>
    <w:link w:val="TableBullet1Char"/>
    <w:uiPriority w:val="2"/>
    <w:qFormat/>
    <w:rsid w:val="00B47465"/>
    <w:pPr>
      <w:numPr>
        <w:ilvl w:val="1"/>
      </w:numPr>
      <w:spacing w:after="60"/>
    </w:pPr>
  </w:style>
  <w:style w:type="paragraph" w:customStyle="1" w:styleId="TableBullet2">
    <w:name w:val="Table Bullet 2"/>
    <w:basedOn w:val="TableText"/>
    <w:uiPriority w:val="4"/>
    <w:rsid w:val="00B47465"/>
    <w:pPr>
      <w:numPr>
        <w:ilvl w:val="2"/>
      </w:numPr>
      <w:tabs>
        <w:tab w:val="num" w:pos="360"/>
      </w:tabs>
      <w:spacing w:after="60"/>
      <w:ind w:left="0" w:firstLine="0"/>
    </w:pPr>
  </w:style>
  <w:style w:type="numbering" w:customStyle="1" w:styleId="TableBullets">
    <w:name w:val="Table Bullets"/>
    <w:uiPriority w:val="99"/>
    <w:rsid w:val="00B47465"/>
    <w:pPr>
      <w:numPr>
        <w:numId w:val="3"/>
      </w:numPr>
    </w:pPr>
  </w:style>
  <w:style w:type="table" w:customStyle="1" w:styleId="BasicTable">
    <w:name w:val="Basic Table"/>
    <w:basedOn w:val="TableGrid"/>
    <w:uiPriority w:val="99"/>
    <w:rsid w:val="00B47465"/>
    <w:rPr>
      <w:sz w:val="21"/>
    </w:rPr>
    <w:tblPr>
      <w:tblStyleRowBandSize w:val="1"/>
      <w:tblStyleColBandSize w:val="1"/>
      <w:tblBorders>
        <w:top w:val="single" w:sz="4" w:space="0" w:color="EBECED" w:themeColor="text2"/>
        <w:left w:val="single" w:sz="4" w:space="0" w:color="EBECED" w:themeColor="text2"/>
        <w:bottom w:val="single" w:sz="4" w:space="0" w:color="EBECED" w:themeColor="text2"/>
        <w:right w:val="single" w:sz="4" w:space="0" w:color="EBECED" w:themeColor="text2"/>
        <w:insideH w:val="single" w:sz="4" w:space="0" w:color="EBECED" w:themeColor="text2"/>
        <w:insideV w:val="single" w:sz="4" w:space="0" w:color="EBECED" w:themeColor="text2"/>
      </w:tblBorders>
      <w:tblCellMar>
        <w:top w:w="72" w:type="dxa"/>
        <w:left w:w="72" w:type="dxa"/>
        <w:right w:w="72" w:type="dxa"/>
      </w:tblCellMar>
    </w:tblPr>
    <w:tcPr>
      <w:shd w:val="clear" w:color="auto" w:fill="FFFFFF" w:themeFill="background1"/>
      <w:vAlign w:val="center"/>
    </w:tcPr>
    <w:tblStylePr w:type="firstRow">
      <w:rPr>
        <w:color w:val="auto"/>
      </w:rPr>
      <w:tblPr/>
      <w:tcPr>
        <w:tcBorders>
          <w:top w:val="single" w:sz="4" w:space="0" w:color="EBECED" w:themeColor="text2"/>
          <w:left w:val="single" w:sz="4" w:space="0" w:color="EBECED" w:themeColor="text2"/>
          <w:bottom w:val="single" w:sz="36" w:space="0" w:color="78B800" w:themeColor="accent1"/>
          <w:right w:val="single" w:sz="4" w:space="0" w:color="EBECED" w:themeColor="text2"/>
          <w:insideH w:val="nil"/>
          <w:insideV w:val="single" w:sz="4" w:space="0" w:color="EBECED" w:themeColor="text2"/>
          <w:tl2br w:val="nil"/>
          <w:tr2bl w:val="nil"/>
        </w:tcBorders>
        <w:shd w:val="clear" w:color="auto" w:fill="FFFFFF" w:themeFill="background1"/>
      </w:tcPr>
    </w:tblStylePr>
    <w:tblStylePr w:type="lastRow">
      <w:rPr>
        <w:b/>
      </w:rPr>
      <w:tblPr/>
      <w:tcPr>
        <w:shd w:val="clear" w:color="auto" w:fill="F5F9EF" w:themeFill="accent5" w:themeFillTint="33"/>
      </w:tcPr>
    </w:tblStylePr>
    <w:tblStylePr w:type="firstCol">
      <w:rPr>
        <w:b w:val="0"/>
      </w:rPr>
    </w:tblStylePr>
    <w:tblStylePr w:type="lastCol">
      <w:tblPr/>
      <w:tcPr>
        <w:shd w:val="clear" w:color="auto" w:fill="F5F9EF" w:themeFill="accent5" w:themeFillTint="33"/>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3">
    <w:name w:val="Plain Table 3"/>
    <w:basedOn w:val="TableNormal"/>
    <w:uiPriority w:val="43"/>
    <w:rsid w:val="00B47465"/>
    <w:pPr>
      <w:spacing w:after="0" w:line="240" w:lineRule="auto"/>
    </w:pPr>
    <w:tblPr>
      <w:tblStyleRowBandSize w:val="1"/>
      <w:tblStyleColBandSize w:val="1"/>
    </w:tblPr>
    <w:tblStylePr w:type="firstRow">
      <w:rPr>
        <w:b/>
        <w:bCs/>
        <w:caps/>
      </w:rPr>
      <w:tblPr/>
      <w:tcPr>
        <w:tcBorders>
          <w:bottom w:val="single" w:sz="4" w:space="0" w:color="FFFFF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FFFFF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BasicTable2">
    <w:name w:val="Basic Table 2"/>
    <w:basedOn w:val="BasicTable"/>
    <w:uiPriority w:val="99"/>
    <w:rsid w:val="00B47465"/>
    <w:tblPr>
      <w:tblBorders>
        <w:top w:val="none" w:sz="0" w:space="0" w:color="auto"/>
        <w:left w:val="none" w:sz="0" w:space="0" w:color="auto"/>
        <w:bottom w:val="none" w:sz="0" w:space="0" w:color="auto"/>
        <w:right w:val="none" w:sz="0" w:space="0" w:color="auto"/>
        <w:insideH w:val="single" w:sz="6" w:space="0" w:color="EBECED" w:themeColor="text2"/>
        <w:insideV w:val="single" w:sz="6" w:space="0" w:color="EBECED" w:themeColor="text2"/>
      </w:tblBorders>
    </w:tblPr>
    <w:tcPr>
      <w:shd w:val="clear" w:color="auto" w:fill="auto"/>
    </w:tcPr>
    <w:tblStylePr w:type="firstRow">
      <w:rPr>
        <w:color w:val="FFFFFF" w:themeColor="text1"/>
      </w:rPr>
      <w:tblPr/>
      <w:tcPr>
        <w:tcBorders>
          <w:top w:val="single" w:sz="4" w:space="0" w:color="EBECED" w:themeColor="text2"/>
          <w:left w:val="single" w:sz="4" w:space="0" w:color="EBECED" w:themeColor="text2"/>
          <w:bottom w:val="single" w:sz="24" w:space="0" w:color="78B800" w:themeColor="accent1"/>
          <w:right w:val="single" w:sz="4" w:space="0" w:color="EBECED" w:themeColor="text2"/>
          <w:insideH w:val="nil"/>
          <w:insideV w:val="single" w:sz="4" w:space="0" w:color="EBECED" w:themeColor="text2"/>
          <w:tl2br w:val="nil"/>
          <w:tr2bl w:val="nil"/>
        </w:tcBorders>
        <w:shd w:val="clear" w:color="auto" w:fill="FFFFFF" w:themeFill="background1"/>
      </w:tcPr>
    </w:tblStylePr>
    <w:tblStylePr w:type="lastRow">
      <w:rPr>
        <w:b/>
      </w:rPr>
      <w:tblPr/>
      <w:tcPr>
        <w:shd w:val="clear" w:color="auto" w:fill="D1E3B0" w:themeFill="accent5"/>
      </w:tcPr>
    </w:tblStylePr>
    <w:tblStylePr w:type="firstCol">
      <w:rPr>
        <w:b w:val="0"/>
        <w:u w:val="none"/>
      </w:rPr>
    </w:tblStylePr>
    <w:tblStylePr w:type="lastCol">
      <w:tblPr/>
      <w:tcPr>
        <w:shd w:val="clear" w:color="auto" w:fill="F5F9EF" w:themeFill="accent5" w:themeFillTint="33"/>
      </w:tcPr>
    </w:tblStylePr>
    <w:tblStylePr w:type="band1Vert">
      <w:tblPr/>
      <w:tcPr>
        <w:shd w:val="clear" w:color="auto" w:fill="F2F2F2" w:themeFill="background1" w:themeFillShade="F2"/>
      </w:tcPr>
    </w:tblStylePr>
    <w:tblStylePr w:type="band1Horz">
      <w:rPr>
        <w:rFonts w:asciiTheme="minorHAnsi" w:hAnsiTheme="minorHAnsi"/>
      </w:rPr>
      <w:tblPr/>
      <w:tcPr>
        <w:shd w:val="clear" w:color="auto" w:fill="D1E3B0" w:themeFill="accent5"/>
      </w:tcPr>
    </w:tblStylePr>
    <w:tblStylePr w:type="band2Horz">
      <w:tblPr/>
      <w:tcPr>
        <w:shd w:val="clear" w:color="auto" w:fill="FFFFFF" w:themeFill="background1"/>
      </w:tcPr>
    </w:tblStylePr>
  </w:style>
  <w:style w:type="table" w:styleId="TableGridLight">
    <w:name w:val="Grid Table Light"/>
    <w:basedOn w:val="TableNormal"/>
    <w:uiPriority w:val="40"/>
    <w:rsid w:val="00B47465"/>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TableText-Bold">
    <w:name w:val="Table Text - Bold"/>
    <w:basedOn w:val="TableTextChar"/>
    <w:uiPriority w:val="2"/>
    <w:rsid w:val="00B47465"/>
    <w:rPr>
      <w:b/>
      <w:color w:val="auto"/>
      <w:sz w:val="21"/>
    </w:rPr>
  </w:style>
  <w:style w:type="table" w:styleId="PlainTable5">
    <w:name w:val="Plain Table 5"/>
    <w:basedOn w:val="TableNormal"/>
    <w:uiPriority w:val="45"/>
    <w:rsid w:val="00B47465"/>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FFFFF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FFFF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FFFF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FFFF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customStyle="1" w:styleId="Heading1Char">
    <w:name w:val="Heading 1 Char"/>
    <w:basedOn w:val="DefaultParagraphFont"/>
    <w:link w:val="Heading1"/>
    <w:uiPriority w:val="9"/>
    <w:rsid w:val="00B47465"/>
    <w:rPr>
      <w:rFonts w:cstheme="minorHAnsi"/>
      <w:b/>
      <w:color w:val="007E00" w:themeColor="accent3"/>
      <w:kern w:val="28"/>
      <w:sz w:val="40"/>
      <w:szCs w:val="40"/>
    </w:rPr>
  </w:style>
  <w:style w:type="character" w:customStyle="1" w:styleId="Heading3Char">
    <w:name w:val="Heading 3 Char"/>
    <w:basedOn w:val="DefaultParagraphFont"/>
    <w:link w:val="Heading3"/>
    <w:uiPriority w:val="9"/>
    <w:rsid w:val="00B47465"/>
    <w:rPr>
      <w:rFonts w:ascii="Arial" w:hAnsi="Arial"/>
      <w:b/>
      <w:color w:val="007E00" w:themeColor="accent3"/>
      <w:kern w:val="28"/>
      <w:sz w:val="36"/>
      <w:szCs w:val="32"/>
    </w:rPr>
  </w:style>
  <w:style w:type="character" w:customStyle="1" w:styleId="Heading4Char">
    <w:name w:val="Heading 4 Char"/>
    <w:basedOn w:val="DefaultParagraphFont"/>
    <w:link w:val="Heading4"/>
    <w:uiPriority w:val="9"/>
    <w:rsid w:val="00B47465"/>
    <w:rPr>
      <w:rFonts w:ascii="Arial" w:hAnsi="Arial"/>
      <w:b/>
      <w:bCs/>
      <w:color w:val="007E00" w:themeColor="accent3"/>
      <w:kern w:val="28"/>
      <w:sz w:val="28"/>
      <w:szCs w:val="28"/>
      <w:lang w:val="en-GB"/>
    </w:rPr>
  </w:style>
  <w:style w:type="character" w:customStyle="1" w:styleId="Heading5Char">
    <w:name w:val="Heading 5 Char"/>
    <w:basedOn w:val="DefaultParagraphFont"/>
    <w:link w:val="Heading5"/>
    <w:uiPriority w:val="9"/>
    <w:rsid w:val="00B47465"/>
    <w:rPr>
      <w:rFonts w:ascii="Arial" w:hAnsi="Arial"/>
      <w:b/>
      <w:bCs/>
      <w:color w:val="007E00" w:themeColor="accent3"/>
      <w:sz w:val="24"/>
      <w:szCs w:val="24"/>
      <w:lang w:val="en-GB"/>
    </w:rPr>
  </w:style>
  <w:style w:type="character" w:customStyle="1" w:styleId="Heading6Char">
    <w:name w:val="Heading 6 Char"/>
    <w:basedOn w:val="DefaultParagraphFont"/>
    <w:link w:val="Heading6"/>
    <w:uiPriority w:val="9"/>
    <w:rsid w:val="00B47465"/>
    <w:rPr>
      <w:rFonts w:ascii="Arial" w:hAnsi="Arial"/>
      <w:b/>
      <w:bCs/>
      <w:color w:val="36424A" w:themeColor="accent2"/>
      <w:sz w:val="24"/>
      <w:szCs w:val="24"/>
    </w:rPr>
  </w:style>
  <w:style w:type="character" w:customStyle="1" w:styleId="Heading7Char">
    <w:name w:val="Heading 7 Char"/>
    <w:basedOn w:val="DefaultParagraphFont"/>
    <w:link w:val="Heading7"/>
    <w:uiPriority w:val="9"/>
    <w:rsid w:val="00B47465"/>
    <w:rPr>
      <w:rFonts w:cstheme="minorHAnsi"/>
      <w:b/>
      <w:bCs/>
      <w:color w:val="36424A" w:themeColor="accent2"/>
      <w:sz w:val="24"/>
      <w:szCs w:val="24"/>
    </w:rPr>
  </w:style>
  <w:style w:type="character" w:customStyle="1" w:styleId="Heading8Char">
    <w:name w:val="Heading 8 Char"/>
    <w:basedOn w:val="DefaultParagraphFont"/>
    <w:link w:val="Heading8"/>
    <w:uiPriority w:val="9"/>
    <w:rsid w:val="00B47465"/>
    <w:rPr>
      <w:rFonts w:asciiTheme="majorHAnsi" w:hAnsiTheme="majorHAnsi"/>
    </w:rPr>
  </w:style>
  <w:style w:type="character" w:customStyle="1" w:styleId="Heading9Char">
    <w:name w:val="Heading 9 Char"/>
    <w:basedOn w:val="DefaultParagraphFont"/>
    <w:link w:val="Heading9"/>
    <w:uiPriority w:val="9"/>
    <w:rsid w:val="00B47465"/>
    <w:rPr>
      <w:b/>
      <w:bCs/>
    </w:rPr>
  </w:style>
  <w:style w:type="numbering" w:customStyle="1" w:styleId="NumberedHeadings">
    <w:name w:val="Numbered Headings"/>
    <w:uiPriority w:val="99"/>
    <w:rsid w:val="00B47465"/>
    <w:pPr>
      <w:numPr>
        <w:numId w:val="4"/>
      </w:numPr>
    </w:pPr>
  </w:style>
  <w:style w:type="paragraph" w:styleId="Header">
    <w:name w:val="header"/>
    <w:basedOn w:val="Normal"/>
    <w:link w:val="HeaderChar"/>
    <w:uiPriority w:val="2"/>
    <w:rsid w:val="00B47465"/>
    <w:pPr>
      <w:tabs>
        <w:tab w:val="center" w:pos="4680"/>
        <w:tab w:val="right" w:pos="9360"/>
      </w:tabs>
      <w:spacing w:after="0" w:line="240" w:lineRule="auto"/>
    </w:pPr>
    <w:rPr>
      <w:rFonts w:cstheme="minorHAnsi"/>
      <w:noProof/>
      <w:color w:val="78B800" w:themeColor="accent1"/>
      <w:sz w:val="16"/>
      <w:szCs w:val="16"/>
    </w:rPr>
  </w:style>
  <w:style w:type="character" w:customStyle="1" w:styleId="HeaderChar">
    <w:name w:val="Header Char"/>
    <w:basedOn w:val="DefaultParagraphFont"/>
    <w:link w:val="Header"/>
    <w:uiPriority w:val="2"/>
    <w:rsid w:val="00B47465"/>
    <w:rPr>
      <w:rFonts w:cstheme="minorHAnsi"/>
      <w:noProof/>
      <w:color w:val="78B800" w:themeColor="accent1"/>
      <w:sz w:val="16"/>
      <w:szCs w:val="16"/>
      <w:lang w:val="en-NZ"/>
    </w:rPr>
  </w:style>
  <w:style w:type="paragraph" w:styleId="Footer">
    <w:name w:val="footer"/>
    <w:basedOn w:val="Normal"/>
    <w:link w:val="FooterChar"/>
    <w:uiPriority w:val="99"/>
    <w:rsid w:val="00B47465"/>
    <w:pPr>
      <w:tabs>
        <w:tab w:val="center" w:pos="4680"/>
        <w:tab w:val="right" w:pos="9360"/>
      </w:tabs>
      <w:spacing w:after="0" w:line="240" w:lineRule="auto"/>
    </w:pPr>
    <w:rPr>
      <w:color w:val="FFFFFF" w:themeColor="text1" w:themeTint="80"/>
      <w:sz w:val="20"/>
      <w:szCs w:val="12"/>
    </w:rPr>
  </w:style>
  <w:style w:type="character" w:customStyle="1" w:styleId="FooterChar">
    <w:name w:val="Footer Char"/>
    <w:basedOn w:val="DefaultParagraphFont"/>
    <w:link w:val="Footer"/>
    <w:uiPriority w:val="99"/>
    <w:rsid w:val="00B47465"/>
    <w:rPr>
      <w:color w:val="FFFFFF" w:themeColor="text1" w:themeTint="80"/>
      <w:szCs w:val="12"/>
      <w:lang w:val="en-NZ"/>
    </w:rPr>
  </w:style>
  <w:style w:type="paragraph" w:customStyle="1" w:styleId="TOCHeader">
    <w:name w:val="TOC Header"/>
    <w:next w:val="Text"/>
    <w:uiPriority w:val="15"/>
    <w:rsid w:val="00B47465"/>
    <w:rPr>
      <w:rFonts w:asciiTheme="majorHAnsi" w:hAnsiTheme="majorHAnsi"/>
      <w:color w:val="36424A" w:themeColor="accent2"/>
      <w:sz w:val="36"/>
      <w:szCs w:val="24"/>
    </w:rPr>
  </w:style>
  <w:style w:type="paragraph" w:styleId="TOCHeading">
    <w:name w:val="TOC Heading"/>
    <w:basedOn w:val="Heading1"/>
    <w:next w:val="Normal"/>
    <w:uiPriority w:val="39"/>
    <w:unhideWhenUsed/>
    <w:qFormat/>
    <w:rsid w:val="00B47465"/>
    <w:pPr>
      <w:keepLines/>
      <w:pageBreakBefore w:val="0"/>
      <w:numPr>
        <w:numId w:val="0"/>
      </w:numPr>
      <w:spacing w:before="240" w:after="0" w:line="259" w:lineRule="auto"/>
      <w:outlineLvl w:val="9"/>
    </w:pPr>
    <w:rPr>
      <w:rFonts w:eastAsiaTheme="majorEastAsia" w:cstheme="majorBidi"/>
      <w:kern w:val="0"/>
      <w:sz w:val="32"/>
      <w:szCs w:val="32"/>
    </w:rPr>
  </w:style>
  <w:style w:type="paragraph" w:styleId="TOC2">
    <w:name w:val="toc 2"/>
    <w:uiPriority w:val="39"/>
    <w:rsid w:val="00B47465"/>
    <w:pPr>
      <w:tabs>
        <w:tab w:val="right" w:leader="dot" w:pos="9350"/>
      </w:tabs>
      <w:spacing w:after="120" w:line="240" w:lineRule="auto"/>
      <w:ind w:left="1080" w:hanging="547"/>
    </w:pPr>
    <w:rPr>
      <w:rFonts w:eastAsiaTheme="minorEastAsia" w:cs="Times New Roman"/>
      <w:noProof/>
      <w:sz w:val="21"/>
      <w:szCs w:val="22"/>
    </w:rPr>
  </w:style>
  <w:style w:type="paragraph" w:styleId="TOC1">
    <w:name w:val="toc 1"/>
    <w:uiPriority w:val="39"/>
    <w:rsid w:val="00B47465"/>
    <w:pPr>
      <w:tabs>
        <w:tab w:val="left" w:pos="540"/>
        <w:tab w:val="right" w:leader="dot" w:pos="9350"/>
      </w:tabs>
      <w:spacing w:before="360" w:after="120" w:line="240" w:lineRule="auto"/>
      <w:ind w:left="720" w:hanging="720"/>
    </w:pPr>
    <w:rPr>
      <w:rFonts w:eastAsiaTheme="minorEastAsia" w:cs="Times New Roman"/>
      <w:b/>
      <w:noProof/>
      <w:sz w:val="21"/>
      <w:szCs w:val="22"/>
    </w:rPr>
  </w:style>
  <w:style w:type="paragraph" w:styleId="TOC3">
    <w:name w:val="toc 3"/>
    <w:uiPriority w:val="39"/>
    <w:rsid w:val="00B47465"/>
    <w:pPr>
      <w:tabs>
        <w:tab w:val="right" w:leader="dot" w:pos="9350"/>
      </w:tabs>
      <w:spacing w:after="120" w:line="240" w:lineRule="auto"/>
      <w:ind w:left="1797" w:hanging="720"/>
    </w:pPr>
    <w:rPr>
      <w:rFonts w:eastAsiaTheme="minorEastAsia" w:cs="Times New Roman"/>
      <w:noProof/>
      <w:sz w:val="21"/>
      <w:szCs w:val="22"/>
    </w:rPr>
  </w:style>
  <w:style w:type="paragraph" w:styleId="Quote">
    <w:name w:val="Quote"/>
    <w:basedOn w:val="Text"/>
    <w:next w:val="Normal"/>
    <w:link w:val="QuoteChar"/>
    <w:uiPriority w:val="29"/>
    <w:qFormat/>
    <w:rsid w:val="00B47465"/>
    <w:pPr>
      <w:spacing w:before="480" w:after="480" w:line="240" w:lineRule="auto"/>
      <w:ind w:left="851" w:right="851"/>
    </w:pPr>
    <w:rPr>
      <w:rFonts w:ascii="Arial" w:hAnsi="Arial"/>
      <w:i/>
      <w:szCs w:val="28"/>
    </w:rPr>
  </w:style>
  <w:style w:type="table" w:customStyle="1" w:styleId="ACTableDesign">
    <w:name w:val="A+C Table Design"/>
    <w:basedOn w:val="TableNormal"/>
    <w:uiPriority w:val="99"/>
    <w:rsid w:val="00B47465"/>
    <w:pPr>
      <w:spacing w:before="120" w:after="120" w:line="240" w:lineRule="auto"/>
    </w:pPr>
    <w:rPr>
      <w:color w:val="36424A" w:themeColor="background2"/>
      <w:sz w:val="21"/>
    </w:rPr>
    <w:tblPr>
      <w:tblStyleRowBandSize w:val="1"/>
      <w:tblStyleColBandSize w:val="1"/>
      <w:tblBorders>
        <w:top w:val="single" w:sz="2" w:space="0" w:color="36424A" w:themeColor="accent2"/>
        <w:left w:val="single" w:sz="2" w:space="0" w:color="36424A" w:themeColor="accent2"/>
        <w:bottom w:val="single" w:sz="2" w:space="0" w:color="36424A" w:themeColor="accent2"/>
        <w:right w:val="single" w:sz="2" w:space="0" w:color="36424A" w:themeColor="accent2"/>
        <w:insideH w:val="single" w:sz="2" w:space="0" w:color="36424A" w:themeColor="accent2"/>
        <w:insideV w:val="single" w:sz="2" w:space="0" w:color="36424A" w:themeColor="accent2"/>
      </w:tblBorders>
    </w:tblPr>
    <w:tcPr>
      <w:vAlign w:val="center"/>
    </w:tcPr>
    <w:tblStylePr w:type="firstRow">
      <w:pPr>
        <w:jc w:val="left"/>
      </w:pPr>
      <w:rPr>
        <w:rFonts w:ascii="Arial" w:hAnsi="Arial"/>
        <w:b w:val="0"/>
        <w:color w:val="FFFFFF" w:themeColor="text1"/>
        <w:sz w:val="21"/>
      </w:rPr>
      <w:tblPr/>
      <w:tcPr>
        <w:shd w:val="clear" w:color="auto" w:fill="78B800" w:themeFill="accent1"/>
      </w:tcPr>
    </w:tblStylePr>
    <w:tblStylePr w:type="lastRow">
      <w:rPr>
        <w:rFonts w:ascii="Arial" w:hAnsi="Arial"/>
        <w:sz w:val="21"/>
      </w:rPr>
    </w:tblStylePr>
    <w:tblStylePr w:type="firstCol">
      <w:rPr>
        <w:rFonts w:ascii="Arial" w:hAnsi="Arial"/>
        <w:sz w:val="21"/>
      </w:rPr>
    </w:tblStylePr>
    <w:tblStylePr w:type="lastCol">
      <w:rPr>
        <w:rFonts w:ascii="Arial" w:hAnsi="Arial"/>
        <w:sz w:val="21"/>
      </w:rPr>
    </w:tblStylePr>
    <w:tblStylePr w:type="band1Vert">
      <w:rPr>
        <w:rFonts w:ascii="Arial" w:hAnsi="Arial"/>
        <w:sz w:val="21"/>
      </w:rPr>
    </w:tblStylePr>
    <w:tblStylePr w:type="band2Vert">
      <w:rPr>
        <w:rFonts w:ascii="Arial" w:hAnsi="Arial"/>
        <w:sz w:val="21"/>
      </w:rPr>
    </w:tblStylePr>
    <w:tblStylePr w:type="band1Horz">
      <w:rPr>
        <w:rFonts w:ascii="Arial" w:hAnsi="Arial"/>
        <w:sz w:val="21"/>
      </w:rPr>
      <w:tblPr/>
      <w:tcPr>
        <w:shd w:val="clear" w:color="auto" w:fill="FFFFFF" w:themeFill="background1"/>
      </w:tcPr>
    </w:tblStylePr>
    <w:tblStylePr w:type="band2Horz">
      <w:rPr>
        <w:rFonts w:ascii="Arial" w:hAnsi="Arial"/>
        <w:sz w:val="21"/>
      </w:rPr>
      <w:tblPr/>
      <w:tcPr>
        <w:shd w:val="clear" w:color="auto" w:fill="EBECED" w:themeFill="text2"/>
      </w:tcPr>
    </w:tblStylePr>
  </w:style>
  <w:style w:type="paragraph" w:customStyle="1" w:styleId="Graphic">
    <w:name w:val="Graphic"/>
    <w:uiPriority w:val="8"/>
    <w:rsid w:val="00B47465"/>
    <w:pPr>
      <w:spacing w:before="120" w:after="120" w:line="240" w:lineRule="auto"/>
      <w:jc w:val="center"/>
    </w:pPr>
    <w:rPr>
      <w:noProof/>
    </w:rPr>
  </w:style>
  <w:style w:type="character" w:customStyle="1" w:styleId="QuoteChar">
    <w:name w:val="Quote Char"/>
    <w:basedOn w:val="DefaultParagraphFont"/>
    <w:link w:val="Quote"/>
    <w:uiPriority w:val="29"/>
    <w:rsid w:val="00B47465"/>
    <w:rPr>
      <w:rFonts w:ascii="Arial" w:hAnsi="Arial"/>
      <w:i/>
      <w:sz w:val="22"/>
      <w:szCs w:val="28"/>
      <w:lang w:val="en-NZ"/>
    </w:rPr>
  </w:style>
  <w:style w:type="table" w:styleId="PlainTable4">
    <w:name w:val="Plain Table 4"/>
    <w:basedOn w:val="TableNormal"/>
    <w:uiPriority w:val="44"/>
    <w:rsid w:val="00B47465"/>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Hyperlink">
    <w:name w:val="Hyperlink"/>
    <w:basedOn w:val="DefaultParagraphFont"/>
    <w:uiPriority w:val="99"/>
    <w:unhideWhenUsed/>
    <w:rsid w:val="00B47465"/>
    <w:rPr>
      <w:rFonts w:ascii="Arial" w:hAnsi="Arial"/>
      <w:b w:val="0"/>
      <w:color w:val="78B800" w:themeColor="accent1"/>
      <w:u w:val="single"/>
    </w:rPr>
  </w:style>
  <w:style w:type="character" w:customStyle="1" w:styleId="Text-Bold">
    <w:name w:val="Text - Bold"/>
    <w:basedOn w:val="DefaultParagraphFont"/>
    <w:uiPriority w:val="1"/>
    <w:qFormat/>
    <w:rsid w:val="00B47465"/>
    <w:rPr>
      <w:b/>
      <w:color w:val="auto"/>
    </w:rPr>
  </w:style>
  <w:style w:type="character" w:customStyle="1" w:styleId="Text-Italic">
    <w:name w:val="Text - Italic"/>
    <w:basedOn w:val="DefaultParagraphFont"/>
    <w:uiPriority w:val="1"/>
    <w:qFormat/>
    <w:rsid w:val="00B47465"/>
    <w:rPr>
      <w:i/>
      <w:color w:val="auto"/>
    </w:rPr>
  </w:style>
  <w:style w:type="paragraph" w:customStyle="1" w:styleId="CoverTitle">
    <w:name w:val="Cover Title"/>
    <w:link w:val="CoverTitleChar"/>
    <w:rsid w:val="00B47465"/>
    <w:pPr>
      <w:spacing w:before="120" w:after="120"/>
    </w:pPr>
    <w:rPr>
      <w:rFonts w:ascii="Arial" w:hAnsi="Arial"/>
      <w:b/>
      <w:color w:val="FFFFFF" w:themeColor="background1"/>
      <w:sz w:val="80"/>
      <w:szCs w:val="96"/>
    </w:rPr>
  </w:style>
  <w:style w:type="paragraph" w:customStyle="1" w:styleId="CoverSubtitle">
    <w:name w:val="Cover Subtitle"/>
    <w:basedOn w:val="CoverTitle"/>
    <w:link w:val="CoverSubtitleChar"/>
    <w:uiPriority w:val="39"/>
    <w:qFormat/>
    <w:rsid w:val="00B47465"/>
    <w:rPr>
      <w:b w:val="0"/>
      <w:sz w:val="36"/>
      <w:szCs w:val="36"/>
      <w:lang w:val="en-GB"/>
    </w:rPr>
  </w:style>
  <w:style w:type="paragraph" w:customStyle="1" w:styleId="CoverDate">
    <w:name w:val="Cover Date"/>
    <w:basedOn w:val="CoverSubtitle"/>
    <w:link w:val="CoverDateChar"/>
    <w:uiPriority w:val="39"/>
    <w:qFormat/>
    <w:rsid w:val="00B47465"/>
    <w:rPr>
      <w:i/>
      <w:iCs/>
      <w:sz w:val="28"/>
      <w:szCs w:val="28"/>
    </w:rPr>
  </w:style>
  <w:style w:type="paragraph" w:customStyle="1" w:styleId="TitlePageTitle">
    <w:name w:val="Title Page Title"/>
    <w:uiPriority w:val="39"/>
    <w:rsid w:val="00B47465"/>
    <w:pPr>
      <w:spacing w:before="360" w:after="360" w:line="204" w:lineRule="auto"/>
    </w:pPr>
    <w:rPr>
      <w:rFonts w:asciiTheme="majorHAnsi" w:hAnsiTheme="majorHAnsi"/>
      <w:sz w:val="44"/>
      <w:szCs w:val="44"/>
    </w:rPr>
  </w:style>
  <w:style w:type="character" w:customStyle="1" w:styleId="CommentTextChar">
    <w:name w:val="Comment Text Char"/>
    <w:basedOn w:val="DefaultParagraphFont"/>
    <w:link w:val="CommentText"/>
    <w:uiPriority w:val="99"/>
    <w:rsid w:val="00B47465"/>
    <w:rPr>
      <w:sz w:val="22"/>
      <w:lang w:val="en-NZ"/>
    </w:rPr>
  </w:style>
  <w:style w:type="paragraph" w:styleId="CommentSubject">
    <w:name w:val="annotation subject"/>
    <w:basedOn w:val="CommentText"/>
    <w:next w:val="CommentText"/>
    <w:link w:val="CommentSubjectChar"/>
    <w:uiPriority w:val="99"/>
    <w:semiHidden/>
    <w:unhideWhenUsed/>
    <w:rsid w:val="00B47465"/>
    <w:rPr>
      <w:b/>
      <w:bCs/>
    </w:rPr>
  </w:style>
  <w:style w:type="character" w:customStyle="1" w:styleId="CommentSubjectChar">
    <w:name w:val="Comment Subject Char"/>
    <w:basedOn w:val="CommentTextChar"/>
    <w:link w:val="CommentSubject"/>
    <w:uiPriority w:val="99"/>
    <w:semiHidden/>
    <w:rsid w:val="00B47465"/>
    <w:rPr>
      <w:b/>
      <w:bCs/>
      <w:sz w:val="22"/>
      <w:lang w:val="en-NZ"/>
    </w:rPr>
  </w:style>
  <w:style w:type="paragraph" w:styleId="BalloonText">
    <w:name w:val="Balloon Text"/>
    <w:basedOn w:val="Normal"/>
    <w:link w:val="BalloonTextChar"/>
    <w:uiPriority w:val="99"/>
    <w:semiHidden/>
    <w:unhideWhenUsed/>
    <w:rsid w:val="00B4746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47465"/>
    <w:rPr>
      <w:rFonts w:ascii="Segoe UI" w:hAnsi="Segoe UI" w:cs="Segoe UI"/>
      <w:sz w:val="18"/>
      <w:szCs w:val="18"/>
      <w:lang w:val="en-NZ"/>
    </w:rPr>
  </w:style>
  <w:style w:type="paragraph" w:styleId="Bibliography">
    <w:name w:val="Bibliography"/>
    <w:basedOn w:val="Normal"/>
    <w:next w:val="Normal"/>
    <w:uiPriority w:val="37"/>
    <w:unhideWhenUsed/>
    <w:rsid w:val="00B47465"/>
  </w:style>
  <w:style w:type="paragraph" w:styleId="BlockText">
    <w:name w:val="Block Text"/>
    <w:basedOn w:val="Normal"/>
    <w:uiPriority w:val="99"/>
    <w:semiHidden/>
    <w:unhideWhenUsed/>
    <w:rsid w:val="00B47465"/>
    <w:pPr>
      <w:pBdr>
        <w:top w:val="single" w:sz="2" w:space="10" w:color="78B800" w:themeColor="accent1"/>
        <w:left w:val="single" w:sz="2" w:space="10" w:color="78B800" w:themeColor="accent1"/>
        <w:bottom w:val="single" w:sz="2" w:space="10" w:color="78B800" w:themeColor="accent1"/>
        <w:right w:val="single" w:sz="2" w:space="10" w:color="78B800" w:themeColor="accent1"/>
      </w:pBdr>
      <w:ind w:left="1152" w:right="1152"/>
    </w:pPr>
    <w:rPr>
      <w:rFonts w:eastAsiaTheme="minorEastAsia"/>
      <w:i/>
      <w:iCs/>
      <w:color w:val="78B800" w:themeColor="accent1"/>
    </w:rPr>
  </w:style>
  <w:style w:type="paragraph" w:styleId="BodyText">
    <w:name w:val="Body Text"/>
    <w:basedOn w:val="Normal"/>
    <w:link w:val="BodyTextChar"/>
    <w:uiPriority w:val="99"/>
    <w:semiHidden/>
    <w:unhideWhenUsed/>
    <w:rsid w:val="00B47465"/>
    <w:pPr>
      <w:spacing w:after="120"/>
    </w:pPr>
  </w:style>
  <w:style w:type="character" w:customStyle="1" w:styleId="BodyTextChar">
    <w:name w:val="Body Text Char"/>
    <w:basedOn w:val="DefaultParagraphFont"/>
    <w:link w:val="BodyText"/>
    <w:uiPriority w:val="99"/>
    <w:semiHidden/>
    <w:rsid w:val="00B47465"/>
    <w:rPr>
      <w:sz w:val="22"/>
      <w:lang w:val="en-NZ"/>
    </w:rPr>
  </w:style>
  <w:style w:type="paragraph" w:styleId="BodyText2">
    <w:name w:val="Body Text 2"/>
    <w:basedOn w:val="Normal"/>
    <w:link w:val="BodyText2Char"/>
    <w:uiPriority w:val="99"/>
    <w:semiHidden/>
    <w:unhideWhenUsed/>
    <w:rsid w:val="00B47465"/>
    <w:pPr>
      <w:spacing w:after="120" w:line="480" w:lineRule="auto"/>
    </w:pPr>
  </w:style>
  <w:style w:type="character" w:customStyle="1" w:styleId="BodyText2Char">
    <w:name w:val="Body Text 2 Char"/>
    <w:basedOn w:val="DefaultParagraphFont"/>
    <w:link w:val="BodyText2"/>
    <w:uiPriority w:val="99"/>
    <w:semiHidden/>
    <w:rsid w:val="00B47465"/>
    <w:rPr>
      <w:sz w:val="22"/>
      <w:lang w:val="en-NZ"/>
    </w:rPr>
  </w:style>
  <w:style w:type="paragraph" w:styleId="BodyText3">
    <w:name w:val="Body Text 3"/>
    <w:basedOn w:val="Normal"/>
    <w:link w:val="BodyText3Char"/>
    <w:uiPriority w:val="99"/>
    <w:semiHidden/>
    <w:unhideWhenUsed/>
    <w:rsid w:val="00B47465"/>
    <w:pPr>
      <w:spacing w:after="120"/>
    </w:pPr>
    <w:rPr>
      <w:sz w:val="16"/>
      <w:szCs w:val="16"/>
    </w:rPr>
  </w:style>
  <w:style w:type="character" w:customStyle="1" w:styleId="BodyText3Char">
    <w:name w:val="Body Text 3 Char"/>
    <w:basedOn w:val="DefaultParagraphFont"/>
    <w:link w:val="BodyText3"/>
    <w:uiPriority w:val="99"/>
    <w:semiHidden/>
    <w:rsid w:val="00B47465"/>
    <w:rPr>
      <w:sz w:val="16"/>
      <w:szCs w:val="16"/>
      <w:lang w:val="en-NZ"/>
    </w:rPr>
  </w:style>
  <w:style w:type="paragraph" w:styleId="BodyTextFirstIndent">
    <w:name w:val="Body Text First Indent"/>
    <w:basedOn w:val="BodyText"/>
    <w:link w:val="BodyTextFirstIndentChar"/>
    <w:uiPriority w:val="99"/>
    <w:semiHidden/>
    <w:unhideWhenUsed/>
    <w:rsid w:val="00B47465"/>
    <w:pPr>
      <w:spacing w:after="240"/>
      <w:ind w:firstLine="360"/>
    </w:pPr>
  </w:style>
  <w:style w:type="character" w:customStyle="1" w:styleId="BodyTextFirstIndentChar">
    <w:name w:val="Body Text First Indent Char"/>
    <w:basedOn w:val="BodyTextChar"/>
    <w:link w:val="BodyTextFirstIndent"/>
    <w:uiPriority w:val="99"/>
    <w:semiHidden/>
    <w:rsid w:val="00B47465"/>
    <w:rPr>
      <w:sz w:val="22"/>
      <w:lang w:val="en-NZ"/>
    </w:rPr>
  </w:style>
  <w:style w:type="paragraph" w:styleId="BodyTextIndent">
    <w:name w:val="Body Text Indent"/>
    <w:basedOn w:val="Normal"/>
    <w:link w:val="BodyTextIndentChar"/>
    <w:uiPriority w:val="99"/>
    <w:semiHidden/>
    <w:unhideWhenUsed/>
    <w:rsid w:val="00B47465"/>
    <w:pPr>
      <w:spacing w:after="120"/>
      <w:ind w:left="360"/>
    </w:pPr>
  </w:style>
  <w:style w:type="character" w:customStyle="1" w:styleId="BodyTextIndentChar">
    <w:name w:val="Body Text Indent Char"/>
    <w:basedOn w:val="DefaultParagraphFont"/>
    <w:link w:val="BodyTextIndent"/>
    <w:uiPriority w:val="99"/>
    <w:semiHidden/>
    <w:rsid w:val="00B47465"/>
    <w:rPr>
      <w:sz w:val="22"/>
      <w:lang w:val="en-NZ"/>
    </w:rPr>
  </w:style>
  <w:style w:type="paragraph" w:styleId="BodyTextFirstIndent2">
    <w:name w:val="Body Text First Indent 2"/>
    <w:basedOn w:val="BodyTextIndent"/>
    <w:link w:val="BodyTextFirstIndent2Char"/>
    <w:uiPriority w:val="99"/>
    <w:semiHidden/>
    <w:unhideWhenUsed/>
    <w:rsid w:val="00B47465"/>
    <w:pPr>
      <w:spacing w:after="240"/>
      <w:ind w:firstLine="360"/>
    </w:pPr>
  </w:style>
  <w:style w:type="character" w:customStyle="1" w:styleId="BodyTextFirstIndent2Char">
    <w:name w:val="Body Text First Indent 2 Char"/>
    <w:basedOn w:val="BodyTextIndentChar"/>
    <w:link w:val="BodyTextFirstIndent2"/>
    <w:uiPriority w:val="99"/>
    <w:semiHidden/>
    <w:rsid w:val="00B47465"/>
    <w:rPr>
      <w:sz w:val="22"/>
      <w:lang w:val="en-NZ"/>
    </w:rPr>
  </w:style>
  <w:style w:type="paragraph" w:styleId="BodyTextIndent2">
    <w:name w:val="Body Text Indent 2"/>
    <w:basedOn w:val="Normal"/>
    <w:link w:val="BodyTextIndent2Char"/>
    <w:uiPriority w:val="99"/>
    <w:semiHidden/>
    <w:unhideWhenUsed/>
    <w:rsid w:val="00B47465"/>
    <w:pPr>
      <w:spacing w:after="120" w:line="480" w:lineRule="auto"/>
      <w:ind w:left="360"/>
    </w:pPr>
  </w:style>
  <w:style w:type="character" w:customStyle="1" w:styleId="BodyTextIndent2Char">
    <w:name w:val="Body Text Indent 2 Char"/>
    <w:basedOn w:val="DefaultParagraphFont"/>
    <w:link w:val="BodyTextIndent2"/>
    <w:uiPriority w:val="99"/>
    <w:semiHidden/>
    <w:rsid w:val="00B47465"/>
    <w:rPr>
      <w:sz w:val="22"/>
      <w:lang w:val="en-NZ"/>
    </w:rPr>
  </w:style>
  <w:style w:type="paragraph" w:styleId="BodyTextIndent3">
    <w:name w:val="Body Text Indent 3"/>
    <w:basedOn w:val="Normal"/>
    <w:link w:val="BodyTextIndent3Char"/>
    <w:uiPriority w:val="99"/>
    <w:semiHidden/>
    <w:unhideWhenUsed/>
    <w:rsid w:val="00B47465"/>
    <w:pPr>
      <w:spacing w:after="120"/>
      <w:ind w:left="360"/>
    </w:pPr>
    <w:rPr>
      <w:sz w:val="16"/>
      <w:szCs w:val="16"/>
    </w:rPr>
  </w:style>
  <w:style w:type="character" w:customStyle="1" w:styleId="BodyTextIndent3Char">
    <w:name w:val="Body Text Indent 3 Char"/>
    <w:basedOn w:val="DefaultParagraphFont"/>
    <w:link w:val="BodyTextIndent3"/>
    <w:uiPriority w:val="99"/>
    <w:semiHidden/>
    <w:rsid w:val="00B47465"/>
    <w:rPr>
      <w:sz w:val="16"/>
      <w:szCs w:val="16"/>
      <w:lang w:val="en-NZ"/>
    </w:rPr>
  </w:style>
  <w:style w:type="paragraph" w:styleId="Closing">
    <w:name w:val="Closing"/>
    <w:basedOn w:val="Normal"/>
    <w:link w:val="ClosingChar"/>
    <w:uiPriority w:val="99"/>
    <w:semiHidden/>
    <w:unhideWhenUsed/>
    <w:rsid w:val="00B47465"/>
    <w:pPr>
      <w:spacing w:after="0" w:line="240" w:lineRule="auto"/>
      <w:ind w:left="4320"/>
    </w:pPr>
  </w:style>
  <w:style w:type="character" w:customStyle="1" w:styleId="ClosingChar">
    <w:name w:val="Closing Char"/>
    <w:basedOn w:val="DefaultParagraphFont"/>
    <w:link w:val="Closing"/>
    <w:uiPriority w:val="99"/>
    <w:semiHidden/>
    <w:rsid w:val="00B47465"/>
    <w:rPr>
      <w:sz w:val="22"/>
      <w:lang w:val="en-NZ"/>
    </w:rPr>
  </w:style>
  <w:style w:type="paragraph" w:styleId="Date">
    <w:name w:val="Date"/>
    <w:basedOn w:val="Normal"/>
    <w:next w:val="Normal"/>
    <w:link w:val="DateChar"/>
    <w:uiPriority w:val="99"/>
    <w:semiHidden/>
    <w:unhideWhenUsed/>
    <w:rsid w:val="00B47465"/>
  </w:style>
  <w:style w:type="character" w:customStyle="1" w:styleId="DateChar">
    <w:name w:val="Date Char"/>
    <w:basedOn w:val="DefaultParagraphFont"/>
    <w:link w:val="Date"/>
    <w:uiPriority w:val="99"/>
    <w:semiHidden/>
    <w:rsid w:val="00B47465"/>
    <w:rPr>
      <w:sz w:val="22"/>
      <w:lang w:val="en-NZ"/>
    </w:rPr>
  </w:style>
  <w:style w:type="paragraph" w:styleId="DocumentMap">
    <w:name w:val="Document Map"/>
    <w:basedOn w:val="Normal"/>
    <w:link w:val="DocumentMapChar"/>
    <w:uiPriority w:val="99"/>
    <w:semiHidden/>
    <w:unhideWhenUsed/>
    <w:rsid w:val="00B47465"/>
    <w:pPr>
      <w:spacing w:after="0" w:line="240" w:lineRule="auto"/>
    </w:pPr>
    <w:rPr>
      <w:rFonts w:ascii="Segoe UI" w:hAnsi="Segoe UI" w:cs="Segoe UI"/>
      <w:sz w:val="16"/>
      <w:szCs w:val="16"/>
    </w:rPr>
  </w:style>
  <w:style w:type="character" w:customStyle="1" w:styleId="DocumentMapChar">
    <w:name w:val="Document Map Char"/>
    <w:basedOn w:val="DefaultParagraphFont"/>
    <w:link w:val="DocumentMap"/>
    <w:uiPriority w:val="99"/>
    <w:semiHidden/>
    <w:rsid w:val="00B47465"/>
    <w:rPr>
      <w:rFonts w:ascii="Segoe UI" w:hAnsi="Segoe UI" w:cs="Segoe UI"/>
      <w:sz w:val="16"/>
      <w:szCs w:val="16"/>
      <w:lang w:val="en-NZ"/>
    </w:rPr>
  </w:style>
  <w:style w:type="paragraph" w:styleId="E-mailSignature">
    <w:name w:val="E-mail Signature"/>
    <w:basedOn w:val="Normal"/>
    <w:link w:val="E-mailSignatureChar"/>
    <w:uiPriority w:val="99"/>
    <w:semiHidden/>
    <w:unhideWhenUsed/>
    <w:rsid w:val="00B47465"/>
    <w:pPr>
      <w:spacing w:after="0" w:line="240" w:lineRule="auto"/>
    </w:pPr>
  </w:style>
  <w:style w:type="character" w:customStyle="1" w:styleId="E-mailSignatureChar">
    <w:name w:val="E-mail Signature Char"/>
    <w:basedOn w:val="DefaultParagraphFont"/>
    <w:link w:val="E-mailSignature"/>
    <w:uiPriority w:val="99"/>
    <w:semiHidden/>
    <w:rsid w:val="00B47465"/>
    <w:rPr>
      <w:sz w:val="22"/>
      <w:lang w:val="en-NZ"/>
    </w:rPr>
  </w:style>
  <w:style w:type="paragraph" w:styleId="EndnoteText">
    <w:name w:val="endnote text"/>
    <w:basedOn w:val="Normal"/>
    <w:link w:val="EndnoteTextChar"/>
    <w:uiPriority w:val="99"/>
    <w:semiHidden/>
    <w:unhideWhenUsed/>
    <w:rsid w:val="00B47465"/>
    <w:pPr>
      <w:spacing w:after="0" w:line="240" w:lineRule="auto"/>
    </w:pPr>
  </w:style>
  <w:style w:type="character" w:customStyle="1" w:styleId="EndnoteTextChar">
    <w:name w:val="Endnote Text Char"/>
    <w:basedOn w:val="DefaultParagraphFont"/>
    <w:link w:val="EndnoteText"/>
    <w:uiPriority w:val="99"/>
    <w:semiHidden/>
    <w:rsid w:val="00B47465"/>
    <w:rPr>
      <w:sz w:val="22"/>
      <w:lang w:val="en-NZ"/>
    </w:rPr>
  </w:style>
  <w:style w:type="paragraph" w:styleId="EnvelopeAddress">
    <w:name w:val="envelope address"/>
    <w:basedOn w:val="Normal"/>
    <w:uiPriority w:val="99"/>
    <w:semiHidden/>
    <w:unhideWhenUsed/>
    <w:rsid w:val="00B47465"/>
    <w:pPr>
      <w:framePr w:w="7920" w:h="1980" w:hRule="exact" w:hSpace="180" w:wrap="auto" w:hAnchor="page" w:xAlign="center" w:yAlign="bottom"/>
      <w:spacing w:after="0" w:line="240" w:lineRule="auto"/>
      <w:ind w:left="2880"/>
    </w:pPr>
    <w:rPr>
      <w:rFonts w:asciiTheme="majorHAnsi" w:eastAsiaTheme="majorEastAsia" w:hAnsiTheme="majorHAnsi" w:cstheme="majorBidi"/>
    </w:rPr>
  </w:style>
  <w:style w:type="paragraph" w:styleId="EnvelopeReturn">
    <w:name w:val="envelope return"/>
    <w:basedOn w:val="Normal"/>
    <w:uiPriority w:val="99"/>
    <w:semiHidden/>
    <w:unhideWhenUsed/>
    <w:rsid w:val="00B47465"/>
    <w:pPr>
      <w:spacing w:after="0" w:line="240" w:lineRule="auto"/>
    </w:pPr>
    <w:rPr>
      <w:rFonts w:asciiTheme="majorHAnsi" w:eastAsiaTheme="majorEastAsia" w:hAnsiTheme="majorHAnsi" w:cstheme="majorBidi"/>
    </w:rPr>
  </w:style>
  <w:style w:type="paragraph" w:styleId="FootnoteText">
    <w:name w:val="footnote text"/>
    <w:aliases w:val="ACMA Footnote Text"/>
    <w:basedOn w:val="Normal"/>
    <w:link w:val="FootnoteTextChar"/>
    <w:uiPriority w:val="99"/>
    <w:unhideWhenUsed/>
    <w:rsid w:val="00B47465"/>
    <w:pPr>
      <w:spacing w:after="0" w:line="240" w:lineRule="auto"/>
    </w:pPr>
  </w:style>
  <w:style w:type="character" w:customStyle="1" w:styleId="FootnoteTextChar">
    <w:name w:val="Footnote Text Char"/>
    <w:aliases w:val="ACMA Footnote Text Char"/>
    <w:basedOn w:val="DefaultParagraphFont"/>
    <w:link w:val="FootnoteText"/>
    <w:uiPriority w:val="99"/>
    <w:rsid w:val="00B47465"/>
    <w:rPr>
      <w:sz w:val="22"/>
      <w:lang w:val="en-NZ"/>
    </w:rPr>
  </w:style>
  <w:style w:type="paragraph" w:styleId="HTMLAddress">
    <w:name w:val="HTML Address"/>
    <w:basedOn w:val="Normal"/>
    <w:link w:val="HTMLAddressChar"/>
    <w:uiPriority w:val="99"/>
    <w:semiHidden/>
    <w:unhideWhenUsed/>
    <w:rsid w:val="00B47465"/>
    <w:pPr>
      <w:spacing w:after="0" w:line="240" w:lineRule="auto"/>
    </w:pPr>
    <w:rPr>
      <w:i/>
      <w:iCs/>
    </w:rPr>
  </w:style>
  <w:style w:type="character" w:customStyle="1" w:styleId="HTMLAddressChar">
    <w:name w:val="HTML Address Char"/>
    <w:basedOn w:val="DefaultParagraphFont"/>
    <w:link w:val="HTMLAddress"/>
    <w:uiPriority w:val="99"/>
    <w:semiHidden/>
    <w:rsid w:val="00B47465"/>
    <w:rPr>
      <w:i/>
      <w:iCs/>
      <w:sz w:val="22"/>
      <w:lang w:val="en-NZ"/>
    </w:rPr>
  </w:style>
  <w:style w:type="paragraph" w:styleId="HTMLPreformatted">
    <w:name w:val="HTML Preformatted"/>
    <w:basedOn w:val="Normal"/>
    <w:link w:val="HTMLPreformattedChar"/>
    <w:uiPriority w:val="99"/>
    <w:semiHidden/>
    <w:unhideWhenUsed/>
    <w:rsid w:val="00B47465"/>
    <w:pPr>
      <w:spacing w:after="0" w:line="240" w:lineRule="auto"/>
    </w:pPr>
    <w:rPr>
      <w:rFonts w:ascii="Consolas" w:hAnsi="Consolas"/>
    </w:rPr>
  </w:style>
  <w:style w:type="character" w:customStyle="1" w:styleId="HTMLPreformattedChar">
    <w:name w:val="HTML Preformatted Char"/>
    <w:basedOn w:val="DefaultParagraphFont"/>
    <w:link w:val="HTMLPreformatted"/>
    <w:uiPriority w:val="99"/>
    <w:semiHidden/>
    <w:rsid w:val="00B47465"/>
    <w:rPr>
      <w:rFonts w:ascii="Consolas" w:hAnsi="Consolas"/>
      <w:sz w:val="22"/>
      <w:lang w:val="en-NZ"/>
    </w:rPr>
  </w:style>
  <w:style w:type="paragraph" w:styleId="Index1">
    <w:name w:val="index 1"/>
    <w:basedOn w:val="Normal"/>
    <w:next w:val="Normal"/>
    <w:uiPriority w:val="99"/>
    <w:semiHidden/>
    <w:unhideWhenUsed/>
    <w:rsid w:val="00B47465"/>
    <w:pPr>
      <w:spacing w:after="0" w:line="240" w:lineRule="auto"/>
      <w:ind w:left="200" w:hanging="200"/>
    </w:pPr>
  </w:style>
  <w:style w:type="paragraph" w:styleId="Index2">
    <w:name w:val="index 2"/>
    <w:basedOn w:val="Normal"/>
    <w:next w:val="Normal"/>
    <w:uiPriority w:val="99"/>
    <w:semiHidden/>
    <w:unhideWhenUsed/>
    <w:rsid w:val="00B47465"/>
    <w:pPr>
      <w:spacing w:after="0" w:line="240" w:lineRule="auto"/>
      <w:ind w:left="400" w:hanging="200"/>
    </w:pPr>
  </w:style>
  <w:style w:type="paragraph" w:styleId="Index3">
    <w:name w:val="index 3"/>
    <w:basedOn w:val="Normal"/>
    <w:next w:val="Normal"/>
    <w:uiPriority w:val="99"/>
    <w:semiHidden/>
    <w:unhideWhenUsed/>
    <w:rsid w:val="00B47465"/>
    <w:pPr>
      <w:spacing w:after="0" w:line="240" w:lineRule="auto"/>
      <w:ind w:left="600" w:hanging="200"/>
    </w:pPr>
  </w:style>
  <w:style w:type="paragraph" w:styleId="Index4">
    <w:name w:val="index 4"/>
    <w:basedOn w:val="Normal"/>
    <w:next w:val="Normal"/>
    <w:uiPriority w:val="99"/>
    <w:semiHidden/>
    <w:unhideWhenUsed/>
    <w:rsid w:val="00B47465"/>
    <w:pPr>
      <w:spacing w:after="0" w:line="240" w:lineRule="auto"/>
      <w:ind w:left="800" w:hanging="200"/>
    </w:pPr>
  </w:style>
  <w:style w:type="paragraph" w:styleId="Index5">
    <w:name w:val="index 5"/>
    <w:basedOn w:val="Normal"/>
    <w:next w:val="Normal"/>
    <w:uiPriority w:val="99"/>
    <w:semiHidden/>
    <w:unhideWhenUsed/>
    <w:rsid w:val="00B47465"/>
    <w:pPr>
      <w:spacing w:after="0" w:line="240" w:lineRule="auto"/>
      <w:ind w:left="1000" w:hanging="200"/>
    </w:pPr>
  </w:style>
  <w:style w:type="paragraph" w:styleId="Index6">
    <w:name w:val="index 6"/>
    <w:basedOn w:val="Normal"/>
    <w:next w:val="Normal"/>
    <w:uiPriority w:val="99"/>
    <w:semiHidden/>
    <w:unhideWhenUsed/>
    <w:rsid w:val="00B47465"/>
    <w:pPr>
      <w:spacing w:after="0" w:line="240" w:lineRule="auto"/>
      <w:ind w:left="1200" w:hanging="200"/>
    </w:pPr>
  </w:style>
  <w:style w:type="paragraph" w:styleId="Index7">
    <w:name w:val="index 7"/>
    <w:basedOn w:val="Normal"/>
    <w:next w:val="Normal"/>
    <w:uiPriority w:val="99"/>
    <w:semiHidden/>
    <w:unhideWhenUsed/>
    <w:rsid w:val="00B47465"/>
    <w:pPr>
      <w:spacing w:after="0" w:line="240" w:lineRule="auto"/>
      <w:ind w:left="1400" w:hanging="200"/>
    </w:pPr>
  </w:style>
  <w:style w:type="paragraph" w:styleId="Index8">
    <w:name w:val="index 8"/>
    <w:basedOn w:val="Normal"/>
    <w:next w:val="Normal"/>
    <w:uiPriority w:val="99"/>
    <w:semiHidden/>
    <w:unhideWhenUsed/>
    <w:rsid w:val="00B47465"/>
    <w:pPr>
      <w:spacing w:after="0" w:line="240" w:lineRule="auto"/>
      <w:ind w:left="1600" w:hanging="200"/>
    </w:pPr>
  </w:style>
  <w:style w:type="paragraph" w:styleId="Index9">
    <w:name w:val="index 9"/>
    <w:basedOn w:val="Normal"/>
    <w:next w:val="Normal"/>
    <w:uiPriority w:val="99"/>
    <w:semiHidden/>
    <w:unhideWhenUsed/>
    <w:rsid w:val="00B47465"/>
    <w:pPr>
      <w:spacing w:after="0" w:line="240" w:lineRule="auto"/>
      <w:ind w:left="1800" w:hanging="200"/>
    </w:pPr>
  </w:style>
  <w:style w:type="paragraph" w:styleId="IndexHeading">
    <w:name w:val="index heading"/>
    <w:basedOn w:val="Normal"/>
    <w:next w:val="Index1"/>
    <w:uiPriority w:val="99"/>
    <w:semiHidden/>
    <w:unhideWhenUsed/>
    <w:rsid w:val="00B47465"/>
    <w:rPr>
      <w:rFonts w:asciiTheme="majorHAnsi" w:eastAsiaTheme="majorEastAsia" w:hAnsiTheme="majorHAnsi" w:cstheme="majorBidi"/>
      <w:b/>
      <w:bCs/>
    </w:rPr>
  </w:style>
  <w:style w:type="paragraph" w:styleId="IntenseQuote">
    <w:name w:val="Intense Quote"/>
    <w:basedOn w:val="Normal"/>
    <w:next w:val="Normal"/>
    <w:link w:val="IntenseQuoteChar"/>
    <w:uiPriority w:val="30"/>
    <w:semiHidden/>
    <w:rsid w:val="00B47465"/>
    <w:pPr>
      <w:pBdr>
        <w:top w:val="single" w:sz="4" w:space="10" w:color="78B800" w:themeColor="accent1"/>
        <w:bottom w:val="single" w:sz="4" w:space="10" w:color="78B800" w:themeColor="accent1"/>
      </w:pBdr>
      <w:spacing w:before="360" w:after="360"/>
      <w:ind w:left="864" w:right="864"/>
      <w:jc w:val="center"/>
    </w:pPr>
    <w:rPr>
      <w:i/>
      <w:iCs/>
      <w:color w:val="78B800" w:themeColor="accent1"/>
    </w:rPr>
  </w:style>
  <w:style w:type="character" w:customStyle="1" w:styleId="IntenseQuoteChar">
    <w:name w:val="Intense Quote Char"/>
    <w:basedOn w:val="DefaultParagraphFont"/>
    <w:link w:val="IntenseQuote"/>
    <w:uiPriority w:val="30"/>
    <w:semiHidden/>
    <w:rsid w:val="00B47465"/>
    <w:rPr>
      <w:i/>
      <w:iCs/>
      <w:color w:val="78B800" w:themeColor="accent1"/>
      <w:sz w:val="22"/>
      <w:lang w:val="en-NZ"/>
    </w:rPr>
  </w:style>
  <w:style w:type="paragraph" w:styleId="List">
    <w:name w:val="List"/>
    <w:basedOn w:val="Normal"/>
    <w:uiPriority w:val="99"/>
    <w:semiHidden/>
    <w:unhideWhenUsed/>
    <w:rsid w:val="00B47465"/>
    <w:pPr>
      <w:ind w:left="360" w:hanging="360"/>
      <w:contextualSpacing/>
    </w:pPr>
  </w:style>
  <w:style w:type="paragraph" w:styleId="List2">
    <w:name w:val="List 2"/>
    <w:basedOn w:val="Normal"/>
    <w:uiPriority w:val="99"/>
    <w:semiHidden/>
    <w:unhideWhenUsed/>
    <w:rsid w:val="00B47465"/>
    <w:pPr>
      <w:ind w:left="720" w:hanging="360"/>
      <w:contextualSpacing/>
    </w:pPr>
  </w:style>
  <w:style w:type="paragraph" w:styleId="List3">
    <w:name w:val="List 3"/>
    <w:basedOn w:val="Normal"/>
    <w:uiPriority w:val="99"/>
    <w:semiHidden/>
    <w:unhideWhenUsed/>
    <w:rsid w:val="00B47465"/>
    <w:pPr>
      <w:ind w:left="1080" w:hanging="360"/>
      <w:contextualSpacing/>
    </w:pPr>
  </w:style>
  <w:style w:type="paragraph" w:styleId="List4">
    <w:name w:val="List 4"/>
    <w:basedOn w:val="Normal"/>
    <w:uiPriority w:val="99"/>
    <w:semiHidden/>
    <w:unhideWhenUsed/>
    <w:rsid w:val="00B47465"/>
    <w:pPr>
      <w:ind w:left="1440" w:hanging="360"/>
      <w:contextualSpacing/>
    </w:pPr>
  </w:style>
  <w:style w:type="paragraph" w:styleId="List5">
    <w:name w:val="List 5"/>
    <w:basedOn w:val="Normal"/>
    <w:uiPriority w:val="99"/>
    <w:semiHidden/>
    <w:unhideWhenUsed/>
    <w:rsid w:val="00B47465"/>
    <w:pPr>
      <w:ind w:left="1800" w:hanging="360"/>
      <w:contextualSpacing/>
    </w:pPr>
  </w:style>
  <w:style w:type="paragraph" w:styleId="ListBullet">
    <w:name w:val="List Bullet"/>
    <w:basedOn w:val="Normal"/>
    <w:uiPriority w:val="99"/>
    <w:semiHidden/>
    <w:unhideWhenUsed/>
    <w:rsid w:val="00B47465"/>
    <w:pPr>
      <w:numPr>
        <w:numId w:val="6"/>
      </w:numPr>
      <w:contextualSpacing/>
    </w:pPr>
  </w:style>
  <w:style w:type="paragraph" w:styleId="ListBullet2">
    <w:name w:val="List Bullet 2"/>
    <w:basedOn w:val="Normal"/>
    <w:uiPriority w:val="99"/>
    <w:semiHidden/>
    <w:unhideWhenUsed/>
    <w:rsid w:val="00B47465"/>
    <w:pPr>
      <w:numPr>
        <w:numId w:val="7"/>
      </w:numPr>
      <w:contextualSpacing/>
    </w:pPr>
  </w:style>
  <w:style w:type="paragraph" w:styleId="ListBullet3">
    <w:name w:val="List Bullet 3"/>
    <w:basedOn w:val="Normal"/>
    <w:uiPriority w:val="99"/>
    <w:semiHidden/>
    <w:unhideWhenUsed/>
    <w:rsid w:val="00B47465"/>
    <w:pPr>
      <w:numPr>
        <w:numId w:val="8"/>
      </w:numPr>
      <w:contextualSpacing/>
    </w:pPr>
  </w:style>
  <w:style w:type="paragraph" w:styleId="ListBullet4">
    <w:name w:val="List Bullet 4"/>
    <w:basedOn w:val="Normal"/>
    <w:uiPriority w:val="99"/>
    <w:semiHidden/>
    <w:unhideWhenUsed/>
    <w:rsid w:val="00B47465"/>
    <w:pPr>
      <w:numPr>
        <w:numId w:val="9"/>
      </w:numPr>
      <w:contextualSpacing/>
    </w:pPr>
  </w:style>
  <w:style w:type="paragraph" w:styleId="ListBullet5">
    <w:name w:val="List Bullet 5"/>
    <w:basedOn w:val="Normal"/>
    <w:uiPriority w:val="99"/>
    <w:semiHidden/>
    <w:unhideWhenUsed/>
    <w:rsid w:val="00B47465"/>
    <w:pPr>
      <w:numPr>
        <w:numId w:val="10"/>
      </w:numPr>
      <w:contextualSpacing/>
    </w:pPr>
  </w:style>
  <w:style w:type="paragraph" w:styleId="ListContinue">
    <w:name w:val="List Continue"/>
    <w:basedOn w:val="Normal"/>
    <w:uiPriority w:val="99"/>
    <w:semiHidden/>
    <w:unhideWhenUsed/>
    <w:rsid w:val="00B47465"/>
    <w:pPr>
      <w:spacing w:after="120"/>
      <w:ind w:left="360"/>
      <w:contextualSpacing/>
    </w:pPr>
  </w:style>
  <w:style w:type="paragraph" w:styleId="ListContinue2">
    <w:name w:val="List Continue 2"/>
    <w:basedOn w:val="Normal"/>
    <w:uiPriority w:val="99"/>
    <w:semiHidden/>
    <w:unhideWhenUsed/>
    <w:rsid w:val="00B47465"/>
    <w:pPr>
      <w:spacing w:after="120"/>
      <w:ind w:left="720"/>
      <w:contextualSpacing/>
    </w:pPr>
  </w:style>
  <w:style w:type="paragraph" w:styleId="ListContinue3">
    <w:name w:val="List Continue 3"/>
    <w:basedOn w:val="Normal"/>
    <w:uiPriority w:val="99"/>
    <w:semiHidden/>
    <w:unhideWhenUsed/>
    <w:rsid w:val="00B47465"/>
    <w:pPr>
      <w:spacing w:after="120"/>
      <w:ind w:left="1080"/>
      <w:contextualSpacing/>
    </w:pPr>
  </w:style>
  <w:style w:type="paragraph" w:styleId="ListContinue4">
    <w:name w:val="List Continue 4"/>
    <w:basedOn w:val="Normal"/>
    <w:uiPriority w:val="99"/>
    <w:semiHidden/>
    <w:unhideWhenUsed/>
    <w:rsid w:val="00B47465"/>
    <w:pPr>
      <w:spacing w:after="120"/>
      <w:ind w:left="1440"/>
      <w:contextualSpacing/>
    </w:pPr>
  </w:style>
  <w:style w:type="paragraph" w:styleId="ListContinue5">
    <w:name w:val="List Continue 5"/>
    <w:basedOn w:val="Normal"/>
    <w:uiPriority w:val="99"/>
    <w:semiHidden/>
    <w:unhideWhenUsed/>
    <w:rsid w:val="00B47465"/>
    <w:pPr>
      <w:spacing w:after="120"/>
      <w:ind w:left="1800"/>
      <w:contextualSpacing/>
    </w:pPr>
  </w:style>
  <w:style w:type="paragraph" w:styleId="ListNumber">
    <w:name w:val="List Number"/>
    <w:basedOn w:val="Normal"/>
    <w:uiPriority w:val="99"/>
    <w:semiHidden/>
    <w:unhideWhenUsed/>
    <w:rsid w:val="00B47465"/>
    <w:pPr>
      <w:numPr>
        <w:numId w:val="11"/>
      </w:numPr>
      <w:contextualSpacing/>
    </w:pPr>
  </w:style>
  <w:style w:type="paragraph" w:styleId="ListNumber2">
    <w:name w:val="List Number 2"/>
    <w:basedOn w:val="Normal"/>
    <w:uiPriority w:val="99"/>
    <w:semiHidden/>
    <w:unhideWhenUsed/>
    <w:rsid w:val="00B47465"/>
    <w:pPr>
      <w:numPr>
        <w:numId w:val="12"/>
      </w:numPr>
      <w:contextualSpacing/>
    </w:pPr>
  </w:style>
  <w:style w:type="paragraph" w:styleId="ListNumber3">
    <w:name w:val="List Number 3"/>
    <w:basedOn w:val="Normal"/>
    <w:uiPriority w:val="99"/>
    <w:semiHidden/>
    <w:unhideWhenUsed/>
    <w:rsid w:val="00B47465"/>
    <w:pPr>
      <w:numPr>
        <w:numId w:val="13"/>
      </w:numPr>
      <w:contextualSpacing/>
    </w:pPr>
  </w:style>
  <w:style w:type="paragraph" w:styleId="ListNumber4">
    <w:name w:val="List Number 4"/>
    <w:basedOn w:val="Normal"/>
    <w:uiPriority w:val="99"/>
    <w:semiHidden/>
    <w:unhideWhenUsed/>
    <w:rsid w:val="00B47465"/>
    <w:pPr>
      <w:numPr>
        <w:numId w:val="14"/>
      </w:numPr>
      <w:contextualSpacing/>
    </w:pPr>
  </w:style>
  <w:style w:type="paragraph" w:styleId="ListNumber5">
    <w:name w:val="List Number 5"/>
    <w:basedOn w:val="Normal"/>
    <w:uiPriority w:val="99"/>
    <w:semiHidden/>
    <w:unhideWhenUsed/>
    <w:rsid w:val="00B47465"/>
    <w:pPr>
      <w:numPr>
        <w:numId w:val="15"/>
      </w:numPr>
      <w:contextualSpacing/>
    </w:pPr>
  </w:style>
  <w:style w:type="paragraph" w:styleId="ListParagraph">
    <w:name w:val="List Paragraph"/>
    <w:basedOn w:val="Normal"/>
    <w:uiPriority w:val="34"/>
    <w:qFormat/>
    <w:rsid w:val="00B47465"/>
    <w:pPr>
      <w:ind w:left="431"/>
      <w:contextualSpacing/>
    </w:pPr>
  </w:style>
  <w:style w:type="paragraph" w:styleId="MacroText">
    <w:name w:val="macro"/>
    <w:link w:val="MacroTextChar"/>
    <w:uiPriority w:val="99"/>
    <w:semiHidden/>
    <w:unhideWhenUsed/>
    <w:rsid w:val="00B47465"/>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color w:val="FF0000"/>
    </w:rPr>
  </w:style>
  <w:style w:type="character" w:customStyle="1" w:styleId="MacroTextChar">
    <w:name w:val="Macro Text Char"/>
    <w:basedOn w:val="DefaultParagraphFont"/>
    <w:link w:val="MacroText"/>
    <w:uiPriority w:val="99"/>
    <w:semiHidden/>
    <w:rsid w:val="00B47465"/>
    <w:rPr>
      <w:rFonts w:ascii="Consolas" w:hAnsi="Consolas"/>
      <w:color w:val="FF0000"/>
    </w:rPr>
  </w:style>
  <w:style w:type="paragraph" w:styleId="MessageHeader">
    <w:name w:val="Message Header"/>
    <w:basedOn w:val="Normal"/>
    <w:link w:val="MessageHeaderChar"/>
    <w:uiPriority w:val="99"/>
    <w:semiHidden/>
    <w:unhideWhenUsed/>
    <w:rsid w:val="00B47465"/>
    <w:pPr>
      <w:pBdr>
        <w:top w:val="single" w:sz="6" w:space="1" w:color="auto"/>
        <w:left w:val="single" w:sz="6" w:space="1" w:color="auto"/>
        <w:bottom w:val="single" w:sz="6" w:space="1" w:color="auto"/>
        <w:right w:val="single" w:sz="6" w:space="1" w:color="auto"/>
      </w:pBdr>
      <w:shd w:val="pct20" w:color="auto" w:fill="auto"/>
      <w:spacing w:after="0" w:line="240" w:lineRule="auto"/>
      <w:ind w:left="1080" w:hanging="1080"/>
    </w:pPr>
    <w:rPr>
      <w:rFonts w:asciiTheme="majorHAnsi" w:eastAsiaTheme="majorEastAsia" w:hAnsiTheme="majorHAnsi" w:cstheme="majorBidi"/>
    </w:rPr>
  </w:style>
  <w:style w:type="character" w:customStyle="1" w:styleId="MessageHeaderChar">
    <w:name w:val="Message Header Char"/>
    <w:basedOn w:val="DefaultParagraphFont"/>
    <w:link w:val="MessageHeader"/>
    <w:uiPriority w:val="99"/>
    <w:semiHidden/>
    <w:rsid w:val="00B47465"/>
    <w:rPr>
      <w:rFonts w:asciiTheme="majorHAnsi" w:eastAsiaTheme="majorEastAsia" w:hAnsiTheme="majorHAnsi" w:cstheme="majorBidi"/>
      <w:sz w:val="24"/>
      <w:szCs w:val="24"/>
      <w:shd w:val="pct20" w:color="auto" w:fill="auto"/>
      <w:lang w:val="en-NZ"/>
    </w:rPr>
  </w:style>
  <w:style w:type="paragraph" w:styleId="NoSpacing">
    <w:name w:val="No Spacing"/>
    <w:link w:val="NoSpacingChar"/>
    <w:uiPriority w:val="1"/>
    <w:unhideWhenUsed/>
    <w:qFormat/>
    <w:rsid w:val="00B47465"/>
    <w:pPr>
      <w:spacing w:after="0" w:line="240" w:lineRule="auto"/>
    </w:pPr>
    <w:rPr>
      <w:color w:val="FF0000"/>
    </w:rPr>
  </w:style>
  <w:style w:type="paragraph" w:styleId="NormalWeb">
    <w:name w:val="Normal (Web)"/>
    <w:basedOn w:val="Normal"/>
    <w:uiPriority w:val="99"/>
    <w:semiHidden/>
    <w:unhideWhenUsed/>
    <w:rsid w:val="00B47465"/>
    <w:rPr>
      <w:rFonts w:ascii="Times New Roman" w:hAnsi="Times New Roman" w:cs="Times New Roman"/>
    </w:rPr>
  </w:style>
  <w:style w:type="paragraph" w:styleId="NormalIndent">
    <w:name w:val="Normal Indent"/>
    <w:basedOn w:val="Normal"/>
    <w:uiPriority w:val="99"/>
    <w:semiHidden/>
    <w:unhideWhenUsed/>
    <w:rsid w:val="00B47465"/>
    <w:pPr>
      <w:ind w:left="720"/>
    </w:pPr>
  </w:style>
  <w:style w:type="paragraph" w:styleId="NoteHeading">
    <w:name w:val="Note Heading"/>
    <w:basedOn w:val="Normal"/>
    <w:next w:val="Normal"/>
    <w:link w:val="NoteHeadingChar"/>
    <w:uiPriority w:val="99"/>
    <w:semiHidden/>
    <w:unhideWhenUsed/>
    <w:rsid w:val="00B47465"/>
    <w:pPr>
      <w:spacing w:after="0" w:line="240" w:lineRule="auto"/>
    </w:pPr>
  </w:style>
  <w:style w:type="character" w:customStyle="1" w:styleId="NoteHeadingChar">
    <w:name w:val="Note Heading Char"/>
    <w:basedOn w:val="DefaultParagraphFont"/>
    <w:link w:val="NoteHeading"/>
    <w:uiPriority w:val="99"/>
    <w:semiHidden/>
    <w:rsid w:val="00B47465"/>
    <w:rPr>
      <w:sz w:val="22"/>
      <w:lang w:val="en-NZ"/>
    </w:rPr>
  </w:style>
  <w:style w:type="paragraph" w:styleId="PlainText">
    <w:name w:val="Plain Text"/>
    <w:basedOn w:val="Normal"/>
    <w:link w:val="PlainTextChar"/>
    <w:uiPriority w:val="99"/>
    <w:semiHidden/>
    <w:unhideWhenUsed/>
    <w:rsid w:val="00B47465"/>
    <w:pPr>
      <w:spacing w:after="0" w:line="240" w:lineRule="auto"/>
    </w:pPr>
    <w:rPr>
      <w:rFonts w:ascii="Consolas" w:hAnsi="Consolas"/>
      <w:szCs w:val="21"/>
    </w:rPr>
  </w:style>
  <w:style w:type="character" w:customStyle="1" w:styleId="PlainTextChar">
    <w:name w:val="Plain Text Char"/>
    <w:basedOn w:val="DefaultParagraphFont"/>
    <w:link w:val="PlainText"/>
    <w:uiPriority w:val="99"/>
    <w:semiHidden/>
    <w:rsid w:val="00B47465"/>
    <w:rPr>
      <w:rFonts w:ascii="Consolas" w:hAnsi="Consolas"/>
      <w:sz w:val="22"/>
      <w:szCs w:val="21"/>
      <w:lang w:val="en-NZ"/>
    </w:rPr>
  </w:style>
  <w:style w:type="paragraph" w:styleId="Salutation">
    <w:name w:val="Salutation"/>
    <w:basedOn w:val="Normal"/>
    <w:next w:val="Normal"/>
    <w:link w:val="SalutationChar"/>
    <w:uiPriority w:val="99"/>
    <w:semiHidden/>
    <w:unhideWhenUsed/>
    <w:rsid w:val="00B47465"/>
  </w:style>
  <w:style w:type="character" w:customStyle="1" w:styleId="SalutationChar">
    <w:name w:val="Salutation Char"/>
    <w:basedOn w:val="DefaultParagraphFont"/>
    <w:link w:val="Salutation"/>
    <w:uiPriority w:val="99"/>
    <w:semiHidden/>
    <w:rsid w:val="00B47465"/>
    <w:rPr>
      <w:sz w:val="22"/>
      <w:lang w:val="en-NZ"/>
    </w:rPr>
  </w:style>
  <w:style w:type="paragraph" w:styleId="Signature">
    <w:name w:val="Signature"/>
    <w:basedOn w:val="Normal"/>
    <w:link w:val="SignatureChar"/>
    <w:uiPriority w:val="99"/>
    <w:semiHidden/>
    <w:unhideWhenUsed/>
    <w:rsid w:val="00B47465"/>
    <w:pPr>
      <w:spacing w:after="0" w:line="240" w:lineRule="auto"/>
      <w:ind w:left="4320"/>
    </w:pPr>
  </w:style>
  <w:style w:type="character" w:customStyle="1" w:styleId="SignatureChar">
    <w:name w:val="Signature Char"/>
    <w:basedOn w:val="DefaultParagraphFont"/>
    <w:link w:val="Signature"/>
    <w:uiPriority w:val="99"/>
    <w:semiHidden/>
    <w:rsid w:val="00B47465"/>
    <w:rPr>
      <w:sz w:val="22"/>
      <w:lang w:val="en-NZ"/>
    </w:rPr>
  </w:style>
  <w:style w:type="paragraph" w:styleId="Subtitle">
    <w:name w:val="Subtitle"/>
    <w:basedOn w:val="Normal"/>
    <w:next w:val="Normal"/>
    <w:link w:val="SubtitleChar"/>
    <w:uiPriority w:val="27"/>
    <w:semiHidden/>
    <w:rsid w:val="00B47465"/>
    <w:pPr>
      <w:numPr>
        <w:ilvl w:val="1"/>
      </w:numPr>
    </w:pPr>
    <w:rPr>
      <w:rFonts w:eastAsiaTheme="minorEastAsia"/>
      <w:color w:val="FFFFFF" w:themeColor="text1" w:themeTint="A5"/>
      <w:spacing w:val="15"/>
      <w:szCs w:val="22"/>
    </w:rPr>
  </w:style>
  <w:style w:type="character" w:customStyle="1" w:styleId="SubtitleChar">
    <w:name w:val="Subtitle Char"/>
    <w:basedOn w:val="DefaultParagraphFont"/>
    <w:link w:val="Subtitle"/>
    <w:uiPriority w:val="27"/>
    <w:semiHidden/>
    <w:rsid w:val="00B47465"/>
    <w:rPr>
      <w:rFonts w:eastAsiaTheme="minorEastAsia"/>
      <w:color w:val="FFFFFF" w:themeColor="text1" w:themeTint="A5"/>
      <w:spacing w:val="15"/>
      <w:sz w:val="22"/>
      <w:szCs w:val="22"/>
      <w:lang w:val="en-NZ"/>
    </w:rPr>
  </w:style>
  <w:style w:type="paragraph" w:styleId="TableofAuthorities">
    <w:name w:val="table of authorities"/>
    <w:basedOn w:val="Normal"/>
    <w:next w:val="Normal"/>
    <w:uiPriority w:val="99"/>
    <w:semiHidden/>
    <w:unhideWhenUsed/>
    <w:rsid w:val="00B47465"/>
    <w:pPr>
      <w:spacing w:after="0"/>
      <w:ind w:left="200" w:hanging="200"/>
    </w:pPr>
  </w:style>
  <w:style w:type="paragraph" w:styleId="TableofFigures">
    <w:name w:val="table of figures"/>
    <w:basedOn w:val="TOC2"/>
    <w:next w:val="Normal"/>
    <w:uiPriority w:val="99"/>
    <w:unhideWhenUsed/>
    <w:rsid w:val="00B47465"/>
    <w:pPr>
      <w:spacing w:after="0"/>
    </w:pPr>
  </w:style>
  <w:style w:type="paragraph" w:styleId="Title">
    <w:name w:val="Title"/>
    <w:basedOn w:val="Normal"/>
    <w:next w:val="Normal"/>
    <w:link w:val="TitleChar"/>
    <w:uiPriority w:val="24"/>
    <w:semiHidden/>
    <w:unhideWhenUsed/>
    <w:rsid w:val="00B47465"/>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24"/>
    <w:semiHidden/>
    <w:rsid w:val="00B47465"/>
    <w:rPr>
      <w:rFonts w:asciiTheme="majorHAnsi" w:eastAsiaTheme="majorEastAsia" w:hAnsiTheme="majorHAnsi" w:cstheme="majorBidi"/>
      <w:spacing w:val="-10"/>
      <w:kern w:val="28"/>
      <w:sz w:val="56"/>
      <w:szCs w:val="56"/>
      <w:lang w:val="en-NZ"/>
    </w:rPr>
  </w:style>
  <w:style w:type="paragraph" w:styleId="TOAHeading">
    <w:name w:val="toa heading"/>
    <w:basedOn w:val="Normal"/>
    <w:next w:val="Normal"/>
    <w:uiPriority w:val="99"/>
    <w:semiHidden/>
    <w:unhideWhenUsed/>
    <w:rsid w:val="00B47465"/>
    <w:pPr>
      <w:spacing w:before="120"/>
    </w:pPr>
    <w:rPr>
      <w:rFonts w:asciiTheme="majorHAnsi" w:eastAsiaTheme="majorEastAsia" w:hAnsiTheme="majorHAnsi" w:cstheme="majorBidi"/>
      <w:b/>
      <w:bCs/>
    </w:rPr>
  </w:style>
  <w:style w:type="table" w:customStyle="1" w:styleId="GlossaryTable">
    <w:name w:val="Glossary Table"/>
    <w:basedOn w:val="ACTableDesign"/>
    <w:uiPriority w:val="99"/>
    <w:rsid w:val="00B47465"/>
    <w:pPr>
      <w:spacing w:after="0"/>
    </w:pPr>
    <w:tblPr>
      <w:tblBorders>
        <w:top w:val="none" w:sz="0" w:space="0" w:color="auto"/>
        <w:left w:val="none" w:sz="0" w:space="0" w:color="auto"/>
        <w:bottom w:val="none" w:sz="0" w:space="0" w:color="auto"/>
        <w:right w:val="none" w:sz="0" w:space="0" w:color="auto"/>
        <w:insideH w:val="none" w:sz="0" w:space="0" w:color="auto"/>
        <w:insideV w:val="none" w:sz="0" w:space="0" w:color="auto"/>
      </w:tblBorders>
    </w:tblPr>
    <w:tblStylePr w:type="firstRow">
      <w:pPr>
        <w:jc w:val="left"/>
      </w:pPr>
      <w:rPr>
        <w:rFonts w:ascii="Arial" w:hAnsi="Arial"/>
        <w:b w:val="0"/>
        <w:color w:val="FFFFFF" w:themeColor="text1"/>
        <w:sz w:val="21"/>
      </w:rPr>
      <w:tblPr/>
      <w:tcPr>
        <w:shd w:val="clear" w:color="auto" w:fill="78B800" w:themeFill="accent1"/>
      </w:tcPr>
    </w:tblStylePr>
    <w:tblStylePr w:type="lastRow">
      <w:rPr>
        <w:rFonts w:ascii="Arial" w:hAnsi="Arial"/>
        <w:sz w:val="21"/>
      </w:rPr>
    </w:tblStylePr>
    <w:tblStylePr w:type="firstCol">
      <w:rPr>
        <w:rFonts w:ascii="Arial" w:hAnsi="Arial"/>
        <w:sz w:val="21"/>
      </w:rPr>
    </w:tblStylePr>
    <w:tblStylePr w:type="lastCol">
      <w:rPr>
        <w:rFonts w:ascii="Arial" w:hAnsi="Arial"/>
        <w:sz w:val="21"/>
      </w:rPr>
    </w:tblStylePr>
    <w:tblStylePr w:type="band1Vert">
      <w:rPr>
        <w:rFonts w:ascii="Arial" w:hAnsi="Arial"/>
        <w:sz w:val="21"/>
      </w:rPr>
    </w:tblStylePr>
    <w:tblStylePr w:type="band2Vert">
      <w:rPr>
        <w:rFonts w:ascii="Arial" w:hAnsi="Arial"/>
        <w:sz w:val="21"/>
      </w:rPr>
    </w:tblStylePr>
    <w:tblStylePr w:type="band1Horz">
      <w:rPr>
        <w:rFonts w:ascii="Arial" w:hAnsi="Arial"/>
        <w:sz w:val="21"/>
      </w:rPr>
      <w:tblPr/>
      <w:tcPr>
        <w:shd w:val="clear" w:color="auto" w:fill="FFFFFF" w:themeFill="background1"/>
      </w:tcPr>
    </w:tblStylePr>
    <w:tblStylePr w:type="band2Horz">
      <w:rPr>
        <w:rFonts w:ascii="Arial" w:hAnsi="Arial"/>
        <w:sz w:val="21"/>
      </w:rPr>
      <w:tblPr/>
      <w:tcPr>
        <w:shd w:val="clear" w:color="auto" w:fill="ECF3DF" w:themeFill="accent5" w:themeFillTint="66"/>
      </w:tcPr>
    </w:tblStylePr>
  </w:style>
  <w:style w:type="paragraph" w:customStyle="1" w:styleId="Heading5NotNumbered">
    <w:name w:val="Heading 5 (Not Numbered)"/>
    <w:basedOn w:val="Heading6"/>
    <w:link w:val="Heading5NotNumberedChar"/>
    <w:uiPriority w:val="39"/>
    <w:rsid w:val="00B47465"/>
    <w:pPr>
      <w:spacing w:after="120" w:line="274" w:lineRule="auto"/>
      <w:outlineLvl w:val="4"/>
    </w:pPr>
    <w:rPr>
      <w:color w:val="007E00" w:themeColor="accent3"/>
      <w:lang w:val="en-GB"/>
    </w:rPr>
  </w:style>
  <w:style w:type="paragraph" w:styleId="TOC6">
    <w:name w:val="toc 6"/>
    <w:basedOn w:val="Normal"/>
    <w:next w:val="Normal"/>
    <w:uiPriority w:val="39"/>
    <w:unhideWhenUsed/>
    <w:rsid w:val="00B47465"/>
    <w:pPr>
      <w:spacing w:after="120" w:line="240" w:lineRule="auto"/>
      <w:ind w:left="544" w:hanging="544"/>
    </w:pPr>
    <w:rPr>
      <w:b/>
      <w:color w:val="FFFFFF" w:themeColor="text1"/>
    </w:rPr>
  </w:style>
  <w:style w:type="paragraph" w:styleId="TOC8">
    <w:name w:val="toc 8"/>
    <w:basedOn w:val="Normal"/>
    <w:next w:val="Normal"/>
    <w:uiPriority w:val="39"/>
    <w:unhideWhenUsed/>
    <w:rsid w:val="00B47465"/>
    <w:pPr>
      <w:spacing w:after="100"/>
      <w:ind w:left="1400"/>
    </w:pPr>
  </w:style>
  <w:style w:type="paragraph" w:styleId="TOC9">
    <w:name w:val="toc 9"/>
    <w:basedOn w:val="Normal"/>
    <w:next w:val="Normal"/>
    <w:uiPriority w:val="39"/>
    <w:unhideWhenUsed/>
    <w:rsid w:val="00B47465"/>
    <w:pPr>
      <w:spacing w:after="100"/>
      <w:ind w:left="1600"/>
    </w:pPr>
  </w:style>
  <w:style w:type="character" w:customStyle="1" w:styleId="TextHighlight">
    <w:name w:val="Text Highlight"/>
    <w:basedOn w:val="DefaultParagraphFont"/>
    <w:uiPriority w:val="1"/>
    <w:rsid w:val="00B47465"/>
    <w:rPr>
      <w:color w:val="auto"/>
      <w:bdr w:val="none" w:sz="0" w:space="0" w:color="auto"/>
      <w:shd w:val="clear" w:color="auto" w:fill="FFFF00"/>
    </w:rPr>
  </w:style>
  <w:style w:type="character" w:customStyle="1" w:styleId="TextChar">
    <w:name w:val="Text Char"/>
    <w:basedOn w:val="DefaultParagraphFont"/>
    <w:link w:val="Text"/>
    <w:rsid w:val="00B47465"/>
    <w:rPr>
      <w:sz w:val="22"/>
      <w:lang w:val="en-NZ"/>
    </w:rPr>
  </w:style>
  <w:style w:type="character" w:customStyle="1" w:styleId="TableTextChar">
    <w:name w:val="Table Text Char"/>
    <w:basedOn w:val="DefaultParagraphFont"/>
    <w:link w:val="TableText"/>
    <w:uiPriority w:val="1"/>
    <w:rsid w:val="00B47465"/>
    <w:rPr>
      <w:sz w:val="21"/>
    </w:rPr>
  </w:style>
  <w:style w:type="character" w:customStyle="1" w:styleId="TableText-Italic">
    <w:name w:val="Table Text - Italic"/>
    <w:basedOn w:val="TableTextChar"/>
    <w:uiPriority w:val="1"/>
    <w:rsid w:val="00B47465"/>
    <w:rPr>
      <w:i/>
      <w:color w:val="auto"/>
      <w:sz w:val="21"/>
    </w:rPr>
  </w:style>
  <w:style w:type="character" w:customStyle="1" w:styleId="TableBullet1Char">
    <w:name w:val="Table Bullet 1 Char"/>
    <w:basedOn w:val="TableTextChar"/>
    <w:link w:val="TableBullet1"/>
    <w:uiPriority w:val="2"/>
    <w:rsid w:val="00B47465"/>
    <w:rPr>
      <w:sz w:val="21"/>
    </w:rPr>
  </w:style>
  <w:style w:type="character" w:customStyle="1" w:styleId="Bullet1Char">
    <w:name w:val="Bullet 1 Char"/>
    <w:aliases w:val="List Paragraph Char,Bullets Char,Rec para Char,Dot pt Char,F5 List Paragraph Char,List Paragraph1 Char,No Spacing1 Char,List Paragraph Char Char Char Char,Indicator Text Char,Numbered Para 1 Char,Colorful List - Accent 11 Char,Bullet Char"/>
    <w:basedOn w:val="DefaultParagraphFont"/>
    <w:link w:val="Bullet1"/>
    <w:uiPriority w:val="99"/>
    <w:rsid w:val="00B47465"/>
    <w:rPr>
      <w:sz w:val="22"/>
      <w:lang w:val="en-NZ"/>
    </w:rPr>
  </w:style>
  <w:style w:type="character" w:customStyle="1" w:styleId="TableFigure-HeaderChar">
    <w:name w:val="Table/Figure - Header Char"/>
    <w:basedOn w:val="DefaultParagraphFont"/>
    <w:link w:val="TableFigure-Header"/>
    <w:rsid w:val="00B47465"/>
    <w:rPr>
      <w:rFonts w:ascii="Arial" w:hAnsi="Arial"/>
      <w:b/>
      <w:sz w:val="21"/>
    </w:rPr>
  </w:style>
  <w:style w:type="character" w:styleId="UnresolvedMention">
    <w:name w:val="Unresolved Mention"/>
    <w:basedOn w:val="DefaultParagraphFont"/>
    <w:uiPriority w:val="99"/>
    <w:semiHidden/>
    <w:unhideWhenUsed/>
    <w:rsid w:val="00B47465"/>
    <w:rPr>
      <w:color w:val="605E5C"/>
      <w:shd w:val="clear" w:color="auto" w:fill="E1DFDD"/>
    </w:rPr>
  </w:style>
  <w:style w:type="character" w:customStyle="1" w:styleId="CoverTitleChar">
    <w:name w:val="Cover Title Char"/>
    <w:basedOn w:val="DefaultParagraphFont"/>
    <w:link w:val="CoverTitle"/>
    <w:rsid w:val="00B47465"/>
    <w:rPr>
      <w:rFonts w:ascii="Arial" w:hAnsi="Arial"/>
      <w:b/>
      <w:color w:val="FFFFFF" w:themeColor="background1"/>
      <w:sz w:val="80"/>
      <w:szCs w:val="96"/>
    </w:rPr>
  </w:style>
  <w:style w:type="character" w:customStyle="1" w:styleId="CoverSubtitleChar">
    <w:name w:val="Cover Subtitle Char"/>
    <w:basedOn w:val="CoverTitleChar"/>
    <w:link w:val="CoverSubtitle"/>
    <w:uiPriority w:val="39"/>
    <w:rsid w:val="00B47465"/>
    <w:rPr>
      <w:rFonts w:ascii="Arial" w:hAnsi="Arial"/>
      <w:b w:val="0"/>
      <w:color w:val="FFFFFF" w:themeColor="background1"/>
      <w:sz w:val="36"/>
      <w:szCs w:val="36"/>
      <w:lang w:val="en-GB"/>
    </w:rPr>
  </w:style>
  <w:style w:type="table" w:styleId="PlainTable2">
    <w:name w:val="Plain Table 2"/>
    <w:basedOn w:val="TableNormal"/>
    <w:uiPriority w:val="42"/>
    <w:rsid w:val="00B47465"/>
    <w:pPr>
      <w:spacing w:after="0" w:line="240" w:lineRule="auto"/>
    </w:pPr>
    <w:tblPr>
      <w:tblStyleRowBandSize w:val="1"/>
      <w:tblStyleColBandSize w:val="1"/>
      <w:tblBorders>
        <w:top w:val="single" w:sz="4" w:space="0" w:color="FFFFFF" w:themeColor="text1" w:themeTint="80"/>
        <w:bottom w:val="single" w:sz="4" w:space="0" w:color="FFFFFF" w:themeColor="text1" w:themeTint="80"/>
      </w:tblBorders>
    </w:tblPr>
    <w:tblStylePr w:type="firstRow">
      <w:rPr>
        <w:b/>
        <w:bCs/>
      </w:rPr>
      <w:tblPr/>
      <w:tcPr>
        <w:tcBorders>
          <w:bottom w:val="single" w:sz="4" w:space="0" w:color="FFFFFF" w:themeColor="text1" w:themeTint="80"/>
        </w:tcBorders>
      </w:tcPr>
    </w:tblStylePr>
    <w:tblStylePr w:type="lastRow">
      <w:rPr>
        <w:b/>
        <w:bCs/>
      </w:rPr>
      <w:tblPr/>
      <w:tcPr>
        <w:tcBorders>
          <w:top w:val="single" w:sz="4" w:space="0" w:color="FFFFFF" w:themeColor="text1" w:themeTint="80"/>
        </w:tcBorders>
      </w:tcPr>
    </w:tblStylePr>
    <w:tblStylePr w:type="firstCol">
      <w:rPr>
        <w:b/>
        <w:bCs/>
      </w:rPr>
    </w:tblStylePr>
    <w:tblStylePr w:type="lastCol">
      <w:rPr>
        <w:b/>
        <w:bCs/>
      </w:rPr>
    </w:tblStylePr>
    <w:tblStylePr w:type="band1Vert">
      <w:tblPr/>
      <w:tcPr>
        <w:tcBorders>
          <w:left w:val="single" w:sz="4" w:space="0" w:color="FFFFFF" w:themeColor="text1" w:themeTint="80"/>
          <w:right w:val="single" w:sz="4" w:space="0" w:color="FFFFFF" w:themeColor="text1" w:themeTint="80"/>
        </w:tcBorders>
      </w:tcPr>
    </w:tblStylePr>
    <w:tblStylePr w:type="band2Vert">
      <w:tblPr/>
      <w:tcPr>
        <w:tcBorders>
          <w:left w:val="single" w:sz="4" w:space="0" w:color="FFFFFF" w:themeColor="text1" w:themeTint="80"/>
          <w:right w:val="single" w:sz="4" w:space="0" w:color="FFFFFF" w:themeColor="text1" w:themeTint="80"/>
        </w:tcBorders>
      </w:tcPr>
    </w:tblStylePr>
    <w:tblStylePr w:type="band1Horz">
      <w:tblPr/>
      <w:tcPr>
        <w:tcBorders>
          <w:top w:val="single" w:sz="4" w:space="0" w:color="FFFFFF" w:themeColor="text1" w:themeTint="80"/>
          <w:bottom w:val="single" w:sz="4" w:space="0" w:color="FFFFFF" w:themeColor="text1" w:themeTint="80"/>
        </w:tcBorders>
      </w:tcPr>
    </w:tblStylePr>
  </w:style>
  <w:style w:type="character" w:customStyle="1" w:styleId="CoverDateChar">
    <w:name w:val="Cover Date Char"/>
    <w:basedOn w:val="CoverSubtitleChar"/>
    <w:link w:val="CoverDate"/>
    <w:uiPriority w:val="39"/>
    <w:rsid w:val="00B47465"/>
    <w:rPr>
      <w:rFonts w:ascii="Arial" w:hAnsi="Arial"/>
      <w:b w:val="0"/>
      <w:i/>
      <w:iCs/>
      <w:color w:val="FFFFFF" w:themeColor="background1"/>
      <w:sz w:val="28"/>
      <w:szCs w:val="28"/>
      <w:lang w:val="en-GB"/>
    </w:rPr>
  </w:style>
  <w:style w:type="table" w:styleId="PlainTable1">
    <w:name w:val="Plain Table 1"/>
    <w:basedOn w:val="TableNormal"/>
    <w:uiPriority w:val="41"/>
    <w:rsid w:val="00B47465"/>
    <w:pPr>
      <w:spacing w:before="120" w:after="120" w:line="240" w:lineRule="auto"/>
    </w:pPr>
    <w:rPr>
      <w:sz w:val="21"/>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TableBody-text">
    <w:name w:val="Table Body-text"/>
    <w:basedOn w:val="Normal"/>
    <w:link w:val="TableBody-textChar"/>
    <w:qFormat/>
    <w:rsid w:val="00B47465"/>
    <w:pPr>
      <w:spacing w:before="80" w:after="80" w:line="259" w:lineRule="auto"/>
    </w:pPr>
    <w:rPr>
      <w:rFonts w:ascii="Calibri" w:hAnsi="Calibri"/>
      <w:color w:val="EBECED" w:themeColor="accent4"/>
      <w:szCs w:val="22"/>
    </w:rPr>
  </w:style>
  <w:style w:type="character" w:customStyle="1" w:styleId="TableBody-textChar">
    <w:name w:val="Table Body-text Char"/>
    <w:basedOn w:val="DefaultParagraphFont"/>
    <w:link w:val="TableBody-text"/>
    <w:rsid w:val="00B47465"/>
    <w:rPr>
      <w:rFonts w:ascii="Calibri" w:hAnsi="Calibri"/>
      <w:color w:val="EBECED" w:themeColor="accent4"/>
      <w:sz w:val="22"/>
      <w:szCs w:val="22"/>
      <w:lang w:val="en-NZ"/>
    </w:rPr>
  </w:style>
  <w:style w:type="paragraph" w:styleId="TOC4">
    <w:name w:val="toc 4"/>
    <w:basedOn w:val="Normal"/>
    <w:next w:val="Normal"/>
    <w:autoRedefine/>
    <w:uiPriority w:val="39"/>
    <w:unhideWhenUsed/>
    <w:rsid w:val="00B47465"/>
    <w:pPr>
      <w:spacing w:after="120" w:line="240" w:lineRule="auto"/>
      <w:ind w:left="1797" w:hanging="720"/>
    </w:pPr>
    <w:rPr>
      <w:color w:val="FFFFFF" w:themeColor="text1"/>
    </w:rPr>
  </w:style>
  <w:style w:type="character" w:customStyle="1" w:styleId="Heading5NotNumberedChar">
    <w:name w:val="Heading 5 (Not Numbered) Char"/>
    <w:basedOn w:val="Heading6Char"/>
    <w:link w:val="Heading5NotNumbered"/>
    <w:uiPriority w:val="39"/>
    <w:rsid w:val="00B47465"/>
    <w:rPr>
      <w:rFonts w:ascii="Arial" w:hAnsi="Arial"/>
      <w:b/>
      <w:bCs/>
      <w:color w:val="007E00" w:themeColor="accent3"/>
      <w:sz w:val="24"/>
      <w:szCs w:val="24"/>
      <w:lang w:val="en-GB"/>
    </w:rPr>
  </w:style>
  <w:style w:type="paragraph" w:customStyle="1" w:styleId="Appendix">
    <w:name w:val="Appendix"/>
    <w:basedOn w:val="Heading7"/>
    <w:link w:val="AppendixChar"/>
    <w:uiPriority w:val="39"/>
    <w:qFormat/>
    <w:rsid w:val="00B47465"/>
    <w:pPr>
      <w:numPr>
        <w:numId w:val="18"/>
      </w:numPr>
      <w:outlineLvl w:val="0"/>
    </w:pPr>
    <w:rPr>
      <w:lang w:val="en-GB"/>
    </w:rPr>
  </w:style>
  <w:style w:type="paragraph" w:styleId="TOC5">
    <w:name w:val="toc 5"/>
    <w:basedOn w:val="Normal"/>
    <w:next w:val="Normal"/>
    <w:autoRedefine/>
    <w:uiPriority w:val="39"/>
    <w:unhideWhenUsed/>
    <w:rsid w:val="00B47465"/>
    <w:pPr>
      <w:tabs>
        <w:tab w:val="left" w:pos="1797"/>
        <w:tab w:val="right" w:leader="dot" w:pos="9019"/>
      </w:tabs>
      <w:spacing w:after="120" w:line="240" w:lineRule="auto"/>
      <w:ind w:left="1797" w:hanging="720"/>
    </w:pPr>
  </w:style>
  <w:style w:type="character" w:customStyle="1" w:styleId="AppendixChar">
    <w:name w:val="Appendix Char"/>
    <w:basedOn w:val="Heading7Char"/>
    <w:link w:val="Appendix"/>
    <w:uiPriority w:val="39"/>
    <w:rsid w:val="00B47465"/>
    <w:rPr>
      <w:rFonts w:cstheme="minorHAnsi"/>
      <w:b/>
      <w:bCs/>
      <w:color w:val="36424A" w:themeColor="accent2"/>
      <w:sz w:val="24"/>
      <w:szCs w:val="24"/>
      <w:lang w:val="en-GB"/>
    </w:rPr>
  </w:style>
  <w:style w:type="paragraph" w:customStyle="1" w:styleId="NumberedHeading1">
    <w:name w:val="Numbered Heading 1"/>
    <w:basedOn w:val="ListParagraph"/>
    <w:next w:val="BodyText"/>
    <w:link w:val="NumberedHeading1Char"/>
    <w:uiPriority w:val="2"/>
    <w:qFormat/>
    <w:rsid w:val="00B47465"/>
    <w:pPr>
      <w:keepNext/>
      <w:numPr>
        <w:numId w:val="19"/>
      </w:numPr>
      <w:spacing w:before="360" w:line="259" w:lineRule="auto"/>
      <w:contextualSpacing w:val="0"/>
      <w:outlineLvl w:val="0"/>
    </w:pPr>
    <w:rPr>
      <w:rFonts w:asciiTheme="majorHAnsi" w:hAnsiTheme="majorHAnsi" w:cstheme="minorHAnsi"/>
      <w:b/>
      <w:caps/>
      <w:color w:val="EBECED" w:themeColor="text2"/>
      <w:kern w:val="28"/>
      <w:sz w:val="28"/>
      <w:szCs w:val="22"/>
    </w:rPr>
  </w:style>
  <w:style w:type="paragraph" w:customStyle="1" w:styleId="NumberedHeading2">
    <w:name w:val="Numbered Heading 2"/>
    <w:basedOn w:val="ListParagraph"/>
    <w:next w:val="BodyText"/>
    <w:uiPriority w:val="2"/>
    <w:qFormat/>
    <w:rsid w:val="00B47465"/>
    <w:pPr>
      <w:keepNext/>
      <w:numPr>
        <w:ilvl w:val="1"/>
        <w:numId w:val="19"/>
      </w:numPr>
      <w:spacing w:before="360" w:after="120" w:line="259" w:lineRule="auto"/>
      <w:contextualSpacing w:val="0"/>
      <w:outlineLvl w:val="1"/>
    </w:pPr>
    <w:rPr>
      <w:rFonts w:asciiTheme="majorHAnsi" w:hAnsiTheme="majorHAnsi"/>
      <w:b/>
      <w:color w:val="EBECED" w:themeColor="text2"/>
      <w:sz w:val="28"/>
      <w:szCs w:val="22"/>
    </w:rPr>
  </w:style>
  <w:style w:type="character" w:customStyle="1" w:styleId="NumberedHeading1Char">
    <w:name w:val="Numbered Heading 1 Char"/>
    <w:basedOn w:val="Heading1Char"/>
    <w:link w:val="NumberedHeading1"/>
    <w:uiPriority w:val="2"/>
    <w:rsid w:val="00B47465"/>
    <w:rPr>
      <w:rFonts w:asciiTheme="majorHAnsi" w:hAnsiTheme="majorHAnsi" w:cstheme="minorHAnsi"/>
      <w:b/>
      <w:caps/>
      <w:color w:val="EBECED" w:themeColor="text2"/>
      <w:kern w:val="28"/>
      <w:sz w:val="28"/>
      <w:szCs w:val="22"/>
      <w:lang w:val="en-NZ"/>
    </w:rPr>
  </w:style>
  <w:style w:type="paragraph" w:customStyle="1" w:styleId="NumberedHeading3">
    <w:name w:val="Numbered Heading 3"/>
    <w:basedOn w:val="ListParagraph"/>
    <w:uiPriority w:val="2"/>
    <w:qFormat/>
    <w:rsid w:val="00B47465"/>
    <w:pPr>
      <w:keepNext/>
      <w:numPr>
        <w:ilvl w:val="2"/>
        <w:numId w:val="19"/>
      </w:numPr>
      <w:spacing w:before="240" w:after="120" w:line="259" w:lineRule="auto"/>
      <w:contextualSpacing w:val="0"/>
      <w:outlineLvl w:val="2"/>
    </w:pPr>
    <w:rPr>
      <w:rFonts w:asciiTheme="majorHAnsi" w:hAnsiTheme="majorHAnsi"/>
      <w:b/>
      <w:color w:val="EBECED" w:themeColor="text2"/>
      <w:szCs w:val="22"/>
    </w:rPr>
  </w:style>
  <w:style w:type="paragraph" w:customStyle="1" w:styleId="NumberedHeading4">
    <w:name w:val="Numbered Heading 4"/>
    <w:basedOn w:val="ListParagraph"/>
    <w:next w:val="BodyText"/>
    <w:uiPriority w:val="2"/>
    <w:unhideWhenUsed/>
    <w:rsid w:val="00B47465"/>
    <w:pPr>
      <w:keepNext/>
      <w:numPr>
        <w:ilvl w:val="3"/>
        <w:numId w:val="19"/>
      </w:numPr>
      <w:spacing w:before="120" w:after="120" w:line="259" w:lineRule="auto"/>
      <w:contextualSpacing w:val="0"/>
      <w:outlineLvl w:val="3"/>
    </w:pPr>
    <w:rPr>
      <w:rFonts w:asciiTheme="majorHAnsi" w:hAnsiTheme="majorHAnsi"/>
      <w:b/>
      <w:i/>
      <w:color w:val="EBECED" w:themeColor="text2"/>
      <w:szCs w:val="22"/>
    </w:rPr>
  </w:style>
  <w:style w:type="table" w:styleId="GridTable4">
    <w:name w:val="Grid Table 4"/>
    <w:basedOn w:val="TableNormal"/>
    <w:uiPriority w:val="49"/>
    <w:rsid w:val="00B47465"/>
    <w:pPr>
      <w:spacing w:after="0" w:line="240" w:lineRule="auto"/>
    </w:pPr>
    <w:rPr>
      <w:sz w:val="22"/>
      <w:szCs w:val="22"/>
      <w:lang w:val="en-NZ"/>
    </w:rPr>
    <w:tblPr>
      <w:tblStyleRowBandSize w:val="1"/>
      <w:tblStyleColBandSize w:val="1"/>
      <w:tblBorders>
        <w:top w:val="single" w:sz="4" w:space="0" w:color="FFFFFF" w:themeColor="text1" w:themeTint="99"/>
        <w:left w:val="single" w:sz="4" w:space="0" w:color="FFFFFF" w:themeColor="text1" w:themeTint="99"/>
        <w:bottom w:val="single" w:sz="4" w:space="0" w:color="FFFFFF" w:themeColor="text1" w:themeTint="99"/>
        <w:right w:val="single" w:sz="4" w:space="0" w:color="FFFFFF" w:themeColor="text1" w:themeTint="99"/>
        <w:insideH w:val="single" w:sz="4" w:space="0" w:color="FFFFFF" w:themeColor="text1" w:themeTint="99"/>
        <w:insideV w:val="single" w:sz="4" w:space="0" w:color="FFFFFF" w:themeColor="text1" w:themeTint="99"/>
      </w:tblBorders>
    </w:tblPr>
    <w:tblStylePr w:type="firstRow">
      <w:rPr>
        <w:b/>
        <w:bCs/>
        <w:color w:val="FFFFFF" w:themeColor="background1"/>
      </w:rPr>
      <w:tblPr/>
      <w:tcPr>
        <w:tcBorders>
          <w:top w:val="single" w:sz="4" w:space="0" w:color="FFFFFF" w:themeColor="text1"/>
          <w:left w:val="single" w:sz="4" w:space="0" w:color="FFFFFF" w:themeColor="text1"/>
          <w:bottom w:val="single" w:sz="4" w:space="0" w:color="FFFFFF" w:themeColor="text1"/>
          <w:right w:val="single" w:sz="4" w:space="0" w:color="FFFFFF" w:themeColor="text1"/>
          <w:insideH w:val="nil"/>
          <w:insideV w:val="nil"/>
        </w:tcBorders>
        <w:shd w:val="clear" w:color="auto" w:fill="FFFFFF" w:themeFill="text1"/>
      </w:tcPr>
    </w:tblStylePr>
    <w:tblStylePr w:type="lastRow">
      <w:rPr>
        <w:b/>
        <w:bCs/>
      </w:rPr>
      <w:tblPr/>
      <w:tcPr>
        <w:tcBorders>
          <w:top w:val="double" w:sz="4" w:space="0" w:color="FFFFFF" w:themeColor="text1"/>
        </w:tcBorders>
      </w:tcPr>
    </w:tblStylePr>
    <w:tblStylePr w:type="firstCol">
      <w:rPr>
        <w:b/>
        <w:bCs/>
      </w:rPr>
    </w:tblStylePr>
    <w:tblStylePr w:type="lastCol">
      <w:rPr>
        <w:b/>
        <w:bCs/>
      </w:rPr>
    </w:tblStylePr>
    <w:tblStylePr w:type="band1Vert">
      <w:tblPr/>
      <w:tcPr>
        <w:shd w:val="clear" w:color="auto" w:fill="FFFFFF" w:themeFill="text1" w:themeFillTint="33"/>
      </w:tcPr>
    </w:tblStylePr>
    <w:tblStylePr w:type="band1Horz">
      <w:tblPr/>
      <w:tcPr>
        <w:shd w:val="clear" w:color="auto" w:fill="FFFFFF" w:themeFill="text1" w:themeFillTint="33"/>
      </w:tcPr>
    </w:tblStylePr>
  </w:style>
  <w:style w:type="paragraph" w:customStyle="1" w:styleId="Text-BodyHeading">
    <w:name w:val="Text - Body Heading"/>
    <w:basedOn w:val="Text"/>
    <w:link w:val="Text-BodyHeadingChar"/>
    <w:uiPriority w:val="39"/>
    <w:qFormat/>
    <w:rsid w:val="00B47465"/>
    <w:pPr>
      <w:spacing w:before="240" w:after="120"/>
    </w:pPr>
    <w:rPr>
      <w:b/>
      <w:bCs/>
      <w:color w:val="36424A" w:themeColor="background2"/>
      <w:spacing w:val="2"/>
      <w:lang w:val="en-GB"/>
    </w:rPr>
  </w:style>
  <w:style w:type="table" w:customStyle="1" w:styleId="TableDesign">
    <w:name w:val="Table Design"/>
    <w:basedOn w:val="TableNormal"/>
    <w:uiPriority w:val="99"/>
    <w:rsid w:val="00B47465"/>
    <w:pPr>
      <w:spacing w:before="120" w:after="120" w:line="240" w:lineRule="auto"/>
    </w:pPr>
    <w:rPr>
      <w:color w:val="FFFFFF" w:themeColor="text1"/>
      <w:sz w:val="21"/>
    </w:rPr>
    <w:tblPr>
      <w:tblStyleRowBandSize w:val="1"/>
      <w:tblStyleColBandSize w:val="1"/>
      <w:tblBorders>
        <w:top w:val="single" w:sz="2" w:space="0" w:color="36424A" w:themeColor="accent2"/>
        <w:left w:val="single" w:sz="2" w:space="0" w:color="36424A" w:themeColor="accent2"/>
        <w:bottom w:val="single" w:sz="2" w:space="0" w:color="36424A" w:themeColor="accent2"/>
        <w:right w:val="single" w:sz="2" w:space="0" w:color="36424A" w:themeColor="accent2"/>
        <w:insideH w:val="single" w:sz="2" w:space="0" w:color="36424A" w:themeColor="accent2"/>
        <w:insideV w:val="single" w:sz="2" w:space="0" w:color="36424A" w:themeColor="accent2"/>
      </w:tblBorders>
    </w:tblPr>
    <w:tcPr>
      <w:vAlign w:val="center"/>
    </w:tcPr>
    <w:tblStylePr w:type="firstRow">
      <w:pPr>
        <w:jc w:val="left"/>
      </w:pPr>
      <w:rPr>
        <w:rFonts w:ascii="Arial" w:hAnsi="Arial"/>
        <w:b w:val="0"/>
        <w:color w:val="FFFFFF" w:themeColor="background1"/>
        <w:sz w:val="21"/>
      </w:rPr>
      <w:tblPr/>
      <w:tcPr>
        <w:shd w:val="clear" w:color="auto" w:fill="EBECED" w:themeFill="accent4"/>
      </w:tcPr>
    </w:tblStylePr>
    <w:tblStylePr w:type="lastRow">
      <w:rPr>
        <w:rFonts w:ascii="Arial" w:hAnsi="Arial"/>
        <w:sz w:val="21"/>
      </w:rPr>
    </w:tblStylePr>
    <w:tblStylePr w:type="firstCol">
      <w:rPr>
        <w:rFonts w:ascii="Arial" w:hAnsi="Arial"/>
        <w:sz w:val="21"/>
      </w:rPr>
    </w:tblStylePr>
    <w:tblStylePr w:type="lastCol">
      <w:rPr>
        <w:rFonts w:ascii="Arial" w:hAnsi="Arial"/>
        <w:sz w:val="21"/>
      </w:rPr>
    </w:tblStylePr>
    <w:tblStylePr w:type="band1Vert">
      <w:rPr>
        <w:rFonts w:ascii="Arial" w:hAnsi="Arial"/>
        <w:sz w:val="21"/>
      </w:rPr>
    </w:tblStylePr>
    <w:tblStylePr w:type="band2Vert">
      <w:rPr>
        <w:rFonts w:ascii="Arial" w:hAnsi="Arial"/>
        <w:sz w:val="21"/>
      </w:rPr>
    </w:tblStylePr>
    <w:tblStylePr w:type="band1Horz">
      <w:rPr>
        <w:rFonts w:ascii="Arial" w:hAnsi="Arial"/>
        <w:sz w:val="21"/>
      </w:rPr>
      <w:tblPr/>
      <w:tcPr>
        <w:shd w:val="clear" w:color="auto" w:fill="FFFFFF" w:themeFill="background1"/>
      </w:tcPr>
    </w:tblStylePr>
    <w:tblStylePr w:type="band2Horz">
      <w:rPr>
        <w:rFonts w:ascii="Arial" w:hAnsi="Arial"/>
        <w:sz w:val="21"/>
      </w:rPr>
      <w:tblPr/>
      <w:tcPr>
        <w:shd w:val="clear" w:color="auto" w:fill="ECF3DF" w:themeFill="accent5" w:themeFillTint="66"/>
      </w:tcPr>
    </w:tblStylePr>
  </w:style>
  <w:style w:type="character" w:customStyle="1" w:styleId="Text-BodyHeadingChar">
    <w:name w:val="Text - Body Heading Char"/>
    <w:basedOn w:val="TextChar"/>
    <w:link w:val="Text-BodyHeading"/>
    <w:uiPriority w:val="39"/>
    <w:rsid w:val="00B47465"/>
    <w:rPr>
      <w:b/>
      <w:bCs/>
      <w:color w:val="36424A" w:themeColor="background2"/>
      <w:spacing w:val="2"/>
      <w:sz w:val="22"/>
      <w:lang w:val="en-GB"/>
    </w:rPr>
  </w:style>
  <w:style w:type="table" w:customStyle="1" w:styleId="ACTableDesign2">
    <w:name w:val="A+C Table Design 2"/>
    <w:basedOn w:val="ACTableDesign"/>
    <w:uiPriority w:val="99"/>
    <w:rsid w:val="00B47465"/>
    <w:pPr>
      <w:spacing w:after="0"/>
    </w:pPr>
    <w:tblPr/>
    <w:tblStylePr w:type="firstRow">
      <w:pPr>
        <w:jc w:val="left"/>
      </w:pPr>
      <w:rPr>
        <w:rFonts w:ascii="Arial" w:hAnsi="Arial"/>
        <w:b w:val="0"/>
        <w:color w:val="FFFFFF" w:themeColor="background1"/>
        <w:sz w:val="21"/>
      </w:rPr>
      <w:tblPr/>
      <w:tcPr>
        <w:shd w:val="clear" w:color="auto" w:fill="36424A" w:themeFill="accent2"/>
      </w:tcPr>
    </w:tblStylePr>
    <w:tblStylePr w:type="lastRow">
      <w:rPr>
        <w:rFonts w:ascii="Arial" w:hAnsi="Arial"/>
        <w:sz w:val="21"/>
      </w:rPr>
    </w:tblStylePr>
    <w:tblStylePr w:type="firstCol">
      <w:rPr>
        <w:rFonts w:ascii="Arial" w:hAnsi="Arial"/>
        <w:sz w:val="21"/>
      </w:rPr>
    </w:tblStylePr>
    <w:tblStylePr w:type="lastCol">
      <w:rPr>
        <w:rFonts w:ascii="Arial" w:hAnsi="Arial"/>
        <w:sz w:val="21"/>
      </w:rPr>
    </w:tblStylePr>
    <w:tblStylePr w:type="band1Vert">
      <w:rPr>
        <w:rFonts w:ascii="Arial" w:hAnsi="Arial"/>
        <w:sz w:val="21"/>
      </w:rPr>
    </w:tblStylePr>
    <w:tblStylePr w:type="band2Vert">
      <w:rPr>
        <w:rFonts w:ascii="Arial" w:hAnsi="Arial"/>
        <w:sz w:val="21"/>
      </w:rPr>
    </w:tblStylePr>
    <w:tblStylePr w:type="band1Horz">
      <w:rPr>
        <w:rFonts w:ascii="Arial" w:hAnsi="Arial"/>
        <w:sz w:val="21"/>
      </w:rPr>
      <w:tblPr/>
      <w:tcPr>
        <w:shd w:val="clear" w:color="auto" w:fill="FFFFFF" w:themeFill="background1"/>
      </w:tcPr>
    </w:tblStylePr>
    <w:tblStylePr w:type="band2Horz">
      <w:rPr>
        <w:rFonts w:ascii="Arial" w:hAnsi="Arial"/>
        <w:sz w:val="21"/>
      </w:rPr>
      <w:tblPr/>
      <w:tcPr>
        <w:shd w:val="clear" w:color="auto" w:fill="D1E3B0" w:themeFill="accent5"/>
      </w:tcPr>
    </w:tblStylePr>
  </w:style>
  <w:style w:type="paragraph" w:customStyle="1" w:styleId="TableFigureTitle">
    <w:name w:val="Table/Figure Title"/>
    <w:basedOn w:val="Text"/>
    <w:next w:val="TableFigure-Notes"/>
    <w:link w:val="TableFigureTitleChar"/>
    <w:uiPriority w:val="39"/>
    <w:qFormat/>
    <w:rsid w:val="00B47465"/>
    <w:pPr>
      <w:spacing w:after="120" w:line="240" w:lineRule="auto"/>
    </w:pPr>
    <w:rPr>
      <w:i/>
    </w:rPr>
  </w:style>
  <w:style w:type="paragraph" w:customStyle="1" w:styleId="TableFigure-Notes">
    <w:name w:val="Table/Figure - Notes"/>
    <w:basedOn w:val="Text"/>
    <w:link w:val="TableFigure-NotesChar"/>
    <w:uiPriority w:val="39"/>
    <w:qFormat/>
    <w:rsid w:val="00B47465"/>
    <w:rPr>
      <w:sz w:val="18"/>
      <w:szCs w:val="18"/>
    </w:rPr>
  </w:style>
  <w:style w:type="character" w:customStyle="1" w:styleId="TableFigureTitleChar">
    <w:name w:val="Table/Figure Title Char"/>
    <w:basedOn w:val="TextChar"/>
    <w:link w:val="TableFigureTitle"/>
    <w:uiPriority w:val="39"/>
    <w:rsid w:val="00B47465"/>
    <w:rPr>
      <w:i/>
      <w:sz w:val="22"/>
      <w:lang w:val="en-NZ"/>
    </w:rPr>
  </w:style>
  <w:style w:type="character" w:customStyle="1" w:styleId="TableFigure-NotesChar">
    <w:name w:val="Table/Figure - Notes Char"/>
    <w:basedOn w:val="TextChar"/>
    <w:link w:val="TableFigure-Notes"/>
    <w:uiPriority w:val="39"/>
    <w:rsid w:val="00B47465"/>
    <w:rPr>
      <w:sz w:val="18"/>
      <w:szCs w:val="18"/>
      <w:lang w:val="en-NZ"/>
    </w:rPr>
  </w:style>
  <w:style w:type="paragraph" w:customStyle="1" w:styleId="Heading1NoPageBreak">
    <w:name w:val="Heading 1 (No Page Break)"/>
    <w:basedOn w:val="Heading1"/>
    <w:next w:val="Text"/>
    <w:uiPriority w:val="39"/>
    <w:rsid w:val="00B47465"/>
    <w:pPr>
      <w:pageBreakBefore w:val="0"/>
    </w:pPr>
  </w:style>
  <w:style w:type="paragraph" w:customStyle="1" w:styleId="Text-2column">
    <w:name w:val="Text - 2 column"/>
    <w:basedOn w:val="Text"/>
    <w:next w:val="Text"/>
    <w:uiPriority w:val="39"/>
    <w:rsid w:val="00B47465"/>
  </w:style>
  <w:style w:type="table" w:customStyle="1" w:styleId="ACTableDesign3">
    <w:name w:val="A+C Table Design 3"/>
    <w:basedOn w:val="ACTableDesign2"/>
    <w:uiPriority w:val="99"/>
    <w:rsid w:val="00B47465"/>
    <w:tblPr/>
    <w:tblStylePr w:type="firstRow">
      <w:pPr>
        <w:jc w:val="left"/>
      </w:pPr>
      <w:rPr>
        <w:rFonts w:ascii="Arial" w:hAnsi="Arial"/>
        <w:b w:val="0"/>
        <w:color w:val="FFFFFF" w:themeColor="background1"/>
        <w:sz w:val="21"/>
      </w:rPr>
      <w:tblPr/>
      <w:tcPr>
        <w:shd w:val="clear" w:color="auto" w:fill="EBECED" w:themeFill="accent4"/>
      </w:tcPr>
    </w:tblStylePr>
    <w:tblStylePr w:type="lastRow">
      <w:rPr>
        <w:rFonts w:ascii="Arial" w:hAnsi="Arial"/>
        <w:sz w:val="21"/>
      </w:rPr>
    </w:tblStylePr>
    <w:tblStylePr w:type="firstCol">
      <w:rPr>
        <w:rFonts w:ascii="Arial" w:hAnsi="Arial"/>
        <w:sz w:val="21"/>
      </w:rPr>
    </w:tblStylePr>
    <w:tblStylePr w:type="lastCol">
      <w:rPr>
        <w:rFonts w:ascii="Arial" w:hAnsi="Arial"/>
        <w:sz w:val="21"/>
      </w:rPr>
    </w:tblStylePr>
    <w:tblStylePr w:type="band1Vert">
      <w:rPr>
        <w:rFonts w:ascii="Arial" w:hAnsi="Arial"/>
        <w:sz w:val="21"/>
      </w:rPr>
    </w:tblStylePr>
    <w:tblStylePr w:type="band2Vert">
      <w:rPr>
        <w:rFonts w:ascii="Arial" w:hAnsi="Arial"/>
        <w:sz w:val="21"/>
      </w:rPr>
    </w:tblStylePr>
    <w:tblStylePr w:type="band1Horz">
      <w:rPr>
        <w:rFonts w:ascii="Arial" w:hAnsi="Arial"/>
        <w:sz w:val="21"/>
      </w:rPr>
      <w:tblPr/>
      <w:tcPr>
        <w:shd w:val="clear" w:color="auto" w:fill="FFFFFF" w:themeFill="background1"/>
      </w:tcPr>
    </w:tblStylePr>
    <w:tblStylePr w:type="band2Horz">
      <w:rPr>
        <w:rFonts w:ascii="Arial" w:hAnsi="Arial"/>
        <w:sz w:val="21"/>
      </w:rPr>
      <w:tblPr/>
      <w:tcPr>
        <w:shd w:val="clear" w:color="auto" w:fill="D1E3B0" w:themeFill="accent5"/>
      </w:tcPr>
    </w:tblStylePr>
  </w:style>
  <w:style w:type="character" w:customStyle="1" w:styleId="NoSpacingChar">
    <w:name w:val="No Spacing Char"/>
    <w:basedOn w:val="DefaultParagraphFont"/>
    <w:link w:val="NoSpacing"/>
    <w:uiPriority w:val="1"/>
    <w:rsid w:val="00B47465"/>
    <w:rPr>
      <w:color w:val="FF0000"/>
    </w:rPr>
  </w:style>
  <w:style w:type="paragraph" w:customStyle="1" w:styleId="Heading1NotNumbered">
    <w:name w:val="Heading 1 (Not Numbered)"/>
    <w:basedOn w:val="Heading1"/>
    <w:next w:val="Normal"/>
    <w:uiPriority w:val="39"/>
    <w:rsid w:val="00B47465"/>
    <w:pPr>
      <w:pageBreakBefore w:val="0"/>
      <w:numPr>
        <w:numId w:val="0"/>
      </w:numPr>
    </w:pPr>
  </w:style>
  <w:style w:type="paragraph" w:customStyle="1" w:styleId="Heading2NotNumbered">
    <w:name w:val="Heading 2 (Not Numbered)"/>
    <w:basedOn w:val="Heading2"/>
    <w:next w:val="Normal"/>
    <w:uiPriority w:val="39"/>
    <w:rsid w:val="00B47465"/>
    <w:pPr>
      <w:numPr>
        <w:ilvl w:val="0"/>
        <w:numId w:val="0"/>
      </w:numPr>
    </w:pPr>
  </w:style>
  <w:style w:type="paragraph" w:customStyle="1" w:styleId="Heading3NotNumbered">
    <w:name w:val="Heading 3 (Not Numbered)"/>
    <w:basedOn w:val="Heading3"/>
    <w:next w:val="Normal"/>
    <w:uiPriority w:val="39"/>
    <w:rsid w:val="00B47465"/>
    <w:pPr>
      <w:numPr>
        <w:ilvl w:val="0"/>
        <w:numId w:val="0"/>
      </w:numPr>
      <w:ind w:left="1225" w:hanging="1225"/>
    </w:pPr>
  </w:style>
  <w:style w:type="paragraph" w:customStyle="1" w:styleId="Heading4NotNumbered">
    <w:name w:val="Heading 4 (Not Numbered)"/>
    <w:basedOn w:val="Heading4"/>
    <w:uiPriority w:val="39"/>
    <w:rsid w:val="00B47465"/>
    <w:pPr>
      <w:numPr>
        <w:ilvl w:val="0"/>
        <w:numId w:val="0"/>
      </w:numPr>
    </w:pPr>
  </w:style>
  <w:style w:type="paragraph" w:customStyle="1" w:styleId="InstructionsHeader">
    <w:name w:val="Instructions Header"/>
    <w:basedOn w:val="Normal"/>
    <w:next w:val="InstructionsBody"/>
    <w:uiPriority w:val="39"/>
    <w:qFormat/>
    <w:rsid w:val="00B47465"/>
    <w:pPr>
      <w:pBdr>
        <w:top w:val="single" w:sz="6" w:space="3" w:color="77B800"/>
        <w:left w:val="single" w:sz="6" w:space="3" w:color="77B800"/>
        <w:bottom w:val="single" w:sz="6" w:space="3" w:color="77B800"/>
        <w:right w:val="single" w:sz="6" w:space="3" w:color="77B800"/>
      </w:pBdr>
      <w:spacing w:before="120" w:after="120" w:line="259" w:lineRule="auto"/>
    </w:pPr>
    <w:rPr>
      <w:rFonts w:ascii="Arial" w:eastAsia="Arial" w:hAnsi="Arial" w:cs="Times New Roman"/>
      <w:b/>
      <w:bCs/>
      <w:color w:val="77B800"/>
      <w:szCs w:val="22"/>
    </w:rPr>
  </w:style>
  <w:style w:type="paragraph" w:customStyle="1" w:styleId="InstructionsBody">
    <w:name w:val="Instructions Body"/>
    <w:basedOn w:val="Normal"/>
    <w:next w:val="Normal"/>
    <w:uiPriority w:val="39"/>
    <w:qFormat/>
    <w:rsid w:val="00B47465"/>
    <w:pPr>
      <w:pBdr>
        <w:top w:val="single" w:sz="6" w:space="3" w:color="77B800"/>
        <w:left w:val="single" w:sz="6" w:space="3" w:color="77B800"/>
        <w:bottom w:val="single" w:sz="6" w:space="3" w:color="77B800"/>
        <w:right w:val="single" w:sz="6" w:space="3" w:color="77B800"/>
      </w:pBdr>
      <w:shd w:val="clear" w:color="auto" w:fill="E7FFBD"/>
      <w:spacing w:before="120" w:after="120" w:line="259" w:lineRule="auto"/>
    </w:pPr>
    <w:rPr>
      <w:rFonts w:ascii="Arial" w:eastAsia="Arial" w:hAnsi="Arial" w:cs="Times New Roman"/>
      <w:color w:val="000000"/>
      <w:szCs w:val="22"/>
    </w:rPr>
  </w:style>
  <w:style w:type="paragraph" w:customStyle="1" w:styleId="AcknowledgementofCountry">
    <w:name w:val="Acknowledgement of Country"/>
    <w:basedOn w:val="Normal"/>
    <w:link w:val="AcknowledgementofCountryChar"/>
    <w:uiPriority w:val="39"/>
    <w:qFormat/>
    <w:rsid w:val="00B47465"/>
    <w:rPr>
      <w:color w:val="FFFFFF" w:themeColor="text1"/>
      <w:sz w:val="21"/>
    </w:rPr>
  </w:style>
  <w:style w:type="character" w:customStyle="1" w:styleId="AcknowledgementofCountryChar">
    <w:name w:val="Acknowledgement of Country Char"/>
    <w:basedOn w:val="DefaultParagraphFont"/>
    <w:link w:val="AcknowledgementofCountry"/>
    <w:uiPriority w:val="39"/>
    <w:rsid w:val="00B47465"/>
    <w:rPr>
      <w:color w:val="FFFFFF" w:themeColor="text1"/>
      <w:sz w:val="21"/>
      <w:lang w:val="en-NZ"/>
    </w:rPr>
  </w:style>
  <w:style w:type="character" w:styleId="FootnoteReference">
    <w:name w:val="footnote reference"/>
    <w:aliases w:val="(NECG) Footnote Reference,(NECG) Footnote Reference1,(NECG) Footnote Reference2,o,Footnote Reference 1"/>
    <w:basedOn w:val="DefaultParagraphFont"/>
    <w:uiPriority w:val="99"/>
    <w:unhideWhenUsed/>
    <w:rsid w:val="00B47465"/>
    <w:rPr>
      <w:vertAlign w:val="superscript"/>
    </w:rPr>
  </w:style>
  <w:style w:type="paragraph" w:customStyle="1" w:styleId="1Dot-point">
    <w:name w:val="1 Dot-point"/>
    <w:basedOn w:val="BodyText"/>
    <w:qFormat/>
    <w:rsid w:val="00E27D06"/>
    <w:pPr>
      <w:numPr>
        <w:numId w:val="23"/>
      </w:numPr>
      <w:spacing w:before="120" w:line="280" w:lineRule="exact"/>
    </w:pPr>
    <w:rPr>
      <w:color w:val="EBECED"/>
      <w:szCs w:val="22"/>
    </w:rPr>
  </w:style>
  <w:style w:type="numbering" w:customStyle="1" w:styleId="Dot-point">
    <w:name w:val="Dot-point"/>
    <w:uiPriority w:val="99"/>
    <w:rsid w:val="00E27D06"/>
    <w:pPr>
      <w:numPr>
        <w:numId w:val="22"/>
      </w:numPr>
    </w:pPr>
  </w:style>
  <w:style w:type="paragraph" w:customStyle="1" w:styleId="2Dot-point">
    <w:name w:val="2 Dot-point"/>
    <w:basedOn w:val="1Dot-point"/>
    <w:qFormat/>
    <w:rsid w:val="00E27D06"/>
    <w:pPr>
      <w:numPr>
        <w:ilvl w:val="1"/>
      </w:numPr>
      <w:tabs>
        <w:tab w:val="num" w:pos="360"/>
      </w:tabs>
      <w:ind w:left="1190" w:hanging="510"/>
    </w:pPr>
  </w:style>
  <w:style w:type="table" w:customStyle="1" w:styleId="ListTable3-Accent31">
    <w:name w:val="List Table 3 - Accent 31"/>
    <w:basedOn w:val="TableNormal"/>
    <w:next w:val="ListTable3-Accent3"/>
    <w:uiPriority w:val="48"/>
    <w:rsid w:val="00E27D06"/>
    <w:pPr>
      <w:spacing w:after="0" w:line="240" w:lineRule="auto"/>
    </w:pPr>
    <w:tblPr>
      <w:tblStyleRowBandSize w:val="1"/>
      <w:tblStyleColBandSize w:val="1"/>
      <w:tblBorders>
        <w:top w:val="single" w:sz="4" w:space="0" w:color="007E00"/>
        <w:left w:val="single" w:sz="4" w:space="0" w:color="007E00"/>
        <w:bottom w:val="single" w:sz="4" w:space="0" w:color="007E00"/>
        <w:right w:val="single" w:sz="4" w:space="0" w:color="007E00"/>
      </w:tblBorders>
    </w:tblPr>
    <w:tblStylePr w:type="firstRow">
      <w:rPr>
        <w:b/>
        <w:bCs/>
        <w:color w:val="FFFFFF"/>
      </w:rPr>
      <w:tblPr/>
      <w:tcPr>
        <w:shd w:val="clear" w:color="auto" w:fill="007E00"/>
      </w:tcPr>
    </w:tblStylePr>
    <w:tblStylePr w:type="lastRow">
      <w:rPr>
        <w:b/>
        <w:bCs/>
      </w:rPr>
      <w:tblPr/>
      <w:tcPr>
        <w:tcBorders>
          <w:top w:val="double" w:sz="4" w:space="0" w:color="007E0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007E00"/>
          <w:right w:val="single" w:sz="4" w:space="0" w:color="007E00"/>
        </w:tcBorders>
      </w:tcPr>
    </w:tblStylePr>
    <w:tblStylePr w:type="band1Horz">
      <w:tblPr/>
      <w:tcPr>
        <w:tcBorders>
          <w:top w:val="single" w:sz="4" w:space="0" w:color="007E00"/>
          <w:bottom w:val="single" w:sz="4" w:space="0" w:color="007E0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7E00"/>
          <w:left w:val="nil"/>
        </w:tcBorders>
      </w:tcPr>
    </w:tblStylePr>
    <w:tblStylePr w:type="swCell">
      <w:tblPr/>
      <w:tcPr>
        <w:tcBorders>
          <w:top w:val="double" w:sz="4" w:space="0" w:color="007E00"/>
          <w:right w:val="nil"/>
        </w:tcBorders>
      </w:tcPr>
    </w:tblStylePr>
  </w:style>
  <w:style w:type="paragraph" w:customStyle="1" w:styleId="Outline-Number">
    <w:name w:val="Outline - Number"/>
    <w:basedOn w:val="Bullet1"/>
    <w:uiPriority w:val="6"/>
    <w:rsid w:val="00E27D06"/>
    <w:pPr>
      <w:numPr>
        <w:numId w:val="0"/>
      </w:numPr>
      <w:ind w:left="431" w:hanging="431"/>
    </w:pPr>
    <w:rPr>
      <w:lang w:val="en-US"/>
    </w:rPr>
  </w:style>
  <w:style w:type="paragraph" w:customStyle="1" w:styleId="Outline-Alpha">
    <w:name w:val="Outline - Alpha"/>
    <w:basedOn w:val="Outline-Number"/>
    <w:uiPriority w:val="6"/>
    <w:rsid w:val="00E27D06"/>
    <w:pPr>
      <w:ind w:left="216" w:hanging="216"/>
    </w:pPr>
  </w:style>
  <w:style w:type="table" w:styleId="ListTable3-Accent3">
    <w:name w:val="List Table 3 Accent 3"/>
    <w:basedOn w:val="TableNormal"/>
    <w:uiPriority w:val="48"/>
    <w:rsid w:val="00E27D06"/>
    <w:pPr>
      <w:spacing w:after="0" w:line="240" w:lineRule="auto"/>
    </w:pPr>
    <w:tblPr>
      <w:tblStyleRowBandSize w:val="1"/>
      <w:tblStyleColBandSize w:val="1"/>
      <w:tblBorders>
        <w:top w:val="single" w:sz="4" w:space="0" w:color="007E00" w:themeColor="accent3"/>
        <w:left w:val="single" w:sz="4" w:space="0" w:color="007E00" w:themeColor="accent3"/>
        <w:bottom w:val="single" w:sz="4" w:space="0" w:color="007E00" w:themeColor="accent3"/>
        <w:right w:val="single" w:sz="4" w:space="0" w:color="007E00" w:themeColor="accent3"/>
      </w:tblBorders>
    </w:tblPr>
    <w:tblStylePr w:type="firstRow">
      <w:rPr>
        <w:b/>
        <w:bCs/>
        <w:color w:val="FFFFFF" w:themeColor="background1"/>
      </w:rPr>
      <w:tblPr/>
      <w:tcPr>
        <w:shd w:val="clear" w:color="auto" w:fill="007E00" w:themeFill="accent3"/>
      </w:tcPr>
    </w:tblStylePr>
    <w:tblStylePr w:type="lastRow">
      <w:rPr>
        <w:b/>
        <w:bCs/>
      </w:rPr>
      <w:tblPr/>
      <w:tcPr>
        <w:tcBorders>
          <w:top w:val="double" w:sz="4" w:space="0" w:color="007E00"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7E00" w:themeColor="accent3"/>
          <w:right w:val="single" w:sz="4" w:space="0" w:color="007E00" w:themeColor="accent3"/>
        </w:tcBorders>
      </w:tcPr>
    </w:tblStylePr>
    <w:tblStylePr w:type="band1Horz">
      <w:tblPr/>
      <w:tcPr>
        <w:tcBorders>
          <w:top w:val="single" w:sz="4" w:space="0" w:color="007E00" w:themeColor="accent3"/>
          <w:bottom w:val="single" w:sz="4" w:space="0" w:color="007E00"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7E00" w:themeColor="accent3"/>
          <w:left w:val="nil"/>
        </w:tcBorders>
      </w:tcPr>
    </w:tblStylePr>
    <w:tblStylePr w:type="swCell">
      <w:tblPr/>
      <w:tcPr>
        <w:tcBorders>
          <w:top w:val="double" w:sz="4" w:space="0" w:color="007E00" w:themeColor="accent3"/>
          <w:right w:val="nil"/>
        </w:tcBorders>
      </w:tcPr>
    </w:tblStylePr>
  </w:style>
  <w:style w:type="paragraph" w:customStyle="1" w:styleId="Sectionpagetitle">
    <w:name w:val="Section page title"/>
    <w:basedOn w:val="Text"/>
    <w:uiPriority w:val="39"/>
    <w:qFormat/>
    <w:rsid w:val="005F7EB6"/>
    <w:pPr>
      <w:spacing w:before="12600"/>
    </w:pPr>
    <w:rPr>
      <w:b/>
      <w:bCs/>
      <w:color w:val="FFFFFF" w:themeColor="background1"/>
      <w:sz w:val="72"/>
      <w:szCs w:val="72"/>
    </w:rPr>
  </w:style>
  <w:style w:type="table" w:customStyle="1" w:styleId="ACTableDesign1">
    <w:name w:val="A+C Table Design1"/>
    <w:basedOn w:val="TableNormal"/>
    <w:uiPriority w:val="99"/>
    <w:rsid w:val="00297EAC"/>
    <w:pPr>
      <w:spacing w:before="120" w:after="120" w:line="240" w:lineRule="auto"/>
    </w:pPr>
    <w:rPr>
      <w:rFonts w:eastAsia="MS Mincho"/>
      <w:color w:val="36424A"/>
      <w:sz w:val="21"/>
      <w:lang w:eastAsia="zh-CN"/>
    </w:rPr>
    <w:tblPr>
      <w:tblStyleRowBandSize w:val="1"/>
      <w:tblStyleColBandSize w:val="1"/>
      <w:tblBorders>
        <w:top w:val="single" w:sz="2" w:space="0" w:color="36424A"/>
        <w:left w:val="single" w:sz="2" w:space="0" w:color="36424A"/>
        <w:bottom w:val="single" w:sz="2" w:space="0" w:color="36424A"/>
        <w:right w:val="single" w:sz="2" w:space="0" w:color="36424A"/>
        <w:insideH w:val="single" w:sz="2" w:space="0" w:color="36424A"/>
        <w:insideV w:val="single" w:sz="2" w:space="0" w:color="36424A"/>
      </w:tblBorders>
    </w:tblPr>
    <w:tcPr>
      <w:vAlign w:val="center"/>
    </w:tcPr>
    <w:tblStylePr w:type="firstRow">
      <w:pPr>
        <w:jc w:val="left"/>
      </w:pPr>
      <w:rPr>
        <w:rFonts w:ascii="Arial" w:hAnsi="Arial"/>
        <w:b/>
        <w:color w:val="000000"/>
        <w:sz w:val="21"/>
      </w:rPr>
      <w:tblPr/>
      <w:tcPr>
        <w:shd w:val="clear" w:color="auto" w:fill="78B800"/>
      </w:tcPr>
    </w:tblStylePr>
    <w:tblStylePr w:type="lastRow">
      <w:rPr>
        <w:rFonts w:ascii="Arial" w:hAnsi="Arial"/>
        <w:sz w:val="21"/>
      </w:rPr>
    </w:tblStylePr>
    <w:tblStylePr w:type="firstCol">
      <w:rPr>
        <w:rFonts w:ascii="Arial" w:hAnsi="Arial"/>
        <w:sz w:val="21"/>
      </w:rPr>
    </w:tblStylePr>
    <w:tblStylePr w:type="lastCol">
      <w:rPr>
        <w:rFonts w:ascii="Arial" w:hAnsi="Arial"/>
        <w:sz w:val="21"/>
      </w:rPr>
    </w:tblStylePr>
    <w:tblStylePr w:type="band1Vert">
      <w:rPr>
        <w:rFonts w:ascii="Arial" w:hAnsi="Arial"/>
        <w:sz w:val="21"/>
      </w:rPr>
    </w:tblStylePr>
    <w:tblStylePr w:type="band2Vert">
      <w:rPr>
        <w:rFonts w:ascii="Arial" w:hAnsi="Arial"/>
        <w:sz w:val="21"/>
      </w:rPr>
    </w:tblStylePr>
    <w:tblStylePr w:type="band1Horz">
      <w:rPr>
        <w:rFonts w:ascii="Arial" w:hAnsi="Arial"/>
        <w:sz w:val="21"/>
      </w:rPr>
      <w:tblPr/>
      <w:tcPr>
        <w:shd w:val="clear" w:color="auto" w:fill="FFFFFF"/>
      </w:tcPr>
    </w:tblStylePr>
    <w:tblStylePr w:type="band2Horz">
      <w:rPr>
        <w:rFonts w:ascii="Arial" w:hAnsi="Arial"/>
        <w:sz w:val="21"/>
      </w:rPr>
      <w:tblPr/>
      <w:tcPr>
        <w:shd w:val="clear" w:color="auto" w:fill="EBECED"/>
      </w:tcPr>
    </w:tblStylePr>
  </w:style>
  <w:style w:type="paragraph" w:customStyle="1" w:styleId="TableDot-point">
    <w:name w:val="Table Dot-point"/>
    <w:basedOn w:val="ListParagraph"/>
    <w:qFormat/>
    <w:rsid w:val="00550FBE"/>
    <w:pPr>
      <w:numPr>
        <w:numId w:val="27"/>
      </w:numPr>
      <w:spacing w:before="80" w:after="80" w:line="259" w:lineRule="auto"/>
      <w:ind w:left="414" w:hanging="357"/>
    </w:pPr>
    <w:rPr>
      <w:rFonts w:ascii="Calibri" w:hAnsi="Calibri"/>
      <w:color w:val="EBECED" w:themeColor="accent4"/>
      <w:szCs w:val="22"/>
    </w:rPr>
  </w:style>
  <w:style w:type="character" w:styleId="EndnoteReference">
    <w:name w:val="endnote reference"/>
    <w:basedOn w:val="DefaultParagraphFont"/>
    <w:uiPriority w:val="99"/>
    <w:semiHidden/>
    <w:unhideWhenUsed/>
    <w:rsid w:val="00792A8E"/>
    <w:rPr>
      <w:vertAlign w:val="superscript"/>
    </w:rPr>
  </w:style>
  <w:style w:type="character" w:styleId="Mention">
    <w:name w:val="Mention"/>
    <w:basedOn w:val="DefaultParagraphFont"/>
    <w:uiPriority w:val="99"/>
    <w:unhideWhenUsed/>
    <w:rsid w:val="00102AA0"/>
    <w:rPr>
      <w:color w:val="2B579A"/>
      <w:shd w:val="clear" w:color="auto" w:fill="E1DFDD"/>
    </w:rPr>
  </w:style>
  <w:style w:type="table" w:customStyle="1" w:styleId="ACTableDesign20">
    <w:name w:val="A+C Table Design2"/>
    <w:basedOn w:val="TableNormal"/>
    <w:uiPriority w:val="99"/>
    <w:rsid w:val="00BB1E4A"/>
    <w:pPr>
      <w:spacing w:before="120" w:after="120" w:line="240" w:lineRule="auto"/>
    </w:pPr>
    <w:rPr>
      <w:color w:val="36424A"/>
      <w:sz w:val="21"/>
    </w:rPr>
    <w:tblPr>
      <w:tblStyleRowBandSize w:val="1"/>
      <w:tblStyleColBandSize w:val="1"/>
      <w:tblBorders>
        <w:top w:val="single" w:sz="2" w:space="0" w:color="36424A"/>
        <w:left w:val="single" w:sz="2" w:space="0" w:color="36424A"/>
        <w:bottom w:val="single" w:sz="2" w:space="0" w:color="36424A"/>
        <w:right w:val="single" w:sz="2" w:space="0" w:color="36424A"/>
        <w:insideH w:val="single" w:sz="2" w:space="0" w:color="36424A"/>
        <w:insideV w:val="single" w:sz="2" w:space="0" w:color="36424A"/>
      </w:tblBorders>
    </w:tblPr>
    <w:tcPr>
      <w:vAlign w:val="center"/>
    </w:tcPr>
    <w:tblStylePr w:type="firstRow">
      <w:pPr>
        <w:jc w:val="left"/>
      </w:pPr>
      <w:rPr>
        <w:rFonts w:ascii="Arial" w:hAnsi="Arial"/>
        <w:b/>
        <w:color w:val="000000"/>
        <w:sz w:val="21"/>
      </w:rPr>
      <w:tblPr/>
      <w:tcPr>
        <w:shd w:val="clear" w:color="auto" w:fill="78B800"/>
      </w:tcPr>
    </w:tblStylePr>
    <w:tblStylePr w:type="lastRow">
      <w:rPr>
        <w:rFonts w:ascii="Arial" w:hAnsi="Arial"/>
        <w:sz w:val="21"/>
      </w:rPr>
    </w:tblStylePr>
    <w:tblStylePr w:type="firstCol">
      <w:rPr>
        <w:rFonts w:ascii="Arial" w:hAnsi="Arial"/>
        <w:sz w:val="21"/>
      </w:rPr>
    </w:tblStylePr>
    <w:tblStylePr w:type="lastCol">
      <w:rPr>
        <w:rFonts w:ascii="Arial" w:hAnsi="Arial"/>
        <w:sz w:val="21"/>
      </w:rPr>
    </w:tblStylePr>
    <w:tblStylePr w:type="band1Vert">
      <w:rPr>
        <w:rFonts w:ascii="Arial" w:hAnsi="Arial"/>
        <w:sz w:val="21"/>
      </w:rPr>
    </w:tblStylePr>
    <w:tblStylePr w:type="band2Vert">
      <w:rPr>
        <w:rFonts w:ascii="Arial" w:hAnsi="Arial"/>
        <w:sz w:val="21"/>
      </w:rPr>
    </w:tblStylePr>
    <w:tblStylePr w:type="band1Horz">
      <w:rPr>
        <w:rFonts w:ascii="Arial" w:hAnsi="Arial"/>
        <w:sz w:val="21"/>
      </w:rPr>
      <w:tblPr/>
      <w:tcPr>
        <w:shd w:val="clear" w:color="auto" w:fill="FFFFFF"/>
      </w:tcPr>
    </w:tblStylePr>
    <w:tblStylePr w:type="band2Horz">
      <w:rPr>
        <w:rFonts w:ascii="Arial" w:hAnsi="Arial"/>
        <w:sz w:val="21"/>
      </w:rPr>
      <w:tblPr/>
      <w:tcPr>
        <w:shd w:val="clear" w:color="auto" w:fill="EBECED"/>
      </w:tcPr>
    </w:tblStylePr>
  </w:style>
  <w:style w:type="table" w:customStyle="1" w:styleId="ACTableDesign30">
    <w:name w:val="A+C Table Design3"/>
    <w:basedOn w:val="TableNormal"/>
    <w:uiPriority w:val="99"/>
    <w:rsid w:val="00FF1E8F"/>
    <w:pPr>
      <w:spacing w:before="120" w:after="120" w:line="240" w:lineRule="auto"/>
    </w:pPr>
    <w:rPr>
      <w:color w:val="36424A"/>
      <w:sz w:val="21"/>
    </w:rPr>
    <w:tblPr>
      <w:tblStyleRowBandSize w:val="1"/>
      <w:tblStyleColBandSize w:val="1"/>
      <w:tblBorders>
        <w:top w:val="single" w:sz="2" w:space="0" w:color="36424A"/>
        <w:left w:val="single" w:sz="2" w:space="0" w:color="36424A"/>
        <w:bottom w:val="single" w:sz="2" w:space="0" w:color="36424A"/>
        <w:right w:val="single" w:sz="2" w:space="0" w:color="36424A"/>
        <w:insideH w:val="single" w:sz="2" w:space="0" w:color="36424A"/>
        <w:insideV w:val="single" w:sz="2" w:space="0" w:color="36424A"/>
      </w:tblBorders>
    </w:tblPr>
    <w:tcPr>
      <w:vAlign w:val="center"/>
    </w:tcPr>
    <w:tblStylePr w:type="firstRow">
      <w:pPr>
        <w:jc w:val="left"/>
      </w:pPr>
      <w:rPr>
        <w:rFonts w:ascii="Arial" w:hAnsi="Arial"/>
        <w:b/>
        <w:color w:val="000000"/>
        <w:sz w:val="21"/>
      </w:rPr>
      <w:tblPr/>
      <w:tcPr>
        <w:shd w:val="clear" w:color="auto" w:fill="78B800"/>
      </w:tcPr>
    </w:tblStylePr>
    <w:tblStylePr w:type="lastRow">
      <w:rPr>
        <w:rFonts w:ascii="Arial" w:hAnsi="Arial"/>
        <w:sz w:val="21"/>
      </w:rPr>
    </w:tblStylePr>
    <w:tblStylePr w:type="firstCol">
      <w:rPr>
        <w:rFonts w:ascii="Arial" w:hAnsi="Arial"/>
        <w:sz w:val="21"/>
      </w:rPr>
    </w:tblStylePr>
    <w:tblStylePr w:type="lastCol">
      <w:rPr>
        <w:rFonts w:ascii="Arial" w:hAnsi="Arial"/>
        <w:sz w:val="21"/>
      </w:rPr>
    </w:tblStylePr>
    <w:tblStylePr w:type="band1Vert">
      <w:rPr>
        <w:rFonts w:ascii="Arial" w:hAnsi="Arial"/>
        <w:sz w:val="21"/>
      </w:rPr>
    </w:tblStylePr>
    <w:tblStylePr w:type="band2Vert">
      <w:rPr>
        <w:rFonts w:ascii="Arial" w:hAnsi="Arial"/>
        <w:sz w:val="21"/>
      </w:rPr>
    </w:tblStylePr>
    <w:tblStylePr w:type="band1Horz">
      <w:rPr>
        <w:rFonts w:ascii="Arial" w:hAnsi="Arial"/>
        <w:sz w:val="21"/>
      </w:rPr>
      <w:tblPr/>
      <w:tcPr>
        <w:shd w:val="clear" w:color="auto" w:fill="FFFFFF"/>
      </w:tcPr>
    </w:tblStylePr>
    <w:tblStylePr w:type="band2Horz">
      <w:rPr>
        <w:rFonts w:ascii="Arial" w:hAnsi="Arial"/>
        <w:sz w:val="21"/>
      </w:rPr>
      <w:tblPr/>
      <w:tcPr>
        <w:shd w:val="clear" w:color="auto" w:fill="EBECED"/>
      </w:tcPr>
    </w:tblStylePr>
  </w:style>
  <w:style w:type="paragraph" w:styleId="Revision">
    <w:name w:val="Revision"/>
    <w:hidden/>
    <w:uiPriority w:val="99"/>
    <w:semiHidden/>
    <w:rsid w:val="00324B0C"/>
    <w:pPr>
      <w:spacing w:after="0" w:line="240" w:lineRule="auto"/>
    </w:pPr>
    <w:rPr>
      <w:sz w:val="22"/>
      <w:lang w:val="en-NZ"/>
    </w:rPr>
  </w:style>
  <w:style w:type="character" w:customStyle="1" w:styleId="normaltextrun">
    <w:name w:val="normaltextrun"/>
    <w:basedOn w:val="DefaultParagraphFont"/>
    <w:rsid w:val="00D768D3"/>
  </w:style>
  <w:style w:type="character" w:customStyle="1" w:styleId="eop">
    <w:name w:val="eop"/>
    <w:basedOn w:val="DefaultParagraphFont"/>
    <w:rsid w:val="00D768D3"/>
  </w:style>
  <w:style w:type="paragraph" w:customStyle="1" w:styleId="paragraph">
    <w:name w:val="paragraph"/>
    <w:basedOn w:val="Normal"/>
    <w:rsid w:val="00B547AF"/>
    <w:pPr>
      <w:spacing w:before="100" w:beforeAutospacing="1" w:after="100" w:afterAutospacing="1" w:line="240" w:lineRule="auto"/>
    </w:pPr>
    <w:rPr>
      <w:rFonts w:ascii="Times New Roman" w:eastAsia="Times New Roman" w:hAnsi="Times New Roman" w:cs="Times New Roman"/>
      <w:lang w:eastAsia="en-NZ"/>
    </w:rPr>
  </w:style>
  <w:style w:type="character" w:customStyle="1" w:styleId="wacimagecontainer">
    <w:name w:val="wacimagecontainer"/>
    <w:basedOn w:val="DefaultParagraphFont"/>
    <w:rsid w:val="00B547AF"/>
  </w:style>
  <w:style w:type="table" w:customStyle="1" w:styleId="TableGrid1">
    <w:name w:val="Table Grid1"/>
    <w:basedOn w:val="TableNormal"/>
    <w:next w:val="TableGrid"/>
    <w:uiPriority w:val="39"/>
    <w:rsid w:val="00C951AF"/>
    <w:pPr>
      <w:spacing w:after="0" w:line="240" w:lineRule="auto"/>
    </w:pPr>
    <w:rPr>
      <w:kern w:val="2"/>
      <w:sz w:val="22"/>
      <w:szCs w:val="22"/>
      <w:lang w:val="en-AU"/>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7">
    <w:name w:val="toc 7"/>
    <w:basedOn w:val="Normal"/>
    <w:next w:val="Normal"/>
    <w:autoRedefine/>
    <w:uiPriority w:val="39"/>
    <w:unhideWhenUsed/>
    <w:rsid w:val="00A04DFA"/>
    <w:pPr>
      <w:spacing w:after="100"/>
      <w:ind w:left="1440"/>
    </w:pPr>
    <w:rPr>
      <w:rFonts w:eastAsiaTheme="minorEastAsia"/>
      <w:lang w:eastAsia="en-NZ"/>
    </w:rPr>
  </w:style>
  <w:style w:type="table" w:customStyle="1" w:styleId="TableGrid2">
    <w:name w:val="Table Grid2"/>
    <w:basedOn w:val="TableNormal"/>
    <w:next w:val="TableGrid"/>
    <w:uiPriority w:val="39"/>
    <w:rsid w:val="00146760"/>
    <w:pPr>
      <w:spacing w:after="0" w:line="240" w:lineRule="auto"/>
    </w:pPr>
    <w:rPr>
      <w:kern w:val="2"/>
      <w:sz w:val="24"/>
      <w:szCs w:val="24"/>
      <w:lang w:val="en-AU"/>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39"/>
    <w:rsid w:val="00A628E4"/>
    <w:pPr>
      <w:spacing w:after="0" w:line="240" w:lineRule="auto"/>
    </w:pPr>
    <w:rPr>
      <w:rFonts w:eastAsia="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D46E27"/>
    <w:pPr>
      <w:spacing w:after="0" w:line="240" w:lineRule="auto"/>
    </w:pPr>
    <w:rPr>
      <w:rFonts w:eastAsia="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AC0480"/>
    <w:rPr>
      <w:color w:val="78B800" w:themeColor="followedHyperlink"/>
      <w:u w:val="single"/>
    </w:rPr>
  </w:style>
  <w:style w:type="table" w:customStyle="1" w:styleId="ACTableDesign4">
    <w:name w:val="A+C Table Design4"/>
    <w:basedOn w:val="TableNormal"/>
    <w:uiPriority w:val="99"/>
    <w:rsid w:val="00CA4465"/>
    <w:pPr>
      <w:spacing w:before="120" w:after="120" w:line="240" w:lineRule="auto"/>
    </w:pPr>
    <w:rPr>
      <w:rFonts w:eastAsia="SimSun"/>
      <w:color w:val="36424A"/>
      <w:sz w:val="21"/>
      <w:lang w:eastAsia="zh-CN"/>
    </w:rPr>
    <w:tblPr>
      <w:tblStyleRowBandSize w:val="1"/>
      <w:tblStyleColBandSize w:val="1"/>
      <w:tblBorders>
        <w:top w:val="single" w:sz="2" w:space="0" w:color="36424A"/>
        <w:left w:val="single" w:sz="2" w:space="0" w:color="36424A"/>
        <w:bottom w:val="single" w:sz="2" w:space="0" w:color="36424A"/>
        <w:right w:val="single" w:sz="2" w:space="0" w:color="36424A"/>
        <w:insideH w:val="single" w:sz="2" w:space="0" w:color="36424A"/>
        <w:insideV w:val="single" w:sz="2" w:space="0" w:color="36424A"/>
      </w:tblBorders>
    </w:tblPr>
    <w:tcPr>
      <w:vAlign w:val="center"/>
    </w:tcPr>
    <w:tblStylePr w:type="firstRow">
      <w:pPr>
        <w:jc w:val="left"/>
      </w:pPr>
      <w:rPr>
        <w:rFonts w:ascii="Arial" w:hAnsi="Arial"/>
        <w:b/>
        <w:color w:val="000000"/>
        <w:sz w:val="21"/>
      </w:rPr>
      <w:tblPr/>
      <w:tcPr>
        <w:shd w:val="clear" w:color="auto" w:fill="78B800"/>
      </w:tcPr>
    </w:tblStylePr>
    <w:tblStylePr w:type="lastRow">
      <w:rPr>
        <w:rFonts w:ascii="Arial" w:hAnsi="Arial"/>
        <w:sz w:val="21"/>
      </w:rPr>
    </w:tblStylePr>
    <w:tblStylePr w:type="firstCol">
      <w:rPr>
        <w:rFonts w:ascii="Arial" w:hAnsi="Arial"/>
        <w:sz w:val="21"/>
      </w:rPr>
    </w:tblStylePr>
    <w:tblStylePr w:type="lastCol">
      <w:rPr>
        <w:rFonts w:ascii="Arial" w:hAnsi="Arial"/>
        <w:sz w:val="21"/>
      </w:rPr>
    </w:tblStylePr>
    <w:tblStylePr w:type="band1Vert">
      <w:rPr>
        <w:rFonts w:ascii="Arial" w:hAnsi="Arial"/>
        <w:sz w:val="21"/>
      </w:rPr>
    </w:tblStylePr>
    <w:tblStylePr w:type="band2Vert">
      <w:rPr>
        <w:rFonts w:ascii="Arial" w:hAnsi="Arial"/>
        <w:sz w:val="21"/>
      </w:rPr>
    </w:tblStylePr>
    <w:tblStylePr w:type="band1Horz">
      <w:rPr>
        <w:rFonts w:ascii="Arial" w:hAnsi="Arial"/>
        <w:sz w:val="21"/>
      </w:rPr>
      <w:tblPr/>
      <w:tcPr>
        <w:shd w:val="clear" w:color="auto" w:fill="FFFFFF"/>
      </w:tcPr>
    </w:tblStylePr>
    <w:tblStylePr w:type="band2Horz">
      <w:rPr>
        <w:rFonts w:ascii="Arial" w:hAnsi="Arial"/>
        <w:sz w:val="21"/>
      </w:rPr>
      <w:tblPr/>
      <w:tcPr>
        <w:shd w:val="clear" w:color="auto" w:fill="EBECED"/>
      </w:tcPr>
    </w:tblStylePr>
  </w:style>
  <w:style w:type="table" w:customStyle="1" w:styleId="ACTableDesign5">
    <w:name w:val="A+C Table Design5"/>
    <w:basedOn w:val="TableNormal"/>
    <w:uiPriority w:val="99"/>
    <w:rsid w:val="00DB65C7"/>
    <w:pPr>
      <w:spacing w:before="120" w:after="120" w:line="240" w:lineRule="auto"/>
    </w:pPr>
    <w:rPr>
      <w:rFonts w:eastAsia="SimSun"/>
      <w:color w:val="36424A"/>
      <w:sz w:val="21"/>
      <w:lang w:eastAsia="zh-CN"/>
    </w:rPr>
    <w:tblPr>
      <w:tblStyleRowBandSize w:val="1"/>
      <w:tblStyleColBandSize w:val="1"/>
      <w:tblBorders>
        <w:top w:val="single" w:sz="2" w:space="0" w:color="36424A"/>
        <w:left w:val="single" w:sz="2" w:space="0" w:color="36424A"/>
        <w:bottom w:val="single" w:sz="2" w:space="0" w:color="36424A"/>
        <w:right w:val="single" w:sz="2" w:space="0" w:color="36424A"/>
        <w:insideH w:val="single" w:sz="2" w:space="0" w:color="36424A"/>
        <w:insideV w:val="single" w:sz="2" w:space="0" w:color="36424A"/>
      </w:tblBorders>
    </w:tblPr>
    <w:tcPr>
      <w:vAlign w:val="center"/>
    </w:tcPr>
    <w:tblStylePr w:type="firstRow">
      <w:pPr>
        <w:jc w:val="left"/>
      </w:pPr>
      <w:rPr>
        <w:rFonts w:ascii="Arial" w:hAnsi="Arial"/>
        <w:b/>
        <w:color w:val="000000"/>
        <w:sz w:val="21"/>
      </w:rPr>
      <w:tblPr/>
      <w:tcPr>
        <w:shd w:val="clear" w:color="auto" w:fill="78B800"/>
      </w:tcPr>
    </w:tblStylePr>
    <w:tblStylePr w:type="lastRow">
      <w:rPr>
        <w:rFonts w:ascii="Arial" w:hAnsi="Arial"/>
        <w:sz w:val="21"/>
      </w:rPr>
    </w:tblStylePr>
    <w:tblStylePr w:type="firstCol">
      <w:rPr>
        <w:rFonts w:ascii="Arial" w:hAnsi="Arial"/>
        <w:sz w:val="21"/>
      </w:rPr>
    </w:tblStylePr>
    <w:tblStylePr w:type="lastCol">
      <w:rPr>
        <w:rFonts w:ascii="Arial" w:hAnsi="Arial"/>
        <w:sz w:val="21"/>
      </w:rPr>
    </w:tblStylePr>
    <w:tblStylePr w:type="band1Vert">
      <w:rPr>
        <w:rFonts w:ascii="Arial" w:hAnsi="Arial"/>
        <w:sz w:val="21"/>
      </w:rPr>
    </w:tblStylePr>
    <w:tblStylePr w:type="band2Vert">
      <w:rPr>
        <w:rFonts w:ascii="Arial" w:hAnsi="Arial"/>
        <w:sz w:val="21"/>
      </w:rPr>
    </w:tblStylePr>
    <w:tblStylePr w:type="band1Horz">
      <w:rPr>
        <w:rFonts w:ascii="Arial" w:hAnsi="Arial"/>
        <w:sz w:val="21"/>
      </w:rPr>
      <w:tblPr/>
      <w:tcPr>
        <w:shd w:val="clear" w:color="auto" w:fill="FFFFFF"/>
      </w:tcPr>
    </w:tblStylePr>
    <w:tblStylePr w:type="band2Horz">
      <w:rPr>
        <w:rFonts w:ascii="Arial" w:hAnsi="Arial"/>
        <w:sz w:val="21"/>
      </w:rPr>
      <w:tblPr/>
      <w:tcPr>
        <w:shd w:val="clear" w:color="auto" w:fill="EBECED"/>
      </w:tcPr>
    </w:tblStylePr>
  </w:style>
  <w:style w:type="table" w:customStyle="1" w:styleId="ACTableDesign6">
    <w:name w:val="A+C Table Design6"/>
    <w:basedOn w:val="TableNormal"/>
    <w:uiPriority w:val="99"/>
    <w:rsid w:val="001154F3"/>
    <w:pPr>
      <w:spacing w:before="120" w:after="120" w:line="240" w:lineRule="auto"/>
    </w:pPr>
    <w:rPr>
      <w:rFonts w:eastAsia="SimSun"/>
      <w:color w:val="36424A"/>
      <w:sz w:val="21"/>
      <w:lang w:eastAsia="zh-CN"/>
    </w:rPr>
    <w:tblPr>
      <w:tblStyleRowBandSize w:val="1"/>
      <w:tblStyleColBandSize w:val="1"/>
      <w:tblBorders>
        <w:top w:val="single" w:sz="2" w:space="0" w:color="36424A"/>
        <w:left w:val="single" w:sz="2" w:space="0" w:color="36424A"/>
        <w:bottom w:val="single" w:sz="2" w:space="0" w:color="36424A"/>
        <w:right w:val="single" w:sz="2" w:space="0" w:color="36424A"/>
        <w:insideH w:val="single" w:sz="2" w:space="0" w:color="36424A"/>
        <w:insideV w:val="single" w:sz="2" w:space="0" w:color="36424A"/>
      </w:tblBorders>
    </w:tblPr>
    <w:tcPr>
      <w:vAlign w:val="center"/>
    </w:tcPr>
    <w:tblStylePr w:type="firstRow">
      <w:pPr>
        <w:jc w:val="left"/>
      </w:pPr>
      <w:rPr>
        <w:rFonts w:ascii="Arial" w:hAnsi="Arial"/>
        <w:b/>
        <w:color w:val="000000"/>
        <w:sz w:val="21"/>
      </w:rPr>
      <w:tblPr/>
      <w:tcPr>
        <w:shd w:val="clear" w:color="auto" w:fill="78B800"/>
      </w:tcPr>
    </w:tblStylePr>
    <w:tblStylePr w:type="lastRow">
      <w:rPr>
        <w:rFonts w:ascii="Arial" w:hAnsi="Arial"/>
        <w:sz w:val="21"/>
      </w:rPr>
    </w:tblStylePr>
    <w:tblStylePr w:type="firstCol">
      <w:rPr>
        <w:rFonts w:ascii="Arial" w:hAnsi="Arial"/>
        <w:sz w:val="21"/>
      </w:rPr>
    </w:tblStylePr>
    <w:tblStylePr w:type="lastCol">
      <w:rPr>
        <w:rFonts w:ascii="Arial" w:hAnsi="Arial"/>
        <w:sz w:val="21"/>
      </w:rPr>
    </w:tblStylePr>
    <w:tblStylePr w:type="band1Vert">
      <w:rPr>
        <w:rFonts w:ascii="Arial" w:hAnsi="Arial"/>
        <w:sz w:val="21"/>
      </w:rPr>
    </w:tblStylePr>
    <w:tblStylePr w:type="band2Vert">
      <w:rPr>
        <w:rFonts w:ascii="Arial" w:hAnsi="Arial"/>
        <w:sz w:val="21"/>
      </w:rPr>
    </w:tblStylePr>
    <w:tblStylePr w:type="band1Horz">
      <w:rPr>
        <w:rFonts w:ascii="Arial" w:hAnsi="Arial"/>
        <w:sz w:val="21"/>
      </w:rPr>
      <w:tblPr/>
      <w:tcPr>
        <w:shd w:val="clear" w:color="auto" w:fill="FFFFFF"/>
      </w:tcPr>
    </w:tblStylePr>
    <w:tblStylePr w:type="band2Horz">
      <w:rPr>
        <w:rFonts w:ascii="Arial" w:hAnsi="Arial"/>
        <w:sz w:val="21"/>
      </w:rPr>
      <w:tblPr/>
      <w:tcPr>
        <w:shd w:val="clear" w:color="auto" w:fill="EBECED"/>
      </w:tcPr>
    </w:tblStylePr>
  </w:style>
  <w:style w:type="table" w:customStyle="1" w:styleId="ACTableDesign7">
    <w:name w:val="A+C Table Design7"/>
    <w:basedOn w:val="TableNormal"/>
    <w:uiPriority w:val="99"/>
    <w:rsid w:val="005A0CDF"/>
    <w:pPr>
      <w:spacing w:before="120" w:after="120" w:line="240" w:lineRule="auto"/>
    </w:pPr>
    <w:rPr>
      <w:rFonts w:eastAsia="SimSun"/>
      <w:color w:val="36424A"/>
      <w:sz w:val="21"/>
      <w:lang w:eastAsia="zh-CN"/>
    </w:rPr>
    <w:tblPr>
      <w:tblStyleRowBandSize w:val="1"/>
      <w:tblStyleColBandSize w:val="1"/>
      <w:tblBorders>
        <w:top w:val="single" w:sz="2" w:space="0" w:color="36424A"/>
        <w:left w:val="single" w:sz="2" w:space="0" w:color="36424A"/>
        <w:bottom w:val="single" w:sz="2" w:space="0" w:color="36424A"/>
        <w:right w:val="single" w:sz="2" w:space="0" w:color="36424A"/>
        <w:insideH w:val="single" w:sz="2" w:space="0" w:color="36424A"/>
        <w:insideV w:val="single" w:sz="2" w:space="0" w:color="36424A"/>
      </w:tblBorders>
    </w:tblPr>
    <w:tcPr>
      <w:vAlign w:val="center"/>
    </w:tcPr>
    <w:tblStylePr w:type="firstRow">
      <w:pPr>
        <w:jc w:val="left"/>
      </w:pPr>
      <w:rPr>
        <w:rFonts w:ascii="Arial" w:hAnsi="Arial"/>
        <w:b/>
        <w:color w:val="000000"/>
        <w:sz w:val="21"/>
      </w:rPr>
      <w:tblPr/>
      <w:tcPr>
        <w:shd w:val="clear" w:color="auto" w:fill="78B800"/>
      </w:tcPr>
    </w:tblStylePr>
    <w:tblStylePr w:type="lastRow">
      <w:rPr>
        <w:rFonts w:ascii="Arial" w:hAnsi="Arial"/>
        <w:sz w:val="21"/>
      </w:rPr>
    </w:tblStylePr>
    <w:tblStylePr w:type="firstCol">
      <w:rPr>
        <w:rFonts w:ascii="Arial" w:hAnsi="Arial"/>
        <w:sz w:val="21"/>
      </w:rPr>
    </w:tblStylePr>
    <w:tblStylePr w:type="lastCol">
      <w:rPr>
        <w:rFonts w:ascii="Arial" w:hAnsi="Arial"/>
        <w:sz w:val="21"/>
      </w:rPr>
    </w:tblStylePr>
    <w:tblStylePr w:type="band1Vert">
      <w:rPr>
        <w:rFonts w:ascii="Arial" w:hAnsi="Arial"/>
        <w:sz w:val="21"/>
      </w:rPr>
    </w:tblStylePr>
    <w:tblStylePr w:type="band2Vert">
      <w:rPr>
        <w:rFonts w:ascii="Arial" w:hAnsi="Arial"/>
        <w:sz w:val="21"/>
      </w:rPr>
    </w:tblStylePr>
    <w:tblStylePr w:type="band1Horz">
      <w:rPr>
        <w:rFonts w:ascii="Arial" w:hAnsi="Arial"/>
        <w:sz w:val="21"/>
      </w:rPr>
      <w:tblPr/>
      <w:tcPr>
        <w:shd w:val="clear" w:color="auto" w:fill="FFFFFF"/>
      </w:tcPr>
    </w:tblStylePr>
    <w:tblStylePr w:type="band2Horz">
      <w:rPr>
        <w:rFonts w:ascii="Arial" w:hAnsi="Arial"/>
        <w:sz w:val="21"/>
      </w:rPr>
      <w:tblPr/>
      <w:tcPr>
        <w:shd w:val="clear" w:color="auto" w:fill="EBECED"/>
      </w:tcPr>
    </w:tblStylePr>
  </w:style>
  <w:style w:type="table" w:customStyle="1" w:styleId="ACTableDesign8">
    <w:name w:val="A+C Table Design8"/>
    <w:basedOn w:val="TableNormal"/>
    <w:uiPriority w:val="99"/>
    <w:rsid w:val="00581DD3"/>
    <w:pPr>
      <w:spacing w:before="120" w:after="120" w:line="240" w:lineRule="auto"/>
    </w:pPr>
    <w:rPr>
      <w:rFonts w:eastAsia="SimSun"/>
      <w:color w:val="36424A"/>
      <w:sz w:val="21"/>
      <w:lang w:eastAsia="zh-CN"/>
    </w:rPr>
    <w:tblPr>
      <w:tblStyleRowBandSize w:val="1"/>
      <w:tblStyleColBandSize w:val="1"/>
      <w:tblBorders>
        <w:top w:val="single" w:sz="2" w:space="0" w:color="36424A"/>
        <w:left w:val="single" w:sz="2" w:space="0" w:color="36424A"/>
        <w:bottom w:val="single" w:sz="2" w:space="0" w:color="36424A"/>
        <w:right w:val="single" w:sz="2" w:space="0" w:color="36424A"/>
        <w:insideH w:val="single" w:sz="2" w:space="0" w:color="36424A"/>
        <w:insideV w:val="single" w:sz="2" w:space="0" w:color="36424A"/>
      </w:tblBorders>
    </w:tblPr>
    <w:tcPr>
      <w:vAlign w:val="center"/>
    </w:tcPr>
    <w:tblStylePr w:type="firstRow">
      <w:pPr>
        <w:jc w:val="left"/>
      </w:pPr>
      <w:rPr>
        <w:rFonts w:ascii="Arial" w:hAnsi="Arial"/>
        <w:b/>
        <w:color w:val="000000"/>
        <w:sz w:val="21"/>
      </w:rPr>
      <w:tblPr/>
      <w:tcPr>
        <w:shd w:val="clear" w:color="auto" w:fill="78B800"/>
      </w:tcPr>
    </w:tblStylePr>
    <w:tblStylePr w:type="lastRow">
      <w:rPr>
        <w:rFonts w:ascii="Arial" w:hAnsi="Arial"/>
        <w:sz w:val="21"/>
      </w:rPr>
    </w:tblStylePr>
    <w:tblStylePr w:type="firstCol">
      <w:rPr>
        <w:rFonts w:ascii="Arial" w:hAnsi="Arial"/>
        <w:sz w:val="21"/>
      </w:rPr>
    </w:tblStylePr>
    <w:tblStylePr w:type="lastCol">
      <w:rPr>
        <w:rFonts w:ascii="Arial" w:hAnsi="Arial"/>
        <w:sz w:val="21"/>
      </w:rPr>
    </w:tblStylePr>
    <w:tblStylePr w:type="band1Vert">
      <w:rPr>
        <w:rFonts w:ascii="Arial" w:hAnsi="Arial"/>
        <w:sz w:val="21"/>
      </w:rPr>
    </w:tblStylePr>
    <w:tblStylePr w:type="band2Vert">
      <w:rPr>
        <w:rFonts w:ascii="Arial" w:hAnsi="Arial"/>
        <w:sz w:val="21"/>
      </w:rPr>
    </w:tblStylePr>
    <w:tblStylePr w:type="band1Horz">
      <w:rPr>
        <w:rFonts w:ascii="Arial" w:hAnsi="Arial"/>
        <w:sz w:val="21"/>
      </w:rPr>
      <w:tblPr/>
      <w:tcPr>
        <w:shd w:val="clear" w:color="auto" w:fill="FFFFFF"/>
      </w:tcPr>
    </w:tblStylePr>
    <w:tblStylePr w:type="band2Horz">
      <w:rPr>
        <w:rFonts w:ascii="Arial" w:hAnsi="Arial"/>
        <w:sz w:val="21"/>
      </w:rPr>
      <w:tblPr/>
      <w:tcPr>
        <w:shd w:val="clear" w:color="auto" w:fill="EBECED"/>
      </w:tcPr>
    </w:tblStylePr>
  </w:style>
  <w:style w:type="table" w:customStyle="1" w:styleId="ACTableDesign9">
    <w:name w:val="A+C Table Design9"/>
    <w:basedOn w:val="TableNormal"/>
    <w:uiPriority w:val="99"/>
    <w:rsid w:val="00DA6DBD"/>
    <w:pPr>
      <w:spacing w:before="120" w:after="120" w:line="240" w:lineRule="auto"/>
    </w:pPr>
    <w:rPr>
      <w:rFonts w:eastAsia="SimSun"/>
      <w:color w:val="36424A"/>
      <w:sz w:val="21"/>
      <w:lang w:eastAsia="zh-CN"/>
    </w:rPr>
    <w:tblPr>
      <w:tblStyleRowBandSize w:val="1"/>
      <w:tblStyleColBandSize w:val="1"/>
      <w:tblBorders>
        <w:top w:val="single" w:sz="2" w:space="0" w:color="36424A"/>
        <w:left w:val="single" w:sz="2" w:space="0" w:color="36424A"/>
        <w:bottom w:val="single" w:sz="2" w:space="0" w:color="36424A"/>
        <w:right w:val="single" w:sz="2" w:space="0" w:color="36424A"/>
        <w:insideH w:val="single" w:sz="2" w:space="0" w:color="36424A"/>
        <w:insideV w:val="single" w:sz="2" w:space="0" w:color="36424A"/>
      </w:tblBorders>
    </w:tblPr>
    <w:tcPr>
      <w:vAlign w:val="center"/>
    </w:tcPr>
    <w:tblStylePr w:type="firstRow">
      <w:pPr>
        <w:jc w:val="left"/>
      </w:pPr>
      <w:rPr>
        <w:rFonts w:ascii="Arial" w:hAnsi="Arial"/>
        <w:b/>
        <w:color w:val="000000"/>
        <w:sz w:val="21"/>
      </w:rPr>
      <w:tblPr/>
      <w:tcPr>
        <w:shd w:val="clear" w:color="auto" w:fill="78B800"/>
      </w:tcPr>
    </w:tblStylePr>
    <w:tblStylePr w:type="lastRow">
      <w:rPr>
        <w:rFonts w:ascii="Arial" w:hAnsi="Arial"/>
        <w:sz w:val="21"/>
      </w:rPr>
    </w:tblStylePr>
    <w:tblStylePr w:type="firstCol">
      <w:rPr>
        <w:rFonts w:ascii="Arial" w:hAnsi="Arial"/>
        <w:sz w:val="21"/>
      </w:rPr>
    </w:tblStylePr>
    <w:tblStylePr w:type="lastCol">
      <w:rPr>
        <w:rFonts w:ascii="Arial" w:hAnsi="Arial"/>
        <w:sz w:val="21"/>
      </w:rPr>
    </w:tblStylePr>
    <w:tblStylePr w:type="band1Vert">
      <w:rPr>
        <w:rFonts w:ascii="Arial" w:hAnsi="Arial"/>
        <w:sz w:val="21"/>
      </w:rPr>
    </w:tblStylePr>
    <w:tblStylePr w:type="band2Vert">
      <w:rPr>
        <w:rFonts w:ascii="Arial" w:hAnsi="Arial"/>
        <w:sz w:val="21"/>
      </w:rPr>
    </w:tblStylePr>
    <w:tblStylePr w:type="band1Horz">
      <w:rPr>
        <w:rFonts w:ascii="Arial" w:hAnsi="Arial"/>
        <w:sz w:val="21"/>
      </w:rPr>
      <w:tblPr/>
      <w:tcPr>
        <w:shd w:val="clear" w:color="auto" w:fill="FFFFFF"/>
      </w:tcPr>
    </w:tblStylePr>
    <w:tblStylePr w:type="band2Horz">
      <w:rPr>
        <w:rFonts w:ascii="Arial" w:hAnsi="Arial"/>
        <w:sz w:val="21"/>
      </w:rPr>
      <w:tblPr/>
      <w:tcPr>
        <w:shd w:val="clear" w:color="auto" w:fill="EBECED"/>
      </w:tcPr>
    </w:tblStylePr>
  </w:style>
  <w:style w:type="table" w:customStyle="1" w:styleId="ACTableDesign10">
    <w:name w:val="A+C Table Design10"/>
    <w:basedOn w:val="TableNormal"/>
    <w:uiPriority w:val="99"/>
    <w:rsid w:val="00496E24"/>
    <w:pPr>
      <w:spacing w:before="120" w:after="120" w:line="240" w:lineRule="auto"/>
    </w:pPr>
    <w:rPr>
      <w:rFonts w:eastAsia="SimSun"/>
      <w:color w:val="36424A"/>
      <w:sz w:val="21"/>
      <w:lang w:eastAsia="zh-CN"/>
    </w:rPr>
    <w:tblPr>
      <w:tblStyleRowBandSize w:val="1"/>
      <w:tblStyleColBandSize w:val="1"/>
      <w:tblBorders>
        <w:top w:val="single" w:sz="2" w:space="0" w:color="36424A"/>
        <w:left w:val="single" w:sz="2" w:space="0" w:color="36424A"/>
        <w:bottom w:val="single" w:sz="2" w:space="0" w:color="36424A"/>
        <w:right w:val="single" w:sz="2" w:space="0" w:color="36424A"/>
        <w:insideH w:val="single" w:sz="2" w:space="0" w:color="36424A"/>
        <w:insideV w:val="single" w:sz="2" w:space="0" w:color="36424A"/>
      </w:tblBorders>
    </w:tblPr>
    <w:tcPr>
      <w:vAlign w:val="center"/>
    </w:tcPr>
    <w:tblStylePr w:type="firstRow">
      <w:pPr>
        <w:jc w:val="left"/>
      </w:pPr>
      <w:rPr>
        <w:rFonts w:ascii="Arial" w:hAnsi="Arial"/>
        <w:b/>
        <w:color w:val="000000"/>
        <w:sz w:val="21"/>
      </w:rPr>
      <w:tblPr/>
      <w:tcPr>
        <w:shd w:val="clear" w:color="auto" w:fill="78B800"/>
      </w:tcPr>
    </w:tblStylePr>
    <w:tblStylePr w:type="lastRow">
      <w:rPr>
        <w:rFonts w:ascii="Arial" w:hAnsi="Arial"/>
        <w:sz w:val="21"/>
      </w:rPr>
    </w:tblStylePr>
    <w:tblStylePr w:type="firstCol">
      <w:rPr>
        <w:rFonts w:ascii="Arial" w:hAnsi="Arial"/>
        <w:sz w:val="21"/>
      </w:rPr>
    </w:tblStylePr>
    <w:tblStylePr w:type="lastCol">
      <w:rPr>
        <w:rFonts w:ascii="Arial" w:hAnsi="Arial"/>
        <w:sz w:val="21"/>
      </w:rPr>
    </w:tblStylePr>
    <w:tblStylePr w:type="band1Vert">
      <w:rPr>
        <w:rFonts w:ascii="Arial" w:hAnsi="Arial"/>
        <w:sz w:val="21"/>
      </w:rPr>
    </w:tblStylePr>
    <w:tblStylePr w:type="band2Vert">
      <w:rPr>
        <w:rFonts w:ascii="Arial" w:hAnsi="Arial"/>
        <w:sz w:val="21"/>
      </w:rPr>
    </w:tblStylePr>
    <w:tblStylePr w:type="band1Horz">
      <w:rPr>
        <w:rFonts w:ascii="Arial" w:hAnsi="Arial"/>
        <w:sz w:val="21"/>
      </w:rPr>
      <w:tblPr/>
      <w:tcPr>
        <w:shd w:val="clear" w:color="auto" w:fill="FFFFFF"/>
      </w:tcPr>
    </w:tblStylePr>
    <w:tblStylePr w:type="band2Horz">
      <w:rPr>
        <w:rFonts w:ascii="Arial" w:hAnsi="Arial"/>
        <w:sz w:val="21"/>
      </w:rPr>
      <w:tblPr/>
      <w:tcPr>
        <w:shd w:val="clear" w:color="auto" w:fill="EBECED"/>
      </w:tcPr>
    </w:tblStylePr>
  </w:style>
  <w:style w:type="table" w:customStyle="1" w:styleId="TableGrid22">
    <w:name w:val="Table Grid22"/>
    <w:basedOn w:val="TableNormal"/>
    <w:next w:val="TableGrid"/>
    <w:uiPriority w:val="39"/>
    <w:rsid w:val="00D242E1"/>
    <w:pPr>
      <w:spacing w:after="0" w:line="240" w:lineRule="auto"/>
    </w:pPr>
    <w:rPr>
      <w:rFonts w:eastAsia="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3-Accent311">
    <w:name w:val="List Table 3 - Accent 311"/>
    <w:basedOn w:val="TableNormal"/>
    <w:next w:val="ListTable3-Accent3"/>
    <w:uiPriority w:val="48"/>
    <w:rsid w:val="001975DD"/>
    <w:pPr>
      <w:spacing w:after="0" w:line="240" w:lineRule="auto"/>
    </w:pPr>
    <w:rPr>
      <w:rFonts w:eastAsia="Arial"/>
    </w:rPr>
    <w:tblPr>
      <w:tblStyleRowBandSize w:val="1"/>
      <w:tblStyleColBandSize w:val="1"/>
      <w:tblBorders>
        <w:top w:val="single" w:sz="4" w:space="0" w:color="007E00"/>
        <w:left w:val="single" w:sz="4" w:space="0" w:color="007E00"/>
        <w:bottom w:val="single" w:sz="4" w:space="0" w:color="007E00"/>
        <w:right w:val="single" w:sz="4" w:space="0" w:color="007E00"/>
      </w:tblBorders>
    </w:tblPr>
    <w:tblStylePr w:type="firstRow">
      <w:rPr>
        <w:b/>
        <w:bCs/>
        <w:color w:val="FFFFFF"/>
      </w:rPr>
      <w:tblPr/>
      <w:tcPr>
        <w:shd w:val="clear" w:color="auto" w:fill="007E00"/>
      </w:tcPr>
    </w:tblStylePr>
    <w:tblStylePr w:type="lastRow">
      <w:rPr>
        <w:b/>
        <w:bCs/>
      </w:rPr>
      <w:tblPr/>
      <w:tcPr>
        <w:tcBorders>
          <w:top w:val="double" w:sz="4" w:space="0" w:color="007E0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007E00"/>
          <w:right w:val="single" w:sz="4" w:space="0" w:color="007E00"/>
        </w:tcBorders>
      </w:tcPr>
    </w:tblStylePr>
    <w:tblStylePr w:type="band1Horz">
      <w:tblPr/>
      <w:tcPr>
        <w:tcBorders>
          <w:top w:val="single" w:sz="4" w:space="0" w:color="007E00"/>
          <w:bottom w:val="single" w:sz="4" w:space="0" w:color="007E0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7E00"/>
          <w:left w:val="nil"/>
        </w:tcBorders>
      </w:tcPr>
    </w:tblStylePr>
    <w:tblStylePr w:type="swCell">
      <w:tblPr/>
      <w:tcPr>
        <w:tcBorders>
          <w:top w:val="double" w:sz="4" w:space="0" w:color="007E00"/>
          <w:right w:val="nil"/>
        </w:tcBorders>
      </w:tcPr>
    </w:tblStylePr>
  </w:style>
  <w:style w:type="character" w:styleId="PlaceholderText">
    <w:name w:val="Placeholder Text"/>
    <w:basedOn w:val="DefaultParagraphFont"/>
    <w:uiPriority w:val="99"/>
    <w:semiHidden/>
    <w:rsid w:val="00680597"/>
    <w:rPr>
      <w:color w:val="666666"/>
    </w:rPr>
  </w:style>
  <w:style w:type="table" w:customStyle="1" w:styleId="ACTableDesign11">
    <w:name w:val="A+C Table Design11"/>
    <w:basedOn w:val="TableNormal"/>
    <w:uiPriority w:val="99"/>
    <w:rsid w:val="009E7B13"/>
    <w:pPr>
      <w:spacing w:before="120" w:after="120" w:line="240" w:lineRule="auto"/>
    </w:pPr>
    <w:rPr>
      <w:rFonts w:ascii="Arial" w:eastAsia="Arial" w:hAnsi="Arial" w:cs="Times New Roman"/>
      <w:color w:val="36424A" w:themeColor="background2"/>
      <w:sz w:val="21"/>
    </w:rPr>
    <w:tblPr>
      <w:tblStyleRowBandSize w:val="1"/>
      <w:tblStyleColBandSize w:val="1"/>
      <w:tblInd w:w="0" w:type="nil"/>
      <w:tblBorders>
        <w:top w:val="single" w:sz="2" w:space="0" w:color="36424A" w:themeColor="accent2"/>
        <w:left w:val="single" w:sz="2" w:space="0" w:color="36424A" w:themeColor="accent2"/>
        <w:bottom w:val="single" w:sz="2" w:space="0" w:color="36424A" w:themeColor="accent2"/>
        <w:right w:val="single" w:sz="2" w:space="0" w:color="36424A" w:themeColor="accent2"/>
        <w:insideH w:val="single" w:sz="2" w:space="0" w:color="36424A" w:themeColor="accent2"/>
        <w:insideV w:val="single" w:sz="2" w:space="0" w:color="36424A" w:themeColor="accent2"/>
      </w:tblBorders>
    </w:tblPr>
    <w:tcPr>
      <w:vAlign w:val="center"/>
    </w:tcPr>
    <w:tblStylePr w:type="firstRow">
      <w:pPr>
        <w:jc w:val="left"/>
      </w:pPr>
      <w:rPr>
        <w:rFonts w:ascii="Arial" w:hAnsi="Arial" w:cs="Arial" w:hint="default"/>
        <w:b/>
        <w:color w:val="FFFFFF" w:themeColor="text1"/>
        <w:sz w:val="21"/>
        <w:szCs w:val="21"/>
      </w:rPr>
      <w:tblPr/>
      <w:tcPr>
        <w:shd w:val="clear" w:color="auto" w:fill="78B800" w:themeFill="accent1"/>
      </w:tcPr>
    </w:tblStylePr>
    <w:tblStylePr w:type="lastRow">
      <w:rPr>
        <w:rFonts w:ascii="Arial" w:hAnsi="Arial" w:cs="Arial" w:hint="default"/>
        <w:sz w:val="21"/>
        <w:szCs w:val="21"/>
      </w:rPr>
    </w:tblStylePr>
    <w:tblStylePr w:type="firstCol">
      <w:rPr>
        <w:rFonts w:ascii="Arial" w:hAnsi="Arial" w:cs="Arial" w:hint="default"/>
        <w:sz w:val="21"/>
        <w:szCs w:val="21"/>
      </w:rPr>
    </w:tblStylePr>
    <w:tblStylePr w:type="lastCol">
      <w:rPr>
        <w:rFonts w:ascii="Arial" w:hAnsi="Arial" w:cs="Arial" w:hint="default"/>
        <w:sz w:val="21"/>
        <w:szCs w:val="21"/>
      </w:rPr>
    </w:tblStylePr>
    <w:tblStylePr w:type="band1Vert">
      <w:rPr>
        <w:rFonts w:ascii="Arial" w:hAnsi="Arial" w:cs="Arial" w:hint="default"/>
        <w:sz w:val="21"/>
        <w:szCs w:val="21"/>
      </w:rPr>
    </w:tblStylePr>
    <w:tblStylePr w:type="band2Vert">
      <w:rPr>
        <w:rFonts w:ascii="Arial" w:hAnsi="Arial" w:cs="Arial" w:hint="default"/>
        <w:sz w:val="21"/>
        <w:szCs w:val="21"/>
      </w:rPr>
    </w:tblStylePr>
    <w:tblStylePr w:type="band1Horz">
      <w:rPr>
        <w:rFonts w:ascii="Arial" w:hAnsi="Arial" w:cs="Arial" w:hint="default"/>
        <w:sz w:val="21"/>
        <w:szCs w:val="21"/>
      </w:rPr>
      <w:tblPr/>
      <w:tcPr>
        <w:shd w:val="clear" w:color="auto" w:fill="FFFFFF" w:themeFill="background1"/>
      </w:tcPr>
    </w:tblStylePr>
    <w:tblStylePr w:type="band2Horz">
      <w:rPr>
        <w:rFonts w:ascii="Arial" w:hAnsi="Arial" w:cs="Arial" w:hint="default"/>
        <w:sz w:val="21"/>
        <w:szCs w:val="21"/>
      </w:rPr>
      <w:tblPr/>
      <w:tcPr>
        <w:shd w:val="clear" w:color="auto" w:fill="EBECED" w:themeFill="text2"/>
      </w:tcPr>
    </w:tblStylePr>
  </w:style>
  <w:style w:type="table" w:customStyle="1" w:styleId="ACTableDesign12">
    <w:name w:val="A+C Table Design12"/>
    <w:basedOn w:val="TableNormal"/>
    <w:uiPriority w:val="99"/>
    <w:rsid w:val="009E7B13"/>
    <w:pPr>
      <w:spacing w:before="120" w:after="120" w:line="240" w:lineRule="auto"/>
    </w:pPr>
    <w:rPr>
      <w:rFonts w:ascii="Arial" w:eastAsia="Arial" w:hAnsi="Arial" w:cs="Times New Roman"/>
      <w:color w:val="36424A" w:themeColor="background2"/>
      <w:sz w:val="21"/>
    </w:rPr>
    <w:tblPr>
      <w:tblStyleRowBandSize w:val="1"/>
      <w:tblStyleColBandSize w:val="1"/>
      <w:tblInd w:w="0" w:type="nil"/>
      <w:tblBorders>
        <w:top w:val="single" w:sz="2" w:space="0" w:color="36424A" w:themeColor="accent2"/>
        <w:left w:val="single" w:sz="2" w:space="0" w:color="36424A" w:themeColor="accent2"/>
        <w:bottom w:val="single" w:sz="2" w:space="0" w:color="36424A" w:themeColor="accent2"/>
        <w:right w:val="single" w:sz="2" w:space="0" w:color="36424A" w:themeColor="accent2"/>
        <w:insideH w:val="single" w:sz="2" w:space="0" w:color="36424A" w:themeColor="accent2"/>
        <w:insideV w:val="single" w:sz="2" w:space="0" w:color="36424A" w:themeColor="accent2"/>
      </w:tblBorders>
    </w:tblPr>
    <w:tcPr>
      <w:vAlign w:val="center"/>
    </w:tcPr>
    <w:tblStylePr w:type="firstRow">
      <w:pPr>
        <w:jc w:val="left"/>
      </w:pPr>
      <w:rPr>
        <w:rFonts w:ascii="Arial" w:hAnsi="Arial" w:cs="Arial" w:hint="default"/>
        <w:b/>
        <w:color w:val="FFFFFF" w:themeColor="text1"/>
        <w:sz w:val="21"/>
        <w:szCs w:val="21"/>
      </w:rPr>
      <w:tblPr/>
      <w:tcPr>
        <w:shd w:val="clear" w:color="auto" w:fill="78B800" w:themeFill="accent1"/>
      </w:tcPr>
    </w:tblStylePr>
    <w:tblStylePr w:type="lastRow">
      <w:rPr>
        <w:rFonts w:ascii="Arial" w:hAnsi="Arial" w:cs="Arial" w:hint="default"/>
        <w:sz w:val="21"/>
        <w:szCs w:val="21"/>
      </w:rPr>
    </w:tblStylePr>
    <w:tblStylePr w:type="firstCol">
      <w:rPr>
        <w:rFonts w:ascii="Arial" w:hAnsi="Arial" w:cs="Arial" w:hint="default"/>
        <w:sz w:val="21"/>
        <w:szCs w:val="21"/>
      </w:rPr>
    </w:tblStylePr>
    <w:tblStylePr w:type="lastCol">
      <w:rPr>
        <w:rFonts w:ascii="Arial" w:hAnsi="Arial" w:cs="Arial" w:hint="default"/>
        <w:sz w:val="21"/>
        <w:szCs w:val="21"/>
      </w:rPr>
    </w:tblStylePr>
    <w:tblStylePr w:type="band1Vert">
      <w:rPr>
        <w:rFonts w:ascii="Arial" w:hAnsi="Arial" w:cs="Arial" w:hint="default"/>
        <w:sz w:val="21"/>
        <w:szCs w:val="21"/>
      </w:rPr>
    </w:tblStylePr>
    <w:tblStylePr w:type="band2Vert">
      <w:rPr>
        <w:rFonts w:ascii="Arial" w:hAnsi="Arial" w:cs="Arial" w:hint="default"/>
        <w:sz w:val="21"/>
        <w:szCs w:val="21"/>
      </w:rPr>
    </w:tblStylePr>
    <w:tblStylePr w:type="band1Horz">
      <w:rPr>
        <w:rFonts w:ascii="Arial" w:hAnsi="Arial" w:cs="Arial" w:hint="default"/>
        <w:sz w:val="21"/>
        <w:szCs w:val="21"/>
      </w:rPr>
      <w:tblPr/>
      <w:tcPr>
        <w:shd w:val="clear" w:color="auto" w:fill="FFFFFF" w:themeFill="background1"/>
      </w:tcPr>
    </w:tblStylePr>
    <w:tblStylePr w:type="band2Horz">
      <w:rPr>
        <w:rFonts w:ascii="Arial" w:hAnsi="Arial" w:cs="Arial" w:hint="default"/>
        <w:sz w:val="21"/>
        <w:szCs w:val="21"/>
      </w:rPr>
      <w:tblPr/>
      <w:tcPr>
        <w:shd w:val="clear" w:color="auto" w:fill="EBECED" w:themeFill="text2"/>
      </w:tcPr>
    </w:tblStylePr>
  </w:style>
  <w:style w:type="table" w:customStyle="1" w:styleId="ACTableDesign13">
    <w:name w:val="A+C Table Design13"/>
    <w:basedOn w:val="TableNormal"/>
    <w:uiPriority w:val="99"/>
    <w:rsid w:val="009E7B13"/>
    <w:pPr>
      <w:spacing w:before="120" w:after="120" w:line="240" w:lineRule="auto"/>
    </w:pPr>
    <w:rPr>
      <w:rFonts w:ascii="Arial" w:eastAsia="Arial" w:hAnsi="Arial" w:cs="Times New Roman"/>
      <w:color w:val="36424A" w:themeColor="background2"/>
      <w:sz w:val="21"/>
    </w:rPr>
    <w:tblPr>
      <w:tblStyleRowBandSize w:val="1"/>
      <w:tblStyleColBandSize w:val="1"/>
      <w:tblInd w:w="0" w:type="nil"/>
      <w:tblBorders>
        <w:top w:val="single" w:sz="2" w:space="0" w:color="36424A" w:themeColor="accent2"/>
        <w:left w:val="single" w:sz="2" w:space="0" w:color="36424A" w:themeColor="accent2"/>
        <w:bottom w:val="single" w:sz="2" w:space="0" w:color="36424A" w:themeColor="accent2"/>
        <w:right w:val="single" w:sz="2" w:space="0" w:color="36424A" w:themeColor="accent2"/>
        <w:insideH w:val="single" w:sz="2" w:space="0" w:color="36424A" w:themeColor="accent2"/>
        <w:insideV w:val="single" w:sz="2" w:space="0" w:color="36424A" w:themeColor="accent2"/>
      </w:tblBorders>
    </w:tblPr>
    <w:tcPr>
      <w:vAlign w:val="center"/>
    </w:tcPr>
    <w:tblStylePr w:type="firstRow">
      <w:pPr>
        <w:jc w:val="left"/>
      </w:pPr>
      <w:rPr>
        <w:rFonts w:ascii="Arial" w:hAnsi="Arial" w:cs="Arial" w:hint="default"/>
        <w:b/>
        <w:color w:val="FFFFFF" w:themeColor="text1"/>
        <w:sz w:val="21"/>
        <w:szCs w:val="21"/>
      </w:rPr>
      <w:tblPr/>
      <w:tcPr>
        <w:shd w:val="clear" w:color="auto" w:fill="78B800" w:themeFill="accent1"/>
      </w:tcPr>
    </w:tblStylePr>
    <w:tblStylePr w:type="lastRow">
      <w:rPr>
        <w:rFonts w:ascii="Arial" w:hAnsi="Arial" w:cs="Arial" w:hint="default"/>
        <w:sz w:val="21"/>
        <w:szCs w:val="21"/>
      </w:rPr>
    </w:tblStylePr>
    <w:tblStylePr w:type="firstCol">
      <w:rPr>
        <w:rFonts w:ascii="Arial" w:hAnsi="Arial" w:cs="Arial" w:hint="default"/>
        <w:sz w:val="21"/>
        <w:szCs w:val="21"/>
      </w:rPr>
    </w:tblStylePr>
    <w:tblStylePr w:type="lastCol">
      <w:rPr>
        <w:rFonts w:ascii="Arial" w:hAnsi="Arial" w:cs="Arial" w:hint="default"/>
        <w:sz w:val="21"/>
        <w:szCs w:val="21"/>
      </w:rPr>
    </w:tblStylePr>
    <w:tblStylePr w:type="band1Vert">
      <w:rPr>
        <w:rFonts w:ascii="Arial" w:hAnsi="Arial" w:cs="Arial" w:hint="default"/>
        <w:sz w:val="21"/>
        <w:szCs w:val="21"/>
      </w:rPr>
    </w:tblStylePr>
    <w:tblStylePr w:type="band2Vert">
      <w:rPr>
        <w:rFonts w:ascii="Arial" w:hAnsi="Arial" w:cs="Arial" w:hint="default"/>
        <w:sz w:val="21"/>
        <w:szCs w:val="21"/>
      </w:rPr>
    </w:tblStylePr>
    <w:tblStylePr w:type="band1Horz">
      <w:rPr>
        <w:rFonts w:ascii="Arial" w:hAnsi="Arial" w:cs="Arial" w:hint="default"/>
        <w:sz w:val="21"/>
        <w:szCs w:val="21"/>
      </w:rPr>
      <w:tblPr/>
      <w:tcPr>
        <w:shd w:val="clear" w:color="auto" w:fill="FFFFFF" w:themeFill="background1"/>
      </w:tcPr>
    </w:tblStylePr>
    <w:tblStylePr w:type="band2Horz">
      <w:rPr>
        <w:rFonts w:ascii="Arial" w:hAnsi="Arial" w:cs="Arial" w:hint="default"/>
        <w:sz w:val="21"/>
        <w:szCs w:val="21"/>
      </w:rPr>
      <w:tblPr/>
      <w:tcPr>
        <w:shd w:val="clear" w:color="auto" w:fill="EBECED" w:themeFill="text2"/>
      </w:tcPr>
    </w:tblStylePr>
  </w:style>
  <w:style w:type="table" w:customStyle="1" w:styleId="TableGrid221">
    <w:name w:val="Table Grid221"/>
    <w:basedOn w:val="TableNormal"/>
    <w:uiPriority w:val="39"/>
    <w:rsid w:val="00EC6E42"/>
    <w:pPr>
      <w:spacing w:after="0" w:line="240" w:lineRule="auto"/>
    </w:pPr>
    <w:rPr>
      <w:rFonts w:ascii="Arial" w:eastAsia="Arial" w:hAnsi="Arial"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7001403">
      <w:bodyDiv w:val="1"/>
      <w:marLeft w:val="0"/>
      <w:marRight w:val="0"/>
      <w:marTop w:val="0"/>
      <w:marBottom w:val="0"/>
      <w:divBdr>
        <w:top w:val="none" w:sz="0" w:space="0" w:color="auto"/>
        <w:left w:val="none" w:sz="0" w:space="0" w:color="auto"/>
        <w:bottom w:val="none" w:sz="0" w:space="0" w:color="auto"/>
        <w:right w:val="none" w:sz="0" w:space="0" w:color="auto"/>
      </w:divBdr>
    </w:div>
    <w:div w:id="125658766">
      <w:bodyDiv w:val="1"/>
      <w:marLeft w:val="0"/>
      <w:marRight w:val="0"/>
      <w:marTop w:val="0"/>
      <w:marBottom w:val="0"/>
      <w:divBdr>
        <w:top w:val="none" w:sz="0" w:space="0" w:color="auto"/>
        <w:left w:val="none" w:sz="0" w:space="0" w:color="auto"/>
        <w:bottom w:val="none" w:sz="0" w:space="0" w:color="auto"/>
        <w:right w:val="none" w:sz="0" w:space="0" w:color="auto"/>
      </w:divBdr>
      <w:divsChild>
        <w:div w:id="1351837280">
          <w:marLeft w:val="446"/>
          <w:marRight w:val="0"/>
          <w:marTop w:val="0"/>
          <w:marBottom w:val="0"/>
          <w:divBdr>
            <w:top w:val="none" w:sz="0" w:space="0" w:color="auto"/>
            <w:left w:val="none" w:sz="0" w:space="0" w:color="auto"/>
            <w:bottom w:val="none" w:sz="0" w:space="0" w:color="auto"/>
            <w:right w:val="none" w:sz="0" w:space="0" w:color="auto"/>
          </w:divBdr>
        </w:div>
        <w:div w:id="1855072712">
          <w:marLeft w:val="446"/>
          <w:marRight w:val="0"/>
          <w:marTop w:val="0"/>
          <w:marBottom w:val="0"/>
          <w:divBdr>
            <w:top w:val="none" w:sz="0" w:space="0" w:color="auto"/>
            <w:left w:val="none" w:sz="0" w:space="0" w:color="auto"/>
            <w:bottom w:val="none" w:sz="0" w:space="0" w:color="auto"/>
            <w:right w:val="none" w:sz="0" w:space="0" w:color="auto"/>
          </w:divBdr>
        </w:div>
      </w:divsChild>
    </w:div>
    <w:div w:id="143857965">
      <w:bodyDiv w:val="1"/>
      <w:marLeft w:val="0"/>
      <w:marRight w:val="0"/>
      <w:marTop w:val="0"/>
      <w:marBottom w:val="0"/>
      <w:divBdr>
        <w:top w:val="none" w:sz="0" w:space="0" w:color="auto"/>
        <w:left w:val="none" w:sz="0" w:space="0" w:color="auto"/>
        <w:bottom w:val="none" w:sz="0" w:space="0" w:color="auto"/>
        <w:right w:val="none" w:sz="0" w:space="0" w:color="auto"/>
      </w:divBdr>
    </w:div>
    <w:div w:id="157769329">
      <w:bodyDiv w:val="1"/>
      <w:marLeft w:val="0"/>
      <w:marRight w:val="0"/>
      <w:marTop w:val="0"/>
      <w:marBottom w:val="0"/>
      <w:divBdr>
        <w:top w:val="none" w:sz="0" w:space="0" w:color="auto"/>
        <w:left w:val="none" w:sz="0" w:space="0" w:color="auto"/>
        <w:bottom w:val="none" w:sz="0" w:space="0" w:color="auto"/>
        <w:right w:val="none" w:sz="0" w:space="0" w:color="auto"/>
      </w:divBdr>
    </w:div>
    <w:div w:id="200628854">
      <w:bodyDiv w:val="1"/>
      <w:marLeft w:val="0"/>
      <w:marRight w:val="0"/>
      <w:marTop w:val="0"/>
      <w:marBottom w:val="0"/>
      <w:divBdr>
        <w:top w:val="none" w:sz="0" w:space="0" w:color="auto"/>
        <w:left w:val="none" w:sz="0" w:space="0" w:color="auto"/>
        <w:bottom w:val="none" w:sz="0" w:space="0" w:color="auto"/>
        <w:right w:val="none" w:sz="0" w:space="0" w:color="auto"/>
      </w:divBdr>
    </w:div>
    <w:div w:id="278071246">
      <w:bodyDiv w:val="1"/>
      <w:marLeft w:val="0"/>
      <w:marRight w:val="0"/>
      <w:marTop w:val="0"/>
      <w:marBottom w:val="0"/>
      <w:divBdr>
        <w:top w:val="none" w:sz="0" w:space="0" w:color="auto"/>
        <w:left w:val="none" w:sz="0" w:space="0" w:color="auto"/>
        <w:bottom w:val="none" w:sz="0" w:space="0" w:color="auto"/>
        <w:right w:val="none" w:sz="0" w:space="0" w:color="auto"/>
      </w:divBdr>
      <w:divsChild>
        <w:div w:id="500702477">
          <w:marLeft w:val="446"/>
          <w:marRight w:val="0"/>
          <w:marTop w:val="100"/>
          <w:marBottom w:val="0"/>
          <w:divBdr>
            <w:top w:val="none" w:sz="0" w:space="0" w:color="auto"/>
            <w:left w:val="none" w:sz="0" w:space="0" w:color="auto"/>
            <w:bottom w:val="none" w:sz="0" w:space="0" w:color="auto"/>
            <w:right w:val="none" w:sz="0" w:space="0" w:color="auto"/>
          </w:divBdr>
        </w:div>
      </w:divsChild>
    </w:div>
    <w:div w:id="295257032">
      <w:bodyDiv w:val="1"/>
      <w:marLeft w:val="0"/>
      <w:marRight w:val="0"/>
      <w:marTop w:val="0"/>
      <w:marBottom w:val="0"/>
      <w:divBdr>
        <w:top w:val="none" w:sz="0" w:space="0" w:color="auto"/>
        <w:left w:val="none" w:sz="0" w:space="0" w:color="auto"/>
        <w:bottom w:val="none" w:sz="0" w:space="0" w:color="auto"/>
        <w:right w:val="none" w:sz="0" w:space="0" w:color="auto"/>
      </w:divBdr>
      <w:divsChild>
        <w:div w:id="2026862404">
          <w:marLeft w:val="0"/>
          <w:marRight w:val="0"/>
          <w:marTop w:val="0"/>
          <w:marBottom w:val="0"/>
          <w:divBdr>
            <w:top w:val="none" w:sz="0" w:space="0" w:color="auto"/>
            <w:left w:val="none" w:sz="0" w:space="0" w:color="auto"/>
            <w:bottom w:val="none" w:sz="0" w:space="0" w:color="auto"/>
            <w:right w:val="none" w:sz="0" w:space="0" w:color="auto"/>
          </w:divBdr>
        </w:div>
      </w:divsChild>
    </w:div>
    <w:div w:id="316156893">
      <w:bodyDiv w:val="1"/>
      <w:marLeft w:val="0"/>
      <w:marRight w:val="0"/>
      <w:marTop w:val="0"/>
      <w:marBottom w:val="0"/>
      <w:divBdr>
        <w:top w:val="none" w:sz="0" w:space="0" w:color="auto"/>
        <w:left w:val="none" w:sz="0" w:space="0" w:color="auto"/>
        <w:bottom w:val="none" w:sz="0" w:space="0" w:color="auto"/>
        <w:right w:val="none" w:sz="0" w:space="0" w:color="auto"/>
      </w:divBdr>
    </w:div>
    <w:div w:id="345712999">
      <w:bodyDiv w:val="1"/>
      <w:marLeft w:val="0"/>
      <w:marRight w:val="0"/>
      <w:marTop w:val="0"/>
      <w:marBottom w:val="0"/>
      <w:divBdr>
        <w:top w:val="none" w:sz="0" w:space="0" w:color="auto"/>
        <w:left w:val="none" w:sz="0" w:space="0" w:color="auto"/>
        <w:bottom w:val="none" w:sz="0" w:space="0" w:color="auto"/>
        <w:right w:val="none" w:sz="0" w:space="0" w:color="auto"/>
      </w:divBdr>
    </w:div>
    <w:div w:id="354961373">
      <w:bodyDiv w:val="1"/>
      <w:marLeft w:val="0"/>
      <w:marRight w:val="0"/>
      <w:marTop w:val="0"/>
      <w:marBottom w:val="0"/>
      <w:divBdr>
        <w:top w:val="none" w:sz="0" w:space="0" w:color="auto"/>
        <w:left w:val="none" w:sz="0" w:space="0" w:color="auto"/>
        <w:bottom w:val="none" w:sz="0" w:space="0" w:color="auto"/>
        <w:right w:val="none" w:sz="0" w:space="0" w:color="auto"/>
      </w:divBdr>
      <w:divsChild>
        <w:div w:id="47992635">
          <w:marLeft w:val="0"/>
          <w:marRight w:val="0"/>
          <w:marTop w:val="0"/>
          <w:marBottom w:val="0"/>
          <w:divBdr>
            <w:top w:val="none" w:sz="0" w:space="0" w:color="auto"/>
            <w:left w:val="none" w:sz="0" w:space="0" w:color="auto"/>
            <w:bottom w:val="none" w:sz="0" w:space="0" w:color="auto"/>
            <w:right w:val="none" w:sz="0" w:space="0" w:color="auto"/>
          </w:divBdr>
          <w:divsChild>
            <w:div w:id="902982744">
              <w:marLeft w:val="0"/>
              <w:marRight w:val="0"/>
              <w:marTop w:val="0"/>
              <w:marBottom w:val="0"/>
              <w:divBdr>
                <w:top w:val="none" w:sz="0" w:space="0" w:color="auto"/>
                <w:left w:val="none" w:sz="0" w:space="0" w:color="auto"/>
                <w:bottom w:val="none" w:sz="0" w:space="0" w:color="auto"/>
                <w:right w:val="none" w:sz="0" w:space="0" w:color="auto"/>
              </w:divBdr>
            </w:div>
          </w:divsChild>
        </w:div>
        <w:div w:id="88475148">
          <w:marLeft w:val="0"/>
          <w:marRight w:val="0"/>
          <w:marTop w:val="0"/>
          <w:marBottom w:val="0"/>
          <w:divBdr>
            <w:top w:val="none" w:sz="0" w:space="0" w:color="auto"/>
            <w:left w:val="none" w:sz="0" w:space="0" w:color="auto"/>
            <w:bottom w:val="none" w:sz="0" w:space="0" w:color="auto"/>
            <w:right w:val="none" w:sz="0" w:space="0" w:color="auto"/>
          </w:divBdr>
          <w:divsChild>
            <w:div w:id="957373366">
              <w:marLeft w:val="0"/>
              <w:marRight w:val="0"/>
              <w:marTop w:val="0"/>
              <w:marBottom w:val="0"/>
              <w:divBdr>
                <w:top w:val="none" w:sz="0" w:space="0" w:color="auto"/>
                <w:left w:val="none" w:sz="0" w:space="0" w:color="auto"/>
                <w:bottom w:val="none" w:sz="0" w:space="0" w:color="auto"/>
                <w:right w:val="none" w:sz="0" w:space="0" w:color="auto"/>
              </w:divBdr>
            </w:div>
          </w:divsChild>
        </w:div>
        <w:div w:id="105465819">
          <w:marLeft w:val="0"/>
          <w:marRight w:val="0"/>
          <w:marTop w:val="0"/>
          <w:marBottom w:val="0"/>
          <w:divBdr>
            <w:top w:val="none" w:sz="0" w:space="0" w:color="auto"/>
            <w:left w:val="none" w:sz="0" w:space="0" w:color="auto"/>
            <w:bottom w:val="none" w:sz="0" w:space="0" w:color="auto"/>
            <w:right w:val="none" w:sz="0" w:space="0" w:color="auto"/>
          </w:divBdr>
          <w:divsChild>
            <w:div w:id="1717124934">
              <w:marLeft w:val="0"/>
              <w:marRight w:val="0"/>
              <w:marTop w:val="0"/>
              <w:marBottom w:val="0"/>
              <w:divBdr>
                <w:top w:val="none" w:sz="0" w:space="0" w:color="auto"/>
                <w:left w:val="none" w:sz="0" w:space="0" w:color="auto"/>
                <w:bottom w:val="none" w:sz="0" w:space="0" w:color="auto"/>
                <w:right w:val="none" w:sz="0" w:space="0" w:color="auto"/>
              </w:divBdr>
            </w:div>
          </w:divsChild>
        </w:div>
        <w:div w:id="123353492">
          <w:marLeft w:val="0"/>
          <w:marRight w:val="0"/>
          <w:marTop w:val="0"/>
          <w:marBottom w:val="0"/>
          <w:divBdr>
            <w:top w:val="none" w:sz="0" w:space="0" w:color="auto"/>
            <w:left w:val="none" w:sz="0" w:space="0" w:color="auto"/>
            <w:bottom w:val="none" w:sz="0" w:space="0" w:color="auto"/>
            <w:right w:val="none" w:sz="0" w:space="0" w:color="auto"/>
          </w:divBdr>
          <w:divsChild>
            <w:div w:id="24909509">
              <w:marLeft w:val="0"/>
              <w:marRight w:val="0"/>
              <w:marTop w:val="0"/>
              <w:marBottom w:val="0"/>
              <w:divBdr>
                <w:top w:val="none" w:sz="0" w:space="0" w:color="auto"/>
                <w:left w:val="none" w:sz="0" w:space="0" w:color="auto"/>
                <w:bottom w:val="none" w:sz="0" w:space="0" w:color="auto"/>
                <w:right w:val="none" w:sz="0" w:space="0" w:color="auto"/>
              </w:divBdr>
            </w:div>
          </w:divsChild>
        </w:div>
        <w:div w:id="147093441">
          <w:marLeft w:val="0"/>
          <w:marRight w:val="0"/>
          <w:marTop w:val="0"/>
          <w:marBottom w:val="0"/>
          <w:divBdr>
            <w:top w:val="none" w:sz="0" w:space="0" w:color="auto"/>
            <w:left w:val="none" w:sz="0" w:space="0" w:color="auto"/>
            <w:bottom w:val="none" w:sz="0" w:space="0" w:color="auto"/>
            <w:right w:val="none" w:sz="0" w:space="0" w:color="auto"/>
          </w:divBdr>
          <w:divsChild>
            <w:div w:id="1484195874">
              <w:marLeft w:val="0"/>
              <w:marRight w:val="0"/>
              <w:marTop w:val="0"/>
              <w:marBottom w:val="0"/>
              <w:divBdr>
                <w:top w:val="none" w:sz="0" w:space="0" w:color="auto"/>
                <w:left w:val="none" w:sz="0" w:space="0" w:color="auto"/>
                <w:bottom w:val="none" w:sz="0" w:space="0" w:color="auto"/>
                <w:right w:val="none" w:sz="0" w:space="0" w:color="auto"/>
              </w:divBdr>
            </w:div>
          </w:divsChild>
        </w:div>
        <w:div w:id="154684615">
          <w:marLeft w:val="0"/>
          <w:marRight w:val="0"/>
          <w:marTop w:val="0"/>
          <w:marBottom w:val="0"/>
          <w:divBdr>
            <w:top w:val="none" w:sz="0" w:space="0" w:color="auto"/>
            <w:left w:val="none" w:sz="0" w:space="0" w:color="auto"/>
            <w:bottom w:val="none" w:sz="0" w:space="0" w:color="auto"/>
            <w:right w:val="none" w:sz="0" w:space="0" w:color="auto"/>
          </w:divBdr>
          <w:divsChild>
            <w:div w:id="2029677149">
              <w:marLeft w:val="0"/>
              <w:marRight w:val="0"/>
              <w:marTop w:val="0"/>
              <w:marBottom w:val="0"/>
              <w:divBdr>
                <w:top w:val="none" w:sz="0" w:space="0" w:color="auto"/>
                <w:left w:val="none" w:sz="0" w:space="0" w:color="auto"/>
                <w:bottom w:val="none" w:sz="0" w:space="0" w:color="auto"/>
                <w:right w:val="none" w:sz="0" w:space="0" w:color="auto"/>
              </w:divBdr>
            </w:div>
          </w:divsChild>
        </w:div>
        <w:div w:id="170536065">
          <w:marLeft w:val="0"/>
          <w:marRight w:val="0"/>
          <w:marTop w:val="0"/>
          <w:marBottom w:val="0"/>
          <w:divBdr>
            <w:top w:val="none" w:sz="0" w:space="0" w:color="auto"/>
            <w:left w:val="none" w:sz="0" w:space="0" w:color="auto"/>
            <w:bottom w:val="none" w:sz="0" w:space="0" w:color="auto"/>
            <w:right w:val="none" w:sz="0" w:space="0" w:color="auto"/>
          </w:divBdr>
          <w:divsChild>
            <w:div w:id="801846392">
              <w:marLeft w:val="0"/>
              <w:marRight w:val="0"/>
              <w:marTop w:val="0"/>
              <w:marBottom w:val="0"/>
              <w:divBdr>
                <w:top w:val="none" w:sz="0" w:space="0" w:color="auto"/>
                <w:left w:val="none" w:sz="0" w:space="0" w:color="auto"/>
                <w:bottom w:val="none" w:sz="0" w:space="0" w:color="auto"/>
                <w:right w:val="none" w:sz="0" w:space="0" w:color="auto"/>
              </w:divBdr>
            </w:div>
          </w:divsChild>
        </w:div>
        <w:div w:id="253786400">
          <w:marLeft w:val="0"/>
          <w:marRight w:val="0"/>
          <w:marTop w:val="0"/>
          <w:marBottom w:val="0"/>
          <w:divBdr>
            <w:top w:val="none" w:sz="0" w:space="0" w:color="auto"/>
            <w:left w:val="none" w:sz="0" w:space="0" w:color="auto"/>
            <w:bottom w:val="none" w:sz="0" w:space="0" w:color="auto"/>
            <w:right w:val="none" w:sz="0" w:space="0" w:color="auto"/>
          </w:divBdr>
          <w:divsChild>
            <w:div w:id="1089274030">
              <w:marLeft w:val="0"/>
              <w:marRight w:val="0"/>
              <w:marTop w:val="0"/>
              <w:marBottom w:val="0"/>
              <w:divBdr>
                <w:top w:val="none" w:sz="0" w:space="0" w:color="auto"/>
                <w:left w:val="none" w:sz="0" w:space="0" w:color="auto"/>
                <w:bottom w:val="none" w:sz="0" w:space="0" w:color="auto"/>
                <w:right w:val="none" w:sz="0" w:space="0" w:color="auto"/>
              </w:divBdr>
            </w:div>
          </w:divsChild>
        </w:div>
        <w:div w:id="257642437">
          <w:marLeft w:val="0"/>
          <w:marRight w:val="0"/>
          <w:marTop w:val="0"/>
          <w:marBottom w:val="0"/>
          <w:divBdr>
            <w:top w:val="none" w:sz="0" w:space="0" w:color="auto"/>
            <w:left w:val="none" w:sz="0" w:space="0" w:color="auto"/>
            <w:bottom w:val="none" w:sz="0" w:space="0" w:color="auto"/>
            <w:right w:val="none" w:sz="0" w:space="0" w:color="auto"/>
          </w:divBdr>
          <w:divsChild>
            <w:div w:id="912279546">
              <w:marLeft w:val="0"/>
              <w:marRight w:val="0"/>
              <w:marTop w:val="0"/>
              <w:marBottom w:val="0"/>
              <w:divBdr>
                <w:top w:val="none" w:sz="0" w:space="0" w:color="auto"/>
                <w:left w:val="none" w:sz="0" w:space="0" w:color="auto"/>
                <w:bottom w:val="none" w:sz="0" w:space="0" w:color="auto"/>
                <w:right w:val="none" w:sz="0" w:space="0" w:color="auto"/>
              </w:divBdr>
            </w:div>
            <w:div w:id="1691956032">
              <w:marLeft w:val="0"/>
              <w:marRight w:val="0"/>
              <w:marTop w:val="0"/>
              <w:marBottom w:val="0"/>
              <w:divBdr>
                <w:top w:val="none" w:sz="0" w:space="0" w:color="auto"/>
                <w:left w:val="none" w:sz="0" w:space="0" w:color="auto"/>
                <w:bottom w:val="none" w:sz="0" w:space="0" w:color="auto"/>
                <w:right w:val="none" w:sz="0" w:space="0" w:color="auto"/>
              </w:divBdr>
            </w:div>
            <w:div w:id="1896886422">
              <w:marLeft w:val="0"/>
              <w:marRight w:val="0"/>
              <w:marTop w:val="0"/>
              <w:marBottom w:val="0"/>
              <w:divBdr>
                <w:top w:val="none" w:sz="0" w:space="0" w:color="auto"/>
                <w:left w:val="none" w:sz="0" w:space="0" w:color="auto"/>
                <w:bottom w:val="none" w:sz="0" w:space="0" w:color="auto"/>
                <w:right w:val="none" w:sz="0" w:space="0" w:color="auto"/>
              </w:divBdr>
            </w:div>
          </w:divsChild>
        </w:div>
        <w:div w:id="270161541">
          <w:marLeft w:val="0"/>
          <w:marRight w:val="0"/>
          <w:marTop w:val="0"/>
          <w:marBottom w:val="0"/>
          <w:divBdr>
            <w:top w:val="none" w:sz="0" w:space="0" w:color="auto"/>
            <w:left w:val="none" w:sz="0" w:space="0" w:color="auto"/>
            <w:bottom w:val="none" w:sz="0" w:space="0" w:color="auto"/>
            <w:right w:val="none" w:sz="0" w:space="0" w:color="auto"/>
          </w:divBdr>
          <w:divsChild>
            <w:div w:id="1639800022">
              <w:marLeft w:val="0"/>
              <w:marRight w:val="0"/>
              <w:marTop w:val="0"/>
              <w:marBottom w:val="0"/>
              <w:divBdr>
                <w:top w:val="none" w:sz="0" w:space="0" w:color="auto"/>
                <w:left w:val="none" w:sz="0" w:space="0" w:color="auto"/>
                <w:bottom w:val="none" w:sz="0" w:space="0" w:color="auto"/>
                <w:right w:val="none" w:sz="0" w:space="0" w:color="auto"/>
              </w:divBdr>
            </w:div>
          </w:divsChild>
        </w:div>
        <w:div w:id="337196844">
          <w:marLeft w:val="0"/>
          <w:marRight w:val="0"/>
          <w:marTop w:val="0"/>
          <w:marBottom w:val="0"/>
          <w:divBdr>
            <w:top w:val="none" w:sz="0" w:space="0" w:color="auto"/>
            <w:left w:val="none" w:sz="0" w:space="0" w:color="auto"/>
            <w:bottom w:val="none" w:sz="0" w:space="0" w:color="auto"/>
            <w:right w:val="none" w:sz="0" w:space="0" w:color="auto"/>
          </w:divBdr>
          <w:divsChild>
            <w:div w:id="494148804">
              <w:marLeft w:val="0"/>
              <w:marRight w:val="0"/>
              <w:marTop w:val="0"/>
              <w:marBottom w:val="0"/>
              <w:divBdr>
                <w:top w:val="none" w:sz="0" w:space="0" w:color="auto"/>
                <w:left w:val="none" w:sz="0" w:space="0" w:color="auto"/>
                <w:bottom w:val="none" w:sz="0" w:space="0" w:color="auto"/>
                <w:right w:val="none" w:sz="0" w:space="0" w:color="auto"/>
              </w:divBdr>
            </w:div>
          </w:divsChild>
        </w:div>
        <w:div w:id="338585297">
          <w:marLeft w:val="0"/>
          <w:marRight w:val="0"/>
          <w:marTop w:val="0"/>
          <w:marBottom w:val="0"/>
          <w:divBdr>
            <w:top w:val="none" w:sz="0" w:space="0" w:color="auto"/>
            <w:left w:val="none" w:sz="0" w:space="0" w:color="auto"/>
            <w:bottom w:val="none" w:sz="0" w:space="0" w:color="auto"/>
            <w:right w:val="none" w:sz="0" w:space="0" w:color="auto"/>
          </w:divBdr>
          <w:divsChild>
            <w:div w:id="133917210">
              <w:marLeft w:val="0"/>
              <w:marRight w:val="0"/>
              <w:marTop w:val="0"/>
              <w:marBottom w:val="0"/>
              <w:divBdr>
                <w:top w:val="none" w:sz="0" w:space="0" w:color="auto"/>
                <w:left w:val="none" w:sz="0" w:space="0" w:color="auto"/>
                <w:bottom w:val="none" w:sz="0" w:space="0" w:color="auto"/>
                <w:right w:val="none" w:sz="0" w:space="0" w:color="auto"/>
              </w:divBdr>
            </w:div>
          </w:divsChild>
        </w:div>
        <w:div w:id="423889939">
          <w:marLeft w:val="0"/>
          <w:marRight w:val="0"/>
          <w:marTop w:val="0"/>
          <w:marBottom w:val="0"/>
          <w:divBdr>
            <w:top w:val="none" w:sz="0" w:space="0" w:color="auto"/>
            <w:left w:val="none" w:sz="0" w:space="0" w:color="auto"/>
            <w:bottom w:val="none" w:sz="0" w:space="0" w:color="auto"/>
            <w:right w:val="none" w:sz="0" w:space="0" w:color="auto"/>
          </w:divBdr>
          <w:divsChild>
            <w:div w:id="1424185100">
              <w:marLeft w:val="0"/>
              <w:marRight w:val="0"/>
              <w:marTop w:val="0"/>
              <w:marBottom w:val="0"/>
              <w:divBdr>
                <w:top w:val="none" w:sz="0" w:space="0" w:color="auto"/>
                <w:left w:val="none" w:sz="0" w:space="0" w:color="auto"/>
                <w:bottom w:val="none" w:sz="0" w:space="0" w:color="auto"/>
                <w:right w:val="none" w:sz="0" w:space="0" w:color="auto"/>
              </w:divBdr>
            </w:div>
          </w:divsChild>
        </w:div>
        <w:div w:id="429130543">
          <w:marLeft w:val="0"/>
          <w:marRight w:val="0"/>
          <w:marTop w:val="0"/>
          <w:marBottom w:val="0"/>
          <w:divBdr>
            <w:top w:val="none" w:sz="0" w:space="0" w:color="auto"/>
            <w:left w:val="none" w:sz="0" w:space="0" w:color="auto"/>
            <w:bottom w:val="none" w:sz="0" w:space="0" w:color="auto"/>
            <w:right w:val="none" w:sz="0" w:space="0" w:color="auto"/>
          </w:divBdr>
          <w:divsChild>
            <w:div w:id="593251157">
              <w:marLeft w:val="0"/>
              <w:marRight w:val="0"/>
              <w:marTop w:val="0"/>
              <w:marBottom w:val="0"/>
              <w:divBdr>
                <w:top w:val="none" w:sz="0" w:space="0" w:color="auto"/>
                <w:left w:val="none" w:sz="0" w:space="0" w:color="auto"/>
                <w:bottom w:val="none" w:sz="0" w:space="0" w:color="auto"/>
                <w:right w:val="none" w:sz="0" w:space="0" w:color="auto"/>
              </w:divBdr>
            </w:div>
          </w:divsChild>
        </w:div>
        <w:div w:id="432019044">
          <w:marLeft w:val="0"/>
          <w:marRight w:val="0"/>
          <w:marTop w:val="0"/>
          <w:marBottom w:val="0"/>
          <w:divBdr>
            <w:top w:val="none" w:sz="0" w:space="0" w:color="auto"/>
            <w:left w:val="none" w:sz="0" w:space="0" w:color="auto"/>
            <w:bottom w:val="none" w:sz="0" w:space="0" w:color="auto"/>
            <w:right w:val="none" w:sz="0" w:space="0" w:color="auto"/>
          </w:divBdr>
          <w:divsChild>
            <w:div w:id="295987938">
              <w:marLeft w:val="0"/>
              <w:marRight w:val="0"/>
              <w:marTop w:val="0"/>
              <w:marBottom w:val="0"/>
              <w:divBdr>
                <w:top w:val="none" w:sz="0" w:space="0" w:color="auto"/>
                <w:left w:val="none" w:sz="0" w:space="0" w:color="auto"/>
                <w:bottom w:val="none" w:sz="0" w:space="0" w:color="auto"/>
                <w:right w:val="none" w:sz="0" w:space="0" w:color="auto"/>
              </w:divBdr>
            </w:div>
          </w:divsChild>
        </w:div>
        <w:div w:id="495535211">
          <w:marLeft w:val="0"/>
          <w:marRight w:val="0"/>
          <w:marTop w:val="0"/>
          <w:marBottom w:val="0"/>
          <w:divBdr>
            <w:top w:val="none" w:sz="0" w:space="0" w:color="auto"/>
            <w:left w:val="none" w:sz="0" w:space="0" w:color="auto"/>
            <w:bottom w:val="none" w:sz="0" w:space="0" w:color="auto"/>
            <w:right w:val="none" w:sz="0" w:space="0" w:color="auto"/>
          </w:divBdr>
          <w:divsChild>
            <w:div w:id="597443676">
              <w:marLeft w:val="0"/>
              <w:marRight w:val="0"/>
              <w:marTop w:val="0"/>
              <w:marBottom w:val="0"/>
              <w:divBdr>
                <w:top w:val="none" w:sz="0" w:space="0" w:color="auto"/>
                <w:left w:val="none" w:sz="0" w:space="0" w:color="auto"/>
                <w:bottom w:val="none" w:sz="0" w:space="0" w:color="auto"/>
                <w:right w:val="none" w:sz="0" w:space="0" w:color="auto"/>
              </w:divBdr>
            </w:div>
          </w:divsChild>
        </w:div>
        <w:div w:id="521745665">
          <w:marLeft w:val="0"/>
          <w:marRight w:val="0"/>
          <w:marTop w:val="0"/>
          <w:marBottom w:val="0"/>
          <w:divBdr>
            <w:top w:val="none" w:sz="0" w:space="0" w:color="auto"/>
            <w:left w:val="none" w:sz="0" w:space="0" w:color="auto"/>
            <w:bottom w:val="none" w:sz="0" w:space="0" w:color="auto"/>
            <w:right w:val="none" w:sz="0" w:space="0" w:color="auto"/>
          </w:divBdr>
          <w:divsChild>
            <w:div w:id="194660174">
              <w:marLeft w:val="0"/>
              <w:marRight w:val="0"/>
              <w:marTop w:val="0"/>
              <w:marBottom w:val="0"/>
              <w:divBdr>
                <w:top w:val="none" w:sz="0" w:space="0" w:color="auto"/>
                <w:left w:val="none" w:sz="0" w:space="0" w:color="auto"/>
                <w:bottom w:val="none" w:sz="0" w:space="0" w:color="auto"/>
                <w:right w:val="none" w:sz="0" w:space="0" w:color="auto"/>
              </w:divBdr>
            </w:div>
          </w:divsChild>
        </w:div>
        <w:div w:id="544827940">
          <w:marLeft w:val="0"/>
          <w:marRight w:val="0"/>
          <w:marTop w:val="0"/>
          <w:marBottom w:val="0"/>
          <w:divBdr>
            <w:top w:val="none" w:sz="0" w:space="0" w:color="auto"/>
            <w:left w:val="none" w:sz="0" w:space="0" w:color="auto"/>
            <w:bottom w:val="none" w:sz="0" w:space="0" w:color="auto"/>
            <w:right w:val="none" w:sz="0" w:space="0" w:color="auto"/>
          </w:divBdr>
          <w:divsChild>
            <w:div w:id="1844932573">
              <w:marLeft w:val="0"/>
              <w:marRight w:val="0"/>
              <w:marTop w:val="0"/>
              <w:marBottom w:val="0"/>
              <w:divBdr>
                <w:top w:val="none" w:sz="0" w:space="0" w:color="auto"/>
                <w:left w:val="none" w:sz="0" w:space="0" w:color="auto"/>
                <w:bottom w:val="none" w:sz="0" w:space="0" w:color="auto"/>
                <w:right w:val="none" w:sz="0" w:space="0" w:color="auto"/>
              </w:divBdr>
            </w:div>
          </w:divsChild>
        </w:div>
        <w:div w:id="548223576">
          <w:marLeft w:val="0"/>
          <w:marRight w:val="0"/>
          <w:marTop w:val="0"/>
          <w:marBottom w:val="0"/>
          <w:divBdr>
            <w:top w:val="none" w:sz="0" w:space="0" w:color="auto"/>
            <w:left w:val="none" w:sz="0" w:space="0" w:color="auto"/>
            <w:bottom w:val="none" w:sz="0" w:space="0" w:color="auto"/>
            <w:right w:val="none" w:sz="0" w:space="0" w:color="auto"/>
          </w:divBdr>
          <w:divsChild>
            <w:div w:id="266281847">
              <w:marLeft w:val="0"/>
              <w:marRight w:val="0"/>
              <w:marTop w:val="0"/>
              <w:marBottom w:val="0"/>
              <w:divBdr>
                <w:top w:val="none" w:sz="0" w:space="0" w:color="auto"/>
                <w:left w:val="none" w:sz="0" w:space="0" w:color="auto"/>
                <w:bottom w:val="none" w:sz="0" w:space="0" w:color="auto"/>
                <w:right w:val="none" w:sz="0" w:space="0" w:color="auto"/>
              </w:divBdr>
            </w:div>
          </w:divsChild>
        </w:div>
        <w:div w:id="576013581">
          <w:marLeft w:val="0"/>
          <w:marRight w:val="0"/>
          <w:marTop w:val="0"/>
          <w:marBottom w:val="0"/>
          <w:divBdr>
            <w:top w:val="none" w:sz="0" w:space="0" w:color="auto"/>
            <w:left w:val="none" w:sz="0" w:space="0" w:color="auto"/>
            <w:bottom w:val="none" w:sz="0" w:space="0" w:color="auto"/>
            <w:right w:val="none" w:sz="0" w:space="0" w:color="auto"/>
          </w:divBdr>
          <w:divsChild>
            <w:div w:id="1355809616">
              <w:marLeft w:val="0"/>
              <w:marRight w:val="0"/>
              <w:marTop w:val="0"/>
              <w:marBottom w:val="0"/>
              <w:divBdr>
                <w:top w:val="none" w:sz="0" w:space="0" w:color="auto"/>
                <w:left w:val="none" w:sz="0" w:space="0" w:color="auto"/>
                <w:bottom w:val="none" w:sz="0" w:space="0" w:color="auto"/>
                <w:right w:val="none" w:sz="0" w:space="0" w:color="auto"/>
              </w:divBdr>
            </w:div>
          </w:divsChild>
        </w:div>
        <w:div w:id="641160916">
          <w:marLeft w:val="0"/>
          <w:marRight w:val="0"/>
          <w:marTop w:val="0"/>
          <w:marBottom w:val="0"/>
          <w:divBdr>
            <w:top w:val="none" w:sz="0" w:space="0" w:color="auto"/>
            <w:left w:val="none" w:sz="0" w:space="0" w:color="auto"/>
            <w:bottom w:val="none" w:sz="0" w:space="0" w:color="auto"/>
            <w:right w:val="none" w:sz="0" w:space="0" w:color="auto"/>
          </w:divBdr>
          <w:divsChild>
            <w:div w:id="372387587">
              <w:marLeft w:val="0"/>
              <w:marRight w:val="0"/>
              <w:marTop w:val="0"/>
              <w:marBottom w:val="0"/>
              <w:divBdr>
                <w:top w:val="none" w:sz="0" w:space="0" w:color="auto"/>
                <w:left w:val="none" w:sz="0" w:space="0" w:color="auto"/>
                <w:bottom w:val="none" w:sz="0" w:space="0" w:color="auto"/>
                <w:right w:val="none" w:sz="0" w:space="0" w:color="auto"/>
              </w:divBdr>
            </w:div>
          </w:divsChild>
        </w:div>
        <w:div w:id="670328176">
          <w:marLeft w:val="0"/>
          <w:marRight w:val="0"/>
          <w:marTop w:val="0"/>
          <w:marBottom w:val="0"/>
          <w:divBdr>
            <w:top w:val="none" w:sz="0" w:space="0" w:color="auto"/>
            <w:left w:val="none" w:sz="0" w:space="0" w:color="auto"/>
            <w:bottom w:val="none" w:sz="0" w:space="0" w:color="auto"/>
            <w:right w:val="none" w:sz="0" w:space="0" w:color="auto"/>
          </w:divBdr>
          <w:divsChild>
            <w:div w:id="1630697885">
              <w:marLeft w:val="0"/>
              <w:marRight w:val="0"/>
              <w:marTop w:val="0"/>
              <w:marBottom w:val="0"/>
              <w:divBdr>
                <w:top w:val="none" w:sz="0" w:space="0" w:color="auto"/>
                <w:left w:val="none" w:sz="0" w:space="0" w:color="auto"/>
                <w:bottom w:val="none" w:sz="0" w:space="0" w:color="auto"/>
                <w:right w:val="none" w:sz="0" w:space="0" w:color="auto"/>
              </w:divBdr>
            </w:div>
          </w:divsChild>
        </w:div>
        <w:div w:id="707492192">
          <w:marLeft w:val="0"/>
          <w:marRight w:val="0"/>
          <w:marTop w:val="0"/>
          <w:marBottom w:val="0"/>
          <w:divBdr>
            <w:top w:val="none" w:sz="0" w:space="0" w:color="auto"/>
            <w:left w:val="none" w:sz="0" w:space="0" w:color="auto"/>
            <w:bottom w:val="none" w:sz="0" w:space="0" w:color="auto"/>
            <w:right w:val="none" w:sz="0" w:space="0" w:color="auto"/>
          </w:divBdr>
          <w:divsChild>
            <w:div w:id="1013801054">
              <w:marLeft w:val="0"/>
              <w:marRight w:val="0"/>
              <w:marTop w:val="0"/>
              <w:marBottom w:val="0"/>
              <w:divBdr>
                <w:top w:val="none" w:sz="0" w:space="0" w:color="auto"/>
                <w:left w:val="none" w:sz="0" w:space="0" w:color="auto"/>
                <w:bottom w:val="none" w:sz="0" w:space="0" w:color="auto"/>
                <w:right w:val="none" w:sz="0" w:space="0" w:color="auto"/>
              </w:divBdr>
            </w:div>
          </w:divsChild>
        </w:div>
        <w:div w:id="771588038">
          <w:marLeft w:val="0"/>
          <w:marRight w:val="0"/>
          <w:marTop w:val="0"/>
          <w:marBottom w:val="0"/>
          <w:divBdr>
            <w:top w:val="none" w:sz="0" w:space="0" w:color="auto"/>
            <w:left w:val="none" w:sz="0" w:space="0" w:color="auto"/>
            <w:bottom w:val="none" w:sz="0" w:space="0" w:color="auto"/>
            <w:right w:val="none" w:sz="0" w:space="0" w:color="auto"/>
          </w:divBdr>
          <w:divsChild>
            <w:div w:id="71977914">
              <w:marLeft w:val="0"/>
              <w:marRight w:val="0"/>
              <w:marTop w:val="0"/>
              <w:marBottom w:val="0"/>
              <w:divBdr>
                <w:top w:val="none" w:sz="0" w:space="0" w:color="auto"/>
                <w:left w:val="none" w:sz="0" w:space="0" w:color="auto"/>
                <w:bottom w:val="none" w:sz="0" w:space="0" w:color="auto"/>
                <w:right w:val="none" w:sz="0" w:space="0" w:color="auto"/>
              </w:divBdr>
            </w:div>
          </w:divsChild>
        </w:div>
        <w:div w:id="849562694">
          <w:marLeft w:val="0"/>
          <w:marRight w:val="0"/>
          <w:marTop w:val="0"/>
          <w:marBottom w:val="0"/>
          <w:divBdr>
            <w:top w:val="none" w:sz="0" w:space="0" w:color="auto"/>
            <w:left w:val="none" w:sz="0" w:space="0" w:color="auto"/>
            <w:bottom w:val="none" w:sz="0" w:space="0" w:color="auto"/>
            <w:right w:val="none" w:sz="0" w:space="0" w:color="auto"/>
          </w:divBdr>
          <w:divsChild>
            <w:div w:id="594169753">
              <w:marLeft w:val="0"/>
              <w:marRight w:val="0"/>
              <w:marTop w:val="0"/>
              <w:marBottom w:val="0"/>
              <w:divBdr>
                <w:top w:val="none" w:sz="0" w:space="0" w:color="auto"/>
                <w:left w:val="none" w:sz="0" w:space="0" w:color="auto"/>
                <w:bottom w:val="none" w:sz="0" w:space="0" w:color="auto"/>
                <w:right w:val="none" w:sz="0" w:space="0" w:color="auto"/>
              </w:divBdr>
            </w:div>
          </w:divsChild>
        </w:div>
        <w:div w:id="877089279">
          <w:marLeft w:val="0"/>
          <w:marRight w:val="0"/>
          <w:marTop w:val="0"/>
          <w:marBottom w:val="0"/>
          <w:divBdr>
            <w:top w:val="none" w:sz="0" w:space="0" w:color="auto"/>
            <w:left w:val="none" w:sz="0" w:space="0" w:color="auto"/>
            <w:bottom w:val="none" w:sz="0" w:space="0" w:color="auto"/>
            <w:right w:val="none" w:sz="0" w:space="0" w:color="auto"/>
          </w:divBdr>
          <w:divsChild>
            <w:div w:id="564530168">
              <w:marLeft w:val="0"/>
              <w:marRight w:val="0"/>
              <w:marTop w:val="0"/>
              <w:marBottom w:val="0"/>
              <w:divBdr>
                <w:top w:val="none" w:sz="0" w:space="0" w:color="auto"/>
                <w:left w:val="none" w:sz="0" w:space="0" w:color="auto"/>
                <w:bottom w:val="none" w:sz="0" w:space="0" w:color="auto"/>
                <w:right w:val="none" w:sz="0" w:space="0" w:color="auto"/>
              </w:divBdr>
            </w:div>
          </w:divsChild>
        </w:div>
        <w:div w:id="939803233">
          <w:marLeft w:val="0"/>
          <w:marRight w:val="0"/>
          <w:marTop w:val="0"/>
          <w:marBottom w:val="0"/>
          <w:divBdr>
            <w:top w:val="none" w:sz="0" w:space="0" w:color="auto"/>
            <w:left w:val="none" w:sz="0" w:space="0" w:color="auto"/>
            <w:bottom w:val="none" w:sz="0" w:space="0" w:color="auto"/>
            <w:right w:val="none" w:sz="0" w:space="0" w:color="auto"/>
          </w:divBdr>
          <w:divsChild>
            <w:div w:id="650914290">
              <w:marLeft w:val="0"/>
              <w:marRight w:val="0"/>
              <w:marTop w:val="0"/>
              <w:marBottom w:val="0"/>
              <w:divBdr>
                <w:top w:val="none" w:sz="0" w:space="0" w:color="auto"/>
                <w:left w:val="none" w:sz="0" w:space="0" w:color="auto"/>
                <w:bottom w:val="none" w:sz="0" w:space="0" w:color="auto"/>
                <w:right w:val="none" w:sz="0" w:space="0" w:color="auto"/>
              </w:divBdr>
            </w:div>
          </w:divsChild>
        </w:div>
        <w:div w:id="957027207">
          <w:marLeft w:val="0"/>
          <w:marRight w:val="0"/>
          <w:marTop w:val="0"/>
          <w:marBottom w:val="0"/>
          <w:divBdr>
            <w:top w:val="none" w:sz="0" w:space="0" w:color="auto"/>
            <w:left w:val="none" w:sz="0" w:space="0" w:color="auto"/>
            <w:bottom w:val="none" w:sz="0" w:space="0" w:color="auto"/>
            <w:right w:val="none" w:sz="0" w:space="0" w:color="auto"/>
          </w:divBdr>
          <w:divsChild>
            <w:div w:id="880819986">
              <w:marLeft w:val="0"/>
              <w:marRight w:val="0"/>
              <w:marTop w:val="0"/>
              <w:marBottom w:val="0"/>
              <w:divBdr>
                <w:top w:val="none" w:sz="0" w:space="0" w:color="auto"/>
                <w:left w:val="none" w:sz="0" w:space="0" w:color="auto"/>
                <w:bottom w:val="none" w:sz="0" w:space="0" w:color="auto"/>
                <w:right w:val="none" w:sz="0" w:space="0" w:color="auto"/>
              </w:divBdr>
            </w:div>
          </w:divsChild>
        </w:div>
        <w:div w:id="1052266042">
          <w:marLeft w:val="0"/>
          <w:marRight w:val="0"/>
          <w:marTop w:val="0"/>
          <w:marBottom w:val="0"/>
          <w:divBdr>
            <w:top w:val="none" w:sz="0" w:space="0" w:color="auto"/>
            <w:left w:val="none" w:sz="0" w:space="0" w:color="auto"/>
            <w:bottom w:val="none" w:sz="0" w:space="0" w:color="auto"/>
            <w:right w:val="none" w:sz="0" w:space="0" w:color="auto"/>
          </w:divBdr>
          <w:divsChild>
            <w:div w:id="249703819">
              <w:marLeft w:val="0"/>
              <w:marRight w:val="0"/>
              <w:marTop w:val="0"/>
              <w:marBottom w:val="0"/>
              <w:divBdr>
                <w:top w:val="none" w:sz="0" w:space="0" w:color="auto"/>
                <w:left w:val="none" w:sz="0" w:space="0" w:color="auto"/>
                <w:bottom w:val="none" w:sz="0" w:space="0" w:color="auto"/>
                <w:right w:val="none" w:sz="0" w:space="0" w:color="auto"/>
              </w:divBdr>
            </w:div>
          </w:divsChild>
        </w:div>
        <w:div w:id="1069422312">
          <w:marLeft w:val="0"/>
          <w:marRight w:val="0"/>
          <w:marTop w:val="0"/>
          <w:marBottom w:val="0"/>
          <w:divBdr>
            <w:top w:val="none" w:sz="0" w:space="0" w:color="auto"/>
            <w:left w:val="none" w:sz="0" w:space="0" w:color="auto"/>
            <w:bottom w:val="none" w:sz="0" w:space="0" w:color="auto"/>
            <w:right w:val="none" w:sz="0" w:space="0" w:color="auto"/>
          </w:divBdr>
          <w:divsChild>
            <w:div w:id="1975597642">
              <w:marLeft w:val="0"/>
              <w:marRight w:val="0"/>
              <w:marTop w:val="0"/>
              <w:marBottom w:val="0"/>
              <w:divBdr>
                <w:top w:val="none" w:sz="0" w:space="0" w:color="auto"/>
                <w:left w:val="none" w:sz="0" w:space="0" w:color="auto"/>
                <w:bottom w:val="none" w:sz="0" w:space="0" w:color="auto"/>
                <w:right w:val="none" w:sz="0" w:space="0" w:color="auto"/>
              </w:divBdr>
            </w:div>
          </w:divsChild>
        </w:div>
        <w:div w:id="1072391644">
          <w:marLeft w:val="0"/>
          <w:marRight w:val="0"/>
          <w:marTop w:val="0"/>
          <w:marBottom w:val="0"/>
          <w:divBdr>
            <w:top w:val="none" w:sz="0" w:space="0" w:color="auto"/>
            <w:left w:val="none" w:sz="0" w:space="0" w:color="auto"/>
            <w:bottom w:val="none" w:sz="0" w:space="0" w:color="auto"/>
            <w:right w:val="none" w:sz="0" w:space="0" w:color="auto"/>
          </w:divBdr>
          <w:divsChild>
            <w:div w:id="2026714327">
              <w:marLeft w:val="0"/>
              <w:marRight w:val="0"/>
              <w:marTop w:val="0"/>
              <w:marBottom w:val="0"/>
              <w:divBdr>
                <w:top w:val="none" w:sz="0" w:space="0" w:color="auto"/>
                <w:left w:val="none" w:sz="0" w:space="0" w:color="auto"/>
                <w:bottom w:val="none" w:sz="0" w:space="0" w:color="auto"/>
                <w:right w:val="none" w:sz="0" w:space="0" w:color="auto"/>
              </w:divBdr>
            </w:div>
          </w:divsChild>
        </w:div>
        <w:div w:id="1092819525">
          <w:marLeft w:val="0"/>
          <w:marRight w:val="0"/>
          <w:marTop w:val="0"/>
          <w:marBottom w:val="0"/>
          <w:divBdr>
            <w:top w:val="none" w:sz="0" w:space="0" w:color="auto"/>
            <w:left w:val="none" w:sz="0" w:space="0" w:color="auto"/>
            <w:bottom w:val="none" w:sz="0" w:space="0" w:color="auto"/>
            <w:right w:val="none" w:sz="0" w:space="0" w:color="auto"/>
          </w:divBdr>
          <w:divsChild>
            <w:div w:id="515048313">
              <w:marLeft w:val="0"/>
              <w:marRight w:val="0"/>
              <w:marTop w:val="0"/>
              <w:marBottom w:val="0"/>
              <w:divBdr>
                <w:top w:val="none" w:sz="0" w:space="0" w:color="auto"/>
                <w:left w:val="none" w:sz="0" w:space="0" w:color="auto"/>
                <w:bottom w:val="none" w:sz="0" w:space="0" w:color="auto"/>
                <w:right w:val="none" w:sz="0" w:space="0" w:color="auto"/>
              </w:divBdr>
            </w:div>
          </w:divsChild>
        </w:div>
        <w:div w:id="1185434512">
          <w:marLeft w:val="0"/>
          <w:marRight w:val="0"/>
          <w:marTop w:val="0"/>
          <w:marBottom w:val="0"/>
          <w:divBdr>
            <w:top w:val="none" w:sz="0" w:space="0" w:color="auto"/>
            <w:left w:val="none" w:sz="0" w:space="0" w:color="auto"/>
            <w:bottom w:val="none" w:sz="0" w:space="0" w:color="auto"/>
            <w:right w:val="none" w:sz="0" w:space="0" w:color="auto"/>
          </w:divBdr>
          <w:divsChild>
            <w:div w:id="1902205446">
              <w:marLeft w:val="0"/>
              <w:marRight w:val="0"/>
              <w:marTop w:val="0"/>
              <w:marBottom w:val="0"/>
              <w:divBdr>
                <w:top w:val="none" w:sz="0" w:space="0" w:color="auto"/>
                <w:left w:val="none" w:sz="0" w:space="0" w:color="auto"/>
                <w:bottom w:val="none" w:sz="0" w:space="0" w:color="auto"/>
                <w:right w:val="none" w:sz="0" w:space="0" w:color="auto"/>
              </w:divBdr>
            </w:div>
          </w:divsChild>
        </w:div>
        <w:div w:id="1264612951">
          <w:marLeft w:val="0"/>
          <w:marRight w:val="0"/>
          <w:marTop w:val="0"/>
          <w:marBottom w:val="0"/>
          <w:divBdr>
            <w:top w:val="none" w:sz="0" w:space="0" w:color="auto"/>
            <w:left w:val="none" w:sz="0" w:space="0" w:color="auto"/>
            <w:bottom w:val="none" w:sz="0" w:space="0" w:color="auto"/>
            <w:right w:val="none" w:sz="0" w:space="0" w:color="auto"/>
          </w:divBdr>
          <w:divsChild>
            <w:div w:id="514265865">
              <w:marLeft w:val="0"/>
              <w:marRight w:val="0"/>
              <w:marTop w:val="0"/>
              <w:marBottom w:val="0"/>
              <w:divBdr>
                <w:top w:val="none" w:sz="0" w:space="0" w:color="auto"/>
                <w:left w:val="none" w:sz="0" w:space="0" w:color="auto"/>
                <w:bottom w:val="none" w:sz="0" w:space="0" w:color="auto"/>
                <w:right w:val="none" w:sz="0" w:space="0" w:color="auto"/>
              </w:divBdr>
            </w:div>
          </w:divsChild>
        </w:div>
        <w:div w:id="1284733165">
          <w:marLeft w:val="0"/>
          <w:marRight w:val="0"/>
          <w:marTop w:val="0"/>
          <w:marBottom w:val="0"/>
          <w:divBdr>
            <w:top w:val="none" w:sz="0" w:space="0" w:color="auto"/>
            <w:left w:val="none" w:sz="0" w:space="0" w:color="auto"/>
            <w:bottom w:val="none" w:sz="0" w:space="0" w:color="auto"/>
            <w:right w:val="none" w:sz="0" w:space="0" w:color="auto"/>
          </w:divBdr>
          <w:divsChild>
            <w:div w:id="1254630161">
              <w:marLeft w:val="0"/>
              <w:marRight w:val="0"/>
              <w:marTop w:val="0"/>
              <w:marBottom w:val="0"/>
              <w:divBdr>
                <w:top w:val="none" w:sz="0" w:space="0" w:color="auto"/>
                <w:left w:val="none" w:sz="0" w:space="0" w:color="auto"/>
                <w:bottom w:val="none" w:sz="0" w:space="0" w:color="auto"/>
                <w:right w:val="none" w:sz="0" w:space="0" w:color="auto"/>
              </w:divBdr>
            </w:div>
          </w:divsChild>
        </w:div>
        <w:div w:id="1286501502">
          <w:marLeft w:val="0"/>
          <w:marRight w:val="0"/>
          <w:marTop w:val="0"/>
          <w:marBottom w:val="0"/>
          <w:divBdr>
            <w:top w:val="none" w:sz="0" w:space="0" w:color="auto"/>
            <w:left w:val="none" w:sz="0" w:space="0" w:color="auto"/>
            <w:bottom w:val="none" w:sz="0" w:space="0" w:color="auto"/>
            <w:right w:val="none" w:sz="0" w:space="0" w:color="auto"/>
          </w:divBdr>
          <w:divsChild>
            <w:div w:id="528884340">
              <w:marLeft w:val="0"/>
              <w:marRight w:val="0"/>
              <w:marTop w:val="0"/>
              <w:marBottom w:val="0"/>
              <w:divBdr>
                <w:top w:val="none" w:sz="0" w:space="0" w:color="auto"/>
                <w:left w:val="none" w:sz="0" w:space="0" w:color="auto"/>
                <w:bottom w:val="none" w:sz="0" w:space="0" w:color="auto"/>
                <w:right w:val="none" w:sz="0" w:space="0" w:color="auto"/>
              </w:divBdr>
            </w:div>
          </w:divsChild>
        </w:div>
        <w:div w:id="1299215714">
          <w:marLeft w:val="0"/>
          <w:marRight w:val="0"/>
          <w:marTop w:val="0"/>
          <w:marBottom w:val="0"/>
          <w:divBdr>
            <w:top w:val="none" w:sz="0" w:space="0" w:color="auto"/>
            <w:left w:val="none" w:sz="0" w:space="0" w:color="auto"/>
            <w:bottom w:val="none" w:sz="0" w:space="0" w:color="auto"/>
            <w:right w:val="none" w:sz="0" w:space="0" w:color="auto"/>
          </w:divBdr>
          <w:divsChild>
            <w:div w:id="866798823">
              <w:marLeft w:val="0"/>
              <w:marRight w:val="0"/>
              <w:marTop w:val="0"/>
              <w:marBottom w:val="0"/>
              <w:divBdr>
                <w:top w:val="none" w:sz="0" w:space="0" w:color="auto"/>
                <w:left w:val="none" w:sz="0" w:space="0" w:color="auto"/>
                <w:bottom w:val="none" w:sz="0" w:space="0" w:color="auto"/>
                <w:right w:val="none" w:sz="0" w:space="0" w:color="auto"/>
              </w:divBdr>
            </w:div>
          </w:divsChild>
        </w:div>
        <w:div w:id="1330600092">
          <w:marLeft w:val="0"/>
          <w:marRight w:val="0"/>
          <w:marTop w:val="0"/>
          <w:marBottom w:val="0"/>
          <w:divBdr>
            <w:top w:val="none" w:sz="0" w:space="0" w:color="auto"/>
            <w:left w:val="none" w:sz="0" w:space="0" w:color="auto"/>
            <w:bottom w:val="none" w:sz="0" w:space="0" w:color="auto"/>
            <w:right w:val="none" w:sz="0" w:space="0" w:color="auto"/>
          </w:divBdr>
          <w:divsChild>
            <w:div w:id="1105346116">
              <w:marLeft w:val="0"/>
              <w:marRight w:val="0"/>
              <w:marTop w:val="0"/>
              <w:marBottom w:val="0"/>
              <w:divBdr>
                <w:top w:val="none" w:sz="0" w:space="0" w:color="auto"/>
                <w:left w:val="none" w:sz="0" w:space="0" w:color="auto"/>
                <w:bottom w:val="none" w:sz="0" w:space="0" w:color="auto"/>
                <w:right w:val="none" w:sz="0" w:space="0" w:color="auto"/>
              </w:divBdr>
            </w:div>
          </w:divsChild>
        </w:div>
        <w:div w:id="1344237472">
          <w:marLeft w:val="0"/>
          <w:marRight w:val="0"/>
          <w:marTop w:val="0"/>
          <w:marBottom w:val="0"/>
          <w:divBdr>
            <w:top w:val="none" w:sz="0" w:space="0" w:color="auto"/>
            <w:left w:val="none" w:sz="0" w:space="0" w:color="auto"/>
            <w:bottom w:val="none" w:sz="0" w:space="0" w:color="auto"/>
            <w:right w:val="none" w:sz="0" w:space="0" w:color="auto"/>
          </w:divBdr>
          <w:divsChild>
            <w:div w:id="1814909589">
              <w:marLeft w:val="0"/>
              <w:marRight w:val="0"/>
              <w:marTop w:val="0"/>
              <w:marBottom w:val="0"/>
              <w:divBdr>
                <w:top w:val="none" w:sz="0" w:space="0" w:color="auto"/>
                <w:left w:val="none" w:sz="0" w:space="0" w:color="auto"/>
                <w:bottom w:val="none" w:sz="0" w:space="0" w:color="auto"/>
                <w:right w:val="none" w:sz="0" w:space="0" w:color="auto"/>
              </w:divBdr>
            </w:div>
          </w:divsChild>
        </w:div>
        <w:div w:id="1368027551">
          <w:marLeft w:val="0"/>
          <w:marRight w:val="0"/>
          <w:marTop w:val="0"/>
          <w:marBottom w:val="0"/>
          <w:divBdr>
            <w:top w:val="none" w:sz="0" w:space="0" w:color="auto"/>
            <w:left w:val="none" w:sz="0" w:space="0" w:color="auto"/>
            <w:bottom w:val="none" w:sz="0" w:space="0" w:color="auto"/>
            <w:right w:val="none" w:sz="0" w:space="0" w:color="auto"/>
          </w:divBdr>
          <w:divsChild>
            <w:div w:id="1953705379">
              <w:marLeft w:val="0"/>
              <w:marRight w:val="0"/>
              <w:marTop w:val="0"/>
              <w:marBottom w:val="0"/>
              <w:divBdr>
                <w:top w:val="none" w:sz="0" w:space="0" w:color="auto"/>
                <w:left w:val="none" w:sz="0" w:space="0" w:color="auto"/>
                <w:bottom w:val="none" w:sz="0" w:space="0" w:color="auto"/>
                <w:right w:val="none" w:sz="0" w:space="0" w:color="auto"/>
              </w:divBdr>
            </w:div>
          </w:divsChild>
        </w:div>
        <w:div w:id="1388214630">
          <w:marLeft w:val="0"/>
          <w:marRight w:val="0"/>
          <w:marTop w:val="0"/>
          <w:marBottom w:val="0"/>
          <w:divBdr>
            <w:top w:val="none" w:sz="0" w:space="0" w:color="auto"/>
            <w:left w:val="none" w:sz="0" w:space="0" w:color="auto"/>
            <w:bottom w:val="none" w:sz="0" w:space="0" w:color="auto"/>
            <w:right w:val="none" w:sz="0" w:space="0" w:color="auto"/>
          </w:divBdr>
          <w:divsChild>
            <w:div w:id="1950234680">
              <w:marLeft w:val="0"/>
              <w:marRight w:val="0"/>
              <w:marTop w:val="0"/>
              <w:marBottom w:val="0"/>
              <w:divBdr>
                <w:top w:val="none" w:sz="0" w:space="0" w:color="auto"/>
                <w:left w:val="none" w:sz="0" w:space="0" w:color="auto"/>
                <w:bottom w:val="none" w:sz="0" w:space="0" w:color="auto"/>
                <w:right w:val="none" w:sz="0" w:space="0" w:color="auto"/>
              </w:divBdr>
            </w:div>
          </w:divsChild>
        </w:div>
        <w:div w:id="1393507515">
          <w:marLeft w:val="0"/>
          <w:marRight w:val="0"/>
          <w:marTop w:val="0"/>
          <w:marBottom w:val="0"/>
          <w:divBdr>
            <w:top w:val="none" w:sz="0" w:space="0" w:color="auto"/>
            <w:left w:val="none" w:sz="0" w:space="0" w:color="auto"/>
            <w:bottom w:val="none" w:sz="0" w:space="0" w:color="auto"/>
            <w:right w:val="none" w:sz="0" w:space="0" w:color="auto"/>
          </w:divBdr>
          <w:divsChild>
            <w:div w:id="1141387700">
              <w:marLeft w:val="0"/>
              <w:marRight w:val="0"/>
              <w:marTop w:val="0"/>
              <w:marBottom w:val="0"/>
              <w:divBdr>
                <w:top w:val="none" w:sz="0" w:space="0" w:color="auto"/>
                <w:left w:val="none" w:sz="0" w:space="0" w:color="auto"/>
                <w:bottom w:val="none" w:sz="0" w:space="0" w:color="auto"/>
                <w:right w:val="none" w:sz="0" w:space="0" w:color="auto"/>
              </w:divBdr>
            </w:div>
          </w:divsChild>
        </w:div>
        <w:div w:id="1416631871">
          <w:marLeft w:val="0"/>
          <w:marRight w:val="0"/>
          <w:marTop w:val="0"/>
          <w:marBottom w:val="0"/>
          <w:divBdr>
            <w:top w:val="none" w:sz="0" w:space="0" w:color="auto"/>
            <w:left w:val="none" w:sz="0" w:space="0" w:color="auto"/>
            <w:bottom w:val="none" w:sz="0" w:space="0" w:color="auto"/>
            <w:right w:val="none" w:sz="0" w:space="0" w:color="auto"/>
          </w:divBdr>
          <w:divsChild>
            <w:div w:id="676883419">
              <w:marLeft w:val="0"/>
              <w:marRight w:val="0"/>
              <w:marTop w:val="0"/>
              <w:marBottom w:val="0"/>
              <w:divBdr>
                <w:top w:val="none" w:sz="0" w:space="0" w:color="auto"/>
                <w:left w:val="none" w:sz="0" w:space="0" w:color="auto"/>
                <w:bottom w:val="none" w:sz="0" w:space="0" w:color="auto"/>
                <w:right w:val="none" w:sz="0" w:space="0" w:color="auto"/>
              </w:divBdr>
            </w:div>
          </w:divsChild>
        </w:div>
        <w:div w:id="1432319548">
          <w:marLeft w:val="0"/>
          <w:marRight w:val="0"/>
          <w:marTop w:val="0"/>
          <w:marBottom w:val="0"/>
          <w:divBdr>
            <w:top w:val="none" w:sz="0" w:space="0" w:color="auto"/>
            <w:left w:val="none" w:sz="0" w:space="0" w:color="auto"/>
            <w:bottom w:val="none" w:sz="0" w:space="0" w:color="auto"/>
            <w:right w:val="none" w:sz="0" w:space="0" w:color="auto"/>
          </w:divBdr>
          <w:divsChild>
            <w:div w:id="1763985492">
              <w:marLeft w:val="0"/>
              <w:marRight w:val="0"/>
              <w:marTop w:val="0"/>
              <w:marBottom w:val="0"/>
              <w:divBdr>
                <w:top w:val="none" w:sz="0" w:space="0" w:color="auto"/>
                <w:left w:val="none" w:sz="0" w:space="0" w:color="auto"/>
                <w:bottom w:val="none" w:sz="0" w:space="0" w:color="auto"/>
                <w:right w:val="none" w:sz="0" w:space="0" w:color="auto"/>
              </w:divBdr>
            </w:div>
          </w:divsChild>
        </w:div>
        <w:div w:id="1445464365">
          <w:marLeft w:val="0"/>
          <w:marRight w:val="0"/>
          <w:marTop w:val="0"/>
          <w:marBottom w:val="0"/>
          <w:divBdr>
            <w:top w:val="none" w:sz="0" w:space="0" w:color="auto"/>
            <w:left w:val="none" w:sz="0" w:space="0" w:color="auto"/>
            <w:bottom w:val="none" w:sz="0" w:space="0" w:color="auto"/>
            <w:right w:val="none" w:sz="0" w:space="0" w:color="auto"/>
          </w:divBdr>
          <w:divsChild>
            <w:div w:id="19554887">
              <w:marLeft w:val="0"/>
              <w:marRight w:val="0"/>
              <w:marTop w:val="0"/>
              <w:marBottom w:val="0"/>
              <w:divBdr>
                <w:top w:val="none" w:sz="0" w:space="0" w:color="auto"/>
                <w:left w:val="none" w:sz="0" w:space="0" w:color="auto"/>
                <w:bottom w:val="none" w:sz="0" w:space="0" w:color="auto"/>
                <w:right w:val="none" w:sz="0" w:space="0" w:color="auto"/>
              </w:divBdr>
            </w:div>
          </w:divsChild>
        </w:div>
        <w:div w:id="1525944929">
          <w:marLeft w:val="0"/>
          <w:marRight w:val="0"/>
          <w:marTop w:val="0"/>
          <w:marBottom w:val="0"/>
          <w:divBdr>
            <w:top w:val="none" w:sz="0" w:space="0" w:color="auto"/>
            <w:left w:val="none" w:sz="0" w:space="0" w:color="auto"/>
            <w:bottom w:val="none" w:sz="0" w:space="0" w:color="auto"/>
            <w:right w:val="none" w:sz="0" w:space="0" w:color="auto"/>
          </w:divBdr>
          <w:divsChild>
            <w:div w:id="1388991906">
              <w:marLeft w:val="0"/>
              <w:marRight w:val="0"/>
              <w:marTop w:val="0"/>
              <w:marBottom w:val="0"/>
              <w:divBdr>
                <w:top w:val="none" w:sz="0" w:space="0" w:color="auto"/>
                <w:left w:val="none" w:sz="0" w:space="0" w:color="auto"/>
                <w:bottom w:val="none" w:sz="0" w:space="0" w:color="auto"/>
                <w:right w:val="none" w:sz="0" w:space="0" w:color="auto"/>
              </w:divBdr>
            </w:div>
          </w:divsChild>
        </w:div>
        <w:div w:id="1606159259">
          <w:marLeft w:val="0"/>
          <w:marRight w:val="0"/>
          <w:marTop w:val="0"/>
          <w:marBottom w:val="0"/>
          <w:divBdr>
            <w:top w:val="none" w:sz="0" w:space="0" w:color="auto"/>
            <w:left w:val="none" w:sz="0" w:space="0" w:color="auto"/>
            <w:bottom w:val="none" w:sz="0" w:space="0" w:color="auto"/>
            <w:right w:val="none" w:sz="0" w:space="0" w:color="auto"/>
          </w:divBdr>
          <w:divsChild>
            <w:div w:id="835150360">
              <w:marLeft w:val="0"/>
              <w:marRight w:val="0"/>
              <w:marTop w:val="0"/>
              <w:marBottom w:val="0"/>
              <w:divBdr>
                <w:top w:val="none" w:sz="0" w:space="0" w:color="auto"/>
                <w:left w:val="none" w:sz="0" w:space="0" w:color="auto"/>
                <w:bottom w:val="none" w:sz="0" w:space="0" w:color="auto"/>
                <w:right w:val="none" w:sz="0" w:space="0" w:color="auto"/>
              </w:divBdr>
            </w:div>
          </w:divsChild>
        </w:div>
        <w:div w:id="1610972132">
          <w:marLeft w:val="0"/>
          <w:marRight w:val="0"/>
          <w:marTop w:val="0"/>
          <w:marBottom w:val="0"/>
          <w:divBdr>
            <w:top w:val="none" w:sz="0" w:space="0" w:color="auto"/>
            <w:left w:val="none" w:sz="0" w:space="0" w:color="auto"/>
            <w:bottom w:val="none" w:sz="0" w:space="0" w:color="auto"/>
            <w:right w:val="none" w:sz="0" w:space="0" w:color="auto"/>
          </w:divBdr>
          <w:divsChild>
            <w:div w:id="1716002303">
              <w:marLeft w:val="0"/>
              <w:marRight w:val="0"/>
              <w:marTop w:val="0"/>
              <w:marBottom w:val="0"/>
              <w:divBdr>
                <w:top w:val="none" w:sz="0" w:space="0" w:color="auto"/>
                <w:left w:val="none" w:sz="0" w:space="0" w:color="auto"/>
                <w:bottom w:val="none" w:sz="0" w:space="0" w:color="auto"/>
                <w:right w:val="none" w:sz="0" w:space="0" w:color="auto"/>
              </w:divBdr>
            </w:div>
          </w:divsChild>
        </w:div>
        <w:div w:id="1644120798">
          <w:marLeft w:val="0"/>
          <w:marRight w:val="0"/>
          <w:marTop w:val="0"/>
          <w:marBottom w:val="0"/>
          <w:divBdr>
            <w:top w:val="none" w:sz="0" w:space="0" w:color="auto"/>
            <w:left w:val="none" w:sz="0" w:space="0" w:color="auto"/>
            <w:bottom w:val="none" w:sz="0" w:space="0" w:color="auto"/>
            <w:right w:val="none" w:sz="0" w:space="0" w:color="auto"/>
          </w:divBdr>
          <w:divsChild>
            <w:div w:id="1971588720">
              <w:marLeft w:val="0"/>
              <w:marRight w:val="0"/>
              <w:marTop w:val="0"/>
              <w:marBottom w:val="0"/>
              <w:divBdr>
                <w:top w:val="none" w:sz="0" w:space="0" w:color="auto"/>
                <w:left w:val="none" w:sz="0" w:space="0" w:color="auto"/>
                <w:bottom w:val="none" w:sz="0" w:space="0" w:color="auto"/>
                <w:right w:val="none" w:sz="0" w:space="0" w:color="auto"/>
              </w:divBdr>
            </w:div>
          </w:divsChild>
        </w:div>
        <w:div w:id="1653558538">
          <w:marLeft w:val="0"/>
          <w:marRight w:val="0"/>
          <w:marTop w:val="0"/>
          <w:marBottom w:val="0"/>
          <w:divBdr>
            <w:top w:val="none" w:sz="0" w:space="0" w:color="auto"/>
            <w:left w:val="none" w:sz="0" w:space="0" w:color="auto"/>
            <w:bottom w:val="none" w:sz="0" w:space="0" w:color="auto"/>
            <w:right w:val="none" w:sz="0" w:space="0" w:color="auto"/>
          </w:divBdr>
          <w:divsChild>
            <w:div w:id="2026399243">
              <w:marLeft w:val="0"/>
              <w:marRight w:val="0"/>
              <w:marTop w:val="0"/>
              <w:marBottom w:val="0"/>
              <w:divBdr>
                <w:top w:val="none" w:sz="0" w:space="0" w:color="auto"/>
                <w:left w:val="none" w:sz="0" w:space="0" w:color="auto"/>
                <w:bottom w:val="none" w:sz="0" w:space="0" w:color="auto"/>
                <w:right w:val="none" w:sz="0" w:space="0" w:color="auto"/>
              </w:divBdr>
            </w:div>
          </w:divsChild>
        </w:div>
        <w:div w:id="1671248846">
          <w:marLeft w:val="0"/>
          <w:marRight w:val="0"/>
          <w:marTop w:val="0"/>
          <w:marBottom w:val="0"/>
          <w:divBdr>
            <w:top w:val="none" w:sz="0" w:space="0" w:color="auto"/>
            <w:left w:val="none" w:sz="0" w:space="0" w:color="auto"/>
            <w:bottom w:val="none" w:sz="0" w:space="0" w:color="auto"/>
            <w:right w:val="none" w:sz="0" w:space="0" w:color="auto"/>
          </w:divBdr>
          <w:divsChild>
            <w:div w:id="2071685220">
              <w:marLeft w:val="0"/>
              <w:marRight w:val="0"/>
              <w:marTop w:val="0"/>
              <w:marBottom w:val="0"/>
              <w:divBdr>
                <w:top w:val="none" w:sz="0" w:space="0" w:color="auto"/>
                <w:left w:val="none" w:sz="0" w:space="0" w:color="auto"/>
                <w:bottom w:val="none" w:sz="0" w:space="0" w:color="auto"/>
                <w:right w:val="none" w:sz="0" w:space="0" w:color="auto"/>
              </w:divBdr>
            </w:div>
          </w:divsChild>
        </w:div>
        <w:div w:id="1720587477">
          <w:marLeft w:val="0"/>
          <w:marRight w:val="0"/>
          <w:marTop w:val="0"/>
          <w:marBottom w:val="0"/>
          <w:divBdr>
            <w:top w:val="none" w:sz="0" w:space="0" w:color="auto"/>
            <w:left w:val="none" w:sz="0" w:space="0" w:color="auto"/>
            <w:bottom w:val="none" w:sz="0" w:space="0" w:color="auto"/>
            <w:right w:val="none" w:sz="0" w:space="0" w:color="auto"/>
          </w:divBdr>
          <w:divsChild>
            <w:div w:id="161511048">
              <w:marLeft w:val="0"/>
              <w:marRight w:val="0"/>
              <w:marTop w:val="0"/>
              <w:marBottom w:val="0"/>
              <w:divBdr>
                <w:top w:val="none" w:sz="0" w:space="0" w:color="auto"/>
                <w:left w:val="none" w:sz="0" w:space="0" w:color="auto"/>
                <w:bottom w:val="none" w:sz="0" w:space="0" w:color="auto"/>
                <w:right w:val="none" w:sz="0" w:space="0" w:color="auto"/>
              </w:divBdr>
            </w:div>
          </w:divsChild>
        </w:div>
        <w:div w:id="1758093580">
          <w:marLeft w:val="0"/>
          <w:marRight w:val="0"/>
          <w:marTop w:val="0"/>
          <w:marBottom w:val="0"/>
          <w:divBdr>
            <w:top w:val="none" w:sz="0" w:space="0" w:color="auto"/>
            <w:left w:val="none" w:sz="0" w:space="0" w:color="auto"/>
            <w:bottom w:val="none" w:sz="0" w:space="0" w:color="auto"/>
            <w:right w:val="none" w:sz="0" w:space="0" w:color="auto"/>
          </w:divBdr>
          <w:divsChild>
            <w:div w:id="1847939030">
              <w:marLeft w:val="0"/>
              <w:marRight w:val="0"/>
              <w:marTop w:val="0"/>
              <w:marBottom w:val="0"/>
              <w:divBdr>
                <w:top w:val="none" w:sz="0" w:space="0" w:color="auto"/>
                <w:left w:val="none" w:sz="0" w:space="0" w:color="auto"/>
                <w:bottom w:val="none" w:sz="0" w:space="0" w:color="auto"/>
                <w:right w:val="none" w:sz="0" w:space="0" w:color="auto"/>
              </w:divBdr>
            </w:div>
          </w:divsChild>
        </w:div>
        <w:div w:id="1839807768">
          <w:marLeft w:val="0"/>
          <w:marRight w:val="0"/>
          <w:marTop w:val="0"/>
          <w:marBottom w:val="0"/>
          <w:divBdr>
            <w:top w:val="none" w:sz="0" w:space="0" w:color="auto"/>
            <w:left w:val="none" w:sz="0" w:space="0" w:color="auto"/>
            <w:bottom w:val="none" w:sz="0" w:space="0" w:color="auto"/>
            <w:right w:val="none" w:sz="0" w:space="0" w:color="auto"/>
          </w:divBdr>
          <w:divsChild>
            <w:div w:id="281033818">
              <w:marLeft w:val="0"/>
              <w:marRight w:val="0"/>
              <w:marTop w:val="0"/>
              <w:marBottom w:val="0"/>
              <w:divBdr>
                <w:top w:val="none" w:sz="0" w:space="0" w:color="auto"/>
                <w:left w:val="none" w:sz="0" w:space="0" w:color="auto"/>
                <w:bottom w:val="none" w:sz="0" w:space="0" w:color="auto"/>
                <w:right w:val="none" w:sz="0" w:space="0" w:color="auto"/>
              </w:divBdr>
            </w:div>
          </w:divsChild>
        </w:div>
        <w:div w:id="1980182064">
          <w:marLeft w:val="0"/>
          <w:marRight w:val="0"/>
          <w:marTop w:val="0"/>
          <w:marBottom w:val="0"/>
          <w:divBdr>
            <w:top w:val="none" w:sz="0" w:space="0" w:color="auto"/>
            <w:left w:val="none" w:sz="0" w:space="0" w:color="auto"/>
            <w:bottom w:val="none" w:sz="0" w:space="0" w:color="auto"/>
            <w:right w:val="none" w:sz="0" w:space="0" w:color="auto"/>
          </w:divBdr>
          <w:divsChild>
            <w:div w:id="976642611">
              <w:marLeft w:val="0"/>
              <w:marRight w:val="0"/>
              <w:marTop w:val="0"/>
              <w:marBottom w:val="0"/>
              <w:divBdr>
                <w:top w:val="none" w:sz="0" w:space="0" w:color="auto"/>
                <w:left w:val="none" w:sz="0" w:space="0" w:color="auto"/>
                <w:bottom w:val="none" w:sz="0" w:space="0" w:color="auto"/>
                <w:right w:val="none" w:sz="0" w:space="0" w:color="auto"/>
              </w:divBdr>
            </w:div>
          </w:divsChild>
        </w:div>
        <w:div w:id="1997145409">
          <w:marLeft w:val="0"/>
          <w:marRight w:val="0"/>
          <w:marTop w:val="0"/>
          <w:marBottom w:val="0"/>
          <w:divBdr>
            <w:top w:val="none" w:sz="0" w:space="0" w:color="auto"/>
            <w:left w:val="none" w:sz="0" w:space="0" w:color="auto"/>
            <w:bottom w:val="none" w:sz="0" w:space="0" w:color="auto"/>
            <w:right w:val="none" w:sz="0" w:space="0" w:color="auto"/>
          </w:divBdr>
          <w:divsChild>
            <w:div w:id="686562052">
              <w:marLeft w:val="0"/>
              <w:marRight w:val="0"/>
              <w:marTop w:val="0"/>
              <w:marBottom w:val="0"/>
              <w:divBdr>
                <w:top w:val="none" w:sz="0" w:space="0" w:color="auto"/>
                <w:left w:val="none" w:sz="0" w:space="0" w:color="auto"/>
                <w:bottom w:val="none" w:sz="0" w:space="0" w:color="auto"/>
                <w:right w:val="none" w:sz="0" w:space="0" w:color="auto"/>
              </w:divBdr>
            </w:div>
          </w:divsChild>
        </w:div>
        <w:div w:id="2097053177">
          <w:marLeft w:val="0"/>
          <w:marRight w:val="0"/>
          <w:marTop w:val="0"/>
          <w:marBottom w:val="0"/>
          <w:divBdr>
            <w:top w:val="none" w:sz="0" w:space="0" w:color="auto"/>
            <w:left w:val="none" w:sz="0" w:space="0" w:color="auto"/>
            <w:bottom w:val="none" w:sz="0" w:space="0" w:color="auto"/>
            <w:right w:val="none" w:sz="0" w:space="0" w:color="auto"/>
          </w:divBdr>
          <w:divsChild>
            <w:div w:id="1782337194">
              <w:marLeft w:val="0"/>
              <w:marRight w:val="0"/>
              <w:marTop w:val="0"/>
              <w:marBottom w:val="0"/>
              <w:divBdr>
                <w:top w:val="none" w:sz="0" w:space="0" w:color="auto"/>
                <w:left w:val="none" w:sz="0" w:space="0" w:color="auto"/>
                <w:bottom w:val="none" w:sz="0" w:space="0" w:color="auto"/>
                <w:right w:val="none" w:sz="0" w:space="0" w:color="auto"/>
              </w:divBdr>
            </w:div>
          </w:divsChild>
        </w:div>
        <w:div w:id="2099670951">
          <w:marLeft w:val="0"/>
          <w:marRight w:val="0"/>
          <w:marTop w:val="0"/>
          <w:marBottom w:val="0"/>
          <w:divBdr>
            <w:top w:val="none" w:sz="0" w:space="0" w:color="auto"/>
            <w:left w:val="none" w:sz="0" w:space="0" w:color="auto"/>
            <w:bottom w:val="none" w:sz="0" w:space="0" w:color="auto"/>
            <w:right w:val="none" w:sz="0" w:space="0" w:color="auto"/>
          </w:divBdr>
          <w:divsChild>
            <w:div w:id="2087334535">
              <w:marLeft w:val="0"/>
              <w:marRight w:val="0"/>
              <w:marTop w:val="0"/>
              <w:marBottom w:val="0"/>
              <w:divBdr>
                <w:top w:val="none" w:sz="0" w:space="0" w:color="auto"/>
                <w:left w:val="none" w:sz="0" w:space="0" w:color="auto"/>
                <w:bottom w:val="none" w:sz="0" w:space="0" w:color="auto"/>
                <w:right w:val="none" w:sz="0" w:space="0" w:color="auto"/>
              </w:divBdr>
            </w:div>
          </w:divsChild>
        </w:div>
        <w:div w:id="2132700536">
          <w:marLeft w:val="0"/>
          <w:marRight w:val="0"/>
          <w:marTop w:val="0"/>
          <w:marBottom w:val="0"/>
          <w:divBdr>
            <w:top w:val="none" w:sz="0" w:space="0" w:color="auto"/>
            <w:left w:val="none" w:sz="0" w:space="0" w:color="auto"/>
            <w:bottom w:val="none" w:sz="0" w:space="0" w:color="auto"/>
            <w:right w:val="none" w:sz="0" w:space="0" w:color="auto"/>
          </w:divBdr>
          <w:divsChild>
            <w:div w:id="1347630827">
              <w:marLeft w:val="0"/>
              <w:marRight w:val="0"/>
              <w:marTop w:val="0"/>
              <w:marBottom w:val="0"/>
              <w:divBdr>
                <w:top w:val="none" w:sz="0" w:space="0" w:color="auto"/>
                <w:left w:val="none" w:sz="0" w:space="0" w:color="auto"/>
                <w:bottom w:val="none" w:sz="0" w:space="0" w:color="auto"/>
                <w:right w:val="none" w:sz="0" w:space="0" w:color="auto"/>
              </w:divBdr>
            </w:div>
          </w:divsChild>
        </w:div>
        <w:div w:id="2132824274">
          <w:marLeft w:val="0"/>
          <w:marRight w:val="0"/>
          <w:marTop w:val="0"/>
          <w:marBottom w:val="0"/>
          <w:divBdr>
            <w:top w:val="none" w:sz="0" w:space="0" w:color="auto"/>
            <w:left w:val="none" w:sz="0" w:space="0" w:color="auto"/>
            <w:bottom w:val="none" w:sz="0" w:space="0" w:color="auto"/>
            <w:right w:val="none" w:sz="0" w:space="0" w:color="auto"/>
          </w:divBdr>
          <w:divsChild>
            <w:div w:id="1153181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8435602">
      <w:bodyDiv w:val="1"/>
      <w:marLeft w:val="0"/>
      <w:marRight w:val="0"/>
      <w:marTop w:val="0"/>
      <w:marBottom w:val="0"/>
      <w:divBdr>
        <w:top w:val="none" w:sz="0" w:space="0" w:color="auto"/>
        <w:left w:val="none" w:sz="0" w:space="0" w:color="auto"/>
        <w:bottom w:val="none" w:sz="0" w:space="0" w:color="auto"/>
        <w:right w:val="none" w:sz="0" w:space="0" w:color="auto"/>
      </w:divBdr>
    </w:div>
    <w:div w:id="417554637">
      <w:bodyDiv w:val="1"/>
      <w:marLeft w:val="0"/>
      <w:marRight w:val="0"/>
      <w:marTop w:val="0"/>
      <w:marBottom w:val="0"/>
      <w:divBdr>
        <w:top w:val="none" w:sz="0" w:space="0" w:color="auto"/>
        <w:left w:val="none" w:sz="0" w:space="0" w:color="auto"/>
        <w:bottom w:val="none" w:sz="0" w:space="0" w:color="auto"/>
        <w:right w:val="none" w:sz="0" w:space="0" w:color="auto"/>
      </w:divBdr>
      <w:divsChild>
        <w:div w:id="11490856">
          <w:marLeft w:val="0"/>
          <w:marRight w:val="0"/>
          <w:marTop w:val="0"/>
          <w:marBottom w:val="0"/>
          <w:divBdr>
            <w:top w:val="none" w:sz="0" w:space="0" w:color="auto"/>
            <w:left w:val="none" w:sz="0" w:space="0" w:color="auto"/>
            <w:bottom w:val="none" w:sz="0" w:space="0" w:color="auto"/>
            <w:right w:val="none" w:sz="0" w:space="0" w:color="auto"/>
          </w:divBdr>
          <w:divsChild>
            <w:div w:id="1106538344">
              <w:marLeft w:val="0"/>
              <w:marRight w:val="0"/>
              <w:marTop w:val="0"/>
              <w:marBottom w:val="0"/>
              <w:divBdr>
                <w:top w:val="none" w:sz="0" w:space="0" w:color="auto"/>
                <w:left w:val="none" w:sz="0" w:space="0" w:color="auto"/>
                <w:bottom w:val="none" w:sz="0" w:space="0" w:color="auto"/>
                <w:right w:val="none" w:sz="0" w:space="0" w:color="auto"/>
              </w:divBdr>
            </w:div>
          </w:divsChild>
        </w:div>
        <w:div w:id="38828040">
          <w:marLeft w:val="0"/>
          <w:marRight w:val="0"/>
          <w:marTop w:val="0"/>
          <w:marBottom w:val="0"/>
          <w:divBdr>
            <w:top w:val="none" w:sz="0" w:space="0" w:color="auto"/>
            <w:left w:val="none" w:sz="0" w:space="0" w:color="auto"/>
            <w:bottom w:val="none" w:sz="0" w:space="0" w:color="auto"/>
            <w:right w:val="none" w:sz="0" w:space="0" w:color="auto"/>
          </w:divBdr>
          <w:divsChild>
            <w:div w:id="1473328368">
              <w:marLeft w:val="0"/>
              <w:marRight w:val="0"/>
              <w:marTop w:val="0"/>
              <w:marBottom w:val="0"/>
              <w:divBdr>
                <w:top w:val="none" w:sz="0" w:space="0" w:color="auto"/>
                <w:left w:val="none" w:sz="0" w:space="0" w:color="auto"/>
                <w:bottom w:val="none" w:sz="0" w:space="0" w:color="auto"/>
                <w:right w:val="none" w:sz="0" w:space="0" w:color="auto"/>
              </w:divBdr>
            </w:div>
          </w:divsChild>
        </w:div>
        <w:div w:id="44833919">
          <w:marLeft w:val="0"/>
          <w:marRight w:val="0"/>
          <w:marTop w:val="0"/>
          <w:marBottom w:val="0"/>
          <w:divBdr>
            <w:top w:val="none" w:sz="0" w:space="0" w:color="auto"/>
            <w:left w:val="none" w:sz="0" w:space="0" w:color="auto"/>
            <w:bottom w:val="none" w:sz="0" w:space="0" w:color="auto"/>
            <w:right w:val="none" w:sz="0" w:space="0" w:color="auto"/>
          </w:divBdr>
          <w:divsChild>
            <w:div w:id="2015497937">
              <w:marLeft w:val="0"/>
              <w:marRight w:val="0"/>
              <w:marTop w:val="0"/>
              <w:marBottom w:val="0"/>
              <w:divBdr>
                <w:top w:val="none" w:sz="0" w:space="0" w:color="auto"/>
                <w:left w:val="none" w:sz="0" w:space="0" w:color="auto"/>
                <w:bottom w:val="none" w:sz="0" w:space="0" w:color="auto"/>
                <w:right w:val="none" w:sz="0" w:space="0" w:color="auto"/>
              </w:divBdr>
            </w:div>
          </w:divsChild>
        </w:div>
        <w:div w:id="94522074">
          <w:marLeft w:val="0"/>
          <w:marRight w:val="0"/>
          <w:marTop w:val="0"/>
          <w:marBottom w:val="0"/>
          <w:divBdr>
            <w:top w:val="none" w:sz="0" w:space="0" w:color="auto"/>
            <w:left w:val="none" w:sz="0" w:space="0" w:color="auto"/>
            <w:bottom w:val="none" w:sz="0" w:space="0" w:color="auto"/>
            <w:right w:val="none" w:sz="0" w:space="0" w:color="auto"/>
          </w:divBdr>
          <w:divsChild>
            <w:div w:id="1983457810">
              <w:marLeft w:val="0"/>
              <w:marRight w:val="0"/>
              <w:marTop w:val="0"/>
              <w:marBottom w:val="0"/>
              <w:divBdr>
                <w:top w:val="none" w:sz="0" w:space="0" w:color="auto"/>
                <w:left w:val="none" w:sz="0" w:space="0" w:color="auto"/>
                <w:bottom w:val="none" w:sz="0" w:space="0" w:color="auto"/>
                <w:right w:val="none" w:sz="0" w:space="0" w:color="auto"/>
              </w:divBdr>
            </w:div>
          </w:divsChild>
        </w:div>
        <w:div w:id="134569722">
          <w:marLeft w:val="0"/>
          <w:marRight w:val="0"/>
          <w:marTop w:val="0"/>
          <w:marBottom w:val="0"/>
          <w:divBdr>
            <w:top w:val="none" w:sz="0" w:space="0" w:color="auto"/>
            <w:left w:val="none" w:sz="0" w:space="0" w:color="auto"/>
            <w:bottom w:val="none" w:sz="0" w:space="0" w:color="auto"/>
            <w:right w:val="none" w:sz="0" w:space="0" w:color="auto"/>
          </w:divBdr>
          <w:divsChild>
            <w:div w:id="751239769">
              <w:marLeft w:val="0"/>
              <w:marRight w:val="0"/>
              <w:marTop w:val="0"/>
              <w:marBottom w:val="0"/>
              <w:divBdr>
                <w:top w:val="none" w:sz="0" w:space="0" w:color="auto"/>
                <w:left w:val="none" w:sz="0" w:space="0" w:color="auto"/>
                <w:bottom w:val="none" w:sz="0" w:space="0" w:color="auto"/>
                <w:right w:val="none" w:sz="0" w:space="0" w:color="auto"/>
              </w:divBdr>
            </w:div>
          </w:divsChild>
        </w:div>
        <w:div w:id="269554258">
          <w:marLeft w:val="0"/>
          <w:marRight w:val="0"/>
          <w:marTop w:val="0"/>
          <w:marBottom w:val="0"/>
          <w:divBdr>
            <w:top w:val="none" w:sz="0" w:space="0" w:color="auto"/>
            <w:left w:val="none" w:sz="0" w:space="0" w:color="auto"/>
            <w:bottom w:val="none" w:sz="0" w:space="0" w:color="auto"/>
            <w:right w:val="none" w:sz="0" w:space="0" w:color="auto"/>
          </w:divBdr>
          <w:divsChild>
            <w:div w:id="727993069">
              <w:marLeft w:val="0"/>
              <w:marRight w:val="0"/>
              <w:marTop w:val="0"/>
              <w:marBottom w:val="0"/>
              <w:divBdr>
                <w:top w:val="none" w:sz="0" w:space="0" w:color="auto"/>
                <w:left w:val="none" w:sz="0" w:space="0" w:color="auto"/>
                <w:bottom w:val="none" w:sz="0" w:space="0" w:color="auto"/>
                <w:right w:val="none" w:sz="0" w:space="0" w:color="auto"/>
              </w:divBdr>
            </w:div>
          </w:divsChild>
        </w:div>
        <w:div w:id="283969133">
          <w:marLeft w:val="0"/>
          <w:marRight w:val="0"/>
          <w:marTop w:val="0"/>
          <w:marBottom w:val="0"/>
          <w:divBdr>
            <w:top w:val="none" w:sz="0" w:space="0" w:color="auto"/>
            <w:left w:val="none" w:sz="0" w:space="0" w:color="auto"/>
            <w:bottom w:val="none" w:sz="0" w:space="0" w:color="auto"/>
            <w:right w:val="none" w:sz="0" w:space="0" w:color="auto"/>
          </w:divBdr>
          <w:divsChild>
            <w:div w:id="1271470759">
              <w:marLeft w:val="0"/>
              <w:marRight w:val="0"/>
              <w:marTop w:val="0"/>
              <w:marBottom w:val="0"/>
              <w:divBdr>
                <w:top w:val="none" w:sz="0" w:space="0" w:color="auto"/>
                <w:left w:val="none" w:sz="0" w:space="0" w:color="auto"/>
                <w:bottom w:val="none" w:sz="0" w:space="0" w:color="auto"/>
                <w:right w:val="none" w:sz="0" w:space="0" w:color="auto"/>
              </w:divBdr>
            </w:div>
          </w:divsChild>
        </w:div>
        <w:div w:id="317340621">
          <w:marLeft w:val="0"/>
          <w:marRight w:val="0"/>
          <w:marTop w:val="0"/>
          <w:marBottom w:val="0"/>
          <w:divBdr>
            <w:top w:val="none" w:sz="0" w:space="0" w:color="auto"/>
            <w:left w:val="none" w:sz="0" w:space="0" w:color="auto"/>
            <w:bottom w:val="none" w:sz="0" w:space="0" w:color="auto"/>
            <w:right w:val="none" w:sz="0" w:space="0" w:color="auto"/>
          </w:divBdr>
          <w:divsChild>
            <w:div w:id="970748456">
              <w:marLeft w:val="0"/>
              <w:marRight w:val="0"/>
              <w:marTop w:val="0"/>
              <w:marBottom w:val="0"/>
              <w:divBdr>
                <w:top w:val="none" w:sz="0" w:space="0" w:color="auto"/>
                <w:left w:val="none" w:sz="0" w:space="0" w:color="auto"/>
                <w:bottom w:val="none" w:sz="0" w:space="0" w:color="auto"/>
                <w:right w:val="none" w:sz="0" w:space="0" w:color="auto"/>
              </w:divBdr>
            </w:div>
          </w:divsChild>
        </w:div>
        <w:div w:id="359597920">
          <w:marLeft w:val="0"/>
          <w:marRight w:val="0"/>
          <w:marTop w:val="0"/>
          <w:marBottom w:val="0"/>
          <w:divBdr>
            <w:top w:val="none" w:sz="0" w:space="0" w:color="auto"/>
            <w:left w:val="none" w:sz="0" w:space="0" w:color="auto"/>
            <w:bottom w:val="none" w:sz="0" w:space="0" w:color="auto"/>
            <w:right w:val="none" w:sz="0" w:space="0" w:color="auto"/>
          </w:divBdr>
          <w:divsChild>
            <w:div w:id="990986005">
              <w:marLeft w:val="0"/>
              <w:marRight w:val="0"/>
              <w:marTop w:val="0"/>
              <w:marBottom w:val="0"/>
              <w:divBdr>
                <w:top w:val="none" w:sz="0" w:space="0" w:color="auto"/>
                <w:left w:val="none" w:sz="0" w:space="0" w:color="auto"/>
                <w:bottom w:val="none" w:sz="0" w:space="0" w:color="auto"/>
                <w:right w:val="none" w:sz="0" w:space="0" w:color="auto"/>
              </w:divBdr>
            </w:div>
          </w:divsChild>
        </w:div>
        <w:div w:id="374476763">
          <w:marLeft w:val="0"/>
          <w:marRight w:val="0"/>
          <w:marTop w:val="0"/>
          <w:marBottom w:val="0"/>
          <w:divBdr>
            <w:top w:val="none" w:sz="0" w:space="0" w:color="auto"/>
            <w:left w:val="none" w:sz="0" w:space="0" w:color="auto"/>
            <w:bottom w:val="none" w:sz="0" w:space="0" w:color="auto"/>
            <w:right w:val="none" w:sz="0" w:space="0" w:color="auto"/>
          </w:divBdr>
          <w:divsChild>
            <w:div w:id="136535501">
              <w:marLeft w:val="0"/>
              <w:marRight w:val="0"/>
              <w:marTop w:val="0"/>
              <w:marBottom w:val="0"/>
              <w:divBdr>
                <w:top w:val="none" w:sz="0" w:space="0" w:color="auto"/>
                <w:left w:val="none" w:sz="0" w:space="0" w:color="auto"/>
                <w:bottom w:val="none" w:sz="0" w:space="0" w:color="auto"/>
                <w:right w:val="none" w:sz="0" w:space="0" w:color="auto"/>
              </w:divBdr>
            </w:div>
          </w:divsChild>
        </w:div>
        <w:div w:id="407775360">
          <w:marLeft w:val="0"/>
          <w:marRight w:val="0"/>
          <w:marTop w:val="0"/>
          <w:marBottom w:val="0"/>
          <w:divBdr>
            <w:top w:val="none" w:sz="0" w:space="0" w:color="auto"/>
            <w:left w:val="none" w:sz="0" w:space="0" w:color="auto"/>
            <w:bottom w:val="none" w:sz="0" w:space="0" w:color="auto"/>
            <w:right w:val="none" w:sz="0" w:space="0" w:color="auto"/>
          </w:divBdr>
          <w:divsChild>
            <w:div w:id="1844779427">
              <w:marLeft w:val="0"/>
              <w:marRight w:val="0"/>
              <w:marTop w:val="0"/>
              <w:marBottom w:val="0"/>
              <w:divBdr>
                <w:top w:val="none" w:sz="0" w:space="0" w:color="auto"/>
                <w:left w:val="none" w:sz="0" w:space="0" w:color="auto"/>
                <w:bottom w:val="none" w:sz="0" w:space="0" w:color="auto"/>
                <w:right w:val="none" w:sz="0" w:space="0" w:color="auto"/>
              </w:divBdr>
            </w:div>
          </w:divsChild>
        </w:div>
        <w:div w:id="457456548">
          <w:marLeft w:val="0"/>
          <w:marRight w:val="0"/>
          <w:marTop w:val="0"/>
          <w:marBottom w:val="0"/>
          <w:divBdr>
            <w:top w:val="none" w:sz="0" w:space="0" w:color="auto"/>
            <w:left w:val="none" w:sz="0" w:space="0" w:color="auto"/>
            <w:bottom w:val="none" w:sz="0" w:space="0" w:color="auto"/>
            <w:right w:val="none" w:sz="0" w:space="0" w:color="auto"/>
          </w:divBdr>
          <w:divsChild>
            <w:div w:id="2056545751">
              <w:marLeft w:val="0"/>
              <w:marRight w:val="0"/>
              <w:marTop w:val="0"/>
              <w:marBottom w:val="0"/>
              <w:divBdr>
                <w:top w:val="none" w:sz="0" w:space="0" w:color="auto"/>
                <w:left w:val="none" w:sz="0" w:space="0" w:color="auto"/>
                <w:bottom w:val="none" w:sz="0" w:space="0" w:color="auto"/>
                <w:right w:val="none" w:sz="0" w:space="0" w:color="auto"/>
              </w:divBdr>
            </w:div>
          </w:divsChild>
        </w:div>
        <w:div w:id="470680265">
          <w:marLeft w:val="0"/>
          <w:marRight w:val="0"/>
          <w:marTop w:val="0"/>
          <w:marBottom w:val="0"/>
          <w:divBdr>
            <w:top w:val="none" w:sz="0" w:space="0" w:color="auto"/>
            <w:left w:val="none" w:sz="0" w:space="0" w:color="auto"/>
            <w:bottom w:val="none" w:sz="0" w:space="0" w:color="auto"/>
            <w:right w:val="none" w:sz="0" w:space="0" w:color="auto"/>
          </w:divBdr>
          <w:divsChild>
            <w:div w:id="752972025">
              <w:marLeft w:val="0"/>
              <w:marRight w:val="0"/>
              <w:marTop w:val="0"/>
              <w:marBottom w:val="0"/>
              <w:divBdr>
                <w:top w:val="none" w:sz="0" w:space="0" w:color="auto"/>
                <w:left w:val="none" w:sz="0" w:space="0" w:color="auto"/>
                <w:bottom w:val="none" w:sz="0" w:space="0" w:color="auto"/>
                <w:right w:val="none" w:sz="0" w:space="0" w:color="auto"/>
              </w:divBdr>
            </w:div>
          </w:divsChild>
        </w:div>
        <w:div w:id="488063931">
          <w:marLeft w:val="0"/>
          <w:marRight w:val="0"/>
          <w:marTop w:val="0"/>
          <w:marBottom w:val="0"/>
          <w:divBdr>
            <w:top w:val="none" w:sz="0" w:space="0" w:color="auto"/>
            <w:left w:val="none" w:sz="0" w:space="0" w:color="auto"/>
            <w:bottom w:val="none" w:sz="0" w:space="0" w:color="auto"/>
            <w:right w:val="none" w:sz="0" w:space="0" w:color="auto"/>
          </w:divBdr>
          <w:divsChild>
            <w:div w:id="1734547115">
              <w:marLeft w:val="0"/>
              <w:marRight w:val="0"/>
              <w:marTop w:val="0"/>
              <w:marBottom w:val="0"/>
              <w:divBdr>
                <w:top w:val="none" w:sz="0" w:space="0" w:color="auto"/>
                <w:left w:val="none" w:sz="0" w:space="0" w:color="auto"/>
                <w:bottom w:val="none" w:sz="0" w:space="0" w:color="auto"/>
                <w:right w:val="none" w:sz="0" w:space="0" w:color="auto"/>
              </w:divBdr>
            </w:div>
          </w:divsChild>
        </w:div>
        <w:div w:id="495657555">
          <w:marLeft w:val="0"/>
          <w:marRight w:val="0"/>
          <w:marTop w:val="0"/>
          <w:marBottom w:val="0"/>
          <w:divBdr>
            <w:top w:val="none" w:sz="0" w:space="0" w:color="auto"/>
            <w:left w:val="none" w:sz="0" w:space="0" w:color="auto"/>
            <w:bottom w:val="none" w:sz="0" w:space="0" w:color="auto"/>
            <w:right w:val="none" w:sz="0" w:space="0" w:color="auto"/>
          </w:divBdr>
          <w:divsChild>
            <w:div w:id="1777170858">
              <w:marLeft w:val="0"/>
              <w:marRight w:val="0"/>
              <w:marTop w:val="0"/>
              <w:marBottom w:val="0"/>
              <w:divBdr>
                <w:top w:val="none" w:sz="0" w:space="0" w:color="auto"/>
                <w:left w:val="none" w:sz="0" w:space="0" w:color="auto"/>
                <w:bottom w:val="none" w:sz="0" w:space="0" w:color="auto"/>
                <w:right w:val="none" w:sz="0" w:space="0" w:color="auto"/>
              </w:divBdr>
            </w:div>
          </w:divsChild>
        </w:div>
        <w:div w:id="503787651">
          <w:marLeft w:val="0"/>
          <w:marRight w:val="0"/>
          <w:marTop w:val="0"/>
          <w:marBottom w:val="0"/>
          <w:divBdr>
            <w:top w:val="none" w:sz="0" w:space="0" w:color="auto"/>
            <w:left w:val="none" w:sz="0" w:space="0" w:color="auto"/>
            <w:bottom w:val="none" w:sz="0" w:space="0" w:color="auto"/>
            <w:right w:val="none" w:sz="0" w:space="0" w:color="auto"/>
          </w:divBdr>
          <w:divsChild>
            <w:div w:id="771247857">
              <w:marLeft w:val="0"/>
              <w:marRight w:val="0"/>
              <w:marTop w:val="0"/>
              <w:marBottom w:val="0"/>
              <w:divBdr>
                <w:top w:val="none" w:sz="0" w:space="0" w:color="auto"/>
                <w:left w:val="none" w:sz="0" w:space="0" w:color="auto"/>
                <w:bottom w:val="none" w:sz="0" w:space="0" w:color="auto"/>
                <w:right w:val="none" w:sz="0" w:space="0" w:color="auto"/>
              </w:divBdr>
            </w:div>
          </w:divsChild>
        </w:div>
        <w:div w:id="556549582">
          <w:marLeft w:val="0"/>
          <w:marRight w:val="0"/>
          <w:marTop w:val="0"/>
          <w:marBottom w:val="0"/>
          <w:divBdr>
            <w:top w:val="none" w:sz="0" w:space="0" w:color="auto"/>
            <w:left w:val="none" w:sz="0" w:space="0" w:color="auto"/>
            <w:bottom w:val="none" w:sz="0" w:space="0" w:color="auto"/>
            <w:right w:val="none" w:sz="0" w:space="0" w:color="auto"/>
          </w:divBdr>
          <w:divsChild>
            <w:div w:id="125852539">
              <w:marLeft w:val="0"/>
              <w:marRight w:val="0"/>
              <w:marTop w:val="0"/>
              <w:marBottom w:val="0"/>
              <w:divBdr>
                <w:top w:val="none" w:sz="0" w:space="0" w:color="auto"/>
                <w:left w:val="none" w:sz="0" w:space="0" w:color="auto"/>
                <w:bottom w:val="none" w:sz="0" w:space="0" w:color="auto"/>
                <w:right w:val="none" w:sz="0" w:space="0" w:color="auto"/>
              </w:divBdr>
            </w:div>
          </w:divsChild>
        </w:div>
        <w:div w:id="587465625">
          <w:marLeft w:val="0"/>
          <w:marRight w:val="0"/>
          <w:marTop w:val="0"/>
          <w:marBottom w:val="0"/>
          <w:divBdr>
            <w:top w:val="none" w:sz="0" w:space="0" w:color="auto"/>
            <w:left w:val="none" w:sz="0" w:space="0" w:color="auto"/>
            <w:bottom w:val="none" w:sz="0" w:space="0" w:color="auto"/>
            <w:right w:val="none" w:sz="0" w:space="0" w:color="auto"/>
          </w:divBdr>
          <w:divsChild>
            <w:div w:id="1214274380">
              <w:marLeft w:val="0"/>
              <w:marRight w:val="0"/>
              <w:marTop w:val="0"/>
              <w:marBottom w:val="0"/>
              <w:divBdr>
                <w:top w:val="none" w:sz="0" w:space="0" w:color="auto"/>
                <w:left w:val="none" w:sz="0" w:space="0" w:color="auto"/>
                <w:bottom w:val="none" w:sz="0" w:space="0" w:color="auto"/>
                <w:right w:val="none" w:sz="0" w:space="0" w:color="auto"/>
              </w:divBdr>
            </w:div>
          </w:divsChild>
        </w:div>
        <w:div w:id="608395323">
          <w:marLeft w:val="0"/>
          <w:marRight w:val="0"/>
          <w:marTop w:val="0"/>
          <w:marBottom w:val="0"/>
          <w:divBdr>
            <w:top w:val="none" w:sz="0" w:space="0" w:color="auto"/>
            <w:left w:val="none" w:sz="0" w:space="0" w:color="auto"/>
            <w:bottom w:val="none" w:sz="0" w:space="0" w:color="auto"/>
            <w:right w:val="none" w:sz="0" w:space="0" w:color="auto"/>
          </w:divBdr>
          <w:divsChild>
            <w:div w:id="2003503829">
              <w:marLeft w:val="0"/>
              <w:marRight w:val="0"/>
              <w:marTop w:val="0"/>
              <w:marBottom w:val="0"/>
              <w:divBdr>
                <w:top w:val="none" w:sz="0" w:space="0" w:color="auto"/>
                <w:left w:val="none" w:sz="0" w:space="0" w:color="auto"/>
                <w:bottom w:val="none" w:sz="0" w:space="0" w:color="auto"/>
                <w:right w:val="none" w:sz="0" w:space="0" w:color="auto"/>
              </w:divBdr>
            </w:div>
          </w:divsChild>
        </w:div>
        <w:div w:id="611863524">
          <w:marLeft w:val="0"/>
          <w:marRight w:val="0"/>
          <w:marTop w:val="0"/>
          <w:marBottom w:val="0"/>
          <w:divBdr>
            <w:top w:val="none" w:sz="0" w:space="0" w:color="auto"/>
            <w:left w:val="none" w:sz="0" w:space="0" w:color="auto"/>
            <w:bottom w:val="none" w:sz="0" w:space="0" w:color="auto"/>
            <w:right w:val="none" w:sz="0" w:space="0" w:color="auto"/>
          </w:divBdr>
          <w:divsChild>
            <w:div w:id="1822696081">
              <w:marLeft w:val="0"/>
              <w:marRight w:val="0"/>
              <w:marTop w:val="0"/>
              <w:marBottom w:val="0"/>
              <w:divBdr>
                <w:top w:val="none" w:sz="0" w:space="0" w:color="auto"/>
                <w:left w:val="none" w:sz="0" w:space="0" w:color="auto"/>
                <w:bottom w:val="none" w:sz="0" w:space="0" w:color="auto"/>
                <w:right w:val="none" w:sz="0" w:space="0" w:color="auto"/>
              </w:divBdr>
            </w:div>
          </w:divsChild>
        </w:div>
        <w:div w:id="633368896">
          <w:marLeft w:val="0"/>
          <w:marRight w:val="0"/>
          <w:marTop w:val="0"/>
          <w:marBottom w:val="0"/>
          <w:divBdr>
            <w:top w:val="none" w:sz="0" w:space="0" w:color="auto"/>
            <w:left w:val="none" w:sz="0" w:space="0" w:color="auto"/>
            <w:bottom w:val="none" w:sz="0" w:space="0" w:color="auto"/>
            <w:right w:val="none" w:sz="0" w:space="0" w:color="auto"/>
          </w:divBdr>
          <w:divsChild>
            <w:div w:id="1346177673">
              <w:marLeft w:val="0"/>
              <w:marRight w:val="0"/>
              <w:marTop w:val="0"/>
              <w:marBottom w:val="0"/>
              <w:divBdr>
                <w:top w:val="none" w:sz="0" w:space="0" w:color="auto"/>
                <w:left w:val="none" w:sz="0" w:space="0" w:color="auto"/>
                <w:bottom w:val="none" w:sz="0" w:space="0" w:color="auto"/>
                <w:right w:val="none" w:sz="0" w:space="0" w:color="auto"/>
              </w:divBdr>
            </w:div>
          </w:divsChild>
        </w:div>
        <w:div w:id="638656352">
          <w:marLeft w:val="0"/>
          <w:marRight w:val="0"/>
          <w:marTop w:val="0"/>
          <w:marBottom w:val="0"/>
          <w:divBdr>
            <w:top w:val="none" w:sz="0" w:space="0" w:color="auto"/>
            <w:left w:val="none" w:sz="0" w:space="0" w:color="auto"/>
            <w:bottom w:val="none" w:sz="0" w:space="0" w:color="auto"/>
            <w:right w:val="none" w:sz="0" w:space="0" w:color="auto"/>
          </w:divBdr>
          <w:divsChild>
            <w:div w:id="893853626">
              <w:marLeft w:val="0"/>
              <w:marRight w:val="0"/>
              <w:marTop w:val="0"/>
              <w:marBottom w:val="0"/>
              <w:divBdr>
                <w:top w:val="none" w:sz="0" w:space="0" w:color="auto"/>
                <w:left w:val="none" w:sz="0" w:space="0" w:color="auto"/>
                <w:bottom w:val="none" w:sz="0" w:space="0" w:color="auto"/>
                <w:right w:val="none" w:sz="0" w:space="0" w:color="auto"/>
              </w:divBdr>
            </w:div>
          </w:divsChild>
        </w:div>
        <w:div w:id="653601973">
          <w:marLeft w:val="0"/>
          <w:marRight w:val="0"/>
          <w:marTop w:val="0"/>
          <w:marBottom w:val="0"/>
          <w:divBdr>
            <w:top w:val="none" w:sz="0" w:space="0" w:color="auto"/>
            <w:left w:val="none" w:sz="0" w:space="0" w:color="auto"/>
            <w:bottom w:val="none" w:sz="0" w:space="0" w:color="auto"/>
            <w:right w:val="none" w:sz="0" w:space="0" w:color="auto"/>
          </w:divBdr>
          <w:divsChild>
            <w:div w:id="1131630435">
              <w:marLeft w:val="0"/>
              <w:marRight w:val="0"/>
              <w:marTop w:val="0"/>
              <w:marBottom w:val="0"/>
              <w:divBdr>
                <w:top w:val="none" w:sz="0" w:space="0" w:color="auto"/>
                <w:left w:val="none" w:sz="0" w:space="0" w:color="auto"/>
                <w:bottom w:val="none" w:sz="0" w:space="0" w:color="auto"/>
                <w:right w:val="none" w:sz="0" w:space="0" w:color="auto"/>
              </w:divBdr>
            </w:div>
          </w:divsChild>
        </w:div>
        <w:div w:id="663558008">
          <w:marLeft w:val="0"/>
          <w:marRight w:val="0"/>
          <w:marTop w:val="0"/>
          <w:marBottom w:val="0"/>
          <w:divBdr>
            <w:top w:val="none" w:sz="0" w:space="0" w:color="auto"/>
            <w:left w:val="none" w:sz="0" w:space="0" w:color="auto"/>
            <w:bottom w:val="none" w:sz="0" w:space="0" w:color="auto"/>
            <w:right w:val="none" w:sz="0" w:space="0" w:color="auto"/>
          </w:divBdr>
          <w:divsChild>
            <w:div w:id="824474337">
              <w:marLeft w:val="0"/>
              <w:marRight w:val="0"/>
              <w:marTop w:val="0"/>
              <w:marBottom w:val="0"/>
              <w:divBdr>
                <w:top w:val="none" w:sz="0" w:space="0" w:color="auto"/>
                <w:left w:val="none" w:sz="0" w:space="0" w:color="auto"/>
                <w:bottom w:val="none" w:sz="0" w:space="0" w:color="auto"/>
                <w:right w:val="none" w:sz="0" w:space="0" w:color="auto"/>
              </w:divBdr>
            </w:div>
          </w:divsChild>
        </w:div>
        <w:div w:id="678654653">
          <w:marLeft w:val="0"/>
          <w:marRight w:val="0"/>
          <w:marTop w:val="0"/>
          <w:marBottom w:val="0"/>
          <w:divBdr>
            <w:top w:val="none" w:sz="0" w:space="0" w:color="auto"/>
            <w:left w:val="none" w:sz="0" w:space="0" w:color="auto"/>
            <w:bottom w:val="none" w:sz="0" w:space="0" w:color="auto"/>
            <w:right w:val="none" w:sz="0" w:space="0" w:color="auto"/>
          </w:divBdr>
          <w:divsChild>
            <w:div w:id="384566617">
              <w:marLeft w:val="0"/>
              <w:marRight w:val="0"/>
              <w:marTop w:val="0"/>
              <w:marBottom w:val="0"/>
              <w:divBdr>
                <w:top w:val="none" w:sz="0" w:space="0" w:color="auto"/>
                <w:left w:val="none" w:sz="0" w:space="0" w:color="auto"/>
                <w:bottom w:val="none" w:sz="0" w:space="0" w:color="auto"/>
                <w:right w:val="none" w:sz="0" w:space="0" w:color="auto"/>
              </w:divBdr>
            </w:div>
          </w:divsChild>
        </w:div>
        <w:div w:id="704869781">
          <w:marLeft w:val="0"/>
          <w:marRight w:val="0"/>
          <w:marTop w:val="0"/>
          <w:marBottom w:val="0"/>
          <w:divBdr>
            <w:top w:val="none" w:sz="0" w:space="0" w:color="auto"/>
            <w:left w:val="none" w:sz="0" w:space="0" w:color="auto"/>
            <w:bottom w:val="none" w:sz="0" w:space="0" w:color="auto"/>
            <w:right w:val="none" w:sz="0" w:space="0" w:color="auto"/>
          </w:divBdr>
          <w:divsChild>
            <w:div w:id="1594892972">
              <w:marLeft w:val="0"/>
              <w:marRight w:val="0"/>
              <w:marTop w:val="0"/>
              <w:marBottom w:val="0"/>
              <w:divBdr>
                <w:top w:val="none" w:sz="0" w:space="0" w:color="auto"/>
                <w:left w:val="none" w:sz="0" w:space="0" w:color="auto"/>
                <w:bottom w:val="none" w:sz="0" w:space="0" w:color="auto"/>
                <w:right w:val="none" w:sz="0" w:space="0" w:color="auto"/>
              </w:divBdr>
            </w:div>
          </w:divsChild>
        </w:div>
        <w:div w:id="707683090">
          <w:marLeft w:val="0"/>
          <w:marRight w:val="0"/>
          <w:marTop w:val="0"/>
          <w:marBottom w:val="0"/>
          <w:divBdr>
            <w:top w:val="none" w:sz="0" w:space="0" w:color="auto"/>
            <w:left w:val="none" w:sz="0" w:space="0" w:color="auto"/>
            <w:bottom w:val="none" w:sz="0" w:space="0" w:color="auto"/>
            <w:right w:val="none" w:sz="0" w:space="0" w:color="auto"/>
          </w:divBdr>
          <w:divsChild>
            <w:div w:id="391971421">
              <w:marLeft w:val="0"/>
              <w:marRight w:val="0"/>
              <w:marTop w:val="0"/>
              <w:marBottom w:val="0"/>
              <w:divBdr>
                <w:top w:val="none" w:sz="0" w:space="0" w:color="auto"/>
                <w:left w:val="none" w:sz="0" w:space="0" w:color="auto"/>
                <w:bottom w:val="none" w:sz="0" w:space="0" w:color="auto"/>
                <w:right w:val="none" w:sz="0" w:space="0" w:color="auto"/>
              </w:divBdr>
            </w:div>
          </w:divsChild>
        </w:div>
        <w:div w:id="737872365">
          <w:marLeft w:val="0"/>
          <w:marRight w:val="0"/>
          <w:marTop w:val="0"/>
          <w:marBottom w:val="0"/>
          <w:divBdr>
            <w:top w:val="none" w:sz="0" w:space="0" w:color="auto"/>
            <w:left w:val="none" w:sz="0" w:space="0" w:color="auto"/>
            <w:bottom w:val="none" w:sz="0" w:space="0" w:color="auto"/>
            <w:right w:val="none" w:sz="0" w:space="0" w:color="auto"/>
          </w:divBdr>
          <w:divsChild>
            <w:div w:id="425422413">
              <w:marLeft w:val="0"/>
              <w:marRight w:val="0"/>
              <w:marTop w:val="0"/>
              <w:marBottom w:val="0"/>
              <w:divBdr>
                <w:top w:val="none" w:sz="0" w:space="0" w:color="auto"/>
                <w:left w:val="none" w:sz="0" w:space="0" w:color="auto"/>
                <w:bottom w:val="none" w:sz="0" w:space="0" w:color="auto"/>
                <w:right w:val="none" w:sz="0" w:space="0" w:color="auto"/>
              </w:divBdr>
            </w:div>
          </w:divsChild>
        </w:div>
        <w:div w:id="767240633">
          <w:marLeft w:val="0"/>
          <w:marRight w:val="0"/>
          <w:marTop w:val="0"/>
          <w:marBottom w:val="0"/>
          <w:divBdr>
            <w:top w:val="none" w:sz="0" w:space="0" w:color="auto"/>
            <w:left w:val="none" w:sz="0" w:space="0" w:color="auto"/>
            <w:bottom w:val="none" w:sz="0" w:space="0" w:color="auto"/>
            <w:right w:val="none" w:sz="0" w:space="0" w:color="auto"/>
          </w:divBdr>
          <w:divsChild>
            <w:div w:id="664092981">
              <w:marLeft w:val="0"/>
              <w:marRight w:val="0"/>
              <w:marTop w:val="0"/>
              <w:marBottom w:val="0"/>
              <w:divBdr>
                <w:top w:val="none" w:sz="0" w:space="0" w:color="auto"/>
                <w:left w:val="none" w:sz="0" w:space="0" w:color="auto"/>
                <w:bottom w:val="none" w:sz="0" w:space="0" w:color="auto"/>
                <w:right w:val="none" w:sz="0" w:space="0" w:color="auto"/>
              </w:divBdr>
            </w:div>
          </w:divsChild>
        </w:div>
        <w:div w:id="844903588">
          <w:marLeft w:val="0"/>
          <w:marRight w:val="0"/>
          <w:marTop w:val="0"/>
          <w:marBottom w:val="0"/>
          <w:divBdr>
            <w:top w:val="none" w:sz="0" w:space="0" w:color="auto"/>
            <w:left w:val="none" w:sz="0" w:space="0" w:color="auto"/>
            <w:bottom w:val="none" w:sz="0" w:space="0" w:color="auto"/>
            <w:right w:val="none" w:sz="0" w:space="0" w:color="auto"/>
          </w:divBdr>
          <w:divsChild>
            <w:div w:id="721750335">
              <w:marLeft w:val="0"/>
              <w:marRight w:val="0"/>
              <w:marTop w:val="0"/>
              <w:marBottom w:val="0"/>
              <w:divBdr>
                <w:top w:val="none" w:sz="0" w:space="0" w:color="auto"/>
                <w:left w:val="none" w:sz="0" w:space="0" w:color="auto"/>
                <w:bottom w:val="none" w:sz="0" w:space="0" w:color="auto"/>
                <w:right w:val="none" w:sz="0" w:space="0" w:color="auto"/>
              </w:divBdr>
            </w:div>
          </w:divsChild>
        </w:div>
        <w:div w:id="918447362">
          <w:marLeft w:val="0"/>
          <w:marRight w:val="0"/>
          <w:marTop w:val="0"/>
          <w:marBottom w:val="0"/>
          <w:divBdr>
            <w:top w:val="none" w:sz="0" w:space="0" w:color="auto"/>
            <w:left w:val="none" w:sz="0" w:space="0" w:color="auto"/>
            <w:bottom w:val="none" w:sz="0" w:space="0" w:color="auto"/>
            <w:right w:val="none" w:sz="0" w:space="0" w:color="auto"/>
          </w:divBdr>
          <w:divsChild>
            <w:div w:id="1050614390">
              <w:marLeft w:val="0"/>
              <w:marRight w:val="0"/>
              <w:marTop w:val="0"/>
              <w:marBottom w:val="0"/>
              <w:divBdr>
                <w:top w:val="none" w:sz="0" w:space="0" w:color="auto"/>
                <w:left w:val="none" w:sz="0" w:space="0" w:color="auto"/>
                <w:bottom w:val="none" w:sz="0" w:space="0" w:color="auto"/>
                <w:right w:val="none" w:sz="0" w:space="0" w:color="auto"/>
              </w:divBdr>
            </w:div>
          </w:divsChild>
        </w:div>
        <w:div w:id="919559019">
          <w:marLeft w:val="0"/>
          <w:marRight w:val="0"/>
          <w:marTop w:val="0"/>
          <w:marBottom w:val="0"/>
          <w:divBdr>
            <w:top w:val="none" w:sz="0" w:space="0" w:color="auto"/>
            <w:left w:val="none" w:sz="0" w:space="0" w:color="auto"/>
            <w:bottom w:val="none" w:sz="0" w:space="0" w:color="auto"/>
            <w:right w:val="none" w:sz="0" w:space="0" w:color="auto"/>
          </w:divBdr>
          <w:divsChild>
            <w:div w:id="1664971465">
              <w:marLeft w:val="0"/>
              <w:marRight w:val="0"/>
              <w:marTop w:val="0"/>
              <w:marBottom w:val="0"/>
              <w:divBdr>
                <w:top w:val="none" w:sz="0" w:space="0" w:color="auto"/>
                <w:left w:val="none" w:sz="0" w:space="0" w:color="auto"/>
                <w:bottom w:val="none" w:sz="0" w:space="0" w:color="auto"/>
                <w:right w:val="none" w:sz="0" w:space="0" w:color="auto"/>
              </w:divBdr>
            </w:div>
          </w:divsChild>
        </w:div>
        <w:div w:id="921643209">
          <w:marLeft w:val="0"/>
          <w:marRight w:val="0"/>
          <w:marTop w:val="0"/>
          <w:marBottom w:val="0"/>
          <w:divBdr>
            <w:top w:val="none" w:sz="0" w:space="0" w:color="auto"/>
            <w:left w:val="none" w:sz="0" w:space="0" w:color="auto"/>
            <w:bottom w:val="none" w:sz="0" w:space="0" w:color="auto"/>
            <w:right w:val="none" w:sz="0" w:space="0" w:color="auto"/>
          </w:divBdr>
          <w:divsChild>
            <w:div w:id="1707169492">
              <w:marLeft w:val="0"/>
              <w:marRight w:val="0"/>
              <w:marTop w:val="0"/>
              <w:marBottom w:val="0"/>
              <w:divBdr>
                <w:top w:val="none" w:sz="0" w:space="0" w:color="auto"/>
                <w:left w:val="none" w:sz="0" w:space="0" w:color="auto"/>
                <w:bottom w:val="none" w:sz="0" w:space="0" w:color="auto"/>
                <w:right w:val="none" w:sz="0" w:space="0" w:color="auto"/>
              </w:divBdr>
            </w:div>
          </w:divsChild>
        </w:div>
        <w:div w:id="933316737">
          <w:marLeft w:val="0"/>
          <w:marRight w:val="0"/>
          <w:marTop w:val="0"/>
          <w:marBottom w:val="0"/>
          <w:divBdr>
            <w:top w:val="none" w:sz="0" w:space="0" w:color="auto"/>
            <w:left w:val="none" w:sz="0" w:space="0" w:color="auto"/>
            <w:bottom w:val="none" w:sz="0" w:space="0" w:color="auto"/>
            <w:right w:val="none" w:sz="0" w:space="0" w:color="auto"/>
          </w:divBdr>
          <w:divsChild>
            <w:div w:id="209995659">
              <w:marLeft w:val="0"/>
              <w:marRight w:val="0"/>
              <w:marTop w:val="0"/>
              <w:marBottom w:val="0"/>
              <w:divBdr>
                <w:top w:val="none" w:sz="0" w:space="0" w:color="auto"/>
                <w:left w:val="none" w:sz="0" w:space="0" w:color="auto"/>
                <w:bottom w:val="none" w:sz="0" w:space="0" w:color="auto"/>
                <w:right w:val="none" w:sz="0" w:space="0" w:color="auto"/>
              </w:divBdr>
            </w:div>
          </w:divsChild>
        </w:div>
        <w:div w:id="937099692">
          <w:marLeft w:val="0"/>
          <w:marRight w:val="0"/>
          <w:marTop w:val="0"/>
          <w:marBottom w:val="0"/>
          <w:divBdr>
            <w:top w:val="none" w:sz="0" w:space="0" w:color="auto"/>
            <w:left w:val="none" w:sz="0" w:space="0" w:color="auto"/>
            <w:bottom w:val="none" w:sz="0" w:space="0" w:color="auto"/>
            <w:right w:val="none" w:sz="0" w:space="0" w:color="auto"/>
          </w:divBdr>
          <w:divsChild>
            <w:div w:id="223755540">
              <w:marLeft w:val="0"/>
              <w:marRight w:val="0"/>
              <w:marTop w:val="0"/>
              <w:marBottom w:val="0"/>
              <w:divBdr>
                <w:top w:val="none" w:sz="0" w:space="0" w:color="auto"/>
                <w:left w:val="none" w:sz="0" w:space="0" w:color="auto"/>
                <w:bottom w:val="none" w:sz="0" w:space="0" w:color="auto"/>
                <w:right w:val="none" w:sz="0" w:space="0" w:color="auto"/>
              </w:divBdr>
            </w:div>
          </w:divsChild>
        </w:div>
        <w:div w:id="937568707">
          <w:marLeft w:val="0"/>
          <w:marRight w:val="0"/>
          <w:marTop w:val="0"/>
          <w:marBottom w:val="0"/>
          <w:divBdr>
            <w:top w:val="none" w:sz="0" w:space="0" w:color="auto"/>
            <w:left w:val="none" w:sz="0" w:space="0" w:color="auto"/>
            <w:bottom w:val="none" w:sz="0" w:space="0" w:color="auto"/>
            <w:right w:val="none" w:sz="0" w:space="0" w:color="auto"/>
          </w:divBdr>
          <w:divsChild>
            <w:div w:id="679544480">
              <w:marLeft w:val="0"/>
              <w:marRight w:val="0"/>
              <w:marTop w:val="0"/>
              <w:marBottom w:val="0"/>
              <w:divBdr>
                <w:top w:val="none" w:sz="0" w:space="0" w:color="auto"/>
                <w:left w:val="none" w:sz="0" w:space="0" w:color="auto"/>
                <w:bottom w:val="none" w:sz="0" w:space="0" w:color="auto"/>
                <w:right w:val="none" w:sz="0" w:space="0" w:color="auto"/>
              </w:divBdr>
            </w:div>
          </w:divsChild>
        </w:div>
        <w:div w:id="1007516777">
          <w:marLeft w:val="0"/>
          <w:marRight w:val="0"/>
          <w:marTop w:val="0"/>
          <w:marBottom w:val="0"/>
          <w:divBdr>
            <w:top w:val="none" w:sz="0" w:space="0" w:color="auto"/>
            <w:left w:val="none" w:sz="0" w:space="0" w:color="auto"/>
            <w:bottom w:val="none" w:sz="0" w:space="0" w:color="auto"/>
            <w:right w:val="none" w:sz="0" w:space="0" w:color="auto"/>
          </w:divBdr>
          <w:divsChild>
            <w:div w:id="667057389">
              <w:marLeft w:val="0"/>
              <w:marRight w:val="0"/>
              <w:marTop w:val="0"/>
              <w:marBottom w:val="0"/>
              <w:divBdr>
                <w:top w:val="none" w:sz="0" w:space="0" w:color="auto"/>
                <w:left w:val="none" w:sz="0" w:space="0" w:color="auto"/>
                <w:bottom w:val="none" w:sz="0" w:space="0" w:color="auto"/>
                <w:right w:val="none" w:sz="0" w:space="0" w:color="auto"/>
              </w:divBdr>
            </w:div>
          </w:divsChild>
        </w:div>
        <w:div w:id="1014114904">
          <w:marLeft w:val="0"/>
          <w:marRight w:val="0"/>
          <w:marTop w:val="0"/>
          <w:marBottom w:val="0"/>
          <w:divBdr>
            <w:top w:val="none" w:sz="0" w:space="0" w:color="auto"/>
            <w:left w:val="none" w:sz="0" w:space="0" w:color="auto"/>
            <w:bottom w:val="none" w:sz="0" w:space="0" w:color="auto"/>
            <w:right w:val="none" w:sz="0" w:space="0" w:color="auto"/>
          </w:divBdr>
          <w:divsChild>
            <w:div w:id="112141042">
              <w:marLeft w:val="0"/>
              <w:marRight w:val="0"/>
              <w:marTop w:val="0"/>
              <w:marBottom w:val="0"/>
              <w:divBdr>
                <w:top w:val="none" w:sz="0" w:space="0" w:color="auto"/>
                <w:left w:val="none" w:sz="0" w:space="0" w:color="auto"/>
                <w:bottom w:val="none" w:sz="0" w:space="0" w:color="auto"/>
                <w:right w:val="none" w:sz="0" w:space="0" w:color="auto"/>
              </w:divBdr>
            </w:div>
          </w:divsChild>
        </w:div>
        <w:div w:id="1054475594">
          <w:marLeft w:val="0"/>
          <w:marRight w:val="0"/>
          <w:marTop w:val="0"/>
          <w:marBottom w:val="0"/>
          <w:divBdr>
            <w:top w:val="none" w:sz="0" w:space="0" w:color="auto"/>
            <w:left w:val="none" w:sz="0" w:space="0" w:color="auto"/>
            <w:bottom w:val="none" w:sz="0" w:space="0" w:color="auto"/>
            <w:right w:val="none" w:sz="0" w:space="0" w:color="auto"/>
          </w:divBdr>
          <w:divsChild>
            <w:div w:id="1149321022">
              <w:marLeft w:val="0"/>
              <w:marRight w:val="0"/>
              <w:marTop w:val="0"/>
              <w:marBottom w:val="0"/>
              <w:divBdr>
                <w:top w:val="none" w:sz="0" w:space="0" w:color="auto"/>
                <w:left w:val="none" w:sz="0" w:space="0" w:color="auto"/>
                <w:bottom w:val="none" w:sz="0" w:space="0" w:color="auto"/>
                <w:right w:val="none" w:sz="0" w:space="0" w:color="auto"/>
              </w:divBdr>
            </w:div>
          </w:divsChild>
        </w:div>
        <w:div w:id="1107507282">
          <w:marLeft w:val="0"/>
          <w:marRight w:val="0"/>
          <w:marTop w:val="0"/>
          <w:marBottom w:val="0"/>
          <w:divBdr>
            <w:top w:val="none" w:sz="0" w:space="0" w:color="auto"/>
            <w:left w:val="none" w:sz="0" w:space="0" w:color="auto"/>
            <w:bottom w:val="none" w:sz="0" w:space="0" w:color="auto"/>
            <w:right w:val="none" w:sz="0" w:space="0" w:color="auto"/>
          </w:divBdr>
          <w:divsChild>
            <w:div w:id="99961329">
              <w:marLeft w:val="0"/>
              <w:marRight w:val="0"/>
              <w:marTop w:val="0"/>
              <w:marBottom w:val="0"/>
              <w:divBdr>
                <w:top w:val="none" w:sz="0" w:space="0" w:color="auto"/>
                <w:left w:val="none" w:sz="0" w:space="0" w:color="auto"/>
                <w:bottom w:val="none" w:sz="0" w:space="0" w:color="auto"/>
                <w:right w:val="none" w:sz="0" w:space="0" w:color="auto"/>
              </w:divBdr>
            </w:div>
          </w:divsChild>
        </w:div>
        <w:div w:id="1153983012">
          <w:marLeft w:val="0"/>
          <w:marRight w:val="0"/>
          <w:marTop w:val="0"/>
          <w:marBottom w:val="0"/>
          <w:divBdr>
            <w:top w:val="none" w:sz="0" w:space="0" w:color="auto"/>
            <w:left w:val="none" w:sz="0" w:space="0" w:color="auto"/>
            <w:bottom w:val="none" w:sz="0" w:space="0" w:color="auto"/>
            <w:right w:val="none" w:sz="0" w:space="0" w:color="auto"/>
          </w:divBdr>
          <w:divsChild>
            <w:div w:id="1716848485">
              <w:marLeft w:val="0"/>
              <w:marRight w:val="0"/>
              <w:marTop w:val="0"/>
              <w:marBottom w:val="0"/>
              <w:divBdr>
                <w:top w:val="none" w:sz="0" w:space="0" w:color="auto"/>
                <w:left w:val="none" w:sz="0" w:space="0" w:color="auto"/>
                <w:bottom w:val="none" w:sz="0" w:space="0" w:color="auto"/>
                <w:right w:val="none" w:sz="0" w:space="0" w:color="auto"/>
              </w:divBdr>
            </w:div>
          </w:divsChild>
        </w:div>
        <w:div w:id="1155074801">
          <w:marLeft w:val="0"/>
          <w:marRight w:val="0"/>
          <w:marTop w:val="0"/>
          <w:marBottom w:val="0"/>
          <w:divBdr>
            <w:top w:val="none" w:sz="0" w:space="0" w:color="auto"/>
            <w:left w:val="none" w:sz="0" w:space="0" w:color="auto"/>
            <w:bottom w:val="none" w:sz="0" w:space="0" w:color="auto"/>
            <w:right w:val="none" w:sz="0" w:space="0" w:color="auto"/>
          </w:divBdr>
          <w:divsChild>
            <w:div w:id="293369836">
              <w:marLeft w:val="0"/>
              <w:marRight w:val="0"/>
              <w:marTop w:val="0"/>
              <w:marBottom w:val="0"/>
              <w:divBdr>
                <w:top w:val="none" w:sz="0" w:space="0" w:color="auto"/>
                <w:left w:val="none" w:sz="0" w:space="0" w:color="auto"/>
                <w:bottom w:val="none" w:sz="0" w:space="0" w:color="auto"/>
                <w:right w:val="none" w:sz="0" w:space="0" w:color="auto"/>
              </w:divBdr>
            </w:div>
          </w:divsChild>
        </w:div>
        <w:div w:id="1205365939">
          <w:marLeft w:val="0"/>
          <w:marRight w:val="0"/>
          <w:marTop w:val="0"/>
          <w:marBottom w:val="0"/>
          <w:divBdr>
            <w:top w:val="none" w:sz="0" w:space="0" w:color="auto"/>
            <w:left w:val="none" w:sz="0" w:space="0" w:color="auto"/>
            <w:bottom w:val="none" w:sz="0" w:space="0" w:color="auto"/>
            <w:right w:val="none" w:sz="0" w:space="0" w:color="auto"/>
          </w:divBdr>
          <w:divsChild>
            <w:div w:id="1756632594">
              <w:marLeft w:val="0"/>
              <w:marRight w:val="0"/>
              <w:marTop w:val="0"/>
              <w:marBottom w:val="0"/>
              <w:divBdr>
                <w:top w:val="none" w:sz="0" w:space="0" w:color="auto"/>
                <w:left w:val="none" w:sz="0" w:space="0" w:color="auto"/>
                <w:bottom w:val="none" w:sz="0" w:space="0" w:color="auto"/>
                <w:right w:val="none" w:sz="0" w:space="0" w:color="auto"/>
              </w:divBdr>
            </w:div>
          </w:divsChild>
        </w:div>
        <w:div w:id="1218466942">
          <w:marLeft w:val="0"/>
          <w:marRight w:val="0"/>
          <w:marTop w:val="0"/>
          <w:marBottom w:val="0"/>
          <w:divBdr>
            <w:top w:val="none" w:sz="0" w:space="0" w:color="auto"/>
            <w:left w:val="none" w:sz="0" w:space="0" w:color="auto"/>
            <w:bottom w:val="none" w:sz="0" w:space="0" w:color="auto"/>
            <w:right w:val="none" w:sz="0" w:space="0" w:color="auto"/>
          </w:divBdr>
          <w:divsChild>
            <w:div w:id="112597606">
              <w:marLeft w:val="0"/>
              <w:marRight w:val="0"/>
              <w:marTop w:val="0"/>
              <w:marBottom w:val="0"/>
              <w:divBdr>
                <w:top w:val="none" w:sz="0" w:space="0" w:color="auto"/>
                <w:left w:val="none" w:sz="0" w:space="0" w:color="auto"/>
                <w:bottom w:val="none" w:sz="0" w:space="0" w:color="auto"/>
                <w:right w:val="none" w:sz="0" w:space="0" w:color="auto"/>
              </w:divBdr>
            </w:div>
          </w:divsChild>
        </w:div>
        <w:div w:id="1232353338">
          <w:marLeft w:val="0"/>
          <w:marRight w:val="0"/>
          <w:marTop w:val="0"/>
          <w:marBottom w:val="0"/>
          <w:divBdr>
            <w:top w:val="none" w:sz="0" w:space="0" w:color="auto"/>
            <w:left w:val="none" w:sz="0" w:space="0" w:color="auto"/>
            <w:bottom w:val="none" w:sz="0" w:space="0" w:color="auto"/>
            <w:right w:val="none" w:sz="0" w:space="0" w:color="auto"/>
          </w:divBdr>
          <w:divsChild>
            <w:div w:id="1133712124">
              <w:marLeft w:val="0"/>
              <w:marRight w:val="0"/>
              <w:marTop w:val="0"/>
              <w:marBottom w:val="0"/>
              <w:divBdr>
                <w:top w:val="none" w:sz="0" w:space="0" w:color="auto"/>
                <w:left w:val="none" w:sz="0" w:space="0" w:color="auto"/>
                <w:bottom w:val="none" w:sz="0" w:space="0" w:color="auto"/>
                <w:right w:val="none" w:sz="0" w:space="0" w:color="auto"/>
              </w:divBdr>
            </w:div>
          </w:divsChild>
        </w:div>
        <w:div w:id="1236166870">
          <w:marLeft w:val="0"/>
          <w:marRight w:val="0"/>
          <w:marTop w:val="0"/>
          <w:marBottom w:val="0"/>
          <w:divBdr>
            <w:top w:val="none" w:sz="0" w:space="0" w:color="auto"/>
            <w:left w:val="none" w:sz="0" w:space="0" w:color="auto"/>
            <w:bottom w:val="none" w:sz="0" w:space="0" w:color="auto"/>
            <w:right w:val="none" w:sz="0" w:space="0" w:color="auto"/>
          </w:divBdr>
          <w:divsChild>
            <w:div w:id="1697656854">
              <w:marLeft w:val="0"/>
              <w:marRight w:val="0"/>
              <w:marTop w:val="0"/>
              <w:marBottom w:val="0"/>
              <w:divBdr>
                <w:top w:val="none" w:sz="0" w:space="0" w:color="auto"/>
                <w:left w:val="none" w:sz="0" w:space="0" w:color="auto"/>
                <w:bottom w:val="none" w:sz="0" w:space="0" w:color="auto"/>
                <w:right w:val="none" w:sz="0" w:space="0" w:color="auto"/>
              </w:divBdr>
            </w:div>
          </w:divsChild>
        </w:div>
        <w:div w:id="1245801901">
          <w:marLeft w:val="0"/>
          <w:marRight w:val="0"/>
          <w:marTop w:val="0"/>
          <w:marBottom w:val="0"/>
          <w:divBdr>
            <w:top w:val="none" w:sz="0" w:space="0" w:color="auto"/>
            <w:left w:val="none" w:sz="0" w:space="0" w:color="auto"/>
            <w:bottom w:val="none" w:sz="0" w:space="0" w:color="auto"/>
            <w:right w:val="none" w:sz="0" w:space="0" w:color="auto"/>
          </w:divBdr>
          <w:divsChild>
            <w:div w:id="40373624">
              <w:marLeft w:val="0"/>
              <w:marRight w:val="0"/>
              <w:marTop w:val="0"/>
              <w:marBottom w:val="0"/>
              <w:divBdr>
                <w:top w:val="none" w:sz="0" w:space="0" w:color="auto"/>
                <w:left w:val="none" w:sz="0" w:space="0" w:color="auto"/>
                <w:bottom w:val="none" w:sz="0" w:space="0" w:color="auto"/>
                <w:right w:val="none" w:sz="0" w:space="0" w:color="auto"/>
              </w:divBdr>
            </w:div>
          </w:divsChild>
        </w:div>
        <w:div w:id="1263999371">
          <w:marLeft w:val="0"/>
          <w:marRight w:val="0"/>
          <w:marTop w:val="0"/>
          <w:marBottom w:val="0"/>
          <w:divBdr>
            <w:top w:val="none" w:sz="0" w:space="0" w:color="auto"/>
            <w:left w:val="none" w:sz="0" w:space="0" w:color="auto"/>
            <w:bottom w:val="none" w:sz="0" w:space="0" w:color="auto"/>
            <w:right w:val="none" w:sz="0" w:space="0" w:color="auto"/>
          </w:divBdr>
          <w:divsChild>
            <w:div w:id="737901902">
              <w:marLeft w:val="0"/>
              <w:marRight w:val="0"/>
              <w:marTop w:val="0"/>
              <w:marBottom w:val="0"/>
              <w:divBdr>
                <w:top w:val="none" w:sz="0" w:space="0" w:color="auto"/>
                <w:left w:val="none" w:sz="0" w:space="0" w:color="auto"/>
                <w:bottom w:val="none" w:sz="0" w:space="0" w:color="auto"/>
                <w:right w:val="none" w:sz="0" w:space="0" w:color="auto"/>
              </w:divBdr>
            </w:div>
          </w:divsChild>
        </w:div>
        <w:div w:id="1277056711">
          <w:marLeft w:val="0"/>
          <w:marRight w:val="0"/>
          <w:marTop w:val="0"/>
          <w:marBottom w:val="0"/>
          <w:divBdr>
            <w:top w:val="none" w:sz="0" w:space="0" w:color="auto"/>
            <w:left w:val="none" w:sz="0" w:space="0" w:color="auto"/>
            <w:bottom w:val="none" w:sz="0" w:space="0" w:color="auto"/>
            <w:right w:val="none" w:sz="0" w:space="0" w:color="auto"/>
          </w:divBdr>
          <w:divsChild>
            <w:div w:id="1280837971">
              <w:marLeft w:val="0"/>
              <w:marRight w:val="0"/>
              <w:marTop w:val="0"/>
              <w:marBottom w:val="0"/>
              <w:divBdr>
                <w:top w:val="none" w:sz="0" w:space="0" w:color="auto"/>
                <w:left w:val="none" w:sz="0" w:space="0" w:color="auto"/>
                <w:bottom w:val="none" w:sz="0" w:space="0" w:color="auto"/>
                <w:right w:val="none" w:sz="0" w:space="0" w:color="auto"/>
              </w:divBdr>
            </w:div>
          </w:divsChild>
        </w:div>
        <w:div w:id="1364750023">
          <w:marLeft w:val="0"/>
          <w:marRight w:val="0"/>
          <w:marTop w:val="0"/>
          <w:marBottom w:val="0"/>
          <w:divBdr>
            <w:top w:val="none" w:sz="0" w:space="0" w:color="auto"/>
            <w:left w:val="none" w:sz="0" w:space="0" w:color="auto"/>
            <w:bottom w:val="none" w:sz="0" w:space="0" w:color="auto"/>
            <w:right w:val="none" w:sz="0" w:space="0" w:color="auto"/>
          </w:divBdr>
          <w:divsChild>
            <w:div w:id="1778327479">
              <w:marLeft w:val="0"/>
              <w:marRight w:val="0"/>
              <w:marTop w:val="0"/>
              <w:marBottom w:val="0"/>
              <w:divBdr>
                <w:top w:val="none" w:sz="0" w:space="0" w:color="auto"/>
                <w:left w:val="none" w:sz="0" w:space="0" w:color="auto"/>
                <w:bottom w:val="none" w:sz="0" w:space="0" w:color="auto"/>
                <w:right w:val="none" w:sz="0" w:space="0" w:color="auto"/>
              </w:divBdr>
            </w:div>
          </w:divsChild>
        </w:div>
        <w:div w:id="1371371305">
          <w:marLeft w:val="0"/>
          <w:marRight w:val="0"/>
          <w:marTop w:val="0"/>
          <w:marBottom w:val="0"/>
          <w:divBdr>
            <w:top w:val="none" w:sz="0" w:space="0" w:color="auto"/>
            <w:left w:val="none" w:sz="0" w:space="0" w:color="auto"/>
            <w:bottom w:val="none" w:sz="0" w:space="0" w:color="auto"/>
            <w:right w:val="none" w:sz="0" w:space="0" w:color="auto"/>
          </w:divBdr>
          <w:divsChild>
            <w:div w:id="1503082442">
              <w:marLeft w:val="0"/>
              <w:marRight w:val="0"/>
              <w:marTop w:val="0"/>
              <w:marBottom w:val="0"/>
              <w:divBdr>
                <w:top w:val="none" w:sz="0" w:space="0" w:color="auto"/>
                <w:left w:val="none" w:sz="0" w:space="0" w:color="auto"/>
                <w:bottom w:val="none" w:sz="0" w:space="0" w:color="auto"/>
                <w:right w:val="none" w:sz="0" w:space="0" w:color="auto"/>
              </w:divBdr>
            </w:div>
          </w:divsChild>
        </w:div>
        <w:div w:id="1431242822">
          <w:marLeft w:val="0"/>
          <w:marRight w:val="0"/>
          <w:marTop w:val="0"/>
          <w:marBottom w:val="0"/>
          <w:divBdr>
            <w:top w:val="none" w:sz="0" w:space="0" w:color="auto"/>
            <w:left w:val="none" w:sz="0" w:space="0" w:color="auto"/>
            <w:bottom w:val="none" w:sz="0" w:space="0" w:color="auto"/>
            <w:right w:val="none" w:sz="0" w:space="0" w:color="auto"/>
          </w:divBdr>
          <w:divsChild>
            <w:div w:id="458839118">
              <w:marLeft w:val="0"/>
              <w:marRight w:val="0"/>
              <w:marTop w:val="0"/>
              <w:marBottom w:val="0"/>
              <w:divBdr>
                <w:top w:val="none" w:sz="0" w:space="0" w:color="auto"/>
                <w:left w:val="none" w:sz="0" w:space="0" w:color="auto"/>
                <w:bottom w:val="none" w:sz="0" w:space="0" w:color="auto"/>
                <w:right w:val="none" w:sz="0" w:space="0" w:color="auto"/>
              </w:divBdr>
            </w:div>
          </w:divsChild>
        </w:div>
        <w:div w:id="1462966134">
          <w:marLeft w:val="0"/>
          <w:marRight w:val="0"/>
          <w:marTop w:val="0"/>
          <w:marBottom w:val="0"/>
          <w:divBdr>
            <w:top w:val="none" w:sz="0" w:space="0" w:color="auto"/>
            <w:left w:val="none" w:sz="0" w:space="0" w:color="auto"/>
            <w:bottom w:val="none" w:sz="0" w:space="0" w:color="auto"/>
            <w:right w:val="none" w:sz="0" w:space="0" w:color="auto"/>
          </w:divBdr>
          <w:divsChild>
            <w:div w:id="1813476659">
              <w:marLeft w:val="0"/>
              <w:marRight w:val="0"/>
              <w:marTop w:val="0"/>
              <w:marBottom w:val="0"/>
              <w:divBdr>
                <w:top w:val="none" w:sz="0" w:space="0" w:color="auto"/>
                <w:left w:val="none" w:sz="0" w:space="0" w:color="auto"/>
                <w:bottom w:val="none" w:sz="0" w:space="0" w:color="auto"/>
                <w:right w:val="none" w:sz="0" w:space="0" w:color="auto"/>
              </w:divBdr>
            </w:div>
          </w:divsChild>
        </w:div>
        <w:div w:id="1491020452">
          <w:marLeft w:val="0"/>
          <w:marRight w:val="0"/>
          <w:marTop w:val="0"/>
          <w:marBottom w:val="0"/>
          <w:divBdr>
            <w:top w:val="none" w:sz="0" w:space="0" w:color="auto"/>
            <w:left w:val="none" w:sz="0" w:space="0" w:color="auto"/>
            <w:bottom w:val="none" w:sz="0" w:space="0" w:color="auto"/>
            <w:right w:val="none" w:sz="0" w:space="0" w:color="auto"/>
          </w:divBdr>
          <w:divsChild>
            <w:div w:id="1703895703">
              <w:marLeft w:val="0"/>
              <w:marRight w:val="0"/>
              <w:marTop w:val="0"/>
              <w:marBottom w:val="0"/>
              <w:divBdr>
                <w:top w:val="none" w:sz="0" w:space="0" w:color="auto"/>
                <w:left w:val="none" w:sz="0" w:space="0" w:color="auto"/>
                <w:bottom w:val="none" w:sz="0" w:space="0" w:color="auto"/>
                <w:right w:val="none" w:sz="0" w:space="0" w:color="auto"/>
              </w:divBdr>
            </w:div>
          </w:divsChild>
        </w:div>
        <w:div w:id="1519850336">
          <w:marLeft w:val="0"/>
          <w:marRight w:val="0"/>
          <w:marTop w:val="0"/>
          <w:marBottom w:val="0"/>
          <w:divBdr>
            <w:top w:val="none" w:sz="0" w:space="0" w:color="auto"/>
            <w:left w:val="none" w:sz="0" w:space="0" w:color="auto"/>
            <w:bottom w:val="none" w:sz="0" w:space="0" w:color="auto"/>
            <w:right w:val="none" w:sz="0" w:space="0" w:color="auto"/>
          </w:divBdr>
          <w:divsChild>
            <w:div w:id="732891859">
              <w:marLeft w:val="0"/>
              <w:marRight w:val="0"/>
              <w:marTop w:val="0"/>
              <w:marBottom w:val="0"/>
              <w:divBdr>
                <w:top w:val="none" w:sz="0" w:space="0" w:color="auto"/>
                <w:left w:val="none" w:sz="0" w:space="0" w:color="auto"/>
                <w:bottom w:val="none" w:sz="0" w:space="0" w:color="auto"/>
                <w:right w:val="none" w:sz="0" w:space="0" w:color="auto"/>
              </w:divBdr>
            </w:div>
          </w:divsChild>
        </w:div>
        <w:div w:id="1584100585">
          <w:marLeft w:val="0"/>
          <w:marRight w:val="0"/>
          <w:marTop w:val="0"/>
          <w:marBottom w:val="0"/>
          <w:divBdr>
            <w:top w:val="none" w:sz="0" w:space="0" w:color="auto"/>
            <w:left w:val="none" w:sz="0" w:space="0" w:color="auto"/>
            <w:bottom w:val="none" w:sz="0" w:space="0" w:color="auto"/>
            <w:right w:val="none" w:sz="0" w:space="0" w:color="auto"/>
          </w:divBdr>
          <w:divsChild>
            <w:div w:id="728262265">
              <w:marLeft w:val="0"/>
              <w:marRight w:val="0"/>
              <w:marTop w:val="0"/>
              <w:marBottom w:val="0"/>
              <w:divBdr>
                <w:top w:val="none" w:sz="0" w:space="0" w:color="auto"/>
                <w:left w:val="none" w:sz="0" w:space="0" w:color="auto"/>
                <w:bottom w:val="none" w:sz="0" w:space="0" w:color="auto"/>
                <w:right w:val="none" w:sz="0" w:space="0" w:color="auto"/>
              </w:divBdr>
            </w:div>
          </w:divsChild>
        </w:div>
        <w:div w:id="1584794968">
          <w:marLeft w:val="0"/>
          <w:marRight w:val="0"/>
          <w:marTop w:val="0"/>
          <w:marBottom w:val="0"/>
          <w:divBdr>
            <w:top w:val="none" w:sz="0" w:space="0" w:color="auto"/>
            <w:left w:val="none" w:sz="0" w:space="0" w:color="auto"/>
            <w:bottom w:val="none" w:sz="0" w:space="0" w:color="auto"/>
            <w:right w:val="none" w:sz="0" w:space="0" w:color="auto"/>
          </w:divBdr>
          <w:divsChild>
            <w:div w:id="965356946">
              <w:marLeft w:val="0"/>
              <w:marRight w:val="0"/>
              <w:marTop w:val="0"/>
              <w:marBottom w:val="0"/>
              <w:divBdr>
                <w:top w:val="none" w:sz="0" w:space="0" w:color="auto"/>
                <w:left w:val="none" w:sz="0" w:space="0" w:color="auto"/>
                <w:bottom w:val="none" w:sz="0" w:space="0" w:color="auto"/>
                <w:right w:val="none" w:sz="0" w:space="0" w:color="auto"/>
              </w:divBdr>
            </w:div>
          </w:divsChild>
        </w:div>
        <w:div w:id="1626883385">
          <w:marLeft w:val="0"/>
          <w:marRight w:val="0"/>
          <w:marTop w:val="0"/>
          <w:marBottom w:val="0"/>
          <w:divBdr>
            <w:top w:val="none" w:sz="0" w:space="0" w:color="auto"/>
            <w:left w:val="none" w:sz="0" w:space="0" w:color="auto"/>
            <w:bottom w:val="none" w:sz="0" w:space="0" w:color="auto"/>
            <w:right w:val="none" w:sz="0" w:space="0" w:color="auto"/>
          </w:divBdr>
          <w:divsChild>
            <w:div w:id="2049405142">
              <w:marLeft w:val="0"/>
              <w:marRight w:val="0"/>
              <w:marTop w:val="0"/>
              <w:marBottom w:val="0"/>
              <w:divBdr>
                <w:top w:val="none" w:sz="0" w:space="0" w:color="auto"/>
                <w:left w:val="none" w:sz="0" w:space="0" w:color="auto"/>
                <w:bottom w:val="none" w:sz="0" w:space="0" w:color="auto"/>
                <w:right w:val="none" w:sz="0" w:space="0" w:color="auto"/>
              </w:divBdr>
            </w:div>
          </w:divsChild>
        </w:div>
        <w:div w:id="1644894972">
          <w:marLeft w:val="0"/>
          <w:marRight w:val="0"/>
          <w:marTop w:val="0"/>
          <w:marBottom w:val="0"/>
          <w:divBdr>
            <w:top w:val="none" w:sz="0" w:space="0" w:color="auto"/>
            <w:left w:val="none" w:sz="0" w:space="0" w:color="auto"/>
            <w:bottom w:val="none" w:sz="0" w:space="0" w:color="auto"/>
            <w:right w:val="none" w:sz="0" w:space="0" w:color="auto"/>
          </w:divBdr>
          <w:divsChild>
            <w:div w:id="1651472161">
              <w:marLeft w:val="0"/>
              <w:marRight w:val="0"/>
              <w:marTop w:val="0"/>
              <w:marBottom w:val="0"/>
              <w:divBdr>
                <w:top w:val="none" w:sz="0" w:space="0" w:color="auto"/>
                <w:left w:val="none" w:sz="0" w:space="0" w:color="auto"/>
                <w:bottom w:val="none" w:sz="0" w:space="0" w:color="auto"/>
                <w:right w:val="none" w:sz="0" w:space="0" w:color="auto"/>
              </w:divBdr>
            </w:div>
          </w:divsChild>
        </w:div>
        <w:div w:id="1683629586">
          <w:marLeft w:val="0"/>
          <w:marRight w:val="0"/>
          <w:marTop w:val="0"/>
          <w:marBottom w:val="0"/>
          <w:divBdr>
            <w:top w:val="none" w:sz="0" w:space="0" w:color="auto"/>
            <w:left w:val="none" w:sz="0" w:space="0" w:color="auto"/>
            <w:bottom w:val="none" w:sz="0" w:space="0" w:color="auto"/>
            <w:right w:val="none" w:sz="0" w:space="0" w:color="auto"/>
          </w:divBdr>
          <w:divsChild>
            <w:div w:id="823813163">
              <w:marLeft w:val="0"/>
              <w:marRight w:val="0"/>
              <w:marTop w:val="0"/>
              <w:marBottom w:val="0"/>
              <w:divBdr>
                <w:top w:val="none" w:sz="0" w:space="0" w:color="auto"/>
                <w:left w:val="none" w:sz="0" w:space="0" w:color="auto"/>
                <w:bottom w:val="none" w:sz="0" w:space="0" w:color="auto"/>
                <w:right w:val="none" w:sz="0" w:space="0" w:color="auto"/>
              </w:divBdr>
            </w:div>
          </w:divsChild>
        </w:div>
        <w:div w:id="1744374888">
          <w:marLeft w:val="0"/>
          <w:marRight w:val="0"/>
          <w:marTop w:val="0"/>
          <w:marBottom w:val="0"/>
          <w:divBdr>
            <w:top w:val="none" w:sz="0" w:space="0" w:color="auto"/>
            <w:left w:val="none" w:sz="0" w:space="0" w:color="auto"/>
            <w:bottom w:val="none" w:sz="0" w:space="0" w:color="auto"/>
            <w:right w:val="none" w:sz="0" w:space="0" w:color="auto"/>
          </w:divBdr>
          <w:divsChild>
            <w:div w:id="1507792089">
              <w:marLeft w:val="0"/>
              <w:marRight w:val="0"/>
              <w:marTop w:val="0"/>
              <w:marBottom w:val="0"/>
              <w:divBdr>
                <w:top w:val="none" w:sz="0" w:space="0" w:color="auto"/>
                <w:left w:val="none" w:sz="0" w:space="0" w:color="auto"/>
                <w:bottom w:val="none" w:sz="0" w:space="0" w:color="auto"/>
                <w:right w:val="none" w:sz="0" w:space="0" w:color="auto"/>
              </w:divBdr>
            </w:div>
          </w:divsChild>
        </w:div>
        <w:div w:id="1751197365">
          <w:marLeft w:val="0"/>
          <w:marRight w:val="0"/>
          <w:marTop w:val="0"/>
          <w:marBottom w:val="0"/>
          <w:divBdr>
            <w:top w:val="none" w:sz="0" w:space="0" w:color="auto"/>
            <w:left w:val="none" w:sz="0" w:space="0" w:color="auto"/>
            <w:bottom w:val="none" w:sz="0" w:space="0" w:color="auto"/>
            <w:right w:val="none" w:sz="0" w:space="0" w:color="auto"/>
          </w:divBdr>
          <w:divsChild>
            <w:div w:id="2097286214">
              <w:marLeft w:val="0"/>
              <w:marRight w:val="0"/>
              <w:marTop w:val="0"/>
              <w:marBottom w:val="0"/>
              <w:divBdr>
                <w:top w:val="none" w:sz="0" w:space="0" w:color="auto"/>
                <w:left w:val="none" w:sz="0" w:space="0" w:color="auto"/>
                <w:bottom w:val="none" w:sz="0" w:space="0" w:color="auto"/>
                <w:right w:val="none" w:sz="0" w:space="0" w:color="auto"/>
              </w:divBdr>
            </w:div>
          </w:divsChild>
        </w:div>
        <w:div w:id="1800218048">
          <w:marLeft w:val="0"/>
          <w:marRight w:val="0"/>
          <w:marTop w:val="0"/>
          <w:marBottom w:val="0"/>
          <w:divBdr>
            <w:top w:val="none" w:sz="0" w:space="0" w:color="auto"/>
            <w:left w:val="none" w:sz="0" w:space="0" w:color="auto"/>
            <w:bottom w:val="none" w:sz="0" w:space="0" w:color="auto"/>
            <w:right w:val="none" w:sz="0" w:space="0" w:color="auto"/>
          </w:divBdr>
          <w:divsChild>
            <w:div w:id="1781870488">
              <w:marLeft w:val="0"/>
              <w:marRight w:val="0"/>
              <w:marTop w:val="0"/>
              <w:marBottom w:val="0"/>
              <w:divBdr>
                <w:top w:val="none" w:sz="0" w:space="0" w:color="auto"/>
                <w:left w:val="none" w:sz="0" w:space="0" w:color="auto"/>
                <w:bottom w:val="none" w:sz="0" w:space="0" w:color="auto"/>
                <w:right w:val="none" w:sz="0" w:space="0" w:color="auto"/>
              </w:divBdr>
            </w:div>
          </w:divsChild>
        </w:div>
        <w:div w:id="1853105204">
          <w:marLeft w:val="0"/>
          <w:marRight w:val="0"/>
          <w:marTop w:val="0"/>
          <w:marBottom w:val="0"/>
          <w:divBdr>
            <w:top w:val="none" w:sz="0" w:space="0" w:color="auto"/>
            <w:left w:val="none" w:sz="0" w:space="0" w:color="auto"/>
            <w:bottom w:val="none" w:sz="0" w:space="0" w:color="auto"/>
            <w:right w:val="none" w:sz="0" w:space="0" w:color="auto"/>
          </w:divBdr>
          <w:divsChild>
            <w:div w:id="513497884">
              <w:marLeft w:val="0"/>
              <w:marRight w:val="0"/>
              <w:marTop w:val="0"/>
              <w:marBottom w:val="0"/>
              <w:divBdr>
                <w:top w:val="none" w:sz="0" w:space="0" w:color="auto"/>
                <w:left w:val="none" w:sz="0" w:space="0" w:color="auto"/>
                <w:bottom w:val="none" w:sz="0" w:space="0" w:color="auto"/>
                <w:right w:val="none" w:sz="0" w:space="0" w:color="auto"/>
              </w:divBdr>
            </w:div>
          </w:divsChild>
        </w:div>
        <w:div w:id="1860855316">
          <w:marLeft w:val="0"/>
          <w:marRight w:val="0"/>
          <w:marTop w:val="0"/>
          <w:marBottom w:val="0"/>
          <w:divBdr>
            <w:top w:val="none" w:sz="0" w:space="0" w:color="auto"/>
            <w:left w:val="none" w:sz="0" w:space="0" w:color="auto"/>
            <w:bottom w:val="none" w:sz="0" w:space="0" w:color="auto"/>
            <w:right w:val="none" w:sz="0" w:space="0" w:color="auto"/>
          </w:divBdr>
          <w:divsChild>
            <w:div w:id="2145124725">
              <w:marLeft w:val="0"/>
              <w:marRight w:val="0"/>
              <w:marTop w:val="0"/>
              <w:marBottom w:val="0"/>
              <w:divBdr>
                <w:top w:val="none" w:sz="0" w:space="0" w:color="auto"/>
                <w:left w:val="none" w:sz="0" w:space="0" w:color="auto"/>
                <w:bottom w:val="none" w:sz="0" w:space="0" w:color="auto"/>
                <w:right w:val="none" w:sz="0" w:space="0" w:color="auto"/>
              </w:divBdr>
            </w:div>
          </w:divsChild>
        </w:div>
        <w:div w:id="1939169844">
          <w:marLeft w:val="0"/>
          <w:marRight w:val="0"/>
          <w:marTop w:val="0"/>
          <w:marBottom w:val="0"/>
          <w:divBdr>
            <w:top w:val="none" w:sz="0" w:space="0" w:color="auto"/>
            <w:left w:val="none" w:sz="0" w:space="0" w:color="auto"/>
            <w:bottom w:val="none" w:sz="0" w:space="0" w:color="auto"/>
            <w:right w:val="none" w:sz="0" w:space="0" w:color="auto"/>
          </w:divBdr>
          <w:divsChild>
            <w:div w:id="413362043">
              <w:marLeft w:val="0"/>
              <w:marRight w:val="0"/>
              <w:marTop w:val="0"/>
              <w:marBottom w:val="0"/>
              <w:divBdr>
                <w:top w:val="none" w:sz="0" w:space="0" w:color="auto"/>
                <w:left w:val="none" w:sz="0" w:space="0" w:color="auto"/>
                <w:bottom w:val="none" w:sz="0" w:space="0" w:color="auto"/>
                <w:right w:val="none" w:sz="0" w:space="0" w:color="auto"/>
              </w:divBdr>
            </w:div>
          </w:divsChild>
        </w:div>
        <w:div w:id="1983121225">
          <w:marLeft w:val="0"/>
          <w:marRight w:val="0"/>
          <w:marTop w:val="0"/>
          <w:marBottom w:val="0"/>
          <w:divBdr>
            <w:top w:val="none" w:sz="0" w:space="0" w:color="auto"/>
            <w:left w:val="none" w:sz="0" w:space="0" w:color="auto"/>
            <w:bottom w:val="none" w:sz="0" w:space="0" w:color="auto"/>
            <w:right w:val="none" w:sz="0" w:space="0" w:color="auto"/>
          </w:divBdr>
          <w:divsChild>
            <w:div w:id="975522434">
              <w:marLeft w:val="0"/>
              <w:marRight w:val="0"/>
              <w:marTop w:val="0"/>
              <w:marBottom w:val="0"/>
              <w:divBdr>
                <w:top w:val="none" w:sz="0" w:space="0" w:color="auto"/>
                <w:left w:val="none" w:sz="0" w:space="0" w:color="auto"/>
                <w:bottom w:val="none" w:sz="0" w:space="0" w:color="auto"/>
                <w:right w:val="none" w:sz="0" w:space="0" w:color="auto"/>
              </w:divBdr>
            </w:div>
          </w:divsChild>
        </w:div>
        <w:div w:id="1989283418">
          <w:marLeft w:val="0"/>
          <w:marRight w:val="0"/>
          <w:marTop w:val="0"/>
          <w:marBottom w:val="0"/>
          <w:divBdr>
            <w:top w:val="none" w:sz="0" w:space="0" w:color="auto"/>
            <w:left w:val="none" w:sz="0" w:space="0" w:color="auto"/>
            <w:bottom w:val="none" w:sz="0" w:space="0" w:color="auto"/>
            <w:right w:val="none" w:sz="0" w:space="0" w:color="auto"/>
          </w:divBdr>
          <w:divsChild>
            <w:div w:id="1852571811">
              <w:marLeft w:val="0"/>
              <w:marRight w:val="0"/>
              <w:marTop w:val="0"/>
              <w:marBottom w:val="0"/>
              <w:divBdr>
                <w:top w:val="none" w:sz="0" w:space="0" w:color="auto"/>
                <w:left w:val="none" w:sz="0" w:space="0" w:color="auto"/>
                <w:bottom w:val="none" w:sz="0" w:space="0" w:color="auto"/>
                <w:right w:val="none" w:sz="0" w:space="0" w:color="auto"/>
              </w:divBdr>
            </w:div>
          </w:divsChild>
        </w:div>
        <w:div w:id="2053185796">
          <w:marLeft w:val="0"/>
          <w:marRight w:val="0"/>
          <w:marTop w:val="0"/>
          <w:marBottom w:val="0"/>
          <w:divBdr>
            <w:top w:val="none" w:sz="0" w:space="0" w:color="auto"/>
            <w:left w:val="none" w:sz="0" w:space="0" w:color="auto"/>
            <w:bottom w:val="none" w:sz="0" w:space="0" w:color="auto"/>
            <w:right w:val="none" w:sz="0" w:space="0" w:color="auto"/>
          </w:divBdr>
          <w:divsChild>
            <w:div w:id="1018850488">
              <w:marLeft w:val="0"/>
              <w:marRight w:val="0"/>
              <w:marTop w:val="0"/>
              <w:marBottom w:val="0"/>
              <w:divBdr>
                <w:top w:val="none" w:sz="0" w:space="0" w:color="auto"/>
                <w:left w:val="none" w:sz="0" w:space="0" w:color="auto"/>
                <w:bottom w:val="none" w:sz="0" w:space="0" w:color="auto"/>
                <w:right w:val="none" w:sz="0" w:space="0" w:color="auto"/>
              </w:divBdr>
            </w:div>
          </w:divsChild>
        </w:div>
        <w:div w:id="2061636927">
          <w:marLeft w:val="0"/>
          <w:marRight w:val="0"/>
          <w:marTop w:val="0"/>
          <w:marBottom w:val="0"/>
          <w:divBdr>
            <w:top w:val="none" w:sz="0" w:space="0" w:color="auto"/>
            <w:left w:val="none" w:sz="0" w:space="0" w:color="auto"/>
            <w:bottom w:val="none" w:sz="0" w:space="0" w:color="auto"/>
            <w:right w:val="none" w:sz="0" w:space="0" w:color="auto"/>
          </w:divBdr>
          <w:divsChild>
            <w:div w:id="106391466">
              <w:marLeft w:val="0"/>
              <w:marRight w:val="0"/>
              <w:marTop w:val="0"/>
              <w:marBottom w:val="0"/>
              <w:divBdr>
                <w:top w:val="none" w:sz="0" w:space="0" w:color="auto"/>
                <w:left w:val="none" w:sz="0" w:space="0" w:color="auto"/>
                <w:bottom w:val="none" w:sz="0" w:space="0" w:color="auto"/>
                <w:right w:val="none" w:sz="0" w:space="0" w:color="auto"/>
              </w:divBdr>
            </w:div>
          </w:divsChild>
        </w:div>
        <w:div w:id="2142458838">
          <w:marLeft w:val="0"/>
          <w:marRight w:val="0"/>
          <w:marTop w:val="0"/>
          <w:marBottom w:val="0"/>
          <w:divBdr>
            <w:top w:val="none" w:sz="0" w:space="0" w:color="auto"/>
            <w:left w:val="none" w:sz="0" w:space="0" w:color="auto"/>
            <w:bottom w:val="none" w:sz="0" w:space="0" w:color="auto"/>
            <w:right w:val="none" w:sz="0" w:space="0" w:color="auto"/>
          </w:divBdr>
          <w:divsChild>
            <w:div w:id="1064521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1999070">
      <w:bodyDiv w:val="1"/>
      <w:marLeft w:val="0"/>
      <w:marRight w:val="0"/>
      <w:marTop w:val="0"/>
      <w:marBottom w:val="0"/>
      <w:divBdr>
        <w:top w:val="none" w:sz="0" w:space="0" w:color="auto"/>
        <w:left w:val="none" w:sz="0" w:space="0" w:color="auto"/>
        <w:bottom w:val="none" w:sz="0" w:space="0" w:color="auto"/>
        <w:right w:val="none" w:sz="0" w:space="0" w:color="auto"/>
      </w:divBdr>
    </w:div>
    <w:div w:id="482433062">
      <w:bodyDiv w:val="1"/>
      <w:marLeft w:val="0"/>
      <w:marRight w:val="0"/>
      <w:marTop w:val="0"/>
      <w:marBottom w:val="0"/>
      <w:divBdr>
        <w:top w:val="none" w:sz="0" w:space="0" w:color="auto"/>
        <w:left w:val="none" w:sz="0" w:space="0" w:color="auto"/>
        <w:bottom w:val="none" w:sz="0" w:space="0" w:color="auto"/>
        <w:right w:val="none" w:sz="0" w:space="0" w:color="auto"/>
      </w:divBdr>
    </w:div>
    <w:div w:id="567347233">
      <w:bodyDiv w:val="1"/>
      <w:marLeft w:val="0"/>
      <w:marRight w:val="0"/>
      <w:marTop w:val="0"/>
      <w:marBottom w:val="0"/>
      <w:divBdr>
        <w:top w:val="none" w:sz="0" w:space="0" w:color="auto"/>
        <w:left w:val="none" w:sz="0" w:space="0" w:color="auto"/>
        <w:bottom w:val="none" w:sz="0" w:space="0" w:color="auto"/>
        <w:right w:val="none" w:sz="0" w:space="0" w:color="auto"/>
      </w:divBdr>
    </w:div>
    <w:div w:id="616906762">
      <w:bodyDiv w:val="1"/>
      <w:marLeft w:val="0"/>
      <w:marRight w:val="0"/>
      <w:marTop w:val="0"/>
      <w:marBottom w:val="0"/>
      <w:divBdr>
        <w:top w:val="none" w:sz="0" w:space="0" w:color="auto"/>
        <w:left w:val="none" w:sz="0" w:space="0" w:color="auto"/>
        <w:bottom w:val="none" w:sz="0" w:space="0" w:color="auto"/>
        <w:right w:val="none" w:sz="0" w:space="0" w:color="auto"/>
      </w:divBdr>
    </w:div>
    <w:div w:id="712509635">
      <w:bodyDiv w:val="1"/>
      <w:marLeft w:val="0"/>
      <w:marRight w:val="0"/>
      <w:marTop w:val="0"/>
      <w:marBottom w:val="0"/>
      <w:divBdr>
        <w:top w:val="none" w:sz="0" w:space="0" w:color="auto"/>
        <w:left w:val="none" w:sz="0" w:space="0" w:color="auto"/>
        <w:bottom w:val="none" w:sz="0" w:space="0" w:color="auto"/>
        <w:right w:val="none" w:sz="0" w:space="0" w:color="auto"/>
      </w:divBdr>
    </w:div>
    <w:div w:id="765002503">
      <w:bodyDiv w:val="1"/>
      <w:marLeft w:val="0"/>
      <w:marRight w:val="0"/>
      <w:marTop w:val="0"/>
      <w:marBottom w:val="0"/>
      <w:divBdr>
        <w:top w:val="none" w:sz="0" w:space="0" w:color="auto"/>
        <w:left w:val="none" w:sz="0" w:space="0" w:color="auto"/>
        <w:bottom w:val="none" w:sz="0" w:space="0" w:color="auto"/>
        <w:right w:val="none" w:sz="0" w:space="0" w:color="auto"/>
      </w:divBdr>
    </w:div>
    <w:div w:id="919293552">
      <w:bodyDiv w:val="1"/>
      <w:marLeft w:val="0"/>
      <w:marRight w:val="0"/>
      <w:marTop w:val="0"/>
      <w:marBottom w:val="0"/>
      <w:divBdr>
        <w:top w:val="none" w:sz="0" w:space="0" w:color="auto"/>
        <w:left w:val="none" w:sz="0" w:space="0" w:color="auto"/>
        <w:bottom w:val="none" w:sz="0" w:space="0" w:color="auto"/>
        <w:right w:val="none" w:sz="0" w:space="0" w:color="auto"/>
      </w:divBdr>
      <w:divsChild>
        <w:div w:id="1008682013">
          <w:marLeft w:val="274"/>
          <w:marRight w:val="0"/>
          <w:marTop w:val="0"/>
          <w:marBottom w:val="0"/>
          <w:divBdr>
            <w:top w:val="none" w:sz="0" w:space="0" w:color="auto"/>
            <w:left w:val="none" w:sz="0" w:space="0" w:color="auto"/>
            <w:bottom w:val="none" w:sz="0" w:space="0" w:color="auto"/>
            <w:right w:val="none" w:sz="0" w:space="0" w:color="auto"/>
          </w:divBdr>
        </w:div>
        <w:div w:id="1375547140">
          <w:marLeft w:val="274"/>
          <w:marRight w:val="0"/>
          <w:marTop w:val="0"/>
          <w:marBottom w:val="0"/>
          <w:divBdr>
            <w:top w:val="none" w:sz="0" w:space="0" w:color="auto"/>
            <w:left w:val="none" w:sz="0" w:space="0" w:color="auto"/>
            <w:bottom w:val="none" w:sz="0" w:space="0" w:color="auto"/>
            <w:right w:val="none" w:sz="0" w:space="0" w:color="auto"/>
          </w:divBdr>
        </w:div>
      </w:divsChild>
    </w:div>
    <w:div w:id="1026177456">
      <w:bodyDiv w:val="1"/>
      <w:marLeft w:val="0"/>
      <w:marRight w:val="0"/>
      <w:marTop w:val="0"/>
      <w:marBottom w:val="0"/>
      <w:divBdr>
        <w:top w:val="none" w:sz="0" w:space="0" w:color="auto"/>
        <w:left w:val="none" w:sz="0" w:space="0" w:color="auto"/>
        <w:bottom w:val="none" w:sz="0" w:space="0" w:color="auto"/>
        <w:right w:val="none" w:sz="0" w:space="0" w:color="auto"/>
      </w:divBdr>
      <w:divsChild>
        <w:div w:id="334768632">
          <w:marLeft w:val="0"/>
          <w:marRight w:val="0"/>
          <w:marTop w:val="0"/>
          <w:marBottom w:val="0"/>
          <w:divBdr>
            <w:top w:val="none" w:sz="0" w:space="0" w:color="auto"/>
            <w:left w:val="none" w:sz="0" w:space="0" w:color="auto"/>
            <w:bottom w:val="none" w:sz="0" w:space="0" w:color="auto"/>
            <w:right w:val="none" w:sz="0" w:space="0" w:color="auto"/>
          </w:divBdr>
        </w:div>
        <w:div w:id="450129335">
          <w:marLeft w:val="0"/>
          <w:marRight w:val="0"/>
          <w:marTop w:val="0"/>
          <w:marBottom w:val="0"/>
          <w:divBdr>
            <w:top w:val="none" w:sz="0" w:space="0" w:color="auto"/>
            <w:left w:val="none" w:sz="0" w:space="0" w:color="auto"/>
            <w:bottom w:val="none" w:sz="0" w:space="0" w:color="auto"/>
            <w:right w:val="none" w:sz="0" w:space="0" w:color="auto"/>
          </w:divBdr>
        </w:div>
      </w:divsChild>
    </w:div>
    <w:div w:id="1064372228">
      <w:bodyDiv w:val="1"/>
      <w:marLeft w:val="0"/>
      <w:marRight w:val="0"/>
      <w:marTop w:val="0"/>
      <w:marBottom w:val="0"/>
      <w:divBdr>
        <w:top w:val="none" w:sz="0" w:space="0" w:color="auto"/>
        <w:left w:val="none" w:sz="0" w:space="0" w:color="auto"/>
        <w:bottom w:val="none" w:sz="0" w:space="0" w:color="auto"/>
        <w:right w:val="none" w:sz="0" w:space="0" w:color="auto"/>
      </w:divBdr>
      <w:divsChild>
        <w:div w:id="1074274812">
          <w:marLeft w:val="0"/>
          <w:marRight w:val="0"/>
          <w:marTop w:val="0"/>
          <w:marBottom w:val="0"/>
          <w:divBdr>
            <w:top w:val="none" w:sz="0" w:space="0" w:color="auto"/>
            <w:left w:val="none" w:sz="0" w:space="0" w:color="auto"/>
            <w:bottom w:val="none" w:sz="0" w:space="0" w:color="auto"/>
            <w:right w:val="none" w:sz="0" w:space="0" w:color="auto"/>
          </w:divBdr>
          <w:divsChild>
            <w:div w:id="20402844">
              <w:marLeft w:val="0"/>
              <w:marRight w:val="0"/>
              <w:marTop w:val="0"/>
              <w:marBottom w:val="0"/>
              <w:divBdr>
                <w:top w:val="none" w:sz="0" w:space="0" w:color="auto"/>
                <w:left w:val="none" w:sz="0" w:space="0" w:color="auto"/>
                <w:bottom w:val="none" w:sz="0" w:space="0" w:color="auto"/>
                <w:right w:val="none" w:sz="0" w:space="0" w:color="auto"/>
              </w:divBdr>
            </w:div>
            <w:div w:id="86969268">
              <w:marLeft w:val="0"/>
              <w:marRight w:val="0"/>
              <w:marTop w:val="0"/>
              <w:marBottom w:val="0"/>
              <w:divBdr>
                <w:top w:val="none" w:sz="0" w:space="0" w:color="auto"/>
                <w:left w:val="none" w:sz="0" w:space="0" w:color="auto"/>
                <w:bottom w:val="none" w:sz="0" w:space="0" w:color="auto"/>
                <w:right w:val="none" w:sz="0" w:space="0" w:color="auto"/>
              </w:divBdr>
            </w:div>
            <w:div w:id="91122644">
              <w:marLeft w:val="0"/>
              <w:marRight w:val="0"/>
              <w:marTop w:val="0"/>
              <w:marBottom w:val="0"/>
              <w:divBdr>
                <w:top w:val="none" w:sz="0" w:space="0" w:color="auto"/>
                <w:left w:val="none" w:sz="0" w:space="0" w:color="auto"/>
                <w:bottom w:val="none" w:sz="0" w:space="0" w:color="auto"/>
                <w:right w:val="none" w:sz="0" w:space="0" w:color="auto"/>
              </w:divBdr>
            </w:div>
            <w:div w:id="324473676">
              <w:marLeft w:val="0"/>
              <w:marRight w:val="0"/>
              <w:marTop w:val="0"/>
              <w:marBottom w:val="0"/>
              <w:divBdr>
                <w:top w:val="none" w:sz="0" w:space="0" w:color="auto"/>
                <w:left w:val="none" w:sz="0" w:space="0" w:color="auto"/>
                <w:bottom w:val="none" w:sz="0" w:space="0" w:color="auto"/>
                <w:right w:val="none" w:sz="0" w:space="0" w:color="auto"/>
              </w:divBdr>
            </w:div>
            <w:div w:id="352457458">
              <w:marLeft w:val="0"/>
              <w:marRight w:val="0"/>
              <w:marTop w:val="0"/>
              <w:marBottom w:val="0"/>
              <w:divBdr>
                <w:top w:val="none" w:sz="0" w:space="0" w:color="auto"/>
                <w:left w:val="none" w:sz="0" w:space="0" w:color="auto"/>
                <w:bottom w:val="none" w:sz="0" w:space="0" w:color="auto"/>
                <w:right w:val="none" w:sz="0" w:space="0" w:color="auto"/>
              </w:divBdr>
            </w:div>
            <w:div w:id="529074176">
              <w:marLeft w:val="0"/>
              <w:marRight w:val="0"/>
              <w:marTop w:val="0"/>
              <w:marBottom w:val="0"/>
              <w:divBdr>
                <w:top w:val="none" w:sz="0" w:space="0" w:color="auto"/>
                <w:left w:val="none" w:sz="0" w:space="0" w:color="auto"/>
                <w:bottom w:val="none" w:sz="0" w:space="0" w:color="auto"/>
                <w:right w:val="none" w:sz="0" w:space="0" w:color="auto"/>
              </w:divBdr>
            </w:div>
            <w:div w:id="579604864">
              <w:marLeft w:val="0"/>
              <w:marRight w:val="0"/>
              <w:marTop w:val="0"/>
              <w:marBottom w:val="0"/>
              <w:divBdr>
                <w:top w:val="none" w:sz="0" w:space="0" w:color="auto"/>
                <w:left w:val="none" w:sz="0" w:space="0" w:color="auto"/>
                <w:bottom w:val="none" w:sz="0" w:space="0" w:color="auto"/>
                <w:right w:val="none" w:sz="0" w:space="0" w:color="auto"/>
              </w:divBdr>
            </w:div>
            <w:div w:id="653145565">
              <w:marLeft w:val="0"/>
              <w:marRight w:val="0"/>
              <w:marTop w:val="0"/>
              <w:marBottom w:val="0"/>
              <w:divBdr>
                <w:top w:val="none" w:sz="0" w:space="0" w:color="auto"/>
                <w:left w:val="none" w:sz="0" w:space="0" w:color="auto"/>
                <w:bottom w:val="none" w:sz="0" w:space="0" w:color="auto"/>
                <w:right w:val="none" w:sz="0" w:space="0" w:color="auto"/>
              </w:divBdr>
            </w:div>
            <w:div w:id="1166625637">
              <w:marLeft w:val="0"/>
              <w:marRight w:val="0"/>
              <w:marTop w:val="0"/>
              <w:marBottom w:val="0"/>
              <w:divBdr>
                <w:top w:val="none" w:sz="0" w:space="0" w:color="auto"/>
                <w:left w:val="none" w:sz="0" w:space="0" w:color="auto"/>
                <w:bottom w:val="none" w:sz="0" w:space="0" w:color="auto"/>
                <w:right w:val="none" w:sz="0" w:space="0" w:color="auto"/>
              </w:divBdr>
            </w:div>
            <w:div w:id="1316185549">
              <w:marLeft w:val="0"/>
              <w:marRight w:val="0"/>
              <w:marTop w:val="0"/>
              <w:marBottom w:val="0"/>
              <w:divBdr>
                <w:top w:val="none" w:sz="0" w:space="0" w:color="auto"/>
                <w:left w:val="none" w:sz="0" w:space="0" w:color="auto"/>
                <w:bottom w:val="none" w:sz="0" w:space="0" w:color="auto"/>
                <w:right w:val="none" w:sz="0" w:space="0" w:color="auto"/>
              </w:divBdr>
            </w:div>
            <w:div w:id="1337343554">
              <w:marLeft w:val="0"/>
              <w:marRight w:val="0"/>
              <w:marTop w:val="0"/>
              <w:marBottom w:val="0"/>
              <w:divBdr>
                <w:top w:val="none" w:sz="0" w:space="0" w:color="auto"/>
                <w:left w:val="none" w:sz="0" w:space="0" w:color="auto"/>
                <w:bottom w:val="none" w:sz="0" w:space="0" w:color="auto"/>
                <w:right w:val="none" w:sz="0" w:space="0" w:color="auto"/>
              </w:divBdr>
            </w:div>
            <w:div w:id="1429698191">
              <w:marLeft w:val="0"/>
              <w:marRight w:val="0"/>
              <w:marTop w:val="0"/>
              <w:marBottom w:val="0"/>
              <w:divBdr>
                <w:top w:val="none" w:sz="0" w:space="0" w:color="auto"/>
                <w:left w:val="none" w:sz="0" w:space="0" w:color="auto"/>
                <w:bottom w:val="none" w:sz="0" w:space="0" w:color="auto"/>
                <w:right w:val="none" w:sz="0" w:space="0" w:color="auto"/>
              </w:divBdr>
            </w:div>
            <w:div w:id="1649818274">
              <w:marLeft w:val="0"/>
              <w:marRight w:val="0"/>
              <w:marTop w:val="0"/>
              <w:marBottom w:val="0"/>
              <w:divBdr>
                <w:top w:val="none" w:sz="0" w:space="0" w:color="auto"/>
                <w:left w:val="none" w:sz="0" w:space="0" w:color="auto"/>
                <w:bottom w:val="none" w:sz="0" w:space="0" w:color="auto"/>
                <w:right w:val="none" w:sz="0" w:space="0" w:color="auto"/>
              </w:divBdr>
            </w:div>
            <w:div w:id="2057270194">
              <w:marLeft w:val="0"/>
              <w:marRight w:val="0"/>
              <w:marTop w:val="0"/>
              <w:marBottom w:val="0"/>
              <w:divBdr>
                <w:top w:val="none" w:sz="0" w:space="0" w:color="auto"/>
                <w:left w:val="none" w:sz="0" w:space="0" w:color="auto"/>
                <w:bottom w:val="none" w:sz="0" w:space="0" w:color="auto"/>
                <w:right w:val="none" w:sz="0" w:space="0" w:color="auto"/>
              </w:divBdr>
            </w:div>
            <w:div w:id="2087994755">
              <w:marLeft w:val="0"/>
              <w:marRight w:val="0"/>
              <w:marTop w:val="0"/>
              <w:marBottom w:val="0"/>
              <w:divBdr>
                <w:top w:val="none" w:sz="0" w:space="0" w:color="auto"/>
                <w:left w:val="none" w:sz="0" w:space="0" w:color="auto"/>
                <w:bottom w:val="none" w:sz="0" w:space="0" w:color="auto"/>
                <w:right w:val="none" w:sz="0" w:space="0" w:color="auto"/>
              </w:divBdr>
            </w:div>
          </w:divsChild>
        </w:div>
        <w:div w:id="1184397941">
          <w:marLeft w:val="0"/>
          <w:marRight w:val="0"/>
          <w:marTop w:val="0"/>
          <w:marBottom w:val="0"/>
          <w:divBdr>
            <w:top w:val="none" w:sz="0" w:space="0" w:color="auto"/>
            <w:left w:val="none" w:sz="0" w:space="0" w:color="auto"/>
            <w:bottom w:val="none" w:sz="0" w:space="0" w:color="auto"/>
            <w:right w:val="none" w:sz="0" w:space="0" w:color="auto"/>
          </w:divBdr>
          <w:divsChild>
            <w:div w:id="139730578">
              <w:marLeft w:val="0"/>
              <w:marRight w:val="0"/>
              <w:marTop w:val="0"/>
              <w:marBottom w:val="0"/>
              <w:divBdr>
                <w:top w:val="none" w:sz="0" w:space="0" w:color="auto"/>
                <w:left w:val="none" w:sz="0" w:space="0" w:color="auto"/>
                <w:bottom w:val="none" w:sz="0" w:space="0" w:color="auto"/>
                <w:right w:val="none" w:sz="0" w:space="0" w:color="auto"/>
              </w:divBdr>
            </w:div>
            <w:div w:id="890380099">
              <w:marLeft w:val="0"/>
              <w:marRight w:val="0"/>
              <w:marTop w:val="0"/>
              <w:marBottom w:val="0"/>
              <w:divBdr>
                <w:top w:val="none" w:sz="0" w:space="0" w:color="auto"/>
                <w:left w:val="none" w:sz="0" w:space="0" w:color="auto"/>
                <w:bottom w:val="none" w:sz="0" w:space="0" w:color="auto"/>
                <w:right w:val="none" w:sz="0" w:space="0" w:color="auto"/>
              </w:divBdr>
            </w:div>
            <w:div w:id="1370299762">
              <w:marLeft w:val="0"/>
              <w:marRight w:val="0"/>
              <w:marTop w:val="0"/>
              <w:marBottom w:val="0"/>
              <w:divBdr>
                <w:top w:val="none" w:sz="0" w:space="0" w:color="auto"/>
                <w:left w:val="none" w:sz="0" w:space="0" w:color="auto"/>
                <w:bottom w:val="none" w:sz="0" w:space="0" w:color="auto"/>
                <w:right w:val="none" w:sz="0" w:space="0" w:color="auto"/>
              </w:divBdr>
            </w:div>
            <w:div w:id="1630435342">
              <w:marLeft w:val="0"/>
              <w:marRight w:val="0"/>
              <w:marTop w:val="0"/>
              <w:marBottom w:val="0"/>
              <w:divBdr>
                <w:top w:val="none" w:sz="0" w:space="0" w:color="auto"/>
                <w:left w:val="none" w:sz="0" w:space="0" w:color="auto"/>
                <w:bottom w:val="none" w:sz="0" w:space="0" w:color="auto"/>
                <w:right w:val="none" w:sz="0" w:space="0" w:color="auto"/>
              </w:divBdr>
            </w:div>
            <w:div w:id="2068186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0225396">
      <w:bodyDiv w:val="1"/>
      <w:marLeft w:val="0"/>
      <w:marRight w:val="0"/>
      <w:marTop w:val="0"/>
      <w:marBottom w:val="0"/>
      <w:divBdr>
        <w:top w:val="none" w:sz="0" w:space="0" w:color="auto"/>
        <w:left w:val="none" w:sz="0" w:space="0" w:color="auto"/>
        <w:bottom w:val="none" w:sz="0" w:space="0" w:color="auto"/>
        <w:right w:val="none" w:sz="0" w:space="0" w:color="auto"/>
      </w:divBdr>
    </w:div>
    <w:div w:id="1149975596">
      <w:bodyDiv w:val="1"/>
      <w:marLeft w:val="0"/>
      <w:marRight w:val="0"/>
      <w:marTop w:val="0"/>
      <w:marBottom w:val="0"/>
      <w:divBdr>
        <w:top w:val="none" w:sz="0" w:space="0" w:color="auto"/>
        <w:left w:val="none" w:sz="0" w:space="0" w:color="auto"/>
        <w:bottom w:val="none" w:sz="0" w:space="0" w:color="auto"/>
        <w:right w:val="none" w:sz="0" w:space="0" w:color="auto"/>
      </w:divBdr>
    </w:div>
    <w:div w:id="1162237889">
      <w:bodyDiv w:val="1"/>
      <w:marLeft w:val="0"/>
      <w:marRight w:val="0"/>
      <w:marTop w:val="0"/>
      <w:marBottom w:val="0"/>
      <w:divBdr>
        <w:top w:val="none" w:sz="0" w:space="0" w:color="auto"/>
        <w:left w:val="none" w:sz="0" w:space="0" w:color="auto"/>
        <w:bottom w:val="none" w:sz="0" w:space="0" w:color="auto"/>
        <w:right w:val="none" w:sz="0" w:space="0" w:color="auto"/>
      </w:divBdr>
      <w:divsChild>
        <w:div w:id="24404708">
          <w:marLeft w:val="0"/>
          <w:marRight w:val="0"/>
          <w:marTop w:val="0"/>
          <w:marBottom w:val="0"/>
          <w:divBdr>
            <w:top w:val="none" w:sz="0" w:space="0" w:color="auto"/>
            <w:left w:val="none" w:sz="0" w:space="0" w:color="auto"/>
            <w:bottom w:val="none" w:sz="0" w:space="0" w:color="auto"/>
            <w:right w:val="none" w:sz="0" w:space="0" w:color="auto"/>
          </w:divBdr>
          <w:divsChild>
            <w:div w:id="922836295">
              <w:marLeft w:val="0"/>
              <w:marRight w:val="0"/>
              <w:marTop w:val="0"/>
              <w:marBottom w:val="0"/>
              <w:divBdr>
                <w:top w:val="none" w:sz="0" w:space="0" w:color="auto"/>
                <w:left w:val="none" w:sz="0" w:space="0" w:color="auto"/>
                <w:bottom w:val="none" w:sz="0" w:space="0" w:color="auto"/>
                <w:right w:val="none" w:sz="0" w:space="0" w:color="auto"/>
              </w:divBdr>
            </w:div>
          </w:divsChild>
        </w:div>
        <w:div w:id="42557774">
          <w:marLeft w:val="0"/>
          <w:marRight w:val="0"/>
          <w:marTop w:val="0"/>
          <w:marBottom w:val="0"/>
          <w:divBdr>
            <w:top w:val="none" w:sz="0" w:space="0" w:color="auto"/>
            <w:left w:val="none" w:sz="0" w:space="0" w:color="auto"/>
            <w:bottom w:val="none" w:sz="0" w:space="0" w:color="auto"/>
            <w:right w:val="none" w:sz="0" w:space="0" w:color="auto"/>
          </w:divBdr>
          <w:divsChild>
            <w:div w:id="1445036004">
              <w:marLeft w:val="0"/>
              <w:marRight w:val="0"/>
              <w:marTop w:val="0"/>
              <w:marBottom w:val="0"/>
              <w:divBdr>
                <w:top w:val="none" w:sz="0" w:space="0" w:color="auto"/>
                <w:left w:val="none" w:sz="0" w:space="0" w:color="auto"/>
                <w:bottom w:val="none" w:sz="0" w:space="0" w:color="auto"/>
                <w:right w:val="none" w:sz="0" w:space="0" w:color="auto"/>
              </w:divBdr>
            </w:div>
          </w:divsChild>
        </w:div>
        <w:div w:id="81072667">
          <w:marLeft w:val="0"/>
          <w:marRight w:val="0"/>
          <w:marTop w:val="0"/>
          <w:marBottom w:val="0"/>
          <w:divBdr>
            <w:top w:val="none" w:sz="0" w:space="0" w:color="auto"/>
            <w:left w:val="none" w:sz="0" w:space="0" w:color="auto"/>
            <w:bottom w:val="none" w:sz="0" w:space="0" w:color="auto"/>
            <w:right w:val="none" w:sz="0" w:space="0" w:color="auto"/>
          </w:divBdr>
          <w:divsChild>
            <w:div w:id="589779657">
              <w:marLeft w:val="0"/>
              <w:marRight w:val="0"/>
              <w:marTop w:val="0"/>
              <w:marBottom w:val="0"/>
              <w:divBdr>
                <w:top w:val="none" w:sz="0" w:space="0" w:color="auto"/>
                <w:left w:val="none" w:sz="0" w:space="0" w:color="auto"/>
                <w:bottom w:val="none" w:sz="0" w:space="0" w:color="auto"/>
                <w:right w:val="none" w:sz="0" w:space="0" w:color="auto"/>
              </w:divBdr>
            </w:div>
          </w:divsChild>
        </w:div>
        <w:div w:id="122775383">
          <w:marLeft w:val="0"/>
          <w:marRight w:val="0"/>
          <w:marTop w:val="0"/>
          <w:marBottom w:val="0"/>
          <w:divBdr>
            <w:top w:val="none" w:sz="0" w:space="0" w:color="auto"/>
            <w:left w:val="none" w:sz="0" w:space="0" w:color="auto"/>
            <w:bottom w:val="none" w:sz="0" w:space="0" w:color="auto"/>
            <w:right w:val="none" w:sz="0" w:space="0" w:color="auto"/>
          </w:divBdr>
          <w:divsChild>
            <w:div w:id="1627934095">
              <w:marLeft w:val="0"/>
              <w:marRight w:val="0"/>
              <w:marTop w:val="0"/>
              <w:marBottom w:val="0"/>
              <w:divBdr>
                <w:top w:val="none" w:sz="0" w:space="0" w:color="auto"/>
                <w:left w:val="none" w:sz="0" w:space="0" w:color="auto"/>
                <w:bottom w:val="none" w:sz="0" w:space="0" w:color="auto"/>
                <w:right w:val="none" w:sz="0" w:space="0" w:color="auto"/>
              </w:divBdr>
            </w:div>
          </w:divsChild>
        </w:div>
        <w:div w:id="139074878">
          <w:marLeft w:val="0"/>
          <w:marRight w:val="0"/>
          <w:marTop w:val="0"/>
          <w:marBottom w:val="0"/>
          <w:divBdr>
            <w:top w:val="none" w:sz="0" w:space="0" w:color="auto"/>
            <w:left w:val="none" w:sz="0" w:space="0" w:color="auto"/>
            <w:bottom w:val="none" w:sz="0" w:space="0" w:color="auto"/>
            <w:right w:val="none" w:sz="0" w:space="0" w:color="auto"/>
          </w:divBdr>
          <w:divsChild>
            <w:div w:id="983848773">
              <w:marLeft w:val="0"/>
              <w:marRight w:val="0"/>
              <w:marTop w:val="0"/>
              <w:marBottom w:val="0"/>
              <w:divBdr>
                <w:top w:val="none" w:sz="0" w:space="0" w:color="auto"/>
                <w:left w:val="none" w:sz="0" w:space="0" w:color="auto"/>
                <w:bottom w:val="none" w:sz="0" w:space="0" w:color="auto"/>
                <w:right w:val="none" w:sz="0" w:space="0" w:color="auto"/>
              </w:divBdr>
            </w:div>
          </w:divsChild>
        </w:div>
        <w:div w:id="141969492">
          <w:marLeft w:val="0"/>
          <w:marRight w:val="0"/>
          <w:marTop w:val="0"/>
          <w:marBottom w:val="0"/>
          <w:divBdr>
            <w:top w:val="none" w:sz="0" w:space="0" w:color="auto"/>
            <w:left w:val="none" w:sz="0" w:space="0" w:color="auto"/>
            <w:bottom w:val="none" w:sz="0" w:space="0" w:color="auto"/>
            <w:right w:val="none" w:sz="0" w:space="0" w:color="auto"/>
          </w:divBdr>
          <w:divsChild>
            <w:div w:id="1737123847">
              <w:marLeft w:val="0"/>
              <w:marRight w:val="0"/>
              <w:marTop w:val="0"/>
              <w:marBottom w:val="0"/>
              <w:divBdr>
                <w:top w:val="none" w:sz="0" w:space="0" w:color="auto"/>
                <w:left w:val="none" w:sz="0" w:space="0" w:color="auto"/>
                <w:bottom w:val="none" w:sz="0" w:space="0" w:color="auto"/>
                <w:right w:val="none" w:sz="0" w:space="0" w:color="auto"/>
              </w:divBdr>
            </w:div>
          </w:divsChild>
        </w:div>
        <w:div w:id="184251950">
          <w:marLeft w:val="0"/>
          <w:marRight w:val="0"/>
          <w:marTop w:val="0"/>
          <w:marBottom w:val="0"/>
          <w:divBdr>
            <w:top w:val="none" w:sz="0" w:space="0" w:color="auto"/>
            <w:left w:val="none" w:sz="0" w:space="0" w:color="auto"/>
            <w:bottom w:val="none" w:sz="0" w:space="0" w:color="auto"/>
            <w:right w:val="none" w:sz="0" w:space="0" w:color="auto"/>
          </w:divBdr>
          <w:divsChild>
            <w:div w:id="17397265">
              <w:marLeft w:val="0"/>
              <w:marRight w:val="0"/>
              <w:marTop w:val="0"/>
              <w:marBottom w:val="0"/>
              <w:divBdr>
                <w:top w:val="none" w:sz="0" w:space="0" w:color="auto"/>
                <w:left w:val="none" w:sz="0" w:space="0" w:color="auto"/>
                <w:bottom w:val="none" w:sz="0" w:space="0" w:color="auto"/>
                <w:right w:val="none" w:sz="0" w:space="0" w:color="auto"/>
              </w:divBdr>
            </w:div>
          </w:divsChild>
        </w:div>
        <w:div w:id="229538485">
          <w:marLeft w:val="0"/>
          <w:marRight w:val="0"/>
          <w:marTop w:val="0"/>
          <w:marBottom w:val="0"/>
          <w:divBdr>
            <w:top w:val="none" w:sz="0" w:space="0" w:color="auto"/>
            <w:left w:val="none" w:sz="0" w:space="0" w:color="auto"/>
            <w:bottom w:val="none" w:sz="0" w:space="0" w:color="auto"/>
            <w:right w:val="none" w:sz="0" w:space="0" w:color="auto"/>
          </w:divBdr>
          <w:divsChild>
            <w:div w:id="867060385">
              <w:marLeft w:val="0"/>
              <w:marRight w:val="0"/>
              <w:marTop w:val="0"/>
              <w:marBottom w:val="0"/>
              <w:divBdr>
                <w:top w:val="none" w:sz="0" w:space="0" w:color="auto"/>
                <w:left w:val="none" w:sz="0" w:space="0" w:color="auto"/>
                <w:bottom w:val="none" w:sz="0" w:space="0" w:color="auto"/>
                <w:right w:val="none" w:sz="0" w:space="0" w:color="auto"/>
              </w:divBdr>
            </w:div>
          </w:divsChild>
        </w:div>
        <w:div w:id="251400342">
          <w:marLeft w:val="0"/>
          <w:marRight w:val="0"/>
          <w:marTop w:val="0"/>
          <w:marBottom w:val="0"/>
          <w:divBdr>
            <w:top w:val="none" w:sz="0" w:space="0" w:color="auto"/>
            <w:left w:val="none" w:sz="0" w:space="0" w:color="auto"/>
            <w:bottom w:val="none" w:sz="0" w:space="0" w:color="auto"/>
            <w:right w:val="none" w:sz="0" w:space="0" w:color="auto"/>
          </w:divBdr>
          <w:divsChild>
            <w:div w:id="361051840">
              <w:marLeft w:val="0"/>
              <w:marRight w:val="0"/>
              <w:marTop w:val="0"/>
              <w:marBottom w:val="0"/>
              <w:divBdr>
                <w:top w:val="none" w:sz="0" w:space="0" w:color="auto"/>
                <w:left w:val="none" w:sz="0" w:space="0" w:color="auto"/>
                <w:bottom w:val="none" w:sz="0" w:space="0" w:color="auto"/>
                <w:right w:val="none" w:sz="0" w:space="0" w:color="auto"/>
              </w:divBdr>
            </w:div>
          </w:divsChild>
        </w:div>
        <w:div w:id="323707178">
          <w:marLeft w:val="0"/>
          <w:marRight w:val="0"/>
          <w:marTop w:val="0"/>
          <w:marBottom w:val="0"/>
          <w:divBdr>
            <w:top w:val="none" w:sz="0" w:space="0" w:color="auto"/>
            <w:left w:val="none" w:sz="0" w:space="0" w:color="auto"/>
            <w:bottom w:val="none" w:sz="0" w:space="0" w:color="auto"/>
            <w:right w:val="none" w:sz="0" w:space="0" w:color="auto"/>
          </w:divBdr>
          <w:divsChild>
            <w:div w:id="72628388">
              <w:marLeft w:val="0"/>
              <w:marRight w:val="0"/>
              <w:marTop w:val="0"/>
              <w:marBottom w:val="0"/>
              <w:divBdr>
                <w:top w:val="none" w:sz="0" w:space="0" w:color="auto"/>
                <w:left w:val="none" w:sz="0" w:space="0" w:color="auto"/>
                <w:bottom w:val="none" w:sz="0" w:space="0" w:color="auto"/>
                <w:right w:val="none" w:sz="0" w:space="0" w:color="auto"/>
              </w:divBdr>
            </w:div>
          </w:divsChild>
        </w:div>
        <w:div w:id="338117405">
          <w:marLeft w:val="0"/>
          <w:marRight w:val="0"/>
          <w:marTop w:val="0"/>
          <w:marBottom w:val="0"/>
          <w:divBdr>
            <w:top w:val="none" w:sz="0" w:space="0" w:color="auto"/>
            <w:left w:val="none" w:sz="0" w:space="0" w:color="auto"/>
            <w:bottom w:val="none" w:sz="0" w:space="0" w:color="auto"/>
            <w:right w:val="none" w:sz="0" w:space="0" w:color="auto"/>
          </w:divBdr>
          <w:divsChild>
            <w:div w:id="1336803709">
              <w:marLeft w:val="0"/>
              <w:marRight w:val="0"/>
              <w:marTop w:val="0"/>
              <w:marBottom w:val="0"/>
              <w:divBdr>
                <w:top w:val="none" w:sz="0" w:space="0" w:color="auto"/>
                <w:left w:val="none" w:sz="0" w:space="0" w:color="auto"/>
                <w:bottom w:val="none" w:sz="0" w:space="0" w:color="auto"/>
                <w:right w:val="none" w:sz="0" w:space="0" w:color="auto"/>
              </w:divBdr>
            </w:div>
          </w:divsChild>
        </w:div>
        <w:div w:id="344207788">
          <w:marLeft w:val="0"/>
          <w:marRight w:val="0"/>
          <w:marTop w:val="0"/>
          <w:marBottom w:val="0"/>
          <w:divBdr>
            <w:top w:val="none" w:sz="0" w:space="0" w:color="auto"/>
            <w:left w:val="none" w:sz="0" w:space="0" w:color="auto"/>
            <w:bottom w:val="none" w:sz="0" w:space="0" w:color="auto"/>
            <w:right w:val="none" w:sz="0" w:space="0" w:color="auto"/>
          </w:divBdr>
          <w:divsChild>
            <w:div w:id="1931893740">
              <w:marLeft w:val="0"/>
              <w:marRight w:val="0"/>
              <w:marTop w:val="0"/>
              <w:marBottom w:val="0"/>
              <w:divBdr>
                <w:top w:val="none" w:sz="0" w:space="0" w:color="auto"/>
                <w:left w:val="none" w:sz="0" w:space="0" w:color="auto"/>
                <w:bottom w:val="none" w:sz="0" w:space="0" w:color="auto"/>
                <w:right w:val="none" w:sz="0" w:space="0" w:color="auto"/>
              </w:divBdr>
            </w:div>
          </w:divsChild>
        </w:div>
        <w:div w:id="361593470">
          <w:marLeft w:val="0"/>
          <w:marRight w:val="0"/>
          <w:marTop w:val="0"/>
          <w:marBottom w:val="0"/>
          <w:divBdr>
            <w:top w:val="none" w:sz="0" w:space="0" w:color="auto"/>
            <w:left w:val="none" w:sz="0" w:space="0" w:color="auto"/>
            <w:bottom w:val="none" w:sz="0" w:space="0" w:color="auto"/>
            <w:right w:val="none" w:sz="0" w:space="0" w:color="auto"/>
          </w:divBdr>
          <w:divsChild>
            <w:div w:id="522985158">
              <w:marLeft w:val="0"/>
              <w:marRight w:val="0"/>
              <w:marTop w:val="0"/>
              <w:marBottom w:val="0"/>
              <w:divBdr>
                <w:top w:val="none" w:sz="0" w:space="0" w:color="auto"/>
                <w:left w:val="none" w:sz="0" w:space="0" w:color="auto"/>
                <w:bottom w:val="none" w:sz="0" w:space="0" w:color="auto"/>
                <w:right w:val="none" w:sz="0" w:space="0" w:color="auto"/>
              </w:divBdr>
            </w:div>
          </w:divsChild>
        </w:div>
        <w:div w:id="460927573">
          <w:marLeft w:val="0"/>
          <w:marRight w:val="0"/>
          <w:marTop w:val="0"/>
          <w:marBottom w:val="0"/>
          <w:divBdr>
            <w:top w:val="none" w:sz="0" w:space="0" w:color="auto"/>
            <w:left w:val="none" w:sz="0" w:space="0" w:color="auto"/>
            <w:bottom w:val="none" w:sz="0" w:space="0" w:color="auto"/>
            <w:right w:val="none" w:sz="0" w:space="0" w:color="auto"/>
          </w:divBdr>
          <w:divsChild>
            <w:div w:id="1202716989">
              <w:marLeft w:val="0"/>
              <w:marRight w:val="0"/>
              <w:marTop w:val="0"/>
              <w:marBottom w:val="0"/>
              <w:divBdr>
                <w:top w:val="none" w:sz="0" w:space="0" w:color="auto"/>
                <w:left w:val="none" w:sz="0" w:space="0" w:color="auto"/>
                <w:bottom w:val="none" w:sz="0" w:space="0" w:color="auto"/>
                <w:right w:val="none" w:sz="0" w:space="0" w:color="auto"/>
              </w:divBdr>
            </w:div>
          </w:divsChild>
        </w:div>
        <w:div w:id="506019193">
          <w:marLeft w:val="0"/>
          <w:marRight w:val="0"/>
          <w:marTop w:val="0"/>
          <w:marBottom w:val="0"/>
          <w:divBdr>
            <w:top w:val="none" w:sz="0" w:space="0" w:color="auto"/>
            <w:left w:val="none" w:sz="0" w:space="0" w:color="auto"/>
            <w:bottom w:val="none" w:sz="0" w:space="0" w:color="auto"/>
            <w:right w:val="none" w:sz="0" w:space="0" w:color="auto"/>
          </w:divBdr>
          <w:divsChild>
            <w:div w:id="1261716832">
              <w:marLeft w:val="0"/>
              <w:marRight w:val="0"/>
              <w:marTop w:val="0"/>
              <w:marBottom w:val="0"/>
              <w:divBdr>
                <w:top w:val="none" w:sz="0" w:space="0" w:color="auto"/>
                <w:left w:val="none" w:sz="0" w:space="0" w:color="auto"/>
                <w:bottom w:val="none" w:sz="0" w:space="0" w:color="auto"/>
                <w:right w:val="none" w:sz="0" w:space="0" w:color="auto"/>
              </w:divBdr>
            </w:div>
          </w:divsChild>
        </w:div>
        <w:div w:id="525024728">
          <w:marLeft w:val="0"/>
          <w:marRight w:val="0"/>
          <w:marTop w:val="0"/>
          <w:marBottom w:val="0"/>
          <w:divBdr>
            <w:top w:val="none" w:sz="0" w:space="0" w:color="auto"/>
            <w:left w:val="none" w:sz="0" w:space="0" w:color="auto"/>
            <w:bottom w:val="none" w:sz="0" w:space="0" w:color="auto"/>
            <w:right w:val="none" w:sz="0" w:space="0" w:color="auto"/>
          </w:divBdr>
          <w:divsChild>
            <w:div w:id="2107384084">
              <w:marLeft w:val="0"/>
              <w:marRight w:val="0"/>
              <w:marTop w:val="0"/>
              <w:marBottom w:val="0"/>
              <w:divBdr>
                <w:top w:val="none" w:sz="0" w:space="0" w:color="auto"/>
                <w:left w:val="none" w:sz="0" w:space="0" w:color="auto"/>
                <w:bottom w:val="none" w:sz="0" w:space="0" w:color="auto"/>
                <w:right w:val="none" w:sz="0" w:space="0" w:color="auto"/>
              </w:divBdr>
            </w:div>
          </w:divsChild>
        </w:div>
        <w:div w:id="550728331">
          <w:marLeft w:val="0"/>
          <w:marRight w:val="0"/>
          <w:marTop w:val="0"/>
          <w:marBottom w:val="0"/>
          <w:divBdr>
            <w:top w:val="none" w:sz="0" w:space="0" w:color="auto"/>
            <w:left w:val="none" w:sz="0" w:space="0" w:color="auto"/>
            <w:bottom w:val="none" w:sz="0" w:space="0" w:color="auto"/>
            <w:right w:val="none" w:sz="0" w:space="0" w:color="auto"/>
          </w:divBdr>
          <w:divsChild>
            <w:div w:id="1676029122">
              <w:marLeft w:val="0"/>
              <w:marRight w:val="0"/>
              <w:marTop w:val="0"/>
              <w:marBottom w:val="0"/>
              <w:divBdr>
                <w:top w:val="none" w:sz="0" w:space="0" w:color="auto"/>
                <w:left w:val="none" w:sz="0" w:space="0" w:color="auto"/>
                <w:bottom w:val="none" w:sz="0" w:space="0" w:color="auto"/>
                <w:right w:val="none" w:sz="0" w:space="0" w:color="auto"/>
              </w:divBdr>
            </w:div>
          </w:divsChild>
        </w:div>
        <w:div w:id="559634977">
          <w:marLeft w:val="0"/>
          <w:marRight w:val="0"/>
          <w:marTop w:val="0"/>
          <w:marBottom w:val="0"/>
          <w:divBdr>
            <w:top w:val="none" w:sz="0" w:space="0" w:color="auto"/>
            <w:left w:val="none" w:sz="0" w:space="0" w:color="auto"/>
            <w:bottom w:val="none" w:sz="0" w:space="0" w:color="auto"/>
            <w:right w:val="none" w:sz="0" w:space="0" w:color="auto"/>
          </w:divBdr>
          <w:divsChild>
            <w:div w:id="1479692408">
              <w:marLeft w:val="0"/>
              <w:marRight w:val="0"/>
              <w:marTop w:val="0"/>
              <w:marBottom w:val="0"/>
              <w:divBdr>
                <w:top w:val="none" w:sz="0" w:space="0" w:color="auto"/>
                <w:left w:val="none" w:sz="0" w:space="0" w:color="auto"/>
                <w:bottom w:val="none" w:sz="0" w:space="0" w:color="auto"/>
                <w:right w:val="none" w:sz="0" w:space="0" w:color="auto"/>
              </w:divBdr>
            </w:div>
          </w:divsChild>
        </w:div>
        <w:div w:id="561403973">
          <w:marLeft w:val="0"/>
          <w:marRight w:val="0"/>
          <w:marTop w:val="0"/>
          <w:marBottom w:val="0"/>
          <w:divBdr>
            <w:top w:val="none" w:sz="0" w:space="0" w:color="auto"/>
            <w:left w:val="none" w:sz="0" w:space="0" w:color="auto"/>
            <w:bottom w:val="none" w:sz="0" w:space="0" w:color="auto"/>
            <w:right w:val="none" w:sz="0" w:space="0" w:color="auto"/>
          </w:divBdr>
          <w:divsChild>
            <w:div w:id="421269326">
              <w:marLeft w:val="0"/>
              <w:marRight w:val="0"/>
              <w:marTop w:val="0"/>
              <w:marBottom w:val="0"/>
              <w:divBdr>
                <w:top w:val="none" w:sz="0" w:space="0" w:color="auto"/>
                <w:left w:val="none" w:sz="0" w:space="0" w:color="auto"/>
                <w:bottom w:val="none" w:sz="0" w:space="0" w:color="auto"/>
                <w:right w:val="none" w:sz="0" w:space="0" w:color="auto"/>
              </w:divBdr>
            </w:div>
          </w:divsChild>
        </w:div>
        <w:div w:id="563568279">
          <w:marLeft w:val="0"/>
          <w:marRight w:val="0"/>
          <w:marTop w:val="0"/>
          <w:marBottom w:val="0"/>
          <w:divBdr>
            <w:top w:val="none" w:sz="0" w:space="0" w:color="auto"/>
            <w:left w:val="none" w:sz="0" w:space="0" w:color="auto"/>
            <w:bottom w:val="none" w:sz="0" w:space="0" w:color="auto"/>
            <w:right w:val="none" w:sz="0" w:space="0" w:color="auto"/>
          </w:divBdr>
          <w:divsChild>
            <w:div w:id="1538394160">
              <w:marLeft w:val="0"/>
              <w:marRight w:val="0"/>
              <w:marTop w:val="0"/>
              <w:marBottom w:val="0"/>
              <w:divBdr>
                <w:top w:val="none" w:sz="0" w:space="0" w:color="auto"/>
                <w:left w:val="none" w:sz="0" w:space="0" w:color="auto"/>
                <w:bottom w:val="none" w:sz="0" w:space="0" w:color="auto"/>
                <w:right w:val="none" w:sz="0" w:space="0" w:color="auto"/>
              </w:divBdr>
            </w:div>
          </w:divsChild>
        </w:div>
        <w:div w:id="564485949">
          <w:marLeft w:val="0"/>
          <w:marRight w:val="0"/>
          <w:marTop w:val="0"/>
          <w:marBottom w:val="0"/>
          <w:divBdr>
            <w:top w:val="none" w:sz="0" w:space="0" w:color="auto"/>
            <w:left w:val="none" w:sz="0" w:space="0" w:color="auto"/>
            <w:bottom w:val="none" w:sz="0" w:space="0" w:color="auto"/>
            <w:right w:val="none" w:sz="0" w:space="0" w:color="auto"/>
          </w:divBdr>
          <w:divsChild>
            <w:div w:id="140007514">
              <w:marLeft w:val="0"/>
              <w:marRight w:val="0"/>
              <w:marTop w:val="0"/>
              <w:marBottom w:val="0"/>
              <w:divBdr>
                <w:top w:val="none" w:sz="0" w:space="0" w:color="auto"/>
                <w:left w:val="none" w:sz="0" w:space="0" w:color="auto"/>
                <w:bottom w:val="none" w:sz="0" w:space="0" w:color="auto"/>
                <w:right w:val="none" w:sz="0" w:space="0" w:color="auto"/>
              </w:divBdr>
            </w:div>
          </w:divsChild>
        </w:div>
        <w:div w:id="574168627">
          <w:marLeft w:val="0"/>
          <w:marRight w:val="0"/>
          <w:marTop w:val="0"/>
          <w:marBottom w:val="0"/>
          <w:divBdr>
            <w:top w:val="none" w:sz="0" w:space="0" w:color="auto"/>
            <w:left w:val="none" w:sz="0" w:space="0" w:color="auto"/>
            <w:bottom w:val="none" w:sz="0" w:space="0" w:color="auto"/>
            <w:right w:val="none" w:sz="0" w:space="0" w:color="auto"/>
          </w:divBdr>
          <w:divsChild>
            <w:div w:id="1661543170">
              <w:marLeft w:val="0"/>
              <w:marRight w:val="0"/>
              <w:marTop w:val="0"/>
              <w:marBottom w:val="0"/>
              <w:divBdr>
                <w:top w:val="none" w:sz="0" w:space="0" w:color="auto"/>
                <w:left w:val="none" w:sz="0" w:space="0" w:color="auto"/>
                <w:bottom w:val="none" w:sz="0" w:space="0" w:color="auto"/>
                <w:right w:val="none" w:sz="0" w:space="0" w:color="auto"/>
              </w:divBdr>
            </w:div>
          </w:divsChild>
        </w:div>
        <w:div w:id="620305122">
          <w:marLeft w:val="0"/>
          <w:marRight w:val="0"/>
          <w:marTop w:val="0"/>
          <w:marBottom w:val="0"/>
          <w:divBdr>
            <w:top w:val="none" w:sz="0" w:space="0" w:color="auto"/>
            <w:left w:val="none" w:sz="0" w:space="0" w:color="auto"/>
            <w:bottom w:val="none" w:sz="0" w:space="0" w:color="auto"/>
            <w:right w:val="none" w:sz="0" w:space="0" w:color="auto"/>
          </w:divBdr>
          <w:divsChild>
            <w:div w:id="1929314398">
              <w:marLeft w:val="0"/>
              <w:marRight w:val="0"/>
              <w:marTop w:val="0"/>
              <w:marBottom w:val="0"/>
              <w:divBdr>
                <w:top w:val="none" w:sz="0" w:space="0" w:color="auto"/>
                <w:left w:val="none" w:sz="0" w:space="0" w:color="auto"/>
                <w:bottom w:val="none" w:sz="0" w:space="0" w:color="auto"/>
                <w:right w:val="none" w:sz="0" w:space="0" w:color="auto"/>
              </w:divBdr>
            </w:div>
          </w:divsChild>
        </w:div>
        <w:div w:id="671760032">
          <w:marLeft w:val="0"/>
          <w:marRight w:val="0"/>
          <w:marTop w:val="0"/>
          <w:marBottom w:val="0"/>
          <w:divBdr>
            <w:top w:val="none" w:sz="0" w:space="0" w:color="auto"/>
            <w:left w:val="none" w:sz="0" w:space="0" w:color="auto"/>
            <w:bottom w:val="none" w:sz="0" w:space="0" w:color="auto"/>
            <w:right w:val="none" w:sz="0" w:space="0" w:color="auto"/>
          </w:divBdr>
          <w:divsChild>
            <w:div w:id="1588882070">
              <w:marLeft w:val="0"/>
              <w:marRight w:val="0"/>
              <w:marTop w:val="0"/>
              <w:marBottom w:val="0"/>
              <w:divBdr>
                <w:top w:val="none" w:sz="0" w:space="0" w:color="auto"/>
                <w:left w:val="none" w:sz="0" w:space="0" w:color="auto"/>
                <w:bottom w:val="none" w:sz="0" w:space="0" w:color="auto"/>
                <w:right w:val="none" w:sz="0" w:space="0" w:color="auto"/>
              </w:divBdr>
            </w:div>
          </w:divsChild>
        </w:div>
        <w:div w:id="686561853">
          <w:marLeft w:val="0"/>
          <w:marRight w:val="0"/>
          <w:marTop w:val="0"/>
          <w:marBottom w:val="0"/>
          <w:divBdr>
            <w:top w:val="none" w:sz="0" w:space="0" w:color="auto"/>
            <w:left w:val="none" w:sz="0" w:space="0" w:color="auto"/>
            <w:bottom w:val="none" w:sz="0" w:space="0" w:color="auto"/>
            <w:right w:val="none" w:sz="0" w:space="0" w:color="auto"/>
          </w:divBdr>
          <w:divsChild>
            <w:div w:id="893079185">
              <w:marLeft w:val="0"/>
              <w:marRight w:val="0"/>
              <w:marTop w:val="0"/>
              <w:marBottom w:val="0"/>
              <w:divBdr>
                <w:top w:val="none" w:sz="0" w:space="0" w:color="auto"/>
                <w:left w:val="none" w:sz="0" w:space="0" w:color="auto"/>
                <w:bottom w:val="none" w:sz="0" w:space="0" w:color="auto"/>
                <w:right w:val="none" w:sz="0" w:space="0" w:color="auto"/>
              </w:divBdr>
            </w:div>
          </w:divsChild>
        </w:div>
        <w:div w:id="731347426">
          <w:marLeft w:val="0"/>
          <w:marRight w:val="0"/>
          <w:marTop w:val="0"/>
          <w:marBottom w:val="0"/>
          <w:divBdr>
            <w:top w:val="none" w:sz="0" w:space="0" w:color="auto"/>
            <w:left w:val="none" w:sz="0" w:space="0" w:color="auto"/>
            <w:bottom w:val="none" w:sz="0" w:space="0" w:color="auto"/>
            <w:right w:val="none" w:sz="0" w:space="0" w:color="auto"/>
          </w:divBdr>
          <w:divsChild>
            <w:div w:id="1179811586">
              <w:marLeft w:val="0"/>
              <w:marRight w:val="0"/>
              <w:marTop w:val="0"/>
              <w:marBottom w:val="0"/>
              <w:divBdr>
                <w:top w:val="none" w:sz="0" w:space="0" w:color="auto"/>
                <w:left w:val="none" w:sz="0" w:space="0" w:color="auto"/>
                <w:bottom w:val="none" w:sz="0" w:space="0" w:color="auto"/>
                <w:right w:val="none" w:sz="0" w:space="0" w:color="auto"/>
              </w:divBdr>
            </w:div>
          </w:divsChild>
        </w:div>
        <w:div w:id="790444728">
          <w:marLeft w:val="0"/>
          <w:marRight w:val="0"/>
          <w:marTop w:val="0"/>
          <w:marBottom w:val="0"/>
          <w:divBdr>
            <w:top w:val="none" w:sz="0" w:space="0" w:color="auto"/>
            <w:left w:val="none" w:sz="0" w:space="0" w:color="auto"/>
            <w:bottom w:val="none" w:sz="0" w:space="0" w:color="auto"/>
            <w:right w:val="none" w:sz="0" w:space="0" w:color="auto"/>
          </w:divBdr>
          <w:divsChild>
            <w:div w:id="522134622">
              <w:marLeft w:val="0"/>
              <w:marRight w:val="0"/>
              <w:marTop w:val="0"/>
              <w:marBottom w:val="0"/>
              <w:divBdr>
                <w:top w:val="none" w:sz="0" w:space="0" w:color="auto"/>
                <w:left w:val="none" w:sz="0" w:space="0" w:color="auto"/>
                <w:bottom w:val="none" w:sz="0" w:space="0" w:color="auto"/>
                <w:right w:val="none" w:sz="0" w:space="0" w:color="auto"/>
              </w:divBdr>
            </w:div>
          </w:divsChild>
        </w:div>
        <w:div w:id="827479593">
          <w:marLeft w:val="0"/>
          <w:marRight w:val="0"/>
          <w:marTop w:val="0"/>
          <w:marBottom w:val="0"/>
          <w:divBdr>
            <w:top w:val="none" w:sz="0" w:space="0" w:color="auto"/>
            <w:left w:val="none" w:sz="0" w:space="0" w:color="auto"/>
            <w:bottom w:val="none" w:sz="0" w:space="0" w:color="auto"/>
            <w:right w:val="none" w:sz="0" w:space="0" w:color="auto"/>
          </w:divBdr>
          <w:divsChild>
            <w:div w:id="1396853012">
              <w:marLeft w:val="0"/>
              <w:marRight w:val="0"/>
              <w:marTop w:val="0"/>
              <w:marBottom w:val="0"/>
              <w:divBdr>
                <w:top w:val="none" w:sz="0" w:space="0" w:color="auto"/>
                <w:left w:val="none" w:sz="0" w:space="0" w:color="auto"/>
                <w:bottom w:val="none" w:sz="0" w:space="0" w:color="auto"/>
                <w:right w:val="none" w:sz="0" w:space="0" w:color="auto"/>
              </w:divBdr>
            </w:div>
          </w:divsChild>
        </w:div>
        <w:div w:id="834759217">
          <w:marLeft w:val="0"/>
          <w:marRight w:val="0"/>
          <w:marTop w:val="0"/>
          <w:marBottom w:val="0"/>
          <w:divBdr>
            <w:top w:val="none" w:sz="0" w:space="0" w:color="auto"/>
            <w:left w:val="none" w:sz="0" w:space="0" w:color="auto"/>
            <w:bottom w:val="none" w:sz="0" w:space="0" w:color="auto"/>
            <w:right w:val="none" w:sz="0" w:space="0" w:color="auto"/>
          </w:divBdr>
          <w:divsChild>
            <w:div w:id="854156133">
              <w:marLeft w:val="0"/>
              <w:marRight w:val="0"/>
              <w:marTop w:val="0"/>
              <w:marBottom w:val="0"/>
              <w:divBdr>
                <w:top w:val="none" w:sz="0" w:space="0" w:color="auto"/>
                <w:left w:val="none" w:sz="0" w:space="0" w:color="auto"/>
                <w:bottom w:val="none" w:sz="0" w:space="0" w:color="auto"/>
                <w:right w:val="none" w:sz="0" w:space="0" w:color="auto"/>
              </w:divBdr>
            </w:div>
          </w:divsChild>
        </w:div>
        <w:div w:id="872571282">
          <w:marLeft w:val="0"/>
          <w:marRight w:val="0"/>
          <w:marTop w:val="0"/>
          <w:marBottom w:val="0"/>
          <w:divBdr>
            <w:top w:val="none" w:sz="0" w:space="0" w:color="auto"/>
            <w:left w:val="none" w:sz="0" w:space="0" w:color="auto"/>
            <w:bottom w:val="none" w:sz="0" w:space="0" w:color="auto"/>
            <w:right w:val="none" w:sz="0" w:space="0" w:color="auto"/>
          </w:divBdr>
          <w:divsChild>
            <w:div w:id="736897989">
              <w:marLeft w:val="0"/>
              <w:marRight w:val="0"/>
              <w:marTop w:val="0"/>
              <w:marBottom w:val="0"/>
              <w:divBdr>
                <w:top w:val="none" w:sz="0" w:space="0" w:color="auto"/>
                <w:left w:val="none" w:sz="0" w:space="0" w:color="auto"/>
                <w:bottom w:val="none" w:sz="0" w:space="0" w:color="auto"/>
                <w:right w:val="none" w:sz="0" w:space="0" w:color="auto"/>
              </w:divBdr>
            </w:div>
          </w:divsChild>
        </w:div>
        <w:div w:id="884952074">
          <w:marLeft w:val="0"/>
          <w:marRight w:val="0"/>
          <w:marTop w:val="0"/>
          <w:marBottom w:val="0"/>
          <w:divBdr>
            <w:top w:val="none" w:sz="0" w:space="0" w:color="auto"/>
            <w:left w:val="none" w:sz="0" w:space="0" w:color="auto"/>
            <w:bottom w:val="none" w:sz="0" w:space="0" w:color="auto"/>
            <w:right w:val="none" w:sz="0" w:space="0" w:color="auto"/>
          </w:divBdr>
          <w:divsChild>
            <w:div w:id="445003284">
              <w:marLeft w:val="0"/>
              <w:marRight w:val="0"/>
              <w:marTop w:val="0"/>
              <w:marBottom w:val="0"/>
              <w:divBdr>
                <w:top w:val="none" w:sz="0" w:space="0" w:color="auto"/>
                <w:left w:val="none" w:sz="0" w:space="0" w:color="auto"/>
                <w:bottom w:val="none" w:sz="0" w:space="0" w:color="auto"/>
                <w:right w:val="none" w:sz="0" w:space="0" w:color="auto"/>
              </w:divBdr>
            </w:div>
          </w:divsChild>
        </w:div>
        <w:div w:id="891959131">
          <w:marLeft w:val="0"/>
          <w:marRight w:val="0"/>
          <w:marTop w:val="0"/>
          <w:marBottom w:val="0"/>
          <w:divBdr>
            <w:top w:val="none" w:sz="0" w:space="0" w:color="auto"/>
            <w:left w:val="none" w:sz="0" w:space="0" w:color="auto"/>
            <w:bottom w:val="none" w:sz="0" w:space="0" w:color="auto"/>
            <w:right w:val="none" w:sz="0" w:space="0" w:color="auto"/>
          </w:divBdr>
          <w:divsChild>
            <w:div w:id="1744066180">
              <w:marLeft w:val="0"/>
              <w:marRight w:val="0"/>
              <w:marTop w:val="0"/>
              <w:marBottom w:val="0"/>
              <w:divBdr>
                <w:top w:val="none" w:sz="0" w:space="0" w:color="auto"/>
                <w:left w:val="none" w:sz="0" w:space="0" w:color="auto"/>
                <w:bottom w:val="none" w:sz="0" w:space="0" w:color="auto"/>
                <w:right w:val="none" w:sz="0" w:space="0" w:color="auto"/>
              </w:divBdr>
            </w:div>
          </w:divsChild>
        </w:div>
        <w:div w:id="938755962">
          <w:marLeft w:val="0"/>
          <w:marRight w:val="0"/>
          <w:marTop w:val="0"/>
          <w:marBottom w:val="0"/>
          <w:divBdr>
            <w:top w:val="none" w:sz="0" w:space="0" w:color="auto"/>
            <w:left w:val="none" w:sz="0" w:space="0" w:color="auto"/>
            <w:bottom w:val="none" w:sz="0" w:space="0" w:color="auto"/>
            <w:right w:val="none" w:sz="0" w:space="0" w:color="auto"/>
          </w:divBdr>
          <w:divsChild>
            <w:div w:id="628127594">
              <w:marLeft w:val="0"/>
              <w:marRight w:val="0"/>
              <w:marTop w:val="0"/>
              <w:marBottom w:val="0"/>
              <w:divBdr>
                <w:top w:val="none" w:sz="0" w:space="0" w:color="auto"/>
                <w:left w:val="none" w:sz="0" w:space="0" w:color="auto"/>
                <w:bottom w:val="none" w:sz="0" w:space="0" w:color="auto"/>
                <w:right w:val="none" w:sz="0" w:space="0" w:color="auto"/>
              </w:divBdr>
            </w:div>
          </w:divsChild>
        </w:div>
        <w:div w:id="949972407">
          <w:marLeft w:val="0"/>
          <w:marRight w:val="0"/>
          <w:marTop w:val="0"/>
          <w:marBottom w:val="0"/>
          <w:divBdr>
            <w:top w:val="none" w:sz="0" w:space="0" w:color="auto"/>
            <w:left w:val="none" w:sz="0" w:space="0" w:color="auto"/>
            <w:bottom w:val="none" w:sz="0" w:space="0" w:color="auto"/>
            <w:right w:val="none" w:sz="0" w:space="0" w:color="auto"/>
          </w:divBdr>
          <w:divsChild>
            <w:div w:id="1592006909">
              <w:marLeft w:val="0"/>
              <w:marRight w:val="0"/>
              <w:marTop w:val="0"/>
              <w:marBottom w:val="0"/>
              <w:divBdr>
                <w:top w:val="none" w:sz="0" w:space="0" w:color="auto"/>
                <w:left w:val="none" w:sz="0" w:space="0" w:color="auto"/>
                <w:bottom w:val="none" w:sz="0" w:space="0" w:color="auto"/>
                <w:right w:val="none" w:sz="0" w:space="0" w:color="auto"/>
              </w:divBdr>
            </w:div>
          </w:divsChild>
        </w:div>
        <w:div w:id="1088036685">
          <w:marLeft w:val="0"/>
          <w:marRight w:val="0"/>
          <w:marTop w:val="0"/>
          <w:marBottom w:val="0"/>
          <w:divBdr>
            <w:top w:val="none" w:sz="0" w:space="0" w:color="auto"/>
            <w:left w:val="none" w:sz="0" w:space="0" w:color="auto"/>
            <w:bottom w:val="none" w:sz="0" w:space="0" w:color="auto"/>
            <w:right w:val="none" w:sz="0" w:space="0" w:color="auto"/>
          </w:divBdr>
          <w:divsChild>
            <w:div w:id="1156141026">
              <w:marLeft w:val="0"/>
              <w:marRight w:val="0"/>
              <w:marTop w:val="0"/>
              <w:marBottom w:val="0"/>
              <w:divBdr>
                <w:top w:val="none" w:sz="0" w:space="0" w:color="auto"/>
                <w:left w:val="none" w:sz="0" w:space="0" w:color="auto"/>
                <w:bottom w:val="none" w:sz="0" w:space="0" w:color="auto"/>
                <w:right w:val="none" w:sz="0" w:space="0" w:color="auto"/>
              </w:divBdr>
            </w:div>
          </w:divsChild>
        </w:div>
        <w:div w:id="1094060392">
          <w:marLeft w:val="0"/>
          <w:marRight w:val="0"/>
          <w:marTop w:val="0"/>
          <w:marBottom w:val="0"/>
          <w:divBdr>
            <w:top w:val="none" w:sz="0" w:space="0" w:color="auto"/>
            <w:left w:val="none" w:sz="0" w:space="0" w:color="auto"/>
            <w:bottom w:val="none" w:sz="0" w:space="0" w:color="auto"/>
            <w:right w:val="none" w:sz="0" w:space="0" w:color="auto"/>
          </w:divBdr>
          <w:divsChild>
            <w:div w:id="572932582">
              <w:marLeft w:val="0"/>
              <w:marRight w:val="0"/>
              <w:marTop w:val="0"/>
              <w:marBottom w:val="0"/>
              <w:divBdr>
                <w:top w:val="none" w:sz="0" w:space="0" w:color="auto"/>
                <w:left w:val="none" w:sz="0" w:space="0" w:color="auto"/>
                <w:bottom w:val="none" w:sz="0" w:space="0" w:color="auto"/>
                <w:right w:val="none" w:sz="0" w:space="0" w:color="auto"/>
              </w:divBdr>
            </w:div>
          </w:divsChild>
        </w:div>
        <w:div w:id="1112869056">
          <w:marLeft w:val="0"/>
          <w:marRight w:val="0"/>
          <w:marTop w:val="0"/>
          <w:marBottom w:val="0"/>
          <w:divBdr>
            <w:top w:val="none" w:sz="0" w:space="0" w:color="auto"/>
            <w:left w:val="none" w:sz="0" w:space="0" w:color="auto"/>
            <w:bottom w:val="none" w:sz="0" w:space="0" w:color="auto"/>
            <w:right w:val="none" w:sz="0" w:space="0" w:color="auto"/>
          </w:divBdr>
          <w:divsChild>
            <w:div w:id="886405834">
              <w:marLeft w:val="0"/>
              <w:marRight w:val="0"/>
              <w:marTop w:val="0"/>
              <w:marBottom w:val="0"/>
              <w:divBdr>
                <w:top w:val="none" w:sz="0" w:space="0" w:color="auto"/>
                <w:left w:val="none" w:sz="0" w:space="0" w:color="auto"/>
                <w:bottom w:val="none" w:sz="0" w:space="0" w:color="auto"/>
                <w:right w:val="none" w:sz="0" w:space="0" w:color="auto"/>
              </w:divBdr>
            </w:div>
          </w:divsChild>
        </w:div>
        <w:div w:id="1115055661">
          <w:marLeft w:val="0"/>
          <w:marRight w:val="0"/>
          <w:marTop w:val="0"/>
          <w:marBottom w:val="0"/>
          <w:divBdr>
            <w:top w:val="none" w:sz="0" w:space="0" w:color="auto"/>
            <w:left w:val="none" w:sz="0" w:space="0" w:color="auto"/>
            <w:bottom w:val="none" w:sz="0" w:space="0" w:color="auto"/>
            <w:right w:val="none" w:sz="0" w:space="0" w:color="auto"/>
          </w:divBdr>
          <w:divsChild>
            <w:div w:id="1883518221">
              <w:marLeft w:val="0"/>
              <w:marRight w:val="0"/>
              <w:marTop w:val="0"/>
              <w:marBottom w:val="0"/>
              <w:divBdr>
                <w:top w:val="none" w:sz="0" w:space="0" w:color="auto"/>
                <w:left w:val="none" w:sz="0" w:space="0" w:color="auto"/>
                <w:bottom w:val="none" w:sz="0" w:space="0" w:color="auto"/>
                <w:right w:val="none" w:sz="0" w:space="0" w:color="auto"/>
              </w:divBdr>
            </w:div>
          </w:divsChild>
        </w:div>
        <w:div w:id="1134446241">
          <w:marLeft w:val="0"/>
          <w:marRight w:val="0"/>
          <w:marTop w:val="0"/>
          <w:marBottom w:val="0"/>
          <w:divBdr>
            <w:top w:val="none" w:sz="0" w:space="0" w:color="auto"/>
            <w:left w:val="none" w:sz="0" w:space="0" w:color="auto"/>
            <w:bottom w:val="none" w:sz="0" w:space="0" w:color="auto"/>
            <w:right w:val="none" w:sz="0" w:space="0" w:color="auto"/>
          </w:divBdr>
          <w:divsChild>
            <w:div w:id="1056243804">
              <w:marLeft w:val="0"/>
              <w:marRight w:val="0"/>
              <w:marTop w:val="0"/>
              <w:marBottom w:val="0"/>
              <w:divBdr>
                <w:top w:val="none" w:sz="0" w:space="0" w:color="auto"/>
                <w:left w:val="none" w:sz="0" w:space="0" w:color="auto"/>
                <w:bottom w:val="none" w:sz="0" w:space="0" w:color="auto"/>
                <w:right w:val="none" w:sz="0" w:space="0" w:color="auto"/>
              </w:divBdr>
            </w:div>
          </w:divsChild>
        </w:div>
        <w:div w:id="1135291530">
          <w:marLeft w:val="0"/>
          <w:marRight w:val="0"/>
          <w:marTop w:val="0"/>
          <w:marBottom w:val="0"/>
          <w:divBdr>
            <w:top w:val="none" w:sz="0" w:space="0" w:color="auto"/>
            <w:left w:val="none" w:sz="0" w:space="0" w:color="auto"/>
            <w:bottom w:val="none" w:sz="0" w:space="0" w:color="auto"/>
            <w:right w:val="none" w:sz="0" w:space="0" w:color="auto"/>
          </w:divBdr>
          <w:divsChild>
            <w:div w:id="1447695707">
              <w:marLeft w:val="0"/>
              <w:marRight w:val="0"/>
              <w:marTop w:val="0"/>
              <w:marBottom w:val="0"/>
              <w:divBdr>
                <w:top w:val="none" w:sz="0" w:space="0" w:color="auto"/>
                <w:left w:val="none" w:sz="0" w:space="0" w:color="auto"/>
                <w:bottom w:val="none" w:sz="0" w:space="0" w:color="auto"/>
                <w:right w:val="none" w:sz="0" w:space="0" w:color="auto"/>
              </w:divBdr>
            </w:div>
          </w:divsChild>
        </w:div>
        <w:div w:id="1178736280">
          <w:marLeft w:val="0"/>
          <w:marRight w:val="0"/>
          <w:marTop w:val="0"/>
          <w:marBottom w:val="0"/>
          <w:divBdr>
            <w:top w:val="none" w:sz="0" w:space="0" w:color="auto"/>
            <w:left w:val="none" w:sz="0" w:space="0" w:color="auto"/>
            <w:bottom w:val="none" w:sz="0" w:space="0" w:color="auto"/>
            <w:right w:val="none" w:sz="0" w:space="0" w:color="auto"/>
          </w:divBdr>
          <w:divsChild>
            <w:div w:id="2147042217">
              <w:marLeft w:val="0"/>
              <w:marRight w:val="0"/>
              <w:marTop w:val="0"/>
              <w:marBottom w:val="0"/>
              <w:divBdr>
                <w:top w:val="none" w:sz="0" w:space="0" w:color="auto"/>
                <w:left w:val="none" w:sz="0" w:space="0" w:color="auto"/>
                <w:bottom w:val="none" w:sz="0" w:space="0" w:color="auto"/>
                <w:right w:val="none" w:sz="0" w:space="0" w:color="auto"/>
              </w:divBdr>
            </w:div>
          </w:divsChild>
        </w:div>
        <w:div w:id="1201239224">
          <w:marLeft w:val="0"/>
          <w:marRight w:val="0"/>
          <w:marTop w:val="0"/>
          <w:marBottom w:val="0"/>
          <w:divBdr>
            <w:top w:val="none" w:sz="0" w:space="0" w:color="auto"/>
            <w:left w:val="none" w:sz="0" w:space="0" w:color="auto"/>
            <w:bottom w:val="none" w:sz="0" w:space="0" w:color="auto"/>
            <w:right w:val="none" w:sz="0" w:space="0" w:color="auto"/>
          </w:divBdr>
          <w:divsChild>
            <w:div w:id="875581294">
              <w:marLeft w:val="0"/>
              <w:marRight w:val="0"/>
              <w:marTop w:val="0"/>
              <w:marBottom w:val="0"/>
              <w:divBdr>
                <w:top w:val="none" w:sz="0" w:space="0" w:color="auto"/>
                <w:left w:val="none" w:sz="0" w:space="0" w:color="auto"/>
                <w:bottom w:val="none" w:sz="0" w:space="0" w:color="auto"/>
                <w:right w:val="none" w:sz="0" w:space="0" w:color="auto"/>
              </w:divBdr>
            </w:div>
          </w:divsChild>
        </w:div>
        <w:div w:id="1221554133">
          <w:marLeft w:val="0"/>
          <w:marRight w:val="0"/>
          <w:marTop w:val="0"/>
          <w:marBottom w:val="0"/>
          <w:divBdr>
            <w:top w:val="none" w:sz="0" w:space="0" w:color="auto"/>
            <w:left w:val="none" w:sz="0" w:space="0" w:color="auto"/>
            <w:bottom w:val="none" w:sz="0" w:space="0" w:color="auto"/>
            <w:right w:val="none" w:sz="0" w:space="0" w:color="auto"/>
          </w:divBdr>
          <w:divsChild>
            <w:div w:id="510149652">
              <w:marLeft w:val="0"/>
              <w:marRight w:val="0"/>
              <w:marTop w:val="0"/>
              <w:marBottom w:val="0"/>
              <w:divBdr>
                <w:top w:val="none" w:sz="0" w:space="0" w:color="auto"/>
                <w:left w:val="none" w:sz="0" w:space="0" w:color="auto"/>
                <w:bottom w:val="none" w:sz="0" w:space="0" w:color="auto"/>
                <w:right w:val="none" w:sz="0" w:space="0" w:color="auto"/>
              </w:divBdr>
            </w:div>
          </w:divsChild>
        </w:div>
        <w:div w:id="1221595340">
          <w:marLeft w:val="0"/>
          <w:marRight w:val="0"/>
          <w:marTop w:val="0"/>
          <w:marBottom w:val="0"/>
          <w:divBdr>
            <w:top w:val="none" w:sz="0" w:space="0" w:color="auto"/>
            <w:left w:val="none" w:sz="0" w:space="0" w:color="auto"/>
            <w:bottom w:val="none" w:sz="0" w:space="0" w:color="auto"/>
            <w:right w:val="none" w:sz="0" w:space="0" w:color="auto"/>
          </w:divBdr>
          <w:divsChild>
            <w:div w:id="1958826645">
              <w:marLeft w:val="0"/>
              <w:marRight w:val="0"/>
              <w:marTop w:val="0"/>
              <w:marBottom w:val="0"/>
              <w:divBdr>
                <w:top w:val="none" w:sz="0" w:space="0" w:color="auto"/>
                <w:left w:val="none" w:sz="0" w:space="0" w:color="auto"/>
                <w:bottom w:val="none" w:sz="0" w:space="0" w:color="auto"/>
                <w:right w:val="none" w:sz="0" w:space="0" w:color="auto"/>
              </w:divBdr>
            </w:div>
          </w:divsChild>
        </w:div>
        <w:div w:id="1287469085">
          <w:marLeft w:val="0"/>
          <w:marRight w:val="0"/>
          <w:marTop w:val="0"/>
          <w:marBottom w:val="0"/>
          <w:divBdr>
            <w:top w:val="none" w:sz="0" w:space="0" w:color="auto"/>
            <w:left w:val="none" w:sz="0" w:space="0" w:color="auto"/>
            <w:bottom w:val="none" w:sz="0" w:space="0" w:color="auto"/>
            <w:right w:val="none" w:sz="0" w:space="0" w:color="auto"/>
          </w:divBdr>
          <w:divsChild>
            <w:div w:id="1438284680">
              <w:marLeft w:val="0"/>
              <w:marRight w:val="0"/>
              <w:marTop w:val="0"/>
              <w:marBottom w:val="0"/>
              <w:divBdr>
                <w:top w:val="none" w:sz="0" w:space="0" w:color="auto"/>
                <w:left w:val="none" w:sz="0" w:space="0" w:color="auto"/>
                <w:bottom w:val="none" w:sz="0" w:space="0" w:color="auto"/>
                <w:right w:val="none" w:sz="0" w:space="0" w:color="auto"/>
              </w:divBdr>
            </w:div>
          </w:divsChild>
        </w:div>
        <w:div w:id="1296057854">
          <w:marLeft w:val="0"/>
          <w:marRight w:val="0"/>
          <w:marTop w:val="0"/>
          <w:marBottom w:val="0"/>
          <w:divBdr>
            <w:top w:val="none" w:sz="0" w:space="0" w:color="auto"/>
            <w:left w:val="none" w:sz="0" w:space="0" w:color="auto"/>
            <w:bottom w:val="none" w:sz="0" w:space="0" w:color="auto"/>
            <w:right w:val="none" w:sz="0" w:space="0" w:color="auto"/>
          </w:divBdr>
          <w:divsChild>
            <w:div w:id="2141224187">
              <w:marLeft w:val="0"/>
              <w:marRight w:val="0"/>
              <w:marTop w:val="0"/>
              <w:marBottom w:val="0"/>
              <w:divBdr>
                <w:top w:val="none" w:sz="0" w:space="0" w:color="auto"/>
                <w:left w:val="none" w:sz="0" w:space="0" w:color="auto"/>
                <w:bottom w:val="none" w:sz="0" w:space="0" w:color="auto"/>
                <w:right w:val="none" w:sz="0" w:space="0" w:color="auto"/>
              </w:divBdr>
            </w:div>
          </w:divsChild>
        </w:div>
        <w:div w:id="1303542831">
          <w:marLeft w:val="0"/>
          <w:marRight w:val="0"/>
          <w:marTop w:val="0"/>
          <w:marBottom w:val="0"/>
          <w:divBdr>
            <w:top w:val="none" w:sz="0" w:space="0" w:color="auto"/>
            <w:left w:val="none" w:sz="0" w:space="0" w:color="auto"/>
            <w:bottom w:val="none" w:sz="0" w:space="0" w:color="auto"/>
            <w:right w:val="none" w:sz="0" w:space="0" w:color="auto"/>
          </w:divBdr>
          <w:divsChild>
            <w:div w:id="1510564900">
              <w:marLeft w:val="0"/>
              <w:marRight w:val="0"/>
              <w:marTop w:val="0"/>
              <w:marBottom w:val="0"/>
              <w:divBdr>
                <w:top w:val="none" w:sz="0" w:space="0" w:color="auto"/>
                <w:left w:val="none" w:sz="0" w:space="0" w:color="auto"/>
                <w:bottom w:val="none" w:sz="0" w:space="0" w:color="auto"/>
                <w:right w:val="none" w:sz="0" w:space="0" w:color="auto"/>
              </w:divBdr>
            </w:div>
          </w:divsChild>
        </w:div>
        <w:div w:id="1308823578">
          <w:marLeft w:val="0"/>
          <w:marRight w:val="0"/>
          <w:marTop w:val="0"/>
          <w:marBottom w:val="0"/>
          <w:divBdr>
            <w:top w:val="none" w:sz="0" w:space="0" w:color="auto"/>
            <w:left w:val="none" w:sz="0" w:space="0" w:color="auto"/>
            <w:bottom w:val="none" w:sz="0" w:space="0" w:color="auto"/>
            <w:right w:val="none" w:sz="0" w:space="0" w:color="auto"/>
          </w:divBdr>
          <w:divsChild>
            <w:div w:id="857699151">
              <w:marLeft w:val="0"/>
              <w:marRight w:val="0"/>
              <w:marTop w:val="0"/>
              <w:marBottom w:val="0"/>
              <w:divBdr>
                <w:top w:val="none" w:sz="0" w:space="0" w:color="auto"/>
                <w:left w:val="none" w:sz="0" w:space="0" w:color="auto"/>
                <w:bottom w:val="none" w:sz="0" w:space="0" w:color="auto"/>
                <w:right w:val="none" w:sz="0" w:space="0" w:color="auto"/>
              </w:divBdr>
            </w:div>
          </w:divsChild>
        </w:div>
        <w:div w:id="1322466729">
          <w:marLeft w:val="0"/>
          <w:marRight w:val="0"/>
          <w:marTop w:val="0"/>
          <w:marBottom w:val="0"/>
          <w:divBdr>
            <w:top w:val="none" w:sz="0" w:space="0" w:color="auto"/>
            <w:left w:val="none" w:sz="0" w:space="0" w:color="auto"/>
            <w:bottom w:val="none" w:sz="0" w:space="0" w:color="auto"/>
            <w:right w:val="none" w:sz="0" w:space="0" w:color="auto"/>
          </w:divBdr>
          <w:divsChild>
            <w:div w:id="1490945984">
              <w:marLeft w:val="0"/>
              <w:marRight w:val="0"/>
              <w:marTop w:val="0"/>
              <w:marBottom w:val="0"/>
              <w:divBdr>
                <w:top w:val="none" w:sz="0" w:space="0" w:color="auto"/>
                <w:left w:val="none" w:sz="0" w:space="0" w:color="auto"/>
                <w:bottom w:val="none" w:sz="0" w:space="0" w:color="auto"/>
                <w:right w:val="none" w:sz="0" w:space="0" w:color="auto"/>
              </w:divBdr>
            </w:div>
          </w:divsChild>
        </w:div>
        <w:div w:id="1329091251">
          <w:marLeft w:val="0"/>
          <w:marRight w:val="0"/>
          <w:marTop w:val="0"/>
          <w:marBottom w:val="0"/>
          <w:divBdr>
            <w:top w:val="none" w:sz="0" w:space="0" w:color="auto"/>
            <w:left w:val="none" w:sz="0" w:space="0" w:color="auto"/>
            <w:bottom w:val="none" w:sz="0" w:space="0" w:color="auto"/>
            <w:right w:val="none" w:sz="0" w:space="0" w:color="auto"/>
          </w:divBdr>
          <w:divsChild>
            <w:div w:id="563949246">
              <w:marLeft w:val="0"/>
              <w:marRight w:val="0"/>
              <w:marTop w:val="0"/>
              <w:marBottom w:val="0"/>
              <w:divBdr>
                <w:top w:val="none" w:sz="0" w:space="0" w:color="auto"/>
                <w:left w:val="none" w:sz="0" w:space="0" w:color="auto"/>
                <w:bottom w:val="none" w:sz="0" w:space="0" w:color="auto"/>
                <w:right w:val="none" w:sz="0" w:space="0" w:color="auto"/>
              </w:divBdr>
            </w:div>
          </w:divsChild>
        </w:div>
        <w:div w:id="1402874653">
          <w:marLeft w:val="0"/>
          <w:marRight w:val="0"/>
          <w:marTop w:val="0"/>
          <w:marBottom w:val="0"/>
          <w:divBdr>
            <w:top w:val="none" w:sz="0" w:space="0" w:color="auto"/>
            <w:left w:val="none" w:sz="0" w:space="0" w:color="auto"/>
            <w:bottom w:val="none" w:sz="0" w:space="0" w:color="auto"/>
            <w:right w:val="none" w:sz="0" w:space="0" w:color="auto"/>
          </w:divBdr>
          <w:divsChild>
            <w:div w:id="1312832231">
              <w:marLeft w:val="0"/>
              <w:marRight w:val="0"/>
              <w:marTop w:val="0"/>
              <w:marBottom w:val="0"/>
              <w:divBdr>
                <w:top w:val="none" w:sz="0" w:space="0" w:color="auto"/>
                <w:left w:val="none" w:sz="0" w:space="0" w:color="auto"/>
                <w:bottom w:val="none" w:sz="0" w:space="0" w:color="auto"/>
                <w:right w:val="none" w:sz="0" w:space="0" w:color="auto"/>
              </w:divBdr>
            </w:div>
          </w:divsChild>
        </w:div>
        <w:div w:id="1406146597">
          <w:marLeft w:val="0"/>
          <w:marRight w:val="0"/>
          <w:marTop w:val="0"/>
          <w:marBottom w:val="0"/>
          <w:divBdr>
            <w:top w:val="none" w:sz="0" w:space="0" w:color="auto"/>
            <w:left w:val="none" w:sz="0" w:space="0" w:color="auto"/>
            <w:bottom w:val="none" w:sz="0" w:space="0" w:color="auto"/>
            <w:right w:val="none" w:sz="0" w:space="0" w:color="auto"/>
          </w:divBdr>
          <w:divsChild>
            <w:div w:id="1865167224">
              <w:marLeft w:val="0"/>
              <w:marRight w:val="0"/>
              <w:marTop w:val="0"/>
              <w:marBottom w:val="0"/>
              <w:divBdr>
                <w:top w:val="none" w:sz="0" w:space="0" w:color="auto"/>
                <w:left w:val="none" w:sz="0" w:space="0" w:color="auto"/>
                <w:bottom w:val="none" w:sz="0" w:space="0" w:color="auto"/>
                <w:right w:val="none" w:sz="0" w:space="0" w:color="auto"/>
              </w:divBdr>
            </w:div>
          </w:divsChild>
        </w:div>
        <w:div w:id="1409620159">
          <w:marLeft w:val="0"/>
          <w:marRight w:val="0"/>
          <w:marTop w:val="0"/>
          <w:marBottom w:val="0"/>
          <w:divBdr>
            <w:top w:val="none" w:sz="0" w:space="0" w:color="auto"/>
            <w:left w:val="none" w:sz="0" w:space="0" w:color="auto"/>
            <w:bottom w:val="none" w:sz="0" w:space="0" w:color="auto"/>
            <w:right w:val="none" w:sz="0" w:space="0" w:color="auto"/>
          </w:divBdr>
          <w:divsChild>
            <w:div w:id="954629678">
              <w:marLeft w:val="0"/>
              <w:marRight w:val="0"/>
              <w:marTop w:val="0"/>
              <w:marBottom w:val="0"/>
              <w:divBdr>
                <w:top w:val="none" w:sz="0" w:space="0" w:color="auto"/>
                <w:left w:val="none" w:sz="0" w:space="0" w:color="auto"/>
                <w:bottom w:val="none" w:sz="0" w:space="0" w:color="auto"/>
                <w:right w:val="none" w:sz="0" w:space="0" w:color="auto"/>
              </w:divBdr>
            </w:div>
          </w:divsChild>
        </w:div>
        <w:div w:id="1484614971">
          <w:marLeft w:val="0"/>
          <w:marRight w:val="0"/>
          <w:marTop w:val="0"/>
          <w:marBottom w:val="0"/>
          <w:divBdr>
            <w:top w:val="none" w:sz="0" w:space="0" w:color="auto"/>
            <w:left w:val="none" w:sz="0" w:space="0" w:color="auto"/>
            <w:bottom w:val="none" w:sz="0" w:space="0" w:color="auto"/>
            <w:right w:val="none" w:sz="0" w:space="0" w:color="auto"/>
          </w:divBdr>
          <w:divsChild>
            <w:div w:id="620771548">
              <w:marLeft w:val="0"/>
              <w:marRight w:val="0"/>
              <w:marTop w:val="0"/>
              <w:marBottom w:val="0"/>
              <w:divBdr>
                <w:top w:val="none" w:sz="0" w:space="0" w:color="auto"/>
                <w:left w:val="none" w:sz="0" w:space="0" w:color="auto"/>
                <w:bottom w:val="none" w:sz="0" w:space="0" w:color="auto"/>
                <w:right w:val="none" w:sz="0" w:space="0" w:color="auto"/>
              </w:divBdr>
            </w:div>
          </w:divsChild>
        </w:div>
        <w:div w:id="1493989404">
          <w:marLeft w:val="0"/>
          <w:marRight w:val="0"/>
          <w:marTop w:val="0"/>
          <w:marBottom w:val="0"/>
          <w:divBdr>
            <w:top w:val="none" w:sz="0" w:space="0" w:color="auto"/>
            <w:left w:val="none" w:sz="0" w:space="0" w:color="auto"/>
            <w:bottom w:val="none" w:sz="0" w:space="0" w:color="auto"/>
            <w:right w:val="none" w:sz="0" w:space="0" w:color="auto"/>
          </w:divBdr>
          <w:divsChild>
            <w:div w:id="1672483967">
              <w:marLeft w:val="0"/>
              <w:marRight w:val="0"/>
              <w:marTop w:val="0"/>
              <w:marBottom w:val="0"/>
              <w:divBdr>
                <w:top w:val="none" w:sz="0" w:space="0" w:color="auto"/>
                <w:left w:val="none" w:sz="0" w:space="0" w:color="auto"/>
                <w:bottom w:val="none" w:sz="0" w:space="0" w:color="auto"/>
                <w:right w:val="none" w:sz="0" w:space="0" w:color="auto"/>
              </w:divBdr>
            </w:div>
          </w:divsChild>
        </w:div>
        <w:div w:id="1654337624">
          <w:marLeft w:val="0"/>
          <w:marRight w:val="0"/>
          <w:marTop w:val="0"/>
          <w:marBottom w:val="0"/>
          <w:divBdr>
            <w:top w:val="none" w:sz="0" w:space="0" w:color="auto"/>
            <w:left w:val="none" w:sz="0" w:space="0" w:color="auto"/>
            <w:bottom w:val="none" w:sz="0" w:space="0" w:color="auto"/>
            <w:right w:val="none" w:sz="0" w:space="0" w:color="auto"/>
          </w:divBdr>
          <w:divsChild>
            <w:div w:id="716121483">
              <w:marLeft w:val="0"/>
              <w:marRight w:val="0"/>
              <w:marTop w:val="0"/>
              <w:marBottom w:val="0"/>
              <w:divBdr>
                <w:top w:val="none" w:sz="0" w:space="0" w:color="auto"/>
                <w:left w:val="none" w:sz="0" w:space="0" w:color="auto"/>
                <w:bottom w:val="none" w:sz="0" w:space="0" w:color="auto"/>
                <w:right w:val="none" w:sz="0" w:space="0" w:color="auto"/>
              </w:divBdr>
            </w:div>
          </w:divsChild>
        </w:div>
        <w:div w:id="1668096352">
          <w:marLeft w:val="0"/>
          <w:marRight w:val="0"/>
          <w:marTop w:val="0"/>
          <w:marBottom w:val="0"/>
          <w:divBdr>
            <w:top w:val="none" w:sz="0" w:space="0" w:color="auto"/>
            <w:left w:val="none" w:sz="0" w:space="0" w:color="auto"/>
            <w:bottom w:val="none" w:sz="0" w:space="0" w:color="auto"/>
            <w:right w:val="none" w:sz="0" w:space="0" w:color="auto"/>
          </w:divBdr>
          <w:divsChild>
            <w:div w:id="645663904">
              <w:marLeft w:val="0"/>
              <w:marRight w:val="0"/>
              <w:marTop w:val="0"/>
              <w:marBottom w:val="0"/>
              <w:divBdr>
                <w:top w:val="none" w:sz="0" w:space="0" w:color="auto"/>
                <w:left w:val="none" w:sz="0" w:space="0" w:color="auto"/>
                <w:bottom w:val="none" w:sz="0" w:space="0" w:color="auto"/>
                <w:right w:val="none" w:sz="0" w:space="0" w:color="auto"/>
              </w:divBdr>
            </w:div>
          </w:divsChild>
        </w:div>
        <w:div w:id="1767264871">
          <w:marLeft w:val="0"/>
          <w:marRight w:val="0"/>
          <w:marTop w:val="0"/>
          <w:marBottom w:val="0"/>
          <w:divBdr>
            <w:top w:val="none" w:sz="0" w:space="0" w:color="auto"/>
            <w:left w:val="none" w:sz="0" w:space="0" w:color="auto"/>
            <w:bottom w:val="none" w:sz="0" w:space="0" w:color="auto"/>
            <w:right w:val="none" w:sz="0" w:space="0" w:color="auto"/>
          </w:divBdr>
          <w:divsChild>
            <w:div w:id="38282182">
              <w:marLeft w:val="0"/>
              <w:marRight w:val="0"/>
              <w:marTop w:val="0"/>
              <w:marBottom w:val="0"/>
              <w:divBdr>
                <w:top w:val="none" w:sz="0" w:space="0" w:color="auto"/>
                <w:left w:val="none" w:sz="0" w:space="0" w:color="auto"/>
                <w:bottom w:val="none" w:sz="0" w:space="0" w:color="auto"/>
                <w:right w:val="none" w:sz="0" w:space="0" w:color="auto"/>
              </w:divBdr>
            </w:div>
          </w:divsChild>
        </w:div>
        <w:div w:id="1831403580">
          <w:marLeft w:val="0"/>
          <w:marRight w:val="0"/>
          <w:marTop w:val="0"/>
          <w:marBottom w:val="0"/>
          <w:divBdr>
            <w:top w:val="none" w:sz="0" w:space="0" w:color="auto"/>
            <w:left w:val="none" w:sz="0" w:space="0" w:color="auto"/>
            <w:bottom w:val="none" w:sz="0" w:space="0" w:color="auto"/>
            <w:right w:val="none" w:sz="0" w:space="0" w:color="auto"/>
          </w:divBdr>
          <w:divsChild>
            <w:div w:id="94978472">
              <w:marLeft w:val="0"/>
              <w:marRight w:val="0"/>
              <w:marTop w:val="0"/>
              <w:marBottom w:val="0"/>
              <w:divBdr>
                <w:top w:val="none" w:sz="0" w:space="0" w:color="auto"/>
                <w:left w:val="none" w:sz="0" w:space="0" w:color="auto"/>
                <w:bottom w:val="none" w:sz="0" w:space="0" w:color="auto"/>
                <w:right w:val="none" w:sz="0" w:space="0" w:color="auto"/>
              </w:divBdr>
            </w:div>
            <w:div w:id="1618944292">
              <w:marLeft w:val="0"/>
              <w:marRight w:val="0"/>
              <w:marTop w:val="0"/>
              <w:marBottom w:val="0"/>
              <w:divBdr>
                <w:top w:val="none" w:sz="0" w:space="0" w:color="auto"/>
                <w:left w:val="none" w:sz="0" w:space="0" w:color="auto"/>
                <w:bottom w:val="none" w:sz="0" w:space="0" w:color="auto"/>
                <w:right w:val="none" w:sz="0" w:space="0" w:color="auto"/>
              </w:divBdr>
            </w:div>
          </w:divsChild>
        </w:div>
        <w:div w:id="1838036044">
          <w:marLeft w:val="0"/>
          <w:marRight w:val="0"/>
          <w:marTop w:val="0"/>
          <w:marBottom w:val="0"/>
          <w:divBdr>
            <w:top w:val="none" w:sz="0" w:space="0" w:color="auto"/>
            <w:left w:val="none" w:sz="0" w:space="0" w:color="auto"/>
            <w:bottom w:val="none" w:sz="0" w:space="0" w:color="auto"/>
            <w:right w:val="none" w:sz="0" w:space="0" w:color="auto"/>
          </w:divBdr>
          <w:divsChild>
            <w:div w:id="1530601053">
              <w:marLeft w:val="0"/>
              <w:marRight w:val="0"/>
              <w:marTop w:val="0"/>
              <w:marBottom w:val="0"/>
              <w:divBdr>
                <w:top w:val="none" w:sz="0" w:space="0" w:color="auto"/>
                <w:left w:val="none" w:sz="0" w:space="0" w:color="auto"/>
                <w:bottom w:val="none" w:sz="0" w:space="0" w:color="auto"/>
                <w:right w:val="none" w:sz="0" w:space="0" w:color="auto"/>
              </w:divBdr>
            </w:div>
          </w:divsChild>
        </w:div>
        <w:div w:id="1904026572">
          <w:marLeft w:val="0"/>
          <w:marRight w:val="0"/>
          <w:marTop w:val="0"/>
          <w:marBottom w:val="0"/>
          <w:divBdr>
            <w:top w:val="none" w:sz="0" w:space="0" w:color="auto"/>
            <w:left w:val="none" w:sz="0" w:space="0" w:color="auto"/>
            <w:bottom w:val="none" w:sz="0" w:space="0" w:color="auto"/>
            <w:right w:val="none" w:sz="0" w:space="0" w:color="auto"/>
          </w:divBdr>
          <w:divsChild>
            <w:div w:id="1687172683">
              <w:marLeft w:val="0"/>
              <w:marRight w:val="0"/>
              <w:marTop w:val="0"/>
              <w:marBottom w:val="0"/>
              <w:divBdr>
                <w:top w:val="none" w:sz="0" w:space="0" w:color="auto"/>
                <w:left w:val="none" w:sz="0" w:space="0" w:color="auto"/>
                <w:bottom w:val="none" w:sz="0" w:space="0" w:color="auto"/>
                <w:right w:val="none" w:sz="0" w:space="0" w:color="auto"/>
              </w:divBdr>
            </w:div>
          </w:divsChild>
        </w:div>
        <w:div w:id="1910918124">
          <w:marLeft w:val="0"/>
          <w:marRight w:val="0"/>
          <w:marTop w:val="0"/>
          <w:marBottom w:val="0"/>
          <w:divBdr>
            <w:top w:val="none" w:sz="0" w:space="0" w:color="auto"/>
            <w:left w:val="none" w:sz="0" w:space="0" w:color="auto"/>
            <w:bottom w:val="none" w:sz="0" w:space="0" w:color="auto"/>
            <w:right w:val="none" w:sz="0" w:space="0" w:color="auto"/>
          </w:divBdr>
          <w:divsChild>
            <w:div w:id="1547447429">
              <w:marLeft w:val="0"/>
              <w:marRight w:val="0"/>
              <w:marTop w:val="0"/>
              <w:marBottom w:val="0"/>
              <w:divBdr>
                <w:top w:val="none" w:sz="0" w:space="0" w:color="auto"/>
                <w:left w:val="none" w:sz="0" w:space="0" w:color="auto"/>
                <w:bottom w:val="none" w:sz="0" w:space="0" w:color="auto"/>
                <w:right w:val="none" w:sz="0" w:space="0" w:color="auto"/>
              </w:divBdr>
            </w:div>
          </w:divsChild>
        </w:div>
        <w:div w:id="1922367625">
          <w:marLeft w:val="0"/>
          <w:marRight w:val="0"/>
          <w:marTop w:val="0"/>
          <w:marBottom w:val="0"/>
          <w:divBdr>
            <w:top w:val="none" w:sz="0" w:space="0" w:color="auto"/>
            <w:left w:val="none" w:sz="0" w:space="0" w:color="auto"/>
            <w:bottom w:val="none" w:sz="0" w:space="0" w:color="auto"/>
            <w:right w:val="none" w:sz="0" w:space="0" w:color="auto"/>
          </w:divBdr>
          <w:divsChild>
            <w:div w:id="1218127040">
              <w:marLeft w:val="0"/>
              <w:marRight w:val="0"/>
              <w:marTop w:val="0"/>
              <w:marBottom w:val="0"/>
              <w:divBdr>
                <w:top w:val="none" w:sz="0" w:space="0" w:color="auto"/>
                <w:left w:val="none" w:sz="0" w:space="0" w:color="auto"/>
                <w:bottom w:val="none" w:sz="0" w:space="0" w:color="auto"/>
                <w:right w:val="none" w:sz="0" w:space="0" w:color="auto"/>
              </w:divBdr>
            </w:div>
          </w:divsChild>
        </w:div>
        <w:div w:id="2054884262">
          <w:marLeft w:val="0"/>
          <w:marRight w:val="0"/>
          <w:marTop w:val="0"/>
          <w:marBottom w:val="0"/>
          <w:divBdr>
            <w:top w:val="none" w:sz="0" w:space="0" w:color="auto"/>
            <w:left w:val="none" w:sz="0" w:space="0" w:color="auto"/>
            <w:bottom w:val="none" w:sz="0" w:space="0" w:color="auto"/>
            <w:right w:val="none" w:sz="0" w:space="0" w:color="auto"/>
          </w:divBdr>
          <w:divsChild>
            <w:div w:id="1545215912">
              <w:marLeft w:val="0"/>
              <w:marRight w:val="0"/>
              <w:marTop w:val="0"/>
              <w:marBottom w:val="0"/>
              <w:divBdr>
                <w:top w:val="none" w:sz="0" w:space="0" w:color="auto"/>
                <w:left w:val="none" w:sz="0" w:space="0" w:color="auto"/>
                <w:bottom w:val="none" w:sz="0" w:space="0" w:color="auto"/>
                <w:right w:val="none" w:sz="0" w:space="0" w:color="auto"/>
              </w:divBdr>
            </w:div>
          </w:divsChild>
        </w:div>
        <w:div w:id="2063944456">
          <w:marLeft w:val="0"/>
          <w:marRight w:val="0"/>
          <w:marTop w:val="0"/>
          <w:marBottom w:val="0"/>
          <w:divBdr>
            <w:top w:val="none" w:sz="0" w:space="0" w:color="auto"/>
            <w:left w:val="none" w:sz="0" w:space="0" w:color="auto"/>
            <w:bottom w:val="none" w:sz="0" w:space="0" w:color="auto"/>
            <w:right w:val="none" w:sz="0" w:space="0" w:color="auto"/>
          </w:divBdr>
          <w:divsChild>
            <w:div w:id="223837840">
              <w:marLeft w:val="0"/>
              <w:marRight w:val="0"/>
              <w:marTop w:val="0"/>
              <w:marBottom w:val="0"/>
              <w:divBdr>
                <w:top w:val="none" w:sz="0" w:space="0" w:color="auto"/>
                <w:left w:val="none" w:sz="0" w:space="0" w:color="auto"/>
                <w:bottom w:val="none" w:sz="0" w:space="0" w:color="auto"/>
                <w:right w:val="none" w:sz="0" w:space="0" w:color="auto"/>
              </w:divBdr>
            </w:div>
          </w:divsChild>
        </w:div>
        <w:div w:id="2083788812">
          <w:marLeft w:val="0"/>
          <w:marRight w:val="0"/>
          <w:marTop w:val="0"/>
          <w:marBottom w:val="0"/>
          <w:divBdr>
            <w:top w:val="none" w:sz="0" w:space="0" w:color="auto"/>
            <w:left w:val="none" w:sz="0" w:space="0" w:color="auto"/>
            <w:bottom w:val="none" w:sz="0" w:space="0" w:color="auto"/>
            <w:right w:val="none" w:sz="0" w:space="0" w:color="auto"/>
          </w:divBdr>
          <w:divsChild>
            <w:div w:id="1699895565">
              <w:marLeft w:val="0"/>
              <w:marRight w:val="0"/>
              <w:marTop w:val="0"/>
              <w:marBottom w:val="0"/>
              <w:divBdr>
                <w:top w:val="none" w:sz="0" w:space="0" w:color="auto"/>
                <w:left w:val="none" w:sz="0" w:space="0" w:color="auto"/>
                <w:bottom w:val="none" w:sz="0" w:space="0" w:color="auto"/>
                <w:right w:val="none" w:sz="0" w:space="0" w:color="auto"/>
              </w:divBdr>
            </w:div>
          </w:divsChild>
        </w:div>
        <w:div w:id="2089495479">
          <w:marLeft w:val="0"/>
          <w:marRight w:val="0"/>
          <w:marTop w:val="0"/>
          <w:marBottom w:val="0"/>
          <w:divBdr>
            <w:top w:val="none" w:sz="0" w:space="0" w:color="auto"/>
            <w:left w:val="none" w:sz="0" w:space="0" w:color="auto"/>
            <w:bottom w:val="none" w:sz="0" w:space="0" w:color="auto"/>
            <w:right w:val="none" w:sz="0" w:space="0" w:color="auto"/>
          </w:divBdr>
          <w:divsChild>
            <w:div w:id="1837767585">
              <w:marLeft w:val="0"/>
              <w:marRight w:val="0"/>
              <w:marTop w:val="0"/>
              <w:marBottom w:val="0"/>
              <w:divBdr>
                <w:top w:val="none" w:sz="0" w:space="0" w:color="auto"/>
                <w:left w:val="none" w:sz="0" w:space="0" w:color="auto"/>
                <w:bottom w:val="none" w:sz="0" w:space="0" w:color="auto"/>
                <w:right w:val="none" w:sz="0" w:space="0" w:color="auto"/>
              </w:divBdr>
            </w:div>
          </w:divsChild>
        </w:div>
        <w:div w:id="2118022882">
          <w:marLeft w:val="0"/>
          <w:marRight w:val="0"/>
          <w:marTop w:val="0"/>
          <w:marBottom w:val="0"/>
          <w:divBdr>
            <w:top w:val="none" w:sz="0" w:space="0" w:color="auto"/>
            <w:left w:val="none" w:sz="0" w:space="0" w:color="auto"/>
            <w:bottom w:val="none" w:sz="0" w:space="0" w:color="auto"/>
            <w:right w:val="none" w:sz="0" w:space="0" w:color="auto"/>
          </w:divBdr>
          <w:divsChild>
            <w:div w:id="284965829">
              <w:marLeft w:val="0"/>
              <w:marRight w:val="0"/>
              <w:marTop w:val="0"/>
              <w:marBottom w:val="0"/>
              <w:divBdr>
                <w:top w:val="none" w:sz="0" w:space="0" w:color="auto"/>
                <w:left w:val="none" w:sz="0" w:space="0" w:color="auto"/>
                <w:bottom w:val="none" w:sz="0" w:space="0" w:color="auto"/>
                <w:right w:val="none" w:sz="0" w:space="0" w:color="auto"/>
              </w:divBdr>
            </w:div>
          </w:divsChild>
        </w:div>
        <w:div w:id="2131514027">
          <w:marLeft w:val="0"/>
          <w:marRight w:val="0"/>
          <w:marTop w:val="0"/>
          <w:marBottom w:val="0"/>
          <w:divBdr>
            <w:top w:val="none" w:sz="0" w:space="0" w:color="auto"/>
            <w:left w:val="none" w:sz="0" w:space="0" w:color="auto"/>
            <w:bottom w:val="none" w:sz="0" w:space="0" w:color="auto"/>
            <w:right w:val="none" w:sz="0" w:space="0" w:color="auto"/>
          </w:divBdr>
          <w:divsChild>
            <w:div w:id="71976605">
              <w:marLeft w:val="0"/>
              <w:marRight w:val="0"/>
              <w:marTop w:val="0"/>
              <w:marBottom w:val="0"/>
              <w:divBdr>
                <w:top w:val="none" w:sz="0" w:space="0" w:color="auto"/>
                <w:left w:val="none" w:sz="0" w:space="0" w:color="auto"/>
                <w:bottom w:val="none" w:sz="0" w:space="0" w:color="auto"/>
                <w:right w:val="none" w:sz="0" w:space="0" w:color="auto"/>
              </w:divBdr>
            </w:div>
          </w:divsChild>
        </w:div>
        <w:div w:id="2144419211">
          <w:marLeft w:val="0"/>
          <w:marRight w:val="0"/>
          <w:marTop w:val="0"/>
          <w:marBottom w:val="0"/>
          <w:divBdr>
            <w:top w:val="none" w:sz="0" w:space="0" w:color="auto"/>
            <w:left w:val="none" w:sz="0" w:space="0" w:color="auto"/>
            <w:bottom w:val="none" w:sz="0" w:space="0" w:color="auto"/>
            <w:right w:val="none" w:sz="0" w:space="0" w:color="auto"/>
          </w:divBdr>
          <w:divsChild>
            <w:div w:id="1436636830">
              <w:marLeft w:val="0"/>
              <w:marRight w:val="0"/>
              <w:marTop w:val="0"/>
              <w:marBottom w:val="0"/>
              <w:divBdr>
                <w:top w:val="none" w:sz="0" w:space="0" w:color="auto"/>
                <w:left w:val="none" w:sz="0" w:space="0" w:color="auto"/>
                <w:bottom w:val="none" w:sz="0" w:space="0" w:color="auto"/>
                <w:right w:val="none" w:sz="0" w:space="0" w:color="auto"/>
              </w:divBdr>
            </w:div>
          </w:divsChild>
        </w:div>
        <w:div w:id="2146309496">
          <w:marLeft w:val="0"/>
          <w:marRight w:val="0"/>
          <w:marTop w:val="0"/>
          <w:marBottom w:val="0"/>
          <w:divBdr>
            <w:top w:val="none" w:sz="0" w:space="0" w:color="auto"/>
            <w:left w:val="none" w:sz="0" w:space="0" w:color="auto"/>
            <w:bottom w:val="none" w:sz="0" w:space="0" w:color="auto"/>
            <w:right w:val="none" w:sz="0" w:space="0" w:color="auto"/>
          </w:divBdr>
          <w:divsChild>
            <w:div w:id="1349336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9346399">
      <w:bodyDiv w:val="1"/>
      <w:marLeft w:val="0"/>
      <w:marRight w:val="0"/>
      <w:marTop w:val="0"/>
      <w:marBottom w:val="0"/>
      <w:divBdr>
        <w:top w:val="none" w:sz="0" w:space="0" w:color="auto"/>
        <w:left w:val="none" w:sz="0" w:space="0" w:color="auto"/>
        <w:bottom w:val="none" w:sz="0" w:space="0" w:color="auto"/>
        <w:right w:val="none" w:sz="0" w:space="0" w:color="auto"/>
      </w:divBdr>
    </w:div>
    <w:div w:id="1224177280">
      <w:bodyDiv w:val="1"/>
      <w:marLeft w:val="0"/>
      <w:marRight w:val="0"/>
      <w:marTop w:val="0"/>
      <w:marBottom w:val="0"/>
      <w:divBdr>
        <w:top w:val="none" w:sz="0" w:space="0" w:color="auto"/>
        <w:left w:val="none" w:sz="0" w:space="0" w:color="auto"/>
        <w:bottom w:val="none" w:sz="0" w:space="0" w:color="auto"/>
        <w:right w:val="none" w:sz="0" w:space="0" w:color="auto"/>
      </w:divBdr>
      <w:divsChild>
        <w:div w:id="1447845666">
          <w:marLeft w:val="0"/>
          <w:marRight w:val="0"/>
          <w:marTop w:val="0"/>
          <w:marBottom w:val="0"/>
          <w:divBdr>
            <w:top w:val="none" w:sz="0" w:space="0" w:color="auto"/>
            <w:left w:val="none" w:sz="0" w:space="0" w:color="auto"/>
            <w:bottom w:val="none" w:sz="0" w:space="0" w:color="auto"/>
            <w:right w:val="none" w:sz="0" w:space="0" w:color="auto"/>
          </w:divBdr>
          <w:divsChild>
            <w:div w:id="81144709">
              <w:marLeft w:val="0"/>
              <w:marRight w:val="0"/>
              <w:marTop w:val="0"/>
              <w:marBottom w:val="0"/>
              <w:divBdr>
                <w:top w:val="none" w:sz="0" w:space="0" w:color="auto"/>
                <w:left w:val="none" w:sz="0" w:space="0" w:color="auto"/>
                <w:bottom w:val="none" w:sz="0" w:space="0" w:color="auto"/>
                <w:right w:val="none" w:sz="0" w:space="0" w:color="auto"/>
              </w:divBdr>
            </w:div>
            <w:div w:id="115024191">
              <w:marLeft w:val="0"/>
              <w:marRight w:val="0"/>
              <w:marTop w:val="0"/>
              <w:marBottom w:val="0"/>
              <w:divBdr>
                <w:top w:val="none" w:sz="0" w:space="0" w:color="auto"/>
                <w:left w:val="none" w:sz="0" w:space="0" w:color="auto"/>
                <w:bottom w:val="none" w:sz="0" w:space="0" w:color="auto"/>
                <w:right w:val="none" w:sz="0" w:space="0" w:color="auto"/>
              </w:divBdr>
            </w:div>
            <w:div w:id="221406399">
              <w:marLeft w:val="0"/>
              <w:marRight w:val="0"/>
              <w:marTop w:val="0"/>
              <w:marBottom w:val="0"/>
              <w:divBdr>
                <w:top w:val="none" w:sz="0" w:space="0" w:color="auto"/>
                <w:left w:val="none" w:sz="0" w:space="0" w:color="auto"/>
                <w:bottom w:val="none" w:sz="0" w:space="0" w:color="auto"/>
                <w:right w:val="none" w:sz="0" w:space="0" w:color="auto"/>
              </w:divBdr>
            </w:div>
            <w:div w:id="235239249">
              <w:marLeft w:val="0"/>
              <w:marRight w:val="0"/>
              <w:marTop w:val="0"/>
              <w:marBottom w:val="0"/>
              <w:divBdr>
                <w:top w:val="none" w:sz="0" w:space="0" w:color="auto"/>
                <w:left w:val="none" w:sz="0" w:space="0" w:color="auto"/>
                <w:bottom w:val="none" w:sz="0" w:space="0" w:color="auto"/>
                <w:right w:val="none" w:sz="0" w:space="0" w:color="auto"/>
              </w:divBdr>
            </w:div>
            <w:div w:id="326714279">
              <w:marLeft w:val="0"/>
              <w:marRight w:val="0"/>
              <w:marTop w:val="0"/>
              <w:marBottom w:val="0"/>
              <w:divBdr>
                <w:top w:val="none" w:sz="0" w:space="0" w:color="auto"/>
                <w:left w:val="none" w:sz="0" w:space="0" w:color="auto"/>
                <w:bottom w:val="none" w:sz="0" w:space="0" w:color="auto"/>
                <w:right w:val="none" w:sz="0" w:space="0" w:color="auto"/>
              </w:divBdr>
            </w:div>
            <w:div w:id="743986865">
              <w:marLeft w:val="0"/>
              <w:marRight w:val="0"/>
              <w:marTop w:val="0"/>
              <w:marBottom w:val="0"/>
              <w:divBdr>
                <w:top w:val="none" w:sz="0" w:space="0" w:color="auto"/>
                <w:left w:val="none" w:sz="0" w:space="0" w:color="auto"/>
                <w:bottom w:val="none" w:sz="0" w:space="0" w:color="auto"/>
                <w:right w:val="none" w:sz="0" w:space="0" w:color="auto"/>
              </w:divBdr>
            </w:div>
            <w:div w:id="817381522">
              <w:marLeft w:val="0"/>
              <w:marRight w:val="0"/>
              <w:marTop w:val="0"/>
              <w:marBottom w:val="0"/>
              <w:divBdr>
                <w:top w:val="none" w:sz="0" w:space="0" w:color="auto"/>
                <w:left w:val="none" w:sz="0" w:space="0" w:color="auto"/>
                <w:bottom w:val="none" w:sz="0" w:space="0" w:color="auto"/>
                <w:right w:val="none" w:sz="0" w:space="0" w:color="auto"/>
              </w:divBdr>
            </w:div>
            <w:div w:id="847066512">
              <w:marLeft w:val="0"/>
              <w:marRight w:val="0"/>
              <w:marTop w:val="0"/>
              <w:marBottom w:val="0"/>
              <w:divBdr>
                <w:top w:val="none" w:sz="0" w:space="0" w:color="auto"/>
                <w:left w:val="none" w:sz="0" w:space="0" w:color="auto"/>
                <w:bottom w:val="none" w:sz="0" w:space="0" w:color="auto"/>
                <w:right w:val="none" w:sz="0" w:space="0" w:color="auto"/>
              </w:divBdr>
            </w:div>
            <w:div w:id="1178274019">
              <w:marLeft w:val="0"/>
              <w:marRight w:val="0"/>
              <w:marTop w:val="0"/>
              <w:marBottom w:val="0"/>
              <w:divBdr>
                <w:top w:val="none" w:sz="0" w:space="0" w:color="auto"/>
                <w:left w:val="none" w:sz="0" w:space="0" w:color="auto"/>
                <w:bottom w:val="none" w:sz="0" w:space="0" w:color="auto"/>
                <w:right w:val="none" w:sz="0" w:space="0" w:color="auto"/>
              </w:divBdr>
            </w:div>
            <w:div w:id="1347486509">
              <w:marLeft w:val="0"/>
              <w:marRight w:val="0"/>
              <w:marTop w:val="0"/>
              <w:marBottom w:val="0"/>
              <w:divBdr>
                <w:top w:val="none" w:sz="0" w:space="0" w:color="auto"/>
                <w:left w:val="none" w:sz="0" w:space="0" w:color="auto"/>
                <w:bottom w:val="none" w:sz="0" w:space="0" w:color="auto"/>
                <w:right w:val="none" w:sz="0" w:space="0" w:color="auto"/>
              </w:divBdr>
            </w:div>
            <w:div w:id="1576817936">
              <w:marLeft w:val="0"/>
              <w:marRight w:val="0"/>
              <w:marTop w:val="0"/>
              <w:marBottom w:val="0"/>
              <w:divBdr>
                <w:top w:val="none" w:sz="0" w:space="0" w:color="auto"/>
                <w:left w:val="none" w:sz="0" w:space="0" w:color="auto"/>
                <w:bottom w:val="none" w:sz="0" w:space="0" w:color="auto"/>
                <w:right w:val="none" w:sz="0" w:space="0" w:color="auto"/>
              </w:divBdr>
            </w:div>
            <w:div w:id="1847132499">
              <w:marLeft w:val="0"/>
              <w:marRight w:val="0"/>
              <w:marTop w:val="0"/>
              <w:marBottom w:val="0"/>
              <w:divBdr>
                <w:top w:val="none" w:sz="0" w:space="0" w:color="auto"/>
                <w:left w:val="none" w:sz="0" w:space="0" w:color="auto"/>
                <w:bottom w:val="none" w:sz="0" w:space="0" w:color="auto"/>
                <w:right w:val="none" w:sz="0" w:space="0" w:color="auto"/>
              </w:divBdr>
            </w:div>
            <w:div w:id="2016371755">
              <w:marLeft w:val="0"/>
              <w:marRight w:val="0"/>
              <w:marTop w:val="0"/>
              <w:marBottom w:val="0"/>
              <w:divBdr>
                <w:top w:val="none" w:sz="0" w:space="0" w:color="auto"/>
                <w:left w:val="none" w:sz="0" w:space="0" w:color="auto"/>
                <w:bottom w:val="none" w:sz="0" w:space="0" w:color="auto"/>
                <w:right w:val="none" w:sz="0" w:space="0" w:color="auto"/>
              </w:divBdr>
            </w:div>
            <w:div w:id="2107266270">
              <w:marLeft w:val="0"/>
              <w:marRight w:val="0"/>
              <w:marTop w:val="0"/>
              <w:marBottom w:val="0"/>
              <w:divBdr>
                <w:top w:val="none" w:sz="0" w:space="0" w:color="auto"/>
                <w:left w:val="none" w:sz="0" w:space="0" w:color="auto"/>
                <w:bottom w:val="none" w:sz="0" w:space="0" w:color="auto"/>
                <w:right w:val="none" w:sz="0" w:space="0" w:color="auto"/>
              </w:divBdr>
            </w:div>
            <w:div w:id="2126002959">
              <w:marLeft w:val="0"/>
              <w:marRight w:val="0"/>
              <w:marTop w:val="0"/>
              <w:marBottom w:val="0"/>
              <w:divBdr>
                <w:top w:val="none" w:sz="0" w:space="0" w:color="auto"/>
                <w:left w:val="none" w:sz="0" w:space="0" w:color="auto"/>
                <w:bottom w:val="none" w:sz="0" w:space="0" w:color="auto"/>
                <w:right w:val="none" w:sz="0" w:space="0" w:color="auto"/>
              </w:divBdr>
            </w:div>
          </w:divsChild>
        </w:div>
        <w:div w:id="1937901777">
          <w:marLeft w:val="0"/>
          <w:marRight w:val="0"/>
          <w:marTop w:val="0"/>
          <w:marBottom w:val="0"/>
          <w:divBdr>
            <w:top w:val="none" w:sz="0" w:space="0" w:color="auto"/>
            <w:left w:val="none" w:sz="0" w:space="0" w:color="auto"/>
            <w:bottom w:val="none" w:sz="0" w:space="0" w:color="auto"/>
            <w:right w:val="none" w:sz="0" w:space="0" w:color="auto"/>
          </w:divBdr>
          <w:divsChild>
            <w:div w:id="466901772">
              <w:marLeft w:val="0"/>
              <w:marRight w:val="0"/>
              <w:marTop w:val="0"/>
              <w:marBottom w:val="0"/>
              <w:divBdr>
                <w:top w:val="none" w:sz="0" w:space="0" w:color="auto"/>
                <w:left w:val="none" w:sz="0" w:space="0" w:color="auto"/>
                <w:bottom w:val="none" w:sz="0" w:space="0" w:color="auto"/>
                <w:right w:val="none" w:sz="0" w:space="0" w:color="auto"/>
              </w:divBdr>
            </w:div>
            <w:div w:id="740952333">
              <w:marLeft w:val="0"/>
              <w:marRight w:val="0"/>
              <w:marTop w:val="0"/>
              <w:marBottom w:val="0"/>
              <w:divBdr>
                <w:top w:val="none" w:sz="0" w:space="0" w:color="auto"/>
                <w:left w:val="none" w:sz="0" w:space="0" w:color="auto"/>
                <w:bottom w:val="none" w:sz="0" w:space="0" w:color="auto"/>
                <w:right w:val="none" w:sz="0" w:space="0" w:color="auto"/>
              </w:divBdr>
            </w:div>
            <w:div w:id="752897552">
              <w:marLeft w:val="0"/>
              <w:marRight w:val="0"/>
              <w:marTop w:val="0"/>
              <w:marBottom w:val="0"/>
              <w:divBdr>
                <w:top w:val="none" w:sz="0" w:space="0" w:color="auto"/>
                <w:left w:val="none" w:sz="0" w:space="0" w:color="auto"/>
                <w:bottom w:val="none" w:sz="0" w:space="0" w:color="auto"/>
                <w:right w:val="none" w:sz="0" w:space="0" w:color="auto"/>
              </w:divBdr>
            </w:div>
            <w:div w:id="1059785595">
              <w:marLeft w:val="0"/>
              <w:marRight w:val="0"/>
              <w:marTop w:val="0"/>
              <w:marBottom w:val="0"/>
              <w:divBdr>
                <w:top w:val="none" w:sz="0" w:space="0" w:color="auto"/>
                <w:left w:val="none" w:sz="0" w:space="0" w:color="auto"/>
                <w:bottom w:val="none" w:sz="0" w:space="0" w:color="auto"/>
                <w:right w:val="none" w:sz="0" w:space="0" w:color="auto"/>
              </w:divBdr>
            </w:div>
            <w:div w:id="1695888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1113399">
      <w:bodyDiv w:val="1"/>
      <w:marLeft w:val="0"/>
      <w:marRight w:val="0"/>
      <w:marTop w:val="0"/>
      <w:marBottom w:val="0"/>
      <w:divBdr>
        <w:top w:val="none" w:sz="0" w:space="0" w:color="auto"/>
        <w:left w:val="none" w:sz="0" w:space="0" w:color="auto"/>
        <w:bottom w:val="none" w:sz="0" w:space="0" w:color="auto"/>
        <w:right w:val="none" w:sz="0" w:space="0" w:color="auto"/>
      </w:divBdr>
    </w:div>
    <w:div w:id="1342203870">
      <w:bodyDiv w:val="1"/>
      <w:marLeft w:val="0"/>
      <w:marRight w:val="0"/>
      <w:marTop w:val="0"/>
      <w:marBottom w:val="0"/>
      <w:divBdr>
        <w:top w:val="none" w:sz="0" w:space="0" w:color="auto"/>
        <w:left w:val="none" w:sz="0" w:space="0" w:color="auto"/>
        <w:bottom w:val="none" w:sz="0" w:space="0" w:color="auto"/>
        <w:right w:val="none" w:sz="0" w:space="0" w:color="auto"/>
      </w:divBdr>
    </w:div>
    <w:div w:id="1389305801">
      <w:bodyDiv w:val="1"/>
      <w:marLeft w:val="0"/>
      <w:marRight w:val="0"/>
      <w:marTop w:val="0"/>
      <w:marBottom w:val="0"/>
      <w:divBdr>
        <w:top w:val="none" w:sz="0" w:space="0" w:color="auto"/>
        <w:left w:val="none" w:sz="0" w:space="0" w:color="auto"/>
        <w:bottom w:val="none" w:sz="0" w:space="0" w:color="auto"/>
        <w:right w:val="none" w:sz="0" w:space="0" w:color="auto"/>
      </w:divBdr>
    </w:div>
    <w:div w:id="1441608417">
      <w:bodyDiv w:val="1"/>
      <w:marLeft w:val="0"/>
      <w:marRight w:val="0"/>
      <w:marTop w:val="0"/>
      <w:marBottom w:val="0"/>
      <w:divBdr>
        <w:top w:val="none" w:sz="0" w:space="0" w:color="auto"/>
        <w:left w:val="none" w:sz="0" w:space="0" w:color="auto"/>
        <w:bottom w:val="none" w:sz="0" w:space="0" w:color="auto"/>
        <w:right w:val="none" w:sz="0" w:space="0" w:color="auto"/>
      </w:divBdr>
    </w:div>
    <w:div w:id="1485774362">
      <w:bodyDiv w:val="1"/>
      <w:marLeft w:val="0"/>
      <w:marRight w:val="0"/>
      <w:marTop w:val="0"/>
      <w:marBottom w:val="0"/>
      <w:divBdr>
        <w:top w:val="none" w:sz="0" w:space="0" w:color="auto"/>
        <w:left w:val="none" w:sz="0" w:space="0" w:color="auto"/>
        <w:bottom w:val="none" w:sz="0" w:space="0" w:color="auto"/>
        <w:right w:val="none" w:sz="0" w:space="0" w:color="auto"/>
      </w:divBdr>
    </w:div>
    <w:div w:id="1487547513">
      <w:bodyDiv w:val="1"/>
      <w:marLeft w:val="0"/>
      <w:marRight w:val="0"/>
      <w:marTop w:val="0"/>
      <w:marBottom w:val="0"/>
      <w:divBdr>
        <w:top w:val="none" w:sz="0" w:space="0" w:color="auto"/>
        <w:left w:val="none" w:sz="0" w:space="0" w:color="auto"/>
        <w:bottom w:val="none" w:sz="0" w:space="0" w:color="auto"/>
        <w:right w:val="none" w:sz="0" w:space="0" w:color="auto"/>
      </w:divBdr>
      <w:divsChild>
        <w:div w:id="804391136">
          <w:marLeft w:val="0"/>
          <w:marRight w:val="0"/>
          <w:marTop w:val="0"/>
          <w:marBottom w:val="0"/>
          <w:divBdr>
            <w:top w:val="none" w:sz="0" w:space="0" w:color="auto"/>
            <w:left w:val="none" w:sz="0" w:space="0" w:color="auto"/>
            <w:bottom w:val="none" w:sz="0" w:space="0" w:color="auto"/>
            <w:right w:val="none" w:sz="0" w:space="0" w:color="auto"/>
          </w:divBdr>
          <w:divsChild>
            <w:div w:id="106430900">
              <w:marLeft w:val="0"/>
              <w:marRight w:val="0"/>
              <w:marTop w:val="0"/>
              <w:marBottom w:val="0"/>
              <w:divBdr>
                <w:top w:val="none" w:sz="0" w:space="0" w:color="auto"/>
                <w:left w:val="none" w:sz="0" w:space="0" w:color="auto"/>
                <w:bottom w:val="none" w:sz="0" w:space="0" w:color="auto"/>
                <w:right w:val="none" w:sz="0" w:space="0" w:color="auto"/>
              </w:divBdr>
            </w:div>
            <w:div w:id="263198784">
              <w:marLeft w:val="0"/>
              <w:marRight w:val="0"/>
              <w:marTop w:val="0"/>
              <w:marBottom w:val="0"/>
              <w:divBdr>
                <w:top w:val="none" w:sz="0" w:space="0" w:color="auto"/>
                <w:left w:val="none" w:sz="0" w:space="0" w:color="auto"/>
                <w:bottom w:val="none" w:sz="0" w:space="0" w:color="auto"/>
                <w:right w:val="none" w:sz="0" w:space="0" w:color="auto"/>
              </w:divBdr>
            </w:div>
            <w:div w:id="407582046">
              <w:marLeft w:val="0"/>
              <w:marRight w:val="0"/>
              <w:marTop w:val="0"/>
              <w:marBottom w:val="0"/>
              <w:divBdr>
                <w:top w:val="none" w:sz="0" w:space="0" w:color="auto"/>
                <w:left w:val="none" w:sz="0" w:space="0" w:color="auto"/>
                <w:bottom w:val="none" w:sz="0" w:space="0" w:color="auto"/>
                <w:right w:val="none" w:sz="0" w:space="0" w:color="auto"/>
              </w:divBdr>
            </w:div>
            <w:div w:id="442462366">
              <w:marLeft w:val="0"/>
              <w:marRight w:val="0"/>
              <w:marTop w:val="0"/>
              <w:marBottom w:val="0"/>
              <w:divBdr>
                <w:top w:val="none" w:sz="0" w:space="0" w:color="auto"/>
                <w:left w:val="none" w:sz="0" w:space="0" w:color="auto"/>
                <w:bottom w:val="none" w:sz="0" w:space="0" w:color="auto"/>
                <w:right w:val="none" w:sz="0" w:space="0" w:color="auto"/>
              </w:divBdr>
            </w:div>
            <w:div w:id="1250890501">
              <w:marLeft w:val="0"/>
              <w:marRight w:val="0"/>
              <w:marTop w:val="0"/>
              <w:marBottom w:val="0"/>
              <w:divBdr>
                <w:top w:val="none" w:sz="0" w:space="0" w:color="auto"/>
                <w:left w:val="none" w:sz="0" w:space="0" w:color="auto"/>
                <w:bottom w:val="none" w:sz="0" w:space="0" w:color="auto"/>
                <w:right w:val="none" w:sz="0" w:space="0" w:color="auto"/>
              </w:divBdr>
            </w:div>
          </w:divsChild>
        </w:div>
        <w:div w:id="1616984110">
          <w:marLeft w:val="0"/>
          <w:marRight w:val="0"/>
          <w:marTop w:val="0"/>
          <w:marBottom w:val="0"/>
          <w:divBdr>
            <w:top w:val="none" w:sz="0" w:space="0" w:color="auto"/>
            <w:left w:val="none" w:sz="0" w:space="0" w:color="auto"/>
            <w:bottom w:val="none" w:sz="0" w:space="0" w:color="auto"/>
            <w:right w:val="none" w:sz="0" w:space="0" w:color="auto"/>
          </w:divBdr>
          <w:divsChild>
            <w:div w:id="40402295">
              <w:marLeft w:val="0"/>
              <w:marRight w:val="0"/>
              <w:marTop w:val="0"/>
              <w:marBottom w:val="0"/>
              <w:divBdr>
                <w:top w:val="none" w:sz="0" w:space="0" w:color="auto"/>
                <w:left w:val="none" w:sz="0" w:space="0" w:color="auto"/>
                <w:bottom w:val="none" w:sz="0" w:space="0" w:color="auto"/>
                <w:right w:val="none" w:sz="0" w:space="0" w:color="auto"/>
              </w:divBdr>
            </w:div>
            <w:div w:id="139008531">
              <w:marLeft w:val="0"/>
              <w:marRight w:val="0"/>
              <w:marTop w:val="0"/>
              <w:marBottom w:val="0"/>
              <w:divBdr>
                <w:top w:val="none" w:sz="0" w:space="0" w:color="auto"/>
                <w:left w:val="none" w:sz="0" w:space="0" w:color="auto"/>
                <w:bottom w:val="none" w:sz="0" w:space="0" w:color="auto"/>
                <w:right w:val="none" w:sz="0" w:space="0" w:color="auto"/>
              </w:divBdr>
            </w:div>
            <w:div w:id="267858143">
              <w:marLeft w:val="0"/>
              <w:marRight w:val="0"/>
              <w:marTop w:val="0"/>
              <w:marBottom w:val="0"/>
              <w:divBdr>
                <w:top w:val="none" w:sz="0" w:space="0" w:color="auto"/>
                <w:left w:val="none" w:sz="0" w:space="0" w:color="auto"/>
                <w:bottom w:val="none" w:sz="0" w:space="0" w:color="auto"/>
                <w:right w:val="none" w:sz="0" w:space="0" w:color="auto"/>
              </w:divBdr>
            </w:div>
            <w:div w:id="497693637">
              <w:marLeft w:val="0"/>
              <w:marRight w:val="0"/>
              <w:marTop w:val="0"/>
              <w:marBottom w:val="0"/>
              <w:divBdr>
                <w:top w:val="none" w:sz="0" w:space="0" w:color="auto"/>
                <w:left w:val="none" w:sz="0" w:space="0" w:color="auto"/>
                <w:bottom w:val="none" w:sz="0" w:space="0" w:color="auto"/>
                <w:right w:val="none" w:sz="0" w:space="0" w:color="auto"/>
              </w:divBdr>
            </w:div>
            <w:div w:id="761730186">
              <w:marLeft w:val="0"/>
              <w:marRight w:val="0"/>
              <w:marTop w:val="0"/>
              <w:marBottom w:val="0"/>
              <w:divBdr>
                <w:top w:val="none" w:sz="0" w:space="0" w:color="auto"/>
                <w:left w:val="none" w:sz="0" w:space="0" w:color="auto"/>
                <w:bottom w:val="none" w:sz="0" w:space="0" w:color="auto"/>
                <w:right w:val="none" w:sz="0" w:space="0" w:color="auto"/>
              </w:divBdr>
            </w:div>
            <w:div w:id="865557497">
              <w:marLeft w:val="0"/>
              <w:marRight w:val="0"/>
              <w:marTop w:val="0"/>
              <w:marBottom w:val="0"/>
              <w:divBdr>
                <w:top w:val="none" w:sz="0" w:space="0" w:color="auto"/>
                <w:left w:val="none" w:sz="0" w:space="0" w:color="auto"/>
                <w:bottom w:val="none" w:sz="0" w:space="0" w:color="auto"/>
                <w:right w:val="none" w:sz="0" w:space="0" w:color="auto"/>
              </w:divBdr>
            </w:div>
            <w:div w:id="904922498">
              <w:marLeft w:val="0"/>
              <w:marRight w:val="0"/>
              <w:marTop w:val="0"/>
              <w:marBottom w:val="0"/>
              <w:divBdr>
                <w:top w:val="none" w:sz="0" w:space="0" w:color="auto"/>
                <w:left w:val="none" w:sz="0" w:space="0" w:color="auto"/>
                <w:bottom w:val="none" w:sz="0" w:space="0" w:color="auto"/>
                <w:right w:val="none" w:sz="0" w:space="0" w:color="auto"/>
              </w:divBdr>
            </w:div>
            <w:div w:id="1157846015">
              <w:marLeft w:val="0"/>
              <w:marRight w:val="0"/>
              <w:marTop w:val="0"/>
              <w:marBottom w:val="0"/>
              <w:divBdr>
                <w:top w:val="none" w:sz="0" w:space="0" w:color="auto"/>
                <w:left w:val="none" w:sz="0" w:space="0" w:color="auto"/>
                <w:bottom w:val="none" w:sz="0" w:space="0" w:color="auto"/>
                <w:right w:val="none" w:sz="0" w:space="0" w:color="auto"/>
              </w:divBdr>
            </w:div>
            <w:div w:id="1249389435">
              <w:marLeft w:val="0"/>
              <w:marRight w:val="0"/>
              <w:marTop w:val="0"/>
              <w:marBottom w:val="0"/>
              <w:divBdr>
                <w:top w:val="none" w:sz="0" w:space="0" w:color="auto"/>
                <w:left w:val="none" w:sz="0" w:space="0" w:color="auto"/>
                <w:bottom w:val="none" w:sz="0" w:space="0" w:color="auto"/>
                <w:right w:val="none" w:sz="0" w:space="0" w:color="auto"/>
              </w:divBdr>
            </w:div>
            <w:div w:id="1356273924">
              <w:marLeft w:val="0"/>
              <w:marRight w:val="0"/>
              <w:marTop w:val="0"/>
              <w:marBottom w:val="0"/>
              <w:divBdr>
                <w:top w:val="none" w:sz="0" w:space="0" w:color="auto"/>
                <w:left w:val="none" w:sz="0" w:space="0" w:color="auto"/>
                <w:bottom w:val="none" w:sz="0" w:space="0" w:color="auto"/>
                <w:right w:val="none" w:sz="0" w:space="0" w:color="auto"/>
              </w:divBdr>
            </w:div>
            <w:div w:id="1559197799">
              <w:marLeft w:val="0"/>
              <w:marRight w:val="0"/>
              <w:marTop w:val="0"/>
              <w:marBottom w:val="0"/>
              <w:divBdr>
                <w:top w:val="none" w:sz="0" w:space="0" w:color="auto"/>
                <w:left w:val="none" w:sz="0" w:space="0" w:color="auto"/>
                <w:bottom w:val="none" w:sz="0" w:space="0" w:color="auto"/>
                <w:right w:val="none" w:sz="0" w:space="0" w:color="auto"/>
              </w:divBdr>
            </w:div>
            <w:div w:id="1741979213">
              <w:marLeft w:val="0"/>
              <w:marRight w:val="0"/>
              <w:marTop w:val="0"/>
              <w:marBottom w:val="0"/>
              <w:divBdr>
                <w:top w:val="none" w:sz="0" w:space="0" w:color="auto"/>
                <w:left w:val="none" w:sz="0" w:space="0" w:color="auto"/>
                <w:bottom w:val="none" w:sz="0" w:space="0" w:color="auto"/>
                <w:right w:val="none" w:sz="0" w:space="0" w:color="auto"/>
              </w:divBdr>
            </w:div>
            <w:div w:id="1796948956">
              <w:marLeft w:val="0"/>
              <w:marRight w:val="0"/>
              <w:marTop w:val="0"/>
              <w:marBottom w:val="0"/>
              <w:divBdr>
                <w:top w:val="none" w:sz="0" w:space="0" w:color="auto"/>
                <w:left w:val="none" w:sz="0" w:space="0" w:color="auto"/>
                <w:bottom w:val="none" w:sz="0" w:space="0" w:color="auto"/>
                <w:right w:val="none" w:sz="0" w:space="0" w:color="auto"/>
              </w:divBdr>
            </w:div>
            <w:div w:id="1982809490">
              <w:marLeft w:val="0"/>
              <w:marRight w:val="0"/>
              <w:marTop w:val="0"/>
              <w:marBottom w:val="0"/>
              <w:divBdr>
                <w:top w:val="none" w:sz="0" w:space="0" w:color="auto"/>
                <w:left w:val="none" w:sz="0" w:space="0" w:color="auto"/>
                <w:bottom w:val="none" w:sz="0" w:space="0" w:color="auto"/>
                <w:right w:val="none" w:sz="0" w:space="0" w:color="auto"/>
              </w:divBdr>
            </w:div>
            <w:div w:id="2053453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3570176">
      <w:bodyDiv w:val="1"/>
      <w:marLeft w:val="0"/>
      <w:marRight w:val="0"/>
      <w:marTop w:val="0"/>
      <w:marBottom w:val="0"/>
      <w:divBdr>
        <w:top w:val="none" w:sz="0" w:space="0" w:color="auto"/>
        <w:left w:val="none" w:sz="0" w:space="0" w:color="auto"/>
        <w:bottom w:val="none" w:sz="0" w:space="0" w:color="auto"/>
        <w:right w:val="none" w:sz="0" w:space="0" w:color="auto"/>
      </w:divBdr>
    </w:div>
    <w:div w:id="1535264898">
      <w:bodyDiv w:val="1"/>
      <w:marLeft w:val="0"/>
      <w:marRight w:val="0"/>
      <w:marTop w:val="0"/>
      <w:marBottom w:val="0"/>
      <w:divBdr>
        <w:top w:val="none" w:sz="0" w:space="0" w:color="auto"/>
        <w:left w:val="none" w:sz="0" w:space="0" w:color="auto"/>
        <w:bottom w:val="none" w:sz="0" w:space="0" w:color="auto"/>
        <w:right w:val="none" w:sz="0" w:space="0" w:color="auto"/>
      </w:divBdr>
    </w:div>
    <w:div w:id="1537694428">
      <w:bodyDiv w:val="1"/>
      <w:marLeft w:val="0"/>
      <w:marRight w:val="0"/>
      <w:marTop w:val="0"/>
      <w:marBottom w:val="0"/>
      <w:divBdr>
        <w:top w:val="none" w:sz="0" w:space="0" w:color="auto"/>
        <w:left w:val="none" w:sz="0" w:space="0" w:color="auto"/>
        <w:bottom w:val="none" w:sz="0" w:space="0" w:color="auto"/>
        <w:right w:val="none" w:sz="0" w:space="0" w:color="auto"/>
      </w:divBdr>
    </w:div>
    <w:div w:id="1561284442">
      <w:bodyDiv w:val="1"/>
      <w:marLeft w:val="0"/>
      <w:marRight w:val="0"/>
      <w:marTop w:val="0"/>
      <w:marBottom w:val="0"/>
      <w:divBdr>
        <w:top w:val="none" w:sz="0" w:space="0" w:color="auto"/>
        <w:left w:val="none" w:sz="0" w:space="0" w:color="auto"/>
        <w:bottom w:val="none" w:sz="0" w:space="0" w:color="auto"/>
        <w:right w:val="none" w:sz="0" w:space="0" w:color="auto"/>
      </w:divBdr>
    </w:div>
    <w:div w:id="1617255221">
      <w:bodyDiv w:val="1"/>
      <w:marLeft w:val="0"/>
      <w:marRight w:val="0"/>
      <w:marTop w:val="0"/>
      <w:marBottom w:val="0"/>
      <w:divBdr>
        <w:top w:val="none" w:sz="0" w:space="0" w:color="auto"/>
        <w:left w:val="none" w:sz="0" w:space="0" w:color="auto"/>
        <w:bottom w:val="none" w:sz="0" w:space="0" w:color="auto"/>
        <w:right w:val="none" w:sz="0" w:space="0" w:color="auto"/>
      </w:divBdr>
      <w:divsChild>
        <w:div w:id="1334184202">
          <w:marLeft w:val="0"/>
          <w:marRight w:val="0"/>
          <w:marTop w:val="0"/>
          <w:marBottom w:val="0"/>
          <w:divBdr>
            <w:top w:val="none" w:sz="0" w:space="0" w:color="auto"/>
            <w:left w:val="none" w:sz="0" w:space="0" w:color="auto"/>
            <w:bottom w:val="none" w:sz="0" w:space="0" w:color="auto"/>
            <w:right w:val="none" w:sz="0" w:space="0" w:color="auto"/>
          </w:divBdr>
          <w:divsChild>
            <w:div w:id="591862156">
              <w:marLeft w:val="0"/>
              <w:marRight w:val="0"/>
              <w:marTop w:val="0"/>
              <w:marBottom w:val="0"/>
              <w:divBdr>
                <w:top w:val="none" w:sz="0" w:space="0" w:color="auto"/>
                <w:left w:val="none" w:sz="0" w:space="0" w:color="auto"/>
                <w:bottom w:val="none" w:sz="0" w:space="0" w:color="auto"/>
                <w:right w:val="none" w:sz="0" w:space="0" w:color="auto"/>
              </w:divBdr>
            </w:div>
            <w:div w:id="1197154092">
              <w:marLeft w:val="0"/>
              <w:marRight w:val="0"/>
              <w:marTop w:val="0"/>
              <w:marBottom w:val="0"/>
              <w:divBdr>
                <w:top w:val="none" w:sz="0" w:space="0" w:color="auto"/>
                <w:left w:val="none" w:sz="0" w:space="0" w:color="auto"/>
                <w:bottom w:val="none" w:sz="0" w:space="0" w:color="auto"/>
                <w:right w:val="none" w:sz="0" w:space="0" w:color="auto"/>
              </w:divBdr>
            </w:div>
            <w:div w:id="1304500552">
              <w:marLeft w:val="0"/>
              <w:marRight w:val="0"/>
              <w:marTop w:val="0"/>
              <w:marBottom w:val="0"/>
              <w:divBdr>
                <w:top w:val="none" w:sz="0" w:space="0" w:color="auto"/>
                <w:left w:val="none" w:sz="0" w:space="0" w:color="auto"/>
                <w:bottom w:val="none" w:sz="0" w:space="0" w:color="auto"/>
                <w:right w:val="none" w:sz="0" w:space="0" w:color="auto"/>
              </w:divBdr>
            </w:div>
            <w:div w:id="1357347911">
              <w:marLeft w:val="0"/>
              <w:marRight w:val="0"/>
              <w:marTop w:val="0"/>
              <w:marBottom w:val="0"/>
              <w:divBdr>
                <w:top w:val="none" w:sz="0" w:space="0" w:color="auto"/>
                <w:left w:val="none" w:sz="0" w:space="0" w:color="auto"/>
                <w:bottom w:val="none" w:sz="0" w:space="0" w:color="auto"/>
                <w:right w:val="none" w:sz="0" w:space="0" w:color="auto"/>
              </w:divBdr>
            </w:div>
            <w:div w:id="1520313849">
              <w:marLeft w:val="0"/>
              <w:marRight w:val="0"/>
              <w:marTop w:val="0"/>
              <w:marBottom w:val="0"/>
              <w:divBdr>
                <w:top w:val="none" w:sz="0" w:space="0" w:color="auto"/>
                <w:left w:val="none" w:sz="0" w:space="0" w:color="auto"/>
                <w:bottom w:val="none" w:sz="0" w:space="0" w:color="auto"/>
                <w:right w:val="none" w:sz="0" w:space="0" w:color="auto"/>
              </w:divBdr>
            </w:div>
          </w:divsChild>
        </w:div>
        <w:div w:id="1671984819">
          <w:marLeft w:val="0"/>
          <w:marRight w:val="0"/>
          <w:marTop w:val="0"/>
          <w:marBottom w:val="0"/>
          <w:divBdr>
            <w:top w:val="none" w:sz="0" w:space="0" w:color="auto"/>
            <w:left w:val="none" w:sz="0" w:space="0" w:color="auto"/>
            <w:bottom w:val="none" w:sz="0" w:space="0" w:color="auto"/>
            <w:right w:val="none" w:sz="0" w:space="0" w:color="auto"/>
          </w:divBdr>
          <w:divsChild>
            <w:div w:id="10181666">
              <w:marLeft w:val="0"/>
              <w:marRight w:val="0"/>
              <w:marTop w:val="0"/>
              <w:marBottom w:val="0"/>
              <w:divBdr>
                <w:top w:val="none" w:sz="0" w:space="0" w:color="auto"/>
                <w:left w:val="none" w:sz="0" w:space="0" w:color="auto"/>
                <w:bottom w:val="none" w:sz="0" w:space="0" w:color="auto"/>
                <w:right w:val="none" w:sz="0" w:space="0" w:color="auto"/>
              </w:divBdr>
            </w:div>
            <w:div w:id="496581275">
              <w:marLeft w:val="0"/>
              <w:marRight w:val="0"/>
              <w:marTop w:val="0"/>
              <w:marBottom w:val="0"/>
              <w:divBdr>
                <w:top w:val="none" w:sz="0" w:space="0" w:color="auto"/>
                <w:left w:val="none" w:sz="0" w:space="0" w:color="auto"/>
                <w:bottom w:val="none" w:sz="0" w:space="0" w:color="auto"/>
                <w:right w:val="none" w:sz="0" w:space="0" w:color="auto"/>
              </w:divBdr>
            </w:div>
            <w:div w:id="647369792">
              <w:marLeft w:val="0"/>
              <w:marRight w:val="0"/>
              <w:marTop w:val="0"/>
              <w:marBottom w:val="0"/>
              <w:divBdr>
                <w:top w:val="none" w:sz="0" w:space="0" w:color="auto"/>
                <w:left w:val="none" w:sz="0" w:space="0" w:color="auto"/>
                <w:bottom w:val="none" w:sz="0" w:space="0" w:color="auto"/>
                <w:right w:val="none" w:sz="0" w:space="0" w:color="auto"/>
              </w:divBdr>
            </w:div>
            <w:div w:id="784931597">
              <w:marLeft w:val="0"/>
              <w:marRight w:val="0"/>
              <w:marTop w:val="0"/>
              <w:marBottom w:val="0"/>
              <w:divBdr>
                <w:top w:val="none" w:sz="0" w:space="0" w:color="auto"/>
                <w:left w:val="none" w:sz="0" w:space="0" w:color="auto"/>
                <w:bottom w:val="none" w:sz="0" w:space="0" w:color="auto"/>
                <w:right w:val="none" w:sz="0" w:space="0" w:color="auto"/>
              </w:divBdr>
            </w:div>
            <w:div w:id="831288655">
              <w:marLeft w:val="0"/>
              <w:marRight w:val="0"/>
              <w:marTop w:val="0"/>
              <w:marBottom w:val="0"/>
              <w:divBdr>
                <w:top w:val="none" w:sz="0" w:space="0" w:color="auto"/>
                <w:left w:val="none" w:sz="0" w:space="0" w:color="auto"/>
                <w:bottom w:val="none" w:sz="0" w:space="0" w:color="auto"/>
                <w:right w:val="none" w:sz="0" w:space="0" w:color="auto"/>
              </w:divBdr>
            </w:div>
            <w:div w:id="931935457">
              <w:marLeft w:val="0"/>
              <w:marRight w:val="0"/>
              <w:marTop w:val="0"/>
              <w:marBottom w:val="0"/>
              <w:divBdr>
                <w:top w:val="none" w:sz="0" w:space="0" w:color="auto"/>
                <w:left w:val="none" w:sz="0" w:space="0" w:color="auto"/>
                <w:bottom w:val="none" w:sz="0" w:space="0" w:color="auto"/>
                <w:right w:val="none" w:sz="0" w:space="0" w:color="auto"/>
              </w:divBdr>
            </w:div>
            <w:div w:id="968974057">
              <w:marLeft w:val="0"/>
              <w:marRight w:val="0"/>
              <w:marTop w:val="0"/>
              <w:marBottom w:val="0"/>
              <w:divBdr>
                <w:top w:val="none" w:sz="0" w:space="0" w:color="auto"/>
                <w:left w:val="none" w:sz="0" w:space="0" w:color="auto"/>
                <w:bottom w:val="none" w:sz="0" w:space="0" w:color="auto"/>
                <w:right w:val="none" w:sz="0" w:space="0" w:color="auto"/>
              </w:divBdr>
            </w:div>
            <w:div w:id="976953175">
              <w:marLeft w:val="0"/>
              <w:marRight w:val="0"/>
              <w:marTop w:val="0"/>
              <w:marBottom w:val="0"/>
              <w:divBdr>
                <w:top w:val="none" w:sz="0" w:space="0" w:color="auto"/>
                <w:left w:val="none" w:sz="0" w:space="0" w:color="auto"/>
                <w:bottom w:val="none" w:sz="0" w:space="0" w:color="auto"/>
                <w:right w:val="none" w:sz="0" w:space="0" w:color="auto"/>
              </w:divBdr>
            </w:div>
            <w:div w:id="1139807505">
              <w:marLeft w:val="0"/>
              <w:marRight w:val="0"/>
              <w:marTop w:val="0"/>
              <w:marBottom w:val="0"/>
              <w:divBdr>
                <w:top w:val="none" w:sz="0" w:space="0" w:color="auto"/>
                <w:left w:val="none" w:sz="0" w:space="0" w:color="auto"/>
                <w:bottom w:val="none" w:sz="0" w:space="0" w:color="auto"/>
                <w:right w:val="none" w:sz="0" w:space="0" w:color="auto"/>
              </w:divBdr>
            </w:div>
            <w:div w:id="1502961955">
              <w:marLeft w:val="0"/>
              <w:marRight w:val="0"/>
              <w:marTop w:val="0"/>
              <w:marBottom w:val="0"/>
              <w:divBdr>
                <w:top w:val="none" w:sz="0" w:space="0" w:color="auto"/>
                <w:left w:val="none" w:sz="0" w:space="0" w:color="auto"/>
                <w:bottom w:val="none" w:sz="0" w:space="0" w:color="auto"/>
                <w:right w:val="none" w:sz="0" w:space="0" w:color="auto"/>
              </w:divBdr>
            </w:div>
            <w:div w:id="1525172380">
              <w:marLeft w:val="0"/>
              <w:marRight w:val="0"/>
              <w:marTop w:val="0"/>
              <w:marBottom w:val="0"/>
              <w:divBdr>
                <w:top w:val="none" w:sz="0" w:space="0" w:color="auto"/>
                <w:left w:val="none" w:sz="0" w:space="0" w:color="auto"/>
                <w:bottom w:val="none" w:sz="0" w:space="0" w:color="auto"/>
                <w:right w:val="none" w:sz="0" w:space="0" w:color="auto"/>
              </w:divBdr>
            </w:div>
            <w:div w:id="1549798099">
              <w:marLeft w:val="0"/>
              <w:marRight w:val="0"/>
              <w:marTop w:val="0"/>
              <w:marBottom w:val="0"/>
              <w:divBdr>
                <w:top w:val="none" w:sz="0" w:space="0" w:color="auto"/>
                <w:left w:val="none" w:sz="0" w:space="0" w:color="auto"/>
                <w:bottom w:val="none" w:sz="0" w:space="0" w:color="auto"/>
                <w:right w:val="none" w:sz="0" w:space="0" w:color="auto"/>
              </w:divBdr>
            </w:div>
            <w:div w:id="1797794931">
              <w:marLeft w:val="0"/>
              <w:marRight w:val="0"/>
              <w:marTop w:val="0"/>
              <w:marBottom w:val="0"/>
              <w:divBdr>
                <w:top w:val="none" w:sz="0" w:space="0" w:color="auto"/>
                <w:left w:val="none" w:sz="0" w:space="0" w:color="auto"/>
                <w:bottom w:val="none" w:sz="0" w:space="0" w:color="auto"/>
                <w:right w:val="none" w:sz="0" w:space="0" w:color="auto"/>
              </w:divBdr>
            </w:div>
            <w:div w:id="1857039134">
              <w:marLeft w:val="0"/>
              <w:marRight w:val="0"/>
              <w:marTop w:val="0"/>
              <w:marBottom w:val="0"/>
              <w:divBdr>
                <w:top w:val="none" w:sz="0" w:space="0" w:color="auto"/>
                <w:left w:val="none" w:sz="0" w:space="0" w:color="auto"/>
                <w:bottom w:val="none" w:sz="0" w:space="0" w:color="auto"/>
                <w:right w:val="none" w:sz="0" w:space="0" w:color="auto"/>
              </w:divBdr>
            </w:div>
            <w:div w:id="2118407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8657756">
      <w:bodyDiv w:val="1"/>
      <w:marLeft w:val="0"/>
      <w:marRight w:val="0"/>
      <w:marTop w:val="0"/>
      <w:marBottom w:val="0"/>
      <w:divBdr>
        <w:top w:val="none" w:sz="0" w:space="0" w:color="auto"/>
        <w:left w:val="none" w:sz="0" w:space="0" w:color="auto"/>
        <w:bottom w:val="none" w:sz="0" w:space="0" w:color="auto"/>
        <w:right w:val="none" w:sz="0" w:space="0" w:color="auto"/>
      </w:divBdr>
    </w:div>
    <w:div w:id="1637104362">
      <w:bodyDiv w:val="1"/>
      <w:marLeft w:val="0"/>
      <w:marRight w:val="0"/>
      <w:marTop w:val="0"/>
      <w:marBottom w:val="0"/>
      <w:divBdr>
        <w:top w:val="none" w:sz="0" w:space="0" w:color="auto"/>
        <w:left w:val="none" w:sz="0" w:space="0" w:color="auto"/>
        <w:bottom w:val="none" w:sz="0" w:space="0" w:color="auto"/>
        <w:right w:val="none" w:sz="0" w:space="0" w:color="auto"/>
      </w:divBdr>
    </w:div>
    <w:div w:id="1659071738">
      <w:bodyDiv w:val="1"/>
      <w:marLeft w:val="0"/>
      <w:marRight w:val="0"/>
      <w:marTop w:val="0"/>
      <w:marBottom w:val="0"/>
      <w:divBdr>
        <w:top w:val="none" w:sz="0" w:space="0" w:color="auto"/>
        <w:left w:val="none" w:sz="0" w:space="0" w:color="auto"/>
        <w:bottom w:val="none" w:sz="0" w:space="0" w:color="auto"/>
        <w:right w:val="none" w:sz="0" w:space="0" w:color="auto"/>
      </w:divBdr>
    </w:div>
    <w:div w:id="1663849859">
      <w:bodyDiv w:val="1"/>
      <w:marLeft w:val="0"/>
      <w:marRight w:val="0"/>
      <w:marTop w:val="0"/>
      <w:marBottom w:val="0"/>
      <w:divBdr>
        <w:top w:val="none" w:sz="0" w:space="0" w:color="auto"/>
        <w:left w:val="none" w:sz="0" w:space="0" w:color="auto"/>
        <w:bottom w:val="none" w:sz="0" w:space="0" w:color="auto"/>
        <w:right w:val="none" w:sz="0" w:space="0" w:color="auto"/>
      </w:divBdr>
    </w:div>
    <w:div w:id="1669290233">
      <w:bodyDiv w:val="1"/>
      <w:marLeft w:val="0"/>
      <w:marRight w:val="0"/>
      <w:marTop w:val="0"/>
      <w:marBottom w:val="0"/>
      <w:divBdr>
        <w:top w:val="none" w:sz="0" w:space="0" w:color="auto"/>
        <w:left w:val="none" w:sz="0" w:space="0" w:color="auto"/>
        <w:bottom w:val="none" w:sz="0" w:space="0" w:color="auto"/>
        <w:right w:val="none" w:sz="0" w:space="0" w:color="auto"/>
      </w:divBdr>
    </w:div>
    <w:div w:id="1684239127">
      <w:bodyDiv w:val="1"/>
      <w:marLeft w:val="0"/>
      <w:marRight w:val="0"/>
      <w:marTop w:val="0"/>
      <w:marBottom w:val="0"/>
      <w:divBdr>
        <w:top w:val="none" w:sz="0" w:space="0" w:color="auto"/>
        <w:left w:val="none" w:sz="0" w:space="0" w:color="auto"/>
        <w:bottom w:val="none" w:sz="0" w:space="0" w:color="auto"/>
        <w:right w:val="none" w:sz="0" w:space="0" w:color="auto"/>
      </w:divBdr>
      <w:divsChild>
        <w:div w:id="358567">
          <w:marLeft w:val="0"/>
          <w:marRight w:val="0"/>
          <w:marTop w:val="0"/>
          <w:marBottom w:val="0"/>
          <w:divBdr>
            <w:top w:val="none" w:sz="0" w:space="0" w:color="auto"/>
            <w:left w:val="none" w:sz="0" w:space="0" w:color="auto"/>
            <w:bottom w:val="none" w:sz="0" w:space="0" w:color="auto"/>
            <w:right w:val="none" w:sz="0" w:space="0" w:color="auto"/>
          </w:divBdr>
          <w:divsChild>
            <w:div w:id="1706900934">
              <w:marLeft w:val="0"/>
              <w:marRight w:val="0"/>
              <w:marTop w:val="0"/>
              <w:marBottom w:val="0"/>
              <w:divBdr>
                <w:top w:val="none" w:sz="0" w:space="0" w:color="auto"/>
                <w:left w:val="none" w:sz="0" w:space="0" w:color="auto"/>
                <w:bottom w:val="none" w:sz="0" w:space="0" w:color="auto"/>
                <w:right w:val="none" w:sz="0" w:space="0" w:color="auto"/>
              </w:divBdr>
            </w:div>
          </w:divsChild>
        </w:div>
        <w:div w:id="12734051">
          <w:marLeft w:val="0"/>
          <w:marRight w:val="0"/>
          <w:marTop w:val="0"/>
          <w:marBottom w:val="0"/>
          <w:divBdr>
            <w:top w:val="none" w:sz="0" w:space="0" w:color="auto"/>
            <w:left w:val="none" w:sz="0" w:space="0" w:color="auto"/>
            <w:bottom w:val="none" w:sz="0" w:space="0" w:color="auto"/>
            <w:right w:val="none" w:sz="0" w:space="0" w:color="auto"/>
          </w:divBdr>
          <w:divsChild>
            <w:div w:id="603683338">
              <w:marLeft w:val="0"/>
              <w:marRight w:val="0"/>
              <w:marTop w:val="0"/>
              <w:marBottom w:val="0"/>
              <w:divBdr>
                <w:top w:val="none" w:sz="0" w:space="0" w:color="auto"/>
                <w:left w:val="none" w:sz="0" w:space="0" w:color="auto"/>
                <w:bottom w:val="none" w:sz="0" w:space="0" w:color="auto"/>
                <w:right w:val="none" w:sz="0" w:space="0" w:color="auto"/>
              </w:divBdr>
            </w:div>
          </w:divsChild>
        </w:div>
        <w:div w:id="252975090">
          <w:marLeft w:val="0"/>
          <w:marRight w:val="0"/>
          <w:marTop w:val="0"/>
          <w:marBottom w:val="0"/>
          <w:divBdr>
            <w:top w:val="none" w:sz="0" w:space="0" w:color="auto"/>
            <w:left w:val="none" w:sz="0" w:space="0" w:color="auto"/>
            <w:bottom w:val="none" w:sz="0" w:space="0" w:color="auto"/>
            <w:right w:val="none" w:sz="0" w:space="0" w:color="auto"/>
          </w:divBdr>
          <w:divsChild>
            <w:div w:id="313143172">
              <w:marLeft w:val="0"/>
              <w:marRight w:val="0"/>
              <w:marTop w:val="0"/>
              <w:marBottom w:val="0"/>
              <w:divBdr>
                <w:top w:val="none" w:sz="0" w:space="0" w:color="auto"/>
                <w:left w:val="none" w:sz="0" w:space="0" w:color="auto"/>
                <w:bottom w:val="none" w:sz="0" w:space="0" w:color="auto"/>
                <w:right w:val="none" w:sz="0" w:space="0" w:color="auto"/>
              </w:divBdr>
            </w:div>
            <w:div w:id="1639458575">
              <w:marLeft w:val="0"/>
              <w:marRight w:val="0"/>
              <w:marTop w:val="0"/>
              <w:marBottom w:val="0"/>
              <w:divBdr>
                <w:top w:val="none" w:sz="0" w:space="0" w:color="auto"/>
                <w:left w:val="none" w:sz="0" w:space="0" w:color="auto"/>
                <w:bottom w:val="none" w:sz="0" w:space="0" w:color="auto"/>
                <w:right w:val="none" w:sz="0" w:space="0" w:color="auto"/>
              </w:divBdr>
            </w:div>
            <w:div w:id="1714310864">
              <w:marLeft w:val="0"/>
              <w:marRight w:val="0"/>
              <w:marTop w:val="0"/>
              <w:marBottom w:val="0"/>
              <w:divBdr>
                <w:top w:val="none" w:sz="0" w:space="0" w:color="auto"/>
                <w:left w:val="none" w:sz="0" w:space="0" w:color="auto"/>
                <w:bottom w:val="none" w:sz="0" w:space="0" w:color="auto"/>
                <w:right w:val="none" w:sz="0" w:space="0" w:color="auto"/>
              </w:divBdr>
            </w:div>
          </w:divsChild>
        </w:div>
        <w:div w:id="254017700">
          <w:marLeft w:val="0"/>
          <w:marRight w:val="0"/>
          <w:marTop w:val="0"/>
          <w:marBottom w:val="0"/>
          <w:divBdr>
            <w:top w:val="none" w:sz="0" w:space="0" w:color="auto"/>
            <w:left w:val="none" w:sz="0" w:space="0" w:color="auto"/>
            <w:bottom w:val="none" w:sz="0" w:space="0" w:color="auto"/>
            <w:right w:val="none" w:sz="0" w:space="0" w:color="auto"/>
          </w:divBdr>
          <w:divsChild>
            <w:div w:id="943266104">
              <w:marLeft w:val="0"/>
              <w:marRight w:val="0"/>
              <w:marTop w:val="0"/>
              <w:marBottom w:val="0"/>
              <w:divBdr>
                <w:top w:val="none" w:sz="0" w:space="0" w:color="auto"/>
                <w:left w:val="none" w:sz="0" w:space="0" w:color="auto"/>
                <w:bottom w:val="none" w:sz="0" w:space="0" w:color="auto"/>
                <w:right w:val="none" w:sz="0" w:space="0" w:color="auto"/>
              </w:divBdr>
            </w:div>
          </w:divsChild>
        </w:div>
        <w:div w:id="269121281">
          <w:marLeft w:val="0"/>
          <w:marRight w:val="0"/>
          <w:marTop w:val="0"/>
          <w:marBottom w:val="0"/>
          <w:divBdr>
            <w:top w:val="none" w:sz="0" w:space="0" w:color="auto"/>
            <w:left w:val="none" w:sz="0" w:space="0" w:color="auto"/>
            <w:bottom w:val="none" w:sz="0" w:space="0" w:color="auto"/>
            <w:right w:val="none" w:sz="0" w:space="0" w:color="auto"/>
          </w:divBdr>
          <w:divsChild>
            <w:div w:id="55713484">
              <w:marLeft w:val="0"/>
              <w:marRight w:val="0"/>
              <w:marTop w:val="0"/>
              <w:marBottom w:val="0"/>
              <w:divBdr>
                <w:top w:val="none" w:sz="0" w:space="0" w:color="auto"/>
                <w:left w:val="none" w:sz="0" w:space="0" w:color="auto"/>
                <w:bottom w:val="none" w:sz="0" w:space="0" w:color="auto"/>
                <w:right w:val="none" w:sz="0" w:space="0" w:color="auto"/>
              </w:divBdr>
            </w:div>
          </w:divsChild>
        </w:div>
        <w:div w:id="308941980">
          <w:marLeft w:val="0"/>
          <w:marRight w:val="0"/>
          <w:marTop w:val="0"/>
          <w:marBottom w:val="0"/>
          <w:divBdr>
            <w:top w:val="none" w:sz="0" w:space="0" w:color="auto"/>
            <w:left w:val="none" w:sz="0" w:space="0" w:color="auto"/>
            <w:bottom w:val="none" w:sz="0" w:space="0" w:color="auto"/>
            <w:right w:val="none" w:sz="0" w:space="0" w:color="auto"/>
          </w:divBdr>
          <w:divsChild>
            <w:div w:id="1316377796">
              <w:marLeft w:val="0"/>
              <w:marRight w:val="0"/>
              <w:marTop w:val="0"/>
              <w:marBottom w:val="0"/>
              <w:divBdr>
                <w:top w:val="none" w:sz="0" w:space="0" w:color="auto"/>
                <w:left w:val="none" w:sz="0" w:space="0" w:color="auto"/>
                <w:bottom w:val="none" w:sz="0" w:space="0" w:color="auto"/>
                <w:right w:val="none" w:sz="0" w:space="0" w:color="auto"/>
              </w:divBdr>
            </w:div>
          </w:divsChild>
        </w:div>
        <w:div w:id="333916797">
          <w:marLeft w:val="0"/>
          <w:marRight w:val="0"/>
          <w:marTop w:val="0"/>
          <w:marBottom w:val="0"/>
          <w:divBdr>
            <w:top w:val="none" w:sz="0" w:space="0" w:color="auto"/>
            <w:left w:val="none" w:sz="0" w:space="0" w:color="auto"/>
            <w:bottom w:val="none" w:sz="0" w:space="0" w:color="auto"/>
            <w:right w:val="none" w:sz="0" w:space="0" w:color="auto"/>
          </w:divBdr>
          <w:divsChild>
            <w:div w:id="606156361">
              <w:marLeft w:val="0"/>
              <w:marRight w:val="0"/>
              <w:marTop w:val="0"/>
              <w:marBottom w:val="0"/>
              <w:divBdr>
                <w:top w:val="none" w:sz="0" w:space="0" w:color="auto"/>
                <w:left w:val="none" w:sz="0" w:space="0" w:color="auto"/>
                <w:bottom w:val="none" w:sz="0" w:space="0" w:color="auto"/>
                <w:right w:val="none" w:sz="0" w:space="0" w:color="auto"/>
              </w:divBdr>
            </w:div>
          </w:divsChild>
        </w:div>
        <w:div w:id="341322286">
          <w:marLeft w:val="0"/>
          <w:marRight w:val="0"/>
          <w:marTop w:val="0"/>
          <w:marBottom w:val="0"/>
          <w:divBdr>
            <w:top w:val="none" w:sz="0" w:space="0" w:color="auto"/>
            <w:left w:val="none" w:sz="0" w:space="0" w:color="auto"/>
            <w:bottom w:val="none" w:sz="0" w:space="0" w:color="auto"/>
            <w:right w:val="none" w:sz="0" w:space="0" w:color="auto"/>
          </w:divBdr>
          <w:divsChild>
            <w:div w:id="1235627048">
              <w:marLeft w:val="0"/>
              <w:marRight w:val="0"/>
              <w:marTop w:val="0"/>
              <w:marBottom w:val="0"/>
              <w:divBdr>
                <w:top w:val="none" w:sz="0" w:space="0" w:color="auto"/>
                <w:left w:val="none" w:sz="0" w:space="0" w:color="auto"/>
                <w:bottom w:val="none" w:sz="0" w:space="0" w:color="auto"/>
                <w:right w:val="none" w:sz="0" w:space="0" w:color="auto"/>
              </w:divBdr>
            </w:div>
          </w:divsChild>
        </w:div>
        <w:div w:id="430441344">
          <w:marLeft w:val="0"/>
          <w:marRight w:val="0"/>
          <w:marTop w:val="0"/>
          <w:marBottom w:val="0"/>
          <w:divBdr>
            <w:top w:val="none" w:sz="0" w:space="0" w:color="auto"/>
            <w:left w:val="none" w:sz="0" w:space="0" w:color="auto"/>
            <w:bottom w:val="none" w:sz="0" w:space="0" w:color="auto"/>
            <w:right w:val="none" w:sz="0" w:space="0" w:color="auto"/>
          </w:divBdr>
          <w:divsChild>
            <w:div w:id="2130470386">
              <w:marLeft w:val="0"/>
              <w:marRight w:val="0"/>
              <w:marTop w:val="0"/>
              <w:marBottom w:val="0"/>
              <w:divBdr>
                <w:top w:val="none" w:sz="0" w:space="0" w:color="auto"/>
                <w:left w:val="none" w:sz="0" w:space="0" w:color="auto"/>
                <w:bottom w:val="none" w:sz="0" w:space="0" w:color="auto"/>
                <w:right w:val="none" w:sz="0" w:space="0" w:color="auto"/>
              </w:divBdr>
            </w:div>
          </w:divsChild>
        </w:div>
        <w:div w:id="448398895">
          <w:marLeft w:val="0"/>
          <w:marRight w:val="0"/>
          <w:marTop w:val="0"/>
          <w:marBottom w:val="0"/>
          <w:divBdr>
            <w:top w:val="none" w:sz="0" w:space="0" w:color="auto"/>
            <w:left w:val="none" w:sz="0" w:space="0" w:color="auto"/>
            <w:bottom w:val="none" w:sz="0" w:space="0" w:color="auto"/>
            <w:right w:val="none" w:sz="0" w:space="0" w:color="auto"/>
          </w:divBdr>
          <w:divsChild>
            <w:div w:id="491069743">
              <w:marLeft w:val="0"/>
              <w:marRight w:val="0"/>
              <w:marTop w:val="0"/>
              <w:marBottom w:val="0"/>
              <w:divBdr>
                <w:top w:val="none" w:sz="0" w:space="0" w:color="auto"/>
                <w:left w:val="none" w:sz="0" w:space="0" w:color="auto"/>
                <w:bottom w:val="none" w:sz="0" w:space="0" w:color="auto"/>
                <w:right w:val="none" w:sz="0" w:space="0" w:color="auto"/>
              </w:divBdr>
            </w:div>
          </w:divsChild>
        </w:div>
        <w:div w:id="458646264">
          <w:marLeft w:val="0"/>
          <w:marRight w:val="0"/>
          <w:marTop w:val="0"/>
          <w:marBottom w:val="0"/>
          <w:divBdr>
            <w:top w:val="none" w:sz="0" w:space="0" w:color="auto"/>
            <w:left w:val="none" w:sz="0" w:space="0" w:color="auto"/>
            <w:bottom w:val="none" w:sz="0" w:space="0" w:color="auto"/>
            <w:right w:val="none" w:sz="0" w:space="0" w:color="auto"/>
          </w:divBdr>
          <w:divsChild>
            <w:div w:id="1010571743">
              <w:marLeft w:val="0"/>
              <w:marRight w:val="0"/>
              <w:marTop w:val="0"/>
              <w:marBottom w:val="0"/>
              <w:divBdr>
                <w:top w:val="none" w:sz="0" w:space="0" w:color="auto"/>
                <w:left w:val="none" w:sz="0" w:space="0" w:color="auto"/>
                <w:bottom w:val="none" w:sz="0" w:space="0" w:color="auto"/>
                <w:right w:val="none" w:sz="0" w:space="0" w:color="auto"/>
              </w:divBdr>
            </w:div>
          </w:divsChild>
        </w:div>
        <w:div w:id="547688819">
          <w:marLeft w:val="0"/>
          <w:marRight w:val="0"/>
          <w:marTop w:val="0"/>
          <w:marBottom w:val="0"/>
          <w:divBdr>
            <w:top w:val="none" w:sz="0" w:space="0" w:color="auto"/>
            <w:left w:val="none" w:sz="0" w:space="0" w:color="auto"/>
            <w:bottom w:val="none" w:sz="0" w:space="0" w:color="auto"/>
            <w:right w:val="none" w:sz="0" w:space="0" w:color="auto"/>
          </w:divBdr>
          <w:divsChild>
            <w:div w:id="1098599427">
              <w:marLeft w:val="0"/>
              <w:marRight w:val="0"/>
              <w:marTop w:val="0"/>
              <w:marBottom w:val="0"/>
              <w:divBdr>
                <w:top w:val="none" w:sz="0" w:space="0" w:color="auto"/>
                <w:left w:val="none" w:sz="0" w:space="0" w:color="auto"/>
                <w:bottom w:val="none" w:sz="0" w:space="0" w:color="auto"/>
                <w:right w:val="none" w:sz="0" w:space="0" w:color="auto"/>
              </w:divBdr>
            </w:div>
          </w:divsChild>
        </w:div>
        <w:div w:id="548417223">
          <w:marLeft w:val="0"/>
          <w:marRight w:val="0"/>
          <w:marTop w:val="0"/>
          <w:marBottom w:val="0"/>
          <w:divBdr>
            <w:top w:val="none" w:sz="0" w:space="0" w:color="auto"/>
            <w:left w:val="none" w:sz="0" w:space="0" w:color="auto"/>
            <w:bottom w:val="none" w:sz="0" w:space="0" w:color="auto"/>
            <w:right w:val="none" w:sz="0" w:space="0" w:color="auto"/>
          </w:divBdr>
          <w:divsChild>
            <w:div w:id="2076928221">
              <w:marLeft w:val="0"/>
              <w:marRight w:val="0"/>
              <w:marTop w:val="0"/>
              <w:marBottom w:val="0"/>
              <w:divBdr>
                <w:top w:val="none" w:sz="0" w:space="0" w:color="auto"/>
                <w:left w:val="none" w:sz="0" w:space="0" w:color="auto"/>
                <w:bottom w:val="none" w:sz="0" w:space="0" w:color="auto"/>
                <w:right w:val="none" w:sz="0" w:space="0" w:color="auto"/>
              </w:divBdr>
            </w:div>
          </w:divsChild>
        </w:div>
        <w:div w:id="584071485">
          <w:marLeft w:val="0"/>
          <w:marRight w:val="0"/>
          <w:marTop w:val="0"/>
          <w:marBottom w:val="0"/>
          <w:divBdr>
            <w:top w:val="none" w:sz="0" w:space="0" w:color="auto"/>
            <w:left w:val="none" w:sz="0" w:space="0" w:color="auto"/>
            <w:bottom w:val="none" w:sz="0" w:space="0" w:color="auto"/>
            <w:right w:val="none" w:sz="0" w:space="0" w:color="auto"/>
          </w:divBdr>
          <w:divsChild>
            <w:div w:id="161042862">
              <w:marLeft w:val="0"/>
              <w:marRight w:val="0"/>
              <w:marTop w:val="0"/>
              <w:marBottom w:val="0"/>
              <w:divBdr>
                <w:top w:val="none" w:sz="0" w:space="0" w:color="auto"/>
                <w:left w:val="none" w:sz="0" w:space="0" w:color="auto"/>
                <w:bottom w:val="none" w:sz="0" w:space="0" w:color="auto"/>
                <w:right w:val="none" w:sz="0" w:space="0" w:color="auto"/>
              </w:divBdr>
            </w:div>
          </w:divsChild>
        </w:div>
        <w:div w:id="649406310">
          <w:marLeft w:val="0"/>
          <w:marRight w:val="0"/>
          <w:marTop w:val="0"/>
          <w:marBottom w:val="0"/>
          <w:divBdr>
            <w:top w:val="none" w:sz="0" w:space="0" w:color="auto"/>
            <w:left w:val="none" w:sz="0" w:space="0" w:color="auto"/>
            <w:bottom w:val="none" w:sz="0" w:space="0" w:color="auto"/>
            <w:right w:val="none" w:sz="0" w:space="0" w:color="auto"/>
          </w:divBdr>
          <w:divsChild>
            <w:div w:id="1060712486">
              <w:marLeft w:val="0"/>
              <w:marRight w:val="0"/>
              <w:marTop w:val="0"/>
              <w:marBottom w:val="0"/>
              <w:divBdr>
                <w:top w:val="none" w:sz="0" w:space="0" w:color="auto"/>
                <w:left w:val="none" w:sz="0" w:space="0" w:color="auto"/>
                <w:bottom w:val="none" w:sz="0" w:space="0" w:color="auto"/>
                <w:right w:val="none" w:sz="0" w:space="0" w:color="auto"/>
              </w:divBdr>
            </w:div>
          </w:divsChild>
        </w:div>
        <w:div w:id="681902487">
          <w:marLeft w:val="0"/>
          <w:marRight w:val="0"/>
          <w:marTop w:val="0"/>
          <w:marBottom w:val="0"/>
          <w:divBdr>
            <w:top w:val="none" w:sz="0" w:space="0" w:color="auto"/>
            <w:left w:val="none" w:sz="0" w:space="0" w:color="auto"/>
            <w:bottom w:val="none" w:sz="0" w:space="0" w:color="auto"/>
            <w:right w:val="none" w:sz="0" w:space="0" w:color="auto"/>
          </w:divBdr>
          <w:divsChild>
            <w:div w:id="951475748">
              <w:marLeft w:val="0"/>
              <w:marRight w:val="0"/>
              <w:marTop w:val="0"/>
              <w:marBottom w:val="0"/>
              <w:divBdr>
                <w:top w:val="none" w:sz="0" w:space="0" w:color="auto"/>
                <w:left w:val="none" w:sz="0" w:space="0" w:color="auto"/>
                <w:bottom w:val="none" w:sz="0" w:space="0" w:color="auto"/>
                <w:right w:val="none" w:sz="0" w:space="0" w:color="auto"/>
              </w:divBdr>
            </w:div>
          </w:divsChild>
        </w:div>
        <w:div w:id="700088101">
          <w:marLeft w:val="0"/>
          <w:marRight w:val="0"/>
          <w:marTop w:val="0"/>
          <w:marBottom w:val="0"/>
          <w:divBdr>
            <w:top w:val="none" w:sz="0" w:space="0" w:color="auto"/>
            <w:left w:val="none" w:sz="0" w:space="0" w:color="auto"/>
            <w:bottom w:val="none" w:sz="0" w:space="0" w:color="auto"/>
            <w:right w:val="none" w:sz="0" w:space="0" w:color="auto"/>
          </w:divBdr>
          <w:divsChild>
            <w:div w:id="711274484">
              <w:marLeft w:val="0"/>
              <w:marRight w:val="0"/>
              <w:marTop w:val="0"/>
              <w:marBottom w:val="0"/>
              <w:divBdr>
                <w:top w:val="none" w:sz="0" w:space="0" w:color="auto"/>
                <w:left w:val="none" w:sz="0" w:space="0" w:color="auto"/>
                <w:bottom w:val="none" w:sz="0" w:space="0" w:color="auto"/>
                <w:right w:val="none" w:sz="0" w:space="0" w:color="auto"/>
              </w:divBdr>
            </w:div>
          </w:divsChild>
        </w:div>
        <w:div w:id="701127630">
          <w:marLeft w:val="0"/>
          <w:marRight w:val="0"/>
          <w:marTop w:val="0"/>
          <w:marBottom w:val="0"/>
          <w:divBdr>
            <w:top w:val="none" w:sz="0" w:space="0" w:color="auto"/>
            <w:left w:val="none" w:sz="0" w:space="0" w:color="auto"/>
            <w:bottom w:val="none" w:sz="0" w:space="0" w:color="auto"/>
            <w:right w:val="none" w:sz="0" w:space="0" w:color="auto"/>
          </w:divBdr>
          <w:divsChild>
            <w:div w:id="1454130332">
              <w:marLeft w:val="0"/>
              <w:marRight w:val="0"/>
              <w:marTop w:val="0"/>
              <w:marBottom w:val="0"/>
              <w:divBdr>
                <w:top w:val="none" w:sz="0" w:space="0" w:color="auto"/>
                <w:left w:val="none" w:sz="0" w:space="0" w:color="auto"/>
                <w:bottom w:val="none" w:sz="0" w:space="0" w:color="auto"/>
                <w:right w:val="none" w:sz="0" w:space="0" w:color="auto"/>
              </w:divBdr>
            </w:div>
          </w:divsChild>
        </w:div>
        <w:div w:id="706293348">
          <w:marLeft w:val="0"/>
          <w:marRight w:val="0"/>
          <w:marTop w:val="0"/>
          <w:marBottom w:val="0"/>
          <w:divBdr>
            <w:top w:val="none" w:sz="0" w:space="0" w:color="auto"/>
            <w:left w:val="none" w:sz="0" w:space="0" w:color="auto"/>
            <w:bottom w:val="none" w:sz="0" w:space="0" w:color="auto"/>
            <w:right w:val="none" w:sz="0" w:space="0" w:color="auto"/>
          </w:divBdr>
          <w:divsChild>
            <w:div w:id="563027230">
              <w:marLeft w:val="0"/>
              <w:marRight w:val="0"/>
              <w:marTop w:val="0"/>
              <w:marBottom w:val="0"/>
              <w:divBdr>
                <w:top w:val="none" w:sz="0" w:space="0" w:color="auto"/>
                <w:left w:val="none" w:sz="0" w:space="0" w:color="auto"/>
                <w:bottom w:val="none" w:sz="0" w:space="0" w:color="auto"/>
                <w:right w:val="none" w:sz="0" w:space="0" w:color="auto"/>
              </w:divBdr>
            </w:div>
          </w:divsChild>
        </w:div>
        <w:div w:id="718088984">
          <w:marLeft w:val="0"/>
          <w:marRight w:val="0"/>
          <w:marTop w:val="0"/>
          <w:marBottom w:val="0"/>
          <w:divBdr>
            <w:top w:val="none" w:sz="0" w:space="0" w:color="auto"/>
            <w:left w:val="none" w:sz="0" w:space="0" w:color="auto"/>
            <w:bottom w:val="none" w:sz="0" w:space="0" w:color="auto"/>
            <w:right w:val="none" w:sz="0" w:space="0" w:color="auto"/>
          </w:divBdr>
          <w:divsChild>
            <w:div w:id="972833838">
              <w:marLeft w:val="0"/>
              <w:marRight w:val="0"/>
              <w:marTop w:val="0"/>
              <w:marBottom w:val="0"/>
              <w:divBdr>
                <w:top w:val="none" w:sz="0" w:space="0" w:color="auto"/>
                <w:left w:val="none" w:sz="0" w:space="0" w:color="auto"/>
                <w:bottom w:val="none" w:sz="0" w:space="0" w:color="auto"/>
                <w:right w:val="none" w:sz="0" w:space="0" w:color="auto"/>
              </w:divBdr>
            </w:div>
          </w:divsChild>
        </w:div>
        <w:div w:id="737170416">
          <w:marLeft w:val="0"/>
          <w:marRight w:val="0"/>
          <w:marTop w:val="0"/>
          <w:marBottom w:val="0"/>
          <w:divBdr>
            <w:top w:val="none" w:sz="0" w:space="0" w:color="auto"/>
            <w:left w:val="none" w:sz="0" w:space="0" w:color="auto"/>
            <w:bottom w:val="none" w:sz="0" w:space="0" w:color="auto"/>
            <w:right w:val="none" w:sz="0" w:space="0" w:color="auto"/>
          </w:divBdr>
          <w:divsChild>
            <w:div w:id="1963539344">
              <w:marLeft w:val="0"/>
              <w:marRight w:val="0"/>
              <w:marTop w:val="0"/>
              <w:marBottom w:val="0"/>
              <w:divBdr>
                <w:top w:val="none" w:sz="0" w:space="0" w:color="auto"/>
                <w:left w:val="none" w:sz="0" w:space="0" w:color="auto"/>
                <w:bottom w:val="none" w:sz="0" w:space="0" w:color="auto"/>
                <w:right w:val="none" w:sz="0" w:space="0" w:color="auto"/>
              </w:divBdr>
            </w:div>
          </w:divsChild>
        </w:div>
        <w:div w:id="764964055">
          <w:marLeft w:val="0"/>
          <w:marRight w:val="0"/>
          <w:marTop w:val="0"/>
          <w:marBottom w:val="0"/>
          <w:divBdr>
            <w:top w:val="none" w:sz="0" w:space="0" w:color="auto"/>
            <w:left w:val="none" w:sz="0" w:space="0" w:color="auto"/>
            <w:bottom w:val="none" w:sz="0" w:space="0" w:color="auto"/>
            <w:right w:val="none" w:sz="0" w:space="0" w:color="auto"/>
          </w:divBdr>
          <w:divsChild>
            <w:div w:id="1340697348">
              <w:marLeft w:val="0"/>
              <w:marRight w:val="0"/>
              <w:marTop w:val="0"/>
              <w:marBottom w:val="0"/>
              <w:divBdr>
                <w:top w:val="none" w:sz="0" w:space="0" w:color="auto"/>
                <w:left w:val="none" w:sz="0" w:space="0" w:color="auto"/>
                <w:bottom w:val="none" w:sz="0" w:space="0" w:color="auto"/>
                <w:right w:val="none" w:sz="0" w:space="0" w:color="auto"/>
              </w:divBdr>
            </w:div>
          </w:divsChild>
        </w:div>
        <w:div w:id="824976062">
          <w:marLeft w:val="0"/>
          <w:marRight w:val="0"/>
          <w:marTop w:val="0"/>
          <w:marBottom w:val="0"/>
          <w:divBdr>
            <w:top w:val="none" w:sz="0" w:space="0" w:color="auto"/>
            <w:left w:val="none" w:sz="0" w:space="0" w:color="auto"/>
            <w:bottom w:val="none" w:sz="0" w:space="0" w:color="auto"/>
            <w:right w:val="none" w:sz="0" w:space="0" w:color="auto"/>
          </w:divBdr>
          <w:divsChild>
            <w:div w:id="779109946">
              <w:marLeft w:val="0"/>
              <w:marRight w:val="0"/>
              <w:marTop w:val="0"/>
              <w:marBottom w:val="0"/>
              <w:divBdr>
                <w:top w:val="none" w:sz="0" w:space="0" w:color="auto"/>
                <w:left w:val="none" w:sz="0" w:space="0" w:color="auto"/>
                <w:bottom w:val="none" w:sz="0" w:space="0" w:color="auto"/>
                <w:right w:val="none" w:sz="0" w:space="0" w:color="auto"/>
              </w:divBdr>
            </w:div>
          </w:divsChild>
        </w:div>
        <w:div w:id="872158038">
          <w:marLeft w:val="0"/>
          <w:marRight w:val="0"/>
          <w:marTop w:val="0"/>
          <w:marBottom w:val="0"/>
          <w:divBdr>
            <w:top w:val="none" w:sz="0" w:space="0" w:color="auto"/>
            <w:left w:val="none" w:sz="0" w:space="0" w:color="auto"/>
            <w:bottom w:val="none" w:sz="0" w:space="0" w:color="auto"/>
            <w:right w:val="none" w:sz="0" w:space="0" w:color="auto"/>
          </w:divBdr>
          <w:divsChild>
            <w:div w:id="430588630">
              <w:marLeft w:val="0"/>
              <w:marRight w:val="0"/>
              <w:marTop w:val="0"/>
              <w:marBottom w:val="0"/>
              <w:divBdr>
                <w:top w:val="none" w:sz="0" w:space="0" w:color="auto"/>
                <w:left w:val="none" w:sz="0" w:space="0" w:color="auto"/>
                <w:bottom w:val="none" w:sz="0" w:space="0" w:color="auto"/>
                <w:right w:val="none" w:sz="0" w:space="0" w:color="auto"/>
              </w:divBdr>
            </w:div>
          </w:divsChild>
        </w:div>
        <w:div w:id="879901535">
          <w:marLeft w:val="0"/>
          <w:marRight w:val="0"/>
          <w:marTop w:val="0"/>
          <w:marBottom w:val="0"/>
          <w:divBdr>
            <w:top w:val="none" w:sz="0" w:space="0" w:color="auto"/>
            <w:left w:val="none" w:sz="0" w:space="0" w:color="auto"/>
            <w:bottom w:val="none" w:sz="0" w:space="0" w:color="auto"/>
            <w:right w:val="none" w:sz="0" w:space="0" w:color="auto"/>
          </w:divBdr>
          <w:divsChild>
            <w:div w:id="1552696246">
              <w:marLeft w:val="0"/>
              <w:marRight w:val="0"/>
              <w:marTop w:val="0"/>
              <w:marBottom w:val="0"/>
              <w:divBdr>
                <w:top w:val="none" w:sz="0" w:space="0" w:color="auto"/>
                <w:left w:val="none" w:sz="0" w:space="0" w:color="auto"/>
                <w:bottom w:val="none" w:sz="0" w:space="0" w:color="auto"/>
                <w:right w:val="none" w:sz="0" w:space="0" w:color="auto"/>
              </w:divBdr>
            </w:div>
          </w:divsChild>
        </w:div>
        <w:div w:id="882836654">
          <w:marLeft w:val="0"/>
          <w:marRight w:val="0"/>
          <w:marTop w:val="0"/>
          <w:marBottom w:val="0"/>
          <w:divBdr>
            <w:top w:val="none" w:sz="0" w:space="0" w:color="auto"/>
            <w:left w:val="none" w:sz="0" w:space="0" w:color="auto"/>
            <w:bottom w:val="none" w:sz="0" w:space="0" w:color="auto"/>
            <w:right w:val="none" w:sz="0" w:space="0" w:color="auto"/>
          </w:divBdr>
          <w:divsChild>
            <w:div w:id="378866620">
              <w:marLeft w:val="0"/>
              <w:marRight w:val="0"/>
              <w:marTop w:val="0"/>
              <w:marBottom w:val="0"/>
              <w:divBdr>
                <w:top w:val="none" w:sz="0" w:space="0" w:color="auto"/>
                <w:left w:val="none" w:sz="0" w:space="0" w:color="auto"/>
                <w:bottom w:val="none" w:sz="0" w:space="0" w:color="auto"/>
                <w:right w:val="none" w:sz="0" w:space="0" w:color="auto"/>
              </w:divBdr>
            </w:div>
          </w:divsChild>
        </w:div>
        <w:div w:id="884608326">
          <w:marLeft w:val="0"/>
          <w:marRight w:val="0"/>
          <w:marTop w:val="0"/>
          <w:marBottom w:val="0"/>
          <w:divBdr>
            <w:top w:val="none" w:sz="0" w:space="0" w:color="auto"/>
            <w:left w:val="none" w:sz="0" w:space="0" w:color="auto"/>
            <w:bottom w:val="none" w:sz="0" w:space="0" w:color="auto"/>
            <w:right w:val="none" w:sz="0" w:space="0" w:color="auto"/>
          </w:divBdr>
          <w:divsChild>
            <w:div w:id="853348421">
              <w:marLeft w:val="0"/>
              <w:marRight w:val="0"/>
              <w:marTop w:val="0"/>
              <w:marBottom w:val="0"/>
              <w:divBdr>
                <w:top w:val="none" w:sz="0" w:space="0" w:color="auto"/>
                <w:left w:val="none" w:sz="0" w:space="0" w:color="auto"/>
                <w:bottom w:val="none" w:sz="0" w:space="0" w:color="auto"/>
                <w:right w:val="none" w:sz="0" w:space="0" w:color="auto"/>
              </w:divBdr>
            </w:div>
          </w:divsChild>
        </w:div>
        <w:div w:id="892156039">
          <w:marLeft w:val="0"/>
          <w:marRight w:val="0"/>
          <w:marTop w:val="0"/>
          <w:marBottom w:val="0"/>
          <w:divBdr>
            <w:top w:val="none" w:sz="0" w:space="0" w:color="auto"/>
            <w:left w:val="none" w:sz="0" w:space="0" w:color="auto"/>
            <w:bottom w:val="none" w:sz="0" w:space="0" w:color="auto"/>
            <w:right w:val="none" w:sz="0" w:space="0" w:color="auto"/>
          </w:divBdr>
          <w:divsChild>
            <w:div w:id="1954165645">
              <w:marLeft w:val="0"/>
              <w:marRight w:val="0"/>
              <w:marTop w:val="0"/>
              <w:marBottom w:val="0"/>
              <w:divBdr>
                <w:top w:val="none" w:sz="0" w:space="0" w:color="auto"/>
                <w:left w:val="none" w:sz="0" w:space="0" w:color="auto"/>
                <w:bottom w:val="none" w:sz="0" w:space="0" w:color="auto"/>
                <w:right w:val="none" w:sz="0" w:space="0" w:color="auto"/>
              </w:divBdr>
            </w:div>
          </w:divsChild>
        </w:div>
        <w:div w:id="903838575">
          <w:marLeft w:val="0"/>
          <w:marRight w:val="0"/>
          <w:marTop w:val="0"/>
          <w:marBottom w:val="0"/>
          <w:divBdr>
            <w:top w:val="none" w:sz="0" w:space="0" w:color="auto"/>
            <w:left w:val="none" w:sz="0" w:space="0" w:color="auto"/>
            <w:bottom w:val="none" w:sz="0" w:space="0" w:color="auto"/>
            <w:right w:val="none" w:sz="0" w:space="0" w:color="auto"/>
          </w:divBdr>
          <w:divsChild>
            <w:div w:id="717634459">
              <w:marLeft w:val="0"/>
              <w:marRight w:val="0"/>
              <w:marTop w:val="0"/>
              <w:marBottom w:val="0"/>
              <w:divBdr>
                <w:top w:val="none" w:sz="0" w:space="0" w:color="auto"/>
                <w:left w:val="none" w:sz="0" w:space="0" w:color="auto"/>
                <w:bottom w:val="none" w:sz="0" w:space="0" w:color="auto"/>
                <w:right w:val="none" w:sz="0" w:space="0" w:color="auto"/>
              </w:divBdr>
            </w:div>
          </w:divsChild>
        </w:div>
        <w:div w:id="984352112">
          <w:marLeft w:val="0"/>
          <w:marRight w:val="0"/>
          <w:marTop w:val="0"/>
          <w:marBottom w:val="0"/>
          <w:divBdr>
            <w:top w:val="none" w:sz="0" w:space="0" w:color="auto"/>
            <w:left w:val="none" w:sz="0" w:space="0" w:color="auto"/>
            <w:bottom w:val="none" w:sz="0" w:space="0" w:color="auto"/>
            <w:right w:val="none" w:sz="0" w:space="0" w:color="auto"/>
          </w:divBdr>
          <w:divsChild>
            <w:div w:id="240221758">
              <w:marLeft w:val="0"/>
              <w:marRight w:val="0"/>
              <w:marTop w:val="0"/>
              <w:marBottom w:val="0"/>
              <w:divBdr>
                <w:top w:val="none" w:sz="0" w:space="0" w:color="auto"/>
                <w:left w:val="none" w:sz="0" w:space="0" w:color="auto"/>
                <w:bottom w:val="none" w:sz="0" w:space="0" w:color="auto"/>
                <w:right w:val="none" w:sz="0" w:space="0" w:color="auto"/>
              </w:divBdr>
            </w:div>
          </w:divsChild>
        </w:div>
        <w:div w:id="1011680458">
          <w:marLeft w:val="0"/>
          <w:marRight w:val="0"/>
          <w:marTop w:val="0"/>
          <w:marBottom w:val="0"/>
          <w:divBdr>
            <w:top w:val="none" w:sz="0" w:space="0" w:color="auto"/>
            <w:left w:val="none" w:sz="0" w:space="0" w:color="auto"/>
            <w:bottom w:val="none" w:sz="0" w:space="0" w:color="auto"/>
            <w:right w:val="none" w:sz="0" w:space="0" w:color="auto"/>
          </w:divBdr>
          <w:divsChild>
            <w:div w:id="511261828">
              <w:marLeft w:val="0"/>
              <w:marRight w:val="0"/>
              <w:marTop w:val="0"/>
              <w:marBottom w:val="0"/>
              <w:divBdr>
                <w:top w:val="none" w:sz="0" w:space="0" w:color="auto"/>
                <w:left w:val="none" w:sz="0" w:space="0" w:color="auto"/>
                <w:bottom w:val="none" w:sz="0" w:space="0" w:color="auto"/>
                <w:right w:val="none" w:sz="0" w:space="0" w:color="auto"/>
              </w:divBdr>
            </w:div>
          </w:divsChild>
        </w:div>
        <w:div w:id="1043094666">
          <w:marLeft w:val="0"/>
          <w:marRight w:val="0"/>
          <w:marTop w:val="0"/>
          <w:marBottom w:val="0"/>
          <w:divBdr>
            <w:top w:val="none" w:sz="0" w:space="0" w:color="auto"/>
            <w:left w:val="none" w:sz="0" w:space="0" w:color="auto"/>
            <w:bottom w:val="none" w:sz="0" w:space="0" w:color="auto"/>
            <w:right w:val="none" w:sz="0" w:space="0" w:color="auto"/>
          </w:divBdr>
          <w:divsChild>
            <w:div w:id="1498308216">
              <w:marLeft w:val="0"/>
              <w:marRight w:val="0"/>
              <w:marTop w:val="0"/>
              <w:marBottom w:val="0"/>
              <w:divBdr>
                <w:top w:val="none" w:sz="0" w:space="0" w:color="auto"/>
                <w:left w:val="none" w:sz="0" w:space="0" w:color="auto"/>
                <w:bottom w:val="none" w:sz="0" w:space="0" w:color="auto"/>
                <w:right w:val="none" w:sz="0" w:space="0" w:color="auto"/>
              </w:divBdr>
            </w:div>
          </w:divsChild>
        </w:div>
        <w:div w:id="1044407777">
          <w:marLeft w:val="0"/>
          <w:marRight w:val="0"/>
          <w:marTop w:val="0"/>
          <w:marBottom w:val="0"/>
          <w:divBdr>
            <w:top w:val="none" w:sz="0" w:space="0" w:color="auto"/>
            <w:left w:val="none" w:sz="0" w:space="0" w:color="auto"/>
            <w:bottom w:val="none" w:sz="0" w:space="0" w:color="auto"/>
            <w:right w:val="none" w:sz="0" w:space="0" w:color="auto"/>
          </w:divBdr>
          <w:divsChild>
            <w:div w:id="968704503">
              <w:marLeft w:val="0"/>
              <w:marRight w:val="0"/>
              <w:marTop w:val="0"/>
              <w:marBottom w:val="0"/>
              <w:divBdr>
                <w:top w:val="none" w:sz="0" w:space="0" w:color="auto"/>
                <w:left w:val="none" w:sz="0" w:space="0" w:color="auto"/>
                <w:bottom w:val="none" w:sz="0" w:space="0" w:color="auto"/>
                <w:right w:val="none" w:sz="0" w:space="0" w:color="auto"/>
              </w:divBdr>
            </w:div>
          </w:divsChild>
        </w:div>
        <w:div w:id="1091122321">
          <w:marLeft w:val="0"/>
          <w:marRight w:val="0"/>
          <w:marTop w:val="0"/>
          <w:marBottom w:val="0"/>
          <w:divBdr>
            <w:top w:val="none" w:sz="0" w:space="0" w:color="auto"/>
            <w:left w:val="none" w:sz="0" w:space="0" w:color="auto"/>
            <w:bottom w:val="none" w:sz="0" w:space="0" w:color="auto"/>
            <w:right w:val="none" w:sz="0" w:space="0" w:color="auto"/>
          </w:divBdr>
          <w:divsChild>
            <w:div w:id="213660554">
              <w:marLeft w:val="0"/>
              <w:marRight w:val="0"/>
              <w:marTop w:val="0"/>
              <w:marBottom w:val="0"/>
              <w:divBdr>
                <w:top w:val="none" w:sz="0" w:space="0" w:color="auto"/>
                <w:left w:val="none" w:sz="0" w:space="0" w:color="auto"/>
                <w:bottom w:val="none" w:sz="0" w:space="0" w:color="auto"/>
                <w:right w:val="none" w:sz="0" w:space="0" w:color="auto"/>
              </w:divBdr>
            </w:div>
          </w:divsChild>
        </w:div>
        <w:div w:id="1125268592">
          <w:marLeft w:val="0"/>
          <w:marRight w:val="0"/>
          <w:marTop w:val="0"/>
          <w:marBottom w:val="0"/>
          <w:divBdr>
            <w:top w:val="none" w:sz="0" w:space="0" w:color="auto"/>
            <w:left w:val="none" w:sz="0" w:space="0" w:color="auto"/>
            <w:bottom w:val="none" w:sz="0" w:space="0" w:color="auto"/>
            <w:right w:val="none" w:sz="0" w:space="0" w:color="auto"/>
          </w:divBdr>
          <w:divsChild>
            <w:div w:id="1022246344">
              <w:marLeft w:val="0"/>
              <w:marRight w:val="0"/>
              <w:marTop w:val="0"/>
              <w:marBottom w:val="0"/>
              <w:divBdr>
                <w:top w:val="none" w:sz="0" w:space="0" w:color="auto"/>
                <w:left w:val="none" w:sz="0" w:space="0" w:color="auto"/>
                <w:bottom w:val="none" w:sz="0" w:space="0" w:color="auto"/>
                <w:right w:val="none" w:sz="0" w:space="0" w:color="auto"/>
              </w:divBdr>
            </w:div>
          </w:divsChild>
        </w:div>
        <w:div w:id="1127160750">
          <w:marLeft w:val="0"/>
          <w:marRight w:val="0"/>
          <w:marTop w:val="0"/>
          <w:marBottom w:val="0"/>
          <w:divBdr>
            <w:top w:val="none" w:sz="0" w:space="0" w:color="auto"/>
            <w:left w:val="none" w:sz="0" w:space="0" w:color="auto"/>
            <w:bottom w:val="none" w:sz="0" w:space="0" w:color="auto"/>
            <w:right w:val="none" w:sz="0" w:space="0" w:color="auto"/>
          </w:divBdr>
          <w:divsChild>
            <w:div w:id="585651511">
              <w:marLeft w:val="0"/>
              <w:marRight w:val="0"/>
              <w:marTop w:val="0"/>
              <w:marBottom w:val="0"/>
              <w:divBdr>
                <w:top w:val="none" w:sz="0" w:space="0" w:color="auto"/>
                <w:left w:val="none" w:sz="0" w:space="0" w:color="auto"/>
                <w:bottom w:val="none" w:sz="0" w:space="0" w:color="auto"/>
                <w:right w:val="none" w:sz="0" w:space="0" w:color="auto"/>
              </w:divBdr>
            </w:div>
          </w:divsChild>
        </w:div>
        <w:div w:id="1204563697">
          <w:marLeft w:val="0"/>
          <w:marRight w:val="0"/>
          <w:marTop w:val="0"/>
          <w:marBottom w:val="0"/>
          <w:divBdr>
            <w:top w:val="none" w:sz="0" w:space="0" w:color="auto"/>
            <w:left w:val="none" w:sz="0" w:space="0" w:color="auto"/>
            <w:bottom w:val="none" w:sz="0" w:space="0" w:color="auto"/>
            <w:right w:val="none" w:sz="0" w:space="0" w:color="auto"/>
          </w:divBdr>
          <w:divsChild>
            <w:div w:id="1035082619">
              <w:marLeft w:val="0"/>
              <w:marRight w:val="0"/>
              <w:marTop w:val="0"/>
              <w:marBottom w:val="0"/>
              <w:divBdr>
                <w:top w:val="none" w:sz="0" w:space="0" w:color="auto"/>
                <w:left w:val="none" w:sz="0" w:space="0" w:color="auto"/>
                <w:bottom w:val="none" w:sz="0" w:space="0" w:color="auto"/>
                <w:right w:val="none" w:sz="0" w:space="0" w:color="auto"/>
              </w:divBdr>
            </w:div>
          </w:divsChild>
        </w:div>
        <w:div w:id="1253468445">
          <w:marLeft w:val="0"/>
          <w:marRight w:val="0"/>
          <w:marTop w:val="0"/>
          <w:marBottom w:val="0"/>
          <w:divBdr>
            <w:top w:val="none" w:sz="0" w:space="0" w:color="auto"/>
            <w:left w:val="none" w:sz="0" w:space="0" w:color="auto"/>
            <w:bottom w:val="none" w:sz="0" w:space="0" w:color="auto"/>
            <w:right w:val="none" w:sz="0" w:space="0" w:color="auto"/>
          </w:divBdr>
          <w:divsChild>
            <w:div w:id="1522430956">
              <w:marLeft w:val="0"/>
              <w:marRight w:val="0"/>
              <w:marTop w:val="0"/>
              <w:marBottom w:val="0"/>
              <w:divBdr>
                <w:top w:val="none" w:sz="0" w:space="0" w:color="auto"/>
                <w:left w:val="none" w:sz="0" w:space="0" w:color="auto"/>
                <w:bottom w:val="none" w:sz="0" w:space="0" w:color="auto"/>
                <w:right w:val="none" w:sz="0" w:space="0" w:color="auto"/>
              </w:divBdr>
            </w:div>
          </w:divsChild>
        </w:div>
        <w:div w:id="1265459533">
          <w:marLeft w:val="0"/>
          <w:marRight w:val="0"/>
          <w:marTop w:val="0"/>
          <w:marBottom w:val="0"/>
          <w:divBdr>
            <w:top w:val="none" w:sz="0" w:space="0" w:color="auto"/>
            <w:left w:val="none" w:sz="0" w:space="0" w:color="auto"/>
            <w:bottom w:val="none" w:sz="0" w:space="0" w:color="auto"/>
            <w:right w:val="none" w:sz="0" w:space="0" w:color="auto"/>
          </w:divBdr>
          <w:divsChild>
            <w:div w:id="202980632">
              <w:marLeft w:val="0"/>
              <w:marRight w:val="0"/>
              <w:marTop w:val="0"/>
              <w:marBottom w:val="0"/>
              <w:divBdr>
                <w:top w:val="none" w:sz="0" w:space="0" w:color="auto"/>
                <w:left w:val="none" w:sz="0" w:space="0" w:color="auto"/>
                <w:bottom w:val="none" w:sz="0" w:space="0" w:color="auto"/>
                <w:right w:val="none" w:sz="0" w:space="0" w:color="auto"/>
              </w:divBdr>
            </w:div>
          </w:divsChild>
        </w:div>
        <w:div w:id="1275867871">
          <w:marLeft w:val="0"/>
          <w:marRight w:val="0"/>
          <w:marTop w:val="0"/>
          <w:marBottom w:val="0"/>
          <w:divBdr>
            <w:top w:val="none" w:sz="0" w:space="0" w:color="auto"/>
            <w:left w:val="none" w:sz="0" w:space="0" w:color="auto"/>
            <w:bottom w:val="none" w:sz="0" w:space="0" w:color="auto"/>
            <w:right w:val="none" w:sz="0" w:space="0" w:color="auto"/>
          </w:divBdr>
          <w:divsChild>
            <w:div w:id="357510819">
              <w:marLeft w:val="0"/>
              <w:marRight w:val="0"/>
              <w:marTop w:val="0"/>
              <w:marBottom w:val="0"/>
              <w:divBdr>
                <w:top w:val="none" w:sz="0" w:space="0" w:color="auto"/>
                <w:left w:val="none" w:sz="0" w:space="0" w:color="auto"/>
                <w:bottom w:val="none" w:sz="0" w:space="0" w:color="auto"/>
                <w:right w:val="none" w:sz="0" w:space="0" w:color="auto"/>
              </w:divBdr>
            </w:div>
          </w:divsChild>
        </w:div>
        <w:div w:id="1341465546">
          <w:marLeft w:val="0"/>
          <w:marRight w:val="0"/>
          <w:marTop w:val="0"/>
          <w:marBottom w:val="0"/>
          <w:divBdr>
            <w:top w:val="none" w:sz="0" w:space="0" w:color="auto"/>
            <w:left w:val="none" w:sz="0" w:space="0" w:color="auto"/>
            <w:bottom w:val="none" w:sz="0" w:space="0" w:color="auto"/>
            <w:right w:val="none" w:sz="0" w:space="0" w:color="auto"/>
          </w:divBdr>
          <w:divsChild>
            <w:div w:id="1075277323">
              <w:marLeft w:val="0"/>
              <w:marRight w:val="0"/>
              <w:marTop w:val="0"/>
              <w:marBottom w:val="0"/>
              <w:divBdr>
                <w:top w:val="none" w:sz="0" w:space="0" w:color="auto"/>
                <w:left w:val="none" w:sz="0" w:space="0" w:color="auto"/>
                <w:bottom w:val="none" w:sz="0" w:space="0" w:color="auto"/>
                <w:right w:val="none" w:sz="0" w:space="0" w:color="auto"/>
              </w:divBdr>
            </w:div>
          </w:divsChild>
        </w:div>
        <w:div w:id="1358845155">
          <w:marLeft w:val="0"/>
          <w:marRight w:val="0"/>
          <w:marTop w:val="0"/>
          <w:marBottom w:val="0"/>
          <w:divBdr>
            <w:top w:val="none" w:sz="0" w:space="0" w:color="auto"/>
            <w:left w:val="none" w:sz="0" w:space="0" w:color="auto"/>
            <w:bottom w:val="none" w:sz="0" w:space="0" w:color="auto"/>
            <w:right w:val="none" w:sz="0" w:space="0" w:color="auto"/>
          </w:divBdr>
          <w:divsChild>
            <w:div w:id="1143694769">
              <w:marLeft w:val="0"/>
              <w:marRight w:val="0"/>
              <w:marTop w:val="0"/>
              <w:marBottom w:val="0"/>
              <w:divBdr>
                <w:top w:val="none" w:sz="0" w:space="0" w:color="auto"/>
                <w:left w:val="none" w:sz="0" w:space="0" w:color="auto"/>
                <w:bottom w:val="none" w:sz="0" w:space="0" w:color="auto"/>
                <w:right w:val="none" w:sz="0" w:space="0" w:color="auto"/>
              </w:divBdr>
            </w:div>
          </w:divsChild>
        </w:div>
        <w:div w:id="1402294980">
          <w:marLeft w:val="0"/>
          <w:marRight w:val="0"/>
          <w:marTop w:val="0"/>
          <w:marBottom w:val="0"/>
          <w:divBdr>
            <w:top w:val="none" w:sz="0" w:space="0" w:color="auto"/>
            <w:left w:val="none" w:sz="0" w:space="0" w:color="auto"/>
            <w:bottom w:val="none" w:sz="0" w:space="0" w:color="auto"/>
            <w:right w:val="none" w:sz="0" w:space="0" w:color="auto"/>
          </w:divBdr>
          <w:divsChild>
            <w:div w:id="1261446389">
              <w:marLeft w:val="0"/>
              <w:marRight w:val="0"/>
              <w:marTop w:val="0"/>
              <w:marBottom w:val="0"/>
              <w:divBdr>
                <w:top w:val="none" w:sz="0" w:space="0" w:color="auto"/>
                <w:left w:val="none" w:sz="0" w:space="0" w:color="auto"/>
                <w:bottom w:val="none" w:sz="0" w:space="0" w:color="auto"/>
                <w:right w:val="none" w:sz="0" w:space="0" w:color="auto"/>
              </w:divBdr>
            </w:div>
          </w:divsChild>
        </w:div>
        <w:div w:id="1429736555">
          <w:marLeft w:val="0"/>
          <w:marRight w:val="0"/>
          <w:marTop w:val="0"/>
          <w:marBottom w:val="0"/>
          <w:divBdr>
            <w:top w:val="none" w:sz="0" w:space="0" w:color="auto"/>
            <w:left w:val="none" w:sz="0" w:space="0" w:color="auto"/>
            <w:bottom w:val="none" w:sz="0" w:space="0" w:color="auto"/>
            <w:right w:val="none" w:sz="0" w:space="0" w:color="auto"/>
          </w:divBdr>
          <w:divsChild>
            <w:div w:id="1804039609">
              <w:marLeft w:val="0"/>
              <w:marRight w:val="0"/>
              <w:marTop w:val="0"/>
              <w:marBottom w:val="0"/>
              <w:divBdr>
                <w:top w:val="none" w:sz="0" w:space="0" w:color="auto"/>
                <w:left w:val="none" w:sz="0" w:space="0" w:color="auto"/>
                <w:bottom w:val="none" w:sz="0" w:space="0" w:color="auto"/>
                <w:right w:val="none" w:sz="0" w:space="0" w:color="auto"/>
              </w:divBdr>
            </w:div>
          </w:divsChild>
        </w:div>
        <w:div w:id="1453816300">
          <w:marLeft w:val="0"/>
          <w:marRight w:val="0"/>
          <w:marTop w:val="0"/>
          <w:marBottom w:val="0"/>
          <w:divBdr>
            <w:top w:val="none" w:sz="0" w:space="0" w:color="auto"/>
            <w:left w:val="none" w:sz="0" w:space="0" w:color="auto"/>
            <w:bottom w:val="none" w:sz="0" w:space="0" w:color="auto"/>
            <w:right w:val="none" w:sz="0" w:space="0" w:color="auto"/>
          </w:divBdr>
          <w:divsChild>
            <w:div w:id="1029719751">
              <w:marLeft w:val="0"/>
              <w:marRight w:val="0"/>
              <w:marTop w:val="0"/>
              <w:marBottom w:val="0"/>
              <w:divBdr>
                <w:top w:val="none" w:sz="0" w:space="0" w:color="auto"/>
                <w:left w:val="none" w:sz="0" w:space="0" w:color="auto"/>
                <w:bottom w:val="none" w:sz="0" w:space="0" w:color="auto"/>
                <w:right w:val="none" w:sz="0" w:space="0" w:color="auto"/>
              </w:divBdr>
            </w:div>
          </w:divsChild>
        </w:div>
        <w:div w:id="1465735436">
          <w:marLeft w:val="0"/>
          <w:marRight w:val="0"/>
          <w:marTop w:val="0"/>
          <w:marBottom w:val="0"/>
          <w:divBdr>
            <w:top w:val="none" w:sz="0" w:space="0" w:color="auto"/>
            <w:left w:val="none" w:sz="0" w:space="0" w:color="auto"/>
            <w:bottom w:val="none" w:sz="0" w:space="0" w:color="auto"/>
            <w:right w:val="none" w:sz="0" w:space="0" w:color="auto"/>
          </w:divBdr>
          <w:divsChild>
            <w:div w:id="176119817">
              <w:marLeft w:val="0"/>
              <w:marRight w:val="0"/>
              <w:marTop w:val="0"/>
              <w:marBottom w:val="0"/>
              <w:divBdr>
                <w:top w:val="none" w:sz="0" w:space="0" w:color="auto"/>
                <w:left w:val="none" w:sz="0" w:space="0" w:color="auto"/>
                <w:bottom w:val="none" w:sz="0" w:space="0" w:color="auto"/>
                <w:right w:val="none" w:sz="0" w:space="0" w:color="auto"/>
              </w:divBdr>
            </w:div>
          </w:divsChild>
        </w:div>
        <w:div w:id="1508013022">
          <w:marLeft w:val="0"/>
          <w:marRight w:val="0"/>
          <w:marTop w:val="0"/>
          <w:marBottom w:val="0"/>
          <w:divBdr>
            <w:top w:val="none" w:sz="0" w:space="0" w:color="auto"/>
            <w:left w:val="none" w:sz="0" w:space="0" w:color="auto"/>
            <w:bottom w:val="none" w:sz="0" w:space="0" w:color="auto"/>
            <w:right w:val="none" w:sz="0" w:space="0" w:color="auto"/>
          </w:divBdr>
          <w:divsChild>
            <w:div w:id="1407412010">
              <w:marLeft w:val="0"/>
              <w:marRight w:val="0"/>
              <w:marTop w:val="0"/>
              <w:marBottom w:val="0"/>
              <w:divBdr>
                <w:top w:val="none" w:sz="0" w:space="0" w:color="auto"/>
                <w:left w:val="none" w:sz="0" w:space="0" w:color="auto"/>
                <w:bottom w:val="none" w:sz="0" w:space="0" w:color="auto"/>
                <w:right w:val="none" w:sz="0" w:space="0" w:color="auto"/>
              </w:divBdr>
            </w:div>
          </w:divsChild>
        </w:div>
        <w:div w:id="1522740582">
          <w:marLeft w:val="0"/>
          <w:marRight w:val="0"/>
          <w:marTop w:val="0"/>
          <w:marBottom w:val="0"/>
          <w:divBdr>
            <w:top w:val="none" w:sz="0" w:space="0" w:color="auto"/>
            <w:left w:val="none" w:sz="0" w:space="0" w:color="auto"/>
            <w:bottom w:val="none" w:sz="0" w:space="0" w:color="auto"/>
            <w:right w:val="none" w:sz="0" w:space="0" w:color="auto"/>
          </w:divBdr>
          <w:divsChild>
            <w:div w:id="1268349646">
              <w:marLeft w:val="0"/>
              <w:marRight w:val="0"/>
              <w:marTop w:val="0"/>
              <w:marBottom w:val="0"/>
              <w:divBdr>
                <w:top w:val="none" w:sz="0" w:space="0" w:color="auto"/>
                <w:left w:val="none" w:sz="0" w:space="0" w:color="auto"/>
                <w:bottom w:val="none" w:sz="0" w:space="0" w:color="auto"/>
                <w:right w:val="none" w:sz="0" w:space="0" w:color="auto"/>
              </w:divBdr>
            </w:div>
          </w:divsChild>
        </w:div>
        <w:div w:id="1560096351">
          <w:marLeft w:val="0"/>
          <w:marRight w:val="0"/>
          <w:marTop w:val="0"/>
          <w:marBottom w:val="0"/>
          <w:divBdr>
            <w:top w:val="none" w:sz="0" w:space="0" w:color="auto"/>
            <w:left w:val="none" w:sz="0" w:space="0" w:color="auto"/>
            <w:bottom w:val="none" w:sz="0" w:space="0" w:color="auto"/>
            <w:right w:val="none" w:sz="0" w:space="0" w:color="auto"/>
          </w:divBdr>
          <w:divsChild>
            <w:div w:id="1816217814">
              <w:marLeft w:val="0"/>
              <w:marRight w:val="0"/>
              <w:marTop w:val="0"/>
              <w:marBottom w:val="0"/>
              <w:divBdr>
                <w:top w:val="none" w:sz="0" w:space="0" w:color="auto"/>
                <w:left w:val="none" w:sz="0" w:space="0" w:color="auto"/>
                <w:bottom w:val="none" w:sz="0" w:space="0" w:color="auto"/>
                <w:right w:val="none" w:sz="0" w:space="0" w:color="auto"/>
              </w:divBdr>
            </w:div>
          </w:divsChild>
        </w:div>
        <w:div w:id="1566065764">
          <w:marLeft w:val="0"/>
          <w:marRight w:val="0"/>
          <w:marTop w:val="0"/>
          <w:marBottom w:val="0"/>
          <w:divBdr>
            <w:top w:val="none" w:sz="0" w:space="0" w:color="auto"/>
            <w:left w:val="none" w:sz="0" w:space="0" w:color="auto"/>
            <w:bottom w:val="none" w:sz="0" w:space="0" w:color="auto"/>
            <w:right w:val="none" w:sz="0" w:space="0" w:color="auto"/>
          </w:divBdr>
          <w:divsChild>
            <w:div w:id="828786589">
              <w:marLeft w:val="0"/>
              <w:marRight w:val="0"/>
              <w:marTop w:val="0"/>
              <w:marBottom w:val="0"/>
              <w:divBdr>
                <w:top w:val="none" w:sz="0" w:space="0" w:color="auto"/>
                <w:left w:val="none" w:sz="0" w:space="0" w:color="auto"/>
                <w:bottom w:val="none" w:sz="0" w:space="0" w:color="auto"/>
                <w:right w:val="none" w:sz="0" w:space="0" w:color="auto"/>
              </w:divBdr>
            </w:div>
          </w:divsChild>
        </w:div>
        <w:div w:id="1668946691">
          <w:marLeft w:val="0"/>
          <w:marRight w:val="0"/>
          <w:marTop w:val="0"/>
          <w:marBottom w:val="0"/>
          <w:divBdr>
            <w:top w:val="none" w:sz="0" w:space="0" w:color="auto"/>
            <w:left w:val="none" w:sz="0" w:space="0" w:color="auto"/>
            <w:bottom w:val="none" w:sz="0" w:space="0" w:color="auto"/>
            <w:right w:val="none" w:sz="0" w:space="0" w:color="auto"/>
          </w:divBdr>
          <w:divsChild>
            <w:div w:id="853035112">
              <w:marLeft w:val="0"/>
              <w:marRight w:val="0"/>
              <w:marTop w:val="0"/>
              <w:marBottom w:val="0"/>
              <w:divBdr>
                <w:top w:val="none" w:sz="0" w:space="0" w:color="auto"/>
                <w:left w:val="none" w:sz="0" w:space="0" w:color="auto"/>
                <w:bottom w:val="none" w:sz="0" w:space="0" w:color="auto"/>
                <w:right w:val="none" w:sz="0" w:space="0" w:color="auto"/>
              </w:divBdr>
            </w:div>
          </w:divsChild>
        </w:div>
        <w:div w:id="1669477033">
          <w:marLeft w:val="0"/>
          <w:marRight w:val="0"/>
          <w:marTop w:val="0"/>
          <w:marBottom w:val="0"/>
          <w:divBdr>
            <w:top w:val="none" w:sz="0" w:space="0" w:color="auto"/>
            <w:left w:val="none" w:sz="0" w:space="0" w:color="auto"/>
            <w:bottom w:val="none" w:sz="0" w:space="0" w:color="auto"/>
            <w:right w:val="none" w:sz="0" w:space="0" w:color="auto"/>
          </w:divBdr>
          <w:divsChild>
            <w:div w:id="1284380629">
              <w:marLeft w:val="0"/>
              <w:marRight w:val="0"/>
              <w:marTop w:val="0"/>
              <w:marBottom w:val="0"/>
              <w:divBdr>
                <w:top w:val="none" w:sz="0" w:space="0" w:color="auto"/>
                <w:left w:val="none" w:sz="0" w:space="0" w:color="auto"/>
                <w:bottom w:val="none" w:sz="0" w:space="0" w:color="auto"/>
                <w:right w:val="none" w:sz="0" w:space="0" w:color="auto"/>
              </w:divBdr>
            </w:div>
          </w:divsChild>
        </w:div>
        <w:div w:id="1719813150">
          <w:marLeft w:val="0"/>
          <w:marRight w:val="0"/>
          <w:marTop w:val="0"/>
          <w:marBottom w:val="0"/>
          <w:divBdr>
            <w:top w:val="none" w:sz="0" w:space="0" w:color="auto"/>
            <w:left w:val="none" w:sz="0" w:space="0" w:color="auto"/>
            <w:bottom w:val="none" w:sz="0" w:space="0" w:color="auto"/>
            <w:right w:val="none" w:sz="0" w:space="0" w:color="auto"/>
          </w:divBdr>
          <w:divsChild>
            <w:div w:id="1961720613">
              <w:marLeft w:val="0"/>
              <w:marRight w:val="0"/>
              <w:marTop w:val="0"/>
              <w:marBottom w:val="0"/>
              <w:divBdr>
                <w:top w:val="none" w:sz="0" w:space="0" w:color="auto"/>
                <w:left w:val="none" w:sz="0" w:space="0" w:color="auto"/>
                <w:bottom w:val="none" w:sz="0" w:space="0" w:color="auto"/>
                <w:right w:val="none" w:sz="0" w:space="0" w:color="auto"/>
              </w:divBdr>
            </w:div>
          </w:divsChild>
        </w:div>
        <w:div w:id="1778400836">
          <w:marLeft w:val="0"/>
          <w:marRight w:val="0"/>
          <w:marTop w:val="0"/>
          <w:marBottom w:val="0"/>
          <w:divBdr>
            <w:top w:val="none" w:sz="0" w:space="0" w:color="auto"/>
            <w:left w:val="none" w:sz="0" w:space="0" w:color="auto"/>
            <w:bottom w:val="none" w:sz="0" w:space="0" w:color="auto"/>
            <w:right w:val="none" w:sz="0" w:space="0" w:color="auto"/>
          </w:divBdr>
          <w:divsChild>
            <w:div w:id="1908958965">
              <w:marLeft w:val="0"/>
              <w:marRight w:val="0"/>
              <w:marTop w:val="0"/>
              <w:marBottom w:val="0"/>
              <w:divBdr>
                <w:top w:val="none" w:sz="0" w:space="0" w:color="auto"/>
                <w:left w:val="none" w:sz="0" w:space="0" w:color="auto"/>
                <w:bottom w:val="none" w:sz="0" w:space="0" w:color="auto"/>
                <w:right w:val="none" w:sz="0" w:space="0" w:color="auto"/>
              </w:divBdr>
            </w:div>
          </w:divsChild>
        </w:div>
        <w:div w:id="1779716640">
          <w:marLeft w:val="0"/>
          <w:marRight w:val="0"/>
          <w:marTop w:val="0"/>
          <w:marBottom w:val="0"/>
          <w:divBdr>
            <w:top w:val="none" w:sz="0" w:space="0" w:color="auto"/>
            <w:left w:val="none" w:sz="0" w:space="0" w:color="auto"/>
            <w:bottom w:val="none" w:sz="0" w:space="0" w:color="auto"/>
            <w:right w:val="none" w:sz="0" w:space="0" w:color="auto"/>
          </w:divBdr>
          <w:divsChild>
            <w:div w:id="1013646953">
              <w:marLeft w:val="0"/>
              <w:marRight w:val="0"/>
              <w:marTop w:val="0"/>
              <w:marBottom w:val="0"/>
              <w:divBdr>
                <w:top w:val="none" w:sz="0" w:space="0" w:color="auto"/>
                <w:left w:val="none" w:sz="0" w:space="0" w:color="auto"/>
                <w:bottom w:val="none" w:sz="0" w:space="0" w:color="auto"/>
                <w:right w:val="none" w:sz="0" w:space="0" w:color="auto"/>
              </w:divBdr>
            </w:div>
          </w:divsChild>
        </w:div>
        <w:div w:id="1783768659">
          <w:marLeft w:val="0"/>
          <w:marRight w:val="0"/>
          <w:marTop w:val="0"/>
          <w:marBottom w:val="0"/>
          <w:divBdr>
            <w:top w:val="none" w:sz="0" w:space="0" w:color="auto"/>
            <w:left w:val="none" w:sz="0" w:space="0" w:color="auto"/>
            <w:bottom w:val="none" w:sz="0" w:space="0" w:color="auto"/>
            <w:right w:val="none" w:sz="0" w:space="0" w:color="auto"/>
          </w:divBdr>
          <w:divsChild>
            <w:div w:id="372772751">
              <w:marLeft w:val="0"/>
              <w:marRight w:val="0"/>
              <w:marTop w:val="0"/>
              <w:marBottom w:val="0"/>
              <w:divBdr>
                <w:top w:val="none" w:sz="0" w:space="0" w:color="auto"/>
                <w:left w:val="none" w:sz="0" w:space="0" w:color="auto"/>
                <w:bottom w:val="none" w:sz="0" w:space="0" w:color="auto"/>
                <w:right w:val="none" w:sz="0" w:space="0" w:color="auto"/>
              </w:divBdr>
            </w:div>
          </w:divsChild>
        </w:div>
        <w:div w:id="1875076659">
          <w:marLeft w:val="0"/>
          <w:marRight w:val="0"/>
          <w:marTop w:val="0"/>
          <w:marBottom w:val="0"/>
          <w:divBdr>
            <w:top w:val="none" w:sz="0" w:space="0" w:color="auto"/>
            <w:left w:val="none" w:sz="0" w:space="0" w:color="auto"/>
            <w:bottom w:val="none" w:sz="0" w:space="0" w:color="auto"/>
            <w:right w:val="none" w:sz="0" w:space="0" w:color="auto"/>
          </w:divBdr>
          <w:divsChild>
            <w:div w:id="1997227399">
              <w:marLeft w:val="0"/>
              <w:marRight w:val="0"/>
              <w:marTop w:val="0"/>
              <w:marBottom w:val="0"/>
              <w:divBdr>
                <w:top w:val="none" w:sz="0" w:space="0" w:color="auto"/>
                <w:left w:val="none" w:sz="0" w:space="0" w:color="auto"/>
                <w:bottom w:val="none" w:sz="0" w:space="0" w:color="auto"/>
                <w:right w:val="none" w:sz="0" w:space="0" w:color="auto"/>
              </w:divBdr>
            </w:div>
          </w:divsChild>
        </w:div>
        <w:div w:id="1910651269">
          <w:marLeft w:val="0"/>
          <w:marRight w:val="0"/>
          <w:marTop w:val="0"/>
          <w:marBottom w:val="0"/>
          <w:divBdr>
            <w:top w:val="none" w:sz="0" w:space="0" w:color="auto"/>
            <w:left w:val="none" w:sz="0" w:space="0" w:color="auto"/>
            <w:bottom w:val="none" w:sz="0" w:space="0" w:color="auto"/>
            <w:right w:val="none" w:sz="0" w:space="0" w:color="auto"/>
          </w:divBdr>
          <w:divsChild>
            <w:div w:id="1278870634">
              <w:marLeft w:val="0"/>
              <w:marRight w:val="0"/>
              <w:marTop w:val="0"/>
              <w:marBottom w:val="0"/>
              <w:divBdr>
                <w:top w:val="none" w:sz="0" w:space="0" w:color="auto"/>
                <w:left w:val="none" w:sz="0" w:space="0" w:color="auto"/>
                <w:bottom w:val="none" w:sz="0" w:space="0" w:color="auto"/>
                <w:right w:val="none" w:sz="0" w:space="0" w:color="auto"/>
              </w:divBdr>
            </w:div>
          </w:divsChild>
        </w:div>
        <w:div w:id="1986427527">
          <w:marLeft w:val="0"/>
          <w:marRight w:val="0"/>
          <w:marTop w:val="0"/>
          <w:marBottom w:val="0"/>
          <w:divBdr>
            <w:top w:val="none" w:sz="0" w:space="0" w:color="auto"/>
            <w:left w:val="none" w:sz="0" w:space="0" w:color="auto"/>
            <w:bottom w:val="none" w:sz="0" w:space="0" w:color="auto"/>
            <w:right w:val="none" w:sz="0" w:space="0" w:color="auto"/>
          </w:divBdr>
          <w:divsChild>
            <w:div w:id="1848054214">
              <w:marLeft w:val="0"/>
              <w:marRight w:val="0"/>
              <w:marTop w:val="0"/>
              <w:marBottom w:val="0"/>
              <w:divBdr>
                <w:top w:val="none" w:sz="0" w:space="0" w:color="auto"/>
                <w:left w:val="none" w:sz="0" w:space="0" w:color="auto"/>
                <w:bottom w:val="none" w:sz="0" w:space="0" w:color="auto"/>
                <w:right w:val="none" w:sz="0" w:space="0" w:color="auto"/>
              </w:divBdr>
            </w:div>
          </w:divsChild>
        </w:div>
        <w:div w:id="2095277606">
          <w:marLeft w:val="0"/>
          <w:marRight w:val="0"/>
          <w:marTop w:val="0"/>
          <w:marBottom w:val="0"/>
          <w:divBdr>
            <w:top w:val="none" w:sz="0" w:space="0" w:color="auto"/>
            <w:left w:val="none" w:sz="0" w:space="0" w:color="auto"/>
            <w:bottom w:val="none" w:sz="0" w:space="0" w:color="auto"/>
            <w:right w:val="none" w:sz="0" w:space="0" w:color="auto"/>
          </w:divBdr>
          <w:divsChild>
            <w:div w:id="579481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6246420">
      <w:bodyDiv w:val="1"/>
      <w:marLeft w:val="0"/>
      <w:marRight w:val="0"/>
      <w:marTop w:val="0"/>
      <w:marBottom w:val="0"/>
      <w:divBdr>
        <w:top w:val="none" w:sz="0" w:space="0" w:color="auto"/>
        <w:left w:val="none" w:sz="0" w:space="0" w:color="auto"/>
        <w:bottom w:val="none" w:sz="0" w:space="0" w:color="auto"/>
        <w:right w:val="none" w:sz="0" w:space="0" w:color="auto"/>
      </w:divBdr>
    </w:div>
    <w:div w:id="1736003344">
      <w:bodyDiv w:val="1"/>
      <w:marLeft w:val="0"/>
      <w:marRight w:val="0"/>
      <w:marTop w:val="0"/>
      <w:marBottom w:val="0"/>
      <w:divBdr>
        <w:top w:val="none" w:sz="0" w:space="0" w:color="auto"/>
        <w:left w:val="none" w:sz="0" w:space="0" w:color="auto"/>
        <w:bottom w:val="none" w:sz="0" w:space="0" w:color="auto"/>
        <w:right w:val="none" w:sz="0" w:space="0" w:color="auto"/>
      </w:divBdr>
    </w:div>
    <w:div w:id="1776906103">
      <w:bodyDiv w:val="1"/>
      <w:marLeft w:val="0"/>
      <w:marRight w:val="0"/>
      <w:marTop w:val="0"/>
      <w:marBottom w:val="0"/>
      <w:divBdr>
        <w:top w:val="none" w:sz="0" w:space="0" w:color="auto"/>
        <w:left w:val="none" w:sz="0" w:space="0" w:color="auto"/>
        <w:bottom w:val="none" w:sz="0" w:space="0" w:color="auto"/>
        <w:right w:val="none" w:sz="0" w:space="0" w:color="auto"/>
      </w:divBdr>
      <w:divsChild>
        <w:div w:id="1193806004">
          <w:marLeft w:val="0"/>
          <w:marRight w:val="0"/>
          <w:marTop w:val="0"/>
          <w:marBottom w:val="0"/>
          <w:divBdr>
            <w:top w:val="none" w:sz="0" w:space="0" w:color="auto"/>
            <w:left w:val="none" w:sz="0" w:space="0" w:color="auto"/>
            <w:bottom w:val="none" w:sz="0" w:space="0" w:color="auto"/>
            <w:right w:val="none" w:sz="0" w:space="0" w:color="auto"/>
          </w:divBdr>
        </w:div>
        <w:div w:id="1893032293">
          <w:marLeft w:val="0"/>
          <w:marRight w:val="0"/>
          <w:marTop w:val="0"/>
          <w:marBottom w:val="0"/>
          <w:divBdr>
            <w:top w:val="none" w:sz="0" w:space="0" w:color="auto"/>
            <w:left w:val="none" w:sz="0" w:space="0" w:color="auto"/>
            <w:bottom w:val="none" w:sz="0" w:space="0" w:color="auto"/>
            <w:right w:val="none" w:sz="0" w:space="0" w:color="auto"/>
          </w:divBdr>
        </w:div>
        <w:div w:id="2019888931">
          <w:marLeft w:val="0"/>
          <w:marRight w:val="0"/>
          <w:marTop w:val="0"/>
          <w:marBottom w:val="0"/>
          <w:divBdr>
            <w:top w:val="none" w:sz="0" w:space="0" w:color="auto"/>
            <w:left w:val="none" w:sz="0" w:space="0" w:color="auto"/>
            <w:bottom w:val="none" w:sz="0" w:space="0" w:color="auto"/>
            <w:right w:val="none" w:sz="0" w:space="0" w:color="auto"/>
          </w:divBdr>
        </w:div>
      </w:divsChild>
    </w:div>
    <w:div w:id="1787775134">
      <w:bodyDiv w:val="1"/>
      <w:marLeft w:val="0"/>
      <w:marRight w:val="0"/>
      <w:marTop w:val="0"/>
      <w:marBottom w:val="0"/>
      <w:divBdr>
        <w:top w:val="none" w:sz="0" w:space="0" w:color="auto"/>
        <w:left w:val="none" w:sz="0" w:space="0" w:color="auto"/>
        <w:bottom w:val="none" w:sz="0" w:space="0" w:color="auto"/>
        <w:right w:val="none" w:sz="0" w:space="0" w:color="auto"/>
      </w:divBdr>
    </w:div>
    <w:div w:id="1796560133">
      <w:bodyDiv w:val="1"/>
      <w:marLeft w:val="0"/>
      <w:marRight w:val="0"/>
      <w:marTop w:val="0"/>
      <w:marBottom w:val="0"/>
      <w:divBdr>
        <w:top w:val="none" w:sz="0" w:space="0" w:color="auto"/>
        <w:left w:val="none" w:sz="0" w:space="0" w:color="auto"/>
        <w:bottom w:val="none" w:sz="0" w:space="0" w:color="auto"/>
        <w:right w:val="none" w:sz="0" w:space="0" w:color="auto"/>
      </w:divBdr>
    </w:div>
    <w:div w:id="1800493066">
      <w:bodyDiv w:val="1"/>
      <w:marLeft w:val="0"/>
      <w:marRight w:val="0"/>
      <w:marTop w:val="0"/>
      <w:marBottom w:val="0"/>
      <w:divBdr>
        <w:top w:val="none" w:sz="0" w:space="0" w:color="auto"/>
        <w:left w:val="none" w:sz="0" w:space="0" w:color="auto"/>
        <w:bottom w:val="none" w:sz="0" w:space="0" w:color="auto"/>
        <w:right w:val="none" w:sz="0" w:space="0" w:color="auto"/>
      </w:divBdr>
    </w:div>
    <w:div w:id="1948076937">
      <w:bodyDiv w:val="1"/>
      <w:marLeft w:val="0"/>
      <w:marRight w:val="0"/>
      <w:marTop w:val="0"/>
      <w:marBottom w:val="0"/>
      <w:divBdr>
        <w:top w:val="none" w:sz="0" w:space="0" w:color="auto"/>
        <w:left w:val="none" w:sz="0" w:space="0" w:color="auto"/>
        <w:bottom w:val="none" w:sz="0" w:space="0" w:color="auto"/>
        <w:right w:val="none" w:sz="0" w:space="0" w:color="auto"/>
      </w:divBdr>
      <w:divsChild>
        <w:div w:id="84618313">
          <w:marLeft w:val="274"/>
          <w:marRight w:val="0"/>
          <w:marTop w:val="0"/>
          <w:marBottom w:val="0"/>
          <w:divBdr>
            <w:top w:val="none" w:sz="0" w:space="0" w:color="auto"/>
            <w:left w:val="none" w:sz="0" w:space="0" w:color="auto"/>
            <w:bottom w:val="none" w:sz="0" w:space="0" w:color="auto"/>
            <w:right w:val="none" w:sz="0" w:space="0" w:color="auto"/>
          </w:divBdr>
        </w:div>
        <w:div w:id="416440852">
          <w:marLeft w:val="274"/>
          <w:marRight w:val="0"/>
          <w:marTop w:val="0"/>
          <w:marBottom w:val="0"/>
          <w:divBdr>
            <w:top w:val="none" w:sz="0" w:space="0" w:color="auto"/>
            <w:left w:val="none" w:sz="0" w:space="0" w:color="auto"/>
            <w:bottom w:val="none" w:sz="0" w:space="0" w:color="auto"/>
            <w:right w:val="none" w:sz="0" w:space="0" w:color="auto"/>
          </w:divBdr>
        </w:div>
        <w:div w:id="1030641356">
          <w:marLeft w:val="274"/>
          <w:marRight w:val="0"/>
          <w:marTop w:val="0"/>
          <w:marBottom w:val="0"/>
          <w:divBdr>
            <w:top w:val="none" w:sz="0" w:space="0" w:color="auto"/>
            <w:left w:val="none" w:sz="0" w:space="0" w:color="auto"/>
            <w:bottom w:val="none" w:sz="0" w:space="0" w:color="auto"/>
            <w:right w:val="none" w:sz="0" w:space="0" w:color="auto"/>
          </w:divBdr>
        </w:div>
      </w:divsChild>
    </w:div>
    <w:div w:id="1958636199">
      <w:bodyDiv w:val="1"/>
      <w:marLeft w:val="0"/>
      <w:marRight w:val="0"/>
      <w:marTop w:val="0"/>
      <w:marBottom w:val="0"/>
      <w:divBdr>
        <w:top w:val="none" w:sz="0" w:space="0" w:color="auto"/>
        <w:left w:val="none" w:sz="0" w:space="0" w:color="auto"/>
        <w:bottom w:val="none" w:sz="0" w:space="0" w:color="auto"/>
        <w:right w:val="none" w:sz="0" w:space="0" w:color="auto"/>
      </w:divBdr>
    </w:div>
    <w:div w:id="1982076139">
      <w:bodyDiv w:val="1"/>
      <w:marLeft w:val="0"/>
      <w:marRight w:val="0"/>
      <w:marTop w:val="0"/>
      <w:marBottom w:val="0"/>
      <w:divBdr>
        <w:top w:val="none" w:sz="0" w:space="0" w:color="auto"/>
        <w:left w:val="none" w:sz="0" w:space="0" w:color="auto"/>
        <w:bottom w:val="none" w:sz="0" w:space="0" w:color="auto"/>
        <w:right w:val="none" w:sz="0" w:space="0" w:color="auto"/>
      </w:divBdr>
    </w:div>
    <w:div w:id="2006207823">
      <w:bodyDiv w:val="1"/>
      <w:marLeft w:val="0"/>
      <w:marRight w:val="0"/>
      <w:marTop w:val="0"/>
      <w:marBottom w:val="0"/>
      <w:divBdr>
        <w:top w:val="none" w:sz="0" w:space="0" w:color="auto"/>
        <w:left w:val="none" w:sz="0" w:space="0" w:color="auto"/>
        <w:bottom w:val="none" w:sz="0" w:space="0" w:color="auto"/>
        <w:right w:val="none" w:sz="0" w:space="0" w:color="auto"/>
      </w:divBdr>
      <w:divsChild>
        <w:div w:id="8799544">
          <w:marLeft w:val="0"/>
          <w:marRight w:val="0"/>
          <w:marTop w:val="0"/>
          <w:marBottom w:val="0"/>
          <w:divBdr>
            <w:top w:val="none" w:sz="0" w:space="0" w:color="auto"/>
            <w:left w:val="none" w:sz="0" w:space="0" w:color="auto"/>
            <w:bottom w:val="none" w:sz="0" w:space="0" w:color="auto"/>
            <w:right w:val="none" w:sz="0" w:space="0" w:color="auto"/>
          </w:divBdr>
          <w:divsChild>
            <w:div w:id="764233639">
              <w:marLeft w:val="0"/>
              <w:marRight w:val="0"/>
              <w:marTop w:val="0"/>
              <w:marBottom w:val="0"/>
              <w:divBdr>
                <w:top w:val="none" w:sz="0" w:space="0" w:color="auto"/>
                <w:left w:val="none" w:sz="0" w:space="0" w:color="auto"/>
                <w:bottom w:val="none" w:sz="0" w:space="0" w:color="auto"/>
                <w:right w:val="none" w:sz="0" w:space="0" w:color="auto"/>
              </w:divBdr>
            </w:div>
          </w:divsChild>
        </w:div>
        <w:div w:id="66657704">
          <w:marLeft w:val="0"/>
          <w:marRight w:val="0"/>
          <w:marTop w:val="0"/>
          <w:marBottom w:val="0"/>
          <w:divBdr>
            <w:top w:val="none" w:sz="0" w:space="0" w:color="auto"/>
            <w:left w:val="none" w:sz="0" w:space="0" w:color="auto"/>
            <w:bottom w:val="none" w:sz="0" w:space="0" w:color="auto"/>
            <w:right w:val="none" w:sz="0" w:space="0" w:color="auto"/>
          </w:divBdr>
          <w:divsChild>
            <w:div w:id="1004817940">
              <w:marLeft w:val="0"/>
              <w:marRight w:val="0"/>
              <w:marTop w:val="0"/>
              <w:marBottom w:val="0"/>
              <w:divBdr>
                <w:top w:val="none" w:sz="0" w:space="0" w:color="auto"/>
                <w:left w:val="none" w:sz="0" w:space="0" w:color="auto"/>
                <w:bottom w:val="none" w:sz="0" w:space="0" w:color="auto"/>
                <w:right w:val="none" w:sz="0" w:space="0" w:color="auto"/>
              </w:divBdr>
            </w:div>
          </w:divsChild>
        </w:div>
        <w:div w:id="107161739">
          <w:marLeft w:val="0"/>
          <w:marRight w:val="0"/>
          <w:marTop w:val="0"/>
          <w:marBottom w:val="0"/>
          <w:divBdr>
            <w:top w:val="none" w:sz="0" w:space="0" w:color="auto"/>
            <w:left w:val="none" w:sz="0" w:space="0" w:color="auto"/>
            <w:bottom w:val="none" w:sz="0" w:space="0" w:color="auto"/>
            <w:right w:val="none" w:sz="0" w:space="0" w:color="auto"/>
          </w:divBdr>
          <w:divsChild>
            <w:div w:id="1019311933">
              <w:marLeft w:val="0"/>
              <w:marRight w:val="0"/>
              <w:marTop w:val="0"/>
              <w:marBottom w:val="0"/>
              <w:divBdr>
                <w:top w:val="none" w:sz="0" w:space="0" w:color="auto"/>
                <w:left w:val="none" w:sz="0" w:space="0" w:color="auto"/>
                <w:bottom w:val="none" w:sz="0" w:space="0" w:color="auto"/>
                <w:right w:val="none" w:sz="0" w:space="0" w:color="auto"/>
              </w:divBdr>
            </w:div>
          </w:divsChild>
        </w:div>
        <w:div w:id="208763665">
          <w:marLeft w:val="0"/>
          <w:marRight w:val="0"/>
          <w:marTop w:val="0"/>
          <w:marBottom w:val="0"/>
          <w:divBdr>
            <w:top w:val="none" w:sz="0" w:space="0" w:color="auto"/>
            <w:left w:val="none" w:sz="0" w:space="0" w:color="auto"/>
            <w:bottom w:val="none" w:sz="0" w:space="0" w:color="auto"/>
            <w:right w:val="none" w:sz="0" w:space="0" w:color="auto"/>
          </w:divBdr>
          <w:divsChild>
            <w:div w:id="248971398">
              <w:marLeft w:val="0"/>
              <w:marRight w:val="0"/>
              <w:marTop w:val="0"/>
              <w:marBottom w:val="0"/>
              <w:divBdr>
                <w:top w:val="none" w:sz="0" w:space="0" w:color="auto"/>
                <w:left w:val="none" w:sz="0" w:space="0" w:color="auto"/>
                <w:bottom w:val="none" w:sz="0" w:space="0" w:color="auto"/>
                <w:right w:val="none" w:sz="0" w:space="0" w:color="auto"/>
              </w:divBdr>
            </w:div>
          </w:divsChild>
        </w:div>
        <w:div w:id="236523345">
          <w:marLeft w:val="0"/>
          <w:marRight w:val="0"/>
          <w:marTop w:val="0"/>
          <w:marBottom w:val="0"/>
          <w:divBdr>
            <w:top w:val="none" w:sz="0" w:space="0" w:color="auto"/>
            <w:left w:val="none" w:sz="0" w:space="0" w:color="auto"/>
            <w:bottom w:val="none" w:sz="0" w:space="0" w:color="auto"/>
            <w:right w:val="none" w:sz="0" w:space="0" w:color="auto"/>
          </w:divBdr>
          <w:divsChild>
            <w:div w:id="1851530349">
              <w:marLeft w:val="0"/>
              <w:marRight w:val="0"/>
              <w:marTop w:val="0"/>
              <w:marBottom w:val="0"/>
              <w:divBdr>
                <w:top w:val="none" w:sz="0" w:space="0" w:color="auto"/>
                <w:left w:val="none" w:sz="0" w:space="0" w:color="auto"/>
                <w:bottom w:val="none" w:sz="0" w:space="0" w:color="auto"/>
                <w:right w:val="none" w:sz="0" w:space="0" w:color="auto"/>
              </w:divBdr>
            </w:div>
          </w:divsChild>
        </w:div>
        <w:div w:id="244268803">
          <w:marLeft w:val="0"/>
          <w:marRight w:val="0"/>
          <w:marTop w:val="0"/>
          <w:marBottom w:val="0"/>
          <w:divBdr>
            <w:top w:val="none" w:sz="0" w:space="0" w:color="auto"/>
            <w:left w:val="none" w:sz="0" w:space="0" w:color="auto"/>
            <w:bottom w:val="none" w:sz="0" w:space="0" w:color="auto"/>
            <w:right w:val="none" w:sz="0" w:space="0" w:color="auto"/>
          </w:divBdr>
          <w:divsChild>
            <w:div w:id="953367713">
              <w:marLeft w:val="0"/>
              <w:marRight w:val="0"/>
              <w:marTop w:val="0"/>
              <w:marBottom w:val="0"/>
              <w:divBdr>
                <w:top w:val="none" w:sz="0" w:space="0" w:color="auto"/>
                <w:left w:val="none" w:sz="0" w:space="0" w:color="auto"/>
                <w:bottom w:val="none" w:sz="0" w:space="0" w:color="auto"/>
                <w:right w:val="none" w:sz="0" w:space="0" w:color="auto"/>
              </w:divBdr>
            </w:div>
          </w:divsChild>
        </w:div>
        <w:div w:id="245775385">
          <w:marLeft w:val="0"/>
          <w:marRight w:val="0"/>
          <w:marTop w:val="0"/>
          <w:marBottom w:val="0"/>
          <w:divBdr>
            <w:top w:val="none" w:sz="0" w:space="0" w:color="auto"/>
            <w:left w:val="none" w:sz="0" w:space="0" w:color="auto"/>
            <w:bottom w:val="none" w:sz="0" w:space="0" w:color="auto"/>
            <w:right w:val="none" w:sz="0" w:space="0" w:color="auto"/>
          </w:divBdr>
          <w:divsChild>
            <w:div w:id="266549005">
              <w:marLeft w:val="0"/>
              <w:marRight w:val="0"/>
              <w:marTop w:val="0"/>
              <w:marBottom w:val="0"/>
              <w:divBdr>
                <w:top w:val="none" w:sz="0" w:space="0" w:color="auto"/>
                <w:left w:val="none" w:sz="0" w:space="0" w:color="auto"/>
                <w:bottom w:val="none" w:sz="0" w:space="0" w:color="auto"/>
                <w:right w:val="none" w:sz="0" w:space="0" w:color="auto"/>
              </w:divBdr>
            </w:div>
          </w:divsChild>
        </w:div>
        <w:div w:id="249973000">
          <w:marLeft w:val="0"/>
          <w:marRight w:val="0"/>
          <w:marTop w:val="0"/>
          <w:marBottom w:val="0"/>
          <w:divBdr>
            <w:top w:val="none" w:sz="0" w:space="0" w:color="auto"/>
            <w:left w:val="none" w:sz="0" w:space="0" w:color="auto"/>
            <w:bottom w:val="none" w:sz="0" w:space="0" w:color="auto"/>
            <w:right w:val="none" w:sz="0" w:space="0" w:color="auto"/>
          </w:divBdr>
          <w:divsChild>
            <w:div w:id="1155875845">
              <w:marLeft w:val="0"/>
              <w:marRight w:val="0"/>
              <w:marTop w:val="0"/>
              <w:marBottom w:val="0"/>
              <w:divBdr>
                <w:top w:val="none" w:sz="0" w:space="0" w:color="auto"/>
                <w:left w:val="none" w:sz="0" w:space="0" w:color="auto"/>
                <w:bottom w:val="none" w:sz="0" w:space="0" w:color="auto"/>
                <w:right w:val="none" w:sz="0" w:space="0" w:color="auto"/>
              </w:divBdr>
            </w:div>
          </w:divsChild>
        </w:div>
        <w:div w:id="257256599">
          <w:marLeft w:val="0"/>
          <w:marRight w:val="0"/>
          <w:marTop w:val="0"/>
          <w:marBottom w:val="0"/>
          <w:divBdr>
            <w:top w:val="none" w:sz="0" w:space="0" w:color="auto"/>
            <w:left w:val="none" w:sz="0" w:space="0" w:color="auto"/>
            <w:bottom w:val="none" w:sz="0" w:space="0" w:color="auto"/>
            <w:right w:val="none" w:sz="0" w:space="0" w:color="auto"/>
          </w:divBdr>
          <w:divsChild>
            <w:div w:id="1387341897">
              <w:marLeft w:val="0"/>
              <w:marRight w:val="0"/>
              <w:marTop w:val="0"/>
              <w:marBottom w:val="0"/>
              <w:divBdr>
                <w:top w:val="none" w:sz="0" w:space="0" w:color="auto"/>
                <w:left w:val="none" w:sz="0" w:space="0" w:color="auto"/>
                <w:bottom w:val="none" w:sz="0" w:space="0" w:color="auto"/>
                <w:right w:val="none" w:sz="0" w:space="0" w:color="auto"/>
              </w:divBdr>
            </w:div>
          </w:divsChild>
        </w:div>
        <w:div w:id="325406130">
          <w:marLeft w:val="0"/>
          <w:marRight w:val="0"/>
          <w:marTop w:val="0"/>
          <w:marBottom w:val="0"/>
          <w:divBdr>
            <w:top w:val="none" w:sz="0" w:space="0" w:color="auto"/>
            <w:left w:val="none" w:sz="0" w:space="0" w:color="auto"/>
            <w:bottom w:val="none" w:sz="0" w:space="0" w:color="auto"/>
            <w:right w:val="none" w:sz="0" w:space="0" w:color="auto"/>
          </w:divBdr>
          <w:divsChild>
            <w:div w:id="644046478">
              <w:marLeft w:val="0"/>
              <w:marRight w:val="0"/>
              <w:marTop w:val="0"/>
              <w:marBottom w:val="0"/>
              <w:divBdr>
                <w:top w:val="none" w:sz="0" w:space="0" w:color="auto"/>
                <w:left w:val="none" w:sz="0" w:space="0" w:color="auto"/>
                <w:bottom w:val="none" w:sz="0" w:space="0" w:color="auto"/>
                <w:right w:val="none" w:sz="0" w:space="0" w:color="auto"/>
              </w:divBdr>
            </w:div>
          </w:divsChild>
        </w:div>
        <w:div w:id="360326007">
          <w:marLeft w:val="0"/>
          <w:marRight w:val="0"/>
          <w:marTop w:val="0"/>
          <w:marBottom w:val="0"/>
          <w:divBdr>
            <w:top w:val="none" w:sz="0" w:space="0" w:color="auto"/>
            <w:left w:val="none" w:sz="0" w:space="0" w:color="auto"/>
            <w:bottom w:val="none" w:sz="0" w:space="0" w:color="auto"/>
            <w:right w:val="none" w:sz="0" w:space="0" w:color="auto"/>
          </w:divBdr>
          <w:divsChild>
            <w:div w:id="730423230">
              <w:marLeft w:val="0"/>
              <w:marRight w:val="0"/>
              <w:marTop w:val="0"/>
              <w:marBottom w:val="0"/>
              <w:divBdr>
                <w:top w:val="none" w:sz="0" w:space="0" w:color="auto"/>
                <w:left w:val="none" w:sz="0" w:space="0" w:color="auto"/>
                <w:bottom w:val="none" w:sz="0" w:space="0" w:color="auto"/>
                <w:right w:val="none" w:sz="0" w:space="0" w:color="auto"/>
              </w:divBdr>
            </w:div>
          </w:divsChild>
        </w:div>
        <w:div w:id="484274739">
          <w:marLeft w:val="0"/>
          <w:marRight w:val="0"/>
          <w:marTop w:val="0"/>
          <w:marBottom w:val="0"/>
          <w:divBdr>
            <w:top w:val="none" w:sz="0" w:space="0" w:color="auto"/>
            <w:left w:val="none" w:sz="0" w:space="0" w:color="auto"/>
            <w:bottom w:val="none" w:sz="0" w:space="0" w:color="auto"/>
            <w:right w:val="none" w:sz="0" w:space="0" w:color="auto"/>
          </w:divBdr>
          <w:divsChild>
            <w:div w:id="116920835">
              <w:marLeft w:val="0"/>
              <w:marRight w:val="0"/>
              <w:marTop w:val="0"/>
              <w:marBottom w:val="0"/>
              <w:divBdr>
                <w:top w:val="none" w:sz="0" w:space="0" w:color="auto"/>
                <w:left w:val="none" w:sz="0" w:space="0" w:color="auto"/>
                <w:bottom w:val="none" w:sz="0" w:space="0" w:color="auto"/>
                <w:right w:val="none" w:sz="0" w:space="0" w:color="auto"/>
              </w:divBdr>
            </w:div>
          </w:divsChild>
        </w:div>
        <w:div w:id="510266704">
          <w:marLeft w:val="0"/>
          <w:marRight w:val="0"/>
          <w:marTop w:val="0"/>
          <w:marBottom w:val="0"/>
          <w:divBdr>
            <w:top w:val="none" w:sz="0" w:space="0" w:color="auto"/>
            <w:left w:val="none" w:sz="0" w:space="0" w:color="auto"/>
            <w:bottom w:val="none" w:sz="0" w:space="0" w:color="auto"/>
            <w:right w:val="none" w:sz="0" w:space="0" w:color="auto"/>
          </w:divBdr>
          <w:divsChild>
            <w:div w:id="2144107923">
              <w:marLeft w:val="0"/>
              <w:marRight w:val="0"/>
              <w:marTop w:val="0"/>
              <w:marBottom w:val="0"/>
              <w:divBdr>
                <w:top w:val="none" w:sz="0" w:space="0" w:color="auto"/>
                <w:left w:val="none" w:sz="0" w:space="0" w:color="auto"/>
                <w:bottom w:val="none" w:sz="0" w:space="0" w:color="auto"/>
                <w:right w:val="none" w:sz="0" w:space="0" w:color="auto"/>
              </w:divBdr>
            </w:div>
          </w:divsChild>
        </w:div>
        <w:div w:id="670446504">
          <w:marLeft w:val="0"/>
          <w:marRight w:val="0"/>
          <w:marTop w:val="0"/>
          <w:marBottom w:val="0"/>
          <w:divBdr>
            <w:top w:val="none" w:sz="0" w:space="0" w:color="auto"/>
            <w:left w:val="none" w:sz="0" w:space="0" w:color="auto"/>
            <w:bottom w:val="none" w:sz="0" w:space="0" w:color="auto"/>
            <w:right w:val="none" w:sz="0" w:space="0" w:color="auto"/>
          </w:divBdr>
          <w:divsChild>
            <w:div w:id="1362975227">
              <w:marLeft w:val="0"/>
              <w:marRight w:val="0"/>
              <w:marTop w:val="0"/>
              <w:marBottom w:val="0"/>
              <w:divBdr>
                <w:top w:val="none" w:sz="0" w:space="0" w:color="auto"/>
                <w:left w:val="none" w:sz="0" w:space="0" w:color="auto"/>
                <w:bottom w:val="none" w:sz="0" w:space="0" w:color="auto"/>
                <w:right w:val="none" w:sz="0" w:space="0" w:color="auto"/>
              </w:divBdr>
            </w:div>
          </w:divsChild>
        </w:div>
        <w:div w:id="699628080">
          <w:marLeft w:val="0"/>
          <w:marRight w:val="0"/>
          <w:marTop w:val="0"/>
          <w:marBottom w:val="0"/>
          <w:divBdr>
            <w:top w:val="none" w:sz="0" w:space="0" w:color="auto"/>
            <w:left w:val="none" w:sz="0" w:space="0" w:color="auto"/>
            <w:bottom w:val="none" w:sz="0" w:space="0" w:color="auto"/>
            <w:right w:val="none" w:sz="0" w:space="0" w:color="auto"/>
          </w:divBdr>
          <w:divsChild>
            <w:div w:id="1135608163">
              <w:marLeft w:val="0"/>
              <w:marRight w:val="0"/>
              <w:marTop w:val="0"/>
              <w:marBottom w:val="0"/>
              <w:divBdr>
                <w:top w:val="none" w:sz="0" w:space="0" w:color="auto"/>
                <w:left w:val="none" w:sz="0" w:space="0" w:color="auto"/>
                <w:bottom w:val="none" w:sz="0" w:space="0" w:color="auto"/>
                <w:right w:val="none" w:sz="0" w:space="0" w:color="auto"/>
              </w:divBdr>
            </w:div>
          </w:divsChild>
        </w:div>
        <w:div w:id="706486639">
          <w:marLeft w:val="0"/>
          <w:marRight w:val="0"/>
          <w:marTop w:val="0"/>
          <w:marBottom w:val="0"/>
          <w:divBdr>
            <w:top w:val="none" w:sz="0" w:space="0" w:color="auto"/>
            <w:left w:val="none" w:sz="0" w:space="0" w:color="auto"/>
            <w:bottom w:val="none" w:sz="0" w:space="0" w:color="auto"/>
            <w:right w:val="none" w:sz="0" w:space="0" w:color="auto"/>
          </w:divBdr>
          <w:divsChild>
            <w:div w:id="1164129608">
              <w:marLeft w:val="0"/>
              <w:marRight w:val="0"/>
              <w:marTop w:val="0"/>
              <w:marBottom w:val="0"/>
              <w:divBdr>
                <w:top w:val="none" w:sz="0" w:space="0" w:color="auto"/>
                <w:left w:val="none" w:sz="0" w:space="0" w:color="auto"/>
                <w:bottom w:val="none" w:sz="0" w:space="0" w:color="auto"/>
                <w:right w:val="none" w:sz="0" w:space="0" w:color="auto"/>
              </w:divBdr>
            </w:div>
          </w:divsChild>
        </w:div>
        <w:div w:id="737241529">
          <w:marLeft w:val="0"/>
          <w:marRight w:val="0"/>
          <w:marTop w:val="0"/>
          <w:marBottom w:val="0"/>
          <w:divBdr>
            <w:top w:val="none" w:sz="0" w:space="0" w:color="auto"/>
            <w:left w:val="none" w:sz="0" w:space="0" w:color="auto"/>
            <w:bottom w:val="none" w:sz="0" w:space="0" w:color="auto"/>
            <w:right w:val="none" w:sz="0" w:space="0" w:color="auto"/>
          </w:divBdr>
          <w:divsChild>
            <w:div w:id="167135121">
              <w:marLeft w:val="0"/>
              <w:marRight w:val="0"/>
              <w:marTop w:val="0"/>
              <w:marBottom w:val="0"/>
              <w:divBdr>
                <w:top w:val="none" w:sz="0" w:space="0" w:color="auto"/>
                <w:left w:val="none" w:sz="0" w:space="0" w:color="auto"/>
                <w:bottom w:val="none" w:sz="0" w:space="0" w:color="auto"/>
                <w:right w:val="none" w:sz="0" w:space="0" w:color="auto"/>
              </w:divBdr>
            </w:div>
          </w:divsChild>
        </w:div>
        <w:div w:id="750155653">
          <w:marLeft w:val="0"/>
          <w:marRight w:val="0"/>
          <w:marTop w:val="0"/>
          <w:marBottom w:val="0"/>
          <w:divBdr>
            <w:top w:val="none" w:sz="0" w:space="0" w:color="auto"/>
            <w:left w:val="none" w:sz="0" w:space="0" w:color="auto"/>
            <w:bottom w:val="none" w:sz="0" w:space="0" w:color="auto"/>
            <w:right w:val="none" w:sz="0" w:space="0" w:color="auto"/>
          </w:divBdr>
          <w:divsChild>
            <w:div w:id="1448350656">
              <w:marLeft w:val="0"/>
              <w:marRight w:val="0"/>
              <w:marTop w:val="0"/>
              <w:marBottom w:val="0"/>
              <w:divBdr>
                <w:top w:val="none" w:sz="0" w:space="0" w:color="auto"/>
                <w:left w:val="none" w:sz="0" w:space="0" w:color="auto"/>
                <w:bottom w:val="none" w:sz="0" w:space="0" w:color="auto"/>
                <w:right w:val="none" w:sz="0" w:space="0" w:color="auto"/>
              </w:divBdr>
            </w:div>
          </w:divsChild>
        </w:div>
        <w:div w:id="755707113">
          <w:marLeft w:val="0"/>
          <w:marRight w:val="0"/>
          <w:marTop w:val="0"/>
          <w:marBottom w:val="0"/>
          <w:divBdr>
            <w:top w:val="none" w:sz="0" w:space="0" w:color="auto"/>
            <w:left w:val="none" w:sz="0" w:space="0" w:color="auto"/>
            <w:bottom w:val="none" w:sz="0" w:space="0" w:color="auto"/>
            <w:right w:val="none" w:sz="0" w:space="0" w:color="auto"/>
          </w:divBdr>
          <w:divsChild>
            <w:div w:id="1779636434">
              <w:marLeft w:val="0"/>
              <w:marRight w:val="0"/>
              <w:marTop w:val="0"/>
              <w:marBottom w:val="0"/>
              <w:divBdr>
                <w:top w:val="none" w:sz="0" w:space="0" w:color="auto"/>
                <w:left w:val="none" w:sz="0" w:space="0" w:color="auto"/>
                <w:bottom w:val="none" w:sz="0" w:space="0" w:color="auto"/>
                <w:right w:val="none" w:sz="0" w:space="0" w:color="auto"/>
              </w:divBdr>
            </w:div>
          </w:divsChild>
        </w:div>
        <w:div w:id="842092728">
          <w:marLeft w:val="0"/>
          <w:marRight w:val="0"/>
          <w:marTop w:val="0"/>
          <w:marBottom w:val="0"/>
          <w:divBdr>
            <w:top w:val="none" w:sz="0" w:space="0" w:color="auto"/>
            <w:left w:val="none" w:sz="0" w:space="0" w:color="auto"/>
            <w:bottom w:val="none" w:sz="0" w:space="0" w:color="auto"/>
            <w:right w:val="none" w:sz="0" w:space="0" w:color="auto"/>
          </w:divBdr>
          <w:divsChild>
            <w:div w:id="526717761">
              <w:marLeft w:val="0"/>
              <w:marRight w:val="0"/>
              <w:marTop w:val="0"/>
              <w:marBottom w:val="0"/>
              <w:divBdr>
                <w:top w:val="none" w:sz="0" w:space="0" w:color="auto"/>
                <w:left w:val="none" w:sz="0" w:space="0" w:color="auto"/>
                <w:bottom w:val="none" w:sz="0" w:space="0" w:color="auto"/>
                <w:right w:val="none" w:sz="0" w:space="0" w:color="auto"/>
              </w:divBdr>
            </w:div>
          </w:divsChild>
        </w:div>
        <w:div w:id="1103384218">
          <w:marLeft w:val="0"/>
          <w:marRight w:val="0"/>
          <w:marTop w:val="0"/>
          <w:marBottom w:val="0"/>
          <w:divBdr>
            <w:top w:val="none" w:sz="0" w:space="0" w:color="auto"/>
            <w:left w:val="none" w:sz="0" w:space="0" w:color="auto"/>
            <w:bottom w:val="none" w:sz="0" w:space="0" w:color="auto"/>
            <w:right w:val="none" w:sz="0" w:space="0" w:color="auto"/>
          </w:divBdr>
          <w:divsChild>
            <w:div w:id="1168835336">
              <w:marLeft w:val="0"/>
              <w:marRight w:val="0"/>
              <w:marTop w:val="0"/>
              <w:marBottom w:val="0"/>
              <w:divBdr>
                <w:top w:val="none" w:sz="0" w:space="0" w:color="auto"/>
                <w:left w:val="none" w:sz="0" w:space="0" w:color="auto"/>
                <w:bottom w:val="none" w:sz="0" w:space="0" w:color="auto"/>
                <w:right w:val="none" w:sz="0" w:space="0" w:color="auto"/>
              </w:divBdr>
            </w:div>
          </w:divsChild>
        </w:div>
        <w:div w:id="1143741521">
          <w:marLeft w:val="0"/>
          <w:marRight w:val="0"/>
          <w:marTop w:val="0"/>
          <w:marBottom w:val="0"/>
          <w:divBdr>
            <w:top w:val="none" w:sz="0" w:space="0" w:color="auto"/>
            <w:left w:val="none" w:sz="0" w:space="0" w:color="auto"/>
            <w:bottom w:val="none" w:sz="0" w:space="0" w:color="auto"/>
            <w:right w:val="none" w:sz="0" w:space="0" w:color="auto"/>
          </w:divBdr>
          <w:divsChild>
            <w:div w:id="1768691558">
              <w:marLeft w:val="0"/>
              <w:marRight w:val="0"/>
              <w:marTop w:val="0"/>
              <w:marBottom w:val="0"/>
              <w:divBdr>
                <w:top w:val="none" w:sz="0" w:space="0" w:color="auto"/>
                <w:left w:val="none" w:sz="0" w:space="0" w:color="auto"/>
                <w:bottom w:val="none" w:sz="0" w:space="0" w:color="auto"/>
                <w:right w:val="none" w:sz="0" w:space="0" w:color="auto"/>
              </w:divBdr>
            </w:div>
          </w:divsChild>
        </w:div>
        <w:div w:id="1154905545">
          <w:marLeft w:val="0"/>
          <w:marRight w:val="0"/>
          <w:marTop w:val="0"/>
          <w:marBottom w:val="0"/>
          <w:divBdr>
            <w:top w:val="none" w:sz="0" w:space="0" w:color="auto"/>
            <w:left w:val="none" w:sz="0" w:space="0" w:color="auto"/>
            <w:bottom w:val="none" w:sz="0" w:space="0" w:color="auto"/>
            <w:right w:val="none" w:sz="0" w:space="0" w:color="auto"/>
          </w:divBdr>
          <w:divsChild>
            <w:div w:id="1520049249">
              <w:marLeft w:val="0"/>
              <w:marRight w:val="0"/>
              <w:marTop w:val="0"/>
              <w:marBottom w:val="0"/>
              <w:divBdr>
                <w:top w:val="none" w:sz="0" w:space="0" w:color="auto"/>
                <w:left w:val="none" w:sz="0" w:space="0" w:color="auto"/>
                <w:bottom w:val="none" w:sz="0" w:space="0" w:color="auto"/>
                <w:right w:val="none" w:sz="0" w:space="0" w:color="auto"/>
              </w:divBdr>
            </w:div>
          </w:divsChild>
        </w:div>
        <w:div w:id="1271619715">
          <w:marLeft w:val="0"/>
          <w:marRight w:val="0"/>
          <w:marTop w:val="0"/>
          <w:marBottom w:val="0"/>
          <w:divBdr>
            <w:top w:val="none" w:sz="0" w:space="0" w:color="auto"/>
            <w:left w:val="none" w:sz="0" w:space="0" w:color="auto"/>
            <w:bottom w:val="none" w:sz="0" w:space="0" w:color="auto"/>
            <w:right w:val="none" w:sz="0" w:space="0" w:color="auto"/>
          </w:divBdr>
          <w:divsChild>
            <w:div w:id="1694838142">
              <w:marLeft w:val="0"/>
              <w:marRight w:val="0"/>
              <w:marTop w:val="0"/>
              <w:marBottom w:val="0"/>
              <w:divBdr>
                <w:top w:val="none" w:sz="0" w:space="0" w:color="auto"/>
                <w:left w:val="none" w:sz="0" w:space="0" w:color="auto"/>
                <w:bottom w:val="none" w:sz="0" w:space="0" w:color="auto"/>
                <w:right w:val="none" w:sz="0" w:space="0" w:color="auto"/>
              </w:divBdr>
            </w:div>
          </w:divsChild>
        </w:div>
        <w:div w:id="1273199688">
          <w:marLeft w:val="0"/>
          <w:marRight w:val="0"/>
          <w:marTop w:val="0"/>
          <w:marBottom w:val="0"/>
          <w:divBdr>
            <w:top w:val="none" w:sz="0" w:space="0" w:color="auto"/>
            <w:left w:val="none" w:sz="0" w:space="0" w:color="auto"/>
            <w:bottom w:val="none" w:sz="0" w:space="0" w:color="auto"/>
            <w:right w:val="none" w:sz="0" w:space="0" w:color="auto"/>
          </w:divBdr>
          <w:divsChild>
            <w:div w:id="1560480384">
              <w:marLeft w:val="0"/>
              <w:marRight w:val="0"/>
              <w:marTop w:val="0"/>
              <w:marBottom w:val="0"/>
              <w:divBdr>
                <w:top w:val="none" w:sz="0" w:space="0" w:color="auto"/>
                <w:left w:val="none" w:sz="0" w:space="0" w:color="auto"/>
                <w:bottom w:val="none" w:sz="0" w:space="0" w:color="auto"/>
                <w:right w:val="none" w:sz="0" w:space="0" w:color="auto"/>
              </w:divBdr>
            </w:div>
          </w:divsChild>
        </w:div>
        <w:div w:id="1379090721">
          <w:marLeft w:val="0"/>
          <w:marRight w:val="0"/>
          <w:marTop w:val="0"/>
          <w:marBottom w:val="0"/>
          <w:divBdr>
            <w:top w:val="none" w:sz="0" w:space="0" w:color="auto"/>
            <w:left w:val="none" w:sz="0" w:space="0" w:color="auto"/>
            <w:bottom w:val="none" w:sz="0" w:space="0" w:color="auto"/>
            <w:right w:val="none" w:sz="0" w:space="0" w:color="auto"/>
          </w:divBdr>
          <w:divsChild>
            <w:div w:id="1976185">
              <w:marLeft w:val="0"/>
              <w:marRight w:val="0"/>
              <w:marTop w:val="0"/>
              <w:marBottom w:val="0"/>
              <w:divBdr>
                <w:top w:val="none" w:sz="0" w:space="0" w:color="auto"/>
                <w:left w:val="none" w:sz="0" w:space="0" w:color="auto"/>
                <w:bottom w:val="none" w:sz="0" w:space="0" w:color="auto"/>
                <w:right w:val="none" w:sz="0" w:space="0" w:color="auto"/>
              </w:divBdr>
            </w:div>
          </w:divsChild>
        </w:div>
        <w:div w:id="1413311476">
          <w:marLeft w:val="0"/>
          <w:marRight w:val="0"/>
          <w:marTop w:val="0"/>
          <w:marBottom w:val="0"/>
          <w:divBdr>
            <w:top w:val="none" w:sz="0" w:space="0" w:color="auto"/>
            <w:left w:val="none" w:sz="0" w:space="0" w:color="auto"/>
            <w:bottom w:val="none" w:sz="0" w:space="0" w:color="auto"/>
            <w:right w:val="none" w:sz="0" w:space="0" w:color="auto"/>
          </w:divBdr>
          <w:divsChild>
            <w:div w:id="1560551105">
              <w:marLeft w:val="0"/>
              <w:marRight w:val="0"/>
              <w:marTop w:val="0"/>
              <w:marBottom w:val="0"/>
              <w:divBdr>
                <w:top w:val="none" w:sz="0" w:space="0" w:color="auto"/>
                <w:left w:val="none" w:sz="0" w:space="0" w:color="auto"/>
                <w:bottom w:val="none" w:sz="0" w:space="0" w:color="auto"/>
                <w:right w:val="none" w:sz="0" w:space="0" w:color="auto"/>
              </w:divBdr>
            </w:div>
          </w:divsChild>
        </w:div>
        <w:div w:id="1493450675">
          <w:marLeft w:val="0"/>
          <w:marRight w:val="0"/>
          <w:marTop w:val="0"/>
          <w:marBottom w:val="0"/>
          <w:divBdr>
            <w:top w:val="none" w:sz="0" w:space="0" w:color="auto"/>
            <w:left w:val="none" w:sz="0" w:space="0" w:color="auto"/>
            <w:bottom w:val="none" w:sz="0" w:space="0" w:color="auto"/>
            <w:right w:val="none" w:sz="0" w:space="0" w:color="auto"/>
          </w:divBdr>
          <w:divsChild>
            <w:div w:id="1075391974">
              <w:marLeft w:val="0"/>
              <w:marRight w:val="0"/>
              <w:marTop w:val="0"/>
              <w:marBottom w:val="0"/>
              <w:divBdr>
                <w:top w:val="none" w:sz="0" w:space="0" w:color="auto"/>
                <w:left w:val="none" w:sz="0" w:space="0" w:color="auto"/>
                <w:bottom w:val="none" w:sz="0" w:space="0" w:color="auto"/>
                <w:right w:val="none" w:sz="0" w:space="0" w:color="auto"/>
              </w:divBdr>
            </w:div>
          </w:divsChild>
        </w:div>
        <w:div w:id="1630622711">
          <w:marLeft w:val="0"/>
          <w:marRight w:val="0"/>
          <w:marTop w:val="0"/>
          <w:marBottom w:val="0"/>
          <w:divBdr>
            <w:top w:val="none" w:sz="0" w:space="0" w:color="auto"/>
            <w:left w:val="none" w:sz="0" w:space="0" w:color="auto"/>
            <w:bottom w:val="none" w:sz="0" w:space="0" w:color="auto"/>
            <w:right w:val="none" w:sz="0" w:space="0" w:color="auto"/>
          </w:divBdr>
          <w:divsChild>
            <w:div w:id="548031883">
              <w:marLeft w:val="0"/>
              <w:marRight w:val="0"/>
              <w:marTop w:val="0"/>
              <w:marBottom w:val="0"/>
              <w:divBdr>
                <w:top w:val="none" w:sz="0" w:space="0" w:color="auto"/>
                <w:left w:val="none" w:sz="0" w:space="0" w:color="auto"/>
                <w:bottom w:val="none" w:sz="0" w:space="0" w:color="auto"/>
                <w:right w:val="none" w:sz="0" w:space="0" w:color="auto"/>
              </w:divBdr>
            </w:div>
          </w:divsChild>
        </w:div>
        <w:div w:id="1633437929">
          <w:marLeft w:val="0"/>
          <w:marRight w:val="0"/>
          <w:marTop w:val="0"/>
          <w:marBottom w:val="0"/>
          <w:divBdr>
            <w:top w:val="none" w:sz="0" w:space="0" w:color="auto"/>
            <w:left w:val="none" w:sz="0" w:space="0" w:color="auto"/>
            <w:bottom w:val="none" w:sz="0" w:space="0" w:color="auto"/>
            <w:right w:val="none" w:sz="0" w:space="0" w:color="auto"/>
          </w:divBdr>
          <w:divsChild>
            <w:div w:id="36052853">
              <w:marLeft w:val="0"/>
              <w:marRight w:val="0"/>
              <w:marTop w:val="0"/>
              <w:marBottom w:val="0"/>
              <w:divBdr>
                <w:top w:val="none" w:sz="0" w:space="0" w:color="auto"/>
                <w:left w:val="none" w:sz="0" w:space="0" w:color="auto"/>
                <w:bottom w:val="none" w:sz="0" w:space="0" w:color="auto"/>
                <w:right w:val="none" w:sz="0" w:space="0" w:color="auto"/>
              </w:divBdr>
            </w:div>
          </w:divsChild>
        </w:div>
        <w:div w:id="1638801028">
          <w:marLeft w:val="0"/>
          <w:marRight w:val="0"/>
          <w:marTop w:val="0"/>
          <w:marBottom w:val="0"/>
          <w:divBdr>
            <w:top w:val="none" w:sz="0" w:space="0" w:color="auto"/>
            <w:left w:val="none" w:sz="0" w:space="0" w:color="auto"/>
            <w:bottom w:val="none" w:sz="0" w:space="0" w:color="auto"/>
            <w:right w:val="none" w:sz="0" w:space="0" w:color="auto"/>
          </w:divBdr>
          <w:divsChild>
            <w:div w:id="732698555">
              <w:marLeft w:val="0"/>
              <w:marRight w:val="0"/>
              <w:marTop w:val="0"/>
              <w:marBottom w:val="0"/>
              <w:divBdr>
                <w:top w:val="none" w:sz="0" w:space="0" w:color="auto"/>
                <w:left w:val="none" w:sz="0" w:space="0" w:color="auto"/>
                <w:bottom w:val="none" w:sz="0" w:space="0" w:color="auto"/>
                <w:right w:val="none" w:sz="0" w:space="0" w:color="auto"/>
              </w:divBdr>
            </w:div>
          </w:divsChild>
        </w:div>
        <w:div w:id="1643541658">
          <w:marLeft w:val="0"/>
          <w:marRight w:val="0"/>
          <w:marTop w:val="0"/>
          <w:marBottom w:val="0"/>
          <w:divBdr>
            <w:top w:val="none" w:sz="0" w:space="0" w:color="auto"/>
            <w:left w:val="none" w:sz="0" w:space="0" w:color="auto"/>
            <w:bottom w:val="none" w:sz="0" w:space="0" w:color="auto"/>
            <w:right w:val="none" w:sz="0" w:space="0" w:color="auto"/>
          </w:divBdr>
          <w:divsChild>
            <w:div w:id="1566524373">
              <w:marLeft w:val="0"/>
              <w:marRight w:val="0"/>
              <w:marTop w:val="0"/>
              <w:marBottom w:val="0"/>
              <w:divBdr>
                <w:top w:val="none" w:sz="0" w:space="0" w:color="auto"/>
                <w:left w:val="none" w:sz="0" w:space="0" w:color="auto"/>
                <w:bottom w:val="none" w:sz="0" w:space="0" w:color="auto"/>
                <w:right w:val="none" w:sz="0" w:space="0" w:color="auto"/>
              </w:divBdr>
            </w:div>
          </w:divsChild>
        </w:div>
        <w:div w:id="1676683150">
          <w:marLeft w:val="0"/>
          <w:marRight w:val="0"/>
          <w:marTop w:val="0"/>
          <w:marBottom w:val="0"/>
          <w:divBdr>
            <w:top w:val="none" w:sz="0" w:space="0" w:color="auto"/>
            <w:left w:val="none" w:sz="0" w:space="0" w:color="auto"/>
            <w:bottom w:val="none" w:sz="0" w:space="0" w:color="auto"/>
            <w:right w:val="none" w:sz="0" w:space="0" w:color="auto"/>
          </w:divBdr>
          <w:divsChild>
            <w:div w:id="672532513">
              <w:marLeft w:val="0"/>
              <w:marRight w:val="0"/>
              <w:marTop w:val="0"/>
              <w:marBottom w:val="0"/>
              <w:divBdr>
                <w:top w:val="none" w:sz="0" w:space="0" w:color="auto"/>
                <w:left w:val="none" w:sz="0" w:space="0" w:color="auto"/>
                <w:bottom w:val="none" w:sz="0" w:space="0" w:color="auto"/>
                <w:right w:val="none" w:sz="0" w:space="0" w:color="auto"/>
              </w:divBdr>
            </w:div>
          </w:divsChild>
        </w:div>
        <w:div w:id="1738942338">
          <w:marLeft w:val="0"/>
          <w:marRight w:val="0"/>
          <w:marTop w:val="0"/>
          <w:marBottom w:val="0"/>
          <w:divBdr>
            <w:top w:val="none" w:sz="0" w:space="0" w:color="auto"/>
            <w:left w:val="none" w:sz="0" w:space="0" w:color="auto"/>
            <w:bottom w:val="none" w:sz="0" w:space="0" w:color="auto"/>
            <w:right w:val="none" w:sz="0" w:space="0" w:color="auto"/>
          </w:divBdr>
          <w:divsChild>
            <w:div w:id="908688555">
              <w:marLeft w:val="0"/>
              <w:marRight w:val="0"/>
              <w:marTop w:val="0"/>
              <w:marBottom w:val="0"/>
              <w:divBdr>
                <w:top w:val="none" w:sz="0" w:space="0" w:color="auto"/>
                <w:left w:val="none" w:sz="0" w:space="0" w:color="auto"/>
                <w:bottom w:val="none" w:sz="0" w:space="0" w:color="auto"/>
                <w:right w:val="none" w:sz="0" w:space="0" w:color="auto"/>
              </w:divBdr>
            </w:div>
          </w:divsChild>
        </w:div>
        <w:div w:id="1764498212">
          <w:marLeft w:val="0"/>
          <w:marRight w:val="0"/>
          <w:marTop w:val="0"/>
          <w:marBottom w:val="0"/>
          <w:divBdr>
            <w:top w:val="none" w:sz="0" w:space="0" w:color="auto"/>
            <w:left w:val="none" w:sz="0" w:space="0" w:color="auto"/>
            <w:bottom w:val="none" w:sz="0" w:space="0" w:color="auto"/>
            <w:right w:val="none" w:sz="0" w:space="0" w:color="auto"/>
          </w:divBdr>
          <w:divsChild>
            <w:div w:id="1708070399">
              <w:marLeft w:val="0"/>
              <w:marRight w:val="0"/>
              <w:marTop w:val="0"/>
              <w:marBottom w:val="0"/>
              <w:divBdr>
                <w:top w:val="none" w:sz="0" w:space="0" w:color="auto"/>
                <w:left w:val="none" w:sz="0" w:space="0" w:color="auto"/>
                <w:bottom w:val="none" w:sz="0" w:space="0" w:color="auto"/>
                <w:right w:val="none" w:sz="0" w:space="0" w:color="auto"/>
              </w:divBdr>
            </w:div>
          </w:divsChild>
        </w:div>
        <w:div w:id="1780446863">
          <w:marLeft w:val="0"/>
          <w:marRight w:val="0"/>
          <w:marTop w:val="0"/>
          <w:marBottom w:val="0"/>
          <w:divBdr>
            <w:top w:val="none" w:sz="0" w:space="0" w:color="auto"/>
            <w:left w:val="none" w:sz="0" w:space="0" w:color="auto"/>
            <w:bottom w:val="none" w:sz="0" w:space="0" w:color="auto"/>
            <w:right w:val="none" w:sz="0" w:space="0" w:color="auto"/>
          </w:divBdr>
          <w:divsChild>
            <w:div w:id="1156334713">
              <w:marLeft w:val="0"/>
              <w:marRight w:val="0"/>
              <w:marTop w:val="0"/>
              <w:marBottom w:val="0"/>
              <w:divBdr>
                <w:top w:val="none" w:sz="0" w:space="0" w:color="auto"/>
                <w:left w:val="none" w:sz="0" w:space="0" w:color="auto"/>
                <w:bottom w:val="none" w:sz="0" w:space="0" w:color="auto"/>
                <w:right w:val="none" w:sz="0" w:space="0" w:color="auto"/>
              </w:divBdr>
            </w:div>
          </w:divsChild>
        </w:div>
        <w:div w:id="1790396658">
          <w:marLeft w:val="0"/>
          <w:marRight w:val="0"/>
          <w:marTop w:val="0"/>
          <w:marBottom w:val="0"/>
          <w:divBdr>
            <w:top w:val="none" w:sz="0" w:space="0" w:color="auto"/>
            <w:left w:val="none" w:sz="0" w:space="0" w:color="auto"/>
            <w:bottom w:val="none" w:sz="0" w:space="0" w:color="auto"/>
            <w:right w:val="none" w:sz="0" w:space="0" w:color="auto"/>
          </w:divBdr>
          <w:divsChild>
            <w:div w:id="381177941">
              <w:marLeft w:val="0"/>
              <w:marRight w:val="0"/>
              <w:marTop w:val="0"/>
              <w:marBottom w:val="0"/>
              <w:divBdr>
                <w:top w:val="none" w:sz="0" w:space="0" w:color="auto"/>
                <w:left w:val="none" w:sz="0" w:space="0" w:color="auto"/>
                <w:bottom w:val="none" w:sz="0" w:space="0" w:color="auto"/>
                <w:right w:val="none" w:sz="0" w:space="0" w:color="auto"/>
              </w:divBdr>
            </w:div>
          </w:divsChild>
        </w:div>
        <w:div w:id="1833906882">
          <w:marLeft w:val="0"/>
          <w:marRight w:val="0"/>
          <w:marTop w:val="0"/>
          <w:marBottom w:val="0"/>
          <w:divBdr>
            <w:top w:val="none" w:sz="0" w:space="0" w:color="auto"/>
            <w:left w:val="none" w:sz="0" w:space="0" w:color="auto"/>
            <w:bottom w:val="none" w:sz="0" w:space="0" w:color="auto"/>
            <w:right w:val="none" w:sz="0" w:space="0" w:color="auto"/>
          </w:divBdr>
          <w:divsChild>
            <w:div w:id="580603829">
              <w:marLeft w:val="0"/>
              <w:marRight w:val="0"/>
              <w:marTop w:val="0"/>
              <w:marBottom w:val="0"/>
              <w:divBdr>
                <w:top w:val="none" w:sz="0" w:space="0" w:color="auto"/>
                <w:left w:val="none" w:sz="0" w:space="0" w:color="auto"/>
                <w:bottom w:val="none" w:sz="0" w:space="0" w:color="auto"/>
                <w:right w:val="none" w:sz="0" w:space="0" w:color="auto"/>
              </w:divBdr>
            </w:div>
          </w:divsChild>
        </w:div>
        <w:div w:id="1852405179">
          <w:marLeft w:val="0"/>
          <w:marRight w:val="0"/>
          <w:marTop w:val="0"/>
          <w:marBottom w:val="0"/>
          <w:divBdr>
            <w:top w:val="none" w:sz="0" w:space="0" w:color="auto"/>
            <w:left w:val="none" w:sz="0" w:space="0" w:color="auto"/>
            <w:bottom w:val="none" w:sz="0" w:space="0" w:color="auto"/>
            <w:right w:val="none" w:sz="0" w:space="0" w:color="auto"/>
          </w:divBdr>
          <w:divsChild>
            <w:div w:id="1042288160">
              <w:marLeft w:val="0"/>
              <w:marRight w:val="0"/>
              <w:marTop w:val="0"/>
              <w:marBottom w:val="0"/>
              <w:divBdr>
                <w:top w:val="none" w:sz="0" w:space="0" w:color="auto"/>
                <w:left w:val="none" w:sz="0" w:space="0" w:color="auto"/>
                <w:bottom w:val="none" w:sz="0" w:space="0" w:color="auto"/>
                <w:right w:val="none" w:sz="0" w:space="0" w:color="auto"/>
              </w:divBdr>
            </w:div>
          </w:divsChild>
        </w:div>
        <w:div w:id="1887524892">
          <w:marLeft w:val="0"/>
          <w:marRight w:val="0"/>
          <w:marTop w:val="0"/>
          <w:marBottom w:val="0"/>
          <w:divBdr>
            <w:top w:val="none" w:sz="0" w:space="0" w:color="auto"/>
            <w:left w:val="none" w:sz="0" w:space="0" w:color="auto"/>
            <w:bottom w:val="none" w:sz="0" w:space="0" w:color="auto"/>
            <w:right w:val="none" w:sz="0" w:space="0" w:color="auto"/>
          </w:divBdr>
          <w:divsChild>
            <w:div w:id="840588334">
              <w:marLeft w:val="0"/>
              <w:marRight w:val="0"/>
              <w:marTop w:val="0"/>
              <w:marBottom w:val="0"/>
              <w:divBdr>
                <w:top w:val="none" w:sz="0" w:space="0" w:color="auto"/>
                <w:left w:val="none" w:sz="0" w:space="0" w:color="auto"/>
                <w:bottom w:val="none" w:sz="0" w:space="0" w:color="auto"/>
                <w:right w:val="none" w:sz="0" w:space="0" w:color="auto"/>
              </w:divBdr>
            </w:div>
          </w:divsChild>
        </w:div>
        <w:div w:id="1970358630">
          <w:marLeft w:val="0"/>
          <w:marRight w:val="0"/>
          <w:marTop w:val="0"/>
          <w:marBottom w:val="0"/>
          <w:divBdr>
            <w:top w:val="none" w:sz="0" w:space="0" w:color="auto"/>
            <w:left w:val="none" w:sz="0" w:space="0" w:color="auto"/>
            <w:bottom w:val="none" w:sz="0" w:space="0" w:color="auto"/>
            <w:right w:val="none" w:sz="0" w:space="0" w:color="auto"/>
          </w:divBdr>
          <w:divsChild>
            <w:div w:id="883326044">
              <w:marLeft w:val="0"/>
              <w:marRight w:val="0"/>
              <w:marTop w:val="0"/>
              <w:marBottom w:val="0"/>
              <w:divBdr>
                <w:top w:val="none" w:sz="0" w:space="0" w:color="auto"/>
                <w:left w:val="none" w:sz="0" w:space="0" w:color="auto"/>
                <w:bottom w:val="none" w:sz="0" w:space="0" w:color="auto"/>
                <w:right w:val="none" w:sz="0" w:space="0" w:color="auto"/>
              </w:divBdr>
            </w:div>
          </w:divsChild>
        </w:div>
        <w:div w:id="2049642463">
          <w:marLeft w:val="0"/>
          <w:marRight w:val="0"/>
          <w:marTop w:val="0"/>
          <w:marBottom w:val="0"/>
          <w:divBdr>
            <w:top w:val="none" w:sz="0" w:space="0" w:color="auto"/>
            <w:left w:val="none" w:sz="0" w:space="0" w:color="auto"/>
            <w:bottom w:val="none" w:sz="0" w:space="0" w:color="auto"/>
            <w:right w:val="none" w:sz="0" w:space="0" w:color="auto"/>
          </w:divBdr>
          <w:divsChild>
            <w:div w:id="1582524380">
              <w:marLeft w:val="0"/>
              <w:marRight w:val="0"/>
              <w:marTop w:val="0"/>
              <w:marBottom w:val="0"/>
              <w:divBdr>
                <w:top w:val="none" w:sz="0" w:space="0" w:color="auto"/>
                <w:left w:val="none" w:sz="0" w:space="0" w:color="auto"/>
                <w:bottom w:val="none" w:sz="0" w:space="0" w:color="auto"/>
                <w:right w:val="none" w:sz="0" w:space="0" w:color="auto"/>
              </w:divBdr>
            </w:div>
          </w:divsChild>
        </w:div>
        <w:div w:id="2050377651">
          <w:marLeft w:val="0"/>
          <w:marRight w:val="0"/>
          <w:marTop w:val="0"/>
          <w:marBottom w:val="0"/>
          <w:divBdr>
            <w:top w:val="none" w:sz="0" w:space="0" w:color="auto"/>
            <w:left w:val="none" w:sz="0" w:space="0" w:color="auto"/>
            <w:bottom w:val="none" w:sz="0" w:space="0" w:color="auto"/>
            <w:right w:val="none" w:sz="0" w:space="0" w:color="auto"/>
          </w:divBdr>
          <w:divsChild>
            <w:div w:id="1577667542">
              <w:marLeft w:val="0"/>
              <w:marRight w:val="0"/>
              <w:marTop w:val="0"/>
              <w:marBottom w:val="0"/>
              <w:divBdr>
                <w:top w:val="none" w:sz="0" w:space="0" w:color="auto"/>
                <w:left w:val="none" w:sz="0" w:space="0" w:color="auto"/>
                <w:bottom w:val="none" w:sz="0" w:space="0" w:color="auto"/>
                <w:right w:val="none" w:sz="0" w:space="0" w:color="auto"/>
              </w:divBdr>
            </w:div>
          </w:divsChild>
        </w:div>
        <w:div w:id="2075424565">
          <w:marLeft w:val="0"/>
          <w:marRight w:val="0"/>
          <w:marTop w:val="0"/>
          <w:marBottom w:val="0"/>
          <w:divBdr>
            <w:top w:val="none" w:sz="0" w:space="0" w:color="auto"/>
            <w:left w:val="none" w:sz="0" w:space="0" w:color="auto"/>
            <w:bottom w:val="none" w:sz="0" w:space="0" w:color="auto"/>
            <w:right w:val="none" w:sz="0" w:space="0" w:color="auto"/>
          </w:divBdr>
          <w:divsChild>
            <w:div w:id="1453554042">
              <w:marLeft w:val="0"/>
              <w:marRight w:val="0"/>
              <w:marTop w:val="0"/>
              <w:marBottom w:val="0"/>
              <w:divBdr>
                <w:top w:val="none" w:sz="0" w:space="0" w:color="auto"/>
                <w:left w:val="none" w:sz="0" w:space="0" w:color="auto"/>
                <w:bottom w:val="none" w:sz="0" w:space="0" w:color="auto"/>
                <w:right w:val="none" w:sz="0" w:space="0" w:color="auto"/>
              </w:divBdr>
            </w:div>
          </w:divsChild>
        </w:div>
        <w:div w:id="2133862794">
          <w:marLeft w:val="0"/>
          <w:marRight w:val="0"/>
          <w:marTop w:val="0"/>
          <w:marBottom w:val="0"/>
          <w:divBdr>
            <w:top w:val="none" w:sz="0" w:space="0" w:color="auto"/>
            <w:left w:val="none" w:sz="0" w:space="0" w:color="auto"/>
            <w:bottom w:val="none" w:sz="0" w:space="0" w:color="auto"/>
            <w:right w:val="none" w:sz="0" w:space="0" w:color="auto"/>
          </w:divBdr>
          <w:divsChild>
            <w:div w:id="1030110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8630143">
      <w:bodyDiv w:val="1"/>
      <w:marLeft w:val="0"/>
      <w:marRight w:val="0"/>
      <w:marTop w:val="0"/>
      <w:marBottom w:val="0"/>
      <w:divBdr>
        <w:top w:val="none" w:sz="0" w:space="0" w:color="auto"/>
        <w:left w:val="none" w:sz="0" w:space="0" w:color="auto"/>
        <w:bottom w:val="none" w:sz="0" w:space="0" w:color="auto"/>
        <w:right w:val="none" w:sz="0" w:space="0" w:color="auto"/>
      </w:divBdr>
    </w:div>
    <w:div w:id="2062288533">
      <w:bodyDiv w:val="1"/>
      <w:marLeft w:val="0"/>
      <w:marRight w:val="0"/>
      <w:marTop w:val="0"/>
      <w:marBottom w:val="0"/>
      <w:divBdr>
        <w:top w:val="none" w:sz="0" w:space="0" w:color="auto"/>
        <w:left w:val="none" w:sz="0" w:space="0" w:color="auto"/>
        <w:bottom w:val="none" w:sz="0" w:space="0" w:color="auto"/>
        <w:right w:val="none" w:sz="0" w:space="0" w:color="auto"/>
      </w:divBdr>
    </w:div>
    <w:div w:id="2077245075">
      <w:bodyDiv w:val="1"/>
      <w:marLeft w:val="0"/>
      <w:marRight w:val="0"/>
      <w:marTop w:val="0"/>
      <w:marBottom w:val="0"/>
      <w:divBdr>
        <w:top w:val="none" w:sz="0" w:space="0" w:color="auto"/>
        <w:left w:val="none" w:sz="0" w:space="0" w:color="auto"/>
        <w:bottom w:val="none" w:sz="0" w:space="0" w:color="auto"/>
        <w:right w:val="none" w:sz="0" w:space="0" w:color="auto"/>
      </w:divBdr>
    </w:div>
    <w:div w:id="2132087792">
      <w:bodyDiv w:val="1"/>
      <w:marLeft w:val="0"/>
      <w:marRight w:val="0"/>
      <w:marTop w:val="0"/>
      <w:marBottom w:val="0"/>
      <w:divBdr>
        <w:top w:val="none" w:sz="0" w:space="0" w:color="auto"/>
        <w:left w:val="none" w:sz="0" w:space="0" w:color="auto"/>
        <w:bottom w:val="none" w:sz="0" w:space="0" w:color="auto"/>
        <w:right w:val="none" w:sz="0" w:space="0" w:color="auto"/>
      </w:divBdr>
      <w:divsChild>
        <w:div w:id="58939303">
          <w:marLeft w:val="0"/>
          <w:marRight w:val="0"/>
          <w:marTop w:val="0"/>
          <w:marBottom w:val="0"/>
          <w:divBdr>
            <w:top w:val="none" w:sz="0" w:space="0" w:color="auto"/>
            <w:left w:val="none" w:sz="0" w:space="0" w:color="auto"/>
            <w:bottom w:val="none" w:sz="0" w:space="0" w:color="auto"/>
            <w:right w:val="none" w:sz="0" w:space="0" w:color="auto"/>
          </w:divBdr>
          <w:divsChild>
            <w:div w:id="1887522261">
              <w:marLeft w:val="0"/>
              <w:marRight w:val="0"/>
              <w:marTop w:val="0"/>
              <w:marBottom w:val="0"/>
              <w:divBdr>
                <w:top w:val="none" w:sz="0" w:space="0" w:color="auto"/>
                <w:left w:val="none" w:sz="0" w:space="0" w:color="auto"/>
                <w:bottom w:val="none" w:sz="0" w:space="0" w:color="auto"/>
                <w:right w:val="none" w:sz="0" w:space="0" w:color="auto"/>
              </w:divBdr>
            </w:div>
          </w:divsChild>
        </w:div>
        <w:div w:id="84156798">
          <w:marLeft w:val="0"/>
          <w:marRight w:val="0"/>
          <w:marTop w:val="0"/>
          <w:marBottom w:val="0"/>
          <w:divBdr>
            <w:top w:val="none" w:sz="0" w:space="0" w:color="auto"/>
            <w:left w:val="none" w:sz="0" w:space="0" w:color="auto"/>
            <w:bottom w:val="none" w:sz="0" w:space="0" w:color="auto"/>
            <w:right w:val="none" w:sz="0" w:space="0" w:color="auto"/>
          </w:divBdr>
          <w:divsChild>
            <w:div w:id="1599563733">
              <w:marLeft w:val="0"/>
              <w:marRight w:val="0"/>
              <w:marTop w:val="0"/>
              <w:marBottom w:val="0"/>
              <w:divBdr>
                <w:top w:val="none" w:sz="0" w:space="0" w:color="auto"/>
                <w:left w:val="none" w:sz="0" w:space="0" w:color="auto"/>
                <w:bottom w:val="none" w:sz="0" w:space="0" w:color="auto"/>
                <w:right w:val="none" w:sz="0" w:space="0" w:color="auto"/>
              </w:divBdr>
            </w:div>
          </w:divsChild>
        </w:div>
        <w:div w:id="87699436">
          <w:marLeft w:val="0"/>
          <w:marRight w:val="0"/>
          <w:marTop w:val="0"/>
          <w:marBottom w:val="0"/>
          <w:divBdr>
            <w:top w:val="none" w:sz="0" w:space="0" w:color="auto"/>
            <w:left w:val="none" w:sz="0" w:space="0" w:color="auto"/>
            <w:bottom w:val="none" w:sz="0" w:space="0" w:color="auto"/>
            <w:right w:val="none" w:sz="0" w:space="0" w:color="auto"/>
          </w:divBdr>
          <w:divsChild>
            <w:div w:id="463236207">
              <w:marLeft w:val="0"/>
              <w:marRight w:val="0"/>
              <w:marTop w:val="0"/>
              <w:marBottom w:val="0"/>
              <w:divBdr>
                <w:top w:val="none" w:sz="0" w:space="0" w:color="auto"/>
                <w:left w:val="none" w:sz="0" w:space="0" w:color="auto"/>
                <w:bottom w:val="none" w:sz="0" w:space="0" w:color="auto"/>
                <w:right w:val="none" w:sz="0" w:space="0" w:color="auto"/>
              </w:divBdr>
            </w:div>
          </w:divsChild>
        </w:div>
        <w:div w:id="123355763">
          <w:marLeft w:val="0"/>
          <w:marRight w:val="0"/>
          <w:marTop w:val="0"/>
          <w:marBottom w:val="0"/>
          <w:divBdr>
            <w:top w:val="none" w:sz="0" w:space="0" w:color="auto"/>
            <w:left w:val="none" w:sz="0" w:space="0" w:color="auto"/>
            <w:bottom w:val="none" w:sz="0" w:space="0" w:color="auto"/>
            <w:right w:val="none" w:sz="0" w:space="0" w:color="auto"/>
          </w:divBdr>
          <w:divsChild>
            <w:div w:id="877351231">
              <w:marLeft w:val="0"/>
              <w:marRight w:val="0"/>
              <w:marTop w:val="0"/>
              <w:marBottom w:val="0"/>
              <w:divBdr>
                <w:top w:val="none" w:sz="0" w:space="0" w:color="auto"/>
                <w:left w:val="none" w:sz="0" w:space="0" w:color="auto"/>
                <w:bottom w:val="none" w:sz="0" w:space="0" w:color="auto"/>
                <w:right w:val="none" w:sz="0" w:space="0" w:color="auto"/>
              </w:divBdr>
            </w:div>
          </w:divsChild>
        </w:div>
        <w:div w:id="156965093">
          <w:marLeft w:val="0"/>
          <w:marRight w:val="0"/>
          <w:marTop w:val="0"/>
          <w:marBottom w:val="0"/>
          <w:divBdr>
            <w:top w:val="none" w:sz="0" w:space="0" w:color="auto"/>
            <w:left w:val="none" w:sz="0" w:space="0" w:color="auto"/>
            <w:bottom w:val="none" w:sz="0" w:space="0" w:color="auto"/>
            <w:right w:val="none" w:sz="0" w:space="0" w:color="auto"/>
          </w:divBdr>
          <w:divsChild>
            <w:div w:id="1057628976">
              <w:marLeft w:val="0"/>
              <w:marRight w:val="0"/>
              <w:marTop w:val="0"/>
              <w:marBottom w:val="0"/>
              <w:divBdr>
                <w:top w:val="none" w:sz="0" w:space="0" w:color="auto"/>
                <w:left w:val="none" w:sz="0" w:space="0" w:color="auto"/>
                <w:bottom w:val="none" w:sz="0" w:space="0" w:color="auto"/>
                <w:right w:val="none" w:sz="0" w:space="0" w:color="auto"/>
              </w:divBdr>
            </w:div>
          </w:divsChild>
        </w:div>
        <w:div w:id="172259979">
          <w:marLeft w:val="0"/>
          <w:marRight w:val="0"/>
          <w:marTop w:val="0"/>
          <w:marBottom w:val="0"/>
          <w:divBdr>
            <w:top w:val="none" w:sz="0" w:space="0" w:color="auto"/>
            <w:left w:val="none" w:sz="0" w:space="0" w:color="auto"/>
            <w:bottom w:val="none" w:sz="0" w:space="0" w:color="auto"/>
            <w:right w:val="none" w:sz="0" w:space="0" w:color="auto"/>
          </w:divBdr>
          <w:divsChild>
            <w:div w:id="2005476144">
              <w:marLeft w:val="0"/>
              <w:marRight w:val="0"/>
              <w:marTop w:val="0"/>
              <w:marBottom w:val="0"/>
              <w:divBdr>
                <w:top w:val="none" w:sz="0" w:space="0" w:color="auto"/>
                <w:left w:val="none" w:sz="0" w:space="0" w:color="auto"/>
                <w:bottom w:val="none" w:sz="0" w:space="0" w:color="auto"/>
                <w:right w:val="none" w:sz="0" w:space="0" w:color="auto"/>
              </w:divBdr>
            </w:div>
          </w:divsChild>
        </w:div>
        <w:div w:id="187185255">
          <w:marLeft w:val="0"/>
          <w:marRight w:val="0"/>
          <w:marTop w:val="0"/>
          <w:marBottom w:val="0"/>
          <w:divBdr>
            <w:top w:val="none" w:sz="0" w:space="0" w:color="auto"/>
            <w:left w:val="none" w:sz="0" w:space="0" w:color="auto"/>
            <w:bottom w:val="none" w:sz="0" w:space="0" w:color="auto"/>
            <w:right w:val="none" w:sz="0" w:space="0" w:color="auto"/>
          </w:divBdr>
          <w:divsChild>
            <w:div w:id="1721124752">
              <w:marLeft w:val="0"/>
              <w:marRight w:val="0"/>
              <w:marTop w:val="0"/>
              <w:marBottom w:val="0"/>
              <w:divBdr>
                <w:top w:val="none" w:sz="0" w:space="0" w:color="auto"/>
                <w:left w:val="none" w:sz="0" w:space="0" w:color="auto"/>
                <w:bottom w:val="none" w:sz="0" w:space="0" w:color="auto"/>
                <w:right w:val="none" w:sz="0" w:space="0" w:color="auto"/>
              </w:divBdr>
            </w:div>
          </w:divsChild>
        </w:div>
        <w:div w:id="236326968">
          <w:marLeft w:val="0"/>
          <w:marRight w:val="0"/>
          <w:marTop w:val="0"/>
          <w:marBottom w:val="0"/>
          <w:divBdr>
            <w:top w:val="none" w:sz="0" w:space="0" w:color="auto"/>
            <w:left w:val="none" w:sz="0" w:space="0" w:color="auto"/>
            <w:bottom w:val="none" w:sz="0" w:space="0" w:color="auto"/>
            <w:right w:val="none" w:sz="0" w:space="0" w:color="auto"/>
          </w:divBdr>
          <w:divsChild>
            <w:div w:id="325598206">
              <w:marLeft w:val="0"/>
              <w:marRight w:val="0"/>
              <w:marTop w:val="0"/>
              <w:marBottom w:val="0"/>
              <w:divBdr>
                <w:top w:val="none" w:sz="0" w:space="0" w:color="auto"/>
                <w:left w:val="none" w:sz="0" w:space="0" w:color="auto"/>
                <w:bottom w:val="none" w:sz="0" w:space="0" w:color="auto"/>
                <w:right w:val="none" w:sz="0" w:space="0" w:color="auto"/>
              </w:divBdr>
            </w:div>
          </w:divsChild>
        </w:div>
        <w:div w:id="281154275">
          <w:marLeft w:val="0"/>
          <w:marRight w:val="0"/>
          <w:marTop w:val="0"/>
          <w:marBottom w:val="0"/>
          <w:divBdr>
            <w:top w:val="none" w:sz="0" w:space="0" w:color="auto"/>
            <w:left w:val="none" w:sz="0" w:space="0" w:color="auto"/>
            <w:bottom w:val="none" w:sz="0" w:space="0" w:color="auto"/>
            <w:right w:val="none" w:sz="0" w:space="0" w:color="auto"/>
          </w:divBdr>
          <w:divsChild>
            <w:div w:id="1139759568">
              <w:marLeft w:val="0"/>
              <w:marRight w:val="0"/>
              <w:marTop w:val="0"/>
              <w:marBottom w:val="0"/>
              <w:divBdr>
                <w:top w:val="none" w:sz="0" w:space="0" w:color="auto"/>
                <w:left w:val="none" w:sz="0" w:space="0" w:color="auto"/>
                <w:bottom w:val="none" w:sz="0" w:space="0" w:color="auto"/>
                <w:right w:val="none" w:sz="0" w:space="0" w:color="auto"/>
              </w:divBdr>
            </w:div>
          </w:divsChild>
        </w:div>
        <w:div w:id="289212813">
          <w:marLeft w:val="0"/>
          <w:marRight w:val="0"/>
          <w:marTop w:val="0"/>
          <w:marBottom w:val="0"/>
          <w:divBdr>
            <w:top w:val="none" w:sz="0" w:space="0" w:color="auto"/>
            <w:left w:val="none" w:sz="0" w:space="0" w:color="auto"/>
            <w:bottom w:val="none" w:sz="0" w:space="0" w:color="auto"/>
            <w:right w:val="none" w:sz="0" w:space="0" w:color="auto"/>
          </w:divBdr>
          <w:divsChild>
            <w:div w:id="515969187">
              <w:marLeft w:val="0"/>
              <w:marRight w:val="0"/>
              <w:marTop w:val="0"/>
              <w:marBottom w:val="0"/>
              <w:divBdr>
                <w:top w:val="none" w:sz="0" w:space="0" w:color="auto"/>
                <w:left w:val="none" w:sz="0" w:space="0" w:color="auto"/>
                <w:bottom w:val="none" w:sz="0" w:space="0" w:color="auto"/>
                <w:right w:val="none" w:sz="0" w:space="0" w:color="auto"/>
              </w:divBdr>
            </w:div>
            <w:div w:id="1029795408">
              <w:marLeft w:val="0"/>
              <w:marRight w:val="0"/>
              <w:marTop w:val="0"/>
              <w:marBottom w:val="0"/>
              <w:divBdr>
                <w:top w:val="none" w:sz="0" w:space="0" w:color="auto"/>
                <w:left w:val="none" w:sz="0" w:space="0" w:color="auto"/>
                <w:bottom w:val="none" w:sz="0" w:space="0" w:color="auto"/>
                <w:right w:val="none" w:sz="0" w:space="0" w:color="auto"/>
              </w:divBdr>
            </w:div>
            <w:div w:id="1498302659">
              <w:marLeft w:val="0"/>
              <w:marRight w:val="0"/>
              <w:marTop w:val="0"/>
              <w:marBottom w:val="0"/>
              <w:divBdr>
                <w:top w:val="none" w:sz="0" w:space="0" w:color="auto"/>
                <w:left w:val="none" w:sz="0" w:space="0" w:color="auto"/>
                <w:bottom w:val="none" w:sz="0" w:space="0" w:color="auto"/>
                <w:right w:val="none" w:sz="0" w:space="0" w:color="auto"/>
              </w:divBdr>
            </w:div>
          </w:divsChild>
        </w:div>
        <w:div w:id="294142794">
          <w:marLeft w:val="0"/>
          <w:marRight w:val="0"/>
          <w:marTop w:val="0"/>
          <w:marBottom w:val="0"/>
          <w:divBdr>
            <w:top w:val="none" w:sz="0" w:space="0" w:color="auto"/>
            <w:left w:val="none" w:sz="0" w:space="0" w:color="auto"/>
            <w:bottom w:val="none" w:sz="0" w:space="0" w:color="auto"/>
            <w:right w:val="none" w:sz="0" w:space="0" w:color="auto"/>
          </w:divBdr>
          <w:divsChild>
            <w:div w:id="277416387">
              <w:marLeft w:val="0"/>
              <w:marRight w:val="0"/>
              <w:marTop w:val="0"/>
              <w:marBottom w:val="0"/>
              <w:divBdr>
                <w:top w:val="none" w:sz="0" w:space="0" w:color="auto"/>
                <w:left w:val="none" w:sz="0" w:space="0" w:color="auto"/>
                <w:bottom w:val="none" w:sz="0" w:space="0" w:color="auto"/>
                <w:right w:val="none" w:sz="0" w:space="0" w:color="auto"/>
              </w:divBdr>
            </w:div>
          </w:divsChild>
        </w:div>
        <w:div w:id="302658144">
          <w:marLeft w:val="0"/>
          <w:marRight w:val="0"/>
          <w:marTop w:val="0"/>
          <w:marBottom w:val="0"/>
          <w:divBdr>
            <w:top w:val="none" w:sz="0" w:space="0" w:color="auto"/>
            <w:left w:val="none" w:sz="0" w:space="0" w:color="auto"/>
            <w:bottom w:val="none" w:sz="0" w:space="0" w:color="auto"/>
            <w:right w:val="none" w:sz="0" w:space="0" w:color="auto"/>
          </w:divBdr>
          <w:divsChild>
            <w:div w:id="1502893126">
              <w:marLeft w:val="0"/>
              <w:marRight w:val="0"/>
              <w:marTop w:val="0"/>
              <w:marBottom w:val="0"/>
              <w:divBdr>
                <w:top w:val="none" w:sz="0" w:space="0" w:color="auto"/>
                <w:left w:val="none" w:sz="0" w:space="0" w:color="auto"/>
                <w:bottom w:val="none" w:sz="0" w:space="0" w:color="auto"/>
                <w:right w:val="none" w:sz="0" w:space="0" w:color="auto"/>
              </w:divBdr>
            </w:div>
          </w:divsChild>
        </w:div>
        <w:div w:id="366417078">
          <w:marLeft w:val="0"/>
          <w:marRight w:val="0"/>
          <w:marTop w:val="0"/>
          <w:marBottom w:val="0"/>
          <w:divBdr>
            <w:top w:val="none" w:sz="0" w:space="0" w:color="auto"/>
            <w:left w:val="none" w:sz="0" w:space="0" w:color="auto"/>
            <w:bottom w:val="none" w:sz="0" w:space="0" w:color="auto"/>
            <w:right w:val="none" w:sz="0" w:space="0" w:color="auto"/>
          </w:divBdr>
          <w:divsChild>
            <w:div w:id="408504015">
              <w:marLeft w:val="0"/>
              <w:marRight w:val="0"/>
              <w:marTop w:val="0"/>
              <w:marBottom w:val="0"/>
              <w:divBdr>
                <w:top w:val="none" w:sz="0" w:space="0" w:color="auto"/>
                <w:left w:val="none" w:sz="0" w:space="0" w:color="auto"/>
                <w:bottom w:val="none" w:sz="0" w:space="0" w:color="auto"/>
                <w:right w:val="none" w:sz="0" w:space="0" w:color="auto"/>
              </w:divBdr>
            </w:div>
          </w:divsChild>
        </w:div>
        <w:div w:id="451172728">
          <w:marLeft w:val="0"/>
          <w:marRight w:val="0"/>
          <w:marTop w:val="0"/>
          <w:marBottom w:val="0"/>
          <w:divBdr>
            <w:top w:val="none" w:sz="0" w:space="0" w:color="auto"/>
            <w:left w:val="none" w:sz="0" w:space="0" w:color="auto"/>
            <w:bottom w:val="none" w:sz="0" w:space="0" w:color="auto"/>
            <w:right w:val="none" w:sz="0" w:space="0" w:color="auto"/>
          </w:divBdr>
          <w:divsChild>
            <w:div w:id="310792972">
              <w:marLeft w:val="0"/>
              <w:marRight w:val="0"/>
              <w:marTop w:val="0"/>
              <w:marBottom w:val="0"/>
              <w:divBdr>
                <w:top w:val="none" w:sz="0" w:space="0" w:color="auto"/>
                <w:left w:val="none" w:sz="0" w:space="0" w:color="auto"/>
                <w:bottom w:val="none" w:sz="0" w:space="0" w:color="auto"/>
                <w:right w:val="none" w:sz="0" w:space="0" w:color="auto"/>
              </w:divBdr>
            </w:div>
          </w:divsChild>
        </w:div>
        <w:div w:id="502428178">
          <w:marLeft w:val="0"/>
          <w:marRight w:val="0"/>
          <w:marTop w:val="0"/>
          <w:marBottom w:val="0"/>
          <w:divBdr>
            <w:top w:val="none" w:sz="0" w:space="0" w:color="auto"/>
            <w:left w:val="none" w:sz="0" w:space="0" w:color="auto"/>
            <w:bottom w:val="none" w:sz="0" w:space="0" w:color="auto"/>
            <w:right w:val="none" w:sz="0" w:space="0" w:color="auto"/>
          </w:divBdr>
          <w:divsChild>
            <w:div w:id="1859197854">
              <w:marLeft w:val="0"/>
              <w:marRight w:val="0"/>
              <w:marTop w:val="0"/>
              <w:marBottom w:val="0"/>
              <w:divBdr>
                <w:top w:val="none" w:sz="0" w:space="0" w:color="auto"/>
                <w:left w:val="none" w:sz="0" w:space="0" w:color="auto"/>
                <w:bottom w:val="none" w:sz="0" w:space="0" w:color="auto"/>
                <w:right w:val="none" w:sz="0" w:space="0" w:color="auto"/>
              </w:divBdr>
            </w:div>
          </w:divsChild>
        </w:div>
        <w:div w:id="504395665">
          <w:marLeft w:val="0"/>
          <w:marRight w:val="0"/>
          <w:marTop w:val="0"/>
          <w:marBottom w:val="0"/>
          <w:divBdr>
            <w:top w:val="none" w:sz="0" w:space="0" w:color="auto"/>
            <w:left w:val="none" w:sz="0" w:space="0" w:color="auto"/>
            <w:bottom w:val="none" w:sz="0" w:space="0" w:color="auto"/>
            <w:right w:val="none" w:sz="0" w:space="0" w:color="auto"/>
          </w:divBdr>
          <w:divsChild>
            <w:div w:id="2051539131">
              <w:marLeft w:val="0"/>
              <w:marRight w:val="0"/>
              <w:marTop w:val="0"/>
              <w:marBottom w:val="0"/>
              <w:divBdr>
                <w:top w:val="none" w:sz="0" w:space="0" w:color="auto"/>
                <w:left w:val="none" w:sz="0" w:space="0" w:color="auto"/>
                <w:bottom w:val="none" w:sz="0" w:space="0" w:color="auto"/>
                <w:right w:val="none" w:sz="0" w:space="0" w:color="auto"/>
              </w:divBdr>
            </w:div>
          </w:divsChild>
        </w:div>
        <w:div w:id="533615984">
          <w:marLeft w:val="0"/>
          <w:marRight w:val="0"/>
          <w:marTop w:val="0"/>
          <w:marBottom w:val="0"/>
          <w:divBdr>
            <w:top w:val="none" w:sz="0" w:space="0" w:color="auto"/>
            <w:left w:val="none" w:sz="0" w:space="0" w:color="auto"/>
            <w:bottom w:val="none" w:sz="0" w:space="0" w:color="auto"/>
            <w:right w:val="none" w:sz="0" w:space="0" w:color="auto"/>
          </w:divBdr>
          <w:divsChild>
            <w:div w:id="1941448030">
              <w:marLeft w:val="0"/>
              <w:marRight w:val="0"/>
              <w:marTop w:val="0"/>
              <w:marBottom w:val="0"/>
              <w:divBdr>
                <w:top w:val="none" w:sz="0" w:space="0" w:color="auto"/>
                <w:left w:val="none" w:sz="0" w:space="0" w:color="auto"/>
                <w:bottom w:val="none" w:sz="0" w:space="0" w:color="auto"/>
                <w:right w:val="none" w:sz="0" w:space="0" w:color="auto"/>
              </w:divBdr>
            </w:div>
          </w:divsChild>
        </w:div>
        <w:div w:id="593978068">
          <w:marLeft w:val="0"/>
          <w:marRight w:val="0"/>
          <w:marTop w:val="0"/>
          <w:marBottom w:val="0"/>
          <w:divBdr>
            <w:top w:val="none" w:sz="0" w:space="0" w:color="auto"/>
            <w:left w:val="none" w:sz="0" w:space="0" w:color="auto"/>
            <w:bottom w:val="none" w:sz="0" w:space="0" w:color="auto"/>
            <w:right w:val="none" w:sz="0" w:space="0" w:color="auto"/>
          </w:divBdr>
          <w:divsChild>
            <w:div w:id="1443647558">
              <w:marLeft w:val="0"/>
              <w:marRight w:val="0"/>
              <w:marTop w:val="0"/>
              <w:marBottom w:val="0"/>
              <w:divBdr>
                <w:top w:val="none" w:sz="0" w:space="0" w:color="auto"/>
                <w:left w:val="none" w:sz="0" w:space="0" w:color="auto"/>
                <w:bottom w:val="none" w:sz="0" w:space="0" w:color="auto"/>
                <w:right w:val="none" w:sz="0" w:space="0" w:color="auto"/>
              </w:divBdr>
            </w:div>
          </w:divsChild>
        </w:div>
        <w:div w:id="600842320">
          <w:marLeft w:val="0"/>
          <w:marRight w:val="0"/>
          <w:marTop w:val="0"/>
          <w:marBottom w:val="0"/>
          <w:divBdr>
            <w:top w:val="none" w:sz="0" w:space="0" w:color="auto"/>
            <w:left w:val="none" w:sz="0" w:space="0" w:color="auto"/>
            <w:bottom w:val="none" w:sz="0" w:space="0" w:color="auto"/>
            <w:right w:val="none" w:sz="0" w:space="0" w:color="auto"/>
          </w:divBdr>
          <w:divsChild>
            <w:div w:id="541791274">
              <w:marLeft w:val="0"/>
              <w:marRight w:val="0"/>
              <w:marTop w:val="0"/>
              <w:marBottom w:val="0"/>
              <w:divBdr>
                <w:top w:val="none" w:sz="0" w:space="0" w:color="auto"/>
                <w:left w:val="none" w:sz="0" w:space="0" w:color="auto"/>
                <w:bottom w:val="none" w:sz="0" w:space="0" w:color="auto"/>
                <w:right w:val="none" w:sz="0" w:space="0" w:color="auto"/>
              </w:divBdr>
            </w:div>
          </w:divsChild>
        </w:div>
        <w:div w:id="613562264">
          <w:marLeft w:val="0"/>
          <w:marRight w:val="0"/>
          <w:marTop w:val="0"/>
          <w:marBottom w:val="0"/>
          <w:divBdr>
            <w:top w:val="none" w:sz="0" w:space="0" w:color="auto"/>
            <w:left w:val="none" w:sz="0" w:space="0" w:color="auto"/>
            <w:bottom w:val="none" w:sz="0" w:space="0" w:color="auto"/>
            <w:right w:val="none" w:sz="0" w:space="0" w:color="auto"/>
          </w:divBdr>
          <w:divsChild>
            <w:div w:id="274026255">
              <w:marLeft w:val="0"/>
              <w:marRight w:val="0"/>
              <w:marTop w:val="0"/>
              <w:marBottom w:val="0"/>
              <w:divBdr>
                <w:top w:val="none" w:sz="0" w:space="0" w:color="auto"/>
                <w:left w:val="none" w:sz="0" w:space="0" w:color="auto"/>
                <w:bottom w:val="none" w:sz="0" w:space="0" w:color="auto"/>
                <w:right w:val="none" w:sz="0" w:space="0" w:color="auto"/>
              </w:divBdr>
            </w:div>
          </w:divsChild>
        </w:div>
        <w:div w:id="616176068">
          <w:marLeft w:val="0"/>
          <w:marRight w:val="0"/>
          <w:marTop w:val="0"/>
          <w:marBottom w:val="0"/>
          <w:divBdr>
            <w:top w:val="none" w:sz="0" w:space="0" w:color="auto"/>
            <w:left w:val="none" w:sz="0" w:space="0" w:color="auto"/>
            <w:bottom w:val="none" w:sz="0" w:space="0" w:color="auto"/>
            <w:right w:val="none" w:sz="0" w:space="0" w:color="auto"/>
          </w:divBdr>
          <w:divsChild>
            <w:div w:id="722797916">
              <w:marLeft w:val="0"/>
              <w:marRight w:val="0"/>
              <w:marTop w:val="0"/>
              <w:marBottom w:val="0"/>
              <w:divBdr>
                <w:top w:val="none" w:sz="0" w:space="0" w:color="auto"/>
                <w:left w:val="none" w:sz="0" w:space="0" w:color="auto"/>
                <w:bottom w:val="none" w:sz="0" w:space="0" w:color="auto"/>
                <w:right w:val="none" w:sz="0" w:space="0" w:color="auto"/>
              </w:divBdr>
            </w:div>
          </w:divsChild>
        </w:div>
        <w:div w:id="625046254">
          <w:marLeft w:val="0"/>
          <w:marRight w:val="0"/>
          <w:marTop w:val="0"/>
          <w:marBottom w:val="0"/>
          <w:divBdr>
            <w:top w:val="none" w:sz="0" w:space="0" w:color="auto"/>
            <w:left w:val="none" w:sz="0" w:space="0" w:color="auto"/>
            <w:bottom w:val="none" w:sz="0" w:space="0" w:color="auto"/>
            <w:right w:val="none" w:sz="0" w:space="0" w:color="auto"/>
          </w:divBdr>
          <w:divsChild>
            <w:div w:id="647591635">
              <w:marLeft w:val="0"/>
              <w:marRight w:val="0"/>
              <w:marTop w:val="0"/>
              <w:marBottom w:val="0"/>
              <w:divBdr>
                <w:top w:val="none" w:sz="0" w:space="0" w:color="auto"/>
                <w:left w:val="none" w:sz="0" w:space="0" w:color="auto"/>
                <w:bottom w:val="none" w:sz="0" w:space="0" w:color="auto"/>
                <w:right w:val="none" w:sz="0" w:space="0" w:color="auto"/>
              </w:divBdr>
            </w:div>
          </w:divsChild>
        </w:div>
        <w:div w:id="666173570">
          <w:marLeft w:val="0"/>
          <w:marRight w:val="0"/>
          <w:marTop w:val="0"/>
          <w:marBottom w:val="0"/>
          <w:divBdr>
            <w:top w:val="none" w:sz="0" w:space="0" w:color="auto"/>
            <w:left w:val="none" w:sz="0" w:space="0" w:color="auto"/>
            <w:bottom w:val="none" w:sz="0" w:space="0" w:color="auto"/>
            <w:right w:val="none" w:sz="0" w:space="0" w:color="auto"/>
          </w:divBdr>
          <w:divsChild>
            <w:div w:id="1465394603">
              <w:marLeft w:val="0"/>
              <w:marRight w:val="0"/>
              <w:marTop w:val="0"/>
              <w:marBottom w:val="0"/>
              <w:divBdr>
                <w:top w:val="none" w:sz="0" w:space="0" w:color="auto"/>
                <w:left w:val="none" w:sz="0" w:space="0" w:color="auto"/>
                <w:bottom w:val="none" w:sz="0" w:space="0" w:color="auto"/>
                <w:right w:val="none" w:sz="0" w:space="0" w:color="auto"/>
              </w:divBdr>
            </w:div>
          </w:divsChild>
        </w:div>
        <w:div w:id="670185214">
          <w:marLeft w:val="0"/>
          <w:marRight w:val="0"/>
          <w:marTop w:val="0"/>
          <w:marBottom w:val="0"/>
          <w:divBdr>
            <w:top w:val="none" w:sz="0" w:space="0" w:color="auto"/>
            <w:left w:val="none" w:sz="0" w:space="0" w:color="auto"/>
            <w:bottom w:val="none" w:sz="0" w:space="0" w:color="auto"/>
            <w:right w:val="none" w:sz="0" w:space="0" w:color="auto"/>
          </w:divBdr>
          <w:divsChild>
            <w:div w:id="1607076262">
              <w:marLeft w:val="0"/>
              <w:marRight w:val="0"/>
              <w:marTop w:val="0"/>
              <w:marBottom w:val="0"/>
              <w:divBdr>
                <w:top w:val="none" w:sz="0" w:space="0" w:color="auto"/>
                <w:left w:val="none" w:sz="0" w:space="0" w:color="auto"/>
                <w:bottom w:val="none" w:sz="0" w:space="0" w:color="auto"/>
                <w:right w:val="none" w:sz="0" w:space="0" w:color="auto"/>
              </w:divBdr>
            </w:div>
          </w:divsChild>
        </w:div>
        <w:div w:id="695034719">
          <w:marLeft w:val="0"/>
          <w:marRight w:val="0"/>
          <w:marTop w:val="0"/>
          <w:marBottom w:val="0"/>
          <w:divBdr>
            <w:top w:val="none" w:sz="0" w:space="0" w:color="auto"/>
            <w:left w:val="none" w:sz="0" w:space="0" w:color="auto"/>
            <w:bottom w:val="none" w:sz="0" w:space="0" w:color="auto"/>
            <w:right w:val="none" w:sz="0" w:space="0" w:color="auto"/>
          </w:divBdr>
          <w:divsChild>
            <w:div w:id="1194615202">
              <w:marLeft w:val="0"/>
              <w:marRight w:val="0"/>
              <w:marTop w:val="0"/>
              <w:marBottom w:val="0"/>
              <w:divBdr>
                <w:top w:val="none" w:sz="0" w:space="0" w:color="auto"/>
                <w:left w:val="none" w:sz="0" w:space="0" w:color="auto"/>
                <w:bottom w:val="none" w:sz="0" w:space="0" w:color="auto"/>
                <w:right w:val="none" w:sz="0" w:space="0" w:color="auto"/>
              </w:divBdr>
            </w:div>
          </w:divsChild>
        </w:div>
        <w:div w:id="718171551">
          <w:marLeft w:val="0"/>
          <w:marRight w:val="0"/>
          <w:marTop w:val="0"/>
          <w:marBottom w:val="0"/>
          <w:divBdr>
            <w:top w:val="none" w:sz="0" w:space="0" w:color="auto"/>
            <w:left w:val="none" w:sz="0" w:space="0" w:color="auto"/>
            <w:bottom w:val="none" w:sz="0" w:space="0" w:color="auto"/>
            <w:right w:val="none" w:sz="0" w:space="0" w:color="auto"/>
          </w:divBdr>
          <w:divsChild>
            <w:div w:id="407506993">
              <w:marLeft w:val="0"/>
              <w:marRight w:val="0"/>
              <w:marTop w:val="0"/>
              <w:marBottom w:val="0"/>
              <w:divBdr>
                <w:top w:val="none" w:sz="0" w:space="0" w:color="auto"/>
                <w:left w:val="none" w:sz="0" w:space="0" w:color="auto"/>
                <w:bottom w:val="none" w:sz="0" w:space="0" w:color="auto"/>
                <w:right w:val="none" w:sz="0" w:space="0" w:color="auto"/>
              </w:divBdr>
            </w:div>
          </w:divsChild>
        </w:div>
        <w:div w:id="790786067">
          <w:marLeft w:val="0"/>
          <w:marRight w:val="0"/>
          <w:marTop w:val="0"/>
          <w:marBottom w:val="0"/>
          <w:divBdr>
            <w:top w:val="none" w:sz="0" w:space="0" w:color="auto"/>
            <w:left w:val="none" w:sz="0" w:space="0" w:color="auto"/>
            <w:bottom w:val="none" w:sz="0" w:space="0" w:color="auto"/>
            <w:right w:val="none" w:sz="0" w:space="0" w:color="auto"/>
          </w:divBdr>
          <w:divsChild>
            <w:div w:id="1517887348">
              <w:marLeft w:val="0"/>
              <w:marRight w:val="0"/>
              <w:marTop w:val="0"/>
              <w:marBottom w:val="0"/>
              <w:divBdr>
                <w:top w:val="none" w:sz="0" w:space="0" w:color="auto"/>
                <w:left w:val="none" w:sz="0" w:space="0" w:color="auto"/>
                <w:bottom w:val="none" w:sz="0" w:space="0" w:color="auto"/>
                <w:right w:val="none" w:sz="0" w:space="0" w:color="auto"/>
              </w:divBdr>
            </w:div>
          </w:divsChild>
        </w:div>
        <w:div w:id="853883093">
          <w:marLeft w:val="0"/>
          <w:marRight w:val="0"/>
          <w:marTop w:val="0"/>
          <w:marBottom w:val="0"/>
          <w:divBdr>
            <w:top w:val="none" w:sz="0" w:space="0" w:color="auto"/>
            <w:left w:val="none" w:sz="0" w:space="0" w:color="auto"/>
            <w:bottom w:val="none" w:sz="0" w:space="0" w:color="auto"/>
            <w:right w:val="none" w:sz="0" w:space="0" w:color="auto"/>
          </w:divBdr>
          <w:divsChild>
            <w:div w:id="1231576268">
              <w:marLeft w:val="0"/>
              <w:marRight w:val="0"/>
              <w:marTop w:val="0"/>
              <w:marBottom w:val="0"/>
              <w:divBdr>
                <w:top w:val="none" w:sz="0" w:space="0" w:color="auto"/>
                <w:left w:val="none" w:sz="0" w:space="0" w:color="auto"/>
                <w:bottom w:val="none" w:sz="0" w:space="0" w:color="auto"/>
                <w:right w:val="none" w:sz="0" w:space="0" w:color="auto"/>
              </w:divBdr>
            </w:div>
          </w:divsChild>
        </w:div>
        <w:div w:id="909197203">
          <w:marLeft w:val="0"/>
          <w:marRight w:val="0"/>
          <w:marTop w:val="0"/>
          <w:marBottom w:val="0"/>
          <w:divBdr>
            <w:top w:val="none" w:sz="0" w:space="0" w:color="auto"/>
            <w:left w:val="none" w:sz="0" w:space="0" w:color="auto"/>
            <w:bottom w:val="none" w:sz="0" w:space="0" w:color="auto"/>
            <w:right w:val="none" w:sz="0" w:space="0" w:color="auto"/>
          </w:divBdr>
          <w:divsChild>
            <w:div w:id="102264654">
              <w:marLeft w:val="0"/>
              <w:marRight w:val="0"/>
              <w:marTop w:val="0"/>
              <w:marBottom w:val="0"/>
              <w:divBdr>
                <w:top w:val="none" w:sz="0" w:space="0" w:color="auto"/>
                <w:left w:val="none" w:sz="0" w:space="0" w:color="auto"/>
                <w:bottom w:val="none" w:sz="0" w:space="0" w:color="auto"/>
                <w:right w:val="none" w:sz="0" w:space="0" w:color="auto"/>
              </w:divBdr>
            </w:div>
          </w:divsChild>
        </w:div>
        <w:div w:id="970095932">
          <w:marLeft w:val="0"/>
          <w:marRight w:val="0"/>
          <w:marTop w:val="0"/>
          <w:marBottom w:val="0"/>
          <w:divBdr>
            <w:top w:val="none" w:sz="0" w:space="0" w:color="auto"/>
            <w:left w:val="none" w:sz="0" w:space="0" w:color="auto"/>
            <w:bottom w:val="none" w:sz="0" w:space="0" w:color="auto"/>
            <w:right w:val="none" w:sz="0" w:space="0" w:color="auto"/>
          </w:divBdr>
          <w:divsChild>
            <w:div w:id="674725098">
              <w:marLeft w:val="0"/>
              <w:marRight w:val="0"/>
              <w:marTop w:val="0"/>
              <w:marBottom w:val="0"/>
              <w:divBdr>
                <w:top w:val="none" w:sz="0" w:space="0" w:color="auto"/>
                <w:left w:val="none" w:sz="0" w:space="0" w:color="auto"/>
                <w:bottom w:val="none" w:sz="0" w:space="0" w:color="auto"/>
                <w:right w:val="none" w:sz="0" w:space="0" w:color="auto"/>
              </w:divBdr>
            </w:div>
          </w:divsChild>
        </w:div>
        <w:div w:id="1116678649">
          <w:marLeft w:val="0"/>
          <w:marRight w:val="0"/>
          <w:marTop w:val="0"/>
          <w:marBottom w:val="0"/>
          <w:divBdr>
            <w:top w:val="none" w:sz="0" w:space="0" w:color="auto"/>
            <w:left w:val="none" w:sz="0" w:space="0" w:color="auto"/>
            <w:bottom w:val="none" w:sz="0" w:space="0" w:color="auto"/>
            <w:right w:val="none" w:sz="0" w:space="0" w:color="auto"/>
          </w:divBdr>
          <w:divsChild>
            <w:div w:id="148718658">
              <w:marLeft w:val="0"/>
              <w:marRight w:val="0"/>
              <w:marTop w:val="0"/>
              <w:marBottom w:val="0"/>
              <w:divBdr>
                <w:top w:val="none" w:sz="0" w:space="0" w:color="auto"/>
                <w:left w:val="none" w:sz="0" w:space="0" w:color="auto"/>
                <w:bottom w:val="none" w:sz="0" w:space="0" w:color="auto"/>
                <w:right w:val="none" w:sz="0" w:space="0" w:color="auto"/>
              </w:divBdr>
            </w:div>
          </w:divsChild>
        </w:div>
        <w:div w:id="1128428283">
          <w:marLeft w:val="0"/>
          <w:marRight w:val="0"/>
          <w:marTop w:val="0"/>
          <w:marBottom w:val="0"/>
          <w:divBdr>
            <w:top w:val="none" w:sz="0" w:space="0" w:color="auto"/>
            <w:left w:val="none" w:sz="0" w:space="0" w:color="auto"/>
            <w:bottom w:val="none" w:sz="0" w:space="0" w:color="auto"/>
            <w:right w:val="none" w:sz="0" w:space="0" w:color="auto"/>
          </w:divBdr>
          <w:divsChild>
            <w:div w:id="1412197792">
              <w:marLeft w:val="0"/>
              <w:marRight w:val="0"/>
              <w:marTop w:val="0"/>
              <w:marBottom w:val="0"/>
              <w:divBdr>
                <w:top w:val="none" w:sz="0" w:space="0" w:color="auto"/>
                <w:left w:val="none" w:sz="0" w:space="0" w:color="auto"/>
                <w:bottom w:val="none" w:sz="0" w:space="0" w:color="auto"/>
                <w:right w:val="none" w:sz="0" w:space="0" w:color="auto"/>
              </w:divBdr>
            </w:div>
          </w:divsChild>
        </w:div>
        <w:div w:id="1129935315">
          <w:marLeft w:val="0"/>
          <w:marRight w:val="0"/>
          <w:marTop w:val="0"/>
          <w:marBottom w:val="0"/>
          <w:divBdr>
            <w:top w:val="none" w:sz="0" w:space="0" w:color="auto"/>
            <w:left w:val="none" w:sz="0" w:space="0" w:color="auto"/>
            <w:bottom w:val="none" w:sz="0" w:space="0" w:color="auto"/>
            <w:right w:val="none" w:sz="0" w:space="0" w:color="auto"/>
          </w:divBdr>
          <w:divsChild>
            <w:div w:id="161631923">
              <w:marLeft w:val="0"/>
              <w:marRight w:val="0"/>
              <w:marTop w:val="0"/>
              <w:marBottom w:val="0"/>
              <w:divBdr>
                <w:top w:val="none" w:sz="0" w:space="0" w:color="auto"/>
                <w:left w:val="none" w:sz="0" w:space="0" w:color="auto"/>
                <w:bottom w:val="none" w:sz="0" w:space="0" w:color="auto"/>
                <w:right w:val="none" w:sz="0" w:space="0" w:color="auto"/>
              </w:divBdr>
            </w:div>
          </w:divsChild>
        </w:div>
        <w:div w:id="1152024070">
          <w:marLeft w:val="0"/>
          <w:marRight w:val="0"/>
          <w:marTop w:val="0"/>
          <w:marBottom w:val="0"/>
          <w:divBdr>
            <w:top w:val="none" w:sz="0" w:space="0" w:color="auto"/>
            <w:left w:val="none" w:sz="0" w:space="0" w:color="auto"/>
            <w:bottom w:val="none" w:sz="0" w:space="0" w:color="auto"/>
            <w:right w:val="none" w:sz="0" w:space="0" w:color="auto"/>
          </w:divBdr>
          <w:divsChild>
            <w:div w:id="375660284">
              <w:marLeft w:val="0"/>
              <w:marRight w:val="0"/>
              <w:marTop w:val="0"/>
              <w:marBottom w:val="0"/>
              <w:divBdr>
                <w:top w:val="none" w:sz="0" w:space="0" w:color="auto"/>
                <w:left w:val="none" w:sz="0" w:space="0" w:color="auto"/>
                <w:bottom w:val="none" w:sz="0" w:space="0" w:color="auto"/>
                <w:right w:val="none" w:sz="0" w:space="0" w:color="auto"/>
              </w:divBdr>
            </w:div>
          </w:divsChild>
        </w:div>
        <w:div w:id="1164516274">
          <w:marLeft w:val="0"/>
          <w:marRight w:val="0"/>
          <w:marTop w:val="0"/>
          <w:marBottom w:val="0"/>
          <w:divBdr>
            <w:top w:val="none" w:sz="0" w:space="0" w:color="auto"/>
            <w:left w:val="none" w:sz="0" w:space="0" w:color="auto"/>
            <w:bottom w:val="none" w:sz="0" w:space="0" w:color="auto"/>
            <w:right w:val="none" w:sz="0" w:space="0" w:color="auto"/>
          </w:divBdr>
          <w:divsChild>
            <w:div w:id="982000981">
              <w:marLeft w:val="0"/>
              <w:marRight w:val="0"/>
              <w:marTop w:val="0"/>
              <w:marBottom w:val="0"/>
              <w:divBdr>
                <w:top w:val="none" w:sz="0" w:space="0" w:color="auto"/>
                <w:left w:val="none" w:sz="0" w:space="0" w:color="auto"/>
                <w:bottom w:val="none" w:sz="0" w:space="0" w:color="auto"/>
                <w:right w:val="none" w:sz="0" w:space="0" w:color="auto"/>
              </w:divBdr>
            </w:div>
          </w:divsChild>
        </w:div>
        <w:div w:id="1182161911">
          <w:marLeft w:val="0"/>
          <w:marRight w:val="0"/>
          <w:marTop w:val="0"/>
          <w:marBottom w:val="0"/>
          <w:divBdr>
            <w:top w:val="none" w:sz="0" w:space="0" w:color="auto"/>
            <w:left w:val="none" w:sz="0" w:space="0" w:color="auto"/>
            <w:bottom w:val="none" w:sz="0" w:space="0" w:color="auto"/>
            <w:right w:val="none" w:sz="0" w:space="0" w:color="auto"/>
          </w:divBdr>
          <w:divsChild>
            <w:div w:id="1204054622">
              <w:marLeft w:val="0"/>
              <w:marRight w:val="0"/>
              <w:marTop w:val="0"/>
              <w:marBottom w:val="0"/>
              <w:divBdr>
                <w:top w:val="none" w:sz="0" w:space="0" w:color="auto"/>
                <w:left w:val="none" w:sz="0" w:space="0" w:color="auto"/>
                <w:bottom w:val="none" w:sz="0" w:space="0" w:color="auto"/>
                <w:right w:val="none" w:sz="0" w:space="0" w:color="auto"/>
              </w:divBdr>
            </w:div>
          </w:divsChild>
        </w:div>
        <w:div w:id="1185707100">
          <w:marLeft w:val="0"/>
          <w:marRight w:val="0"/>
          <w:marTop w:val="0"/>
          <w:marBottom w:val="0"/>
          <w:divBdr>
            <w:top w:val="none" w:sz="0" w:space="0" w:color="auto"/>
            <w:left w:val="none" w:sz="0" w:space="0" w:color="auto"/>
            <w:bottom w:val="none" w:sz="0" w:space="0" w:color="auto"/>
            <w:right w:val="none" w:sz="0" w:space="0" w:color="auto"/>
          </w:divBdr>
          <w:divsChild>
            <w:div w:id="201095175">
              <w:marLeft w:val="0"/>
              <w:marRight w:val="0"/>
              <w:marTop w:val="0"/>
              <w:marBottom w:val="0"/>
              <w:divBdr>
                <w:top w:val="none" w:sz="0" w:space="0" w:color="auto"/>
                <w:left w:val="none" w:sz="0" w:space="0" w:color="auto"/>
                <w:bottom w:val="none" w:sz="0" w:space="0" w:color="auto"/>
                <w:right w:val="none" w:sz="0" w:space="0" w:color="auto"/>
              </w:divBdr>
            </w:div>
          </w:divsChild>
        </w:div>
        <w:div w:id="1214275904">
          <w:marLeft w:val="0"/>
          <w:marRight w:val="0"/>
          <w:marTop w:val="0"/>
          <w:marBottom w:val="0"/>
          <w:divBdr>
            <w:top w:val="none" w:sz="0" w:space="0" w:color="auto"/>
            <w:left w:val="none" w:sz="0" w:space="0" w:color="auto"/>
            <w:bottom w:val="none" w:sz="0" w:space="0" w:color="auto"/>
            <w:right w:val="none" w:sz="0" w:space="0" w:color="auto"/>
          </w:divBdr>
          <w:divsChild>
            <w:div w:id="1916354319">
              <w:marLeft w:val="0"/>
              <w:marRight w:val="0"/>
              <w:marTop w:val="0"/>
              <w:marBottom w:val="0"/>
              <w:divBdr>
                <w:top w:val="none" w:sz="0" w:space="0" w:color="auto"/>
                <w:left w:val="none" w:sz="0" w:space="0" w:color="auto"/>
                <w:bottom w:val="none" w:sz="0" w:space="0" w:color="auto"/>
                <w:right w:val="none" w:sz="0" w:space="0" w:color="auto"/>
              </w:divBdr>
            </w:div>
          </w:divsChild>
        </w:div>
        <w:div w:id="1223248614">
          <w:marLeft w:val="0"/>
          <w:marRight w:val="0"/>
          <w:marTop w:val="0"/>
          <w:marBottom w:val="0"/>
          <w:divBdr>
            <w:top w:val="none" w:sz="0" w:space="0" w:color="auto"/>
            <w:left w:val="none" w:sz="0" w:space="0" w:color="auto"/>
            <w:bottom w:val="none" w:sz="0" w:space="0" w:color="auto"/>
            <w:right w:val="none" w:sz="0" w:space="0" w:color="auto"/>
          </w:divBdr>
          <w:divsChild>
            <w:div w:id="735397521">
              <w:marLeft w:val="0"/>
              <w:marRight w:val="0"/>
              <w:marTop w:val="0"/>
              <w:marBottom w:val="0"/>
              <w:divBdr>
                <w:top w:val="none" w:sz="0" w:space="0" w:color="auto"/>
                <w:left w:val="none" w:sz="0" w:space="0" w:color="auto"/>
                <w:bottom w:val="none" w:sz="0" w:space="0" w:color="auto"/>
                <w:right w:val="none" w:sz="0" w:space="0" w:color="auto"/>
              </w:divBdr>
            </w:div>
          </w:divsChild>
        </w:div>
        <w:div w:id="1263957032">
          <w:marLeft w:val="0"/>
          <w:marRight w:val="0"/>
          <w:marTop w:val="0"/>
          <w:marBottom w:val="0"/>
          <w:divBdr>
            <w:top w:val="none" w:sz="0" w:space="0" w:color="auto"/>
            <w:left w:val="none" w:sz="0" w:space="0" w:color="auto"/>
            <w:bottom w:val="none" w:sz="0" w:space="0" w:color="auto"/>
            <w:right w:val="none" w:sz="0" w:space="0" w:color="auto"/>
          </w:divBdr>
          <w:divsChild>
            <w:div w:id="1632200473">
              <w:marLeft w:val="0"/>
              <w:marRight w:val="0"/>
              <w:marTop w:val="0"/>
              <w:marBottom w:val="0"/>
              <w:divBdr>
                <w:top w:val="none" w:sz="0" w:space="0" w:color="auto"/>
                <w:left w:val="none" w:sz="0" w:space="0" w:color="auto"/>
                <w:bottom w:val="none" w:sz="0" w:space="0" w:color="auto"/>
                <w:right w:val="none" w:sz="0" w:space="0" w:color="auto"/>
              </w:divBdr>
            </w:div>
          </w:divsChild>
        </w:div>
        <w:div w:id="1300499326">
          <w:marLeft w:val="0"/>
          <w:marRight w:val="0"/>
          <w:marTop w:val="0"/>
          <w:marBottom w:val="0"/>
          <w:divBdr>
            <w:top w:val="none" w:sz="0" w:space="0" w:color="auto"/>
            <w:left w:val="none" w:sz="0" w:space="0" w:color="auto"/>
            <w:bottom w:val="none" w:sz="0" w:space="0" w:color="auto"/>
            <w:right w:val="none" w:sz="0" w:space="0" w:color="auto"/>
          </w:divBdr>
          <w:divsChild>
            <w:div w:id="1664897896">
              <w:marLeft w:val="0"/>
              <w:marRight w:val="0"/>
              <w:marTop w:val="0"/>
              <w:marBottom w:val="0"/>
              <w:divBdr>
                <w:top w:val="none" w:sz="0" w:space="0" w:color="auto"/>
                <w:left w:val="none" w:sz="0" w:space="0" w:color="auto"/>
                <w:bottom w:val="none" w:sz="0" w:space="0" w:color="auto"/>
                <w:right w:val="none" w:sz="0" w:space="0" w:color="auto"/>
              </w:divBdr>
            </w:div>
          </w:divsChild>
        </w:div>
        <w:div w:id="1330669057">
          <w:marLeft w:val="0"/>
          <w:marRight w:val="0"/>
          <w:marTop w:val="0"/>
          <w:marBottom w:val="0"/>
          <w:divBdr>
            <w:top w:val="none" w:sz="0" w:space="0" w:color="auto"/>
            <w:left w:val="none" w:sz="0" w:space="0" w:color="auto"/>
            <w:bottom w:val="none" w:sz="0" w:space="0" w:color="auto"/>
            <w:right w:val="none" w:sz="0" w:space="0" w:color="auto"/>
          </w:divBdr>
          <w:divsChild>
            <w:div w:id="1219123692">
              <w:marLeft w:val="0"/>
              <w:marRight w:val="0"/>
              <w:marTop w:val="0"/>
              <w:marBottom w:val="0"/>
              <w:divBdr>
                <w:top w:val="none" w:sz="0" w:space="0" w:color="auto"/>
                <w:left w:val="none" w:sz="0" w:space="0" w:color="auto"/>
                <w:bottom w:val="none" w:sz="0" w:space="0" w:color="auto"/>
                <w:right w:val="none" w:sz="0" w:space="0" w:color="auto"/>
              </w:divBdr>
            </w:div>
          </w:divsChild>
        </w:div>
        <w:div w:id="1349140653">
          <w:marLeft w:val="0"/>
          <w:marRight w:val="0"/>
          <w:marTop w:val="0"/>
          <w:marBottom w:val="0"/>
          <w:divBdr>
            <w:top w:val="none" w:sz="0" w:space="0" w:color="auto"/>
            <w:left w:val="none" w:sz="0" w:space="0" w:color="auto"/>
            <w:bottom w:val="none" w:sz="0" w:space="0" w:color="auto"/>
            <w:right w:val="none" w:sz="0" w:space="0" w:color="auto"/>
          </w:divBdr>
          <w:divsChild>
            <w:div w:id="1243442296">
              <w:marLeft w:val="0"/>
              <w:marRight w:val="0"/>
              <w:marTop w:val="0"/>
              <w:marBottom w:val="0"/>
              <w:divBdr>
                <w:top w:val="none" w:sz="0" w:space="0" w:color="auto"/>
                <w:left w:val="none" w:sz="0" w:space="0" w:color="auto"/>
                <w:bottom w:val="none" w:sz="0" w:space="0" w:color="auto"/>
                <w:right w:val="none" w:sz="0" w:space="0" w:color="auto"/>
              </w:divBdr>
            </w:div>
          </w:divsChild>
        </w:div>
        <w:div w:id="1367633846">
          <w:marLeft w:val="0"/>
          <w:marRight w:val="0"/>
          <w:marTop w:val="0"/>
          <w:marBottom w:val="0"/>
          <w:divBdr>
            <w:top w:val="none" w:sz="0" w:space="0" w:color="auto"/>
            <w:left w:val="none" w:sz="0" w:space="0" w:color="auto"/>
            <w:bottom w:val="none" w:sz="0" w:space="0" w:color="auto"/>
            <w:right w:val="none" w:sz="0" w:space="0" w:color="auto"/>
          </w:divBdr>
          <w:divsChild>
            <w:div w:id="211888026">
              <w:marLeft w:val="0"/>
              <w:marRight w:val="0"/>
              <w:marTop w:val="0"/>
              <w:marBottom w:val="0"/>
              <w:divBdr>
                <w:top w:val="none" w:sz="0" w:space="0" w:color="auto"/>
                <w:left w:val="none" w:sz="0" w:space="0" w:color="auto"/>
                <w:bottom w:val="none" w:sz="0" w:space="0" w:color="auto"/>
                <w:right w:val="none" w:sz="0" w:space="0" w:color="auto"/>
              </w:divBdr>
            </w:div>
          </w:divsChild>
        </w:div>
        <w:div w:id="1397707680">
          <w:marLeft w:val="0"/>
          <w:marRight w:val="0"/>
          <w:marTop w:val="0"/>
          <w:marBottom w:val="0"/>
          <w:divBdr>
            <w:top w:val="none" w:sz="0" w:space="0" w:color="auto"/>
            <w:left w:val="none" w:sz="0" w:space="0" w:color="auto"/>
            <w:bottom w:val="none" w:sz="0" w:space="0" w:color="auto"/>
            <w:right w:val="none" w:sz="0" w:space="0" w:color="auto"/>
          </w:divBdr>
          <w:divsChild>
            <w:div w:id="1384056451">
              <w:marLeft w:val="0"/>
              <w:marRight w:val="0"/>
              <w:marTop w:val="0"/>
              <w:marBottom w:val="0"/>
              <w:divBdr>
                <w:top w:val="none" w:sz="0" w:space="0" w:color="auto"/>
                <w:left w:val="none" w:sz="0" w:space="0" w:color="auto"/>
                <w:bottom w:val="none" w:sz="0" w:space="0" w:color="auto"/>
                <w:right w:val="none" w:sz="0" w:space="0" w:color="auto"/>
              </w:divBdr>
            </w:div>
          </w:divsChild>
        </w:div>
        <w:div w:id="1438139045">
          <w:marLeft w:val="0"/>
          <w:marRight w:val="0"/>
          <w:marTop w:val="0"/>
          <w:marBottom w:val="0"/>
          <w:divBdr>
            <w:top w:val="none" w:sz="0" w:space="0" w:color="auto"/>
            <w:left w:val="none" w:sz="0" w:space="0" w:color="auto"/>
            <w:bottom w:val="none" w:sz="0" w:space="0" w:color="auto"/>
            <w:right w:val="none" w:sz="0" w:space="0" w:color="auto"/>
          </w:divBdr>
          <w:divsChild>
            <w:div w:id="837691454">
              <w:marLeft w:val="0"/>
              <w:marRight w:val="0"/>
              <w:marTop w:val="0"/>
              <w:marBottom w:val="0"/>
              <w:divBdr>
                <w:top w:val="none" w:sz="0" w:space="0" w:color="auto"/>
                <w:left w:val="none" w:sz="0" w:space="0" w:color="auto"/>
                <w:bottom w:val="none" w:sz="0" w:space="0" w:color="auto"/>
                <w:right w:val="none" w:sz="0" w:space="0" w:color="auto"/>
              </w:divBdr>
            </w:div>
          </w:divsChild>
        </w:div>
        <w:div w:id="1483886902">
          <w:marLeft w:val="0"/>
          <w:marRight w:val="0"/>
          <w:marTop w:val="0"/>
          <w:marBottom w:val="0"/>
          <w:divBdr>
            <w:top w:val="none" w:sz="0" w:space="0" w:color="auto"/>
            <w:left w:val="none" w:sz="0" w:space="0" w:color="auto"/>
            <w:bottom w:val="none" w:sz="0" w:space="0" w:color="auto"/>
            <w:right w:val="none" w:sz="0" w:space="0" w:color="auto"/>
          </w:divBdr>
          <w:divsChild>
            <w:div w:id="257562154">
              <w:marLeft w:val="0"/>
              <w:marRight w:val="0"/>
              <w:marTop w:val="0"/>
              <w:marBottom w:val="0"/>
              <w:divBdr>
                <w:top w:val="none" w:sz="0" w:space="0" w:color="auto"/>
                <w:left w:val="none" w:sz="0" w:space="0" w:color="auto"/>
                <w:bottom w:val="none" w:sz="0" w:space="0" w:color="auto"/>
                <w:right w:val="none" w:sz="0" w:space="0" w:color="auto"/>
              </w:divBdr>
            </w:div>
          </w:divsChild>
        </w:div>
        <w:div w:id="1496065787">
          <w:marLeft w:val="0"/>
          <w:marRight w:val="0"/>
          <w:marTop w:val="0"/>
          <w:marBottom w:val="0"/>
          <w:divBdr>
            <w:top w:val="none" w:sz="0" w:space="0" w:color="auto"/>
            <w:left w:val="none" w:sz="0" w:space="0" w:color="auto"/>
            <w:bottom w:val="none" w:sz="0" w:space="0" w:color="auto"/>
            <w:right w:val="none" w:sz="0" w:space="0" w:color="auto"/>
          </w:divBdr>
          <w:divsChild>
            <w:div w:id="260452481">
              <w:marLeft w:val="0"/>
              <w:marRight w:val="0"/>
              <w:marTop w:val="0"/>
              <w:marBottom w:val="0"/>
              <w:divBdr>
                <w:top w:val="none" w:sz="0" w:space="0" w:color="auto"/>
                <w:left w:val="none" w:sz="0" w:space="0" w:color="auto"/>
                <w:bottom w:val="none" w:sz="0" w:space="0" w:color="auto"/>
                <w:right w:val="none" w:sz="0" w:space="0" w:color="auto"/>
              </w:divBdr>
            </w:div>
          </w:divsChild>
        </w:div>
        <w:div w:id="1499733259">
          <w:marLeft w:val="0"/>
          <w:marRight w:val="0"/>
          <w:marTop w:val="0"/>
          <w:marBottom w:val="0"/>
          <w:divBdr>
            <w:top w:val="none" w:sz="0" w:space="0" w:color="auto"/>
            <w:left w:val="none" w:sz="0" w:space="0" w:color="auto"/>
            <w:bottom w:val="none" w:sz="0" w:space="0" w:color="auto"/>
            <w:right w:val="none" w:sz="0" w:space="0" w:color="auto"/>
          </w:divBdr>
          <w:divsChild>
            <w:div w:id="1538006204">
              <w:marLeft w:val="0"/>
              <w:marRight w:val="0"/>
              <w:marTop w:val="0"/>
              <w:marBottom w:val="0"/>
              <w:divBdr>
                <w:top w:val="none" w:sz="0" w:space="0" w:color="auto"/>
                <w:left w:val="none" w:sz="0" w:space="0" w:color="auto"/>
                <w:bottom w:val="none" w:sz="0" w:space="0" w:color="auto"/>
                <w:right w:val="none" w:sz="0" w:space="0" w:color="auto"/>
              </w:divBdr>
            </w:div>
          </w:divsChild>
        </w:div>
        <w:div w:id="1549564638">
          <w:marLeft w:val="0"/>
          <w:marRight w:val="0"/>
          <w:marTop w:val="0"/>
          <w:marBottom w:val="0"/>
          <w:divBdr>
            <w:top w:val="none" w:sz="0" w:space="0" w:color="auto"/>
            <w:left w:val="none" w:sz="0" w:space="0" w:color="auto"/>
            <w:bottom w:val="none" w:sz="0" w:space="0" w:color="auto"/>
            <w:right w:val="none" w:sz="0" w:space="0" w:color="auto"/>
          </w:divBdr>
          <w:divsChild>
            <w:div w:id="786310939">
              <w:marLeft w:val="0"/>
              <w:marRight w:val="0"/>
              <w:marTop w:val="0"/>
              <w:marBottom w:val="0"/>
              <w:divBdr>
                <w:top w:val="none" w:sz="0" w:space="0" w:color="auto"/>
                <w:left w:val="none" w:sz="0" w:space="0" w:color="auto"/>
                <w:bottom w:val="none" w:sz="0" w:space="0" w:color="auto"/>
                <w:right w:val="none" w:sz="0" w:space="0" w:color="auto"/>
              </w:divBdr>
            </w:div>
          </w:divsChild>
        </w:div>
        <w:div w:id="1567454406">
          <w:marLeft w:val="0"/>
          <w:marRight w:val="0"/>
          <w:marTop w:val="0"/>
          <w:marBottom w:val="0"/>
          <w:divBdr>
            <w:top w:val="none" w:sz="0" w:space="0" w:color="auto"/>
            <w:left w:val="none" w:sz="0" w:space="0" w:color="auto"/>
            <w:bottom w:val="none" w:sz="0" w:space="0" w:color="auto"/>
            <w:right w:val="none" w:sz="0" w:space="0" w:color="auto"/>
          </w:divBdr>
          <w:divsChild>
            <w:div w:id="750589172">
              <w:marLeft w:val="0"/>
              <w:marRight w:val="0"/>
              <w:marTop w:val="0"/>
              <w:marBottom w:val="0"/>
              <w:divBdr>
                <w:top w:val="none" w:sz="0" w:space="0" w:color="auto"/>
                <w:left w:val="none" w:sz="0" w:space="0" w:color="auto"/>
                <w:bottom w:val="none" w:sz="0" w:space="0" w:color="auto"/>
                <w:right w:val="none" w:sz="0" w:space="0" w:color="auto"/>
              </w:divBdr>
            </w:div>
          </w:divsChild>
        </w:div>
        <w:div w:id="1697002513">
          <w:marLeft w:val="0"/>
          <w:marRight w:val="0"/>
          <w:marTop w:val="0"/>
          <w:marBottom w:val="0"/>
          <w:divBdr>
            <w:top w:val="none" w:sz="0" w:space="0" w:color="auto"/>
            <w:left w:val="none" w:sz="0" w:space="0" w:color="auto"/>
            <w:bottom w:val="none" w:sz="0" w:space="0" w:color="auto"/>
            <w:right w:val="none" w:sz="0" w:space="0" w:color="auto"/>
          </w:divBdr>
          <w:divsChild>
            <w:div w:id="693731183">
              <w:marLeft w:val="0"/>
              <w:marRight w:val="0"/>
              <w:marTop w:val="0"/>
              <w:marBottom w:val="0"/>
              <w:divBdr>
                <w:top w:val="none" w:sz="0" w:space="0" w:color="auto"/>
                <w:left w:val="none" w:sz="0" w:space="0" w:color="auto"/>
                <w:bottom w:val="none" w:sz="0" w:space="0" w:color="auto"/>
                <w:right w:val="none" w:sz="0" w:space="0" w:color="auto"/>
              </w:divBdr>
            </w:div>
          </w:divsChild>
        </w:div>
        <w:div w:id="1733456649">
          <w:marLeft w:val="0"/>
          <w:marRight w:val="0"/>
          <w:marTop w:val="0"/>
          <w:marBottom w:val="0"/>
          <w:divBdr>
            <w:top w:val="none" w:sz="0" w:space="0" w:color="auto"/>
            <w:left w:val="none" w:sz="0" w:space="0" w:color="auto"/>
            <w:bottom w:val="none" w:sz="0" w:space="0" w:color="auto"/>
            <w:right w:val="none" w:sz="0" w:space="0" w:color="auto"/>
          </w:divBdr>
          <w:divsChild>
            <w:div w:id="1304964622">
              <w:marLeft w:val="0"/>
              <w:marRight w:val="0"/>
              <w:marTop w:val="0"/>
              <w:marBottom w:val="0"/>
              <w:divBdr>
                <w:top w:val="none" w:sz="0" w:space="0" w:color="auto"/>
                <w:left w:val="none" w:sz="0" w:space="0" w:color="auto"/>
                <w:bottom w:val="none" w:sz="0" w:space="0" w:color="auto"/>
                <w:right w:val="none" w:sz="0" w:space="0" w:color="auto"/>
              </w:divBdr>
            </w:div>
          </w:divsChild>
        </w:div>
        <w:div w:id="1740712773">
          <w:marLeft w:val="0"/>
          <w:marRight w:val="0"/>
          <w:marTop w:val="0"/>
          <w:marBottom w:val="0"/>
          <w:divBdr>
            <w:top w:val="none" w:sz="0" w:space="0" w:color="auto"/>
            <w:left w:val="none" w:sz="0" w:space="0" w:color="auto"/>
            <w:bottom w:val="none" w:sz="0" w:space="0" w:color="auto"/>
            <w:right w:val="none" w:sz="0" w:space="0" w:color="auto"/>
          </w:divBdr>
          <w:divsChild>
            <w:div w:id="1514031222">
              <w:marLeft w:val="0"/>
              <w:marRight w:val="0"/>
              <w:marTop w:val="0"/>
              <w:marBottom w:val="0"/>
              <w:divBdr>
                <w:top w:val="none" w:sz="0" w:space="0" w:color="auto"/>
                <w:left w:val="none" w:sz="0" w:space="0" w:color="auto"/>
                <w:bottom w:val="none" w:sz="0" w:space="0" w:color="auto"/>
                <w:right w:val="none" w:sz="0" w:space="0" w:color="auto"/>
              </w:divBdr>
            </w:div>
          </w:divsChild>
        </w:div>
        <w:div w:id="1741709615">
          <w:marLeft w:val="0"/>
          <w:marRight w:val="0"/>
          <w:marTop w:val="0"/>
          <w:marBottom w:val="0"/>
          <w:divBdr>
            <w:top w:val="none" w:sz="0" w:space="0" w:color="auto"/>
            <w:left w:val="none" w:sz="0" w:space="0" w:color="auto"/>
            <w:bottom w:val="none" w:sz="0" w:space="0" w:color="auto"/>
            <w:right w:val="none" w:sz="0" w:space="0" w:color="auto"/>
          </w:divBdr>
          <w:divsChild>
            <w:div w:id="2035496019">
              <w:marLeft w:val="0"/>
              <w:marRight w:val="0"/>
              <w:marTop w:val="0"/>
              <w:marBottom w:val="0"/>
              <w:divBdr>
                <w:top w:val="none" w:sz="0" w:space="0" w:color="auto"/>
                <w:left w:val="none" w:sz="0" w:space="0" w:color="auto"/>
                <w:bottom w:val="none" w:sz="0" w:space="0" w:color="auto"/>
                <w:right w:val="none" w:sz="0" w:space="0" w:color="auto"/>
              </w:divBdr>
            </w:div>
          </w:divsChild>
        </w:div>
        <w:div w:id="1874347728">
          <w:marLeft w:val="0"/>
          <w:marRight w:val="0"/>
          <w:marTop w:val="0"/>
          <w:marBottom w:val="0"/>
          <w:divBdr>
            <w:top w:val="none" w:sz="0" w:space="0" w:color="auto"/>
            <w:left w:val="none" w:sz="0" w:space="0" w:color="auto"/>
            <w:bottom w:val="none" w:sz="0" w:space="0" w:color="auto"/>
            <w:right w:val="none" w:sz="0" w:space="0" w:color="auto"/>
          </w:divBdr>
          <w:divsChild>
            <w:div w:id="1444305659">
              <w:marLeft w:val="0"/>
              <w:marRight w:val="0"/>
              <w:marTop w:val="0"/>
              <w:marBottom w:val="0"/>
              <w:divBdr>
                <w:top w:val="none" w:sz="0" w:space="0" w:color="auto"/>
                <w:left w:val="none" w:sz="0" w:space="0" w:color="auto"/>
                <w:bottom w:val="none" w:sz="0" w:space="0" w:color="auto"/>
                <w:right w:val="none" w:sz="0" w:space="0" w:color="auto"/>
              </w:divBdr>
            </w:div>
          </w:divsChild>
        </w:div>
        <w:div w:id="1979069347">
          <w:marLeft w:val="0"/>
          <w:marRight w:val="0"/>
          <w:marTop w:val="0"/>
          <w:marBottom w:val="0"/>
          <w:divBdr>
            <w:top w:val="none" w:sz="0" w:space="0" w:color="auto"/>
            <w:left w:val="none" w:sz="0" w:space="0" w:color="auto"/>
            <w:bottom w:val="none" w:sz="0" w:space="0" w:color="auto"/>
            <w:right w:val="none" w:sz="0" w:space="0" w:color="auto"/>
          </w:divBdr>
          <w:divsChild>
            <w:div w:id="165823689">
              <w:marLeft w:val="0"/>
              <w:marRight w:val="0"/>
              <w:marTop w:val="0"/>
              <w:marBottom w:val="0"/>
              <w:divBdr>
                <w:top w:val="none" w:sz="0" w:space="0" w:color="auto"/>
                <w:left w:val="none" w:sz="0" w:space="0" w:color="auto"/>
                <w:bottom w:val="none" w:sz="0" w:space="0" w:color="auto"/>
                <w:right w:val="none" w:sz="0" w:space="0" w:color="auto"/>
              </w:divBdr>
            </w:div>
          </w:divsChild>
        </w:div>
        <w:div w:id="2077698134">
          <w:marLeft w:val="0"/>
          <w:marRight w:val="0"/>
          <w:marTop w:val="0"/>
          <w:marBottom w:val="0"/>
          <w:divBdr>
            <w:top w:val="none" w:sz="0" w:space="0" w:color="auto"/>
            <w:left w:val="none" w:sz="0" w:space="0" w:color="auto"/>
            <w:bottom w:val="none" w:sz="0" w:space="0" w:color="auto"/>
            <w:right w:val="none" w:sz="0" w:space="0" w:color="auto"/>
          </w:divBdr>
          <w:divsChild>
            <w:div w:id="1437752236">
              <w:marLeft w:val="0"/>
              <w:marRight w:val="0"/>
              <w:marTop w:val="0"/>
              <w:marBottom w:val="0"/>
              <w:divBdr>
                <w:top w:val="none" w:sz="0" w:space="0" w:color="auto"/>
                <w:left w:val="none" w:sz="0" w:space="0" w:color="auto"/>
                <w:bottom w:val="none" w:sz="0" w:space="0" w:color="auto"/>
                <w:right w:val="none" w:sz="0" w:space="0" w:color="auto"/>
              </w:divBdr>
            </w:div>
          </w:divsChild>
        </w:div>
        <w:div w:id="2110853510">
          <w:marLeft w:val="0"/>
          <w:marRight w:val="0"/>
          <w:marTop w:val="0"/>
          <w:marBottom w:val="0"/>
          <w:divBdr>
            <w:top w:val="none" w:sz="0" w:space="0" w:color="auto"/>
            <w:left w:val="none" w:sz="0" w:space="0" w:color="auto"/>
            <w:bottom w:val="none" w:sz="0" w:space="0" w:color="auto"/>
            <w:right w:val="none" w:sz="0" w:space="0" w:color="auto"/>
          </w:divBdr>
          <w:divsChild>
            <w:div w:id="1752701250">
              <w:marLeft w:val="0"/>
              <w:marRight w:val="0"/>
              <w:marTop w:val="0"/>
              <w:marBottom w:val="0"/>
              <w:divBdr>
                <w:top w:val="none" w:sz="0" w:space="0" w:color="auto"/>
                <w:left w:val="none" w:sz="0" w:space="0" w:color="auto"/>
                <w:bottom w:val="none" w:sz="0" w:space="0" w:color="auto"/>
                <w:right w:val="none" w:sz="0" w:space="0" w:color="auto"/>
              </w:divBdr>
            </w:div>
          </w:divsChild>
        </w:div>
        <w:div w:id="2136483983">
          <w:marLeft w:val="0"/>
          <w:marRight w:val="0"/>
          <w:marTop w:val="0"/>
          <w:marBottom w:val="0"/>
          <w:divBdr>
            <w:top w:val="none" w:sz="0" w:space="0" w:color="auto"/>
            <w:left w:val="none" w:sz="0" w:space="0" w:color="auto"/>
            <w:bottom w:val="none" w:sz="0" w:space="0" w:color="auto"/>
            <w:right w:val="none" w:sz="0" w:space="0" w:color="auto"/>
          </w:divBdr>
          <w:divsChild>
            <w:div w:id="1185827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0.png"/><Relationship Id="rId21" Type="http://schemas.openxmlformats.org/officeDocument/2006/relationships/header" Target="header4.xml"/><Relationship Id="rId42" Type="http://schemas.openxmlformats.org/officeDocument/2006/relationships/hyperlink" Target="https://aiatsis.gov.au/sites/default/files/2020-10/aiatsis-code-ethics.pdf" TargetMode="External"/><Relationship Id="rId63" Type="http://schemas.openxmlformats.org/officeDocument/2006/relationships/chart" Target="charts/chart14.xml"/><Relationship Id="rId84" Type="http://schemas.openxmlformats.org/officeDocument/2006/relationships/chart" Target="charts/chart25.xml"/><Relationship Id="rId138" Type="http://schemas.openxmlformats.org/officeDocument/2006/relationships/chart" Target="charts/chart45.xml"/><Relationship Id="rId107" Type="http://schemas.openxmlformats.org/officeDocument/2006/relationships/chart" Target="charts/chart33.xml"/><Relationship Id="rId11" Type="http://schemas.openxmlformats.org/officeDocument/2006/relationships/image" Target="media/image4.png"/><Relationship Id="rId32" Type="http://schemas.openxmlformats.org/officeDocument/2006/relationships/header" Target="header7.xml"/><Relationship Id="rId53" Type="http://schemas.openxmlformats.org/officeDocument/2006/relationships/chart" Target="charts/chart7.xml"/><Relationship Id="rId74" Type="http://schemas.openxmlformats.org/officeDocument/2006/relationships/footer" Target="footer7.xml"/><Relationship Id="rId128" Type="http://schemas.openxmlformats.org/officeDocument/2006/relationships/footer" Target="footer8.xml"/><Relationship Id="rId5" Type="http://schemas.openxmlformats.org/officeDocument/2006/relationships/webSettings" Target="webSettings.xml"/><Relationship Id="rId90" Type="http://schemas.openxmlformats.org/officeDocument/2006/relationships/image" Target="media/image30.png"/><Relationship Id="rId95" Type="http://schemas.openxmlformats.org/officeDocument/2006/relationships/chart" Target="charts/chart29.xml"/><Relationship Id="rId22" Type="http://schemas.openxmlformats.org/officeDocument/2006/relationships/header" Target="header5.xml"/><Relationship Id="rId27" Type="http://schemas.openxmlformats.org/officeDocument/2006/relationships/hyperlink" Target="https://www.dss.gov.au/child-protection/resource/national-framework-protecting-australias-children-2021-2031-0" TargetMode="External"/><Relationship Id="rId43" Type="http://schemas.openxmlformats.org/officeDocument/2006/relationships/hyperlink" Target="https://www.nhmrc.gov.au/about-us/publications/ethical-conduct-research-aboriginal-and-torres-strait-islander-peoples-and-communities" TargetMode="External"/><Relationship Id="rId48" Type="http://schemas.openxmlformats.org/officeDocument/2006/relationships/image" Target="media/image19.png"/><Relationship Id="rId64" Type="http://schemas.openxmlformats.org/officeDocument/2006/relationships/footer" Target="footer3.xml"/><Relationship Id="rId69" Type="http://schemas.openxmlformats.org/officeDocument/2006/relationships/footer" Target="footer6.xml"/><Relationship Id="rId113" Type="http://schemas.openxmlformats.org/officeDocument/2006/relationships/image" Target="media/image38.png"/><Relationship Id="rId118" Type="http://schemas.openxmlformats.org/officeDocument/2006/relationships/image" Target="media/image41.png"/><Relationship Id="rId134" Type="http://schemas.openxmlformats.org/officeDocument/2006/relationships/image" Target="media/image49.png"/><Relationship Id="rId139" Type="http://schemas.openxmlformats.org/officeDocument/2006/relationships/chart" Target="charts/chart46.xml"/><Relationship Id="rId80" Type="http://schemas.openxmlformats.org/officeDocument/2006/relationships/image" Target="media/image26.png"/><Relationship Id="rId85" Type="http://schemas.openxmlformats.org/officeDocument/2006/relationships/chart" Target="charts/chart26.xml"/><Relationship Id="rId12" Type="http://schemas.openxmlformats.org/officeDocument/2006/relationships/image" Target="media/image5.jpeg"/><Relationship Id="rId17" Type="http://schemas.openxmlformats.org/officeDocument/2006/relationships/image" Target="media/image7.png"/><Relationship Id="rId33" Type="http://schemas.openxmlformats.org/officeDocument/2006/relationships/footer" Target="footer2.xml"/><Relationship Id="rId38" Type="http://schemas.openxmlformats.org/officeDocument/2006/relationships/header" Target="header11.xml"/><Relationship Id="rId59" Type="http://schemas.openxmlformats.org/officeDocument/2006/relationships/image" Target="media/image22.svg"/><Relationship Id="rId103" Type="http://schemas.openxmlformats.org/officeDocument/2006/relationships/hyperlink" Target="https://www.closingthegap.gov.au/node/26" TargetMode="External"/><Relationship Id="rId108" Type="http://schemas.openxmlformats.org/officeDocument/2006/relationships/chart" Target="charts/chart34.xml"/><Relationship Id="rId124" Type="http://schemas.openxmlformats.org/officeDocument/2006/relationships/image" Target="media/image45.png"/><Relationship Id="rId129" Type="http://schemas.openxmlformats.org/officeDocument/2006/relationships/image" Target="media/image48.png"/><Relationship Id="rId54" Type="http://schemas.openxmlformats.org/officeDocument/2006/relationships/chart" Target="charts/chart8.xml"/><Relationship Id="rId70" Type="http://schemas.openxmlformats.org/officeDocument/2006/relationships/image" Target="media/image23.png"/><Relationship Id="rId75" Type="http://schemas.openxmlformats.org/officeDocument/2006/relationships/image" Target="media/image24.png"/><Relationship Id="rId91" Type="http://schemas.openxmlformats.org/officeDocument/2006/relationships/image" Target="media/image31.png"/><Relationship Id="rId96" Type="http://schemas.openxmlformats.org/officeDocument/2006/relationships/chart" Target="charts/chart30.xml"/><Relationship Id="rId140" Type="http://schemas.openxmlformats.org/officeDocument/2006/relationships/chart" Target="charts/chart47.xml"/><Relationship Id="rId14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1.png"/><Relationship Id="rId28" Type="http://schemas.openxmlformats.org/officeDocument/2006/relationships/hyperlink" Target="https://www.dss.gov.au/australias-disability-strategy" TargetMode="External"/><Relationship Id="rId49" Type="http://schemas.openxmlformats.org/officeDocument/2006/relationships/chart" Target="charts/chart3.xml"/><Relationship Id="rId114" Type="http://schemas.openxmlformats.org/officeDocument/2006/relationships/image" Target="media/image39.png"/><Relationship Id="rId119" Type="http://schemas.openxmlformats.org/officeDocument/2006/relationships/chart" Target="charts/chart39.xml"/><Relationship Id="rId44" Type="http://schemas.openxmlformats.org/officeDocument/2006/relationships/image" Target="media/image15.png"/><Relationship Id="rId60" Type="http://schemas.openxmlformats.org/officeDocument/2006/relationships/chart" Target="charts/chart11.xml"/><Relationship Id="rId65" Type="http://schemas.openxmlformats.org/officeDocument/2006/relationships/footer" Target="footer4.xml"/><Relationship Id="rId81" Type="http://schemas.openxmlformats.org/officeDocument/2006/relationships/image" Target="media/image27.png"/><Relationship Id="rId86" Type="http://schemas.openxmlformats.org/officeDocument/2006/relationships/image" Target="media/image28.png"/><Relationship Id="rId130" Type="http://schemas.openxmlformats.org/officeDocument/2006/relationships/header" Target="header12.xml"/><Relationship Id="rId135" Type="http://schemas.openxmlformats.org/officeDocument/2006/relationships/chart" Target="charts/chart42.xml"/><Relationship Id="rId13" Type="http://schemas.openxmlformats.org/officeDocument/2006/relationships/header" Target="header1.xml"/><Relationship Id="rId18" Type="http://schemas.openxmlformats.org/officeDocument/2006/relationships/image" Target="media/image8.png"/><Relationship Id="rId39" Type="http://schemas.openxmlformats.org/officeDocument/2006/relationships/image" Target="media/image13.jpeg"/><Relationship Id="rId109" Type="http://schemas.openxmlformats.org/officeDocument/2006/relationships/image" Target="media/image36.png"/><Relationship Id="rId34" Type="http://schemas.openxmlformats.org/officeDocument/2006/relationships/header" Target="header8.xml"/><Relationship Id="rId50" Type="http://schemas.openxmlformats.org/officeDocument/2006/relationships/chart" Target="charts/chart4.xml"/><Relationship Id="rId55" Type="http://schemas.openxmlformats.org/officeDocument/2006/relationships/image" Target="media/image20.png"/><Relationship Id="rId76" Type="http://schemas.openxmlformats.org/officeDocument/2006/relationships/chart" Target="charts/chart20.xml"/><Relationship Id="rId97" Type="http://schemas.openxmlformats.org/officeDocument/2006/relationships/image" Target="media/image32.png"/><Relationship Id="rId104" Type="http://schemas.openxmlformats.org/officeDocument/2006/relationships/hyperlink" Target="https://www.dss.gov.au/national-plan-end-gender-based-violence/resource/aboriginal-and-torres-strait-islander-action-plan-2023-2025" TargetMode="External"/><Relationship Id="rId120" Type="http://schemas.openxmlformats.org/officeDocument/2006/relationships/chart" Target="charts/chart40.xml"/><Relationship Id="rId125" Type="http://schemas.openxmlformats.org/officeDocument/2006/relationships/image" Target="media/image46.png"/><Relationship Id="rId141" Type="http://schemas.openxmlformats.org/officeDocument/2006/relationships/chart" Target="charts/chart48.xml"/><Relationship Id="rId14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chart" Target="charts/chart17.xml"/><Relationship Id="rId92" Type="http://schemas.openxmlformats.org/officeDocument/2006/relationships/hyperlink" Target="https://www.closingthegap.gov.au/node/26" TargetMode="External"/><Relationship Id="rId2" Type="http://schemas.openxmlformats.org/officeDocument/2006/relationships/numbering" Target="numbering.xml"/><Relationship Id="rId29" Type="http://schemas.openxmlformats.org/officeDocument/2006/relationships/hyperlink" Target="https://www.health.gov.au/resources/publications/the-australian-governments-national-mental-health-and-suicide-prevention-plan?language=en" TargetMode="External"/><Relationship Id="rId24" Type="http://schemas.openxmlformats.org/officeDocument/2006/relationships/chart" Target="charts/chart1.xml"/><Relationship Id="rId40" Type="http://schemas.openxmlformats.org/officeDocument/2006/relationships/image" Target="media/image14.png"/><Relationship Id="rId45" Type="http://schemas.openxmlformats.org/officeDocument/2006/relationships/image" Target="media/image16.png"/><Relationship Id="rId66" Type="http://schemas.openxmlformats.org/officeDocument/2006/relationships/chart" Target="charts/chart15.xml"/><Relationship Id="rId87" Type="http://schemas.openxmlformats.org/officeDocument/2006/relationships/image" Target="media/image29.png"/><Relationship Id="rId110" Type="http://schemas.openxmlformats.org/officeDocument/2006/relationships/image" Target="media/image37.png"/><Relationship Id="rId115" Type="http://schemas.openxmlformats.org/officeDocument/2006/relationships/chart" Target="charts/chart37.xml"/><Relationship Id="rId131" Type="http://schemas.openxmlformats.org/officeDocument/2006/relationships/header" Target="header13.xml"/><Relationship Id="rId136" Type="http://schemas.openxmlformats.org/officeDocument/2006/relationships/chart" Target="charts/chart43.xml"/><Relationship Id="rId61" Type="http://schemas.openxmlformats.org/officeDocument/2006/relationships/chart" Target="charts/chart12.xml"/><Relationship Id="rId82" Type="http://schemas.openxmlformats.org/officeDocument/2006/relationships/chart" Target="charts/chart23.xml"/><Relationship Id="rId19" Type="http://schemas.openxmlformats.org/officeDocument/2006/relationships/image" Target="media/image9.jpeg"/><Relationship Id="rId14" Type="http://schemas.openxmlformats.org/officeDocument/2006/relationships/footer" Target="footer1.xml"/><Relationship Id="rId30" Type="http://schemas.openxmlformats.org/officeDocument/2006/relationships/hyperlink" Target="https://www.closingthegap.gov.au/national-agreement" TargetMode="External"/><Relationship Id="rId35" Type="http://schemas.openxmlformats.org/officeDocument/2006/relationships/image" Target="media/image12.jpeg"/><Relationship Id="rId56" Type="http://schemas.openxmlformats.org/officeDocument/2006/relationships/chart" Target="charts/chart9.xml"/><Relationship Id="rId77" Type="http://schemas.openxmlformats.org/officeDocument/2006/relationships/chart" Target="charts/chart21.xml"/><Relationship Id="rId100" Type="http://schemas.openxmlformats.org/officeDocument/2006/relationships/chart" Target="charts/chart32.xml"/><Relationship Id="rId105" Type="http://schemas.openxmlformats.org/officeDocument/2006/relationships/hyperlink" Target="https://www.dss.gov.au/national-plan-end-gender-based-violence/resource/aboriginal-and-torres-strait-islander-action-plan-2023-2025" TargetMode="External"/><Relationship Id="rId126" Type="http://schemas.openxmlformats.org/officeDocument/2006/relationships/chart" Target="charts/chart41.xml"/><Relationship Id="rId8" Type="http://schemas.openxmlformats.org/officeDocument/2006/relationships/image" Target="media/image1.jpeg"/><Relationship Id="rId51" Type="http://schemas.openxmlformats.org/officeDocument/2006/relationships/chart" Target="charts/chart5.xml"/><Relationship Id="rId72" Type="http://schemas.openxmlformats.org/officeDocument/2006/relationships/chart" Target="charts/chart18.xml"/><Relationship Id="rId93" Type="http://schemas.openxmlformats.org/officeDocument/2006/relationships/hyperlink" Target="https://www.dss.gov.au/national-plan-end-gender-based-violence/resource/aboriginal-and-torres-strait-islander-action-plan-2023-2025" TargetMode="External"/><Relationship Id="rId98" Type="http://schemas.openxmlformats.org/officeDocument/2006/relationships/image" Target="media/image33.png"/><Relationship Id="rId121" Type="http://schemas.openxmlformats.org/officeDocument/2006/relationships/image" Target="media/image42.png"/><Relationship Id="rId142" Type="http://schemas.openxmlformats.org/officeDocument/2006/relationships/chart" Target="charts/chart49.xml"/><Relationship Id="rId3" Type="http://schemas.openxmlformats.org/officeDocument/2006/relationships/styles" Target="styles.xml"/><Relationship Id="rId25" Type="http://schemas.openxmlformats.org/officeDocument/2006/relationships/chart" Target="charts/chart2.xml"/><Relationship Id="rId46" Type="http://schemas.openxmlformats.org/officeDocument/2006/relationships/image" Target="media/image17.jpeg"/><Relationship Id="rId67" Type="http://schemas.openxmlformats.org/officeDocument/2006/relationships/chart" Target="charts/chart16.xml"/><Relationship Id="rId116" Type="http://schemas.openxmlformats.org/officeDocument/2006/relationships/chart" Target="charts/chart38.xml"/><Relationship Id="rId137" Type="http://schemas.openxmlformats.org/officeDocument/2006/relationships/chart" Target="charts/chart44.xml"/><Relationship Id="rId20" Type="http://schemas.openxmlformats.org/officeDocument/2006/relationships/header" Target="header3.xml"/><Relationship Id="rId41" Type="http://schemas.openxmlformats.org/officeDocument/2006/relationships/hyperlink" Target="https://www.nhmrc.gov.au/about-us/resources/ethical-conduct-research-aboriginal-and-torres-strait-islander-peoples-and-communities" TargetMode="External"/><Relationship Id="rId62" Type="http://schemas.openxmlformats.org/officeDocument/2006/relationships/chart" Target="charts/chart13.xml"/><Relationship Id="rId83" Type="http://schemas.openxmlformats.org/officeDocument/2006/relationships/chart" Target="charts/chart24.xml"/><Relationship Id="rId88" Type="http://schemas.openxmlformats.org/officeDocument/2006/relationships/chart" Target="charts/chart27.xml"/><Relationship Id="rId111" Type="http://schemas.openxmlformats.org/officeDocument/2006/relationships/chart" Target="charts/chart35.xml"/><Relationship Id="rId132" Type="http://schemas.openxmlformats.org/officeDocument/2006/relationships/footer" Target="footer9.xml"/><Relationship Id="rId15" Type="http://schemas.openxmlformats.org/officeDocument/2006/relationships/header" Target="header2.xml"/><Relationship Id="rId36" Type="http://schemas.openxmlformats.org/officeDocument/2006/relationships/header" Target="header9.xml"/><Relationship Id="rId57" Type="http://schemas.openxmlformats.org/officeDocument/2006/relationships/chart" Target="charts/chart10.xml"/><Relationship Id="rId106" Type="http://schemas.openxmlformats.org/officeDocument/2006/relationships/hyperlink" Target="https://www.dss.gov.au/national-plan-end-gender-based-violence/resource/aboriginal-and-torres-strait-islander-action-plan-2023-2025" TargetMode="External"/><Relationship Id="rId127" Type="http://schemas.openxmlformats.org/officeDocument/2006/relationships/image" Target="media/image47.png"/><Relationship Id="rId10" Type="http://schemas.openxmlformats.org/officeDocument/2006/relationships/image" Target="media/image3.png"/><Relationship Id="rId31" Type="http://schemas.openxmlformats.org/officeDocument/2006/relationships/header" Target="header6.xml"/><Relationship Id="rId52" Type="http://schemas.openxmlformats.org/officeDocument/2006/relationships/chart" Target="charts/chart6.xml"/><Relationship Id="rId73" Type="http://schemas.openxmlformats.org/officeDocument/2006/relationships/chart" Target="charts/chart19.xml"/><Relationship Id="rId78" Type="http://schemas.openxmlformats.org/officeDocument/2006/relationships/chart" Target="charts/chart22.xml"/><Relationship Id="rId94" Type="http://schemas.openxmlformats.org/officeDocument/2006/relationships/hyperlink" Target="https://www.dss.gov.au/national-plan-end-gender-based-violence/resource/national-plan-end-violence-against-women-and-children-2022-2032" TargetMode="External"/><Relationship Id="rId99" Type="http://schemas.openxmlformats.org/officeDocument/2006/relationships/chart" Target="charts/chart31.xml"/><Relationship Id="rId101" Type="http://schemas.openxmlformats.org/officeDocument/2006/relationships/image" Target="media/image34.png"/><Relationship Id="rId122" Type="http://schemas.openxmlformats.org/officeDocument/2006/relationships/image" Target="media/image43.png"/><Relationship Id="rId143" Type="http://schemas.openxmlformats.org/officeDocument/2006/relationships/chart" Target="charts/chart50.xml"/><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hyperlink" Target="https://www.dss.gov.au/national-plan-end-gender-based-violence/resource/national-plan-end-violence-against-women-and-children-2022-2032" TargetMode="External"/><Relationship Id="rId47" Type="http://schemas.openxmlformats.org/officeDocument/2006/relationships/image" Target="media/image18.png"/><Relationship Id="rId68" Type="http://schemas.openxmlformats.org/officeDocument/2006/relationships/footer" Target="footer5.xml"/><Relationship Id="rId89" Type="http://schemas.openxmlformats.org/officeDocument/2006/relationships/chart" Target="charts/chart28.xml"/><Relationship Id="rId112" Type="http://schemas.openxmlformats.org/officeDocument/2006/relationships/chart" Target="charts/chart36.xml"/><Relationship Id="rId133" Type="http://schemas.openxmlformats.org/officeDocument/2006/relationships/header" Target="header14.xml"/><Relationship Id="rId16" Type="http://schemas.openxmlformats.org/officeDocument/2006/relationships/image" Target="media/image6.png"/><Relationship Id="rId37" Type="http://schemas.openxmlformats.org/officeDocument/2006/relationships/header" Target="header10.xml"/><Relationship Id="rId58" Type="http://schemas.openxmlformats.org/officeDocument/2006/relationships/image" Target="media/image21.png"/><Relationship Id="rId79" Type="http://schemas.openxmlformats.org/officeDocument/2006/relationships/image" Target="media/image25.png"/><Relationship Id="rId102" Type="http://schemas.openxmlformats.org/officeDocument/2006/relationships/image" Target="media/image35.png"/><Relationship Id="rId123" Type="http://schemas.openxmlformats.org/officeDocument/2006/relationships/image" Target="media/image44.png"/><Relationship Id="rId144" Type="http://schemas.openxmlformats.org/officeDocument/2006/relationships/image" Target="media/image50.jpeg"/></Relationships>
</file>

<file path=word/_rels/footnotes.xml.rels><?xml version="1.0" encoding="UTF-8" standalone="yes"?>
<Relationships xmlns="http://schemas.openxmlformats.org/package/2006/relationships"><Relationship Id="rId1" Type="http://schemas.openxmlformats.org/officeDocument/2006/relationships/hyperlink" Target="https://www.pmc.gov.au/resources/pmc-inclusion-and-diversity-strategy-2023-26/understanding-inclusion-and-diversity" TargetMode="External"/></Relationships>
</file>

<file path=word/_rels/header10.xml.rels><?xml version="1.0" encoding="UTF-8" standalone="yes"?>
<Relationships xmlns="http://schemas.openxmlformats.org/package/2006/relationships"><Relationship Id="rId1" Type="http://schemas.openxmlformats.org/officeDocument/2006/relationships/image" Target="media/image10.jpeg"/></Relationships>
</file>

<file path=word/_rels/header4.xml.rels><?xml version="1.0" encoding="UTF-8" standalone="yes"?>
<Relationships xmlns="http://schemas.openxmlformats.org/package/2006/relationships"><Relationship Id="rId1" Type="http://schemas.openxmlformats.org/officeDocument/2006/relationships/image" Target="media/image10.jpeg"/></Relationships>
</file>

<file path=word/charts/_rels/chart1.xml.rels><?xml version="1.0" encoding="UTF-8" standalone="yes"?>
<Relationships xmlns="http://schemas.openxmlformats.org/package/2006/relationships"><Relationship Id="rId3" Type="http://schemas.openxmlformats.org/officeDocument/2006/relationships/oleObject" Target="https://allenandclarke.sharepoint.com/australia/Work/CTH_DSS%20FaRS%20SFVS/04%20Deliverables/Evaluation%20reports/Final%20evaluation%20report/Revised%20finance%20graphs.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https://allenandclarke.sharepoint.com/australia/Work/CTH_DSS%20FaRS%20SFVS/04%20Deliverables/Data%20collection%20and%20analysis/Surveys/Survey%20results%20and%20analysis/Copy%20of%20Final%20survey%20data_BJ.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https://allenandclarke.sharepoint.com/australia/Work/CTH_DSS%20FaRS%20SFVS/04%20Deliverables/Data%20collection%20and%20analysis/Surveys/Survey%20results%20and%20analysis/Copy%20of%20Final%20survey%20data_BJ.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https://allenandclarke.sharepoint.com/australia/Work/CTH_DSS%20FaRS%20SFVS/04%20Deliverables/Data%20collection%20and%20analysis/Surveys/Survey%20results%20and%20analysis/Copy%20of%20Final%20survey%20data_BJ.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https://allenandclarke.sharepoint.com/australia/Work/CTH_DSS%20FaRS%20SFVS/04%20Deliverables/Data%20collection%20and%20analysis/Surveys/Survey%20results%20and%20analysis/Copy%20of%20Final%20survey%20data_BJ.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https://allenandclarke.sharepoint.com/australia/Work/CTH_DSS%20FaRS%20SFVS/04%20Deliverables/Data%20collection%20and%20analysis/Surveys/Survey%20results%20and%20analysis/Copy%20of%20Final%20survey%20data_BJ.xlsx"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https://allenandclarke.sharepoint.com/australia/Work/CTH_DSS%20FaRS%20SFVS/04%20Deliverables/Evaluation%20reports/Final%20evaluation%20report/Chris%20and%20Boyd%20report%20contributions/Boyd's%20edits/earliest_latest_by_activity_redo.xlsx" TargetMode="External"/><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oleObject" Target="https://allenandclarke.sharepoint.com/australia/Work/CTH_DSS%20FaRS%20SFVS/04%20Deliverables/Evaluation%20reports/Final%20evaluation%20report/Chris%20and%20Boyd%20report%20contributions/Boyd's%20edits/earliest_latest_by_u18_redo.xlsx" TargetMode="External"/><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oleObject" Target="https://allenandclarke.sharepoint.com/australia/Work/CTH_DSS%20FaRS%20SFVS/04%20Deliverables/Data%20collection%20and%20analysis/Surveys/Survey%20results%20and%20analysis/Copy%20of%20Final%20survey%20data_BJ.xlsx" TargetMode="External"/><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oleObject" Target="https://allenandclarke.sharepoint.com/australia/Work/CTH_DSS%20FaRS%20SFVS/04%20Deliverables/Data%20collection%20and%20analysis/Surveys/Survey%20results%20and%20analysis/Copy%20of%20Final%20survey%20data_BJ.xlsx" TargetMode="External"/><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9.xml"/><Relationship Id="rId1" Type="http://schemas.microsoft.com/office/2011/relationships/chartStyle" Target="style19.xml"/><Relationship Id="rId4"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3" Type="http://schemas.openxmlformats.org/officeDocument/2006/relationships/oleObject" Target="https://allenandclarke.sharepoint.com/australia/Work/CTH_DSS%20FaRS%20SFVS/04%20Deliverables/Evaluation%20reports/Final%20evaluation%20report/Revised%20finance%20graphs.xlsx" TargetMode="External"/><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oleObject" Target="https://allenandclarke.sharepoint.com/australia/Work/CTH_DSS%20FaRS%20SFVS/04%20Deliverables/Data%20collection%20and%20analysis/Surveys/Survey%20results%20and%20analysis/Copy%20of%20Final%20survey%20data_BJ.xlsx" TargetMode="External"/><Relationship Id="rId2" Type="http://schemas.microsoft.com/office/2011/relationships/chartColorStyle" Target="colors20.xml"/><Relationship Id="rId1" Type="http://schemas.microsoft.com/office/2011/relationships/chartStyle" Target="style20.xml"/></Relationships>
</file>

<file path=word/charts/_rels/chart21.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1.xml"/><Relationship Id="rId1" Type="http://schemas.microsoft.com/office/2011/relationships/chartStyle" Target="style21.xml"/></Relationships>
</file>

<file path=word/charts/_rels/chart22.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22.xml"/><Relationship Id="rId1" Type="http://schemas.microsoft.com/office/2011/relationships/chartStyle" Target="style22.xml"/></Relationships>
</file>

<file path=word/charts/_rels/chart23.xml.rels><?xml version="1.0" encoding="UTF-8" standalone="yes"?>
<Relationships xmlns="http://schemas.openxmlformats.org/package/2006/relationships"><Relationship Id="rId3" Type="http://schemas.openxmlformats.org/officeDocument/2006/relationships/oleObject" Target="https://allenandclarke.sharepoint.com/australia/Work/CTH_DSS%20FaRS%20SFVS/04%20Deliverables/Data%20collection%20and%20analysis/Surveys/Survey%20results%20and%20analysis/Copy%20of%20Final%20survey%20data_BJ.xlsx" TargetMode="External"/><Relationship Id="rId2" Type="http://schemas.microsoft.com/office/2011/relationships/chartColorStyle" Target="colors23.xml"/><Relationship Id="rId1" Type="http://schemas.microsoft.com/office/2011/relationships/chartStyle" Target="style23.xml"/></Relationships>
</file>

<file path=word/charts/_rels/chart24.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4.xml"/><Relationship Id="rId1" Type="http://schemas.microsoft.com/office/2011/relationships/chartStyle" Target="style24.xml"/><Relationship Id="rId4" Type="http://schemas.openxmlformats.org/officeDocument/2006/relationships/package" Target="../embeddings/Microsoft_Excel_Worksheet3.xlsx"/></Relationships>
</file>

<file path=word/charts/_rels/chart25.xml.rels><?xml version="1.0" encoding="UTF-8" standalone="yes"?>
<Relationships xmlns="http://schemas.openxmlformats.org/package/2006/relationships"><Relationship Id="rId3" Type="http://schemas.openxmlformats.org/officeDocument/2006/relationships/oleObject" Target="https://allenandclarke.sharepoint.com/australia/Work/CTH_DSS%20FaRS%20SFVS/04%20Deliverables/Evaluation%20reports/Final%20evaluation%20report/Chris%20and%20Boyd%20report%20contributions/Boyd's%20edits/earliest_latest_by_gender_redo.xlsx" TargetMode="External"/><Relationship Id="rId2" Type="http://schemas.microsoft.com/office/2011/relationships/chartColorStyle" Target="colors25.xml"/><Relationship Id="rId1" Type="http://schemas.microsoft.com/office/2011/relationships/chartStyle" Target="style25.xml"/></Relationships>
</file>

<file path=word/charts/_rels/chart26.xml.rels><?xml version="1.0" encoding="UTF-8" standalone="yes"?>
<Relationships xmlns="http://schemas.openxmlformats.org/package/2006/relationships"><Relationship Id="rId3" Type="http://schemas.openxmlformats.org/officeDocument/2006/relationships/oleObject" Target="https://allenandclarke.sharepoint.com/australia/Work/CTH_DSS%20FaRS%20SFVS/04%20Deliverables/Evaluation%20reports/Final%20evaluation%20report/Chris%20and%20Boyd%20report%20contributions/Boyd's%20edits/earliest_latest_by_gender_redo.xlsx" TargetMode="External"/><Relationship Id="rId2" Type="http://schemas.microsoft.com/office/2011/relationships/chartColorStyle" Target="colors26.xml"/><Relationship Id="rId1" Type="http://schemas.microsoft.com/office/2011/relationships/chartStyle" Target="style26.xml"/></Relationships>
</file>

<file path=word/charts/_rels/chart27.xml.rels><?xml version="1.0" encoding="UTF-8" standalone="yes"?>
<Relationships xmlns="http://schemas.openxmlformats.org/package/2006/relationships"><Relationship Id="rId3" Type="http://schemas.openxmlformats.org/officeDocument/2006/relationships/oleObject" Target="https://allenandclarke.sharepoint.com/australia/Work/CTH_DSS%20FaRS%20SFVS/04%20Deliverables/Evaluation%20reports/Final%20evaluation%20report/Chris%20and%20Boyd%20report%20contributions/Boyd's%20edits/earliest_latest_by_gender_redo.xlsx" TargetMode="External"/><Relationship Id="rId2" Type="http://schemas.microsoft.com/office/2011/relationships/chartColorStyle" Target="colors27.xml"/><Relationship Id="rId1" Type="http://schemas.microsoft.com/office/2011/relationships/chartStyle" Target="style27.xml"/></Relationships>
</file>

<file path=word/charts/_rels/chart28.xml.rels><?xml version="1.0" encoding="UTF-8" standalone="yes"?>
<Relationships xmlns="http://schemas.openxmlformats.org/package/2006/relationships"><Relationship Id="rId3" Type="http://schemas.openxmlformats.org/officeDocument/2006/relationships/oleObject" Target="https://allenandclarke.sharepoint.com/australia/Work/CTH_DSS%20FaRS%20SFVS/04%20Deliverables/Evaluation%20reports/Final%20evaluation%20report/Chris%20and%20Boyd%20report%20contributions/Boyd's%20edits/earliest_latest_by_gender_redo.xlsx" TargetMode="External"/><Relationship Id="rId2" Type="http://schemas.microsoft.com/office/2011/relationships/chartColorStyle" Target="colors28.xml"/><Relationship Id="rId1" Type="http://schemas.microsoft.com/office/2011/relationships/chartStyle" Target="style28.xml"/></Relationships>
</file>

<file path=word/charts/_rels/chart29.xml.rels><?xml version="1.0" encoding="UTF-8" standalone="yes"?>
<Relationships xmlns="http://schemas.openxmlformats.org/package/2006/relationships"><Relationship Id="rId3" Type="http://schemas.openxmlformats.org/officeDocument/2006/relationships/oleObject" Target="https://allenandclarke.sharepoint.com/australia/Work/CTH_DSS%20FaRS%20SFVS/04%20Deliverables/Evaluation%20reports/Final%20evaluation%20report/Chris%20and%20Boyd%20report%20contributions/Boyd's%20edits/earliest_latest_by_FN_redo.xlsx" TargetMode="External"/><Relationship Id="rId2" Type="http://schemas.microsoft.com/office/2011/relationships/chartColorStyle" Target="colors29.xml"/><Relationship Id="rId1" Type="http://schemas.microsoft.com/office/2011/relationships/chartStyle" Target="style29.xml"/></Relationships>
</file>

<file path=word/charts/_rels/chart3.xml.rels><?xml version="1.0" encoding="UTF-8" standalone="yes"?>
<Relationships xmlns="http://schemas.openxmlformats.org/package/2006/relationships"><Relationship Id="rId3" Type="http://schemas.openxmlformats.org/officeDocument/2006/relationships/oleObject" Target="https://allenandclarke.sharepoint.com/australia/Work/CTH_DSS%20FaRS%20SFVS/04%20Deliverables/Evaluation%20reports/Final%20evaluation%20report/Session%20information%201.9.25.xlsx" TargetMode="External"/><Relationship Id="rId2" Type="http://schemas.microsoft.com/office/2011/relationships/chartColorStyle" Target="colors3.xml"/><Relationship Id="rId1" Type="http://schemas.microsoft.com/office/2011/relationships/chartStyle" Target="style3.xml"/></Relationships>
</file>

<file path=word/charts/_rels/chart30.xml.rels><?xml version="1.0" encoding="UTF-8" standalone="yes"?>
<Relationships xmlns="http://schemas.openxmlformats.org/package/2006/relationships"><Relationship Id="rId3" Type="http://schemas.openxmlformats.org/officeDocument/2006/relationships/oleObject" Target="https://allenandclarke.sharepoint.com/australia/Work/CTH_DSS%20FaRS%20SFVS/04%20Deliverables/Evaluation%20reports/Final%20evaluation%20report/Chris%20and%20Boyd%20report%20contributions/Boyd's%20edits/earliest_latest_by_FN_redo.xlsx" TargetMode="External"/><Relationship Id="rId2" Type="http://schemas.microsoft.com/office/2011/relationships/chartColorStyle" Target="colors30.xml"/><Relationship Id="rId1" Type="http://schemas.microsoft.com/office/2011/relationships/chartStyle" Target="style30.xml"/></Relationships>
</file>

<file path=word/charts/_rels/chart31.xml.rels><?xml version="1.0" encoding="UTF-8" standalone="yes"?>
<Relationships xmlns="http://schemas.openxmlformats.org/package/2006/relationships"><Relationship Id="rId3" Type="http://schemas.openxmlformats.org/officeDocument/2006/relationships/oleObject" Target="https://allenandclarke.sharepoint.com/australia/Work/CTH_DSS%20FaRS%20SFVS/04%20Deliverables/Evaluation%20reports/Final%20evaluation%20report/Chris%20and%20Boyd%20report%20contributions/Boyd's%20edits/earliest_latest_by_FN_redo.xlsx" TargetMode="External"/><Relationship Id="rId2" Type="http://schemas.microsoft.com/office/2011/relationships/chartColorStyle" Target="colors31.xml"/><Relationship Id="rId1" Type="http://schemas.microsoft.com/office/2011/relationships/chartStyle" Target="style31.xml"/></Relationships>
</file>

<file path=word/charts/_rels/chart32.xml.rels><?xml version="1.0" encoding="UTF-8" standalone="yes"?>
<Relationships xmlns="http://schemas.openxmlformats.org/package/2006/relationships"><Relationship Id="rId3" Type="http://schemas.openxmlformats.org/officeDocument/2006/relationships/oleObject" Target="https://allenandclarke.sharepoint.com/australia/Work/CTH_DSS%20FaRS%20SFVS/04%20Deliverables/Evaluation%20reports/Final%20evaluation%20report/Chris%20and%20Boyd%20report%20contributions/Boyd's%20edits/earliest_latest_by_FN_redo.xlsx" TargetMode="External"/><Relationship Id="rId2" Type="http://schemas.microsoft.com/office/2011/relationships/chartColorStyle" Target="colors32.xml"/><Relationship Id="rId1" Type="http://schemas.microsoft.com/office/2011/relationships/chartStyle" Target="style32.xml"/></Relationships>
</file>

<file path=word/charts/_rels/chart33.xml.rels><?xml version="1.0" encoding="UTF-8" standalone="yes"?>
<Relationships xmlns="http://schemas.openxmlformats.org/package/2006/relationships"><Relationship Id="rId3" Type="http://schemas.openxmlformats.org/officeDocument/2006/relationships/oleObject" Target="https://allenandclarke.sharepoint.com/australia/Work/CTH_DSS%20FaRS%20SFVS/04%20Deliverables/Evaluation%20reports/Final%20evaluation%20report/Chris%20and%20Boyd%20report%20contributions/Boyd's%20edits/earliest_latest_by_cald_redo.xlsx" TargetMode="External"/><Relationship Id="rId2" Type="http://schemas.microsoft.com/office/2011/relationships/chartColorStyle" Target="colors33.xml"/><Relationship Id="rId1" Type="http://schemas.microsoft.com/office/2011/relationships/chartStyle" Target="style33.xml"/></Relationships>
</file>

<file path=word/charts/_rels/chart34.xml.rels><?xml version="1.0" encoding="UTF-8" standalone="yes"?>
<Relationships xmlns="http://schemas.openxmlformats.org/package/2006/relationships"><Relationship Id="rId3" Type="http://schemas.openxmlformats.org/officeDocument/2006/relationships/oleObject" Target="https://allenandclarke.sharepoint.com/australia/Work/CTH_DSS%20FaRS%20SFVS/04%20Deliverables/Evaluation%20reports/Final%20evaluation%20report/Chris%20and%20Boyd%20report%20contributions/Boyd's%20edits/earliest_latest_by_cald_redo.xlsx" TargetMode="External"/><Relationship Id="rId2" Type="http://schemas.microsoft.com/office/2011/relationships/chartColorStyle" Target="colors34.xml"/><Relationship Id="rId1" Type="http://schemas.microsoft.com/office/2011/relationships/chartStyle" Target="style34.xml"/></Relationships>
</file>

<file path=word/charts/_rels/chart35.xml.rels><?xml version="1.0" encoding="UTF-8" standalone="yes"?>
<Relationships xmlns="http://schemas.openxmlformats.org/package/2006/relationships"><Relationship Id="rId3" Type="http://schemas.openxmlformats.org/officeDocument/2006/relationships/oleObject" Target="https://allenandclarke.sharepoint.com/australia/Work/CTH_DSS%20FaRS%20SFVS/04%20Deliverables/Evaluation%20reports/Final%20evaluation%20report/Chris%20and%20Boyd%20report%20contributions/Boyd's%20edits/earliest_latest_by_cald_redo.xlsx" TargetMode="External"/><Relationship Id="rId2" Type="http://schemas.microsoft.com/office/2011/relationships/chartColorStyle" Target="colors35.xml"/><Relationship Id="rId1" Type="http://schemas.microsoft.com/office/2011/relationships/chartStyle" Target="style35.xml"/></Relationships>
</file>

<file path=word/charts/_rels/chart36.xml.rels><?xml version="1.0" encoding="UTF-8" standalone="yes"?>
<Relationships xmlns="http://schemas.openxmlformats.org/package/2006/relationships"><Relationship Id="rId3" Type="http://schemas.openxmlformats.org/officeDocument/2006/relationships/oleObject" Target="https://allenandclarke.sharepoint.com/australia/Work/CTH_DSS%20FaRS%20SFVS/04%20Deliverables/Evaluation%20reports/Final%20evaluation%20report/Chris%20and%20Boyd%20report%20contributions/Boyd's%20edits/earliest_latest_by_cald_redo.xlsx" TargetMode="External"/><Relationship Id="rId2" Type="http://schemas.microsoft.com/office/2011/relationships/chartColorStyle" Target="colors36.xml"/><Relationship Id="rId1" Type="http://schemas.microsoft.com/office/2011/relationships/chartStyle" Target="style36.xml"/></Relationships>
</file>

<file path=word/charts/_rels/chart37.xml.rels><?xml version="1.0" encoding="UTF-8" standalone="yes"?>
<Relationships xmlns="http://schemas.openxmlformats.org/package/2006/relationships"><Relationship Id="rId3" Type="http://schemas.openxmlformats.org/officeDocument/2006/relationships/oleObject" Target="file:///C:\Users\boydp\OneDrive\Desktop\AllenClarke\DSS\cleared_outputs\earliest_latest_RM\earliest_latest_by_disab_redo.xlsx" TargetMode="External"/><Relationship Id="rId2" Type="http://schemas.microsoft.com/office/2011/relationships/chartColorStyle" Target="colors37.xml"/><Relationship Id="rId1" Type="http://schemas.microsoft.com/office/2011/relationships/chartStyle" Target="style37.xml"/></Relationships>
</file>

<file path=word/charts/_rels/chart38.xml.rels><?xml version="1.0" encoding="UTF-8" standalone="yes"?>
<Relationships xmlns="http://schemas.openxmlformats.org/package/2006/relationships"><Relationship Id="rId3" Type="http://schemas.openxmlformats.org/officeDocument/2006/relationships/oleObject" Target="file:///C:\Users\boydp\OneDrive\Desktop\AllenClarke\DSS\cleared_outputs\earliest_latest_RM\earliest_latest_by_disab_redo.xlsx" TargetMode="External"/><Relationship Id="rId2" Type="http://schemas.microsoft.com/office/2011/relationships/chartColorStyle" Target="colors38.xml"/><Relationship Id="rId1" Type="http://schemas.microsoft.com/office/2011/relationships/chartStyle" Target="style38.xml"/></Relationships>
</file>

<file path=word/charts/_rels/chart39.xml.rels><?xml version="1.0" encoding="UTF-8" standalone="yes"?>
<Relationships xmlns="http://schemas.openxmlformats.org/package/2006/relationships"><Relationship Id="rId3" Type="http://schemas.openxmlformats.org/officeDocument/2006/relationships/oleObject" Target="file:///C:\Users\boydp\OneDrive\Desktop\AllenClarke\DSS\cleared_outputs\earliest_latest_RM\earliest_latest_by_disab_redo.xlsx" TargetMode="External"/><Relationship Id="rId2" Type="http://schemas.microsoft.com/office/2011/relationships/chartColorStyle" Target="colors39.xml"/><Relationship Id="rId1" Type="http://schemas.microsoft.com/office/2011/relationships/chartStyle" Target="style39.xml"/></Relationships>
</file>

<file path=word/charts/_rels/chart4.xml.rels><?xml version="1.0" encoding="UTF-8" standalone="yes"?>
<Relationships xmlns="http://schemas.openxmlformats.org/package/2006/relationships"><Relationship Id="rId3" Type="http://schemas.openxmlformats.org/officeDocument/2006/relationships/oleObject" Target="https://allenandclarke.sharepoint.com/australia/Work/CTH_DSS%20FaRS%20SFVS/04%20Deliverables/Evaluation%20reports/Final%20evaluation%20report/Session%20information%201.9.25.xlsx" TargetMode="External"/><Relationship Id="rId2" Type="http://schemas.microsoft.com/office/2011/relationships/chartColorStyle" Target="colors4.xml"/><Relationship Id="rId1" Type="http://schemas.microsoft.com/office/2011/relationships/chartStyle" Target="style4.xml"/></Relationships>
</file>

<file path=word/charts/_rels/chart40.xml.rels><?xml version="1.0" encoding="UTF-8" standalone="yes"?>
<Relationships xmlns="http://schemas.openxmlformats.org/package/2006/relationships"><Relationship Id="rId3" Type="http://schemas.openxmlformats.org/officeDocument/2006/relationships/oleObject" Target="file:///C:\Users\boydp\OneDrive\Desktop\AllenClarke\DSS\cleared_outputs\earliest_latest_RM\earliest_latest_by_disab_redo.xlsx" TargetMode="External"/><Relationship Id="rId2" Type="http://schemas.microsoft.com/office/2011/relationships/chartColorStyle" Target="colors40.xml"/><Relationship Id="rId1" Type="http://schemas.microsoft.com/office/2011/relationships/chartStyle" Target="style40.xml"/></Relationships>
</file>

<file path=word/charts/_rels/chart41.xml.rels><?xml version="1.0" encoding="UTF-8" standalone="yes"?>
<Relationships xmlns="http://schemas.openxmlformats.org/package/2006/relationships"><Relationship Id="rId3" Type="http://schemas.openxmlformats.org/officeDocument/2006/relationships/oleObject" Target="https://allenandclarke.sharepoint.com/australia/Work/CTH_DSS%20FaRS%20SFVS/04%20Deliverables/Data%20collection%20and%20analysis/Surveys/Survey%20results%20and%20analysis/Copy%20of%20Final%20survey%20data_BJ.xlsx" TargetMode="External"/><Relationship Id="rId2" Type="http://schemas.microsoft.com/office/2011/relationships/chartColorStyle" Target="colors41.xml"/><Relationship Id="rId1" Type="http://schemas.microsoft.com/office/2011/relationships/chartStyle" Target="style41.xml"/></Relationships>
</file>

<file path=word/charts/_rels/chart42.xml.rels><?xml version="1.0" encoding="UTF-8" standalone="yes"?>
<Relationships xmlns="http://schemas.openxmlformats.org/package/2006/relationships"><Relationship Id="rId3" Type="http://schemas.openxmlformats.org/officeDocument/2006/relationships/oleObject" Target="https://allenandclarke.sharepoint.com/australia/Work/CTH_DSS%20FaRS%20SFVS/04%20Deliverables/Data%20collection%20and%20analysis/Service%20user%20tracker/FaRS%20SFVS%20stakeholder%20tracker%20with%20ID%20and%20name%20-%20service%20user%20(interview).xlsx" TargetMode="External"/><Relationship Id="rId2" Type="http://schemas.microsoft.com/office/2011/relationships/chartColorStyle" Target="colors42.xml"/><Relationship Id="rId1" Type="http://schemas.microsoft.com/office/2011/relationships/chartStyle" Target="style42.xml"/></Relationships>
</file>

<file path=word/charts/_rels/chart43.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43.xml"/><Relationship Id="rId1" Type="http://schemas.microsoft.com/office/2011/relationships/chartStyle" Target="style43.xml"/></Relationships>
</file>

<file path=word/charts/_rels/chart44.xml.rels><?xml version="1.0" encoding="UTF-8" standalone="yes"?>
<Relationships xmlns="http://schemas.openxmlformats.org/package/2006/relationships"><Relationship Id="rId3" Type="http://schemas.openxmlformats.org/officeDocument/2006/relationships/oleObject" Target="https://allenandclarke.sharepoint.com/australia/Work/CTH_DSS%20FaRS%20SFVS/04%20Deliverables/Data%20collection%20and%20analysis/Service%20user%20tracker/FaRS%20SFVS%20stakeholder%20tracker%20with%20ID%20and%20name%20-%20service%20user%20(interview).xlsx" TargetMode="External"/><Relationship Id="rId2" Type="http://schemas.microsoft.com/office/2011/relationships/chartColorStyle" Target="colors44.xml"/><Relationship Id="rId1" Type="http://schemas.microsoft.com/office/2011/relationships/chartStyle" Target="style44.xml"/></Relationships>
</file>

<file path=word/charts/_rels/chart45.xml.rels><?xml version="1.0" encoding="UTF-8" standalone="yes"?>
<Relationships xmlns="http://schemas.openxmlformats.org/package/2006/relationships"><Relationship Id="rId3" Type="http://schemas.openxmlformats.org/officeDocument/2006/relationships/oleObject" Target="https://allenandclarke.sharepoint.com/australia/Work/CTH_DSS%20FaRS%20SFVS/04%20Deliverables/Data%20collection%20and%20analysis/Service%20user%20tracker/FaRS%20SFVS%20stakeholder%20tracker%20with%20ID%20and%20name%20-%20service%20user%20(interview).xlsx" TargetMode="External"/><Relationship Id="rId2" Type="http://schemas.microsoft.com/office/2011/relationships/chartColorStyle" Target="colors45.xml"/><Relationship Id="rId1" Type="http://schemas.microsoft.com/office/2011/relationships/chartStyle" Target="style45.xml"/></Relationships>
</file>

<file path=word/charts/_rels/chart46.xml.rels><?xml version="1.0" encoding="UTF-8" standalone="yes"?>
<Relationships xmlns="http://schemas.openxmlformats.org/package/2006/relationships"><Relationship Id="rId3" Type="http://schemas.openxmlformats.org/officeDocument/2006/relationships/oleObject" Target="https://allenandclarke.sharepoint.com/australia/Work/CTH_DSS%20FaRS%20SFVS/04%20Deliverables/Data%20collection%20and%20analysis/Service%20user%20tracker/FaRS%20SFVS%20stakeholder%20tracker%20with%20ID%20and%20name%20-%20service%20user%20(interview).xlsx" TargetMode="External"/><Relationship Id="rId2" Type="http://schemas.microsoft.com/office/2011/relationships/chartColorStyle" Target="colors46.xml"/><Relationship Id="rId1" Type="http://schemas.microsoft.com/office/2011/relationships/chartStyle" Target="style46.xml"/></Relationships>
</file>

<file path=word/charts/_rels/chart47.xml.rels><?xml version="1.0" encoding="UTF-8" standalone="yes"?>
<Relationships xmlns="http://schemas.openxmlformats.org/package/2006/relationships"><Relationship Id="rId3" Type="http://schemas.openxmlformats.org/officeDocument/2006/relationships/oleObject" Target="https://allenandclarke.sharepoint.com/australia/Work/CTH_DSS%20FaRS%20SFVS/04%20Deliverables/Data%20collection%20and%20analysis/Surveys/Survey%20results%20and%20analysis/Copy%20of%20Final%20survey%20data_BJ.xlsx" TargetMode="External"/><Relationship Id="rId2" Type="http://schemas.microsoft.com/office/2011/relationships/chartColorStyle" Target="colors47.xml"/><Relationship Id="rId1" Type="http://schemas.microsoft.com/office/2011/relationships/chartStyle" Target="style47.xml"/></Relationships>
</file>

<file path=word/charts/_rels/chart48.xml.rels><?xml version="1.0" encoding="UTF-8" standalone="yes"?>
<Relationships xmlns="http://schemas.openxmlformats.org/package/2006/relationships"><Relationship Id="rId3" Type="http://schemas.openxmlformats.org/officeDocument/2006/relationships/oleObject" Target="https://allenandclarke.sharepoint.com/australia/Work/CTH_DSS%20FaRS%20SFVS/04%20Deliverables/Data%20collection%20and%20analysis/Surveys/Survey%20results%20and%20analysis/Copy%20of%20Final%20survey%20data_BJ.xlsx" TargetMode="External"/><Relationship Id="rId2" Type="http://schemas.microsoft.com/office/2011/relationships/chartColorStyle" Target="colors48.xml"/><Relationship Id="rId1" Type="http://schemas.microsoft.com/office/2011/relationships/chartStyle" Target="style48.xml"/></Relationships>
</file>

<file path=word/charts/_rels/chart49.xml.rels><?xml version="1.0" encoding="UTF-8" standalone="yes"?>
<Relationships xmlns="http://schemas.openxmlformats.org/package/2006/relationships"><Relationship Id="rId3" Type="http://schemas.openxmlformats.org/officeDocument/2006/relationships/oleObject" Target="https://allenandclarke.sharepoint.com/australia/Work/CTH_DSS%20FaRS%20SFVS/04%20Deliverables/Data%20collection%20and%20analysis/Surveys/Survey%20results%20and%20analysis/Copy%20of%20Final%20survey%20data_BJ.xlsx" TargetMode="External"/><Relationship Id="rId2" Type="http://schemas.microsoft.com/office/2011/relationships/chartColorStyle" Target="colors49.xml"/><Relationship Id="rId1" Type="http://schemas.microsoft.com/office/2011/relationships/chartStyle" Target="style49.xml"/></Relationships>
</file>

<file path=word/charts/_rels/chart5.xml.rels><?xml version="1.0" encoding="UTF-8" standalone="yes"?>
<Relationships xmlns="http://schemas.openxmlformats.org/package/2006/relationships"><Relationship Id="rId3" Type="http://schemas.openxmlformats.org/officeDocument/2006/relationships/oleObject" Target="https://allenandclarke.sharepoint.com/australia/Work/CTH_DSS%20FaRS%20SFVS/04%20Deliverables/Evaluation%20reports/Final%20evaluation%20report/Session%20information%201.9.25.xlsx" TargetMode="External"/><Relationship Id="rId2" Type="http://schemas.microsoft.com/office/2011/relationships/chartColorStyle" Target="colors5.xml"/><Relationship Id="rId1" Type="http://schemas.microsoft.com/office/2011/relationships/chartStyle" Target="style5.xml"/></Relationships>
</file>

<file path=word/charts/_rels/chart50.xml.rels><?xml version="1.0" encoding="UTF-8" standalone="yes"?>
<Relationships xmlns="http://schemas.openxmlformats.org/package/2006/relationships"><Relationship Id="rId3" Type="http://schemas.openxmlformats.org/officeDocument/2006/relationships/oleObject" Target="https://allenandclarke.sharepoint.com/australia/Work/CTH_DSS%20FaRS%20SFVS/04%20Deliverables/Data%20collection%20and%20analysis/Surveys/Survey%20results%20and%20analysis/Copy%20of%20Final%20survey%20data_BJ.xlsx" TargetMode="External"/><Relationship Id="rId2" Type="http://schemas.microsoft.com/office/2011/relationships/chartColorStyle" Target="colors50.xml"/><Relationship Id="rId1" Type="http://schemas.microsoft.com/office/2011/relationships/chartStyle" Target="style50.xml"/></Relationships>
</file>

<file path=word/charts/_rels/chart6.xml.rels><?xml version="1.0" encoding="UTF-8" standalone="yes"?>
<Relationships xmlns="http://schemas.openxmlformats.org/package/2006/relationships"><Relationship Id="rId3" Type="http://schemas.openxmlformats.org/officeDocument/2006/relationships/oleObject" Target="https://allenandclarke.sharepoint.com/australia/Work/CTH_DSS%20FaRS%20SFVS/04%20Deliverables/Evaluation%20reports/Final%20evaluation%20report/Session%20information%201.9.25.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https://allenandclarke.sharepoint.com/australia/Work/CTH_DSS%20FaRS%20SFVS/04%20Deliverables/Evaluation%20reports/Final%20evaluation%20report/ROI%20analysis%201.9.25.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https://allenandclarke.sharepoint.com/australia/Work/CTH_DSS%20FaRS%20SFVS/04%20Deliverables/Evaluation%20reports/Final%20evaluation%20report/ROI%20analysis%201.9.25.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https://allenandclarke.sharepoint.com/australia/Work/CTH_DSS%20FaRS%20SFVS/04%20Deliverables/Evaluation%20reports/Final%20evaluation%20report/Chris%20and%20Boyd%20report%20contributions/Boyd's%20edits/earliest_latest_by_activity_redo.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Sheet1!$A$4</c:f>
              <c:strCache>
                <c:ptCount val="1"/>
                <c:pt idx="0">
                  <c:v>NSW </c:v>
                </c:pt>
              </c:strCache>
            </c:strRef>
          </c:tx>
          <c:spPr>
            <a:ln w="28575" cap="rnd">
              <a:solidFill>
                <a:schemeClr val="accent3"/>
              </a:solidFill>
              <a:round/>
            </a:ln>
            <a:effectLst/>
          </c:spPr>
          <c:marker>
            <c:symbol val="none"/>
          </c:marker>
          <c:cat>
            <c:strRef>
              <c:f>Sheet1!$B$3:$F$3</c:f>
              <c:strCache>
                <c:ptCount val="5"/>
                <c:pt idx="0">
                  <c:v>2021-22 </c:v>
                </c:pt>
                <c:pt idx="1">
                  <c:v>2022-23 </c:v>
                </c:pt>
                <c:pt idx="2">
                  <c:v>2023-24 </c:v>
                </c:pt>
                <c:pt idx="3">
                  <c:v>2024-25 </c:v>
                </c:pt>
                <c:pt idx="4">
                  <c:v>2025-26 </c:v>
                </c:pt>
              </c:strCache>
            </c:strRef>
          </c:cat>
          <c:val>
            <c:numRef>
              <c:f>Sheet1!$B$4:$F$4</c:f>
              <c:numCache>
                <c:formatCode>"$"#,##0_);[Red]\("$"#,##0\)</c:formatCode>
                <c:ptCount val="5"/>
                <c:pt idx="0">
                  <c:v>19861557</c:v>
                </c:pt>
                <c:pt idx="1">
                  <c:v>21737184</c:v>
                </c:pt>
                <c:pt idx="2">
                  <c:v>22656386</c:v>
                </c:pt>
                <c:pt idx="3">
                  <c:v>21078843</c:v>
                </c:pt>
                <c:pt idx="4">
                  <c:v>21078843</c:v>
                </c:pt>
              </c:numCache>
            </c:numRef>
          </c:val>
          <c:smooth val="0"/>
          <c:extLst>
            <c:ext xmlns:c16="http://schemas.microsoft.com/office/drawing/2014/chart" uri="{C3380CC4-5D6E-409C-BE32-E72D297353CC}">
              <c16:uniqueId val="{00000000-6F49-43E9-BFA9-9B87EDC2BC92}"/>
            </c:ext>
          </c:extLst>
        </c:ser>
        <c:ser>
          <c:idx val="1"/>
          <c:order val="1"/>
          <c:tx>
            <c:strRef>
              <c:f>Sheet1!$A$5</c:f>
              <c:strCache>
                <c:ptCount val="1"/>
                <c:pt idx="0">
                  <c:v>VIC</c:v>
                </c:pt>
              </c:strCache>
            </c:strRef>
          </c:tx>
          <c:spPr>
            <a:ln w="28575" cap="rnd">
              <a:solidFill>
                <a:schemeClr val="accent2"/>
              </a:solidFill>
              <a:round/>
            </a:ln>
            <a:effectLst/>
          </c:spPr>
          <c:marker>
            <c:symbol val="none"/>
          </c:marker>
          <c:cat>
            <c:strRef>
              <c:f>Sheet1!$B$3:$F$3</c:f>
              <c:strCache>
                <c:ptCount val="5"/>
                <c:pt idx="0">
                  <c:v>2021-22 </c:v>
                </c:pt>
                <c:pt idx="1">
                  <c:v>2022-23 </c:v>
                </c:pt>
                <c:pt idx="2">
                  <c:v>2023-24 </c:v>
                </c:pt>
                <c:pt idx="3">
                  <c:v>2024-25 </c:v>
                </c:pt>
                <c:pt idx="4">
                  <c:v>2025-26 </c:v>
                </c:pt>
              </c:strCache>
            </c:strRef>
          </c:cat>
          <c:val>
            <c:numRef>
              <c:f>Sheet1!$B$5:$F$5</c:f>
              <c:numCache>
                <c:formatCode>"$"#,##0_);[Red]\("$"#,##0\)</c:formatCode>
                <c:ptCount val="5"/>
                <c:pt idx="0">
                  <c:v>17326451</c:v>
                </c:pt>
                <c:pt idx="1">
                  <c:v>18896492</c:v>
                </c:pt>
                <c:pt idx="2">
                  <c:v>19713864</c:v>
                </c:pt>
                <c:pt idx="3">
                  <c:v>18362224</c:v>
                </c:pt>
                <c:pt idx="4">
                  <c:v>18362224</c:v>
                </c:pt>
              </c:numCache>
            </c:numRef>
          </c:val>
          <c:smooth val="0"/>
          <c:extLst>
            <c:ext xmlns:c16="http://schemas.microsoft.com/office/drawing/2014/chart" uri="{C3380CC4-5D6E-409C-BE32-E72D297353CC}">
              <c16:uniqueId val="{00000001-6F49-43E9-BFA9-9B87EDC2BC92}"/>
            </c:ext>
          </c:extLst>
        </c:ser>
        <c:ser>
          <c:idx val="2"/>
          <c:order val="2"/>
          <c:tx>
            <c:strRef>
              <c:f>Sheet1!$A$6</c:f>
              <c:strCache>
                <c:ptCount val="1"/>
                <c:pt idx="0">
                  <c:v>QLD</c:v>
                </c:pt>
              </c:strCache>
            </c:strRef>
          </c:tx>
          <c:spPr>
            <a:ln w="28575" cap="rnd">
              <a:solidFill>
                <a:schemeClr val="accent1"/>
              </a:solidFill>
              <a:round/>
            </a:ln>
            <a:effectLst/>
          </c:spPr>
          <c:marker>
            <c:symbol val="none"/>
          </c:marker>
          <c:cat>
            <c:strRef>
              <c:f>Sheet1!$B$3:$F$3</c:f>
              <c:strCache>
                <c:ptCount val="5"/>
                <c:pt idx="0">
                  <c:v>2021-22 </c:v>
                </c:pt>
                <c:pt idx="1">
                  <c:v>2022-23 </c:v>
                </c:pt>
                <c:pt idx="2">
                  <c:v>2023-24 </c:v>
                </c:pt>
                <c:pt idx="3">
                  <c:v>2024-25 </c:v>
                </c:pt>
                <c:pt idx="4">
                  <c:v>2025-26 </c:v>
                </c:pt>
              </c:strCache>
            </c:strRef>
          </c:cat>
          <c:val>
            <c:numRef>
              <c:f>Sheet1!$B$6:$F$6</c:f>
              <c:numCache>
                <c:formatCode>"$"#,##0_);[Red]\("$"#,##0\)</c:formatCode>
                <c:ptCount val="5"/>
                <c:pt idx="0">
                  <c:v>14523721</c:v>
                </c:pt>
                <c:pt idx="1">
                  <c:v>15895268</c:v>
                </c:pt>
                <c:pt idx="2">
                  <c:v>16567433</c:v>
                </c:pt>
                <c:pt idx="3">
                  <c:v>15413858</c:v>
                </c:pt>
                <c:pt idx="4">
                  <c:v>15413858</c:v>
                </c:pt>
              </c:numCache>
            </c:numRef>
          </c:val>
          <c:smooth val="0"/>
          <c:extLst>
            <c:ext xmlns:c16="http://schemas.microsoft.com/office/drawing/2014/chart" uri="{C3380CC4-5D6E-409C-BE32-E72D297353CC}">
              <c16:uniqueId val="{00000002-6F49-43E9-BFA9-9B87EDC2BC92}"/>
            </c:ext>
          </c:extLst>
        </c:ser>
        <c:ser>
          <c:idx val="3"/>
          <c:order val="3"/>
          <c:tx>
            <c:strRef>
              <c:f>Sheet1!$A$7</c:f>
              <c:strCache>
                <c:ptCount val="1"/>
                <c:pt idx="0">
                  <c:v>WA </c:v>
                </c:pt>
              </c:strCache>
            </c:strRef>
          </c:tx>
          <c:spPr>
            <a:ln w="28575" cap="rnd">
              <a:solidFill>
                <a:srgbClr val="7F8BFD"/>
              </a:solidFill>
              <a:round/>
            </a:ln>
            <a:effectLst/>
          </c:spPr>
          <c:marker>
            <c:symbol val="none"/>
          </c:marker>
          <c:cat>
            <c:strRef>
              <c:f>Sheet1!$B$3:$F$3</c:f>
              <c:strCache>
                <c:ptCount val="5"/>
                <c:pt idx="0">
                  <c:v>2021-22 </c:v>
                </c:pt>
                <c:pt idx="1">
                  <c:v>2022-23 </c:v>
                </c:pt>
                <c:pt idx="2">
                  <c:v>2023-24 </c:v>
                </c:pt>
                <c:pt idx="3">
                  <c:v>2024-25 </c:v>
                </c:pt>
                <c:pt idx="4">
                  <c:v>2025-26 </c:v>
                </c:pt>
              </c:strCache>
            </c:strRef>
          </c:cat>
          <c:val>
            <c:numRef>
              <c:f>Sheet1!$B$7:$F$7</c:f>
              <c:numCache>
                <c:formatCode>"$"#,##0_);[Red]\("$"#,##0\)</c:formatCode>
                <c:ptCount val="5"/>
                <c:pt idx="0">
                  <c:v>9276042</c:v>
                </c:pt>
                <c:pt idx="1">
                  <c:v>10152025</c:v>
                </c:pt>
                <c:pt idx="2">
                  <c:v>10581325</c:v>
                </c:pt>
                <c:pt idx="3">
                  <c:v>9844557</c:v>
                </c:pt>
                <c:pt idx="4">
                  <c:v>9844557</c:v>
                </c:pt>
              </c:numCache>
            </c:numRef>
          </c:val>
          <c:smooth val="0"/>
          <c:extLst>
            <c:ext xmlns:c16="http://schemas.microsoft.com/office/drawing/2014/chart" uri="{C3380CC4-5D6E-409C-BE32-E72D297353CC}">
              <c16:uniqueId val="{00000003-6F49-43E9-BFA9-9B87EDC2BC92}"/>
            </c:ext>
          </c:extLst>
        </c:ser>
        <c:ser>
          <c:idx val="4"/>
          <c:order val="4"/>
          <c:tx>
            <c:strRef>
              <c:f>Sheet1!$A$8</c:f>
              <c:strCache>
                <c:ptCount val="1"/>
                <c:pt idx="0">
                  <c:v>SA </c:v>
                </c:pt>
              </c:strCache>
            </c:strRef>
          </c:tx>
          <c:spPr>
            <a:ln w="28575" cap="rnd">
              <a:solidFill>
                <a:srgbClr val="FDA80F"/>
              </a:solidFill>
              <a:round/>
            </a:ln>
            <a:effectLst/>
          </c:spPr>
          <c:marker>
            <c:symbol val="none"/>
          </c:marker>
          <c:cat>
            <c:strRef>
              <c:f>Sheet1!$B$3:$F$3</c:f>
              <c:strCache>
                <c:ptCount val="5"/>
                <c:pt idx="0">
                  <c:v>2021-22 </c:v>
                </c:pt>
                <c:pt idx="1">
                  <c:v>2022-23 </c:v>
                </c:pt>
                <c:pt idx="2">
                  <c:v>2023-24 </c:v>
                </c:pt>
                <c:pt idx="3">
                  <c:v>2024-25 </c:v>
                </c:pt>
                <c:pt idx="4">
                  <c:v>2025-26 </c:v>
                </c:pt>
              </c:strCache>
            </c:strRef>
          </c:cat>
          <c:val>
            <c:numRef>
              <c:f>Sheet1!$B$8:$F$8</c:f>
              <c:numCache>
                <c:formatCode>"$"#,##0_);[Red]\("$"#,##0\)</c:formatCode>
                <c:ptCount val="5"/>
                <c:pt idx="0">
                  <c:v>6572452</c:v>
                </c:pt>
                <c:pt idx="1">
                  <c:v>7193122</c:v>
                </c:pt>
                <c:pt idx="2">
                  <c:v>7497298</c:v>
                </c:pt>
                <c:pt idx="3">
                  <c:v>6975268</c:v>
                </c:pt>
                <c:pt idx="4">
                  <c:v>6975268</c:v>
                </c:pt>
              </c:numCache>
            </c:numRef>
          </c:val>
          <c:smooth val="0"/>
          <c:extLst>
            <c:ext xmlns:c16="http://schemas.microsoft.com/office/drawing/2014/chart" uri="{C3380CC4-5D6E-409C-BE32-E72D297353CC}">
              <c16:uniqueId val="{00000004-6F49-43E9-BFA9-9B87EDC2BC92}"/>
            </c:ext>
          </c:extLst>
        </c:ser>
        <c:ser>
          <c:idx val="5"/>
          <c:order val="5"/>
          <c:tx>
            <c:strRef>
              <c:f>Sheet1!$A$9</c:f>
              <c:strCache>
                <c:ptCount val="1"/>
                <c:pt idx="0">
                  <c:v>NT</c:v>
                </c:pt>
              </c:strCache>
            </c:strRef>
          </c:tx>
          <c:spPr>
            <a:ln w="28575" cap="rnd">
              <a:solidFill>
                <a:srgbClr val="486E00"/>
              </a:solidFill>
              <a:round/>
            </a:ln>
            <a:effectLst/>
          </c:spPr>
          <c:marker>
            <c:symbol val="none"/>
          </c:marker>
          <c:cat>
            <c:strRef>
              <c:f>Sheet1!$B$3:$F$3</c:f>
              <c:strCache>
                <c:ptCount val="5"/>
                <c:pt idx="0">
                  <c:v>2021-22 </c:v>
                </c:pt>
                <c:pt idx="1">
                  <c:v>2022-23 </c:v>
                </c:pt>
                <c:pt idx="2">
                  <c:v>2023-24 </c:v>
                </c:pt>
                <c:pt idx="3">
                  <c:v>2024-25 </c:v>
                </c:pt>
                <c:pt idx="4">
                  <c:v>2025-26 </c:v>
                </c:pt>
              </c:strCache>
            </c:strRef>
          </c:cat>
          <c:val>
            <c:numRef>
              <c:f>Sheet1!$B$9:$F$9</c:f>
              <c:numCache>
                <c:formatCode>"$"#,##0_);[Red]\("$"#,##0\)</c:formatCode>
                <c:ptCount val="5"/>
                <c:pt idx="0">
                  <c:v>3306460</c:v>
                </c:pt>
                <c:pt idx="1">
                  <c:v>3618706</c:v>
                </c:pt>
                <c:pt idx="2">
                  <c:v>3771731</c:v>
                </c:pt>
                <c:pt idx="3">
                  <c:v>3509108</c:v>
                </c:pt>
                <c:pt idx="4">
                  <c:v>3509108</c:v>
                </c:pt>
              </c:numCache>
            </c:numRef>
          </c:val>
          <c:smooth val="0"/>
          <c:extLst>
            <c:ext xmlns:c16="http://schemas.microsoft.com/office/drawing/2014/chart" uri="{C3380CC4-5D6E-409C-BE32-E72D297353CC}">
              <c16:uniqueId val="{00000005-6F49-43E9-BFA9-9B87EDC2BC92}"/>
            </c:ext>
          </c:extLst>
        </c:ser>
        <c:ser>
          <c:idx val="6"/>
          <c:order val="6"/>
          <c:tx>
            <c:strRef>
              <c:f>Sheet1!$A$10</c:f>
              <c:strCache>
                <c:ptCount val="1"/>
                <c:pt idx="0">
                  <c:v>ACT </c:v>
                </c:pt>
              </c:strCache>
            </c:strRef>
          </c:tx>
          <c:spPr>
            <a:ln w="28575" cap="rnd">
              <a:solidFill>
                <a:srgbClr val="6E0066"/>
              </a:solidFill>
              <a:round/>
            </a:ln>
            <a:effectLst/>
          </c:spPr>
          <c:marker>
            <c:symbol val="none"/>
          </c:marker>
          <c:cat>
            <c:strRef>
              <c:f>Sheet1!$B$3:$F$3</c:f>
              <c:strCache>
                <c:ptCount val="5"/>
                <c:pt idx="0">
                  <c:v>2021-22 </c:v>
                </c:pt>
                <c:pt idx="1">
                  <c:v>2022-23 </c:v>
                </c:pt>
                <c:pt idx="2">
                  <c:v>2023-24 </c:v>
                </c:pt>
                <c:pt idx="3">
                  <c:v>2024-25 </c:v>
                </c:pt>
                <c:pt idx="4">
                  <c:v>2025-26 </c:v>
                </c:pt>
              </c:strCache>
            </c:strRef>
          </c:cat>
          <c:val>
            <c:numRef>
              <c:f>Sheet1!$B$10:$F$10</c:f>
              <c:numCache>
                <c:formatCode>"$"#,##0_);[Red]\("$"#,##0\)</c:formatCode>
                <c:ptCount val="5"/>
                <c:pt idx="0">
                  <c:v>2449558</c:v>
                </c:pt>
                <c:pt idx="1">
                  <c:v>2680882</c:v>
                </c:pt>
                <c:pt idx="2">
                  <c:v>2707039</c:v>
                </c:pt>
                <c:pt idx="3">
                  <c:v>2573066</c:v>
                </c:pt>
                <c:pt idx="4">
                  <c:v>2573066</c:v>
                </c:pt>
              </c:numCache>
            </c:numRef>
          </c:val>
          <c:smooth val="0"/>
          <c:extLst>
            <c:ext xmlns:c16="http://schemas.microsoft.com/office/drawing/2014/chart" uri="{C3380CC4-5D6E-409C-BE32-E72D297353CC}">
              <c16:uniqueId val="{00000006-6F49-43E9-BFA9-9B87EDC2BC92}"/>
            </c:ext>
          </c:extLst>
        </c:ser>
        <c:ser>
          <c:idx val="7"/>
          <c:order val="7"/>
          <c:tx>
            <c:strRef>
              <c:f>Sheet1!$A$11</c:f>
              <c:strCache>
                <c:ptCount val="1"/>
                <c:pt idx="0">
                  <c:v>TAS</c:v>
                </c:pt>
              </c:strCache>
            </c:strRef>
          </c:tx>
          <c:spPr>
            <a:ln w="28575" cap="rnd">
              <a:solidFill>
                <a:srgbClr val="C00000"/>
              </a:solidFill>
              <a:round/>
            </a:ln>
            <a:effectLst/>
          </c:spPr>
          <c:marker>
            <c:symbol val="none"/>
          </c:marker>
          <c:cat>
            <c:strRef>
              <c:f>Sheet1!$B$3:$F$3</c:f>
              <c:strCache>
                <c:ptCount val="5"/>
                <c:pt idx="0">
                  <c:v>2021-22 </c:v>
                </c:pt>
                <c:pt idx="1">
                  <c:v>2022-23 </c:v>
                </c:pt>
                <c:pt idx="2">
                  <c:v>2023-24 </c:v>
                </c:pt>
                <c:pt idx="3">
                  <c:v>2024-25 </c:v>
                </c:pt>
                <c:pt idx="4">
                  <c:v>2025-26 </c:v>
                </c:pt>
              </c:strCache>
            </c:strRef>
          </c:cat>
          <c:val>
            <c:numRef>
              <c:f>Sheet1!$B$11:$F$11</c:f>
              <c:numCache>
                <c:formatCode>"$"#,##0_);[Red]\("$"#,##0\)</c:formatCode>
                <c:ptCount val="5"/>
                <c:pt idx="0">
                  <c:v>1464459</c:v>
                </c:pt>
                <c:pt idx="1">
                  <c:v>1602755</c:v>
                </c:pt>
                <c:pt idx="2">
                  <c:v>1670531</c:v>
                </c:pt>
                <c:pt idx="3">
                  <c:v>1554214</c:v>
                </c:pt>
                <c:pt idx="4">
                  <c:v>1554214</c:v>
                </c:pt>
              </c:numCache>
            </c:numRef>
          </c:val>
          <c:smooth val="0"/>
          <c:extLst>
            <c:ext xmlns:c16="http://schemas.microsoft.com/office/drawing/2014/chart" uri="{C3380CC4-5D6E-409C-BE32-E72D297353CC}">
              <c16:uniqueId val="{00000007-6F49-43E9-BFA9-9B87EDC2BC92}"/>
            </c:ext>
          </c:extLst>
        </c:ser>
        <c:dLbls>
          <c:showLegendKey val="0"/>
          <c:showVal val="0"/>
          <c:showCatName val="0"/>
          <c:showSerName val="0"/>
          <c:showPercent val="0"/>
          <c:showBubbleSize val="0"/>
        </c:dLbls>
        <c:smooth val="0"/>
        <c:axId val="1992032944"/>
        <c:axId val="1992031984"/>
      </c:lineChart>
      <c:catAx>
        <c:axId val="19920329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bg2"/>
                </a:solidFill>
                <a:latin typeface="+mn-lt"/>
                <a:ea typeface="+mn-ea"/>
                <a:cs typeface="+mn-cs"/>
              </a:defRPr>
            </a:pPr>
            <a:endParaRPr lang="en-US"/>
          </a:p>
        </c:txPr>
        <c:crossAx val="1992031984"/>
        <c:crosses val="autoZero"/>
        <c:auto val="1"/>
        <c:lblAlgn val="ctr"/>
        <c:lblOffset val="100"/>
        <c:noMultiLvlLbl val="0"/>
      </c:catAx>
      <c:valAx>
        <c:axId val="1992031984"/>
        <c:scaling>
          <c:orientation val="minMax"/>
        </c:scaling>
        <c:delete val="0"/>
        <c:axPos val="l"/>
        <c:majorGridlines>
          <c:spPr>
            <a:ln w="9525" cap="flat" cmpd="sng" algn="ctr">
              <a:solidFill>
                <a:schemeClr val="accent4"/>
              </a:solidFill>
              <a:round/>
            </a:ln>
            <a:effectLst/>
          </c:spPr>
        </c:majorGridlines>
        <c:numFmt formatCode="&quot;$&quot;#,##0_);[Red]\(&quot;$&quot;#,##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bg2"/>
                </a:solidFill>
                <a:latin typeface="+mn-lt"/>
                <a:ea typeface="+mn-ea"/>
                <a:cs typeface="+mn-cs"/>
              </a:defRPr>
            </a:pPr>
            <a:endParaRPr lang="en-US"/>
          </a:p>
        </c:txPr>
        <c:crossAx val="19920329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bg2"/>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solidFill>
            <a:schemeClr val="bg2"/>
          </a:solidFill>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'FaRS KEQ 1 '!$Q$10</c:f>
              <c:strCache>
                <c:ptCount val="1"/>
                <c:pt idx="0">
                  <c:v>Strongly agree</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'FaRS KEQ 1 '!$R$8:$U$9</c:f>
              <c:multiLvlStrCache>
                <c:ptCount val="4"/>
                <c:lvl>
                  <c:pt idx="0">
                    <c:v>Frequency (n=)</c:v>
                  </c:pt>
                  <c:pt idx="1">
                    <c:v>Percentage (%)</c:v>
                  </c:pt>
                  <c:pt idx="2">
                    <c:v>Frequency (n=)</c:v>
                  </c:pt>
                  <c:pt idx="3">
                    <c:v>Percentage (%)</c:v>
                  </c:pt>
                </c:lvl>
                <c:lvl>
                  <c:pt idx="0">
                    <c:v>My personal safety</c:v>
                  </c:pt>
                  <c:pt idx="2">
                    <c:v>My family's safety</c:v>
                  </c:pt>
                </c:lvl>
              </c:multiLvlStrCache>
            </c:multiLvlStrRef>
          </c:cat>
          <c:val>
            <c:numRef>
              <c:f>'FaRS KEQ 1 '!$R$10:$U$10</c:f>
              <c:numCache>
                <c:formatCode>0.0</c:formatCode>
                <c:ptCount val="4"/>
                <c:pt idx="0" formatCode="General">
                  <c:v>32</c:v>
                </c:pt>
                <c:pt idx="1">
                  <c:v>20.779220779220779</c:v>
                </c:pt>
                <c:pt idx="2" formatCode="General">
                  <c:v>32</c:v>
                </c:pt>
                <c:pt idx="3">
                  <c:v>20.779220779220779</c:v>
                </c:pt>
              </c:numCache>
            </c:numRef>
          </c:val>
          <c:extLst>
            <c:ext xmlns:c16="http://schemas.microsoft.com/office/drawing/2014/chart" uri="{C3380CC4-5D6E-409C-BE32-E72D297353CC}">
              <c16:uniqueId val="{00000000-F6B9-4DD0-8C51-1664E6574816}"/>
            </c:ext>
          </c:extLst>
        </c:ser>
        <c:ser>
          <c:idx val="1"/>
          <c:order val="1"/>
          <c:tx>
            <c:strRef>
              <c:f>'FaRS KEQ 1 '!$Q$11</c:f>
              <c:strCache>
                <c:ptCount val="1"/>
                <c:pt idx="0">
                  <c:v>Agree</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'FaRS KEQ 1 '!$R$8:$U$9</c:f>
              <c:multiLvlStrCache>
                <c:ptCount val="4"/>
                <c:lvl>
                  <c:pt idx="0">
                    <c:v>Frequency (n=)</c:v>
                  </c:pt>
                  <c:pt idx="1">
                    <c:v>Percentage (%)</c:v>
                  </c:pt>
                  <c:pt idx="2">
                    <c:v>Frequency (n=)</c:v>
                  </c:pt>
                  <c:pt idx="3">
                    <c:v>Percentage (%)</c:v>
                  </c:pt>
                </c:lvl>
                <c:lvl>
                  <c:pt idx="0">
                    <c:v>My personal safety</c:v>
                  </c:pt>
                  <c:pt idx="2">
                    <c:v>My family's safety</c:v>
                  </c:pt>
                </c:lvl>
              </c:multiLvlStrCache>
            </c:multiLvlStrRef>
          </c:cat>
          <c:val>
            <c:numRef>
              <c:f>'FaRS KEQ 1 '!$R$11:$U$11</c:f>
              <c:numCache>
                <c:formatCode>0.0</c:formatCode>
                <c:ptCount val="4"/>
                <c:pt idx="0" formatCode="General">
                  <c:v>54</c:v>
                </c:pt>
                <c:pt idx="1">
                  <c:v>35.064935064935064</c:v>
                </c:pt>
                <c:pt idx="2" formatCode="General">
                  <c:v>54</c:v>
                </c:pt>
                <c:pt idx="3">
                  <c:v>35.064935064935064</c:v>
                </c:pt>
              </c:numCache>
            </c:numRef>
          </c:val>
          <c:extLst>
            <c:ext xmlns:c16="http://schemas.microsoft.com/office/drawing/2014/chart" uri="{C3380CC4-5D6E-409C-BE32-E72D297353CC}">
              <c16:uniqueId val="{00000001-F6B9-4DD0-8C51-1664E6574816}"/>
            </c:ext>
          </c:extLst>
        </c:ser>
        <c:ser>
          <c:idx val="2"/>
          <c:order val="2"/>
          <c:tx>
            <c:strRef>
              <c:f>'FaRS KEQ 1 '!$Q$12</c:f>
              <c:strCache>
                <c:ptCount val="1"/>
                <c:pt idx="0">
                  <c:v>Neither agree nor disagree</c:v>
                </c:pt>
              </c:strCache>
            </c:strRef>
          </c:tx>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'FaRS KEQ 1 '!$R$8:$U$9</c:f>
              <c:multiLvlStrCache>
                <c:ptCount val="4"/>
                <c:lvl>
                  <c:pt idx="0">
                    <c:v>Frequency (n=)</c:v>
                  </c:pt>
                  <c:pt idx="1">
                    <c:v>Percentage (%)</c:v>
                  </c:pt>
                  <c:pt idx="2">
                    <c:v>Frequency (n=)</c:v>
                  </c:pt>
                  <c:pt idx="3">
                    <c:v>Percentage (%)</c:v>
                  </c:pt>
                </c:lvl>
                <c:lvl>
                  <c:pt idx="0">
                    <c:v>My personal safety</c:v>
                  </c:pt>
                  <c:pt idx="2">
                    <c:v>My family's safety</c:v>
                  </c:pt>
                </c:lvl>
              </c:multiLvlStrCache>
            </c:multiLvlStrRef>
          </c:cat>
          <c:val>
            <c:numRef>
              <c:f>'FaRS KEQ 1 '!$R$12:$U$12</c:f>
              <c:numCache>
                <c:formatCode>0.0</c:formatCode>
                <c:ptCount val="4"/>
                <c:pt idx="0" formatCode="General">
                  <c:v>60</c:v>
                </c:pt>
                <c:pt idx="1">
                  <c:v>38.961038961038966</c:v>
                </c:pt>
                <c:pt idx="2" formatCode="General">
                  <c:v>60</c:v>
                </c:pt>
                <c:pt idx="3">
                  <c:v>38.961038961038966</c:v>
                </c:pt>
              </c:numCache>
            </c:numRef>
          </c:val>
          <c:extLst>
            <c:ext xmlns:c16="http://schemas.microsoft.com/office/drawing/2014/chart" uri="{C3380CC4-5D6E-409C-BE32-E72D297353CC}">
              <c16:uniqueId val="{00000002-F6B9-4DD0-8C51-1664E6574816}"/>
            </c:ext>
          </c:extLst>
        </c:ser>
        <c:ser>
          <c:idx val="3"/>
          <c:order val="3"/>
          <c:tx>
            <c:strRef>
              <c:f>'FaRS KEQ 1 '!$Q$13</c:f>
              <c:strCache>
                <c:ptCount val="1"/>
                <c:pt idx="0">
                  <c:v>Disagree</c:v>
                </c:pt>
              </c:strCache>
            </c:strRef>
          </c:tx>
          <c:spPr>
            <a:solidFill>
              <a:schemeClr val="bg2"/>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'FaRS KEQ 1 '!$R$8:$U$9</c:f>
              <c:multiLvlStrCache>
                <c:ptCount val="4"/>
                <c:lvl>
                  <c:pt idx="0">
                    <c:v>Frequency (n=)</c:v>
                  </c:pt>
                  <c:pt idx="1">
                    <c:v>Percentage (%)</c:v>
                  </c:pt>
                  <c:pt idx="2">
                    <c:v>Frequency (n=)</c:v>
                  </c:pt>
                  <c:pt idx="3">
                    <c:v>Percentage (%)</c:v>
                  </c:pt>
                </c:lvl>
                <c:lvl>
                  <c:pt idx="0">
                    <c:v>My personal safety</c:v>
                  </c:pt>
                  <c:pt idx="2">
                    <c:v>My family's safety</c:v>
                  </c:pt>
                </c:lvl>
              </c:multiLvlStrCache>
            </c:multiLvlStrRef>
          </c:cat>
          <c:val>
            <c:numRef>
              <c:f>'FaRS KEQ 1 '!$R$13:$U$13</c:f>
              <c:numCache>
                <c:formatCode>0.0</c:formatCode>
                <c:ptCount val="4"/>
                <c:pt idx="0" formatCode="General">
                  <c:v>2</c:v>
                </c:pt>
                <c:pt idx="1">
                  <c:v>1.2987012987012987</c:v>
                </c:pt>
                <c:pt idx="2" formatCode="General">
                  <c:v>2</c:v>
                </c:pt>
                <c:pt idx="3">
                  <c:v>1.2987012987012987</c:v>
                </c:pt>
              </c:numCache>
            </c:numRef>
          </c:val>
          <c:extLst>
            <c:ext xmlns:c16="http://schemas.microsoft.com/office/drawing/2014/chart" uri="{C3380CC4-5D6E-409C-BE32-E72D297353CC}">
              <c16:uniqueId val="{00000003-F6B9-4DD0-8C51-1664E6574816}"/>
            </c:ext>
          </c:extLst>
        </c:ser>
        <c:ser>
          <c:idx val="4"/>
          <c:order val="4"/>
          <c:tx>
            <c:strRef>
              <c:f>'FaRS KEQ 1 '!$Q$14</c:f>
              <c:strCache>
                <c:ptCount val="1"/>
                <c:pt idx="0">
                  <c:v>Strongly disagree</c:v>
                </c:pt>
              </c:strCache>
            </c:strRef>
          </c:tx>
          <c:spPr>
            <a:solidFill>
              <a:schemeClr val="tx2">
                <a:lumMod val="75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'FaRS KEQ 1 '!$R$8:$U$9</c:f>
              <c:multiLvlStrCache>
                <c:ptCount val="4"/>
                <c:lvl>
                  <c:pt idx="0">
                    <c:v>Frequency (n=)</c:v>
                  </c:pt>
                  <c:pt idx="1">
                    <c:v>Percentage (%)</c:v>
                  </c:pt>
                  <c:pt idx="2">
                    <c:v>Frequency (n=)</c:v>
                  </c:pt>
                  <c:pt idx="3">
                    <c:v>Percentage (%)</c:v>
                  </c:pt>
                </c:lvl>
                <c:lvl>
                  <c:pt idx="0">
                    <c:v>My personal safety</c:v>
                  </c:pt>
                  <c:pt idx="2">
                    <c:v>My family's safety</c:v>
                  </c:pt>
                </c:lvl>
              </c:multiLvlStrCache>
            </c:multiLvlStrRef>
          </c:cat>
          <c:val>
            <c:numRef>
              <c:f>'FaRS KEQ 1 '!$R$14:$U$14</c:f>
              <c:numCache>
                <c:formatCode>0.0</c:formatCode>
                <c:ptCount val="4"/>
                <c:pt idx="0" formatCode="General">
                  <c:v>6</c:v>
                </c:pt>
                <c:pt idx="1">
                  <c:v>3.8961038961038961</c:v>
                </c:pt>
                <c:pt idx="2" formatCode="General">
                  <c:v>6</c:v>
                </c:pt>
                <c:pt idx="3">
                  <c:v>3.8961038961038961</c:v>
                </c:pt>
              </c:numCache>
            </c:numRef>
          </c:val>
          <c:extLst>
            <c:ext xmlns:c16="http://schemas.microsoft.com/office/drawing/2014/chart" uri="{C3380CC4-5D6E-409C-BE32-E72D297353CC}">
              <c16:uniqueId val="{00000004-F6B9-4DD0-8C51-1664E6574816}"/>
            </c:ext>
          </c:extLst>
        </c:ser>
        <c:dLbls>
          <c:showLegendKey val="0"/>
          <c:showVal val="0"/>
          <c:showCatName val="0"/>
          <c:showSerName val="0"/>
          <c:showPercent val="0"/>
          <c:showBubbleSize val="0"/>
        </c:dLbls>
        <c:gapWidth val="219"/>
        <c:overlap val="-27"/>
        <c:axId val="310781135"/>
        <c:axId val="310784015"/>
      </c:barChart>
      <c:catAx>
        <c:axId val="310781135"/>
        <c:scaling>
          <c:orientation val="minMax"/>
        </c:scaling>
        <c:delete val="0"/>
        <c:axPos val="b"/>
        <c:numFmt formatCode="General" sourceLinked="1"/>
        <c:majorTickMark val="none"/>
        <c:minorTickMark val="none"/>
        <c:tickLblPos val="nextTo"/>
        <c:spPr>
          <a:noFill/>
          <a:ln w="6350" cap="flat" cmpd="sng" algn="ctr">
            <a:solidFill>
              <a:schemeClr val="accent2"/>
            </a:solidFill>
            <a:prstDash val="solid"/>
            <a:miter lim="800000"/>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310784015"/>
        <c:crosses val="autoZero"/>
        <c:auto val="1"/>
        <c:lblAlgn val="ctr"/>
        <c:lblOffset val="100"/>
        <c:noMultiLvlLbl val="0"/>
      </c:catAx>
      <c:valAx>
        <c:axId val="310784015"/>
        <c:scaling>
          <c:orientation val="minMax"/>
        </c:scaling>
        <c:delete val="0"/>
        <c:axPos val="l"/>
        <c:majorGridlines>
          <c:spPr>
            <a:ln w="6350" cap="flat" cmpd="sng" algn="ctr">
              <a:solidFill>
                <a:schemeClr val="accent4"/>
              </a:solidFill>
              <a:prstDash val="solid"/>
              <a:miter lim="800000"/>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31078113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'FaRS KEQ 1 '!$Q$59</c:f>
              <c:strCache>
                <c:ptCount val="1"/>
                <c:pt idx="0">
                  <c:v>Strongly agree</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'FaRS KEQ 1 '!$R$57:$U$58</c:f>
              <c:multiLvlStrCache>
                <c:ptCount val="4"/>
                <c:lvl>
                  <c:pt idx="0">
                    <c:v>Frequency (n=)</c:v>
                  </c:pt>
                  <c:pt idx="1">
                    <c:v>Percentage (%)</c:v>
                  </c:pt>
                  <c:pt idx="2">
                    <c:v>Frequency (n=)</c:v>
                  </c:pt>
                  <c:pt idx="3">
                    <c:v>Percentage (%)</c:v>
                  </c:pt>
                </c:lvl>
                <c:lvl>
                  <c:pt idx="0">
                    <c:v>Identify issues of personal and family safety, including violence or abusive relationships</c:v>
                  </c:pt>
                  <c:pt idx="2">
                    <c:v>Seek help when I need it for issues of personal and family safety</c:v>
                  </c:pt>
                </c:lvl>
              </c:multiLvlStrCache>
            </c:multiLvlStrRef>
          </c:cat>
          <c:val>
            <c:numRef>
              <c:f>'FaRS KEQ 1 '!$R$59:$U$59</c:f>
              <c:numCache>
                <c:formatCode>0.0</c:formatCode>
                <c:ptCount val="4"/>
                <c:pt idx="0" formatCode="General">
                  <c:v>39</c:v>
                </c:pt>
                <c:pt idx="1">
                  <c:v>24.840764331210192</c:v>
                </c:pt>
                <c:pt idx="2" formatCode="General">
                  <c:v>69</c:v>
                </c:pt>
                <c:pt idx="3">
                  <c:v>44.230769230769226</c:v>
                </c:pt>
              </c:numCache>
            </c:numRef>
          </c:val>
          <c:extLst>
            <c:ext xmlns:c16="http://schemas.microsoft.com/office/drawing/2014/chart" uri="{C3380CC4-5D6E-409C-BE32-E72D297353CC}">
              <c16:uniqueId val="{00000000-33DB-438A-8F59-895EC7424600}"/>
            </c:ext>
          </c:extLst>
        </c:ser>
        <c:ser>
          <c:idx val="1"/>
          <c:order val="1"/>
          <c:tx>
            <c:strRef>
              <c:f>'FaRS KEQ 1 '!$Q$60</c:f>
              <c:strCache>
                <c:ptCount val="1"/>
                <c:pt idx="0">
                  <c:v>Agree</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'FaRS KEQ 1 '!$R$57:$U$58</c:f>
              <c:multiLvlStrCache>
                <c:ptCount val="4"/>
                <c:lvl>
                  <c:pt idx="0">
                    <c:v>Frequency (n=)</c:v>
                  </c:pt>
                  <c:pt idx="1">
                    <c:v>Percentage (%)</c:v>
                  </c:pt>
                  <c:pt idx="2">
                    <c:v>Frequency (n=)</c:v>
                  </c:pt>
                  <c:pt idx="3">
                    <c:v>Percentage (%)</c:v>
                  </c:pt>
                </c:lvl>
                <c:lvl>
                  <c:pt idx="0">
                    <c:v>Identify issues of personal and family safety, including violence or abusive relationships</c:v>
                  </c:pt>
                  <c:pt idx="2">
                    <c:v>Seek help when I need it for issues of personal and family safety</c:v>
                  </c:pt>
                </c:lvl>
              </c:multiLvlStrCache>
            </c:multiLvlStrRef>
          </c:cat>
          <c:val>
            <c:numRef>
              <c:f>'FaRS KEQ 1 '!$R$60:$U$60</c:f>
              <c:numCache>
                <c:formatCode>0.0</c:formatCode>
                <c:ptCount val="4"/>
                <c:pt idx="0" formatCode="General">
                  <c:v>66</c:v>
                </c:pt>
                <c:pt idx="1">
                  <c:v>42.038216560509554</c:v>
                </c:pt>
                <c:pt idx="2" formatCode="General">
                  <c:v>45</c:v>
                </c:pt>
                <c:pt idx="3">
                  <c:v>28.846153846153843</c:v>
                </c:pt>
              </c:numCache>
            </c:numRef>
          </c:val>
          <c:extLst>
            <c:ext xmlns:c16="http://schemas.microsoft.com/office/drawing/2014/chart" uri="{C3380CC4-5D6E-409C-BE32-E72D297353CC}">
              <c16:uniqueId val="{00000001-33DB-438A-8F59-895EC7424600}"/>
            </c:ext>
          </c:extLst>
        </c:ser>
        <c:ser>
          <c:idx val="2"/>
          <c:order val="2"/>
          <c:tx>
            <c:strRef>
              <c:f>'FaRS KEQ 1 '!$Q$61</c:f>
              <c:strCache>
                <c:ptCount val="1"/>
                <c:pt idx="0">
                  <c:v>Neither agree nor disagree</c:v>
                </c:pt>
              </c:strCache>
            </c:strRef>
          </c:tx>
          <c:spPr>
            <a:solidFill>
              <a:schemeClr val="accent5"/>
            </a:solidFill>
            <a:ln>
              <a:solidFill>
                <a:schemeClr val="accent5"/>
              </a:solid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'FaRS KEQ 1 '!$R$57:$U$58</c:f>
              <c:multiLvlStrCache>
                <c:ptCount val="4"/>
                <c:lvl>
                  <c:pt idx="0">
                    <c:v>Frequency (n=)</c:v>
                  </c:pt>
                  <c:pt idx="1">
                    <c:v>Percentage (%)</c:v>
                  </c:pt>
                  <c:pt idx="2">
                    <c:v>Frequency (n=)</c:v>
                  </c:pt>
                  <c:pt idx="3">
                    <c:v>Percentage (%)</c:v>
                  </c:pt>
                </c:lvl>
                <c:lvl>
                  <c:pt idx="0">
                    <c:v>Identify issues of personal and family safety, including violence or abusive relationships</c:v>
                  </c:pt>
                  <c:pt idx="2">
                    <c:v>Seek help when I need it for issues of personal and family safety</c:v>
                  </c:pt>
                </c:lvl>
              </c:multiLvlStrCache>
            </c:multiLvlStrRef>
          </c:cat>
          <c:val>
            <c:numRef>
              <c:f>'FaRS KEQ 1 '!$R$61:$U$61</c:f>
              <c:numCache>
                <c:formatCode>0.0</c:formatCode>
                <c:ptCount val="4"/>
                <c:pt idx="0" formatCode="General">
                  <c:v>41</c:v>
                </c:pt>
                <c:pt idx="1">
                  <c:v>26.114649681528661</c:v>
                </c:pt>
                <c:pt idx="2" formatCode="General">
                  <c:v>33</c:v>
                </c:pt>
                <c:pt idx="3">
                  <c:v>21.153846153846153</c:v>
                </c:pt>
              </c:numCache>
            </c:numRef>
          </c:val>
          <c:extLst>
            <c:ext xmlns:c16="http://schemas.microsoft.com/office/drawing/2014/chart" uri="{C3380CC4-5D6E-409C-BE32-E72D297353CC}">
              <c16:uniqueId val="{00000002-33DB-438A-8F59-895EC7424600}"/>
            </c:ext>
          </c:extLst>
        </c:ser>
        <c:ser>
          <c:idx val="3"/>
          <c:order val="3"/>
          <c:tx>
            <c:strRef>
              <c:f>'FaRS KEQ 1 '!$Q$62</c:f>
              <c:strCache>
                <c:ptCount val="1"/>
                <c:pt idx="0">
                  <c:v>Disagree</c:v>
                </c:pt>
              </c:strCache>
            </c:strRef>
          </c:tx>
          <c:spPr>
            <a:solidFill>
              <a:schemeClr val="bg2"/>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'FaRS KEQ 1 '!$R$57:$U$58</c:f>
              <c:multiLvlStrCache>
                <c:ptCount val="4"/>
                <c:lvl>
                  <c:pt idx="0">
                    <c:v>Frequency (n=)</c:v>
                  </c:pt>
                  <c:pt idx="1">
                    <c:v>Percentage (%)</c:v>
                  </c:pt>
                  <c:pt idx="2">
                    <c:v>Frequency (n=)</c:v>
                  </c:pt>
                  <c:pt idx="3">
                    <c:v>Percentage (%)</c:v>
                  </c:pt>
                </c:lvl>
                <c:lvl>
                  <c:pt idx="0">
                    <c:v>Identify issues of personal and family safety, including violence or abusive relationships</c:v>
                  </c:pt>
                  <c:pt idx="2">
                    <c:v>Seek help when I need it for issues of personal and family safety</c:v>
                  </c:pt>
                </c:lvl>
              </c:multiLvlStrCache>
            </c:multiLvlStrRef>
          </c:cat>
          <c:val>
            <c:numRef>
              <c:f>'FaRS KEQ 1 '!$R$62:$U$62</c:f>
              <c:numCache>
                <c:formatCode>0.0</c:formatCode>
                <c:ptCount val="4"/>
                <c:pt idx="0" formatCode="General">
                  <c:v>5</c:v>
                </c:pt>
                <c:pt idx="1">
                  <c:v>3.1847133757961785</c:v>
                </c:pt>
                <c:pt idx="2" formatCode="General">
                  <c:v>5</c:v>
                </c:pt>
                <c:pt idx="3">
                  <c:v>3.2051282051282048</c:v>
                </c:pt>
              </c:numCache>
            </c:numRef>
          </c:val>
          <c:extLst>
            <c:ext xmlns:c16="http://schemas.microsoft.com/office/drawing/2014/chart" uri="{C3380CC4-5D6E-409C-BE32-E72D297353CC}">
              <c16:uniqueId val="{00000003-33DB-438A-8F59-895EC7424600}"/>
            </c:ext>
          </c:extLst>
        </c:ser>
        <c:ser>
          <c:idx val="4"/>
          <c:order val="4"/>
          <c:tx>
            <c:strRef>
              <c:f>'FaRS KEQ 1 '!$Q$63</c:f>
              <c:strCache>
                <c:ptCount val="1"/>
                <c:pt idx="0">
                  <c:v>Strongly disagree</c:v>
                </c:pt>
              </c:strCache>
            </c:strRef>
          </c:tx>
          <c:spPr>
            <a:solidFill>
              <a:schemeClr val="accent2">
                <a:lumMod val="40000"/>
                <a:lumOff val="60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'FaRS KEQ 1 '!$R$57:$U$58</c:f>
              <c:multiLvlStrCache>
                <c:ptCount val="4"/>
                <c:lvl>
                  <c:pt idx="0">
                    <c:v>Frequency (n=)</c:v>
                  </c:pt>
                  <c:pt idx="1">
                    <c:v>Percentage (%)</c:v>
                  </c:pt>
                  <c:pt idx="2">
                    <c:v>Frequency (n=)</c:v>
                  </c:pt>
                  <c:pt idx="3">
                    <c:v>Percentage (%)</c:v>
                  </c:pt>
                </c:lvl>
                <c:lvl>
                  <c:pt idx="0">
                    <c:v>Identify issues of personal and family safety, including violence or abusive relationships</c:v>
                  </c:pt>
                  <c:pt idx="2">
                    <c:v>Seek help when I need it for issues of personal and family safety</c:v>
                  </c:pt>
                </c:lvl>
              </c:multiLvlStrCache>
            </c:multiLvlStrRef>
          </c:cat>
          <c:val>
            <c:numRef>
              <c:f>'FaRS KEQ 1 '!$R$63:$U$63</c:f>
              <c:numCache>
                <c:formatCode>0.0</c:formatCode>
                <c:ptCount val="4"/>
                <c:pt idx="0" formatCode="General">
                  <c:v>6</c:v>
                </c:pt>
                <c:pt idx="1">
                  <c:v>3.8216560509554141</c:v>
                </c:pt>
                <c:pt idx="2" formatCode="General">
                  <c:v>4</c:v>
                </c:pt>
                <c:pt idx="3">
                  <c:v>2.5641025641025639</c:v>
                </c:pt>
              </c:numCache>
            </c:numRef>
          </c:val>
          <c:extLst>
            <c:ext xmlns:c16="http://schemas.microsoft.com/office/drawing/2014/chart" uri="{C3380CC4-5D6E-409C-BE32-E72D297353CC}">
              <c16:uniqueId val="{00000004-33DB-438A-8F59-895EC7424600}"/>
            </c:ext>
          </c:extLst>
        </c:ser>
        <c:dLbls>
          <c:showLegendKey val="0"/>
          <c:showVal val="0"/>
          <c:showCatName val="0"/>
          <c:showSerName val="0"/>
          <c:showPercent val="0"/>
          <c:showBubbleSize val="0"/>
        </c:dLbls>
        <c:gapWidth val="219"/>
        <c:overlap val="-27"/>
        <c:axId val="474892399"/>
        <c:axId val="474892879"/>
      </c:barChart>
      <c:catAx>
        <c:axId val="474892399"/>
        <c:scaling>
          <c:orientation val="minMax"/>
        </c:scaling>
        <c:delete val="0"/>
        <c:axPos val="b"/>
        <c:numFmt formatCode="General" sourceLinked="1"/>
        <c:majorTickMark val="none"/>
        <c:minorTickMark val="none"/>
        <c:tickLblPos val="nextTo"/>
        <c:spPr>
          <a:noFill/>
          <a:ln w="6350" cap="flat" cmpd="sng" algn="ctr">
            <a:solidFill>
              <a:schemeClr val="accent2"/>
            </a:solidFill>
            <a:prstDash val="solid"/>
            <a:miter lim="800000"/>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474892879"/>
        <c:crosses val="autoZero"/>
        <c:auto val="1"/>
        <c:lblAlgn val="ctr"/>
        <c:lblOffset val="100"/>
        <c:noMultiLvlLbl val="0"/>
      </c:catAx>
      <c:valAx>
        <c:axId val="474892879"/>
        <c:scaling>
          <c:orientation val="minMax"/>
        </c:scaling>
        <c:delete val="0"/>
        <c:axPos val="l"/>
        <c:majorGridlines>
          <c:spPr>
            <a:ln w="6350" cap="flat" cmpd="sng" algn="ctr">
              <a:solidFill>
                <a:schemeClr val="accent4"/>
              </a:solidFill>
              <a:prstDash val="solid"/>
              <a:miter lim="800000"/>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47489239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'FaRS KEQ 1 '!$Z$58</c:f>
              <c:strCache>
                <c:ptCount val="1"/>
                <c:pt idx="0">
                  <c:v>Frequency (n=)</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'FaRS KEQ 1 '!$Q$59:$Q$63</c:f>
              <c:strCache>
                <c:ptCount val="5"/>
                <c:pt idx="0">
                  <c:v>Strongly agree</c:v>
                </c:pt>
                <c:pt idx="1">
                  <c:v>Agree</c:v>
                </c:pt>
                <c:pt idx="2">
                  <c:v>Neither agree nor disagree</c:v>
                </c:pt>
                <c:pt idx="3">
                  <c:v>Disagree</c:v>
                </c:pt>
                <c:pt idx="4">
                  <c:v>Strongly disagree</c:v>
                </c:pt>
              </c:strCache>
            </c:strRef>
          </c:cat>
          <c:val>
            <c:numRef>
              <c:f>'FaRS KEQ 1 '!$Z$59:$Z$63</c:f>
              <c:numCache>
                <c:formatCode>General</c:formatCode>
                <c:ptCount val="5"/>
                <c:pt idx="0">
                  <c:v>59</c:v>
                </c:pt>
                <c:pt idx="1">
                  <c:v>72</c:v>
                </c:pt>
                <c:pt idx="2">
                  <c:v>19</c:v>
                </c:pt>
                <c:pt idx="3">
                  <c:v>2</c:v>
                </c:pt>
                <c:pt idx="4">
                  <c:v>6</c:v>
                </c:pt>
              </c:numCache>
            </c:numRef>
          </c:val>
          <c:extLst>
            <c:ext xmlns:c16="http://schemas.microsoft.com/office/drawing/2014/chart" uri="{C3380CC4-5D6E-409C-BE32-E72D297353CC}">
              <c16:uniqueId val="{00000000-828A-405E-9D07-1A455F6D179D}"/>
            </c:ext>
          </c:extLst>
        </c:ser>
        <c:ser>
          <c:idx val="1"/>
          <c:order val="1"/>
          <c:tx>
            <c:strRef>
              <c:f>'FaRS KEQ 1 '!$AA$58</c:f>
              <c:strCache>
                <c:ptCount val="1"/>
                <c:pt idx="0">
                  <c:v>Percentage (%)</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'FaRS KEQ 1 '!$Q$59:$Q$63</c:f>
              <c:strCache>
                <c:ptCount val="5"/>
                <c:pt idx="0">
                  <c:v>Strongly agree</c:v>
                </c:pt>
                <c:pt idx="1">
                  <c:v>Agree</c:v>
                </c:pt>
                <c:pt idx="2">
                  <c:v>Neither agree nor disagree</c:v>
                </c:pt>
                <c:pt idx="3">
                  <c:v>Disagree</c:v>
                </c:pt>
                <c:pt idx="4">
                  <c:v>Strongly disagree</c:v>
                </c:pt>
              </c:strCache>
            </c:strRef>
          </c:cat>
          <c:val>
            <c:numRef>
              <c:f>'FaRS KEQ 1 '!$AA$59:$AA$63</c:f>
              <c:numCache>
                <c:formatCode>0.0</c:formatCode>
                <c:ptCount val="5"/>
                <c:pt idx="0">
                  <c:v>37.341772151898731</c:v>
                </c:pt>
                <c:pt idx="1">
                  <c:v>45.569620253164558</c:v>
                </c:pt>
                <c:pt idx="2">
                  <c:v>12.025316455696203</c:v>
                </c:pt>
                <c:pt idx="3">
                  <c:v>1.2658227848101267</c:v>
                </c:pt>
                <c:pt idx="4">
                  <c:v>3.79746835443038</c:v>
                </c:pt>
              </c:numCache>
            </c:numRef>
          </c:val>
          <c:extLst>
            <c:ext xmlns:c16="http://schemas.microsoft.com/office/drawing/2014/chart" uri="{C3380CC4-5D6E-409C-BE32-E72D297353CC}">
              <c16:uniqueId val="{00000001-828A-405E-9D07-1A455F6D179D}"/>
            </c:ext>
          </c:extLst>
        </c:ser>
        <c:dLbls>
          <c:showLegendKey val="0"/>
          <c:showVal val="0"/>
          <c:showCatName val="0"/>
          <c:showSerName val="0"/>
          <c:showPercent val="0"/>
          <c:showBubbleSize val="0"/>
        </c:dLbls>
        <c:gapWidth val="219"/>
        <c:overlap val="-27"/>
        <c:axId val="173825247"/>
        <c:axId val="173818047"/>
      </c:barChart>
      <c:catAx>
        <c:axId val="173825247"/>
        <c:scaling>
          <c:orientation val="minMax"/>
        </c:scaling>
        <c:delete val="0"/>
        <c:axPos val="b"/>
        <c:numFmt formatCode="General" sourceLinked="1"/>
        <c:majorTickMark val="none"/>
        <c:minorTickMark val="none"/>
        <c:tickLblPos val="nextTo"/>
        <c:spPr>
          <a:noFill/>
          <a:ln w="6350" cap="flat" cmpd="sng" algn="ctr">
            <a:solidFill>
              <a:schemeClr val="accent2"/>
            </a:solidFill>
            <a:prstDash val="solid"/>
            <a:miter lim="800000"/>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73818047"/>
        <c:crosses val="autoZero"/>
        <c:auto val="1"/>
        <c:lblAlgn val="ctr"/>
        <c:lblOffset val="100"/>
        <c:noMultiLvlLbl val="0"/>
      </c:catAx>
      <c:valAx>
        <c:axId val="173818047"/>
        <c:scaling>
          <c:orientation val="minMax"/>
        </c:scaling>
        <c:delete val="0"/>
        <c:axPos val="l"/>
        <c:majorGridlines>
          <c:spPr>
            <a:ln w="6350" cap="flat" cmpd="sng" algn="ctr">
              <a:solidFill>
                <a:schemeClr val="accent4"/>
              </a:solidFill>
              <a:prstDash val="solid"/>
              <a:miter lim="800000"/>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7382524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'FaRS KEQ 1 '!$V$9</c:f>
              <c:strCache>
                <c:ptCount val="1"/>
                <c:pt idx="0">
                  <c:v>Frequency (n=)</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'FaRS KEQ 1 '!$Q$10:$Q$14</c:f>
              <c:strCache>
                <c:ptCount val="5"/>
                <c:pt idx="0">
                  <c:v>Strongly agree</c:v>
                </c:pt>
                <c:pt idx="1">
                  <c:v>Agree</c:v>
                </c:pt>
                <c:pt idx="2">
                  <c:v>Neither agree nor disagree</c:v>
                </c:pt>
                <c:pt idx="3">
                  <c:v>Disagree</c:v>
                </c:pt>
                <c:pt idx="4">
                  <c:v>Strongly disagree</c:v>
                </c:pt>
              </c:strCache>
            </c:strRef>
          </c:cat>
          <c:val>
            <c:numRef>
              <c:f>'FaRS KEQ 1 '!$V$10:$V$14</c:f>
              <c:numCache>
                <c:formatCode>General</c:formatCode>
                <c:ptCount val="5"/>
                <c:pt idx="0">
                  <c:v>32</c:v>
                </c:pt>
                <c:pt idx="1">
                  <c:v>53</c:v>
                </c:pt>
                <c:pt idx="2">
                  <c:v>60</c:v>
                </c:pt>
                <c:pt idx="3">
                  <c:v>2</c:v>
                </c:pt>
                <c:pt idx="4">
                  <c:v>6</c:v>
                </c:pt>
              </c:numCache>
            </c:numRef>
          </c:val>
          <c:extLst>
            <c:ext xmlns:c16="http://schemas.microsoft.com/office/drawing/2014/chart" uri="{C3380CC4-5D6E-409C-BE32-E72D297353CC}">
              <c16:uniqueId val="{00000000-D904-47AB-978A-AE39F755455A}"/>
            </c:ext>
          </c:extLst>
        </c:ser>
        <c:ser>
          <c:idx val="1"/>
          <c:order val="1"/>
          <c:tx>
            <c:strRef>
              <c:f>'FaRS KEQ 1 '!$W$9</c:f>
              <c:strCache>
                <c:ptCount val="1"/>
                <c:pt idx="0">
                  <c:v>Percentage (%)</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'FaRS KEQ 1 '!$Q$10:$Q$14</c:f>
              <c:strCache>
                <c:ptCount val="5"/>
                <c:pt idx="0">
                  <c:v>Strongly agree</c:v>
                </c:pt>
                <c:pt idx="1">
                  <c:v>Agree</c:v>
                </c:pt>
                <c:pt idx="2">
                  <c:v>Neither agree nor disagree</c:v>
                </c:pt>
                <c:pt idx="3">
                  <c:v>Disagree</c:v>
                </c:pt>
                <c:pt idx="4">
                  <c:v>Strongly disagree</c:v>
                </c:pt>
              </c:strCache>
            </c:strRef>
          </c:cat>
          <c:val>
            <c:numRef>
              <c:f>'FaRS KEQ 1 '!$W$10:$W$14</c:f>
              <c:numCache>
                <c:formatCode>0.0</c:formatCode>
                <c:ptCount val="5"/>
                <c:pt idx="0">
                  <c:v>20.915032679738562</c:v>
                </c:pt>
                <c:pt idx="1">
                  <c:v>34.640522875816991</c:v>
                </c:pt>
                <c:pt idx="2">
                  <c:v>39.215686274509807</c:v>
                </c:pt>
                <c:pt idx="3">
                  <c:v>1.3071895424836601</c:v>
                </c:pt>
                <c:pt idx="4">
                  <c:v>3.9215686274509802</c:v>
                </c:pt>
              </c:numCache>
            </c:numRef>
          </c:val>
          <c:extLst>
            <c:ext xmlns:c16="http://schemas.microsoft.com/office/drawing/2014/chart" uri="{C3380CC4-5D6E-409C-BE32-E72D297353CC}">
              <c16:uniqueId val="{00000001-D904-47AB-978A-AE39F755455A}"/>
            </c:ext>
          </c:extLst>
        </c:ser>
        <c:dLbls>
          <c:showLegendKey val="0"/>
          <c:showVal val="0"/>
          <c:showCatName val="0"/>
          <c:showSerName val="0"/>
          <c:showPercent val="0"/>
          <c:showBubbleSize val="0"/>
        </c:dLbls>
        <c:gapWidth val="219"/>
        <c:overlap val="-27"/>
        <c:axId val="68146543"/>
        <c:axId val="68143663"/>
      </c:barChart>
      <c:catAx>
        <c:axId val="68146543"/>
        <c:scaling>
          <c:orientation val="minMax"/>
        </c:scaling>
        <c:delete val="0"/>
        <c:axPos val="b"/>
        <c:numFmt formatCode="General" sourceLinked="1"/>
        <c:majorTickMark val="none"/>
        <c:minorTickMark val="none"/>
        <c:tickLblPos val="nextTo"/>
        <c:spPr>
          <a:noFill/>
          <a:ln w="6350" cap="flat" cmpd="sng" algn="ctr">
            <a:solidFill>
              <a:schemeClr val="accent2"/>
            </a:solidFill>
            <a:prstDash val="solid"/>
            <a:miter lim="800000"/>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68143663"/>
        <c:crosses val="autoZero"/>
        <c:auto val="1"/>
        <c:lblAlgn val="ctr"/>
        <c:lblOffset val="100"/>
        <c:noMultiLvlLbl val="0"/>
      </c:catAx>
      <c:valAx>
        <c:axId val="68143663"/>
        <c:scaling>
          <c:orientation val="minMax"/>
        </c:scaling>
        <c:delete val="0"/>
        <c:axPos val="l"/>
        <c:majorGridlines>
          <c:spPr>
            <a:ln w="6350" cap="flat" cmpd="sng" algn="ctr">
              <a:solidFill>
                <a:schemeClr val="accent4"/>
              </a:solidFill>
              <a:prstDash val="solid"/>
              <a:miter lim="800000"/>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6814654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en-U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'FaRS KEQ 1 '!$X$9</c:f>
              <c:strCache>
                <c:ptCount val="1"/>
                <c:pt idx="0">
                  <c:v>Frequency (n=)</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'FaRS KEQ 1 '!$Q$10:$Q$14</c:f>
              <c:strCache>
                <c:ptCount val="5"/>
                <c:pt idx="0">
                  <c:v>Strongly agree</c:v>
                </c:pt>
                <c:pt idx="1">
                  <c:v>Agree</c:v>
                </c:pt>
                <c:pt idx="2">
                  <c:v>Neither agree nor disagree</c:v>
                </c:pt>
                <c:pt idx="3">
                  <c:v>Disagree</c:v>
                </c:pt>
                <c:pt idx="4">
                  <c:v>Strongly disagree</c:v>
                </c:pt>
              </c:strCache>
            </c:strRef>
          </c:cat>
          <c:val>
            <c:numRef>
              <c:f>'FaRS KEQ 1 '!$X$10:$X$14</c:f>
              <c:numCache>
                <c:formatCode>General</c:formatCode>
                <c:ptCount val="5"/>
                <c:pt idx="0">
                  <c:v>29</c:v>
                </c:pt>
                <c:pt idx="1">
                  <c:v>52</c:v>
                </c:pt>
                <c:pt idx="2">
                  <c:v>59</c:v>
                </c:pt>
                <c:pt idx="3">
                  <c:v>2</c:v>
                </c:pt>
                <c:pt idx="4">
                  <c:v>6</c:v>
                </c:pt>
              </c:numCache>
            </c:numRef>
          </c:val>
          <c:extLst>
            <c:ext xmlns:c16="http://schemas.microsoft.com/office/drawing/2014/chart" uri="{C3380CC4-5D6E-409C-BE32-E72D297353CC}">
              <c16:uniqueId val="{00000000-E6A2-4152-9391-78744EC81C58}"/>
            </c:ext>
          </c:extLst>
        </c:ser>
        <c:ser>
          <c:idx val="1"/>
          <c:order val="1"/>
          <c:tx>
            <c:strRef>
              <c:f>'FaRS KEQ 1 '!$Y$9</c:f>
              <c:strCache>
                <c:ptCount val="1"/>
                <c:pt idx="0">
                  <c:v>Percentage (%)</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'FaRS KEQ 1 '!$Q$10:$Q$14</c:f>
              <c:strCache>
                <c:ptCount val="5"/>
                <c:pt idx="0">
                  <c:v>Strongly agree</c:v>
                </c:pt>
                <c:pt idx="1">
                  <c:v>Agree</c:v>
                </c:pt>
                <c:pt idx="2">
                  <c:v>Neither agree nor disagree</c:v>
                </c:pt>
                <c:pt idx="3">
                  <c:v>Disagree</c:v>
                </c:pt>
                <c:pt idx="4">
                  <c:v>Strongly disagree</c:v>
                </c:pt>
              </c:strCache>
            </c:strRef>
          </c:cat>
          <c:val>
            <c:numRef>
              <c:f>'FaRS KEQ 1 '!$Y$10:$Y$14</c:f>
              <c:numCache>
                <c:formatCode>0.0</c:formatCode>
                <c:ptCount val="5"/>
                <c:pt idx="0">
                  <c:v>19.594594594594593</c:v>
                </c:pt>
                <c:pt idx="1">
                  <c:v>35.135135135135137</c:v>
                </c:pt>
                <c:pt idx="2">
                  <c:v>39.864864864864863</c:v>
                </c:pt>
                <c:pt idx="3">
                  <c:v>1.3513513513513513</c:v>
                </c:pt>
                <c:pt idx="4">
                  <c:v>4.0540540540540544</c:v>
                </c:pt>
              </c:numCache>
            </c:numRef>
          </c:val>
          <c:extLst>
            <c:ext xmlns:c16="http://schemas.microsoft.com/office/drawing/2014/chart" uri="{C3380CC4-5D6E-409C-BE32-E72D297353CC}">
              <c16:uniqueId val="{00000001-E6A2-4152-9391-78744EC81C58}"/>
            </c:ext>
          </c:extLst>
        </c:ser>
        <c:dLbls>
          <c:showLegendKey val="0"/>
          <c:showVal val="0"/>
          <c:showCatName val="0"/>
          <c:showSerName val="0"/>
          <c:showPercent val="0"/>
          <c:showBubbleSize val="0"/>
        </c:dLbls>
        <c:gapWidth val="219"/>
        <c:overlap val="-27"/>
        <c:axId val="68146543"/>
        <c:axId val="68143663"/>
      </c:barChart>
      <c:catAx>
        <c:axId val="68146543"/>
        <c:scaling>
          <c:orientation val="minMax"/>
        </c:scaling>
        <c:delete val="0"/>
        <c:axPos val="b"/>
        <c:numFmt formatCode="General" sourceLinked="1"/>
        <c:majorTickMark val="none"/>
        <c:minorTickMark val="none"/>
        <c:tickLblPos val="nextTo"/>
        <c:spPr>
          <a:noFill/>
          <a:ln w="6350" cap="flat" cmpd="sng" algn="ctr">
            <a:solidFill>
              <a:schemeClr val="accent2"/>
            </a:solidFill>
            <a:prstDash val="solid"/>
            <a:miter lim="800000"/>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68143663"/>
        <c:crosses val="autoZero"/>
        <c:auto val="1"/>
        <c:lblAlgn val="ctr"/>
        <c:lblOffset val="100"/>
        <c:noMultiLvlLbl val="0"/>
      </c:catAx>
      <c:valAx>
        <c:axId val="68143663"/>
        <c:scaling>
          <c:orientation val="minMax"/>
        </c:scaling>
        <c:delete val="0"/>
        <c:axPos val="l"/>
        <c:majorGridlines>
          <c:spPr>
            <a:ln w="6350" cap="flat" cmpd="sng" algn="ctr">
              <a:solidFill>
                <a:schemeClr val="accent4"/>
              </a:solidFill>
              <a:prstDash val="solid"/>
              <a:miter lim="800000"/>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6814654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en-U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51657863960154737"/>
          <c:y val="0.15643174603174603"/>
          <c:w val="0.45597752570068617"/>
          <c:h val="0.63640079365079361"/>
        </c:manualLayout>
      </c:layout>
      <c:barChart>
        <c:barDir val="bar"/>
        <c:grouping val="stacked"/>
        <c:varyColors val="0"/>
        <c:ser>
          <c:idx val="0"/>
          <c:order val="0"/>
          <c:tx>
            <c:strRef>
              <c:f>Sheet1!$E$1</c:f>
              <c:strCache>
                <c:ptCount val="1"/>
                <c:pt idx="0">
                  <c:v>Earliest SCORE (mean)</c:v>
                </c:pt>
              </c:strCache>
            </c:strRef>
          </c:tx>
          <c:spPr>
            <a:solidFill>
              <a:srgbClr val="007E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Sheet1!$D$5:$D$13</c:f>
              <c:strCache>
                <c:ptCount val="9"/>
                <c:pt idx="0">
                  <c:v>Goals - Changed skills</c:v>
                </c:pt>
                <c:pt idx="1">
                  <c:v>Goals - Changed knowledge and access to information</c:v>
                </c:pt>
                <c:pt idx="2">
                  <c:v>Goals - Changed impact of immediate crisis</c:v>
                </c:pt>
                <c:pt idx="3">
                  <c:v>Goals - Engagement with relevant support services</c:v>
                </c:pt>
                <c:pt idx="4">
                  <c:v>Goals - Empowerment, choice and control to make own decisions</c:v>
                </c:pt>
                <c:pt idx="5">
                  <c:v>Goals - Changed behaviours</c:v>
                </c:pt>
                <c:pt idx="6">
                  <c:v>Circumstances - Personal and family safety</c:v>
                </c:pt>
                <c:pt idx="7">
                  <c:v>Circumstances - Mental health, wellbeing and self-care</c:v>
                </c:pt>
                <c:pt idx="8">
                  <c:v>Circumstances - Family functioning</c:v>
                </c:pt>
              </c:strCache>
            </c:strRef>
          </c:cat>
          <c:val>
            <c:numRef>
              <c:f>Sheet1!$E$5:$E$13</c:f>
              <c:numCache>
                <c:formatCode>0.0</c:formatCode>
                <c:ptCount val="9"/>
                <c:pt idx="0">
                  <c:v>2.3409494795633412</c:v>
                </c:pt>
                <c:pt idx="1">
                  <c:v>2.424660685530251</c:v>
                </c:pt>
                <c:pt idx="2">
                  <c:v>2.0905607802159532</c:v>
                </c:pt>
                <c:pt idx="3">
                  <c:v>2.5318066157760808</c:v>
                </c:pt>
                <c:pt idx="4">
                  <c:v>2.328400281888654</c:v>
                </c:pt>
                <c:pt idx="5">
                  <c:v>2.370859213250518</c:v>
                </c:pt>
                <c:pt idx="6">
                  <c:v>2.434361093452003</c:v>
                </c:pt>
                <c:pt idx="7">
                  <c:v>2.339851529965598</c:v>
                </c:pt>
                <c:pt idx="8">
                  <c:v>2.2472206519690969</c:v>
                </c:pt>
              </c:numCache>
            </c:numRef>
          </c:val>
          <c:extLst>
            <c:ext xmlns:c16="http://schemas.microsoft.com/office/drawing/2014/chart" uri="{C3380CC4-5D6E-409C-BE32-E72D297353CC}">
              <c16:uniqueId val="{00000000-8134-4E9E-B805-2646C6B7B57E}"/>
            </c:ext>
          </c:extLst>
        </c:ser>
        <c:ser>
          <c:idx val="1"/>
          <c:order val="1"/>
          <c:tx>
            <c:strRef>
              <c:f>Sheet1!$F$1</c:f>
              <c:strCache>
                <c:ptCount val="1"/>
                <c:pt idx="0">
                  <c:v>Latest SCORE (mean change)</c:v>
                </c:pt>
              </c:strCache>
            </c:strRef>
          </c:tx>
          <c:spPr>
            <a:solidFill>
              <a:srgbClr val="78B8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Sheet1!$D$5:$D$13</c:f>
              <c:strCache>
                <c:ptCount val="9"/>
                <c:pt idx="0">
                  <c:v>Goals - Changed skills</c:v>
                </c:pt>
                <c:pt idx="1">
                  <c:v>Goals - Changed knowledge and access to information</c:v>
                </c:pt>
                <c:pt idx="2">
                  <c:v>Goals - Changed impact of immediate crisis</c:v>
                </c:pt>
                <c:pt idx="3">
                  <c:v>Goals - Engagement with relevant support services</c:v>
                </c:pt>
                <c:pt idx="4">
                  <c:v>Goals - Empowerment, choice and control to make own decisions</c:v>
                </c:pt>
                <c:pt idx="5">
                  <c:v>Goals - Changed behaviours</c:v>
                </c:pt>
                <c:pt idx="6">
                  <c:v>Circumstances - Personal and family safety</c:v>
                </c:pt>
                <c:pt idx="7">
                  <c:v>Circumstances - Mental health, wellbeing and self-care</c:v>
                </c:pt>
                <c:pt idx="8">
                  <c:v>Circumstances - Family functioning</c:v>
                </c:pt>
              </c:strCache>
            </c:strRef>
          </c:cat>
          <c:val>
            <c:numRef>
              <c:f>Sheet1!$F$5:$F$13</c:f>
              <c:numCache>
                <c:formatCode>0.0</c:formatCode>
                <c:ptCount val="9"/>
                <c:pt idx="0">
                  <c:v>0.92155369383092189</c:v>
                </c:pt>
                <c:pt idx="1">
                  <c:v>1.0733839429491601</c:v>
                </c:pt>
                <c:pt idx="2">
                  <c:v>1.1650992685475441</c:v>
                </c:pt>
                <c:pt idx="3">
                  <c:v>0.96278625954198471</c:v>
                </c:pt>
                <c:pt idx="4">
                  <c:v>1.0498003288700959</c:v>
                </c:pt>
                <c:pt idx="5">
                  <c:v>0.88975155279503104</c:v>
                </c:pt>
                <c:pt idx="6">
                  <c:v>0.91211061665607129</c:v>
                </c:pt>
                <c:pt idx="7">
                  <c:v>0.83650190114068446</c:v>
                </c:pt>
                <c:pt idx="8">
                  <c:v>0.79668362540041437</c:v>
                </c:pt>
              </c:numCache>
            </c:numRef>
          </c:val>
          <c:extLst>
            <c:ext xmlns:c16="http://schemas.microsoft.com/office/drawing/2014/chart" uri="{C3380CC4-5D6E-409C-BE32-E72D297353CC}">
              <c16:uniqueId val="{00000001-8134-4E9E-B805-2646C6B7B57E}"/>
            </c:ext>
          </c:extLst>
        </c:ser>
        <c:dLbls>
          <c:showLegendKey val="0"/>
          <c:showVal val="0"/>
          <c:showCatName val="0"/>
          <c:showSerName val="0"/>
          <c:showPercent val="0"/>
          <c:showBubbleSize val="0"/>
        </c:dLbls>
        <c:gapWidth val="150"/>
        <c:overlap val="100"/>
        <c:axId val="2106384927"/>
        <c:axId val="2106377247"/>
      </c:barChart>
      <c:catAx>
        <c:axId val="2106384927"/>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106377247"/>
        <c:crosses val="autoZero"/>
        <c:auto val="1"/>
        <c:lblAlgn val="ctr"/>
        <c:lblOffset val="100"/>
        <c:noMultiLvlLbl val="0"/>
      </c:catAx>
      <c:valAx>
        <c:axId val="2106377247"/>
        <c:scaling>
          <c:orientation val="minMax"/>
          <c:max val="5"/>
          <c:min val="0"/>
        </c:scaling>
        <c:delete val="0"/>
        <c:axPos val="b"/>
        <c:majorGridlines>
          <c:spPr>
            <a:ln w="6350" cap="flat" cmpd="sng" algn="ctr">
              <a:solidFill>
                <a:schemeClr val="accent4"/>
              </a:solidFill>
              <a:prstDash val="solid"/>
              <a:miter lim="800000"/>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106384927"/>
        <c:crosses val="autoZero"/>
        <c:crossBetween val="between"/>
        <c:majorUnit val="1"/>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800">
          <a:solidFill>
            <a:sysClr val="windowText" lastClr="000000"/>
          </a:solidFill>
          <a:latin typeface="Arial" panose="020B0604020202020204" pitchFamily="34" charset="0"/>
          <a:cs typeface="Arial" panose="020B0604020202020204" pitchFamily="34" charset="0"/>
        </a:defRPr>
      </a:pPr>
      <a:endParaRPr lang="en-US"/>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51657863960154737"/>
          <c:y val="0.15643174603174603"/>
          <c:w val="0.45597752570068617"/>
          <c:h val="0.63640079365079361"/>
        </c:manualLayout>
      </c:layout>
      <c:barChart>
        <c:barDir val="bar"/>
        <c:grouping val="stacked"/>
        <c:varyColors val="0"/>
        <c:ser>
          <c:idx val="0"/>
          <c:order val="0"/>
          <c:tx>
            <c:strRef>
              <c:f>Sheet1!$F$1</c:f>
              <c:strCache>
                <c:ptCount val="1"/>
                <c:pt idx="0">
                  <c:v>Earliest SCORE (mean)</c:v>
                </c:pt>
              </c:strCache>
            </c:strRef>
          </c:tx>
          <c:spPr>
            <a:solidFill>
              <a:srgbClr val="007E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Sheet1!$E$5:$E$13</c:f>
              <c:strCache>
                <c:ptCount val="9"/>
                <c:pt idx="0">
                  <c:v>Goals - Changed skills</c:v>
                </c:pt>
                <c:pt idx="1">
                  <c:v>Goals - Changed knowledge and access to information</c:v>
                </c:pt>
                <c:pt idx="2">
                  <c:v>Goals - Changed impact of immediate crisis</c:v>
                </c:pt>
                <c:pt idx="3">
                  <c:v>Goals - Engagement with relevant support services</c:v>
                </c:pt>
                <c:pt idx="4">
                  <c:v>Goals - Empowerment, choice and control to make own decisions</c:v>
                </c:pt>
                <c:pt idx="5">
                  <c:v>Goals - Changed behaviours</c:v>
                </c:pt>
                <c:pt idx="6">
                  <c:v>Circumstances - Personal and family safety</c:v>
                </c:pt>
                <c:pt idx="7">
                  <c:v>Circumstances - Mental health, wellbeing and self-care</c:v>
                </c:pt>
                <c:pt idx="8">
                  <c:v>Circumstances - Family functioning</c:v>
                </c:pt>
              </c:strCache>
            </c:strRef>
          </c:cat>
          <c:val>
            <c:numRef>
              <c:f>Sheet1!$F$5:$F$13</c:f>
              <c:numCache>
                <c:formatCode>0.0</c:formatCode>
                <c:ptCount val="9"/>
                <c:pt idx="0">
                  <c:v>2.41351888667992</c:v>
                </c:pt>
                <c:pt idx="1">
                  <c:v>2.7662337662337659</c:v>
                </c:pt>
                <c:pt idx="2">
                  <c:v>2.034615384615384</c:v>
                </c:pt>
                <c:pt idx="3">
                  <c:v>2.52967032967033</c:v>
                </c:pt>
                <c:pt idx="4">
                  <c:v>2.5023041474654382</c:v>
                </c:pt>
                <c:pt idx="5">
                  <c:v>2.3658536585365848</c:v>
                </c:pt>
                <c:pt idx="6">
                  <c:v>2.9209770114942528</c:v>
                </c:pt>
                <c:pt idx="7">
                  <c:v>2.5817174515235459</c:v>
                </c:pt>
                <c:pt idx="8">
                  <c:v>2.6474622770919072</c:v>
                </c:pt>
              </c:numCache>
            </c:numRef>
          </c:val>
          <c:extLst>
            <c:ext xmlns:c16="http://schemas.microsoft.com/office/drawing/2014/chart" uri="{C3380CC4-5D6E-409C-BE32-E72D297353CC}">
              <c16:uniqueId val="{00000000-78A8-4F42-A22D-25ABCD22B63F}"/>
            </c:ext>
          </c:extLst>
        </c:ser>
        <c:ser>
          <c:idx val="1"/>
          <c:order val="1"/>
          <c:tx>
            <c:strRef>
              <c:f>Sheet1!$G$1</c:f>
              <c:strCache>
                <c:ptCount val="1"/>
                <c:pt idx="0">
                  <c:v>Latest SCORE (mean change)</c:v>
                </c:pt>
              </c:strCache>
            </c:strRef>
          </c:tx>
          <c:spPr>
            <a:solidFill>
              <a:srgbClr val="78B8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Sheet1!$E$5:$E$13</c:f>
              <c:strCache>
                <c:ptCount val="9"/>
                <c:pt idx="0">
                  <c:v>Goals - Changed skills</c:v>
                </c:pt>
                <c:pt idx="1">
                  <c:v>Goals - Changed knowledge and access to information</c:v>
                </c:pt>
                <c:pt idx="2">
                  <c:v>Goals - Changed impact of immediate crisis</c:v>
                </c:pt>
                <c:pt idx="3">
                  <c:v>Goals - Engagement with relevant support services</c:v>
                </c:pt>
                <c:pt idx="4">
                  <c:v>Goals - Empowerment, choice and control to make own decisions</c:v>
                </c:pt>
                <c:pt idx="5">
                  <c:v>Goals - Changed behaviours</c:v>
                </c:pt>
                <c:pt idx="6">
                  <c:v>Circumstances - Personal and family safety</c:v>
                </c:pt>
                <c:pt idx="7">
                  <c:v>Circumstances - Mental health, wellbeing and self-care</c:v>
                </c:pt>
                <c:pt idx="8">
                  <c:v>Circumstances - Family functioning</c:v>
                </c:pt>
              </c:strCache>
            </c:strRef>
          </c:cat>
          <c:val>
            <c:numRef>
              <c:f>Sheet1!$G$5:$G$13</c:f>
              <c:numCache>
                <c:formatCode>0.0</c:formatCode>
                <c:ptCount val="9"/>
                <c:pt idx="0">
                  <c:v>1.033849534372711</c:v>
                </c:pt>
                <c:pt idx="1">
                  <c:v>0.9333860056293517</c:v>
                </c:pt>
                <c:pt idx="2">
                  <c:v>1.22420814479638</c:v>
                </c:pt>
                <c:pt idx="3">
                  <c:v>0.71630668182392343</c:v>
                </c:pt>
                <c:pt idx="4">
                  <c:v>0.89055299539170507</c:v>
                </c:pt>
                <c:pt idx="5">
                  <c:v>0.96371744755822286</c:v>
                </c:pt>
                <c:pt idx="6">
                  <c:v>0.78377076298645942</c:v>
                </c:pt>
                <c:pt idx="7">
                  <c:v>0.80765036456840811</c:v>
                </c:pt>
                <c:pt idx="8">
                  <c:v>0.64231045018082034</c:v>
                </c:pt>
              </c:numCache>
            </c:numRef>
          </c:val>
          <c:extLst>
            <c:ext xmlns:c16="http://schemas.microsoft.com/office/drawing/2014/chart" uri="{C3380CC4-5D6E-409C-BE32-E72D297353CC}">
              <c16:uniqueId val="{00000001-78A8-4F42-A22D-25ABCD22B63F}"/>
            </c:ext>
          </c:extLst>
        </c:ser>
        <c:dLbls>
          <c:showLegendKey val="0"/>
          <c:showVal val="0"/>
          <c:showCatName val="0"/>
          <c:showSerName val="0"/>
          <c:showPercent val="0"/>
          <c:showBubbleSize val="0"/>
        </c:dLbls>
        <c:gapWidth val="150"/>
        <c:overlap val="100"/>
        <c:axId val="2106384927"/>
        <c:axId val="2106377247"/>
      </c:barChart>
      <c:catAx>
        <c:axId val="2106384927"/>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106377247"/>
        <c:crosses val="autoZero"/>
        <c:auto val="1"/>
        <c:lblAlgn val="ctr"/>
        <c:lblOffset val="100"/>
        <c:noMultiLvlLbl val="0"/>
      </c:catAx>
      <c:valAx>
        <c:axId val="2106377247"/>
        <c:scaling>
          <c:orientation val="minMax"/>
          <c:max val="5"/>
          <c:min val="0"/>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106384927"/>
        <c:crosses val="autoZero"/>
        <c:crossBetween val="between"/>
        <c:majorUnit val="1"/>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800">
          <a:solidFill>
            <a:sysClr val="windowText" lastClr="000000"/>
          </a:solidFill>
          <a:latin typeface="Arial" panose="020B0604020202020204" pitchFamily="34" charset="0"/>
          <a:cs typeface="Arial" panose="020B0604020202020204" pitchFamily="34" charset="0"/>
        </a:defRPr>
      </a:pPr>
      <a:endParaRPr lang="en-US"/>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'KEQ 2 Barriers and enablers'!$B$14:$B$15</c:f>
              <c:strCache>
                <c:ptCount val="2"/>
                <c:pt idx="1">
                  <c:v>Frequency (n=)</c:v>
                </c:pt>
              </c:strCache>
            </c:strRef>
          </c:tx>
          <c:spPr>
            <a:solidFill>
              <a:schemeClr val="accent1"/>
            </a:solidFill>
            <a:ln>
              <a:noFill/>
            </a:ln>
            <a:effectLst/>
          </c:spPr>
          <c:invertIfNegative val="0"/>
          <c:dLbls>
            <c:dLbl>
              <c:idx val="0"/>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EE1-4497-8762-2C42566BFDEC}"/>
                </c:ext>
              </c:extLst>
            </c:dLbl>
            <c:dLbl>
              <c:idx val="1"/>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EE1-4497-8762-2C42566BFDEC}"/>
                </c:ext>
              </c:extLst>
            </c:dLbl>
            <c:dLbl>
              <c:idx val="2"/>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8EE1-4497-8762-2C42566BFDEC}"/>
                </c:ext>
              </c:extLst>
            </c:dLbl>
            <c:dLbl>
              <c:idx val="3"/>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EE1-4497-8762-2C42566BFDEC}"/>
                </c:ext>
              </c:extLst>
            </c:dLbl>
            <c:dLbl>
              <c:idx val="4"/>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8EE1-4497-8762-2C42566BFDEC}"/>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dLblPos val="outEnd"/>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'KEQ 2 Barriers and enablers'!$A$16:$A$20</c:f>
              <c:strCache>
                <c:ptCount val="5"/>
                <c:pt idx="0">
                  <c:v>Strongly agree</c:v>
                </c:pt>
                <c:pt idx="1">
                  <c:v>Agree</c:v>
                </c:pt>
                <c:pt idx="2">
                  <c:v>Neither agree nor disagree</c:v>
                </c:pt>
                <c:pt idx="3">
                  <c:v>Disagree</c:v>
                </c:pt>
                <c:pt idx="4">
                  <c:v>Strongly disagree</c:v>
                </c:pt>
              </c:strCache>
            </c:strRef>
          </c:cat>
          <c:val>
            <c:numRef>
              <c:f>'KEQ 2 Barriers and enablers'!$B$16:$B$20</c:f>
              <c:numCache>
                <c:formatCode>General</c:formatCode>
                <c:ptCount val="5"/>
                <c:pt idx="0">
                  <c:v>79</c:v>
                </c:pt>
                <c:pt idx="1">
                  <c:v>77</c:v>
                </c:pt>
                <c:pt idx="2">
                  <c:v>18</c:v>
                </c:pt>
                <c:pt idx="3">
                  <c:v>5</c:v>
                </c:pt>
                <c:pt idx="4">
                  <c:v>5</c:v>
                </c:pt>
              </c:numCache>
            </c:numRef>
          </c:val>
          <c:extLst>
            <c:ext xmlns:c16="http://schemas.microsoft.com/office/drawing/2014/chart" uri="{C3380CC4-5D6E-409C-BE32-E72D297353CC}">
              <c16:uniqueId val="{00000005-8EE1-4497-8762-2C42566BFDEC}"/>
            </c:ext>
          </c:extLst>
        </c:ser>
        <c:ser>
          <c:idx val="1"/>
          <c:order val="1"/>
          <c:tx>
            <c:strRef>
              <c:f>'KEQ 2 Barriers and enablers'!$C$14:$C$15</c:f>
              <c:strCache>
                <c:ptCount val="2"/>
                <c:pt idx="1">
                  <c:v>Percentage (%)</c:v>
                </c:pt>
              </c:strCache>
            </c:strRef>
          </c:tx>
          <c:spPr>
            <a:solidFill>
              <a:schemeClr val="accent2"/>
            </a:solidFill>
            <a:ln>
              <a:noFill/>
            </a:ln>
            <a:effectLst/>
          </c:spPr>
          <c:invertIfNegative val="0"/>
          <c:dLbls>
            <c:dLbl>
              <c:idx val="0"/>
              <c:tx>
                <c:rich>
                  <a:bodyPr/>
                  <a:lstStyle/>
                  <a:p>
                    <a:r>
                      <a:rPr lang="en-US"/>
                      <a:t>42.9</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6-8EE1-4497-8762-2C42566BFDEC}"/>
                </c:ext>
              </c:extLst>
            </c:dLbl>
            <c:dLbl>
              <c:idx val="1"/>
              <c:tx>
                <c:rich>
                  <a:bodyPr/>
                  <a:lstStyle/>
                  <a:p>
                    <a:r>
                      <a:rPr lang="en-US"/>
                      <a:t>41.8</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7-8EE1-4497-8762-2C42566BFDEC}"/>
                </c:ext>
              </c:extLst>
            </c:dLbl>
            <c:dLbl>
              <c:idx val="2"/>
              <c:tx>
                <c:rich>
                  <a:bodyPr/>
                  <a:lstStyle/>
                  <a:p>
                    <a:r>
                      <a:rPr lang="en-US"/>
                      <a:t>9.8</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8-8EE1-4497-8762-2C42566BFDEC}"/>
                </c:ext>
              </c:extLst>
            </c:dLbl>
            <c:dLbl>
              <c:idx val="3"/>
              <c:tx>
                <c:rich>
                  <a:bodyPr/>
                  <a:lstStyle/>
                  <a:p>
                    <a:r>
                      <a:rPr lang="en-US"/>
                      <a:t>2.7</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9-8EE1-4497-8762-2C42566BFDEC}"/>
                </c:ext>
              </c:extLst>
            </c:dLbl>
            <c:dLbl>
              <c:idx val="4"/>
              <c:tx>
                <c:rich>
                  <a:bodyPr/>
                  <a:lstStyle/>
                  <a:p>
                    <a:r>
                      <a:rPr lang="en-US"/>
                      <a:t>2.7</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A-8EE1-4497-8762-2C42566BFDEC}"/>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'KEQ 2 Barriers and enablers'!$A$16:$A$20</c:f>
              <c:strCache>
                <c:ptCount val="5"/>
                <c:pt idx="0">
                  <c:v>Strongly agree</c:v>
                </c:pt>
                <c:pt idx="1">
                  <c:v>Agree</c:v>
                </c:pt>
                <c:pt idx="2">
                  <c:v>Neither agree nor disagree</c:v>
                </c:pt>
                <c:pt idx="3">
                  <c:v>Disagree</c:v>
                </c:pt>
                <c:pt idx="4">
                  <c:v>Strongly disagree</c:v>
                </c:pt>
              </c:strCache>
            </c:strRef>
          </c:cat>
          <c:val>
            <c:numRef>
              <c:f>'KEQ 2 Barriers and enablers'!$C$16:$C$20</c:f>
              <c:numCache>
                <c:formatCode>0.0</c:formatCode>
                <c:ptCount val="5"/>
                <c:pt idx="0">
                  <c:v>40.72164948453608</c:v>
                </c:pt>
                <c:pt idx="1">
                  <c:v>39.690721649484537</c:v>
                </c:pt>
                <c:pt idx="2">
                  <c:v>9.2783505154639183</c:v>
                </c:pt>
                <c:pt idx="3">
                  <c:v>2.5773195876288657</c:v>
                </c:pt>
                <c:pt idx="4">
                  <c:v>2.5773195876288657</c:v>
                </c:pt>
              </c:numCache>
            </c:numRef>
          </c:val>
          <c:extLst>
            <c:ext xmlns:c16="http://schemas.microsoft.com/office/drawing/2014/chart" uri="{C3380CC4-5D6E-409C-BE32-E72D297353CC}">
              <c16:uniqueId val="{0000000B-8EE1-4497-8762-2C42566BFDEC}"/>
            </c:ext>
          </c:extLst>
        </c:ser>
        <c:dLbls>
          <c:dLblPos val="outEnd"/>
          <c:showLegendKey val="0"/>
          <c:showVal val="1"/>
          <c:showCatName val="0"/>
          <c:showSerName val="0"/>
          <c:showPercent val="0"/>
          <c:showBubbleSize val="0"/>
        </c:dLbls>
        <c:gapWidth val="219"/>
        <c:overlap val="-27"/>
        <c:axId val="1368525728"/>
        <c:axId val="1368525248"/>
      </c:barChart>
      <c:catAx>
        <c:axId val="1368525728"/>
        <c:scaling>
          <c:orientation val="minMax"/>
        </c:scaling>
        <c:delete val="0"/>
        <c:axPos val="b"/>
        <c:numFmt formatCode="General" sourceLinked="1"/>
        <c:majorTickMark val="none"/>
        <c:minorTickMark val="none"/>
        <c:tickLblPos val="nextTo"/>
        <c:spPr>
          <a:noFill/>
          <a:ln w="6350" cap="flat" cmpd="sng" algn="ctr">
            <a:solidFill>
              <a:schemeClr val="accent2"/>
            </a:solidFill>
            <a:prstDash val="solid"/>
            <a:miter lim="800000"/>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368525248"/>
        <c:crosses val="autoZero"/>
        <c:auto val="1"/>
        <c:lblAlgn val="ctr"/>
        <c:lblOffset val="100"/>
        <c:noMultiLvlLbl val="0"/>
      </c:catAx>
      <c:valAx>
        <c:axId val="1368525248"/>
        <c:scaling>
          <c:orientation val="minMax"/>
        </c:scaling>
        <c:delete val="0"/>
        <c:axPos val="l"/>
        <c:majorGridlines>
          <c:spPr>
            <a:ln w="9525" cap="flat" cmpd="sng" algn="ctr">
              <a:solidFill>
                <a:schemeClr val="accent4">
                  <a:lumMod val="9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3685257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en-US"/>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'KEQ 2 Barriers and enablers'!$B$37:$B$38</c:f>
              <c:strCache>
                <c:ptCount val="2"/>
                <c:pt idx="1">
                  <c:v>Frequency (n=)</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'KEQ 2 Barriers and enablers'!$A$39:$A$43</c:f>
              <c:strCache>
                <c:ptCount val="5"/>
                <c:pt idx="0">
                  <c:v>Strongly agree</c:v>
                </c:pt>
                <c:pt idx="1">
                  <c:v>Agree</c:v>
                </c:pt>
                <c:pt idx="2">
                  <c:v>Neither agree nor disagree</c:v>
                </c:pt>
                <c:pt idx="3">
                  <c:v>Disagree</c:v>
                </c:pt>
                <c:pt idx="4">
                  <c:v>Strongly disagree</c:v>
                </c:pt>
              </c:strCache>
            </c:strRef>
          </c:cat>
          <c:val>
            <c:numRef>
              <c:f>'KEQ 2 Barriers and enablers'!$B$39:$B$43</c:f>
              <c:numCache>
                <c:formatCode>General</c:formatCode>
                <c:ptCount val="5"/>
                <c:pt idx="0">
                  <c:v>62</c:v>
                </c:pt>
                <c:pt idx="1">
                  <c:v>82</c:v>
                </c:pt>
                <c:pt idx="2">
                  <c:v>19</c:v>
                </c:pt>
                <c:pt idx="3">
                  <c:v>18</c:v>
                </c:pt>
                <c:pt idx="4">
                  <c:v>5</c:v>
                </c:pt>
              </c:numCache>
            </c:numRef>
          </c:val>
          <c:extLst>
            <c:ext xmlns:c16="http://schemas.microsoft.com/office/drawing/2014/chart" uri="{C3380CC4-5D6E-409C-BE32-E72D297353CC}">
              <c16:uniqueId val="{00000000-2B67-4CBE-AEF1-3F5101A331AA}"/>
            </c:ext>
          </c:extLst>
        </c:ser>
        <c:ser>
          <c:idx val="1"/>
          <c:order val="1"/>
          <c:tx>
            <c:strRef>
              <c:f>'KEQ 2 Barriers and enablers'!$C$37:$C$38</c:f>
              <c:strCache>
                <c:ptCount val="2"/>
                <c:pt idx="1">
                  <c:v>Percentage (%)</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'KEQ 2 Barriers and enablers'!$A$39:$A$43</c:f>
              <c:strCache>
                <c:ptCount val="5"/>
                <c:pt idx="0">
                  <c:v>Strongly agree</c:v>
                </c:pt>
                <c:pt idx="1">
                  <c:v>Agree</c:v>
                </c:pt>
                <c:pt idx="2">
                  <c:v>Neither agree nor disagree</c:v>
                </c:pt>
                <c:pt idx="3">
                  <c:v>Disagree</c:v>
                </c:pt>
                <c:pt idx="4">
                  <c:v>Strongly disagree</c:v>
                </c:pt>
              </c:strCache>
            </c:strRef>
          </c:cat>
          <c:val>
            <c:numRef>
              <c:f>'KEQ 2 Barriers and enablers'!$C$39:$C$43</c:f>
              <c:numCache>
                <c:formatCode>0.0</c:formatCode>
                <c:ptCount val="5"/>
                <c:pt idx="0">
                  <c:v>31.958762886597935</c:v>
                </c:pt>
                <c:pt idx="1">
                  <c:v>42.268041237113401</c:v>
                </c:pt>
                <c:pt idx="2">
                  <c:v>9.7938144329896915</c:v>
                </c:pt>
                <c:pt idx="3">
                  <c:v>9.2783505154639183</c:v>
                </c:pt>
                <c:pt idx="4">
                  <c:v>2.5773195876288657</c:v>
                </c:pt>
              </c:numCache>
            </c:numRef>
          </c:val>
          <c:extLst>
            <c:ext xmlns:c16="http://schemas.microsoft.com/office/drawing/2014/chart" uri="{C3380CC4-5D6E-409C-BE32-E72D297353CC}">
              <c16:uniqueId val="{00000001-2B67-4CBE-AEF1-3F5101A331AA}"/>
            </c:ext>
          </c:extLst>
        </c:ser>
        <c:dLbls>
          <c:showLegendKey val="0"/>
          <c:showVal val="0"/>
          <c:showCatName val="0"/>
          <c:showSerName val="0"/>
          <c:showPercent val="0"/>
          <c:showBubbleSize val="0"/>
        </c:dLbls>
        <c:gapWidth val="219"/>
        <c:overlap val="-27"/>
        <c:axId val="1366997936"/>
        <c:axId val="1366999856"/>
      </c:barChart>
      <c:catAx>
        <c:axId val="1366997936"/>
        <c:scaling>
          <c:orientation val="minMax"/>
        </c:scaling>
        <c:delete val="0"/>
        <c:axPos val="b"/>
        <c:numFmt formatCode="General" sourceLinked="1"/>
        <c:majorTickMark val="none"/>
        <c:minorTickMark val="none"/>
        <c:tickLblPos val="nextTo"/>
        <c:spPr>
          <a:noFill/>
          <a:ln w="6350" cap="flat" cmpd="sng" algn="ctr">
            <a:solidFill>
              <a:schemeClr val="accent2"/>
            </a:solidFill>
            <a:prstDash val="solid"/>
            <a:miter lim="800000"/>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366999856"/>
        <c:crosses val="autoZero"/>
        <c:auto val="1"/>
        <c:lblAlgn val="ctr"/>
        <c:lblOffset val="100"/>
        <c:noMultiLvlLbl val="0"/>
      </c:catAx>
      <c:valAx>
        <c:axId val="1366999856"/>
        <c:scaling>
          <c:orientation val="minMax"/>
        </c:scaling>
        <c:delete val="0"/>
        <c:axPos val="l"/>
        <c:majorGridlines>
          <c:spPr>
            <a:ln w="9525" cap="flat" cmpd="sng" algn="ctr">
              <a:solidFill>
                <a:schemeClr val="accent4">
                  <a:lumMod val="9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3669979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en-US"/>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'KEQ 2 Barriers and enablers'!$B$28:$B$29</c:f>
              <c:strCache>
                <c:ptCount val="2"/>
                <c:pt idx="1">
                  <c:v>Frequency (n=)</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'KEQ 2 Barriers and enablers'!$A$30:$A$34</c:f>
              <c:strCache>
                <c:ptCount val="5"/>
                <c:pt idx="0">
                  <c:v>Strongly agree</c:v>
                </c:pt>
                <c:pt idx="1">
                  <c:v>Agree</c:v>
                </c:pt>
                <c:pt idx="2">
                  <c:v>Neither agree nor disagree</c:v>
                </c:pt>
                <c:pt idx="3">
                  <c:v>Disagree</c:v>
                </c:pt>
                <c:pt idx="4">
                  <c:v>Strongly disagree</c:v>
                </c:pt>
              </c:strCache>
            </c:strRef>
          </c:cat>
          <c:val>
            <c:numRef>
              <c:f>'KEQ 2 Barriers and enablers'!$B$30:$B$34</c:f>
              <c:numCache>
                <c:formatCode>General</c:formatCode>
                <c:ptCount val="5"/>
                <c:pt idx="0">
                  <c:v>39</c:v>
                </c:pt>
                <c:pt idx="1">
                  <c:v>76</c:v>
                </c:pt>
                <c:pt idx="2">
                  <c:v>36</c:v>
                </c:pt>
                <c:pt idx="3">
                  <c:v>25</c:v>
                </c:pt>
                <c:pt idx="4">
                  <c:v>10</c:v>
                </c:pt>
              </c:numCache>
            </c:numRef>
          </c:val>
          <c:extLst>
            <c:ext xmlns:c16="http://schemas.microsoft.com/office/drawing/2014/chart" uri="{C3380CC4-5D6E-409C-BE32-E72D297353CC}">
              <c16:uniqueId val="{00000000-CAB7-4ED7-8702-3350324CCF9A}"/>
            </c:ext>
          </c:extLst>
        </c:ser>
        <c:ser>
          <c:idx val="1"/>
          <c:order val="1"/>
          <c:tx>
            <c:strRef>
              <c:f>'KEQ 2 Barriers and enablers'!$C$28:$C$29</c:f>
              <c:strCache>
                <c:ptCount val="2"/>
                <c:pt idx="1">
                  <c:v>Percentage (%)</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'KEQ 2 Barriers and enablers'!$A$30:$A$34</c:f>
              <c:strCache>
                <c:ptCount val="5"/>
                <c:pt idx="0">
                  <c:v>Strongly agree</c:v>
                </c:pt>
                <c:pt idx="1">
                  <c:v>Agree</c:v>
                </c:pt>
                <c:pt idx="2">
                  <c:v>Neither agree nor disagree</c:v>
                </c:pt>
                <c:pt idx="3">
                  <c:v>Disagree</c:v>
                </c:pt>
                <c:pt idx="4">
                  <c:v>Strongly disagree</c:v>
                </c:pt>
              </c:strCache>
            </c:strRef>
          </c:cat>
          <c:val>
            <c:numRef>
              <c:f>'KEQ 2 Barriers and enablers'!$C$30:$C$34</c:f>
              <c:numCache>
                <c:formatCode>0.0</c:formatCode>
                <c:ptCount val="5"/>
                <c:pt idx="0">
                  <c:v>20.103092783505154</c:v>
                </c:pt>
                <c:pt idx="1">
                  <c:v>39.175257731958766</c:v>
                </c:pt>
                <c:pt idx="2">
                  <c:v>18.556701030927837</c:v>
                </c:pt>
                <c:pt idx="3">
                  <c:v>12.886597938144329</c:v>
                </c:pt>
                <c:pt idx="4">
                  <c:v>5.1546391752577314</c:v>
                </c:pt>
              </c:numCache>
            </c:numRef>
          </c:val>
          <c:extLst>
            <c:ext xmlns:c16="http://schemas.microsoft.com/office/drawing/2014/chart" uri="{C3380CC4-5D6E-409C-BE32-E72D297353CC}">
              <c16:uniqueId val="{00000001-CAB7-4ED7-8702-3350324CCF9A}"/>
            </c:ext>
          </c:extLst>
        </c:ser>
        <c:dLbls>
          <c:showLegendKey val="0"/>
          <c:showVal val="0"/>
          <c:showCatName val="0"/>
          <c:showSerName val="0"/>
          <c:showPercent val="0"/>
          <c:showBubbleSize val="0"/>
        </c:dLbls>
        <c:gapWidth val="219"/>
        <c:overlap val="-27"/>
        <c:axId val="1363298112"/>
        <c:axId val="1363292352"/>
      </c:barChart>
      <c:catAx>
        <c:axId val="1363298112"/>
        <c:scaling>
          <c:orientation val="minMax"/>
        </c:scaling>
        <c:delete val="0"/>
        <c:axPos val="b"/>
        <c:numFmt formatCode="General" sourceLinked="1"/>
        <c:majorTickMark val="none"/>
        <c:minorTickMark val="none"/>
        <c:tickLblPos val="nextTo"/>
        <c:spPr>
          <a:noFill/>
          <a:ln w="6350" cap="flat" cmpd="sng" algn="ctr">
            <a:solidFill>
              <a:srgbClr val="36424A"/>
            </a:solidFill>
            <a:prstDash val="solid"/>
            <a:miter lim="800000"/>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363292352"/>
        <c:crosses val="autoZero"/>
        <c:auto val="1"/>
        <c:lblAlgn val="ctr"/>
        <c:lblOffset val="100"/>
        <c:noMultiLvlLbl val="0"/>
      </c:catAx>
      <c:valAx>
        <c:axId val="1363292352"/>
        <c:scaling>
          <c:orientation val="minMax"/>
        </c:scaling>
        <c:delete val="0"/>
        <c:axPos val="l"/>
        <c:majorGridlines>
          <c:spPr>
            <a:ln w="9525" cap="flat" cmpd="sng" algn="ctr">
              <a:solidFill>
                <a:schemeClr val="accent4">
                  <a:lumMod val="9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3632981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2"/>
          <c:order val="0"/>
          <c:tx>
            <c:strRef>
              <c:f>Sheet1!$E$32</c:f>
              <c:strCache>
                <c:ptCount val="1"/>
                <c:pt idx="0">
                  <c:v> QLD  </c:v>
                </c:pt>
              </c:strCache>
            </c:strRef>
          </c:tx>
          <c:spPr>
            <a:ln w="28575" cap="rnd">
              <a:solidFill>
                <a:schemeClr val="accent1"/>
              </a:solidFill>
              <a:round/>
            </a:ln>
            <a:effectLst/>
          </c:spPr>
          <c:marker>
            <c:symbol val="none"/>
          </c:marker>
          <c:cat>
            <c:strRef>
              <c:f>Sheet1!$F$29:$K$29</c:f>
              <c:strCache>
                <c:ptCount val="6"/>
                <c:pt idx="0">
                  <c:v> 2021-22  </c:v>
                </c:pt>
                <c:pt idx="1">
                  <c:v> 2022-23  </c:v>
                </c:pt>
                <c:pt idx="2">
                  <c:v> 2023-24  </c:v>
                </c:pt>
                <c:pt idx="3">
                  <c:v> 2024-25  </c:v>
                </c:pt>
                <c:pt idx="4">
                  <c:v> 2025-26  </c:v>
                </c:pt>
                <c:pt idx="5">
                  <c:v> 2026-27  </c:v>
                </c:pt>
              </c:strCache>
            </c:strRef>
          </c:cat>
          <c:val>
            <c:numRef>
              <c:f>Sheet1!$F$32:$K$32</c:f>
              <c:numCache>
                <c:formatCode>"$"#,##0</c:formatCode>
                <c:ptCount val="6"/>
                <c:pt idx="0">
                  <c:v>1467304</c:v>
                </c:pt>
                <c:pt idx="1">
                  <c:v>2733409</c:v>
                </c:pt>
                <c:pt idx="2">
                  <c:v>3082461</c:v>
                </c:pt>
                <c:pt idx="3">
                  <c:v>2884034</c:v>
                </c:pt>
                <c:pt idx="4">
                  <c:v>2900292</c:v>
                </c:pt>
                <c:pt idx="5">
                  <c:v>1084990</c:v>
                </c:pt>
              </c:numCache>
            </c:numRef>
          </c:val>
          <c:smooth val="0"/>
          <c:extLst>
            <c:ext xmlns:c16="http://schemas.microsoft.com/office/drawing/2014/chart" uri="{C3380CC4-5D6E-409C-BE32-E72D297353CC}">
              <c16:uniqueId val="{00000000-E81D-41E7-8C44-7CD9D1ABAA16}"/>
            </c:ext>
          </c:extLst>
        </c:ser>
        <c:ser>
          <c:idx val="1"/>
          <c:order val="1"/>
          <c:tx>
            <c:strRef>
              <c:f>Sheet1!$E$31</c:f>
              <c:strCache>
                <c:ptCount val="1"/>
                <c:pt idx="0">
                  <c:v> VIC  </c:v>
                </c:pt>
              </c:strCache>
            </c:strRef>
          </c:tx>
          <c:spPr>
            <a:ln w="28575" cap="rnd">
              <a:solidFill>
                <a:schemeClr val="accent2"/>
              </a:solidFill>
              <a:round/>
            </a:ln>
            <a:effectLst/>
          </c:spPr>
          <c:marker>
            <c:symbol val="none"/>
          </c:marker>
          <c:cat>
            <c:strRef>
              <c:f>Sheet1!$F$29:$K$29</c:f>
              <c:strCache>
                <c:ptCount val="6"/>
                <c:pt idx="0">
                  <c:v> 2021-22  </c:v>
                </c:pt>
                <c:pt idx="1">
                  <c:v> 2022-23  </c:v>
                </c:pt>
                <c:pt idx="2">
                  <c:v> 2023-24  </c:v>
                </c:pt>
                <c:pt idx="3">
                  <c:v> 2024-25  </c:v>
                </c:pt>
                <c:pt idx="4">
                  <c:v> 2025-26  </c:v>
                </c:pt>
                <c:pt idx="5">
                  <c:v> 2026-27  </c:v>
                </c:pt>
              </c:strCache>
            </c:strRef>
          </c:cat>
          <c:val>
            <c:numRef>
              <c:f>Sheet1!$F$31:$K$31</c:f>
              <c:numCache>
                <c:formatCode>"$"#,##0</c:formatCode>
                <c:ptCount val="6"/>
                <c:pt idx="0">
                  <c:v>1063755</c:v>
                </c:pt>
                <c:pt idx="1">
                  <c:v>1943176</c:v>
                </c:pt>
                <c:pt idx="2">
                  <c:v>2093403</c:v>
                </c:pt>
                <c:pt idx="3">
                  <c:v>1970854</c:v>
                </c:pt>
                <c:pt idx="4">
                  <c:v>1985977</c:v>
                </c:pt>
                <c:pt idx="5">
                  <c:v>566930</c:v>
                </c:pt>
              </c:numCache>
            </c:numRef>
          </c:val>
          <c:smooth val="0"/>
          <c:extLst>
            <c:ext xmlns:c16="http://schemas.microsoft.com/office/drawing/2014/chart" uri="{C3380CC4-5D6E-409C-BE32-E72D297353CC}">
              <c16:uniqueId val="{00000001-E81D-41E7-8C44-7CD9D1ABAA16}"/>
            </c:ext>
          </c:extLst>
        </c:ser>
        <c:ser>
          <c:idx val="0"/>
          <c:order val="2"/>
          <c:tx>
            <c:strRef>
              <c:f>Sheet1!$E$30</c:f>
              <c:strCache>
                <c:ptCount val="1"/>
                <c:pt idx="0">
                  <c:v> NSW  </c:v>
                </c:pt>
              </c:strCache>
            </c:strRef>
          </c:tx>
          <c:spPr>
            <a:ln w="28575" cap="rnd">
              <a:solidFill>
                <a:schemeClr val="accent3"/>
              </a:solidFill>
              <a:round/>
            </a:ln>
            <a:effectLst/>
          </c:spPr>
          <c:marker>
            <c:symbol val="none"/>
          </c:marker>
          <c:cat>
            <c:strRef>
              <c:f>Sheet1!$F$29:$K$29</c:f>
              <c:strCache>
                <c:ptCount val="6"/>
                <c:pt idx="0">
                  <c:v> 2021-22  </c:v>
                </c:pt>
                <c:pt idx="1">
                  <c:v> 2022-23  </c:v>
                </c:pt>
                <c:pt idx="2">
                  <c:v> 2023-24  </c:v>
                </c:pt>
                <c:pt idx="3">
                  <c:v> 2024-25  </c:v>
                </c:pt>
                <c:pt idx="4">
                  <c:v> 2025-26  </c:v>
                </c:pt>
                <c:pt idx="5">
                  <c:v> 2026-27  </c:v>
                </c:pt>
              </c:strCache>
            </c:strRef>
          </c:cat>
          <c:val>
            <c:numRef>
              <c:f>Sheet1!$F$30:$K$30</c:f>
              <c:numCache>
                <c:formatCode>"$"#,##0</c:formatCode>
                <c:ptCount val="6"/>
                <c:pt idx="0">
                  <c:v>918003</c:v>
                </c:pt>
                <c:pt idx="1">
                  <c:v>2055895</c:v>
                </c:pt>
                <c:pt idx="2">
                  <c:v>2344805</c:v>
                </c:pt>
                <c:pt idx="3">
                  <c:v>2197230</c:v>
                </c:pt>
                <c:pt idx="4">
                  <c:v>2212938</c:v>
                </c:pt>
                <c:pt idx="5">
                  <c:v>1017984</c:v>
                </c:pt>
              </c:numCache>
            </c:numRef>
          </c:val>
          <c:smooth val="0"/>
          <c:extLst>
            <c:ext xmlns:c16="http://schemas.microsoft.com/office/drawing/2014/chart" uri="{C3380CC4-5D6E-409C-BE32-E72D297353CC}">
              <c16:uniqueId val="{00000002-E81D-41E7-8C44-7CD9D1ABAA16}"/>
            </c:ext>
          </c:extLst>
        </c:ser>
        <c:ser>
          <c:idx val="4"/>
          <c:order val="3"/>
          <c:tx>
            <c:strRef>
              <c:f>Sheet1!$E$34</c:f>
              <c:strCache>
                <c:ptCount val="1"/>
                <c:pt idx="0">
                  <c:v> WA  </c:v>
                </c:pt>
              </c:strCache>
            </c:strRef>
          </c:tx>
          <c:spPr>
            <a:ln w="28575" cap="rnd">
              <a:solidFill>
                <a:srgbClr val="7F8BFD"/>
              </a:solidFill>
              <a:round/>
            </a:ln>
            <a:effectLst/>
          </c:spPr>
          <c:marker>
            <c:symbol val="none"/>
          </c:marker>
          <c:cat>
            <c:strRef>
              <c:f>Sheet1!$F$29:$K$29</c:f>
              <c:strCache>
                <c:ptCount val="6"/>
                <c:pt idx="0">
                  <c:v> 2021-22  </c:v>
                </c:pt>
                <c:pt idx="1">
                  <c:v> 2022-23  </c:v>
                </c:pt>
                <c:pt idx="2">
                  <c:v> 2023-24  </c:v>
                </c:pt>
                <c:pt idx="3">
                  <c:v> 2024-25  </c:v>
                </c:pt>
                <c:pt idx="4">
                  <c:v> 2025-26  </c:v>
                </c:pt>
                <c:pt idx="5">
                  <c:v> 2026-27  </c:v>
                </c:pt>
              </c:strCache>
            </c:strRef>
          </c:cat>
          <c:val>
            <c:numRef>
              <c:f>Sheet1!$F$34:$K$34</c:f>
              <c:numCache>
                <c:formatCode>"$"#,##0</c:formatCode>
                <c:ptCount val="6"/>
                <c:pt idx="0">
                  <c:v>726073</c:v>
                </c:pt>
                <c:pt idx="1">
                  <c:v>1460708</c:v>
                </c:pt>
                <c:pt idx="2">
                  <c:v>1597652</c:v>
                </c:pt>
                <c:pt idx="3">
                  <c:v>1499522</c:v>
                </c:pt>
                <c:pt idx="4">
                  <c:v>1512544</c:v>
                </c:pt>
                <c:pt idx="5">
                  <c:v>518599</c:v>
                </c:pt>
              </c:numCache>
            </c:numRef>
          </c:val>
          <c:smooth val="0"/>
          <c:extLst>
            <c:ext xmlns:c16="http://schemas.microsoft.com/office/drawing/2014/chart" uri="{C3380CC4-5D6E-409C-BE32-E72D297353CC}">
              <c16:uniqueId val="{00000003-E81D-41E7-8C44-7CD9D1ABAA16}"/>
            </c:ext>
          </c:extLst>
        </c:ser>
        <c:ser>
          <c:idx val="3"/>
          <c:order val="4"/>
          <c:tx>
            <c:strRef>
              <c:f>Sheet1!$E$33</c:f>
              <c:strCache>
                <c:ptCount val="1"/>
                <c:pt idx="0">
                  <c:v> SA  </c:v>
                </c:pt>
              </c:strCache>
            </c:strRef>
          </c:tx>
          <c:spPr>
            <a:ln w="28575" cap="rnd">
              <a:solidFill>
                <a:srgbClr val="FDA80F"/>
              </a:solidFill>
              <a:round/>
            </a:ln>
            <a:effectLst/>
          </c:spPr>
          <c:marker>
            <c:symbol val="none"/>
          </c:marker>
          <c:cat>
            <c:strRef>
              <c:f>Sheet1!$F$29:$K$29</c:f>
              <c:strCache>
                <c:ptCount val="6"/>
                <c:pt idx="0">
                  <c:v> 2021-22  </c:v>
                </c:pt>
                <c:pt idx="1">
                  <c:v> 2022-23  </c:v>
                </c:pt>
                <c:pt idx="2">
                  <c:v> 2023-24  </c:v>
                </c:pt>
                <c:pt idx="3">
                  <c:v> 2024-25  </c:v>
                </c:pt>
                <c:pt idx="4">
                  <c:v> 2025-26  </c:v>
                </c:pt>
                <c:pt idx="5">
                  <c:v> 2026-27  </c:v>
                </c:pt>
              </c:strCache>
            </c:strRef>
          </c:cat>
          <c:val>
            <c:numRef>
              <c:f>Sheet1!$F$33:$K$33</c:f>
              <c:numCache>
                <c:formatCode>"$"#,##0</c:formatCode>
                <c:ptCount val="6"/>
                <c:pt idx="0">
                  <c:v>703468</c:v>
                </c:pt>
                <c:pt idx="1">
                  <c:v>1430611</c:v>
                </c:pt>
                <c:pt idx="2">
                  <c:v>1663802</c:v>
                </c:pt>
                <c:pt idx="3">
                  <c:v>1559455</c:v>
                </c:pt>
                <c:pt idx="4">
                  <c:v>1572721</c:v>
                </c:pt>
                <c:pt idx="5">
                  <c:v>524213</c:v>
                </c:pt>
              </c:numCache>
            </c:numRef>
          </c:val>
          <c:smooth val="0"/>
          <c:extLst>
            <c:ext xmlns:c16="http://schemas.microsoft.com/office/drawing/2014/chart" uri="{C3380CC4-5D6E-409C-BE32-E72D297353CC}">
              <c16:uniqueId val="{00000004-E81D-41E7-8C44-7CD9D1ABAA16}"/>
            </c:ext>
          </c:extLst>
        </c:ser>
        <c:ser>
          <c:idx val="6"/>
          <c:order val="5"/>
          <c:tx>
            <c:strRef>
              <c:f>Sheet1!$E$36</c:f>
              <c:strCache>
                <c:ptCount val="1"/>
                <c:pt idx="0">
                  <c:v> NT </c:v>
                </c:pt>
              </c:strCache>
            </c:strRef>
          </c:tx>
          <c:spPr>
            <a:ln w="28575" cap="rnd">
              <a:solidFill>
                <a:srgbClr val="486E00"/>
              </a:solidFill>
              <a:round/>
            </a:ln>
            <a:effectLst/>
          </c:spPr>
          <c:marker>
            <c:symbol val="none"/>
          </c:marker>
          <c:cat>
            <c:strRef>
              <c:f>Sheet1!$F$29:$K$29</c:f>
              <c:strCache>
                <c:ptCount val="6"/>
                <c:pt idx="0">
                  <c:v> 2021-22  </c:v>
                </c:pt>
                <c:pt idx="1">
                  <c:v> 2022-23  </c:v>
                </c:pt>
                <c:pt idx="2">
                  <c:v> 2023-24  </c:v>
                </c:pt>
                <c:pt idx="3">
                  <c:v> 2024-25  </c:v>
                </c:pt>
                <c:pt idx="4">
                  <c:v> 2025-26  </c:v>
                </c:pt>
                <c:pt idx="5">
                  <c:v> 2026-27  </c:v>
                </c:pt>
              </c:strCache>
            </c:strRef>
          </c:cat>
          <c:val>
            <c:numRef>
              <c:f>Sheet1!$F$36:$K$36</c:f>
              <c:numCache>
                <c:formatCode>"$"#,##0</c:formatCode>
                <c:ptCount val="6"/>
                <c:pt idx="0">
                  <c:v>450278</c:v>
                </c:pt>
                <c:pt idx="1">
                  <c:v>1389508</c:v>
                </c:pt>
                <c:pt idx="2">
                  <c:v>1541936</c:v>
                </c:pt>
                <c:pt idx="3">
                  <c:v>1558595</c:v>
                </c:pt>
                <c:pt idx="4">
                  <c:v>1346390</c:v>
                </c:pt>
                <c:pt idx="5">
                  <c:v>789717</c:v>
                </c:pt>
              </c:numCache>
            </c:numRef>
          </c:val>
          <c:smooth val="0"/>
          <c:extLst>
            <c:ext xmlns:c16="http://schemas.microsoft.com/office/drawing/2014/chart" uri="{C3380CC4-5D6E-409C-BE32-E72D297353CC}">
              <c16:uniqueId val="{00000005-E81D-41E7-8C44-7CD9D1ABAA16}"/>
            </c:ext>
          </c:extLst>
        </c:ser>
        <c:ser>
          <c:idx val="5"/>
          <c:order val="6"/>
          <c:tx>
            <c:strRef>
              <c:f>Sheet1!$E$35</c:f>
              <c:strCache>
                <c:ptCount val="1"/>
                <c:pt idx="0">
                  <c:v> TAS  </c:v>
                </c:pt>
              </c:strCache>
            </c:strRef>
          </c:tx>
          <c:spPr>
            <a:ln w="28575" cap="rnd">
              <a:solidFill>
                <a:srgbClr val="C00000"/>
              </a:solidFill>
              <a:round/>
            </a:ln>
            <a:effectLst/>
          </c:spPr>
          <c:marker>
            <c:symbol val="none"/>
          </c:marker>
          <c:cat>
            <c:strRef>
              <c:f>Sheet1!$F$29:$K$29</c:f>
              <c:strCache>
                <c:ptCount val="6"/>
                <c:pt idx="0">
                  <c:v> 2021-22  </c:v>
                </c:pt>
                <c:pt idx="1">
                  <c:v> 2022-23  </c:v>
                </c:pt>
                <c:pt idx="2">
                  <c:v> 2023-24  </c:v>
                </c:pt>
                <c:pt idx="3">
                  <c:v> 2024-25  </c:v>
                </c:pt>
                <c:pt idx="4">
                  <c:v> 2025-26  </c:v>
                </c:pt>
                <c:pt idx="5">
                  <c:v> 2026-27  </c:v>
                </c:pt>
              </c:strCache>
            </c:strRef>
          </c:cat>
          <c:val>
            <c:numRef>
              <c:f>Sheet1!$F$35:$K$35</c:f>
              <c:numCache>
                <c:formatCode>"$"#,##0</c:formatCode>
                <c:ptCount val="6"/>
                <c:pt idx="0">
                  <c:v>368378</c:v>
                </c:pt>
                <c:pt idx="1">
                  <c:v>484425</c:v>
                </c:pt>
                <c:pt idx="2">
                  <c:v>504910</c:v>
                </c:pt>
                <c:pt idx="3">
                  <c:v>469753</c:v>
                </c:pt>
                <c:pt idx="4">
                  <c:v>469753</c:v>
                </c:pt>
                <c:pt idx="5">
                  <c:v>0</c:v>
                </c:pt>
              </c:numCache>
            </c:numRef>
          </c:val>
          <c:smooth val="0"/>
          <c:extLst>
            <c:ext xmlns:c16="http://schemas.microsoft.com/office/drawing/2014/chart" uri="{C3380CC4-5D6E-409C-BE32-E72D297353CC}">
              <c16:uniqueId val="{00000006-E81D-41E7-8C44-7CD9D1ABAA16}"/>
            </c:ext>
          </c:extLst>
        </c:ser>
        <c:ser>
          <c:idx val="7"/>
          <c:order val="7"/>
          <c:tx>
            <c:strRef>
              <c:f>Sheet1!$E$37</c:f>
              <c:strCache>
                <c:ptCount val="1"/>
                <c:pt idx="0">
                  <c:v> ACT  </c:v>
                </c:pt>
              </c:strCache>
            </c:strRef>
          </c:tx>
          <c:spPr>
            <a:ln w="28575" cap="rnd">
              <a:solidFill>
                <a:srgbClr val="6E0066"/>
              </a:solidFill>
              <a:round/>
            </a:ln>
            <a:effectLst/>
          </c:spPr>
          <c:marker>
            <c:symbol val="none"/>
          </c:marker>
          <c:cat>
            <c:strRef>
              <c:f>Sheet1!$F$29:$K$29</c:f>
              <c:strCache>
                <c:ptCount val="6"/>
                <c:pt idx="0">
                  <c:v> 2021-22  </c:v>
                </c:pt>
                <c:pt idx="1">
                  <c:v> 2022-23  </c:v>
                </c:pt>
                <c:pt idx="2">
                  <c:v> 2023-24  </c:v>
                </c:pt>
                <c:pt idx="3">
                  <c:v> 2024-25  </c:v>
                </c:pt>
                <c:pt idx="4">
                  <c:v> 2025-26  </c:v>
                </c:pt>
                <c:pt idx="5">
                  <c:v> 2026-27  </c:v>
                </c:pt>
              </c:strCache>
            </c:strRef>
          </c:cat>
          <c:val>
            <c:numRef>
              <c:f>Sheet1!$F$37:$K$37</c:f>
              <c:numCache>
                <c:formatCode>"$"#,##0</c:formatCode>
                <c:ptCount val="6"/>
                <c:pt idx="0">
                  <c:v>213652</c:v>
                </c:pt>
                <c:pt idx="1">
                  <c:v>483024</c:v>
                </c:pt>
                <c:pt idx="2">
                  <c:v>568190</c:v>
                </c:pt>
                <c:pt idx="3">
                  <c:v>539781</c:v>
                </c:pt>
                <c:pt idx="4">
                  <c:v>550935</c:v>
                </c:pt>
                <c:pt idx="5">
                  <c:v>256545</c:v>
                </c:pt>
              </c:numCache>
            </c:numRef>
          </c:val>
          <c:smooth val="0"/>
          <c:extLst>
            <c:ext xmlns:c16="http://schemas.microsoft.com/office/drawing/2014/chart" uri="{C3380CC4-5D6E-409C-BE32-E72D297353CC}">
              <c16:uniqueId val="{00000007-E81D-41E7-8C44-7CD9D1ABAA16}"/>
            </c:ext>
          </c:extLst>
        </c:ser>
        <c:dLbls>
          <c:showLegendKey val="0"/>
          <c:showVal val="0"/>
          <c:showCatName val="0"/>
          <c:showSerName val="0"/>
          <c:showPercent val="0"/>
          <c:showBubbleSize val="0"/>
        </c:dLbls>
        <c:smooth val="0"/>
        <c:axId val="50287759"/>
        <c:axId val="50289199"/>
      </c:lineChart>
      <c:catAx>
        <c:axId val="50287759"/>
        <c:scaling>
          <c:orientation val="minMax"/>
        </c:scaling>
        <c:delete val="0"/>
        <c:axPos val="b"/>
        <c:numFmt formatCode="General" sourceLinked="1"/>
        <c:majorTickMark val="none"/>
        <c:minorTickMark val="none"/>
        <c:tickLblPos val="nextTo"/>
        <c:spPr>
          <a:noFill/>
          <a:ln w="6350" cap="flat" cmpd="sng" algn="ctr">
            <a:solidFill>
              <a:schemeClr val="accent2"/>
            </a:solidFill>
            <a:prstDash val="solid"/>
            <a:miter lim="800000"/>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50289199"/>
        <c:crosses val="autoZero"/>
        <c:auto val="1"/>
        <c:lblAlgn val="ctr"/>
        <c:lblOffset val="100"/>
        <c:noMultiLvlLbl val="0"/>
      </c:catAx>
      <c:valAx>
        <c:axId val="50289199"/>
        <c:scaling>
          <c:orientation val="minMax"/>
        </c:scaling>
        <c:delete val="0"/>
        <c:axPos val="l"/>
        <c:majorGridlines>
          <c:spPr>
            <a:ln w="6350" cap="flat" cmpd="sng" algn="ctr">
              <a:solidFill>
                <a:schemeClr val="accent4"/>
              </a:solidFill>
              <a:prstDash val="solid"/>
              <a:miter lim="800000"/>
            </a:ln>
            <a:effectLst/>
          </c:spPr>
        </c:majorGridlines>
        <c:numFmt formatCode="&quot;$&quot;#,##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bg2"/>
                </a:solidFill>
                <a:latin typeface="+mn-lt"/>
                <a:ea typeface="+mn-ea"/>
                <a:cs typeface="+mn-cs"/>
              </a:defRPr>
            </a:pPr>
            <a:endParaRPr lang="en-US"/>
          </a:p>
        </c:txPr>
        <c:crossAx val="5028775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bg2"/>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solidFill>
            <a:schemeClr val="bg2"/>
          </a:solidFill>
        </a:defRPr>
      </a:pPr>
      <a:endParaRPr lang="en-US"/>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'Hear about the service'!$I$16</c:f>
              <c:strCache>
                <c:ptCount val="1"/>
                <c:pt idx="0">
                  <c:v>Frequency (n=)</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'Hear about the service'!$H$17:$H$20</c:f>
              <c:strCache>
                <c:ptCount val="4"/>
                <c:pt idx="0">
                  <c:v>A community organisation</c:v>
                </c:pt>
                <c:pt idx="1">
                  <c:v>A health service</c:v>
                </c:pt>
                <c:pt idx="2">
                  <c:v>Family or friends</c:v>
                </c:pt>
                <c:pt idx="3">
                  <c:v>Other (please specify)</c:v>
                </c:pt>
              </c:strCache>
            </c:strRef>
          </c:cat>
          <c:val>
            <c:numRef>
              <c:f>'Hear about the service'!$I$17:$I$20</c:f>
              <c:numCache>
                <c:formatCode>General</c:formatCode>
                <c:ptCount val="4"/>
                <c:pt idx="0">
                  <c:v>34</c:v>
                </c:pt>
                <c:pt idx="1">
                  <c:v>39</c:v>
                </c:pt>
                <c:pt idx="2">
                  <c:v>66</c:v>
                </c:pt>
                <c:pt idx="3">
                  <c:v>48</c:v>
                </c:pt>
              </c:numCache>
            </c:numRef>
          </c:val>
          <c:extLst>
            <c:ext xmlns:c16="http://schemas.microsoft.com/office/drawing/2014/chart" uri="{C3380CC4-5D6E-409C-BE32-E72D297353CC}">
              <c16:uniqueId val="{00000000-A2C3-49E7-9512-C992EC2FD35E}"/>
            </c:ext>
          </c:extLst>
        </c:ser>
        <c:ser>
          <c:idx val="1"/>
          <c:order val="1"/>
          <c:tx>
            <c:strRef>
              <c:f>'Hear about the service'!$J$16</c:f>
              <c:strCache>
                <c:ptCount val="1"/>
                <c:pt idx="0">
                  <c:v>Percentage (%)</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'Hear about the service'!$H$17:$H$20</c:f>
              <c:strCache>
                <c:ptCount val="4"/>
                <c:pt idx="0">
                  <c:v>A community organisation</c:v>
                </c:pt>
                <c:pt idx="1">
                  <c:v>A health service</c:v>
                </c:pt>
                <c:pt idx="2">
                  <c:v>Family or friends</c:v>
                </c:pt>
                <c:pt idx="3">
                  <c:v>Other (please specify)</c:v>
                </c:pt>
              </c:strCache>
            </c:strRef>
          </c:cat>
          <c:val>
            <c:numRef>
              <c:f>'Hear about the service'!$J$17:$J$20</c:f>
              <c:numCache>
                <c:formatCode>0.0</c:formatCode>
                <c:ptCount val="4"/>
                <c:pt idx="0">
                  <c:v>18.181818181818183</c:v>
                </c:pt>
                <c:pt idx="1">
                  <c:v>20.855614973262032</c:v>
                </c:pt>
                <c:pt idx="2">
                  <c:v>35.294117647058826</c:v>
                </c:pt>
                <c:pt idx="3">
                  <c:v>25.668449197860966</c:v>
                </c:pt>
              </c:numCache>
            </c:numRef>
          </c:val>
          <c:extLst>
            <c:ext xmlns:c16="http://schemas.microsoft.com/office/drawing/2014/chart" uri="{C3380CC4-5D6E-409C-BE32-E72D297353CC}">
              <c16:uniqueId val="{00000001-A2C3-49E7-9512-C992EC2FD35E}"/>
            </c:ext>
          </c:extLst>
        </c:ser>
        <c:dLbls>
          <c:showLegendKey val="0"/>
          <c:showVal val="0"/>
          <c:showCatName val="0"/>
          <c:showSerName val="0"/>
          <c:showPercent val="0"/>
          <c:showBubbleSize val="0"/>
        </c:dLbls>
        <c:gapWidth val="219"/>
        <c:overlap val="-27"/>
        <c:axId val="194644672"/>
        <c:axId val="194639392"/>
      </c:barChart>
      <c:catAx>
        <c:axId val="194644672"/>
        <c:scaling>
          <c:orientation val="minMax"/>
        </c:scaling>
        <c:delete val="0"/>
        <c:axPos val="b"/>
        <c:numFmt formatCode="General" sourceLinked="1"/>
        <c:majorTickMark val="none"/>
        <c:minorTickMark val="none"/>
        <c:tickLblPos val="nextTo"/>
        <c:spPr>
          <a:noFill/>
          <a:ln w="6350" cap="flat" cmpd="sng" algn="ctr">
            <a:solidFill>
              <a:schemeClr val="accent2"/>
            </a:solidFill>
            <a:prstDash val="solid"/>
            <a:miter lim="800000"/>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94639392"/>
        <c:crosses val="autoZero"/>
        <c:auto val="1"/>
        <c:lblAlgn val="ctr"/>
        <c:lblOffset val="100"/>
        <c:noMultiLvlLbl val="0"/>
      </c:catAx>
      <c:valAx>
        <c:axId val="194639392"/>
        <c:scaling>
          <c:orientation val="minMax"/>
        </c:scaling>
        <c:delete val="0"/>
        <c:axPos val="l"/>
        <c:majorGridlines>
          <c:spPr>
            <a:ln w="6350" cap="flat" cmpd="sng" algn="ctr">
              <a:solidFill>
                <a:schemeClr val="accent4"/>
              </a:solidFill>
              <a:prstDash val="solid"/>
              <a:miter lim="800000"/>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946446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en-US"/>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'FaRS reason for getting support'!$E$3</c:f>
              <c:strCache>
                <c:ptCount val="1"/>
                <c:pt idx="0">
                  <c:v>Frequency (n=)</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'FaRS reason for getting support'!$D$4:$D$8</c:f>
              <c:strCache>
                <c:ptCount val="5"/>
                <c:pt idx="0">
                  <c:v>Mental health</c:v>
                </c:pt>
                <c:pt idx="1">
                  <c:v>Relationship issues</c:v>
                </c:pt>
                <c:pt idx="2">
                  <c:v>Parenting support</c:v>
                </c:pt>
                <c:pt idx="3">
                  <c:v>Violence or abuse</c:v>
                </c:pt>
                <c:pt idx="4">
                  <c:v>Family issues</c:v>
                </c:pt>
              </c:strCache>
            </c:strRef>
          </c:cat>
          <c:val>
            <c:numRef>
              <c:f>'FaRS reason for getting support'!$E$4:$E$8</c:f>
              <c:numCache>
                <c:formatCode>General</c:formatCode>
                <c:ptCount val="5"/>
                <c:pt idx="0">
                  <c:v>62</c:v>
                </c:pt>
                <c:pt idx="1">
                  <c:v>127</c:v>
                </c:pt>
                <c:pt idx="2">
                  <c:v>32</c:v>
                </c:pt>
                <c:pt idx="3">
                  <c:v>29</c:v>
                </c:pt>
                <c:pt idx="4">
                  <c:v>53</c:v>
                </c:pt>
              </c:numCache>
            </c:numRef>
          </c:val>
          <c:extLst>
            <c:ext xmlns:c16="http://schemas.microsoft.com/office/drawing/2014/chart" uri="{C3380CC4-5D6E-409C-BE32-E72D297353CC}">
              <c16:uniqueId val="{00000000-25D2-46BB-9F75-EF4448C402E7}"/>
            </c:ext>
          </c:extLst>
        </c:ser>
        <c:ser>
          <c:idx val="1"/>
          <c:order val="1"/>
          <c:tx>
            <c:strRef>
              <c:f>'FaRS reason for getting support'!$F$3</c:f>
              <c:strCache>
                <c:ptCount val="1"/>
                <c:pt idx="0">
                  <c:v>Percentage (%)</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'FaRS reason for getting support'!$D$4:$D$8</c:f>
              <c:strCache>
                <c:ptCount val="5"/>
                <c:pt idx="0">
                  <c:v>Mental health</c:v>
                </c:pt>
                <c:pt idx="1">
                  <c:v>Relationship issues</c:v>
                </c:pt>
                <c:pt idx="2">
                  <c:v>Parenting support</c:v>
                </c:pt>
                <c:pt idx="3">
                  <c:v>Violence or abuse</c:v>
                </c:pt>
                <c:pt idx="4">
                  <c:v>Family issues</c:v>
                </c:pt>
              </c:strCache>
            </c:strRef>
          </c:cat>
          <c:val>
            <c:numRef>
              <c:f>'FaRS reason for getting support'!$F$4:$F$8</c:f>
              <c:numCache>
                <c:formatCode>0.0</c:formatCode>
                <c:ptCount val="5"/>
                <c:pt idx="0">
                  <c:v>38.9937106918239</c:v>
                </c:pt>
                <c:pt idx="1">
                  <c:v>79.874213836477992</c:v>
                </c:pt>
                <c:pt idx="2">
                  <c:v>20.125786163522015</c:v>
                </c:pt>
                <c:pt idx="3">
                  <c:v>18.238993710691823</c:v>
                </c:pt>
                <c:pt idx="4">
                  <c:v>33.333333333333329</c:v>
                </c:pt>
              </c:numCache>
            </c:numRef>
          </c:val>
          <c:extLst>
            <c:ext xmlns:c16="http://schemas.microsoft.com/office/drawing/2014/chart" uri="{C3380CC4-5D6E-409C-BE32-E72D297353CC}">
              <c16:uniqueId val="{00000001-25D2-46BB-9F75-EF4448C402E7}"/>
            </c:ext>
          </c:extLst>
        </c:ser>
        <c:dLbls>
          <c:showLegendKey val="0"/>
          <c:showVal val="0"/>
          <c:showCatName val="0"/>
          <c:showSerName val="0"/>
          <c:showPercent val="0"/>
          <c:showBubbleSize val="0"/>
        </c:dLbls>
        <c:gapWidth val="219"/>
        <c:overlap val="-27"/>
        <c:axId val="147846048"/>
        <c:axId val="147843168"/>
      </c:barChart>
      <c:catAx>
        <c:axId val="147846048"/>
        <c:scaling>
          <c:orientation val="minMax"/>
        </c:scaling>
        <c:delete val="0"/>
        <c:axPos val="b"/>
        <c:numFmt formatCode="General" sourceLinked="1"/>
        <c:majorTickMark val="none"/>
        <c:minorTickMark val="none"/>
        <c:tickLblPos val="nextTo"/>
        <c:spPr>
          <a:noFill/>
          <a:ln w="6350" cap="flat" cmpd="sng" algn="ctr">
            <a:solidFill>
              <a:schemeClr val="accent2"/>
            </a:solidFill>
            <a:prstDash val="solid"/>
            <a:miter lim="800000"/>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47843168"/>
        <c:crosses val="autoZero"/>
        <c:auto val="1"/>
        <c:lblAlgn val="ctr"/>
        <c:lblOffset val="100"/>
        <c:noMultiLvlLbl val="0"/>
      </c:catAx>
      <c:valAx>
        <c:axId val="147843168"/>
        <c:scaling>
          <c:orientation val="minMax"/>
        </c:scaling>
        <c:delete val="0"/>
        <c:axPos val="l"/>
        <c:majorGridlines>
          <c:spPr>
            <a:ln w="6350" cap="flat" cmpd="sng" algn="ctr">
              <a:solidFill>
                <a:schemeClr val="accent4"/>
              </a:solidFill>
              <a:prstDash val="solid"/>
              <a:miter lim="800000"/>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478460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en-US"/>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'KEQ 3 Appropriateness'!$C$8</c:f>
              <c:strCache>
                <c:ptCount val="1"/>
                <c:pt idx="0">
                  <c:v>Frequency (n=)</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'KEQ 3 Appropriateness'!$B$9:$B$13</c:f>
              <c:strCache>
                <c:ptCount val="5"/>
                <c:pt idx="0">
                  <c:v>Completely</c:v>
                </c:pt>
                <c:pt idx="1">
                  <c:v>Mostly</c:v>
                </c:pt>
                <c:pt idx="2">
                  <c:v>Somewhat</c:v>
                </c:pt>
                <c:pt idx="3">
                  <c:v>Slightly</c:v>
                </c:pt>
                <c:pt idx="4">
                  <c:v>Not at all</c:v>
                </c:pt>
              </c:strCache>
            </c:strRef>
          </c:cat>
          <c:val>
            <c:numRef>
              <c:f>'KEQ 3 Appropriateness'!$C$9:$C$13</c:f>
              <c:numCache>
                <c:formatCode>General</c:formatCode>
                <c:ptCount val="5"/>
                <c:pt idx="0">
                  <c:v>73</c:v>
                </c:pt>
                <c:pt idx="1">
                  <c:v>66</c:v>
                </c:pt>
                <c:pt idx="2">
                  <c:v>28</c:v>
                </c:pt>
                <c:pt idx="3">
                  <c:v>5</c:v>
                </c:pt>
                <c:pt idx="4">
                  <c:v>5</c:v>
                </c:pt>
              </c:numCache>
            </c:numRef>
          </c:val>
          <c:extLst>
            <c:ext xmlns:c16="http://schemas.microsoft.com/office/drawing/2014/chart" uri="{C3380CC4-5D6E-409C-BE32-E72D297353CC}">
              <c16:uniqueId val="{00000000-F5E6-43FD-97BB-8E3A4AF50228}"/>
            </c:ext>
          </c:extLst>
        </c:ser>
        <c:ser>
          <c:idx val="1"/>
          <c:order val="1"/>
          <c:tx>
            <c:strRef>
              <c:f>'KEQ 3 Appropriateness'!$D$8</c:f>
              <c:strCache>
                <c:ptCount val="1"/>
                <c:pt idx="0">
                  <c:v>Percentage (%)</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'KEQ 3 Appropriateness'!$B$9:$B$13</c:f>
              <c:strCache>
                <c:ptCount val="5"/>
                <c:pt idx="0">
                  <c:v>Completely</c:v>
                </c:pt>
                <c:pt idx="1">
                  <c:v>Mostly</c:v>
                </c:pt>
                <c:pt idx="2">
                  <c:v>Somewhat</c:v>
                </c:pt>
                <c:pt idx="3">
                  <c:v>Slightly</c:v>
                </c:pt>
                <c:pt idx="4">
                  <c:v>Not at all</c:v>
                </c:pt>
              </c:strCache>
            </c:strRef>
          </c:cat>
          <c:val>
            <c:numRef>
              <c:f>'KEQ 3 Appropriateness'!$D$9:$D$13</c:f>
              <c:numCache>
                <c:formatCode>0.0</c:formatCode>
                <c:ptCount val="5"/>
                <c:pt idx="0">
                  <c:v>41.242937853107343</c:v>
                </c:pt>
                <c:pt idx="1">
                  <c:v>37.288135593220339</c:v>
                </c:pt>
                <c:pt idx="2">
                  <c:v>15.819209039548024</c:v>
                </c:pt>
                <c:pt idx="3">
                  <c:v>2.8248587570621471</c:v>
                </c:pt>
                <c:pt idx="4">
                  <c:v>2.8248587570621471</c:v>
                </c:pt>
              </c:numCache>
            </c:numRef>
          </c:val>
          <c:extLst>
            <c:ext xmlns:c16="http://schemas.microsoft.com/office/drawing/2014/chart" uri="{C3380CC4-5D6E-409C-BE32-E72D297353CC}">
              <c16:uniqueId val="{00000001-F5E6-43FD-97BB-8E3A4AF50228}"/>
            </c:ext>
          </c:extLst>
        </c:ser>
        <c:dLbls>
          <c:showLegendKey val="0"/>
          <c:showVal val="0"/>
          <c:showCatName val="0"/>
          <c:showSerName val="0"/>
          <c:showPercent val="0"/>
          <c:showBubbleSize val="0"/>
        </c:dLbls>
        <c:gapWidth val="219"/>
        <c:overlap val="-27"/>
        <c:axId val="380268400"/>
        <c:axId val="380269360"/>
      </c:barChart>
      <c:catAx>
        <c:axId val="380268400"/>
        <c:scaling>
          <c:orientation val="minMax"/>
        </c:scaling>
        <c:delete val="0"/>
        <c:axPos val="b"/>
        <c:numFmt formatCode="General" sourceLinked="1"/>
        <c:majorTickMark val="none"/>
        <c:minorTickMark val="none"/>
        <c:tickLblPos val="nextTo"/>
        <c:spPr>
          <a:noFill/>
          <a:ln w="6350" cap="flat" cmpd="sng" algn="ctr">
            <a:solidFill>
              <a:schemeClr val="accent2"/>
            </a:solidFill>
            <a:prstDash val="solid"/>
            <a:miter lim="800000"/>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380269360"/>
        <c:crosses val="autoZero"/>
        <c:auto val="1"/>
        <c:lblAlgn val="ctr"/>
        <c:lblOffset val="100"/>
        <c:noMultiLvlLbl val="0"/>
      </c:catAx>
      <c:valAx>
        <c:axId val="380269360"/>
        <c:scaling>
          <c:orientation val="minMax"/>
        </c:scaling>
        <c:delete val="0"/>
        <c:axPos val="l"/>
        <c:majorGridlines>
          <c:spPr>
            <a:ln w="6350" cap="flat" cmpd="sng" algn="ctr">
              <a:solidFill>
                <a:schemeClr val="accent4"/>
              </a:solidFill>
              <a:prstDash val="solid"/>
              <a:miter lim="800000"/>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3802684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en-US"/>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Sheet2!$P$14</c:f>
              <c:strCache>
                <c:ptCount val="1"/>
                <c:pt idx="0">
                  <c:v>Strongly agree</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Sheet2!$Q$12:$V$13</c:f>
              <c:multiLvlStrCache>
                <c:ptCount val="6"/>
                <c:lvl>
                  <c:pt idx="0">
                    <c:v>Frequency (n=)</c:v>
                  </c:pt>
                  <c:pt idx="1">
                    <c:v>Percentage (%)</c:v>
                  </c:pt>
                  <c:pt idx="2">
                    <c:v>Frequency (n=)</c:v>
                  </c:pt>
                  <c:pt idx="3">
                    <c:v>Percentage (%)</c:v>
                  </c:pt>
                  <c:pt idx="4">
                    <c:v>Frequency (n=)</c:v>
                  </c:pt>
                  <c:pt idx="5">
                    <c:v>Percentage (%)</c:v>
                  </c:pt>
                </c:lvl>
                <c:lvl>
                  <c:pt idx="0">
                    <c:v>Face-to-face</c:v>
                  </c:pt>
                  <c:pt idx="2">
                    <c:v>Virtual</c:v>
                  </c:pt>
                  <c:pt idx="4">
                    <c:v>Mix of both</c:v>
                  </c:pt>
                </c:lvl>
              </c:multiLvlStrCache>
            </c:multiLvlStrRef>
          </c:cat>
          <c:val>
            <c:numRef>
              <c:f>Sheet2!$Q$14:$V$14</c:f>
              <c:numCache>
                <c:formatCode>0.0</c:formatCode>
                <c:ptCount val="6"/>
                <c:pt idx="0" formatCode="General">
                  <c:v>58</c:v>
                </c:pt>
                <c:pt idx="1">
                  <c:v>48.333333333333336</c:v>
                </c:pt>
                <c:pt idx="2" formatCode="General">
                  <c:v>8</c:v>
                </c:pt>
                <c:pt idx="3">
                  <c:v>38.095238095238095</c:v>
                </c:pt>
                <c:pt idx="4" formatCode="General">
                  <c:v>20</c:v>
                </c:pt>
                <c:pt idx="5">
                  <c:v>48.780487804878049</c:v>
                </c:pt>
              </c:numCache>
            </c:numRef>
          </c:val>
          <c:extLst>
            <c:ext xmlns:c16="http://schemas.microsoft.com/office/drawing/2014/chart" uri="{C3380CC4-5D6E-409C-BE32-E72D297353CC}">
              <c16:uniqueId val="{00000000-92FC-4ADF-B042-FFB03CB795C8}"/>
            </c:ext>
          </c:extLst>
        </c:ser>
        <c:ser>
          <c:idx val="1"/>
          <c:order val="1"/>
          <c:tx>
            <c:strRef>
              <c:f>Sheet2!$P$15</c:f>
              <c:strCache>
                <c:ptCount val="1"/>
                <c:pt idx="0">
                  <c:v>Agree</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Sheet2!$Q$12:$V$13</c:f>
              <c:multiLvlStrCache>
                <c:ptCount val="6"/>
                <c:lvl>
                  <c:pt idx="0">
                    <c:v>Frequency (n=)</c:v>
                  </c:pt>
                  <c:pt idx="1">
                    <c:v>Percentage (%)</c:v>
                  </c:pt>
                  <c:pt idx="2">
                    <c:v>Frequency (n=)</c:v>
                  </c:pt>
                  <c:pt idx="3">
                    <c:v>Percentage (%)</c:v>
                  </c:pt>
                  <c:pt idx="4">
                    <c:v>Frequency (n=)</c:v>
                  </c:pt>
                  <c:pt idx="5">
                    <c:v>Percentage (%)</c:v>
                  </c:pt>
                </c:lvl>
                <c:lvl>
                  <c:pt idx="0">
                    <c:v>Face-to-face</c:v>
                  </c:pt>
                  <c:pt idx="2">
                    <c:v>Virtual</c:v>
                  </c:pt>
                  <c:pt idx="4">
                    <c:v>Mix of both</c:v>
                  </c:pt>
                </c:lvl>
              </c:multiLvlStrCache>
            </c:multiLvlStrRef>
          </c:cat>
          <c:val>
            <c:numRef>
              <c:f>Sheet2!$Q$15:$V$15</c:f>
              <c:numCache>
                <c:formatCode>0.0</c:formatCode>
                <c:ptCount val="6"/>
                <c:pt idx="0" formatCode="General">
                  <c:v>51</c:v>
                </c:pt>
                <c:pt idx="1">
                  <c:v>42.5</c:v>
                </c:pt>
                <c:pt idx="2" formatCode="General">
                  <c:v>11</c:v>
                </c:pt>
                <c:pt idx="3">
                  <c:v>52.380952380952387</c:v>
                </c:pt>
                <c:pt idx="4" formatCode="General">
                  <c:v>18</c:v>
                </c:pt>
                <c:pt idx="5">
                  <c:v>43.902439024390247</c:v>
                </c:pt>
              </c:numCache>
            </c:numRef>
          </c:val>
          <c:extLst>
            <c:ext xmlns:c16="http://schemas.microsoft.com/office/drawing/2014/chart" uri="{C3380CC4-5D6E-409C-BE32-E72D297353CC}">
              <c16:uniqueId val="{00000001-92FC-4ADF-B042-FFB03CB795C8}"/>
            </c:ext>
          </c:extLst>
        </c:ser>
        <c:ser>
          <c:idx val="2"/>
          <c:order val="2"/>
          <c:tx>
            <c:strRef>
              <c:f>Sheet2!$P$16</c:f>
              <c:strCache>
                <c:ptCount val="1"/>
                <c:pt idx="0">
                  <c:v>Neither agree or disagree</c:v>
                </c:pt>
              </c:strCache>
            </c:strRef>
          </c:tx>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Sheet2!$Q$12:$V$13</c:f>
              <c:multiLvlStrCache>
                <c:ptCount val="6"/>
                <c:lvl>
                  <c:pt idx="0">
                    <c:v>Frequency (n=)</c:v>
                  </c:pt>
                  <c:pt idx="1">
                    <c:v>Percentage (%)</c:v>
                  </c:pt>
                  <c:pt idx="2">
                    <c:v>Frequency (n=)</c:v>
                  </c:pt>
                  <c:pt idx="3">
                    <c:v>Percentage (%)</c:v>
                  </c:pt>
                  <c:pt idx="4">
                    <c:v>Frequency (n=)</c:v>
                  </c:pt>
                  <c:pt idx="5">
                    <c:v>Percentage (%)</c:v>
                  </c:pt>
                </c:lvl>
                <c:lvl>
                  <c:pt idx="0">
                    <c:v>Face-to-face</c:v>
                  </c:pt>
                  <c:pt idx="2">
                    <c:v>Virtual</c:v>
                  </c:pt>
                  <c:pt idx="4">
                    <c:v>Mix of both</c:v>
                  </c:pt>
                </c:lvl>
              </c:multiLvlStrCache>
            </c:multiLvlStrRef>
          </c:cat>
          <c:val>
            <c:numRef>
              <c:f>Sheet2!$Q$16:$V$16</c:f>
              <c:numCache>
                <c:formatCode>0.0</c:formatCode>
                <c:ptCount val="6"/>
                <c:pt idx="0" formatCode="General">
                  <c:v>6</c:v>
                </c:pt>
                <c:pt idx="1">
                  <c:v>5</c:v>
                </c:pt>
                <c:pt idx="2" formatCode="General">
                  <c:v>1</c:v>
                </c:pt>
                <c:pt idx="3">
                  <c:v>4.7619047619047619</c:v>
                </c:pt>
                <c:pt idx="4" formatCode="General">
                  <c:v>3</c:v>
                </c:pt>
                <c:pt idx="5">
                  <c:v>7.3170731707317067</c:v>
                </c:pt>
              </c:numCache>
            </c:numRef>
          </c:val>
          <c:extLst>
            <c:ext xmlns:c16="http://schemas.microsoft.com/office/drawing/2014/chart" uri="{C3380CC4-5D6E-409C-BE32-E72D297353CC}">
              <c16:uniqueId val="{00000002-92FC-4ADF-B042-FFB03CB795C8}"/>
            </c:ext>
          </c:extLst>
        </c:ser>
        <c:ser>
          <c:idx val="3"/>
          <c:order val="3"/>
          <c:tx>
            <c:strRef>
              <c:f>Sheet2!$P$17</c:f>
              <c:strCache>
                <c:ptCount val="1"/>
                <c:pt idx="0">
                  <c:v>Disagree</c:v>
                </c:pt>
              </c:strCache>
            </c:strRef>
          </c:tx>
          <c:spPr>
            <a:solidFill>
              <a:schemeClr val="bg2"/>
            </a:solidFill>
            <a:ln>
              <a:noFill/>
            </a:ln>
            <a:effectLst/>
          </c:spPr>
          <c:invertIfNegative val="0"/>
          <c:dLbls>
            <c:dLbl>
              <c:idx val="4"/>
              <c:delete val="1"/>
              <c:extLst>
                <c:ext xmlns:c15="http://schemas.microsoft.com/office/drawing/2012/chart" uri="{CE6537A1-D6FC-4f65-9D91-7224C49458BB}"/>
                <c:ext xmlns:c16="http://schemas.microsoft.com/office/drawing/2014/chart" uri="{C3380CC4-5D6E-409C-BE32-E72D297353CC}">
                  <c16:uniqueId val="{00000008-92FC-4ADF-B042-FFB03CB795C8}"/>
                </c:ext>
              </c:extLst>
            </c:dLbl>
            <c:dLbl>
              <c:idx val="5"/>
              <c:delete val="1"/>
              <c:extLst>
                <c:ext xmlns:c15="http://schemas.microsoft.com/office/drawing/2012/chart" uri="{CE6537A1-D6FC-4f65-9D91-7224C49458BB}"/>
                <c:ext xmlns:c16="http://schemas.microsoft.com/office/drawing/2014/chart" uri="{C3380CC4-5D6E-409C-BE32-E72D297353CC}">
                  <c16:uniqueId val="{0000000A-92FC-4ADF-B042-FFB03CB795C8}"/>
                </c:ext>
              </c:extLst>
            </c:dLbl>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Sheet2!$Q$12:$V$13</c:f>
              <c:multiLvlStrCache>
                <c:ptCount val="6"/>
                <c:lvl>
                  <c:pt idx="0">
                    <c:v>Frequency (n=)</c:v>
                  </c:pt>
                  <c:pt idx="1">
                    <c:v>Percentage (%)</c:v>
                  </c:pt>
                  <c:pt idx="2">
                    <c:v>Frequency (n=)</c:v>
                  </c:pt>
                  <c:pt idx="3">
                    <c:v>Percentage (%)</c:v>
                  </c:pt>
                  <c:pt idx="4">
                    <c:v>Frequency (n=)</c:v>
                  </c:pt>
                  <c:pt idx="5">
                    <c:v>Percentage (%)</c:v>
                  </c:pt>
                </c:lvl>
                <c:lvl>
                  <c:pt idx="0">
                    <c:v>Face-to-face</c:v>
                  </c:pt>
                  <c:pt idx="2">
                    <c:v>Virtual</c:v>
                  </c:pt>
                  <c:pt idx="4">
                    <c:v>Mix of both</c:v>
                  </c:pt>
                </c:lvl>
              </c:multiLvlStrCache>
            </c:multiLvlStrRef>
          </c:cat>
          <c:val>
            <c:numRef>
              <c:f>Sheet2!$Q$17:$V$17</c:f>
              <c:numCache>
                <c:formatCode>0.0</c:formatCode>
                <c:ptCount val="6"/>
                <c:pt idx="0" formatCode="General">
                  <c:v>4</c:v>
                </c:pt>
                <c:pt idx="1">
                  <c:v>3.3333333333333335</c:v>
                </c:pt>
                <c:pt idx="2" formatCode="General">
                  <c:v>1</c:v>
                </c:pt>
                <c:pt idx="3">
                  <c:v>4.7619047619047619</c:v>
                </c:pt>
                <c:pt idx="4" formatCode="General">
                  <c:v>0</c:v>
                </c:pt>
                <c:pt idx="5">
                  <c:v>0</c:v>
                </c:pt>
              </c:numCache>
            </c:numRef>
          </c:val>
          <c:extLst>
            <c:ext xmlns:c16="http://schemas.microsoft.com/office/drawing/2014/chart" uri="{C3380CC4-5D6E-409C-BE32-E72D297353CC}">
              <c16:uniqueId val="{00000003-92FC-4ADF-B042-FFB03CB795C8}"/>
            </c:ext>
          </c:extLst>
        </c:ser>
        <c:ser>
          <c:idx val="4"/>
          <c:order val="4"/>
          <c:tx>
            <c:strRef>
              <c:f>Sheet2!$P$18</c:f>
              <c:strCache>
                <c:ptCount val="1"/>
                <c:pt idx="0">
                  <c:v>Strongly disagree</c:v>
                </c:pt>
              </c:strCache>
            </c:strRef>
          </c:tx>
          <c:spPr>
            <a:solidFill>
              <a:schemeClr val="tx2">
                <a:lumMod val="75000"/>
              </a:schemeClr>
            </a:solidFill>
            <a:ln>
              <a:noFill/>
            </a:ln>
            <a:effectLst/>
          </c:spPr>
          <c:invertIfNegative val="0"/>
          <c:dLbls>
            <c:dLbl>
              <c:idx val="2"/>
              <c:delete val="1"/>
              <c:extLst>
                <c:ext xmlns:c15="http://schemas.microsoft.com/office/drawing/2012/chart" uri="{CE6537A1-D6FC-4f65-9D91-7224C49458BB}"/>
                <c:ext xmlns:c16="http://schemas.microsoft.com/office/drawing/2014/chart" uri="{C3380CC4-5D6E-409C-BE32-E72D297353CC}">
                  <c16:uniqueId val="{00000005-92FC-4ADF-B042-FFB03CB795C8}"/>
                </c:ext>
              </c:extLst>
            </c:dLbl>
            <c:dLbl>
              <c:idx val="3"/>
              <c:delete val="1"/>
              <c:extLst>
                <c:ext xmlns:c15="http://schemas.microsoft.com/office/drawing/2012/chart" uri="{CE6537A1-D6FC-4f65-9D91-7224C49458BB}"/>
                <c:ext xmlns:c16="http://schemas.microsoft.com/office/drawing/2014/chart" uri="{C3380CC4-5D6E-409C-BE32-E72D297353CC}">
                  <c16:uniqueId val="{00000006-92FC-4ADF-B042-FFB03CB795C8}"/>
                </c:ext>
              </c:extLst>
            </c:dLbl>
            <c:dLbl>
              <c:idx val="4"/>
              <c:delete val="1"/>
              <c:extLst>
                <c:ext xmlns:c15="http://schemas.microsoft.com/office/drawing/2012/chart" uri="{CE6537A1-D6FC-4f65-9D91-7224C49458BB}"/>
                <c:ext xmlns:c16="http://schemas.microsoft.com/office/drawing/2014/chart" uri="{C3380CC4-5D6E-409C-BE32-E72D297353CC}">
                  <c16:uniqueId val="{00000007-92FC-4ADF-B042-FFB03CB795C8}"/>
                </c:ext>
              </c:extLst>
            </c:dLbl>
            <c:dLbl>
              <c:idx val="5"/>
              <c:delete val="1"/>
              <c:extLst>
                <c:ext xmlns:c15="http://schemas.microsoft.com/office/drawing/2012/chart" uri="{CE6537A1-D6FC-4f65-9D91-7224C49458BB}"/>
                <c:ext xmlns:c16="http://schemas.microsoft.com/office/drawing/2014/chart" uri="{C3380CC4-5D6E-409C-BE32-E72D297353CC}">
                  <c16:uniqueId val="{00000009-92FC-4ADF-B042-FFB03CB795C8}"/>
                </c:ext>
              </c:extLst>
            </c:dLbl>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Sheet2!$Q$12:$V$13</c:f>
              <c:multiLvlStrCache>
                <c:ptCount val="6"/>
                <c:lvl>
                  <c:pt idx="0">
                    <c:v>Frequency (n=)</c:v>
                  </c:pt>
                  <c:pt idx="1">
                    <c:v>Percentage (%)</c:v>
                  </c:pt>
                  <c:pt idx="2">
                    <c:v>Frequency (n=)</c:v>
                  </c:pt>
                  <c:pt idx="3">
                    <c:v>Percentage (%)</c:v>
                  </c:pt>
                  <c:pt idx="4">
                    <c:v>Frequency (n=)</c:v>
                  </c:pt>
                  <c:pt idx="5">
                    <c:v>Percentage (%)</c:v>
                  </c:pt>
                </c:lvl>
                <c:lvl>
                  <c:pt idx="0">
                    <c:v>Face-to-face</c:v>
                  </c:pt>
                  <c:pt idx="2">
                    <c:v>Virtual</c:v>
                  </c:pt>
                  <c:pt idx="4">
                    <c:v>Mix of both</c:v>
                  </c:pt>
                </c:lvl>
              </c:multiLvlStrCache>
            </c:multiLvlStrRef>
          </c:cat>
          <c:val>
            <c:numRef>
              <c:f>Sheet2!$Q$18:$V$18</c:f>
              <c:numCache>
                <c:formatCode>0.0</c:formatCode>
                <c:ptCount val="6"/>
                <c:pt idx="0" formatCode="General">
                  <c:v>1</c:v>
                </c:pt>
                <c:pt idx="1">
                  <c:v>0.83333333333333337</c:v>
                </c:pt>
                <c:pt idx="2" formatCode="General">
                  <c:v>0</c:v>
                </c:pt>
                <c:pt idx="3">
                  <c:v>0</c:v>
                </c:pt>
                <c:pt idx="4" formatCode="General">
                  <c:v>0</c:v>
                </c:pt>
                <c:pt idx="5">
                  <c:v>0</c:v>
                </c:pt>
              </c:numCache>
            </c:numRef>
          </c:val>
          <c:extLst>
            <c:ext xmlns:c16="http://schemas.microsoft.com/office/drawing/2014/chart" uri="{C3380CC4-5D6E-409C-BE32-E72D297353CC}">
              <c16:uniqueId val="{00000004-92FC-4ADF-B042-FFB03CB795C8}"/>
            </c:ext>
          </c:extLst>
        </c:ser>
        <c:dLbls>
          <c:showLegendKey val="0"/>
          <c:showVal val="0"/>
          <c:showCatName val="0"/>
          <c:showSerName val="0"/>
          <c:showPercent val="0"/>
          <c:showBubbleSize val="0"/>
        </c:dLbls>
        <c:gapWidth val="219"/>
        <c:overlap val="-27"/>
        <c:axId val="534536640"/>
        <c:axId val="534552960"/>
      </c:barChart>
      <c:catAx>
        <c:axId val="534536640"/>
        <c:scaling>
          <c:orientation val="minMax"/>
        </c:scaling>
        <c:delete val="0"/>
        <c:axPos val="b"/>
        <c:numFmt formatCode="General" sourceLinked="1"/>
        <c:majorTickMark val="none"/>
        <c:minorTickMark val="none"/>
        <c:tickLblPos val="nextTo"/>
        <c:spPr>
          <a:noFill/>
          <a:ln w="6350" cap="flat" cmpd="sng" algn="ctr">
            <a:solidFill>
              <a:schemeClr val="accent2"/>
            </a:solidFill>
            <a:prstDash val="solid"/>
            <a:miter lim="800000"/>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534552960"/>
        <c:crosses val="autoZero"/>
        <c:auto val="1"/>
        <c:lblAlgn val="ctr"/>
        <c:lblOffset val="100"/>
        <c:noMultiLvlLbl val="0"/>
      </c:catAx>
      <c:valAx>
        <c:axId val="534552960"/>
        <c:scaling>
          <c:orientation val="minMax"/>
        </c:scaling>
        <c:delete val="0"/>
        <c:axPos val="l"/>
        <c:majorGridlines>
          <c:spPr>
            <a:ln w="6350" cap="flat" cmpd="sng" algn="ctr">
              <a:solidFill>
                <a:schemeClr val="accent4"/>
              </a:solidFill>
              <a:prstDash val="solid"/>
              <a:miter lim="800000"/>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5345366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en-US"/>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'KEQ 6'!$Q$25</c:f>
              <c:strCache>
                <c:ptCount val="1"/>
                <c:pt idx="0">
                  <c:v>Very</c:v>
                </c:pt>
              </c:strCache>
            </c:strRef>
          </c:tx>
          <c:spPr>
            <a:solidFill>
              <a:srgbClr val="007E00"/>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'KEQ 6'!$R$23:$W$24</c:f>
              <c:multiLvlStrCache>
                <c:ptCount val="6"/>
                <c:lvl>
                  <c:pt idx="0">
                    <c:v>Frequency (n=)</c:v>
                  </c:pt>
                  <c:pt idx="1">
                    <c:v>Percentage (%)</c:v>
                  </c:pt>
                  <c:pt idx="2">
                    <c:v>Frequency (n=)</c:v>
                  </c:pt>
                  <c:pt idx="3">
                    <c:v>Percentage (%)</c:v>
                  </c:pt>
                  <c:pt idx="4">
                    <c:v>Frequency (n=)</c:v>
                  </c:pt>
                  <c:pt idx="5">
                    <c:v>Percentage (%)</c:v>
                  </c:pt>
                </c:lvl>
                <c:lvl>
                  <c:pt idx="0">
                    <c:v>Face-to-face</c:v>
                  </c:pt>
                  <c:pt idx="2">
                    <c:v>Virtual</c:v>
                  </c:pt>
                  <c:pt idx="4">
                    <c:v>Mix of both</c:v>
                  </c:pt>
                </c:lvl>
              </c:multiLvlStrCache>
            </c:multiLvlStrRef>
          </c:cat>
          <c:val>
            <c:numRef>
              <c:f>'KEQ 6'!$R$25:$W$25</c:f>
              <c:numCache>
                <c:formatCode>0.0</c:formatCode>
                <c:ptCount val="6"/>
                <c:pt idx="0" formatCode="General">
                  <c:v>81</c:v>
                </c:pt>
                <c:pt idx="1">
                  <c:v>66.393442622950815</c:v>
                </c:pt>
                <c:pt idx="2" formatCode="General">
                  <c:v>7</c:v>
                </c:pt>
                <c:pt idx="3">
                  <c:v>31.818181818181817</c:v>
                </c:pt>
                <c:pt idx="4" formatCode="General">
                  <c:v>24</c:v>
                </c:pt>
                <c:pt idx="5">
                  <c:v>58.536585365853654</c:v>
                </c:pt>
              </c:numCache>
            </c:numRef>
          </c:val>
          <c:extLst>
            <c:ext xmlns:c16="http://schemas.microsoft.com/office/drawing/2014/chart" uri="{C3380CC4-5D6E-409C-BE32-E72D297353CC}">
              <c16:uniqueId val="{00000000-DEF8-4990-9946-111DD4E96FBC}"/>
            </c:ext>
          </c:extLst>
        </c:ser>
        <c:ser>
          <c:idx val="1"/>
          <c:order val="1"/>
          <c:tx>
            <c:strRef>
              <c:f>'KEQ 6'!$Q$26</c:f>
              <c:strCache>
                <c:ptCount val="1"/>
                <c:pt idx="0">
                  <c:v>Mostly</c:v>
                </c:pt>
              </c:strCache>
            </c:strRef>
          </c:tx>
          <c:spPr>
            <a:solidFill>
              <a:srgbClr val="78B800"/>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'KEQ 6'!$R$23:$W$24</c:f>
              <c:multiLvlStrCache>
                <c:ptCount val="6"/>
                <c:lvl>
                  <c:pt idx="0">
                    <c:v>Frequency (n=)</c:v>
                  </c:pt>
                  <c:pt idx="1">
                    <c:v>Percentage (%)</c:v>
                  </c:pt>
                  <c:pt idx="2">
                    <c:v>Frequency (n=)</c:v>
                  </c:pt>
                  <c:pt idx="3">
                    <c:v>Percentage (%)</c:v>
                  </c:pt>
                  <c:pt idx="4">
                    <c:v>Frequency (n=)</c:v>
                  </c:pt>
                  <c:pt idx="5">
                    <c:v>Percentage (%)</c:v>
                  </c:pt>
                </c:lvl>
                <c:lvl>
                  <c:pt idx="0">
                    <c:v>Face-to-face</c:v>
                  </c:pt>
                  <c:pt idx="2">
                    <c:v>Virtual</c:v>
                  </c:pt>
                  <c:pt idx="4">
                    <c:v>Mix of both</c:v>
                  </c:pt>
                </c:lvl>
              </c:multiLvlStrCache>
            </c:multiLvlStrRef>
          </c:cat>
          <c:val>
            <c:numRef>
              <c:f>'KEQ 6'!$R$26:$W$26</c:f>
              <c:numCache>
                <c:formatCode>0.0</c:formatCode>
                <c:ptCount val="6"/>
                <c:pt idx="0" formatCode="General">
                  <c:v>29</c:v>
                </c:pt>
                <c:pt idx="1">
                  <c:v>23.770491803278688</c:v>
                </c:pt>
                <c:pt idx="2" formatCode="General">
                  <c:v>10</c:v>
                </c:pt>
                <c:pt idx="3">
                  <c:v>45.454545454545453</c:v>
                </c:pt>
                <c:pt idx="4" formatCode="General">
                  <c:v>11</c:v>
                </c:pt>
                <c:pt idx="5">
                  <c:v>26.829268292682929</c:v>
                </c:pt>
              </c:numCache>
            </c:numRef>
          </c:val>
          <c:extLst>
            <c:ext xmlns:c16="http://schemas.microsoft.com/office/drawing/2014/chart" uri="{C3380CC4-5D6E-409C-BE32-E72D297353CC}">
              <c16:uniqueId val="{00000001-DEF8-4990-9946-111DD4E96FBC}"/>
            </c:ext>
          </c:extLst>
        </c:ser>
        <c:ser>
          <c:idx val="2"/>
          <c:order val="2"/>
          <c:tx>
            <c:strRef>
              <c:f>'KEQ 6'!$Q$27</c:f>
              <c:strCache>
                <c:ptCount val="1"/>
                <c:pt idx="0">
                  <c:v>Somewhat</c:v>
                </c:pt>
              </c:strCache>
            </c:strRef>
          </c:tx>
          <c:spPr>
            <a:solidFill>
              <a:srgbClr val="D1E3B0"/>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'KEQ 6'!$R$23:$W$24</c:f>
              <c:multiLvlStrCache>
                <c:ptCount val="6"/>
                <c:lvl>
                  <c:pt idx="0">
                    <c:v>Frequency (n=)</c:v>
                  </c:pt>
                  <c:pt idx="1">
                    <c:v>Percentage (%)</c:v>
                  </c:pt>
                  <c:pt idx="2">
                    <c:v>Frequency (n=)</c:v>
                  </c:pt>
                  <c:pt idx="3">
                    <c:v>Percentage (%)</c:v>
                  </c:pt>
                  <c:pt idx="4">
                    <c:v>Frequency (n=)</c:v>
                  </c:pt>
                  <c:pt idx="5">
                    <c:v>Percentage (%)</c:v>
                  </c:pt>
                </c:lvl>
                <c:lvl>
                  <c:pt idx="0">
                    <c:v>Face-to-face</c:v>
                  </c:pt>
                  <c:pt idx="2">
                    <c:v>Virtual</c:v>
                  </c:pt>
                  <c:pt idx="4">
                    <c:v>Mix of both</c:v>
                  </c:pt>
                </c:lvl>
              </c:multiLvlStrCache>
            </c:multiLvlStrRef>
          </c:cat>
          <c:val>
            <c:numRef>
              <c:f>'KEQ 6'!$R$27:$W$27</c:f>
              <c:numCache>
                <c:formatCode>0.0</c:formatCode>
                <c:ptCount val="6"/>
                <c:pt idx="0" formatCode="General">
                  <c:v>9</c:v>
                </c:pt>
                <c:pt idx="1">
                  <c:v>7.3770491803278686</c:v>
                </c:pt>
                <c:pt idx="2" formatCode="General">
                  <c:v>3</c:v>
                </c:pt>
                <c:pt idx="3">
                  <c:v>13.636363636363635</c:v>
                </c:pt>
                <c:pt idx="4" formatCode="General">
                  <c:v>3</c:v>
                </c:pt>
                <c:pt idx="5">
                  <c:v>7.3170731707317067</c:v>
                </c:pt>
              </c:numCache>
            </c:numRef>
          </c:val>
          <c:extLst>
            <c:ext xmlns:c16="http://schemas.microsoft.com/office/drawing/2014/chart" uri="{C3380CC4-5D6E-409C-BE32-E72D297353CC}">
              <c16:uniqueId val="{00000002-DEF8-4990-9946-111DD4E96FBC}"/>
            </c:ext>
          </c:extLst>
        </c:ser>
        <c:ser>
          <c:idx val="3"/>
          <c:order val="3"/>
          <c:tx>
            <c:strRef>
              <c:f>'KEQ 6'!$Q$28</c:f>
              <c:strCache>
                <c:ptCount val="1"/>
                <c:pt idx="0">
                  <c:v>Slightly</c:v>
                </c:pt>
              </c:strCache>
            </c:strRef>
          </c:tx>
          <c:spPr>
            <a:solidFill>
              <a:srgbClr val="36424A"/>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'KEQ 6'!$R$23:$W$24</c:f>
              <c:multiLvlStrCache>
                <c:ptCount val="6"/>
                <c:lvl>
                  <c:pt idx="0">
                    <c:v>Frequency (n=)</c:v>
                  </c:pt>
                  <c:pt idx="1">
                    <c:v>Percentage (%)</c:v>
                  </c:pt>
                  <c:pt idx="2">
                    <c:v>Frequency (n=)</c:v>
                  </c:pt>
                  <c:pt idx="3">
                    <c:v>Percentage (%)</c:v>
                  </c:pt>
                  <c:pt idx="4">
                    <c:v>Frequency (n=)</c:v>
                  </c:pt>
                  <c:pt idx="5">
                    <c:v>Percentage (%)</c:v>
                  </c:pt>
                </c:lvl>
                <c:lvl>
                  <c:pt idx="0">
                    <c:v>Face-to-face</c:v>
                  </c:pt>
                  <c:pt idx="2">
                    <c:v>Virtual</c:v>
                  </c:pt>
                  <c:pt idx="4">
                    <c:v>Mix of both</c:v>
                  </c:pt>
                </c:lvl>
              </c:multiLvlStrCache>
            </c:multiLvlStrRef>
          </c:cat>
          <c:val>
            <c:numRef>
              <c:f>'KEQ 6'!$R$28:$W$28</c:f>
              <c:numCache>
                <c:formatCode>0.0</c:formatCode>
                <c:ptCount val="6"/>
                <c:pt idx="0" formatCode="General">
                  <c:v>1</c:v>
                </c:pt>
                <c:pt idx="1">
                  <c:v>0.81967213114754101</c:v>
                </c:pt>
                <c:pt idx="2" formatCode="General">
                  <c:v>1</c:v>
                </c:pt>
                <c:pt idx="3">
                  <c:v>4.5454545454545459</c:v>
                </c:pt>
                <c:pt idx="4" formatCode="General">
                  <c:v>2</c:v>
                </c:pt>
                <c:pt idx="5">
                  <c:v>4.8780487804878048</c:v>
                </c:pt>
              </c:numCache>
            </c:numRef>
          </c:val>
          <c:extLst>
            <c:ext xmlns:c16="http://schemas.microsoft.com/office/drawing/2014/chart" uri="{C3380CC4-5D6E-409C-BE32-E72D297353CC}">
              <c16:uniqueId val="{00000003-DEF8-4990-9946-111DD4E96FBC}"/>
            </c:ext>
          </c:extLst>
        </c:ser>
        <c:ser>
          <c:idx val="4"/>
          <c:order val="4"/>
          <c:tx>
            <c:strRef>
              <c:f>'KEQ 6'!$Q$29</c:f>
              <c:strCache>
                <c:ptCount val="1"/>
                <c:pt idx="0">
                  <c:v>Not at all</c:v>
                </c:pt>
              </c:strCache>
            </c:strRef>
          </c:tx>
          <c:spPr>
            <a:solidFill>
              <a:srgbClr val="EBECED">
                <a:lumMod val="75000"/>
              </a:srgb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'KEQ 6'!$R$23:$W$24</c:f>
              <c:multiLvlStrCache>
                <c:ptCount val="6"/>
                <c:lvl>
                  <c:pt idx="0">
                    <c:v>Frequency (n=)</c:v>
                  </c:pt>
                  <c:pt idx="1">
                    <c:v>Percentage (%)</c:v>
                  </c:pt>
                  <c:pt idx="2">
                    <c:v>Frequency (n=)</c:v>
                  </c:pt>
                  <c:pt idx="3">
                    <c:v>Percentage (%)</c:v>
                  </c:pt>
                  <c:pt idx="4">
                    <c:v>Frequency (n=)</c:v>
                  </c:pt>
                  <c:pt idx="5">
                    <c:v>Percentage (%)</c:v>
                  </c:pt>
                </c:lvl>
                <c:lvl>
                  <c:pt idx="0">
                    <c:v>Face-to-face</c:v>
                  </c:pt>
                  <c:pt idx="2">
                    <c:v>Virtual</c:v>
                  </c:pt>
                  <c:pt idx="4">
                    <c:v>Mix of both</c:v>
                  </c:pt>
                </c:lvl>
              </c:multiLvlStrCache>
            </c:multiLvlStrRef>
          </c:cat>
          <c:val>
            <c:numRef>
              <c:f>'KEQ 6'!$R$29:$W$29</c:f>
              <c:numCache>
                <c:formatCode>0.0</c:formatCode>
                <c:ptCount val="6"/>
                <c:pt idx="0" formatCode="General">
                  <c:v>2</c:v>
                </c:pt>
                <c:pt idx="1">
                  <c:v>1.639344262295082</c:v>
                </c:pt>
                <c:pt idx="2" formatCode="General">
                  <c:v>1</c:v>
                </c:pt>
                <c:pt idx="3">
                  <c:v>4.5454545454545459</c:v>
                </c:pt>
                <c:pt idx="4" formatCode="General">
                  <c:v>1</c:v>
                </c:pt>
                <c:pt idx="5">
                  <c:v>2.4390243902439024</c:v>
                </c:pt>
              </c:numCache>
            </c:numRef>
          </c:val>
          <c:extLst>
            <c:ext xmlns:c16="http://schemas.microsoft.com/office/drawing/2014/chart" uri="{C3380CC4-5D6E-409C-BE32-E72D297353CC}">
              <c16:uniqueId val="{00000004-DEF8-4990-9946-111DD4E96FBC}"/>
            </c:ext>
          </c:extLst>
        </c:ser>
        <c:dLbls>
          <c:showLegendKey val="0"/>
          <c:showVal val="0"/>
          <c:showCatName val="0"/>
          <c:showSerName val="0"/>
          <c:showPercent val="0"/>
          <c:showBubbleSize val="0"/>
        </c:dLbls>
        <c:gapWidth val="219"/>
        <c:overlap val="-27"/>
        <c:axId val="1831090080"/>
        <c:axId val="1831092000"/>
      </c:barChart>
      <c:catAx>
        <c:axId val="1831090080"/>
        <c:scaling>
          <c:orientation val="minMax"/>
        </c:scaling>
        <c:delete val="0"/>
        <c:axPos val="b"/>
        <c:numFmt formatCode="General" sourceLinked="1"/>
        <c:majorTickMark val="none"/>
        <c:minorTickMark val="none"/>
        <c:tickLblPos val="nextTo"/>
        <c:spPr>
          <a:noFill/>
          <a:ln w="12700" cap="flat" cmpd="sng" algn="ctr">
            <a:solidFill>
              <a:srgbClr val="36424A"/>
            </a:solidFill>
            <a:prstDash val="solid"/>
            <a:miter lim="800000"/>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crossAx val="1831092000"/>
        <c:crosses val="autoZero"/>
        <c:auto val="1"/>
        <c:lblAlgn val="ctr"/>
        <c:lblOffset val="100"/>
        <c:noMultiLvlLbl val="0"/>
      </c:catAx>
      <c:valAx>
        <c:axId val="1831092000"/>
        <c:scaling>
          <c:orientation val="minMax"/>
        </c:scaling>
        <c:delete val="0"/>
        <c:axPos val="l"/>
        <c:majorGridlines>
          <c:spPr>
            <a:ln w="12700" cap="flat" cmpd="sng" algn="ctr">
              <a:solidFill>
                <a:srgbClr val="EBECED"/>
              </a:solidFill>
              <a:prstDash val="solid"/>
              <a:miter lim="800000"/>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crossAx val="18310900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rgbClr val="FFFFFF"/>
    </a:solidFill>
    <a:ln w="9525" cap="flat" cmpd="sng" algn="ctr">
      <a:solidFill>
        <a:srgbClr val="FFFFFF"/>
      </a:solidFill>
      <a:round/>
    </a:ln>
    <a:effectLst/>
  </c:spPr>
  <c:txPr>
    <a:bodyPr/>
    <a:lstStyle/>
    <a:p>
      <a:pPr>
        <a:defRPr sz="1000">
          <a:solidFill>
            <a:sysClr val="windowText" lastClr="000000"/>
          </a:solidFill>
        </a:defRPr>
      </a:pPr>
      <a:endParaRPr lang="en-US"/>
    </a:p>
  </c:txPr>
  <c:externalData r:id="rId4">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5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AU" sz="1050"/>
              <a:t>Earliest and latest SCORE assessment (FaRS, male clients)</a:t>
            </a:r>
          </a:p>
        </c:rich>
      </c:tx>
      <c:overlay val="0"/>
      <c:spPr>
        <a:noFill/>
        <a:ln>
          <a:noFill/>
        </a:ln>
        <a:effectLst/>
      </c:spPr>
      <c:txPr>
        <a:bodyPr rot="0" spcFirstLastPara="1" vertOverflow="ellipsis" vert="horz" wrap="square" anchor="ctr" anchorCtr="1"/>
        <a:lstStyle/>
        <a:p>
          <a:pPr>
            <a:defRPr sz="105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AU"/>
        </a:p>
      </c:txPr>
    </c:title>
    <c:autoTitleDeleted val="0"/>
    <c:plotArea>
      <c:layout>
        <c:manualLayout>
          <c:layoutTarget val="inner"/>
          <c:xMode val="edge"/>
          <c:yMode val="edge"/>
          <c:x val="0.51657863960154737"/>
          <c:y val="0.15643174603174603"/>
          <c:w val="0.45597752570068617"/>
          <c:h val="0.63640079365079361"/>
        </c:manualLayout>
      </c:layout>
      <c:barChart>
        <c:barDir val="bar"/>
        <c:grouping val="stacked"/>
        <c:varyColors val="0"/>
        <c:ser>
          <c:idx val="0"/>
          <c:order val="0"/>
          <c:tx>
            <c:strRef>
              <c:f>Sheet1!$F$1</c:f>
              <c:strCache>
                <c:ptCount val="1"/>
                <c:pt idx="0">
                  <c:v>Earliest SCORE (mean)</c:v>
                </c:pt>
              </c:strCache>
            </c:strRef>
          </c:tx>
          <c:spPr>
            <a:solidFill>
              <a:srgbClr val="007E00"/>
            </a:solidFill>
            <a:ln>
              <a:noFill/>
            </a:ln>
            <a:effectLst/>
          </c:spPr>
          <c:invertIfNegative val="0"/>
          <c:dLbls>
            <c:spPr>
              <a:noFill/>
              <a:ln>
                <a:noFill/>
              </a:ln>
              <a:effectLst/>
            </c:spPr>
            <c:txPr>
              <a:bodyPr rot="0" spcFirstLastPara="1" vertOverflow="ellipsis" vert="horz" wrap="square" anchor="ctr" anchorCtr="1"/>
              <a:lstStyle/>
              <a:p>
                <a:pPr>
                  <a:defRPr sz="1000" b="1" i="0" u="none" strike="noStrike" kern="1200" baseline="0">
                    <a:solidFill>
                      <a:schemeClr val="bg1"/>
                    </a:solidFill>
                    <a:latin typeface="Arial" panose="020B0604020202020204" pitchFamily="34" charset="0"/>
                    <a:ea typeface="+mn-ea"/>
                    <a:cs typeface="Arial" panose="020B0604020202020204" pitchFamily="34"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Sheet1!$E$23:$E$31</c:f>
              <c:strCache>
                <c:ptCount val="9"/>
                <c:pt idx="0">
                  <c:v>Goals - Changed skills</c:v>
                </c:pt>
                <c:pt idx="1">
                  <c:v>Goals - Changed knowledge and access to information</c:v>
                </c:pt>
                <c:pt idx="2">
                  <c:v>Goals - Changed impact of immediate crisis</c:v>
                </c:pt>
                <c:pt idx="3">
                  <c:v>Goals - Engagement with relevant support services</c:v>
                </c:pt>
                <c:pt idx="4">
                  <c:v>Goals - Empowerment, choice and control to make own decisions</c:v>
                </c:pt>
                <c:pt idx="5">
                  <c:v>Goals - Changed behaviours</c:v>
                </c:pt>
                <c:pt idx="6">
                  <c:v>Circumstances - Personal and family safety</c:v>
                </c:pt>
                <c:pt idx="7">
                  <c:v>Circumstances - Mental health, wellbeing and self-care</c:v>
                </c:pt>
                <c:pt idx="8">
                  <c:v>Circumstances - Family functioning</c:v>
                </c:pt>
              </c:strCache>
            </c:strRef>
          </c:cat>
          <c:val>
            <c:numRef>
              <c:f>Sheet1!$F$23:$F$31</c:f>
              <c:numCache>
                <c:formatCode>0.0</c:formatCode>
                <c:ptCount val="9"/>
                <c:pt idx="0">
                  <c:v>2.13471380206283</c:v>
                </c:pt>
                <c:pt idx="1">
                  <c:v>2.1938344244634131</c:v>
                </c:pt>
                <c:pt idx="2">
                  <c:v>2.1270820481184449</c:v>
                </c:pt>
                <c:pt idx="3">
                  <c:v>2.396969696969697</c:v>
                </c:pt>
                <c:pt idx="4">
                  <c:v>2.3296727193650102</c:v>
                </c:pt>
                <c:pt idx="5">
                  <c:v>2.0999629080118689</c:v>
                </c:pt>
                <c:pt idx="6">
                  <c:v>3.2583115051380211</c:v>
                </c:pt>
                <c:pt idx="7">
                  <c:v>2.6177531206657418</c:v>
                </c:pt>
                <c:pt idx="8">
                  <c:v>2.4057709086376668</c:v>
                </c:pt>
              </c:numCache>
            </c:numRef>
          </c:val>
          <c:extLst>
            <c:ext xmlns:c16="http://schemas.microsoft.com/office/drawing/2014/chart" uri="{C3380CC4-5D6E-409C-BE32-E72D297353CC}">
              <c16:uniqueId val="{00000000-092B-40C6-9C53-A8AFC85F8FBA}"/>
            </c:ext>
          </c:extLst>
        </c:ser>
        <c:ser>
          <c:idx val="1"/>
          <c:order val="1"/>
          <c:tx>
            <c:strRef>
              <c:f>Sheet1!$G$1</c:f>
              <c:strCache>
                <c:ptCount val="1"/>
                <c:pt idx="0">
                  <c:v>Latest SCORE (mean change)</c:v>
                </c:pt>
              </c:strCache>
            </c:strRef>
          </c:tx>
          <c:spPr>
            <a:solidFill>
              <a:srgbClr val="78B800"/>
            </a:soli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chemeClr val="bg1"/>
                    </a:solidFill>
                    <a:latin typeface="Arial" panose="020B0604020202020204" pitchFamily="34" charset="0"/>
                    <a:ea typeface="+mn-ea"/>
                    <a:cs typeface="Arial" panose="020B0604020202020204" pitchFamily="34"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Sheet1!$E$23:$E$31</c:f>
              <c:strCache>
                <c:ptCount val="9"/>
                <c:pt idx="0">
                  <c:v>Goals - Changed skills</c:v>
                </c:pt>
                <c:pt idx="1">
                  <c:v>Goals - Changed knowledge and access to information</c:v>
                </c:pt>
                <c:pt idx="2">
                  <c:v>Goals - Changed impact of immediate crisis</c:v>
                </c:pt>
                <c:pt idx="3">
                  <c:v>Goals - Engagement with relevant support services</c:v>
                </c:pt>
                <c:pt idx="4">
                  <c:v>Goals - Empowerment, choice and control to make own decisions</c:v>
                </c:pt>
                <c:pt idx="5">
                  <c:v>Goals - Changed behaviours</c:v>
                </c:pt>
                <c:pt idx="6">
                  <c:v>Circumstances - Personal and family safety</c:v>
                </c:pt>
                <c:pt idx="7">
                  <c:v>Circumstances - Mental health, wellbeing and self-care</c:v>
                </c:pt>
                <c:pt idx="8">
                  <c:v>Circumstances - Family functioning</c:v>
                </c:pt>
              </c:strCache>
            </c:strRef>
          </c:cat>
          <c:val>
            <c:numRef>
              <c:f>Sheet1!$G$23:$G$31</c:f>
              <c:numCache>
                <c:formatCode>0.0</c:formatCode>
                <c:ptCount val="9"/>
                <c:pt idx="0">
                  <c:v>1.0890481064483111</c:v>
                </c:pt>
                <c:pt idx="1">
                  <c:v>1.2260711030082041</c:v>
                </c:pt>
                <c:pt idx="2">
                  <c:v>1.0822537528274729</c:v>
                </c:pt>
                <c:pt idx="3">
                  <c:v>0.93909090909090898</c:v>
                </c:pt>
                <c:pt idx="4">
                  <c:v>0.98901815809503102</c:v>
                </c:pt>
                <c:pt idx="5">
                  <c:v>1.0786350148367949</c:v>
                </c:pt>
                <c:pt idx="6">
                  <c:v>0.55994358251057852</c:v>
                </c:pt>
                <c:pt idx="7">
                  <c:v>0.79597780859916822</c:v>
                </c:pt>
                <c:pt idx="8">
                  <c:v>0.83827745232456685</c:v>
                </c:pt>
              </c:numCache>
            </c:numRef>
          </c:val>
          <c:extLst>
            <c:ext xmlns:c16="http://schemas.microsoft.com/office/drawing/2014/chart" uri="{C3380CC4-5D6E-409C-BE32-E72D297353CC}">
              <c16:uniqueId val="{00000001-092B-40C6-9C53-A8AFC85F8FBA}"/>
            </c:ext>
          </c:extLst>
        </c:ser>
        <c:dLbls>
          <c:dLblPos val="ctr"/>
          <c:showLegendKey val="0"/>
          <c:showVal val="1"/>
          <c:showCatName val="0"/>
          <c:showSerName val="0"/>
          <c:showPercent val="0"/>
          <c:showBubbleSize val="0"/>
        </c:dLbls>
        <c:gapWidth val="150"/>
        <c:overlap val="100"/>
        <c:axId val="2106384927"/>
        <c:axId val="2106377247"/>
      </c:barChart>
      <c:catAx>
        <c:axId val="2106384927"/>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106377247"/>
        <c:crosses val="autoZero"/>
        <c:auto val="1"/>
        <c:lblAlgn val="ctr"/>
        <c:lblOffset val="100"/>
        <c:noMultiLvlLbl val="0"/>
      </c:catAx>
      <c:valAx>
        <c:axId val="2106377247"/>
        <c:scaling>
          <c:orientation val="minMax"/>
          <c:max val="5"/>
          <c:min val="0"/>
        </c:scaling>
        <c:delete val="0"/>
        <c:axPos val="b"/>
        <c:majorGridlines>
          <c:spPr>
            <a:ln w="6350" cap="flat" cmpd="sng" algn="ctr">
              <a:solidFill>
                <a:schemeClr val="accent4"/>
              </a:solidFill>
              <a:prstDash val="solid"/>
              <a:miter lim="800000"/>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106384927"/>
        <c:crosses val="autoZero"/>
        <c:crossBetween val="between"/>
        <c:majorUnit val="1"/>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Arial" panose="020B0604020202020204" pitchFamily="34" charset="0"/>
          <a:cs typeface="Arial" panose="020B0604020202020204" pitchFamily="34" charset="0"/>
        </a:defRPr>
      </a:pPr>
      <a:endParaRPr lang="en-US"/>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AU" sz="1000"/>
              <a:t>Earliest and latest SCORE assessment (FaRS, female</a:t>
            </a:r>
            <a:r>
              <a:rPr lang="en-AU" sz="1000" baseline="0"/>
              <a:t> clients</a:t>
            </a:r>
            <a:r>
              <a:rPr lang="en-AU" sz="1000"/>
              <a:t>)</a:t>
            </a:r>
          </a:p>
        </c:rich>
      </c:tx>
      <c:overlay val="0"/>
      <c:spPr>
        <a:noFill/>
        <a:ln>
          <a:noFill/>
        </a:ln>
        <a:effectLst/>
      </c:spPr>
      <c:txPr>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AU"/>
        </a:p>
      </c:txPr>
    </c:title>
    <c:autoTitleDeleted val="0"/>
    <c:plotArea>
      <c:layout>
        <c:manualLayout>
          <c:layoutTarget val="inner"/>
          <c:xMode val="edge"/>
          <c:yMode val="edge"/>
          <c:x val="0.51657863960154737"/>
          <c:y val="0.15643174603174603"/>
          <c:w val="0.45597752570068617"/>
          <c:h val="0.63640079365079361"/>
        </c:manualLayout>
      </c:layout>
      <c:barChart>
        <c:barDir val="bar"/>
        <c:grouping val="stacked"/>
        <c:varyColors val="0"/>
        <c:ser>
          <c:idx val="0"/>
          <c:order val="0"/>
          <c:tx>
            <c:strRef>
              <c:f>Sheet1!$F$1</c:f>
              <c:strCache>
                <c:ptCount val="1"/>
                <c:pt idx="0">
                  <c:v>Earliest SCORE (mean)</c:v>
                </c:pt>
              </c:strCache>
            </c:strRef>
          </c:tx>
          <c:spPr>
            <a:solidFill>
              <a:srgbClr val="007E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bg1"/>
                    </a:solidFill>
                    <a:latin typeface="Arial" panose="020B0604020202020204" pitchFamily="34" charset="0"/>
                    <a:ea typeface="+mn-ea"/>
                    <a:cs typeface="Arial" panose="020B0604020202020204" pitchFamily="34"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Sheet1!$E$32:$E$40</c:f>
              <c:strCache>
                <c:ptCount val="9"/>
                <c:pt idx="0">
                  <c:v>Goals - Changed skills</c:v>
                </c:pt>
                <c:pt idx="1">
                  <c:v>Goals - Changed knowledge and access to information</c:v>
                </c:pt>
                <c:pt idx="2">
                  <c:v>Goals - Changed impact of immediate crisis</c:v>
                </c:pt>
                <c:pt idx="3">
                  <c:v>Goals - Engagement with relevant support services</c:v>
                </c:pt>
                <c:pt idx="4">
                  <c:v>Goals - Empowerment, choice and control to make own decisions</c:v>
                </c:pt>
                <c:pt idx="5">
                  <c:v>Goals - Changed behaviours</c:v>
                </c:pt>
                <c:pt idx="6">
                  <c:v>Circumstances - Personal and family safety</c:v>
                </c:pt>
                <c:pt idx="7">
                  <c:v>Circumstances - Mental health, wellbeing and self-care</c:v>
                </c:pt>
                <c:pt idx="8">
                  <c:v>Circumstances - Family functioning</c:v>
                </c:pt>
              </c:strCache>
            </c:strRef>
          </c:cat>
          <c:val>
            <c:numRef>
              <c:f>Sheet1!$F$32:$F$40</c:f>
              <c:numCache>
                <c:formatCode>0.0</c:formatCode>
                <c:ptCount val="9"/>
                <c:pt idx="0">
                  <c:v>2.1903993335763001</c:v>
                </c:pt>
                <c:pt idx="1">
                  <c:v>2.2348204570184982</c:v>
                </c:pt>
                <c:pt idx="2">
                  <c:v>2.1474045053868762</c:v>
                </c:pt>
                <c:pt idx="3">
                  <c:v>2.4760067280102902</c:v>
                </c:pt>
                <c:pt idx="4">
                  <c:v>2.274049741905209</c:v>
                </c:pt>
                <c:pt idx="5">
                  <c:v>2.1377840005091331</c:v>
                </c:pt>
                <c:pt idx="6">
                  <c:v>3.1435894022100919</c:v>
                </c:pt>
                <c:pt idx="7">
                  <c:v>2.506558539395551</c:v>
                </c:pt>
                <c:pt idx="8">
                  <c:v>2.3995562312528249</c:v>
                </c:pt>
              </c:numCache>
            </c:numRef>
          </c:val>
          <c:extLst>
            <c:ext xmlns:c16="http://schemas.microsoft.com/office/drawing/2014/chart" uri="{C3380CC4-5D6E-409C-BE32-E72D297353CC}">
              <c16:uniqueId val="{00000000-F62A-4DBB-A522-4AB38DE6C55E}"/>
            </c:ext>
          </c:extLst>
        </c:ser>
        <c:ser>
          <c:idx val="1"/>
          <c:order val="1"/>
          <c:tx>
            <c:strRef>
              <c:f>Sheet1!$G$1</c:f>
              <c:strCache>
                <c:ptCount val="1"/>
                <c:pt idx="0">
                  <c:v>Latest SCORE (mean change)</c:v>
                </c:pt>
              </c:strCache>
            </c:strRef>
          </c:tx>
          <c:spPr>
            <a:solidFill>
              <a:srgbClr val="78B8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Arial" panose="020B0604020202020204" pitchFamily="34" charset="0"/>
                    <a:ea typeface="+mn-ea"/>
                    <a:cs typeface="Arial" panose="020B0604020202020204" pitchFamily="34"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Sheet1!$E$32:$E$40</c:f>
              <c:strCache>
                <c:ptCount val="9"/>
                <c:pt idx="0">
                  <c:v>Goals - Changed skills</c:v>
                </c:pt>
                <c:pt idx="1">
                  <c:v>Goals - Changed knowledge and access to information</c:v>
                </c:pt>
                <c:pt idx="2">
                  <c:v>Goals - Changed impact of immediate crisis</c:v>
                </c:pt>
                <c:pt idx="3">
                  <c:v>Goals - Engagement with relevant support services</c:v>
                </c:pt>
                <c:pt idx="4">
                  <c:v>Goals - Empowerment, choice and control to make own decisions</c:v>
                </c:pt>
                <c:pt idx="5">
                  <c:v>Goals - Changed behaviours</c:v>
                </c:pt>
                <c:pt idx="6">
                  <c:v>Circumstances - Personal and family safety</c:v>
                </c:pt>
                <c:pt idx="7">
                  <c:v>Circumstances - Mental health, wellbeing and self-care</c:v>
                </c:pt>
                <c:pt idx="8">
                  <c:v>Circumstances - Family functioning</c:v>
                </c:pt>
              </c:strCache>
            </c:strRef>
          </c:cat>
          <c:val>
            <c:numRef>
              <c:f>Sheet1!$G$32:$G$40</c:f>
              <c:numCache>
                <c:formatCode>0.0</c:formatCode>
                <c:ptCount val="9"/>
                <c:pt idx="0">
                  <c:v>1.084969021710835</c:v>
                </c:pt>
                <c:pt idx="1">
                  <c:v>1.2513601741022851</c:v>
                </c:pt>
                <c:pt idx="2">
                  <c:v>1.0533790401567089</c:v>
                </c:pt>
                <c:pt idx="3">
                  <c:v>0.92737706540021803</c:v>
                </c:pt>
                <c:pt idx="4">
                  <c:v>1.050948582154589</c:v>
                </c:pt>
                <c:pt idx="5">
                  <c:v>1.087125310252657</c:v>
                </c:pt>
                <c:pt idx="6">
                  <c:v>0.6178271867927041</c:v>
                </c:pt>
                <c:pt idx="7">
                  <c:v>0.83085172383231409</c:v>
                </c:pt>
                <c:pt idx="8">
                  <c:v>0.82204051444302895</c:v>
                </c:pt>
              </c:numCache>
            </c:numRef>
          </c:val>
          <c:extLst>
            <c:ext xmlns:c16="http://schemas.microsoft.com/office/drawing/2014/chart" uri="{C3380CC4-5D6E-409C-BE32-E72D297353CC}">
              <c16:uniqueId val="{00000001-F62A-4DBB-A522-4AB38DE6C55E}"/>
            </c:ext>
          </c:extLst>
        </c:ser>
        <c:dLbls>
          <c:dLblPos val="ctr"/>
          <c:showLegendKey val="0"/>
          <c:showVal val="1"/>
          <c:showCatName val="0"/>
          <c:showSerName val="0"/>
          <c:showPercent val="0"/>
          <c:showBubbleSize val="0"/>
        </c:dLbls>
        <c:gapWidth val="150"/>
        <c:overlap val="100"/>
        <c:axId val="2106384927"/>
        <c:axId val="2106377247"/>
      </c:barChart>
      <c:catAx>
        <c:axId val="2106384927"/>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106377247"/>
        <c:crosses val="autoZero"/>
        <c:auto val="1"/>
        <c:lblAlgn val="ctr"/>
        <c:lblOffset val="100"/>
        <c:noMultiLvlLbl val="0"/>
      </c:catAx>
      <c:valAx>
        <c:axId val="2106377247"/>
        <c:scaling>
          <c:orientation val="minMax"/>
          <c:max val="5"/>
          <c:min val="0"/>
        </c:scaling>
        <c:delete val="0"/>
        <c:axPos val="b"/>
        <c:majorGridlines>
          <c:spPr>
            <a:ln w="6350" cap="flat" cmpd="sng" algn="ctr">
              <a:solidFill>
                <a:schemeClr val="accent4"/>
              </a:solidFill>
              <a:prstDash val="solid"/>
              <a:miter lim="800000"/>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106384927"/>
        <c:crosses val="autoZero"/>
        <c:crossBetween val="between"/>
        <c:majorUnit val="1"/>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800">
          <a:solidFill>
            <a:sysClr val="windowText" lastClr="000000"/>
          </a:solidFill>
          <a:latin typeface="Arial" panose="020B0604020202020204" pitchFamily="34" charset="0"/>
          <a:cs typeface="Arial" panose="020B0604020202020204" pitchFamily="34" charset="0"/>
        </a:defRPr>
      </a:pPr>
      <a:endParaRPr lang="en-US"/>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AU" sz="1000"/>
              <a:t>Earliest and latest SCORE assessment (SFVS, male clients)</a:t>
            </a:r>
          </a:p>
        </c:rich>
      </c:tx>
      <c:overlay val="0"/>
      <c:spPr>
        <a:noFill/>
        <a:ln>
          <a:noFill/>
        </a:ln>
        <a:effectLst/>
      </c:spPr>
      <c:txPr>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AU"/>
        </a:p>
      </c:txPr>
    </c:title>
    <c:autoTitleDeleted val="0"/>
    <c:plotArea>
      <c:layout>
        <c:manualLayout>
          <c:layoutTarget val="inner"/>
          <c:xMode val="edge"/>
          <c:yMode val="edge"/>
          <c:x val="0.51657863960154737"/>
          <c:y val="0.15643174603174603"/>
          <c:w val="0.45597752570068617"/>
          <c:h val="0.63640079365079361"/>
        </c:manualLayout>
      </c:layout>
      <c:barChart>
        <c:barDir val="bar"/>
        <c:grouping val="stacked"/>
        <c:varyColors val="0"/>
        <c:ser>
          <c:idx val="0"/>
          <c:order val="0"/>
          <c:tx>
            <c:strRef>
              <c:f>Sheet1!$F$1</c:f>
              <c:strCache>
                <c:ptCount val="1"/>
                <c:pt idx="0">
                  <c:v>Earliest SCORE (mean)</c:v>
                </c:pt>
              </c:strCache>
            </c:strRef>
          </c:tx>
          <c:spPr>
            <a:solidFill>
              <a:srgbClr val="007E00"/>
            </a:solidFill>
            <a:ln>
              <a:noFill/>
            </a:ln>
            <a:effectLst/>
          </c:spPr>
          <c:invertIfNegative val="0"/>
          <c:dLbls>
            <c:spPr>
              <a:noFill/>
              <a:ln>
                <a:noFill/>
              </a:ln>
              <a:effectLst/>
            </c:spPr>
            <c:txPr>
              <a:bodyPr rot="0" spcFirstLastPara="1" vertOverflow="ellipsis" vert="horz" wrap="square" anchor="ctr" anchorCtr="1"/>
              <a:lstStyle/>
              <a:p>
                <a:pPr>
                  <a:defRPr sz="1000" b="1" i="0" u="none" strike="noStrike" kern="1200" baseline="0">
                    <a:solidFill>
                      <a:schemeClr val="bg1"/>
                    </a:solidFill>
                    <a:latin typeface="Arial" panose="020B0604020202020204" pitchFamily="34" charset="0"/>
                    <a:ea typeface="+mn-ea"/>
                    <a:cs typeface="Arial" panose="020B0604020202020204" pitchFamily="34"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Sheet1!$E$5:$E$13</c:f>
              <c:strCache>
                <c:ptCount val="9"/>
                <c:pt idx="0">
                  <c:v>Goals - Changed skills</c:v>
                </c:pt>
                <c:pt idx="1">
                  <c:v>Goals - Changed knowledge and access to information</c:v>
                </c:pt>
                <c:pt idx="2">
                  <c:v>Goals - Changed impact of immediate crisis</c:v>
                </c:pt>
                <c:pt idx="3">
                  <c:v>Goals - Engagement with relevant support services</c:v>
                </c:pt>
                <c:pt idx="4">
                  <c:v>Goals - Empowerment, choice and control to make own decisions</c:v>
                </c:pt>
                <c:pt idx="5">
                  <c:v>Goals - Changed behaviours</c:v>
                </c:pt>
                <c:pt idx="6">
                  <c:v>Circumstances - Personal and family safety</c:v>
                </c:pt>
                <c:pt idx="7">
                  <c:v>Circumstances - Mental health, wellbeing and self-care</c:v>
                </c:pt>
                <c:pt idx="8">
                  <c:v>Circumstances - Family functioning</c:v>
                </c:pt>
              </c:strCache>
            </c:strRef>
          </c:cat>
          <c:val>
            <c:numRef>
              <c:f>Sheet1!$F$5:$F$13</c:f>
              <c:numCache>
                <c:formatCode>0.0</c:formatCode>
                <c:ptCount val="9"/>
                <c:pt idx="0">
                  <c:v>2.4224751066856332</c:v>
                </c:pt>
                <c:pt idx="1">
                  <c:v>2.4685039370078741</c:v>
                </c:pt>
                <c:pt idx="2">
                  <c:v>2.07027027027027</c:v>
                </c:pt>
                <c:pt idx="3">
                  <c:v>2.145077720207254</c:v>
                </c:pt>
                <c:pt idx="4">
                  <c:v>2.3687943262411348</c:v>
                </c:pt>
                <c:pt idx="5">
                  <c:v>2.2014767932489452</c:v>
                </c:pt>
                <c:pt idx="6">
                  <c:v>2.6013986013986008</c:v>
                </c:pt>
                <c:pt idx="7">
                  <c:v>2.4059609455292912</c:v>
                </c:pt>
                <c:pt idx="8">
                  <c:v>2.2199170124481329</c:v>
                </c:pt>
              </c:numCache>
            </c:numRef>
          </c:val>
          <c:extLst>
            <c:ext xmlns:c16="http://schemas.microsoft.com/office/drawing/2014/chart" uri="{C3380CC4-5D6E-409C-BE32-E72D297353CC}">
              <c16:uniqueId val="{00000000-D7AC-4D81-B2D1-88CA841A8C15}"/>
            </c:ext>
          </c:extLst>
        </c:ser>
        <c:ser>
          <c:idx val="1"/>
          <c:order val="1"/>
          <c:tx>
            <c:strRef>
              <c:f>Sheet1!$G$1</c:f>
              <c:strCache>
                <c:ptCount val="1"/>
                <c:pt idx="0">
                  <c:v>Latest SCORE (mean change)</c:v>
                </c:pt>
              </c:strCache>
            </c:strRef>
          </c:tx>
          <c:spPr>
            <a:solidFill>
              <a:srgbClr val="78B800"/>
            </a:solidFill>
            <a:ln>
              <a:noFill/>
            </a:ln>
            <a:effectLst/>
          </c:spPr>
          <c:invertIfNegative val="0"/>
          <c:dLbls>
            <c:spPr>
              <a:noFill/>
              <a:ln>
                <a:noFill/>
              </a:ln>
              <a:effectLst/>
            </c:spPr>
            <c:txPr>
              <a:bodyPr rot="0" spcFirstLastPara="1" vertOverflow="ellipsis" vert="horz" wrap="square" anchor="ctr" anchorCtr="1"/>
              <a:lstStyle/>
              <a:p>
                <a:pPr>
                  <a:defRPr sz="1000" b="1" i="0" u="none" strike="noStrike" kern="1200" baseline="0">
                    <a:solidFill>
                      <a:schemeClr val="bg1"/>
                    </a:solidFill>
                    <a:latin typeface="Arial" panose="020B0604020202020204" pitchFamily="34" charset="0"/>
                    <a:ea typeface="+mn-ea"/>
                    <a:cs typeface="Arial" panose="020B0604020202020204" pitchFamily="34"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Sheet1!$E$5:$E$13</c:f>
              <c:strCache>
                <c:ptCount val="9"/>
                <c:pt idx="0">
                  <c:v>Goals - Changed skills</c:v>
                </c:pt>
                <c:pt idx="1">
                  <c:v>Goals - Changed knowledge and access to information</c:v>
                </c:pt>
                <c:pt idx="2">
                  <c:v>Goals - Changed impact of immediate crisis</c:v>
                </c:pt>
                <c:pt idx="3">
                  <c:v>Goals - Engagement with relevant support services</c:v>
                </c:pt>
                <c:pt idx="4">
                  <c:v>Goals - Empowerment, choice and control to make own decisions</c:v>
                </c:pt>
                <c:pt idx="5">
                  <c:v>Goals - Changed behaviours</c:v>
                </c:pt>
                <c:pt idx="6">
                  <c:v>Circumstances - Personal and family safety</c:v>
                </c:pt>
                <c:pt idx="7">
                  <c:v>Circumstances - Mental health, wellbeing and self-care</c:v>
                </c:pt>
                <c:pt idx="8">
                  <c:v>Circumstances - Family functioning</c:v>
                </c:pt>
              </c:strCache>
            </c:strRef>
          </c:cat>
          <c:val>
            <c:numRef>
              <c:f>Sheet1!$G$5:$G$13</c:f>
              <c:numCache>
                <c:formatCode>0.0</c:formatCode>
                <c:ptCount val="9"/>
                <c:pt idx="0">
                  <c:v>0.80512091038406819</c:v>
                </c:pt>
                <c:pt idx="1">
                  <c:v>0.96587926509186328</c:v>
                </c:pt>
                <c:pt idx="2">
                  <c:v>1.027027027027027</c:v>
                </c:pt>
                <c:pt idx="3">
                  <c:v>0.90414507772020736</c:v>
                </c:pt>
                <c:pt idx="4">
                  <c:v>0.8085106382978724</c:v>
                </c:pt>
                <c:pt idx="5">
                  <c:v>0.96624472573839659</c:v>
                </c:pt>
                <c:pt idx="6">
                  <c:v>0.79620379620379644</c:v>
                </c:pt>
                <c:pt idx="7">
                  <c:v>0.83864337101747166</c:v>
                </c:pt>
                <c:pt idx="8">
                  <c:v>0.79460580912863055</c:v>
                </c:pt>
              </c:numCache>
            </c:numRef>
          </c:val>
          <c:extLst>
            <c:ext xmlns:c16="http://schemas.microsoft.com/office/drawing/2014/chart" uri="{C3380CC4-5D6E-409C-BE32-E72D297353CC}">
              <c16:uniqueId val="{00000001-D7AC-4D81-B2D1-88CA841A8C15}"/>
            </c:ext>
          </c:extLst>
        </c:ser>
        <c:dLbls>
          <c:dLblPos val="ctr"/>
          <c:showLegendKey val="0"/>
          <c:showVal val="1"/>
          <c:showCatName val="0"/>
          <c:showSerName val="0"/>
          <c:showPercent val="0"/>
          <c:showBubbleSize val="0"/>
        </c:dLbls>
        <c:gapWidth val="150"/>
        <c:overlap val="100"/>
        <c:axId val="2106384927"/>
        <c:axId val="2106377247"/>
      </c:barChart>
      <c:catAx>
        <c:axId val="2106384927"/>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106377247"/>
        <c:crosses val="autoZero"/>
        <c:auto val="1"/>
        <c:lblAlgn val="ctr"/>
        <c:lblOffset val="100"/>
        <c:noMultiLvlLbl val="0"/>
      </c:catAx>
      <c:valAx>
        <c:axId val="2106377247"/>
        <c:scaling>
          <c:orientation val="minMax"/>
          <c:max val="5"/>
          <c:min val="0"/>
        </c:scaling>
        <c:delete val="0"/>
        <c:axPos val="b"/>
        <c:majorGridlines>
          <c:spPr>
            <a:ln w="6350" cap="flat" cmpd="sng" algn="ctr">
              <a:solidFill>
                <a:schemeClr val="accent4"/>
              </a:solidFill>
              <a:prstDash val="solid"/>
              <a:miter lim="800000"/>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106384927"/>
        <c:crosses val="autoZero"/>
        <c:crossBetween val="between"/>
        <c:majorUnit val="1"/>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Arial" panose="020B0604020202020204" pitchFamily="34" charset="0"/>
          <a:cs typeface="Arial" panose="020B0604020202020204" pitchFamily="34" charset="0"/>
        </a:defRPr>
      </a:pPr>
      <a:endParaRPr lang="en-US"/>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5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AU" sz="1050"/>
              <a:t>Earliest and latest </a:t>
            </a:r>
            <a:r>
              <a:rPr lang="en-AU" sz="1000"/>
              <a:t>SCORE</a:t>
            </a:r>
            <a:r>
              <a:rPr lang="en-AU" sz="1050"/>
              <a:t> assessment (SFVS, female clients)</a:t>
            </a:r>
          </a:p>
        </c:rich>
      </c:tx>
      <c:overlay val="0"/>
      <c:spPr>
        <a:noFill/>
        <a:ln>
          <a:noFill/>
        </a:ln>
        <a:effectLst/>
      </c:spPr>
      <c:txPr>
        <a:bodyPr rot="0" spcFirstLastPara="1" vertOverflow="ellipsis" vert="horz" wrap="square" anchor="ctr" anchorCtr="1"/>
        <a:lstStyle/>
        <a:p>
          <a:pPr>
            <a:defRPr sz="105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AU"/>
        </a:p>
      </c:txPr>
    </c:title>
    <c:autoTitleDeleted val="0"/>
    <c:plotArea>
      <c:layout>
        <c:manualLayout>
          <c:layoutTarget val="inner"/>
          <c:xMode val="edge"/>
          <c:yMode val="edge"/>
          <c:x val="0.51657863960154737"/>
          <c:y val="0.15643174603174603"/>
          <c:w val="0.45597752570068617"/>
          <c:h val="0.63640079365079361"/>
        </c:manualLayout>
      </c:layout>
      <c:barChart>
        <c:barDir val="bar"/>
        <c:grouping val="stacked"/>
        <c:varyColors val="0"/>
        <c:ser>
          <c:idx val="0"/>
          <c:order val="0"/>
          <c:tx>
            <c:strRef>
              <c:f>Sheet1!$F$1</c:f>
              <c:strCache>
                <c:ptCount val="1"/>
                <c:pt idx="0">
                  <c:v>Earliest SCORE (mean)</c:v>
                </c:pt>
              </c:strCache>
            </c:strRef>
          </c:tx>
          <c:spPr>
            <a:solidFill>
              <a:srgbClr val="007E00"/>
            </a:solidFill>
            <a:ln>
              <a:noFill/>
            </a:ln>
            <a:effectLst/>
          </c:spPr>
          <c:invertIfNegative val="0"/>
          <c:dLbls>
            <c:spPr>
              <a:noFill/>
              <a:ln>
                <a:noFill/>
              </a:ln>
              <a:effectLst/>
            </c:spPr>
            <c:txPr>
              <a:bodyPr rot="0" spcFirstLastPara="1" vertOverflow="ellipsis" vert="horz" wrap="square" anchor="ctr" anchorCtr="1"/>
              <a:lstStyle/>
              <a:p>
                <a:pPr>
                  <a:defRPr sz="1000" b="1" i="0" u="none" strike="noStrike" kern="1200" baseline="0">
                    <a:solidFill>
                      <a:schemeClr val="bg1"/>
                    </a:solidFill>
                    <a:latin typeface="Arial" panose="020B0604020202020204" pitchFamily="34" charset="0"/>
                    <a:ea typeface="+mn-ea"/>
                    <a:cs typeface="Arial" panose="020B0604020202020204" pitchFamily="34"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Sheet1!$E$14:$E$22</c:f>
              <c:strCache>
                <c:ptCount val="9"/>
                <c:pt idx="0">
                  <c:v>Goals - Changed skills</c:v>
                </c:pt>
                <c:pt idx="1">
                  <c:v>Goals - Changed knowledge and access to information</c:v>
                </c:pt>
                <c:pt idx="2">
                  <c:v>Goals - Changed impact of immediate crisis</c:v>
                </c:pt>
                <c:pt idx="3">
                  <c:v>Goals - Engagement with relevant support services</c:v>
                </c:pt>
                <c:pt idx="4">
                  <c:v>Goals - Empowerment, choice and control to make own decisions</c:v>
                </c:pt>
                <c:pt idx="5">
                  <c:v>Goals - Changed behaviours</c:v>
                </c:pt>
                <c:pt idx="6">
                  <c:v>Circumstances - Personal and family safety</c:v>
                </c:pt>
                <c:pt idx="7">
                  <c:v>Circumstances - Mental health, wellbeing and self-care</c:v>
                </c:pt>
                <c:pt idx="8">
                  <c:v>Circumstances - Family functioning</c:v>
                </c:pt>
              </c:strCache>
            </c:strRef>
          </c:cat>
          <c:val>
            <c:numRef>
              <c:f>Sheet1!$F$14:$F$22</c:f>
              <c:numCache>
                <c:formatCode>0.0</c:formatCode>
                <c:ptCount val="9"/>
                <c:pt idx="0">
                  <c:v>2.3743589743589739</c:v>
                </c:pt>
                <c:pt idx="1">
                  <c:v>2.4285714285714279</c:v>
                </c:pt>
                <c:pt idx="2">
                  <c:v>2.0688854489164088</c:v>
                </c:pt>
                <c:pt idx="3">
                  <c:v>2.602918586789555</c:v>
                </c:pt>
                <c:pt idx="4">
                  <c:v>2.3083466241360981</c:v>
                </c:pt>
                <c:pt idx="5">
                  <c:v>2.5431906614785991</c:v>
                </c:pt>
                <c:pt idx="6">
                  <c:v>2.3686774072686401</c:v>
                </c:pt>
                <c:pt idx="7">
                  <c:v>2.3328431372549021</c:v>
                </c:pt>
                <c:pt idx="8">
                  <c:v>2.3005690636316611</c:v>
                </c:pt>
              </c:numCache>
            </c:numRef>
          </c:val>
          <c:extLst>
            <c:ext xmlns:c16="http://schemas.microsoft.com/office/drawing/2014/chart" uri="{C3380CC4-5D6E-409C-BE32-E72D297353CC}">
              <c16:uniqueId val="{00000000-F1A0-4928-AB63-FDAE502BE5FC}"/>
            </c:ext>
          </c:extLst>
        </c:ser>
        <c:ser>
          <c:idx val="1"/>
          <c:order val="1"/>
          <c:tx>
            <c:strRef>
              <c:f>Sheet1!$G$1</c:f>
              <c:strCache>
                <c:ptCount val="1"/>
                <c:pt idx="0">
                  <c:v>Latest SCORE (mean change)</c:v>
                </c:pt>
              </c:strCache>
            </c:strRef>
          </c:tx>
          <c:spPr>
            <a:solidFill>
              <a:srgbClr val="78B800"/>
            </a:solidFill>
            <a:ln>
              <a:noFill/>
            </a:ln>
            <a:effectLst/>
          </c:spPr>
          <c:invertIfNegative val="0"/>
          <c:dLbls>
            <c:spPr>
              <a:noFill/>
              <a:ln>
                <a:noFill/>
              </a:ln>
              <a:effectLst/>
            </c:spPr>
            <c:txPr>
              <a:bodyPr rot="0" spcFirstLastPara="1" vertOverflow="ellipsis" vert="horz" wrap="square" anchor="ctr" anchorCtr="1"/>
              <a:lstStyle/>
              <a:p>
                <a:pPr>
                  <a:defRPr sz="1000" b="1" i="0" u="none" strike="noStrike" kern="1200" baseline="0">
                    <a:solidFill>
                      <a:schemeClr val="bg1"/>
                    </a:solidFill>
                    <a:latin typeface="Arial" panose="020B0604020202020204" pitchFamily="34" charset="0"/>
                    <a:ea typeface="+mn-ea"/>
                    <a:cs typeface="Arial" panose="020B0604020202020204" pitchFamily="34"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Sheet1!$E$14:$E$22</c:f>
              <c:strCache>
                <c:ptCount val="9"/>
                <c:pt idx="0">
                  <c:v>Goals - Changed skills</c:v>
                </c:pt>
                <c:pt idx="1">
                  <c:v>Goals - Changed knowledge and access to information</c:v>
                </c:pt>
                <c:pt idx="2">
                  <c:v>Goals - Changed impact of immediate crisis</c:v>
                </c:pt>
                <c:pt idx="3">
                  <c:v>Goals - Engagement with relevant support services</c:v>
                </c:pt>
                <c:pt idx="4">
                  <c:v>Goals - Empowerment, choice and control to make own decisions</c:v>
                </c:pt>
                <c:pt idx="5">
                  <c:v>Goals - Changed behaviours</c:v>
                </c:pt>
                <c:pt idx="6">
                  <c:v>Circumstances - Personal and family safety</c:v>
                </c:pt>
                <c:pt idx="7">
                  <c:v>Circumstances - Mental health, wellbeing and self-care</c:v>
                </c:pt>
                <c:pt idx="8">
                  <c:v>Circumstances - Family functioning</c:v>
                </c:pt>
              </c:strCache>
            </c:strRef>
          </c:cat>
          <c:val>
            <c:numRef>
              <c:f>Sheet1!$G$14:$G$22</c:f>
              <c:numCache>
                <c:formatCode>0.0</c:formatCode>
                <c:ptCount val="9"/>
                <c:pt idx="0">
                  <c:v>0.93846153846153868</c:v>
                </c:pt>
                <c:pt idx="1">
                  <c:v>1.1660231660231659</c:v>
                </c:pt>
                <c:pt idx="2">
                  <c:v>1.296439628482972</c:v>
                </c:pt>
                <c:pt idx="3">
                  <c:v>1.061443932411674</c:v>
                </c:pt>
                <c:pt idx="4">
                  <c:v>1.133971291866029</c:v>
                </c:pt>
                <c:pt idx="5">
                  <c:v>0.83657587548638146</c:v>
                </c:pt>
                <c:pt idx="6">
                  <c:v>0.97414762083177209</c:v>
                </c:pt>
                <c:pt idx="7">
                  <c:v>0.8406862745098036</c:v>
                </c:pt>
                <c:pt idx="8">
                  <c:v>0.77703052250388005</c:v>
                </c:pt>
              </c:numCache>
            </c:numRef>
          </c:val>
          <c:extLst>
            <c:ext xmlns:c16="http://schemas.microsoft.com/office/drawing/2014/chart" uri="{C3380CC4-5D6E-409C-BE32-E72D297353CC}">
              <c16:uniqueId val="{00000001-F1A0-4928-AB63-FDAE502BE5FC}"/>
            </c:ext>
          </c:extLst>
        </c:ser>
        <c:dLbls>
          <c:dLblPos val="ctr"/>
          <c:showLegendKey val="0"/>
          <c:showVal val="1"/>
          <c:showCatName val="0"/>
          <c:showSerName val="0"/>
          <c:showPercent val="0"/>
          <c:showBubbleSize val="0"/>
        </c:dLbls>
        <c:gapWidth val="150"/>
        <c:overlap val="100"/>
        <c:axId val="2106384927"/>
        <c:axId val="2106377247"/>
      </c:barChart>
      <c:catAx>
        <c:axId val="2106384927"/>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106377247"/>
        <c:crosses val="autoZero"/>
        <c:auto val="1"/>
        <c:lblAlgn val="ctr"/>
        <c:lblOffset val="100"/>
        <c:noMultiLvlLbl val="0"/>
      </c:catAx>
      <c:valAx>
        <c:axId val="2106377247"/>
        <c:scaling>
          <c:orientation val="minMax"/>
          <c:max val="5"/>
          <c:min val="0"/>
        </c:scaling>
        <c:delete val="0"/>
        <c:axPos val="b"/>
        <c:majorGridlines>
          <c:spPr>
            <a:ln w="6350" cap="flat" cmpd="sng" algn="ctr">
              <a:solidFill>
                <a:schemeClr val="accent4"/>
              </a:solidFill>
              <a:prstDash val="solid"/>
              <a:miter lim="800000"/>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106384927"/>
        <c:crosses val="autoZero"/>
        <c:crossBetween val="between"/>
        <c:majorUnit val="1"/>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Arial" panose="020B0604020202020204" pitchFamily="34" charset="0"/>
          <a:cs typeface="Arial" panose="020B0604020202020204" pitchFamily="34" charset="0"/>
        </a:defRPr>
      </a:pPr>
      <a:endParaRPr lang="en-US"/>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AU" sz="1000"/>
              <a:t>Earliest and latest SCORE assessment (FaRS, Aboriginal and Torres Strait Islander service users)</a:t>
            </a:r>
          </a:p>
        </c:rich>
      </c:tx>
      <c:overlay val="0"/>
      <c:spPr>
        <a:noFill/>
        <a:ln>
          <a:noFill/>
        </a:ln>
        <a:effectLst/>
      </c:spPr>
      <c:txPr>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AU"/>
        </a:p>
      </c:txPr>
    </c:title>
    <c:autoTitleDeleted val="0"/>
    <c:plotArea>
      <c:layout>
        <c:manualLayout>
          <c:layoutTarget val="inner"/>
          <c:xMode val="edge"/>
          <c:yMode val="edge"/>
          <c:x val="0.51657863960154737"/>
          <c:y val="0.15643174603174603"/>
          <c:w val="0.45597752570068617"/>
          <c:h val="0.63640079365079361"/>
        </c:manualLayout>
      </c:layout>
      <c:barChart>
        <c:barDir val="bar"/>
        <c:grouping val="stacked"/>
        <c:varyColors val="0"/>
        <c:ser>
          <c:idx val="0"/>
          <c:order val="0"/>
          <c:tx>
            <c:strRef>
              <c:f>Sheet1!$F$1</c:f>
              <c:strCache>
                <c:ptCount val="1"/>
                <c:pt idx="0">
                  <c:v>Earliest SCORE (mean)</c:v>
                </c:pt>
              </c:strCache>
            </c:strRef>
          </c:tx>
          <c:spPr>
            <a:solidFill>
              <a:srgbClr val="007E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Sheet1!$E$23:$E$31</c:f>
              <c:strCache>
                <c:ptCount val="9"/>
                <c:pt idx="0">
                  <c:v>Goals - Changed skills</c:v>
                </c:pt>
                <c:pt idx="1">
                  <c:v>Goals - Changed knowledge and access to information</c:v>
                </c:pt>
                <c:pt idx="2">
                  <c:v>Goals - Changed impact of immediate crisis</c:v>
                </c:pt>
                <c:pt idx="3">
                  <c:v>Goals - Engagement with relevant support services</c:v>
                </c:pt>
                <c:pt idx="4">
                  <c:v>Goals - Empowerment, choice and control to make own decisions</c:v>
                </c:pt>
                <c:pt idx="5">
                  <c:v>Goals - Changed behaviours</c:v>
                </c:pt>
                <c:pt idx="6">
                  <c:v>Circumstances - Personal and family safety</c:v>
                </c:pt>
                <c:pt idx="7">
                  <c:v>Circumstances - Mental health, wellbeing and self-care</c:v>
                </c:pt>
                <c:pt idx="8">
                  <c:v>Circumstances - Family functioning</c:v>
                </c:pt>
              </c:strCache>
            </c:strRef>
          </c:cat>
          <c:val>
            <c:numRef>
              <c:f>Sheet1!$F$23:$F$31</c:f>
              <c:numCache>
                <c:formatCode>0.0</c:formatCode>
                <c:ptCount val="9"/>
                <c:pt idx="0">
                  <c:v>2.21513353115727</c:v>
                </c:pt>
                <c:pt idx="1">
                  <c:v>2.2013536379018608</c:v>
                </c:pt>
                <c:pt idx="2">
                  <c:v>2.1748071979434451</c:v>
                </c:pt>
                <c:pt idx="3">
                  <c:v>2.4125874125874121</c:v>
                </c:pt>
                <c:pt idx="4">
                  <c:v>2.1883561643835621</c:v>
                </c:pt>
                <c:pt idx="5">
                  <c:v>2.1721566190180241</c:v>
                </c:pt>
                <c:pt idx="6">
                  <c:v>3.0533506831489921</c:v>
                </c:pt>
                <c:pt idx="7">
                  <c:v>2.3970864661654141</c:v>
                </c:pt>
                <c:pt idx="8">
                  <c:v>2.3094252873563219</c:v>
                </c:pt>
              </c:numCache>
            </c:numRef>
          </c:val>
          <c:extLst>
            <c:ext xmlns:c16="http://schemas.microsoft.com/office/drawing/2014/chart" uri="{C3380CC4-5D6E-409C-BE32-E72D297353CC}">
              <c16:uniqueId val="{00000000-F92A-43A5-B973-99245644B62E}"/>
            </c:ext>
          </c:extLst>
        </c:ser>
        <c:ser>
          <c:idx val="1"/>
          <c:order val="1"/>
          <c:tx>
            <c:strRef>
              <c:f>Sheet1!$G$1</c:f>
              <c:strCache>
                <c:ptCount val="1"/>
                <c:pt idx="0">
                  <c:v>Latest SCORE (mean change)</c:v>
                </c:pt>
              </c:strCache>
            </c:strRef>
          </c:tx>
          <c:spPr>
            <a:solidFill>
              <a:srgbClr val="78B8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Sheet1!$E$23:$E$31</c:f>
              <c:strCache>
                <c:ptCount val="9"/>
                <c:pt idx="0">
                  <c:v>Goals - Changed skills</c:v>
                </c:pt>
                <c:pt idx="1">
                  <c:v>Goals - Changed knowledge and access to information</c:v>
                </c:pt>
                <c:pt idx="2">
                  <c:v>Goals - Changed impact of immediate crisis</c:v>
                </c:pt>
                <c:pt idx="3">
                  <c:v>Goals - Engagement with relevant support services</c:v>
                </c:pt>
                <c:pt idx="4">
                  <c:v>Goals - Empowerment, choice and control to make own decisions</c:v>
                </c:pt>
                <c:pt idx="5">
                  <c:v>Goals - Changed behaviours</c:v>
                </c:pt>
                <c:pt idx="6">
                  <c:v>Circumstances - Personal and family safety</c:v>
                </c:pt>
                <c:pt idx="7">
                  <c:v>Circumstances - Mental health, wellbeing and self-care</c:v>
                </c:pt>
                <c:pt idx="8">
                  <c:v>Circumstances - Family functioning</c:v>
                </c:pt>
              </c:strCache>
            </c:strRef>
          </c:cat>
          <c:val>
            <c:numRef>
              <c:f>Sheet1!$G$23:$G$31</c:f>
              <c:numCache>
                <c:formatCode>0.0</c:formatCode>
                <c:ptCount val="9"/>
                <c:pt idx="0">
                  <c:v>1.0835806132542041</c:v>
                </c:pt>
                <c:pt idx="1">
                  <c:v>1.2086858432036101</c:v>
                </c:pt>
                <c:pt idx="2">
                  <c:v>0.93701799485861192</c:v>
                </c:pt>
                <c:pt idx="3">
                  <c:v>0.88024475524475543</c:v>
                </c:pt>
                <c:pt idx="4">
                  <c:v>1.0712328767123289</c:v>
                </c:pt>
                <c:pt idx="5">
                  <c:v>1.0565568676196391</c:v>
                </c:pt>
                <c:pt idx="6">
                  <c:v>0.57839947950553006</c:v>
                </c:pt>
                <c:pt idx="7">
                  <c:v>0.87687969924812004</c:v>
                </c:pt>
                <c:pt idx="8">
                  <c:v>0.87172413793103454</c:v>
                </c:pt>
              </c:numCache>
            </c:numRef>
          </c:val>
          <c:extLst>
            <c:ext xmlns:c16="http://schemas.microsoft.com/office/drawing/2014/chart" uri="{C3380CC4-5D6E-409C-BE32-E72D297353CC}">
              <c16:uniqueId val="{00000001-F92A-43A5-B973-99245644B62E}"/>
            </c:ext>
          </c:extLst>
        </c:ser>
        <c:dLbls>
          <c:showLegendKey val="0"/>
          <c:showVal val="0"/>
          <c:showCatName val="0"/>
          <c:showSerName val="0"/>
          <c:showPercent val="0"/>
          <c:showBubbleSize val="0"/>
        </c:dLbls>
        <c:gapWidth val="150"/>
        <c:overlap val="100"/>
        <c:axId val="2106384927"/>
        <c:axId val="2106377247"/>
      </c:barChart>
      <c:catAx>
        <c:axId val="2106384927"/>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106377247"/>
        <c:crosses val="autoZero"/>
        <c:auto val="1"/>
        <c:lblAlgn val="ctr"/>
        <c:lblOffset val="100"/>
        <c:noMultiLvlLbl val="0"/>
      </c:catAx>
      <c:valAx>
        <c:axId val="2106377247"/>
        <c:scaling>
          <c:orientation val="minMax"/>
          <c:max val="5"/>
          <c:min val="0"/>
        </c:scaling>
        <c:delete val="0"/>
        <c:axPos val="b"/>
        <c:majorGridlines>
          <c:spPr>
            <a:ln w="6350" cap="flat" cmpd="sng" algn="ctr">
              <a:solidFill>
                <a:schemeClr val="accent4"/>
              </a:solidFill>
              <a:prstDash val="solid"/>
              <a:miter lim="800000"/>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106384927"/>
        <c:crosses val="autoZero"/>
        <c:crossBetween val="between"/>
        <c:majorUnit val="1"/>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800">
          <a:solidFill>
            <a:sysClr val="windowText" lastClr="000000"/>
          </a:solidFill>
          <a:latin typeface="Arial" panose="020B0604020202020204" pitchFamily="34" charset="0"/>
          <a:cs typeface="Arial" panose="020B0604020202020204" pitchFamily="34" charset="0"/>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'Method 3'!$A$4</c:f>
              <c:strCache>
                <c:ptCount val="1"/>
                <c:pt idx="0">
                  <c:v>2021-2022</c:v>
                </c:pt>
              </c:strCache>
            </c:strRef>
          </c:tx>
          <c:spPr>
            <a:solidFill>
              <a:schemeClr val="accent1"/>
            </a:solidFill>
            <a:ln>
              <a:noFill/>
            </a:ln>
            <a:effectLst/>
          </c:spPr>
          <c:invertIfNegative val="0"/>
          <c:cat>
            <c:strRef>
              <c:f>'Method 3'!$C$3:$H$3</c:f>
              <c:strCache>
                <c:ptCount val="6"/>
                <c:pt idx="0">
                  <c:v>Counselling</c:v>
                </c:pt>
                <c:pt idx="1">
                  <c:v> Intake Assessment</c:v>
                </c:pt>
                <c:pt idx="2">
                  <c:v>Information/advice/referral</c:v>
                </c:pt>
                <c:pt idx="3">
                  <c:v>Advocacy/Support</c:v>
                </c:pt>
                <c:pt idx="4">
                  <c:v>Education and Skills training</c:v>
                </c:pt>
                <c:pt idx="5">
                  <c:v>Others</c:v>
                </c:pt>
              </c:strCache>
              <c:extLst/>
            </c:strRef>
          </c:cat>
          <c:val>
            <c:numRef>
              <c:f>'Method 3'!$C$4:$H$4</c:f>
              <c:numCache>
                <c:formatCode>#,##0</c:formatCode>
                <c:ptCount val="6"/>
                <c:pt idx="0">
                  <c:v>168393</c:v>
                </c:pt>
                <c:pt idx="1">
                  <c:v>38811</c:v>
                </c:pt>
                <c:pt idx="2">
                  <c:v>26838</c:v>
                </c:pt>
                <c:pt idx="3">
                  <c:v>19002</c:v>
                </c:pt>
                <c:pt idx="4">
                  <c:v>11849</c:v>
                </c:pt>
                <c:pt idx="5">
                  <c:v>4823</c:v>
                </c:pt>
              </c:numCache>
              <c:extLst/>
            </c:numRef>
          </c:val>
          <c:extLst>
            <c:ext xmlns:c16="http://schemas.microsoft.com/office/drawing/2014/chart" uri="{C3380CC4-5D6E-409C-BE32-E72D297353CC}">
              <c16:uniqueId val="{00000000-95AC-47E9-BA0C-952980220CA6}"/>
            </c:ext>
          </c:extLst>
        </c:ser>
        <c:ser>
          <c:idx val="1"/>
          <c:order val="1"/>
          <c:tx>
            <c:strRef>
              <c:f>'Method 3'!$A$5</c:f>
              <c:strCache>
                <c:ptCount val="1"/>
                <c:pt idx="0">
                  <c:v>2022-2023</c:v>
                </c:pt>
              </c:strCache>
            </c:strRef>
          </c:tx>
          <c:spPr>
            <a:solidFill>
              <a:schemeClr val="accent2"/>
            </a:solidFill>
            <a:ln>
              <a:noFill/>
            </a:ln>
            <a:effectLst/>
          </c:spPr>
          <c:invertIfNegative val="0"/>
          <c:cat>
            <c:strRef>
              <c:f>'Method 3'!$C$3:$H$3</c:f>
              <c:strCache>
                <c:ptCount val="6"/>
                <c:pt idx="0">
                  <c:v>Counselling</c:v>
                </c:pt>
                <c:pt idx="1">
                  <c:v> Intake Assessment</c:v>
                </c:pt>
                <c:pt idx="2">
                  <c:v>Information/advice/referral</c:v>
                </c:pt>
                <c:pt idx="3">
                  <c:v>Advocacy/Support</c:v>
                </c:pt>
                <c:pt idx="4">
                  <c:v>Education and Skills training</c:v>
                </c:pt>
                <c:pt idx="5">
                  <c:v>Others</c:v>
                </c:pt>
              </c:strCache>
              <c:extLst/>
            </c:strRef>
          </c:cat>
          <c:val>
            <c:numRef>
              <c:f>'Method 3'!$C$5:$H$5</c:f>
              <c:numCache>
                <c:formatCode>#,##0</c:formatCode>
                <c:ptCount val="6"/>
                <c:pt idx="0">
                  <c:v>177091</c:v>
                </c:pt>
                <c:pt idx="1">
                  <c:v>35896</c:v>
                </c:pt>
                <c:pt idx="2">
                  <c:v>22986</c:v>
                </c:pt>
                <c:pt idx="3">
                  <c:v>16955</c:v>
                </c:pt>
                <c:pt idx="4">
                  <c:v>9100</c:v>
                </c:pt>
                <c:pt idx="5">
                  <c:v>4794</c:v>
                </c:pt>
              </c:numCache>
              <c:extLst/>
            </c:numRef>
          </c:val>
          <c:extLst>
            <c:ext xmlns:c16="http://schemas.microsoft.com/office/drawing/2014/chart" uri="{C3380CC4-5D6E-409C-BE32-E72D297353CC}">
              <c16:uniqueId val="{00000001-95AC-47E9-BA0C-952980220CA6}"/>
            </c:ext>
          </c:extLst>
        </c:ser>
        <c:ser>
          <c:idx val="2"/>
          <c:order val="2"/>
          <c:tx>
            <c:strRef>
              <c:f>'Method 3'!$A$6</c:f>
              <c:strCache>
                <c:ptCount val="1"/>
                <c:pt idx="0">
                  <c:v>2023-2024</c:v>
                </c:pt>
              </c:strCache>
            </c:strRef>
          </c:tx>
          <c:spPr>
            <a:solidFill>
              <a:schemeClr val="accent3"/>
            </a:solidFill>
            <a:ln>
              <a:noFill/>
            </a:ln>
            <a:effectLst/>
          </c:spPr>
          <c:invertIfNegative val="0"/>
          <c:cat>
            <c:strRef>
              <c:f>'Method 3'!$C$3:$H$3</c:f>
              <c:strCache>
                <c:ptCount val="6"/>
                <c:pt idx="0">
                  <c:v>Counselling</c:v>
                </c:pt>
                <c:pt idx="1">
                  <c:v> Intake Assessment</c:v>
                </c:pt>
                <c:pt idx="2">
                  <c:v>Information/advice/referral</c:v>
                </c:pt>
                <c:pt idx="3">
                  <c:v>Advocacy/Support</c:v>
                </c:pt>
                <c:pt idx="4">
                  <c:v>Education and Skills training</c:v>
                </c:pt>
                <c:pt idx="5">
                  <c:v>Others</c:v>
                </c:pt>
              </c:strCache>
              <c:extLst/>
            </c:strRef>
          </c:cat>
          <c:val>
            <c:numRef>
              <c:f>'Method 3'!$C$6:$H$6</c:f>
              <c:numCache>
                <c:formatCode>#,##0</c:formatCode>
                <c:ptCount val="6"/>
                <c:pt idx="0">
                  <c:v>194958</c:v>
                </c:pt>
                <c:pt idx="1">
                  <c:v>33867</c:v>
                </c:pt>
                <c:pt idx="2">
                  <c:v>24982</c:v>
                </c:pt>
                <c:pt idx="3">
                  <c:v>18231</c:v>
                </c:pt>
                <c:pt idx="4">
                  <c:v>10775</c:v>
                </c:pt>
                <c:pt idx="5">
                  <c:v>10030</c:v>
                </c:pt>
              </c:numCache>
              <c:extLst/>
            </c:numRef>
          </c:val>
          <c:extLst>
            <c:ext xmlns:c16="http://schemas.microsoft.com/office/drawing/2014/chart" uri="{C3380CC4-5D6E-409C-BE32-E72D297353CC}">
              <c16:uniqueId val="{00000002-95AC-47E9-BA0C-952980220CA6}"/>
            </c:ext>
          </c:extLst>
        </c:ser>
        <c:dLbls>
          <c:showLegendKey val="0"/>
          <c:showVal val="0"/>
          <c:showCatName val="0"/>
          <c:showSerName val="0"/>
          <c:showPercent val="0"/>
          <c:showBubbleSize val="0"/>
        </c:dLbls>
        <c:gapWidth val="219"/>
        <c:overlap val="-27"/>
        <c:axId val="344533039"/>
        <c:axId val="344535439"/>
      </c:barChart>
      <c:catAx>
        <c:axId val="344533039"/>
        <c:scaling>
          <c:orientation val="minMax"/>
        </c:scaling>
        <c:delete val="0"/>
        <c:axPos val="b"/>
        <c:numFmt formatCode="General" sourceLinked="1"/>
        <c:majorTickMark val="none"/>
        <c:minorTickMark val="none"/>
        <c:tickLblPos val="nextTo"/>
        <c:spPr>
          <a:noFill/>
          <a:ln w="6350" cap="flat" cmpd="sng" algn="ctr">
            <a:solidFill>
              <a:schemeClr val="accent2"/>
            </a:solidFill>
            <a:prstDash val="solid"/>
            <a:miter lim="800000"/>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344535439"/>
        <c:crosses val="autoZero"/>
        <c:auto val="1"/>
        <c:lblAlgn val="ctr"/>
        <c:lblOffset val="100"/>
        <c:noMultiLvlLbl val="0"/>
      </c:catAx>
      <c:valAx>
        <c:axId val="344535439"/>
        <c:scaling>
          <c:orientation val="minMax"/>
        </c:scaling>
        <c:delete val="0"/>
        <c:axPos val="l"/>
        <c:majorGridlines>
          <c:spPr>
            <a:ln w="6350" cap="flat" cmpd="sng" algn="ctr">
              <a:solidFill>
                <a:schemeClr val="accent4"/>
              </a:solidFill>
              <a:prstDash val="solid"/>
              <a:miter lim="800000"/>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34453303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en-US"/>
    </a:p>
  </c:txPr>
  <c:externalData r:id="rId3">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AU" sz="1000"/>
              <a:t>Earliest and latest SCORE assessment (FaRS, non-Aboriginal and Torres</a:t>
            </a:r>
            <a:r>
              <a:rPr lang="en-AU" sz="1000" baseline="0"/>
              <a:t> Strait Islander service users</a:t>
            </a:r>
            <a:r>
              <a:rPr lang="en-AU" sz="1000"/>
              <a:t>)</a:t>
            </a:r>
          </a:p>
        </c:rich>
      </c:tx>
      <c:overlay val="0"/>
      <c:spPr>
        <a:noFill/>
        <a:ln>
          <a:noFill/>
        </a:ln>
        <a:effectLst/>
      </c:spPr>
      <c:txPr>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AU"/>
        </a:p>
      </c:txPr>
    </c:title>
    <c:autoTitleDeleted val="0"/>
    <c:plotArea>
      <c:layout>
        <c:manualLayout>
          <c:layoutTarget val="inner"/>
          <c:xMode val="edge"/>
          <c:yMode val="edge"/>
          <c:x val="0.51657863960154737"/>
          <c:y val="0.15643174603174603"/>
          <c:w val="0.45597752570068617"/>
          <c:h val="0.63640079365079361"/>
        </c:manualLayout>
      </c:layout>
      <c:barChart>
        <c:barDir val="bar"/>
        <c:grouping val="stacked"/>
        <c:varyColors val="0"/>
        <c:ser>
          <c:idx val="0"/>
          <c:order val="0"/>
          <c:tx>
            <c:strRef>
              <c:f>Sheet1!$F$1</c:f>
              <c:strCache>
                <c:ptCount val="1"/>
                <c:pt idx="0">
                  <c:v>Earliest SCORE (mean)</c:v>
                </c:pt>
              </c:strCache>
            </c:strRef>
          </c:tx>
          <c:spPr>
            <a:solidFill>
              <a:srgbClr val="007E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bg1"/>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Sheet1!$E$32:$E$40</c:f>
              <c:strCache>
                <c:ptCount val="9"/>
                <c:pt idx="0">
                  <c:v>Goals - Changed skills</c:v>
                </c:pt>
                <c:pt idx="1">
                  <c:v>Goals - Changed knowledge and access to information</c:v>
                </c:pt>
                <c:pt idx="2">
                  <c:v>Goals - Changed impact of immediate crisis</c:v>
                </c:pt>
                <c:pt idx="3">
                  <c:v>Goals - Engagement with relevant support services</c:v>
                </c:pt>
                <c:pt idx="4">
                  <c:v>Goals - Empowerment, choice and control to make own decisions</c:v>
                </c:pt>
                <c:pt idx="5">
                  <c:v>Goals - Changed behaviours</c:v>
                </c:pt>
                <c:pt idx="6">
                  <c:v>Circumstances - Personal and family safety</c:v>
                </c:pt>
                <c:pt idx="7">
                  <c:v>Circumstances - Mental health, wellbeing and self-care</c:v>
                </c:pt>
                <c:pt idx="8">
                  <c:v>Circumstances - Family functioning</c:v>
                </c:pt>
              </c:strCache>
            </c:strRef>
          </c:cat>
          <c:val>
            <c:numRef>
              <c:f>Sheet1!$F$32:$F$40</c:f>
              <c:numCache>
                <c:formatCode>0.0</c:formatCode>
                <c:ptCount val="9"/>
                <c:pt idx="0">
                  <c:v>2.2897528572824069</c:v>
                </c:pt>
                <c:pt idx="1">
                  <c:v>2.388073926736284</c:v>
                </c:pt>
                <c:pt idx="2">
                  <c:v>2.1572573301766531</c:v>
                </c:pt>
                <c:pt idx="3">
                  <c:v>2.4889788408463658</c:v>
                </c:pt>
                <c:pt idx="4">
                  <c:v>2.47098567130692</c:v>
                </c:pt>
                <c:pt idx="5">
                  <c:v>2.173093215210709</c:v>
                </c:pt>
                <c:pt idx="6">
                  <c:v>3.2868243826627519</c:v>
                </c:pt>
                <c:pt idx="7">
                  <c:v>2.6027921791874218</c:v>
                </c:pt>
                <c:pt idx="8">
                  <c:v>2.4625192418329109</c:v>
                </c:pt>
              </c:numCache>
            </c:numRef>
          </c:val>
          <c:extLst>
            <c:ext xmlns:c16="http://schemas.microsoft.com/office/drawing/2014/chart" uri="{C3380CC4-5D6E-409C-BE32-E72D297353CC}">
              <c16:uniqueId val="{00000000-95F5-4DC1-A1C9-07ADB67C89D2}"/>
            </c:ext>
          </c:extLst>
        </c:ser>
        <c:ser>
          <c:idx val="1"/>
          <c:order val="1"/>
          <c:tx>
            <c:strRef>
              <c:f>Sheet1!$G$1</c:f>
              <c:strCache>
                <c:ptCount val="1"/>
                <c:pt idx="0">
                  <c:v>Latest SCORE (mean change)</c:v>
                </c:pt>
              </c:strCache>
            </c:strRef>
          </c:tx>
          <c:spPr>
            <a:solidFill>
              <a:srgbClr val="78B8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Sheet1!$E$32:$E$40</c:f>
              <c:strCache>
                <c:ptCount val="9"/>
                <c:pt idx="0">
                  <c:v>Goals - Changed skills</c:v>
                </c:pt>
                <c:pt idx="1">
                  <c:v>Goals - Changed knowledge and access to information</c:v>
                </c:pt>
                <c:pt idx="2">
                  <c:v>Goals - Changed impact of immediate crisis</c:v>
                </c:pt>
                <c:pt idx="3">
                  <c:v>Goals - Engagement with relevant support services</c:v>
                </c:pt>
                <c:pt idx="4">
                  <c:v>Goals - Empowerment, choice and control to make own decisions</c:v>
                </c:pt>
                <c:pt idx="5">
                  <c:v>Goals - Changed behaviours</c:v>
                </c:pt>
                <c:pt idx="6">
                  <c:v>Circumstances - Personal and family safety</c:v>
                </c:pt>
                <c:pt idx="7">
                  <c:v>Circumstances - Mental health, wellbeing and self-care</c:v>
                </c:pt>
                <c:pt idx="8">
                  <c:v>Circumstances - Family functioning</c:v>
                </c:pt>
              </c:strCache>
            </c:strRef>
          </c:cat>
          <c:val>
            <c:numRef>
              <c:f>Sheet1!$G$32:$G$40</c:f>
              <c:numCache>
                <c:formatCode>0.0</c:formatCode>
                <c:ptCount val="9"/>
                <c:pt idx="0">
                  <c:v>1.0246947347855819</c:v>
                </c:pt>
                <c:pt idx="1">
                  <c:v>1.1437717553455991</c:v>
                </c:pt>
                <c:pt idx="2">
                  <c:v>1.0918320888727009</c:v>
                </c:pt>
                <c:pt idx="3">
                  <c:v>0.94362465501379944</c:v>
                </c:pt>
                <c:pt idx="4">
                  <c:v>0.95782978940390606</c:v>
                </c:pt>
                <c:pt idx="5">
                  <c:v>1.055430494033355</c:v>
                </c:pt>
                <c:pt idx="6">
                  <c:v>0.55983422552236251</c:v>
                </c:pt>
                <c:pt idx="7">
                  <c:v>0.79344990003727389</c:v>
                </c:pt>
                <c:pt idx="8">
                  <c:v>0.80159532287406909</c:v>
                </c:pt>
              </c:numCache>
            </c:numRef>
          </c:val>
          <c:extLst>
            <c:ext xmlns:c16="http://schemas.microsoft.com/office/drawing/2014/chart" uri="{C3380CC4-5D6E-409C-BE32-E72D297353CC}">
              <c16:uniqueId val="{00000001-95F5-4DC1-A1C9-07ADB67C89D2}"/>
            </c:ext>
          </c:extLst>
        </c:ser>
        <c:dLbls>
          <c:showLegendKey val="0"/>
          <c:showVal val="0"/>
          <c:showCatName val="0"/>
          <c:showSerName val="0"/>
          <c:showPercent val="0"/>
          <c:showBubbleSize val="0"/>
        </c:dLbls>
        <c:gapWidth val="150"/>
        <c:overlap val="100"/>
        <c:axId val="2106384927"/>
        <c:axId val="2106377247"/>
      </c:barChart>
      <c:catAx>
        <c:axId val="2106384927"/>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106377247"/>
        <c:crosses val="autoZero"/>
        <c:auto val="1"/>
        <c:lblAlgn val="ctr"/>
        <c:lblOffset val="100"/>
        <c:noMultiLvlLbl val="0"/>
      </c:catAx>
      <c:valAx>
        <c:axId val="2106377247"/>
        <c:scaling>
          <c:orientation val="minMax"/>
          <c:max val="5"/>
          <c:min val="0"/>
        </c:scaling>
        <c:delete val="0"/>
        <c:axPos val="b"/>
        <c:majorGridlines>
          <c:spPr>
            <a:ln w="6350" cap="flat" cmpd="sng" algn="ctr">
              <a:solidFill>
                <a:schemeClr val="accent4"/>
              </a:solidFill>
              <a:prstDash val="solid"/>
              <a:miter lim="800000"/>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106384927"/>
        <c:crosses val="autoZero"/>
        <c:crossBetween val="between"/>
        <c:majorUnit val="1"/>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800">
          <a:solidFill>
            <a:sysClr val="windowText" lastClr="000000"/>
          </a:solidFill>
          <a:latin typeface="Arial" panose="020B0604020202020204" pitchFamily="34" charset="0"/>
          <a:cs typeface="Arial" panose="020B0604020202020204" pitchFamily="34" charset="0"/>
        </a:defRPr>
      </a:pPr>
      <a:endParaRPr lang="en-US"/>
    </a:p>
  </c:txPr>
  <c:externalData r:id="rId3">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AU" sz="1000"/>
              <a:t>Earliest and latest SCORE assessment (SFVS, Aboriginal and Torres</a:t>
            </a:r>
            <a:r>
              <a:rPr lang="en-AU" sz="1000" baseline="0"/>
              <a:t> Strait Islander service users</a:t>
            </a:r>
            <a:r>
              <a:rPr lang="en-AU" sz="1000"/>
              <a:t>)</a:t>
            </a:r>
          </a:p>
        </c:rich>
      </c:tx>
      <c:overlay val="0"/>
      <c:spPr>
        <a:noFill/>
        <a:ln>
          <a:noFill/>
        </a:ln>
        <a:effectLst/>
      </c:spPr>
      <c:txPr>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AU"/>
        </a:p>
      </c:txPr>
    </c:title>
    <c:autoTitleDeleted val="0"/>
    <c:plotArea>
      <c:layout>
        <c:manualLayout>
          <c:layoutTarget val="inner"/>
          <c:xMode val="edge"/>
          <c:yMode val="edge"/>
          <c:x val="0.51657863960154737"/>
          <c:y val="0.15643174603174603"/>
          <c:w val="0.45597752570068617"/>
          <c:h val="0.63640079365079361"/>
        </c:manualLayout>
      </c:layout>
      <c:barChart>
        <c:barDir val="bar"/>
        <c:grouping val="stacked"/>
        <c:varyColors val="0"/>
        <c:ser>
          <c:idx val="0"/>
          <c:order val="0"/>
          <c:tx>
            <c:strRef>
              <c:f>Sheet1!$F$1</c:f>
              <c:strCache>
                <c:ptCount val="1"/>
                <c:pt idx="0">
                  <c:v>Earliest SCORE (mean)</c:v>
                </c:pt>
              </c:strCache>
            </c:strRef>
          </c:tx>
          <c:spPr>
            <a:solidFill>
              <a:srgbClr val="007E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Sheet1!$E$5:$E$13</c:f>
              <c:strCache>
                <c:ptCount val="9"/>
                <c:pt idx="0">
                  <c:v>Goals - Changed skills</c:v>
                </c:pt>
                <c:pt idx="1">
                  <c:v>Goals - Changed knowledge and access to information</c:v>
                </c:pt>
                <c:pt idx="2">
                  <c:v>Goals - Changed impact of immediate crisis</c:v>
                </c:pt>
                <c:pt idx="3">
                  <c:v>Goals - Engagement with relevant support services</c:v>
                </c:pt>
                <c:pt idx="4">
                  <c:v>Goals - Empowerment, choice and control to make own decisions</c:v>
                </c:pt>
                <c:pt idx="5">
                  <c:v>Goals - Changed behaviours</c:v>
                </c:pt>
                <c:pt idx="6">
                  <c:v>Circumstances - Personal and family safety</c:v>
                </c:pt>
                <c:pt idx="7">
                  <c:v>Circumstances - Mental health, wellbeing and self-care</c:v>
                </c:pt>
                <c:pt idx="8">
                  <c:v>Circumstances - Family functioning</c:v>
                </c:pt>
              </c:strCache>
            </c:strRef>
          </c:cat>
          <c:val>
            <c:numRef>
              <c:f>Sheet1!$F$5:$F$13</c:f>
              <c:numCache>
                <c:formatCode>0.0</c:formatCode>
                <c:ptCount val="9"/>
                <c:pt idx="0">
                  <c:v>2.2007722007722008</c:v>
                </c:pt>
                <c:pt idx="1">
                  <c:v>2.111486486486486</c:v>
                </c:pt>
                <c:pt idx="2">
                  <c:v>1.942982456140351</c:v>
                </c:pt>
                <c:pt idx="3">
                  <c:v>2.2183908045977012</c:v>
                </c:pt>
                <c:pt idx="4">
                  <c:v>2.127272727272727</c:v>
                </c:pt>
                <c:pt idx="5">
                  <c:v>2.263157894736842</c:v>
                </c:pt>
                <c:pt idx="6">
                  <c:v>2.2974238875878221</c:v>
                </c:pt>
                <c:pt idx="7">
                  <c:v>2.319749216300941</c:v>
                </c:pt>
                <c:pt idx="8">
                  <c:v>2.1893687707641201</c:v>
                </c:pt>
              </c:numCache>
            </c:numRef>
          </c:val>
          <c:extLst>
            <c:ext xmlns:c16="http://schemas.microsoft.com/office/drawing/2014/chart" uri="{C3380CC4-5D6E-409C-BE32-E72D297353CC}">
              <c16:uniqueId val="{00000000-9F90-498F-AB8E-595A995D3DA9}"/>
            </c:ext>
          </c:extLst>
        </c:ser>
        <c:ser>
          <c:idx val="1"/>
          <c:order val="1"/>
          <c:tx>
            <c:strRef>
              <c:f>Sheet1!$G$1</c:f>
              <c:strCache>
                <c:ptCount val="1"/>
                <c:pt idx="0">
                  <c:v>Latest SCORE (mean change)</c:v>
                </c:pt>
              </c:strCache>
            </c:strRef>
          </c:tx>
          <c:spPr>
            <a:solidFill>
              <a:srgbClr val="78B8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Sheet1!$E$5:$E$13</c:f>
              <c:strCache>
                <c:ptCount val="9"/>
                <c:pt idx="0">
                  <c:v>Goals - Changed skills</c:v>
                </c:pt>
                <c:pt idx="1">
                  <c:v>Goals - Changed knowledge and access to information</c:v>
                </c:pt>
                <c:pt idx="2">
                  <c:v>Goals - Changed impact of immediate crisis</c:v>
                </c:pt>
                <c:pt idx="3">
                  <c:v>Goals - Engagement with relevant support services</c:v>
                </c:pt>
                <c:pt idx="4">
                  <c:v>Goals - Empowerment, choice and control to make own decisions</c:v>
                </c:pt>
                <c:pt idx="5">
                  <c:v>Goals - Changed behaviours</c:v>
                </c:pt>
                <c:pt idx="6">
                  <c:v>Circumstances - Personal and family safety</c:v>
                </c:pt>
                <c:pt idx="7">
                  <c:v>Circumstances - Mental health, wellbeing and self-care</c:v>
                </c:pt>
                <c:pt idx="8">
                  <c:v>Circumstances - Family functioning</c:v>
                </c:pt>
              </c:strCache>
            </c:strRef>
          </c:cat>
          <c:val>
            <c:numRef>
              <c:f>Sheet1!$G$5:$G$13</c:f>
              <c:numCache>
                <c:formatCode>0.0</c:formatCode>
                <c:ptCount val="9"/>
                <c:pt idx="0">
                  <c:v>0.79536679536679511</c:v>
                </c:pt>
                <c:pt idx="1">
                  <c:v>1.1689189189189191</c:v>
                </c:pt>
                <c:pt idx="2">
                  <c:v>1.131578947368421</c:v>
                </c:pt>
                <c:pt idx="3">
                  <c:v>0.93869731800766276</c:v>
                </c:pt>
                <c:pt idx="4">
                  <c:v>0.88727272727272721</c:v>
                </c:pt>
                <c:pt idx="5">
                  <c:v>0.74898785425101222</c:v>
                </c:pt>
                <c:pt idx="6">
                  <c:v>0.83840749414519911</c:v>
                </c:pt>
                <c:pt idx="7">
                  <c:v>0.65203761755485878</c:v>
                </c:pt>
                <c:pt idx="8">
                  <c:v>0.55149501661129552</c:v>
                </c:pt>
              </c:numCache>
            </c:numRef>
          </c:val>
          <c:extLst>
            <c:ext xmlns:c16="http://schemas.microsoft.com/office/drawing/2014/chart" uri="{C3380CC4-5D6E-409C-BE32-E72D297353CC}">
              <c16:uniqueId val="{00000001-9F90-498F-AB8E-595A995D3DA9}"/>
            </c:ext>
          </c:extLst>
        </c:ser>
        <c:dLbls>
          <c:showLegendKey val="0"/>
          <c:showVal val="0"/>
          <c:showCatName val="0"/>
          <c:showSerName val="0"/>
          <c:showPercent val="0"/>
          <c:showBubbleSize val="0"/>
        </c:dLbls>
        <c:gapWidth val="150"/>
        <c:overlap val="100"/>
        <c:axId val="2106384927"/>
        <c:axId val="2106377247"/>
      </c:barChart>
      <c:catAx>
        <c:axId val="2106384927"/>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106377247"/>
        <c:crosses val="autoZero"/>
        <c:auto val="1"/>
        <c:lblAlgn val="ctr"/>
        <c:lblOffset val="100"/>
        <c:noMultiLvlLbl val="0"/>
      </c:catAx>
      <c:valAx>
        <c:axId val="2106377247"/>
        <c:scaling>
          <c:orientation val="minMax"/>
          <c:max val="5"/>
          <c:min val="0"/>
        </c:scaling>
        <c:delete val="0"/>
        <c:axPos val="b"/>
        <c:majorGridlines>
          <c:spPr>
            <a:ln w="6350" cap="flat" cmpd="sng" algn="ctr">
              <a:solidFill>
                <a:schemeClr val="accent4"/>
              </a:solidFill>
              <a:prstDash val="solid"/>
              <a:miter lim="800000"/>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106384927"/>
        <c:crosses val="autoZero"/>
        <c:crossBetween val="between"/>
        <c:majorUnit val="1"/>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800">
          <a:solidFill>
            <a:sysClr val="windowText" lastClr="000000"/>
          </a:solidFill>
          <a:latin typeface="Arial" panose="020B0604020202020204" pitchFamily="34" charset="0"/>
          <a:cs typeface="Arial" panose="020B0604020202020204" pitchFamily="34" charset="0"/>
        </a:defRPr>
      </a:pPr>
      <a:endParaRPr lang="en-US"/>
    </a:p>
  </c:txPr>
  <c:externalData r:id="rId3">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AU" sz="1000"/>
              <a:t>Earliest and latest SCORE assessment (SFVS, non-Aboriginal and Torres Strait Islander </a:t>
            </a:r>
            <a:r>
              <a:rPr lang="en-AU" sz="1000" baseline="0"/>
              <a:t>service users</a:t>
            </a:r>
            <a:r>
              <a:rPr lang="en-AU" sz="1000"/>
              <a:t>)</a:t>
            </a:r>
          </a:p>
        </c:rich>
      </c:tx>
      <c:overlay val="0"/>
      <c:spPr>
        <a:noFill/>
        <a:ln>
          <a:noFill/>
        </a:ln>
        <a:effectLst/>
      </c:spPr>
      <c:txPr>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AU"/>
        </a:p>
      </c:txPr>
    </c:title>
    <c:autoTitleDeleted val="0"/>
    <c:plotArea>
      <c:layout>
        <c:manualLayout>
          <c:layoutTarget val="inner"/>
          <c:xMode val="edge"/>
          <c:yMode val="edge"/>
          <c:x val="0.51657863960154737"/>
          <c:y val="0.15643174603174603"/>
          <c:w val="0.45597752570068617"/>
          <c:h val="0.63640079365079361"/>
        </c:manualLayout>
      </c:layout>
      <c:barChart>
        <c:barDir val="bar"/>
        <c:grouping val="stacked"/>
        <c:varyColors val="0"/>
        <c:ser>
          <c:idx val="0"/>
          <c:order val="0"/>
          <c:tx>
            <c:strRef>
              <c:f>Sheet1!$F$1</c:f>
              <c:strCache>
                <c:ptCount val="1"/>
                <c:pt idx="0">
                  <c:v>Earliest SCORE (mean)</c:v>
                </c:pt>
              </c:strCache>
            </c:strRef>
          </c:tx>
          <c:spPr>
            <a:solidFill>
              <a:srgbClr val="007E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Sheet1!$E$14:$E$22</c:f>
              <c:strCache>
                <c:ptCount val="9"/>
                <c:pt idx="0">
                  <c:v>Goals - Changed skills</c:v>
                </c:pt>
                <c:pt idx="1">
                  <c:v>Goals - Changed knowledge and access to information</c:v>
                </c:pt>
                <c:pt idx="2">
                  <c:v>Goals - Changed impact of immediate crisis</c:v>
                </c:pt>
                <c:pt idx="3">
                  <c:v>Goals - Engagement with relevant support services</c:v>
                </c:pt>
                <c:pt idx="4">
                  <c:v>Goals - Empowerment, choice and control to make own decisions</c:v>
                </c:pt>
                <c:pt idx="5">
                  <c:v>Goals - Changed behaviours</c:v>
                </c:pt>
                <c:pt idx="6">
                  <c:v>Circumstances - Personal and family safety</c:v>
                </c:pt>
                <c:pt idx="7">
                  <c:v>Circumstances - Mental health, wellbeing and self-care</c:v>
                </c:pt>
                <c:pt idx="8">
                  <c:v>Circumstances - Family functioning</c:v>
                </c:pt>
              </c:strCache>
            </c:strRef>
          </c:cat>
          <c:val>
            <c:numRef>
              <c:f>Sheet1!$F$14:$F$22</c:f>
              <c:numCache>
                <c:formatCode>0.0</c:formatCode>
                <c:ptCount val="9"/>
                <c:pt idx="0">
                  <c:v>2.3508152173913039</c:v>
                </c:pt>
                <c:pt idx="1">
                  <c:v>2.4475438163416441</c:v>
                </c:pt>
                <c:pt idx="2">
                  <c:v>2.1032917139614069</c:v>
                </c:pt>
                <c:pt idx="3">
                  <c:v>2.560180367672563</c:v>
                </c:pt>
                <c:pt idx="4">
                  <c:v>2.3422903063787039</c:v>
                </c:pt>
                <c:pt idx="5">
                  <c:v>2.3782139894940562</c:v>
                </c:pt>
                <c:pt idx="6">
                  <c:v>2.4443307757885759</c:v>
                </c:pt>
                <c:pt idx="7">
                  <c:v>2.3410837817063799</c:v>
                </c:pt>
                <c:pt idx="8">
                  <c:v>2.2506991610067919</c:v>
                </c:pt>
              </c:numCache>
            </c:numRef>
          </c:val>
          <c:extLst>
            <c:ext xmlns:c16="http://schemas.microsoft.com/office/drawing/2014/chart" uri="{C3380CC4-5D6E-409C-BE32-E72D297353CC}">
              <c16:uniqueId val="{00000000-6DD2-47A5-8655-5DD4D495788A}"/>
            </c:ext>
          </c:extLst>
        </c:ser>
        <c:ser>
          <c:idx val="1"/>
          <c:order val="1"/>
          <c:tx>
            <c:strRef>
              <c:f>Sheet1!$G$1</c:f>
              <c:strCache>
                <c:ptCount val="1"/>
                <c:pt idx="0">
                  <c:v>Latest SCORE (mean change)</c:v>
                </c:pt>
              </c:strCache>
            </c:strRef>
          </c:tx>
          <c:spPr>
            <a:solidFill>
              <a:srgbClr val="78B8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Sheet1!$E$14:$E$22</c:f>
              <c:strCache>
                <c:ptCount val="9"/>
                <c:pt idx="0">
                  <c:v>Goals - Changed skills</c:v>
                </c:pt>
                <c:pt idx="1">
                  <c:v>Goals - Changed knowledge and access to information</c:v>
                </c:pt>
                <c:pt idx="2">
                  <c:v>Goals - Changed impact of immediate crisis</c:v>
                </c:pt>
                <c:pt idx="3">
                  <c:v>Goals - Engagement with relevant support services</c:v>
                </c:pt>
                <c:pt idx="4">
                  <c:v>Goals - Empowerment, choice and control to make own decisions</c:v>
                </c:pt>
                <c:pt idx="5">
                  <c:v>Goals - Changed behaviours</c:v>
                </c:pt>
                <c:pt idx="6">
                  <c:v>Circumstances - Personal and family safety</c:v>
                </c:pt>
                <c:pt idx="7">
                  <c:v>Circumstances - Mental health, wellbeing and self-care</c:v>
                </c:pt>
                <c:pt idx="8">
                  <c:v>Circumstances - Family functioning</c:v>
                </c:pt>
              </c:strCache>
            </c:strRef>
          </c:cat>
          <c:val>
            <c:numRef>
              <c:f>Sheet1!$G$14:$G$22</c:f>
              <c:numCache>
                <c:formatCode>0.0</c:formatCode>
                <c:ptCount val="9"/>
                <c:pt idx="0">
                  <c:v>0.93043478260869561</c:v>
                </c:pt>
                <c:pt idx="1">
                  <c:v>1.0664033571957541</c:v>
                </c:pt>
                <c:pt idx="2">
                  <c:v>1.167990919409762</c:v>
                </c:pt>
                <c:pt idx="3">
                  <c:v>0.96496704821366608</c:v>
                </c:pt>
                <c:pt idx="4">
                  <c:v>1.0610246107483681</c:v>
                </c:pt>
                <c:pt idx="5">
                  <c:v>0.89936411390655246</c:v>
                </c:pt>
                <c:pt idx="6">
                  <c:v>0.91747655583972731</c:v>
                </c:pt>
                <c:pt idx="7">
                  <c:v>0.84780937740199835</c:v>
                </c:pt>
                <c:pt idx="8">
                  <c:v>0.81142628845385545</c:v>
                </c:pt>
              </c:numCache>
            </c:numRef>
          </c:val>
          <c:extLst>
            <c:ext xmlns:c16="http://schemas.microsoft.com/office/drawing/2014/chart" uri="{C3380CC4-5D6E-409C-BE32-E72D297353CC}">
              <c16:uniqueId val="{00000001-6DD2-47A5-8655-5DD4D495788A}"/>
            </c:ext>
          </c:extLst>
        </c:ser>
        <c:dLbls>
          <c:showLegendKey val="0"/>
          <c:showVal val="0"/>
          <c:showCatName val="0"/>
          <c:showSerName val="0"/>
          <c:showPercent val="0"/>
          <c:showBubbleSize val="0"/>
        </c:dLbls>
        <c:gapWidth val="150"/>
        <c:overlap val="100"/>
        <c:axId val="2106384927"/>
        <c:axId val="2106377247"/>
      </c:barChart>
      <c:catAx>
        <c:axId val="2106384927"/>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106377247"/>
        <c:crosses val="autoZero"/>
        <c:auto val="1"/>
        <c:lblAlgn val="ctr"/>
        <c:lblOffset val="100"/>
        <c:noMultiLvlLbl val="0"/>
      </c:catAx>
      <c:valAx>
        <c:axId val="2106377247"/>
        <c:scaling>
          <c:orientation val="minMax"/>
          <c:max val="5"/>
          <c:min val="0"/>
        </c:scaling>
        <c:delete val="0"/>
        <c:axPos val="b"/>
        <c:majorGridlines>
          <c:spPr>
            <a:ln w="6350" cap="flat" cmpd="sng" algn="ctr">
              <a:solidFill>
                <a:schemeClr val="accent4"/>
              </a:solidFill>
              <a:prstDash val="solid"/>
              <a:miter lim="800000"/>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106384927"/>
        <c:crosses val="autoZero"/>
        <c:crossBetween val="between"/>
        <c:majorUnit val="1"/>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800">
          <a:solidFill>
            <a:sysClr val="windowText" lastClr="000000"/>
          </a:solidFill>
          <a:latin typeface="Arial" panose="020B0604020202020204" pitchFamily="34" charset="0"/>
          <a:cs typeface="Arial" panose="020B0604020202020204" pitchFamily="34" charset="0"/>
        </a:defRPr>
      </a:pPr>
      <a:endParaRPr lang="en-US"/>
    </a:p>
  </c:txPr>
  <c:externalData r:id="rId3">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AU" sz="1000"/>
              <a:t>Earliest and latest SCORE assessment (FaRS, CALD </a:t>
            </a:r>
            <a:r>
              <a:rPr lang="en-AU" sz="1000" baseline="0"/>
              <a:t>clients</a:t>
            </a:r>
            <a:r>
              <a:rPr lang="en-AU" sz="1000"/>
              <a:t>)</a:t>
            </a:r>
          </a:p>
        </c:rich>
      </c:tx>
      <c:overlay val="0"/>
      <c:spPr>
        <a:noFill/>
        <a:ln>
          <a:noFill/>
        </a:ln>
        <a:effectLst/>
      </c:spPr>
      <c:txPr>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AU"/>
        </a:p>
      </c:txPr>
    </c:title>
    <c:autoTitleDeleted val="0"/>
    <c:plotArea>
      <c:layout>
        <c:manualLayout>
          <c:layoutTarget val="inner"/>
          <c:xMode val="edge"/>
          <c:yMode val="edge"/>
          <c:x val="0.51657863960154737"/>
          <c:y val="0.15643174603174603"/>
          <c:w val="0.45597752570068617"/>
          <c:h val="0.63640079365079361"/>
        </c:manualLayout>
      </c:layout>
      <c:barChart>
        <c:barDir val="bar"/>
        <c:grouping val="stacked"/>
        <c:varyColors val="0"/>
        <c:ser>
          <c:idx val="0"/>
          <c:order val="0"/>
          <c:tx>
            <c:strRef>
              <c:f>Sheet1!$F$1</c:f>
              <c:strCache>
                <c:ptCount val="1"/>
                <c:pt idx="0">
                  <c:v>Earliest SCORE (mean)</c:v>
                </c:pt>
              </c:strCache>
            </c:strRef>
          </c:tx>
          <c:spPr>
            <a:solidFill>
              <a:srgbClr val="007E00"/>
            </a:solidFill>
            <a:ln>
              <a:noFill/>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Sheet1!$E$23:$E$31</c:f>
              <c:strCache>
                <c:ptCount val="9"/>
                <c:pt idx="0">
                  <c:v>Goals - Changed skills</c:v>
                </c:pt>
                <c:pt idx="1">
                  <c:v>Goals - Changed knowledge and access to information</c:v>
                </c:pt>
                <c:pt idx="2">
                  <c:v>Goals - Changed impact of immediate crisis</c:v>
                </c:pt>
                <c:pt idx="3">
                  <c:v>Goals - Engagement with relevant support services</c:v>
                </c:pt>
                <c:pt idx="4">
                  <c:v>Goals - Empowerment, choice and control to make own decisions</c:v>
                </c:pt>
                <c:pt idx="5">
                  <c:v>Goals - Changed behaviours</c:v>
                </c:pt>
                <c:pt idx="6">
                  <c:v>Circumstances - Personal and family safety</c:v>
                </c:pt>
                <c:pt idx="7">
                  <c:v>Circumstances - Mental health, wellbeing and self-care</c:v>
                </c:pt>
                <c:pt idx="8">
                  <c:v>Circumstances - Family functioning</c:v>
                </c:pt>
              </c:strCache>
            </c:strRef>
          </c:cat>
          <c:val>
            <c:numRef>
              <c:f>Sheet1!$F$23:$F$31</c:f>
              <c:numCache>
                <c:formatCode>General</c:formatCode>
                <c:ptCount val="9"/>
                <c:pt idx="0">
                  <c:v>2.3493270918665892</c:v>
                </c:pt>
                <c:pt idx="1">
                  <c:v>2.2855759922555658</c:v>
                </c:pt>
                <c:pt idx="2">
                  <c:v>2.2691131498470951</c:v>
                </c:pt>
                <c:pt idx="3">
                  <c:v>2.490216271884655</c:v>
                </c:pt>
                <c:pt idx="4">
                  <c:v>2.505343511450381</c:v>
                </c:pt>
                <c:pt idx="5">
                  <c:v>2.3222070844686651</c:v>
                </c:pt>
                <c:pt idx="6">
                  <c:v>3.0570824524312901</c:v>
                </c:pt>
                <c:pt idx="7">
                  <c:v>2.6608159392789368</c:v>
                </c:pt>
                <c:pt idx="8">
                  <c:v>2.5428907168037602</c:v>
                </c:pt>
              </c:numCache>
            </c:numRef>
          </c:val>
          <c:extLst>
            <c:ext xmlns:c16="http://schemas.microsoft.com/office/drawing/2014/chart" uri="{C3380CC4-5D6E-409C-BE32-E72D297353CC}">
              <c16:uniqueId val="{00000000-4324-4BAC-99B0-12C51B42A189}"/>
            </c:ext>
          </c:extLst>
        </c:ser>
        <c:ser>
          <c:idx val="1"/>
          <c:order val="1"/>
          <c:tx>
            <c:strRef>
              <c:f>Sheet1!$G$1</c:f>
              <c:strCache>
                <c:ptCount val="1"/>
                <c:pt idx="0">
                  <c:v>Latest SCORE (mean change)</c:v>
                </c:pt>
              </c:strCache>
            </c:strRef>
          </c:tx>
          <c:spPr>
            <a:solidFill>
              <a:srgbClr val="78B800"/>
            </a:solidFill>
            <a:ln>
              <a:noFill/>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Sheet1!$E$23:$E$31</c:f>
              <c:strCache>
                <c:ptCount val="9"/>
                <c:pt idx="0">
                  <c:v>Goals - Changed skills</c:v>
                </c:pt>
                <c:pt idx="1">
                  <c:v>Goals - Changed knowledge and access to information</c:v>
                </c:pt>
                <c:pt idx="2">
                  <c:v>Goals - Changed impact of immediate crisis</c:v>
                </c:pt>
                <c:pt idx="3">
                  <c:v>Goals - Engagement with relevant support services</c:v>
                </c:pt>
                <c:pt idx="4">
                  <c:v>Goals - Empowerment, choice and control to make own decisions</c:v>
                </c:pt>
                <c:pt idx="5">
                  <c:v>Goals - Changed behaviours</c:v>
                </c:pt>
                <c:pt idx="6">
                  <c:v>Circumstances - Personal and family safety</c:v>
                </c:pt>
                <c:pt idx="7">
                  <c:v>Circumstances - Mental health, wellbeing and self-care</c:v>
                </c:pt>
                <c:pt idx="8">
                  <c:v>Circumstances - Family functioning</c:v>
                </c:pt>
              </c:strCache>
            </c:strRef>
          </c:cat>
          <c:val>
            <c:numRef>
              <c:f>Sheet1!$G$23:$G$31</c:f>
              <c:numCache>
                <c:formatCode>General</c:formatCode>
                <c:ptCount val="9"/>
                <c:pt idx="0">
                  <c:v>1.0140433001755409</c:v>
                </c:pt>
                <c:pt idx="1">
                  <c:v>1.287512100677638</c:v>
                </c:pt>
                <c:pt idx="2">
                  <c:v>0.93577981651376163</c:v>
                </c:pt>
                <c:pt idx="3">
                  <c:v>0.91967044284243027</c:v>
                </c:pt>
                <c:pt idx="4">
                  <c:v>0.87862595419847356</c:v>
                </c:pt>
                <c:pt idx="5">
                  <c:v>0.92643051771117202</c:v>
                </c:pt>
                <c:pt idx="6">
                  <c:v>0.69837914023960534</c:v>
                </c:pt>
                <c:pt idx="7">
                  <c:v>0.74193548387096797</c:v>
                </c:pt>
                <c:pt idx="8">
                  <c:v>0.7571484528006267</c:v>
                </c:pt>
              </c:numCache>
            </c:numRef>
          </c:val>
          <c:extLst>
            <c:ext xmlns:c16="http://schemas.microsoft.com/office/drawing/2014/chart" uri="{C3380CC4-5D6E-409C-BE32-E72D297353CC}">
              <c16:uniqueId val="{00000001-4324-4BAC-99B0-12C51B42A189}"/>
            </c:ext>
          </c:extLst>
        </c:ser>
        <c:dLbls>
          <c:showLegendKey val="0"/>
          <c:showVal val="0"/>
          <c:showCatName val="0"/>
          <c:showSerName val="0"/>
          <c:showPercent val="0"/>
          <c:showBubbleSize val="0"/>
        </c:dLbls>
        <c:gapWidth val="150"/>
        <c:overlap val="100"/>
        <c:axId val="2106384927"/>
        <c:axId val="2106377247"/>
      </c:barChart>
      <c:catAx>
        <c:axId val="2106384927"/>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106377247"/>
        <c:crosses val="autoZero"/>
        <c:auto val="1"/>
        <c:lblAlgn val="ctr"/>
        <c:lblOffset val="100"/>
        <c:noMultiLvlLbl val="0"/>
      </c:catAx>
      <c:valAx>
        <c:axId val="2106377247"/>
        <c:scaling>
          <c:orientation val="minMax"/>
          <c:max val="5"/>
          <c:min val="0"/>
        </c:scaling>
        <c:delete val="0"/>
        <c:axPos val="b"/>
        <c:majorGridlines>
          <c:spPr>
            <a:ln w="6350" cap="flat" cmpd="sng" algn="ctr">
              <a:solidFill>
                <a:schemeClr val="accent4"/>
              </a:solidFill>
              <a:prstDash val="solid"/>
              <a:miter lim="800000"/>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106384927"/>
        <c:crosses val="autoZero"/>
        <c:crossBetween val="between"/>
        <c:majorUnit val="1"/>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800">
          <a:solidFill>
            <a:sysClr val="windowText" lastClr="000000"/>
          </a:solidFill>
          <a:latin typeface="Arial" panose="020B0604020202020204" pitchFamily="34" charset="0"/>
          <a:cs typeface="Arial" panose="020B0604020202020204" pitchFamily="34" charset="0"/>
        </a:defRPr>
      </a:pPr>
      <a:endParaRPr lang="en-US"/>
    </a:p>
  </c:txPr>
  <c:externalData r:id="rId3">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AU" sz="1000"/>
              <a:t>Earliest and latest SCORE assessment (FaRS, non-CALD </a:t>
            </a:r>
            <a:r>
              <a:rPr lang="en-AU" sz="1000" baseline="0"/>
              <a:t>clients</a:t>
            </a:r>
            <a:r>
              <a:rPr lang="en-AU" sz="1000"/>
              <a:t>)</a:t>
            </a:r>
          </a:p>
        </c:rich>
      </c:tx>
      <c:overlay val="0"/>
      <c:spPr>
        <a:noFill/>
        <a:ln>
          <a:noFill/>
        </a:ln>
        <a:effectLst/>
      </c:spPr>
      <c:txPr>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AU"/>
        </a:p>
      </c:txPr>
    </c:title>
    <c:autoTitleDeleted val="0"/>
    <c:plotArea>
      <c:layout>
        <c:manualLayout>
          <c:layoutTarget val="inner"/>
          <c:xMode val="edge"/>
          <c:yMode val="edge"/>
          <c:x val="0.51657863960154737"/>
          <c:y val="0.15643174603174603"/>
          <c:w val="0.45597752570068617"/>
          <c:h val="0.63640079365079361"/>
        </c:manualLayout>
      </c:layout>
      <c:barChart>
        <c:barDir val="bar"/>
        <c:grouping val="stacked"/>
        <c:varyColors val="0"/>
        <c:ser>
          <c:idx val="0"/>
          <c:order val="0"/>
          <c:tx>
            <c:strRef>
              <c:f>Sheet1!$F$1</c:f>
              <c:strCache>
                <c:ptCount val="1"/>
                <c:pt idx="0">
                  <c:v>Earliest SCORE (mean)</c:v>
                </c:pt>
              </c:strCache>
            </c:strRef>
          </c:tx>
          <c:spPr>
            <a:solidFill>
              <a:srgbClr val="007E00"/>
            </a:solidFill>
            <a:ln>
              <a:noFill/>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Sheet1!$E$32:$E$40</c:f>
              <c:strCache>
                <c:ptCount val="9"/>
                <c:pt idx="0">
                  <c:v>Goals - Changed skills</c:v>
                </c:pt>
                <c:pt idx="1">
                  <c:v>Goals - Changed knowledge and access to information</c:v>
                </c:pt>
                <c:pt idx="2">
                  <c:v>Goals - Changed impact of immediate crisis</c:v>
                </c:pt>
                <c:pt idx="3">
                  <c:v>Goals - Engagement with relevant support services</c:v>
                </c:pt>
                <c:pt idx="4">
                  <c:v>Goals - Empowerment, choice and control to make own decisions</c:v>
                </c:pt>
                <c:pt idx="5">
                  <c:v>Goals - Changed behaviours</c:v>
                </c:pt>
                <c:pt idx="6">
                  <c:v>Circumstances - Personal and family safety</c:v>
                </c:pt>
                <c:pt idx="7">
                  <c:v>Circumstances - Mental health, wellbeing and self-care</c:v>
                </c:pt>
                <c:pt idx="8">
                  <c:v>Circumstances - Family functioning</c:v>
                </c:pt>
              </c:strCache>
            </c:strRef>
          </c:cat>
          <c:val>
            <c:numRef>
              <c:f>Sheet1!$F$32:$F$40</c:f>
              <c:numCache>
                <c:formatCode>General</c:formatCode>
                <c:ptCount val="9"/>
                <c:pt idx="0">
                  <c:v>2.1568294593888742</c:v>
                </c:pt>
                <c:pt idx="1">
                  <c:v>2.2105390798226159</c:v>
                </c:pt>
                <c:pt idx="2">
                  <c:v>2.1315393747526712</c:v>
                </c:pt>
                <c:pt idx="3">
                  <c:v>2.442628065140076</c:v>
                </c:pt>
                <c:pt idx="4">
                  <c:v>2.2832736528754478</c:v>
                </c:pt>
                <c:pt idx="5">
                  <c:v>2.110687022900763</c:v>
                </c:pt>
                <c:pt idx="6">
                  <c:v>3.1947573384699131</c:v>
                </c:pt>
                <c:pt idx="7">
                  <c:v>2.5431600913679819</c:v>
                </c:pt>
                <c:pt idx="8">
                  <c:v>2.3927586745045</c:v>
                </c:pt>
              </c:numCache>
            </c:numRef>
          </c:val>
          <c:extLst>
            <c:ext xmlns:c16="http://schemas.microsoft.com/office/drawing/2014/chart" uri="{C3380CC4-5D6E-409C-BE32-E72D297353CC}">
              <c16:uniqueId val="{00000000-EEF7-439C-8687-7B8B089A0189}"/>
            </c:ext>
          </c:extLst>
        </c:ser>
        <c:ser>
          <c:idx val="1"/>
          <c:order val="1"/>
          <c:tx>
            <c:strRef>
              <c:f>Sheet1!$G$1</c:f>
              <c:strCache>
                <c:ptCount val="1"/>
                <c:pt idx="0">
                  <c:v>Latest SCORE (mean change)</c:v>
                </c:pt>
              </c:strCache>
            </c:strRef>
          </c:tx>
          <c:spPr>
            <a:solidFill>
              <a:srgbClr val="78B800"/>
            </a:solidFill>
            <a:ln>
              <a:noFill/>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Sheet1!$E$32:$E$40</c:f>
              <c:strCache>
                <c:ptCount val="9"/>
                <c:pt idx="0">
                  <c:v>Goals - Changed skills</c:v>
                </c:pt>
                <c:pt idx="1">
                  <c:v>Goals - Changed knowledge and access to information</c:v>
                </c:pt>
                <c:pt idx="2">
                  <c:v>Goals - Changed impact of immediate crisis</c:v>
                </c:pt>
                <c:pt idx="3">
                  <c:v>Goals - Engagement with relevant support services</c:v>
                </c:pt>
                <c:pt idx="4">
                  <c:v>Goals - Empowerment, choice and control to make own decisions</c:v>
                </c:pt>
                <c:pt idx="5">
                  <c:v>Goals - Changed behaviours</c:v>
                </c:pt>
                <c:pt idx="6">
                  <c:v>Circumstances - Personal and family safety</c:v>
                </c:pt>
                <c:pt idx="7">
                  <c:v>Circumstances - Mental health, wellbeing and self-care</c:v>
                </c:pt>
                <c:pt idx="8">
                  <c:v>Circumstances - Family functioning</c:v>
                </c:pt>
              </c:strCache>
            </c:strRef>
          </c:cat>
          <c:val>
            <c:numRef>
              <c:f>Sheet1!$G$32:$G$40</c:f>
              <c:numCache>
                <c:formatCode>General</c:formatCode>
                <c:ptCount val="9"/>
                <c:pt idx="0">
                  <c:v>1.0890898406894749</c:v>
                </c:pt>
                <c:pt idx="1">
                  <c:v>1.240230044345898</c:v>
                </c:pt>
                <c:pt idx="2">
                  <c:v>1.0683814800158291</c:v>
                </c:pt>
                <c:pt idx="3">
                  <c:v>0.93055468896237592</c:v>
                </c:pt>
                <c:pt idx="4">
                  <c:v>1.033651149747616</c:v>
                </c:pt>
                <c:pt idx="5">
                  <c:v>1.091052175966003</c:v>
                </c:pt>
                <c:pt idx="6">
                  <c:v>0.58871069050709757</c:v>
                </c:pt>
                <c:pt idx="7">
                  <c:v>0.8205916358816725</c:v>
                </c:pt>
                <c:pt idx="8">
                  <c:v>0.83132185402902747</c:v>
                </c:pt>
              </c:numCache>
            </c:numRef>
          </c:val>
          <c:extLst>
            <c:ext xmlns:c16="http://schemas.microsoft.com/office/drawing/2014/chart" uri="{C3380CC4-5D6E-409C-BE32-E72D297353CC}">
              <c16:uniqueId val="{00000001-EEF7-439C-8687-7B8B089A0189}"/>
            </c:ext>
          </c:extLst>
        </c:ser>
        <c:dLbls>
          <c:showLegendKey val="0"/>
          <c:showVal val="0"/>
          <c:showCatName val="0"/>
          <c:showSerName val="0"/>
          <c:showPercent val="0"/>
          <c:showBubbleSize val="0"/>
        </c:dLbls>
        <c:gapWidth val="150"/>
        <c:overlap val="100"/>
        <c:axId val="2106384927"/>
        <c:axId val="2106377247"/>
      </c:barChart>
      <c:catAx>
        <c:axId val="2106384927"/>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106377247"/>
        <c:crosses val="autoZero"/>
        <c:auto val="1"/>
        <c:lblAlgn val="ctr"/>
        <c:lblOffset val="100"/>
        <c:noMultiLvlLbl val="0"/>
      </c:catAx>
      <c:valAx>
        <c:axId val="2106377247"/>
        <c:scaling>
          <c:orientation val="minMax"/>
          <c:max val="5"/>
          <c:min val="0"/>
        </c:scaling>
        <c:delete val="0"/>
        <c:axPos val="b"/>
        <c:majorGridlines>
          <c:spPr>
            <a:ln w="6350" cap="flat" cmpd="sng" algn="ctr">
              <a:solidFill>
                <a:schemeClr val="accent4"/>
              </a:solidFill>
              <a:prstDash val="solid"/>
              <a:miter lim="800000"/>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106384927"/>
        <c:crosses val="autoZero"/>
        <c:crossBetween val="between"/>
        <c:majorUnit val="1"/>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800">
          <a:solidFill>
            <a:sysClr val="windowText" lastClr="000000"/>
          </a:solidFill>
          <a:latin typeface="Arial" panose="020B0604020202020204" pitchFamily="34" charset="0"/>
          <a:cs typeface="Arial" panose="020B0604020202020204" pitchFamily="34" charset="0"/>
        </a:defRPr>
      </a:pPr>
      <a:endParaRPr lang="en-US"/>
    </a:p>
  </c:txPr>
  <c:externalData r:id="rId3">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AU" sz="1000"/>
              <a:t>Earliest and latest SCORE assessment (SFVS, CALD </a:t>
            </a:r>
            <a:r>
              <a:rPr lang="en-AU" sz="1000" baseline="0"/>
              <a:t>clients</a:t>
            </a:r>
            <a:r>
              <a:rPr lang="en-AU" sz="1000"/>
              <a:t>)</a:t>
            </a:r>
          </a:p>
        </c:rich>
      </c:tx>
      <c:overlay val="0"/>
      <c:spPr>
        <a:noFill/>
        <a:ln>
          <a:noFill/>
        </a:ln>
        <a:effectLst/>
      </c:spPr>
      <c:txPr>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AU"/>
        </a:p>
      </c:txPr>
    </c:title>
    <c:autoTitleDeleted val="0"/>
    <c:plotArea>
      <c:layout>
        <c:manualLayout>
          <c:layoutTarget val="inner"/>
          <c:xMode val="edge"/>
          <c:yMode val="edge"/>
          <c:x val="0.51657863960154737"/>
          <c:y val="0.15643174603174603"/>
          <c:w val="0.45597752570068617"/>
          <c:h val="0.63640079365079361"/>
        </c:manualLayout>
      </c:layout>
      <c:barChart>
        <c:barDir val="bar"/>
        <c:grouping val="stacked"/>
        <c:varyColors val="0"/>
        <c:ser>
          <c:idx val="0"/>
          <c:order val="0"/>
          <c:tx>
            <c:strRef>
              <c:f>Sheet1!$F$1</c:f>
              <c:strCache>
                <c:ptCount val="1"/>
                <c:pt idx="0">
                  <c:v>Earliest SCORE (mean)</c:v>
                </c:pt>
              </c:strCache>
            </c:strRef>
          </c:tx>
          <c:spPr>
            <a:solidFill>
              <a:srgbClr val="007E00"/>
            </a:solidFill>
            <a:ln>
              <a:noFill/>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Sheet1!$E$5:$E$13</c:f>
              <c:strCache>
                <c:ptCount val="9"/>
                <c:pt idx="0">
                  <c:v>Goals - Changed skills</c:v>
                </c:pt>
                <c:pt idx="1">
                  <c:v>Goals - Changed knowledge and access to information</c:v>
                </c:pt>
                <c:pt idx="2">
                  <c:v>Goals - Changed impact of immediate crisis</c:v>
                </c:pt>
                <c:pt idx="3">
                  <c:v>Goals - Engagement with relevant support services</c:v>
                </c:pt>
                <c:pt idx="4">
                  <c:v>Goals - Empowerment, choice and control to make own decisions</c:v>
                </c:pt>
                <c:pt idx="5">
                  <c:v>Goals - Changed behaviours</c:v>
                </c:pt>
                <c:pt idx="6">
                  <c:v>Circumstances - Personal and family safety</c:v>
                </c:pt>
                <c:pt idx="7">
                  <c:v>Circumstances - Mental health, wellbeing and self-care</c:v>
                </c:pt>
                <c:pt idx="8">
                  <c:v>Circumstances - Family functioning</c:v>
                </c:pt>
              </c:strCache>
            </c:strRef>
          </c:cat>
          <c:val>
            <c:numRef>
              <c:f>Sheet1!$F$5:$F$13</c:f>
              <c:numCache>
                <c:formatCode>General</c:formatCode>
                <c:ptCount val="9"/>
                <c:pt idx="0">
                  <c:v>2.6377952755905509</c:v>
                </c:pt>
                <c:pt idx="1">
                  <c:v>2.9464285714285721</c:v>
                </c:pt>
                <c:pt idx="2">
                  <c:v>2.4153846153846148</c:v>
                </c:pt>
                <c:pt idx="3">
                  <c:v>2.5151515151515151</c:v>
                </c:pt>
                <c:pt idx="4">
                  <c:v>2.13953488372093</c:v>
                </c:pt>
                <c:pt idx="5">
                  <c:v>2.3471074380165291</c:v>
                </c:pt>
                <c:pt idx="6">
                  <c:v>2.3779069767441858</c:v>
                </c:pt>
                <c:pt idx="7">
                  <c:v>2.1787709497206702</c:v>
                </c:pt>
                <c:pt idx="8">
                  <c:v>2.132450331125828</c:v>
                </c:pt>
              </c:numCache>
            </c:numRef>
          </c:val>
          <c:extLst>
            <c:ext xmlns:c16="http://schemas.microsoft.com/office/drawing/2014/chart" uri="{C3380CC4-5D6E-409C-BE32-E72D297353CC}">
              <c16:uniqueId val="{00000000-17E4-44A8-8E04-A65642448BD7}"/>
            </c:ext>
          </c:extLst>
        </c:ser>
        <c:ser>
          <c:idx val="1"/>
          <c:order val="1"/>
          <c:tx>
            <c:strRef>
              <c:f>Sheet1!$G$1</c:f>
              <c:strCache>
                <c:ptCount val="1"/>
                <c:pt idx="0">
                  <c:v>Latest SCORE (mean change)</c:v>
                </c:pt>
              </c:strCache>
            </c:strRef>
          </c:tx>
          <c:spPr>
            <a:solidFill>
              <a:srgbClr val="78B800"/>
            </a:solidFill>
            <a:ln>
              <a:noFill/>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Sheet1!$E$5:$E$13</c:f>
              <c:strCache>
                <c:ptCount val="9"/>
                <c:pt idx="0">
                  <c:v>Goals - Changed skills</c:v>
                </c:pt>
                <c:pt idx="1">
                  <c:v>Goals - Changed knowledge and access to information</c:v>
                </c:pt>
                <c:pt idx="2">
                  <c:v>Goals - Changed impact of immediate crisis</c:v>
                </c:pt>
                <c:pt idx="3">
                  <c:v>Goals - Engagement with relevant support services</c:v>
                </c:pt>
                <c:pt idx="4">
                  <c:v>Goals - Empowerment, choice and control to make own decisions</c:v>
                </c:pt>
                <c:pt idx="5">
                  <c:v>Goals - Changed behaviours</c:v>
                </c:pt>
                <c:pt idx="6">
                  <c:v>Circumstances - Personal and family safety</c:v>
                </c:pt>
                <c:pt idx="7">
                  <c:v>Circumstances - Mental health, wellbeing and self-care</c:v>
                </c:pt>
                <c:pt idx="8">
                  <c:v>Circumstances - Family functioning</c:v>
                </c:pt>
              </c:strCache>
            </c:strRef>
          </c:cat>
          <c:val>
            <c:numRef>
              <c:f>Sheet1!$G$5:$G$13</c:f>
              <c:numCache>
                <c:formatCode>General</c:formatCode>
                <c:ptCount val="9"/>
                <c:pt idx="0">
                  <c:v>0.81102362204724399</c:v>
                </c:pt>
                <c:pt idx="1">
                  <c:v>0.79910714285714279</c:v>
                </c:pt>
                <c:pt idx="2">
                  <c:v>1.138461538461538</c:v>
                </c:pt>
                <c:pt idx="3">
                  <c:v>1.045454545454545</c:v>
                </c:pt>
                <c:pt idx="4">
                  <c:v>1.10077519379845</c:v>
                </c:pt>
                <c:pt idx="5">
                  <c:v>0.76859504132231393</c:v>
                </c:pt>
                <c:pt idx="6">
                  <c:v>0.86046511627906996</c:v>
                </c:pt>
                <c:pt idx="7">
                  <c:v>0.94413407821229089</c:v>
                </c:pt>
                <c:pt idx="8">
                  <c:v>0.85430463576158955</c:v>
                </c:pt>
              </c:numCache>
            </c:numRef>
          </c:val>
          <c:extLst>
            <c:ext xmlns:c16="http://schemas.microsoft.com/office/drawing/2014/chart" uri="{C3380CC4-5D6E-409C-BE32-E72D297353CC}">
              <c16:uniqueId val="{00000001-17E4-44A8-8E04-A65642448BD7}"/>
            </c:ext>
          </c:extLst>
        </c:ser>
        <c:dLbls>
          <c:showLegendKey val="0"/>
          <c:showVal val="0"/>
          <c:showCatName val="0"/>
          <c:showSerName val="0"/>
          <c:showPercent val="0"/>
          <c:showBubbleSize val="0"/>
        </c:dLbls>
        <c:gapWidth val="150"/>
        <c:overlap val="100"/>
        <c:axId val="2106384927"/>
        <c:axId val="2106377247"/>
      </c:barChart>
      <c:catAx>
        <c:axId val="2106384927"/>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106377247"/>
        <c:crosses val="autoZero"/>
        <c:auto val="1"/>
        <c:lblAlgn val="ctr"/>
        <c:lblOffset val="100"/>
        <c:noMultiLvlLbl val="0"/>
      </c:catAx>
      <c:valAx>
        <c:axId val="2106377247"/>
        <c:scaling>
          <c:orientation val="minMax"/>
          <c:max val="5"/>
          <c:min val="0"/>
        </c:scaling>
        <c:delete val="0"/>
        <c:axPos val="b"/>
        <c:majorGridlines>
          <c:spPr>
            <a:ln w="6350" cap="flat" cmpd="sng" algn="ctr">
              <a:solidFill>
                <a:schemeClr val="accent4"/>
              </a:solidFill>
              <a:prstDash val="solid"/>
              <a:miter lim="800000"/>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106384927"/>
        <c:crosses val="autoZero"/>
        <c:crossBetween val="between"/>
        <c:majorUnit val="1"/>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800">
          <a:solidFill>
            <a:sysClr val="windowText" lastClr="000000"/>
          </a:solidFill>
          <a:latin typeface="Arial" panose="020B0604020202020204" pitchFamily="34" charset="0"/>
          <a:cs typeface="Arial" panose="020B0604020202020204" pitchFamily="34" charset="0"/>
        </a:defRPr>
      </a:pPr>
      <a:endParaRPr lang="en-US"/>
    </a:p>
  </c:txPr>
  <c:externalData r:id="rId3">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AU" sz="1000"/>
              <a:t>Earliest and latest SCORE assessment (SFVS, non-CALD </a:t>
            </a:r>
            <a:r>
              <a:rPr lang="en-AU" sz="1000" baseline="0"/>
              <a:t>clients</a:t>
            </a:r>
            <a:r>
              <a:rPr lang="en-AU" sz="1000"/>
              <a:t>)</a:t>
            </a:r>
          </a:p>
        </c:rich>
      </c:tx>
      <c:overlay val="0"/>
      <c:spPr>
        <a:noFill/>
        <a:ln>
          <a:noFill/>
        </a:ln>
        <a:effectLst/>
      </c:spPr>
      <c:txPr>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AU"/>
        </a:p>
      </c:txPr>
    </c:title>
    <c:autoTitleDeleted val="0"/>
    <c:plotArea>
      <c:layout>
        <c:manualLayout>
          <c:layoutTarget val="inner"/>
          <c:xMode val="edge"/>
          <c:yMode val="edge"/>
          <c:x val="0.51657863960154737"/>
          <c:y val="0.15643174603174603"/>
          <c:w val="0.45597752570068617"/>
          <c:h val="0.63640079365079361"/>
        </c:manualLayout>
      </c:layout>
      <c:barChart>
        <c:barDir val="bar"/>
        <c:grouping val="stacked"/>
        <c:varyColors val="0"/>
        <c:ser>
          <c:idx val="0"/>
          <c:order val="0"/>
          <c:tx>
            <c:strRef>
              <c:f>Sheet1!$F$1</c:f>
              <c:strCache>
                <c:ptCount val="1"/>
                <c:pt idx="0">
                  <c:v>Earliest SCORE (mean)</c:v>
                </c:pt>
              </c:strCache>
            </c:strRef>
          </c:tx>
          <c:spPr>
            <a:solidFill>
              <a:srgbClr val="007E00"/>
            </a:solidFill>
            <a:ln>
              <a:noFill/>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Sheet1!$E$14:$E$22</c:f>
              <c:strCache>
                <c:ptCount val="9"/>
                <c:pt idx="0">
                  <c:v>Goals - Changed skills</c:v>
                </c:pt>
                <c:pt idx="1">
                  <c:v>Goals - Changed knowledge and access to information</c:v>
                </c:pt>
                <c:pt idx="2">
                  <c:v>Goals - Changed impact of immediate crisis</c:v>
                </c:pt>
                <c:pt idx="3">
                  <c:v>Goals - Engagement with relevant support services</c:v>
                </c:pt>
                <c:pt idx="4">
                  <c:v>Goals - Empowerment, choice and control to make own decisions</c:v>
                </c:pt>
                <c:pt idx="5">
                  <c:v>Goals - Changed behaviours</c:v>
                </c:pt>
                <c:pt idx="6">
                  <c:v>Circumstances - Personal and family safety</c:v>
                </c:pt>
                <c:pt idx="7">
                  <c:v>Circumstances - Mental health, wellbeing and self-care</c:v>
                </c:pt>
                <c:pt idx="8">
                  <c:v>Circumstances - Family functioning</c:v>
                </c:pt>
              </c:strCache>
            </c:strRef>
          </c:cat>
          <c:val>
            <c:numRef>
              <c:f>Sheet1!$F$14:$F$22</c:f>
              <c:numCache>
                <c:formatCode>General</c:formatCode>
                <c:ptCount val="9"/>
                <c:pt idx="0">
                  <c:v>2.37442502299908</c:v>
                </c:pt>
                <c:pt idx="1">
                  <c:v>2.3924369747899159</c:v>
                </c:pt>
                <c:pt idx="2">
                  <c:v>2.0549043800123381</c:v>
                </c:pt>
                <c:pt idx="3">
                  <c:v>2.504247572815534</c:v>
                </c:pt>
                <c:pt idx="4">
                  <c:v>2.3331914893617021</c:v>
                </c:pt>
                <c:pt idx="5">
                  <c:v>2.405607476635514</c:v>
                </c:pt>
                <c:pt idx="6">
                  <c:v>2.4305399325084358</c:v>
                </c:pt>
                <c:pt idx="7">
                  <c:v>2.364775495997216</c:v>
                </c:pt>
                <c:pt idx="8">
                  <c:v>2.281968390804598</c:v>
                </c:pt>
              </c:numCache>
            </c:numRef>
          </c:val>
          <c:extLst>
            <c:ext xmlns:c16="http://schemas.microsoft.com/office/drawing/2014/chart" uri="{C3380CC4-5D6E-409C-BE32-E72D297353CC}">
              <c16:uniqueId val="{00000000-27E9-460D-9F8D-BFCF5687229F}"/>
            </c:ext>
          </c:extLst>
        </c:ser>
        <c:ser>
          <c:idx val="1"/>
          <c:order val="1"/>
          <c:tx>
            <c:strRef>
              <c:f>Sheet1!$G$1</c:f>
              <c:strCache>
                <c:ptCount val="1"/>
                <c:pt idx="0">
                  <c:v>Latest SCORE (mean change)</c:v>
                </c:pt>
              </c:strCache>
            </c:strRef>
          </c:tx>
          <c:spPr>
            <a:solidFill>
              <a:srgbClr val="78B800"/>
            </a:solidFill>
            <a:ln>
              <a:noFill/>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Sheet1!$E$14:$E$22</c:f>
              <c:strCache>
                <c:ptCount val="9"/>
                <c:pt idx="0">
                  <c:v>Goals - Changed skills</c:v>
                </c:pt>
                <c:pt idx="1">
                  <c:v>Goals - Changed knowledge and access to information</c:v>
                </c:pt>
                <c:pt idx="2">
                  <c:v>Goals - Changed impact of immediate crisis</c:v>
                </c:pt>
                <c:pt idx="3">
                  <c:v>Goals - Engagement with relevant support services</c:v>
                </c:pt>
                <c:pt idx="4">
                  <c:v>Goals - Empowerment, choice and control to make own decisions</c:v>
                </c:pt>
                <c:pt idx="5">
                  <c:v>Goals - Changed behaviours</c:v>
                </c:pt>
                <c:pt idx="6">
                  <c:v>Circumstances - Personal and family safety</c:v>
                </c:pt>
                <c:pt idx="7">
                  <c:v>Circumstances - Mental health, wellbeing and self-care</c:v>
                </c:pt>
                <c:pt idx="8">
                  <c:v>Circumstances - Family functioning</c:v>
                </c:pt>
              </c:strCache>
            </c:strRef>
          </c:cat>
          <c:val>
            <c:numRef>
              <c:f>Sheet1!$G$14:$G$22</c:f>
              <c:numCache>
                <c:formatCode>General</c:formatCode>
                <c:ptCount val="9"/>
                <c:pt idx="0">
                  <c:v>0.89880404783808654</c:v>
                </c:pt>
                <c:pt idx="1">
                  <c:v>1.132352941176471</c:v>
                </c:pt>
                <c:pt idx="2">
                  <c:v>1.2362739049969149</c:v>
                </c:pt>
                <c:pt idx="3">
                  <c:v>1.0218446601941751</c:v>
                </c:pt>
                <c:pt idx="4">
                  <c:v>1.057446808510639</c:v>
                </c:pt>
                <c:pt idx="5">
                  <c:v>0.89672897196261703</c:v>
                </c:pt>
                <c:pt idx="6">
                  <c:v>0.93082114735658061</c:v>
                </c:pt>
                <c:pt idx="7">
                  <c:v>0.83710407239818974</c:v>
                </c:pt>
                <c:pt idx="8">
                  <c:v>0.77837643678160928</c:v>
                </c:pt>
              </c:numCache>
            </c:numRef>
          </c:val>
          <c:extLst>
            <c:ext xmlns:c16="http://schemas.microsoft.com/office/drawing/2014/chart" uri="{C3380CC4-5D6E-409C-BE32-E72D297353CC}">
              <c16:uniqueId val="{00000001-27E9-460D-9F8D-BFCF5687229F}"/>
            </c:ext>
          </c:extLst>
        </c:ser>
        <c:dLbls>
          <c:showLegendKey val="0"/>
          <c:showVal val="0"/>
          <c:showCatName val="0"/>
          <c:showSerName val="0"/>
          <c:showPercent val="0"/>
          <c:showBubbleSize val="0"/>
        </c:dLbls>
        <c:gapWidth val="150"/>
        <c:overlap val="100"/>
        <c:axId val="2106384927"/>
        <c:axId val="2106377247"/>
      </c:barChart>
      <c:catAx>
        <c:axId val="2106384927"/>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106377247"/>
        <c:crosses val="autoZero"/>
        <c:auto val="1"/>
        <c:lblAlgn val="ctr"/>
        <c:lblOffset val="100"/>
        <c:noMultiLvlLbl val="0"/>
      </c:catAx>
      <c:valAx>
        <c:axId val="2106377247"/>
        <c:scaling>
          <c:orientation val="minMax"/>
          <c:max val="5"/>
          <c:min val="0"/>
        </c:scaling>
        <c:delete val="0"/>
        <c:axPos val="b"/>
        <c:majorGridlines>
          <c:spPr>
            <a:ln w="6350" cap="flat" cmpd="sng" algn="ctr">
              <a:solidFill>
                <a:schemeClr val="accent4"/>
              </a:solidFill>
              <a:prstDash val="solid"/>
              <a:miter lim="800000"/>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106384927"/>
        <c:crosses val="autoZero"/>
        <c:crossBetween val="between"/>
        <c:majorUnit val="1"/>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800">
          <a:solidFill>
            <a:sysClr val="windowText" lastClr="000000"/>
          </a:solidFill>
          <a:latin typeface="Arial" panose="020B0604020202020204" pitchFamily="34" charset="0"/>
          <a:cs typeface="Arial" panose="020B0604020202020204" pitchFamily="34" charset="0"/>
        </a:defRPr>
      </a:pPr>
      <a:endParaRPr lang="en-US"/>
    </a:p>
  </c:txPr>
  <c:externalData r:id="rId3">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AU" sz="1000"/>
              <a:t>Earliest and latest SCORE assessment (FaRS, people with disabilities)</a:t>
            </a:r>
          </a:p>
        </c:rich>
      </c:tx>
      <c:overlay val="0"/>
      <c:spPr>
        <a:noFill/>
        <a:ln>
          <a:noFill/>
        </a:ln>
        <a:effectLst/>
      </c:spPr>
      <c:txPr>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AU"/>
        </a:p>
      </c:txPr>
    </c:title>
    <c:autoTitleDeleted val="0"/>
    <c:plotArea>
      <c:layout>
        <c:manualLayout>
          <c:layoutTarget val="inner"/>
          <c:xMode val="edge"/>
          <c:yMode val="edge"/>
          <c:x val="0.51657863960154737"/>
          <c:y val="0.15643174603174603"/>
          <c:w val="0.45597752570068617"/>
          <c:h val="0.63640079365079361"/>
        </c:manualLayout>
      </c:layout>
      <c:barChart>
        <c:barDir val="bar"/>
        <c:grouping val="stacked"/>
        <c:varyColors val="0"/>
        <c:ser>
          <c:idx val="0"/>
          <c:order val="0"/>
          <c:tx>
            <c:strRef>
              <c:f>Sheet1!$F$1</c:f>
              <c:strCache>
                <c:ptCount val="1"/>
                <c:pt idx="0">
                  <c:v>Earliest SCORE (mean)</c:v>
                </c:pt>
              </c:strCache>
            </c:strRef>
          </c:tx>
          <c:spPr>
            <a:solidFill>
              <a:srgbClr val="007E00"/>
            </a:solidFill>
            <a:ln>
              <a:noFill/>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Sheet1!$E$23:$E$31</c:f>
              <c:strCache>
                <c:ptCount val="9"/>
                <c:pt idx="0">
                  <c:v>Goals - Changed skills</c:v>
                </c:pt>
                <c:pt idx="1">
                  <c:v>Goals - Changed knowledge and access to information</c:v>
                </c:pt>
                <c:pt idx="2">
                  <c:v>Goals - Changed impact of immediate crisis</c:v>
                </c:pt>
                <c:pt idx="3">
                  <c:v>Goals - Engagement with relevant support services</c:v>
                </c:pt>
                <c:pt idx="4">
                  <c:v>Goals - Empowerment, choice and control to make own decisions</c:v>
                </c:pt>
                <c:pt idx="5">
                  <c:v>Goals - Changed behaviours</c:v>
                </c:pt>
                <c:pt idx="6">
                  <c:v>Circumstances - Personal and family safety</c:v>
                </c:pt>
                <c:pt idx="7">
                  <c:v>Circumstances - Mental health, wellbeing and self-care</c:v>
                </c:pt>
                <c:pt idx="8">
                  <c:v>Circumstances - Family functioning</c:v>
                </c:pt>
              </c:strCache>
            </c:strRef>
          </c:cat>
          <c:val>
            <c:numRef>
              <c:f>Sheet1!$F$23:$F$31</c:f>
              <c:numCache>
                <c:formatCode>General</c:formatCode>
                <c:ptCount val="9"/>
                <c:pt idx="0">
                  <c:v>2.2617662612374398</c:v>
                </c:pt>
                <c:pt idx="1">
                  <c:v>2.3225997045790252</c:v>
                </c:pt>
                <c:pt idx="2">
                  <c:v>2.1229200214707462</c:v>
                </c:pt>
                <c:pt idx="3">
                  <c:v>2.568600368324125</c:v>
                </c:pt>
                <c:pt idx="4">
                  <c:v>2.3401849948612541</c:v>
                </c:pt>
                <c:pt idx="5">
                  <c:v>2.216661927779358</c:v>
                </c:pt>
                <c:pt idx="6">
                  <c:v>3.0765721733463671</c:v>
                </c:pt>
                <c:pt idx="7">
                  <c:v>2.302036199095022</c:v>
                </c:pt>
                <c:pt idx="8">
                  <c:v>2.2523892267593402</c:v>
                </c:pt>
              </c:numCache>
            </c:numRef>
          </c:val>
          <c:extLst>
            <c:ext xmlns:c16="http://schemas.microsoft.com/office/drawing/2014/chart" uri="{C3380CC4-5D6E-409C-BE32-E72D297353CC}">
              <c16:uniqueId val="{00000000-B5BA-4715-A6CF-2AD229D5531B}"/>
            </c:ext>
          </c:extLst>
        </c:ser>
        <c:ser>
          <c:idx val="1"/>
          <c:order val="1"/>
          <c:tx>
            <c:strRef>
              <c:f>Sheet1!$G$1</c:f>
              <c:strCache>
                <c:ptCount val="1"/>
                <c:pt idx="0">
                  <c:v>Latest SCORE (mean change)</c:v>
                </c:pt>
              </c:strCache>
            </c:strRef>
          </c:tx>
          <c:spPr>
            <a:solidFill>
              <a:srgbClr val="78B800"/>
            </a:solidFill>
            <a:ln>
              <a:noFill/>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Sheet1!$E$23:$E$31</c:f>
              <c:strCache>
                <c:ptCount val="9"/>
                <c:pt idx="0">
                  <c:v>Goals - Changed skills</c:v>
                </c:pt>
                <c:pt idx="1">
                  <c:v>Goals - Changed knowledge and access to information</c:v>
                </c:pt>
                <c:pt idx="2">
                  <c:v>Goals - Changed impact of immediate crisis</c:v>
                </c:pt>
                <c:pt idx="3">
                  <c:v>Goals - Engagement with relevant support services</c:v>
                </c:pt>
                <c:pt idx="4">
                  <c:v>Goals - Empowerment, choice and control to make own decisions</c:v>
                </c:pt>
                <c:pt idx="5">
                  <c:v>Goals - Changed behaviours</c:v>
                </c:pt>
                <c:pt idx="6">
                  <c:v>Circumstances - Personal and family safety</c:v>
                </c:pt>
                <c:pt idx="7">
                  <c:v>Circumstances - Mental health, wellbeing and self-care</c:v>
                </c:pt>
                <c:pt idx="8">
                  <c:v>Circumstances - Family functioning</c:v>
                </c:pt>
              </c:strCache>
            </c:strRef>
          </c:cat>
          <c:val>
            <c:numRef>
              <c:f>Sheet1!$G$23:$G$31</c:f>
              <c:numCache>
                <c:formatCode>General</c:formatCode>
                <c:ptCount val="9"/>
                <c:pt idx="0">
                  <c:v>0.9587519830777369</c:v>
                </c:pt>
                <c:pt idx="1">
                  <c:v>1.063515509601181</c:v>
                </c:pt>
                <c:pt idx="2">
                  <c:v>1.028448738593666</c:v>
                </c:pt>
                <c:pt idx="3">
                  <c:v>0.90055248618784534</c:v>
                </c:pt>
                <c:pt idx="4">
                  <c:v>0.95649194929770509</c:v>
                </c:pt>
                <c:pt idx="5">
                  <c:v>0.93261302246232569</c:v>
                </c:pt>
                <c:pt idx="6">
                  <c:v>0.59465623981753035</c:v>
                </c:pt>
                <c:pt idx="7">
                  <c:v>0.82058823529411784</c:v>
                </c:pt>
                <c:pt idx="8">
                  <c:v>0.76715899218071248</c:v>
                </c:pt>
              </c:numCache>
            </c:numRef>
          </c:val>
          <c:extLst>
            <c:ext xmlns:c16="http://schemas.microsoft.com/office/drawing/2014/chart" uri="{C3380CC4-5D6E-409C-BE32-E72D297353CC}">
              <c16:uniqueId val="{00000001-B5BA-4715-A6CF-2AD229D5531B}"/>
            </c:ext>
          </c:extLst>
        </c:ser>
        <c:dLbls>
          <c:showLegendKey val="0"/>
          <c:showVal val="0"/>
          <c:showCatName val="0"/>
          <c:showSerName val="0"/>
          <c:showPercent val="0"/>
          <c:showBubbleSize val="0"/>
        </c:dLbls>
        <c:gapWidth val="150"/>
        <c:overlap val="100"/>
        <c:axId val="2106384927"/>
        <c:axId val="2106377247"/>
      </c:barChart>
      <c:catAx>
        <c:axId val="2106384927"/>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106377247"/>
        <c:crosses val="autoZero"/>
        <c:auto val="1"/>
        <c:lblAlgn val="ctr"/>
        <c:lblOffset val="100"/>
        <c:noMultiLvlLbl val="0"/>
      </c:catAx>
      <c:valAx>
        <c:axId val="2106377247"/>
        <c:scaling>
          <c:orientation val="minMax"/>
          <c:max val="5"/>
          <c:min val="0"/>
        </c:scaling>
        <c:delete val="0"/>
        <c:axPos val="b"/>
        <c:majorGridlines>
          <c:spPr>
            <a:ln w="6350" cap="flat" cmpd="sng" algn="ctr">
              <a:solidFill>
                <a:schemeClr val="accent4"/>
              </a:solidFill>
              <a:prstDash val="solid"/>
              <a:miter lim="800000"/>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106384927"/>
        <c:crosses val="autoZero"/>
        <c:crossBetween val="between"/>
        <c:majorUnit val="1"/>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800">
          <a:solidFill>
            <a:sysClr val="windowText" lastClr="000000"/>
          </a:solidFill>
          <a:latin typeface="Arial" panose="020B0604020202020204" pitchFamily="34" charset="0"/>
          <a:cs typeface="Arial" panose="020B0604020202020204" pitchFamily="34" charset="0"/>
        </a:defRPr>
      </a:pPr>
      <a:endParaRPr lang="en-US"/>
    </a:p>
  </c:txPr>
  <c:externalData r:id="rId3">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AU" sz="1000"/>
              <a:t>Earliest and latest SCORE assessment (FaRS, people without disabilities)</a:t>
            </a:r>
          </a:p>
        </c:rich>
      </c:tx>
      <c:overlay val="0"/>
      <c:spPr>
        <a:noFill/>
        <a:ln>
          <a:noFill/>
        </a:ln>
        <a:effectLst/>
      </c:spPr>
      <c:txPr>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AU"/>
        </a:p>
      </c:txPr>
    </c:title>
    <c:autoTitleDeleted val="0"/>
    <c:plotArea>
      <c:layout>
        <c:manualLayout>
          <c:layoutTarget val="inner"/>
          <c:xMode val="edge"/>
          <c:yMode val="edge"/>
          <c:x val="0.51657863960154737"/>
          <c:y val="0.15643174603174603"/>
          <c:w val="0.45597752570068617"/>
          <c:h val="0.63640079365079361"/>
        </c:manualLayout>
      </c:layout>
      <c:barChart>
        <c:barDir val="bar"/>
        <c:grouping val="stacked"/>
        <c:varyColors val="0"/>
        <c:ser>
          <c:idx val="0"/>
          <c:order val="0"/>
          <c:tx>
            <c:strRef>
              <c:f>Sheet1!$F$1</c:f>
              <c:strCache>
                <c:ptCount val="1"/>
                <c:pt idx="0">
                  <c:v>Earliest SCORE (mean)</c:v>
                </c:pt>
              </c:strCache>
            </c:strRef>
          </c:tx>
          <c:spPr>
            <a:solidFill>
              <a:srgbClr val="007E00"/>
            </a:solidFill>
            <a:ln>
              <a:noFill/>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Sheet1!$E$32:$E$40</c:f>
              <c:strCache>
                <c:ptCount val="9"/>
                <c:pt idx="0">
                  <c:v>Goals - Changed skills</c:v>
                </c:pt>
                <c:pt idx="1">
                  <c:v>Goals - Changed knowledge and access to information</c:v>
                </c:pt>
                <c:pt idx="2">
                  <c:v>Goals - Changed impact of immediate crisis</c:v>
                </c:pt>
                <c:pt idx="3">
                  <c:v>Goals - Engagement with relevant support services</c:v>
                </c:pt>
                <c:pt idx="4">
                  <c:v>Goals - Empowerment, choice and control to make own decisions</c:v>
                </c:pt>
                <c:pt idx="5">
                  <c:v>Goals - Changed behaviours</c:v>
                </c:pt>
                <c:pt idx="6">
                  <c:v>Circumstances - Personal and family safety</c:v>
                </c:pt>
                <c:pt idx="7">
                  <c:v>Circumstances - Mental health, wellbeing and self-care</c:v>
                </c:pt>
                <c:pt idx="8">
                  <c:v>Circumstances - Family functioning</c:v>
                </c:pt>
              </c:strCache>
            </c:strRef>
          </c:cat>
          <c:val>
            <c:numRef>
              <c:f>Sheet1!$F$32:$F$40</c:f>
              <c:numCache>
                <c:formatCode>General</c:formatCode>
                <c:ptCount val="9"/>
                <c:pt idx="0">
                  <c:v>2.2888416793120889</c:v>
                </c:pt>
                <c:pt idx="1">
                  <c:v>2.3857283717739861</c:v>
                </c:pt>
                <c:pt idx="2">
                  <c:v>2.1609751424876671</c:v>
                </c:pt>
                <c:pt idx="3">
                  <c:v>2.4790224499942628</c:v>
                </c:pt>
                <c:pt idx="4">
                  <c:v>2.470169213251066</c:v>
                </c:pt>
                <c:pt idx="5">
                  <c:v>2.16916634944804</c:v>
                </c:pt>
                <c:pt idx="6">
                  <c:v>3.2941674144340469</c:v>
                </c:pt>
                <c:pt idx="7">
                  <c:v>2.6185087255420409</c:v>
                </c:pt>
                <c:pt idx="8">
                  <c:v>2.4727716372568032</c:v>
                </c:pt>
              </c:numCache>
            </c:numRef>
          </c:val>
          <c:extLst>
            <c:ext xmlns:c16="http://schemas.microsoft.com/office/drawing/2014/chart" uri="{C3380CC4-5D6E-409C-BE32-E72D297353CC}">
              <c16:uniqueId val="{00000000-8348-40AF-87B6-E6427BE0F61F}"/>
            </c:ext>
          </c:extLst>
        </c:ser>
        <c:ser>
          <c:idx val="1"/>
          <c:order val="1"/>
          <c:tx>
            <c:strRef>
              <c:f>Sheet1!$G$1</c:f>
              <c:strCache>
                <c:ptCount val="1"/>
                <c:pt idx="0">
                  <c:v>Latest SCORE (mean change)</c:v>
                </c:pt>
              </c:strCache>
            </c:strRef>
          </c:tx>
          <c:spPr>
            <a:solidFill>
              <a:srgbClr val="78B800"/>
            </a:solidFill>
            <a:ln>
              <a:noFill/>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Sheet1!$E$32:$E$40</c:f>
              <c:strCache>
                <c:ptCount val="9"/>
                <c:pt idx="0">
                  <c:v>Goals - Changed skills</c:v>
                </c:pt>
                <c:pt idx="1">
                  <c:v>Goals - Changed knowledge and access to information</c:v>
                </c:pt>
                <c:pt idx="2">
                  <c:v>Goals - Changed impact of immediate crisis</c:v>
                </c:pt>
                <c:pt idx="3">
                  <c:v>Goals - Engagement with relevant support services</c:v>
                </c:pt>
                <c:pt idx="4">
                  <c:v>Goals - Empowerment, choice and control to make own decisions</c:v>
                </c:pt>
                <c:pt idx="5">
                  <c:v>Goals - Changed behaviours</c:v>
                </c:pt>
                <c:pt idx="6">
                  <c:v>Circumstances - Personal and family safety</c:v>
                </c:pt>
                <c:pt idx="7">
                  <c:v>Circumstances - Mental health, wellbeing and self-care</c:v>
                </c:pt>
                <c:pt idx="8">
                  <c:v>Circumstances - Family functioning</c:v>
                </c:pt>
              </c:strCache>
            </c:strRef>
          </c:cat>
          <c:val>
            <c:numRef>
              <c:f>Sheet1!$G$32:$G$40</c:f>
              <c:numCache>
                <c:formatCode>General</c:formatCode>
                <c:ptCount val="9"/>
                <c:pt idx="0">
                  <c:v>1.0321497218007081</c:v>
                </c:pt>
                <c:pt idx="1">
                  <c:v>1.1520620766526619</c:v>
                </c:pt>
                <c:pt idx="2">
                  <c:v>1.0917189520570909</c:v>
                </c:pt>
                <c:pt idx="3">
                  <c:v>0.94442957127012672</c:v>
                </c:pt>
                <c:pt idx="4">
                  <c:v>0.96231761247782188</c:v>
                </c:pt>
                <c:pt idx="5">
                  <c:v>1.066438269255171</c:v>
                </c:pt>
                <c:pt idx="6">
                  <c:v>0.55782591975387774</c:v>
                </c:pt>
                <c:pt idx="7">
                  <c:v>0.79446500969504674</c:v>
                </c:pt>
                <c:pt idx="8">
                  <c:v>0.80662206709327133</c:v>
                </c:pt>
              </c:numCache>
            </c:numRef>
          </c:val>
          <c:extLst>
            <c:ext xmlns:c16="http://schemas.microsoft.com/office/drawing/2014/chart" uri="{C3380CC4-5D6E-409C-BE32-E72D297353CC}">
              <c16:uniqueId val="{00000001-8348-40AF-87B6-E6427BE0F61F}"/>
            </c:ext>
          </c:extLst>
        </c:ser>
        <c:dLbls>
          <c:showLegendKey val="0"/>
          <c:showVal val="0"/>
          <c:showCatName val="0"/>
          <c:showSerName val="0"/>
          <c:showPercent val="0"/>
          <c:showBubbleSize val="0"/>
        </c:dLbls>
        <c:gapWidth val="150"/>
        <c:overlap val="100"/>
        <c:axId val="2106384927"/>
        <c:axId val="2106377247"/>
      </c:barChart>
      <c:catAx>
        <c:axId val="2106384927"/>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106377247"/>
        <c:crosses val="autoZero"/>
        <c:auto val="1"/>
        <c:lblAlgn val="ctr"/>
        <c:lblOffset val="100"/>
        <c:noMultiLvlLbl val="0"/>
      </c:catAx>
      <c:valAx>
        <c:axId val="2106377247"/>
        <c:scaling>
          <c:orientation val="minMax"/>
          <c:max val="5"/>
          <c:min val="0"/>
        </c:scaling>
        <c:delete val="0"/>
        <c:axPos val="b"/>
        <c:majorGridlines>
          <c:spPr>
            <a:ln w="6350" cap="flat" cmpd="sng" algn="ctr">
              <a:solidFill>
                <a:schemeClr val="accent4"/>
              </a:solidFill>
              <a:prstDash val="solid"/>
              <a:miter lim="800000"/>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106384927"/>
        <c:crosses val="autoZero"/>
        <c:crossBetween val="between"/>
        <c:majorUnit val="1"/>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800">
          <a:solidFill>
            <a:sysClr val="windowText" lastClr="000000"/>
          </a:solidFill>
          <a:latin typeface="Arial" panose="020B0604020202020204" pitchFamily="34" charset="0"/>
          <a:cs typeface="Arial" panose="020B0604020202020204" pitchFamily="34" charset="0"/>
        </a:defRPr>
      </a:pPr>
      <a:endParaRPr lang="en-US"/>
    </a:p>
  </c:txPr>
  <c:externalData r:id="rId3">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AU" sz="1000"/>
              <a:t>Earliest and latest SCORE assessment (SFVS, people with disabilities)</a:t>
            </a:r>
          </a:p>
        </c:rich>
      </c:tx>
      <c:overlay val="0"/>
      <c:spPr>
        <a:noFill/>
        <a:ln>
          <a:noFill/>
        </a:ln>
        <a:effectLst/>
      </c:spPr>
      <c:txPr>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AU"/>
        </a:p>
      </c:txPr>
    </c:title>
    <c:autoTitleDeleted val="0"/>
    <c:plotArea>
      <c:layout>
        <c:manualLayout>
          <c:layoutTarget val="inner"/>
          <c:xMode val="edge"/>
          <c:yMode val="edge"/>
          <c:x val="0.51657863960154737"/>
          <c:y val="0.15643174603174603"/>
          <c:w val="0.45597752570068617"/>
          <c:h val="0.63640079365079361"/>
        </c:manualLayout>
      </c:layout>
      <c:barChart>
        <c:barDir val="bar"/>
        <c:grouping val="stacked"/>
        <c:varyColors val="0"/>
        <c:ser>
          <c:idx val="0"/>
          <c:order val="0"/>
          <c:tx>
            <c:strRef>
              <c:f>Sheet1!$F$1</c:f>
              <c:strCache>
                <c:ptCount val="1"/>
                <c:pt idx="0">
                  <c:v>Earliest SCORE (mean)</c:v>
                </c:pt>
              </c:strCache>
            </c:strRef>
          </c:tx>
          <c:spPr>
            <a:solidFill>
              <a:srgbClr val="007E00"/>
            </a:solidFill>
            <a:ln>
              <a:noFill/>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Sheet1!$E$5:$E$13</c:f>
              <c:strCache>
                <c:ptCount val="9"/>
                <c:pt idx="0">
                  <c:v>Goals - Changed skills</c:v>
                </c:pt>
                <c:pt idx="1">
                  <c:v>Goals - Changed knowledge and access to information</c:v>
                </c:pt>
                <c:pt idx="2">
                  <c:v>Goals - Changed impact of immediate crisis</c:v>
                </c:pt>
                <c:pt idx="3">
                  <c:v>Goals - Engagement with relevant support services</c:v>
                </c:pt>
                <c:pt idx="4">
                  <c:v>Goals - Empowerment, choice and control to make own decisions</c:v>
                </c:pt>
                <c:pt idx="5">
                  <c:v>Goals - Changed behaviours</c:v>
                </c:pt>
                <c:pt idx="6">
                  <c:v>Circumstances - Personal and family safety</c:v>
                </c:pt>
                <c:pt idx="7">
                  <c:v>Circumstances - Mental health, wellbeing and self-care</c:v>
                </c:pt>
                <c:pt idx="8">
                  <c:v>Circumstances - Family functioning</c:v>
                </c:pt>
              </c:strCache>
            </c:strRef>
          </c:cat>
          <c:val>
            <c:numRef>
              <c:f>Sheet1!$F$5:$F$13</c:f>
              <c:numCache>
                <c:formatCode>General</c:formatCode>
                <c:ptCount val="9"/>
                <c:pt idx="0">
                  <c:v>2.411992263056093</c:v>
                </c:pt>
                <c:pt idx="1">
                  <c:v>2.361247947454844</c:v>
                </c:pt>
                <c:pt idx="2">
                  <c:v>2.0746887966804981</c:v>
                </c:pt>
                <c:pt idx="3">
                  <c:v>2.5188679245283021</c:v>
                </c:pt>
                <c:pt idx="4">
                  <c:v>2.240213523131672</c:v>
                </c:pt>
                <c:pt idx="5">
                  <c:v>2.362162162162162</c:v>
                </c:pt>
                <c:pt idx="6">
                  <c:v>2.2878270762229809</c:v>
                </c:pt>
                <c:pt idx="7">
                  <c:v>2.241741741741742</c:v>
                </c:pt>
                <c:pt idx="8">
                  <c:v>2.231012658227848</c:v>
                </c:pt>
              </c:numCache>
            </c:numRef>
          </c:val>
          <c:extLst>
            <c:ext xmlns:c16="http://schemas.microsoft.com/office/drawing/2014/chart" uri="{C3380CC4-5D6E-409C-BE32-E72D297353CC}">
              <c16:uniqueId val="{00000000-67D4-45A8-B9A8-3D4FEF2E4607}"/>
            </c:ext>
          </c:extLst>
        </c:ser>
        <c:ser>
          <c:idx val="1"/>
          <c:order val="1"/>
          <c:tx>
            <c:strRef>
              <c:f>Sheet1!$G$1</c:f>
              <c:strCache>
                <c:ptCount val="1"/>
                <c:pt idx="0">
                  <c:v>Latest SCORE (mean change)</c:v>
                </c:pt>
              </c:strCache>
            </c:strRef>
          </c:tx>
          <c:spPr>
            <a:solidFill>
              <a:srgbClr val="78B800"/>
            </a:solidFill>
            <a:ln>
              <a:noFill/>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Sheet1!$E$5:$E$13</c:f>
              <c:strCache>
                <c:ptCount val="9"/>
                <c:pt idx="0">
                  <c:v>Goals - Changed skills</c:v>
                </c:pt>
                <c:pt idx="1">
                  <c:v>Goals - Changed knowledge and access to information</c:v>
                </c:pt>
                <c:pt idx="2">
                  <c:v>Goals - Changed impact of immediate crisis</c:v>
                </c:pt>
                <c:pt idx="3">
                  <c:v>Goals - Engagement with relevant support services</c:v>
                </c:pt>
                <c:pt idx="4">
                  <c:v>Goals - Empowerment, choice and control to make own decisions</c:v>
                </c:pt>
                <c:pt idx="5">
                  <c:v>Goals - Changed behaviours</c:v>
                </c:pt>
                <c:pt idx="6">
                  <c:v>Circumstances - Personal and family safety</c:v>
                </c:pt>
                <c:pt idx="7">
                  <c:v>Circumstances - Mental health, wellbeing and self-care</c:v>
                </c:pt>
                <c:pt idx="8">
                  <c:v>Circumstances - Family functioning</c:v>
                </c:pt>
              </c:strCache>
            </c:strRef>
          </c:cat>
          <c:val>
            <c:numRef>
              <c:f>Sheet1!$G$5:$G$13</c:f>
              <c:numCache>
                <c:formatCode>General</c:formatCode>
                <c:ptCount val="9"/>
                <c:pt idx="0">
                  <c:v>0.86847195357833629</c:v>
                </c:pt>
                <c:pt idx="1">
                  <c:v>1.1609195402298851</c:v>
                </c:pt>
                <c:pt idx="2">
                  <c:v>1.240663900414938</c:v>
                </c:pt>
                <c:pt idx="3">
                  <c:v>1.023584905660377</c:v>
                </c:pt>
                <c:pt idx="4">
                  <c:v>1.1761565836298939</c:v>
                </c:pt>
                <c:pt idx="5">
                  <c:v>0.9405405405405407</c:v>
                </c:pt>
                <c:pt idx="6">
                  <c:v>1.0216154721274171</c:v>
                </c:pt>
                <c:pt idx="7">
                  <c:v>0.86486486486486491</c:v>
                </c:pt>
                <c:pt idx="8">
                  <c:v>0.75316455696202533</c:v>
                </c:pt>
              </c:numCache>
            </c:numRef>
          </c:val>
          <c:extLst>
            <c:ext xmlns:c16="http://schemas.microsoft.com/office/drawing/2014/chart" uri="{C3380CC4-5D6E-409C-BE32-E72D297353CC}">
              <c16:uniqueId val="{00000001-67D4-45A8-B9A8-3D4FEF2E4607}"/>
            </c:ext>
          </c:extLst>
        </c:ser>
        <c:dLbls>
          <c:showLegendKey val="0"/>
          <c:showVal val="0"/>
          <c:showCatName val="0"/>
          <c:showSerName val="0"/>
          <c:showPercent val="0"/>
          <c:showBubbleSize val="0"/>
        </c:dLbls>
        <c:gapWidth val="150"/>
        <c:overlap val="100"/>
        <c:axId val="2106384927"/>
        <c:axId val="2106377247"/>
      </c:barChart>
      <c:catAx>
        <c:axId val="2106384927"/>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106377247"/>
        <c:crosses val="autoZero"/>
        <c:auto val="1"/>
        <c:lblAlgn val="ctr"/>
        <c:lblOffset val="100"/>
        <c:noMultiLvlLbl val="0"/>
      </c:catAx>
      <c:valAx>
        <c:axId val="2106377247"/>
        <c:scaling>
          <c:orientation val="minMax"/>
          <c:max val="5"/>
          <c:min val="0"/>
        </c:scaling>
        <c:delete val="0"/>
        <c:axPos val="b"/>
        <c:majorGridlines>
          <c:spPr>
            <a:ln w="6350" cap="flat" cmpd="sng" algn="ctr">
              <a:solidFill>
                <a:schemeClr val="accent4"/>
              </a:solidFill>
              <a:prstDash val="solid"/>
              <a:miter lim="800000"/>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106384927"/>
        <c:crosses val="autoZero"/>
        <c:crossBetween val="between"/>
        <c:majorUnit val="1"/>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800">
          <a:solidFill>
            <a:sysClr val="windowText" lastClr="000000"/>
          </a:solidFill>
          <a:latin typeface="Arial" panose="020B0604020202020204" pitchFamily="34" charset="0"/>
          <a:cs typeface="Arial" panose="020B0604020202020204" pitchFamily="34" charset="0"/>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'Method 3'!$A$10</c:f>
              <c:strCache>
                <c:ptCount val="1"/>
                <c:pt idx="0">
                  <c:v>2021-2022</c:v>
                </c:pt>
              </c:strCache>
            </c:strRef>
          </c:tx>
          <c:spPr>
            <a:solidFill>
              <a:schemeClr val="accent1"/>
            </a:solidFill>
            <a:ln>
              <a:noFill/>
            </a:ln>
            <a:effectLst/>
          </c:spPr>
          <c:invertIfNegative val="0"/>
          <c:cat>
            <c:strRef>
              <c:f>'Method 3'!$C$9:$H$9</c:f>
              <c:strCache>
                <c:ptCount val="6"/>
                <c:pt idx="0">
                  <c:v>Counselling</c:v>
                </c:pt>
                <c:pt idx="1">
                  <c:v> Intake Assessment</c:v>
                </c:pt>
                <c:pt idx="2">
                  <c:v>Information/advice/referral</c:v>
                </c:pt>
                <c:pt idx="3">
                  <c:v>Advocacy/Support</c:v>
                </c:pt>
                <c:pt idx="4">
                  <c:v>Education and Skills training</c:v>
                </c:pt>
                <c:pt idx="5">
                  <c:v>Others</c:v>
                </c:pt>
              </c:strCache>
              <c:extLst/>
            </c:strRef>
          </c:cat>
          <c:val>
            <c:numRef>
              <c:f>'Method 3'!$C$10:$H$10</c:f>
              <c:numCache>
                <c:formatCode>General</c:formatCode>
                <c:ptCount val="6"/>
                <c:pt idx="0">
                  <c:v>28517</c:v>
                </c:pt>
                <c:pt idx="1">
                  <c:v>17806</c:v>
                </c:pt>
                <c:pt idx="2">
                  <c:v>10906</c:v>
                </c:pt>
                <c:pt idx="3">
                  <c:v>16125</c:v>
                </c:pt>
                <c:pt idx="4">
                  <c:v>2326</c:v>
                </c:pt>
                <c:pt idx="5">
                  <c:v>929</c:v>
                </c:pt>
              </c:numCache>
              <c:extLst/>
            </c:numRef>
          </c:val>
          <c:extLst>
            <c:ext xmlns:c16="http://schemas.microsoft.com/office/drawing/2014/chart" uri="{C3380CC4-5D6E-409C-BE32-E72D297353CC}">
              <c16:uniqueId val="{00000000-472F-4927-89A9-C332CE21B0BA}"/>
            </c:ext>
          </c:extLst>
        </c:ser>
        <c:ser>
          <c:idx val="1"/>
          <c:order val="1"/>
          <c:tx>
            <c:strRef>
              <c:f>'Method 3'!$A$11</c:f>
              <c:strCache>
                <c:ptCount val="1"/>
                <c:pt idx="0">
                  <c:v>2022-2023</c:v>
                </c:pt>
              </c:strCache>
            </c:strRef>
          </c:tx>
          <c:spPr>
            <a:solidFill>
              <a:schemeClr val="accent2"/>
            </a:solidFill>
            <a:ln>
              <a:noFill/>
            </a:ln>
            <a:effectLst/>
          </c:spPr>
          <c:invertIfNegative val="0"/>
          <c:cat>
            <c:strRef>
              <c:f>'Method 3'!$C$9:$H$9</c:f>
              <c:strCache>
                <c:ptCount val="6"/>
                <c:pt idx="0">
                  <c:v>Counselling</c:v>
                </c:pt>
                <c:pt idx="1">
                  <c:v> Intake Assessment</c:v>
                </c:pt>
                <c:pt idx="2">
                  <c:v>Information/advice/referral</c:v>
                </c:pt>
                <c:pt idx="3">
                  <c:v>Advocacy/Support</c:v>
                </c:pt>
                <c:pt idx="4">
                  <c:v>Education and Skills training</c:v>
                </c:pt>
                <c:pt idx="5">
                  <c:v>Others</c:v>
                </c:pt>
              </c:strCache>
              <c:extLst/>
            </c:strRef>
          </c:cat>
          <c:val>
            <c:numRef>
              <c:f>'Method 3'!$C$11:$H$11</c:f>
              <c:numCache>
                <c:formatCode>General</c:formatCode>
                <c:ptCount val="6"/>
                <c:pt idx="0">
                  <c:v>13877</c:v>
                </c:pt>
                <c:pt idx="1">
                  <c:v>6233</c:v>
                </c:pt>
                <c:pt idx="2">
                  <c:v>6465</c:v>
                </c:pt>
                <c:pt idx="3">
                  <c:v>8162</c:v>
                </c:pt>
                <c:pt idx="4">
                  <c:v>967</c:v>
                </c:pt>
                <c:pt idx="5">
                  <c:v>971</c:v>
                </c:pt>
              </c:numCache>
              <c:extLst/>
            </c:numRef>
          </c:val>
          <c:extLst>
            <c:ext xmlns:c16="http://schemas.microsoft.com/office/drawing/2014/chart" uri="{C3380CC4-5D6E-409C-BE32-E72D297353CC}">
              <c16:uniqueId val="{00000001-472F-4927-89A9-C332CE21B0BA}"/>
            </c:ext>
          </c:extLst>
        </c:ser>
        <c:ser>
          <c:idx val="2"/>
          <c:order val="2"/>
          <c:tx>
            <c:strRef>
              <c:f>'Method 3'!$A$12</c:f>
              <c:strCache>
                <c:ptCount val="1"/>
                <c:pt idx="0">
                  <c:v>2023-2024</c:v>
                </c:pt>
              </c:strCache>
            </c:strRef>
          </c:tx>
          <c:spPr>
            <a:solidFill>
              <a:schemeClr val="accent3"/>
            </a:solidFill>
            <a:ln>
              <a:noFill/>
            </a:ln>
            <a:effectLst/>
          </c:spPr>
          <c:invertIfNegative val="0"/>
          <c:cat>
            <c:strRef>
              <c:f>'Method 3'!$C$9:$H$9</c:f>
              <c:strCache>
                <c:ptCount val="6"/>
                <c:pt idx="0">
                  <c:v>Counselling</c:v>
                </c:pt>
                <c:pt idx="1">
                  <c:v> Intake Assessment</c:v>
                </c:pt>
                <c:pt idx="2">
                  <c:v>Information/advice/referral</c:v>
                </c:pt>
                <c:pt idx="3">
                  <c:v>Advocacy/Support</c:v>
                </c:pt>
                <c:pt idx="4">
                  <c:v>Education and Skills training</c:v>
                </c:pt>
                <c:pt idx="5">
                  <c:v>Others</c:v>
                </c:pt>
              </c:strCache>
              <c:extLst/>
            </c:strRef>
          </c:cat>
          <c:val>
            <c:numRef>
              <c:f>'Method 3'!$C$12:$H$12</c:f>
              <c:numCache>
                <c:formatCode>General</c:formatCode>
                <c:ptCount val="6"/>
                <c:pt idx="0">
                  <c:v>13859</c:v>
                </c:pt>
                <c:pt idx="1">
                  <c:v>6160</c:v>
                </c:pt>
                <c:pt idx="2">
                  <c:v>7068</c:v>
                </c:pt>
                <c:pt idx="3">
                  <c:v>7015</c:v>
                </c:pt>
                <c:pt idx="4">
                  <c:v>1852</c:v>
                </c:pt>
                <c:pt idx="5">
                  <c:v>1159</c:v>
                </c:pt>
              </c:numCache>
              <c:extLst/>
            </c:numRef>
          </c:val>
          <c:extLst>
            <c:ext xmlns:c16="http://schemas.microsoft.com/office/drawing/2014/chart" uri="{C3380CC4-5D6E-409C-BE32-E72D297353CC}">
              <c16:uniqueId val="{00000002-472F-4927-89A9-C332CE21B0BA}"/>
            </c:ext>
          </c:extLst>
        </c:ser>
        <c:dLbls>
          <c:showLegendKey val="0"/>
          <c:showVal val="0"/>
          <c:showCatName val="0"/>
          <c:showSerName val="0"/>
          <c:showPercent val="0"/>
          <c:showBubbleSize val="0"/>
        </c:dLbls>
        <c:gapWidth val="219"/>
        <c:overlap val="-27"/>
        <c:axId val="65226527"/>
        <c:axId val="65218847"/>
      </c:barChart>
      <c:catAx>
        <c:axId val="65226527"/>
        <c:scaling>
          <c:orientation val="minMax"/>
        </c:scaling>
        <c:delete val="0"/>
        <c:axPos val="b"/>
        <c:numFmt formatCode="General" sourceLinked="1"/>
        <c:majorTickMark val="none"/>
        <c:minorTickMark val="none"/>
        <c:tickLblPos val="nextTo"/>
        <c:spPr>
          <a:noFill/>
          <a:ln w="6350" cap="flat" cmpd="sng" algn="ctr">
            <a:solidFill>
              <a:schemeClr val="accent2"/>
            </a:solidFill>
            <a:prstDash val="solid"/>
            <a:miter lim="800000"/>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65218847"/>
        <c:crosses val="autoZero"/>
        <c:auto val="1"/>
        <c:lblAlgn val="ctr"/>
        <c:lblOffset val="100"/>
        <c:noMultiLvlLbl val="0"/>
      </c:catAx>
      <c:valAx>
        <c:axId val="65218847"/>
        <c:scaling>
          <c:orientation val="minMax"/>
        </c:scaling>
        <c:delete val="0"/>
        <c:axPos val="l"/>
        <c:majorGridlines>
          <c:spPr>
            <a:ln w="6350" cap="flat" cmpd="sng" algn="ctr">
              <a:solidFill>
                <a:schemeClr val="accent4"/>
              </a:solidFill>
              <a:prstDash val="solid"/>
              <a:miter lim="800000"/>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6522652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en-US"/>
    </a:p>
  </c:txPr>
  <c:externalData r:id="rId3">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AU" sz="1000"/>
              <a:t>Earliest and latest SCORE assessment (SFVS, people without disabilities)</a:t>
            </a:r>
          </a:p>
        </c:rich>
      </c:tx>
      <c:overlay val="0"/>
      <c:spPr>
        <a:noFill/>
        <a:ln>
          <a:noFill/>
        </a:ln>
        <a:effectLst/>
      </c:spPr>
      <c:txPr>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AU"/>
        </a:p>
      </c:txPr>
    </c:title>
    <c:autoTitleDeleted val="0"/>
    <c:plotArea>
      <c:layout>
        <c:manualLayout>
          <c:layoutTarget val="inner"/>
          <c:xMode val="edge"/>
          <c:yMode val="edge"/>
          <c:x val="0.51657863960154737"/>
          <c:y val="0.15643174603174603"/>
          <c:w val="0.45597752570068617"/>
          <c:h val="0.63640079365079361"/>
        </c:manualLayout>
      </c:layout>
      <c:barChart>
        <c:barDir val="bar"/>
        <c:grouping val="stacked"/>
        <c:varyColors val="0"/>
        <c:ser>
          <c:idx val="0"/>
          <c:order val="0"/>
          <c:tx>
            <c:strRef>
              <c:f>Sheet1!$F$1</c:f>
              <c:strCache>
                <c:ptCount val="1"/>
                <c:pt idx="0">
                  <c:v>Earliest SCORE (mean)</c:v>
                </c:pt>
              </c:strCache>
            </c:strRef>
          </c:tx>
          <c:spPr>
            <a:solidFill>
              <a:srgbClr val="007E00"/>
            </a:solidFill>
            <a:ln>
              <a:noFill/>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Sheet1!$E$14:$E$22</c:f>
              <c:strCache>
                <c:ptCount val="9"/>
                <c:pt idx="0">
                  <c:v>Goals - Changed skills</c:v>
                </c:pt>
                <c:pt idx="1">
                  <c:v>Goals - Changed knowledge and access to information</c:v>
                </c:pt>
                <c:pt idx="2">
                  <c:v>Goals - Changed impact of immediate crisis</c:v>
                </c:pt>
                <c:pt idx="3">
                  <c:v>Goals - Engagement with relevant support services</c:v>
                </c:pt>
                <c:pt idx="4">
                  <c:v>Goals - Empowerment, choice and control to make own decisions</c:v>
                </c:pt>
                <c:pt idx="5">
                  <c:v>Goals - Changed behaviours</c:v>
                </c:pt>
                <c:pt idx="6">
                  <c:v>Circumstances - Personal and family safety</c:v>
                </c:pt>
                <c:pt idx="7">
                  <c:v>Circumstances - Mental health, wellbeing and self-care</c:v>
                </c:pt>
                <c:pt idx="8">
                  <c:v>Circumstances - Family functioning</c:v>
                </c:pt>
              </c:strCache>
            </c:strRef>
          </c:cat>
          <c:val>
            <c:numRef>
              <c:f>Sheet1!$F$14:$F$22</c:f>
              <c:numCache>
                <c:formatCode>General</c:formatCode>
                <c:ptCount val="9"/>
                <c:pt idx="0">
                  <c:v>2.3302162478082988</c:v>
                </c:pt>
                <c:pt idx="1">
                  <c:v>2.4349919743178172</c:v>
                </c:pt>
                <c:pt idx="2">
                  <c:v>2.0937630807869398</c:v>
                </c:pt>
                <c:pt idx="3">
                  <c:v>2.533823529411765</c:v>
                </c:pt>
                <c:pt idx="4">
                  <c:v>2.3418132611637348</c:v>
                </c:pt>
                <c:pt idx="5">
                  <c:v>2.3723179208220011</c:v>
                </c:pt>
                <c:pt idx="6">
                  <c:v>2.4581562904119711</c:v>
                </c:pt>
                <c:pt idx="7">
                  <c:v>2.3533045089561462</c:v>
                </c:pt>
                <c:pt idx="8">
                  <c:v>2.249411764705882</c:v>
                </c:pt>
              </c:numCache>
            </c:numRef>
          </c:val>
          <c:extLst>
            <c:ext xmlns:c16="http://schemas.microsoft.com/office/drawing/2014/chart" uri="{C3380CC4-5D6E-409C-BE32-E72D297353CC}">
              <c16:uniqueId val="{00000000-DA9B-443E-B0B8-A58F58297DDD}"/>
            </c:ext>
          </c:extLst>
        </c:ser>
        <c:ser>
          <c:idx val="1"/>
          <c:order val="1"/>
          <c:tx>
            <c:strRef>
              <c:f>Sheet1!$G$1</c:f>
              <c:strCache>
                <c:ptCount val="1"/>
                <c:pt idx="0">
                  <c:v>Latest SCORE (mean change)</c:v>
                </c:pt>
              </c:strCache>
            </c:strRef>
          </c:tx>
          <c:spPr>
            <a:solidFill>
              <a:srgbClr val="78B800"/>
            </a:solidFill>
            <a:ln>
              <a:noFill/>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Sheet1!$E$14:$E$22</c:f>
              <c:strCache>
                <c:ptCount val="9"/>
                <c:pt idx="0">
                  <c:v>Goals - Changed skills</c:v>
                </c:pt>
                <c:pt idx="1">
                  <c:v>Goals - Changed knowledge and access to information</c:v>
                </c:pt>
                <c:pt idx="2">
                  <c:v>Goals - Changed impact of immediate crisis</c:v>
                </c:pt>
                <c:pt idx="3">
                  <c:v>Goals - Engagement with relevant support services</c:v>
                </c:pt>
                <c:pt idx="4">
                  <c:v>Goals - Empowerment, choice and control to make own decisions</c:v>
                </c:pt>
                <c:pt idx="5">
                  <c:v>Goals - Changed behaviours</c:v>
                </c:pt>
                <c:pt idx="6">
                  <c:v>Circumstances - Personal and family safety</c:v>
                </c:pt>
                <c:pt idx="7">
                  <c:v>Circumstances - Mental health, wellbeing and self-care</c:v>
                </c:pt>
                <c:pt idx="8">
                  <c:v>Circumstances - Family functioning</c:v>
                </c:pt>
              </c:strCache>
            </c:strRef>
          </c:cat>
          <c:val>
            <c:numRef>
              <c:f>Sheet1!$G$14:$G$22</c:f>
              <c:numCache>
                <c:formatCode>General</c:formatCode>
                <c:ptCount val="9"/>
                <c:pt idx="0">
                  <c:v>0.92957334891876098</c:v>
                </c:pt>
                <c:pt idx="1">
                  <c:v>1.0591225254146599</c:v>
                </c:pt>
                <c:pt idx="2">
                  <c:v>1.14985349518627</c:v>
                </c:pt>
                <c:pt idx="3">
                  <c:v>0.95330882352941204</c:v>
                </c:pt>
                <c:pt idx="4">
                  <c:v>1.0305818673883631</c:v>
                </c:pt>
                <c:pt idx="5">
                  <c:v>0.88123300090661827</c:v>
                </c:pt>
                <c:pt idx="6">
                  <c:v>0.89432846850175496</c:v>
                </c:pt>
                <c:pt idx="7">
                  <c:v>0.83261272390364427</c:v>
                </c:pt>
                <c:pt idx="8">
                  <c:v>0.8025668449197858</c:v>
                </c:pt>
              </c:numCache>
            </c:numRef>
          </c:val>
          <c:extLst>
            <c:ext xmlns:c16="http://schemas.microsoft.com/office/drawing/2014/chart" uri="{C3380CC4-5D6E-409C-BE32-E72D297353CC}">
              <c16:uniqueId val="{00000001-DA9B-443E-B0B8-A58F58297DDD}"/>
            </c:ext>
          </c:extLst>
        </c:ser>
        <c:dLbls>
          <c:showLegendKey val="0"/>
          <c:showVal val="0"/>
          <c:showCatName val="0"/>
          <c:showSerName val="0"/>
          <c:showPercent val="0"/>
          <c:showBubbleSize val="0"/>
        </c:dLbls>
        <c:gapWidth val="150"/>
        <c:overlap val="100"/>
        <c:axId val="2106384927"/>
        <c:axId val="2106377247"/>
      </c:barChart>
      <c:catAx>
        <c:axId val="2106384927"/>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106377247"/>
        <c:crosses val="autoZero"/>
        <c:auto val="1"/>
        <c:lblAlgn val="ctr"/>
        <c:lblOffset val="100"/>
        <c:noMultiLvlLbl val="0"/>
      </c:catAx>
      <c:valAx>
        <c:axId val="2106377247"/>
        <c:scaling>
          <c:orientation val="minMax"/>
          <c:max val="5"/>
          <c:min val="0"/>
        </c:scaling>
        <c:delete val="0"/>
        <c:axPos val="b"/>
        <c:majorGridlines>
          <c:spPr>
            <a:ln w="6350" cap="flat" cmpd="sng" algn="ctr">
              <a:solidFill>
                <a:schemeClr val="accent4"/>
              </a:solidFill>
              <a:prstDash val="solid"/>
              <a:miter lim="800000"/>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106384927"/>
        <c:crosses val="autoZero"/>
        <c:crossBetween val="between"/>
        <c:majorUnit val="1"/>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800">
          <a:solidFill>
            <a:sysClr val="windowText" lastClr="000000"/>
          </a:solidFill>
          <a:latin typeface="Arial" panose="020B0604020202020204" pitchFamily="34" charset="0"/>
          <a:cs typeface="Arial" panose="020B0604020202020204" pitchFamily="34" charset="0"/>
        </a:defRPr>
      </a:pPr>
      <a:endParaRPr lang="en-US"/>
    </a:p>
  </c:txPr>
  <c:externalData r:id="rId3">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'FaRS FEE'!$M$12</c:f>
              <c:strCache>
                <c:ptCount val="1"/>
                <c:pt idx="0">
                  <c:v>Frequency (n=)</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'FaRS FEE'!$L$13:$L$17</c:f>
              <c:strCache>
                <c:ptCount val="5"/>
                <c:pt idx="0">
                  <c:v>$1 - $30</c:v>
                </c:pt>
                <c:pt idx="1">
                  <c:v>$31 - $60</c:v>
                </c:pt>
                <c:pt idx="2">
                  <c:v>$61 - $90</c:v>
                </c:pt>
                <c:pt idx="3">
                  <c:v>$91 - $120</c:v>
                </c:pt>
                <c:pt idx="4">
                  <c:v>More than $120</c:v>
                </c:pt>
              </c:strCache>
            </c:strRef>
          </c:cat>
          <c:val>
            <c:numRef>
              <c:f>'FaRS FEE'!$M$13:$M$17</c:f>
              <c:numCache>
                <c:formatCode>General</c:formatCode>
                <c:ptCount val="5"/>
                <c:pt idx="0">
                  <c:v>32</c:v>
                </c:pt>
                <c:pt idx="1">
                  <c:v>48</c:v>
                </c:pt>
                <c:pt idx="2">
                  <c:v>47</c:v>
                </c:pt>
                <c:pt idx="3">
                  <c:v>5</c:v>
                </c:pt>
                <c:pt idx="4">
                  <c:v>2</c:v>
                </c:pt>
              </c:numCache>
            </c:numRef>
          </c:val>
          <c:extLst>
            <c:ext xmlns:c16="http://schemas.microsoft.com/office/drawing/2014/chart" uri="{C3380CC4-5D6E-409C-BE32-E72D297353CC}">
              <c16:uniqueId val="{00000000-0B07-4E1B-8612-2F66F5C3501C}"/>
            </c:ext>
          </c:extLst>
        </c:ser>
        <c:ser>
          <c:idx val="1"/>
          <c:order val="1"/>
          <c:tx>
            <c:strRef>
              <c:f>'FaRS FEE'!$N$12</c:f>
              <c:strCache>
                <c:ptCount val="1"/>
                <c:pt idx="0">
                  <c:v>Percentage (%)</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'FaRS FEE'!$L$13:$L$17</c:f>
              <c:strCache>
                <c:ptCount val="5"/>
                <c:pt idx="0">
                  <c:v>$1 - $30</c:v>
                </c:pt>
                <c:pt idx="1">
                  <c:v>$31 - $60</c:v>
                </c:pt>
                <c:pt idx="2">
                  <c:v>$61 - $90</c:v>
                </c:pt>
                <c:pt idx="3">
                  <c:v>$91 - $120</c:v>
                </c:pt>
                <c:pt idx="4">
                  <c:v>More than $120</c:v>
                </c:pt>
              </c:strCache>
            </c:strRef>
          </c:cat>
          <c:val>
            <c:numRef>
              <c:f>'FaRS FEE'!$N$13:$N$17</c:f>
              <c:numCache>
                <c:formatCode>0.0</c:formatCode>
                <c:ptCount val="5"/>
                <c:pt idx="0">
                  <c:v>23.880597014925371</c:v>
                </c:pt>
                <c:pt idx="1">
                  <c:v>35.820895522388057</c:v>
                </c:pt>
                <c:pt idx="2">
                  <c:v>35.074626865671647</c:v>
                </c:pt>
                <c:pt idx="3">
                  <c:v>3.7313432835820892</c:v>
                </c:pt>
                <c:pt idx="4">
                  <c:v>1.4925373134328357</c:v>
                </c:pt>
              </c:numCache>
            </c:numRef>
          </c:val>
          <c:extLst>
            <c:ext xmlns:c16="http://schemas.microsoft.com/office/drawing/2014/chart" uri="{C3380CC4-5D6E-409C-BE32-E72D297353CC}">
              <c16:uniqueId val="{00000001-0B07-4E1B-8612-2F66F5C3501C}"/>
            </c:ext>
          </c:extLst>
        </c:ser>
        <c:dLbls>
          <c:dLblPos val="outEnd"/>
          <c:showLegendKey val="0"/>
          <c:showVal val="1"/>
          <c:showCatName val="0"/>
          <c:showSerName val="0"/>
          <c:showPercent val="0"/>
          <c:showBubbleSize val="0"/>
        </c:dLbls>
        <c:gapWidth val="219"/>
        <c:overlap val="-27"/>
        <c:axId val="1312867775"/>
        <c:axId val="1312883135"/>
      </c:barChart>
      <c:catAx>
        <c:axId val="1312867775"/>
        <c:scaling>
          <c:orientation val="minMax"/>
        </c:scaling>
        <c:delete val="0"/>
        <c:axPos val="b"/>
        <c:numFmt formatCode="General" sourceLinked="1"/>
        <c:majorTickMark val="none"/>
        <c:minorTickMark val="none"/>
        <c:tickLblPos val="nextTo"/>
        <c:spPr>
          <a:noFill/>
          <a:ln w="6350" cap="flat" cmpd="sng" algn="ctr">
            <a:solidFill>
              <a:schemeClr val="accent2"/>
            </a:solidFill>
            <a:prstDash val="solid"/>
            <a:miter lim="800000"/>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312883135"/>
        <c:crosses val="autoZero"/>
        <c:auto val="1"/>
        <c:lblAlgn val="ctr"/>
        <c:lblOffset val="100"/>
        <c:noMultiLvlLbl val="0"/>
      </c:catAx>
      <c:valAx>
        <c:axId val="1312883135"/>
        <c:scaling>
          <c:orientation val="minMax"/>
        </c:scaling>
        <c:delete val="0"/>
        <c:axPos val="l"/>
        <c:majorGridlines>
          <c:spPr>
            <a:ln w="9525" cap="flat" cmpd="sng" algn="ctr">
              <a:solidFill>
                <a:schemeClr val="accent4">
                  <a:lumMod val="9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31286777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en-US"/>
    </a:p>
  </c:txPr>
  <c:externalData r:id="rId3">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dLbl>
              <c:idx val="2"/>
              <c:tx>
                <c:rich>
                  <a:bodyPr/>
                  <a:lstStyle/>
                  <a:p>
                    <a:r>
                      <a:rPr lang="en-US"/>
                      <a:t>&lt;5</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5D1C-4778-9061-6B551015C039}"/>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Gender!$A$16:$A$19</c:f>
              <c:strCache>
                <c:ptCount val="4"/>
                <c:pt idx="0">
                  <c:v>Female </c:v>
                </c:pt>
                <c:pt idx="1">
                  <c:v>Male</c:v>
                </c:pt>
                <c:pt idx="2">
                  <c:v>Non-binary or genderfluid</c:v>
                </c:pt>
                <c:pt idx="3">
                  <c:v>Prefer not to say</c:v>
                </c:pt>
              </c:strCache>
            </c:strRef>
          </c:cat>
          <c:val>
            <c:numRef>
              <c:f>Gender!$B$16:$B$19</c:f>
              <c:numCache>
                <c:formatCode>General</c:formatCode>
                <c:ptCount val="4"/>
                <c:pt idx="0">
                  <c:v>60</c:v>
                </c:pt>
                <c:pt idx="1">
                  <c:v>28</c:v>
                </c:pt>
                <c:pt idx="2">
                  <c:v>5</c:v>
                </c:pt>
                <c:pt idx="3">
                  <c:v>5</c:v>
                </c:pt>
              </c:numCache>
            </c:numRef>
          </c:val>
          <c:extLst>
            <c:ext xmlns:c16="http://schemas.microsoft.com/office/drawing/2014/chart" uri="{C3380CC4-5D6E-409C-BE32-E72D297353CC}">
              <c16:uniqueId val="{00000000-5D1C-4778-9061-6B551015C039}"/>
            </c:ext>
          </c:extLst>
        </c:ser>
        <c:dLbls>
          <c:showLegendKey val="0"/>
          <c:showVal val="0"/>
          <c:showCatName val="0"/>
          <c:showSerName val="0"/>
          <c:showPercent val="0"/>
          <c:showBubbleSize val="0"/>
        </c:dLbls>
        <c:gapWidth val="219"/>
        <c:overlap val="-27"/>
        <c:axId val="21281312"/>
        <c:axId val="21278432"/>
      </c:barChart>
      <c:catAx>
        <c:axId val="21281312"/>
        <c:scaling>
          <c:orientation val="minMax"/>
        </c:scaling>
        <c:delete val="0"/>
        <c:axPos val="b"/>
        <c:numFmt formatCode="General" sourceLinked="1"/>
        <c:majorTickMark val="none"/>
        <c:minorTickMark val="none"/>
        <c:tickLblPos val="nextTo"/>
        <c:spPr>
          <a:noFill/>
          <a:ln w="6350" cap="flat" cmpd="sng" algn="ctr">
            <a:solidFill>
              <a:schemeClr val="accent2"/>
            </a:solidFill>
            <a:prstDash val="solid"/>
            <a:miter lim="800000"/>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21278432"/>
        <c:crosses val="autoZero"/>
        <c:auto val="1"/>
        <c:lblAlgn val="ctr"/>
        <c:lblOffset val="100"/>
        <c:noMultiLvlLbl val="0"/>
      </c:catAx>
      <c:valAx>
        <c:axId val="21278432"/>
        <c:scaling>
          <c:orientation val="minMax"/>
        </c:scaling>
        <c:delete val="0"/>
        <c:axPos val="l"/>
        <c:majorGridlines>
          <c:spPr>
            <a:ln w="6350" cap="flat" cmpd="sng" algn="ctr">
              <a:solidFill>
                <a:schemeClr val="accent4"/>
              </a:solidFill>
              <a:prstDash val="solid"/>
              <a:miter lim="800000"/>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2128131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en-US"/>
    </a:p>
  </c:txPr>
  <c:externalData r:id="rId3">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dLbl>
              <c:idx val="0"/>
              <c:tx>
                <c:rich>
                  <a:bodyPr/>
                  <a:lstStyle/>
                  <a:p>
                    <a:r>
                      <a:rPr lang="en-US"/>
                      <a:t>&lt;5</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C2F7-4BE1-97CF-AB6FA8DE4FA3}"/>
                </c:ext>
              </c:extLst>
            </c:dLbl>
            <c:dLbl>
              <c:idx val="1"/>
              <c:tx>
                <c:rich>
                  <a:bodyPr/>
                  <a:lstStyle/>
                  <a:p>
                    <a:r>
                      <a:rPr lang="en-US"/>
                      <a:t>&lt;5</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C2F7-4BE1-97CF-AB6FA8DE4FA3}"/>
                </c:ext>
              </c:extLst>
            </c:dLbl>
            <c:dLbl>
              <c:idx val="2"/>
              <c:tx>
                <c:rich>
                  <a:bodyPr/>
                  <a:lstStyle/>
                  <a:p>
                    <a:r>
                      <a:rPr lang="en-US"/>
                      <a:t>&lt;5</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C2F7-4BE1-97CF-AB6FA8DE4FA3}"/>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Age!$K$1:$K$6</c:f>
              <c:strCache>
                <c:ptCount val="6"/>
                <c:pt idx="0">
                  <c:v>Under 18</c:v>
                </c:pt>
                <c:pt idx="1">
                  <c:v>18-25</c:v>
                </c:pt>
                <c:pt idx="2">
                  <c:v>25 - 55</c:v>
                </c:pt>
                <c:pt idx="3">
                  <c:v>25-55</c:v>
                </c:pt>
                <c:pt idx="4">
                  <c:v>Over 55</c:v>
                </c:pt>
                <c:pt idx="5">
                  <c:v>Prefer not to say</c:v>
                </c:pt>
              </c:strCache>
            </c:strRef>
          </c:cat>
          <c:val>
            <c:numRef>
              <c:f>Age!$L$1:$L$6</c:f>
              <c:numCache>
                <c:formatCode>General</c:formatCode>
                <c:ptCount val="6"/>
                <c:pt idx="0">
                  <c:v>5</c:v>
                </c:pt>
                <c:pt idx="1">
                  <c:v>5</c:v>
                </c:pt>
                <c:pt idx="2">
                  <c:v>5</c:v>
                </c:pt>
                <c:pt idx="3">
                  <c:v>45</c:v>
                </c:pt>
                <c:pt idx="4">
                  <c:v>18</c:v>
                </c:pt>
                <c:pt idx="5">
                  <c:v>24</c:v>
                </c:pt>
              </c:numCache>
            </c:numRef>
          </c:val>
          <c:extLst>
            <c:ext xmlns:c16="http://schemas.microsoft.com/office/drawing/2014/chart" uri="{C3380CC4-5D6E-409C-BE32-E72D297353CC}">
              <c16:uniqueId val="{00000000-C2F7-4BE1-97CF-AB6FA8DE4FA3}"/>
            </c:ext>
          </c:extLst>
        </c:ser>
        <c:dLbls>
          <c:showLegendKey val="0"/>
          <c:showVal val="0"/>
          <c:showCatName val="0"/>
          <c:showSerName val="0"/>
          <c:showPercent val="0"/>
          <c:showBubbleSize val="0"/>
        </c:dLbls>
        <c:gapWidth val="219"/>
        <c:overlap val="-27"/>
        <c:axId val="26101520"/>
        <c:axId val="26102000"/>
      </c:barChart>
      <c:catAx>
        <c:axId val="26101520"/>
        <c:scaling>
          <c:orientation val="minMax"/>
        </c:scaling>
        <c:delete val="0"/>
        <c:axPos val="b"/>
        <c:numFmt formatCode="General" sourceLinked="1"/>
        <c:majorTickMark val="none"/>
        <c:minorTickMark val="none"/>
        <c:tickLblPos val="nextTo"/>
        <c:spPr>
          <a:noFill/>
          <a:ln w="6350" cap="flat" cmpd="sng" algn="ctr">
            <a:solidFill>
              <a:schemeClr val="accent2"/>
            </a:solidFill>
            <a:prstDash val="solid"/>
            <a:miter lim="800000"/>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26102000"/>
        <c:crosses val="autoZero"/>
        <c:auto val="1"/>
        <c:lblAlgn val="ctr"/>
        <c:lblOffset val="100"/>
        <c:noMultiLvlLbl val="0"/>
      </c:catAx>
      <c:valAx>
        <c:axId val="26102000"/>
        <c:scaling>
          <c:orientation val="minMax"/>
        </c:scaling>
        <c:delete val="0"/>
        <c:axPos val="l"/>
        <c:majorGridlines>
          <c:spPr>
            <a:ln w="6350" cap="flat" cmpd="sng" algn="ctr">
              <a:solidFill>
                <a:schemeClr val="accent4"/>
              </a:solidFill>
              <a:prstDash val="solid"/>
              <a:miter lim="800000"/>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2610152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en-US"/>
    </a:p>
  </c:txPr>
  <c:externalData r:id="rId3">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'Priority cohort'!$G$12</c:f>
              <c:strCache>
                <c:ptCount val="1"/>
                <c:pt idx="0">
                  <c:v>Yes</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'Priority cohort'!$H$11:$K$11</c:f>
              <c:strCache>
                <c:ptCount val="4"/>
                <c:pt idx="0">
                  <c:v>Aboriginal and Torres Strait Islander </c:v>
                </c:pt>
                <c:pt idx="1">
                  <c:v>Culturally and linguistrically diverse status</c:v>
                </c:pt>
                <c:pt idx="2">
                  <c:v>Disability status </c:v>
                </c:pt>
                <c:pt idx="3">
                  <c:v>LGBTQIA+ status</c:v>
                </c:pt>
              </c:strCache>
            </c:strRef>
          </c:cat>
          <c:val>
            <c:numRef>
              <c:f>'Priority cohort'!$H$12:$K$12</c:f>
              <c:numCache>
                <c:formatCode>General</c:formatCode>
                <c:ptCount val="4"/>
                <c:pt idx="0">
                  <c:v>16</c:v>
                </c:pt>
                <c:pt idx="1">
                  <c:v>19</c:v>
                </c:pt>
                <c:pt idx="2">
                  <c:v>26</c:v>
                </c:pt>
                <c:pt idx="3">
                  <c:v>11</c:v>
                </c:pt>
              </c:numCache>
            </c:numRef>
          </c:val>
          <c:extLst>
            <c:ext xmlns:c16="http://schemas.microsoft.com/office/drawing/2014/chart" uri="{C3380CC4-5D6E-409C-BE32-E72D297353CC}">
              <c16:uniqueId val="{00000000-E098-40EB-834A-357BDC410E82}"/>
            </c:ext>
          </c:extLst>
        </c:ser>
        <c:ser>
          <c:idx val="1"/>
          <c:order val="1"/>
          <c:tx>
            <c:strRef>
              <c:f>'Priority cohort'!$G$13</c:f>
              <c:strCache>
                <c:ptCount val="1"/>
                <c:pt idx="0">
                  <c:v>No</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'Priority cohort'!$H$11:$K$11</c:f>
              <c:strCache>
                <c:ptCount val="4"/>
                <c:pt idx="0">
                  <c:v>Aboriginal and Torres Strait Islander </c:v>
                </c:pt>
                <c:pt idx="1">
                  <c:v>Culturally and linguistrically diverse status</c:v>
                </c:pt>
                <c:pt idx="2">
                  <c:v>Disability status </c:v>
                </c:pt>
                <c:pt idx="3">
                  <c:v>LGBTQIA+ status</c:v>
                </c:pt>
              </c:strCache>
            </c:strRef>
          </c:cat>
          <c:val>
            <c:numRef>
              <c:f>'Priority cohort'!$H$13:$K$13</c:f>
              <c:numCache>
                <c:formatCode>General</c:formatCode>
                <c:ptCount val="4"/>
                <c:pt idx="0">
                  <c:v>64</c:v>
                </c:pt>
                <c:pt idx="1">
                  <c:v>48</c:v>
                </c:pt>
                <c:pt idx="2">
                  <c:v>44</c:v>
                </c:pt>
                <c:pt idx="3">
                  <c:v>58</c:v>
                </c:pt>
              </c:numCache>
            </c:numRef>
          </c:val>
          <c:extLst>
            <c:ext xmlns:c16="http://schemas.microsoft.com/office/drawing/2014/chart" uri="{C3380CC4-5D6E-409C-BE32-E72D297353CC}">
              <c16:uniqueId val="{00000001-E098-40EB-834A-357BDC410E82}"/>
            </c:ext>
          </c:extLst>
        </c:ser>
        <c:ser>
          <c:idx val="2"/>
          <c:order val="2"/>
          <c:tx>
            <c:strRef>
              <c:f>'Priority cohort'!$G$14</c:f>
              <c:strCache>
                <c:ptCount val="1"/>
                <c:pt idx="0">
                  <c:v>Prefer not to say</c:v>
                </c:pt>
              </c:strCache>
            </c:strRef>
          </c:tx>
          <c:spPr>
            <a:solidFill>
              <a:schemeClr val="bg2"/>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'Priority cohort'!$H$11:$K$11</c:f>
              <c:strCache>
                <c:ptCount val="4"/>
                <c:pt idx="0">
                  <c:v>Aboriginal and Torres Strait Islander </c:v>
                </c:pt>
                <c:pt idx="1">
                  <c:v>Culturally and linguistrically diverse status</c:v>
                </c:pt>
                <c:pt idx="2">
                  <c:v>Disability status </c:v>
                </c:pt>
                <c:pt idx="3">
                  <c:v>LGBTQIA+ status</c:v>
                </c:pt>
              </c:strCache>
            </c:strRef>
          </c:cat>
          <c:val>
            <c:numRef>
              <c:f>'Priority cohort'!$H$14:$K$14</c:f>
              <c:numCache>
                <c:formatCode>General</c:formatCode>
                <c:ptCount val="4"/>
                <c:pt idx="0">
                  <c:v>15</c:v>
                </c:pt>
                <c:pt idx="1">
                  <c:v>28</c:v>
                </c:pt>
                <c:pt idx="2">
                  <c:v>25</c:v>
                </c:pt>
                <c:pt idx="3">
                  <c:v>26</c:v>
                </c:pt>
              </c:numCache>
            </c:numRef>
          </c:val>
          <c:extLst>
            <c:ext xmlns:c16="http://schemas.microsoft.com/office/drawing/2014/chart" uri="{C3380CC4-5D6E-409C-BE32-E72D297353CC}">
              <c16:uniqueId val="{00000002-E098-40EB-834A-357BDC410E82}"/>
            </c:ext>
          </c:extLst>
        </c:ser>
        <c:dLbls>
          <c:showLegendKey val="0"/>
          <c:showVal val="0"/>
          <c:showCatName val="0"/>
          <c:showSerName val="0"/>
          <c:showPercent val="0"/>
          <c:showBubbleSize val="0"/>
        </c:dLbls>
        <c:gapWidth val="219"/>
        <c:overlap val="-27"/>
        <c:axId val="117407840"/>
        <c:axId val="117408320"/>
      </c:barChart>
      <c:catAx>
        <c:axId val="117407840"/>
        <c:scaling>
          <c:orientation val="minMax"/>
        </c:scaling>
        <c:delete val="0"/>
        <c:axPos val="b"/>
        <c:numFmt formatCode="General" sourceLinked="1"/>
        <c:majorTickMark val="none"/>
        <c:minorTickMark val="none"/>
        <c:tickLblPos val="nextTo"/>
        <c:spPr>
          <a:noFill/>
          <a:ln w="6350" cap="flat" cmpd="sng" algn="ctr">
            <a:solidFill>
              <a:schemeClr val="accent2"/>
            </a:solidFill>
            <a:prstDash val="solid"/>
            <a:miter lim="800000"/>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17408320"/>
        <c:crosses val="autoZero"/>
        <c:auto val="1"/>
        <c:lblAlgn val="ctr"/>
        <c:lblOffset val="100"/>
        <c:noMultiLvlLbl val="0"/>
      </c:catAx>
      <c:valAx>
        <c:axId val="117408320"/>
        <c:scaling>
          <c:orientation val="minMax"/>
        </c:scaling>
        <c:delete val="0"/>
        <c:axPos val="l"/>
        <c:majorGridlines>
          <c:spPr>
            <a:ln w="6350" cap="flat" cmpd="sng" algn="ctr">
              <a:solidFill>
                <a:schemeClr val="accent4"/>
              </a:solidFill>
              <a:prstDash val="solid"/>
              <a:miter lim="800000"/>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174078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en-US"/>
    </a:p>
  </c:txPr>
  <c:externalData r:id="rId3">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dLbl>
              <c:idx val="7"/>
              <c:tx>
                <c:rich>
                  <a:bodyPr/>
                  <a:lstStyle/>
                  <a:p>
                    <a:r>
                      <a:rPr lang="en-US"/>
                      <a:t>&lt;5</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C020-4E71-8EF9-59EA6E0C6D1F}"/>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'S+T'!$I$1:$I$8</c:f>
              <c:strCache>
                <c:ptCount val="8"/>
                <c:pt idx="0">
                  <c:v>ACT</c:v>
                </c:pt>
                <c:pt idx="1">
                  <c:v>NSW</c:v>
                </c:pt>
                <c:pt idx="2">
                  <c:v>NT</c:v>
                </c:pt>
                <c:pt idx="3">
                  <c:v>Queensland</c:v>
                </c:pt>
                <c:pt idx="4">
                  <c:v>SA</c:v>
                </c:pt>
                <c:pt idx="5">
                  <c:v>Tasmania </c:v>
                </c:pt>
                <c:pt idx="6">
                  <c:v>Victoria </c:v>
                </c:pt>
                <c:pt idx="7">
                  <c:v>WA</c:v>
                </c:pt>
              </c:strCache>
            </c:strRef>
          </c:cat>
          <c:val>
            <c:numRef>
              <c:f>'S+T'!$J$1:$J$8</c:f>
              <c:numCache>
                <c:formatCode>General</c:formatCode>
                <c:ptCount val="8"/>
                <c:pt idx="0">
                  <c:v>7</c:v>
                </c:pt>
                <c:pt idx="1">
                  <c:v>18</c:v>
                </c:pt>
                <c:pt idx="2">
                  <c:v>16</c:v>
                </c:pt>
                <c:pt idx="3">
                  <c:v>18</c:v>
                </c:pt>
                <c:pt idx="4">
                  <c:v>20</c:v>
                </c:pt>
                <c:pt idx="5">
                  <c:v>5</c:v>
                </c:pt>
                <c:pt idx="6">
                  <c:v>10</c:v>
                </c:pt>
                <c:pt idx="7">
                  <c:v>5</c:v>
                </c:pt>
              </c:numCache>
            </c:numRef>
          </c:val>
          <c:extLst>
            <c:ext xmlns:c16="http://schemas.microsoft.com/office/drawing/2014/chart" uri="{C3380CC4-5D6E-409C-BE32-E72D297353CC}">
              <c16:uniqueId val="{00000000-C020-4E71-8EF9-59EA6E0C6D1F}"/>
            </c:ext>
          </c:extLst>
        </c:ser>
        <c:dLbls>
          <c:dLblPos val="outEnd"/>
          <c:showLegendKey val="0"/>
          <c:showVal val="1"/>
          <c:showCatName val="0"/>
          <c:showSerName val="0"/>
          <c:showPercent val="0"/>
          <c:showBubbleSize val="0"/>
        </c:dLbls>
        <c:gapWidth val="219"/>
        <c:overlap val="-27"/>
        <c:axId val="36354128"/>
        <c:axId val="36357008"/>
      </c:barChart>
      <c:catAx>
        <c:axId val="36354128"/>
        <c:scaling>
          <c:orientation val="minMax"/>
        </c:scaling>
        <c:delete val="0"/>
        <c:axPos val="b"/>
        <c:numFmt formatCode="General" sourceLinked="1"/>
        <c:majorTickMark val="none"/>
        <c:minorTickMark val="none"/>
        <c:tickLblPos val="nextTo"/>
        <c:spPr>
          <a:noFill/>
          <a:ln w="6350" cap="flat" cmpd="sng" algn="ctr">
            <a:solidFill>
              <a:schemeClr val="accent2"/>
            </a:solidFill>
            <a:prstDash val="solid"/>
            <a:miter lim="800000"/>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36357008"/>
        <c:crosses val="autoZero"/>
        <c:auto val="1"/>
        <c:lblAlgn val="ctr"/>
        <c:lblOffset val="100"/>
        <c:noMultiLvlLbl val="0"/>
      </c:catAx>
      <c:valAx>
        <c:axId val="36357008"/>
        <c:scaling>
          <c:orientation val="minMax"/>
        </c:scaling>
        <c:delete val="0"/>
        <c:axPos val="l"/>
        <c:majorGridlines>
          <c:spPr>
            <a:ln w="6350" cap="flat" cmpd="sng" algn="ctr">
              <a:solidFill>
                <a:schemeClr val="accent4"/>
              </a:solidFill>
              <a:prstDash val="solid"/>
              <a:miter lim="800000"/>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3635412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en-US"/>
    </a:p>
  </c:txPr>
  <c:externalData r:id="rId3">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'Geog location'!$J$1:$J$5</c:f>
              <c:strCache>
                <c:ptCount val="5"/>
                <c:pt idx="0">
                  <c:v>Urban</c:v>
                </c:pt>
                <c:pt idx="1">
                  <c:v>Regional</c:v>
                </c:pt>
                <c:pt idx="2">
                  <c:v>Rural</c:v>
                </c:pt>
                <c:pt idx="3">
                  <c:v>Remote </c:v>
                </c:pt>
                <c:pt idx="4">
                  <c:v>Prefer not to say</c:v>
                </c:pt>
              </c:strCache>
            </c:strRef>
          </c:cat>
          <c:val>
            <c:numRef>
              <c:f>'Geog location'!$K$1:$K$5</c:f>
              <c:numCache>
                <c:formatCode>General</c:formatCode>
                <c:ptCount val="5"/>
                <c:pt idx="0">
                  <c:v>49</c:v>
                </c:pt>
                <c:pt idx="1">
                  <c:v>18</c:v>
                </c:pt>
                <c:pt idx="2">
                  <c:v>12</c:v>
                </c:pt>
                <c:pt idx="3">
                  <c:v>9</c:v>
                </c:pt>
                <c:pt idx="4">
                  <c:v>7</c:v>
                </c:pt>
              </c:numCache>
            </c:numRef>
          </c:val>
          <c:extLst>
            <c:ext xmlns:c16="http://schemas.microsoft.com/office/drawing/2014/chart" uri="{C3380CC4-5D6E-409C-BE32-E72D297353CC}">
              <c16:uniqueId val="{00000000-8079-4246-ABC9-FFCDF4912D66}"/>
            </c:ext>
          </c:extLst>
        </c:ser>
        <c:dLbls>
          <c:showLegendKey val="0"/>
          <c:showVal val="0"/>
          <c:showCatName val="0"/>
          <c:showSerName val="0"/>
          <c:showPercent val="0"/>
          <c:showBubbleSize val="0"/>
        </c:dLbls>
        <c:gapWidth val="219"/>
        <c:overlap val="-27"/>
        <c:axId val="7597056"/>
        <c:axId val="7598016"/>
      </c:barChart>
      <c:catAx>
        <c:axId val="7597056"/>
        <c:scaling>
          <c:orientation val="minMax"/>
        </c:scaling>
        <c:delete val="0"/>
        <c:axPos val="b"/>
        <c:numFmt formatCode="General" sourceLinked="1"/>
        <c:majorTickMark val="none"/>
        <c:minorTickMark val="none"/>
        <c:tickLblPos val="nextTo"/>
        <c:spPr>
          <a:noFill/>
          <a:ln w="6350" cap="flat" cmpd="sng" algn="ctr">
            <a:solidFill>
              <a:schemeClr val="accent2"/>
            </a:solidFill>
            <a:prstDash val="solid"/>
            <a:miter lim="800000"/>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598016"/>
        <c:crosses val="autoZero"/>
        <c:auto val="1"/>
        <c:lblAlgn val="ctr"/>
        <c:lblOffset val="100"/>
        <c:noMultiLvlLbl val="0"/>
      </c:catAx>
      <c:valAx>
        <c:axId val="7598016"/>
        <c:scaling>
          <c:orientation val="minMax"/>
        </c:scaling>
        <c:delete val="0"/>
        <c:axPos val="l"/>
        <c:majorGridlines>
          <c:spPr>
            <a:ln w="6350" cap="flat" cmpd="sng" algn="ctr">
              <a:solidFill>
                <a:schemeClr val="accent4"/>
              </a:solidFill>
              <a:prstDash val="solid"/>
              <a:miter lim="800000"/>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59705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en-US"/>
    </a:p>
  </c:txPr>
  <c:externalData r:id="rId3">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dLbl>
              <c:idx val="2"/>
              <c:tx>
                <c:rich>
                  <a:bodyPr/>
                  <a:lstStyle/>
                  <a:p>
                    <a:r>
                      <a:rPr lang="en-US"/>
                      <a:t>&lt;5</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D869-4C5C-99E2-6A9087808461}"/>
                </c:ext>
              </c:extLst>
            </c:dLbl>
            <c:dLbl>
              <c:idx val="3"/>
              <c:tx>
                <c:rich>
                  <a:bodyPr/>
                  <a:lstStyle/>
                  <a:p>
                    <a:r>
                      <a:rPr lang="en-US"/>
                      <a:t>&lt;5</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D869-4C5C-99E2-6A9087808461}"/>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'Demographic freq table'!$B$3:$B$6</c:f>
              <c:strCache>
                <c:ptCount val="4"/>
                <c:pt idx="0">
                  <c:v>Male</c:v>
                </c:pt>
                <c:pt idx="1">
                  <c:v>Female</c:v>
                </c:pt>
                <c:pt idx="2">
                  <c:v>Non-binary or genderfluid</c:v>
                </c:pt>
                <c:pt idx="3">
                  <c:v>Unknown/Prefer not to say</c:v>
                </c:pt>
              </c:strCache>
            </c:strRef>
          </c:cat>
          <c:val>
            <c:numRef>
              <c:f>'Demographic freq table'!$C$3:$C$6</c:f>
              <c:numCache>
                <c:formatCode>General</c:formatCode>
                <c:ptCount val="4"/>
                <c:pt idx="0">
                  <c:v>58</c:v>
                </c:pt>
                <c:pt idx="1">
                  <c:v>124</c:v>
                </c:pt>
                <c:pt idx="2">
                  <c:v>5</c:v>
                </c:pt>
                <c:pt idx="3">
                  <c:v>5</c:v>
                </c:pt>
              </c:numCache>
            </c:numRef>
          </c:val>
          <c:extLst>
            <c:ext xmlns:c16="http://schemas.microsoft.com/office/drawing/2014/chart" uri="{C3380CC4-5D6E-409C-BE32-E72D297353CC}">
              <c16:uniqueId val="{00000000-D869-4C5C-99E2-6A9087808461}"/>
            </c:ext>
          </c:extLst>
        </c:ser>
        <c:dLbls>
          <c:showLegendKey val="0"/>
          <c:showVal val="0"/>
          <c:showCatName val="0"/>
          <c:showSerName val="0"/>
          <c:showPercent val="0"/>
          <c:showBubbleSize val="0"/>
        </c:dLbls>
        <c:gapWidth val="219"/>
        <c:overlap val="-27"/>
        <c:axId val="207090016"/>
        <c:axId val="207090976"/>
      </c:barChart>
      <c:catAx>
        <c:axId val="207090016"/>
        <c:scaling>
          <c:orientation val="minMax"/>
        </c:scaling>
        <c:delete val="0"/>
        <c:axPos val="b"/>
        <c:numFmt formatCode="General" sourceLinked="1"/>
        <c:majorTickMark val="none"/>
        <c:minorTickMark val="none"/>
        <c:tickLblPos val="nextTo"/>
        <c:spPr>
          <a:noFill/>
          <a:ln w="6350" cap="flat" cmpd="sng" algn="ctr">
            <a:solidFill>
              <a:schemeClr val="accent2"/>
            </a:solidFill>
            <a:prstDash val="solid"/>
            <a:miter lim="800000"/>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207090976"/>
        <c:crosses val="autoZero"/>
        <c:auto val="1"/>
        <c:lblAlgn val="ctr"/>
        <c:lblOffset val="100"/>
        <c:noMultiLvlLbl val="0"/>
      </c:catAx>
      <c:valAx>
        <c:axId val="207090976"/>
        <c:scaling>
          <c:orientation val="minMax"/>
        </c:scaling>
        <c:delete val="0"/>
        <c:axPos val="l"/>
        <c:majorGridlines>
          <c:spPr>
            <a:ln w="6350" cap="flat" cmpd="sng" algn="ctr">
              <a:solidFill>
                <a:schemeClr val="accent4"/>
              </a:solidFill>
              <a:prstDash val="solid"/>
              <a:miter lim="800000"/>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20709001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en-US"/>
    </a:p>
  </c:txPr>
  <c:externalData r:id="rId3">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'Demographic freq table'!$B$45</c:f>
              <c:strCache>
                <c:ptCount val="1"/>
                <c:pt idx="0">
                  <c:v>Frequency (n=)</c:v>
                </c:pt>
              </c:strCache>
            </c:strRef>
          </c:tx>
          <c:spPr>
            <a:solidFill>
              <a:schemeClr val="accent1"/>
            </a:solidFill>
            <a:ln>
              <a:noFill/>
            </a:ln>
            <a:effectLst/>
          </c:spPr>
          <c:invertIfNegative val="0"/>
          <c:dLbls>
            <c:dLbl>
              <c:idx val="0"/>
              <c:tx>
                <c:rich>
                  <a:bodyPr/>
                  <a:lstStyle/>
                  <a:p>
                    <a:r>
                      <a:rPr lang="en-US"/>
                      <a:t>&lt;</a:t>
                    </a:r>
                    <a:fld id="{EA1674AD-923F-4494-A7FD-9BE4A34DA8EE}" type="VALUE">
                      <a:rPr lang="en-US"/>
                      <a:pPr/>
                      <a:t>[VALUE]</a:t>
                    </a:fld>
                    <a:endParaRPr lang="en-US"/>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0-7F82-4F37-BD7D-3FC4B8612D48}"/>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'Demographic freq table'!$A$46:$A$51</c:f>
              <c:strCache>
                <c:ptCount val="6"/>
                <c:pt idx="0">
                  <c:v>18 - 24</c:v>
                </c:pt>
                <c:pt idx="1">
                  <c:v>25 - 34</c:v>
                </c:pt>
                <c:pt idx="2">
                  <c:v>35 - 44</c:v>
                </c:pt>
                <c:pt idx="3">
                  <c:v>45 - 54</c:v>
                </c:pt>
                <c:pt idx="4">
                  <c:v>55 - 64</c:v>
                </c:pt>
                <c:pt idx="5">
                  <c:v>65 or over</c:v>
                </c:pt>
              </c:strCache>
            </c:strRef>
          </c:cat>
          <c:val>
            <c:numRef>
              <c:f>'Demographic freq table'!$B$46:$B$51</c:f>
              <c:numCache>
                <c:formatCode>General</c:formatCode>
                <c:ptCount val="6"/>
                <c:pt idx="0">
                  <c:v>5</c:v>
                </c:pt>
                <c:pt idx="1">
                  <c:v>43</c:v>
                </c:pt>
                <c:pt idx="2">
                  <c:v>49</c:v>
                </c:pt>
                <c:pt idx="3">
                  <c:v>44</c:v>
                </c:pt>
                <c:pt idx="4">
                  <c:v>34</c:v>
                </c:pt>
                <c:pt idx="5">
                  <c:v>16</c:v>
                </c:pt>
              </c:numCache>
            </c:numRef>
          </c:val>
          <c:extLst>
            <c:ext xmlns:c16="http://schemas.microsoft.com/office/drawing/2014/chart" uri="{C3380CC4-5D6E-409C-BE32-E72D297353CC}">
              <c16:uniqueId val="{00000001-7F82-4F37-BD7D-3FC4B8612D48}"/>
            </c:ext>
          </c:extLst>
        </c:ser>
        <c:dLbls>
          <c:showLegendKey val="0"/>
          <c:showVal val="0"/>
          <c:showCatName val="0"/>
          <c:showSerName val="0"/>
          <c:showPercent val="0"/>
          <c:showBubbleSize val="0"/>
        </c:dLbls>
        <c:gapWidth val="219"/>
        <c:overlap val="-27"/>
        <c:axId val="928591648"/>
        <c:axId val="928589728"/>
      </c:barChart>
      <c:catAx>
        <c:axId val="928591648"/>
        <c:scaling>
          <c:orientation val="minMax"/>
        </c:scaling>
        <c:delete val="0"/>
        <c:axPos val="b"/>
        <c:numFmt formatCode="General" sourceLinked="1"/>
        <c:majorTickMark val="none"/>
        <c:minorTickMark val="none"/>
        <c:tickLblPos val="nextTo"/>
        <c:spPr>
          <a:noFill/>
          <a:ln w="6350" cap="flat" cmpd="sng" algn="ctr">
            <a:solidFill>
              <a:schemeClr val="accent2"/>
            </a:solidFill>
            <a:prstDash val="solid"/>
            <a:miter lim="800000"/>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928589728"/>
        <c:crosses val="autoZero"/>
        <c:auto val="1"/>
        <c:lblAlgn val="ctr"/>
        <c:lblOffset val="100"/>
        <c:noMultiLvlLbl val="0"/>
      </c:catAx>
      <c:valAx>
        <c:axId val="928589728"/>
        <c:scaling>
          <c:orientation val="minMax"/>
        </c:scaling>
        <c:delete val="0"/>
        <c:axPos val="l"/>
        <c:majorGridlines>
          <c:spPr>
            <a:ln w="6350" cap="flat" cmpd="sng" algn="ctr">
              <a:solidFill>
                <a:schemeClr val="accent4"/>
              </a:solidFill>
              <a:prstDash val="solid"/>
              <a:miter lim="800000"/>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92859164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en-US"/>
    </a:p>
  </c:txPr>
  <c:externalData r:id="rId3">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'Demographic freq table'!$B$16:$B$19</c:f>
              <c:strCache>
                <c:ptCount val="4"/>
                <c:pt idx="0">
                  <c:v>Aboriginal and Torres Strait Islander</c:v>
                </c:pt>
                <c:pt idx="1">
                  <c:v>CALD</c:v>
                </c:pt>
                <c:pt idx="2">
                  <c:v>LGBTQIA+</c:v>
                </c:pt>
                <c:pt idx="3">
                  <c:v>People with disabilities</c:v>
                </c:pt>
              </c:strCache>
            </c:strRef>
          </c:cat>
          <c:val>
            <c:numRef>
              <c:f>'Demographic freq table'!$C$16:$C$19</c:f>
              <c:numCache>
                <c:formatCode>General</c:formatCode>
                <c:ptCount val="4"/>
                <c:pt idx="0">
                  <c:v>11</c:v>
                </c:pt>
                <c:pt idx="1">
                  <c:v>61</c:v>
                </c:pt>
                <c:pt idx="2">
                  <c:v>21</c:v>
                </c:pt>
                <c:pt idx="3">
                  <c:v>45</c:v>
                </c:pt>
              </c:numCache>
            </c:numRef>
          </c:val>
          <c:extLst>
            <c:ext xmlns:c16="http://schemas.microsoft.com/office/drawing/2014/chart" uri="{C3380CC4-5D6E-409C-BE32-E72D297353CC}">
              <c16:uniqueId val="{00000000-38C7-41DD-83E4-896BA703F97F}"/>
            </c:ext>
          </c:extLst>
        </c:ser>
        <c:dLbls>
          <c:showLegendKey val="0"/>
          <c:showVal val="0"/>
          <c:showCatName val="0"/>
          <c:showSerName val="0"/>
          <c:showPercent val="0"/>
          <c:showBubbleSize val="0"/>
        </c:dLbls>
        <c:gapWidth val="219"/>
        <c:overlap val="-27"/>
        <c:axId val="400798512"/>
        <c:axId val="400787952"/>
      </c:barChart>
      <c:catAx>
        <c:axId val="400798512"/>
        <c:scaling>
          <c:orientation val="minMax"/>
        </c:scaling>
        <c:delete val="0"/>
        <c:axPos val="b"/>
        <c:numFmt formatCode="General" sourceLinked="1"/>
        <c:majorTickMark val="none"/>
        <c:minorTickMark val="none"/>
        <c:tickLblPos val="nextTo"/>
        <c:spPr>
          <a:noFill/>
          <a:ln w="6350" cap="flat" cmpd="sng" algn="ctr">
            <a:solidFill>
              <a:schemeClr val="accent2"/>
            </a:solidFill>
            <a:prstDash val="solid"/>
            <a:miter lim="800000"/>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400787952"/>
        <c:crosses val="autoZero"/>
        <c:auto val="1"/>
        <c:lblAlgn val="ctr"/>
        <c:lblOffset val="100"/>
        <c:noMultiLvlLbl val="0"/>
      </c:catAx>
      <c:valAx>
        <c:axId val="400787952"/>
        <c:scaling>
          <c:orientation val="minMax"/>
        </c:scaling>
        <c:delete val="0"/>
        <c:axPos val="l"/>
        <c:majorGridlines>
          <c:spPr>
            <a:ln w="6350" cap="flat" cmpd="sng" algn="ctr">
              <a:solidFill>
                <a:schemeClr val="accent4"/>
              </a:solidFill>
              <a:prstDash val="solid"/>
              <a:miter lim="800000"/>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40079851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'Method 3'!$A$16</c:f>
              <c:strCache>
                <c:ptCount val="1"/>
                <c:pt idx="0">
                  <c:v>2021-2022</c:v>
                </c:pt>
              </c:strCache>
            </c:strRef>
          </c:tx>
          <c:spPr>
            <a:solidFill>
              <a:schemeClr val="accent1"/>
            </a:solidFill>
            <a:ln>
              <a:noFill/>
            </a:ln>
            <a:effectLst/>
          </c:spPr>
          <c:invertIfNegative val="0"/>
          <c:cat>
            <c:strRef>
              <c:f>'Method 3'!$C$15:$H$15</c:f>
              <c:strCache>
                <c:ptCount val="6"/>
                <c:pt idx="0">
                  <c:v>Counselling</c:v>
                </c:pt>
                <c:pt idx="1">
                  <c:v> Intake Assessment</c:v>
                </c:pt>
                <c:pt idx="2">
                  <c:v>Information/advice/referral</c:v>
                </c:pt>
                <c:pt idx="3">
                  <c:v>Advocacy/Support</c:v>
                </c:pt>
                <c:pt idx="4">
                  <c:v>Education and Skills training</c:v>
                </c:pt>
                <c:pt idx="5">
                  <c:v>Others</c:v>
                </c:pt>
              </c:strCache>
              <c:extLst/>
            </c:strRef>
          </c:cat>
          <c:val>
            <c:numRef>
              <c:f>'Method 3'!$C$16:$H$16</c:f>
              <c:numCache>
                <c:formatCode>#,##0</c:formatCode>
                <c:ptCount val="6"/>
                <c:pt idx="0">
                  <c:v>1868</c:v>
                </c:pt>
                <c:pt idx="1">
                  <c:v>683</c:v>
                </c:pt>
                <c:pt idx="2">
                  <c:v>399</c:v>
                </c:pt>
                <c:pt idx="3">
                  <c:v>50</c:v>
                </c:pt>
                <c:pt idx="4">
                  <c:v>441</c:v>
                </c:pt>
                <c:pt idx="5">
                  <c:v>29</c:v>
                </c:pt>
              </c:numCache>
              <c:extLst/>
            </c:numRef>
          </c:val>
          <c:extLst>
            <c:ext xmlns:c16="http://schemas.microsoft.com/office/drawing/2014/chart" uri="{C3380CC4-5D6E-409C-BE32-E72D297353CC}">
              <c16:uniqueId val="{00000000-AAEA-4707-90B5-9BD13B25FB91}"/>
            </c:ext>
          </c:extLst>
        </c:ser>
        <c:ser>
          <c:idx val="1"/>
          <c:order val="1"/>
          <c:tx>
            <c:strRef>
              <c:f>'Method 3'!$A$17</c:f>
              <c:strCache>
                <c:ptCount val="1"/>
                <c:pt idx="0">
                  <c:v>2022-2023</c:v>
                </c:pt>
              </c:strCache>
            </c:strRef>
          </c:tx>
          <c:spPr>
            <a:solidFill>
              <a:schemeClr val="accent2"/>
            </a:solidFill>
            <a:ln>
              <a:noFill/>
            </a:ln>
            <a:effectLst/>
          </c:spPr>
          <c:invertIfNegative val="0"/>
          <c:cat>
            <c:strRef>
              <c:f>'Method 3'!$C$15:$H$15</c:f>
              <c:strCache>
                <c:ptCount val="6"/>
                <c:pt idx="0">
                  <c:v>Counselling</c:v>
                </c:pt>
                <c:pt idx="1">
                  <c:v> Intake Assessment</c:v>
                </c:pt>
                <c:pt idx="2">
                  <c:v>Information/advice/referral</c:v>
                </c:pt>
                <c:pt idx="3">
                  <c:v>Advocacy/Support</c:v>
                </c:pt>
                <c:pt idx="4">
                  <c:v>Education and Skills training</c:v>
                </c:pt>
                <c:pt idx="5">
                  <c:v>Others</c:v>
                </c:pt>
              </c:strCache>
              <c:extLst/>
            </c:strRef>
          </c:cat>
          <c:val>
            <c:numRef>
              <c:f>'Method 3'!$C$17:$H$17</c:f>
              <c:numCache>
                <c:formatCode>#,##0</c:formatCode>
                <c:ptCount val="6"/>
                <c:pt idx="0">
                  <c:v>1997</c:v>
                </c:pt>
                <c:pt idx="1">
                  <c:v>1235</c:v>
                </c:pt>
                <c:pt idx="2">
                  <c:v>959</c:v>
                </c:pt>
                <c:pt idx="3">
                  <c:v>193</c:v>
                </c:pt>
                <c:pt idx="4">
                  <c:v>389</c:v>
                </c:pt>
                <c:pt idx="5">
                  <c:v>224</c:v>
                </c:pt>
              </c:numCache>
              <c:extLst/>
            </c:numRef>
          </c:val>
          <c:extLst>
            <c:ext xmlns:c16="http://schemas.microsoft.com/office/drawing/2014/chart" uri="{C3380CC4-5D6E-409C-BE32-E72D297353CC}">
              <c16:uniqueId val="{00000001-AAEA-4707-90B5-9BD13B25FB91}"/>
            </c:ext>
          </c:extLst>
        </c:ser>
        <c:ser>
          <c:idx val="2"/>
          <c:order val="2"/>
          <c:tx>
            <c:strRef>
              <c:f>'Method 3'!$A$18</c:f>
              <c:strCache>
                <c:ptCount val="1"/>
                <c:pt idx="0">
                  <c:v>2023-2024</c:v>
                </c:pt>
              </c:strCache>
            </c:strRef>
          </c:tx>
          <c:spPr>
            <a:solidFill>
              <a:schemeClr val="accent3"/>
            </a:solidFill>
            <a:ln>
              <a:noFill/>
            </a:ln>
            <a:effectLst/>
          </c:spPr>
          <c:invertIfNegative val="0"/>
          <c:cat>
            <c:strRef>
              <c:f>'Method 3'!$C$15:$H$15</c:f>
              <c:strCache>
                <c:ptCount val="6"/>
                <c:pt idx="0">
                  <c:v>Counselling</c:v>
                </c:pt>
                <c:pt idx="1">
                  <c:v> Intake Assessment</c:v>
                </c:pt>
                <c:pt idx="2">
                  <c:v>Information/advice/referral</c:v>
                </c:pt>
                <c:pt idx="3">
                  <c:v>Advocacy/Support</c:v>
                </c:pt>
                <c:pt idx="4">
                  <c:v>Education and Skills training</c:v>
                </c:pt>
                <c:pt idx="5">
                  <c:v>Others</c:v>
                </c:pt>
              </c:strCache>
              <c:extLst/>
            </c:strRef>
          </c:cat>
          <c:val>
            <c:numRef>
              <c:f>'Method 3'!$C$18:$H$18</c:f>
              <c:numCache>
                <c:formatCode>#,##0</c:formatCode>
                <c:ptCount val="6"/>
                <c:pt idx="0">
                  <c:v>2128</c:v>
                </c:pt>
                <c:pt idx="1">
                  <c:v>1262</c:v>
                </c:pt>
                <c:pt idx="2">
                  <c:v>2143</c:v>
                </c:pt>
                <c:pt idx="3">
                  <c:v>259</c:v>
                </c:pt>
                <c:pt idx="4">
                  <c:v>1095</c:v>
                </c:pt>
                <c:pt idx="5">
                  <c:v>43</c:v>
                </c:pt>
              </c:numCache>
              <c:extLst/>
            </c:numRef>
          </c:val>
          <c:extLst>
            <c:ext xmlns:c16="http://schemas.microsoft.com/office/drawing/2014/chart" uri="{C3380CC4-5D6E-409C-BE32-E72D297353CC}">
              <c16:uniqueId val="{00000002-AAEA-4707-90B5-9BD13B25FB91}"/>
            </c:ext>
          </c:extLst>
        </c:ser>
        <c:dLbls>
          <c:showLegendKey val="0"/>
          <c:showVal val="0"/>
          <c:showCatName val="0"/>
          <c:showSerName val="0"/>
          <c:showPercent val="0"/>
          <c:showBubbleSize val="0"/>
        </c:dLbls>
        <c:gapWidth val="219"/>
        <c:overlap val="-27"/>
        <c:axId val="62965935"/>
        <c:axId val="62973615"/>
      </c:barChart>
      <c:catAx>
        <c:axId val="62965935"/>
        <c:scaling>
          <c:orientation val="minMax"/>
        </c:scaling>
        <c:delete val="0"/>
        <c:axPos val="b"/>
        <c:numFmt formatCode="General" sourceLinked="1"/>
        <c:majorTickMark val="none"/>
        <c:minorTickMark val="none"/>
        <c:tickLblPos val="nextTo"/>
        <c:spPr>
          <a:noFill/>
          <a:ln w="6350" cap="flat" cmpd="sng" algn="ctr">
            <a:solidFill>
              <a:schemeClr val="accent2"/>
            </a:solidFill>
            <a:prstDash val="solid"/>
            <a:miter lim="800000"/>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62973615"/>
        <c:crosses val="autoZero"/>
        <c:auto val="1"/>
        <c:lblAlgn val="ctr"/>
        <c:lblOffset val="100"/>
        <c:noMultiLvlLbl val="0"/>
      </c:catAx>
      <c:valAx>
        <c:axId val="62973615"/>
        <c:scaling>
          <c:orientation val="minMax"/>
        </c:scaling>
        <c:delete val="0"/>
        <c:axPos val="l"/>
        <c:majorGridlines>
          <c:spPr>
            <a:ln w="6350" cap="flat" cmpd="sng" algn="ctr">
              <a:solidFill>
                <a:schemeClr val="accent4"/>
              </a:solidFill>
              <a:prstDash val="solid"/>
              <a:miter lim="800000"/>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6296593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en-US"/>
    </a:p>
  </c:txPr>
  <c:externalData r:id="rId3">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dLbl>
              <c:idx val="0"/>
              <c:tx>
                <c:rich>
                  <a:bodyPr/>
                  <a:lstStyle/>
                  <a:p>
                    <a:r>
                      <a:rPr lang="en-US"/>
                      <a:t>&lt;</a:t>
                    </a:r>
                    <a:fld id="{AD95876F-B1F1-4D9B-87B8-0F23E8860A9D}" type="VALUE">
                      <a:rPr lang="en-US"/>
                      <a:pPr/>
                      <a:t>[VALUE]</a:t>
                    </a:fld>
                    <a:endParaRPr lang="en-US"/>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37CE-4C64-96D5-BA0E3C7A7C34}"/>
                </c:ext>
              </c:extLst>
            </c:dLbl>
            <c:dLbl>
              <c:idx val="2"/>
              <c:tx>
                <c:rich>
                  <a:bodyPr/>
                  <a:lstStyle/>
                  <a:p>
                    <a:r>
                      <a:rPr lang="en-US"/>
                      <a:t>&lt;</a:t>
                    </a:r>
                    <a:fld id="{4F3CFB01-C6BC-4D77-8C11-78C9A0C154FF}" type="VALUE">
                      <a:rPr lang="en-US"/>
                      <a:pPr/>
                      <a:t>[VALUE]</a:t>
                    </a:fld>
                    <a:endParaRPr lang="en-US"/>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2-37CE-4C64-96D5-BA0E3C7A7C34}"/>
                </c:ext>
              </c:extLst>
            </c:dLbl>
            <c:dLbl>
              <c:idx val="5"/>
              <c:tx>
                <c:rich>
                  <a:bodyPr/>
                  <a:lstStyle/>
                  <a:p>
                    <a:r>
                      <a:rPr lang="en-US"/>
                      <a:t>&lt;</a:t>
                    </a:r>
                    <a:fld id="{3140E0F4-25C8-4E7C-AE03-10F4479B5863}" type="VALUE">
                      <a:rPr lang="en-US"/>
                      <a:pPr/>
                      <a:t>[VALUE]</a:t>
                    </a:fld>
                    <a:endParaRPr lang="en-US"/>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37CE-4C64-96D5-BA0E3C7A7C34}"/>
                </c:ext>
              </c:extLst>
            </c:dLbl>
            <c:dLbl>
              <c:idx val="7"/>
              <c:tx>
                <c:rich>
                  <a:bodyPr/>
                  <a:lstStyle/>
                  <a:p>
                    <a:r>
                      <a:rPr lang="en-US"/>
                      <a:t>&lt;</a:t>
                    </a:r>
                    <a:fld id="{EFB9BB9A-00A0-4AE4-BF26-8E80B4719C8C}" type="VALUE">
                      <a:rPr lang="en-US"/>
                      <a:pPr/>
                      <a:t>[VALUE]</a:t>
                    </a:fld>
                    <a:endParaRPr lang="en-US"/>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4-37CE-4C64-96D5-BA0E3C7A7C34}"/>
                </c:ext>
              </c:extLst>
            </c:dLbl>
            <c:dLbl>
              <c:idx val="8"/>
              <c:tx>
                <c:rich>
                  <a:bodyPr/>
                  <a:lstStyle/>
                  <a:p>
                    <a:r>
                      <a:rPr lang="en-US"/>
                      <a:t>&lt;5</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37CE-4C64-96D5-BA0E3C7A7C34}"/>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'Demographic freq table'!$B$21:$B$29</c:f>
              <c:strCache>
                <c:ptCount val="9"/>
                <c:pt idx="0">
                  <c:v>ACT</c:v>
                </c:pt>
                <c:pt idx="1">
                  <c:v>NSW</c:v>
                </c:pt>
                <c:pt idx="2">
                  <c:v>NT</c:v>
                </c:pt>
                <c:pt idx="3">
                  <c:v>QLD</c:v>
                </c:pt>
                <c:pt idx="4">
                  <c:v>SA</c:v>
                </c:pt>
                <c:pt idx="5">
                  <c:v>TAS</c:v>
                </c:pt>
                <c:pt idx="6">
                  <c:v>VIC</c:v>
                </c:pt>
                <c:pt idx="7">
                  <c:v>WA</c:v>
                </c:pt>
                <c:pt idx="8">
                  <c:v>Did not say</c:v>
                </c:pt>
              </c:strCache>
            </c:strRef>
          </c:cat>
          <c:val>
            <c:numRef>
              <c:f>'Demographic freq table'!$C$21:$C$29</c:f>
              <c:numCache>
                <c:formatCode>General</c:formatCode>
                <c:ptCount val="9"/>
                <c:pt idx="0">
                  <c:v>5</c:v>
                </c:pt>
                <c:pt idx="1">
                  <c:v>21</c:v>
                </c:pt>
                <c:pt idx="2">
                  <c:v>5</c:v>
                </c:pt>
                <c:pt idx="3">
                  <c:v>99</c:v>
                </c:pt>
                <c:pt idx="4">
                  <c:v>33</c:v>
                </c:pt>
                <c:pt idx="5">
                  <c:v>5</c:v>
                </c:pt>
                <c:pt idx="6">
                  <c:v>27</c:v>
                </c:pt>
                <c:pt idx="7">
                  <c:v>5</c:v>
                </c:pt>
                <c:pt idx="8">
                  <c:v>5</c:v>
                </c:pt>
              </c:numCache>
            </c:numRef>
          </c:val>
          <c:extLst>
            <c:ext xmlns:c16="http://schemas.microsoft.com/office/drawing/2014/chart" uri="{C3380CC4-5D6E-409C-BE32-E72D297353CC}">
              <c16:uniqueId val="{00000000-37CE-4C64-96D5-BA0E3C7A7C34}"/>
            </c:ext>
          </c:extLst>
        </c:ser>
        <c:dLbls>
          <c:dLblPos val="outEnd"/>
          <c:showLegendKey val="0"/>
          <c:showVal val="1"/>
          <c:showCatName val="0"/>
          <c:showSerName val="0"/>
          <c:showPercent val="0"/>
          <c:showBubbleSize val="0"/>
        </c:dLbls>
        <c:gapWidth val="219"/>
        <c:overlap val="-27"/>
        <c:axId val="20630720"/>
        <c:axId val="20631200"/>
      </c:barChart>
      <c:catAx>
        <c:axId val="20630720"/>
        <c:scaling>
          <c:orientation val="minMax"/>
        </c:scaling>
        <c:delete val="0"/>
        <c:axPos val="b"/>
        <c:numFmt formatCode="General" sourceLinked="1"/>
        <c:majorTickMark val="none"/>
        <c:minorTickMark val="none"/>
        <c:tickLblPos val="nextTo"/>
        <c:spPr>
          <a:noFill/>
          <a:ln w="6350" cap="flat" cmpd="sng" algn="ctr">
            <a:solidFill>
              <a:schemeClr val="accent2"/>
            </a:solidFill>
            <a:prstDash val="solid"/>
            <a:miter lim="800000"/>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20631200"/>
        <c:crosses val="autoZero"/>
        <c:auto val="1"/>
        <c:lblAlgn val="ctr"/>
        <c:lblOffset val="100"/>
        <c:noMultiLvlLbl val="0"/>
      </c:catAx>
      <c:valAx>
        <c:axId val="20631200"/>
        <c:scaling>
          <c:orientation val="minMax"/>
        </c:scaling>
        <c:delete val="0"/>
        <c:axPos val="l"/>
        <c:majorGridlines>
          <c:spPr>
            <a:ln w="6350" cap="flat" cmpd="sng" algn="ctr">
              <a:solidFill>
                <a:schemeClr val="accent4"/>
              </a:solidFill>
              <a:prstDash val="solid"/>
              <a:miter lim="800000"/>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2063072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'Method 3'!$A$22</c:f>
              <c:strCache>
                <c:ptCount val="1"/>
                <c:pt idx="0">
                  <c:v>2021-2022</c:v>
                </c:pt>
              </c:strCache>
            </c:strRef>
          </c:tx>
          <c:spPr>
            <a:solidFill>
              <a:schemeClr val="accent1"/>
            </a:solidFill>
            <a:ln>
              <a:noFill/>
            </a:ln>
            <a:effectLst/>
          </c:spPr>
          <c:invertIfNegative val="0"/>
          <c:cat>
            <c:strRef>
              <c:f>'Method 3'!$C$21:$H$21</c:f>
              <c:strCache>
                <c:ptCount val="6"/>
                <c:pt idx="0">
                  <c:v>Counselling</c:v>
                </c:pt>
                <c:pt idx="1">
                  <c:v> Intake Assessment</c:v>
                </c:pt>
                <c:pt idx="2">
                  <c:v>Information/advice/referral</c:v>
                </c:pt>
                <c:pt idx="3">
                  <c:v>Advocacy/Support</c:v>
                </c:pt>
                <c:pt idx="4">
                  <c:v>Education and Skills training</c:v>
                </c:pt>
                <c:pt idx="5">
                  <c:v>Others</c:v>
                </c:pt>
              </c:strCache>
              <c:extLst/>
            </c:strRef>
          </c:cat>
          <c:val>
            <c:numRef>
              <c:f>'Method 3'!$C$22:$H$22</c:f>
              <c:numCache>
                <c:formatCode>0</c:formatCode>
                <c:ptCount val="6"/>
                <c:pt idx="0">
                  <c:v>2832</c:v>
                </c:pt>
                <c:pt idx="1">
                  <c:v>2661</c:v>
                </c:pt>
                <c:pt idx="2">
                  <c:v>1923</c:v>
                </c:pt>
                <c:pt idx="3">
                  <c:v>1891</c:v>
                </c:pt>
                <c:pt idx="4">
                  <c:v>277</c:v>
                </c:pt>
                <c:pt idx="5">
                  <c:v>353</c:v>
                </c:pt>
              </c:numCache>
              <c:extLst/>
            </c:numRef>
          </c:val>
          <c:extLst>
            <c:ext xmlns:c16="http://schemas.microsoft.com/office/drawing/2014/chart" uri="{C3380CC4-5D6E-409C-BE32-E72D297353CC}">
              <c16:uniqueId val="{00000000-15E3-4B0C-A75F-936DAD578ED7}"/>
            </c:ext>
          </c:extLst>
        </c:ser>
        <c:ser>
          <c:idx val="1"/>
          <c:order val="1"/>
          <c:tx>
            <c:strRef>
              <c:f>'Method 3'!$A$23</c:f>
              <c:strCache>
                <c:ptCount val="1"/>
                <c:pt idx="0">
                  <c:v>2022-2023</c:v>
                </c:pt>
              </c:strCache>
            </c:strRef>
          </c:tx>
          <c:spPr>
            <a:solidFill>
              <a:schemeClr val="accent2"/>
            </a:solidFill>
            <a:ln>
              <a:noFill/>
            </a:ln>
            <a:effectLst/>
          </c:spPr>
          <c:invertIfNegative val="0"/>
          <c:cat>
            <c:strRef>
              <c:f>'Method 3'!$C$21:$H$21</c:f>
              <c:strCache>
                <c:ptCount val="6"/>
                <c:pt idx="0">
                  <c:v>Counselling</c:v>
                </c:pt>
                <c:pt idx="1">
                  <c:v> Intake Assessment</c:v>
                </c:pt>
                <c:pt idx="2">
                  <c:v>Information/advice/referral</c:v>
                </c:pt>
                <c:pt idx="3">
                  <c:v>Advocacy/Support</c:v>
                </c:pt>
                <c:pt idx="4">
                  <c:v>Education and Skills training</c:v>
                </c:pt>
                <c:pt idx="5">
                  <c:v>Others</c:v>
                </c:pt>
              </c:strCache>
              <c:extLst/>
            </c:strRef>
          </c:cat>
          <c:val>
            <c:numRef>
              <c:f>'Method 3'!$C$23:$H$23</c:f>
              <c:numCache>
                <c:formatCode>0</c:formatCode>
                <c:ptCount val="6"/>
                <c:pt idx="0">
                  <c:v>2340</c:v>
                </c:pt>
                <c:pt idx="1">
                  <c:v>1726</c:v>
                </c:pt>
                <c:pt idx="2">
                  <c:v>902</c:v>
                </c:pt>
                <c:pt idx="3">
                  <c:v>2364</c:v>
                </c:pt>
                <c:pt idx="4">
                  <c:v>197</c:v>
                </c:pt>
                <c:pt idx="5">
                  <c:v>247</c:v>
                </c:pt>
              </c:numCache>
              <c:extLst/>
            </c:numRef>
          </c:val>
          <c:extLst>
            <c:ext xmlns:c16="http://schemas.microsoft.com/office/drawing/2014/chart" uri="{C3380CC4-5D6E-409C-BE32-E72D297353CC}">
              <c16:uniqueId val="{00000001-15E3-4B0C-A75F-936DAD578ED7}"/>
            </c:ext>
          </c:extLst>
        </c:ser>
        <c:ser>
          <c:idx val="2"/>
          <c:order val="2"/>
          <c:tx>
            <c:strRef>
              <c:f>'Method 3'!$A$24</c:f>
              <c:strCache>
                <c:ptCount val="1"/>
                <c:pt idx="0">
                  <c:v>2023-2024</c:v>
                </c:pt>
              </c:strCache>
            </c:strRef>
          </c:tx>
          <c:spPr>
            <a:solidFill>
              <a:schemeClr val="accent3"/>
            </a:solidFill>
            <a:ln>
              <a:noFill/>
            </a:ln>
            <a:effectLst/>
          </c:spPr>
          <c:invertIfNegative val="0"/>
          <c:cat>
            <c:strRef>
              <c:f>'Method 3'!$C$21:$H$21</c:f>
              <c:strCache>
                <c:ptCount val="6"/>
                <c:pt idx="0">
                  <c:v>Counselling</c:v>
                </c:pt>
                <c:pt idx="1">
                  <c:v> Intake Assessment</c:v>
                </c:pt>
                <c:pt idx="2">
                  <c:v>Information/advice/referral</c:v>
                </c:pt>
                <c:pt idx="3">
                  <c:v>Advocacy/Support</c:v>
                </c:pt>
                <c:pt idx="4">
                  <c:v>Education and Skills training</c:v>
                </c:pt>
                <c:pt idx="5">
                  <c:v>Others</c:v>
                </c:pt>
              </c:strCache>
              <c:extLst/>
            </c:strRef>
          </c:cat>
          <c:val>
            <c:numRef>
              <c:f>'Method 3'!$C$24:$H$24</c:f>
              <c:numCache>
                <c:formatCode>0</c:formatCode>
                <c:ptCount val="6"/>
                <c:pt idx="0">
                  <c:v>5227</c:v>
                </c:pt>
                <c:pt idx="1">
                  <c:v>1568</c:v>
                </c:pt>
                <c:pt idx="2">
                  <c:v>908</c:v>
                </c:pt>
                <c:pt idx="3">
                  <c:v>2679</c:v>
                </c:pt>
                <c:pt idx="4">
                  <c:v>321</c:v>
                </c:pt>
                <c:pt idx="5">
                  <c:v>1512</c:v>
                </c:pt>
              </c:numCache>
              <c:extLst/>
            </c:numRef>
          </c:val>
          <c:extLst>
            <c:ext xmlns:c16="http://schemas.microsoft.com/office/drawing/2014/chart" uri="{C3380CC4-5D6E-409C-BE32-E72D297353CC}">
              <c16:uniqueId val="{00000002-15E3-4B0C-A75F-936DAD578ED7}"/>
            </c:ext>
          </c:extLst>
        </c:ser>
        <c:dLbls>
          <c:showLegendKey val="0"/>
          <c:showVal val="0"/>
          <c:showCatName val="0"/>
          <c:showSerName val="0"/>
          <c:showPercent val="0"/>
          <c:showBubbleSize val="0"/>
        </c:dLbls>
        <c:gapWidth val="219"/>
        <c:overlap val="-27"/>
        <c:axId val="308945007"/>
        <c:axId val="308951247"/>
      </c:barChart>
      <c:catAx>
        <c:axId val="308945007"/>
        <c:scaling>
          <c:orientation val="minMax"/>
        </c:scaling>
        <c:delete val="0"/>
        <c:axPos val="b"/>
        <c:numFmt formatCode="General" sourceLinked="1"/>
        <c:majorTickMark val="none"/>
        <c:minorTickMark val="none"/>
        <c:tickLblPos val="nextTo"/>
        <c:spPr>
          <a:noFill/>
          <a:ln w="6350" cap="flat" cmpd="sng" algn="ctr">
            <a:solidFill>
              <a:schemeClr val="accent2"/>
            </a:solidFill>
            <a:prstDash val="solid"/>
            <a:miter lim="800000"/>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308951247"/>
        <c:crosses val="autoZero"/>
        <c:auto val="1"/>
        <c:lblAlgn val="ctr"/>
        <c:lblOffset val="100"/>
        <c:noMultiLvlLbl val="0"/>
      </c:catAx>
      <c:valAx>
        <c:axId val="308951247"/>
        <c:scaling>
          <c:orientation val="minMax"/>
        </c:scaling>
        <c:delete val="0"/>
        <c:axPos val="l"/>
        <c:majorGridlines>
          <c:spPr>
            <a:ln w="6350" cap="flat" cmpd="sng" algn="ctr">
              <a:solidFill>
                <a:schemeClr val="accent4"/>
              </a:solidFill>
              <a:prstDash val="solid"/>
              <a:miter lim="800000"/>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308945007"/>
        <c:crosses val="autoZero"/>
        <c:crossBetween val="between"/>
        <c:majorUnit val="1000"/>
        <c:minorUnit val="20"/>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'Cost and clients '!$P$61</c:f>
              <c:strCache>
                <c:ptCount val="1"/>
                <c:pt idx="0">
                  <c:v>2021-2022</c:v>
                </c:pt>
              </c:strCache>
            </c:strRef>
          </c:tx>
          <c:spPr>
            <a:solidFill>
              <a:schemeClr val="accent1"/>
            </a:solidFill>
            <a:ln>
              <a:noFill/>
            </a:ln>
            <a:effectLst/>
          </c:spPr>
          <c:invertIfNegative val="0"/>
          <c:cat>
            <c:strRef>
              <c:f>'Cost and clients '!$Q$60:$T$60</c:f>
              <c:strCache>
                <c:ptCount val="4"/>
                <c:pt idx="0">
                  <c:v>FARS</c:v>
                </c:pt>
                <c:pt idx="1">
                  <c:v>SFVS</c:v>
                </c:pt>
                <c:pt idx="2">
                  <c:v>MBCP</c:v>
                </c:pt>
                <c:pt idx="3">
                  <c:v>CSC</c:v>
                </c:pt>
              </c:strCache>
            </c:strRef>
          </c:cat>
          <c:val>
            <c:numRef>
              <c:f>'Cost and clients '!$Q$61:$T$61</c:f>
              <c:numCache>
                <c:formatCode>"$"#,##0</c:formatCode>
                <c:ptCount val="4"/>
                <c:pt idx="0">
                  <c:v>955.90263811319437</c:v>
                </c:pt>
                <c:pt idx="1">
                  <c:v>1097.9106032672109</c:v>
                </c:pt>
                <c:pt idx="2">
                  <c:v>826.64396839332733</c:v>
                </c:pt>
                <c:pt idx="3">
                  <c:v>815.98524137931031</c:v>
                </c:pt>
              </c:numCache>
            </c:numRef>
          </c:val>
          <c:extLst>
            <c:ext xmlns:c16="http://schemas.microsoft.com/office/drawing/2014/chart" uri="{C3380CC4-5D6E-409C-BE32-E72D297353CC}">
              <c16:uniqueId val="{00000000-6BB1-415B-A48E-0632E476A2C9}"/>
            </c:ext>
          </c:extLst>
        </c:ser>
        <c:ser>
          <c:idx val="1"/>
          <c:order val="1"/>
          <c:tx>
            <c:strRef>
              <c:f>'Cost and clients '!$P$62</c:f>
              <c:strCache>
                <c:ptCount val="1"/>
                <c:pt idx="0">
                  <c:v>2022-2023</c:v>
                </c:pt>
              </c:strCache>
            </c:strRef>
          </c:tx>
          <c:spPr>
            <a:solidFill>
              <a:schemeClr val="accent2"/>
            </a:solidFill>
            <a:ln>
              <a:noFill/>
            </a:ln>
            <a:effectLst/>
          </c:spPr>
          <c:invertIfNegative val="0"/>
          <c:cat>
            <c:strRef>
              <c:f>'Cost and clients '!$Q$60:$T$60</c:f>
              <c:strCache>
                <c:ptCount val="4"/>
                <c:pt idx="0">
                  <c:v>FARS</c:v>
                </c:pt>
                <c:pt idx="1">
                  <c:v>SFVS</c:v>
                </c:pt>
                <c:pt idx="2">
                  <c:v>MBCP</c:v>
                </c:pt>
                <c:pt idx="3">
                  <c:v>CSC</c:v>
                </c:pt>
              </c:strCache>
            </c:strRef>
          </c:cat>
          <c:val>
            <c:numRef>
              <c:f>'Cost and clients '!$Q$62:$T$62</c:f>
              <c:numCache>
                <c:formatCode>"$"#,##0</c:formatCode>
                <c:ptCount val="4"/>
                <c:pt idx="0">
                  <c:v>1033.5405809045933</c:v>
                </c:pt>
                <c:pt idx="1">
                  <c:v>1126.679654639644</c:v>
                </c:pt>
                <c:pt idx="2">
                  <c:v>1940.0473959731542</c:v>
                </c:pt>
                <c:pt idx="3">
                  <c:v>1647.3905700712587</c:v>
                </c:pt>
              </c:numCache>
            </c:numRef>
          </c:val>
          <c:extLst>
            <c:ext xmlns:c16="http://schemas.microsoft.com/office/drawing/2014/chart" uri="{C3380CC4-5D6E-409C-BE32-E72D297353CC}">
              <c16:uniqueId val="{00000001-6BB1-415B-A48E-0632E476A2C9}"/>
            </c:ext>
          </c:extLst>
        </c:ser>
        <c:ser>
          <c:idx val="2"/>
          <c:order val="2"/>
          <c:tx>
            <c:strRef>
              <c:f>'Cost and clients '!$P$63</c:f>
              <c:strCache>
                <c:ptCount val="1"/>
                <c:pt idx="0">
                  <c:v>2023-2024</c:v>
                </c:pt>
              </c:strCache>
            </c:strRef>
          </c:tx>
          <c:spPr>
            <a:solidFill>
              <a:schemeClr val="accent3"/>
            </a:solidFill>
            <a:ln>
              <a:noFill/>
            </a:ln>
            <a:effectLst/>
          </c:spPr>
          <c:invertIfNegative val="0"/>
          <c:cat>
            <c:strRef>
              <c:f>'Cost and clients '!$Q$60:$T$60</c:f>
              <c:strCache>
                <c:ptCount val="4"/>
                <c:pt idx="0">
                  <c:v>FARS</c:v>
                </c:pt>
                <c:pt idx="1">
                  <c:v>SFVS</c:v>
                </c:pt>
                <c:pt idx="2">
                  <c:v>MBCP</c:v>
                </c:pt>
                <c:pt idx="3">
                  <c:v>CSC</c:v>
                </c:pt>
              </c:strCache>
            </c:strRef>
          </c:cat>
          <c:val>
            <c:numRef>
              <c:f>'Cost and clients '!$Q$63:$T$63</c:f>
              <c:numCache>
                <c:formatCode>"$"#,##0</c:formatCode>
                <c:ptCount val="4"/>
                <c:pt idx="0">
                  <c:v>1019.732362652052</c:v>
                </c:pt>
                <c:pt idx="1">
                  <c:v>1280.2044910798122</c:v>
                </c:pt>
                <c:pt idx="2">
                  <c:v>1991.5681969089871</c:v>
                </c:pt>
                <c:pt idx="3">
                  <c:v>2660.7318699623861</c:v>
                </c:pt>
              </c:numCache>
            </c:numRef>
          </c:val>
          <c:extLst>
            <c:ext xmlns:c16="http://schemas.microsoft.com/office/drawing/2014/chart" uri="{C3380CC4-5D6E-409C-BE32-E72D297353CC}">
              <c16:uniqueId val="{00000002-6BB1-415B-A48E-0632E476A2C9}"/>
            </c:ext>
          </c:extLst>
        </c:ser>
        <c:dLbls>
          <c:showLegendKey val="0"/>
          <c:showVal val="0"/>
          <c:showCatName val="0"/>
          <c:showSerName val="0"/>
          <c:showPercent val="0"/>
          <c:showBubbleSize val="0"/>
        </c:dLbls>
        <c:gapWidth val="219"/>
        <c:overlap val="-27"/>
        <c:axId val="310141311"/>
        <c:axId val="310142271"/>
      </c:barChart>
      <c:catAx>
        <c:axId val="310141311"/>
        <c:scaling>
          <c:orientation val="minMax"/>
        </c:scaling>
        <c:delete val="0"/>
        <c:axPos val="b"/>
        <c:numFmt formatCode="General" sourceLinked="1"/>
        <c:majorTickMark val="none"/>
        <c:minorTickMark val="none"/>
        <c:tickLblPos val="nextTo"/>
        <c:spPr>
          <a:noFill/>
          <a:ln w="6350" cap="flat" cmpd="sng" algn="ctr">
            <a:solidFill>
              <a:schemeClr val="accent2"/>
            </a:solidFill>
            <a:prstDash val="solid"/>
            <a:miter lim="800000"/>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310142271"/>
        <c:crosses val="autoZero"/>
        <c:auto val="1"/>
        <c:lblAlgn val="ctr"/>
        <c:lblOffset val="100"/>
        <c:noMultiLvlLbl val="0"/>
      </c:catAx>
      <c:valAx>
        <c:axId val="310142271"/>
        <c:scaling>
          <c:orientation val="minMax"/>
        </c:scaling>
        <c:delete val="0"/>
        <c:axPos val="l"/>
        <c:majorGridlines>
          <c:spPr>
            <a:ln w="6350" cap="flat" cmpd="sng" algn="ctr">
              <a:solidFill>
                <a:schemeClr val="accent4"/>
              </a:solidFill>
              <a:prstDash val="solid"/>
              <a:miter lim="800000"/>
            </a:ln>
            <a:effectLst/>
          </c:spPr>
        </c:majorGridlines>
        <c:numFmt formatCode="&quot;$&quot;#,##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31014131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'Cost and clients '!$J$61</c:f>
              <c:strCache>
                <c:ptCount val="1"/>
                <c:pt idx="0">
                  <c:v>2021-2022</c:v>
                </c:pt>
              </c:strCache>
            </c:strRef>
          </c:tx>
          <c:spPr>
            <a:solidFill>
              <a:schemeClr val="accent1"/>
            </a:solidFill>
            <a:ln>
              <a:noFill/>
            </a:ln>
            <a:effectLst/>
          </c:spPr>
          <c:invertIfNegative val="0"/>
          <c:cat>
            <c:strRef>
              <c:f>'Cost and clients '!$K$60:$N$60</c:f>
              <c:strCache>
                <c:ptCount val="4"/>
                <c:pt idx="0">
                  <c:v>FARS</c:v>
                </c:pt>
                <c:pt idx="1">
                  <c:v>SFVS</c:v>
                </c:pt>
                <c:pt idx="2">
                  <c:v>MBCP</c:v>
                </c:pt>
                <c:pt idx="3">
                  <c:v>CSC</c:v>
                </c:pt>
              </c:strCache>
            </c:strRef>
          </c:cat>
          <c:val>
            <c:numRef>
              <c:f>'Cost and clients '!$K$61:$N$61</c:f>
              <c:numCache>
                <c:formatCode>"$"#,##0</c:formatCode>
                <c:ptCount val="4"/>
                <c:pt idx="0">
                  <c:v>298.88526146020268</c:v>
                </c:pt>
                <c:pt idx="1">
                  <c:v>122.81969311699666</c:v>
                </c:pt>
                <c:pt idx="2">
                  <c:v>271.33933141210372</c:v>
                </c:pt>
                <c:pt idx="3">
                  <c:v>208.58338334232775</c:v>
                </c:pt>
              </c:numCache>
            </c:numRef>
          </c:val>
          <c:extLst>
            <c:ext xmlns:c16="http://schemas.microsoft.com/office/drawing/2014/chart" uri="{C3380CC4-5D6E-409C-BE32-E72D297353CC}">
              <c16:uniqueId val="{00000000-1202-4E09-8CF3-674AE090EF33}"/>
            </c:ext>
          </c:extLst>
        </c:ser>
        <c:ser>
          <c:idx val="1"/>
          <c:order val="1"/>
          <c:tx>
            <c:strRef>
              <c:f>'Cost and clients '!$J$62</c:f>
              <c:strCache>
                <c:ptCount val="1"/>
                <c:pt idx="0">
                  <c:v>2022-2023</c:v>
                </c:pt>
              </c:strCache>
            </c:strRef>
          </c:tx>
          <c:spPr>
            <a:solidFill>
              <a:schemeClr val="accent2"/>
            </a:solidFill>
            <a:ln>
              <a:noFill/>
            </a:ln>
            <a:effectLst/>
          </c:spPr>
          <c:invertIfNegative val="0"/>
          <c:cat>
            <c:strRef>
              <c:f>'Cost and clients '!$K$60:$N$60</c:f>
              <c:strCache>
                <c:ptCount val="4"/>
                <c:pt idx="0">
                  <c:v>FARS</c:v>
                </c:pt>
                <c:pt idx="1">
                  <c:v>SFVS</c:v>
                </c:pt>
                <c:pt idx="2">
                  <c:v>MBCP</c:v>
                </c:pt>
                <c:pt idx="3">
                  <c:v>CSC</c:v>
                </c:pt>
              </c:strCache>
            </c:strRef>
          </c:cat>
          <c:val>
            <c:numRef>
              <c:f>'Cost and clients '!$K$62:$N$62</c:f>
              <c:numCache>
                <c:formatCode>"$"#,##0</c:formatCode>
                <c:ptCount val="4"/>
                <c:pt idx="0">
                  <c:v>330.40358167617364</c:v>
                </c:pt>
                <c:pt idx="1">
                  <c:v>338.01925671438318</c:v>
                </c:pt>
                <c:pt idx="2">
                  <c:v>578.48121272763649</c:v>
                </c:pt>
                <c:pt idx="3">
                  <c:v>679.1082699815139</c:v>
                </c:pt>
              </c:numCache>
            </c:numRef>
          </c:val>
          <c:extLst>
            <c:ext xmlns:c16="http://schemas.microsoft.com/office/drawing/2014/chart" uri="{C3380CC4-5D6E-409C-BE32-E72D297353CC}">
              <c16:uniqueId val="{00000001-1202-4E09-8CF3-674AE090EF33}"/>
            </c:ext>
          </c:extLst>
        </c:ser>
        <c:ser>
          <c:idx val="2"/>
          <c:order val="2"/>
          <c:tx>
            <c:strRef>
              <c:f>'Cost and clients '!$J$63</c:f>
              <c:strCache>
                <c:ptCount val="1"/>
                <c:pt idx="0">
                  <c:v>2023-2024</c:v>
                </c:pt>
              </c:strCache>
            </c:strRef>
          </c:tx>
          <c:spPr>
            <a:solidFill>
              <a:schemeClr val="accent3"/>
            </a:solidFill>
            <a:ln>
              <a:noFill/>
            </a:ln>
            <a:effectLst/>
          </c:spPr>
          <c:invertIfNegative val="0"/>
          <c:cat>
            <c:strRef>
              <c:f>'Cost and clients '!$K$60:$N$60</c:f>
              <c:strCache>
                <c:ptCount val="4"/>
                <c:pt idx="0">
                  <c:v>FARS</c:v>
                </c:pt>
                <c:pt idx="1">
                  <c:v>SFVS</c:v>
                </c:pt>
                <c:pt idx="2">
                  <c:v>MBCP</c:v>
                </c:pt>
                <c:pt idx="3">
                  <c:v>CSC</c:v>
                </c:pt>
              </c:strCache>
            </c:strRef>
          </c:cat>
          <c:val>
            <c:numRef>
              <c:f>'Cost and clients '!$K$63:$N$63</c:f>
              <c:numCache>
                <c:formatCode>"$"#,##0</c:formatCode>
                <c:ptCount val="4"/>
                <c:pt idx="0">
                  <c:v>312.60236256287504</c:v>
                </c:pt>
                <c:pt idx="1">
                  <c:v>367.36932692048606</c:v>
                </c:pt>
                <c:pt idx="2">
                  <c:v>502.05911111111118</c:v>
                </c:pt>
                <c:pt idx="3">
                  <c:v>655.35991968440794</c:v>
                </c:pt>
              </c:numCache>
            </c:numRef>
          </c:val>
          <c:extLst>
            <c:ext xmlns:c16="http://schemas.microsoft.com/office/drawing/2014/chart" uri="{C3380CC4-5D6E-409C-BE32-E72D297353CC}">
              <c16:uniqueId val="{00000002-1202-4E09-8CF3-674AE090EF33}"/>
            </c:ext>
          </c:extLst>
        </c:ser>
        <c:dLbls>
          <c:showLegendKey val="0"/>
          <c:showVal val="0"/>
          <c:showCatName val="0"/>
          <c:showSerName val="0"/>
          <c:showPercent val="0"/>
          <c:showBubbleSize val="0"/>
        </c:dLbls>
        <c:gapWidth val="219"/>
        <c:overlap val="-27"/>
        <c:axId val="136228031"/>
        <c:axId val="136237631"/>
      </c:barChart>
      <c:catAx>
        <c:axId val="136228031"/>
        <c:scaling>
          <c:orientation val="minMax"/>
        </c:scaling>
        <c:delete val="0"/>
        <c:axPos val="b"/>
        <c:numFmt formatCode="General" sourceLinked="1"/>
        <c:majorTickMark val="none"/>
        <c:minorTickMark val="none"/>
        <c:tickLblPos val="nextTo"/>
        <c:spPr>
          <a:noFill/>
          <a:ln w="6350" cap="flat" cmpd="sng" algn="ctr">
            <a:solidFill>
              <a:schemeClr val="accent2"/>
            </a:solidFill>
            <a:prstDash val="solid"/>
            <a:miter lim="800000"/>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36237631"/>
        <c:crosses val="autoZero"/>
        <c:auto val="1"/>
        <c:lblAlgn val="ctr"/>
        <c:lblOffset val="100"/>
        <c:noMultiLvlLbl val="0"/>
      </c:catAx>
      <c:valAx>
        <c:axId val="136237631"/>
        <c:scaling>
          <c:orientation val="minMax"/>
        </c:scaling>
        <c:delete val="0"/>
        <c:axPos val="l"/>
        <c:majorGridlines>
          <c:spPr>
            <a:ln w="6350" cap="flat" cmpd="sng" algn="ctr">
              <a:solidFill>
                <a:schemeClr val="accent4"/>
              </a:solidFill>
              <a:prstDash val="solid"/>
              <a:miter lim="800000"/>
            </a:ln>
            <a:effectLst/>
          </c:spPr>
        </c:majorGridlines>
        <c:numFmt formatCode="&quot;$&quot;#,##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3622803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51657863960154737"/>
          <c:y val="0.15643174603174603"/>
          <c:w val="0.45597752570068617"/>
          <c:h val="0.63640079365079361"/>
        </c:manualLayout>
      </c:layout>
      <c:barChart>
        <c:barDir val="bar"/>
        <c:grouping val="stacked"/>
        <c:varyColors val="0"/>
        <c:ser>
          <c:idx val="0"/>
          <c:order val="0"/>
          <c:tx>
            <c:strRef>
              <c:f>Sheet1!$E$1</c:f>
              <c:strCache>
                <c:ptCount val="1"/>
                <c:pt idx="0">
                  <c:v>Earliest SCORE (mean)</c:v>
                </c:pt>
              </c:strCache>
            </c:strRef>
          </c:tx>
          <c:spPr>
            <a:solidFill>
              <a:srgbClr val="007E00"/>
            </a:solidFill>
            <a:ln>
              <a:noFill/>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Sheet1!$D$14:$D$22</c:f>
              <c:strCache>
                <c:ptCount val="9"/>
                <c:pt idx="0">
                  <c:v>Goals - Changed skills</c:v>
                </c:pt>
                <c:pt idx="1">
                  <c:v>Goals - Changed knowledge and access to information</c:v>
                </c:pt>
                <c:pt idx="2">
                  <c:v>Goals - Changed impact of immediate crisis</c:v>
                </c:pt>
                <c:pt idx="3">
                  <c:v>Goals - Engagement with relevant support services</c:v>
                </c:pt>
                <c:pt idx="4">
                  <c:v>Goals - Empowerment, choice and control to make own decisions</c:v>
                </c:pt>
                <c:pt idx="5">
                  <c:v>Goals - Changed behaviours</c:v>
                </c:pt>
                <c:pt idx="6">
                  <c:v>Circumstances - Personal and family safety</c:v>
                </c:pt>
                <c:pt idx="7">
                  <c:v>Circumstances - Mental health, wellbeing and self-care</c:v>
                </c:pt>
                <c:pt idx="8">
                  <c:v>Circumstances - Family functioning</c:v>
                </c:pt>
              </c:strCache>
            </c:strRef>
          </c:cat>
          <c:val>
            <c:numRef>
              <c:f>Sheet1!$E$14:$E$22</c:f>
              <c:numCache>
                <c:formatCode>0.0</c:formatCode>
                <c:ptCount val="9"/>
                <c:pt idx="0">
                  <c:v>2.2869171349634452</c:v>
                </c:pt>
                <c:pt idx="1">
                  <c:v>2.3814577212862482</c:v>
                </c:pt>
                <c:pt idx="2">
                  <c:v>2.1578577082050829</c:v>
                </c:pt>
                <c:pt idx="3">
                  <c:v>2.485892863448568</c:v>
                </c:pt>
                <c:pt idx="4">
                  <c:v>2.4608426331055502</c:v>
                </c:pt>
                <c:pt idx="5">
                  <c:v>2.1730581054004938</c:v>
                </c:pt>
                <c:pt idx="6">
                  <c:v>3.2782953843228602</c:v>
                </c:pt>
                <c:pt idx="7">
                  <c:v>2.595633687653311</c:v>
                </c:pt>
                <c:pt idx="8">
                  <c:v>2.4575111298279388</c:v>
                </c:pt>
              </c:numCache>
            </c:numRef>
          </c:val>
          <c:extLst>
            <c:ext xmlns:c16="http://schemas.microsoft.com/office/drawing/2014/chart" uri="{C3380CC4-5D6E-409C-BE32-E72D297353CC}">
              <c16:uniqueId val="{00000000-F816-4D90-822C-F14021490508}"/>
            </c:ext>
          </c:extLst>
        </c:ser>
        <c:ser>
          <c:idx val="1"/>
          <c:order val="1"/>
          <c:tx>
            <c:strRef>
              <c:f>Sheet1!$F$1</c:f>
              <c:strCache>
                <c:ptCount val="1"/>
                <c:pt idx="0">
                  <c:v>Latest SCORE (mean change)</c:v>
                </c:pt>
              </c:strCache>
            </c:strRef>
          </c:tx>
          <c:spPr>
            <a:solidFill>
              <a:srgbClr val="78B800"/>
            </a:solidFill>
            <a:ln>
              <a:noFill/>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Sheet1!$D$14:$D$22</c:f>
              <c:strCache>
                <c:ptCount val="9"/>
                <c:pt idx="0">
                  <c:v>Goals - Changed skills</c:v>
                </c:pt>
                <c:pt idx="1">
                  <c:v>Goals - Changed knowledge and access to information</c:v>
                </c:pt>
                <c:pt idx="2">
                  <c:v>Goals - Changed impact of immediate crisis</c:v>
                </c:pt>
                <c:pt idx="3">
                  <c:v>Goals - Engagement with relevant support services</c:v>
                </c:pt>
                <c:pt idx="4">
                  <c:v>Goals - Empowerment, choice and control to make own decisions</c:v>
                </c:pt>
                <c:pt idx="5">
                  <c:v>Goals - Changed behaviours</c:v>
                </c:pt>
                <c:pt idx="6">
                  <c:v>Circumstances - Personal and family safety</c:v>
                </c:pt>
                <c:pt idx="7">
                  <c:v>Circumstances - Mental health, wellbeing and self-care</c:v>
                </c:pt>
                <c:pt idx="8">
                  <c:v>Circumstances - Family functioning</c:v>
                </c:pt>
              </c:strCache>
            </c:strRef>
          </c:cat>
          <c:val>
            <c:numRef>
              <c:f>Sheet1!$F$14:$F$22</c:f>
              <c:numCache>
                <c:formatCode>0.0</c:formatCode>
                <c:ptCount val="9"/>
                <c:pt idx="0">
                  <c:v>1.0269325464694501</c:v>
                </c:pt>
                <c:pt idx="1">
                  <c:v>1.146071906788976</c:v>
                </c:pt>
                <c:pt idx="2">
                  <c:v>1.0865359247207811</c:v>
                </c:pt>
                <c:pt idx="3">
                  <c:v>0.9410643031180479</c:v>
                </c:pt>
                <c:pt idx="4">
                  <c:v>0.96189961162184767</c:v>
                </c:pt>
                <c:pt idx="5">
                  <c:v>1.0554727179534971</c:v>
                </c:pt>
                <c:pt idx="6">
                  <c:v>0.56051243047963117</c:v>
                </c:pt>
                <c:pt idx="7">
                  <c:v>0.79635322976287837</c:v>
                </c:pt>
                <c:pt idx="8">
                  <c:v>0.8038894236553964</c:v>
                </c:pt>
              </c:numCache>
            </c:numRef>
          </c:val>
          <c:extLst>
            <c:ext xmlns:c16="http://schemas.microsoft.com/office/drawing/2014/chart" uri="{C3380CC4-5D6E-409C-BE32-E72D297353CC}">
              <c16:uniqueId val="{00000001-F816-4D90-822C-F14021490508}"/>
            </c:ext>
          </c:extLst>
        </c:ser>
        <c:dLbls>
          <c:showLegendKey val="0"/>
          <c:showVal val="0"/>
          <c:showCatName val="0"/>
          <c:showSerName val="0"/>
          <c:showPercent val="0"/>
          <c:showBubbleSize val="0"/>
        </c:dLbls>
        <c:gapWidth val="150"/>
        <c:overlap val="100"/>
        <c:axId val="2106384927"/>
        <c:axId val="2106377247"/>
      </c:barChart>
      <c:catAx>
        <c:axId val="2106384927"/>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106377247"/>
        <c:crosses val="autoZero"/>
        <c:auto val="1"/>
        <c:lblAlgn val="ctr"/>
        <c:lblOffset val="100"/>
        <c:noMultiLvlLbl val="0"/>
      </c:catAx>
      <c:valAx>
        <c:axId val="2106377247"/>
        <c:scaling>
          <c:orientation val="minMax"/>
          <c:max val="5"/>
          <c:min val="0"/>
        </c:scaling>
        <c:delete val="0"/>
        <c:axPos val="b"/>
        <c:majorGridlines>
          <c:spPr>
            <a:ln w="6350" cap="flat" cmpd="sng" algn="ctr">
              <a:solidFill>
                <a:schemeClr val="accent4"/>
              </a:solidFill>
              <a:prstDash val="solid"/>
              <a:miter lim="800000"/>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106384927"/>
        <c:crosses val="autoZero"/>
        <c:crossBetween val="between"/>
        <c:majorUnit val="1"/>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800">
          <a:solidFill>
            <a:sysClr val="windowText" lastClr="000000"/>
          </a:solidFill>
          <a:latin typeface="Arial" panose="020B0604020202020204" pitchFamily="34" charset="0"/>
          <a:cs typeface="Arial" panose="020B0604020202020204" pitchFamily="34" charset="0"/>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Allen + Clarke">
      <a:dk1>
        <a:srgbClr val="FFFFFF"/>
      </a:dk1>
      <a:lt1>
        <a:srgbClr val="FFFFFF"/>
      </a:lt1>
      <a:dk2>
        <a:srgbClr val="EBECED"/>
      </a:dk2>
      <a:lt2>
        <a:srgbClr val="36424A"/>
      </a:lt2>
      <a:accent1>
        <a:srgbClr val="78B800"/>
      </a:accent1>
      <a:accent2>
        <a:srgbClr val="36424A"/>
      </a:accent2>
      <a:accent3>
        <a:srgbClr val="007E00"/>
      </a:accent3>
      <a:accent4>
        <a:srgbClr val="EBECED"/>
      </a:accent4>
      <a:accent5>
        <a:srgbClr val="D1E3B0"/>
      </a:accent5>
      <a:accent6>
        <a:srgbClr val="82C65C"/>
      </a:accent6>
      <a:hlink>
        <a:srgbClr val="00B0F0"/>
      </a:hlink>
      <a:folHlink>
        <a:srgbClr val="78B800"/>
      </a:folHlink>
    </a:clrScheme>
    <a:fontScheme name="Allen + Clarke">
      <a:majorFont>
        <a:latin typeface="Arial Black"/>
        <a:ea typeface=""/>
        <a:cs typeface=""/>
      </a:majorFont>
      <a:minorFont>
        <a:latin typeface="Arial"/>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Allen + Clarke">
    <a:dk1>
      <a:srgbClr val="FFFFFF"/>
    </a:dk1>
    <a:lt1>
      <a:srgbClr val="FFFFFF"/>
    </a:lt1>
    <a:dk2>
      <a:srgbClr val="EBECED"/>
    </a:dk2>
    <a:lt2>
      <a:srgbClr val="36424A"/>
    </a:lt2>
    <a:accent1>
      <a:srgbClr val="78B800"/>
    </a:accent1>
    <a:accent2>
      <a:srgbClr val="36424A"/>
    </a:accent2>
    <a:accent3>
      <a:srgbClr val="007E00"/>
    </a:accent3>
    <a:accent4>
      <a:srgbClr val="EBECED"/>
    </a:accent4>
    <a:accent5>
      <a:srgbClr val="D1E3B0"/>
    </a:accent5>
    <a:accent6>
      <a:srgbClr val="82C65C"/>
    </a:accent6>
    <a:hlink>
      <a:srgbClr val="00B0F0"/>
    </a:hlink>
    <a:folHlink>
      <a:srgbClr val="78B800"/>
    </a:folHlink>
  </a:clrScheme>
  <a:fontScheme name="Allen + Clarke">
    <a:majorFont>
      <a:latin typeface="Arial Black"/>
      <a:ea typeface=""/>
      <a:cs typeface=""/>
    </a:majorFont>
    <a:minorFont>
      <a:latin typeface="Arial"/>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Narrow"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FD7353F-FAB5-4711-9D80-6752E9A7AAF7}">
  <ds:schemaRefs>
    <ds:schemaRef ds:uri="http://schemas.openxmlformats.org/officeDocument/2006/bibliography"/>
  </ds:schemaRefs>
</ds:datastoreItem>
</file>

<file path=docMetadata/LabelInfo.xml><?xml version="1.0" encoding="utf-8"?>
<clbl:labelList xmlns:clbl="http://schemas.microsoft.com/office/2020/mipLabelMetadata">
  <clbl:label id="{f4d2c746-782d-4a39-9317-b5845e0e19fe}" enabled="0" method="" siteId="{f4d2c746-782d-4a39-9317-b5845e0e19fe}" removed="1"/>
</clbl:labelList>
</file>

<file path=docProps/app.xml><?xml version="1.0" encoding="utf-8"?>
<Properties xmlns="http://schemas.openxmlformats.org/officeDocument/2006/extended-properties" xmlns:vt="http://schemas.openxmlformats.org/officeDocument/2006/docPropsVTypes">
  <Template>Normal.dotm</Template>
  <TotalTime>0</TotalTime>
  <Pages>320</Pages>
  <Words>87635</Words>
  <Characters>1157202</Characters>
  <Application>Microsoft Office Word</Application>
  <DocSecurity>0</DocSecurity>
  <Lines>9643</Lines>
  <Paragraphs>2484</Paragraphs>
  <ScaleCrop>false</ScaleCrop>
  <HeadingPairs>
    <vt:vector size="2" baseType="variant">
      <vt:variant>
        <vt:lpstr>Title</vt:lpstr>
      </vt:variant>
      <vt:variant>
        <vt:i4>1</vt:i4>
      </vt:variant>
    </vt:vector>
  </HeadingPairs>
  <TitlesOfParts>
    <vt:vector size="1" baseType="lpstr">
      <vt:lpstr>Evaluation of Family and Relationship Services and Specialised Family Violence Services</vt:lpstr>
    </vt:vector>
  </TitlesOfParts>
  <Company/>
  <LinksUpToDate>false</LinksUpToDate>
  <CharactersWithSpaces>1242353</CharactersWithSpaces>
  <SharedDoc>false</SharedDoc>
  <HLinks>
    <vt:vector size="486" baseType="variant">
      <vt:variant>
        <vt:i4>7274569</vt:i4>
      </vt:variant>
      <vt:variant>
        <vt:i4>2040</vt:i4>
      </vt:variant>
      <vt:variant>
        <vt:i4>0</vt:i4>
      </vt:variant>
      <vt:variant>
        <vt:i4>5</vt:i4>
      </vt:variant>
      <vt:variant>
        <vt:lpwstr/>
      </vt:variant>
      <vt:variant>
        <vt:lpwstr>Appendix_F</vt:lpwstr>
      </vt:variant>
      <vt:variant>
        <vt:i4>7274569</vt:i4>
      </vt:variant>
      <vt:variant>
        <vt:i4>1764</vt:i4>
      </vt:variant>
      <vt:variant>
        <vt:i4>0</vt:i4>
      </vt:variant>
      <vt:variant>
        <vt:i4>5</vt:i4>
      </vt:variant>
      <vt:variant>
        <vt:lpwstr/>
      </vt:variant>
      <vt:variant>
        <vt:lpwstr>Appendix_F</vt:lpwstr>
      </vt:variant>
      <vt:variant>
        <vt:i4>7274569</vt:i4>
      </vt:variant>
      <vt:variant>
        <vt:i4>1731</vt:i4>
      </vt:variant>
      <vt:variant>
        <vt:i4>0</vt:i4>
      </vt:variant>
      <vt:variant>
        <vt:i4>5</vt:i4>
      </vt:variant>
      <vt:variant>
        <vt:lpwstr/>
      </vt:variant>
      <vt:variant>
        <vt:lpwstr>Appendix_F</vt:lpwstr>
      </vt:variant>
      <vt:variant>
        <vt:i4>7274569</vt:i4>
      </vt:variant>
      <vt:variant>
        <vt:i4>1632</vt:i4>
      </vt:variant>
      <vt:variant>
        <vt:i4>0</vt:i4>
      </vt:variant>
      <vt:variant>
        <vt:i4>5</vt:i4>
      </vt:variant>
      <vt:variant>
        <vt:lpwstr/>
      </vt:variant>
      <vt:variant>
        <vt:lpwstr>Appendix_F</vt:lpwstr>
      </vt:variant>
      <vt:variant>
        <vt:i4>6422576</vt:i4>
      </vt:variant>
      <vt:variant>
        <vt:i4>1584</vt:i4>
      </vt:variant>
      <vt:variant>
        <vt:i4>0</vt:i4>
      </vt:variant>
      <vt:variant>
        <vt:i4>5</vt:i4>
      </vt:variant>
      <vt:variant>
        <vt:lpwstr>https://www.dss.gov.au/national-plan-end-gender-based-violence/resource/aboriginal-and-torres-strait-islander-action-plan-2023-2025</vt:lpwstr>
      </vt:variant>
      <vt:variant>
        <vt:lpwstr/>
      </vt:variant>
      <vt:variant>
        <vt:i4>6422576</vt:i4>
      </vt:variant>
      <vt:variant>
        <vt:i4>1545</vt:i4>
      </vt:variant>
      <vt:variant>
        <vt:i4>0</vt:i4>
      </vt:variant>
      <vt:variant>
        <vt:i4>5</vt:i4>
      </vt:variant>
      <vt:variant>
        <vt:lpwstr>https://www.dss.gov.au/national-plan-end-gender-based-violence/resource/aboriginal-and-torres-strait-islander-action-plan-2023-2025</vt:lpwstr>
      </vt:variant>
      <vt:variant>
        <vt:lpwstr/>
      </vt:variant>
      <vt:variant>
        <vt:i4>6422576</vt:i4>
      </vt:variant>
      <vt:variant>
        <vt:i4>1518</vt:i4>
      </vt:variant>
      <vt:variant>
        <vt:i4>0</vt:i4>
      </vt:variant>
      <vt:variant>
        <vt:i4>5</vt:i4>
      </vt:variant>
      <vt:variant>
        <vt:lpwstr>https://www.dss.gov.au/national-plan-end-gender-based-violence/resource/aboriginal-and-torres-strait-islander-action-plan-2023-2025</vt:lpwstr>
      </vt:variant>
      <vt:variant>
        <vt:lpwstr/>
      </vt:variant>
      <vt:variant>
        <vt:i4>4194394</vt:i4>
      </vt:variant>
      <vt:variant>
        <vt:i4>1515</vt:i4>
      </vt:variant>
      <vt:variant>
        <vt:i4>0</vt:i4>
      </vt:variant>
      <vt:variant>
        <vt:i4>5</vt:i4>
      </vt:variant>
      <vt:variant>
        <vt:lpwstr>https://www.closingthegap.gov.au/node/26</vt:lpwstr>
      </vt:variant>
      <vt:variant>
        <vt:lpwstr/>
      </vt:variant>
      <vt:variant>
        <vt:i4>7340143</vt:i4>
      </vt:variant>
      <vt:variant>
        <vt:i4>1470</vt:i4>
      </vt:variant>
      <vt:variant>
        <vt:i4>0</vt:i4>
      </vt:variant>
      <vt:variant>
        <vt:i4>5</vt:i4>
      </vt:variant>
      <vt:variant>
        <vt:lpwstr>https://www.dss.gov.au/national-plan-end-gender-based-violence/resource/national-plan-end-violence-against-women-and-children-2022-2032</vt:lpwstr>
      </vt:variant>
      <vt:variant>
        <vt:lpwstr/>
      </vt:variant>
      <vt:variant>
        <vt:i4>6422576</vt:i4>
      </vt:variant>
      <vt:variant>
        <vt:i4>1467</vt:i4>
      </vt:variant>
      <vt:variant>
        <vt:i4>0</vt:i4>
      </vt:variant>
      <vt:variant>
        <vt:i4>5</vt:i4>
      </vt:variant>
      <vt:variant>
        <vt:lpwstr>https://www.dss.gov.au/national-plan-end-gender-based-violence/resource/aboriginal-and-torres-strait-islander-action-plan-2023-2025</vt:lpwstr>
      </vt:variant>
      <vt:variant>
        <vt:lpwstr/>
      </vt:variant>
      <vt:variant>
        <vt:i4>4194394</vt:i4>
      </vt:variant>
      <vt:variant>
        <vt:i4>1464</vt:i4>
      </vt:variant>
      <vt:variant>
        <vt:i4>0</vt:i4>
      </vt:variant>
      <vt:variant>
        <vt:i4>5</vt:i4>
      </vt:variant>
      <vt:variant>
        <vt:lpwstr>https://www.closingthegap.gov.au/node/26</vt:lpwstr>
      </vt:variant>
      <vt:variant>
        <vt:lpwstr/>
      </vt:variant>
      <vt:variant>
        <vt:i4>7274569</vt:i4>
      </vt:variant>
      <vt:variant>
        <vt:i4>1365</vt:i4>
      </vt:variant>
      <vt:variant>
        <vt:i4>0</vt:i4>
      </vt:variant>
      <vt:variant>
        <vt:i4>5</vt:i4>
      </vt:variant>
      <vt:variant>
        <vt:lpwstr/>
      </vt:variant>
      <vt:variant>
        <vt:lpwstr>Appendix_F</vt:lpwstr>
      </vt:variant>
      <vt:variant>
        <vt:i4>5439514</vt:i4>
      </vt:variant>
      <vt:variant>
        <vt:i4>1209</vt:i4>
      </vt:variant>
      <vt:variant>
        <vt:i4>0</vt:i4>
      </vt:variant>
      <vt:variant>
        <vt:i4>5</vt:i4>
      </vt:variant>
      <vt:variant>
        <vt:lpwstr/>
      </vt:variant>
      <vt:variant>
        <vt:lpwstr>KEQ6</vt:lpwstr>
      </vt:variant>
      <vt:variant>
        <vt:i4>5242906</vt:i4>
      </vt:variant>
      <vt:variant>
        <vt:i4>1206</vt:i4>
      </vt:variant>
      <vt:variant>
        <vt:i4>0</vt:i4>
      </vt:variant>
      <vt:variant>
        <vt:i4>5</vt:i4>
      </vt:variant>
      <vt:variant>
        <vt:lpwstr/>
      </vt:variant>
      <vt:variant>
        <vt:lpwstr>KEQ5</vt:lpwstr>
      </vt:variant>
      <vt:variant>
        <vt:i4>5308442</vt:i4>
      </vt:variant>
      <vt:variant>
        <vt:i4>1203</vt:i4>
      </vt:variant>
      <vt:variant>
        <vt:i4>0</vt:i4>
      </vt:variant>
      <vt:variant>
        <vt:i4>5</vt:i4>
      </vt:variant>
      <vt:variant>
        <vt:lpwstr/>
      </vt:variant>
      <vt:variant>
        <vt:lpwstr>KEQ4</vt:lpwstr>
      </vt:variant>
      <vt:variant>
        <vt:i4>5636122</vt:i4>
      </vt:variant>
      <vt:variant>
        <vt:i4>1200</vt:i4>
      </vt:variant>
      <vt:variant>
        <vt:i4>0</vt:i4>
      </vt:variant>
      <vt:variant>
        <vt:i4>5</vt:i4>
      </vt:variant>
      <vt:variant>
        <vt:lpwstr/>
      </vt:variant>
      <vt:variant>
        <vt:lpwstr>KEQ3</vt:lpwstr>
      </vt:variant>
      <vt:variant>
        <vt:i4>7274569</vt:i4>
      </vt:variant>
      <vt:variant>
        <vt:i4>1143</vt:i4>
      </vt:variant>
      <vt:variant>
        <vt:i4>0</vt:i4>
      </vt:variant>
      <vt:variant>
        <vt:i4>5</vt:i4>
      </vt:variant>
      <vt:variant>
        <vt:lpwstr/>
      </vt:variant>
      <vt:variant>
        <vt:lpwstr>Appendix_F</vt:lpwstr>
      </vt:variant>
      <vt:variant>
        <vt:i4>7012446</vt:i4>
      </vt:variant>
      <vt:variant>
        <vt:i4>996</vt:i4>
      </vt:variant>
      <vt:variant>
        <vt:i4>0</vt:i4>
      </vt:variant>
      <vt:variant>
        <vt:i4>5</vt:i4>
      </vt:variant>
      <vt:variant>
        <vt:lpwstr/>
      </vt:variant>
      <vt:variant>
        <vt:lpwstr>_Factors_affecting_achievement</vt:lpwstr>
      </vt:variant>
      <vt:variant>
        <vt:i4>3276805</vt:i4>
      </vt:variant>
      <vt:variant>
        <vt:i4>993</vt:i4>
      </vt:variant>
      <vt:variant>
        <vt:i4>0</vt:i4>
      </vt:variant>
      <vt:variant>
        <vt:i4>5</vt:i4>
      </vt:variant>
      <vt:variant>
        <vt:lpwstr/>
      </vt:variant>
      <vt:variant>
        <vt:lpwstr>_Achievement_of_short</vt:lpwstr>
      </vt:variant>
      <vt:variant>
        <vt:i4>7012425</vt:i4>
      </vt:variant>
      <vt:variant>
        <vt:i4>987</vt:i4>
      </vt:variant>
      <vt:variant>
        <vt:i4>0</vt:i4>
      </vt:variant>
      <vt:variant>
        <vt:i4>5</vt:i4>
      </vt:variant>
      <vt:variant>
        <vt:lpwstr/>
      </vt:variant>
      <vt:variant>
        <vt:lpwstr>Appendix_B</vt:lpwstr>
      </vt:variant>
      <vt:variant>
        <vt:i4>7274569</vt:i4>
      </vt:variant>
      <vt:variant>
        <vt:i4>942</vt:i4>
      </vt:variant>
      <vt:variant>
        <vt:i4>0</vt:i4>
      </vt:variant>
      <vt:variant>
        <vt:i4>5</vt:i4>
      </vt:variant>
      <vt:variant>
        <vt:lpwstr/>
      </vt:variant>
      <vt:variant>
        <vt:lpwstr>Appendix_F</vt:lpwstr>
      </vt:variant>
      <vt:variant>
        <vt:i4>7012425</vt:i4>
      </vt:variant>
      <vt:variant>
        <vt:i4>936</vt:i4>
      </vt:variant>
      <vt:variant>
        <vt:i4>0</vt:i4>
      </vt:variant>
      <vt:variant>
        <vt:i4>5</vt:i4>
      </vt:variant>
      <vt:variant>
        <vt:lpwstr/>
      </vt:variant>
      <vt:variant>
        <vt:lpwstr>Appendix_B</vt:lpwstr>
      </vt:variant>
      <vt:variant>
        <vt:i4>7012425</vt:i4>
      </vt:variant>
      <vt:variant>
        <vt:i4>741</vt:i4>
      </vt:variant>
      <vt:variant>
        <vt:i4>0</vt:i4>
      </vt:variant>
      <vt:variant>
        <vt:i4>5</vt:i4>
      </vt:variant>
      <vt:variant>
        <vt:lpwstr/>
      </vt:variant>
      <vt:variant>
        <vt:lpwstr>Appendix_B</vt:lpwstr>
      </vt:variant>
      <vt:variant>
        <vt:i4>5046385</vt:i4>
      </vt:variant>
      <vt:variant>
        <vt:i4>738</vt:i4>
      </vt:variant>
      <vt:variant>
        <vt:i4>0</vt:i4>
      </vt:variant>
      <vt:variant>
        <vt:i4>5</vt:i4>
      </vt:variant>
      <vt:variant>
        <vt:lpwstr/>
      </vt:variant>
      <vt:variant>
        <vt:lpwstr>_Sufficiency_of_funding</vt:lpwstr>
      </vt:variant>
      <vt:variant>
        <vt:i4>2883605</vt:i4>
      </vt:variant>
      <vt:variant>
        <vt:i4>735</vt:i4>
      </vt:variant>
      <vt:variant>
        <vt:i4>0</vt:i4>
      </vt:variant>
      <vt:variant>
        <vt:i4>5</vt:i4>
      </vt:variant>
      <vt:variant>
        <vt:lpwstr/>
      </vt:variant>
      <vt:variant>
        <vt:lpwstr>_Do_FaRS_and</vt:lpwstr>
      </vt:variant>
      <vt:variant>
        <vt:i4>7143497</vt:i4>
      </vt:variant>
      <vt:variant>
        <vt:i4>438</vt:i4>
      </vt:variant>
      <vt:variant>
        <vt:i4>0</vt:i4>
      </vt:variant>
      <vt:variant>
        <vt:i4>5</vt:i4>
      </vt:variant>
      <vt:variant>
        <vt:lpwstr/>
      </vt:variant>
      <vt:variant>
        <vt:lpwstr>Appendix_D</vt:lpwstr>
      </vt:variant>
      <vt:variant>
        <vt:i4>7274569</vt:i4>
      </vt:variant>
      <vt:variant>
        <vt:i4>420</vt:i4>
      </vt:variant>
      <vt:variant>
        <vt:i4>0</vt:i4>
      </vt:variant>
      <vt:variant>
        <vt:i4>5</vt:i4>
      </vt:variant>
      <vt:variant>
        <vt:lpwstr/>
      </vt:variant>
      <vt:variant>
        <vt:lpwstr>Appendix_F</vt:lpwstr>
      </vt:variant>
      <vt:variant>
        <vt:i4>7077961</vt:i4>
      </vt:variant>
      <vt:variant>
        <vt:i4>387</vt:i4>
      </vt:variant>
      <vt:variant>
        <vt:i4>0</vt:i4>
      </vt:variant>
      <vt:variant>
        <vt:i4>5</vt:i4>
      </vt:variant>
      <vt:variant>
        <vt:lpwstr/>
      </vt:variant>
      <vt:variant>
        <vt:lpwstr>Appendix_E</vt:lpwstr>
      </vt:variant>
      <vt:variant>
        <vt:i4>7143497</vt:i4>
      </vt:variant>
      <vt:variant>
        <vt:i4>378</vt:i4>
      </vt:variant>
      <vt:variant>
        <vt:i4>0</vt:i4>
      </vt:variant>
      <vt:variant>
        <vt:i4>5</vt:i4>
      </vt:variant>
      <vt:variant>
        <vt:lpwstr/>
      </vt:variant>
      <vt:variant>
        <vt:lpwstr>Appendix_D</vt:lpwstr>
      </vt:variant>
      <vt:variant>
        <vt:i4>6946889</vt:i4>
      </vt:variant>
      <vt:variant>
        <vt:i4>375</vt:i4>
      </vt:variant>
      <vt:variant>
        <vt:i4>0</vt:i4>
      </vt:variant>
      <vt:variant>
        <vt:i4>5</vt:i4>
      </vt:variant>
      <vt:variant>
        <vt:lpwstr/>
      </vt:variant>
      <vt:variant>
        <vt:lpwstr>Appendix_C</vt:lpwstr>
      </vt:variant>
      <vt:variant>
        <vt:i4>6946889</vt:i4>
      </vt:variant>
      <vt:variant>
        <vt:i4>369</vt:i4>
      </vt:variant>
      <vt:variant>
        <vt:i4>0</vt:i4>
      </vt:variant>
      <vt:variant>
        <vt:i4>5</vt:i4>
      </vt:variant>
      <vt:variant>
        <vt:lpwstr/>
      </vt:variant>
      <vt:variant>
        <vt:lpwstr>Appendix_C</vt:lpwstr>
      </vt:variant>
      <vt:variant>
        <vt:i4>3473475</vt:i4>
      </vt:variant>
      <vt:variant>
        <vt:i4>363</vt:i4>
      </vt:variant>
      <vt:variant>
        <vt:i4>0</vt:i4>
      </vt:variant>
      <vt:variant>
        <vt:i4>5</vt:i4>
      </vt:variant>
      <vt:variant>
        <vt:lpwstr>https://allenandclarke.sharepoint.com/australia/Work/CTH_DSS FaRS SFVS/04 Deliverables/Evaluation reports/Evaluation report/Draft report/Ethical conduct in research with Aboriginal and Torres Strait Islander peoples and communities: Guidelines for researchers and stakeholders 2018.</vt:lpwstr>
      </vt:variant>
      <vt:variant>
        <vt:lpwstr/>
      </vt:variant>
      <vt:variant>
        <vt:i4>4063281</vt:i4>
      </vt:variant>
      <vt:variant>
        <vt:i4>360</vt:i4>
      </vt:variant>
      <vt:variant>
        <vt:i4>0</vt:i4>
      </vt:variant>
      <vt:variant>
        <vt:i4>5</vt:i4>
      </vt:variant>
      <vt:variant>
        <vt:lpwstr>https://aiatsis.gov.au/sites/default/files/2020-10/aiatsis-code-ethics.pdf</vt:lpwstr>
      </vt:variant>
      <vt:variant>
        <vt:lpwstr/>
      </vt:variant>
      <vt:variant>
        <vt:i4>7798893</vt:i4>
      </vt:variant>
      <vt:variant>
        <vt:i4>357</vt:i4>
      </vt:variant>
      <vt:variant>
        <vt:i4>0</vt:i4>
      </vt:variant>
      <vt:variant>
        <vt:i4>5</vt:i4>
      </vt:variant>
      <vt:variant>
        <vt:lpwstr>https://www.nhmrc.gov.au/about-us/resources/ethical-conduct-research-aboriginal-and-torres-strait-islander-peoples-and-communities</vt:lpwstr>
      </vt:variant>
      <vt:variant>
        <vt:lpwstr/>
      </vt:variant>
      <vt:variant>
        <vt:i4>7012425</vt:i4>
      </vt:variant>
      <vt:variant>
        <vt:i4>345</vt:i4>
      </vt:variant>
      <vt:variant>
        <vt:i4>0</vt:i4>
      </vt:variant>
      <vt:variant>
        <vt:i4>5</vt:i4>
      </vt:variant>
      <vt:variant>
        <vt:lpwstr/>
      </vt:variant>
      <vt:variant>
        <vt:lpwstr>Appendix_B</vt:lpwstr>
      </vt:variant>
      <vt:variant>
        <vt:i4>7012475</vt:i4>
      </vt:variant>
      <vt:variant>
        <vt:i4>339</vt:i4>
      </vt:variant>
      <vt:variant>
        <vt:i4>0</vt:i4>
      </vt:variant>
      <vt:variant>
        <vt:i4>5</vt:i4>
      </vt:variant>
      <vt:variant>
        <vt:lpwstr>https://www.closingthegap.gov.au/national-agreement</vt:lpwstr>
      </vt:variant>
      <vt:variant>
        <vt:lpwstr/>
      </vt:variant>
      <vt:variant>
        <vt:i4>7274604</vt:i4>
      </vt:variant>
      <vt:variant>
        <vt:i4>333</vt:i4>
      </vt:variant>
      <vt:variant>
        <vt:i4>0</vt:i4>
      </vt:variant>
      <vt:variant>
        <vt:i4>5</vt:i4>
      </vt:variant>
      <vt:variant>
        <vt:lpwstr>https://www.health.gov.au/resources/publications/the-australian-governments-national-mental-health-and-suicide-prevention-plan?language=en</vt:lpwstr>
      </vt:variant>
      <vt:variant>
        <vt:lpwstr/>
      </vt:variant>
      <vt:variant>
        <vt:i4>131138</vt:i4>
      </vt:variant>
      <vt:variant>
        <vt:i4>327</vt:i4>
      </vt:variant>
      <vt:variant>
        <vt:i4>0</vt:i4>
      </vt:variant>
      <vt:variant>
        <vt:i4>5</vt:i4>
      </vt:variant>
      <vt:variant>
        <vt:lpwstr>https://www.dss.gov.au/australias-disability-strategy</vt:lpwstr>
      </vt:variant>
      <vt:variant>
        <vt:lpwstr/>
      </vt:variant>
      <vt:variant>
        <vt:i4>3997739</vt:i4>
      </vt:variant>
      <vt:variant>
        <vt:i4>321</vt:i4>
      </vt:variant>
      <vt:variant>
        <vt:i4>0</vt:i4>
      </vt:variant>
      <vt:variant>
        <vt:i4>5</vt:i4>
      </vt:variant>
      <vt:variant>
        <vt:lpwstr>https://www.dss.gov.au/child-protection/resource/national-framework-protecting-australias-children-2021-2031-0</vt:lpwstr>
      </vt:variant>
      <vt:variant>
        <vt:lpwstr/>
      </vt:variant>
      <vt:variant>
        <vt:i4>7340143</vt:i4>
      </vt:variant>
      <vt:variant>
        <vt:i4>315</vt:i4>
      </vt:variant>
      <vt:variant>
        <vt:i4>0</vt:i4>
      </vt:variant>
      <vt:variant>
        <vt:i4>5</vt:i4>
      </vt:variant>
      <vt:variant>
        <vt:lpwstr>https://www.dss.gov.au/national-plan-end-gender-based-violence/resource/national-plan-end-violence-against-women-and-children-2022-2032</vt:lpwstr>
      </vt:variant>
      <vt:variant>
        <vt:lpwstr/>
      </vt:variant>
      <vt:variant>
        <vt:i4>2031666</vt:i4>
      </vt:variant>
      <vt:variant>
        <vt:i4>236</vt:i4>
      </vt:variant>
      <vt:variant>
        <vt:i4>0</vt:i4>
      </vt:variant>
      <vt:variant>
        <vt:i4>5</vt:i4>
      </vt:variant>
      <vt:variant>
        <vt:lpwstr/>
      </vt:variant>
      <vt:variant>
        <vt:lpwstr>_Toc208906871</vt:lpwstr>
      </vt:variant>
      <vt:variant>
        <vt:i4>2031666</vt:i4>
      </vt:variant>
      <vt:variant>
        <vt:i4>230</vt:i4>
      </vt:variant>
      <vt:variant>
        <vt:i4>0</vt:i4>
      </vt:variant>
      <vt:variant>
        <vt:i4>5</vt:i4>
      </vt:variant>
      <vt:variant>
        <vt:lpwstr/>
      </vt:variant>
      <vt:variant>
        <vt:lpwstr>_Toc208906870</vt:lpwstr>
      </vt:variant>
      <vt:variant>
        <vt:i4>1966130</vt:i4>
      </vt:variant>
      <vt:variant>
        <vt:i4>224</vt:i4>
      </vt:variant>
      <vt:variant>
        <vt:i4>0</vt:i4>
      </vt:variant>
      <vt:variant>
        <vt:i4>5</vt:i4>
      </vt:variant>
      <vt:variant>
        <vt:lpwstr/>
      </vt:variant>
      <vt:variant>
        <vt:lpwstr>_Toc208906869</vt:lpwstr>
      </vt:variant>
      <vt:variant>
        <vt:i4>1966130</vt:i4>
      </vt:variant>
      <vt:variant>
        <vt:i4>218</vt:i4>
      </vt:variant>
      <vt:variant>
        <vt:i4>0</vt:i4>
      </vt:variant>
      <vt:variant>
        <vt:i4>5</vt:i4>
      </vt:variant>
      <vt:variant>
        <vt:lpwstr/>
      </vt:variant>
      <vt:variant>
        <vt:lpwstr>_Toc208906868</vt:lpwstr>
      </vt:variant>
      <vt:variant>
        <vt:i4>1966130</vt:i4>
      </vt:variant>
      <vt:variant>
        <vt:i4>212</vt:i4>
      </vt:variant>
      <vt:variant>
        <vt:i4>0</vt:i4>
      </vt:variant>
      <vt:variant>
        <vt:i4>5</vt:i4>
      </vt:variant>
      <vt:variant>
        <vt:lpwstr/>
      </vt:variant>
      <vt:variant>
        <vt:lpwstr>_Toc208906867</vt:lpwstr>
      </vt:variant>
      <vt:variant>
        <vt:i4>1966130</vt:i4>
      </vt:variant>
      <vt:variant>
        <vt:i4>206</vt:i4>
      </vt:variant>
      <vt:variant>
        <vt:i4>0</vt:i4>
      </vt:variant>
      <vt:variant>
        <vt:i4>5</vt:i4>
      </vt:variant>
      <vt:variant>
        <vt:lpwstr/>
      </vt:variant>
      <vt:variant>
        <vt:lpwstr>_Toc208906866</vt:lpwstr>
      </vt:variant>
      <vt:variant>
        <vt:i4>1966130</vt:i4>
      </vt:variant>
      <vt:variant>
        <vt:i4>200</vt:i4>
      </vt:variant>
      <vt:variant>
        <vt:i4>0</vt:i4>
      </vt:variant>
      <vt:variant>
        <vt:i4>5</vt:i4>
      </vt:variant>
      <vt:variant>
        <vt:lpwstr/>
      </vt:variant>
      <vt:variant>
        <vt:lpwstr>_Toc208906865</vt:lpwstr>
      </vt:variant>
      <vt:variant>
        <vt:i4>1966130</vt:i4>
      </vt:variant>
      <vt:variant>
        <vt:i4>194</vt:i4>
      </vt:variant>
      <vt:variant>
        <vt:i4>0</vt:i4>
      </vt:variant>
      <vt:variant>
        <vt:i4>5</vt:i4>
      </vt:variant>
      <vt:variant>
        <vt:lpwstr/>
      </vt:variant>
      <vt:variant>
        <vt:lpwstr>_Toc208906864</vt:lpwstr>
      </vt:variant>
      <vt:variant>
        <vt:i4>1966130</vt:i4>
      </vt:variant>
      <vt:variant>
        <vt:i4>188</vt:i4>
      </vt:variant>
      <vt:variant>
        <vt:i4>0</vt:i4>
      </vt:variant>
      <vt:variant>
        <vt:i4>5</vt:i4>
      </vt:variant>
      <vt:variant>
        <vt:lpwstr/>
      </vt:variant>
      <vt:variant>
        <vt:lpwstr>_Toc208906863</vt:lpwstr>
      </vt:variant>
      <vt:variant>
        <vt:i4>1966130</vt:i4>
      </vt:variant>
      <vt:variant>
        <vt:i4>182</vt:i4>
      </vt:variant>
      <vt:variant>
        <vt:i4>0</vt:i4>
      </vt:variant>
      <vt:variant>
        <vt:i4>5</vt:i4>
      </vt:variant>
      <vt:variant>
        <vt:lpwstr/>
      </vt:variant>
      <vt:variant>
        <vt:lpwstr>_Toc208906862</vt:lpwstr>
      </vt:variant>
      <vt:variant>
        <vt:i4>1966130</vt:i4>
      </vt:variant>
      <vt:variant>
        <vt:i4>176</vt:i4>
      </vt:variant>
      <vt:variant>
        <vt:i4>0</vt:i4>
      </vt:variant>
      <vt:variant>
        <vt:i4>5</vt:i4>
      </vt:variant>
      <vt:variant>
        <vt:lpwstr/>
      </vt:variant>
      <vt:variant>
        <vt:lpwstr>_Toc208906861</vt:lpwstr>
      </vt:variant>
      <vt:variant>
        <vt:i4>1966130</vt:i4>
      </vt:variant>
      <vt:variant>
        <vt:i4>170</vt:i4>
      </vt:variant>
      <vt:variant>
        <vt:i4>0</vt:i4>
      </vt:variant>
      <vt:variant>
        <vt:i4>5</vt:i4>
      </vt:variant>
      <vt:variant>
        <vt:lpwstr/>
      </vt:variant>
      <vt:variant>
        <vt:lpwstr>_Toc208906860</vt:lpwstr>
      </vt:variant>
      <vt:variant>
        <vt:i4>1900594</vt:i4>
      </vt:variant>
      <vt:variant>
        <vt:i4>164</vt:i4>
      </vt:variant>
      <vt:variant>
        <vt:i4>0</vt:i4>
      </vt:variant>
      <vt:variant>
        <vt:i4>5</vt:i4>
      </vt:variant>
      <vt:variant>
        <vt:lpwstr/>
      </vt:variant>
      <vt:variant>
        <vt:lpwstr>_Toc208906859</vt:lpwstr>
      </vt:variant>
      <vt:variant>
        <vt:i4>1900594</vt:i4>
      </vt:variant>
      <vt:variant>
        <vt:i4>158</vt:i4>
      </vt:variant>
      <vt:variant>
        <vt:i4>0</vt:i4>
      </vt:variant>
      <vt:variant>
        <vt:i4>5</vt:i4>
      </vt:variant>
      <vt:variant>
        <vt:lpwstr/>
      </vt:variant>
      <vt:variant>
        <vt:lpwstr>_Toc208906858</vt:lpwstr>
      </vt:variant>
      <vt:variant>
        <vt:i4>1900594</vt:i4>
      </vt:variant>
      <vt:variant>
        <vt:i4>152</vt:i4>
      </vt:variant>
      <vt:variant>
        <vt:i4>0</vt:i4>
      </vt:variant>
      <vt:variant>
        <vt:i4>5</vt:i4>
      </vt:variant>
      <vt:variant>
        <vt:lpwstr/>
      </vt:variant>
      <vt:variant>
        <vt:lpwstr>_Toc208906856</vt:lpwstr>
      </vt:variant>
      <vt:variant>
        <vt:i4>1900594</vt:i4>
      </vt:variant>
      <vt:variant>
        <vt:i4>146</vt:i4>
      </vt:variant>
      <vt:variant>
        <vt:i4>0</vt:i4>
      </vt:variant>
      <vt:variant>
        <vt:i4>5</vt:i4>
      </vt:variant>
      <vt:variant>
        <vt:lpwstr/>
      </vt:variant>
      <vt:variant>
        <vt:lpwstr>_Toc208906855</vt:lpwstr>
      </vt:variant>
      <vt:variant>
        <vt:i4>1900594</vt:i4>
      </vt:variant>
      <vt:variant>
        <vt:i4>140</vt:i4>
      </vt:variant>
      <vt:variant>
        <vt:i4>0</vt:i4>
      </vt:variant>
      <vt:variant>
        <vt:i4>5</vt:i4>
      </vt:variant>
      <vt:variant>
        <vt:lpwstr/>
      </vt:variant>
      <vt:variant>
        <vt:lpwstr>_Toc208906854</vt:lpwstr>
      </vt:variant>
      <vt:variant>
        <vt:i4>1900594</vt:i4>
      </vt:variant>
      <vt:variant>
        <vt:i4>134</vt:i4>
      </vt:variant>
      <vt:variant>
        <vt:i4>0</vt:i4>
      </vt:variant>
      <vt:variant>
        <vt:i4>5</vt:i4>
      </vt:variant>
      <vt:variant>
        <vt:lpwstr/>
      </vt:variant>
      <vt:variant>
        <vt:lpwstr>_Toc208906853</vt:lpwstr>
      </vt:variant>
      <vt:variant>
        <vt:i4>1900594</vt:i4>
      </vt:variant>
      <vt:variant>
        <vt:i4>128</vt:i4>
      </vt:variant>
      <vt:variant>
        <vt:i4>0</vt:i4>
      </vt:variant>
      <vt:variant>
        <vt:i4>5</vt:i4>
      </vt:variant>
      <vt:variant>
        <vt:lpwstr/>
      </vt:variant>
      <vt:variant>
        <vt:lpwstr>_Toc208906851</vt:lpwstr>
      </vt:variant>
      <vt:variant>
        <vt:i4>1900594</vt:i4>
      </vt:variant>
      <vt:variant>
        <vt:i4>122</vt:i4>
      </vt:variant>
      <vt:variant>
        <vt:i4>0</vt:i4>
      </vt:variant>
      <vt:variant>
        <vt:i4>5</vt:i4>
      </vt:variant>
      <vt:variant>
        <vt:lpwstr/>
      </vt:variant>
      <vt:variant>
        <vt:lpwstr>_Toc208906850</vt:lpwstr>
      </vt:variant>
      <vt:variant>
        <vt:i4>1835058</vt:i4>
      </vt:variant>
      <vt:variant>
        <vt:i4>116</vt:i4>
      </vt:variant>
      <vt:variant>
        <vt:i4>0</vt:i4>
      </vt:variant>
      <vt:variant>
        <vt:i4>5</vt:i4>
      </vt:variant>
      <vt:variant>
        <vt:lpwstr/>
      </vt:variant>
      <vt:variant>
        <vt:lpwstr>_Toc208906849</vt:lpwstr>
      </vt:variant>
      <vt:variant>
        <vt:i4>1835058</vt:i4>
      </vt:variant>
      <vt:variant>
        <vt:i4>110</vt:i4>
      </vt:variant>
      <vt:variant>
        <vt:i4>0</vt:i4>
      </vt:variant>
      <vt:variant>
        <vt:i4>5</vt:i4>
      </vt:variant>
      <vt:variant>
        <vt:lpwstr/>
      </vt:variant>
      <vt:variant>
        <vt:lpwstr>_Toc208906848</vt:lpwstr>
      </vt:variant>
      <vt:variant>
        <vt:i4>1835058</vt:i4>
      </vt:variant>
      <vt:variant>
        <vt:i4>104</vt:i4>
      </vt:variant>
      <vt:variant>
        <vt:i4>0</vt:i4>
      </vt:variant>
      <vt:variant>
        <vt:i4>5</vt:i4>
      </vt:variant>
      <vt:variant>
        <vt:lpwstr/>
      </vt:variant>
      <vt:variant>
        <vt:lpwstr>_Toc208906846</vt:lpwstr>
      </vt:variant>
      <vt:variant>
        <vt:i4>1835058</vt:i4>
      </vt:variant>
      <vt:variant>
        <vt:i4>98</vt:i4>
      </vt:variant>
      <vt:variant>
        <vt:i4>0</vt:i4>
      </vt:variant>
      <vt:variant>
        <vt:i4>5</vt:i4>
      </vt:variant>
      <vt:variant>
        <vt:lpwstr/>
      </vt:variant>
      <vt:variant>
        <vt:lpwstr>_Toc208906845</vt:lpwstr>
      </vt:variant>
      <vt:variant>
        <vt:i4>1835058</vt:i4>
      </vt:variant>
      <vt:variant>
        <vt:i4>92</vt:i4>
      </vt:variant>
      <vt:variant>
        <vt:i4>0</vt:i4>
      </vt:variant>
      <vt:variant>
        <vt:i4>5</vt:i4>
      </vt:variant>
      <vt:variant>
        <vt:lpwstr/>
      </vt:variant>
      <vt:variant>
        <vt:lpwstr>_Toc208906844</vt:lpwstr>
      </vt:variant>
      <vt:variant>
        <vt:i4>1835058</vt:i4>
      </vt:variant>
      <vt:variant>
        <vt:i4>86</vt:i4>
      </vt:variant>
      <vt:variant>
        <vt:i4>0</vt:i4>
      </vt:variant>
      <vt:variant>
        <vt:i4>5</vt:i4>
      </vt:variant>
      <vt:variant>
        <vt:lpwstr/>
      </vt:variant>
      <vt:variant>
        <vt:lpwstr>_Toc208906843</vt:lpwstr>
      </vt:variant>
      <vt:variant>
        <vt:i4>1835058</vt:i4>
      </vt:variant>
      <vt:variant>
        <vt:i4>80</vt:i4>
      </vt:variant>
      <vt:variant>
        <vt:i4>0</vt:i4>
      </vt:variant>
      <vt:variant>
        <vt:i4>5</vt:i4>
      </vt:variant>
      <vt:variant>
        <vt:lpwstr/>
      </vt:variant>
      <vt:variant>
        <vt:lpwstr>_Toc208906842</vt:lpwstr>
      </vt:variant>
      <vt:variant>
        <vt:i4>1835058</vt:i4>
      </vt:variant>
      <vt:variant>
        <vt:i4>74</vt:i4>
      </vt:variant>
      <vt:variant>
        <vt:i4>0</vt:i4>
      </vt:variant>
      <vt:variant>
        <vt:i4>5</vt:i4>
      </vt:variant>
      <vt:variant>
        <vt:lpwstr/>
      </vt:variant>
      <vt:variant>
        <vt:lpwstr>_Toc208906841</vt:lpwstr>
      </vt:variant>
      <vt:variant>
        <vt:i4>1835058</vt:i4>
      </vt:variant>
      <vt:variant>
        <vt:i4>68</vt:i4>
      </vt:variant>
      <vt:variant>
        <vt:i4>0</vt:i4>
      </vt:variant>
      <vt:variant>
        <vt:i4>5</vt:i4>
      </vt:variant>
      <vt:variant>
        <vt:lpwstr/>
      </vt:variant>
      <vt:variant>
        <vt:lpwstr>_Toc208906840</vt:lpwstr>
      </vt:variant>
      <vt:variant>
        <vt:i4>1769522</vt:i4>
      </vt:variant>
      <vt:variant>
        <vt:i4>62</vt:i4>
      </vt:variant>
      <vt:variant>
        <vt:i4>0</vt:i4>
      </vt:variant>
      <vt:variant>
        <vt:i4>5</vt:i4>
      </vt:variant>
      <vt:variant>
        <vt:lpwstr/>
      </vt:variant>
      <vt:variant>
        <vt:lpwstr>_Toc208906839</vt:lpwstr>
      </vt:variant>
      <vt:variant>
        <vt:i4>1769522</vt:i4>
      </vt:variant>
      <vt:variant>
        <vt:i4>56</vt:i4>
      </vt:variant>
      <vt:variant>
        <vt:i4>0</vt:i4>
      </vt:variant>
      <vt:variant>
        <vt:i4>5</vt:i4>
      </vt:variant>
      <vt:variant>
        <vt:lpwstr/>
      </vt:variant>
      <vt:variant>
        <vt:lpwstr>_Toc208906838</vt:lpwstr>
      </vt:variant>
      <vt:variant>
        <vt:i4>1769522</vt:i4>
      </vt:variant>
      <vt:variant>
        <vt:i4>50</vt:i4>
      </vt:variant>
      <vt:variant>
        <vt:i4>0</vt:i4>
      </vt:variant>
      <vt:variant>
        <vt:i4>5</vt:i4>
      </vt:variant>
      <vt:variant>
        <vt:lpwstr/>
      </vt:variant>
      <vt:variant>
        <vt:lpwstr>_Toc208906837</vt:lpwstr>
      </vt:variant>
      <vt:variant>
        <vt:i4>1769522</vt:i4>
      </vt:variant>
      <vt:variant>
        <vt:i4>44</vt:i4>
      </vt:variant>
      <vt:variant>
        <vt:i4>0</vt:i4>
      </vt:variant>
      <vt:variant>
        <vt:i4>5</vt:i4>
      </vt:variant>
      <vt:variant>
        <vt:lpwstr/>
      </vt:variant>
      <vt:variant>
        <vt:lpwstr>_Toc208906834</vt:lpwstr>
      </vt:variant>
      <vt:variant>
        <vt:i4>1769522</vt:i4>
      </vt:variant>
      <vt:variant>
        <vt:i4>38</vt:i4>
      </vt:variant>
      <vt:variant>
        <vt:i4>0</vt:i4>
      </vt:variant>
      <vt:variant>
        <vt:i4>5</vt:i4>
      </vt:variant>
      <vt:variant>
        <vt:lpwstr/>
      </vt:variant>
      <vt:variant>
        <vt:lpwstr>_Toc208906833</vt:lpwstr>
      </vt:variant>
      <vt:variant>
        <vt:i4>1769522</vt:i4>
      </vt:variant>
      <vt:variant>
        <vt:i4>32</vt:i4>
      </vt:variant>
      <vt:variant>
        <vt:i4>0</vt:i4>
      </vt:variant>
      <vt:variant>
        <vt:i4>5</vt:i4>
      </vt:variant>
      <vt:variant>
        <vt:lpwstr/>
      </vt:variant>
      <vt:variant>
        <vt:lpwstr>_Toc208906832</vt:lpwstr>
      </vt:variant>
      <vt:variant>
        <vt:i4>1769522</vt:i4>
      </vt:variant>
      <vt:variant>
        <vt:i4>26</vt:i4>
      </vt:variant>
      <vt:variant>
        <vt:i4>0</vt:i4>
      </vt:variant>
      <vt:variant>
        <vt:i4>5</vt:i4>
      </vt:variant>
      <vt:variant>
        <vt:lpwstr/>
      </vt:variant>
      <vt:variant>
        <vt:lpwstr>_Toc208906831</vt:lpwstr>
      </vt:variant>
      <vt:variant>
        <vt:i4>1769522</vt:i4>
      </vt:variant>
      <vt:variant>
        <vt:i4>20</vt:i4>
      </vt:variant>
      <vt:variant>
        <vt:i4>0</vt:i4>
      </vt:variant>
      <vt:variant>
        <vt:i4>5</vt:i4>
      </vt:variant>
      <vt:variant>
        <vt:lpwstr/>
      </vt:variant>
      <vt:variant>
        <vt:lpwstr>_Toc208906830</vt:lpwstr>
      </vt:variant>
      <vt:variant>
        <vt:i4>1703986</vt:i4>
      </vt:variant>
      <vt:variant>
        <vt:i4>14</vt:i4>
      </vt:variant>
      <vt:variant>
        <vt:i4>0</vt:i4>
      </vt:variant>
      <vt:variant>
        <vt:i4>5</vt:i4>
      </vt:variant>
      <vt:variant>
        <vt:lpwstr/>
      </vt:variant>
      <vt:variant>
        <vt:lpwstr>_Toc208906829</vt:lpwstr>
      </vt:variant>
      <vt:variant>
        <vt:i4>1703986</vt:i4>
      </vt:variant>
      <vt:variant>
        <vt:i4>8</vt:i4>
      </vt:variant>
      <vt:variant>
        <vt:i4>0</vt:i4>
      </vt:variant>
      <vt:variant>
        <vt:i4>5</vt:i4>
      </vt:variant>
      <vt:variant>
        <vt:lpwstr/>
      </vt:variant>
      <vt:variant>
        <vt:lpwstr>_Toc208906828</vt:lpwstr>
      </vt:variant>
      <vt:variant>
        <vt:i4>1703986</vt:i4>
      </vt:variant>
      <vt:variant>
        <vt:i4>2</vt:i4>
      </vt:variant>
      <vt:variant>
        <vt:i4>0</vt:i4>
      </vt:variant>
      <vt:variant>
        <vt:i4>5</vt:i4>
      </vt:variant>
      <vt:variant>
        <vt:lpwstr/>
      </vt:variant>
      <vt:variant>
        <vt:lpwstr>_Toc208906827</vt:lpwstr>
      </vt:variant>
      <vt:variant>
        <vt:i4>2162745</vt:i4>
      </vt:variant>
      <vt:variant>
        <vt:i4>9</vt:i4>
      </vt:variant>
      <vt:variant>
        <vt:i4>0</vt:i4>
      </vt:variant>
      <vt:variant>
        <vt:i4>5</vt:i4>
      </vt:variant>
      <vt:variant>
        <vt:lpwstr>https://www.pmc.gov.au/resources/pmc-inclusion-and-diversity-strategy-2023-26/understanding-inclusion-and-diversity</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Evaluation of Family and Relationship Services and Specialised Family Violence Services</dc:title>
  <dc:subject/>
  <dc:creator/>
  <cp:keywords>[SEC=UNOFFICIAL]</cp:keywords>
  <dc:description/>
  <cp:lastModifiedBy/>
  <cp:revision>1</cp:revision>
  <dcterms:created xsi:type="dcterms:W3CDTF">2025-12-17T23:15:00Z</dcterms:created>
  <dcterms:modified xsi:type="dcterms:W3CDTF">2025-12-19T03:57:00Z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M_Caveats_Count">
    <vt:lpwstr>0</vt:lpwstr>
  </property>
  <property fmtid="{D5CDD505-2E9C-101B-9397-08002B2CF9AE}" pid="3" name="MSIP_Label_48c3c0a9-12dd-4b95-92ca-a006af7b6583_ContentBits">
    <vt:lpwstr>3</vt:lpwstr>
  </property>
  <property fmtid="{D5CDD505-2E9C-101B-9397-08002B2CF9AE}" pid="4" name="PM_Namespace">
    <vt:lpwstr>gov.au</vt:lpwstr>
  </property>
  <property fmtid="{D5CDD505-2E9C-101B-9397-08002B2CF9AE}" pid="5" name="PM_Version">
    <vt:lpwstr>2018.4</vt:lpwstr>
  </property>
  <property fmtid="{D5CDD505-2E9C-101B-9397-08002B2CF9AE}" pid="6" name="MSIP_Label_48c3c0a9-12dd-4b95-92ca-a006af7b6583_SetDate">
    <vt:lpwstr>2025-12-17T23:15:27Z</vt:lpwstr>
  </property>
  <property fmtid="{D5CDD505-2E9C-101B-9397-08002B2CF9AE}" pid="7" name="PM_Note">
    <vt:lpwstr/>
  </property>
  <property fmtid="{D5CDD505-2E9C-101B-9397-08002B2CF9AE}" pid="8" name="PMHMAC">
    <vt:lpwstr>v=2024.1;a=SHA256;h=FFBB733C46926D9ECB965FCE9B0DEFBB2DF4DB44F770E7260D101285B2EDDFD8</vt:lpwstr>
  </property>
  <property fmtid="{D5CDD505-2E9C-101B-9397-08002B2CF9AE}" pid="9" name="PM_Qualifier">
    <vt:lpwstr/>
  </property>
  <property fmtid="{D5CDD505-2E9C-101B-9397-08002B2CF9AE}" pid="10" name="PM_SecurityClassification">
    <vt:lpwstr>UNOFFICIAL</vt:lpwstr>
  </property>
  <property fmtid="{D5CDD505-2E9C-101B-9397-08002B2CF9AE}" pid="11" name="PM_ProtectiveMarkingValue_Header">
    <vt:lpwstr>UNOFFICIAL</vt:lpwstr>
  </property>
  <property fmtid="{D5CDD505-2E9C-101B-9397-08002B2CF9AE}" pid="12" name="PM_OriginationTimeStamp">
    <vt:lpwstr>2025-12-17T23:15:27Z</vt:lpwstr>
  </property>
  <property fmtid="{D5CDD505-2E9C-101B-9397-08002B2CF9AE}" pid="13" name="MSIP_Label_48c3c0a9-12dd-4b95-92ca-a006af7b6583_Method">
    <vt:lpwstr>Privileged</vt:lpwstr>
  </property>
  <property fmtid="{D5CDD505-2E9C-101B-9397-08002B2CF9AE}" pid="14" name="MSIP_Label_48c3c0a9-12dd-4b95-92ca-a006af7b6583_Name">
    <vt:lpwstr>UNOFFICIAL</vt:lpwstr>
  </property>
  <property fmtid="{D5CDD505-2E9C-101B-9397-08002B2CF9AE}" pid="15" name="PM_Markers">
    <vt:lpwstr/>
  </property>
  <property fmtid="{D5CDD505-2E9C-101B-9397-08002B2CF9AE}" pid="16" name="PM_DownTo">
    <vt:lpwstr/>
  </property>
  <property fmtid="{D5CDD505-2E9C-101B-9397-08002B2CF9AE}" pid="17" name="PM_DisplayValueSecClassificationWithQualifier">
    <vt:lpwstr>UNOFFICIAL</vt:lpwstr>
  </property>
  <property fmtid="{D5CDD505-2E9C-101B-9397-08002B2CF9AE}" pid="18" name="PM_Expires">
    <vt:lpwstr/>
  </property>
  <property fmtid="{D5CDD505-2E9C-101B-9397-08002B2CF9AE}" pid="19" name="PM_InsertionValue">
    <vt:lpwstr>UNOFFICIAL</vt:lpwstr>
  </property>
  <property fmtid="{D5CDD505-2E9C-101B-9397-08002B2CF9AE}" pid="20" name="PM_DowngradeTo">
    <vt:lpwstr/>
  </property>
  <property fmtid="{D5CDD505-2E9C-101B-9397-08002B2CF9AE}" pid="21" name="MSIP_Label_48c3c0a9-12dd-4b95-92ca-a006af7b6583_SiteId">
    <vt:lpwstr>61e36dd1-ca6e-4d61-aa0a-2b4eb88317a3</vt:lpwstr>
  </property>
  <property fmtid="{D5CDD505-2E9C-101B-9397-08002B2CF9AE}" pid="22" name="MSIP_Label_48c3c0a9-12dd-4b95-92ca-a006af7b6583_Enabled">
    <vt:lpwstr>true</vt:lpwstr>
  </property>
  <property fmtid="{D5CDD505-2E9C-101B-9397-08002B2CF9AE}" pid="23" name="MSIP_Label_48c3c0a9-12dd-4b95-92ca-a006af7b6583_ActionId">
    <vt:lpwstr>24bd322923274b9a8c060ae1e1091460</vt:lpwstr>
  </property>
  <property fmtid="{D5CDD505-2E9C-101B-9397-08002B2CF9AE}" pid="24" name="PM_Originator_Hash_SHA1">
    <vt:lpwstr>EF3B9B4EBA12F846AE32F1483CEE000D35A0C8C5</vt:lpwstr>
  </property>
  <property fmtid="{D5CDD505-2E9C-101B-9397-08002B2CF9AE}" pid="25" name="PM_Originating_FileId">
    <vt:lpwstr>0F341E988ED94EBEBF6EE33C57A1BD57</vt:lpwstr>
  </property>
  <property fmtid="{D5CDD505-2E9C-101B-9397-08002B2CF9AE}" pid="26" name="PM_ProtectiveMarkingValue_Footer">
    <vt:lpwstr>UNOFFICIAL</vt:lpwstr>
  </property>
  <property fmtid="{D5CDD505-2E9C-101B-9397-08002B2CF9AE}" pid="27" name="PM_Display">
    <vt:lpwstr>UNOFFICIAL</vt:lpwstr>
  </property>
  <property fmtid="{D5CDD505-2E9C-101B-9397-08002B2CF9AE}" pid="28" name="PM_OriginatorUserAccountName_SHA256">
    <vt:lpwstr>52B97822998D45A5FE76FBF575035034760AD13EE13D3825DB38D567D3AEDC5E</vt:lpwstr>
  </property>
  <property fmtid="{D5CDD505-2E9C-101B-9397-08002B2CF9AE}" pid="29" name="PM_OriginatorDomainName_SHA256">
    <vt:lpwstr>E83A2A66C4061446A7E3732E8D44762184B6B377D962B96C83DC624302585857</vt:lpwstr>
  </property>
  <property fmtid="{D5CDD505-2E9C-101B-9397-08002B2CF9AE}" pid="30" name="PMUuid">
    <vt:lpwstr>v=2022.2;d=gov.au;g=65417EFE-F3B9-5E66-BD91-1E689FEC2EA6</vt:lpwstr>
  </property>
  <property fmtid="{D5CDD505-2E9C-101B-9397-08002B2CF9AE}" pid="31" name="PM_Hash_Version">
    <vt:lpwstr>2024.1</vt:lpwstr>
  </property>
  <property fmtid="{D5CDD505-2E9C-101B-9397-08002B2CF9AE}" pid="32" name="PM_Hash_Salt_Prev">
    <vt:lpwstr>07BC2C52F44BA9980A795F791885035D</vt:lpwstr>
  </property>
  <property fmtid="{D5CDD505-2E9C-101B-9397-08002B2CF9AE}" pid="33" name="PM_Hash_Salt">
    <vt:lpwstr>00CEC2A7BC60D9BD3DB9198B539B61F2</vt:lpwstr>
  </property>
  <property fmtid="{D5CDD505-2E9C-101B-9397-08002B2CF9AE}" pid="34" name="PM_Hash_SHA1">
    <vt:lpwstr>A0AB5BF4FFFC0B478F107404BF15E80C6ECD0410</vt:lpwstr>
  </property>
</Properties>
</file>